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77777777" w:rsidR="00E90DF9" w:rsidRPr="008C3B92" w:rsidRDefault="00E90DF9" w:rsidP="00E90DF9">
      <w:pPr>
        <w:spacing w:after="0"/>
        <w:rPr>
          <w:rFonts w:ascii="Arial" w:hAnsi="Arial" w:cs="Arial"/>
          <w:b/>
          <w:bCs/>
          <w:sz w:val="24"/>
          <w:szCs w:val="24"/>
        </w:rPr>
      </w:pPr>
      <w:bookmarkStart w:id="0" w:name="_Hlk163546985"/>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4D3C23" w:rsidRDefault="00E90DF9" w:rsidP="00E90DF9">
      <w:pPr>
        <w:spacing w:after="0"/>
        <w:jc w:val="center"/>
        <w:rPr>
          <w:rFonts w:ascii="Arial" w:hAnsi="Arial" w:cs="Arial"/>
          <w:b/>
          <w:color w:val="000000" w:themeColor="text1"/>
          <w:sz w:val="24"/>
          <w:szCs w:val="24"/>
        </w:rPr>
      </w:pPr>
    </w:p>
    <w:p w14:paraId="590EB1A4" w14:textId="0593F60D" w:rsidR="00E90DF9" w:rsidRPr="004D3C23" w:rsidRDefault="004D3C23" w:rsidP="00E90DF9">
      <w:pPr>
        <w:spacing w:after="0"/>
        <w:jc w:val="center"/>
        <w:rPr>
          <w:rFonts w:ascii="Arial" w:hAnsi="Arial" w:cs="Arial"/>
          <w:b/>
          <w:bCs/>
          <w:color w:val="000000" w:themeColor="text1"/>
          <w:sz w:val="24"/>
          <w:szCs w:val="24"/>
        </w:rPr>
      </w:pPr>
      <w:r w:rsidRPr="004D3C23">
        <w:rPr>
          <w:rFonts w:ascii="Arial" w:hAnsi="Arial" w:cs="Arial"/>
          <w:b/>
          <w:bCs/>
          <w:color w:val="000000" w:themeColor="text1"/>
          <w:sz w:val="24"/>
          <w:szCs w:val="24"/>
        </w:rPr>
        <w:t>ENVIRONMENT PROTECTION LEGISLATION AMENDMENT BILL 2024</w:t>
      </w:r>
    </w:p>
    <w:p w14:paraId="23C1CDE7" w14:textId="77777777" w:rsidR="00E90DF9" w:rsidRPr="00BB387E" w:rsidRDefault="00E90DF9" w:rsidP="00E90DF9">
      <w:pPr>
        <w:spacing w:after="0"/>
        <w:jc w:val="center"/>
        <w:rPr>
          <w:rFonts w:ascii="Arial" w:hAnsi="Arial" w:cs="Arial"/>
          <w:b/>
          <w:bCs/>
          <w:sz w:val="24"/>
          <w:szCs w:val="24"/>
        </w:rPr>
      </w:pPr>
    </w:p>
    <w:p w14:paraId="5D04CAEB" w14:textId="77777777" w:rsidR="00E90DF9" w:rsidRPr="00BB387E" w:rsidRDefault="00E90DF9" w:rsidP="00E90DF9">
      <w:pPr>
        <w:spacing w:after="0"/>
        <w:jc w:val="center"/>
        <w:rPr>
          <w:rFonts w:ascii="Arial" w:hAnsi="Arial" w:cs="Arial"/>
          <w:b/>
          <w:sz w:val="24"/>
          <w:szCs w:val="24"/>
        </w:rPr>
      </w:pPr>
    </w:p>
    <w:p w14:paraId="664BEC68" w14:textId="738FFA71" w:rsidR="00E90DF9" w:rsidRDefault="00A2278E" w:rsidP="00E90DF9">
      <w:pPr>
        <w:spacing w:after="0"/>
        <w:jc w:val="center"/>
        <w:rPr>
          <w:rFonts w:ascii="Arial" w:hAnsi="Arial" w:cs="Arial"/>
          <w:b/>
          <w:bCs/>
          <w:sz w:val="24"/>
          <w:szCs w:val="24"/>
        </w:rPr>
      </w:pPr>
      <w:r>
        <w:rPr>
          <w:rFonts w:ascii="Arial" w:hAnsi="Arial" w:cs="Arial"/>
          <w:b/>
          <w:bCs/>
          <w:sz w:val="24"/>
          <w:szCs w:val="24"/>
        </w:rPr>
        <w:t xml:space="preserve">REVISED </w:t>
      </w:r>
      <w:r w:rsidR="00E90DF9" w:rsidRPr="00BB387E">
        <w:rPr>
          <w:rFonts w:ascii="Arial" w:hAnsi="Arial" w:cs="Arial"/>
          <w:b/>
          <w:bCs/>
          <w:sz w:val="24"/>
          <w:szCs w:val="24"/>
        </w:rPr>
        <w:t>EXPLANATORY STATEMENT</w:t>
      </w:r>
      <w:r w:rsidR="00E90DF9">
        <w:rPr>
          <w:rFonts w:ascii="Arial" w:hAnsi="Arial" w:cs="Arial"/>
          <w:b/>
          <w:bCs/>
          <w:sz w:val="24"/>
          <w:szCs w:val="24"/>
        </w:rPr>
        <w:t xml:space="preserve"> </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01179C4F" w14:textId="77777777" w:rsidR="00E90DF9" w:rsidRDefault="00E90DF9" w:rsidP="00E90DF9">
      <w:pPr>
        <w:keepNext/>
        <w:widowControl w:val="0"/>
        <w:spacing w:after="0"/>
        <w:jc w:val="center"/>
        <w:outlineLvl w:val="7"/>
        <w:rPr>
          <w:rFonts w:ascii="Arial" w:hAnsi="Arial" w:cs="Arial"/>
          <w:b/>
          <w:sz w:val="24"/>
          <w:szCs w:val="24"/>
        </w:rPr>
      </w:pPr>
    </w:p>
    <w:p w14:paraId="782AE037" w14:textId="77777777" w:rsidR="00013940" w:rsidRDefault="00013940" w:rsidP="00E90DF9">
      <w:pPr>
        <w:keepNext/>
        <w:widowControl w:val="0"/>
        <w:spacing w:after="0"/>
        <w:jc w:val="center"/>
        <w:outlineLvl w:val="7"/>
        <w:rPr>
          <w:rFonts w:ascii="Arial" w:hAnsi="Arial" w:cs="Arial"/>
          <w:b/>
          <w:sz w:val="24"/>
          <w:szCs w:val="24"/>
        </w:rPr>
      </w:pPr>
    </w:p>
    <w:p w14:paraId="378DFF7A" w14:textId="77777777" w:rsidR="00013940" w:rsidRDefault="00013940" w:rsidP="00E90DF9">
      <w:pPr>
        <w:keepNext/>
        <w:widowControl w:val="0"/>
        <w:spacing w:after="0"/>
        <w:jc w:val="center"/>
        <w:outlineLvl w:val="7"/>
        <w:rPr>
          <w:rFonts w:ascii="Arial" w:hAnsi="Arial" w:cs="Arial"/>
          <w:b/>
          <w:sz w:val="24"/>
          <w:szCs w:val="24"/>
        </w:rPr>
      </w:pPr>
    </w:p>
    <w:p w14:paraId="5AC05885" w14:textId="77777777" w:rsidR="00013940" w:rsidRPr="00BB387E" w:rsidRDefault="00013940"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E90DF9">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340671F6" w14:textId="2D7D7DC5" w:rsidR="00E90DF9" w:rsidRDefault="004D3C23" w:rsidP="00E90DF9">
      <w:pPr>
        <w:spacing w:after="0"/>
        <w:ind w:right="686"/>
        <w:jc w:val="right"/>
        <w:rPr>
          <w:rFonts w:ascii="Arial" w:hAnsi="Arial" w:cs="Arial"/>
          <w:b/>
          <w:bCs/>
          <w:sz w:val="24"/>
          <w:szCs w:val="24"/>
        </w:rPr>
      </w:pPr>
      <w:r w:rsidRPr="004D3C23">
        <w:rPr>
          <w:rFonts w:ascii="Arial" w:hAnsi="Arial" w:cs="Arial"/>
          <w:b/>
          <w:bCs/>
          <w:color w:val="000000" w:themeColor="text1"/>
          <w:sz w:val="24"/>
          <w:szCs w:val="24"/>
        </w:rPr>
        <w:t>Rebecca Vassarotti</w:t>
      </w:r>
      <w:r w:rsidR="00E90DF9" w:rsidRPr="00E90DF9">
        <w:rPr>
          <w:rFonts w:ascii="Arial" w:hAnsi="Arial" w:cs="Arial"/>
          <w:b/>
          <w:bCs/>
          <w:color w:val="FF0000"/>
          <w:sz w:val="24"/>
          <w:szCs w:val="24"/>
        </w:rPr>
        <w:t xml:space="preserve"> </w:t>
      </w:r>
      <w:r w:rsidR="00E90DF9">
        <w:rPr>
          <w:rFonts w:ascii="Arial" w:hAnsi="Arial" w:cs="Arial"/>
          <w:b/>
          <w:bCs/>
          <w:sz w:val="24"/>
          <w:szCs w:val="24"/>
        </w:rPr>
        <w:t>MLA</w:t>
      </w:r>
    </w:p>
    <w:p w14:paraId="27ECBDD6" w14:textId="77777777" w:rsidR="004D3C23" w:rsidRPr="004D3C23" w:rsidRDefault="004D3C23" w:rsidP="00E90DF9">
      <w:pPr>
        <w:spacing w:after="0"/>
        <w:ind w:right="686"/>
        <w:jc w:val="right"/>
        <w:rPr>
          <w:rFonts w:ascii="Arial" w:hAnsi="Arial" w:cs="Arial"/>
          <w:b/>
          <w:bCs/>
          <w:color w:val="000000" w:themeColor="text1"/>
          <w:sz w:val="24"/>
          <w:szCs w:val="24"/>
        </w:rPr>
      </w:pPr>
      <w:r w:rsidRPr="004D3C23">
        <w:rPr>
          <w:rFonts w:ascii="Arial" w:hAnsi="Arial" w:cs="Arial"/>
          <w:b/>
          <w:bCs/>
          <w:color w:val="000000" w:themeColor="text1"/>
          <w:sz w:val="24"/>
          <w:szCs w:val="24"/>
        </w:rPr>
        <w:t>Minister for the Environment, Parks and Land Management</w:t>
      </w:r>
    </w:p>
    <w:p w14:paraId="722CCE31" w14:textId="3F7CC564" w:rsidR="00E90DF9" w:rsidRPr="00BB387E" w:rsidRDefault="004A6845" w:rsidP="00E90DF9">
      <w:pPr>
        <w:spacing w:after="0"/>
        <w:ind w:right="686"/>
        <w:jc w:val="right"/>
        <w:rPr>
          <w:rFonts w:ascii="Arial" w:hAnsi="Arial" w:cs="Arial"/>
          <w:b/>
          <w:bCs/>
          <w:sz w:val="24"/>
          <w:szCs w:val="24"/>
        </w:rPr>
      </w:pPr>
      <w:r>
        <w:rPr>
          <w:rFonts w:ascii="Arial" w:hAnsi="Arial" w:cs="Arial"/>
          <w:b/>
          <w:bCs/>
          <w:color w:val="000000" w:themeColor="text1"/>
          <w:sz w:val="24"/>
          <w:szCs w:val="24"/>
        </w:rPr>
        <w:t>June</w:t>
      </w:r>
      <w:r w:rsidR="00013940">
        <w:rPr>
          <w:rFonts w:ascii="Arial" w:hAnsi="Arial" w:cs="Arial"/>
          <w:b/>
          <w:bCs/>
          <w:color w:val="000000" w:themeColor="text1"/>
          <w:sz w:val="24"/>
          <w:szCs w:val="24"/>
        </w:rPr>
        <w:t xml:space="preserve"> </w:t>
      </w:r>
      <w:r w:rsidR="00E90DF9">
        <w:rPr>
          <w:rFonts w:ascii="Arial" w:hAnsi="Arial" w:cs="Arial"/>
          <w:b/>
          <w:bCs/>
          <w:sz w:val="24"/>
          <w:szCs w:val="24"/>
        </w:rPr>
        <w:t>2024</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5C0ACF">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428B67D0" w14:textId="72FC7902" w:rsidR="00E90DF9" w:rsidRPr="00BB387E" w:rsidRDefault="004D3C23" w:rsidP="00E90DF9">
      <w:pPr>
        <w:pStyle w:val="Heading1"/>
        <w:jc w:val="center"/>
      </w:pPr>
      <w:r>
        <w:lastRenderedPageBreak/>
        <w:t>ENVIRONMENT PROTECTION LEGISLATION AMENDMENT BILL 2024</w:t>
      </w:r>
    </w:p>
    <w:p w14:paraId="791A60D0" w14:textId="77777777" w:rsidR="00E90DF9" w:rsidRDefault="00E90DF9" w:rsidP="00E90DF9">
      <w:pPr>
        <w:spacing w:after="0"/>
        <w:contextualSpacing/>
        <w:rPr>
          <w:rFonts w:ascii="Arial" w:hAnsi="Arial" w:cs="Arial"/>
          <w:bCs/>
          <w:sz w:val="24"/>
          <w:szCs w:val="24"/>
        </w:rPr>
      </w:pPr>
    </w:p>
    <w:p w14:paraId="1C3F3747" w14:textId="347B6799" w:rsidR="00A2278E" w:rsidRPr="0099579E" w:rsidRDefault="00D33519" w:rsidP="00A2278E">
      <w:pPr>
        <w:spacing w:after="0"/>
        <w:contextualSpacing/>
        <w:rPr>
          <w:rFonts w:ascii="Arial" w:hAnsi="Arial" w:cs="Arial"/>
          <w:bCs/>
          <w:sz w:val="24"/>
          <w:szCs w:val="24"/>
        </w:rPr>
      </w:pPr>
      <w:r w:rsidRPr="00D33519">
        <w:rPr>
          <w:rFonts w:ascii="Arial" w:hAnsi="Arial" w:cs="Arial"/>
          <w:bCs/>
          <w:sz w:val="24"/>
          <w:szCs w:val="24"/>
        </w:rPr>
        <w:t xml:space="preserve">This </w:t>
      </w:r>
      <w:r w:rsidR="00A2278E">
        <w:rPr>
          <w:rFonts w:ascii="Arial" w:hAnsi="Arial" w:cs="Arial"/>
          <w:bCs/>
          <w:sz w:val="24"/>
          <w:szCs w:val="24"/>
        </w:rPr>
        <w:t xml:space="preserve">revised </w:t>
      </w:r>
      <w:r w:rsidRPr="00D33519">
        <w:rPr>
          <w:rFonts w:ascii="Arial" w:hAnsi="Arial" w:cs="Arial"/>
          <w:bCs/>
          <w:sz w:val="24"/>
          <w:szCs w:val="24"/>
        </w:rPr>
        <w:t xml:space="preserve">explanatory statement relates to the </w:t>
      </w:r>
      <w:r w:rsidR="004D3C23">
        <w:rPr>
          <w:rFonts w:ascii="Arial" w:hAnsi="Arial" w:cs="Arial"/>
          <w:b/>
          <w:sz w:val="24"/>
          <w:szCs w:val="24"/>
        </w:rPr>
        <w:t>Environment Protection Legislation Amendment Bill 2024</w:t>
      </w:r>
      <w:r>
        <w:rPr>
          <w:rFonts w:ascii="Arial" w:hAnsi="Arial" w:cs="Arial"/>
          <w:b/>
          <w:sz w:val="24"/>
          <w:szCs w:val="24"/>
        </w:rPr>
        <w:t xml:space="preserve"> </w:t>
      </w:r>
      <w:r w:rsidRPr="00D33519">
        <w:rPr>
          <w:rFonts w:ascii="Arial" w:hAnsi="Arial" w:cs="Arial"/>
          <w:bCs/>
          <w:sz w:val="24"/>
          <w:szCs w:val="24"/>
        </w:rPr>
        <w:t xml:space="preserve">(the </w:t>
      </w:r>
      <w:r w:rsidR="00B75F54">
        <w:rPr>
          <w:rFonts w:ascii="Arial" w:hAnsi="Arial" w:cs="Arial"/>
          <w:bCs/>
          <w:sz w:val="24"/>
          <w:szCs w:val="24"/>
        </w:rPr>
        <w:t>B</w:t>
      </w:r>
      <w:r w:rsidRPr="00D33519">
        <w:rPr>
          <w:rFonts w:ascii="Arial" w:hAnsi="Arial" w:cs="Arial"/>
          <w:bCs/>
          <w:sz w:val="24"/>
          <w:szCs w:val="24"/>
        </w:rPr>
        <w:t xml:space="preserve">ill) as presented to the Legislative Assembly. </w:t>
      </w:r>
      <w:r w:rsidR="00A2278E">
        <w:rPr>
          <w:rFonts w:ascii="Arial" w:hAnsi="Arial" w:cs="Arial"/>
          <w:bCs/>
          <w:sz w:val="24"/>
          <w:szCs w:val="24"/>
        </w:rPr>
        <w:t xml:space="preserve">It has been prepared in response to comments </w:t>
      </w:r>
      <w:r w:rsidR="00A2278E" w:rsidRPr="00320B32">
        <w:rPr>
          <w:rFonts w:ascii="Arial" w:hAnsi="Arial" w:cs="Arial"/>
          <w:bCs/>
          <w:sz w:val="24"/>
          <w:szCs w:val="24"/>
        </w:rPr>
        <w:t xml:space="preserve">made by the Standing Committee on Justice and Community Safety (Legislative Scrutiny Role) (the Committee) in its Scrutiny Report </w:t>
      </w:r>
      <w:r w:rsidR="00A2278E">
        <w:rPr>
          <w:rFonts w:ascii="Arial" w:hAnsi="Arial" w:cs="Arial"/>
          <w:bCs/>
          <w:sz w:val="24"/>
          <w:szCs w:val="24"/>
        </w:rPr>
        <w:t>42 which highlighted a drafting error in the tabled explanatory statement for the Environment Protection Legislation Amendment Bill 2024 (</w:t>
      </w:r>
      <w:r w:rsidR="00A2278E" w:rsidRPr="0099579E">
        <w:rPr>
          <w:rFonts w:ascii="Arial" w:hAnsi="Arial" w:cs="Arial"/>
          <w:bCs/>
          <w:sz w:val="24"/>
          <w:szCs w:val="24"/>
        </w:rPr>
        <w:t xml:space="preserve">the </w:t>
      </w:r>
      <w:r w:rsidR="00A2278E" w:rsidRPr="00192A7F">
        <w:rPr>
          <w:rFonts w:ascii="Arial" w:hAnsi="Arial" w:cs="Arial"/>
          <w:b/>
          <w:sz w:val="24"/>
          <w:szCs w:val="24"/>
        </w:rPr>
        <w:t>Bill</w:t>
      </w:r>
      <w:r w:rsidR="00A2278E" w:rsidRPr="0099579E">
        <w:rPr>
          <w:rFonts w:ascii="Arial" w:hAnsi="Arial" w:cs="Arial"/>
          <w:bCs/>
          <w:sz w:val="24"/>
          <w:szCs w:val="24"/>
        </w:rPr>
        <w:t>).</w:t>
      </w:r>
      <w:r w:rsidR="00A2278E">
        <w:rPr>
          <w:rFonts w:ascii="Arial" w:hAnsi="Arial" w:cs="Arial"/>
          <w:bCs/>
          <w:sz w:val="24"/>
          <w:szCs w:val="24"/>
        </w:rPr>
        <w:t xml:space="preserve"> </w:t>
      </w:r>
      <w:r w:rsidR="00A2278E" w:rsidRPr="0099579E">
        <w:rPr>
          <w:rFonts w:ascii="Arial" w:hAnsi="Arial" w:cs="Arial"/>
          <w:bCs/>
          <w:sz w:val="24"/>
          <w:szCs w:val="24"/>
        </w:rPr>
        <w:t xml:space="preserve">It has been </w:t>
      </w:r>
      <w:r w:rsidR="00A2278E">
        <w:rPr>
          <w:rFonts w:ascii="Arial" w:hAnsi="Arial" w:cs="Arial"/>
          <w:bCs/>
          <w:sz w:val="24"/>
          <w:szCs w:val="24"/>
        </w:rPr>
        <w:t>revised</w:t>
      </w:r>
      <w:r w:rsidR="00A2278E" w:rsidRPr="0099579E">
        <w:rPr>
          <w:rFonts w:ascii="Arial" w:hAnsi="Arial" w:cs="Arial"/>
          <w:bCs/>
          <w:sz w:val="24"/>
          <w:szCs w:val="24"/>
        </w:rPr>
        <w:t xml:space="preserve"> to assist the reader</w:t>
      </w:r>
      <w:r w:rsidR="00A2278E">
        <w:rPr>
          <w:rFonts w:ascii="Arial" w:hAnsi="Arial" w:cs="Arial"/>
          <w:bCs/>
          <w:sz w:val="24"/>
          <w:szCs w:val="24"/>
        </w:rPr>
        <w:t xml:space="preserve"> of the Bill and to help inform debate.</w:t>
      </w:r>
      <w:r w:rsidR="00A2278E" w:rsidRPr="0099579E">
        <w:rPr>
          <w:rFonts w:ascii="Arial" w:hAnsi="Arial" w:cs="Arial"/>
          <w:bCs/>
          <w:sz w:val="24"/>
          <w:szCs w:val="24"/>
        </w:rPr>
        <w:t xml:space="preserve"> It does not form part of the Bill</w:t>
      </w:r>
      <w:r w:rsidR="00A2278E">
        <w:rPr>
          <w:rFonts w:ascii="Arial" w:hAnsi="Arial" w:cs="Arial"/>
          <w:bCs/>
          <w:sz w:val="24"/>
          <w:szCs w:val="24"/>
        </w:rPr>
        <w:t xml:space="preserve"> and has not been endorsed by the Legislative Assembly</w:t>
      </w:r>
      <w:r w:rsidR="00A2278E" w:rsidRPr="0099579E">
        <w:rPr>
          <w:rFonts w:ascii="Arial" w:hAnsi="Arial" w:cs="Arial"/>
          <w:bCs/>
          <w:sz w:val="24"/>
          <w:szCs w:val="24"/>
        </w:rPr>
        <w:t>.</w:t>
      </w:r>
    </w:p>
    <w:p w14:paraId="2140EB00" w14:textId="77777777" w:rsidR="00D33519" w:rsidRPr="00D33519" w:rsidRDefault="00D33519" w:rsidP="00D33519">
      <w:pPr>
        <w:spacing w:after="0"/>
        <w:contextualSpacing/>
        <w:rPr>
          <w:rFonts w:ascii="Arial" w:hAnsi="Arial" w:cs="Arial"/>
          <w:bCs/>
          <w:sz w:val="24"/>
          <w:szCs w:val="24"/>
        </w:rPr>
      </w:pPr>
    </w:p>
    <w:p w14:paraId="0A6B264E" w14:textId="77777777" w:rsidR="00A2278E" w:rsidRPr="0099579E" w:rsidRDefault="00A2278E" w:rsidP="00A2278E">
      <w:pPr>
        <w:spacing w:after="0"/>
        <w:contextualSpacing/>
        <w:rPr>
          <w:rFonts w:ascii="Arial" w:hAnsi="Arial" w:cs="Arial"/>
          <w:bCs/>
          <w:sz w:val="24"/>
          <w:szCs w:val="24"/>
        </w:rPr>
      </w:pPr>
      <w:r w:rsidRPr="0099579E">
        <w:rPr>
          <w:rFonts w:ascii="Arial" w:hAnsi="Arial" w:cs="Arial"/>
          <w:bCs/>
          <w:sz w:val="24"/>
          <w:szCs w:val="24"/>
        </w:rPr>
        <w:t>The statement is to be read in conjunction with the Bill</w:t>
      </w:r>
      <w:r>
        <w:rPr>
          <w:rFonts w:ascii="Arial" w:hAnsi="Arial" w:cs="Arial"/>
          <w:bCs/>
          <w:sz w:val="24"/>
          <w:szCs w:val="24"/>
        </w:rPr>
        <w:t xml:space="preserve"> and the explanatory statement prepared in support of the Bill, as introduced in the Legislative Assembly on </w:t>
      </w:r>
      <w:r w:rsidRPr="00E901F7">
        <w:rPr>
          <w:rFonts w:ascii="Arial" w:hAnsi="Arial" w:cs="Arial"/>
          <w:bCs/>
          <w:sz w:val="24"/>
          <w:szCs w:val="24"/>
        </w:rPr>
        <w:t>14 May 2024</w:t>
      </w:r>
      <w:r>
        <w:rPr>
          <w:rFonts w:ascii="Arial" w:hAnsi="Arial" w:cs="Arial"/>
          <w:bCs/>
          <w:sz w:val="24"/>
          <w:szCs w:val="24"/>
        </w:rPr>
        <w:t xml:space="preserve">. </w:t>
      </w:r>
      <w:r w:rsidRPr="0099579E">
        <w:rPr>
          <w:rFonts w:ascii="Arial" w:hAnsi="Arial" w:cs="Arial"/>
          <w:bCs/>
          <w:sz w:val="24"/>
          <w:szCs w:val="24"/>
        </w:rPr>
        <w:t>It is not</w:t>
      </w:r>
      <w:r>
        <w:rPr>
          <w:rFonts w:ascii="Arial" w:hAnsi="Arial" w:cs="Arial"/>
          <w:bCs/>
          <w:sz w:val="24"/>
          <w:szCs w:val="24"/>
        </w:rPr>
        <w:t>, and is not meant to be, a comprehensive description of the amendments.</w:t>
      </w:r>
      <w:r w:rsidRPr="0099579E">
        <w:rPr>
          <w:rFonts w:ascii="Arial" w:hAnsi="Arial" w:cs="Arial"/>
          <w:bCs/>
          <w:sz w:val="24"/>
          <w:szCs w:val="24"/>
        </w:rPr>
        <w:t xml:space="preserve"> </w:t>
      </w:r>
      <w:r>
        <w:rPr>
          <w:rFonts w:ascii="Arial" w:hAnsi="Arial" w:cs="Arial"/>
          <w:bCs/>
          <w:sz w:val="24"/>
          <w:szCs w:val="24"/>
        </w:rPr>
        <w:t>What is said about a provision is not to be taken as an authoritative guide to the meaning of a provision, this being a task for the courts.</w:t>
      </w:r>
    </w:p>
    <w:p w14:paraId="2BBD5AB0" w14:textId="77777777" w:rsidR="00D33519" w:rsidRPr="00D33519" w:rsidRDefault="00D33519" w:rsidP="00D33519">
      <w:pPr>
        <w:spacing w:after="0"/>
        <w:contextualSpacing/>
        <w:rPr>
          <w:rFonts w:ascii="Arial" w:hAnsi="Arial" w:cs="Arial"/>
          <w:bCs/>
          <w:sz w:val="24"/>
          <w:szCs w:val="24"/>
        </w:rPr>
      </w:pPr>
    </w:p>
    <w:p w14:paraId="04010BFE" w14:textId="1C331DC3" w:rsidR="00E90DF9" w:rsidRPr="00834FC9" w:rsidRDefault="00E90DF9" w:rsidP="00E90DF9">
      <w:pPr>
        <w:spacing w:after="0"/>
        <w:contextualSpacing/>
        <w:rPr>
          <w:rFonts w:ascii="Arial" w:hAnsi="Arial" w:cs="Arial"/>
          <w:bCs/>
          <w:sz w:val="24"/>
          <w:szCs w:val="24"/>
        </w:rPr>
      </w:pPr>
      <w:r w:rsidRPr="00834FC9">
        <w:rPr>
          <w:rFonts w:ascii="Arial" w:hAnsi="Arial" w:cs="Arial"/>
          <w:bCs/>
          <w:sz w:val="24"/>
          <w:szCs w:val="24"/>
        </w:rPr>
        <w:t xml:space="preserve">The </w:t>
      </w:r>
      <w:r w:rsidR="00B75F54">
        <w:rPr>
          <w:rFonts w:ascii="Arial" w:hAnsi="Arial" w:cs="Arial"/>
          <w:bCs/>
          <w:sz w:val="24"/>
          <w:szCs w:val="24"/>
        </w:rPr>
        <w:t>B</w:t>
      </w:r>
      <w:r w:rsidRPr="00834FC9">
        <w:rPr>
          <w:rFonts w:ascii="Arial" w:hAnsi="Arial" w:cs="Arial"/>
          <w:bCs/>
          <w:sz w:val="24"/>
          <w:szCs w:val="24"/>
        </w:rPr>
        <w:t xml:space="preserve">ill </w:t>
      </w:r>
      <w:r w:rsidRPr="004D3C23">
        <w:rPr>
          <w:rFonts w:ascii="Arial" w:hAnsi="Arial" w:cs="Arial"/>
          <w:bCs/>
          <w:sz w:val="24"/>
          <w:szCs w:val="24"/>
        </w:rPr>
        <w:t>is not</w:t>
      </w:r>
      <w:r w:rsidRPr="00834FC9">
        <w:rPr>
          <w:rFonts w:ascii="Arial" w:hAnsi="Arial" w:cs="Arial"/>
          <w:bCs/>
          <w:sz w:val="24"/>
          <w:szCs w:val="24"/>
        </w:rPr>
        <w:t xml:space="preserve"> a Significant Bill. </w:t>
      </w:r>
      <w:r w:rsidR="004D3C23">
        <w:rPr>
          <w:rFonts w:ascii="Arial" w:hAnsi="Arial" w:cs="Arial"/>
          <w:bCs/>
          <w:sz w:val="24"/>
          <w:szCs w:val="24"/>
        </w:rPr>
        <w:t>It has</w:t>
      </w:r>
      <w:r>
        <w:rPr>
          <w:rFonts w:ascii="Arial" w:hAnsi="Arial" w:cs="Arial"/>
          <w:bCs/>
          <w:sz w:val="24"/>
          <w:szCs w:val="24"/>
        </w:rPr>
        <w:t xml:space="preserve"> been assessed</w:t>
      </w:r>
      <w:r w:rsidRPr="00834FC9">
        <w:rPr>
          <w:rFonts w:ascii="Arial" w:hAnsi="Arial" w:cs="Arial"/>
          <w:bCs/>
          <w:sz w:val="24"/>
          <w:szCs w:val="24"/>
        </w:rPr>
        <w:t xml:space="preserve"> as</w:t>
      </w:r>
      <w:r w:rsidR="004D3C23">
        <w:rPr>
          <w:rFonts w:ascii="Arial" w:hAnsi="Arial" w:cs="Arial"/>
          <w:bCs/>
          <w:sz w:val="24"/>
          <w:szCs w:val="24"/>
        </w:rPr>
        <w:t xml:space="preserve"> not</w:t>
      </w:r>
      <w:r w:rsidRPr="00834FC9">
        <w:rPr>
          <w:rFonts w:ascii="Arial" w:hAnsi="Arial" w:cs="Arial"/>
          <w:bCs/>
          <w:sz w:val="24"/>
          <w:szCs w:val="24"/>
        </w:rPr>
        <w:t xml:space="preserve">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w:t>
      </w:r>
      <w:r w:rsidR="004D3C23">
        <w:rPr>
          <w:rFonts w:ascii="Arial" w:hAnsi="Arial" w:cs="Arial"/>
          <w:bCs/>
          <w:sz w:val="24"/>
          <w:szCs w:val="24"/>
        </w:rPr>
        <w:t xml:space="preserve">therefore does not </w:t>
      </w:r>
      <w:r w:rsidRPr="00834FC9">
        <w:rPr>
          <w:rFonts w:ascii="Arial" w:hAnsi="Arial" w:cs="Arial"/>
          <w:bCs/>
          <w:sz w:val="24"/>
          <w:szCs w:val="24"/>
        </w:rPr>
        <w:t xml:space="preserve">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735CFA3" w14:textId="77777777" w:rsidR="00E90DF9" w:rsidRPr="00834FC9" w:rsidRDefault="00E90DF9" w:rsidP="00E90DF9">
      <w:pPr>
        <w:spacing w:after="0"/>
        <w:rPr>
          <w:rFonts w:ascii="Arial" w:hAnsi="Arial" w:cs="Arial"/>
          <w:bCs/>
          <w:sz w:val="24"/>
          <w:szCs w:val="24"/>
          <w:highlight w:val="yellow"/>
        </w:rPr>
      </w:pPr>
    </w:p>
    <w:p w14:paraId="266B7B2E" w14:textId="77777777" w:rsidR="00E90DF9" w:rsidRDefault="00E90DF9" w:rsidP="00E90DF9">
      <w:pPr>
        <w:pStyle w:val="Heading2"/>
      </w:pPr>
      <w:r>
        <w:t>OVERVIEW OF THE BILL</w:t>
      </w:r>
    </w:p>
    <w:p w14:paraId="6925C9A5" w14:textId="04E39755" w:rsidR="0085608B" w:rsidRDefault="0085608B" w:rsidP="00E90DF9">
      <w:pPr>
        <w:spacing w:after="120"/>
        <w:ind w:right="-45"/>
        <w:rPr>
          <w:rFonts w:ascii="Arial" w:hAnsi="Arial" w:cs="Arial"/>
          <w:bCs/>
          <w:color w:val="000000" w:themeColor="text1"/>
          <w:sz w:val="24"/>
          <w:szCs w:val="24"/>
        </w:rPr>
      </w:pPr>
      <w:r w:rsidRPr="00834FC9">
        <w:rPr>
          <w:rFonts w:ascii="Arial" w:hAnsi="Arial" w:cs="Arial"/>
          <w:bCs/>
          <w:sz w:val="24"/>
          <w:szCs w:val="24"/>
        </w:rPr>
        <w:t xml:space="preserve">The </w:t>
      </w:r>
      <w:r w:rsidR="00B75F54">
        <w:rPr>
          <w:rFonts w:ascii="Arial" w:hAnsi="Arial" w:cs="Arial"/>
          <w:bCs/>
          <w:sz w:val="24"/>
          <w:szCs w:val="24"/>
        </w:rPr>
        <w:t>B</w:t>
      </w:r>
      <w:r w:rsidRPr="00834FC9">
        <w:rPr>
          <w:rFonts w:ascii="Arial" w:hAnsi="Arial" w:cs="Arial"/>
          <w:bCs/>
          <w:sz w:val="24"/>
          <w:szCs w:val="24"/>
        </w:rPr>
        <w:t>ill</w:t>
      </w:r>
      <w:r>
        <w:rPr>
          <w:rFonts w:ascii="Arial" w:hAnsi="Arial" w:cs="Arial"/>
          <w:bCs/>
          <w:sz w:val="24"/>
          <w:szCs w:val="24"/>
        </w:rPr>
        <w:t xml:space="preserve"> address</w:t>
      </w:r>
      <w:r w:rsidR="00FF47B5">
        <w:rPr>
          <w:rFonts w:ascii="Arial" w:hAnsi="Arial" w:cs="Arial"/>
          <w:bCs/>
          <w:sz w:val="24"/>
          <w:szCs w:val="24"/>
        </w:rPr>
        <w:t>es</w:t>
      </w:r>
      <w:r>
        <w:rPr>
          <w:rFonts w:ascii="Arial" w:hAnsi="Arial" w:cs="Arial"/>
          <w:bCs/>
          <w:sz w:val="24"/>
          <w:szCs w:val="24"/>
        </w:rPr>
        <w:t xml:space="preserve"> a range of minor issues identified during </w:t>
      </w:r>
      <w:r w:rsidR="00FF47B5">
        <w:rPr>
          <w:rFonts w:ascii="Arial" w:hAnsi="Arial" w:cs="Arial"/>
          <w:bCs/>
          <w:sz w:val="24"/>
          <w:szCs w:val="24"/>
        </w:rPr>
        <w:t xml:space="preserve">an initial </w:t>
      </w:r>
      <w:r>
        <w:rPr>
          <w:rFonts w:ascii="Arial" w:hAnsi="Arial" w:cs="Arial"/>
          <w:bCs/>
          <w:sz w:val="24"/>
          <w:szCs w:val="24"/>
        </w:rPr>
        <w:t xml:space="preserve">strategic review of the </w:t>
      </w:r>
      <w:r w:rsidRPr="0085608B">
        <w:rPr>
          <w:rFonts w:ascii="Arial" w:hAnsi="Arial" w:cs="Arial"/>
          <w:bCs/>
          <w:i/>
          <w:iCs/>
          <w:sz w:val="24"/>
          <w:szCs w:val="24"/>
        </w:rPr>
        <w:t>Environment Protection Act 1997</w:t>
      </w:r>
      <w:r w:rsidR="00FF47B5">
        <w:rPr>
          <w:rFonts w:ascii="Arial" w:hAnsi="Arial" w:cs="Arial"/>
          <w:bCs/>
          <w:sz w:val="24"/>
          <w:szCs w:val="24"/>
        </w:rPr>
        <w:t xml:space="preserve">, </w:t>
      </w:r>
      <w:r w:rsidR="00A831DF">
        <w:rPr>
          <w:rFonts w:ascii="Arial" w:hAnsi="Arial" w:cs="Arial"/>
          <w:bCs/>
          <w:sz w:val="24"/>
          <w:szCs w:val="24"/>
        </w:rPr>
        <w:t xml:space="preserve">along with </w:t>
      </w:r>
      <w:r w:rsidR="00FF47B5">
        <w:rPr>
          <w:rFonts w:ascii="Arial" w:hAnsi="Arial" w:cs="Arial"/>
          <w:bCs/>
          <w:sz w:val="24"/>
          <w:szCs w:val="24"/>
        </w:rPr>
        <w:t xml:space="preserve">the policy, regulation and administration </w:t>
      </w:r>
      <w:r w:rsidR="00B75F54">
        <w:rPr>
          <w:rFonts w:ascii="Arial" w:hAnsi="Arial" w:cs="Arial"/>
          <w:bCs/>
          <w:sz w:val="24"/>
          <w:szCs w:val="24"/>
        </w:rPr>
        <w:t xml:space="preserve">by </w:t>
      </w:r>
      <w:r w:rsidR="00FF47B5">
        <w:rPr>
          <w:rFonts w:ascii="Arial" w:hAnsi="Arial" w:cs="Arial"/>
          <w:bCs/>
          <w:sz w:val="24"/>
          <w:szCs w:val="24"/>
        </w:rPr>
        <w:t xml:space="preserve">the Environment </w:t>
      </w:r>
      <w:r w:rsidR="00FF47B5" w:rsidRPr="005E253A">
        <w:rPr>
          <w:rFonts w:ascii="Arial" w:hAnsi="Arial" w:cs="Arial"/>
          <w:bCs/>
          <w:color w:val="000000" w:themeColor="text1"/>
          <w:sz w:val="24"/>
          <w:szCs w:val="24"/>
        </w:rPr>
        <w:t xml:space="preserve">Protection Authority (the </w:t>
      </w:r>
      <w:r w:rsidR="00B75F54">
        <w:rPr>
          <w:rFonts w:ascii="Arial" w:hAnsi="Arial" w:cs="Arial"/>
          <w:bCs/>
          <w:color w:val="000000" w:themeColor="text1"/>
          <w:sz w:val="24"/>
          <w:szCs w:val="24"/>
        </w:rPr>
        <w:t>A</w:t>
      </w:r>
      <w:r w:rsidR="00FF47B5" w:rsidRPr="005E253A">
        <w:rPr>
          <w:rFonts w:ascii="Arial" w:hAnsi="Arial" w:cs="Arial"/>
          <w:bCs/>
          <w:color w:val="000000" w:themeColor="text1"/>
          <w:sz w:val="24"/>
          <w:szCs w:val="24"/>
        </w:rPr>
        <w:t>uthority)</w:t>
      </w:r>
      <w:r w:rsidRPr="005E253A">
        <w:rPr>
          <w:rFonts w:ascii="Arial" w:hAnsi="Arial" w:cs="Arial"/>
          <w:bCs/>
          <w:color w:val="000000" w:themeColor="text1"/>
          <w:sz w:val="24"/>
          <w:szCs w:val="24"/>
        </w:rPr>
        <w:t xml:space="preserve">. That review also identified similar issues in the </w:t>
      </w:r>
      <w:r w:rsidRPr="005E253A">
        <w:rPr>
          <w:rFonts w:ascii="Arial" w:hAnsi="Arial" w:cs="Arial"/>
          <w:bCs/>
          <w:i/>
          <w:iCs/>
          <w:color w:val="000000" w:themeColor="text1"/>
          <w:sz w:val="24"/>
          <w:szCs w:val="24"/>
        </w:rPr>
        <w:t>Water Resources Act 2007</w:t>
      </w:r>
      <w:r w:rsidRPr="005E253A">
        <w:rPr>
          <w:rFonts w:ascii="Arial" w:hAnsi="Arial" w:cs="Arial"/>
          <w:bCs/>
          <w:color w:val="000000" w:themeColor="text1"/>
          <w:sz w:val="24"/>
          <w:szCs w:val="24"/>
        </w:rPr>
        <w:t xml:space="preserve"> (WR Act), that the </w:t>
      </w:r>
      <w:r w:rsidR="00B75F54">
        <w:rPr>
          <w:rFonts w:ascii="Arial" w:hAnsi="Arial" w:cs="Arial"/>
          <w:bCs/>
          <w:color w:val="000000" w:themeColor="text1"/>
          <w:sz w:val="24"/>
          <w:szCs w:val="24"/>
        </w:rPr>
        <w:t>A</w:t>
      </w:r>
      <w:r w:rsidRPr="005E253A">
        <w:rPr>
          <w:rFonts w:ascii="Arial" w:hAnsi="Arial" w:cs="Arial"/>
          <w:bCs/>
          <w:color w:val="000000" w:themeColor="text1"/>
          <w:sz w:val="24"/>
          <w:szCs w:val="24"/>
        </w:rPr>
        <w:t xml:space="preserve">uthority also </w:t>
      </w:r>
      <w:r w:rsidR="00B75F54">
        <w:rPr>
          <w:rFonts w:ascii="Arial" w:hAnsi="Arial" w:cs="Arial"/>
          <w:bCs/>
          <w:color w:val="000000" w:themeColor="text1"/>
          <w:sz w:val="24"/>
          <w:szCs w:val="24"/>
        </w:rPr>
        <w:t>administers</w:t>
      </w:r>
      <w:r w:rsidRPr="005E253A">
        <w:rPr>
          <w:rFonts w:ascii="Arial" w:hAnsi="Arial" w:cs="Arial"/>
          <w:bCs/>
          <w:color w:val="000000" w:themeColor="text1"/>
          <w:sz w:val="24"/>
          <w:szCs w:val="24"/>
        </w:rPr>
        <w:t>.</w:t>
      </w:r>
      <w:r w:rsidR="00573824" w:rsidRPr="005E253A">
        <w:rPr>
          <w:rFonts w:ascii="Arial" w:hAnsi="Arial" w:cs="Arial"/>
          <w:bCs/>
          <w:color w:val="000000" w:themeColor="text1"/>
          <w:sz w:val="24"/>
          <w:szCs w:val="24"/>
        </w:rPr>
        <w:t xml:space="preserve"> The </w:t>
      </w:r>
      <w:r w:rsidR="00B75F54">
        <w:rPr>
          <w:rFonts w:ascii="Arial" w:hAnsi="Arial" w:cs="Arial"/>
          <w:bCs/>
          <w:color w:val="000000" w:themeColor="text1"/>
          <w:sz w:val="24"/>
          <w:szCs w:val="24"/>
        </w:rPr>
        <w:t>B</w:t>
      </w:r>
      <w:r w:rsidR="00573824" w:rsidRPr="005E253A">
        <w:rPr>
          <w:rFonts w:ascii="Arial" w:hAnsi="Arial" w:cs="Arial"/>
          <w:bCs/>
          <w:color w:val="000000" w:themeColor="text1"/>
          <w:sz w:val="24"/>
          <w:szCs w:val="24"/>
        </w:rPr>
        <w:t xml:space="preserve">ill amends both </w:t>
      </w:r>
      <w:r w:rsidR="007471DC">
        <w:rPr>
          <w:rFonts w:ascii="Arial" w:hAnsi="Arial" w:cs="Arial"/>
          <w:bCs/>
          <w:color w:val="000000" w:themeColor="text1"/>
          <w:sz w:val="24"/>
          <w:szCs w:val="24"/>
        </w:rPr>
        <w:t>A</w:t>
      </w:r>
      <w:r w:rsidR="00573824" w:rsidRPr="005E253A">
        <w:rPr>
          <w:rFonts w:ascii="Arial" w:hAnsi="Arial" w:cs="Arial"/>
          <w:bCs/>
          <w:color w:val="000000" w:themeColor="text1"/>
          <w:sz w:val="24"/>
          <w:szCs w:val="24"/>
        </w:rPr>
        <w:t xml:space="preserve">cts to ensure </w:t>
      </w:r>
      <w:r w:rsidR="00A831DF" w:rsidRPr="005E253A">
        <w:rPr>
          <w:rFonts w:ascii="Arial" w:hAnsi="Arial" w:cs="Arial"/>
          <w:bCs/>
          <w:color w:val="000000" w:themeColor="text1"/>
          <w:sz w:val="24"/>
          <w:szCs w:val="24"/>
        </w:rPr>
        <w:t>consistency in</w:t>
      </w:r>
      <w:r w:rsidR="00573824" w:rsidRPr="005E253A">
        <w:rPr>
          <w:rFonts w:ascii="Arial" w:hAnsi="Arial" w:cs="Arial"/>
          <w:bCs/>
          <w:color w:val="000000" w:themeColor="text1"/>
          <w:sz w:val="24"/>
          <w:szCs w:val="24"/>
        </w:rPr>
        <w:t xml:space="preserve"> protection of the environment</w:t>
      </w:r>
      <w:r w:rsidR="00B75F54">
        <w:rPr>
          <w:rFonts w:ascii="Arial" w:hAnsi="Arial" w:cs="Arial"/>
          <w:bCs/>
          <w:color w:val="000000" w:themeColor="text1"/>
          <w:sz w:val="24"/>
          <w:szCs w:val="24"/>
        </w:rPr>
        <w:t xml:space="preserve"> and our water resources</w:t>
      </w:r>
      <w:r w:rsidR="00573824" w:rsidRPr="005E253A">
        <w:rPr>
          <w:rFonts w:ascii="Arial" w:hAnsi="Arial" w:cs="Arial"/>
          <w:bCs/>
          <w:color w:val="000000" w:themeColor="text1"/>
          <w:sz w:val="24"/>
          <w:szCs w:val="24"/>
        </w:rPr>
        <w:t>.</w:t>
      </w:r>
    </w:p>
    <w:p w14:paraId="186E6EF3" w14:textId="41A022A9" w:rsidR="005E253A" w:rsidRPr="005E253A" w:rsidRDefault="005E253A" w:rsidP="00E90DF9">
      <w:pPr>
        <w:spacing w:after="120"/>
        <w:ind w:right="-45"/>
        <w:rPr>
          <w:rFonts w:ascii="Arial" w:hAnsi="Arial" w:cs="Arial"/>
          <w:i/>
          <w:color w:val="000000" w:themeColor="text1"/>
          <w:sz w:val="24"/>
          <w:szCs w:val="24"/>
        </w:rPr>
      </w:pPr>
      <w:r>
        <w:rPr>
          <w:rFonts w:ascii="Arial" w:hAnsi="Arial" w:cs="Arial"/>
          <w:bCs/>
          <w:color w:val="000000" w:themeColor="text1"/>
          <w:sz w:val="24"/>
          <w:szCs w:val="24"/>
        </w:rPr>
        <w:t xml:space="preserve">The </w:t>
      </w:r>
      <w:r w:rsidR="00B75F54">
        <w:rPr>
          <w:rFonts w:ascii="Arial" w:hAnsi="Arial" w:cs="Arial"/>
          <w:bCs/>
          <w:color w:val="000000" w:themeColor="text1"/>
          <w:sz w:val="24"/>
          <w:szCs w:val="24"/>
        </w:rPr>
        <w:t>B</w:t>
      </w:r>
      <w:r>
        <w:rPr>
          <w:rFonts w:ascii="Arial" w:hAnsi="Arial" w:cs="Arial"/>
          <w:bCs/>
          <w:color w:val="000000" w:themeColor="text1"/>
          <w:sz w:val="24"/>
          <w:szCs w:val="24"/>
        </w:rPr>
        <w:t xml:space="preserve">ill also adds an offence for installing a wood heater that does not comply with </w:t>
      </w:r>
      <w:r w:rsidR="00B75F54">
        <w:rPr>
          <w:rFonts w:ascii="Arial" w:hAnsi="Arial" w:cs="Arial"/>
          <w:bCs/>
          <w:color w:val="000000" w:themeColor="text1"/>
          <w:sz w:val="24"/>
          <w:szCs w:val="24"/>
        </w:rPr>
        <w:t xml:space="preserve">current </w:t>
      </w:r>
      <w:r>
        <w:rPr>
          <w:rFonts w:ascii="Arial" w:hAnsi="Arial" w:cs="Arial"/>
          <w:bCs/>
          <w:color w:val="000000" w:themeColor="text1"/>
          <w:sz w:val="24"/>
          <w:szCs w:val="24"/>
        </w:rPr>
        <w:t>emissions standards</w:t>
      </w:r>
      <w:r w:rsidR="00B75F54">
        <w:rPr>
          <w:rFonts w:ascii="Arial" w:hAnsi="Arial" w:cs="Arial"/>
          <w:bCs/>
          <w:color w:val="000000" w:themeColor="text1"/>
          <w:sz w:val="24"/>
          <w:szCs w:val="24"/>
        </w:rPr>
        <w:t xml:space="preserve"> for sale of a wood heater</w:t>
      </w:r>
      <w:r>
        <w:rPr>
          <w:rFonts w:ascii="Arial" w:hAnsi="Arial" w:cs="Arial"/>
          <w:bCs/>
          <w:color w:val="000000" w:themeColor="text1"/>
          <w:sz w:val="24"/>
          <w:szCs w:val="24"/>
        </w:rPr>
        <w:t xml:space="preserve">. This complements the existing offence of selling a </w:t>
      </w:r>
      <w:r w:rsidR="007471DC">
        <w:rPr>
          <w:rFonts w:ascii="Arial" w:hAnsi="Arial" w:cs="Arial"/>
          <w:bCs/>
          <w:color w:val="000000" w:themeColor="text1"/>
          <w:sz w:val="24"/>
          <w:szCs w:val="24"/>
        </w:rPr>
        <w:t>non-compliant</w:t>
      </w:r>
      <w:r>
        <w:rPr>
          <w:rFonts w:ascii="Arial" w:hAnsi="Arial" w:cs="Arial"/>
          <w:bCs/>
          <w:color w:val="000000" w:themeColor="text1"/>
          <w:sz w:val="24"/>
          <w:szCs w:val="24"/>
        </w:rPr>
        <w:t xml:space="preserve"> wood heater.</w:t>
      </w:r>
    </w:p>
    <w:p w14:paraId="25E5EC3A" w14:textId="77777777" w:rsidR="00E90DF9" w:rsidRPr="005E253A" w:rsidRDefault="00E90DF9" w:rsidP="00DB659E">
      <w:pPr>
        <w:keepNext/>
        <w:rPr>
          <w:rFonts w:ascii="Arial" w:hAnsi="Arial" w:cs="Arial"/>
          <w:b/>
          <w:color w:val="000000" w:themeColor="text1"/>
          <w:sz w:val="24"/>
          <w:szCs w:val="24"/>
        </w:rPr>
      </w:pPr>
      <w:r w:rsidRPr="005E253A">
        <w:rPr>
          <w:rFonts w:ascii="Arial" w:hAnsi="Arial" w:cs="Arial"/>
          <w:b/>
          <w:color w:val="000000" w:themeColor="text1"/>
          <w:sz w:val="24"/>
          <w:szCs w:val="24"/>
        </w:rPr>
        <w:t>CONSULTATION ON THE PROPOSED APPROACH</w:t>
      </w:r>
    </w:p>
    <w:p w14:paraId="55AF8248" w14:textId="7605AA08" w:rsidR="00573824" w:rsidRPr="008B1411" w:rsidRDefault="00573824" w:rsidP="00573824">
      <w:pPr>
        <w:rPr>
          <w:rFonts w:ascii="Arial" w:hAnsi="Arial" w:cs="Arial"/>
          <w:i/>
          <w:color w:val="000000" w:themeColor="text1"/>
          <w:sz w:val="24"/>
          <w:szCs w:val="24"/>
        </w:rPr>
      </w:pPr>
      <w:r>
        <w:rPr>
          <w:rFonts w:ascii="Arial" w:hAnsi="Arial" w:cs="Arial"/>
          <w:bCs/>
          <w:sz w:val="24"/>
          <w:szCs w:val="24"/>
        </w:rPr>
        <w:t xml:space="preserve">The </w:t>
      </w:r>
      <w:r w:rsidR="00825FB3">
        <w:rPr>
          <w:rFonts w:ascii="Arial" w:hAnsi="Arial" w:cs="Arial"/>
          <w:bCs/>
          <w:sz w:val="24"/>
          <w:szCs w:val="24"/>
        </w:rPr>
        <w:t>A</w:t>
      </w:r>
      <w:r>
        <w:rPr>
          <w:rFonts w:ascii="Arial" w:hAnsi="Arial" w:cs="Arial"/>
          <w:bCs/>
          <w:sz w:val="24"/>
          <w:szCs w:val="24"/>
        </w:rPr>
        <w:t xml:space="preserve">uthority was closely consulted as the regulator </w:t>
      </w:r>
      <w:r w:rsidR="00E652F9">
        <w:rPr>
          <w:rFonts w:ascii="Arial" w:hAnsi="Arial" w:cs="Arial"/>
          <w:bCs/>
          <w:sz w:val="24"/>
          <w:szCs w:val="24"/>
        </w:rPr>
        <w:t>administering</w:t>
      </w:r>
      <w:r>
        <w:rPr>
          <w:rFonts w:ascii="Arial" w:hAnsi="Arial" w:cs="Arial"/>
          <w:bCs/>
          <w:sz w:val="24"/>
          <w:szCs w:val="24"/>
        </w:rPr>
        <w:t xml:space="preserve"> both acts.</w:t>
      </w:r>
      <w:r w:rsidR="00D20B0E">
        <w:rPr>
          <w:rFonts w:ascii="Arial" w:hAnsi="Arial" w:cs="Arial"/>
          <w:bCs/>
          <w:sz w:val="24"/>
          <w:szCs w:val="24"/>
        </w:rPr>
        <w:t xml:space="preserve"> Most amendments are technical in nature, do not constitute a policy change of the </w:t>
      </w:r>
      <w:r w:rsidR="00D20B0E" w:rsidRPr="008B1411">
        <w:rPr>
          <w:rFonts w:ascii="Arial" w:hAnsi="Arial" w:cs="Arial"/>
          <w:bCs/>
          <w:color w:val="000000" w:themeColor="text1"/>
          <w:sz w:val="24"/>
          <w:szCs w:val="24"/>
        </w:rPr>
        <w:t>Government, and</w:t>
      </w:r>
      <w:r w:rsidR="00AC36FF" w:rsidRPr="008B1411">
        <w:rPr>
          <w:rFonts w:ascii="Arial" w:hAnsi="Arial" w:cs="Arial"/>
          <w:bCs/>
          <w:color w:val="000000" w:themeColor="text1"/>
          <w:sz w:val="24"/>
          <w:szCs w:val="24"/>
        </w:rPr>
        <w:t>/or</w:t>
      </w:r>
      <w:r w:rsidR="00D20B0E" w:rsidRPr="008B1411">
        <w:rPr>
          <w:rFonts w:ascii="Arial" w:hAnsi="Arial" w:cs="Arial"/>
          <w:bCs/>
          <w:color w:val="000000" w:themeColor="text1"/>
          <w:sz w:val="24"/>
          <w:szCs w:val="24"/>
        </w:rPr>
        <w:t xml:space="preserve"> do not change rights and obligations.</w:t>
      </w:r>
    </w:p>
    <w:p w14:paraId="65D0D04C" w14:textId="2D990EE1" w:rsidR="00573824" w:rsidRDefault="007471DC" w:rsidP="00E90DF9">
      <w:pPr>
        <w:rPr>
          <w:rFonts w:ascii="Arial" w:hAnsi="Arial" w:cs="Arial"/>
          <w:bCs/>
          <w:sz w:val="24"/>
          <w:szCs w:val="24"/>
        </w:rPr>
      </w:pPr>
      <w:r>
        <w:rPr>
          <w:rFonts w:ascii="Arial" w:hAnsi="Arial" w:cs="Arial"/>
          <w:bCs/>
          <w:sz w:val="24"/>
          <w:szCs w:val="24"/>
        </w:rPr>
        <w:t>Wider</w:t>
      </w:r>
      <w:r w:rsidR="00573824">
        <w:rPr>
          <w:rFonts w:ascii="Arial" w:hAnsi="Arial" w:cs="Arial"/>
          <w:bCs/>
          <w:sz w:val="24"/>
          <w:szCs w:val="24"/>
        </w:rPr>
        <w:t xml:space="preserve"> community and industry consultation was </w:t>
      </w:r>
      <w:r>
        <w:rPr>
          <w:rFonts w:ascii="Arial" w:hAnsi="Arial" w:cs="Arial"/>
          <w:bCs/>
          <w:sz w:val="24"/>
          <w:szCs w:val="24"/>
        </w:rPr>
        <w:t xml:space="preserve">through the release </w:t>
      </w:r>
      <w:r w:rsidR="000E01F5">
        <w:rPr>
          <w:rFonts w:ascii="Arial" w:hAnsi="Arial" w:cs="Arial"/>
          <w:bCs/>
          <w:sz w:val="24"/>
          <w:szCs w:val="24"/>
        </w:rPr>
        <w:t xml:space="preserve">and implementation </w:t>
      </w:r>
      <w:r>
        <w:rPr>
          <w:rFonts w:ascii="Arial" w:hAnsi="Arial" w:cs="Arial"/>
          <w:bCs/>
          <w:sz w:val="24"/>
          <w:szCs w:val="24"/>
        </w:rPr>
        <w:t xml:space="preserve">of the </w:t>
      </w:r>
      <w:r w:rsidR="00573824">
        <w:rPr>
          <w:rFonts w:ascii="Arial" w:hAnsi="Arial" w:cs="Arial"/>
          <w:iCs/>
          <w:color w:val="000000" w:themeColor="text1"/>
          <w:sz w:val="24"/>
          <w:szCs w:val="24"/>
        </w:rPr>
        <w:t xml:space="preserve">ACT Government’s </w:t>
      </w:r>
      <w:r w:rsidR="00573824" w:rsidRPr="00A92964">
        <w:rPr>
          <w:rFonts w:ascii="Arial" w:hAnsi="Arial" w:cs="Arial"/>
          <w:i/>
          <w:color w:val="000000" w:themeColor="text1"/>
          <w:sz w:val="24"/>
          <w:szCs w:val="24"/>
        </w:rPr>
        <w:t>Bushfire Smoke and Air Quality Strategy 2021-2025</w:t>
      </w:r>
      <w:r>
        <w:rPr>
          <w:rFonts w:ascii="Arial" w:hAnsi="Arial" w:cs="Arial"/>
          <w:bCs/>
          <w:sz w:val="24"/>
          <w:szCs w:val="24"/>
        </w:rPr>
        <w:t xml:space="preserve"> which included the first action plan.</w:t>
      </w:r>
      <w:r w:rsidR="00573824">
        <w:rPr>
          <w:rFonts w:ascii="Arial" w:hAnsi="Arial" w:cs="Arial"/>
          <w:bCs/>
          <w:sz w:val="24"/>
          <w:szCs w:val="24"/>
        </w:rPr>
        <w:t xml:space="preserve"> The wood heater clauses of the </w:t>
      </w:r>
      <w:r w:rsidR="00B75F54">
        <w:rPr>
          <w:rFonts w:ascii="Arial" w:hAnsi="Arial" w:cs="Arial"/>
          <w:bCs/>
          <w:sz w:val="24"/>
          <w:szCs w:val="24"/>
        </w:rPr>
        <w:t>B</w:t>
      </w:r>
      <w:r w:rsidR="00573824">
        <w:rPr>
          <w:rFonts w:ascii="Arial" w:hAnsi="Arial" w:cs="Arial"/>
          <w:bCs/>
          <w:sz w:val="24"/>
          <w:szCs w:val="24"/>
        </w:rPr>
        <w:t>ill are consistent with that strategy.</w:t>
      </w:r>
    </w:p>
    <w:p w14:paraId="23CB6687" w14:textId="0B517A49" w:rsidR="00CF76B1" w:rsidRPr="005B0897" w:rsidRDefault="00CF76B1" w:rsidP="005B0897">
      <w:pPr>
        <w:rPr>
          <w:rFonts w:ascii="Arial" w:hAnsi="Arial" w:cs="Arial"/>
          <w:b/>
          <w:sz w:val="24"/>
          <w:szCs w:val="24"/>
        </w:rPr>
      </w:pPr>
      <w:r w:rsidRPr="005B0897">
        <w:rPr>
          <w:rFonts w:ascii="Arial" w:hAnsi="Arial" w:cs="Arial"/>
          <w:b/>
          <w:sz w:val="24"/>
          <w:szCs w:val="24"/>
        </w:rPr>
        <w:lastRenderedPageBreak/>
        <w:t>CLIMATE IMPACT</w:t>
      </w:r>
    </w:p>
    <w:p w14:paraId="136B1D57" w14:textId="77777777" w:rsidR="008B1411" w:rsidRPr="008B1411" w:rsidRDefault="008B1411" w:rsidP="008B1411">
      <w:pPr>
        <w:rPr>
          <w:rFonts w:ascii="Arial" w:hAnsi="Arial" w:cs="Arial"/>
          <w:bCs/>
          <w:color w:val="000000" w:themeColor="text1"/>
          <w:sz w:val="24"/>
          <w:szCs w:val="24"/>
        </w:rPr>
      </w:pPr>
      <w:r w:rsidRPr="008B1411">
        <w:rPr>
          <w:rFonts w:ascii="Arial" w:hAnsi="Arial" w:cs="Arial"/>
          <w:bCs/>
          <w:color w:val="000000" w:themeColor="text1"/>
          <w:sz w:val="24"/>
          <w:szCs w:val="24"/>
        </w:rPr>
        <w:t xml:space="preserve">Consideration of </w:t>
      </w:r>
      <w:r w:rsidRPr="00B75F54">
        <w:rPr>
          <w:rFonts w:ascii="Arial" w:hAnsi="Arial" w:cs="Arial"/>
          <w:bCs/>
          <w:i/>
          <w:iCs/>
          <w:color w:val="000000" w:themeColor="text1"/>
          <w:sz w:val="24"/>
          <w:szCs w:val="24"/>
        </w:rPr>
        <w:t>ecologically sustainable development</w:t>
      </w:r>
      <w:r w:rsidRPr="008B1411">
        <w:rPr>
          <w:rFonts w:ascii="Arial" w:hAnsi="Arial" w:cs="Arial"/>
          <w:bCs/>
          <w:color w:val="000000" w:themeColor="text1"/>
          <w:sz w:val="24"/>
          <w:szCs w:val="24"/>
        </w:rPr>
        <w:t xml:space="preserve"> in decision making will contribute to reducing environmental footprints and impacts on the environment, including impacts relating to climate change.</w:t>
      </w:r>
    </w:p>
    <w:p w14:paraId="6A8A6984" w14:textId="15B08A8A" w:rsidR="00A831DF" w:rsidRPr="008B1411" w:rsidRDefault="008B1411" w:rsidP="008B1411">
      <w:pPr>
        <w:rPr>
          <w:rFonts w:ascii="Arial" w:hAnsi="Arial" w:cs="Arial"/>
          <w:iCs/>
          <w:color w:val="000000" w:themeColor="text1"/>
          <w:sz w:val="24"/>
          <w:szCs w:val="24"/>
        </w:rPr>
      </w:pPr>
      <w:r w:rsidRPr="008B1411">
        <w:rPr>
          <w:rFonts w:ascii="Arial" w:hAnsi="Arial" w:cs="Arial"/>
          <w:iCs/>
          <w:color w:val="000000" w:themeColor="text1"/>
          <w:sz w:val="24"/>
          <w:szCs w:val="24"/>
        </w:rPr>
        <w:t>The reduction of emissions from</w:t>
      </w:r>
      <w:r>
        <w:rPr>
          <w:rFonts w:ascii="Arial" w:hAnsi="Arial" w:cs="Arial"/>
          <w:iCs/>
          <w:color w:val="000000" w:themeColor="text1"/>
          <w:sz w:val="24"/>
          <w:szCs w:val="24"/>
        </w:rPr>
        <w:t xml:space="preserve"> preventing installation of</w:t>
      </w:r>
      <w:r w:rsidRPr="008B1411">
        <w:rPr>
          <w:rFonts w:ascii="Arial" w:hAnsi="Arial" w:cs="Arial"/>
          <w:iCs/>
          <w:color w:val="000000" w:themeColor="text1"/>
          <w:sz w:val="24"/>
          <w:szCs w:val="24"/>
        </w:rPr>
        <w:t xml:space="preserve"> </w:t>
      </w:r>
      <w:r>
        <w:rPr>
          <w:rFonts w:ascii="Arial" w:hAnsi="Arial" w:cs="Arial"/>
          <w:iCs/>
          <w:color w:val="000000" w:themeColor="text1"/>
          <w:sz w:val="24"/>
          <w:szCs w:val="24"/>
        </w:rPr>
        <w:t xml:space="preserve">non-compliant </w:t>
      </w:r>
      <w:r w:rsidRPr="008B1411">
        <w:rPr>
          <w:rFonts w:ascii="Arial" w:hAnsi="Arial" w:cs="Arial"/>
          <w:iCs/>
          <w:color w:val="000000" w:themeColor="text1"/>
          <w:sz w:val="24"/>
          <w:szCs w:val="24"/>
        </w:rPr>
        <w:t>wood heaters will reduce climate change impacts by reducing emissions</w:t>
      </w:r>
      <w:r>
        <w:rPr>
          <w:rFonts w:ascii="Arial" w:hAnsi="Arial" w:cs="Arial"/>
          <w:iCs/>
          <w:color w:val="000000" w:themeColor="text1"/>
          <w:sz w:val="24"/>
          <w:szCs w:val="24"/>
        </w:rPr>
        <w:t xml:space="preserve"> including</w:t>
      </w:r>
      <w:r w:rsidRPr="008B1411">
        <w:rPr>
          <w:rFonts w:ascii="Arial" w:hAnsi="Arial" w:cs="Arial"/>
          <w:iCs/>
          <w:color w:val="000000" w:themeColor="text1"/>
          <w:sz w:val="24"/>
          <w:szCs w:val="24"/>
        </w:rPr>
        <w:t xml:space="preserve"> carbon black and other pollutants that contribute to climate change.</w:t>
      </w:r>
    </w:p>
    <w:p w14:paraId="1E002791" w14:textId="13B1C834" w:rsidR="00E90DF9" w:rsidRDefault="00E90DF9" w:rsidP="00E90DF9">
      <w:pPr>
        <w:pStyle w:val="Heading2"/>
      </w:pPr>
      <w:r>
        <w:t xml:space="preserve">CONSISTENCY WITH </w:t>
      </w:r>
      <w:r w:rsidRPr="008C225D">
        <w:t>HUMAN RIGHTS</w:t>
      </w:r>
    </w:p>
    <w:p w14:paraId="3AA827AB" w14:textId="77777777" w:rsidR="00E90DF9" w:rsidRPr="00414921" w:rsidRDefault="00E90DF9" w:rsidP="00E90DF9">
      <w:pPr>
        <w:rPr>
          <w:rFonts w:ascii="Arial" w:hAnsi="Arial" w:cs="Arial"/>
          <w:b/>
          <w:bCs/>
          <w:iCs/>
          <w:sz w:val="24"/>
          <w:szCs w:val="24"/>
        </w:rPr>
      </w:pPr>
      <w:r w:rsidRPr="00414921">
        <w:rPr>
          <w:rFonts w:ascii="Arial" w:hAnsi="Arial" w:cs="Arial"/>
          <w:b/>
          <w:bCs/>
          <w:iCs/>
          <w:sz w:val="24"/>
          <w:szCs w:val="24"/>
        </w:rPr>
        <w:t>Rights engaged</w:t>
      </w:r>
    </w:p>
    <w:p w14:paraId="197CF432" w14:textId="4F372478" w:rsidR="00326889" w:rsidRDefault="009603C4" w:rsidP="009603C4">
      <w:pPr>
        <w:spacing w:after="0"/>
        <w:contextualSpacing/>
        <w:rPr>
          <w:rFonts w:ascii="Arial" w:hAnsi="Arial" w:cs="Arial"/>
          <w:bCs/>
          <w:sz w:val="24"/>
          <w:szCs w:val="24"/>
        </w:rPr>
      </w:pPr>
      <w:r w:rsidRPr="009603C4">
        <w:rPr>
          <w:rFonts w:ascii="Arial" w:hAnsi="Arial" w:cs="Arial"/>
          <w:bCs/>
          <w:sz w:val="24"/>
          <w:szCs w:val="24"/>
        </w:rPr>
        <w:t xml:space="preserve">The </w:t>
      </w:r>
      <w:r w:rsidR="00B75F54">
        <w:rPr>
          <w:rFonts w:ascii="Arial" w:hAnsi="Arial" w:cs="Arial"/>
          <w:bCs/>
          <w:sz w:val="24"/>
          <w:szCs w:val="24"/>
        </w:rPr>
        <w:t>B</w:t>
      </w:r>
      <w:r w:rsidRPr="009603C4">
        <w:rPr>
          <w:rFonts w:ascii="Arial" w:hAnsi="Arial" w:cs="Arial"/>
          <w:bCs/>
          <w:sz w:val="24"/>
          <w:szCs w:val="24"/>
        </w:rPr>
        <w:t xml:space="preserve">ill engages Cultural and other rights of Aboriginal and Torres Strait Islander peoples and other minorities (section 27 of the </w:t>
      </w:r>
      <w:r w:rsidRPr="009603C4">
        <w:rPr>
          <w:rFonts w:ascii="Arial" w:hAnsi="Arial" w:cs="Arial"/>
          <w:bCs/>
          <w:i/>
          <w:iCs/>
          <w:sz w:val="24"/>
          <w:szCs w:val="24"/>
        </w:rPr>
        <w:t>Human Rights Act 2004</w:t>
      </w:r>
      <w:r w:rsidRPr="009603C4">
        <w:rPr>
          <w:rFonts w:ascii="Arial" w:hAnsi="Arial" w:cs="Arial"/>
          <w:bCs/>
          <w:sz w:val="24"/>
          <w:szCs w:val="24"/>
        </w:rPr>
        <w:t>)</w:t>
      </w:r>
      <w:r w:rsidR="008B1411">
        <w:rPr>
          <w:rFonts w:ascii="Arial" w:hAnsi="Arial" w:cs="Arial"/>
          <w:bCs/>
          <w:sz w:val="24"/>
          <w:szCs w:val="24"/>
        </w:rPr>
        <w:t>,</w:t>
      </w:r>
      <w:r w:rsidRPr="009603C4">
        <w:rPr>
          <w:rFonts w:ascii="Arial" w:hAnsi="Arial" w:cs="Arial"/>
          <w:bCs/>
          <w:sz w:val="24"/>
          <w:szCs w:val="24"/>
        </w:rPr>
        <w:t xml:space="preserve"> the Right to Privacy and Reputation (section 12 of the </w:t>
      </w:r>
      <w:r w:rsidRPr="009603C4">
        <w:rPr>
          <w:rFonts w:ascii="Arial" w:hAnsi="Arial" w:cs="Arial"/>
          <w:bCs/>
          <w:i/>
          <w:iCs/>
          <w:sz w:val="24"/>
          <w:szCs w:val="24"/>
        </w:rPr>
        <w:t>Human Rights Act 2004</w:t>
      </w:r>
      <w:r w:rsidRPr="009603C4">
        <w:rPr>
          <w:rFonts w:ascii="Arial" w:hAnsi="Arial" w:cs="Arial"/>
          <w:bCs/>
          <w:sz w:val="24"/>
          <w:szCs w:val="24"/>
        </w:rPr>
        <w:t>)</w:t>
      </w:r>
      <w:r w:rsidR="008B1411">
        <w:rPr>
          <w:rFonts w:ascii="Arial" w:hAnsi="Arial" w:cs="Arial"/>
          <w:bCs/>
          <w:sz w:val="24"/>
          <w:szCs w:val="24"/>
        </w:rPr>
        <w:t xml:space="preserve">, and the Right to Freedom of Expression (section 16 of the </w:t>
      </w:r>
      <w:r w:rsidR="008B1411">
        <w:rPr>
          <w:rFonts w:ascii="Arial" w:hAnsi="Arial" w:cs="Arial"/>
          <w:bCs/>
          <w:i/>
          <w:iCs/>
          <w:sz w:val="24"/>
          <w:szCs w:val="24"/>
        </w:rPr>
        <w:t>Human Rights Act 2004</w:t>
      </w:r>
      <w:r w:rsidR="008B1411">
        <w:rPr>
          <w:rFonts w:ascii="Arial" w:hAnsi="Arial" w:cs="Arial"/>
          <w:bCs/>
          <w:sz w:val="24"/>
          <w:szCs w:val="24"/>
        </w:rPr>
        <w:t>)</w:t>
      </w:r>
      <w:r w:rsidRPr="009603C4">
        <w:rPr>
          <w:rFonts w:ascii="Arial" w:hAnsi="Arial" w:cs="Arial"/>
          <w:bCs/>
          <w:sz w:val="24"/>
          <w:szCs w:val="24"/>
        </w:rPr>
        <w:t>.</w:t>
      </w:r>
      <w:r w:rsidR="006F4C35">
        <w:rPr>
          <w:rFonts w:ascii="Arial" w:hAnsi="Arial" w:cs="Arial"/>
          <w:bCs/>
          <w:sz w:val="24"/>
          <w:szCs w:val="24"/>
        </w:rPr>
        <w:t xml:space="preserve"> </w:t>
      </w:r>
    </w:p>
    <w:p w14:paraId="40B2FE3B" w14:textId="77777777" w:rsidR="00326889" w:rsidRDefault="00326889" w:rsidP="009603C4">
      <w:pPr>
        <w:spacing w:after="0"/>
        <w:contextualSpacing/>
        <w:rPr>
          <w:rFonts w:ascii="Arial" w:hAnsi="Arial" w:cs="Arial"/>
          <w:bCs/>
          <w:sz w:val="24"/>
          <w:szCs w:val="24"/>
        </w:rPr>
      </w:pPr>
    </w:p>
    <w:p w14:paraId="4337E7B3" w14:textId="68F52674" w:rsidR="00DC55B2" w:rsidRDefault="00DC55B2" w:rsidP="009603C4">
      <w:pPr>
        <w:spacing w:after="0"/>
        <w:contextualSpacing/>
        <w:rPr>
          <w:rFonts w:ascii="Arial" w:hAnsi="Arial" w:cs="Arial"/>
          <w:bCs/>
          <w:sz w:val="24"/>
          <w:szCs w:val="24"/>
        </w:rPr>
      </w:pPr>
      <w:r>
        <w:rPr>
          <w:rFonts w:ascii="Arial" w:hAnsi="Arial" w:cs="Arial"/>
          <w:bCs/>
          <w:sz w:val="24"/>
          <w:szCs w:val="24"/>
        </w:rPr>
        <w:t xml:space="preserve">The Bill also </w:t>
      </w:r>
      <w:r w:rsidR="00EB1CD2">
        <w:rPr>
          <w:rFonts w:ascii="Arial" w:hAnsi="Arial" w:cs="Arial"/>
          <w:bCs/>
          <w:sz w:val="24"/>
          <w:szCs w:val="24"/>
        </w:rPr>
        <w:t xml:space="preserve">engages </w:t>
      </w:r>
      <w:r>
        <w:rPr>
          <w:rFonts w:ascii="Arial" w:hAnsi="Arial" w:cs="Arial"/>
          <w:bCs/>
          <w:sz w:val="24"/>
          <w:szCs w:val="24"/>
        </w:rPr>
        <w:t xml:space="preserve">Rights in criminal proceedings (section 22) in that an offence is added for the installation of a non-compliant wood heater and updates the drafting of offence provisions to be compliant with the </w:t>
      </w:r>
      <w:r w:rsidRPr="00677006">
        <w:rPr>
          <w:rFonts w:ascii="Arial" w:hAnsi="Arial" w:cs="Arial"/>
          <w:bCs/>
          <w:i/>
          <w:iCs/>
          <w:sz w:val="24"/>
          <w:szCs w:val="24"/>
        </w:rPr>
        <w:t>Criminal Code 2002</w:t>
      </w:r>
      <w:r>
        <w:rPr>
          <w:rFonts w:ascii="Arial" w:hAnsi="Arial" w:cs="Arial"/>
          <w:bCs/>
          <w:sz w:val="24"/>
          <w:szCs w:val="24"/>
        </w:rPr>
        <w:t xml:space="preserve">. </w:t>
      </w:r>
      <w:r w:rsidR="00EB1CD2" w:rsidRPr="00EB1CD2">
        <w:rPr>
          <w:rFonts w:ascii="Arial" w:hAnsi="Arial" w:cs="Arial"/>
          <w:bCs/>
          <w:sz w:val="24"/>
          <w:szCs w:val="24"/>
        </w:rPr>
        <w:t>The engagement of this right relates to the disapplication of section 47 of the Legislation Act which requires the publication of relevant instruments on the ACT Legislation Register</w:t>
      </w:r>
    </w:p>
    <w:p w14:paraId="0365CA3F" w14:textId="77777777" w:rsidR="00DC55B2" w:rsidRDefault="00DC55B2" w:rsidP="009603C4">
      <w:pPr>
        <w:spacing w:after="0"/>
        <w:contextualSpacing/>
        <w:rPr>
          <w:rFonts w:ascii="Arial" w:hAnsi="Arial" w:cs="Arial"/>
          <w:bCs/>
          <w:sz w:val="24"/>
          <w:szCs w:val="24"/>
        </w:rPr>
      </w:pPr>
    </w:p>
    <w:p w14:paraId="774721D1" w14:textId="4C04B3AE" w:rsidR="00E90DF9" w:rsidRPr="00BC3EF0" w:rsidRDefault="00E90DF9" w:rsidP="00E90DF9">
      <w:pPr>
        <w:rPr>
          <w:rFonts w:ascii="Arial" w:hAnsi="Arial" w:cs="Arial"/>
          <w:b/>
          <w:bCs/>
          <w:i/>
          <w:sz w:val="24"/>
          <w:szCs w:val="24"/>
        </w:rPr>
      </w:pPr>
      <w:r w:rsidRPr="00BC3EF0">
        <w:rPr>
          <w:rFonts w:ascii="Arial" w:hAnsi="Arial" w:cs="Arial"/>
          <w:b/>
          <w:bCs/>
          <w:i/>
          <w:sz w:val="24"/>
          <w:szCs w:val="24"/>
        </w:rPr>
        <w:t>Rights Promoted</w:t>
      </w:r>
    </w:p>
    <w:p w14:paraId="360C5A4A" w14:textId="5E5020D8" w:rsidR="006E34BA" w:rsidRPr="006E34BA" w:rsidRDefault="006E34BA" w:rsidP="00E90DF9">
      <w:pPr>
        <w:rPr>
          <w:rFonts w:ascii="Arial" w:hAnsi="Arial" w:cs="Arial"/>
          <w:iCs/>
          <w:color w:val="000000" w:themeColor="text1"/>
          <w:sz w:val="24"/>
          <w:szCs w:val="24"/>
          <w:u w:val="single"/>
        </w:rPr>
      </w:pPr>
      <w:r w:rsidRPr="006E34BA">
        <w:rPr>
          <w:rFonts w:ascii="Arial" w:hAnsi="Arial" w:cs="Arial"/>
          <w:iCs/>
          <w:color w:val="000000" w:themeColor="text1"/>
          <w:sz w:val="24"/>
          <w:szCs w:val="24"/>
          <w:u w:val="single"/>
        </w:rPr>
        <w:t>Cultural rights</w:t>
      </w:r>
    </w:p>
    <w:p w14:paraId="3A450BC1" w14:textId="7791F90D" w:rsidR="009878A9" w:rsidRDefault="009603C4" w:rsidP="00E90DF9">
      <w:pPr>
        <w:rPr>
          <w:rFonts w:ascii="Arial" w:hAnsi="Arial" w:cs="Arial"/>
          <w:iCs/>
          <w:color w:val="000000" w:themeColor="text1"/>
          <w:sz w:val="24"/>
          <w:szCs w:val="24"/>
        </w:rPr>
      </w:pPr>
      <w:r w:rsidRPr="009603C4">
        <w:rPr>
          <w:rFonts w:ascii="Arial" w:hAnsi="Arial" w:cs="Arial"/>
          <w:iCs/>
          <w:color w:val="000000" w:themeColor="text1"/>
          <w:sz w:val="24"/>
          <w:szCs w:val="24"/>
        </w:rPr>
        <w:t>Th</w:t>
      </w:r>
      <w:r w:rsidR="00465775">
        <w:rPr>
          <w:rFonts w:ascii="Arial" w:hAnsi="Arial" w:cs="Arial"/>
          <w:iCs/>
          <w:color w:val="000000" w:themeColor="text1"/>
          <w:sz w:val="24"/>
          <w:szCs w:val="24"/>
        </w:rPr>
        <w:t>e</w:t>
      </w:r>
      <w:r w:rsidRPr="009603C4">
        <w:rPr>
          <w:rFonts w:ascii="Arial" w:hAnsi="Arial" w:cs="Arial"/>
          <w:iCs/>
          <w:color w:val="000000" w:themeColor="text1"/>
          <w:sz w:val="24"/>
          <w:szCs w:val="24"/>
        </w:rPr>
        <w:t xml:space="preserve"> amendment</w:t>
      </w:r>
      <w:r w:rsidR="00465775">
        <w:rPr>
          <w:rFonts w:ascii="Arial" w:hAnsi="Arial" w:cs="Arial"/>
          <w:iCs/>
          <w:color w:val="000000" w:themeColor="text1"/>
          <w:sz w:val="24"/>
          <w:szCs w:val="24"/>
        </w:rPr>
        <w:t xml:space="preserve">s in this </w:t>
      </w:r>
      <w:r w:rsidR="00B75F54">
        <w:rPr>
          <w:rFonts w:ascii="Arial" w:hAnsi="Arial" w:cs="Arial"/>
          <w:iCs/>
          <w:color w:val="000000" w:themeColor="text1"/>
          <w:sz w:val="24"/>
          <w:szCs w:val="24"/>
        </w:rPr>
        <w:t>B</w:t>
      </w:r>
      <w:r w:rsidR="00465775">
        <w:rPr>
          <w:rFonts w:ascii="Arial" w:hAnsi="Arial" w:cs="Arial"/>
          <w:iCs/>
          <w:color w:val="000000" w:themeColor="text1"/>
          <w:sz w:val="24"/>
          <w:szCs w:val="24"/>
        </w:rPr>
        <w:t>ill</w:t>
      </w:r>
      <w:r w:rsidRPr="009603C4">
        <w:rPr>
          <w:rFonts w:ascii="Arial" w:hAnsi="Arial" w:cs="Arial"/>
          <w:iCs/>
          <w:color w:val="000000" w:themeColor="text1"/>
          <w:sz w:val="24"/>
          <w:szCs w:val="24"/>
        </w:rPr>
        <w:t xml:space="preserve"> will support </w:t>
      </w:r>
      <w:r w:rsidR="00B75F54">
        <w:rPr>
          <w:rFonts w:ascii="Arial" w:hAnsi="Arial" w:cs="Arial"/>
          <w:bCs/>
          <w:sz w:val="24"/>
          <w:szCs w:val="24"/>
        </w:rPr>
        <w:t>c</w:t>
      </w:r>
      <w:r w:rsidR="00002671" w:rsidRPr="009603C4">
        <w:rPr>
          <w:rFonts w:ascii="Arial" w:hAnsi="Arial" w:cs="Arial"/>
          <w:bCs/>
          <w:sz w:val="24"/>
          <w:szCs w:val="24"/>
        </w:rPr>
        <w:t xml:space="preserve">ultural and other rights of Aboriginal and Torres Strait Islander peoples and other minorities </w:t>
      </w:r>
      <w:r w:rsidRPr="009603C4">
        <w:rPr>
          <w:rFonts w:ascii="Arial" w:hAnsi="Arial" w:cs="Arial"/>
          <w:iCs/>
          <w:color w:val="000000" w:themeColor="text1"/>
          <w:sz w:val="24"/>
          <w:szCs w:val="24"/>
        </w:rPr>
        <w:t xml:space="preserve">by making </w:t>
      </w:r>
      <w:r w:rsidR="00002671">
        <w:rPr>
          <w:rFonts w:ascii="Arial" w:hAnsi="Arial" w:cs="Arial"/>
          <w:iCs/>
          <w:color w:val="000000" w:themeColor="text1"/>
          <w:sz w:val="24"/>
          <w:szCs w:val="24"/>
        </w:rPr>
        <w:t>‘</w:t>
      </w:r>
      <w:r w:rsidRPr="009603C4">
        <w:rPr>
          <w:rFonts w:ascii="Arial" w:hAnsi="Arial" w:cs="Arial"/>
          <w:iCs/>
          <w:color w:val="000000" w:themeColor="text1"/>
          <w:sz w:val="24"/>
          <w:szCs w:val="24"/>
        </w:rPr>
        <w:t>culture</w:t>
      </w:r>
      <w:r w:rsidR="00002671">
        <w:rPr>
          <w:rFonts w:ascii="Arial" w:hAnsi="Arial" w:cs="Arial"/>
          <w:iCs/>
          <w:color w:val="000000" w:themeColor="text1"/>
          <w:sz w:val="24"/>
          <w:szCs w:val="24"/>
        </w:rPr>
        <w:t>’</w:t>
      </w:r>
      <w:r w:rsidRPr="009603C4">
        <w:rPr>
          <w:rFonts w:ascii="Arial" w:hAnsi="Arial" w:cs="Arial"/>
          <w:iCs/>
          <w:color w:val="000000" w:themeColor="text1"/>
          <w:sz w:val="24"/>
          <w:szCs w:val="24"/>
        </w:rPr>
        <w:t xml:space="preserve"> an explicit consideration for decision makers under the EP Act.</w:t>
      </w:r>
      <w:r w:rsidR="009878A9">
        <w:rPr>
          <w:rFonts w:ascii="Arial" w:hAnsi="Arial" w:cs="Arial"/>
          <w:iCs/>
          <w:color w:val="000000" w:themeColor="text1"/>
          <w:sz w:val="24"/>
          <w:szCs w:val="24"/>
        </w:rPr>
        <w:t xml:space="preserve"> Cultural considerations of environment protection authorities are an increasing expectation of effective and independent environment protection agencies in Australia.</w:t>
      </w:r>
      <w:r w:rsidR="0076565B">
        <w:rPr>
          <w:rFonts w:ascii="Arial" w:hAnsi="Arial" w:cs="Arial"/>
          <w:iCs/>
          <w:color w:val="000000" w:themeColor="text1"/>
          <w:sz w:val="24"/>
          <w:szCs w:val="24"/>
        </w:rPr>
        <w:t xml:space="preserve"> For example, the Environmental Defenders Office published a report in 2022 about implementing effective independent environmental protection agencies in Australia.</w:t>
      </w:r>
      <w:r w:rsidR="009878A9">
        <w:rPr>
          <w:rStyle w:val="FootnoteReference"/>
          <w:rFonts w:ascii="Arial" w:hAnsi="Arial"/>
          <w:iCs/>
          <w:color w:val="000000" w:themeColor="text1"/>
          <w:sz w:val="24"/>
          <w:szCs w:val="24"/>
        </w:rPr>
        <w:footnoteReference w:id="2"/>
      </w:r>
      <w:r w:rsidR="0076565B">
        <w:rPr>
          <w:rFonts w:ascii="Arial" w:hAnsi="Arial" w:cs="Arial"/>
          <w:iCs/>
          <w:color w:val="000000" w:themeColor="text1"/>
          <w:sz w:val="24"/>
          <w:szCs w:val="24"/>
        </w:rPr>
        <w:t xml:space="preserve"> </w:t>
      </w:r>
      <w:r w:rsidR="0076565B" w:rsidRPr="0076565B">
        <w:t xml:space="preserve"> </w:t>
      </w:r>
      <w:r w:rsidR="0076565B" w:rsidRPr="0076565B">
        <w:rPr>
          <w:rFonts w:ascii="Arial" w:hAnsi="Arial" w:cs="Arial"/>
          <w:iCs/>
          <w:color w:val="000000" w:themeColor="text1"/>
          <w:sz w:val="24"/>
          <w:szCs w:val="24"/>
        </w:rPr>
        <w:t xml:space="preserve">Recommendation 1 </w:t>
      </w:r>
      <w:r w:rsidR="007A2321">
        <w:rPr>
          <w:rFonts w:ascii="Arial" w:hAnsi="Arial" w:cs="Arial"/>
          <w:iCs/>
          <w:color w:val="000000" w:themeColor="text1"/>
          <w:sz w:val="24"/>
          <w:szCs w:val="24"/>
        </w:rPr>
        <w:t xml:space="preserve">of that report </w:t>
      </w:r>
      <w:r w:rsidR="0076565B" w:rsidRPr="0076565B">
        <w:rPr>
          <w:rFonts w:ascii="Arial" w:hAnsi="Arial" w:cs="Arial"/>
          <w:iCs/>
          <w:color w:val="000000" w:themeColor="text1"/>
          <w:sz w:val="24"/>
          <w:szCs w:val="24"/>
        </w:rPr>
        <w:t xml:space="preserve">is a </w:t>
      </w:r>
      <w:r w:rsidR="0076565B" w:rsidRPr="00C75B00">
        <w:rPr>
          <w:rFonts w:ascii="Arial" w:hAnsi="Arial" w:cs="Arial"/>
          <w:i/>
          <w:color w:val="000000" w:themeColor="text1"/>
          <w:sz w:val="24"/>
          <w:szCs w:val="24"/>
        </w:rPr>
        <w:t>Duty to develop and act in conformity with Cultural Protocols based on First Nations Lore and to uphold internationally recognised First Nations rights of free, prior and informed consent and self determination</w:t>
      </w:r>
      <w:r w:rsidR="0076565B" w:rsidRPr="0076565B">
        <w:rPr>
          <w:rFonts w:ascii="Arial" w:hAnsi="Arial" w:cs="Arial"/>
          <w:iCs/>
          <w:color w:val="000000" w:themeColor="text1"/>
          <w:sz w:val="24"/>
          <w:szCs w:val="24"/>
        </w:rPr>
        <w:t>.</w:t>
      </w:r>
      <w:r w:rsidR="0076565B">
        <w:rPr>
          <w:rStyle w:val="FootnoteReference"/>
          <w:rFonts w:ascii="Arial" w:hAnsi="Arial"/>
          <w:iCs/>
          <w:color w:val="000000" w:themeColor="text1"/>
          <w:sz w:val="24"/>
          <w:szCs w:val="24"/>
        </w:rPr>
        <w:footnoteReference w:id="3"/>
      </w:r>
    </w:p>
    <w:p w14:paraId="27AAF584" w14:textId="77777777" w:rsidR="00DB659E" w:rsidRDefault="00DB659E">
      <w:pPr>
        <w:spacing w:after="160" w:line="259" w:lineRule="auto"/>
        <w:rPr>
          <w:rFonts w:ascii="Arial" w:hAnsi="Arial" w:cs="Arial"/>
          <w:iCs/>
          <w:color w:val="000000" w:themeColor="text1"/>
          <w:sz w:val="24"/>
          <w:szCs w:val="24"/>
        </w:rPr>
      </w:pPr>
      <w:r>
        <w:rPr>
          <w:rFonts w:ascii="Arial" w:hAnsi="Arial" w:cs="Arial"/>
          <w:iCs/>
          <w:color w:val="000000" w:themeColor="text1"/>
          <w:sz w:val="24"/>
          <w:szCs w:val="24"/>
        </w:rPr>
        <w:br w:type="page"/>
      </w:r>
    </w:p>
    <w:p w14:paraId="57D4ED64" w14:textId="03928953" w:rsidR="009603C4" w:rsidRDefault="00002671" w:rsidP="00E90DF9">
      <w:pPr>
        <w:rPr>
          <w:rFonts w:ascii="Arial" w:hAnsi="Arial" w:cs="Arial"/>
          <w:iCs/>
          <w:color w:val="000000" w:themeColor="text1"/>
          <w:sz w:val="24"/>
          <w:szCs w:val="24"/>
        </w:rPr>
      </w:pPr>
      <w:r>
        <w:rPr>
          <w:rFonts w:ascii="Arial" w:hAnsi="Arial" w:cs="Arial"/>
          <w:iCs/>
          <w:color w:val="000000" w:themeColor="text1"/>
          <w:sz w:val="24"/>
          <w:szCs w:val="24"/>
        </w:rPr>
        <w:lastRenderedPageBreak/>
        <w:t>T</w:t>
      </w:r>
      <w:r w:rsidR="009603C4" w:rsidRPr="009603C4">
        <w:rPr>
          <w:rFonts w:ascii="Arial" w:hAnsi="Arial" w:cs="Arial"/>
          <w:iCs/>
          <w:color w:val="000000" w:themeColor="text1"/>
          <w:sz w:val="24"/>
          <w:szCs w:val="24"/>
        </w:rPr>
        <w:t>he Human Rights Act state</w:t>
      </w:r>
      <w:r>
        <w:rPr>
          <w:rFonts w:ascii="Arial" w:hAnsi="Arial" w:cs="Arial"/>
          <w:iCs/>
          <w:color w:val="000000" w:themeColor="text1"/>
          <w:sz w:val="24"/>
          <w:szCs w:val="24"/>
        </w:rPr>
        <w:t>s</w:t>
      </w:r>
      <w:r w:rsidR="009603C4" w:rsidRPr="009603C4">
        <w:rPr>
          <w:rFonts w:ascii="Arial" w:hAnsi="Arial" w:cs="Arial"/>
          <w:iCs/>
          <w:color w:val="000000" w:themeColor="text1"/>
          <w:sz w:val="24"/>
          <w:szCs w:val="24"/>
        </w:rPr>
        <w:t xml:space="preserve"> that </w:t>
      </w:r>
      <w:r w:rsidR="006F4C35">
        <w:rPr>
          <w:rFonts w:ascii="Arial" w:hAnsi="Arial" w:cs="Arial"/>
          <w:iCs/>
          <w:color w:val="000000" w:themeColor="text1"/>
          <w:sz w:val="24"/>
          <w:szCs w:val="24"/>
        </w:rPr>
        <w:t>Aboriginal and Torres Strait Islander peoples</w:t>
      </w:r>
      <w:r w:rsidR="009603C4" w:rsidRPr="009603C4">
        <w:rPr>
          <w:rFonts w:ascii="Arial" w:hAnsi="Arial" w:cs="Arial"/>
          <w:iCs/>
          <w:color w:val="000000" w:themeColor="text1"/>
          <w:sz w:val="24"/>
          <w:szCs w:val="24"/>
        </w:rPr>
        <w:t xml:space="preserve"> must not be denied specific cultural rights</w:t>
      </w:r>
      <w:r w:rsidR="006F4C35">
        <w:rPr>
          <w:rFonts w:ascii="Arial" w:hAnsi="Arial" w:cs="Arial"/>
          <w:iCs/>
          <w:color w:val="000000" w:themeColor="text1"/>
          <w:sz w:val="24"/>
          <w:szCs w:val="24"/>
        </w:rPr>
        <w:t xml:space="preserve"> (</w:t>
      </w:r>
      <w:r w:rsidR="00A92964">
        <w:rPr>
          <w:rFonts w:ascii="Arial" w:hAnsi="Arial" w:cs="Arial"/>
          <w:iCs/>
          <w:color w:val="000000" w:themeColor="text1"/>
          <w:sz w:val="24"/>
          <w:szCs w:val="24"/>
        </w:rPr>
        <w:t xml:space="preserve">to </w:t>
      </w:r>
      <w:r w:rsidR="006F4C35">
        <w:rPr>
          <w:rFonts w:ascii="Arial" w:hAnsi="Arial" w:cs="Arial"/>
          <w:iCs/>
          <w:color w:val="000000" w:themeColor="text1"/>
          <w:sz w:val="24"/>
          <w:szCs w:val="24"/>
        </w:rPr>
        <w:t>maintain, control, protect and develop cultural heritage, spiritual practices, beliefs and teachings, languages and knowledge)</w:t>
      </w:r>
      <w:r w:rsidR="009603C4" w:rsidRPr="009603C4">
        <w:rPr>
          <w:rFonts w:ascii="Arial" w:hAnsi="Arial" w:cs="Arial"/>
          <w:iCs/>
          <w:color w:val="000000" w:themeColor="text1"/>
          <w:sz w:val="24"/>
          <w:szCs w:val="24"/>
        </w:rPr>
        <w:t>.</w:t>
      </w:r>
      <w:r>
        <w:rPr>
          <w:rFonts w:ascii="Arial" w:hAnsi="Arial" w:cs="Arial"/>
          <w:iCs/>
          <w:color w:val="000000" w:themeColor="text1"/>
          <w:sz w:val="24"/>
          <w:szCs w:val="24"/>
        </w:rPr>
        <w:t xml:space="preserve"> </w:t>
      </w:r>
      <w:r w:rsidRPr="009603C4">
        <w:rPr>
          <w:rFonts w:ascii="Arial" w:hAnsi="Arial" w:cs="Arial"/>
          <w:iCs/>
          <w:color w:val="000000" w:themeColor="text1"/>
          <w:sz w:val="24"/>
          <w:szCs w:val="24"/>
        </w:rPr>
        <w:t xml:space="preserve">This </w:t>
      </w:r>
      <w:r>
        <w:rPr>
          <w:rFonts w:ascii="Arial" w:hAnsi="Arial" w:cs="Arial"/>
          <w:iCs/>
          <w:color w:val="000000" w:themeColor="text1"/>
          <w:sz w:val="24"/>
          <w:szCs w:val="24"/>
        </w:rPr>
        <w:t xml:space="preserve">amendment </w:t>
      </w:r>
      <w:r w:rsidRPr="009603C4">
        <w:rPr>
          <w:rFonts w:ascii="Arial" w:hAnsi="Arial" w:cs="Arial"/>
          <w:iCs/>
          <w:color w:val="000000" w:themeColor="text1"/>
          <w:sz w:val="24"/>
          <w:szCs w:val="24"/>
        </w:rPr>
        <w:t>will augment the</w:t>
      </w:r>
      <w:r>
        <w:rPr>
          <w:rFonts w:ascii="Arial" w:hAnsi="Arial" w:cs="Arial"/>
          <w:iCs/>
          <w:color w:val="000000" w:themeColor="text1"/>
          <w:sz w:val="24"/>
          <w:szCs w:val="24"/>
        </w:rPr>
        <w:t xml:space="preserve"> human</w:t>
      </w:r>
      <w:r w:rsidRPr="009603C4">
        <w:rPr>
          <w:rFonts w:ascii="Arial" w:hAnsi="Arial" w:cs="Arial"/>
          <w:iCs/>
          <w:color w:val="000000" w:themeColor="text1"/>
          <w:sz w:val="24"/>
          <w:szCs w:val="24"/>
        </w:rPr>
        <w:t xml:space="preserve"> right by providing for a positive consideration of cultural impacts in environment protection</w:t>
      </w:r>
      <w:r>
        <w:rPr>
          <w:rFonts w:ascii="Arial" w:hAnsi="Arial" w:cs="Arial"/>
          <w:iCs/>
          <w:color w:val="000000" w:themeColor="text1"/>
          <w:sz w:val="24"/>
          <w:szCs w:val="24"/>
        </w:rPr>
        <w:t>.</w:t>
      </w:r>
    </w:p>
    <w:p w14:paraId="4F415650" w14:textId="3FFBC86F" w:rsidR="009878A9" w:rsidRPr="00F02135" w:rsidRDefault="00C15B35" w:rsidP="00E90DF9">
      <w:pPr>
        <w:rPr>
          <w:rFonts w:ascii="Arial" w:hAnsi="Arial" w:cs="Arial"/>
          <w:iCs/>
          <w:color w:val="000000" w:themeColor="text1"/>
          <w:sz w:val="24"/>
          <w:szCs w:val="24"/>
        </w:rPr>
      </w:pPr>
      <w:r>
        <w:rPr>
          <w:rFonts w:ascii="Arial" w:hAnsi="Arial" w:cs="Arial"/>
          <w:iCs/>
          <w:color w:val="000000" w:themeColor="text1"/>
          <w:sz w:val="24"/>
          <w:szCs w:val="24"/>
        </w:rPr>
        <w:t xml:space="preserve">The </w:t>
      </w:r>
      <w:r w:rsidR="00B75F54">
        <w:rPr>
          <w:rFonts w:ascii="Arial" w:hAnsi="Arial" w:cs="Arial"/>
          <w:iCs/>
          <w:color w:val="000000" w:themeColor="text1"/>
          <w:sz w:val="24"/>
          <w:szCs w:val="24"/>
        </w:rPr>
        <w:t>B</w:t>
      </w:r>
      <w:r>
        <w:rPr>
          <w:rFonts w:ascii="Arial" w:hAnsi="Arial" w:cs="Arial"/>
          <w:iCs/>
          <w:color w:val="000000" w:themeColor="text1"/>
          <w:sz w:val="24"/>
          <w:szCs w:val="24"/>
        </w:rPr>
        <w:t xml:space="preserve">ill does this through clauses </w:t>
      </w:r>
      <w:r w:rsidR="007471DC">
        <w:rPr>
          <w:rFonts w:ascii="Arial" w:hAnsi="Arial" w:cs="Arial"/>
          <w:iCs/>
          <w:color w:val="000000" w:themeColor="text1"/>
          <w:sz w:val="24"/>
          <w:szCs w:val="24"/>
        </w:rPr>
        <w:t>5</w:t>
      </w:r>
      <w:r>
        <w:rPr>
          <w:rFonts w:ascii="Arial" w:hAnsi="Arial" w:cs="Arial"/>
          <w:iCs/>
          <w:color w:val="000000" w:themeColor="text1"/>
          <w:sz w:val="24"/>
          <w:szCs w:val="24"/>
        </w:rPr>
        <w:t xml:space="preserve"> and </w:t>
      </w:r>
      <w:r w:rsidR="007471DC">
        <w:rPr>
          <w:rFonts w:ascii="Arial" w:hAnsi="Arial" w:cs="Arial"/>
          <w:iCs/>
          <w:color w:val="000000" w:themeColor="text1"/>
          <w:sz w:val="24"/>
          <w:szCs w:val="24"/>
        </w:rPr>
        <w:t>31</w:t>
      </w:r>
      <w:r>
        <w:rPr>
          <w:rFonts w:ascii="Arial" w:hAnsi="Arial" w:cs="Arial"/>
          <w:iCs/>
          <w:color w:val="000000" w:themeColor="text1"/>
          <w:sz w:val="24"/>
          <w:szCs w:val="24"/>
        </w:rPr>
        <w:t xml:space="preserve"> by inserting the word “cultur</w:t>
      </w:r>
      <w:r w:rsidR="00326889">
        <w:rPr>
          <w:rFonts w:ascii="Arial" w:hAnsi="Arial" w:cs="Arial"/>
          <w:iCs/>
          <w:color w:val="000000" w:themeColor="text1"/>
          <w:sz w:val="24"/>
          <w:szCs w:val="24"/>
        </w:rPr>
        <w:t>al</w:t>
      </w:r>
      <w:r>
        <w:rPr>
          <w:rFonts w:ascii="Arial" w:hAnsi="Arial" w:cs="Arial"/>
          <w:iCs/>
          <w:color w:val="000000" w:themeColor="text1"/>
          <w:sz w:val="24"/>
          <w:szCs w:val="24"/>
        </w:rPr>
        <w:t xml:space="preserve">” after economic and social in </w:t>
      </w:r>
      <w:r w:rsidR="00326889">
        <w:rPr>
          <w:rFonts w:ascii="Arial" w:hAnsi="Arial" w:cs="Arial"/>
          <w:iCs/>
          <w:color w:val="000000" w:themeColor="text1"/>
          <w:sz w:val="24"/>
          <w:szCs w:val="24"/>
        </w:rPr>
        <w:t xml:space="preserve">the EP Act </w:t>
      </w:r>
      <w:r>
        <w:rPr>
          <w:rFonts w:ascii="Arial" w:hAnsi="Arial" w:cs="Arial"/>
          <w:iCs/>
          <w:color w:val="000000" w:themeColor="text1"/>
          <w:sz w:val="24"/>
          <w:szCs w:val="24"/>
        </w:rPr>
        <w:t xml:space="preserve">sections </w:t>
      </w:r>
      <w:r w:rsidR="00326889" w:rsidRPr="00326889">
        <w:rPr>
          <w:rFonts w:ascii="Arial" w:hAnsi="Arial" w:cs="Arial"/>
          <w:iCs/>
          <w:color w:val="000000" w:themeColor="text1"/>
          <w:sz w:val="24"/>
          <w:szCs w:val="24"/>
        </w:rPr>
        <w:t>3C (1) (d)</w:t>
      </w:r>
      <w:r w:rsidRPr="00326889">
        <w:rPr>
          <w:rFonts w:ascii="Arial" w:hAnsi="Arial" w:cs="Arial"/>
          <w:iCs/>
          <w:color w:val="000000" w:themeColor="text1"/>
          <w:sz w:val="24"/>
          <w:szCs w:val="24"/>
        </w:rPr>
        <w:t xml:space="preserve"> </w:t>
      </w:r>
      <w:r w:rsidR="00326889" w:rsidRPr="00326889">
        <w:rPr>
          <w:rFonts w:ascii="Arial" w:hAnsi="Arial" w:cs="Arial"/>
          <w:iCs/>
          <w:color w:val="000000" w:themeColor="text1"/>
          <w:sz w:val="24"/>
          <w:szCs w:val="24"/>
        </w:rPr>
        <w:t xml:space="preserve">(objects) </w:t>
      </w:r>
      <w:r w:rsidRPr="00326889">
        <w:rPr>
          <w:rFonts w:ascii="Arial" w:hAnsi="Arial" w:cs="Arial"/>
          <w:iCs/>
          <w:color w:val="000000" w:themeColor="text1"/>
          <w:sz w:val="24"/>
          <w:szCs w:val="24"/>
        </w:rPr>
        <w:t xml:space="preserve">and </w:t>
      </w:r>
      <w:r w:rsidR="00326889" w:rsidRPr="00326889">
        <w:rPr>
          <w:rFonts w:ascii="Arial" w:hAnsi="Arial" w:cs="Arial"/>
          <w:iCs/>
          <w:color w:val="000000" w:themeColor="text1"/>
          <w:sz w:val="24"/>
          <w:szCs w:val="24"/>
        </w:rPr>
        <w:t>61 (d)</w:t>
      </w:r>
      <w:r>
        <w:rPr>
          <w:rFonts w:ascii="Arial" w:hAnsi="Arial" w:cs="Arial"/>
          <w:iCs/>
          <w:color w:val="000000" w:themeColor="text1"/>
          <w:sz w:val="24"/>
          <w:szCs w:val="24"/>
        </w:rPr>
        <w:t xml:space="preserve"> </w:t>
      </w:r>
      <w:r w:rsidR="00326889">
        <w:rPr>
          <w:rFonts w:ascii="Arial" w:hAnsi="Arial" w:cs="Arial"/>
          <w:iCs/>
          <w:color w:val="000000" w:themeColor="text1"/>
          <w:sz w:val="24"/>
          <w:szCs w:val="24"/>
        </w:rPr>
        <w:t>(matters to be taken into account for decisions)</w:t>
      </w:r>
      <w:r>
        <w:rPr>
          <w:rFonts w:ascii="Arial" w:hAnsi="Arial" w:cs="Arial"/>
          <w:iCs/>
          <w:color w:val="000000" w:themeColor="text1"/>
          <w:sz w:val="24"/>
          <w:szCs w:val="24"/>
        </w:rPr>
        <w:t xml:space="preserve">. </w:t>
      </w:r>
      <w:r w:rsidR="00E87DDA">
        <w:rPr>
          <w:rFonts w:ascii="Arial" w:hAnsi="Arial" w:cs="Arial"/>
          <w:iCs/>
          <w:color w:val="000000" w:themeColor="text1"/>
          <w:sz w:val="24"/>
          <w:szCs w:val="24"/>
        </w:rPr>
        <w:t xml:space="preserve">The effect will be </w:t>
      </w:r>
      <w:r>
        <w:rPr>
          <w:rFonts w:ascii="Arial" w:hAnsi="Arial" w:cs="Arial"/>
          <w:iCs/>
          <w:color w:val="000000" w:themeColor="text1"/>
          <w:sz w:val="24"/>
          <w:szCs w:val="24"/>
        </w:rPr>
        <w:t>that when making decisions</w:t>
      </w:r>
      <w:r w:rsidR="00E87DDA">
        <w:rPr>
          <w:rFonts w:ascii="Arial" w:hAnsi="Arial" w:cs="Arial"/>
          <w:iCs/>
          <w:color w:val="000000" w:themeColor="text1"/>
          <w:sz w:val="24"/>
          <w:szCs w:val="24"/>
        </w:rPr>
        <w:t xml:space="preserve"> the </w:t>
      </w:r>
      <w:r w:rsidR="00B75F54">
        <w:rPr>
          <w:rFonts w:ascii="Arial" w:hAnsi="Arial" w:cs="Arial"/>
          <w:iCs/>
          <w:color w:val="000000" w:themeColor="text1"/>
          <w:sz w:val="24"/>
          <w:szCs w:val="24"/>
        </w:rPr>
        <w:t>A</w:t>
      </w:r>
      <w:r w:rsidR="00E87DDA">
        <w:rPr>
          <w:rFonts w:ascii="Arial" w:hAnsi="Arial" w:cs="Arial"/>
          <w:iCs/>
          <w:color w:val="000000" w:themeColor="text1"/>
          <w:sz w:val="24"/>
          <w:szCs w:val="24"/>
        </w:rPr>
        <w:t>uthority must consider the environmental, economic, social and the cultural impacts involved in each decision.</w:t>
      </w:r>
    </w:p>
    <w:p w14:paraId="34E1ECDF" w14:textId="63DC8C00" w:rsidR="008A07A0" w:rsidRDefault="00E87DDA" w:rsidP="000E01F5">
      <w:pPr>
        <w:spacing w:after="0"/>
        <w:rPr>
          <w:rFonts w:ascii="Arial" w:hAnsi="Arial" w:cs="Arial"/>
          <w:bCs/>
          <w:color w:val="000000" w:themeColor="text1"/>
          <w:sz w:val="24"/>
          <w:szCs w:val="24"/>
        </w:rPr>
      </w:pPr>
      <w:r w:rsidRPr="00F02135">
        <w:rPr>
          <w:rFonts w:ascii="Arial" w:hAnsi="Arial" w:cs="Arial"/>
          <w:iCs/>
          <w:color w:val="000000" w:themeColor="text1"/>
          <w:sz w:val="24"/>
          <w:szCs w:val="24"/>
        </w:rPr>
        <w:t>Prior to this amendment cultur</w:t>
      </w:r>
      <w:r w:rsidR="00326889" w:rsidRPr="00F02135">
        <w:rPr>
          <w:rFonts w:ascii="Arial" w:hAnsi="Arial" w:cs="Arial"/>
          <w:iCs/>
          <w:color w:val="000000" w:themeColor="text1"/>
          <w:sz w:val="24"/>
          <w:szCs w:val="24"/>
        </w:rPr>
        <w:t>al considerations</w:t>
      </w:r>
      <w:r w:rsidRPr="00F02135">
        <w:rPr>
          <w:rFonts w:ascii="Arial" w:hAnsi="Arial" w:cs="Arial"/>
          <w:iCs/>
          <w:color w:val="000000" w:themeColor="text1"/>
          <w:sz w:val="24"/>
          <w:szCs w:val="24"/>
        </w:rPr>
        <w:t xml:space="preserve"> w</w:t>
      </w:r>
      <w:r w:rsidR="00326889" w:rsidRPr="00F02135">
        <w:rPr>
          <w:rFonts w:ascii="Arial" w:hAnsi="Arial" w:cs="Arial"/>
          <w:iCs/>
          <w:color w:val="000000" w:themeColor="text1"/>
          <w:sz w:val="24"/>
          <w:szCs w:val="24"/>
        </w:rPr>
        <w:t>ere</w:t>
      </w:r>
      <w:r w:rsidRPr="00F02135">
        <w:rPr>
          <w:rFonts w:ascii="Arial" w:hAnsi="Arial" w:cs="Arial"/>
          <w:iCs/>
          <w:color w:val="000000" w:themeColor="text1"/>
          <w:sz w:val="24"/>
          <w:szCs w:val="24"/>
        </w:rPr>
        <w:t xml:space="preserve"> implied as part of social considerations</w:t>
      </w:r>
      <w:r w:rsidR="00326889" w:rsidRPr="00F02135">
        <w:rPr>
          <w:rFonts w:ascii="Arial" w:hAnsi="Arial" w:cs="Arial"/>
          <w:iCs/>
          <w:color w:val="000000" w:themeColor="text1"/>
          <w:sz w:val="24"/>
          <w:szCs w:val="24"/>
        </w:rPr>
        <w:t>.</w:t>
      </w:r>
      <w:r w:rsidRPr="00F02135">
        <w:rPr>
          <w:rFonts w:ascii="Arial" w:hAnsi="Arial" w:cs="Arial"/>
          <w:iCs/>
          <w:color w:val="000000" w:themeColor="text1"/>
          <w:sz w:val="24"/>
          <w:szCs w:val="24"/>
        </w:rPr>
        <w:t xml:space="preserve"> </w:t>
      </w:r>
      <w:r w:rsidR="00326889" w:rsidRPr="00F02135">
        <w:rPr>
          <w:rFonts w:ascii="Arial" w:hAnsi="Arial" w:cs="Arial"/>
          <w:iCs/>
          <w:color w:val="000000" w:themeColor="text1"/>
          <w:sz w:val="24"/>
          <w:szCs w:val="24"/>
        </w:rPr>
        <w:t>T</w:t>
      </w:r>
      <w:r w:rsidRPr="00F02135">
        <w:rPr>
          <w:rFonts w:ascii="Arial" w:hAnsi="Arial" w:cs="Arial"/>
          <w:iCs/>
          <w:color w:val="000000" w:themeColor="text1"/>
          <w:sz w:val="24"/>
          <w:szCs w:val="24"/>
        </w:rPr>
        <w:t>his amendment makes that consideration explicit</w:t>
      </w:r>
      <w:r w:rsidR="00326889" w:rsidRPr="00F02135">
        <w:rPr>
          <w:rFonts w:ascii="Arial" w:hAnsi="Arial" w:cs="Arial"/>
          <w:iCs/>
          <w:color w:val="000000" w:themeColor="text1"/>
          <w:sz w:val="24"/>
          <w:szCs w:val="24"/>
        </w:rPr>
        <w:t xml:space="preserve"> and therefore </w:t>
      </w:r>
      <w:r w:rsidR="00326889" w:rsidRPr="00F02135">
        <w:rPr>
          <w:rFonts w:ascii="Arial" w:hAnsi="Arial" w:cs="Arial"/>
          <w:bCs/>
          <w:color w:val="000000" w:themeColor="text1"/>
          <w:sz w:val="24"/>
          <w:szCs w:val="24"/>
        </w:rPr>
        <w:t>makes it more prominent in the mind of the decision maker</w:t>
      </w:r>
      <w:r w:rsidRPr="00F02135">
        <w:rPr>
          <w:rFonts w:ascii="Arial" w:hAnsi="Arial" w:cs="Arial"/>
          <w:bCs/>
          <w:color w:val="000000" w:themeColor="text1"/>
          <w:sz w:val="24"/>
          <w:szCs w:val="24"/>
        </w:rPr>
        <w:t>.</w:t>
      </w:r>
    </w:p>
    <w:p w14:paraId="0C002C51" w14:textId="77777777" w:rsidR="000E01F5" w:rsidRDefault="000E01F5" w:rsidP="000E01F5">
      <w:pPr>
        <w:spacing w:after="0"/>
        <w:rPr>
          <w:rFonts w:ascii="Arial" w:hAnsi="Arial" w:cs="Arial"/>
          <w:bCs/>
          <w:color w:val="000000" w:themeColor="text1"/>
          <w:sz w:val="24"/>
          <w:szCs w:val="24"/>
        </w:rPr>
      </w:pPr>
    </w:p>
    <w:p w14:paraId="7FB7CCFF" w14:textId="177B8FBF" w:rsidR="00D6277B" w:rsidRPr="00604BF4" w:rsidRDefault="00D6277B" w:rsidP="00E90DF9">
      <w:pPr>
        <w:rPr>
          <w:rFonts w:ascii="Arial" w:hAnsi="Arial" w:cs="Arial"/>
          <w:bCs/>
          <w:color w:val="000000" w:themeColor="text1"/>
          <w:sz w:val="24"/>
          <w:szCs w:val="24"/>
          <w:u w:val="single"/>
        </w:rPr>
      </w:pPr>
      <w:r w:rsidRPr="00EE119B">
        <w:rPr>
          <w:rFonts w:ascii="Arial" w:hAnsi="Arial" w:cs="Arial"/>
          <w:bCs/>
          <w:color w:val="000000" w:themeColor="text1"/>
          <w:sz w:val="24"/>
          <w:szCs w:val="24"/>
          <w:u w:val="single"/>
        </w:rPr>
        <w:t>Freedom of Expression</w:t>
      </w:r>
    </w:p>
    <w:p w14:paraId="50109357" w14:textId="573581A9" w:rsidR="000655CC" w:rsidRDefault="000655CC" w:rsidP="000655CC">
      <w:pPr>
        <w:rPr>
          <w:rFonts w:ascii="Arial" w:hAnsi="Arial" w:cs="Arial"/>
          <w:iCs/>
          <w:sz w:val="24"/>
          <w:szCs w:val="24"/>
        </w:rPr>
      </w:pPr>
      <w:r w:rsidRPr="008A313B">
        <w:rPr>
          <w:rFonts w:ascii="Arial" w:hAnsi="Arial" w:cs="Arial"/>
          <w:iCs/>
          <w:sz w:val="24"/>
          <w:szCs w:val="24"/>
        </w:rPr>
        <w:t>The Right to Freedom of Expression as expressed in section 16 (2) of the Human Rights Act</w:t>
      </w:r>
      <w:r>
        <w:rPr>
          <w:rFonts w:ascii="Arial" w:hAnsi="Arial" w:cs="Arial"/>
          <w:iCs/>
          <w:sz w:val="24"/>
          <w:szCs w:val="24"/>
        </w:rPr>
        <w:t xml:space="preserve"> includes the freedom to seek, receive and impart information. Sections 19 to 21 of the existing </w:t>
      </w:r>
      <w:r w:rsidR="007471DC">
        <w:rPr>
          <w:rFonts w:ascii="Arial" w:hAnsi="Arial" w:cs="Arial"/>
          <w:iCs/>
          <w:sz w:val="24"/>
          <w:szCs w:val="24"/>
        </w:rPr>
        <w:t xml:space="preserve">EP </w:t>
      </w:r>
      <w:r>
        <w:rPr>
          <w:rFonts w:ascii="Arial" w:hAnsi="Arial" w:cs="Arial"/>
          <w:iCs/>
          <w:sz w:val="24"/>
          <w:szCs w:val="24"/>
        </w:rPr>
        <w:t xml:space="preserve">Act contain a process for the </w:t>
      </w:r>
      <w:r w:rsidR="007471DC">
        <w:rPr>
          <w:rFonts w:ascii="Arial" w:hAnsi="Arial" w:cs="Arial"/>
          <w:iCs/>
          <w:sz w:val="24"/>
          <w:szCs w:val="24"/>
        </w:rPr>
        <w:t>A</w:t>
      </w:r>
      <w:r>
        <w:rPr>
          <w:rFonts w:ascii="Arial" w:hAnsi="Arial" w:cs="Arial"/>
          <w:iCs/>
          <w:sz w:val="24"/>
          <w:szCs w:val="24"/>
        </w:rPr>
        <w:t>uthority to provide environmental information and documents to the public, and for affected persons to apply to exclude some information from publication.</w:t>
      </w:r>
    </w:p>
    <w:p w14:paraId="679B6720" w14:textId="3ABC025E" w:rsidR="00D6277B" w:rsidRPr="007471DC" w:rsidRDefault="006E34BA" w:rsidP="00E90DF9">
      <w:pPr>
        <w:rPr>
          <w:rFonts w:ascii="Arial" w:hAnsi="Arial" w:cs="Arial"/>
          <w:bCs/>
          <w:sz w:val="24"/>
          <w:szCs w:val="24"/>
        </w:rPr>
      </w:pPr>
      <w:r>
        <w:rPr>
          <w:rFonts w:ascii="Arial" w:hAnsi="Arial" w:cs="Arial"/>
          <w:iCs/>
          <w:sz w:val="24"/>
          <w:szCs w:val="24"/>
        </w:rPr>
        <w:t xml:space="preserve">The amended </w:t>
      </w:r>
      <w:r w:rsidR="00AB2FF9">
        <w:rPr>
          <w:rFonts w:ascii="Arial" w:hAnsi="Arial" w:cs="Arial"/>
          <w:iCs/>
          <w:sz w:val="24"/>
          <w:szCs w:val="24"/>
        </w:rPr>
        <w:t>section 19 promotes the Right to Freedom of Expression because</w:t>
      </w:r>
      <w:r w:rsidR="00DA1ACE">
        <w:rPr>
          <w:rFonts w:ascii="Arial" w:hAnsi="Arial" w:cs="Arial"/>
          <w:iCs/>
          <w:sz w:val="24"/>
          <w:szCs w:val="24"/>
        </w:rPr>
        <w:t xml:space="preserve"> the</w:t>
      </w:r>
      <w:r w:rsidR="00AB2FF9">
        <w:rPr>
          <w:rFonts w:ascii="Arial" w:hAnsi="Arial" w:cs="Arial"/>
          <w:iCs/>
          <w:sz w:val="24"/>
          <w:szCs w:val="24"/>
        </w:rPr>
        <w:t xml:space="preserve"> </w:t>
      </w:r>
      <w:r>
        <w:rPr>
          <w:rFonts w:ascii="Arial" w:hAnsi="Arial" w:cs="Arial"/>
          <w:iCs/>
          <w:sz w:val="24"/>
          <w:szCs w:val="24"/>
        </w:rPr>
        <w:t xml:space="preserve">provisions make it clear on the face of the EP Act that the documents can be published online or be available for a person to access via attending the office of the Authority during business hours. The language in the amended provisions promotes the Freedom of Expression by strengthening the requirement and presumption of publication of documents. It says ‘the authority must make the following documents available to the public ‘(amended section 19(1)). </w:t>
      </w:r>
      <w:r w:rsidRPr="0082209D">
        <w:rPr>
          <w:rFonts w:ascii="Arial" w:hAnsi="Arial" w:cs="Arial"/>
          <w:bCs/>
          <w:sz w:val="24"/>
          <w:szCs w:val="24"/>
        </w:rPr>
        <w:t xml:space="preserve">The amendments </w:t>
      </w:r>
      <w:r>
        <w:rPr>
          <w:rFonts w:ascii="Arial" w:hAnsi="Arial" w:cs="Arial"/>
          <w:bCs/>
          <w:sz w:val="24"/>
          <w:szCs w:val="24"/>
        </w:rPr>
        <w:t xml:space="preserve">better </w:t>
      </w:r>
      <w:r w:rsidRPr="0082209D">
        <w:rPr>
          <w:rFonts w:ascii="Arial" w:hAnsi="Arial" w:cs="Arial"/>
          <w:bCs/>
          <w:sz w:val="24"/>
          <w:szCs w:val="24"/>
        </w:rPr>
        <w:t xml:space="preserve">facilitate public access to documents under the </w:t>
      </w:r>
      <w:r>
        <w:rPr>
          <w:rFonts w:ascii="Arial" w:hAnsi="Arial" w:cs="Arial"/>
          <w:bCs/>
          <w:sz w:val="24"/>
          <w:szCs w:val="24"/>
        </w:rPr>
        <w:t xml:space="preserve">EP </w:t>
      </w:r>
      <w:r w:rsidRPr="0082209D">
        <w:rPr>
          <w:rFonts w:ascii="Arial" w:hAnsi="Arial" w:cs="Arial"/>
          <w:bCs/>
          <w:sz w:val="24"/>
          <w:szCs w:val="24"/>
        </w:rPr>
        <w:t>Act, including confirming that documents can be accessible on an ACT government website or shared by email.</w:t>
      </w:r>
    </w:p>
    <w:p w14:paraId="54FE1438" w14:textId="77777777" w:rsidR="00E90DF9" w:rsidRDefault="00E90DF9" w:rsidP="00E90DF9">
      <w:pPr>
        <w:rPr>
          <w:rFonts w:ascii="Arial" w:hAnsi="Arial" w:cs="Arial"/>
          <w:b/>
          <w:bCs/>
          <w:i/>
          <w:sz w:val="24"/>
          <w:szCs w:val="24"/>
        </w:rPr>
      </w:pPr>
      <w:r w:rsidRPr="00BC3EF0">
        <w:rPr>
          <w:rFonts w:ascii="Arial" w:hAnsi="Arial" w:cs="Arial"/>
          <w:b/>
          <w:bCs/>
          <w:i/>
          <w:sz w:val="24"/>
          <w:szCs w:val="24"/>
        </w:rPr>
        <w:t>Rights Limited</w:t>
      </w:r>
    </w:p>
    <w:p w14:paraId="3CFD694C" w14:textId="6F7A6904" w:rsidR="008A313B" w:rsidRPr="008A313B" w:rsidRDefault="008A313B" w:rsidP="00E90DF9">
      <w:pPr>
        <w:rPr>
          <w:rFonts w:ascii="Arial" w:hAnsi="Arial" w:cs="Arial"/>
          <w:iCs/>
          <w:sz w:val="24"/>
          <w:szCs w:val="24"/>
          <w:u w:val="single"/>
        </w:rPr>
      </w:pPr>
      <w:r w:rsidRPr="008A313B">
        <w:rPr>
          <w:rFonts w:ascii="Arial" w:hAnsi="Arial" w:cs="Arial"/>
          <w:iCs/>
          <w:sz w:val="24"/>
          <w:szCs w:val="24"/>
          <w:u w:val="single"/>
        </w:rPr>
        <w:t>Privacy and Reputation</w:t>
      </w:r>
    </w:p>
    <w:p w14:paraId="39978987" w14:textId="77777777" w:rsidR="00E90DF9" w:rsidRPr="00414921" w:rsidRDefault="00E90DF9" w:rsidP="00E90DF9">
      <w:pPr>
        <w:pStyle w:val="ListParagraph"/>
        <w:numPr>
          <w:ilvl w:val="0"/>
          <w:numId w:val="1"/>
        </w:numPr>
        <w:rPr>
          <w:rFonts w:ascii="Arial" w:hAnsi="Arial" w:cs="Arial"/>
          <w:b/>
          <w:bCs/>
          <w:i/>
          <w:sz w:val="24"/>
          <w:szCs w:val="24"/>
        </w:rPr>
      </w:pPr>
      <w:r w:rsidRPr="00414921">
        <w:rPr>
          <w:rFonts w:ascii="Arial" w:hAnsi="Arial" w:cs="Arial"/>
          <w:b/>
          <w:bCs/>
          <w:i/>
          <w:sz w:val="24"/>
          <w:szCs w:val="24"/>
        </w:rPr>
        <w:t>Nature of the right and the limitation (s28(a) and</w:t>
      </w:r>
      <w:r>
        <w:rPr>
          <w:rFonts w:ascii="Arial" w:hAnsi="Arial" w:cs="Arial"/>
          <w:b/>
          <w:bCs/>
          <w:i/>
          <w:sz w:val="24"/>
          <w:szCs w:val="24"/>
        </w:rPr>
        <w:t xml:space="preserve"> </w:t>
      </w:r>
      <w:r w:rsidRPr="00414921">
        <w:rPr>
          <w:rFonts w:ascii="Arial" w:hAnsi="Arial" w:cs="Arial"/>
          <w:b/>
          <w:bCs/>
          <w:i/>
          <w:sz w:val="24"/>
          <w:szCs w:val="24"/>
        </w:rPr>
        <w:t>(c))</w:t>
      </w:r>
    </w:p>
    <w:p w14:paraId="24DE53A2" w14:textId="7439D263" w:rsidR="00002671" w:rsidRDefault="00002671" w:rsidP="00002671">
      <w:pPr>
        <w:rPr>
          <w:rFonts w:ascii="Arial" w:hAnsi="Arial" w:cs="Arial"/>
          <w:iCs/>
          <w:color w:val="000000" w:themeColor="text1"/>
          <w:sz w:val="24"/>
          <w:szCs w:val="24"/>
        </w:rPr>
      </w:pPr>
      <w:r w:rsidRPr="009603C4">
        <w:rPr>
          <w:rFonts w:ascii="Arial" w:hAnsi="Arial" w:cs="Arial"/>
          <w:iCs/>
          <w:color w:val="000000" w:themeColor="text1"/>
          <w:sz w:val="24"/>
          <w:szCs w:val="24"/>
        </w:rPr>
        <w:t xml:space="preserve">The Right to Privacy and Reputation articulated in </w:t>
      </w:r>
      <w:r>
        <w:rPr>
          <w:rFonts w:ascii="Arial" w:hAnsi="Arial" w:cs="Arial"/>
          <w:iCs/>
          <w:color w:val="000000" w:themeColor="text1"/>
          <w:sz w:val="24"/>
          <w:szCs w:val="24"/>
        </w:rPr>
        <w:t xml:space="preserve">Section 12 of </w:t>
      </w:r>
      <w:r w:rsidRPr="009603C4">
        <w:rPr>
          <w:rFonts w:ascii="Arial" w:hAnsi="Arial" w:cs="Arial"/>
          <w:iCs/>
          <w:color w:val="000000" w:themeColor="text1"/>
          <w:sz w:val="24"/>
          <w:szCs w:val="24"/>
        </w:rPr>
        <w:t>the Human Rights Act includes the right not to have your home interfered with unlawfully or arbitrarily.</w:t>
      </w:r>
    </w:p>
    <w:p w14:paraId="38DB061E" w14:textId="48FF697B" w:rsidR="00E90DF9" w:rsidRPr="00002671" w:rsidRDefault="00002671" w:rsidP="00002671">
      <w:pPr>
        <w:rPr>
          <w:rFonts w:ascii="Arial" w:hAnsi="Arial" w:cs="Arial"/>
          <w:iCs/>
          <w:color w:val="000000" w:themeColor="text1"/>
          <w:sz w:val="24"/>
          <w:szCs w:val="24"/>
        </w:rPr>
      </w:pPr>
      <w:r>
        <w:rPr>
          <w:rFonts w:ascii="Arial" w:hAnsi="Arial" w:cs="Arial"/>
          <w:iCs/>
          <w:color w:val="000000" w:themeColor="text1"/>
          <w:sz w:val="24"/>
          <w:szCs w:val="24"/>
        </w:rPr>
        <w:t>The amendment</w:t>
      </w:r>
      <w:r w:rsidR="00E87DDA">
        <w:rPr>
          <w:rFonts w:ascii="Arial" w:hAnsi="Arial" w:cs="Arial"/>
          <w:iCs/>
          <w:color w:val="000000" w:themeColor="text1"/>
          <w:sz w:val="24"/>
          <w:szCs w:val="24"/>
        </w:rPr>
        <w:t xml:space="preserve"> in clause </w:t>
      </w:r>
      <w:r w:rsidR="007471DC">
        <w:rPr>
          <w:rFonts w:ascii="Arial" w:hAnsi="Arial" w:cs="Arial"/>
          <w:iCs/>
          <w:color w:val="000000" w:themeColor="text1"/>
          <w:sz w:val="24"/>
          <w:szCs w:val="24"/>
        </w:rPr>
        <w:t>40</w:t>
      </w:r>
      <w:r w:rsidR="00326889">
        <w:rPr>
          <w:rFonts w:ascii="Arial" w:hAnsi="Arial" w:cs="Arial"/>
          <w:iCs/>
          <w:color w:val="000000" w:themeColor="text1"/>
          <w:sz w:val="24"/>
          <w:szCs w:val="24"/>
        </w:rPr>
        <w:t xml:space="preserve"> amending </w:t>
      </w:r>
      <w:r w:rsidR="00F02135">
        <w:rPr>
          <w:rFonts w:ascii="Arial" w:hAnsi="Arial" w:cs="Arial"/>
          <w:iCs/>
          <w:color w:val="000000" w:themeColor="text1"/>
          <w:sz w:val="24"/>
          <w:szCs w:val="24"/>
        </w:rPr>
        <w:t>section 2.4 in schedule 2 of the EP Act</w:t>
      </w:r>
      <w:r>
        <w:rPr>
          <w:rFonts w:ascii="Arial" w:hAnsi="Arial" w:cs="Arial"/>
          <w:iCs/>
          <w:color w:val="000000" w:themeColor="text1"/>
          <w:sz w:val="24"/>
          <w:szCs w:val="24"/>
        </w:rPr>
        <w:t xml:space="preserve"> p</w:t>
      </w:r>
      <w:r w:rsidRPr="009603C4">
        <w:rPr>
          <w:rFonts w:ascii="Arial" w:hAnsi="Arial" w:cs="Arial"/>
          <w:iCs/>
          <w:color w:val="000000" w:themeColor="text1"/>
          <w:sz w:val="24"/>
          <w:szCs w:val="24"/>
        </w:rPr>
        <w:t>rohibit</w:t>
      </w:r>
      <w:r>
        <w:rPr>
          <w:rFonts w:ascii="Arial" w:hAnsi="Arial" w:cs="Arial"/>
          <w:iCs/>
          <w:color w:val="000000" w:themeColor="text1"/>
          <w:sz w:val="24"/>
          <w:szCs w:val="24"/>
        </w:rPr>
        <w:t>s</w:t>
      </w:r>
      <w:r w:rsidRPr="009603C4">
        <w:rPr>
          <w:rFonts w:ascii="Arial" w:hAnsi="Arial" w:cs="Arial"/>
          <w:iCs/>
          <w:color w:val="000000" w:themeColor="text1"/>
          <w:sz w:val="24"/>
          <w:szCs w:val="24"/>
        </w:rPr>
        <w:t xml:space="preserve"> the installation of non-compliant wood heaters</w:t>
      </w:r>
      <w:r>
        <w:rPr>
          <w:rFonts w:ascii="Arial" w:hAnsi="Arial" w:cs="Arial"/>
          <w:iCs/>
          <w:color w:val="000000" w:themeColor="text1"/>
          <w:sz w:val="24"/>
          <w:szCs w:val="24"/>
        </w:rPr>
        <w:t xml:space="preserve">. </w:t>
      </w:r>
      <w:r w:rsidR="00B75F54">
        <w:rPr>
          <w:rFonts w:ascii="Arial" w:hAnsi="Arial" w:cs="Arial"/>
          <w:iCs/>
          <w:color w:val="000000" w:themeColor="text1"/>
          <w:sz w:val="24"/>
          <w:szCs w:val="24"/>
        </w:rPr>
        <w:t>While t</w:t>
      </w:r>
      <w:r>
        <w:rPr>
          <w:rFonts w:ascii="Arial" w:hAnsi="Arial" w:cs="Arial"/>
          <w:iCs/>
          <w:color w:val="000000" w:themeColor="text1"/>
          <w:sz w:val="24"/>
          <w:szCs w:val="24"/>
        </w:rPr>
        <w:t>his</w:t>
      </w:r>
      <w:r w:rsidRPr="009603C4">
        <w:rPr>
          <w:rFonts w:ascii="Arial" w:hAnsi="Arial" w:cs="Arial"/>
          <w:iCs/>
          <w:color w:val="000000" w:themeColor="text1"/>
          <w:sz w:val="24"/>
          <w:szCs w:val="24"/>
        </w:rPr>
        <w:t xml:space="preserve"> will to some degree limit people’s choice of the types of heaters they can install in their homes in the future</w:t>
      </w:r>
      <w:r w:rsidR="00B75F54">
        <w:rPr>
          <w:rFonts w:ascii="Arial" w:hAnsi="Arial" w:cs="Arial"/>
          <w:iCs/>
          <w:color w:val="000000" w:themeColor="text1"/>
          <w:sz w:val="24"/>
          <w:szCs w:val="24"/>
        </w:rPr>
        <w:t>, heaters that don’t meet these standards are illegal to sell in the ACT.</w:t>
      </w:r>
      <w:r w:rsidR="00E87DDA">
        <w:rPr>
          <w:rFonts w:ascii="Arial" w:hAnsi="Arial" w:cs="Arial"/>
          <w:iCs/>
          <w:color w:val="000000" w:themeColor="text1"/>
          <w:sz w:val="24"/>
          <w:szCs w:val="24"/>
        </w:rPr>
        <w:t xml:space="preserve"> They will remain able to install compliant wood heaters</w:t>
      </w:r>
      <w:r w:rsidR="00D64D26">
        <w:rPr>
          <w:rFonts w:ascii="Arial" w:hAnsi="Arial" w:cs="Arial"/>
          <w:iCs/>
          <w:color w:val="000000" w:themeColor="text1"/>
          <w:sz w:val="24"/>
          <w:szCs w:val="24"/>
        </w:rPr>
        <w:t xml:space="preserve"> or another heating system</w:t>
      </w:r>
      <w:r w:rsidR="00E87DDA">
        <w:rPr>
          <w:rFonts w:ascii="Arial" w:hAnsi="Arial" w:cs="Arial"/>
          <w:iCs/>
          <w:color w:val="000000" w:themeColor="text1"/>
          <w:sz w:val="24"/>
          <w:szCs w:val="24"/>
        </w:rPr>
        <w:t>.</w:t>
      </w:r>
    </w:p>
    <w:p w14:paraId="51346B7D" w14:textId="740F9760" w:rsidR="00E90DF9" w:rsidRPr="008A313B" w:rsidRDefault="00E90DF9" w:rsidP="008A313B">
      <w:pPr>
        <w:pStyle w:val="ListParagraph"/>
        <w:numPr>
          <w:ilvl w:val="0"/>
          <w:numId w:val="1"/>
        </w:numPr>
        <w:rPr>
          <w:rFonts w:ascii="Arial" w:hAnsi="Arial" w:cs="Arial"/>
          <w:b/>
          <w:bCs/>
          <w:i/>
          <w:sz w:val="24"/>
          <w:szCs w:val="24"/>
        </w:rPr>
      </w:pPr>
      <w:r w:rsidRPr="00414921">
        <w:rPr>
          <w:rFonts w:ascii="Arial" w:hAnsi="Arial" w:cs="Arial"/>
          <w:b/>
          <w:bCs/>
          <w:i/>
          <w:sz w:val="24"/>
          <w:szCs w:val="24"/>
        </w:rPr>
        <w:lastRenderedPageBreak/>
        <w:t>Legitimate purpose (s28(b))</w:t>
      </w:r>
    </w:p>
    <w:p w14:paraId="58F038E5" w14:textId="4670160E" w:rsidR="00F02135" w:rsidRDefault="00002671" w:rsidP="00F02135">
      <w:pPr>
        <w:rPr>
          <w:rFonts w:ascii="Arial" w:hAnsi="Arial"/>
          <w:iCs/>
          <w:color w:val="000000" w:themeColor="text1"/>
          <w:sz w:val="24"/>
          <w:szCs w:val="24"/>
        </w:rPr>
      </w:pPr>
      <w:r w:rsidRPr="009603C4">
        <w:rPr>
          <w:rFonts w:ascii="Arial" w:hAnsi="Arial" w:cs="Arial"/>
          <w:iCs/>
          <w:color w:val="000000" w:themeColor="text1"/>
          <w:sz w:val="24"/>
          <w:szCs w:val="24"/>
        </w:rPr>
        <w:t>Addressing and preventing the health and environmental impacts of woodfire smoke is a legitimate purpose</w:t>
      </w:r>
      <w:r>
        <w:rPr>
          <w:rFonts w:ascii="Arial" w:hAnsi="Arial" w:cs="Arial"/>
          <w:iCs/>
          <w:color w:val="000000" w:themeColor="text1"/>
          <w:sz w:val="24"/>
          <w:szCs w:val="24"/>
        </w:rPr>
        <w:t>. These impacts are well documented including through the</w:t>
      </w:r>
      <w:r w:rsidR="00F55B84">
        <w:rPr>
          <w:rFonts w:ascii="Arial" w:hAnsi="Arial" w:cs="Arial"/>
          <w:iCs/>
          <w:color w:val="000000" w:themeColor="text1"/>
          <w:sz w:val="24"/>
          <w:szCs w:val="24"/>
        </w:rPr>
        <w:t xml:space="preserve"> Report from the ACT Commissioner for Sustainability and Environment’s </w:t>
      </w:r>
      <w:r w:rsidR="00F55B84" w:rsidRPr="00F55B84">
        <w:rPr>
          <w:rFonts w:ascii="Arial" w:hAnsi="Arial" w:cs="Arial"/>
          <w:iCs/>
          <w:color w:val="000000" w:themeColor="text1"/>
          <w:sz w:val="24"/>
          <w:szCs w:val="24"/>
        </w:rPr>
        <w:t xml:space="preserve">Investigation </w:t>
      </w:r>
      <w:r w:rsidR="00F55B84">
        <w:rPr>
          <w:rFonts w:ascii="Arial" w:hAnsi="Arial" w:cs="Arial"/>
          <w:iCs/>
          <w:color w:val="000000" w:themeColor="text1"/>
          <w:sz w:val="24"/>
          <w:szCs w:val="24"/>
        </w:rPr>
        <w:t>i</w:t>
      </w:r>
      <w:r w:rsidR="00F55B84" w:rsidRPr="00F55B84">
        <w:rPr>
          <w:rFonts w:ascii="Arial" w:hAnsi="Arial" w:cs="Arial"/>
          <w:iCs/>
          <w:color w:val="000000" w:themeColor="text1"/>
          <w:sz w:val="24"/>
          <w:szCs w:val="24"/>
        </w:rPr>
        <w:t xml:space="preserve">nto Wood Heater Policy </w:t>
      </w:r>
      <w:r w:rsidR="00F55B84">
        <w:rPr>
          <w:rFonts w:ascii="Arial" w:hAnsi="Arial" w:cs="Arial"/>
          <w:iCs/>
          <w:color w:val="000000" w:themeColor="text1"/>
          <w:sz w:val="24"/>
          <w:szCs w:val="24"/>
        </w:rPr>
        <w:t>i</w:t>
      </w:r>
      <w:r w:rsidR="00F55B84" w:rsidRPr="00F55B84">
        <w:rPr>
          <w:rFonts w:ascii="Arial" w:hAnsi="Arial" w:cs="Arial"/>
          <w:iCs/>
          <w:color w:val="000000" w:themeColor="text1"/>
          <w:sz w:val="24"/>
          <w:szCs w:val="24"/>
        </w:rPr>
        <w:t xml:space="preserve">n </w:t>
      </w:r>
      <w:r w:rsidR="00F55B84">
        <w:rPr>
          <w:rFonts w:ascii="Arial" w:hAnsi="Arial" w:cs="Arial"/>
          <w:iCs/>
          <w:color w:val="000000" w:themeColor="text1"/>
          <w:sz w:val="24"/>
          <w:szCs w:val="24"/>
        </w:rPr>
        <w:t>t</w:t>
      </w:r>
      <w:r w:rsidR="00F55B84" w:rsidRPr="00F55B84">
        <w:rPr>
          <w:rFonts w:ascii="Arial" w:hAnsi="Arial" w:cs="Arial"/>
          <w:iCs/>
          <w:color w:val="000000" w:themeColor="text1"/>
          <w:sz w:val="24"/>
          <w:szCs w:val="24"/>
        </w:rPr>
        <w:t xml:space="preserve">he </w:t>
      </w:r>
      <w:r w:rsidR="00F55B84">
        <w:rPr>
          <w:rFonts w:ascii="Arial" w:hAnsi="Arial" w:cs="Arial"/>
          <w:iCs/>
          <w:color w:val="000000" w:themeColor="text1"/>
          <w:sz w:val="24"/>
          <w:szCs w:val="24"/>
        </w:rPr>
        <w:t xml:space="preserve">ACT, and the ACT Government’s </w:t>
      </w:r>
      <w:r w:rsidR="00F55B84" w:rsidRPr="00A92964">
        <w:rPr>
          <w:rFonts w:ascii="Arial" w:hAnsi="Arial" w:cs="Arial"/>
          <w:i/>
          <w:color w:val="000000" w:themeColor="text1"/>
          <w:sz w:val="24"/>
          <w:szCs w:val="24"/>
        </w:rPr>
        <w:t>Bushfire Smoke and Air Quality Strategy 2021-2025</w:t>
      </w:r>
      <w:r w:rsidR="00F55B84">
        <w:rPr>
          <w:rFonts w:ascii="Arial" w:hAnsi="Arial" w:cs="Arial"/>
          <w:iCs/>
          <w:color w:val="000000" w:themeColor="text1"/>
          <w:sz w:val="24"/>
          <w:szCs w:val="24"/>
        </w:rPr>
        <w:t>.</w:t>
      </w:r>
    </w:p>
    <w:p w14:paraId="1F9E67B6" w14:textId="77777777" w:rsidR="007471DC" w:rsidRDefault="007471DC" w:rsidP="00F02135">
      <w:pPr>
        <w:rPr>
          <w:rFonts w:ascii="Arial" w:hAnsi="Arial" w:cs="Arial"/>
          <w:b/>
          <w:bCs/>
          <w:i/>
          <w:sz w:val="24"/>
          <w:szCs w:val="24"/>
        </w:rPr>
      </w:pPr>
    </w:p>
    <w:p w14:paraId="434B9B86" w14:textId="77777777" w:rsidR="000E01F5" w:rsidRDefault="00E90DF9" w:rsidP="000E01F5">
      <w:pPr>
        <w:spacing w:after="0" w:line="240" w:lineRule="auto"/>
        <w:rPr>
          <w:rFonts w:ascii="Arial" w:hAnsi="Arial" w:cs="Arial"/>
          <w:b/>
          <w:bCs/>
          <w:i/>
          <w:sz w:val="24"/>
          <w:szCs w:val="24"/>
          <w:lang w:eastAsia="en-AU"/>
        </w:rPr>
      </w:pPr>
      <w:r w:rsidRPr="00414921">
        <w:rPr>
          <w:rFonts w:ascii="Arial" w:hAnsi="Arial" w:cs="Arial"/>
          <w:b/>
          <w:bCs/>
          <w:i/>
          <w:sz w:val="24"/>
          <w:szCs w:val="24"/>
          <w:lang w:eastAsia="en-AU"/>
        </w:rPr>
        <w:t>Rational connection between the limitation and the purpose (s28(d))</w:t>
      </w:r>
    </w:p>
    <w:p w14:paraId="6E83DB12" w14:textId="043012BD" w:rsidR="00AE55B1" w:rsidRPr="000E01F5" w:rsidRDefault="00AE55B1" w:rsidP="00AE55B1">
      <w:pPr>
        <w:rPr>
          <w:rFonts w:ascii="Arial" w:hAnsi="Arial" w:cs="Arial"/>
          <w:b/>
          <w:bCs/>
          <w:i/>
          <w:sz w:val="24"/>
          <w:szCs w:val="24"/>
        </w:rPr>
      </w:pPr>
      <w:r>
        <w:rPr>
          <w:rFonts w:ascii="Arial" w:hAnsi="Arial" w:cs="Arial"/>
          <w:iCs/>
          <w:color w:val="000000" w:themeColor="text1"/>
          <w:sz w:val="24"/>
          <w:szCs w:val="24"/>
        </w:rPr>
        <w:t xml:space="preserve">The existing offence prevents the sale of non-compliant wood heaters. This amendment prevents installation of non-compliant wood heaters that have been gifted or reinstalled from a previous location. Over time this will further reduce the use of non-compliant wood heaters which contribute </w:t>
      </w:r>
      <w:r w:rsidR="00B75F54">
        <w:rPr>
          <w:rFonts w:ascii="Arial" w:hAnsi="Arial" w:cs="Arial"/>
          <w:iCs/>
          <w:color w:val="000000" w:themeColor="text1"/>
          <w:sz w:val="24"/>
          <w:szCs w:val="24"/>
        </w:rPr>
        <w:t xml:space="preserve">proportionately more </w:t>
      </w:r>
      <w:r>
        <w:rPr>
          <w:rFonts w:ascii="Arial" w:hAnsi="Arial" w:cs="Arial"/>
          <w:iCs/>
          <w:color w:val="000000" w:themeColor="text1"/>
          <w:sz w:val="24"/>
          <w:szCs w:val="24"/>
        </w:rPr>
        <w:t>to poor air quality.</w:t>
      </w:r>
    </w:p>
    <w:p w14:paraId="5172803E" w14:textId="472692A7" w:rsidR="00E90DF9" w:rsidRPr="00AE55B1" w:rsidRDefault="00AE55B1" w:rsidP="00AE55B1">
      <w:pPr>
        <w:rPr>
          <w:rFonts w:ascii="Arial" w:hAnsi="Arial" w:cs="Arial"/>
          <w:iCs/>
          <w:color w:val="000000" w:themeColor="text1"/>
          <w:sz w:val="24"/>
          <w:szCs w:val="24"/>
        </w:rPr>
      </w:pPr>
      <w:r>
        <w:rPr>
          <w:rFonts w:ascii="Arial" w:hAnsi="Arial" w:cs="Arial"/>
          <w:iCs/>
          <w:color w:val="000000" w:themeColor="text1"/>
          <w:sz w:val="24"/>
          <w:szCs w:val="24"/>
        </w:rPr>
        <w:t xml:space="preserve">The </w:t>
      </w:r>
      <w:r w:rsidRPr="009603C4">
        <w:rPr>
          <w:rFonts w:ascii="Arial" w:hAnsi="Arial" w:cs="Arial"/>
          <w:iCs/>
          <w:color w:val="000000" w:themeColor="text1"/>
          <w:sz w:val="24"/>
          <w:szCs w:val="24"/>
        </w:rPr>
        <w:t xml:space="preserve">limitation would further be consistent with the Human Rights Act because it will be provided in legislation, </w:t>
      </w:r>
      <w:r>
        <w:rPr>
          <w:rFonts w:ascii="Arial" w:hAnsi="Arial" w:cs="Arial"/>
          <w:iCs/>
          <w:color w:val="000000" w:themeColor="text1"/>
          <w:sz w:val="24"/>
          <w:szCs w:val="24"/>
        </w:rPr>
        <w:t xml:space="preserve">is a clear prohibition on the activity by anyone, </w:t>
      </w:r>
      <w:r w:rsidRPr="009603C4">
        <w:rPr>
          <w:rFonts w:ascii="Arial" w:hAnsi="Arial" w:cs="Arial"/>
          <w:iCs/>
          <w:color w:val="000000" w:themeColor="text1"/>
          <w:sz w:val="24"/>
          <w:szCs w:val="24"/>
        </w:rPr>
        <w:t>and would apply to all installations, rather than arbitrarily.</w:t>
      </w:r>
    </w:p>
    <w:p w14:paraId="30AEBBAB" w14:textId="77777777" w:rsidR="00E90DF9" w:rsidRDefault="00E90DF9" w:rsidP="00E90DF9">
      <w:pPr>
        <w:pStyle w:val="ListParagraph"/>
        <w:numPr>
          <w:ilvl w:val="0"/>
          <w:numId w:val="1"/>
        </w:numPr>
        <w:rPr>
          <w:rFonts w:ascii="Arial" w:hAnsi="Arial" w:cs="Arial"/>
          <w:b/>
          <w:bCs/>
          <w:i/>
          <w:sz w:val="24"/>
          <w:szCs w:val="24"/>
        </w:rPr>
      </w:pPr>
      <w:r w:rsidRPr="00414921">
        <w:rPr>
          <w:rFonts w:ascii="Arial" w:hAnsi="Arial" w:cs="Arial"/>
          <w:b/>
          <w:bCs/>
          <w:i/>
          <w:sz w:val="24"/>
          <w:szCs w:val="24"/>
        </w:rPr>
        <w:t>Proportionality (s28 (e))</w:t>
      </w:r>
    </w:p>
    <w:p w14:paraId="3FC47448" w14:textId="6D5B3E3B" w:rsidR="00AE55B1" w:rsidRDefault="00002671" w:rsidP="00002671">
      <w:pPr>
        <w:rPr>
          <w:rFonts w:ascii="Arial" w:hAnsi="Arial" w:cs="Arial"/>
          <w:iCs/>
          <w:color w:val="000000" w:themeColor="text1"/>
          <w:sz w:val="24"/>
          <w:szCs w:val="24"/>
        </w:rPr>
      </w:pPr>
      <w:r>
        <w:rPr>
          <w:rFonts w:ascii="Arial" w:hAnsi="Arial" w:cs="Arial"/>
          <w:iCs/>
          <w:color w:val="000000" w:themeColor="text1"/>
          <w:sz w:val="24"/>
          <w:szCs w:val="24"/>
        </w:rPr>
        <w:t>This measure is proportionate because</w:t>
      </w:r>
      <w:r w:rsidRPr="009603C4">
        <w:rPr>
          <w:rFonts w:ascii="Arial" w:hAnsi="Arial" w:cs="Arial"/>
          <w:iCs/>
          <w:color w:val="000000" w:themeColor="text1"/>
          <w:sz w:val="24"/>
          <w:szCs w:val="24"/>
        </w:rPr>
        <w:t xml:space="preserve"> community members will be permitted to purchase and install in their homes wood heaters that do comply with emissions standards or other types of heaters. Further, people will not have to remove existing wood heater systems</w:t>
      </w:r>
      <w:r w:rsidR="00F02135">
        <w:rPr>
          <w:rFonts w:ascii="Arial" w:hAnsi="Arial" w:cs="Arial"/>
          <w:iCs/>
          <w:color w:val="000000" w:themeColor="text1"/>
          <w:sz w:val="24"/>
          <w:szCs w:val="24"/>
        </w:rPr>
        <w:t>.</w:t>
      </w:r>
    </w:p>
    <w:p w14:paraId="252804C8" w14:textId="29910CF7" w:rsidR="008A313B" w:rsidRDefault="00B75F54" w:rsidP="00002671">
      <w:pPr>
        <w:rPr>
          <w:rFonts w:ascii="Arial" w:hAnsi="Arial" w:cs="Arial"/>
          <w:iCs/>
          <w:color w:val="000000" w:themeColor="text1"/>
          <w:sz w:val="24"/>
          <w:szCs w:val="24"/>
        </w:rPr>
      </w:pPr>
      <w:r>
        <w:rPr>
          <w:rFonts w:ascii="Arial" w:hAnsi="Arial" w:cs="Arial"/>
          <w:iCs/>
          <w:color w:val="000000" w:themeColor="text1"/>
          <w:sz w:val="24"/>
          <w:szCs w:val="24"/>
        </w:rPr>
        <w:t>Restricting non-complaint</w:t>
      </w:r>
      <w:r w:rsidR="00AE55B1">
        <w:rPr>
          <w:rFonts w:ascii="Arial" w:hAnsi="Arial" w:cs="Arial"/>
          <w:iCs/>
          <w:color w:val="000000" w:themeColor="text1"/>
          <w:sz w:val="24"/>
          <w:szCs w:val="24"/>
        </w:rPr>
        <w:t xml:space="preserve"> installation</w:t>
      </w:r>
      <w:r>
        <w:rPr>
          <w:rFonts w:ascii="Arial" w:hAnsi="Arial" w:cs="Arial"/>
          <w:iCs/>
          <w:color w:val="000000" w:themeColor="text1"/>
          <w:sz w:val="24"/>
          <w:szCs w:val="24"/>
        </w:rPr>
        <w:t>s</w:t>
      </w:r>
      <w:r w:rsidR="00AE55B1">
        <w:rPr>
          <w:rFonts w:ascii="Arial" w:hAnsi="Arial" w:cs="Arial"/>
          <w:iCs/>
          <w:color w:val="000000" w:themeColor="text1"/>
          <w:sz w:val="24"/>
          <w:szCs w:val="24"/>
        </w:rPr>
        <w:t xml:space="preserve"> closes off a loophole in the existing scheme which would have allowed old non-compliant wood heaters to be reinstalled</w:t>
      </w:r>
      <w:r w:rsidR="00E87DDA">
        <w:rPr>
          <w:rFonts w:ascii="Arial" w:hAnsi="Arial" w:cs="Arial"/>
          <w:iCs/>
          <w:color w:val="000000" w:themeColor="text1"/>
          <w:sz w:val="24"/>
          <w:szCs w:val="24"/>
        </w:rPr>
        <w:t>. This measure</w:t>
      </w:r>
      <w:r w:rsidR="00AE55B1">
        <w:rPr>
          <w:rFonts w:ascii="Arial" w:hAnsi="Arial" w:cs="Arial"/>
          <w:iCs/>
          <w:color w:val="000000" w:themeColor="text1"/>
          <w:sz w:val="24"/>
          <w:szCs w:val="24"/>
        </w:rPr>
        <w:t xml:space="preserve"> contributes to the improvement of air quality </w:t>
      </w:r>
      <w:r w:rsidR="00E87DDA">
        <w:rPr>
          <w:rFonts w:ascii="Arial" w:hAnsi="Arial" w:cs="Arial"/>
          <w:iCs/>
          <w:color w:val="000000" w:themeColor="text1"/>
          <w:sz w:val="24"/>
          <w:szCs w:val="24"/>
        </w:rPr>
        <w:t>by</w:t>
      </w:r>
      <w:r w:rsidR="00AE55B1">
        <w:rPr>
          <w:rFonts w:ascii="Arial" w:hAnsi="Arial" w:cs="Arial"/>
          <w:iCs/>
          <w:color w:val="000000" w:themeColor="text1"/>
          <w:sz w:val="24"/>
          <w:szCs w:val="24"/>
        </w:rPr>
        <w:t xml:space="preserve"> taking non-compliant wood heaters out of circulation. There are no less restrictive means of </w:t>
      </w:r>
      <w:r w:rsidR="001168EA">
        <w:rPr>
          <w:rFonts w:ascii="Arial" w:hAnsi="Arial" w:cs="Arial"/>
          <w:iCs/>
          <w:color w:val="000000" w:themeColor="text1"/>
          <w:sz w:val="24"/>
          <w:szCs w:val="24"/>
        </w:rPr>
        <w:t xml:space="preserve">lawfully </w:t>
      </w:r>
      <w:r w:rsidR="00AE55B1">
        <w:rPr>
          <w:rFonts w:ascii="Arial" w:hAnsi="Arial" w:cs="Arial"/>
          <w:iCs/>
          <w:color w:val="000000" w:themeColor="text1"/>
          <w:sz w:val="24"/>
          <w:szCs w:val="24"/>
        </w:rPr>
        <w:t xml:space="preserve">preventing the installation of </w:t>
      </w:r>
      <w:r w:rsidR="00E87DDA">
        <w:rPr>
          <w:rFonts w:ascii="Arial" w:hAnsi="Arial" w:cs="Arial"/>
          <w:iCs/>
          <w:color w:val="000000" w:themeColor="text1"/>
          <w:sz w:val="24"/>
          <w:szCs w:val="24"/>
        </w:rPr>
        <w:t xml:space="preserve">older </w:t>
      </w:r>
      <w:r w:rsidR="00AE55B1">
        <w:rPr>
          <w:rFonts w:ascii="Arial" w:hAnsi="Arial" w:cs="Arial"/>
          <w:iCs/>
          <w:color w:val="000000" w:themeColor="text1"/>
          <w:sz w:val="24"/>
          <w:szCs w:val="24"/>
        </w:rPr>
        <w:t>non-compliant wood heaters.</w:t>
      </w:r>
    </w:p>
    <w:p w14:paraId="07A0EEAB" w14:textId="7E92FE72" w:rsidR="008A313B" w:rsidRPr="008A313B" w:rsidRDefault="008A313B" w:rsidP="00002671">
      <w:pPr>
        <w:rPr>
          <w:rFonts w:ascii="Arial" w:hAnsi="Arial" w:cs="Arial"/>
          <w:iCs/>
          <w:color w:val="000000" w:themeColor="text1"/>
          <w:sz w:val="24"/>
          <w:szCs w:val="24"/>
          <w:u w:val="single"/>
        </w:rPr>
      </w:pPr>
      <w:r w:rsidRPr="008A313B">
        <w:rPr>
          <w:rFonts w:ascii="Arial" w:hAnsi="Arial" w:cs="Arial"/>
          <w:iCs/>
          <w:color w:val="000000" w:themeColor="text1"/>
          <w:sz w:val="24"/>
          <w:szCs w:val="24"/>
          <w:u w:val="single"/>
        </w:rPr>
        <w:t>Freedom of Expression</w:t>
      </w:r>
    </w:p>
    <w:p w14:paraId="0DF8599B" w14:textId="77777777" w:rsidR="008A313B" w:rsidRPr="00414921" w:rsidRDefault="008A313B" w:rsidP="008A313B">
      <w:pPr>
        <w:pStyle w:val="ListParagraph"/>
        <w:numPr>
          <w:ilvl w:val="0"/>
          <w:numId w:val="1"/>
        </w:numPr>
        <w:rPr>
          <w:rFonts w:ascii="Arial" w:hAnsi="Arial" w:cs="Arial"/>
          <w:b/>
          <w:bCs/>
          <w:i/>
          <w:sz w:val="24"/>
          <w:szCs w:val="24"/>
        </w:rPr>
      </w:pPr>
      <w:r w:rsidRPr="00414921">
        <w:rPr>
          <w:rFonts w:ascii="Arial" w:hAnsi="Arial" w:cs="Arial"/>
          <w:b/>
          <w:bCs/>
          <w:i/>
          <w:sz w:val="24"/>
          <w:szCs w:val="24"/>
        </w:rPr>
        <w:t>Nature of the right and the limitation (s28(a) and</w:t>
      </w:r>
      <w:r>
        <w:rPr>
          <w:rFonts w:ascii="Arial" w:hAnsi="Arial" w:cs="Arial"/>
          <w:b/>
          <w:bCs/>
          <w:i/>
          <w:sz w:val="24"/>
          <w:szCs w:val="24"/>
        </w:rPr>
        <w:t xml:space="preserve"> </w:t>
      </w:r>
      <w:r w:rsidRPr="00414921">
        <w:rPr>
          <w:rFonts w:ascii="Arial" w:hAnsi="Arial" w:cs="Arial"/>
          <w:b/>
          <w:bCs/>
          <w:i/>
          <w:sz w:val="24"/>
          <w:szCs w:val="24"/>
        </w:rPr>
        <w:t>(c))</w:t>
      </w:r>
    </w:p>
    <w:p w14:paraId="6B250073" w14:textId="38D314FE" w:rsidR="00D24F1A" w:rsidRDefault="00FE3CD8" w:rsidP="008A313B">
      <w:pPr>
        <w:rPr>
          <w:rFonts w:ascii="Arial" w:hAnsi="Arial" w:cs="Arial"/>
          <w:iCs/>
          <w:sz w:val="24"/>
          <w:szCs w:val="24"/>
        </w:rPr>
      </w:pPr>
      <w:r>
        <w:rPr>
          <w:rFonts w:ascii="Arial" w:hAnsi="Arial" w:cs="Arial"/>
          <w:iCs/>
          <w:sz w:val="24"/>
          <w:szCs w:val="24"/>
        </w:rPr>
        <w:t>As mentioned above in rights promoted, t</w:t>
      </w:r>
      <w:r w:rsidR="008A313B" w:rsidRPr="008A313B">
        <w:rPr>
          <w:rFonts w:ascii="Arial" w:hAnsi="Arial" w:cs="Arial"/>
          <w:iCs/>
          <w:sz w:val="24"/>
          <w:szCs w:val="24"/>
        </w:rPr>
        <w:t>he Right to Freedom of Expression as expressed in section 16 (2) of the Human Rights Act</w:t>
      </w:r>
      <w:r w:rsidR="008A313B">
        <w:rPr>
          <w:rFonts w:ascii="Arial" w:hAnsi="Arial" w:cs="Arial"/>
          <w:iCs/>
          <w:sz w:val="24"/>
          <w:szCs w:val="24"/>
        </w:rPr>
        <w:t xml:space="preserve"> includes the freedom to seek, receive and impart information. Sections 19 to 21 of the existing </w:t>
      </w:r>
      <w:r w:rsidR="00F079F2">
        <w:rPr>
          <w:rFonts w:ascii="Arial" w:hAnsi="Arial" w:cs="Arial"/>
          <w:iCs/>
          <w:sz w:val="24"/>
          <w:szCs w:val="24"/>
        </w:rPr>
        <w:t xml:space="preserve">EP </w:t>
      </w:r>
      <w:r w:rsidR="008A313B">
        <w:rPr>
          <w:rFonts w:ascii="Arial" w:hAnsi="Arial" w:cs="Arial"/>
          <w:iCs/>
          <w:sz w:val="24"/>
          <w:szCs w:val="24"/>
        </w:rPr>
        <w:t xml:space="preserve">Act contain a process for the </w:t>
      </w:r>
      <w:r w:rsidR="00F079F2">
        <w:rPr>
          <w:rFonts w:ascii="Arial" w:hAnsi="Arial" w:cs="Arial"/>
          <w:iCs/>
          <w:sz w:val="24"/>
          <w:szCs w:val="24"/>
        </w:rPr>
        <w:t>A</w:t>
      </w:r>
      <w:r w:rsidR="008A313B">
        <w:rPr>
          <w:rFonts w:ascii="Arial" w:hAnsi="Arial" w:cs="Arial"/>
          <w:iCs/>
          <w:sz w:val="24"/>
          <w:szCs w:val="24"/>
        </w:rPr>
        <w:t>uthority to provide environmental information and documents to the public</w:t>
      </w:r>
      <w:r w:rsidR="001168EA">
        <w:rPr>
          <w:rFonts w:ascii="Arial" w:hAnsi="Arial" w:cs="Arial"/>
          <w:iCs/>
          <w:sz w:val="24"/>
          <w:szCs w:val="24"/>
        </w:rPr>
        <w:t>,</w:t>
      </w:r>
      <w:r w:rsidR="00D24F1A">
        <w:rPr>
          <w:rFonts w:ascii="Arial" w:hAnsi="Arial" w:cs="Arial"/>
          <w:iCs/>
          <w:sz w:val="24"/>
          <w:szCs w:val="24"/>
        </w:rPr>
        <w:t xml:space="preserve"> and for affected persons to apply to exclude some information from publication</w:t>
      </w:r>
      <w:r w:rsidR="008A313B">
        <w:rPr>
          <w:rFonts w:ascii="Arial" w:hAnsi="Arial" w:cs="Arial"/>
          <w:iCs/>
          <w:sz w:val="24"/>
          <w:szCs w:val="24"/>
        </w:rPr>
        <w:t>.</w:t>
      </w:r>
    </w:p>
    <w:p w14:paraId="7532357A" w14:textId="77777777" w:rsidR="00DB659E" w:rsidRDefault="00DB659E">
      <w:pPr>
        <w:spacing w:after="160" w:line="259" w:lineRule="auto"/>
        <w:rPr>
          <w:rFonts w:ascii="Arial" w:hAnsi="Arial" w:cs="Arial"/>
          <w:iCs/>
          <w:sz w:val="24"/>
          <w:szCs w:val="24"/>
        </w:rPr>
      </w:pPr>
      <w:r>
        <w:rPr>
          <w:rFonts w:ascii="Arial" w:hAnsi="Arial" w:cs="Arial"/>
          <w:iCs/>
          <w:sz w:val="24"/>
          <w:szCs w:val="24"/>
        </w:rPr>
        <w:br w:type="page"/>
      </w:r>
    </w:p>
    <w:p w14:paraId="3408C9DE" w14:textId="6499A3EA" w:rsidR="00EE3DBA" w:rsidRDefault="00C15B35" w:rsidP="008A313B">
      <w:pPr>
        <w:rPr>
          <w:rFonts w:ascii="Arial" w:hAnsi="Arial" w:cs="Arial"/>
          <w:iCs/>
          <w:sz w:val="24"/>
          <w:szCs w:val="24"/>
        </w:rPr>
      </w:pPr>
      <w:r>
        <w:rPr>
          <w:rFonts w:ascii="Arial" w:hAnsi="Arial" w:cs="Arial"/>
          <w:iCs/>
          <w:sz w:val="24"/>
          <w:szCs w:val="24"/>
        </w:rPr>
        <w:lastRenderedPageBreak/>
        <w:t>The existing s</w:t>
      </w:r>
      <w:r w:rsidR="008A313B">
        <w:rPr>
          <w:rFonts w:ascii="Arial" w:hAnsi="Arial" w:cs="Arial"/>
          <w:iCs/>
          <w:sz w:val="24"/>
          <w:szCs w:val="24"/>
        </w:rPr>
        <w:t xml:space="preserve">ection 21 includes </w:t>
      </w:r>
      <w:r>
        <w:rPr>
          <w:rFonts w:ascii="Arial" w:hAnsi="Arial" w:cs="Arial"/>
          <w:iCs/>
          <w:sz w:val="24"/>
          <w:szCs w:val="24"/>
        </w:rPr>
        <w:t>a process for a person providing a document</w:t>
      </w:r>
      <w:r w:rsidR="00EE3DBA">
        <w:rPr>
          <w:rFonts w:ascii="Arial" w:hAnsi="Arial" w:cs="Arial"/>
          <w:iCs/>
          <w:sz w:val="24"/>
          <w:szCs w:val="24"/>
        </w:rPr>
        <w:t>, or</w:t>
      </w:r>
      <w:r w:rsidR="00D24F1A">
        <w:rPr>
          <w:rFonts w:ascii="Arial" w:hAnsi="Arial" w:cs="Arial"/>
          <w:iCs/>
          <w:sz w:val="24"/>
          <w:szCs w:val="24"/>
        </w:rPr>
        <w:t xml:space="preserve"> a person</w:t>
      </w:r>
      <w:r w:rsidR="00EE3DBA">
        <w:rPr>
          <w:rFonts w:ascii="Arial" w:hAnsi="Arial" w:cs="Arial"/>
          <w:iCs/>
          <w:sz w:val="24"/>
          <w:szCs w:val="24"/>
        </w:rPr>
        <w:t xml:space="preserve"> whose interests are affected by the provision of the document, to apply to the </w:t>
      </w:r>
      <w:r w:rsidR="00F079F2">
        <w:rPr>
          <w:rFonts w:ascii="Arial" w:hAnsi="Arial" w:cs="Arial"/>
          <w:iCs/>
          <w:sz w:val="24"/>
          <w:szCs w:val="24"/>
        </w:rPr>
        <w:t>A</w:t>
      </w:r>
      <w:r w:rsidR="00EE3DBA">
        <w:rPr>
          <w:rFonts w:ascii="Arial" w:hAnsi="Arial" w:cs="Arial"/>
          <w:iCs/>
          <w:sz w:val="24"/>
          <w:szCs w:val="24"/>
        </w:rPr>
        <w:t xml:space="preserve">uthority to exclude from publication material that would reveal a trade secret or whose disclosure would reasonably be expected to adversely affect the person in relation to the lawful business affairs of that person. For exclusion to occur the </w:t>
      </w:r>
      <w:r w:rsidR="00B75F54">
        <w:rPr>
          <w:rFonts w:ascii="Arial" w:hAnsi="Arial" w:cs="Arial"/>
          <w:iCs/>
          <w:sz w:val="24"/>
          <w:szCs w:val="24"/>
        </w:rPr>
        <w:t>A</w:t>
      </w:r>
      <w:r w:rsidR="00EE3DBA">
        <w:rPr>
          <w:rFonts w:ascii="Arial" w:hAnsi="Arial" w:cs="Arial"/>
          <w:iCs/>
          <w:sz w:val="24"/>
          <w:szCs w:val="24"/>
        </w:rPr>
        <w:t xml:space="preserve">uthority must decide, </w:t>
      </w:r>
      <w:r w:rsidR="00D24F1A">
        <w:rPr>
          <w:rFonts w:ascii="Arial" w:hAnsi="Arial" w:cs="Arial"/>
          <w:iCs/>
          <w:sz w:val="24"/>
          <w:szCs w:val="24"/>
        </w:rPr>
        <w:t>after</w:t>
      </w:r>
      <w:r w:rsidR="00EE3DBA">
        <w:rPr>
          <w:rFonts w:ascii="Arial" w:hAnsi="Arial" w:cs="Arial"/>
          <w:iCs/>
          <w:sz w:val="24"/>
          <w:szCs w:val="24"/>
        </w:rPr>
        <w:t xml:space="preserve"> the application, that it would not be in the public interest for that part to be published. The </w:t>
      </w:r>
      <w:r w:rsidR="00EE3DBA" w:rsidRPr="00EE3DBA">
        <w:rPr>
          <w:rFonts w:ascii="Arial" w:hAnsi="Arial" w:cs="Arial"/>
          <w:i/>
          <w:sz w:val="24"/>
          <w:szCs w:val="24"/>
        </w:rPr>
        <w:t>Freedom of Information Act 2016</w:t>
      </w:r>
      <w:r w:rsidR="00EE3DBA">
        <w:rPr>
          <w:rFonts w:ascii="Arial" w:hAnsi="Arial" w:cs="Arial"/>
          <w:iCs/>
          <w:sz w:val="24"/>
          <w:szCs w:val="24"/>
        </w:rPr>
        <w:t xml:space="preserve"> </w:t>
      </w:r>
      <w:r w:rsidR="003A3531">
        <w:rPr>
          <w:rFonts w:ascii="Arial" w:hAnsi="Arial" w:cs="Arial"/>
          <w:iCs/>
          <w:sz w:val="24"/>
          <w:szCs w:val="24"/>
        </w:rPr>
        <w:t xml:space="preserve">also </w:t>
      </w:r>
      <w:r w:rsidR="00EE3DBA">
        <w:rPr>
          <w:rFonts w:ascii="Arial" w:hAnsi="Arial" w:cs="Arial"/>
          <w:iCs/>
          <w:sz w:val="24"/>
          <w:szCs w:val="24"/>
        </w:rPr>
        <w:t>still applies to a decision whether to release a document under that legislative scheme.</w:t>
      </w:r>
      <w:r w:rsidR="003A3531">
        <w:rPr>
          <w:rFonts w:ascii="Arial" w:hAnsi="Arial" w:cs="Arial"/>
          <w:iCs/>
          <w:sz w:val="24"/>
          <w:szCs w:val="24"/>
        </w:rPr>
        <w:t xml:space="preserve"> </w:t>
      </w:r>
      <w:r w:rsidR="00D24F1A">
        <w:rPr>
          <w:rFonts w:ascii="Arial" w:hAnsi="Arial" w:cs="Arial"/>
          <w:iCs/>
          <w:sz w:val="24"/>
          <w:szCs w:val="24"/>
        </w:rPr>
        <w:t xml:space="preserve">The </w:t>
      </w:r>
      <w:r w:rsidR="00B75F54">
        <w:rPr>
          <w:rFonts w:ascii="Arial" w:hAnsi="Arial" w:cs="Arial"/>
          <w:iCs/>
          <w:sz w:val="24"/>
          <w:szCs w:val="24"/>
        </w:rPr>
        <w:t>B</w:t>
      </w:r>
      <w:r w:rsidR="00D24F1A">
        <w:rPr>
          <w:rFonts w:ascii="Arial" w:hAnsi="Arial" w:cs="Arial"/>
          <w:iCs/>
          <w:sz w:val="24"/>
          <w:szCs w:val="24"/>
        </w:rPr>
        <w:t>ill retains the same mechanism for application to exclude</w:t>
      </w:r>
      <w:r w:rsidR="003A3531">
        <w:rPr>
          <w:rFonts w:ascii="Arial" w:hAnsi="Arial" w:cs="Arial"/>
          <w:iCs/>
          <w:sz w:val="24"/>
          <w:szCs w:val="24"/>
        </w:rPr>
        <w:t xml:space="preserve"> a document or part of a document</w:t>
      </w:r>
      <w:r w:rsidR="00D24F1A">
        <w:rPr>
          <w:rFonts w:ascii="Arial" w:hAnsi="Arial" w:cs="Arial"/>
          <w:iCs/>
          <w:sz w:val="24"/>
          <w:szCs w:val="24"/>
        </w:rPr>
        <w:t>, with some updated expression in drafting.</w:t>
      </w:r>
    </w:p>
    <w:p w14:paraId="0552681C" w14:textId="77777777" w:rsidR="008A313B" w:rsidRPr="008A313B" w:rsidRDefault="008A313B" w:rsidP="008A313B">
      <w:pPr>
        <w:pStyle w:val="ListParagraph"/>
        <w:numPr>
          <w:ilvl w:val="0"/>
          <w:numId w:val="1"/>
        </w:numPr>
        <w:rPr>
          <w:rFonts w:ascii="Arial" w:hAnsi="Arial" w:cs="Arial"/>
          <w:b/>
          <w:bCs/>
          <w:i/>
          <w:sz w:val="24"/>
          <w:szCs w:val="24"/>
        </w:rPr>
      </w:pPr>
      <w:r w:rsidRPr="00414921">
        <w:rPr>
          <w:rFonts w:ascii="Arial" w:hAnsi="Arial" w:cs="Arial"/>
          <w:b/>
          <w:bCs/>
          <w:i/>
          <w:sz w:val="24"/>
          <w:szCs w:val="24"/>
        </w:rPr>
        <w:t>Legitimate purpose (s28(b))</w:t>
      </w:r>
    </w:p>
    <w:p w14:paraId="4570A781" w14:textId="3820FDBF" w:rsidR="008A313B" w:rsidRDefault="00EE3DBA" w:rsidP="008A313B">
      <w:pPr>
        <w:rPr>
          <w:rFonts w:ascii="Arial" w:hAnsi="Arial" w:cs="Arial"/>
          <w:iCs/>
          <w:color w:val="000000" w:themeColor="text1"/>
          <w:sz w:val="24"/>
          <w:szCs w:val="24"/>
        </w:rPr>
      </w:pPr>
      <w:r>
        <w:rPr>
          <w:rFonts w:ascii="Arial" w:hAnsi="Arial" w:cs="Arial"/>
          <w:iCs/>
          <w:color w:val="000000" w:themeColor="text1"/>
          <w:sz w:val="24"/>
          <w:szCs w:val="24"/>
        </w:rPr>
        <w:t>The purpose of th</w:t>
      </w:r>
      <w:r w:rsidR="00D24F1A">
        <w:rPr>
          <w:rFonts w:ascii="Arial" w:hAnsi="Arial" w:cs="Arial"/>
          <w:iCs/>
          <w:color w:val="000000" w:themeColor="text1"/>
          <w:sz w:val="24"/>
          <w:szCs w:val="24"/>
        </w:rPr>
        <w:t>e exclusion is to ensure that people’s legitimate intellectual property and lawful business affairs are not unreasonably interfered with by the publication of documents under the EP Act. This protects property rights under the common law</w:t>
      </w:r>
      <w:r w:rsidR="00E9636C">
        <w:rPr>
          <w:rFonts w:ascii="Arial" w:hAnsi="Arial" w:cs="Arial"/>
          <w:iCs/>
          <w:color w:val="000000" w:themeColor="text1"/>
          <w:sz w:val="24"/>
          <w:szCs w:val="24"/>
        </w:rPr>
        <w:t>, which includes intellectual property</w:t>
      </w:r>
      <w:r w:rsidR="00D24F1A">
        <w:rPr>
          <w:rFonts w:ascii="Arial" w:hAnsi="Arial" w:cs="Arial"/>
          <w:iCs/>
          <w:color w:val="000000" w:themeColor="text1"/>
          <w:sz w:val="24"/>
          <w:szCs w:val="24"/>
        </w:rPr>
        <w:t>.</w:t>
      </w:r>
      <w:r w:rsidR="00E9636C">
        <w:rPr>
          <w:rStyle w:val="FootnoteReference"/>
          <w:rFonts w:ascii="Arial" w:hAnsi="Arial"/>
          <w:iCs/>
          <w:color w:val="000000" w:themeColor="text1"/>
          <w:sz w:val="24"/>
          <w:szCs w:val="24"/>
        </w:rPr>
        <w:footnoteReference w:id="4"/>
      </w:r>
    </w:p>
    <w:p w14:paraId="0DD6D596" w14:textId="77777777" w:rsidR="008A313B" w:rsidRPr="00414921" w:rsidRDefault="008A313B" w:rsidP="008A313B">
      <w:pPr>
        <w:pStyle w:val="ListParagraph"/>
        <w:numPr>
          <w:ilvl w:val="0"/>
          <w:numId w:val="1"/>
        </w:numPr>
        <w:rPr>
          <w:rFonts w:ascii="Arial" w:hAnsi="Arial" w:cs="Arial"/>
          <w:b/>
          <w:bCs/>
          <w:i/>
          <w:sz w:val="24"/>
          <w:szCs w:val="24"/>
        </w:rPr>
      </w:pPr>
      <w:r w:rsidRPr="00414921">
        <w:rPr>
          <w:rFonts w:ascii="Arial" w:hAnsi="Arial" w:cs="Arial"/>
          <w:b/>
          <w:bCs/>
          <w:i/>
          <w:sz w:val="24"/>
          <w:szCs w:val="24"/>
        </w:rPr>
        <w:t>Rational connection between the limitation and the purpose (s28(d))</w:t>
      </w:r>
    </w:p>
    <w:p w14:paraId="05CC872E" w14:textId="0971FCAB" w:rsidR="008A313B" w:rsidRDefault="008A313B" w:rsidP="008A313B">
      <w:pPr>
        <w:rPr>
          <w:rFonts w:ascii="Arial" w:hAnsi="Arial" w:cs="Arial"/>
          <w:iCs/>
          <w:color w:val="000000" w:themeColor="text1"/>
          <w:sz w:val="24"/>
          <w:szCs w:val="24"/>
        </w:rPr>
      </w:pPr>
      <w:r>
        <w:rPr>
          <w:rFonts w:ascii="Arial" w:hAnsi="Arial" w:cs="Arial"/>
          <w:iCs/>
          <w:color w:val="000000" w:themeColor="text1"/>
          <w:sz w:val="24"/>
          <w:szCs w:val="24"/>
        </w:rPr>
        <w:t xml:space="preserve">The </w:t>
      </w:r>
      <w:r w:rsidR="001168EA">
        <w:rPr>
          <w:rFonts w:ascii="Arial" w:hAnsi="Arial" w:cs="Arial"/>
          <w:iCs/>
          <w:color w:val="000000" w:themeColor="text1"/>
          <w:sz w:val="24"/>
          <w:szCs w:val="24"/>
        </w:rPr>
        <w:t>limitation of freedom of expression through the exclusion of the material provides a clear mechanism for someone whose property rights are potentially impacted to make an application. The grounds for the application and exclusion are targeted to this purpose. They are limited to where it ‘reveals a trade secret’ and/or ‘advers[ly] affects […] lawful business affairs’. The</w:t>
      </w:r>
      <w:r w:rsidR="00F833B7">
        <w:rPr>
          <w:rFonts w:ascii="Arial" w:hAnsi="Arial" w:cs="Arial"/>
          <w:iCs/>
          <w:color w:val="000000" w:themeColor="text1"/>
          <w:sz w:val="24"/>
          <w:szCs w:val="24"/>
        </w:rPr>
        <w:t xml:space="preserve"> second part of the</w:t>
      </w:r>
      <w:r w:rsidR="001168EA">
        <w:rPr>
          <w:rFonts w:ascii="Arial" w:hAnsi="Arial" w:cs="Arial"/>
          <w:iCs/>
          <w:color w:val="000000" w:themeColor="text1"/>
          <w:sz w:val="24"/>
          <w:szCs w:val="24"/>
        </w:rPr>
        <w:t xml:space="preserve"> test is </w:t>
      </w:r>
      <w:r w:rsidR="00F833B7">
        <w:rPr>
          <w:rFonts w:ascii="Arial" w:hAnsi="Arial" w:cs="Arial"/>
          <w:iCs/>
          <w:color w:val="000000" w:themeColor="text1"/>
          <w:sz w:val="24"/>
          <w:szCs w:val="24"/>
        </w:rPr>
        <w:t>that</w:t>
      </w:r>
      <w:r w:rsidR="001168EA">
        <w:rPr>
          <w:rFonts w:ascii="Arial" w:hAnsi="Arial" w:cs="Arial"/>
          <w:iCs/>
          <w:color w:val="000000" w:themeColor="text1"/>
          <w:sz w:val="24"/>
          <w:szCs w:val="24"/>
        </w:rPr>
        <w:t xml:space="preserve"> it would not be in the public interest to publish the material.</w:t>
      </w:r>
    </w:p>
    <w:p w14:paraId="126A9F38" w14:textId="77777777" w:rsidR="008A313B" w:rsidRDefault="008A313B" w:rsidP="008A313B">
      <w:pPr>
        <w:pStyle w:val="ListParagraph"/>
        <w:numPr>
          <w:ilvl w:val="0"/>
          <w:numId w:val="1"/>
        </w:numPr>
        <w:rPr>
          <w:rFonts w:ascii="Arial" w:hAnsi="Arial" w:cs="Arial"/>
          <w:b/>
          <w:bCs/>
          <w:i/>
          <w:sz w:val="24"/>
          <w:szCs w:val="24"/>
        </w:rPr>
      </w:pPr>
      <w:r w:rsidRPr="00414921">
        <w:rPr>
          <w:rFonts w:ascii="Arial" w:hAnsi="Arial" w:cs="Arial"/>
          <w:b/>
          <w:bCs/>
          <w:i/>
          <w:sz w:val="24"/>
          <w:szCs w:val="24"/>
        </w:rPr>
        <w:t>Proportionality (s28 (e))</w:t>
      </w:r>
    </w:p>
    <w:p w14:paraId="58F3155D" w14:textId="46782271" w:rsidR="00E90DF9" w:rsidRDefault="008A313B" w:rsidP="00F02135">
      <w:pPr>
        <w:rPr>
          <w:rFonts w:ascii="Arial" w:hAnsi="Arial" w:cs="Arial"/>
          <w:iCs/>
          <w:color w:val="000000" w:themeColor="text1"/>
          <w:sz w:val="24"/>
          <w:szCs w:val="24"/>
        </w:rPr>
      </w:pPr>
      <w:r>
        <w:rPr>
          <w:rFonts w:ascii="Arial" w:hAnsi="Arial" w:cs="Arial"/>
          <w:iCs/>
          <w:color w:val="000000" w:themeColor="text1"/>
          <w:sz w:val="24"/>
          <w:szCs w:val="24"/>
        </w:rPr>
        <w:t>This measure is proportionate because</w:t>
      </w:r>
      <w:r w:rsidR="00F833B7">
        <w:rPr>
          <w:rFonts w:ascii="Arial" w:hAnsi="Arial" w:cs="Arial"/>
          <w:iCs/>
          <w:color w:val="000000" w:themeColor="text1"/>
          <w:sz w:val="24"/>
          <w:szCs w:val="24"/>
        </w:rPr>
        <w:t xml:space="preserve"> it is targeted</w:t>
      </w:r>
      <w:r w:rsidR="003A3531">
        <w:rPr>
          <w:rFonts w:ascii="Arial" w:hAnsi="Arial" w:cs="Arial"/>
          <w:iCs/>
          <w:color w:val="000000" w:themeColor="text1"/>
          <w:sz w:val="24"/>
          <w:szCs w:val="24"/>
        </w:rPr>
        <w:t>,</w:t>
      </w:r>
      <w:r w:rsidR="00F833B7">
        <w:rPr>
          <w:rFonts w:ascii="Arial" w:hAnsi="Arial" w:cs="Arial"/>
          <w:iCs/>
          <w:color w:val="000000" w:themeColor="text1"/>
          <w:sz w:val="24"/>
          <w:szCs w:val="24"/>
        </w:rPr>
        <w:t xml:space="preserve"> and</w:t>
      </w:r>
      <w:r w:rsidRPr="009603C4">
        <w:rPr>
          <w:rFonts w:ascii="Arial" w:hAnsi="Arial" w:cs="Arial"/>
          <w:iCs/>
          <w:color w:val="000000" w:themeColor="text1"/>
          <w:sz w:val="24"/>
          <w:szCs w:val="24"/>
        </w:rPr>
        <w:t xml:space="preserve"> </w:t>
      </w:r>
      <w:r w:rsidR="001168EA">
        <w:rPr>
          <w:rFonts w:ascii="Arial" w:hAnsi="Arial" w:cs="Arial"/>
          <w:iCs/>
          <w:color w:val="000000" w:themeColor="text1"/>
          <w:sz w:val="24"/>
          <w:szCs w:val="24"/>
        </w:rPr>
        <w:t>the presumption of section 21 is that the material is published</w:t>
      </w:r>
      <w:r w:rsidR="00F833B7">
        <w:rPr>
          <w:rFonts w:ascii="Arial" w:hAnsi="Arial" w:cs="Arial"/>
          <w:iCs/>
          <w:color w:val="000000" w:themeColor="text1"/>
          <w:sz w:val="24"/>
          <w:szCs w:val="24"/>
        </w:rPr>
        <w:t>. It is only not published if</w:t>
      </w:r>
      <w:r w:rsidR="001168EA">
        <w:rPr>
          <w:rFonts w:ascii="Arial" w:hAnsi="Arial" w:cs="Arial"/>
          <w:iCs/>
          <w:color w:val="000000" w:themeColor="text1"/>
          <w:sz w:val="24"/>
          <w:szCs w:val="24"/>
        </w:rPr>
        <w:t xml:space="preserve"> the applicant can show that it would not be in the public interest </w:t>
      </w:r>
      <w:r w:rsidR="003A3531">
        <w:rPr>
          <w:rFonts w:ascii="Arial" w:hAnsi="Arial" w:cs="Arial"/>
          <w:iCs/>
          <w:color w:val="000000" w:themeColor="text1"/>
          <w:sz w:val="24"/>
          <w:szCs w:val="24"/>
        </w:rPr>
        <w:t>and</w:t>
      </w:r>
      <w:r w:rsidR="001168EA">
        <w:rPr>
          <w:rFonts w:ascii="Arial" w:hAnsi="Arial" w:cs="Arial"/>
          <w:iCs/>
          <w:color w:val="000000" w:themeColor="text1"/>
          <w:sz w:val="24"/>
          <w:szCs w:val="24"/>
        </w:rPr>
        <w:t xml:space="preserve"> either it reveals their trade secret or adversely interferes with thei</w:t>
      </w:r>
      <w:r w:rsidR="00F833B7">
        <w:rPr>
          <w:rFonts w:ascii="Arial" w:hAnsi="Arial" w:cs="Arial"/>
          <w:iCs/>
          <w:color w:val="000000" w:themeColor="text1"/>
          <w:sz w:val="24"/>
          <w:szCs w:val="24"/>
        </w:rPr>
        <w:t>r lawful business affairs.</w:t>
      </w:r>
      <w:r w:rsidR="00677006">
        <w:rPr>
          <w:rFonts w:ascii="Arial" w:hAnsi="Arial" w:cs="Arial"/>
          <w:iCs/>
          <w:color w:val="000000" w:themeColor="text1"/>
          <w:sz w:val="24"/>
          <w:szCs w:val="24"/>
        </w:rPr>
        <w:t xml:space="preserve"> This requires a decision of the </w:t>
      </w:r>
      <w:r w:rsidR="00F079F2">
        <w:rPr>
          <w:rFonts w:ascii="Arial" w:hAnsi="Arial" w:cs="Arial"/>
          <w:iCs/>
          <w:color w:val="000000" w:themeColor="text1"/>
          <w:sz w:val="24"/>
          <w:szCs w:val="24"/>
        </w:rPr>
        <w:t>A</w:t>
      </w:r>
      <w:r w:rsidR="00677006">
        <w:rPr>
          <w:rFonts w:ascii="Arial" w:hAnsi="Arial" w:cs="Arial"/>
          <w:iCs/>
          <w:color w:val="000000" w:themeColor="text1"/>
          <w:sz w:val="24"/>
          <w:szCs w:val="24"/>
        </w:rPr>
        <w:t>uthority</w:t>
      </w:r>
      <w:r w:rsidR="003A3531">
        <w:rPr>
          <w:rFonts w:ascii="Arial" w:hAnsi="Arial" w:cs="Arial"/>
          <w:iCs/>
          <w:color w:val="000000" w:themeColor="text1"/>
          <w:sz w:val="24"/>
          <w:szCs w:val="24"/>
        </w:rPr>
        <w:t xml:space="preserve"> who is necessarily independent from the proponent</w:t>
      </w:r>
      <w:r w:rsidR="00677006">
        <w:rPr>
          <w:rFonts w:ascii="Arial" w:hAnsi="Arial" w:cs="Arial"/>
          <w:iCs/>
          <w:color w:val="000000" w:themeColor="text1"/>
          <w:sz w:val="24"/>
          <w:szCs w:val="24"/>
        </w:rPr>
        <w:t>.</w:t>
      </w:r>
      <w:bookmarkStart w:id="1" w:name="OLE_LINK1"/>
    </w:p>
    <w:p w14:paraId="56E4A817" w14:textId="3B46E799" w:rsidR="00366B0F" w:rsidRPr="00244107" w:rsidRDefault="00621440" w:rsidP="00AF6D0B">
      <w:pPr>
        <w:spacing w:after="0"/>
        <w:contextualSpacing/>
        <w:rPr>
          <w:rFonts w:ascii="Arial" w:hAnsi="Arial" w:cs="Arial"/>
          <w:bCs/>
          <w:sz w:val="24"/>
          <w:szCs w:val="24"/>
          <w:u w:val="single"/>
        </w:rPr>
      </w:pPr>
      <w:r>
        <w:rPr>
          <w:rFonts w:ascii="Arial" w:hAnsi="Arial" w:cs="Arial"/>
          <w:bCs/>
          <w:sz w:val="24"/>
          <w:szCs w:val="24"/>
          <w:u w:val="single"/>
        </w:rPr>
        <w:t>Right</w:t>
      </w:r>
      <w:r w:rsidR="00EB1CD2">
        <w:rPr>
          <w:rFonts w:ascii="Arial" w:hAnsi="Arial" w:cs="Arial"/>
          <w:bCs/>
          <w:sz w:val="24"/>
          <w:szCs w:val="24"/>
          <w:u w:val="single"/>
        </w:rPr>
        <w:t>s</w:t>
      </w:r>
      <w:r>
        <w:rPr>
          <w:rFonts w:ascii="Arial" w:hAnsi="Arial" w:cs="Arial"/>
          <w:bCs/>
          <w:sz w:val="24"/>
          <w:szCs w:val="24"/>
          <w:u w:val="single"/>
        </w:rPr>
        <w:t xml:space="preserve"> </w:t>
      </w:r>
      <w:r w:rsidR="00EB1CD2">
        <w:rPr>
          <w:rFonts w:ascii="Arial" w:hAnsi="Arial" w:cs="Arial"/>
          <w:bCs/>
          <w:sz w:val="24"/>
          <w:szCs w:val="24"/>
          <w:u w:val="single"/>
        </w:rPr>
        <w:t>in</w:t>
      </w:r>
      <w:r w:rsidR="006E1373">
        <w:rPr>
          <w:rFonts w:ascii="Arial" w:hAnsi="Arial" w:cs="Arial"/>
          <w:bCs/>
          <w:sz w:val="24"/>
          <w:szCs w:val="24"/>
          <w:u w:val="single"/>
        </w:rPr>
        <w:t xml:space="preserve"> Criminal Proceedings</w:t>
      </w:r>
    </w:p>
    <w:p w14:paraId="0E49326A" w14:textId="5529C0D5" w:rsidR="00606B09" w:rsidRDefault="006E1373" w:rsidP="003F3702">
      <w:pPr>
        <w:rPr>
          <w:rFonts w:ascii="Arial" w:hAnsi="Arial" w:cs="Arial"/>
          <w:bCs/>
          <w:sz w:val="24"/>
          <w:szCs w:val="24"/>
        </w:rPr>
      </w:pPr>
      <w:r>
        <w:rPr>
          <w:rFonts w:ascii="Arial" w:hAnsi="Arial" w:cs="Arial"/>
          <w:bCs/>
          <w:sz w:val="24"/>
          <w:szCs w:val="24"/>
        </w:rPr>
        <w:t xml:space="preserve">The Bill also </w:t>
      </w:r>
      <w:r w:rsidR="00EB1CD2">
        <w:rPr>
          <w:rFonts w:ascii="Arial" w:hAnsi="Arial" w:cs="Arial"/>
          <w:bCs/>
          <w:sz w:val="24"/>
          <w:szCs w:val="24"/>
        </w:rPr>
        <w:t>engages</w:t>
      </w:r>
      <w:r>
        <w:rPr>
          <w:rFonts w:ascii="Arial" w:hAnsi="Arial" w:cs="Arial"/>
          <w:bCs/>
          <w:sz w:val="24"/>
          <w:szCs w:val="24"/>
        </w:rPr>
        <w:t xml:space="preserve"> Rights in criminal proceedings (section 22)</w:t>
      </w:r>
      <w:r w:rsidR="00724A07">
        <w:rPr>
          <w:rFonts w:ascii="Arial" w:hAnsi="Arial" w:cs="Arial"/>
          <w:bCs/>
          <w:sz w:val="24"/>
          <w:szCs w:val="24"/>
        </w:rPr>
        <w:t xml:space="preserve">. </w:t>
      </w:r>
      <w:r w:rsidR="007242EA">
        <w:rPr>
          <w:rFonts w:ascii="Arial" w:hAnsi="Arial" w:cs="Arial"/>
          <w:bCs/>
          <w:sz w:val="24"/>
          <w:szCs w:val="24"/>
        </w:rPr>
        <w:t>The new section 164</w:t>
      </w:r>
      <w:r w:rsidR="000D3F2D">
        <w:rPr>
          <w:rFonts w:ascii="Arial" w:hAnsi="Arial" w:cs="Arial"/>
          <w:bCs/>
          <w:sz w:val="24"/>
          <w:szCs w:val="24"/>
        </w:rPr>
        <w:t xml:space="preserve">B in the EP Act and </w:t>
      </w:r>
      <w:r w:rsidR="0014258C">
        <w:rPr>
          <w:rFonts w:ascii="Arial" w:hAnsi="Arial" w:cs="Arial"/>
          <w:bCs/>
          <w:sz w:val="24"/>
          <w:szCs w:val="24"/>
        </w:rPr>
        <w:t>amended section 100 in the WR Act disapply</w:t>
      </w:r>
      <w:r w:rsidR="00741544">
        <w:rPr>
          <w:rFonts w:ascii="Arial" w:hAnsi="Arial" w:cs="Arial"/>
          <w:bCs/>
          <w:sz w:val="24"/>
          <w:szCs w:val="24"/>
        </w:rPr>
        <w:t xml:space="preserve"> </w:t>
      </w:r>
      <w:r w:rsidR="00741544" w:rsidRPr="00741544">
        <w:rPr>
          <w:rFonts w:ascii="Arial" w:hAnsi="Arial" w:cs="Arial"/>
          <w:iCs/>
          <w:color w:val="000000" w:themeColor="text1"/>
          <w:sz w:val="24"/>
          <w:szCs w:val="24"/>
        </w:rPr>
        <w:t xml:space="preserve">section 47 (6) and (7) of the </w:t>
      </w:r>
      <w:r w:rsidR="006E713F">
        <w:rPr>
          <w:rFonts w:ascii="Arial" w:hAnsi="Arial" w:cs="Arial"/>
          <w:iCs/>
          <w:color w:val="000000" w:themeColor="text1"/>
          <w:sz w:val="24"/>
          <w:szCs w:val="24"/>
        </w:rPr>
        <w:t>L</w:t>
      </w:r>
      <w:r w:rsidR="00741544" w:rsidRPr="00741544">
        <w:rPr>
          <w:rFonts w:ascii="Arial" w:hAnsi="Arial" w:cs="Arial"/>
          <w:iCs/>
          <w:color w:val="000000" w:themeColor="text1"/>
          <w:sz w:val="24"/>
          <w:szCs w:val="24"/>
        </w:rPr>
        <w:t xml:space="preserve">egislation Act. </w:t>
      </w:r>
      <w:r w:rsidR="003F3702">
        <w:rPr>
          <w:rFonts w:ascii="Arial" w:hAnsi="Arial" w:cs="Arial"/>
          <w:iCs/>
          <w:color w:val="000000" w:themeColor="text1"/>
          <w:sz w:val="24"/>
          <w:szCs w:val="24"/>
        </w:rPr>
        <w:t>Further</w:t>
      </w:r>
      <w:r w:rsidR="00570CFC">
        <w:rPr>
          <w:rFonts w:ascii="Arial" w:hAnsi="Arial" w:cs="Arial"/>
          <w:iCs/>
          <w:color w:val="000000" w:themeColor="text1"/>
          <w:sz w:val="24"/>
          <w:szCs w:val="24"/>
        </w:rPr>
        <w:t>,</w:t>
      </w:r>
      <w:r w:rsidR="003F3702">
        <w:rPr>
          <w:rFonts w:ascii="Arial" w:hAnsi="Arial" w:cs="Arial"/>
          <w:iCs/>
          <w:color w:val="000000" w:themeColor="text1"/>
          <w:sz w:val="24"/>
          <w:szCs w:val="24"/>
        </w:rPr>
        <w:t xml:space="preserve"> a</w:t>
      </w:r>
      <w:r>
        <w:rPr>
          <w:rFonts w:ascii="Arial" w:hAnsi="Arial" w:cs="Arial"/>
          <w:bCs/>
          <w:sz w:val="24"/>
          <w:szCs w:val="24"/>
        </w:rPr>
        <w:t xml:space="preserve">n offence is added for the installation of a non-compliant wood heater and updates the drafting of offence provisions to be compliant with the </w:t>
      </w:r>
      <w:r w:rsidRPr="00677006">
        <w:rPr>
          <w:rFonts w:ascii="Arial" w:hAnsi="Arial" w:cs="Arial"/>
          <w:bCs/>
          <w:i/>
          <w:iCs/>
          <w:sz w:val="24"/>
          <w:szCs w:val="24"/>
        </w:rPr>
        <w:t>Criminal Code 2002</w:t>
      </w:r>
      <w:r>
        <w:rPr>
          <w:rFonts w:ascii="Arial" w:hAnsi="Arial" w:cs="Arial"/>
          <w:bCs/>
          <w:sz w:val="24"/>
          <w:szCs w:val="24"/>
        </w:rPr>
        <w:t xml:space="preserve">. </w:t>
      </w:r>
    </w:p>
    <w:p w14:paraId="3725B49B" w14:textId="77777777" w:rsidR="00DB659E" w:rsidRDefault="00DB659E">
      <w:pPr>
        <w:spacing w:after="160" w:line="259" w:lineRule="auto"/>
        <w:rPr>
          <w:rFonts w:ascii="Arial" w:hAnsi="Arial" w:cs="Arial"/>
          <w:bCs/>
          <w:sz w:val="24"/>
          <w:szCs w:val="24"/>
        </w:rPr>
      </w:pPr>
      <w:r>
        <w:rPr>
          <w:rFonts w:ascii="Arial" w:hAnsi="Arial" w:cs="Arial"/>
          <w:bCs/>
          <w:sz w:val="24"/>
          <w:szCs w:val="24"/>
        </w:rPr>
        <w:br w:type="page"/>
      </w:r>
    </w:p>
    <w:p w14:paraId="57D96E62" w14:textId="223A719F" w:rsidR="00EB1CD2" w:rsidRDefault="00EB1CD2" w:rsidP="003F3702">
      <w:pPr>
        <w:rPr>
          <w:rFonts w:ascii="Arial" w:hAnsi="Arial" w:cs="Arial"/>
          <w:bCs/>
          <w:sz w:val="24"/>
          <w:szCs w:val="24"/>
        </w:rPr>
      </w:pPr>
      <w:r w:rsidRPr="00EB1CD2">
        <w:rPr>
          <w:rFonts w:ascii="Arial" w:hAnsi="Arial" w:cs="Arial"/>
          <w:bCs/>
          <w:sz w:val="24"/>
          <w:szCs w:val="24"/>
        </w:rPr>
        <w:lastRenderedPageBreak/>
        <w:t>These criminal rights could potentially be limited through the disapplication of section 47 of the Legislation Act which requires the publication of instruments relating to the offence. Australian Standards and laws of other jurisdictions will not be published on the ACT Legislation Register</w:t>
      </w:r>
      <w:r w:rsidR="006E1373">
        <w:rPr>
          <w:rFonts w:ascii="Arial" w:hAnsi="Arial" w:cs="Arial"/>
          <w:bCs/>
          <w:sz w:val="24"/>
          <w:szCs w:val="24"/>
        </w:rPr>
        <w:t>.</w:t>
      </w:r>
      <w:r w:rsidR="00184483">
        <w:rPr>
          <w:rFonts w:ascii="Arial" w:hAnsi="Arial" w:cs="Arial"/>
          <w:bCs/>
          <w:sz w:val="24"/>
          <w:szCs w:val="24"/>
        </w:rPr>
        <w:t xml:space="preserve"> </w:t>
      </w:r>
    </w:p>
    <w:p w14:paraId="20D43083" w14:textId="518987A3" w:rsidR="00EB1CD2" w:rsidRPr="00EB1CD2" w:rsidRDefault="00EB1CD2" w:rsidP="003F3702">
      <w:pPr>
        <w:rPr>
          <w:rFonts w:ascii="Arial" w:hAnsi="Arial" w:cs="Arial"/>
          <w:bCs/>
          <w:sz w:val="24"/>
          <w:szCs w:val="24"/>
        </w:rPr>
      </w:pPr>
      <w:r w:rsidRPr="00EB1CD2">
        <w:rPr>
          <w:rFonts w:ascii="Arial" w:hAnsi="Arial" w:cs="Arial"/>
          <w:bCs/>
          <w:sz w:val="24"/>
          <w:szCs w:val="24"/>
        </w:rPr>
        <w:t>However, both legislative regimes have mechanisms for people to understand their legal obligations. Laws of other jurisdictions are published on their respective registers and Standards will be available through standards agencies, who will be referenced as a note in the Act. In the case of licenses under the WR Act, the amendment only disapplies for laws of other jurisdictions and for standards. All other instruments referenced will continue to be notified in accordance with the Legislation Act.  </w:t>
      </w:r>
    </w:p>
    <w:p w14:paraId="7584281A" w14:textId="4E64A3B8" w:rsidR="00EB1CD2" w:rsidRPr="00EB1CD2" w:rsidRDefault="00EB1CD2" w:rsidP="00EB1CD2">
      <w:pPr>
        <w:pStyle w:val="paragraph"/>
        <w:spacing w:before="0" w:beforeAutospacing="0" w:after="0" w:afterAutospacing="0"/>
        <w:textAlignment w:val="baseline"/>
        <w:rPr>
          <w:rFonts w:ascii="Arial" w:hAnsi="Arial" w:cs="Arial"/>
          <w:bCs/>
          <w:lang w:eastAsia="en-US"/>
        </w:rPr>
      </w:pPr>
      <w:r w:rsidRPr="00EB1CD2">
        <w:rPr>
          <w:rFonts w:ascii="Arial" w:hAnsi="Arial" w:cs="Arial"/>
          <w:bCs/>
          <w:lang w:eastAsia="en-US"/>
        </w:rPr>
        <w:t xml:space="preserve">Wood heater sellers and installers do not need to access Standards directly as the offence provisions relate only to the sale or installation of wood heaters without a certificate of compliance and compliance plate, so sellers and installers will be able to look at the certificate of compliance and the compliance plate to determine whether the wood heater meets relevant standards prior to sale or installation.  Further the ACT Government regularly provides public education about wood heaters, as is general practice for regulation. This will </w:t>
      </w:r>
      <w:r w:rsidR="00F079F2">
        <w:rPr>
          <w:rFonts w:ascii="Arial" w:hAnsi="Arial" w:cs="Arial"/>
          <w:bCs/>
          <w:lang w:eastAsia="en-US"/>
        </w:rPr>
        <w:t xml:space="preserve">continue to </w:t>
      </w:r>
      <w:r w:rsidRPr="00EB1CD2">
        <w:rPr>
          <w:rFonts w:ascii="Arial" w:hAnsi="Arial" w:cs="Arial"/>
          <w:bCs/>
          <w:lang w:eastAsia="en-US"/>
        </w:rPr>
        <w:t>make it clear that only compliant wood heaters can be sold and installed in the ACT, and how to work out whether a wood heater complies. </w:t>
      </w:r>
    </w:p>
    <w:p w14:paraId="58CC375A" w14:textId="77777777" w:rsidR="00EB1CD2" w:rsidRPr="00EB1CD2" w:rsidRDefault="00EB1CD2" w:rsidP="00EB1CD2">
      <w:pPr>
        <w:pStyle w:val="paragraph"/>
        <w:spacing w:before="0" w:beforeAutospacing="0" w:after="0" w:afterAutospacing="0"/>
        <w:textAlignment w:val="baseline"/>
        <w:rPr>
          <w:rFonts w:ascii="Arial" w:hAnsi="Arial" w:cs="Arial"/>
          <w:bCs/>
          <w:lang w:eastAsia="en-US"/>
        </w:rPr>
      </w:pPr>
    </w:p>
    <w:p w14:paraId="6A036ADF" w14:textId="77777777" w:rsidR="00EB1CD2" w:rsidRPr="00EB1CD2" w:rsidRDefault="00EB1CD2" w:rsidP="00EB1CD2">
      <w:pPr>
        <w:pStyle w:val="paragraph"/>
        <w:spacing w:before="0" w:beforeAutospacing="0" w:after="0" w:afterAutospacing="0"/>
        <w:textAlignment w:val="baseline"/>
        <w:rPr>
          <w:rFonts w:ascii="Arial" w:hAnsi="Arial" w:cs="Arial"/>
          <w:bCs/>
          <w:lang w:eastAsia="en-US"/>
        </w:rPr>
      </w:pPr>
      <w:r w:rsidRPr="00EB1CD2">
        <w:rPr>
          <w:rFonts w:ascii="Arial" w:hAnsi="Arial" w:cs="Arial"/>
          <w:bCs/>
          <w:lang w:eastAsia="en-US"/>
        </w:rPr>
        <w:t>For this reason, any potential limitation on the rights in criminal proceedings including the certainty of the criminal offence is reasonable and justifiable, as in practice people affected by these laws will be able to fully understand their obligations and the scope of the criminal offence. </w:t>
      </w:r>
    </w:p>
    <w:p w14:paraId="63125ECF" w14:textId="77777777" w:rsidR="00EB1CD2" w:rsidRPr="00EB1CD2" w:rsidRDefault="00EB1CD2" w:rsidP="00EB1CD2">
      <w:pPr>
        <w:pStyle w:val="paragraph"/>
        <w:spacing w:before="0" w:beforeAutospacing="0" w:after="0" w:afterAutospacing="0"/>
        <w:textAlignment w:val="baseline"/>
        <w:rPr>
          <w:rFonts w:ascii="Arial" w:hAnsi="Arial" w:cs="Arial"/>
          <w:bCs/>
          <w:lang w:eastAsia="en-US"/>
        </w:rPr>
      </w:pPr>
    </w:p>
    <w:p w14:paraId="00876F20" w14:textId="6B18F9B3" w:rsidR="00DD6B70" w:rsidRDefault="00DD6B70">
      <w:pPr>
        <w:spacing w:after="160" w:line="259"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bookmarkEnd w:id="1"/>
    <w:p w14:paraId="634CD2DB" w14:textId="77777777" w:rsidR="00E90DF9" w:rsidRPr="00B7078B" w:rsidRDefault="00E90DF9" w:rsidP="00E90DF9">
      <w:pPr>
        <w:pStyle w:val="Heading2"/>
        <w:pageBreakBefore/>
        <w:spacing w:before="240" w:after="240"/>
        <w:rPr>
          <w:rFonts w:cs="Arial"/>
        </w:rPr>
      </w:pPr>
      <w:r w:rsidRPr="00B7078B">
        <w:rPr>
          <w:rFonts w:cs="Arial"/>
        </w:rPr>
        <w:lastRenderedPageBreak/>
        <w:t>CLAUSE NOTES</w:t>
      </w:r>
    </w:p>
    <w:p w14:paraId="4B639996" w14:textId="77777777" w:rsidR="00AE55B1" w:rsidRPr="00B7078B" w:rsidRDefault="00AE55B1" w:rsidP="00AE55B1">
      <w:pPr>
        <w:pStyle w:val="Heading3"/>
        <w:rPr>
          <w:rFonts w:cs="Arial"/>
        </w:rPr>
      </w:pPr>
      <w:r w:rsidRPr="00B7078B">
        <w:rPr>
          <w:rFonts w:cs="Arial"/>
        </w:rPr>
        <w:t>Clause 1</w:t>
      </w:r>
      <w:r w:rsidRPr="00B7078B">
        <w:rPr>
          <w:rFonts w:cs="Arial"/>
        </w:rPr>
        <w:tab/>
        <w:t>Name of Act</w:t>
      </w:r>
    </w:p>
    <w:p w14:paraId="0F8DA142" w14:textId="2D4D5D32" w:rsidR="00272E3E" w:rsidRPr="00DB659E" w:rsidRDefault="00272E3E" w:rsidP="00272E3E">
      <w:pPr>
        <w:rPr>
          <w:rFonts w:ascii="Arial" w:hAnsi="Arial" w:cs="Arial"/>
        </w:rPr>
      </w:pPr>
      <w:r w:rsidRPr="00DB659E">
        <w:rPr>
          <w:rFonts w:ascii="Arial" w:hAnsi="Arial" w:cs="Arial"/>
        </w:rPr>
        <w:t xml:space="preserve">Clause 1 of the </w:t>
      </w:r>
      <w:r w:rsidR="00B75F54" w:rsidRPr="00DB659E">
        <w:rPr>
          <w:rFonts w:ascii="Arial" w:hAnsi="Arial" w:cs="Arial"/>
        </w:rPr>
        <w:t>B</w:t>
      </w:r>
      <w:r w:rsidRPr="00DB659E">
        <w:rPr>
          <w:rFonts w:ascii="Arial" w:hAnsi="Arial" w:cs="Arial"/>
        </w:rPr>
        <w:t xml:space="preserve">ill </w:t>
      </w:r>
      <w:r w:rsidR="00F079F2" w:rsidRPr="00DB659E">
        <w:rPr>
          <w:rFonts w:ascii="Arial" w:hAnsi="Arial" w:cs="Arial"/>
        </w:rPr>
        <w:t>says</w:t>
      </w:r>
      <w:r w:rsidRPr="00DB659E">
        <w:rPr>
          <w:rFonts w:ascii="Arial" w:hAnsi="Arial" w:cs="Arial"/>
        </w:rPr>
        <w:t xml:space="preserve"> that the amendment </w:t>
      </w:r>
      <w:r w:rsidR="00B75F54" w:rsidRPr="00DB659E">
        <w:rPr>
          <w:rFonts w:ascii="Arial" w:hAnsi="Arial" w:cs="Arial"/>
        </w:rPr>
        <w:t>B</w:t>
      </w:r>
      <w:r w:rsidRPr="00DB659E">
        <w:rPr>
          <w:rFonts w:ascii="Arial" w:hAnsi="Arial" w:cs="Arial"/>
        </w:rPr>
        <w:t xml:space="preserve">ill will be called the </w:t>
      </w:r>
      <w:r w:rsidRPr="00DB659E">
        <w:rPr>
          <w:rFonts w:ascii="Arial" w:hAnsi="Arial" w:cs="Arial"/>
          <w:i/>
          <w:iCs/>
        </w:rPr>
        <w:t>Environment Protection Legislation Amendment Act 2024</w:t>
      </w:r>
      <w:r w:rsidRPr="00DB659E">
        <w:rPr>
          <w:rFonts w:ascii="Arial" w:hAnsi="Arial" w:cs="Arial"/>
        </w:rPr>
        <w:t xml:space="preserve"> once enacted.</w:t>
      </w:r>
    </w:p>
    <w:p w14:paraId="4707EC67" w14:textId="77777777" w:rsidR="00AE55B1" w:rsidRPr="00B7078B" w:rsidRDefault="00AE55B1" w:rsidP="00AE55B1">
      <w:pPr>
        <w:pStyle w:val="Heading3"/>
        <w:rPr>
          <w:rFonts w:cs="Arial"/>
        </w:rPr>
      </w:pPr>
      <w:r w:rsidRPr="00B7078B">
        <w:rPr>
          <w:rFonts w:cs="Arial"/>
        </w:rPr>
        <w:t>Clause 2</w:t>
      </w:r>
      <w:r w:rsidRPr="00B7078B">
        <w:rPr>
          <w:rFonts w:cs="Arial"/>
        </w:rPr>
        <w:tab/>
        <w:t>Commencement</w:t>
      </w:r>
    </w:p>
    <w:p w14:paraId="16CBE53F" w14:textId="0AA7EACF" w:rsidR="00272E3E" w:rsidRPr="00DB659E" w:rsidRDefault="00272E3E" w:rsidP="00272E3E">
      <w:pPr>
        <w:rPr>
          <w:rFonts w:ascii="Arial" w:hAnsi="Arial" w:cs="Arial"/>
        </w:rPr>
      </w:pPr>
      <w:r w:rsidRPr="00DB659E">
        <w:rPr>
          <w:rFonts w:ascii="Arial" w:hAnsi="Arial" w:cs="Arial"/>
        </w:rPr>
        <w:t xml:space="preserve">Clause 2 separates the commencement for different sections of the amendment </w:t>
      </w:r>
      <w:r w:rsidR="00B75F54" w:rsidRPr="00DB659E">
        <w:rPr>
          <w:rFonts w:ascii="Arial" w:hAnsi="Arial" w:cs="Arial"/>
        </w:rPr>
        <w:t>B</w:t>
      </w:r>
      <w:r w:rsidRPr="00DB659E">
        <w:rPr>
          <w:rFonts w:ascii="Arial" w:hAnsi="Arial" w:cs="Arial"/>
        </w:rPr>
        <w:t xml:space="preserve">ill. Clauses 4, 40 </w:t>
      </w:r>
      <w:r w:rsidR="00F079F2" w:rsidRPr="00DB659E">
        <w:rPr>
          <w:rFonts w:ascii="Arial" w:hAnsi="Arial" w:cs="Arial"/>
        </w:rPr>
        <w:t>and</w:t>
      </w:r>
      <w:r w:rsidRPr="00DB659E">
        <w:rPr>
          <w:rFonts w:ascii="Arial" w:hAnsi="Arial" w:cs="Arial"/>
        </w:rPr>
        <w:t xml:space="preserve"> </w:t>
      </w:r>
      <w:r w:rsidR="00F079F2" w:rsidRPr="00DB659E">
        <w:rPr>
          <w:rFonts w:ascii="Arial" w:hAnsi="Arial" w:cs="Arial"/>
        </w:rPr>
        <w:t>42</w:t>
      </w:r>
      <w:r w:rsidRPr="00DB659E">
        <w:rPr>
          <w:rFonts w:ascii="Arial" w:hAnsi="Arial" w:cs="Arial"/>
        </w:rPr>
        <w:t xml:space="preserve"> </w:t>
      </w:r>
      <w:r w:rsidR="00F079F2" w:rsidRPr="00DB659E">
        <w:rPr>
          <w:rFonts w:ascii="Arial" w:hAnsi="Arial" w:cs="Arial"/>
        </w:rPr>
        <w:t>to</w:t>
      </w:r>
      <w:r w:rsidRPr="00DB659E">
        <w:rPr>
          <w:rFonts w:ascii="Arial" w:hAnsi="Arial" w:cs="Arial"/>
        </w:rPr>
        <w:t xml:space="preserve"> 4</w:t>
      </w:r>
      <w:r w:rsidR="00F079F2" w:rsidRPr="00DB659E">
        <w:rPr>
          <w:rFonts w:ascii="Arial" w:hAnsi="Arial" w:cs="Arial"/>
        </w:rPr>
        <w:t>4</w:t>
      </w:r>
      <w:r w:rsidRPr="00DB659E">
        <w:rPr>
          <w:rFonts w:ascii="Arial" w:hAnsi="Arial" w:cs="Arial"/>
        </w:rPr>
        <w:t xml:space="preserve"> will be delayed for 6 months to allow implementation processes to occur including information to wood heater stakeholders.</w:t>
      </w:r>
    </w:p>
    <w:p w14:paraId="70D649B3" w14:textId="21A030C3" w:rsidR="00272E3E" w:rsidRPr="00DB659E" w:rsidRDefault="00272E3E" w:rsidP="00272E3E">
      <w:pPr>
        <w:rPr>
          <w:rFonts w:ascii="Arial" w:hAnsi="Arial" w:cs="Arial"/>
        </w:rPr>
      </w:pPr>
      <w:r w:rsidRPr="00DB659E">
        <w:rPr>
          <w:rFonts w:ascii="Arial" w:hAnsi="Arial" w:cs="Arial"/>
        </w:rPr>
        <w:t>The other clauses will commence on the day after the notification of the Act.</w:t>
      </w:r>
    </w:p>
    <w:p w14:paraId="16050E40" w14:textId="77777777" w:rsidR="00AE55B1" w:rsidRPr="00B7078B" w:rsidRDefault="00AE55B1" w:rsidP="00AE55B1">
      <w:pPr>
        <w:pStyle w:val="Heading3"/>
        <w:rPr>
          <w:rFonts w:cs="Arial"/>
        </w:rPr>
      </w:pPr>
      <w:r w:rsidRPr="00B7078B">
        <w:rPr>
          <w:rFonts w:cs="Arial"/>
        </w:rPr>
        <w:t>Clause 3</w:t>
      </w:r>
      <w:r w:rsidRPr="00B7078B">
        <w:rPr>
          <w:rFonts w:cs="Arial"/>
        </w:rPr>
        <w:tab/>
        <w:t>Legislation amended</w:t>
      </w:r>
    </w:p>
    <w:p w14:paraId="15420702" w14:textId="1DEC127E" w:rsidR="00E90DF9" w:rsidRPr="00DB659E" w:rsidRDefault="00AE55B1" w:rsidP="00E90DF9">
      <w:pPr>
        <w:rPr>
          <w:rFonts w:ascii="Arial" w:hAnsi="Arial" w:cs="Arial"/>
        </w:rPr>
      </w:pPr>
      <w:r w:rsidRPr="00DB659E">
        <w:rPr>
          <w:rFonts w:ascii="Arial" w:hAnsi="Arial" w:cs="Arial"/>
        </w:rPr>
        <w:t xml:space="preserve">The </w:t>
      </w:r>
      <w:r w:rsidR="00B75F54" w:rsidRPr="00DB659E">
        <w:rPr>
          <w:rFonts w:ascii="Arial" w:hAnsi="Arial" w:cs="Arial"/>
        </w:rPr>
        <w:t>B</w:t>
      </w:r>
      <w:r w:rsidRPr="00DB659E">
        <w:rPr>
          <w:rFonts w:ascii="Arial" w:hAnsi="Arial" w:cs="Arial"/>
        </w:rPr>
        <w:t xml:space="preserve">ill amends the </w:t>
      </w:r>
      <w:r w:rsidRPr="00DB659E">
        <w:rPr>
          <w:rFonts w:ascii="Arial" w:hAnsi="Arial" w:cs="Arial"/>
          <w:i/>
          <w:iCs/>
        </w:rPr>
        <w:t xml:space="preserve">Environment Protection Act 1997 </w:t>
      </w:r>
      <w:r w:rsidRPr="00DB659E">
        <w:rPr>
          <w:rFonts w:ascii="Arial" w:hAnsi="Arial" w:cs="Arial"/>
        </w:rPr>
        <w:t>(EP Act)</w:t>
      </w:r>
      <w:r w:rsidR="00F833B7" w:rsidRPr="00DB659E">
        <w:rPr>
          <w:rFonts w:ascii="Arial" w:hAnsi="Arial" w:cs="Arial"/>
        </w:rPr>
        <w:t xml:space="preserve">, the </w:t>
      </w:r>
      <w:r w:rsidR="00F833B7" w:rsidRPr="00DB659E">
        <w:rPr>
          <w:rFonts w:ascii="Arial" w:hAnsi="Arial" w:cs="Arial"/>
          <w:i/>
          <w:iCs/>
        </w:rPr>
        <w:t>Environment Protection Regulation 2005</w:t>
      </w:r>
      <w:r w:rsidRPr="00DB659E">
        <w:rPr>
          <w:rFonts w:ascii="Arial" w:hAnsi="Arial" w:cs="Arial"/>
        </w:rPr>
        <w:t xml:space="preserve"> </w:t>
      </w:r>
      <w:r w:rsidR="00F833B7" w:rsidRPr="00DB659E">
        <w:rPr>
          <w:rFonts w:ascii="Arial" w:hAnsi="Arial" w:cs="Arial"/>
        </w:rPr>
        <w:t xml:space="preserve">(EP Reg), </w:t>
      </w:r>
      <w:r w:rsidR="00272E3E" w:rsidRPr="00DB659E">
        <w:rPr>
          <w:rFonts w:ascii="Arial" w:hAnsi="Arial" w:cs="Arial"/>
        </w:rPr>
        <w:t xml:space="preserve">and </w:t>
      </w:r>
      <w:r w:rsidR="00F833B7" w:rsidRPr="00DB659E">
        <w:rPr>
          <w:rFonts w:ascii="Arial" w:hAnsi="Arial" w:cs="Arial"/>
        </w:rPr>
        <w:t>th</w:t>
      </w:r>
      <w:r w:rsidRPr="00DB659E">
        <w:rPr>
          <w:rFonts w:ascii="Arial" w:hAnsi="Arial" w:cs="Arial"/>
        </w:rPr>
        <w:t xml:space="preserve">e </w:t>
      </w:r>
      <w:r w:rsidRPr="00DB659E">
        <w:rPr>
          <w:rFonts w:ascii="Arial" w:hAnsi="Arial" w:cs="Arial"/>
          <w:i/>
          <w:iCs/>
        </w:rPr>
        <w:t>Water Resources Act 2007</w:t>
      </w:r>
      <w:r w:rsidRPr="00DB659E">
        <w:rPr>
          <w:rFonts w:ascii="Arial" w:hAnsi="Arial" w:cs="Arial"/>
        </w:rPr>
        <w:t xml:space="preserve"> (WR Act)</w:t>
      </w:r>
      <w:r w:rsidR="00272E3E" w:rsidRPr="00DB659E">
        <w:rPr>
          <w:rFonts w:ascii="Arial" w:hAnsi="Arial" w:cs="Arial"/>
        </w:rPr>
        <w:t>.</w:t>
      </w:r>
    </w:p>
    <w:p w14:paraId="7A3F2D17" w14:textId="7D545939" w:rsidR="00DE12A5" w:rsidRPr="00B7078B" w:rsidRDefault="00DE12A5" w:rsidP="00E90DF9">
      <w:pPr>
        <w:pStyle w:val="Heading3"/>
        <w:rPr>
          <w:rFonts w:cs="Arial"/>
        </w:rPr>
      </w:pPr>
      <w:r w:rsidRPr="00B7078B">
        <w:rPr>
          <w:rFonts w:cs="Arial"/>
        </w:rPr>
        <w:t>Part 2</w:t>
      </w:r>
      <w:r w:rsidRPr="00B7078B">
        <w:rPr>
          <w:rFonts w:cs="Arial"/>
        </w:rPr>
        <w:tab/>
      </w:r>
      <w:r w:rsidRPr="00B7078B">
        <w:rPr>
          <w:rFonts w:cs="Arial"/>
        </w:rPr>
        <w:tab/>
        <w:t>Environment Protection Act 1997</w:t>
      </w:r>
    </w:p>
    <w:p w14:paraId="701A783E" w14:textId="77777777" w:rsidR="00F8446B" w:rsidRPr="00B7078B" w:rsidRDefault="00D62CE0" w:rsidP="009A5748">
      <w:pPr>
        <w:pStyle w:val="Heading3"/>
        <w:rPr>
          <w:rFonts w:cs="Arial"/>
        </w:rPr>
      </w:pPr>
      <w:r w:rsidRPr="00B7078B">
        <w:rPr>
          <w:rFonts w:cs="Arial"/>
        </w:rPr>
        <w:t>Clause 4</w:t>
      </w:r>
      <w:r w:rsidRPr="00B7078B">
        <w:rPr>
          <w:rFonts w:cs="Arial"/>
        </w:rPr>
        <w:tab/>
        <w:t xml:space="preserve">Offences against Act—application of Criminal Code etc </w:t>
      </w:r>
    </w:p>
    <w:p w14:paraId="6F998F2C" w14:textId="6297AED1" w:rsidR="00D62CE0" w:rsidRPr="00B7078B" w:rsidRDefault="00D62CE0" w:rsidP="00F8446B">
      <w:pPr>
        <w:pStyle w:val="Heading3"/>
        <w:ind w:left="720" w:firstLine="720"/>
        <w:rPr>
          <w:rFonts w:cs="Arial"/>
        </w:rPr>
      </w:pPr>
      <w:r w:rsidRPr="00B7078B">
        <w:rPr>
          <w:rFonts w:cs="Arial"/>
        </w:rPr>
        <w:t>Section 3B, note 1, new dot points</w:t>
      </w:r>
    </w:p>
    <w:p w14:paraId="4DC67033" w14:textId="17B0944D" w:rsidR="00272E3E" w:rsidRPr="00DB659E" w:rsidRDefault="00D62CE0" w:rsidP="00D62CE0">
      <w:pPr>
        <w:rPr>
          <w:rFonts w:ascii="Arial" w:hAnsi="Arial" w:cs="Arial"/>
        </w:rPr>
      </w:pPr>
      <w:r w:rsidRPr="00DB659E">
        <w:rPr>
          <w:rFonts w:ascii="Arial" w:hAnsi="Arial" w:cs="Arial"/>
        </w:rPr>
        <w:t xml:space="preserve">Clause 4 </w:t>
      </w:r>
      <w:r w:rsidR="000E01F5" w:rsidRPr="00DB659E">
        <w:rPr>
          <w:rFonts w:ascii="Arial" w:hAnsi="Arial" w:cs="Arial"/>
        </w:rPr>
        <w:t>amends note</w:t>
      </w:r>
      <w:r w:rsidRPr="00DB659E">
        <w:rPr>
          <w:rFonts w:ascii="Arial" w:hAnsi="Arial" w:cs="Arial"/>
        </w:rPr>
        <w:t xml:space="preserve"> </w:t>
      </w:r>
      <w:r w:rsidR="00F079F2" w:rsidRPr="00DB659E">
        <w:rPr>
          <w:rFonts w:ascii="Arial" w:hAnsi="Arial" w:cs="Arial"/>
        </w:rPr>
        <w:t xml:space="preserve">1 </w:t>
      </w:r>
      <w:r w:rsidRPr="00DB659E">
        <w:rPr>
          <w:rFonts w:ascii="Arial" w:hAnsi="Arial" w:cs="Arial"/>
        </w:rPr>
        <w:t xml:space="preserve">in section 3B of the EP Act to make it clear that the Criminal Code applies to </w:t>
      </w:r>
      <w:r w:rsidR="00E52BFC" w:rsidRPr="00DB659E">
        <w:rPr>
          <w:rFonts w:ascii="Arial" w:hAnsi="Arial" w:cs="Arial"/>
        </w:rPr>
        <w:t xml:space="preserve">schedule 2, </w:t>
      </w:r>
      <w:r w:rsidRPr="00DB659E">
        <w:rPr>
          <w:rFonts w:ascii="Arial" w:hAnsi="Arial" w:cs="Arial"/>
        </w:rPr>
        <w:t>section</w:t>
      </w:r>
      <w:r w:rsidR="00E52BFC" w:rsidRPr="00DB659E">
        <w:rPr>
          <w:rFonts w:ascii="Arial" w:hAnsi="Arial" w:cs="Arial"/>
        </w:rPr>
        <w:t xml:space="preserve"> 2.4</w:t>
      </w:r>
      <w:r w:rsidRPr="00DB659E">
        <w:rPr>
          <w:rFonts w:ascii="Arial" w:hAnsi="Arial" w:cs="Arial"/>
        </w:rPr>
        <w:t xml:space="preserve"> (Sale </w:t>
      </w:r>
      <w:r w:rsidR="00E52BFC" w:rsidRPr="00DB659E">
        <w:rPr>
          <w:rFonts w:ascii="Arial" w:hAnsi="Arial" w:cs="Arial"/>
        </w:rPr>
        <w:t>and</w:t>
      </w:r>
      <w:r w:rsidRPr="00DB659E">
        <w:rPr>
          <w:rFonts w:ascii="Arial" w:hAnsi="Arial" w:cs="Arial"/>
        </w:rPr>
        <w:t xml:space="preserve"> installation of solid fuel-burning </w:t>
      </w:r>
      <w:r w:rsidR="00E52BFC" w:rsidRPr="00DB659E">
        <w:rPr>
          <w:rFonts w:ascii="Arial" w:hAnsi="Arial" w:cs="Arial"/>
        </w:rPr>
        <w:t>equipment</w:t>
      </w:r>
      <w:r w:rsidRPr="00DB659E">
        <w:rPr>
          <w:rFonts w:ascii="Arial" w:hAnsi="Arial" w:cs="Arial"/>
        </w:rPr>
        <w:t xml:space="preserve"> without </w:t>
      </w:r>
      <w:r w:rsidR="009B726A" w:rsidRPr="00DB659E">
        <w:rPr>
          <w:rFonts w:ascii="Arial" w:hAnsi="Arial" w:cs="Arial"/>
        </w:rPr>
        <w:t xml:space="preserve">a </w:t>
      </w:r>
      <w:r w:rsidRPr="00DB659E">
        <w:rPr>
          <w:rFonts w:ascii="Arial" w:hAnsi="Arial" w:cs="Arial"/>
        </w:rPr>
        <w:t>certification or compliance plate)</w:t>
      </w:r>
      <w:r w:rsidR="00E52BFC" w:rsidRPr="00DB659E">
        <w:rPr>
          <w:rFonts w:ascii="Arial" w:hAnsi="Arial" w:cs="Arial"/>
        </w:rPr>
        <w:t>.</w:t>
      </w:r>
    </w:p>
    <w:p w14:paraId="41D8F0F7" w14:textId="3F4E0FE6" w:rsidR="00D62CE0" w:rsidRPr="00DB659E" w:rsidRDefault="00E52BFC" w:rsidP="00D62CE0">
      <w:pPr>
        <w:rPr>
          <w:rFonts w:ascii="Arial" w:hAnsi="Arial" w:cs="Arial"/>
        </w:rPr>
      </w:pPr>
      <w:r w:rsidRPr="00DB659E">
        <w:rPr>
          <w:rFonts w:ascii="Arial" w:hAnsi="Arial" w:cs="Arial"/>
        </w:rPr>
        <w:t>Section 2.4</w:t>
      </w:r>
      <w:r w:rsidR="00272E3E" w:rsidRPr="00DB659E">
        <w:rPr>
          <w:rFonts w:ascii="Arial" w:hAnsi="Arial" w:cs="Arial"/>
        </w:rPr>
        <w:t xml:space="preserve"> (2)</w:t>
      </w:r>
      <w:r w:rsidR="00D62CE0" w:rsidRPr="00DB659E">
        <w:rPr>
          <w:rFonts w:ascii="Arial" w:hAnsi="Arial" w:cs="Arial"/>
        </w:rPr>
        <w:t xml:space="preserve"> include</w:t>
      </w:r>
      <w:r w:rsidR="00272E3E" w:rsidRPr="00DB659E">
        <w:rPr>
          <w:rFonts w:ascii="Arial" w:hAnsi="Arial" w:cs="Arial"/>
        </w:rPr>
        <w:t>s</w:t>
      </w:r>
      <w:r w:rsidR="00D62CE0" w:rsidRPr="00DB659E">
        <w:rPr>
          <w:rFonts w:ascii="Arial" w:hAnsi="Arial" w:cs="Arial"/>
        </w:rPr>
        <w:t xml:space="preserve"> the new offence of install</w:t>
      </w:r>
      <w:r w:rsidRPr="00DB659E">
        <w:rPr>
          <w:rFonts w:ascii="Arial" w:hAnsi="Arial" w:cs="Arial"/>
        </w:rPr>
        <w:t>ing non-compliant solid fu</w:t>
      </w:r>
      <w:r w:rsidR="00272E3E" w:rsidRPr="00DB659E">
        <w:rPr>
          <w:rFonts w:ascii="Arial" w:hAnsi="Arial" w:cs="Arial"/>
        </w:rPr>
        <w:t>el</w:t>
      </w:r>
      <w:r w:rsidR="009B726A" w:rsidRPr="00DB659E">
        <w:rPr>
          <w:rFonts w:ascii="Arial" w:hAnsi="Arial" w:cs="Arial"/>
        </w:rPr>
        <w:t>-</w:t>
      </w:r>
      <w:r w:rsidR="00272E3E" w:rsidRPr="00DB659E">
        <w:rPr>
          <w:rFonts w:ascii="Arial" w:hAnsi="Arial" w:cs="Arial"/>
        </w:rPr>
        <w:t>burning equipment</w:t>
      </w:r>
      <w:r w:rsidR="00D62CE0" w:rsidRPr="00DB659E">
        <w:rPr>
          <w:rFonts w:ascii="Arial" w:hAnsi="Arial" w:cs="Arial"/>
        </w:rPr>
        <w:t xml:space="preserve"> and</w:t>
      </w:r>
      <w:r w:rsidR="00272E3E" w:rsidRPr="00DB659E">
        <w:rPr>
          <w:rFonts w:ascii="Arial" w:hAnsi="Arial" w:cs="Arial"/>
        </w:rPr>
        <w:t xml:space="preserve"> Section 2.4 (1) contains</w:t>
      </w:r>
      <w:r w:rsidR="00D62CE0" w:rsidRPr="00DB659E">
        <w:rPr>
          <w:rFonts w:ascii="Arial" w:hAnsi="Arial" w:cs="Arial"/>
        </w:rPr>
        <w:t xml:space="preserve"> the re-drafted offence </w:t>
      </w:r>
      <w:r w:rsidR="00272E3E" w:rsidRPr="00DB659E">
        <w:rPr>
          <w:rFonts w:ascii="Arial" w:hAnsi="Arial" w:cs="Arial"/>
        </w:rPr>
        <w:t>of sale of non-compliant solid fuel-burning equipment</w:t>
      </w:r>
      <w:r w:rsidR="00D62CE0" w:rsidRPr="00DB659E">
        <w:rPr>
          <w:rFonts w:ascii="Arial" w:hAnsi="Arial" w:cs="Arial"/>
        </w:rPr>
        <w:t>.</w:t>
      </w:r>
      <w:r w:rsidR="00272E3E" w:rsidRPr="00DB659E">
        <w:rPr>
          <w:rFonts w:ascii="Arial" w:hAnsi="Arial" w:cs="Arial"/>
        </w:rPr>
        <w:t xml:space="preserve"> The substantive detail of section 2.4 is addressed in clause 4</w:t>
      </w:r>
      <w:r w:rsidR="00F079F2" w:rsidRPr="00DB659E">
        <w:rPr>
          <w:rFonts w:ascii="Arial" w:hAnsi="Arial" w:cs="Arial"/>
        </w:rPr>
        <w:t>0</w:t>
      </w:r>
      <w:r w:rsidR="00272E3E" w:rsidRPr="00DB659E">
        <w:rPr>
          <w:rFonts w:ascii="Arial" w:hAnsi="Arial" w:cs="Arial"/>
        </w:rPr>
        <w:t xml:space="preserve"> below.</w:t>
      </w:r>
    </w:p>
    <w:p w14:paraId="54791B1D" w14:textId="77777777" w:rsidR="00F8446B" w:rsidRPr="00B7078B" w:rsidRDefault="009A5748" w:rsidP="009A5748">
      <w:pPr>
        <w:pStyle w:val="Heading3"/>
        <w:rPr>
          <w:rFonts w:cs="Arial"/>
        </w:rPr>
      </w:pPr>
      <w:r w:rsidRPr="00B7078B">
        <w:rPr>
          <w:rFonts w:cs="Arial"/>
        </w:rPr>
        <w:t xml:space="preserve">Clause </w:t>
      </w:r>
      <w:r w:rsidR="00E52BFC" w:rsidRPr="00B7078B">
        <w:rPr>
          <w:rFonts w:cs="Arial"/>
        </w:rPr>
        <w:t>5</w:t>
      </w:r>
      <w:r w:rsidRPr="00B7078B">
        <w:rPr>
          <w:rFonts w:cs="Arial"/>
        </w:rPr>
        <w:tab/>
        <w:t xml:space="preserve">Objects of Act </w:t>
      </w:r>
    </w:p>
    <w:p w14:paraId="0204F57B" w14:textId="45120100" w:rsidR="009A5748" w:rsidRPr="00B7078B" w:rsidRDefault="009A5748" w:rsidP="00F8446B">
      <w:pPr>
        <w:pStyle w:val="Heading3"/>
        <w:ind w:left="720" w:firstLine="720"/>
        <w:rPr>
          <w:rFonts w:cs="Arial"/>
        </w:rPr>
      </w:pPr>
      <w:r w:rsidRPr="00B7078B">
        <w:rPr>
          <w:rFonts w:cs="Arial"/>
        </w:rPr>
        <w:t xml:space="preserve">Section 3C (1) (d) </w:t>
      </w:r>
    </w:p>
    <w:p w14:paraId="6EA4327F" w14:textId="5EBD3231" w:rsidR="009A5748" w:rsidRPr="00DB659E" w:rsidRDefault="009A5748" w:rsidP="009A5748">
      <w:pPr>
        <w:rPr>
          <w:rFonts w:ascii="Arial" w:hAnsi="Arial" w:cs="Arial"/>
        </w:rPr>
      </w:pPr>
      <w:r w:rsidRPr="00DB659E">
        <w:rPr>
          <w:rFonts w:ascii="Arial" w:hAnsi="Arial" w:cs="Arial"/>
        </w:rPr>
        <w:t xml:space="preserve">Clause </w:t>
      </w:r>
      <w:r w:rsidR="00E52BFC" w:rsidRPr="00DB659E">
        <w:rPr>
          <w:rFonts w:ascii="Arial" w:hAnsi="Arial" w:cs="Arial"/>
        </w:rPr>
        <w:t>5</w:t>
      </w:r>
      <w:r w:rsidRPr="00DB659E">
        <w:rPr>
          <w:rFonts w:ascii="Arial" w:hAnsi="Arial" w:cs="Arial"/>
        </w:rPr>
        <w:t xml:space="preserve"> amends the objects of the EP Act to add ‘culture’ as an explicit element requiring integration with environmental, economic and social considerations in decision-making processes.</w:t>
      </w:r>
    </w:p>
    <w:p w14:paraId="2A2C10BB" w14:textId="60B9C0E1" w:rsidR="00272E3E" w:rsidRPr="00DB659E" w:rsidRDefault="00BE71BA" w:rsidP="009A5748">
      <w:pPr>
        <w:rPr>
          <w:rFonts w:ascii="Arial" w:hAnsi="Arial" w:cs="Arial"/>
        </w:rPr>
      </w:pPr>
      <w:r w:rsidRPr="00DB659E">
        <w:rPr>
          <w:rFonts w:ascii="Arial" w:hAnsi="Arial" w:cs="Arial"/>
        </w:rPr>
        <w:t xml:space="preserve">The effect will be that when making decisions the </w:t>
      </w:r>
      <w:r w:rsidR="009B726A" w:rsidRPr="00DB659E">
        <w:rPr>
          <w:rFonts w:ascii="Arial" w:hAnsi="Arial" w:cs="Arial"/>
        </w:rPr>
        <w:t>A</w:t>
      </w:r>
      <w:r w:rsidRPr="00DB659E">
        <w:rPr>
          <w:rFonts w:ascii="Arial" w:hAnsi="Arial" w:cs="Arial"/>
        </w:rPr>
        <w:t>uthority must consider the environmental, economic, social and cultural impacts involved in each decision. Prior to this amendment cultural considerations were addressed as part of social considerations. This amendment makes that consideration explicit and therefore makes it more prominent in the mind of the decision maker. Further detail about this inclusion is outlined above under the heading ‘consistency with human rights’.</w:t>
      </w:r>
    </w:p>
    <w:p w14:paraId="523CB176" w14:textId="77777777" w:rsidR="00F8446B" w:rsidRPr="00B7078B" w:rsidRDefault="009A5748" w:rsidP="009A5748">
      <w:pPr>
        <w:pStyle w:val="Heading3"/>
        <w:rPr>
          <w:rFonts w:cs="Arial"/>
        </w:rPr>
      </w:pPr>
      <w:r w:rsidRPr="00B7078B">
        <w:rPr>
          <w:rFonts w:cs="Arial"/>
        </w:rPr>
        <w:lastRenderedPageBreak/>
        <w:t xml:space="preserve">Clause </w:t>
      </w:r>
      <w:r w:rsidR="00E52BFC" w:rsidRPr="00B7078B">
        <w:rPr>
          <w:rFonts w:cs="Arial"/>
        </w:rPr>
        <w:t>6</w:t>
      </w:r>
      <w:r w:rsidRPr="00B7078B">
        <w:rPr>
          <w:rFonts w:cs="Arial"/>
        </w:rPr>
        <w:tab/>
        <w:t xml:space="preserve">Principles applying to Act </w:t>
      </w:r>
    </w:p>
    <w:p w14:paraId="248AB763" w14:textId="5A1C2137" w:rsidR="009A5748" w:rsidRPr="00B7078B" w:rsidRDefault="00F8446B" w:rsidP="00F8446B">
      <w:pPr>
        <w:pStyle w:val="Heading3"/>
        <w:ind w:left="720" w:firstLine="720"/>
        <w:rPr>
          <w:rFonts w:cs="Arial"/>
        </w:rPr>
      </w:pPr>
      <w:r w:rsidRPr="00B7078B">
        <w:rPr>
          <w:rFonts w:cs="Arial"/>
        </w:rPr>
        <w:t>New s</w:t>
      </w:r>
      <w:r w:rsidR="009A5748" w:rsidRPr="00B7078B">
        <w:rPr>
          <w:rFonts w:cs="Arial"/>
        </w:rPr>
        <w:t xml:space="preserve">ection 3D (1) </w:t>
      </w:r>
      <w:r w:rsidR="00E52BFC" w:rsidRPr="00B7078B">
        <w:rPr>
          <w:rFonts w:cs="Arial"/>
        </w:rPr>
        <w:t>(</w:t>
      </w:r>
      <w:r w:rsidRPr="00B7078B">
        <w:rPr>
          <w:rFonts w:cs="Arial"/>
        </w:rPr>
        <w:t>f</w:t>
      </w:r>
      <w:r w:rsidR="00E52BFC" w:rsidRPr="00B7078B">
        <w:rPr>
          <w:rFonts w:cs="Arial"/>
        </w:rPr>
        <w:t>)</w:t>
      </w:r>
    </w:p>
    <w:p w14:paraId="1059D8F4" w14:textId="53D47BD2" w:rsidR="001372D2" w:rsidRPr="00DB659E" w:rsidRDefault="009A5748" w:rsidP="009A5748">
      <w:pPr>
        <w:rPr>
          <w:rFonts w:ascii="Arial" w:hAnsi="Arial" w:cs="Arial"/>
        </w:rPr>
      </w:pPr>
      <w:r w:rsidRPr="00DB659E">
        <w:rPr>
          <w:rFonts w:ascii="Arial" w:hAnsi="Arial" w:cs="Arial"/>
        </w:rPr>
        <w:t xml:space="preserve">Clause </w:t>
      </w:r>
      <w:r w:rsidR="00E52BFC" w:rsidRPr="00DB659E">
        <w:rPr>
          <w:rFonts w:ascii="Arial" w:hAnsi="Arial" w:cs="Arial"/>
        </w:rPr>
        <w:t>6</w:t>
      </w:r>
      <w:r w:rsidRPr="00DB659E">
        <w:rPr>
          <w:rFonts w:ascii="Arial" w:hAnsi="Arial" w:cs="Arial"/>
        </w:rPr>
        <w:t xml:space="preserve"> </w:t>
      </w:r>
      <w:r w:rsidR="00F8446B" w:rsidRPr="00DB659E">
        <w:rPr>
          <w:rFonts w:ascii="Arial" w:hAnsi="Arial" w:cs="Arial"/>
        </w:rPr>
        <w:t>inserts</w:t>
      </w:r>
      <w:r w:rsidRPr="00DB659E">
        <w:rPr>
          <w:rFonts w:ascii="Arial" w:hAnsi="Arial" w:cs="Arial"/>
        </w:rPr>
        <w:t xml:space="preserve"> </w:t>
      </w:r>
      <w:r w:rsidR="00E52BFC" w:rsidRPr="00DB659E">
        <w:rPr>
          <w:rFonts w:ascii="Arial" w:hAnsi="Arial" w:cs="Arial"/>
        </w:rPr>
        <w:t>‘the principle of ecologically sustainable development</w:t>
      </w:r>
      <w:r w:rsidR="00BE71BA" w:rsidRPr="00DB659E">
        <w:rPr>
          <w:rFonts w:ascii="Arial" w:hAnsi="Arial" w:cs="Arial"/>
        </w:rPr>
        <w:t>’</w:t>
      </w:r>
      <w:r w:rsidRPr="00DB659E">
        <w:rPr>
          <w:rFonts w:ascii="Arial" w:hAnsi="Arial" w:cs="Arial"/>
        </w:rPr>
        <w:t xml:space="preserve"> as an explicit consideration in the principles </w:t>
      </w:r>
      <w:r w:rsidR="00F8446B" w:rsidRPr="00DB659E">
        <w:rPr>
          <w:rFonts w:ascii="Arial" w:hAnsi="Arial" w:cs="Arial"/>
        </w:rPr>
        <w:t xml:space="preserve">applying to the EP Act </w:t>
      </w:r>
      <w:r w:rsidRPr="00DB659E">
        <w:rPr>
          <w:rFonts w:ascii="Arial" w:hAnsi="Arial" w:cs="Arial"/>
        </w:rPr>
        <w:t>that a person administering the</w:t>
      </w:r>
      <w:r w:rsidR="00F8446B" w:rsidRPr="00DB659E">
        <w:rPr>
          <w:rFonts w:ascii="Arial" w:hAnsi="Arial" w:cs="Arial"/>
        </w:rPr>
        <w:t xml:space="preserve"> EP</w:t>
      </w:r>
      <w:r w:rsidRPr="00DB659E">
        <w:rPr>
          <w:rFonts w:ascii="Arial" w:hAnsi="Arial" w:cs="Arial"/>
        </w:rPr>
        <w:t xml:space="preserve"> Act must have regard to.</w:t>
      </w:r>
    </w:p>
    <w:p w14:paraId="64BC7B1E" w14:textId="199F0F38" w:rsidR="00BE71BA" w:rsidRPr="00B7078B" w:rsidRDefault="00BE71BA" w:rsidP="00F8446B">
      <w:pPr>
        <w:pStyle w:val="Heading3"/>
        <w:ind w:left="1440" w:hanging="1440"/>
        <w:rPr>
          <w:rFonts w:cs="Arial"/>
          <w:i/>
          <w:iCs/>
        </w:rPr>
      </w:pPr>
      <w:r w:rsidRPr="00B7078B">
        <w:rPr>
          <w:rFonts w:cs="Arial"/>
        </w:rPr>
        <w:t>Clause 7</w:t>
      </w:r>
      <w:r w:rsidRPr="00B7078B">
        <w:rPr>
          <w:rFonts w:cs="Arial"/>
        </w:rPr>
        <w:tab/>
        <w:t>Section 3D (2)</w:t>
      </w:r>
      <w:r w:rsidR="00F8446B" w:rsidRPr="00B7078B">
        <w:rPr>
          <w:rFonts w:cs="Arial"/>
        </w:rPr>
        <w:t>,</w:t>
      </w:r>
      <w:r w:rsidRPr="00B7078B">
        <w:rPr>
          <w:rFonts w:cs="Arial"/>
        </w:rPr>
        <w:t xml:space="preserve"> new definition of </w:t>
      </w:r>
      <w:r w:rsidRPr="00B7078B">
        <w:rPr>
          <w:rFonts w:cs="Arial"/>
          <w:i/>
          <w:iCs/>
        </w:rPr>
        <w:t>ecologically sustainable development</w:t>
      </w:r>
    </w:p>
    <w:p w14:paraId="05127A14" w14:textId="7567EF5D" w:rsidR="00BE71BA" w:rsidRPr="00DB659E" w:rsidRDefault="00BE71BA" w:rsidP="00BE71BA">
      <w:pPr>
        <w:rPr>
          <w:rFonts w:ascii="Arial" w:hAnsi="Arial" w:cs="Arial"/>
        </w:rPr>
      </w:pPr>
      <w:r w:rsidRPr="00DB659E">
        <w:rPr>
          <w:rFonts w:ascii="Arial" w:hAnsi="Arial" w:cs="Arial"/>
        </w:rPr>
        <w:t xml:space="preserve">Clause 7 amends Section 3D (2) by adding a definition of ecologically sustainable development into the </w:t>
      </w:r>
      <w:r w:rsidR="00F8446B" w:rsidRPr="00DB659E">
        <w:rPr>
          <w:rFonts w:ascii="Arial" w:hAnsi="Arial" w:cs="Arial"/>
        </w:rPr>
        <w:t xml:space="preserve">EP </w:t>
      </w:r>
      <w:r w:rsidRPr="00DB659E">
        <w:rPr>
          <w:rFonts w:ascii="Arial" w:hAnsi="Arial" w:cs="Arial"/>
        </w:rPr>
        <w:t>Act to provide the detail for the substantive amendment to add ecologically sustainable development as a principle (clause 6).</w:t>
      </w:r>
    </w:p>
    <w:p w14:paraId="08EC8D64" w14:textId="2B23915B" w:rsidR="00783A27" w:rsidRPr="00B7078B" w:rsidRDefault="003B2E97" w:rsidP="003B2E97">
      <w:pPr>
        <w:pStyle w:val="Heading3"/>
        <w:rPr>
          <w:rFonts w:cs="Arial"/>
        </w:rPr>
      </w:pPr>
      <w:r w:rsidRPr="00B7078B">
        <w:rPr>
          <w:rFonts w:cs="Arial"/>
        </w:rPr>
        <w:t xml:space="preserve">Clause </w:t>
      </w:r>
      <w:r w:rsidR="003E2F06" w:rsidRPr="00B7078B">
        <w:rPr>
          <w:rFonts w:cs="Arial"/>
        </w:rPr>
        <w:t>8</w:t>
      </w:r>
      <w:r w:rsidRPr="00B7078B">
        <w:rPr>
          <w:rFonts w:cs="Arial"/>
        </w:rPr>
        <w:tab/>
        <w:t xml:space="preserve">Criminal liability of the Territory </w:t>
      </w:r>
    </w:p>
    <w:p w14:paraId="288228D4" w14:textId="2F56AB03" w:rsidR="003B2E97" w:rsidRPr="00B7078B" w:rsidRDefault="003B2E97" w:rsidP="001372D2">
      <w:pPr>
        <w:pStyle w:val="Heading3"/>
        <w:ind w:left="720" w:firstLine="720"/>
        <w:rPr>
          <w:rFonts w:cs="Arial"/>
        </w:rPr>
      </w:pPr>
      <w:r w:rsidRPr="00B7078B">
        <w:rPr>
          <w:rFonts w:cs="Arial"/>
        </w:rPr>
        <w:t xml:space="preserve">Section 10, new note </w:t>
      </w:r>
    </w:p>
    <w:p w14:paraId="62615F6A" w14:textId="6C9DDB8B" w:rsidR="003B2E97" w:rsidRPr="00DB659E" w:rsidRDefault="003B2E97" w:rsidP="003B2E97">
      <w:pPr>
        <w:rPr>
          <w:rFonts w:ascii="Arial" w:hAnsi="Arial" w:cs="Arial"/>
        </w:rPr>
      </w:pPr>
      <w:r w:rsidRPr="00DB659E">
        <w:rPr>
          <w:rFonts w:ascii="Arial" w:hAnsi="Arial" w:cs="Arial"/>
        </w:rPr>
        <w:t xml:space="preserve">Clause </w:t>
      </w:r>
      <w:r w:rsidR="003E2F06" w:rsidRPr="00DB659E">
        <w:rPr>
          <w:rFonts w:ascii="Arial" w:hAnsi="Arial" w:cs="Arial"/>
        </w:rPr>
        <w:t>8</w:t>
      </w:r>
      <w:r w:rsidRPr="00DB659E">
        <w:rPr>
          <w:rFonts w:ascii="Arial" w:hAnsi="Arial" w:cs="Arial"/>
        </w:rPr>
        <w:t xml:space="preserve"> adds a new note to section 10 to make it clear on the face of the EP Act to people administering the Act, and those subject to the </w:t>
      </w:r>
      <w:r w:rsidR="00F8446B" w:rsidRPr="00DB659E">
        <w:rPr>
          <w:rFonts w:ascii="Arial" w:hAnsi="Arial" w:cs="Arial"/>
        </w:rPr>
        <w:t xml:space="preserve">EP </w:t>
      </w:r>
      <w:r w:rsidRPr="00DB659E">
        <w:rPr>
          <w:rFonts w:ascii="Arial" w:hAnsi="Arial" w:cs="Arial"/>
        </w:rPr>
        <w:t>Act, that the Commonwealth Government is bound by the Act.</w:t>
      </w:r>
    </w:p>
    <w:p w14:paraId="02238A6D" w14:textId="55FBED90" w:rsidR="003B2E97" w:rsidRPr="00DB659E" w:rsidRDefault="003B2E97" w:rsidP="003B2E97">
      <w:pPr>
        <w:rPr>
          <w:rFonts w:ascii="Arial" w:hAnsi="Arial" w:cs="Arial"/>
        </w:rPr>
      </w:pPr>
      <w:r w:rsidRPr="00DB659E">
        <w:rPr>
          <w:rFonts w:ascii="Arial" w:hAnsi="Arial" w:cs="Arial"/>
        </w:rPr>
        <w:t xml:space="preserve">This reflects the 2021 updated </w:t>
      </w:r>
      <w:r w:rsidRPr="00DB659E">
        <w:rPr>
          <w:rFonts w:ascii="Arial" w:hAnsi="Arial" w:cs="Arial"/>
          <w:i/>
          <w:iCs/>
        </w:rPr>
        <w:t>Australian Capital Territory (Self-Government) Regulations 2021</w:t>
      </w:r>
      <w:r w:rsidRPr="00DB659E">
        <w:rPr>
          <w:rFonts w:ascii="Arial" w:hAnsi="Arial" w:cs="Arial"/>
        </w:rPr>
        <w:t xml:space="preserve"> (Cwlth) which added the </w:t>
      </w:r>
      <w:r w:rsidRPr="00DB659E">
        <w:rPr>
          <w:rFonts w:ascii="Arial" w:hAnsi="Arial" w:cs="Arial"/>
          <w:i/>
          <w:iCs/>
        </w:rPr>
        <w:t>Environment Protection Act 1997</w:t>
      </w:r>
      <w:r w:rsidRPr="00DB659E">
        <w:rPr>
          <w:rFonts w:ascii="Arial" w:hAnsi="Arial" w:cs="Arial"/>
        </w:rPr>
        <w:t xml:space="preserve"> (ACT) as an Act that the Commonwealth Government is bound by. It retains the limit, like other </w:t>
      </w:r>
      <w:r w:rsidR="009B726A" w:rsidRPr="00DB659E">
        <w:rPr>
          <w:rFonts w:ascii="Arial" w:hAnsi="Arial" w:cs="Arial"/>
        </w:rPr>
        <w:t>T</w:t>
      </w:r>
      <w:r w:rsidRPr="00DB659E">
        <w:rPr>
          <w:rFonts w:ascii="Arial" w:hAnsi="Arial" w:cs="Arial"/>
        </w:rPr>
        <w:t xml:space="preserve">erritory </w:t>
      </w:r>
      <w:r w:rsidR="009B726A" w:rsidRPr="00DB659E">
        <w:rPr>
          <w:rFonts w:ascii="Arial" w:hAnsi="Arial" w:cs="Arial"/>
        </w:rPr>
        <w:t>A</w:t>
      </w:r>
      <w:r w:rsidRPr="00DB659E">
        <w:rPr>
          <w:rFonts w:ascii="Arial" w:hAnsi="Arial" w:cs="Arial"/>
        </w:rPr>
        <w:t>cts mentioned in those regulations, that the Commonwealth cannot be prosecuted for an offence und</w:t>
      </w:r>
      <w:r w:rsidR="00893CCA" w:rsidRPr="00DB659E">
        <w:rPr>
          <w:rFonts w:ascii="Arial" w:hAnsi="Arial" w:cs="Arial"/>
        </w:rPr>
        <w:t>er the EP Act.</w:t>
      </w:r>
    </w:p>
    <w:p w14:paraId="22E9B6DE" w14:textId="0FFD02CA" w:rsidR="00A0193C" w:rsidRPr="00B7078B" w:rsidRDefault="00A0193C" w:rsidP="00A0193C">
      <w:pPr>
        <w:pStyle w:val="Heading3"/>
        <w:rPr>
          <w:rFonts w:cs="Arial"/>
        </w:rPr>
      </w:pPr>
      <w:r w:rsidRPr="00B7078B">
        <w:rPr>
          <w:rFonts w:cs="Arial"/>
        </w:rPr>
        <w:t>Clause 9 and 10</w:t>
      </w:r>
      <w:r w:rsidRPr="00B7078B">
        <w:rPr>
          <w:rFonts w:cs="Arial"/>
        </w:rPr>
        <w:tab/>
        <w:t>Division 2.2 heading</w:t>
      </w:r>
    </w:p>
    <w:p w14:paraId="16FA20C3" w14:textId="63CBA92A" w:rsidR="00A0193C" w:rsidRPr="00DB659E" w:rsidRDefault="00A0193C" w:rsidP="00A0193C">
      <w:pPr>
        <w:rPr>
          <w:rFonts w:ascii="Arial" w:hAnsi="Arial" w:cs="Arial"/>
        </w:rPr>
      </w:pPr>
      <w:r w:rsidRPr="00DB659E">
        <w:rPr>
          <w:rFonts w:ascii="Arial" w:hAnsi="Arial" w:cs="Arial"/>
        </w:rPr>
        <w:t>Clause</w:t>
      </w:r>
      <w:r w:rsidR="00F8446B" w:rsidRPr="00DB659E">
        <w:rPr>
          <w:rFonts w:ascii="Arial" w:hAnsi="Arial" w:cs="Arial"/>
        </w:rPr>
        <w:t>s</w:t>
      </w:r>
      <w:r w:rsidRPr="00DB659E">
        <w:rPr>
          <w:rFonts w:ascii="Arial" w:hAnsi="Arial" w:cs="Arial"/>
        </w:rPr>
        <w:t xml:space="preserve"> 9 and 10 </w:t>
      </w:r>
      <w:r w:rsidR="00F8446B" w:rsidRPr="00DB659E">
        <w:rPr>
          <w:rFonts w:ascii="Arial" w:hAnsi="Arial" w:cs="Arial"/>
        </w:rPr>
        <w:t xml:space="preserve">amends </w:t>
      </w:r>
      <w:r w:rsidRPr="00DB659E">
        <w:rPr>
          <w:rFonts w:ascii="Arial" w:hAnsi="Arial" w:cs="Arial"/>
        </w:rPr>
        <w:t>the heading</w:t>
      </w:r>
      <w:r w:rsidR="00F8446B" w:rsidRPr="00DB659E">
        <w:rPr>
          <w:rFonts w:ascii="Arial" w:hAnsi="Arial" w:cs="Arial"/>
        </w:rPr>
        <w:t>s for Division 2.2 and section 19 of the EP Act</w:t>
      </w:r>
      <w:r w:rsidRPr="00DB659E">
        <w:rPr>
          <w:rFonts w:ascii="Arial" w:hAnsi="Arial" w:cs="Arial"/>
        </w:rPr>
        <w:t xml:space="preserve">. </w:t>
      </w:r>
    </w:p>
    <w:p w14:paraId="3EC6A4B3" w14:textId="5CE0DC15" w:rsidR="00893CCA" w:rsidRPr="00B7078B" w:rsidRDefault="00893CCA" w:rsidP="00893CCA">
      <w:pPr>
        <w:pStyle w:val="Heading3"/>
        <w:rPr>
          <w:rFonts w:cs="Arial"/>
        </w:rPr>
      </w:pPr>
      <w:r w:rsidRPr="00B7078B">
        <w:rPr>
          <w:rFonts w:cs="Arial"/>
        </w:rPr>
        <w:t xml:space="preserve">Clauses </w:t>
      </w:r>
      <w:r w:rsidR="006241B2" w:rsidRPr="00B7078B">
        <w:rPr>
          <w:rFonts w:cs="Arial"/>
        </w:rPr>
        <w:t>1</w:t>
      </w:r>
      <w:r w:rsidR="00A0193C" w:rsidRPr="00B7078B">
        <w:rPr>
          <w:rFonts w:cs="Arial"/>
        </w:rPr>
        <w:t>1</w:t>
      </w:r>
      <w:r w:rsidRPr="00B7078B">
        <w:rPr>
          <w:rFonts w:cs="Arial"/>
        </w:rPr>
        <w:t xml:space="preserve"> to </w:t>
      </w:r>
      <w:r w:rsidR="00A0193C" w:rsidRPr="00B7078B">
        <w:rPr>
          <w:rFonts w:cs="Arial"/>
        </w:rPr>
        <w:t>19</w:t>
      </w:r>
      <w:r w:rsidRPr="00B7078B">
        <w:rPr>
          <w:rFonts w:cs="Arial"/>
        </w:rPr>
        <w:tab/>
      </w:r>
      <w:r w:rsidR="00A0193C" w:rsidRPr="00B7078B">
        <w:rPr>
          <w:rFonts w:cs="Arial"/>
        </w:rPr>
        <w:t>Public access to documents</w:t>
      </w:r>
    </w:p>
    <w:p w14:paraId="785F6723" w14:textId="16C5DF91" w:rsidR="00AE6905" w:rsidRPr="00DB659E" w:rsidRDefault="00893CCA" w:rsidP="00893CCA">
      <w:pPr>
        <w:rPr>
          <w:rFonts w:ascii="Arial" w:hAnsi="Arial" w:cs="Arial"/>
        </w:rPr>
      </w:pPr>
      <w:r w:rsidRPr="00DB659E">
        <w:rPr>
          <w:rFonts w:ascii="Arial" w:hAnsi="Arial" w:cs="Arial"/>
        </w:rPr>
        <w:t xml:space="preserve">Clauses </w:t>
      </w:r>
      <w:r w:rsidR="00A0193C" w:rsidRPr="00DB659E">
        <w:rPr>
          <w:rFonts w:ascii="Arial" w:hAnsi="Arial" w:cs="Arial"/>
        </w:rPr>
        <w:t>11</w:t>
      </w:r>
      <w:r w:rsidRPr="00DB659E">
        <w:rPr>
          <w:rFonts w:ascii="Arial" w:hAnsi="Arial" w:cs="Arial"/>
        </w:rPr>
        <w:t xml:space="preserve"> to </w:t>
      </w:r>
      <w:r w:rsidR="00A0193C" w:rsidRPr="00DB659E">
        <w:rPr>
          <w:rFonts w:ascii="Arial" w:hAnsi="Arial" w:cs="Arial"/>
        </w:rPr>
        <w:t>19</w:t>
      </w:r>
      <w:r w:rsidRPr="00DB659E">
        <w:rPr>
          <w:rFonts w:ascii="Arial" w:hAnsi="Arial" w:cs="Arial"/>
        </w:rPr>
        <w:t xml:space="preserve"> update the </w:t>
      </w:r>
      <w:r w:rsidR="00EA4A7E" w:rsidRPr="00DB659E">
        <w:rPr>
          <w:rFonts w:ascii="Arial" w:hAnsi="Arial" w:cs="Arial"/>
        </w:rPr>
        <w:t xml:space="preserve">EP </w:t>
      </w:r>
      <w:r w:rsidRPr="00DB659E">
        <w:rPr>
          <w:rFonts w:ascii="Arial" w:hAnsi="Arial" w:cs="Arial"/>
        </w:rPr>
        <w:t xml:space="preserve">Act to modernise the process of accessing documents created under the EP Act. </w:t>
      </w:r>
    </w:p>
    <w:p w14:paraId="1C7DB267" w14:textId="3B9258A4" w:rsidR="0087483E" w:rsidRPr="00DB659E" w:rsidRDefault="00893CCA" w:rsidP="00893CCA">
      <w:pPr>
        <w:rPr>
          <w:rFonts w:ascii="Arial" w:hAnsi="Arial" w:cs="Arial"/>
        </w:rPr>
      </w:pPr>
      <w:r w:rsidRPr="00DB659E">
        <w:rPr>
          <w:rFonts w:ascii="Arial" w:hAnsi="Arial" w:cs="Arial"/>
        </w:rPr>
        <w:t xml:space="preserve">These amendments do not alter the operation of the </w:t>
      </w:r>
      <w:r w:rsidRPr="00DB659E">
        <w:rPr>
          <w:rFonts w:ascii="Arial" w:hAnsi="Arial" w:cs="Arial"/>
          <w:i/>
          <w:iCs/>
        </w:rPr>
        <w:t xml:space="preserve">Freedom of Information Act 2016 </w:t>
      </w:r>
      <w:r w:rsidRPr="00DB659E">
        <w:rPr>
          <w:rFonts w:ascii="Arial" w:hAnsi="Arial" w:cs="Arial"/>
        </w:rPr>
        <w:t>to these documents.</w:t>
      </w:r>
      <w:r w:rsidR="00535C35" w:rsidRPr="00DB659E">
        <w:rPr>
          <w:rFonts w:ascii="Arial" w:hAnsi="Arial" w:cs="Arial"/>
        </w:rPr>
        <w:t xml:space="preserve"> The </w:t>
      </w:r>
      <w:r w:rsidR="00535C35" w:rsidRPr="00DB659E">
        <w:rPr>
          <w:rFonts w:ascii="Arial" w:hAnsi="Arial" w:cs="Arial"/>
          <w:i/>
          <w:iCs/>
        </w:rPr>
        <w:t>Freedom of Information Act 2016</w:t>
      </w:r>
      <w:r w:rsidR="00535C35" w:rsidRPr="00DB659E">
        <w:rPr>
          <w:rFonts w:ascii="Arial" w:hAnsi="Arial" w:cs="Arial"/>
        </w:rPr>
        <w:t xml:space="preserve"> continues to apply separately and in addition to the access to documents regime in the EP Act.</w:t>
      </w:r>
    </w:p>
    <w:p w14:paraId="6A0A60E4" w14:textId="65A9209B" w:rsidR="00893CCA" w:rsidRPr="00DB659E" w:rsidRDefault="00893CCA" w:rsidP="00893CCA">
      <w:pPr>
        <w:rPr>
          <w:rFonts w:ascii="Arial" w:hAnsi="Arial" w:cs="Arial"/>
        </w:rPr>
      </w:pPr>
      <w:r w:rsidRPr="00DB659E">
        <w:rPr>
          <w:rFonts w:ascii="Arial" w:hAnsi="Arial" w:cs="Arial"/>
        </w:rPr>
        <w:t xml:space="preserve">These amendments make it clear that these documents will </w:t>
      </w:r>
      <w:r w:rsidR="0087483E" w:rsidRPr="00DB659E">
        <w:rPr>
          <w:rFonts w:ascii="Arial" w:hAnsi="Arial" w:cs="Arial"/>
        </w:rPr>
        <w:t xml:space="preserve">also </w:t>
      </w:r>
      <w:r w:rsidRPr="00DB659E">
        <w:rPr>
          <w:rFonts w:ascii="Arial" w:hAnsi="Arial" w:cs="Arial"/>
        </w:rPr>
        <w:t xml:space="preserve">be </w:t>
      </w:r>
      <w:r w:rsidR="0087483E" w:rsidRPr="00DB659E">
        <w:rPr>
          <w:rFonts w:ascii="Arial" w:hAnsi="Arial" w:cs="Arial"/>
        </w:rPr>
        <w:t>accessible</w:t>
      </w:r>
      <w:r w:rsidRPr="00DB659E">
        <w:rPr>
          <w:rFonts w:ascii="Arial" w:hAnsi="Arial" w:cs="Arial"/>
        </w:rPr>
        <w:t xml:space="preserve"> electronically, rather than </w:t>
      </w:r>
      <w:r w:rsidR="0087483E" w:rsidRPr="00DB659E">
        <w:rPr>
          <w:rFonts w:ascii="Arial" w:hAnsi="Arial" w:cs="Arial"/>
        </w:rPr>
        <w:t xml:space="preserve">only </w:t>
      </w:r>
      <w:r w:rsidRPr="00DB659E">
        <w:rPr>
          <w:rFonts w:ascii="Arial" w:hAnsi="Arial" w:cs="Arial"/>
        </w:rPr>
        <w:t xml:space="preserve">through a person attending the office of the </w:t>
      </w:r>
      <w:r w:rsidR="009B726A" w:rsidRPr="00DB659E">
        <w:rPr>
          <w:rFonts w:ascii="Arial" w:hAnsi="Arial" w:cs="Arial"/>
        </w:rPr>
        <w:t>A</w:t>
      </w:r>
      <w:r w:rsidRPr="00DB659E">
        <w:rPr>
          <w:rFonts w:ascii="Arial" w:hAnsi="Arial" w:cs="Arial"/>
        </w:rPr>
        <w:t xml:space="preserve">uthority, reviewing a physical register, and requesting </w:t>
      </w:r>
      <w:r w:rsidR="00F833B7" w:rsidRPr="00DB659E">
        <w:rPr>
          <w:rFonts w:ascii="Arial" w:hAnsi="Arial" w:cs="Arial"/>
        </w:rPr>
        <w:t xml:space="preserve">hard </w:t>
      </w:r>
      <w:r w:rsidRPr="00DB659E">
        <w:rPr>
          <w:rFonts w:ascii="Arial" w:hAnsi="Arial" w:cs="Arial"/>
        </w:rPr>
        <w:t>copies.</w:t>
      </w:r>
    </w:p>
    <w:p w14:paraId="421CAA89" w14:textId="77777777" w:rsidR="00DB659E" w:rsidRDefault="00DB659E">
      <w:pPr>
        <w:spacing w:after="160" w:line="259" w:lineRule="auto"/>
        <w:rPr>
          <w:rFonts w:ascii="Arial" w:hAnsi="Arial" w:cs="Arial"/>
        </w:rPr>
      </w:pPr>
      <w:r>
        <w:rPr>
          <w:rFonts w:ascii="Arial" w:hAnsi="Arial" w:cs="Arial"/>
        </w:rPr>
        <w:br w:type="page"/>
      </w:r>
    </w:p>
    <w:p w14:paraId="3BCF5B42" w14:textId="3C8E81F7" w:rsidR="0087483E" w:rsidRPr="00DB659E" w:rsidRDefault="0087483E" w:rsidP="00893CCA">
      <w:pPr>
        <w:rPr>
          <w:rFonts w:ascii="Arial" w:hAnsi="Arial" w:cs="Arial"/>
        </w:rPr>
      </w:pPr>
      <w:r w:rsidRPr="00DB659E">
        <w:rPr>
          <w:rFonts w:ascii="Arial" w:hAnsi="Arial" w:cs="Arial"/>
        </w:rPr>
        <w:lastRenderedPageBreak/>
        <w:t>Clause 1</w:t>
      </w:r>
      <w:r w:rsidR="00AE6905" w:rsidRPr="00DB659E">
        <w:rPr>
          <w:rFonts w:ascii="Arial" w:hAnsi="Arial" w:cs="Arial"/>
        </w:rPr>
        <w:t>7</w:t>
      </w:r>
      <w:r w:rsidRPr="00DB659E">
        <w:rPr>
          <w:rFonts w:ascii="Arial" w:hAnsi="Arial" w:cs="Arial"/>
        </w:rPr>
        <w:t xml:space="preserve"> says that the </w:t>
      </w:r>
      <w:r w:rsidR="009B726A" w:rsidRPr="00DB659E">
        <w:rPr>
          <w:rFonts w:ascii="Arial" w:hAnsi="Arial" w:cs="Arial"/>
        </w:rPr>
        <w:t>A</w:t>
      </w:r>
      <w:r w:rsidRPr="00DB659E">
        <w:rPr>
          <w:rFonts w:ascii="Arial" w:hAnsi="Arial" w:cs="Arial"/>
        </w:rPr>
        <w:t>uthority must make the document available for inspection</w:t>
      </w:r>
      <w:r w:rsidR="00EA4A7E" w:rsidRPr="00DB659E">
        <w:rPr>
          <w:rFonts w:ascii="Arial" w:hAnsi="Arial" w:cs="Arial"/>
        </w:rPr>
        <w:t xml:space="preserve"> without charge</w:t>
      </w:r>
      <w:r w:rsidRPr="00DB659E">
        <w:rPr>
          <w:rFonts w:ascii="Arial" w:hAnsi="Arial" w:cs="Arial"/>
        </w:rPr>
        <w:t xml:space="preserve"> at an ACT government office or on an ACT government website</w:t>
      </w:r>
      <w:r w:rsidR="00EA4A7E" w:rsidRPr="00DB659E">
        <w:rPr>
          <w:rFonts w:ascii="Arial" w:hAnsi="Arial" w:cs="Arial"/>
        </w:rPr>
        <w:t>. The person may also request</w:t>
      </w:r>
      <w:r w:rsidRPr="00DB659E">
        <w:rPr>
          <w:rFonts w:ascii="Arial" w:hAnsi="Arial" w:cs="Arial"/>
        </w:rPr>
        <w:t xml:space="preserve"> a copy of the document. This provides the authority with relevant discretion about the methods that it chooses to publish the documents and provides a requirement that the document is available.</w:t>
      </w:r>
      <w:r w:rsidR="00EA4A7E" w:rsidRPr="00DB659E">
        <w:rPr>
          <w:rFonts w:ascii="Arial" w:hAnsi="Arial" w:cs="Arial"/>
        </w:rPr>
        <w:t xml:space="preserve"> This provides a discretion for the </w:t>
      </w:r>
      <w:r w:rsidR="009B726A" w:rsidRPr="00DB659E">
        <w:rPr>
          <w:rFonts w:ascii="Arial" w:hAnsi="Arial" w:cs="Arial"/>
        </w:rPr>
        <w:t>Authority</w:t>
      </w:r>
      <w:r w:rsidR="00EA4A7E" w:rsidRPr="00DB659E">
        <w:rPr>
          <w:rFonts w:ascii="Arial" w:hAnsi="Arial" w:cs="Arial"/>
        </w:rPr>
        <w:t xml:space="preserve"> to charge a reasonable copying cost if a person requests a hard copy of a document. This is because some documents covered can be quite lengthy.</w:t>
      </w:r>
    </w:p>
    <w:p w14:paraId="7E212FEA" w14:textId="207D1488" w:rsidR="004F6D1A" w:rsidRPr="00DB659E" w:rsidRDefault="004F6D1A" w:rsidP="00893CCA">
      <w:pPr>
        <w:rPr>
          <w:rFonts w:ascii="Arial" w:hAnsi="Arial" w:cs="Arial"/>
        </w:rPr>
      </w:pPr>
      <w:r w:rsidRPr="00DB659E">
        <w:rPr>
          <w:rFonts w:ascii="Arial" w:hAnsi="Arial" w:cs="Arial"/>
        </w:rPr>
        <w:t>Clause 19 updates section 21 about the exclusion of material from public access.</w:t>
      </w:r>
      <w:r w:rsidR="0098104E" w:rsidRPr="00DB659E">
        <w:rPr>
          <w:rFonts w:ascii="Arial" w:hAnsi="Arial" w:cs="Arial"/>
        </w:rPr>
        <w:t xml:space="preserve"> The existing section 21 includes a process for a person providing a document, or a person whose interests are affected by the provision of the document, to apply to the </w:t>
      </w:r>
      <w:r w:rsidR="009B726A" w:rsidRPr="00DB659E">
        <w:rPr>
          <w:rFonts w:ascii="Arial" w:hAnsi="Arial" w:cs="Arial"/>
        </w:rPr>
        <w:t>A</w:t>
      </w:r>
      <w:r w:rsidR="0098104E" w:rsidRPr="00DB659E">
        <w:rPr>
          <w:rFonts w:ascii="Arial" w:hAnsi="Arial" w:cs="Arial"/>
        </w:rPr>
        <w:t>uthority to exclude from publication material that would reveal a trade secret or whose disclosure would reasonably be expected to adversely affect the person in relation to the lawful business affairs of that person. The updated section 21 retains the same mechanism for application to exclude a document or part of a document, with some updated expression in drafting.</w:t>
      </w:r>
      <w:r w:rsidRPr="00DB659E">
        <w:rPr>
          <w:rFonts w:ascii="Arial" w:hAnsi="Arial" w:cs="Arial"/>
        </w:rPr>
        <w:t xml:space="preserve"> Further detail about this provision is outlined above under the heading ‘consistency with human rights’.</w:t>
      </w:r>
    </w:p>
    <w:p w14:paraId="6BDA914F" w14:textId="14A9C661" w:rsidR="0087483E" w:rsidRPr="00DB659E" w:rsidRDefault="0087483E" w:rsidP="00893CCA">
      <w:pPr>
        <w:rPr>
          <w:rFonts w:ascii="Arial" w:hAnsi="Arial" w:cs="Arial"/>
        </w:rPr>
      </w:pPr>
      <w:r w:rsidRPr="00DB659E">
        <w:rPr>
          <w:rFonts w:ascii="Arial" w:hAnsi="Arial" w:cs="Arial"/>
        </w:rPr>
        <w:t xml:space="preserve">Where </w:t>
      </w:r>
      <w:r w:rsidR="00586461" w:rsidRPr="00DB659E">
        <w:rPr>
          <w:rFonts w:ascii="Arial" w:hAnsi="Arial" w:cs="Arial"/>
        </w:rPr>
        <w:t xml:space="preserve">a person has applied to exclude material from publication, and </w:t>
      </w:r>
      <w:r w:rsidRPr="00DB659E">
        <w:rPr>
          <w:rFonts w:ascii="Arial" w:hAnsi="Arial" w:cs="Arial"/>
        </w:rPr>
        <w:t xml:space="preserve">the </w:t>
      </w:r>
      <w:r w:rsidR="009B726A" w:rsidRPr="00DB659E">
        <w:rPr>
          <w:rFonts w:ascii="Arial" w:hAnsi="Arial" w:cs="Arial"/>
        </w:rPr>
        <w:t>A</w:t>
      </w:r>
      <w:r w:rsidR="00586461" w:rsidRPr="00DB659E">
        <w:rPr>
          <w:rFonts w:ascii="Arial" w:hAnsi="Arial" w:cs="Arial"/>
        </w:rPr>
        <w:t xml:space="preserve">uthority </w:t>
      </w:r>
      <w:r w:rsidR="009043FF" w:rsidRPr="00DB659E">
        <w:rPr>
          <w:rFonts w:ascii="Arial" w:hAnsi="Arial" w:cs="Arial"/>
        </w:rPr>
        <w:t>decides</w:t>
      </w:r>
      <w:r w:rsidR="00586461" w:rsidRPr="00DB659E">
        <w:rPr>
          <w:rFonts w:ascii="Arial" w:hAnsi="Arial" w:cs="Arial"/>
        </w:rPr>
        <w:t xml:space="preserve"> to publish (</w:t>
      </w:r>
      <w:r w:rsidR="009B726A" w:rsidRPr="00DB659E">
        <w:rPr>
          <w:rFonts w:ascii="Arial" w:hAnsi="Arial" w:cs="Arial"/>
        </w:rPr>
        <w:t>i.e.</w:t>
      </w:r>
      <w:r w:rsidR="00586461" w:rsidRPr="00DB659E">
        <w:rPr>
          <w:rFonts w:ascii="Arial" w:hAnsi="Arial" w:cs="Arial"/>
        </w:rPr>
        <w:t xml:space="preserve"> to reject the application) then the applicant has 28 days to appeal that decision to the</w:t>
      </w:r>
      <w:r w:rsidR="009043FF" w:rsidRPr="00DB659E">
        <w:rPr>
          <w:rFonts w:ascii="Arial" w:hAnsi="Arial" w:cs="Arial"/>
        </w:rPr>
        <w:t xml:space="preserve"> Authority or the</w:t>
      </w:r>
      <w:r w:rsidR="00586461" w:rsidRPr="00DB659E">
        <w:rPr>
          <w:rFonts w:ascii="Arial" w:hAnsi="Arial" w:cs="Arial"/>
        </w:rPr>
        <w:t xml:space="preserve"> ACT Civil and Administrative Tribunal (clause </w:t>
      </w:r>
      <w:r w:rsidR="00223987" w:rsidRPr="00DB659E">
        <w:rPr>
          <w:rFonts w:ascii="Arial" w:hAnsi="Arial" w:cs="Arial"/>
        </w:rPr>
        <w:t xml:space="preserve">19 </w:t>
      </w:r>
      <w:r w:rsidR="00932E71" w:rsidRPr="00DB659E">
        <w:rPr>
          <w:rFonts w:ascii="Arial" w:hAnsi="Arial" w:cs="Arial"/>
        </w:rPr>
        <w:t xml:space="preserve">which includes </w:t>
      </w:r>
      <w:r w:rsidR="00586461" w:rsidRPr="00DB659E">
        <w:rPr>
          <w:rFonts w:ascii="Arial" w:hAnsi="Arial" w:cs="Arial"/>
        </w:rPr>
        <w:t>making amended section 21 (5)).</w:t>
      </w:r>
    </w:p>
    <w:p w14:paraId="0DF0A90E" w14:textId="77777777" w:rsidR="00223987" w:rsidRPr="00B7078B" w:rsidRDefault="00586461" w:rsidP="00586461">
      <w:pPr>
        <w:pStyle w:val="Heading3"/>
        <w:rPr>
          <w:rFonts w:cs="Arial"/>
          <w:sz w:val="23"/>
          <w:szCs w:val="23"/>
        </w:rPr>
      </w:pPr>
      <w:r w:rsidRPr="00B7078B">
        <w:rPr>
          <w:rFonts w:cs="Arial"/>
        </w:rPr>
        <w:t xml:space="preserve">Clauses </w:t>
      </w:r>
      <w:r w:rsidR="00932E71" w:rsidRPr="00B7078B">
        <w:rPr>
          <w:rFonts w:cs="Arial"/>
        </w:rPr>
        <w:t>2</w:t>
      </w:r>
      <w:r w:rsidR="00223987" w:rsidRPr="00B7078B">
        <w:rPr>
          <w:rFonts w:cs="Arial"/>
        </w:rPr>
        <w:t>0</w:t>
      </w:r>
      <w:r w:rsidRPr="00B7078B">
        <w:rPr>
          <w:rFonts w:cs="Arial"/>
        </w:rPr>
        <w:t xml:space="preserve"> to </w:t>
      </w:r>
      <w:r w:rsidR="00932E71" w:rsidRPr="00B7078B">
        <w:rPr>
          <w:rFonts w:cs="Arial"/>
        </w:rPr>
        <w:t>2</w:t>
      </w:r>
      <w:r w:rsidR="00223987" w:rsidRPr="00B7078B">
        <w:rPr>
          <w:rFonts w:cs="Arial"/>
        </w:rPr>
        <w:t>2</w:t>
      </w:r>
      <w:r w:rsidRPr="00B7078B">
        <w:rPr>
          <w:rFonts w:cs="Arial"/>
        </w:rPr>
        <w:tab/>
      </w:r>
      <w:r w:rsidR="00223987" w:rsidRPr="00B7078B">
        <w:rPr>
          <w:rFonts w:cs="Arial"/>
          <w:sz w:val="23"/>
          <w:szCs w:val="23"/>
        </w:rPr>
        <w:t xml:space="preserve">Notification of making of certain entries in register </w:t>
      </w:r>
    </w:p>
    <w:p w14:paraId="77330D54" w14:textId="091D150B" w:rsidR="00586461" w:rsidRPr="00DB659E" w:rsidRDefault="00586461" w:rsidP="00586461">
      <w:pPr>
        <w:rPr>
          <w:rFonts w:ascii="Arial" w:hAnsi="Arial" w:cs="Arial"/>
        </w:rPr>
      </w:pPr>
      <w:r w:rsidRPr="00DB659E">
        <w:rPr>
          <w:rFonts w:ascii="Arial" w:hAnsi="Arial" w:cs="Arial"/>
        </w:rPr>
        <w:t xml:space="preserve">Clauses </w:t>
      </w:r>
      <w:r w:rsidR="00932E71" w:rsidRPr="00DB659E">
        <w:rPr>
          <w:rFonts w:ascii="Arial" w:hAnsi="Arial" w:cs="Arial"/>
        </w:rPr>
        <w:t>2</w:t>
      </w:r>
      <w:r w:rsidR="00223987" w:rsidRPr="00DB659E">
        <w:rPr>
          <w:rFonts w:ascii="Arial" w:hAnsi="Arial" w:cs="Arial"/>
        </w:rPr>
        <w:t>0</w:t>
      </w:r>
      <w:r w:rsidRPr="00DB659E">
        <w:rPr>
          <w:rFonts w:ascii="Arial" w:hAnsi="Arial" w:cs="Arial"/>
        </w:rPr>
        <w:t xml:space="preserve"> to </w:t>
      </w:r>
      <w:r w:rsidR="00932E71" w:rsidRPr="00DB659E">
        <w:rPr>
          <w:rFonts w:ascii="Arial" w:hAnsi="Arial" w:cs="Arial"/>
        </w:rPr>
        <w:t>2</w:t>
      </w:r>
      <w:r w:rsidR="00223987" w:rsidRPr="00DB659E">
        <w:rPr>
          <w:rFonts w:ascii="Arial" w:hAnsi="Arial" w:cs="Arial"/>
        </w:rPr>
        <w:t>2</w:t>
      </w:r>
      <w:r w:rsidRPr="00DB659E">
        <w:rPr>
          <w:rFonts w:ascii="Arial" w:hAnsi="Arial" w:cs="Arial"/>
        </w:rPr>
        <w:t xml:space="preserve"> make similar amendments</w:t>
      </w:r>
      <w:r w:rsidR="004F6D1A" w:rsidRPr="00DB659E">
        <w:rPr>
          <w:rFonts w:ascii="Arial" w:hAnsi="Arial" w:cs="Arial"/>
        </w:rPr>
        <w:t xml:space="preserve"> for the contaminated sites register</w:t>
      </w:r>
      <w:r w:rsidR="00932E71" w:rsidRPr="00DB659E">
        <w:rPr>
          <w:rFonts w:ascii="Arial" w:hAnsi="Arial" w:cs="Arial"/>
        </w:rPr>
        <w:t xml:space="preserve"> as clauses 1</w:t>
      </w:r>
      <w:r w:rsidR="00223987" w:rsidRPr="00DB659E">
        <w:rPr>
          <w:rFonts w:ascii="Arial" w:hAnsi="Arial" w:cs="Arial"/>
        </w:rPr>
        <w:t>1</w:t>
      </w:r>
      <w:r w:rsidR="00932E71" w:rsidRPr="00DB659E">
        <w:rPr>
          <w:rFonts w:ascii="Arial" w:hAnsi="Arial" w:cs="Arial"/>
        </w:rPr>
        <w:t xml:space="preserve"> to </w:t>
      </w:r>
      <w:r w:rsidR="00223987" w:rsidRPr="00DB659E">
        <w:rPr>
          <w:rFonts w:ascii="Arial" w:hAnsi="Arial" w:cs="Arial"/>
        </w:rPr>
        <w:t>19</w:t>
      </w:r>
      <w:r w:rsidR="00932E71" w:rsidRPr="00DB659E">
        <w:rPr>
          <w:rFonts w:ascii="Arial" w:hAnsi="Arial" w:cs="Arial"/>
        </w:rPr>
        <w:t xml:space="preserve"> (</w:t>
      </w:r>
      <w:r w:rsidR="009D2767" w:rsidRPr="00DB659E">
        <w:rPr>
          <w:rFonts w:ascii="Arial" w:hAnsi="Arial" w:cs="Arial"/>
        </w:rPr>
        <w:t xml:space="preserve">Public </w:t>
      </w:r>
      <w:r w:rsidR="00932E71" w:rsidRPr="00DB659E">
        <w:rPr>
          <w:rFonts w:ascii="Arial" w:hAnsi="Arial" w:cs="Arial"/>
        </w:rPr>
        <w:t>access to documents),</w:t>
      </w:r>
      <w:r w:rsidRPr="00DB659E">
        <w:rPr>
          <w:rFonts w:ascii="Arial" w:hAnsi="Arial" w:cs="Arial"/>
        </w:rPr>
        <w:t xml:space="preserve"> to make sure it is clear</w:t>
      </w:r>
      <w:r w:rsidR="004F6D1A" w:rsidRPr="00DB659E">
        <w:rPr>
          <w:rFonts w:ascii="Arial" w:hAnsi="Arial" w:cs="Arial"/>
        </w:rPr>
        <w:t xml:space="preserve"> under section 21B that</w:t>
      </w:r>
      <w:r w:rsidRPr="00DB659E">
        <w:rPr>
          <w:rFonts w:ascii="Arial" w:hAnsi="Arial" w:cs="Arial"/>
        </w:rPr>
        <w:t xml:space="preserve"> </w:t>
      </w:r>
      <w:r w:rsidR="004F6D1A" w:rsidRPr="00DB659E">
        <w:rPr>
          <w:rFonts w:ascii="Arial" w:hAnsi="Arial" w:cs="Arial"/>
        </w:rPr>
        <w:t>contaminated sites register</w:t>
      </w:r>
      <w:r w:rsidRPr="00DB659E">
        <w:rPr>
          <w:rFonts w:ascii="Arial" w:hAnsi="Arial" w:cs="Arial"/>
        </w:rPr>
        <w:t xml:space="preserve"> documents are available to the public</w:t>
      </w:r>
      <w:r w:rsidR="00932E71" w:rsidRPr="00DB659E">
        <w:rPr>
          <w:rFonts w:ascii="Arial" w:hAnsi="Arial" w:cs="Arial"/>
        </w:rPr>
        <w:t xml:space="preserve"> to access</w:t>
      </w:r>
      <w:r w:rsidRPr="00DB659E">
        <w:rPr>
          <w:rFonts w:ascii="Arial" w:hAnsi="Arial" w:cs="Arial"/>
        </w:rPr>
        <w:t xml:space="preserve"> under</w:t>
      </w:r>
      <w:r w:rsidR="00932E71" w:rsidRPr="00DB659E">
        <w:rPr>
          <w:rFonts w:ascii="Arial" w:hAnsi="Arial" w:cs="Arial"/>
        </w:rPr>
        <w:t xml:space="preserve"> the amended</w:t>
      </w:r>
      <w:r w:rsidRPr="00DB659E">
        <w:rPr>
          <w:rFonts w:ascii="Arial" w:hAnsi="Arial" w:cs="Arial"/>
        </w:rPr>
        <w:t xml:space="preserve"> section 19.</w:t>
      </w:r>
    </w:p>
    <w:p w14:paraId="2734CC4C" w14:textId="4E26EFF8" w:rsidR="00223987" w:rsidRPr="00B7078B" w:rsidRDefault="00586461" w:rsidP="00586461">
      <w:pPr>
        <w:pStyle w:val="Heading3"/>
        <w:rPr>
          <w:rFonts w:cs="Arial"/>
          <w:sz w:val="23"/>
          <w:szCs w:val="23"/>
        </w:rPr>
      </w:pPr>
      <w:r w:rsidRPr="00B7078B">
        <w:rPr>
          <w:rFonts w:cs="Arial"/>
        </w:rPr>
        <w:t xml:space="preserve">Clauses </w:t>
      </w:r>
      <w:r w:rsidR="00932E71" w:rsidRPr="00B7078B">
        <w:rPr>
          <w:rFonts w:cs="Arial"/>
        </w:rPr>
        <w:t>2</w:t>
      </w:r>
      <w:r w:rsidR="00223987" w:rsidRPr="00B7078B">
        <w:rPr>
          <w:rFonts w:cs="Arial"/>
        </w:rPr>
        <w:t>3</w:t>
      </w:r>
      <w:r w:rsidRPr="00B7078B">
        <w:rPr>
          <w:rFonts w:cs="Arial"/>
        </w:rPr>
        <w:t xml:space="preserve"> to </w:t>
      </w:r>
      <w:r w:rsidR="00932E71" w:rsidRPr="00B7078B">
        <w:rPr>
          <w:rFonts w:cs="Arial"/>
        </w:rPr>
        <w:t>2</w:t>
      </w:r>
      <w:r w:rsidR="00223987" w:rsidRPr="00B7078B">
        <w:rPr>
          <w:rFonts w:cs="Arial"/>
        </w:rPr>
        <w:t>4</w:t>
      </w:r>
      <w:r w:rsidRPr="00B7078B">
        <w:rPr>
          <w:rFonts w:cs="Arial"/>
        </w:rPr>
        <w:tab/>
      </w:r>
      <w:r w:rsidR="00223987" w:rsidRPr="00B7078B">
        <w:rPr>
          <w:rFonts w:cs="Arial"/>
          <w:sz w:val="23"/>
          <w:szCs w:val="23"/>
        </w:rPr>
        <w:t xml:space="preserve">Consultation on draft environment protection policy </w:t>
      </w:r>
    </w:p>
    <w:p w14:paraId="28C76D77" w14:textId="741D683C" w:rsidR="00586461" w:rsidRPr="00B7078B" w:rsidRDefault="00223987" w:rsidP="00223987">
      <w:pPr>
        <w:pStyle w:val="Heading3"/>
        <w:ind w:left="1440" w:firstLine="720"/>
        <w:rPr>
          <w:rFonts w:cs="Arial"/>
        </w:rPr>
      </w:pPr>
      <w:r w:rsidRPr="00B7078B">
        <w:rPr>
          <w:rFonts w:cs="Arial"/>
          <w:sz w:val="23"/>
          <w:szCs w:val="23"/>
        </w:rPr>
        <w:t>Section 25</w:t>
      </w:r>
    </w:p>
    <w:p w14:paraId="11313B95" w14:textId="437735BC" w:rsidR="00586461" w:rsidRPr="00DB659E" w:rsidRDefault="00586461" w:rsidP="00586461">
      <w:pPr>
        <w:rPr>
          <w:rFonts w:ascii="Arial" w:hAnsi="Arial" w:cs="Arial"/>
        </w:rPr>
      </w:pPr>
      <w:r w:rsidRPr="00DB659E">
        <w:rPr>
          <w:rFonts w:ascii="Arial" w:hAnsi="Arial" w:cs="Arial"/>
        </w:rPr>
        <w:t xml:space="preserve">Clauses </w:t>
      </w:r>
      <w:r w:rsidR="00932E71" w:rsidRPr="00DB659E">
        <w:rPr>
          <w:rFonts w:ascii="Arial" w:hAnsi="Arial" w:cs="Arial"/>
        </w:rPr>
        <w:t>2</w:t>
      </w:r>
      <w:r w:rsidR="00223987" w:rsidRPr="00DB659E">
        <w:rPr>
          <w:rFonts w:ascii="Arial" w:hAnsi="Arial" w:cs="Arial"/>
        </w:rPr>
        <w:t>3</w:t>
      </w:r>
      <w:r w:rsidRPr="00DB659E">
        <w:rPr>
          <w:rFonts w:ascii="Arial" w:hAnsi="Arial" w:cs="Arial"/>
        </w:rPr>
        <w:t xml:space="preserve"> to </w:t>
      </w:r>
      <w:r w:rsidR="00932E71" w:rsidRPr="00DB659E">
        <w:rPr>
          <w:rFonts w:ascii="Arial" w:hAnsi="Arial" w:cs="Arial"/>
        </w:rPr>
        <w:t>2</w:t>
      </w:r>
      <w:r w:rsidR="00223987" w:rsidRPr="00DB659E">
        <w:rPr>
          <w:rFonts w:ascii="Arial" w:hAnsi="Arial" w:cs="Arial"/>
        </w:rPr>
        <w:t>4</w:t>
      </w:r>
      <w:r w:rsidRPr="00DB659E">
        <w:rPr>
          <w:rFonts w:ascii="Arial" w:hAnsi="Arial" w:cs="Arial"/>
        </w:rPr>
        <w:t xml:space="preserve"> make similar amendments for the availability of draft environment protection policies</w:t>
      </w:r>
      <w:r w:rsidR="00E210B7" w:rsidRPr="00DB659E">
        <w:rPr>
          <w:rFonts w:ascii="Arial" w:hAnsi="Arial" w:cs="Arial"/>
        </w:rPr>
        <w:t xml:space="preserve"> under section 25</w:t>
      </w:r>
      <w:r w:rsidRPr="00DB659E">
        <w:rPr>
          <w:rFonts w:ascii="Arial" w:hAnsi="Arial" w:cs="Arial"/>
        </w:rPr>
        <w:t>.</w:t>
      </w:r>
    </w:p>
    <w:p w14:paraId="0B221459" w14:textId="21491CD6" w:rsidR="007D5019" w:rsidRPr="00B7078B" w:rsidRDefault="00413A03" w:rsidP="00413A03">
      <w:pPr>
        <w:pStyle w:val="Heading3"/>
        <w:rPr>
          <w:rFonts w:cs="Arial"/>
        </w:rPr>
      </w:pPr>
      <w:r w:rsidRPr="00B7078B">
        <w:rPr>
          <w:rFonts w:cs="Arial"/>
        </w:rPr>
        <w:t>Clause 2</w:t>
      </w:r>
      <w:r w:rsidR="00223987" w:rsidRPr="00B7078B">
        <w:rPr>
          <w:rFonts w:cs="Arial"/>
        </w:rPr>
        <w:t>5</w:t>
      </w:r>
      <w:r w:rsidR="007D5019" w:rsidRPr="00B7078B">
        <w:rPr>
          <w:rFonts w:cs="Arial"/>
        </w:rPr>
        <w:tab/>
      </w:r>
      <w:r w:rsidRPr="00B7078B">
        <w:rPr>
          <w:rFonts w:cs="Arial"/>
        </w:rPr>
        <w:tab/>
        <w:t xml:space="preserve">Notification of environment protection policies etc </w:t>
      </w:r>
    </w:p>
    <w:p w14:paraId="05F0E2F7" w14:textId="529E6716" w:rsidR="00413A03" w:rsidRPr="00B7078B" w:rsidRDefault="00413A03" w:rsidP="007D5019">
      <w:pPr>
        <w:pStyle w:val="Heading3"/>
        <w:ind w:left="1440" w:firstLine="720"/>
        <w:rPr>
          <w:rFonts w:cs="Arial"/>
        </w:rPr>
      </w:pPr>
      <w:r w:rsidRPr="00B7078B">
        <w:rPr>
          <w:rFonts w:cs="Arial"/>
        </w:rPr>
        <w:t>Section 28 (2) (c)</w:t>
      </w:r>
      <w:r w:rsidR="007D5019" w:rsidRPr="00B7078B">
        <w:rPr>
          <w:rFonts w:cs="Arial"/>
        </w:rPr>
        <w:t>, except note</w:t>
      </w:r>
    </w:p>
    <w:p w14:paraId="5AF2CAB3" w14:textId="33F4DEE7" w:rsidR="00413A03" w:rsidRPr="00DB659E" w:rsidRDefault="00413A03" w:rsidP="00413A03">
      <w:pPr>
        <w:rPr>
          <w:rFonts w:ascii="Arial" w:hAnsi="Arial" w:cs="Arial"/>
        </w:rPr>
      </w:pPr>
      <w:r w:rsidRPr="00DB659E">
        <w:rPr>
          <w:rFonts w:ascii="Arial" w:hAnsi="Arial" w:cs="Arial"/>
        </w:rPr>
        <w:t xml:space="preserve">Clause </w:t>
      </w:r>
      <w:r w:rsidR="00223987" w:rsidRPr="00DB659E">
        <w:rPr>
          <w:rFonts w:ascii="Arial" w:hAnsi="Arial" w:cs="Arial"/>
        </w:rPr>
        <w:t>25</w:t>
      </w:r>
      <w:r w:rsidRPr="00DB659E">
        <w:rPr>
          <w:rFonts w:ascii="Arial" w:hAnsi="Arial" w:cs="Arial"/>
        </w:rPr>
        <w:t xml:space="preserve"> makes a similar amendment for the availability of environment protection policies under section 28 so that it cross refers to section 19</w:t>
      </w:r>
      <w:r w:rsidR="007D5019" w:rsidRPr="00DB659E">
        <w:rPr>
          <w:rFonts w:ascii="Arial" w:hAnsi="Arial" w:cs="Arial"/>
        </w:rPr>
        <w:t xml:space="preserve"> (Public access to documents)</w:t>
      </w:r>
      <w:r w:rsidRPr="00DB659E">
        <w:rPr>
          <w:rFonts w:ascii="Arial" w:hAnsi="Arial" w:cs="Arial"/>
        </w:rPr>
        <w:t>.</w:t>
      </w:r>
    </w:p>
    <w:p w14:paraId="0DA57EE8" w14:textId="626061A8" w:rsidR="007D5019" w:rsidRPr="00B7078B" w:rsidRDefault="007D5019" w:rsidP="007D5019">
      <w:pPr>
        <w:pStyle w:val="Heading3"/>
        <w:rPr>
          <w:rFonts w:cs="Arial"/>
        </w:rPr>
      </w:pPr>
      <w:r w:rsidRPr="00B7078B">
        <w:rPr>
          <w:rFonts w:cs="Arial"/>
        </w:rPr>
        <w:t>Clause 26</w:t>
      </w:r>
      <w:r w:rsidRPr="00B7078B">
        <w:rPr>
          <w:rFonts w:cs="Arial"/>
        </w:rPr>
        <w:tab/>
      </w:r>
      <w:r w:rsidRPr="00B7078B">
        <w:rPr>
          <w:rFonts w:cs="Arial"/>
        </w:rPr>
        <w:tab/>
        <w:t>Inspection</w:t>
      </w:r>
    </w:p>
    <w:p w14:paraId="2102421B" w14:textId="268F44C5" w:rsidR="007D5019" w:rsidRPr="00B7078B" w:rsidRDefault="007D5019" w:rsidP="007D5019">
      <w:pPr>
        <w:pStyle w:val="Heading3"/>
        <w:ind w:left="1440" w:firstLine="720"/>
        <w:rPr>
          <w:rFonts w:cs="Arial"/>
        </w:rPr>
      </w:pPr>
      <w:r w:rsidRPr="00B7078B">
        <w:rPr>
          <w:rFonts w:cs="Arial"/>
        </w:rPr>
        <w:t>Section 29</w:t>
      </w:r>
    </w:p>
    <w:p w14:paraId="2B932466" w14:textId="422A6125" w:rsidR="00413A03" w:rsidRPr="00DB659E" w:rsidRDefault="00413A03" w:rsidP="00413A03">
      <w:pPr>
        <w:rPr>
          <w:rFonts w:ascii="Arial" w:hAnsi="Arial" w:cs="Arial"/>
        </w:rPr>
      </w:pPr>
      <w:r w:rsidRPr="00DB659E">
        <w:rPr>
          <w:rFonts w:ascii="Arial" w:hAnsi="Arial" w:cs="Arial"/>
        </w:rPr>
        <w:t>Clause 2</w:t>
      </w:r>
      <w:r w:rsidR="00BA4F24" w:rsidRPr="00DB659E">
        <w:rPr>
          <w:rFonts w:ascii="Arial" w:hAnsi="Arial" w:cs="Arial"/>
        </w:rPr>
        <w:t>6</w:t>
      </w:r>
      <w:r w:rsidRPr="00DB659E">
        <w:rPr>
          <w:rFonts w:ascii="Arial" w:hAnsi="Arial" w:cs="Arial"/>
        </w:rPr>
        <w:t xml:space="preserve"> omits the</w:t>
      </w:r>
      <w:r w:rsidR="007D5019" w:rsidRPr="00DB659E">
        <w:rPr>
          <w:rFonts w:ascii="Arial" w:hAnsi="Arial" w:cs="Arial"/>
        </w:rPr>
        <w:t xml:space="preserve"> provision for the</w:t>
      </w:r>
      <w:r w:rsidRPr="00DB659E">
        <w:rPr>
          <w:rFonts w:ascii="Arial" w:hAnsi="Arial" w:cs="Arial"/>
        </w:rPr>
        <w:t xml:space="preserve"> inspection of environment protection policies</w:t>
      </w:r>
      <w:r w:rsidR="007D5019" w:rsidRPr="00DB659E">
        <w:rPr>
          <w:rFonts w:ascii="Arial" w:hAnsi="Arial" w:cs="Arial"/>
        </w:rPr>
        <w:t>. The amendments to section 19</w:t>
      </w:r>
      <w:r w:rsidR="00E42064" w:rsidRPr="00DB659E">
        <w:rPr>
          <w:rFonts w:ascii="Arial" w:hAnsi="Arial" w:cs="Arial"/>
        </w:rPr>
        <w:t>, that include broader provisions about public access to documents,</w:t>
      </w:r>
      <w:r w:rsidR="007D5019" w:rsidRPr="00DB659E">
        <w:rPr>
          <w:rFonts w:ascii="Arial" w:hAnsi="Arial" w:cs="Arial"/>
        </w:rPr>
        <w:t xml:space="preserve"> are </w:t>
      </w:r>
      <w:r w:rsidR="00E42064" w:rsidRPr="00DB659E">
        <w:rPr>
          <w:rFonts w:ascii="Arial" w:hAnsi="Arial" w:cs="Arial"/>
        </w:rPr>
        <w:t xml:space="preserve">extended </w:t>
      </w:r>
      <w:r w:rsidR="007D5019" w:rsidRPr="00DB659E">
        <w:rPr>
          <w:rFonts w:ascii="Arial" w:hAnsi="Arial" w:cs="Arial"/>
        </w:rPr>
        <w:t xml:space="preserve">to apply to </w:t>
      </w:r>
      <w:r w:rsidR="00E42064" w:rsidRPr="00DB659E">
        <w:rPr>
          <w:rFonts w:ascii="Arial" w:hAnsi="Arial" w:cs="Arial"/>
        </w:rPr>
        <w:t>environment protection policies</w:t>
      </w:r>
      <w:r w:rsidRPr="00DB659E">
        <w:rPr>
          <w:rFonts w:ascii="Arial" w:hAnsi="Arial" w:cs="Arial"/>
        </w:rPr>
        <w:t>.</w:t>
      </w:r>
    </w:p>
    <w:p w14:paraId="100444EC" w14:textId="6B9E70FE" w:rsidR="00DB2E25" w:rsidRPr="00B7078B" w:rsidRDefault="00586461" w:rsidP="00413A03">
      <w:pPr>
        <w:pStyle w:val="Heading3"/>
        <w:rPr>
          <w:rFonts w:cs="Arial"/>
        </w:rPr>
      </w:pPr>
      <w:r w:rsidRPr="00B7078B">
        <w:rPr>
          <w:rFonts w:cs="Arial"/>
        </w:rPr>
        <w:lastRenderedPageBreak/>
        <w:t>Clause 2</w:t>
      </w:r>
      <w:r w:rsidR="00BA4F24" w:rsidRPr="00B7078B">
        <w:rPr>
          <w:rFonts w:cs="Arial"/>
        </w:rPr>
        <w:t>7</w:t>
      </w:r>
      <w:r w:rsidRPr="00B7078B">
        <w:rPr>
          <w:rFonts w:cs="Arial"/>
        </w:rPr>
        <w:tab/>
      </w:r>
      <w:r w:rsidR="00DB2E25" w:rsidRPr="00B7078B">
        <w:rPr>
          <w:rFonts w:cs="Arial"/>
        </w:rPr>
        <w:t>Public notice of a</w:t>
      </w:r>
      <w:r w:rsidRPr="00B7078B">
        <w:rPr>
          <w:rFonts w:cs="Arial"/>
        </w:rPr>
        <w:t>ccredited codes of practice</w:t>
      </w:r>
      <w:r w:rsidR="00E210B7" w:rsidRPr="00B7078B">
        <w:rPr>
          <w:rFonts w:cs="Arial"/>
        </w:rPr>
        <w:t xml:space="preserve"> </w:t>
      </w:r>
    </w:p>
    <w:p w14:paraId="64D18DC7" w14:textId="69EEFA46" w:rsidR="00586461" w:rsidRPr="00B7078B" w:rsidRDefault="00E210B7" w:rsidP="001372D2">
      <w:pPr>
        <w:pStyle w:val="Heading3"/>
        <w:ind w:left="720" w:firstLine="720"/>
        <w:rPr>
          <w:rFonts w:cs="Arial"/>
        </w:rPr>
      </w:pPr>
      <w:r w:rsidRPr="00B7078B">
        <w:rPr>
          <w:rFonts w:cs="Arial"/>
        </w:rPr>
        <w:t>Section 32 (2)</w:t>
      </w:r>
    </w:p>
    <w:p w14:paraId="41F4BBB3" w14:textId="26DDF448" w:rsidR="00586461" w:rsidRPr="00DB659E" w:rsidRDefault="00586461" w:rsidP="00586461">
      <w:pPr>
        <w:rPr>
          <w:rFonts w:ascii="Arial" w:hAnsi="Arial" w:cs="Arial"/>
        </w:rPr>
      </w:pPr>
      <w:r w:rsidRPr="00DB659E">
        <w:rPr>
          <w:rFonts w:ascii="Arial" w:hAnsi="Arial" w:cs="Arial"/>
        </w:rPr>
        <w:t xml:space="preserve">Clauses </w:t>
      </w:r>
      <w:r w:rsidR="00BA4F24" w:rsidRPr="00DB659E">
        <w:rPr>
          <w:rFonts w:ascii="Arial" w:hAnsi="Arial" w:cs="Arial"/>
        </w:rPr>
        <w:t>27</w:t>
      </w:r>
      <w:r w:rsidR="00E210B7" w:rsidRPr="00DB659E">
        <w:rPr>
          <w:rFonts w:ascii="Arial" w:hAnsi="Arial" w:cs="Arial"/>
        </w:rPr>
        <w:t xml:space="preserve"> </w:t>
      </w:r>
      <w:r w:rsidR="00DB2E25" w:rsidRPr="00DB659E">
        <w:rPr>
          <w:rFonts w:ascii="Arial" w:hAnsi="Arial" w:cs="Arial"/>
        </w:rPr>
        <w:t>updates section 32(2) of the</w:t>
      </w:r>
      <w:r w:rsidR="00E42064" w:rsidRPr="00DB659E">
        <w:rPr>
          <w:rFonts w:ascii="Arial" w:hAnsi="Arial" w:cs="Arial"/>
        </w:rPr>
        <w:t xml:space="preserve"> EP</w:t>
      </w:r>
      <w:r w:rsidR="00DB2E25" w:rsidRPr="00DB659E">
        <w:rPr>
          <w:rFonts w:ascii="Arial" w:hAnsi="Arial" w:cs="Arial"/>
        </w:rPr>
        <w:t xml:space="preserve"> Act to reflect the changes to section 19. The amendment clarifies that an accredited code of practice is accessible by means other than the document being made available for public inspection.</w:t>
      </w:r>
    </w:p>
    <w:p w14:paraId="2FA4191C" w14:textId="304152F0" w:rsidR="00DB2E25" w:rsidRPr="00B7078B" w:rsidRDefault="00E210B7" w:rsidP="00E210B7">
      <w:pPr>
        <w:pStyle w:val="Heading3"/>
        <w:rPr>
          <w:rFonts w:cs="Arial"/>
        </w:rPr>
      </w:pPr>
      <w:r w:rsidRPr="00B7078B">
        <w:rPr>
          <w:rFonts w:cs="Arial"/>
        </w:rPr>
        <w:t>Clause 2</w:t>
      </w:r>
      <w:r w:rsidR="00BA4F24" w:rsidRPr="00B7078B">
        <w:rPr>
          <w:rFonts w:cs="Arial"/>
        </w:rPr>
        <w:t>8</w:t>
      </w:r>
      <w:r w:rsidRPr="00B7078B">
        <w:rPr>
          <w:rFonts w:cs="Arial"/>
        </w:rPr>
        <w:tab/>
        <w:t xml:space="preserve">Notification of environmental protection agreements </w:t>
      </w:r>
    </w:p>
    <w:p w14:paraId="6E9E9D1C" w14:textId="579CA649" w:rsidR="00E210B7" w:rsidRPr="00B7078B" w:rsidRDefault="00E210B7" w:rsidP="001372D2">
      <w:pPr>
        <w:pStyle w:val="Heading3"/>
        <w:ind w:left="720" w:firstLine="720"/>
        <w:rPr>
          <w:rFonts w:cs="Arial"/>
        </w:rPr>
      </w:pPr>
      <w:r w:rsidRPr="00B7078B">
        <w:rPr>
          <w:rFonts w:cs="Arial"/>
        </w:rPr>
        <w:t>Section 41 (1) (b)</w:t>
      </w:r>
    </w:p>
    <w:p w14:paraId="5FA99B1C" w14:textId="201B0C87" w:rsidR="00E210B7" w:rsidRPr="00DB659E" w:rsidRDefault="00E210B7" w:rsidP="00E210B7">
      <w:pPr>
        <w:rPr>
          <w:rFonts w:ascii="Arial" w:hAnsi="Arial" w:cs="Arial"/>
        </w:rPr>
      </w:pPr>
      <w:r w:rsidRPr="00DB659E">
        <w:rPr>
          <w:rFonts w:ascii="Arial" w:hAnsi="Arial" w:cs="Arial"/>
        </w:rPr>
        <w:t xml:space="preserve">Clauses </w:t>
      </w:r>
      <w:r w:rsidR="00BA4F24" w:rsidRPr="00DB659E">
        <w:rPr>
          <w:rFonts w:ascii="Arial" w:hAnsi="Arial" w:cs="Arial"/>
        </w:rPr>
        <w:t>28</w:t>
      </w:r>
      <w:r w:rsidRPr="00DB659E">
        <w:rPr>
          <w:rFonts w:ascii="Arial" w:hAnsi="Arial" w:cs="Arial"/>
        </w:rPr>
        <w:t xml:space="preserve"> </w:t>
      </w:r>
      <w:r w:rsidR="00DB2E25" w:rsidRPr="00DB659E">
        <w:rPr>
          <w:rFonts w:ascii="Arial" w:hAnsi="Arial" w:cs="Arial"/>
        </w:rPr>
        <w:t xml:space="preserve">updates </w:t>
      </w:r>
      <w:r w:rsidRPr="00DB659E">
        <w:rPr>
          <w:rFonts w:ascii="Arial" w:hAnsi="Arial" w:cs="Arial"/>
        </w:rPr>
        <w:t>section 41</w:t>
      </w:r>
      <w:r w:rsidR="0098104E" w:rsidRPr="00DB659E">
        <w:rPr>
          <w:rFonts w:ascii="Arial" w:hAnsi="Arial" w:cs="Arial"/>
        </w:rPr>
        <w:t xml:space="preserve"> </w:t>
      </w:r>
      <w:r w:rsidR="00DB2E25" w:rsidRPr="00DB659E">
        <w:rPr>
          <w:rFonts w:ascii="Arial" w:hAnsi="Arial" w:cs="Arial"/>
        </w:rPr>
        <w:t xml:space="preserve">of the </w:t>
      </w:r>
      <w:r w:rsidR="001372D2" w:rsidRPr="00DB659E">
        <w:rPr>
          <w:rFonts w:ascii="Arial" w:hAnsi="Arial" w:cs="Arial"/>
        </w:rPr>
        <w:t xml:space="preserve">EP </w:t>
      </w:r>
      <w:r w:rsidR="00DB2E25" w:rsidRPr="00DB659E">
        <w:rPr>
          <w:rFonts w:ascii="Arial" w:hAnsi="Arial" w:cs="Arial"/>
        </w:rPr>
        <w:t xml:space="preserve">Act </w:t>
      </w:r>
      <w:r w:rsidR="0098104E" w:rsidRPr="00DB659E">
        <w:rPr>
          <w:rFonts w:ascii="Arial" w:hAnsi="Arial" w:cs="Arial"/>
        </w:rPr>
        <w:t xml:space="preserve">so that it correctly cross refers to </w:t>
      </w:r>
      <w:r w:rsidR="00DB2E25" w:rsidRPr="00DB659E">
        <w:rPr>
          <w:rFonts w:ascii="Arial" w:hAnsi="Arial" w:cs="Arial"/>
        </w:rPr>
        <w:t xml:space="preserve">amended </w:t>
      </w:r>
      <w:r w:rsidR="0098104E" w:rsidRPr="00DB659E">
        <w:rPr>
          <w:rFonts w:ascii="Arial" w:hAnsi="Arial" w:cs="Arial"/>
        </w:rPr>
        <w:t>section 19 (Public access to documents)</w:t>
      </w:r>
      <w:r w:rsidRPr="00DB659E">
        <w:rPr>
          <w:rFonts w:ascii="Arial" w:hAnsi="Arial" w:cs="Arial"/>
        </w:rPr>
        <w:t>.</w:t>
      </w:r>
    </w:p>
    <w:p w14:paraId="5DE6070A" w14:textId="77777777" w:rsidR="00E42064" w:rsidRPr="00B7078B" w:rsidRDefault="00E210B7" w:rsidP="00BA4F24">
      <w:pPr>
        <w:pStyle w:val="Heading3"/>
        <w:rPr>
          <w:rFonts w:cs="Arial"/>
        </w:rPr>
      </w:pPr>
      <w:r w:rsidRPr="00B7078B">
        <w:rPr>
          <w:rFonts w:cs="Arial"/>
        </w:rPr>
        <w:t xml:space="preserve">Clause </w:t>
      </w:r>
      <w:r w:rsidR="00BA4F24" w:rsidRPr="00B7078B">
        <w:rPr>
          <w:rFonts w:cs="Arial"/>
        </w:rPr>
        <w:t>29</w:t>
      </w:r>
      <w:r w:rsidRPr="00B7078B">
        <w:rPr>
          <w:rFonts w:cs="Arial"/>
        </w:rPr>
        <w:tab/>
        <w:t xml:space="preserve">Notification of grant </w:t>
      </w:r>
    </w:p>
    <w:p w14:paraId="029194DB" w14:textId="2BF12A07" w:rsidR="00E210B7" w:rsidRPr="00B7078B" w:rsidRDefault="00E210B7" w:rsidP="00E42064">
      <w:pPr>
        <w:pStyle w:val="Heading3"/>
        <w:ind w:left="720" w:firstLine="720"/>
        <w:rPr>
          <w:rFonts w:cs="Arial"/>
        </w:rPr>
      </w:pPr>
      <w:r w:rsidRPr="00B7078B">
        <w:rPr>
          <w:rFonts w:cs="Arial"/>
        </w:rPr>
        <w:t>Section 50 (3) (b)</w:t>
      </w:r>
    </w:p>
    <w:p w14:paraId="26083AA6" w14:textId="308CCD1F" w:rsidR="00E210B7" w:rsidRPr="00DB659E" w:rsidRDefault="00E210B7" w:rsidP="00E210B7">
      <w:pPr>
        <w:rPr>
          <w:rFonts w:ascii="Arial" w:hAnsi="Arial" w:cs="Arial"/>
        </w:rPr>
      </w:pPr>
      <w:r w:rsidRPr="00DB659E">
        <w:rPr>
          <w:rFonts w:ascii="Arial" w:hAnsi="Arial" w:cs="Arial"/>
        </w:rPr>
        <w:t xml:space="preserve">Clauses </w:t>
      </w:r>
      <w:r w:rsidR="00BA4F24" w:rsidRPr="00DB659E">
        <w:rPr>
          <w:rFonts w:ascii="Arial" w:hAnsi="Arial" w:cs="Arial"/>
        </w:rPr>
        <w:t>29</w:t>
      </w:r>
      <w:r w:rsidRPr="00DB659E">
        <w:rPr>
          <w:rFonts w:ascii="Arial" w:hAnsi="Arial" w:cs="Arial"/>
        </w:rPr>
        <w:t xml:space="preserve"> </w:t>
      </w:r>
      <w:r w:rsidR="00DB2E25" w:rsidRPr="00DB659E">
        <w:rPr>
          <w:rFonts w:ascii="Arial" w:hAnsi="Arial" w:cs="Arial"/>
        </w:rPr>
        <w:t>updates</w:t>
      </w:r>
      <w:r w:rsidRPr="00DB659E">
        <w:rPr>
          <w:rFonts w:ascii="Arial" w:hAnsi="Arial" w:cs="Arial"/>
        </w:rPr>
        <w:t xml:space="preserve"> section 50</w:t>
      </w:r>
      <w:r w:rsidR="0098104E" w:rsidRPr="00DB659E">
        <w:rPr>
          <w:rFonts w:ascii="Arial" w:hAnsi="Arial" w:cs="Arial"/>
        </w:rPr>
        <w:t xml:space="preserve"> </w:t>
      </w:r>
      <w:r w:rsidR="00BA4F24" w:rsidRPr="00DB659E">
        <w:rPr>
          <w:rFonts w:ascii="Arial" w:hAnsi="Arial" w:cs="Arial"/>
        </w:rPr>
        <w:t xml:space="preserve">for notification of the granting of an environmental authorisation under </w:t>
      </w:r>
      <w:r w:rsidR="00DB2E25" w:rsidRPr="00DB659E">
        <w:rPr>
          <w:rFonts w:ascii="Arial" w:hAnsi="Arial" w:cs="Arial"/>
        </w:rPr>
        <w:t>the</w:t>
      </w:r>
      <w:r w:rsidR="001372D2" w:rsidRPr="00DB659E">
        <w:rPr>
          <w:rFonts w:ascii="Arial" w:hAnsi="Arial" w:cs="Arial"/>
        </w:rPr>
        <w:t xml:space="preserve"> EP</w:t>
      </w:r>
      <w:r w:rsidR="00DB2E25" w:rsidRPr="00DB659E">
        <w:rPr>
          <w:rFonts w:ascii="Arial" w:hAnsi="Arial" w:cs="Arial"/>
        </w:rPr>
        <w:t xml:space="preserve"> Act </w:t>
      </w:r>
      <w:r w:rsidR="0098104E" w:rsidRPr="00DB659E">
        <w:rPr>
          <w:rFonts w:ascii="Arial" w:hAnsi="Arial" w:cs="Arial"/>
        </w:rPr>
        <w:t xml:space="preserve">so that it correctly cross refers to </w:t>
      </w:r>
      <w:r w:rsidR="00DB2E25" w:rsidRPr="00DB659E">
        <w:rPr>
          <w:rFonts w:ascii="Arial" w:hAnsi="Arial" w:cs="Arial"/>
        </w:rPr>
        <w:t xml:space="preserve">amended </w:t>
      </w:r>
      <w:r w:rsidR="0098104E" w:rsidRPr="00DB659E">
        <w:rPr>
          <w:rFonts w:ascii="Arial" w:hAnsi="Arial" w:cs="Arial"/>
        </w:rPr>
        <w:t>section 19 (Public access to documents)</w:t>
      </w:r>
      <w:r w:rsidRPr="00DB659E">
        <w:rPr>
          <w:rFonts w:ascii="Arial" w:hAnsi="Arial" w:cs="Arial"/>
        </w:rPr>
        <w:t>.</w:t>
      </w:r>
    </w:p>
    <w:p w14:paraId="33D4EF18" w14:textId="0AFF3C38" w:rsidR="00DB2E25" w:rsidRPr="00B7078B" w:rsidRDefault="00E210B7" w:rsidP="00E210B7">
      <w:pPr>
        <w:pStyle w:val="Heading3"/>
        <w:rPr>
          <w:rFonts w:cs="Arial"/>
        </w:rPr>
      </w:pPr>
      <w:r w:rsidRPr="00B7078B">
        <w:rPr>
          <w:rFonts w:cs="Arial"/>
        </w:rPr>
        <w:t xml:space="preserve">Clause </w:t>
      </w:r>
      <w:r w:rsidR="00336514" w:rsidRPr="00B7078B">
        <w:rPr>
          <w:rFonts w:cs="Arial"/>
        </w:rPr>
        <w:t>3</w:t>
      </w:r>
      <w:r w:rsidR="00BA4F24" w:rsidRPr="00B7078B">
        <w:rPr>
          <w:rFonts w:cs="Arial"/>
        </w:rPr>
        <w:t>0</w:t>
      </w:r>
      <w:r w:rsidRPr="00B7078B">
        <w:rPr>
          <w:rFonts w:cs="Arial"/>
        </w:rPr>
        <w:tab/>
        <w:t xml:space="preserve">Notification of review of environmental authorisation </w:t>
      </w:r>
    </w:p>
    <w:p w14:paraId="50B27F07" w14:textId="51F80B43" w:rsidR="00E210B7" w:rsidRPr="00B7078B" w:rsidRDefault="00E210B7" w:rsidP="001372D2">
      <w:pPr>
        <w:pStyle w:val="Heading3"/>
        <w:ind w:left="720" w:firstLine="720"/>
        <w:rPr>
          <w:rFonts w:cs="Arial"/>
        </w:rPr>
      </w:pPr>
      <w:r w:rsidRPr="00B7078B">
        <w:rPr>
          <w:rFonts w:cs="Arial"/>
        </w:rPr>
        <w:t>Section 59 (1) (b)</w:t>
      </w:r>
    </w:p>
    <w:p w14:paraId="17827365" w14:textId="0823EE6F" w:rsidR="00E210B7" w:rsidRPr="00DB659E" w:rsidRDefault="00E210B7" w:rsidP="00E210B7">
      <w:pPr>
        <w:rPr>
          <w:rFonts w:ascii="Arial" w:hAnsi="Arial" w:cs="Arial"/>
        </w:rPr>
      </w:pPr>
      <w:r w:rsidRPr="00DB659E">
        <w:rPr>
          <w:rFonts w:ascii="Arial" w:hAnsi="Arial" w:cs="Arial"/>
        </w:rPr>
        <w:t>Clauses</w:t>
      </w:r>
      <w:r w:rsidR="00BA4F24" w:rsidRPr="00DB659E">
        <w:rPr>
          <w:rFonts w:ascii="Arial" w:hAnsi="Arial" w:cs="Arial"/>
        </w:rPr>
        <w:t xml:space="preserve"> 30</w:t>
      </w:r>
      <w:r w:rsidRPr="00DB659E">
        <w:rPr>
          <w:rFonts w:ascii="Arial" w:hAnsi="Arial" w:cs="Arial"/>
        </w:rPr>
        <w:t xml:space="preserve"> </w:t>
      </w:r>
      <w:r w:rsidR="00DB2E25" w:rsidRPr="00DB659E">
        <w:rPr>
          <w:rFonts w:ascii="Arial" w:hAnsi="Arial" w:cs="Arial"/>
        </w:rPr>
        <w:t xml:space="preserve">updates section 59(1)(b) of the </w:t>
      </w:r>
      <w:r w:rsidR="00BA4F24" w:rsidRPr="00DB659E">
        <w:rPr>
          <w:rFonts w:ascii="Arial" w:hAnsi="Arial" w:cs="Arial"/>
        </w:rPr>
        <w:t xml:space="preserve">EP </w:t>
      </w:r>
      <w:r w:rsidR="00DB2E25" w:rsidRPr="00DB659E">
        <w:rPr>
          <w:rFonts w:ascii="Arial" w:hAnsi="Arial" w:cs="Arial"/>
        </w:rPr>
        <w:t xml:space="preserve">Act to reflect the changes to section 19 of the </w:t>
      </w:r>
      <w:r w:rsidR="00BA4F24" w:rsidRPr="00DB659E">
        <w:rPr>
          <w:rFonts w:ascii="Arial" w:hAnsi="Arial" w:cs="Arial"/>
        </w:rPr>
        <w:t xml:space="preserve">EP </w:t>
      </w:r>
      <w:r w:rsidR="00DB2E25" w:rsidRPr="00DB659E">
        <w:rPr>
          <w:rFonts w:ascii="Arial" w:hAnsi="Arial" w:cs="Arial"/>
        </w:rPr>
        <w:t>Act. The amendment clarifies that an environmental authorisation is accessible by means other than the document being made available for public inspection</w:t>
      </w:r>
      <w:r w:rsidRPr="00DB659E">
        <w:rPr>
          <w:rFonts w:ascii="Arial" w:hAnsi="Arial" w:cs="Arial"/>
        </w:rPr>
        <w:t>.</w:t>
      </w:r>
    </w:p>
    <w:p w14:paraId="4061C54E" w14:textId="430BD908" w:rsidR="00E210B7" w:rsidRPr="00B7078B" w:rsidRDefault="00E210B7" w:rsidP="00E42064">
      <w:pPr>
        <w:pStyle w:val="Heading3"/>
        <w:ind w:left="1440" w:hanging="1440"/>
        <w:rPr>
          <w:rFonts w:cs="Arial"/>
        </w:rPr>
      </w:pPr>
      <w:r w:rsidRPr="00B7078B">
        <w:rPr>
          <w:rFonts w:cs="Arial"/>
        </w:rPr>
        <w:t xml:space="preserve">Clause </w:t>
      </w:r>
      <w:r w:rsidR="00336514" w:rsidRPr="00B7078B">
        <w:rPr>
          <w:rFonts w:cs="Arial"/>
        </w:rPr>
        <w:t>3</w:t>
      </w:r>
      <w:r w:rsidR="00BA4F24" w:rsidRPr="00B7078B">
        <w:rPr>
          <w:rFonts w:cs="Arial"/>
        </w:rPr>
        <w:t>1</w:t>
      </w:r>
      <w:r w:rsidRPr="00B7078B">
        <w:rPr>
          <w:rFonts w:cs="Arial"/>
        </w:rPr>
        <w:tab/>
      </w:r>
      <w:r w:rsidR="002E20B1" w:rsidRPr="00B7078B">
        <w:rPr>
          <w:rFonts w:cs="Arial"/>
        </w:rPr>
        <w:t xml:space="preserve">Matters </w:t>
      </w:r>
      <w:r w:rsidR="00E42064" w:rsidRPr="00B7078B">
        <w:rPr>
          <w:rFonts w:cs="Arial"/>
        </w:rPr>
        <w:t xml:space="preserve">required to </w:t>
      </w:r>
      <w:r w:rsidR="002E20B1" w:rsidRPr="00B7078B">
        <w:rPr>
          <w:rFonts w:cs="Arial"/>
        </w:rPr>
        <w:t>be taken into account for</w:t>
      </w:r>
      <w:r w:rsidR="00E42064" w:rsidRPr="00B7078B">
        <w:rPr>
          <w:rFonts w:cs="Arial"/>
        </w:rPr>
        <w:t xml:space="preserve"> </w:t>
      </w:r>
      <w:r w:rsidR="002E20B1" w:rsidRPr="00B7078B">
        <w:rPr>
          <w:rFonts w:cs="Arial"/>
        </w:rPr>
        <w:t xml:space="preserve">certain decisions under div 8.2 </w:t>
      </w:r>
    </w:p>
    <w:p w14:paraId="2A233B7A" w14:textId="6F0D8CE8" w:rsidR="00814855" w:rsidRPr="00B7078B" w:rsidRDefault="00814855" w:rsidP="001372D2">
      <w:pPr>
        <w:pStyle w:val="Heading3"/>
        <w:ind w:left="720" w:firstLine="720"/>
        <w:rPr>
          <w:rFonts w:cs="Arial"/>
        </w:rPr>
      </w:pPr>
      <w:r w:rsidRPr="00B7078B">
        <w:rPr>
          <w:rFonts w:cs="Arial"/>
        </w:rPr>
        <w:t>Section 61(d)</w:t>
      </w:r>
    </w:p>
    <w:p w14:paraId="53734A2F" w14:textId="4F716F5A" w:rsidR="009D2767" w:rsidRPr="00DB659E" w:rsidRDefault="00E210B7" w:rsidP="009D2767">
      <w:pPr>
        <w:spacing w:after="0"/>
        <w:rPr>
          <w:rFonts w:ascii="Arial" w:hAnsi="Arial" w:cs="Arial"/>
        </w:rPr>
      </w:pPr>
      <w:r w:rsidRPr="00DB659E">
        <w:rPr>
          <w:rFonts w:ascii="Arial" w:hAnsi="Arial" w:cs="Arial"/>
        </w:rPr>
        <w:t xml:space="preserve">Clauses </w:t>
      </w:r>
      <w:r w:rsidR="00BA4F24" w:rsidRPr="00DB659E">
        <w:rPr>
          <w:rFonts w:ascii="Arial" w:hAnsi="Arial" w:cs="Arial"/>
        </w:rPr>
        <w:t xml:space="preserve">31 </w:t>
      </w:r>
      <w:r w:rsidRPr="00DB659E">
        <w:rPr>
          <w:rFonts w:ascii="Arial" w:hAnsi="Arial" w:cs="Arial"/>
        </w:rPr>
        <w:t xml:space="preserve">makes </w:t>
      </w:r>
      <w:r w:rsidR="002E20B1" w:rsidRPr="00DB659E">
        <w:rPr>
          <w:rFonts w:ascii="Arial" w:hAnsi="Arial" w:cs="Arial"/>
        </w:rPr>
        <w:t xml:space="preserve">the “cultural” benefits of an activity an explicit matter to be </w:t>
      </w:r>
      <w:r w:rsidR="00E42064" w:rsidRPr="00DB659E">
        <w:rPr>
          <w:rFonts w:ascii="Arial" w:hAnsi="Arial" w:cs="Arial"/>
        </w:rPr>
        <w:t>considered</w:t>
      </w:r>
      <w:r w:rsidR="002E20B1" w:rsidRPr="00DB659E">
        <w:rPr>
          <w:rFonts w:ascii="Arial" w:hAnsi="Arial" w:cs="Arial"/>
        </w:rPr>
        <w:t xml:space="preserve"> for decisions under division 8.2 These are decisions </w:t>
      </w:r>
      <w:r w:rsidR="009D2767" w:rsidRPr="00DB659E">
        <w:rPr>
          <w:rFonts w:ascii="Arial" w:hAnsi="Arial" w:cs="Arial"/>
        </w:rPr>
        <w:t>to:</w:t>
      </w:r>
    </w:p>
    <w:p w14:paraId="089FEAF3" w14:textId="77777777" w:rsidR="009D2767" w:rsidRPr="00DB659E" w:rsidRDefault="009D2767" w:rsidP="009D2767">
      <w:pPr>
        <w:pStyle w:val="ListParagraph"/>
        <w:numPr>
          <w:ilvl w:val="0"/>
          <w:numId w:val="5"/>
        </w:numPr>
        <w:rPr>
          <w:rFonts w:ascii="Arial" w:hAnsi="Arial" w:cs="Arial"/>
        </w:rPr>
      </w:pPr>
      <w:r w:rsidRPr="00DB659E">
        <w:rPr>
          <w:rFonts w:ascii="Arial" w:hAnsi="Arial" w:cs="Arial"/>
        </w:rPr>
        <w:t>grant environmental authorisation (</w:t>
      </w:r>
      <w:r w:rsidR="002E20B1" w:rsidRPr="00DB659E">
        <w:rPr>
          <w:rFonts w:ascii="Arial" w:hAnsi="Arial" w:cs="Arial"/>
        </w:rPr>
        <w:t>section 49 (1)</w:t>
      </w:r>
      <w:r w:rsidRPr="00DB659E">
        <w:rPr>
          <w:rFonts w:ascii="Arial" w:hAnsi="Arial" w:cs="Arial"/>
        </w:rPr>
        <w:t>)</w:t>
      </w:r>
      <w:r w:rsidR="002E20B1" w:rsidRPr="00DB659E">
        <w:rPr>
          <w:rFonts w:ascii="Arial" w:hAnsi="Arial" w:cs="Arial"/>
        </w:rPr>
        <w:t xml:space="preserve">, </w:t>
      </w:r>
    </w:p>
    <w:p w14:paraId="0F27DF2F" w14:textId="77777777" w:rsidR="009D2767" w:rsidRPr="00DB659E" w:rsidRDefault="002E20B1" w:rsidP="009D2767">
      <w:pPr>
        <w:pStyle w:val="ListParagraph"/>
        <w:numPr>
          <w:ilvl w:val="0"/>
          <w:numId w:val="5"/>
        </w:numPr>
        <w:rPr>
          <w:rFonts w:ascii="Arial" w:hAnsi="Arial" w:cs="Arial"/>
        </w:rPr>
      </w:pPr>
      <w:r w:rsidRPr="00DB659E">
        <w:rPr>
          <w:rFonts w:ascii="Arial" w:hAnsi="Arial" w:cs="Arial"/>
        </w:rPr>
        <w:t>impose conditions on the grant or variation of an environmental authorisation</w:t>
      </w:r>
      <w:r w:rsidR="009D2767" w:rsidRPr="00DB659E">
        <w:rPr>
          <w:rFonts w:ascii="Arial" w:hAnsi="Arial" w:cs="Arial"/>
        </w:rPr>
        <w:t xml:space="preserve"> (section 51</w:t>
      </w:r>
      <w:r w:rsidRPr="00DB659E">
        <w:rPr>
          <w:rFonts w:ascii="Arial" w:hAnsi="Arial" w:cs="Arial"/>
        </w:rPr>
        <w:t xml:space="preserve">), </w:t>
      </w:r>
    </w:p>
    <w:p w14:paraId="56C932C5" w14:textId="2AB5C64D" w:rsidR="009D2767" w:rsidRPr="00DB659E" w:rsidRDefault="002E20B1" w:rsidP="009D2767">
      <w:pPr>
        <w:pStyle w:val="ListParagraph"/>
        <w:numPr>
          <w:ilvl w:val="0"/>
          <w:numId w:val="5"/>
        </w:numPr>
        <w:rPr>
          <w:rFonts w:ascii="Arial" w:hAnsi="Arial" w:cs="Arial"/>
        </w:rPr>
      </w:pPr>
      <w:r w:rsidRPr="00DB659E">
        <w:rPr>
          <w:rFonts w:ascii="Arial" w:hAnsi="Arial" w:cs="Arial"/>
        </w:rPr>
        <w:t>review environmental authorisation</w:t>
      </w:r>
      <w:r w:rsidR="009D2767" w:rsidRPr="00DB659E">
        <w:rPr>
          <w:rFonts w:ascii="Arial" w:hAnsi="Arial" w:cs="Arial"/>
        </w:rPr>
        <w:t xml:space="preserve"> (section 57</w:t>
      </w:r>
      <w:r w:rsidRPr="00DB659E">
        <w:rPr>
          <w:rFonts w:ascii="Arial" w:hAnsi="Arial" w:cs="Arial"/>
        </w:rPr>
        <w:t>)</w:t>
      </w:r>
      <w:r w:rsidR="009D2767" w:rsidRPr="00DB659E">
        <w:rPr>
          <w:rFonts w:ascii="Arial" w:hAnsi="Arial" w:cs="Arial"/>
        </w:rPr>
        <w:t>, and</w:t>
      </w:r>
    </w:p>
    <w:p w14:paraId="736B070C" w14:textId="4C4BBC4B" w:rsidR="002E20B1" w:rsidRPr="00DB659E" w:rsidRDefault="002E20B1" w:rsidP="009D2767">
      <w:pPr>
        <w:pStyle w:val="ListParagraph"/>
        <w:numPr>
          <w:ilvl w:val="0"/>
          <w:numId w:val="5"/>
        </w:numPr>
        <w:spacing w:after="120"/>
        <w:ind w:left="714" w:hanging="357"/>
        <w:rPr>
          <w:rFonts w:ascii="Arial" w:hAnsi="Arial" w:cs="Arial"/>
        </w:rPr>
      </w:pPr>
      <w:r w:rsidRPr="00DB659E">
        <w:rPr>
          <w:rFonts w:ascii="Arial" w:hAnsi="Arial" w:cs="Arial"/>
        </w:rPr>
        <w:t>vary an environmental authorisation</w:t>
      </w:r>
      <w:r w:rsidR="009D2767" w:rsidRPr="00DB659E">
        <w:rPr>
          <w:rFonts w:ascii="Arial" w:hAnsi="Arial" w:cs="Arial"/>
        </w:rPr>
        <w:t xml:space="preserve"> (section 60 (1)</w:t>
      </w:r>
      <w:r w:rsidRPr="00DB659E">
        <w:rPr>
          <w:rFonts w:ascii="Arial" w:hAnsi="Arial" w:cs="Arial"/>
        </w:rPr>
        <w:t xml:space="preserve">). </w:t>
      </w:r>
    </w:p>
    <w:p w14:paraId="01DB2020" w14:textId="0B0CFE49" w:rsidR="00E210B7" w:rsidRPr="00DB659E" w:rsidRDefault="002E20B1" w:rsidP="00E210B7">
      <w:pPr>
        <w:rPr>
          <w:rFonts w:ascii="Arial" w:hAnsi="Arial" w:cs="Arial"/>
        </w:rPr>
      </w:pPr>
      <w:r w:rsidRPr="00DB659E">
        <w:rPr>
          <w:rFonts w:ascii="Arial" w:hAnsi="Arial" w:cs="Arial"/>
        </w:rPr>
        <w:t xml:space="preserve">This adds to the </w:t>
      </w:r>
      <w:r w:rsidR="00E50057" w:rsidRPr="00DB659E">
        <w:rPr>
          <w:rFonts w:ascii="Arial" w:hAnsi="Arial" w:cs="Arial"/>
        </w:rPr>
        <w:t>A</w:t>
      </w:r>
      <w:r w:rsidRPr="00DB659E">
        <w:rPr>
          <w:rFonts w:ascii="Arial" w:hAnsi="Arial" w:cs="Arial"/>
        </w:rPr>
        <w:t>uthority’s</w:t>
      </w:r>
      <w:r w:rsidR="009D2767" w:rsidRPr="00DB659E">
        <w:rPr>
          <w:rFonts w:ascii="Arial" w:hAnsi="Arial" w:cs="Arial"/>
        </w:rPr>
        <w:t xml:space="preserve"> explicit</w:t>
      </w:r>
      <w:r w:rsidRPr="00DB659E">
        <w:rPr>
          <w:rFonts w:ascii="Arial" w:hAnsi="Arial" w:cs="Arial"/>
        </w:rPr>
        <w:t xml:space="preserve"> requirement to </w:t>
      </w:r>
      <w:r w:rsidR="00814855" w:rsidRPr="00DB659E">
        <w:rPr>
          <w:rFonts w:ascii="Arial" w:hAnsi="Arial" w:cs="Arial"/>
        </w:rPr>
        <w:t>consider</w:t>
      </w:r>
      <w:r w:rsidRPr="00DB659E">
        <w:rPr>
          <w:rFonts w:ascii="Arial" w:hAnsi="Arial" w:cs="Arial"/>
        </w:rPr>
        <w:t xml:space="preserve"> the economic and social benefits from the activity</w:t>
      </w:r>
      <w:r w:rsidR="00E210B7" w:rsidRPr="00DB659E">
        <w:rPr>
          <w:rFonts w:ascii="Arial" w:hAnsi="Arial" w:cs="Arial"/>
        </w:rPr>
        <w:t>.</w:t>
      </w:r>
      <w:r w:rsidRPr="00DB659E">
        <w:rPr>
          <w:rFonts w:ascii="Arial" w:hAnsi="Arial" w:cs="Arial"/>
        </w:rPr>
        <w:t xml:space="preserve"> </w:t>
      </w:r>
      <w:r w:rsidR="009878A9" w:rsidRPr="00DB659E">
        <w:rPr>
          <w:rFonts w:ascii="Arial" w:hAnsi="Arial" w:cs="Arial"/>
        </w:rPr>
        <w:t xml:space="preserve">Previously the </w:t>
      </w:r>
      <w:r w:rsidR="00E50057" w:rsidRPr="00DB659E">
        <w:rPr>
          <w:rFonts w:ascii="Arial" w:hAnsi="Arial" w:cs="Arial"/>
        </w:rPr>
        <w:t>A</w:t>
      </w:r>
      <w:r w:rsidR="009878A9" w:rsidRPr="00DB659E">
        <w:rPr>
          <w:rFonts w:ascii="Arial" w:hAnsi="Arial" w:cs="Arial"/>
        </w:rPr>
        <w:t xml:space="preserve">uthority impliedly considered the cultural benefits under “social” benefits. </w:t>
      </w:r>
      <w:r w:rsidRPr="00DB659E">
        <w:rPr>
          <w:rFonts w:ascii="Arial" w:hAnsi="Arial" w:cs="Arial"/>
        </w:rPr>
        <w:t xml:space="preserve">This is outlined in more detail </w:t>
      </w:r>
      <w:r w:rsidR="009D2767" w:rsidRPr="00DB659E">
        <w:rPr>
          <w:rFonts w:ascii="Arial" w:hAnsi="Arial" w:cs="Arial"/>
        </w:rPr>
        <w:t xml:space="preserve">above </w:t>
      </w:r>
      <w:r w:rsidRPr="00DB659E">
        <w:rPr>
          <w:rFonts w:ascii="Arial" w:hAnsi="Arial" w:cs="Arial"/>
        </w:rPr>
        <w:t>in the human rights section of this explanatory statement.</w:t>
      </w:r>
    </w:p>
    <w:p w14:paraId="66E8C25A" w14:textId="77777777" w:rsidR="00E42064" w:rsidRPr="00B7078B" w:rsidRDefault="00473C50" w:rsidP="00E42064">
      <w:pPr>
        <w:pStyle w:val="Heading3"/>
        <w:ind w:left="2160" w:hanging="2160"/>
        <w:rPr>
          <w:rFonts w:cs="Arial"/>
        </w:rPr>
      </w:pPr>
      <w:r w:rsidRPr="00B7078B">
        <w:rPr>
          <w:rFonts w:cs="Arial"/>
        </w:rPr>
        <w:lastRenderedPageBreak/>
        <w:t>Clause</w:t>
      </w:r>
      <w:r w:rsidR="00E80FB8" w:rsidRPr="00B7078B">
        <w:rPr>
          <w:rFonts w:cs="Arial"/>
        </w:rPr>
        <w:t>s</w:t>
      </w:r>
      <w:r w:rsidRPr="00B7078B">
        <w:rPr>
          <w:rFonts w:cs="Arial"/>
        </w:rPr>
        <w:t xml:space="preserve"> </w:t>
      </w:r>
      <w:r w:rsidR="009D2767" w:rsidRPr="00B7078B">
        <w:rPr>
          <w:rFonts w:cs="Arial"/>
        </w:rPr>
        <w:t>3</w:t>
      </w:r>
      <w:r w:rsidR="000744FD" w:rsidRPr="00B7078B">
        <w:rPr>
          <w:rFonts w:cs="Arial"/>
        </w:rPr>
        <w:t>2</w:t>
      </w:r>
      <w:r w:rsidR="00E80FB8" w:rsidRPr="00B7078B">
        <w:rPr>
          <w:rFonts w:cs="Arial"/>
        </w:rPr>
        <w:t xml:space="preserve"> </w:t>
      </w:r>
      <w:r w:rsidR="000E01F5" w:rsidRPr="00B7078B">
        <w:rPr>
          <w:rFonts w:cs="Arial"/>
        </w:rPr>
        <w:t xml:space="preserve">to </w:t>
      </w:r>
      <w:r w:rsidR="00E80FB8" w:rsidRPr="00B7078B">
        <w:rPr>
          <w:rFonts w:cs="Arial"/>
        </w:rPr>
        <w:t>3</w:t>
      </w:r>
      <w:r w:rsidR="000744FD" w:rsidRPr="00B7078B">
        <w:rPr>
          <w:rFonts w:cs="Arial"/>
        </w:rPr>
        <w:t>3</w:t>
      </w:r>
      <w:r w:rsidRPr="00B7078B">
        <w:rPr>
          <w:rFonts w:cs="Arial"/>
        </w:rPr>
        <w:tab/>
        <w:t>Notification of certain people about orders for assessment</w:t>
      </w:r>
      <w:r w:rsidR="00E42064" w:rsidRPr="00B7078B">
        <w:rPr>
          <w:rFonts w:cs="Arial"/>
        </w:rPr>
        <w:t xml:space="preserve"> </w:t>
      </w:r>
      <w:r w:rsidRPr="00B7078B">
        <w:rPr>
          <w:rFonts w:cs="Arial"/>
        </w:rPr>
        <w:t xml:space="preserve">or remediation </w:t>
      </w:r>
    </w:p>
    <w:p w14:paraId="470D1915" w14:textId="790599C3" w:rsidR="00473C50" w:rsidRPr="00B7078B" w:rsidRDefault="00473C50" w:rsidP="00E42064">
      <w:pPr>
        <w:pStyle w:val="Heading3"/>
        <w:ind w:left="2160"/>
        <w:rPr>
          <w:rFonts w:cs="Arial"/>
        </w:rPr>
      </w:pPr>
      <w:r w:rsidRPr="00B7078B">
        <w:rPr>
          <w:rFonts w:cs="Arial"/>
        </w:rPr>
        <w:t>Section 91E (2) (b)</w:t>
      </w:r>
      <w:r w:rsidR="00E80FB8" w:rsidRPr="00B7078B">
        <w:rPr>
          <w:rFonts w:cs="Arial"/>
        </w:rPr>
        <w:t xml:space="preserve"> </w:t>
      </w:r>
      <w:r w:rsidR="000744FD" w:rsidRPr="00B7078B">
        <w:rPr>
          <w:rFonts w:cs="Arial"/>
        </w:rPr>
        <w:t>and</w:t>
      </w:r>
      <w:r w:rsidR="00E80FB8" w:rsidRPr="00B7078B">
        <w:rPr>
          <w:rFonts w:cs="Arial"/>
        </w:rPr>
        <w:t xml:space="preserve"> Section 91F</w:t>
      </w:r>
    </w:p>
    <w:p w14:paraId="1BCDC741" w14:textId="0A20DCFB" w:rsidR="00E210B7" w:rsidRPr="00DB659E" w:rsidRDefault="00473C50" w:rsidP="00E210B7">
      <w:pPr>
        <w:rPr>
          <w:rFonts w:ascii="Arial" w:hAnsi="Arial" w:cs="Arial"/>
        </w:rPr>
      </w:pPr>
      <w:r w:rsidRPr="00DB659E">
        <w:rPr>
          <w:rFonts w:ascii="Arial" w:hAnsi="Arial" w:cs="Arial"/>
        </w:rPr>
        <w:t>Clauses</w:t>
      </w:r>
      <w:r w:rsidR="000744FD" w:rsidRPr="00DB659E">
        <w:rPr>
          <w:rFonts w:ascii="Arial" w:hAnsi="Arial" w:cs="Arial"/>
        </w:rPr>
        <w:t xml:space="preserve"> 32 and 33</w:t>
      </w:r>
      <w:r w:rsidRPr="00DB659E">
        <w:rPr>
          <w:rFonts w:ascii="Arial" w:hAnsi="Arial" w:cs="Arial"/>
        </w:rPr>
        <w:t xml:space="preserve"> make </w:t>
      </w:r>
      <w:r w:rsidR="009D2767" w:rsidRPr="00DB659E">
        <w:rPr>
          <w:rFonts w:ascii="Arial" w:hAnsi="Arial" w:cs="Arial"/>
        </w:rPr>
        <w:t>similar</w:t>
      </w:r>
      <w:r w:rsidRPr="00DB659E">
        <w:rPr>
          <w:rFonts w:ascii="Arial" w:hAnsi="Arial" w:cs="Arial"/>
        </w:rPr>
        <w:t xml:space="preserve"> amendment</w:t>
      </w:r>
      <w:r w:rsidR="00E80FB8" w:rsidRPr="00DB659E">
        <w:rPr>
          <w:rFonts w:ascii="Arial" w:hAnsi="Arial" w:cs="Arial"/>
        </w:rPr>
        <w:t>s</w:t>
      </w:r>
      <w:r w:rsidRPr="00DB659E">
        <w:rPr>
          <w:rFonts w:ascii="Arial" w:hAnsi="Arial" w:cs="Arial"/>
        </w:rPr>
        <w:t xml:space="preserve"> </w:t>
      </w:r>
      <w:r w:rsidR="00E80FB8" w:rsidRPr="00DB659E">
        <w:rPr>
          <w:rFonts w:ascii="Arial" w:hAnsi="Arial" w:cs="Arial"/>
        </w:rPr>
        <w:t>as</w:t>
      </w:r>
      <w:r w:rsidR="009D2767" w:rsidRPr="00DB659E">
        <w:rPr>
          <w:rFonts w:ascii="Arial" w:hAnsi="Arial" w:cs="Arial"/>
        </w:rPr>
        <w:t xml:space="preserve"> clauses 1</w:t>
      </w:r>
      <w:r w:rsidR="000744FD" w:rsidRPr="00DB659E">
        <w:rPr>
          <w:rFonts w:ascii="Arial" w:hAnsi="Arial" w:cs="Arial"/>
        </w:rPr>
        <w:t>1</w:t>
      </w:r>
      <w:r w:rsidR="009D2767" w:rsidRPr="00DB659E">
        <w:rPr>
          <w:rFonts w:ascii="Arial" w:hAnsi="Arial" w:cs="Arial"/>
        </w:rPr>
        <w:t xml:space="preserve"> to </w:t>
      </w:r>
      <w:r w:rsidR="000744FD" w:rsidRPr="00DB659E">
        <w:rPr>
          <w:rFonts w:ascii="Arial" w:hAnsi="Arial" w:cs="Arial"/>
        </w:rPr>
        <w:t>19</w:t>
      </w:r>
      <w:r w:rsidR="009D2767" w:rsidRPr="00DB659E">
        <w:rPr>
          <w:rFonts w:ascii="Arial" w:hAnsi="Arial" w:cs="Arial"/>
        </w:rPr>
        <w:t xml:space="preserve"> (Public access to documents)</w:t>
      </w:r>
      <w:r w:rsidRPr="00DB659E">
        <w:rPr>
          <w:rFonts w:ascii="Arial" w:hAnsi="Arial" w:cs="Arial"/>
        </w:rPr>
        <w:t xml:space="preserve"> </w:t>
      </w:r>
      <w:r w:rsidR="00E80FB8" w:rsidRPr="00DB659E">
        <w:rPr>
          <w:rFonts w:ascii="Arial" w:hAnsi="Arial" w:cs="Arial"/>
        </w:rPr>
        <w:t xml:space="preserve">but </w:t>
      </w:r>
      <w:r w:rsidRPr="00DB659E">
        <w:rPr>
          <w:rFonts w:ascii="Arial" w:hAnsi="Arial" w:cs="Arial"/>
        </w:rPr>
        <w:t xml:space="preserve">for the notification of orders for assessment or remediation under section 91E (2) (b). This makes it clear that </w:t>
      </w:r>
      <w:r w:rsidR="00E80FB8" w:rsidRPr="00DB659E">
        <w:rPr>
          <w:rFonts w:ascii="Arial" w:hAnsi="Arial" w:cs="Arial"/>
        </w:rPr>
        <w:t>documents about orders for assessment or remediation</w:t>
      </w:r>
      <w:r w:rsidRPr="00DB659E">
        <w:rPr>
          <w:rFonts w:ascii="Arial" w:hAnsi="Arial" w:cs="Arial"/>
        </w:rPr>
        <w:t xml:space="preserve"> are to be made available to the public</w:t>
      </w:r>
      <w:r w:rsidR="009D2767" w:rsidRPr="00DB659E">
        <w:rPr>
          <w:rFonts w:ascii="Arial" w:hAnsi="Arial" w:cs="Arial"/>
        </w:rPr>
        <w:t xml:space="preserve"> in a similar manner to the </w:t>
      </w:r>
      <w:r w:rsidR="00E80FB8" w:rsidRPr="00DB659E">
        <w:rPr>
          <w:rFonts w:ascii="Arial" w:hAnsi="Arial" w:cs="Arial"/>
        </w:rPr>
        <w:t xml:space="preserve">documents in </w:t>
      </w:r>
      <w:r w:rsidR="009D2767" w:rsidRPr="00DB659E">
        <w:rPr>
          <w:rFonts w:ascii="Arial" w:hAnsi="Arial" w:cs="Arial"/>
        </w:rPr>
        <w:t>amended section 19.</w:t>
      </w:r>
      <w:r w:rsidR="00E80FB8" w:rsidRPr="00DB659E">
        <w:rPr>
          <w:rFonts w:ascii="Arial" w:hAnsi="Arial" w:cs="Arial"/>
        </w:rPr>
        <w:t xml:space="preserve"> This includes being made accessible on an ACT government website, or by a link on an ACT government website; or making it available for inspection by anyone during ordinary business hours at an ACT government office and that a copy may be provided on request. Under section 91F the documents must be made available free of charge.</w:t>
      </w:r>
    </w:p>
    <w:p w14:paraId="1598D8CF" w14:textId="26AE8B46" w:rsidR="00814855" w:rsidRPr="00B7078B" w:rsidRDefault="004D3C23" w:rsidP="004D3C23">
      <w:pPr>
        <w:pStyle w:val="Heading3"/>
        <w:rPr>
          <w:rFonts w:cs="Arial"/>
        </w:rPr>
      </w:pPr>
      <w:r w:rsidRPr="00B7078B">
        <w:rPr>
          <w:rFonts w:cs="Arial"/>
        </w:rPr>
        <w:t xml:space="preserve">Clause </w:t>
      </w:r>
      <w:r w:rsidR="00E80FB8" w:rsidRPr="00B7078B">
        <w:rPr>
          <w:rFonts w:cs="Arial"/>
        </w:rPr>
        <w:t>3</w:t>
      </w:r>
      <w:r w:rsidR="000744FD" w:rsidRPr="00B7078B">
        <w:rPr>
          <w:rFonts w:cs="Arial"/>
        </w:rPr>
        <w:t>4</w:t>
      </w:r>
      <w:r w:rsidRPr="00B7078B">
        <w:rPr>
          <w:rFonts w:cs="Arial"/>
        </w:rPr>
        <w:tab/>
      </w:r>
      <w:r w:rsidR="0026226E" w:rsidRPr="00B7078B">
        <w:rPr>
          <w:rFonts w:cs="Arial"/>
        </w:rPr>
        <w:t xml:space="preserve">Directions of Minister </w:t>
      </w:r>
    </w:p>
    <w:p w14:paraId="27C14452" w14:textId="63C848AC" w:rsidR="004D3C23" w:rsidRPr="00B7078B" w:rsidRDefault="0026226E" w:rsidP="00C75B00">
      <w:pPr>
        <w:pStyle w:val="Heading3"/>
        <w:ind w:left="720" w:firstLine="720"/>
        <w:rPr>
          <w:rFonts w:cs="Arial"/>
        </w:rPr>
      </w:pPr>
      <w:r w:rsidRPr="00B7078B">
        <w:rPr>
          <w:rFonts w:cs="Arial"/>
        </w:rPr>
        <w:t>Section 93(2)</w:t>
      </w:r>
    </w:p>
    <w:p w14:paraId="08F812A0" w14:textId="5C0C0E81" w:rsidR="00746F46" w:rsidRPr="00DB659E" w:rsidRDefault="0026226E" w:rsidP="00BA5195">
      <w:pPr>
        <w:rPr>
          <w:rFonts w:ascii="Arial" w:hAnsi="Arial" w:cs="Arial"/>
        </w:rPr>
      </w:pPr>
      <w:r w:rsidRPr="00DB659E">
        <w:rPr>
          <w:rFonts w:ascii="Arial" w:hAnsi="Arial" w:cs="Arial"/>
        </w:rPr>
        <w:t xml:space="preserve">Clause </w:t>
      </w:r>
      <w:r w:rsidR="000744FD" w:rsidRPr="00DB659E">
        <w:rPr>
          <w:rFonts w:ascii="Arial" w:hAnsi="Arial" w:cs="Arial"/>
        </w:rPr>
        <w:t>34</w:t>
      </w:r>
      <w:r w:rsidRPr="00DB659E">
        <w:rPr>
          <w:rFonts w:ascii="Arial" w:hAnsi="Arial" w:cs="Arial"/>
        </w:rPr>
        <w:t xml:space="preserve"> amends section 93(2) </w:t>
      </w:r>
      <w:r w:rsidR="00AE55B1" w:rsidRPr="00DB659E">
        <w:rPr>
          <w:rFonts w:ascii="Arial" w:hAnsi="Arial" w:cs="Arial"/>
        </w:rPr>
        <w:t xml:space="preserve">of the EP Act </w:t>
      </w:r>
      <w:r w:rsidRPr="00DB659E">
        <w:rPr>
          <w:rFonts w:ascii="Arial" w:hAnsi="Arial" w:cs="Arial"/>
        </w:rPr>
        <w:t xml:space="preserve">on the matters that the Minister </w:t>
      </w:r>
      <w:r w:rsidR="00814855" w:rsidRPr="00DB659E">
        <w:rPr>
          <w:rFonts w:ascii="Arial" w:hAnsi="Arial" w:cs="Arial"/>
        </w:rPr>
        <w:t xml:space="preserve">must not </w:t>
      </w:r>
      <w:r w:rsidRPr="00DB659E">
        <w:rPr>
          <w:rFonts w:ascii="Arial" w:hAnsi="Arial" w:cs="Arial"/>
        </w:rPr>
        <w:t xml:space="preserve">direct the </w:t>
      </w:r>
      <w:r w:rsidR="00E50057" w:rsidRPr="00DB659E">
        <w:rPr>
          <w:rFonts w:ascii="Arial" w:hAnsi="Arial" w:cs="Arial"/>
        </w:rPr>
        <w:t>A</w:t>
      </w:r>
      <w:r w:rsidRPr="00DB659E">
        <w:rPr>
          <w:rFonts w:ascii="Arial" w:hAnsi="Arial" w:cs="Arial"/>
        </w:rPr>
        <w:t xml:space="preserve">uthority. It adds part 14A (enforceable undertakings). This means that the Minister cannot lawfully direct the authority about matters in relation to enforceable undertakings. This is consistent with the other matters that the Minister cannot direct the </w:t>
      </w:r>
      <w:r w:rsidR="000744FD" w:rsidRPr="00DB659E">
        <w:rPr>
          <w:rFonts w:ascii="Arial" w:hAnsi="Arial" w:cs="Arial"/>
        </w:rPr>
        <w:t>A</w:t>
      </w:r>
      <w:r w:rsidRPr="00DB659E">
        <w:rPr>
          <w:rFonts w:ascii="Arial" w:hAnsi="Arial" w:cs="Arial"/>
        </w:rPr>
        <w:t>uthority about</w:t>
      </w:r>
      <w:r w:rsidR="00AE55B1" w:rsidRPr="00DB659E">
        <w:rPr>
          <w:rFonts w:ascii="Arial" w:hAnsi="Arial" w:cs="Arial"/>
        </w:rPr>
        <w:t xml:space="preserve"> where the </w:t>
      </w:r>
      <w:r w:rsidR="00E50057" w:rsidRPr="00DB659E">
        <w:rPr>
          <w:rFonts w:ascii="Arial" w:hAnsi="Arial" w:cs="Arial"/>
        </w:rPr>
        <w:t>A</w:t>
      </w:r>
      <w:r w:rsidR="00AE55B1" w:rsidRPr="00DB659E">
        <w:rPr>
          <w:rFonts w:ascii="Arial" w:hAnsi="Arial" w:cs="Arial"/>
        </w:rPr>
        <w:t>uthority is making enforcement decisions under the EP Act</w:t>
      </w:r>
      <w:r w:rsidRPr="00DB659E">
        <w:rPr>
          <w:rFonts w:ascii="Arial" w:hAnsi="Arial" w:cs="Arial"/>
        </w:rPr>
        <w:t>.</w:t>
      </w:r>
    </w:p>
    <w:p w14:paraId="7D1774B1" w14:textId="77777777" w:rsidR="00A2278E" w:rsidRPr="00B7078B" w:rsidRDefault="00A2278E" w:rsidP="00A2278E">
      <w:pPr>
        <w:rPr>
          <w:rFonts w:ascii="Arial" w:eastAsiaTheme="majorEastAsia" w:hAnsi="Arial" w:cs="Arial"/>
          <w:b/>
          <w:sz w:val="24"/>
          <w:szCs w:val="24"/>
        </w:rPr>
      </w:pPr>
      <w:r w:rsidRPr="00B7078B">
        <w:rPr>
          <w:rFonts w:ascii="Arial" w:eastAsiaTheme="majorEastAsia" w:hAnsi="Arial" w:cs="Arial"/>
          <w:b/>
          <w:sz w:val="24"/>
          <w:szCs w:val="24"/>
        </w:rPr>
        <w:t>Clause 55</w:t>
      </w:r>
      <w:r w:rsidRPr="00B7078B">
        <w:rPr>
          <w:rFonts w:ascii="Arial" w:eastAsiaTheme="majorEastAsia" w:hAnsi="Arial" w:cs="Arial"/>
          <w:b/>
          <w:sz w:val="24"/>
          <w:szCs w:val="24"/>
        </w:rPr>
        <w:tab/>
        <w:t>Sections 67 to 69</w:t>
      </w:r>
    </w:p>
    <w:p w14:paraId="07E4B273" w14:textId="77777777" w:rsidR="00A2278E" w:rsidRPr="00DB659E" w:rsidRDefault="00A2278E" w:rsidP="00A2278E">
      <w:pPr>
        <w:rPr>
          <w:rFonts w:ascii="Arial" w:hAnsi="Arial" w:cs="Arial"/>
          <w:bCs/>
        </w:rPr>
      </w:pPr>
      <w:r w:rsidRPr="00DB659E">
        <w:rPr>
          <w:rFonts w:ascii="Arial" w:hAnsi="Arial" w:cs="Arial"/>
          <w:bCs/>
        </w:rPr>
        <w:t xml:space="preserve">Clause 55 omits section 67 of the </w:t>
      </w:r>
      <w:r w:rsidRPr="00DB659E">
        <w:rPr>
          <w:rFonts w:ascii="Arial" w:hAnsi="Arial" w:cs="Arial"/>
          <w:bCs/>
          <w:i/>
          <w:iCs/>
        </w:rPr>
        <w:t>Environment Protection Regulation 2005</w:t>
      </w:r>
      <w:r w:rsidRPr="00DB659E">
        <w:rPr>
          <w:rFonts w:ascii="Arial" w:hAnsi="Arial" w:cs="Arial"/>
          <w:bCs/>
        </w:rPr>
        <w:t xml:space="preserve"> to displace section 47 (5) and (6) of the </w:t>
      </w:r>
      <w:r w:rsidRPr="00DB659E">
        <w:rPr>
          <w:rFonts w:ascii="Arial" w:hAnsi="Arial" w:cs="Arial"/>
          <w:bCs/>
          <w:i/>
          <w:iCs/>
        </w:rPr>
        <w:t>Legislation Act 2001</w:t>
      </w:r>
      <w:r w:rsidRPr="00DB659E">
        <w:rPr>
          <w:rFonts w:ascii="Arial" w:hAnsi="Arial" w:cs="Arial"/>
          <w:bCs/>
        </w:rPr>
        <w:t xml:space="preserve"> (the Legislation Act) and sections 68 and 69 related to inspection and notification of associated incorporated documents. Section 47 (5) and (6) of the Legislation Act otherwise requires standards and instruments applied in legislative instruments to be notified on the ACT Legislation Register.</w:t>
      </w:r>
    </w:p>
    <w:p w14:paraId="6B9E9AE6" w14:textId="77777777" w:rsidR="00A2278E" w:rsidRPr="00DB659E" w:rsidRDefault="00A2278E" w:rsidP="00A2278E">
      <w:pPr>
        <w:rPr>
          <w:rFonts w:ascii="Arial" w:hAnsi="Arial" w:cs="Arial"/>
          <w:bCs/>
        </w:rPr>
      </w:pPr>
      <w:r w:rsidRPr="00DB659E">
        <w:rPr>
          <w:rFonts w:ascii="Arial" w:hAnsi="Arial" w:cs="Arial"/>
          <w:bCs/>
        </w:rPr>
        <w:t>It is considered necessary to disapply the provisions generally because the Environment Protection Authority (EPA) utilises a wide range of relevant and appropriate standards and instruments from across Australia, and in some cases, internationally. The EPA is an experienced and mature regulator with a good understanding of applying best practice regulation. The EPA requires the regulatory flexibility to use incorporated instruments relatively quickly without the need to amend the regulation each time and to notify them on the ACT Legislation Register.</w:t>
      </w:r>
    </w:p>
    <w:p w14:paraId="3EA96171" w14:textId="77777777" w:rsidR="00A2278E" w:rsidRPr="00DB659E" w:rsidRDefault="00A2278E" w:rsidP="00A2278E">
      <w:pPr>
        <w:rPr>
          <w:rFonts w:ascii="Arial" w:hAnsi="Arial" w:cs="Arial"/>
          <w:bCs/>
        </w:rPr>
      </w:pPr>
      <w:r w:rsidRPr="00DB659E">
        <w:rPr>
          <w:rFonts w:ascii="Arial" w:hAnsi="Arial" w:cs="Arial"/>
          <w:bCs/>
        </w:rPr>
        <w:t xml:space="preserve">The amended provisions still provide certainty to the people and businesses that are subject to the legislative instruments applying the standards and instruments. This is because those standards and instruments will be made available (with the exclusion of Standards due to copyright, and legislative instruments which are on other registers) to those people through the amended provisions of the </w:t>
      </w:r>
      <w:r w:rsidRPr="00DB659E">
        <w:rPr>
          <w:rFonts w:ascii="Arial" w:hAnsi="Arial" w:cs="Arial"/>
          <w:bCs/>
          <w:i/>
          <w:iCs/>
        </w:rPr>
        <w:t>Environment Protection Act 1997</w:t>
      </w:r>
      <w:r w:rsidRPr="00DB659E">
        <w:rPr>
          <w:rFonts w:ascii="Arial" w:hAnsi="Arial" w:cs="Arial"/>
          <w:bCs/>
        </w:rPr>
        <w:t xml:space="preserve"> and the </w:t>
      </w:r>
      <w:r w:rsidRPr="00DB659E">
        <w:rPr>
          <w:rFonts w:ascii="Arial" w:hAnsi="Arial" w:cs="Arial"/>
          <w:bCs/>
          <w:i/>
          <w:iCs/>
        </w:rPr>
        <w:t>Water Resources Act 2007</w:t>
      </w:r>
      <w:r w:rsidRPr="00DB659E">
        <w:rPr>
          <w:rFonts w:ascii="Arial" w:hAnsi="Arial" w:cs="Arial"/>
          <w:bCs/>
        </w:rPr>
        <w:t>.</w:t>
      </w:r>
    </w:p>
    <w:p w14:paraId="030BF782" w14:textId="77777777" w:rsidR="00A2278E" w:rsidRPr="00B7078B" w:rsidRDefault="00A2278E" w:rsidP="00A2278E">
      <w:pPr>
        <w:rPr>
          <w:rFonts w:ascii="Arial" w:eastAsiaTheme="majorEastAsia" w:hAnsi="Arial" w:cs="Arial"/>
          <w:b/>
          <w:sz w:val="24"/>
          <w:szCs w:val="24"/>
        </w:rPr>
      </w:pPr>
    </w:p>
    <w:p w14:paraId="7D22E654" w14:textId="77777777" w:rsidR="00A2278E" w:rsidRPr="00B7078B" w:rsidRDefault="00A2278E" w:rsidP="00A2278E">
      <w:pPr>
        <w:rPr>
          <w:rFonts w:ascii="Arial" w:eastAsiaTheme="majorEastAsia" w:hAnsi="Arial" w:cs="Arial"/>
          <w:b/>
          <w:sz w:val="24"/>
          <w:szCs w:val="24"/>
        </w:rPr>
      </w:pPr>
    </w:p>
    <w:p w14:paraId="3EEB15E3" w14:textId="77777777" w:rsidR="00A2278E" w:rsidRPr="00B7078B" w:rsidRDefault="00A2278E" w:rsidP="00A2278E">
      <w:pPr>
        <w:rPr>
          <w:rFonts w:ascii="Arial" w:eastAsiaTheme="majorEastAsia" w:hAnsi="Arial" w:cs="Arial"/>
          <w:b/>
          <w:i/>
          <w:iCs/>
          <w:sz w:val="24"/>
          <w:szCs w:val="24"/>
        </w:rPr>
      </w:pPr>
      <w:r w:rsidRPr="00B7078B">
        <w:rPr>
          <w:rFonts w:ascii="Arial" w:eastAsiaTheme="majorEastAsia" w:hAnsi="Arial" w:cs="Arial"/>
          <w:b/>
          <w:sz w:val="24"/>
          <w:szCs w:val="24"/>
        </w:rPr>
        <w:lastRenderedPageBreak/>
        <w:t>Clause 56</w:t>
      </w:r>
      <w:r w:rsidRPr="00B7078B">
        <w:rPr>
          <w:rFonts w:ascii="Arial" w:eastAsiaTheme="majorEastAsia" w:hAnsi="Arial" w:cs="Arial"/>
          <w:b/>
          <w:sz w:val="24"/>
          <w:szCs w:val="24"/>
        </w:rPr>
        <w:tab/>
        <w:t xml:space="preserve">Definitions for pt 2.1 Schedule 2, section 2.1, definition of </w:t>
      </w:r>
      <w:r w:rsidRPr="00B7078B">
        <w:rPr>
          <w:rFonts w:ascii="Arial" w:eastAsiaTheme="majorEastAsia" w:hAnsi="Arial" w:cs="Arial"/>
          <w:b/>
          <w:i/>
          <w:iCs/>
          <w:sz w:val="24"/>
          <w:szCs w:val="24"/>
        </w:rPr>
        <w:t>Central</w:t>
      </w:r>
    </w:p>
    <w:p w14:paraId="5BB36920" w14:textId="77777777" w:rsidR="00A2278E" w:rsidRPr="00B7078B" w:rsidRDefault="00A2278E" w:rsidP="00A2278E">
      <w:pPr>
        <w:ind w:left="720" w:firstLine="720"/>
        <w:rPr>
          <w:rFonts w:ascii="Arial" w:eastAsiaTheme="majorEastAsia" w:hAnsi="Arial" w:cs="Arial"/>
          <w:b/>
          <w:sz w:val="24"/>
          <w:szCs w:val="24"/>
        </w:rPr>
      </w:pPr>
      <w:r w:rsidRPr="00B7078B">
        <w:rPr>
          <w:rFonts w:ascii="Arial" w:eastAsiaTheme="majorEastAsia" w:hAnsi="Arial" w:cs="Arial"/>
          <w:b/>
          <w:i/>
          <w:iCs/>
          <w:sz w:val="24"/>
          <w:szCs w:val="24"/>
        </w:rPr>
        <w:t>National Area (City Hill Precinct)</w:t>
      </w:r>
      <w:r w:rsidRPr="00B7078B">
        <w:rPr>
          <w:rFonts w:ascii="Arial" w:eastAsiaTheme="majorEastAsia" w:hAnsi="Arial" w:cs="Arial"/>
          <w:b/>
          <w:sz w:val="24"/>
          <w:szCs w:val="24"/>
        </w:rPr>
        <w:t>, note</w:t>
      </w:r>
    </w:p>
    <w:p w14:paraId="0CD4CB4B" w14:textId="77777777" w:rsidR="00A2278E" w:rsidRPr="00DB659E" w:rsidRDefault="00A2278E" w:rsidP="00A2278E">
      <w:pPr>
        <w:rPr>
          <w:rFonts w:ascii="Arial" w:hAnsi="Arial" w:cs="Arial"/>
          <w:bCs/>
        </w:rPr>
      </w:pPr>
      <w:r w:rsidRPr="00DB659E">
        <w:rPr>
          <w:rFonts w:ascii="Arial" w:hAnsi="Arial" w:cs="Arial"/>
          <w:bCs/>
        </w:rPr>
        <w:t xml:space="preserve">Clause 56 omits the definition of the Central National Area (City Hill Precinct) and includes a new note detailing that the reference to the national capital plan does not need to be notified under the Legislation Act because of the insertion of new section 164B (Incorporation of documents), which is outlined in the explanatory material for clause 35 in the original explanatory statement. </w:t>
      </w:r>
    </w:p>
    <w:p w14:paraId="5A87A77A" w14:textId="77777777" w:rsidR="00A2278E" w:rsidRPr="00DB659E" w:rsidRDefault="00A2278E" w:rsidP="00A2278E">
      <w:pPr>
        <w:rPr>
          <w:rFonts w:ascii="Arial" w:hAnsi="Arial" w:cs="Arial"/>
          <w:bCs/>
        </w:rPr>
      </w:pPr>
      <w:r w:rsidRPr="00DB659E">
        <w:rPr>
          <w:rFonts w:ascii="Arial" w:hAnsi="Arial" w:cs="Arial"/>
          <w:bCs/>
        </w:rPr>
        <w:t xml:space="preserve">Clause 56 also informs the reader that the national capital plan is accessible at </w:t>
      </w:r>
      <w:hyperlink r:id="rId18" w:history="1">
        <w:r w:rsidRPr="00DB659E">
          <w:rPr>
            <w:rFonts w:ascii="Arial" w:hAnsi="Arial" w:cs="Arial"/>
            <w:bCs/>
          </w:rPr>
          <w:t>www.legislation.gov.au</w:t>
        </w:r>
      </w:hyperlink>
      <w:r w:rsidRPr="00DB659E">
        <w:rPr>
          <w:rFonts w:ascii="Arial" w:hAnsi="Arial" w:cs="Arial"/>
          <w:bCs/>
        </w:rPr>
        <w:t xml:space="preserve"> (which is the Federal Legislation Register).</w:t>
      </w:r>
    </w:p>
    <w:p w14:paraId="2B7DA3C2" w14:textId="0BD60FC1" w:rsidR="00DE12A5" w:rsidRPr="00B7078B" w:rsidRDefault="00DE12A5" w:rsidP="00DE12A5">
      <w:pPr>
        <w:pStyle w:val="Heading3"/>
        <w:rPr>
          <w:rFonts w:cs="Arial"/>
        </w:rPr>
      </w:pPr>
      <w:r w:rsidRPr="00B7078B">
        <w:rPr>
          <w:rFonts w:cs="Arial"/>
        </w:rPr>
        <w:t xml:space="preserve">Clause </w:t>
      </w:r>
      <w:r w:rsidR="00E1431C" w:rsidRPr="00B7078B">
        <w:rPr>
          <w:rFonts w:cs="Arial"/>
        </w:rPr>
        <w:t>3</w:t>
      </w:r>
      <w:r w:rsidR="000744FD" w:rsidRPr="00B7078B">
        <w:rPr>
          <w:rFonts w:cs="Arial"/>
        </w:rPr>
        <w:t>7</w:t>
      </w:r>
      <w:r w:rsidRPr="00B7078B">
        <w:rPr>
          <w:rFonts w:cs="Arial"/>
        </w:rPr>
        <w:tab/>
        <w:t xml:space="preserve">Section 166(3) </w:t>
      </w:r>
    </w:p>
    <w:p w14:paraId="7804761E" w14:textId="79094512" w:rsidR="002D24AC" w:rsidRPr="00DB659E" w:rsidRDefault="00DE12A5" w:rsidP="006C3D99">
      <w:pPr>
        <w:spacing w:before="240" w:line="240" w:lineRule="auto"/>
        <w:rPr>
          <w:rFonts w:ascii="Arial" w:hAnsi="Arial" w:cs="Arial"/>
        </w:rPr>
      </w:pPr>
      <w:r w:rsidRPr="00DB659E">
        <w:rPr>
          <w:rFonts w:ascii="Arial" w:hAnsi="Arial" w:cs="Arial"/>
        </w:rPr>
        <w:t xml:space="preserve">Clause </w:t>
      </w:r>
      <w:r w:rsidR="00E1431C" w:rsidRPr="00DB659E">
        <w:rPr>
          <w:rFonts w:ascii="Arial" w:hAnsi="Arial" w:cs="Arial"/>
        </w:rPr>
        <w:t>3</w:t>
      </w:r>
      <w:r w:rsidR="000744FD" w:rsidRPr="00DB659E">
        <w:rPr>
          <w:rFonts w:ascii="Arial" w:hAnsi="Arial" w:cs="Arial"/>
        </w:rPr>
        <w:t>7</w:t>
      </w:r>
      <w:r w:rsidRPr="00DB659E">
        <w:rPr>
          <w:rFonts w:ascii="Arial" w:hAnsi="Arial" w:cs="Arial"/>
        </w:rPr>
        <w:t xml:space="preserve"> increases the number of penalty units (from 10 to 20) that may be attached to offences that are contained in the </w:t>
      </w:r>
      <w:r w:rsidRPr="00DB659E">
        <w:rPr>
          <w:rFonts w:ascii="Arial" w:hAnsi="Arial" w:cs="Arial"/>
          <w:i/>
          <w:iCs/>
        </w:rPr>
        <w:t>Environment Protection Regulation</w:t>
      </w:r>
      <w:r w:rsidR="00E50057" w:rsidRPr="00DB659E">
        <w:rPr>
          <w:rFonts w:ascii="Arial" w:hAnsi="Arial" w:cs="Arial"/>
          <w:i/>
          <w:iCs/>
        </w:rPr>
        <w:t xml:space="preserve"> 2005</w:t>
      </w:r>
      <w:r w:rsidRPr="00DB659E">
        <w:rPr>
          <w:rFonts w:ascii="Arial" w:hAnsi="Arial" w:cs="Arial"/>
        </w:rPr>
        <w:t>. This aligns with current ACT Government policy to</w:t>
      </w:r>
      <w:r w:rsidR="002D24AC" w:rsidRPr="00DB659E">
        <w:rPr>
          <w:rFonts w:ascii="Arial" w:hAnsi="Arial" w:cs="Arial"/>
        </w:rPr>
        <w:t xml:space="preserve"> </w:t>
      </w:r>
      <w:r w:rsidRPr="00DB659E">
        <w:rPr>
          <w:rFonts w:ascii="Arial" w:hAnsi="Arial" w:cs="Arial"/>
        </w:rPr>
        <w:t xml:space="preserve">allow more significant penalties in </w:t>
      </w:r>
      <w:r w:rsidR="009F4E4D" w:rsidRPr="00DB659E">
        <w:rPr>
          <w:rFonts w:ascii="Arial" w:hAnsi="Arial" w:cs="Arial"/>
        </w:rPr>
        <w:t>regulations</w:t>
      </w:r>
      <w:r w:rsidR="00321517" w:rsidRPr="00DB659E">
        <w:rPr>
          <w:rFonts w:ascii="Arial" w:hAnsi="Arial" w:cs="Arial"/>
        </w:rPr>
        <w:t xml:space="preserve"> </w:t>
      </w:r>
      <w:r w:rsidR="002D24AC" w:rsidRPr="00DB659E">
        <w:rPr>
          <w:rFonts w:ascii="Arial" w:hAnsi="Arial" w:cs="Arial"/>
        </w:rPr>
        <w:t xml:space="preserve">as outlined in the </w:t>
      </w:r>
      <w:r w:rsidR="006B36EF" w:rsidRPr="00DB659E">
        <w:rPr>
          <w:rFonts w:ascii="Arial" w:hAnsi="Arial" w:cs="Arial"/>
        </w:rPr>
        <w:t xml:space="preserve">2010 </w:t>
      </w:r>
      <w:r w:rsidR="002D24AC" w:rsidRPr="00DB659E">
        <w:rPr>
          <w:rFonts w:ascii="Arial" w:hAnsi="Arial" w:cs="Arial"/>
          <w:i/>
          <w:iCs/>
        </w:rPr>
        <w:t>Guide for framing offences</w:t>
      </w:r>
      <w:r w:rsidR="0000584B" w:rsidRPr="00DB659E">
        <w:rPr>
          <w:rFonts w:ascii="Arial" w:hAnsi="Arial" w:cs="Arial"/>
        </w:rPr>
        <w:t xml:space="preserve"> (the Guide)</w:t>
      </w:r>
      <w:r w:rsidRPr="00DB659E">
        <w:rPr>
          <w:rFonts w:ascii="Arial" w:hAnsi="Arial" w:cs="Arial"/>
        </w:rPr>
        <w:t>.</w:t>
      </w:r>
      <w:r w:rsidR="002333A6" w:rsidRPr="00DB659E">
        <w:rPr>
          <w:rFonts w:ascii="Arial" w:hAnsi="Arial" w:cs="Arial"/>
        </w:rPr>
        <w:t xml:space="preserve"> Th</w:t>
      </w:r>
      <w:r w:rsidR="00E42064" w:rsidRPr="00DB659E">
        <w:rPr>
          <w:rFonts w:ascii="Arial" w:hAnsi="Arial" w:cs="Arial"/>
        </w:rPr>
        <w:t>e</w:t>
      </w:r>
      <w:r w:rsidR="002333A6" w:rsidRPr="00DB659E">
        <w:rPr>
          <w:rFonts w:ascii="Arial" w:hAnsi="Arial" w:cs="Arial"/>
        </w:rPr>
        <w:t xml:space="preserve"> Guide </w:t>
      </w:r>
      <w:r w:rsidR="00B93656" w:rsidRPr="00DB659E">
        <w:rPr>
          <w:rFonts w:ascii="Arial" w:hAnsi="Arial" w:cs="Arial"/>
        </w:rPr>
        <w:t xml:space="preserve">was updated since section 166(3) was first </w:t>
      </w:r>
      <w:r w:rsidR="006C3D99" w:rsidRPr="00DB659E">
        <w:rPr>
          <w:rFonts w:ascii="Arial" w:hAnsi="Arial" w:cs="Arial"/>
        </w:rPr>
        <w:t>enacted,</w:t>
      </w:r>
      <w:r w:rsidR="00B93656" w:rsidRPr="00DB659E">
        <w:rPr>
          <w:rFonts w:ascii="Arial" w:hAnsi="Arial" w:cs="Arial"/>
        </w:rPr>
        <w:t xml:space="preserve"> and the </w:t>
      </w:r>
      <w:r w:rsidR="00D069FD" w:rsidRPr="00DB659E">
        <w:rPr>
          <w:rFonts w:ascii="Arial" w:hAnsi="Arial" w:cs="Arial"/>
        </w:rPr>
        <w:t>penalties were inserted in the regulation.</w:t>
      </w:r>
      <w:r w:rsidR="0067195A" w:rsidRPr="00DB659E">
        <w:rPr>
          <w:rFonts w:ascii="Arial" w:hAnsi="Arial" w:cs="Arial"/>
        </w:rPr>
        <w:t xml:space="preserve"> A significant proportion of offences in the legislative scheme are </w:t>
      </w:r>
      <w:r w:rsidR="00817B84" w:rsidRPr="00DB659E">
        <w:rPr>
          <w:rFonts w:ascii="Arial" w:hAnsi="Arial" w:cs="Arial"/>
        </w:rPr>
        <w:t xml:space="preserve">contained in the regulations. There are a range of different offending behaviours that are </w:t>
      </w:r>
      <w:r w:rsidR="000947B0" w:rsidRPr="00DB659E">
        <w:rPr>
          <w:rFonts w:ascii="Arial" w:hAnsi="Arial" w:cs="Arial"/>
        </w:rPr>
        <w:t xml:space="preserve">picked up by those offences. Increasing the range up to 20 penalty units allows the regulations to </w:t>
      </w:r>
      <w:r w:rsidR="00CA191C" w:rsidRPr="00DB659E">
        <w:rPr>
          <w:rFonts w:ascii="Arial" w:hAnsi="Arial" w:cs="Arial"/>
        </w:rPr>
        <w:t>better set the appropriate penalty for each offence</w:t>
      </w:r>
      <w:r w:rsidR="0006541B" w:rsidRPr="00DB659E">
        <w:rPr>
          <w:rFonts w:ascii="Arial" w:hAnsi="Arial" w:cs="Arial"/>
        </w:rPr>
        <w:t xml:space="preserve"> and </w:t>
      </w:r>
      <w:r w:rsidR="00A37D9C" w:rsidRPr="00DB659E">
        <w:rPr>
          <w:rFonts w:ascii="Arial" w:hAnsi="Arial" w:cs="Arial"/>
        </w:rPr>
        <w:t xml:space="preserve">that will in turn </w:t>
      </w:r>
      <w:r w:rsidR="0006541B" w:rsidRPr="00DB659E">
        <w:rPr>
          <w:rFonts w:ascii="Arial" w:hAnsi="Arial" w:cs="Arial"/>
        </w:rPr>
        <w:t>ensure that there is effective deterrence for each offe</w:t>
      </w:r>
      <w:r w:rsidR="005765C4" w:rsidRPr="00DB659E">
        <w:rPr>
          <w:rFonts w:ascii="Arial" w:hAnsi="Arial" w:cs="Arial"/>
        </w:rPr>
        <w:t>nding behaviour</w:t>
      </w:r>
      <w:r w:rsidR="00CA191C" w:rsidRPr="00DB659E">
        <w:rPr>
          <w:rFonts w:ascii="Arial" w:hAnsi="Arial" w:cs="Arial"/>
        </w:rPr>
        <w:t>.</w:t>
      </w:r>
      <w:r w:rsidR="006C3D99" w:rsidRPr="00DB659E">
        <w:rPr>
          <w:rFonts w:ascii="Arial" w:hAnsi="Arial" w:cs="Arial"/>
        </w:rPr>
        <w:t xml:space="preserve"> </w:t>
      </w:r>
      <w:r w:rsidR="006B36EF" w:rsidRPr="00DB659E">
        <w:rPr>
          <w:rFonts w:ascii="Arial" w:hAnsi="Arial" w:cs="Arial"/>
        </w:rPr>
        <w:t xml:space="preserve"> </w:t>
      </w:r>
      <w:r w:rsidR="006C3D99" w:rsidRPr="00DB659E">
        <w:rPr>
          <w:rFonts w:ascii="Arial" w:hAnsi="Arial" w:cs="Arial"/>
        </w:rPr>
        <w:t>Additionally,</w:t>
      </w:r>
      <w:r w:rsidR="006B36EF" w:rsidRPr="00DB659E">
        <w:rPr>
          <w:rFonts w:ascii="Arial" w:hAnsi="Arial" w:cs="Arial"/>
        </w:rPr>
        <w:t xml:space="preserve"> a review of similar offences in other jurisdiction</w:t>
      </w:r>
      <w:r w:rsidR="00E42064" w:rsidRPr="00DB659E">
        <w:rPr>
          <w:rFonts w:ascii="Arial" w:hAnsi="Arial" w:cs="Arial"/>
        </w:rPr>
        <w:t>s</w:t>
      </w:r>
      <w:r w:rsidR="006B36EF" w:rsidRPr="00DB659E">
        <w:rPr>
          <w:rFonts w:ascii="Arial" w:hAnsi="Arial" w:cs="Arial"/>
        </w:rPr>
        <w:t xml:space="preserve"> </w:t>
      </w:r>
      <w:r w:rsidR="003E42C4" w:rsidRPr="00DB659E">
        <w:rPr>
          <w:rFonts w:ascii="Arial" w:hAnsi="Arial" w:cs="Arial"/>
        </w:rPr>
        <w:t xml:space="preserve">in 2019 </w:t>
      </w:r>
      <w:r w:rsidR="006B36EF" w:rsidRPr="00DB659E">
        <w:rPr>
          <w:rFonts w:ascii="Arial" w:hAnsi="Arial" w:cs="Arial"/>
        </w:rPr>
        <w:t>found the penalty units applied to similar offences were significantly lower whereas the value of a penalty unit w</w:t>
      </w:r>
      <w:r w:rsidR="00D263A4" w:rsidRPr="00DB659E">
        <w:rPr>
          <w:rFonts w:ascii="Arial" w:hAnsi="Arial" w:cs="Arial"/>
        </w:rPr>
        <w:t>as</w:t>
      </w:r>
      <w:r w:rsidR="006B36EF" w:rsidRPr="00DB659E">
        <w:rPr>
          <w:rFonts w:ascii="Arial" w:hAnsi="Arial" w:cs="Arial"/>
        </w:rPr>
        <w:t xml:space="preserve"> generally comparable.</w:t>
      </w:r>
      <w:r w:rsidR="006C3D99" w:rsidRPr="00DB659E">
        <w:rPr>
          <w:rFonts w:ascii="Arial" w:hAnsi="Arial" w:cs="Arial"/>
        </w:rPr>
        <w:t xml:space="preserve"> This seeks to strike a balance by increasing th</w:t>
      </w:r>
      <w:r w:rsidR="00D263A4" w:rsidRPr="00DB659E">
        <w:rPr>
          <w:rFonts w:ascii="Arial" w:hAnsi="Arial" w:cs="Arial"/>
        </w:rPr>
        <w:t>e</w:t>
      </w:r>
      <w:r w:rsidR="006C3D99" w:rsidRPr="00DB659E">
        <w:rPr>
          <w:rFonts w:ascii="Arial" w:hAnsi="Arial" w:cs="Arial"/>
        </w:rPr>
        <w:t xml:space="preserve"> </w:t>
      </w:r>
      <w:r w:rsidR="00E42064" w:rsidRPr="00DB659E">
        <w:rPr>
          <w:rFonts w:ascii="Arial" w:hAnsi="Arial" w:cs="Arial"/>
        </w:rPr>
        <w:t xml:space="preserve">possible </w:t>
      </w:r>
      <w:r w:rsidR="006C3D99" w:rsidRPr="00DB659E">
        <w:rPr>
          <w:rFonts w:ascii="Arial" w:hAnsi="Arial" w:cs="Arial"/>
        </w:rPr>
        <w:t>maximum penalty to the recommended 20 penalty units, and not the 30 penalty units outlined on page 30 of the Guide.</w:t>
      </w:r>
    </w:p>
    <w:p w14:paraId="04CEE554" w14:textId="6278AB5B" w:rsidR="008B4B4D" w:rsidRPr="00DB659E" w:rsidRDefault="0085608B" w:rsidP="00D263A4">
      <w:pPr>
        <w:spacing w:before="240" w:line="240" w:lineRule="auto"/>
        <w:rPr>
          <w:rFonts w:ascii="Arial" w:hAnsi="Arial" w:cs="Arial"/>
        </w:rPr>
      </w:pPr>
      <w:r w:rsidRPr="00DB659E">
        <w:rPr>
          <w:rFonts w:ascii="Arial" w:hAnsi="Arial" w:cs="Arial"/>
        </w:rPr>
        <w:t xml:space="preserve">This </w:t>
      </w:r>
      <w:r w:rsidR="006B36EF" w:rsidRPr="00DB659E">
        <w:rPr>
          <w:rFonts w:ascii="Arial" w:hAnsi="Arial" w:cs="Arial"/>
        </w:rPr>
        <w:t>B</w:t>
      </w:r>
      <w:r w:rsidRPr="00DB659E">
        <w:rPr>
          <w:rFonts w:ascii="Arial" w:hAnsi="Arial" w:cs="Arial"/>
        </w:rPr>
        <w:t xml:space="preserve">ill does not directly change the penalty units for each offence in the regulation. </w:t>
      </w:r>
      <w:r w:rsidR="00027CE1" w:rsidRPr="00DB659E">
        <w:rPr>
          <w:rFonts w:ascii="Arial" w:hAnsi="Arial" w:cs="Arial"/>
        </w:rPr>
        <w:t>A</w:t>
      </w:r>
      <w:r w:rsidR="003E42C4" w:rsidRPr="00DB659E">
        <w:rPr>
          <w:rFonts w:ascii="Arial" w:hAnsi="Arial" w:cs="Arial"/>
        </w:rPr>
        <w:t>ny changes would be subject to review, including a current jurisdictional comparison, to assess the</w:t>
      </w:r>
      <w:r w:rsidR="00027CE1" w:rsidRPr="00DB659E">
        <w:rPr>
          <w:rFonts w:ascii="Arial" w:hAnsi="Arial" w:cs="Arial"/>
        </w:rPr>
        <w:t xml:space="preserve"> suitability of the penalties in each offence in regulations</w:t>
      </w:r>
      <w:r w:rsidR="00CA191C" w:rsidRPr="00DB659E">
        <w:rPr>
          <w:rFonts w:ascii="Arial" w:hAnsi="Arial" w:cs="Arial"/>
        </w:rPr>
        <w:t xml:space="preserve"> and make recommendations to the </w:t>
      </w:r>
      <w:r w:rsidR="001E40C7" w:rsidRPr="00DB659E">
        <w:rPr>
          <w:rFonts w:ascii="Arial" w:hAnsi="Arial" w:cs="Arial"/>
        </w:rPr>
        <w:t>G</w:t>
      </w:r>
      <w:r w:rsidR="00CA191C" w:rsidRPr="00DB659E">
        <w:rPr>
          <w:rFonts w:ascii="Arial" w:hAnsi="Arial" w:cs="Arial"/>
        </w:rPr>
        <w:t>overnment accordingly</w:t>
      </w:r>
      <w:r w:rsidR="00027CE1" w:rsidRPr="00DB659E">
        <w:rPr>
          <w:rFonts w:ascii="Arial" w:hAnsi="Arial" w:cs="Arial"/>
        </w:rPr>
        <w:t xml:space="preserve">. That review may then recommend </w:t>
      </w:r>
      <w:r w:rsidRPr="00DB659E">
        <w:rPr>
          <w:rFonts w:ascii="Arial" w:hAnsi="Arial" w:cs="Arial"/>
        </w:rPr>
        <w:t xml:space="preserve">regulation updates </w:t>
      </w:r>
      <w:r w:rsidR="00027CE1" w:rsidRPr="00DB659E">
        <w:rPr>
          <w:rFonts w:ascii="Arial" w:hAnsi="Arial" w:cs="Arial"/>
        </w:rPr>
        <w:t xml:space="preserve">including </w:t>
      </w:r>
      <w:r w:rsidR="00DB6151" w:rsidRPr="00DB659E">
        <w:rPr>
          <w:rFonts w:ascii="Arial" w:hAnsi="Arial" w:cs="Arial"/>
        </w:rPr>
        <w:t xml:space="preserve">changes to the </w:t>
      </w:r>
      <w:r w:rsidR="00027CE1" w:rsidRPr="00DB659E">
        <w:rPr>
          <w:rFonts w:ascii="Arial" w:hAnsi="Arial" w:cs="Arial"/>
        </w:rPr>
        <w:t>penalty units for each offence</w:t>
      </w:r>
      <w:r w:rsidR="00B03C73" w:rsidRPr="00DB659E">
        <w:rPr>
          <w:rFonts w:ascii="Arial" w:hAnsi="Arial" w:cs="Arial"/>
        </w:rPr>
        <w:t xml:space="preserve"> in the regulations</w:t>
      </w:r>
      <w:r w:rsidRPr="00DB659E">
        <w:rPr>
          <w:rFonts w:ascii="Arial" w:hAnsi="Arial" w:cs="Arial"/>
        </w:rPr>
        <w:t>.</w:t>
      </w:r>
      <w:r w:rsidR="00B03C73" w:rsidRPr="00DB659E">
        <w:rPr>
          <w:rFonts w:ascii="Arial" w:hAnsi="Arial" w:cs="Arial"/>
        </w:rPr>
        <w:t xml:space="preserve"> That amendment would involve a regulatory impact </w:t>
      </w:r>
      <w:r w:rsidR="003E42C4" w:rsidRPr="00DB659E">
        <w:rPr>
          <w:rFonts w:ascii="Arial" w:hAnsi="Arial" w:cs="Arial"/>
        </w:rPr>
        <w:t xml:space="preserve">assessment, consultation </w:t>
      </w:r>
      <w:r w:rsidR="00D263A4" w:rsidRPr="00DB659E">
        <w:rPr>
          <w:rFonts w:ascii="Arial" w:hAnsi="Arial" w:cs="Arial"/>
        </w:rPr>
        <w:t xml:space="preserve">with relevant stakeholders </w:t>
      </w:r>
      <w:r w:rsidR="003E42C4" w:rsidRPr="00DB659E">
        <w:rPr>
          <w:rFonts w:ascii="Arial" w:hAnsi="Arial" w:cs="Arial"/>
        </w:rPr>
        <w:t xml:space="preserve">and </w:t>
      </w:r>
      <w:r w:rsidR="00B03C73" w:rsidRPr="00DB659E">
        <w:rPr>
          <w:rFonts w:ascii="Arial" w:hAnsi="Arial" w:cs="Arial"/>
        </w:rPr>
        <w:t xml:space="preserve">scrutiny processes. </w:t>
      </w:r>
      <w:r w:rsidR="00D069FD" w:rsidRPr="00DB659E">
        <w:rPr>
          <w:rFonts w:ascii="Arial" w:hAnsi="Arial" w:cs="Arial"/>
        </w:rPr>
        <w:t xml:space="preserve">That </w:t>
      </w:r>
      <w:r w:rsidR="00E42064" w:rsidRPr="00DB659E">
        <w:rPr>
          <w:rFonts w:ascii="Arial" w:hAnsi="Arial" w:cs="Arial"/>
        </w:rPr>
        <w:t xml:space="preserve">process </w:t>
      </w:r>
      <w:r w:rsidR="00D069FD" w:rsidRPr="00DB659E">
        <w:rPr>
          <w:rFonts w:ascii="Arial" w:hAnsi="Arial" w:cs="Arial"/>
        </w:rPr>
        <w:t xml:space="preserve">would </w:t>
      </w:r>
      <w:r w:rsidR="00E42064" w:rsidRPr="00DB659E">
        <w:rPr>
          <w:rFonts w:ascii="Arial" w:hAnsi="Arial" w:cs="Arial"/>
        </w:rPr>
        <w:t xml:space="preserve">also </w:t>
      </w:r>
      <w:r w:rsidR="0039744C" w:rsidRPr="00DB659E">
        <w:rPr>
          <w:rFonts w:ascii="Arial" w:hAnsi="Arial" w:cs="Arial"/>
        </w:rPr>
        <w:t>apply</w:t>
      </w:r>
      <w:r w:rsidR="00D069FD" w:rsidRPr="00DB659E">
        <w:rPr>
          <w:rFonts w:ascii="Arial" w:hAnsi="Arial" w:cs="Arial"/>
        </w:rPr>
        <w:t xml:space="preserve"> detailed analysis about </w:t>
      </w:r>
      <w:r w:rsidR="00486C38" w:rsidRPr="00DB659E">
        <w:rPr>
          <w:rFonts w:ascii="Arial" w:hAnsi="Arial" w:cs="Arial"/>
        </w:rPr>
        <w:t>factors</w:t>
      </w:r>
      <w:r w:rsidR="00CD2CF5" w:rsidRPr="00DB659E">
        <w:rPr>
          <w:rFonts w:ascii="Arial" w:hAnsi="Arial" w:cs="Arial"/>
        </w:rPr>
        <w:t xml:space="preserve"> from the Guide</w:t>
      </w:r>
      <w:r w:rsidR="00486C38" w:rsidRPr="00DB659E">
        <w:rPr>
          <w:rFonts w:ascii="Arial" w:hAnsi="Arial" w:cs="Arial"/>
        </w:rPr>
        <w:t xml:space="preserve"> </w:t>
      </w:r>
      <w:r w:rsidR="006E78CD" w:rsidRPr="00DB659E">
        <w:rPr>
          <w:rFonts w:ascii="Arial" w:hAnsi="Arial" w:cs="Arial"/>
        </w:rPr>
        <w:t xml:space="preserve">for setting the penalties </w:t>
      </w:r>
      <w:r w:rsidR="00486C38" w:rsidRPr="00DB659E">
        <w:rPr>
          <w:rFonts w:ascii="Arial" w:hAnsi="Arial" w:cs="Arial"/>
        </w:rPr>
        <w:t>including</w:t>
      </w:r>
      <w:r w:rsidR="006E78CD" w:rsidRPr="00DB659E">
        <w:rPr>
          <w:rFonts w:ascii="Arial" w:hAnsi="Arial" w:cs="Arial"/>
        </w:rPr>
        <w:t>:</w:t>
      </w:r>
      <w:r w:rsidR="00486C38" w:rsidRPr="00DB659E">
        <w:rPr>
          <w:rFonts w:ascii="Arial" w:hAnsi="Arial" w:cs="Arial"/>
        </w:rPr>
        <w:t xml:space="preserve"> the seriousness of the </w:t>
      </w:r>
      <w:r w:rsidR="00776337" w:rsidRPr="00DB659E">
        <w:rPr>
          <w:rFonts w:ascii="Arial" w:hAnsi="Arial" w:cs="Arial"/>
        </w:rPr>
        <w:t>behaviour, the prevalence of the behaviour</w:t>
      </w:r>
      <w:r w:rsidR="006D2B8A" w:rsidRPr="00DB659E">
        <w:rPr>
          <w:rFonts w:ascii="Arial" w:hAnsi="Arial" w:cs="Arial"/>
        </w:rPr>
        <w:t>, the seriousness of each offence compared with offences of a similar nature</w:t>
      </w:r>
      <w:r w:rsidR="00F70D8F" w:rsidRPr="00DB659E">
        <w:rPr>
          <w:rFonts w:ascii="Arial" w:hAnsi="Arial" w:cs="Arial"/>
        </w:rPr>
        <w:t>, relative seriousness of each particular offence compared with others in the legislative scheme</w:t>
      </w:r>
      <w:r w:rsidR="00C86437" w:rsidRPr="00DB659E">
        <w:rPr>
          <w:rFonts w:ascii="Arial" w:hAnsi="Arial" w:cs="Arial"/>
        </w:rPr>
        <w:t>, the level of responsibility carried by the people that would be likely subject to the offences</w:t>
      </w:r>
      <w:r w:rsidR="008041BC" w:rsidRPr="00DB659E">
        <w:rPr>
          <w:rFonts w:ascii="Arial" w:hAnsi="Arial" w:cs="Arial"/>
        </w:rPr>
        <w:t>, and the possible consequences of failing to comply with the provision.</w:t>
      </w:r>
      <w:r w:rsidR="002C6E48" w:rsidRPr="00DB659E">
        <w:rPr>
          <w:rFonts w:ascii="Arial" w:hAnsi="Arial" w:cs="Arial"/>
        </w:rPr>
        <w:t xml:space="preserve"> It w</w:t>
      </w:r>
      <w:r w:rsidR="006E78CD" w:rsidRPr="00DB659E">
        <w:rPr>
          <w:rFonts w:ascii="Arial" w:hAnsi="Arial" w:cs="Arial"/>
        </w:rPr>
        <w:t>ould also</w:t>
      </w:r>
      <w:r w:rsidR="002C6E48" w:rsidRPr="00DB659E">
        <w:rPr>
          <w:rFonts w:ascii="Arial" w:hAnsi="Arial" w:cs="Arial"/>
        </w:rPr>
        <w:t xml:space="preserve"> consider the adequacy of the maximum penalty </w:t>
      </w:r>
      <w:r w:rsidR="005F602A" w:rsidRPr="00DB659E">
        <w:rPr>
          <w:rFonts w:ascii="Arial" w:hAnsi="Arial" w:cs="Arial"/>
        </w:rPr>
        <w:t xml:space="preserve">to deter and punish a </w:t>
      </w:r>
      <w:r w:rsidR="003E42C4" w:rsidRPr="00DB659E">
        <w:rPr>
          <w:rFonts w:ascii="Arial" w:hAnsi="Arial" w:cs="Arial"/>
        </w:rPr>
        <w:t>worst-case</w:t>
      </w:r>
      <w:r w:rsidR="005F602A" w:rsidRPr="00DB659E">
        <w:rPr>
          <w:rFonts w:ascii="Arial" w:hAnsi="Arial" w:cs="Arial"/>
        </w:rPr>
        <w:t xml:space="preserve"> offence, including repeat offenders</w:t>
      </w:r>
      <w:r w:rsidR="003A03C0" w:rsidRPr="00DB659E">
        <w:rPr>
          <w:rFonts w:ascii="Arial" w:hAnsi="Arial" w:cs="Arial"/>
        </w:rPr>
        <w:t xml:space="preserve"> including any incentives to </w:t>
      </w:r>
      <w:r w:rsidR="0045049E" w:rsidRPr="00DB659E">
        <w:rPr>
          <w:rFonts w:ascii="Arial" w:hAnsi="Arial" w:cs="Arial"/>
        </w:rPr>
        <w:t>commit the offence, or the damage the offending behaviour does</w:t>
      </w:r>
      <w:r w:rsidR="00592B17" w:rsidRPr="00DB659E">
        <w:rPr>
          <w:rFonts w:ascii="Arial" w:hAnsi="Arial" w:cs="Arial"/>
        </w:rPr>
        <w:t>.</w:t>
      </w:r>
      <w:r w:rsidR="00C55A04" w:rsidRPr="00DB659E">
        <w:rPr>
          <w:rFonts w:ascii="Arial" w:hAnsi="Arial" w:cs="Arial"/>
        </w:rPr>
        <w:t xml:space="preserve"> It will consider the fault element of each offence</w:t>
      </w:r>
      <w:r w:rsidR="003B30E7" w:rsidRPr="00DB659E">
        <w:rPr>
          <w:rFonts w:ascii="Arial" w:hAnsi="Arial" w:cs="Arial"/>
        </w:rPr>
        <w:t>.</w:t>
      </w:r>
    </w:p>
    <w:p w14:paraId="60054346" w14:textId="77777777" w:rsidR="00E42064" w:rsidRPr="00B7078B" w:rsidRDefault="00DE12A5" w:rsidP="00DE12A5">
      <w:pPr>
        <w:pStyle w:val="Heading3"/>
        <w:rPr>
          <w:rFonts w:cs="Arial"/>
        </w:rPr>
      </w:pPr>
      <w:r w:rsidRPr="00B7078B">
        <w:rPr>
          <w:rFonts w:cs="Arial"/>
        </w:rPr>
        <w:t xml:space="preserve">Clause </w:t>
      </w:r>
      <w:r w:rsidR="00E1431C" w:rsidRPr="00B7078B">
        <w:rPr>
          <w:rFonts w:cs="Arial"/>
        </w:rPr>
        <w:t>3</w:t>
      </w:r>
      <w:r w:rsidR="00601738" w:rsidRPr="00B7078B">
        <w:rPr>
          <w:rFonts w:cs="Arial"/>
        </w:rPr>
        <w:t>8</w:t>
      </w:r>
      <w:r w:rsidRPr="00B7078B">
        <w:rPr>
          <w:rFonts w:cs="Arial"/>
        </w:rPr>
        <w:tab/>
      </w:r>
      <w:r w:rsidR="00601738" w:rsidRPr="00B7078B">
        <w:rPr>
          <w:rFonts w:cs="Arial"/>
        </w:rPr>
        <w:t xml:space="preserve">Class A activities </w:t>
      </w:r>
    </w:p>
    <w:p w14:paraId="11E08A3E" w14:textId="035D87C8" w:rsidR="00DE12A5" w:rsidRPr="00B7078B" w:rsidRDefault="00DE12A5" w:rsidP="00E42064">
      <w:pPr>
        <w:pStyle w:val="Heading3"/>
        <w:ind w:left="720" w:firstLine="720"/>
        <w:rPr>
          <w:rFonts w:cs="Arial"/>
        </w:rPr>
      </w:pPr>
      <w:r w:rsidRPr="00B7078B">
        <w:rPr>
          <w:rFonts w:cs="Arial"/>
        </w:rPr>
        <w:t>Schedule 1, table 1.2, item 35</w:t>
      </w:r>
      <w:r w:rsidR="00601738" w:rsidRPr="00B7078B">
        <w:rPr>
          <w:rFonts w:cs="Arial"/>
        </w:rPr>
        <w:t xml:space="preserve"> </w:t>
      </w:r>
    </w:p>
    <w:p w14:paraId="0112EF9F" w14:textId="6E93F3DA" w:rsidR="004036CC" w:rsidRPr="00DB659E" w:rsidRDefault="00DE12A5" w:rsidP="00DE12A5">
      <w:pPr>
        <w:rPr>
          <w:rFonts w:ascii="Arial" w:hAnsi="Arial" w:cs="Arial"/>
        </w:rPr>
      </w:pPr>
      <w:r w:rsidRPr="00DB659E">
        <w:rPr>
          <w:rFonts w:ascii="Arial" w:hAnsi="Arial" w:cs="Arial"/>
        </w:rPr>
        <w:t xml:space="preserve">Clause </w:t>
      </w:r>
      <w:r w:rsidR="00601738" w:rsidRPr="00DB659E">
        <w:rPr>
          <w:rFonts w:ascii="Arial" w:hAnsi="Arial" w:cs="Arial"/>
        </w:rPr>
        <w:t xml:space="preserve">38 </w:t>
      </w:r>
      <w:r w:rsidRPr="00DB659E">
        <w:rPr>
          <w:rFonts w:ascii="Arial" w:hAnsi="Arial" w:cs="Arial"/>
        </w:rPr>
        <w:t>amends the amount of alcoholic production that triggers the need for an Environmental Authorisation.</w:t>
      </w:r>
      <w:r w:rsidR="0085608B" w:rsidRPr="00DB659E">
        <w:rPr>
          <w:rFonts w:ascii="Arial" w:hAnsi="Arial" w:cs="Arial"/>
        </w:rPr>
        <w:t xml:space="preserve"> This amendment is to align the ACT trigger with that in New South Wales. </w:t>
      </w:r>
      <w:r w:rsidR="00E1431C" w:rsidRPr="00DB659E">
        <w:rPr>
          <w:rFonts w:ascii="Arial" w:hAnsi="Arial" w:cs="Arial"/>
        </w:rPr>
        <w:t>It increases the volume from 100kL per year to 10</w:t>
      </w:r>
      <w:r w:rsidR="009F4E4D" w:rsidRPr="00DB659E">
        <w:rPr>
          <w:rFonts w:ascii="Arial" w:hAnsi="Arial" w:cs="Arial"/>
        </w:rPr>
        <w:t>,</w:t>
      </w:r>
      <w:r w:rsidR="00E1431C" w:rsidRPr="00DB659E">
        <w:rPr>
          <w:rFonts w:ascii="Arial" w:hAnsi="Arial" w:cs="Arial"/>
        </w:rPr>
        <w:t xml:space="preserve">000kL per year or 30kL per day. </w:t>
      </w:r>
      <w:r w:rsidR="0085608B" w:rsidRPr="00DB659E">
        <w:rPr>
          <w:rFonts w:ascii="Arial" w:hAnsi="Arial" w:cs="Arial"/>
        </w:rPr>
        <w:t>This harmonisation will support businesses that operate in both jurisdictions.</w:t>
      </w:r>
    </w:p>
    <w:p w14:paraId="08D7D560" w14:textId="76576A5A" w:rsidR="00D833E4" w:rsidRPr="00B7078B" w:rsidRDefault="00850310" w:rsidP="00DE12A5">
      <w:pPr>
        <w:rPr>
          <w:rFonts w:ascii="Arial" w:eastAsiaTheme="majorEastAsia" w:hAnsi="Arial" w:cs="Arial"/>
          <w:b/>
          <w:sz w:val="24"/>
          <w:szCs w:val="24"/>
        </w:rPr>
      </w:pPr>
      <w:r w:rsidRPr="00B7078B">
        <w:rPr>
          <w:rFonts w:ascii="Arial" w:eastAsiaTheme="majorEastAsia" w:hAnsi="Arial" w:cs="Arial"/>
          <w:b/>
          <w:sz w:val="24"/>
          <w:szCs w:val="24"/>
        </w:rPr>
        <w:lastRenderedPageBreak/>
        <w:t xml:space="preserve">Clauses </w:t>
      </w:r>
      <w:r w:rsidR="00601738" w:rsidRPr="00B7078B">
        <w:rPr>
          <w:rFonts w:ascii="Arial" w:eastAsiaTheme="majorEastAsia" w:hAnsi="Arial" w:cs="Arial"/>
          <w:b/>
          <w:sz w:val="24"/>
          <w:szCs w:val="24"/>
        </w:rPr>
        <w:t>39</w:t>
      </w:r>
      <w:r w:rsidR="00D833E4" w:rsidRPr="00B7078B">
        <w:rPr>
          <w:rFonts w:ascii="Arial" w:eastAsiaTheme="majorEastAsia" w:hAnsi="Arial" w:cs="Arial"/>
          <w:b/>
          <w:sz w:val="24"/>
          <w:szCs w:val="24"/>
        </w:rPr>
        <w:t xml:space="preserve"> </w:t>
      </w:r>
      <w:r w:rsidR="00D661BD" w:rsidRPr="00B7078B">
        <w:rPr>
          <w:rFonts w:ascii="Arial" w:eastAsiaTheme="majorEastAsia" w:hAnsi="Arial" w:cs="Arial"/>
          <w:b/>
          <w:sz w:val="24"/>
          <w:szCs w:val="24"/>
        </w:rPr>
        <w:tab/>
      </w:r>
      <w:r w:rsidR="00C8274F" w:rsidRPr="00B7078B">
        <w:rPr>
          <w:rFonts w:ascii="Arial" w:eastAsiaTheme="majorEastAsia" w:hAnsi="Arial" w:cs="Arial"/>
          <w:b/>
          <w:sz w:val="24"/>
          <w:szCs w:val="24"/>
        </w:rPr>
        <w:t>Schedule 2, section 2.1 (2) and note</w:t>
      </w:r>
    </w:p>
    <w:p w14:paraId="2D2ED1E7" w14:textId="56B42046" w:rsidR="00D833E4" w:rsidRPr="00B7078B" w:rsidRDefault="00C8274F" w:rsidP="00DE12A5">
      <w:pPr>
        <w:rPr>
          <w:rFonts w:ascii="Arial" w:eastAsiaTheme="majorEastAsia" w:hAnsi="Arial" w:cs="Arial"/>
          <w:b/>
          <w:sz w:val="24"/>
          <w:szCs w:val="24"/>
        </w:rPr>
      </w:pPr>
      <w:r w:rsidRPr="00DB659E">
        <w:rPr>
          <w:rFonts w:ascii="Arial" w:hAnsi="Arial" w:cs="Arial"/>
        </w:rPr>
        <w:t>Clause 39 omits section 2.1 (2) and note as a consequence of the insertion of new section 164B (Incorporation of documents), outlined above in clause 35. Section 2.1 (2) was more specific to the disapplication of the Legislation Act section 47 (6) for AS/NZS 4012 and AS/NZS 4013</w:t>
      </w:r>
      <w:r w:rsidR="00D661BD" w:rsidRPr="00DB659E">
        <w:rPr>
          <w:rFonts w:ascii="Arial" w:hAnsi="Arial" w:cs="Arial"/>
        </w:rPr>
        <w:t>.</w:t>
      </w:r>
    </w:p>
    <w:p w14:paraId="354CA2C6" w14:textId="69C30DB4" w:rsidR="0051093B" w:rsidRPr="00B7078B" w:rsidRDefault="00D833E4" w:rsidP="007F4873">
      <w:pPr>
        <w:rPr>
          <w:rFonts w:ascii="Arial" w:eastAsiaTheme="majorEastAsia" w:hAnsi="Arial" w:cs="Arial"/>
          <w:b/>
          <w:sz w:val="24"/>
          <w:szCs w:val="24"/>
        </w:rPr>
      </w:pPr>
      <w:r w:rsidRPr="00B7078B">
        <w:rPr>
          <w:rFonts w:ascii="Arial" w:eastAsiaTheme="majorEastAsia" w:hAnsi="Arial" w:cs="Arial"/>
          <w:b/>
          <w:sz w:val="24"/>
          <w:szCs w:val="24"/>
        </w:rPr>
        <w:t>Clause</w:t>
      </w:r>
      <w:r w:rsidR="00722698" w:rsidRPr="00B7078B">
        <w:rPr>
          <w:rFonts w:ascii="Arial" w:eastAsiaTheme="majorEastAsia" w:hAnsi="Arial" w:cs="Arial"/>
          <w:b/>
          <w:sz w:val="24"/>
          <w:szCs w:val="24"/>
        </w:rPr>
        <w:t xml:space="preserve"> </w:t>
      </w:r>
      <w:r w:rsidR="001A288A" w:rsidRPr="00B7078B">
        <w:rPr>
          <w:rFonts w:ascii="Arial" w:eastAsiaTheme="majorEastAsia" w:hAnsi="Arial" w:cs="Arial"/>
          <w:b/>
          <w:sz w:val="24"/>
          <w:szCs w:val="24"/>
        </w:rPr>
        <w:t>4</w:t>
      </w:r>
      <w:r w:rsidR="00601738" w:rsidRPr="00B7078B">
        <w:rPr>
          <w:rFonts w:ascii="Arial" w:eastAsiaTheme="majorEastAsia" w:hAnsi="Arial" w:cs="Arial"/>
          <w:b/>
          <w:sz w:val="24"/>
          <w:szCs w:val="24"/>
        </w:rPr>
        <w:t>0</w:t>
      </w:r>
      <w:r w:rsidR="00850310" w:rsidRPr="00B7078B">
        <w:rPr>
          <w:rFonts w:ascii="Arial" w:eastAsiaTheme="majorEastAsia" w:hAnsi="Arial" w:cs="Arial"/>
          <w:b/>
          <w:sz w:val="24"/>
          <w:szCs w:val="24"/>
        </w:rPr>
        <w:tab/>
      </w:r>
      <w:r w:rsidR="00C8274F" w:rsidRPr="00B7078B">
        <w:rPr>
          <w:rFonts w:ascii="Arial" w:eastAsiaTheme="majorEastAsia" w:hAnsi="Arial" w:cs="Arial"/>
          <w:b/>
          <w:sz w:val="24"/>
          <w:szCs w:val="24"/>
        </w:rPr>
        <w:t xml:space="preserve">Schedule 2, section 2.4 </w:t>
      </w:r>
    </w:p>
    <w:p w14:paraId="3E39BC28" w14:textId="61F9750B" w:rsidR="007043EA" w:rsidRPr="00DB659E" w:rsidRDefault="0051093B" w:rsidP="007043EA">
      <w:pPr>
        <w:rPr>
          <w:rFonts w:ascii="Arial" w:hAnsi="Arial" w:cs="Arial"/>
        </w:rPr>
      </w:pPr>
      <w:r w:rsidRPr="00DB659E">
        <w:rPr>
          <w:rFonts w:ascii="Arial" w:hAnsi="Arial" w:cs="Arial"/>
        </w:rPr>
        <w:t xml:space="preserve">Clauses 40 schedule 2 </w:t>
      </w:r>
      <w:r w:rsidR="00601738" w:rsidRPr="00DB659E">
        <w:rPr>
          <w:rFonts w:ascii="Arial" w:hAnsi="Arial" w:cs="Arial"/>
        </w:rPr>
        <w:t>section 2.4</w:t>
      </w:r>
      <w:r w:rsidR="00817D4D" w:rsidRPr="00DB659E">
        <w:rPr>
          <w:rFonts w:ascii="Arial" w:hAnsi="Arial" w:cs="Arial"/>
        </w:rPr>
        <w:t xml:space="preserve"> (1)</w:t>
      </w:r>
      <w:r w:rsidR="00C8274F" w:rsidRPr="00DB659E">
        <w:rPr>
          <w:rFonts w:ascii="Arial" w:hAnsi="Arial" w:cs="Arial"/>
        </w:rPr>
        <w:t xml:space="preserve"> maintains the existing offence to sell a non-complaint wood heaters </w:t>
      </w:r>
      <w:r w:rsidR="00817D4D" w:rsidRPr="00DB659E">
        <w:rPr>
          <w:rFonts w:ascii="Arial" w:hAnsi="Arial" w:cs="Arial"/>
        </w:rPr>
        <w:t>and updates the provisions to align with the criminal code</w:t>
      </w:r>
      <w:r w:rsidR="007043EA" w:rsidRPr="00DB659E">
        <w:rPr>
          <w:rFonts w:ascii="Arial" w:hAnsi="Arial" w:cs="Arial"/>
        </w:rPr>
        <w:t>.</w:t>
      </w:r>
      <w:r w:rsidR="00817D4D" w:rsidRPr="00DB659E">
        <w:rPr>
          <w:rFonts w:ascii="Arial" w:hAnsi="Arial" w:cs="Arial"/>
        </w:rPr>
        <w:t xml:space="preserve"> </w:t>
      </w:r>
      <w:r w:rsidR="007043EA" w:rsidRPr="00DB659E">
        <w:rPr>
          <w:rFonts w:ascii="Arial" w:hAnsi="Arial" w:cs="Arial"/>
        </w:rPr>
        <w:t xml:space="preserve">This ensures that it aligns with the conventions of offences under the </w:t>
      </w:r>
      <w:r w:rsidR="007043EA" w:rsidRPr="00DB659E">
        <w:rPr>
          <w:rFonts w:ascii="Arial" w:hAnsi="Arial" w:cs="Arial"/>
          <w:i/>
          <w:iCs/>
        </w:rPr>
        <w:t>Criminal Code 2002</w:t>
      </w:r>
      <w:r w:rsidR="007043EA" w:rsidRPr="00DB659E">
        <w:rPr>
          <w:rFonts w:ascii="Arial" w:hAnsi="Arial" w:cs="Arial"/>
        </w:rPr>
        <w:t>. This includes setting the maximum penalty for the offence of sale at 30 penalty units. 30 penalty units currently corresponds to a maximum penalty of $4800 for an individual or $24,300 for a corporation because of the operation of section 133 of the Legislation Act. This amount reflects the seriousness of the behaviour of selling a piece of non-compliant equipment. Non-compliant equipment has a significant impact on human health because it emits more particulates. This has a significant impact on people with respiratory illness, particularly through repeated exposure when it is nearby to their home. This maximum penalty amount is also designed to deter repeat offences. This updated selling offence will continue to apply to retailers who sell this equipment, as well as to private sales. This is because the non-compliant equipment has the same impact on human health no matter who sells it.</w:t>
      </w:r>
    </w:p>
    <w:p w14:paraId="1162E22C" w14:textId="61B2909F" w:rsidR="007043EA" w:rsidRPr="00DB659E" w:rsidRDefault="007043EA" w:rsidP="007043EA">
      <w:pPr>
        <w:rPr>
          <w:rFonts w:ascii="Arial" w:hAnsi="Arial" w:cs="Arial"/>
        </w:rPr>
      </w:pPr>
      <w:r w:rsidRPr="00DB659E">
        <w:rPr>
          <w:rFonts w:ascii="Arial" w:hAnsi="Arial" w:cs="Arial"/>
        </w:rPr>
        <w:t xml:space="preserve">Clause 40 section 2.4(2) inserts a new offence of installing non-compliant wood heaters. Restricting non-complaint installations closes off a loophole in the existing scheme which would have potentially allowed old now non-compliant equipment to be reinstalled in another residential premise. This measure contributes to the improvement of air quality by taking non-compliant equipment out of circulation. </w:t>
      </w:r>
    </w:p>
    <w:p w14:paraId="198B6F0E" w14:textId="12CCB65F" w:rsidR="007043EA" w:rsidRPr="00DB659E" w:rsidRDefault="007043EA" w:rsidP="007043EA">
      <w:pPr>
        <w:rPr>
          <w:rFonts w:ascii="Arial" w:hAnsi="Arial" w:cs="Arial"/>
        </w:rPr>
      </w:pPr>
      <w:r w:rsidRPr="00DB659E">
        <w:rPr>
          <w:rFonts w:ascii="Arial" w:hAnsi="Arial" w:cs="Arial"/>
        </w:rPr>
        <w:t>This offence applies to a person installing a system themselves as well as an installation as part of a new build or renovation. As with the sale offence, this offence has the same penalty as the sale offence for non-compliant equipment has the same impact on human health no matter who installs it.</w:t>
      </w:r>
    </w:p>
    <w:p w14:paraId="153020FD" w14:textId="77777777" w:rsidR="007043EA" w:rsidRPr="00DB659E" w:rsidRDefault="007043EA" w:rsidP="007043EA">
      <w:pPr>
        <w:spacing w:after="0"/>
        <w:rPr>
          <w:rFonts w:ascii="Arial" w:hAnsi="Arial" w:cs="Arial"/>
        </w:rPr>
      </w:pPr>
      <w:r w:rsidRPr="00DB659E">
        <w:rPr>
          <w:rFonts w:ascii="Arial" w:hAnsi="Arial" w:cs="Arial"/>
        </w:rPr>
        <w:t>The offences of sale and installation of non-compliant equipment in section 2.4 of the EP Act compliment (and do not displace) other forms of regulation of wood heaters including:</w:t>
      </w:r>
    </w:p>
    <w:p w14:paraId="726E4686" w14:textId="77777777" w:rsidR="007043EA" w:rsidRPr="00DB659E" w:rsidRDefault="007043EA" w:rsidP="007043EA">
      <w:pPr>
        <w:spacing w:after="0"/>
        <w:rPr>
          <w:rFonts w:ascii="Arial" w:hAnsi="Arial" w:cs="Arial"/>
        </w:rPr>
      </w:pPr>
    </w:p>
    <w:p w14:paraId="0B9480DD" w14:textId="77777777" w:rsidR="007043EA" w:rsidRPr="00DB659E" w:rsidRDefault="007043EA" w:rsidP="007043EA">
      <w:pPr>
        <w:pStyle w:val="ListParagraph"/>
        <w:numPr>
          <w:ilvl w:val="0"/>
          <w:numId w:val="6"/>
        </w:numPr>
        <w:rPr>
          <w:rFonts w:ascii="Arial" w:hAnsi="Arial" w:cs="Arial"/>
        </w:rPr>
      </w:pPr>
      <w:r w:rsidRPr="00DB659E">
        <w:rPr>
          <w:rFonts w:ascii="Arial" w:hAnsi="Arial" w:cs="Arial"/>
        </w:rPr>
        <w:t xml:space="preserve">All installations require a building approval to cover that item; and </w:t>
      </w:r>
    </w:p>
    <w:p w14:paraId="5B204D44" w14:textId="77777777" w:rsidR="007043EA" w:rsidRPr="00DB659E" w:rsidRDefault="007043EA" w:rsidP="007043EA">
      <w:pPr>
        <w:pStyle w:val="ListParagraph"/>
        <w:numPr>
          <w:ilvl w:val="0"/>
          <w:numId w:val="6"/>
        </w:numPr>
        <w:rPr>
          <w:rFonts w:ascii="Arial" w:hAnsi="Arial" w:cs="Arial"/>
        </w:rPr>
      </w:pPr>
      <w:r w:rsidRPr="00DB659E">
        <w:rPr>
          <w:rFonts w:ascii="Arial" w:hAnsi="Arial" w:cs="Arial"/>
        </w:rPr>
        <w:t>Crown Leases and development conditions restrict the installation of wood heaters in Dunlop, East O’Malley and Molonglo (except Wright).</w:t>
      </w:r>
    </w:p>
    <w:p w14:paraId="0140FF46" w14:textId="77777777" w:rsidR="007043EA" w:rsidRPr="00DB659E" w:rsidRDefault="007043EA" w:rsidP="007043EA">
      <w:pPr>
        <w:pStyle w:val="ListParagraph"/>
        <w:ind w:left="360"/>
        <w:rPr>
          <w:rFonts w:ascii="Arial" w:hAnsi="Arial" w:cs="Arial"/>
        </w:rPr>
      </w:pPr>
    </w:p>
    <w:p w14:paraId="44D232BD" w14:textId="2EDC0AAA" w:rsidR="007043EA" w:rsidRPr="00DB659E" w:rsidRDefault="007043EA" w:rsidP="007043EA">
      <w:pPr>
        <w:rPr>
          <w:rFonts w:ascii="Arial" w:hAnsi="Arial" w:cs="Arial"/>
        </w:rPr>
      </w:pPr>
      <w:r w:rsidRPr="00DB659E">
        <w:rPr>
          <w:rFonts w:ascii="Arial" w:hAnsi="Arial" w:cs="Arial"/>
        </w:rPr>
        <w:t>These regulatory mechanisms continue to apply in addition to the offences of sale and installation of non-compliant equipment.</w:t>
      </w:r>
    </w:p>
    <w:p w14:paraId="48F3483A" w14:textId="20B76B65" w:rsidR="006928F9" w:rsidRPr="00DB659E" w:rsidRDefault="0051093B" w:rsidP="00DE12A5">
      <w:pPr>
        <w:rPr>
          <w:rFonts w:ascii="Arial" w:hAnsi="Arial" w:cs="Arial"/>
        </w:rPr>
      </w:pPr>
      <w:r w:rsidRPr="00DB659E">
        <w:rPr>
          <w:rFonts w:ascii="Arial" w:hAnsi="Arial" w:cs="Arial"/>
        </w:rPr>
        <w:t>Clause 40</w:t>
      </w:r>
      <w:r w:rsidR="00817D4D" w:rsidRPr="00DB659E">
        <w:rPr>
          <w:rFonts w:ascii="Arial" w:hAnsi="Arial" w:cs="Arial"/>
        </w:rPr>
        <w:t xml:space="preserve"> section 2.4(</w:t>
      </w:r>
      <w:r w:rsidR="007043EA" w:rsidRPr="00DB659E">
        <w:rPr>
          <w:rFonts w:ascii="Arial" w:hAnsi="Arial" w:cs="Arial"/>
        </w:rPr>
        <w:t>3</w:t>
      </w:r>
      <w:r w:rsidR="00817D4D" w:rsidRPr="00DB659E">
        <w:rPr>
          <w:rFonts w:ascii="Arial" w:hAnsi="Arial" w:cs="Arial"/>
        </w:rPr>
        <w:t>) details the requirements that apply to a wood heater sold or installed on residential premises in relation to the efficiency and emission testing required for the wood heater to be certified in accordance with AS4012 (efficient) and AS 4013 (emissions) and the efficient and emission standards detailed in the AS4012 and AS 4013.</w:t>
      </w:r>
    </w:p>
    <w:p w14:paraId="3826B3E2" w14:textId="77777777" w:rsidR="006928F9" w:rsidRPr="00DB659E" w:rsidRDefault="006928F9" w:rsidP="006928F9">
      <w:pPr>
        <w:rPr>
          <w:rFonts w:ascii="Arial" w:hAnsi="Arial" w:cs="Arial"/>
        </w:rPr>
      </w:pPr>
      <w:r w:rsidRPr="00DB659E">
        <w:rPr>
          <w:rFonts w:ascii="Arial" w:hAnsi="Arial" w:cs="Arial"/>
        </w:rPr>
        <w:t>Section 2.4 (4)(a) provides that a regulation can exempt some equipment that would otherwise be subject to the sale and install offences.</w:t>
      </w:r>
    </w:p>
    <w:p w14:paraId="7C8AE075" w14:textId="09B30DB9" w:rsidR="00817D4D" w:rsidRPr="00DB659E" w:rsidRDefault="006928F9" w:rsidP="00DE12A5">
      <w:pPr>
        <w:rPr>
          <w:rFonts w:ascii="Arial" w:hAnsi="Arial" w:cs="Arial"/>
        </w:rPr>
      </w:pPr>
      <w:r w:rsidRPr="00DB659E">
        <w:rPr>
          <w:rFonts w:ascii="Arial" w:hAnsi="Arial" w:cs="Arial"/>
        </w:rPr>
        <w:lastRenderedPageBreak/>
        <w:t>Section 2.4 (4)(b) maintains the exception of reasonable excuse as defences to the sale and install offences. This is to ensure, as was the existing case, that if an unexpected or unforeseen circumstances was to arise a person may not be liable. Considering the wide range of circumstance which could apply in both selling or installing a wood heater including the condition of the wood heater the defence is deemed appropriate as is difficult to anticipate the justifiable excuses that may arise, and it is impractical to attempt to specify them.</w:t>
      </w:r>
    </w:p>
    <w:p w14:paraId="368E8E7C" w14:textId="01D6C69D" w:rsidR="009D2874" w:rsidRPr="00DB659E" w:rsidRDefault="009D2874" w:rsidP="00DE12A5">
      <w:pPr>
        <w:rPr>
          <w:rFonts w:ascii="Arial" w:hAnsi="Arial" w:cs="Arial"/>
        </w:rPr>
      </w:pPr>
      <w:r w:rsidRPr="00DB659E">
        <w:rPr>
          <w:rFonts w:ascii="Arial" w:hAnsi="Arial" w:cs="Arial"/>
        </w:rPr>
        <w:t xml:space="preserve">Clause 40 section 2.4(5) provides that the Authority may declare an entity to be a certified entity. This could be the </w:t>
      </w:r>
      <w:r w:rsidR="007043EA" w:rsidRPr="00DB659E">
        <w:rPr>
          <w:rFonts w:ascii="Arial" w:hAnsi="Arial" w:cs="Arial"/>
        </w:rPr>
        <w:t>person</w:t>
      </w:r>
      <w:r w:rsidRPr="00DB659E">
        <w:rPr>
          <w:rFonts w:ascii="Arial" w:hAnsi="Arial" w:cs="Arial"/>
        </w:rPr>
        <w:t xml:space="preserve"> that undertakes the testing of the wood heaters in accordance with AS 4012 and AS4013 and issues a certificate of compliance which details the efficiency and emissions for a particular wood heater model.</w:t>
      </w:r>
    </w:p>
    <w:p w14:paraId="192A2901" w14:textId="543B1572" w:rsidR="009D2874" w:rsidRPr="00DB659E" w:rsidRDefault="009D2874" w:rsidP="00DE12A5">
      <w:pPr>
        <w:rPr>
          <w:rFonts w:ascii="Arial" w:hAnsi="Arial" w:cs="Arial"/>
        </w:rPr>
      </w:pPr>
      <w:r w:rsidRPr="00DB659E">
        <w:rPr>
          <w:rFonts w:ascii="Arial" w:hAnsi="Arial" w:cs="Arial"/>
        </w:rPr>
        <w:t>Clause 40 section 2.4(6) provides that a declaration under section 2.4(5) is a disallowable instrument.</w:t>
      </w:r>
    </w:p>
    <w:p w14:paraId="1FF530B6" w14:textId="50D356C2" w:rsidR="003F6B0E" w:rsidRPr="00DB659E" w:rsidRDefault="009D2874" w:rsidP="00D661BD">
      <w:pPr>
        <w:rPr>
          <w:rFonts w:ascii="Arial" w:hAnsi="Arial" w:cs="Arial"/>
        </w:rPr>
      </w:pPr>
      <w:r w:rsidRPr="00DB659E">
        <w:rPr>
          <w:rFonts w:ascii="Arial" w:hAnsi="Arial" w:cs="Arial"/>
        </w:rPr>
        <w:t>Clause 40 section 2.4(7) inserts a definition for a certifying entity.</w:t>
      </w:r>
    </w:p>
    <w:p w14:paraId="2399F732" w14:textId="77777777" w:rsidR="007F4873" w:rsidRPr="00B7078B" w:rsidRDefault="001A288A" w:rsidP="003F6B0E">
      <w:pPr>
        <w:rPr>
          <w:rFonts w:ascii="Arial" w:eastAsiaTheme="majorEastAsia" w:hAnsi="Arial" w:cs="Arial"/>
          <w:b/>
          <w:sz w:val="24"/>
          <w:szCs w:val="24"/>
        </w:rPr>
      </w:pPr>
      <w:r w:rsidRPr="00B7078B">
        <w:rPr>
          <w:rFonts w:ascii="Arial" w:eastAsiaTheme="majorEastAsia" w:hAnsi="Arial" w:cs="Arial"/>
          <w:b/>
          <w:sz w:val="24"/>
          <w:szCs w:val="24"/>
        </w:rPr>
        <w:t>Clause 4</w:t>
      </w:r>
      <w:r w:rsidR="00BE5E13" w:rsidRPr="00B7078B">
        <w:rPr>
          <w:rFonts w:ascii="Arial" w:eastAsiaTheme="majorEastAsia" w:hAnsi="Arial" w:cs="Arial"/>
          <w:b/>
          <w:sz w:val="24"/>
          <w:szCs w:val="24"/>
        </w:rPr>
        <w:t>1</w:t>
      </w:r>
      <w:r w:rsidRPr="00B7078B">
        <w:rPr>
          <w:rFonts w:ascii="Arial" w:eastAsiaTheme="majorEastAsia" w:hAnsi="Arial" w:cs="Arial"/>
          <w:b/>
          <w:sz w:val="24"/>
          <w:szCs w:val="24"/>
        </w:rPr>
        <w:tab/>
        <w:t xml:space="preserve">Reviewable decisions </w:t>
      </w:r>
    </w:p>
    <w:p w14:paraId="39363148" w14:textId="7B2499BF" w:rsidR="001A288A" w:rsidRPr="00B7078B" w:rsidRDefault="007F4873" w:rsidP="007F4873">
      <w:pPr>
        <w:ind w:left="720" w:firstLine="720"/>
        <w:rPr>
          <w:rFonts w:ascii="Arial" w:eastAsiaTheme="majorEastAsia" w:hAnsi="Arial" w:cs="Arial"/>
          <w:b/>
          <w:sz w:val="24"/>
          <w:szCs w:val="24"/>
        </w:rPr>
      </w:pPr>
      <w:r w:rsidRPr="00B7078B">
        <w:rPr>
          <w:rFonts w:ascii="Arial" w:eastAsiaTheme="majorEastAsia" w:hAnsi="Arial" w:cs="Arial"/>
          <w:b/>
          <w:sz w:val="24"/>
          <w:szCs w:val="24"/>
        </w:rPr>
        <w:t>S</w:t>
      </w:r>
      <w:r w:rsidR="001A288A" w:rsidRPr="00B7078B">
        <w:rPr>
          <w:rFonts w:ascii="Arial" w:eastAsiaTheme="majorEastAsia" w:hAnsi="Arial" w:cs="Arial"/>
          <w:b/>
          <w:sz w:val="24"/>
          <w:szCs w:val="24"/>
        </w:rPr>
        <w:t xml:space="preserve">chedule </w:t>
      </w:r>
      <w:r w:rsidR="00BE5E13" w:rsidRPr="00B7078B">
        <w:rPr>
          <w:rFonts w:ascii="Arial" w:eastAsiaTheme="majorEastAsia" w:hAnsi="Arial" w:cs="Arial"/>
          <w:b/>
          <w:sz w:val="24"/>
          <w:szCs w:val="24"/>
        </w:rPr>
        <w:t>3</w:t>
      </w:r>
      <w:r w:rsidR="001A288A" w:rsidRPr="00B7078B">
        <w:rPr>
          <w:rFonts w:ascii="Arial" w:eastAsiaTheme="majorEastAsia" w:hAnsi="Arial" w:cs="Arial"/>
          <w:b/>
          <w:sz w:val="24"/>
          <w:szCs w:val="24"/>
        </w:rPr>
        <w:t xml:space="preserve">, item 1 </w:t>
      </w:r>
    </w:p>
    <w:p w14:paraId="52F98E98" w14:textId="5B406256" w:rsidR="009551B3" w:rsidRPr="00DB659E" w:rsidRDefault="001A288A" w:rsidP="00DE12A5">
      <w:pPr>
        <w:rPr>
          <w:rFonts w:ascii="Arial" w:hAnsi="Arial" w:cs="Arial"/>
        </w:rPr>
      </w:pPr>
      <w:r w:rsidRPr="00DB659E">
        <w:rPr>
          <w:rFonts w:ascii="Arial" w:hAnsi="Arial" w:cs="Arial"/>
        </w:rPr>
        <w:t>Clause 4</w:t>
      </w:r>
      <w:r w:rsidR="00BE5E13" w:rsidRPr="00DB659E">
        <w:rPr>
          <w:rFonts w:ascii="Arial" w:hAnsi="Arial" w:cs="Arial"/>
        </w:rPr>
        <w:t>1</w:t>
      </w:r>
      <w:r w:rsidRPr="00DB659E">
        <w:rPr>
          <w:rFonts w:ascii="Arial" w:hAnsi="Arial" w:cs="Arial"/>
        </w:rPr>
        <w:t xml:space="preserve"> updates the drafting of the reviewable decision listed in schedule 3 to align with the re-drafted section 21</w:t>
      </w:r>
      <w:r w:rsidR="00BE5E13" w:rsidRPr="00DB659E">
        <w:rPr>
          <w:rFonts w:ascii="Arial" w:hAnsi="Arial" w:cs="Arial"/>
        </w:rPr>
        <w:t>(4)</w:t>
      </w:r>
      <w:r w:rsidRPr="00DB659E">
        <w:rPr>
          <w:rFonts w:ascii="Arial" w:hAnsi="Arial" w:cs="Arial"/>
        </w:rPr>
        <w:t xml:space="preserve"> (as provided in clause 19).</w:t>
      </w:r>
    </w:p>
    <w:p w14:paraId="7C884EF5" w14:textId="4D017A00" w:rsidR="00E1431C" w:rsidRPr="00B7078B" w:rsidRDefault="00E1431C" w:rsidP="00E1431C">
      <w:pPr>
        <w:pStyle w:val="Heading3"/>
        <w:rPr>
          <w:rFonts w:cs="Arial"/>
        </w:rPr>
      </w:pPr>
      <w:r w:rsidRPr="00B7078B">
        <w:rPr>
          <w:rFonts w:cs="Arial"/>
        </w:rPr>
        <w:t>Part 3</w:t>
      </w:r>
      <w:r w:rsidRPr="00B7078B">
        <w:rPr>
          <w:rFonts w:cs="Arial"/>
        </w:rPr>
        <w:tab/>
      </w:r>
      <w:r w:rsidRPr="00B7078B">
        <w:rPr>
          <w:rFonts w:cs="Arial"/>
        </w:rPr>
        <w:tab/>
        <w:t>Environment Protection Regulation 2005</w:t>
      </w:r>
    </w:p>
    <w:p w14:paraId="0F92D6AD" w14:textId="143CFBB3" w:rsidR="006928F9" w:rsidRPr="00B7078B" w:rsidRDefault="00E1431C" w:rsidP="006928F9">
      <w:pPr>
        <w:pStyle w:val="Heading3"/>
        <w:rPr>
          <w:rFonts w:cs="Arial"/>
        </w:rPr>
      </w:pPr>
      <w:r w:rsidRPr="00B7078B">
        <w:rPr>
          <w:rFonts w:cs="Arial"/>
        </w:rPr>
        <w:t xml:space="preserve">Clause </w:t>
      </w:r>
      <w:r w:rsidR="008945BA" w:rsidRPr="00B7078B">
        <w:rPr>
          <w:rFonts w:cs="Arial"/>
        </w:rPr>
        <w:t>4</w:t>
      </w:r>
      <w:r w:rsidR="00BE5E13" w:rsidRPr="00B7078B">
        <w:rPr>
          <w:rFonts w:cs="Arial"/>
        </w:rPr>
        <w:t>2</w:t>
      </w:r>
      <w:r w:rsidRPr="00B7078B">
        <w:rPr>
          <w:rFonts w:cs="Arial"/>
        </w:rPr>
        <w:tab/>
      </w:r>
      <w:r w:rsidR="006928F9" w:rsidRPr="00B7078B">
        <w:rPr>
          <w:rFonts w:cs="Arial"/>
        </w:rPr>
        <w:t>Section 14B heading</w:t>
      </w:r>
      <w:r w:rsidR="006928F9" w:rsidRPr="00B7078B">
        <w:rPr>
          <w:rFonts w:cs="Arial"/>
          <w:b w:val="0"/>
          <w:bCs/>
          <w:sz w:val="23"/>
          <w:szCs w:val="23"/>
        </w:rPr>
        <w:t xml:space="preserve"> </w:t>
      </w:r>
    </w:p>
    <w:p w14:paraId="74D8BF61" w14:textId="0FCBA8C8" w:rsidR="00E1431C" w:rsidRPr="00DB659E" w:rsidRDefault="006928F9" w:rsidP="00E1431C">
      <w:pPr>
        <w:rPr>
          <w:rFonts w:ascii="Arial" w:hAnsi="Arial" w:cs="Arial"/>
        </w:rPr>
      </w:pPr>
      <w:r w:rsidRPr="00DB659E">
        <w:rPr>
          <w:rFonts w:ascii="Arial" w:hAnsi="Arial" w:cs="Arial"/>
        </w:rPr>
        <w:t xml:space="preserve">Clause 42 substitutes the heading for section 14B with </w:t>
      </w:r>
      <w:r w:rsidR="00D13D93" w:rsidRPr="00DB659E">
        <w:rPr>
          <w:rFonts w:ascii="Arial" w:hAnsi="Arial" w:cs="Arial"/>
        </w:rPr>
        <w:t>‘</w:t>
      </w:r>
      <w:r w:rsidRPr="00DB659E">
        <w:rPr>
          <w:rFonts w:ascii="Arial" w:hAnsi="Arial" w:cs="Arial"/>
        </w:rPr>
        <w:t>Minimum overall average efficiency—Act, sch 2, s 2.4 (3) (a) (ii)</w:t>
      </w:r>
      <w:r w:rsidR="00D13D93" w:rsidRPr="00DB659E">
        <w:rPr>
          <w:rFonts w:ascii="Arial" w:hAnsi="Arial" w:cs="Arial"/>
        </w:rPr>
        <w:t>’</w:t>
      </w:r>
      <w:r w:rsidRPr="00DB659E">
        <w:rPr>
          <w:rFonts w:ascii="Arial" w:hAnsi="Arial" w:cs="Arial"/>
        </w:rPr>
        <w:t xml:space="preserve"> </w:t>
      </w:r>
      <w:r w:rsidR="00D13D93" w:rsidRPr="00DB659E">
        <w:rPr>
          <w:rFonts w:ascii="Arial" w:hAnsi="Arial" w:cs="Arial"/>
        </w:rPr>
        <w:t>to cross reference the updated provisions in the EP Act that relate to the efficiency for a wood heater.</w:t>
      </w:r>
    </w:p>
    <w:p w14:paraId="5A040C55" w14:textId="6C477DCA" w:rsidR="00D13D93" w:rsidRPr="00B7078B" w:rsidRDefault="008945BA" w:rsidP="008945BA">
      <w:pPr>
        <w:pStyle w:val="Heading3"/>
        <w:rPr>
          <w:rFonts w:cs="Arial"/>
        </w:rPr>
      </w:pPr>
      <w:r w:rsidRPr="00B7078B">
        <w:rPr>
          <w:rFonts w:cs="Arial"/>
        </w:rPr>
        <w:t>Clause 4</w:t>
      </w:r>
      <w:r w:rsidR="00BE5E13" w:rsidRPr="00B7078B">
        <w:rPr>
          <w:rFonts w:cs="Arial"/>
        </w:rPr>
        <w:t>3</w:t>
      </w:r>
      <w:r w:rsidRPr="00B7078B">
        <w:rPr>
          <w:rFonts w:cs="Arial"/>
        </w:rPr>
        <w:tab/>
      </w:r>
      <w:r w:rsidR="00D13D93" w:rsidRPr="00B7078B">
        <w:rPr>
          <w:rFonts w:cs="Arial"/>
        </w:rPr>
        <w:t>Section 14B</w:t>
      </w:r>
    </w:p>
    <w:p w14:paraId="73D709FF" w14:textId="3AE68E6F" w:rsidR="00D13D93" w:rsidRPr="00DB659E" w:rsidRDefault="00D13D93" w:rsidP="00D13D93">
      <w:pPr>
        <w:rPr>
          <w:rFonts w:ascii="Arial" w:hAnsi="Arial" w:cs="Arial"/>
        </w:rPr>
      </w:pPr>
      <w:r w:rsidRPr="00DB659E">
        <w:rPr>
          <w:rFonts w:ascii="Arial" w:hAnsi="Arial" w:cs="Arial"/>
        </w:rPr>
        <w:t>Clause 43 corrects the definition in AS4012 for efficiency by including the word average after overall as AS4012 refers to a minimum overall average efficiency.</w:t>
      </w:r>
    </w:p>
    <w:p w14:paraId="5EEF20EF" w14:textId="38FA5338" w:rsidR="00D13D93" w:rsidRPr="00B7078B" w:rsidRDefault="00D13D93" w:rsidP="008945BA">
      <w:pPr>
        <w:pStyle w:val="Heading3"/>
        <w:rPr>
          <w:rFonts w:cs="Arial"/>
        </w:rPr>
      </w:pPr>
      <w:r w:rsidRPr="00B7078B">
        <w:rPr>
          <w:rFonts w:cs="Arial"/>
        </w:rPr>
        <w:t xml:space="preserve">Clause 44 </w:t>
      </w:r>
      <w:r w:rsidR="00D661BD" w:rsidRPr="00B7078B">
        <w:rPr>
          <w:rFonts w:cs="Arial"/>
        </w:rPr>
        <w:tab/>
      </w:r>
      <w:r w:rsidRPr="00B7078B">
        <w:rPr>
          <w:rFonts w:cs="Arial"/>
        </w:rPr>
        <w:t xml:space="preserve">Section 14C heading </w:t>
      </w:r>
    </w:p>
    <w:p w14:paraId="29733A62" w14:textId="57A7AD0A" w:rsidR="00D13D93" w:rsidRPr="00DB659E" w:rsidRDefault="00D13D93" w:rsidP="00D13D93">
      <w:pPr>
        <w:rPr>
          <w:rFonts w:ascii="Arial" w:hAnsi="Arial" w:cs="Arial"/>
        </w:rPr>
      </w:pPr>
      <w:r w:rsidRPr="00DB659E">
        <w:rPr>
          <w:rFonts w:ascii="Arial" w:hAnsi="Arial" w:cs="Arial"/>
        </w:rPr>
        <w:t>Clause 44 substitutes the heading for section 14C with ‘Maximum appliance particulate emission factor—Act, sch 2, s 2.4 (3) (b) (ii)’ to cross reference the updated provisions in the EP Act that relate to the emission standard for a wood heater.</w:t>
      </w:r>
    </w:p>
    <w:p w14:paraId="52809223" w14:textId="45FF1F93" w:rsidR="00D13D93" w:rsidRPr="00B7078B" w:rsidRDefault="00D13D93" w:rsidP="007F4873">
      <w:pPr>
        <w:pStyle w:val="Heading3"/>
        <w:ind w:left="1440" w:hanging="1440"/>
        <w:rPr>
          <w:rFonts w:cs="Arial"/>
        </w:rPr>
      </w:pPr>
      <w:r w:rsidRPr="00B7078B">
        <w:rPr>
          <w:rFonts w:cs="Arial"/>
        </w:rPr>
        <w:t xml:space="preserve">Clause 45 </w:t>
      </w:r>
      <w:r w:rsidR="00D661BD" w:rsidRPr="00B7078B">
        <w:rPr>
          <w:rFonts w:cs="Arial"/>
        </w:rPr>
        <w:tab/>
      </w:r>
      <w:r w:rsidRPr="00B7078B">
        <w:rPr>
          <w:rFonts w:cs="Arial"/>
        </w:rPr>
        <w:t xml:space="preserve">Definitions for pt 3 Section 21, definition of </w:t>
      </w:r>
      <w:r w:rsidRPr="00B7078B">
        <w:rPr>
          <w:rFonts w:cs="Arial"/>
          <w:i/>
          <w:iCs/>
        </w:rPr>
        <w:t>affected person</w:t>
      </w:r>
      <w:r w:rsidRPr="00B7078B">
        <w:rPr>
          <w:rFonts w:cs="Arial"/>
        </w:rPr>
        <w:t xml:space="preserve">, </w:t>
      </w:r>
      <w:r w:rsidR="007F4873" w:rsidRPr="00B7078B">
        <w:rPr>
          <w:rFonts w:cs="Arial"/>
        </w:rPr>
        <w:t xml:space="preserve">paragraph (b), </w:t>
      </w:r>
      <w:r w:rsidRPr="00B7078B">
        <w:rPr>
          <w:rFonts w:cs="Arial"/>
        </w:rPr>
        <w:t>note</w:t>
      </w:r>
    </w:p>
    <w:p w14:paraId="19FC0A5E" w14:textId="166DF846" w:rsidR="00D13D93" w:rsidRPr="00DB659E" w:rsidRDefault="00D661BD" w:rsidP="00D13D93">
      <w:pPr>
        <w:rPr>
          <w:rFonts w:ascii="Arial" w:hAnsi="Arial" w:cs="Arial"/>
        </w:rPr>
      </w:pPr>
      <w:r w:rsidRPr="00DB659E">
        <w:rPr>
          <w:rFonts w:ascii="Arial" w:hAnsi="Arial" w:cs="Arial"/>
        </w:rPr>
        <w:t xml:space="preserve">Clause 45 omits the Part 3 section 21 note for the definition of an affected person </w:t>
      </w:r>
      <w:r w:rsidR="007F4873" w:rsidRPr="00DB659E">
        <w:rPr>
          <w:rFonts w:ascii="Arial" w:hAnsi="Arial" w:cs="Arial"/>
        </w:rPr>
        <w:t>because of</w:t>
      </w:r>
      <w:r w:rsidRPr="00DB659E">
        <w:rPr>
          <w:rFonts w:ascii="Arial" w:hAnsi="Arial" w:cs="Arial"/>
        </w:rPr>
        <w:t xml:space="preserve"> the insertion of new section 164B (Incorporation of documents), outlined above in clause 35. </w:t>
      </w:r>
    </w:p>
    <w:p w14:paraId="38D55653" w14:textId="77777777" w:rsidR="007F4873" w:rsidRPr="00B7078B" w:rsidRDefault="00D661BD" w:rsidP="00D661BD">
      <w:pPr>
        <w:pStyle w:val="Heading3"/>
        <w:rPr>
          <w:rFonts w:cs="Arial"/>
        </w:rPr>
      </w:pPr>
      <w:r w:rsidRPr="00B7078B">
        <w:rPr>
          <w:rFonts w:cs="Arial"/>
        </w:rPr>
        <w:lastRenderedPageBreak/>
        <w:t>Clause 46</w:t>
      </w:r>
      <w:r w:rsidRPr="00B7078B">
        <w:rPr>
          <w:rFonts w:cs="Arial"/>
        </w:rPr>
        <w:tab/>
        <w:t xml:space="preserve">Sale and hiring of things </w:t>
      </w:r>
    </w:p>
    <w:p w14:paraId="02670845" w14:textId="13DA4D54" w:rsidR="00D661BD" w:rsidRPr="00B7078B" w:rsidRDefault="00D661BD" w:rsidP="007F4873">
      <w:pPr>
        <w:pStyle w:val="Heading3"/>
        <w:ind w:left="720" w:firstLine="720"/>
        <w:rPr>
          <w:rFonts w:cs="Arial"/>
        </w:rPr>
      </w:pPr>
      <w:r w:rsidRPr="00B7078B">
        <w:rPr>
          <w:rFonts w:cs="Arial"/>
        </w:rPr>
        <w:t>Section 40 (1), new note 2</w:t>
      </w:r>
    </w:p>
    <w:p w14:paraId="6F1F41C0" w14:textId="6964D3A9" w:rsidR="00D661BD" w:rsidRPr="00DB659E" w:rsidRDefault="00D661BD" w:rsidP="00D13D93">
      <w:pPr>
        <w:rPr>
          <w:rFonts w:ascii="Arial" w:hAnsi="Arial" w:cs="Arial"/>
        </w:rPr>
      </w:pPr>
      <w:r w:rsidRPr="00DB659E">
        <w:rPr>
          <w:rFonts w:ascii="Arial" w:hAnsi="Arial" w:cs="Arial"/>
        </w:rPr>
        <w:t xml:space="preserve">Clause 46 </w:t>
      </w:r>
      <w:r w:rsidR="007F4873" w:rsidRPr="00DB659E">
        <w:rPr>
          <w:rFonts w:ascii="Arial" w:hAnsi="Arial" w:cs="Arial"/>
        </w:rPr>
        <w:t xml:space="preserve">inserts a new </w:t>
      </w:r>
      <w:r w:rsidRPr="00DB659E">
        <w:rPr>
          <w:rFonts w:ascii="Arial" w:hAnsi="Arial" w:cs="Arial"/>
        </w:rPr>
        <w:t>note to</w:t>
      </w:r>
      <w:r w:rsidR="006C6342" w:rsidRPr="00DB659E">
        <w:rPr>
          <w:rFonts w:ascii="Arial" w:hAnsi="Arial" w:cs="Arial"/>
        </w:rPr>
        <w:t xml:space="preserve"> detail that</w:t>
      </w:r>
      <w:r w:rsidRPr="00DB659E">
        <w:rPr>
          <w:rFonts w:ascii="Arial" w:hAnsi="Arial" w:cs="Arial"/>
        </w:rPr>
        <w:t xml:space="preserve"> </w:t>
      </w:r>
      <w:r w:rsidR="006C6342" w:rsidRPr="00DB659E">
        <w:rPr>
          <w:rFonts w:ascii="Arial" w:hAnsi="Arial" w:cs="Arial"/>
        </w:rPr>
        <w:t>notification of the NSW legislation referenced does not need to be notified under the Legislation Act as a consequence of the insertion of new section 164B (Incorporation of documents), outlined above in clause 35.</w:t>
      </w:r>
    </w:p>
    <w:p w14:paraId="7BF55579" w14:textId="5C18E876" w:rsidR="00D661BD" w:rsidRPr="00B7078B" w:rsidRDefault="006C6342" w:rsidP="007F4873">
      <w:pPr>
        <w:pStyle w:val="Heading3"/>
        <w:ind w:left="2160" w:hanging="2160"/>
        <w:rPr>
          <w:rFonts w:cs="Arial"/>
        </w:rPr>
      </w:pPr>
      <w:r w:rsidRPr="00B7078B">
        <w:rPr>
          <w:rFonts w:cs="Arial"/>
        </w:rPr>
        <w:t xml:space="preserve">Clauses 47 </w:t>
      </w:r>
      <w:r w:rsidR="000E01F5" w:rsidRPr="00B7078B">
        <w:rPr>
          <w:rFonts w:cs="Arial"/>
        </w:rPr>
        <w:t>to</w:t>
      </w:r>
      <w:r w:rsidRPr="00B7078B">
        <w:rPr>
          <w:rFonts w:cs="Arial"/>
        </w:rPr>
        <w:t xml:space="preserve"> 48</w:t>
      </w:r>
      <w:r w:rsidRPr="00B7078B">
        <w:rPr>
          <w:rFonts w:cs="Arial"/>
        </w:rPr>
        <w:tab/>
        <w:t xml:space="preserve">Section 40 (3), note and Definitions—pt 6 Section 53, definition of </w:t>
      </w:r>
      <w:r w:rsidRPr="00B7078B">
        <w:rPr>
          <w:rFonts w:cs="Arial"/>
          <w:i/>
          <w:iCs/>
        </w:rPr>
        <w:t>agvet code</w:t>
      </w:r>
      <w:r w:rsidRPr="00B7078B">
        <w:rPr>
          <w:rFonts w:cs="Arial"/>
        </w:rPr>
        <w:t>, note 2</w:t>
      </w:r>
    </w:p>
    <w:p w14:paraId="21D649F4" w14:textId="21D97E79" w:rsidR="006C6342" w:rsidRPr="00DB659E" w:rsidRDefault="006C6342" w:rsidP="006C6342">
      <w:pPr>
        <w:rPr>
          <w:rFonts w:ascii="Arial" w:hAnsi="Arial" w:cs="Arial"/>
        </w:rPr>
      </w:pPr>
      <w:r w:rsidRPr="00DB659E">
        <w:rPr>
          <w:rFonts w:ascii="Arial" w:hAnsi="Arial" w:cs="Arial"/>
        </w:rPr>
        <w:t>Clause</w:t>
      </w:r>
      <w:r w:rsidR="00AB20E5" w:rsidRPr="00DB659E">
        <w:rPr>
          <w:rFonts w:ascii="Arial" w:hAnsi="Arial" w:cs="Arial"/>
        </w:rPr>
        <w:t xml:space="preserve">s </w:t>
      </w:r>
      <w:r w:rsidRPr="00DB659E">
        <w:rPr>
          <w:rFonts w:ascii="Arial" w:hAnsi="Arial" w:cs="Arial"/>
        </w:rPr>
        <w:t>47 and 48 update note 2 under the definition of the agvet code to provide that notification of the Commonwealth legislation referenced does not need to be notified under the Legislation Act as a consequence of the insertion of new section 164B (Incorporation of documents), outlined above in clause 35.</w:t>
      </w:r>
    </w:p>
    <w:p w14:paraId="4D0B2A76" w14:textId="77777777" w:rsidR="007F4873" w:rsidRPr="00B7078B" w:rsidRDefault="006C6342" w:rsidP="006C6342">
      <w:pPr>
        <w:pStyle w:val="Heading3"/>
        <w:rPr>
          <w:rFonts w:cs="Arial"/>
        </w:rPr>
      </w:pPr>
      <w:r w:rsidRPr="00B7078B">
        <w:rPr>
          <w:rFonts w:cs="Arial"/>
        </w:rPr>
        <w:t xml:space="preserve">Clause 49 </w:t>
      </w:r>
      <w:r w:rsidRPr="00B7078B">
        <w:rPr>
          <w:rFonts w:cs="Arial"/>
        </w:rPr>
        <w:tab/>
        <w:t xml:space="preserve">Definitions—div 6.4 </w:t>
      </w:r>
    </w:p>
    <w:p w14:paraId="08C10C97" w14:textId="429AF08D" w:rsidR="006C6342" w:rsidRPr="00B7078B" w:rsidRDefault="006C6342" w:rsidP="007F4873">
      <w:pPr>
        <w:pStyle w:val="Heading3"/>
        <w:ind w:left="1440"/>
        <w:rPr>
          <w:rFonts w:cs="Arial"/>
        </w:rPr>
      </w:pPr>
      <w:r w:rsidRPr="00B7078B">
        <w:rPr>
          <w:rFonts w:cs="Arial"/>
        </w:rPr>
        <w:t xml:space="preserve">Section 55C, definition of </w:t>
      </w:r>
      <w:r w:rsidRPr="00B7078B">
        <w:rPr>
          <w:rFonts w:cs="Arial"/>
          <w:i/>
          <w:iCs/>
        </w:rPr>
        <w:t>registered training organisation</w:t>
      </w:r>
      <w:r w:rsidRPr="00B7078B">
        <w:rPr>
          <w:rFonts w:cs="Arial"/>
        </w:rPr>
        <w:t>, new note</w:t>
      </w:r>
    </w:p>
    <w:p w14:paraId="2C870E05" w14:textId="34EC1D53" w:rsidR="006C6342" w:rsidRPr="00DB659E" w:rsidRDefault="006C6342" w:rsidP="006C6342">
      <w:pPr>
        <w:rPr>
          <w:rFonts w:ascii="Arial" w:hAnsi="Arial" w:cs="Arial"/>
        </w:rPr>
      </w:pPr>
      <w:r w:rsidRPr="00DB659E">
        <w:rPr>
          <w:rFonts w:ascii="Arial" w:hAnsi="Arial" w:cs="Arial"/>
        </w:rPr>
        <w:t>Clause 49 inserts a new note detailing that the Commonwealth legislation referenced does not need to be notified under the Legislation Act as a consequence of the insertion of new section 164B (Incorporation of documents), outlined above in clause 35.</w:t>
      </w:r>
    </w:p>
    <w:p w14:paraId="0C10316D" w14:textId="77777777" w:rsidR="000E01F5" w:rsidRPr="00B7078B" w:rsidRDefault="000E01F5" w:rsidP="006C6342">
      <w:pPr>
        <w:rPr>
          <w:rFonts w:ascii="Arial" w:eastAsiaTheme="majorEastAsia" w:hAnsi="Arial" w:cs="Arial"/>
          <w:b/>
          <w:sz w:val="24"/>
          <w:szCs w:val="24"/>
        </w:rPr>
      </w:pPr>
    </w:p>
    <w:p w14:paraId="76007B90" w14:textId="77777777" w:rsidR="007F4873" w:rsidRPr="00B7078B" w:rsidRDefault="006C6342" w:rsidP="006C6342">
      <w:pPr>
        <w:rPr>
          <w:rFonts w:ascii="Arial" w:eastAsiaTheme="majorEastAsia" w:hAnsi="Arial" w:cs="Arial"/>
          <w:b/>
          <w:sz w:val="24"/>
          <w:szCs w:val="24"/>
        </w:rPr>
      </w:pPr>
      <w:r w:rsidRPr="00B7078B">
        <w:rPr>
          <w:rFonts w:ascii="Arial" w:eastAsiaTheme="majorEastAsia" w:hAnsi="Arial" w:cs="Arial"/>
          <w:b/>
          <w:sz w:val="24"/>
          <w:szCs w:val="24"/>
        </w:rPr>
        <w:t xml:space="preserve">Clause 50 </w:t>
      </w:r>
      <w:r w:rsidRPr="00B7078B">
        <w:rPr>
          <w:rFonts w:ascii="Arial" w:eastAsiaTheme="majorEastAsia" w:hAnsi="Arial" w:cs="Arial"/>
          <w:b/>
          <w:sz w:val="24"/>
          <w:szCs w:val="24"/>
        </w:rPr>
        <w:tab/>
        <w:t xml:space="preserve">Definitions for pt 7 </w:t>
      </w:r>
    </w:p>
    <w:p w14:paraId="7F8672A5" w14:textId="39BF2BCF" w:rsidR="006C6342" w:rsidRPr="00DB659E" w:rsidRDefault="006C6342" w:rsidP="007F4873">
      <w:pPr>
        <w:ind w:left="720" w:firstLine="720"/>
        <w:rPr>
          <w:rFonts w:ascii="Arial" w:hAnsi="Arial" w:cs="Arial"/>
          <w:b/>
          <w:bCs/>
          <w:sz w:val="23"/>
          <w:szCs w:val="23"/>
        </w:rPr>
      </w:pPr>
      <w:r w:rsidRPr="00B7078B">
        <w:rPr>
          <w:rFonts w:ascii="Arial" w:eastAsiaTheme="majorEastAsia" w:hAnsi="Arial" w:cs="Arial"/>
          <w:b/>
          <w:sz w:val="24"/>
          <w:szCs w:val="24"/>
        </w:rPr>
        <w:t xml:space="preserve">Section 56, definition of </w:t>
      </w:r>
      <w:r w:rsidRPr="00B7078B">
        <w:rPr>
          <w:rFonts w:ascii="Arial" w:eastAsiaTheme="majorEastAsia" w:hAnsi="Arial" w:cs="Arial"/>
          <w:b/>
          <w:i/>
          <w:iCs/>
          <w:sz w:val="24"/>
          <w:szCs w:val="24"/>
        </w:rPr>
        <w:t>NEPM</w:t>
      </w:r>
      <w:r w:rsidRPr="00B7078B">
        <w:rPr>
          <w:rFonts w:ascii="Arial" w:eastAsiaTheme="majorEastAsia" w:hAnsi="Arial" w:cs="Arial"/>
          <w:b/>
          <w:sz w:val="24"/>
          <w:szCs w:val="24"/>
        </w:rPr>
        <w:t>, notes 2 and 3</w:t>
      </w:r>
    </w:p>
    <w:p w14:paraId="080F0786" w14:textId="72188191" w:rsidR="004B14BC" w:rsidRPr="00DB659E" w:rsidRDefault="004B14BC" w:rsidP="004B14BC">
      <w:pPr>
        <w:rPr>
          <w:rFonts w:ascii="Arial" w:hAnsi="Arial" w:cs="Arial"/>
        </w:rPr>
      </w:pPr>
      <w:r w:rsidRPr="00DB659E">
        <w:rPr>
          <w:rFonts w:ascii="Arial" w:hAnsi="Arial" w:cs="Arial"/>
        </w:rPr>
        <w:t>Clause 50 updates notes 2 and 3 for the definition of a National Environment Protection Measure (NEPM) that it does not need to be notified under the Legislation Act as a consequence of the insertion of new section 164B (Incorporation of documents), outlined above in clause 35.</w:t>
      </w:r>
    </w:p>
    <w:p w14:paraId="39AC4C68" w14:textId="5C927340" w:rsidR="00AB20E5" w:rsidRPr="00DB659E" w:rsidRDefault="00AB20E5" w:rsidP="004B14BC">
      <w:pPr>
        <w:rPr>
          <w:rFonts w:ascii="Arial" w:hAnsi="Arial" w:cs="Arial"/>
        </w:rPr>
      </w:pPr>
      <w:r w:rsidRPr="00DB659E">
        <w:rPr>
          <w:rFonts w:ascii="Arial" w:hAnsi="Arial" w:cs="Arial"/>
        </w:rPr>
        <w:t xml:space="preserve">The substituted note also informs the reader that NEPMs are accessible </w:t>
      </w:r>
      <w:r w:rsidR="0029090B" w:rsidRPr="00DB659E">
        <w:rPr>
          <w:rFonts w:ascii="Arial" w:hAnsi="Arial" w:cs="Arial"/>
        </w:rPr>
        <w:t>at www.legislation.gov.au/F2007B01119/latest/versions</w:t>
      </w:r>
      <w:r w:rsidRPr="00DB659E">
        <w:rPr>
          <w:rFonts w:ascii="Arial" w:hAnsi="Arial" w:cs="Arial"/>
        </w:rPr>
        <w:t>. It updates the website for accessing a NEPM to the Commonwealth Federal Register of Legislation. This is the authoritative source of a NEPM because it is a Commonwealth legislative instrument.</w:t>
      </w:r>
    </w:p>
    <w:p w14:paraId="5DA73E68" w14:textId="77777777" w:rsidR="007F4873" w:rsidRPr="00B7078B" w:rsidRDefault="004B14BC" w:rsidP="006C6342">
      <w:pPr>
        <w:rPr>
          <w:rFonts w:ascii="Arial" w:eastAsiaTheme="majorEastAsia" w:hAnsi="Arial" w:cs="Arial"/>
          <w:b/>
          <w:sz w:val="24"/>
          <w:szCs w:val="24"/>
        </w:rPr>
      </w:pPr>
      <w:r w:rsidRPr="00B7078B">
        <w:rPr>
          <w:rFonts w:ascii="Arial" w:eastAsiaTheme="majorEastAsia" w:hAnsi="Arial" w:cs="Arial"/>
          <w:b/>
          <w:sz w:val="24"/>
          <w:szCs w:val="24"/>
        </w:rPr>
        <w:t xml:space="preserve">Clause 51 </w:t>
      </w:r>
      <w:r w:rsidRPr="00B7078B">
        <w:rPr>
          <w:rFonts w:ascii="Arial" w:eastAsiaTheme="majorEastAsia" w:hAnsi="Arial" w:cs="Arial"/>
          <w:b/>
          <w:sz w:val="24"/>
          <w:szCs w:val="24"/>
        </w:rPr>
        <w:tab/>
        <w:t xml:space="preserve">Application of div 7.2 </w:t>
      </w:r>
    </w:p>
    <w:p w14:paraId="0C9B3730" w14:textId="0B913B93" w:rsidR="004B14BC" w:rsidRPr="00B7078B" w:rsidRDefault="004B14BC" w:rsidP="007F4873">
      <w:pPr>
        <w:ind w:left="720" w:firstLine="720"/>
        <w:rPr>
          <w:rFonts w:ascii="Arial" w:eastAsiaTheme="majorEastAsia" w:hAnsi="Arial" w:cs="Arial"/>
          <w:b/>
          <w:sz w:val="24"/>
          <w:szCs w:val="24"/>
        </w:rPr>
      </w:pPr>
      <w:r w:rsidRPr="00B7078B">
        <w:rPr>
          <w:rFonts w:ascii="Arial" w:eastAsiaTheme="majorEastAsia" w:hAnsi="Arial" w:cs="Arial"/>
          <w:b/>
          <w:sz w:val="24"/>
          <w:szCs w:val="24"/>
        </w:rPr>
        <w:t>Section 57 (b), note</w:t>
      </w:r>
    </w:p>
    <w:p w14:paraId="4FA5AAAC" w14:textId="4FBF2D10" w:rsidR="004B14BC" w:rsidRPr="00DB659E" w:rsidRDefault="004B14BC" w:rsidP="006C6342">
      <w:pPr>
        <w:rPr>
          <w:rFonts w:ascii="Arial" w:hAnsi="Arial" w:cs="Arial"/>
        </w:rPr>
      </w:pPr>
      <w:r w:rsidRPr="00DB659E">
        <w:rPr>
          <w:rFonts w:ascii="Arial" w:hAnsi="Arial" w:cs="Arial"/>
        </w:rPr>
        <w:t>Clause 51 details that the Commonwealth legislation referenced does not need to be notified under the Legislation Act as a consequence of the insertion of new section 164B (Incorporation of documents), outlined above in clause 35.</w:t>
      </w:r>
    </w:p>
    <w:p w14:paraId="52324EE7" w14:textId="77777777" w:rsidR="00DB659E" w:rsidRDefault="00DB659E">
      <w:pPr>
        <w:spacing w:after="160" w:line="259" w:lineRule="auto"/>
        <w:rPr>
          <w:rFonts w:ascii="Arial" w:eastAsiaTheme="majorEastAsia" w:hAnsi="Arial" w:cs="Arial"/>
          <w:b/>
          <w:sz w:val="24"/>
          <w:szCs w:val="24"/>
        </w:rPr>
      </w:pPr>
      <w:r>
        <w:rPr>
          <w:rFonts w:ascii="Arial" w:eastAsiaTheme="majorEastAsia" w:hAnsi="Arial" w:cs="Arial"/>
          <w:b/>
          <w:sz w:val="24"/>
          <w:szCs w:val="24"/>
        </w:rPr>
        <w:br w:type="page"/>
      </w:r>
    </w:p>
    <w:p w14:paraId="5B49ACA0" w14:textId="60C72063" w:rsidR="007F4873" w:rsidRPr="00B7078B" w:rsidRDefault="004B14BC" w:rsidP="00AB20E5">
      <w:pPr>
        <w:rPr>
          <w:rFonts w:ascii="Arial" w:eastAsiaTheme="majorEastAsia" w:hAnsi="Arial" w:cs="Arial"/>
          <w:b/>
          <w:sz w:val="24"/>
          <w:szCs w:val="24"/>
        </w:rPr>
      </w:pPr>
      <w:r w:rsidRPr="00B7078B">
        <w:rPr>
          <w:rFonts w:ascii="Arial" w:eastAsiaTheme="majorEastAsia" w:hAnsi="Arial" w:cs="Arial"/>
          <w:b/>
          <w:sz w:val="24"/>
          <w:szCs w:val="24"/>
        </w:rPr>
        <w:lastRenderedPageBreak/>
        <w:t>Clause</w:t>
      </w:r>
      <w:r w:rsidR="007F4873" w:rsidRPr="00B7078B">
        <w:rPr>
          <w:rFonts w:ascii="Arial" w:eastAsiaTheme="majorEastAsia" w:hAnsi="Arial" w:cs="Arial"/>
          <w:b/>
          <w:sz w:val="24"/>
          <w:szCs w:val="24"/>
        </w:rPr>
        <w:t>s</w:t>
      </w:r>
      <w:r w:rsidRPr="00B7078B">
        <w:rPr>
          <w:rFonts w:ascii="Arial" w:eastAsiaTheme="majorEastAsia" w:hAnsi="Arial" w:cs="Arial"/>
          <w:b/>
          <w:sz w:val="24"/>
          <w:szCs w:val="24"/>
        </w:rPr>
        <w:t xml:space="preserve"> 52</w:t>
      </w:r>
      <w:r w:rsidR="000E01F5" w:rsidRPr="00B7078B">
        <w:rPr>
          <w:rFonts w:ascii="Arial" w:eastAsiaTheme="majorEastAsia" w:hAnsi="Arial" w:cs="Arial"/>
          <w:b/>
          <w:sz w:val="24"/>
          <w:szCs w:val="24"/>
        </w:rPr>
        <w:t xml:space="preserve"> to </w:t>
      </w:r>
      <w:r w:rsidRPr="00B7078B">
        <w:rPr>
          <w:rFonts w:ascii="Arial" w:eastAsiaTheme="majorEastAsia" w:hAnsi="Arial" w:cs="Arial"/>
          <w:b/>
          <w:sz w:val="24"/>
          <w:szCs w:val="24"/>
        </w:rPr>
        <w:t>5</w:t>
      </w:r>
      <w:r w:rsidR="00AB20E5" w:rsidRPr="00B7078B">
        <w:rPr>
          <w:rFonts w:ascii="Arial" w:eastAsiaTheme="majorEastAsia" w:hAnsi="Arial" w:cs="Arial"/>
          <w:b/>
          <w:sz w:val="24"/>
          <w:szCs w:val="24"/>
        </w:rPr>
        <w:t>4</w:t>
      </w:r>
      <w:r w:rsidRPr="00B7078B">
        <w:rPr>
          <w:rFonts w:ascii="Arial" w:eastAsiaTheme="majorEastAsia" w:hAnsi="Arial" w:cs="Arial"/>
          <w:b/>
          <w:sz w:val="24"/>
          <w:szCs w:val="24"/>
        </w:rPr>
        <w:t xml:space="preserve"> </w:t>
      </w:r>
      <w:r w:rsidR="000E01F5" w:rsidRPr="00B7078B">
        <w:rPr>
          <w:rFonts w:ascii="Arial" w:eastAsiaTheme="majorEastAsia" w:hAnsi="Arial" w:cs="Arial"/>
          <w:b/>
          <w:sz w:val="24"/>
          <w:szCs w:val="24"/>
        </w:rPr>
        <w:tab/>
      </w:r>
      <w:r w:rsidRPr="00B7078B">
        <w:rPr>
          <w:rFonts w:ascii="Arial" w:eastAsiaTheme="majorEastAsia" w:hAnsi="Arial" w:cs="Arial"/>
          <w:b/>
          <w:sz w:val="24"/>
          <w:szCs w:val="24"/>
        </w:rPr>
        <w:t xml:space="preserve">Procedures and protocols </w:t>
      </w:r>
    </w:p>
    <w:p w14:paraId="0AE6879B" w14:textId="34706971" w:rsidR="004B14BC" w:rsidRPr="00B7078B" w:rsidRDefault="004B14BC" w:rsidP="007F4873">
      <w:pPr>
        <w:ind w:left="1440" w:firstLine="720"/>
        <w:rPr>
          <w:rFonts w:ascii="Arial" w:eastAsiaTheme="majorEastAsia" w:hAnsi="Arial" w:cs="Arial"/>
          <w:b/>
          <w:sz w:val="24"/>
          <w:szCs w:val="24"/>
        </w:rPr>
      </w:pPr>
      <w:r w:rsidRPr="00B7078B">
        <w:rPr>
          <w:rFonts w:ascii="Arial" w:eastAsiaTheme="majorEastAsia" w:hAnsi="Arial" w:cs="Arial"/>
          <w:b/>
          <w:sz w:val="24"/>
          <w:szCs w:val="24"/>
        </w:rPr>
        <w:t xml:space="preserve">Section 65 </w:t>
      </w:r>
    </w:p>
    <w:p w14:paraId="3474B1BC" w14:textId="5B4ED8AB" w:rsidR="00AB20E5" w:rsidRPr="00DB659E" w:rsidRDefault="004B14BC" w:rsidP="00AB20E5">
      <w:pPr>
        <w:rPr>
          <w:rFonts w:ascii="Arial" w:hAnsi="Arial" w:cs="Arial"/>
        </w:rPr>
      </w:pPr>
      <w:r w:rsidRPr="00DB659E">
        <w:rPr>
          <w:rFonts w:ascii="Arial" w:hAnsi="Arial" w:cs="Arial"/>
        </w:rPr>
        <w:t xml:space="preserve">Clauses 52 </w:t>
      </w:r>
      <w:r w:rsidR="000E01F5" w:rsidRPr="00DB659E">
        <w:rPr>
          <w:rFonts w:ascii="Arial" w:hAnsi="Arial" w:cs="Arial"/>
        </w:rPr>
        <w:t>to</w:t>
      </w:r>
      <w:r w:rsidRPr="00DB659E">
        <w:rPr>
          <w:rFonts w:ascii="Arial" w:hAnsi="Arial" w:cs="Arial"/>
        </w:rPr>
        <w:t xml:space="preserve"> 5</w:t>
      </w:r>
      <w:r w:rsidR="000E01F5" w:rsidRPr="00DB659E">
        <w:rPr>
          <w:rFonts w:ascii="Arial" w:hAnsi="Arial" w:cs="Arial"/>
        </w:rPr>
        <w:t>4</w:t>
      </w:r>
      <w:r w:rsidRPr="00DB659E">
        <w:rPr>
          <w:rFonts w:ascii="Arial" w:hAnsi="Arial" w:cs="Arial"/>
        </w:rPr>
        <w:t xml:space="preserve"> </w:t>
      </w:r>
      <w:r w:rsidR="00AB20E5" w:rsidRPr="00DB659E">
        <w:rPr>
          <w:rFonts w:ascii="Arial" w:hAnsi="Arial" w:cs="Arial"/>
        </w:rPr>
        <w:t xml:space="preserve">omit </w:t>
      </w:r>
      <w:r w:rsidRPr="00DB659E">
        <w:rPr>
          <w:rFonts w:ascii="Arial" w:hAnsi="Arial" w:cs="Arial"/>
        </w:rPr>
        <w:t>th</w:t>
      </w:r>
      <w:r w:rsidR="00AB20E5" w:rsidRPr="00DB659E">
        <w:rPr>
          <w:rFonts w:ascii="Arial" w:hAnsi="Arial" w:cs="Arial"/>
        </w:rPr>
        <w:t>e</w:t>
      </w:r>
      <w:r w:rsidRPr="00DB659E">
        <w:rPr>
          <w:rFonts w:ascii="Arial" w:hAnsi="Arial" w:cs="Arial"/>
        </w:rPr>
        <w:t xml:space="preserve"> </w:t>
      </w:r>
      <w:r w:rsidR="00AB20E5" w:rsidRPr="00DB659E">
        <w:rPr>
          <w:rFonts w:ascii="Arial" w:hAnsi="Arial" w:cs="Arial"/>
        </w:rPr>
        <w:t>existing</w:t>
      </w:r>
      <w:r w:rsidRPr="00DB659E">
        <w:rPr>
          <w:rFonts w:ascii="Arial" w:hAnsi="Arial" w:cs="Arial"/>
        </w:rPr>
        <w:t xml:space="preserve"> notes for sections 65(a), notes 2 and 3 and the section 65 (d) </w:t>
      </w:r>
      <w:r w:rsidR="00AB20E5" w:rsidRPr="00DB659E">
        <w:rPr>
          <w:rFonts w:ascii="Arial" w:hAnsi="Arial" w:cs="Arial"/>
        </w:rPr>
        <w:t>and substitutes a new note for section 65 detailing that a law or instrument applied by section 65 does not need to be notified under the Legislation Act as a consequence of the insertion of new section 164B (Incorporation of documents), outlined above in clause 35.</w:t>
      </w:r>
    </w:p>
    <w:p w14:paraId="403FDF18" w14:textId="5789DC6E" w:rsidR="00AB20E5" w:rsidRPr="00B7078B" w:rsidRDefault="00AB20E5" w:rsidP="00AB20E5">
      <w:pPr>
        <w:rPr>
          <w:rFonts w:ascii="Arial" w:eastAsiaTheme="majorEastAsia" w:hAnsi="Arial" w:cs="Arial"/>
          <w:b/>
          <w:sz w:val="24"/>
          <w:szCs w:val="24"/>
        </w:rPr>
      </w:pPr>
      <w:r w:rsidRPr="00B7078B">
        <w:rPr>
          <w:rFonts w:ascii="Arial" w:eastAsiaTheme="majorEastAsia" w:hAnsi="Arial" w:cs="Arial"/>
          <w:b/>
          <w:sz w:val="24"/>
          <w:szCs w:val="24"/>
        </w:rPr>
        <w:t>Clause</w:t>
      </w:r>
      <w:r w:rsidR="007F4873" w:rsidRPr="00B7078B">
        <w:rPr>
          <w:rFonts w:ascii="Arial" w:eastAsiaTheme="majorEastAsia" w:hAnsi="Arial" w:cs="Arial"/>
          <w:b/>
          <w:sz w:val="24"/>
          <w:szCs w:val="24"/>
        </w:rPr>
        <w:t>s</w:t>
      </w:r>
      <w:r w:rsidRPr="00B7078B">
        <w:rPr>
          <w:rFonts w:ascii="Arial" w:eastAsiaTheme="majorEastAsia" w:hAnsi="Arial" w:cs="Arial"/>
          <w:b/>
          <w:sz w:val="24"/>
          <w:szCs w:val="24"/>
        </w:rPr>
        <w:t xml:space="preserve"> 55 </w:t>
      </w:r>
      <w:r w:rsidR="000E01F5" w:rsidRPr="00B7078B">
        <w:rPr>
          <w:rFonts w:ascii="Arial" w:eastAsiaTheme="majorEastAsia" w:hAnsi="Arial" w:cs="Arial"/>
          <w:b/>
          <w:sz w:val="24"/>
          <w:szCs w:val="24"/>
        </w:rPr>
        <w:t>to</w:t>
      </w:r>
      <w:r w:rsidRPr="00B7078B">
        <w:rPr>
          <w:rFonts w:ascii="Arial" w:eastAsiaTheme="majorEastAsia" w:hAnsi="Arial" w:cs="Arial"/>
          <w:b/>
          <w:sz w:val="24"/>
          <w:szCs w:val="24"/>
        </w:rPr>
        <w:t xml:space="preserve"> 56</w:t>
      </w:r>
      <w:r w:rsidRPr="00B7078B">
        <w:rPr>
          <w:rFonts w:ascii="Arial" w:eastAsiaTheme="majorEastAsia" w:hAnsi="Arial" w:cs="Arial"/>
          <w:b/>
          <w:sz w:val="24"/>
          <w:szCs w:val="24"/>
        </w:rPr>
        <w:tab/>
        <w:t>Sections 67 to 69 and Definitions for pt 2.1 Schedule 2,</w:t>
      </w:r>
    </w:p>
    <w:p w14:paraId="5C635A06" w14:textId="77777777" w:rsidR="00AB20E5" w:rsidRPr="00B7078B" w:rsidRDefault="00AB20E5" w:rsidP="00AB20E5">
      <w:pPr>
        <w:ind w:left="1440" w:firstLine="720"/>
        <w:rPr>
          <w:rFonts w:ascii="Arial" w:eastAsiaTheme="majorEastAsia" w:hAnsi="Arial" w:cs="Arial"/>
          <w:b/>
          <w:i/>
          <w:iCs/>
          <w:sz w:val="24"/>
          <w:szCs w:val="24"/>
        </w:rPr>
      </w:pPr>
      <w:r w:rsidRPr="00B7078B">
        <w:rPr>
          <w:rFonts w:ascii="Arial" w:eastAsiaTheme="majorEastAsia" w:hAnsi="Arial" w:cs="Arial"/>
          <w:b/>
          <w:sz w:val="24"/>
          <w:szCs w:val="24"/>
        </w:rPr>
        <w:t xml:space="preserve">section 2.1, definition of </w:t>
      </w:r>
      <w:r w:rsidRPr="00B7078B">
        <w:rPr>
          <w:rFonts w:ascii="Arial" w:eastAsiaTheme="majorEastAsia" w:hAnsi="Arial" w:cs="Arial"/>
          <w:b/>
          <w:i/>
          <w:iCs/>
          <w:sz w:val="24"/>
          <w:szCs w:val="24"/>
        </w:rPr>
        <w:t xml:space="preserve">Central National Area (City Hill </w:t>
      </w:r>
    </w:p>
    <w:p w14:paraId="14993C2A" w14:textId="6D5E7960" w:rsidR="00AB20E5" w:rsidRPr="00B7078B" w:rsidRDefault="00AB20E5" w:rsidP="00AB20E5">
      <w:pPr>
        <w:ind w:left="1440" w:firstLine="720"/>
        <w:rPr>
          <w:rFonts w:ascii="Arial" w:eastAsiaTheme="majorEastAsia" w:hAnsi="Arial" w:cs="Arial"/>
          <w:b/>
          <w:sz w:val="24"/>
          <w:szCs w:val="24"/>
        </w:rPr>
      </w:pPr>
      <w:r w:rsidRPr="00B7078B">
        <w:rPr>
          <w:rFonts w:ascii="Arial" w:eastAsiaTheme="majorEastAsia" w:hAnsi="Arial" w:cs="Arial"/>
          <w:b/>
          <w:i/>
          <w:iCs/>
          <w:sz w:val="24"/>
          <w:szCs w:val="24"/>
        </w:rPr>
        <w:t>Precinct)</w:t>
      </w:r>
      <w:r w:rsidRPr="00B7078B">
        <w:rPr>
          <w:rFonts w:ascii="Arial" w:eastAsiaTheme="majorEastAsia" w:hAnsi="Arial" w:cs="Arial"/>
          <w:b/>
          <w:sz w:val="24"/>
          <w:szCs w:val="24"/>
        </w:rPr>
        <w:t>, note</w:t>
      </w:r>
    </w:p>
    <w:p w14:paraId="05504756" w14:textId="329143AC" w:rsidR="004B14BC" w:rsidRPr="00DB659E" w:rsidRDefault="00AB20E5" w:rsidP="006C6342">
      <w:pPr>
        <w:rPr>
          <w:rFonts w:ascii="Arial" w:hAnsi="Arial" w:cs="Arial"/>
        </w:rPr>
      </w:pPr>
      <w:r w:rsidRPr="00DB659E">
        <w:rPr>
          <w:rFonts w:ascii="Arial" w:hAnsi="Arial" w:cs="Arial"/>
        </w:rPr>
        <w:t>Clauses 55 and 56 omit the note for sections 67 to 69 for the definition of the Central National Area (City Hill Precinct) and include a new note detailing that the reference to the national capital plan does not need to be notified under the Legislation Act as a consequence of the insertion of new section 164B (Incorporation of documents), outlined above in clause 35.</w:t>
      </w:r>
      <w:r w:rsidR="00F763A5" w:rsidRPr="00DB659E">
        <w:rPr>
          <w:rFonts w:ascii="Arial" w:hAnsi="Arial" w:cs="Arial"/>
        </w:rPr>
        <w:t xml:space="preserve"> It also informs the reader that the national capital plan is accessible at </w:t>
      </w:r>
      <w:hyperlink r:id="rId19" w:history="1">
        <w:r w:rsidR="00F763A5" w:rsidRPr="00DB659E">
          <w:rPr>
            <w:rStyle w:val="Hyperlink"/>
            <w:rFonts w:ascii="Arial" w:hAnsi="Arial" w:cs="Arial"/>
          </w:rPr>
          <w:t>www.legislation.gov.au</w:t>
        </w:r>
      </w:hyperlink>
      <w:r w:rsidR="00F763A5" w:rsidRPr="00DB659E">
        <w:rPr>
          <w:rFonts w:ascii="Arial" w:hAnsi="Arial" w:cs="Arial"/>
        </w:rPr>
        <w:t xml:space="preserve"> (which is the Federal Legislation Register).</w:t>
      </w:r>
    </w:p>
    <w:p w14:paraId="477F0E0A" w14:textId="6BA56255" w:rsidR="0029090B" w:rsidRPr="00B7078B" w:rsidRDefault="0029090B" w:rsidP="004D57BE">
      <w:pPr>
        <w:rPr>
          <w:rFonts w:ascii="Arial" w:eastAsiaTheme="majorEastAsia" w:hAnsi="Arial" w:cs="Arial"/>
          <w:b/>
          <w:sz w:val="24"/>
          <w:szCs w:val="24"/>
        </w:rPr>
      </w:pPr>
      <w:r w:rsidRPr="00B7078B">
        <w:rPr>
          <w:rFonts w:ascii="Arial" w:eastAsiaTheme="majorEastAsia" w:hAnsi="Arial" w:cs="Arial"/>
          <w:b/>
          <w:sz w:val="24"/>
          <w:szCs w:val="24"/>
        </w:rPr>
        <w:t xml:space="preserve">Clause 57 </w:t>
      </w:r>
      <w:r w:rsidRPr="00B7078B">
        <w:rPr>
          <w:rFonts w:ascii="Arial" w:eastAsiaTheme="majorEastAsia" w:hAnsi="Arial" w:cs="Arial"/>
          <w:b/>
          <w:sz w:val="24"/>
          <w:szCs w:val="24"/>
        </w:rPr>
        <w:tab/>
        <w:t xml:space="preserve">Schedule 2, section 2.1, definition of </w:t>
      </w:r>
      <w:r w:rsidRPr="00B7078B">
        <w:rPr>
          <w:rFonts w:ascii="Arial" w:eastAsiaTheme="majorEastAsia" w:hAnsi="Arial" w:cs="Arial"/>
          <w:b/>
          <w:i/>
          <w:iCs/>
          <w:sz w:val="24"/>
          <w:szCs w:val="24"/>
        </w:rPr>
        <w:t>Queanbeyan city business</w:t>
      </w:r>
      <w:r w:rsidR="004D57BE" w:rsidRPr="00B7078B">
        <w:rPr>
          <w:rFonts w:ascii="Arial" w:eastAsiaTheme="majorEastAsia" w:hAnsi="Arial" w:cs="Arial"/>
          <w:b/>
          <w:i/>
          <w:iCs/>
          <w:sz w:val="24"/>
          <w:szCs w:val="24"/>
        </w:rPr>
        <w:tab/>
      </w:r>
      <w:r w:rsidR="004D57BE" w:rsidRPr="00B7078B">
        <w:rPr>
          <w:rFonts w:ascii="Arial" w:eastAsiaTheme="majorEastAsia" w:hAnsi="Arial" w:cs="Arial"/>
          <w:b/>
          <w:i/>
          <w:iCs/>
          <w:sz w:val="24"/>
          <w:szCs w:val="24"/>
        </w:rPr>
        <w:tab/>
      </w:r>
      <w:r w:rsidRPr="00B7078B">
        <w:rPr>
          <w:rFonts w:ascii="Arial" w:eastAsiaTheme="majorEastAsia" w:hAnsi="Arial" w:cs="Arial"/>
          <w:b/>
          <w:i/>
          <w:iCs/>
          <w:sz w:val="24"/>
          <w:szCs w:val="24"/>
        </w:rPr>
        <w:t>zone</w:t>
      </w:r>
      <w:r w:rsidRPr="00B7078B">
        <w:rPr>
          <w:rFonts w:ascii="Arial" w:eastAsiaTheme="majorEastAsia" w:hAnsi="Arial" w:cs="Arial"/>
          <w:b/>
          <w:sz w:val="24"/>
          <w:szCs w:val="24"/>
        </w:rPr>
        <w:t>, note</w:t>
      </w:r>
      <w:r w:rsidRPr="00B7078B">
        <w:rPr>
          <w:rFonts w:ascii="Arial" w:eastAsiaTheme="majorEastAsia" w:hAnsi="Arial" w:cs="Arial"/>
          <w:b/>
          <w:sz w:val="24"/>
          <w:szCs w:val="24"/>
        </w:rPr>
        <w:tab/>
      </w:r>
    </w:p>
    <w:p w14:paraId="7D8C06B1" w14:textId="30C80923" w:rsidR="0029090B" w:rsidRPr="00DB659E" w:rsidRDefault="0029090B" w:rsidP="0029090B">
      <w:pPr>
        <w:rPr>
          <w:rFonts w:ascii="Arial" w:hAnsi="Arial" w:cs="Arial"/>
        </w:rPr>
      </w:pPr>
      <w:r w:rsidRPr="00DB659E">
        <w:rPr>
          <w:rFonts w:ascii="Arial" w:hAnsi="Arial" w:cs="Arial"/>
        </w:rPr>
        <w:t>Clause 57 omits the note in section 2.1 to the definition of Queanbeyan city business zone. This is as a consequence of the insertion of new section 164B (Incorporation of documents), outlined above in clause 35.</w:t>
      </w:r>
    </w:p>
    <w:p w14:paraId="7FE9BA6B" w14:textId="77777777" w:rsidR="0029090B" w:rsidRPr="00DB659E" w:rsidRDefault="0029090B" w:rsidP="0029090B">
      <w:pPr>
        <w:rPr>
          <w:rFonts w:ascii="Arial" w:hAnsi="Arial" w:cs="Arial"/>
        </w:rPr>
      </w:pPr>
      <w:r w:rsidRPr="00DB659E">
        <w:rPr>
          <w:rFonts w:ascii="Arial" w:hAnsi="Arial" w:cs="Arial"/>
        </w:rPr>
        <w:t>Prior to this amendment this note told the reader to see section 67 of the EP Regulation that displaced Legislation Act, s 47 (5) and (6).</w:t>
      </w:r>
    </w:p>
    <w:p w14:paraId="4DB6EC17" w14:textId="14D8D1C2" w:rsidR="0029090B" w:rsidRPr="00B7078B" w:rsidRDefault="0029090B" w:rsidP="006C6342">
      <w:pPr>
        <w:rPr>
          <w:rFonts w:ascii="Arial" w:eastAsiaTheme="majorEastAsia" w:hAnsi="Arial" w:cs="Arial"/>
          <w:b/>
          <w:sz w:val="24"/>
          <w:szCs w:val="24"/>
        </w:rPr>
      </w:pPr>
      <w:r w:rsidRPr="00B7078B">
        <w:rPr>
          <w:rFonts w:ascii="Arial" w:eastAsiaTheme="majorEastAsia" w:hAnsi="Arial" w:cs="Arial"/>
          <w:b/>
          <w:sz w:val="24"/>
          <w:szCs w:val="24"/>
        </w:rPr>
        <w:t>Clause 58</w:t>
      </w:r>
      <w:r w:rsidRPr="00B7078B">
        <w:rPr>
          <w:rFonts w:ascii="Arial" w:eastAsiaTheme="majorEastAsia" w:hAnsi="Arial" w:cs="Arial"/>
          <w:b/>
          <w:sz w:val="24"/>
          <w:szCs w:val="24"/>
        </w:rPr>
        <w:tab/>
        <w:t xml:space="preserve"> Dictionary, definition of </w:t>
      </w:r>
      <w:r w:rsidRPr="00B7078B">
        <w:rPr>
          <w:rFonts w:ascii="Arial" w:eastAsiaTheme="majorEastAsia" w:hAnsi="Arial" w:cs="Arial"/>
          <w:b/>
          <w:i/>
          <w:iCs/>
          <w:sz w:val="24"/>
          <w:szCs w:val="24"/>
        </w:rPr>
        <w:t>Poisons Standard</w:t>
      </w:r>
      <w:r w:rsidRPr="00B7078B">
        <w:rPr>
          <w:rFonts w:ascii="Arial" w:eastAsiaTheme="majorEastAsia" w:hAnsi="Arial" w:cs="Arial"/>
          <w:b/>
          <w:sz w:val="24"/>
          <w:szCs w:val="24"/>
        </w:rPr>
        <w:t>, note</w:t>
      </w:r>
    </w:p>
    <w:p w14:paraId="544ABE89" w14:textId="50B1538F" w:rsidR="0029090B" w:rsidRPr="00DB659E" w:rsidRDefault="0029090B" w:rsidP="0029090B">
      <w:pPr>
        <w:rPr>
          <w:rFonts w:ascii="Arial" w:hAnsi="Arial" w:cs="Arial"/>
        </w:rPr>
      </w:pPr>
      <w:r w:rsidRPr="00DB659E">
        <w:rPr>
          <w:rFonts w:ascii="Arial" w:hAnsi="Arial" w:cs="Arial"/>
        </w:rPr>
        <w:t>Clause 58 substitutes the note under the definition of Poisons Standard located in the dictionary of the EP Regulation.</w:t>
      </w:r>
    </w:p>
    <w:p w14:paraId="527C6476" w14:textId="6F987A75" w:rsidR="0029090B" w:rsidRPr="00DB659E" w:rsidRDefault="0029090B" w:rsidP="0029090B">
      <w:pPr>
        <w:rPr>
          <w:rFonts w:ascii="Arial" w:hAnsi="Arial" w:cs="Arial"/>
        </w:rPr>
      </w:pPr>
      <w:r w:rsidRPr="00DB659E">
        <w:rPr>
          <w:rFonts w:ascii="Arial" w:hAnsi="Arial" w:cs="Arial"/>
        </w:rPr>
        <w:t xml:space="preserve">The note informs the reader that the Poisons Standard does not need to be notified under the Legislation Act because section 47 (6) does not apply. This is as a consequence of the insertion of new section 164B (Incorporation of documents), outlined above in clause 35. It informs the reader that the Poisons Standard is accessible at </w:t>
      </w:r>
      <w:hyperlink r:id="rId20" w:history="1">
        <w:r w:rsidRPr="00DB659E">
          <w:rPr>
            <w:rStyle w:val="Hyperlink"/>
            <w:rFonts w:ascii="Arial" w:hAnsi="Arial" w:cs="Arial"/>
          </w:rPr>
          <w:t>www.legislation.gov.au</w:t>
        </w:r>
      </w:hyperlink>
      <w:r w:rsidRPr="00DB659E">
        <w:rPr>
          <w:rFonts w:ascii="Arial" w:hAnsi="Arial" w:cs="Arial"/>
        </w:rPr>
        <w:t xml:space="preserve"> (the Federal Legislation Register).</w:t>
      </w:r>
    </w:p>
    <w:p w14:paraId="0926E2C7" w14:textId="5A271FC8" w:rsidR="0029090B" w:rsidRPr="00DB659E" w:rsidRDefault="0029090B" w:rsidP="0029090B">
      <w:pPr>
        <w:rPr>
          <w:rFonts w:ascii="Arial" w:hAnsi="Arial" w:cs="Arial"/>
        </w:rPr>
      </w:pPr>
      <w:r w:rsidRPr="00DB659E">
        <w:rPr>
          <w:rFonts w:ascii="Arial" w:hAnsi="Arial" w:cs="Arial"/>
        </w:rPr>
        <w:t xml:space="preserve">Prior to the amendment the note referred to the operation of section 67 of the regulation which was also removed by clause 55 </w:t>
      </w:r>
      <w:r w:rsidR="004D57BE" w:rsidRPr="00DB659E">
        <w:rPr>
          <w:rFonts w:ascii="Arial" w:hAnsi="Arial" w:cs="Arial"/>
        </w:rPr>
        <w:t>above</w:t>
      </w:r>
      <w:r w:rsidRPr="00DB659E">
        <w:rPr>
          <w:rFonts w:ascii="Arial" w:hAnsi="Arial" w:cs="Arial"/>
        </w:rPr>
        <w:t>.</w:t>
      </w:r>
    </w:p>
    <w:p w14:paraId="69A554ED" w14:textId="77777777" w:rsidR="00DB659E" w:rsidRDefault="00DB659E">
      <w:pPr>
        <w:spacing w:after="160" w:line="259" w:lineRule="auto"/>
        <w:rPr>
          <w:rFonts w:ascii="Arial" w:eastAsiaTheme="majorEastAsia" w:hAnsi="Arial" w:cs="Arial"/>
          <w:b/>
          <w:sz w:val="24"/>
          <w:szCs w:val="24"/>
        </w:rPr>
      </w:pPr>
      <w:r>
        <w:rPr>
          <w:rFonts w:ascii="Arial" w:eastAsiaTheme="majorEastAsia" w:hAnsi="Arial" w:cs="Arial"/>
          <w:b/>
          <w:sz w:val="24"/>
          <w:szCs w:val="24"/>
        </w:rPr>
        <w:br w:type="page"/>
      </w:r>
    </w:p>
    <w:p w14:paraId="170E8805" w14:textId="6F09E50F" w:rsidR="00F763A5" w:rsidRPr="00B7078B" w:rsidRDefault="00F763A5" w:rsidP="006C6342">
      <w:pPr>
        <w:rPr>
          <w:rFonts w:ascii="Arial" w:eastAsiaTheme="majorEastAsia" w:hAnsi="Arial" w:cs="Arial"/>
          <w:b/>
          <w:sz w:val="24"/>
          <w:szCs w:val="24"/>
        </w:rPr>
      </w:pPr>
      <w:r w:rsidRPr="00B7078B">
        <w:rPr>
          <w:rFonts w:ascii="Arial" w:eastAsiaTheme="majorEastAsia" w:hAnsi="Arial" w:cs="Arial"/>
          <w:b/>
          <w:sz w:val="24"/>
          <w:szCs w:val="24"/>
        </w:rPr>
        <w:lastRenderedPageBreak/>
        <w:t xml:space="preserve">Part 4 </w:t>
      </w:r>
      <w:r w:rsidRPr="00B7078B">
        <w:rPr>
          <w:rFonts w:ascii="Arial" w:eastAsiaTheme="majorEastAsia" w:hAnsi="Arial" w:cs="Arial"/>
          <w:b/>
          <w:sz w:val="24"/>
          <w:szCs w:val="24"/>
        </w:rPr>
        <w:tab/>
        <w:t>Water Resources Act 2007</w:t>
      </w:r>
    </w:p>
    <w:p w14:paraId="29A54A2F" w14:textId="77777777" w:rsidR="004D57BE" w:rsidRPr="00B7078B" w:rsidRDefault="0029090B" w:rsidP="006C6342">
      <w:pPr>
        <w:rPr>
          <w:rFonts w:ascii="Arial" w:eastAsiaTheme="majorEastAsia" w:hAnsi="Arial" w:cs="Arial"/>
          <w:b/>
          <w:sz w:val="24"/>
          <w:szCs w:val="24"/>
        </w:rPr>
      </w:pPr>
      <w:r w:rsidRPr="00B7078B">
        <w:rPr>
          <w:rFonts w:ascii="Arial" w:eastAsiaTheme="majorEastAsia" w:hAnsi="Arial" w:cs="Arial"/>
          <w:b/>
          <w:sz w:val="24"/>
          <w:szCs w:val="24"/>
        </w:rPr>
        <w:t>Clause</w:t>
      </w:r>
      <w:r w:rsidR="004D57BE" w:rsidRPr="00B7078B">
        <w:rPr>
          <w:rFonts w:ascii="Arial" w:eastAsiaTheme="majorEastAsia" w:hAnsi="Arial" w:cs="Arial"/>
          <w:b/>
          <w:sz w:val="24"/>
          <w:szCs w:val="24"/>
        </w:rPr>
        <w:t>s</w:t>
      </w:r>
      <w:r w:rsidRPr="00B7078B">
        <w:rPr>
          <w:rFonts w:ascii="Arial" w:eastAsiaTheme="majorEastAsia" w:hAnsi="Arial" w:cs="Arial"/>
          <w:b/>
          <w:sz w:val="24"/>
          <w:szCs w:val="24"/>
        </w:rPr>
        <w:t xml:space="preserve"> 59 </w:t>
      </w:r>
      <w:r w:rsidR="000E01F5" w:rsidRPr="00B7078B">
        <w:rPr>
          <w:rFonts w:ascii="Arial" w:eastAsiaTheme="majorEastAsia" w:hAnsi="Arial" w:cs="Arial"/>
          <w:b/>
          <w:sz w:val="24"/>
          <w:szCs w:val="24"/>
        </w:rPr>
        <w:t>to</w:t>
      </w:r>
      <w:r w:rsidR="00F763A5" w:rsidRPr="00B7078B">
        <w:rPr>
          <w:rFonts w:ascii="Arial" w:eastAsiaTheme="majorEastAsia" w:hAnsi="Arial" w:cs="Arial"/>
          <w:b/>
          <w:sz w:val="24"/>
          <w:szCs w:val="24"/>
        </w:rPr>
        <w:t xml:space="preserve"> 60</w:t>
      </w:r>
      <w:r w:rsidR="00F763A5" w:rsidRPr="00B7078B">
        <w:rPr>
          <w:rFonts w:ascii="Arial" w:eastAsiaTheme="majorEastAsia" w:hAnsi="Arial" w:cs="Arial"/>
          <w:b/>
          <w:sz w:val="24"/>
          <w:szCs w:val="24"/>
        </w:rPr>
        <w:tab/>
        <w:t xml:space="preserve">ACT water resource plan </w:t>
      </w:r>
    </w:p>
    <w:p w14:paraId="0D211548" w14:textId="21313F25" w:rsidR="0029090B" w:rsidRPr="00B7078B" w:rsidRDefault="00F763A5" w:rsidP="004D57BE">
      <w:pPr>
        <w:ind w:left="1440" w:firstLine="720"/>
        <w:rPr>
          <w:rFonts w:ascii="Arial" w:eastAsiaTheme="majorEastAsia" w:hAnsi="Arial" w:cs="Arial"/>
          <w:b/>
          <w:sz w:val="24"/>
          <w:szCs w:val="24"/>
        </w:rPr>
      </w:pPr>
      <w:r w:rsidRPr="00B7078B">
        <w:rPr>
          <w:rFonts w:ascii="Arial" w:eastAsiaTheme="majorEastAsia" w:hAnsi="Arial" w:cs="Arial"/>
          <w:b/>
          <w:sz w:val="24"/>
          <w:szCs w:val="24"/>
        </w:rPr>
        <w:t>Section 11A (2) and (3)</w:t>
      </w:r>
      <w:r w:rsidR="004D57BE" w:rsidRPr="00B7078B">
        <w:rPr>
          <w:rFonts w:ascii="Arial" w:eastAsiaTheme="majorEastAsia" w:hAnsi="Arial" w:cs="Arial"/>
          <w:b/>
          <w:sz w:val="24"/>
          <w:szCs w:val="24"/>
        </w:rPr>
        <w:t xml:space="preserve"> and Section 11a (3),</w:t>
      </w:r>
      <w:r w:rsidRPr="00B7078B">
        <w:rPr>
          <w:rFonts w:ascii="Arial" w:eastAsiaTheme="majorEastAsia" w:hAnsi="Arial" w:cs="Arial"/>
          <w:b/>
          <w:sz w:val="24"/>
          <w:szCs w:val="24"/>
        </w:rPr>
        <w:t xml:space="preserve"> note</w:t>
      </w:r>
    </w:p>
    <w:p w14:paraId="559866FF" w14:textId="09E7BE07" w:rsidR="00F763A5" w:rsidRPr="00DB659E" w:rsidRDefault="00F763A5" w:rsidP="00F763A5">
      <w:pPr>
        <w:rPr>
          <w:rFonts w:ascii="Arial" w:hAnsi="Arial" w:cs="Arial"/>
        </w:rPr>
      </w:pPr>
      <w:r w:rsidRPr="00DB659E">
        <w:rPr>
          <w:rFonts w:ascii="Arial" w:hAnsi="Arial" w:cs="Arial"/>
        </w:rPr>
        <w:t>Clauses 59 and 60 add the words ‘a law or’ before the word instrument in the WR Act, section 11A (2), (3) and the note.</w:t>
      </w:r>
    </w:p>
    <w:p w14:paraId="52B42E5C" w14:textId="77777777" w:rsidR="00F763A5" w:rsidRPr="00DB659E" w:rsidRDefault="00F763A5" w:rsidP="00F763A5">
      <w:pPr>
        <w:rPr>
          <w:rFonts w:ascii="Arial" w:hAnsi="Arial" w:cs="Arial"/>
        </w:rPr>
      </w:pPr>
      <w:r w:rsidRPr="00DB659E">
        <w:rPr>
          <w:rFonts w:ascii="Arial" w:hAnsi="Arial" w:cs="Arial"/>
        </w:rPr>
        <w:t>This provides a wide discretion for an ACT water resource plan to incorporate a law or an instrument. Previously it was only an instrument.</w:t>
      </w:r>
    </w:p>
    <w:p w14:paraId="65636493" w14:textId="6BF9B2BE" w:rsidR="00F763A5" w:rsidRPr="00B7078B" w:rsidRDefault="00F763A5" w:rsidP="00F763A5">
      <w:pPr>
        <w:pStyle w:val="Heading3"/>
        <w:rPr>
          <w:rFonts w:cs="Arial"/>
        </w:rPr>
      </w:pPr>
      <w:r w:rsidRPr="00B7078B">
        <w:rPr>
          <w:rFonts w:cs="Arial"/>
        </w:rPr>
        <w:t>Clause 61</w:t>
      </w:r>
      <w:r w:rsidRPr="00B7078B">
        <w:rPr>
          <w:rFonts w:cs="Arial"/>
        </w:rPr>
        <w:tab/>
        <w:t>Section 100 (Incorporation of documents)</w:t>
      </w:r>
    </w:p>
    <w:p w14:paraId="31163D7C" w14:textId="099CB2FC" w:rsidR="00F763A5" w:rsidRPr="00DB659E" w:rsidRDefault="00F763A5" w:rsidP="00F763A5">
      <w:pPr>
        <w:rPr>
          <w:rFonts w:ascii="Arial" w:hAnsi="Arial" w:cs="Arial"/>
        </w:rPr>
      </w:pPr>
      <w:r w:rsidRPr="00DB659E">
        <w:rPr>
          <w:rFonts w:ascii="Arial" w:hAnsi="Arial" w:cs="Arial"/>
        </w:rPr>
        <w:t>Clause 61 amends the existing section 100 on the incorporation of documents into statutory instruments under the WR Act to provide a wider discretion to incorporate laws and standards, including from other jurisdictions.</w:t>
      </w:r>
    </w:p>
    <w:p w14:paraId="3D418EF8" w14:textId="2A6EB614" w:rsidR="00F763A5" w:rsidRPr="00DB659E" w:rsidRDefault="00F763A5" w:rsidP="00F763A5">
      <w:pPr>
        <w:rPr>
          <w:rFonts w:ascii="Arial" w:hAnsi="Arial" w:cs="Arial"/>
        </w:rPr>
      </w:pPr>
      <w:r w:rsidRPr="00DB659E">
        <w:rPr>
          <w:rFonts w:ascii="Arial" w:hAnsi="Arial" w:cs="Arial"/>
        </w:rPr>
        <w:t xml:space="preserve">The </w:t>
      </w:r>
      <w:r w:rsidRPr="00DB659E">
        <w:rPr>
          <w:rFonts w:ascii="Arial" w:hAnsi="Arial" w:cs="Arial"/>
          <w:i/>
          <w:iCs/>
        </w:rPr>
        <w:t>Legislation Act</w:t>
      </w:r>
      <w:r w:rsidR="004D57BE" w:rsidRPr="00DB659E">
        <w:rPr>
          <w:rFonts w:ascii="Arial" w:hAnsi="Arial" w:cs="Arial"/>
          <w:i/>
          <w:iCs/>
        </w:rPr>
        <w:t xml:space="preserve"> 2001</w:t>
      </w:r>
      <w:r w:rsidRPr="00DB659E">
        <w:rPr>
          <w:rFonts w:ascii="Arial" w:hAnsi="Arial" w:cs="Arial"/>
        </w:rPr>
        <w:t>, section 47 (5) and (6) provide that an incorporated document, and, for section 47 (6), any amendment or replacement of such a document, are taken to be notifiable instruments. A notifiable instrument must be notified on the ACT Legislation Register under the Legislation Act. However, the Legislation Act, section 47 (5) or (6) may be displaced by the authorising law or the incorporating instrument (see s 47 (7)).</w:t>
      </w:r>
    </w:p>
    <w:p w14:paraId="1716A087" w14:textId="017C2C01" w:rsidR="00F763A5" w:rsidRPr="00DB659E" w:rsidRDefault="00F763A5" w:rsidP="00F763A5">
      <w:pPr>
        <w:rPr>
          <w:rFonts w:ascii="Arial" w:hAnsi="Arial" w:cs="Arial"/>
        </w:rPr>
      </w:pPr>
      <w:r w:rsidRPr="00DB659E">
        <w:rPr>
          <w:rFonts w:ascii="Arial" w:hAnsi="Arial" w:cs="Arial"/>
        </w:rPr>
        <w:t xml:space="preserve">Clause 61 adds a subsection 100 (2) which disapplies the </w:t>
      </w:r>
      <w:r w:rsidRPr="00DB659E">
        <w:rPr>
          <w:rFonts w:ascii="Arial" w:hAnsi="Arial" w:cs="Arial"/>
          <w:i/>
          <w:iCs/>
        </w:rPr>
        <w:t>Legislation Act 2001</w:t>
      </w:r>
      <w:r w:rsidRPr="00DB659E">
        <w:rPr>
          <w:rFonts w:ascii="Arial" w:hAnsi="Arial" w:cs="Arial"/>
        </w:rPr>
        <w:t>, section 47 (5) and (6) for laws of other jurisdictions, Australian Standards and Australian/New Zealand Standards. This means that the laws of other jurisdictions, as well as Australian Standards and Australian/New Zealand Standards do not need to be notified on the legislation register under Legislation Act, section 47 (7) for the purposes of incorporation into statutory instruments under the WR Act.</w:t>
      </w:r>
    </w:p>
    <w:p w14:paraId="5A192C1D" w14:textId="77777777" w:rsidR="00F763A5" w:rsidRPr="00DB659E" w:rsidRDefault="00F763A5" w:rsidP="00F763A5">
      <w:pPr>
        <w:spacing w:after="0"/>
        <w:rPr>
          <w:rFonts w:ascii="Arial" w:hAnsi="Arial" w:cs="Arial"/>
        </w:rPr>
      </w:pPr>
      <w:r w:rsidRPr="00DB659E">
        <w:rPr>
          <w:rFonts w:ascii="Arial" w:hAnsi="Arial" w:cs="Arial"/>
        </w:rPr>
        <w:t>The Legislation Act, section 47 (5) and (6) are displaced here under the WR Act because:</w:t>
      </w:r>
    </w:p>
    <w:p w14:paraId="12BE42E8" w14:textId="77777777" w:rsidR="00F763A5" w:rsidRPr="00DB659E" w:rsidRDefault="00F763A5" w:rsidP="00F763A5">
      <w:pPr>
        <w:pStyle w:val="ListParagraph"/>
        <w:numPr>
          <w:ilvl w:val="0"/>
          <w:numId w:val="3"/>
        </w:numPr>
        <w:spacing w:line="276" w:lineRule="auto"/>
        <w:rPr>
          <w:rFonts w:ascii="Arial" w:hAnsi="Arial" w:cs="Arial"/>
          <w:lang w:eastAsia="en-US"/>
        </w:rPr>
      </w:pPr>
      <w:r w:rsidRPr="00DB659E">
        <w:rPr>
          <w:rFonts w:ascii="Arial" w:hAnsi="Arial" w:cs="Arial"/>
          <w:lang w:eastAsia="en-US"/>
        </w:rPr>
        <w:t>laws of other jurisdiction are readily accessible over the internet on legislation registers of those jurisdictions; and</w:t>
      </w:r>
    </w:p>
    <w:p w14:paraId="2819871D" w14:textId="77777777" w:rsidR="00F763A5" w:rsidRPr="00DB659E" w:rsidRDefault="00F763A5" w:rsidP="00F763A5">
      <w:pPr>
        <w:pStyle w:val="ListParagraph"/>
        <w:numPr>
          <w:ilvl w:val="0"/>
          <w:numId w:val="3"/>
        </w:numPr>
        <w:spacing w:after="200" w:line="276" w:lineRule="auto"/>
        <w:ind w:left="714" w:hanging="357"/>
        <w:rPr>
          <w:rFonts w:ascii="Arial" w:hAnsi="Arial" w:cs="Arial"/>
          <w:lang w:eastAsia="en-US"/>
        </w:rPr>
      </w:pPr>
      <w:r w:rsidRPr="00DB659E">
        <w:rPr>
          <w:rFonts w:ascii="Arial" w:hAnsi="Arial" w:cs="Arial"/>
          <w:lang w:eastAsia="en-US"/>
        </w:rPr>
        <w:t>incorporated standards are subject to copyright and may be purchased over the internet. Copies of the standard is a reasonable cost of doing an activity that requires a license under the WR Act.</w:t>
      </w:r>
    </w:p>
    <w:p w14:paraId="76612C4A"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lang w:eastAsia="en-US"/>
        </w:rPr>
      </w:pPr>
      <w:r w:rsidRPr="00DB659E">
        <w:rPr>
          <w:rFonts w:ascii="Arial" w:hAnsi="Arial" w:cs="Arial"/>
          <w:sz w:val="22"/>
          <w:szCs w:val="22"/>
          <w:lang w:eastAsia="en-US"/>
        </w:rPr>
        <w:t xml:space="preserve">Standards likely to be incorporated in statutory instruments under the WR Act are available for purchase from </w:t>
      </w:r>
      <w:hyperlink r:id="rId21" w:history="1">
        <w:r w:rsidRPr="00DB659E">
          <w:rPr>
            <w:rStyle w:val="Hyperlink"/>
            <w:rFonts w:ascii="Arial" w:hAnsi="Arial" w:cs="Arial"/>
            <w:sz w:val="22"/>
            <w:szCs w:val="22"/>
            <w:lang w:eastAsia="en-US"/>
          </w:rPr>
          <w:t>https://www.standards.org.au</w:t>
        </w:r>
      </w:hyperlink>
      <w:r w:rsidRPr="00DB659E">
        <w:rPr>
          <w:rFonts w:ascii="Arial" w:hAnsi="Arial" w:cs="Arial"/>
          <w:sz w:val="22"/>
          <w:szCs w:val="22"/>
          <w:lang w:eastAsia="en-US"/>
        </w:rPr>
        <w:t>. As mentioned above, there are challenges relating to the ability to provide public access to Australian Standards due to copyright issues.</w:t>
      </w:r>
    </w:p>
    <w:p w14:paraId="08ECFB09"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color w:val="000000"/>
          <w:sz w:val="22"/>
          <w:szCs w:val="22"/>
        </w:rPr>
      </w:pPr>
    </w:p>
    <w:p w14:paraId="06674E55"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color w:val="000000"/>
          <w:sz w:val="22"/>
          <w:szCs w:val="22"/>
        </w:rPr>
      </w:pPr>
      <w:r w:rsidRPr="00DB659E">
        <w:rPr>
          <w:rFonts w:ascii="Arial" w:hAnsi="Arial" w:cs="Arial"/>
          <w:sz w:val="22"/>
          <w:szCs w:val="22"/>
          <w:lang w:eastAsia="en-US"/>
        </w:rPr>
        <w:t>Standards Australia has recently released an initiative (Reader Room) that provides limited, no-fee access to the entire catalogue of Australian Standards for non</w:t>
      </w:r>
      <w:r w:rsidRPr="00DB659E">
        <w:rPr>
          <w:rFonts w:ascii="Arial" w:hAnsi="Arial" w:cs="Arial"/>
          <w:sz w:val="22"/>
          <w:szCs w:val="22"/>
          <w:lang w:eastAsia="en-US"/>
        </w:rPr>
        <w:noBreakHyphen/>
        <w:t>commercial purposes, that is for personal, domestic or household use. This initiative provides access for free to a maximum of three standards every 12 months, with access for 24 hours at a time. The Reader Room is available at </w:t>
      </w:r>
      <w:hyperlink r:id="rId22" w:history="1">
        <w:r w:rsidRPr="00DB659E">
          <w:rPr>
            <w:rStyle w:val="Hyperlink"/>
            <w:rFonts w:ascii="Arial" w:hAnsi="Arial" w:cs="Arial"/>
            <w:sz w:val="22"/>
            <w:szCs w:val="22"/>
            <w:lang w:eastAsia="en-US"/>
          </w:rPr>
          <w:t>https://readerroom.standards.org.au/</w:t>
        </w:r>
      </w:hyperlink>
      <w:r w:rsidRPr="00DB659E">
        <w:rPr>
          <w:rFonts w:ascii="Arial" w:hAnsi="Arial" w:cs="Arial"/>
          <w:sz w:val="22"/>
          <w:szCs w:val="22"/>
          <w:lang w:eastAsia="en-US"/>
        </w:rPr>
        <w:t>.</w:t>
      </w:r>
    </w:p>
    <w:p w14:paraId="4434BFFC"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color w:val="000000"/>
          <w:sz w:val="22"/>
          <w:szCs w:val="22"/>
        </w:rPr>
      </w:pPr>
    </w:p>
    <w:p w14:paraId="36B60DB9"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lang w:eastAsia="en-US"/>
        </w:rPr>
      </w:pPr>
      <w:r w:rsidRPr="00DB659E">
        <w:rPr>
          <w:rFonts w:ascii="Arial" w:hAnsi="Arial" w:cs="Arial"/>
          <w:sz w:val="22"/>
          <w:szCs w:val="22"/>
          <w:lang w:eastAsia="en-US"/>
        </w:rPr>
        <w:lastRenderedPageBreak/>
        <w:t>Unfortunately, the Reader Room pilot does not apply to Australian and New Zealand Standards (International Standards), Standards Australia is looking to expand the standards available via the Reader Room in the future.</w:t>
      </w:r>
    </w:p>
    <w:p w14:paraId="0139509F"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lang w:eastAsia="en-US"/>
        </w:rPr>
      </w:pPr>
    </w:p>
    <w:p w14:paraId="0ED69225" w14:textId="3C697BF8"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rPr>
      </w:pPr>
      <w:r w:rsidRPr="00DB659E">
        <w:rPr>
          <w:rFonts w:ascii="Arial" w:hAnsi="Arial" w:cs="Arial"/>
          <w:sz w:val="22"/>
          <w:szCs w:val="22"/>
        </w:rPr>
        <w:t xml:space="preserve">The reader is informed of where to access the laws and standards through a note after </w:t>
      </w:r>
      <w:r w:rsidR="000E01F5" w:rsidRPr="00DB659E">
        <w:rPr>
          <w:rFonts w:ascii="Arial" w:hAnsi="Arial" w:cs="Arial"/>
          <w:sz w:val="22"/>
          <w:szCs w:val="22"/>
        </w:rPr>
        <w:br/>
      </w:r>
      <w:r w:rsidRPr="00DB659E">
        <w:rPr>
          <w:rFonts w:ascii="Arial" w:hAnsi="Arial" w:cs="Arial"/>
          <w:sz w:val="22"/>
          <w:szCs w:val="22"/>
        </w:rPr>
        <w:t>section 164B (5).</w:t>
      </w:r>
    </w:p>
    <w:p w14:paraId="58B159A0"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rPr>
      </w:pPr>
    </w:p>
    <w:p w14:paraId="26C83FB5"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rPr>
      </w:pPr>
      <w:r w:rsidRPr="00DB659E">
        <w:rPr>
          <w:rFonts w:ascii="Arial" w:hAnsi="Arial" w:cs="Arial"/>
          <w:sz w:val="22"/>
          <w:szCs w:val="22"/>
        </w:rPr>
        <w:t xml:space="preserve">Licenses under the WR Act incorporate standards and instruments. It is an offence under section 77F (1) and 77G to contravene the condition of a license. The conditions in the licenses themselves will make it clear to the license holder what they are required to do to comply with the license. The standards will be referred to because of the rigour that underpins their development. The license holders will also be provided with a policy written by ACT Government that provides further guidance on how to meet their obligations under their license. </w:t>
      </w:r>
    </w:p>
    <w:p w14:paraId="6B40C630"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rPr>
      </w:pPr>
    </w:p>
    <w:p w14:paraId="2F000B8F" w14:textId="77777777" w:rsidR="00F763A5" w:rsidRPr="00DB659E" w:rsidRDefault="00F763A5" w:rsidP="00F763A5">
      <w:pPr>
        <w:pStyle w:val="NormalWeb"/>
        <w:shd w:val="clear" w:color="auto" w:fill="FFFFFF"/>
        <w:spacing w:before="0" w:beforeAutospacing="0" w:after="0" w:afterAutospacing="0" w:line="276" w:lineRule="auto"/>
        <w:rPr>
          <w:rFonts w:ascii="Arial" w:hAnsi="Arial" w:cs="Arial"/>
          <w:sz w:val="22"/>
          <w:szCs w:val="22"/>
        </w:rPr>
      </w:pPr>
      <w:r w:rsidRPr="00DB659E">
        <w:rPr>
          <w:rFonts w:ascii="Arial" w:hAnsi="Arial" w:cs="Arial"/>
          <w:sz w:val="22"/>
          <w:szCs w:val="22"/>
        </w:rPr>
        <w:t>Licenses can be held by individual persons and the human rights implications of this are dealt with above under the heading ‘Consistency with Human Rights’.</w:t>
      </w:r>
    </w:p>
    <w:p w14:paraId="1C7130BD" w14:textId="77777777" w:rsidR="004D57BE" w:rsidRPr="00B7078B" w:rsidRDefault="00F763A5" w:rsidP="00F763A5">
      <w:pPr>
        <w:pStyle w:val="Heading3"/>
        <w:rPr>
          <w:rFonts w:cs="Arial"/>
        </w:rPr>
      </w:pPr>
      <w:r w:rsidRPr="00B7078B">
        <w:rPr>
          <w:rFonts w:cs="Arial"/>
        </w:rPr>
        <w:t>Clause 62</w:t>
      </w:r>
      <w:r w:rsidRPr="00B7078B">
        <w:rPr>
          <w:rFonts w:cs="Arial"/>
        </w:rPr>
        <w:tab/>
        <w:t xml:space="preserve">Regulation-making power </w:t>
      </w:r>
    </w:p>
    <w:p w14:paraId="2FC84AFC" w14:textId="744BD682" w:rsidR="00F763A5" w:rsidRPr="00B7078B" w:rsidRDefault="00F763A5" w:rsidP="004D57BE">
      <w:pPr>
        <w:pStyle w:val="Heading3"/>
        <w:ind w:left="720" w:firstLine="720"/>
        <w:rPr>
          <w:rFonts w:cs="Arial"/>
        </w:rPr>
      </w:pPr>
      <w:r w:rsidRPr="00B7078B">
        <w:rPr>
          <w:rFonts w:cs="Arial"/>
        </w:rPr>
        <w:t>Section 109 (2) and notes</w:t>
      </w:r>
    </w:p>
    <w:p w14:paraId="31F17DD0" w14:textId="1147D605" w:rsidR="00F763A5" w:rsidRPr="00DB659E" w:rsidRDefault="00F763A5" w:rsidP="00F763A5">
      <w:pPr>
        <w:rPr>
          <w:rFonts w:ascii="Arial" w:hAnsi="Arial" w:cs="Arial"/>
        </w:rPr>
      </w:pPr>
      <w:r w:rsidRPr="00DB659E">
        <w:rPr>
          <w:rFonts w:ascii="Arial" w:hAnsi="Arial" w:cs="Arial"/>
        </w:rPr>
        <w:t>Clause 62 simplifies the regulation making power under the WR Act (section 109 (2)) as a consequence of the broader discretion in the amended section 100 (Incorporation of documents), outlined in clause 61.</w:t>
      </w:r>
    </w:p>
    <w:p w14:paraId="18746D5B" w14:textId="3D6791B6" w:rsidR="00F763A5" w:rsidRPr="00B7078B" w:rsidRDefault="00F763A5" w:rsidP="00F763A5">
      <w:pPr>
        <w:pStyle w:val="Heading3"/>
        <w:rPr>
          <w:rFonts w:cs="Arial"/>
        </w:rPr>
      </w:pPr>
      <w:r w:rsidRPr="00B7078B">
        <w:rPr>
          <w:rFonts w:cs="Arial"/>
        </w:rPr>
        <w:t>Clause 63</w:t>
      </w:r>
      <w:r w:rsidRPr="00B7078B">
        <w:rPr>
          <w:rFonts w:cs="Arial"/>
        </w:rPr>
        <w:tab/>
        <w:t xml:space="preserve">Section 109(3) </w:t>
      </w:r>
    </w:p>
    <w:p w14:paraId="300AA546" w14:textId="740B9856" w:rsidR="003B30E7" w:rsidRPr="00DB659E" w:rsidRDefault="003B30E7" w:rsidP="003B30E7">
      <w:pPr>
        <w:rPr>
          <w:rFonts w:ascii="Arial" w:hAnsi="Arial" w:cs="Arial"/>
        </w:rPr>
      </w:pPr>
      <w:r w:rsidRPr="00DB659E">
        <w:rPr>
          <w:rFonts w:ascii="Arial" w:hAnsi="Arial" w:cs="Arial"/>
        </w:rPr>
        <w:t>Clause 63 increases the number of penalty units (from 10 to 20) that may be attached to offences that are contained in the Water Resources Regulation. This aligns with current ACT Government policy to allow more significant penalties in regulations as outlined in the 2010 Guide for framing offences (the Guide). That Guide was updated since section 109(3) was first enacted, and the penalties were inserted in the regulation. There are a range of different offending behaviours that are picked up by those offences. Increasing the range up to 20 penalty units allows the regulations to better set the appropriate penalty for each offence and that will in turn ensure that there is effective deterrence for each offending behaviour. This seeks to strike a balance by increasing the maximum penalty to the recommended 20 penalty units, and not the 30 penalty units outlined on page 30 of the Guide.</w:t>
      </w:r>
    </w:p>
    <w:p w14:paraId="23732EDF" w14:textId="77777777" w:rsidR="003B30E7" w:rsidRPr="00DB659E" w:rsidRDefault="003B30E7" w:rsidP="003B30E7">
      <w:pPr>
        <w:rPr>
          <w:rFonts w:ascii="Arial" w:hAnsi="Arial" w:cs="Arial"/>
        </w:rPr>
      </w:pPr>
      <w:r w:rsidRPr="00DB659E">
        <w:rPr>
          <w:rFonts w:ascii="Arial" w:hAnsi="Arial" w:cs="Arial"/>
        </w:rPr>
        <w:t xml:space="preserve">This Bill does not directly change the penalty units for each offence in the regulation. Any changes would be subject to review, including a current jurisdictional comparison, to assess the suitability of the penalties in each offence in regulations and make recommendations to the Government accordingly. That review may then recommend regulation updates including changes to the penalty units for each offence in the regulations. That amendment would involve a regulatory impact assessment, consultation with relevant stakeholders and scrutiny processes. That would apply detailed analysis about factors from the Guide for setting the penalties including: the seriousness of the behaviour, the prevalence of the behaviour, the seriousness of each offence compared with offences of a similar nature, relative seriousness of each particular offence compared with others in the legislative scheme, the level of responsibility carried by the people that would be likely subject to the offences, and the </w:t>
      </w:r>
      <w:r w:rsidRPr="00DB659E">
        <w:rPr>
          <w:rFonts w:ascii="Arial" w:hAnsi="Arial" w:cs="Arial"/>
        </w:rPr>
        <w:lastRenderedPageBreak/>
        <w:t>possible consequences of failing to comply with the provision. It would also consider the adequacy of the maximum penalty to deter and punish a worst-case offence, including repeat offenders including any incentives to commit the offence, or the damage the offending behaviour does. It will consider the fault element of each offence.</w:t>
      </w:r>
    </w:p>
    <w:p w14:paraId="53DB563D" w14:textId="77777777" w:rsidR="00F763A5" w:rsidRPr="00B7078B" w:rsidRDefault="00F763A5" w:rsidP="006C6342">
      <w:pPr>
        <w:rPr>
          <w:rFonts w:ascii="Arial" w:eastAsiaTheme="majorEastAsia" w:hAnsi="Arial" w:cs="Arial"/>
          <w:b/>
          <w:sz w:val="24"/>
          <w:szCs w:val="24"/>
        </w:rPr>
      </w:pPr>
    </w:p>
    <w:p w14:paraId="5626197B" w14:textId="77777777" w:rsidR="0029090B" w:rsidRPr="00DB659E" w:rsidRDefault="0029090B" w:rsidP="006C6342">
      <w:pPr>
        <w:rPr>
          <w:rFonts w:ascii="Arial" w:hAnsi="Arial" w:cs="Arial"/>
        </w:rPr>
      </w:pPr>
    </w:p>
    <w:bookmarkEnd w:id="0"/>
    <w:p w14:paraId="46F13E9B" w14:textId="77777777" w:rsidR="004B14BC" w:rsidRPr="00DB659E" w:rsidRDefault="004B14BC" w:rsidP="006C6342">
      <w:pPr>
        <w:rPr>
          <w:rFonts w:ascii="Arial" w:hAnsi="Arial" w:cs="Arial"/>
        </w:rPr>
      </w:pPr>
    </w:p>
    <w:sectPr w:rsidR="004B14BC" w:rsidRPr="00DB659E" w:rsidSect="005C0ACF">
      <w:headerReference w:type="even" r:id="rId23"/>
      <w:headerReference w:type="default" r:id="rId24"/>
      <w:footerReference w:type="default" r:id="rId25"/>
      <w:headerReference w:type="first" r:id="rId26"/>
      <w:footerReference w:type="first" r:id="rId2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7718" w14:textId="77777777" w:rsidR="005C0ACF" w:rsidRDefault="005C0ACF" w:rsidP="00E90DF9">
      <w:pPr>
        <w:spacing w:after="0" w:line="240" w:lineRule="auto"/>
      </w:pPr>
      <w:r>
        <w:separator/>
      </w:r>
    </w:p>
  </w:endnote>
  <w:endnote w:type="continuationSeparator" w:id="0">
    <w:p w14:paraId="10BA4336" w14:textId="77777777" w:rsidR="005C0ACF" w:rsidRDefault="005C0ACF" w:rsidP="00E90DF9">
      <w:pPr>
        <w:spacing w:after="0" w:line="240" w:lineRule="auto"/>
      </w:pPr>
      <w:r>
        <w:continuationSeparator/>
      </w:r>
    </w:p>
  </w:endnote>
  <w:endnote w:type="continuationNotice" w:id="1">
    <w:p w14:paraId="2E0ABB23" w14:textId="77777777" w:rsidR="005C0ACF" w:rsidRDefault="005C0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9DD" w14:textId="77777777" w:rsidR="00FF5939" w:rsidRDefault="00FF5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5688" w14:textId="47749616" w:rsidR="00D20D14" w:rsidRPr="00FF5939" w:rsidRDefault="00FF5939" w:rsidP="00FF5939">
    <w:pPr>
      <w:pStyle w:val="Footer"/>
      <w:jc w:val="center"/>
      <w:rPr>
        <w:rFonts w:cs="Arial"/>
        <w:sz w:val="14"/>
      </w:rPr>
    </w:pPr>
    <w:r w:rsidRPr="00FF593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C91F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C91F4C">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4DB35DF5" w14:textId="6DB029F6" w:rsidR="006B08AE" w:rsidRPr="00FF5939" w:rsidRDefault="00FF5939" w:rsidP="00FF5939">
    <w:pPr>
      <w:spacing w:after="0"/>
      <w:jc w:val="center"/>
      <w:rPr>
        <w:rFonts w:ascii="Arial" w:eastAsia="Calibri" w:hAnsi="Arial" w:cs="Arial"/>
        <w:noProof/>
        <w:sz w:val="14"/>
        <w:szCs w:val="24"/>
      </w:rPr>
    </w:pPr>
    <w:r w:rsidRPr="00FF5939">
      <w:rPr>
        <w:rFonts w:ascii="Arial" w:eastAsia="Calibri" w:hAnsi="Arial" w:cs="Arial"/>
        <w:noProof/>
        <w:sz w:val="14"/>
        <w:szCs w:val="2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6BAFEBE3" w14:textId="5EAEA9AD" w:rsidR="006B08AE" w:rsidRPr="00FF5939" w:rsidRDefault="00FF5939" w:rsidP="00FF5939">
    <w:pPr>
      <w:spacing w:after="0"/>
      <w:jc w:val="center"/>
      <w:rPr>
        <w:rFonts w:ascii="Arial" w:eastAsia="Calibri" w:hAnsi="Arial" w:cs="Arial"/>
        <w:noProof/>
        <w:sz w:val="14"/>
        <w:szCs w:val="24"/>
      </w:rPr>
    </w:pPr>
    <w:r w:rsidRPr="00FF5939">
      <w:rPr>
        <w:rFonts w:ascii="Arial" w:eastAsia="Calibri" w:hAnsi="Arial" w:cs="Arial"/>
        <w:noProof/>
        <w:sz w:val="14"/>
        <w:szCs w:val="2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6E9A" w14:textId="77777777" w:rsidR="005C0ACF" w:rsidRDefault="005C0ACF" w:rsidP="00E90DF9">
      <w:pPr>
        <w:spacing w:after="0" w:line="240" w:lineRule="auto"/>
      </w:pPr>
      <w:r>
        <w:separator/>
      </w:r>
    </w:p>
  </w:footnote>
  <w:footnote w:type="continuationSeparator" w:id="0">
    <w:p w14:paraId="0325EB60" w14:textId="77777777" w:rsidR="005C0ACF" w:rsidRDefault="005C0ACF" w:rsidP="00E90DF9">
      <w:pPr>
        <w:spacing w:after="0" w:line="240" w:lineRule="auto"/>
      </w:pPr>
      <w:r>
        <w:continuationSeparator/>
      </w:r>
    </w:p>
  </w:footnote>
  <w:footnote w:type="continuationNotice" w:id="1">
    <w:p w14:paraId="426632CE" w14:textId="77777777" w:rsidR="005C0ACF" w:rsidRDefault="005C0ACF">
      <w:pPr>
        <w:spacing w:after="0" w:line="240" w:lineRule="auto"/>
      </w:pPr>
    </w:p>
  </w:footnote>
  <w:footnote w:id="2">
    <w:p w14:paraId="4873B6A2" w14:textId="7ADB1863" w:rsidR="009878A9" w:rsidRPr="009878A9" w:rsidRDefault="009878A9">
      <w:pPr>
        <w:pStyle w:val="FootnoteText"/>
        <w:rPr>
          <w:lang w:val="en-AU"/>
        </w:rPr>
      </w:pPr>
      <w:r>
        <w:rPr>
          <w:rStyle w:val="FootnoteReference"/>
        </w:rPr>
        <w:footnoteRef/>
      </w:r>
      <w:r>
        <w:t xml:space="preserve"> </w:t>
      </w:r>
      <w:r>
        <w:rPr>
          <w:lang w:val="en-AU"/>
        </w:rPr>
        <w:t>Environment</w:t>
      </w:r>
      <w:r w:rsidR="0076565B">
        <w:rPr>
          <w:lang w:val="en-AU"/>
        </w:rPr>
        <w:t>al</w:t>
      </w:r>
      <w:r>
        <w:rPr>
          <w:lang w:val="en-AU"/>
        </w:rPr>
        <w:t xml:space="preserve"> </w:t>
      </w:r>
      <w:r w:rsidR="0076565B">
        <w:rPr>
          <w:lang w:val="en-AU"/>
        </w:rPr>
        <w:t xml:space="preserve">Defenders Office </w:t>
      </w:r>
      <w:r>
        <w:rPr>
          <w:lang w:val="en-AU"/>
        </w:rPr>
        <w:t xml:space="preserve">(2022) </w:t>
      </w:r>
      <w:r>
        <w:rPr>
          <w:i/>
          <w:iCs/>
          <w:lang w:val="en-AU"/>
        </w:rPr>
        <w:t>Implementing Effective Independent Environmental Protection Agencies in Australia</w:t>
      </w:r>
      <w:r>
        <w:rPr>
          <w:lang w:val="en-AU"/>
        </w:rPr>
        <w:t xml:space="preserve"> , </w:t>
      </w:r>
    </w:p>
  </w:footnote>
  <w:footnote w:id="3">
    <w:p w14:paraId="0AE15169" w14:textId="4EA4253E" w:rsidR="0076565B" w:rsidRPr="0076565B" w:rsidRDefault="0076565B">
      <w:pPr>
        <w:pStyle w:val="FootnoteText"/>
        <w:rPr>
          <w:lang w:val="en-AU"/>
        </w:rPr>
      </w:pPr>
      <w:r>
        <w:rPr>
          <w:rStyle w:val="FootnoteReference"/>
        </w:rPr>
        <w:footnoteRef/>
      </w:r>
      <w:r>
        <w:t xml:space="preserve"> </w:t>
      </w:r>
      <w:r>
        <w:rPr>
          <w:lang w:val="en-AU"/>
        </w:rPr>
        <w:t>Ibid, pages 8, 11 to 14, 17, and 18 to 22.</w:t>
      </w:r>
    </w:p>
  </w:footnote>
  <w:footnote w:id="4">
    <w:p w14:paraId="64B34933" w14:textId="7820CE5D" w:rsidR="00E9636C" w:rsidRPr="00E9636C" w:rsidRDefault="00E9636C">
      <w:pPr>
        <w:pStyle w:val="FootnoteText"/>
        <w:rPr>
          <w:lang w:val="en-AU"/>
        </w:rPr>
      </w:pPr>
      <w:r>
        <w:rPr>
          <w:rStyle w:val="FootnoteReference"/>
        </w:rPr>
        <w:footnoteRef/>
      </w:r>
      <w:r>
        <w:t xml:space="preserve"> </w:t>
      </w:r>
      <w:r w:rsidRPr="00E9636C">
        <w:rPr>
          <w:i/>
          <w:iCs/>
        </w:rPr>
        <w:t>UWA v Gray</w:t>
      </w:r>
      <w:r>
        <w:t xml:space="preserve"> [2008] FCA 498 [89] cited in Australian Law Reform Commission (2014) </w:t>
      </w:r>
      <w:r>
        <w:rPr>
          <w:i/>
          <w:iCs/>
        </w:rPr>
        <w:t>Traditional Rights and Freedoms-Encroachments by Commonwealth Laws</w:t>
      </w:r>
      <w:r>
        <w:t xml:space="preserve"> (ALRC, Canberra), page 48 </w:t>
      </w:r>
      <w:r w:rsidR="00F833B7">
        <w:br/>
      </w:r>
      <w:r>
        <w:t>&lt;</w:t>
      </w:r>
      <w:hyperlink r:id="rId1" w:history="1">
        <w:r w:rsidR="00F833B7" w:rsidRPr="0094002D">
          <w:rPr>
            <w:rStyle w:val="Hyperlink"/>
          </w:rPr>
          <w:t>https://www.alrc.gov.au/publication/traditional-rights-and-freedoms-encroachments-by-commonwealth-laws-ip-46/6-property-rights/a-common-law-right-5/</w:t>
        </w:r>
      </w:hyperlink>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6AC4" w14:textId="66384D22" w:rsidR="006D1D16" w:rsidRDefault="006D1D16">
    <w:pPr>
      <w:pStyle w:val="Header"/>
    </w:pPr>
    <w:r>
      <w:rPr>
        <w:noProof/>
        <w14:ligatures w14:val="standardContextual"/>
      </w:rPr>
      <mc:AlternateContent>
        <mc:Choice Requires="wps">
          <w:drawing>
            <wp:anchor distT="0" distB="0" distL="0" distR="0" simplePos="0" relativeHeight="251658241" behindDoc="0" locked="0" layoutInCell="1" allowOverlap="1" wp14:anchorId="18F3F742" wp14:editId="6930495E">
              <wp:simplePos x="635" y="635"/>
              <wp:positionH relativeFrom="page">
                <wp:align>center</wp:align>
              </wp:positionH>
              <wp:positionV relativeFrom="page">
                <wp:align>top</wp:align>
              </wp:positionV>
              <wp:extent cx="443865" cy="443865"/>
              <wp:effectExtent l="0" t="0" r="14605" b="14605"/>
              <wp:wrapNone/>
              <wp:docPr id="2" name="Text Box 2" descr="CABINE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08C35" w14:textId="64DF7B1C" w:rsidR="006D1D16" w:rsidRPr="006D1D16" w:rsidRDefault="006D1D16" w:rsidP="006D1D16">
                          <w:pPr>
                            <w:spacing w:after="0"/>
                            <w:rPr>
                              <w:rFonts w:eastAsia="Calibri" w:cs="Calibri"/>
                              <w:noProof/>
                              <w:color w:val="FF0000"/>
                              <w:sz w:val="24"/>
                              <w:szCs w:val="24"/>
                            </w:rPr>
                          </w:pPr>
                          <w:r w:rsidRPr="006D1D16">
                            <w:rPr>
                              <w:rFonts w:eastAsia="Calibri" w:cs="Calibri"/>
                              <w:noProof/>
                              <w:color w:val="FF0000"/>
                              <w:sz w:val="24"/>
                              <w:szCs w:val="24"/>
                            </w:rPr>
                            <w:t xml:space="preserve">CABINET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F3F742" id="_x0000_t202" coordsize="21600,21600" o:spt="202" path="m,l,21600r21600,l21600,xe">
              <v:stroke joinstyle="miter"/>
              <v:path gradientshapeok="t" o:connecttype="rect"/>
            </v:shapetype>
            <v:shape id="Text Box 2" o:spid="_x0000_s1026" type="#_x0000_t202" alt="CABINET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B108C35" w14:textId="64DF7B1C" w:rsidR="006D1D16" w:rsidRPr="006D1D16" w:rsidRDefault="006D1D16" w:rsidP="006D1D16">
                    <w:pPr>
                      <w:spacing w:after="0"/>
                      <w:rPr>
                        <w:rFonts w:eastAsia="Calibri" w:cs="Calibri"/>
                        <w:noProof/>
                        <w:color w:val="FF0000"/>
                        <w:sz w:val="24"/>
                        <w:szCs w:val="24"/>
                      </w:rPr>
                    </w:pPr>
                    <w:r w:rsidRPr="006D1D16">
                      <w:rPr>
                        <w:rFonts w:eastAsia="Calibri" w:cs="Calibri"/>
                        <w:noProof/>
                        <w:color w:val="FF0000"/>
                        <w:sz w:val="24"/>
                        <w:szCs w:val="24"/>
                      </w:rPr>
                      <w:t xml:space="preserve">CABINET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2FAA" w14:textId="29FE6028" w:rsidR="006D1D16" w:rsidRDefault="006D1D16">
    <w:pPr>
      <w:pStyle w:val="Header"/>
    </w:pPr>
    <w:r>
      <w:rPr>
        <w:noProof/>
        <w14:ligatures w14:val="standardContextual"/>
      </w:rPr>
      <mc:AlternateContent>
        <mc:Choice Requires="wps">
          <w:drawing>
            <wp:anchor distT="0" distB="0" distL="0" distR="0" simplePos="0" relativeHeight="251658242" behindDoc="0" locked="0" layoutInCell="1" allowOverlap="1" wp14:anchorId="1EBBB407" wp14:editId="1D936CC2">
              <wp:simplePos x="914400" y="450273"/>
              <wp:positionH relativeFrom="page">
                <wp:align>center</wp:align>
              </wp:positionH>
              <wp:positionV relativeFrom="page">
                <wp:align>top</wp:align>
              </wp:positionV>
              <wp:extent cx="443865" cy="443865"/>
              <wp:effectExtent l="0" t="0" r="14605" b="14605"/>
              <wp:wrapNone/>
              <wp:docPr id="3" name="Text Box 3" descr="CABINE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4E1B2" w14:textId="7EEBECF9" w:rsidR="006D1D16" w:rsidRPr="006B08AE" w:rsidRDefault="006D1D16" w:rsidP="006D1D16">
                          <w:pPr>
                            <w:spacing w:after="0"/>
                            <w:rPr>
                              <w:rFonts w:eastAsia="Calibri" w:cs="Calibri"/>
                              <w:b/>
                              <w:bCs/>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BB407" id="_x0000_t202" coordsize="21600,21600" o:spt="202" path="m,l,21600r21600,l21600,xe">
              <v:stroke joinstyle="miter"/>
              <v:path gradientshapeok="t" o:connecttype="rect"/>
            </v:shapetype>
            <v:shape id="Text Box 3" o:spid="_x0000_s1027" type="#_x0000_t202" alt="CABINET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E4E1B2" w14:textId="7EEBECF9" w:rsidR="006D1D16" w:rsidRPr="006B08AE" w:rsidRDefault="006D1D16" w:rsidP="006D1D16">
                    <w:pPr>
                      <w:spacing w:after="0"/>
                      <w:rPr>
                        <w:rFonts w:eastAsia="Calibri" w:cs="Calibri"/>
                        <w:b/>
                        <w:bCs/>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8BF1" w14:textId="78B3BFC7" w:rsidR="006D1D16" w:rsidRDefault="006D1D16">
    <w:pPr>
      <w:pStyle w:val="Header"/>
    </w:pPr>
    <w:r>
      <w:rPr>
        <w:noProof/>
        <w14:ligatures w14:val="standardContextual"/>
      </w:rPr>
      <mc:AlternateContent>
        <mc:Choice Requires="wps">
          <w:drawing>
            <wp:anchor distT="0" distB="0" distL="0" distR="0" simplePos="0" relativeHeight="251658240" behindDoc="0" locked="0" layoutInCell="1" allowOverlap="1" wp14:anchorId="22D138B8" wp14:editId="23F95525">
              <wp:simplePos x="915035" y="450850"/>
              <wp:positionH relativeFrom="page">
                <wp:align>center</wp:align>
              </wp:positionH>
              <wp:positionV relativeFrom="page">
                <wp:align>top</wp:align>
              </wp:positionV>
              <wp:extent cx="443865" cy="443865"/>
              <wp:effectExtent l="0" t="0" r="14605" b="14605"/>
              <wp:wrapNone/>
              <wp:docPr id="1" name="Text Box 1" descr="CABINE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19CB94" w14:textId="34A3E1A8" w:rsidR="006D1D16" w:rsidRPr="006D1D16" w:rsidRDefault="006D1D16" w:rsidP="006D1D16">
                          <w:pPr>
                            <w:spacing w:after="0"/>
                            <w:rPr>
                              <w:rFonts w:eastAsia="Calibri" w:cs="Calibri"/>
                              <w:noProof/>
                              <w:color w:val="FF0000"/>
                              <w:sz w:val="24"/>
                              <w:szCs w:val="24"/>
                            </w:rPr>
                          </w:pPr>
                          <w:r w:rsidRPr="006D1D16">
                            <w:rPr>
                              <w:rFonts w:eastAsia="Calibri" w:cs="Calibri"/>
                              <w:noProof/>
                              <w:color w:val="FF0000"/>
                              <w:sz w:val="24"/>
                              <w:szCs w:val="24"/>
                            </w:rPr>
                            <w:t xml:space="preserve">CABINET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D138B8" id="_x0000_t202" coordsize="21600,21600" o:spt="202" path="m,l,21600r21600,l21600,xe">
              <v:stroke joinstyle="miter"/>
              <v:path gradientshapeok="t" o:connecttype="rect"/>
            </v:shapetype>
            <v:shape id="Text Box 1" o:spid="_x0000_s1028" type="#_x0000_t202" alt="CABINET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C19CB94" w14:textId="34A3E1A8" w:rsidR="006D1D16" w:rsidRPr="006D1D16" w:rsidRDefault="006D1D16" w:rsidP="006D1D16">
                    <w:pPr>
                      <w:spacing w:after="0"/>
                      <w:rPr>
                        <w:rFonts w:eastAsia="Calibri" w:cs="Calibri"/>
                        <w:noProof/>
                        <w:color w:val="FF0000"/>
                        <w:sz w:val="24"/>
                        <w:szCs w:val="24"/>
                      </w:rPr>
                    </w:pPr>
                    <w:r w:rsidRPr="006D1D16">
                      <w:rPr>
                        <w:rFonts w:eastAsia="Calibri" w:cs="Calibri"/>
                        <w:noProof/>
                        <w:color w:val="FF0000"/>
                        <w:sz w:val="24"/>
                        <w:szCs w:val="24"/>
                      </w:rPr>
                      <w:t xml:space="preserve">CABINET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8D2E" w14:textId="523ABC61" w:rsidR="006D1D16" w:rsidRDefault="006D1D16">
    <w:pPr>
      <w:pStyle w:val="Header"/>
    </w:pPr>
    <w:r>
      <w:rPr>
        <w:noProof/>
        <w14:ligatures w14:val="standardContextual"/>
      </w:rPr>
      <mc:AlternateContent>
        <mc:Choice Requires="wps">
          <w:drawing>
            <wp:anchor distT="0" distB="0" distL="0" distR="0" simplePos="0" relativeHeight="251658244" behindDoc="0" locked="0" layoutInCell="1" allowOverlap="1" wp14:anchorId="3259AFD4" wp14:editId="6C7D901A">
              <wp:simplePos x="635" y="635"/>
              <wp:positionH relativeFrom="page">
                <wp:align>center</wp:align>
              </wp:positionH>
              <wp:positionV relativeFrom="page">
                <wp:align>top</wp:align>
              </wp:positionV>
              <wp:extent cx="443865" cy="443865"/>
              <wp:effectExtent l="0" t="0" r="14605" b="14605"/>
              <wp:wrapNone/>
              <wp:docPr id="5" name="Text Box 5" descr="CABINE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2C6905" w14:textId="5FC5B3B7" w:rsidR="006D1D16" w:rsidRPr="006D1D16" w:rsidRDefault="006D1D16" w:rsidP="006D1D16">
                          <w:pPr>
                            <w:spacing w:after="0"/>
                            <w:rPr>
                              <w:rFonts w:eastAsia="Calibri" w:cs="Calibri"/>
                              <w:noProof/>
                              <w:color w:val="FF0000"/>
                              <w:sz w:val="24"/>
                              <w:szCs w:val="24"/>
                            </w:rPr>
                          </w:pPr>
                          <w:r w:rsidRPr="006D1D16">
                            <w:rPr>
                              <w:rFonts w:eastAsia="Calibri" w:cs="Calibri"/>
                              <w:noProof/>
                              <w:color w:val="FF0000"/>
                              <w:sz w:val="24"/>
                              <w:szCs w:val="24"/>
                            </w:rPr>
                            <w:t xml:space="preserve">CABINET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9AFD4" id="_x0000_t202" coordsize="21600,21600" o:spt="202" path="m,l,21600r21600,l21600,xe">
              <v:stroke joinstyle="miter"/>
              <v:path gradientshapeok="t" o:connecttype="rect"/>
            </v:shapetype>
            <v:shape id="Text Box 5" o:spid="_x0000_s1029" type="#_x0000_t202" alt="CABINET "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12C6905" w14:textId="5FC5B3B7" w:rsidR="006D1D16" w:rsidRPr="006D1D16" w:rsidRDefault="006D1D16" w:rsidP="006D1D16">
                    <w:pPr>
                      <w:spacing w:after="0"/>
                      <w:rPr>
                        <w:rFonts w:eastAsia="Calibri" w:cs="Calibri"/>
                        <w:noProof/>
                        <w:color w:val="FF0000"/>
                        <w:sz w:val="24"/>
                        <w:szCs w:val="24"/>
                      </w:rPr>
                    </w:pPr>
                    <w:r w:rsidRPr="006D1D16">
                      <w:rPr>
                        <w:rFonts w:eastAsia="Calibri" w:cs="Calibri"/>
                        <w:noProof/>
                        <w:color w:val="FF0000"/>
                        <w:sz w:val="24"/>
                        <w:szCs w:val="24"/>
                      </w:rPr>
                      <w:t xml:space="preserve">CABINET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D5F8" w14:textId="2BF9CAFD" w:rsidR="006D1D16" w:rsidRDefault="006D1D16">
    <w:pPr>
      <w:pStyle w:val="Header"/>
    </w:pPr>
    <w:r>
      <w:rPr>
        <w:noProof/>
        <w14:ligatures w14:val="standardContextual"/>
      </w:rPr>
      <mc:AlternateContent>
        <mc:Choice Requires="wps">
          <w:drawing>
            <wp:anchor distT="0" distB="0" distL="0" distR="0" simplePos="0" relativeHeight="251658245" behindDoc="0" locked="0" layoutInCell="1" allowOverlap="1" wp14:anchorId="28ED0FCC" wp14:editId="16E54F5D">
              <wp:simplePos x="914400" y="450273"/>
              <wp:positionH relativeFrom="page">
                <wp:align>center</wp:align>
              </wp:positionH>
              <wp:positionV relativeFrom="page">
                <wp:align>top</wp:align>
              </wp:positionV>
              <wp:extent cx="443865" cy="443865"/>
              <wp:effectExtent l="0" t="0" r="14605" b="14605"/>
              <wp:wrapNone/>
              <wp:docPr id="6" name="Text Box 6" descr="CABINE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52CF1" w14:textId="661CFFAB" w:rsidR="006D1D16" w:rsidRPr="006B08AE" w:rsidRDefault="006D1D16" w:rsidP="006D1D16">
                          <w:pPr>
                            <w:spacing w:after="0"/>
                            <w:rPr>
                              <w:rFonts w:eastAsia="Calibri" w:cs="Calibri"/>
                              <w:b/>
                              <w:bCs/>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D0FCC" id="_x0000_t202" coordsize="21600,21600" o:spt="202" path="m,l,21600r21600,l21600,xe">
              <v:stroke joinstyle="miter"/>
              <v:path gradientshapeok="t" o:connecttype="rect"/>
            </v:shapetype>
            <v:shape id="Text Box 6" o:spid="_x0000_s1030" type="#_x0000_t202" alt="CABINET "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F352CF1" w14:textId="661CFFAB" w:rsidR="006D1D16" w:rsidRPr="006B08AE" w:rsidRDefault="006D1D16" w:rsidP="006D1D16">
                    <w:pPr>
                      <w:spacing w:after="0"/>
                      <w:rPr>
                        <w:rFonts w:eastAsia="Calibri" w:cs="Calibri"/>
                        <w:b/>
                        <w:bCs/>
                        <w:noProof/>
                        <w:color w:val="FF0000"/>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FC77" w14:textId="571EC9D3" w:rsidR="006D1D16" w:rsidRDefault="006D1D16">
    <w:pPr>
      <w:pStyle w:val="Header"/>
    </w:pPr>
    <w:r>
      <w:rPr>
        <w:noProof/>
        <w14:ligatures w14:val="standardContextual"/>
      </w:rPr>
      <mc:AlternateContent>
        <mc:Choice Requires="wps">
          <w:drawing>
            <wp:anchor distT="0" distB="0" distL="0" distR="0" simplePos="0" relativeHeight="251658243" behindDoc="0" locked="0" layoutInCell="1" allowOverlap="1" wp14:anchorId="53319505" wp14:editId="12BBCFBB">
              <wp:simplePos x="915035" y="450850"/>
              <wp:positionH relativeFrom="page">
                <wp:align>center</wp:align>
              </wp:positionH>
              <wp:positionV relativeFrom="page">
                <wp:align>top</wp:align>
              </wp:positionV>
              <wp:extent cx="443865" cy="443865"/>
              <wp:effectExtent l="0" t="0" r="14605" b="14605"/>
              <wp:wrapNone/>
              <wp:docPr id="4" name="Text Box 4" descr="CABINET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37EBC" w14:textId="6EF67F8E" w:rsidR="006D1D16" w:rsidRPr="006B08AE" w:rsidRDefault="006D1D16" w:rsidP="006D1D16">
                          <w:pPr>
                            <w:spacing w:after="0"/>
                            <w:rPr>
                              <w:rFonts w:eastAsia="Calibri" w:cs="Calibri"/>
                              <w:b/>
                              <w:bCs/>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319505" id="_x0000_t202" coordsize="21600,21600" o:spt="202" path="m,l,21600r21600,l21600,xe">
              <v:stroke joinstyle="miter"/>
              <v:path gradientshapeok="t" o:connecttype="rect"/>
            </v:shapetype>
            <v:shape id="Text Box 4" o:spid="_x0000_s1031" type="#_x0000_t202" alt="CABINET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2A37EBC" w14:textId="6EF67F8E" w:rsidR="006D1D16" w:rsidRPr="006B08AE" w:rsidRDefault="006D1D16" w:rsidP="006D1D16">
                    <w:pPr>
                      <w:spacing w:after="0"/>
                      <w:rPr>
                        <w:rFonts w:eastAsia="Calibri" w:cs="Calibri"/>
                        <w:b/>
                        <w:bCs/>
                        <w:noProof/>
                        <w:color w:val="FF0000"/>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E7E60A9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C205D9"/>
    <w:multiLevelType w:val="hybridMultilevel"/>
    <w:tmpl w:val="276C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B942AD"/>
    <w:multiLevelType w:val="hybridMultilevel"/>
    <w:tmpl w:val="E7E60A9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5B97C96"/>
    <w:multiLevelType w:val="hybridMultilevel"/>
    <w:tmpl w:val="9D460E3C"/>
    <w:lvl w:ilvl="0" w:tplc="54466AF6">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CBDC6C88">
      <w:numFmt w:val="bullet"/>
      <w:lvlText w:val="•"/>
      <w:lvlJc w:val="left"/>
      <w:pPr>
        <w:ind w:left="1684" w:hanging="360"/>
      </w:pPr>
      <w:rPr>
        <w:rFonts w:hint="default"/>
        <w:lang w:val="en-AU" w:eastAsia="en-US" w:bidi="ar-SA"/>
      </w:rPr>
    </w:lvl>
    <w:lvl w:ilvl="2" w:tplc="F91AE0E8">
      <w:numFmt w:val="bullet"/>
      <w:lvlText w:val="•"/>
      <w:lvlJc w:val="left"/>
      <w:pPr>
        <w:ind w:left="2529" w:hanging="360"/>
      </w:pPr>
      <w:rPr>
        <w:rFonts w:hint="default"/>
        <w:lang w:val="en-AU" w:eastAsia="en-US" w:bidi="ar-SA"/>
      </w:rPr>
    </w:lvl>
    <w:lvl w:ilvl="3" w:tplc="B5B8D466">
      <w:numFmt w:val="bullet"/>
      <w:lvlText w:val="•"/>
      <w:lvlJc w:val="left"/>
      <w:pPr>
        <w:ind w:left="3373" w:hanging="360"/>
      </w:pPr>
      <w:rPr>
        <w:rFonts w:hint="default"/>
        <w:lang w:val="en-AU" w:eastAsia="en-US" w:bidi="ar-SA"/>
      </w:rPr>
    </w:lvl>
    <w:lvl w:ilvl="4" w:tplc="0F50DDBE">
      <w:numFmt w:val="bullet"/>
      <w:lvlText w:val="•"/>
      <w:lvlJc w:val="left"/>
      <w:pPr>
        <w:ind w:left="4218" w:hanging="360"/>
      </w:pPr>
      <w:rPr>
        <w:rFonts w:hint="default"/>
        <w:lang w:val="en-AU" w:eastAsia="en-US" w:bidi="ar-SA"/>
      </w:rPr>
    </w:lvl>
    <w:lvl w:ilvl="5" w:tplc="754A0CA0">
      <w:numFmt w:val="bullet"/>
      <w:lvlText w:val="•"/>
      <w:lvlJc w:val="left"/>
      <w:pPr>
        <w:ind w:left="5063" w:hanging="360"/>
      </w:pPr>
      <w:rPr>
        <w:rFonts w:hint="default"/>
        <w:lang w:val="en-AU" w:eastAsia="en-US" w:bidi="ar-SA"/>
      </w:rPr>
    </w:lvl>
    <w:lvl w:ilvl="6" w:tplc="AB80ED60">
      <w:numFmt w:val="bullet"/>
      <w:lvlText w:val="•"/>
      <w:lvlJc w:val="left"/>
      <w:pPr>
        <w:ind w:left="5907" w:hanging="360"/>
      </w:pPr>
      <w:rPr>
        <w:rFonts w:hint="default"/>
        <w:lang w:val="en-AU" w:eastAsia="en-US" w:bidi="ar-SA"/>
      </w:rPr>
    </w:lvl>
    <w:lvl w:ilvl="7" w:tplc="0DF842D6">
      <w:numFmt w:val="bullet"/>
      <w:lvlText w:val="•"/>
      <w:lvlJc w:val="left"/>
      <w:pPr>
        <w:ind w:left="6752" w:hanging="360"/>
      </w:pPr>
      <w:rPr>
        <w:rFonts w:hint="default"/>
        <w:lang w:val="en-AU" w:eastAsia="en-US" w:bidi="ar-SA"/>
      </w:rPr>
    </w:lvl>
    <w:lvl w:ilvl="8" w:tplc="8B329F40">
      <w:numFmt w:val="bullet"/>
      <w:lvlText w:val="•"/>
      <w:lvlJc w:val="left"/>
      <w:pPr>
        <w:ind w:left="7597" w:hanging="360"/>
      </w:pPr>
      <w:rPr>
        <w:rFonts w:hint="default"/>
        <w:lang w:val="en-AU" w:eastAsia="en-US" w:bidi="ar-SA"/>
      </w:rPr>
    </w:lvl>
  </w:abstractNum>
  <w:abstractNum w:abstractNumId="4" w15:restartNumberingAfterBreak="0">
    <w:nsid w:val="49F03889"/>
    <w:multiLevelType w:val="hybridMultilevel"/>
    <w:tmpl w:val="54DC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20496C"/>
    <w:multiLevelType w:val="hybridMultilevel"/>
    <w:tmpl w:val="FE3A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1696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E5F4F8D"/>
    <w:multiLevelType w:val="hybridMultilevel"/>
    <w:tmpl w:val="D0E8CFDC"/>
    <w:lvl w:ilvl="0" w:tplc="D80AB2D2">
      <w:start w:val="1"/>
      <w:numFmt w:val="decimal"/>
      <w:lvlText w:val="%1)"/>
      <w:lvlJc w:val="left"/>
      <w:pPr>
        <w:ind w:left="36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5321631">
    <w:abstractNumId w:val="0"/>
  </w:num>
  <w:num w:numId="2" w16cid:durableId="883953034">
    <w:abstractNumId w:val="7"/>
  </w:num>
  <w:num w:numId="3" w16cid:durableId="834539640">
    <w:abstractNumId w:val="1"/>
  </w:num>
  <w:num w:numId="4" w16cid:durableId="1928728401">
    <w:abstractNumId w:val="3"/>
  </w:num>
  <w:num w:numId="5" w16cid:durableId="494541107">
    <w:abstractNumId w:val="5"/>
  </w:num>
  <w:num w:numId="6" w16cid:durableId="935750124">
    <w:abstractNumId w:val="2"/>
  </w:num>
  <w:num w:numId="7" w16cid:durableId="1145774563">
    <w:abstractNumId w:val="4"/>
  </w:num>
  <w:num w:numId="8" w16cid:durableId="1220164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02671"/>
    <w:rsid w:val="00003E6F"/>
    <w:rsid w:val="0000584B"/>
    <w:rsid w:val="00013940"/>
    <w:rsid w:val="0001597A"/>
    <w:rsid w:val="00027CE1"/>
    <w:rsid w:val="00056110"/>
    <w:rsid w:val="0006541B"/>
    <w:rsid w:val="000655CC"/>
    <w:rsid w:val="00071994"/>
    <w:rsid w:val="000744FD"/>
    <w:rsid w:val="00081C89"/>
    <w:rsid w:val="00084DD6"/>
    <w:rsid w:val="00091A30"/>
    <w:rsid w:val="000947B0"/>
    <w:rsid w:val="000B34DB"/>
    <w:rsid w:val="000B6BFB"/>
    <w:rsid w:val="000D3F2D"/>
    <w:rsid w:val="000E01F5"/>
    <w:rsid w:val="000F0480"/>
    <w:rsid w:val="000F5D51"/>
    <w:rsid w:val="001018D3"/>
    <w:rsid w:val="00116778"/>
    <w:rsid w:val="001168EA"/>
    <w:rsid w:val="001230B6"/>
    <w:rsid w:val="0012511E"/>
    <w:rsid w:val="001266A1"/>
    <w:rsid w:val="001372D2"/>
    <w:rsid w:val="0014258C"/>
    <w:rsid w:val="0014432A"/>
    <w:rsid w:val="00146A63"/>
    <w:rsid w:val="00155E4D"/>
    <w:rsid w:val="00164598"/>
    <w:rsid w:val="00167208"/>
    <w:rsid w:val="0016794E"/>
    <w:rsid w:val="0017240F"/>
    <w:rsid w:val="00172824"/>
    <w:rsid w:val="00184483"/>
    <w:rsid w:val="001851B7"/>
    <w:rsid w:val="001A035F"/>
    <w:rsid w:val="001A288A"/>
    <w:rsid w:val="001B3AC4"/>
    <w:rsid w:val="001C0571"/>
    <w:rsid w:val="001C53BF"/>
    <w:rsid w:val="001D0B53"/>
    <w:rsid w:val="001D6494"/>
    <w:rsid w:val="001E40C7"/>
    <w:rsid w:val="001E7564"/>
    <w:rsid w:val="001F1112"/>
    <w:rsid w:val="002162F4"/>
    <w:rsid w:val="002202A3"/>
    <w:rsid w:val="00223987"/>
    <w:rsid w:val="002333A6"/>
    <w:rsid w:val="002362BE"/>
    <w:rsid w:val="002435F3"/>
    <w:rsid w:val="00244107"/>
    <w:rsid w:val="0026226E"/>
    <w:rsid w:val="002631EC"/>
    <w:rsid w:val="002720BD"/>
    <w:rsid w:val="00272E3E"/>
    <w:rsid w:val="00275CBE"/>
    <w:rsid w:val="0029090B"/>
    <w:rsid w:val="00290C8B"/>
    <w:rsid w:val="002A2F5D"/>
    <w:rsid w:val="002B102A"/>
    <w:rsid w:val="002B35D8"/>
    <w:rsid w:val="002C0AC6"/>
    <w:rsid w:val="002C3E71"/>
    <w:rsid w:val="002C6E48"/>
    <w:rsid w:val="002D24AC"/>
    <w:rsid w:val="002E20B1"/>
    <w:rsid w:val="002F29A4"/>
    <w:rsid w:val="0030210E"/>
    <w:rsid w:val="00304195"/>
    <w:rsid w:val="00306897"/>
    <w:rsid w:val="0031614D"/>
    <w:rsid w:val="00321517"/>
    <w:rsid w:val="00321EC9"/>
    <w:rsid w:val="00326889"/>
    <w:rsid w:val="00336514"/>
    <w:rsid w:val="003457B4"/>
    <w:rsid w:val="00361EA9"/>
    <w:rsid w:val="003626F5"/>
    <w:rsid w:val="00364752"/>
    <w:rsid w:val="00366345"/>
    <w:rsid w:val="00366B0F"/>
    <w:rsid w:val="003710A8"/>
    <w:rsid w:val="003744C7"/>
    <w:rsid w:val="00384B79"/>
    <w:rsid w:val="0039122E"/>
    <w:rsid w:val="0039744C"/>
    <w:rsid w:val="003A03C0"/>
    <w:rsid w:val="003A08E7"/>
    <w:rsid w:val="003A3531"/>
    <w:rsid w:val="003B2E97"/>
    <w:rsid w:val="003B30E7"/>
    <w:rsid w:val="003C4815"/>
    <w:rsid w:val="003E2F06"/>
    <w:rsid w:val="003E42C4"/>
    <w:rsid w:val="003F3702"/>
    <w:rsid w:val="003F6B0E"/>
    <w:rsid w:val="004036CC"/>
    <w:rsid w:val="00413A03"/>
    <w:rsid w:val="004279AD"/>
    <w:rsid w:val="0043368E"/>
    <w:rsid w:val="004409FB"/>
    <w:rsid w:val="00444CDA"/>
    <w:rsid w:val="0045049E"/>
    <w:rsid w:val="0045314A"/>
    <w:rsid w:val="00455D3C"/>
    <w:rsid w:val="00456257"/>
    <w:rsid w:val="00465775"/>
    <w:rsid w:val="0046764A"/>
    <w:rsid w:val="00467DB7"/>
    <w:rsid w:val="00470E9B"/>
    <w:rsid w:val="00473A7B"/>
    <w:rsid w:val="00473C50"/>
    <w:rsid w:val="00475231"/>
    <w:rsid w:val="00486C38"/>
    <w:rsid w:val="00487D63"/>
    <w:rsid w:val="004A6845"/>
    <w:rsid w:val="004A75C5"/>
    <w:rsid w:val="004B01CB"/>
    <w:rsid w:val="004B14BC"/>
    <w:rsid w:val="004B15B6"/>
    <w:rsid w:val="004B640D"/>
    <w:rsid w:val="004B766B"/>
    <w:rsid w:val="004C34C5"/>
    <w:rsid w:val="004D10B7"/>
    <w:rsid w:val="004D12A1"/>
    <w:rsid w:val="004D3411"/>
    <w:rsid w:val="004D3C23"/>
    <w:rsid w:val="004D57BE"/>
    <w:rsid w:val="004D5D26"/>
    <w:rsid w:val="004E7940"/>
    <w:rsid w:val="004F2420"/>
    <w:rsid w:val="004F6D1A"/>
    <w:rsid w:val="00503E6E"/>
    <w:rsid w:val="0051093B"/>
    <w:rsid w:val="0052074E"/>
    <w:rsid w:val="00520D71"/>
    <w:rsid w:val="00535250"/>
    <w:rsid w:val="00535C35"/>
    <w:rsid w:val="0056647E"/>
    <w:rsid w:val="00566727"/>
    <w:rsid w:val="00570CFC"/>
    <w:rsid w:val="00573824"/>
    <w:rsid w:val="005765C4"/>
    <w:rsid w:val="00576986"/>
    <w:rsid w:val="00585AA3"/>
    <w:rsid w:val="00586461"/>
    <w:rsid w:val="00591AF0"/>
    <w:rsid w:val="00592B17"/>
    <w:rsid w:val="005B0897"/>
    <w:rsid w:val="005B0D01"/>
    <w:rsid w:val="005B54B7"/>
    <w:rsid w:val="005C0ACF"/>
    <w:rsid w:val="005E253A"/>
    <w:rsid w:val="005E369E"/>
    <w:rsid w:val="005E74AF"/>
    <w:rsid w:val="005F102D"/>
    <w:rsid w:val="005F602A"/>
    <w:rsid w:val="00601738"/>
    <w:rsid w:val="00602491"/>
    <w:rsid w:val="00604BF4"/>
    <w:rsid w:val="00604E28"/>
    <w:rsid w:val="00606B09"/>
    <w:rsid w:val="00610BA6"/>
    <w:rsid w:val="00621440"/>
    <w:rsid w:val="006241B2"/>
    <w:rsid w:val="006248B1"/>
    <w:rsid w:val="00634AFB"/>
    <w:rsid w:val="00640B08"/>
    <w:rsid w:val="00643059"/>
    <w:rsid w:val="00653262"/>
    <w:rsid w:val="00662CB4"/>
    <w:rsid w:val="00664D9C"/>
    <w:rsid w:val="006652FF"/>
    <w:rsid w:val="00665F0B"/>
    <w:rsid w:val="006667E9"/>
    <w:rsid w:val="0067195A"/>
    <w:rsid w:val="00677006"/>
    <w:rsid w:val="006801E4"/>
    <w:rsid w:val="00690611"/>
    <w:rsid w:val="006928F9"/>
    <w:rsid w:val="00697095"/>
    <w:rsid w:val="006B08AE"/>
    <w:rsid w:val="006B36EF"/>
    <w:rsid w:val="006B5055"/>
    <w:rsid w:val="006C34C7"/>
    <w:rsid w:val="006C3748"/>
    <w:rsid w:val="006C3D99"/>
    <w:rsid w:val="006C6342"/>
    <w:rsid w:val="006D1D16"/>
    <w:rsid w:val="006D2B8A"/>
    <w:rsid w:val="006D5C6C"/>
    <w:rsid w:val="006D78EE"/>
    <w:rsid w:val="006E1373"/>
    <w:rsid w:val="006E34BA"/>
    <w:rsid w:val="006E713F"/>
    <w:rsid w:val="006E78CD"/>
    <w:rsid w:val="006F4C35"/>
    <w:rsid w:val="007043EA"/>
    <w:rsid w:val="007064B0"/>
    <w:rsid w:val="00720EE6"/>
    <w:rsid w:val="00722698"/>
    <w:rsid w:val="00723128"/>
    <w:rsid w:val="007242EA"/>
    <w:rsid w:val="00724A07"/>
    <w:rsid w:val="00741544"/>
    <w:rsid w:val="00746F46"/>
    <w:rsid w:val="007471DC"/>
    <w:rsid w:val="00750F9C"/>
    <w:rsid w:val="0076565B"/>
    <w:rsid w:val="00773D66"/>
    <w:rsid w:val="00776337"/>
    <w:rsid w:val="00783A27"/>
    <w:rsid w:val="00796C73"/>
    <w:rsid w:val="007A2321"/>
    <w:rsid w:val="007B622A"/>
    <w:rsid w:val="007C6115"/>
    <w:rsid w:val="007D27FC"/>
    <w:rsid w:val="007D5019"/>
    <w:rsid w:val="007E102E"/>
    <w:rsid w:val="007F4873"/>
    <w:rsid w:val="00801BF3"/>
    <w:rsid w:val="008041BC"/>
    <w:rsid w:val="00804991"/>
    <w:rsid w:val="00810494"/>
    <w:rsid w:val="0081085C"/>
    <w:rsid w:val="00814855"/>
    <w:rsid w:val="00817B84"/>
    <w:rsid w:val="00817D4D"/>
    <w:rsid w:val="0082209D"/>
    <w:rsid w:val="00825FB3"/>
    <w:rsid w:val="00827F86"/>
    <w:rsid w:val="00841DDC"/>
    <w:rsid w:val="0084478F"/>
    <w:rsid w:val="00844848"/>
    <w:rsid w:val="00850310"/>
    <w:rsid w:val="00850EE8"/>
    <w:rsid w:val="0085608B"/>
    <w:rsid w:val="00860C08"/>
    <w:rsid w:val="0087483E"/>
    <w:rsid w:val="0088621E"/>
    <w:rsid w:val="00893CCA"/>
    <w:rsid w:val="008945BA"/>
    <w:rsid w:val="00895ACD"/>
    <w:rsid w:val="008A07A0"/>
    <w:rsid w:val="008A1293"/>
    <w:rsid w:val="008A313B"/>
    <w:rsid w:val="008A3ED2"/>
    <w:rsid w:val="008B1411"/>
    <w:rsid w:val="008B4B4D"/>
    <w:rsid w:val="008C648A"/>
    <w:rsid w:val="008D1B03"/>
    <w:rsid w:val="008D6B1A"/>
    <w:rsid w:val="008F4D91"/>
    <w:rsid w:val="008F5F8E"/>
    <w:rsid w:val="00903960"/>
    <w:rsid w:val="009043FF"/>
    <w:rsid w:val="00904D88"/>
    <w:rsid w:val="00910848"/>
    <w:rsid w:val="009121C1"/>
    <w:rsid w:val="00920B53"/>
    <w:rsid w:val="00932E71"/>
    <w:rsid w:val="009441E9"/>
    <w:rsid w:val="009551B3"/>
    <w:rsid w:val="009603C4"/>
    <w:rsid w:val="00961028"/>
    <w:rsid w:val="009611C3"/>
    <w:rsid w:val="00965376"/>
    <w:rsid w:val="00980E0F"/>
    <w:rsid w:val="0098104E"/>
    <w:rsid w:val="009878A9"/>
    <w:rsid w:val="00990C71"/>
    <w:rsid w:val="00992A81"/>
    <w:rsid w:val="00996B07"/>
    <w:rsid w:val="009A5748"/>
    <w:rsid w:val="009B726A"/>
    <w:rsid w:val="009C5DBB"/>
    <w:rsid w:val="009C5E9C"/>
    <w:rsid w:val="009D2767"/>
    <w:rsid w:val="009D2874"/>
    <w:rsid w:val="009D2B52"/>
    <w:rsid w:val="009F4E4D"/>
    <w:rsid w:val="00A0193C"/>
    <w:rsid w:val="00A2278E"/>
    <w:rsid w:val="00A37D9C"/>
    <w:rsid w:val="00A53E70"/>
    <w:rsid w:val="00A831DF"/>
    <w:rsid w:val="00A92964"/>
    <w:rsid w:val="00AB20E5"/>
    <w:rsid w:val="00AB2FF9"/>
    <w:rsid w:val="00AB6CE2"/>
    <w:rsid w:val="00AC36FF"/>
    <w:rsid w:val="00AC7FE2"/>
    <w:rsid w:val="00AE404B"/>
    <w:rsid w:val="00AE55B1"/>
    <w:rsid w:val="00AE6905"/>
    <w:rsid w:val="00AE737A"/>
    <w:rsid w:val="00AF3C1D"/>
    <w:rsid w:val="00AF6D0B"/>
    <w:rsid w:val="00B03C73"/>
    <w:rsid w:val="00B10812"/>
    <w:rsid w:val="00B34758"/>
    <w:rsid w:val="00B54A27"/>
    <w:rsid w:val="00B54F9B"/>
    <w:rsid w:val="00B64691"/>
    <w:rsid w:val="00B7078B"/>
    <w:rsid w:val="00B75F54"/>
    <w:rsid w:val="00B8531D"/>
    <w:rsid w:val="00B91E4E"/>
    <w:rsid w:val="00B93656"/>
    <w:rsid w:val="00B9760C"/>
    <w:rsid w:val="00BA0A16"/>
    <w:rsid w:val="00BA13B4"/>
    <w:rsid w:val="00BA4F24"/>
    <w:rsid w:val="00BA5195"/>
    <w:rsid w:val="00BB5191"/>
    <w:rsid w:val="00BC1EE2"/>
    <w:rsid w:val="00BC2A40"/>
    <w:rsid w:val="00BD35A0"/>
    <w:rsid w:val="00BE304A"/>
    <w:rsid w:val="00BE5E13"/>
    <w:rsid w:val="00BE71BA"/>
    <w:rsid w:val="00BF4B27"/>
    <w:rsid w:val="00C00A84"/>
    <w:rsid w:val="00C15B35"/>
    <w:rsid w:val="00C245A6"/>
    <w:rsid w:val="00C2789C"/>
    <w:rsid w:val="00C43F4B"/>
    <w:rsid w:val="00C55A04"/>
    <w:rsid w:val="00C61C7C"/>
    <w:rsid w:val="00C6343C"/>
    <w:rsid w:val="00C6491E"/>
    <w:rsid w:val="00C65FF7"/>
    <w:rsid w:val="00C75B00"/>
    <w:rsid w:val="00C8274F"/>
    <w:rsid w:val="00C8351E"/>
    <w:rsid w:val="00C86437"/>
    <w:rsid w:val="00C86F99"/>
    <w:rsid w:val="00C91F4C"/>
    <w:rsid w:val="00CA191C"/>
    <w:rsid w:val="00CB00A3"/>
    <w:rsid w:val="00CB4F4A"/>
    <w:rsid w:val="00CD2CF5"/>
    <w:rsid w:val="00CE63C7"/>
    <w:rsid w:val="00CF4950"/>
    <w:rsid w:val="00CF500C"/>
    <w:rsid w:val="00CF76B1"/>
    <w:rsid w:val="00D069FD"/>
    <w:rsid w:val="00D124A3"/>
    <w:rsid w:val="00D12CC6"/>
    <w:rsid w:val="00D13D93"/>
    <w:rsid w:val="00D20B0E"/>
    <w:rsid w:val="00D20D14"/>
    <w:rsid w:val="00D226EF"/>
    <w:rsid w:val="00D24C1F"/>
    <w:rsid w:val="00D24F1A"/>
    <w:rsid w:val="00D2503C"/>
    <w:rsid w:val="00D263A4"/>
    <w:rsid w:val="00D33519"/>
    <w:rsid w:val="00D343A9"/>
    <w:rsid w:val="00D43CBC"/>
    <w:rsid w:val="00D6277B"/>
    <w:rsid w:val="00D62CE0"/>
    <w:rsid w:val="00D64D26"/>
    <w:rsid w:val="00D66171"/>
    <w:rsid w:val="00D661BD"/>
    <w:rsid w:val="00D73A78"/>
    <w:rsid w:val="00D74561"/>
    <w:rsid w:val="00D833E4"/>
    <w:rsid w:val="00D90F02"/>
    <w:rsid w:val="00DA1ACE"/>
    <w:rsid w:val="00DA4513"/>
    <w:rsid w:val="00DA472D"/>
    <w:rsid w:val="00DB2E25"/>
    <w:rsid w:val="00DB6151"/>
    <w:rsid w:val="00DB659E"/>
    <w:rsid w:val="00DC1B41"/>
    <w:rsid w:val="00DC55B2"/>
    <w:rsid w:val="00DD6B70"/>
    <w:rsid w:val="00DE12A5"/>
    <w:rsid w:val="00DE627D"/>
    <w:rsid w:val="00DE636E"/>
    <w:rsid w:val="00E03AFB"/>
    <w:rsid w:val="00E07974"/>
    <w:rsid w:val="00E07B57"/>
    <w:rsid w:val="00E106BD"/>
    <w:rsid w:val="00E129DE"/>
    <w:rsid w:val="00E13607"/>
    <w:rsid w:val="00E1431C"/>
    <w:rsid w:val="00E210B7"/>
    <w:rsid w:val="00E27989"/>
    <w:rsid w:val="00E27D05"/>
    <w:rsid w:val="00E33014"/>
    <w:rsid w:val="00E42064"/>
    <w:rsid w:val="00E50057"/>
    <w:rsid w:val="00E52BFC"/>
    <w:rsid w:val="00E55F7A"/>
    <w:rsid w:val="00E60BF5"/>
    <w:rsid w:val="00E652F9"/>
    <w:rsid w:val="00E67161"/>
    <w:rsid w:val="00E702CD"/>
    <w:rsid w:val="00E72E07"/>
    <w:rsid w:val="00E80FB8"/>
    <w:rsid w:val="00E872DE"/>
    <w:rsid w:val="00E87DDA"/>
    <w:rsid w:val="00E90DF9"/>
    <w:rsid w:val="00E9636C"/>
    <w:rsid w:val="00E97997"/>
    <w:rsid w:val="00EA4A7E"/>
    <w:rsid w:val="00EB1CD2"/>
    <w:rsid w:val="00EB1DBD"/>
    <w:rsid w:val="00ED0DCF"/>
    <w:rsid w:val="00ED260C"/>
    <w:rsid w:val="00ED5624"/>
    <w:rsid w:val="00ED636C"/>
    <w:rsid w:val="00ED7A46"/>
    <w:rsid w:val="00EE119B"/>
    <w:rsid w:val="00EE20CD"/>
    <w:rsid w:val="00EE3DBA"/>
    <w:rsid w:val="00F02135"/>
    <w:rsid w:val="00F079F2"/>
    <w:rsid w:val="00F357F3"/>
    <w:rsid w:val="00F456BD"/>
    <w:rsid w:val="00F55B84"/>
    <w:rsid w:val="00F579C9"/>
    <w:rsid w:val="00F62C9C"/>
    <w:rsid w:val="00F70D8F"/>
    <w:rsid w:val="00F71E8F"/>
    <w:rsid w:val="00F763A5"/>
    <w:rsid w:val="00F833B7"/>
    <w:rsid w:val="00F8446B"/>
    <w:rsid w:val="00FA01FA"/>
    <w:rsid w:val="00FA04A5"/>
    <w:rsid w:val="00FD3ABE"/>
    <w:rsid w:val="00FE3CD8"/>
    <w:rsid w:val="00FF414F"/>
    <w:rsid w:val="00FF47B5"/>
    <w:rsid w:val="00FF5939"/>
    <w:rsid w:val="06C292F6"/>
    <w:rsid w:val="09936BA0"/>
    <w:rsid w:val="4031907A"/>
    <w:rsid w:val="4B4B195A"/>
    <w:rsid w:val="5F82566E"/>
    <w:rsid w:val="70160F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D3965"/>
  <w15:chartTrackingRefBased/>
  <w15:docId w15:val="{8DBFFA95-FF72-4897-89F2-1AE5A65C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1"/>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character" w:styleId="CommentReference">
    <w:name w:val="annotation reference"/>
    <w:basedOn w:val="DefaultParagraphFont"/>
    <w:uiPriority w:val="99"/>
    <w:semiHidden/>
    <w:unhideWhenUsed/>
    <w:rsid w:val="00002671"/>
    <w:rPr>
      <w:sz w:val="16"/>
      <w:szCs w:val="16"/>
    </w:rPr>
  </w:style>
  <w:style w:type="paragraph" w:styleId="CommentText">
    <w:name w:val="annotation text"/>
    <w:basedOn w:val="Normal"/>
    <w:link w:val="CommentTextChar"/>
    <w:uiPriority w:val="99"/>
    <w:unhideWhenUsed/>
    <w:rsid w:val="00002671"/>
    <w:pPr>
      <w:spacing w:line="240" w:lineRule="auto"/>
    </w:pPr>
    <w:rPr>
      <w:sz w:val="20"/>
      <w:szCs w:val="20"/>
    </w:rPr>
  </w:style>
  <w:style w:type="character" w:customStyle="1" w:styleId="CommentTextChar">
    <w:name w:val="Comment Text Char"/>
    <w:basedOn w:val="DefaultParagraphFont"/>
    <w:link w:val="CommentText"/>
    <w:uiPriority w:val="99"/>
    <w:rsid w:val="00002671"/>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2671"/>
    <w:rPr>
      <w:b/>
      <w:bCs/>
    </w:rPr>
  </w:style>
  <w:style w:type="character" w:customStyle="1" w:styleId="CommentSubjectChar">
    <w:name w:val="Comment Subject Char"/>
    <w:basedOn w:val="CommentTextChar"/>
    <w:link w:val="CommentSubject"/>
    <w:uiPriority w:val="99"/>
    <w:semiHidden/>
    <w:rsid w:val="00002671"/>
    <w:rPr>
      <w:rFonts w:ascii="Calibri" w:eastAsia="Times New Roman" w:hAnsi="Calibri" w:cs="Times New Roman"/>
      <w:b/>
      <w:bCs/>
      <w:kern w:val="0"/>
      <w:sz w:val="20"/>
      <w:szCs w:val="20"/>
      <w14:ligatures w14:val="none"/>
    </w:rPr>
  </w:style>
  <w:style w:type="character" w:styleId="Hyperlink">
    <w:name w:val="Hyperlink"/>
    <w:basedOn w:val="DefaultParagraphFont"/>
    <w:uiPriority w:val="99"/>
    <w:unhideWhenUsed/>
    <w:rsid w:val="00F55B84"/>
    <w:rPr>
      <w:color w:val="0563C1" w:themeColor="hyperlink"/>
      <w:u w:val="single"/>
    </w:rPr>
  </w:style>
  <w:style w:type="character" w:styleId="UnresolvedMention">
    <w:name w:val="Unresolved Mention"/>
    <w:basedOn w:val="DefaultParagraphFont"/>
    <w:uiPriority w:val="99"/>
    <w:semiHidden/>
    <w:unhideWhenUsed/>
    <w:rsid w:val="00F55B84"/>
    <w:rPr>
      <w:color w:val="605E5C"/>
      <w:shd w:val="clear" w:color="auto" w:fill="E1DFDD"/>
    </w:rPr>
  </w:style>
  <w:style w:type="paragraph" w:styleId="BodyText">
    <w:name w:val="Body Text"/>
    <w:basedOn w:val="Normal"/>
    <w:link w:val="BodyTextChar"/>
    <w:uiPriority w:val="1"/>
    <w:qFormat/>
    <w:rsid w:val="00D124A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124A3"/>
    <w:rPr>
      <w:rFonts w:ascii="Arial" w:eastAsia="Arial" w:hAnsi="Arial" w:cs="Arial"/>
      <w:kern w:val="0"/>
      <w:sz w:val="24"/>
      <w:szCs w:val="24"/>
      <w14:ligatures w14:val="none"/>
    </w:rPr>
  </w:style>
  <w:style w:type="paragraph" w:styleId="NormalWeb">
    <w:name w:val="Normal (Web)"/>
    <w:basedOn w:val="Normal"/>
    <w:uiPriority w:val="99"/>
    <w:unhideWhenUsed/>
    <w:rsid w:val="00CB4F4A"/>
    <w:pPr>
      <w:spacing w:before="100" w:beforeAutospacing="1" w:after="100" w:afterAutospacing="1" w:line="240" w:lineRule="auto"/>
    </w:pPr>
    <w:rPr>
      <w:rFonts w:ascii="Times New Roman" w:hAnsi="Times New Roman"/>
      <w:sz w:val="24"/>
      <w:szCs w:val="24"/>
      <w:lang w:eastAsia="en-AU"/>
    </w:rPr>
  </w:style>
  <w:style w:type="character" w:customStyle="1" w:styleId="Hyperlink1">
    <w:name w:val="Hyperlink1"/>
    <w:basedOn w:val="DefaultParagraphFont"/>
    <w:rsid w:val="00CB4F4A"/>
  </w:style>
  <w:style w:type="paragraph" w:styleId="Header">
    <w:name w:val="header"/>
    <w:basedOn w:val="Normal"/>
    <w:link w:val="HeaderChar"/>
    <w:uiPriority w:val="99"/>
    <w:unhideWhenUsed/>
    <w:rsid w:val="00453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14A"/>
    <w:rPr>
      <w:rFonts w:ascii="Calibri" w:eastAsia="Times New Roman" w:hAnsi="Calibri" w:cs="Times New Roman"/>
      <w:kern w:val="0"/>
      <w14:ligatures w14:val="none"/>
    </w:rPr>
  </w:style>
  <w:style w:type="character" w:customStyle="1" w:styleId="normaltextrun">
    <w:name w:val="normaltextrun"/>
    <w:basedOn w:val="DefaultParagraphFont"/>
    <w:rsid w:val="00EB1CD2"/>
  </w:style>
  <w:style w:type="character" w:customStyle="1" w:styleId="eop">
    <w:name w:val="eop"/>
    <w:basedOn w:val="DefaultParagraphFont"/>
    <w:rsid w:val="00EB1CD2"/>
  </w:style>
  <w:style w:type="paragraph" w:customStyle="1" w:styleId="paragraph">
    <w:name w:val="paragraph"/>
    <w:basedOn w:val="Normal"/>
    <w:rsid w:val="00EB1CD2"/>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AB20E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11574">
      <w:bodyDiv w:val="1"/>
      <w:marLeft w:val="0"/>
      <w:marRight w:val="0"/>
      <w:marTop w:val="0"/>
      <w:marBottom w:val="0"/>
      <w:divBdr>
        <w:top w:val="none" w:sz="0" w:space="0" w:color="auto"/>
        <w:left w:val="none" w:sz="0" w:space="0" w:color="auto"/>
        <w:bottom w:val="none" w:sz="0" w:space="0" w:color="auto"/>
        <w:right w:val="none" w:sz="0" w:space="0" w:color="auto"/>
      </w:divBdr>
      <w:divsChild>
        <w:div w:id="1705248661">
          <w:marLeft w:val="0"/>
          <w:marRight w:val="0"/>
          <w:marTop w:val="0"/>
          <w:marBottom w:val="0"/>
          <w:divBdr>
            <w:top w:val="none" w:sz="0" w:space="0" w:color="auto"/>
            <w:left w:val="none" w:sz="0" w:space="0" w:color="auto"/>
            <w:bottom w:val="none" w:sz="0" w:space="0" w:color="auto"/>
            <w:right w:val="none" w:sz="0" w:space="0" w:color="auto"/>
          </w:divBdr>
        </w:div>
        <w:div w:id="205379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legislation.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standards.org.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legislation.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gisl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eaderroom.standards.org.au/" TargetMode="External"/><Relationship Id="rId27"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alrc.gov.au/publication/traditional-rights-and-freedoms-encroachments-by-commonwealth-laws-ip-46/6-property-rights/a-common-law-righ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4FEB93B0D38B3BDFE05400144FFB2061" version="1.0.0">
  <systemFields>
    <field name="Objective-Id">
      <value order="0">A47141606</value>
    </field>
    <field name="Objective-Title">
      <value order="0">Environment Protection Legislation Amendment Bill 2024 - Revised Explanatory Statement</value>
    </field>
    <field name="Objective-Description">
      <value order="0"/>
    </field>
    <field name="Objective-CreationStamp">
      <value order="0">2024-06-25T06:40:15Z</value>
    </field>
    <field name="Objective-IsApproved">
      <value order="0">false</value>
    </field>
    <field name="Objective-IsPublished">
      <value order="0">true</value>
    </field>
    <field name="Objective-DatePublished">
      <value order="0">2024-06-25T07:02:46Z</value>
    </field>
    <field name="Objective-ModificationStamp">
      <value order="0">2024-06-25T07:02:46Z</value>
    </field>
    <field name="Objective-Owner">
      <value order="0">Anastasia Hartwig</value>
    </field>
    <field name="Objective-Path">
      <value order="0">Whole of ACT Government:EPSDD - Environment Planning and Sustainable Development Directorate:07. Ministerial, Cabinet and Government Relations:05. Cabinet:10. Admin/Decisions/Completed - 10th Assembly:COMPLETE (including withdrawn) Cabinet submissions:2024:24/061 - Cabinet - [OOS 26-28 April 2024] Environment Protection Legislation Amendment Bill - Agreement to Introduce:04. Assembly:02. Debate</value>
    </field>
    <field name="Objective-Parent">
      <value order="0">02. Debate</value>
    </field>
    <field name="Objective-State">
      <value order="0">Published</value>
    </field>
    <field name="Objective-VersionId">
      <value order="0">vA59260493</value>
    </field>
    <field name="Objective-Version">
      <value order="0">2.0</value>
    </field>
    <field name="Objective-VersionNumber">
      <value order="0">2</value>
    </field>
    <field name="Objective-VersionComment">
      <value order="0"/>
    </field>
    <field name="Objective-FileNumber">
      <value order="0">1-2023/87550</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22832-2988-4ED9-9E5D-DF9702C1F371}">
  <ds:schemaRefs>
    <ds:schemaRef ds:uri="http://schemas.openxmlformats.org/officeDocument/2006/bibliography"/>
  </ds:schemaRefs>
</ds:datastoreItem>
</file>

<file path=customXml/itemProps2.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5.xml><?xml version="1.0" encoding="utf-8"?>
<ds:datastoreItem xmlns:ds="http://schemas.openxmlformats.org/officeDocument/2006/customXml" ds:itemID="{FD51A34D-4AD1-4ABF-91F6-290896CDE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7174</Words>
  <Characters>38120</Characters>
  <Application>Microsoft Office Word</Application>
  <DocSecurity>0</DocSecurity>
  <Lines>706</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45134</CharactersWithSpaces>
  <SharedDoc>false</SharedDoc>
  <HLinks>
    <vt:vector size="48" baseType="variant">
      <vt:variant>
        <vt:i4>5308445</vt:i4>
      </vt:variant>
      <vt:variant>
        <vt:i4>18</vt:i4>
      </vt:variant>
      <vt:variant>
        <vt:i4>0</vt:i4>
      </vt:variant>
      <vt:variant>
        <vt:i4>5</vt:i4>
      </vt:variant>
      <vt:variant>
        <vt:lpwstr>https://readerroom.standards.org.au/</vt:lpwstr>
      </vt:variant>
      <vt:variant>
        <vt:lpwstr/>
      </vt:variant>
      <vt:variant>
        <vt:i4>5242974</vt:i4>
      </vt:variant>
      <vt:variant>
        <vt:i4>15</vt:i4>
      </vt:variant>
      <vt:variant>
        <vt:i4>0</vt:i4>
      </vt:variant>
      <vt:variant>
        <vt:i4>5</vt:i4>
      </vt:variant>
      <vt:variant>
        <vt:lpwstr>https://www.standards.org.au/</vt:lpwstr>
      </vt:variant>
      <vt:variant>
        <vt:lpwstr/>
      </vt:variant>
      <vt:variant>
        <vt:i4>6946865</vt:i4>
      </vt:variant>
      <vt:variant>
        <vt:i4>12</vt:i4>
      </vt:variant>
      <vt:variant>
        <vt:i4>0</vt:i4>
      </vt:variant>
      <vt:variant>
        <vt:i4>5</vt:i4>
      </vt:variant>
      <vt:variant>
        <vt:lpwstr>http://www.legislation.gov.au/</vt:lpwstr>
      </vt:variant>
      <vt:variant>
        <vt:lpwstr/>
      </vt:variant>
      <vt:variant>
        <vt:i4>6946865</vt:i4>
      </vt:variant>
      <vt:variant>
        <vt:i4>9</vt:i4>
      </vt:variant>
      <vt:variant>
        <vt:i4>0</vt:i4>
      </vt:variant>
      <vt:variant>
        <vt:i4>5</vt:i4>
      </vt:variant>
      <vt:variant>
        <vt:lpwstr>http://www.legislation.gov.au/</vt:lpwstr>
      </vt:variant>
      <vt:variant>
        <vt:lpwstr/>
      </vt:variant>
      <vt:variant>
        <vt:i4>6946865</vt:i4>
      </vt:variant>
      <vt:variant>
        <vt:i4>6</vt:i4>
      </vt:variant>
      <vt:variant>
        <vt:i4>0</vt:i4>
      </vt:variant>
      <vt:variant>
        <vt:i4>5</vt:i4>
      </vt:variant>
      <vt:variant>
        <vt:lpwstr>http://www.legislation.gov.au/</vt:lpwstr>
      </vt:variant>
      <vt:variant>
        <vt:lpwstr/>
      </vt:variant>
      <vt:variant>
        <vt:i4>5308445</vt:i4>
      </vt:variant>
      <vt:variant>
        <vt:i4>3</vt:i4>
      </vt:variant>
      <vt:variant>
        <vt:i4>0</vt:i4>
      </vt:variant>
      <vt:variant>
        <vt:i4>5</vt:i4>
      </vt:variant>
      <vt:variant>
        <vt:lpwstr>https://readerroom.standards.org.au/</vt:lpwstr>
      </vt:variant>
      <vt:variant>
        <vt:lpwstr/>
      </vt:variant>
      <vt:variant>
        <vt:i4>5242974</vt:i4>
      </vt:variant>
      <vt:variant>
        <vt:i4>0</vt:i4>
      </vt:variant>
      <vt:variant>
        <vt:i4>0</vt:i4>
      </vt:variant>
      <vt:variant>
        <vt:i4>5</vt:i4>
      </vt:variant>
      <vt:variant>
        <vt:lpwstr>https://www.standards.org.au/</vt:lpwstr>
      </vt:variant>
      <vt:variant>
        <vt:lpwstr/>
      </vt:variant>
      <vt:variant>
        <vt:i4>6029382</vt:i4>
      </vt:variant>
      <vt:variant>
        <vt:i4>0</vt:i4>
      </vt:variant>
      <vt:variant>
        <vt:i4>0</vt:i4>
      </vt:variant>
      <vt:variant>
        <vt:i4>5</vt:i4>
      </vt:variant>
      <vt:variant>
        <vt:lpwstr>https://www.alrc.gov.au/publication/traditional-rights-and-freedoms-encroachments-by-commonwealth-laws-ip-46/6-property-rights/a-common-law-right-5/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dcterms:created xsi:type="dcterms:W3CDTF">2024-06-26T00:48:00Z</dcterms:created>
  <dcterms:modified xsi:type="dcterms:W3CDTF">2024-06-26T00:48:00Z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Objective-Id">
    <vt:lpwstr>A47141606</vt:lpwstr>
  </property>
  <property fmtid="{D5CDD505-2E9C-101B-9397-08002B2CF9AE}" pid="4" name="Objective-Title">
    <vt:lpwstr>Environment Protection Legislation Amendment Bill 2024 - Revised Explanatory Statement</vt:lpwstr>
  </property>
  <property fmtid="{D5CDD505-2E9C-101B-9397-08002B2CF9AE}" pid="5" name="Objective-Description">
    <vt:lpwstr/>
  </property>
  <property fmtid="{D5CDD505-2E9C-101B-9397-08002B2CF9AE}" pid="6" name="Objective-CreationStamp">
    <vt:filetime>2024-06-25T06:40:15Z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2024-06-25T07:02:46Z</vt:filetime>
  </property>
  <property fmtid="{D5CDD505-2E9C-101B-9397-08002B2CF9AE}" pid="10" name="Objective-ModificationStamp">
    <vt:filetime>2024-06-25T07:02:46Z</vt:filetime>
  </property>
  <property fmtid="{D5CDD505-2E9C-101B-9397-08002B2CF9AE}" pid="11" name="Objective-Owner">
    <vt:lpwstr>Anastasia Hartwig</vt:lpwstr>
  </property>
  <property fmtid="{D5CDD505-2E9C-101B-9397-08002B2CF9AE}" pid="12" name="Objective-Path">
    <vt:lpwstr>Whole of ACT Government:EPSDD - Environment Planning and Sustainable Development Directorate:07. Ministerial, Cabinet and Government Relations:05. Cabinet:10. Admin/Decisions/Completed - 10th Assembly:COMPLETE (including withdrawn) Cabinet submissions:2024:24/061 - Cabinet - [OOS 26-28 April 2024] Environment Protection Legislation Amendment Bill - Agreement to Introduce:04. Assembly:02. Debate:</vt:lpwstr>
  </property>
  <property fmtid="{D5CDD505-2E9C-101B-9397-08002B2CF9AE}" pid="13" name="Objective-Parent">
    <vt:lpwstr>02. Debate</vt:lpwstr>
  </property>
  <property fmtid="{D5CDD505-2E9C-101B-9397-08002B2CF9AE}" pid="14" name="Objective-State">
    <vt:lpwstr>Published</vt:lpwstr>
  </property>
  <property fmtid="{D5CDD505-2E9C-101B-9397-08002B2CF9AE}" pid="15" name="Objective-VersionId">
    <vt:lpwstr>vA59260493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1-2023/87550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Division">
    <vt:lpwstr>Corporate Services and Operations</vt:lpwstr>
  </property>
  <property fmtid="{D5CDD505-2E9C-101B-9397-08002B2CF9AE}" pid="34" name="Objective-Section">
    <vt:lpwstr>GCL</vt:lpwstr>
  </property>
  <property fmtid="{D5CDD505-2E9C-101B-9397-08002B2CF9AE}" pid="35" name="Objective-Officer">
    <vt:lpwstr>Adam Roach</vt:lpwstr>
  </property>
  <property fmtid="{D5CDD505-2E9C-101B-9397-08002B2CF9AE}" pid="36" name="Objective-Document Approved By">
    <vt:lpwstr>Adam Roach</vt:lpwstr>
  </property>
  <property fmtid="{D5CDD505-2E9C-101B-9397-08002B2CF9AE}" pid="37" name="Objective-Home Agency">
    <vt:lpwstr>EPSDD</vt:lpwstr>
  </property>
  <property fmtid="{D5CDD505-2E9C-101B-9397-08002B2CF9AE}" pid="38" name="Objective-Comment">
    <vt:lpwstr/>
  </property>
  <property fmtid="{D5CDD505-2E9C-101B-9397-08002B2CF9AE}" pid="39" name="ClassificationContentMarkingHeaderShapeIds">
    <vt:lpwstr>1,2,3,4,5,6</vt:lpwstr>
  </property>
  <property fmtid="{D5CDD505-2E9C-101B-9397-08002B2CF9AE}" pid="40" name="ClassificationContentMarkingHeaderFontProps">
    <vt:lpwstr>#ff0000,12,Calibri</vt:lpwstr>
  </property>
  <property fmtid="{D5CDD505-2E9C-101B-9397-08002B2CF9AE}" pid="41" name="ClassificationContentMarkingHeaderText">
    <vt:lpwstr>CABINET </vt:lpwstr>
  </property>
  <property fmtid="{D5CDD505-2E9C-101B-9397-08002B2CF9AE}" pid="42" name="MSIP_Label_06cc28a1-59e3-4b8d-9931-07e592b3aab7_Enabled">
    <vt:lpwstr>true</vt:lpwstr>
  </property>
  <property fmtid="{D5CDD505-2E9C-101B-9397-08002B2CF9AE}" pid="43" name="MSIP_Label_06cc28a1-59e3-4b8d-9931-07e592b3aab7_SetDate">
    <vt:lpwstr>2024-04-11T23:13:49Z</vt:lpwstr>
  </property>
  <property fmtid="{D5CDD505-2E9C-101B-9397-08002B2CF9AE}" pid="44" name="MSIP_Label_06cc28a1-59e3-4b8d-9931-07e592b3aab7_Method">
    <vt:lpwstr>Privileged</vt:lpwstr>
  </property>
  <property fmtid="{D5CDD505-2E9C-101B-9397-08002B2CF9AE}" pid="45" name="MSIP_Label_06cc28a1-59e3-4b8d-9931-07e592b3aab7_Name">
    <vt:lpwstr>CABINET</vt:lpwstr>
  </property>
  <property fmtid="{D5CDD505-2E9C-101B-9397-08002B2CF9AE}" pid="46" name="MSIP_Label_06cc28a1-59e3-4b8d-9931-07e592b3aab7_SiteId">
    <vt:lpwstr>b46c1908-0334-4236-b978-585ee88e4199</vt:lpwstr>
  </property>
  <property fmtid="{D5CDD505-2E9C-101B-9397-08002B2CF9AE}" pid="47" name="MSIP_Label_06cc28a1-59e3-4b8d-9931-07e592b3aab7_ActionId">
    <vt:lpwstr>fd22eb56-af44-4c1a-aeb1-3ee303f9e9e1</vt:lpwstr>
  </property>
  <property fmtid="{D5CDD505-2E9C-101B-9397-08002B2CF9AE}" pid="48" name="MSIP_Label_06cc28a1-59e3-4b8d-9931-07e592b3aab7_ContentBits">
    <vt:lpwstr>1</vt:lpwstr>
  </property>
</Properties>
</file>