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EBA2" w14:textId="77777777" w:rsidR="00364639" w:rsidRPr="006E2142" w:rsidRDefault="00364639" w:rsidP="006E2142">
      <w:pPr>
        <w:spacing w:before="120"/>
        <w:rPr>
          <w:rFonts w:eastAsia="Times New Roman"/>
          <w:szCs w:val="20"/>
        </w:rPr>
      </w:pPr>
      <w:bookmarkStart w:id="0" w:name="_Toc44738651_6"/>
      <w:r w:rsidRPr="006E2142">
        <w:rPr>
          <w:rFonts w:eastAsia="Times New Roman"/>
          <w:szCs w:val="20"/>
        </w:rPr>
        <w:t>Australian Capital Territory</w:t>
      </w:r>
    </w:p>
    <w:p w14:paraId="7CCA7B0B" w14:textId="77777777" w:rsidR="00364639" w:rsidRPr="006E2142" w:rsidRDefault="00364639" w:rsidP="006E2142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6E2142">
        <w:rPr>
          <w:rFonts w:eastAsia="Times New Roman" w:cs="Times New Roman"/>
          <w:bCs w:val="0"/>
          <w:szCs w:val="20"/>
        </w:rPr>
        <w:t>Unlawful Gambling (Charitable Gaming Application Fees) Determination 2024</w:t>
      </w:r>
    </w:p>
    <w:p w14:paraId="7EDF42FD" w14:textId="6859C077" w:rsidR="00364639" w:rsidRPr="006E2142" w:rsidRDefault="00364639" w:rsidP="006E2142">
      <w:pPr>
        <w:spacing w:before="340"/>
        <w:rPr>
          <w:rFonts w:eastAsia="Times New Roman"/>
          <w:b/>
          <w:bCs/>
          <w:szCs w:val="20"/>
        </w:rPr>
      </w:pPr>
      <w:r w:rsidRPr="006E2142">
        <w:rPr>
          <w:rFonts w:eastAsia="Times New Roman"/>
          <w:b/>
          <w:bCs/>
          <w:szCs w:val="20"/>
        </w:rPr>
        <w:t>Disallowable Instrument DI2024</w:t>
      </w:r>
      <w:r w:rsidR="006E2142">
        <w:rPr>
          <w:rFonts w:eastAsia="Times New Roman"/>
          <w:b/>
          <w:bCs/>
          <w:szCs w:val="20"/>
        </w:rPr>
        <w:t>–</w:t>
      </w:r>
      <w:r w:rsidR="00646707">
        <w:rPr>
          <w:rFonts w:eastAsia="Times New Roman"/>
          <w:b/>
          <w:bCs/>
          <w:szCs w:val="20"/>
        </w:rPr>
        <w:t>170</w:t>
      </w:r>
    </w:p>
    <w:p w14:paraId="5619D6A0" w14:textId="77777777" w:rsidR="00364639" w:rsidRPr="006E2142" w:rsidRDefault="00364639" w:rsidP="006E2142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6E2142">
        <w:rPr>
          <w:rFonts w:ascii="Times New Roman" w:eastAsia="Times New Roman" w:hAnsi="Times New Roman" w:cs="Times New Roman"/>
          <w:szCs w:val="20"/>
        </w:rPr>
        <w:t>made under the</w:t>
      </w:r>
    </w:p>
    <w:p w14:paraId="384B9590" w14:textId="77777777" w:rsidR="00364639" w:rsidRPr="006E2142" w:rsidRDefault="00364639" w:rsidP="006E2142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6E2142">
        <w:rPr>
          <w:rFonts w:eastAsia="Times New Roman"/>
          <w:bCs w:val="0"/>
          <w:sz w:val="20"/>
          <w:szCs w:val="20"/>
        </w:rPr>
        <w:t>Unlawful Gambling Act 2009, section 48 (Determination of fees)</w:t>
      </w:r>
    </w:p>
    <w:p w14:paraId="7A941727" w14:textId="77777777" w:rsidR="00364639" w:rsidRPr="006E2142" w:rsidRDefault="00364639" w:rsidP="006E2142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6E2142">
        <w:rPr>
          <w:rFonts w:eastAsia="Times New Roman"/>
          <w:b/>
          <w:bCs/>
          <w:sz w:val="28"/>
          <w:szCs w:val="28"/>
        </w:rPr>
        <w:t>EXPLANATORY STATEMENT</w:t>
      </w:r>
    </w:p>
    <w:p w14:paraId="1E493C10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7A920641" w14:textId="77777777" w:rsidR="00364639" w:rsidRDefault="0036463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 w:val="22"/>
          <w:szCs w:val="20"/>
          <w:bdr w:val="nil"/>
        </w:rPr>
      </w:pPr>
    </w:p>
    <w:p w14:paraId="4F06E0A7" w14:textId="77777777" w:rsidR="00364639" w:rsidRDefault="00364639" w:rsidP="001D62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b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Unlawful Gambling Act 2009 </w:t>
      </w:r>
      <w:r>
        <w:rPr>
          <w:rFonts w:ascii="Times New Roman" w:eastAsia="Times New Roman" w:hAnsi="Times New Roman" w:cs="Times New Roman"/>
          <w:szCs w:val="20"/>
          <w:bdr w:val="nil"/>
        </w:rPr>
        <w:t>(the Act)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  <w:bdr w:val="nil"/>
        </w:rPr>
        <w:t>prohibits gambling activity unless it is expressly authorised or exempt from authorisation through gaming laws.</w:t>
      </w:r>
      <w:r w:rsidRPr="00FC6D18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szCs w:val="20"/>
          <w:bdr w:val="nil"/>
        </w:rPr>
        <w:t>Section 48 of the Act provides that the Minister may determine fees for the Act.</w:t>
      </w:r>
    </w:p>
    <w:p w14:paraId="55E53604" w14:textId="77777777" w:rsidR="00364639" w:rsidRDefault="00364639" w:rsidP="001D62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 w:val="22"/>
          <w:szCs w:val="20"/>
          <w:bdr w:val="nil"/>
        </w:rPr>
      </w:pPr>
    </w:p>
    <w:p w14:paraId="55561F01" w14:textId="77777777" w:rsidR="00364639" w:rsidRDefault="00364639" w:rsidP="001D62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DI2023-194, the </w:t>
      </w:r>
      <w:r>
        <w:rPr>
          <w:rFonts w:ascii="Times New Roman" w:eastAsia="Times New Roman" w:hAnsi="Times New Roman" w:cs="Times New Roman"/>
          <w:i/>
          <w:szCs w:val="20"/>
          <w:bdr w:val="nil"/>
        </w:rPr>
        <w:t>Unlawful Gambling (Charitable Gaming Application Fees) Determination 2023</w:t>
      </w:r>
      <w:r>
        <w:rPr>
          <w:rFonts w:ascii="Times New Roman" w:eastAsia="Times New Roman" w:hAnsi="Times New Roman" w:cs="Times New Roman"/>
          <w:szCs w:val="20"/>
          <w:bdr w:val="nil"/>
        </w:rPr>
        <w:t>, and sets out the fee to accompany an application by a charitable organisation to conduct charitable gaming under section 11 of the Act.</w:t>
      </w:r>
    </w:p>
    <w:p w14:paraId="63F04440" w14:textId="77777777" w:rsidR="00364639" w:rsidRDefault="00364639" w:rsidP="000F3533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137731C1" w14:textId="1489D53E" w:rsidR="00364639" w:rsidRDefault="00364639" w:rsidP="000F3533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Times New Roman" w:hAnsi="Times New Roman" w:cs="Times New Roman"/>
          <w:szCs w:val="20"/>
          <w:bdr w:val="nil"/>
        </w:rPr>
      </w:pP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The new determination sets the fees that will apply </w:t>
      </w:r>
      <w:r>
        <w:rPr>
          <w:rFonts w:ascii="Times New Roman" w:eastAsia="Times New Roman" w:hAnsi="Times New Roman" w:cs="Times New Roman"/>
          <w:szCs w:val="20"/>
          <w:bdr w:val="nil"/>
        </w:rPr>
        <w:t>beginning on</w:t>
      </w: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szCs w:val="20"/>
          <w:bdr w:val="nil"/>
        </w:rPr>
        <w:t>1 July 2024</w:t>
      </w: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 and repeals the </w:t>
      </w:r>
      <w:r w:rsidRPr="007D1AE9">
        <w:rPr>
          <w:rFonts w:ascii="Times New Roman" w:eastAsia="Times New Roman" w:hAnsi="Times New Roman" w:cs="Times New Roman"/>
          <w:i/>
          <w:iCs/>
          <w:szCs w:val="20"/>
          <w:bdr w:val="nil"/>
        </w:rPr>
        <w:t>Unlawful Gambling (Charitable Gaming Application Fees) Determination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 2023 </w:t>
      </w:r>
      <w:r>
        <w:rPr>
          <w:rFonts w:ascii="Times New Roman" w:eastAsia="Times New Roman" w:hAnsi="Times New Roman" w:cs="Times New Roman"/>
          <w:szCs w:val="20"/>
          <w:bdr w:val="nil"/>
        </w:rPr>
        <w:t>DI2023-194</w:t>
      </w: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. </w:t>
      </w:r>
      <w:bookmarkStart w:id="1" w:name="_Hlk161322878_2"/>
      <w:r>
        <w:rPr>
          <w:rFonts w:ascii="Times New Roman" w:eastAsia="SimSun" w:hAnsi="Times New Roman" w:cs="Times New Roman"/>
          <w:szCs w:val="20"/>
          <w:bdr w:val="nil"/>
        </w:rPr>
        <w:t>Fees in the 2024 - 2025 financial year have been generally increased from fees in the previous financial year by</w:t>
      </w:r>
      <w:bookmarkEnd w:id="1"/>
      <w:r>
        <w:rPr>
          <w:rFonts w:ascii="Times New Roman" w:eastAsia="SimSun" w:hAnsi="Times New Roman" w:cs="Times New Roman"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szCs w:val="20"/>
          <w:bdr w:val="nil"/>
        </w:rPr>
        <w:t>the Wages Price Index (WPI) of 3.5</w:t>
      </w:r>
      <w:r w:rsidR="00377C16">
        <w:rPr>
          <w:rFonts w:ascii="Times New Roman" w:eastAsia="Times New Roman" w:hAnsi="Times New Roman" w:cs="Times New Roman"/>
          <w:szCs w:val="20"/>
          <w:bdr w:val="nil"/>
        </w:rPr>
        <w:t>0</w:t>
      </w:r>
      <w:r>
        <w:rPr>
          <w:rFonts w:ascii="Times New Roman" w:eastAsia="Times New Roman" w:hAnsi="Times New Roman" w:cs="Times New Roman"/>
          <w:szCs w:val="20"/>
          <w:bdr w:val="nil"/>
        </w:rPr>
        <w:t xml:space="preserve">%, </w:t>
      </w:r>
      <w:bookmarkStart w:id="2" w:name="_Hlk161323232_1"/>
      <w:r>
        <w:rPr>
          <w:rFonts w:ascii="Times New Roman" w:eastAsia="SimSun" w:hAnsi="Times New Roman" w:cs="Times New Roman"/>
          <w:szCs w:val="20"/>
          <w:bdr w:val="nil"/>
        </w:rPr>
        <w:t xml:space="preserve">plus an additional 0.35%, rounded down to the nearest dollar. Some smaller value fees maybe rounded up to the nearest dollar. </w:t>
      </w:r>
      <w:bookmarkEnd w:id="2"/>
      <w:r>
        <w:rPr>
          <w:rFonts w:ascii="Times New Roman" w:eastAsia="Times New Roman" w:hAnsi="Times New Roman" w:cs="Times New Roman"/>
          <w:szCs w:val="20"/>
          <w:bdr w:val="nil"/>
        </w:rPr>
        <w:t xml:space="preserve">This approach also aligns with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2023 Treasury Guidelines for Fees and Charges</w:t>
      </w:r>
      <w:r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5EBC7F2B" w14:textId="77777777" w:rsidR="00364639" w:rsidRDefault="00364639" w:rsidP="000F3533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1FD0DF52" w14:textId="77777777" w:rsidR="00364639" w:rsidRDefault="00364639" w:rsidP="001D62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2B1404D7" w14:textId="77777777" w:rsidR="00364639" w:rsidRDefault="00364639" w:rsidP="001D62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33D0E44E" w14:textId="77777777" w:rsidR="00364639" w:rsidRDefault="00364639" w:rsidP="001D62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  <w:sectPr w:rsidR="00364639" w:rsidSect="009774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797" w:bottom="1440" w:left="1797" w:header="720" w:footer="720" w:gutter="0"/>
          <w:paperSrc w:first="264" w:other="264"/>
          <w:cols w:space="720"/>
        </w:sectPr>
      </w:pPr>
    </w:p>
    <w:tbl>
      <w:tblPr>
        <w:tblW w:w="95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384"/>
        <w:gridCol w:w="1384"/>
      </w:tblGrid>
      <w:tr w:rsidR="003964B0" w14:paraId="41A72BFC" w14:textId="77777777" w:rsidTr="00595725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6FD35AA7" w14:textId="77777777" w:rsidR="00364639" w:rsidRPr="00652B7F" w:rsidRDefault="00364639" w:rsidP="00EF577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left"/>
              <w:rPr>
                <w:sz w:val="22"/>
                <w:szCs w:val="22"/>
                <w:bdr w:val="nil"/>
              </w:rPr>
            </w:pPr>
            <w:r w:rsidRPr="00652B7F">
              <w:rPr>
                <w:sz w:val="22"/>
                <w:szCs w:val="22"/>
                <w:bdr w:val="nil"/>
              </w:rPr>
              <w:t xml:space="preserve">Column </w:t>
            </w:r>
            <w:r>
              <w:rPr>
                <w:sz w:val="22"/>
                <w:szCs w:val="22"/>
                <w:bdr w:val="nil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1A499C1A" w14:textId="77777777" w:rsidR="00364639" w:rsidRPr="00652B7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2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14F6466C" w14:textId="77777777" w:rsidR="00364639" w:rsidRPr="00652B7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3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46F860D2" w14:textId="77777777" w:rsidR="00364639" w:rsidRPr="00652B7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Column 4</w:t>
            </w:r>
          </w:p>
        </w:tc>
      </w:tr>
      <w:tr w:rsidR="003964B0" w14:paraId="30A22B3B" w14:textId="77777777" w:rsidTr="00595725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454F3844" w14:textId="77777777" w:rsidR="00364639" w:rsidRPr="00652B7F" w:rsidRDefault="00364639" w:rsidP="00EF577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Relevant S</w:t>
            </w:r>
            <w:r w:rsidRPr="00652B7F">
              <w:rPr>
                <w:sz w:val="22"/>
                <w:szCs w:val="22"/>
                <w:bdr w:val="nil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0B2E5AC1" w14:textId="77777777" w:rsidR="00364639" w:rsidRPr="00652B7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Description of Matter for which Fee is Payable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0C5C4D9F" w14:textId="77777777" w:rsidR="00364639" w:rsidRPr="00652B7F" w:rsidRDefault="00364639" w:rsidP="00742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Previous Fee (GST exempt)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4C1A8662" w14:textId="77777777" w:rsidR="00364639" w:rsidRPr="00652B7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Fee on and after </w:t>
            </w:r>
            <w:r w:rsidRPr="00CA603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1 July 2024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(GST exempt)</w:t>
            </w:r>
          </w:p>
        </w:tc>
      </w:tr>
      <w:tr w:rsidR="003964B0" w14:paraId="3434E91B" w14:textId="77777777" w:rsidTr="00595725">
        <w:trPr>
          <w:trHeight w:val="874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586130CD" w14:textId="77777777" w:rsidR="00364639" w:rsidRPr="00A01B5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szCs w:val="20"/>
                <w:bdr w:val="nil"/>
              </w:rPr>
              <w:t>11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239A156C" w14:textId="2B6393A7" w:rsidR="00364639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Cs w:val="20"/>
                <w:bdr w:val="nil"/>
              </w:rPr>
            </w:pPr>
            <w:r>
              <w:rPr>
                <w:rFonts w:ascii="Times New Roman" w:eastAsia="Times New Roman" w:hAnsi="Times New Roman" w:cs="Times New Roman"/>
                <w:szCs w:val="20"/>
                <w:bdr w:val="nil"/>
              </w:rPr>
              <w:t xml:space="preserve">The fee payable to accompany an application under section 11 of the </w:t>
            </w:r>
            <w:r w:rsidRPr="002E6580">
              <w:rPr>
                <w:rFonts w:ascii="Times New Roman" w:eastAsia="Times New Roman" w:hAnsi="Times New Roman" w:cs="Times New Roman"/>
                <w:i/>
                <w:iCs/>
                <w:szCs w:val="20"/>
                <w:bdr w:val="nil"/>
              </w:rPr>
              <w:t>Unlawful Gambling Act 2009</w:t>
            </w:r>
            <w:r w:rsidR="002E6580">
              <w:rPr>
                <w:rFonts w:ascii="Times New Roman" w:eastAsia="Times New Roman" w:hAnsi="Times New Roman" w:cs="Times New Roman"/>
                <w:i/>
                <w:iCs/>
                <w:szCs w:val="20"/>
                <w:bdr w:val="nil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bdr w:val="nil"/>
              </w:rPr>
              <w:t xml:space="preserve"> to the ACT Gambling and Racing Commission for approval to conduct a game.</w:t>
            </w:r>
          </w:p>
          <w:p w14:paraId="693487C1" w14:textId="77777777" w:rsidR="00364639" w:rsidRPr="00A01B5F" w:rsidRDefault="00364639" w:rsidP="00EF5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14:paraId="1F48E7CF" w14:textId="77777777" w:rsidR="00364639" w:rsidRPr="00A01B5F" w:rsidRDefault="00364639" w:rsidP="00FE3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$63.00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14:paraId="4AF1AADE" w14:textId="77777777" w:rsidR="00364639" w:rsidRDefault="00364639" w:rsidP="00FE3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$65</w:t>
            </w:r>
            <w:r w:rsidRPr="00CC739D">
              <w:rPr>
                <w:rFonts w:ascii="Times New Roman" w:eastAsia="Times New Roman" w:hAnsi="Times New Roman" w:cs="Times New Roman"/>
                <w:bdr w:val="nil"/>
              </w:rPr>
              <w:t>.00</w:t>
            </w:r>
          </w:p>
        </w:tc>
      </w:tr>
    </w:tbl>
    <w:p w14:paraId="5124A9FB" w14:textId="3CC7FCAA" w:rsidR="00364639" w:rsidRPr="0038380C" w:rsidRDefault="00364639" w:rsidP="006E214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bdr w:val="nil"/>
        </w:rPr>
      </w:pPr>
    </w:p>
    <w:sectPr w:rsidR="00364639" w:rsidRPr="0038380C" w:rsidSect="00977468">
      <w:headerReference w:type="default" r:id="rId14"/>
      <w:type w:val="continuous"/>
      <w:pgSz w:w="11907" w:h="16840" w:code="9"/>
      <w:pgMar w:top="1680" w:right="1304" w:bottom="960" w:left="1304" w:header="720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E12B" w14:textId="77777777" w:rsidR="00977468" w:rsidRDefault="00977468">
      <w:r>
        <w:separator/>
      </w:r>
    </w:p>
  </w:endnote>
  <w:endnote w:type="continuationSeparator" w:id="0">
    <w:p w14:paraId="1FC60E5C" w14:textId="77777777" w:rsidR="00977468" w:rsidRDefault="009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CE59" w14:textId="77777777" w:rsidR="00364639" w:rsidRPr="00F33A48" w:rsidRDefault="00364639" w:rsidP="00F33A4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F33A48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D3B9" w14:textId="023D89B3" w:rsidR="00364639" w:rsidRPr="00B43BF6" w:rsidRDefault="00B43BF6" w:rsidP="00B43BF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B43BF6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450B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49E3" w14:textId="77777777" w:rsidR="00977468" w:rsidRDefault="00977468">
      <w:r>
        <w:separator/>
      </w:r>
    </w:p>
  </w:footnote>
  <w:footnote w:type="continuationSeparator" w:id="0">
    <w:p w14:paraId="7E6AD351" w14:textId="77777777" w:rsidR="00977468" w:rsidRDefault="0097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033E" w14:textId="77777777" w:rsidR="00B43BF6" w:rsidRDefault="00B43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DB65" w14:textId="77777777" w:rsidR="00B43BF6" w:rsidRDefault="00B43B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BE76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272E1"/>
    <w:rsid w:val="00030EF2"/>
    <w:rsid w:val="00052B3B"/>
    <w:rsid w:val="000827A6"/>
    <w:rsid w:val="00135A7C"/>
    <w:rsid w:val="0014475A"/>
    <w:rsid w:val="00162BA1"/>
    <w:rsid w:val="00241D52"/>
    <w:rsid w:val="00267DA2"/>
    <w:rsid w:val="002E6580"/>
    <w:rsid w:val="00364639"/>
    <w:rsid w:val="00377C16"/>
    <w:rsid w:val="003964B0"/>
    <w:rsid w:val="003A3ACB"/>
    <w:rsid w:val="00472225"/>
    <w:rsid w:val="004B0096"/>
    <w:rsid w:val="004D0EC6"/>
    <w:rsid w:val="00553924"/>
    <w:rsid w:val="005816D7"/>
    <w:rsid w:val="00646707"/>
    <w:rsid w:val="00664306"/>
    <w:rsid w:val="006E2142"/>
    <w:rsid w:val="006F4174"/>
    <w:rsid w:val="00730116"/>
    <w:rsid w:val="00842D57"/>
    <w:rsid w:val="008770CE"/>
    <w:rsid w:val="008C2CFD"/>
    <w:rsid w:val="00902D14"/>
    <w:rsid w:val="00977468"/>
    <w:rsid w:val="009F5EA6"/>
    <w:rsid w:val="00A217FF"/>
    <w:rsid w:val="00A61BB4"/>
    <w:rsid w:val="00AF7F58"/>
    <w:rsid w:val="00B43BF6"/>
    <w:rsid w:val="00B45D3B"/>
    <w:rsid w:val="00C17ECE"/>
    <w:rsid w:val="00C81730"/>
    <w:rsid w:val="00CB3023"/>
    <w:rsid w:val="00D14BDA"/>
    <w:rsid w:val="00D47B2A"/>
    <w:rsid w:val="00D70BE2"/>
    <w:rsid w:val="00E62D7E"/>
    <w:rsid w:val="00EC5611"/>
    <w:rsid w:val="00EF473F"/>
    <w:rsid w:val="00EF63A8"/>
    <w:rsid w:val="00F16EC0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1370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2024-06-21T05:55:00Z</dcterms:created>
  <dcterms:modified xsi:type="dcterms:W3CDTF">2024-06-21T05:55:00Z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