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3C29" w14:textId="77777777" w:rsidR="005D70F1" w:rsidRPr="0036542F" w:rsidRDefault="005D70F1">
      <w:pPr>
        <w:spacing w:before="120"/>
        <w:rPr>
          <w:rFonts w:ascii="Arial" w:hAnsi="Arial" w:cs="Arial"/>
        </w:rPr>
      </w:pPr>
      <w:bookmarkStart w:id="0" w:name="_Toc44738651"/>
      <w:r w:rsidRPr="0036542F">
        <w:rPr>
          <w:rFonts w:ascii="Arial" w:hAnsi="Arial" w:cs="Arial"/>
        </w:rPr>
        <w:t>Australian Capital Territory</w:t>
      </w:r>
    </w:p>
    <w:p w14:paraId="7580C2CA" w14:textId="77BFD70D" w:rsidR="007C1959" w:rsidRPr="0036542F" w:rsidRDefault="007C1959" w:rsidP="007C1959">
      <w:pPr>
        <w:pStyle w:val="Billname"/>
        <w:spacing w:before="700"/>
        <w:rPr>
          <w:rFonts w:cs="Arial"/>
        </w:rPr>
      </w:pPr>
      <w:r w:rsidRPr="0036542F">
        <w:rPr>
          <w:rFonts w:cs="Arial"/>
        </w:rPr>
        <w:t>Unit Titles (Manag</w:t>
      </w:r>
      <w:r w:rsidR="00845FBE" w:rsidRPr="0036542F">
        <w:rPr>
          <w:rFonts w:cs="Arial"/>
        </w:rPr>
        <w:t xml:space="preserve">ement) (Fees) Determination </w:t>
      </w:r>
      <w:r w:rsidR="007D7C3E" w:rsidRPr="0036542F">
        <w:rPr>
          <w:rFonts w:cs="Arial"/>
        </w:rPr>
        <w:t>202</w:t>
      </w:r>
      <w:r w:rsidR="00897E1A">
        <w:rPr>
          <w:rFonts w:cs="Arial"/>
        </w:rPr>
        <w:t>4</w:t>
      </w:r>
    </w:p>
    <w:p w14:paraId="67BDADAD" w14:textId="106EC5D7" w:rsidR="007C1959" w:rsidRPr="0036542F" w:rsidRDefault="007C1959" w:rsidP="0036542F">
      <w:pPr>
        <w:spacing w:before="340" w:after="60"/>
        <w:rPr>
          <w:rFonts w:ascii="Arial" w:hAnsi="Arial" w:cs="Arial"/>
          <w:b/>
          <w:bCs/>
          <w:vertAlign w:val="superscript"/>
        </w:rPr>
      </w:pPr>
      <w:r w:rsidRPr="0036542F">
        <w:rPr>
          <w:rFonts w:ascii="Arial" w:hAnsi="Arial" w:cs="Arial"/>
          <w:b/>
          <w:bCs/>
        </w:rPr>
        <w:t xml:space="preserve">Disallowable instrument </w:t>
      </w:r>
      <w:r w:rsidR="007D7C3E" w:rsidRPr="0036542F">
        <w:rPr>
          <w:rFonts w:ascii="Arial" w:hAnsi="Arial" w:cs="Arial"/>
          <w:b/>
          <w:bCs/>
        </w:rPr>
        <w:t>DI</w:t>
      </w:r>
      <w:r w:rsidR="00300C16" w:rsidRPr="0036542F">
        <w:rPr>
          <w:rFonts w:ascii="Arial" w:hAnsi="Arial" w:cs="Arial"/>
          <w:b/>
          <w:bCs/>
        </w:rPr>
        <w:t>202</w:t>
      </w:r>
      <w:r w:rsidR="00A80EB2">
        <w:rPr>
          <w:rFonts w:ascii="Arial" w:hAnsi="Arial" w:cs="Arial"/>
          <w:b/>
          <w:bCs/>
        </w:rPr>
        <w:t>4</w:t>
      </w:r>
      <w:r w:rsidR="007B030B">
        <w:rPr>
          <w:rFonts w:ascii="Arial" w:hAnsi="Arial" w:cs="Arial"/>
          <w:b/>
          <w:bCs/>
        </w:rPr>
        <w:t>–</w:t>
      </w:r>
      <w:r w:rsidR="00A84848">
        <w:rPr>
          <w:rFonts w:ascii="Arial" w:hAnsi="Arial" w:cs="Arial"/>
          <w:b/>
          <w:bCs/>
        </w:rPr>
        <w:t>217</w:t>
      </w:r>
    </w:p>
    <w:p w14:paraId="72BCAE12" w14:textId="149F2D3A" w:rsidR="007C1959" w:rsidRPr="00AA61DF" w:rsidRDefault="007C1959" w:rsidP="0036542F">
      <w:pPr>
        <w:pStyle w:val="madeunder"/>
        <w:spacing w:before="300" w:after="120"/>
        <w:jc w:val="left"/>
      </w:pPr>
      <w:r w:rsidRPr="00AA61DF">
        <w:t>made under the</w:t>
      </w:r>
    </w:p>
    <w:p w14:paraId="4B6EDBC7" w14:textId="4694FBA5" w:rsidR="007C1959" w:rsidRPr="0036542F" w:rsidRDefault="007C1959" w:rsidP="0036542F">
      <w:pPr>
        <w:pStyle w:val="CoverActName"/>
        <w:spacing w:before="320"/>
        <w:jc w:val="left"/>
        <w:rPr>
          <w:rFonts w:cs="Arial"/>
          <w:sz w:val="20"/>
        </w:rPr>
      </w:pPr>
      <w:r w:rsidRPr="0036542F">
        <w:rPr>
          <w:rFonts w:cs="Arial"/>
          <w:sz w:val="20"/>
        </w:rPr>
        <w:t>Unit Titles (Management) Act 2011, s</w:t>
      </w:r>
      <w:r w:rsidR="005A6DE2">
        <w:rPr>
          <w:rFonts w:cs="Arial"/>
          <w:sz w:val="20"/>
        </w:rPr>
        <w:t xml:space="preserve"> </w:t>
      </w:r>
      <w:r w:rsidRPr="0036542F">
        <w:rPr>
          <w:rFonts w:cs="Arial"/>
          <w:sz w:val="20"/>
        </w:rPr>
        <w:t>119 (Unit title certificate</w:t>
      </w:r>
      <w:r w:rsidR="00040AFB">
        <w:rPr>
          <w:rFonts w:cs="Arial"/>
          <w:sz w:val="20"/>
        </w:rPr>
        <w:t>s) and s 120A</w:t>
      </w:r>
      <w:r w:rsidRPr="0036542F">
        <w:rPr>
          <w:rFonts w:cs="Arial"/>
          <w:sz w:val="20"/>
        </w:rPr>
        <w:t xml:space="preserve"> </w:t>
      </w:r>
      <w:r w:rsidR="00040AFB">
        <w:rPr>
          <w:rFonts w:cs="Arial"/>
          <w:sz w:val="20"/>
        </w:rPr>
        <w:t>(A</w:t>
      </w:r>
      <w:r w:rsidRPr="0036542F">
        <w:rPr>
          <w:rFonts w:cs="Arial"/>
          <w:sz w:val="20"/>
        </w:rPr>
        <w:t>ccess to owners corporation records)</w:t>
      </w:r>
    </w:p>
    <w:p w14:paraId="76F24937" w14:textId="77777777" w:rsidR="002657B4" w:rsidRPr="0036542F" w:rsidRDefault="002657B4" w:rsidP="002657B4">
      <w:pPr>
        <w:pStyle w:val="CoverActName"/>
        <w:spacing w:before="360" w:after="0"/>
        <w:rPr>
          <w:rFonts w:cs="Arial"/>
          <w:sz w:val="28"/>
          <w:szCs w:val="28"/>
        </w:rPr>
      </w:pPr>
      <w:r w:rsidRPr="0036542F">
        <w:rPr>
          <w:rFonts w:cs="Arial"/>
          <w:sz w:val="28"/>
          <w:szCs w:val="28"/>
        </w:rPr>
        <w:t>EXPLANATORY STATEMENT</w:t>
      </w:r>
    </w:p>
    <w:p w14:paraId="47EFC0B6" w14:textId="77777777" w:rsidR="005D70F1" w:rsidRPr="00AA61DF" w:rsidRDefault="005D70F1">
      <w:pPr>
        <w:pStyle w:val="N-line3"/>
        <w:pBdr>
          <w:bottom w:val="none" w:sz="0" w:space="0" w:color="auto"/>
        </w:pBdr>
      </w:pPr>
    </w:p>
    <w:p w14:paraId="53C0D82A" w14:textId="77777777" w:rsidR="005D70F1" w:rsidRPr="00AA61DF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3C544241" w14:textId="6291F3FF" w:rsidR="00E027C8" w:rsidRDefault="00040AFB" w:rsidP="00857057">
      <w:pPr>
        <w:spacing w:after="200"/>
        <w:rPr>
          <w:iCs/>
        </w:rPr>
      </w:pPr>
      <w:r>
        <w:t xml:space="preserve">The </w:t>
      </w:r>
      <w:r w:rsidRPr="00040AFB">
        <w:rPr>
          <w:i/>
          <w:iCs/>
        </w:rPr>
        <w:t xml:space="preserve">Housing and Consumer Affairs </w:t>
      </w:r>
      <w:r w:rsidR="00974848">
        <w:rPr>
          <w:i/>
          <w:iCs/>
        </w:rPr>
        <w:t xml:space="preserve">Legislation </w:t>
      </w:r>
      <w:r w:rsidRPr="00040AFB">
        <w:rPr>
          <w:i/>
          <w:iCs/>
        </w:rPr>
        <w:t>Amendment Act 2024</w:t>
      </w:r>
      <w:r>
        <w:t xml:space="preserve"> (the HCA Act) amended provisions relating to unit title certificates</w:t>
      </w:r>
      <w:r w:rsidR="007000B6">
        <w:t xml:space="preserve"> under the </w:t>
      </w:r>
      <w:r w:rsidR="007000B6">
        <w:rPr>
          <w:i/>
          <w:iCs/>
        </w:rPr>
        <w:t xml:space="preserve">Unit Titles (Management) Act 2011 </w:t>
      </w:r>
      <w:r w:rsidR="007000B6">
        <w:t xml:space="preserve">(the </w:t>
      </w:r>
      <w:r w:rsidR="007000B6" w:rsidRPr="006E7130">
        <w:rPr>
          <w:b/>
          <w:bCs/>
        </w:rPr>
        <w:t>Act</w:t>
      </w:r>
      <w:r w:rsidR="007000B6" w:rsidRPr="00086A35">
        <w:t>)</w:t>
      </w:r>
      <w:r>
        <w:t xml:space="preserve">. </w:t>
      </w:r>
      <w:bookmarkStart w:id="1" w:name="_Hlk166667931"/>
      <w:r w:rsidR="007000B6">
        <w:rPr>
          <w:iCs/>
        </w:rPr>
        <w:t>The amendments introduce a new type of certificate, a ‘</w:t>
      </w:r>
      <w:r w:rsidR="007000B6" w:rsidRPr="00C50B47">
        <w:rPr>
          <w:i/>
        </w:rPr>
        <w:t>unit title rental certificate</w:t>
      </w:r>
      <w:r w:rsidR="007000B6">
        <w:rPr>
          <w:i/>
        </w:rPr>
        <w:t>’</w:t>
      </w:r>
      <w:r w:rsidR="007000B6">
        <w:rPr>
          <w:iCs/>
        </w:rPr>
        <w:t xml:space="preserve"> which will contain information that a unit owner who wishes to rent out their unit must disclose to their tenant when entering a residential tenancy agreement. </w:t>
      </w:r>
      <w:bookmarkStart w:id="2" w:name="_Hlk168404404"/>
      <w:r w:rsidR="007000B6">
        <w:rPr>
          <w:iCs/>
        </w:rPr>
        <w:t xml:space="preserve">Matters relating to unit title rental certificates </w:t>
      </w:r>
      <w:r w:rsidR="00E027C8">
        <w:rPr>
          <w:iCs/>
        </w:rPr>
        <w:t>will be</w:t>
      </w:r>
      <w:r w:rsidR="007000B6">
        <w:rPr>
          <w:iCs/>
        </w:rPr>
        <w:t xml:space="preserve"> dealt with under a separate determination</w:t>
      </w:r>
      <w:r w:rsidR="00E027C8">
        <w:rPr>
          <w:iCs/>
        </w:rPr>
        <w:t xml:space="preserve"> that will commence in line with enabling provisions under the </w:t>
      </w:r>
      <w:r w:rsidR="00E027C8">
        <w:rPr>
          <w:i/>
        </w:rPr>
        <w:t xml:space="preserve">Residential Tenancies Act 1997 </w:t>
      </w:r>
      <w:r w:rsidR="00E027C8" w:rsidRPr="00857057">
        <w:rPr>
          <w:iCs/>
        </w:rPr>
        <w:t>(</w:t>
      </w:r>
      <w:r w:rsidR="00E027C8" w:rsidRPr="00857057">
        <w:rPr>
          <w:b/>
          <w:bCs/>
          <w:iCs/>
        </w:rPr>
        <w:t>RTA</w:t>
      </w:r>
      <w:r w:rsidR="00E027C8">
        <w:rPr>
          <w:iCs/>
        </w:rPr>
        <w:t>) (which was also amended by the HCA Act</w:t>
      </w:r>
      <w:r w:rsidR="00747818">
        <w:rPr>
          <w:iCs/>
        </w:rPr>
        <w:t xml:space="preserve">, however those amendments </w:t>
      </w:r>
      <w:r w:rsidR="00E027C8">
        <w:rPr>
          <w:iCs/>
        </w:rPr>
        <w:t>will commence at a later stage).</w:t>
      </w:r>
      <w:r w:rsidR="007000B6">
        <w:rPr>
          <w:iCs/>
        </w:rPr>
        <w:t xml:space="preserve"> </w:t>
      </w:r>
    </w:p>
    <w:bookmarkEnd w:id="2"/>
    <w:p w14:paraId="3062E221" w14:textId="637F3AD4" w:rsidR="007000B6" w:rsidRPr="00857057" w:rsidRDefault="009D10AC" w:rsidP="00857057">
      <w:pPr>
        <w:spacing w:after="200"/>
        <w:rPr>
          <w:i/>
          <w:iCs/>
        </w:rPr>
      </w:pPr>
      <w:r>
        <w:rPr>
          <w:iCs/>
        </w:rPr>
        <w:t>G</w:t>
      </w:r>
      <w:r w:rsidR="007000B6">
        <w:rPr>
          <w:iCs/>
        </w:rPr>
        <w:t>iven the introduction of a new type of unit title certificate, the existing ‘unit title certificates’ have been renamed to ‘</w:t>
      </w:r>
      <w:r w:rsidR="007000B6" w:rsidRPr="00C50B47">
        <w:rPr>
          <w:i/>
        </w:rPr>
        <w:t xml:space="preserve">unit title sale </w:t>
      </w:r>
      <w:r w:rsidR="007000B6" w:rsidRPr="004C0D23">
        <w:rPr>
          <w:i/>
        </w:rPr>
        <w:t>certificate</w:t>
      </w:r>
      <w:r w:rsidR="007000B6">
        <w:rPr>
          <w:i/>
        </w:rPr>
        <w:t>’</w:t>
      </w:r>
      <w:r w:rsidR="007000B6">
        <w:rPr>
          <w:iCs/>
        </w:rPr>
        <w:t xml:space="preserve"> and ‘</w:t>
      </w:r>
      <w:r w:rsidR="007000B6">
        <w:rPr>
          <w:i/>
        </w:rPr>
        <w:t>unit title sale update certificate</w:t>
      </w:r>
      <w:r w:rsidR="007000B6">
        <w:rPr>
          <w:iCs/>
        </w:rPr>
        <w:t xml:space="preserve">.’ The new names, unit title rental certificate, unit title sale certificate and unit title sale update certificate, now reflect the purpose of the certificates, which </w:t>
      </w:r>
      <w:r>
        <w:rPr>
          <w:iCs/>
        </w:rPr>
        <w:t xml:space="preserve">will be </w:t>
      </w:r>
      <w:r w:rsidR="007000B6">
        <w:rPr>
          <w:iCs/>
        </w:rPr>
        <w:t xml:space="preserve">required under section 12 (3) (k) of the </w:t>
      </w:r>
      <w:r w:rsidRPr="00857057">
        <w:rPr>
          <w:iCs/>
        </w:rPr>
        <w:t>RTA</w:t>
      </w:r>
      <w:r w:rsidR="007000B6">
        <w:rPr>
          <w:i/>
        </w:rPr>
        <w:t xml:space="preserve"> </w:t>
      </w:r>
      <w:r w:rsidR="007000B6">
        <w:rPr>
          <w:iCs/>
        </w:rPr>
        <w:t xml:space="preserve">and section 9 of the </w:t>
      </w:r>
      <w:r w:rsidR="007000B6" w:rsidRPr="00086A35">
        <w:rPr>
          <w:i/>
        </w:rPr>
        <w:t>Civil Law (Sale of Residential Property) Act 2003</w:t>
      </w:r>
      <w:r w:rsidR="007000B6" w:rsidRPr="00FF5D61">
        <w:rPr>
          <w:iCs/>
        </w:rPr>
        <w:t xml:space="preserve"> </w:t>
      </w:r>
      <w:r w:rsidR="007000B6" w:rsidRPr="00C50B47">
        <w:rPr>
          <w:iCs/>
        </w:rPr>
        <w:t>(</w:t>
      </w:r>
      <w:r w:rsidR="007000B6">
        <w:rPr>
          <w:iCs/>
        </w:rPr>
        <w:t xml:space="preserve">the </w:t>
      </w:r>
      <w:r w:rsidR="007000B6" w:rsidRPr="00C50B47">
        <w:rPr>
          <w:b/>
          <w:bCs/>
          <w:iCs/>
        </w:rPr>
        <w:t>CLSRP Act</w:t>
      </w:r>
      <w:r w:rsidR="007000B6" w:rsidRPr="00C50B47">
        <w:rPr>
          <w:iCs/>
        </w:rPr>
        <w:t>)</w:t>
      </w:r>
      <w:r w:rsidR="007000B6">
        <w:rPr>
          <w:i/>
        </w:rPr>
        <w:t xml:space="preserve"> </w:t>
      </w:r>
      <w:r w:rsidR="007000B6">
        <w:rPr>
          <w:iCs/>
        </w:rPr>
        <w:t xml:space="preserve">when a unit is being rented or sold respectively. </w:t>
      </w:r>
      <w:r w:rsidR="00991044">
        <w:rPr>
          <w:iCs/>
        </w:rPr>
        <w:t>Given these changes, the HCA Act also repeals the</w:t>
      </w:r>
      <w:r>
        <w:rPr>
          <w:iCs/>
        </w:rPr>
        <w:t xml:space="preserve"> </w:t>
      </w:r>
      <w:r w:rsidR="00991044">
        <w:rPr>
          <w:i/>
        </w:rPr>
        <w:t xml:space="preserve">Unit Titles (Management) Certificate Determination 2023 (DI2023-3) </w:t>
      </w:r>
      <w:r w:rsidR="00991044">
        <w:rPr>
          <w:iCs/>
        </w:rPr>
        <w:t xml:space="preserve">and the </w:t>
      </w:r>
      <w:r w:rsidR="00991044">
        <w:rPr>
          <w:i/>
          <w:iCs/>
        </w:rPr>
        <w:t xml:space="preserve">Unit </w:t>
      </w:r>
      <w:r w:rsidR="00D421A2">
        <w:rPr>
          <w:i/>
          <w:iCs/>
        </w:rPr>
        <w:t>T</w:t>
      </w:r>
      <w:r w:rsidR="00991044">
        <w:rPr>
          <w:i/>
          <w:iCs/>
        </w:rPr>
        <w:t>itles (Management) (Fees) Determination 2023 (DI2023-179).</w:t>
      </w:r>
    </w:p>
    <w:bookmarkEnd w:id="1"/>
    <w:p w14:paraId="02C88B53" w14:textId="7193814B" w:rsidR="002C07BE" w:rsidRPr="002E18B5" w:rsidRDefault="00040AFB" w:rsidP="00857057">
      <w:pPr>
        <w:spacing w:after="200"/>
      </w:pPr>
      <w:r>
        <w:t xml:space="preserve">Provisions </w:t>
      </w:r>
      <w:r w:rsidR="009D10AC">
        <w:t xml:space="preserve">in the Act </w:t>
      </w:r>
      <w:r>
        <w:t>relating to access</w:t>
      </w:r>
      <w:r w:rsidR="007000B6">
        <w:t>ing</w:t>
      </w:r>
      <w:r>
        <w:t xml:space="preserve"> owners corporation </w:t>
      </w:r>
      <w:r w:rsidR="007000B6">
        <w:t xml:space="preserve">records (outside of the unit title certificate request process) </w:t>
      </w:r>
      <w:r w:rsidR="009D10AC">
        <w:t>which were previously provided for in section</w:t>
      </w:r>
      <w:r w:rsidR="00D421A2">
        <w:t> </w:t>
      </w:r>
      <w:r w:rsidR="009D10AC">
        <w:t xml:space="preserve">119 of the Act </w:t>
      </w:r>
      <w:r>
        <w:t xml:space="preserve">have also been amended </w:t>
      </w:r>
      <w:r w:rsidR="009D10AC">
        <w:t>and</w:t>
      </w:r>
      <w:r w:rsidR="000D7749">
        <w:t xml:space="preserve"> </w:t>
      </w:r>
      <w:r>
        <w:t xml:space="preserve">are now provided for </w:t>
      </w:r>
      <w:r w:rsidR="009D10AC">
        <w:t xml:space="preserve">separately </w:t>
      </w:r>
      <w:r>
        <w:t xml:space="preserve">in new section 120A of the </w:t>
      </w:r>
      <w:r w:rsidR="007000B6" w:rsidRPr="00857057">
        <w:t>Act</w:t>
      </w:r>
      <w:r w:rsidR="007000B6">
        <w:t>.</w:t>
      </w:r>
    </w:p>
    <w:p w14:paraId="2A7D15E4" w14:textId="2325A7DB" w:rsidR="00040AFB" w:rsidRPr="00991044" w:rsidRDefault="002C07BE" w:rsidP="00857057">
      <w:pPr>
        <w:tabs>
          <w:tab w:val="left" w:pos="720"/>
          <w:tab w:val="left" w:pos="2880"/>
          <w:tab w:val="center" w:pos="4153"/>
          <w:tab w:val="right" w:pos="8306"/>
        </w:tabs>
        <w:spacing w:after="200"/>
        <w:jc w:val="both"/>
        <w:rPr>
          <w:rFonts w:eastAsia="SimSun"/>
          <w:bdr w:val="none" w:sz="0" w:space="0" w:color="auto" w:frame="1"/>
        </w:rPr>
      </w:pPr>
      <w:r w:rsidRPr="0083050F">
        <w:rPr>
          <w:rFonts w:eastAsia="SimSun"/>
          <w:bdr w:val="none" w:sz="0" w:space="0" w:color="auto" w:frame="1"/>
        </w:rPr>
        <w:t>Th</w:t>
      </w:r>
      <w:r w:rsidR="007000B6">
        <w:rPr>
          <w:rFonts w:eastAsia="SimSun"/>
          <w:bdr w:val="none" w:sz="0" w:space="0" w:color="auto" w:frame="1"/>
        </w:rPr>
        <w:t>is D</w:t>
      </w:r>
      <w:r w:rsidRPr="0083050F">
        <w:rPr>
          <w:rFonts w:eastAsia="SimSun"/>
          <w:bdr w:val="none" w:sz="0" w:space="0" w:color="auto" w:frame="1"/>
        </w:rPr>
        <w:t>etermination sets the fees that will apply</w:t>
      </w:r>
      <w:r w:rsidR="007000B6">
        <w:rPr>
          <w:rFonts w:eastAsia="SimSun"/>
          <w:bdr w:val="none" w:sz="0" w:space="0" w:color="auto" w:frame="1"/>
        </w:rPr>
        <w:t xml:space="preserve"> to the unit title sale certificate and unit title sale update certificate</w:t>
      </w:r>
      <w:r w:rsidR="002C0CFC">
        <w:rPr>
          <w:rFonts w:eastAsia="SimSun"/>
          <w:bdr w:val="none" w:sz="0" w:space="0" w:color="auto" w:frame="1"/>
        </w:rPr>
        <w:t xml:space="preserve"> and other requests for information made outside of the unit title certificate process</w:t>
      </w:r>
      <w:r w:rsidR="007000B6">
        <w:rPr>
          <w:rFonts w:eastAsia="SimSun"/>
          <w:bdr w:val="none" w:sz="0" w:space="0" w:color="auto" w:frame="1"/>
        </w:rPr>
        <w:t>.</w:t>
      </w:r>
      <w:r w:rsidRPr="0083050F">
        <w:rPr>
          <w:rFonts w:eastAsia="SimSun"/>
          <w:bdr w:val="none" w:sz="0" w:space="0" w:color="auto" w:frame="1"/>
        </w:rPr>
        <w:t xml:space="preserve"> </w:t>
      </w:r>
      <w:r w:rsidR="00991044">
        <w:rPr>
          <w:rFonts w:eastAsia="SimSun"/>
          <w:bdr w:val="none" w:sz="0" w:space="0" w:color="auto" w:frame="1"/>
        </w:rPr>
        <w:t>Th</w:t>
      </w:r>
      <w:r w:rsidR="009D10AC">
        <w:rPr>
          <w:rFonts w:eastAsia="SimSun"/>
          <w:bdr w:val="none" w:sz="0" w:space="0" w:color="auto" w:frame="1"/>
        </w:rPr>
        <w:t>e</w:t>
      </w:r>
      <w:r w:rsidR="00991044">
        <w:rPr>
          <w:rFonts w:eastAsia="SimSun"/>
          <w:bdr w:val="none" w:sz="0" w:space="0" w:color="auto" w:frame="1"/>
        </w:rPr>
        <w:t xml:space="preserve"> </w:t>
      </w:r>
      <w:r w:rsidR="009D10AC">
        <w:rPr>
          <w:rFonts w:eastAsia="SimSun"/>
          <w:bdr w:val="none" w:sz="0" w:space="0" w:color="auto" w:frame="1"/>
        </w:rPr>
        <w:t>D</w:t>
      </w:r>
      <w:r w:rsidR="00991044">
        <w:rPr>
          <w:rFonts w:eastAsia="SimSun"/>
          <w:bdr w:val="none" w:sz="0" w:space="0" w:color="auto" w:frame="1"/>
        </w:rPr>
        <w:t xml:space="preserve">etermination will </w:t>
      </w:r>
      <w:r w:rsidR="00805D9E">
        <w:rPr>
          <w:rFonts w:eastAsia="SimSun"/>
          <w:bdr w:val="none" w:sz="0" w:space="0" w:color="auto" w:frame="1"/>
        </w:rPr>
        <w:t xml:space="preserve">be </w:t>
      </w:r>
      <w:r w:rsidR="00991044">
        <w:rPr>
          <w:rFonts w:eastAsia="SimSun"/>
          <w:bdr w:val="none" w:sz="0" w:space="0" w:color="auto" w:frame="1"/>
        </w:rPr>
        <w:t xml:space="preserve">updated again in future to set the fee that will apply to the unit title rental certificate when the enabling provisions under the </w:t>
      </w:r>
      <w:r w:rsidR="009D10AC">
        <w:rPr>
          <w:rFonts w:eastAsia="SimSun"/>
          <w:bdr w:val="none" w:sz="0" w:space="0" w:color="auto" w:frame="1"/>
        </w:rPr>
        <w:t>RTA</w:t>
      </w:r>
      <w:r w:rsidR="00991044">
        <w:rPr>
          <w:rFonts w:eastAsia="SimSun"/>
          <w:i/>
          <w:iCs/>
          <w:bdr w:val="none" w:sz="0" w:space="0" w:color="auto" w:frame="1"/>
        </w:rPr>
        <w:t xml:space="preserve"> </w:t>
      </w:r>
      <w:r w:rsidR="00991044">
        <w:rPr>
          <w:rFonts w:eastAsia="SimSun"/>
          <w:bdr w:val="none" w:sz="0" w:space="0" w:color="auto" w:frame="1"/>
        </w:rPr>
        <w:t>commence</w:t>
      </w:r>
      <w:r w:rsidR="002C0CFC">
        <w:rPr>
          <w:rFonts w:eastAsia="SimSun"/>
          <w:bdr w:val="none" w:sz="0" w:space="0" w:color="auto" w:frame="1"/>
        </w:rPr>
        <w:t xml:space="preserve"> and a new unit title rental certificate determination is made</w:t>
      </w:r>
      <w:r w:rsidR="00991044">
        <w:rPr>
          <w:rFonts w:eastAsia="SimSun"/>
          <w:bdr w:val="none" w:sz="0" w:space="0" w:color="auto" w:frame="1"/>
        </w:rPr>
        <w:t xml:space="preserve">. </w:t>
      </w:r>
    </w:p>
    <w:p w14:paraId="691C48FE" w14:textId="70CD380A" w:rsidR="00040AFB" w:rsidRPr="00AA61DF" w:rsidRDefault="007C1959" w:rsidP="00857057">
      <w:pPr>
        <w:spacing w:after="200"/>
      </w:pPr>
      <w:r w:rsidRPr="00AA61DF">
        <w:lastRenderedPageBreak/>
        <w:t>Section 119</w:t>
      </w:r>
      <w:r w:rsidR="00991044">
        <w:t xml:space="preserve"> </w:t>
      </w:r>
      <w:r w:rsidRPr="00AA61DF">
        <w:t>(</w:t>
      </w:r>
      <w:r w:rsidR="00300C16">
        <w:t>6</w:t>
      </w:r>
      <w:r w:rsidRPr="00AA61DF">
        <w:t xml:space="preserve">) of the </w:t>
      </w:r>
      <w:r w:rsidR="009D10AC" w:rsidRPr="00857057">
        <w:rPr>
          <w:iCs/>
        </w:rPr>
        <w:t>Act</w:t>
      </w:r>
      <w:r w:rsidR="009D10AC">
        <w:rPr>
          <w:i/>
        </w:rPr>
        <w:t xml:space="preserve"> </w:t>
      </w:r>
      <w:r w:rsidR="00EA7C14" w:rsidRPr="00AA61DF">
        <w:t>provides that a request by an eligible person for a unit or common property</w:t>
      </w:r>
      <w:r w:rsidR="007A5CEB">
        <w:t>,</w:t>
      </w:r>
      <w:r w:rsidR="00EA7C14" w:rsidRPr="00AA61DF">
        <w:t xml:space="preserve"> for a unit title</w:t>
      </w:r>
      <w:r w:rsidR="00040AFB">
        <w:t xml:space="preserve"> sales</w:t>
      </w:r>
      <w:r w:rsidR="00EA7C14" w:rsidRPr="00AA61DF">
        <w:t xml:space="preserve"> certificate </w:t>
      </w:r>
      <w:r w:rsidR="008C310B">
        <w:t xml:space="preserve">or a unit title </w:t>
      </w:r>
      <w:r w:rsidR="00040AFB">
        <w:t xml:space="preserve">sales </w:t>
      </w:r>
      <w:r w:rsidR="008C310B">
        <w:t>update certificate</w:t>
      </w:r>
      <w:r w:rsidR="00040AFB">
        <w:t xml:space="preserve"> or a unit title rental certificate</w:t>
      </w:r>
      <w:r w:rsidR="008C310B">
        <w:t xml:space="preserve"> </w:t>
      </w:r>
      <w:r w:rsidR="00EA7C14" w:rsidRPr="00AA61DF">
        <w:t>under section 119</w:t>
      </w:r>
      <w:r w:rsidR="007A5CEB">
        <w:t>,</w:t>
      </w:r>
      <w:r w:rsidR="00EA7C14" w:rsidRPr="00AA61DF">
        <w:t xml:space="preserve"> must be in writing and accompanied by a fee determined by the owners</w:t>
      </w:r>
      <w:r w:rsidR="00E52BF5">
        <w:t xml:space="preserve"> </w:t>
      </w:r>
      <w:r w:rsidR="00EA7C14" w:rsidRPr="00AA61DF">
        <w:t>corporation of not more than an amount determined by the Minister.</w:t>
      </w:r>
    </w:p>
    <w:p w14:paraId="79ACBD9E" w14:textId="0B2C3F20" w:rsidR="00872382" w:rsidRDefault="00872382" w:rsidP="00857057">
      <w:pPr>
        <w:spacing w:after="200"/>
        <w:rPr>
          <w:rFonts w:eastAsia="SimSun"/>
          <w:bdr w:val="none" w:sz="0" w:space="0" w:color="auto" w:frame="1"/>
        </w:rPr>
      </w:pPr>
      <w:r>
        <w:t>New s</w:t>
      </w:r>
      <w:r w:rsidR="00040AFB" w:rsidRPr="00AA61DF">
        <w:t xml:space="preserve">ection </w:t>
      </w:r>
      <w:r w:rsidR="00040AFB">
        <w:t>120A</w:t>
      </w:r>
      <w:r w:rsidR="00991044">
        <w:t xml:space="preserve"> </w:t>
      </w:r>
      <w:r w:rsidR="00040AFB">
        <w:t>(4)</w:t>
      </w:r>
      <w:r w:rsidR="00040AFB" w:rsidRPr="00AA61DF">
        <w:t xml:space="preserve"> of the </w:t>
      </w:r>
      <w:r w:rsidR="00991044">
        <w:t>Act</w:t>
      </w:r>
      <w:r w:rsidR="009D10AC">
        <w:t xml:space="preserve"> </w:t>
      </w:r>
      <w:r w:rsidR="00805D9E">
        <w:t xml:space="preserve">now </w:t>
      </w:r>
      <w:r w:rsidR="00040AFB" w:rsidRPr="00AA61DF">
        <w:t>provides that a request by an eligible person for a unit or common property</w:t>
      </w:r>
      <w:r w:rsidR="00040AFB">
        <w:t>,</w:t>
      </w:r>
      <w:r w:rsidR="00040AFB" w:rsidRPr="00AA61DF">
        <w:t xml:space="preserve"> </w:t>
      </w:r>
      <w:r w:rsidR="002E7FA8">
        <w:t xml:space="preserve">to inspect the records of the common property under </w:t>
      </w:r>
      <w:r w:rsidR="00040AFB" w:rsidRPr="00AA61DF">
        <w:t>section 1</w:t>
      </w:r>
      <w:r w:rsidR="002E7FA8">
        <w:t>20A</w:t>
      </w:r>
      <w:r w:rsidR="00040AFB">
        <w:t>,</w:t>
      </w:r>
      <w:r w:rsidR="00040AFB" w:rsidRPr="00AA61DF">
        <w:t xml:space="preserve"> must be in writing and accompanied by a fee determined by the owners</w:t>
      </w:r>
      <w:r w:rsidR="00040AFB">
        <w:t xml:space="preserve"> </w:t>
      </w:r>
      <w:r w:rsidR="00040AFB" w:rsidRPr="00AA61DF">
        <w:t>corporation of not more than an amount determined by the Minister.</w:t>
      </w:r>
      <w:r>
        <w:t xml:space="preserve"> </w:t>
      </w:r>
    </w:p>
    <w:p w14:paraId="08C6A83D" w14:textId="21DCA107" w:rsidR="00872382" w:rsidRDefault="00872382" w:rsidP="00857057">
      <w:pPr>
        <w:spacing w:after="200"/>
        <w:rPr>
          <w:color w:val="000000"/>
        </w:rPr>
      </w:pPr>
      <w:r>
        <w:rPr>
          <w:color w:val="000000"/>
        </w:rPr>
        <w:t>Th</w:t>
      </w:r>
      <w:r w:rsidR="009D10AC">
        <w:rPr>
          <w:color w:val="000000"/>
        </w:rPr>
        <w:t>is D</w:t>
      </w:r>
      <w:r>
        <w:rPr>
          <w:color w:val="000000"/>
        </w:rPr>
        <w:t xml:space="preserve">etermination sets the </w:t>
      </w:r>
      <w:r w:rsidR="00805D9E">
        <w:rPr>
          <w:color w:val="000000"/>
        </w:rPr>
        <w:t xml:space="preserve">maximum </w:t>
      </w:r>
      <w:r>
        <w:rPr>
          <w:color w:val="000000"/>
        </w:rPr>
        <w:t xml:space="preserve">fees </w:t>
      </w:r>
      <w:r w:rsidR="00805D9E">
        <w:rPr>
          <w:color w:val="000000"/>
        </w:rPr>
        <w:t>that may be charged by the owners corporation for providing information in response to a request under section 119 or section 120A of the Act</w:t>
      </w:r>
      <w:r>
        <w:rPr>
          <w:color w:val="000000"/>
        </w:rPr>
        <w:t>. It provides for fee increases in line with annual adjustments to the Wages Price Index (WPI) of 3.50%, rounded down to the nearest dollar for most fees, with the exception of fees that have been consecutively rounded down in previous years by more than $1.00 which have been rounded up to the nearest dollar.</w:t>
      </w:r>
    </w:p>
    <w:p w14:paraId="18A0E3A1" w14:textId="4BCD0110" w:rsidR="00872382" w:rsidRDefault="00872382" w:rsidP="00857057">
      <w:pPr>
        <w:pStyle w:val="NormalWeb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>
        <w:rPr>
          <w:color w:val="000000"/>
        </w:rPr>
        <w:t>This approach aligns with the 202</w:t>
      </w:r>
      <w:r w:rsidR="00547F3A">
        <w:rPr>
          <w:color w:val="000000"/>
        </w:rPr>
        <w:t>3</w:t>
      </w:r>
      <w:r>
        <w:rPr>
          <w:color w:val="000000"/>
        </w:rPr>
        <w:t> Treasury Guidelines for Fees and Charges.</w:t>
      </w:r>
    </w:p>
    <w:p w14:paraId="2F7AB9A8" w14:textId="79880AB5" w:rsidR="00872382" w:rsidRDefault="00872382" w:rsidP="008570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200"/>
        <w:jc w:val="both"/>
        <w:rPr>
          <w:rFonts w:eastAsia="SimSun"/>
          <w:bdr w:val="nil"/>
        </w:rPr>
      </w:pPr>
      <w:r>
        <w:rPr>
          <w:color w:val="000000"/>
        </w:rPr>
        <w:t>Explanatory notes in the determination list the fees previously determined to enable comparison. I</w:t>
      </w:r>
      <w:r>
        <w:rPr>
          <w:rFonts w:eastAsia="SimSun"/>
          <w:bdr w:val="nil"/>
        </w:rPr>
        <w:t xml:space="preserve">tem numbers have also been removed as they are no longer relevant. </w:t>
      </w:r>
    </w:p>
    <w:p w14:paraId="6F494544" w14:textId="12312073" w:rsidR="00872382" w:rsidRDefault="00872382" w:rsidP="008723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FD60163" w14:textId="4EF8D907" w:rsidR="00AF267B" w:rsidRPr="00AA61DF" w:rsidRDefault="00AF267B"/>
    <w:sectPr w:rsidR="00AF267B" w:rsidRPr="00AA61DF" w:rsidSect="00831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2880" w14:textId="77777777" w:rsidR="003707EC" w:rsidRDefault="003707EC">
      <w:r>
        <w:separator/>
      </w:r>
    </w:p>
  </w:endnote>
  <w:endnote w:type="continuationSeparator" w:id="0">
    <w:p w14:paraId="14C105EC" w14:textId="77777777" w:rsidR="003707EC" w:rsidRDefault="0037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133F" w14:textId="77777777" w:rsidR="00A572C1" w:rsidRDefault="00A57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168F" w14:textId="35DE942E" w:rsidR="00A572C1" w:rsidRPr="00A572C1" w:rsidRDefault="00A572C1" w:rsidP="00A572C1">
    <w:pPr>
      <w:pStyle w:val="Footer"/>
      <w:jc w:val="center"/>
      <w:rPr>
        <w:rFonts w:cs="Arial"/>
        <w:sz w:val="14"/>
      </w:rPr>
    </w:pPr>
    <w:r w:rsidRPr="00A572C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9E1E" w14:textId="77777777" w:rsidR="00A572C1" w:rsidRDefault="00A57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EA69" w14:textId="77777777" w:rsidR="003707EC" w:rsidRDefault="003707EC">
      <w:r>
        <w:separator/>
      </w:r>
    </w:p>
  </w:footnote>
  <w:footnote w:type="continuationSeparator" w:id="0">
    <w:p w14:paraId="636BE011" w14:textId="77777777" w:rsidR="003707EC" w:rsidRDefault="00370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AF47" w14:textId="7637A89B" w:rsidR="00F9636A" w:rsidRDefault="00F96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2C" w14:textId="504C39AB" w:rsidR="00F9636A" w:rsidRDefault="00F96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8CA5" w14:textId="6EF98A33" w:rsidR="00F9636A" w:rsidRDefault="00F96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64C2BEE"/>
    <w:multiLevelType w:val="multilevel"/>
    <w:tmpl w:val="F124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88411459">
    <w:abstractNumId w:val="2"/>
  </w:num>
  <w:num w:numId="2" w16cid:durableId="436102162">
    <w:abstractNumId w:val="0"/>
  </w:num>
  <w:num w:numId="3" w16cid:durableId="1961565343">
    <w:abstractNumId w:val="3"/>
  </w:num>
  <w:num w:numId="4" w16cid:durableId="829180801">
    <w:abstractNumId w:val="6"/>
  </w:num>
  <w:num w:numId="5" w16cid:durableId="839389884">
    <w:abstractNumId w:val="8"/>
  </w:num>
  <w:num w:numId="6" w16cid:durableId="942758958">
    <w:abstractNumId w:val="1"/>
  </w:num>
  <w:num w:numId="7" w16cid:durableId="1855681985">
    <w:abstractNumId w:val="4"/>
  </w:num>
  <w:num w:numId="8" w16cid:durableId="185095314">
    <w:abstractNumId w:val="5"/>
  </w:num>
  <w:num w:numId="9" w16cid:durableId="1897426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02292"/>
    <w:rsid w:val="00014A77"/>
    <w:rsid w:val="00020B12"/>
    <w:rsid w:val="00023682"/>
    <w:rsid w:val="00026E60"/>
    <w:rsid w:val="00033E8D"/>
    <w:rsid w:val="00040AFB"/>
    <w:rsid w:val="00061DD6"/>
    <w:rsid w:val="00062A98"/>
    <w:rsid w:val="00081CA7"/>
    <w:rsid w:val="000A0FBC"/>
    <w:rsid w:val="000C5AEC"/>
    <w:rsid w:val="000C6F4B"/>
    <w:rsid w:val="000D5975"/>
    <w:rsid w:val="000D7749"/>
    <w:rsid w:val="000F0524"/>
    <w:rsid w:val="000F3FAE"/>
    <w:rsid w:val="00121DFB"/>
    <w:rsid w:val="00131DD5"/>
    <w:rsid w:val="00146EF2"/>
    <w:rsid w:val="001665B6"/>
    <w:rsid w:val="0017170F"/>
    <w:rsid w:val="00177CD6"/>
    <w:rsid w:val="001F4DB7"/>
    <w:rsid w:val="002113B3"/>
    <w:rsid w:val="00221BB7"/>
    <w:rsid w:val="00255FC0"/>
    <w:rsid w:val="002657B4"/>
    <w:rsid w:val="00274137"/>
    <w:rsid w:val="00293E7B"/>
    <w:rsid w:val="00295AEF"/>
    <w:rsid w:val="00296142"/>
    <w:rsid w:val="002B76DF"/>
    <w:rsid w:val="002C07BE"/>
    <w:rsid w:val="002C0CFC"/>
    <w:rsid w:val="002E18B5"/>
    <w:rsid w:val="002E7FA8"/>
    <w:rsid w:val="002F094B"/>
    <w:rsid w:val="00300C16"/>
    <w:rsid w:val="003011B2"/>
    <w:rsid w:val="00317EB5"/>
    <w:rsid w:val="003255A7"/>
    <w:rsid w:val="00334532"/>
    <w:rsid w:val="00343AF9"/>
    <w:rsid w:val="0036542F"/>
    <w:rsid w:val="00367274"/>
    <w:rsid w:val="003707EC"/>
    <w:rsid w:val="00377EB9"/>
    <w:rsid w:val="00386BCA"/>
    <w:rsid w:val="003A0D69"/>
    <w:rsid w:val="003E4FBC"/>
    <w:rsid w:val="003F1729"/>
    <w:rsid w:val="003F350B"/>
    <w:rsid w:val="004115C2"/>
    <w:rsid w:val="00417D14"/>
    <w:rsid w:val="00447A81"/>
    <w:rsid w:val="00456061"/>
    <w:rsid w:val="00464DAA"/>
    <w:rsid w:val="00471C05"/>
    <w:rsid w:val="004C4A40"/>
    <w:rsid w:val="004C4DF9"/>
    <w:rsid w:val="004D4641"/>
    <w:rsid w:val="00505A79"/>
    <w:rsid w:val="00543CCC"/>
    <w:rsid w:val="00547F3A"/>
    <w:rsid w:val="0055353B"/>
    <w:rsid w:val="005667CC"/>
    <w:rsid w:val="00567506"/>
    <w:rsid w:val="00595C5F"/>
    <w:rsid w:val="005A1974"/>
    <w:rsid w:val="005A35CD"/>
    <w:rsid w:val="005A6DE2"/>
    <w:rsid w:val="005D70F1"/>
    <w:rsid w:val="005F390C"/>
    <w:rsid w:val="005F4AEA"/>
    <w:rsid w:val="00613F20"/>
    <w:rsid w:val="00632073"/>
    <w:rsid w:val="00640842"/>
    <w:rsid w:val="0064604C"/>
    <w:rsid w:val="006712E8"/>
    <w:rsid w:val="00671ABD"/>
    <w:rsid w:val="00692C6B"/>
    <w:rsid w:val="006A40A1"/>
    <w:rsid w:val="006B609E"/>
    <w:rsid w:val="006B6D13"/>
    <w:rsid w:val="006F63C8"/>
    <w:rsid w:val="007000B6"/>
    <w:rsid w:val="00700869"/>
    <w:rsid w:val="00724C10"/>
    <w:rsid w:val="00727D96"/>
    <w:rsid w:val="007348CF"/>
    <w:rsid w:val="00735725"/>
    <w:rsid w:val="00737AE1"/>
    <w:rsid w:val="00743CFE"/>
    <w:rsid w:val="00747818"/>
    <w:rsid w:val="00750F85"/>
    <w:rsid w:val="007629B6"/>
    <w:rsid w:val="00763871"/>
    <w:rsid w:val="00764A33"/>
    <w:rsid w:val="007653B9"/>
    <w:rsid w:val="00771D4A"/>
    <w:rsid w:val="0078280C"/>
    <w:rsid w:val="00797576"/>
    <w:rsid w:val="007A5CEB"/>
    <w:rsid w:val="007B030B"/>
    <w:rsid w:val="007B0BE5"/>
    <w:rsid w:val="007B7601"/>
    <w:rsid w:val="007C1959"/>
    <w:rsid w:val="007D7C3E"/>
    <w:rsid w:val="007E59B6"/>
    <w:rsid w:val="008054B1"/>
    <w:rsid w:val="00805D9E"/>
    <w:rsid w:val="00806DE9"/>
    <w:rsid w:val="0083050F"/>
    <w:rsid w:val="008313D3"/>
    <w:rsid w:val="00845FBE"/>
    <w:rsid w:val="00857057"/>
    <w:rsid w:val="008606FE"/>
    <w:rsid w:val="00860BA6"/>
    <w:rsid w:val="00872382"/>
    <w:rsid w:val="00897E1A"/>
    <w:rsid w:val="008B0224"/>
    <w:rsid w:val="008B0B1D"/>
    <w:rsid w:val="008C310B"/>
    <w:rsid w:val="008C4BEA"/>
    <w:rsid w:val="008E5B0C"/>
    <w:rsid w:val="00904E98"/>
    <w:rsid w:val="00932355"/>
    <w:rsid w:val="00933FBD"/>
    <w:rsid w:val="00945CD0"/>
    <w:rsid w:val="00965379"/>
    <w:rsid w:val="00974848"/>
    <w:rsid w:val="00991044"/>
    <w:rsid w:val="009A7B1F"/>
    <w:rsid w:val="009B55B7"/>
    <w:rsid w:val="009D10AC"/>
    <w:rsid w:val="009F6B43"/>
    <w:rsid w:val="00A049A4"/>
    <w:rsid w:val="00A2098B"/>
    <w:rsid w:val="00A5329D"/>
    <w:rsid w:val="00A572C1"/>
    <w:rsid w:val="00A80EB2"/>
    <w:rsid w:val="00A81472"/>
    <w:rsid w:val="00A84848"/>
    <w:rsid w:val="00AA61DF"/>
    <w:rsid w:val="00AD324B"/>
    <w:rsid w:val="00AD7434"/>
    <w:rsid w:val="00AE6DDC"/>
    <w:rsid w:val="00AF267B"/>
    <w:rsid w:val="00AF441E"/>
    <w:rsid w:val="00B057F7"/>
    <w:rsid w:val="00B12059"/>
    <w:rsid w:val="00B24B91"/>
    <w:rsid w:val="00B402FC"/>
    <w:rsid w:val="00B54842"/>
    <w:rsid w:val="00B63E10"/>
    <w:rsid w:val="00BA6001"/>
    <w:rsid w:val="00BF7DCA"/>
    <w:rsid w:val="00C02976"/>
    <w:rsid w:val="00C221A0"/>
    <w:rsid w:val="00C36A2B"/>
    <w:rsid w:val="00C40CC1"/>
    <w:rsid w:val="00C4252F"/>
    <w:rsid w:val="00C4480B"/>
    <w:rsid w:val="00C527DE"/>
    <w:rsid w:val="00C653FC"/>
    <w:rsid w:val="00C71E5E"/>
    <w:rsid w:val="00C80694"/>
    <w:rsid w:val="00CB1C03"/>
    <w:rsid w:val="00CB4F98"/>
    <w:rsid w:val="00CC6FE0"/>
    <w:rsid w:val="00CD5A72"/>
    <w:rsid w:val="00CE72C2"/>
    <w:rsid w:val="00D421A2"/>
    <w:rsid w:val="00D609AB"/>
    <w:rsid w:val="00D65188"/>
    <w:rsid w:val="00D723F7"/>
    <w:rsid w:val="00DB0A17"/>
    <w:rsid w:val="00DD7C58"/>
    <w:rsid w:val="00DF09D3"/>
    <w:rsid w:val="00E027C8"/>
    <w:rsid w:val="00E20AA3"/>
    <w:rsid w:val="00E52BF5"/>
    <w:rsid w:val="00E728DA"/>
    <w:rsid w:val="00E847FF"/>
    <w:rsid w:val="00E95B44"/>
    <w:rsid w:val="00EA141E"/>
    <w:rsid w:val="00EA23CB"/>
    <w:rsid w:val="00EA7C14"/>
    <w:rsid w:val="00EB1E62"/>
    <w:rsid w:val="00EB2C41"/>
    <w:rsid w:val="00EC3EA9"/>
    <w:rsid w:val="00F05593"/>
    <w:rsid w:val="00F169F1"/>
    <w:rsid w:val="00F2657C"/>
    <w:rsid w:val="00F61B9B"/>
    <w:rsid w:val="00F71E80"/>
    <w:rsid w:val="00F80B69"/>
    <w:rsid w:val="00F9636A"/>
    <w:rsid w:val="00FA1936"/>
    <w:rsid w:val="00FA6D3C"/>
    <w:rsid w:val="00FA6F77"/>
    <w:rsid w:val="00FA7A15"/>
    <w:rsid w:val="00FB414D"/>
    <w:rsid w:val="00FD0C0C"/>
    <w:rsid w:val="00FE5A77"/>
    <w:rsid w:val="00FF0E4B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15A4AB"/>
  <w14:defaultImageDpi w14:val="0"/>
  <w15:docId w15:val="{0F9002D6-4981-4906-A14D-58D2BF45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F4B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F4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6F4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6F4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0C6F4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C6F4B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C6F4B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C6F4B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C6F4B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0C6F4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0C6F4B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0C6F4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6F4B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0C6F4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0C6F4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0C6F4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0C6F4B"/>
    <w:pPr>
      <w:spacing w:before="180" w:after="60"/>
      <w:jc w:val="both"/>
    </w:pPr>
  </w:style>
  <w:style w:type="paragraph" w:customStyle="1" w:styleId="CoverActName">
    <w:name w:val="CoverActName"/>
    <w:basedOn w:val="Normal"/>
    <w:rsid w:val="000C6F4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0C6F4B"/>
    <w:pPr>
      <w:tabs>
        <w:tab w:val="left" w:pos="2880"/>
      </w:tabs>
    </w:pPr>
  </w:style>
  <w:style w:type="paragraph" w:customStyle="1" w:styleId="Apara">
    <w:name w:val="A para"/>
    <w:basedOn w:val="Normal"/>
    <w:rsid w:val="000C6F4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0C6F4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0C6F4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0C6F4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0C6F4B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6F4B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0C6F4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0C6F4B"/>
    <w:rPr>
      <w:rFonts w:cs="Times New Roman"/>
    </w:rPr>
  </w:style>
  <w:style w:type="paragraph" w:customStyle="1" w:styleId="CoverInForce">
    <w:name w:val="CoverInForce"/>
    <w:basedOn w:val="Normal"/>
    <w:rsid w:val="000C6F4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0C6F4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0C6F4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0C6F4B"/>
    <w:rPr>
      <w:rFonts w:cs="Times New Roman"/>
    </w:rPr>
  </w:style>
  <w:style w:type="paragraph" w:customStyle="1" w:styleId="Aparabullet">
    <w:name w:val="A para bullet"/>
    <w:basedOn w:val="Normal"/>
    <w:rsid w:val="000C6F4B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0C6F4B"/>
  </w:style>
  <w:style w:type="paragraph" w:styleId="TOC2">
    <w:name w:val="toc 2"/>
    <w:basedOn w:val="Normal"/>
    <w:next w:val="Normal"/>
    <w:autoRedefine/>
    <w:uiPriority w:val="39"/>
    <w:semiHidden/>
    <w:rsid w:val="000C6F4B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0C6F4B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0C6F4B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0C6F4B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0C6F4B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0C6F4B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0C6F4B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0C6F4B"/>
    <w:pPr>
      <w:ind w:left="1920"/>
    </w:pPr>
  </w:style>
  <w:style w:type="character" w:styleId="Hyperlink">
    <w:name w:val="Hyperlink"/>
    <w:basedOn w:val="DefaultParagraphFont"/>
    <w:uiPriority w:val="99"/>
    <w:rsid w:val="000C6F4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C6F4B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6F4B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0C6F4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0C6F4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0C6F4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0C6F4B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0C6F4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C6F4B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6F4B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0C6F4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0C6F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F4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4DB7"/>
    <w:rPr>
      <w:rFonts w:ascii="Tahoma" w:hAnsi="Tahoma" w:cs="Tahoma"/>
      <w:sz w:val="16"/>
      <w:szCs w:val="16"/>
      <w:lang w:val="x-none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A61DF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61DF"/>
    <w:rPr>
      <w:rFonts w:ascii="Calibri" w:hAnsi="Calibri"/>
      <w:sz w:val="22"/>
      <w:szCs w:val="21"/>
      <w:lang w:eastAsia="en-US"/>
    </w:rPr>
  </w:style>
  <w:style w:type="character" w:styleId="CommentReference">
    <w:name w:val="annotation reference"/>
    <w:basedOn w:val="DefaultParagraphFont"/>
    <w:rsid w:val="007348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48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48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48CF"/>
    <w:rPr>
      <w:b/>
      <w:bCs/>
      <w:lang w:eastAsia="en-US"/>
    </w:rPr>
  </w:style>
  <w:style w:type="paragraph" w:customStyle="1" w:styleId="LongTitle">
    <w:name w:val="LongTitle"/>
    <w:basedOn w:val="Normal"/>
    <w:uiPriority w:val="99"/>
    <w:rsid w:val="00AF267B"/>
    <w:pPr>
      <w:spacing w:before="240" w:after="60"/>
      <w:jc w:val="both"/>
    </w:pPr>
    <w:rPr>
      <w:szCs w:val="24"/>
    </w:rPr>
  </w:style>
  <w:style w:type="paragraph" w:styleId="Revision">
    <w:name w:val="Revision"/>
    <w:hidden/>
    <w:uiPriority w:val="99"/>
    <w:semiHidden/>
    <w:rsid w:val="00E728DA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72382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6A07E-2BE8-4345-AE8E-D8D189DC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3256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2016-06-15T01:35:00Z</cp:lastPrinted>
  <dcterms:created xsi:type="dcterms:W3CDTF">2024-07-14T23:40:00Z</dcterms:created>
  <dcterms:modified xsi:type="dcterms:W3CDTF">2024-07-14T23:40:00Z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A29346081</vt:lpwstr>
  </property>
  <property fmtid="{D5CDD505-2E9C-101B-9397-08002B2CF9AE}" pid="4" name="Objective-Title">
    <vt:lpwstr>Att B - Explanatory Statement - Unit Titles (Management) (Fees) Determination 2021 - clean copy</vt:lpwstr>
  </property>
  <property fmtid="{D5CDD505-2E9C-101B-9397-08002B2CF9AE}" pid="5" name="Objective-Comment">
    <vt:lpwstr/>
  </property>
  <property fmtid="{D5CDD505-2E9C-101B-9397-08002B2CF9AE}" pid="6" name="Objective-CreationStamp">
    <vt:filetime>2021-05-20T04:19:30Z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2021-05-20T06:50:08Z</vt:filetime>
  </property>
  <property fmtid="{D5CDD505-2E9C-101B-9397-08002B2CF9AE}" pid="10" name="Objective-ModificationStamp">
    <vt:filetime>2021-05-20T06:50:08Z</vt:filetime>
  </property>
  <property fmtid="{D5CDD505-2E9C-101B-9397-08002B2CF9AE}" pid="11" name="Objective-Owner">
    <vt:lpwstr>Erica Hurrell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Ministerials:2020 - Ministerial and Chief Ministerial Briefs / Correspondence:Planning, Land and Building:12. December:20/95315 Ministerial Information Brief - Attorney General - Unit Titles Fee Determination.:</vt:lpwstr>
  </property>
  <property fmtid="{D5CDD505-2E9C-101B-9397-08002B2CF9AE}" pid="13" name="Objective-Parent">
    <vt:lpwstr>20/95315 Ministerial Information Brief - Attorney General - Unit Titles Fee Determination.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1-2020/95315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DMSID">
    <vt:lpwstr>10676817</vt:lpwstr>
  </property>
  <property fmtid="{D5CDD505-2E9C-101B-9397-08002B2CF9AE}" pid="44" name="CHECKEDOUTFROMJMS">
    <vt:lpwstr/>
  </property>
  <property fmtid="{D5CDD505-2E9C-101B-9397-08002B2CF9AE}" pid="45" name="JMSREQUIREDCHECKIN">
    <vt:lpwstr/>
  </property>
  <property fmtid="{D5CDD505-2E9C-101B-9397-08002B2CF9AE}" pid="46" name="MSIP_Label_69af8531-eb46-4968-8cb3-105d2f5ea87e_Enabled">
    <vt:lpwstr>true</vt:lpwstr>
  </property>
  <property fmtid="{D5CDD505-2E9C-101B-9397-08002B2CF9AE}" pid="47" name="MSIP_Label_69af8531-eb46-4968-8cb3-105d2f5ea87e_SetDate">
    <vt:lpwstr>2024-04-22T01:38:51Z</vt:lpwstr>
  </property>
  <property fmtid="{D5CDD505-2E9C-101B-9397-08002B2CF9AE}" pid="48" name="MSIP_Label_69af8531-eb46-4968-8cb3-105d2f5ea87e_Method">
    <vt:lpwstr>Standard</vt:lpwstr>
  </property>
  <property fmtid="{D5CDD505-2E9C-101B-9397-08002B2CF9AE}" pid="49" name="MSIP_Label_69af8531-eb46-4968-8cb3-105d2f5ea87e_Name">
    <vt:lpwstr>Official - No Marking</vt:lpwstr>
  </property>
  <property fmtid="{D5CDD505-2E9C-101B-9397-08002B2CF9AE}" pid="50" name="MSIP_Label_69af8531-eb46-4968-8cb3-105d2f5ea87e_SiteId">
    <vt:lpwstr>b46c1908-0334-4236-b978-585ee88e4199</vt:lpwstr>
  </property>
  <property fmtid="{D5CDD505-2E9C-101B-9397-08002B2CF9AE}" pid="51" name="MSIP_Label_69af8531-eb46-4968-8cb3-105d2f5ea87e_ActionId">
    <vt:lpwstr>f8bcc96f-17ab-452c-a185-d0cfe4ecc9da</vt:lpwstr>
  </property>
  <property fmtid="{D5CDD505-2E9C-101B-9397-08002B2CF9AE}" pid="52" name="MSIP_Label_69af8531-eb46-4968-8cb3-105d2f5ea87e_ContentBits">
    <vt:lpwstr>0</vt:lpwstr>
  </property>
</Properties>
</file>