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6F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A7A6CB" w14:textId="7E89AEFF" w:rsidR="00C17FAB" w:rsidRDefault="00D74CDF">
      <w:pPr>
        <w:pStyle w:val="Billname"/>
        <w:spacing w:before="700"/>
      </w:pPr>
      <w:r>
        <w:t>Professional Engineers</w:t>
      </w:r>
      <w:r w:rsidR="00FD75CE">
        <w:t xml:space="preserve"> </w:t>
      </w:r>
      <w:r w:rsidR="00532C82">
        <w:t xml:space="preserve">(Professional Engineers) </w:t>
      </w:r>
      <w:r>
        <w:t>Code of Practice</w:t>
      </w:r>
      <w:r w:rsidR="00FD75CE">
        <w:t xml:space="preserve"> </w:t>
      </w:r>
      <w:r>
        <w:t>2024</w:t>
      </w:r>
    </w:p>
    <w:p w14:paraId="64B68A98" w14:textId="1049D3E0" w:rsidR="00C17FAB" w:rsidRDefault="002D7C60" w:rsidP="00DA3B00">
      <w:pPr>
        <w:spacing w:before="340"/>
        <w:rPr>
          <w:rFonts w:ascii="Arial" w:hAnsi="Arial" w:cs="Arial"/>
          <w:b/>
          <w:bCs/>
        </w:rPr>
      </w:pPr>
      <w:r>
        <w:rPr>
          <w:rFonts w:ascii="Arial" w:hAnsi="Arial" w:cs="Arial"/>
          <w:b/>
          <w:bCs/>
        </w:rPr>
        <w:t>Disallowable instrument DI</w:t>
      </w:r>
      <w:r w:rsidR="00D74CDF">
        <w:rPr>
          <w:rFonts w:ascii="Arial" w:hAnsi="Arial" w:cs="Arial"/>
          <w:b/>
          <w:bCs/>
        </w:rPr>
        <w:t>2024</w:t>
      </w:r>
      <w:r w:rsidR="00C17FAB">
        <w:rPr>
          <w:rFonts w:ascii="Arial" w:hAnsi="Arial" w:cs="Arial"/>
          <w:b/>
          <w:bCs/>
        </w:rPr>
        <w:t>–</w:t>
      </w:r>
      <w:r w:rsidR="007372C3">
        <w:rPr>
          <w:rFonts w:ascii="Arial" w:hAnsi="Arial" w:cs="Arial"/>
          <w:b/>
          <w:bCs/>
        </w:rPr>
        <w:t>279</w:t>
      </w:r>
    </w:p>
    <w:p w14:paraId="49EFC2AF" w14:textId="77777777" w:rsidR="00C17FAB" w:rsidRDefault="00C17FAB" w:rsidP="00DA3B00">
      <w:pPr>
        <w:pStyle w:val="madeunder"/>
        <w:spacing w:before="300" w:after="0"/>
      </w:pPr>
      <w:r>
        <w:t xml:space="preserve">made under the  </w:t>
      </w:r>
    </w:p>
    <w:p w14:paraId="777A1562" w14:textId="5300C4E3" w:rsidR="00D74CDF" w:rsidRPr="004455B3" w:rsidRDefault="00D74CDF" w:rsidP="00D74CDF">
      <w:pPr>
        <w:pStyle w:val="CoverActName"/>
        <w:spacing w:before="320" w:after="0"/>
        <w:jc w:val="left"/>
        <w:rPr>
          <w:i/>
          <w:iCs/>
          <w:sz w:val="20"/>
          <w:vertAlign w:val="superscript"/>
        </w:rPr>
      </w:pPr>
      <w:r>
        <w:rPr>
          <w:iCs/>
          <w:sz w:val="20"/>
        </w:rPr>
        <w:t>Professional Engineers Act 2023, s 85 (Codes of practice)</w:t>
      </w:r>
    </w:p>
    <w:p w14:paraId="11E7B53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11F31E2" w14:textId="77777777" w:rsidR="00C17FAB" w:rsidRDefault="00C17FAB">
      <w:pPr>
        <w:pStyle w:val="N-line3"/>
        <w:pBdr>
          <w:bottom w:val="none" w:sz="0" w:space="0" w:color="auto"/>
        </w:pBdr>
      </w:pPr>
    </w:p>
    <w:p w14:paraId="24C9621A" w14:textId="77777777" w:rsidR="00C17FAB" w:rsidRDefault="00C17FAB">
      <w:pPr>
        <w:pStyle w:val="N-line3"/>
        <w:pBdr>
          <w:top w:val="single" w:sz="12" w:space="1" w:color="auto"/>
          <w:bottom w:val="none" w:sz="0" w:space="0" w:color="auto"/>
        </w:pBdr>
      </w:pPr>
    </w:p>
    <w:bookmarkEnd w:id="0"/>
    <w:p w14:paraId="62DCAAC0" w14:textId="004B81C5" w:rsidR="00D74CDF" w:rsidRDefault="00D74CDF" w:rsidP="00D74CDF">
      <w:pPr>
        <w:pStyle w:val="longtitle"/>
        <w:shd w:val="clear" w:color="auto" w:fill="FFFFFF"/>
        <w:spacing w:before="0" w:beforeAutospacing="0" w:after="0" w:afterAutospacing="0"/>
        <w:rPr>
          <w:color w:val="000000"/>
        </w:rPr>
      </w:pPr>
      <w:r>
        <w:rPr>
          <w:color w:val="000000"/>
        </w:rPr>
        <w:t>This explanatory statement relates to the </w:t>
      </w:r>
      <w:r>
        <w:rPr>
          <w:i/>
          <w:iCs/>
          <w:color w:val="000000"/>
        </w:rPr>
        <w:t xml:space="preserve">Professional Engineers </w:t>
      </w:r>
      <w:r w:rsidR="00532C82">
        <w:rPr>
          <w:i/>
          <w:iCs/>
          <w:color w:val="000000"/>
        </w:rPr>
        <w:t xml:space="preserve">(Professional Engineers) </w:t>
      </w:r>
      <w:r>
        <w:rPr>
          <w:i/>
          <w:iCs/>
          <w:color w:val="000000"/>
        </w:rPr>
        <w:t>Code of Practice</w:t>
      </w:r>
      <w:r w:rsidR="002B1B77">
        <w:rPr>
          <w:i/>
          <w:iCs/>
          <w:color w:val="000000"/>
        </w:rPr>
        <w:t xml:space="preserve"> </w:t>
      </w:r>
      <w:r>
        <w:rPr>
          <w:i/>
          <w:iCs/>
          <w:color w:val="000000"/>
        </w:rPr>
        <w:t>2024 </w:t>
      </w:r>
      <w:r>
        <w:rPr>
          <w:color w:val="000000"/>
        </w:rPr>
        <w:t>as presented to the Legislative Assembly. It has been prepared to assist the reader of the instrument. It does not form part of the instrument and has not been endorsed by the Assembly.</w:t>
      </w:r>
    </w:p>
    <w:p w14:paraId="468F81CF" w14:textId="77777777" w:rsidR="00D74CDF" w:rsidRDefault="00D74CDF" w:rsidP="00D74CDF">
      <w:pPr>
        <w:pStyle w:val="longtitle"/>
        <w:shd w:val="clear" w:color="auto" w:fill="FFFFFF"/>
        <w:spacing w:before="0" w:beforeAutospacing="0" w:after="0" w:afterAutospacing="0"/>
        <w:rPr>
          <w:color w:val="000000"/>
        </w:rPr>
      </w:pPr>
      <w:r>
        <w:rPr>
          <w:color w:val="000000"/>
        </w:rPr>
        <w:t> </w:t>
      </w:r>
    </w:p>
    <w:p w14:paraId="0A73B7EC" w14:textId="77777777" w:rsidR="00D74CDF" w:rsidRDefault="00D74CDF" w:rsidP="00D74CDF">
      <w:pPr>
        <w:pStyle w:val="longtitle"/>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1463846C" w14:textId="77777777" w:rsidR="00D74CDF" w:rsidRDefault="00D74CDF" w:rsidP="00D74CDF">
      <w:pPr>
        <w:pStyle w:val="longtitle"/>
        <w:shd w:val="clear" w:color="auto" w:fill="FFFFFF"/>
        <w:spacing w:before="0" w:beforeAutospacing="0" w:after="0" w:afterAutospacing="0"/>
        <w:rPr>
          <w:color w:val="000000"/>
        </w:rPr>
      </w:pPr>
    </w:p>
    <w:p w14:paraId="37F793C5" w14:textId="16D2D514" w:rsidR="00FF0A5F" w:rsidRDefault="00D74CDF" w:rsidP="00D74CDF">
      <w:pPr>
        <w:pStyle w:val="longtitle"/>
        <w:shd w:val="clear" w:color="auto" w:fill="FFFFFF"/>
        <w:spacing w:before="0" w:beforeAutospacing="0" w:after="0" w:afterAutospacing="0"/>
      </w:pPr>
      <w:r>
        <w:rPr>
          <w:color w:val="000000"/>
          <w:shd w:val="clear" w:color="auto" w:fill="FFFFFF"/>
        </w:rPr>
        <w:t>Section 8</w:t>
      </w:r>
      <w:r w:rsidR="00650AC2">
        <w:rPr>
          <w:color w:val="000000"/>
          <w:shd w:val="clear" w:color="auto" w:fill="FFFFFF"/>
        </w:rPr>
        <w:t>5</w:t>
      </w:r>
      <w:r>
        <w:rPr>
          <w:color w:val="000000"/>
          <w:shd w:val="clear" w:color="auto" w:fill="FFFFFF"/>
        </w:rPr>
        <w:t> of the </w:t>
      </w:r>
      <w:r>
        <w:rPr>
          <w:i/>
          <w:iCs/>
          <w:color w:val="000000"/>
          <w:shd w:val="clear" w:color="auto" w:fill="FFFFFF"/>
        </w:rPr>
        <w:t>Professional Engineers Act 2023</w:t>
      </w:r>
      <w:r>
        <w:rPr>
          <w:color w:val="000000"/>
          <w:shd w:val="clear" w:color="auto" w:fill="FFFFFF"/>
        </w:rPr>
        <w:t> (the </w:t>
      </w:r>
      <w:r>
        <w:rPr>
          <w:b/>
          <w:bCs/>
          <w:i/>
          <w:iCs/>
          <w:color w:val="000000"/>
          <w:shd w:val="clear" w:color="auto" w:fill="FFFFFF"/>
        </w:rPr>
        <w:t>Act</w:t>
      </w:r>
      <w:r>
        <w:rPr>
          <w:color w:val="000000"/>
          <w:shd w:val="clear" w:color="auto" w:fill="FFFFFF"/>
        </w:rPr>
        <w:t>) permits the</w:t>
      </w:r>
      <w:r w:rsidR="00A4726B">
        <w:rPr>
          <w:color w:val="000000"/>
          <w:shd w:val="clear" w:color="auto" w:fill="FFFFFF"/>
        </w:rPr>
        <w:t xml:space="preserve"> Minister to</w:t>
      </w:r>
      <w:r>
        <w:rPr>
          <w:color w:val="000000"/>
          <w:shd w:val="clear" w:color="auto" w:fill="FFFFFF"/>
        </w:rPr>
        <w:t xml:space="preserve"> </w:t>
      </w:r>
      <w:r w:rsidR="00650AC2">
        <w:rPr>
          <w:color w:val="000000"/>
          <w:shd w:val="clear" w:color="auto" w:fill="FFFFFF"/>
        </w:rPr>
        <w:t>approve a code of practice for professional engineers, an area of engineering or a professional engineering service</w:t>
      </w:r>
      <w:r>
        <w:rPr>
          <w:color w:val="000000"/>
          <w:shd w:val="clear" w:color="auto" w:fill="FFFFFF"/>
        </w:rPr>
        <w:t xml:space="preserve">. </w:t>
      </w:r>
      <w:r w:rsidR="00C62884" w:rsidRPr="002539BF">
        <w:rPr>
          <w:color w:val="000000"/>
          <w:shd w:val="clear" w:color="auto" w:fill="FFFFFF"/>
        </w:rPr>
        <w:t xml:space="preserve">This Code of Practice </w:t>
      </w:r>
      <w:r w:rsidR="00865D3C">
        <w:rPr>
          <w:color w:val="000000"/>
          <w:shd w:val="clear" w:color="auto" w:fill="FFFFFF"/>
        </w:rPr>
        <w:t xml:space="preserve">(the Code) </w:t>
      </w:r>
      <w:r w:rsidR="00C62884" w:rsidRPr="002539BF">
        <w:rPr>
          <w:color w:val="000000"/>
          <w:shd w:val="clear" w:color="auto" w:fill="FFFFFF"/>
        </w:rPr>
        <w:t xml:space="preserve">for </w:t>
      </w:r>
      <w:r w:rsidR="00C62884">
        <w:rPr>
          <w:color w:val="000000"/>
          <w:shd w:val="clear" w:color="auto" w:fill="FFFFFF"/>
        </w:rPr>
        <w:t xml:space="preserve">professional engineers </w:t>
      </w:r>
      <w:r w:rsidR="00C62884" w:rsidRPr="002539BF">
        <w:rPr>
          <w:color w:val="000000"/>
          <w:shd w:val="clear" w:color="auto" w:fill="FFFFFF"/>
        </w:rPr>
        <w:t>is made under section 85 (1) (</w:t>
      </w:r>
      <w:r w:rsidR="00C62884">
        <w:rPr>
          <w:color w:val="000000"/>
          <w:shd w:val="clear" w:color="auto" w:fill="FFFFFF"/>
        </w:rPr>
        <w:t>a</w:t>
      </w:r>
      <w:r w:rsidR="00C62884" w:rsidRPr="002539BF">
        <w:rPr>
          <w:color w:val="000000"/>
          <w:shd w:val="clear" w:color="auto" w:fill="FFFFFF"/>
        </w:rPr>
        <w:t>) of the</w:t>
      </w:r>
      <w:r w:rsidR="00C62884">
        <w:rPr>
          <w:color w:val="000000"/>
          <w:shd w:val="clear" w:color="auto" w:fill="FFFFFF"/>
        </w:rPr>
        <w:t xml:space="preserve"> </w:t>
      </w:r>
      <w:r w:rsidR="00C62884" w:rsidRPr="002B1B77">
        <w:rPr>
          <w:b/>
          <w:bCs/>
          <w:i/>
          <w:iCs/>
          <w:color w:val="000000"/>
          <w:shd w:val="clear" w:color="auto" w:fill="FFFFFF"/>
        </w:rPr>
        <w:t>Act</w:t>
      </w:r>
      <w:r w:rsidR="00C62884" w:rsidRPr="002539BF">
        <w:rPr>
          <w:color w:val="000000"/>
          <w:shd w:val="clear" w:color="auto" w:fill="FFFFFF"/>
        </w:rPr>
        <w:t xml:space="preserve">. </w:t>
      </w:r>
      <w:r>
        <w:rPr>
          <w:color w:val="000000"/>
          <w:shd w:val="clear" w:color="auto" w:fill="FFFFFF"/>
        </w:rPr>
        <w:t>Under s</w:t>
      </w:r>
      <w:r w:rsidRPr="00891C2D">
        <w:rPr>
          <w:color w:val="000000"/>
          <w:shd w:val="clear" w:color="auto" w:fill="FFFFFF"/>
        </w:rPr>
        <w:t xml:space="preserve">ection </w:t>
      </w:r>
      <w:r w:rsidR="00650AC2">
        <w:rPr>
          <w:color w:val="000000"/>
          <w:shd w:val="clear" w:color="auto" w:fill="FFFFFF"/>
        </w:rPr>
        <w:t>27</w:t>
      </w:r>
      <w:r w:rsidR="00865D3C">
        <w:rPr>
          <w:color w:val="000000"/>
          <w:shd w:val="clear" w:color="auto" w:fill="FFFFFF"/>
        </w:rPr>
        <w:t> </w:t>
      </w:r>
      <w:r w:rsidR="00650AC2">
        <w:rPr>
          <w:color w:val="000000"/>
          <w:shd w:val="clear" w:color="auto" w:fill="FFFFFF"/>
        </w:rPr>
        <w:t>(b</w:t>
      </w:r>
      <w:r w:rsidRPr="00891C2D">
        <w:rPr>
          <w:color w:val="000000"/>
          <w:shd w:val="clear" w:color="auto" w:fill="FFFFFF"/>
        </w:rPr>
        <w:t xml:space="preserve">) of the </w:t>
      </w:r>
      <w:r w:rsidRPr="002B1B77">
        <w:rPr>
          <w:b/>
          <w:bCs/>
          <w:i/>
          <w:iCs/>
          <w:color w:val="000000"/>
          <w:shd w:val="clear" w:color="auto" w:fill="FFFFFF"/>
        </w:rPr>
        <w:t>Act</w:t>
      </w:r>
      <w:r>
        <w:rPr>
          <w:color w:val="000000"/>
          <w:shd w:val="clear" w:color="auto" w:fill="FFFFFF"/>
        </w:rPr>
        <w:t xml:space="preserve">, </w:t>
      </w:r>
      <w:r w:rsidRPr="00891C2D">
        <w:rPr>
          <w:color w:val="000000"/>
          <w:shd w:val="clear" w:color="auto" w:fill="FFFFFF"/>
        </w:rPr>
        <w:t xml:space="preserve">a professional engineer is </w:t>
      </w:r>
      <w:r w:rsidR="00650AC2">
        <w:rPr>
          <w:color w:val="000000"/>
          <w:shd w:val="clear" w:color="auto" w:fill="FFFFFF"/>
        </w:rPr>
        <w:t xml:space="preserve">obligated to comply with the </w:t>
      </w:r>
      <w:r w:rsidR="00650AC2" w:rsidRPr="00D8633D">
        <w:rPr>
          <w:b/>
          <w:bCs/>
          <w:i/>
          <w:iCs/>
          <w:color w:val="000000"/>
          <w:shd w:val="clear" w:color="auto" w:fill="FFFFFF"/>
        </w:rPr>
        <w:t>Act</w:t>
      </w:r>
      <w:r w:rsidR="00650AC2">
        <w:rPr>
          <w:color w:val="000000"/>
          <w:shd w:val="clear" w:color="auto" w:fill="FFFFFF"/>
        </w:rPr>
        <w:t>, including any approved code of practice</w:t>
      </w:r>
      <w:r>
        <w:rPr>
          <w:color w:val="000000"/>
          <w:shd w:val="clear" w:color="auto" w:fill="FFFFFF"/>
        </w:rPr>
        <w:t>. </w:t>
      </w:r>
      <w:r w:rsidR="00D14480">
        <w:t>The</w:t>
      </w:r>
      <w:r w:rsidR="00D14480" w:rsidRPr="00D653CF">
        <w:t xml:space="preserve"> failure to comply with th</w:t>
      </w:r>
      <w:r w:rsidR="00865D3C">
        <w:t>e</w:t>
      </w:r>
      <w:r w:rsidR="00D14480" w:rsidRPr="00D653CF">
        <w:t xml:space="preserve"> Code is both ground</w:t>
      </w:r>
      <w:r w:rsidR="00865D3C">
        <w:t>s</w:t>
      </w:r>
      <w:r w:rsidR="00D14480" w:rsidRPr="00D653CF">
        <w:t xml:space="preserve"> for disciplinary </w:t>
      </w:r>
      <w:r w:rsidR="00D14480">
        <w:t>action</w:t>
      </w:r>
      <w:r w:rsidR="00D14480" w:rsidRPr="00D653CF">
        <w:t xml:space="preserve"> and an offence (sections 36 and 61 of the </w:t>
      </w:r>
      <w:r w:rsidR="00D14480" w:rsidRPr="002B1B77">
        <w:rPr>
          <w:b/>
          <w:bCs/>
          <w:i/>
          <w:iCs/>
        </w:rPr>
        <w:t>Act</w:t>
      </w:r>
      <w:r w:rsidR="00D14480" w:rsidRPr="00D653CF">
        <w:t xml:space="preserve">). </w:t>
      </w:r>
    </w:p>
    <w:p w14:paraId="29E05151" w14:textId="77777777" w:rsidR="00FF0A5F" w:rsidRDefault="00FF0A5F" w:rsidP="00D74CDF">
      <w:pPr>
        <w:pStyle w:val="longtitle"/>
        <w:shd w:val="clear" w:color="auto" w:fill="FFFFFF"/>
        <w:spacing w:before="0" w:beforeAutospacing="0" w:after="0" w:afterAutospacing="0"/>
      </w:pPr>
    </w:p>
    <w:p w14:paraId="48DBD2BD" w14:textId="136B6617" w:rsidR="00D74CDF" w:rsidRDefault="00D74CDF" w:rsidP="00D74CDF">
      <w:pPr>
        <w:pStyle w:val="longtitle"/>
        <w:shd w:val="clear" w:color="auto" w:fill="FFFFFF"/>
        <w:spacing w:before="0" w:beforeAutospacing="0" w:after="0" w:afterAutospacing="0"/>
        <w:rPr>
          <w:color w:val="000000"/>
        </w:rPr>
      </w:pPr>
      <w:r w:rsidRPr="00D74CDF">
        <w:rPr>
          <w:color w:val="000000"/>
          <w:shd w:val="clear" w:color="auto" w:fill="FFFFFF"/>
        </w:rPr>
        <w:t xml:space="preserve">The </w:t>
      </w:r>
      <w:r w:rsidR="00D8633D">
        <w:rPr>
          <w:color w:val="000000"/>
          <w:shd w:val="clear" w:color="auto" w:fill="FFFFFF"/>
        </w:rPr>
        <w:t xml:space="preserve">code of practice </w:t>
      </w:r>
      <w:r w:rsidRPr="00D74CDF">
        <w:rPr>
          <w:color w:val="000000"/>
          <w:shd w:val="clear" w:color="auto" w:fill="FFFFFF"/>
        </w:rPr>
        <w:t>under section 8</w:t>
      </w:r>
      <w:r w:rsidR="00650AC2">
        <w:rPr>
          <w:color w:val="000000"/>
          <w:shd w:val="clear" w:color="auto" w:fill="FFFFFF"/>
        </w:rPr>
        <w:t>5</w:t>
      </w:r>
      <w:r w:rsidRPr="00D74CDF">
        <w:rPr>
          <w:color w:val="000000"/>
          <w:shd w:val="clear" w:color="auto" w:fill="FFFFFF"/>
        </w:rPr>
        <w:t xml:space="preserve"> of the </w:t>
      </w:r>
      <w:r w:rsidRPr="002B1B77">
        <w:rPr>
          <w:b/>
          <w:bCs/>
          <w:i/>
          <w:iCs/>
          <w:color w:val="000000"/>
          <w:shd w:val="clear" w:color="auto" w:fill="FFFFFF"/>
        </w:rPr>
        <w:t>Act</w:t>
      </w:r>
      <w:r w:rsidRPr="00D74CDF">
        <w:rPr>
          <w:color w:val="000000"/>
          <w:shd w:val="clear" w:color="auto" w:fill="FFFFFF"/>
        </w:rPr>
        <w:t> is a disallowable instrument and must be presented to the Legislative Assembly within 6 sitting days after its notification pursuant to section 64 of the </w:t>
      </w:r>
      <w:r w:rsidRPr="00D74CDF">
        <w:rPr>
          <w:i/>
          <w:iCs/>
          <w:color w:val="000000"/>
          <w:shd w:val="clear" w:color="auto" w:fill="FFFFFF"/>
        </w:rPr>
        <w:t>Legislation Act 2001</w:t>
      </w:r>
      <w:r w:rsidRPr="00D74CDF">
        <w:rPr>
          <w:color w:val="000000"/>
          <w:shd w:val="clear" w:color="auto" w:fill="FFFFFF"/>
        </w:rPr>
        <w:t> (the </w:t>
      </w:r>
      <w:r w:rsidRPr="00D74CDF">
        <w:rPr>
          <w:b/>
          <w:bCs/>
          <w:i/>
          <w:iCs/>
          <w:color w:val="000000"/>
          <w:shd w:val="clear" w:color="auto" w:fill="FFFFFF"/>
        </w:rPr>
        <w:t>Legislation Act</w:t>
      </w:r>
      <w:r w:rsidRPr="00D74CDF">
        <w:rPr>
          <w:color w:val="000000"/>
          <w:shd w:val="clear" w:color="auto" w:fill="FFFFFF"/>
        </w:rPr>
        <w:t>).</w:t>
      </w:r>
    </w:p>
    <w:p w14:paraId="34307CA5" w14:textId="77777777" w:rsidR="00D74CDF" w:rsidRDefault="00D74CDF" w:rsidP="00D74CDF">
      <w:pPr>
        <w:rPr>
          <w:i/>
          <w:iCs/>
        </w:rPr>
      </w:pPr>
    </w:p>
    <w:p w14:paraId="551FB68C" w14:textId="230FFDB0" w:rsidR="00D14480" w:rsidRDefault="00D74CDF" w:rsidP="00D14480">
      <w:pPr>
        <w:pStyle w:val="NormalWeb"/>
        <w:shd w:val="clear" w:color="auto" w:fill="FFFFFF"/>
        <w:spacing w:before="0" w:beforeAutospacing="0" w:after="0" w:afterAutospacing="0"/>
        <w:rPr>
          <w:color w:val="000000"/>
        </w:rPr>
      </w:pPr>
      <w:r>
        <w:rPr>
          <w:color w:val="000000"/>
        </w:rPr>
        <w:t>The purpose of this instrument is to</w:t>
      </w:r>
      <w:r w:rsidR="00D14480" w:rsidRPr="00D14480">
        <w:t xml:space="preserve"> </w:t>
      </w:r>
      <w:r w:rsidR="00D14480">
        <w:t xml:space="preserve">set standards of conduct for professional engineers. This supports the objects of the </w:t>
      </w:r>
      <w:r w:rsidR="00D14480" w:rsidRPr="002B1B77">
        <w:rPr>
          <w:b/>
          <w:bCs/>
          <w:i/>
          <w:iCs/>
        </w:rPr>
        <w:t>Act</w:t>
      </w:r>
      <w:r w:rsidR="00D14480">
        <w:t xml:space="preserve"> to uphold standards of practice and maintain public confidence in the standard of services provided by professional engineers in the ACT.</w:t>
      </w:r>
    </w:p>
    <w:p w14:paraId="0458D846" w14:textId="77777777" w:rsidR="00D14480" w:rsidRDefault="00D14480" w:rsidP="00D14480">
      <w:pPr>
        <w:pStyle w:val="NormalWeb"/>
        <w:shd w:val="clear" w:color="auto" w:fill="FFFFFF"/>
        <w:spacing w:before="0" w:beforeAutospacing="0" w:after="0" w:afterAutospacing="0"/>
        <w:rPr>
          <w:color w:val="000000"/>
        </w:rPr>
      </w:pPr>
    </w:p>
    <w:p w14:paraId="0DF49574" w14:textId="3CAAED27" w:rsidR="00D14480" w:rsidRPr="00D14480" w:rsidRDefault="00D74CDF" w:rsidP="00D14480">
      <w:pPr>
        <w:pStyle w:val="NormalWeb"/>
        <w:shd w:val="clear" w:color="auto" w:fill="FFFFFF"/>
        <w:spacing w:before="0" w:beforeAutospacing="0" w:after="0" w:afterAutospacing="0"/>
        <w:rPr>
          <w:color w:val="000000"/>
        </w:rPr>
      </w:pPr>
      <w:r w:rsidRPr="00D14480">
        <w:rPr>
          <w:color w:val="000000"/>
        </w:rPr>
        <w:t>This instrument</w:t>
      </w:r>
      <w:r w:rsidR="00D14480" w:rsidRPr="00D14480">
        <w:rPr>
          <w:color w:val="000000"/>
        </w:rPr>
        <w:t xml:space="preserve"> sets out professional conduct obligations and applies to professional engineers in all areas of engineering. </w:t>
      </w:r>
    </w:p>
    <w:p w14:paraId="71A53CB9" w14:textId="7B16381D" w:rsidR="00D74CDF" w:rsidRDefault="00D74CDF" w:rsidP="00D74CDF">
      <w:pPr>
        <w:pStyle w:val="NormalWeb"/>
        <w:shd w:val="clear" w:color="auto" w:fill="FFFFFF"/>
        <w:spacing w:before="0" w:beforeAutospacing="0" w:after="0" w:afterAutospacing="0"/>
        <w:rPr>
          <w:color w:val="000000"/>
        </w:rPr>
      </w:pPr>
    </w:p>
    <w:p w14:paraId="6B178974" w14:textId="5C43DB2C" w:rsidR="002B1B77" w:rsidRDefault="002B1B77">
      <w:pPr>
        <w:rPr>
          <w:color w:val="000000"/>
          <w:szCs w:val="24"/>
          <w:lang w:eastAsia="en-AU"/>
        </w:rPr>
      </w:pPr>
      <w:r>
        <w:rPr>
          <w:color w:val="000000"/>
        </w:rPr>
        <w:br w:type="page"/>
      </w:r>
    </w:p>
    <w:p w14:paraId="323C0CE3" w14:textId="77777777" w:rsidR="00D74CDF" w:rsidRDefault="00D74CDF" w:rsidP="00D74CDF">
      <w:pPr>
        <w:pStyle w:val="NormalWeb"/>
        <w:shd w:val="clear" w:color="auto" w:fill="FFFFFF"/>
        <w:spacing w:before="0" w:beforeAutospacing="0" w:after="0" w:afterAutospacing="0"/>
        <w:rPr>
          <w:color w:val="000000"/>
        </w:rPr>
      </w:pPr>
    </w:p>
    <w:p w14:paraId="010117E9" w14:textId="77777777" w:rsidR="00D74CDF" w:rsidRDefault="00D74CDF" w:rsidP="00D74CDF">
      <w:pPr>
        <w:pStyle w:val="NormalWeb"/>
        <w:shd w:val="clear" w:color="auto" w:fill="FFFFFF"/>
        <w:spacing w:before="0" w:beforeAutospacing="0" w:after="0" w:afterAutospacing="0"/>
        <w:rPr>
          <w:color w:val="000000"/>
        </w:rPr>
      </w:pPr>
      <w:r>
        <w:rPr>
          <w:b/>
          <w:bCs/>
          <w:color w:val="000000"/>
        </w:rPr>
        <w:t>Regulatory Impact Statement (RIS)</w:t>
      </w:r>
    </w:p>
    <w:p w14:paraId="21FF075C" w14:textId="77777777" w:rsidR="00D74CDF" w:rsidRDefault="00D74CDF" w:rsidP="00D74CDF">
      <w:pPr>
        <w:pStyle w:val="NormalWeb"/>
        <w:shd w:val="clear" w:color="auto" w:fill="FFFFFF"/>
        <w:spacing w:before="0" w:beforeAutospacing="0" w:after="0" w:afterAutospacing="0"/>
        <w:rPr>
          <w:color w:val="000000"/>
        </w:rPr>
      </w:pPr>
      <w:r>
        <w:rPr>
          <w:color w:val="000000"/>
        </w:rPr>
        <w:t>Section 34 of the </w:t>
      </w:r>
      <w:r w:rsidRPr="002B1B77">
        <w:rPr>
          <w:b/>
          <w:bCs/>
          <w:i/>
          <w:iCs/>
          <w:color w:val="000000"/>
        </w:rPr>
        <w:t>Legislation Act</w:t>
      </w:r>
      <w:r>
        <w:rPr>
          <w:color w:val="000000"/>
        </w:rPr>
        <w:t xml:space="preserve"> provides that if a proposed subordinate law or disallowable instrument (the </w:t>
      </w:r>
      <w:r w:rsidRPr="00D8633D">
        <w:rPr>
          <w:b/>
          <w:bCs/>
          <w:i/>
          <w:iCs/>
          <w:color w:val="000000"/>
        </w:rPr>
        <w:t>proposed law</w:t>
      </w:r>
      <w:r>
        <w:rPr>
          <w:color w:val="000000"/>
        </w:rPr>
        <w:t>) is likely to impose appreciable costs on the community, or a part of the community, then, before the proposed law is made, the Minister administering the authorising law must arrange for a RIS to be prepared for the proposed law.</w:t>
      </w:r>
    </w:p>
    <w:p w14:paraId="4FCA135D"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1655ABF2" w14:textId="54B501F5" w:rsidR="00D74CDF" w:rsidRDefault="00D74CDF" w:rsidP="00D74CDF">
      <w:pPr>
        <w:pStyle w:val="NormalWeb"/>
        <w:shd w:val="clear" w:color="auto" w:fill="FFFFFF"/>
        <w:spacing w:before="0" w:beforeAutospacing="0" w:after="0" w:afterAutospacing="0"/>
        <w:rPr>
          <w:color w:val="000000"/>
        </w:rPr>
      </w:pPr>
      <w:r>
        <w:rPr>
          <w:color w:val="000000"/>
        </w:rPr>
        <w:t>A RIS is not required in this instance as this instrument does not impose appreciable costs on the community or part of the community. The </w:t>
      </w:r>
      <w:r w:rsidRPr="002B1B77">
        <w:rPr>
          <w:b/>
          <w:bCs/>
          <w:i/>
          <w:iCs/>
          <w:color w:val="000000"/>
        </w:rPr>
        <w:t>Act </w:t>
      </w:r>
      <w:r>
        <w:rPr>
          <w:color w:val="000000"/>
        </w:rPr>
        <w:t xml:space="preserve">establishes the ACT’s professional engineers registration scheme, the requirement to be registered and the obligations on professional engineers. This instrument </w:t>
      </w:r>
      <w:r w:rsidR="00D14480" w:rsidRPr="00D14480">
        <w:rPr>
          <w:color w:val="000000"/>
        </w:rPr>
        <w:t>sets out professional conduct obligations</w:t>
      </w:r>
      <w:r w:rsidR="00D14480">
        <w:rPr>
          <w:color w:val="000000"/>
        </w:rPr>
        <w:t>.</w:t>
      </w:r>
    </w:p>
    <w:p w14:paraId="6FB213EA" w14:textId="77777777" w:rsidR="00D74CDF" w:rsidRDefault="00D74CDF" w:rsidP="00D74CDF">
      <w:pPr>
        <w:pStyle w:val="NormalWeb"/>
        <w:shd w:val="clear" w:color="auto" w:fill="FFFFFF"/>
        <w:spacing w:before="0" w:beforeAutospacing="0" w:after="0" w:afterAutospacing="0"/>
        <w:rPr>
          <w:color w:val="000000"/>
        </w:rPr>
      </w:pPr>
    </w:p>
    <w:p w14:paraId="1DB2F045" w14:textId="77777777" w:rsidR="00D74CDF" w:rsidRDefault="00D74CDF" w:rsidP="00D74CDF">
      <w:pPr>
        <w:pStyle w:val="NormalWeb"/>
        <w:shd w:val="clear" w:color="auto" w:fill="FFFFFF"/>
        <w:spacing w:before="0" w:beforeAutospacing="0" w:after="0" w:afterAutospacing="0"/>
        <w:rPr>
          <w:color w:val="000000"/>
        </w:rPr>
      </w:pPr>
      <w:r>
        <w:rPr>
          <w:b/>
          <w:bCs/>
          <w:color w:val="000000"/>
        </w:rPr>
        <w:t>Human Rights</w:t>
      </w:r>
    </w:p>
    <w:p w14:paraId="74B84F12" w14:textId="77777777" w:rsidR="00D74CDF" w:rsidRDefault="00D74CDF" w:rsidP="00D74CDF">
      <w:pPr>
        <w:pStyle w:val="NormalWeb"/>
        <w:shd w:val="clear" w:color="auto" w:fill="FFFFFF"/>
        <w:spacing w:before="0" w:beforeAutospacing="0" w:after="0" w:afterAutospacing="0"/>
        <w:rPr>
          <w:color w:val="000000"/>
        </w:rPr>
      </w:pPr>
      <w:r>
        <w:rPr>
          <w:color w:val="000000"/>
        </w:rPr>
        <w:t>The Standing Committee on Justice and Community Safety (Legislative Scrutiny Role) terms of reference require consideration of human rights impacts, among other matters.</w:t>
      </w:r>
    </w:p>
    <w:p w14:paraId="5DBE54BB"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69C5790D" w14:textId="1E682D7D" w:rsidR="00D74CDF" w:rsidRDefault="00D74CDF" w:rsidP="00D74CDF">
      <w:pPr>
        <w:pStyle w:val="NormalWeb"/>
        <w:shd w:val="clear" w:color="auto" w:fill="FFFFFF"/>
        <w:spacing w:before="0" w:beforeAutospacing="0" w:after="0" w:afterAutospacing="0"/>
        <w:rPr>
          <w:color w:val="000000"/>
        </w:rPr>
      </w:pPr>
      <w:r>
        <w:rPr>
          <w:color w:val="000000"/>
        </w:rPr>
        <w:t>Section 27B (1) of the </w:t>
      </w:r>
      <w:r>
        <w:rPr>
          <w:i/>
          <w:iCs/>
          <w:color w:val="000000"/>
        </w:rPr>
        <w:t>Human Rights Act 2004</w:t>
      </w:r>
      <w:r>
        <w:rPr>
          <w:color w:val="000000"/>
        </w:rPr>
        <w:t> (</w:t>
      </w:r>
      <w:r w:rsidR="003657AA">
        <w:rPr>
          <w:color w:val="000000"/>
        </w:rPr>
        <w:t xml:space="preserve">the </w:t>
      </w:r>
      <w:r w:rsidRPr="002B1B77">
        <w:rPr>
          <w:b/>
          <w:bCs/>
          <w:i/>
          <w:iCs/>
          <w:color w:val="000000"/>
        </w:rPr>
        <w:t>HRA</w:t>
      </w:r>
      <w:r>
        <w:rPr>
          <w:color w:val="000000"/>
        </w:rPr>
        <w:t xml:space="preserve">) expressly provides that the practice of a trade, occupation or profession may be regulated by law. Determining </w:t>
      </w:r>
      <w:r w:rsidR="00D14480">
        <w:rPr>
          <w:color w:val="000000"/>
        </w:rPr>
        <w:t>standards of conduct</w:t>
      </w:r>
      <w:r>
        <w:rPr>
          <w:color w:val="000000"/>
        </w:rPr>
        <w:t xml:space="preserve"> is common practice in occupational registration schemes.</w:t>
      </w:r>
    </w:p>
    <w:p w14:paraId="57C1CFDF"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41508A49" w14:textId="4E597942" w:rsidR="00D74CDF" w:rsidRDefault="00D74CDF" w:rsidP="00D74CDF">
      <w:pPr>
        <w:pStyle w:val="NormalWeb"/>
        <w:shd w:val="clear" w:color="auto" w:fill="FFFFFF"/>
        <w:spacing w:before="0" w:beforeAutospacing="0" w:after="0" w:afterAutospacing="0"/>
        <w:rPr>
          <w:color w:val="000000"/>
        </w:rPr>
      </w:pPr>
      <w:r>
        <w:rPr>
          <w:color w:val="000000"/>
        </w:rPr>
        <w:t>A detailed human rights assessment is contained in the </w:t>
      </w:r>
      <w:r w:rsidR="003657AA">
        <w:rPr>
          <w:rStyle w:val="Hyperlink1"/>
          <w:color w:val="0000FF"/>
          <w:u w:val="single"/>
        </w:rPr>
        <w:t>explanatory statement</w:t>
      </w:r>
      <w:r>
        <w:rPr>
          <w:color w:val="000000"/>
        </w:rPr>
        <w:t> to the </w:t>
      </w:r>
      <w:r w:rsidR="00D8633D" w:rsidRPr="00D8633D">
        <w:rPr>
          <w:i/>
          <w:iCs/>
          <w:color w:val="000000"/>
        </w:rPr>
        <w:t>Professional Engineers Bill 2022</w:t>
      </w:r>
      <w:r>
        <w:rPr>
          <w:color w:val="000000"/>
        </w:rPr>
        <w:t> including consideration of the impact of the introduction of a professional engineers registration scheme in the ACT</w:t>
      </w:r>
      <w:r w:rsidR="002B1B77">
        <w:rPr>
          <w:color w:val="000000"/>
        </w:rPr>
        <w:t xml:space="preserve"> on the right to work </w:t>
      </w:r>
      <w:r w:rsidR="00F03F99">
        <w:rPr>
          <w:color w:val="000000"/>
        </w:rPr>
        <w:t xml:space="preserve">under </w:t>
      </w:r>
      <w:r>
        <w:rPr>
          <w:color w:val="000000"/>
        </w:rPr>
        <w:t>section</w:t>
      </w:r>
      <w:r w:rsidR="003657AA">
        <w:rPr>
          <w:color w:val="000000"/>
        </w:rPr>
        <w:t> </w:t>
      </w:r>
      <w:r>
        <w:rPr>
          <w:color w:val="000000"/>
        </w:rPr>
        <w:t xml:space="preserve">27B of the </w:t>
      </w:r>
      <w:r w:rsidRPr="002B1B77">
        <w:rPr>
          <w:b/>
          <w:bCs/>
          <w:i/>
          <w:iCs/>
          <w:color w:val="000000"/>
        </w:rPr>
        <w:t>HRA</w:t>
      </w:r>
      <w:r>
        <w:rPr>
          <w:color w:val="000000"/>
        </w:rPr>
        <w:t>.</w:t>
      </w:r>
    </w:p>
    <w:p w14:paraId="49D5D80D"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2BCE5A25" w14:textId="77777777" w:rsidR="00D74CDF" w:rsidRDefault="00D74CDF" w:rsidP="00D74CDF">
      <w:pPr>
        <w:pStyle w:val="NormalWeb"/>
        <w:shd w:val="clear" w:color="auto" w:fill="FFFFFF"/>
        <w:spacing w:before="0" w:beforeAutospacing="0" w:after="0" w:afterAutospacing="0"/>
        <w:rPr>
          <w:color w:val="000000"/>
        </w:rPr>
      </w:pPr>
      <w:r>
        <w:rPr>
          <w:color w:val="000000"/>
          <w:shd w:val="clear" w:color="auto" w:fill="FFFFFF"/>
        </w:rPr>
        <w:t xml:space="preserve">Any engagement with or limitation on the right to work in section 27B of the </w:t>
      </w:r>
      <w:r w:rsidRPr="002B1B77">
        <w:rPr>
          <w:b/>
          <w:bCs/>
          <w:i/>
          <w:iCs/>
          <w:color w:val="000000"/>
          <w:shd w:val="clear" w:color="auto" w:fill="FFFFFF"/>
        </w:rPr>
        <w:t>HRA</w:t>
      </w:r>
      <w:r>
        <w:rPr>
          <w:color w:val="000000"/>
          <w:shd w:val="clear" w:color="auto" w:fill="FFFFFF"/>
        </w:rPr>
        <w:t xml:space="preserve"> is considered reasonable and justifiable.</w:t>
      </w:r>
    </w:p>
    <w:p w14:paraId="2664F4BE" w14:textId="77777777" w:rsidR="00D74CDF" w:rsidRDefault="00D74CDF" w:rsidP="00D74CDF">
      <w:pPr>
        <w:rPr>
          <w:i/>
          <w:iCs/>
        </w:rPr>
      </w:pPr>
    </w:p>
    <w:p w14:paraId="0A0DD273" w14:textId="04B125A6" w:rsidR="00D74CDF" w:rsidRDefault="00D74CDF" w:rsidP="00D74CDF">
      <w:pPr>
        <w:pStyle w:val="NormalWeb"/>
        <w:shd w:val="clear" w:color="auto" w:fill="FFFFFF"/>
        <w:spacing w:before="0" w:beforeAutospacing="0" w:after="0" w:afterAutospacing="0"/>
        <w:rPr>
          <w:color w:val="000000"/>
        </w:rPr>
      </w:pPr>
      <w:r>
        <w:rPr>
          <w:b/>
          <w:bCs/>
          <w:color w:val="000000"/>
        </w:rPr>
        <w:t>Clause Notes</w:t>
      </w:r>
    </w:p>
    <w:p w14:paraId="4F4F4CCF" w14:textId="1FE768DD" w:rsidR="00D74CDF" w:rsidRDefault="00D74CDF" w:rsidP="00D74CDF">
      <w:pPr>
        <w:pStyle w:val="NormalWeb"/>
        <w:shd w:val="clear" w:color="auto" w:fill="FFFFFF"/>
        <w:spacing w:before="0" w:beforeAutospacing="0" w:after="0" w:afterAutospacing="0"/>
        <w:rPr>
          <w:color w:val="000000"/>
        </w:rPr>
      </w:pPr>
      <w:r>
        <w:rPr>
          <w:color w:val="000000"/>
        </w:rPr>
        <w:t> </w:t>
      </w:r>
    </w:p>
    <w:p w14:paraId="30428288" w14:textId="6F14D90E" w:rsidR="00D74CDF" w:rsidRDefault="00D74CDF" w:rsidP="00D74CDF">
      <w:pPr>
        <w:pStyle w:val="NormalWeb"/>
        <w:shd w:val="clear" w:color="auto" w:fill="FFFFFF"/>
        <w:spacing w:before="0" w:beforeAutospacing="0" w:after="0" w:afterAutospacing="0"/>
        <w:rPr>
          <w:color w:val="000000"/>
        </w:rPr>
      </w:pPr>
      <w:r>
        <w:rPr>
          <w:b/>
          <w:bCs/>
          <w:color w:val="000000"/>
        </w:rPr>
        <w:t>Clause 1</w:t>
      </w:r>
      <w:r>
        <w:rPr>
          <w:color w:val="000000"/>
        </w:rPr>
        <w:t> names the instrument the </w:t>
      </w:r>
      <w:r w:rsidRPr="00D8633D">
        <w:rPr>
          <w:i/>
          <w:iCs/>
          <w:color w:val="000000"/>
        </w:rPr>
        <w:t>Professional Engineers</w:t>
      </w:r>
      <w:r w:rsidR="0004571B">
        <w:rPr>
          <w:i/>
          <w:iCs/>
          <w:color w:val="000000"/>
        </w:rPr>
        <w:t xml:space="preserve"> (Professional Engineers)</w:t>
      </w:r>
      <w:r w:rsidRPr="00D8633D">
        <w:rPr>
          <w:i/>
          <w:iCs/>
          <w:color w:val="000000"/>
        </w:rPr>
        <w:t xml:space="preserve"> </w:t>
      </w:r>
      <w:r w:rsidR="00D14480" w:rsidRPr="00D8633D">
        <w:rPr>
          <w:i/>
          <w:iCs/>
          <w:color w:val="000000"/>
        </w:rPr>
        <w:t xml:space="preserve">Code of Practice </w:t>
      </w:r>
      <w:r w:rsidRPr="00D8633D">
        <w:rPr>
          <w:i/>
          <w:iCs/>
          <w:color w:val="000000"/>
        </w:rPr>
        <w:t>2024</w:t>
      </w:r>
      <w:r>
        <w:rPr>
          <w:color w:val="000000"/>
        </w:rPr>
        <w:t>.</w:t>
      </w:r>
    </w:p>
    <w:p w14:paraId="02967360" w14:textId="4768CFE3" w:rsidR="00D74CDF" w:rsidRDefault="00D74CDF" w:rsidP="00D74CDF">
      <w:pPr>
        <w:pStyle w:val="NormalWeb"/>
        <w:shd w:val="clear" w:color="auto" w:fill="FFFFFF"/>
        <w:spacing w:before="0" w:beforeAutospacing="0" w:after="0" w:afterAutospacing="0"/>
        <w:rPr>
          <w:color w:val="000000"/>
        </w:rPr>
      </w:pPr>
      <w:r>
        <w:rPr>
          <w:color w:val="000000"/>
        </w:rPr>
        <w:t> </w:t>
      </w:r>
    </w:p>
    <w:p w14:paraId="60D4E6CA" w14:textId="5C57BEEA" w:rsidR="00D74CDF" w:rsidRDefault="00D74CDF" w:rsidP="00D74CDF">
      <w:pPr>
        <w:pStyle w:val="NormalWeb"/>
        <w:shd w:val="clear" w:color="auto" w:fill="FFFFFF"/>
        <w:spacing w:before="0" w:beforeAutospacing="0" w:after="0" w:afterAutospacing="0"/>
        <w:rPr>
          <w:color w:val="000000"/>
        </w:rPr>
      </w:pPr>
      <w:r>
        <w:rPr>
          <w:b/>
          <w:bCs/>
          <w:color w:val="000000"/>
        </w:rPr>
        <w:t>Clause 2</w:t>
      </w:r>
      <w:r>
        <w:rPr>
          <w:color w:val="000000"/>
        </w:rPr>
        <w:t> provides that this instrument commences on 6 March 2025.</w:t>
      </w:r>
    </w:p>
    <w:p w14:paraId="62A6C713" w14:textId="24F3EA0E" w:rsidR="00D74CDF" w:rsidRDefault="00D74CDF" w:rsidP="00D74CDF">
      <w:pPr>
        <w:pStyle w:val="NormalWeb"/>
        <w:shd w:val="clear" w:color="auto" w:fill="FFFFFF"/>
        <w:spacing w:before="0" w:beforeAutospacing="0" w:after="0" w:afterAutospacing="0"/>
        <w:rPr>
          <w:color w:val="000000"/>
        </w:rPr>
      </w:pPr>
      <w:r>
        <w:rPr>
          <w:color w:val="000000"/>
        </w:rPr>
        <w:t> </w:t>
      </w:r>
    </w:p>
    <w:p w14:paraId="332FFFC4" w14:textId="22369554" w:rsidR="00D74CDF" w:rsidRDefault="00D74CDF" w:rsidP="00D74CDF">
      <w:pPr>
        <w:pStyle w:val="NormalWeb"/>
        <w:shd w:val="clear" w:color="auto" w:fill="FFFFFF"/>
        <w:spacing w:before="0" w:beforeAutospacing="0" w:after="0" w:afterAutospacing="0"/>
        <w:rPr>
          <w:color w:val="000000"/>
        </w:rPr>
      </w:pPr>
      <w:r>
        <w:rPr>
          <w:b/>
          <w:bCs/>
          <w:color w:val="000000"/>
        </w:rPr>
        <w:t>Clause 3</w:t>
      </w:r>
      <w:r>
        <w:rPr>
          <w:color w:val="000000"/>
        </w:rPr>
        <w:t> </w:t>
      </w:r>
      <w:r w:rsidR="00FF0A5F">
        <w:rPr>
          <w:color w:val="000000"/>
        </w:rPr>
        <w:t xml:space="preserve">approves the </w:t>
      </w:r>
      <w:r w:rsidR="00F03F99">
        <w:rPr>
          <w:color w:val="000000"/>
        </w:rPr>
        <w:t>c</w:t>
      </w:r>
      <w:r w:rsidR="00FF0A5F">
        <w:rPr>
          <w:color w:val="000000"/>
        </w:rPr>
        <w:t xml:space="preserve">ode of </w:t>
      </w:r>
      <w:r w:rsidR="00F03F99">
        <w:rPr>
          <w:color w:val="000000"/>
        </w:rPr>
        <w:t>p</w:t>
      </w:r>
      <w:r w:rsidR="00FF0A5F">
        <w:rPr>
          <w:color w:val="000000"/>
        </w:rPr>
        <w:t xml:space="preserve">ractice </w:t>
      </w:r>
      <w:r w:rsidR="00F03F99">
        <w:rPr>
          <w:color w:val="000000"/>
        </w:rPr>
        <w:t xml:space="preserve">for professional engineers in </w:t>
      </w:r>
      <w:r w:rsidR="00FF0A5F">
        <w:rPr>
          <w:color w:val="000000"/>
        </w:rPr>
        <w:t>schedule 1.</w:t>
      </w:r>
    </w:p>
    <w:p w14:paraId="52A458D1" w14:textId="230B7B54" w:rsidR="00FF0A5F" w:rsidRDefault="00FF0A5F" w:rsidP="00D74CDF">
      <w:pPr>
        <w:pStyle w:val="NormalWeb"/>
        <w:shd w:val="clear" w:color="auto" w:fill="FFFFFF"/>
        <w:spacing w:before="0" w:beforeAutospacing="0" w:after="0" w:afterAutospacing="0"/>
        <w:rPr>
          <w:color w:val="000000"/>
        </w:rPr>
      </w:pPr>
    </w:p>
    <w:p w14:paraId="6828CCEB" w14:textId="44D519D8" w:rsidR="00FF0A5F" w:rsidRDefault="00FF0A5F" w:rsidP="00D74CDF">
      <w:pPr>
        <w:pStyle w:val="NormalWeb"/>
        <w:shd w:val="clear" w:color="auto" w:fill="FFFFFF"/>
        <w:spacing w:before="0" w:beforeAutospacing="0" w:after="0" w:afterAutospacing="0"/>
        <w:rPr>
          <w:b/>
          <w:bCs/>
          <w:color w:val="000000"/>
        </w:rPr>
      </w:pPr>
      <w:r w:rsidRPr="00E82121">
        <w:rPr>
          <w:b/>
          <w:bCs/>
          <w:color w:val="000000"/>
        </w:rPr>
        <w:t>Schedule 1</w:t>
      </w:r>
      <w:r>
        <w:rPr>
          <w:color w:val="000000"/>
        </w:rPr>
        <w:t xml:space="preserve"> contains the </w:t>
      </w:r>
      <w:r w:rsidR="00F03F99">
        <w:rPr>
          <w:color w:val="000000"/>
        </w:rPr>
        <w:t>c</w:t>
      </w:r>
      <w:r>
        <w:rPr>
          <w:color w:val="000000"/>
        </w:rPr>
        <w:t xml:space="preserve">ode of </w:t>
      </w:r>
      <w:r w:rsidR="00F03F99">
        <w:rPr>
          <w:color w:val="000000"/>
        </w:rPr>
        <w:t>p</w:t>
      </w:r>
      <w:r>
        <w:rPr>
          <w:color w:val="000000"/>
        </w:rPr>
        <w:t>ractice for all professional engineers under the</w:t>
      </w:r>
      <w:r w:rsidRPr="00FF0A5F">
        <w:rPr>
          <w:b/>
          <w:bCs/>
          <w:i/>
          <w:iCs/>
          <w:color w:val="000000"/>
        </w:rPr>
        <w:t xml:space="preserve"> Act</w:t>
      </w:r>
      <w:r>
        <w:rPr>
          <w:color w:val="000000"/>
        </w:rPr>
        <w:t xml:space="preserve">. The </w:t>
      </w:r>
      <w:r w:rsidR="00F03F99">
        <w:rPr>
          <w:color w:val="000000"/>
        </w:rPr>
        <w:t>c</w:t>
      </w:r>
      <w:r>
        <w:rPr>
          <w:color w:val="000000"/>
        </w:rPr>
        <w:t xml:space="preserve">ode of </w:t>
      </w:r>
      <w:r w:rsidR="00F03F99">
        <w:rPr>
          <w:color w:val="000000"/>
        </w:rPr>
        <w:t>p</w:t>
      </w:r>
      <w:r>
        <w:rPr>
          <w:color w:val="000000"/>
        </w:rPr>
        <w:t>ractice covers professional standards, expectations of behaviours and requirements relating to conflicts of interest and record retention.</w:t>
      </w:r>
    </w:p>
    <w:p w14:paraId="3584CDEB" w14:textId="77777777" w:rsidR="00524D35" w:rsidRDefault="00524D35" w:rsidP="00D74CDF">
      <w:pPr>
        <w:pStyle w:val="NormalWeb"/>
        <w:shd w:val="clear" w:color="auto" w:fill="FFFFFF"/>
        <w:spacing w:before="0" w:beforeAutospacing="0" w:after="0" w:afterAutospacing="0"/>
        <w:rPr>
          <w:color w:val="000000"/>
        </w:rPr>
      </w:pPr>
    </w:p>
    <w:p w14:paraId="5373D034" w14:textId="77777777" w:rsidR="00D74CDF" w:rsidRPr="00436B74" w:rsidRDefault="00D74CDF" w:rsidP="00D74CDF">
      <w:pPr>
        <w:rPr>
          <w:i/>
          <w:iCs/>
        </w:rPr>
      </w:pPr>
    </w:p>
    <w:p w14:paraId="5CC53F5C" w14:textId="77777777" w:rsidR="00C17FAB" w:rsidRDefault="00C17FAB"/>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B2E0" w14:textId="77777777" w:rsidR="00E847FD" w:rsidRDefault="00E847FD" w:rsidP="00C17FAB">
      <w:r>
        <w:separator/>
      </w:r>
    </w:p>
  </w:endnote>
  <w:endnote w:type="continuationSeparator" w:id="0">
    <w:p w14:paraId="3E25CC96" w14:textId="77777777" w:rsidR="00E847FD" w:rsidRDefault="00E847F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C1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DEA" w14:textId="2FD9112B" w:rsidR="00DA3B00" w:rsidRPr="00604E39" w:rsidRDefault="00604E39" w:rsidP="00604E39">
    <w:pPr>
      <w:pStyle w:val="Footer"/>
      <w:jc w:val="center"/>
      <w:rPr>
        <w:rFonts w:cs="Arial"/>
        <w:sz w:val="14"/>
      </w:rPr>
    </w:pPr>
    <w:r w:rsidRPr="00604E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559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B633" w14:textId="77777777" w:rsidR="00E847FD" w:rsidRDefault="00E847FD" w:rsidP="00C17FAB">
      <w:r>
        <w:separator/>
      </w:r>
    </w:p>
  </w:footnote>
  <w:footnote w:type="continuationSeparator" w:id="0">
    <w:p w14:paraId="4CA640D3" w14:textId="77777777" w:rsidR="00E847FD" w:rsidRDefault="00E847F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6BC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A8E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BB7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412237987">
    <w:abstractNumId w:val="2"/>
  </w:num>
  <w:num w:numId="2" w16cid:durableId="562062658">
    <w:abstractNumId w:val="0"/>
  </w:num>
  <w:num w:numId="3" w16cid:durableId="489372081">
    <w:abstractNumId w:val="3"/>
  </w:num>
  <w:num w:numId="4" w16cid:durableId="2042583446">
    <w:abstractNumId w:val="6"/>
  </w:num>
  <w:num w:numId="5" w16cid:durableId="1932736719">
    <w:abstractNumId w:val="7"/>
  </w:num>
  <w:num w:numId="6" w16cid:durableId="1986622176">
    <w:abstractNumId w:val="1"/>
  </w:num>
  <w:num w:numId="7" w16cid:durableId="1868828700">
    <w:abstractNumId w:val="4"/>
  </w:num>
  <w:num w:numId="8" w16cid:durableId="1972511258">
    <w:abstractNumId w:val="5"/>
  </w:num>
  <w:num w:numId="9" w16cid:durableId="1134328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4571B"/>
    <w:rsid w:val="002001ED"/>
    <w:rsid w:val="00295EB6"/>
    <w:rsid w:val="002B1B77"/>
    <w:rsid w:val="002B7AF7"/>
    <w:rsid w:val="002D460F"/>
    <w:rsid w:val="002D7C60"/>
    <w:rsid w:val="002E585B"/>
    <w:rsid w:val="003657AA"/>
    <w:rsid w:val="00524D35"/>
    <w:rsid w:val="00532C82"/>
    <w:rsid w:val="00604E39"/>
    <w:rsid w:val="00630698"/>
    <w:rsid w:val="006313D5"/>
    <w:rsid w:val="00650AC2"/>
    <w:rsid w:val="006B3F91"/>
    <w:rsid w:val="007346AC"/>
    <w:rsid w:val="007372C3"/>
    <w:rsid w:val="00803AB2"/>
    <w:rsid w:val="00837485"/>
    <w:rsid w:val="00865D3C"/>
    <w:rsid w:val="008C5524"/>
    <w:rsid w:val="008D5CAB"/>
    <w:rsid w:val="009508A5"/>
    <w:rsid w:val="009C0488"/>
    <w:rsid w:val="00A4726B"/>
    <w:rsid w:val="00A85A0C"/>
    <w:rsid w:val="00C17FAB"/>
    <w:rsid w:val="00C56D65"/>
    <w:rsid w:val="00C62884"/>
    <w:rsid w:val="00CE28D0"/>
    <w:rsid w:val="00CE599C"/>
    <w:rsid w:val="00D05239"/>
    <w:rsid w:val="00D14480"/>
    <w:rsid w:val="00D65E6B"/>
    <w:rsid w:val="00D74CDF"/>
    <w:rsid w:val="00D8633D"/>
    <w:rsid w:val="00DA3B00"/>
    <w:rsid w:val="00E82121"/>
    <w:rsid w:val="00E847FD"/>
    <w:rsid w:val="00EB1134"/>
    <w:rsid w:val="00F03F99"/>
    <w:rsid w:val="00FD75CE"/>
    <w:rsid w:val="00FF0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D9F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D74CDF"/>
    <w:pPr>
      <w:spacing w:before="100" w:beforeAutospacing="1" w:after="100" w:afterAutospacing="1"/>
    </w:pPr>
    <w:rPr>
      <w:szCs w:val="24"/>
      <w:lang w:eastAsia="en-AU"/>
    </w:rPr>
  </w:style>
  <w:style w:type="paragraph" w:styleId="NormalWeb">
    <w:name w:val="Normal (Web)"/>
    <w:basedOn w:val="Normal"/>
    <w:uiPriority w:val="99"/>
    <w:unhideWhenUsed/>
    <w:rsid w:val="00D74CDF"/>
    <w:pPr>
      <w:spacing w:before="100" w:beforeAutospacing="1" w:after="100" w:afterAutospacing="1"/>
    </w:pPr>
    <w:rPr>
      <w:szCs w:val="24"/>
      <w:lang w:eastAsia="en-AU"/>
    </w:rPr>
  </w:style>
  <w:style w:type="character" w:customStyle="1" w:styleId="Hyperlink1">
    <w:name w:val="Hyperlink1"/>
    <w:basedOn w:val="DefaultParagraphFont"/>
    <w:rsid w:val="00D74CDF"/>
  </w:style>
  <w:style w:type="paragraph" w:styleId="Revision">
    <w:name w:val="Revision"/>
    <w:hidden/>
    <w:uiPriority w:val="99"/>
    <w:semiHidden/>
    <w:rsid w:val="00865D3C"/>
    <w:rPr>
      <w:sz w:val="24"/>
      <w:lang w:eastAsia="en-US"/>
    </w:rPr>
  </w:style>
  <w:style w:type="character" w:styleId="CommentReference">
    <w:name w:val="annotation reference"/>
    <w:basedOn w:val="DefaultParagraphFont"/>
    <w:uiPriority w:val="99"/>
    <w:semiHidden/>
    <w:unhideWhenUsed/>
    <w:rsid w:val="003657AA"/>
    <w:rPr>
      <w:sz w:val="16"/>
      <w:szCs w:val="16"/>
    </w:rPr>
  </w:style>
  <w:style w:type="paragraph" w:styleId="CommentText">
    <w:name w:val="annotation text"/>
    <w:basedOn w:val="Normal"/>
    <w:link w:val="CommentTextChar"/>
    <w:uiPriority w:val="99"/>
    <w:unhideWhenUsed/>
    <w:rsid w:val="003657AA"/>
    <w:rPr>
      <w:sz w:val="20"/>
    </w:rPr>
  </w:style>
  <w:style w:type="character" w:customStyle="1" w:styleId="CommentTextChar">
    <w:name w:val="Comment Text Char"/>
    <w:basedOn w:val="DefaultParagraphFont"/>
    <w:link w:val="CommentText"/>
    <w:uiPriority w:val="99"/>
    <w:rsid w:val="003657AA"/>
    <w:rPr>
      <w:lang w:eastAsia="en-US"/>
    </w:rPr>
  </w:style>
  <w:style w:type="paragraph" w:styleId="CommentSubject">
    <w:name w:val="annotation subject"/>
    <w:basedOn w:val="CommentText"/>
    <w:next w:val="CommentText"/>
    <w:link w:val="CommentSubjectChar"/>
    <w:uiPriority w:val="99"/>
    <w:semiHidden/>
    <w:unhideWhenUsed/>
    <w:rsid w:val="003657AA"/>
    <w:rPr>
      <w:b/>
      <w:bCs/>
    </w:rPr>
  </w:style>
  <w:style w:type="character" w:customStyle="1" w:styleId="CommentSubjectChar">
    <w:name w:val="Comment Subject Char"/>
    <w:basedOn w:val="CommentTextChar"/>
    <w:link w:val="CommentSubject"/>
    <w:uiPriority w:val="99"/>
    <w:semiHidden/>
    <w:rsid w:val="003657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A47870403</value>
    </field>
    <field name="Objective-Title">
      <value order="0">Attach E - Explanatory Statement - Professional Engineers Code of Practice 2024</value>
    </field>
    <field name="Objective-Description">
      <value order="0"/>
    </field>
    <field name="Objective-CreationStamp">
      <value order="0">2024-08-20T05:04:11Z</value>
    </field>
    <field name="Objective-IsApproved">
      <value order="0">false</value>
    </field>
    <field name="Objective-IsPublished">
      <value order="0">true</value>
    </field>
    <field name="Objective-DatePublished">
      <value order="0">2024-08-29T02:23:20Z</value>
    </field>
    <field name="Objective-ModificationStamp">
      <value order="0">2024-08-29T02:23:20Z</value>
    </field>
    <field name="Objective-Owner">
      <value order="0">Elizabeth Bond</value>
    </field>
    <field name="Objective-Path">
      <value order="0">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alue>
    </field>
    <field name="Objective-Parent">
      <value order="0">24/85559 Ministerial- Information Brief - VASSAROTTI - Professional Engineers Registration Scheme - Implementation instruments</value>
    </field>
    <field name="Objective-State">
      <value order="0">Published</value>
    </field>
    <field name="Objective-VersionId">
      <value order="0">vA60476337</value>
    </field>
    <field name="Objective-Version">
      <value order="0">12.0</value>
    </field>
    <field name="Objective-VersionNumber">
      <value order="0">17</value>
    </field>
    <field name="Objective-VersionComment">
      <value order="0"/>
    </field>
    <field name="Objective-FileNumber">
      <value order="0">1-2024/85559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3449</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2024-09-05T05:26:00Z</dcterms:created>
  <dcterms:modified xsi:type="dcterms:W3CDTF">2024-09-05T05:26:00Z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2024-08-20T05:01:52Z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c4cc0eaa-c576-4dbc-9af9-60b507f7ff40</vt:lpwstr>
  </property>
  <property fmtid="{D5CDD505-2E9C-101B-9397-08002B2CF9AE}" pid="8" name="MSIP_Label_69af8531-eb46-4968-8cb3-105d2f5ea87e_ContentBits">
    <vt:lpwstr>0</vt:lpwstr>
  </property>
  <property fmtid="{D5CDD505-2E9C-101B-9397-08002B2CF9AE}" pid="9" name="Objective-Id">
    <vt:lpwstr>A47870403</vt:lpwstr>
  </property>
  <property fmtid="{D5CDD505-2E9C-101B-9397-08002B2CF9AE}" pid="10" name="Objective-Title">
    <vt:lpwstr>Attach E - Explanatory Statement - Professional Engineers Code of Practice 2024</vt:lpwstr>
  </property>
  <property fmtid="{D5CDD505-2E9C-101B-9397-08002B2CF9AE}" pid="11" name="Objective-Description">
    <vt:lpwstr/>
  </property>
  <property fmtid="{D5CDD505-2E9C-101B-9397-08002B2CF9AE}" pid="12" name="Objective-CreationStamp">
    <vt:filetime>2024-08-20T05:04:11Z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2024-08-29T02:23:20Z</vt:filetime>
  </property>
  <property fmtid="{D5CDD505-2E9C-101B-9397-08002B2CF9AE}" pid="16" name="Objective-ModificationStamp">
    <vt:filetime>2024-08-29T02:23:20Z</vt:filetime>
  </property>
  <property fmtid="{D5CDD505-2E9C-101B-9397-08002B2CF9AE}" pid="17" name="Objective-Owner">
    <vt:lpwstr>Elizabeth Bond</vt:lpwstr>
  </property>
  <property fmtid="{D5CDD505-2E9C-101B-9397-08002B2CF9AE}" pid="18" name="Objective-Path">
    <vt:lpwstr>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t:lpwstr>
  </property>
  <property fmtid="{D5CDD505-2E9C-101B-9397-08002B2CF9AE}" pid="19" name="Objective-Parent">
    <vt:lpwstr>24/85559 Ministerial- Information Brief - VASSAROTTI - Professional Engineers Registration Scheme - Implementation instruments</vt:lpwstr>
  </property>
  <property fmtid="{D5CDD505-2E9C-101B-9397-08002B2CF9AE}" pid="20" name="Objective-State">
    <vt:lpwstr>Published</vt:lpwstr>
  </property>
  <property fmtid="{D5CDD505-2E9C-101B-9397-08002B2CF9AE}" pid="21" name="Objective-VersionId">
    <vt:lpwstr>vA60476337</vt:lpwstr>
  </property>
  <property fmtid="{D5CDD505-2E9C-101B-9397-08002B2CF9AE}" pid="22" name="Objective-Version">
    <vt:lpwstr>12.0</vt:lpwstr>
  </property>
  <property fmtid="{D5CDD505-2E9C-101B-9397-08002B2CF9AE}" pid="23" name="Objective-VersionNumber">
    <vt:r8>17</vt:r8>
  </property>
  <property fmtid="{D5CDD505-2E9C-101B-9397-08002B2CF9AE}" pid="24" name="Objective-VersionComment">
    <vt:lpwstr/>
  </property>
  <property fmtid="{D5CDD505-2E9C-101B-9397-08002B2CF9AE}" pid="25" name="Objective-FileNumber">
    <vt:lpwstr>1-2024/85559</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