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CEB3" w14:textId="3B3EF471" w:rsidR="00F10CB2" w:rsidRDefault="00F10CB2">
      <w:pPr>
        <w:spacing w:before="120"/>
        <w:rPr>
          <w:rFonts w:ascii="Arial" w:hAnsi="Arial" w:cs="Arial"/>
        </w:rPr>
      </w:pPr>
      <w:bookmarkStart w:id="0" w:name="_Toc44738651"/>
      <w:r>
        <w:rPr>
          <w:rFonts w:ascii="Arial" w:hAnsi="Arial" w:cs="Arial"/>
        </w:rPr>
        <w:t>Australian Capital Territory</w:t>
      </w:r>
    </w:p>
    <w:p w14:paraId="5C009226" w14:textId="00B82502" w:rsidR="00F10CB2" w:rsidRPr="0031337E" w:rsidRDefault="006C5CD3">
      <w:pPr>
        <w:pStyle w:val="Billname"/>
        <w:spacing w:before="700"/>
        <w:rPr>
          <w:iCs/>
        </w:rPr>
      </w:pPr>
      <w:r>
        <w:rPr>
          <w:lang w:val="en-US" w:eastAsia="en-AU"/>
        </w:rPr>
        <w:t xml:space="preserve">Taxation Administration Amendment Regulation 2024 (No </w:t>
      </w:r>
      <w:r w:rsidR="00DA0DB1">
        <w:rPr>
          <w:lang w:val="en-US" w:eastAsia="en-AU"/>
        </w:rPr>
        <w:t>1</w:t>
      </w:r>
      <w:r>
        <w:rPr>
          <w:lang w:val="en-US" w:eastAsia="en-AU"/>
        </w:rPr>
        <w:t>)</w:t>
      </w:r>
    </w:p>
    <w:p w14:paraId="1CF3B5F1" w14:textId="375A1887" w:rsidR="00F10CB2" w:rsidRDefault="0031337E" w:rsidP="00D47F13">
      <w:pPr>
        <w:spacing w:before="340"/>
        <w:rPr>
          <w:rFonts w:ascii="Arial" w:hAnsi="Arial" w:cs="Arial"/>
          <w:b/>
          <w:bCs/>
        </w:rPr>
      </w:pPr>
      <w:r>
        <w:rPr>
          <w:rFonts w:ascii="Arial" w:hAnsi="Arial" w:cs="Arial"/>
          <w:b/>
          <w:bCs/>
        </w:rPr>
        <w:t xml:space="preserve">Subordinate </w:t>
      </w:r>
      <w:r w:rsidR="002747A4">
        <w:rPr>
          <w:rFonts w:ascii="Arial" w:hAnsi="Arial" w:cs="Arial"/>
          <w:b/>
          <w:bCs/>
        </w:rPr>
        <w:t>l</w:t>
      </w:r>
      <w:r>
        <w:rPr>
          <w:rFonts w:ascii="Arial" w:hAnsi="Arial" w:cs="Arial"/>
          <w:b/>
          <w:bCs/>
        </w:rPr>
        <w:t>aw SL202</w:t>
      </w:r>
      <w:r w:rsidR="00216B3D">
        <w:rPr>
          <w:rFonts w:ascii="Arial" w:hAnsi="Arial" w:cs="Arial"/>
          <w:b/>
          <w:bCs/>
        </w:rPr>
        <w:t>4</w:t>
      </w:r>
      <w:r w:rsidR="00F10CB2">
        <w:rPr>
          <w:rFonts w:ascii="Arial" w:hAnsi="Arial" w:cs="Arial"/>
          <w:b/>
          <w:bCs/>
        </w:rPr>
        <w:t>–</w:t>
      </w:r>
      <w:r w:rsidR="002F4472">
        <w:rPr>
          <w:rFonts w:ascii="Arial" w:hAnsi="Arial" w:cs="Arial"/>
          <w:b/>
          <w:bCs/>
        </w:rPr>
        <w:t>32</w:t>
      </w:r>
    </w:p>
    <w:p w14:paraId="4C9794E0" w14:textId="77777777" w:rsidR="00F10CB2" w:rsidRDefault="00F10CB2" w:rsidP="00CD4E55">
      <w:pPr>
        <w:pStyle w:val="madeunder"/>
        <w:spacing w:before="300" w:after="0"/>
      </w:pPr>
      <w:r>
        <w:t xml:space="preserve">made under the  </w:t>
      </w:r>
    </w:p>
    <w:p w14:paraId="6E37234C" w14:textId="2A728856" w:rsidR="00F10CB2" w:rsidRDefault="00DA13B3" w:rsidP="00CD4E55">
      <w:pPr>
        <w:pStyle w:val="CoverActName"/>
        <w:spacing w:before="320" w:after="0"/>
        <w:rPr>
          <w:rFonts w:cs="Arial"/>
          <w:sz w:val="20"/>
        </w:rPr>
      </w:pPr>
      <w:r>
        <w:rPr>
          <w:rFonts w:cs="Arial"/>
          <w:sz w:val="20"/>
        </w:rPr>
        <w:t xml:space="preserve">Taxation Administration Act </w:t>
      </w:r>
      <w:r w:rsidR="008347C6">
        <w:rPr>
          <w:rFonts w:cs="Arial"/>
          <w:sz w:val="20"/>
        </w:rPr>
        <w:t>1999</w:t>
      </w:r>
      <w:r w:rsidR="00F10CB2">
        <w:rPr>
          <w:rFonts w:cs="Arial"/>
          <w:sz w:val="20"/>
        </w:rPr>
        <w:t xml:space="preserve">, </w:t>
      </w:r>
      <w:r w:rsidR="0031337E">
        <w:rPr>
          <w:rFonts w:cs="Arial"/>
          <w:sz w:val="20"/>
        </w:rPr>
        <w:t>s</w:t>
      </w:r>
      <w:r w:rsidR="00AB1743">
        <w:rPr>
          <w:rFonts w:cs="Arial"/>
          <w:sz w:val="20"/>
        </w:rPr>
        <w:t xml:space="preserve"> 97 (1) (</w:t>
      </w:r>
      <w:r w:rsidR="004E7B06">
        <w:rPr>
          <w:rFonts w:cs="Arial"/>
          <w:sz w:val="20"/>
        </w:rPr>
        <w:t>e) (xix) (Other permitted disclosures)</w:t>
      </w:r>
    </w:p>
    <w:p w14:paraId="54521737" w14:textId="77777777" w:rsidR="00F10CB2" w:rsidRDefault="00F10CB2" w:rsidP="00CD4E55">
      <w:pPr>
        <w:pStyle w:val="N-line3"/>
        <w:pBdr>
          <w:bottom w:val="none" w:sz="0" w:space="0" w:color="auto"/>
        </w:pBdr>
        <w:spacing w:before="60"/>
      </w:pPr>
    </w:p>
    <w:p w14:paraId="205EBB38" w14:textId="1AAABF42" w:rsidR="0031337E" w:rsidRPr="0031337E" w:rsidRDefault="0031337E" w:rsidP="0031337E">
      <w:pPr>
        <w:rPr>
          <w:rFonts w:ascii="Arial" w:hAnsi="Arial" w:cs="Arial"/>
          <w:b/>
          <w:bCs/>
          <w:sz w:val="28"/>
          <w:szCs w:val="22"/>
        </w:rPr>
      </w:pPr>
      <w:r w:rsidRPr="0031337E">
        <w:rPr>
          <w:rFonts w:ascii="Arial" w:hAnsi="Arial" w:cs="Arial"/>
          <w:b/>
          <w:bCs/>
          <w:sz w:val="28"/>
          <w:szCs w:val="22"/>
        </w:rPr>
        <w:t>EXPLANATORY STATEMENT</w:t>
      </w:r>
    </w:p>
    <w:p w14:paraId="4CE9E4A6" w14:textId="77777777" w:rsidR="0031337E" w:rsidRPr="0031337E" w:rsidRDefault="0031337E" w:rsidP="0031337E"/>
    <w:p w14:paraId="6C517584" w14:textId="77777777" w:rsidR="00F10CB2" w:rsidRDefault="00F10CB2">
      <w:pPr>
        <w:pStyle w:val="N-line3"/>
        <w:pBdr>
          <w:top w:val="single" w:sz="12" w:space="1" w:color="auto"/>
          <w:bottom w:val="none" w:sz="0" w:space="0" w:color="auto"/>
        </w:pBdr>
      </w:pPr>
    </w:p>
    <w:p w14:paraId="18AB08CB" w14:textId="6CB93594" w:rsidR="00F10CB2" w:rsidRDefault="0031337E" w:rsidP="0031337E">
      <w:pPr>
        <w:spacing w:before="140"/>
      </w:pPr>
      <w:r w:rsidRPr="0031337E">
        <w:t>This</w:t>
      </w:r>
      <w:r>
        <w:t xml:space="preserve"> explanatory statement relates to the </w:t>
      </w:r>
      <w:r w:rsidR="00D87C6C">
        <w:rPr>
          <w:i/>
          <w:iCs/>
        </w:rPr>
        <w:t xml:space="preserve">Taxation Administration </w:t>
      </w:r>
      <w:r>
        <w:rPr>
          <w:i/>
          <w:iCs/>
        </w:rPr>
        <w:t>Amendment Regulation 202</w:t>
      </w:r>
      <w:r w:rsidR="00216B3D">
        <w:rPr>
          <w:i/>
          <w:iCs/>
        </w:rPr>
        <w:t>4</w:t>
      </w:r>
      <w:r>
        <w:t xml:space="preserve"> </w:t>
      </w:r>
      <w:r w:rsidR="00D87C6C">
        <w:rPr>
          <w:i/>
          <w:iCs/>
        </w:rPr>
        <w:t xml:space="preserve">(No </w:t>
      </w:r>
      <w:r w:rsidR="00DA0DB1">
        <w:rPr>
          <w:i/>
          <w:iCs/>
        </w:rPr>
        <w:t>1</w:t>
      </w:r>
      <w:r w:rsidR="00D87C6C">
        <w:rPr>
          <w:i/>
          <w:iCs/>
        </w:rPr>
        <w:t xml:space="preserve">) </w:t>
      </w:r>
      <w:r>
        <w:t>(</w:t>
      </w:r>
      <w:r w:rsidRPr="00D87C6C">
        <w:rPr>
          <w:b/>
          <w:bCs/>
          <w:i/>
          <w:iCs/>
        </w:rPr>
        <w:t>the</w:t>
      </w:r>
      <w:r w:rsidR="00546714">
        <w:rPr>
          <w:b/>
          <w:bCs/>
          <w:i/>
          <w:iCs/>
        </w:rPr>
        <w:t xml:space="preserve"> R</w:t>
      </w:r>
      <w:r>
        <w:rPr>
          <w:b/>
          <w:bCs/>
          <w:i/>
          <w:iCs/>
        </w:rPr>
        <w:t>egulation</w:t>
      </w:r>
      <w:r>
        <w:t xml:space="preserve">) as made by the Executive. It has been prepared to assist the reader of the regulation. It does not form part of the </w:t>
      </w:r>
      <w:r w:rsidR="00546714">
        <w:t>R</w:t>
      </w:r>
      <w:r>
        <w:t xml:space="preserve">egulation and has not been endorsed by the Legislative Assembly. </w:t>
      </w:r>
    </w:p>
    <w:p w14:paraId="326B0AAF" w14:textId="0107DC0E" w:rsidR="0031337E" w:rsidRDefault="0031337E" w:rsidP="0031337E">
      <w:pPr>
        <w:spacing w:before="140"/>
      </w:pPr>
      <w:r>
        <w:t xml:space="preserve">This statement must be read in conjunction with the </w:t>
      </w:r>
      <w:r w:rsidR="00546714">
        <w:t>R</w:t>
      </w:r>
      <w:r>
        <w:t xml:space="preserve">egulation. It is not, and is not meant to be, a comprehensive description of the </w:t>
      </w:r>
      <w:r w:rsidR="00546714">
        <w:t>R</w:t>
      </w:r>
      <w:r>
        <w:t>egulation. What is said about a provision is not taken as an authoritative guide to the meaning of a provision, this being a task for the courts.</w:t>
      </w:r>
    </w:p>
    <w:p w14:paraId="2161D127" w14:textId="5BF24DC9" w:rsidR="0031337E" w:rsidRPr="00823C44" w:rsidRDefault="0031337E" w:rsidP="003F3D15">
      <w:pPr>
        <w:keepNext/>
        <w:spacing w:before="240" w:after="240"/>
        <w:rPr>
          <w:rFonts w:ascii="Arial" w:hAnsi="Arial" w:cs="Arial"/>
          <w:b/>
          <w:bCs/>
        </w:rPr>
      </w:pPr>
      <w:r w:rsidRPr="00823C44">
        <w:rPr>
          <w:rFonts w:ascii="Arial" w:hAnsi="Arial" w:cs="Arial"/>
          <w:b/>
          <w:bCs/>
        </w:rPr>
        <w:t>BACKGROUND</w:t>
      </w:r>
    </w:p>
    <w:p w14:paraId="37E7D6FD" w14:textId="3370740D" w:rsidR="00C403BD" w:rsidRDefault="006F1850" w:rsidP="0031337E">
      <w:pPr>
        <w:spacing w:before="140"/>
      </w:pPr>
      <w:r>
        <w:t xml:space="preserve">The </w:t>
      </w:r>
      <w:r w:rsidR="00546714">
        <w:t>R</w:t>
      </w:r>
      <w:r>
        <w:t xml:space="preserve">egulation amends the information-sharing provisions in the </w:t>
      </w:r>
      <w:r>
        <w:rPr>
          <w:i/>
          <w:iCs/>
        </w:rPr>
        <w:t xml:space="preserve">Taxation Administration Regulation 2004 </w:t>
      </w:r>
      <w:r>
        <w:t>to support the administration</w:t>
      </w:r>
      <w:r w:rsidR="006930F3">
        <w:t xml:space="preserve"> of the offsets under</w:t>
      </w:r>
      <w:r w:rsidR="00637C48">
        <w:t xml:space="preserve"> Part</w:t>
      </w:r>
      <w:r w:rsidR="002E1015">
        <w:t> </w:t>
      </w:r>
      <w:r w:rsidR="00637C48">
        <w:t>2A</w:t>
      </w:r>
      <w:r w:rsidR="006930F3">
        <w:t xml:space="preserve"> of the </w:t>
      </w:r>
      <w:r w:rsidR="006930F3">
        <w:rPr>
          <w:i/>
          <w:iCs/>
        </w:rPr>
        <w:t xml:space="preserve">Gaming Machine Act 2004 </w:t>
      </w:r>
      <w:r w:rsidR="006930F3">
        <w:t xml:space="preserve">in light of </w:t>
      </w:r>
      <w:r w:rsidR="00C403BD">
        <w:t xml:space="preserve">the expansion of offset amounts made under the </w:t>
      </w:r>
      <w:r w:rsidR="00C403BD">
        <w:rPr>
          <w:i/>
          <w:iCs/>
        </w:rPr>
        <w:t>Gaming Machine (Offset Amounts) Amendment Regulation</w:t>
      </w:r>
      <w:r w:rsidR="002E1015">
        <w:rPr>
          <w:i/>
          <w:iCs/>
        </w:rPr>
        <w:t> </w:t>
      </w:r>
      <w:r w:rsidR="00C403BD">
        <w:rPr>
          <w:i/>
          <w:iCs/>
        </w:rPr>
        <w:t>2024</w:t>
      </w:r>
      <w:r w:rsidR="002E1015">
        <w:rPr>
          <w:i/>
          <w:iCs/>
        </w:rPr>
        <w:t> </w:t>
      </w:r>
      <w:r w:rsidR="00C403BD">
        <w:rPr>
          <w:i/>
          <w:iCs/>
        </w:rPr>
        <w:t>(No</w:t>
      </w:r>
      <w:r w:rsidR="002E1015">
        <w:rPr>
          <w:i/>
          <w:iCs/>
        </w:rPr>
        <w:t> </w:t>
      </w:r>
      <w:r w:rsidR="00DA0DB1">
        <w:rPr>
          <w:i/>
          <w:iCs/>
        </w:rPr>
        <w:t>1</w:t>
      </w:r>
      <w:r w:rsidR="00C403BD">
        <w:rPr>
          <w:i/>
          <w:iCs/>
        </w:rPr>
        <w:t>)</w:t>
      </w:r>
      <w:r w:rsidR="00C403BD">
        <w:t xml:space="preserve">. </w:t>
      </w:r>
    </w:p>
    <w:p w14:paraId="5775377F" w14:textId="632EF73C" w:rsidR="006F5DD4" w:rsidRDefault="006F5DD4" w:rsidP="0031337E">
      <w:pPr>
        <w:spacing w:before="140"/>
      </w:pPr>
      <w:r>
        <w:t xml:space="preserve">In the </w:t>
      </w:r>
      <w:r>
        <w:rPr>
          <w:i/>
          <w:iCs/>
        </w:rPr>
        <w:t>Parliamentary Agreement for the 9</w:t>
      </w:r>
      <w:r w:rsidRPr="006F5DD4">
        <w:rPr>
          <w:i/>
          <w:iCs/>
          <w:vertAlign w:val="superscript"/>
        </w:rPr>
        <w:t>th</w:t>
      </w:r>
      <w:r>
        <w:rPr>
          <w:i/>
          <w:iCs/>
        </w:rPr>
        <w:t xml:space="preserve"> Legislative Assembly</w:t>
      </w:r>
      <w:r>
        <w:t xml:space="preserve">, the ACT Government committed to reducing the number of gaming machine authorisations to 4,000 by </w:t>
      </w:r>
      <w:r w:rsidR="007461ED">
        <w:t xml:space="preserve">1 July </w:t>
      </w:r>
      <w:r>
        <w:t>2020 as part of a range of measures intended to reduce gambling harm.</w:t>
      </w:r>
    </w:p>
    <w:p w14:paraId="619A57A0" w14:textId="53E58DC2" w:rsidR="0031337E" w:rsidRDefault="006F5DD4" w:rsidP="0031337E">
      <w:pPr>
        <w:spacing w:before="140"/>
      </w:pPr>
      <w:r>
        <w:t xml:space="preserve">The ACT Government introduced incentives for gaming machine licensees that voluntarily surrender gaming machine authorisations by establishing a legislative framework through the </w:t>
      </w:r>
      <w:r>
        <w:rPr>
          <w:i/>
          <w:iCs/>
        </w:rPr>
        <w:t xml:space="preserve">Gaming Legislation Amendment </w:t>
      </w:r>
      <w:r w:rsidR="00216B3D">
        <w:rPr>
          <w:i/>
          <w:iCs/>
        </w:rPr>
        <w:t>Act</w:t>
      </w:r>
      <w:r w:rsidR="00216B3D">
        <w:rPr>
          <w:i/>
          <w:iCs/>
        </w:rPr>
        <w:tab/>
      </w:r>
      <w:r>
        <w:rPr>
          <w:i/>
          <w:iCs/>
        </w:rPr>
        <w:t xml:space="preserve"> 2018</w:t>
      </w:r>
      <w:r w:rsidR="00184D69">
        <w:rPr>
          <w:i/>
          <w:iCs/>
        </w:rPr>
        <w:t xml:space="preserve"> </w:t>
      </w:r>
      <w:r w:rsidR="00184D69" w:rsidRPr="006145FF">
        <w:t>(the Amendment Act)</w:t>
      </w:r>
      <w:r w:rsidR="00216B3D">
        <w:t xml:space="preserve">. </w:t>
      </w:r>
      <w:r>
        <w:t xml:space="preserve">The </w:t>
      </w:r>
      <w:r w:rsidR="00184D69">
        <w:t xml:space="preserve">Amendment </w:t>
      </w:r>
      <w:r w:rsidR="00216B3D">
        <w:t xml:space="preserve">Act inserted Part 2A into the </w:t>
      </w:r>
      <w:r w:rsidR="00216B3D">
        <w:rPr>
          <w:i/>
          <w:iCs/>
        </w:rPr>
        <w:t>Gaming Machine Act 2004</w:t>
      </w:r>
      <w:r w:rsidR="00216B3D">
        <w:t>, providing for</w:t>
      </w:r>
      <w:r>
        <w:t xml:space="preserve"> a financial incentive for clubs that voluntarily surrender authorisations by allowing clubs to exchange their surrenders with offset amount</w:t>
      </w:r>
      <w:r w:rsidR="00C67F84">
        <w:t>s</w:t>
      </w:r>
      <w:r w:rsidR="00216B3D">
        <w:t>. The offset amounts could</w:t>
      </w:r>
      <w:r>
        <w:t xml:space="preserve"> be applied against amounts payable to the Territory relating to a range of </w:t>
      </w:r>
      <w:r w:rsidRPr="006F5DD4">
        <w:t>government land, lease and planning and development charges</w:t>
      </w:r>
      <w:r>
        <w:t>.</w:t>
      </w:r>
    </w:p>
    <w:p w14:paraId="330C2FD0" w14:textId="18496C33" w:rsidR="006F5DD4" w:rsidRPr="00941031" w:rsidRDefault="00C67F84" w:rsidP="0031337E">
      <w:pPr>
        <w:spacing w:before="140"/>
      </w:pPr>
      <w:r>
        <w:t xml:space="preserve">Section 10H of the </w:t>
      </w:r>
      <w:r>
        <w:rPr>
          <w:i/>
          <w:iCs/>
        </w:rPr>
        <w:t>Gaming Machine Act 2004</w:t>
      </w:r>
      <w:r>
        <w:t xml:space="preserve">, together with the </w:t>
      </w:r>
      <w:r>
        <w:rPr>
          <w:i/>
          <w:iCs/>
        </w:rPr>
        <w:t>Gaming Machine (Offset Amounts) Regulation 2018</w:t>
      </w:r>
      <w:r w:rsidRPr="00C67F84">
        <w:t>, provide</w:t>
      </w:r>
      <w:r>
        <w:t xml:space="preserve"> for the fees, charges and other amounts </w:t>
      </w:r>
      <w:r>
        <w:lastRenderedPageBreak/>
        <w:t>against which clubs are able to apply offset amounts. Section 10H allows for a regulation to prescribe further amounts.</w:t>
      </w:r>
      <w:r w:rsidR="0084743B">
        <w:t xml:space="preserve"> </w:t>
      </w:r>
      <w:r w:rsidR="00F05299">
        <w:t xml:space="preserve">The </w:t>
      </w:r>
      <w:r w:rsidR="00F05299">
        <w:rPr>
          <w:i/>
          <w:iCs/>
        </w:rPr>
        <w:t xml:space="preserve">Gaming Machine (Offset Amounts) Amendment Regulation 2024 (No </w:t>
      </w:r>
      <w:r w:rsidR="00DA0DB1">
        <w:rPr>
          <w:i/>
          <w:iCs/>
        </w:rPr>
        <w:t>1</w:t>
      </w:r>
      <w:r w:rsidR="00F05299">
        <w:rPr>
          <w:i/>
          <w:iCs/>
        </w:rPr>
        <w:t>)</w:t>
      </w:r>
      <w:r w:rsidR="00F05299">
        <w:t xml:space="preserve"> </w:t>
      </w:r>
      <w:r w:rsidR="00FC6CED">
        <w:t>expands</w:t>
      </w:r>
      <w:r w:rsidR="00941031">
        <w:t xml:space="preserve"> offset amounts to include </w:t>
      </w:r>
      <w:r w:rsidR="00776B96">
        <w:t xml:space="preserve">duties payable on dutiable transactions under Chapters 2 and 3 of the </w:t>
      </w:r>
      <w:r w:rsidR="00776B96">
        <w:rPr>
          <w:i/>
          <w:iCs/>
        </w:rPr>
        <w:t>Duties Act 1999</w:t>
      </w:r>
      <w:r w:rsidR="00941031">
        <w:t xml:space="preserve">. </w:t>
      </w:r>
      <w:r w:rsidR="00A640B5">
        <w:t xml:space="preserve">The </w:t>
      </w:r>
      <w:r w:rsidR="00546714">
        <w:t>R</w:t>
      </w:r>
      <w:r w:rsidR="00A640B5">
        <w:t xml:space="preserve">egulation will support the information-sharing arrangements between a tax officer and </w:t>
      </w:r>
      <w:r w:rsidR="00956717">
        <w:t>other prescribed persons to support administration of the expanded offset amounts.</w:t>
      </w:r>
    </w:p>
    <w:p w14:paraId="08E9AF31" w14:textId="77777777" w:rsidR="003E6F5E" w:rsidRPr="00823C44" w:rsidRDefault="003E6F5E" w:rsidP="003E6F5E">
      <w:pPr>
        <w:keepNext/>
        <w:spacing w:before="240" w:after="240"/>
        <w:rPr>
          <w:rFonts w:ascii="Arial" w:hAnsi="Arial" w:cs="Arial"/>
          <w:b/>
          <w:bCs/>
        </w:rPr>
      </w:pPr>
      <w:r w:rsidRPr="00823C44">
        <w:rPr>
          <w:rFonts w:ascii="Arial" w:hAnsi="Arial" w:cs="Arial"/>
          <w:b/>
          <w:bCs/>
        </w:rPr>
        <w:t>OVERVIEW OF THE REGULATION</w:t>
      </w:r>
    </w:p>
    <w:p w14:paraId="07F28EC5" w14:textId="53C896B3" w:rsidR="003E6F5E" w:rsidRPr="003D1AAB" w:rsidRDefault="003E6F5E" w:rsidP="003E6F5E">
      <w:pPr>
        <w:spacing w:before="140"/>
      </w:pPr>
      <w:r>
        <w:t xml:space="preserve">The </w:t>
      </w:r>
      <w:r w:rsidR="00546714">
        <w:t>R</w:t>
      </w:r>
      <w:r>
        <w:t xml:space="preserve">egulation amends the </w:t>
      </w:r>
      <w:r>
        <w:rPr>
          <w:i/>
          <w:iCs/>
        </w:rPr>
        <w:t xml:space="preserve">Taxation Administration Regulation 2004 </w:t>
      </w:r>
      <w:r>
        <w:t xml:space="preserve">to prescribe the Gambling and Racing Commission, gaming officers, and the director-general of the administrative unit responsible for the </w:t>
      </w:r>
      <w:r>
        <w:rPr>
          <w:i/>
          <w:iCs/>
        </w:rPr>
        <w:t>Gambling and Racing Control Act 1999</w:t>
      </w:r>
      <w:r>
        <w:t xml:space="preserve"> (currently the Justice and Community Safety Directorate) as persons prescribed under section 97 (1) (e) (xix). This amendment is made in connection with the </w:t>
      </w:r>
      <w:r>
        <w:rPr>
          <w:i/>
          <w:iCs/>
        </w:rPr>
        <w:t xml:space="preserve">Gaming Machine (Offset Amounts) Amendment Regulation 2024 (No </w:t>
      </w:r>
      <w:r w:rsidR="00DA0DB1">
        <w:rPr>
          <w:i/>
          <w:iCs/>
        </w:rPr>
        <w:t>1</w:t>
      </w:r>
      <w:r>
        <w:rPr>
          <w:i/>
          <w:iCs/>
        </w:rPr>
        <w:t xml:space="preserve">) </w:t>
      </w:r>
      <w:r>
        <w:t xml:space="preserve">to enable a tax officer to disclose to these prescribed persons information obtained in relation to the administration of the </w:t>
      </w:r>
      <w:r>
        <w:rPr>
          <w:i/>
          <w:iCs/>
        </w:rPr>
        <w:t>Duties Act 1999</w:t>
      </w:r>
      <w:r>
        <w:t xml:space="preserve"> for the purpose of administering Part 2A of the </w:t>
      </w:r>
      <w:r>
        <w:rPr>
          <w:i/>
          <w:iCs/>
        </w:rPr>
        <w:t>Gaming Machine Act 2004</w:t>
      </w:r>
      <w:r>
        <w:t xml:space="preserve">. </w:t>
      </w:r>
    </w:p>
    <w:p w14:paraId="7F5BD63B" w14:textId="3EDB0BDC" w:rsidR="003E6F5E" w:rsidRPr="0030233C" w:rsidRDefault="003E6F5E" w:rsidP="00DA0DB1">
      <w:pPr>
        <w:spacing w:before="140"/>
        <w:ind w:right="-78"/>
      </w:pPr>
      <w:r>
        <w:t xml:space="preserve">The </w:t>
      </w:r>
      <w:r>
        <w:rPr>
          <w:i/>
          <w:iCs/>
        </w:rPr>
        <w:t xml:space="preserve">Gaming Machine (Offset Amounts) Amendment Regulation 2024 (No </w:t>
      </w:r>
      <w:r w:rsidR="00DA0DB1">
        <w:rPr>
          <w:i/>
          <w:iCs/>
        </w:rPr>
        <w:t>1</w:t>
      </w:r>
      <w:r>
        <w:rPr>
          <w:i/>
          <w:iCs/>
        </w:rPr>
        <w:t>)</w:t>
      </w:r>
      <w:r>
        <w:t xml:space="preserve"> prescribes duties payable on dutiable transactions under Chapters 2 and 3 of the </w:t>
      </w:r>
      <w:r>
        <w:rPr>
          <w:i/>
          <w:iCs/>
        </w:rPr>
        <w:t>Duties Act 1999</w:t>
      </w:r>
      <w:r>
        <w:t xml:space="preserve"> as offset amounts under section 10H of the </w:t>
      </w:r>
      <w:r>
        <w:rPr>
          <w:i/>
          <w:iCs/>
        </w:rPr>
        <w:t>Gaming Machine Act 2004</w:t>
      </w:r>
      <w:r>
        <w:t xml:space="preserve">. </w:t>
      </w:r>
      <w:r w:rsidR="00AC344A">
        <w:t xml:space="preserve">As a result of this </w:t>
      </w:r>
      <w:r w:rsidR="008E15A1">
        <w:t>R</w:t>
      </w:r>
      <w:r w:rsidR="00AC344A">
        <w:t>egulation, clubs which obtained offset</w:t>
      </w:r>
      <w:r w:rsidR="00781C67">
        <w:t xml:space="preserve"> amounts</w:t>
      </w:r>
      <w:r>
        <w:t xml:space="preserve"> from surrendering gaming machine authorisations under Part 2A of the </w:t>
      </w:r>
      <w:r>
        <w:rPr>
          <w:i/>
          <w:iCs/>
        </w:rPr>
        <w:t xml:space="preserve">Gaming Machine Act 2004 </w:t>
      </w:r>
      <w:r w:rsidR="00AC344A" w:rsidRPr="006145FF">
        <w:t>are now able</w:t>
      </w:r>
      <w:r w:rsidR="00AC344A">
        <w:rPr>
          <w:i/>
          <w:iCs/>
        </w:rPr>
        <w:t xml:space="preserve"> </w:t>
      </w:r>
      <w:r>
        <w:t xml:space="preserve">to offset duties that become payable when directly or indirectly acquiring dutiable property (or other dutiable transactions) or acquiring an interest in a landholder that owns land in the ACT.  </w:t>
      </w:r>
    </w:p>
    <w:p w14:paraId="44E0512F" w14:textId="1497F7E8" w:rsidR="00A52135" w:rsidRDefault="003E6F5E" w:rsidP="00A52135">
      <w:pPr>
        <w:spacing w:before="140"/>
        <w:rPr>
          <w:color w:val="000000"/>
          <w:shd w:val="clear" w:color="auto" w:fill="FFFFFF"/>
        </w:rPr>
      </w:pPr>
      <w:r>
        <w:t xml:space="preserve">The </w:t>
      </w:r>
      <w:r>
        <w:rPr>
          <w:i/>
          <w:iCs/>
        </w:rPr>
        <w:t>Duties Act 1999</w:t>
      </w:r>
      <w:r>
        <w:t xml:space="preserve"> is a ‘tax law’ as defined under section 4 of the </w:t>
      </w:r>
      <w:r>
        <w:rPr>
          <w:i/>
          <w:iCs/>
        </w:rPr>
        <w:t xml:space="preserve">Taxation Administration Act 1999. </w:t>
      </w:r>
      <w:r>
        <w:t xml:space="preserve">The </w:t>
      </w:r>
      <w:r>
        <w:rPr>
          <w:i/>
          <w:iCs/>
        </w:rPr>
        <w:t xml:space="preserve">Duties Act 1999 </w:t>
      </w:r>
      <w:r w:rsidRPr="00C33592">
        <w:t>imposes</w:t>
      </w:r>
      <w:r>
        <w:t xml:space="preserve"> duties on transfers of dutiable property which can include land or other dutiable transactions such as a declaration of trust. Dutiable property includes land which includes residential, primary production or commercial properties. Duty is imposed on relevant acquisitions in landholders because ownership of land in the ACT is indirectly transferred. The </w:t>
      </w:r>
      <w:r w:rsidR="00546714">
        <w:t>R</w:t>
      </w:r>
      <w:r>
        <w:t xml:space="preserve">egulation will support information-sharing arrangements to allow a tax officer to disclose relevant information to prescribed persons to support the administration of offsets against duties under the </w:t>
      </w:r>
      <w:r>
        <w:rPr>
          <w:i/>
          <w:iCs/>
        </w:rPr>
        <w:t xml:space="preserve">Duties Act 1999 </w:t>
      </w:r>
      <w:r>
        <w:t xml:space="preserve">by clubs using </w:t>
      </w:r>
      <w:r w:rsidR="00A52135">
        <w:rPr>
          <w:color w:val="000000"/>
          <w:shd w:val="clear" w:color="auto" w:fill="FFFFFF"/>
        </w:rPr>
        <w:t>offset amount</w:t>
      </w:r>
      <w:r w:rsidR="00781C67">
        <w:rPr>
          <w:color w:val="000000"/>
          <w:shd w:val="clear" w:color="auto" w:fill="FFFFFF"/>
        </w:rPr>
        <w:t>s</w:t>
      </w:r>
      <w:r w:rsidR="00A52135">
        <w:rPr>
          <w:color w:val="000000"/>
          <w:shd w:val="clear" w:color="auto" w:fill="FFFFFF"/>
        </w:rPr>
        <w:t xml:space="preserve"> under </w:t>
      </w:r>
      <w:r w:rsidR="00781C67">
        <w:rPr>
          <w:color w:val="000000"/>
          <w:shd w:val="clear" w:color="auto" w:fill="FFFFFF"/>
        </w:rPr>
        <w:t>a</w:t>
      </w:r>
      <w:r w:rsidR="00A52135" w:rsidRPr="00E00401">
        <w:rPr>
          <w:color w:val="000000"/>
          <w:shd w:val="clear" w:color="auto" w:fill="FFFFFF"/>
        </w:rPr>
        <w:t xml:space="preserve"> voluntary surrender agreement</w:t>
      </w:r>
      <w:r w:rsidR="00A52135">
        <w:rPr>
          <w:color w:val="000000"/>
          <w:shd w:val="clear" w:color="auto" w:fill="FFFFFF"/>
        </w:rPr>
        <w:t xml:space="preserve"> entered into with the Territory under the Part 2A of the </w:t>
      </w:r>
      <w:r w:rsidR="00A52135">
        <w:rPr>
          <w:i/>
          <w:iCs/>
          <w:color w:val="000000"/>
          <w:shd w:val="clear" w:color="auto" w:fill="FFFFFF"/>
        </w:rPr>
        <w:t>Gaming Machine Act 2004</w:t>
      </w:r>
      <w:r w:rsidR="00A52135">
        <w:rPr>
          <w:color w:val="000000"/>
          <w:shd w:val="clear" w:color="auto" w:fill="FFFFFF"/>
        </w:rPr>
        <w:t xml:space="preserve">. </w:t>
      </w:r>
    </w:p>
    <w:p w14:paraId="3BC3B5AC" w14:textId="77777777" w:rsidR="00A52135" w:rsidRPr="00E00401" w:rsidRDefault="00A52135" w:rsidP="00A52135">
      <w:pPr>
        <w:spacing w:before="140"/>
        <w:rPr>
          <w:color w:val="000000"/>
          <w:shd w:val="clear" w:color="auto" w:fill="FFFFFF"/>
        </w:rPr>
      </w:pPr>
    </w:p>
    <w:p w14:paraId="0CC0C09B" w14:textId="792AAC93" w:rsidR="001D481D" w:rsidRPr="00823C44" w:rsidRDefault="001D481D" w:rsidP="00A52135">
      <w:pPr>
        <w:spacing w:before="140"/>
        <w:rPr>
          <w:rFonts w:ascii="Arial" w:hAnsi="Arial" w:cs="Arial"/>
          <w:b/>
          <w:bCs/>
        </w:rPr>
      </w:pPr>
      <w:r w:rsidRPr="00823C44">
        <w:rPr>
          <w:rFonts w:ascii="Arial" w:hAnsi="Arial" w:cs="Arial"/>
          <w:b/>
          <w:bCs/>
        </w:rPr>
        <w:t>REGULATORY IMPACT STATEMENT</w:t>
      </w:r>
    </w:p>
    <w:p w14:paraId="594ED3B6" w14:textId="3F271963" w:rsidR="00E542F2" w:rsidRPr="00E542F2" w:rsidRDefault="00E542F2" w:rsidP="00E542F2">
      <w:pPr>
        <w:spacing w:before="140"/>
      </w:pPr>
      <w:r w:rsidRPr="00E542F2">
        <w:t>Section 34 of the </w:t>
      </w:r>
      <w:r w:rsidRPr="00E542F2">
        <w:rPr>
          <w:i/>
          <w:iCs/>
        </w:rPr>
        <w:t>Legislation Act 2001</w:t>
      </w:r>
      <w:r w:rsidRPr="00E542F2">
        <w:t xml:space="preserve"> requires the preparation of a </w:t>
      </w:r>
      <w:r>
        <w:t>r</w:t>
      </w:r>
      <w:r w:rsidRPr="00E542F2">
        <w:t>egulatory impact statement where a subordinate law is likely to impose appreciable costs on the community, or a part of the community.</w:t>
      </w:r>
    </w:p>
    <w:p w14:paraId="59A9A65D" w14:textId="571BAF24" w:rsidR="001D481D" w:rsidRPr="0031337E" w:rsidRDefault="00781C67" w:rsidP="001D481D">
      <w:pPr>
        <w:spacing w:before="140"/>
      </w:pPr>
      <w:r>
        <w:t>T</w:t>
      </w:r>
      <w:r w:rsidR="00E542F2" w:rsidRPr="00E542F2">
        <w:t>h</w:t>
      </w:r>
      <w:r w:rsidR="00E542F2">
        <w:t>e</w:t>
      </w:r>
      <w:r w:rsidR="00E542F2" w:rsidRPr="00E542F2">
        <w:t> </w:t>
      </w:r>
      <w:r w:rsidR="00546714">
        <w:t>R</w:t>
      </w:r>
      <w:r w:rsidR="00E542F2" w:rsidRPr="00E542F2">
        <w:t xml:space="preserve">egulation </w:t>
      </w:r>
      <w:r w:rsidR="00A940B6">
        <w:t xml:space="preserve">supports </w:t>
      </w:r>
      <w:r w:rsidR="00E86635">
        <w:t xml:space="preserve">support information-sharing arrangements to allow a tax officer to disclose relevant information to prescribed persons to support the administration of offsets against duties under the </w:t>
      </w:r>
      <w:r w:rsidR="00E86635">
        <w:rPr>
          <w:i/>
          <w:iCs/>
        </w:rPr>
        <w:t xml:space="preserve">Duties Act 1999 </w:t>
      </w:r>
      <w:r>
        <w:t>and</w:t>
      </w:r>
      <w:r w:rsidR="00E86635">
        <w:t xml:space="preserve"> does not </w:t>
      </w:r>
      <w:r w:rsidR="00E86635">
        <w:lastRenderedPageBreak/>
        <w:t>impose an appreciable cost on the community or part of the community. Therefore,</w:t>
      </w:r>
      <w:r w:rsidR="00E542F2" w:rsidRPr="00E542F2">
        <w:t xml:space="preserve"> a regulatory impact statement has not been prepared in this instance.</w:t>
      </w:r>
    </w:p>
    <w:p w14:paraId="687726C6" w14:textId="77777777" w:rsidR="00823C44" w:rsidRDefault="00823C44" w:rsidP="00823C44">
      <w:pPr>
        <w:keepNext/>
        <w:spacing w:before="240" w:after="240"/>
        <w:rPr>
          <w:rFonts w:ascii="Arial" w:hAnsi="Arial" w:cs="Arial"/>
          <w:b/>
          <w:bCs/>
        </w:rPr>
      </w:pPr>
      <w:r w:rsidRPr="00823C44">
        <w:rPr>
          <w:rFonts w:ascii="Arial" w:hAnsi="Arial" w:cs="Arial"/>
          <w:b/>
          <w:bCs/>
        </w:rPr>
        <w:t>CLIMATE IMPACT</w:t>
      </w:r>
    </w:p>
    <w:p w14:paraId="64CE4BCE" w14:textId="18F8EA1E" w:rsidR="00823C44" w:rsidRPr="00823C44" w:rsidRDefault="008912AF" w:rsidP="00823C44">
      <w:pPr>
        <w:keepNext/>
        <w:spacing w:before="240" w:after="240"/>
        <w:rPr>
          <w:rFonts w:ascii="Arial" w:hAnsi="Arial" w:cs="Arial"/>
          <w:b/>
          <w:bCs/>
        </w:rPr>
      </w:pPr>
      <w:r>
        <w:t>The</w:t>
      </w:r>
      <w:r w:rsidR="00823C44">
        <w:t xml:space="preserve"> </w:t>
      </w:r>
      <w:r w:rsidR="00546714">
        <w:t>R</w:t>
      </w:r>
      <w:r w:rsidR="00823C44">
        <w:t xml:space="preserve">egulation will </w:t>
      </w:r>
      <w:r w:rsidR="00CA13C7">
        <w:t xml:space="preserve">not have an </w:t>
      </w:r>
      <w:r w:rsidR="00823C44">
        <w:t xml:space="preserve">impact on emissions production or abatement. </w:t>
      </w:r>
    </w:p>
    <w:p w14:paraId="2E85AB86" w14:textId="0B4A26F0" w:rsidR="001D481D" w:rsidRPr="00823C44" w:rsidRDefault="001D481D" w:rsidP="003F3D15">
      <w:pPr>
        <w:keepNext/>
        <w:spacing w:before="240" w:after="240"/>
        <w:rPr>
          <w:rFonts w:ascii="Arial" w:hAnsi="Arial" w:cs="Arial"/>
          <w:b/>
          <w:bCs/>
        </w:rPr>
      </w:pPr>
      <w:r w:rsidRPr="00823C44">
        <w:rPr>
          <w:rFonts w:ascii="Arial" w:hAnsi="Arial" w:cs="Arial"/>
          <w:b/>
          <w:bCs/>
        </w:rPr>
        <w:t>CONSISTENCY WITH HUMAN RIGHTS</w:t>
      </w:r>
    </w:p>
    <w:p w14:paraId="16A5195C" w14:textId="621D4B96" w:rsidR="00BA27AF" w:rsidRDefault="00BA27AF" w:rsidP="001D481D">
      <w:pPr>
        <w:spacing w:before="240" w:after="240"/>
      </w:pPr>
      <w:r w:rsidRPr="00BA27AF">
        <w:t>The </w:t>
      </w:r>
      <w:r w:rsidR="00546714">
        <w:t>R</w:t>
      </w:r>
      <w:r w:rsidRPr="00BA27AF">
        <w:t>egulation does not engage any human rights set out in the </w:t>
      </w:r>
      <w:r w:rsidRPr="00BA27AF">
        <w:rPr>
          <w:i/>
          <w:iCs/>
        </w:rPr>
        <w:t>Human Rights Act</w:t>
      </w:r>
      <w:r w:rsidR="002E1015">
        <w:rPr>
          <w:i/>
          <w:iCs/>
        </w:rPr>
        <w:t> </w:t>
      </w:r>
      <w:r w:rsidRPr="00BA27AF">
        <w:rPr>
          <w:i/>
          <w:iCs/>
        </w:rPr>
        <w:t>2004</w:t>
      </w:r>
      <w:r w:rsidR="002E1015">
        <w:t xml:space="preserve"> </w:t>
      </w:r>
      <w:r w:rsidRPr="00BA27AF">
        <w:t>as the offset amounts are only accessible under a voluntary surrender agreement entered into by a gaming machine licensee and the Territory.</w:t>
      </w:r>
      <w:r>
        <w:t xml:space="preserve"> E</w:t>
      </w:r>
      <w:r w:rsidRPr="00BA27AF">
        <w:t>ligibility for offset amounts is restricted to gaming machine licensees that are clubs, and all club licensees operate within a corporate or incorporated association structure.</w:t>
      </w:r>
    </w:p>
    <w:p w14:paraId="36C48D92" w14:textId="534B9BCE" w:rsidR="001D481D" w:rsidRPr="00823C44" w:rsidRDefault="001D481D" w:rsidP="003F3D15">
      <w:pPr>
        <w:keepNext/>
        <w:spacing w:before="240" w:after="240"/>
        <w:rPr>
          <w:rFonts w:ascii="Arial" w:hAnsi="Arial" w:cs="Arial"/>
          <w:b/>
          <w:bCs/>
        </w:rPr>
      </w:pPr>
      <w:r w:rsidRPr="00823C44">
        <w:rPr>
          <w:rFonts w:ascii="Arial" w:hAnsi="Arial" w:cs="Arial"/>
          <w:b/>
          <w:bCs/>
        </w:rPr>
        <w:t>CLAUSE NOTES</w:t>
      </w:r>
    </w:p>
    <w:p w14:paraId="15A8FF3F" w14:textId="040E7A6F" w:rsidR="001D481D" w:rsidRPr="001D481D" w:rsidRDefault="001D481D" w:rsidP="003F3D15">
      <w:pPr>
        <w:keepNext/>
        <w:spacing w:before="240" w:after="240"/>
        <w:rPr>
          <w:rFonts w:ascii="Arial" w:hAnsi="Arial" w:cs="Arial"/>
          <w:b/>
          <w:bCs/>
        </w:rPr>
      </w:pPr>
      <w:r w:rsidRPr="001D481D">
        <w:rPr>
          <w:rFonts w:ascii="Arial" w:hAnsi="Arial" w:cs="Arial"/>
          <w:b/>
          <w:bCs/>
        </w:rPr>
        <w:t>Clause 1</w:t>
      </w:r>
      <w:r w:rsidRPr="001D481D">
        <w:rPr>
          <w:rFonts w:ascii="Arial" w:hAnsi="Arial" w:cs="Arial"/>
          <w:b/>
          <w:bCs/>
        </w:rPr>
        <w:tab/>
        <w:t>Name of regulation</w:t>
      </w:r>
    </w:p>
    <w:p w14:paraId="484D6298" w14:textId="7C20E4A5" w:rsidR="00F10CB2" w:rsidRDefault="001D481D" w:rsidP="001D481D">
      <w:pPr>
        <w:spacing w:before="140"/>
      </w:pPr>
      <w:r>
        <w:t xml:space="preserve">Clause 1 names the </w:t>
      </w:r>
      <w:r w:rsidR="00546714">
        <w:t>R</w:t>
      </w:r>
      <w:r>
        <w:t>egulation</w:t>
      </w:r>
      <w:bookmarkEnd w:id="0"/>
      <w:r w:rsidR="002747A4">
        <w:t xml:space="preserve"> as the</w:t>
      </w:r>
      <w:r w:rsidR="002747A4" w:rsidRPr="002747A4">
        <w:rPr>
          <w:i/>
          <w:iCs/>
        </w:rPr>
        <w:t xml:space="preserve"> </w:t>
      </w:r>
      <w:r w:rsidR="00A067A9">
        <w:rPr>
          <w:i/>
          <w:iCs/>
        </w:rPr>
        <w:t>Taxation Administration</w:t>
      </w:r>
      <w:r w:rsidR="002747A4">
        <w:rPr>
          <w:i/>
          <w:iCs/>
        </w:rPr>
        <w:t xml:space="preserve"> Amendment Regulation</w:t>
      </w:r>
      <w:r w:rsidR="002E1015">
        <w:rPr>
          <w:i/>
          <w:iCs/>
        </w:rPr>
        <w:t> </w:t>
      </w:r>
      <w:r w:rsidR="002747A4">
        <w:rPr>
          <w:i/>
          <w:iCs/>
        </w:rPr>
        <w:t>202</w:t>
      </w:r>
      <w:r w:rsidR="00823C44">
        <w:rPr>
          <w:i/>
          <w:iCs/>
        </w:rPr>
        <w:t>4</w:t>
      </w:r>
      <w:r w:rsidR="00A067A9">
        <w:rPr>
          <w:i/>
          <w:iCs/>
        </w:rPr>
        <w:t xml:space="preserve"> (No </w:t>
      </w:r>
      <w:r w:rsidR="00DA0DB1">
        <w:rPr>
          <w:i/>
          <w:iCs/>
        </w:rPr>
        <w:t>1</w:t>
      </w:r>
      <w:r w:rsidR="00A067A9">
        <w:rPr>
          <w:i/>
          <w:iCs/>
        </w:rPr>
        <w:t>)</w:t>
      </w:r>
      <w:r w:rsidR="002747A4">
        <w:t>.</w:t>
      </w:r>
    </w:p>
    <w:p w14:paraId="72AF5B5F" w14:textId="077D8743" w:rsidR="002747A4" w:rsidRPr="001D481D" w:rsidRDefault="002747A4" w:rsidP="003F3D15">
      <w:pPr>
        <w:keepNext/>
        <w:spacing w:before="240" w:after="240"/>
        <w:rPr>
          <w:rFonts w:ascii="Arial" w:hAnsi="Arial" w:cs="Arial"/>
          <w:b/>
          <w:bCs/>
        </w:rPr>
      </w:pPr>
      <w:r w:rsidRPr="001D481D">
        <w:rPr>
          <w:rFonts w:ascii="Arial" w:hAnsi="Arial" w:cs="Arial"/>
          <w:b/>
          <w:bCs/>
        </w:rPr>
        <w:t xml:space="preserve">Clause </w:t>
      </w:r>
      <w:r>
        <w:rPr>
          <w:rFonts w:ascii="Arial" w:hAnsi="Arial" w:cs="Arial"/>
          <w:b/>
          <w:bCs/>
        </w:rPr>
        <w:t>2</w:t>
      </w:r>
      <w:r w:rsidRPr="001D481D">
        <w:rPr>
          <w:rFonts w:ascii="Arial" w:hAnsi="Arial" w:cs="Arial"/>
          <w:b/>
          <w:bCs/>
        </w:rPr>
        <w:tab/>
      </w:r>
      <w:r w:rsidR="001750D5">
        <w:rPr>
          <w:rFonts w:ascii="Arial" w:hAnsi="Arial" w:cs="Arial"/>
          <w:b/>
          <w:bCs/>
        </w:rPr>
        <w:t>Commencement</w:t>
      </w:r>
    </w:p>
    <w:p w14:paraId="6BB6E54F" w14:textId="212C7E9C" w:rsidR="002747A4" w:rsidRDefault="001750D5" w:rsidP="001D481D">
      <w:pPr>
        <w:spacing w:before="140"/>
        <w:rPr>
          <w:color w:val="000000"/>
          <w:shd w:val="clear" w:color="auto" w:fill="FFFFFF"/>
        </w:rPr>
      </w:pPr>
      <w:r>
        <w:rPr>
          <w:color w:val="000000"/>
          <w:shd w:val="clear" w:color="auto" w:fill="FFFFFF"/>
        </w:rPr>
        <w:t xml:space="preserve">Clause 2 provides for the commencement of the </w:t>
      </w:r>
      <w:r w:rsidR="00546714">
        <w:rPr>
          <w:color w:val="000000"/>
          <w:shd w:val="clear" w:color="auto" w:fill="FFFFFF"/>
        </w:rPr>
        <w:t>R</w:t>
      </w:r>
      <w:r>
        <w:rPr>
          <w:color w:val="000000"/>
          <w:shd w:val="clear" w:color="auto" w:fill="FFFFFF"/>
        </w:rPr>
        <w:t>egulation on the day after its notification day.</w:t>
      </w:r>
    </w:p>
    <w:p w14:paraId="687D06AE" w14:textId="6E697F00" w:rsidR="001750D5" w:rsidRPr="001D481D" w:rsidRDefault="001750D5" w:rsidP="003F3D15">
      <w:pPr>
        <w:keepNext/>
        <w:spacing w:before="240" w:after="240"/>
        <w:rPr>
          <w:rFonts w:ascii="Arial" w:hAnsi="Arial" w:cs="Arial"/>
          <w:b/>
          <w:bCs/>
        </w:rPr>
      </w:pPr>
      <w:r w:rsidRPr="001D481D">
        <w:rPr>
          <w:rFonts w:ascii="Arial" w:hAnsi="Arial" w:cs="Arial"/>
          <w:b/>
          <w:bCs/>
        </w:rPr>
        <w:t xml:space="preserve">Clause </w:t>
      </w:r>
      <w:r>
        <w:rPr>
          <w:rFonts w:ascii="Arial" w:hAnsi="Arial" w:cs="Arial"/>
          <w:b/>
          <w:bCs/>
        </w:rPr>
        <w:t>3</w:t>
      </w:r>
      <w:r w:rsidRPr="001D481D">
        <w:rPr>
          <w:rFonts w:ascii="Arial" w:hAnsi="Arial" w:cs="Arial"/>
          <w:b/>
          <w:bCs/>
        </w:rPr>
        <w:tab/>
      </w:r>
      <w:r>
        <w:rPr>
          <w:rFonts w:ascii="Arial" w:hAnsi="Arial" w:cs="Arial"/>
          <w:b/>
          <w:bCs/>
        </w:rPr>
        <w:t xml:space="preserve">Legislation amended </w:t>
      </w:r>
    </w:p>
    <w:p w14:paraId="1F762B50" w14:textId="2E44A1AD" w:rsidR="001750D5" w:rsidRDefault="001750D5" w:rsidP="001750D5">
      <w:pPr>
        <w:spacing w:before="140"/>
      </w:pPr>
      <w:r>
        <w:rPr>
          <w:color w:val="000000"/>
          <w:shd w:val="clear" w:color="auto" w:fill="FFFFFF"/>
        </w:rPr>
        <w:t>Clause 3</w:t>
      </w:r>
      <w:r w:rsidRPr="001750D5">
        <w:rPr>
          <w:color w:val="000000"/>
          <w:shd w:val="clear" w:color="auto" w:fill="FFFFFF"/>
        </w:rPr>
        <w:t xml:space="preserve"> </w:t>
      </w:r>
      <w:r>
        <w:rPr>
          <w:color w:val="000000"/>
          <w:shd w:val="clear" w:color="auto" w:fill="FFFFFF"/>
        </w:rPr>
        <w:t xml:space="preserve">provides that the </w:t>
      </w:r>
      <w:r w:rsidR="00546714">
        <w:rPr>
          <w:color w:val="000000"/>
          <w:shd w:val="clear" w:color="auto" w:fill="FFFFFF"/>
        </w:rPr>
        <w:t>R</w:t>
      </w:r>
      <w:r>
        <w:rPr>
          <w:color w:val="000000"/>
          <w:shd w:val="clear" w:color="auto" w:fill="FFFFFF"/>
        </w:rPr>
        <w:t>egulation amends the</w:t>
      </w:r>
      <w:r w:rsidRPr="001750D5">
        <w:rPr>
          <w:i/>
          <w:iCs/>
        </w:rPr>
        <w:t xml:space="preserve"> </w:t>
      </w:r>
      <w:r w:rsidR="00A067A9">
        <w:rPr>
          <w:i/>
          <w:iCs/>
        </w:rPr>
        <w:t>Taxation Administration Regulation</w:t>
      </w:r>
      <w:r w:rsidR="002E1015">
        <w:rPr>
          <w:i/>
          <w:iCs/>
        </w:rPr>
        <w:t> </w:t>
      </w:r>
      <w:r w:rsidR="00A067A9">
        <w:rPr>
          <w:i/>
          <w:iCs/>
        </w:rPr>
        <w:t>2004</w:t>
      </w:r>
      <w:r>
        <w:t>.</w:t>
      </w:r>
    </w:p>
    <w:p w14:paraId="42784714" w14:textId="569B81A7" w:rsidR="001750D5" w:rsidRPr="001D481D" w:rsidRDefault="001750D5" w:rsidP="003F3D15">
      <w:pPr>
        <w:keepNext/>
        <w:spacing w:before="240" w:after="240"/>
        <w:rPr>
          <w:rFonts w:ascii="Arial" w:hAnsi="Arial" w:cs="Arial"/>
          <w:b/>
          <w:bCs/>
        </w:rPr>
      </w:pPr>
      <w:r w:rsidRPr="001D481D">
        <w:rPr>
          <w:rFonts w:ascii="Arial" w:hAnsi="Arial" w:cs="Arial"/>
          <w:b/>
          <w:bCs/>
        </w:rPr>
        <w:t xml:space="preserve">Clause </w:t>
      </w:r>
      <w:r>
        <w:rPr>
          <w:rFonts w:ascii="Arial" w:hAnsi="Arial" w:cs="Arial"/>
          <w:b/>
          <w:bCs/>
        </w:rPr>
        <w:t>4</w:t>
      </w:r>
      <w:r w:rsidRPr="001D481D">
        <w:rPr>
          <w:rFonts w:ascii="Arial" w:hAnsi="Arial" w:cs="Arial"/>
          <w:b/>
          <w:bCs/>
        </w:rPr>
        <w:tab/>
      </w:r>
      <w:r w:rsidRPr="001750D5">
        <w:rPr>
          <w:rFonts w:ascii="Arial" w:hAnsi="Arial" w:cs="Arial"/>
          <w:b/>
          <w:bCs/>
        </w:rPr>
        <w:t xml:space="preserve">New section </w:t>
      </w:r>
      <w:r w:rsidR="00A067A9">
        <w:rPr>
          <w:rFonts w:ascii="Arial" w:hAnsi="Arial" w:cs="Arial"/>
          <w:b/>
          <w:bCs/>
        </w:rPr>
        <w:t>4 (5A)</w:t>
      </w:r>
      <w:r w:rsidRPr="001750D5">
        <w:rPr>
          <w:rFonts w:ascii="Arial" w:hAnsi="Arial" w:cs="Arial"/>
          <w:b/>
          <w:bCs/>
        </w:rPr>
        <w:t xml:space="preserve"> </w:t>
      </w:r>
      <w:r>
        <w:rPr>
          <w:rFonts w:ascii="Arial" w:hAnsi="Arial" w:cs="Arial"/>
          <w:b/>
          <w:bCs/>
        </w:rPr>
        <w:t xml:space="preserve"> </w:t>
      </w:r>
    </w:p>
    <w:p w14:paraId="16D9EC7E" w14:textId="1406CCEC" w:rsidR="001750D5" w:rsidRPr="00993BF4" w:rsidRDefault="001750D5" w:rsidP="001750D5">
      <w:pPr>
        <w:spacing w:before="140"/>
        <w:rPr>
          <w:i/>
          <w:iCs/>
          <w:color w:val="000000"/>
          <w:shd w:val="clear" w:color="auto" w:fill="FFFFFF"/>
        </w:rPr>
      </w:pPr>
      <w:r>
        <w:rPr>
          <w:color w:val="000000"/>
          <w:shd w:val="clear" w:color="auto" w:fill="FFFFFF"/>
        </w:rPr>
        <w:t xml:space="preserve">Clause 4 inserts new </w:t>
      </w:r>
      <w:r w:rsidR="00684320">
        <w:rPr>
          <w:color w:val="000000"/>
          <w:shd w:val="clear" w:color="auto" w:fill="FFFFFF"/>
        </w:rPr>
        <w:t>section 4 (5A) to prescribe the Gambling and Racing Commission, a gaming officer, and</w:t>
      </w:r>
      <w:r w:rsidR="008E0558">
        <w:rPr>
          <w:color w:val="000000"/>
          <w:shd w:val="clear" w:color="auto" w:fill="FFFFFF"/>
        </w:rPr>
        <w:t xml:space="preserve"> the director-general</w:t>
      </w:r>
      <w:r w:rsidR="00684320">
        <w:rPr>
          <w:color w:val="000000"/>
          <w:shd w:val="clear" w:color="auto" w:fill="FFFFFF"/>
        </w:rPr>
        <w:t xml:space="preserve"> the administrative unit responsible for the </w:t>
      </w:r>
      <w:r w:rsidR="00684320">
        <w:rPr>
          <w:i/>
          <w:iCs/>
          <w:color w:val="000000"/>
          <w:shd w:val="clear" w:color="auto" w:fill="FFFFFF"/>
        </w:rPr>
        <w:t>Gambling and Racing Control Act 1999</w:t>
      </w:r>
      <w:r w:rsidR="00A47035">
        <w:rPr>
          <w:color w:val="000000"/>
          <w:shd w:val="clear" w:color="auto" w:fill="FFFFFF"/>
        </w:rPr>
        <w:t xml:space="preserve"> as persons to whom a tax officer may disclose information </w:t>
      </w:r>
      <w:r w:rsidR="006B459C">
        <w:rPr>
          <w:color w:val="000000"/>
          <w:shd w:val="clear" w:color="auto" w:fill="FFFFFF"/>
        </w:rPr>
        <w:t>obtained under or in relation to the administration of a tax law</w:t>
      </w:r>
      <w:r w:rsidR="00E00401">
        <w:rPr>
          <w:color w:val="000000"/>
          <w:shd w:val="clear" w:color="auto" w:fill="FFFFFF"/>
        </w:rPr>
        <w:t xml:space="preserve">. </w:t>
      </w:r>
      <w:r w:rsidR="00EB2826">
        <w:rPr>
          <w:color w:val="000000"/>
          <w:shd w:val="clear" w:color="auto" w:fill="FFFFFF"/>
        </w:rPr>
        <w:t xml:space="preserve">Permitted </w:t>
      </w:r>
      <w:r w:rsidR="00534A5C">
        <w:rPr>
          <w:color w:val="000000"/>
          <w:shd w:val="clear" w:color="auto" w:fill="FFFFFF"/>
        </w:rPr>
        <w:t>disclosure</w:t>
      </w:r>
      <w:r w:rsidR="00EB2826">
        <w:rPr>
          <w:color w:val="000000"/>
          <w:shd w:val="clear" w:color="auto" w:fill="FFFFFF"/>
        </w:rPr>
        <w:t>s</w:t>
      </w:r>
      <w:r w:rsidR="00534A5C">
        <w:rPr>
          <w:color w:val="000000"/>
          <w:shd w:val="clear" w:color="auto" w:fill="FFFFFF"/>
        </w:rPr>
        <w:t xml:space="preserve"> </w:t>
      </w:r>
      <w:r w:rsidR="00EB2826">
        <w:rPr>
          <w:color w:val="000000"/>
          <w:shd w:val="clear" w:color="auto" w:fill="FFFFFF"/>
        </w:rPr>
        <w:t>are</w:t>
      </w:r>
      <w:r w:rsidR="00534A5C">
        <w:rPr>
          <w:color w:val="000000"/>
          <w:shd w:val="clear" w:color="auto" w:fill="FFFFFF"/>
        </w:rPr>
        <w:t xml:space="preserve"> limited to information that </w:t>
      </w:r>
      <w:r w:rsidR="005C6CBB">
        <w:rPr>
          <w:color w:val="000000"/>
          <w:shd w:val="clear" w:color="auto" w:fill="FFFFFF"/>
        </w:rPr>
        <w:t>are</w:t>
      </w:r>
      <w:r w:rsidR="00534A5C">
        <w:rPr>
          <w:color w:val="000000"/>
          <w:shd w:val="clear" w:color="auto" w:fill="FFFFFF"/>
        </w:rPr>
        <w:t xml:space="preserve"> for the purpose of administering the </w:t>
      </w:r>
      <w:r w:rsidR="00993BF4">
        <w:rPr>
          <w:color w:val="000000"/>
          <w:shd w:val="clear" w:color="auto" w:fill="FFFFFF"/>
        </w:rPr>
        <w:t xml:space="preserve">voluntary surrender scheme under Part 2A of the </w:t>
      </w:r>
      <w:r w:rsidR="00993BF4">
        <w:rPr>
          <w:i/>
          <w:iCs/>
          <w:color w:val="000000"/>
          <w:shd w:val="clear" w:color="auto" w:fill="FFFFFF"/>
        </w:rPr>
        <w:t>Gaming Machine Act 2004</w:t>
      </w:r>
      <w:r w:rsidR="00993BF4" w:rsidRPr="00993BF4">
        <w:rPr>
          <w:color w:val="000000"/>
          <w:shd w:val="clear" w:color="auto" w:fill="FFFFFF"/>
        </w:rPr>
        <w:t>.</w:t>
      </w:r>
    </w:p>
    <w:p w14:paraId="31571DC2" w14:textId="140EB0BA" w:rsidR="00E1707D" w:rsidRPr="001D481D" w:rsidRDefault="00E1707D" w:rsidP="003F3D15">
      <w:pPr>
        <w:keepNext/>
        <w:spacing w:before="240" w:after="240"/>
        <w:rPr>
          <w:rFonts w:ascii="Arial" w:hAnsi="Arial" w:cs="Arial"/>
          <w:b/>
          <w:bCs/>
        </w:rPr>
      </w:pPr>
      <w:r w:rsidRPr="001D481D">
        <w:rPr>
          <w:rFonts w:ascii="Arial" w:hAnsi="Arial" w:cs="Arial"/>
          <w:b/>
          <w:bCs/>
        </w:rPr>
        <w:t xml:space="preserve">Clause </w:t>
      </w:r>
      <w:r>
        <w:rPr>
          <w:rFonts w:ascii="Arial" w:hAnsi="Arial" w:cs="Arial"/>
          <w:b/>
          <w:bCs/>
        </w:rPr>
        <w:t>5</w:t>
      </w:r>
      <w:r w:rsidRPr="001D481D">
        <w:rPr>
          <w:rFonts w:ascii="Arial" w:hAnsi="Arial" w:cs="Arial"/>
          <w:b/>
          <w:bCs/>
        </w:rPr>
        <w:tab/>
      </w:r>
      <w:r w:rsidR="00A87874">
        <w:rPr>
          <w:rFonts w:ascii="Arial" w:hAnsi="Arial" w:cs="Arial"/>
          <w:b/>
          <w:bCs/>
        </w:rPr>
        <w:t>Section 4 (6), new definitions</w:t>
      </w:r>
    </w:p>
    <w:p w14:paraId="3EFD53D9" w14:textId="4075F502" w:rsidR="001750D5" w:rsidRPr="00C00FE1" w:rsidRDefault="00E1707D" w:rsidP="00E1707D">
      <w:pPr>
        <w:spacing w:before="140"/>
      </w:pPr>
      <w:r>
        <w:rPr>
          <w:color w:val="000000"/>
          <w:shd w:val="clear" w:color="auto" w:fill="FFFFFF"/>
        </w:rPr>
        <w:t>Clause </w:t>
      </w:r>
      <w:r w:rsidR="004A6B56">
        <w:rPr>
          <w:color w:val="000000"/>
          <w:shd w:val="clear" w:color="auto" w:fill="FFFFFF"/>
        </w:rPr>
        <w:t>5</w:t>
      </w:r>
      <w:r>
        <w:rPr>
          <w:color w:val="000000"/>
          <w:shd w:val="clear" w:color="auto" w:fill="FFFFFF"/>
        </w:rPr>
        <w:t xml:space="preserve"> </w:t>
      </w:r>
      <w:r w:rsidR="00A87874">
        <w:rPr>
          <w:color w:val="000000"/>
          <w:shd w:val="clear" w:color="auto" w:fill="FFFFFF"/>
        </w:rPr>
        <w:t>inserts</w:t>
      </w:r>
      <w:r w:rsidR="00491389">
        <w:rPr>
          <w:color w:val="000000"/>
          <w:shd w:val="clear" w:color="auto" w:fill="FFFFFF"/>
        </w:rPr>
        <w:t xml:space="preserve"> signpost</w:t>
      </w:r>
      <w:r w:rsidR="00995284">
        <w:rPr>
          <w:color w:val="000000"/>
          <w:shd w:val="clear" w:color="auto" w:fill="FFFFFF"/>
        </w:rPr>
        <w:t xml:space="preserve"> definitions for the terms ‘commission’ and ‘gaming officer’</w:t>
      </w:r>
      <w:r w:rsidR="004A6B56">
        <w:rPr>
          <w:i/>
          <w:iCs/>
          <w:color w:val="000000"/>
          <w:shd w:val="clear" w:color="auto" w:fill="FFFFFF"/>
        </w:rPr>
        <w:t>.</w:t>
      </w:r>
      <w:r w:rsidR="004A6B56">
        <w:rPr>
          <w:color w:val="000000"/>
          <w:shd w:val="clear" w:color="auto" w:fill="FFFFFF"/>
        </w:rPr>
        <w:t xml:space="preserve"> </w:t>
      </w:r>
      <w:r w:rsidR="00491389">
        <w:rPr>
          <w:color w:val="000000"/>
          <w:shd w:val="clear" w:color="auto" w:fill="FFFFFF"/>
        </w:rPr>
        <w:t xml:space="preserve">These terms </w:t>
      </w:r>
      <w:r w:rsidR="00C00FE1">
        <w:rPr>
          <w:color w:val="000000"/>
          <w:shd w:val="clear" w:color="auto" w:fill="FFFFFF"/>
        </w:rPr>
        <w:t xml:space="preserve">are defined in the </w:t>
      </w:r>
      <w:r w:rsidR="00C00FE1">
        <w:rPr>
          <w:i/>
          <w:iCs/>
          <w:color w:val="000000"/>
          <w:shd w:val="clear" w:color="auto" w:fill="FFFFFF"/>
        </w:rPr>
        <w:t>Gambling and Racing Control Act 1999</w:t>
      </w:r>
      <w:r w:rsidR="00C00FE1">
        <w:rPr>
          <w:color w:val="000000"/>
          <w:shd w:val="clear" w:color="auto" w:fill="FFFFFF"/>
        </w:rPr>
        <w:t>.</w:t>
      </w:r>
    </w:p>
    <w:sectPr w:rsidR="001750D5" w:rsidRPr="00C00FE1" w:rsidSect="00380CB4">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0D82" w14:textId="77777777" w:rsidR="0006198C" w:rsidRDefault="0006198C" w:rsidP="00F10CB2">
      <w:r>
        <w:separator/>
      </w:r>
    </w:p>
  </w:endnote>
  <w:endnote w:type="continuationSeparator" w:id="0">
    <w:p w14:paraId="503855AC" w14:textId="77777777" w:rsidR="0006198C" w:rsidRDefault="0006198C"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760C"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228" w14:textId="4C9D642E" w:rsidR="00704DC3" w:rsidRPr="000D4B2A" w:rsidRDefault="000D4B2A" w:rsidP="000D4B2A">
    <w:pPr>
      <w:pStyle w:val="Footer"/>
      <w:jc w:val="center"/>
      <w:rPr>
        <w:rFonts w:cs="Arial"/>
        <w:sz w:val="14"/>
      </w:rPr>
    </w:pPr>
    <w:r w:rsidRPr="000D4B2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0A22"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EB3E" w14:textId="77777777" w:rsidR="0006198C" w:rsidRDefault="0006198C" w:rsidP="00F10CB2">
      <w:r>
        <w:separator/>
      </w:r>
    </w:p>
  </w:footnote>
  <w:footnote w:type="continuationSeparator" w:id="0">
    <w:p w14:paraId="4ECF8712" w14:textId="77777777" w:rsidR="0006198C" w:rsidRDefault="0006198C"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E35E"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ACAC"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D9F1"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571766070">
    <w:abstractNumId w:val="2"/>
  </w:num>
  <w:num w:numId="2" w16cid:durableId="1123185387">
    <w:abstractNumId w:val="0"/>
  </w:num>
  <w:num w:numId="3" w16cid:durableId="1556695274">
    <w:abstractNumId w:val="3"/>
  </w:num>
  <w:num w:numId="4" w16cid:durableId="1312171949">
    <w:abstractNumId w:val="7"/>
  </w:num>
  <w:num w:numId="5" w16cid:durableId="83844083">
    <w:abstractNumId w:val="8"/>
  </w:num>
  <w:num w:numId="6" w16cid:durableId="1141654512">
    <w:abstractNumId w:val="1"/>
  </w:num>
  <w:num w:numId="7" w16cid:durableId="1093627604">
    <w:abstractNumId w:val="5"/>
  </w:num>
  <w:num w:numId="8" w16cid:durableId="1024790815">
    <w:abstractNumId w:val="6"/>
  </w:num>
  <w:num w:numId="9" w16cid:durableId="133950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6198C"/>
    <w:rsid w:val="000A1A69"/>
    <w:rsid w:val="000A79B8"/>
    <w:rsid w:val="000B2F27"/>
    <w:rsid w:val="000D4B2A"/>
    <w:rsid w:val="000E1732"/>
    <w:rsid w:val="0013097A"/>
    <w:rsid w:val="001750D5"/>
    <w:rsid w:val="00184D69"/>
    <w:rsid w:val="00194AC7"/>
    <w:rsid w:val="001B0725"/>
    <w:rsid w:val="001D481D"/>
    <w:rsid w:val="001E536E"/>
    <w:rsid w:val="00214F50"/>
    <w:rsid w:val="00216B3D"/>
    <w:rsid w:val="00232478"/>
    <w:rsid w:val="00254DAC"/>
    <w:rsid w:val="002747A4"/>
    <w:rsid w:val="002E1015"/>
    <w:rsid w:val="002E768D"/>
    <w:rsid w:val="002F2625"/>
    <w:rsid w:val="002F4472"/>
    <w:rsid w:val="0030233C"/>
    <w:rsid w:val="0031337E"/>
    <w:rsid w:val="00342B86"/>
    <w:rsid w:val="00346D32"/>
    <w:rsid w:val="00380CB4"/>
    <w:rsid w:val="003D1AAB"/>
    <w:rsid w:val="003E33CA"/>
    <w:rsid w:val="003E6F5E"/>
    <w:rsid w:val="003F3BDE"/>
    <w:rsid w:val="003F3D15"/>
    <w:rsid w:val="00432C84"/>
    <w:rsid w:val="00491389"/>
    <w:rsid w:val="004A6B56"/>
    <w:rsid w:val="004C56D9"/>
    <w:rsid w:val="004E7B06"/>
    <w:rsid w:val="005047D4"/>
    <w:rsid w:val="00534A5C"/>
    <w:rsid w:val="00534D43"/>
    <w:rsid w:val="00546714"/>
    <w:rsid w:val="00596737"/>
    <w:rsid w:val="005C6CBB"/>
    <w:rsid w:val="006072FB"/>
    <w:rsid w:val="006145FF"/>
    <w:rsid w:val="00627F0C"/>
    <w:rsid w:val="00637C48"/>
    <w:rsid w:val="00664C55"/>
    <w:rsid w:val="00667281"/>
    <w:rsid w:val="00684320"/>
    <w:rsid w:val="006930F3"/>
    <w:rsid w:val="006B170B"/>
    <w:rsid w:val="006B459C"/>
    <w:rsid w:val="006C5CD3"/>
    <w:rsid w:val="006F1850"/>
    <w:rsid w:val="006F5DD4"/>
    <w:rsid w:val="00704DC3"/>
    <w:rsid w:val="0072003E"/>
    <w:rsid w:val="00744241"/>
    <w:rsid w:val="007461ED"/>
    <w:rsid w:val="00776B96"/>
    <w:rsid w:val="00781C67"/>
    <w:rsid w:val="00823C44"/>
    <w:rsid w:val="008347C6"/>
    <w:rsid w:val="008353B8"/>
    <w:rsid w:val="0084743B"/>
    <w:rsid w:val="00860F72"/>
    <w:rsid w:val="008912AF"/>
    <w:rsid w:val="008E0558"/>
    <w:rsid w:val="008E15A1"/>
    <w:rsid w:val="00941031"/>
    <w:rsid w:val="00956717"/>
    <w:rsid w:val="00960114"/>
    <w:rsid w:val="00993BF4"/>
    <w:rsid w:val="00995284"/>
    <w:rsid w:val="009D39C7"/>
    <w:rsid w:val="00A0585C"/>
    <w:rsid w:val="00A067A9"/>
    <w:rsid w:val="00A47035"/>
    <w:rsid w:val="00A52135"/>
    <w:rsid w:val="00A640B5"/>
    <w:rsid w:val="00A87874"/>
    <w:rsid w:val="00A940B6"/>
    <w:rsid w:val="00AB1743"/>
    <w:rsid w:val="00AC344A"/>
    <w:rsid w:val="00B1736F"/>
    <w:rsid w:val="00B30B9A"/>
    <w:rsid w:val="00BA27AF"/>
    <w:rsid w:val="00BA52F5"/>
    <w:rsid w:val="00BB241F"/>
    <w:rsid w:val="00BD44B8"/>
    <w:rsid w:val="00BF3F55"/>
    <w:rsid w:val="00C00FE1"/>
    <w:rsid w:val="00C032F2"/>
    <w:rsid w:val="00C33592"/>
    <w:rsid w:val="00C366DD"/>
    <w:rsid w:val="00C403BD"/>
    <w:rsid w:val="00C41B1B"/>
    <w:rsid w:val="00C67F84"/>
    <w:rsid w:val="00C77B6B"/>
    <w:rsid w:val="00CA13C7"/>
    <w:rsid w:val="00CD4E55"/>
    <w:rsid w:val="00D23A0D"/>
    <w:rsid w:val="00D47F13"/>
    <w:rsid w:val="00D54E49"/>
    <w:rsid w:val="00D87C6C"/>
    <w:rsid w:val="00DA0DB1"/>
    <w:rsid w:val="00DA13B3"/>
    <w:rsid w:val="00DC7948"/>
    <w:rsid w:val="00E00401"/>
    <w:rsid w:val="00E05C38"/>
    <w:rsid w:val="00E1707D"/>
    <w:rsid w:val="00E4714E"/>
    <w:rsid w:val="00E542F2"/>
    <w:rsid w:val="00E556F2"/>
    <w:rsid w:val="00E734E9"/>
    <w:rsid w:val="00E86635"/>
    <w:rsid w:val="00EB2826"/>
    <w:rsid w:val="00F05299"/>
    <w:rsid w:val="00F10CB2"/>
    <w:rsid w:val="00F15AC3"/>
    <w:rsid w:val="00F372AC"/>
    <w:rsid w:val="00F65B42"/>
    <w:rsid w:val="00F77406"/>
    <w:rsid w:val="00FC6CED"/>
    <w:rsid w:val="00FF3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3A8C"/>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character" w:styleId="CommentReference">
    <w:name w:val="annotation reference"/>
    <w:basedOn w:val="DefaultParagraphFont"/>
    <w:uiPriority w:val="99"/>
    <w:semiHidden/>
    <w:unhideWhenUsed/>
    <w:rsid w:val="00664C55"/>
    <w:rPr>
      <w:sz w:val="16"/>
      <w:szCs w:val="16"/>
    </w:rPr>
  </w:style>
  <w:style w:type="paragraph" w:styleId="CommentText">
    <w:name w:val="annotation text"/>
    <w:basedOn w:val="Normal"/>
    <w:link w:val="CommentTextChar"/>
    <w:uiPriority w:val="99"/>
    <w:unhideWhenUsed/>
    <w:rsid w:val="00664C55"/>
    <w:rPr>
      <w:sz w:val="20"/>
    </w:rPr>
  </w:style>
  <w:style w:type="character" w:customStyle="1" w:styleId="CommentTextChar">
    <w:name w:val="Comment Text Char"/>
    <w:basedOn w:val="DefaultParagraphFont"/>
    <w:link w:val="CommentText"/>
    <w:uiPriority w:val="99"/>
    <w:rsid w:val="00664C55"/>
    <w:rPr>
      <w:lang w:eastAsia="en-US"/>
    </w:rPr>
  </w:style>
  <w:style w:type="paragraph" w:styleId="CommentSubject">
    <w:name w:val="annotation subject"/>
    <w:basedOn w:val="CommentText"/>
    <w:next w:val="CommentText"/>
    <w:link w:val="CommentSubjectChar"/>
    <w:uiPriority w:val="99"/>
    <w:semiHidden/>
    <w:unhideWhenUsed/>
    <w:rsid w:val="00664C55"/>
    <w:rPr>
      <w:b/>
      <w:bCs/>
    </w:rPr>
  </w:style>
  <w:style w:type="character" w:customStyle="1" w:styleId="CommentSubjectChar">
    <w:name w:val="Comment Subject Char"/>
    <w:basedOn w:val="CommentTextChar"/>
    <w:link w:val="CommentSubject"/>
    <w:uiPriority w:val="99"/>
    <w:semiHidden/>
    <w:rsid w:val="00664C55"/>
    <w:rPr>
      <w:b/>
      <w:bCs/>
      <w:lang w:eastAsia="en-US"/>
    </w:rPr>
  </w:style>
  <w:style w:type="paragraph" w:styleId="Revision">
    <w:name w:val="Revision"/>
    <w:hidden/>
    <w:uiPriority w:val="99"/>
    <w:semiHidden/>
    <w:rsid w:val="007461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00614">
      <w:bodyDiv w:val="1"/>
      <w:marLeft w:val="0"/>
      <w:marRight w:val="0"/>
      <w:marTop w:val="0"/>
      <w:marBottom w:val="0"/>
      <w:divBdr>
        <w:top w:val="none" w:sz="0" w:space="0" w:color="auto"/>
        <w:left w:val="none" w:sz="0" w:space="0" w:color="auto"/>
        <w:bottom w:val="none" w:sz="0" w:space="0" w:color="auto"/>
        <w:right w:val="none" w:sz="0" w:space="0" w:color="auto"/>
      </w:divBdr>
    </w:div>
    <w:div w:id="4381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D834-DC11-469C-9328-38A4C876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5971</Characters>
  <Application>Microsoft Office Word</Application>
  <DocSecurity>0</DocSecurity>
  <Lines>113</Lines>
  <Paragraphs>35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2024-09-12T06:30:00Z</cp:lastPrinted>
  <dcterms:created xsi:type="dcterms:W3CDTF">2024-09-12T06:35:00Z</dcterms:created>
  <dcterms:modified xsi:type="dcterms:W3CDTF">2024-09-12T06:35:00Z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2024-05-06T05:04:54Z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0ec41232-b342-4553-a2c6-0a2b17bbb15e</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13155186</vt:lpwstr>
  </property>
  <property fmtid="{D5CDD505-2E9C-101B-9397-08002B2CF9AE}" pid="11" name="JMSREQUIREDCHECKIN">
    <vt:lpwstr/>
  </property>
</Properties>
</file>