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A2FF" w14:textId="77777777" w:rsidR="00CE300B" w:rsidRDefault="00CE300B" w:rsidP="00CE300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012D9DC" w14:textId="7738D43B" w:rsidR="004700D6" w:rsidRDefault="004700D6" w:rsidP="004700D6">
      <w:pPr>
        <w:pStyle w:val="Billname"/>
        <w:spacing w:before="700"/>
      </w:pPr>
      <w:r>
        <w:t>Major Events (</w:t>
      </w:r>
      <w:r w:rsidR="00EA6628">
        <w:t>Royal Visit to Canberra</w:t>
      </w:r>
      <w:r>
        <w:t xml:space="preserve">) </w:t>
      </w:r>
      <w:r w:rsidR="00EA6628">
        <w:t>Declaration</w:t>
      </w:r>
      <w:r>
        <w:t xml:space="preserve"> 202</w:t>
      </w:r>
      <w:r w:rsidR="00217254">
        <w:t>4</w:t>
      </w:r>
      <w:r>
        <w:t xml:space="preserve"> </w:t>
      </w:r>
    </w:p>
    <w:p w14:paraId="1FADA0A6" w14:textId="56F52D33" w:rsidR="00CE300B" w:rsidRDefault="00CE300B" w:rsidP="00CE300B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</w:t>
      </w:r>
      <w:r w:rsidR="00201ECA">
        <w:rPr>
          <w:rFonts w:ascii="Arial" w:hAnsi="Arial" w:cs="Arial"/>
          <w:b/>
          <w:bCs/>
          <w:iCs/>
        </w:rPr>
        <w:t>2</w:t>
      </w:r>
      <w:r w:rsidR="00217254">
        <w:rPr>
          <w:rFonts w:ascii="Arial" w:hAnsi="Arial" w:cs="Arial"/>
          <w:b/>
          <w:bCs/>
          <w:iCs/>
        </w:rPr>
        <w:t>4</w:t>
      </w:r>
      <w:r w:rsidR="00172D34">
        <w:rPr>
          <w:rFonts w:ascii="Arial" w:hAnsi="Arial" w:cs="Arial"/>
          <w:b/>
          <w:bCs/>
        </w:rPr>
        <w:t>-</w:t>
      </w:r>
      <w:r w:rsidR="00987672">
        <w:rPr>
          <w:rFonts w:ascii="Arial" w:hAnsi="Arial" w:cs="Arial"/>
          <w:b/>
          <w:bCs/>
        </w:rPr>
        <w:t>297</w:t>
      </w:r>
    </w:p>
    <w:p w14:paraId="62F8D499" w14:textId="77777777" w:rsidR="00CE300B" w:rsidRDefault="00CE300B" w:rsidP="00CE300B">
      <w:pPr>
        <w:pStyle w:val="madeunder"/>
        <w:spacing w:before="240" w:after="120"/>
      </w:pPr>
      <w:r>
        <w:t xml:space="preserve">made under the  </w:t>
      </w:r>
    </w:p>
    <w:p w14:paraId="7F00D8AE" w14:textId="45D363C4" w:rsidR="00CE300B" w:rsidRDefault="00CE300B" w:rsidP="00CE300B">
      <w:pPr>
        <w:pStyle w:val="CoverActName"/>
        <w:rPr>
          <w:rFonts w:cs="Arial"/>
          <w:sz w:val="20"/>
        </w:rPr>
      </w:pPr>
      <w:r>
        <w:rPr>
          <w:rFonts w:cs="Arial"/>
          <w:sz w:val="20"/>
        </w:rPr>
        <w:t>Major Events Act 2014, s</w:t>
      </w:r>
      <w:r w:rsidR="00ED76BE">
        <w:rPr>
          <w:rFonts w:cs="Arial"/>
          <w:sz w:val="20"/>
        </w:rPr>
        <w:t xml:space="preserve">ection </w:t>
      </w:r>
      <w:r w:rsidR="00EA6628">
        <w:rPr>
          <w:rFonts w:cs="Arial"/>
          <w:sz w:val="20"/>
        </w:rPr>
        <w:t>6</w:t>
      </w:r>
      <w:r>
        <w:rPr>
          <w:rFonts w:cs="Arial"/>
          <w:sz w:val="20"/>
        </w:rPr>
        <w:t xml:space="preserve"> (</w:t>
      </w:r>
      <w:r w:rsidR="00EA6628">
        <w:rPr>
          <w:rFonts w:cs="Arial"/>
          <w:sz w:val="20"/>
        </w:rPr>
        <w:t>Major</w:t>
      </w:r>
      <w:r w:rsidR="00CE4008">
        <w:rPr>
          <w:rFonts w:cs="Arial"/>
          <w:sz w:val="20"/>
        </w:rPr>
        <w:t xml:space="preserve"> event</w:t>
      </w:r>
      <w:r w:rsidR="00482147">
        <w:rPr>
          <w:rFonts w:cs="Arial"/>
          <w:sz w:val="20"/>
        </w:rPr>
        <w:t xml:space="preserve"> - </w:t>
      </w:r>
      <w:r w:rsidR="00EA6628">
        <w:rPr>
          <w:rFonts w:cs="Arial"/>
          <w:sz w:val="20"/>
        </w:rPr>
        <w:t>declaration</w:t>
      </w:r>
      <w:r>
        <w:rPr>
          <w:rFonts w:cs="Arial"/>
          <w:sz w:val="20"/>
        </w:rPr>
        <w:t>)</w:t>
      </w:r>
    </w:p>
    <w:p w14:paraId="5E858904" w14:textId="77777777" w:rsidR="00CE300B" w:rsidRDefault="00CE300B" w:rsidP="00CE300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3E63765" w14:textId="77777777" w:rsidR="00CE300B" w:rsidRDefault="00CE300B" w:rsidP="00CE300B">
      <w:pPr>
        <w:pStyle w:val="N-line3"/>
        <w:pBdr>
          <w:bottom w:val="none" w:sz="0" w:space="0" w:color="auto"/>
        </w:pBdr>
      </w:pPr>
    </w:p>
    <w:p w14:paraId="71E7E878" w14:textId="77777777" w:rsidR="00CE300B" w:rsidRDefault="00CE300B" w:rsidP="00CE300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632A1195" w14:textId="3EA24268" w:rsidR="000D36CD" w:rsidRPr="000D36CD" w:rsidRDefault="00666808" w:rsidP="000D36CD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>
        <w:rPr>
          <w:rFonts w:asciiTheme="minorHAnsi" w:hAnsiTheme="minorHAnsi" w:cs="Calibri"/>
          <w:color w:val="000000"/>
          <w:szCs w:val="24"/>
        </w:rPr>
        <w:t>Division 2.</w:t>
      </w:r>
      <w:r w:rsidR="00EA6628">
        <w:rPr>
          <w:rFonts w:asciiTheme="minorHAnsi" w:hAnsiTheme="minorHAnsi" w:cs="Calibri"/>
          <w:color w:val="000000"/>
          <w:szCs w:val="24"/>
        </w:rPr>
        <w:t>1</w:t>
      </w:r>
      <w:r w:rsidR="00ED768D">
        <w:rPr>
          <w:rFonts w:asciiTheme="minorHAnsi" w:hAnsiTheme="minorHAnsi" w:cs="Calibri"/>
          <w:color w:val="000000"/>
          <w:szCs w:val="24"/>
        </w:rPr>
        <w:t xml:space="preserve"> of </w:t>
      </w:r>
      <w:r w:rsidR="00ED768D" w:rsidRPr="00F64BA0">
        <w:rPr>
          <w:rFonts w:asciiTheme="minorHAnsi" w:hAnsiTheme="minorHAnsi" w:cs="Calibri"/>
          <w:color w:val="000000"/>
          <w:szCs w:val="24"/>
        </w:rPr>
        <w:t>the </w:t>
      </w:r>
      <w:r w:rsidR="00ED768D" w:rsidRPr="00F64BA0">
        <w:rPr>
          <w:rFonts w:asciiTheme="minorHAnsi" w:hAnsiTheme="minorHAnsi" w:cs="Calibri"/>
          <w:i/>
          <w:iCs/>
          <w:color w:val="000000"/>
          <w:szCs w:val="24"/>
        </w:rPr>
        <w:t>Major Events Act 2014 </w:t>
      </w:r>
      <w:r w:rsidR="00ED768D" w:rsidRPr="00F64BA0">
        <w:rPr>
          <w:rFonts w:asciiTheme="minorHAnsi" w:hAnsiTheme="minorHAnsi" w:cs="Calibri"/>
          <w:color w:val="000000"/>
          <w:szCs w:val="24"/>
        </w:rPr>
        <w:t>(the Act)</w:t>
      </w:r>
      <w:r w:rsidR="00ED768D">
        <w:rPr>
          <w:rFonts w:asciiTheme="minorHAnsi" w:hAnsiTheme="minorHAnsi" w:cs="Calibri"/>
          <w:color w:val="000000"/>
          <w:szCs w:val="24"/>
        </w:rPr>
        <w:t xml:space="preserve"> permits the </w:t>
      </w:r>
      <w:r w:rsidR="00EA6628">
        <w:rPr>
          <w:rFonts w:asciiTheme="minorHAnsi" w:hAnsiTheme="minorHAnsi" w:cs="Calibri"/>
          <w:color w:val="000000"/>
          <w:szCs w:val="24"/>
        </w:rPr>
        <w:t xml:space="preserve">Executive </w:t>
      </w:r>
      <w:r w:rsidR="00ED768D">
        <w:rPr>
          <w:rFonts w:asciiTheme="minorHAnsi" w:hAnsiTheme="minorHAnsi" w:cs="Calibri"/>
          <w:color w:val="000000"/>
          <w:szCs w:val="24"/>
        </w:rPr>
        <w:t xml:space="preserve">to </w:t>
      </w:r>
      <w:r w:rsidR="00EA6628">
        <w:rPr>
          <w:rFonts w:asciiTheme="minorHAnsi" w:hAnsiTheme="minorHAnsi" w:cs="Calibri"/>
          <w:color w:val="000000"/>
          <w:szCs w:val="24"/>
        </w:rPr>
        <w:t>declare</w:t>
      </w:r>
      <w:r w:rsidR="000D36CD">
        <w:rPr>
          <w:rFonts w:asciiTheme="minorHAnsi" w:hAnsiTheme="minorHAnsi" w:cs="Calibri"/>
          <w:color w:val="000000"/>
          <w:szCs w:val="24"/>
        </w:rPr>
        <w:t xml:space="preserve"> that an event is </w:t>
      </w:r>
      <w:r w:rsidR="00EA6628">
        <w:rPr>
          <w:rFonts w:asciiTheme="minorHAnsi" w:hAnsiTheme="minorHAnsi" w:cs="Calibri"/>
          <w:color w:val="000000"/>
          <w:szCs w:val="24"/>
        </w:rPr>
        <w:t>major</w:t>
      </w:r>
      <w:r w:rsidR="000D36CD">
        <w:rPr>
          <w:rFonts w:asciiTheme="minorHAnsi" w:hAnsiTheme="minorHAnsi" w:cs="Calibri"/>
          <w:color w:val="000000"/>
          <w:szCs w:val="24"/>
        </w:rPr>
        <w:t xml:space="preserve"> event if satisfied</w:t>
      </w:r>
      <w:r w:rsidR="000D36CD" w:rsidRPr="000D36CD">
        <w:rPr>
          <w:rFonts w:asciiTheme="minorHAnsi" w:hAnsiTheme="minorHAnsi" w:cs="Calibri"/>
          <w:color w:val="000000"/>
          <w:szCs w:val="24"/>
        </w:rPr>
        <w:t>—</w:t>
      </w:r>
    </w:p>
    <w:p w14:paraId="5FF1781D" w14:textId="77777777" w:rsidR="000D36CD" w:rsidRPr="000D36CD" w:rsidRDefault="000D36CD" w:rsidP="000D36CD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</w:p>
    <w:p w14:paraId="1C47B116" w14:textId="309D6468" w:rsidR="00EA6628" w:rsidRPr="00EA6628" w:rsidRDefault="00EA6628" w:rsidP="00EA662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asciiTheme="minorHAnsi" w:hAnsiTheme="minorHAnsi" w:cs="Calibri"/>
          <w:color w:val="000000"/>
          <w:szCs w:val="24"/>
        </w:rPr>
      </w:pPr>
      <w:r>
        <w:rPr>
          <w:rFonts w:asciiTheme="minorHAnsi" w:hAnsiTheme="minorHAnsi" w:cs="Calibri"/>
          <w:color w:val="000000"/>
          <w:szCs w:val="24"/>
        </w:rPr>
        <w:t>t</w:t>
      </w:r>
      <w:r w:rsidRPr="00EA6628">
        <w:rPr>
          <w:rFonts w:asciiTheme="minorHAnsi" w:hAnsiTheme="minorHAnsi" w:cs="Calibri"/>
          <w:color w:val="000000"/>
          <w:szCs w:val="24"/>
        </w:rPr>
        <w:t>hat the event is a major event at an international, national, State or Territory level; and</w:t>
      </w:r>
    </w:p>
    <w:p w14:paraId="0249378D" w14:textId="22F96EDF" w:rsidR="00EA6628" w:rsidRPr="00EA6628" w:rsidRDefault="00EA6628" w:rsidP="00EA662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asciiTheme="minorHAnsi" w:hAnsiTheme="minorHAnsi" w:cs="Calibri"/>
          <w:color w:val="000000"/>
          <w:szCs w:val="24"/>
        </w:rPr>
      </w:pPr>
      <w:r w:rsidRPr="00EA6628">
        <w:rPr>
          <w:rFonts w:asciiTheme="minorHAnsi" w:hAnsiTheme="minorHAnsi" w:cs="Calibri"/>
          <w:color w:val="000000"/>
          <w:szCs w:val="24"/>
        </w:rPr>
        <w:t>it is in the public interest to do so; and</w:t>
      </w:r>
    </w:p>
    <w:p w14:paraId="308B302E" w14:textId="54F1E299" w:rsidR="00ED768D" w:rsidRPr="000D36CD" w:rsidRDefault="00EA6628" w:rsidP="00EA662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="Calibri"/>
          <w:color w:val="000000"/>
          <w:szCs w:val="24"/>
        </w:rPr>
      </w:pPr>
      <w:r w:rsidRPr="00EA6628">
        <w:rPr>
          <w:rFonts w:asciiTheme="minorHAnsi" w:hAnsiTheme="minorHAnsi" w:cs="Calibri"/>
          <w:color w:val="000000"/>
          <w:szCs w:val="24"/>
        </w:rPr>
        <w:t>on reasonable grounds it is necessary and appropriate to do so.</w:t>
      </w:r>
    </w:p>
    <w:p w14:paraId="36B4E631" w14:textId="05435293" w:rsidR="00ED768D" w:rsidRDefault="005E39D7" w:rsidP="00F64BA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>
        <w:rPr>
          <w:rFonts w:asciiTheme="minorHAnsi" w:hAnsiTheme="minorHAnsi" w:cs="Calibri"/>
          <w:color w:val="000000"/>
          <w:szCs w:val="24"/>
        </w:rPr>
        <w:t xml:space="preserve">The </w:t>
      </w:r>
      <w:r w:rsidR="00EA6628">
        <w:rPr>
          <w:rFonts w:asciiTheme="minorHAnsi" w:hAnsiTheme="minorHAnsi" w:cs="Calibri"/>
          <w:color w:val="000000"/>
          <w:szCs w:val="24"/>
        </w:rPr>
        <w:t>Executive</w:t>
      </w:r>
      <w:r>
        <w:rPr>
          <w:rFonts w:asciiTheme="minorHAnsi" w:hAnsiTheme="minorHAnsi" w:cs="Calibri"/>
          <w:color w:val="000000"/>
          <w:szCs w:val="24"/>
        </w:rPr>
        <w:t xml:space="preserve"> is satisfied the events listed in the instrument meet th</w:t>
      </w:r>
      <w:r w:rsidR="00EA6628">
        <w:rPr>
          <w:rFonts w:asciiTheme="minorHAnsi" w:hAnsiTheme="minorHAnsi" w:cs="Calibri"/>
          <w:color w:val="000000"/>
          <w:szCs w:val="24"/>
        </w:rPr>
        <w:t>ese</w:t>
      </w:r>
      <w:r w:rsidR="00BE2BCF">
        <w:rPr>
          <w:rFonts w:asciiTheme="minorHAnsi" w:hAnsiTheme="minorHAnsi" w:cs="Calibri"/>
          <w:color w:val="000000"/>
          <w:szCs w:val="24"/>
        </w:rPr>
        <w:t xml:space="preserve"> criteria.</w:t>
      </w:r>
      <w:r w:rsidR="00EA6628">
        <w:rPr>
          <w:rFonts w:asciiTheme="minorHAnsi" w:hAnsiTheme="minorHAnsi" w:cs="Calibri"/>
          <w:color w:val="000000"/>
          <w:szCs w:val="24"/>
        </w:rPr>
        <w:t xml:space="preserve"> </w:t>
      </w:r>
    </w:p>
    <w:p w14:paraId="340B624C" w14:textId="77777777" w:rsidR="005E39D7" w:rsidRDefault="005E39D7" w:rsidP="00F64BA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</w:p>
    <w:p w14:paraId="161DB202" w14:textId="6E0D585B" w:rsidR="00EA6628" w:rsidRDefault="00EA6628" w:rsidP="00EA6628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 w:rsidRPr="00EA6628">
        <w:rPr>
          <w:rFonts w:asciiTheme="minorHAnsi" w:hAnsiTheme="minorHAnsi" w:cs="Calibri"/>
          <w:color w:val="000000"/>
          <w:szCs w:val="24"/>
        </w:rPr>
        <w:t>Their Majesties The King</w:t>
      </w:r>
      <w:r>
        <w:rPr>
          <w:rFonts w:asciiTheme="minorHAnsi" w:hAnsiTheme="minorHAnsi" w:cs="Calibri"/>
          <w:color w:val="000000"/>
          <w:szCs w:val="24"/>
        </w:rPr>
        <w:t xml:space="preserve"> Charles III, Head of State,</w:t>
      </w:r>
      <w:r w:rsidRPr="00EA6628">
        <w:rPr>
          <w:rFonts w:asciiTheme="minorHAnsi" w:hAnsiTheme="minorHAnsi" w:cs="Calibri"/>
          <w:color w:val="000000"/>
          <w:szCs w:val="24"/>
        </w:rPr>
        <w:t xml:space="preserve"> and Queen</w:t>
      </w:r>
      <w:r>
        <w:rPr>
          <w:rFonts w:asciiTheme="minorHAnsi" w:hAnsiTheme="minorHAnsi" w:cs="Calibri"/>
          <w:color w:val="000000"/>
          <w:szCs w:val="24"/>
        </w:rPr>
        <w:t xml:space="preserve"> Camilla</w:t>
      </w:r>
      <w:r w:rsidRPr="00EA6628">
        <w:rPr>
          <w:rFonts w:asciiTheme="minorHAnsi" w:hAnsiTheme="minorHAnsi" w:cs="Calibri"/>
          <w:color w:val="000000"/>
          <w:szCs w:val="24"/>
        </w:rPr>
        <w:t xml:space="preserve"> (Their Majesties) will tour Australia from 18 to 23 October 2024, including visits to New South Wales (NSW) and the </w:t>
      </w:r>
      <w:r>
        <w:rPr>
          <w:rFonts w:asciiTheme="minorHAnsi" w:hAnsiTheme="minorHAnsi" w:cs="Calibri"/>
          <w:color w:val="000000"/>
          <w:szCs w:val="24"/>
        </w:rPr>
        <w:t>Australian Capital Territory (ACT)</w:t>
      </w:r>
      <w:r w:rsidRPr="00EA6628">
        <w:rPr>
          <w:rFonts w:asciiTheme="minorHAnsi" w:hAnsiTheme="minorHAnsi" w:cs="Calibri"/>
          <w:color w:val="000000"/>
          <w:szCs w:val="24"/>
        </w:rPr>
        <w:t>.</w:t>
      </w:r>
    </w:p>
    <w:p w14:paraId="0013E3FB" w14:textId="77777777" w:rsidR="00EA6628" w:rsidRDefault="00EA6628" w:rsidP="00EA6628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</w:p>
    <w:p w14:paraId="1CAD5609" w14:textId="37CC30F7" w:rsidR="00F64BA0" w:rsidRDefault="00F64BA0" w:rsidP="00EA6628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 w:rsidRPr="00F64BA0">
        <w:rPr>
          <w:rFonts w:asciiTheme="minorHAnsi" w:hAnsiTheme="minorHAnsi" w:cs="Calibri"/>
          <w:color w:val="000000"/>
          <w:szCs w:val="24"/>
        </w:rPr>
        <w:t xml:space="preserve">This </w:t>
      </w:r>
      <w:r w:rsidR="00EA6628">
        <w:rPr>
          <w:rFonts w:asciiTheme="minorHAnsi" w:hAnsiTheme="minorHAnsi" w:cs="Calibri"/>
          <w:color w:val="000000"/>
          <w:szCs w:val="24"/>
        </w:rPr>
        <w:t xml:space="preserve">declaration </w:t>
      </w:r>
      <w:r w:rsidRPr="00F64BA0">
        <w:rPr>
          <w:rFonts w:asciiTheme="minorHAnsi" w:hAnsiTheme="minorHAnsi" w:cs="Calibri"/>
          <w:color w:val="000000"/>
          <w:szCs w:val="24"/>
        </w:rPr>
        <w:t>applies the provisions of the </w:t>
      </w:r>
      <w:r w:rsidRPr="00F64BA0">
        <w:rPr>
          <w:rFonts w:asciiTheme="minorHAnsi" w:hAnsiTheme="minorHAnsi" w:cs="Calibri"/>
          <w:i/>
          <w:iCs/>
          <w:color w:val="000000"/>
          <w:szCs w:val="24"/>
        </w:rPr>
        <w:t>Major Events Act 2014 </w:t>
      </w:r>
      <w:r w:rsidRPr="00F64BA0">
        <w:rPr>
          <w:rFonts w:asciiTheme="minorHAnsi" w:hAnsiTheme="minorHAnsi" w:cs="Calibri"/>
          <w:color w:val="000000"/>
          <w:szCs w:val="24"/>
        </w:rPr>
        <w:t>(the Act) to</w:t>
      </w:r>
      <w:r w:rsidR="00F777C6">
        <w:rPr>
          <w:rFonts w:asciiTheme="minorHAnsi" w:hAnsiTheme="minorHAnsi" w:cs="Calibri"/>
          <w:color w:val="000000"/>
          <w:szCs w:val="24"/>
        </w:rPr>
        <w:t xml:space="preserve"> </w:t>
      </w:r>
      <w:r w:rsidR="00EA6628">
        <w:rPr>
          <w:rFonts w:asciiTheme="minorHAnsi" w:hAnsiTheme="minorHAnsi" w:cs="Calibri"/>
          <w:color w:val="000000"/>
          <w:szCs w:val="24"/>
        </w:rPr>
        <w:t>three major events in the ACT on 21 October 2024 during the Royal Visit</w:t>
      </w:r>
      <w:r w:rsidRPr="00F64BA0">
        <w:rPr>
          <w:rFonts w:asciiTheme="minorHAnsi" w:hAnsiTheme="minorHAnsi" w:cs="Calibri"/>
          <w:color w:val="000000"/>
          <w:szCs w:val="24"/>
        </w:rPr>
        <w:t>.</w:t>
      </w:r>
      <w:r w:rsidR="00F777C6">
        <w:rPr>
          <w:rFonts w:asciiTheme="minorHAnsi" w:hAnsiTheme="minorHAnsi" w:cs="Calibri"/>
          <w:color w:val="000000"/>
          <w:szCs w:val="24"/>
        </w:rPr>
        <w:t xml:space="preserve"> </w:t>
      </w:r>
      <w:r w:rsidRPr="00F64BA0">
        <w:rPr>
          <w:rFonts w:asciiTheme="minorHAnsi" w:hAnsiTheme="minorHAnsi" w:cs="Calibri"/>
          <w:color w:val="000000"/>
          <w:szCs w:val="24"/>
        </w:rPr>
        <w:t>This notice is a disallowable instrument.</w:t>
      </w:r>
    </w:p>
    <w:p w14:paraId="1A074D9C" w14:textId="77777777" w:rsidR="00EA6628" w:rsidRDefault="00EA6628" w:rsidP="00F64BA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</w:p>
    <w:p w14:paraId="40235EFB" w14:textId="4D8B161A" w:rsidR="00EA6628" w:rsidRDefault="00EA6628" w:rsidP="00F64BA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>
        <w:rPr>
          <w:rFonts w:asciiTheme="minorHAnsi" w:hAnsiTheme="minorHAnsi" w:cs="Calibri"/>
          <w:color w:val="000000"/>
          <w:szCs w:val="24"/>
        </w:rPr>
        <w:t xml:space="preserve">The major events will be located at the: </w:t>
      </w:r>
    </w:p>
    <w:p w14:paraId="1C6A8668" w14:textId="77777777" w:rsidR="00EA6628" w:rsidRDefault="00EA6628" w:rsidP="00F64BA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</w:p>
    <w:p w14:paraId="7C05AC52" w14:textId="5D7D38B7" w:rsidR="00EA6628" w:rsidRDefault="00EA6628" w:rsidP="00EA662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 w:rsidRPr="00EA6628">
        <w:rPr>
          <w:rFonts w:asciiTheme="minorHAnsi" w:hAnsiTheme="minorHAnsi" w:cs="Calibri"/>
          <w:color w:val="000000"/>
          <w:szCs w:val="24"/>
        </w:rPr>
        <w:t>Australian War Memorial</w:t>
      </w:r>
      <w:r>
        <w:rPr>
          <w:rFonts w:asciiTheme="minorHAnsi" w:hAnsiTheme="minorHAnsi" w:cs="Calibri"/>
          <w:color w:val="000000"/>
          <w:szCs w:val="24"/>
        </w:rPr>
        <w:t>;</w:t>
      </w:r>
    </w:p>
    <w:p w14:paraId="4F074237" w14:textId="77777777" w:rsidR="00EA6628" w:rsidRDefault="00EA6628" w:rsidP="00EA662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 w:rsidRPr="00EA6628">
        <w:rPr>
          <w:rFonts w:asciiTheme="minorHAnsi" w:hAnsiTheme="minorHAnsi" w:cs="Calibri"/>
          <w:color w:val="000000"/>
          <w:szCs w:val="24"/>
        </w:rPr>
        <w:t>CSIRO</w:t>
      </w:r>
      <w:r>
        <w:rPr>
          <w:rFonts w:asciiTheme="minorHAnsi" w:hAnsiTheme="minorHAnsi" w:cs="Calibri"/>
          <w:color w:val="000000"/>
          <w:szCs w:val="24"/>
        </w:rPr>
        <w:t xml:space="preserve"> Black Mountain site;</w:t>
      </w:r>
      <w:r w:rsidRPr="00EA6628">
        <w:rPr>
          <w:rFonts w:asciiTheme="minorHAnsi" w:hAnsiTheme="minorHAnsi" w:cs="Calibri"/>
          <w:color w:val="000000"/>
          <w:szCs w:val="24"/>
        </w:rPr>
        <w:t xml:space="preserve"> and </w:t>
      </w:r>
    </w:p>
    <w:p w14:paraId="16656969" w14:textId="4B084922" w:rsidR="00EA6628" w:rsidRDefault="00EA6628" w:rsidP="00EA662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 w:rsidRPr="00EA6628">
        <w:rPr>
          <w:rFonts w:asciiTheme="minorHAnsi" w:hAnsiTheme="minorHAnsi" w:cs="Calibri"/>
          <w:color w:val="000000"/>
          <w:szCs w:val="24"/>
        </w:rPr>
        <w:t>Australian National Botanic Gardens</w:t>
      </w:r>
      <w:r>
        <w:rPr>
          <w:rFonts w:asciiTheme="minorHAnsi" w:hAnsiTheme="minorHAnsi" w:cs="Calibri"/>
          <w:color w:val="000000"/>
          <w:szCs w:val="24"/>
        </w:rPr>
        <w:t>.</w:t>
      </w:r>
    </w:p>
    <w:p w14:paraId="7AEA7FCA" w14:textId="77777777" w:rsidR="00EA6628" w:rsidRDefault="00EA6628" w:rsidP="00EA6628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</w:p>
    <w:p w14:paraId="1DE9BD17" w14:textId="4D00B359" w:rsidR="00EA6628" w:rsidRDefault="00337163" w:rsidP="00EA6628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>
        <w:rPr>
          <w:rFonts w:asciiTheme="minorHAnsi" w:hAnsiTheme="minorHAnsi" w:cs="Calibri"/>
          <w:color w:val="000000"/>
          <w:szCs w:val="24"/>
        </w:rPr>
        <w:t>T</w:t>
      </w:r>
      <w:r w:rsidRPr="00337163">
        <w:rPr>
          <w:rFonts w:asciiTheme="minorHAnsi" w:hAnsiTheme="minorHAnsi" w:cs="Calibri"/>
          <w:color w:val="000000"/>
          <w:szCs w:val="24"/>
        </w:rPr>
        <w:t xml:space="preserve">he Royal Visit is a visit of significance for the Territory and </w:t>
      </w:r>
      <w:r>
        <w:rPr>
          <w:rFonts w:asciiTheme="minorHAnsi" w:hAnsiTheme="minorHAnsi" w:cs="Calibri"/>
          <w:color w:val="000000"/>
          <w:szCs w:val="24"/>
        </w:rPr>
        <w:t>Australia</w:t>
      </w:r>
      <w:r w:rsidR="006231A8">
        <w:rPr>
          <w:rFonts w:asciiTheme="minorHAnsi" w:hAnsiTheme="minorHAnsi" w:cs="Calibri"/>
          <w:color w:val="000000"/>
          <w:szCs w:val="24"/>
        </w:rPr>
        <w:t>. It</w:t>
      </w:r>
      <w:r w:rsidRPr="00337163">
        <w:rPr>
          <w:rFonts w:asciiTheme="minorHAnsi" w:hAnsiTheme="minorHAnsi" w:cs="Calibri"/>
          <w:color w:val="000000"/>
          <w:szCs w:val="24"/>
        </w:rPr>
        <w:t xml:space="preserve"> require</w:t>
      </w:r>
      <w:r w:rsidR="006231A8">
        <w:rPr>
          <w:rFonts w:asciiTheme="minorHAnsi" w:hAnsiTheme="minorHAnsi" w:cs="Calibri"/>
          <w:color w:val="000000"/>
          <w:szCs w:val="24"/>
        </w:rPr>
        <w:t>s</w:t>
      </w:r>
      <w:r w:rsidRPr="00337163">
        <w:rPr>
          <w:rFonts w:asciiTheme="minorHAnsi" w:hAnsiTheme="minorHAnsi" w:cs="Calibri"/>
          <w:color w:val="000000"/>
          <w:szCs w:val="24"/>
        </w:rPr>
        <w:t xml:space="preserve"> a high degree of professional management and coordination, particularly by ACT Policing and the Australian Federal Police</w:t>
      </w:r>
      <w:r>
        <w:rPr>
          <w:rFonts w:asciiTheme="minorHAnsi" w:hAnsiTheme="minorHAnsi" w:cs="Calibri"/>
          <w:color w:val="000000"/>
          <w:szCs w:val="24"/>
        </w:rPr>
        <w:t>.</w:t>
      </w:r>
      <w:r w:rsidR="00CE6D05">
        <w:rPr>
          <w:rFonts w:asciiTheme="minorHAnsi" w:hAnsiTheme="minorHAnsi" w:cs="Calibri"/>
          <w:color w:val="000000"/>
          <w:szCs w:val="24"/>
        </w:rPr>
        <w:t xml:space="preserve"> The Royal Visit will also attract significant national </w:t>
      </w:r>
      <w:r w:rsidR="003E7F22">
        <w:rPr>
          <w:rFonts w:asciiTheme="minorHAnsi" w:hAnsiTheme="minorHAnsi" w:cs="Calibri"/>
          <w:color w:val="000000"/>
          <w:szCs w:val="24"/>
        </w:rPr>
        <w:t xml:space="preserve">media </w:t>
      </w:r>
      <w:r w:rsidR="00CE6D05">
        <w:rPr>
          <w:rFonts w:asciiTheme="minorHAnsi" w:hAnsiTheme="minorHAnsi" w:cs="Calibri"/>
          <w:color w:val="000000"/>
          <w:szCs w:val="24"/>
        </w:rPr>
        <w:t>attention.</w:t>
      </w:r>
    </w:p>
    <w:p w14:paraId="04D90364" w14:textId="77777777" w:rsidR="00337163" w:rsidRDefault="00337163" w:rsidP="00EA6628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</w:p>
    <w:p w14:paraId="5205678F" w14:textId="14F5A35E" w:rsidR="00337163" w:rsidRDefault="00337163" w:rsidP="00487C76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>
        <w:rPr>
          <w:rFonts w:asciiTheme="minorHAnsi" w:hAnsiTheme="minorHAnsi" w:cs="Calibri"/>
          <w:color w:val="000000"/>
          <w:szCs w:val="24"/>
        </w:rPr>
        <w:lastRenderedPageBreak/>
        <w:t>The safety and security of</w:t>
      </w:r>
      <w:r w:rsidRPr="00337163">
        <w:rPr>
          <w:rFonts w:asciiTheme="minorHAnsi" w:hAnsiTheme="minorHAnsi" w:cs="Calibri"/>
          <w:color w:val="000000"/>
          <w:szCs w:val="24"/>
        </w:rPr>
        <w:t xml:space="preserve"> </w:t>
      </w:r>
      <w:r>
        <w:rPr>
          <w:rFonts w:asciiTheme="minorHAnsi" w:hAnsiTheme="minorHAnsi" w:cs="Calibri"/>
          <w:color w:val="000000"/>
          <w:szCs w:val="24"/>
        </w:rPr>
        <w:t>the Royal Visit to</w:t>
      </w:r>
      <w:r w:rsidRPr="00337163">
        <w:rPr>
          <w:rFonts w:asciiTheme="minorHAnsi" w:hAnsiTheme="minorHAnsi" w:cs="Calibri"/>
          <w:color w:val="000000"/>
          <w:szCs w:val="24"/>
        </w:rPr>
        <w:t xml:space="preserve"> Canberra is </w:t>
      </w:r>
      <w:r w:rsidR="000304DF">
        <w:rPr>
          <w:rFonts w:asciiTheme="minorHAnsi" w:hAnsiTheme="minorHAnsi" w:cs="Calibri"/>
          <w:color w:val="000000"/>
          <w:szCs w:val="24"/>
        </w:rPr>
        <w:t>paramount</w:t>
      </w:r>
      <w:r w:rsidRPr="00337163">
        <w:rPr>
          <w:rFonts w:asciiTheme="minorHAnsi" w:hAnsiTheme="minorHAnsi" w:cs="Calibri"/>
          <w:color w:val="000000"/>
          <w:szCs w:val="24"/>
        </w:rPr>
        <w:t xml:space="preserve"> </w:t>
      </w:r>
      <w:r>
        <w:rPr>
          <w:rFonts w:asciiTheme="minorHAnsi" w:hAnsiTheme="minorHAnsi" w:cs="Calibri"/>
          <w:color w:val="000000"/>
          <w:szCs w:val="24"/>
        </w:rPr>
        <w:t>for Their Majesties, participants</w:t>
      </w:r>
      <w:r w:rsidR="009C606C">
        <w:rPr>
          <w:rFonts w:asciiTheme="minorHAnsi" w:hAnsiTheme="minorHAnsi" w:cs="Calibri"/>
          <w:color w:val="000000"/>
          <w:szCs w:val="24"/>
        </w:rPr>
        <w:t>,</w:t>
      </w:r>
      <w:r>
        <w:rPr>
          <w:rFonts w:asciiTheme="minorHAnsi" w:hAnsiTheme="minorHAnsi" w:cs="Calibri"/>
          <w:color w:val="000000"/>
          <w:szCs w:val="24"/>
        </w:rPr>
        <w:t xml:space="preserve"> and</w:t>
      </w:r>
      <w:r w:rsidR="0048747F">
        <w:rPr>
          <w:rFonts w:asciiTheme="minorHAnsi" w:hAnsiTheme="minorHAnsi" w:cs="Calibri"/>
          <w:color w:val="000000"/>
          <w:szCs w:val="24"/>
        </w:rPr>
        <w:t xml:space="preserve"> the many</w:t>
      </w:r>
      <w:r w:rsidRPr="00337163">
        <w:rPr>
          <w:rFonts w:asciiTheme="minorHAnsi" w:hAnsiTheme="minorHAnsi" w:cs="Calibri"/>
          <w:color w:val="000000"/>
          <w:szCs w:val="24"/>
        </w:rPr>
        <w:t xml:space="preserve"> specta</w:t>
      </w:r>
      <w:r>
        <w:rPr>
          <w:rFonts w:asciiTheme="minorHAnsi" w:hAnsiTheme="minorHAnsi" w:cs="Calibri"/>
          <w:color w:val="000000"/>
          <w:szCs w:val="24"/>
        </w:rPr>
        <w:t>tors</w:t>
      </w:r>
      <w:r w:rsidR="0048747F">
        <w:rPr>
          <w:rFonts w:asciiTheme="minorHAnsi" w:hAnsiTheme="minorHAnsi" w:cs="Calibri"/>
          <w:color w:val="000000"/>
          <w:szCs w:val="24"/>
        </w:rPr>
        <w:t xml:space="preserve"> expected to attend</w:t>
      </w:r>
      <w:r w:rsidR="003236B0">
        <w:rPr>
          <w:rFonts w:asciiTheme="minorHAnsi" w:hAnsiTheme="minorHAnsi" w:cs="Calibri"/>
          <w:color w:val="000000"/>
          <w:szCs w:val="24"/>
        </w:rPr>
        <w:t xml:space="preserve"> the</w:t>
      </w:r>
      <w:r w:rsidR="00A04ED4">
        <w:rPr>
          <w:rFonts w:asciiTheme="minorHAnsi" w:hAnsiTheme="minorHAnsi" w:cs="Calibri"/>
          <w:color w:val="000000"/>
          <w:szCs w:val="24"/>
        </w:rPr>
        <w:t>se</w:t>
      </w:r>
      <w:r w:rsidR="003236B0">
        <w:rPr>
          <w:rFonts w:asciiTheme="minorHAnsi" w:hAnsiTheme="minorHAnsi" w:cs="Calibri"/>
          <w:color w:val="000000"/>
          <w:szCs w:val="24"/>
        </w:rPr>
        <w:t xml:space="preserve"> major events</w:t>
      </w:r>
      <w:r w:rsidRPr="00337163">
        <w:rPr>
          <w:rFonts w:asciiTheme="minorHAnsi" w:hAnsiTheme="minorHAnsi" w:cs="Calibri"/>
          <w:color w:val="000000"/>
          <w:szCs w:val="24"/>
        </w:rPr>
        <w:t>.</w:t>
      </w:r>
      <w:r>
        <w:rPr>
          <w:rFonts w:asciiTheme="minorHAnsi" w:hAnsiTheme="minorHAnsi" w:cs="Calibri"/>
          <w:color w:val="000000"/>
          <w:szCs w:val="24"/>
        </w:rPr>
        <w:t xml:space="preserve"> </w:t>
      </w:r>
      <w:r w:rsidR="00487C76" w:rsidRPr="00487C76">
        <w:rPr>
          <w:rFonts w:asciiTheme="minorHAnsi" w:hAnsiTheme="minorHAnsi" w:cs="Calibri"/>
          <w:color w:val="000000"/>
          <w:szCs w:val="24"/>
        </w:rPr>
        <w:t>The security threat environment has changed significantly since the last visit of</w:t>
      </w:r>
      <w:r w:rsidR="00487C76">
        <w:rPr>
          <w:rFonts w:asciiTheme="minorHAnsi" w:hAnsiTheme="minorHAnsi" w:cs="Calibri"/>
          <w:color w:val="000000"/>
          <w:szCs w:val="24"/>
        </w:rPr>
        <w:t xml:space="preserve"> </w:t>
      </w:r>
      <w:r w:rsidR="00487C76" w:rsidRPr="00487C76">
        <w:rPr>
          <w:rFonts w:asciiTheme="minorHAnsi" w:hAnsiTheme="minorHAnsi" w:cs="Calibri"/>
          <w:color w:val="000000"/>
          <w:szCs w:val="24"/>
        </w:rPr>
        <w:t>Her Majesty the Queen Elizabeth II in 2011</w:t>
      </w:r>
      <w:r w:rsidR="00A4739E">
        <w:rPr>
          <w:rFonts w:asciiTheme="minorHAnsi" w:hAnsiTheme="minorHAnsi" w:cs="Calibri"/>
          <w:color w:val="000000"/>
          <w:szCs w:val="24"/>
        </w:rPr>
        <w:t xml:space="preserve"> and </w:t>
      </w:r>
      <w:r w:rsidR="00A4739E" w:rsidRPr="00A4739E">
        <w:rPr>
          <w:rFonts w:asciiTheme="minorHAnsi" w:hAnsiTheme="minorHAnsi" w:cs="Calibri"/>
          <w:color w:val="000000"/>
          <w:szCs w:val="24"/>
        </w:rPr>
        <w:t xml:space="preserve">necessitates additional protections be in place for </w:t>
      </w:r>
      <w:r w:rsidR="00A4739E">
        <w:rPr>
          <w:rFonts w:asciiTheme="minorHAnsi" w:hAnsiTheme="minorHAnsi" w:cs="Calibri"/>
          <w:color w:val="000000"/>
          <w:szCs w:val="24"/>
        </w:rPr>
        <w:t>the</w:t>
      </w:r>
      <w:r w:rsidR="00A55010">
        <w:rPr>
          <w:rFonts w:asciiTheme="minorHAnsi" w:hAnsiTheme="minorHAnsi" w:cs="Calibri"/>
          <w:color w:val="000000"/>
          <w:szCs w:val="24"/>
        </w:rPr>
        <w:t xml:space="preserve">se </w:t>
      </w:r>
      <w:r w:rsidR="00A4739E">
        <w:rPr>
          <w:rFonts w:asciiTheme="minorHAnsi" w:hAnsiTheme="minorHAnsi" w:cs="Calibri"/>
          <w:color w:val="000000"/>
          <w:szCs w:val="24"/>
        </w:rPr>
        <w:t>major events</w:t>
      </w:r>
      <w:r w:rsidR="00A4739E" w:rsidRPr="00A4739E">
        <w:rPr>
          <w:rFonts w:asciiTheme="minorHAnsi" w:hAnsiTheme="minorHAnsi" w:cs="Calibri"/>
          <w:color w:val="000000"/>
          <w:szCs w:val="24"/>
        </w:rPr>
        <w:t>.</w:t>
      </w:r>
      <w:r w:rsidR="00487C76">
        <w:rPr>
          <w:rFonts w:asciiTheme="minorHAnsi" w:hAnsiTheme="minorHAnsi" w:cs="Calibri"/>
          <w:color w:val="000000"/>
          <w:szCs w:val="24"/>
        </w:rPr>
        <w:t xml:space="preserve"> </w:t>
      </w:r>
      <w:r w:rsidR="00A4739E">
        <w:rPr>
          <w:rFonts w:asciiTheme="minorHAnsi" w:hAnsiTheme="minorHAnsi" w:cs="Calibri"/>
          <w:color w:val="000000"/>
          <w:szCs w:val="24"/>
        </w:rPr>
        <w:t xml:space="preserve">Maintaining a safe and minimal risk environment will ensure </w:t>
      </w:r>
      <w:r w:rsidR="00AF5529">
        <w:rPr>
          <w:rFonts w:asciiTheme="minorHAnsi" w:hAnsiTheme="minorHAnsi" w:cs="Calibri"/>
          <w:color w:val="000000"/>
          <w:szCs w:val="24"/>
        </w:rPr>
        <w:t>these major</w:t>
      </w:r>
      <w:r w:rsidR="00A4739E">
        <w:rPr>
          <w:rFonts w:asciiTheme="minorHAnsi" w:hAnsiTheme="minorHAnsi" w:cs="Calibri"/>
          <w:color w:val="000000"/>
          <w:szCs w:val="24"/>
        </w:rPr>
        <w:t xml:space="preserve"> events and associated public welcoming and spectating are protected from potentially dangerous situations. </w:t>
      </w:r>
    </w:p>
    <w:p w14:paraId="7EF20BF5" w14:textId="77777777" w:rsidR="00A4739E" w:rsidRDefault="00A4739E" w:rsidP="00487C76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</w:p>
    <w:p w14:paraId="2FE347F5" w14:textId="77777777" w:rsidR="000B10DD" w:rsidRDefault="00A4739E" w:rsidP="00487C76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 w:rsidRPr="00A4739E">
        <w:rPr>
          <w:rFonts w:asciiTheme="minorHAnsi" w:hAnsiTheme="minorHAnsi" w:cs="Calibri"/>
          <w:color w:val="000000"/>
          <w:szCs w:val="24"/>
        </w:rPr>
        <w:t xml:space="preserve">The powers enlivened under </w:t>
      </w:r>
      <w:r w:rsidR="00CE6D05">
        <w:rPr>
          <w:rFonts w:asciiTheme="minorHAnsi" w:hAnsiTheme="minorHAnsi" w:cs="Calibri"/>
          <w:color w:val="000000"/>
          <w:szCs w:val="24"/>
        </w:rPr>
        <w:t>this</w:t>
      </w:r>
      <w:r w:rsidRPr="00A4739E">
        <w:rPr>
          <w:rFonts w:asciiTheme="minorHAnsi" w:hAnsiTheme="minorHAnsi" w:cs="Calibri"/>
          <w:color w:val="000000"/>
          <w:szCs w:val="24"/>
        </w:rPr>
        <w:t xml:space="preserve"> declaration have </w:t>
      </w:r>
      <w:r w:rsidR="003E417C">
        <w:rPr>
          <w:rFonts w:asciiTheme="minorHAnsi" w:hAnsiTheme="minorHAnsi" w:cs="Calibri"/>
          <w:color w:val="000000"/>
          <w:szCs w:val="24"/>
        </w:rPr>
        <w:t xml:space="preserve">appropriate </w:t>
      </w:r>
      <w:r w:rsidRPr="00A4739E">
        <w:rPr>
          <w:rFonts w:asciiTheme="minorHAnsi" w:hAnsiTheme="minorHAnsi" w:cs="Calibri"/>
          <w:color w:val="000000"/>
          <w:szCs w:val="24"/>
        </w:rPr>
        <w:t>limitations on the duration and scope of their application to provide for the safe and secure conduct of the Royal Visit.</w:t>
      </w:r>
      <w:r w:rsidR="00262E9E">
        <w:rPr>
          <w:rFonts w:asciiTheme="minorHAnsi" w:hAnsiTheme="minorHAnsi" w:cs="Calibri"/>
          <w:color w:val="000000"/>
          <w:szCs w:val="24"/>
        </w:rPr>
        <w:t xml:space="preserve"> </w:t>
      </w:r>
    </w:p>
    <w:p w14:paraId="30D1B42A" w14:textId="77777777" w:rsidR="000B10DD" w:rsidRDefault="000B10DD" w:rsidP="00487C76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</w:p>
    <w:p w14:paraId="6FF966B0" w14:textId="3D4C3D1F" w:rsidR="00A4739E" w:rsidRPr="00EA6628" w:rsidRDefault="00A4739E" w:rsidP="00487C76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>
        <w:rPr>
          <w:rFonts w:asciiTheme="minorHAnsi" w:hAnsiTheme="minorHAnsi" w:cs="Calibri"/>
          <w:color w:val="000000"/>
          <w:szCs w:val="24"/>
        </w:rPr>
        <w:t>A major events declaration does</w:t>
      </w:r>
      <w:r w:rsidRPr="00A4739E">
        <w:rPr>
          <w:rFonts w:asciiTheme="minorHAnsi" w:hAnsiTheme="minorHAnsi" w:cs="Calibri"/>
          <w:color w:val="000000"/>
          <w:szCs w:val="24"/>
        </w:rPr>
        <w:t xml:space="preserve"> not restrict peaceful assembly or gatherings, and the restrictions in the </w:t>
      </w:r>
      <w:r w:rsidRPr="00A4739E">
        <w:rPr>
          <w:rFonts w:asciiTheme="minorHAnsi" w:hAnsiTheme="minorHAnsi" w:cs="Calibri"/>
          <w:i/>
          <w:iCs/>
          <w:color w:val="000000"/>
          <w:szCs w:val="24"/>
        </w:rPr>
        <w:t>Major Events Act 2014</w:t>
      </w:r>
      <w:r w:rsidRPr="00A4739E">
        <w:rPr>
          <w:rFonts w:asciiTheme="minorHAnsi" w:hAnsiTheme="minorHAnsi" w:cs="Calibri"/>
          <w:color w:val="000000"/>
          <w:szCs w:val="24"/>
        </w:rPr>
        <w:t xml:space="preserve"> do not apply to public protests.</w:t>
      </w:r>
    </w:p>
    <w:p w14:paraId="08792591" w14:textId="3E62A2F4" w:rsidR="006836DA" w:rsidRPr="00F64BA0" w:rsidRDefault="00F64BA0" w:rsidP="00F64BA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 w:rsidRPr="00F64BA0">
        <w:rPr>
          <w:rFonts w:asciiTheme="minorHAnsi" w:hAnsiTheme="minorHAnsi" w:cs="Calibri"/>
          <w:color w:val="000000"/>
          <w:szCs w:val="24"/>
        </w:rPr>
        <w:t> </w:t>
      </w:r>
    </w:p>
    <w:p w14:paraId="6AE55573" w14:textId="77F98A4B" w:rsidR="004E6178" w:rsidRDefault="00F64BA0" w:rsidP="00EA6628">
      <w:pPr>
        <w:keepLines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</w:rPr>
      </w:pPr>
      <w:r w:rsidRPr="00F64BA0">
        <w:rPr>
          <w:rFonts w:asciiTheme="minorHAnsi" w:hAnsiTheme="minorHAnsi" w:cs="Calibri"/>
          <w:color w:val="000000"/>
          <w:szCs w:val="24"/>
        </w:rPr>
        <w:t xml:space="preserve">The effect of this </w:t>
      </w:r>
      <w:r w:rsidR="00EA6628">
        <w:rPr>
          <w:rFonts w:asciiTheme="minorHAnsi" w:hAnsiTheme="minorHAnsi" w:cs="Calibri"/>
          <w:color w:val="000000"/>
          <w:szCs w:val="24"/>
        </w:rPr>
        <w:t>declaration</w:t>
      </w:r>
      <w:r w:rsidRPr="00F64BA0">
        <w:rPr>
          <w:rFonts w:asciiTheme="minorHAnsi" w:hAnsiTheme="minorHAnsi" w:cs="Calibri"/>
          <w:color w:val="000000"/>
          <w:szCs w:val="24"/>
        </w:rPr>
        <w:t xml:space="preserve"> is to </w:t>
      </w:r>
      <w:r w:rsidR="0042440C">
        <w:rPr>
          <w:rFonts w:asciiTheme="minorHAnsi" w:hAnsiTheme="minorHAnsi" w:cs="Calibri"/>
          <w:color w:val="000000"/>
          <w:szCs w:val="24"/>
        </w:rPr>
        <w:t xml:space="preserve">enliven </w:t>
      </w:r>
      <w:r w:rsidRPr="00F64BA0">
        <w:rPr>
          <w:rFonts w:asciiTheme="minorHAnsi" w:hAnsiTheme="minorHAnsi" w:cs="Calibri"/>
          <w:color w:val="000000"/>
          <w:szCs w:val="24"/>
        </w:rPr>
        <w:t>powers and offences under the Act, Part 3 (Crowd Management)</w:t>
      </w:r>
      <w:r w:rsidR="00EA6628">
        <w:rPr>
          <w:rFonts w:asciiTheme="minorHAnsi" w:hAnsiTheme="minorHAnsi" w:cs="Calibri"/>
          <w:color w:val="000000"/>
          <w:szCs w:val="24"/>
        </w:rPr>
        <w:t xml:space="preserve"> </w:t>
      </w:r>
      <w:r w:rsidR="005C747F">
        <w:rPr>
          <w:rFonts w:asciiTheme="minorHAnsi" w:hAnsiTheme="minorHAnsi" w:cs="Calibri"/>
          <w:color w:val="000000"/>
          <w:szCs w:val="24"/>
        </w:rPr>
        <w:t>for</w:t>
      </w:r>
      <w:r w:rsidR="00EA6628">
        <w:rPr>
          <w:rFonts w:asciiTheme="minorHAnsi" w:hAnsiTheme="minorHAnsi" w:cs="Calibri"/>
          <w:color w:val="000000"/>
          <w:szCs w:val="24"/>
        </w:rPr>
        <w:t xml:space="preserve"> police officers. </w:t>
      </w:r>
      <w:r w:rsidRPr="00F64BA0">
        <w:rPr>
          <w:rFonts w:asciiTheme="minorHAnsi" w:hAnsiTheme="minorHAnsi" w:cs="Calibri"/>
          <w:color w:val="000000"/>
          <w:szCs w:val="24"/>
        </w:rPr>
        <w:t xml:space="preserve">Crowd management in </w:t>
      </w:r>
      <w:r w:rsidR="002A5CBF">
        <w:rPr>
          <w:rFonts w:asciiTheme="minorHAnsi" w:hAnsiTheme="minorHAnsi" w:cs="Calibri"/>
          <w:color w:val="000000"/>
          <w:szCs w:val="24"/>
        </w:rPr>
        <w:t>P</w:t>
      </w:r>
      <w:r w:rsidRPr="00F64BA0">
        <w:rPr>
          <w:rFonts w:asciiTheme="minorHAnsi" w:hAnsiTheme="minorHAnsi" w:cs="Calibri"/>
          <w:color w:val="000000"/>
          <w:szCs w:val="24"/>
        </w:rPr>
        <w:t>art 3 of the Act include</w:t>
      </w:r>
      <w:r w:rsidR="00704139">
        <w:rPr>
          <w:rFonts w:asciiTheme="minorHAnsi" w:hAnsiTheme="minorHAnsi" w:cs="Calibri"/>
          <w:color w:val="000000"/>
          <w:szCs w:val="24"/>
        </w:rPr>
        <w:t>s</w:t>
      </w:r>
      <w:r w:rsidRPr="00F64BA0">
        <w:rPr>
          <w:rFonts w:asciiTheme="minorHAnsi" w:hAnsiTheme="minorHAnsi" w:cs="Calibri"/>
          <w:color w:val="000000"/>
          <w:szCs w:val="24"/>
        </w:rPr>
        <w:t xml:space="preserve"> offences in relation to the possession of prohibited items and interference with the event</w:t>
      </w:r>
      <w:r w:rsidR="000B10DD">
        <w:rPr>
          <w:rFonts w:asciiTheme="minorHAnsi" w:hAnsiTheme="minorHAnsi" w:cs="Calibri"/>
          <w:color w:val="000000"/>
          <w:szCs w:val="24"/>
        </w:rPr>
        <w:t>s</w:t>
      </w:r>
      <w:r w:rsidRPr="00F64BA0">
        <w:rPr>
          <w:rFonts w:asciiTheme="minorHAnsi" w:hAnsiTheme="minorHAnsi" w:cs="Calibri"/>
          <w:color w:val="000000"/>
          <w:szCs w:val="24"/>
        </w:rPr>
        <w:t>. Part 3 also provides crowd management powers including the power to search personal property, to conduct scanning searches and frisk searches.</w:t>
      </w:r>
    </w:p>
    <w:p w14:paraId="356F26BC" w14:textId="77777777" w:rsidR="005D70F1" w:rsidRPr="00591CAB" w:rsidRDefault="005D70F1" w:rsidP="005A30DC">
      <w:pPr>
        <w:autoSpaceDE w:val="0"/>
        <w:autoSpaceDN w:val="0"/>
        <w:adjustRightInd w:val="0"/>
        <w:rPr>
          <w:rFonts w:asciiTheme="minorHAnsi" w:hAnsiTheme="minorHAnsi" w:cs="Calibri"/>
          <w:szCs w:val="24"/>
        </w:rPr>
      </w:pPr>
    </w:p>
    <w:sectPr w:rsidR="005D70F1" w:rsidRPr="00591CAB" w:rsidSect="004C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38F5" w14:textId="77777777" w:rsidR="00534B07" w:rsidRDefault="00534B07">
      <w:r>
        <w:separator/>
      </w:r>
    </w:p>
  </w:endnote>
  <w:endnote w:type="continuationSeparator" w:id="0">
    <w:p w14:paraId="554E3E68" w14:textId="77777777" w:rsidR="00534B07" w:rsidRDefault="0053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C125" w14:textId="77777777" w:rsidR="006271B3" w:rsidRDefault="006271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3F44" w14:textId="3FBBE34E" w:rsidR="00744DB3" w:rsidRPr="006271B3" w:rsidRDefault="006271B3" w:rsidP="006271B3">
    <w:pPr>
      <w:pStyle w:val="Footer"/>
      <w:jc w:val="center"/>
      <w:rPr>
        <w:rFonts w:cs="Arial"/>
        <w:sz w:val="14"/>
      </w:rPr>
    </w:pPr>
    <w:r w:rsidRPr="006271B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C95D" w14:textId="77777777" w:rsidR="006271B3" w:rsidRDefault="00627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4B4C" w14:textId="77777777" w:rsidR="00534B07" w:rsidRDefault="00534B07">
      <w:r>
        <w:separator/>
      </w:r>
    </w:p>
  </w:footnote>
  <w:footnote w:type="continuationSeparator" w:id="0">
    <w:p w14:paraId="7CD97392" w14:textId="77777777" w:rsidR="00534B07" w:rsidRDefault="0053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9636" w14:textId="77777777" w:rsidR="006271B3" w:rsidRDefault="006271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DFDF" w14:textId="77777777" w:rsidR="006271B3" w:rsidRDefault="006271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FD24" w14:textId="77777777" w:rsidR="006271B3" w:rsidRDefault="00627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EC1CF8"/>
    <w:multiLevelType w:val="hybridMultilevel"/>
    <w:tmpl w:val="F9E20CCA"/>
    <w:lvl w:ilvl="0" w:tplc="DA06D2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DC44C9"/>
    <w:multiLevelType w:val="hybridMultilevel"/>
    <w:tmpl w:val="63621A34"/>
    <w:lvl w:ilvl="0" w:tplc="DA06D28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F5395F"/>
    <w:multiLevelType w:val="multilevel"/>
    <w:tmpl w:val="78AC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529731FE"/>
    <w:multiLevelType w:val="hybridMultilevel"/>
    <w:tmpl w:val="35F20F1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05C4A"/>
    <w:multiLevelType w:val="hybridMultilevel"/>
    <w:tmpl w:val="0F2A34E8"/>
    <w:lvl w:ilvl="0" w:tplc="DA06D2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540022810">
    <w:abstractNumId w:val="3"/>
  </w:num>
  <w:num w:numId="2" w16cid:durableId="891112693">
    <w:abstractNumId w:val="0"/>
  </w:num>
  <w:num w:numId="3" w16cid:durableId="1369256584">
    <w:abstractNumId w:val="4"/>
  </w:num>
  <w:num w:numId="4" w16cid:durableId="147669271">
    <w:abstractNumId w:val="9"/>
  </w:num>
  <w:num w:numId="5" w16cid:durableId="1149253277">
    <w:abstractNumId w:val="12"/>
  </w:num>
  <w:num w:numId="6" w16cid:durableId="1732189124">
    <w:abstractNumId w:val="2"/>
  </w:num>
  <w:num w:numId="7" w16cid:durableId="2036809031">
    <w:abstractNumId w:val="6"/>
  </w:num>
  <w:num w:numId="8" w16cid:durableId="818571884">
    <w:abstractNumId w:val="8"/>
  </w:num>
  <w:num w:numId="9" w16cid:durableId="53089026">
    <w:abstractNumId w:val="7"/>
  </w:num>
  <w:num w:numId="10" w16cid:durableId="290406038">
    <w:abstractNumId w:val="10"/>
  </w:num>
  <w:num w:numId="11" w16cid:durableId="258685374">
    <w:abstractNumId w:val="5"/>
  </w:num>
  <w:num w:numId="12" w16cid:durableId="1249344106">
    <w:abstractNumId w:val="11"/>
  </w:num>
  <w:num w:numId="13" w16cid:durableId="1250699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F"/>
    <w:rsid w:val="00006CE6"/>
    <w:rsid w:val="000304DF"/>
    <w:rsid w:val="00045417"/>
    <w:rsid w:val="0004728B"/>
    <w:rsid w:val="00051762"/>
    <w:rsid w:val="000563FB"/>
    <w:rsid w:val="00075B78"/>
    <w:rsid w:val="00081208"/>
    <w:rsid w:val="00081CA7"/>
    <w:rsid w:val="00087DCE"/>
    <w:rsid w:val="00092C8C"/>
    <w:rsid w:val="000B10DD"/>
    <w:rsid w:val="000D071F"/>
    <w:rsid w:val="000D29A5"/>
    <w:rsid w:val="000D36CD"/>
    <w:rsid w:val="000D59A7"/>
    <w:rsid w:val="00111254"/>
    <w:rsid w:val="00134624"/>
    <w:rsid w:val="00144D60"/>
    <w:rsid w:val="00165AAB"/>
    <w:rsid w:val="00170486"/>
    <w:rsid w:val="00172D34"/>
    <w:rsid w:val="00174EBD"/>
    <w:rsid w:val="00183AA7"/>
    <w:rsid w:val="001D000C"/>
    <w:rsid w:val="001D17F7"/>
    <w:rsid w:val="001D77D4"/>
    <w:rsid w:val="001E35FC"/>
    <w:rsid w:val="001F35F1"/>
    <w:rsid w:val="00201ECA"/>
    <w:rsid w:val="002024DB"/>
    <w:rsid w:val="0020622C"/>
    <w:rsid w:val="00206FB5"/>
    <w:rsid w:val="00215E57"/>
    <w:rsid w:val="00217254"/>
    <w:rsid w:val="002249BA"/>
    <w:rsid w:val="00255ACE"/>
    <w:rsid w:val="00262E9E"/>
    <w:rsid w:val="002A4590"/>
    <w:rsid w:val="002A5CBF"/>
    <w:rsid w:val="002D22BA"/>
    <w:rsid w:val="00311461"/>
    <w:rsid w:val="0031713A"/>
    <w:rsid w:val="003236B0"/>
    <w:rsid w:val="00337163"/>
    <w:rsid w:val="00344D81"/>
    <w:rsid w:val="00350108"/>
    <w:rsid w:val="00352C4A"/>
    <w:rsid w:val="003575F5"/>
    <w:rsid w:val="003A3259"/>
    <w:rsid w:val="003E417C"/>
    <w:rsid w:val="003E7F22"/>
    <w:rsid w:val="0040087B"/>
    <w:rsid w:val="004048CA"/>
    <w:rsid w:val="0042440C"/>
    <w:rsid w:val="00432305"/>
    <w:rsid w:val="00432AB1"/>
    <w:rsid w:val="00437C14"/>
    <w:rsid w:val="00443C7F"/>
    <w:rsid w:val="00450AC1"/>
    <w:rsid w:val="004566BE"/>
    <w:rsid w:val="00463957"/>
    <w:rsid w:val="004678AE"/>
    <w:rsid w:val="0047008D"/>
    <w:rsid w:val="004700D6"/>
    <w:rsid w:val="00470287"/>
    <w:rsid w:val="00471C05"/>
    <w:rsid w:val="00474B8A"/>
    <w:rsid w:val="00482147"/>
    <w:rsid w:val="00483B05"/>
    <w:rsid w:val="00485C55"/>
    <w:rsid w:val="0048747F"/>
    <w:rsid w:val="00487C76"/>
    <w:rsid w:val="004A1E23"/>
    <w:rsid w:val="004C3470"/>
    <w:rsid w:val="004C4A40"/>
    <w:rsid w:val="004C63FE"/>
    <w:rsid w:val="004E1A95"/>
    <w:rsid w:val="004E6178"/>
    <w:rsid w:val="004F6203"/>
    <w:rsid w:val="0053289E"/>
    <w:rsid w:val="00534B07"/>
    <w:rsid w:val="00572102"/>
    <w:rsid w:val="00573430"/>
    <w:rsid w:val="00586D2E"/>
    <w:rsid w:val="00591CAB"/>
    <w:rsid w:val="005964E4"/>
    <w:rsid w:val="005A30DC"/>
    <w:rsid w:val="005C747F"/>
    <w:rsid w:val="005D70F1"/>
    <w:rsid w:val="005E39D7"/>
    <w:rsid w:val="00600B73"/>
    <w:rsid w:val="0060147D"/>
    <w:rsid w:val="00604426"/>
    <w:rsid w:val="006060AB"/>
    <w:rsid w:val="00606639"/>
    <w:rsid w:val="006212E6"/>
    <w:rsid w:val="00622563"/>
    <w:rsid w:val="006231A8"/>
    <w:rsid w:val="006234A3"/>
    <w:rsid w:val="00625074"/>
    <w:rsid w:val="006271B3"/>
    <w:rsid w:val="00661B4A"/>
    <w:rsid w:val="00666808"/>
    <w:rsid w:val="006729A3"/>
    <w:rsid w:val="006836DA"/>
    <w:rsid w:val="006A00EE"/>
    <w:rsid w:val="006A6A1D"/>
    <w:rsid w:val="006B09AE"/>
    <w:rsid w:val="006B107C"/>
    <w:rsid w:val="006B2AE5"/>
    <w:rsid w:val="006C6CF9"/>
    <w:rsid w:val="006E3A59"/>
    <w:rsid w:val="006E7DBA"/>
    <w:rsid w:val="00704139"/>
    <w:rsid w:val="00715B2B"/>
    <w:rsid w:val="00734EE6"/>
    <w:rsid w:val="00744DB3"/>
    <w:rsid w:val="007527C8"/>
    <w:rsid w:val="00775DA2"/>
    <w:rsid w:val="00794D2E"/>
    <w:rsid w:val="007B266C"/>
    <w:rsid w:val="007C01FE"/>
    <w:rsid w:val="007D72D7"/>
    <w:rsid w:val="007E2C3A"/>
    <w:rsid w:val="008656A6"/>
    <w:rsid w:val="00866111"/>
    <w:rsid w:val="00866AA2"/>
    <w:rsid w:val="00875ACC"/>
    <w:rsid w:val="00886949"/>
    <w:rsid w:val="008C1787"/>
    <w:rsid w:val="008E28C5"/>
    <w:rsid w:val="008E5CA4"/>
    <w:rsid w:val="008F1A3B"/>
    <w:rsid w:val="00913C92"/>
    <w:rsid w:val="00954091"/>
    <w:rsid w:val="00973544"/>
    <w:rsid w:val="00987672"/>
    <w:rsid w:val="009A5D02"/>
    <w:rsid w:val="009C0BBF"/>
    <w:rsid w:val="009C606C"/>
    <w:rsid w:val="009D020A"/>
    <w:rsid w:val="00A04ED4"/>
    <w:rsid w:val="00A2201D"/>
    <w:rsid w:val="00A4739E"/>
    <w:rsid w:val="00A55010"/>
    <w:rsid w:val="00A55370"/>
    <w:rsid w:val="00A560EA"/>
    <w:rsid w:val="00A70AB3"/>
    <w:rsid w:val="00A941D8"/>
    <w:rsid w:val="00A9498C"/>
    <w:rsid w:val="00AB6E23"/>
    <w:rsid w:val="00AC4970"/>
    <w:rsid w:val="00AC6653"/>
    <w:rsid w:val="00AD0145"/>
    <w:rsid w:val="00AF1D1A"/>
    <w:rsid w:val="00AF341C"/>
    <w:rsid w:val="00AF5529"/>
    <w:rsid w:val="00AF748C"/>
    <w:rsid w:val="00B03864"/>
    <w:rsid w:val="00B1480F"/>
    <w:rsid w:val="00B43C17"/>
    <w:rsid w:val="00B44CBB"/>
    <w:rsid w:val="00B45722"/>
    <w:rsid w:val="00B46261"/>
    <w:rsid w:val="00B5263D"/>
    <w:rsid w:val="00B54842"/>
    <w:rsid w:val="00B60A4E"/>
    <w:rsid w:val="00B752CD"/>
    <w:rsid w:val="00B834E0"/>
    <w:rsid w:val="00B8474D"/>
    <w:rsid w:val="00BA0495"/>
    <w:rsid w:val="00BA6509"/>
    <w:rsid w:val="00BC118D"/>
    <w:rsid w:val="00BC15CF"/>
    <w:rsid w:val="00BD3133"/>
    <w:rsid w:val="00BD6935"/>
    <w:rsid w:val="00BE2BCF"/>
    <w:rsid w:val="00BF6BD0"/>
    <w:rsid w:val="00C13764"/>
    <w:rsid w:val="00C14BD5"/>
    <w:rsid w:val="00C23EAB"/>
    <w:rsid w:val="00C311D1"/>
    <w:rsid w:val="00C4252F"/>
    <w:rsid w:val="00C717F1"/>
    <w:rsid w:val="00C84A1E"/>
    <w:rsid w:val="00CB73F2"/>
    <w:rsid w:val="00CE13BE"/>
    <w:rsid w:val="00CE300B"/>
    <w:rsid w:val="00CE4008"/>
    <w:rsid w:val="00CE4BA1"/>
    <w:rsid w:val="00CE6D05"/>
    <w:rsid w:val="00CF1116"/>
    <w:rsid w:val="00D32F5F"/>
    <w:rsid w:val="00D3608B"/>
    <w:rsid w:val="00D547CA"/>
    <w:rsid w:val="00D569D3"/>
    <w:rsid w:val="00D661BA"/>
    <w:rsid w:val="00D73F01"/>
    <w:rsid w:val="00D92B6C"/>
    <w:rsid w:val="00DA7BC0"/>
    <w:rsid w:val="00DC2824"/>
    <w:rsid w:val="00DD6186"/>
    <w:rsid w:val="00DF7276"/>
    <w:rsid w:val="00E04176"/>
    <w:rsid w:val="00E316B4"/>
    <w:rsid w:val="00E32237"/>
    <w:rsid w:val="00E32DEB"/>
    <w:rsid w:val="00E3311F"/>
    <w:rsid w:val="00E6125B"/>
    <w:rsid w:val="00E6289B"/>
    <w:rsid w:val="00E71B34"/>
    <w:rsid w:val="00E722C4"/>
    <w:rsid w:val="00E847B1"/>
    <w:rsid w:val="00EA0BBA"/>
    <w:rsid w:val="00EA6628"/>
    <w:rsid w:val="00EC263B"/>
    <w:rsid w:val="00ED0A24"/>
    <w:rsid w:val="00ED3B46"/>
    <w:rsid w:val="00ED768D"/>
    <w:rsid w:val="00ED76BE"/>
    <w:rsid w:val="00EE6580"/>
    <w:rsid w:val="00F0050E"/>
    <w:rsid w:val="00F03327"/>
    <w:rsid w:val="00F11BB8"/>
    <w:rsid w:val="00F33728"/>
    <w:rsid w:val="00F42B05"/>
    <w:rsid w:val="00F64BA0"/>
    <w:rsid w:val="00F777C6"/>
    <w:rsid w:val="00F8293A"/>
    <w:rsid w:val="00F855E9"/>
    <w:rsid w:val="00F91889"/>
    <w:rsid w:val="00F9382A"/>
    <w:rsid w:val="00FA590B"/>
    <w:rsid w:val="00FC5026"/>
    <w:rsid w:val="00FD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21D271"/>
  <w14:defaultImageDpi w14:val="0"/>
  <w15:docId w15:val="{74F3711F-A931-430D-A205-B2DF3BB6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rsid w:val="00E612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6125B"/>
    <w:rPr>
      <w:rFonts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AF74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F748C"/>
    <w:rPr>
      <w:rFonts w:ascii="Segoe UI" w:hAnsi="Segoe UI" w:cs="Segoe UI"/>
      <w:sz w:val="18"/>
      <w:szCs w:val="18"/>
      <w:lang w:val="x-none" w:eastAsia="en-US"/>
    </w:rPr>
  </w:style>
  <w:style w:type="paragraph" w:styleId="ListParagraph">
    <w:name w:val="List Paragraph"/>
    <w:basedOn w:val="Normal"/>
    <w:uiPriority w:val="34"/>
    <w:qFormat/>
    <w:rsid w:val="000D36CD"/>
    <w:pPr>
      <w:ind w:left="720"/>
      <w:contextualSpacing/>
    </w:pPr>
  </w:style>
  <w:style w:type="paragraph" w:styleId="Revision">
    <w:name w:val="Revision"/>
    <w:hidden/>
    <w:uiPriority w:val="99"/>
    <w:semiHidden/>
    <w:rsid w:val="00AD0145"/>
    <w:rPr>
      <w:sz w:val="24"/>
      <w:lang w:eastAsia="en-US"/>
    </w:rPr>
  </w:style>
  <w:style w:type="character" w:styleId="CommentReference">
    <w:name w:val="annotation reference"/>
    <w:basedOn w:val="DefaultParagraphFont"/>
    <w:rsid w:val="0062256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2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2563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2350</Characters>
  <Application>Microsoft Office Word</Application>
  <DocSecurity>0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2006-03-31T03:28:00Z</cp:lastPrinted>
  <dcterms:created xsi:type="dcterms:W3CDTF">2024-09-23T06:21:00Z</dcterms:created>
  <dcterms:modified xsi:type="dcterms:W3CDTF">2024-09-23T06:21:00Z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2024-09-18T08:16:38Z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73882953-d6d8-4ddf-a183-dd7d259092f6</vt:lpwstr>
  </property>
  <property fmtid="{D5CDD505-2E9C-101B-9397-08002B2CF9AE}" pid="8" name="MSIP_Label_69af8531-eb46-4968-8cb3-105d2f5ea87e_ContentBits">
    <vt:lpwstr>0</vt:lpwstr>
  </property>
</Properties>
</file>