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9F4F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6594DB3" w14:textId="418B2D3B" w:rsidR="00C17FAB" w:rsidRDefault="00EA2CAF">
      <w:pPr>
        <w:pStyle w:val="Billname"/>
        <w:spacing w:before="700"/>
      </w:pPr>
      <w:r>
        <w:t>Road Transport (General) Application of Road Transport Legislation (Manuka Oval) Declaration 202</w:t>
      </w:r>
      <w:r w:rsidR="0018061F">
        <w:t>4</w:t>
      </w:r>
      <w:r w:rsidR="00FD75CE">
        <w:t xml:space="preserve"> (No</w:t>
      </w:r>
      <w:r>
        <w:t xml:space="preserve"> </w:t>
      </w:r>
      <w:r w:rsidR="005644A5">
        <w:t>2</w:t>
      </w:r>
      <w:r w:rsidR="00FD75CE">
        <w:t>)</w:t>
      </w:r>
    </w:p>
    <w:p w14:paraId="3B06A81E" w14:textId="528A5A84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EA2CAF">
        <w:rPr>
          <w:rFonts w:ascii="Arial" w:hAnsi="Arial" w:cs="Arial"/>
          <w:b/>
          <w:bCs/>
        </w:rPr>
        <w:t>202</w:t>
      </w:r>
      <w:r w:rsidR="0018061F">
        <w:rPr>
          <w:rFonts w:ascii="Arial" w:hAnsi="Arial" w:cs="Arial"/>
          <w:b/>
          <w:bCs/>
        </w:rPr>
        <w:t>4</w:t>
      </w:r>
      <w:r w:rsidR="00C17FAB">
        <w:rPr>
          <w:rFonts w:ascii="Arial" w:hAnsi="Arial" w:cs="Arial"/>
          <w:b/>
          <w:bCs/>
        </w:rPr>
        <w:t>–</w:t>
      </w:r>
      <w:r w:rsidR="00B95B9D">
        <w:rPr>
          <w:rFonts w:ascii="Arial" w:hAnsi="Arial" w:cs="Arial"/>
          <w:b/>
          <w:bCs/>
        </w:rPr>
        <w:t>301</w:t>
      </w:r>
    </w:p>
    <w:p w14:paraId="096C51D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B8BFE12" w14:textId="3B0FD6C6" w:rsidR="00C17FAB" w:rsidRDefault="00EA2CAF" w:rsidP="00DA3B00">
      <w:pPr>
        <w:pStyle w:val="CoverActName"/>
        <w:spacing w:before="320" w:after="0"/>
        <w:rPr>
          <w:rFonts w:cs="Arial"/>
          <w:sz w:val="20"/>
        </w:rPr>
      </w:pPr>
      <w:r w:rsidRPr="00EA2CAF">
        <w:rPr>
          <w:rFonts w:cs="Arial"/>
          <w:i/>
          <w:iCs/>
          <w:sz w:val="20"/>
        </w:rPr>
        <w:t>Road Transport (General) Act 1999</w:t>
      </w:r>
      <w:r>
        <w:rPr>
          <w:rFonts w:cs="Arial"/>
          <w:sz w:val="20"/>
        </w:rPr>
        <w:t>, section 12 (Power to include or exclude areas in road transport legislation)</w:t>
      </w:r>
    </w:p>
    <w:p w14:paraId="649EBA06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8536EF1" w14:textId="77777777" w:rsidR="00C17FAB" w:rsidRDefault="00C17FAB">
      <w:pPr>
        <w:pStyle w:val="N-line3"/>
        <w:pBdr>
          <w:bottom w:val="none" w:sz="0" w:space="0" w:color="auto"/>
        </w:pBdr>
      </w:pPr>
    </w:p>
    <w:p w14:paraId="73D3E991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1FD266F" w14:textId="77777777" w:rsidR="006E1DCB" w:rsidRDefault="006E1DCB" w:rsidP="006E1DCB">
      <w:r>
        <w:t xml:space="preserve">Section 12 (1) (b) of the </w:t>
      </w:r>
      <w:r>
        <w:rPr>
          <w:i/>
        </w:rPr>
        <w:t>Road Transport (General) Act 1999</w:t>
      </w:r>
      <w:r>
        <w:t xml:space="preserve"> (the Act) empowers the Minister to declare that a provision of the road transport legislation does not apply to a road or road related area. Section 12 (3) of the Act makes such a declaration a disallowable instrument.</w:t>
      </w:r>
    </w:p>
    <w:p w14:paraId="23B44D99" w14:textId="2195293E" w:rsidR="00C17FAB" w:rsidRDefault="00C17FAB"/>
    <w:p w14:paraId="4CA70B93" w14:textId="77777777" w:rsidR="006E1DCB" w:rsidRDefault="006E1DCB" w:rsidP="006E1DCB">
      <w:r>
        <w:t xml:space="preserve">Section 6 of the Act provides that </w:t>
      </w:r>
      <w:r w:rsidRPr="0070058F">
        <w:t>road transport legislation</w:t>
      </w:r>
      <w:r>
        <w:t xml:space="preserve"> includes the </w:t>
      </w:r>
      <w:r w:rsidRPr="00905831">
        <w:rPr>
          <w:i/>
        </w:rPr>
        <w:t>Road Transport (Safety and Traffic Management) Act 1999</w:t>
      </w:r>
      <w:r>
        <w:t xml:space="preserve">. Section 104 of the </w:t>
      </w:r>
      <w:r>
        <w:rPr>
          <w:i/>
        </w:rPr>
        <w:t xml:space="preserve">Legislation Act 2001 </w:t>
      </w:r>
      <w:r>
        <w:t xml:space="preserve">states that a reference to an Act includes a reference to the statutory instruments made or in force under the Act, including any regulation. Section 33 of the </w:t>
      </w:r>
      <w:r w:rsidRPr="00905831">
        <w:rPr>
          <w:i/>
        </w:rPr>
        <w:t xml:space="preserve">Road Transport </w:t>
      </w:r>
      <w:r w:rsidRPr="009D20F3">
        <w:rPr>
          <w:i/>
        </w:rPr>
        <w:t xml:space="preserve">(Safety and Traffic Management) Act 1999 </w:t>
      </w:r>
      <w:r w:rsidRPr="009D20F3">
        <w:t>incorporates</w:t>
      </w:r>
      <w:r>
        <w:t xml:space="preserve"> the </w:t>
      </w:r>
      <w:r w:rsidRPr="00F1627A">
        <w:rPr>
          <w:i/>
        </w:rPr>
        <w:t xml:space="preserve">Road Transport (Road Rules) Regulation 2017 </w:t>
      </w:r>
      <w:r>
        <w:t xml:space="preserve">which forms part of the road transport legislation. </w:t>
      </w:r>
    </w:p>
    <w:p w14:paraId="2C78E69F" w14:textId="77777777" w:rsidR="006E1DCB" w:rsidRDefault="006E1DCB" w:rsidP="006E1DCB"/>
    <w:p w14:paraId="7BA4FDFC" w14:textId="7FBBE27F" w:rsidR="00FE19B8" w:rsidRPr="00FE19B8" w:rsidRDefault="006E1DCB" w:rsidP="006E1DCB">
      <w:r>
        <w:t xml:space="preserve">This </w:t>
      </w:r>
      <w:r w:rsidRPr="00FE19B8">
        <w:t>declaration is made to support parking arrangements for major sporting events at Manuka Oval in 202</w:t>
      </w:r>
      <w:r w:rsidR="0018061F">
        <w:t>4</w:t>
      </w:r>
      <w:r w:rsidRPr="00FE19B8">
        <w:t xml:space="preserve"> and 20</w:t>
      </w:r>
      <w:r w:rsidR="0018061F">
        <w:t>25</w:t>
      </w:r>
      <w:r w:rsidRPr="00FE19B8">
        <w:t xml:space="preserve">. The effect of the declaration at clause 3 is to allow motorists attending </w:t>
      </w:r>
      <w:r w:rsidR="002A2117" w:rsidRPr="00FE19B8">
        <w:t>a</w:t>
      </w:r>
      <w:bookmarkStart w:id="1" w:name="_Hlk88031797"/>
      <w:r w:rsidR="00C039E6" w:rsidRPr="00FE19B8">
        <w:t xml:space="preserve"> </w:t>
      </w:r>
      <w:bookmarkEnd w:id="1"/>
      <w:r w:rsidR="00FE19B8" w:rsidRPr="00FE19B8">
        <w:t xml:space="preserve">Prime Minister’s XI Cricket Match, </w:t>
      </w:r>
      <w:r w:rsidR="008A00C9" w:rsidRPr="008A00C9">
        <w:t>Big Bash League 2024/25 Cricket Matches (Thunder v Strikers and Stars v Thunder)</w:t>
      </w:r>
      <w:r w:rsidR="0018061F">
        <w:t xml:space="preserve"> and the </w:t>
      </w:r>
      <w:r w:rsidR="00E96234" w:rsidRPr="00E96234">
        <w:t xml:space="preserve">Women’s T20 International Cricket Match, </w:t>
      </w:r>
      <w:r w:rsidR="00984C0F" w:rsidRPr="00FE19B8">
        <w:t xml:space="preserve">within the period of </w:t>
      </w:r>
      <w:bookmarkStart w:id="2" w:name="_Hlk180155766"/>
      <w:r w:rsidR="0018061F">
        <w:t>30 November 2024 to 23 January 2025</w:t>
      </w:r>
      <w:bookmarkEnd w:id="2"/>
      <w:r w:rsidR="0018061F">
        <w:t xml:space="preserve"> </w:t>
      </w:r>
      <w:r w:rsidR="00253349" w:rsidRPr="00FE19B8">
        <w:t>to park in non-pay time limited parking spaces near Manuka Oval for a longer period of time than is specified on the relevant parking sign</w:t>
      </w:r>
      <w:r w:rsidR="002A2117" w:rsidRPr="00FE19B8">
        <w:t xml:space="preserve">. </w:t>
      </w:r>
    </w:p>
    <w:p w14:paraId="2A36A6A3" w14:textId="77777777" w:rsidR="00FE19B8" w:rsidRPr="00FE19B8" w:rsidRDefault="00FE19B8" w:rsidP="006E1DCB"/>
    <w:p w14:paraId="353437DB" w14:textId="3A2CFED6" w:rsidR="006E1DCB" w:rsidRDefault="006E1DCB" w:rsidP="006E1DCB">
      <w:r w:rsidRPr="00FE19B8">
        <w:t xml:space="preserve">The schedule includes a map of the area surrounding Manuka Oval in which section 205 of the </w:t>
      </w:r>
      <w:r w:rsidR="009C1E32" w:rsidRPr="00FE19B8">
        <w:rPr>
          <w:i/>
        </w:rPr>
        <w:t xml:space="preserve">Road Transport (Road Rules) Regulation 2017 </w:t>
      </w:r>
      <w:r w:rsidRPr="00FE19B8">
        <w:t>will be disapplied for the periods set out in clause 4.</w:t>
      </w:r>
      <w:r>
        <w:t xml:space="preserve"> </w:t>
      </w:r>
    </w:p>
    <w:p w14:paraId="2F4F9B16" w14:textId="77777777" w:rsidR="006E1DCB" w:rsidRDefault="006E1DCB" w:rsidP="006E1DCB"/>
    <w:p w14:paraId="1BFD5C42" w14:textId="77777777" w:rsidR="006E1DCB" w:rsidRPr="00CA4A76" w:rsidRDefault="006E1DCB" w:rsidP="006E1DCB">
      <w:r>
        <w:t xml:space="preserve">A regulatory impact statement is not required as this instrument does not impose appreciable costs on the community or a part of the community (see s 34 (1) </w:t>
      </w:r>
      <w:r w:rsidRPr="00C0194C">
        <w:rPr>
          <w:i/>
        </w:rPr>
        <w:t>Legislation Act</w:t>
      </w:r>
      <w:r>
        <w:rPr>
          <w:i/>
        </w:rPr>
        <w:t xml:space="preserve"> 2001</w:t>
      </w:r>
      <w:r>
        <w:t xml:space="preserve">). Further, the temporary suspension of parking rules to support major sporting events at Manuka Oval does not operate to the disadvantage of anyone </w:t>
      </w:r>
      <w:r>
        <w:lastRenderedPageBreak/>
        <w:t xml:space="preserve">by adversely affecting their rights or imposing liabilities on the person (see s 36 (1) </w:t>
      </w:r>
      <w:r w:rsidRPr="00C0194C">
        <w:rPr>
          <w:i/>
        </w:rPr>
        <w:t>Legislation Act</w:t>
      </w:r>
      <w:r>
        <w:rPr>
          <w:i/>
        </w:rPr>
        <w:t xml:space="preserve"> 2001</w:t>
      </w:r>
      <w:r w:rsidRPr="004B4403">
        <w:t>)</w:t>
      </w:r>
      <w:r>
        <w:t>.</w:t>
      </w:r>
    </w:p>
    <w:p w14:paraId="78C9DCF9" w14:textId="4A429838" w:rsidR="006E1DCB" w:rsidRDefault="006E1DCB" w:rsidP="006E1DCB"/>
    <w:p w14:paraId="16AF8912" w14:textId="443B8E6B" w:rsidR="008D76CC" w:rsidRDefault="008D76CC" w:rsidP="006E1DCB">
      <w:pPr>
        <w:pStyle w:val="BodyText"/>
        <w:spacing w:after="240"/>
        <w:rPr>
          <w:b/>
        </w:rPr>
      </w:pPr>
      <w:r>
        <w:rPr>
          <w:b/>
        </w:rPr>
        <w:t xml:space="preserve">Clause Notes </w:t>
      </w:r>
    </w:p>
    <w:p w14:paraId="734E728F" w14:textId="4128FE25" w:rsidR="006E1DCB" w:rsidRDefault="006E1DCB" w:rsidP="006E1DCB">
      <w:pPr>
        <w:pStyle w:val="BodyText"/>
        <w:spacing w:after="240"/>
        <w:rPr>
          <w:i/>
          <w:iCs/>
        </w:rPr>
      </w:pPr>
      <w:r>
        <w:rPr>
          <w:b/>
        </w:rPr>
        <w:t>Clause</w:t>
      </w:r>
      <w:r w:rsidRPr="00551A1A">
        <w:rPr>
          <w:b/>
        </w:rPr>
        <w:t xml:space="preserve"> 1 </w:t>
      </w:r>
      <w:r>
        <w:t xml:space="preserve">names the instrument the </w:t>
      </w:r>
      <w:r w:rsidRPr="00B06140">
        <w:rPr>
          <w:i/>
          <w:iCs/>
        </w:rPr>
        <w:t xml:space="preserve">Road Transport (General) Application of Road Transport Legislation </w:t>
      </w:r>
      <w:r>
        <w:rPr>
          <w:i/>
          <w:iCs/>
        </w:rPr>
        <w:t xml:space="preserve">(Manuka Oval) </w:t>
      </w:r>
      <w:r w:rsidRPr="00B06140">
        <w:rPr>
          <w:i/>
          <w:iCs/>
        </w:rPr>
        <w:t>Declaration 20</w:t>
      </w:r>
      <w:r>
        <w:rPr>
          <w:i/>
          <w:iCs/>
        </w:rPr>
        <w:t>2</w:t>
      </w:r>
      <w:r w:rsidR="0018061F">
        <w:rPr>
          <w:i/>
          <w:iCs/>
        </w:rPr>
        <w:t>4</w:t>
      </w:r>
      <w:r>
        <w:t xml:space="preserve"> (No </w:t>
      </w:r>
      <w:r w:rsidR="005644A5">
        <w:t>2</w:t>
      </w:r>
      <w:r>
        <w:t>)</w:t>
      </w:r>
      <w:r>
        <w:rPr>
          <w:i/>
          <w:iCs/>
        </w:rPr>
        <w:t>.</w:t>
      </w:r>
    </w:p>
    <w:p w14:paraId="238DD0F6" w14:textId="77777777" w:rsidR="006E1DCB" w:rsidRPr="00C948DB" w:rsidRDefault="006E1DCB" w:rsidP="006E1DCB">
      <w:pPr>
        <w:pStyle w:val="BodyText"/>
        <w:spacing w:after="240"/>
        <w:rPr>
          <w:i/>
          <w:iCs/>
        </w:rPr>
      </w:pPr>
      <w:r>
        <w:rPr>
          <w:b/>
          <w:iCs/>
        </w:rPr>
        <w:t>Clause</w:t>
      </w:r>
      <w:r w:rsidRPr="00551A1A">
        <w:rPr>
          <w:b/>
        </w:rPr>
        <w:t xml:space="preserve"> 2</w:t>
      </w:r>
      <w:r>
        <w:t xml:space="preserve"> states that the instrument commences the day after its notification day.  </w:t>
      </w:r>
    </w:p>
    <w:p w14:paraId="12962E55" w14:textId="2ACF1F3B" w:rsidR="006E1DCB" w:rsidRDefault="006E1DCB" w:rsidP="006E1DCB">
      <w:pPr>
        <w:pStyle w:val="BodyText"/>
        <w:spacing w:after="240"/>
      </w:pPr>
      <w:r w:rsidRPr="00551A1A">
        <w:rPr>
          <w:b/>
        </w:rPr>
        <w:t>Clause 3</w:t>
      </w:r>
      <w:r>
        <w:t xml:space="preserve"> declares that for the periods set out in clause 4, section 205 (Parking for longer than indicated) of the </w:t>
      </w:r>
      <w:r>
        <w:rPr>
          <w:i/>
        </w:rPr>
        <w:t>Road Transport (Road Rules) Regulation 2017</w:t>
      </w:r>
      <w:r>
        <w:t xml:space="preserve"> does not apply to a road or road related area where a time limited permissive parking sign applies, within the area identified in the schedule. </w:t>
      </w:r>
    </w:p>
    <w:p w14:paraId="5F106564" w14:textId="0D34F7EF" w:rsidR="00FA486E" w:rsidRDefault="006E1DCB" w:rsidP="00FA486E">
      <w:pPr>
        <w:pStyle w:val="BodyText"/>
        <w:spacing w:after="240"/>
      </w:pPr>
      <w:r w:rsidRPr="00551A1A">
        <w:rPr>
          <w:b/>
        </w:rPr>
        <w:t>Clause 4</w:t>
      </w:r>
      <w:r>
        <w:t xml:space="preserve"> </w:t>
      </w:r>
      <w:r w:rsidR="005A1F96">
        <w:t xml:space="preserve">sets out the period for which the declaration in clause 3 applies. </w:t>
      </w:r>
      <w:r w:rsidR="00FA486E" w:rsidRPr="00FA486E">
        <w:t xml:space="preserve"> </w:t>
      </w:r>
    </w:p>
    <w:p w14:paraId="069E42CA" w14:textId="2F90F4D4" w:rsidR="006E1DCB" w:rsidRDefault="006E1DCB" w:rsidP="006E1DCB">
      <w:pPr>
        <w:pStyle w:val="BodyText"/>
        <w:spacing w:after="240"/>
      </w:pPr>
      <w:r w:rsidRPr="002E00EE">
        <w:rPr>
          <w:b/>
        </w:rPr>
        <w:t xml:space="preserve">Clause </w:t>
      </w:r>
      <w:r w:rsidR="007A3316">
        <w:rPr>
          <w:b/>
        </w:rPr>
        <w:t>5</w:t>
      </w:r>
      <w:r w:rsidRPr="002E00EE">
        <w:t xml:space="preserve"> provides that the declaration expires on </w:t>
      </w:r>
      <w:r w:rsidR="0018061F">
        <w:t>23 January 2025</w:t>
      </w:r>
      <w:r w:rsidRPr="002E00EE">
        <w:t>.</w:t>
      </w:r>
    </w:p>
    <w:p w14:paraId="00750452" w14:textId="77777777" w:rsidR="006E1DCB" w:rsidRDefault="006E1DCB" w:rsidP="006E1DCB">
      <w:pPr>
        <w:spacing w:after="240"/>
      </w:pPr>
      <w:r w:rsidRPr="00FC3525">
        <w:t>The</w:t>
      </w:r>
      <w:r>
        <w:rPr>
          <w:b/>
          <w:bCs/>
        </w:rPr>
        <w:t xml:space="preserve"> </w:t>
      </w:r>
      <w:r w:rsidRPr="00FC3525">
        <w:rPr>
          <w:b/>
          <w:bCs/>
        </w:rPr>
        <w:t>Schedule</w:t>
      </w:r>
      <w:r>
        <w:t xml:space="preserve"> provides a map of the area </w:t>
      </w:r>
      <w:r w:rsidRPr="00FC3525">
        <w:t xml:space="preserve">where section 205 (Parking for longer than indicated) of the </w:t>
      </w:r>
      <w:r w:rsidRPr="00FC3525">
        <w:rPr>
          <w:i/>
          <w:iCs/>
        </w:rPr>
        <w:t>Road Transport (Road Rules) Regulation 2017</w:t>
      </w:r>
      <w:r w:rsidRPr="00FC3525">
        <w:t xml:space="preserve"> is to be disapplied</w:t>
      </w:r>
      <w:r>
        <w:t>,</w:t>
      </w:r>
      <w:r w:rsidRPr="00FC3525">
        <w:t xml:space="preserve"> with the area marked by a thick dark line.</w:t>
      </w:r>
    </w:p>
    <w:p w14:paraId="434C947A" w14:textId="77777777" w:rsidR="00315CF3" w:rsidRPr="00FC3525" w:rsidRDefault="00315CF3" w:rsidP="006E1DCB">
      <w:pPr>
        <w:spacing w:after="240"/>
      </w:pPr>
    </w:p>
    <w:p w14:paraId="21E36A7C" w14:textId="77777777" w:rsidR="006E1DCB" w:rsidRDefault="006E1DCB"/>
    <w:sectPr w:rsidR="006E1DCB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64F7" w14:textId="77777777" w:rsidR="004D5AF6" w:rsidRDefault="004D5AF6" w:rsidP="00C17FAB">
      <w:r>
        <w:separator/>
      </w:r>
    </w:p>
  </w:endnote>
  <w:endnote w:type="continuationSeparator" w:id="0">
    <w:p w14:paraId="036C8A10" w14:textId="77777777" w:rsidR="004D5AF6" w:rsidRDefault="004D5AF6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C9B5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EB4E" w14:textId="46D92F37" w:rsidR="00DA3B00" w:rsidRPr="008D51F1" w:rsidRDefault="008D51F1" w:rsidP="008D51F1">
    <w:pPr>
      <w:pStyle w:val="Footer"/>
      <w:jc w:val="center"/>
      <w:rPr>
        <w:rFonts w:cs="Arial"/>
        <w:sz w:val="14"/>
      </w:rPr>
    </w:pPr>
    <w:r w:rsidRPr="008D51F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30B4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F52A" w14:textId="77777777" w:rsidR="004D5AF6" w:rsidRDefault="004D5AF6" w:rsidP="00C17FAB">
      <w:r>
        <w:separator/>
      </w:r>
    </w:p>
  </w:footnote>
  <w:footnote w:type="continuationSeparator" w:id="0">
    <w:p w14:paraId="65F0C882" w14:textId="77777777" w:rsidR="004D5AF6" w:rsidRDefault="004D5AF6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BF56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2977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E11A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4264481">
    <w:abstractNumId w:val="2"/>
  </w:num>
  <w:num w:numId="2" w16cid:durableId="354231831">
    <w:abstractNumId w:val="0"/>
  </w:num>
  <w:num w:numId="3" w16cid:durableId="1024747998">
    <w:abstractNumId w:val="3"/>
  </w:num>
  <w:num w:numId="4" w16cid:durableId="1984694491">
    <w:abstractNumId w:val="6"/>
  </w:num>
  <w:num w:numId="5" w16cid:durableId="802961718">
    <w:abstractNumId w:val="7"/>
  </w:num>
  <w:num w:numId="6" w16cid:durableId="305940510">
    <w:abstractNumId w:val="1"/>
  </w:num>
  <w:num w:numId="7" w16cid:durableId="1732727210">
    <w:abstractNumId w:val="4"/>
  </w:num>
  <w:num w:numId="8" w16cid:durableId="2049144185">
    <w:abstractNumId w:val="5"/>
  </w:num>
  <w:num w:numId="9" w16cid:durableId="1912083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18061F"/>
    <w:rsid w:val="001C0295"/>
    <w:rsid w:val="00253349"/>
    <w:rsid w:val="00277B48"/>
    <w:rsid w:val="002969EB"/>
    <w:rsid w:val="002A2117"/>
    <w:rsid w:val="002C482D"/>
    <w:rsid w:val="002D7C60"/>
    <w:rsid w:val="002E00EE"/>
    <w:rsid w:val="002E0C23"/>
    <w:rsid w:val="00302B2C"/>
    <w:rsid w:val="00315CF3"/>
    <w:rsid w:val="003775F8"/>
    <w:rsid w:val="004036EA"/>
    <w:rsid w:val="00427AB6"/>
    <w:rsid w:val="00476F67"/>
    <w:rsid w:val="00480DCE"/>
    <w:rsid w:val="004A0E62"/>
    <w:rsid w:val="004D5AF6"/>
    <w:rsid w:val="005644A5"/>
    <w:rsid w:val="005A1F96"/>
    <w:rsid w:val="005A6A92"/>
    <w:rsid w:val="005B3819"/>
    <w:rsid w:val="005D3E3E"/>
    <w:rsid w:val="006D5B83"/>
    <w:rsid w:val="006E1DCB"/>
    <w:rsid w:val="007346AC"/>
    <w:rsid w:val="00756CC9"/>
    <w:rsid w:val="007A3316"/>
    <w:rsid w:val="008A00C9"/>
    <w:rsid w:val="008D51F1"/>
    <w:rsid w:val="008D76CC"/>
    <w:rsid w:val="008F114A"/>
    <w:rsid w:val="00920A90"/>
    <w:rsid w:val="00950684"/>
    <w:rsid w:val="009508A5"/>
    <w:rsid w:val="00984C0F"/>
    <w:rsid w:val="009B3F09"/>
    <w:rsid w:val="009C1E32"/>
    <w:rsid w:val="009E7418"/>
    <w:rsid w:val="00A4781D"/>
    <w:rsid w:val="00B95B9D"/>
    <w:rsid w:val="00BD3FC1"/>
    <w:rsid w:val="00C039E6"/>
    <w:rsid w:val="00C17FAB"/>
    <w:rsid w:val="00C87FF7"/>
    <w:rsid w:val="00C93267"/>
    <w:rsid w:val="00CE599C"/>
    <w:rsid w:val="00D14FBC"/>
    <w:rsid w:val="00D53121"/>
    <w:rsid w:val="00DA35BE"/>
    <w:rsid w:val="00DA3B00"/>
    <w:rsid w:val="00DA478E"/>
    <w:rsid w:val="00E96234"/>
    <w:rsid w:val="00EA2CAF"/>
    <w:rsid w:val="00EE7AA0"/>
    <w:rsid w:val="00F84896"/>
    <w:rsid w:val="00FA486E"/>
    <w:rsid w:val="00FD75CE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43742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rsid w:val="006E1D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1DCB"/>
    <w:rPr>
      <w:sz w:val="24"/>
      <w:lang w:eastAsia="en-US"/>
    </w:rPr>
  </w:style>
  <w:style w:type="paragraph" w:styleId="Revision">
    <w:name w:val="Revision"/>
    <w:hidden/>
    <w:uiPriority w:val="99"/>
    <w:semiHidden/>
    <w:rsid w:val="00BD3FC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A48802467</value>
    </field>
    <field name="Objective-Title">
      <value order="0">Attachment B - Explanatory Statement</value>
    </field>
    <field name="Objective-Description">
      <value order="0"/>
    </field>
    <field name="Objective-CreationStamp">
      <value order="0">2024-10-21T02:48:49Z</value>
    </field>
    <field name="Objective-IsApproved">
      <value order="0">false</value>
    </field>
    <field name="Objective-IsPublished">
      <value order="0">true</value>
    </field>
    <field name="Objective-DatePublished">
      <value order="0">2024-11-12T06:07:32Z</value>
    </field>
    <field name="Objective-ModificationStamp">
      <value order="0">2024-11-20T22:47:54Z</value>
    </field>
    <field name="Objective-Owner">
      <value order="0">Marlin Hanna</value>
    </field>
    <field name="Objective-Path">
      <value order="0">Whole of ACT Government:TCCS STRUCTURE - Content Restriction Hierarchy:01. Assembly, Cabinet, Ministerial:03. Ministerials:03. Complete:Information Brief (Minister):2024 Information Brief (Minister) (TCCS):TCBS - MIN S2024/01584 - Cricket Season at Manuka Oval 2024/2025 - Minister Brief</value>
    </field>
    <field name="Objective-Parent">
      <value order="0">TCBS - MIN S2024/01584 - Cricket Season at Manuka Oval 2024/2025 - Minister Brief</value>
    </field>
    <field name="Objective-State">
      <value order="0">Published</value>
    </field>
    <field name="Objective-VersionId">
      <value order="0">vA61964835</value>
    </field>
    <field name="Objective-Version">
      <value order="0">4.0</value>
    </field>
    <field name="Objective-VersionNumber">
      <value order="0">6</value>
    </field>
    <field name="Objective-VersionComment">
      <value order="0"/>
    </field>
    <field name="Objective-FileNumber">
      <value order="0">1-2024/00791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>Minister Brief</value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2652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2024-11-20T23:17:00Z</dcterms:created>
  <dcterms:modified xsi:type="dcterms:W3CDTF">2024-11-20T23:17:00Z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A48802467</vt:lpwstr>
  </property>
  <property fmtid="{D5CDD505-2E9C-101B-9397-08002B2CF9AE}" pid="4" name="Objective-Title">
    <vt:lpwstr>Attachment B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2024-10-21T02:48:49Z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2024-11-12T06:07:32Z</vt:filetime>
  </property>
  <property fmtid="{D5CDD505-2E9C-101B-9397-08002B2CF9AE}" pid="10" name="Objective-ModificationStamp">
    <vt:filetime>2024-11-20T22:47:54Z</vt:filetime>
  </property>
  <property fmtid="{D5CDD505-2E9C-101B-9397-08002B2CF9AE}" pid="11" name="Objective-Owner">
    <vt:lpwstr>Marlin Hanna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(Minister):2024 Information Brief (Minister) (TCCS):TCBS - MIN S2024/01584 - Cricket Season at Manuka Oval 2024/2025 - Minister Brief:</vt:lpwstr>
  </property>
  <property fmtid="{D5CDD505-2E9C-101B-9397-08002B2CF9AE}" pid="13" name="Objective-Parent">
    <vt:lpwstr>TCBS - MIN S2024/01584 - Cricket Season at Manuka Oval 2024/2025 -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1-2024/00791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>Minister Brief</vt:lpwstr>
  </property>
  <property fmtid="{D5CDD505-2E9C-101B-9397-08002B2CF9AE}" pid="29" name="Objective-Suburb">
    <vt:lpwstr/>
  </property>
  <property fmtid="{D5CDD505-2E9C-101B-9397-08002B2CF9AE}" pid="30" name="Objective-Description">
    <vt:lpwstr/>
  </property>
  <property fmtid="{D5CDD505-2E9C-101B-9397-08002B2CF9AE}" pid="31" name="Objective-VersionId">
    <vt:lpwstr>vA61964835</vt:lpwstr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2024-10-18T04:08:34Z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17884f9e-213e-4034-9321-67054f2478ec</vt:lpwstr>
  </property>
  <property fmtid="{D5CDD505-2E9C-101B-9397-08002B2CF9AE}" pid="38" name="MSIP_Label_69af8531-eb46-4968-8cb3-105d2f5ea87e_ContentBits">
    <vt:lpwstr>0</vt:lpwstr>
  </property>
</Properties>
</file>