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5B43" w14:textId="3DDB57D4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7D50BC2" w14:textId="2D61A242" w:rsidR="005D70F1" w:rsidRPr="002F1A2A" w:rsidRDefault="003A2B81" w:rsidP="002F1A2A">
      <w:pPr>
        <w:pStyle w:val="Heading1"/>
      </w:pPr>
      <w:r>
        <w:t>Climate Change and Greenhouse Gas Reduction (Greenhouse Gas Emissions Measurement</w:t>
      </w:r>
      <w:r w:rsidR="00E25A42">
        <w:t xml:space="preserve"> Method</w:t>
      </w:r>
      <w:r w:rsidR="005D70F1" w:rsidRPr="002F1A2A">
        <w:t>)</w:t>
      </w:r>
      <w:r w:rsidR="00767778">
        <w:t xml:space="preserve"> Determination </w:t>
      </w:r>
      <w:r w:rsidR="00513992">
        <w:t>202</w:t>
      </w:r>
      <w:r w:rsidR="00225D99">
        <w:t>4</w:t>
      </w:r>
      <w:r w:rsidR="00513992">
        <w:t xml:space="preserve"> </w:t>
      </w:r>
    </w:p>
    <w:p w14:paraId="3330D30A" w14:textId="551E95B4" w:rsidR="005D70F1" w:rsidRPr="00A33086" w:rsidRDefault="005D70F1" w:rsidP="00F312D1">
      <w:pPr>
        <w:spacing w:before="340"/>
      </w:pPr>
      <w:r w:rsidRPr="00A33086">
        <w:rPr>
          <w:rFonts w:ascii="Arial" w:hAnsi="Arial" w:cs="Arial"/>
          <w:b/>
          <w:bCs/>
        </w:rPr>
        <w:t xml:space="preserve">Disallowable instrument </w:t>
      </w:r>
      <w:r w:rsidR="00F253DB" w:rsidRPr="00E57D5A">
        <w:rPr>
          <w:rFonts w:ascii="Arial" w:hAnsi="Arial" w:cs="Arial"/>
          <w:b/>
          <w:bCs/>
        </w:rPr>
        <w:t>DI202</w:t>
      </w:r>
      <w:r w:rsidR="00225D99" w:rsidRPr="005A16E7">
        <w:rPr>
          <w:rFonts w:ascii="Arial" w:hAnsi="Arial" w:cs="Arial"/>
          <w:b/>
          <w:bCs/>
        </w:rPr>
        <w:t>4</w:t>
      </w:r>
      <w:r w:rsidR="00774AC7" w:rsidRPr="005A16E7">
        <w:rPr>
          <w:rFonts w:ascii="Arial" w:hAnsi="Arial" w:cs="Arial"/>
          <w:b/>
          <w:bCs/>
        </w:rPr>
        <w:t>-</w:t>
      </w:r>
      <w:r w:rsidR="005A16E7" w:rsidRPr="005A16E7">
        <w:rPr>
          <w:rFonts w:ascii="Arial" w:hAnsi="Arial" w:cs="Arial"/>
          <w:b/>
          <w:bCs/>
        </w:rPr>
        <w:t>311</w:t>
      </w:r>
    </w:p>
    <w:p w14:paraId="3A4917E6" w14:textId="77777777" w:rsidR="005D70F1" w:rsidRDefault="005D70F1" w:rsidP="00C37261">
      <w:pPr>
        <w:pStyle w:val="madeunder"/>
        <w:spacing w:before="300" w:after="120"/>
      </w:pPr>
      <w:r>
        <w:t xml:space="preserve">made under the  </w:t>
      </w:r>
    </w:p>
    <w:p w14:paraId="21269A90" w14:textId="16A729CA" w:rsidR="00871914" w:rsidRDefault="003A2B81" w:rsidP="00C37261">
      <w:pPr>
        <w:pStyle w:val="CoverActName"/>
        <w:spacing w:before="320"/>
        <w:jc w:val="left"/>
        <w:rPr>
          <w:rFonts w:cs="Arial"/>
          <w:sz w:val="20"/>
        </w:rPr>
      </w:pPr>
      <w:r>
        <w:rPr>
          <w:rFonts w:cs="Arial"/>
          <w:sz w:val="20"/>
        </w:rPr>
        <w:t>Climate Change and Greenhouse Gas Reduction Act 2010</w:t>
      </w:r>
      <w:r w:rsidR="00082141">
        <w:rPr>
          <w:rFonts w:cs="Arial"/>
          <w:sz w:val="20"/>
        </w:rPr>
        <w:t>,</w:t>
      </w:r>
      <w:r>
        <w:rPr>
          <w:rFonts w:cs="Arial"/>
          <w:sz w:val="20"/>
        </w:rPr>
        <w:t xml:space="preserve"> s 11 (Measuring greenhouse gas emissions</w:t>
      </w:r>
      <w:r w:rsidR="00CD5091">
        <w:rPr>
          <w:rFonts w:cs="Arial"/>
          <w:sz w:val="20"/>
        </w:rPr>
        <w:t>—</w:t>
      </w:r>
      <w:r>
        <w:rPr>
          <w:rFonts w:cs="Arial"/>
          <w:sz w:val="20"/>
        </w:rPr>
        <w:t>determinations</w:t>
      </w:r>
      <w:r w:rsidR="005D70F1">
        <w:rPr>
          <w:rFonts w:cs="Arial"/>
          <w:sz w:val="20"/>
        </w:rPr>
        <w:t>)</w:t>
      </w:r>
    </w:p>
    <w:p w14:paraId="61044F24" w14:textId="77777777" w:rsidR="005D70F1" w:rsidRPr="002F1A2A" w:rsidRDefault="005D70F1" w:rsidP="00C37261">
      <w:pPr>
        <w:pStyle w:val="Heading3"/>
        <w:ind w:right="567"/>
      </w:pPr>
      <w:r w:rsidRPr="002F1A2A">
        <w:t>EXPLANATORY STATEMENT</w:t>
      </w:r>
    </w:p>
    <w:p w14:paraId="7D5D0732" w14:textId="77777777" w:rsidR="005D70F1" w:rsidRDefault="005D70F1">
      <w:pPr>
        <w:pStyle w:val="N-line3"/>
        <w:pBdr>
          <w:bottom w:val="none" w:sz="0" w:space="0" w:color="auto"/>
        </w:pBdr>
      </w:pPr>
    </w:p>
    <w:p w14:paraId="74E9F150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33D1F830" w14:textId="77777777" w:rsidR="000E62A3" w:rsidRDefault="00881C95" w:rsidP="00881C95">
      <w:r w:rsidRPr="00881C95">
        <w:t xml:space="preserve">This explanatory statement relates to the </w:t>
      </w:r>
      <w:r w:rsidRPr="001502E1">
        <w:rPr>
          <w:i/>
          <w:iCs/>
        </w:rPr>
        <w:t xml:space="preserve">Climate Change and Greenhouse Gas Reduction (Greenhouse Gas Emissions Measurement Method) Determination </w:t>
      </w:r>
      <w:r w:rsidR="00513992" w:rsidRPr="001502E1">
        <w:rPr>
          <w:i/>
          <w:iCs/>
        </w:rPr>
        <w:t>202</w:t>
      </w:r>
      <w:r w:rsidR="001E0D81">
        <w:rPr>
          <w:i/>
          <w:iCs/>
        </w:rPr>
        <w:t>4</w:t>
      </w:r>
      <w:r w:rsidR="00513992">
        <w:rPr>
          <w:i/>
          <w:iCs/>
        </w:rPr>
        <w:t xml:space="preserve"> </w:t>
      </w:r>
      <w:r w:rsidR="00283352">
        <w:t xml:space="preserve">(the </w:t>
      </w:r>
      <w:r w:rsidR="00283352" w:rsidRPr="00F312D1">
        <w:rPr>
          <w:b/>
          <w:bCs/>
          <w:i/>
          <w:iCs/>
        </w:rPr>
        <w:t>determination</w:t>
      </w:r>
      <w:r w:rsidR="00283352">
        <w:t xml:space="preserve">) </w:t>
      </w:r>
      <w:r w:rsidRPr="00881C95">
        <w:t xml:space="preserve">as made by the </w:t>
      </w:r>
      <w:r w:rsidR="00545FF0" w:rsidRPr="00545FF0">
        <w:t xml:space="preserve">Minister for </w:t>
      </w:r>
      <w:r w:rsidR="00B27B39">
        <w:t xml:space="preserve">Climate Change, Environment, Energy and Water </w:t>
      </w:r>
      <w:r w:rsidRPr="00881C95">
        <w:t xml:space="preserve">and presented to the Legislative Assembly. </w:t>
      </w:r>
    </w:p>
    <w:p w14:paraId="258DDCA2" w14:textId="77777777" w:rsidR="000E62A3" w:rsidRDefault="000E62A3" w:rsidP="00881C95"/>
    <w:p w14:paraId="775D4697" w14:textId="192B19EA" w:rsidR="00881C95" w:rsidRPr="00881C95" w:rsidRDefault="00881C95" w:rsidP="00881C95">
      <w:r w:rsidRPr="00881C95">
        <w:t xml:space="preserve">It has been prepared </w:t>
      </w:r>
      <w:r w:rsidR="00916168" w:rsidRPr="00881C95">
        <w:t>to</w:t>
      </w:r>
      <w:r w:rsidRPr="00881C95">
        <w:t xml:space="preserve"> assist the reader of the instrument.</w:t>
      </w:r>
      <w:r>
        <w:t xml:space="preserve"> </w:t>
      </w:r>
      <w:r w:rsidRPr="00881C95">
        <w:t xml:space="preserve">It does not form part of the instrument and has not been endorsed by the </w:t>
      </w:r>
      <w:r>
        <w:t>L</w:t>
      </w:r>
      <w:r w:rsidRPr="00881C95">
        <w:t xml:space="preserve">egislative Assembly. </w:t>
      </w:r>
    </w:p>
    <w:p w14:paraId="5069FD00" w14:textId="77777777" w:rsidR="00881C95" w:rsidRDefault="00881C95" w:rsidP="00881C95"/>
    <w:p w14:paraId="22CC7C0D" w14:textId="26915307" w:rsidR="003D5E11" w:rsidRDefault="00881C95" w:rsidP="00916168">
      <w:pPr>
        <w:rPr>
          <w:rFonts w:ascii="Arial" w:hAnsi="Arial" w:cs="Arial"/>
          <w:b/>
          <w:bCs/>
          <w:sz w:val="22"/>
          <w:szCs w:val="22"/>
          <w:lang w:eastAsia="en-AU"/>
        </w:rPr>
      </w:pPr>
      <w:r w:rsidRPr="00881C95">
        <w:t xml:space="preserve">This explanatory statement must be read in conjunction with the instrument. It is not, and is not meant to be, a comprehensive description of the instrument. </w:t>
      </w:r>
    </w:p>
    <w:p w14:paraId="19BFBB31" w14:textId="77777777" w:rsidR="003D5E11" w:rsidRDefault="003D5E11" w:rsidP="000634A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AU"/>
        </w:rPr>
      </w:pPr>
    </w:p>
    <w:p w14:paraId="6B7D10AE" w14:textId="77777777" w:rsidR="000634A4" w:rsidRDefault="000634A4" w:rsidP="000634A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AU"/>
        </w:rPr>
      </w:pPr>
      <w:r>
        <w:rPr>
          <w:rFonts w:ascii="Arial" w:hAnsi="Arial" w:cs="Arial"/>
          <w:b/>
          <w:bCs/>
          <w:sz w:val="22"/>
          <w:szCs w:val="22"/>
          <w:lang w:eastAsia="en-AU"/>
        </w:rPr>
        <w:t>Overview</w:t>
      </w:r>
    </w:p>
    <w:p w14:paraId="37F5C0CC" w14:textId="33CBF73B" w:rsidR="000634A4" w:rsidRDefault="000634A4" w:rsidP="000634A4">
      <w:r w:rsidRPr="000634A4">
        <w:t xml:space="preserve">The </w:t>
      </w:r>
      <w:r w:rsidRPr="000634A4">
        <w:rPr>
          <w:i/>
        </w:rPr>
        <w:t>Climate Change and Greenhouse Gas Reduction Act 2010</w:t>
      </w:r>
      <w:r w:rsidRPr="000634A4">
        <w:t xml:space="preserve"> (the </w:t>
      </w:r>
      <w:r w:rsidRPr="00F312D1">
        <w:rPr>
          <w:b/>
          <w:bCs/>
          <w:i/>
          <w:iCs/>
        </w:rPr>
        <w:t>Act</w:t>
      </w:r>
      <w:r w:rsidRPr="000634A4">
        <w:t>) sets targets</w:t>
      </w:r>
      <w:r>
        <w:t xml:space="preserve"> </w:t>
      </w:r>
      <w:r w:rsidRPr="000634A4">
        <w:t>for greenhouse gas (GHG) emission</w:t>
      </w:r>
      <w:r w:rsidR="000F72A6">
        <w:t>s</w:t>
      </w:r>
      <w:r w:rsidRPr="000634A4">
        <w:t xml:space="preserve"> reduction and the </w:t>
      </w:r>
      <w:r w:rsidR="00896C99">
        <w:t>use of renewable electricity in the ACT</w:t>
      </w:r>
      <w:r w:rsidRPr="000634A4">
        <w:t>. It also provides for monitoring and reporting</w:t>
      </w:r>
      <w:r>
        <w:t xml:space="preserve"> </w:t>
      </w:r>
      <w:r w:rsidRPr="000634A4">
        <w:t xml:space="preserve">on progress made in achieving GHG </w:t>
      </w:r>
      <w:r w:rsidR="00896C99">
        <w:t xml:space="preserve">emissions </w:t>
      </w:r>
      <w:r w:rsidRPr="000634A4">
        <w:t>reduction, informs the government’s</w:t>
      </w:r>
      <w:r>
        <w:t xml:space="preserve"> </w:t>
      </w:r>
      <w:r w:rsidRPr="000634A4">
        <w:t>development of policies, and encourages private entities to actively address climate</w:t>
      </w:r>
      <w:r>
        <w:t xml:space="preserve"> </w:t>
      </w:r>
      <w:r w:rsidRPr="000634A4">
        <w:t>change.</w:t>
      </w:r>
    </w:p>
    <w:p w14:paraId="69F22700" w14:textId="77777777" w:rsidR="000634A4" w:rsidRPr="000634A4" w:rsidRDefault="000634A4" w:rsidP="000634A4"/>
    <w:p w14:paraId="09CF237D" w14:textId="045DF7FF" w:rsidR="000634A4" w:rsidRDefault="000634A4" w:rsidP="000634A4">
      <w:r w:rsidRPr="000634A4">
        <w:t>Pursuant to section 12 of the Act</w:t>
      </w:r>
      <w:r w:rsidR="00082141">
        <w:t>,</w:t>
      </w:r>
      <w:r w:rsidRPr="000634A4">
        <w:t xml:space="preserve"> an independent entity must prepare a report</w:t>
      </w:r>
      <w:r>
        <w:t xml:space="preserve"> </w:t>
      </w:r>
      <w:r w:rsidRPr="000634A4">
        <w:t xml:space="preserve">annually on the measured </w:t>
      </w:r>
      <w:r w:rsidR="00896C99">
        <w:t xml:space="preserve">GHG </w:t>
      </w:r>
      <w:r w:rsidRPr="000634A4">
        <w:t>emissio</w:t>
      </w:r>
      <w:r w:rsidR="000F72A6">
        <w:t>ns</w:t>
      </w:r>
      <w:r w:rsidRPr="000634A4">
        <w:t xml:space="preserve"> for the ACT.</w:t>
      </w:r>
      <w:r>
        <w:t xml:space="preserve"> </w:t>
      </w:r>
      <w:r w:rsidRPr="000634A4">
        <w:t>The report must be provided to the Minister</w:t>
      </w:r>
      <w:r>
        <w:t xml:space="preserve"> </w:t>
      </w:r>
      <w:r w:rsidRPr="000634A4">
        <w:t xml:space="preserve">within three months after the end of the </w:t>
      </w:r>
      <w:r w:rsidR="000F72A6">
        <w:t>reporting period</w:t>
      </w:r>
      <w:r w:rsidR="004C4701">
        <w:t xml:space="preserve">; </w:t>
      </w:r>
      <w:r w:rsidR="000F72A6">
        <w:t>that is, by 30 </w:t>
      </w:r>
      <w:r w:rsidRPr="000634A4">
        <w:t>September</w:t>
      </w:r>
      <w:r>
        <w:t xml:space="preserve"> </w:t>
      </w:r>
      <w:r w:rsidRPr="000634A4">
        <w:t>each year</w:t>
      </w:r>
      <w:r w:rsidR="007C0B12">
        <w:t xml:space="preserve"> for the period two years in arrears</w:t>
      </w:r>
      <w:r w:rsidRPr="000634A4">
        <w:t>.</w:t>
      </w:r>
    </w:p>
    <w:p w14:paraId="6A9128E1" w14:textId="77777777" w:rsidR="000634A4" w:rsidRDefault="000634A4" w:rsidP="000634A4"/>
    <w:p w14:paraId="5DDA41F6" w14:textId="77777777" w:rsidR="00DD73BE" w:rsidRDefault="00DD73BE">
      <w:pPr>
        <w:rPr>
          <w:rFonts w:ascii="Arial" w:hAnsi="Arial" w:cs="Arial"/>
          <w:b/>
          <w:bCs/>
          <w:sz w:val="22"/>
          <w:szCs w:val="22"/>
          <w:lang w:eastAsia="en-AU"/>
        </w:rPr>
      </w:pPr>
      <w:r>
        <w:rPr>
          <w:rFonts w:ascii="Arial" w:hAnsi="Arial" w:cs="Arial"/>
          <w:b/>
          <w:bCs/>
          <w:sz w:val="22"/>
          <w:szCs w:val="22"/>
          <w:lang w:eastAsia="en-AU"/>
        </w:rPr>
        <w:br w:type="page"/>
      </w:r>
    </w:p>
    <w:p w14:paraId="19216EBC" w14:textId="77777777" w:rsidR="000634A4" w:rsidRDefault="000634A4" w:rsidP="000634A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AU"/>
        </w:rPr>
      </w:pPr>
      <w:r>
        <w:rPr>
          <w:rFonts w:ascii="Arial" w:hAnsi="Arial" w:cs="Arial"/>
          <w:b/>
          <w:bCs/>
          <w:sz w:val="22"/>
          <w:szCs w:val="22"/>
          <w:lang w:eastAsia="en-AU"/>
        </w:rPr>
        <w:lastRenderedPageBreak/>
        <w:t>Purpose</w:t>
      </w:r>
    </w:p>
    <w:p w14:paraId="32A1D925" w14:textId="352D7F11" w:rsidR="000634A4" w:rsidRDefault="000634A4" w:rsidP="000634A4">
      <w:r w:rsidRPr="000634A4">
        <w:t xml:space="preserve">The purpose of </w:t>
      </w:r>
      <w:r w:rsidR="00A55149">
        <w:rPr>
          <w:iCs/>
        </w:rPr>
        <w:t xml:space="preserve">the </w:t>
      </w:r>
      <w:r w:rsidR="00283352">
        <w:t>d</w:t>
      </w:r>
      <w:r w:rsidRPr="000634A4">
        <w:t>etermination is to prescribe a method for measuring GHG</w:t>
      </w:r>
      <w:r>
        <w:t xml:space="preserve"> </w:t>
      </w:r>
      <w:r w:rsidRPr="000634A4">
        <w:t>emissions. Under section 11 of the Act</w:t>
      </w:r>
      <w:r w:rsidR="00082141">
        <w:t>,</w:t>
      </w:r>
      <w:r w:rsidRPr="000634A4">
        <w:t xml:space="preserve"> th</w:t>
      </w:r>
      <w:r w:rsidR="000F72A6">
        <w:t xml:space="preserve">e </w:t>
      </w:r>
      <w:r w:rsidR="00283352">
        <w:t>d</w:t>
      </w:r>
      <w:r w:rsidR="000F72A6">
        <w:t xml:space="preserve">etermination is </w:t>
      </w:r>
      <w:r w:rsidR="00A55149">
        <w:t xml:space="preserve">made </w:t>
      </w:r>
      <w:r w:rsidR="000F72A6">
        <w:t xml:space="preserve">by way of a </w:t>
      </w:r>
      <w:r w:rsidR="00283352">
        <w:t>d</w:t>
      </w:r>
      <w:r w:rsidRPr="000634A4">
        <w:t>isallowable</w:t>
      </w:r>
      <w:r>
        <w:t xml:space="preserve"> </w:t>
      </w:r>
      <w:r w:rsidR="00283352">
        <w:t>i</w:t>
      </w:r>
      <w:r w:rsidRPr="000634A4">
        <w:t>nstrument which must be notified, and presented to the Legislative Assembly, under</w:t>
      </w:r>
      <w:r>
        <w:t xml:space="preserve"> </w:t>
      </w:r>
      <w:r w:rsidRPr="000634A4">
        <w:t xml:space="preserve">the </w:t>
      </w:r>
      <w:r w:rsidRPr="000634A4">
        <w:rPr>
          <w:i/>
        </w:rPr>
        <w:t>Legislation Act 2001</w:t>
      </w:r>
      <w:r w:rsidR="00AD4A1C">
        <w:rPr>
          <w:iCs/>
        </w:rPr>
        <w:t xml:space="preserve"> (the </w:t>
      </w:r>
      <w:r w:rsidR="00AD4A1C" w:rsidRPr="00E57D5A">
        <w:rPr>
          <w:b/>
          <w:bCs/>
          <w:i/>
        </w:rPr>
        <w:t>Legislation Act</w:t>
      </w:r>
      <w:r w:rsidR="00AD4A1C">
        <w:rPr>
          <w:iCs/>
        </w:rPr>
        <w:t>)</w:t>
      </w:r>
      <w:r w:rsidRPr="000634A4">
        <w:t>.</w:t>
      </w:r>
      <w:r w:rsidR="00896C99">
        <w:t xml:space="preserve"> </w:t>
      </w:r>
      <w:r w:rsidRPr="000634A4">
        <w:t xml:space="preserve">The </w:t>
      </w:r>
      <w:r w:rsidR="00283352">
        <w:t>d</w:t>
      </w:r>
      <w:r w:rsidRPr="000634A4">
        <w:t xml:space="preserve">etermination </w:t>
      </w:r>
      <w:r w:rsidR="00283352">
        <w:t>commences</w:t>
      </w:r>
      <w:r w:rsidRPr="000634A4">
        <w:t xml:space="preserve"> </w:t>
      </w:r>
      <w:r w:rsidR="004230BB">
        <w:t xml:space="preserve">on </w:t>
      </w:r>
      <w:r w:rsidRPr="000634A4">
        <w:t xml:space="preserve">the day after </w:t>
      </w:r>
      <w:r w:rsidR="00A55149">
        <w:t xml:space="preserve">its </w:t>
      </w:r>
      <w:r w:rsidRPr="000634A4">
        <w:t>notification</w:t>
      </w:r>
      <w:r w:rsidR="00A55149">
        <w:t xml:space="preserve"> day</w:t>
      </w:r>
      <w:r w:rsidRPr="000634A4">
        <w:t>.</w:t>
      </w:r>
    </w:p>
    <w:p w14:paraId="061438C9" w14:textId="77777777" w:rsidR="000634A4" w:rsidRPr="000634A4" w:rsidRDefault="000634A4" w:rsidP="00891901"/>
    <w:p w14:paraId="50D3306A" w14:textId="34676220" w:rsidR="000009BC" w:rsidRDefault="000634A4" w:rsidP="004C4701">
      <w:pPr>
        <w:spacing w:after="240"/>
      </w:pPr>
      <w:r w:rsidRPr="000634A4">
        <w:t xml:space="preserve">In making the </w:t>
      </w:r>
      <w:r w:rsidR="00283352">
        <w:t>d</w:t>
      </w:r>
      <w:r w:rsidRPr="000634A4">
        <w:t>etermination, the Minister must</w:t>
      </w:r>
      <w:r w:rsidR="00896C99">
        <w:t xml:space="preserve"> (</w:t>
      </w:r>
      <w:r w:rsidR="007650D5">
        <w:t xml:space="preserve">as per </w:t>
      </w:r>
      <w:r w:rsidR="00896C99">
        <w:t>section 11</w:t>
      </w:r>
      <w:r w:rsidR="000E08A1">
        <w:t xml:space="preserve"> </w:t>
      </w:r>
      <w:r w:rsidR="00896C99">
        <w:t>(3) of the Act):</w:t>
      </w:r>
    </w:p>
    <w:p w14:paraId="50F53197" w14:textId="77777777" w:rsidR="00896C99" w:rsidRDefault="000634A4" w:rsidP="004C4701">
      <w:pPr>
        <w:pStyle w:val="ListParagraph"/>
        <w:numPr>
          <w:ilvl w:val="0"/>
          <w:numId w:val="16"/>
        </w:numPr>
        <w:spacing w:after="120"/>
        <w:ind w:left="777" w:hanging="357"/>
        <w:contextualSpacing w:val="0"/>
      </w:pPr>
      <w:r w:rsidRPr="000634A4">
        <w:t>seek</w:t>
      </w:r>
      <w:r w:rsidR="00896C99">
        <w:t>,</w:t>
      </w:r>
      <w:r w:rsidRPr="000634A4">
        <w:t xml:space="preserve"> and have regard to</w:t>
      </w:r>
      <w:r w:rsidR="00896C99">
        <w:t>,</w:t>
      </w:r>
      <w:r w:rsidRPr="000634A4">
        <w:t xml:space="preserve"> the</w:t>
      </w:r>
      <w:r>
        <w:t xml:space="preserve"> </w:t>
      </w:r>
      <w:r w:rsidRPr="000634A4">
        <w:t>advice of an independent entity on the method for measuring GHG emissions</w:t>
      </w:r>
      <w:r w:rsidR="00896C99">
        <w:t>;</w:t>
      </w:r>
      <w:r w:rsidRPr="000634A4">
        <w:t xml:space="preserve"> and</w:t>
      </w:r>
      <w:r>
        <w:t xml:space="preserve"> </w:t>
      </w:r>
    </w:p>
    <w:p w14:paraId="697C5AF3" w14:textId="77777777" w:rsidR="00896C99" w:rsidRDefault="000634A4" w:rsidP="004C4701">
      <w:pPr>
        <w:pStyle w:val="ListParagraph"/>
        <w:numPr>
          <w:ilvl w:val="0"/>
          <w:numId w:val="16"/>
        </w:numPr>
        <w:ind w:left="777" w:hanging="357"/>
      </w:pPr>
      <w:r w:rsidRPr="000634A4">
        <w:t>as far as practica</w:t>
      </w:r>
      <w:r w:rsidR="00896C99">
        <w:t>ble</w:t>
      </w:r>
      <w:r w:rsidRPr="000634A4">
        <w:t>, ensure consistency with the best national and international</w:t>
      </w:r>
      <w:r>
        <w:t xml:space="preserve"> </w:t>
      </w:r>
      <w:r w:rsidRPr="000634A4">
        <w:t xml:space="preserve">practices in relation to measuring </w:t>
      </w:r>
      <w:r w:rsidR="00896C99">
        <w:t>GHG</w:t>
      </w:r>
      <w:r w:rsidRPr="000634A4">
        <w:t xml:space="preserve"> emissions. </w:t>
      </w:r>
    </w:p>
    <w:p w14:paraId="62BA0819" w14:textId="77777777" w:rsidR="00896C99" w:rsidRDefault="00896C99" w:rsidP="004C4701"/>
    <w:p w14:paraId="15D58F89" w14:textId="618E7462" w:rsidR="000634A4" w:rsidRDefault="000634A4" w:rsidP="00891901">
      <w:r w:rsidRPr="000634A4">
        <w:t>Prior to making th</w:t>
      </w:r>
      <w:r w:rsidR="00720932">
        <w:t>e</w:t>
      </w:r>
      <w:r>
        <w:t xml:space="preserve"> </w:t>
      </w:r>
      <w:r w:rsidR="00283352">
        <w:t>d</w:t>
      </w:r>
      <w:r w:rsidRPr="000634A4">
        <w:t>etermination, the Minister sought and h</w:t>
      </w:r>
      <w:r>
        <w:t>ad regard to the advice of i</w:t>
      </w:r>
      <w:r w:rsidRPr="000634A4">
        <w:t>ndependent</w:t>
      </w:r>
      <w:r>
        <w:t xml:space="preserve"> </w:t>
      </w:r>
      <w:r w:rsidR="00536391">
        <w:t>consultant</w:t>
      </w:r>
      <w:r w:rsidR="00B15E01">
        <w:t>s</w:t>
      </w:r>
      <w:r w:rsidR="00A55149">
        <w:t>,</w:t>
      </w:r>
      <w:r w:rsidR="00536391">
        <w:t xml:space="preserve"> </w:t>
      </w:r>
      <w:r w:rsidR="00FA1057">
        <w:t>ERM</w:t>
      </w:r>
      <w:r w:rsidR="00A55149">
        <w:t>,</w:t>
      </w:r>
      <w:r w:rsidR="00536391">
        <w:t xml:space="preserve"> </w:t>
      </w:r>
      <w:r w:rsidRPr="000634A4">
        <w:t>on the method for</w:t>
      </w:r>
      <w:r>
        <w:t xml:space="preserve"> </w:t>
      </w:r>
      <w:r w:rsidRPr="000634A4">
        <w:t>measuring GHG emissions.</w:t>
      </w:r>
      <w:r w:rsidR="007A0566">
        <w:t xml:space="preserve"> </w:t>
      </w:r>
    </w:p>
    <w:p w14:paraId="3A7F26C0" w14:textId="0A24ED85" w:rsidR="005B1EBC" w:rsidRDefault="005B1EBC" w:rsidP="00424B8A"/>
    <w:p w14:paraId="53ECF285" w14:textId="77777777" w:rsidR="005B1EBC" w:rsidRDefault="005B1EBC" w:rsidP="005B1EBC">
      <w:pPr>
        <w:autoSpaceDE w:val="0"/>
        <w:autoSpaceDN w:val="0"/>
        <w:adjustRightInd w:val="0"/>
      </w:pPr>
      <w:r w:rsidRPr="00720932">
        <w:rPr>
          <w:rFonts w:ascii="Arial" w:hAnsi="Arial" w:cs="Arial"/>
          <w:b/>
          <w:bCs/>
          <w:sz w:val="22"/>
          <w:szCs w:val="22"/>
          <w:lang w:eastAsia="en-AU"/>
        </w:rPr>
        <w:t xml:space="preserve">Updates made by this </w:t>
      </w:r>
      <w:r>
        <w:rPr>
          <w:rFonts w:ascii="Arial" w:hAnsi="Arial" w:cs="Arial"/>
          <w:b/>
          <w:bCs/>
          <w:sz w:val="22"/>
          <w:szCs w:val="22"/>
          <w:lang w:eastAsia="en-AU"/>
        </w:rPr>
        <w:t>d</w:t>
      </w:r>
      <w:r w:rsidRPr="00720932">
        <w:rPr>
          <w:rFonts w:ascii="Arial" w:hAnsi="Arial" w:cs="Arial"/>
          <w:b/>
          <w:bCs/>
          <w:sz w:val="22"/>
          <w:szCs w:val="22"/>
          <w:lang w:eastAsia="en-AU"/>
        </w:rPr>
        <w:t>etermination</w:t>
      </w:r>
    </w:p>
    <w:p w14:paraId="41B6A75B" w14:textId="1D8FDE10" w:rsidR="00F92DBD" w:rsidRPr="00F92DBD" w:rsidRDefault="00923086" w:rsidP="00F92DBD">
      <w:r>
        <w:t xml:space="preserve">This determination makes </w:t>
      </w:r>
      <w:r w:rsidR="00C33BEE">
        <w:t xml:space="preserve">the following </w:t>
      </w:r>
      <w:r>
        <w:t xml:space="preserve">minor technical amendments to the </w:t>
      </w:r>
      <w:r w:rsidR="00375FC5">
        <w:t>202</w:t>
      </w:r>
      <w:r w:rsidR="00A81BFF">
        <w:t>3</w:t>
      </w:r>
      <w:r w:rsidR="00375FC5">
        <w:t xml:space="preserve"> </w:t>
      </w:r>
      <w:r>
        <w:t>method</w:t>
      </w:r>
      <w:r w:rsidR="00F92DBD">
        <w:t xml:space="preserve"> </w:t>
      </w:r>
      <w:r w:rsidR="00F92DBD" w:rsidRPr="00F92DBD">
        <w:t>to reflect best practice GHG accounting and improve the accuracy of the GHG Inventory</w:t>
      </w:r>
      <w:r w:rsidR="00C33BEE">
        <w:t>:</w:t>
      </w:r>
      <w:r w:rsidR="00F92DBD" w:rsidRPr="00F92DBD">
        <w:t xml:space="preserve"> </w:t>
      </w:r>
    </w:p>
    <w:p w14:paraId="070BFC09" w14:textId="173F1385" w:rsidR="00F92DBD" w:rsidRDefault="00F92DBD" w:rsidP="00424B8A"/>
    <w:p w14:paraId="10F0E957" w14:textId="3346C043" w:rsidR="00144936" w:rsidRDefault="00C33BEE" w:rsidP="00632BEF">
      <w:pPr>
        <w:pStyle w:val="ListParagraph"/>
        <w:numPr>
          <w:ilvl w:val="0"/>
          <w:numId w:val="18"/>
        </w:numPr>
      </w:pPr>
      <w:r>
        <w:t>The m</w:t>
      </w:r>
      <w:r w:rsidR="00E12669">
        <w:t xml:space="preserve">ethod for estimating emissions from residual electricity in the event that the 100% renewable electricity target is not met has been updated to use </w:t>
      </w:r>
      <w:r w:rsidR="005D46CE">
        <w:t xml:space="preserve">the </w:t>
      </w:r>
      <w:r w:rsidR="00E12669">
        <w:t xml:space="preserve">residual mix factor (RMF) </w:t>
      </w:r>
      <w:r w:rsidR="009E21BA">
        <w:t>(national)</w:t>
      </w:r>
      <w:r w:rsidR="00E12669">
        <w:t xml:space="preserve">, as published by the </w:t>
      </w:r>
      <w:r w:rsidR="0040489B">
        <w:t>lates</w:t>
      </w:r>
      <w:r w:rsidR="00C61C4F">
        <w:t>t</w:t>
      </w:r>
      <w:r w:rsidR="0040489B">
        <w:t xml:space="preserve"> National Greenhouse Accounts Factors.</w:t>
      </w:r>
    </w:p>
    <w:p w14:paraId="0081957B" w14:textId="77777777" w:rsidR="00C61C4F" w:rsidRDefault="00C61C4F" w:rsidP="00424B8A"/>
    <w:p w14:paraId="784B19F9" w14:textId="3C4AA9E0" w:rsidR="002D05B2" w:rsidRDefault="00C33BEE" w:rsidP="00632BEF">
      <w:pPr>
        <w:pStyle w:val="ListParagraph"/>
        <w:numPr>
          <w:ilvl w:val="0"/>
          <w:numId w:val="18"/>
        </w:numPr>
      </w:pPr>
      <w:r>
        <w:t>The a</w:t>
      </w:r>
      <w:r w:rsidR="00144936">
        <w:t xml:space="preserve">ssumption used to </w:t>
      </w:r>
      <w:r w:rsidR="001424FE">
        <w:t xml:space="preserve">derive </w:t>
      </w:r>
      <w:r w:rsidR="005D46CE">
        <w:t xml:space="preserve">the </w:t>
      </w:r>
      <w:r w:rsidR="001424FE">
        <w:t xml:space="preserve">number of households having air conditioners to </w:t>
      </w:r>
      <w:r w:rsidR="00144936">
        <w:t>calculate emissions associated with residential refrigerant use w</w:t>
      </w:r>
      <w:r w:rsidR="007925CC">
        <w:t>as</w:t>
      </w:r>
      <w:r w:rsidR="00144936">
        <w:t xml:space="preserve"> reviewed and </w:t>
      </w:r>
      <w:r w:rsidR="002777BD">
        <w:t xml:space="preserve">updated </w:t>
      </w:r>
      <w:r w:rsidR="00144936">
        <w:t>in 202</w:t>
      </w:r>
      <w:r w:rsidR="004749AA">
        <w:t>3</w:t>
      </w:r>
      <w:r w:rsidR="00144936">
        <w:t>-2</w:t>
      </w:r>
      <w:r w:rsidR="004749AA">
        <w:t>4</w:t>
      </w:r>
      <w:r w:rsidR="007925CC">
        <w:t xml:space="preserve"> based on the latest available </w:t>
      </w:r>
      <w:r w:rsidR="00C61C4F">
        <w:t>open-source</w:t>
      </w:r>
      <w:r w:rsidR="007925CC">
        <w:t xml:space="preserve"> data</w:t>
      </w:r>
      <w:r w:rsidR="00144936">
        <w:t>.</w:t>
      </w:r>
    </w:p>
    <w:p w14:paraId="57AB23DE" w14:textId="77777777" w:rsidR="002D05B2" w:rsidRDefault="002D05B2" w:rsidP="00424B8A"/>
    <w:p w14:paraId="20167E1F" w14:textId="45BD2A55" w:rsidR="005B1EBC" w:rsidRDefault="002D05B2" w:rsidP="00632BEF">
      <w:pPr>
        <w:pStyle w:val="ListParagraph"/>
        <w:numPr>
          <w:ilvl w:val="0"/>
          <w:numId w:val="18"/>
        </w:numPr>
      </w:pPr>
      <w:r>
        <w:t xml:space="preserve">Assumptions used </w:t>
      </w:r>
      <w:r w:rsidR="00122574">
        <w:t>for average G</w:t>
      </w:r>
      <w:r w:rsidR="005D46CE">
        <w:t>lobal Warming Potential (GWP)</w:t>
      </w:r>
      <w:r w:rsidR="00122574">
        <w:t xml:space="preserve"> of residential refrigeration and air conditioning appliances </w:t>
      </w:r>
      <w:r w:rsidR="00EC7817">
        <w:t xml:space="preserve">have been updated to reflect gradual phase out of </w:t>
      </w:r>
      <w:r w:rsidR="00883D25">
        <w:t>high GWP refrigerants.</w:t>
      </w:r>
      <w:r w:rsidR="00144936">
        <w:t xml:space="preserve"> </w:t>
      </w:r>
    </w:p>
    <w:p w14:paraId="77600247" w14:textId="082D30EE" w:rsidR="006E2C20" w:rsidRDefault="006E2C20" w:rsidP="00424B8A"/>
    <w:p w14:paraId="6ECFACE6" w14:textId="1B340324" w:rsidR="00F80EEF" w:rsidRDefault="00750B88" w:rsidP="00632BEF">
      <w:pPr>
        <w:pStyle w:val="ListParagraph"/>
        <w:numPr>
          <w:ilvl w:val="0"/>
          <w:numId w:val="18"/>
        </w:numPr>
      </w:pPr>
      <w:r>
        <w:t xml:space="preserve">Waste deposition data, including </w:t>
      </w:r>
      <w:r w:rsidR="00F80EEF">
        <w:t xml:space="preserve">waste stream </w:t>
      </w:r>
      <w:r>
        <w:t>mix proportions</w:t>
      </w:r>
      <w:r w:rsidR="00F80EEF">
        <w:t xml:space="preserve">, </w:t>
      </w:r>
      <w:r w:rsidR="007C3FAF">
        <w:t>have been</w:t>
      </w:r>
      <w:r w:rsidR="00F80EEF">
        <w:t xml:space="preserve"> updated based on available data.</w:t>
      </w:r>
    </w:p>
    <w:p w14:paraId="00697D5A" w14:textId="1763C08F" w:rsidR="007103FD" w:rsidRDefault="007103FD" w:rsidP="00632BEF">
      <w:pPr>
        <w:ind w:firstLine="60"/>
      </w:pPr>
    </w:p>
    <w:p w14:paraId="7AAB01B7" w14:textId="2E091E94" w:rsidR="007103FD" w:rsidRDefault="007103FD" w:rsidP="00632BEF">
      <w:pPr>
        <w:pStyle w:val="ListParagraph"/>
        <w:numPr>
          <w:ilvl w:val="0"/>
          <w:numId w:val="18"/>
        </w:numPr>
      </w:pPr>
      <w:r>
        <w:t>Some equations have been modified in their presentation to support clarity</w:t>
      </w:r>
      <w:r w:rsidR="00144936">
        <w:t xml:space="preserve"> or </w:t>
      </w:r>
      <w:r w:rsidR="004F5472">
        <w:t xml:space="preserve">maintain consistency in </w:t>
      </w:r>
      <w:r w:rsidR="00144936">
        <w:t>the unit of measurement</w:t>
      </w:r>
      <w:r>
        <w:t>.</w:t>
      </w:r>
    </w:p>
    <w:p w14:paraId="41C29D99" w14:textId="77777777" w:rsidR="00F312D1" w:rsidRPr="00F312D1" w:rsidRDefault="00F312D1" w:rsidP="00F312D1"/>
    <w:p w14:paraId="6026EBBD" w14:textId="000E5AEB" w:rsidR="00720932" w:rsidRPr="00720932" w:rsidRDefault="00720932" w:rsidP="0072093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AU"/>
        </w:rPr>
      </w:pPr>
      <w:r w:rsidRPr="00720932">
        <w:rPr>
          <w:rFonts w:ascii="Arial" w:hAnsi="Arial" w:cs="Arial"/>
          <w:b/>
          <w:bCs/>
          <w:sz w:val="22"/>
          <w:szCs w:val="22"/>
          <w:lang w:eastAsia="en-AU"/>
        </w:rPr>
        <w:t>Other</w:t>
      </w:r>
    </w:p>
    <w:p w14:paraId="502EAC04" w14:textId="4315659B" w:rsidR="00082141" w:rsidRDefault="00082141" w:rsidP="00957D0D">
      <w:r w:rsidRPr="004230BB">
        <w:t xml:space="preserve">The </w:t>
      </w:r>
      <w:r w:rsidR="00283352">
        <w:t>d</w:t>
      </w:r>
      <w:r w:rsidRPr="004230BB">
        <w:t xml:space="preserve">etermination is </w:t>
      </w:r>
      <w:r w:rsidR="00BE0F6E" w:rsidRPr="004230BB">
        <w:t xml:space="preserve">not </w:t>
      </w:r>
      <w:r w:rsidRPr="004230BB">
        <w:t>likely to impose appreciable costs on the community, or part of the community</w:t>
      </w:r>
      <w:r w:rsidR="00AD4A1C">
        <w:t>,</w:t>
      </w:r>
      <w:r w:rsidR="00BE0F6E" w:rsidRPr="004230BB">
        <w:t xml:space="preserve"> and for this reason</w:t>
      </w:r>
      <w:r w:rsidR="00AD4A1C">
        <w:t>,</w:t>
      </w:r>
      <w:r w:rsidR="00BE0F6E" w:rsidRPr="0033532F">
        <w:t xml:space="preserve"> a regulatory impact statement </w:t>
      </w:r>
      <w:r w:rsidR="00AD4A1C">
        <w:t>(</w:t>
      </w:r>
      <w:r w:rsidR="00AD4A1C" w:rsidRPr="00E57D5A">
        <w:rPr>
          <w:b/>
          <w:bCs/>
          <w:i/>
          <w:iCs/>
        </w:rPr>
        <w:t>RIS</w:t>
      </w:r>
      <w:r w:rsidR="00AD4A1C">
        <w:t xml:space="preserve">) </w:t>
      </w:r>
      <w:r w:rsidR="00BE0F6E" w:rsidRPr="0033532F">
        <w:t>is not required</w:t>
      </w:r>
      <w:r w:rsidR="000E08A1">
        <w:t>,</w:t>
      </w:r>
      <w:r w:rsidR="00BE0F6E" w:rsidRPr="0033532F">
        <w:t xml:space="preserve"> consistent with section 34 of the </w:t>
      </w:r>
      <w:r w:rsidR="00BE0F6E" w:rsidRPr="00E57D5A">
        <w:t>Legislation Act</w:t>
      </w:r>
      <w:r w:rsidRPr="0033532F">
        <w:t xml:space="preserve">. In </w:t>
      </w:r>
      <w:r w:rsidR="00BE0F6E" w:rsidRPr="0033532F">
        <w:t xml:space="preserve">addition, in </w:t>
      </w:r>
      <w:r w:rsidRPr="0033532F">
        <w:t>accordance with s</w:t>
      </w:r>
      <w:r w:rsidR="000E08A1">
        <w:t xml:space="preserve">ection </w:t>
      </w:r>
      <w:r w:rsidRPr="0033532F">
        <w:t>36</w:t>
      </w:r>
      <w:r w:rsidR="000E08A1">
        <w:t xml:space="preserve"> </w:t>
      </w:r>
      <w:r w:rsidRPr="0033532F">
        <w:t>(1)</w:t>
      </w:r>
      <w:r w:rsidR="000E08A1">
        <w:t xml:space="preserve"> </w:t>
      </w:r>
      <w:r w:rsidRPr="0033532F">
        <w:t xml:space="preserve">(b) of the </w:t>
      </w:r>
      <w:r w:rsidR="005917F4" w:rsidRPr="00E57D5A">
        <w:t>Legislation Act</w:t>
      </w:r>
      <w:r w:rsidR="00F02FEA">
        <w:t>,</w:t>
      </w:r>
      <w:r>
        <w:t xml:space="preserve"> a </w:t>
      </w:r>
      <w:r w:rsidR="00AD4A1C">
        <w:t>RIS</w:t>
      </w:r>
      <w:r>
        <w:t xml:space="preserve"> is </w:t>
      </w:r>
      <w:r w:rsidR="00283352">
        <w:t xml:space="preserve">not </w:t>
      </w:r>
      <w:r>
        <w:t>necessary</w:t>
      </w:r>
      <w:r w:rsidR="00AD4A1C">
        <w:t>,</w:t>
      </w:r>
      <w:r>
        <w:t xml:space="preserve"> as the </w:t>
      </w:r>
      <w:r w:rsidR="00283352">
        <w:t>d</w:t>
      </w:r>
      <w:r>
        <w:t xml:space="preserve">etermination provides a tool to calculate the </w:t>
      </w:r>
      <w:r w:rsidR="000E08A1">
        <w:t>GHG</w:t>
      </w:r>
      <w:r>
        <w:t xml:space="preserve"> emissions in the ACT</w:t>
      </w:r>
      <w:r w:rsidR="00AD4A1C">
        <w:t>,</w:t>
      </w:r>
      <w:r>
        <w:t xml:space="preserve"> and does not adversely affect a person’s rights, or impose liabilities on anyone.</w:t>
      </w:r>
    </w:p>
    <w:p w14:paraId="298A070C" w14:textId="77777777" w:rsidR="008B6407" w:rsidRDefault="008B6407" w:rsidP="00957D0D"/>
    <w:p w14:paraId="2F3D18EC" w14:textId="064715B3" w:rsidR="008B6407" w:rsidRPr="008B6407" w:rsidRDefault="008B6407" w:rsidP="00957D0D">
      <w:r>
        <w:lastRenderedPageBreak/>
        <w:t xml:space="preserve">Similarly, as the </w:t>
      </w:r>
      <w:r w:rsidR="00283352">
        <w:t>d</w:t>
      </w:r>
      <w:r>
        <w:t xml:space="preserve">etermination only provides a tool to calculate the </w:t>
      </w:r>
      <w:r w:rsidR="00720932">
        <w:t>GHG</w:t>
      </w:r>
      <w:r>
        <w:t xml:space="preserve"> emissions in the ACT</w:t>
      </w:r>
      <w:r w:rsidR="00720932">
        <w:t>,</w:t>
      </w:r>
      <w:r>
        <w:t xml:space="preserve"> it does not </w:t>
      </w:r>
      <w:r w:rsidR="00283352">
        <w:t>engage</w:t>
      </w:r>
      <w:r>
        <w:t xml:space="preserve"> a right contained in the </w:t>
      </w:r>
      <w:r>
        <w:rPr>
          <w:i/>
        </w:rPr>
        <w:t>Human Rights Act 2004</w:t>
      </w:r>
      <w:r>
        <w:t>.</w:t>
      </w:r>
    </w:p>
    <w:p w14:paraId="55F1ED1A" w14:textId="77777777" w:rsidR="00957D0D" w:rsidRDefault="00957D0D" w:rsidP="000634A4"/>
    <w:p w14:paraId="554287E6" w14:textId="77777777" w:rsidR="00BE0F6E" w:rsidRDefault="004230BB" w:rsidP="000634A4">
      <w:pPr>
        <w:rPr>
          <w:b/>
        </w:rPr>
      </w:pPr>
      <w:r>
        <w:rPr>
          <w:b/>
        </w:rPr>
        <w:t>Outline of Provisions</w:t>
      </w:r>
    </w:p>
    <w:p w14:paraId="74646AC7" w14:textId="77777777" w:rsidR="004230BB" w:rsidRDefault="004230BB" w:rsidP="000634A4">
      <w:pPr>
        <w:rPr>
          <w:b/>
        </w:rPr>
      </w:pPr>
    </w:p>
    <w:p w14:paraId="4B614788" w14:textId="740BE4FD" w:rsidR="004230BB" w:rsidRDefault="004230BB" w:rsidP="000634A4">
      <w:pPr>
        <w:rPr>
          <w:b/>
        </w:rPr>
      </w:pPr>
      <w:r>
        <w:rPr>
          <w:b/>
        </w:rPr>
        <w:t>Clause 1</w:t>
      </w:r>
      <w:r>
        <w:rPr>
          <w:b/>
        </w:rPr>
        <w:tab/>
        <w:t xml:space="preserve">Name of </w:t>
      </w:r>
      <w:r w:rsidR="00AD4A1C">
        <w:rPr>
          <w:b/>
        </w:rPr>
        <w:t>i</w:t>
      </w:r>
      <w:r>
        <w:rPr>
          <w:b/>
        </w:rPr>
        <w:t>nstrument</w:t>
      </w:r>
    </w:p>
    <w:p w14:paraId="6E021454" w14:textId="35693A58" w:rsidR="004230BB" w:rsidRDefault="004230BB" w:rsidP="000634A4">
      <w:pPr>
        <w:rPr>
          <w:i/>
          <w:iCs/>
        </w:rPr>
      </w:pPr>
      <w:r>
        <w:t xml:space="preserve">This clause names the instrument as the </w:t>
      </w:r>
      <w:r w:rsidRPr="00080AE7">
        <w:rPr>
          <w:i/>
          <w:iCs/>
        </w:rPr>
        <w:t xml:space="preserve">Climate Change and Greenhouse Gas Reduction (Greenhouse Gas Emissions Measurement Method) Determination </w:t>
      </w:r>
      <w:r w:rsidR="005B1EBC" w:rsidRPr="00080AE7">
        <w:rPr>
          <w:i/>
          <w:iCs/>
        </w:rPr>
        <w:t>20</w:t>
      </w:r>
      <w:r w:rsidR="005B1EBC">
        <w:rPr>
          <w:i/>
          <w:iCs/>
        </w:rPr>
        <w:t>2</w:t>
      </w:r>
      <w:r w:rsidR="00DA6C94">
        <w:rPr>
          <w:i/>
          <w:iCs/>
        </w:rPr>
        <w:t>4</w:t>
      </w:r>
      <w:r w:rsidR="00F312D1">
        <w:rPr>
          <w:i/>
          <w:iCs/>
        </w:rPr>
        <w:t>.</w:t>
      </w:r>
    </w:p>
    <w:p w14:paraId="60D2D83E" w14:textId="77777777" w:rsidR="004230BB" w:rsidRDefault="004230BB" w:rsidP="000634A4">
      <w:pPr>
        <w:rPr>
          <w:i/>
          <w:iCs/>
        </w:rPr>
      </w:pPr>
    </w:p>
    <w:p w14:paraId="13BEBAF0" w14:textId="77777777" w:rsidR="004230BB" w:rsidRDefault="004230BB" w:rsidP="000634A4">
      <w:pPr>
        <w:rPr>
          <w:b/>
          <w:iCs/>
        </w:rPr>
      </w:pPr>
      <w:r>
        <w:rPr>
          <w:b/>
          <w:iCs/>
        </w:rPr>
        <w:t>Clause 2</w:t>
      </w:r>
      <w:r>
        <w:rPr>
          <w:b/>
          <w:iCs/>
        </w:rPr>
        <w:tab/>
        <w:t>Commencement</w:t>
      </w:r>
    </w:p>
    <w:p w14:paraId="171638B2" w14:textId="77777777" w:rsidR="004230BB" w:rsidRDefault="004230BB" w:rsidP="000634A4">
      <w:pPr>
        <w:rPr>
          <w:iCs/>
        </w:rPr>
      </w:pPr>
      <w:r>
        <w:rPr>
          <w:iCs/>
        </w:rPr>
        <w:t>This clause states that the instrument commences on the day after its notification day.</w:t>
      </w:r>
    </w:p>
    <w:p w14:paraId="4A89BE49" w14:textId="77777777" w:rsidR="004230BB" w:rsidRDefault="004230BB" w:rsidP="000634A4">
      <w:pPr>
        <w:rPr>
          <w:iCs/>
        </w:rPr>
      </w:pPr>
    </w:p>
    <w:p w14:paraId="2155C426" w14:textId="77777777" w:rsidR="004230BB" w:rsidRDefault="004230BB" w:rsidP="000634A4">
      <w:pPr>
        <w:rPr>
          <w:b/>
          <w:iCs/>
        </w:rPr>
      </w:pPr>
      <w:r>
        <w:rPr>
          <w:b/>
          <w:iCs/>
        </w:rPr>
        <w:t>Clause 3</w:t>
      </w:r>
      <w:r>
        <w:rPr>
          <w:b/>
          <w:iCs/>
        </w:rPr>
        <w:tab/>
        <w:t>Determination of method for measuring greenhouse gas emissions</w:t>
      </w:r>
    </w:p>
    <w:p w14:paraId="7252A02C" w14:textId="0862D3DC" w:rsidR="004230BB" w:rsidRDefault="004230BB" w:rsidP="000634A4">
      <w:pPr>
        <w:rPr>
          <w:iCs/>
        </w:rPr>
      </w:pPr>
      <w:r>
        <w:rPr>
          <w:iCs/>
        </w:rPr>
        <w:t>This clause determines the method for measuring the amount of greenhouse gas emission in the Act by reference to the method set out in schedule</w:t>
      </w:r>
      <w:r w:rsidR="00283352">
        <w:rPr>
          <w:iCs/>
        </w:rPr>
        <w:t xml:space="preserve"> 1</w:t>
      </w:r>
      <w:r>
        <w:rPr>
          <w:iCs/>
        </w:rPr>
        <w:t>.</w:t>
      </w:r>
    </w:p>
    <w:p w14:paraId="66D7A4EE" w14:textId="77777777" w:rsidR="004230BB" w:rsidRDefault="004230BB" w:rsidP="000634A4">
      <w:pPr>
        <w:rPr>
          <w:iCs/>
        </w:rPr>
      </w:pPr>
    </w:p>
    <w:p w14:paraId="79DF1C7E" w14:textId="20F019A3" w:rsidR="00142400" w:rsidRDefault="00283352" w:rsidP="000634A4">
      <w:pPr>
        <w:rPr>
          <w:iCs/>
        </w:rPr>
      </w:pPr>
      <w:r>
        <w:rPr>
          <w:iCs/>
        </w:rPr>
        <w:t>S</w:t>
      </w:r>
      <w:r w:rsidR="004230BB">
        <w:rPr>
          <w:iCs/>
        </w:rPr>
        <w:t xml:space="preserve">chedule </w:t>
      </w:r>
      <w:r>
        <w:rPr>
          <w:iCs/>
        </w:rPr>
        <w:t xml:space="preserve">1 </w:t>
      </w:r>
      <w:r w:rsidR="004230BB">
        <w:rPr>
          <w:iCs/>
        </w:rPr>
        <w:t xml:space="preserve">contains </w:t>
      </w:r>
      <w:r w:rsidR="004C4701">
        <w:rPr>
          <w:iCs/>
        </w:rPr>
        <w:t>several</w:t>
      </w:r>
      <w:r w:rsidR="004230BB">
        <w:rPr>
          <w:iCs/>
        </w:rPr>
        <w:t xml:space="preserve"> provisions that provide the method for calculating emissions from different energy sources and industries</w:t>
      </w:r>
      <w:r w:rsidR="00360A58">
        <w:rPr>
          <w:iCs/>
        </w:rPr>
        <w:t>, including:</w:t>
      </w:r>
      <w:r w:rsidR="00142400">
        <w:rPr>
          <w:iCs/>
        </w:rPr>
        <w:t xml:space="preserve"> </w:t>
      </w:r>
      <w:r w:rsidR="00360A58">
        <w:rPr>
          <w:iCs/>
        </w:rPr>
        <w:t xml:space="preserve">electricity, </w:t>
      </w:r>
      <w:r w:rsidR="00247019">
        <w:rPr>
          <w:iCs/>
        </w:rPr>
        <w:t xml:space="preserve">fossil fuel </w:t>
      </w:r>
      <w:r w:rsidR="00360A58">
        <w:rPr>
          <w:iCs/>
        </w:rPr>
        <w:t xml:space="preserve">gas, </w:t>
      </w:r>
      <w:r w:rsidR="00142400">
        <w:rPr>
          <w:iCs/>
        </w:rPr>
        <w:t xml:space="preserve">transport; industrial processes and product use; agriculture; </w:t>
      </w:r>
      <w:r w:rsidR="00F253DB">
        <w:rPr>
          <w:iCs/>
        </w:rPr>
        <w:t>LULUCF</w:t>
      </w:r>
      <w:r w:rsidR="00142400">
        <w:rPr>
          <w:iCs/>
        </w:rPr>
        <w:t>; and waste.</w:t>
      </w:r>
    </w:p>
    <w:p w14:paraId="31ED6A14" w14:textId="77777777" w:rsidR="005B1EBC" w:rsidRDefault="005B1EBC" w:rsidP="000634A4">
      <w:pPr>
        <w:rPr>
          <w:iCs/>
        </w:rPr>
      </w:pPr>
    </w:p>
    <w:p w14:paraId="7CC9A45B" w14:textId="77777777" w:rsidR="00142400" w:rsidRDefault="00142400" w:rsidP="00720932">
      <w:pPr>
        <w:rPr>
          <w:b/>
          <w:iCs/>
        </w:rPr>
      </w:pPr>
      <w:r>
        <w:rPr>
          <w:b/>
          <w:iCs/>
        </w:rPr>
        <w:t>Clause 4</w:t>
      </w:r>
      <w:r>
        <w:rPr>
          <w:b/>
          <w:iCs/>
        </w:rPr>
        <w:tab/>
        <w:t>Revocation</w:t>
      </w:r>
    </w:p>
    <w:p w14:paraId="1A1CF0F4" w14:textId="508F68C3" w:rsidR="004230BB" w:rsidRPr="004230BB" w:rsidRDefault="00142400" w:rsidP="00F312D1">
      <w:pPr>
        <w:spacing w:after="60"/>
      </w:pPr>
      <w:r>
        <w:rPr>
          <w:iCs/>
        </w:rPr>
        <w:t xml:space="preserve">This clause provides that the previous </w:t>
      </w:r>
      <w:r w:rsidR="00283352">
        <w:rPr>
          <w:iCs/>
        </w:rPr>
        <w:t>determination</w:t>
      </w:r>
      <w:r>
        <w:rPr>
          <w:iCs/>
        </w:rPr>
        <w:t xml:space="preserve">, </w:t>
      </w:r>
      <w:r>
        <w:t>t</w:t>
      </w:r>
      <w:r w:rsidRPr="00080AE7">
        <w:t xml:space="preserve">he </w:t>
      </w:r>
      <w:r w:rsidRPr="00080AE7">
        <w:rPr>
          <w:i/>
        </w:rPr>
        <w:t xml:space="preserve">Climate Change and Greenhouse Gas Reduction (Greenhouse Gas Emissions Measurement Method) Determination </w:t>
      </w:r>
      <w:r w:rsidR="002A058C" w:rsidRPr="00080AE7">
        <w:rPr>
          <w:i/>
        </w:rPr>
        <w:t>20</w:t>
      </w:r>
      <w:r w:rsidR="002A058C">
        <w:rPr>
          <w:i/>
        </w:rPr>
        <w:t>2</w:t>
      </w:r>
      <w:r w:rsidR="00FF1DEB">
        <w:rPr>
          <w:i/>
        </w:rPr>
        <w:t>3</w:t>
      </w:r>
      <w:r w:rsidR="002A058C" w:rsidRPr="00080AE7">
        <w:rPr>
          <w:i/>
        </w:rPr>
        <w:t xml:space="preserve"> </w:t>
      </w:r>
      <w:r w:rsidRPr="00080AE7">
        <w:t>(</w:t>
      </w:r>
      <w:r w:rsidR="00616525" w:rsidRPr="00080AE7">
        <w:t>DI20</w:t>
      </w:r>
      <w:r w:rsidR="00616525">
        <w:t>2</w:t>
      </w:r>
      <w:r w:rsidR="00FF1DEB">
        <w:t>3</w:t>
      </w:r>
      <w:r w:rsidR="00250016">
        <w:t>-2</w:t>
      </w:r>
      <w:r w:rsidR="00AB41B7">
        <w:t>73</w:t>
      </w:r>
      <w:r w:rsidRPr="00080AE7">
        <w:t>)</w:t>
      </w:r>
      <w:r>
        <w:t>,</w:t>
      </w:r>
      <w:r w:rsidRPr="00080AE7">
        <w:t xml:space="preserve"> is revoked.</w:t>
      </w:r>
    </w:p>
    <w:sectPr w:rsidR="004230BB" w:rsidRPr="004230BB" w:rsidSect="004C4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F0D9" w14:textId="77777777" w:rsidR="00396DB5" w:rsidRDefault="00396DB5">
      <w:r>
        <w:separator/>
      </w:r>
    </w:p>
  </w:endnote>
  <w:endnote w:type="continuationSeparator" w:id="0">
    <w:p w14:paraId="40CC2C16" w14:textId="77777777" w:rsidR="00396DB5" w:rsidRDefault="0039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8301" w14:textId="77777777" w:rsidR="00874E23" w:rsidRDefault="00874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FE7F" w14:textId="6DE6F041" w:rsidR="00874E23" w:rsidRPr="00874E23" w:rsidRDefault="00874E23" w:rsidP="00874E23">
    <w:pPr>
      <w:pStyle w:val="Footer"/>
      <w:jc w:val="center"/>
      <w:rPr>
        <w:rFonts w:cs="Arial"/>
        <w:sz w:val="14"/>
      </w:rPr>
    </w:pPr>
    <w:r w:rsidRPr="00874E2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C5A4" w14:textId="77777777" w:rsidR="00874E23" w:rsidRDefault="00874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DCA6" w14:textId="77777777" w:rsidR="00396DB5" w:rsidRDefault="00396DB5">
      <w:r>
        <w:separator/>
      </w:r>
    </w:p>
  </w:footnote>
  <w:footnote w:type="continuationSeparator" w:id="0">
    <w:p w14:paraId="054A4AAC" w14:textId="77777777" w:rsidR="00396DB5" w:rsidRDefault="0039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2730" w14:textId="77777777" w:rsidR="00874E23" w:rsidRDefault="00874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293F" w14:textId="77777777" w:rsidR="00874E23" w:rsidRDefault="00874E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BAF0" w14:textId="77777777" w:rsidR="00874E23" w:rsidRDefault="00874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EB27E2"/>
    <w:multiLevelType w:val="hybridMultilevel"/>
    <w:tmpl w:val="A2C87DA4"/>
    <w:lvl w:ilvl="0" w:tplc="0C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335872B8"/>
    <w:multiLevelType w:val="hybridMultilevel"/>
    <w:tmpl w:val="394EDCB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5092CCA"/>
    <w:multiLevelType w:val="hybridMultilevel"/>
    <w:tmpl w:val="E4B6A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D3A96"/>
    <w:multiLevelType w:val="hybridMultilevel"/>
    <w:tmpl w:val="7392404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087F6C"/>
    <w:multiLevelType w:val="hybridMultilevel"/>
    <w:tmpl w:val="93046C7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FE62F4"/>
    <w:multiLevelType w:val="multilevel"/>
    <w:tmpl w:val="D4BC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E6E7CC9"/>
    <w:multiLevelType w:val="hybridMultilevel"/>
    <w:tmpl w:val="FA564D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7356BB1"/>
    <w:multiLevelType w:val="hybridMultilevel"/>
    <w:tmpl w:val="FB4AD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35AE9"/>
    <w:multiLevelType w:val="hybridMultilevel"/>
    <w:tmpl w:val="EC4A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75F8A"/>
    <w:multiLevelType w:val="hybridMultilevel"/>
    <w:tmpl w:val="D8E8D4E8"/>
    <w:lvl w:ilvl="0" w:tplc="6EB482FE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 w16cid:durableId="1450005034">
    <w:abstractNumId w:val="2"/>
  </w:num>
  <w:num w:numId="2" w16cid:durableId="1602567508">
    <w:abstractNumId w:val="0"/>
  </w:num>
  <w:num w:numId="3" w16cid:durableId="404037990">
    <w:abstractNumId w:val="3"/>
  </w:num>
  <w:num w:numId="4" w16cid:durableId="1535656562">
    <w:abstractNumId w:val="8"/>
  </w:num>
  <w:num w:numId="5" w16cid:durableId="1105733540">
    <w:abstractNumId w:val="14"/>
  </w:num>
  <w:num w:numId="6" w16cid:durableId="1627539113">
    <w:abstractNumId w:val="1"/>
  </w:num>
  <w:num w:numId="7" w16cid:durableId="416633980">
    <w:abstractNumId w:val="6"/>
  </w:num>
  <w:num w:numId="8" w16cid:durableId="180897456">
    <w:abstractNumId w:val="7"/>
  </w:num>
  <w:num w:numId="9" w16cid:durableId="333799940">
    <w:abstractNumId w:val="16"/>
  </w:num>
  <w:num w:numId="10" w16cid:durableId="538083283">
    <w:abstractNumId w:val="15"/>
  </w:num>
  <w:num w:numId="11" w16cid:durableId="254482221">
    <w:abstractNumId w:val="12"/>
  </w:num>
  <w:num w:numId="12" w16cid:durableId="1055659688">
    <w:abstractNumId w:val="10"/>
  </w:num>
  <w:num w:numId="13" w16cid:durableId="1614090463">
    <w:abstractNumId w:val="5"/>
  </w:num>
  <w:num w:numId="14" w16cid:durableId="969557875">
    <w:abstractNumId w:val="11"/>
  </w:num>
  <w:num w:numId="15" w16cid:durableId="707873080">
    <w:abstractNumId w:val="4"/>
  </w:num>
  <w:num w:numId="16" w16cid:durableId="234903796">
    <w:abstractNumId w:val="13"/>
  </w:num>
  <w:num w:numId="17" w16cid:durableId="1929659243">
    <w:abstractNumId w:val="17"/>
  </w:num>
  <w:num w:numId="18" w16cid:durableId="362705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009BC"/>
    <w:rsid w:val="000102FD"/>
    <w:rsid w:val="00021B3F"/>
    <w:rsid w:val="000343EA"/>
    <w:rsid w:val="000462EC"/>
    <w:rsid w:val="000634A4"/>
    <w:rsid w:val="00080AE7"/>
    <w:rsid w:val="00081CA7"/>
    <w:rsid w:val="00082141"/>
    <w:rsid w:val="00097A00"/>
    <w:rsid w:val="000A28EC"/>
    <w:rsid w:val="000A62D5"/>
    <w:rsid w:val="000B0661"/>
    <w:rsid w:val="000B1BA3"/>
    <w:rsid w:val="000B331B"/>
    <w:rsid w:val="000C297F"/>
    <w:rsid w:val="000E08A1"/>
    <w:rsid w:val="000E62A3"/>
    <w:rsid w:val="000F72A6"/>
    <w:rsid w:val="000F7CF4"/>
    <w:rsid w:val="00114AF1"/>
    <w:rsid w:val="00122574"/>
    <w:rsid w:val="00135A9D"/>
    <w:rsid w:val="00142400"/>
    <w:rsid w:val="001424FE"/>
    <w:rsid w:val="00144936"/>
    <w:rsid w:val="001502E1"/>
    <w:rsid w:val="001560DF"/>
    <w:rsid w:val="001632E1"/>
    <w:rsid w:val="00165D2F"/>
    <w:rsid w:val="001723AE"/>
    <w:rsid w:val="00174EF0"/>
    <w:rsid w:val="00181399"/>
    <w:rsid w:val="00193024"/>
    <w:rsid w:val="00195130"/>
    <w:rsid w:val="001A2AC5"/>
    <w:rsid w:val="001B1CDA"/>
    <w:rsid w:val="001B40E6"/>
    <w:rsid w:val="001C0B2C"/>
    <w:rsid w:val="001D194D"/>
    <w:rsid w:val="001E0D81"/>
    <w:rsid w:val="001E4076"/>
    <w:rsid w:val="001E728D"/>
    <w:rsid w:val="002100FB"/>
    <w:rsid w:val="002237A1"/>
    <w:rsid w:val="00225D99"/>
    <w:rsid w:val="0022725F"/>
    <w:rsid w:val="00231EBB"/>
    <w:rsid w:val="00247019"/>
    <w:rsid w:val="00250016"/>
    <w:rsid w:val="00255E01"/>
    <w:rsid w:val="002634ED"/>
    <w:rsid w:val="002777BD"/>
    <w:rsid w:val="00283352"/>
    <w:rsid w:val="002A058C"/>
    <w:rsid w:val="002A577A"/>
    <w:rsid w:val="002A63CD"/>
    <w:rsid w:val="002B3C9D"/>
    <w:rsid w:val="002C11A3"/>
    <w:rsid w:val="002D05B2"/>
    <w:rsid w:val="002F1A2A"/>
    <w:rsid w:val="00330B9E"/>
    <w:rsid w:val="0033532F"/>
    <w:rsid w:val="0035603A"/>
    <w:rsid w:val="00360A58"/>
    <w:rsid w:val="00375FC5"/>
    <w:rsid w:val="00380401"/>
    <w:rsid w:val="00386F71"/>
    <w:rsid w:val="00390FD9"/>
    <w:rsid w:val="0039413F"/>
    <w:rsid w:val="00396DB5"/>
    <w:rsid w:val="003A2B81"/>
    <w:rsid w:val="003B4D81"/>
    <w:rsid w:val="003C253D"/>
    <w:rsid w:val="003C4A53"/>
    <w:rsid w:val="003D203C"/>
    <w:rsid w:val="003D5E11"/>
    <w:rsid w:val="003F381E"/>
    <w:rsid w:val="003F3F24"/>
    <w:rsid w:val="003F464B"/>
    <w:rsid w:val="0040489B"/>
    <w:rsid w:val="004230BB"/>
    <w:rsid w:val="004236F7"/>
    <w:rsid w:val="00424B8A"/>
    <w:rsid w:val="0045134B"/>
    <w:rsid w:val="00460519"/>
    <w:rsid w:val="00467C09"/>
    <w:rsid w:val="00471C05"/>
    <w:rsid w:val="004749AA"/>
    <w:rsid w:val="00474E92"/>
    <w:rsid w:val="00491A5C"/>
    <w:rsid w:val="00496E04"/>
    <w:rsid w:val="004C4701"/>
    <w:rsid w:val="004C4A40"/>
    <w:rsid w:val="004F5472"/>
    <w:rsid w:val="00513992"/>
    <w:rsid w:val="00514533"/>
    <w:rsid w:val="00520969"/>
    <w:rsid w:val="005348DF"/>
    <w:rsid w:val="00536391"/>
    <w:rsid w:val="0053767D"/>
    <w:rsid w:val="00545FF0"/>
    <w:rsid w:val="00550787"/>
    <w:rsid w:val="005917F4"/>
    <w:rsid w:val="005A16E7"/>
    <w:rsid w:val="005A6978"/>
    <w:rsid w:val="005B1EBC"/>
    <w:rsid w:val="005B3942"/>
    <w:rsid w:val="005B6B27"/>
    <w:rsid w:val="005C57A2"/>
    <w:rsid w:val="005D46CE"/>
    <w:rsid w:val="005D70F1"/>
    <w:rsid w:val="005E2766"/>
    <w:rsid w:val="005E4F00"/>
    <w:rsid w:val="005F2032"/>
    <w:rsid w:val="00616525"/>
    <w:rsid w:val="00632BEF"/>
    <w:rsid w:val="00633476"/>
    <w:rsid w:val="006349D9"/>
    <w:rsid w:val="00645E85"/>
    <w:rsid w:val="00664406"/>
    <w:rsid w:val="006B71B2"/>
    <w:rsid w:val="006E1295"/>
    <w:rsid w:val="006E2C20"/>
    <w:rsid w:val="00700905"/>
    <w:rsid w:val="007023B2"/>
    <w:rsid w:val="0070267F"/>
    <w:rsid w:val="007103FD"/>
    <w:rsid w:val="00720932"/>
    <w:rsid w:val="00720D7E"/>
    <w:rsid w:val="00734AAE"/>
    <w:rsid w:val="00740193"/>
    <w:rsid w:val="00742290"/>
    <w:rsid w:val="00750B88"/>
    <w:rsid w:val="00751C64"/>
    <w:rsid w:val="00764FD8"/>
    <w:rsid w:val="007650D5"/>
    <w:rsid w:val="00767778"/>
    <w:rsid w:val="00774AC7"/>
    <w:rsid w:val="0077536A"/>
    <w:rsid w:val="007772CF"/>
    <w:rsid w:val="00777EE8"/>
    <w:rsid w:val="007869C0"/>
    <w:rsid w:val="007925CC"/>
    <w:rsid w:val="007A0566"/>
    <w:rsid w:val="007B3E09"/>
    <w:rsid w:val="007C0B12"/>
    <w:rsid w:val="007C3FAF"/>
    <w:rsid w:val="00802B8F"/>
    <w:rsid w:val="0081548F"/>
    <w:rsid w:val="00824919"/>
    <w:rsid w:val="00871914"/>
    <w:rsid w:val="00874E23"/>
    <w:rsid w:val="00880C51"/>
    <w:rsid w:val="00881C95"/>
    <w:rsid w:val="00883D25"/>
    <w:rsid w:val="00891901"/>
    <w:rsid w:val="00892F89"/>
    <w:rsid w:val="00894AEB"/>
    <w:rsid w:val="0089696E"/>
    <w:rsid w:val="00896C99"/>
    <w:rsid w:val="008B6407"/>
    <w:rsid w:val="008C7F46"/>
    <w:rsid w:val="008D2172"/>
    <w:rsid w:val="00916168"/>
    <w:rsid w:val="00920EF1"/>
    <w:rsid w:val="00923086"/>
    <w:rsid w:val="00950548"/>
    <w:rsid w:val="009538F8"/>
    <w:rsid w:val="00957D0D"/>
    <w:rsid w:val="009625A2"/>
    <w:rsid w:val="0096593D"/>
    <w:rsid w:val="009A1DAA"/>
    <w:rsid w:val="009D7EE7"/>
    <w:rsid w:val="009E21BA"/>
    <w:rsid w:val="009E6466"/>
    <w:rsid w:val="00A01816"/>
    <w:rsid w:val="00A07C80"/>
    <w:rsid w:val="00A1351F"/>
    <w:rsid w:val="00A23926"/>
    <w:rsid w:val="00A33086"/>
    <w:rsid w:val="00A55149"/>
    <w:rsid w:val="00A65C06"/>
    <w:rsid w:val="00A73710"/>
    <w:rsid w:val="00A81BFF"/>
    <w:rsid w:val="00A8713F"/>
    <w:rsid w:val="00A87FAD"/>
    <w:rsid w:val="00A9368B"/>
    <w:rsid w:val="00AA2916"/>
    <w:rsid w:val="00AA56B3"/>
    <w:rsid w:val="00AA78CD"/>
    <w:rsid w:val="00AB3405"/>
    <w:rsid w:val="00AB41B7"/>
    <w:rsid w:val="00AD087B"/>
    <w:rsid w:val="00AD4A1C"/>
    <w:rsid w:val="00AD5BF8"/>
    <w:rsid w:val="00B11278"/>
    <w:rsid w:val="00B139A6"/>
    <w:rsid w:val="00B15E01"/>
    <w:rsid w:val="00B27B39"/>
    <w:rsid w:val="00B338A1"/>
    <w:rsid w:val="00B33B3C"/>
    <w:rsid w:val="00B36DDD"/>
    <w:rsid w:val="00B54842"/>
    <w:rsid w:val="00B734F0"/>
    <w:rsid w:val="00BA3473"/>
    <w:rsid w:val="00BB11FF"/>
    <w:rsid w:val="00BC17DB"/>
    <w:rsid w:val="00BC432B"/>
    <w:rsid w:val="00BD590D"/>
    <w:rsid w:val="00BE0F6E"/>
    <w:rsid w:val="00C017D1"/>
    <w:rsid w:val="00C0514D"/>
    <w:rsid w:val="00C11D6D"/>
    <w:rsid w:val="00C27CCE"/>
    <w:rsid w:val="00C317C0"/>
    <w:rsid w:val="00C33BEE"/>
    <w:rsid w:val="00C37261"/>
    <w:rsid w:val="00C4252F"/>
    <w:rsid w:val="00C45FCC"/>
    <w:rsid w:val="00C50609"/>
    <w:rsid w:val="00C51FC0"/>
    <w:rsid w:val="00C53EE2"/>
    <w:rsid w:val="00C5687D"/>
    <w:rsid w:val="00C61C4F"/>
    <w:rsid w:val="00C67C5E"/>
    <w:rsid w:val="00C70683"/>
    <w:rsid w:val="00C80C3B"/>
    <w:rsid w:val="00C80CF0"/>
    <w:rsid w:val="00C92011"/>
    <w:rsid w:val="00CC4780"/>
    <w:rsid w:val="00CD4DAB"/>
    <w:rsid w:val="00CD5091"/>
    <w:rsid w:val="00D05315"/>
    <w:rsid w:val="00D12C7B"/>
    <w:rsid w:val="00D42627"/>
    <w:rsid w:val="00D452FC"/>
    <w:rsid w:val="00D475D9"/>
    <w:rsid w:val="00D55D31"/>
    <w:rsid w:val="00D565C4"/>
    <w:rsid w:val="00D74BE3"/>
    <w:rsid w:val="00D835DC"/>
    <w:rsid w:val="00DA6C94"/>
    <w:rsid w:val="00DB4F80"/>
    <w:rsid w:val="00DC344F"/>
    <w:rsid w:val="00DD73BE"/>
    <w:rsid w:val="00DF30EB"/>
    <w:rsid w:val="00E005EC"/>
    <w:rsid w:val="00E00B28"/>
    <w:rsid w:val="00E12669"/>
    <w:rsid w:val="00E25A42"/>
    <w:rsid w:val="00E30832"/>
    <w:rsid w:val="00E3117F"/>
    <w:rsid w:val="00E45B2E"/>
    <w:rsid w:val="00E532BC"/>
    <w:rsid w:val="00E57D5A"/>
    <w:rsid w:val="00E73741"/>
    <w:rsid w:val="00EA2C60"/>
    <w:rsid w:val="00EB51CE"/>
    <w:rsid w:val="00EB7D10"/>
    <w:rsid w:val="00EC7817"/>
    <w:rsid w:val="00ED311A"/>
    <w:rsid w:val="00EE7CAF"/>
    <w:rsid w:val="00EF1EF0"/>
    <w:rsid w:val="00F016F8"/>
    <w:rsid w:val="00F016FA"/>
    <w:rsid w:val="00F02FEA"/>
    <w:rsid w:val="00F13994"/>
    <w:rsid w:val="00F22CFC"/>
    <w:rsid w:val="00F2388C"/>
    <w:rsid w:val="00F253DB"/>
    <w:rsid w:val="00F273BE"/>
    <w:rsid w:val="00F312D1"/>
    <w:rsid w:val="00F363E9"/>
    <w:rsid w:val="00F7262A"/>
    <w:rsid w:val="00F74DCB"/>
    <w:rsid w:val="00F80EEF"/>
    <w:rsid w:val="00F85F7C"/>
    <w:rsid w:val="00F92DBD"/>
    <w:rsid w:val="00FA1057"/>
    <w:rsid w:val="00FA481D"/>
    <w:rsid w:val="00FA5054"/>
    <w:rsid w:val="00FA665D"/>
    <w:rsid w:val="00FD49DB"/>
    <w:rsid w:val="00FF1DEB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31C50"/>
  <w14:defaultImageDpi w14:val="0"/>
  <w15:docId w15:val="{8552E501-CC31-447E-8CA3-BDFF14AA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011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201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C9201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C9201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2141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rsid w:val="00C9201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9201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9201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92011"/>
    <w:pPr>
      <w:spacing w:before="180" w:after="60"/>
      <w:jc w:val="both"/>
    </w:pPr>
  </w:style>
  <w:style w:type="paragraph" w:customStyle="1" w:styleId="CoverActName">
    <w:name w:val="CoverActName"/>
    <w:basedOn w:val="Normal"/>
    <w:rsid w:val="00C9201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92011"/>
    <w:pPr>
      <w:tabs>
        <w:tab w:val="left" w:pos="2880"/>
      </w:tabs>
    </w:pPr>
  </w:style>
  <w:style w:type="paragraph" w:customStyle="1" w:styleId="Apara">
    <w:name w:val="A para"/>
    <w:basedOn w:val="Normal"/>
    <w:rsid w:val="00C92011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92011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92011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9201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C9201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C9201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92011"/>
    <w:rPr>
      <w:rFonts w:cs="Times New Roman"/>
    </w:rPr>
  </w:style>
  <w:style w:type="paragraph" w:customStyle="1" w:styleId="CoverInForce">
    <w:name w:val="CoverInForce"/>
    <w:basedOn w:val="Normal"/>
    <w:rsid w:val="00C9201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9201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9201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C92011"/>
    <w:rPr>
      <w:rFonts w:cs="Times New Roman"/>
    </w:rPr>
  </w:style>
  <w:style w:type="paragraph" w:customStyle="1" w:styleId="Aparabullet">
    <w:name w:val="A para bullet"/>
    <w:basedOn w:val="Normal"/>
    <w:rsid w:val="00C9201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C92011"/>
  </w:style>
  <w:style w:type="paragraph" w:styleId="TOC2">
    <w:name w:val="toc 2"/>
    <w:basedOn w:val="Normal"/>
    <w:next w:val="Normal"/>
    <w:autoRedefine/>
    <w:uiPriority w:val="39"/>
    <w:semiHidden/>
    <w:rsid w:val="00C9201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C9201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C9201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C9201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C9201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C9201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C9201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C92011"/>
    <w:pPr>
      <w:ind w:left="1920"/>
    </w:pPr>
  </w:style>
  <w:style w:type="character" w:styleId="Hyperlink">
    <w:name w:val="Hyperlink"/>
    <w:basedOn w:val="DefaultParagraphFont"/>
    <w:uiPriority w:val="99"/>
    <w:rsid w:val="00C9201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9201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C9201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9201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9201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C9201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C9201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9201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C9201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92011"/>
    <w:rPr>
      <w:rFonts w:cs="Times New Roman"/>
    </w:rPr>
  </w:style>
  <w:style w:type="paragraph" w:styleId="ListParagraph">
    <w:name w:val="List Paragraph"/>
    <w:basedOn w:val="Normal"/>
    <w:uiPriority w:val="34"/>
    <w:qFormat/>
    <w:rsid w:val="00063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082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82141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rsid w:val="006165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652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652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16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6525"/>
    <w:rPr>
      <w:b/>
      <w:bCs/>
      <w:lang w:eastAsia="en-US"/>
    </w:rPr>
  </w:style>
  <w:style w:type="paragraph" w:styleId="Revision">
    <w:name w:val="Revision"/>
    <w:hidden/>
    <w:uiPriority w:val="99"/>
    <w:semiHidden/>
    <w:rsid w:val="0051399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A48942686</value>
    </field>
    <field name="Objective-Title">
      <value order="0">Attach C - Explanatory Statement for the Determination</value>
    </field>
    <field name="Objective-Description">
      <value order="0"/>
    </field>
    <field name="Objective-CreationStamp">
      <value order="0">2024-10-30T05:03:02Z</value>
    </field>
    <field name="Objective-IsApproved">
      <value order="0">false</value>
    </field>
    <field name="Objective-IsPublished">
      <value order="0">true</value>
    </field>
    <field name="Objective-DatePublished">
      <value order="0">2024-11-24T10:02:53Z</value>
    </field>
    <field name="Objective-ModificationStamp">
      <value order="0">2024-11-24T10:02:53Z</value>
    </field>
    <field name="Objective-Owner">
      <value order="0">Keshab Goutam</value>
    </field>
    <field name="Objective-Path">
      <value order="0">Whole of ACT Government:EPSDD - Environment Planning and Sustainable Development Directorate:07. Ministerial, Cabinet and Government Relations:06. Ministerials:2024 - Ministerials Briefs and Correspondence:Climate Change, Energy &amp; Water:COMPLETED:24/121642 Ministerial-Information Brief - ORR - Greenhouse Gas Inventory Report 2023-24</value>
    </field>
    <field name="Objective-Parent">
      <value order="0">24/121642 Ministerial-Information Brief - ORR - Greenhouse Gas Inventory Report 2023-24</value>
    </field>
    <field name="Objective-State">
      <value order="0">Published</value>
    </field>
    <field name="Objective-VersionId">
      <value order="0">vA62181794</value>
    </field>
    <field name="Objective-Version">
      <value order="0">12.0</value>
    </field>
    <field name="Objective-VersionNumber">
      <value order="0">13</value>
    </field>
    <field name="Objective-VersionComment">
      <value order="0"/>
    </field>
    <field name="Objective-FileNumber">
      <value order="0">1-2024/121642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1CA6B66C-B3C5-412B-A2BE-37DBC059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4479</Characters>
  <Application>Microsoft Office Word</Application>
  <DocSecurity>0</DocSecurity>
  <Lines>109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explanatory statement</vt:lpstr>
    </vt:vector>
  </TitlesOfParts>
  <Company>InTACT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</dc:title>
  <dc:subject/>
  <dc:creator>ACT Government</dc:creator>
  <cp:keywords/>
  <dc:description/>
  <cp:lastModifiedBy>PCODCS</cp:lastModifiedBy>
  <cp:revision>4</cp:revision>
  <cp:lastPrinted>2006-03-31T03:28:00Z</cp:lastPrinted>
  <dcterms:created xsi:type="dcterms:W3CDTF">2024-12-02T04:26:00Z</dcterms:created>
  <dcterms:modified xsi:type="dcterms:W3CDTF">2024-12-02T04:26:00Z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A48942686</vt:lpwstr>
  </property>
  <property fmtid="{D5CDD505-2E9C-101B-9397-08002B2CF9AE}" pid="4" name="Objective-Title">
    <vt:lpwstr>Attach C - Explanatory Statement for the Determination</vt:lpwstr>
  </property>
  <property fmtid="{D5CDD505-2E9C-101B-9397-08002B2CF9AE}" pid="5" name="Objective-Comment">
    <vt:lpwstr/>
  </property>
  <property fmtid="{D5CDD505-2E9C-101B-9397-08002B2CF9AE}" pid="6" name="Objective-CreationStamp">
    <vt:filetime>2024-10-30T05:03:02Z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2024-11-24T10:02:53Z</vt:filetime>
  </property>
  <property fmtid="{D5CDD505-2E9C-101B-9397-08002B2CF9AE}" pid="10" name="Objective-ModificationStamp">
    <vt:filetime>2024-11-24T10:02:53Z</vt:filetime>
  </property>
  <property fmtid="{D5CDD505-2E9C-101B-9397-08002B2CF9AE}" pid="11" name="Objective-Owner">
    <vt:lpwstr>Keshab Goutam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Ministerials:2024 - Ministerials Briefs and Correspondence:Climate Change, Energy &amp; Water:COMPLETED:24/121642 Ministerial-Information Brief - ORR - Greenhouse Gas Inventory Report 2023-24:</vt:lpwstr>
  </property>
  <property fmtid="{D5CDD505-2E9C-101B-9397-08002B2CF9AE}" pid="13" name="Objective-Parent">
    <vt:lpwstr>24/121642 Ministerial-Information Brief - ORR - Greenhouse Gas Inventory Report 2023-24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>1-2024/121642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vA62181794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2024-10-30T04:38:23Z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88e86d44-6a0c-4b3c-8214-8702eeb7b81a</vt:lpwstr>
  </property>
  <property fmtid="{D5CDD505-2E9C-101B-9397-08002B2CF9AE}" pid="51" name="MSIP_Label_69af8531-eb46-4968-8cb3-105d2f5ea87e_ContentBits">
    <vt:lpwstr>0</vt:lpwstr>
  </property>
</Properties>
</file>