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4B4AD" w14:textId="77777777" w:rsidR="00790FE4" w:rsidRPr="008C3B92" w:rsidRDefault="00790FE4" w:rsidP="007F3D56">
      <w:pPr>
        <w:spacing w:after="0"/>
        <w:rPr>
          <w:rFonts w:cs="Arial"/>
          <w:b/>
          <w:bCs/>
          <w:szCs w:val="24"/>
        </w:rPr>
      </w:pPr>
    </w:p>
    <w:p w14:paraId="42440CF1" w14:textId="77777777" w:rsidR="00790FE4" w:rsidRPr="008C3B92" w:rsidRDefault="00790FE4" w:rsidP="007F3D56">
      <w:pPr>
        <w:spacing w:after="0"/>
        <w:rPr>
          <w:rFonts w:cs="Arial"/>
          <w:b/>
          <w:bCs/>
          <w:szCs w:val="24"/>
        </w:rPr>
      </w:pPr>
    </w:p>
    <w:p w14:paraId="47B146F4" w14:textId="552910E6" w:rsidR="00BB387E" w:rsidRPr="003D032B" w:rsidRDefault="00414BA9" w:rsidP="00BB387E">
      <w:pPr>
        <w:spacing w:after="0"/>
        <w:jc w:val="center"/>
        <w:rPr>
          <w:rFonts w:asciiTheme="minorHAnsi" w:hAnsiTheme="minorHAnsi" w:cstheme="minorHAnsi"/>
          <w:b/>
          <w:bCs/>
          <w:szCs w:val="24"/>
        </w:rPr>
      </w:pPr>
      <w:r w:rsidRPr="003D032B">
        <w:rPr>
          <w:rFonts w:asciiTheme="minorHAnsi" w:hAnsiTheme="minorHAnsi" w:cstheme="minorHAnsi"/>
          <w:b/>
          <w:bCs/>
          <w:szCs w:val="24"/>
        </w:rPr>
        <w:t>202</w:t>
      </w:r>
      <w:r w:rsidR="00244B02" w:rsidRPr="003D032B">
        <w:rPr>
          <w:rFonts w:asciiTheme="minorHAnsi" w:hAnsiTheme="minorHAnsi" w:cstheme="minorHAnsi"/>
          <w:b/>
          <w:bCs/>
          <w:szCs w:val="24"/>
        </w:rPr>
        <w:t>4</w:t>
      </w:r>
    </w:p>
    <w:p w14:paraId="76FBCA77" w14:textId="77777777" w:rsidR="00BB387E" w:rsidRPr="003D032B" w:rsidRDefault="00BB387E" w:rsidP="00BB387E">
      <w:pPr>
        <w:spacing w:after="0"/>
        <w:jc w:val="center"/>
        <w:rPr>
          <w:rFonts w:asciiTheme="minorHAnsi" w:hAnsiTheme="minorHAnsi" w:cstheme="minorHAnsi"/>
          <w:b/>
          <w:szCs w:val="24"/>
        </w:rPr>
      </w:pPr>
    </w:p>
    <w:p w14:paraId="3493308A" w14:textId="77777777" w:rsidR="00BB387E" w:rsidRPr="003D032B" w:rsidRDefault="00BB387E" w:rsidP="00BB387E">
      <w:pPr>
        <w:spacing w:after="0"/>
        <w:jc w:val="center"/>
        <w:rPr>
          <w:rFonts w:asciiTheme="minorHAnsi" w:hAnsiTheme="minorHAnsi" w:cstheme="minorHAnsi"/>
          <w:b/>
          <w:szCs w:val="24"/>
        </w:rPr>
      </w:pPr>
    </w:p>
    <w:p w14:paraId="0DB9FAF9" w14:textId="77777777" w:rsidR="00BB387E" w:rsidRPr="003D032B" w:rsidRDefault="00BB387E" w:rsidP="00BB387E">
      <w:pPr>
        <w:spacing w:after="0"/>
        <w:jc w:val="center"/>
        <w:rPr>
          <w:rFonts w:asciiTheme="minorHAnsi" w:hAnsiTheme="minorHAnsi" w:cstheme="minorHAnsi"/>
          <w:b/>
          <w:szCs w:val="24"/>
        </w:rPr>
      </w:pPr>
    </w:p>
    <w:p w14:paraId="32DDD7F5" w14:textId="77777777" w:rsidR="00BB387E" w:rsidRPr="003D032B" w:rsidRDefault="00BB387E" w:rsidP="00BB387E">
      <w:pPr>
        <w:spacing w:after="0"/>
        <w:jc w:val="center"/>
        <w:rPr>
          <w:rFonts w:asciiTheme="minorHAnsi" w:hAnsiTheme="minorHAnsi" w:cstheme="minorHAnsi"/>
          <w:b/>
          <w:szCs w:val="24"/>
        </w:rPr>
      </w:pPr>
    </w:p>
    <w:p w14:paraId="03B2A002" w14:textId="77777777" w:rsidR="00BB387E" w:rsidRPr="003D032B" w:rsidRDefault="00BB387E" w:rsidP="00BB387E">
      <w:pPr>
        <w:spacing w:after="0"/>
        <w:jc w:val="center"/>
        <w:rPr>
          <w:rFonts w:asciiTheme="minorHAnsi" w:hAnsiTheme="minorHAnsi" w:cstheme="minorHAnsi"/>
          <w:b/>
          <w:bCs/>
          <w:szCs w:val="24"/>
        </w:rPr>
      </w:pPr>
    </w:p>
    <w:p w14:paraId="76B12392" w14:textId="77777777" w:rsidR="00BB387E" w:rsidRPr="003D032B" w:rsidRDefault="00BB387E" w:rsidP="00BB387E">
      <w:pPr>
        <w:spacing w:after="0"/>
        <w:jc w:val="center"/>
        <w:rPr>
          <w:rFonts w:asciiTheme="minorHAnsi" w:hAnsiTheme="minorHAnsi" w:cstheme="minorHAnsi"/>
          <w:b/>
          <w:bCs/>
          <w:szCs w:val="24"/>
        </w:rPr>
      </w:pPr>
    </w:p>
    <w:p w14:paraId="04AE96BF" w14:textId="77777777" w:rsidR="00BB387E" w:rsidRPr="003D032B" w:rsidRDefault="00BB387E" w:rsidP="00BB387E">
      <w:pPr>
        <w:spacing w:after="0"/>
        <w:jc w:val="center"/>
        <w:rPr>
          <w:rFonts w:asciiTheme="minorHAnsi" w:hAnsiTheme="minorHAnsi" w:cstheme="minorHAnsi"/>
          <w:b/>
          <w:bCs/>
          <w:szCs w:val="24"/>
        </w:rPr>
      </w:pPr>
      <w:r w:rsidRPr="003D032B">
        <w:rPr>
          <w:rFonts w:asciiTheme="minorHAnsi" w:hAnsiTheme="minorHAnsi" w:cstheme="minorHAnsi"/>
          <w:b/>
          <w:bCs/>
          <w:szCs w:val="24"/>
        </w:rPr>
        <w:t>THE LEGISLATIVE ASSEMBLY FOR THE</w:t>
      </w:r>
    </w:p>
    <w:p w14:paraId="38D9D6DC" w14:textId="77777777" w:rsidR="00BB387E" w:rsidRPr="003D032B" w:rsidRDefault="00BB387E" w:rsidP="00BB387E">
      <w:pPr>
        <w:spacing w:after="0"/>
        <w:jc w:val="center"/>
        <w:rPr>
          <w:rFonts w:asciiTheme="minorHAnsi" w:hAnsiTheme="minorHAnsi" w:cstheme="minorHAnsi"/>
          <w:b/>
          <w:szCs w:val="24"/>
        </w:rPr>
      </w:pPr>
      <w:r w:rsidRPr="003D032B">
        <w:rPr>
          <w:rFonts w:asciiTheme="minorHAnsi" w:hAnsiTheme="minorHAnsi" w:cstheme="minorHAnsi"/>
          <w:b/>
          <w:bCs/>
          <w:szCs w:val="24"/>
        </w:rPr>
        <w:t>AUSTRALIAN CAPITAL TERRITORY</w:t>
      </w:r>
    </w:p>
    <w:p w14:paraId="1814759D" w14:textId="77777777" w:rsidR="00BB387E" w:rsidRPr="003D032B" w:rsidRDefault="00BB387E" w:rsidP="00BB387E">
      <w:pPr>
        <w:spacing w:after="0"/>
        <w:jc w:val="center"/>
        <w:rPr>
          <w:rFonts w:asciiTheme="minorHAnsi" w:hAnsiTheme="minorHAnsi" w:cstheme="minorHAnsi"/>
          <w:b/>
          <w:szCs w:val="24"/>
        </w:rPr>
      </w:pPr>
    </w:p>
    <w:p w14:paraId="63F0CAA5" w14:textId="77777777" w:rsidR="00BB387E" w:rsidRPr="003D032B" w:rsidRDefault="00BB387E" w:rsidP="00BB387E">
      <w:pPr>
        <w:spacing w:after="0"/>
        <w:jc w:val="center"/>
        <w:rPr>
          <w:rFonts w:asciiTheme="minorHAnsi" w:hAnsiTheme="minorHAnsi" w:cstheme="minorHAnsi"/>
          <w:b/>
          <w:szCs w:val="24"/>
        </w:rPr>
      </w:pPr>
    </w:p>
    <w:p w14:paraId="279B0824" w14:textId="77777777" w:rsidR="00BB387E" w:rsidRPr="003D032B" w:rsidRDefault="00BB387E" w:rsidP="00BB387E">
      <w:pPr>
        <w:spacing w:after="0"/>
        <w:jc w:val="center"/>
        <w:rPr>
          <w:rFonts w:asciiTheme="minorHAnsi" w:hAnsiTheme="minorHAnsi" w:cstheme="minorHAnsi"/>
          <w:b/>
          <w:szCs w:val="24"/>
        </w:rPr>
      </w:pPr>
    </w:p>
    <w:p w14:paraId="01940BA6" w14:textId="77777777" w:rsidR="00BB387E" w:rsidRPr="003D032B" w:rsidRDefault="00BB387E" w:rsidP="00BB387E">
      <w:pPr>
        <w:spacing w:after="0"/>
        <w:jc w:val="center"/>
        <w:rPr>
          <w:rFonts w:asciiTheme="minorHAnsi" w:hAnsiTheme="minorHAnsi" w:cstheme="minorHAnsi"/>
          <w:b/>
          <w:szCs w:val="24"/>
        </w:rPr>
      </w:pPr>
    </w:p>
    <w:p w14:paraId="278F861F" w14:textId="77777777" w:rsidR="00BB387E" w:rsidRPr="003D032B" w:rsidRDefault="00BB387E" w:rsidP="00BB387E">
      <w:pPr>
        <w:spacing w:after="0"/>
        <w:jc w:val="center"/>
        <w:rPr>
          <w:rFonts w:asciiTheme="minorHAnsi" w:hAnsiTheme="minorHAnsi" w:cstheme="minorHAnsi"/>
          <w:b/>
          <w:szCs w:val="24"/>
        </w:rPr>
      </w:pPr>
    </w:p>
    <w:p w14:paraId="48190A2F" w14:textId="77777777" w:rsidR="00BB387E" w:rsidRPr="003D032B" w:rsidRDefault="00BB387E" w:rsidP="00BB387E">
      <w:pPr>
        <w:spacing w:after="0"/>
        <w:jc w:val="center"/>
        <w:rPr>
          <w:rFonts w:asciiTheme="minorHAnsi" w:hAnsiTheme="minorHAnsi" w:cstheme="minorHAnsi"/>
          <w:b/>
          <w:szCs w:val="24"/>
        </w:rPr>
      </w:pPr>
    </w:p>
    <w:p w14:paraId="03A897E3" w14:textId="77777777" w:rsidR="00BB387E" w:rsidRPr="003D032B" w:rsidRDefault="00BB387E" w:rsidP="00BB387E">
      <w:pPr>
        <w:spacing w:after="0"/>
        <w:jc w:val="center"/>
        <w:rPr>
          <w:rFonts w:asciiTheme="minorHAnsi" w:hAnsiTheme="minorHAnsi" w:cstheme="minorHAnsi"/>
          <w:b/>
          <w:szCs w:val="24"/>
        </w:rPr>
      </w:pPr>
    </w:p>
    <w:p w14:paraId="75D7A359" w14:textId="77777777" w:rsidR="00BB387E" w:rsidRPr="003D032B" w:rsidRDefault="00BB387E" w:rsidP="00BB387E">
      <w:pPr>
        <w:spacing w:after="0"/>
        <w:jc w:val="center"/>
        <w:rPr>
          <w:rFonts w:asciiTheme="minorHAnsi" w:hAnsiTheme="minorHAnsi" w:cstheme="minorHAnsi"/>
          <w:b/>
          <w:szCs w:val="24"/>
        </w:rPr>
      </w:pPr>
    </w:p>
    <w:p w14:paraId="6CA27CE6" w14:textId="77777777" w:rsidR="00BB387E" w:rsidRPr="003D032B" w:rsidRDefault="00BB387E" w:rsidP="00BB387E">
      <w:pPr>
        <w:spacing w:after="0"/>
        <w:jc w:val="center"/>
        <w:rPr>
          <w:rFonts w:asciiTheme="minorHAnsi" w:hAnsiTheme="minorHAnsi" w:cstheme="minorHAnsi"/>
          <w:b/>
          <w:szCs w:val="24"/>
        </w:rPr>
      </w:pPr>
    </w:p>
    <w:p w14:paraId="309E6F3A" w14:textId="77777777" w:rsidR="00BB387E" w:rsidRPr="003D032B" w:rsidRDefault="00BB387E" w:rsidP="00BB387E">
      <w:pPr>
        <w:spacing w:after="0"/>
        <w:jc w:val="center"/>
        <w:rPr>
          <w:rFonts w:asciiTheme="minorHAnsi" w:hAnsiTheme="minorHAnsi" w:cstheme="minorHAnsi"/>
          <w:b/>
          <w:szCs w:val="24"/>
        </w:rPr>
      </w:pPr>
    </w:p>
    <w:p w14:paraId="69918477" w14:textId="6BCBABFB" w:rsidR="00741C4A" w:rsidRPr="003D032B" w:rsidRDefault="00CC1A4A" w:rsidP="00741C4A">
      <w:pPr>
        <w:spacing w:after="0"/>
        <w:jc w:val="center"/>
        <w:rPr>
          <w:rFonts w:asciiTheme="minorHAnsi" w:hAnsiTheme="minorHAnsi" w:cstheme="minorHAnsi"/>
          <w:b/>
          <w:bCs/>
          <w:szCs w:val="24"/>
        </w:rPr>
      </w:pPr>
      <w:r w:rsidRPr="003D032B">
        <w:rPr>
          <w:rFonts w:asciiTheme="minorHAnsi" w:hAnsiTheme="minorHAnsi" w:cstheme="minorHAnsi"/>
          <w:b/>
          <w:bCs/>
          <w:szCs w:val="24"/>
        </w:rPr>
        <w:t xml:space="preserve"> </w:t>
      </w:r>
      <w:r w:rsidR="00990240" w:rsidRPr="003D032B">
        <w:rPr>
          <w:rFonts w:asciiTheme="minorHAnsi" w:hAnsiTheme="minorHAnsi" w:cstheme="minorHAnsi"/>
          <w:b/>
          <w:bCs/>
          <w:szCs w:val="24"/>
        </w:rPr>
        <w:t>JUSTICE AND COMMUNITY SAFETY LEGISLATION AMENDMENT BILL 202</w:t>
      </w:r>
      <w:r w:rsidR="00244B02" w:rsidRPr="003D032B">
        <w:rPr>
          <w:rFonts w:asciiTheme="minorHAnsi" w:hAnsiTheme="minorHAnsi" w:cstheme="minorHAnsi"/>
          <w:b/>
          <w:bCs/>
          <w:szCs w:val="24"/>
        </w:rPr>
        <w:t>4</w:t>
      </w:r>
      <w:r w:rsidR="00BB0BEF">
        <w:rPr>
          <w:rFonts w:asciiTheme="minorHAnsi" w:hAnsiTheme="minorHAnsi" w:cstheme="minorHAnsi"/>
          <w:b/>
          <w:bCs/>
          <w:szCs w:val="24"/>
        </w:rPr>
        <w:t xml:space="preserve"> (NO 2)</w:t>
      </w:r>
    </w:p>
    <w:p w14:paraId="19F3C407" w14:textId="77777777" w:rsidR="00BB387E" w:rsidRPr="003D032B" w:rsidRDefault="00BB387E" w:rsidP="00BB387E">
      <w:pPr>
        <w:spacing w:after="0"/>
        <w:jc w:val="center"/>
        <w:rPr>
          <w:rFonts w:asciiTheme="minorHAnsi" w:hAnsiTheme="minorHAnsi" w:cstheme="minorHAnsi"/>
          <w:b/>
          <w:bCs/>
          <w:szCs w:val="24"/>
        </w:rPr>
      </w:pPr>
    </w:p>
    <w:p w14:paraId="37B3F0B9" w14:textId="77777777" w:rsidR="00BB387E" w:rsidRPr="003D032B" w:rsidRDefault="00BB387E" w:rsidP="00BB387E">
      <w:pPr>
        <w:spacing w:after="0"/>
        <w:jc w:val="center"/>
        <w:rPr>
          <w:rFonts w:asciiTheme="minorHAnsi" w:hAnsiTheme="minorHAnsi" w:cstheme="minorHAnsi"/>
          <w:b/>
          <w:szCs w:val="24"/>
        </w:rPr>
      </w:pPr>
    </w:p>
    <w:p w14:paraId="0D26BB2F" w14:textId="77777777" w:rsidR="00BB387E" w:rsidRPr="003D032B" w:rsidRDefault="00BB387E" w:rsidP="00BB387E">
      <w:pPr>
        <w:spacing w:after="0"/>
        <w:jc w:val="center"/>
        <w:rPr>
          <w:rFonts w:asciiTheme="minorHAnsi" w:hAnsiTheme="minorHAnsi" w:cstheme="minorHAnsi"/>
          <w:b/>
          <w:bCs/>
          <w:szCs w:val="24"/>
        </w:rPr>
      </w:pPr>
    </w:p>
    <w:p w14:paraId="00B32D69" w14:textId="0D75D4CC" w:rsidR="00BC3EF0" w:rsidRPr="003D032B" w:rsidRDefault="00BB387E" w:rsidP="00BB387E">
      <w:pPr>
        <w:spacing w:after="0"/>
        <w:jc w:val="center"/>
        <w:rPr>
          <w:rFonts w:asciiTheme="minorHAnsi" w:hAnsiTheme="minorHAnsi" w:cstheme="minorHAnsi"/>
          <w:b/>
          <w:szCs w:val="24"/>
        </w:rPr>
      </w:pPr>
      <w:r w:rsidRPr="003D032B">
        <w:rPr>
          <w:rFonts w:asciiTheme="minorHAnsi" w:hAnsiTheme="minorHAnsi" w:cstheme="minorHAnsi"/>
          <w:b/>
          <w:bCs/>
          <w:szCs w:val="24"/>
        </w:rPr>
        <w:t>EXPLANATORY STATEMENT</w:t>
      </w:r>
      <w:r w:rsidR="00BC3EF0" w:rsidRPr="003D032B">
        <w:rPr>
          <w:rFonts w:asciiTheme="minorHAnsi" w:hAnsiTheme="minorHAnsi" w:cstheme="minorHAnsi"/>
          <w:b/>
          <w:bCs/>
          <w:szCs w:val="24"/>
        </w:rPr>
        <w:t xml:space="preserve"> </w:t>
      </w:r>
    </w:p>
    <w:p w14:paraId="6DC1AFAD" w14:textId="77777777" w:rsidR="00CB7CFC" w:rsidRPr="003D032B" w:rsidRDefault="00CB7CFC" w:rsidP="00CB7CFC">
      <w:pPr>
        <w:spacing w:after="0"/>
        <w:jc w:val="center"/>
        <w:rPr>
          <w:rFonts w:asciiTheme="minorHAnsi" w:hAnsiTheme="minorHAnsi" w:cstheme="minorHAnsi"/>
          <w:b/>
          <w:bCs/>
          <w:szCs w:val="24"/>
        </w:rPr>
      </w:pPr>
      <w:r w:rsidRPr="003D032B">
        <w:rPr>
          <w:rFonts w:asciiTheme="minorHAnsi" w:hAnsiTheme="minorHAnsi" w:cstheme="minorHAnsi"/>
          <w:b/>
          <w:bCs/>
          <w:szCs w:val="24"/>
        </w:rPr>
        <w:t>and</w:t>
      </w:r>
    </w:p>
    <w:p w14:paraId="3A7D6707" w14:textId="77777777" w:rsidR="00CB7CFC" w:rsidRPr="003D032B" w:rsidRDefault="00CB7CFC" w:rsidP="00CB7CFC">
      <w:pPr>
        <w:spacing w:after="0"/>
        <w:jc w:val="center"/>
        <w:rPr>
          <w:rFonts w:asciiTheme="minorHAnsi" w:hAnsiTheme="minorHAnsi" w:cstheme="minorHAnsi"/>
          <w:b/>
          <w:bCs/>
          <w:szCs w:val="24"/>
        </w:rPr>
      </w:pPr>
      <w:r w:rsidRPr="003D032B">
        <w:rPr>
          <w:rFonts w:asciiTheme="minorHAnsi" w:hAnsiTheme="minorHAnsi" w:cstheme="minorHAnsi"/>
          <w:b/>
          <w:bCs/>
          <w:szCs w:val="24"/>
        </w:rPr>
        <w:t xml:space="preserve"> HUMAN RIGHTS COMPATIBILITY STATEMENT</w:t>
      </w:r>
    </w:p>
    <w:p w14:paraId="77E64697" w14:textId="77777777" w:rsidR="00CB7CFC" w:rsidRPr="003D032B" w:rsidRDefault="00CB7CFC" w:rsidP="00CB7CFC">
      <w:pPr>
        <w:spacing w:after="0"/>
        <w:jc w:val="center"/>
        <w:rPr>
          <w:rFonts w:asciiTheme="minorHAnsi" w:hAnsiTheme="minorHAnsi" w:cstheme="minorHAnsi"/>
          <w:b/>
          <w:szCs w:val="24"/>
        </w:rPr>
      </w:pPr>
      <w:r w:rsidRPr="003D032B">
        <w:rPr>
          <w:rFonts w:asciiTheme="minorHAnsi" w:hAnsiTheme="minorHAnsi" w:cstheme="minorHAnsi"/>
          <w:b/>
          <w:bCs/>
          <w:szCs w:val="24"/>
        </w:rPr>
        <w:t>(</w:t>
      </w:r>
      <w:r w:rsidRPr="003D032B">
        <w:rPr>
          <w:rFonts w:asciiTheme="minorHAnsi" w:hAnsiTheme="minorHAnsi" w:cstheme="minorHAnsi"/>
          <w:b/>
          <w:bCs/>
          <w:i/>
          <w:iCs/>
          <w:szCs w:val="24"/>
        </w:rPr>
        <w:t>Human Rights Act 2004</w:t>
      </w:r>
      <w:r w:rsidRPr="003D032B">
        <w:rPr>
          <w:rFonts w:asciiTheme="minorHAnsi" w:hAnsiTheme="minorHAnsi" w:cstheme="minorHAnsi"/>
          <w:b/>
          <w:bCs/>
          <w:szCs w:val="24"/>
        </w:rPr>
        <w:t>, s 37)</w:t>
      </w:r>
    </w:p>
    <w:p w14:paraId="4E561EC7" w14:textId="77777777" w:rsidR="00BB387E" w:rsidRPr="003D032B" w:rsidRDefault="00BB387E" w:rsidP="00BB387E">
      <w:pPr>
        <w:spacing w:after="0"/>
        <w:jc w:val="center"/>
        <w:rPr>
          <w:rFonts w:asciiTheme="minorHAnsi" w:hAnsiTheme="minorHAnsi" w:cstheme="minorHAnsi"/>
          <w:b/>
          <w:szCs w:val="24"/>
        </w:rPr>
      </w:pPr>
    </w:p>
    <w:p w14:paraId="58E7858B" w14:textId="77777777" w:rsidR="00BB387E" w:rsidRPr="003D032B" w:rsidRDefault="00BB387E" w:rsidP="00BB387E">
      <w:pPr>
        <w:spacing w:after="0"/>
        <w:jc w:val="center"/>
        <w:rPr>
          <w:rFonts w:asciiTheme="minorHAnsi" w:hAnsiTheme="minorHAnsi" w:cstheme="minorHAnsi"/>
          <w:b/>
          <w:szCs w:val="24"/>
        </w:rPr>
      </w:pPr>
    </w:p>
    <w:p w14:paraId="44FB09C0" w14:textId="77777777" w:rsidR="00BB387E" w:rsidRPr="003D032B" w:rsidRDefault="00BB387E" w:rsidP="00BB387E">
      <w:pPr>
        <w:spacing w:after="0"/>
        <w:jc w:val="center"/>
        <w:rPr>
          <w:rFonts w:asciiTheme="minorHAnsi" w:hAnsiTheme="minorHAnsi" w:cstheme="minorHAnsi"/>
          <w:b/>
          <w:szCs w:val="24"/>
        </w:rPr>
      </w:pPr>
    </w:p>
    <w:p w14:paraId="6DB1E5EF" w14:textId="77777777" w:rsidR="00BB387E" w:rsidRPr="003D032B" w:rsidRDefault="00BB387E" w:rsidP="00BB387E">
      <w:pPr>
        <w:spacing w:after="0"/>
        <w:jc w:val="center"/>
        <w:rPr>
          <w:rFonts w:asciiTheme="minorHAnsi" w:hAnsiTheme="minorHAnsi" w:cstheme="minorHAnsi"/>
          <w:b/>
          <w:szCs w:val="24"/>
        </w:rPr>
      </w:pPr>
    </w:p>
    <w:p w14:paraId="5CCF0433" w14:textId="77777777" w:rsidR="00BB387E" w:rsidRPr="003D032B" w:rsidRDefault="00BB387E" w:rsidP="00BB387E">
      <w:pPr>
        <w:keepNext/>
        <w:widowControl w:val="0"/>
        <w:spacing w:after="0"/>
        <w:jc w:val="center"/>
        <w:outlineLvl w:val="7"/>
        <w:rPr>
          <w:rFonts w:asciiTheme="minorHAnsi" w:hAnsiTheme="minorHAnsi" w:cstheme="minorHAnsi"/>
          <w:b/>
          <w:bCs/>
          <w:szCs w:val="24"/>
        </w:rPr>
      </w:pPr>
    </w:p>
    <w:p w14:paraId="0CE0F478" w14:textId="77777777" w:rsidR="00BB387E" w:rsidRPr="003D032B" w:rsidRDefault="00BB387E" w:rsidP="00BB387E">
      <w:pPr>
        <w:keepNext/>
        <w:widowControl w:val="0"/>
        <w:spacing w:after="0"/>
        <w:jc w:val="center"/>
        <w:outlineLvl w:val="7"/>
        <w:rPr>
          <w:rFonts w:asciiTheme="minorHAnsi" w:hAnsiTheme="minorHAnsi" w:cstheme="minorHAnsi"/>
          <w:b/>
          <w:bCs/>
          <w:szCs w:val="24"/>
        </w:rPr>
      </w:pPr>
    </w:p>
    <w:p w14:paraId="389DC9D3" w14:textId="77777777" w:rsidR="00990240" w:rsidRPr="003D032B" w:rsidRDefault="00990240" w:rsidP="00990240">
      <w:pPr>
        <w:keepNext/>
        <w:widowControl w:val="0"/>
        <w:spacing w:after="0"/>
        <w:ind w:right="686"/>
        <w:jc w:val="right"/>
        <w:outlineLvl w:val="7"/>
        <w:rPr>
          <w:rFonts w:asciiTheme="minorHAnsi" w:hAnsiTheme="minorHAnsi" w:cstheme="minorHAnsi"/>
          <w:b/>
          <w:bCs/>
          <w:szCs w:val="24"/>
        </w:rPr>
      </w:pPr>
      <w:r w:rsidRPr="003D032B">
        <w:rPr>
          <w:rFonts w:asciiTheme="minorHAnsi" w:hAnsiTheme="minorHAnsi" w:cstheme="minorHAnsi"/>
          <w:b/>
          <w:bCs/>
          <w:szCs w:val="24"/>
        </w:rPr>
        <w:t>Presented by</w:t>
      </w:r>
    </w:p>
    <w:p w14:paraId="18548570" w14:textId="0DCFE598" w:rsidR="00990240" w:rsidRPr="003D032B" w:rsidRDefault="00172563" w:rsidP="00990240">
      <w:pPr>
        <w:spacing w:after="0"/>
        <w:ind w:right="686"/>
        <w:jc w:val="right"/>
        <w:rPr>
          <w:rFonts w:asciiTheme="minorHAnsi" w:hAnsiTheme="minorHAnsi" w:cstheme="minorHAnsi"/>
          <w:b/>
          <w:bCs/>
          <w:szCs w:val="24"/>
        </w:rPr>
      </w:pPr>
      <w:r w:rsidRPr="00172563">
        <w:rPr>
          <w:rFonts w:asciiTheme="minorHAnsi" w:hAnsiTheme="minorHAnsi" w:cstheme="minorHAnsi"/>
          <w:b/>
          <w:bCs/>
          <w:szCs w:val="24"/>
        </w:rPr>
        <w:t>Tara Cheyne</w:t>
      </w:r>
      <w:r w:rsidR="00990240" w:rsidRPr="00172563">
        <w:rPr>
          <w:rFonts w:asciiTheme="minorHAnsi" w:hAnsiTheme="minorHAnsi" w:cstheme="minorHAnsi"/>
          <w:b/>
          <w:bCs/>
          <w:szCs w:val="24"/>
        </w:rPr>
        <w:t xml:space="preserve"> MLA</w:t>
      </w:r>
    </w:p>
    <w:p w14:paraId="7D8FCEBC" w14:textId="77777777" w:rsidR="00990240" w:rsidRPr="003D032B" w:rsidRDefault="00990240" w:rsidP="00990240">
      <w:pPr>
        <w:spacing w:after="0"/>
        <w:ind w:right="686"/>
        <w:jc w:val="right"/>
        <w:rPr>
          <w:rFonts w:asciiTheme="minorHAnsi" w:hAnsiTheme="minorHAnsi" w:cstheme="minorHAnsi"/>
          <w:b/>
          <w:bCs/>
          <w:szCs w:val="24"/>
        </w:rPr>
      </w:pPr>
      <w:r w:rsidRPr="003D032B">
        <w:rPr>
          <w:rFonts w:asciiTheme="minorHAnsi" w:hAnsiTheme="minorHAnsi" w:cstheme="minorHAnsi"/>
          <w:b/>
          <w:bCs/>
          <w:szCs w:val="24"/>
        </w:rPr>
        <w:t>Attorney-General</w:t>
      </w:r>
    </w:p>
    <w:p w14:paraId="29D58DC6" w14:textId="77777777" w:rsidR="00DC5912" w:rsidRPr="008C3B92" w:rsidRDefault="00DC5912">
      <w:pPr>
        <w:spacing w:after="0" w:line="240" w:lineRule="auto"/>
        <w:rPr>
          <w:rFonts w:cs="Arial"/>
          <w:b/>
          <w:bCs/>
          <w:szCs w:val="24"/>
          <w:u w:val="single"/>
        </w:rPr>
        <w:sectPr w:rsidR="00DC5912" w:rsidRPr="008C3B92" w:rsidSect="002E45F1">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440" w:left="1440" w:header="709" w:footer="675" w:gutter="0"/>
          <w:pgNumType w:start="1"/>
          <w:cols w:space="708"/>
          <w:docGrid w:linePitch="360"/>
        </w:sectPr>
      </w:pPr>
      <w:r w:rsidRPr="008C3B92">
        <w:rPr>
          <w:rFonts w:cs="Arial"/>
          <w:b/>
          <w:bCs/>
          <w:szCs w:val="24"/>
          <w:u w:val="single"/>
        </w:rPr>
        <w:br w:type="page"/>
      </w:r>
    </w:p>
    <w:p w14:paraId="5AF6D3C7" w14:textId="4BC98E0E" w:rsidR="00990240" w:rsidRPr="00990240" w:rsidRDefault="00990240" w:rsidP="00990240">
      <w:pPr>
        <w:spacing w:after="0"/>
        <w:contextualSpacing/>
        <w:rPr>
          <w:rFonts w:eastAsiaTheme="majorEastAsia"/>
          <w:b/>
          <w:bCs/>
          <w:sz w:val="28"/>
          <w:szCs w:val="28"/>
        </w:rPr>
      </w:pPr>
      <w:r w:rsidRPr="00990240">
        <w:rPr>
          <w:rFonts w:eastAsiaTheme="majorEastAsia"/>
          <w:b/>
          <w:bCs/>
          <w:sz w:val="28"/>
          <w:szCs w:val="28"/>
        </w:rPr>
        <w:lastRenderedPageBreak/>
        <w:t>JUSTICE AND COMMUNITY SAFETY LEGISLATION AMENDMENT BILL 202</w:t>
      </w:r>
      <w:r w:rsidR="00244B02">
        <w:rPr>
          <w:rFonts w:eastAsiaTheme="majorEastAsia"/>
          <w:b/>
          <w:bCs/>
          <w:sz w:val="28"/>
          <w:szCs w:val="28"/>
        </w:rPr>
        <w:t>4</w:t>
      </w:r>
      <w:r w:rsidR="00A510AA">
        <w:rPr>
          <w:rFonts w:eastAsiaTheme="majorEastAsia"/>
          <w:b/>
          <w:bCs/>
          <w:sz w:val="28"/>
          <w:szCs w:val="28"/>
        </w:rPr>
        <w:t xml:space="preserve"> (NO 2)</w:t>
      </w:r>
    </w:p>
    <w:p w14:paraId="2612AE1F" w14:textId="77777777" w:rsidR="00834FC9" w:rsidRDefault="00834FC9" w:rsidP="007F3D56">
      <w:pPr>
        <w:spacing w:after="0"/>
        <w:contextualSpacing/>
        <w:rPr>
          <w:rFonts w:cs="Arial"/>
          <w:bCs/>
          <w:szCs w:val="24"/>
        </w:rPr>
      </w:pPr>
    </w:p>
    <w:p w14:paraId="1C55190C" w14:textId="34139382" w:rsidR="00790FE4" w:rsidRDefault="00834FC9" w:rsidP="00486C06">
      <w:pPr>
        <w:spacing w:after="0"/>
        <w:contextualSpacing/>
        <w:rPr>
          <w:rFonts w:cs="Arial"/>
          <w:bCs/>
          <w:szCs w:val="24"/>
        </w:rPr>
      </w:pPr>
      <w:r w:rsidRPr="00834FC9">
        <w:rPr>
          <w:rFonts w:cs="Arial"/>
          <w:bCs/>
          <w:szCs w:val="24"/>
        </w:rPr>
        <w:t xml:space="preserve">The Bill </w:t>
      </w:r>
      <w:r w:rsidRPr="00834FC9">
        <w:rPr>
          <w:rFonts w:cs="Arial"/>
          <w:b/>
          <w:szCs w:val="24"/>
        </w:rPr>
        <w:t>is</w:t>
      </w:r>
      <w:r w:rsidR="004A549C">
        <w:rPr>
          <w:rFonts w:cs="Arial"/>
          <w:b/>
          <w:szCs w:val="24"/>
        </w:rPr>
        <w:t xml:space="preserve"> not</w:t>
      </w:r>
      <w:r w:rsidR="00990240">
        <w:rPr>
          <w:rFonts w:cs="Arial"/>
          <w:b/>
          <w:szCs w:val="24"/>
        </w:rPr>
        <w:t xml:space="preserve"> </w:t>
      </w:r>
      <w:r w:rsidRPr="00834FC9">
        <w:rPr>
          <w:rFonts w:cs="Arial"/>
          <w:bCs/>
          <w:szCs w:val="24"/>
        </w:rPr>
        <w:t xml:space="preserve">a Significant Bill. Significant Bills are bills that </w:t>
      </w:r>
      <w:r>
        <w:rPr>
          <w:rFonts w:cs="Arial"/>
          <w:bCs/>
          <w:szCs w:val="24"/>
        </w:rPr>
        <w:t>have been assessed</w:t>
      </w:r>
      <w:r w:rsidRPr="00834FC9">
        <w:rPr>
          <w:rFonts w:cs="Arial"/>
          <w:bCs/>
          <w:szCs w:val="24"/>
        </w:rPr>
        <w:t xml:space="preserve"> as </w:t>
      </w:r>
      <w:r>
        <w:rPr>
          <w:rFonts w:cs="Arial"/>
          <w:bCs/>
          <w:szCs w:val="24"/>
        </w:rPr>
        <w:t>likely to have</w:t>
      </w:r>
      <w:r w:rsidRPr="00834FC9">
        <w:rPr>
          <w:rFonts w:cs="Arial"/>
          <w:bCs/>
          <w:szCs w:val="24"/>
        </w:rPr>
        <w:t xml:space="preserve"> significant </w:t>
      </w:r>
      <w:r>
        <w:rPr>
          <w:rFonts w:cs="Arial"/>
          <w:bCs/>
          <w:szCs w:val="24"/>
        </w:rPr>
        <w:t>engagement of human rights</w:t>
      </w:r>
      <w:r w:rsidRPr="00834FC9">
        <w:rPr>
          <w:rFonts w:cs="Arial"/>
          <w:bCs/>
          <w:szCs w:val="24"/>
        </w:rPr>
        <w:t xml:space="preserve"> and require more detailed reasoning in relation to </w:t>
      </w:r>
      <w:r>
        <w:rPr>
          <w:rFonts w:cs="Arial"/>
          <w:bCs/>
          <w:szCs w:val="24"/>
        </w:rPr>
        <w:t xml:space="preserve">compatibility with the </w:t>
      </w:r>
      <w:r w:rsidRPr="00834FC9">
        <w:rPr>
          <w:rFonts w:cs="Arial"/>
          <w:bCs/>
          <w:i/>
          <w:iCs/>
          <w:szCs w:val="24"/>
        </w:rPr>
        <w:t>Human Rights Act 2004</w:t>
      </w:r>
      <w:r w:rsidRPr="00834FC9">
        <w:rPr>
          <w:rFonts w:cs="Arial"/>
          <w:bCs/>
          <w:szCs w:val="24"/>
        </w:rPr>
        <w:t>.</w:t>
      </w:r>
    </w:p>
    <w:p w14:paraId="47E9DEA2" w14:textId="720EC751" w:rsidR="00990240" w:rsidRDefault="00990240" w:rsidP="00486C06">
      <w:pPr>
        <w:spacing w:after="0"/>
        <w:contextualSpacing/>
        <w:rPr>
          <w:rFonts w:cs="Arial"/>
          <w:bCs/>
          <w:szCs w:val="24"/>
        </w:rPr>
      </w:pPr>
    </w:p>
    <w:p w14:paraId="4F7D2855" w14:textId="02AEAFD0" w:rsidR="00990240" w:rsidRPr="00990240" w:rsidRDefault="00990240" w:rsidP="00486C06">
      <w:pPr>
        <w:spacing w:after="0"/>
        <w:contextualSpacing/>
        <w:rPr>
          <w:rFonts w:cs="Arial"/>
          <w:bCs/>
          <w:szCs w:val="24"/>
        </w:rPr>
      </w:pPr>
      <w:r w:rsidRPr="00990240">
        <w:rPr>
          <w:rFonts w:cs="Arial"/>
          <w:bCs/>
          <w:szCs w:val="24"/>
        </w:rPr>
        <w:t xml:space="preserve">This explanatory statement relates to the </w:t>
      </w:r>
      <w:r w:rsidRPr="00990240">
        <w:rPr>
          <w:rFonts w:cs="Arial"/>
          <w:bCs/>
          <w:i/>
          <w:iCs/>
          <w:szCs w:val="24"/>
        </w:rPr>
        <w:t>Justice and Community Safety Legislation Amendment Bill 202</w:t>
      </w:r>
      <w:r w:rsidR="00244B02">
        <w:rPr>
          <w:rFonts w:cs="Arial"/>
          <w:bCs/>
          <w:i/>
          <w:iCs/>
          <w:szCs w:val="24"/>
        </w:rPr>
        <w:t>4</w:t>
      </w:r>
      <w:r w:rsidRPr="00990240">
        <w:rPr>
          <w:rFonts w:cs="Arial"/>
          <w:bCs/>
          <w:i/>
          <w:iCs/>
          <w:szCs w:val="24"/>
        </w:rPr>
        <w:t xml:space="preserve"> </w:t>
      </w:r>
      <w:r w:rsidR="00BB0BEF">
        <w:rPr>
          <w:rFonts w:cs="Arial"/>
          <w:bCs/>
          <w:i/>
          <w:iCs/>
          <w:szCs w:val="24"/>
        </w:rPr>
        <w:t xml:space="preserve">(No 2) </w:t>
      </w:r>
      <w:r w:rsidRPr="00990240">
        <w:rPr>
          <w:rFonts w:cs="Arial"/>
          <w:bCs/>
          <w:szCs w:val="24"/>
        </w:rPr>
        <w:t xml:space="preserve">as presented to the Legislative Assembly. It has been prepared to assist the reader of the Bill and to help inform debate on it. It does not form part of the Bill and has not been endorsed by the Assembly. The statement is to be read in conjunction with the Bill. It is not, and is not meant to be, a comprehensive description of the Bill. </w:t>
      </w:r>
    </w:p>
    <w:p w14:paraId="3F20865D" w14:textId="77777777" w:rsidR="0052127F" w:rsidRPr="00834FC9" w:rsidRDefault="0052127F" w:rsidP="00486C06">
      <w:pPr>
        <w:spacing w:after="0"/>
        <w:rPr>
          <w:rFonts w:cs="Arial"/>
          <w:bCs/>
          <w:szCs w:val="24"/>
          <w:highlight w:val="yellow"/>
        </w:rPr>
      </w:pPr>
    </w:p>
    <w:p w14:paraId="29C29316" w14:textId="56470B09" w:rsidR="007B6A78" w:rsidRDefault="003323FA" w:rsidP="008C225D">
      <w:pPr>
        <w:pStyle w:val="Heading2"/>
      </w:pPr>
      <w:r>
        <w:t>OVERVIEW OF THE BILL</w:t>
      </w:r>
    </w:p>
    <w:p w14:paraId="621B8932" w14:textId="6B88C467" w:rsidR="00990240" w:rsidRPr="00990240" w:rsidRDefault="00990240" w:rsidP="00486C06">
      <w:pPr>
        <w:rPr>
          <w:rFonts w:cs="Arial"/>
          <w:bCs/>
          <w:szCs w:val="24"/>
        </w:rPr>
      </w:pPr>
      <w:r w:rsidRPr="00990240">
        <w:rPr>
          <w:rFonts w:cs="Arial"/>
          <w:bCs/>
          <w:szCs w:val="24"/>
        </w:rPr>
        <w:t xml:space="preserve">The Bill is an omnibus bill which amends </w:t>
      </w:r>
      <w:r w:rsidR="00A74B0E">
        <w:rPr>
          <w:rFonts w:cs="Arial"/>
          <w:bCs/>
          <w:szCs w:val="24"/>
        </w:rPr>
        <w:t>of the following</w:t>
      </w:r>
      <w:r w:rsidRPr="00990240">
        <w:rPr>
          <w:rFonts w:cs="Arial"/>
          <w:bCs/>
          <w:szCs w:val="24"/>
        </w:rPr>
        <w:t xml:space="preserve"> legislation in the Attorney</w:t>
      </w:r>
      <w:r w:rsidR="00A74B0E">
        <w:rPr>
          <w:rFonts w:cs="Arial"/>
          <w:bCs/>
          <w:szCs w:val="24"/>
        </w:rPr>
        <w:noBreakHyphen/>
      </w:r>
      <w:r w:rsidRPr="00990240">
        <w:rPr>
          <w:rFonts w:cs="Arial"/>
          <w:bCs/>
          <w:szCs w:val="24"/>
        </w:rPr>
        <w:t xml:space="preserve">General’s portfolio: </w:t>
      </w:r>
    </w:p>
    <w:p w14:paraId="7C1A66A1" w14:textId="77777777" w:rsidR="00FB4BFC" w:rsidRPr="00FB4BFC" w:rsidRDefault="00FB4BFC" w:rsidP="00E15D1B">
      <w:pPr>
        <w:pStyle w:val="CS-Paragraphnumbering"/>
        <w:numPr>
          <w:ilvl w:val="0"/>
          <w:numId w:val="41"/>
        </w:numPr>
        <w:spacing w:before="240"/>
        <w:rPr>
          <w:rFonts w:ascii="Arial" w:hAnsi="Arial" w:cs="Arial"/>
        </w:rPr>
      </w:pPr>
      <w:r w:rsidRPr="00FB4BFC">
        <w:rPr>
          <w:rFonts w:ascii="Arial" w:hAnsi="Arial" w:cs="Arial"/>
          <w:i/>
        </w:rPr>
        <w:t>Fair Trading (Australian Consumer Law) Act 1992;</w:t>
      </w:r>
    </w:p>
    <w:p w14:paraId="1BE03849" w14:textId="77777777" w:rsidR="00FB4BFC" w:rsidRPr="00E15D1B" w:rsidRDefault="00FB4BFC" w:rsidP="00E15D1B">
      <w:pPr>
        <w:pStyle w:val="ListParagraph"/>
        <w:numPr>
          <w:ilvl w:val="0"/>
          <w:numId w:val="41"/>
        </w:numPr>
        <w:spacing w:after="160"/>
        <w:jc w:val="both"/>
        <w:rPr>
          <w:rFonts w:cs="Arial"/>
          <w:szCs w:val="24"/>
        </w:rPr>
      </w:pPr>
      <w:r w:rsidRPr="00E15D1B">
        <w:rPr>
          <w:rFonts w:cs="Arial"/>
          <w:i/>
          <w:szCs w:val="24"/>
        </w:rPr>
        <w:t>Human Rights Commission Act 2005;</w:t>
      </w:r>
    </w:p>
    <w:p w14:paraId="6259F0E6" w14:textId="45332D2F" w:rsidR="00FB4BFC" w:rsidRPr="00E15D1B" w:rsidRDefault="00FB4BFC" w:rsidP="00E15D1B">
      <w:pPr>
        <w:pStyle w:val="ListParagraph"/>
        <w:numPr>
          <w:ilvl w:val="0"/>
          <w:numId w:val="41"/>
        </w:numPr>
        <w:spacing w:after="160"/>
        <w:jc w:val="both"/>
        <w:rPr>
          <w:rFonts w:cs="Arial"/>
          <w:szCs w:val="24"/>
        </w:rPr>
      </w:pPr>
      <w:r w:rsidRPr="00E15D1B">
        <w:rPr>
          <w:rFonts w:cs="Arial"/>
          <w:i/>
          <w:szCs w:val="24"/>
        </w:rPr>
        <w:t xml:space="preserve">Residential Tenancies Act 1997; </w:t>
      </w:r>
      <w:r w:rsidRPr="00E15D1B">
        <w:rPr>
          <w:rFonts w:cs="Arial"/>
          <w:iCs/>
          <w:szCs w:val="24"/>
        </w:rPr>
        <w:t>and</w:t>
      </w:r>
    </w:p>
    <w:p w14:paraId="2F7BA3A3" w14:textId="77777777" w:rsidR="00FB4BFC" w:rsidRPr="00E15D1B" w:rsidRDefault="00FB4BFC" w:rsidP="00E15D1B">
      <w:pPr>
        <w:pStyle w:val="ListParagraph"/>
        <w:numPr>
          <w:ilvl w:val="0"/>
          <w:numId w:val="41"/>
        </w:numPr>
        <w:spacing w:after="160"/>
        <w:jc w:val="both"/>
        <w:rPr>
          <w:rFonts w:cs="Arial"/>
          <w:szCs w:val="24"/>
        </w:rPr>
      </w:pPr>
      <w:r w:rsidRPr="00E15D1B">
        <w:rPr>
          <w:rFonts w:cs="Arial"/>
          <w:i/>
          <w:szCs w:val="24"/>
        </w:rPr>
        <w:t>Retirement Villages Act 2012.</w:t>
      </w:r>
    </w:p>
    <w:p w14:paraId="0D29341C" w14:textId="265B70DC" w:rsidR="00345461" w:rsidRDefault="00345461" w:rsidP="00486C06">
      <w:pPr>
        <w:spacing w:after="160"/>
        <w:jc w:val="both"/>
        <w:rPr>
          <w:rFonts w:cs="Arial"/>
          <w:szCs w:val="24"/>
        </w:rPr>
      </w:pPr>
      <w:r>
        <w:rPr>
          <w:rFonts w:cs="Arial"/>
          <w:szCs w:val="24"/>
        </w:rPr>
        <w:t>It also amends legislation in the Minister for Disability, Carers and Community Services’ portfolio:</w:t>
      </w:r>
    </w:p>
    <w:p w14:paraId="2E23C313" w14:textId="2244540B" w:rsidR="00B41583" w:rsidRPr="00E15D1B" w:rsidRDefault="00345461" w:rsidP="00E15D1B">
      <w:pPr>
        <w:pStyle w:val="CS-Paragraphnumbering"/>
        <w:numPr>
          <w:ilvl w:val="0"/>
          <w:numId w:val="41"/>
        </w:numPr>
        <w:spacing w:before="240" w:after="240"/>
        <w:ind w:left="1208" w:hanging="357"/>
        <w:rPr>
          <w:rFonts w:ascii="Arial" w:hAnsi="Arial" w:cs="Arial"/>
          <w:i/>
        </w:rPr>
      </w:pPr>
      <w:r w:rsidRPr="00E15D1B">
        <w:rPr>
          <w:rFonts w:ascii="Arial" w:hAnsi="Arial" w:cs="Arial"/>
          <w:i/>
        </w:rPr>
        <w:t>Official Visitor Act 2012.</w:t>
      </w:r>
    </w:p>
    <w:p w14:paraId="5D5C6C0D" w14:textId="1E23E52C" w:rsidR="00E65AA5" w:rsidRDefault="0E4B7DB2" w:rsidP="00414921">
      <w:pPr>
        <w:rPr>
          <w:rFonts w:cs="Arial"/>
          <w:b/>
          <w:szCs w:val="24"/>
        </w:rPr>
      </w:pPr>
      <w:r w:rsidRPr="01A5810D">
        <w:rPr>
          <w:rFonts w:cs="Arial"/>
          <w:b/>
          <w:bCs/>
        </w:rPr>
        <w:t>CONSULTATION ON THE PROPOSED APPROACH</w:t>
      </w:r>
    </w:p>
    <w:p w14:paraId="2AB75AC9" w14:textId="77777777" w:rsidR="00FB4BFC" w:rsidRDefault="00CB7CFC" w:rsidP="00486C06">
      <w:pPr>
        <w:rPr>
          <w:rFonts w:cs="Arial"/>
          <w:iCs/>
          <w:szCs w:val="24"/>
        </w:rPr>
      </w:pPr>
      <w:r w:rsidRPr="00373688">
        <w:rPr>
          <w:rFonts w:cs="Arial"/>
          <w:iCs/>
          <w:szCs w:val="24"/>
        </w:rPr>
        <w:t xml:space="preserve">The amendments in the Bill were developed in targeted consultation within Government and with relevant stakeholders where appropriate. In some cases, minor and technical amendments were identified by the Government agency that administers or operates under the relevant Act, or </w:t>
      </w:r>
      <w:r w:rsidR="00FB4BFC">
        <w:rPr>
          <w:rFonts w:cs="Arial"/>
          <w:iCs/>
          <w:szCs w:val="24"/>
        </w:rPr>
        <w:t xml:space="preserve">by a working group of key stakeholders in the relevant sector. </w:t>
      </w:r>
    </w:p>
    <w:p w14:paraId="5BA6B79E" w14:textId="1BF1244C" w:rsidR="00FB4BFC" w:rsidRPr="00FB4BFC" w:rsidRDefault="00FB4BFC" w:rsidP="00486C06">
      <w:pPr>
        <w:rPr>
          <w:rFonts w:cs="Arial"/>
          <w:iCs/>
          <w:szCs w:val="24"/>
        </w:rPr>
      </w:pPr>
      <w:r w:rsidRPr="00FB4BFC">
        <w:rPr>
          <w:rFonts w:cs="Arial"/>
          <w:iCs/>
          <w:szCs w:val="24"/>
        </w:rPr>
        <w:t xml:space="preserve">In relation to the amendments to the </w:t>
      </w:r>
      <w:r w:rsidRPr="00FB4BFC">
        <w:rPr>
          <w:rFonts w:cs="Arial"/>
          <w:i/>
          <w:szCs w:val="24"/>
        </w:rPr>
        <w:t>Fair Trading (Australian Consumer Law) Act 1992</w:t>
      </w:r>
      <w:r>
        <w:rPr>
          <w:rFonts w:cs="Arial"/>
          <w:iCs/>
          <w:szCs w:val="24"/>
        </w:rPr>
        <w:t xml:space="preserve"> </w:t>
      </w:r>
      <w:r>
        <w:rPr>
          <w:rFonts w:cs="Arial"/>
          <w:b/>
          <w:bCs/>
          <w:iCs/>
          <w:szCs w:val="24"/>
        </w:rPr>
        <w:t>(FT(ACL) Act)</w:t>
      </w:r>
      <w:r w:rsidRPr="00FB4BFC">
        <w:rPr>
          <w:rFonts w:cs="Arial"/>
          <w:iCs/>
          <w:szCs w:val="24"/>
        </w:rPr>
        <w:t>, Access Canberra</w:t>
      </w:r>
      <w:r>
        <w:rPr>
          <w:rFonts w:cs="Arial"/>
          <w:iCs/>
          <w:szCs w:val="24"/>
        </w:rPr>
        <w:t xml:space="preserve"> </w:t>
      </w:r>
      <w:r w:rsidRPr="00FB4BFC">
        <w:rPr>
          <w:rFonts w:cs="Arial"/>
          <w:iCs/>
          <w:szCs w:val="24"/>
        </w:rPr>
        <w:t>consulted with the Consumer Policy Network, a network of consumer representatives from each of the state, territory and commonwealth governments, on the inclusion of such provisions in relevant fair</w:t>
      </w:r>
      <w:r w:rsidR="00A74B0E">
        <w:rPr>
          <w:rFonts w:cs="Arial"/>
          <w:iCs/>
          <w:szCs w:val="24"/>
        </w:rPr>
        <w:noBreakHyphen/>
      </w:r>
      <w:r w:rsidRPr="00FB4BFC">
        <w:rPr>
          <w:rFonts w:cs="Arial"/>
          <w:iCs/>
          <w:szCs w:val="24"/>
        </w:rPr>
        <w:t xml:space="preserve">trading legislation. </w:t>
      </w:r>
    </w:p>
    <w:p w14:paraId="7AB6538E" w14:textId="0FC94A9E" w:rsidR="00CB7CFC" w:rsidRDefault="00FB4BFC" w:rsidP="00D242D8">
      <w:pPr>
        <w:rPr>
          <w:rFonts w:cs="Arial"/>
          <w:iCs/>
          <w:szCs w:val="24"/>
        </w:rPr>
      </w:pPr>
      <w:r>
        <w:rPr>
          <w:rFonts w:cs="Arial"/>
          <w:iCs/>
          <w:szCs w:val="24"/>
        </w:rPr>
        <w:lastRenderedPageBreak/>
        <w:t xml:space="preserve">The Human Rights Commission </w:t>
      </w:r>
      <w:r w:rsidRPr="00DE1558">
        <w:rPr>
          <w:rFonts w:cs="Arial"/>
          <w:b/>
          <w:bCs/>
          <w:iCs/>
          <w:szCs w:val="24"/>
        </w:rPr>
        <w:t>(HRC</w:t>
      </w:r>
      <w:r w:rsidR="00DE1558">
        <w:rPr>
          <w:rFonts w:cs="Arial"/>
          <w:b/>
          <w:bCs/>
          <w:iCs/>
          <w:szCs w:val="24"/>
        </w:rPr>
        <w:t>/the Commission</w:t>
      </w:r>
      <w:r w:rsidRPr="00DE1558">
        <w:rPr>
          <w:rFonts w:cs="Arial"/>
          <w:b/>
          <w:bCs/>
          <w:iCs/>
          <w:szCs w:val="24"/>
        </w:rPr>
        <w:t>)</w:t>
      </w:r>
      <w:r w:rsidR="00A74B0E">
        <w:rPr>
          <w:rFonts w:cs="Arial"/>
          <w:b/>
          <w:bCs/>
          <w:iCs/>
          <w:szCs w:val="24"/>
        </w:rPr>
        <w:t xml:space="preserve"> </w:t>
      </w:r>
      <w:r w:rsidR="00A74B0E">
        <w:rPr>
          <w:rFonts w:cs="Arial"/>
          <w:iCs/>
          <w:szCs w:val="24"/>
        </w:rPr>
        <w:t>and the Official Visitors (</w:t>
      </w:r>
      <w:r w:rsidR="00A74B0E" w:rsidRPr="00967AF3">
        <w:rPr>
          <w:rFonts w:cs="Arial"/>
          <w:b/>
          <w:bCs/>
          <w:iCs/>
          <w:szCs w:val="24"/>
        </w:rPr>
        <w:t>OVs</w:t>
      </w:r>
      <w:r w:rsidR="00A74B0E">
        <w:rPr>
          <w:rFonts w:cs="Arial"/>
          <w:iCs/>
          <w:szCs w:val="24"/>
        </w:rPr>
        <w:t>)</w:t>
      </w:r>
      <w:r>
        <w:rPr>
          <w:rFonts w:cs="Arial"/>
          <w:iCs/>
          <w:szCs w:val="24"/>
        </w:rPr>
        <w:t xml:space="preserve"> identified the reforms necessary to the </w:t>
      </w:r>
      <w:r>
        <w:rPr>
          <w:rFonts w:cs="Arial"/>
          <w:i/>
          <w:szCs w:val="24"/>
        </w:rPr>
        <w:t xml:space="preserve">Human Rights Commission Act 2005 </w:t>
      </w:r>
      <w:r>
        <w:rPr>
          <w:rFonts w:cs="Arial"/>
          <w:b/>
          <w:bCs/>
          <w:iCs/>
          <w:szCs w:val="24"/>
        </w:rPr>
        <w:t>(HRC Act)</w:t>
      </w:r>
      <w:r w:rsidR="00A74B0E">
        <w:rPr>
          <w:rFonts w:cs="Arial"/>
          <w:b/>
          <w:bCs/>
          <w:iCs/>
          <w:szCs w:val="24"/>
        </w:rPr>
        <w:t xml:space="preserve"> </w:t>
      </w:r>
      <w:r w:rsidR="00A74B0E" w:rsidRPr="00967AF3">
        <w:rPr>
          <w:rFonts w:cs="Arial"/>
          <w:iCs/>
          <w:szCs w:val="24"/>
        </w:rPr>
        <w:t>and</w:t>
      </w:r>
      <w:r w:rsidR="00A74B0E" w:rsidRPr="00A74B0E">
        <w:rPr>
          <w:szCs w:val="24"/>
        </w:rPr>
        <w:t xml:space="preserve"> the</w:t>
      </w:r>
      <w:r w:rsidR="00A74B0E" w:rsidRPr="001E1FAE">
        <w:rPr>
          <w:szCs w:val="24"/>
        </w:rPr>
        <w:t xml:space="preserve"> </w:t>
      </w:r>
      <w:r w:rsidR="00A74B0E">
        <w:rPr>
          <w:i/>
          <w:iCs/>
          <w:szCs w:val="24"/>
        </w:rPr>
        <w:t xml:space="preserve">Official Visitor Act 2012 </w:t>
      </w:r>
      <w:r w:rsidR="00A74B0E" w:rsidRPr="009309EC">
        <w:rPr>
          <w:b/>
          <w:bCs/>
          <w:szCs w:val="24"/>
        </w:rPr>
        <w:t>(OV Act)</w:t>
      </w:r>
      <w:r w:rsidR="00A74B0E">
        <w:rPr>
          <w:szCs w:val="24"/>
        </w:rPr>
        <w:t>, respectively</w:t>
      </w:r>
      <w:r>
        <w:rPr>
          <w:rFonts w:cs="Arial"/>
          <w:iCs/>
          <w:szCs w:val="24"/>
        </w:rPr>
        <w:t xml:space="preserve">. </w:t>
      </w:r>
    </w:p>
    <w:p w14:paraId="3A4BFBF9" w14:textId="294431D0" w:rsidR="009309EC" w:rsidRPr="009309EC" w:rsidRDefault="009309EC" w:rsidP="009309EC">
      <w:pPr>
        <w:spacing w:after="160" w:line="259" w:lineRule="auto"/>
        <w:rPr>
          <w:szCs w:val="24"/>
        </w:rPr>
      </w:pPr>
      <w:r>
        <w:rPr>
          <w:szCs w:val="24"/>
        </w:rPr>
        <w:t xml:space="preserve">Official Visitors </w:t>
      </w:r>
      <w:r w:rsidRPr="009309EC">
        <w:rPr>
          <w:b/>
          <w:bCs/>
          <w:szCs w:val="24"/>
        </w:rPr>
        <w:t>(OVs)</w:t>
      </w:r>
      <w:r w:rsidRPr="001E1FAE">
        <w:rPr>
          <w:szCs w:val="24"/>
        </w:rPr>
        <w:t>, the OV Executive Officer and OV Operational Directorates (CSD, ACT Health Directorate</w:t>
      </w:r>
      <w:r>
        <w:rPr>
          <w:szCs w:val="24"/>
        </w:rPr>
        <w:t xml:space="preserve"> and JACS (ACT Corrective Services)</w:t>
      </w:r>
      <w:r w:rsidRPr="001E1FAE">
        <w:rPr>
          <w:szCs w:val="24"/>
        </w:rPr>
        <w:t xml:space="preserve">) </w:t>
      </w:r>
      <w:r>
        <w:rPr>
          <w:szCs w:val="24"/>
        </w:rPr>
        <w:t xml:space="preserve">were consulted </w:t>
      </w:r>
      <w:r w:rsidRPr="001E1FAE">
        <w:rPr>
          <w:szCs w:val="24"/>
        </w:rPr>
        <w:t xml:space="preserve">in relation to the amendments to the </w:t>
      </w:r>
      <w:r>
        <w:rPr>
          <w:i/>
          <w:iCs/>
          <w:szCs w:val="24"/>
        </w:rPr>
        <w:t xml:space="preserve">Official Visitor Act 2012 </w:t>
      </w:r>
      <w:r w:rsidRPr="009309EC">
        <w:rPr>
          <w:b/>
          <w:bCs/>
          <w:szCs w:val="24"/>
        </w:rPr>
        <w:t>(OV Act)</w:t>
      </w:r>
      <w:r w:rsidRPr="001E1FAE">
        <w:rPr>
          <w:szCs w:val="24"/>
        </w:rPr>
        <w:t xml:space="preserve">. </w:t>
      </w:r>
    </w:p>
    <w:p w14:paraId="037A382C" w14:textId="29743C80" w:rsidR="00FB4BFC" w:rsidRDefault="00FB4BFC" w:rsidP="00D242D8">
      <w:pPr>
        <w:rPr>
          <w:rFonts w:cs="Arial"/>
          <w:iCs/>
          <w:szCs w:val="24"/>
        </w:rPr>
      </w:pPr>
      <w:r>
        <w:rPr>
          <w:rFonts w:cs="Arial"/>
          <w:iCs/>
          <w:szCs w:val="24"/>
        </w:rPr>
        <w:t xml:space="preserve">ACT Courts and Tribunal were consulted on the amendments to the HRC Act in relation to referral statement to the ACT Civil and Administrative Tribunal </w:t>
      </w:r>
      <w:r>
        <w:rPr>
          <w:rFonts w:cs="Arial"/>
          <w:b/>
          <w:bCs/>
          <w:iCs/>
          <w:szCs w:val="24"/>
        </w:rPr>
        <w:t xml:space="preserve">(ACAT) </w:t>
      </w:r>
      <w:r>
        <w:rPr>
          <w:rFonts w:cs="Arial"/>
          <w:iCs/>
          <w:szCs w:val="24"/>
        </w:rPr>
        <w:t xml:space="preserve">and were supportive of the reforms. </w:t>
      </w:r>
    </w:p>
    <w:p w14:paraId="1B496367" w14:textId="495F5F29" w:rsidR="00FB4BFC" w:rsidRDefault="00FB4BFC" w:rsidP="00D242D8">
      <w:pPr>
        <w:rPr>
          <w:rFonts w:cs="Arial"/>
          <w:iCs/>
          <w:szCs w:val="24"/>
        </w:rPr>
      </w:pPr>
      <w:r>
        <w:rPr>
          <w:rFonts w:cs="Arial"/>
          <w:iCs/>
          <w:szCs w:val="24"/>
        </w:rPr>
        <w:t xml:space="preserve">The ACT Revenue </w:t>
      </w:r>
      <w:r w:rsidR="007C100C">
        <w:rPr>
          <w:rFonts w:cs="Arial"/>
          <w:iCs/>
          <w:szCs w:val="24"/>
        </w:rPr>
        <w:t>O</w:t>
      </w:r>
      <w:r>
        <w:rPr>
          <w:rFonts w:cs="Arial"/>
          <w:iCs/>
          <w:szCs w:val="24"/>
        </w:rPr>
        <w:t xml:space="preserve">ffice </w:t>
      </w:r>
      <w:r w:rsidRPr="00DE1558">
        <w:rPr>
          <w:rFonts w:cs="Arial"/>
          <w:b/>
          <w:bCs/>
          <w:iCs/>
          <w:szCs w:val="24"/>
        </w:rPr>
        <w:t>(ACT Bonds)</w:t>
      </w:r>
      <w:r>
        <w:rPr>
          <w:rFonts w:cs="Arial"/>
          <w:iCs/>
          <w:szCs w:val="24"/>
        </w:rPr>
        <w:t xml:space="preserve"> was consulted in relation to the amendments to the </w:t>
      </w:r>
      <w:r>
        <w:rPr>
          <w:rFonts w:cs="Arial"/>
          <w:i/>
          <w:szCs w:val="24"/>
        </w:rPr>
        <w:t xml:space="preserve">Residential Tenancies Act 1997 </w:t>
      </w:r>
      <w:r>
        <w:rPr>
          <w:rFonts w:cs="Arial"/>
          <w:b/>
          <w:bCs/>
          <w:iCs/>
          <w:szCs w:val="24"/>
        </w:rPr>
        <w:t>(RTA)</w:t>
      </w:r>
      <w:r>
        <w:rPr>
          <w:rFonts w:cs="Arial"/>
          <w:iCs/>
          <w:szCs w:val="24"/>
        </w:rPr>
        <w:t xml:space="preserve">. </w:t>
      </w:r>
    </w:p>
    <w:p w14:paraId="15BBA844" w14:textId="236C7866" w:rsidR="00FB4BFC" w:rsidRDefault="00FB4BFC" w:rsidP="00D242D8">
      <w:pPr>
        <w:rPr>
          <w:rFonts w:cs="Arial"/>
          <w:iCs/>
          <w:szCs w:val="24"/>
        </w:rPr>
      </w:pPr>
      <w:r w:rsidRPr="00FB4BFC">
        <w:rPr>
          <w:rFonts w:cs="Arial"/>
          <w:iCs/>
          <w:szCs w:val="24"/>
        </w:rPr>
        <w:t xml:space="preserve">The Retirement Villages Working Group was consulted in relation to the amendments to the </w:t>
      </w:r>
      <w:r>
        <w:rPr>
          <w:rFonts w:cs="Arial"/>
          <w:i/>
          <w:szCs w:val="24"/>
        </w:rPr>
        <w:t xml:space="preserve">Retirement Villages Act 2012 </w:t>
      </w:r>
      <w:r>
        <w:rPr>
          <w:rFonts w:cs="Arial"/>
          <w:b/>
          <w:bCs/>
          <w:iCs/>
          <w:szCs w:val="24"/>
        </w:rPr>
        <w:t xml:space="preserve">(RVA) </w:t>
      </w:r>
      <w:r w:rsidRPr="00FB4BFC">
        <w:rPr>
          <w:rFonts w:cs="Arial"/>
          <w:iCs/>
          <w:szCs w:val="24"/>
        </w:rPr>
        <w:t>across working group meetings held in 2024</w:t>
      </w:r>
      <w:r>
        <w:rPr>
          <w:rFonts w:cs="Arial"/>
          <w:iCs/>
          <w:szCs w:val="24"/>
        </w:rPr>
        <w:t>.</w:t>
      </w:r>
    </w:p>
    <w:p w14:paraId="6EEF7F61" w14:textId="7F4AEEAC" w:rsidR="00D242D8" w:rsidRDefault="00D242D8" w:rsidP="008C225D">
      <w:pPr>
        <w:pStyle w:val="Heading2"/>
      </w:pPr>
      <w:r>
        <w:t>SUMMARY OF AMENDMENTS</w:t>
      </w:r>
    </w:p>
    <w:p w14:paraId="08AEE70B" w14:textId="1DA147BD" w:rsidR="00FB4BFC" w:rsidRDefault="00FB4BFC" w:rsidP="00486C06">
      <w:pPr>
        <w:pStyle w:val="Heading2"/>
        <w:rPr>
          <w:rFonts w:cs="Arial"/>
          <w:b w:val="0"/>
          <w:bCs/>
          <w:i/>
        </w:rPr>
      </w:pPr>
      <w:r w:rsidRPr="00FB4BFC">
        <w:rPr>
          <w:rFonts w:cs="Arial"/>
          <w:bCs/>
          <w:i/>
        </w:rPr>
        <w:t>Fair Trading (Australian Consumer Law) Act 1992</w:t>
      </w:r>
    </w:p>
    <w:p w14:paraId="695FEFCC" w14:textId="77777777" w:rsidR="003E6774" w:rsidRDefault="003E6774" w:rsidP="00486C06">
      <w:pPr>
        <w:rPr>
          <w:rFonts w:cs="Arial"/>
        </w:rPr>
      </w:pPr>
      <w:r>
        <w:rPr>
          <w:rFonts w:cs="Arial"/>
        </w:rPr>
        <w:t xml:space="preserve">The Bill makes amendments to limit the ability of bodies corporate and other persons, such as an employer, to use their employees or agents as a shield from liability. The amendments do this by: </w:t>
      </w:r>
    </w:p>
    <w:p w14:paraId="207F4D99" w14:textId="2082E6C4" w:rsidR="003E6774" w:rsidRPr="004E1ED9" w:rsidRDefault="003E6774" w:rsidP="00486C06">
      <w:pPr>
        <w:pStyle w:val="ListParagraph"/>
        <w:numPr>
          <w:ilvl w:val="0"/>
          <w:numId w:val="35"/>
        </w:numPr>
        <w:spacing w:after="200" w:line="276" w:lineRule="auto"/>
        <w:ind w:left="709" w:hanging="283"/>
        <w:rPr>
          <w:rFonts w:cs="Arial"/>
          <w:iCs/>
        </w:rPr>
      </w:pPr>
      <w:r w:rsidRPr="00967AF3">
        <w:rPr>
          <w:rFonts w:cs="Arial"/>
          <w:iCs/>
          <w:szCs w:val="24"/>
          <w:lang w:eastAsia="en-US"/>
        </w:rPr>
        <w:t xml:space="preserve">Deeming the state of mind of a representative (including an employee, agent or </w:t>
      </w:r>
      <w:r w:rsidR="007C0C15">
        <w:rPr>
          <w:rFonts w:cs="Arial"/>
          <w:iCs/>
          <w:szCs w:val="24"/>
          <w:lang w:eastAsia="en-US"/>
        </w:rPr>
        <w:t>director</w:t>
      </w:r>
      <w:r w:rsidRPr="00967AF3">
        <w:rPr>
          <w:rFonts w:cs="Arial"/>
          <w:iCs/>
          <w:szCs w:val="24"/>
          <w:lang w:eastAsia="en-US"/>
        </w:rPr>
        <w:t xml:space="preserve">) of a person to be that of the person; and </w:t>
      </w:r>
    </w:p>
    <w:p w14:paraId="4ED0B8B4" w14:textId="4F795C74" w:rsidR="003E6774" w:rsidRPr="004E1ED9" w:rsidRDefault="003E6774" w:rsidP="00486C06">
      <w:pPr>
        <w:pStyle w:val="ListParagraph"/>
        <w:numPr>
          <w:ilvl w:val="0"/>
          <w:numId w:val="35"/>
        </w:numPr>
        <w:spacing w:after="200" w:line="276" w:lineRule="auto"/>
        <w:ind w:left="709" w:hanging="283"/>
        <w:rPr>
          <w:rFonts w:cs="Arial"/>
          <w:iCs/>
        </w:rPr>
      </w:pPr>
      <w:r w:rsidRPr="00967AF3">
        <w:rPr>
          <w:rFonts w:cs="Arial"/>
          <w:iCs/>
          <w:szCs w:val="24"/>
          <w:lang w:eastAsia="en-US"/>
        </w:rPr>
        <w:t xml:space="preserve">Attributing conduct of </w:t>
      </w:r>
      <w:bookmarkStart w:id="0" w:name="_Hlk182512012"/>
      <w:r w:rsidRPr="00967AF3">
        <w:rPr>
          <w:rFonts w:cs="Arial"/>
          <w:iCs/>
          <w:szCs w:val="24"/>
          <w:lang w:eastAsia="en-US"/>
        </w:rPr>
        <w:t xml:space="preserve">a representative (including an employee, agent </w:t>
      </w:r>
      <w:bookmarkEnd w:id="0"/>
      <w:r w:rsidRPr="00967AF3">
        <w:rPr>
          <w:rFonts w:cs="Arial"/>
          <w:iCs/>
          <w:szCs w:val="24"/>
          <w:lang w:eastAsia="en-US"/>
        </w:rPr>
        <w:t xml:space="preserve">or </w:t>
      </w:r>
      <w:r w:rsidR="007C0C15">
        <w:rPr>
          <w:rFonts w:cs="Arial"/>
          <w:iCs/>
          <w:szCs w:val="24"/>
          <w:lang w:eastAsia="en-US"/>
        </w:rPr>
        <w:t>director</w:t>
      </w:r>
      <w:r w:rsidRPr="00967AF3">
        <w:rPr>
          <w:rFonts w:cs="Arial"/>
          <w:iCs/>
          <w:szCs w:val="24"/>
          <w:lang w:eastAsia="en-US"/>
        </w:rPr>
        <w:t xml:space="preserve">) of a person, to be that of the person. </w:t>
      </w:r>
    </w:p>
    <w:p w14:paraId="384AAE3A" w14:textId="03AB8AD7" w:rsidR="003E6774" w:rsidRDefault="003E6774" w:rsidP="00486C06">
      <w:pPr>
        <w:rPr>
          <w:rFonts w:cs="Arial"/>
        </w:rPr>
      </w:pPr>
      <w:r>
        <w:rPr>
          <w:rFonts w:cs="Arial"/>
        </w:rPr>
        <w:t xml:space="preserve">These amendments are important, as to establish contravention of certain consumer and </w:t>
      </w:r>
      <w:r w:rsidR="00DE1558">
        <w:rPr>
          <w:rFonts w:cs="Arial"/>
        </w:rPr>
        <w:t>fair-trading</w:t>
      </w:r>
      <w:r>
        <w:rPr>
          <w:rFonts w:cs="Arial"/>
        </w:rPr>
        <w:t xml:space="preserve"> laws, a plaintiff must show that a person engaged in specific conduct, or that they have a specific state of mind. Absent these amendments, there are barriers to establishing that a non-natural person has contravened a particular provision. </w:t>
      </w:r>
    </w:p>
    <w:p w14:paraId="485B0EE7" w14:textId="0BCE1870" w:rsidR="003B5C0A" w:rsidRPr="003E6774" w:rsidRDefault="0042187E" w:rsidP="00967AF3">
      <w:pPr>
        <w:rPr>
          <w:rFonts w:cs="Arial"/>
        </w:rPr>
      </w:pPr>
      <w:r>
        <w:rPr>
          <w:rFonts w:cs="Arial"/>
        </w:rPr>
        <w:t xml:space="preserve">Similar provisions exist in every other Australian jurisdiction aside from the ACT. </w:t>
      </w:r>
      <w:r w:rsidR="00A74B0E">
        <w:rPr>
          <w:rFonts w:cs="Arial"/>
        </w:rPr>
        <w:br/>
      </w:r>
      <w:r w:rsidR="003E6774">
        <w:rPr>
          <w:rFonts w:cs="Arial"/>
        </w:rPr>
        <w:t xml:space="preserve">The amendments will bring the ACT into line with other jurisdictions, including the Commonwealth, and reduce the potential for protracted delays in the litigation of consumer disputes. It will also ensure the ACT’s laws reflect societal expectations about the liability of non-natural persons and employers, who engage individuals to act on their behalf. </w:t>
      </w:r>
      <w:r w:rsidR="00101D5C">
        <w:rPr>
          <w:rFonts w:cs="Arial"/>
          <w:b/>
          <w:bCs/>
        </w:rPr>
        <w:tab/>
      </w:r>
    </w:p>
    <w:p w14:paraId="38E235A3" w14:textId="4F49D5EE" w:rsidR="00FB4BFC" w:rsidRDefault="00FB4BFC" w:rsidP="00967AF3">
      <w:pPr>
        <w:keepNext/>
        <w:spacing w:after="160"/>
        <w:jc w:val="both"/>
        <w:rPr>
          <w:rFonts w:cs="Arial"/>
          <w:b/>
          <w:bCs/>
          <w:i/>
          <w:szCs w:val="24"/>
        </w:rPr>
      </w:pPr>
      <w:r w:rsidRPr="00FB4BFC">
        <w:rPr>
          <w:rFonts w:cs="Arial"/>
          <w:b/>
          <w:bCs/>
          <w:i/>
          <w:szCs w:val="24"/>
        </w:rPr>
        <w:lastRenderedPageBreak/>
        <w:t>Human Rights Commission Act 2005</w:t>
      </w:r>
    </w:p>
    <w:p w14:paraId="7F623A1D" w14:textId="7E2FE45E" w:rsidR="003B5C0A" w:rsidRPr="00FC4D19" w:rsidRDefault="003B5C0A" w:rsidP="00486C06">
      <w:pPr>
        <w:keepNext/>
        <w:spacing w:after="160"/>
        <w:jc w:val="both"/>
        <w:rPr>
          <w:rFonts w:cs="Arial"/>
          <w:szCs w:val="24"/>
        </w:rPr>
      </w:pPr>
      <w:r w:rsidRPr="00FC4D19">
        <w:rPr>
          <w:rFonts w:cs="Arial"/>
          <w:szCs w:val="24"/>
        </w:rPr>
        <w:t xml:space="preserve">The Bill makes amendments to improve the operation of the </w:t>
      </w:r>
      <w:r w:rsidR="00DE1558" w:rsidRPr="00FC4D19">
        <w:rPr>
          <w:rFonts w:cs="Arial"/>
          <w:szCs w:val="24"/>
        </w:rPr>
        <w:t>HRC’s</w:t>
      </w:r>
      <w:r w:rsidRPr="00FC4D19">
        <w:rPr>
          <w:rFonts w:cs="Arial"/>
          <w:szCs w:val="24"/>
        </w:rPr>
        <w:t xml:space="preserve"> complaints handling function under the</w:t>
      </w:r>
      <w:r w:rsidR="00DE1558" w:rsidRPr="00FC4D19">
        <w:rPr>
          <w:rFonts w:cs="Arial"/>
          <w:szCs w:val="24"/>
        </w:rPr>
        <w:t xml:space="preserve"> HRC Act</w:t>
      </w:r>
      <w:r w:rsidRPr="00FC4D19">
        <w:rPr>
          <w:rFonts w:cs="Arial"/>
          <w:szCs w:val="24"/>
        </w:rPr>
        <w:t xml:space="preserve"> by: </w:t>
      </w:r>
    </w:p>
    <w:p w14:paraId="1F195011" w14:textId="720E221E" w:rsidR="003B5C0A" w:rsidRPr="00967AF3" w:rsidRDefault="003B5C0A" w:rsidP="00486C06">
      <w:pPr>
        <w:pStyle w:val="ListParagraph"/>
        <w:numPr>
          <w:ilvl w:val="0"/>
          <w:numId w:val="38"/>
        </w:numPr>
        <w:spacing w:after="200" w:line="276" w:lineRule="auto"/>
        <w:ind w:left="709" w:hanging="283"/>
        <w:rPr>
          <w:rFonts w:cs="Arial"/>
          <w:iCs/>
          <w:szCs w:val="24"/>
          <w:lang w:eastAsia="en-US"/>
        </w:rPr>
      </w:pPr>
      <w:r w:rsidRPr="00967AF3">
        <w:rPr>
          <w:rFonts w:cs="Arial"/>
          <w:iCs/>
          <w:szCs w:val="24"/>
          <w:lang w:eastAsia="en-US"/>
        </w:rPr>
        <w:t>allowing the Commission to conduct preliminary inquiries</w:t>
      </w:r>
      <w:r w:rsidR="00B37E74">
        <w:rPr>
          <w:rFonts w:cs="Arial"/>
          <w:iCs/>
          <w:szCs w:val="24"/>
          <w:lang w:eastAsia="en-US"/>
        </w:rPr>
        <w:t>;</w:t>
      </w:r>
      <w:r w:rsidRPr="00967AF3">
        <w:rPr>
          <w:rFonts w:cs="Arial"/>
          <w:iCs/>
          <w:szCs w:val="24"/>
          <w:lang w:eastAsia="en-US"/>
        </w:rPr>
        <w:t xml:space="preserve"> </w:t>
      </w:r>
    </w:p>
    <w:p w14:paraId="6925C7E4" w14:textId="233FBE21" w:rsidR="003B5C0A" w:rsidRPr="00BE3E10" w:rsidRDefault="003B5C0A" w:rsidP="00486C06">
      <w:pPr>
        <w:pStyle w:val="ListParagraph"/>
        <w:numPr>
          <w:ilvl w:val="0"/>
          <w:numId w:val="38"/>
        </w:numPr>
        <w:spacing w:after="200" w:line="276" w:lineRule="auto"/>
        <w:ind w:left="709" w:hanging="283"/>
        <w:rPr>
          <w:rFonts w:cs="Arial"/>
          <w:iCs/>
          <w:szCs w:val="24"/>
          <w:lang w:eastAsia="en-US"/>
        </w:rPr>
      </w:pPr>
      <w:r w:rsidRPr="00FC4D19">
        <w:rPr>
          <w:rFonts w:cs="Arial"/>
          <w:iCs/>
          <w:szCs w:val="24"/>
          <w:lang w:eastAsia="en-US"/>
        </w:rPr>
        <w:t>introducing an additional ground</w:t>
      </w:r>
      <w:r w:rsidRPr="00BE3E10">
        <w:rPr>
          <w:rFonts w:cs="Arial"/>
          <w:iCs/>
          <w:szCs w:val="24"/>
          <w:lang w:eastAsia="en-US"/>
        </w:rPr>
        <w:t xml:space="preserve"> to close complaints</w:t>
      </w:r>
      <w:r w:rsidR="00B37E74">
        <w:rPr>
          <w:rFonts w:cs="Arial"/>
          <w:iCs/>
          <w:szCs w:val="24"/>
          <w:lang w:eastAsia="en-US"/>
        </w:rPr>
        <w:t>;</w:t>
      </w:r>
      <w:r w:rsidRPr="00BE3E10">
        <w:rPr>
          <w:rFonts w:cs="Arial"/>
          <w:iCs/>
          <w:szCs w:val="24"/>
          <w:lang w:eastAsia="en-US"/>
        </w:rPr>
        <w:t xml:space="preserve"> </w:t>
      </w:r>
    </w:p>
    <w:p w14:paraId="7AD199BF" w14:textId="0FA22B86" w:rsidR="003B5C0A" w:rsidRPr="00BE3E10" w:rsidRDefault="003B5C0A" w:rsidP="00486C06">
      <w:pPr>
        <w:pStyle w:val="ListParagraph"/>
        <w:numPr>
          <w:ilvl w:val="0"/>
          <w:numId w:val="38"/>
        </w:numPr>
        <w:spacing w:after="200" w:line="276" w:lineRule="auto"/>
        <w:ind w:left="709" w:hanging="283"/>
        <w:rPr>
          <w:rFonts w:cs="Arial"/>
          <w:iCs/>
          <w:szCs w:val="24"/>
          <w:lang w:eastAsia="en-US"/>
        </w:rPr>
      </w:pPr>
      <w:r w:rsidRPr="00BE3E10">
        <w:rPr>
          <w:rFonts w:cs="Arial"/>
          <w:iCs/>
          <w:szCs w:val="24"/>
          <w:lang w:eastAsia="en-US"/>
        </w:rPr>
        <w:t xml:space="preserve">clarifying the types of organisations </w:t>
      </w:r>
      <w:r w:rsidR="00BE3E10">
        <w:rPr>
          <w:rFonts w:cs="Arial"/>
          <w:iCs/>
          <w:szCs w:val="24"/>
          <w:lang w:eastAsia="en-US"/>
        </w:rPr>
        <w:t xml:space="preserve">to which </w:t>
      </w:r>
      <w:r w:rsidRPr="00BE3E10">
        <w:rPr>
          <w:rFonts w:cs="Arial"/>
          <w:iCs/>
          <w:szCs w:val="24"/>
          <w:lang w:eastAsia="en-US"/>
        </w:rPr>
        <w:t>the Commission may make recommendations</w:t>
      </w:r>
      <w:r w:rsidR="00B37E74">
        <w:rPr>
          <w:rFonts w:cs="Arial"/>
          <w:iCs/>
          <w:szCs w:val="24"/>
          <w:lang w:eastAsia="en-US"/>
        </w:rPr>
        <w:t>;</w:t>
      </w:r>
    </w:p>
    <w:p w14:paraId="2745A352" w14:textId="060794FA" w:rsidR="003B5C0A" w:rsidRPr="00BE3E10" w:rsidRDefault="003B5C0A" w:rsidP="00486C06">
      <w:pPr>
        <w:pStyle w:val="ListParagraph"/>
        <w:numPr>
          <w:ilvl w:val="0"/>
          <w:numId w:val="38"/>
        </w:numPr>
        <w:spacing w:after="200" w:line="276" w:lineRule="auto"/>
        <w:ind w:left="709" w:hanging="283"/>
        <w:rPr>
          <w:rFonts w:cs="Arial"/>
          <w:iCs/>
          <w:szCs w:val="24"/>
          <w:lang w:eastAsia="en-US"/>
        </w:rPr>
      </w:pPr>
      <w:r w:rsidRPr="00BE3E10">
        <w:rPr>
          <w:rFonts w:cs="Arial"/>
          <w:iCs/>
          <w:szCs w:val="24"/>
          <w:lang w:eastAsia="en-US"/>
        </w:rPr>
        <w:t>removing the requirement to issue referral statements to</w:t>
      </w:r>
      <w:r w:rsidR="00240EFB">
        <w:rPr>
          <w:rFonts w:cs="Arial"/>
          <w:iCs/>
          <w:szCs w:val="24"/>
          <w:lang w:eastAsia="en-US"/>
        </w:rPr>
        <w:t xml:space="preserve"> the ACT Civil and Administrative Tribunal</w:t>
      </w:r>
      <w:r w:rsidRPr="00BE3E10">
        <w:rPr>
          <w:rFonts w:cs="Arial"/>
          <w:iCs/>
          <w:szCs w:val="24"/>
          <w:lang w:eastAsia="en-US"/>
        </w:rPr>
        <w:t xml:space="preserve"> </w:t>
      </w:r>
      <w:r w:rsidR="00240EFB">
        <w:rPr>
          <w:rFonts w:cs="Arial"/>
          <w:iCs/>
          <w:szCs w:val="24"/>
          <w:lang w:eastAsia="en-US"/>
        </w:rPr>
        <w:t>(</w:t>
      </w:r>
      <w:r w:rsidR="00DE1558" w:rsidRPr="00967AF3">
        <w:rPr>
          <w:rFonts w:cs="Arial"/>
          <w:b/>
          <w:bCs/>
          <w:iCs/>
          <w:szCs w:val="24"/>
          <w:lang w:eastAsia="en-US"/>
        </w:rPr>
        <w:t>ACAT</w:t>
      </w:r>
      <w:r w:rsidR="00240EFB">
        <w:rPr>
          <w:rFonts w:cs="Arial"/>
          <w:iCs/>
          <w:szCs w:val="24"/>
          <w:lang w:eastAsia="en-US"/>
        </w:rPr>
        <w:t>)</w:t>
      </w:r>
      <w:r w:rsidR="00DE1558" w:rsidRPr="00BE3E10">
        <w:rPr>
          <w:rFonts w:cs="Arial"/>
          <w:iCs/>
          <w:szCs w:val="24"/>
          <w:lang w:eastAsia="en-US"/>
        </w:rPr>
        <w:t xml:space="preserve"> </w:t>
      </w:r>
      <w:r w:rsidRPr="00BE3E10">
        <w:rPr>
          <w:rFonts w:cs="Arial"/>
          <w:iCs/>
          <w:szCs w:val="24"/>
          <w:lang w:eastAsia="en-US"/>
        </w:rPr>
        <w:t>where the matter has otherwise been resolved or the complainant has disengaged with the complaints process</w:t>
      </w:r>
      <w:r w:rsidR="00240EFB">
        <w:rPr>
          <w:rFonts w:cs="Arial"/>
          <w:iCs/>
          <w:szCs w:val="24"/>
          <w:lang w:eastAsia="en-US"/>
        </w:rPr>
        <w:t>;</w:t>
      </w:r>
      <w:r w:rsidRPr="00BE3E10">
        <w:rPr>
          <w:rFonts w:cs="Arial"/>
          <w:iCs/>
          <w:szCs w:val="24"/>
          <w:lang w:eastAsia="en-US"/>
        </w:rPr>
        <w:t xml:space="preserve"> and </w:t>
      </w:r>
    </w:p>
    <w:p w14:paraId="681C762B" w14:textId="31542E4B" w:rsidR="003B5C0A" w:rsidRPr="00BE3E10" w:rsidRDefault="003B5C0A" w:rsidP="00486C06">
      <w:pPr>
        <w:pStyle w:val="ListParagraph"/>
        <w:numPr>
          <w:ilvl w:val="0"/>
          <w:numId w:val="38"/>
        </w:numPr>
        <w:spacing w:after="200" w:line="276" w:lineRule="auto"/>
        <w:ind w:left="709" w:hanging="283"/>
        <w:rPr>
          <w:rFonts w:cs="Arial"/>
          <w:iCs/>
          <w:szCs w:val="24"/>
          <w:lang w:eastAsia="en-US"/>
        </w:rPr>
      </w:pPr>
      <w:r w:rsidRPr="00BE3E10">
        <w:rPr>
          <w:rFonts w:cs="Arial"/>
          <w:iCs/>
          <w:szCs w:val="24"/>
          <w:lang w:eastAsia="en-US"/>
        </w:rPr>
        <w:t>introduc</w:t>
      </w:r>
      <w:r w:rsidR="00BE3E10">
        <w:rPr>
          <w:rFonts w:cs="Arial"/>
          <w:iCs/>
          <w:szCs w:val="24"/>
          <w:lang w:eastAsia="en-US"/>
        </w:rPr>
        <w:t>ing</w:t>
      </w:r>
      <w:r w:rsidRPr="00BE3E10">
        <w:rPr>
          <w:rFonts w:cs="Arial"/>
          <w:iCs/>
          <w:szCs w:val="24"/>
          <w:lang w:eastAsia="en-US"/>
        </w:rPr>
        <w:t xml:space="preserve"> a pathway for Commission-initiated considerations</w:t>
      </w:r>
      <w:r w:rsidR="000D0253" w:rsidRPr="00BE3E10">
        <w:rPr>
          <w:rFonts w:cs="Arial"/>
          <w:iCs/>
          <w:szCs w:val="24"/>
          <w:lang w:eastAsia="en-US"/>
        </w:rPr>
        <w:t xml:space="preserve"> (</w:t>
      </w:r>
      <w:r w:rsidR="000D0253" w:rsidRPr="00967AF3">
        <w:rPr>
          <w:rFonts w:cs="Arial"/>
          <w:b/>
          <w:bCs/>
          <w:iCs/>
          <w:szCs w:val="24"/>
          <w:lang w:eastAsia="en-US"/>
        </w:rPr>
        <w:t>CICs</w:t>
      </w:r>
      <w:r w:rsidR="000D0253" w:rsidRPr="00BE3E10">
        <w:rPr>
          <w:rFonts w:cs="Arial"/>
          <w:iCs/>
          <w:szCs w:val="24"/>
          <w:lang w:eastAsia="en-US"/>
        </w:rPr>
        <w:t>)</w:t>
      </w:r>
      <w:r w:rsidRPr="00BE3E10">
        <w:rPr>
          <w:rFonts w:cs="Arial"/>
          <w:iCs/>
          <w:szCs w:val="24"/>
          <w:lang w:eastAsia="en-US"/>
        </w:rPr>
        <w:t xml:space="preserve"> relating to retirement village complaints, occupancy dispute complaints and conversion practice complaints to be referred to ACAT.</w:t>
      </w:r>
    </w:p>
    <w:p w14:paraId="0188C259" w14:textId="36308533" w:rsidR="003B5C0A" w:rsidRDefault="003B5C0A" w:rsidP="00FB4BFC">
      <w:pPr>
        <w:spacing w:after="160"/>
        <w:jc w:val="both"/>
        <w:rPr>
          <w:rFonts w:cs="Arial"/>
          <w:szCs w:val="24"/>
          <w:u w:val="single"/>
        </w:rPr>
      </w:pPr>
      <w:r>
        <w:rPr>
          <w:rFonts w:cs="Arial"/>
          <w:szCs w:val="24"/>
          <w:u w:val="single"/>
        </w:rPr>
        <w:t>Preliminary inquiries</w:t>
      </w:r>
    </w:p>
    <w:p w14:paraId="151FBF9C" w14:textId="094ED61F" w:rsidR="003B5C0A" w:rsidRDefault="003B5C0A" w:rsidP="00FB4BFC">
      <w:pPr>
        <w:spacing w:after="160"/>
        <w:jc w:val="both"/>
        <w:rPr>
          <w:rFonts w:cs="Arial"/>
          <w:szCs w:val="24"/>
        </w:rPr>
      </w:pPr>
      <w:r>
        <w:rPr>
          <w:rFonts w:cs="Arial"/>
          <w:szCs w:val="24"/>
        </w:rPr>
        <w:t>The HRC Act sets out how the Commission deals with complaints it receives across its complaint-handling jurisdictions, including permitted st</w:t>
      </w:r>
      <w:r w:rsidR="005F1014">
        <w:rPr>
          <w:rFonts w:cs="Arial"/>
          <w:szCs w:val="24"/>
        </w:rPr>
        <w:t>ep</w:t>
      </w:r>
      <w:r>
        <w:rPr>
          <w:rFonts w:cs="Arial"/>
          <w:szCs w:val="24"/>
        </w:rPr>
        <w:t>s</w:t>
      </w:r>
      <w:r w:rsidR="005F1014">
        <w:rPr>
          <w:rFonts w:cs="Arial"/>
          <w:szCs w:val="24"/>
        </w:rPr>
        <w:t xml:space="preserve"> such as consideration, conciliation and closure</w:t>
      </w:r>
      <w:r>
        <w:rPr>
          <w:rFonts w:cs="Arial"/>
          <w:szCs w:val="24"/>
        </w:rPr>
        <w:t xml:space="preserve"> (section 47(2)</w:t>
      </w:r>
      <w:r w:rsidR="005F1014">
        <w:rPr>
          <w:rFonts w:cs="Arial"/>
          <w:szCs w:val="24"/>
        </w:rPr>
        <w:t xml:space="preserve">), and provides the Commission with broad discretion in the way a consideration of a complaint is conducted (section 72). </w:t>
      </w:r>
    </w:p>
    <w:p w14:paraId="44EDDAE8" w14:textId="4E60CF46" w:rsidR="005F1014" w:rsidRDefault="005F1014" w:rsidP="00FB4BFC">
      <w:pPr>
        <w:spacing w:after="160"/>
        <w:jc w:val="both"/>
        <w:rPr>
          <w:rFonts w:cs="Arial"/>
          <w:szCs w:val="24"/>
        </w:rPr>
      </w:pPr>
      <w:r>
        <w:rPr>
          <w:rFonts w:cs="Arial"/>
          <w:szCs w:val="24"/>
        </w:rPr>
        <w:t xml:space="preserve">The amendment introduces an explicit power for the Commission to undertake preliminary inquiries in addition to other ordinary steps of dealing with a complaint. This acknowledges that many of the complaints made to the Commission are suitable for informal and swift resolution and can be dealt with and finalised after making initial inquiries to both parties. </w:t>
      </w:r>
    </w:p>
    <w:p w14:paraId="2EAF7640" w14:textId="63944CD0" w:rsidR="005F1014" w:rsidRDefault="005F1014" w:rsidP="00FB4BFC">
      <w:pPr>
        <w:spacing w:after="160"/>
        <w:jc w:val="both"/>
        <w:rPr>
          <w:rFonts w:cs="Arial"/>
          <w:szCs w:val="24"/>
        </w:rPr>
      </w:pPr>
      <w:r>
        <w:rPr>
          <w:rFonts w:cs="Arial"/>
          <w:szCs w:val="24"/>
        </w:rPr>
        <w:t xml:space="preserve">This amendment will provide statutory clarity and certainty to respondents to complaints that they are </w:t>
      </w:r>
      <w:r w:rsidR="00BE3E10">
        <w:rPr>
          <w:rFonts w:cs="Arial"/>
          <w:szCs w:val="24"/>
        </w:rPr>
        <w:t xml:space="preserve">authorised </w:t>
      </w:r>
      <w:r>
        <w:rPr>
          <w:rFonts w:cs="Arial"/>
          <w:szCs w:val="24"/>
        </w:rPr>
        <w:t xml:space="preserve">to engage and provide information to the Commission, even at this preliminary stage. This approach mirrors </w:t>
      </w:r>
      <w:r w:rsidR="00240EFB">
        <w:rPr>
          <w:rFonts w:cs="Arial"/>
          <w:szCs w:val="24"/>
        </w:rPr>
        <w:t xml:space="preserve">provisions in other complaints-handling regimes, such as </w:t>
      </w:r>
      <w:r>
        <w:rPr>
          <w:rFonts w:cs="Arial"/>
          <w:szCs w:val="24"/>
        </w:rPr>
        <w:t xml:space="preserve">section 68 of the </w:t>
      </w:r>
      <w:r>
        <w:rPr>
          <w:rFonts w:cs="Arial"/>
          <w:i/>
          <w:iCs/>
          <w:szCs w:val="24"/>
        </w:rPr>
        <w:t xml:space="preserve">Human Rights Act 2019 </w:t>
      </w:r>
      <w:r>
        <w:rPr>
          <w:rFonts w:cs="Arial"/>
          <w:szCs w:val="24"/>
        </w:rPr>
        <w:t xml:space="preserve">(Qld) and section 38 of the </w:t>
      </w:r>
      <w:r w:rsidR="00DE1558">
        <w:rPr>
          <w:rFonts w:cs="Arial"/>
          <w:i/>
          <w:iCs/>
          <w:szCs w:val="24"/>
        </w:rPr>
        <w:t xml:space="preserve">Information Privacy Act 2014 </w:t>
      </w:r>
      <w:r w:rsidR="00DE1558" w:rsidRPr="00DE1558">
        <w:rPr>
          <w:rFonts w:cs="Arial"/>
          <w:b/>
          <w:bCs/>
          <w:szCs w:val="24"/>
        </w:rPr>
        <w:t>(IP Act)</w:t>
      </w:r>
      <w:r w:rsidR="00240EFB">
        <w:rPr>
          <w:rFonts w:cs="Arial"/>
          <w:szCs w:val="24"/>
        </w:rPr>
        <w:t>.</w:t>
      </w:r>
      <w:r>
        <w:rPr>
          <w:rFonts w:cs="Arial"/>
          <w:szCs w:val="24"/>
        </w:rPr>
        <w:t xml:space="preserve"> </w:t>
      </w:r>
    </w:p>
    <w:p w14:paraId="2AEA95EE" w14:textId="024A4CC0" w:rsidR="005F1014" w:rsidRDefault="005F1014" w:rsidP="00FB4BFC">
      <w:pPr>
        <w:spacing w:after="160"/>
        <w:jc w:val="both"/>
        <w:rPr>
          <w:rFonts w:cs="Arial"/>
          <w:szCs w:val="24"/>
          <w:u w:val="single"/>
        </w:rPr>
      </w:pPr>
      <w:r>
        <w:rPr>
          <w:rFonts w:cs="Arial"/>
          <w:szCs w:val="24"/>
          <w:u w:val="single"/>
        </w:rPr>
        <w:t>Additional ground to close complaints</w:t>
      </w:r>
    </w:p>
    <w:p w14:paraId="795D9CF6" w14:textId="33AFE6F0" w:rsidR="005F1014" w:rsidRDefault="005F1014" w:rsidP="00486C06">
      <w:pPr>
        <w:spacing w:after="160"/>
        <w:jc w:val="both"/>
        <w:rPr>
          <w:rFonts w:cs="Arial"/>
          <w:szCs w:val="24"/>
        </w:rPr>
      </w:pPr>
      <w:r>
        <w:rPr>
          <w:rFonts w:cs="Arial"/>
          <w:szCs w:val="24"/>
        </w:rPr>
        <w:t xml:space="preserve">Section 78 of the HRC Act provides a broad range of circumstances under which the Commission either must or may close a complaint. These circumstances reflect the diversity of the Commission’s complaints-handling jurisdictions, </w:t>
      </w:r>
      <w:r w:rsidR="00585C0A">
        <w:rPr>
          <w:rFonts w:cs="Arial"/>
          <w:szCs w:val="24"/>
        </w:rPr>
        <w:t xml:space="preserve">and the varying pathways for review. </w:t>
      </w:r>
    </w:p>
    <w:p w14:paraId="04B2A240" w14:textId="3935EB4A" w:rsidR="00D42F0D" w:rsidRDefault="00585C0A" w:rsidP="00486C06">
      <w:pPr>
        <w:spacing w:after="160"/>
        <w:jc w:val="both"/>
        <w:rPr>
          <w:szCs w:val="24"/>
        </w:rPr>
      </w:pPr>
      <w:r>
        <w:rPr>
          <w:rFonts w:cs="Arial"/>
          <w:szCs w:val="24"/>
        </w:rPr>
        <w:t xml:space="preserve">However, some complaints do not fall neatly within the existing grounds for closure. </w:t>
      </w:r>
      <w:r w:rsidR="00D42F0D">
        <w:rPr>
          <w:rFonts w:cs="Arial"/>
          <w:szCs w:val="24"/>
        </w:rPr>
        <w:br/>
      </w:r>
      <w:r w:rsidR="00D42F0D" w:rsidRPr="00DD5A70">
        <w:rPr>
          <w:szCs w:val="24"/>
        </w:rPr>
        <w:t xml:space="preserve">One example is where the matter has been resolved by way of a negotiated agreement with the respondent prior to a complaint being made (e.g. a non-disclosure agreement, or a deed), but the complainant seeks to reopen the matter. This does not meet the </w:t>
      </w:r>
      <w:r w:rsidR="00D42F0D" w:rsidRPr="00DD5A70">
        <w:rPr>
          <w:szCs w:val="24"/>
        </w:rPr>
        <w:lastRenderedPageBreak/>
        <w:t xml:space="preserve">threshold of having been dealt with by a court or tribunal </w:t>
      </w:r>
      <w:r w:rsidR="00D42F0D">
        <w:rPr>
          <w:szCs w:val="24"/>
        </w:rPr>
        <w:t xml:space="preserve">(per section 78 (2) (c) (iii)) </w:t>
      </w:r>
      <w:r w:rsidR="00D42F0D" w:rsidRPr="00DD5A70">
        <w:rPr>
          <w:szCs w:val="24"/>
        </w:rPr>
        <w:t>and cannot be considered ‘otherwise resolved’</w:t>
      </w:r>
      <w:r w:rsidR="00D42F0D">
        <w:rPr>
          <w:szCs w:val="24"/>
        </w:rPr>
        <w:t xml:space="preserve"> (per section 78 (2) (g))</w:t>
      </w:r>
      <w:r w:rsidR="00D42F0D" w:rsidRPr="00DD5A70">
        <w:rPr>
          <w:szCs w:val="24"/>
        </w:rPr>
        <w:t xml:space="preserve"> since a complaint has been made.</w:t>
      </w:r>
    </w:p>
    <w:p w14:paraId="25C30CCA" w14:textId="53E7A2BE" w:rsidR="00D42F0D" w:rsidRDefault="00D42F0D" w:rsidP="00486C06">
      <w:pPr>
        <w:spacing w:before="120" w:after="120"/>
        <w:contextualSpacing/>
        <w:rPr>
          <w:szCs w:val="24"/>
        </w:rPr>
      </w:pPr>
      <w:r w:rsidRPr="00D42F0D">
        <w:rPr>
          <w:szCs w:val="24"/>
        </w:rPr>
        <w:t xml:space="preserve">Another example is where there may be a more suitable agency to deal with a matter, whether because of the subject matter or complexity of the matter, or because of the availability of binding powers to resolve a matter with remedies for the complainant. </w:t>
      </w:r>
    </w:p>
    <w:p w14:paraId="2CEDFA26" w14:textId="77777777" w:rsidR="006F7730" w:rsidRPr="00D42F0D" w:rsidRDefault="006F7730" w:rsidP="00486C06">
      <w:pPr>
        <w:spacing w:before="120" w:after="120"/>
        <w:contextualSpacing/>
        <w:rPr>
          <w:szCs w:val="24"/>
        </w:rPr>
      </w:pPr>
    </w:p>
    <w:p w14:paraId="4D13965C" w14:textId="6099645F" w:rsidR="005F1014" w:rsidRDefault="006F7730" w:rsidP="00486C06">
      <w:pPr>
        <w:spacing w:after="160"/>
        <w:jc w:val="both"/>
        <w:rPr>
          <w:rFonts w:cs="Arial"/>
          <w:szCs w:val="24"/>
        </w:rPr>
      </w:pPr>
      <w:r>
        <w:rPr>
          <w:rFonts w:cs="Arial"/>
          <w:szCs w:val="24"/>
        </w:rPr>
        <w:t xml:space="preserve">The Bill introduces a new power to close complaints where there is no further consideration justified in the circumstances. This aligns with similar grounds in section 46PH(1)(c) of the </w:t>
      </w:r>
      <w:r>
        <w:rPr>
          <w:rFonts w:cs="Arial"/>
          <w:i/>
          <w:iCs/>
          <w:szCs w:val="24"/>
        </w:rPr>
        <w:t>Australian Human Rights Commission Act 1986</w:t>
      </w:r>
      <w:r>
        <w:rPr>
          <w:rFonts w:cs="Arial"/>
          <w:szCs w:val="24"/>
        </w:rPr>
        <w:t xml:space="preserve"> (</w:t>
      </w:r>
      <w:proofErr w:type="spellStart"/>
      <w:r>
        <w:rPr>
          <w:rFonts w:cs="Arial"/>
          <w:szCs w:val="24"/>
        </w:rPr>
        <w:t>Cth</w:t>
      </w:r>
      <w:proofErr w:type="spellEnd"/>
      <w:r>
        <w:rPr>
          <w:rFonts w:cs="Arial"/>
          <w:szCs w:val="24"/>
        </w:rPr>
        <w:t xml:space="preserve">) and section 116(e) of the </w:t>
      </w:r>
      <w:r>
        <w:rPr>
          <w:rFonts w:cs="Arial"/>
          <w:i/>
          <w:iCs/>
          <w:szCs w:val="24"/>
        </w:rPr>
        <w:t xml:space="preserve">Equal Opportunity Act 2010 </w:t>
      </w:r>
      <w:r>
        <w:rPr>
          <w:rFonts w:cs="Arial"/>
          <w:szCs w:val="24"/>
        </w:rPr>
        <w:t xml:space="preserve">(Vic). </w:t>
      </w:r>
      <w:r w:rsidR="00D42F0D">
        <w:rPr>
          <w:rFonts w:cs="Arial"/>
          <w:szCs w:val="24"/>
        </w:rPr>
        <w:br/>
      </w:r>
      <w:r w:rsidR="00255DE9">
        <w:rPr>
          <w:rFonts w:cs="Arial"/>
          <w:szCs w:val="24"/>
        </w:rPr>
        <w:t xml:space="preserve">This amendment will ensure that complaints can be closed promptly, rather than having to wait until the statutory time limit of 2 years is reached in accordance with section 78(1)(a). </w:t>
      </w:r>
    </w:p>
    <w:p w14:paraId="0DC14A51" w14:textId="7957DE7B" w:rsidR="006F5AF7" w:rsidRDefault="006F5AF7" w:rsidP="00486C06">
      <w:pPr>
        <w:spacing w:after="160"/>
        <w:jc w:val="both"/>
        <w:rPr>
          <w:rFonts w:cs="Arial"/>
          <w:szCs w:val="24"/>
        </w:rPr>
      </w:pPr>
      <w:r>
        <w:t>The Commission has the power to reopen complaints in certain circumstances under section 79 of the HRC Act, which provides a safeguard for reconsideration of decisions to close complaints where necessary.</w:t>
      </w:r>
    </w:p>
    <w:p w14:paraId="26E5A47B" w14:textId="11F3F536" w:rsidR="00FD5D3E" w:rsidRDefault="00FD5D3E" w:rsidP="00486C06">
      <w:pPr>
        <w:spacing w:after="160"/>
        <w:jc w:val="both"/>
        <w:rPr>
          <w:rFonts w:cs="Arial"/>
          <w:szCs w:val="24"/>
          <w:u w:val="single"/>
        </w:rPr>
      </w:pPr>
      <w:r>
        <w:rPr>
          <w:rFonts w:cs="Arial"/>
          <w:szCs w:val="24"/>
          <w:u w:val="single"/>
        </w:rPr>
        <w:t>Clarifying types of organisations</w:t>
      </w:r>
      <w:r w:rsidR="00240EFB">
        <w:rPr>
          <w:rFonts w:cs="Arial"/>
          <w:szCs w:val="24"/>
          <w:u w:val="single"/>
        </w:rPr>
        <w:t xml:space="preserve"> to which</w:t>
      </w:r>
      <w:r>
        <w:rPr>
          <w:rFonts w:cs="Arial"/>
          <w:szCs w:val="24"/>
          <w:u w:val="single"/>
        </w:rPr>
        <w:t xml:space="preserve"> recommendations may be made</w:t>
      </w:r>
    </w:p>
    <w:p w14:paraId="02E0795B" w14:textId="05117F9A" w:rsidR="00FD5D3E" w:rsidRDefault="00FD5D3E" w:rsidP="00486C06">
      <w:pPr>
        <w:spacing w:after="160"/>
        <w:jc w:val="both"/>
        <w:rPr>
          <w:rFonts w:cs="Arial"/>
          <w:szCs w:val="24"/>
        </w:rPr>
      </w:pPr>
      <w:r>
        <w:rPr>
          <w:rFonts w:cs="Arial"/>
          <w:szCs w:val="24"/>
        </w:rPr>
        <w:t>The Commission has the power under section 81 of the HRC Act to make recommendations to ‘a person complained about’ where that person has acted inconsistently with an applicable standard.</w:t>
      </w:r>
    </w:p>
    <w:p w14:paraId="6E5C74F0" w14:textId="49334900" w:rsidR="00FD5D3E" w:rsidRDefault="00FD5D3E" w:rsidP="00486C06">
      <w:pPr>
        <w:spacing w:after="160"/>
        <w:jc w:val="both"/>
        <w:rPr>
          <w:rFonts w:cs="Arial"/>
          <w:szCs w:val="24"/>
        </w:rPr>
      </w:pPr>
      <w:r>
        <w:rPr>
          <w:rFonts w:cs="Arial"/>
          <w:szCs w:val="24"/>
        </w:rPr>
        <w:t xml:space="preserve">‘Person complained about’ is defined for some types of respondents in the HRC Act, but not others, and ‘person’ is defined </w:t>
      </w:r>
      <w:r w:rsidR="00F0697B">
        <w:rPr>
          <w:rFonts w:cs="Arial"/>
          <w:szCs w:val="24"/>
        </w:rPr>
        <w:t xml:space="preserve">under section 160 of the </w:t>
      </w:r>
      <w:r w:rsidR="00F0697B">
        <w:rPr>
          <w:rFonts w:cs="Arial"/>
          <w:i/>
          <w:iCs/>
          <w:szCs w:val="24"/>
        </w:rPr>
        <w:t>Legislation Act 2001</w:t>
      </w:r>
      <w:r w:rsidR="00F0697B">
        <w:rPr>
          <w:rFonts w:cs="Arial"/>
          <w:szCs w:val="24"/>
        </w:rPr>
        <w:t xml:space="preserve"> as generally including a reference to a corporation as well as an individual. </w:t>
      </w:r>
    </w:p>
    <w:p w14:paraId="0B3F9DFA" w14:textId="2E073A92" w:rsidR="00FC4D19" w:rsidRDefault="00F0697B" w:rsidP="00486C06">
      <w:pPr>
        <w:spacing w:after="160"/>
        <w:jc w:val="both"/>
        <w:rPr>
          <w:rFonts w:cs="Arial"/>
          <w:szCs w:val="24"/>
        </w:rPr>
      </w:pPr>
      <w:r>
        <w:rPr>
          <w:rFonts w:cs="Arial"/>
          <w:szCs w:val="24"/>
        </w:rPr>
        <w:t xml:space="preserve">This </w:t>
      </w:r>
      <w:r w:rsidR="00240EFB">
        <w:rPr>
          <w:rFonts w:cs="Arial"/>
          <w:szCs w:val="24"/>
        </w:rPr>
        <w:t xml:space="preserve">Bill </w:t>
      </w:r>
      <w:r>
        <w:rPr>
          <w:rFonts w:cs="Arial"/>
          <w:szCs w:val="24"/>
        </w:rPr>
        <w:t>will make it clear that respondents to complaints may also include unincorporated organisations which do not fall neatly within this definition of ‘person</w:t>
      </w:r>
      <w:r w:rsidR="00240EFB">
        <w:rPr>
          <w:rFonts w:cs="Arial"/>
          <w:szCs w:val="24"/>
        </w:rPr>
        <w:t xml:space="preserve"> complained about</w:t>
      </w:r>
      <w:r>
        <w:rPr>
          <w:rFonts w:cs="Arial"/>
          <w:szCs w:val="24"/>
        </w:rPr>
        <w:t>’, and that the Commission may make recommendations to both incorporated and unincorporated organisations.</w:t>
      </w:r>
      <w:r w:rsidR="00240EFB">
        <w:rPr>
          <w:rFonts w:cs="Arial"/>
          <w:szCs w:val="24"/>
        </w:rPr>
        <w:t xml:space="preserve"> </w:t>
      </w:r>
    </w:p>
    <w:p w14:paraId="23067D7D" w14:textId="76F2E313" w:rsidR="00F0697B" w:rsidRDefault="00240EFB" w:rsidP="00486C06">
      <w:pPr>
        <w:spacing w:after="160"/>
        <w:jc w:val="both"/>
        <w:rPr>
          <w:rFonts w:cs="Arial"/>
          <w:szCs w:val="24"/>
        </w:rPr>
      </w:pPr>
      <w:r>
        <w:rPr>
          <w:rFonts w:cs="Arial"/>
          <w:szCs w:val="24"/>
        </w:rPr>
        <w:t xml:space="preserve">The Bill </w:t>
      </w:r>
      <w:r w:rsidR="00FC4D19">
        <w:rPr>
          <w:rFonts w:cs="Arial"/>
          <w:szCs w:val="24"/>
        </w:rPr>
        <w:t>also makes a</w:t>
      </w:r>
      <w:r>
        <w:rPr>
          <w:rFonts w:cs="Arial"/>
          <w:szCs w:val="24"/>
        </w:rPr>
        <w:t xml:space="preserve"> range of amendments</w:t>
      </w:r>
      <w:r w:rsidR="00FC4D19">
        <w:rPr>
          <w:rFonts w:cs="Arial"/>
          <w:szCs w:val="24"/>
        </w:rPr>
        <w:t xml:space="preserve"> throughout the HRC Act</w:t>
      </w:r>
      <w:r w:rsidR="00F0697B">
        <w:rPr>
          <w:rFonts w:cs="Arial"/>
          <w:szCs w:val="24"/>
        </w:rPr>
        <w:t xml:space="preserve"> </w:t>
      </w:r>
      <w:r>
        <w:rPr>
          <w:rFonts w:cs="Arial"/>
          <w:szCs w:val="24"/>
        </w:rPr>
        <w:t xml:space="preserve">to replace the </w:t>
      </w:r>
      <w:r w:rsidR="00FC4D19">
        <w:rPr>
          <w:rFonts w:cs="Arial"/>
          <w:szCs w:val="24"/>
        </w:rPr>
        <w:t>phrase</w:t>
      </w:r>
      <w:r>
        <w:rPr>
          <w:rFonts w:cs="Arial"/>
          <w:szCs w:val="24"/>
        </w:rPr>
        <w:t xml:space="preserve"> </w:t>
      </w:r>
      <w:r w:rsidRPr="00967AF3">
        <w:rPr>
          <w:rFonts w:cs="Arial"/>
          <w:i/>
          <w:iCs/>
          <w:szCs w:val="24"/>
        </w:rPr>
        <w:t>person complained about</w:t>
      </w:r>
      <w:r>
        <w:rPr>
          <w:rFonts w:cs="Arial"/>
          <w:szCs w:val="24"/>
        </w:rPr>
        <w:t xml:space="preserve"> with the term </w:t>
      </w:r>
      <w:r w:rsidRPr="00967AF3">
        <w:rPr>
          <w:rFonts w:cs="Arial"/>
          <w:i/>
          <w:iCs/>
          <w:szCs w:val="24"/>
        </w:rPr>
        <w:t>respondent</w:t>
      </w:r>
      <w:r>
        <w:rPr>
          <w:rFonts w:cs="Arial"/>
          <w:szCs w:val="24"/>
        </w:rPr>
        <w:t xml:space="preserve"> instead.</w:t>
      </w:r>
      <w:r w:rsidR="00FC4D19">
        <w:rPr>
          <w:rFonts w:cs="Arial"/>
          <w:szCs w:val="24"/>
        </w:rPr>
        <w:t xml:space="preserve"> This is to ensure there is no ambiguity that unincorporated entities may be subject to the Commission’s complaints-handling procedures.</w:t>
      </w:r>
    </w:p>
    <w:p w14:paraId="65AACF3B" w14:textId="563A9FED" w:rsidR="00F0697B" w:rsidRDefault="00F0697B" w:rsidP="00486C06">
      <w:pPr>
        <w:spacing w:after="160"/>
        <w:jc w:val="both"/>
        <w:rPr>
          <w:rFonts w:cs="Arial"/>
          <w:szCs w:val="24"/>
          <w:u w:val="single"/>
        </w:rPr>
      </w:pPr>
      <w:r>
        <w:rPr>
          <w:rFonts w:cs="Arial"/>
          <w:szCs w:val="24"/>
          <w:u w:val="single"/>
        </w:rPr>
        <w:t xml:space="preserve">HRC </w:t>
      </w:r>
      <w:r w:rsidR="00F80FD0">
        <w:rPr>
          <w:rFonts w:cs="Arial"/>
          <w:szCs w:val="24"/>
          <w:u w:val="single"/>
        </w:rPr>
        <w:t>referral statements to ACAT</w:t>
      </w:r>
    </w:p>
    <w:p w14:paraId="481110CE" w14:textId="5D6B88CF" w:rsidR="00F80FD0" w:rsidRDefault="00F80FD0" w:rsidP="00486C06">
      <w:pPr>
        <w:spacing w:after="160"/>
        <w:jc w:val="both"/>
        <w:rPr>
          <w:rFonts w:cs="Arial"/>
          <w:szCs w:val="24"/>
        </w:rPr>
      </w:pPr>
      <w:r>
        <w:rPr>
          <w:rFonts w:cs="Arial"/>
          <w:szCs w:val="24"/>
        </w:rPr>
        <w:t xml:space="preserve">The Commission closes complaints by issuing a final report to both parties under section 80 of the HRC Act. </w:t>
      </w:r>
    </w:p>
    <w:p w14:paraId="3474DF35" w14:textId="40FF3E2B" w:rsidR="00F80FD0" w:rsidRDefault="00F80FD0" w:rsidP="00486C06">
      <w:pPr>
        <w:spacing w:after="160"/>
        <w:jc w:val="both"/>
        <w:rPr>
          <w:rFonts w:cs="Arial"/>
          <w:szCs w:val="24"/>
        </w:rPr>
      </w:pPr>
      <w:r>
        <w:rPr>
          <w:rFonts w:cs="Arial"/>
          <w:szCs w:val="24"/>
        </w:rPr>
        <w:t>The Commission is required to include a referral statement with final reports for discrimination, retirement village, occupancy dispute and conversion practice complaints. These statements advi</w:t>
      </w:r>
      <w:r w:rsidR="00240EFB">
        <w:rPr>
          <w:rFonts w:cs="Arial"/>
          <w:szCs w:val="24"/>
        </w:rPr>
        <w:t>s</w:t>
      </w:r>
      <w:r>
        <w:rPr>
          <w:rFonts w:cs="Arial"/>
          <w:szCs w:val="24"/>
        </w:rPr>
        <w:t xml:space="preserve">e the parties that the Commission has closed the </w:t>
      </w:r>
      <w:r w:rsidR="00DE1558">
        <w:rPr>
          <w:rFonts w:cs="Arial"/>
          <w:szCs w:val="24"/>
        </w:rPr>
        <w:lastRenderedPageBreak/>
        <w:t>complaint,</w:t>
      </w:r>
      <w:r>
        <w:rPr>
          <w:rFonts w:cs="Arial"/>
          <w:szCs w:val="24"/>
        </w:rPr>
        <w:t xml:space="preserve"> and that the complainant may ask the Commission to refer the complaint to ACAT within 60 days for determination (or after 60 days in exceptional circumstances on application to ACAT). </w:t>
      </w:r>
    </w:p>
    <w:p w14:paraId="677AA534" w14:textId="2C412AF4" w:rsidR="00F80FD0" w:rsidRDefault="00F80FD0" w:rsidP="00486C06">
      <w:pPr>
        <w:spacing w:after="160"/>
        <w:jc w:val="both"/>
        <w:rPr>
          <w:rFonts w:cs="Arial"/>
          <w:szCs w:val="24"/>
        </w:rPr>
      </w:pPr>
      <w:r>
        <w:rPr>
          <w:rFonts w:cs="Arial"/>
          <w:szCs w:val="24"/>
        </w:rPr>
        <w:t xml:space="preserve">This requirement does not apply where a conciliation agreement has been made or where the complainant has withdrawn the complaint. </w:t>
      </w:r>
    </w:p>
    <w:p w14:paraId="7FD5E090" w14:textId="69E67A11" w:rsidR="00F80FD0" w:rsidRPr="00F80FD0" w:rsidRDefault="00F80FD0" w:rsidP="00486C06">
      <w:pPr>
        <w:spacing w:after="160"/>
        <w:jc w:val="both"/>
        <w:rPr>
          <w:rFonts w:cs="Arial"/>
          <w:szCs w:val="24"/>
        </w:rPr>
      </w:pPr>
      <w:r>
        <w:rPr>
          <w:rFonts w:cs="Arial"/>
          <w:szCs w:val="24"/>
        </w:rPr>
        <w:t xml:space="preserve">The amendment acknowledges that the requirement also should not apply where an agreement has been reached to resolve the complaint without a formal conciliation agreement (e.g. an apology or adequate explanation), or where the </w:t>
      </w:r>
      <w:r w:rsidR="00240EFB">
        <w:rPr>
          <w:rFonts w:cs="Arial"/>
          <w:szCs w:val="24"/>
        </w:rPr>
        <w:t xml:space="preserve">complaint has been closed because the </w:t>
      </w:r>
      <w:r>
        <w:rPr>
          <w:rFonts w:cs="Arial"/>
          <w:szCs w:val="24"/>
        </w:rPr>
        <w:t xml:space="preserve">complainant has lost contact with the Commission. </w:t>
      </w:r>
      <w:r w:rsidR="00240EFB">
        <w:rPr>
          <w:rFonts w:cs="Arial"/>
          <w:szCs w:val="24"/>
        </w:rPr>
        <w:t>In such circumstances, the provision of a referral statement is unnecessary</w:t>
      </w:r>
      <w:r w:rsidR="00997157">
        <w:rPr>
          <w:rFonts w:cs="Arial"/>
          <w:szCs w:val="24"/>
        </w:rPr>
        <w:t>, and omitting it provides greater certainty to the parties that the complaint has been finalised</w:t>
      </w:r>
      <w:r w:rsidR="00240EFB">
        <w:rPr>
          <w:rFonts w:cs="Arial"/>
          <w:szCs w:val="24"/>
        </w:rPr>
        <w:t xml:space="preserve">. </w:t>
      </w:r>
    </w:p>
    <w:p w14:paraId="52B01950" w14:textId="7792DEA0" w:rsidR="00F0697B" w:rsidRDefault="00F80FD0" w:rsidP="00486C06">
      <w:pPr>
        <w:keepNext/>
        <w:spacing w:after="160"/>
        <w:jc w:val="both"/>
        <w:rPr>
          <w:rFonts w:cs="Arial"/>
          <w:szCs w:val="24"/>
          <w:u w:val="single"/>
        </w:rPr>
      </w:pPr>
      <w:r>
        <w:rPr>
          <w:rFonts w:cs="Arial"/>
          <w:szCs w:val="24"/>
          <w:u w:val="single"/>
        </w:rPr>
        <w:t xml:space="preserve">Referral pathway to ACAT </w:t>
      </w:r>
      <w:r w:rsidR="000D0253">
        <w:rPr>
          <w:rFonts w:cs="Arial"/>
          <w:szCs w:val="24"/>
          <w:u w:val="single"/>
        </w:rPr>
        <w:t>for HRC CICs</w:t>
      </w:r>
    </w:p>
    <w:p w14:paraId="190601D5" w14:textId="44D0E004" w:rsidR="000D0253" w:rsidRDefault="000D0253" w:rsidP="00486C06">
      <w:pPr>
        <w:keepNext/>
        <w:spacing w:after="160"/>
        <w:jc w:val="both"/>
        <w:rPr>
          <w:rFonts w:cs="Arial"/>
          <w:szCs w:val="24"/>
        </w:rPr>
      </w:pPr>
      <w:r>
        <w:rPr>
          <w:rFonts w:cs="Arial"/>
          <w:szCs w:val="24"/>
        </w:rPr>
        <w:t xml:space="preserve">The Commission may, by way of a CIC, “step in the shoes” of a complainant and consider things about which a person could make, but has not made, a complaint under section 48 of the HRC Act. </w:t>
      </w:r>
    </w:p>
    <w:p w14:paraId="32CEE5AB" w14:textId="009A324F" w:rsidR="000D0253" w:rsidRDefault="000D0253" w:rsidP="00486C06">
      <w:pPr>
        <w:spacing w:after="160"/>
        <w:jc w:val="both"/>
        <w:rPr>
          <w:rFonts w:cs="Arial"/>
          <w:szCs w:val="24"/>
        </w:rPr>
      </w:pPr>
      <w:r>
        <w:rPr>
          <w:rFonts w:cs="Arial"/>
          <w:szCs w:val="24"/>
        </w:rPr>
        <w:t xml:space="preserve">Although discrimination, retirement village, occupancy dispute and conversion practice complaints </w:t>
      </w:r>
      <w:r w:rsidR="00DE1558">
        <w:rPr>
          <w:rFonts w:cs="Arial"/>
          <w:szCs w:val="24"/>
        </w:rPr>
        <w:t xml:space="preserve">from individuals </w:t>
      </w:r>
      <w:r>
        <w:rPr>
          <w:rFonts w:cs="Arial"/>
          <w:szCs w:val="24"/>
        </w:rPr>
        <w:t>may all be referred to ACAT for determination, currently only discrimination CICs may also be referred to ACAT under the HRC</w:t>
      </w:r>
      <w:r w:rsidR="002A062E">
        <w:rPr>
          <w:rFonts w:cs="Arial"/>
          <w:szCs w:val="24"/>
        </w:rPr>
        <w:t> </w:t>
      </w:r>
      <w:r>
        <w:rPr>
          <w:rFonts w:cs="Arial"/>
          <w:szCs w:val="24"/>
        </w:rPr>
        <w:t xml:space="preserve">Act. </w:t>
      </w:r>
    </w:p>
    <w:p w14:paraId="239411A5" w14:textId="072FB7F1" w:rsidR="000D0253" w:rsidRPr="000D0253" w:rsidRDefault="000D0253" w:rsidP="00486C06">
      <w:pPr>
        <w:spacing w:after="160"/>
        <w:jc w:val="both"/>
        <w:rPr>
          <w:rFonts w:cs="Arial"/>
          <w:szCs w:val="24"/>
        </w:rPr>
      </w:pPr>
      <w:r>
        <w:rPr>
          <w:rFonts w:cs="Arial"/>
          <w:szCs w:val="24"/>
        </w:rPr>
        <w:t>The amendment will include a specific referral pathway for retirement village, occupancy dispute and conversion practice CICs to ACAT to bring them into alignment with discrimination CICs and ensure the Commission can seek a determination on systemic issues that affect vulnerable people in the community.</w:t>
      </w:r>
    </w:p>
    <w:p w14:paraId="51610359" w14:textId="77777777" w:rsidR="0001427B" w:rsidRDefault="0001427B" w:rsidP="00486C06">
      <w:pPr>
        <w:spacing w:after="160"/>
        <w:jc w:val="both"/>
        <w:rPr>
          <w:rFonts w:cs="Arial"/>
          <w:b/>
          <w:bCs/>
          <w:i/>
          <w:szCs w:val="24"/>
        </w:rPr>
      </w:pPr>
      <w:r w:rsidRPr="00FB4BFC">
        <w:rPr>
          <w:rFonts w:cs="Arial"/>
          <w:b/>
          <w:bCs/>
          <w:i/>
          <w:szCs w:val="24"/>
        </w:rPr>
        <w:t>Official Visitor Act 2012</w:t>
      </w:r>
    </w:p>
    <w:p w14:paraId="11CA4141" w14:textId="77777777" w:rsidR="0001427B" w:rsidRDefault="0001427B" w:rsidP="00486C06">
      <w:pPr>
        <w:spacing w:after="160"/>
        <w:jc w:val="both"/>
        <w:rPr>
          <w:rFonts w:cs="Arial"/>
          <w:iCs/>
          <w:szCs w:val="24"/>
        </w:rPr>
      </w:pPr>
      <w:r>
        <w:rPr>
          <w:rFonts w:cs="Arial"/>
          <w:iCs/>
          <w:szCs w:val="24"/>
        </w:rPr>
        <w:t>The Bill amends the OV Act to insert two new provisions to authorise the sharing of information between OVs and to provide protection from civil or criminal liability to a person who makes a complaint to an OV.</w:t>
      </w:r>
    </w:p>
    <w:p w14:paraId="17361EE0" w14:textId="77777777" w:rsidR="0001427B" w:rsidRDefault="0001427B" w:rsidP="00486C06">
      <w:pPr>
        <w:spacing w:after="160"/>
        <w:jc w:val="both"/>
        <w:rPr>
          <w:rFonts w:cs="Arial"/>
          <w:iCs/>
          <w:szCs w:val="24"/>
        </w:rPr>
      </w:pPr>
      <w:r>
        <w:rPr>
          <w:rFonts w:cs="Arial"/>
          <w:iCs/>
          <w:szCs w:val="24"/>
        </w:rPr>
        <w:t xml:space="preserve">OVs are independent statutory office holders who visit and provide oversight over visitable places under the OV Act in the disciplines of corrections, mental health, disability, children and young people, and homelessness. Visitable places are certain government or non-government residences or facilities where people are detained or reside in and are reliant on service providers. </w:t>
      </w:r>
    </w:p>
    <w:p w14:paraId="124B3D10" w14:textId="0A4FECFC" w:rsidR="0001427B" w:rsidRDefault="0001427B" w:rsidP="00486C06">
      <w:pPr>
        <w:spacing w:after="160"/>
        <w:jc w:val="both"/>
        <w:rPr>
          <w:rFonts w:cs="Arial"/>
          <w:iCs/>
          <w:szCs w:val="24"/>
        </w:rPr>
      </w:pPr>
      <w:r w:rsidRPr="001E1FAE">
        <w:t xml:space="preserve">In exercising their functions (e.g. making visits, inquiries, complaint resolution and reporting), OVs are bound by the OV Act, </w:t>
      </w:r>
      <w:r w:rsidRPr="006670AD">
        <w:rPr>
          <w:i/>
          <w:iCs/>
        </w:rPr>
        <w:t>Official Visitor Guidelines 2020</w:t>
      </w:r>
      <w:r w:rsidRPr="001E1FAE">
        <w:t xml:space="preserve">, </w:t>
      </w:r>
      <w:r w:rsidRPr="006670AD">
        <w:rPr>
          <w:lang w:val="en-US"/>
        </w:rPr>
        <w:t>the relevant Operational Act (</w:t>
      </w:r>
      <w:r w:rsidRPr="006670AD">
        <w:rPr>
          <w:i/>
          <w:iCs/>
          <w:lang w:val="en-US"/>
        </w:rPr>
        <w:t>Children and Young People Act 2008</w:t>
      </w:r>
      <w:r w:rsidRPr="006670AD">
        <w:rPr>
          <w:lang w:val="en-US"/>
        </w:rPr>
        <w:t xml:space="preserve">, </w:t>
      </w:r>
      <w:r w:rsidRPr="006670AD">
        <w:rPr>
          <w:i/>
          <w:iCs/>
          <w:lang w:val="en-US"/>
        </w:rPr>
        <w:t>Corrections Management Act 2007</w:t>
      </w:r>
      <w:r w:rsidRPr="006670AD">
        <w:rPr>
          <w:lang w:val="en-US"/>
        </w:rPr>
        <w:t xml:space="preserve">, </w:t>
      </w:r>
      <w:r w:rsidRPr="006670AD">
        <w:rPr>
          <w:i/>
          <w:iCs/>
          <w:lang w:val="en-US"/>
        </w:rPr>
        <w:t>Disability Services Act 1991</w:t>
      </w:r>
      <w:r w:rsidRPr="006670AD">
        <w:rPr>
          <w:lang w:val="en-US"/>
        </w:rPr>
        <w:t xml:space="preserve">, </w:t>
      </w:r>
      <w:r w:rsidRPr="006670AD">
        <w:rPr>
          <w:i/>
          <w:iCs/>
          <w:lang w:val="en-US"/>
        </w:rPr>
        <w:t>Housing Assistance Act 2007</w:t>
      </w:r>
      <w:r w:rsidRPr="006670AD">
        <w:rPr>
          <w:lang w:val="en-US"/>
        </w:rPr>
        <w:t xml:space="preserve">, and </w:t>
      </w:r>
      <w:r w:rsidRPr="006670AD">
        <w:rPr>
          <w:i/>
          <w:iCs/>
          <w:lang w:val="en-US"/>
        </w:rPr>
        <w:t>Mental Health Act 2015</w:t>
      </w:r>
      <w:r w:rsidRPr="006670AD">
        <w:rPr>
          <w:lang w:val="en-US"/>
        </w:rPr>
        <w:t>)</w:t>
      </w:r>
      <w:r>
        <w:rPr>
          <w:lang w:val="en-US"/>
        </w:rPr>
        <w:t xml:space="preserve">, as well as other legislation of general application to statutory bodies such as the </w:t>
      </w:r>
      <w:r w:rsidRPr="00DE1558">
        <w:rPr>
          <w:lang w:val="en-US"/>
        </w:rPr>
        <w:t>IP Act</w:t>
      </w:r>
      <w:r>
        <w:rPr>
          <w:i/>
          <w:iCs/>
          <w:lang w:val="en-US"/>
        </w:rPr>
        <w:t xml:space="preserve">. </w:t>
      </w:r>
    </w:p>
    <w:p w14:paraId="6B723F70" w14:textId="77777777" w:rsidR="0001427B" w:rsidRPr="00CA6F96" w:rsidRDefault="0001427B" w:rsidP="007E59D8">
      <w:pPr>
        <w:keepNext/>
        <w:spacing w:after="160"/>
        <w:jc w:val="both"/>
        <w:rPr>
          <w:rFonts w:cs="Arial"/>
          <w:iCs/>
          <w:szCs w:val="24"/>
          <w:u w:val="single"/>
        </w:rPr>
      </w:pPr>
      <w:r>
        <w:rPr>
          <w:rFonts w:cs="Arial"/>
          <w:iCs/>
          <w:szCs w:val="24"/>
          <w:u w:val="single"/>
        </w:rPr>
        <w:lastRenderedPageBreak/>
        <w:t>Protection from civil or criminal liability for persons who make complaints to OVs</w:t>
      </w:r>
    </w:p>
    <w:p w14:paraId="18F8A779" w14:textId="77777777" w:rsidR="0001427B" w:rsidRDefault="0001427B" w:rsidP="007E59D8">
      <w:pPr>
        <w:keepNext/>
        <w:spacing w:after="160"/>
        <w:jc w:val="both"/>
      </w:pPr>
      <w:r>
        <w:t xml:space="preserve">The OV Act provides that an entitled person at a visitable place, or anyone else, may complain to an OV about any aspect of the person’s accommodation. Information obtained through these complaints enables OVs to address and report on systemic issues within visitable places. </w:t>
      </w:r>
    </w:p>
    <w:p w14:paraId="163D8322" w14:textId="77777777" w:rsidR="0001427B" w:rsidRDefault="0001427B" w:rsidP="00486C06">
      <w:pPr>
        <w:spacing w:after="160"/>
        <w:jc w:val="both"/>
        <w:rPr>
          <w:rFonts w:cs="Arial"/>
          <w:iCs/>
          <w:szCs w:val="24"/>
        </w:rPr>
      </w:pPr>
      <w:r>
        <w:t xml:space="preserve">The </w:t>
      </w:r>
      <w:r w:rsidRPr="00CD28C0">
        <w:t>OV Act does not currently provide protection to those who make complaints to OVs from civil or criminal liability.</w:t>
      </w:r>
      <w:r>
        <w:t xml:space="preserve"> </w:t>
      </w:r>
      <w:r>
        <w:rPr>
          <w:rFonts w:cs="Arial"/>
          <w:iCs/>
          <w:szCs w:val="24"/>
        </w:rPr>
        <w:t>To address this gap, the Bill inserts a new liability protection provision (section 24A) that provides that civil or criminal liability is not incurred only because of the making of a complaint to an OV honestly and without recklessness. It also provides that the making of a complaint is not a breach of confidence, or professional etiquette or ethics, or a rule of profession conduct.</w:t>
      </w:r>
    </w:p>
    <w:p w14:paraId="50DC6F57" w14:textId="77777777" w:rsidR="0001427B" w:rsidRDefault="0001427B" w:rsidP="00486C06">
      <w:pPr>
        <w:spacing w:after="160"/>
        <w:jc w:val="both"/>
        <w:rPr>
          <w:rFonts w:cs="Arial"/>
          <w:iCs/>
          <w:szCs w:val="24"/>
        </w:rPr>
      </w:pPr>
      <w:r>
        <w:rPr>
          <w:rFonts w:cs="Arial"/>
          <w:iCs/>
          <w:szCs w:val="24"/>
        </w:rPr>
        <w:t xml:space="preserve">This amendment is intended to encourage honest reporting of concerns about visitable places to OVs without fear of legal repercussions, which in turn promotes a culture of transparency and accountability in visitable places. These protections are particularly important in circumstances where complaints are made by entitled persons who are in positions of vulnerability due to their reliance on service providers. </w:t>
      </w:r>
    </w:p>
    <w:p w14:paraId="33A83B17" w14:textId="77777777" w:rsidR="0001427B" w:rsidRPr="00CA6F96" w:rsidRDefault="0001427B" w:rsidP="00486C06">
      <w:pPr>
        <w:spacing w:after="160"/>
        <w:jc w:val="both"/>
        <w:rPr>
          <w:rFonts w:cs="Arial"/>
          <w:iCs/>
          <w:szCs w:val="24"/>
          <w:u w:val="single"/>
        </w:rPr>
      </w:pPr>
      <w:r>
        <w:rPr>
          <w:rFonts w:cs="Arial"/>
          <w:iCs/>
          <w:szCs w:val="24"/>
          <w:u w:val="single"/>
        </w:rPr>
        <w:t>Information sharing between OVs</w:t>
      </w:r>
    </w:p>
    <w:p w14:paraId="57EFBD11" w14:textId="39AE114E" w:rsidR="0001427B" w:rsidRDefault="0001427B" w:rsidP="00486C06">
      <w:pPr>
        <w:spacing w:after="160"/>
        <w:jc w:val="both"/>
        <w:rPr>
          <w:rFonts w:cs="Arial"/>
          <w:iCs/>
          <w:szCs w:val="24"/>
        </w:rPr>
      </w:pPr>
      <w:r>
        <w:rPr>
          <w:rFonts w:cs="Arial"/>
          <w:iCs/>
          <w:szCs w:val="24"/>
        </w:rPr>
        <w:t>The Bill inserts a new information sharing provision (section 25A) in</w:t>
      </w:r>
      <w:r w:rsidR="002A062E">
        <w:rPr>
          <w:rFonts w:cs="Arial"/>
          <w:iCs/>
          <w:szCs w:val="24"/>
        </w:rPr>
        <w:t>to</w:t>
      </w:r>
      <w:r>
        <w:rPr>
          <w:rFonts w:cs="Arial"/>
          <w:iCs/>
          <w:szCs w:val="24"/>
        </w:rPr>
        <w:t xml:space="preserve"> the OV Act </w:t>
      </w:r>
      <w:r w:rsidR="002A062E">
        <w:rPr>
          <w:rFonts w:cs="Arial"/>
          <w:iCs/>
          <w:szCs w:val="24"/>
        </w:rPr>
        <w:t xml:space="preserve">to provide </w:t>
      </w:r>
      <w:r>
        <w:rPr>
          <w:rFonts w:cs="Arial"/>
          <w:iCs/>
          <w:szCs w:val="24"/>
        </w:rPr>
        <w:t xml:space="preserve">explicit authorisation for OVs to share information received in the course of their functions with other OVs, </w:t>
      </w:r>
      <w:r w:rsidR="002A062E">
        <w:rPr>
          <w:rFonts w:cs="Arial"/>
          <w:iCs/>
          <w:szCs w:val="24"/>
        </w:rPr>
        <w:t xml:space="preserve">to better facilitate </w:t>
      </w:r>
      <w:r>
        <w:rPr>
          <w:rFonts w:cs="Arial"/>
          <w:iCs/>
          <w:szCs w:val="24"/>
        </w:rPr>
        <w:t xml:space="preserve">collaborative work between OVs. The new provision provides that OVs may give information </w:t>
      </w:r>
      <w:r w:rsidR="00640569">
        <w:rPr>
          <w:rFonts w:cs="Arial"/>
          <w:iCs/>
          <w:szCs w:val="24"/>
        </w:rPr>
        <w:t xml:space="preserve">disclosed to them, or obtained by them, in the course of their functions </w:t>
      </w:r>
      <w:r>
        <w:rPr>
          <w:rFonts w:cs="Arial"/>
          <w:iCs/>
          <w:szCs w:val="24"/>
        </w:rPr>
        <w:t>to another OV, and the information recipient may use that information, if the information is necessary for the effective exercise of a function under the Act.</w:t>
      </w:r>
    </w:p>
    <w:p w14:paraId="1680A652" w14:textId="73348CBE" w:rsidR="009309EC" w:rsidRPr="009309EC" w:rsidRDefault="0001427B" w:rsidP="00486C06">
      <w:pPr>
        <w:spacing w:after="160"/>
        <w:jc w:val="both"/>
        <w:rPr>
          <w:rFonts w:cs="Arial"/>
          <w:iCs/>
          <w:szCs w:val="24"/>
        </w:rPr>
      </w:pPr>
      <w:r>
        <w:rPr>
          <w:rFonts w:cs="Arial"/>
          <w:iCs/>
          <w:szCs w:val="24"/>
        </w:rPr>
        <w:t>While the disclosure rules in the IP Act would likely authorise OVs to share information in many circumstances, an explicit information sharing provision will better support their effective cooperation, in the interests of entitled persons and systematic improvements in visitable places.</w:t>
      </w:r>
      <w:r w:rsidRPr="00B75832">
        <w:rPr>
          <w:rFonts w:cs="Arial"/>
          <w:iCs/>
          <w:szCs w:val="24"/>
        </w:rPr>
        <w:t xml:space="preserve"> </w:t>
      </w:r>
    </w:p>
    <w:p w14:paraId="46CC11D1" w14:textId="64EEB642" w:rsidR="00FB4BFC" w:rsidRDefault="00FB4BFC" w:rsidP="00486C06">
      <w:pPr>
        <w:spacing w:after="160"/>
        <w:jc w:val="both"/>
        <w:rPr>
          <w:rFonts w:cs="Arial"/>
          <w:b/>
          <w:bCs/>
          <w:i/>
          <w:szCs w:val="24"/>
        </w:rPr>
      </w:pPr>
      <w:r w:rsidRPr="00FB4BFC">
        <w:rPr>
          <w:rFonts w:cs="Arial"/>
          <w:b/>
          <w:bCs/>
          <w:i/>
          <w:szCs w:val="24"/>
        </w:rPr>
        <w:t>Residential Tenancies Act 1997</w:t>
      </w:r>
    </w:p>
    <w:p w14:paraId="7854C949" w14:textId="2BC0D344" w:rsidR="003E6774" w:rsidRDefault="003E6774" w:rsidP="00486C06">
      <w:pPr>
        <w:spacing w:after="160"/>
        <w:jc w:val="both"/>
        <w:rPr>
          <w:rFonts w:cs="Arial"/>
          <w:iCs/>
          <w:szCs w:val="24"/>
        </w:rPr>
      </w:pPr>
      <w:r>
        <w:rPr>
          <w:rFonts w:cs="Arial"/>
          <w:iCs/>
          <w:szCs w:val="24"/>
        </w:rPr>
        <w:t xml:space="preserve">The Bill makes minor and technical amendments to the </w:t>
      </w:r>
      <w:r w:rsidRPr="00F36F35">
        <w:rPr>
          <w:rFonts w:cs="Arial"/>
          <w:iCs/>
          <w:szCs w:val="24"/>
        </w:rPr>
        <w:t>RTA</w:t>
      </w:r>
      <w:r>
        <w:rPr>
          <w:rFonts w:cs="Arial"/>
          <w:iCs/>
          <w:szCs w:val="24"/>
        </w:rPr>
        <w:t xml:space="preserve">. The amendments correct minor errors arising from the </w:t>
      </w:r>
      <w:r>
        <w:rPr>
          <w:rFonts w:cs="Arial"/>
          <w:i/>
          <w:szCs w:val="24"/>
        </w:rPr>
        <w:t>Housing and Consumer Affairs Legislation Amendment Act 2024</w:t>
      </w:r>
      <w:r w:rsidR="0042187E">
        <w:rPr>
          <w:rFonts w:cs="Arial"/>
          <w:i/>
          <w:szCs w:val="24"/>
        </w:rPr>
        <w:t xml:space="preserve"> </w:t>
      </w:r>
      <w:r w:rsidR="0042187E">
        <w:rPr>
          <w:rFonts w:cs="Arial"/>
          <w:iCs/>
          <w:szCs w:val="24"/>
        </w:rPr>
        <w:t>(</w:t>
      </w:r>
      <w:r w:rsidR="0042187E" w:rsidRPr="0057094E">
        <w:rPr>
          <w:rFonts w:cs="Arial"/>
          <w:b/>
          <w:bCs/>
          <w:iCs/>
          <w:szCs w:val="24"/>
        </w:rPr>
        <w:t>HCALAA</w:t>
      </w:r>
      <w:r w:rsidR="0042187E">
        <w:rPr>
          <w:rFonts w:cs="Arial"/>
          <w:iCs/>
          <w:szCs w:val="24"/>
        </w:rPr>
        <w:t>)</w:t>
      </w:r>
      <w:r>
        <w:rPr>
          <w:rFonts w:cs="Arial"/>
          <w:iCs/>
          <w:szCs w:val="24"/>
        </w:rPr>
        <w:t xml:space="preserve">, which passed in June 2024. </w:t>
      </w:r>
    </w:p>
    <w:p w14:paraId="67BAF45F" w14:textId="76F5E733" w:rsidR="003E6774" w:rsidRDefault="003E6774" w:rsidP="00486C06">
      <w:pPr>
        <w:spacing w:after="160"/>
        <w:jc w:val="both"/>
        <w:rPr>
          <w:rFonts w:cs="Arial"/>
          <w:iCs/>
          <w:szCs w:val="24"/>
        </w:rPr>
      </w:pPr>
      <w:r>
        <w:rPr>
          <w:rFonts w:cs="Arial"/>
          <w:iCs/>
          <w:szCs w:val="24"/>
        </w:rPr>
        <w:t>The HCALAA created new situations in which co-tenants</w:t>
      </w:r>
      <w:r w:rsidR="00640569">
        <w:rPr>
          <w:rFonts w:cs="Arial"/>
          <w:iCs/>
          <w:szCs w:val="24"/>
        </w:rPr>
        <w:t>’</w:t>
      </w:r>
      <w:r>
        <w:rPr>
          <w:rFonts w:cs="Arial"/>
          <w:iCs/>
          <w:szCs w:val="24"/>
        </w:rPr>
        <w:t xml:space="preserve"> interests in a bond held by ACT Revenue may change, and on this situation arising, required the co-tenants to notify the Territory (specifically ACT Revenue</w:t>
      </w:r>
      <w:r w:rsidR="0042187E">
        <w:rPr>
          <w:rFonts w:cs="Arial"/>
          <w:iCs/>
          <w:szCs w:val="24"/>
        </w:rPr>
        <w:t xml:space="preserve"> who hold ACT rental bonds</w:t>
      </w:r>
      <w:r>
        <w:rPr>
          <w:rFonts w:cs="Arial"/>
          <w:iCs/>
          <w:szCs w:val="24"/>
        </w:rPr>
        <w:t xml:space="preserve">) about the changed interest. As it is optional for a landlord to require payment of a bond, the Bill clarifies that this obligation only arises where there is a bond held in relation to the property. </w:t>
      </w:r>
    </w:p>
    <w:p w14:paraId="1C8A1503" w14:textId="51483692" w:rsidR="003E6774" w:rsidRPr="003E6774" w:rsidRDefault="003E6774" w:rsidP="00486C06">
      <w:pPr>
        <w:spacing w:after="160"/>
        <w:jc w:val="both"/>
        <w:rPr>
          <w:rFonts w:cs="Arial"/>
          <w:iCs/>
          <w:szCs w:val="24"/>
        </w:rPr>
      </w:pPr>
      <w:r>
        <w:rPr>
          <w:rFonts w:cs="Arial"/>
          <w:iCs/>
          <w:szCs w:val="24"/>
        </w:rPr>
        <w:lastRenderedPageBreak/>
        <w:t xml:space="preserve">The Bill also replaces an erroneous reference to a notice to vacate with the correct </w:t>
      </w:r>
      <w:r w:rsidR="0042187E">
        <w:rPr>
          <w:rFonts w:cs="Arial"/>
          <w:iCs/>
          <w:szCs w:val="24"/>
        </w:rPr>
        <w:t xml:space="preserve">term — </w:t>
      </w:r>
      <w:r>
        <w:rPr>
          <w:rFonts w:cs="Arial"/>
          <w:iCs/>
          <w:szCs w:val="24"/>
        </w:rPr>
        <w:t xml:space="preserve">notice of intention to vacate. </w:t>
      </w:r>
    </w:p>
    <w:p w14:paraId="1DD4516D" w14:textId="34D2F8E4" w:rsidR="00FB4BFC" w:rsidRPr="00FB4BFC" w:rsidRDefault="00FB4BFC" w:rsidP="00486C06">
      <w:pPr>
        <w:spacing w:after="160"/>
        <w:jc w:val="both"/>
        <w:rPr>
          <w:rFonts w:cs="Arial"/>
          <w:b/>
          <w:bCs/>
          <w:szCs w:val="24"/>
        </w:rPr>
      </w:pPr>
      <w:r w:rsidRPr="00FB4BFC">
        <w:rPr>
          <w:rFonts w:cs="Arial"/>
          <w:b/>
          <w:bCs/>
          <w:i/>
          <w:szCs w:val="24"/>
        </w:rPr>
        <w:t>Retirement Villages Act 2012</w:t>
      </w:r>
    </w:p>
    <w:p w14:paraId="3464181C" w14:textId="64B25E34" w:rsidR="005B2827" w:rsidRPr="005B2827" w:rsidRDefault="005B2827" w:rsidP="00486C06">
      <w:pPr>
        <w:rPr>
          <w:rFonts w:cs="Arial"/>
          <w:iCs/>
          <w:szCs w:val="24"/>
        </w:rPr>
      </w:pPr>
      <w:r w:rsidRPr="005B2827">
        <w:rPr>
          <w:rFonts w:cs="Arial"/>
          <w:iCs/>
          <w:szCs w:val="24"/>
        </w:rPr>
        <w:t xml:space="preserve">The Bill makes minor amendments to the </w:t>
      </w:r>
      <w:r w:rsidRPr="00F36F35">
        <w:rPr>
          <w:rFonts w:cs="Arial"/>
          <w:iCs/>
          <w:szCs w:val="24"/>
        </w:rPr>
        <w:t>RVA</w:t>
      </w:r>
      <w:r>
        <w:rPr>
          <w:rFonts w:cs="Arial"/>
          <w:iCs/>
          <w:szCs w:val="24"/>
        </w:rPr>
        <w:t xml:space="preserve"> </w:t>
      </w:r>
      <w:r w:rsidRPr="005B2827">
        <w:rPr>
          <w:rFonts w:cs="Arial"/>
          <w:iCs/>
          <w:szCs w:val="24"/>
        </w:rPr>
        <w:t xml:space="preserve">relating to governance issues in retirement village committees that were raised </w:t>
      </w:r>
      <w:r w:rsidR="00640569">
        <w:rPr>
          <w:rFonts w:cs="Arial"/>
          <w:iCs/>
          <w:szCs w:val="24"/>
        </w:rPr>
        <w:t xml:space="preserve">by residents </w:t>
      </w:r>
      <w:r w:rsidRPr="005B2827">
        <w:rPr>
          <w:rFonts w:cs="Arial"/>
          <w:iCs/>
          <w:szCs w:val="24"/>
        </w:rPr>
        <w:t xml:space="preserve">during consultation with the Retirement Villages Working Group. The amendments will address issues in relation to: </w:t>
      </w:r>
    </w:p>
    <w:p w14:paraId="7EFDB9D1" w14:textId="79240C7B" w:rsidR="005B2827" w:rsidRPr="005B2827" w:rsidRDefault="005B2827" w:rsidP="007E59D8">
      <w:pPr>
        <w:pStyle w:val="ListParagraph"/>
        <w:numPr>
          <w:ilvl w:val="0"/>
          <w:numId w:val="37"/>
        </w:numPr>
        <w:spacing w:after="200" w:line="276" w:lineRule="auto"/>
        <w:ind w:left="709" w:hanging="283"/>
        <w:rPr>
          <w:rFonts w:cs="Arial"/>
          <w:iCs/>
          <w:szCs w:val="24"/>
          <w:lang w:eastAsia="en-US"/>
        </w:rPr>
      </w:pPr>
      <w:r>
        <w:rPr>
          <w:rFonts w:cs="Arial"/>
          <w:iCs/>
          <w:szCs w:val="24"/>
          <w:lang w:eastAsia="en-US"/>
        </w:rPr>
        <w:t>T</w:t>
      </w:r>
      <w:r w:rsidRPr="005B2827">
        <w:rPr>
          <w:rFonts w:cs="Arial"/>
          <w:iCs/>
          <w:szCs w:val="24"/>
          <w:lang w:eastAsia="en-US"/>
        </w:rPr>
        <w:t xml:space="preserve">he term “office” - specifically around whether the term “office” is intended to </w:t>
      </w:r>
      <w:r w:rsidR="0042187E">
        <w:rPr>
          <w:rFonts w:cs="Arial"/>
          <w:iCs/>
          <w:szCs w:val="24"/>
          <w:lang w:eastAsia="en-US"/>
        </w:rPr>
        <w:t xml:space="preserve">refer to </w:t>
      </w:r>
      <w:r w:rsidRPr="005B2827">
        <w:rPr>
          <w:rFonts w:cs="Arial"/>
          <w:iCs/>
          <w:szCs w:val="24"/>
          <w:lang w:eastAsia="en-US"/>
        </w:rPr>
        <w:t>specific positions with designated functions on the committee (such as President, Secretary</w:t>
      </w:r>
      <w:r w:rsidR="0042187E">
        <w:rPr>
          <w:rFonts w:cs="Arial"/>
          <w:iCs/>
          <w:szCs w:val="24"/>
          <w:lang w:eastAsia="en-US"/>
        </w:rPr>
        <w:t xml:space="preserve"> etc.</w:t>
      </w:r>
      <w:r w:rsidRPr="005B2827">
        <w:rPr>
          <w:rFonts w:cs="Arial"/>
          <w:iCs/>
          <w:szCs w:val="24"/>
          <w:lang w:eastAsia="en-US"/>
        </w:rPr>
        <w:t xml:space="preserve">) or whether it is intended to capture ordinary committee member positions as well; and </w:t>
      </w:r>
    </w:p>
    <w:p w14:paraId="66CE8A59" w14:textId="4F6470AC" w:rsidR="005B2827" w:rsidRPr="005B2827" w:rsidRDefault="005B2827" w:rsidP="007E59D8">
      <w:pPr>
        <w:pStyle w:val="ListParagraph"/>
        <w:numPr>
          <w:ilvl w:val="0"/>
          <w:numId w:val="37"/>
        </w:numPr>
        <w:spacing w:after="200" w:line="276" w:lineRule="auto"/>
        <w:ind w:left="709" w:hanging="283"/>
        <w:rPr>
          <w:rFonts w:cs="Arial"/>
          <w:iCs/>
          <w:szCs w:val="24"/>
          <w:lang w:eastAsia="en-US"/>
        </w:rPr>
      </w:pPr>
      <w:r>
        <w:rPr>
          <w:rFonts w:cs="Arial"/>
          <w:iCs/>
          <w:szCs w:val="24"/>
          <w:lang w:eastAsia="en-US"/>
        </w:rPr>
        <w:t>H</w:t>
      </w:r>
      <w:r w:rsidRPr="005B2827">
        <w:rPr>
          <w:rFonts w:cs="Arial"/>
          <w:iCs/>
          <w:szCs w:val="24"/>
          <w:lang w:eastAsia="en-US"/>
        </w:rPr>
        <w:t xml:space="preserve">ow to calculate the 3-year term limit that the RVA imposes on office holders. </w:t>
      </w:r>
      <w:r w:rsidR="0042187E">
        <w:rPr>
          <w:rFonts w:cs="Arial"/>
          <w:iCs/>
          <w:szCs w:val="24"/>
          <w:lang w:eastAsia="en-US"/>
        </w:rPr>
        <w:t>Confusion as to the length of a</w:t>
      </w:r>
      <w:r w:rsidR="0020374F">
        <w:rPr>
          <w:rFonts w:cs="Arial"/>
          <w:iCs/>
          <w:szCs w:val="24"/>
          <w:lang w:eastAsia="en-US"/>
        </w:rPr>
        <w:t>n</w:t>
      </w:r>
      <w:r w:rsidR="0042187E">
        <w:rPr>
          <w:rFonts w:cs="Arial"/>
          <w:iCs/>
          <w:szCs w:val="24"/>
          <w:lang w:eastAsia="en-US"/>
        </w:rPr>
        <w:t xml:space="preserve"> office </w:t>
      </w:r>
      <w:r w:rsidR="007E59D8">
        <w:rPr>
          <w:rFonts w:cs="Arial"/>
          <w:iCs/>
          <w:szCs w:val="24"/>
          <w:lang w:eastAsia="en-US"/>
        </w:rPr>
        <w:t>holders’</w:t>
      </w:r>
      <w:r w:rsidR="0042187E">
        <w:rPr>
          <w:rFonts w:cs="Arial"/>
          <w:iCs/>
          <w:szCs w:val="24"/>
          <w:lang w:eastAsia="en-US"/>
        </w:rPr>
        <w:t xml:space="preserve"> term has arisen</w:t>
      </w:r>
      <w:r w:rsidRPr="005B2827">
        <w:rPr>
          <w:rFonts w:cs="Arial"/>
          <w:iCs/>
          <w:szCs w:val="24"/>
          <w:lang w:eastAsia="en-US"/>
        </w:rPr>
        <w:t xml:space="preserve"> because, where the term ‘year’ is not defined, the </w:t>
      </w:r>
      <w:r w:rsidRPr="005B2827">
        <w:rPr>
          <w:rFonts w:cs="Arial"/>
          <w:i/>
          <w:szCs w:val="24"/>
          <w:lang w:eastAsia="en-US"/>
        </w:rPr>
        <w:t>Legislation Act 2001</w:t>
      </w:r>
      <w:r w:rsidRPr="005B2827">
        <w:rPr>
          <w:rFonts w:cs="Arial"/>
          <w:iCs/>
          <w:szCs w:val="24"/>
          <w:lang w:eastAsia="en-US"/>
        </w:rPr>
        <w:t xml:space="preserve"> clarifies that a year is defined as a calendar year (which is a 12-month period beginning on 1</w:t>
      </w:r>
      <w:r w:rsidR="00640569">
        <w:rPr>
          <w:rFonts w:cs="Arial"/>
          <w:iCs/>
          <w:szCs w:val="24"/>
          <w:lang w:eastAsia="en-US"/>
        </w:rPr>
        <w:t> </w:t>
      </w:r>
      <w:r w:rsidRPr="005B2827">
        <w:rPr>
          <w:rFonts w:cs="Arial"/>
          <w:iCs/>
          <w:szCs w:val="24"/>
          <w:lang w:eastAsia="en-US"/>
        </w:rPr>
        <w:t xml:space="preserve">January). This </w:t>
      </w:r>
      <w:r w:rsidR="0042187E">
        <w:rPr>
          <w:rFonts w:cs="Arial"/>
          <w:iCs/>
          <w:szCs w:val="24"/>
          <w:lang w:eastAsia="en-US"/>
        </w:rPr>
        <w:t>definition causes uncertainty</w:t>
      </w:r>
      <w:r w:rsidRPr="005B2827">
        <w:rPr>
          <w:rFonts w:cs="Arial"/>
          <w:iCs/>
          <w:szCs w:val="24"/>
          <w:lang w:eastAsia="en-US"/>
        </w:rPr>
        <w:t xml:space="preserve"> about term limits when an office holder assumes their role part way through a calendar year.</w:t>
      </w:r>
    </w:p>
    <w:p w14:paraId="3AB9E5BA" w14:textId="0BEE9461" w:rsidR="00FB4BFC" w:rsidRPr="005B2827" w:rsidRDefault="005B2827" w:rsidP="00486C06">
      <w:pPr>
        <w:rPr>
          <w:rFonts w:cs="Arial"/>
          <w:iCs/>
          <w:szCs w:val="24"/>
        </w:rPr>
      </w:pPr>
      <w:r w:rsidRPr="005B2827">
        <w:rPr>
          <w:rFonts w:cs="Arial"/>
          <w:iCs/>
          <w:szCs w:val="24"/>
        </w:rPr>
        <w:t xml:space="preserve">The Bill will </w:t>
      </w:r>
      <w:r w:rsidR="00026025">
        <w:rPr>
          <w:rFonts w:cs="Arial"/>
          <w:iCs/>
          <w:szCs w:val="24"/>
        </w:rPr>
        <w:t>address</w:t>
      </w:r>
      <w:r w:rsidR="00026025" w:rsidRPr="005B2827">
        <w:rPr>
          <w:rFonts w:cs="Arial"/>
          <w:iCs/>
          <w:szCs w:val="24"/>
        </w:rPr>
        <w:t xml:space="preserve"> </w:t>
      </w:r>
      <w:r w:rsidRPr="005B2827">
        <w:rPr>
          <w:rFonts w:cs="Arial"/>
          <w:iCs/>
          <w:szCs w:val="24"/>
        </w:rPr>
        <w:t xml:space="preserve">these issues </w:t>
      </w:r>
      <w:r w:rsidR="00026025">
        <w:rPr>
          <w:rFonts w:cs="Arial"/>
          <w:iCs/>
          <w:szCs w:val="24"/>
        </w:rPr>
        <w:t>by clarifying</w:t>
      </w:r>
      <w:r w:rsidRPr="005B2827">
        <w:rPr>
          <w:rFonts w:cs="Arial"/>
          <w:iCs/>
          <w:szCs w:val="24"/>
        </w:rPr>
        <w:t xml:space="preserve"> that the term “office” only applies to specific positions with designated functions on the committee (such as President, Secretary</w:t>
      </w:r>
      <w:r w:rsidR="00026025">
        <w:rPr>
          <w:rFonts w:cs="Arial"/>
          <w:iCs/>
          <w:szCs w:val="24"/>
        </w:rPr>
        <w:t>, etc.</w:t>
      </w:r>
      <w:r w:rsidRPr="005B2827">
        <w:rPr>
          <w:rFonts w:cs="Arial"/>
          <w:iCs/>
          <w:szCs w:val="24"/>
        </w:rPr>
        <w:t xml:space="preserve">) and not ordinary committee members. It will also clarify that the term limit of three years runs from the date </w:t>
      </w:r>
      <w:r w:rsidR="00026025">
        <w:rPr>
          <w:rFonts w:cs="Arial"/>
          <w:iCs/>
          <w:szCs w:val="24"/>
        </w:rPr>
        <w:t xml:space="preserve">the office holder </w:t>
      </w:r>
      <w:r w:rsidRPr="005B2827">
        <w:rPr>
          <w:rFonts w:cs="Arial"/>
          <w:iCs/>
          <w:szCs w:val="24"/>
        </w:rPr>
        <w:t>commenc</w:t>
      </w:r>
      <w:r w:rsidR="00026025">
        <w:rPr>
          <w:rFonts w:cs="Arial"/>
          <w:iCs/>
          <w:szCs w:val="24"/>
        </w:rPr>
        <w:t xml:space="preserve">es </w:t>
      </w:r>
      <w:r w:rsidRPr="005B2827">
        <w:rPr>
          <w:rFonts w:cs="Arial"/>
          <w:iCs/>
          <w:szCs w:val="24"/>
        </w:rPr>
        <w:t>in the</w:t>
      </w:r>
      <w:r w:rsidR="00026025">
        <w:rPr>
          <w:rFonts w:cs="Arial"/>
          <w:iCs/>
          <w:szCs w:val="24"/>
        </w:rPr>
        <w:t>ir</w:t>
      </w:r>
      <w:r w:rsidRPr="005B2827">
        <w:rPr>
          <w:rFonts w:cs="Arial"/>
          <w:iCs/>
          <w:szCs w:val="24"/>
        </w:rPr>
        <w:t xml:space="preserve"> position (and not on a calendar year basis).</w:t>
      </w:r>
    </w:p>
    <w:p w14:paraId="7A2DC4D4" w14:textId="77777777" w:rsidR="00956BD7" w:rsidRPr="00486C06" w:rsidRDefault="28EB0095" w:rsidP="00486C06">
      <w:pPr>
        <w:pStyle w:val="Heading2"/>
        <w:spacing w:line="276" w:lineRule="auto"/>
        <w:jc w:val="both"/>
        <w:rPr>
          <w:rFonts w:cs="Arial"/>
        </w:rPr>
      </w:pPr>
      <w:bookmarkStart w:id="1" w:name="OLE_LINK1"/>
      <w:r w:rsidRPr="00486C06">
        <w:rPr>
          <w:rFonts w:cs="Arial"/>
        </w:rPr>
        <w:t>CONSISTENCY WITH HUMAN RIGHTS</w:t>
      </w:r>
    </w:p>
    <w:p w14:paraId="5FD021D6" w14:textId="37432BE3" w:rsidR="00F36F35" w:rsidRDefault="00F36F35" w:rsidP="00486C06">
      <w:pPr>
        <w:rPr>
          <w:b/>
          <w:bCs/>
        </w:rPr>
      </w:pPr>
      <w:r w:rsidRPr="00F36F35">
        <w:rPr>
          <w:b/>
          <w:bCs/>
        </w:rPr>
        <w:t>Rights Engaged</w:t>
      </w:r>
    </w:p>
    <w:p w14:paraId="2F925C02" w14:textId="0BDC1C5B" w:rsidR="00F36F35" w:rsidRDefault="00F36F35" w:rsidP="007E59D8">
      <w:pPr>
        <w:spacing w:after="120"/>
      </w:pPr>
      <w:r>
        <w:t xml:space="preserve">The Bill engages the following sections of the </w:t>
      </w:r>
      <w:r w:rsidRPr="00B05F4F">
        <w:rPr>
          <w:i/>
          <w:iCs/>
        </w:rPr>
        <w:t xml:space="preserve">Human Rights Act 2004 </w:t>
      </w:r>
      <w:r w:rsidRPr="00172563">
        <w:rPr>
          <w:b/>
          <w:bCs/>
        </w:rPr>
        <w:t>(HRA</w:t>
      </w:r>
      <w:r>
        <w:rPr>
          <w:b/>
          <w:bCs/>
        </w:rPr>
        <w:t>)</w:t>
      </w:r>
      <w:r>
        <w:t>:</w:t>
      </w:r>
    </w:p>
    <w:p w14:paraId="731C8B29" w14:textId="2695EE7A" w:rsidR="00F36F35" w:rsidRPr="00A16530" w:rsidRDefault="00F36F35" w:rsidP="007E59D8">
      <w:pPr>
        <w:pStyle w:val="ListParagraph"/>
        <w:numPr>
          <w:ilvl w:val="0"/>
          <w:numId w:val="34"/>
        </w:numPr>
        <w:spacing w:after="120" w:line="276" w:lineRule="auto"/>
      </w:pPr>
      <w:r>
        <w:t xml:space="preserve">Section 8 – right to equality and non-discrimination </w:t>
      </w:r>
      <w:r>
        <w:rPr>
          <w:i/>
          <w:iCs/>
        </w:rPr>
        <w:t>(promoted)</w:t>
      </w:r>
    </w:p>
    <w:p w14:paraId="190A2CE1" w14:textId="11608E2A" w:rsidR="00A16530" w:rsidRPr="00F36F35" w:rsidRDefault="00A16530" w:rsidP="007E59D8">
      <w:pPr>
        <w:pStyle w:val="ListParagraph"/>
        <w:numPr>
          <w:ilvl w:val="0"/>
          <w:numId w:val="34"/>
        </w:numPr>
        <w:spacing w:after="120" w:line="276" w:lineRule="auto"/>
      </w:pPr>
      <w:r>
        <w:t xml:space="preserve">Section 12 – right to privacy </w:t>
      </w:r>
      <w:r>
        <w:rPr>
          <w:i/>
          <w:iCs/>
        </w:rPr>
        <w:t>(limited)</w:t>
      </w:r>
    </w:p>
    <w:p w14:paraId="2F80F219" w14:textId="7865C3FC" w:rsidR="00F36F35" w:rsidRDefault="00F36F35" w:rsidP="007E59D8">
      <w:pPr>
        <w:pStyle w:val="ListParagraph"/>
        <w:numPr>
          <w:ilvl w:val="0"/>
          <w:numId w:val="34"/>
        </w:numPr>
        <w:spacing w:after="120" w:line="276" w:lineRule="auto"/>
      </w:pPr>
      <w:r>
        <w:t>Section 16 – right to freedom of expression (</w:t>
      </w:r>
      <w:r>
        <w:rPr>
          <w:i/>
          <w:iCs/>
        </w:rPr>
        <w:t>promoted)</w:t>
      </w:r>
    </w:p>
    <w:p w14:paraId="03D3C395" w14:textId="72796424" w:rsidR="00F36F35" w:rsidRPr="00F36F35" w:rsidRDefault="00F36F35" w:rsidP="007E59D8">
      <w:pPr>
        <w:pStyle w:val="ListParagraph"/>
        <w:numPr>
          <w:ilvl w:val="0"/>
          <w:numId w:val="34"/>
        </w:numPr>
        <w:spacing w:after="120" w:line="276" w:lineRule="auto"/>
      </w:pPr>
      <w:r>
        <w:t>Section 21 – right to a fair trial</w:t>
      </w:r>
      <w:r w:rsidRPr="00F36F35">
        <w:rPr>
          <w:i/>
          <w:iCs/>
        </w:rPr>
        <w:t xml:space="preserve"> (</w:t>
      </w:r>
      <w:r>
        <w:rPr>
          <w:i/>
          <w:iCs/>
        </w:rPr>
        <w:t>limited)</w:t>
      </w:r>
    </w:p>
    <w:p w14:paraId="4FEE12FA" w14:textId="426BE5AB" w:rsidR="00F36F35" w:rsidRPr="00BE3E10" w:rsidRDefault="00F36F35" w:rsidP="00E15D1B">
      <w:pPr>
        <w:pStyle w:val="ListParagraph"/>
        <w:numPr>
          <w:ilvl w:val="0"/>
          <w:numId w:val="34"/>
        </w:numPr>
        <w:spacing w:after="240" w:line="276" w:lineRule="auto"/>
        <w:ind w:left="714" w:hanging="357"/>
      </w:pPr>
      <w:r>
        <w:t xml:space="preserve">Section 22 – rights in criminal proceedings (right to presumption of innocence) </w:t>
      </w:r>
      <w:r>
        <w:rPr>
          <w:i/>
          <w:iCs/>
        </w:rPr>
        <w:t>(limited)</w:t>
      </w:r>
    </w:p>
    <w:p w14:paraId="6E2212EF" w14:textId="1C74F98A" w:rsidR="00F36F35" w:rsidRPr="00F36F35" w:rsidRDefault="00F36F35" w:rsidP="007E59D8">
      <w:pPr>
        <w:spacing w:after="120"/>
      </w:pPr>
      <w:r w:rsidRPr="25AABDD4">
        <w:rPr>
          <w:rFonts w:eastAsia="Arial" w:cs="Arial"/>
          <w:szCs w:val="24"/>
        </w:rPr>
        <w:t>The ways in which the Bill does this are set out below.</w:t>
      </w:r>
      <w:bookmarkEnd w:id="1"/>
    </w:p>
    <w:p w14:paraId="1C70F173" w14:textId="607B1D5B" w:rsidR="004A549C" w:rsidRPr="00172563" w:rsidRDefault="4C0E2BCF" w:rsidP="00486C06">
      <w:pPr>
        <w:pStyle w:val="Heading2"/>
        <w:spacing w:line="276" w:lineRule="auto"/>
        <w:rPr>
          <w:rFonts w:eastAsia="Times New Roman" w:cs="Arial"/>
          <w:bCs/>
          <w:i/>
          <w:iCs/>
        </w:rPr>
      </w:pPr>
      <w:r w:rsidRPr="1701E8FA">
        <w:rPr>
          <w:rFonts w:eastAsia="Times New Roman" w:cs="Arial"/>
          <w:bCs/>
          <w:i/>
          <w:iCs/>
        </w:rPr>
        <w:t>Rights promoted</w:t>
      </w:r>
    </w:p>
    <w:p w14:paraId="754F532C" w14:textId="44CD1E9F" w:rsidR="000D0253" w:rsidRDefault="00F36F35" w:rsidP="00486C06">
      <w:pPr>
        <w:spacing w:after="0"/>
      </w:pPr>
      <w:r>
        <w:t>In general, t</w:t>
      </w:r>
      <w:r w:rsidR="000D0253">
        <w:t xml:space="preserve">he amendments to the HRC Act promote all rights under the </w:t>
      </w:r>
      <w:r w:rsidR="000D0253" w:rsidRPr="00172563">
        <w:rPr>
          <w:b/>
          <w:bCs/>
        </w:rPr>
        <w:t>HRA</w:t>
      </w:r>
      <w:r w:rsidR="000D0253">
        <w:t xml:space="preserve"> by improving the HRC’s ability to deal with all types of complaints, including human rights complaints. </w:t>
      </w:r>
    </w:p>
    <w:p w14:paraId="6FAB04B4" w14:textId="77777777" w:rsidR="000D0253" w:rsidRDefault="000D0253" w:rsidP="00486C06">
      <w:pPr>
        <w:spacing w:after="0"/>
      </w:pPr>
    </w:p>
    <w:p w14:paraId="5A14CBD3" w14:textId="400F8182" w:rsidR="000D0253" w:rsidRDefault="000D0253" w:rsidP="00486C06">
      <w:pPr>
        <w:spacing w:after="0"/>
      </w:pPr>
      <w:r>
        <w:t xml:space="preserve">The Bill specifically promotes the right to equality and non-discrimination by allowing the HRC to resolve more complaints, including discrimination complaints, flexibly and informally. </w:t>
      </w:r>
      <w:r w:rsidR="00CD52F8">
        <w:t xml:space="preserve"> </w:t>
      </w:r>
    </w:p>
    <w:p w14:paraId="27F87875" w14:textId="77777777" w:rsidR="00480E72" w:rsidRDefault="00480E72" w:rsidP="00486C06">
      <w:pPr>
        <w:spacing w:after="0"/>
      </w:pPr>
    </w:p>
    <w:p w14:paraId="4E6FC0E7" w14:textId="465C21AF" w:rsidR="00480E72" w:rsidRDefault="00480E72" w:rsidP="00486C06">
      <w:pPr>
        <w:spacing w:after="0"/>
      </w:pPr>
      <w:r>
        <w:t xml:space="preserve">The amendments to the OV Act promote the right to freedom of expression by providing protection from civil or criminal liability to a person who makes a complaint to an OV. This statutory protection reflects the strong public interest in ensuring that members of the community feel confident to share information with statutory bodies that investigate complaints or provide support to vulnerable members of the community. </w:t>
      </w:r>
    </w:p>
    <w:p w14:paraId="1F5ABF69" w14:textId="77777777" w:rsidR="000D0253" w:rsidRDefault="000D0253" w:rsidP="00486C06">
      <w:pPr>
        <w:spacing w:after="0"/>
      </w:pPr>
    </w:p>
    <w:p w14:paraId="13BC1E11" w14:textId="4FF5FA43" w:rsidR="1F696F59" w:rsidRDefault="1F696F59" w:rsidP="00486C06">
      <w:r w:rsidRPr="25AABDD4">
        <w:rPr>
          <w:rFonts w:eastAsia="Arial" w:cs="Arial"/>
          <w:b/>
          <w:bCs/>
          <w:i/>
          <w:iCs/>
          <w:szCs w:val="24"/>
        </w:rPr>
        <w:t>Rights limited</w:t>
      </w:r>
    </w:p>
    <w:p w14:paraId="012E7C0B" w14:textId="7C5CC2B3" w:rsidR="003D032B" w:rsidRDefault="1F696F59" w:rsidP="00486C06">
      <w:pPr>
        <w:spacing w:after="0"/>
        <w:ind w:left="-30" w:right="-30"/>
        <w:rPr>
          <w:rFonts w:eastAsia="Arial" w:cs="Arial"/>
          <w:szCs w:val="24"/>
        </w:rPr>
      </w:pPr>
      <w:r w:rsidRPr="25AABDD4">
        <w:rPr>
          <w:rFonts w:eastAsia="Arial" w:cs="Arial"/>
          <w:szCs w:val="24"/>
        </w:rPr>
        <w:t>The preamble to the</w:t>
      </w:r>
      <w:r w:rsidR="008B5CF0">
        <w:rPr>
          <w:rFonts w:eastAsia="Arial" w:cs="Arial"/>
          <w:szCs w:val="24"/>
        </w:rPr>
        <w:t xml:space="preserve"> </w:t>
      </w:r>
      <w:r w:rsidRPr="25AABDD4">
        <w:rPr>
          <w:rFonts w:eastAsia="Arial" w:cs="Arial"/>
          <w:szCs w:val="24"/>
        </w:rPr>
        <w:t xml:space="preserve">HRA notes that few rights are absolute and that they may be subject to reasonable limits in law that can be demonstrably justified in a free and democratic society. </w:t>
      </w:r>
    </w:p>
    <w:p w14:paraId="71EE1E7D" w14:textId="77777777" w:rsidR="006F1451" w:rsidRDefault="006F1451" w:rsidP="00486C06">
      <w:pPr>
        <w:spacing w:after="0"/>
        <w:ind w:left="-30" w:right="-30"/>
        <w:rPr>
          <w:rFonts w:eastAsia="Arial" w:cs="Arial"/>
          <w:szCs w:val="24"/>
        </w:rPr>
      </w:pPr>
    </w:p>
    <w:p w14:paraId="3C617F11" w14:textId="5C248C7D" w:rsidR="1F696F59" w:rsidRDefault="1F696F59" w:rsidP="00486C06">
      <w:pPr>
        <w:spacing w:after="0"/>
        <w:ind w:left="-30" w:right="-30"/>
        <w:rPr>
          <w:rFonts w:eastAsia="Arial" w:cs="Arial"/>
          <w:szCs w:val="24"/>
        </w:rPr>
      </w:pPr>
      <w:r w:rsidRPr="25AABDD4">
        <w:rPr>
          <w:rFonts w:eastAsia="Arial" w:cs="Arial"/>
          <w:szCs w:val="24"/>
        </w:rPr>
        <w:t xml:space="preserve">Section 28 (2) of the HRA contains the framework that is used to determine the acceptable limitations that may be placed on human rights. </w:t>
      </w:r>
    </w:p>
    <w:p w14:paraId="1760B644" w14:textId="77777777" w:rsidR="008B5CF0" w:rsidRDefault="008B5CF0" w:rsidP="00486C06">
      <w:pPr>
        <w:spacing w:after="0"/>
        <w:ind w:left="-30" w:right="-30"/>
      </w:pPr>
    </w:p>
    <w:p w14:paraId="4B0AB27E" w14:textId="77777777" w:rsidR="006F1451" w:rsidRDefault="1F696F59" w:rsidP="00486C06">
      <w:pPr>
        <w:spacing w:after="0"/>
        <w:ind w:left="-30" w:right="-30"/>
        <w:rPr>
          <w:rFonts w:eastAsia="Arial" w:cs="Arial"/>
          <w:szCs w:val="24"/>
        </w:rPr>
      </w:pPr>
      <w:r w:rsidRPr="25AABDD4">
        <w:rPr>
          <w:rFonts w:eastAsia="Arial" w:cs="Arial"/>
          <w:szCs w:val="24"/>
        </w:rPr>
        <w:t xml:space="preserve">Section 28 of the HRA requires that any limitation on a human right be authorised by a Territory law, be based on evidence, and be reasonable to achieve a legitimate aim. Whether a limitation is reasonable depends on whether it is proportionate. </w:t>
      </w:r>
    </w:p>
    <w:p w14:paraId="4371DDF1" w14:textId="36039E15" w:rsidR="1F696F59" w:rsidRDefault="1F696F59" w:rsidP="00486C06">
      <w:pPr>
        <w:spacing w:after="0"/>
      </w:pPr>
      <w:r w:rsidRPr="25AABDD4">
        <w:rPr>
          <w:rFonts w:eastAsia="Arial" w:cs="Arial"/>
          <w:szCs w:val="24"/>
          <w:lang w:val="en-GB"/>
        </w:rPr>
        <w:t xml:space="preserve">  </w:t>
      </w:r>
    </w:p>
    <w:p w14:paraId="49E60BCD" w14:textId="09B80433" w:rsidR="1F696F59" w:rsidRDefault="1F696F59" w:rsidP="00486C06">
      <w:pPr>
        <w:spacing w:after="0"/>
        <w:rPr>
          <w:rFonts w:eastAsia="Arial" w:cs="Arial"/>
          <w:szCs w:val="24"/>
        </w:rPr>
      </w:pPr>
      <w:r w:rsidRPr="25AABDD4">
        <w:rPr>
          <w:rFonts w:eastAsia="Arial" w:cs="Arial"/>
          <w:szCs w:val="24"/>
          <w:u w:val="single"/>
        </w:rPr>
        <w:t xml:space="preserve">Right to </w:t>
      </w:r>
      <w:r w:rsidR="00F36F35">
        <w:rPr>
          <w:rFonts w:eastAsia="Arial" w:cs="Arial"/>
          <w:szCs w:val="24"/>
          <w:u w:val="single"/>
        </w:rPr>
        <w:t xml:space="preserve">a </w:t>
      </w:r>
      <w:r w:rsidR="002D61F0">
        <w:rPr>
          <w:rFonts w:eastAsia="Arial" w:cs="Arial"/>
          <w:szCs w:val="24"/>
          <w:u w:val="single"/>
        </w:rPr>
        <w:t>fair trial</w:t>
      </w:r>
      <w:r w:rsidR="00A16530">
        <w:rPr>
          <w:rFonts w:eastAsia="Arial" w:cs="Arial"/>
          <w:szCs w:val="24"/>
          <w:u w:val="single"/>
        </w:rPr>
        <w:t xml:space="preserve"> – amendments to the HRC Act</w:t>
      </w:r>
      <w:r>
        <w:br/>
      </w:r>
      <w:r w:rsidRPr="25AABDD4">
        <w:rPr>
          <w:rFonts w:eastAsia="Arial" w:cs="Arial"/>
          <w:szCs w:val="24"/>
        </w:rPr>
        <w:t xml:space="preserve"> </w:t>
      </w:r>
    </w:p>
    <w:p w14:paraId="0F17D039" w14:textId="442442A3" w:rsidR="1F696F59" w:rsidRDefault="1F696F59" w:rsidP="007E59D8">
      <w:pPr>
        <w:pStyle w:val="ListParagraph"/>
        <w:numPr>
          <w:ilvl w:val="0"/>
          <w:numId w:val="17"/>
        </w:numPr>
        <w:spacing w:line="276" w:lineRule="auto"/>
        <w:ind w:left="709"/>
        <w:rPr>
          <w:rFonts w:eastAsia="Arial" w:cs="Arial"/>
          <w:szCs w:val="24"/>
        </w:rPr>
      </w:pPr>
      <w:r w:rsidRPr="25AABDD4">
        <w:rPr>
          <w:rFonts w:eastAsia="Arial" w:cs="Arial"/>
          <w:i/>
          <w:iCs/>
          <w:szCs w:val="24"/>
        </w:rPr>
        <w:t>Nature of the right and the limitation (section 28 (a) and (c))</w:t>
      </w:r>
      <w:r w:rsidRPr="25AABDD4">
        <w:rPr>
          <w:rFonts w:eastAsia="Arial" w:cs="Arial"/>
          <w:szCs w:val="24"/>
        </w:rPr>
        <w:t xml:space="preserve"> </w:t>
      </w:r>
    </w:p>
    <w:p w14:paraId="5A0A6E21" w14:textId="0AC8B0C4" w:rsidR="1F696F59" w:rsidRDefault="1F696F59" w:rsidP="00486C06">
      <w:pPr>
        <w:spacing w:after="0"/>
        <w:rPr>
          <w:rFonts w:eastAsia="Arial" w:cs="Arial"/>
          <w:szCs w:val="24"/>
          <w:lang w:val="en-GB"/>
        </w:rPr>
      </w:pPr>
    </w:p>
    <w:p w14:paraId="2A051A3B" w14:textId="387259A1" w:rsidR="00CD52F8" w:rsidRDefault="00CD52F8" w:rsidP="00486C06">
      <w:pPr>
        <w:spacing w:after="0"/>
        <w:rPr>
          <w:rFonts w:eastAsia="Arial" w:cs="Arial"/>
          <w:szCs w:val="24"/>
          <w:lang w:val="en-GB"/>
        </w:rPr>
      </w:pPr>
      <w:r>
        <w:rPr>
          <w:rFonts w:eastAsia="Arial" w:cs="Arial"/>
          <w:szCs w:val="24"/>
          <w:lang w:val="en-GB"/>
        </w:rPr>
        <w:t xml:space="preserve">Under section 21 of the HRA, everyone has the right to have criminal charges, and rights and obligations recognised by law, decided by a competent, independent and impartial court or tribunal after a fair and public hearing. This includes civil proceedings, such as complaints made under the HRC Act referred to ACAT for determination. </w:t>
      </w:r>
    </w:p>
    <w:p w14:paraId="20A05B12" w14:textId="77777777" w:rsidR="00CD52F8" w:rsidRDefault="00CD52F8" w:rsidP="00486C06">
      <w:pPr>
        <w:spacing w:after="0"/>
        <w:rPr>
          <w:rFonts w:eastAsia="Arial" w:cs="Arial"/>
          <w:szCs w:val="24"/>
          <w:lang w:val="en-GB"/>
        </w:rPr>
      </w:pPr>
    </w:p>
    <w:p w14:paraId="244F4823" w14:textId="77777777" w:rsidR="00FC4D19" w:rsidRDefault="00CD52F8" w:rsidP="007E59D8">
      <w:pPr>
        <w:keepNext/>
        <w:spacing w:after="0"/>
        <w:rPr>
          <w:rFonts w:eastAsia="Arial" w:cs="Arial"/>
          <w:szCs w:val="24"/>
          <w:lang w:val="en-GB"/>
        </w:rPr>
      </w:pPr>
      <w:r>
        <w:rPr>
          <w:rFonts w:eastAsia="Arial" w:cs="Arial"/>
          <w:szCs w:val="24"/>
          <w:lang w:val="en-GB"/>
        </w:rPr>
        <w:t xml:space="preserve">The proposed amendments </w:t>
      </w:r>
      <w:r w:rsidR="00A16530">
        <w:rPr>
          <w:rFonts w:eastAsia="Arial" w:cs="Arial"/>
          <w:szCs w:val="24"/>
          <w:lang w:val="en-GB"/>
        </w:rPr>
        <w:t xml:space="preserve">to the HRC Act </w:t>
      </w:r>
      <w:r>
        <w:rPr>
          <w:rFonts w:eastAsia="Arial" w:cs="Arial"/>
          <w:szCs w:val="24"/>
          <w:lang w:val="en-GB"/>
        </w:rPr>
        <w:t xml:space="preserve">may limit the right to a fair trial by </w:t>
      </w:r>
      <w:r w:rsidR="00027DCC">
        <w:rPr>
          <w:rFonts w:eastAsia="Arial" w:cs="Arial"/>
          <w:szCs w:val="24"/>
          <w:lang w:val="en-GB"/>
        </w:rPr>
        <w:t xml:space="preserve">removing the requirement for the HRC to include a referral statement </w:t>
      </w:r>
      <w:r w:rsidR="002D3C9D">
        <w:rPr>
          <w:rFonts w:eastAsia="Arial" w:cs="Arial"/>
          <w:szCs w:val="24"/>
          <w:lang w:val="en-GB"/>
        </w:rPr>
        <w:t xml:space="preserve">with a final report </w:t>
      </w:r>
      <w:r w:rsidR="00027DCC">
        <w:rPr>
          <w:rFonts w:eastAsia="Arial" w:cs="Arial"/>
          <w:szCs w:val="24"/>
          <w:lang w:val="en-GB"/>
        </w:rPr>
        <w:t>where</w:t>
      </w:r>
      <w:r w:rsidR="00FC4D19">
        <w:rPr>
          <w:rFonts w:eastAsia="Arial" w:cs="Arial"/>
          <w:szCs w:val="24"/>
          <w:lang w:val="en-GB"/>
        </w:rPr>
        <w:t>:</w:t>
      </w:r>
      <w:r w:rsidR="00027DCC">
        <w:rPr>
          <w:rFonts w:eastAsia="Arial" w:cs="Arial"/>
          <w:szCs w:val="24"/>
          <w:lang w:val="en-GB"/>
        </w:rPr>
        <w:t xml:space="preserve"> </w:t>
      </w:r>
    </w:p>
    <w:p w14:paraId="12CC72E9" w14:textId="08EBCD8B" w:rsidR="00FC4D19" w:rsidRPr="00486C06" w:rsidRDefault="00027DCC" w:rsidP="007E59D8">
      <w:pPr>
        <w:pStyle w:val="ListParagraph"/>
        <w:keepNext/>
        <w:numPr>
          <w:ilvl w:val="0"/>
          <w:numId w:val="39"/>
        </w:numPr>
        <w:spacing w:after="120" w:line="276" w:lineRule="auto"/>
        <w:ind w:left="714" w:hanging="357"/>
      </w:pPr>
      <w:r w:rsidRPr="00FC4D19">
        <w:rPr>
          <w:rFonts w:eastAsia="Arial" w:cs="Arial"/>
          <w:szCs w:val="24"/>
          <w:lang w:val="en-GB"/>
        </w:rPr>
        <w:t>agreement has been reached to resolve the complaint without a formal conciliation agreement</w:t>
      </w:r>
      <w:r w:rsidR="00FC4D19">
        <w:rPr>
          <w:rFonts w:eastAsia="Arial" w:cs="Arial"/>
          <w:szCs w:val="24"/>
          <w:lang w:val="en-GB"/>
        </w:rPr>
        <w:t>,</w:t>
      </w:r>
      <w:r w:rsidRPr="00FC4D19">
        <w:rPr>
          <w:rFonts w:eastAsia="Arial" w:cs="Arial"/>
          <w:szCs w:val="24"/>
          <w:lang w:val="en-GB"/>
        </w:rPr>
        <w:t xml:space="preserve"> or</w:t>
      </w:r>
    </w:p>
    <w:p w14:paraId="0C340D33" w14:textId="77777777" w:rsidR="00FC4D19" w:rsidRPr="00FC4D19" w:rsidRDefault="00027DCC" w:rsidP="00E15D1B">
      <w:pPr>
        <w:pStyle w:val="ListParagraph"/>
        <w:keepNext/>
        <w:numPr>
          <w:ilvl w:val="0"/>
          <w:numId w:val="39"/>
        </w:numPr>
        <w:spacing w:after="240" w:line="276" w:lineRule="auto"/>
        <w:ind w:left="714" w:hanging="357"/>
      </w:pPr>
      <w:r w:rsidRPr="00FC4D19">
        <w:rPr>
          <w:rFonts w:eastAsia="Arial" w:cs="Arial"/>
          <w:szCs w:val="24"/>
          <w:lang w:val="en-GB"/>
        </w:rPr>
        <w:t xml:space="preserve">the complainant has lost contact with the Commission. </w:t>
      </w:r>
    </w:p>
    <w:p w14:paraId="1FF6BF95" w14:textId="2DA3969A" w:rsidR="00CD52F8" w:rsidRDefault="00027DCC" w:rsidP="00486C06">
      <w:r w:rsidRPr="00FC4D19">
        <w:rPr>
          <w:rFonts w:eastAsia="Arial" w:cs="Arial"/>
          <w:szCs w:val="24"/>
          <w:lang w:val="en-GB"/>
        </w:rPr>
        <w:t xml:space="preserve">In these circumstances, the complainant will not have the opportunity to request that the complaint be referred to ACAT for a determination after a fair and public hearing.  </w:t>
      </w:r>
    </w:p>
    <w:p w14:paraId="15A9DE76" w14:textId="29988119" w:rsidR="1F696F59" w:rsidRDefault="1F696F59" w:rsidP="00486C06">
      <w:pPr>
        <w:spacing w:after="0"/>
      </w:pPr>
    </w:p>
    <w:p w14:paraId="562027DA" w14:textId="5BCE6F13" w:rsidR="1F696F59" w:rsidRDefault="1F696F59" w:rsidP="007E59D8">
      <w:pPr>
        <w:pStyle w:val="ListParagraph"/>
        <w:numPr>
          <w:ilvl w:val="0"/>
          <w:numId w:val="16"/>
        </w:numPr>
        <w:spacing w:line="276" w:lineRule="auto"/>
        <w:ind w:left="709"/>
        <w:rPr>
          <w:rFonts w:eastAsia="Arial" w:cs="Arial"/>
          <w:szCs w:val="24"/>
        </w:rPr>
      </w:pPr>
      <w:r w:rsidRPr="25AABDD4">
        <w:rPr>
          <w:rFonts w:eastAsia="Arial" w:cs="Arial"/>
          <w:i/>
          <w:iCs/>
          <w:szCs w:val="24"/>
        </w:rPr>
        <w:t>Legitimate purpose (section 28 (b))</w:t>
      </w:r>
      <w:r w:rsidRPr="25AABDD4">
        <w:rPr>
          <w:rFonts w:eastAsia="Arial" w:cs="Arial"/>
          <w:szCs w:val="24"/>
        </w:rPr>
        <w:t xml:space="preserve"> </w:t>
      </w:r>
    </w:p>
    <w:p w14:paraId="4E8AC22B" w14:textId="40660A40" w:rsidR="1F696F59" w:rsidRDefault="1F696F59" w:rsidP="00486C06">
      <w:pPr>
        <w:spacing w:after="0"/>
        <w:ind w:right="-30"/>
      </w:pPr>
      <w:r w:rsidRPr="25AABDD4">
        <w:rPr>
          <w:rFonts w:eastAsia="Arial" w:cs="Arial"/>
          <w:szCs w:val="24"/>
          <w:lang w:val="en-GB"/>
        </w:rPr>
        <w:t xml:space="preserve"> </w:t>
      </w:r>
    </w:p>
    <w:p w14:paraId="157C75ED" w14:textId="454DE0FA" w:rsidR="00027DCC" w:rsidRDefault="00027DCC" w:rsidP="00486C06">
      <w:pPr>
        <w:spacing w:after="0"/>
      </w:pPr>
      <w:r>
        <w:t>The purpose of the amendment is to provide more certainty to parties, including respondents, that a matter has been finalised through the Commission’s complaints</w:t>
      </w:r>
      <w:r w:rsidR="00FC4D19">
        <w:noBreakHyphen/>
      </w:r>
      <w:r>
        <w:t>handling function and that a complainant may not suddenly make an application to ACAT to revisit the issues that were understood to be resolved</w:t>
      </w:r>
      <w:r w:rsidR="00997157">
        <w:t>, or to re-enliven the complaint after they had disengaged with the Commission</w:t>
      </w:r>
    </w:p>
    <w:p w14:paraId="099ADEDE" w14:textId="0EDA56F3" w:rsidR="00027DCC" w:rsidRDefault="00027DCC" w:rsidP="00486C06">
      <w:pPr>
        <w:spacing w:after="0"/>
      </w:pPr>
    </w:p>
    <w:p w14:paraId="504AE9CA" w14:textId="62745F9A" w:rsidR="1F696F59" w:rsidRDefault="1F696F59" w:rsidP="00F41F82">
      <w:pPr>
        <w:pStyle w:val="ListParagraph"/>
        <w:keepNext/>
        <w:numPr>
          <w:ilvl w:val="0"/>
          <w:numId w:val="15"/>
        </w:numPr>
        <w:spacing w:line="276" w:lineRule="auto"/>
        <w:ind w:left="709"/>
        <w:rPr>
          <w:rFonts w:eastAsia="Arial" w:cs="Arial"/>
          <w:szCs w:val="24"/>
        </w:rPr>
      </w:pPr>
      <w:r w:rsidRPr="25AABDD4">
        <w:rPr>
          <w:rFonts w:eastAsia="Arial" w:cs="Arial"/>
          <w:i/>
          <w:iCs/>
          <w:szCs w:val="24"/>
        </w:rPr>
        <w:t>Rational connection between the limitation and the purpose (section 28 (d))</w:t>
      </w:r>
      <w:r w:rsidRPr="25AABDD4">
        <w:rPr>
          <w:rFonts w:eastAsia="Arial" w:cs="Arial"/>
          <w:szCs w:val="24"/>
        </w:rPr>
        <w:t xml:space="preserve"> </w:t>
      </w:r>
    </w:p>
    <w:p w14:paraId="26922B91" w14:textId="77777777" w:rsidR="002D3C9D" w:rsidRDefault="002D3C9D" w:rsidP="00486C06">
      <w:pPr>
        <w:keepNext/>
        <w:rPr>
          <w:rFonts w:eastAsia="Arial" w:cs="Arial"/>
          <w:szCs w:val="24"/>
        </w:rPr>
      </w:pPr>
    </w:p>
    <w:p w14:paraId="1D3778BD" w14:textId="4D3F082B" w:rsidR="1F696F59" w:rsidRPr="00E2769F" w:rsidRDefault="002D3C9D" w:rsidP="00486C06">
      <w:pPr>
        <w:rPr>
          <w:rFonts w:eastAsia="Arial" w:cs="Arial"/>
          <w:szCs w:val="24"/>
        </w:rPr>
      </w:pPr>
      <w:r>
        <w:rPr>
          <w:rFonts w:eastAsia="Arial" w:cs="Arial"/>
          <w:szCs w:val="24"/>
        </w:rPr>
        <w:t>By no longer requiring a referral statement to be included in a final report where the complaint has otherwise been resolve</w:t>
      </w:r>
      <w:r w:rsidR="00E6549E">
        <w:rPr>
          <w:rFonts w:eastAsia="Arial" w:cs="Arial"/>
          <w:szCs w:val="24"/>
        </w:rPr>
        <w:t>d</w:t>
      </w:r>
      <w:r>
        <w:rPr>
          <w:rFonts w:eastAsia="Arial" w:cs="Arial"/>
          <w:szCs w:val="24"/>
        </w:rPr>
        <w:t xml:space="preserve"> or the complainant has lost contact with the Commission, there is no ability for that complainant to</w:t>
      </w:r>
      <w:r w:rsidR="007E59D8">
        <w:rPr>
          <w:rFonts w:eastAsia="Arial" w:cs="Arial"/>
          <w:szCs w:val="24"/>
        </w:rPr>
        <w:t xml:space="preserve"> </w:t>
      </w:r>
      <w:r>
        <w:rPr>
          <w:rFonts w:eastAsia="Arial" w:cs="Arial"/>
          <w:szCs w:val="24"/>
        </w:rPr>
        <w:t>make an application to ACAT to re-enliven the complaint. This means that where the Commission has issued a final report, the matter will be closed</w:t>
      </w:r>
      <w:r w:rsidR="00E6549E">
        <w:rPr>
          <w:rFonts w:eastAsia="Arial" w:cs="Arial"/>
          <w:szCs w:val="24"/>
        </w:rPr>
        <w:t>,</w:t>
      </w:r>
      <w:r>
        <w:rPr>
          <w:rFonts w:eastAsia="Arial" w:cs="Arial"/>
          <w:szCs w:val="24"/>
        </w:rPr>
        <w:t xml:space="preserve"> and the respondent can be confident that tribunal proceedings will not be commenced without warning. </w:t>
      </w:r>
    </w:p>
    <w:p w14:paraId="49901430" w14:textId="7D36B8C9" w:rsidR="002D3C9D" w:rsidRPr="00E2769F" w:rsidRDefault="71505A4E" w:rsidP="007E59D8">
      <w:pPr>
        <w:pStyle w:val="ListParagraph"/>
        <w:numPr>
          <w:ilvl w:val="0"/>
          <w:numId w:val="14"/>
        </w:numPr>
        <w:spacing w:line="276" w:lineRule="auto"/>
        <w:ind w:left="709"/>
        <w:rPr>
          <w:rFonts w:eastAsia="Arial" w:cs="Arial"/>
          <w:szCs w:val="24"/>
        </w:rPr>
      </w:pPr>
      <w:r w:rsidRPr="3FA559F0">
        <w:rPr>
          <w:rFonts w:eastAsia="Arial" w:cs="Arial"/>
          <w:i/>
          <w:iCs/>
        </w:rPr>
        <w:t>Proportionality (section 28 (e))</w:t>
      </w:r>
      <w:r w:rsidRPr="3FA559F0">
        <w:rPr>
          <w:rFonts w:eastAsia="Arial" w:cs="Arial"/>
        </w:rPr>
        <w:t xml:space="preserve"> </w:t>
      </w:r>
      <w:r w:rsidR="00E2769F">
        <w:rPr>
          <w:rFonts w:eastAsia="Arial" w:cs="Arial"/>
        </w:rPr>
        <w:br/>
      </w:r>
    </w:p>
    <w:p w14:paraId="77F755D3" w14:textId="17D891A9" w:rsidR="00D31580" w:rsidRDefault="002D3C9D" w:rsidP="00486C06">
      <w:pPr>
        <w:rPr>
          <w:rFonts w:eastAsia="Arial" w:cs="Arial"/>
          <w:szCs w:val="24"/>
        </w:rPr>
      </w:pPr>
      <w:r>
        <w:rPr>
          <w:rFonts w:eastAsia="Arial" w:cs="Arial"/>
          <w:szCs w:val="24"/>
        </w:rPr>
        <w:t>The limitation is minor and will only impact a small group of complainants</w:t>
      </w:r>
      <w:r w:rsidR="00D31580">
        <w:rPr>
          <w:rFonts w:eastAsia="Arial" w:cs="Arial"/>
          <w:szCs w:val="24"/>
        </w:rPr>
        <w:t xml:space="preserve"> in</w:t>
      </w:r>
      <w:r w:rsidR="00D31580" w:rsidRPr="00D31580">
        <w:rPr>
          <w:rFonts w:eastAsia="Arial" w:cs="Arial"/>
          <w:szCs w:val="24"/>
        </w:rPr>
        <w:t xml:space="preserve"> discrimination, retirement village, occupancy dispute or conversion practice complaint</w:t>
      </w:r>
      <w:r w:rsidR="00D31580">
        <w:rPr>
          <w:rFonts w:eastAsia="Arial" w:cs="Arial"/>
          <w:szCs w:val="24"/>
        </w:rPr>
        <w:t>s</w:t>
      </w:r>
      <w:r>
        <w:rPr>
          <w:rFonts w:eastAsia="Arial" w:cs="Arial"/>
          <w:szCs w:val="24"/>
        </w:rPr>
        <w:t xml:space="preserve">: </w:t>
      </w:r>
    </w:p>
    <w:p w14:paraId="2C907B84" w14:textId="6CA718A7" w:rsidR="00D31580" w:rsidRDefault="002D3C9D" w:rsidP="007E59D8">
      <w:pPr>
        <w:pStyle w:val="ListParagraph"/>
        <w:numPr>
          <w:ilvl w:val="0"/>
          <w:numId w:val="40"/>
        </w:numPr>
        <w:spacing w:after="120" w:line="276" w:lineRule="auto"/>
        <w:ind w:left="714" w:hanging="357"/>
        <w:rPr>
          <w:rFonts w:eastAsia="Arial" w:cs="Arial"/>
          <w:szCs w:val="24"/>
        </w:rPr>
      </w:pPr>
      <w:r w:rsidRPr="00D31580">
        <w:rPr>
          <w:rFonts w:eastAsia="Arial" w:cs="Arial"/>
          <w:szCs w:val="24"/>
        </w:rPr>
        <w:t xml:space="preserve">those who have resolved </w:t>
      </w:r>
      <w:r w:rsidR="00D31580">
        <w:rPr>
          <w:rFonts w:eastAsia="Arial" w:cs="Arial"/>
          <w:szCs w:val="24"/>
        </w:rPr>
        <w:t xml:space="preserve">their </w:t>
      </w:r>
      <w:r w:rsidRPr="00D31580">
        <w:rPr>
          <w:rFonts w:eastAsia="Arial" w:cs="Arial"/>
          <w:szCs w:val="24"/>
        </w:rPr>
        <w:t>complaint informally without a conciliation agreement</w:t>
      </w:r>
      <w:r w:rsidR="00D31580">
        <w:rPr>
          <w:rFonts w:eastAsia="Arial" w:cs="Arial"/>
          <w:szCs w:val="24"/>
        </w:rPr>
        <w:t>,</w:t>
      </w:r>
      <w:r w:rsidRPr="00D31580">
        <w:rPr>
          <w:rFonts w:eastAsia="Arial" w:cs="Arial"/>
          <w:szCs w:val="24"/>
        </w:rPr>
        <w:t xml:space="preserve"> and </w:t>
      </w:r>
    </w:p>
    <w:p w14:paraId="705C6D16" w14:textId="642FA0BB" w:rsidR="002D3C9D" w:rsidRPr="00D31580" w:rsidRDefault="002D3C9D" w:rsidP="00E15D1B">
      <w:pPr>
        <w:pStyle w:val="ListParagraph"/>
        <w:numPr>
          <w:ilvl w:val="0"/>
          <w:numId w:val="40"/>
        </w:numPr>
        <w:spacing w:after="240" w:line="276" w:lineRule="auto"/>
        <w:ind w:left="714" w:hanging="357"/>
        <w:rPr>
          <w:rFonts w:eastAsia="Arial" w:cs="Arial"/>
          <w:szCs w:val="24"/>
        </w:rPr>
      </w:pPr>
      <w:r w:rsidRPr="00D31580">
        <w:rPr>
          <w:rFonts w:eastAsia="Arial" w:cs="Arial"/>
          <w:szCs w:val="24"/>
        </w:rPr>
        <w:t xml:space="preserve">those who have lost contact with the Commission </w:t>
      </w:r>
      <w:r w:rsidR="00253BEE" w:rsidRPr="00D31580">
        <w:rPr>
          <w:rFonts w:eastAsia="Arial" w:cs="Arial"/>
          <w:szCs w:val="24"/>
        </w:rPr>
        <w:t xml:space="preserve">in relation to </w:t>
      </w:r>
      <w:r w:rsidR="00D31580">
        <w:rPr>
          <w:rFonts w:eastAsia="Arial" w:cs="Arial"/>
          <w:szCs w:val="24"/>
        </w:rPr>
        <w:t>their complaint</w:t>
      </w:r>
      <w:r w:rsidR="00253BEE" w:rsidRPr="00D31580">
        <w:rPr>
          <w:rFonts w:eastAsia="Arial" w:cs="Arial"/>
          <w:szCs w:val="24"/>
        </w:rPr>
        <w:t xml:space="preserve"> </w:t>
      </w:r>
      <w:r w:rsidRPr="00D31580">
        <w:rPr>
          <w:rFonts w:eastAsia="Arial" w:cs="Arial"/>
          <w:szCs w:val="24"/>
        </w:rPr>
        <w:t xml:space="preserve">despite best efforts to engage them in the complaints process. </w:t>
      </w:r>
    </w:p>
    <w:p w14:paraId="39249D50" w14:textId="320A7383" w:rsidR="002D61F0" w:rsidRDefault="002D3C9D" w:rsidP="00486C06">
      <w:pPr>
        <w:rPr>
          <w:rFonts w:eastAsia="Arial" w:cs="Arial"/>
          <w:szCs w:val="24"/>
        </w:rPr>
      </w:pPr>
      <w:r>
        <w:rPr>
          <w:rFonts w:eastAsia="Arial" w:cs="Arial"/>
          <w:szCs w:val="24"/>
        </w:rPr>
        <w:t>Additionally, the HRC has discretion to reopen complaints under section 79 of the HRC Act</w:t>
      </w:r>
      <w:r w:rsidR="00253BEE">
        <w:rPr>
          <w:rFonts w:eastAsia="Arial" w:cs="Arial"/>
          <w:szCs w:val="24"/>
        </w:rPr>
        <w:t>. This means</w:t>
      </w:r>
      <w:r w:rsidR="00D31580">
        <w:rPr>
          <w:rFonts w:eastAsia="Arial" w:cs="Arial"/>
          <w:szCs w:val="24"/>
        </w:rPr>
        <w:t xml:space="preserve"> (for example)</w:t>
      </w:r>
      <w:r w:rsidR="00253BEE">
        <w:rPr>
          <w:rFonts w:eastAsia="Arial" w:cs="Arial"/>
          <w:szCs w:val="24"/>
        </w:rPr>
        <w:t xml:space="preserve"> that where a complainant who has lost contact with the Commission decides to re-engage with the complaints process, there is still a possibility to request the complaint be reopened and that the matter be referred to ACAT for determination. This power is an important safeguard to ensure that where there is new information or exceptional circumstances, the complainant may still exercise their right to fair trial in requesting a referral statement to ACAT for their matter.  </w:t>
      </w:r>
    </w:p>
    <w:p w14:paraId="211D318B" w14:textId="65DAB3E0" w:rsidR="00BF0EC3" w:rsidRDefault="00BF0EC3" w:rsidP="00E15D1B">
      <w:pPr>
        <w:keepNext/>
        <w:spacing w:after="0"/>
        <w:rPr>
          <w:rFonts w:eastAsia="Arial" w:cs="Arial"/>
          <w:szCs w:val="24"/>
          <w:u w:val="single"/>
        </w:rPr>
      </w:pPr>
      <w:r>
        <w:rPr>
          <w:rFonts w:eastAsia="Arial" w:cs="Arial"/>
          <w:szCs w:val="24"/>
          <w:u w:val="single"/>
        </w:rPr>
        <w:lastRenderedPageBreak/>
        <w:t>Right to privacy</w:t>
      </w:r>
      <w:r w:rsidR="00E2769F">
        <w:rPr>
          <w:rFonts w:eastAsia="Arial" w:cs="Arial"/>
          <w:szCs w:val="24"/>
          <w:u w:val="single"/>
        </w:rPr>
        <w:t xml:space="preserve"> –</w:t>
      </w:r>
      <w:r w:rsidR="00A16530">
        <w:rPr>
          <w:rFonts w:eastAsia="Arial" w:cs="Arial"/>
          <w:szCs w:val="24"/>
          <w:u w:val="single"/>
        </w:rPr>
        <w:t xml:space="preserve"> Amendments to the OV Act</w:t>
      </w:r>
    </w:p>
    <w:p w14:paraId="430326AE" w14:textId="77777777" w:rsidR="00BF0EC3" w:rsidRDefault="00BF0EC3" w:rsidP="00E15D1B">
      <w:pPr>
        <w:keepNext/>
        <w:spacing w:after="0"/>
        <w:rPr>
          <w:rFonts w:eastAsia="Arial" w:cs="Arial"/>
          <w:szCs w:val="24"/>
          <w:u w:val="single"/>
        </w:rPr>
      </w:pPr>
    </w:p>
    <w:p w14:paraId="78026EF8" w14:textId="77777777" w:rsidR="00BF0EC3" w:rsidRDefault="00BF0EC3" w:rsidP="00E15D1B">
      <w:pPr>
        <w:pStyle w:val="ListParagraph"/>
        <w:keepNext/>
        <w:numPr>
          <w:ilvl w:val="3"/>
          <w:numId w:val="15"/>
        </w:numPr>
        <w:spacing w:line="276" w:lineRule="auto"/>
        <w:ind w:left="709" w:hanging="283"/>
        <w:rPr>
          <w:rFonts w:eastAsia="Arial" w:cs="Arial"/>
          <w:szCs w:val="24"/>
        </w:rPr>
      </w:pPr>
      <w:r w:rsidRPr="002D61F0">
        <w:rPr>
          <w:rFonts w:eastAsia="Arial" w:cs="Arial"/>
          <w:i/>
          <w:iCs/>
          <w:szCs w:val="24"/>
        </w:rPr>
        <w:t>Nature of the right and the limitation (section 28 (a) and (c))</w:t>
      </w:r>
      <w:r w:rsidRPr="002D61F0">
        <w:rPr>
          <w:rFonts w:eastAsia="Arial" w:cs="Arial"/>
          <w:szCs w:val="24"/>
        </w:rPr>
        <w:t xml:space="preserve"> </w:t>
      </w:r>
    </w:p>
    <w:p w14:paraId="10681942" w14:textId="77777777" w:rsidR="00BF0EC3" w:rsidRDefault="00BF0EC3" w:rsidP="00E15D1B">
      <w:pPr>
        <w:keepNext/>
        <w:spacing w:after="0"/>
        <w:rPr>
          <w:rFonts w:eastAsia="Arial" w:cs="Arial"/>
          <w:szCs w:val="24"/>
        </w:rPr>
      </w:pPr>
    </w:p>
    <w:p w14:paraId="049DA184" w14:textId="13C0A066" w:rsidR="00BF0EC3" w:rsidRDefault="00BF0EC3" w:rsidP="00E15D1B">
      <w:pPr>
        <w:keepNext/>
        <w:spacing w:after="0"/>
        <w:rPr>
          <w:rFonts w:eastAsia="Arial" w:cs="Arial"/>
          <w:szCs w:val="24"/>
        </w:rPr>
      </w:pPr>
      <w:r>
        <w:rPr>
          <w:rFonts w:eastAsia="Arial" w:cs="Arial"/>
          <w:szCs w:val="24"/>
        </w:rPr>
        <w:t>Section 12 of the H</w:t>
      </w:r>
      <w:r w:rsidR="00A16530">
        <w:rPr>
          <w:rFonts w:eastAsia="Arial" w:cs="Arial"/>
          <w:szCs w:val="24"/>
        </w:rPr>
        <w:t>RA</w:t>
      </w:r>
      <w:r>
        <w:rPr>
          <w:rFonts w:eastAsia="Arial" w:cs="Arial"/>
          <w:szCs w:val="24"/>
        </w:rPr>
        <w:t xml:space="preserve"> protects individuals from unlawful or arbitrary interference with privacy. The right to privacy protects personal and confidential information from unlawful or arbitrary interference.</w:t>
      </w:r>
    </w:p>
    <w:p w14:paraId="0B5A82B7" w14:textId="77777777" w:rsidR="00BF0EC3" w:rsidRDefault="00BF0EC3" w:rsidP="00486C06">
      <w:pPr>
        <w:spacing w:after="0"/>
        <w:rPr>
          <w:rFonts w:eastAsia="Arial" w:cs="Arial"/>
          <w:szCs w:val="24"/>
        </w:rPr>
      </w:pPr>
    </w:p>
    <w:p w14:paraId="2E4A02B2" w14:textId="24992D9E" w:rsidR="00BF0EC3" w:rsidRDefault="00BF0EC3" w:rsidP="00486C06">
      <w:pPr>
        <w:spacing w:after="0"/>
        <w:rPr>
          <w:rFonts w:cs="Arial"/>
          <w:iCs/>
          <w:szCs w:val="24"/>
        </w:rPr>
      </w:pPr>
      <w:r>
        <w:rPr>
          <w:rFonts w:eastAsia="Arial" w:cs="Arial"/>
          <w:szCs w:val="24"/>
        </w:rPr>
        <w:t xml:space="preserve">The Bill may limit the right to privacy because </w:t>
      </w:r>
      <w:r w:rsidR="00D31580">
        <w:rPr>
          <w:rFonts w:eastAsia="Arial" w:cs="Arial"/>
          <w:szCs w:val="24"/>
        </w:rPr>
        <w:t xml:space="preserve">it </w:t>
      </w:r>
      <w:r>
        <w:rPr>
          <w:rFonts w:eastAsia="Arial" w:cs="Arial"/>
          <w:szCs w:val="24"/>
        </w:rPr>
        <w:t xml:space="preserve">inserts into the OV Act a provision that explicitly </w:t>
      </w:r>
      <w:r>
        <w:rPr>
          <w:rFonts w:cs="Arial"/>
          <w:iCs/>
          <w:szCs w:val="24"/>
        </w:rPr>
        <w:t>authorises the sharing of information between OVs. The new provision provides that an OV may give ‘official visitor information’ to another OV, and that the receiving OV may use the information. ‘Official visitor information’ means information disclosed to, or obtained by, an OV in the exercise of a function under the OV Act. This may include, for example, information disclosed to an OV by an entitled person as part of a complaint under the Act about aspects of their accommodation.</w:t>
      </w:r>
    </w:p>
    <w:p w14:paraId="282C54E2" w14:textId="77777777" w:rsidR="00BF0EC3" w:rsidRPr="00CA6F96" w:rsidRDefault="00BF0EC3" w:rsidP="00486C06">
      <w:pPr>
        <w:spacing w:after="0"/>
        <w:rPr>
          <w:rFonts w:cs="Arial"/>
          <w:iCs/>
          <w:szCs w:val="24"/>
        </w:rPr>
      </w:pPr>
    </w:p>
    <w:p w14:paraId="685633EA" w14:textId="77777777" w:rsidR="00BF0EC3" w:rsidRPr="00CA6F96" w:rsidRDefault="00BF0EC3" w:rsidP="009B57F1">
      <w:pPr>
        <w:pStyle w:val="ListParagraph"/>
        <w:keepNext/>
        <w:numPr>
          <w:ilvl w:val="3"/>
          <w:numId w:val="15"/>
        </w:numPr>
        <w:spacing w:line="276" w:lineRule="auto"/>
        <w:ind w:left="709" w:hanging="283"/>
        <w:rPr>
          <w:rFonts w:eastAsia="Arial" w:cs="Arial"/>
          <w:szCs w:val="24"/>
        </w:rPr>
      </w:pPr>
      <w:r w:rsidRPr="002D61F0">
        <w:rPr>
          <w:rFonts w:eastAsia="Arial" w:cs="Arial"/>
          <w:i/>
          <w:iCs/>
          <w:szCs w:val="24"/>
        </w:rPr>
        <w:t>Legitimate purpose (section 28 (b))</w:t>
      </w:r>
    </w:p>
    <w:p w14:paraId="4E127C43" w14:textId="77777777" w:rsidR="00BF0EC3" w:rsidRDefault="00BF0EC3" w:rsidP="00486C06">
      <w:pPr>
        <w:keepNext/>
        <w:spacing w:after="0"/>
        <w:rPr>
          <w:rFonts w:eastAsia="Arial" w:cs="Arial"/>
          <w:szCs w:val="24"/>
        </w:rPr>
      </w:pPr>
    </w:p>
    <w:p w14:paraId="3635F187" w14:textId="77777777" w:rsidR="00BF0EC3" w:rsidRDefault="00BF0EC3" w:rsidP="00486C06">
      <w:pPr>
        <w:keepNext/>
        <w:spacing w:after="0"/>
        <w:rPr>
          <w:rFonts w:eastAsia="Arial" w:cs="Arial"/>
          <w:szCs w:val="24"/>
        </w:rPr>
      </w:pPr>
      <w:r>
        <w:rPr>
          <w:rFonts w:eastAsia="Arial" w:cs="Arial"/>
          <w:szCs w:val="24"/>
        </w:rPr>
        <w:t>The purpose of this amendment is to better support effective cooperation between OVs to ensure they can exercise their statutory functions efficiently and without facing unnecessary information sharing barriers. The new information sharing provision will better support collaborative work between OVs, which is in the interests of entitled persons and systemic improvements in visitable places.</w:t>
      </w:r>
    </w:p>
    <w:p w14:paraId="5953B32C" w14:textId="77777777" w:rsidR="00BF0EC3" w:rsidRDefault="00BF0EC3" w:rsidP="00486C06">
      <w:pPr>
        <w:spacing w:after="0"/>
        <w:rPr>
          <w:rFonts w:eastAsia="Arial" w:cs="Arial"/>
          <w:szCs w:val="24"/>
        </w:rPr>
      </w:pPr>
    </w:p>
    <w:p w14:paraId="4E7FA40E" w14:textId="77777777" w:rsidR="00BF0EC3" w:rsidRPr="00CA6F96" w:rsidRDefault="00BF0EC3" w:rsidP="009B57F1">
      <w:pPr>
        <w:pStyle w:val="ListParagraph"/>
        <w:keepNext/>
        <w:numPr>
          <w:ilvl w:val="3"/>
          <w:numId w:val="15"/>
        </w:numPr>
        <w:spacing w:line="276" w:lineRule="auto"/>
        <w:ind w:left="709" w:hanging="283"/>
        <w:rPr>
          <w:rFonts w:eastAsia="Arial" w:cs="Arial"/>
          <w:szCs w:val="24"/>
        </w:rPr>
      </w:pPr>
      <w:r>
        <w:rPr>
          <w:rFonts w:eastAsia="Arial" w:cs="Arial"/>
          <w:i/>
          <w:iCs/>
          <w:szCs w:val="24"/>
        </w:rPr>
        <w:t>Rational connection between the limitation and the purpose (section 28(d))</w:t>
      </w:r>
    </w:p>
    <w:p w14:paraId="638ABB5A" w14:textId="77777777" w:rsidR="00BF0EC3" w:rsidRDefault="00BF0EC3" w:rsidP="00486C06">
      <w:pPr>
        <w:keepNext/>
        <w:spacing w:after="0"/>
        <w:rPr>
          <w:rFonts w:eastAsia="Arial" w:cs="Arial"/>
          <w:szCs w:val="24"/>
        </w:rPr>
      </w:pPr>
    </w:p>
    <w:p w14:paraId="62268026" w14:textId="09508A7F" w:rsidR="00BF0EC3" w:rsidRDefault="00BF0EC3" w:rsidP="00486C06">
      <w:pPr>
        <w:keepNext/>
        <w:spacing w:after="0"/>
        <w:rPr>
          <w:rFonts w:eastAsia="Arial" w:cs="Arial"/>
          <w:szCs w:val="24"/>
        </w:rPr>
      </w:pPr>
      <w:r>
        <w:rPr>
          <w:rFonts w:eastAsia="Arial" w:cs="Arial"/>
          <w:szCs w:val="24"/>
        </w:rPr>
        <w:t xml:space="preserve">There is a rational connection between the limitation and purpose because the amendment addresses a gap in the OV Act whereby there is no explicit authorisation for OVs to share information received in the course of their functions with other OVs. </w:t>
      </w:r>
    </w:p>
    <w:p w14:paraId="7A0F0AE4" w14:textId="5DD275A5" w:rsidR="00BF0EC3" w:rsidRDefault="00BF0EC3" w:rsidP="00486C06">
      <w:pPr>
        <w:spacing w:after="0"/>
        <w:rPr>
          <w:rFonts w:eastAsia="Arial" w:cs="Arial"/>
          <w:szCs w:val="24"/>
        </w:rPr>
      </w:pPr>
      <w:r>
        <w:rPr>
          <w:rFonts w:eastAsia="Arial" w:cs="Arial"/>
          <w:szCs w:val="24"/>
        </w:rPr>
        <w:t xml:space="preserve">Existing rules apply to the information that OVs handle. The IP Act contains Territory Privacy Principles that regulate the collection, use, disclosure and management of personal information by public </w:t>
      </w:r>
      <w:r w:rsidR="00D31580">
        <w:rPr>
          <w:rFonts w:eastAsia="Arial" w:cs="Arial"/>
          <w:szCs w:val="24"/>
        </w:rPr>
        <w:t>sector agencies</w:t>
      </w:r>
      <w:r>
        <w:rPr>
          <w:rFonts w:eastAsia="Arial" w:cs="Arial"/>
          <w:szCs w:val="24"/>
        </w:rPr>
        <w:t xml:space="preserve">. The </w:t>
      </w:r>
      <w:r>
        <w:rPr>
          <w:rFonts w:eastAsia="Arial" w:cs="Arial"/>
          <w:i/>
          <w:iCs/>
          <w:szCs w:val="24"/>
        </w:rPr>
        <w:t xml:space="preserve">Health Records (Privacy and Access) Act 1997 </w:t>
      </w:r>
      <w:r>
        <w:rPr>
          <w:rFonts w:eastAsia="Arial" w:cs="Arial"/>
          <w:szCs w:val="24"/>
        </w:rPr>
        <w:t>establishes a similar framework that regulates the handling of medical records and health information.</w:t>
      </w:r>
    </w:p>
    <w:p w14:paraId="511FEE75" w14:textId="77777777" w:rsidR="00BF0EC3" w:rsidRDefault="00BF0EC3" w:rsidP="00486C06">
      <w:pPr>
        <w:spacing w:after="0"/>
        <w:rPr>
          <w:rFonts w:eastAsia="Arial" w:cs="Arial"/>
          <w:szCs w:val="24"/>
        </w:rPr>
      </w:pPr>
    </w:p>
    <w:p w14:paraId="2E21CBE8" w14:textId="5C1E43BC" w:rsidR="00BF0EC3" w:rsidRDefault="00BF0EC3" w:rsidP="00486C06">
      <w:pPr>
        <w:spacing w:after="0"/>
        <w:rPr>
          <w:rFonts w:eastAsia="Arial" w:cs="Arial"/>
          <w:szCs w:val="24"/>
        </w:rPr>
      </w:pPr>
      <w:r>
        <w:rPr>
          <w:rFonts w:eastAsia="Arial" w:cs="Arial"/>
          <w:szCs w:val="24"/>
        </w:rPr>
        <w:t xml:space="preserve">While the disclosure rules in the IP Act would likely authorise OVs to share information in many circumstances, doing so requires OVs to undertake a </w:t>
      </w:r>
      <w:r w:rsidR="009B57F1">
        <w:rPr>
          <w:rFonts w:eastAsia="Arial" w:cs="Arial"/>
          <w:szCs w:val="24"/>
        </w:rPr>
        <w:t>case-by-case</w:t>
      </w:r>
      <w:r>
        <w:rPr>
          <w:rFonts w:eastAsia="Arial" w:cs="Arial"/>
          <w:szCs w:val="24"/>
        </w:rPr>
        <w:t xml:space="preserve"> assessment and may result in outlier cases where information cannot be shared. Inserting an explicit information sharing power will increase clarity and efficiency in the sharing of information between OVs, enabling OVs to more effectively fulfil their functions. </w:t>
      </w:r>
    </w:p>
    <w:p w14:paraId="5162D804" w14:textId="77777777" w:rsidR="00BF0EC3" w:rsidRPr="00887DA3" w:rsidRDefault="00BF0EC3" w:rsidP="00486C06">
      <w:pPr>
        <w:spacing w:after="0"/>
        <w:rPr>
          <w:rFonts w:eastAsia="Arial" w:cs="Arial"/>
          <w:szCs w:val="24"/>
        </w:rPr>
      </w:pPr>
    </w:p>
    <w:p w14:paraId="61985F84" w14:textId="77777777" w:rsidR="00BF0EC3" w:rsidRPr="00CA6F96" w:rsidRDefault="00BF0EC3" w:rsidP="00E15D1B">
      <w:pPr>
        <w:pStyle w:val="ListParagraph"/>
        <w:keepNext/>
        <w:numPr>
          <w:ilvl w:val="3"/>
          <w:numId w:val="15"/>
        </w:numPr>
        <w:spacing w:line="276" w:lineRule="auto"/>
        <w:ind w:left="851" w:hanging="426"/>
        <w:rPr>
          <w:rFonts w:eastAsia="Arial" w:cs="Arial"/>
          <w:szCs w:val="24"/>
        </w:rPr>
      </w:pPr>
      <w:r>
        <w:rPr>
          <w:rFonts w:eastAsia="Arial" w:cs="Arial"/>
          <w:i/>
          <w:iCs/>
          <w:szCs w:val="24"/>
        </w:rPr>
        <w:lastRenderedPageBreak/>
        <w:t>Proportionality (section 28(e))</w:t>
      </w:r>
    </w:p>
    <w:p w14:paraId="2D953BCC" w14:textId="77777777" w:rsidR="00BF0EC3" w:rsidRPr="00A52434" w:rsidRDefault="00BF0EC3" w:rsidP="00E15D1B">
      <w:pPr>
        <w:pStyle w:val="ListParagraph"/>
        <w:keepNext/>
        <w:spacing w:line="276" w:lineRule="auto"/>
        <w:ind w:left="426"/>
        <w:rPr>
          <w:rFonts w:eastAsia="Arial" w:cs="Arial"/>
          <w:szCs w:val="24"/>
        </w:rPr>
      </w:pPr>
    </w:p>
    <w:p w14:paraId="5123C9B7" w14:textId="4C5E0169" w:rsidR="00BF0EC3" w:rsidRDefault="00A16530" w:rsidP="00E15D1B">
      <w:pPr>
        <w:keepNext/>
        <w:spacing w:after="0"/>
        <w:rPr>
          <w:rFonts w:eastAsia="Arial" w:cs="Arial"/>
          <w:szCs w:val="24"/>
        </w:rPr>
      </w:pPr>
      <w:r>
        <w:rPr>
          <w:rFonts w:eastAsia="Arial" w:cs="Arial"/>
          <w:szCs w:val="24"/>
        </w:rPr>
        <w:t xml:space="preserve">Information sharing is </w:t>
      </w:r>
      <w:r w:rsidR="00BF0EC3">
        <w:rPr>
          <w:rFonts w:eastAsia="Arial" w:cs="Arial"/>
          <w:szCs w:val="24"/>
        </w:rPr>
        <w:t>necessary for the effective exercise of function</w:t>
      </w:r>
      <w:r>
        <w:rPr>
          <w:rFonts w:eastAsia="Arial" w:cs="Arial"/>
          <w:szCs w:val="24"/>
        </w:rPr>
        <w:t>s</w:t>
      </w:r>
      <w:r w:rsidR="00BF0EC3">
        <w:rPr>
          <w:rFonts w:eastAsia="Arial" w:cs="Arial"/>
          <w:szCs w:val="24"/>
        </w:rPr>
        <w:t xml:space="preserve"> under the OV Act</w:t>
      </w:r>
      <w:r>
        <w:rPr>
          <w:rFonts w:eastAsia="Arial" w:cs="Arial"/>
          <w:szCs w:val="24"/>
        </w:rPr>
        <w:t xml:space="preserve">. The pre-existing framework in the OV Act allows for the collection of information so that </w:t>
      </w:r>
      <w:r w:rsidR="00D31580">
        <w:rPr>
          <w:rFonts w:eastAsia="Arial" w:cs="Arial"/>
          <w:szCs w:val="24"/>
        </w:rPr>
        <w:t xml:space="preserve">complaints can be </w:t>
      </w:r>
      <w:r w:rsidR="009B57F1">
        <w:rPr>
          <w:rFonts w:eastAsia="Arial" w:cs="Arial"/>
          <w:szCs w:val="24"/>
        </w:rPr>
        <w:t>resolved,</w:t>
      </w:r>
      <w:r w:rsidR="00D31580">
        <w:rPr>
          <w:rFonts w:eastAsia="Arial" w:cs="Arial"/>
          <w:szCs w:val="24"/>
        </w:rPr>
        <w:t xml:space="preserve"> and </w:t>
      </w:r>
      <w:r>
        <w:rPr>
          <w:rFonts w:eastAsia="Arial" w:cs="Arial"/>
          <w:szCs w:val="24"/>
        </w:rPr>
        <w:t>systemic issues can be raised. This</w:t>
      </w:r>
      <w:r w:rsidR="00BF0EC3">
        <w:rPr>
          <w:rFonts w:eastAsia="Arial" w:cs="Arial"/>
          <w:szCs w:val="24"/>
        </w:rPr>
        <w:t xml:space="preserve"> ensures that the interference with the right to privacy is based on reasonable and identifiable criteria and is therefore not arbitrary. It also ensures that the law is sufficiently precise and confined so as not to give too much discretion to OVs.</w:t>
      </w:r>
    </w:p>
    <w:p w14:paraId="7676AA09" w14:textId="77777777" w:rsidR="00BF0EC3" w:rsidRDefault="00BF0EC3" w:rsidP="00486C06">
      <w:pPr>
        <w:spacing w:after="0"/>
        <w:rPr>
          <w:rFonts w:eastAsia="Arial" w:cs="Arial"/>
          <w:szCs w:val="24"/>
        </w:rPr>
      </w:pPr>
    </w:p>
    <w:p w14:paraId="15DE1E86" w14:textId="77777777" w:rsidR="00BF0EC3" w:rsidRDefault="00BF0EC3" w:rsidP="00486C06">
      <w:pPr>
        <w:spacing w:after="0"/>
        <w:rPr>
          <w:rFonts w:eastAsia="Arial" w:cs="Arial"/>
          <w:szCs w:val="24"/>
        </w:rPr>
      </w:pPr>
      <w:r>
        <w:rPr>
          <w:rFonts w:eastAsia="Arial" w:cs="Arial"/>
          <w:szCs w:val="24"/>
        </w:rPr>
        <w:t>Safeguards are included in the new provision so that any prohibitions on disclosing the information to third parties that apply to the OV giving the information will apply equally to the OV receiving the information. The provision only authorises sharing of information between OVs and does not authorise the sharing of information with any other third party.</w:t>
      </w:r>
    </w:p>
    <w:p w14:paraId="29619EFE" w14:textId="3C90B0DF" w:rsidR="00BF0EC3" w:rsidRDefault="00BF0EC3" w:rsidP="00486C06">
      <w:pPr>
        <w:spacing w:after="0"/>
        <w:rPr>
          <w:rFonts w:eastAsia="Arial" w:cs="Arial"/>
          <w:szCs w:val="24"/>
        </w:rPr>
      </w:pPr>
      <w:r>
        <w:rPr>
          <w:rFonts w:eastAsia="Arial" w:cs="Arial"/>
          <w:szCs w:val="24"/>
        </w:rPr>
        <w:t xml:space="preserve"> </w:t>
      </w:r>
    </w:p>
    <w:p w14:paraId="335B75E7" w14:textId="439A6A44" w:rsidR="003E6774" w:rsidRPr="0026513F" w:rsidRDefault="003E6774" w:rsidP="00486C06">
      <w:pPr>
        <w:spacing w:after="0"/>
        <w:rPr>
          <w:rFonts w:eastAsia="Arial" w:cs="Arial"/>
          <w:szCs w:val="24"/>
          <w:u w:val="single"/>
        </w:rPr>
      </w:pPr>
      <w:r w:rsidRPr="25AABDD4">
        <w:rPr>
          <w:rFonts w:eastAsia="Arial" w:cs="Arial"/>
          <w:szCs w:val="24"/>
          <w:u w:val="single"/>
        </w:rPr>
        <w:t>Right</w:t>
      </w:r>
      <w:r>
        <w:rPr>
          <w:rFonts w:eastAsia="Arial" w:cs="Arial"/>
          <w:szCs w:val="24"/>
          <w:u w:val="single"/>
        </w:rPr>
        <w:t xml:space="preserve">s in criminal proceedings – </w:t>
      </w:r>
      <w:r w:rsidRPr="0026513F">
        <w:rPr>
          <w:rFonts w:eastAsia="Arial" w:cs="Arial"/>
          <w:szCs w:val="24"/>
          <w:u w:val="single"/>
        </w:rPr>
        <w:t>F</w:t>
      </w:r>
      <w:r w:rsidR="0026513F">
        <w:rPr>
          <w:rFonts w:eastAsia="Arial" w:cs="Arial"/>
          <w:szCs w:val="24"/>
          <w:u w:val="single"/>
        </w:rPr>
        <w:t xml:space="preserve">T (ACL) Act </w:t>
      </w:r>
      <w:r w:rsidRPr="0026513F">
        <w:rPr>
          <w:rFonts w:eastAsia="Arial" w:cs="Arial"/>
          <w:szCs w:val="24"/>
          <w:u w:val="single"/>
        </w:rPr>
        <w:t xml:space="preserve">amendments </w:t>
      </w:r>
    </w:p>
    <w:p w14:paraId="56C6E5B9" w14:textId="77777777" w:rsidR="003E6774" w:rsidRDefault="003E6774" w:rsidP="00486C06">
      <w:pPr>
        <w:spacing w:after="0"/>
        <w:rPr>
          <w:rFonts w:eastAsia="Arial" w:cs="Arial"/>
          <w:szCs w:val="24"/>
          <w:u w:val="single"/>
        </w:rPr>
      </w:pPr>
      <w:r>
        <w:rPr>
          <w:rFonts w:eastAsia="Arial" w:cs="Arial"/>
          <w:szCs w:val="24"/>
          <w:u w:val="single"/>
        </w:rPr>
        <w:t xml:space="preserve"> </w:t>
      </w:r>
    </w:p>
    <w:p w14:paraId="569606F7" w14:textId="4FFFCD84" w:rsidR="003E6774" w:rsidRPr="003E6774" w:rsidRDefault="003E6774" w:rsidP="00486C06">
      <w:pPr>
        <w:pStyle w:val="ListParagraph"/>
        <w:numPr>
          <w:ilvl w:val="0"/>
          <w:numId w:val="30"/>
        </w:numPr>
        <w:spacing w:line="276" w:lineRule="auto"/>
        <w:rPr>
          <w:rFonts w:eastAsia="Arial" w:cs="Arial"/>
          <w:szCs w:val="24"/>
        </w:rPr>
      </w:pPr>
      <w:r w:rsidRPr="25AABDD4">
        <w:rPr>
          <w:rFonts w:eastAsia="Arial" w:cs="Arial"/>
          <w:i/>
          <w:iCs/>
          <w:szCs w:val="24"/>
        </w:rPr>
        <w:t>Nature of the right and the limitation (section 28 (a) and (c))</w:t>
      </w:r>
      <w:r w:rsidRPr="25AABDD4">
        <w:rPr>
          <w:rFonts w:eastAsia="Arial" w:cs="Arial"/>
          <w:szCs w:val="24"/>
        </w:rPr>
        <w:t xml:space="preserve"> </w:t>
      </w:r>
    </w:p>
    <w:p w14:paraId="549613E3" w14:textId="4549631D" w:rsidR="003E6774" w:rsidRDefault="003E6774" w:rsidP="00486C06">
      <w:pPr>
        <w:spacing w:before="240"/>
        <w:rPr>
          <w:rFonts w:eastAsia="Arial" w:cs="Arial"/>
          <w:szCs w:val="24"/>
        </w:rPr>
      </w:pPr>
      <w:r>
        <w:rPr>
          <w:rFonts w:eastAsia="Arial" w:cs="Arial"/>
          <w:szCs w:val="24"/>
        </w:rPr>
        <w:t>S</w:t>
      </w:r>
      <w:r w:rsidRPr="00387A77">
        <w:rPr>
          <w:rFonts w:eastAsia="Arial" w:cs="Arial"/>
          <w:szCs w:val="24"/>
        </w:rPr>
        <w:t>ection 22</w:t>
      </w:r>
      <w:r w:rsidR="00026025">
        <w:rPr>
          <w:rFonts w:eastAsia="Arial" w:cs="Arial"/>
          <w:szCs w:val="24"/>
        </w:rPr>
        <w:t xml:space="preserve"> </w:t>
      </w:r>
      <w:r w:rsidRPr="00387A77">
        <w:rPr>
          <w:rFonts w:eastAsia="Arial" w:cs="Arial"/>
          <w:szCs w:val="24"/>
        </w:rPr>
        <w:t>(1) of the HRA provides that everyone charged with a criminal offence has the right to be presumed innocent until proven guilty according to law. </w:t>
      </w:r>
      <w:r>
        <w:rPr>
          <w:rFonts w:eastAsia="Arial" w:cs="Arial"/>
          <w:szCs w:val="24"/>
        </w:rPr>
        <w:t xml:space="preserve">The amendments to the </w:t>
      </w:r>
      <w:r w:rsidRPr="00F27ADB">
        <w:rPr>
          <w:rFonts w:eastAsia="Arial" w:cs="Arial"/>
          <w:szCs w:val="24"/>
        </w:rPr>
        <w:t>FT (ACL) Act</w:t>
      </w:r>
      <w:r>
        <w:rPr>
          <w:rFonts w:eastAsia="Arial" w:cs="Arial"/>
          <w:szCs w:val="24"/>
        </w:rPr>
        <w:t xml:space="preserve"> will not create new strict liability offences. However, </w:t>
      </w:r>
      <w:r w:rsidR="003006EE">
        <w:rPr>
          <w:rFonts w:eastAsia="Arial" w:cs="Arial"/>
          <w:szCs w:val="24"/>
        </w:rPr>
        <w:t xml:space="preserve">they allow for the </w:t>
      </w:r>
      <w:r>
        <w:rPr>
          <w:rFonts w:eastAsia="Arial" w:cs="Arial"/>
          <w:szCs w:val="24"/>
        </w:rPr>
        <w:t>attribut</w:t>
      </w:r>
      <w:r w:rsidR="003006EE">
        <w:rPr>
          <w:rFonts w:eastAsia="Arial" w:cs="Arial"/>
          <w:szCs w:val="24"/>
        </w:rPr>
        <w:t>ion of the</w:t>
      </w:r>
      <w:r>
        <w:rPr>
          <w:rFonts w:eastAsia="Arial" w:cs="Arial"/>
          <w:szCs w:val="24"/>
        </w:rPr>
        <w:t xml:space="preserve"> conduct of agents and employees to an individual</w:t>
      </w:r>
      <w:r w:rsidR="003006EE">
        <w:rPr>
          <w:rFonts w:eastAsia="Arial" w:cs="Arial"/>
          <w:szCs w:val="24"/>
        </w:rPr>
        <w:t xml:space="preserve"> where the conduct of the agent or employee is at the direction of the individual or where it is within the scope of their actual or apparent authority. In doing this</w:t>
      </w:r>
      <w:r>
        <w:rPr>
          <w:rFonts w:eastAsia="Arial" w:cs="Arial"/>
          <w:szCs w:val="24"/>
        </w:rPr>
        <w:t xml:space="preserve">, the amendments will create a new pathway for individuals to be found guilty of existing strict liability offences in the Australian Consumer Law. </w:t>
      </w:r>
    </w:p>
    <w:p w14:paraId="1C85C35C" w14:textId="77777777" w:rsidR="003E6774" w:rsidRDefault="003E6774" w:rsidP="00486C06">
      <w:pPr>
        <w:rPr>
          <w:rFonts w:eastAsia="Arial" w:cs="Arial"/>
          <w:szCs w:val="24"/>
        </w:rPr>
      </w:pPr>
      <w:r>
        <w:rPr>
          <w:rFonts w:eastAsia="Arial" w:cs="Arial"/>
          <w:szCs w:val="24"/>
        </w:rPr>
        <w:t>Strict liability offences engage and may limit the right to be presumed i</w:t>
      </w:r>
      <w:r w:rsidRPr="00B81BEA">
        <w:rPr>
          <w:rFonts w:eastAsia="Arial" w:cs="Arial"/>
          <w:szCs w:val="24"/>
        </w:rPr>
        <w:t>nnocent until proven guilty as they impose guilt without the need to prove a person's fault.</w:t>
      </w:r>
    </w:p>
    <w:p w14:paraId="52A4565F" w14:textId="51020465" w:rsidR="003E6774" w:rsidRPr="00387A77" w:rsidRDefault="003E6774" w:rsidP="00486C06">
      <w:pPr>
        <w:rPr>
          <w:rFonts w:eastAsia="Arial" w:cs="Arial"/>
          <w:szCs w:val="24"/>
        </w:rPr>
      </w:pPr>
      <w:r>
        <w:rPr>
          <w:rFonts w:eastAsia="Arial" w:cs="Arial"/>
          <w:szCs w:val="24"/>
        </w:rPr>
        <w:t xml:space="preserve">There are also provisions in the Australian Consumer Law and the FT (ACL) Act with a reverse evidential burden, where the defendant is required to prove or disprove a fact, or </w:t>
      </w:r>
      <w:r w:rsidR="00026025">
        <w:rPr>
          <w:rFonts w:eastAsia="Arial" w:cs="Arial"/>
          <w:szCs w:val="24"/>
        </w:rPr>
        <w:t xml:space="preserve">where they are required to </w:t>
      </w:r>
      <w:r>
        <w:rPr>
          <w:rFonts w:eastAsia="Arial" w:cs="Arial"/>
          <w:szCs w:val="24"/>
        </w:rPr>
        <w:t>provide evidence sufficient to raise a reasonable possibility that a matter does or does not exist.</w:t>
      </w:r>
      <w:r>
        <w:rPr>
          <w:rStyle w:val="FootnoteReference"/>
          <w:rFonts w:eastAsia="Arial"/>
          <w:szCs w:val="24"/>
        </w:rPr>
        <w:footnoteReference w:id="2"/>
      </w:r>
      <w:r>
        <w:rPr>
          <w:rFonts w:eastAsia="Arial" w:cs="Arial"/>
          <w:szCs w:val="24"/>
        </w:rPr>
        <w:t xml:space="preserve"> </w:t>
      </w:r>
    </w:p>
    <w:p w14:paraId="5878E0DA" w14:textId="0984F16C" w:rsidR="003E6774" w:rsidRPr="003E6774" w:rsidRDefault="003E6774" w:rsidP="00486C06">
      <w:pPr>
        <w:pStyle w:val="ListParagraph"/>
        <w:keepNext/>
        <w:numPr>
          <w:ilvl w:val="0"/>
          <w:numId w:val="30"/>
        </w:numPr>
        <w:spacing w:line="276" w:lineRule="auto"/>
        <w:rPr>
          <w:rFonts w:eastAsia="Arial" w:cs="Arial"/>
          <w:szCs w:val="24"/>
        </w:rPr>
      </w:pPr>
      <w:r w:rsidRPr="25AABDD4">
        <w:rPr>
          <w:rFonts w:eastAsia="Arial" w:cs="Arial"/>
          <w:i/>
          <w:iCs/>
          <w:szCs w:val="24"/>
        </w:rPr>
        <w:t>Legitimate purpose (section 28 (b))</w:t>
      </w:r>
      <w:r w:rsidRPr="25AABDD4">
        <w:rPr>
          <w:rFonts w:eastAsia="Arial" w:cs="Arial"/>
          <w:szCs w:val="24"/>
        </w:rPr>
        <w:t xml:space="preserve"> </w:t>
      </w:r>
    </w:p>
    <w:p w14:paraId="3056E5C9" w14:textId="77777777" w:rsidR="003E6774" w:rsidRDefault="003E6774" w:rsidP="00486C06">
      <w:pPr>
        <w:keepNext/>
        <w:spacing w:before="240"/>
        <w:rPr>
          <w:rFonts w:eastAsia="Arial" w:cs="Arial"/>
          <w:szCs w:val="24"/>
        </w:rPr>
      </w:pPr>
      <w:r>
        <w:rPr>
          <w:rFonts w:eastAsia="Arial" w:cs="Arial"/>
          <w:szCs w:val="24"/>
        </w:rPr>
        <w:t xml:space="preserve">The purposes of the Australian Consumer Law (set out in Schedule 2 of the </w:t>
      </w:r>
      <w:r>
        <w:rPr>
          <w:rFonts w:eastAsia="Arial" w:cs="Arial"/>
          <w:i/>
          <w:iCs/>
          <w:szCs w:val="24"/>
        </w:rPr>
        <w:t xml:space="preserve">Competition and Consumer Act 2010 </w:t>
      </w:r>
      <w:r>
        <w:rPr>
          <w:rFonts w:eastAsia="Arial" w:cs="Arial"/>
          <w:szCs w:val="24"/>
        </w:rPr>
        <w:t>(</w:t>
      </w:r>
      <w:proofErr w:type="spellStart"/>
      <w:r>
        <w:rPr>
          <w:rFonts w:eastAsia="Arial" w:cs="Arial"/>
          <w:szCs w:val="24"/>
        </w:rPr>
        <w:t>Cth</w:t>
      </w:r>
      <w:proofErr w:type="spellEnd"/>
      <w:r>
        <w:rPr>
          <w:rFonts w:eastAsia="Arial" w:cs="Arial"/>
          <w:szCs w:val="24"/>
        </w:rPr>
        <w:t xml:space="preserve">)) and the FT (ACL) Act are to, respectively: </w:t>
      </w:r>
    </w:p>
    <w:p w14:paraId="10BA1AA7" w14:textId="77777777" w:rsidR="003E6774" w:rsidRDefault="003E6774" w:rsidP="00B9276D">
      <w:pPr>
        <w:pStyle w:val="ListParagraph"/>
        <w:numPr>
          <w:ilvl w:val="0"/>
          <w:numId w:val="29"/>
        </w:numPr>
        <w:spacing w:after="120" w:line="276" w:lineRule="auto"/>
        <w:ind w:left="851" w:hanging="284"/>
        <w:rPr>
          <w:rFonts w:eastAsia="Arial" w:cs="Arial"/>
          <w:szCs w:val="24"/>
        </w:rPr>
      </w:pPr>
      <w:r>
        <w:rPr>
          <w:rFonts w:eastAsia="Arial" w:cs="Arial"/>
          <w:szCs w:val="24"/>
        </w:rPr>
        <w:t xml:space="preserve">Enhance the welfare of Australians through the promotion of competition and fair trading, and to provide for consumer protection; and </w:t>
      </w:r>
    </w:p>
    <w:p w14:paraId="4E9D28D9" w14:textId="77777777" w:rsidR="003E6774" w:rsidRDefault="003E6774" w:rsidP="00E15D1B">
      <w:pPr>
        <w:pStyle w:val="ListParagraph"/>
        <w:numPr>
          <w:ilvl w:val="0"/>
          <w:numId w:val="29"/>
        </w:numPr>
        <w:spacing w:after="240" w:line="276" w:lineRule="auto"/>
        <w:ind w:left="851" w:hanging="284"/>
        <w:rPr>
          <w:rFonts w:eastAsia="Arial" w:cs="Arial"/>
          <w:szCs w:val="24"/>
        </w:rPr>
      </w:pPr>
      <w:r>
        <w:rPr>
          <w:rFonts w:eastAsia="Arial" w:cs="Arial"/>
          <w:szCs w:val="24"/>
        </w:rPr>
        <w:lastRenderedPageBreak/>
        <w:t>T</w:t>
      </w:r>
      <w:r w:rsidRPr="00BA7F7E">
        <w:rPr>
          <w:rFonts w:eastAsia="Arial" w:cs="Arial"/>
          <w:szCs w:val="24"/>
        </w:rPr>
        <w:t>o promote fair trading by ensuring a level playing field for the making of bargains between consumers and traders.</w:t>
      </w:r>
    </w:p>
    <w:p w14:paraId="4D5453BC" w14:textId="61FF34BE" w:rsidR="003E6774" w:rsidRPr="00BA7F7E" w:rsidRDefault="003E6774" w:rsidP="00486C06">
      <w:pPr>
        <w:rPr>
          <w:rFonts w:eastAsia="Arial" w:cs="Arial"/>
          <w:szCs w:val="24"/>
        </w:rPr>
      </w:pPr>
      <w:r>
        <w:rPr>
          <w:rFonts w:eastAsia="Arial" w:cs="Arial"/>
          <w:szCs w:val="24"/>
        </w:rPr>
        <w:t>The legitimate objective of the amendments to the FT (ACL) Act is to achieve these objectives, promoting good consumer outcomes by ensuring that individuals cannot use their representatives as a shield from liability</w:t>
      </w:r>
      <w:r w:rsidR="00F27ADB">
        <w:rPr>
          <w:rFonts w:eastAsia="Arial" w:cs="Arial"/>
          <w:szCs w:val="24"/>
        </w:rPr>
        <w:t>. Accountability and penalties</w:t>
      </w:r>
      <w:r>
        <w:rPr>
          <w:rFonts w:eastAsia="Arial" w:cs="Arial"/>
          <w:szCs w:val="24"/>
        </w:rPr>
        <w:t>, including strict liability offences or offences where there is a reverse evidential burden</w:t>
      </w:r>
      <w:r w:rsidR="00F27ADB">
        <w:rPr>
          <w:rFonts w:eastAsia="Arial" w:cs="Arial"/>
          <w:szCs w:val="24"/>
        </w:rPr>
        <w:t>, are included in the scheme to assist in promoting this legitimate objective and regulating unlawful conduct</w:t>
      </w:r>
      <w:r>
        <w:rPr>
          <w:rFonts w:eastAsia="Arial" w:cs="Arial"/>
          <w:szCs w:val="24"/>
        </w:rPr>
        <w:t xml:space="preserve">. </w:t>
      </w:r>
    </w:p>
    <w:p w14:paraId="371D377A" w14:textId="77777777" w:rsidR="003E6774" w:rsidRDefault="003E6774" w:rsidP="00486C06">
      <w:pPr>
        <w:pStyle w:val="ListParagraph"/>
        <w:numPr>
          <w:ilvl w:val="0"/>
          <w:numId w:val="30"/>
        </w:numPr>
        <w:spacing w:line="276" w:lineRule="auto"/>
        <w:rPr>
          <w:rFonts w:eastAsia="Arial" w:cs="Arial"/>
          <w:szCs w:val="24"/>
        </w:rPr>
      </w:pPr>
      <w:r w:rsidRPr="25AABDD4">
        <w:rPr>
          <w:rFonts w:eastAsia="Arial" w:cs="Arial"/>
          <w:i/>
          <w:iCs/>
          <w:szCs w:val="24"/>
        </w:rPr>
        <w:t>Rational connection between the limitation and the purpose (section 28 (d))</w:t>
      </w:r>
      <w:r w:rsidRPr="25AABDD4">
        <w:rPr>
          <w:rFonts w:eastAsia="Arial" w:cs="Arial"/>
          <w:szCs w:val="24"/>
        </w:rPr>
        <w:t xml:space="preserve"> </w:t>
      </w:r>
    </w:p>
    <w:p w14:paraId="76E61789" w14:textId="105EFFBD" w:rsidR="003E6774" w:rsidRDefault="003E6774" w:rsidP="00486C06">
      <w:pPr>
        <w:spacing w:before="240"/>
        <w:rPr>
          <w:rFonts w:eastAsia="Arial" w:cs="Arial"/>
          <w:szCs w:val="24"/>
        </w:rPr>
      </w:pPr>
      <w:r>
        <w:rPr>
          <w:rFonts w:eastAsia="Arial" w:cs="Arial"/>
          <w:szCs w:val="24"/>
        </w:rPr>
        <w:t xml:space="preserve">The amendments will ensure that </w:t>
      </w:r>
      <w:r w:rsidR="00DC0A31">
        <w:rPr>
          <w:rFonts w:eastAsia="Arial" w:cs="Arial"/>
          <w:szCs w:val="24"/>
        </w:rPr>
        <w:t xml:space="preserve">the legitimate purpose is achieved: that </w:t>
      </w:r>
      <w:r>
        <w:rPr>
          <w:rFonts w:eastAsia="Arial" w:cs="Arial"/>
          <w:szCs w:val="24"/>
        </w:rPr>
        <w:t>individuals can be held to account for conduct which, given their position</w:t>
      </w:r>
      <w:r w:rsidR="003006EE">
        <w:rPr>
          <w:rFonts w:eastAsia="Arial" w:cs="Arial"/>
          <w:szCs w:val="24"/>
        </w:rPr>
        <w:t xml:space="preserve"> of authority</w:t>
      </w:r>
      <w:r>
        <w:rPr>
          <w:rFonts w:eastAsia="Arial" w:cs="Arial"/>
          <w:szCs w:val="24"/>
        </w:rPr>
        <w:t xml:space="preserve">, is properly attributable to them, even though they did not personally engage in the conduct. </w:t>
      </w:r>
    </w:p>
    <w:p w14:paraId="7421E943" w14:textId="77777777" w:rsidR="003E6774" w:rsidRDefault="003E6774" w:rsidP="00486C06">
      <w:pPr>
        <w:rPr>
          <w:rFonts w:eastAsia="Arial" w:cs="Arial"/>
          <w:szCs w:val="24"/>
        </w:rPr>
      </w:pPr>
      <w:r>
        <w:rPr>
          <w:rFonts w:eastAsia="Arial" w:cs="Arial"/>
          <w:szCs w:val="24"/>
        </w:rPr>
        <w:t xml:space="preserve">The intention behind these amendments is to ensure that proceedings can be commenced against the most appropriate party. For example, if an employer directs their employee to carry out work in contravention of the Australian Consumer Law, or FT (ACL) Act, it is important that the plaintiff be able to commence proceedings against the employer. </w:t>
      </w:r>
    </w:p>
    <w:p w14:paraId="53FEB157" w14:textId="77777777" w:rsidR="003E6774" w:rsidRDefault="003E6774" w:rsidP="00486C06">
      <w:pPr>
        <w:rPr>
          <w:rFonts w:eastAsia="Arial" w:cs="Arial"/>
          <w:szCs w:val="24"/>
        </w:rPr>
      </w:pPr>
      <w:r>
        <w:rPr>
          <w:rFonts w:eastAsia="Arial" w:cs="Arial"/>
          <w:szCs w:val="24"/>
        </w:rPr>
        <w:t xml:space="preserve">Absent the amendments, the employer may be able to escape liability for the contravention, or there may be significant costs and delays in securing their conviction (although actions may still be commenced against the individual employee). </w:t>
      </w:r>
    </w:p>
    <w:p w14:paraId="6CE63623" w14:textId="32C3B2E3" w:rsidR="003E6774" w:rsidRDefault="003E6774" w:rsidP="00486C06">
      <w:pPr>
        <w:rPr>
          <w:rFonts w:eastAsia="Arial" w:cs="Arial"/>
          <w:szCs w:val="24"/>
        </w:rPr>
      </w:pPr>
      <w:r>
        <w:rPr>
          <w:rFonts w:eastAsia="Arial" w:cs="Arial"/>
          <w:szCs w:val="24"/>
        </w:rPr>
        <w:t xml:space="preserve">Although proceedings may </w:t>
      </w:r>
      <w:r w:rsidR="003006EE">
        <w:rPr>
          <w:rFonts w:eastAsia="Arial" w:cs="Arial"/>
          <w:szCs w:val="24"/>
        </w:rPr>
        <w:t xml:space="preserve">still </w:t>
      </w:r>
      <w:r>
        <w:rPr>
          <w:rFonts w:eastAsia="Arial" w:cs="Arial"/>
          <w:szCs w:val="24"/>
        </w:rPr>
        <w:t xml:space="preserve">be commenced against the individual employee, who engaged in the conduct, in absence of the amendments, the employer may escape liability. They </w:t>
      </w:r>
      <w:r w:rsidR="003006EE">
        <w:rPr>
          <w:rFonts w:eastAsia="Arial" w:cs="Arial"/>
          <w:szCs w:val="24"/>
        </w:rPr>
        <w:t xml:space="preserve">may </w:t>
      </w:r>
      <w:r>
        <w:rPr>
          <w:rFonts w:eastAsia="Arial" w:cs="Arial"/>
          <w:szCs w:val="24"/>
        </w:rPr>
        <w:t xml:space="preserve">also not be deterred from engaging in the problematic conduct in future, nor will other businesses. </w:t>
      </w:r>
    </w:p>
    <w:p w14:paraId="4DE9FC04" w14:textId="6F33D689" w:rsidR="00DC0A31" w:rsidRDefault="003E6774" w:rsidP="00486C06">
      <w:pPr>
        <w:rPr>
          <w:rFonts w:eastAsia="Arial" w:cs="Arial"/>
          <w:szCs w:val="24"/>
        </w:rPr>
      </w:pPr>
      <w:r>
        <w:rPr>
          <w:rFonts w:eastAsia="Arial" w:cs="Arial"/>
          <w:szCs w:val="24"/>
        </w:rPr>
        <w:t xml:space="preserve">As such, the current </w:t>
      </w:r>
      <w:r w:rsidR="00DC0A31">
        <w:rPr>
          <w:rFonts w:eastAsia="Arial" w:cs="Arial"/>
          <w:szCs w:val="24"/>
        </w:rPr>
        <w:t>challenges i</w:t>
      </w:r>
      <w:r>
        <w:rPr>
          <w:rFonts w:eastAsia="Arial" w:cs="Arial"/>
          <w:szCs w:val="24"/>
        </w:rPr>
        <w:t xml:space="preserve">n commencing proceedings may see contravening conduct continue, and result in ongoing consumer harm. </w:t>
      </w:r>
    </w:p>
    <w:p w14:paraId="56B7CD42" w14:textId="69B7F228" w:rsidR="003E6774" w:rsidRDefault="00D4525B" w:rsidP="00486C06">
      <w:pPr>
        <w:rPr>
          <w:rFonts w:eastAsia="Arial" w:cs="Arial"/>
          <w:szCs w:val="24"/>
        </w:rPr>
      </w:pPr>
      <w:r>
        <w:rPr>
          <w:rFonts w:eastAsia="Arial" w:cs="Arial"/>
          <w:szCs w:val="24"/>
        </w:rPr>
        <w:t>T</w:t>
      </w:r>
      <w:r w:rsidR="00DC0A31">
        <w:rPr>
          <w:rFonts w:eastAsia="Arial" w:cs="Arial"/>
          <w:szCs w:val="24"/>
        </w:rPr>
        <w:t xml:space="preserve">he amendments </w:t>
      </w:r>
      <w:r>
        <w:rPr>
          <w:rFonts w:eastAsia="Arial" w:cs="Arial"/>
          <w:szCs w:val="24"/>
        </w:rPr>
        <w:t xml:space="preserve">to the FT (ACL) Act </w:t>
      </w:r>
      <w:r w:rsidR="00DC0A31">
        <w:rPr>
          <w:rFonts w:eastAsia="Arial" w:cs="Arial"/>
          <w:szCs w:val="24"/>
        </w:rPr>
        <w:t xml:space="preserve">which may expose </w:t>
      </w:r>
      <w:r w:rsidR="00F76A1F">
        <w:rPr>
          <w:rFonts w:eastAsia="Arial" w:cs="Arial"/>
          <w:szCs w:val="24"/>
        </w:rPr>
        <w:t>persons</w:t>
      </w:r>
      <w:r w:rsidR="00DC0A31">
        <w:rPr>
          <w:rFonts w:eastAsia="Arial" w:cs="Arial"/>
          <w:szCs w:val="24"/>
        </w:rPr>
        <w:t xml:space="preserve"> to criminal liability and </w:t>
      </w:r>
      <w:r>
        <w:rPr>
          <w:rFonts w:eastAsia="Arial" w:cs="Arial"/>
          <w:szCs w:val="24"/>
        </w:rPr>
        <w:t>indirectly i</w:t>
      </w:r>
      <w:r w:rsidR="00DC0A31">
        <w:rPr>
          <w:rFonts w:eastAsia="Arial" w:cs="Arial"/>
          <w:szCs w:val="24"/>
        </w:rPr>
        <w:t xml:space="preserve">mpact upon their rights in criminal </w:t>
      </w:r>
      <w:r>
        <w:rPr>
          <w:rFonts w:eastAsia="Arial" w:cs="Arial"/>
          <w:szCs w:val="24"/>
        </w:rPr>
        <w:t>proceedings</w:t>
      </w:r>
      <w:r w:rsidR="00DC0A31">
        <w:rPr>
          <w:rFonts w:eastAsia="Arial" w:cs="Arial"/>
          <w:szCs w:val="24"/>
        </w:rPr>
        <w:t xml:space="preserve"> </w:t>
      </w:r>
      <w:r>
        <w:rPr>
          <w:rFonts w:eastAsia="Arial" w:cs="Arial"/>
          <w:szCs w:val="24"/>
        </w:rPr>
        <w:t xml:space="preserve">(because of the existence of strict liability offences and reverse burdens of proof) </w:t>
      </w:r>
      <w:r w:rsidR="00DC0A31">
        <w:rPr>
          <w:rFonts w:eastAsia="Arial" w:cs="Arial"/>
          <w:szCs w:val="24"/>
        </w:rPr>
        <w:t>are necessary to address</w:t>
      </w:r>
      <w:r>
        <w:rPr>
          <w:rFonts w:eastAsia="Arial" w:cs="Arial"/>
          <w:szCs w:val="24"/>
        </w:rPr>
        <w:t xml:space="preserve"> the challenges in commencing criminal proceedings against the proper defendant and </w:t>
      </w:r>
      <w:r w:rsidR="003E6774">
        <w:rPr>
          <w:rFonts w:eastAsia="Arial" w:cs="Arial"/>
          <w:szCs w:val="24"/>
        </w:rPr>
        <w:t xml:space="preserve"> </w:t>
      </w:r>
      <w:r w:rsidR="00F76A1F">
        <w:rPr>
          <w:rFonts w:eastAsia="Arial" w:cs="Arial"/>
          <w:szCs w:val="24"/>
        </w:rPr>
        <w:t xml:space="preserve">to </w:t>
      </w:r>
      <w:r w:rsidR="003E6774">
        <w:rPr>
          <w:rFonts w:eastAsia="Arial" w:cs="Arial"/>
          <w:szCs w:val="24"/>
        </w:rPr>
        <w:t>hold individuals to account for conduct, which, given their position</w:t>
      </w:r>
      <w:r w:rsidR="003006EE">
        <w:rPr>
          <w:rFonts w:eastAsia="Arial" w:cs="Arial"/>
          <w:szCs w:val="24"/>
        </w:rPr>
        <w:t xml:space="preserve"> of authority</w:t>
      </w:r>
      <w:r w:rsidR="003E6774">
        <w:rPr>
          <w:rFonts w:eastAsia="Arial" w:cs="Arial"/>
          <w:szCs w:val="24"/>
        </w:rPr>
        <w:t>, is appropriately attributable to them</w:t>
      </w:r>
      <w:r>
        <w:rPr>
          <w:rFonts w:eastAsia="Arial" w:cs="Arial"/>
          <w:szCs w:val="24"/>
        </w:rPr>
        <w:t>. The limitations on rights in criminal proceedings</w:t>
      </w:r>
      <w:r w:rsidR="003E6774">
        <w:rPr>
          <w:rFonts w:eastAsia="Arial" w:cs="Arial"/>
          <w:szCs w:val="24"/>
        </w:rPr>
        <w:t xml:space="preserve"> will </w:t>
      </w:r>
      <w:r w:rsidR="00F76A1F">
        <w:rPr>
          <w:rFonts w:eastAsia="Arial" w:cs="Arial"/>
          <w:szCs w:val="24"/>
        </w:rPr>
        <w:t xml:space="preserve">accordingly </w:t>
      </w:r>
      <w:r w:rsidR="003E6774">
        <w:rPr>
          <w:rFonts w:eastAsia="Arial" w:cs="Arial"/>
          <w:szCs w:val="24"/>
        </w:rPr>
        <w:t xml:space="preserve">promote competition and fair trading, and ensure consumers are adequately protected. </w:t>
      </w:r>
    </w:p>
    <w:p w14:paraId="644A3038" w14:textId="77777777" w:rsidR="003E6774" w:rsidRPr="002D3C9D" w:rsidRDefault="003E6774" w:rsidP="00E15D1B">
      <w:pPr>
        <w:pStyle w:val="ListParagraph"/>
        <w:keepNext/>
        <w:numPr>
          <w:ilvl w:val="0"/>
          <w:numId w:val="30"/>
        </w:numPr>
        <w:spacing w:line="276" w:lineRule="auto"/>
        <w:rPr>
          <w:rFonts w:eastAsia="Arial" w:cs="Arial"/>
          <w:szCs w:val="24"/>
        </w:rPr>
      </w:pPr>
      <w:r w:rsidRPr="3FA559F0">
        <w:rPr>
          <w:rFonts w:eastAsia="Arial" w:cs="Arial"/>
          <w:i/>
          <w:iCs/>
        </w:rPr>
        <w:lastRenderedPageBreak/>
        <w:t>Proportionality (section 28 (e))</w:t>
      </w:r>
      <w:r w:rsidRPr="3FA559F0">
        <w:rPr>
          <w:rFonts w:eastAsia="Arial" w:cs="Arial"/>
        </w:rPr>
        <w:t xml:space="preserve"> </w:t>
      </w:r>
    </w:p>
    <w:p w14:paraId="0D28CCFB" w14:textId="77777777" w:rsidR="003E6774" w:rsidRDefault="003E6774" w:rsidP="00E15D1B">
      <w:pPr>
        <w:keepNext/>
        <w:spacing w:before="240"/>
        <w:rPr>
          <w:rFonts w:eastAsia="Arial" w:cs="Arial"/>
          <w:szCs w:val="24"/>
        </w:rPr>
      </w:pPr>
      <w:r>
        <w:rPr>
          <w:rFonts w:eastAsia="Arial" w:cs="Arial"/>
          <w:szCs w:val="24"/>
        </w:rPr>
        <w:t xml:space="preserve">Under the HRA, the presumption of innocence may be subject to reasonable and justifiable limitations in accordance with section 28 of the HRA. This means that limitations imposed by strict liability offences and reverse burdens can be justified where they are reasonable, necessary and proportionate in pursuit of a legitimate objective. </w:t>
      </w:r>
    </w:p>
    <w:p w14:paraId="714C7D97" w14:textId="6D058B98" w:rsidR="003E6774" w:rsidRDefault="003E6774" w:rsidP="00486C06">
      <w:pPr>
        <w:rPr>
          <w:rFonts w:eastAsia="Arial" w:cs="Arial"/>
          <w:szCs w:val="24"/>
        </w:rPr>
      </w:pPr>
      <w:r>
        <w:rPr>
          <w:rFonts w:eastAsia="Arial" w:cs="Arial"/>
          <w:szCs w:val="24"/>
        </w:rPr>
        <w:t>As mentioned above, the Bill is not creating any new offences. It is only creating a new pathway to hold individuals to account for the actions of their representatives</w:t>
      </w:r>
      <w:r w:rsidR="003006EE">
        <w:rPr>
          <w:rFonts w:eastAsia="Arial" w:cs="Arial"/>
          <w:szCs w:val="24"/>
        </w:rPr>
        <w:t xml:space="preserve"> where the conduct of their representative was at their direction, or within the scope to the representative</w:t>
      </w:r>
      <w:r w:rsidR="00F76A1F">
        <w:rPr>
          <w:rFonts w:eastAsia="Arial" w:cs="Arial"/>
          <w:szCs w:val="24"/>
        </w:rPr>
        <w:t>’</w:t>
      </w:r>
      <w:r w:rsidR="003006EE">
        <w:rPr>
          <w:rFonts w:eastAsia="Arial" w:cs="Arial"/>
          <w:szCs w:val="24"/>
        </w:rPr>
        <w:t>s actual or apparent authority</w:t>
      </w:r>
      <w:r>
        <w:rPr>
          <w:rFonts w:eastAsia="Arial" w:cs="Arial"/>
          <w:szCs w:val="24"/>
        </w:rPr>
        <w:t xml:space="preserve">. </w:t>
      </w:r>
    </w:p>
    <w:p w14:paraId="1E7B03D7" w14:textId="7948D687" w:rsidR="003E6774" w:rsidRDefault="003E6774" w:rsidP="00486C06">
      <w:pPr>
        <w:rPr>
          <w:rFonts w:eastAsia="Arial" w:cs="Arial"/>
          <w:szCs w:val="24"/>
        </w:rPr>
      </w:pPr>
      <w:r>
        <w:rPr>
          <w:rFonts w:eastAsia="Arial" w:cs="Arial"/>
          <w:szCs w:val="24"/>
        </w:rPr>
        <w:t xml:space="preserve">It is not considered </w:t>
      </w:r>
      <w:r w:rsidR="00D4525B">
        <w:rPr>
          <w:rFonts w:eastAsia="Arial" w:cs="Arial"/>
          <w:szCs w:val="24"/>
        </w:rPr>
        <w:t xml:space="preserve">that </w:t>
      </w:r>
      <w:r>
        <w:rPr>
          <w:rFonts w:eastAsia="Arial" w:cs="Arial"/>
          <w:szCs w:val="24"/>
        </w:rPr>
        <w:t xml:space="preserve">there are any less restrictive measures reasonably available to achieve the legitimate purpose of these amendments. Any less restrictive means would continue to expose individuals’ representatives to greater liability than their employer, principal or director, even where they were only acting under direction. It would be unreasonable for this incongruency to remain. </w:t>
      </w:r>
    </w:p>
    <w:p w14:paraId="704F1DDA" w14:textId="77777777" w:rsidR="003E6774" w:rsidRDefault="003E6774" w:rsidP="00486C06">
      <w:pPr>
        <w:rPr>
          <w:rFonts w:eastAsia="Arial" w:cs="Arial"/>
          <w:szCs w:val="24"/>
        </w:rPr>
      </w:pPr>
      <w:r>
        <w:rPr>
          <w:rFonts w:eastAsia="Arial" w:cs="Arial"/>
          <w:i/>
          <w:iCs/>
          <w:szCs w:val="24"/>
        </w:rPr>
        <w:t xml:space="preserve">Strict liability offences: </w:t>
      </w:r>
      <w:r>
        <w:rPr>
          <w:rFonts w:eastAsia="Arial" w:cs="Arial"/>
          <w:szCs w:val="24"/>
        </w:rPr>
        <w:t xml:space="preserve">Strict liability offences typically arise in a regulatory context where, to ensure regulatory schemes are complied with, criminal penalties are required. This is the case with the Australian Consumer Law and FT (ACL) Act. Businesses are reasonably expected, as a part of operating a business, to understand general consumer law requirements, and as such, the mental or fault element can justifiably be excluded. Accordingly, every individual to whom conduct may be attributed under these amendments should be aware of the offences. </w:t>
      </w:r>
    </w:p>
    <w:p w14:paraId="263930BA" w14:textId="77777777" w:rsidR="003E6774" w:rsidRDefault="003E6774" w:rsidP="00486C06">
      <w:pPr>
        <w:rPr>
          <w:rFonts w:eastAsia="Arial" w:cs="Arial"/>
          <w:szCs w:val="24"/>
        </w:rPr>
      </w:pPr>
      <w:r>
        <w:rPr>
          <w:rFonts w:eastAsia="Arial" w:cs="Arial"/>
          <w:i/>
          <w:iCs/>
          <w:szCs w:val="24"/>
        </w:rPr>
        <w:t>Reverse evidential burden</w:t>
      </w:r>
      <w:r>
        <w:rPr>
          <w:rFonts w:eastAsia="Arial" w:cs="Arial"/>
          <w:szCs w:val="24"/>
        </w:rPr>
        <w:t xml:space="preserve">: The provisions of the Australian Consumer Law and the FT (ACL) Act with a reverse evidential burden are limited to matters that are specifically within the knowledge of the defendant, or, given the nature of the provisions, it would be unreasonable for the prosecution to establish. </w:t>
      </w:r>
    </w:p>
    <w:p w14:paraId="74A093A9" w14:textId="77777777" w:rsidR="00486C06" w:rsidRPr="008E081A" w:rsidRDefault="00486C06" w:rsidP="00486C06">
      <w:pPr>
        <w:rPr>
          <w:rFonts w:eastAsia="Arial" w:cs="Arial"/>
          <w:szCs w:val="24"/>
        </w:rPr>
      </w:pPr>
      <w:r>
        <w:rPr>
          <w:rFonts w:eastAsia="Arial" w:cs="Arial"/>
          <w:szCs w:val="24"/>
        </w:rPr>
        <w:t xml:space="preserve">The amendments also ensure that an individual cannot be imprisoned for committing an offence which, absent these amendments, they could not be found liable for. While there are currently no imprisonment offences under the Australian Consumer Law or FT (ACL) Act, these may be added in the future. This addition of the clause providing individuals cannot be imprisoned for conduct attributed to them ensures that the amendments remain least restrictive method of securing the legitimate objective of protecting consumers. </w:t>
      </w:r>
    </w:p>
    <w:p w14:paraId="45D29B26" w14:textId="29E4277E" w:rsidR="002D61F0" w:rsidRPr="002D61F0" w:rsidRDefault="003E6774" w:rsidP="00486C06">
      <w:pPr>
        <w:rPr>
          <w:rFonts w:eastAsia="Arial" w:cs="Arial"/>
          <w:szCs w:val="24"/>
          <w:u w:val="single"/>
        </w:rPr>
        <w:sectPr w:rsidR="002D61F0" w:rsidRPr="002D61F0" w:rsidSect="002E45F1">
          <w:footerReference w:type="default" r:id="rId15"/>
          <w:footerReference w:type="first" r:id="rId16"/>
          <w:pgSz w:w="11906" w:h="16838"/>
          <w:pgMar w:top="1276" w:right="1440" w:bottom="1440" w:left="1440" w:header="709" w:footer="675" w:gutter="0"/>
          <w:pgNumType w:start="1"/>
          <w:cols w:space="708"/>
          <w:titlePg/>
          <w:docGrid w:linePitch="360"/>
        </w:sectPr>
      </w:pPr>
      <w:r>
        <w:rPr>
          <w:rFonts w:eastAsia="Arial" w:cs="Arial"/>
          <w:szCs w:val="24"/>
        </w:rPr>
        <w:t xml:space="preserve">Further, it is noted that HRA protections only apply to natural persons, rather than corporations. While these provisions will operate to attribute liability to individuals in certain circumstances, most of the work done through these provisions will be to attribute liability to non-natural persons, such as corporations. This means that in most circumstances human rights will not be engaged. </w:t>
      </w:r>
    </w:p>
    <w:p w14:paraId="4584F4AF" w14:textId="1D6FD150" w:rsidR="004A549C" w:rsidRDefault="1A717315" w:rsidP="1701E8FA">
      <w:pPr>
        <w:pStyle w:val="Heading4"/>
        <w:ind w:left="-108"/>
        <w:jc w:val="center"/>
        <w:rPr>
          <w:rFonts w:asciiTheme="minorHAnsi" w:hAnsiTheme="minorHAnsi" w:cstheme="minorBidi"/>
          <w:b/>
          <w:bCs/>
        </w:rPr>
      </w:pPr>
      <w:r w:rsidRPr="1701E8FA">
        <w:rPr>
          <w:rFonts w:asciiTheme="minorHAnsi" w:hAnsiTheme="minorHAnsi" w:cstheme="minorBidi"/>
          <w:b/>
          <w:bCs/>
        </w:rPr>
        <w:lastRenderedPageBreak/>
        <w:t>JUSTICE AND COMMUNITY SAFETY LEGISLATION AMENDMENT BILL 202</w:t>
      </w:r>
      <w:r w:rsidR="350E3D33" w:rsidRPr="1701E8FA">
        <w:rPr>
          <w:rFonts w:asciiTheme="minorHAnsi" w:hAnsiTheme="minorHAnsi" w:cstheme="minorBidi"/>
          <w:b/>
          <w:bCs/>
        </w:rPr>
        <w:t>4</w:t>
      </w:r>
      <w:r w:rsidR="00BB0BEF">
        <w:rPr>
          <w:rFonts w:asciiTheme="minorHAnsi" w:hAnsiTheme="minorHAnsi" w:cstheme="minorBidi"/>
          <w:b/>
          <w:bCs/>
        </w:rPr>
        <w:t xml:space="preserve"> (No 2)</w:t>
      </w:r>
    </w:p>
    <w:p w14:paraId="12928F7D" w14:textId="371F441E" w:rsidR="00E574DD" w:rsidRPr="003E5EE6" w:rsidRDefault="00E574DD" w:rsidP="00E574DD">
      <w:pPr>
        <w:pStyle w:val="Heading4"/>
        <w:ind w:left="-108"/>
        <w:jc w:val="center"/>
        <w:rPr>
          <w:rFonts w:asciiTheme="minorHAnsi" w:hAnsiTheme="minorHAnsi"/>
          <w:szCs w:val="24"/>
        </w:rPr>
      </w:pPr>
      <w:r w:rsidRPr="003E5EE6">
        <w:rPr>
          <w:rFonts w:asciiTheme="minorHAnsi" w:hAnsiTheme="minorHAnsi"/>
          <w:szCs w:val="24"/>
        </w:rPr>
        <w:t>Human Rights Act 2004 - Compatibility Statement</w:t>
      </w:r>
    </w:p>
    <w:p w14:paraId="1B9772F9" w14:textId="77777777" w:rsidR="00E574DD" w:rsidRDefault="00E574DD" w:rsidP="00E574DD"/>
    <w:p w14:paraId="498DB008" w14:textId="77777777" w:rsidR="007557A6" w:rsidRDefault="007557A6" w:rsidP="00774277">
      <w:pPr>
        <w:rPr>
          <w:rFonts w:cs="Arial"/>
        </w:rPr>
      </w:pPr>
    </w:p>
    <w:p w14:paraId="71084E2C" w14:textId="5CA46A62" w:rsidR="00E574DD" w:rsidRPr="0057094E" w:rsidRDefault="6C72154E" w:rsidP="00774277">
      <w:pPr>
        <w:rPr>
          <w:rFonts w:cs="Arial"/>
        </w:rPr>
      </w:pPr>
      <w:r w:rsidRPr="1701E8FA">
        <w:rPr>
          <w:rFonts w:cs="Arial"/>
        </w:rPr>
        <w:t xml:space="preserve">In accordance with section 37 of the </w:t>
      </w:r>
      <w:r w:rsidRPr="1701E8FA">
        <w:rPr>
          <w:rFonts w:cs="Arial"/>
          <w:i/>
          <w:iCs/>
        </w:rPr>
        <w:t>Human Rights Act 2004</w:t>
      </w:r>
      <w:r w:rsidRPr="1701E8FA">
        <w:rPr>
          <w:rFonts w:cs="Arial"/>
        </w:rPr>
        <w:t xml:space="preserve"> I have examined the</w:t>
      </w:r>
      <w:r w:rsidRPr="1701E8FA">
        <w:rPr>
          <w:rFonts w:cs="Arial"/>
          <w:b/>
          <w:bCs/>
        </w:rPr>
        <w:t xml:space="preserve"> </w:t>
      </w:r>
      <w:r w:rsidR="11A96417" w:rsidRPr="1701E8FA">
        <w:rPr>
          <w:rFonts w:cs="Arial"/>
          <w:b/>
          <w:bCs/>
        </w:rPr>
        <w:t xml:space="preserve">Justice and Community </w:t>
      </w:r>
      <w:r w:rsidR="00400CB7">
        <w:rPr>
          <w:rFonts w:cs="Arial"/>
          <w:b/>
          <w:bCs/>
        </w:rPr>
        <w:t>Safety Legislation Amendment</w:t>
      </w:r>
      <w:r w:rsidR="11A96417" w:rsidRPr="1701E8FA">
        <w:rPr>
          <w:rFonts w:cs="Arial"/>
          <w:b/>
          <w:bCs/>
        </w:rPr>
        <w:t xml:space="preserve"> Bill 202</w:t>
      </w:r>
      <w:r w:rsidR="27DF5603" w:rsidRPr="1701E8FA">
        <w:rPr>
          <w:rFonts w:cs="Arial"/>
          <w:b/>
          <w:bCs/>
        </w:rPr>
        <w:t>4</w:t>
      </w:r>
      <w:r w:rsidR="00BB0BEF">
        <w:rPr>
          <w:rFonts w:cs="Arial"/>
          <w:b/>
          <w:bCs/>
        </w:rPr>
        <w:t xml:space="preserve"> (No 2)</w:t>
      </w:r>
      <w:r w:rsidRPr="1701E8FA">
        <w:rPr>
          <w:rFonts w:cs="Arial"/>
        </w:rPr>
        <w:t>. In my opinion,</w:t>
      </w:r>
      <w:r w:rsidR="7AEE1B61" w:rsidRPr="1701E8FA">
        <w:rPr>
          <w:rFonts w:cs="Arial"/>
        </w:rPr>
        <w:t xml:space="preserve"> having regard to the </w:t>
      </w:r>
      <w:r w:rsidR="5BB68246" w:rsidRPr="1701E8FA">
        <w:rPr>
          <w:rFonts w:cs="Arial"/>
        </w:rPr>
        <w:t xml:space="preserve">Bill and the </w:t>
      </w:r>
      <w:r w:rsidR="3372E64A" w:rsidRPr="1701E8FA">
        <w:rPr>
          <w:rFonts w:cs="Arial"/>
        </w:rPr>
        <w:t>outline</w:t>
      </w:r>
      <w:r w:rsidR="7AEE1B61" w:rsidRPr="1701E8FA">
        <w:rPr>
          <w:rFonts w:cs="Arial"/>
        </w:rPr>
        <w:t xml:space="preserve"> of the policy </w:t>
      </w:r>
      <w:r w:rsidR="02FA4DCA" w:rsidRPr="1701E8FA">
        <w:rPr>
          <w:rFonts w:cs="Arial"/>
        </w:rPr>
        <w:t>considerati</w:t>
      </w:r>
      <w:r w:rsidR="2410CC8D" w:rsidRPr="1701E8FA">
        <w:rPr>
          <w:rFonts w:cs="Arial"/>
        </w:rPr>
        <w:t>ons</w:t>
      </w:r>
      <w:r w:rsidR="466C95B1" w:rsidRPr="1701E8FA">
        <w:rPr>
          <w:rFonts w:cs="Arial"/>
        </w:rPr>
        <w:t xml:space="preserve"> and </w:t>
      </w:r>
      <w:r w:rsidR="45243A71" w:rsidRPr="0057094E">
        <w:rPr>
          <w:rFonts w:cs="Arial"/>
        </w:rPr>
        <w:t xml:space="preserve">justification of </w:t>
      </w:r>
      <w:r w:rsidR="0715CD6F" w:rsidRPr="0057094E">
        <w:rPr>
          <w:rFonts w:cs="Arial"/>
        </w:rPr>
        <w:t>any</w:t>
      </w:r>
      <w:r w:rsidR="466C95B1" w:rsidRPr="0057094E">
        <w:rPr>
          <w:rFonts w:cs="Arial"/>
        </w:rPr>
        <w:t xml:space="preserve"> </w:t>
      </w:r>
      <w:r w:rsidR="45243A71" w:rsidRPr="0057094E">
        <w:rPr>
          <w:rFonts w:cs="Arial"/>
        </w:rPr>
        <w:t>limitations</w:t>
      </w:r>
      <w:r w:rsidR="466C95B1" w:rsidRPr="0057094E">
        <w:rPr>
          <w:rFonts w:cs="Arial"/>
        </w:rPr>
        <w:t xml:space="preserve"> on rights</w:t>
      </w:r>
      <w:r w:rsidR="45243A71" w:rsidRPr="0057094E">
        <w:rPr>
          <w:rFonts w:cs="Arial"/>
        </w:rPr>
        <w:t xml:space="preserve"> </w:t>
      </w:r>
      <w:r w:rsidR="2410CC8D" w:rsidRPr="0057094E">
        <w:rPr>
          <w:rFonts w:cs="Arial"/>
        </w:rPr>
        <w:t xml:space="preserve">outlined </w:t>
      </w:r>
      <w:r w:rsidR="45243A71" w:rsidRPr="0057094E">
        <w:rPr>
          <w:rFonts w:cs="Arial"/>
        </w:rPr>
        <w:t>in this explanatory statement, the Bill as presented to the Legislative Assembly</w:t>
      </w:r>
      <w:r w:rsidR="45243A71" w:rsidRPr="0057094E">
        <w:rPr>
          <w:rFonts w:cs="Arial"/>
          <w:b/>
          <w:bCs/>
        </w:rPr>
        <w:t xml:space="preserve"> </w:t>
      </w:r>
      <w:r w:rsidRPr="0057094E">
        <w:rPr>
          <w:rFonts w:cs="Arial"/>
          <w:b/>
          <w:bCs/>
        </w:rPr>
        <w:t xml:space="preserve">is </w:t>
      </w:r>
      <w:r w:rsidRPr="0057094E">
        <w:rPr>
          <w:rFonts w:cs="Arial"/>
        </w:rPr>
        <w:t xml:space="preserve">consistent with the </w:t>
      </w:r>
      <w:r w:rsidRPr="0057094E">
        <w:rPr>
          <w:rFonts w:cs="Arial"/>
          <w:i/>
          <w:iCs/>
        </w:rPr>
        <w:t>Human Rights Act 2004</w:t>
      </w:r>
      <w:r w:rsidR="7AEE1B61" w:rsidRPr="0057094E">
        <w:rPr>
          <w:rFonts w:cs="Arial"/>
          <w:i/>
          <w:iCs/>
        </w:rPr>
        <w:t>.</w:t>
      </w:r>
    </w:p>
    <w:p w14:paraId="66ABEB43" w14:textId="77777777" w:rsidR="00E574DD" w:rsidRPr="0057094E" w:rsidRDefault="00E574DD" w:rsidP="00E574DD">
      <w:pPr>
        <w:rPr>
          <w:rFonts w:cs="Arial"/>
        </w:rPr>
      </w:pPr>
    </w:p>
    <w:p w14:paraId="6C6D5E27" w14:textId="77777777" w:rsidR="00E574DD" w:rsidRPr="0057094E" w:rsidRDefault="00E574DD" w:rsidP="00E574DD">
      <w:pPr>
        <w:rPr>
          <w:rFonts w:cs="Arial"/>
        </w:rPr>
      </w:pPr>
    </w:p>
    <w:p w14:paraId="3AC1DED3" w14:textId="77777777" w:rsidR="00E574DD" w:rsidRPr="0057094E" w:rsidRDefault="00E574DD" w:rsidP="00E574DD">
      <w:pPr>
        <w:rPr>
          <w:rFonts w:cs="Arial"/>
        </w:rPr>
      </w:pPr>
      <w:r w:rsidRPr="0057094E">
        <w:rPr>
          <w:rFonts w:cs="Arial"/>
        </w:rPr>
        <w:t>………………………………………………….</w:t>
      </w:r>
    </w:p>
    <w:p w14:paraId="3A8E2AC8" w14:textId="4507AE18" w:rsidR="00E574DD" w:rsidRPr="00DB0D23" w:rsidRDefault="00172563" w:rsidP="00E574DD">
      <w:pPr>
        <w:rPr>
          <w:rFonts w:cs="Arial"/>
        </w:rPr>
      </w:pPr>
      <w:r w:rsidRPr="0057094E">
        <w:rPr>
          <w:rFonts w:cs="Arial"/>
        </w:rPr>
        <w:t>Tara Cheyne</w:t>
      </w:r>
      <w:r w:rsidR="00E574DD" w:rsidRPr="0057094E">
        <w:rPr>
          <w:rFonts w:cs="Arial"/>
        </w:rPr>
        <w:t xml:space="preserve"> MLA</w:t>
      </w:r>
      <w:r w:rsidR="00E574DD" w:rsidRPr="00DB0D23">
        <w:rPr>
          <w:rFonts w:cs="Arial"/>
        </w:rPr>
        <w:br/>
        <w:t>Attorney-General</w:t>
      </w:r>
    </w:p>
    <w:p w14:paraId="1578DA22" w14:textId="77777777" w:rsidR="006D53B2" w:rsidRPr="006D52AC" w:rsidRDefault="006D53B2" w:rsidP="006D53B2">
      <w:pPr>
        <w:spacing w:before="200"/>
        <w:rPr>
          <w:rFonts w:cs="Arial"/>
          <w:szCs w:val="24"/>
        </w:rPr>
      </w:pPr>
    </w:p>
    <w:p w14:paraId="189C6D8E" w14:textId="0E13A270" w:rsidR="00296D67" w:rsidRPr="00296D67" w:rsidRDefault="00296D67" w:rsidP="00296D67"/>
    <w:p w14:paraId="4C112F7B" w14:textId="1423D9BD" w:rsidR="796F771C" w:rsidRDefault="796F771C" w:rsidP="796F771C"/>
    <w:p w14:paraId="2FF5D1DD" w14:textId="7B849DCC" w:rsidR="796F771C" w:rsidRDefault="796F771C" w:rsidP="796F771C"/>
    <w:p w14:paraId="3C58BB5D" w14:textId="4785EC91" w:rsidR="796F771C" w:rsidRDefault="796F771C" w:rsidP="796F771C"/>
    <w:p w14:paraId="5B66E87C" w14:textId="1547282A" w:rsidR="796F771C" w:rsidRDefault="796F771C" w:rsidP="796F771C"/>
    <w:p w14:paraId="5A9716BE" w14:textId="6848C88F" w:rsidR="796F771C" w:rsidRDefault="796F771C" w:rsidP="796F771C"/>
    <w:p w14:paraId="6F632FC3" w14:textId="36717AD8" w:rsidR="796F771C" w:rsidRDefault="796F771C" w:rsidP="796F771C"/>
    <w:p w14:paraId="3D2109AC" w14:textId="1F32562A" w:rsidR="796F771C" w:rsidRDefault="796F771C" w:rsidP="796F771C"/>
    <w:p w14:paraId="4F531C33" w14:textId="2BE9A50C" w:rsidR="796F771C" w:rsidRDefault="796F771C" w:rsidP="796F771C"/>
    <w:p w14:paraId="7ED850A4" w14:textId="1869350A" w:rsidR="796F771C" w:rsidRDefault="796F771C" w:rsidP="796F771C"/>
    <w:p w14:paraId="31F40BC7" w14:textId="32195317" w:rsidR="796F771C" w:rsidRDefault="796F771C" w:rsidP="796F771C"/>
    <w:p w14:paraId="6281A3BF" w14:textId="6550FBCF" w:rsidR="796F771C" w:rsidRDefault="796F771C" w:rsidP="796F771C"/>
    <w:p w14:paraId="1D5E5C0A" w14:textId="6E38EA55" w:rsidR="796F771C" w:rsidRDefault="796F771C" w:rsidP="796F771C"/>
    <w:p w14:paraId="3E2A3F0F" w14:textId="62B751B2" w:rsidR="00DB0A6C" w:rsidRPr="00E15D1B" w:rsidRDefault="00DB0A6C" w:rsidP="00E15D1B">
      <w:pPr>
        <w:pStyle w:val="Heading2"/>
        <w:pageBreakBefore/>
        <w:spacing w:before="240" w:after="240" w:line="276" w:lineRule="auto"/>
      </w:pPr>
      <w:r w:rsidRPr="008C225D">
        <w:lastRenderedPageBreak/>
        <w:t>CLAUSE NOTES</w:t>
      </w:r>
    </w:p>
    <w:p w14:paraId="75C1E6C8" w14:textId="77777777" w:rsidR="00DB0A6C" w:rsidRDefault="00DB0A6C" w:rsidP="00A91E2C">
      <w:pPr>
        <w:pStyle w:val="Heading2"/>
        <w:spacing w:line="276" w:lineRule="auto"/>
      </w:pPr>
      <w:r>
        <w:t>Part 1</w:t>
      </w:r>
      <w:r>
        <w:tab/>
      </w:r>
      <w:r>
        <w:tab/>
        <w:t>Preliminary</w:t>
      </w:r>
    </w:p>
    <w:p w14:paraId="2ABF79AC" w14:textId="77777777" w:rsidR="00DB0A6C" w:rsidRPr="00672AB4" w:rsidRDefault="00DB0A6C" w:rsidP="00672AB4">
      <w:pPr>
        <w:pStyle w:val="Heading3"/>
      </w:pPr>
      <w:r w:rsidRPr="00672AB4">
        <w:t>Clause 1</w:t>
      </w:r>
      <w:r w:rsidRPr="00672AB4">
        <w:tab/>
        <w:t>Name of Act</w:t>
      </w:r>
    </w:p>
    <w:p w14:paraId="0EAB8E6F" w14:textId="777BCDBB" w:rsidR="00DB0A6C" w:rsidRPr="00CD0B95" w:rsidRDefault="00DB0A6C" w:rsidP="00A91E2C">
      <w:pPr>
        <w:pStyle w:val="Heading3"/>
        <w:spacing w:line="276" w:lineRule="auto"/>
        <w:rPr>
          <w:rFonts w:eastAsia="Times New Roman" w:cs="Arial"/>
          <w:b w:val="0"/>
          <w:i/>
          <w:iCs/>
        </w:rPr>
      </w:pPr>
      <w:r w:rsidRPr="00BF19D2">
        <w:rPr>
          <w:rFonts w:eastAsia="Times New Roman" w:cs="Arial"/>
          <w:b w:val="0"/>
        </w:rPr>
        <w:t xml:space="preserve">This clause provides that the name of the Act is the </w:t>
      </w:r>
      <w:r w:rsidRPr="00BF19D2">
        <w:rPr>
          <w:rFonts w:eastAsia="Times New Roman" w:cs="Arial"/>
          <w:b w:val="0"/>
          <w:i/>
          <w:iCs/>
        </w:rPr>
        <w:t xml:space="preserve">Justice and Community Safety Legislation Amendment Act </w:t>
      </w:r>
      <w:r w:rsidR="00B9276D">
        <w:rPr>
          <w:rFonts w:eastAsia="Times New Roman" w:cs="Arial"/>
          <w:b w:val="0"/>
          <w:i/>
          <w:iCs/>
        </w:rPr>
        <w:t xml:space="preserve">2024 </w:t>
      </w:r>
      <w:r w:rsidR="00B05F4F">
        <w:rPr>
          <w:rFonts w:eastAsia="Times New Roman" w:cs="Arial"/>
          <w:b w:val="0"/>
          <w:i/>
          <w:iCs/>
        </w:rPr>
        <w:t>(No 2)</w:t>
      </w:r>
      <w:r w:rsidRPr="00BF19D2">
        <w:rPr>
          <w:rFonts w:eastAsia="Times New Roman" w:cs="Arial"/>
          <w:b w:val="0"/>
          <w:i/>
          <w:iCs/>
        </w:rPr>
        <w:t xml:space="preserve">. </w:t>
      </w:r>
    </w:p>
    <w:p w14:paraId="6683EEB8" w14:textId="77777777" w:rsidR="00DB0A6C" w:rsidRPr="00672AB4" w:rsidRDefault="00DB0A6C" w:rsidP="00672AB4">
      <w:pPr>
        <w:pStyle w:val="Heading3"/>
      </w:pPr>
      <w:r w:rsidRPr="00672AB4">
        <w:t>Clause 2</w:t>
      </w:r>
      <w:r w:rsidRPr="00672AB4">
        <w:tab/>
        <w:t>Commencement</w:t>
      </w:r>
    </w:p>
    <w:p w14:paraId="6E6A0419" w14:textId="0B94D860" w:rsidR="00DB0A6C" w:rsidRDefault="00DB0A6C" w:rsidP="00A91E2C">
      <w:pPr>
        <w:jc w:val="both"/>
        <w:rPr>
          <w:rFonts w:cs="Arial"/>
          <w:szCs w:val="24"/>
        </w:rPr>
      </w:pPr>
      <w:r w:rsidRPr="00BF19D2">
        <w:rPr>
          <w:rFonts w:cs="Arial"/>
          <w:szCs w:val="24"/>
        </w:rPr>
        <w:t>This clause provides for the commencement of the Act. Th</w:t>
      </w:r>
      <w:r w:rsidR="00B9276D">
        <w:rPr>
          <w:rFonts w:cs="Arial"/>
          <w:szCs w:val="24"/>
        </w:rPr>
        <w:t>is clause provides that all the provisions in this Act, other than section 13, 16 and 18, will commence</w:t>
      </w:r>
      <w:r w:rsidRPr="00BF19D2">
        <w:rPr>
          <w:rFonts w:cs="Arial"/>
          <w:szCs w:val="24"/>
        </w:rPr>
        <w:t xml:space="preserve"> on the </w:t>
      </w:r>
      <w:r w:rsidR="00784F3D">
        <w:rPr>
          <w:rFonts w:cs="Arial"/>
          <w:szCs w:val="24"/>
        </w:rPr>
        <w:t>7</w:t>
      </w:r>
      <w:r w:rsidR="00784F3D" w:rsidRPr="0057094E">
        <w:rPr>
          <w:rFonts w:cs="Arial"/>
          <w:szCs w:val="24"/>
          <w:vertAlign w:val="superscript"/>
        </w:rPr>
        <w:t>th</w:t>
      </w:r>
      <w:r w:rsidR="00784F3D">
        <w:rPr>
          <w:rFonts w:cs="Arial"/>
          <w:szCs w:val="24"/>
        </w:rPr>
        <w:t xml:space="preserve"> </w:t>
      </w:r>
      <w:r w:rsidRPr="00BF19D2">
        <w:rPr>
          <w:rFonts w:cs="Arial"/>
          <w:szCs w:val="24"/>
        </w:rPr>
        <w:t xml:space="preserve">day </w:t>
      </w:r>
      <w:r w:rsidR="00B9276D">
        <w:rPr>
          <w:rFonts w:cs="Arial"/>
          <w:szCs w:val="24"/>
        </w:rPr>
        <w:t>after the notification day of the Act</w:t>
      </w:r>
      <w:r w:rsidRPr="00BF19D2">
        <w:rPr>
          <w:rFonts w:cs="Arial"/>
          <w:szCs w:val="24"/>
        </w:rPr>
        <w:t xml:space="preserve">. </w:t>
      </w:r>
    </w:p>
    <w:p w14:paraId="1E8A8D59" w14:textId="009CB161" w:rsidR="00B9276D" w:rsidRPr="00CD0B95" w:rsidRDefault="00B9276D" w:rsidP="00A91E2C">
      <w:pPr>
        <w:jc w:val="both"/>
        <w:rPr>
          <w:rFonts w:cs="Arial"/>
          <w:szCs w:val="24"/>
        </w:rPr>
      </w:pPr>
      <w:r>
        <w:rPr>
          <w:rFonts w:cs="Arial"/>
          <w:szCs w:val="24"/>
        </w:rPr>
        <w:t xml:space="preserve">Sections 13, 16 and 18 will commence 3 months after this Act’s notification day. </w:t>
      </w:r>
    </w:p>
    <w:p w14:paraId="742C2B90" w14:textId="77777777" w:rsidR="00DB0A6C" w:rsidRPr="00672AB4" w:rsidRDefault="00DB0A6C" w:rsidP="00672AB4">
      <w:pPr>
        <w:pStyle w:val="Heading3"/>
      </w:pPr>
      <w:r w:rsidRPr="00672AB4">
        <w:t>Clause 3</w:t>
      </w:r>
      <w:r w:rsidRPr="00672AB4">
        <w:tab/>
        <w:t>Legislation amended</w:t>
      </w:r>
    </w:p>
    <w:p w14:paraId="5D903683" w14:textId="4DF73FF8" w:rsidR="00DB0A6C" w:rsidRPr="00BF19D2" w:rsidRDefault="00DB0A6C" w:rsidP="00A91E2C">
      <w:pPr>
        <w:jc w:val="both"/>
        <w:rPr>
          <w:rFonts w:cs="Arial"/>
          <w:szCs w:val="24"/>
        </w:rPr>
      </w:pPr>
      <w:r w:rsidRPr="00BF19D2">
        <w:rPr>
          <w:rFonts w:cs="Arial"/>
          <w:szCs w:val="24"/>
        </w:rPr>
        <w:t>This clause identifies the legislation that will be amended i</w:t>
      </w:r>
      <w:r w:rsidR="007C0C15">
        <w:rPr>
          <w:rFonts w:cs="Arial"/>
          <w:szCs w:val="24"/>
        </w:rPr>
        <w:t>n</w:t>
      </w:r>
      <w:r w:rsidRPr="00BF19D2">
        <w:rPr>
          <w:rFonts w:cs="Arial"/>
          <w:szCs w:val="24"/>
        </w:rPr>
        <w:t xml:space="preserve"> the</w:t>
      </w:r>
      <w:r w:rsidR="007C0C15">
        <w:rPr>
          <w:rFonts w:cs="Arial"/>
          <w:szCs w:val="24"/>
        </w:rPr>
        <w:t xml:space="preserve"> Bill</w:t>
      </w:r>
      <w:r w:rsidRPr="00BF19D2">
        <w:rPr>
          <w:rFonts w:cs="Arial"/>
          <w:szCs w:val="24"/>
        </w:rPr>
        <w:t xml:space="preserve">: </w:t>
      </w:r>
    </w:p>
    <w:p w14:paraId="431D0084" w14:textId="77777777" w:rsidR="00B05F4F" w:rsidRPr="00B05F4F" w:rsidRDefault="00B05F4F" w:rsidP="00A91E2C">
      <w:pPr>
        <w:numPr>
          <w:ilvl w:val="0"/>
          <w:numId w:val="21"/>
        </w:numPr>
        <w:spacing w:after="0"/>
        <w:rPr>
          <w:rFonts w:cs="Arial"/>
          <w:i/>
          <w:iCs/>
          <w:lang w:eastAsia="en-AU"/>
        </w:rPr>
      </w:pPr>
      <w:r w:rsidRPr="00B05F4F">
        <w:rPr>
          <w:rFonts w:cs="Arial"/>
          <w:i/>
          <w:iCs/>
          <w:lang w:eastAsia="en-AU"/>
        </w:rPr>
        <w:t>Fair Trading (Australian Consumer Law) Act 1992;</w:t>
      </w:r>
    </w:p>
    <w:p w14:paraId="4AA98D43" w14:textId="77777777" w:rsidR="00B05F4F" w:rsidRPr="00B05F4F" w:rsidRDefault="00B05F4F" w:rsidP="00A91E2C">
      <w:pPr>
        <w:numPr>
          <w:ilvl w:val="0"/>
          <w:numId w:val="21"/>
        </w:numPr>
        <w:spacing w:after="0"/>
        <w:rPr>
          <w:rFonts w:cs="Arial"/>
          <w:i/>
          <w:iCs/>
          <w:lang w:eastAsia="en-AU"/>
        </w:rPr>
      </w:pPr>
      <w:r w:rsidRPr="00B05F4F">
        <w:rPr>
          <w:rFonts w:cs="Arial"/>
          <w:i/>
          <w:iCs/>
          <w:lang w:eastAsia="en-AU"/>
        </w:rPr>
        <w:t>Human Rights Commission Act 2005;</w:t>
      </w:r>
    </w:p>
    <w:p w14:paraId="578F1E38" w14:textId="77777777" w:rsidR="00B05F4F" w:rsidRPr="00B05F4F" w:rsidRDefault="00B05F4F" w:rsidP="00A91E2C">
      <w:pPr>
        <w:numPr>
          <w:ilvl w:val="0"/>
          <w:numId w:val="21"/>
        </w:numPr>
        <w:spacing w:after="0"/>
        <w:rPr>
          <w:rFonts w:cs="Arial"/>
          <w:i/>
          <w:iCs/>
          <w:lang w:eastAsia="en-AU"/>
        </w:rPr>
      </w:pPr>
      <w:r w:rsidRPr="00B05F4F">
        <w:rPr>
          <w:rFonts w:cs="Arial"/>
          <w:i/>
          <w:iCs/>
          <w:lang w:eastAsia="en-AU"/>
        </w:rPr>
        <w:t>Official Visitor Act 2012;</w:t>
      </w:r>
    </w:p>
    <w:p w14:paraId="28872502" w14:textId="77777777" w:rsidR="00B05F4F" w:rsidRPr="0057094E" w:rsidRDefault="00B05F4F" w:rsidP="00A91E2C">
      <w:pPr>
        <w:numPr>
          <w:ilvl w:val="0"/>
          <w:numId w:val="21"/>
        </w:numPr>
        <w:spacing w:after="0"/>
        <w:rPr>
          <w:rFonts w:cs="Arial"/>
          <w:i/>
          <w:iCs/>
          <w:lang w:eastAsia="en-AU"/>
        </w:rPr>
      </w:pPr>
      <w:r w:rsidRPr="0057094E">
        <w:rPr>
          <w:rFonts w:cs="Arial"/>
          <w:i/>
          <w:iCs/>
          <w:lang w:eastAsia="en-AU"/>
        </w:rPr>
        <w:t>Residential Tenancies Act 1997; and</w:t>
      </w:r>
    </w:p>
    <w:p w14:paraId="33DD128A" w14:textId="6CB4A089" w:rsidR="00B05F4F" w:rsidRPr="0057094E" w:rsidRDefault="00B05F4F" w:rsidP="00A91E2C">
      <w:pPr>
        <w:numPr>
          <w:ilvl w:val="0"/>
          <w:numId w:val="21"/>
        </w:numPr>
        <w:spacing w:after="0"/>
        <w:rPr>
          <w:rFonts w:cs="Arial"/>
          <w:i/>
          <w:iCs/>
          <w:lang w:eastAsia="en-AU"/>
        </w:rPr>
      </w:pPr>
      <w:r w:rsidRPr="0057094E">
        <w:rPr>
          <w:rFonts w:cs="Arial"/>
          <w:i/>
          <w:iCs/>
          <w:lang w:eastAsia="en-AU"/>
        </w:rPr>
        <w:t>Retirement Villages Act 2012.</w:t>
      </w:r>
    </w:p>
    <w:p w14:paraId="65202514" w14:textId="77777777" w:rsidR="007557A6" w:rsidRPr="00237B47" w:rsidRDefault="007557A6" w:rsidP="00A91E2C">
      <w:pPr>
        <w:spacing w:after="0"/>
        <w:rPr>
          <w:rFonts w:cs="Arial"/>
          <w:iCs/>
          <w:szCs w:val="24"/>
          <w:lang w:eastAsia="en-AU"/>
        </w:rPr>
      </w:pPr>
    </w:p>
    <w:p w14:paraId="0A9F1D2F" w14:textId="2F2EB33F" w:rsidR="003B35CB" w:rsidRPr="00672AB4" w:rsidRDefault="00F917DC" w:rsidP="00672AB4">
      <w:pPr>
        <w:pStyle w:val="Heading2"/>
      </w:pPr>
      <w:r w:rsidRPr="00672AB4">
        <w:t xml:space="preserve">Part 2 </w:t>
      </w:r>
      <w:r w:rsidRPr="00672AB4">
        <w:tab/>
        <w:t>Fair Trading (Australian Consumer Law) Act 1992</w:t>
      </w:r>
    </w:p>
    <w:p w14:paraId="01952141" w14:textId="77AE4581" w:rsidR="00F917DC" w:rsidRDefault="00F917DC" w:rsidP="00672AB4">
      <w:pPr>
        <w:pStyle w:val="Heading3"/>
      </w:pPr>
      <w:r>
        <w:t>Clause 4</w:t>
      </w:r>
      <w:r>
        <w:tab/>
        <w:t>New section 65A</w:t>
      </w:r>
    </w:p>
    <w:p w14:paraId="51297AC0" w14:textId="5D1BABD8" w:rsidR="00F917DC" w:rsidRDefault="00F917DC" w:rsidP="00A91E2C">
      <w:r>
        <w:t xml:space="preserve">This clause inserts new section 65A into the </w:t>
      </w:r>
      <w:r>
        <w:rPr>
          <w:i/>
          <w:iCs/>
        </w:rPr>
        <w:t xml:space="preserve">Fair Trading (Australian Consumer Law) Act 1992 </w:t>
      </w:r>
      <w:r>
        <w:t>(</w:t>
      </w:r>
      <w:r>
        <w:rPr>
          <w:b/>
          <w:bCs/>
        </w:rPr>
        <w:t>FT (ACL) Act</w:t>
      </w:r>
      <w:r>
        <w:t>). Th</w:t>
      </w:r>
      <w:r w:rsidR="00EB47C5">
        <w:t>is</w:t>
      </w:r>
      <w:r>
        <w:t xml:space="preserve"> new section operates to provide that, in certain circumstances, the conduct and state of mind of a representative of a person, is taken to also be that of the person themselves. A representative is defined to mean an employee, agent, or, if the person is a body corporate, a director of the body corporate. </w:t>
      </w:r>
    </w:p>
    <w:p w14:paraId="3F57042C" w14:textId="77777777" w:rsidR="00F917DC" w:rsidRPr="000F5560" w:rsidRDefault="00F917DC" w:rsidP="00A91E2C">
      <w:r>
        <w:t xml:space="preserve">Subsection 65A (1) provides that section 65A applies to a proceeding for conduct engaged in by a person under Schedule 2 of the </w:t>
      </w:r>
      <w:r>
        <w:rPr>
          <w:i/>
          <w:iCs/>
        </w:rPr>
        <w:t xml:space="preserve">Competition and Consumer Act 2010 </w:t>
      </w:r>
      <w:r>
        <w:t>(</w:t>
      </w:r>
      <w:proofErr w:type="spellStart"/>
      <w:r>
        <w:t>Cth</w:t>
      </w:r>
      <w:proofErr w:type="spellEnd"/>
      <w:r>
        <w:t xml:space="preserve">) (‘the Australian Consumer Law’) or under the FT (ACL) Act itself. </w:t>
      </w:r>
    </w:p>
    <w:p w14:paraId="0847EAEC" w14:textId="77777777" w:rsidR="00F917DC" w:rsidRDefault="00F917DC" w:rsidP="00A91E2C">
      <w:pPr>
        <w:keepNext/>
      </w:pPr>
      <w:r>
        <w:lastRenderedPageBreak/>
        <w:t xml:space="preserve">Subsection 65A (2) provides that, where it is necessary to establish that a person had a state of mind, it is sufficient to show that: </w:t>
      </w:r>
    </w:p>
    <w:p w14:paraId="4A0C1888" w14:textId="77777777" w:rsidR="00F917DC" w:rsidRDefault="00F917DC" w:rsidP="00F41F82">
      <w:pPr>
        <w:pStyle w:val="ListParagraph"/>
        <w:keepNext/>
        <w:numPr>
          <w:ilvl w:val="0"/>
          <w:numId w:val="21"/>
        </w:numPr>
        <w:spacing w:after="120" w:line="276" w:lineRule="auto"/>
        <w:ind w:left="714" w:hanging="357"/>
      </w:pPr>
      <w:r>
        <w:t xml:space="preserve">A representative of the person engaged in the conduct within the scope of the representative’s authority, and </w:t>
      </w:r>
    </w:p>
    <w:p w14:paraId="5C4FDE82" w14:textId="49529394" w:rsidR="00F917DC" w:rsidRDefault="00F917DC" w:rsidP="00E15D1B">
      <w:pPr>
        <w:pStyle w:val="ListParagraph"/>
        <w:keepNext/>
        <w:numPr>
          <w:ilvl w:val="0"/>
          <w:numId w:val="21"/>
        </w:numPr>
        <w:spacing w:after="240" w:line="276" w:lineRule="auto"/>
        <w:ind w:left="714" w:hanging="357"/>
      </w:pPr>
      <w:r>
        <w:t xml:space="preserve">The representative had that state of mind. </w:t>
      </w:r>
    </w:p>
    <w:p w14:paraId="7F180A0C" w14:textId="77777777" w:rsidR="00F917DC" w:rsidRDefault="00F917DC" w:rsidP="00A91E2C">
      <w:r>
        <w:t xml:space="preserve">Subsection 65A (3) provides the following conduct is taken to have also been engaged in by the person: </w:t>
      </w:r>
    </w:p>
    <w:p w14:paraId="584672FB" w14:textId="77777777" w:rsidR="00F917DC" w:rsidRDefault="00F917DC" w:rsidP="00F41F82">
      <w:pPr>
        <w:pStyle w:val="ListParagraph"/>
        <w:numPr>
          <w:ilvl w:val="0"/>
          <w:numId w:val="21"/>
        </w:numPr>
        <w:spacing w:after="120" w:line="276" w:lineRule="auto"/>
        <w:ind w:left="714" w:hanging="357"/>
      </w:pPr>
      <w:r>
        <w:t xml:space="preserve">Conduct of a representative of the person, provided the representative was acting within the scope of their authority; </w:t>
      </w:r>
    </w:p>
    <w:p w14:paraId="60BE5C01" w14:textId="28AC250D" w:rsidR="003B35CB" w:rsidRDefault="00F917DC" w:rsidP="00E15D1B">
      <w:pPr>
        <w:pStyle w:val="ListParagraph"/>
        <w:numPr>
          <w:ilvl w:val="0"/>
          <w:numId w:val="21"/>
        </w:numPr>
        <w:spacing w:after="240" w:line="276" w:lineRule="auto"/>
        <w:ind w:left="714" w:hanging="357"/>
      </w:pPr>
      <w:r>
        <w:t xml:space="preserve">Conduct engaged in </w:t>
      </w:r>
      <w:r w:rsidR="009B3C3D">
        <w:t xml:space="preserve">by </w:t>
      </w:r>
      <w:r>
        <w:t>a third party</w:t>
      </w:r>
      <w:r w:rsidR="003D326D">
        <w:t>. T</w:t>
      </w:r>
      <w:r>
        <w:t xml:space="preserve">he third party </w:t>
      </w:r>
      <w:r w:rsidR="003D326D">
        <w:t xml:space="preserve">must have </w:t>
      </w:r>
      <w:r>
        <w:t>engage</w:t>
      </w:r>
      <w:r w:rsidR="003D326D">
        <w:t xml:space="preserve">d </w:t>
      </w:r>
      <w:r>
        <w:t>in the conduct at the direction or with the consent or agreement of a representative of the person</w:t>
      </w:r>
      <w:r w:rsidR="003D326D">
        <w:t xml:space="preserve">. Further </w:t>
      </w:r>
      <w:r>
        <w:t xml:space="preserve">the direction, consent or agreement </w:t>
      </w:r>
      <w:r w:rsidR="003D326D">
        <w:t xml:space="preserve">must have been </w:t>
      </w:r>
      <w:r>
        <w:t>within the scope of the representative’s authority. The</w:t>
      </w:r>
      <w:r w:rsidR="00E15D1B">
        <w:t> </w:t>
      </w:r>
      <w:r>
        <w:t xml:space="preserve">consent or agreement may be express or implied. </w:t>
      </w:r>
    </w:p>
    <w:p w14:paraId="15C13429" w14:textId="77777777" w:rsidR="00F917DC" w:rsidRDefault="00F917DC" w:rsidP="00A91E2C">
      <w:r>
        <w:t xml:space="preserve">Subsection 65A (4) provides that a person is not liable to be punished by imprisonment for an offence if subsection 65A (2) or (3) applied in relation to the conviction, and the individual would not have been convicted of the offence if the subsection had not been enacted. </w:t>
      </w:r>
    </w:p>
    <w:p w14:paraId="2FFAC570" w14:textId="015CDE67" w:rsidR="00F917DC" w:rsidRDefault="00F917DC" w:rsidP="00A91E2C">
      <w:r>
        <w:t xml:space="preserve">Subsection 65A (5) defines authority to include both actual and apparent </w:t>
      </w:r>
      <w:r w:rsidR="00F41F82">
        <w:t>authority and</w:t>
      </w:r>
      <w:r w:rsidR="003D326D">
        <w:t xml:space="preserve"> defines</w:t>
      </w:r>
      <w:r>
        <w:t xml:space="preserve"> conduct </w:t>
      </w:r>
      <w:r w:rsidR="003D326D">
        <w:t xml:space="preserve">to </w:t>
      </w:r>
      <w:r>
        <w:t xml:space="preserve">include both an act and an omission to do an act. </w:t>
      </w:r>
    </w:p>
    <w:p w14:paraId="42752A89" w14:textId="77777777" w:rsidR="00F917DC" w:rsidRDefault="00F917DC" w:rsidP="00672AB4">
      <w:pPr>
        <w:pStyle w:val="Heading3"/>
      </w:pPr>
      <w:r>
        <w:t xml:space="preserve">Clause 5 </w:t>
      </w:r>
      <w:r>
        <w:tab/>
        <w:t xml:space="preserve">Dictionary, note 2 </w:t>
      </w:r>
    </w:p>
    <w:p w14:paraId="23EDA33C" w14:textId="1A9F1C6D" w:rsidR="00F917DC" w:rsidRDefault="00F917DC" w:rsidP="00E15D1B">
      <w:r>
        <w:t xml:space="preserve">Clause 5 makes a minor and technical amendment to note 2 in the Dictionary section of the FT (ACL) Act, consequent to the insertion of the new section 65A. Note 1 in the Dictionary outlines that the </w:t>
      </w:r>
      <w:r w:rsidRPr="00967AF3">
        <w:rPr>
          <w:i/>
          <w:iCs/>
        </w:rPr>
        <w:t>Legislation Act</w:t>
      </w:r>
      <w:r w:rsidR="003D326D" w:rsidRPr="00967AF3">
        <w:rPr>
          <w:i/>
          <w:iCs/>
        </w:rPr>
        <w:t xml:space="preserve"> 2001</w:t>
      </w:r>
      <w:r>
        <w:t xml:space="preserve"> contains definitions and other provisions relevant to the FT (ACL) Act. Note 2 lists examples of terms defined in the </w:t>
      </w:r>
      <w:r w:rsidRPr="00967AF3">
        <w:rPr>
          <w:i/>
          <w:iCs/>
        </w:rPr>
        <w:t>Legislation Act</w:t>
      </w:r>
      <w:r w:rsidR="003D326D" w:rsidRPr="00967AF3">
        <w:rPr>
          <w:i/>
          <w:iCs/>
        </w:rPr>
        <w:t xml:space="preserve"> 2001</w:t>
      </w:r>
      <w:r>
        <w:t xml:space="preserve"> which are relevant to the interpretation of the FT (ACL) Act. </w:t>
      </w:r>
    </w:p>
    <w:p w14:paraId="6E9C09FD" w14:textId="4AF1BCFE" w:rsidR="00F917DC" w:rsidRPr="00983AD5" w:rsidRDefault="00F917DC" w:rsidP="00A91E2C">
      <w:r>
        <w:t>New section 65A uses the term ‘individual’ which is defined in the Legislation Act</w:t>
      </w:r>
      <w:r w:rsidR="003D326D">
        <w:t xml:space="preserve"> </w:t>
      </w:r>
      <w:r w:rsidR="003D326D" w:rsidRPr="00967AF3">
        <w:rPr>
          <w:i/>
          <w:iCs/>
        </w:rPr>
        <w:t>2001</w:t>
      </w:r>
      <w:r>
        <w:t xml:space="preserve">. </w:t>
      </w:r>
      <w:r w:rsidR="003D326D">
        <w:t>Accordingly, t</w:t>
      </w:r>
      <w:r>
        <w:t xml:space="preserve">his clause adds ‘individual’ to the list of terms defined in the </w:t>
      </w:r>
      <w:r w:rsidRPr="00967AF3">
        <w:rPr>
          <w:i/>
          <w:iCs/>
        </w:rPr>
        <w:t>Legislation Act</w:t>
      </w:r>
      <w:r w:rsidR="003D326D" w:rsidRPr="00967AF3">
        <w:rPr>
          <w:i/>
          <w:iCs/>
        </w:rPr>
        <w:t xml:space="preserve"> 2001</w:t>
      </w:r>
      <w:r>
        <w:t xml:space="preserve"> which may assist in the interpretation of the FT (ACL) Act. </w:t>
      </w:r>
    </w:p>
    <w:p w14:paraId="2E5CE551" w14:textId="62CCC166" w:rsidR="007C32D0" w:rsidRPr="00672AB4" w:rsidRDefault="007C32D0" w:rsidP="00672AB4">
      <w:pPr>
        <w:pStyle w:val="Heading2"/>
      </w:pPr>
      <w:r w:rsidRPr="00672AB4">
        <w:t xml:space="preserve">Part </w:t>
      </w:r>
      <w:r w:rsidR="007C0C15" w:rsidRPr="00672AB4">
        <w:t>3</w:t>
      </w:r>
      <w:r w:rsidRPr="00672AB4">
        <w:t xml:space="preserve"> </w:t>
      </w:r>
      <w:r w:rsidRPr="00672AB4">
        <w:tab/>
        <w:t>Human Rights Commission Act 2005</w:t>
      </w:r>
    </w:p>
    <w:p w14:paraId="14C1F139" w14:textId="6A56711D" w:rsidR="007C32D0" w:rsidRPr="00E15D1B" w:rsidRDefault="007C32D0" w:rsidP="00E15D1B">
      <w:pPr>
        <w:pStyle w:val="Heading3"/>
        <w:ind w:left="1440" w:hanging="1440"/>
      </w:pPr>
      <w:r>
        <w:t xml:space="preserve">Clause </w:t>
      </w:r>
      <w:r w:rsidR="00D42F0D">
        <w:t>6</w:t>
      </w:r>
      <w:r>
        <w:tab/>
        <w:t>Human rights complaints</w:t>
      </w:r>
      <w:r w:rsidR="00E15D1B">
        <w:br/>
      </w:r>
      <w:r>
        <w:rPr>
          <w:bCs/>
        </w:rPr>
        <w:t>Section 41D</w:t>
      </w:r>
      <w:r w:rsidR="004E1ED9">
        <w:rPr>
          <w:bCs/>
        </w:rPr>
        <w:t xml:space="preserve"> </w:t>
      </w:r>
      <w:r>
        <w:rPr>
          <w:bCs/>
        </w:rPr>
        <w:t xml:space="preserve">(4), definition of </w:t>
      </w:r>
      <w:r>
        <w:rPr>
          <w:bCs/>
          <w:i/>
          <w:iCs/>
        </w:rPr>
        <w:t>relevant person</w:t>
      </w:r>
    </w:p>
    <w:p w14:paraId="10930A16" w14:textId="6C14614F" w:rsidR="004E1ED9" w:rsidRPr="00967AF3" w:rsidRDefault="004E1ED9" w:rsidP="00A91E2C">
      <w:r w:rsidRPr="004E1ED9">
        <w:t>This clause</w:t>
      </w:r>
      <w:r>
        <w:t xml:space="preserve"> substitutes the definition of </w:t>
      </w:r>
      <w:r>
        <w:rPr>
          <w:i/>
          <w:iCs/>
        </w:rPr>
        <w:t xml:space="preserve">relevant person </w:t>
      </w:r>
      <w:r>
        <w:t xml:space="preserve">in section 41D (4) so that it no longer uses the phrase </w:t>
      </w:r>
      <w:r>
        <w:rPr>
          <w:i/>
          <w:iCs/>
        </w:rPr>
        <w:t>person complained about</w:t>
      </w:r>
      <w:r>
        <w:t xml:space="preserve">, and instead refers to the </w:t>
      </w:r>
      <w:r>
        <w:rPr>
          <w:i/>
          <w:iCs/>
        </w:rPr>
        <w:t xml:space="preserve">respondent </w:t>
      </w:r>
      <w:r>
        <w:t>which is a new defined term</w:t>
      </w:r>
      <w:r w:rsidR="005F5080">
        <w:t xml:space="preserve"> for the Act</w:t>
      </w:r>
      <w:r>
        <w:t xml:space="preserve"> (see clause </w:t>
      </w:r>
      <w:r w:rsidR="00713B5D">
        <w:t>33</w:t>
      </w:r>
      <w:r>
        <w:t>)</w:t>
      </w:r>
      <w:r>
        <w:rPr>
          <w:i/>
          <w:iCs/>
        </w:rPr>
        <w:t xml:space="preserve">. </w:t>
      </w:r>
      <w:r>
        <w:t xml:space="preserve">The Bill makes this change throughout the HRC Act, </w:t>
      </w:r>
      <w:r w:rsidR="00B73217">
        <w:t xml:space="preserve">to make it clear that the Commission’s </w:t>
      </w:r>
      <w:r w:rsidR="00B73217">
        <w:lastRenderedPageBreak/>
        <w:t>complaints-handling procedures (including the power to make recommendations at the end of a complaint) also apply to unincorporated entities.</w:t>
      </w:r>
    </w:p>
    <w:p w14:paraId="518A6088" w14:textId="31D66051" w:rsidR="007C32D0" w:rsidRDefault="007C32D0" w:rsidP="00E15D1B">
      <w:pPr>
        <w:pStyle w:val="Heading3"/>
        <w:ind w:left="1440" w:hanging="1440"/>
      </w:pPr>
      <w:r>
        <w:t xml:space="preserve">Clause </w:t>
      </w:r>
      <w:r w:rsidR="00D42F0D">
        <w:t>7</w:t>
      </w:r>
      <w:r>
        <w:tab/>
        <w:t xml:space="preserve">Commission’s </w:t>
      </w:r>
      <w:r w:rsidRPr="007C32D0">
        <w:t xml:space="preserve">obligation to be prompt and efficient </w:t>
      </w:r>
      <w:r w:rsidR="00E15D1B">
        <w:br/>
      </w:r>
      <w:r w:rsidRPr="007C32D0">
        <w:t>New section 45 (1A)</w:t>
      </w:r>
    </w:p>
    <w:p w14:paraId="753390C1" w14:textId="2399DB4B" w:rsidR="004E1ED9" w:rsidRDefault="004E1ED9" w:rsidP="00A91E2C">
      <w:r>
        <w:t xml:space="preserve">This clause inserts new section 45 (1A) into the HRC Act, to confirm that the Commission has the power to make preliminary inquiries of any person to help inform how it may deal with a complaint. This is intended to support early resolution </w:t>
      </w:r>
      <w:r w:rsidR="00B73217">
        <w:t>of complaints, where possible, and is consistent with the Commission’s existing broad discretion as to how it may deal with complaints.</w:t>
      </w:r>
      <w:r>
        <w:t xml:space="preserve"> </w:t>
      </w:r>
    </w:p>
    <w:p w14:paraId="181F413E" w14:textId="215BFAA3" w:rsidR="00B73217" w:rsidRDefault="007C32D0" w:rsidP="00E15D1B">
      <w:pPr>
        <w:pStyle w:val="Heading3"/>
        <w:spacing w:before="0" w:after="200" w:line="276" w:lineRule="auto"/>
      </w:pPr>
      <w:r>
        <w:t xml:space="preserve">Clause </w:t>
      </w:r>
      <w:r w:rsidR="00D42F0D">
        <w:t>8</w:t>
      </w:r>
      <w:r>
        <w:tab/>
        <w:t>Section 45</w:t>
      </w:r>
      <w:r w:rsidR="00B73217">
        <w:t xml:space="preserve"> </w:t>
      </w:r>
      <w:r>
        <w:t>(2)</w:t>
      </w:r>
      <w:r w:rsidR="00E15D1B">
        <w:br/>
      </w:r>
      <w:r w:rsidR="00B73217" w:rsidRPr="00E15D1B">
        <w:rPr>
          <w:rFonts w:eastAsia="Times New Roman" w:cs="Times New Roman"/>
          <w:b w:val="0"/>
          <w:szCs w:val="22"/>
        </w:rPr>
        <w:br/>
        <w:t xml:space="preserve">This clause makes a minor and technical amendment so that the drafting </w:t>
      </w:r>
      <w:r w:rsidR="007C0C15" w:rsidRPr="00E15D1B">
        <w:rPr>
          <w:rFonts w:eastAsia="Times New Roman" w:cs="Times New Roman"/>
          <w:b w:val="0"/>
          <w:szCs w:val="22"/>
        </w:rPr>
        <w:t xml:space="preserve">style </w:t>
      </w:r>
      <w:r w:rsidR="00B73217" w:rsidRPr="00E15D1B">
        <w:rPr>
          <w:rFonts w:eastAsia="Times New Roman" w:cs="Times New Roman"/>
          <w:b w:val="0"/>
          <w:szCs w:val="22"/>
        </w:rPr>
        <w:t>of section 45 (2) will be consistent with new section 45 (1A).</w:t>
      </w:r>
    </w:p>
    <w:p w14:paraId="46D6D4DA" w14:textId="0ED6003F" w:rsidR="007C32D0" w:rsidRDefault="007C32D0" w:rsidP="00E15D1B">
      <w:pPr>
        <w:pStyle w:val="Heading3"/>
        <w:spacing w:before="0" w:after="200" w:line="276" w:lineRule="auto"/>
      </w:pPr>
      <w:r w:rsidRPr="007C0C15">
        <w:t xml:space="preserve">Clause </w:t>
      </w:r>
      <w:r w:rsidR="00D42F0D">
        <w:t>9</w:t>
      </w:r>
      <w:r w:rsidRPr="007C0C15">
        <w:tab/>
        <w:t>Section 45</w:t>
      </w:r>
      <w:r w:rsidR="00B73217" w:rsidRPr="007C0C15">
        <w:t xml:space="preserve"> </w:t>
      </w:r>
      <w:r w:rsidRPr="007C0C15">
        <w:t>(3)</w:t>
      </w:r>
      <w:r w:rsidR="007C0C15" w:rsidRPr="007C0C15">
        <w:br/>
      </w:r>
      <w:r w:rsidR="00E15D1B">
        <w:rPr>
          <w:rFonts w:eastAsia="Times New Roman" w:cs="Times New Roman"/>
          <w:b w:val="0"/>
          <w:szCs w:val="22"/>
        </w:rPr>
        <w:br/>
      </w:r>
      <w:r w:rsidR="007C0C15" w:rsidRPr="00E15D1B">
        <w:rPr>
          <w:rFonts w:eastAsia="Times New Roman" w:cs="Times New Roman"/>
          <w:b w:val="0"/>
          <w:szCs w:val="22"/>
        </w:rPr>
        <w:t>This clause makes a minor and technical amendment to update the drafting style of section 45 (3) as a result of the insertion of new section 45 (1A).</w:t>
      </w:r>
    </w:p>
    <w:p w14:paraId="1D6C5828" w14:textId="3195A78A" w:rsidR="00B73217" w:rsidRPr="007C0C15" w:rsidRDefault="007C32D0" w:rsidP="00E15D1B">
      <w:pPr>
        <w:pStyle w:val="Heading3"/>
        <w:spacing w:before="0" w:after="200" w:line="276" w:lineRule="auto"/>
      </w:pPr>
      <w:r>
        <w:t xml:space="preserve">Clause </w:t>
      </w:r>
      <w:r w:rsidR="00D42F0D">
        <w:t>10</w:t>
      </w:r>
      <w:r>
        <w:tab/>
        <w:t>Section 45</w:t>
      </w:r>
      <w:r w:rsidR="00B73217">
        <w:t xml:space="preserve"> </w:t>
      </w:r>
      <w:r>
        <w:t xml:space="preserve">(4) </w:t>
      </w:r>
      <w:r w:rsidR="00E15D1B">
        <w:br/>
      </w:r>
      <w:r w:rsidR="00B73217">
        <w:br/>
      </w:r>
      <w:r w:rsidR="00B73217" w:rsidRPr="00E15D1B">
        <w:rPr>
          <w:b w:val="0"/>
          <w:bCs/>
        </w:rPr>
        <w:t xml:space="preserve">This clause removes reference to the phrase </w:t>
      </w:r>
      <w:r w:rsidR="00B73217" w:rsidRPr="00E15D1B">
        <w:rPr>
          <w:b w:val="0"/>
          <w:bCs/>
          <w:i/>
          <w:iCs/>
        </w:rPr>
        <w:t>person complained of</w:t>
      </w:r>
      <w:r w:rsidR="00B73217" w:rsidRPr="00E15D1B">
        <w:rPr>
          <w:b w:val="0"/>
          <w:bCs/>
        </w:rPr>
        <w:t xml:space="preserve"> in section 45 (4), and replaces it with the phrase </w:t>
      </w:r>
      <w:r w:rsidR="00B73217" w:rsidRPr="00E15D1B">
        <w:rPr>
          <w:b w:val="0"/>
          <w:bCs/>
          <w:i/>
          <w:iCs/>
        </w:rPr>
        <w:t>respondent</w:t>
      </w:r>
      <w:r w:rsidR="00B73217" w:rsidRPr="00E15D1B">
        <w:rPr>
          <w:b w:val="0"/>
          <w:bCs/>
        </w:rPr>
        <w:t>, which is a new defined term</w:t>
      </w:r>
      <w:r w:rsidR="005F5080" w:rsidRPr="00E15D1B">
        <w:rPr>
          <w:b w:val="0"/>
          <w:bCs/>
        </w:rPr>
        <w:t xml:space="preserve"> for the Act</w:t>
      </w:r>
      <w:r w:rsidR="00B73217" w:rsidRPr="00E15D1B">
        <w:rPr>
          <w:b w:val="0"/>
          <w:bCs/>
        </w:rPr>
        <w:t xml:space="preserve"> (see clause </w:t>
      </w:r>
      <w:r w:rsidR="00713B5D" w:rsidRPr="00E15D1B">
        <w:rPr>
          <w:b w:val="0"/>
          <w:bCs/>
        </w:rPr>
        <w:t>33</w:t>
      </w:r>
      <w:r w:rsidR="00B73217" w:rsidRPr="00E15D1B">
        <w:rPr>
          <w:b w:val="0"/>
          <w:bCs/>
        </w:rPr>
        <w:t>). The Bill makes this change throughout the HRC Act, to make it clear that the Commission’s complaints-handling procedures (including the power to make recommendations at the end of a complaint) also apply to unincorporated entities.</w:t>
      </w:r>
      <w:r w:rsidR="00B73217" w:rsidRPr="007C0C15">
        <w:t xml:space="preserve"> </w:t>
      </w:r>
    </w:p>
    <w:p w14:paraId="263161B6" w14:textId="34256570" w:rsidR="007C32D0" w:rsidRPr="007C0C15" w:rsidRDefault="007C32D0" w:rsidP="00672AB4">
      <w:pPr>
        <w:pStyle w:val="Heading3"/>
      </w:pPr>
      <w:r w:rsidRPr="007C0C15">
        <w:t xml:space="preserve">Clause </w:t>
      </w:r>
      <w:r w:rsidR="00D42F0D">
        <w:t>11</w:t>
      </w:r>
      <w:r w:rsidRPr="007C0C15">
        <w:tab/>
        <w:t>Section 45</w:t>
      </w:r>
      <w:r w:rsidR="00B73217" w:rsidRPr="007C0C15">
        <w:t xml:space="preserve"> </w:t>
      </w:r>
      <w:r w:rsidRPr="007C0C15">
        <w:t>(5)</w:t>
      </w:r>
      <w:r w:rsidR="00B73217" w:rsidRPr="007C0C15">
        <w:t xml:space="preserve"> (b)</w:t>
      </w:r>
    </w:p>
    <w:p w14:paraId="1CF4F08D" w14:textId="0AA1FCF1" w:rsidR="007C32D0" w:rsidRPr="00B73217" w:rsidRDefault="00B73217" w:rsidP="00A91E2C">
      <w:r w:rsidRPr="007C0C15">
        <w:t xml:space="preserve">This clause makes a minor correction to section 45 (5) (b) </w:t>
      </w:r>
      <w:r w:rsidR="00DF2EB4" w:rsidRPr="007C0C15">
        <w:t>for grammatical purposes and readability.</w:t>
      </w:r>
      <w:r w:rsidRPr="00B73217">
        <w:t xml:space="preserve"> </w:t>
      </w:r>
    </w:p>
    <w:p w14:paraId="77BADA31" w14:textId="493683FD" w:rsidR="007C32D0" w:rsidRDefault="007C32D0" w:rsidP="00672AB4">
      <w:pPr>
        <w:pStyle w:val="Heading3"/>
        <w:ind w:left="1440" w:hanging="1440"/>
        <w:rPr>
          <w:bCs/>
        </w:rPr>
      </w:pPr>
      <w:r w:rsidRPr="007C32D0">
        <w:rPr>
          <w:bCs/>
        </w:rPr>
        <w:t xml:space="preserve">Clause </w:t>
      </w:r>
      <w:r w:rsidR="00D42F0D">
        <w:rPr>
          <w:bCs/>
        </w:rPr>
        <w:t>12</w:t>
      </w:r>
      <w:r w:rsidRPr="007C32D0">
        <w:rPr>
          <w:bCs/>
        </w:rPr>
        <w:tab/>
      </w:r>
      <w:r w:rsidR="00D42F0D" w:rsidRPr="00D42F0D">
        <w:t>Definitions—div 4.2B</w:t>
      </w:r>
      <w:r w:rsidR="00D42F0D" w:rsidRPr="00D42F0D">
        <w:br/>
      </w:r>
      <w:r w:rsidRPr="00D42F0D">
        <w:t>Section 53F</w:t>
      </w:r>
    </w:p>
    <w:p w14:paraId="1A15DD4B" w14:textId="5D95FAE8" w:rsidR="00DF2EB4" w:rsidRDefault="00DF2EB4" w:rsidP="00A91E2C">
      <w:r w:rsidRPr="00DF2EB4">
        <w:t>This clause omits section 53F</w:t>
      </w:r>
      <w:r>
        <w:t xml:space="preserve"> (which contains the definitions of </w:t>
      </w:r>
      <w:r>
        <w:rPr>
          <w:i/>
          <w:iCs/>
        </w:rPr>
        <w:t xml:space="preserve">person complained about </w:t>
      </w:r>
      <w:r>
        <w:t xml:space="preserve">and </w:t>
      </w:r>
      <w:r>
        <w:rPr>
          <w:i/>
          <w:iCs/>
        </w:rPr>
        <w:t xml:space="preserve">retirement village </w:t>
      </w:r>
      <w:r w:rsidRPr="00DF2EB4">
        <w:rPr>
          <w:i/>
          <w:iCs/>
        </w:rPr>
        <w:t>complaint</w:t>
      </w:r>
      <w:r>
        <w:t xml:space="preserve">) </w:t>
      </w:r>
      <w:r w:rsidRPr="00DF2EB4">
        <w:t>because</w:t>
      </w:r>
      <w:r>
        <w:t xml:space="preserve"> it is now unnecessary as a result of other amendments in the Bill. </w:t>
      </w:r>
    </w:p>
    <w:p w14:paraId="0DCB92B9" w14:textId="294BE7F0" w:rsidR="007C32D0" w:rsidRDefault="00DF2EB4" w:rsidP="00A91E2C">
      <w:pPr>
        <w:rPr>
          <w:i/>
          <w:iCs/>
        </w:rPr>
      </w:pPr>
      <w:r>
        <w:t xml:space="preserve">The Bill removes the phrase </w:t>
      </w:r>
      <w:r>
        <w:rPr>
          <w:i/>
          <w:iCs/>
        </w:rPr>
        <w:t xml:space="preserve">person complained of </w:t>
      </w:r>
      <w:r>
        <w:t xml:space="preserve">and replaces it with the phrase </w:t>
      </w:r>
      <w:r>
        <w:rPr>
          <w:i/>
          <w:iCs/>
        </w:rPr>
        <w:t>respondent</w:t>
      </w:r>
      <w:r>
        <w:t>,</w:t>
      </w:r>
      <w:r>
        <w:rPr>
          <w:i/>
          <w:iCs/>
        </w:rPr>
        <w:t xml:space="preserve"> </w:t>
      </w:r>
      <w:r>
        <w:t>which is a new defined term</w:t>
      </w:r>
      <w:r w:rsidR="005F5080">
        <w:t xml:space="preserve"> for the Act</w:t>
      </w:r>
      <w:r>
        <w:t xml:space="preserve"> (see clause </w:t>
      </w:r>
      <w:r w:rsidR="00713B5D">
        <w:t>33</w:t>
      </w:r>
      <w:r>
        <w:t>)</w:t>
      </w:r>
      <w:r>
        <w:rPr>
          <w:i/>
          <w:iCs/>
        </w:rPr>
        <w:t>.</w:t>
      </w:r>
    </w:p>
    <w:p w14:paraId="288683BB" w14:textId="394A91CB" w:rsidR="00DF2EB4" w:rsidRPr="00DF2EB4" w:rsidRDefault="00DF2EB4" w:rsidP="00A91E2C">
      <w:r>
        <w:t xml:space="preserve">The definition of </w:t>
      </w:r>
      <w:r>
        <w:rPr>
          <w:i/>
          <w:iCs/>
        </w:rPr>
        <w:t xml:space="preserve">retirement village complaint </w:t>
      </w:r>
      <w:r>
        <w:t>has been moved to the Dictionary since it appears throughout the Act and not only in Division 4.2B.</w:t>
      </w:r>
    </w:p>
    <w:p w14:paraId="246E2FE9" w14:textId="7D21E1BE" w:rsidR="007C32D0" w:rsidRDefault="007C32D0" w:rsidP="00672AB4">
      <w:pPr>
        <w:pStyle w:val="Heading3"/>
      </w:pPr>
      <w:r>
        <w:lastRenderedPageBreak/>
        <w:t xml:space="preserve">Clause </w:t>
      </w:r>
      <w:r w:rsidR="00D42F0D">
        <w:t>13</w:t>
      </w:r>
      <w:r>
        <w:tab/>
      </w:r>
      <w:r w:rsidRPr="007C32D0">
        <w:t>New section 53IA</w:t>
      </w:r>
    </w:p>
    <w:p w14:paraId="1458B2EC" w14:textId="77777777" w:rsidR="00FD2172" w:rsidRDefault="00DF2EB4" w:rsidP="00A91E2C">
      <w:pPr>
        <w:keepNext/>
      </w:pPr>
      <w:r w:rsidRPr="00DF2EB4">
        <w:t>This clause</w:t>
      </w:r>
      <w:r>
        <w:t xml:space="preserve"> inserts new section 53IA, which empowers the Commission to refer commission-initiated retirement villages matters to ACAT within 60 days after preparing a commission-initiated report under section 84. </w:t>
      </w:r>
    </w:p>
    <w:p w14:paraId="19EA66D0" w14:textId="57ACBEC1" w:rsidR="007C32D0" w:rsidRDefault="00DF2EB4" w:rsidP="00A91E2C">
      <w:r>
        <w:t xml:space="preserve">This amendment enables the Commission to take </w:t>
      </w:r>
      <w:r w:rsidR="007C0C15">
        <w:t>‘</w:t>
      </w:r>
      <w:r>
        <w:t>own</w:t>
      </w:r>
      <w:r w:rsidR="007C0C15">
        <w:t>-</w:t>
      </w:r>
      <w:r>
        <w:t>motion</w:t>
      </w:r>
      <w:r w:rsidR="007C0C15">
        <w:t>’</w:t>
      </w:r>
      <w:r>
        <w:t xml:space="preserve"> retirement villages matters to ACAT in the same manner as it is currently empowered to do with respect to own</w:t>
      </w:r>
      <w:r w:rsidR="007C0C15">
        <w:t>-</w:t>
      </w:r>
      <w:r>
        <w:t>motion discrimination matters. This better enables the Commission to support the community by pursuing systemic change in appropriate matters.</w:t>
      </w:r>
    </w:p>
    <w:p w14:paraId="46167610" w14:textId="678BAD81" w:rsidR="00FD2172" w:rsidRPr="00DF2EB4" w:rsidRDefault="00FD2172" w:rsidP="00A91E2C">
      <w:r w:rsidRPr="005F5080">
        <w:t>New section 53</w:t>
      </w:r>
      <w:r>
        <w:t>I</w:t>
      </w:r>
      <w:r w:rsidRPr="005F5080">
        <w:t>A</w:t>
      </w:r>
      <w:r w:rsidR="007C0C15">
        <w:t xml:space="preserve"> (3)</w:t>
      </w:r>
      <w:r w:rsidRPr="005F5080">
        <w:t xml:space="preserve"> requires the Commission to give notice of the referral to the respondent</w:t>
      </w:r>
      <w:r>
        <w:t xml:space="preserve">. </w:t>
      </w:r>
    </w:p>
    <w:p w14:paraId="14121410" w14:textId="0D4E6516" w:rsidR="007C32D0" w:rsidRDefault="007C32D0" w:rsidP="00672AB4">
      <w:pPr>
        <w:pStyle w:val="Heading3"/>
      </w:pPr>
      <w:r>
        <w:t xml:space="preserve">Clause </w:t>
      </w:r>
      <w:r w:rsidR="00D42F0D">
        <w:t>14</w:t>
      </w:r>
      <w:r>
        <w:tab/>
      </w:r>
      <w:r w:rsidRPr="007C32D0">
        <w:t>Division 4.2C, heading</w:t>
      </w:r>
    </w:p>
    <w:p w14:paraId="1D061DE3" w14:textId="292F6B74" w:rsidR="007C32D0" w:rsidRPr="00DF2EB4" w:rsidRDefault="00DF2EB4" w:rsidP="00A91E2C">
      <w:r w:rsidRPr="00DF2EB4">
        <w:t>This clause</w:t>
      </w:r>
      <w:r w:rsidR="005F5080">
        <w:t xml:space="preserve"> makes a minor amendment to</w:t>
      </w:r>
      <w:r w:rsidRPr="00DF2EB4">
        <w:t xml:space="preserve"> omit the word ‘certain’ from the heading of Division 4.2C. The word ‘certain’ is inapt because Division 4.2C applies to all occupancy dispute complaints</w:t>
      </w:r>
      <w:r w:rsidR="005F5080">
        <w:t xml:space="preserve"> (not ‘certain’ occupancy dispute complaints)</w:t>
      </w:r>
      <w:r w:rsidRPr="00DF2EB4">
        <w:t>.</w:t>
      </w:r>
    </w:p>
    <w:p w14:paraId="1B0A5AF9" w14:textId="1F90D0D6" w:rsidR="007C32D0" w:rsidRDefault="007C32D0" w:rsidP="00672AB4">
      <w:pPr>
        <w:pStyle w:val="Heading3"/>
        <w:ind w:left="1440" w:hanging="1440"/>
      </w:pPr>
      <w:r>
        <w:t xml:space="preserve">Clause </w:t>
      </w:r>
      <w:r w:rsidR="00D42F0D">
        <w:t>15</w:t>
      </w:r>
      <w:r>
        <w:tab/>
      </w:r>
      <w:r w:rsidR="00D42F0D" w:rsidRPr="00D42F0D">
        <w:rPr>
          <w:szCs w:val="26"/>
        </w:rPr>
        <w:t>Definitions—div 4.2</w:t>
      </w:r>
      <w:r w:rsidR="00D42F0D">
        <w:rPr>
          <w:szCs w:val="26"/>
        </w:rPr>
        <w:t>C</w:t>
      </w:r>
      <w:r w:rsidR="00D42F0D">
        <w:br/>
      </w:r>
      <w:r>
        <w:t>Section 53P</w:t>
      </w:r>
    </w:p>
    <w:p w14:paraId="62F5F618" w14:textId="0856802B" w:rsidR="005F5080" w:rsidRDefault="005F5080" w:rsidP="00A91E2C">
      <w:r w:rsidRPr="00DF2EB4">
        <w:t>This clause omits section 5</w:t>
      </w:r>
      <w:r>
        <w:t xml:space="preserve">3P (which contains the definitions of </w:t>
      </w:r>
      <w:r>
        <w:rPr>
          <w:i/>
          <w:iCs/>
        </w:rPr>
        <w:t xml:space="preserve">person complained about </w:t>
      </w:r>
      <w:r>
        <w:t xml:space="preserve">and </w:t>
      </w:r>
      <w:r>
        <w:rPr>
          <w:i/>
          <w:iCs/>
        </w:rPr>
        <w:t xml:space="preserve">occupancy dispute </w:t>
      </w:r>
      <w:r w:rsidRPr="00DF2EB4">
        <w:rPr>
          <w:i/>
          <w:iCs/>
        </w:rPr>
        <w:t>complaint</w:t>
      </w:r>
      <w:r>
        <w:t xml:space="preserve">) </w:t>
      </w:r>
      <w:r w:rsidRPr="00DF2EB4">
        <w:t>because</w:t>
      </w:r>
      <w:r>
        <w:t xml:space="preserve"> it is now unnecessary as a result of other amendments in the Bill. </w:t>
      </w:r>
    </w:p>
    <w:p w14:paraId="10EED43C" w14:textId="32732B35" w:rsidR="005F5080" w:rsidRDefault="005F5080" w:rsidP="00A91E2C">
      <w:pPr>
        <w:rPr>
          <w:i/>
          <w:iCs/>
        </w:rPr>
      </w:pPr>
      <w:r>
        <w:t xml:space="preserve">The Bill removes the phrase </w:t>
      </w:r>
      <w:r>
        <w:rPr>
          <w:i/>
          <w:iCs/>
        </w:rPr>
        <w:t xml:space="preserve">person complained of </w:t>
      </w:r>
      <w:r>
        <w:t xml:space="preserve">and replaces it with the phrase </w:t>
      </w:r>
      <w:r>
        <w:rPr>
          <w:i/>
          <w:iCs/>
        </w:rPr>
        <w:t>respondent</w:t>
      </w:r>
      <w:r>
        <w:t>,</w:t>
      </w:r>
      <w:r>
        <w:rPr>
          <w:i/>
          <w:iCs/>
        </w:rPr>
        <w:t xml:space="preserve"> </w:t>
      </w:r>
      <w:r>
        <w:t>which is a new defined term for the Act (see clause </w:t>
      </w:r>
      <w:r w:rsidR="00713B5D">
        <w:t>33</w:t>
      </w:r>
      <w:r>
        <w:t>)</w:t>
      </w:r>
      <w:r>
        <w:rPr>
          <w:i/>
          <w:iCs/>
        </w:rPr>
        <w:t>.</w:t>
      </w:r>
    </w:p>
    <w:p w14:paraId="25FBE44E" w14:textId="62788AF0" w:rsidR="007C32D0" w:rsidRPr="005F5080" w:rsidRDefault="005F5080" w:rsidP="00A91E2C">
      <w:r>
        <w:t xml:space="preserve">The definition of </w:t>
      </w:r>
      <w:r>
        <w:rPr>
          <w:i/>
          <w:iCs/>
        </w:rPr>
        <w:t xml:space="preserve">occupancy dispute complaint </w:t>
      </w:r>
      <w:r>
        <w:t xml:space="preserve">is contained in the Dictionary </w:t>
      </w:r>
      <w:r w:rsidR="007C0C15">
        <w:br/>
      </w:r>
      <w:r>
        <w:t>(</w:t>
      </w:r>
      <w:r w:rsidR="007C0C15">
        <w:t xml:space="preserve">which </w:t>
      </w:r>
      <w:r>
        <w:t>cross-references section 42 (1) (k)).</w:t>
      </w:r>
    </w:p>
    <w:p w14:paraId="087C5C7F" w14:textId="2AAF286E" w:rsidR="007C32D0" w:rsidRDefault="007C32D0" w:rsidP="00672AB4">
      <w:pPr>
        <w:pStyle w:val="Heading3"/>
      </w:pPr>
      <w:r>
        <w:t xml:space="preserve">Clause </w:t>
      </w:r>
      <w:r w:rsidR="00D42F0D">
        <w:t>16</w:t>
      </w:r>
      <w:r>
        <w:tab/>
        <w:t>New section 53SA</w:t>
      </w:r>
    </w:p>
    <w:p w14:paraId="4E0ECCA9" w14:textId="393F0DF1" w:rsidR="005F5080" w:rsidRDefault="005F5080" w:rsidP="00A91E2C">
      <w:r w:rsidRPr="00DF2EB4">
        <w:t>This clause</w:t>
      </w:r>
      <w:r>
        <w:t xml:space="preserve"> inserts new section 53SA, which empowers the Commission to refer commission-initiated occupancy dispute matters to ACAT within 60 days after preparing a commission-initiated report under section 84. </w:t>
      </w:r>
    </w:p>
    <w:p w14:paraId="3285DC3F" w14:textId="033D8CDC" w:rsidR="007C32D0" w:rsidRDefault="005F5080" w:rsidP="00A91E2C">
      <w:r>
        <w:t xml:space="preserve">This amendment enables the Commission to take </w:t>
      </w:r>
      <w:r w:rsidR="007C0C15">
        <w:t>‘</w:t>
      </w:r>
      <w:r>
        <w:t>own</w:t>
      </w:r>
      <w:r w:rsidR="007C0C15">
        <w:t>-</w:t>
      </w:r>
      <w:r>
        <w:t>motion</w:t>
      </w:r>
      <w:r w:rsidR="007C0C15">
        <w:t>’</w:t>
      </w:r>
      <w:r>
        <w:t xml:space="preserve"> occupancy dispute matters to ACAT in the same manner as it is currently empowered to do with respect to own</w:t>
      </w:r>
      <w:r w:rsidR="007C0C15">
        <w:t>-</w:t>
      </w:r>
      <w:r>
        <w:t>motion discrimination matters. This better enables the Commission to support the community by pursuing systemic change in appropriate matters.</w:t>
      </w:r>
    </w:p>
    <w:p w14:paraId="0B3C1F12" w14:textId="14A2348B" w:rsidR="005F5080" w:rsidRPr="005F5080" w:rsidRDefault="005F5080" w:rsidP="00A91E2C">
      <w:r w:rsidRPr="005F5080">
        <w:t xml:space="preserve">New section 53SA </w:t>
      </w:r>
      <w:r w:rsidR="007C0C15">
        <w:t xml:space="preserve">(3) </w:t>
      </w:r>
      <w:r w:rsidRPr="005F5080">
        <w:t>requires the Commission to give notice of the referral to the respondent</w:t>
      </w:r>
      <w:r>
        <w:t xml:space="preserve">. </w:t>
      </w:r>
    </w:p>
    <w:p w14:paraId="29F83E97" w14:textId="0795AA02" w:rsidR="007C32D0" w:rsidRDefault="007C32D0" w:rsidP="00672AB4">
      <w:pPr>
        <w:pStyle w:val="Heading3"/>
        <w:ind w:left="1440" w:hanging="1440"/>
      </w:pPr>
      <w:r>
        <w:lastRenderedPageBreak/>
        <w:t xml:space="preserve">Clause </w:t>
      </w:r>
      <w:r w:rsidR="00D42F0D">
        <w:t>17</w:t>
      </w:r>
      <w:r>
        <w:tab/>
      </w:r>
      <w:r w:rsidR="00D42F0D">
        <w:t xml:space="preserve">Meaning of </w:t>
      </w:r>
      <w:r w:rsidR="00D42F0D">
        <w:rPr>
          <w:i/>
          <w:iCs/>
        </w:rPr>
        <w:t>person complained about</w:t>
      </w:r>
      <w:r w:rsidR="00D42F0D" w:rsidRPr="00D42F0D">
        <w:rPr>
          <w:szCs w:val="26"/>
        </w:rPr>
        <w:t>—div 4.2</w:t>
      </w:r>
      <w:r w:rsidR="00D42F0D">
        <w:rPr>
          <w:szCs w:val="26"/>
        </w:rPr>
        <w:t>D</w:t>
      </w:r>
      <w:r w:rsidR="00D42F0D">
        <w:rPr>
          <w:i/>
          <w:iCs/>
        </w:rPr>
        <w:br/>
      </w:r>
      <w:r w:rsidRPr="007C32D0">
        <w:t>Section 53Z</w:t>
      </w:r>
    </w:p>
    <w:p w14:paraId="16F44404" w14:textId="133E8036" w:rsidR="007C0C15" w:rsidRDefault="007C0C15" w:rsidP="00A91E2C">
      <w:pPr>
        <w:keepNext/>
      </w:pPr>
      <w:r w:rsidRPr="00DF2EB4">
        <w:t>This clause omits section 5</w:t>
      </w:r>
      <w:r>
        <w:t xml:space="preserve">3Z (which defines </w:t>
      </w:r>
      <w:r>
        <w:rPr>
          <w:i/>
          <w:iCs/>
        </w:rPr>
        <w:t>person complained about</w:t>
      </w:r>
      <w:r>
        <w:t xml:space="preserve">) </w:t>
      </w:r>
      <w:r w:rsidRPr="00DF2EB4">
        <w:t>because</w:t>
      </w:r>
      <w:r>
        <w:t xml:space="preserve"> it is now unnecessary as a result of other amendments in the Bill. </w:t>
      </w:r>
    </w:p>
    <w:p w14:paraId="377A226A" w14:textId="2736C59D" w:rsidR="007C32D0" w:rsidRPr="007C0C15" w:rsidRDefault="007C0C15" w:rsidP="00A91E2C">
      <w:pPr>
        <w:rPr>
          <w:i/>
          <w:iCs/>
        </w:rPr>
      </w:pPr>
      <w:r>
        <w:t xml:space="preserve">The Bill removes the phrase </w:t>
      </w:r>
      <w:r>
        <w:rPr>
          <w:i/>
          <w:iCs/>
        </w:rPr>
        <w:t xml:space="preserve">person complained of </w:t>
      </w:r>
      <w:r>
        <w:t xml:space="preserve">and replaces it with the phrase </w:t>
      </w:r>
      <w:r>
        <w:rPr>
          <w:i/>
          <w:iCs/>
        </w:rPr>
        <w:t>respondent</w:t>
      </w:r>
      <w:r>
        <w:t>,</w:t>
      </w:r>
      <w:r>
        <w:rPr>
          <w:i/>
          <w:iCs/>
        </w:rPr>
        <w:t xml:space="preserve"> </w:t>
      </w:r>
      <w:r>
        <w:t>which is a new defined term for the Act (see clause </w:t>
      </w:r>
      <w:r w:rsidR="00713B5D">
        <w:t>33</w:t>
      </w:r>
      <w:r>
        <w:t>)</w:t>
      </w:r>
      <w:r>
        <w:rPr>
          <w:i/>
          <w:iCs/>
        </w:rPr>
        <w:t>.</w:t>
      </w:r>
    </w:p>
    <w:p w14:paraId="3F0A76BE" w14:textId="5B99818D" w:rsidR="007C32D0" w:rsidRDefault="007C32D0" w:rsidP="00672AB4">
      <w:pPr>
        <w:pStyle w:val="Heading3"/>
      </w:pPr>
      <w:r>
        <w:t xml:space="preserve">Clause </w:t>
      </w:r>
      <w:r w:rsidR="00D42F0D">
        <w:t>18</w:t>
      </w:r>
      <w:r>
        <w:tab/>
        <w:t>New s</w:t>
      </w:r>
      <w:r w:rsidRPr="007C32D0">
        <w:t>ection 53Z</w:t>
      </w:r>
      <w:r>
        <w:t>BA</w:t>
      </w:r>
    </w:p>
    <w:p w14:paraId="434B94E7" w14:textId="7C27748F" w:rsidR="007C0C15" w:rsidRDefault="007C0C15" w:rsidP="00A91E2C">
      <w:r w:rsidRPr="00DF2EB4">
        <w:t>This clause</w:t>
      </w:r>
      <w:r>
        <w:t xml:space="preserve"> inserts new section 53ZBA, which empowers the Commission to refer commission-initiated conversion practice matters to ACAT within 60 days after preparing a commission-initiated report under section 84. </w:t>
      </w:r>
    </w:p>
    <w:p w14:paraId="459C2F3E" w14:textId="04753F7A" w:rsidR="007C0C15" w:rsidRDefault="007C0C15" w:rsidP="00A91E2C">
      <w:r>
        <w:t>This amendment enables the Commission to take ‘own-motion’ conversion practice matters to ACAT in the same manner as it is currently empowered to do with respect to own-motion discrimination matters. This better enables the Commission to support the community by pursuing systemic change in appropriate matters.</w:t>
      </w:r>
    </w:p>
    <w:p w14:paraId="21A5172E" w14:textId="3BA88AB7" w:rsidR="007C32D0" w:rsidRPr="007C0C15" w:rsidRDefault="007C0C15" w:rsidP="00A91E2C">
      <w:r w:rsidRPr="005F5080">
        <w:t>New section 53</w:t>
      </w:r>
      <w:r>
        <w:t xml:space="preserve">ZBA (3) </w:t>
      </w:r>
      <w:r w:rsidRPr="005F5080">
        <w:t>requires the Commission to give notice of the referral to the respondent</w:t>
      </w:r>
      <w:r>
        <w:t xml:space="preserve">. </w:t>
      </w:r>
    </w:p>
    <w:p w14:paraId="789DEC65" w14:textId="3238F850" w:rsidR="007C32D0" w:rsidRDefault="007C32D0" w:rsidP="00672AB4">
      <w:pPr>
        <w:pStyle w:val="Heading3"/>
      </w:pPr>
      <w:r>
        <w:t xml:space="preserve">Clause </w:t>
      </w:r>
      <w:r w:rsidR="00D42F0D">
        <w:t>19</w:t>
      </w:r>
      <w:r>
        <w:tab/>
      </w:r>
      <w:r w:rsidRPr="007C32D0">
        <w:t>Section 71A</w:t>
      </w:r>
    </w:p>
    <w:p w14:paraId="64F939F2" w14:textId="22C4E6C1" w:rsidR="007C32D0" w:rsidRDefault="007C0C15" w:rsidP="00A91E2C">
      <w:pPr>
        <w:rPr>
          <w:b/>
          <w:bCs/>
        </w:rPr>
      </w:pPr>
      <w:r w:rsidRPr="007C0C15">
        <w:t>This clause substitutes section 71A. The</w:t>
      </w:r>
      <w:r>
        <w:t xml:space="preserve"> purpose of this amendment is to</w:t>
      </w:r>
      <w:r w:rsidRPr="007C0C15">
        <w:t xml:space="preserve"> </w:t>
      </w:r>
      <w:r>
        <w:t xml:space="preserve">remove references to </w:t>
      </w:r>
      <w:r>
        <w:rPr>
          <w:i/>
          <w:iCs/>
        </w:rPr>
        <w:t xml:space="preserve">person complained about </w:t>
      </w:r>
      <w:r>
        <w:t>in</w:t>
      </w:r>
      <w:r w:rsidRPr="007C0C15">
        <w:t xml:space="preserve"> section 71A and</w:t>
      </w:r>
      <w:r>
        <w:t xml:space="preserve"> replace it with the phrase </w:t>
      </w:r>
      <w:r>
        <w:rPr>
          <w:i/>
          <w:iCs/>
        </w:rPr>
        <w:t>respondent</w:t>
      </w:r>
      <w:r>
        <w:t>,</w:t>
      </w:r>
      <w:r>
        <w:rPr>
          <w:i/>
          <w:iCs/>
        </w:rPr>
        <w:t xml:space="preserve"> </w:t>
      </w:r>
      <w:r>
        <w:t>which is a new defined term for the Act (see clause </w:t>
      </w:r>
      <w:r w:rsidR="00713B5D">
        <w:t>33</w:t>
      </w:r>
      <w:r>
        <w:t>)</w:t>
      </w:r>
      <w:r>
        <w:rPr>
          <w:i/>
          <w:iCs/>
        </w:rPr>
        <w:t xml:space="preserve">. </w:t>
      </w:r>
      <w:r>
        <w:t xml:space="preserve">The Bill makes this change throughout the HRC Act, to make it clear that the Commission’s complaints-handling procedures (including the power to make recommendations at the end of a complaint) also apply to unincorporated </w:t>
      </w:r>
      <w:r w:rsidRPr="007C0C15">
        <w:t>entities.</w:t>
      </w:r>
    </w:p>
    <w:p w14:paraId="016D56DD" w14:textId="7F35CCFC" w:rsidR="007C32D0" w:rsidRPr="006F5AF7" w:rsidRDefault="007C32D0" w:rsidP="00E15D1B">
      <w:pPr>
        <w:pStyle w:val="Heading3"/>
        <w:ind w:left="1440" w:hanging="1440"/>
      </w:pPr>
      <w:r w:rsidRPr="006F5AF7">
        <w:t xml:space="preserve">Clause </w:t>
      </w:r>
      <w:r w:rsidR="00D42F0D" w:rsidRPr="006F5AF7">
        <w:t>20</w:t>
      </w:r>
      <w:r w:rsidRPr="006F5AF7">
        <w:tab/>
        <w:t xml:space="preserve">When complaints can be closed </w:t>
      </w:r>
      <w:r w:rsidR="00E15D1B">
        <w:br/>
      </w:r>
      <w:r w:rsidRPr="006F5AF7">
        <w:t>New section 78 (1) (h)</w:t>
      </w:r>
    </w:p>
    <w:p w14:paraId="06D01840" w14:textId="764B1F71" w:rsidR="00D42F0D" w:rsidRDefault="00D42F0D" w:rsidP="00A91E2C">
      <w:r w:rsidRPr="006F5AF7">
        <w:t>This clause inserts new section 78</w:t>
      </w:r>
      <w:r w:rsidRPr="00D42F0D">
        <w:t xml:space="preserve"> (1) (h), which will allow the Commission to close a complaint where it is satisfied, taking into account all the circumstances, that further consideration of the complaint is not justified.  </w:t>
      </w:r>
    </w:p>
    <w:p w14:paraId="41DF0A18" w14:textId="06A2B1C9" w:rsidR="007C32D0" w:rsidRPr="00D42F0D" w:rsidRDefault="00D42F0D" w:rsidP="00A91E2C">
      <w:r>
        <w:t>This new ground for closure reflects the breadth and diversity of the Commission’s jurisdictions and that there are a range of circumstances where it may not be appropriate for the Commission, in its discretion, to continue to consider a complaint.</w:t>
      </w:r>
      <w:r w:rsidR="006F5AF7">
        <w:t xml:space="preserve"> </w:t>
      </w:r>
    </w:p>
    <w:p w14:paraId="6EF6487E" w14:textId="4FB0D9BD" w:rsidR="007C32D0" w:rsidRDefault="007C32D0" w:rsidP="00E15D1B">
      <w:pPr>
        <w:pStyle w:val="Heading3"/>
        <w:ind w:left="1440" w:hanging="1440"/>
      </w:pPr>
      <w:r>
        <w:t xml:space="preserve">Clause </w:t>
      </w:r>
      <w:r w:rsidR="00A91E2C">
        <w:t>21</w:t>
      </w:r>
      <w:r>
        <w:tab/>
      </w:r>
      <w:r w:rsidRPr="007C32D0">
        <w:t xml:space="preserve">Final Report </w:t>
      </w:r>
      <w:r w:rsidR="00E15D1B">
        <w:br/>
      </w:r>
      <w:r w:rsidRPr="007C32D0">
        <w:t>Section 81 (1) and note</w:t>
      </w:r>
    </w:p>
    <w:p w14:paraId="4E64A202" w14:textId="7E079484" w:rsidR="007C32D0" w:rsidRPr="006F5AF7" w:rsidRDefault="006F5AF7" w:rsidP="00A91E2C">
      <w:r w:rsidRPr="004E1ED9">
        <w:t>This clause</w:t>
      </w:r>
      <w:r>
        <w:t xml:space="preserve"> removes reference to the phrase </w:t>
      </w:r>
      <w:r>
        <w:rPr>
          <w:i/>
          <w:iCs/>
        </w:rPr>
        <w:t xml:space="preserve">person complained of </w:t>
      </w:r>
      <w:r>
        <w:t xml:space="preserve">in section 81 (1), and replaces it with the phrase </w:t>
      </w:r>
      <w:r>
        <w:rPr>
          <w:i/>
          <w:iCs/>
        </w:rPr>
        <w:t>respondent</w:t>
      </w:r>
      <w:r>
        <w:t>,</w:t>
      </w:r>
      <w:r>
        <w:rPr>
          <w:i/>
          <w:iCs/>
        </w:rPr>
        <w:t xml:space="preserve"> </w:t>
      </w:r>
      <w:r>
        <w:t>which is a new defined term for the Act (see clause </w:t>
      </w:r>
      <w:r w:rsidR="00713B5D">
        <w:t>33</w:t>
      </w:r>
      <w:r>
        <w:t>)</w:t>
      </w:r>
      <w:r>
        <w:rPr>
          <w:i/>
          <w:iCs/>
        </w:rPr>
        <w:t xml:space="preserve">. </w:t>
      </w:r>
      <w:r>
        <w:t xml:space="preserve">The Bill makes this change throughout the HRC Act, to make it clear </w:t>
      </w:r>
      <w:r>
        <w:lastRenderedPageBreak/>
        <w:t xml:space="preserve">that the Commission’s complaints-handling procedures (including the power to make recommendations at the end of a complaint) also apply to unincorporated </w:t>
      </w:r>
      <w:r w:rsidRPr="007C0C15">
        <w:t xml:space="preserve">entities. </w:t>
      </w:r>
    </w:p>
    <w:p w14:paraId="180DF927" w14:textId="200DED44" w:rsidR="007C32D0" w:rsidRDefault="007C32D0" w:rsidP="00E15D1B">
      <w:pPr>
        <w:pStyle w:val="Heading3"/>
        <w:ind w:left="1440" w:hanging="1440"/>
      </w:pPr>
      <w:r>
        <w:t xml:space="preserve">Clause </w:t>
      </w:r>
      <w:r w:rsidR="006F5AF7">
        <w:t>22</w:t>
      </w:r>
      <w:r>
        <w:tab/>
      </w:r>
      <w:r w:rsidRPr="007C32D0">
        <w:t xml:space="preserve">Closing discrimination complaints </w:t>
      </w:r>
      <w:r w:rsidR="00E15D1B">
        <w:br/>
      </w:r>
      <w:r w:rsidRPr="007C32D0">
        <w:t>New section 82 (2) (a</w:t>
      </w:r>
      <w:r w:rsidR="006F5AF7">
        <w:t>a</w:t>
      </w:r>
      <w:r w:rsidRPr="007C32D0">
        <w:t>)</w:t>
      </w:r>
    </w:p>
    <w:p w14:paraId="3A64372C" w14:textId="67D7F229" w:rsidR="00AE39FC" w:rsidRDefault="006F5AF7" w:rsidP="00A91E2C">
      <w:r w:rsidRPr="006F5AF7">
        <w:t>This clause inserts new section 82 (2) (aa), with the effect that the Commission will not need to include a discrimination referral statement in its final report under section</w:t>
      </w:r>
      <w:r w:rsidR="00AE39FC">
        <w:t> </w:t>
      </w:r>
      <w:r w:rsidRPr="006F5AF7">
        <w:t xml:space="preserve">81 in relation to a discrimination complaint, where the complaint has been resolved (other than through a conciliation agreement) to the Commission’s satisfaction. </w:t>
      </w:r>
    </w:p>
    <w:p w14:paraId="074592F0" w14:textId="446A3AF2" w:rsidR="007C32D0" w:rsidRPr="006F5AF7" w:rsidRDefault="006F5AF7" w:rsidP="00A91E2C">
      <w:r w:rsidRPr="006F5AF7">
        <w:t xml:space="preserve">Where the complaint is resolved, the inclusion of a referral statement </w:t>
      </w:r>
      <w:r>
        <w:t>informing the complainant of their right to ask for the matter to be referred to ACAT is unnecessary.</w:t>
      </w:r>
    </w:p>
    <w:p w14:paraId="30D16DFF" w14:textId="1544F9A8" w:rsidR="007C32D0" w:rsidRDefault="007C32D0" w:rsidP="00672AB4">
      <w:pPr>
        <w:pStyle w:val="Heading3"/>
      </w:pPr>
      <w:r>
        <w:t xml:space="preserve">Clause </w:t>
      </w:r>
      <w:r w:rsidR="006F5AF7">
        <w:t>23</w:t>
      </w:r>
      <w:r>
        <w:tab/>
      </w:r>
      <w:r w:rsidRPr="007C32D0">
        <w:t>New section 82 (2) (c)</w:t>
      </w:r>
    </w:p>
    <w:p w14:paraId="1003162E" w14:textId="2E29A25E" w:rsidR="00AE39FC" w:rsidRDefault="006F5AF7" w:rsidP="00A91E2C">
      <w:r w:rsidRPr="006F5AF7">
        <w:t>This clause inserts new section 82 (2) (</w:t>
      </w:r>
      <w:r w:rsidR="00AE39FC">
        <w:t>c</w:t>
      </w:r>
      <w:r w:rsidRPr="006F5AF7">
        <w:t>), with the effect that the Commission will not need to include a discrimination referral statement in its final report under section</w:t>
      </w:r>
      <w:r w:rsidR="00AE39FC">
        <w:t> </w:t>
      </w:r>
      <w:r w:rsidRPr="006F5AF7">
        <w:t xml:space="preserve">81 in relation to a discrimination complaint, where the complaint has been </w:t>
      </w:r>
      <w:r w:rsidR="00AE39FC">
        <w:t>closed because the complainant has, without good reason, failed to take reasonable steps to resolve it</w:t>
      </w:r>
      <w:r w:rsidRPr="006F5AF7">
        <w:t xml:space="preserve">. </w:t>
      </w:r>
    </w:p>
    <w:p w14:paraId="7F7B59F8" w14:textId="213F1380" w:rsidR="007C32D0" w:rsidRPr="00AE39FC" w:rsidRDefault="006F5AF7" w:rsidP="00A91E2C">
      <w:r w:rsidRPr="006F5AF7">
        <w:t>Where the complain</w:t>
      </w:r>
      <w:r w:rsidR="00AE39FC">
        <w:t>ant has ceased engaging with the complaints process</w:t>
      </w:r>
      <w:r w:rsidRPr="006F5AF7">
        <w:t xml:space="preserve">, the inclusion of a referral statement </w:t>
      </w:r>
      <w:r>
        <w:t>informing the complainant of their right to ask for the matter to be referred to ACAT is unnecessary.</w:t>
      </w:r>
    </w:p>
    <w:p w14:paraId="3F1C2272" w14:textId="24F180BF" w:rsidR="007C32D0" w:rsidRDefault="007C32D0" w:rsidP="00E15D1B">
      <w:pPr>
        <w:pStyle w:val="Heading3"/>
        <w:ind w:left="1440" w:hanging="1440"/>
      </w:pPr>
      <w:r>
        <w:t xml:space="preserve">Clause </w:t>
      </w:r>
      <w:r w:rsidR="00AE39FC">
        <w:t>24</w:t>
      </w:r>
      <w:r>
        <w:tab/>
      </w:r>
      <w:r w:rsidRPr="007C32D0">
        <w:t xml:space="preserve">Closing retirement village complaints </w:t>
      </w:r>
      <w:r w:rsidR="00E15D1B">
        <w:br/>
      </w:r>
      <w:r w:rsidRPr="007C32D0">
        <w:t>New section 82A (2) (a</w:t>
      </w:r>
      <w:r w:rsidR="00AE39FC">
        <w:t>a</w:t>
      </w:r>
      <w:r w:rsidRPr="007C32D0">
        <w:t>)</w:t>
      </w:r>
    </w:p>
    <w:p w14:paraId="61F54C08" w14:textId="5A4AC2D7" w:rsidR="00AE39FC" w:rsidRDefault="00AE39FC" w:rsidP="00A91E2C">
      <w:r w:rsidRPr="006F5AF7">
        <w:t>This clause inserts new section 82</w:t>
      </w:r>
      <w:r>
        <w:t>A</w:t>
      </w:r>
      <w:r w:rsidRPr="006F5AF7">
        <w:t xml:space="preserve"> (2) (a</w:t>
      </w:r>
      <w:r>
        <w:t>a</w:t>
      </w:r>
      <w:r w:rsidRPr="006F5AF7">
        <w:t xml:space="preserve">), with the effect that the Commission will not need to include a </w:t>
      </w:r>
      <w:r>
        <w:t>retirement village</w:t>
      </w:r>
      <w:r w:rsidRPr="006F5AF7">
        <w:t xml:space="preserve"> referral statement in its final report under section</w:t>
      </w:r>
      <w:r>
        <w:t> </w:t>
      </w:r>
      <w:r w:rsidRPr="006F5AF7">
        <w:t xml:space="preserve">81 in relation to a </w:t>
      </w:r>
      <w:r>
        <w:t>retirement village</w:t>
      </w:r>
      <w:r w:rsidRPr="006F5AF7">
        <w:t xml:space="preserve"> complaint, where the complaint has been resolved (other than through a conciliation agreement) to the Commission’s satisfaction. </w:t>
      </w:r>
    </w:p>
    <w:p w14:paraId="47DB0F4C" w14:textId="3DDA9D1E" w:rsidR="00AE39FC" w:rsidRDefault="00AE39FC" w:rsidP="00A91E2C">
      <w:r w:rsidRPr="006F5AF7">
        <w:t xml:space="preserve">Where the complaint is resolved, the inclusion of a referral statement </w:t>
      </w:r>
      <w:r>
        <w:t>informing the complainant of their right to ask for the matter to be referred to ACAT is unnecessary.</w:t>
      </w:r>
    </w:p>
    <w:p w14:paraId="353EAF13" w14:textId="5DE660B9" w:rsidR="007C32D0" w:rsidRPr="00672AB4" w:rsidRDefault="007C32D0" w:rsidP="00672AB4">
      <w:pPr>
        <w:pStyle w:val="Heading3"/>
      </w:pPr>
      <w:r w:rsidRPr="00672AB4">
        <w:t xml:space="preserve">Clause </w:t>
      </w:r>
      <w:r w:rsidR="00AE39FC" w:rsidRPr="00672AB4">
        <w:t>25</w:t>
      </w:r>
      <w:r w:rsidRPr="00672AB4">
        <w:tab/>
        <w:t>New section 82A (2) (c)</w:t>
      </w:r>
    </w:p>
    <w:p w14:paraId="0754CEF6" w14:textId="2159B296" w:rsidR="00AE39FC" w:rsidRDefault="00AE39FC" w:rsidP="00A91E2C">
      <w:r w:rsidRPr="006F5AF7">
        <w:t>This clause inserts new section 82</w:t>
      </w:r>
      <w:r>
        <w:t>A</w:t>
      </w:r>
      <w:r w:rsidRPr="006F5AF7">
        <w:t xml:space="preserve"> (2) (</w:t>
      </w:r>
      <w:r>
        <w:t>c</w:t>
      </w:r>
      <w:r w:rsidRPr="006F5AF7">
        <w:t xml:space="preserve">), with the effect that the Commission will not need to include a </w:t>
      </w:r>
      <w:r>
        <w:t>retirement village</w:t>
      </w:r>
      <w:r w:rsidRPr="006F5AF7">
        <w:t xml:space="preserve"> referral statement in its final report under section</w:t>
      </w:r>
      <w:r>
        <w:t> </w:t>
      </w:r>
      <w:r w:rsidRPr="006F5AF7">
        <w:t xml:space="preserve">81 in relation to a </w:t>
      </w:r>
      <w:r>
        <w:t>retirement village</w:t>
      </w:r>
      <w:r w:rsidRPr="006F5AF7">
        <w:t xml:space="preserve"> complaint, where the complaint has been </w:t>
      </w:r>
      <w:r>
        <w:t>closed because the complainant has, without good reason, failed to take reasonable steps to resolve it</w:t>
      </w:r>
      <w:r w:rsidRPr="006F5AF7">
        <w:t xml:space="preserve">. </w:t>
      </w:r>
    </w:p>
    <w:p w14:paraId="57C8DD6F" w14:textId="2064728A" w:rsidR="007C32D0" w:rsidRDefault="00AE39FC" w:rsidP="00A91E2C">
      <w:pPr>
        <w:rPr>
          <w:b/>
          <w:bCs/>
        </w:rPr>
      </w:pPr>
      <w:r w:rsidRPr="006F5AF7">
        <w:lastRenderedPageBreak/>
        <w:t>Where the complain</w:t>
      </w:r>
      <w:r>
        <w:t>ant has ceased engaging with the complaints process</w:t>
      </w:r>
      <w:r w:rsidRPr="006F5AF7">
        <w:t xml:space="preserve">, the inclusion of a referral statement </w:t>
      </w:r>
      <w:r>
        <w:t>informing the complainant of their right to ask for the matter to be referred to ACAT is unnecessary.</w:t>
      </w:r>
    </w:p>
    <w:p w14:paraId="05A1FEE0" w14:textId="6C8ACB23" w:rsidR="007C32D0" w:rsidRDefault="007C32D0" w:rsidP="00E15D1B">
      <w:pPr>
        <w:pStyle w:val="Heading3"/>
        <w:ind w:left="1440" w:hanging="1440"/>
      </w:pPr>
      <w:r>
        <w:t xml:space="preserve">Clause </w:t>
      </w:r>
      <w:r w:rsidR="00AE39FC">
        <w:t>26</w:t>
      </w:r>
      <w:r>
        <w:tab/>
      </w:r>
      <w:r w:rsidRPr="007C32D0">
        <w:t xml:space="preserve">Closing occupancy dispute complaints </w:t>
      </w:r>
      <w:r w:rsidR="00E15D1B">
        <w:br/>
      </w:r>
      <w:r w:rsidRPr="007C32D0">
        <w:t>New section 82B (2) (a</w:t>
      </w:r>
      <w:r w:rsidR="00AE39FC">
        <w:t>a</w:t>
      </w:r>
      <w:r w:rsidRPr="007C32D0">
        <w:t>)</w:t>
      </w:r>
    </w:p>
    <w:p w14:paraId="4F177650" w14:textId="16E2842E" w:rsidR="00AE39FC" w:rsidRDefault="00AE39FC" w:rsidP="00A91E2C">
      <w:r w:rsidRPr="006F5AF7">
        <w:t>This clause inserts new section 82</w:t>
      </w:r>
      <w:r>
        <w:t>B</w:t>
      </w:r>
      <w:r w:rsidRPr="006F5AF7">
        <w:t xml:space="preserve"> (2) (aa), with the effect that the Commission will not need to include </w:t>
      </w:r>
      <w:r>
        <w:t>an occupancy dispute</w:t>
      </w:r>
      <w:r w:rsidRPr="006F5AF7">
        <w:t xml:space="preserve"> referral statement in its final report under section</w:t>
      </w:r>
      <w:r>
        <w:t> </w:t>
      </w:r>
      <w:r w:rsidRPr="006F5AF7">
        <w:t xml:space="preserve">81 in relation to </w:t>
      </w:r>
      <w:r>
        <w:t>an occupancy dispute</w:t>
      </w:r>
      <w:r w:rsidRPr="006F5AF7">
        <w:t xml:space="preserve"> complaint, where the complaint has been resolved (other than through a conciliation agreement) to the Commission’s satisfaction. </w:t>
      </w:r>
    </w:p>
    <w:p w14:paraId="4B021DB3" w14:textId="50DFC8F4" w:rsidR="007C32D0" w:rsidRPr="00AE39FC" w:rsidRDefault="00AE39FC" w:rsidP="00A91E2C">
      <w:r w:rsidRPr="006F5AF7">
        <w:t xml:space="preserve">Where the complaint is resolved, the inclusion of a referral statement </w:t>
      </w:r>
      <w:r>
        <w:t>informing the complainant of their right to ask for the matter to be referred to ACAT is unnecessary.</w:t>
      </w:r>
    </w:p>
    <w:p w14:paraId="47B389B5" w14:textId="3F8459FC" w:rsidR="007C32D0" w:rsidRDefault="007C32D0" w:rsidP="00672AB4">
      <w:pPr>
        <w:pStyle w:val="Heading3"/>
      </w:pPr>
      <w:r>
        <w:t xml:space="preserve">Clause </w:t>
      </w:r>
      <w:r w:rsidR="00A91E2C">
        <w:t>27</w:t>
      </w:r>
      <w:r>
        <w:tab/>
      </w:r>
      <w:r w:rsidRPr="007C32D0">
        <w:t>New section 82B (2) (c)</w:t>
      </w:r>
    </w:p>
    <w:p w14:paraId="72E56E31" w14:textId="73399778" w:rsidR="00AE39FC" w:rsidRDefault="00AE39FC" w:rsidP="00A91E2C">
      <w:r w:rsidRPr="006F5AF7">
        <w:t>This clause inserts new section 82</w:t>
      </w:r>
      <w:r>
        <w:t>B</w:t>
      </w:r>
      <w:r w:rsidRPr="006F5AF7">
        <w:t xml:space="preserve"> (2) (</w:t>
      </w:r>
      <w:r>
        <w:t>c</w:t>
      </w:r>
      <w:r w:rsidRPr="006F5AF7">
        <w:t xml:space="preserve">), with the effect that the Commission will not need to include </w:t>
      </w:r>
      <w:r>
        <w:t>an occupancy dispute</w:t>
      </w:r>
      <w:r w:rsidRPr="006F5AF7">
        <w:t xml:space="preserve"> referral statement in its final report under section</w:t>
      </w:r>
      <w:r>
        <w:t> </w:t>
      </w:r>
      <w:r w:rsidRPr="006F5AF7">
        <w:t xml:space="preserve">81 in relation to </w:t>
      </w:r>
      <w:r>
        <w:t>an occupancy dispute</w:t>
      </w:r>
      <w:r w:rsidRPr="006F5AF7">
        <w:t xml:space="preserve"> complaint, where the complaint has been </w:t>
      </w:r>
      <w:r>
        <w:t>closed because the complainant has, without good reason, failed to take reasonable steps to resolve it</w:t>
      </w:r>
      <w:r w:rsidRPr="006F5AF7">
        <w:t xml:space="preserve">. </w:t>
      </w:r>
    </w:p>
    <w:p w14:paraId="404B6125" w14:textId="46B70C7E" w:rsidR="007C32D0" w:rsidRDefault="00AE39FC" w:rsidP="00A91E2C">
      <w:pPr>
        <w:rPr>
          <w:b/>
          <w:bCs/>
        </w:rPr>
      </w:pPr>
      <w:r w:rsidRPr="006F5AF7">
        <w:t>Where the complain</w:t>
      </w:r>
      <w:r>
        <w:t>ant has ceased engaging with the complaints process</w:t>
      </w:r>
      <w:r w:rsidRPr="006F5AF7">
        <w:t xml:space="preserve">, the inclusion of a referral statement </w:t>
      </w:r>
      <w:r>
        <w:t>informing the complainant of their right to ask for the matter to be referred to ACAT is unnecessary.</w:t>
      </w:r>
    </w:p>
    <w:p w14:paraId="141EE19F" w14:textId="4C726B64" w:rsidR="007C32D0" w:rsidRDefault="007C32D0" w:rsidP="00E15D1B">
      <w:pPr>
        <w:pStyle w:val="Heading3"/>
        <w:ind w:left="1440" w:hanging="1440"/>
      </w:pPr>
      <w:r>
        <w:t xml:space="preserve">Clause </w:t>
      </w:r>
      <w:r w:rsidR="00AE39FC">
        <w:t>28</w:t>
      </w:r>
      <w:r>
        <w:tab/>
      </w:r>
      <w:r w:rsidRPr="007C32D0">
        <w:t xml:space="preserve">Closing conversion practice complaints </w:t>
      </w:r>
      <w:r w:rsidR="00E15D1B">
        <w:br/>
      </w:r>
      <w:r w:rsidRPr="007C32D0">
        <w:t>New section 82C (2) (a</w:t>
      </w:r>
      <w:r w:rsidR="00AE39FC">
        <w:t>a</w:t>
      </w:r>
      <w:r w:rsidRPr="007C32D0">
        <w:t>)</w:t>
      </w:r>
    </w:p>
    <w:p w14:paraId="00937EFC" w14:textId="1D612BB0" w:rsidR="00AE39FC" w:rsidRDefault="00AE39FC" w:rsidP="00A91E2C">
      <w:r w:rsidRPr="006F5AF7">
        <w:t>This clause inserts new section 82</w:t>
      </w:r>
      <w:r>
        <w:t>C</w:t>
      </w:r>
      <w:r w:rsidRPr="006F5AF7">
        <w:t xml:space="preserve"> (2) (aa), with the effect that the Commission will not need to include </w:t>
      </w:r>
      <w:r>
        <w:t xml:space="preserve">a </w:t>
      </w:r>
      <w:r w:rsidRPr="00AE39FC">
        <w:t>conversion practice</w:t>
      </w:r>
      <w:r>
        <w:t xml:space="preserve"> </w:t>
      </w:r>
      <w:r w:rsidRPr="006F5AF7">
        <w:t>referral statement in its final report under section</w:t>
      </w:r>
      <w:r>
        <w:t> </w:t>
      </w:r>
      <w:r w:rsidRPr="006F5AF7">
        <w:t xml:space="preserve">81 in relation to </w:t>
      </w:r>
      <w:r>
        <w:t xml:space="preserve">a </w:t>
      </w:r>
      <w:r w:rsidRPr="00AE39FC">
        <w:t>conversion practice</w:t>
      </w:r>
      <w:r>
        <w:t xml:space="preserve"> </w:t>
      </w:r>
      <w:r w:rsidRPr="006F5AF7">
        <w:t xml:space="preserve">complaint, where the complaint has been resolved (other than through a conciliation agreement) to the Commission’s satisfaction. </w:t>
      </w:r>
    </w:p>
    <w:p w14:paraId="23A4AAA1" w14:textId="4BDFE1F2" w:rsidR="007D42A4" w:rsidRPr="00AE39FC" w:rsidRDefault="00AE39FC" w:rsidP="00A91E2C">
      <w:r w:rsidRPr="006F5AF7">
        <w:t xml:space="preserve">Where the complaint is resolved, the inclusion of a referral statement </w:t>
      </w:r>
      <w:r>
        <w:t>informing the complainant of their right to ask for the matter to be referred to ACAT is unnecessary.</w:t>
      </w:r>
    </w:p>
    <w:p w14:paraId="38CB4CDD" w14:textId="202173A3" w:rsidR="007D42A4" w:rsidRDefault="007D42A4" w:rsidP="00672AB4">
      <w:pPr>
        <w:pStyle w:val="Heading3"/>
      </w:pPr>
      <w:r>
        <w:t xml:space="preserve">Clause </w:t>
      </w:r>
      <w:r w:rsidR="00AE39FC">
        <w:t>29</w:t>
      </w:r>
      <w:r>
        <w:tab/>
      </w:r>
      <w:r w:rsidRPr="007D42A4">
        <w:t>New section 82C (2) (c</w:t>
      </w:r>
      <w:r>
        <w:t>)</w:t>
      </w:r>
    </w:p>
    <w:p w14:paraId="6EAADD10" w14:textId="4A16C182" w:rsidR="00AE39FC" w:rsidRDefault="00AE39FC" w:rsidP="00A91E2C">
      <w:pPr>
        <w:keepNext/>
      </w:pPr>
      <w:r w:rsidRPr="006F5AF7">
        <w:t>This clause inserts new section 82</w:t>
      </w:r>
      <w:r>
        <w:t>C</w:t>
      </w:r>
      <w:r w:rsidRPr="006F5AF7">
        <w:t xml:space="preserve"> (2) (</w:t>
      </w:r>
      <w:r>
        <w:t>c</w:t>
      </w:r>
      <w:r w:rsidRPr="006F5AF7">
        <w:t xml:space="preserve">), with the effect that the Commission will not need to include </w:t>
      </w:r>
      <w:r>
        <w:t xml:space="preserve">a </w:t>
      </w:r>
      <w:r w:rsidRPr="00AE39FC">
        <w:t>conversion practice</w:t>
      </w:r>
      <w:r>
        <w:t xml:space="preserve"> </w:t>
      </w:r>
      <w:r w:rsidRPr="006F5AF7">
        <w:t>referral statement in its final report under section</w:t>
      </w:r>
      <w:r>
        <w:t> </w:t>
      </w:r>
      <w:r w:rsidRPr="006F5AF7">
        <w:t xml:space="preserve">81 in relation to </w:t>
      </w:r>
      <w:r>
        <w:t xml:space="preserve">a </w:t>
      </w:r>
      <w:r w:rsidRPr="00AE39FC">
        <w:t>conversion practice</w:t>
      </w:r>
      <w:r>
        <w:t xml:space="preserve"> </w:t>
      </w:r>
      <w:r w:rsidRPr="006F5AF7">
        <w:t xml:space="preserve">complaint, where the complaint has </w:t>
      </w:r>
      <w:r w:rsidRPr="006F5AF7">
        <w:lastRenderedPageBreak/>
        <w:t xml:space="preserve">been </w:t>
      </w:r>
      <w:r>
        <w:t>closed because the complainant has, without good reason, failed to take reasonable steps to resolve it</w:t>
      </w:r>
      <w:r w:rsidRPr="006F5AF7">
        <w:t xml:space="preserve">. </w:t>
      </w:r>
    </w:p>
    <w:p w14:paraId="5D5E9D5E" w14:textId="1551CA5A" w:rsidR="007D42A4" w:rsidRDefault="00AE39FC" w:rsidP="00A91E2C">
      <w:pPr>
        <w:rPr>
          <w:b/>
          <w:bCs/>
        </w:rPr>
      </w:pPr>
      <w:r w:rsidRPr="006F5AF7">
        <w:t>Where the complain</w:t>
      </w:r>
      <w:r>
        <w:t>ant has ceased engaging with the complaints process</w:t>
      </w:r>
      <w:r w:rsidRPr="006F5AF7">
        <w:t xml:space="preserve">, the inclusion of a referral statement </w:t>
      </w:r>
      <w:r>
        <w:t>informing the complainant of their right to ask for the matter to be referred to ACAT is unnecessary.</w:t>
      </w:r>
    </w:p>
    <w:p w14:paraId="3184477B" w14:textId="6D247D9F" w:rsidR="007D42A4" w:rsidRDefault="007D42A4" w:rsidP="00E15D1B">
      <w:pPr>
        <w:pStyle w:val="Heading3"/>
        <w:ind w:left="1440" w:hanging="1440"/>
      </w:pPr>
      <w:r>
        <w:t xml:space="preserve">Clause </w:t>
      </w:r>
      <w:r w:rsidR="00AE39FC">
        <w:t>30</w:t>
      </w:r>
      <w:r>
        <w:tab/>
      </w:r>
      <w:r w:rsidRPr="007D42A4">
        <w:t xml:space="preserve">Third-party reports </w:t>
      </w:r>
      <w:r w:rsidR="00E15D1B">
        <w:br/>
      </w:r>
      <w:r w:rsidRPr="007D42A4">
        <w:t>Section 83 (6)</w:t>
      </w:r>
    </w:p>
    <w:p w14:paraId="7828309A" w14:textId="6AD5DC81" w:rsidR="007D42A4" w:rsidRPr="00AE39FC" w:rsidRDefault="00AE39FC" w:rsidP="00A91E2C">
      <w:r w:rsidRPr="007C0C15">
        <w:t xml:space="preserve">This clause makes a minor correction to section </w:t>
      </w:r>
      <w:r>
        <w:t>83 (6)</w:t>
      </w:r>
      <w:r w:rsidRPr="007C0C15">
        <w:t xml:space="preserve"> for grammatical purposes and readability.</w:t>
      </w:r>
      <w:r w:rsidRPr="00B73217">
        <w:t xml:space="preserve"> </w:t>
      </w:r>
    </w:p>
    <w:p w14:paraId="3DD4024C" w14:textId="53CED5B2" w:rsidR="00AE39FC" w:rsidRDefault="00AE39FC" w:rsidP="00672AB4">
      <w:pPr>
        <w:pStyle w:val="Heading3"/>
      </w:pPr>
      <w:r>
        <w:t>Clause 31</w:t>
      </w:r>
      <w:r>
        <w:tab/>
        <w:t>New part 9</w:t>
      </w:r>
    </w:p>
    <w:p w14:paraId="73A2847E" w14:textId="383BCB26" w:rsidR="00AE39FC" w:rsidRDefault="00AE39FC" w:rsidP="00A91E2C">
      <w:r>
        <w:t xml:space="preserve">This clause inserts a new part 9 into the </w:t>
      </w:r>
      <w:r w:rsidR="004C0E8D">
        <w:t xml:space="preserve">HRC </w:t>
      </w:r>
      <w:r>
        <w:t>Act, containing transitional provisions necessary to ensure the Bill’s commencement functions as intended.</w:t>
      </w:r>
    </w:p>
    <w:p w14:paraId="1F86BC2B" w14:textId="143D3E55" w:rsidR="00AE39FC" w:rsidRDefault="00AE39FC" w:rsidP="00A91E2C">
      <w:r>
        <w:t xml:space="preserve">New section 127 </w:t>
      </w:r>
      <w:r w:rsidR="004C0E8D">
        <w:t xml:space="preserve">confirms that the </w:t>
      </w:r>
      <w:r w:rsidR="004C0E8D">
        <w:rPr>
          <w:i/>
          <w:iCs/>
        </w:rPr>
        <w:t xml:space="preserve">commencement day </w:t>
      </w:r>
      <w:r w:rsidR="004C0E8D">
        <w:t>is the day the new part 9 commences.</w:t>
      </w:r>
    </w:p>
    <w:p w14:paraId="00FD710C" w14:textId="259C87D0" w:rsidR="004C0E8D" w:rsidRDefault="004C0E8D" w:rsidP="00A91E2C">
      <w:r>
        <w:t xml:space="preserve">New section 128 confirms that from commencement day, provisions of the HRC Act which referred to the </w:t>
      </w:r>
      <w:r>
        <w:rPr>
          <w:i/>
          <w:iCs/>
        </w:rPr>
        <w:t xml:space="preserve">person complained about </w:t>
      </w:r>
      <w:r>
        <w:t xml:space="preserve">are to be read as if the provisions referred to the </w:t>
      </w:r>
      <w:r>
        <w:rPr>
          <w:i/>
          <w:iCs/>
        </w:rPr>
        <w:t>respondent</w:t>
      </w:r>
      <w:r>
        <w:t xml:space="preserve">. This provision ensures that there will be no doubt that the Commission’s procedures can continue for complaints that are in progress prior to the Bill becoming law.  </w:t>
      </w:r>
    </w:p>
    <w:p w14:paraId="42370FA1" w14:textId="00A90521" w:rsidR="004C0E8D" w:rsidRDefault="004C0E8D" w:rsidP="00A91E2C">
      <w:r>
        <w:t xml:space="preserve">New section 129 confirms that if a complaint is referred to ACAT, and has not yet been decided by ACAT, prior to commencement day, then the party to the ACAT proceedings who is the </w:t>
      </w:r>
      <w:r>
        <w:rPr>
          <w:i/>
          <w:iCs/>
        </w:rPr>
        <w:t xml:space="preserve">person complained about </w:t>
      </w:r>
      <w:r>
        <w:t xml:space="preserve">is taken to be the </w:t>
      </w:r>
      <w:r>
        <w:rPr>
          <w:i/>
          <w:iCs/>
        </w:rPr>
        <w:t xml:space="preserve">respondent </w:t>
      </w:r>
      <w:r>
        <w:t>and remains a party to the proceedings.</w:t>
      </w:r>
      <w:r w:rsidRPr="004C0E8D">
        <w:t xml:space="preserve"> </w:t>
      </w:r>
      <w:r>
        <w:t xml:space="preserve">This provision ensures that there will be no doubt that ACAT’s proceedings can continue for complaints that are in progress prior to the Bill becoming law.  </w:t>
      </w:r>
    </w:p>
    <w:p w14:paraId="4EB49DAD" w14:textId="3BEC0BDE" w:rsidR="004C0E8D" w:rsidRPr="004C0E8D" w:rsidRDefault="004C0E8D" w:rsidP="00A91E2C">
      <w:r>
        <w:t>New section 130 provides that these transitional provisions will expire after 2 years, at which point they will no longer be necessary.</w:t>
      </w:r>
    </w:p>
    <w:p w14:paraId="3AE669F1" w14:textId="3D61D9ED" w:rsidR="007D42A4" w:rsidRDefault="007D42A4" w:rsidP="00672AB4">
      <w:pPr>
        <w:pStyle w:val="Heading3"/>
        <w:rPr>
          <w:i/>
          <w:iCs/>
        </w:rPr>
      </w:pPr>
      <w:r>
        <w:t xml:space="preserve">Clause </w:t>
      </w:r>
      <w:r w:rsidR="004C0E8D">
        <w:t>32</w:t>
      </w:r>
      <w:r>
        <w:tab/>
      </w:r>
      <w:r w:rsidRPr="007D42A4">
        <w:t xml:space="preserve">Dictionary, </w:t>
      </w:r>
      <w:r w:rsidR="004C0E8D" w:rsidRPr="007D42A4">
        <w:t xml:space="preserve">definition of </w:t>
      </w:r>
      <w:r w:rsidR="004C0E8D" w:rsidRPr="007D42A4">
        <w:rPr>
          <w:i/>
          <w:iCs/>
        </w:rPr>
        <w:t>person complained about</w:t>
      </w:r>
      <w:r w:rsidR="004C0E8D" w:rsidRPr="007D42A4">
        <w:t xml:space="preserve"> </w:t>
      </w:r>
    </w:p>
    <w:p w14:paraId="73B67276" w14:textId="15C5619A" w:rsidR="007D42A4" w:rsidRDefault="004C0E8D" w:rsidP="00A91E2C">
      <w:r w:rsidRPr="004C0E8D">
        <w:t>This clause</w:t>
      </w:r>
      <w:r>
        <w:t xml:space="preserve"> omits the definition of </w:t>
      </w:r>
      <w:r>
        <w:rPr>
          <w:i/>
          <w:iCs/>
        </w:rPr>
        <w:t xml:space="preserve">person complained about </w:t>
      </w:r>
      <w:r>
        <w:t xml:space="preserve">from the Dictionary to the HRC Act. This is because the definition may give rise to ambiguity, including because it is currently only defined with respect to some types of complaints, and because the legal definition of </w:t>
      </w:r>
      <w:r>
        <w:rPr>
          <w:i/>
          <w:iCs/>
        </w:rPr>
        <w:t xml:space="preserve">person </w:t>
      </w:r>
      <w:r>
        <w:t xml:space="preserve">under the </w:t>
      </w:r>
      <w:r w:rsidRPr="004C0E8D">
        <w:rPr>
          <w:i/>
          <w:iCs/>
        </w:rPr>
        <w:t>Legislation Act 2001</w:t>
      </w:r>
      <w:r>
        <w:t xml:space="preserve"> captures natural and legal persons (incorporated entities) but does not extend to unincorporated entities.</w:t>
      </w:r>
    </w:p>
    <w:p w14:paraId="6EF358B7" w14:textId="5EED20C2" w:rsidR="004C0E8D" w:rsidRDefault="004C0E8D" w:rsidP="00A91E2C">
      <w:r>
        <w:t>Unincorporated entities may be the subject of complaints under the HRC Act, including, for example, with respect to discrimination law.</w:t>
      </w:r>
    </w:p>
    <w:p w14:paraId="1E4874DE" w14:textId="373F159A" w:rsidR="004C0E8D" w:rsidRPr="004C0E8D" w:rsidRDefault="004C0E8D" w:rsidP="00A91E2C">
      <w:r>
        <w:lastRenderedPageBreak/>
        <w:t>This amendment, together with the amendment in clause 33, removes any ambiguity.</w:t>
      </w:r>
    </w:p>
    <w:p w14:paraId="52DD9FBF" w14:textId="5FCAD68B" w:rsidR="007D42A4" w:rsidRDefault="007D42A4" w:rsidP="00672AB4">
      <w:pPr>
        <w:pStyle w:val="Heading3"/>
      </w:pPr>
      <w:r>
        <w:t xml:space="preserve">Clause </w:t>
      </w:r>
      <w:r w:rsidR="004C0E8D">
        <w:t>33</w:t>
      </w:r>
      <w:r>
        <w:tab/>
      </w:r>
      <w:r w:rsidRPr="007D42A4">
        <w:t xml:space="preserve">Dictionary, </w:t>
      </w:r>
      <w:r w:rsidR="004C0E8D" w:rsidRPr="007D42A4">
        <w:t xml:space="preserve">new definition of </w:t>
      </w:r>
      <w:r w:rsidR="004C0E8D" w:rsidRPr="007D42A4">
        <w:rPr>
          <w:i/>
          <w:iCs/>
        </w:rPr>
        <w:t>respondent</w:t>
      </w:r>
    </w:p>
    <w:p w14:paraId="159CF85D" w14:textId="77777777" w:rsidR="00737487" w:rsidRDefault="004C0E8D" w:rsidP="00A91E2C">
      <w:r w:rsidRPr="004C0E8D">
        <w:t>This clause inserts a new de</w:t>
      </w:r>
      <w:r>
        <w:t xml:space="preserve">finition of </w:t>
      </w:r>
      <w:r>
        <w:rPr>
          <w:i/>
          <w:iCs/>
        </w:rPr>
        <w:t xml:space="preserve">respondent </w:t>
      </w:r>
      <w:r>
        <w:t xml:space="preserve">into the Dictionary to the HRC Act. </w:t>
      </w:r>
    </w:p>
    <w:p w14:paraId="6B24966F" w14:textId="61813301" w:rsidR="007D42A4" w:rsidRDefault="004C0E8D" w:rsidP="00A91E2C">
      <w:r>
        <w:t xml:space="preserve">The term </w:t>
      </w:r>
      <w:r>
        <w:rPr>
          <w:i/>
          <w:iCs/>
        </w:rPr>
        <w:t xml:space="preserve">respondent </w:t>
      </w:r>
      <w:r w:rsidR="00737487">
        <w:t xml:space="preserve">is given a particular definition with respect to human rights complaints, which may be made in relation to multiple entities that are public authorities under the </w:t>
      </w:r>
      <w:r w:rsidR="00737487">
        <w:rPr>
          <w:i/>
          <w:iCs/>
        </w:rPr>
        <w:t>Human Rights Act 2004</w:t>
      </w:r>
      <w:r w:rsidR="00737487">
        <w:t>.</w:t>
      </w:r>
    </w:p>
    <w:p w14:paraId="6D4BB0A6" w14:textId="356C2837" w:rsidR="00737487" w:rsidRDefault="00737487" w:rsidP="00A91E2C">
      <w:r>
        <w:t xml:space="preserve">For all other types of complaints, </w:t>
      </w:r>
      <w:r>
        <w:rPr>
          <w:i/>
          <w:iCs/>
        </w:rPr>
        <w:t xml:space="preserve">respondent </w:t>
      </w:r>
      <w:r>
        <w:t>is defined as the person or entity complained about. This amendment (together with the amendment in clause 32) removes ambiguity and confirms that an unincorporated entity may be subject to the Commission’s complaints-handling procedures.</w:t>
      </w:r>
    </w:p>
    <w:p w14:paraId="14BE9896" w14:textId="6AD301D1" w:rsidR="00737487" w:rsidRPr="00737487" w:rsidRDefault="00737487" w:rsidP="00A91E2C">
      <w:r>
        <w:t xml:space="preserve">The Bill makes multiple other amendments throughout the HRC Act to replace the phrase </w:t>
      </w:r>
      <w:r>
        <w:rPr>
          <w:i/>
          <w:iCs/>
        </w:rPr>
        <w:t xml:space="preserve">person complained about </w:t>
      </w:r>
      <w:r>
        <w:t xml:space="preserve">with </w:t>
      </w:r>
      <w:r>
        <w:rPr>
          <w:i/>
          <w:iCs/>
        </w:rPr>
        <w:t>respondent</w:t>
      </w:r>
      <w:r>
        <w:t xml:space="preserve">. </w:t>
      </w:r>
    </w:p>
    <w:p w14:paraId="6FEEE434" w14:textId="5DBC3EDB" w:rsidR="007D42A4" w:rsidRDefault="007D42A4" w:rsidP="00672AB4">
      <w:pPr>
        <w:pStyle w:val="Heading3"/>
      </w:pPr>
      <w:r>
        <w:t xml:space="preserve">Clause </w:t>
      </w:r>
      <w:r w:rsidR="00737487">
        <w:t>34</w:t>
      </w:r>
      <w:r>
        <w:tab/>
      </w:r>
      <w:r w:rsidRPr="007D42A4">
        <w:t xml:space="preserve">Dictionary, new definition of </w:t>
      </w:r>
      <w:r w:rsidRPr="007D42A4">
        <w:rPr>
          <w:i/>
          <w:iCs/>
        </w:rPr>
        <w:t>retirement village complaint</w:t>
      </w:r>
    </w:p>
    <w:p w14:paraId="2EE8444D" w14:textId="4273B4BF" w:rsidR="007D42A4" w:rsidRPr="00737487" w:rsidRDefault="00737487" w:rsidP="00A91E2C">
      <w:r>
        <w:t xml:space="preserve">This clause inserts a definition of </w:t>
      </w:r>
      <w:r>
        <w:rPr>
          <w:i/>
          <w:iCs/>
        </w:rPr>
        <w:t xml:space="preserve">retirement village complaint </w:t>
      </w:r>
      <w:r>
        <w:t xml:space="preserve">into the HRC Act (which cross-references to section 54G). This is a minor and technical amendment. The definition has been moved from another part of the Act (see clause </w:t>
      </w:r>
      <w:r w:rsidR="00713B5D">
        <w:t>12</w:t>
      </w:r>
      <w:r>
        <w:t>) but the substance of the definition has not changed.</w:t>
      </w:r>
    </w:p>
    <w:p w14:paraId="6922278B" w14:textId="7255ABB6" w:rsidR="007D42A4" w:rsidRPr="007D42A4" w:rsidRDefault="007D42A4" w:rsidP="00672AB4">
      <w:pPr>
        <w:pStyle w:val="Heading3"/>
        <w:rPr>
          <w:i/>
          <w:iCs/>
        </w:rPr>
      </w:pPr>
      <w:r>
        <w:t xml:space="preserve">Clause </w:t>
      </w:r>
      <w:r w:rsidR="00737487">
        <w:t>35</w:t>
      </w:r>
      <w:r>
        <w:tab/>
      </w:r>
      <w:r w:rsidRPr="007D42A4">
        <w:t xml:space="preserve">Further amendments, mentions of </w:t>
      </w:r>
      <w:r w:rsidRPr="007D42A4">
        <w:rPr>
          <w:i/>
          <w:iCs/>
        </w:rPr>
        <w:t xml:space="preserve">person complained about </w:t>
      </w:r>
    </w:p>
    <w:p w14:paraId="2B865057" w14:textId="2C30D772" w:rsidR="007D42A4" w:rsidRPr="00737487" w:rsidRDefault="00737487" w:rsidP="00A91E2C">
      <w:r w:rsidRPr="00737487">
        <w:t xml:space="preserve">This clause omits references to </w:t>
      </w:r>
      <w:r w:rsidRPr="00737487">
        <w:rPr>
          <w:i/>
          <w:iCs/>
        </w:rPr>
        <w:t xml:space="preserve">person complained about </w:t>
      </w:r>
      <w:r w:rsidRPr="00737487">
        <w:t xml:space="preserve">in multiple places in the HRC Act and replaces them with </w:t>
      </w:r>
      <w:r w:rsidRPr="00737487">
        <w:rPr>
          <w:i/>
          <w:iCs/>
        </w:rPr>
        <w:t>respondent</w:t>
      </w:r>
      <w:r w:rsidRPr="00737487">
        <w:t>. This is a minor and technical amendment, consequential to clause 33.</w:t>
      </w:r>
    </w:p>
    <w:p w14:paraId="7928A764" w14:textId="6BF7AC62" w:rsidR="00DC35E6" w:rsidRPr="00672AB4" w:rsidRDefault="00DC35E6" w:rsidP="00672AB4">
      <w:pPr>
        <w:pStyle w:val="Heading2"/>
      </w:pPr>
      <w:r w:rsidRPr="00672AB4">
        <w:t xml:space="preserve">Part </w:t>
      </w:r>
      <w:r w:rsidR="007C0C15" w:rsidRPr="00672AB4">
        <w:t>4</w:t>
      </w:r>
      <w:r w:rsidRPr="00672AB4">
        <w:t xml:space="preserve"> </w:t>
      </w:r>
      <w:r w:rsidRPr="00672AB4">
        <w:tab/>
        <w:t>Official Visitor Act 2012</w:t>
      </w:r>
    </w:p>
    <w:p w14:paraId="20A19923" w14:textId="5B307CF1" w:rsidR="00DC35E6" w:rsidRDefault="00DC35E6" w:rsidP="00672AB4">
      <w:pPr>
        <w:pStyle w:val="Heading3"/>
      </w:pPr>
      <w:r>
        <w:t xml:space="preserve">Clause </w:t>
      </w:r>
      <w:r w:rsidR="00A91E2C">
        <w:t>36</w:t>
      </w:r>
      <w:r>
        <w:tab/>
        <w:t>New section 24A</w:t>
      </w:r>
    </w:p>
    <w:p w14:paraId="7D3A754B" w14:textId="0CCCB512" w:rsidR="00DC35E6" w:rsidRDefault="00DC35E6" w:rsidP="00A91E2C">
      <w:r>
        <w:t>This clause inserts a new section 24A</w:t>
      </w:r>
      <w:r w:rsidR="00305F1B">
        <w:t xml:space="preserve"> (Protection of others from liability)</w:t>
      </w:r>
      <w:r>
        <w:t xml:space="preserve"> to provide protection to</w:t>
      </w:r>
      <w:r w:rsidR="00305F1B">
        <w:t xml:space="preserve"> an entitled person at a visitable place, or anyone else, who takes any of the following actions honestly and without recklessness from civil or criminal liability only because of taking the action: making a complaint under section 22 to an official visitor; making a complaint, or giving a document or information, as required or allowed under a territory law, to an official visitor.</w:t>
      </w:r>
      <w:r>
        <w:t xml:space="preserve"> It provides that </w:t>
      </w:r>
      <w:r w:rsidR="00305F1B">
        <w:t xml:space="preserve">taking a mentioned action honestly and without recklessness </w:t>
      </w:r>
      <w:r>
        <w:t xml:space="preserve">is not a breach of confidence, or professional etiquette or ethics, or a rule of professional conduct. </w:t>
      </w:r>
    </w:p>
    <w:p w14:paraId="4DF33879" w14:textId="39DD961D" w:rsidR="00DC35E6" w:rsidRDefault="00DC35E6" w:rsidP="00672AB4">
      <w:pPr>
        <w:pStyle w:val="Heading3"/>
      </w:pPr>
      <w:r>
        <w:t xml:space="preserve">Clause </w:t>
      </w:r>
      <w:r w:rsidR="00A91E2C">
        <w:t>37</w:t>
      </w:r>
      <w:r>
        <w:tab/>
        <w:t>New section 25A</w:t>
      </w:r>
    </w:p>
    <w:p w14:paraId="1751146C" w14:textId="10A74459" w:rsidR="00F91343" w:rsidRDefault="00DC35E6" w:rsidP="00A91E2C">
      <w:pPr>
        <w:rPr>
          <w:i/>
          <w:iCs/>
        </w:rPr>
      </w:pPr>
      <w:r>
        <w:t xml:space="preserve">This clause inserts a new section 25A which provides that an official visitor may give </w:t>
      </w:r>
      <w:r w:rsidRPr="00E15D1B">
        <w:rPr>
          <w:i/>
          <w:iCs/>
        </w:rPr>
        <w:t xml:space="preserve">official </w:t>
      </w:r>
      <w:r w:rsidR="00F91343" w:rsidRPr="00E15D1B">
        <w:rPr>
          <w:i/>
          <w:iCs/>
        </w:rPr>
        <w:t>visitor</w:t>
      </w:r>
      <w:r w:rsidRPr="00E15D1B">
        <w:rPr>
          <w:i/>
          <w:iCs/>
        </w:rPr>
        <w:t xml:space="preserve"> information</w:t>
      </w:r>
      <w:r>
        <w:t xml:space="preserve"> to another official visitor, and the receiving official visitor </w:t>
      </w:r>
      <w:r>
        <w:lastRenderedPageBreak/>
        <w:t>may use that information, if the information is necessary for the effective exercise of a function under the</w:t>
      </w:r>
      <w:r w:rsidR="00E15D1B">
        <w:t xml:space="preserve"> OV Act</w:t>
      </w:r>
      <w:r>
        <w:rPr>
          <w:i/>
          <w:iCs/>
        </w:rPr>
        <w:t xml:space="preserve">. </w:t>
      </w:r>
    </w:p>
    <w:p w14:paraId="59C2279B" w14:textId="0C4E9DF4" w:rsidR="00F91343" w:rsidRPr="00F91343" w:rsidRDefault="00F91343" w:rsidP="00A91E2C">
      <w:pPr>
        <w:rPr>
          <w:i/>
          <w:iCs/>
        </w:rPr>
      </w:pPr>
      <w:r>
        <w:rPr>
          <w:rFonts w:eastAsia="Arial" w:cs="Arial"/>
          <w:szCs w:val="24"/>
        </w:rPr>
        <w:t xml:space="preserve">Safeguards are included in the new provision so that any prohibitions on disclosing the information to third parties that apply to the official visitor giving the information will apply equally to the official visitor receiving the information, which is important given the often-sensitive nature of the information disclosed to official visitors.  </w:t>
      </w:r>
    </w:p>
    <w:p w14:paraId="52AD30C4" w14:textId="40763750" w:rsidR="007C6F86" w:rsidRPr="00672AB4" w:rsidRDefault="007C6F86" w:rsidP="00672AB4">
      <w:pPr>
        <w:pStyle w:val="Heading2"/>
        <w:rPr>
          <w:lang w:eastAsia="en-AU"/>
        </w:rPr>
      </w:pPr>
      <w:r>
        <w:rPr>
          <w:lang w:eastAsia="en-AU"/>
        </w:rPr>
        <w:t xml:space="preserve">Part 5 </w:t>
      </w:r>
      <w:r>
        <w:rPr>
          <w:lang w:eastAsia="en-AU"/>
        </w:rPr>
        <w:tab/>
        <w:t>Residential Tenancies Act 1997</w:t>
      </w:r>
    </w:p>
    <w:p w14:paraId="6E8F8E37" w14:textId="53130A11" w:rsidR="007C6F86" w:rsidRPr="00672AB4" w:rsidRDefault="007C6F86" w:rsidP="00E15D1B">
      <w:pPr>
        <w:pStyle w:val="Heading3"/>
        <w:ind w:left="1440" w:hanging="1440"/>
      </w:pPr>
      <w:r w:rsidRPr="00672AB4">
        <w:t xml:space="preserve">Clause </w:t>
      </w:r>
      <w:r w:rsidR="00A91E2C" w:rsidRPr="00672AB4">
        <w:t>38</w:t>
      </w:r>
      <w:r w:rsidRPr="00672AB4">
        <w:tab/>
        <w:t>Repayment of bond to former co-tenant – consecutive tenancy agreement</w:t>
      </w:r>
      <w:r w:rsidR="00672AB4">
        <w:tab/>
      </w:r>
      <w:r w:rsidR="00E15D1B">
        <w:br/>
      </w:r>
      <w:r w:rsidRPr="00672AB4">
        <w:t>New section 35BA (1) (</w:t>
      </w:r>
      <w:proofErr w:type="spellStart"/>
      <w:r w:rsidRPr="00672AB4">
        <w:t>ba</w:t>
      </w:r>
      <w:proofErr w:type="spellEnd"/>
      <w:r w:rsidRPr="00672AB4">
        <w:t>)</w:t>
      </w:r>
    </w:p>
    <w:p w14:paraId="144FBA30" w14:textId="4648FA9B" w:rsidR="007C6F86" w:rsidRDefault="007C6F86" w:rsidP="00F41F82">
      <w:pPr>
        <w:spacing w:after="0"/>
        <w:rPr>
          <w:rFonts w:cs="Arial"/>
          <w:iCs/>
          <w:szCs w:val="24"/>
          <w:lang w:eastAsia="en-AU"/>
        </w:rPr>
      </w:pPr>
      <w:r>
        <w:rPr>
          <w:rFonts w:cs="Arial"/>
          <w:iCs/>
          <w:szCs w:val="24"/>
          <w:lang w:eastAsia="en-AU"/>
        </w:rPr>
        <w:t>This clause inserts a new subsection. The new subsection provides that section</w:t>
      </w:r>
      <w:r w:rsidR="00E15D1B">
        <w:rPr>
          <w:rFonts w:cs="Arial"/>
          <w:iCs/>
          <w:szCs w:val="24"/>
          <w:lang w:eastAsia="en-AU"/>
        </w:rPr>
        <w:t> </w:t>
      </w:r>
      <w:r>
        <w:rPr>
          <w:rFonts w:cs="Arial"/>
          <w:iCs/>
          <w:szCs w:val="24"/>
          <w:lang w:eastAsia="en-AU"/>
        </w:rPr>
        <w:t xml:space="preserve">35BA will only apply where there is a bond held in relation to the property.  </w:t>
      </w:r>
    </w:p>
    <w:p w14:paraId="51A66D9F" w14:textId="77777777" w:rsidR="007C6F86" w:rsidRDefault="007C6F86" w:rsidP="00F41F82">
      <w:pPr>
        <w:spacing w:after="0"/>
        <w:rPr>
          <w:rFonts w:cs="Arial"/>
          <w:iCs/>
          <w:szCs w:val="24"/>
          <w:lang w:eastAsia="en-AU"/>
        </w:rPr>
      </w:pPr>
    </w:p>
    <w:p w14:paraId="78C850B7" w14:textId="77777777" w:rsidR="007C6F86" w:rsidRDefault="007C6F86" w:rsidP="00F41F82">
      <w:pPr>
        <w:spacing w:after="0"/>
        <w:rPr>
          <w:rFonts w:cs="Arial"/>
          <w:iCs/>
          <w:szCs w:val="24"/>
          <w:lang w:eastAsia="en-AU"/>
        </w:rPr>
      </w:pPr>
      <w:r>
        <w:rPr>
          <w:rFonts w:cs="Arial"/>
          <w:iCs/>
          <w:szCs w:val="24"/>
          <w:lang w:eastAsia="en-AU"/>
        </w:rPr>
        <w:t xml:space="preserve">Section 35BA outlines how co-tenants must deal with the bond held in relation to a property, if there is a change in the tenants living there under a consecutive tenancy agreement. The new subsection clarifies that co-tenants are not required to adhere to this process if there is no bond held in relation to the residential tenancy agreement. </w:t>
      </w:r>
    </w:p>
    <w:p w14:paraId="37CD6229" w14:textId="77777777" w:rsidR="007C6F86" w:rsidRDefault="007C6F86" w:rsidP="00F41F82">
      <w:pPr>
        <w:spacing w:after="0"/>
        <w:rPr>
          <w:rFonts w:cs="Arial"/>
          <w:iCs/>
          <w:szCs w:val="24"/>
          <w:lang w:eastAsia="en-AU"/>
        </w:rPr>
      </w:pPr>
    </w:p>
    <w:p w14:paraId="4D95E521" w14:textId="1910DF56" w:rsidR="007C6F86" w:rsidRDefault="007C6F86" w:rsidP="00E15D1B">
      <w:pPr>
        <w:pStyle w:val="Heading3"/>
        <w:ind w:left="1440" w:hanging="1440"/>
        <w:rPr>
          <w:lang w:eastAsia="en-AU"/>
        </w:rPr>
      </w:pPr>
      <w:r>
        <w:rPr>
          <w:lang w:eastAsia="en-AU"/>
        </w:rPr>
        <w:t xml:space="preserve">Clause </w:t>
      </w:r>
      <w:r w:rsidR="00A91E2C">
        <w:rPr>
          <w:lang w:eastAsia="en-AU"/>
        </w:rPr>
        <w:t>39</w:t>
      </w:r>
      <w:r>
        <w:rPr>
          <w:lang w:eastAsia="en-AU"/>
        </w:rPr>
        <w:tab/>
        <w:t>Payment of bond by new co-tenant – consecutive tenancy agreement</w:t>
      </w:r>
      <w:r w:rsidR="00E15D1B">
        <w:rPr>
          <w:lang w:eastAsia="en-AU"/>
        </w:rPr>
        <w:br/>
      </w:r>
      <w:r>
        <w:rPr>
          <w:lang w:eastAsia="en-AU"/>
        </w:rPr>
        <w:t xml:space="preserve">New section 35FA </w:t>
      </w:r>
      <w:r w:rsidR="00E15D1B">
        <w:rPr>
          <w:lang w:eastAsia="en-AU"/>
        </w:rPr>
        <w:t>(</w:t>
      </w:r>
      <w:r>
        <w:rPr>
          <w:lang w:eastAsia="en-AU"/>
        </w:rPr>
        <w:t xml:space="preserve">1) (aa) </w:t>
      </w:r>
    </w:p>
    <w:p w14:paraId="652D0A23" w14:textId="0D588C73" w:rsidR="007C6F86" w:rsidRDefault="007C6F86" w:rsidP="00E15D1B">
      <w:pPr>
        <w:spacing w:after="0"/>
        <w:rPr>
          <w:rFonts w:cs="Arial"/>
          <w:iCs/>
          <w:szCs w:val="24"/>
          <w:lang w:eastAsia="en-AU"/>
        </w:rPr>
      </w:pPr>
      <w:r>
        <w:rPr>
          <w:rFonts w:cs="Arial"/>
          <w:iCs/>
          <w:szCs w:val="24"/>
          <w:lang w:eastAsia="en-AU"/>
        </w:rPr>
        <w:t>This clause inserts a new subsection. The new subsection provides that section</w:t>
      </w:r>
      <w:r w:rsidR="00E15D1B">
        <w:rPr>
          <w:rFonts w:cs="Arial"/>
          <w:iCs/>
          <w:szCs w:val="24"/>
          <w:lang w:eastAsia="en-AU"/>
        </w:rPr>
        <w:t> </w:t>
      </w:r>
      <w:r>
        <w:rPr>
          <w:rFonts w:cs="Arial"/>
          <w:iCs/>
          <w:szCs w:val="24"/>
          <w:lang w:eastAsia="en-AU"/>
        </w:rPr>
        <w:t>35FA will only apply where there is a bond held in relation to the residential tenancy</w:t>
      </w:r>
      <w:r w:rsidR="00E15D1B">
        <w:rPr>
          <w:rFonts w:cs="Arial"/>
          <w:iCs/>
          <w:szCs w:val="24"/>
          <w:lang w:eastAsia="en-AU"/>
        </w:rPr>
        <w:t xml:space="preserve"> </w:t>
      </w:r>
      <w:r>
        <w:rPr>
          <w:rFonts w:cs="Arial"/>
          <w:iCs/>
          <w:szCs w:val="24"/>
          <w:lang w:eastAsia="en-AU"/>
        </w:rPr>
        <w:t xml:space="preserve">agreement, and that residential tenancy agreement terminates or is terminated. </w:t>
      </w:r>
    </w:p>
    <w:p w14:paraId="0BEABEFA" w14:textId="77777777" w:rsidR="007C6F86" w:rsidRDefault="007C6F86" w:rsidP="00F41F82">
      <w:pPr>
        <w:spacing w:after="0"/>
        <w:ind w:left="1440" w:hanging="1440"/>
        <w:rPr>
          <w:rFonts w:cs="Arial"/>
          <w:iCs/>
          <w:szCs w:val="24"/>
          <w:lang w:eastAsia="en-AU"/>
        </w:rPr>
      </w:pPr>
    </w:p>
    <w:p w14:paraId="47AD43A1" w14:textId="77777777" w:rsidR="007C6F86" w:rsidRDefault="007C6F86" w:rsidP="00F41F82">
      <w:pPr>
        <w:spacing w:after="0"/>
        <w:ind w:left="1440" w:hanging="1440"/>
        <w:rPr>
          <w:rFonts w:cs="Arial"/>
          <w:iCs/>
          <w:szCs w:val="24"/>
          <w:lang w:eastAsia="en-AU"/>
        </w:rPr>
      </w:pPr>
      <w:r>
        <w:rPr>
          <w:rFonts w:cs="Arial"/>
          <w:iCs/>
          <w:szCs w:val="24"/>
          <w:lang w:eastAsia="en-AU"/>
        </w:rPr>
        <w:t>Section 35FA outlines the how a new tenant entering a consecutive tenancy</w:t>
      </w:r>
    </w:p>
    <w:p w14:paraId="5D0843EA" w14:textId="77777777" w:rsidR="007C6F86" w:rsidRDefault="007C6F86" w:rsidP="00F41F82">
      <w:pPr>
        <w:spacing w:after="0"/>
        <w:ind w:left="1440" w:hanging="1440"/>
        <w:rPr>
          <w:rFonts w:cs="Arial"/>
          <w:iCs/>
          <w:szCs w:val="24"/>
          <w:lang w:eastAsia="en-AU"/>
        </w:rPr>
      </w:pPr>
      <w:r>
        <w:rPr>
          <w:rFonts w:cs="Arial"/>
          <w:iCs/>
          <w:szCs w:val="24"/>
          <w:lang w:eastAsia="en-AU"/>
        </w:rPr>
        <w:t xml:space="preserve">agreement must pay their bond. The new section clarifies that the new co-tenant is </w:t>
      </w:r>
    </w:p>
    <w:p w14:paraId="21224C57" w14:textId="77777777" w:rsidR="007C6F86" w:rsidRDefault="007C6F86" w:rsidP="00F41F82">
      <w:pPr>
        <w:spacing w:after="0"/>
        <w:ind w:left="1440" w:hanging="1440"/>
        <w:rPr>
          <w:rFonts w:cs="Arial"/>
          <w:iCs/>
          <w:szCs w:val="24"/>
          <w:lang w:eastAsia="en-AU"/>
        </w:rPr>
      </w:pPr>
      <w:r>
        <w:rPr>
          <w:rFonts w:cs="Arial"/>
          <w:iCs/>
          <w:szCs w:val="24"/>
          <w:lang w:eastAsia="en-AU"/>
        </w:rPr>
        <w:t xml:space="preserve">not required to adhere to this process if there is not bond already held in relation to </w:t>
      </w:r>
    </w:p>
    <w:p w14:paraId="3BD76166" w14:textId="77777777" w:rsidR="007C6F86" w:rsidRDefault="007C6F86" w:rsidP="00F41F82">
      <w:pPr>
        <w:spacing w:after="0"/>
        <w:ind w:left="1440" w:hanging="1440"/>
        <w:rPr>
          <w:rFonts w:cs="Arial"/>
          <w:iCs/>
          <w:szCs w:val="24"/>
          <w:lang w:eastAsia="en-AU"/>
        </w:rPr>
      </w:pPr>
      <w:r>
        <w:rPr>
          <w:rFonts w:cs="Arial"/>
          <w:iCs/>
          <w:szCs w:val="24"/>
          <w:lang w:eastAsia="en-AU"/>
        </w:rPr>
        <w:t xml:space="preserve">the now-terminated residential tenancy agreement. </w:t>
      </w:r>
    </w:p>
    <w:p w14:paraId="50C05DF2" w14:textId="77777777" w:rsidR="007C6F86" w:rsidRDefault="007C6F86" w:rsidP="00F41F82">
      <w:pPr>
        <w:spacing w:after="0"/>
        <w:ind w:left="1440" w:hanging="1440"/>
        <w:rPr>
          <w:rFonts w:cs="Arial"/>
          <w:iCs/>
          <w:szCs w:val="24"/>
          <w:lang w:eastAsia="en-AU"/>
        </w:rPr>
      </w:pPr>
    </w:p>
    <w:p w14:paraId="531D00B8" w14:textId="392F24D2" w:rsidR="00A91E2C" w:rsidRDefault="007C6F86" w:rsidP="00E15D1B">
      <w:pPr>
        <w:pStyle w:val="Heading3"/>
        <w:ind w:left="1440" w:hanging="1440"/>
        <w:rPr>
          <w:lang w:eastAsia="en-AU"/>
        </w:rPr>
      </w:pPr>
      <w:r>
        <w:rPr>
          <w:lang w:eastAsia="en-AU"/>
        </w:rPr>
        <w:t xml:space="preserve">Clause </w:t>
      </w:r>
      <w:r w:rsidR="00A91E2C">
        <w:rPr>
          <w:lang w:eastAsia="en-AU"/>
        </w:rPr>
        <w:t>40</w:t>
      </w:r>
      <w:r>
        <w:rPr>
          <w:lang w:eastAsia="en-AU"/>
        </w:rPr>
        <w:t xml:space="preserve"> </w:t>
      </w:r>
      <w:r>
        <w:rPr>
          <w:lang w:eastAsia="en-AU"/>
        </w:rPr>
        <w:tab/>
        <w:t>Definitions – div 4.3A</w:t>
      </w:r>
      <w:r w:rsidR="00E15D1B">
        <w:rPr>
          <w:lang w:eastAsia="en-AU"/>
        </w:rPr>
        <w:br/>
      </w:r>
      <w:r w:rsidR="00A91E2C" w:rsidRPr="00A91E2C">
        <w:rPr>
          <w:lang w:eastAsia="en-AU"/>
        </w:rPr>
        <w:t>Section 46C, definition of notice of continuing tenanc</w:t>
      </w:r>
      <w:r w:rsidR="00A91E2C">
        <w:rPr>
          <w:lang w:eastAsia="en-AU"/>
        </w:rPr>
        <w:t>y</w:t>
      </w:r>
    </w:p>
    <w:p w14:paraId="24D8DDE1" w14:textId="5978F269" w:rsidR="007C6F86" w:rsidRDefault="007C6F86" w:rsidP="00F41F82">
      <w:pPr>
        <w:keepNext/>
        <w:spacing w:after="0"/>
        <w:rPr>
          <w:rFonts w:cs="Arial"/>
          <w:iCs/>
          <w:szCs w:val="24"/>
          <w:lang w:eastAsia="en-AU"/>
        </w:rPr>
      </w:pPr>
      <w:r>
        <w:rPr>
          <w:rFonts w:cs="Arial"/>
          <w:iCs/>
          <w:szCs w:val="24"/>
          <w:lang w:eastAsia="en-AU"/>
        </w:rPr>
        <w:t xml:space="preserve">This clause makes a minor and technical amendment to the definitions section for Division 4.3A, which contains the provisions relating to the termination of a residential tenancy agreement because a tenant is experiencing family violence. </w:t>
      </w:r>
    </w:p>
    <w:p w14:paraId="2EC4BBEF" w14:textId="77777777" w:rsidR="007C6F86" w:rsidRDefault="007C6F86" w:rsidP="00F41F82">
      <w:pPr>
        <w:spacing w:after="0"/>
        <w:rPr>
          <w:rFonts w:cs="Arial"/>
          <w:iCs/>
          <w:szCs w:val="24"/>
          <w:lang w:eastAsia="en-AU"/>
        </w:rPr>
      </w:pPr>
    </w:p>
    <w:p w14:paraId="2DB041CC" w14:textId="3EF40021" w:rsidR="007C6F86" w:rsidRDefault="007C6F86" w:rsidP="00F41F82">
      <w:pPr>
        <w:spacing w:after="0"/>
        <w:rPr>
          <w:rFonts w:cs="Arial"/>
          <w:iCs/>
          <w:szCs w:val="24"/>
          <w:lang w:eastAsia="en-AU"/>
        </w:rPr>
      </w:pPr>
      <w:r>
        <w:rPr>
          <w:rFonts w:cs="Arial"/>
          <w:iCs/>
          <w:szCs w:val="24"/>
          <w:lang w:eastAsia="en-AU"/>
        </w:rPr>
        <w:lastRenderedPageBreak/>
        <w:t xml:space="preserve">The clause substitutes a reference to section 46F (2) with a reference to section 46F (2) (a). This is a consequential amendment necessary as a result of the amendments to section 46F in clause </w:t>
      </w:r>
      <w:r w:rsidR="00A91E2C">
        <w:rPr>
          <w:rFonts w:cs="Arial"/>
          <w:iCs/>
          <w:szCs w:val="24"/>
          <w:lang w:eastAsia="en-AU"/>
        </w:rPr>
        <w:t>41</w:t>
      </w:r>
      <w:r>
        <w:rPr>
          <w:rFonts w:cs="Arial"/>
          <w:iCs/>
          <w:szCs w:val="24"/>
          <w:lang w:eastAsia="en-AU"/>
        </w:rPr>
        <w:t xml:space="preserve"> below. </w:t>
      </w:r>
    </w:p>
    <w:p w14:paraId="5DD8FD8F" w14:textId="0BACE663" w:rsidR="007C6F86" w:rsidRDefault="007C6F86" w:rsidP="00672AB4">
      <w:pPr>
        <w:pStyle w:val="Heading3"/>
        <w:rPr>
          <w:lang w:eastAsia="en-AU"/>
        </w:rPr>
      </w:pPr>
      <w:r>
        <w:rPr>
          <w:lang w:eastAsia="en-AU"/>
        </w:rPr>
        <w:t xml:space="preserve">Clause </w:t>
      </w:r>
      <w:r w:rsidR="00A91E2C">
        <w:rPr>
          <w:lang w:eastAsia="en-AU"/>
        </w:rPr>
        <w:t>41</w:t>
      </w:r>
      <w:r>
        <w:rPr>
          <w:lang w:eastAsia="en-AU"/>
        </w:rPr>
        <w:tab/>
        <w:t>Section 46F</w:t>
      </w:r>
    </w:p>
    <w:p w14:paraId="33561B49" w14:textId="13B466C6" w:rsidR="007C6F86" w:rsidRDefault="007C6F86" w:rsidP="00F41F82">
      <w:pPr>
        <w:spacing w:after="0"/>
        <w:rPr>
          <w:rFonts w:cs="Arial"/>
          <w:iCs/>
          <w:szCs w:val="24"/>
          <w:lang w:eastAsia="en-AU"/>
        </w:rPr>
      </w:pPr>
      <w:r>
        <w:rPr>
          <w:rFonts w:cs="Arial"/>
          <w:iCs/>
          <w:szCs w:val="24"/>
          <w:lang w:eastAsia="en-AU"/>
        </w:rPr>
        <w:t xml:space="preserve">This clause substitutes the existing clause 46F. Section 46F requires a landlord to notify the Territory and any remaining co-tenants that a tenant has terminated their interest in a residential tenancy agreement by giving a family violence termination notice. </w:t>
      </w:r>
    </w:p>
    <w:p w14:paraId="0961A188" w14:textId="77777777" w:rsidR="007C6F86" w:rsidRDefault="007C6F86" w:rsidP="00F41F82">
      <w:pPr>
        <w:spacing w:after="0"/>
        <w:rPr>
          <w:rFonts w:cs="Arial"/>
          <w:iCs/>
          <w:szCs w:val="24"/>
          <w:lang w:eastAsia="en-AU"/>
        </w:rPr>
      </w:pPr>
    </w:p>
    <w:p w14:paraId="6D4DF830" w14:textId="3D166810" w:rsidR="007C6F86" w:rsidRDefault="007C6F86" w:rsidP="00F41F82">
      <w:pPr>
        <w:spacing w:after="0"/>
        <w:rPr>
          <w:rFonts w:cs="Arial"/>
          <w:iCs/>
          <w:szCs w:val="24"/>
          <w:lang w:eastAsia="en-AU"/>
        </w:rPr>
      </w:pPr>
      <w:r>
        <w:rPr>
          <w:rFonts w:cs="Arial"/>
          <w:iCs/>
          <w:szCs w:val="24"/>
          <w:lang w:eastAsia="en-AU"/>
        </w:rPr>
        <w:t>The amendment to section 46F is minor and technical. It removes the requirement for a landlord to notify the Territory</w:t>
      </w:r>
      <w:r w:rsidR="0015682C">
        <w:rPr>
          <w:rFonts w:cs="Arial"/>
          <w:iCs/>
          <w:szCs w:val="24"/>
          <w:lang w:eastAsia="en-AU"/>
        </w:rPr>
        <w:t xml:space="preserve"> that a </w:t>
      </w:r>
      <w:r w:rsidR="003B35CB">
        <w:rPr>
          <w:rFonts w:cs="Arial"/>
          <w:iCs/>
          <w:szCs w:val="24"/>
          <w:lang w:eastAsia="en-AU"/>
        </w:rPr>
        <w:t>f</w:t>
      </w:r>
      <w:r w:rsidR="0015682C">
        <w:rPr>
          <w:rFonts w:cs="Arial"/>
          <w:iCs/>
          <w:szCs w:val="24"/>
          <w:lang w:eastAsia="en-AU"/>
        </w:rPr>
        <w:t>amily violence termination notice has been received from a co-tenant</w:t>
      </w:r>
      <w:r>
        <w:rPr>
          <w:rFonts w:cs="Arial"/>
          <w:iCs/>
          <w:szCs w:val="24"/>
          <w:lang w:eastAsia="en-AU"/>
        </w:rPr>
        <w:t xml:space="preserve">, if there is no bond held in relation the property. However, </w:t>
      </w:r>
      <w:r w:rsidR="0015682C">
        <w:rPr>
          <w:rFonts w:cs="Arial"/>
          <w:iCs/>
          <w:szCs w:val="24"/>
          <w:lang w:eastAsia="en-AU"/>
        </w:rPr>
        <w:t xml:space="preserve">this change </w:t>
      </w:r>
      <w:r>
        <w:rPr>
          <w:rFonts w:cs="Arial"/>
          <w:iCs/>
          <w:szCs w:val="24"/>
          <w:lang w:eastAsia="en-AU"/>
        </w:rPr>
        <w:t>mean</w:t>
      </w:r>
      <w:r w:rsidR="0015682C">
        <w:rPr>
          <w:rFonts w:cs="Arial"/>
          <w:iCs/>
          <w:szCs w:val="24"/>
          <w:lang w:eastAsia="en-AU"/>
        </w:rPr>
        <w:t>s</w:t>
      </w:r>
      <w:r>
        <w:rPr>
          <w:rFonts w:cs="Arial"/>
          <w:iCs/>
          <w:szCs w:val="24"/>
          <w:lang w:eastAsia="en-AU"/>
        </w:rPr>
        <w:t xml:space="preserve"> that the section needs to be restructured, and so this clause substitutes section 46F with a new section. </w:t>
      </w:r>
    </w:p>
    <w:p w14:paraId="272687EF" w14:textId="363F7FCB" w:rsidR="007C6F86" w:rsidRDefault="007C6F86" w:rsidP="00E15D1B">
      <w:pPr>
        <w:pStyle w:val="Heading3"/>
        <w:ind w:left="1440" w:hanging="1440"/>
        <w:rPr>
          <w:lang w:eastAsia="en-AU"/>
        </w:rPr>
      </w:pPr>
      <w:r>
        <w:rPr>
          <w:lang w:eastAsia="en-AU"/>
        </w:rPr>
        <w:t xml:space="preserve">Clause </w:t>
      </w:r>
      <w:r w:rsidR="00A91E2C">
        <w:rPr>
          <w:lang w:eastAsia="en-AU"/>
        </w:rPr>
        <w:t>42</w:t>
      </w:r>
      <w:r>
        <w:rPr>
          <w:lang w:eastAsia="en-AU"/>
        </w:rPr>
        <w:tab/>
        <w:t>Co-tenancies – effect of serving family violence termination notice</w:t>
      </w:r>
      <w:r w:rsidR="00E15D1B">
        <w:rPr>
          <w:lang w:eastAsia="en-AU"/>
        </w:rPr>
        <w:br/>
      </w:r>
      <w:r>
        <w:rPr>
          <w:lang w:eastAsia="en-AU"/>
        </w:rPr>
        <w:t>Section 46G (4)</w:t>
      </w:r>
    </w:p>
    <w:p w14:paraId="1C265601" w14:textId="70FB4F57" w:rsidR="007C6F86" w:rsidRDefault="007C6F86" w:rsidP="00F41F82">
      <w:pPr>
        <w:spacing w:after="0"/>
        <w:rPr>
          <w:rFonts w:cs="Arial"/>
          <w:iCs/>
          <w:szCs w:val="24"/>
          <w:lang w:eastAsia="en-AU"/>
        </w:rPr>
      </w:pPr>
      <w:r>
        <w:rPr>
          <w:rFonts w:cs="Arial"/>
          <w:iCs/>
          <w:szCs w:val="24"/>
          <w:lang w:eastAsia="en-AU"/>
        </w:rPr>
        <w:t xml:space="preserve">This clause makes a minor and technical amendment to section 46G (4). Section 46G (4) provides that any remaining co-tenant may terminate a residential tenancy agreement after one tenant provides the landlord with a family violence termination notice. </w:t>
      </w:r>
    </w:p>
    <w:p w14:paraId="05BE1572" w14:textId="77777777" w:rsidR="007C6F86" w:rsidRDefault="007C6F86" w:rsidP="00F41F82">
      <w:pPr>
        <w:spacing w:after="0"/>
        <w:rPr>
          <w:rFonts w:cs="Arial"/>
          <w:iCs/>
          <w:szCs w:val="24"/>
          <w:lang w:eastAsia="en-AU"/>
        </w:rPr>
      </w:pPr>
    </w:p>
    <w:p w14:paraId="634AC32E" w14:textId="2DDE451D" w:rsidR="007C6F86" w:rsidRDefault="007C6F86" w:rsidP="00F41F82">
      <w:pPr>
        <w:spacing w:after="0"/>
        <w:rPr>
          <w:rFonts w:cs="Arial"/>
          <w:iCs/>
          <w:szCs w:val="24"/>
          <w:lang w:eastAsia="en-AU"/>
        </w:rPr>
      </w:pPr>
      <w:r>
        <w:rPr>
          <w:rFonts w:cs="Arial"/>
          <w:iCs/>
          <w:szCs w:val="24"/>
          <w:lang w:eastAsia="en-AU"/>
        </w:rPr>
        <w:t xml:space="preserve">This amendment provides that the remaining co-tenant can do so by issuing a notice of intention to vacate, replacing an erroneous reference to a notice to vacate. </w:t>
      </w:r>
    </w:p>
    <w:p w14:paraId="06625A6C" w14:textId="430E2793" w:rsidR="007C6F86" w:rsidRPr="00E15D1B" w:rsidRDefault="007C6F86" w:rsidP="00E15D1B">
      <w:pPr>
        <w:pStyle w:val="Heading3"/>
        <w:rPr>
          <w:i/>
          <w:lang w:eastAsia="en-AU"/>
        </w:rPr>
      </w:pPr>
      <w:r>
        <w:rPr>
          <w:lang w:eastAsia="en-AU"/>
        </w:rPr>
        <w:t xml:space="preserve">Clause </w:t>
      </w:r>
      <w:r w:rsidR="00A91E2C">
        <w:rPr>
          <w:lang w:eastAsia="en-AU"/>
        </w:rPr>
        <w:t>43</w:t>
      </w:r>
      <w:r>
        <w:rPr>
          <w:lang w:eastAsia="en-AU"/>
        </w:rPr>
        <w:tab/>
        <w:t xml:space="preserve">Dictionary, definition of </w:t>
      </w:r>
      <w:r>
        <w:rPr>
          <w:i/>
          <w:lang w:eastAsia="en-AU"/>
        </w:rPr>
        <w:t>notice of continuing tenancy</w:t>
      </w:r>
    </w:p>
    <w:p w14:paraId="656EB4B8" w14:textId="3BAFECAC" w:rsidR="007C6F86" w:rsidRDefault="007C6F86" w:rsidP="00672AB4">
      <w:pPr>
        <w:spacing w:after="0"/>
        <w:rPr>
          <w:rFonts w:cs="Arial"/>
          <w:iCs/>
          <w:szCs w:val="24"/>
          <w:lang w:eastAsia="en-AU"/>
        </w:rPr>
      </w:pPr>
      <w:r>
        <w:rPr>
          <w:rFonts w:cs="Arial"/>
          <w:iCs/>
          <w:szCs w:val="24"/>
          <w:lang w:eastAsia="en-AU"/>
        </w:rPr>
        <w:t xml:space="preserve">This clause makes a minor and technical amendment to the definitions of a notice of continuing tenancy in the definitions part of the RTA. The clause substitutes a reference to section 46F (2) with a reference to section 46F (2) (a), consequent to the restructuring of section 46F in clause </w:t>
      </w:r>
      <w:r w:rsidR="00A91E2C">
        <w:rPr>
          <w:rFonts w:cs="Arial"/>
          <w:iCs/>
          <w:szCs w:val="24"/>
          <w:lang w:eastAsia="en-AU"/>
        </w:rPr>
        <w:t>41</w:t>
      </w:r>
      <w:r>
        <w:rPr>
          <w:rFonts w:cs="Arial"/>
          <w:iCs/>
          <w:szCs w:val="24"/>
          <w:lang w:eastAsia="en-AU"/>
        </w:rPr>
        <w:t xml:space="preserve"> above. </w:t>
      </w:r>
    </w:p>
    <w:p w14:paraId="0318D20A" w14:textId="77777777" w:rsidR="00672AB4" w:rsidRDefault="00672AB4" w:rsidP="00672AB4">
      <w:pPr>
        <w:spacing w:after="0"/>
      </w:pPr>
    </w:p>
    <w:p w14:paraId="0F52A5D1" w14:textId="60DD60DB" w:rsidR="003B6601" w:rsidRPr="00672AB4" w:rsidRDefault="003B6601" w:rsidP="00672AB4">
      <w:pPr>
        <w:pStyle w:val="Heading2"/>
      </w:pPr>
      <w:r w:rsidRPr="00672AB4">
        <w:t xml:space="preserve">Part </w:t>
      </w:r>
      <w:r w:rsidR="00A91E2C" w:rsidRPr="00672AB4">
        <w:t>6</w:t>
      </w:r>
      <w:r w:rsidRPr="00672AB4">
        <w:t xml:space="preserve"> </w:t>
      </w:r>
      <w:r w:rsidRPr="00672AB4">
        <w:tab/>
        <w:t>Retirement Villages Act 2012</w:t>
      </w:r>
    </w:p>
    <w:p w14:paraId="08E4E3AD" w14:textId="5859DDD0" w:rsidR="00F41F82" w:rsidRPr="00E15D1B" w:rsidRDefault="003B6601" w:rsidP="00E15D1B">
      <w:pPr>
        <w:pStyle w:val="Heading3"/>
        <w:ind w:left="1440" w:hanging="1440"/>
      </w:pPr>
      <w:r>
        <w:t xml:space="preserve">Clause </w:t>
      </w:r>
      <w:r w:rsidR="00A91E2C">
        <w:t>44</w:t>
      </w:r>
      <w:r>
        <w:tab/>
        <w:t xml:space="preserve">Membership of residents committee </w:t>
      </w:r>
      <w:r w:rsidR="00E15D1B">
        <w:br/>
      </w:r>
      <w:r w:rsidRPr="005B2827">
        <w:rPr>
          <w:szCs w:val="26"/>
        </w:rPr>
        <w:t>New section 104 (1A)</w:t>
      </w:r>
    </w:p>
    <w:p w14:paraId="7E5AE86D" w14:textId="4FFF22B6" w:rsidR="003B6601" w:rsidRPr="00F41F82" w:rsidRDefault="003B6601" w:rsidP="00F41F82">
      <w:pPr>
        <w:rPr>
          <w:rFonts w:eastAsiaTheme="majorEastAsia" w:cstheme="majorBidi"/>
          <w:b/>
          <w:szCs w:val="26"/>
        </w:rPr>
      </w:pPr>
      <w:r>
        <w:t>Section 104 of the RVA deals with membership of the retirement village’s residents committee. It limits a person from holding office on a residents committee for a period of longer than 3 consecutive years</w:t>
      </w:r>
      <w:r w:rsidR="00F374BD">
        <w:t>, except in certain circumstances</w:t>
      </w:r>
      <w:r>
        <w:t xml:space="preserve">. </w:t>
      </w:r>
    </w:p>
    <w:p w14:paraId="6753FB06" w14:textId="484B52AF" w:rsidR="003B6601" w:rsidRDefault="003B6601" w:rsidP="00A91E2C">
      <w:r>
        <w:t>This clause inserts a new section 104 (1A) to clarify that the 3 consecutive year period is to be calculate</w:t>
      </w:r>
      <w:r w:rsidR="00F872A8">
        <w:t>d</w:t>
      </w:r>
      <w:r>
        <w:t xml:space="preserve"> from when the person first starts performing the functions of the office. </w:t>
      </w:r>
    </w:p>
    <w:p w14:paraId="1BD1FE3B" w14:textId="6D368655" w:rsidR="003B6601" w:rsidRPr="005B2827" w:rsidRDefault="003B6601" w:rsidP="00672AB4">
      <w:pPr>
        <w:pStyle w:val="Heading3"/>
      </w:pPr>
      <w:r w:rsidRPr="005B2827">
        <w:lastRenderedPageBreak/>
        <w:t xml:space="preserve">Clause </w:t>
      </w:r>
      <w:r w:rsidR="00A91E2C">
        <w:t>45</w:t>
      </w:r>
      <w:r w:rsidRPr="005B2827">
        <w:tab/>
        <w:t>New section 104 (6)</w:t>
      </w:r>
    </w:p>
    <w:p w14:paraId="6212EA3C" w14:textId="5A119D27" w:rsidR="003B6601" w:rsidRDefault="003B6601" w:rsidP="00A91E2C">
      <w:r>
        <w:t xml:space="preserve">This clause inserts new section 104 (6) to provide a definition of </w:t>
      </w:r>
      <w:r w:rsidRPr="00E15D1B">
        <w:rPr>
          <w:i/>
          <w:iCs/>
        </w:rPr>
        <w:t>office</w:t>
      </w:r>
      <w:r>
        <w:t xml:space="preserve"> in relation to a residents committee. Section 104 (6) (a) clarifies that an office includes a position with stated functions, while section 104 (6) (b) </w:t>
      </w:r>
      <w:r w:rsidR="00F872A8">
        <w:t xml:space="preserve">indicates </w:t>
      </w:r>
      <w:r>
        <w:t xml:space="preserve">that it does not include an ordinary member. </w:t>
      </w:r>
    </w:p>
    <w:p w14:paraId="0AB0E09C" w14:textId="1CFCD22E" w:rsidR="003B6601" w:rsidRPr="005B2827" w:rsidRDefault="003B6601" w:rsidP="00E15D1B">
      <w:pPr>
        <w:pStyle w:val="Heading3"/>
        <w:ind w:left="1440" w:hanging="1440"/>
      </w:pPr>
      <w:r w:rsidRPr="005B2827">
        <w:t xml:space="preserve">Clause </w:t>
      </w:r>
      <w:r w:rsidR="00A91E2C">
        <w:t>46</w:t>
      </w:r>
      <w:r w:rsidRPr="005B2827">
        <w:tab/>
      </w:r>
      <w:r w:rsidR="00A91E2C" w:rsidRPr="00A91E2C">
        <w:t>Result of vote</w:t>
      </w:r>
      <w:r w:rsidR="00E15D1B">
        <w:br/>
      </w:r>
      <w:r w:rsidRPr="005B2827">
        <w:t>Schedule1, section 1.4 (1) (a)</w:t>
      </w:r>
    </w:p>
    <w:p w14:paraId="3EA567DC" w14:textId="433C080B" w:rsidR="003B6601" w:rsidRDefault="003B6601" w:rsidP="00A91E2C">
      <w:r>
        <w:t xml:space="preserve">This clause </w:t>
      </w:r>
      <w:r w:rsidR="00F872A8">
        <w:t xml:space="preserve">is a minor and technical amendment to improve drafting consistency and clarity. It replaces </w:t>
      </w:r>
      <w:r w:rsidRPr="00E15D1B">
        <w:rPr>
          <w:i/>
          <w:iCs/>
        </w:rPr>
        <w:t>an officer of the residents committee</w:t>
      </w:r>
      <w:r>
        <w:t xml:space="preserve"> with </w:t>
      </w:r>
      <w:r w:rsidRPr="00E15D1B">
        <w:rPr>
          <w:i/>
          <w:iCs/>
        </w:rPr>
        <w:t>a person who holds an office on the residents committee for the village</w:t>
      </w:r>
      <w:r w:rsidR="00F872A8">
        <w:t>.</w:t>
      </w:r>
      <w:r>
        <w:t xml:space="preserve"> </w:t>
      </w:r>
      <w:r w:rsidR="00F872A8">
        <w:t xml:space="preserve">The word </w:t>
      </w:r>
      <w:r w:rsidR="00F872A8" w:rsidRPr="00E15D1B">
        <w:rPr>
          <w:i/>
          <w:iCs/>
        </w:rPr>
        <w:t>officer</w:t>
      </w:r>
      <w:r w:rsidR="00F872A8">
        <w:t xml:space="preserve"> is not used elsewhere in the RVA so the new reference to a person who holds an office on the residents committee is more consistent with language used through the RVA. </w:t>
      </w:r>
    </w:p>
    <w:p w14:paraId="62383E41" w14:textId="77777777" w:rsidR="00DC35E6" w:rsidRPr="00DC35E6" w:rsidRDefault="00DC35E6" w:rsidP="00DC35E6"/>
    <w:sectPr w:rsidR="00DC35E6" w:rsidRPr="00DC35E6" w:rsidSect="002E45F1">
      <w:pgSz w:w="11906" w:h="16838"/>
      <w:pgMar w:top="1276" w:right="1440" w:bottom="1440" w:left="1440"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1AF28" w14:textId="77777777" w:rsidR="00BF76CB" w:rsidRDefault="00BF76CB">
      <w:pPr>
        <w:spacing w:after="0" w:line="240" w:lineRule="auto"/>
      </w:pPr>
      <w:r>
        <w:separator/>
      </w:r>
    </w:p>
  </w:endnote>
  <w:endnote w:type="continuationSeparator" w:id="0">
    <w:p w14:paraId="1EFD273D" w14:textId="77777777" w:rsidR="00BF76CB" w:rsidRDefault="00BF76CB">
      <w:pPr>
        <w:spacing w:after="0" w:line="240" w:lineRule="auto"/>
      </w:pPr>
      <w:r>
        <w:continuationSeparator/>
      </w:r>
    </w:p>
  </w:endnote>
  <w:endnote w:type="continuationNotice" w:id="1">
    <w:p w14:paraId="03D1F5C9" w14:textId="77777777" w:rsidR="00BF76CB" w:rsidRDefault="00BF76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244E" w14:textId="77777777" w:rsidR="006B4C7C" w:rsidRDefault="006B4C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8AE1" w14:textId="120E9DA7" w:rsidR="003512FE" w:rsidRPr="006B4C7C" w:rsidRDefault="006B4C7C" w:rsidP="006B4C7C">
    <w:pPr>
      <w:pStyle w:val="Footer"/>
      <w:jc w:val="center"/>
      <w:rPr>
        <w:rFonts w:cs="Arial"/>
        <w:sz w:val="14"/>
      </w:rPr>
    </w:pPr>
    <w:r w:rsidRPr="006B4C7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48B8" w14:textId="77777777" w:rsidR="009028C1" w:rsidRDefault="009028C1">
    <w:pPr>
      <w:pStyle w:val="Footer"/>
      <w:jc w:val="right"/>
    </w:pPr>
  </w:p>
  <w:p w14:paraId="1B19A0D3" w14:textId="77777777" w:rsidR="009028C1" w:rsidRPr="00DC5912" w:rsidRDefault="009028C1" w:rsidP="00DC5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7F91" w14:textId="77777777" w:rsidR="009028C1" w:rsidRDefault="009028C1" w:rsidP="00937954">
    <w:pPr>
      <w:pStyle w:val="Footer"/>
      <w:spacing w:before="60" w:line="240" w:lineRule="auto"/>
      <w:jc w:val="right"/>
    </w:pPr>
    <w:r>
      <w:fldChar w:fldCharType="begin"/>
    </w:r>
    <w:r>
      <w:instrText xml:space="preserve"> PAGE   \* MERGEFORMAT </w:instrText>
    </w:r>
    <w:r>
      <w:fldChar w:fldCharType="separate"/>
    </w:r>
    <w:r w:rsidR="0057382D">
      <w:rPr>
        <w:noProof/>
      </w:rPr>
      <w:t>4</w:t>
    </w:r>
    <w:r>
      <w:fldChar w:fldCharType="end"/>
    </w:r>
  </w:p>
  <w:p w14:paraId="000A4910" w14:textId="25A1A8DB" w:rsidR="006B4C7C" w:rsidRPr="006B4C7C" w:rsidRDefault="006B4C7C" w:rsidP="006B4C7C">
    <w:pPr>
      <w:pStyle w:val="Footer"/>
      <w:spacing w:before="60" w:line="240" w:lineRule="auto"/>
      <w:jc w:val="center"/>
      <w:rPr>
        <w:rFonts w:cs="Arial"/>
        <w:sz w:val="14"/>
      </w:rPr>
    </w:pPr>
    <w:r w:rsidRPr="006B4C7C">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75DD" w14:textId="666BF9A8" w:rsidR="009028C1" w:rsidRDefault="009028C1">
    <w:pPr>
      <w:pStyle w:val="Footer"/>
      <w:jc w:val="right"/>
    </w:pPr>
    <w:r>
      <w:fldChar w:fldCharType="begin"/>
    </w:r>
    <w:r>
      <w:instrText xml:space="preserve"> PAGE   \* MERGEFORMAT </w:instrText>
    </w:r>
    <w:r>
      <w:fldChar w:fldCharType="separate"/>
    </w:r>
    <w:r w:rsidR="0057382D">
      <w:rPr>
        <w:noProof/>
      </w:rPr>
      <w:t>1</w:t>
    </w:r>
    <w:r>
      <w:fldChar w:fldCharType="end"/>
    </w:r>
  </w:p>
  <w:p w14:paraId="57559E1D" w14:textId="55C2D6EC" w:rsidR="003512FE" w:rsidRPr="006B4C7C" w:rsidRDefault="006B4C7C" w:rsidP="006B4C7C">
    <w:pPr>
      <w:pStyle w:val="Footer"/>
      <w:jc w:val="center"/>
      <w:rPr>
        <w:rFonts w:cs="Arial"/>
        <w:sz w:val="14"/>
      </w:rPr>
    </w:pPr>
    <w:r w:rsidRPr="006B4C7C">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0A159" w14:textId="77777777" w:rsidR="00BF76CB" w:rsidRDefault="00BF76CB">
      <w:pPr>
        <w:spacing w:after="0" w:line="240" w:lineRule="auto"/>
      </w:pPr>
      <w:r>
        <w:separator/>
      </w:r>
    </w:p>
  </w:footnote>
  <w:footnote w:type="continuationSeparator" w:id="0">
    <w:p w14:paraId="20787A87" w14:textId="77777777" w:rsidR="00BF76CB" w:rsidRDefault="00BF76CB">
      <w:pPr>
        <w:spacing w:after="0" w:line="240" w:lineRule="auto"/>
      </w:pPr>
      <w:r>
        <w:continuationSeparator/>
      </w:r>
    </w:p>
  </w:footnote>
  <w:footnote w:type="continuationNotice" w:id="1">
    <w:p w14:paraId="5259A5DD" w14:textId="77777777" w:rsidR="00BF76CB" w:rsidRDefault="00BF76CB">
      <w:pPr>
        <w:spacing w:after="0" w:line="240" w:lineRule="auto"/>
      </w:pPr>
    </w:p>
  </w:footnote>
  <w:footnote w:id="2">
    <w:p w14:paraId="793E6B96" w14:textId="77777777" w:rsidR="003E6774" w:rsidRPr="00E02EF2" w:rsidRDefault="003E6774" w:rsidP="003E6774">
      <w:pPr>
        <w:pStyle w:val="FootnoteText"/>
        <w:rPr>
          <w:lang w:val="en-AU"/>
        </w:rPr>
      </w:pPr>
      <w:r>
        <w:rPr>
          <w:rStyle w:val="FootnoteReference"/>
        </w:rPr>
        <w:footnoteRef/>
      </w:r>
      <w:r>
        <w:t xml:space="preserve"> </w:t>
      </w:r>
      <w:r>
        <w:rPr>
          <w:lang w:val="en-AU"/>
        </w:rPr>
        <w:t xml:space="preserve">See for example section 54 of the </w:t>
      </w:r>
      <w:r>
        <w:rPr>
          <w:i/>
          <w:iCs/>
          <w:lang w:val="en-AU"/>
        </w:rPr>
        <w:t>Fair Trading (Australian Consumer Law) Act 1992</w:t>
      </w:r>
      <w:r>
        <w:rPr>
          <w:lang w:val="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0D269" w14:textId="77777777" w:rsidR="006B4C7C" w:rsidRDefault="006B4C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924A" w14:textId="5019C8F2" w:rsidR="003512FE" w:rsidRPr="003512FE" w:rsidRDefault="003512FE" w:rsidP="003512FE">
    <w:pPr>
      <w:pStyle w:val="Header"/>
      <w:jc w:val="center"/>
      <w:rPr>
        <w:rFonts w:asciiTheme="minorHAnsi" w:hAnsiTheme="minorHAnsi" w:cstheme="minorHAnsi"/>
        <w:b/>
        <w:bCs/>
        <w:color w:val="FF0000"/>
        <w:sz w:val="32"/>
        <w:szCs w:val="32"/>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9EB2" w14:textId="77777777" w:rsidR="003512FE" w:rsidRDefault="003512FE" w:rsidP="003512F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3D8E"/>
    <w:multiLevelType w:val="hybridMultilevel"/>
    <w:tmpl w:val="4AFE4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5674DD"/>
    <w:multiLevelType w:val="hybridMultilevel"/>
    <w:tmpl w:val="F530C59A"/>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1F1CD0"/>
    <w:multiLevelType w:val="hybridMultilevel"/>
    <w:tmpl w:val="8B84ADCC"/>
    <w:lvl w:ilvl="0" w:tplc="FB5229B6">
      <w:start w:val="1"/>
      <w:numFmt w:val="decimal"/>
      <w:lvlText w:val="%1)"/>
      <w:lvlJc w:val="left"/>
      <w:pPr>
        <w:ind w:left="720" w:hanging="360"/>
      </w:pPr>
    </w:lvl>
    <w:lvl w:ilvl="1" w:tplc="7BAE3D02">
      <w:start w:val="1"/>
      <w:numFmt w:val="lowerLetter"/>
      <w:lvlText w:val="%2."/>
      <w:lvlJc w:val="left"/>
      <w:pPr>
        <w:ind w:left="1440" w:hanging="360"/>
      </w:pPr>
    </w:lvl>
    <w:lvl w:ilvl="2" w:tplc="EEAAB084">
      <w:start w:val="1"/>
      <w:numFmt w:val="lowerRoman"/>
      <w:lvlText w:val="%3."/>
      <w:lvlJc w:val="right"/>
      <w:pPr>
        <w:ind w:left="2160" w:hanging="180"/>
      </w:pPr>
    </w:lvl>
    <w:lvl w:ilvl="3" w:tplc="42BA5252">
      <w:start w:val="1"/>
      <w:numFmt w:val="decimal"/>
      <w:lvlText w:val="%4."/>
      <w:lvlJc w:val="left"/>
      <w:pPr>
        <w:ind w:left="2880" w:hanging="360"/>
      </w:pPr>
    </w:lvl>
    <w:lvl w:ilvl="4" w:tplc="8570BDA8">
      <w:start w:val="1"/>
      <w:numFmt w:val="lowerLetter"/>
      <w:lvlText w:val="%5."/>
      <w:lvlJc w:val="left"/>
      <w:pPr>
        <w:ind w:left="3600" w:hanging="360"/>
      </w:pPr>
    </w:lvl>
    <w:lvl w:ilvl="5" w:tplc="7414A458">
      <w:start w:val="1"/>
      <w:numFmt w:val="lowerRoman"/>
      <w:lvlText w:val="%6."/>
      <w:lvlJc w:val="right"/>
      <w:pPr>
        <w:ind w:left="4320" w:hanging="180"/>
      </w:pPr>
    </w:lvl>
    <w:lvl w:ilvl="6" w:tplc="4B461B80">
      <w:start w:val="1"/>
      <w:numFmt w:val="decimal"/>
      <w:lvlText w:val="%7."/>
      <w:lvlJc w:val="left"/>
      <w:pPr>
        <w:ind w:left="5040" w:hanging="360"/>
      </w:pPr>
    </w:lvl>
    <w:lvl w:ilvl="7" w:tplc="7C2AC5D2">
      <w:start w:val="1"/>
      <w:numFmt w:val="lowerLetter"/>
      <w:lvlText w:val="%8."/>
      <w:lvlJc w:val="left"/>
      <w:pPr>
        <w:ind w:left="5760" w:hanging="360"/>
      </w:pPr>
    </w:lvl>
    <w:lvl w:ilvl="8" w:tplc="A2FAE53C">
      <w:start w:val="1"/>
      <w:numFmt w:val="lowerRoman"/>
      <w:lvlText w:val="%9."/>
      <w:lvlJc w:val="right"/>
      <w:pPr>
        <w:ind w:left="6480" w:hanging="180"/>
      </w:pPr>
    </w:lvl>
  </w:abstractNum>
  <w:abstractNum w:abstractNumId="3" w15:restartNumberingAfterBreak="0">
    <w:nsid w:val="082461EC"/>
    <w:multiLevelType w:val="hybridMultilevel"/>
    <w:tmpl w:val="9B4666C4"/>
    <w:lvl w:ilvl="0" w:tplc="C3A4E312">
      <w:start w:val="2"/>
      <w:numFmt w:val="decimal"/>
      <w:lvlText w:val="%1."/>
      <w:lvlJc w:val="left"/>
      <w:pPr>
        <w:ind w:left="720" w:hanging="360"/>
      </w:pPr>
    </w:lvl>
    <w:lvl w:ilvl="1" w:tplc="C72EB47A">
      <w:start w:val="1"/>
      <w:numFmt w:val="lowerLetter"/>
      <w:lvlText w:val="%2."/>
      <w:lvlJc w:val="left"/>
      <w:pPr>
        <w:ind w:left="1440" w:hanging="360"/>
      </w:pPr>
    </w:lvl>
    <w:lvl w:ilvl="2" w:tplc="36FCCA90">
      <w:start w:val="1"/>
      <w:numFmt w:val="lowerRoman"/>
      <w:lvlText w:val="%3."/>
      <w:lvlJc w:val="right"/>
      <w:pPr>
        <w:ind w:left="2160" w:hanging="180"/>
      </w:pPr>
    </w:lvl>
    <w:lvl w:ilvl="3" w:tplc="72EE6E3C">
      <w:start w:val="1"/>
      <w:numFmt w:val="decimal"/>
      <w:lvlText w:val="%4."/>
      <w:lvlJc w:val="left"/>
      <w:pPr>
        <w:ind w:left="2880" w:hanging="360"/>
      </w:pPr>
    </w:lvl>
    <w:lvl w:ilvl="4" w:tplc="9196A18A">
      <w:start w:val="1"/>
      <w:numFmt w:val="lowerLetter"/>
      <w:lvlText w:val="%5."/>
      <w:lvlJc w:val="left"/>
      <w:pPr>
        <w:ind w:left="3600" w:hanging="360"/>
      </w:pPr>
    </w:lvl>
    <w:lvl w:ilvl="5" w:tplc="9E90A3A2">
      <w:start w:val="1"/>
      <w:numFmt w:val="lowerRoman"/>
      <w:lvlText w:val="%6."/>
      <w:lvlJc w:val="right"/>
      <w:pPr>
        <w:ind w:left="4320" w:hanging="180"/>
      </w:pPr>
    </w:lvl>
    <w:lvl w:ilvl="6" w:tplc="F3D49DF0">
      <w:start w:val="1"/>
      <w:numFmt w:val="decimal"/>
      <w:lvlText w:val="%7."/>
      <w:lvlJc w:val="left"/>
      <w:pPr>
        <w:ind w:left="5040" w:hanging="360"/>
      </w:pPr>
    </w:lvl>
    <w:lvl w:ilvl="7" w:tplc="A4560E5C">
      <w:start w:val="1"/>
      <w:numFmt w:val="lowerLetter"/>
      <w:lvlText w:val="%8."/>
      <w:lvlJc w:val="left"/>
      <w:pPr>
        <w:ind w:left="5760" w:hanging="360"/>
      </w:pPr>
    </w:lvl>
    <w:lvl w:ilvl="8" w:tplc="2D569BF2">
      <w:start w:val="1"/>
      <w:numFmt w:val="lowerRoman"/>
      <w:lvlText w:val="%9."/>
      <w:lvlJc w:val="right"/>
      <w:pPr>
        <w:ind w:left="6480" w:hanging="180"/>
      </w:pPr>
    </w:lvl>
  </w:abstractNum>
  <w:abstractNum w:abstractNumId="4" w15:restartNumberingAfterBreak="0">
    <w:nsid w:val="0D428349"/>
    <w:multiLevelType w:val="hybridMultilevel"/>
    <w:tmpl w:val="FFFFFFFF"/>
    <w:lvl w:ilvl="0" w:tplc="E8FA4B14">
      <w:start w:val="1"/>
      <w:numFmt w:val="decimal"/>
      <w:lvlText w:val="%1."/>
      <w:lvlJc w:val="left"/>
      <w:pPr>
        <w:ind w:left="780" w:hanging="360"/>
      </w:pPr>
    </w:lvl>
    <w:lvl w:ilvl="1" w:tplc="BF9691C2">
      <w:start w:val="1"/>
      <w:numFmt w:val="lowerLetter"/>
      <w:lvlText w:val="%2."/>
      <w:lvlJc w:val="left"/>
      <w:pPr>
        <w:ind w:left="1500" w:hanging="360"/>
      </w:pPr>
    </w:lvl>
    <w:lvl w:ilvl="2" w:tplc="6058A504">
      <w:start w:val="1"/>
      <w:numFmt w:val="lowerRoman"/>
      <w:lvlText w:val="%3."/>
      <w:lvlJc w:val="right"/>
      <w:pPr>
        <w:ind w:left="2220" w:hanging="180"/>
      </w:pPr>
    </w:lvl>
    <w:lvl w:ilvl="3" w:tplc="225EBAAE">
      <w:start w:val="1"/>
      <w:numFmt w:val="decimal"/>
      <w:lvlText w:val="%4."/>
      <w:lvlJc w:val="left"/>
      <w:pPr>
        <w:ind w:left="2940" w:hanging="360"/>
      </w:pPr>
    </w:lvl>
    <w:lvl w:ilvl="4" w:tplc="5D1A2504">
      <w:start w:val="1"/>
      <w:numFmt w:val="lowerLetter"/>
      <w:lvlText w:val="%5."/>
      <w:lvlJc w:val="left"/>
      <w:pPr>
        <w:ind w:left="3660" w:hanging="360"/>
      </w:pPr>
    </w:lvl>
    <w:lvl w:ilvl="5" w:tplc="899CC98E">
      <w:start w:val="1"/>
      <w:numFmt w:val="lowerRoman"/>
      <w:lvlText w:val="%6."/>
      <w:lvlJc w:val="right"/>
      <w:pPr>
        <w:ind w:left="4380" w:hanging="180"/>
      </w:pPr>
    </w:lvl>
    <w:lvl w:ilvl="6" w:tplc="C4BC0E86">
      <w:start w:val="1"/>
      <w:numFmt w:val="decimal"/>
      <w:lvlText w:val="%7."/>
      <w:lvlJc w:val="left"/>
      <w:pPr>
        <w:ind w:left="5100" w:hanging="360"/>
      </w:pPr>
    </w:lvl>
    <w:lvl w:ilvl="7" w:tplc="8E82BEA0">
      <w:start w:val="1"/>
      <w:numFmt w:val="lowerLetter"/>
      <w:lvlText w:val="%8."/>
      <w:lvlJc w:val="left"/>
      <w:pPr>
        <w:ind w:left="5820" w:hanging="360"/>
      </w:pPr>
    </w:lvl>
    <w:lvl w:ilvl="8" w:tplc="B6FECF36">
      <w:start w:val="1"/>
      <w:numFmt w:val="lowerRoman"/>
      <w:lvlText w:val="%9."/>
      <w:lvlJc w:val="right"/>
      <w:pPr>
        <w:ind w:left="6540" w:hanging="180"/>
      </w:pPr>
    </w:lvl>
  </w:abstractNum>
  <w:abstractNum w:abstractNumId="5" w15:restartNumberingAfterBreak="0">
    <w:nsid w:val="0F462405"/>
    <w:multiLevelType w:val="hybridMultilevel"/>
    <w:tmpl w:val="2BD84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454117"/>
    <w:multiLevelType w:val="hybridMultilevel"/>
    <w:tmpl w:val="F678E5E2"/>
    <w:lvl w:ilvl="0" w:tplc="0C090019">
      <w:start w:val="1"/>
      <w:numFmt w:val="lowerLetter"/>
      <w:lvlText w:val="%1."/>
      <w:lvlJc w:val="left"/>
      <w:pPr>
        <w:ind w:left="1440" w:hanging="360"/>
      </w:pPr>
    </w:lvl>
    <w:lvl w:ilvl="1" w:tplc="0C09001B">
      <w:start w:val="1"/>
      <w:numFmt w:val="lowerRoman"/>
      <w:lvlText w:val="%2."/>
      <w:lvlJc w:val="right"/>
      <w:pPr>
        <w:ind w:left="234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167A283A"/>
    <w:multiLevelType w:val="hybridMultilevel"/>
    <w:tmpl w:val="FFFFFFFF"/>
    <w:lvl w:ilvl="0" w:tplc="DBF0101A">
      <w:start w:val="3"/>
      <w:numFmt w:val="decimal"/>
      <w:lvlText w:val="%1."/>
      <w:lvlJc w:val="left"/>
      <w:pPr>
        <w:ind w:left="720" w:hanging="360"/>
      </w:pPr>
    </w:lvl>
    <w:lvl w:ilvl="1" w:tplc="0A2212C4">
      <w:start w:val="1"/>
      <w:numFmt w:val="lowerLetter"/>
      <w:lvlText w:val="%2."/>
      <w:lvlJc w:val="left"/>
      <w:pPr>
        <w:ind w:left="1440" w:hanging="360"/>
      </w:pPr>
    </w:lvl>
    <w:lvl w:ilvl="2" w:tplc="71543EFA">
      <w:start w:val="1"/>
      <w:numFmt w:val="lowerRoman"/>
      <w:lvlText w:val="%3."/>
      <w:lvlJc w:val="right"/>
      <w:pPr>
        <w:ind w:left="2160" w:hanging="180"/>
      </w:pPr>
    </w:lvl>
    <w:lvl w:ilvl="3" w:tplc="4E602CE2">
      <w:start w:val="1"/>
      <w:numFmt w:val="decimal"/>
      <w:lvlText w:val="%4."/>
      <w:lvlJc w:val="left"/>
      <w:pPr>
        <w:ind w:left="2880" w:hanging="360"/>
      </w:pPr>
    </w:lvl>
    <w:lvl w:ilvl="4" w:tplc="627EDFE2">
      <w:start w:val="1"/>
      <w:numFmt w:val="lowerLetter"/>
      <w:lvlText w:val="%5."/>
      <w:lvlJc w:val="left"/>
      <w:pPr>
        <w:ind w:left="3600" w:hanging="360"/>
      </w:pPr>
    </w:lvl>
    <w:lvl w:ilvl="5" w:tplc="8412350C">
      <w:start w:val="1"/>
      <w:numFmt w:val="lowerRoman"/>
      <w:lvlText w:val="%6."/>
      <w:lvlJc w:val="right"/>
      <w:pPr>
        <w:ind w:left="4320" w:hanging="180"/>
      </w:pPr>
    </w:lvl>
    <w:lvl w:ilvl="6" w:tplc="6096BE34">
      <w:start w:val="1"/>
      <w:numFmt w:val="decimal"/>
      <w:lvlText w:val="%7."/>
      <w:lvlJc w:val="left"/>
      <w:pPr>
        <w:ind w:left="5040" w:hanging="360"/>
      </w:pPr>
    </w:lvl>
    <w:lvl w:ilvl="7" w:tplc="89807B66">
      <w:start w:val="1"/>
      <w:numFmt w:val="lowerLetter"/>
      <w:lvlText w:val="%8."/>
      <w:lvlJc w:val="left"/>
      <w:pPr>
        <w:ind w:left="5760" w:hanging="360"/>
      </w:pPr>
    </w:lvl>
    <w:lvl w:ilvl="8" w:tplc="993E8B38">
      <w:start w:val="1"/>
      <w:numFmt w:val="lowerRoman"/>
      <w:lvlText w:val="%9."/>
      <w:lvlJc w:val="right"/>
      <w:pPr>
        <w:ind w:left="6480" w:hanging="180"/>
      </w:pPr>
    </w:lvl>
  </w:abstractNum>
  <w:abstractNum w:abstractNumId="8" w15:restartNumberingAfterBreak="0">
    <w:nsid w:val="18867CA9"/>
    <w:multiLevelType w:val="hybridMultilevel"/>
    <w:tmpl w:val="B7B66954"/>
    <w:lvl w:ilvl="0" w:tplc="11D0DB72">
      <w:start w:val="1"/>
      <w:numFmt w:val="decimal"/>
      <w:lvlText w:val="%1)"/>
      <w:lvlJc w:val="left"/>
      <w:pPr>
        <w:ind w:left="340" w:hanging="340"/>
      </w:pPr>
      <w:rPr>
        <w:b w:val="0"/>
        <w:bCs/>
        <w:color w:val="auto"/>
        <w:sz w:val="24"/>
      </w:rPr>
    </w:lvl>
    <w:lvl w:ilvl="1" w:tplc="42FAC100">
      <w:start w:val="1"/>
      <w:numFmt w:val="lowerLetter"/>
      <w:lvlText w:val="%2."/>
      <w:lvlJc w:val="left"/>
      <w:pPr>
        <w:ind w:left="680" w:hanging="340"/>
      </w:pPr>
      <w:rPr>
        <w:sz w:val="24"/>
      </w:rPr>
    </w:lvl>
    <w:lvl w:ilvl="2" w:tplc="9BB629BC">
      <w:start w:val="1"/>
      <w:numFmt w:val="lowerRoman"/>
      <w:lvlText w:val="%3."/>
      <w:lvlJc w:val="left"/>
      <w:pPr>
        <w:ind w:left="1020" w:hanging="340"/>
      </w:pPr>
      <w:rPr>
        <w:sz w:val="24"/>
      </w:rPr>
    </w:lvl>
    <w:lvl w:ilvl="3" w:tplc="878A5EBE">
      <w:start w:val="1"/>
      <w:numFmt w:val="upperLetter"/>
      <w:lvlText w:val="(%4)"/>
      <w:lvlJc w:val="left"/>
      <w:pPr>
        <w:ind w:left="1474" w:hanging="454"/>
      </w:pPr>
      <w:rPr>
        <w:sz w:val="24"/>
      </w:rPr>
    </w:lvl>
    <w:lvl w:ilvl="4" w:tplc="2FDEB91E">
      <w:start w:val="1"/>
      <w:numFmt w:val="decimal"/>
      <w:lvlText w:val="%5."/>
      <w:lvlJc w:val="left"/>
      <w:pPr>
        <w:ind w:left="1700" w:hanging="340"/>
      </w:pPr>
      <w:rPr>
        <w:sz w:val="24"/>
      </w:rPr>
    </w:lvl>
    <w:lvl w:ilvl="5" w:tplc="595C9FE8">
      <w:start w:val="1"/>
      <w:numFmt w:val="decimal"/>
      <w:lvlText w:val=""/>
      <w:lvlJc w:val="left"/>
      <w:pPr>
        <w:ind w:left="2040" w:hanging="340"/>
      </w:pPr>
    </w:lvl>
    <w:lvl w:ilvl="6" w:tplc="36941F3A">
      <w:start w:val="1"/>
      <w:numFmt w:val="decimal"/>
      <w:lvlText w:val=""/>
      <w:lvlJc w:val="left"/>
      <w:pPr>
        <w:ind w:left="2380" w:hanging="340"/>
      </w:pPr>
    </w:lvl>
    <w:lvl w:ilvl="7" w:tplc="440625E2">
      <w:start w:val="1"/>
      <w:numFmt w:val="decimal"/>
      <w:lvlText w:val=""/>
      <w:lvlJc w:val="left"/>
      <w:pPr>
        <w:ind w:left="2720" w:hanging="340"/>
      </w:pPr>
    </w:lvl>
    <w:lvl w:ilvl="8" w:tplc="C7D6068C">
      <w:start w:val="1"/>
      <w:numFmt w:val="decimal"/>
      <w:lvlText w:val=""/>
      <w:lvlJc w:val="left"/>
      <w:pPr>
        <w:ind w:left="3060" w:hanging="340"/>
      </w:pPr>
    </w:lvl>
  </w:abstractNum>
  <w:abstractNum w:abstractNumId="9" w15:restartNumberingAfterBreak="0">
    <w:nsid w:val="1D2E2064"/>
    <w:multiLevelType w:val="hybridMultilevel"/>
    <w:tmpl w:val="C5642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2316B5"/>
    <w:multiLevelType w:val="hybridMultilevel"/>
    <w:tmpl w:val="79C60F94"/>
    <w:lvl w:ilvl="0" w:tplc="617E8BC4">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2929B0"/>
    <w:multiLevelType w:val="hybridMultilevel"/>
    <w:tmpl w:val="67409168"/>
    <w:lvl w:ilvl="0" w:tplc="0C090011">
      <w:start w:val="1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ADC6364"/>
    <w:multiLevelType w:val="hybridMultilevel"/>
    <w:tmpl w:val="FFFFFFFF"/>
    <w:lvl w:ilvl="0" w:tplc="218660FC">
      <w:start w:val="1"/>
      <w:numFmt w:val="bullet"/>
      <w:lvlText w:val="·"/>
      <w:lvlJc w:val="left"/>
      <w:pPr>
        <w:ind w:left="720" w:hanging="360"/>
      </w:pPr>
      <w:rPr>
        <w:rFonts w:ascii="Symbol" w:hAnsi="Symbol" w:hint="default"/>
      </w:rPr>
    </w:lvl>
    <w:lvl w:ilvl="1" w:tplc="18B404EA">
      <w:start w:val="1"/>
      <w:numFmt w:val="bullet"/>
      <w:lvlText w:val="o"/>
      <w:lvlJc w:val="left"/>
      <w:pPr>
        <w:ind w:left="1440" w:hanging="360"/>
      </w:pPr>
      <w:rPr>
        <w:rFonts w:ascii="Courier New" w:hAnsi="Courier New" w:hint="default"/>
      </w:rPr>
    </w:lvl>
    <w:lvl w:ilvl="2" w:tplc="D37CBC42">
      <w:start w:val="1"/>
      <w:numFmt w:val="bullet"/>
      <w:lvlText w:val=""/>
      <w:lvlJc w:val="left"/>
      <w:pPr>
        <w:ind w:left="2160" w:hanging="360"/>
      </w:pPr>
      <w:rPr>
        <w:rFonts w:ascii="Wingdings" w:hAnsi="Wingdings" w:hint="default"/>
      </w:rPr>
    </w:lvl>
    <w:lvl w:ilvl="3" w:tplc="D67CE006">
      <w:start w:val="1"/>
      <w:numFmt w:val="bullet"/>
      <w:lvlText w:val=""/>
      <w:lvlJc w:val="left"/>
      <w:pPr>
        <w:ind w:left="2880" w:hanging="360"/>
      </w:pPr>
      <w:rPr>
        <w:rFonts w:ascii="Symbol" w:hAnsi="Symbol" w:hint="default"/>
      </w:rPr>
    </w:lvl>
    <w:lvl w:ilvl="4" w:tplc="CBE6D67A">
      <w:start w:val="1"/>
      <w:numFmt w:val="bullet"/>
      <w:lvlText w:val="o"/>
      <w:lvlJc w:val="left"/>
      <w:pPr>
        <w:ind w:left="3600" w:hanging="360"/>
      </w:pPr>
      <w:rPr>
        <w:rFonts w:ascii="Courier New" w:hAnsi="Courier New" w:hint="default"/>
      </w:rPr>
    </w:lvl>
    <w:lvl w:ilvl="5" w:tplc="91E8FA7A">
      <w:start w:val="1"/>
      <w:numFmt w:val="bullet"/>
      <w:lvlText w:val=""/>
      <w:lvlJc w:val="left"/>
      <w:pPr>
        <w:ind w:left="4320" w:hanging="360"/>
      </w:pPr>
      <w:rPr>
        <w:rFonts w:ascii="Wingdings" w:hAnsi="Wingdings" w:hint="default"/>
      </w:rPr>
    </w:lvl>
    <w:lvl w:ilvl="6" w:tplc="C5ACCA1C">
      <w:start w:val="1"/>
      <w:numFmt w:val="bullet"/>
      <w:lvlText w:val=""/>
      <w:lvlJc w:val="left"/>
      <w:pPr>
        <w:ind w:left="5040" w:hanging="360"/>
      </w:pPr>
      <w:rPr>
        <w:rFonts w:ascii="Symbol" w:hAnsi="Symbol" w:hint="default"/>
      </w:rPr>
    </w:lvl>
    <w:lvl w:ilvl="7" w:tplc="48066A82">
      <w:start w:val="1"/>
      <w:numFmt w:val="bullet"/>
      <w:lvlText w:val="o"/>
      <w:lvlJc w:val="left"/>
      <w:pPr>
        <w:ind w:left="5760" w:hanging="360"/>
      </w:pPr>
      <w:rPr>
        <w:rFonts w:ascii="Courier New" w:hAnsi="Courier New" w:hint="default"/>
      </w:rPr>
    </w:lvl>
    <w:lvl w:ilvl="8" w:tplc="6D6C38B4">
      <w:start w:val="1"/>
      <w:numFmt w:val="bullet"/>
      <w:lvlText w:val=""/>
      <w:lvlJc w:val="left"/>
      <w:pPr>
        <w:ind w:left="6480" w:hanging="360"/>
      </w:pPr>
      <w:rPr>
        <w:rFonts w:ascii="Wingdings" w:hAnsi="Wingdings" w:hint="default"/>
      </w:rPr>
    </w:lvl>
  </w:abstractNum>
  <w:abstractNum w:abstractNumId="13" w15:restartNumberingAfterBreak="0">
    <w:nsid w:val="2CF4D53A"/>
    <w:multiLevelType w:val="hybridMultilevel"/>
    <w:tmpl w:val="A0124F76"/>
    <w:lvl w:ilvl="0" w:tplc="F364EF14">
      <w:start w:val="1"/>
      <w:numFmt w:val="decimal"/>
      <w:lvlText w:val="(%1)"/>
      <w:lvlJc w:val="left"/>
      <w:pPr>
        <w:ind w:left="720" w:hanging="360"/>
      </w:pPr>
    </w:lvl>
    <w:lvl w:ilvl="1" w:tplc="84925282">
      <w:start w:val="1"/>
      <w:numFmt w:val="lowerLetter"/>
      <w:lvlText w:val="%2."/>
      <w:lvlJc w:val="left"/>
      <w:pPr>
        <w:ind w:left="1440" w:hanging="360"/>
      </w:pPr>
    </w:lvl>
    <w:lvl w:ilvl="2" w:tplc="D25471CA">
      <w:start w:val="1"/>
      <w:numFmt w:val="lowerRoman"/>
      <w:lvlText w:val="%3."/>
      <w:lvlJc w:val="right"/>
      <w:pPr>
        <w:ind w:left="2160" w:hanging="180"/>
      </w:pPr>
    </w:lvl>
    <w:lvl w:ilvl="3" w:tplc="D56C4DDE">
      <w:start w:val="1"/>
      <w:numFmt w:val="decimal"/>
      <w:lvlText w:val="%4."/>
      <w:lvlJc w:val="left"/>
      <w:pPr>
        <w:ind w:left="2880" w:hanging="360"/>
      </w:pPr>
    </w:lvl>
    <w:lvl w:ilvl="4" w:tplc="B3F69554">
      <w:start w:val="1"/>
      <w:numFmt w:val="lowerLetter"/>
      <w:lvlText w:val="%5."/>
      <w:lvlJc w:val="left"/>
      <w:pPr>
        <w:ind w:left="3600" w:hanging="360"/>
      </w:pPr>
    </w:lvl>
    <w:lvl w:ilvl="5" w:tplc="621C3B0A">
      <w:start w:val="1"/>
      <w:numFmt w:val="lowerRoman"/>
      <w:lvlText w:val="%6."/>
      <w:lvlJc w:val="right"/>
      <w:pPr>
        <w:ind w:left="4320" w:hanging="180"/>
      </w:pPr>
    </w:lvl>
    <w:lvl w:ilvl="6" w:tplc="43044160">
      <w:start w:val="1"/>
      <w:numFmt w:val="decimal"/>
      <w:lvlText w:val="%7."/>
      <w:lvlJc w:val="left"/>
      <w:pPr>
        <w:ind w:left="5040" w:hanging="360"/>
      </w:pPr>
    </w:lvl>
    <w:lvl w:ilvl="7" w:tplc="903CF63C">
      <w:start w:val="1"/>
      <w:numFmt w:val="lowerLetter"/>
      <w:lvlText w:val="%8."/>
      <w:lvlJc w:val="left"/>
      <w:pPr>
        <w:ind w:left="5760" w:hanging="360"/>
      </w:pPr>
    </w:lvl>
    <w:lvl w:ilvl="8" w:tplc="045A2E38">
      <w:start w:val="1"/>
      <w:numFmt w:val="lowerRoman"/>
      <w:lvlText w:val="%9."/>
      <w:lvlJc w:val="right"/>
      <w:pPr>
        <w:ind w:left="6480" w:hanging="180"/>
      </w:pPr>
    </w:lvl>
  </w:abstractNum>
  <w:abstractNum w:abstractNumId="14" w15:restartNumberingAfterBreak="0">
    <w:nsid w:val="2D2107A3"/>
    <w:multiLevelType w:val="hybridMultilevel"/>
    <w:tmpl w:val="462C581C"/>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5" w15:restartNumberingAfterBreak="0">
    <w:nsid w:val="30322098"/>
    <w:multiLevelType w:val="hybridMultilevel"/>
    <w:tmpl w:val="F530C59A"/>
    <w:lvl w:ilvl="0" w:tplc="2C700C2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F93D0A"/>
    <w:multiLevelType w:val="hybridMultilevel"/>
    <w:tmpl w:val="FFFFFFFF"/>
    <w:lvl w:ilvl="0" w:tplc="8FD8E8AA">
      <w:start w:val="2"/>
      <w:numFmt w:val="decimal"/>
      <w:lvlText w:val="%1."/>
      <w:lvlJc w:val="left"/>
      <w:pPr>
        <w:ind w:left="720" w:hanging="360"/>
      </w:pPr>
    </w:lvl>
    <w:lvl w:ilvl="1" w:tplc="7696F58E">
      <w:start w:val="1"/>
      <w:numFmt w:val="lowerLetter"/>
      <w:lvlText w:val="%2."/>
      <w:lvlJc w:val="left"/>
      <w:pPr>
        <w:ind w:left="1440" w:hanging="360"/>
      </w:pPr>
    </w:lvl>
    <w:lvl w:ilvl="2" w:tplc="08E6C48E">
      <w:start w:val="1"/>
      <w:numFmt w:val="lowerRoman"/>
      <w:lvlText w:val="%3."/>
      <w:lvlJc w:val="right"/>
      <w:pPr>
        <w:ind w:left="2160" w:hanging="180"/>
      </w:pPr>
    </w:lvl>
    <w:lvl w:ilvl="3" w:tplc="2C74A3AE">
      <w:start w:val="1"/>
      <w:numFmt w:val="decimal"/>
      <w:lvlText w:val="%4."/>
      <w:lvlJc w:val="left"/>
      <w:pPr>
        <w:ind w:left="2880" w:hanging="360"/>
      </w:pPr>
    </w:lvl>
    <w:lvl w:ilvl="4" w:tplc="D4B49EB6">
      <w:start w:val="1"/>
      <w:numFmt w:val="lowerLetter"/>
      <w:lvlText w:val="%5."/>
      <w:lvlJc w:val="left"/>
      <w:pPr>
        <w:ind w:left="3600" w:hanging="360"/>
      </w:pPr>
    </w:lvl>
    <w:lvl w:ilvl="5" w:tplc="254E812A">
      <w:start w:val="1"/>
      <w:numFmt w:val="lowerRoman"/>
      <w:lvlText w:val="%6."/>
      <w:lvlJc w:val="right"/>
      <w:pPr>
        <w:ind w:left="4320" w:hanging="180"/>
      </w:pPr>
    </w:lvl>
    <w:lvl w:ilvl="6" w:tplc="B8AE5DEC">
      <w:start w:val="1"/>
      <w:numFmt w:val="decimal"/>
      <w:lvlText w:val="%7."/>
      <w:lvlJc w:val="left"/>
      <w:pPr>
        <w:ind w:left="5040" w:hanging="360"/>
      </w:pPr>
    </w:lvl>
    <w:lvl w:ilvl="7" w:tplc="7AF2254C">
      <w:start w:val="1"/>
      <w:numFmt w:val="lowerLetter"/>
      <w:lvlText w:val="%8."/>
      <w:lvlJc w:val="left"/>
      <w:pPr>
        <w:ind w:left="5760" w:hanging="360"/>
      </w:pPr>
    </w:lvl>
    <w:lvl w:ilvl="8" w:tplc="43BE4B94">
      <w:start w:val="1"/>
      <w:numFmt w:val="lowerRoman"/>
      <w:lvlText w:val="%9."/>
      <w:lvlJc w:val="right"/>
      <w:pPr>
        <w:ind w:left="6480" w:hanging="180"/>
      </w:pPr>
    </w:lvl>
  </w:abstractNum>
  <w:abstractNum w:abstractNumId="17" w15:restartNumberingAfterBreak="0">
    <w:nsid w:val="335872B8"/>
    <w:multiLevelType w:val="hybridMultilevel"/>
    <w:tmpl w:val="39944286"/>
    <w:lvl w:ilvl="0" w:tplc="FFFFFFFF">
      <w:start w:val="1"/>
      <w:numFmt w:val="decimal"/>
      <w:pStyle w:val="CS-Paragraphnumbering"/>
      <w:lvlText w:val="%1."/>
      <w:lvlJc w:val="left"/>
      <w:pPr>
        <w:ind w:left="720" w:hanging="360"/>
      </w:pPr>
      <w:rPr>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47A546"/>
    <w:multiLevelType w:val="hybridMultilevel"/>
    <w:tmpl w:val="FFFFFFFF"/>
    <w:lvl w:ilvl="0" w:tplc="2E7E1468">
      <w:start w:val="2"/>
      <w:numFmt w:val="decimal"/>
      <w:lvlText w:val="%1."/>
      <w:lvlJc w:val="left"/>
      <w:pPr>
        <w:ind w:left="720" w:hanging="360"/>
      </w:pPr>
    </w:lvl>
    <w:lvl w:ilvl="1" w:tplc="5E94EE1C">
      <w:start w:val="1"/>
      <w:numFmt w:val="lowerLetter"/>
      <w:lvlText w:val="%2."/>
      <w:lvlJc w:val="left"/>
      <w:pPr>
        <w:ind w:left="1440" w:hanging="360"/>
      </w:pPr>
    </w:lvl>
    <w:lvl w:ilvl="2" w:tplc="66FAF7A6">
      <w:start w:val="1"/>
      <w:numFmt w:val="lowerRoman"/>
      <w:lvlText w:val="%3."/>
      <w:lvlJc w:val="right"/>
      <w:pPr>
        <w:ind w:left="2160" w:hanging="180"/>
      </w:pPr>
    </w:lvl>
    <w:lvl w:ilvl="3" w:tplc="63A419CA">
      <w:start w:val="1"/>
      <w:numFmt w:val="decimal"/>
      <w:lvlText w:val="%4."/>
      <w:lvlJc w:val="left"/>
      <w:pPr>
        <w:ind w:left="2880" w:hanging="360"/>
      </w:pPr>
    </w:lvl>
    <w:lvl w:ilvl="4" w:tplc="E14CD0DC">
      <w:start w:val="1"/>
      <w:numFmt w:val="lowerLetter"/>
      <w:lvlText w:val="%5."/>
      <w:lvlJc w:val="left"/>
      <w:pPr>
        <w:ind w:left="3600" w:hanging="360"/>
      </w:pPr>
    </w:lvl>
    <w:lvl w:ilvl="5" w:tplc="2154FEBC">
      <w:start w:val="1"/>
      <w:numFmt w:val="lowerRoman"/>
      <w:lvlText w:val="%6."/>
      <w:lvlJc w:val="right"/>
      <w:pPr>
        <w:ind w:left="4320" w:hanging="180"/>
      </w:pPr>
    </w:lvl>
    <w:lvl w:ilvl="6" w:tplc="F84ABD16">
      <w:start w:val="1"/>
      <w:numFmt w:val="decimal"/>
      <w:lvlText w:val="%7."/>
      <w:lvlJc w:val="left"/>
      <w:pPr>
        <w:ind w:left="5040" w:hanging="360"/>
      </w:pPr>
    </w:lvl>
    <w:lvl w:ilvl="7" w:tplc="7FB81E98">
      <w:start w:val="1"/>
      <w:numFmt w:val="lowerLetter"/>
      <w:lvlText w:val="%8."/>
      <w:lvlJc w:val="left"/>
      <w:pPr>
        <w:ind w:left="5760" w:hanging="360"/>
      </w:pPr>
    </w:lvl>
    <w:lvl w:ilvl="8" w:tplc="2F703050">
      <w:start w:val="1"/>
      <w:numFmt w:val="lowerRoman"/>
      <w:lvlText w:val="%9."/>
      <w:lvlJc w:val="right"/>
      <w:pPr>
        <w:ind w:left="6480" w:hanging="180"/>
      </w:pPr>
    </w:lvl>
  </w:abstractNum>
  <w:abstractNum w:abstractNumId="19" w15:restartNumberingAfterBreak="0">
    <w:nsid w:val="3567E796"/>
    <w:multiLevelType w:val="hybridMultilevel"/>
    <w:tmpl w:val="B49C7510"/>
    <w:lvl w:ilvl="0" w:tplc="7C622836">
      <w:start w:val="1"/>
      <w:numFmt w:val="decimal"/>
      <w:lvlText w:val="(%1)"/>
      <w:lvlJc w:val="left"/>
      <w:pPr>
        <w:ind w:left="720" w:hanging="360"/>
      </w:pPr>
    </w:lvl>
    <w:lvl w:ilvl="1" w:tplc="03AADEA2">
      <w:start w:val="1"/>
      <w:numFmt w:val="lowerLetter"/>
      <w:lvlText w:val="%2."/>
      <w:lvlJc w:val="left"/>
      <w:pPr>
        <w:ind w:left="1440" w:hanging="360"/>
      </w:pPr>
    </w:lvl>
    <w:lvl w:ilvl="2" w:tplc="7938ECEA">
      <w:start w:val="1"/>
      <w:numFmt w:val="lowerRoman"/>
      <w:lvlText w:val="%3."/>
      <w:lvlJc w:val="right"/>
      <w:pPr>
        <w:ind w:left="2160" w:hanging="180"/>
      </w:pPr>
    </w:lvl>
    <w:lvl w:ilvl="3" w:tplc="78DE6B6A">
      <w:start w:val="1"/>
      <w:numFmt w:val="decimal"/>
      <w:lvlText w:val="%4."/>
      <w:lvlJc w:val="left"/>
      <w:pPr>
        <w:ind w:left="2880" w:hanging="360"/>
      </w:pPr>
    </w:lvl>
    <w:lvl w:ilvl="4" w:tplc="5C9ADDF2">
      <w:start w:val="1"/>
      <w:numFmt w:val="lowerLetter"/>
      <w:lvlText w:val="%5."/>
      <w:lvlJc w:val="left"/>
      <w:pPr>
        <w:ind w:left="3600" w:hanging="360"/>
      </w:pPr>
    </w:lvl>
    <w:lvl w:ilvl="5" w:tplc="07F81D56">
      <w:start w:val="1"/>
      <w:numFmt w:val="lowerRoman"/>
      <w:lvlText w:val="%6."/>
      <w:lvlJc w:val="right"/>
      <w:pPr>
        <w:ind w:left="4320" w:hanging="180"/>
      </w:pPr>
    </w:lvl>
    <w:lvl w:ilvl="6" w:tplc="D9FAC8C2">
      <w:start w:val="1"/>
      <w:numFmt w:val="decimal"/>
      <w:lvlText w:val="%7."/>
      <w:lvlJc w:val="left"/>
      <w:pPr>
        <w:ind w:left="5040" w:hanging="360"/>
      </w:pPr>
    </w:lvl>
    <w:lvl w:ilvl="7" w:tplc="30626EE2">
      <w:start w:val="1"/>
      <w:numFmt w:val="lowerLetter"/>
      <w:lvlText w:val="%8."/>
      <w:lvlJc w:val="left"/>
      <w:pPr>
        <w:ind w:left="5760" w:hanging="360"/>
      </w:pPr>
    </w:lvl>
    <w:lvl w:ilvl="8" w:tplc="5E067976">
      <w:start w:val="1"/>
      <w:numFmt w:val="lowerRoman"/>
      <w:lvlText w:val="%9."/>
      <w:lvlJc w:val="right"/>
      <w:pPr>
        <w:ind w:left="6480" w:hanging="180"/>
      </w:pPr>
    </w:lvl>
  </w:abstractNum>
  <w:abstractNum w:abstractNumId="20" w15:restartNumberingAfterBreak="0">
    <w:nsid w:val="3A875D90"/>
    <w:multiLevelType w:val="hybridMultilevel"/>
    <w:tmpl w:val="4F7A9328"/>
    <w:lvl w:ilvl="0" w:tplc="F35E0B24">
      <w:start w:val="1"/>
      <w:numFmt w:val="decimal"/>
      <w:lvlText w:val="%1."/>
      <w:lvlJc w:val="left"/>
      <w:pPr>
        <w:ind w:left="720" w:hanging="360"/>
      </w:pPr>
    </w:lvl>
    <w:lvl w:ilvl="1" w:tplc="AC78F6BE">
      <w:start w:val="1"/>
      <w:numFmt w:val="lowerLetter"/>
      <w:lvlText w:val="%2."/>
      <w:lvlJc w:val="left"/>
      <w:pPr>
        <w:ind w:left="1440" w:hanging="360"/>
      </w:pPr>
    </w:lvl>
    <w:lvl w:ilvl="2" w:tplc="79A4F77C">
      <w:start w:val="1"/>
      <w:numFmt w:val="lowerRoman"/>
      <w:lvlText w:val="%3."/>
      <w:lvlJc w:val="right"/>
      <w:pPr>
        <w:ind w:left="2160" w:hanging="180"/>
      </w:pPr>
    </w:lvl>
    <w:lvl w:ilvl="3" w:tplc="D3A62962">
      <w:start w:val="1"/>
      <w:numFmt w:val="decimal"/>
      <w:lvlText w:val="%4."/>
      <w:lvlJc w:val="left"/>
      <w:pPr>
        <w:ind w:left="2880" w:hanging="360"/>
      </w:pPr>
    </w:lvl>
    <w:lvl w:ilvl="4" w:tplc="D8EA23C0">
      <w:start w:val="1"/>
      <w:numFmt w:val="lowerLetter"/>
      <w:lvlText w:val="%5."/>
      <w:lvlJc w:val="left"/>
      <w:pPr>
        <w:ind w:left="3600" w:hanging="360"/>
      </w:pPr>
    </w:lvl>
    <w:lvl w:ilvl="5" w:tplc="D0A4C6B6">
      <w:start w:val="1"/>
      <w:numFmt w:val="lowerRoman"/>
      <w:lvlText w:val="%6."/>
      <w:lvlJc w:val="right"/>
      <w:pPr>
        <w:ind w:left="4320" w:hanging="180"/>
      </w:pPr>
    </w:lvl>
    <w:lvl w:ilvl="6" w:tplc="C580645C">
      <w:start w:val="1"/>
      <w:numFmt w:val="decimal"/>
      <w:lvlText w:val="%7."/>
      <w:lvlJc w:val="left"/>
      <w:pPr>
        <w:ind w:left="5040" w:hanging="360"/>
      </w:pPr>
    </w:lvl>
    <w:lvl w:ilvl="7" w:tplc="80F0E92A">
      <w:start w:val="1"/>
      <w:numFmt w:val="lowerLetter"/>
      <w:lvlText w:val="%8."/>
      <w:lvlJc w:val="left"/>
      <w:pPr>
        <w:ind w:left="5760" w:hanging="360"/>
      </w:pPr>
    </w:lvl>
    <w:lvl w:ilvl="8" w:tplc="B0D678A2">
      <w:start w:val="1"/>
      <w:numFmt w:val="lowerRoman"/>
      <w:lvlText w:val="%9."/>
      <w:lvlJc w:val="right"/>
      <w:pPr>
        <w:ind w:left="6480" w:hanging="180"/>
      </w:pPr>
    </w:lvl>
  </w:abstractNum>
  <w:abstractNum w:abstractNumId="21" w15:restartNumberingAfterBreak="0">
    <w:nsid w:val="3F69E25E"/>
    <w:multiLevelType w:val="hybridMultilevel"/>
    <w:tmpl w:val="FFFFFFFF"/>
    <w:lvl w:ilvl="0" w:tplc="2B606C02">
      <w:start w:val="3"/>
      <w:numFmt w:val="decimal"/>
      <w:lvlText w:val="%1."/>
      <w:lvlJc w:val="left"/>
      <w:pPr>
        <w:ind w:left="3479" w:hanging="360"/>
      </w:pPr>
    </w:lvl>
    <w:lvl w:ilvl="1" w:tplc="F4E0FCB4">
      <w:start w:val="1"/>
      <w:numFmt w:val="lowerLetter"/>
      <w:lvlText w:val="%2."/>
      <w:lvlJc w:val="left"/>
      <w:pPr>
        <w:ind w:left="4199" w:hanging="360"/>
      </w:pPr>
    </w:lvl>
    <w:lvl w:ilvl="2" w:tplc="3ADC6DB8">
      <w:start w:val="1"/>
      <w:numFmt w:val="lowerRoman"/>
      <w:lvlText w:val="%3."/>
      <w:lvlJc w:val="right"/>
      <w:pPr>
        <w:ind w:left="4919" w:hanging="180"/>
      </w:pPr>
    </w:lvl>
    <w:lvl w:ilvl="3" w:tplc="BCBC0C4A">
      <w:start w:val="1"/>
      <w:numFmt w:val="decimal"/>
      <w:lvlText w:val="%4."/>
      <w:lvlJc w:val="left"/>
      <w:pPr>
        <w:ind w:left="3054" w:hanging="360"/>
      </w:pPr>
    </w:lvl>
    <w:lvl w:ilvl="4" w:tplc="C29E98EA">
      <w:start w:val="1"/>
      <w:numFmt w:val="lowerLetter"/>
      <w:lvlText w:val="%5."/>
      <w:lvlJc w:val="left"/>
      <w:pPr>
        <w:ind w:left="6359" w:hanging="360"/>
      </w:pPr>
    </w:lvl>
    <w:lvl w:ilvl="5" w:tplc="B1CA0432">
      <w:start w:val="1"/>
      <w:numFmt w:val="lowerRoman"/>
      <w:lvlText w:val="%6."/>
      <w:lvlJc w:val="right"/>
      <w:pPr>
        <w:ind w:left="7079" w:hanging="180"/>
      </w:pPr>
    </w:lvl>
    <w:lvl w:ilvl="6" w:tplc="6A78E10E">
      <w:start w:val="1"/>
      <w:numFmt w:val="decimal"/>
      <w:lvlText w:val="%7."/>
      <w:lvlJc w:val="left"/>
      <w:pPr>
        <w:ind w:left="7799" w:hanging="360"/>
      </w:pPr>
    </w:lvl>
    <w:lvl w:ilvl="7" w:tplc="764A860C">
      <w:start w:val="1"/>
      <w:numFmt w:val="lowerLetter"/>
      <w:lvlText w:val="%8."/>
      <w:lvlJc w:val="left"/>
      <w:pPr>
        <w:ind w:left="8519" w:hanging="360"/>
      </w:pPr>
    </w:lvl>
    <w:lvl w:ilvl="8" w:tplc="02B89ACC">
      <w:start w:val="1"/>
      <w:numFmt w:val="lowerRoman"/>
      <w:lvlText w:val="%9."/>
      <w:lvlJc w:val="right"/>
      <w:pPr>
        <w:ind w:left="9239" w:hanging="180"/>
      </w:pPr>
    </w:lvl>
  </w:abstractNum>
  <w:abstractNum w:abstractNumId="22" w15:restartNumberingAfterBreak="0">
    <w:nsid w:val="41C34F89"/>
    <w:multiLevelType w:val="hybridMultilevel"/>
    <w:tmpl w:val="FFFFFFFF"/>
    <w:lvl w:ilvl="0" w:tplc="BC6AB158">
      <w:start w:val="3"/>
      <w:numFmt w:val="decimal"/>
      <w:lvlText w:val="%1."/>
      <w:lvlJc w:val="left"/>
      <w:pPr>
        <w:ind w:left="720" w:hanging="360"/>
      </w:pPr>
    </w:lvl>
    <w:lvl w:ilvl="1" w:tplc="243A3220">
      <w:start w:val="1"/>
      <w:numFmt w:val="lowerLetter"/>
      <w:lvlText w:val="%2."/>
      <w:lvlJc w:val="left"/>
      <w:pPr>
        <w:ind w:left="1440" w:hanging="360"/>
      </w:pPr>
    </w:lvl>
    <w:lvl w:ilvl="2" w:tplc="56B85CD6">
      <w:start w:val="1"/>
      <w:numFmt w:val="lowerRoman"/>
      <w:lvlText w:val="%3."/>
      <w:lvlJc w:val="right"/>
      <w:pPr>
        <w:ind w:left="2160" w:hanging="180"/>
      </w:pPr>
    </w:lvl>
    <w:lvl w:ilvl="3" w:tplc="EF8EC7C0">
      <w:start w:val="1"/>
      <w:numFmt w:val="decimal"/>
      <w:lvlText w:val="%4."/>
      <w:lvlJc w:val="left"/>
      <w:pPr>
        <w:ind w:left="2880" w:hanging="360"/>
      </w:pPr>
    </w:lvl>
    <w:lvl w:ilvl="4" w:tplc="9F3E9694">
      <w:start w:val="1"/>
      <w:numFmt w:val="lowerLetter"/>
      <w:lvlText w:val="%5."/>
      <w:lvlJc w:val="left"/>
      <w:pPr>
        <w:ind w:left="3600" w:hanging="360"/>
      </w:pPr>
    </w:lvl>
    <w:lvl w:ilvl="5" w:tplc="48567FD2">
      <w:start w:val="1"/>
      <w:numFmt w:val="lowerRoman"/>
      <w:lvlText w:val="%6."/>
      <w:lvlJc w:val="right"/>
      <w:pPr>
        <w:ind w:left="4320" w:hanging="180"/>
      </w:pPr>
    </w:lvl>
    <w:lvl w:ilvl="6" w:tplc="35567D3E">
      <w:start w:val="1"/>
      <w:numFmt w:val="decimal"/>
      <w:lvlText w:val="%7."/>
      <w:lvlJc w:val="left"/>
      <w:pPr>
        <w:ind w:left="5040" w:hanging="360"/>
      </w:pPr>
    </w:lvl>
    <w:lvl w:ilvl="7" w:tplc="435A65B8">
      <w:start w:val="1"/>
      <w:numFmt w:val="lowerLetter"/>
      <w:lvlText w:val="%8."/>
      <w:lvlJc w:val="left"/>
      <w:pPr>
        <w:ind w:left="5760" w:hanging="360"/>
      </w:pPr>
    </w:lvl>
    <w:lvl w:ilvl="8" w:tplc="D8F86176">
      <w:start w:val="1"/>
      <w:numFmt w:val="lowerRoman"/>
      <w:lvlText w:val="%9."/>
      <w:lvlJc w:val="right"/>
      <w:pPr>
        <w:ind w:left="6480" w:hanging="180"/>
      </w:pPr>
    </w:lvl>
  </w:abstractNum>
  <w:abstractNum w:abstractNumId="23" w15:restartNumberingAfterBreak="0">
    <w:nsid w:val="48E0790D"/>
    <w:multiLevelType w:val="hybridMultilevel"/>
    <w:tmpl w:val="161EF336"/>
    <w:lvl w:ilvl="0" w:tplc="E0B64B4A">
      <w:start w:val="1"/>
      <w:numFmt w:val="decimal"/>
      <w:lvlText w:val="(%1)"/>
      <w:lvlJc w:val="left"/>
      <w:pPr>
        <w:ind w:left="720" w:hanging="360"/>
      </w:pPr>
    </w:lvl>
    <w:lvl w:ilvl="1" w:tplc="B1104CEA">
      <w:start w:val="1"/>
      <w:numFmt w:val="lowerLetter"/>
      <w:lvlText w:val="%2."/>
      <w:lvlJc w:val="left"/>
      <w:pPr>
        <w:ind w:left="1440" w:hanging="360"/>
      </w:pPr>
    </w:lvl>
    <w:lvl w:ilvl="2" w:tplc="46081244">
      <w:start w:val="1"/>
      <w:numFmt w:val="lowerRoman"/>
      <w:lvlText w:val="%3."/>
      <w:lvlJc w:val="right"/>
      <w:pPr>
        <w:ind w:left="2160" w:hanging="180"/>
      </w:pPr>
    </w:lvl>
    <w:lvl w:ilvl="3" w:tplc="3BC20E0E">
      <w:start w:val="1"/>
      <w:numFmt w:val="decimal"/>
      <w:lvlText w:val="%4."/>
      <w:lvlJc w:val="left"/>
      <w:pPr>
        <w:ind w:left="2880" w:hanging="360"/>
      </w:pPr>
    </w:lvl>
    <w:lvl w:ilvl="4" w:tplc="891EE46E">
      <w:start w:val="1"/>
      <w:numFmt w:val="lowerLetter"/>
      <w:lvlText w:val="%5."/>
      <w:lvlJc w:val="left"/>
      <w:pPr>
        <w:ind w:left="3600" w:hanging="360"/>
      </w:pPr>
    </w:lvl>
    <w:lvl w:ilvl="5" w:tplc="DBAE6484">
      <w:start w:val="1"/>
      <w:numFmt w:val="lowerRoman"/>
      <w:lvlText w:val="%6."/>
      <w:lvlJc w:val="right"/>
      <w:pPr>
        <w:ind w:left="4320" w:hanging="180"/>
      </w:pPr>
    </w:lvl>
    <w:lvl w:ilvl="6" w:tplc="8DA09444">
      <w:start w:val="1"/>
      <w:numFmt w:val="decimal"/>
      <w:lvlText w:val="%7."/>
      <w:lvlJc w:val="left"/>
      <w:pPr>
        <w:ind w:left="5040" w:hanging="360"/>
      </w:pPr>
    </w:lvl>
    <w:lvl w:ilvl="7" w:tplc="988809E8">
      <w:start w:val="1"/>
      <w:numFmt w:val="lowerLetter"/>
      <w:lvlText w:val="%8."/>
      <w:lvlJc w:val="left"/>
      <w:pPr>
        <w:ind w:left="5760" w:hanging="360"/>
      </w:pPr>
    </w:lvl>
    <w:lvl w:ilvl="8" w:tplc="87DED5B4">
      <w:start w:val="1"/>
      <w:numFmt w:val="lowerRoman"/>
      <w:lvlText w:val="%9."/>
      <w:lvlJc w:val="right"/>
      <w:pPr>
        <w:ind w:left="6480" w:hanging="180"/>
      </w:pPr>
    </w:lvl>
  </w:abstractNum>
  <w:abstractNum w:abstractNumId="24" w15:restartNumberingAfterBreak="0">
    <w:nsid w:val="4BCF77B9"/>
    <w:multiLevelType w:val="hybridMultilevel"/>
    <w:tmpl w:val="A44C7828"/>
    <w:lvl w:ilvl="0" w:tplc="0C09000F">
      <w:start w:val="1"/>
      <w:numFmt w:val="decimal"/>
      <w:lvlText w:val="%1."/>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297ABF7"/>
    <w:multiLevelType w:val="hybridMultilevel"/>
    <w:tmpl w:val="FFFFFFFF"/>
    <w:lvl w:ilvl="0" w:tplc="FF527C66">
      <w:start w:val="2"/>
      <w:numFmt w:val="decimal"/>
      <w:lvlText w:val="%1."/>
      <w:lvlJc w:val="left"/>
      <w:pPr>
        <w:ind w:left="-720" w:hanging="360"/>
      </w:pPr>
    </w:lvl>
    <w:lvl w:ilvl="1" w:tplc="D51C1D58">
      <w:start w:val="1"/>
      <w:numFmt w:val="lowerLetter"/>
      <w:lvlText w:val="%2."/>
      <w:lvlJc w:val="left"/>
      <w:pPr>
        <w:ind w:left="0" w:hanging="360"/>
      </w:pPr>
    </w:lvl>
    <w:lvl w:ilvl="2" w:tplc="11962C48">
      <w:start w:val="1"/>
      <w:numFmt w:val="lowerRoman"/>
      <w:lvlText w:val="%3."/>
      <w:lvlJc w:val="right"/>
      <w:pPr>
        <w:ind w:left="720" w:hanging="180"/>
      </w:pPr>
    </w:lvl>
    <w:lvl w:ilvl="3" w:tplc="5420C20C">
      <w:start w:val="1"/>
      <w:numFmt w:val="decimal"/>
      <w:lvlText w:val="%4."/>
      <w:lvlJc w:val="left"/>
      <w:pPr>
        <w:ind w:left="1440" w:hanging="360"/>
      </w:pPr>
    </w:lvl>
    <w:lvl w:ilvl="4" w:tplc="EE7E151C">
      <w:start w:val="1"/>
      <w:numFmt w:val="lowerLetter"/>
      <w:lvlText w:val="%5."/>
      <w:lvlJc w:val="left"/>
      <w:pPr>
        <w:ind w:left="2160" w:hanging="360"/>
      </w:pPr>
    </w:lvl>
    <w:lvl w:ilvl="5" w:tplc="18164792">
      <w:start w:val="1"/>
      <w:numFmt w:val="lowerRoman"/>
      <w:lvlText w:val="%6."/>
      <w:lvlJc w:val="right"/>
      <w:pPr>
        <w:ind w:left="2880" w:hanging="180"/>
      </w:pPr>
    </w:lvl>
    <w:lvl w:ilvl="6" w:tplc="213EA22C">
      <w:start w:val="1"/>
      <w:numFmt w:val="decimal"/>
      <w:lvlText w:val="%7."/>
      <w:lvlJc w:val="left"/>
      <w:pPr>
        <w:ind w:left="3600" w:hanging="360"/>
      </w:pPr>
    </w:lvl>
    <w:lvl w:ilvl="7" w:tplc="DBFAB7C4">
      <w:start w:val="1"/>
      <w:numFmt w:val="lowerLetter"/>
      <w:lvlText w:val="%8."/>
      <w:lvlJc w:val="left"/>
      <w:pPr>
        <w:ind w:left="4320" w:hanging="360"/>
      </w:pPr>
    </w:lvl>
    <w:lvl w:ilvl="8" w:tplc="716CC4E0">
      <w:start w:val="1"/>
      <w:numFmt w:val="lowerRoman"/>
      <w:lvlText w:val="%9."/>
      <w:lvlJc w:val="right"/>
      <w:pPr>
        <w:ind w:left="5040" w:hanging="180"/>
      </w:pPr>
    </w:lvl>
  </w:abstractNum>
  <w:abstractNum w:abstractNumId="26" w15:restartNumberingAfterBreak="0">
    <w:nsid w:val="54C01488"/>
    <w:multiLevelType w:val="hybridMultilevel"/>
    <w:tmpl w:val="4FEC8C5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A469FC5"/>
    <w:multiLevelType w:val="hybridMultilevel"/>
    <w:tmpl w:val="FFFFFFFF"/>
    <w:lvl w:ilvl="0" w:tplc="8A7C25A6">
      <w:start w:val="1"/>
      <w:numFmt w:val="decimal"/>
      <w:lvlText w:val="%1."/>
      <w:lvlJc w:val="left"/>
      <w:pPr>
        <w:ind w:left="720" w:hanging="360"/>
      </w:pPr>
    </w:lvl>
    <w:lvl w:ilvl="1" w:tplc="A5AC2022">
      <w:start w:val="1"/>
      <w:numFmt w:val="lowerLetter"/>
      <w:lvlText w:val="%2."/>
      <w:lvlJc w:val="left"/>
      <w:pPr>
        <w:ind w:left="1440" w:hanging="360"/>
      </w:pPr>
    </w:lvl>
    <w:lvl w:ilvl="2" w:tplc="FF50695E">
      <w:start w:val="1"/>
      <w:numFmt w:val="lowerRoman"/>
      <w:lvlText w:val="%3."/>
      <w:lvlJc w:val="right"/>
      <w:pPr>
        <w:ind w:left="2160" w:hanging="180"/>
      </w:pPr>
    </w:lvl>
    <w:lvl w:ilvl="3" w:tplc="9F8C4026">
      <w:start w:val="1"/>
      <w:numFmt w:val="decimal"/>
      <w:lvlText w:val="%4."/>
      <w:lvlJc w:val="left"/>
      <w:pPr>
        <w:ind w:left="2880" w:hanging="360"/>
      </w:pPr>
    </w:lvl>
    <w:lvl w:ilvl="4" w:tplc="802EDBB0">
      <w:start w:val="1"/>
      <w:numFmt w:val="lowerLetter"/>
      <w:lvlText w:val="%5."/>
      <w:lvlJc w:val="left"/>
      <w:pPr>
        <w:ind w:left="3600" w:hanging="360"/>
      </w:pPr>
    </w:lvl>
    <w:lvl w:ilvl="5" w:tplc="8F1496A0">
      <w:start w:val="1"/>
      <w:numFmt w:val="lowerRoman"/>
      <w:lvlText w:val="%6."/>
      <w:lvlJc w:val="right"/>
      <w:pPr>
        <w:ind w:left="4320" w:hanging="180"/>
      </w:pPr>
    </w:lvl>
    <w:lvl w:ilvl="6" w:tplc="0A2A28F0">
      <w:start w:val="1"/>
      <w:numFmt w:val="decimal"/>
      <w:lvlText w:val="%7."/>
      <w:lvlJc w:val="left"/>
      <w:pPr>
        <w:ind w:left="5040" w:hanging="360"/>
      </w:pPr>
    </w:lvl>
    <w:lvl w:ilvl="7" w:tplc="09A2F058">
      <w:start w:val="1"/>
      <w:numFmt w:val="lowerLetter"/>
      <w:lvlText w:val="%8."/>
      <w:lvlJc w:val="left"/>
      <w:pPr>
        <w:ind w:left="5760" w:hanging="360"/>
      </w:pPr>
    </w:lvl>
    <w:lvl w:ilvl="8" w:tplc="10B8DD7E">
      <w:start w:val="1"/>
      <w:numFmt w:val="lowerRoman"/>
      <w:lvlText w:val="%9."/>
      <w:lvlJc w:val="right"/>
      <w:pPr>
        <w:ind w:left="6480" w:hanging="180"/>
      </w:pPr>
    </w:lvl>
  </w:abstractNum>
  <w:abstractNum w:abstractNumId="28" w15:restartNumberingAfterBreak="0">
    <w:nsid w:val="5B93630A"/>
    <w:multiLevelType w:val="hybridMultilevel"/>
    <w:tmpl w:val="FFFFFFFF"/>
    <w:lvl w:ilvl="0" w:tplc="E9400496">
      <w:start w:val="1"/>
      <w:numFmt w:val="decimal"/>
      <w:lvlText w:val="%1."/>
      <w:lvlJc w:val="left"/>
      <w:pPr>
        <w:ind w:left="1440" w:hanging="360"/>
      </w:pPr>
    </w:lvl>
    <w:lvl w:ilvl="1" w:tplc="6D9A32DC">
      <w:start w:val="1"/>
      <w:numFmt w:val="lowerLetter"/>
      <w:lvlText w:val="%2."/>
      <w:lvlJc w:val="left"/>
      <w:pPr>
        <w:ind w:left="2160" w:hanging="360"/>
      </w:pPr>
    </w:lvl>
    <w:lvl w:ilvl="2" w:tplc="AF90C43A">
      <w:start w:val="1"/>
      <w:numFmt w:val="lowerRoman"/>
      <w:lvlText w:val="%3."/>
      <w:lvlJc w:val="right"/>
      <w:pPr>
        <w:ind w:left="2880" w:hanging="180"/>
      </w:pPr>
    </w:lvl>
    <w:lvl w:ilvl="3" w:tplc="998E5960">
      <w:start w:val="1"/>
      <w:numFmt w:val="decimal"/>
      <w:lvlText w:val="%4."/>
      <w:lvlJc w:val="left"/>
      <w:pPr>
        <w:ind w:left="3600" w:hanging="360"/>
      </w:pPr>
    </w:lvl>
    <w:lvl w:ilvl="4" w:tplc="12247168">
      <w:start w:val="1"/>
      <w:numFmt w:val="lowerLetter"/>
      <w:lvlText w:val="%5."/>
      <w:lvlJc w:val="left"/>
      <w:pPr>
        <w:ind w:left="4320" w:hanging="360"/>
      </w:pPr>
    </w:lvl>
    <w:lvl w:ilvl="5" w:tplc="1D3839A2">
      <w:start w:val="1"/>
      <w:numFmt w:val="lowerRoman"/>
      <w:lvlText w:val="%6."/>
      <w:lvlJc w:val="right"/>
      <w:pPr>
        <w:ind w:left="5040" w:hanging="180"/>
      </w:pPr>
    </w:lvl>
    <w:lvl w:ilvl="6" w:tplc="8E98EF88">
      <w:start w:val="1"/>
      <w:numFmt w:val="decimal"/>
      <w:lvlText w:val="%7."/>
      <w:lvlJc w:val="left"/>
      <w:pPr>
        <w:ind w:left="5760" w:hanging="360"/>
      </w:pPr>
    </w:lvl>
    <w:lvl w:ilvl="7" w:tplc="F56E3E4C">
      <w:start w:val="1"/>
      <w:numFmt w:val="lowerLetter"/>
      <w:lvlText w:val="%8."/>
      <w:lvlJc w:val="left"/>
      <w:pPr>
        <w:ind w:left="6480" w:hanging="360"/>
      </w:pPr>
    </w:lvl>
    <w:lvl w:ilvl="8" w:tplc="55F29110">
      <w:start w:val="1"/>
      <w:numFmt w:val="lowerRoman"/>
      <w:lvlText w:val="%9."/>
      <w:lvlJc w:val="right"/>
      <w:pPr>
        <w:ind w:left="7200" w:hanging="180"/>
      </w:pPr>
    </w:lvl>
  </w:abstractNum>
  <w:abstractNum w:abstractNumId="29" w15:restartNumberingAfterBreak="0">
    <w:nsid w:val="5FB4BA24"/>
    <w:multiLevelType w:val="hybridMultilevel"/>
    <w:tmpl w:val="FFFFFFFF"/>
    <w:lvl w:ilvl="0" w:tplc="2C60AFCA">
      <w:start w:val="4"/>
      <w:numFmt w:val="decimal"/>
      <w:lvlText w:val="%1."/>
      <w:lvlJc w:val="left"/>
      <w:pPr>
        <w:ind w:left="720" w:hanging="360"/>
      </w:pPr>
    </w:lvl>
    <w:lvl w:ilvl="1" w:tplc="82348924">
      <w:start w:val="1"/>
      <w:numFmt w:val="lowerLetter"/>
      <w:lvlText w:val="%2."/>
      <w:lvlJc w:val="left"/>
      <w:pPr>
        <w:ind w:left="1440" w:hanging="360"/>
      </w:pPr>
    </w:lvl>
    <w:lvl w:ilvl="2" w:tplc="B9568FA2">
      <w:start w:val="1"/>
      <w:numFmt w:val="lowerRoman"/>
      <w:lvlText w:val="%3."/>
      <w:lvlJc w:val="right"/>
      <w:pPr>
        <w:ind w:left="2160" w:hanging="180"/>
      </w:pPr>
    </w:lvl>
    <w:lvl w:ilvl="3" w:tplc="9CDEA04E">
      <w:start w:val="1"/>
      <w:numFmt w:val="decimal"/>
      <w:lvlText w:val="%4."/>
      <w:lvlJc w:val="left"/>
      <w:pPr>
        <w:ind w:left="2880" w:hanging="360"/>
      </w:pPr>
    </w:lvl>
    <w:lvl w:ilvl="4" w:tplc="70669630">
      <w:start w:val="1"/>
      <w:numFmt w:val="lowerLetter"/>
      <w:lvlText w:val="%5."/>
      <w:lvlJc w:val="left"/>
      <w:pPr>
        <w:ind w:left="3600" w:hanging="360"/>
      </w:pPr>
    </w:lvl>
    <w:lvl w:ilvl="5" w:tplc="1526C1B8">
      <w:start w:val="1"/>
      <w:numFmt w:val="lowerRoman"/>
      <w:lvlText w:val="%6."/>
      <w:lvlJc w:val="right"/>
      <w:pPr>
        <w:ind w:left="4320" w:hanging="180"/>
      </w:pPr>
    </w:lvl>
    <w:lvl w:ilvl="6" w:tplc="28A2557A">
      <w:start w:val="1"/>
      <w:numFmt w:val="decimal"/>
      <w:lvlText w:val="%7."/>
      <w:lvlJc w:val="left"/>
      <w:pPr>
        <w:ind w:left="5040" w:hanging="360"/>
      </w:pPr>
    </w:lvl>
    <w:lvl w:ilvl="7" w:tplc="BBE48F24">
      <w:start w:val="1"/>
      <w:numFmt w:val="lowerLetter"/>
      <w:lvlText w:val="%8."/>
      <w:lvlJc w:val="left"/>
      <w:pPr>
        <w:ind w:left="5760" w:hanging="360"/>
      </w:pPr>
    </w:lvl>
    <w:lvl w:ilvl="8" w:tplc="B928DC28">
      <w:start w:val="1"/>
      <w:numFmt w:val="lowerRoman"/>
      <w:lvlText w:val="%9."/>
      <w:lvlJc w:val="right"/>
      <w:pPr>
        <w:ind w:left="6480" w:hanging="180"/>
      </w:pPr>
    </w:lvl>
  </w:abstractNum>
  <w:abstractNum w:abstractNumId="30"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1" w15:restartNumberingAfterBreak="0">
    <w:nsid w:val="65B05557"/>
    <w:multiLevelType w:val="hybridMultilevel"/>
    <w:tmpl w:val="F530C59A"/>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6A75C42"/>
    <w:multiLevelType w:val="hybridMultilevel"/>
    <w:tmpl w:val="97DC725E"/>
    <w:lvl w:ilvl="0" w:tplc="FFFFFFFF">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31B146"/>
    <w:multiLevelType w:val="hybridMultilevel"/>
    <w:tmpl w:val="FFFFFFFF"/>
    <w:lvl w:ilvl="0" w:tplc="98F0AC3E">
      <w:start w:val="4"/>
      <w:numFmt w:val="decimal"/>
      <w:lvlText w:val="%1."/>
      <w:lvlJc w:val="left"/>
      <w:pPr>
        <w:ind w:left="720" w:hanging="360"/>
      </w:pPr>
    </w:lvl>
    <w:lvl w:ilvl="1" w:tplc="6D2EF45A">
      <w:start w:val="1"/>
      <w:numFmt w:val="lowerLetter"/>
      <w:lvlText w:val="%2."/>
      <w:lvlJc w:val="left"/>
      <w:pPr>
        <w:ind w:left="1440" w:hanging="360"/>
      </w:pPr>
    </w:lvl>
    <w:lvl w:ilvl="2" w:tplc="D32E2AB8">
      <w:start w:val="1"/>
      <w:numFmt w:val="lowerRoman"/>
      <w:lvlText w:val="%3."/>
      <w:lvlJc w:val="right"/>
      <w:pPr>
        <w:ind w:left="2160" w:hanging="180"/>
      </w:pPr>
    </w:lvl>
    <w:lvl w:ilvl="3" w:tplc="22800504">
      <w:start w:val="1"/>
      <w:numFmt w:val="decimal"/>
      <w:lvlText w:val="%4."/>
      <w:lvlJc w:val="left"/>
      <w:pPr>
        <w:ind w:left="2880" w:hanging="360"/>
      </w:pPr>
    </w:lvl>
    <w:lvl w:ilvl="4" w:tplc="B5E0D438">
      <w:start w:val="1"/>
      <w:numFmt w:val="lowerLetter"/>
      <w:lvlText w:val="%5."/>
      <w:lvlJc w:val="left"/>
      <w:pPr>
        <w:ind w:left="3600" w:hanging="360"/>
      </w:pPr>
    </w:lvl>
    <w:lvl w:ilvl="5" w:tplc="14CC33C6">
      <w:start w:val="1"/>
      <w:numFmt w:val="lowerRoman"/>
      <w:lvlText w:val="%6."/>
      <w:lvlJc w:val="right"/>
      <w:pPr>
        <w:ind w:left="4320" w:hanging="180"/>
      </w:pPr>
    </w:lvl>
    <w:lvl w:ilvl="6" w:tplc="ABC09180">
      <w:start w:val="1"/>
      <w:numFmt w:val="decimal"/>
      <w:lvlText w:val="%7."/>
      <w:lvlJc w:val="left"/>
      <w:pPr>
        <w:ind w:left="5040" w:hanging="360"/>
      </w:pPr>
    </w:lvl>
    <w:lvl w:ilvl="7" w:tplc="5A002E8C">
      <w:start w:val="1"/>
      <w:numFmt w:val="lowerLetter"/>
      <w:lvlText w:val="%8."/>
      <w:lvlJc w:val="left"/>
      <w:pPr>
        <w:ind w:left="5760" w:hanging="360"/>
      </w:pPr>
    </w:lvl>
    <w:lvl w:ilvl="8" w:tplc="321A9216">
      <w:start w:val="1"/>
      <w:numFmt w:val="lowerRoman"/>
      <w:lvlText w:val="%9."/>
      <w:lvlJc w:val="right"/>
      <w:pPr>
        <w:ind w:left="6480" w:hanging="180"/>
      </w:pPr>
    </w:lvl>
  </w:abstractNum>
  <w:abstractNum w:abstractNumId="34" w15:restartNumberingAfterBreak="0">
    <w:nsid w:val="69B227F5"/>
    <w:multiLevelType w:val="hybridMultilevel"/>
    <w:tmpl w:val="2C0C1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401452"/>
    <w:multiLevelType w:val="hybridMultilevel"/>
    <w:tmpl w:val="61F2D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FB12CA"/>
    <w:multiLevelType w:val="hybridMultilevel"/>
    <w:tmpl w:val="284E9B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5D53844"/>
    <w:multiLevelType w:val="hybridMultilevel"/>
    <w:tmpl w:val="F530C59A"/>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8BB00D0"/>
    <w:multiLevelType w:val="hybridMultilevel"/>
    <w:tmpl w:val="F530C59A"/>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num w:numId="1" w16cid:durableId="633758040">
    <w:abstractNumId w:val="3"/>
  </w:num>
  <w:num w:numId="2" w16cid:durableId="1099254990">
    <w:abstractNumId w:val="20"/>
  </w:num>
  <w:num w:numId="3" w16cid:durableId="1761636115">
    <w:abstractNumId w:val="2"/>
  </w:num>
  <w:num w:numId="4" w16cid:durableId="906499971">
    <w:abstractNumId w:val="23"/>
  </w:num>
  <w:num w:numId="5" w16cid:durableId="1692220254">
    <w:abstractNumId w:val="19"/>
  </w:num>
  <w:num w:numId="6" w16cid:durableId="1828014383">
    <w:abstractNumId w:val="13"/>
  </w:num>
  <w:num w:numId="7" w16cid:durableId="468059935">
    <w:abstractNumId w:val="29"/>
  </w:num>
  <w:num w:numId="8" w16cid:durableId="2102489879">
    <w:abstractNumId w:val="7"/>
  </w:num>
  <w:num w:numId="9" w16cid:durableId="341199827">
    <w:abstractNumId w:val="18"/>
  </w:num>
  <w:num w:numId="10" w16cid:durableId="1202397627">
    <w:abstractNumId w:val="27"/>
  </w:num>
  <w:num w:numId="11" w16cid:durableId="1709452023">
    <w:abstractNumId w:val="22"/>
  </w:num>
  <w:num w:numId="12" w16cid:durableId="738402218">
    <w:abstractNumId w:val="16"/>
  </w:num>
  <w:num w:numId="13" w16cid:durableId="573978622">
    <w:abstractNumId w:val="28"/>
  </w:num>
  <w:num w:numId="14" w16cid:durableId="1456631053">
    <w:abstractNumId w:val="33"/>
  </w:num>
  <w:num w:numId="15" w16cid:durableId="822547360">
    <w:abstractNumId w:val="21"/>
  </w:num>
  <w:num w:numId="16" w16cid:durableId="60373156">
    <w:abstractNumId w:val="25"/>
  </w:num>
  <w:num w:numId="17" w16cid:durableId="755398781">
    <w:abstractNumId w:val="4"/>
  </w:num>
  <w:num w:numId="18" w16cid:durableId="2135128712">
    <w:abstractNumId w:val="12"/>
  </w:num>
  <w:num w:numId="19" w16cid:durableId="1945722257">
    <w:abstractNumId w:val="30"/>
  </w:num>
  <w:num w:numId="20" w16cid:durableId="1072511323">
    <w:abstractNumId w:val="39"/>
  </w:num>
  <w:num w:numId="21" w16cid:durableId="1818455210">
    <w:abstractNumId w:val="32"/>
  </w:num>
  <w:num w:numId="22" w16cid:durableId="206726435">
    <w:abstractNumId w:val="17"/>
  </w:num>
  <w:num w:numId="23" w16cid:durableId="1434086741">
    <w:abstractNumId w:val="17"/>
  </w:num>
  <w:num w:numId="24" w16cid:durableId="1148745845">
    <w:abstractNumId w:val="8"/>
  </w:num>
  <w:num w:numId="25" w16cid:durableId="847449252">
    <w:abstractNumId w:val="11"/>
  </w:num>
  <w:num w:numId="26" w16cid:durableId="733165935">
    <w:abstractNumId w:val="6"/>
  </w:num>
  <w:num w:numId="27" w16cid:durableId="451749429">
    <w:abstractNumId w:val="34"/>
  </w:num>
  <w:num w:numId="28" w16cid:durableId="1535730928">
    <w:abstractNumId w:val="26"/>
  </w:num>
  <w:num w:numId="29" w16cid:durableId="1731224655">
    <w:abstractNumId w:val="0"/>
  </w:num>
  <w:num w:numId="30" w16cid:durableId="1211843916">
    <w:abstractNumId w:val="10"/>
  </w:num>
  <w:num w:numId="31" w16cid:durableId="59406850">
    <w:abstractNumId w:val="36"/>
  </w:num>
  <w:num w:numId="32" w16cid:durableId="950431614">
    <w:abstractNumId w:val="15"/>
  </w:num>
  <w:num w:numId="33" w16cid:durableId="1033463806">
    <w:abstractNumId w:val="24"/>
  </w:num>
  <w:num w:numId="34" w16cid:durableId="1897541902">
    <w:abstractNumId w:val="9"/>
  </w:num>
  <w:num w:numId="35" w16cid:durableId="6098005">
    <w:abstractNumId w:val="1"/>
  </w:num>
  <w:num w:numId="36" w16cid:durableId="1600484940">
    <w:abstractNumId w:val="38"/>
  </w:num>
  <w:num w:numId="37" w16cid:durableId="1084493359">
    <w:abstractNumId w:val="31"/>
  </w:num>
  <w:num w:numId="38" w16cid:durableId="941568594">
    <w:abstractNumId w:val="37"/>
  </w:num>
  <w:num w:numId="39" w16cid:durableId="1869564329">
    <w:abstractNumId w:val="5"/>
  </w:num>
  <w:num w:numId="40" w16cid:durableId="1217274070">
    <w:abstractNumId w:val="35"/>
  </w:num>
  <w:num w:numId="41" w16cid:durableId="909536143">
    <w:abstractNumId w:val="14"/>
  </w:num>
  <w:num w:numId="42" w16cid:durableId="1982419632">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60"/>
    <w:rsid w:val="00000744"/>
    <w:rsid w:val="00000D55"/>
    <w:rsid w:val="000010F4"/>
    <w:rsid w:val="000017F2"/>
    <w:rsid w:val="00003193"/>
    <w:rsid w:val="000031D2"/>
    <w:rsid w:val="000037CA"/>
    <w:rsid w:val="00003B06"/>
    <w:rsid w:val="00003E8C"/>
    <w:rsid w:val="00003E9C"/>
    <w:rsid w:val="000044DF"/>
    <w:rsid w:val="00005792"/>
    <w:rsid w:val="000065F2"/>
    <w:rsid w:val="00006A9D"/>
    <w:rsid w:val="00006CBF"/>
    <w:rsid w:val="00007947"/>
    <w:rsid w:val="00007EB9"/>
    <w:rsid w:val="000104A3"/>
    <w:rsid w:val="00010E45"/>
    <w:rsid w:val="00010F19"/>
    <w:rsid w:val="000119D8"/>
    <w:rsid w:val="00011F35"/>
    <w:rsid w:val="00012074"/>
    <w:rsid w:val="000122F3"/>
    <w:rsid w:val="00012F60"/>
    <w:rsid w:val="00013402"/>
    <w:rsid w:val="00013A9C"/>
    <w:rsid w:val="00013E25"/>
    <w:rsid w:val="0001427B"/>
    <w:rsid w:val="0001486E"/>
    <w:rsid w:val="0001535A"/>
    <w:rsid w:val="0001570F"/>
    <w:rsid w:val="00016330"/>
    <w:rsid w:val="0001665A"/>
    <w:rsid w:val="0001681A"/>
    <w:rsid w:val="00016A3A"/>
    <w:rsid w:val="00017B43"/>
    <w:rsid w:val="00017E9E"/>
    <w:rsid w:val="00017F39"/>
    <w:rsid w:val="00020A0B"/>
    <w:rsid w:val="00020FD5"/>
    <w:rsid w:val="000227DF"/>
    <w:rsid w:val="00022F73"/>
    <w:rsid w:val="00022FF4"/>
    <w:rsid w:val="000235BB"/>
    <w:rsid w:val="00023B23"/>
    <w:rsid w:val="00024137"/>
    <w:rsid w:val="00024DD6"/>
    <w:rsid w:val="00026025"/>
    <w:rsid w:val="000273A7"/>
    <w:rsid w:val="000274AB"/>
    <w:rsid w:val="000276C7"/>
    <w:rsid w:val="00027DCC"/>
    <w:rsid w:val="00030373"/>
    <w:rsid w:val="00030D9D"/>
    <w:rsid w:val="00032126"/>
    <w:rsid w:val="0003311C"/>
    <w:rsid w:val="00033631"/>
    <w:rsid w:val="00033ABA"/>
    <w:rsid w:val="0003416C"/>
    <w:rsid w:val="00034929"/>
    <w:rsid w:val="000357F8"/>
    <w:rsid w:val="00035994"/>
    <w:rsid w:val="00036405"/>
    <w:rsid w:val="00036697"/>
    <w:rsid w:val="00036A5F"/>
    <w:rsid w:val="00036D89"/>
    <w:rsid w:val="00037CE7"/>
    <w:rsid w:val="0004029C"/>
    <w:rsid w:val="00040382"/>
    <w:rsid w:val="00040CF4"/>
    <w:rsid w:val="00041643"/>
    <w:rsid w:val="00041F36"/>
    <w:rsid w:val="00041FDD"/>
    <w:rsid w:val="000420D8"/>
    <w:rsid w:val="0004219D"/>
    <w:rsid w:val="00042214"/>
    <w:rsid w:val="000426C2"/>
    <w:rsid w:val="00042847"/>
    <w:rsid w:val="00042C2E"/>
    <w:rsid w:val="00043A31"/>
    <w:rsid w:val="000457F3"/>
    <w:rsid w:val="00045C05"/>
    <w:rsid w:val="00045FC1"/>
    <w:rsid w:val="00046070"/>
    <w:rsid w:val="0004697F"/>
    <w:rsid w:val="00046E05"/>
    <w:rsid w:val="00047D5D"/>
    <w:rsid w:val="00050021"/>
    <w:rsid w:val="0005013E"/>
    <w:rsid w:val="000503A9"/>
    <w:rsid w:val="000503F8"/>
    <w:rsid w:val="00050B04"/>
    <w:rsid w:val="00051B48"/>
    <w:rsid w:val="000520A6"/>
    <w:rsid w:val="00053237"/>
    <w:rsid w:val="0005382B"/>
    <w:rsid w:val="00053DEB"/>
    <w:rsid w:val="00053E87"/>
    <w:rsid w:val="00054677"/>
    <w:rsid w:val="0005467E"/>
    <w:rsid w:val="00054700"/>
    <w:rsid w:val="000554D5"/>
    <w:rsid w:val="000557CF"/>
    <w:rsid w:val="00057227"/>
    <w:rsid w:val="00057734"/>
    <w:rsid w:val="000577EC"/>
    <w:rsid w:val="00057B75"/>
    <w:rsid w:val="00057D1D"/>
    <w:rsid w:val="0006013C"/>
    <w:rsid w:val="0006082A"/>
    <w:rsid w:val="00060A08"/>
    <w:rsid w:val="00060F09"/>
    <w:rsid w:val="00061144"/>
    <w:rsid w:val="000613C2"/>
    <w:rsid w:val="0006244A"/>
    <w:rsid w:val="00062540"/>
    <w:rsid w:val="00062620"/>
    <w:rsid w:val="00062AA8"/>
    <w:rsid w:val="00062CA5"/>
    <w:rsid w:val="00062EF2"/>
    <w:rsid w:val="000633C1"/>
    <w:rsid w:val="0006351F"/>
    <w:rsid w:val="00063AF2"/>
    <w:rsid w:val="00063DB0"/>
    <w:rsid w:val="0006545C"/>
    <w:rsid w:val="00065468"/>
    <w:rsid w:val="00066031"/>
    <w:rsid w:val="00066731"/>
    <w:rsid w:val="0006694B"/>
    <w:rsid w:val="00066C61"/>
    <w:rsid w:val="00067CD2"/>
    <w:rsid w:val="00067E87"/>
    <w:rsid w:val="00070095"/>
    <w:rsid w:val="00071883"/>
    <w:rsid w:val="00072D58"/>
    <w:rsid w:val="00072EA8"/>
    <w:rsid w:val="0007339B"/>
    <w:rsid w:val="0007375C"/>
    <w:rsid w:val="00073760"/>
    <w:rsid w:val="00073A1C"/>
    <w:rsid w:val="00074ACD"/>
    <w:rsid w:val="00076249"/>
    <w:rsid w:val="000762EC"/>
    <w:rsid w:val="00076783"/>
    <w:rsid w:val="00077549"/>
    <w:rsid w:val="00077871"/>
    <w:rsid w:val="00077D2E"/>
    <w:rsid w:val="00081186"/>
    <w:rsid w:val="00081B40"/>
    <w:rsid w:val="00081E18"/>
    <w:rsid w:val="000830F8"/>
    <w:rsid w:val="00083D69"/>
    <w:rsid w:val="000842CF"/>
    <w:rsid w:val="0008433C"/>
    <w:rsid w:val="000851B2"/>
    <w:rsid w:val="0008530E"/>
    <w:rsid w:val="00085645"/>
    <w:rsid w:val="000857B4"/>
    <w:rsid w:val="00085E95"/>
    <w:rsid w:val="0008657A"/>
    <w:rsid w:val="0008673D"/>
    <w:rsid w:val="00086C41"/>
    <w:rsid w:val="00086C90"/>
    <w:rsid w:val="00086FCA"/>
    <w:rsid w:val="00087AC7"/>
    <w:rsid w:val="00090449"/>
    <w:rsid w:val="0009047A"/>
    <w:rsid w:val="00090BC8"/>
    <w:rsid w:val="00090C73"/>
    <w:rsid w:val="00090D7D"/>
    <w:rsid w:val="00090EC6"/>
    <w:rsid w:val="00091E66"/>
    <w:rsid w:val="00092480"/>
    <w:rsid w:val="00092A0F"/>
    <w:rsid w:val="00092B9F"/>
    <w:rsid w:val="000942EE"/>
    <w:rsid w:val="000945CF"/>
    <w:rsid w:val="00094F6C"/>
    <w:rsid w:val="00094FD4"/>
    <w:rsid w:val="00095738"/>
    <w:rsid w:val="00095800"/>
    <w:rsid w:val="000958D7"/>
    <w:rsid w:val="00095A67"/>
    <w:rsid w:val="00096376"/>
    <w:rsid w:val="00096A8C"/>
    <w:rsid w:val="00096EAE"/>
    <w:rsid w:val="000971A4"/>
    <w:rsid w:val="00097617"/>
    <w:rsid w:val="00097749"/>
    <w:rsid w:val="000977FD"/>
    <w:rsid w:val="000A09FC"/>
    <w:rsid w:val="000A119F"/>
    <w:rsid w:val="000A13F5"/>
    <w:rsid w:val="000A2470"/>
    <w:rsid w:val="000A2684"/>
    <w:rsid w:val="000A2A5C"/>
    <w:rsid w:val="000A2F6F"/>
    <w:rsid w:val="000A345B"/>
    <w:rsid w:val="000A3C79"/>
    <w:rsid w:val="000A4586"/>
    <w:rsid w:val="000A49BF"/>
    <w:rsid w:val="000A4DAA"/>
    <w:rsid w:val="000A551C"/>
    <w:rsid w:val="000A5FDC"/>
    <w:rsid w:val="000A76D9"/>
    <w:rsid w:val="000A7D8D"/>
    <w:rsid w:val="000B080D"/>
    <w:rsid w:val="000B136E"/>
    <w:rsid w:val="000B13E0"/>
    <w:rsid w:val="000B14AF"/>
    <w:rsid w:val="000B2446"/>
    <w:rsid w:val="000B29EF"/>
    <w:rsid w:val="000B31C6"/>
    <w:rsid w:val="000B3285"/>
    <w:rsid w:val="000B370E"/>
    <w:rsid w:val="000B3958"/>
    <w:rsid w:val="000B41E4"/>
    <w:rsid w:val="000B478E"/>
    <w:rsid w:val="000B4CEC"/>
    <w:rsid w:val="000B5751"/>
    <w:rsid w:val="000B590E"/>
    <w:rsid w:val="000B5BE5"/>
    <w:rsid w:val="000B5C27"/>
    <w:rsid w:val="000B601F"/>
    <w:rsid w:val="000B66F1"/>
    <w:rsid w:val="000B77EF"/>
    <w:rsid w:val="000B7EC6"/>
    <w:rsid w:val="000B7F10"/>
    <w:rsid w:val="000C007A"/>
    <w:rsid w:val="000C1875"/>
    <w:rsid w:val="000C26D1"/>
    <w:rsid w:val="000C339B"/>
    <w:rsid w:val="000C36AE"/>
    <w:rsid w:val="000C4309"/>
    <w:rsid w:val="000C45F3"/>
    <w:rsid w:val="000C467D"/>
    <w:rsid w:val="000C49E3"/>
    <w:rsid w:val="000C4AC0"/>
    <w:rsid w:val="000C4C8E"/>
    <w:rsid w:val="000C5065"/>
    <w:rsid w:val="000C509D"/>
    <w:rsid w:val="000C51C5"/>
    <w:rsid w:val="000C6F00"/>
    <w:rsid w:val="000C6FF6"/>
    <w:rsid w:val="000C7247"/>
    <w:rsid w:val="000C7F39"/>
    <w:rsid w:val="000D0253"/>
    <w:rsid w:val="000D066D"/>
    <w:rsid w:val="000D1393"/>
    <w:rsid w:val="000D16F4"/>
    <w:rsid w:val="000D2C67"/>
    <w:rsid w:val="000D3095"/>
    <w:rsid w:val="000D3C11"/>
    <w:rsid w:val="000D3C24"/>
    <w:rsid w:val="000D3C4D"/>
    <w:rsid w:val="000D4F31"/>
    <w:rsid w:val="000D50DB"/>
    <w:rsid w:val="000D5345"/>
    <w:rsid w:val="000D53DB"/>
    <w:rsid w:val="000D6034"/>
    <w:rsid w:val="000D652C"/>
    <w:rsid w:val="000D6905"/>
    <w:rsid w:val="000D703B"/>
    <w:rsid w:val="000D758B"/>
    <w:rsid w:val="000D759E"/>
    <w:rsid w:val="000D7FA6"/>
    <w:rsid w:val="000E0B99"/>
    <w:rsid w:val="000E0C67"/>
    <w:rsid w:val="000E15C9"/>
    <w:rsid w:val="000E1A96"/>
    <w:rsid w:val="000E1D21"/>
    <w:rsid w:val="000E29A4"/>
    <w:rsid w:val="000E368C"/>
    <w:rsid w:val="000E3C40"/>
    <w:rsid w:val="000E43D7"/>
    <w:rsid w:val="000E47FE"/>
    <w:rsid w:val="000E4BD4"/>
    <w:rsid w:val="000E508E"/>
    <w:rsid w:val="000E6447"/>
    <w:rsid w:val="000E661D"/>
    <w:rsid w:val="000E6FF4"/>
    <w:rsid w:val="000F060C"/>
    <w:rsid w:val="000F1D43"/>
    <w:rsid w:val="000F2B96"/>
    <w:rsid w:val="000F3093"/>
    <w:rsid w:val="000F3799"/>
    <w:rsid w:val="000F42C1"/>
    <w:rsid w:val="000F46C6"/>
    <w:rsid w:val="000F4FA7"/>
    <w:rsid w:val="000F51D6"/>
    <w:rsid w:val="000F543F"/>
    <w:rsid w:val="000F5555"/>
    <w:rsid w:val="000F58DF"/>
    <w:rsid w:val="000F5AF6"/>
    <w:rsid w:val="000F642E"/>
    <w:rsid w:val="000F68DE"/>
    <w:rsid w:val="000F6AA8"/>
    <w:rsid w:val="000F6DB1"/>
    <w:rsid w:val="000F790D"/>
    <w:rsid w:val="00100D53"/>
    <w:rsid w:val="00100E59"/>
    <w:rsid w:val="00101503"/>
    <w:rsid w:val="00101D5C"/>
    <w:rsid w:val="00101E88"/>
    <w:rsid w:val="00101FC6"/>
    <w:rsid w:val="00102C01"/>
    <w:rsid w:val="001034CA"/>
    <w:rsid w:val="00104503"/>
    <w:rsid w:val="001045CA"/>
    <w:rsid w:val="001054B0"/>
    <w:rsid w:val="00105AFD"/>
    <w:rsid w:val="00106C6C"/>
    <w:rsid w:val="00106EE4"/>
    <w:rsid w:val="0010794F"/>
    <w:rsid w:val="001101D7"/>
    <w:rsid w:val="00110892"/>
    <w:rsid w:val="00110938"/>
    <w:rsid w:val="001112B8"/>
    <w:rsid w:val="00111686"/>
    <w:rsid w:val="00111A76"/>
    <w:rsid w:val="001129DB"/>
    <w:rsid w:val="00112C4D"/>
    <w:rsid w:val="00113678"/>
    <w:rsid w:val="00113692"/>
    <w:rsid w:val="00113AB4"/>
    <w:rsid w:val="00114280"/>
    <w:rsid w:val="001144E0"/>
    <w:rsid w:val="00115FCF"/>
    <w:rsid w:val="00116274"/>
    <w:rsid w:val="0011672E"/>
    <w:rsid w:val="0011691E"/>
    <w:rsid w:val="0011712A"/>
    <w:rsid w:val="001179F7"/>
    <w:rsid w:val="00117CFA"/>
    <w:rsid w:val="00121078"/>
    <w:rsid w:val="00121855"/>
    <w:rsid w:val="00121DDC"/>
    <w:rsid w:val="00121E29"/>
    <w:rsid w:val="0012202A"/>
    <w:rsid w:val="001223B0"/>
    <w:rsid w:val="001227CF"/>
    <w:rsid w:val="00122EE1"/>
    <w:rsid w:val="00123C64"/>
    <w:rsid w:val="00124189"/>
    <w:rsid w:val="001246C1"/>
    <w:rsid w:val="001254CC"/>
    <w:rsid w:val="001255A5"/>
    <w:rsid w:val="0012597C"/>
    <w:rsid w:val="001261C9"/>
    <w:rsid w:val="0012620D"/>
    <w:rsid w:val="0012637F"/>
    <w:rsid w:val="00126618"/>
    <w:rsid w:val="001267FD"/>
    <w:rsid w:val="001276BA"/>
    <w:rsid w:val="00127EFD"/>
    <w:rsid w:val="00127F6F"/>
    <w:rsid w:val="0013028F"/>
    <w:rsid w:val="00130A37"/>
    <w:rsid w:val="00131118"/>
    <w:rsid w:val="0013140B"/>
    <w:rsid w:val="00131DB4"/>
    <w:rsid w:val="001320C7"/>
    <w:rsid w:val="00132486"/>
    <w:rsid w:val="0013280D"/>
    <w:rsid w:val="00132868"/>
    <w:rsid w:val="00133389"/>
    <w:rsid w:val="00134271"/>
    <w:rsid w:val="00134979"/>
    <w:rsid w:val="001353D0"/>
    <w:rsid w:val="0013550C"/>
    <w:rsid w:val="00135C10"/>
    <w:rsid w:val="00135EBB"/>
    <w:rsid w:val="001370BD"/>
    <w:rsid w:val="00137192"/>
    <w:rsid w:val="00137741"/>
    <w:rsid w:val="0013796D"/>
    <w:rsid w:val="00137DC9"/>
    <w:rsid w:val="00137F26"/>
    <w:rsid w:val="0014031C"/>
    <w:rsid w:val="001404FF"/>
    <w:rsid w:val="00141A37"/>
    <w:rsid w:val="00141CFA"/>
    <w:rsid w:val="00142808"/>
    <w:rsid w:val="00143701"/>
    <w:rsid w:val="00143E5B"/>
    <w:rsid w:val="00143E6D"/>
    <w:rsid w:val="00144447"/>
    <w:rsid w:val="0014457E"/>
    <w:rsid w:val="00145364"/>
    <w:rsid w:val="00145728"/>
    <w:rsid w:val="00145C8A"/>
    <w:rsid w:val="00145ECF"/>
    <w:rsid w:val="00146857"/>
    <w:rsid w:val="001468AC"/>
    <w:rsid w:val="00146B74"/>
    <w:rsid w:val="00146CBD"/>
    <w:rsid w:val="00146CD7"/>
    <w:rsid w:val="001475AF"/>
    <w:rsid w:val="001478E7"/>
    <w:rsid w:val="00147B5B"/>
    <w:rsid w:val="00147E27"/>
    <w:rsid w:val="00151B9B"/>
    <w:rsid w:val="00152730"/>
    <w:rsid w:val="0015320A"/>
    <w:rsid w:val="0015362B"/>
    <w:rsid w:val="001538A4"/>
    <w:rsid w:val="00153971"/>
    <w:rsid w:val="001564B6"/>
    <w:rsid w:val="0015682C"/>
    <w:rsid w:val="001577A9"/>
    <w:rsid w:val="0016098D"/>
    <w:rsid w:val="001609F9"/>
    <w:rsid w:val="00160B3A"/>
    <w:rsid w:val="0016184C"/>
    <w:rsid w:val="00162E78"/>
    <w:rsid w:val="001630FA"/>
    <w:rsid w:val="0016454F"/>
    <w:rsid w:val="00164A49"/>
    <w:rsid w:val="00164B78"/>
    <w:rsid w:val="00164D68"/>
    <w:rsid w:val="00164E7A"/>
    <w:rsid w:val="00164FFB"/>
    <w:rsid w:val="001650A1"/>
    <w:rsid w:val="001656F8"/>
    <w:rsid w:val="00165F0C"/>
    <w:rsid w:val="00165FDB"/>
    <w:rsid w:val="0016659D"/>
    <w:rsid w:val="00166CA8"/>
    <w:rsid w:val="00166D97"/>
    <w:rsid w:val="00170455"/>
    <w:rsid w:val="00171533"/>
    <w:rsid w:val="001720BD"/>
    <w:rsid w:val="00172563"/>
    <w:rsid w:val="0017277A"/>
    <w:rsid w:val="00172AA2"/>
    <w:rsid w:val="001756D8"/>
    <w:rsid w:val="0017626F"/>
    <w:rsid w:val="001773B7"/>
    <w:rsid w:val="00177EEA"/>
    <w:rsid w:val="00180319"/>
    <w:rsid w:val="00180A76"/>
    <w:rsid w:val="00181F6C"/>
    <w:rsid w:val="001834A4"/>
    <w:rsid w:val="00183532"/>
    <w:rsid w:val="00183AD3"/>
    <w:rsid w:val="00183CBC"/>
    <w:rsid w:val="00183D5B"/>
    <w:rsid w:val="00183FD9"/>
    <w:rsid w:val="00184BED"/>
    <w:rsid w:val="00184CD2"/>
    <w:rsid w:val="00185271"/>
    <w:rsid w:val="00185708"/>
    <w:rsid w:val="001867C9"/>
    <w:rsid w:val="00186CF6"/>
    <w:rsid w:val="001871C7"/>
    <w:rsid w:val="00190048"/>
    <w:rsid w:val="001909E6"/>
    <w:rsid w:val="0019122A"/>
    <w:rsid w:val="0019177A"/>
    <w:rsid w:val="00191B79"/>
    <w:rsid w:val="00191DB6"/>
    <w:rsid w:val="00192203"/>
    <w:rsid w:val="0019295E"/>
    <w:rsid w:val="0019375C"/>
    <w:rsid w:val="00193BA2"/>
    <w:rsid w:val="00193FCD"/>
    <w:rsid w:val="001941A9"/>
    <w:rsid w:val="0019444B"/>
    <w:rsid w:val="00194D63"/>
    <w:rsid w:val="0019677F"/>
    <w:rsid w:val="001A0E08"/>
    <w:rsid w:val="001A168A"/>
    <w:rsid w:val="001A1C0B"/>
    <w:rsid w:val="001A1CFA"/>
    <w:rsid w:val="001A250B"/>
    <w:rsid w:val="001A2651"/>
    <w:rsid w:val="001A2A0B"/>
    <w:rsid w:val="001A2FF6"/>
    <w:rsid w:val="001A3907"/>
    <w:rsid w:val="001A3A45"/>
    <w:rsid w:val="001A3ECA"/>
    <w:rsid w:val="001A3EDE"/>
    <w:rsid w:val="001A4947"/>
    <w:rsid w:val="001A4BA1"/>
    <w:rsid w:val="001A4E63"/>
    <w:rsid w:val="001A6C2F"/>
    <w:rsid w:val="001A79CF"/>
    <w:rsid w:val="001A7AAC"/>
    <w:rsid w:val="001B01CD"/>
    <w:rsid w:val="001B0684"/>
    <w:rsid w:val="001B06B5"/>
    <w:rsid w:val="001B0BCC"/>
    <w:rsid w:val="001B0E7F"/>
    <w:rsid w:val="001B11FC"/>
    <w:rsid w:val="001B1C20"/>
    <w:rsid w:val="001B1FD7"/>
    <w:rsid w:val="001B2479"/>
    <w:rsid w:val="001B258C"/>
    <w:rsid w:val="001B3BEB"/>
    <w:rsid w:val="001B5233"/>
    <w:rsid w:val="001B6376"/>
    <w:rsid w:val="001B69AD"/>
    <w:rsid w:val="001B6AFA"/>
    <w:rsid w:val="001B6B07"/>
    <w:rsid w:val="001B7090"/>
    <w:rsid w:val="001B7472"/>
    <w:rsid w:val="001B760A"/>
    <w:rsid w:val="001B7731"/>
    <w:rsid w:val="001C0F8B"/>
    <w:rsid w:val="001C1DB2"/>
    <w:rsid w:val="001C1E66"/>
    <w:rsid w:val="001C1F12"/>
    <w:rsid w:val="001C3D42"/>
    <w:rsid w:val="001C42EE"/>
    <w:rsid w:val="001C43BB"/>
    <w:rsid w:val="001C49B8"/>
    <w:rsid w:val="001C4B20"/>
    <w:rsid w:val="001C53A2"/>
    <w:rsid w:val="001C54AB"/>
    <w:rsid w:val="001C59DB"/>
    <w:rsid w:val="001C6204"/>
    <w:rsid w:val="001C69F4"/>
    <w:rsid w:val="001C7271"/>
    <w:rsid w:val="001D0F73"/>
    <w:rsid w:val="001D22AD"/>
    <w:rsid w:val="001D25BC"/>
    <w:rsid w:val="001D27E5"/>
    <w:rsid w:val="001D2A06"/>
    <w:rsid w:val="001D4C4A"/>
    <w:rsid w:val="001D4CA4"/>
    <w:rsid w:val="001D5235"/>
    <w:rsid w:val="001D5852"/>
    <w:rsid w:val="001D5E8F"/>
    <w:rsid w:val="001D60F6"/>
    <w:rsid w:val="001D6F31"/>
    <w:rsid w:val="001E110E"/>
    <w:rsid w:val="001E1617"/>
    <w:rsid w:val="001E166E"/>
    <w:rsid w:val="001E25FA"/>
    <w:rsid w:val="001E26F3"/>
    <w:rsid w:val="001E2952"/>
    <w:rsid w:val="001E2B5B"/>
    <w:rsid w:val="001E2DED"/>
    <w:rsid w:val="001E33FE"/>
    <w:rsid w:val="001E4E14"/>
    <w:rsid w:val="001E63B6"/>
    <w:rsid w:val="001E6CFF"/>
    <w:rsid w:val="001E73E0"/>
    <w:rsid w:val="001E7D5F"/>
    <w:rsid w:val="001F07E2"/>
    <w:rsid w:val="001F08AB"/>
    <w:rsid w:val="001F08B5"/>
    <w:rsid w:val="001F0EAF"/>
    <w:rsid w:val="001F1BD5"/>
    <w:rsid w:val="001F2466"/>
    <w:rsid w:val="001F28B6"/>
    <w:rsid w:val="001F294C"/>
    <w:rsid w:val="001F363F"/>
    <w:rsid w:val="001F428F"/>
    <w:rsid w:val="001F4390"/>
    <w:rsid w:val="001F4A4B"/>
    <w:rsid w:val="001F4CBC"/>
    <w:rsid w:val="001F5012"/>
    <w:rsid w:val="001F54F6"/>
    <w:rsid w:val="001F5B9E"/>
    <w:rsid w:val="001F5C70"/>
    <w:rsid w:val="001F608D"/>
    <w:rsid w:val="001F6098"/>
    <w:rsid w:val="001F6C4C"/>
    <w:rsid w:val="001F7441"/>
    <w:rsid w:val="002006B8"/>
    <w:rsid w:val="00200B02"/>
    <w:rsid w:val="002015C8"/>
    <w:rsid w:val="002017DC"/>
    <w:rsid w:val="00201BE2"/>
    <w:rsid w:val="00201F16"/>
    <w:rsid w:val="00202215"/>
    <w:rsid w:val="002022D2"/>
    <w:rsid w:val="002031EE"/>
    <w:rsid w:val="0020374F"/>
    <w:rsid w:val="0020456E"/>
    <w:rsid w:val="00205382"/>
    <w:rsid w:val="00205808"/>
    <w:rsid w:val="0020585F"/>
    <w:rsid w:val="0020655C"/>
    <w:rsid w:val="00206BA3"/>
    <w:rsid w:val="00206D41"/>
    <w:rsid w:val="002079B0"/>
    <w:rsid w:val="00207ECF"/>
    <w:rsid w:val="00210051"/>
    <w:rsid w:val="00210619"/>
    <w:rsid w:val="002107F3"/>
    <w:rsid w:val="00210D30"/>
    <w:rsid w:val="00210D7A"/>
    <w:rsid w:val="0021142F"/>
    <w:rsid w:val="00213119"/>
    <w:rsid w:val="002131FC"/>
    <w:rsid w:val="00213C0E"/>
    <w:rsid w:val="00213CE5"/>
    <w:rsid w:val="00214118"/>
    <w:rsid w:val="0021435A"/>
    <w:rsid w:val="00214E0A"/>
    <w:rsid w:val="002151AC"/>
    <w:rsid w:val="00215603"/>
    <w:rsid w:val="00215820"/>
    <w:rsid w:val="00215843"/>
    <w:rsid w:val="00215A07"/>
    <w:rsid w:val="00215DD1"/>
    <w:rsid w:val="00215F81"/>
    <w:rsid w:val="0021608C"/>
    <w:rsid w:val="00216B01"/>
    <w:rsid w:val="0021720E"/>
    <w:rsid w:val="00217363"/>
    <w:rsid w:val="002200C2"/>
    <w:rsid w:val="002208F0"/>
    <w:rsid w:val="00221BFA"/>
    <w:rsid w:val="002220FE"/>
    <w:rsid w:val="0022225E"/>
    <w:rsid w:val="002222B7"/>
    <w:rsid w:val="00222E7B"/>
    <w:rsid w:val="00223187"/>
    <w:rsid w:val="00223360"/>
    <w:rsid w:val="00223FAE"/>
    <w:rsid w:val="00224320"/>
    <w:rsid w:val="002250E9"/>
    <w:rsid w:val="0022586C"/>
    <w:rsid w:val="00225E8D"/>
    <w:rsid w:val="00230C82"/>
    <w:rsid w:val="00230F6B"/>
    <w:rsid w:val="00231962"/>
    <w:rsid w:val="00232952"/>
    <w:rsid w:val="00232D47"/>
    <w:rsid w:val="00233EF5"/>
    <w:rsid w:val="002345BD"/>
    <w:rsid w:val="00234C11"/>
    <w:rsid w:val="00234D9D"/>
    <w:rsid w:val="00236041"/>
    <w:rsid w:val="00236190"/>
    <w:rsid w:val="00236543"/>
    <w:rsid w:val="00237096"/>
    <w:rsid w:val="00237B47"/>
    <w:rsid w:val="00240642"/>
    <w:rsid w:val="00240E94"/>
    <w:rsid w:val="00240EFB"/>
    <w:rsid w:val="00241944"/>
    <w:rsid w:val="00242879"/>
    <w:rsid w:val="00244799"/>
    <w:rsid w:val="00244B02"/>
    <w:rsid w:val="00244CA7"/>
    <w:rsid w:val="00245F00"/>
    <w:rsid w:val="00246553"/>
    <w:rsid w:val="00246764"/>
    <w:rsid w:val="00247355"/>
    <w:rsid w:val="00247589"/>
    <w:rsid w:val="002477EE"/>
    <w:rsid w:val="0025013B"/>
    <w:rsid w:val="002503C5"/>
    <w:rsid w:val="00250428"/>
    <w:rsid w:val="002514C4"/>
    <w:rsid w:val="00251CE4"/>
    <w:rsid w:val="00252655"/>
    <w:rsid w:val="00252AEA"/>
    <w:rsid w:val="00252E05"/>
    <w:rsid w:val="00252FB5"/>
    <w:rsid w:val="0025305F"/>
    <w:rsid w:val="0025311A"/>
    <w:rsid w:val="00253269"/>
    <w:rsid w:val="002532E1"/>
    <w:rsid w:val="00253A3C"/>
    <w:rsid w:val="00253BEE"/>
    <w:rsid w:val="0025410F"/>
    <w:rsid w:val="002541C0"/>
    <w:rsid w:val="00254694"/>
    <w:rsid w:val="00255DE9"/>
    <w:rsid w:val="00256826"/>
    <w:rsid w:val="00256C1E"/>
    <w:rsid w:val="00257DA0"/>
    <w:rsid w:val="00261E42"/>
    <w:rsid w:val="00262B78"/>
    <w:rsid w:val="00263C09"/>
    <w:rsid w:val="00264788"/>
    <w:rsid w:val="00264B8F"/>
    <w:rsid w:val="00264C61"/>
    <w:rsid w:val="00264D73"/>
    <w:rsid w:val="0026513F"/>
    <w:rsid w:val="002651D6"/>
    <w:rsid w:val="002654F1"/>
    <w:rsid w:val="00265BFB"/>
    <w:rsid w:val="00265DCF"/>
    <w:rsid w:val="00265FA4"/>
    <w:rsid w:val="0026623E"/>
    <w:rsid w:val="002668BA"/>
    <w:rsid w:val="00266F68"/>
    <w:rsid w:val="00267471"/>
    <w:rsid w:val="00267961"/>
    <w:rsid w:val="00267EE2"/>
    <w:rsid w:val="002701E2"/>
    <w:rsid w:val="00270646"/>
    <w:rsid w:val="00270887"/>
    <w:rsid w:val="00271285"/>
    <w:rsid w:val="00271660"/>
    <w:rsid w:val="00271B05"/>
    <w:rsid w:val="0027205B"/>
    <w:rsid w:val="00272F05"/>
    <w:rsid w:val="0027303E"/>
    <w:rsid w:val="002736D7"/>
    <w:rsid w:val="0027423C"/>
    <w:rsid w:val="00274F51"/>
    <w:rsid w:val="0027734B"/>
    <w:rsid w:val="002774DB"/>
    <w:rsid w:val="00277A64"/>
    <w:rsid w:val="00277CA0"/>
    <w:rsid w:val="0028000F"/>
    <w:rsid w:val="00280425"/>
    <w:rsid w:val="0028089A"/>
    <w:rsid w:val="00280C5C"/>
    <w:rsid w:val="00281563"/>
    <w:rsid w:val="0028217C"/>
    <w:rsid w:val="002824C6"/>
    <w:rsid w:val="00283845"/>
    <w:rsid w:val="00284004"/>
    <w:rsid w:val="0028502E"/>
    <w:rsid w:val="00285597"/>
    <w:rsid w:val="00285822"/>
    <w:rsid w:val="00285EF0"/>
    <w:rsid w:val="00286C34"/>
    <w:rsid w:val="00287594"/>
    <w:rsid w:val="002875B0"/>
    <w:rsid w:val="00287626"/>
    <w:rsid w:val="002876F0"/>
    <w:rsid w:val="00287740"/>
    <w:rsid w:val="00287916"/>
    <w:rsid w:val="002879DE"/>
    <w:rsid w:val="00287B42"/>
    <w:rsid w:val="00287BFF"/>
    <w:rsid w:val="002910A1"/>
    <w:rsid w:val="00291A96"/>
    <w:rsid w:val="00291DB6"/>
    <w:rsid w:val="00292395"/>
    <w:rsid w:val="0029402C"/>
    <w:rsid w:val="00295448"/>
    <w:rsid w:val="00295802"/>
    <w:rsid w:val="0029592E"/>
    <w:rsid w:val="00296566"/>
    <w:rsid w:val="0029681B"/>
    <w:rsid w:val="00296D67"/>
    <w:rsid w:val="002974AE"/>
    <w:rsid w:val="00297A3D"/>
    <w:rsid w:val="002A062E"/>
    <w:rsid w:val="002A0ADA"/>
    <w:rsid w:val="002A11EA"/>
    <w:rsid w:val="002A1375"/>
    <w:rsid w:val="002A1957"/>
    <w:rsid w:val="002A1CEE"/>
    <w:rsid w:val="002A203B"/>
    <w:rsid w:val="002A32E0"/>
    <w:rsid w:val="002A35FE"/>
    <w:rsid w:val="002A50C2"/>
    <w:rsid w:val="002A556A"/>
    <w:rsid w:val="002A58E2"/>
    <w:rsid w:val="002A5D4E"/>
    <w:rsid w:val="002A6E71"/>
    <w:rsid w:val="002A726B"/>
    <w:rsid w:val="002A73E5"/>
    <w:rsid w:val="002A7543"/>
    <w:rsid w:val="002B066F"/>
    <w:rsid w:val="002B0EA0"/>
    <w:rsid w:val="002B1027"/>
    <w:rsid w:val="002B14D6"/>
    <w:rsid w:val="002B1686"/>
    <w:rsid w:val="002B1C3E"/>
    <w:rsid w:val="002B221C"/>
    <w:rsid w:val="002B2AB9"/>
    <w:rsid w:val="002B3245"/>
    <w:rsid w:val="002B39E9"/>
    <w:rsid w:val="002B4591"/>
    <w:rsid w:val="002B4949"/>
    <w:rsid w:val="002B5821"/>
    <w:rsid w:val="002B5870"/>
    <w:rsid w:val="002B5925"/>
    <w:rsid w:val="002B5948"/>
    <w:rsid w:val="002B5C3A"/>
    <w:rsid w:val="002B5DF2"/>
    <w:rsid w:val="002B6575"/>
    <w:rsid w:val="002B662C"/>
    <w:rsid w:val="002B665C"/>
    <w:rsid w:val="002B683D"/>
    <w:rsid w:val="002B686D"/>
    <w:rsid w:val="002B6915"/>
    <w:rsid w:val="002C0A46"/>
    <w:rsid w:val="002C1031"/>
    <w:rsid w:val="002C1412"/>
    <w:rsid w:val="002C2037"/>
    <w:rsid w:val="002C2A59"/>
    <w:rsid w:val="002C35B3"/>
    <w:rsid w:val="002C36FD"/>
    <w:rsid w:val="002C571D"/>
    <w:rsid w:val="002C5A61"/>
    <w:rsid w:val="002C5EE2"/>
    <w:rsid w:val="002C6019"/>
    <w:rsid w:val="002C6620"/>
    <w:rsid w:val="002C69CC"/>
    <w:rsid w:val="002C6AEB"/>
    <w:rsid w:val="002C7093"/>
    <w:rsid w:val="002C7212"/>
    <w:rsid w:val="002C7578"/>
    <w:rsid w:val="002C767B"/>
    <w:rsid w:val="002C7B3E"/>
    <w:rsid w:val="002C7CA4"/>
    <w:rsid w:val="002D0031"/>
    <w:rsid w:val="002D1385"/>
    <w:rsid w:val="002D1410"/>
    <w:rsid w:val="002D1429"/>
    <w:rsid w:val="002D1788"/>
    <w:rsid w:val="002D2267"/>
    <w:rsid w:val="002D24CF"/>
    <w:rsid w:val="002D24FA"/>
    <w:rsid w:val="002D2AD2"/>
    <w:rsid w:val="002D2ADD"/>
    <w:rsid w:val="002D2C57"/>
    <w:rsid w:val="002D3C9D"/>
    <w:rsid w:val="002D42D3"/>
    <w:rsid w:val="002D4A92"/>
    <w:rsid w:val="002D557D"/>
    <w:rsid w:val="002D55DF"/>
    <w:rsid w:val="002D59A5"/>
    <w:rsid w:val="002D61F0"/>
    <w:rsid w:val="002D622E"/>
    <w:rsid w:val="002D686B"/>
    <w:rsid w:val="002D6938"/>
    <w:rsid w:val="002D6AA4"/>
    <w:rsid w:val="002D6BD3"/>
    <w:rsid w:val="002E03F4"/>
    <w:rsid w:val="002E0A05"/>
    <w:rsid w:val="002E0A32"/>
    <w:rsid w:val="002E126F"/>
    <w:rsid w:val="002E12C7"/>
    <w:rsid w:val="002E1A7E"/>
    <w:rsid w:val="002E2C82"/>
    <w:rsid w:val="002E3E7D"/>
    <w:rsid w:val="002E45F1"/>
    <w:rsid w:val="002E4BF9"/>
    <w:rsid w:val="002E4D7E"/>
    <w:rsid w:val="002E5391"/>
    <w:rsid w:val="002E5579"/>
    <w:rsid w:val="002E67B5"/>
    <w:rsid w:val="002E70D2"/>
    <w:rsid w:val="002F0708"/>
    <w:rsid w:val="002F1433"/>
    <w:rsid w:val="002F14AF"/>
    <w:rsid w:val="002F167D"/>
    <w:rsid w:val="002F1FD8"/>
    <w:rsid w:val="002F222A"/>
    <w:rsid w:val="002F24AA"/>
    <w:rsid w:val="002F29D1"/>
    <w:rsid w:val="002F2BC9"/>
    <w:rsid w:val="002F327A"/>
    <w:rsid w:val="002F3E0E"/>
    <w:rsid w:val="002F459B"/>
    <w:rsid w:val="002F4750"/>
    <w:rsid w:val="002F5072"/>
    <w:rsid w:val="002F5A5C"/>
    <w:rsid w:val="002F60D1"/>
    <w:rsid w:val="002F61F0"/>
    <w:rsid w:val="002F6466"/>
    <w:rsid w:val="002F7A86"/>
    <w:rsid w:val="003001EA"/>
    <w:rsid w:val="003006EE"/>
    <w:rsid w:val="00300933"/>
    <w:rsid w:val="00301047"/>
    <w:rsid w:val="00301378"/>
    <w:rsid w:val="00301B9A"/>
    <w:rsid w:val="00301D68"/>
    <w:rsid w:val="003021AD"/>
    <w:rsid w:val="0030249C"/>
    <w:rsid w:val="003026A5"/>
    <w:rsid w:val="00302897"/>
    <w:rsid w:val="00303432"/>
    <w:rsid w:val="003036E9"/>
    <w:rsid w:val="003046D5"/>
    <w:rsid w:val="00304A15"/>
    <w:rsid w:val="00304DA9"/>
    <w:rsid w:val="00304DF7"/>
    <w:rsid w:val="0030564C"/>
    <w:rsid w:val="003056B5"/>
    <w:rsid w:val="00305D57"/>
    <w:rsid w:val="00305F1B"/>
    <w:rsid w:val="00305F74"/>
    <w:rsid w:val="00306A96"/>
    <w:rsid w:val="00307340"/>
    <w:rsid w:val="00307E87"/>
    <w:rsid w:val="00310DDF"/>
    <w:rsid w:val="00310DE4"/>
    <w:rsid w:val="00311082"/>
    <w:rsid w:val="003119D9"/>
    <w:rsid w:val="00311BD4"/>
    <w:rsid w:val="003124D6"/>
    <w:rsid w:val="00312945"/>
    <w:rsid w:val="00312B5F"/>
    <w:rsid w:val="00312E3D"/>
    <w:rsid w:val="0031311E"/>
    <w:rsid w:val="0031372C"/>
    <w:rsid w:val="00313B96"/>
    <w:rsid w:val="00314524"/>
    <w:rsid w:val="00314CC2"/>
    <w:rsid w:val="0031545D"/>
    <w:rsid w:val="00315543"/>
    <w:rsid w:val="00315D92"/>
    <w:rsid w:val="00316F0D"/>
    <w:rsid w:val="003170C9"/>
    <w:rsid w:val="003176B1"/>
    <w:rsid w:val="00317753"/>
    <w:rsid w:val="00317ADF"/>
    <w:rsid w:val="003202A0"/>
    <w:rsid w:val="003204A2"/>
    <w:rsid w:val="0032086E"/>
    <w:rsid w:val="0032088F"/>
    <w:rsid w:val="003213A1"/>
    <w:rsid w:val="00321B8E"/>
    <w:rsid w:val="00322606"/>
    <w:rsid w:val="00322A3D"/>
    <w:rsid w:val="00322A80"/>
    <w:rsid w:val="0032386E"/>
    <w:rsid w:val="00323BA3"/>
    <w:rsid w:val="00323D51"/>
    <w:rsid w:val="0032491B"/>
    <w:rsid w:val="0032636F"/>
    <w:rsid w:val="003263C6"/>
    <w:rsid w:val="00326971"/>
    <w:rsid w:val="00326CA7"/>
    <w:rsid w:val="00327702"/>
    <w:rsid w:val="00327BA9"/>
    <w:rsid w:val="00327BEA"/>
    <w:rsid w:val="00330CAD"/>
    <w:rsid w:val="00330CE7"/>
    <w:rsid w:val="0033106C"/>
    <w:rsid w:val="00331CCD"/>
    <w:rsid w:val="003323FA"/>
    <w:rsid w:val="00332F41"/>
    <w:rsid w:val="00333679"/>
    <w:rsid w:val="00333CBB"/>
    <w:rsid w:val="00334227"/>
    <w:rsid w:val="00334951"/>
    <w:rsid w:val="00334960"/>
    <w:rsid w:val="00334B0E"/>
    <w:rsid w:val="00334F0B"/>
    <w:rsid w:val="003350FC"/>
    <w:rsid w:val="003358A7"/>
    <w:rsid w:val="00335C47"/>
    <w:rsid w:val="00335DFC"/>
    <w:rsid w:val="00336924"/>
    <w:rsid w:val="0033716E"/>
    <w:rsid w:val="00337637"/>
    <w:rsid w:val="00337D14"/>
    <w:rsid w:val="0034077A"/>
    <w:rsid w:val="00341D6E"/>
    <w:rsid w:val="0034205F"/>
    <w:rsid w:val="003423BA"/>
    <w:rsid w:val="0034280B"/>
    <w:rsid w:val="00342C36"/>
    <w:rsid w:val="00342EAE"/>
    <w:rsid w:val="003430AD"/>
    <w:rsid w:val="00343402"/>
    <w:rsid w:val="003447CE"/>
    <w:rsid w:val="00344CA5"/>
    <w:rsid w:val="0034506A"/>
    <w:rsid w:val="00345461"/>
    <w:rsid w:val="003455C9"/>
    <w:rsid w:val="00345B11"/>
    <w:rsid w:val="00346013"/>
    <w:rsid w:val="003461C3"/>
    <w:rsid w:val="00346546"/>
    <w:rsid w:val="00347947"/>
    <w:rsid w:val="0035009B"/>
    <w:rsid w:val="00350F62"/>
    <w:rsid w:val="00351071"/>
    <w:rsid w:val="003512FE"/>
    <w:rsid w:val="003519E7"/>
    <w:rsid w:val="00351E2B"/>
    <w:rsid w:val="00351F59"/>
    <w:rsid w:val="003521EA"/>
    <w:rsid w:val="0035263A"/>
    <w:rsid w:val="00352862"/>
    <w:rsid w:val="00352DDB"/>
    <w:rsid w:val="0035373C"/>
    <w:rsid w:val="003545FB"/>
    <w:rsid w:val="003548E7"/>
    <w:rsid w:val="003559E9"/>
    <w:rsid w:val="0035606E"/>
    <w:rsid w:val="003568D2"/>
    <w:rsid w:val="00357385"/>
    <w:rsid w:val="00357774"/>
    <w:rsid w:val="00357D5C"/>
    <w:rsid w:val="00360233"/>
    <w:rsid w:val="0036028E"/>
    <w:rsid w:val="0036091C"/>
    <w:rsid w:val="0036102E"/>
    <w:rsid w:val="00361309"/>
    <w:rsid w:val="0036130C"/>
    <w:rsid w:val="00362B20"/>
    <w:rsid w:val="00363373"/>
    <w:rsid w:val="003634B3"/>
    <w:rsid w:val="003643FB"/>
    <w:rsid w:val="0036471A"/>
    <w:rsid w:val="00364748"/>
    <w:rsid w:val="00364DDC"/>
    <w:rsid w:val="00364FB7"/>
    <w:rsid w:val="00365205"/>
    <w:rsid w:val="00365BA7"/>
    <w:rsid w:val="00366ED8"/>
    <w:rsid w:val="00367061"/>
    <w:rsid w:val="0036776D"/>
    <w:rsid w:val="00367C46"/>
    <w:rsid w:val="00367E81"/>
    <w:rsid w:val="00370C00"/>
    <w:rsid w:val="00370D36"/>
    <w:rsid w:val="00370F29"/>
    <w:rsid w:val="003713CE"/>
    <w:rsid w:val="00371A18"/>
    <w:rsid w:val="00371C4D"/>
    <w:rsid w:val="00372C2D"/>
    <w:rsid w:val="003731AA"/>
    <w:rsid w:val="00373697"/>
    <w:rsid w:val="003739E6"/>
    <w:rsid w:val="00374E13"/>
    <w:rsid w:val="00375AC2"/>
    <w:rsid w:val="00375C42"/>
    <w:rsid w:val="00375F5A"/>
    <w:rsid w:val="00376166"/>
    <w:rsid w:val="0037617E"/>
    <w:rsid w:val="00376193"/>
    <w:rsid w:val="0037688B"/>
    <w:rsid w:val="00376B2D"/>
    <w:rsid w:val="00376F4B"/>
    <w:rsid w:val="00376FDE"/>
    <w:rsid w:val="00380575"/>
    <w:rsid w:val="00381626"/>
    <w:rsid w:val="00381C38"/>
    <w:rsid w:val="00381D4B"/>
    <w:rsid w:val="003827A9"/>
    <w:rsid w:val="00382E5F"/>
    <w:rsid w:val="003831E9"/>
    <w:rsid w:val="00383844"/>
    <w:rsid w:val="0038423E"/>
    <w:rsid w:val="00384870"/>
    <w:rsid w:val="0038506B"/>
    <w:rsid w:val="003854A9"/>
    <w:rsid w:val="003864A6"/>
    <w:rsid w:val="003876E9"/>
    <w:rsid w:val="00387CEA"/>
    <w:rsid w:val="0039021B"/>
    <w:rsid w:val="00390B90"/>
    <w:rsid w:val="00391355"/>
    <w:rsid w:val="003915E8"/>
    <w:rsid w:val="0039212F"/>
    <w:rsid w:val="00392D0C"/>
    <w:rsid w:val="003930D0"/>
    <w:rsid w:val="003937C4"/>
    <w:rsid w:val="00393B1B"/>
    <w:rsid w:val="00393BD4"/>
    <w:rsid w:val="003953C7"/>
    <w:rsid w:val="003959A3"/>
    <w:rsid w:val="00396D87"/>
    <w:rsid w:val="00397193"/>
    <w:rsid w:val="00397DC1"/>
    <w:rsid w:val="00397F6D"/>
    <w:rsid w:val="003A0152"/>
    <w:rsid w:val="003A0B00"/>
    <w:rsid w:val="003A15A4"/>
    <w:rsid w:val="003A15E1"/>
    <w:rsid w:val="003A1799"/>
    <w:rsid w:val="003A2378"/>
    <w:rsid w:val="003A2BC4"/>
    <w:rsid w:val="003A2FA7"/>
    <w:rsid w:val="003A371E"/>
    <w:rsid w:val="003A3CAD"/>
    <w:rsid w:val="003A5B5A"/>
    <w:rsid w:val="003A5C68"/>
    <w:rsid w:val="003A631F"/>
    <w:rsid w:val="003A6448"/>
    <w:rsid w:val="003A6D12"/>
    <w:rsid w:val="003A7637"/>
    <w:rsid w:val="003B074C"/>
    <w:rsid w:val="003B13BC"/>
    <w:rsid w:val="003B1449"/>
    <w:rsid w:val="003B1869"/>
    <w:rsid w:val="003B1D23"/>
    <w:rsid w:val="003B2E0F"/>
    <w:rsid w:val="003B31FE"/>
    <w:rsid w:val="003B32A3"/>
    <w:rsid w:val="003B35CB"/>
    <w:rsid w:val="003B3A43"/>
    <w:rsid w:val="003B3BF4"/>
    <w:rsid w:val="003B409E"/>
    <w:rsid w:val="003B43CC"/>
    <w:rsid w:val="003B491D"/>
    <w:rsid w:val="003B509F"/>
    <w:rsid w:val="003B51E1"/>
    <w:rsid w:val="003B5572"/>
    <w:rsid w:val="003B55B1"/>
    <w:rsid w:val="003B5C0A"/>
    <w:rsid w:val="003B621B"/>
    <w:rsid w:val="003B62F7"/>
    <w:rsid w:val="003B6601"/>
    <w:rsid w:val="003B6911"/>
    <w:rsid w:val="003B709B"/>
    <w:rsid w:val="003B71CF"/>
    <w:rsid w:val="003B739A"/>
    <w:rsid w:val="003B7A31"/>
    <w:rsid w:val="003B7C4B"/>
    <w:rsid w:val="003C103C"/>
    <w:rsid w:val="003C1726"/>
    <w:rsid w:val="003C1930"/>
    <w:rsid w:val="003C1978"/>
    <w:rsid w:val="003C1FEF"/>
    <w:rsid w:val="003C224D"/>
    <w:rsid w:val="003C23A7"/>
    <w:rsid w:val="003C25A7"/>
    <w:rsid w:val="003C2868"/>
    <w:rsid w:val="003C3102"/>
    <w:rsid w:val="003C3336"/>
    <w:rsid w:val="003C35B8"/>
    <w:rsid w:val="003C38A7"/>
    <w:rsid w:val="003C396B"/>
    <w:rsid w:val="003C3BDC"/>
    <w:rsid w:val="003C436B"/>
    <w:rsid w:val="003C4F78"/>
    <w:rsid w:val="003C5161"/>
    <w:rsid w:val="003C5685"/>
    <w:rsid w:val="003C5737"/>
    <w:rsid w:val="003C5E36"/>
    <w:rsid w:val="003C6037"/>
    <w:rsid w:val="003C65B0"/>
    <w:rsid w:val="003C6F4F"/>
    <w:rsid w:val="003C707C"/>
    <w:rsid w:val="003C70DD"/>
    <w:rsid w:val="003C770B"/>
    <w:rsid w:val="003D032B"/>
    <w:rsid w:val="003D0D12"/>
    <w:rsid w:val="003D15A0"/>
    <w:rsid w:val="003D247B"/>
    <w:rsid w:val="003D2BBF"/>
    <w:rsid w:val="003D326D"/>
    <w:rsid w:val="003D32D8"/>
    <w:rsid w:val="003D396E"/>
    <w:rsid w:val="003D4B4B"/>
    <w:rsid w:val="003D5E14"/>
    <w:rsid w:val="003D6070"/>
    <w:rsid w:val="003D61A1"/>
    <w:rsid w:val="003D628F"/>
    <w:rsid w:val="003D6500"/>
    <w:rsid w:val="003D6A23"/>
    <w:rsid w:val="003D6C8A"/>
    <w:rsid w:val="003D6FAE"/>
    <w:rsid w:val="003D70D2"/>
    <w:rsid w:val="003D7789"/>
    <w:rsid w:val="003D7DDF"/>
    <w:rsid w:val="003E0933"/>
    <w:rsid w:val="003E1CBB"/>
    <w:rsid w:val="003E1E28"/>
    <w:rsid w:val="003E265C"/>
    <w:rsid w:val="003E3C7D"/>
    <w:rsid w:val="003E3D64"/>
    <w:rsid w:val="003E44AC"/>
    <w:rsid w:val="003E48AE"/>
    <w:rsid w:val="003E52AE"/>
    <w:rsid w:val="003E5B05"/>
    <w:rsid w:val="003E5FA3"/>
    <w:rsid w:val="003E61C0"/>
    <w:rsid w:val="003E64B3"/>
    <w:rsid w:val="003E6774"/>
    <w:rsid w:val="003E69CE"/>
    <w:rsid w:val="003E6FB5"/>
    <w:rsid w:val="003F23D6"/>
    <w:rsid w:val="003F28B1"/>
    <w:rsid w:val="003F2E41"/>
    <w:rsid w:val="003F517E"/>
    <w:rsid w:val="003F68EE"/>
    <w:rsid w:val="003F6C17"/>
    <w:rsid w:val="003F7126"/>
    <w:rsid w:val="003F7252"/>
    <w:rsid w:val="003F7DCF"/>
    <w:rsid w:val="00400064"/>
    <w:rsid w:val="004008D1"/>
    <w:rsid w:val="00400CB7"/>
    <w:rsid w:val="004010D8"/>
    <w:rsid w:val="0040127F"/>
    <w:rsid w:val="00401A0A"/>
    <w:rsid w:val="0040245D"/>
    <w:rsid w:val="00402639"/>
    <w:rsid w:val="00402858"/>
    <w:rsid w:val="004031A5"/>
    <w:rsid w:val="00403234"/>
    <w:rsid w:val="004032E1"/>
    <w:rsid w:val="0040372A"/>
    <w:rsid w:val="00403806"/>
    <w:rsid w:val="00403AF8"/>
    <w:rsid w:val="00403DC6"/>
    <w:rsid w:val="004040DD"/>
    <w:rsid w:val="004058FC"/>
    <w:rsid w:val="004061EA"/>
    <w:rsid w:val="00406420"/>
    <w:rsid w:val="004067A1"/>
    <w:rsid w:val="00407676"/>
    <w:rsid w:val="00407F0F"/>
    <w:rsid w:val="004108E5"/>
    <w:rsid w:val="00411053"/>
    <w:rsid w:val="004126F8"/>
    <w:rsid w:val="00412B75"/>
    <w:rsid w:val="004131EB"/>
    <w:rsid w:val="004135D5"/>
    <w:rsid w:val="00413AA2"/>
    <w:rsid w:val="00414534"/>
    <w:rsid w:val="00414921"/>
    <w:rsid w:val="004149E8"/>
    <w:rsid w:val="00414BA9"/>
    <w:rsid w:val="00414DDB"/>
    <w:rsid w:val="00415778"/>
    <w:rsid w:val="00415E50"/>
    <w:rsid w:val="00415FCD"/>
    <w:rsid w:val="004160E4"/>
    <w:rsid w:val="00416E4C"/>
    <w:rsid w:val="004179C5"/>
    <w:rsid w:val="00417E0B"/>
    <w:rsid w:val="00420D14"/>
    <w:rsid w:val="00421708"/>
    <w:rsid w:val="0042187E"/>
    <w:rsid w:val="004222C1"/>
    <w:rsid w:val="004229E2"/>
    <w:rsid w:val="00422DEA"/>
    <w:rsid w:val="004240EE"/>
    <w:rsid w:val="0042451A"/>
    <w:rsid w:val="0042486F"/>
    <w:rsid w:val="00424FBB"/>
    <w:rsid w:val="0042522A"/>
    <w:rsid w:val="00425820"/>
    <w:rsid w:val="00425A3E"/>
    <w:rsid w:val="00425A8C"/>
    <w:rsid w:val="00426776"/>
    <w:rsid w:val="004269D7"/>
    <w:rsid w:val="00426E87"/>
    <w:rsid w:val="00427CCB"/>
    <w:rsid w:val="00430308"/>
    <w:rsid w:val="00431900"/>
    <w:rsid w:val="0043257D"/>
    <w:rsid w:val="00433B49"/>
    <w:rsid w:val="004341A4"/>
    <w:rsid w:val="0043422C"/>
    <w:rsid w:val="004343AE"/>
    <w:rsid w:val="00434E9C"/>
    <w:rsid w:val="0043575C"/>
    <w:rsid w:val="00435777"/>
    <w:rsid w:val="004366F6"/>
    <w:rsid w:val="00436B13"/>
    <w:rsid w:val="00437EB3"/>
    <w:rsid w:val="004407F0"/>
    <w:rsid w:val="00440C11"/>
    <w:rsid w:val="00440F58"/>
    <w:rsid w:val="0044116A"/>
    <w:rsid w:val="0044169C"/>
    <w:rsid w:val="0044213E"/>
    <w:rsid w:val="00442421"/>
    <w:rsid w:val="0044335F"/>
    <w:rsid w:val="004434D0"/>
    <w:rsid w:val="00443EA3"/>
    <w:rsid w:val="004440EA"/>
    <w:rsid w:val="00444694"/>
    <w:rsid w:val="00444FED"/>
    <w:rsid w:val="00445033"/>
    <w:rsid w:val="004459C7"/>
    <w:rsid w:val="00445AA8"/>
    <w:rsid w:val="00446409"/>
    <w:rsid w:val="0044703C"/>
    <w:rsid w:val="0044745A"/>
    <w:rsid w:val="0045148E"/>
    <w:rsid w:val="004514FD"/>
    <w:rsid w:val="00452AAF"/>
    <w:rsid w:val="0045327C"/>
    <w:rsid w:val="004533C8"/>
    <w:rsid w:val="00453F08"/>
    <w:rsid w:val="00454089"/>
    <w:rsid w:val="00454BB4"/>
    <w:rsid w:val="004557D1"/>
    <w:rsid w:val="00455964"/>
    <w:rsid w:val="00455CCD"/>
    <w:rsid w:val="00456704"/>
    <w:rsid w:val="00456CDA"/>
    <w:rsid w:val="004575FD"/>
    <w:rsid w:val="00457BAA"/>
    <w:rsid w:val="004604F5"/>
    <w:rsid w:val="0046185D"/>
    <w:rsid w:val="00461B27"/>
    <w:rsid w:val="00461DF2"/>
    <w:rsid w:val="00464591"/>
    <w:rsid w:val="00464B28"/>
    <w:rsid w:val="004654EA"/>
    <w:rsid w:val="0046558A"/>
    <w:rsid w:val="004660FA"/>
    <w:rsid w:val="00466308"/>
    <w:rsid w:val="00466772"/>
    <w:rsid w:val="004667B4"/>
    <w:rsid w:val="00466B7A"/>
    <w:rsid w:val="004670CC"/>
    <w:rsid w:val="00467754"/>
    <w:rsid w:val="00467EA1"/>
    <w:rsid w:val="004700DF"/>
    <w:rsid w:val="00470162"/>
    <w:rsid w:val="00470416"/>
    <w:rsid w:val="0047043B"/>
    <w:rsid w:val="00470DD4"/>
    <w:rsid w:val="0047106F"/>
    <w:rsid w:val="004713F6"/>
    <w:rsid w:val="004731C8"/>
    <w:rsid w:val="0047347F"/>
    <w:rsid w:val="004738B7"/>
    <w:rsid w:val="00473A42"/>
    <w:rsid w:val="00474121"/>
    <w:rsid w:val="004741FD"/>
    <w:rsid w:val="00474655"/>
    <w:rsid w:val="004756EB"/>
    <w:rsid w:val="0047591F"/>
    <w:rsid w:val="00475C0E"/>
    <w:rsid w:val="00476852"/>
    <w:rsid w:val="00476EF9"/>
    <w:rsid w:val="0048014F"/>
    <w:rsid w:val="00480D6F"/>
    <w:rsid w:val="00480E72"/>
    <w:rsid w:val="00480EFF"/>
    <w:rsid w:val="00481171"/>
    <w:rsid w:val="00481293"/>
    <w:rsid w:val="00481649"/>
    <w:rsid w:val="00481880"/>
    <w:rsid w:val="00481C17"/>
    <w:rsid w:val="00482A3E"/>
    <w:rsid w:val="004831AE"/>
    <w:rsid w:val="004835B5"/>
    <w:rsid w:val="00484F56"/>
    <w:rsid w:val="00485097"/>
    <w:rsid w:val="004851EE"/>
    <w:rsid w:val="00485A1F"/>
    <w:rsid w:val="00485BC5"/>
    <w:rsid w:val="00486475"/>
    <w:rsid w:val="004867FE"/>
    <w:rsid w:val="00486C06"/>
    <w:rsid w:val="00487C9D"/>
    <w:rsid w:val="00487F1F"/>
    <w:rsid w:val="00490008"/>
    <w:rsid w:val="004906E1"/>
    <w:rsid w:val="004907A7"/>
    <w:rsid w:val="00490E97"/>
    <w:rsid w:val="00491025"/>
    <w:rsid w:val="004915F2"/>
    <w:rsid w:val="004923C1"/>
    <w:rsid w:val="004924EE"/>
    <w:rsid w:val="0049256E"/>
    <w:rsid w:val="00492827"/>
    <w:rsid w:val="00492B0A"/>
    <w:rsid w:val="00492CF8"/>
    <w:rsid w:val="00492EA6"/>
    <w:rsid w:val="0049372E"/>
    <w:rsid w:val="00493E31"/>
    <w:rsid w:val="00494942"/>
    <w:rsid w:val="00494EE0"/>
    <w:rsid w:val="00495789"/>
    <w:rsid w:val="00495891"/>
    <w:rsid w:val="004959A0"/>
    <w:rsid w:val="00496A4D"/>
    <w:rsid w:val="00496CB4"/>
    <w:rsid w:val="00496D87"/>
    <w:rsid w:val="004977DC"/>
    <w:rsid w:val="004A044B"/>
    <w:rsid w:val="004A06DC"/>
    <w:rsid w:val="004A0ED7"/>
    <w:rsid w:val="004A1685"/>
    <w:rsid w:val="004A19DA"/>
    <w:rsid w:val="004A26C3"/>
    <w:rsid w:val="004A3521"/>
    <w:rsid w:val="004A3E34"/>
    <w:rsid w:val="004A3E84"/>
    <w:rsid w:val="004A4234"/>
    <w:rsid w:val="004A4696"/>
    <w:rsid w:val="004A472F"/>
    <w:rsid w:val="004A4CA2"/>
    <w:rsid w:val="004A5162"/>
    <w:rsid w:val="004A549C"/>
    <w:rsid w:val="004A5FE9"/>
    <w:rsid w:val="004A6217"/>
    <w:rsid w:val="004A6A4A"/>
    <w:rsid w:val="004A6B0B"/>
    <w:rsid w:val="004B0624"/>
    <w:rsid w:val="004B0EEE"/>
    <w:rsid w:val="004B15B5"/>
    <w:rsid w:val="004B174C"/>
    <w:rsid w:val="004B2186"/>
    <w:rsid w:val="004B2722"/>
    <w:rsid w:val="004B2804"/>
    <w:rsid w:val="004B2941"/>
    <w:rsid w:val="004B2E3C"/>
    <w:rsid w:val="004B30DA"/>
    <w:rsid w:val="004B3345"/>
    <w:rsid w:val="004B3815"/>
    <w:rsid w:val="004B3892"/>
    <w:rsid w:val="004B3A40"/>
    <w:rsid w:val="004B3CE7"/>
    <w:rsid w:val="004B4880"/>
    <w:rsid w:val="004B4C90"/>
    <w:rsid w:val="004B4D74"/>
    <w:rsid w:val="004B52FD"/>
    <w:rsid w:val="004B55AD"/>
    <w:rsid w:val="004B69DA"/>
    <w:rsid w:val="004B6E7B"/>
    <w:rsid w:val="004B7091"/>
    <w:rsid w:val="004B7590"/>
    <w:rsid w:val="004B7D2D"/>
    <w:rsid w:val="004C0525"/>
    <w:rsid w:val="004C0D6A"/>
    <w:rsid w:val="004C0E8D"/>
    <w:rsid w:val="004C16D9"/>
    <w:rsid w:val="004C180D"/>
    <w:rsid w:val="004C197D"/>
    <w:rsid w:val="004C2727"/>
    <w:rsid w:val="004C272D"/>
    <w:rsid w:val="004C2815"/>
    <w:rsid w:val="004C2CD6"/>
    <w:rsid w:val="004C33BC"/>
    <w:rsid w:val="004C4753"/>
    <w:rsid w:val="004C551E"/>
    <w:rsid w:val="004C56A9"/>
    <w:rsid w:val="004C5C64"/>
    <w:rsid w:val="004C67C1"/>
    <w:rsid w:val="004C7068"/>
    <w:rsid w:val="004C76F5"/>
    <w:rsid w:val="004C7992"/>
    <w:rsid w:val="004D08C1"/>
    <w:rsid w:val="004D0E75"/>
    <w:rsid w:val="004D1162"/>
    <w:rsid w:val="004D1192"/>
    <w:rsid w:val="004D1224"/>
    <w:rsid w:val="004D1AD6"/>
    <w:rsid w:val="004D1E7C"/>
    <w:rsid w:val="004D1F05"/>
    <w:rsid w:val="004D2268"/>
    <w:rsid w:val="004D24EA"/>
    <w:rsid w:val="004D2BF1"/>
    <w:rsid w:val="004D32FD"/>
    <w:rsid w:val="004D3939"/>
    <w:rsid w:val="004D3B6C"/>
    <w:rsid w:val="004D40A6"/>
    <w:rsid w:val="004D4610"/>
    <w:rsid w:val="004D4D6A"/>
    <w:rsid w:val="004D58DA"/>
    <w:rsid w:val="004D5F79"/>
    <w:rsid w:val="004D6514"/>
    <w:rsid w:val="004D6700"/>
    <w:rsid w:val="004D70FB"/>
    <w:rsid w:val="004E04EE"/>
    <w:rsid w:val="004E0526"/>
    <w:rsid w:val="004E0E1E"/>
    <w:rsid w:val="004E10AA"/>
    <w:rsid w:val="004E14B9"/>
    <w:rsid w:val="004E1579"/>
    <w:rsid w:val="004E173A"/>
    <w:rsid w:val="004E1ED9"/>
    <w:rsid w:val="004E2DBF"/>
    <w:rsid w:val="004E3A64"/>
    <w:rsid w:val="004E4475"/>
    <w:rsid w:val="004E4BF0"/>
    <w:rsid w:val="004E520D"/>
    <w:rsid w:val="004E589C"/>
    <w:rsid w:val="004E58E4"/>
    <w:rsid w:val="004E5CE8"/>
    <w:rsid w:val="004E6182"/>
    <w:rsid w:val="004E6250"/>
    <w:rsid w:val="004E6C6B"/>
    <w:rsid w:val="004E6CE0"/>
    <w:rsid w:val="004E710E"/>
    <w:rsid w:val="004E775B"/>
    <w:rsid w:val="004E78A5"/>
    <w:rsid w:val="004E7AB7"/>
    <w:rsid w:val="004E7B4B"/>
    <w:rsid w:val="004E7C6A"/>
    <w:rsid w:val="004E7CFE"/>
    <w:rsid w:val="004F0204"/>
    <w:rsid w:val="004F0651"/>
    <w:rsid w:val="004F1280"/>
    <w:rsid w:val="004F1F84"/>
    <w:rsid w:val="004F262F"/>
    <w:rsid w:val="004F26DC"/>
    <w:rsid w:val="004F27A6"/>
    <w:rsid w:val="004F342C"/>
    <w:rsid w:val="004F383E"/>
    <w:rsid w:val="004F39DD"/>
    <w:rsid w:val="004F4361"/>
    <w:rsid w:val="004F4775"/>
    <w:rsid w:val="004F6426"/>
    <w:rsid w:val="004F6A1E"/>
    <w:rsid w:val="004F7654"/>
    <w:rsid w:val="004F7747"/>
    <w:rsid w:val="004F7C00"/>
    <w:rsid w:val="004F7EFD"/>
    <w:rsid w:val="00500A09"/>
    <w:rsid w:val="00502582"/>
    <w:rsid w:val="00503607"/>
    <w:rsid w:val="00503AAB"/>
    <w:rsid w:val="00503EE9"/>
    <w:rsid w:val="00503F2D"/>
    <w:rsid w:val="00504BA3"/>
    <w:rsid w:val="00505363"/>
    <w:rsid w:val="0050700F"/>
    <w:rsid w:val="0050724B"/>
    <w:rsid w:val="00507347"/>
    <w:rsid w:val="005073AA"/>
    <w:rsid w:val="00507924"/>
    <w:rsid w:val="005079D6"/>
    <w:rsid w:val="005103B9"/>
    <w:rsid w:val="0051243D"/>
    <w:rsid w:val="00512595"/>
    <w:rsid w:val="0051284A"/>
    <w:rsid w:val="00512ED7"/>
    <w:rsid w:val="0051375C"/>
    <w:rsid w:val="00513ABE"/>
    <w:rsid w:val="00513E23"/>
    <w:rsid w:val="005144C8"/>
    <w:rsid w:val="00514F66"/>
    <w:rsid w:val="00515073"/>
    <w:rsid w:val="00515A86"/>
    <w:rsid w:val="005162FA"/>
    <w:rsid w:val="005171AF"/>
    <w:rsid w:val="00517AF5"/>
    <w:rsid w:val="00520326"/>
    <w:rsid w:val="00520A71"/>
    <w:rsid w:val="00520B41"/>
    <w:rsid w:val="00520CFB"/>
    <w:rsid w:val="0052127F"/>
    <w:rsid w:val="00521595"/>
    <w:rsid w:val="00522C7D"/>
    <w:rsid w:val="00522DD4"/>
    <w:rsid w:val="00522F02"/>
    <w:rsid w:val="00523293"/>
    <w:rsid w:val="0052373B"/>
    <w:rsid w:val="0052402E"/>
    <w:rsid w:val="00524088"/>
    <w:rsid w:val="00524317"/>
    <w:rsid w:val="00524BB7"/>
    <w:rsid w:val="005255E5"/>
    <w:rsid w:val="005259AE"/>
    <w:rsid w:val="005261F7"/>
    <w:rsid w:val="00526565"/>
    <w:rsid w:val="005266FF"/>
    <w:rsid w:val="005269EF"/>
    <w:rsid w:val="00526C23"/>
    <w:rsid w:val="00527C0E"/>
    <w:rsid w:val="00530F6B"/>
    <w:rsid w:val="00532056"/>
    <w:rsid w:val="0053277B"/>
    <w:rsid w:val="00532BA2"/>
    <w:rsid w:val="00532EC8"/>
    <w:rsid w:val="005341B2"/>
    <w:rsid w:val="00534839"/>
    <w:rsid w:val="00534AD4"/>
    <w:rsid w:val="00534E94"/>
    <w:rsid w:val="005351FB"/>
    <w:rsid w:val="0053563A"/>
    <w:rsid w:val="005358FB"/>
    <w:rsid w:val="005363F2"/>
    <w:rsid w:val="00537541"/>
    <w:rsid w:val="00537760"/>
    <w:rsid w:val="00540411"/>
    <w:rsid w:val="00540D48"/>
    <w:rsid w:val="00541C26"/>
    <w:rsid w:val="00541E02"/>
    <w:rsid w:val="005429CB"/>
    <w:rsid w:val="00543111"/>
    <w:rsid w:val="005431F6"/>
    <w:rsid w:val="005437F5"/>
    <w:rsid w:val="00543DB4"/>
    <w:rsid w:val="00544371"/>
    <w:rsid w:val="00544A57"/>
    <w:rsid w:val="005463E1"/>
    <w:rsid w:val="0054703D"/>
    <w:rsid w:val="00547388"/>
    <w:rsid w:val="00547696"/>
    <w:rsid w:val="00547833"/>
    <w:rsid w:val="00550819"/>
    <w:rsid w:val="005508D8"/>
    <w:rsid w:val="00550A77"/>
    <w:rsid w:val="00552B36"/>
    <w:rsid w:val="00552E70"/>
    <w:rsid w:val="0055316E"/>
    <w:rsid w:val="005532AB"/>
    <w:rsid w:val="00553818"/>
    <w:rsid w:val="00553F97"/>
    <w:rsid w:val="0055443D"/>
    <w:rsid w:val="00554B15"/>
    <w:rsid w:val="0055530F"/>
    <w:rsid w:val="005555FB"/>
    <w:rsid w:val="0055564B"/>
    <w:rsid w:val="00555744"/>
    <w:rsid w:val="005566EF"/>
    <w:rsid w:val="005568AA"/>
    <w:rsid w:val="00557CAC"/>
    <w:rsid w:val="0056007E"/>
    <w:rsid w:val="0056027E"/>
    <w:rsid w:val="005607CD"/>
    <w:rsid w:val="00560959"/>
    <w:rsid w:val="005611B7"/>
    <w:rsid w:val="0056160E"/>
    <w:rsid w:val="00561A1A"/>
    <w:rsid w:val="00562216"/>
    <w:rsid w:val="00562402"/>
    <w:rsid w:val="005626C8"/>
    <w:rsid w:val="00563A0D"/>
    <w:rsid w:val="00564ECD"/>
    <w:rsid w:val="005652B6"/>
    <w:rsid w:val="0056579D"/>
    <w:rsid w:val="005659AB"/>
    <w:rsid w:val="00566627"/>
    <w:rsid w:val="005667AF"/>
    <w:rsid w:val="0056680C"/>
    <w:rsid w:val="00566AC6"/>
    <w:rsid w:val="00566D31"/>
    <w:rsid w:val="005670C2"/>
    <w:rsid w:val="00567158"/>
    <w:rsid w:val="0056765C"/>
    <w:rsid w:val="00570781"/>
    <w:rsid w:val="0057094E"/>
    <w:rsid w:val="00570ACB"/>
    <w:rsid w:val="005714FB"/>
    <w:rsid w:val="0057154D"/>
    <w:rsid w:val="00571A7C"/>
    <w:rsid w:val="00572058"/>
    <w:rsid w:val="005726C0"/>
    <w:rsid w:val="00572A76"/>
    <w:rsid w:val="00572FA3"/>
    <w:rsid w:val="005736BC"/>
    <w:rsid w:val="005737B6"/>
    <w:rsid w:val="0057382D"/>
    <w:rsid w:val="005748C8"/>
    <w:rsid w:val="00574972"/>
    <w:rsid w:val="00574A1A"/>
    <w:rsid w:val="00574FFB"/>
    <w:rsid w:val="0057588B"/>
    <w:rsid w:val="005759E3"/>
    <w:rsid w:val="00575D66"/>
    <w:rsid w:val="00575FC7"/>
    <w:rsid w:val="005772AA"/>
    <w:rsid w:val="00577F77"/>
    <w:rsid w:val="005805C1"/>
    <w:rsid w:val="00582246"/>
    <w:rsid w:val="0058269D"/>
    <w:rsid w:val="005826FF"/>
    <w:rsid w:val="00582D0F"/>
    <w:rsid w:val="005834C4"/>
    <w:rsid w:val="00584942"/>
    <w:rsid w:val="00585947"/>
    <w:rsid w:val="00585C0A"/>
    <w:rsid w:val="005865E5"/>
    <w:rsid w:val="00586606"/>
    <w:rsid w:val="005866CC"/>
    <w:rsid w:val="0058680E"/>
    <w:rsid w:val="005878DD"/>
    <w:rsid w:val="00587BF0"/>
    <w:rsid w:val="005909D2"/>
    <w:rsid w:val="00590C62"/>
    <w:rsid w:val="00591318"/>
    <w:rsid w:val="00591E3D"/>
    <w:rsid w:val="00592A04"/>
    <w:rsid w:val="005930B3"/>
    <w:rsid w:val="005930D9"/>
    <w:rsid w:val="00593116"/>
    <w:rsid w:val="005939FB"/>
    <w:rsid w:val="00593BE4"/>
    <w:rsid w:val="00593BFB"/>
    <w:rsid w:val="0059437B"/>
    <w:rsid w:val="0059445F"/>
    <w:rsid w:val="005946AB"/>
    <w:rsid w:val="005947AF"/>
    <w:rsid w:val="0059535F"/>
    <w:rsid w:val="005958E3"/>
    <w:rsid w:val="00595B26"/>
    <w:rsid w:val="0059657B"/>
    <w:rsid w:val="00596B8C"/>
    <w:rsid w:val="00597345"/>
    <w:rsid w:val="0059E5C4"/>
    <w:rsid w:val="005A0522"/>
    <w:rsid w:val="005A091D"/>
    <w:rsid w:val="005A0B90"/>
    <w:rsid w:val="005A0E6C"/>
    <w:rsid w:val="005A0F87"/>
    <w:rsid w:val="005A16C9"/>
    <w:rsid w:val="005A1757"/>
    <w:rsid w:val="005A1E94"/>
    <w:rsid w:val="005A257F"/>
    <w:rsid w:val="005A2794"/>
    <w:rsid w:val="005A2C69"/>
    <w:rsid w:val="005A2CA7"/>
    <w:rsid w:val="005A2FF0"/>
    <w:rsid w:val="005A35BE"/>
    <w:rsid w:val="005A3E76"/>
    <w:rsid w:val="005A471D"/>
    <w:rsid w:val="005A4765"/>
    <w:rsid w:val="005A4A4A"/>
    <w:rsid w:val="005A4D8E"/>
    <w:rsid w:val="005A5CEE"/>
    <w:rsid w:val="005A5D50"/>
    <w:rsid w:val="005A743D"/>
    <w:rsid w:val="005A77B3"/>
    <w:rsid w:val="005A7945"/>
    <w:rsid w:val="005A7AC7"/>
    <w:rsid w:val="005B0FB6"/>
    <w:rsid w:val="005B23A3"/>
    <w:rsid w:val="005B2827"/>
    <w:rsid w:val="005B2C3F"/>
    <w:rsid w:val="005B36E3"/>
    <w:rsid w:val="005B3751"/>
    <w:rsid w:val="005B38F2"/>
    <w:rsid w:val="005B3FCE"/>
    <w:rsid w:val="005B452D"/>
    <w:rsid w:val="005B6270"/>
    <w:rsid w:val="005B6457"/>
    <w:rsid w:val="005B6A08"/>
    <w:rsid w:val="005B6C48"/>
    <w:rsid w:val="005B6E2F"/>
    <w:rsid w:val="005B7158"/>
    <w:rsid w:val="005B74AF"/>
    <w:rsid w:val="005B77A2"/>
    <w:rsid w:val="005B7C06"/>
    <w:rsid w:val="005B7F41"/>
    <w:rsid w:val="005C13CA"/>
    <w:rsid w:val="005C18A0"/>
    <w:rsid w:val="005C3491"/>
    <w:rsid w:val="005C36E0"/>
    <w:rsid w:val="005C43F0"/>
    <w:rsid w:val="005C579A"/>
    <w:rsid w:val="005C5EB2"/>
    <w:rsid w:val="005C67DC"/>
    <w:rsid w:val="005C6966"/>
    <w:rsid w:val="005C6B99"/>
    <w:rsid w:val="005C723B"/>
    <w:rsid w:val="005C775D"/>
    <w:rsid w:val="005C7924"/>
    <w:rsid w:val="005C7B4F"/>
    <w:rsid w:val="005C7B6E"/>
    <w:rsid w:val="005D0332"/>
    <w:rsid w:val="005D058B"/>
    <w:rsid w:val="005D05DB"/>
    <w:rsid w:val="005D0A41"/>
    <w:rsid w:val="005D0EDD"/>
    <w:rsid w:val="005D121D"/>
    <w:rsid w:val="005D1616"/>
    <w:rsid w:val="005D1754"/>
    <w:rsid w:val="005D230C"/>
    <w:rsid w:val="005D2EFE"/>
    <w:rsid w:val="005D3570"/>
    <w:rsid w:val="005D3E51"/>
    <w:rsid w:val="005D405C"/>
    <w:rsid w:val="005D513C"/>
    <w:rsid w:val="005D591E"/>
    <w:rsid w:val="005D5BFA"/>
    <w:rsid w:val="005D6672"/>
    <w:rsid w:val="005D686D"/>
    <w:rsid w:val="005D7819"/>
    <w:rsid w:val="005D79BE"/>
    <w:rsid w:val="005E09A7"/>
    <w:rsid w:val="005E0B8D"/>
    <w:rsid w:val="005E209D"/>
    <w:rsid w:val="005E2196"/>
    <w:rsid w:val="005E3E13"/>
    <w:rsid w:val="005E41D4"/>
    <w:rsid w:val="005E4415"/>
    <w:rsid w:val="005E4C63"/>
    <w:rsid w:val="005E5416"/>
    <w:rsid w:val="005E5BCB"/>
    <w:rsid w:val="005E64AA"/>
    <w:rsid w:val="005E68DA"/>
    <w:rsid w:val="005E7243"/>
    <w:rsid w:val="005E7F49"/>
    <w:rsid w:val="005F01EA"/>
    <w:rsid w:val="005F03F6"/>
    <w:rsid w:val="005F08FD"/>
    <w:rsid w:val="005F0BDF"/>
    <w:rsid w:val="005F1014"/>
    <w:rsid w:val="005F1326"/>
    <w:rsid w:val="005F30A2"/>
    <w:rsid w:val="005F31DD"/>
    <w:rsid w:val="005F4619"/>
    <w:rsid w:val="005F49C8"/>
    <w:rsid w:val="005F5080"/>
    <w:rsid w:val="005F5FC5"/>
    <w:rsid w:val="005F61FB"/>
    <w:rsid w:val="005F6620"/>
    <w:rsid w:val="00600233"/>
    <w:rsid w:val="00600DC5"/>
    <w:rsid w:val="0060116B"/>
    <w:rsid w:val="00601497"/>
    <w:rsid w:val="00602F28"/>
    <w:rsid w:val="00603A99"/>
    <w:rsid w:val="0060434E"/>
    <w:rsid w:val="0060478F"/>
    <w:rsid w:val="00605637"/>
    <w:rsid w:val="006056B0"/>
    <w:rsid w:val="00605FBD"/>
    <w:rsid w:val="006060E6"/>
    <w:rsid w:val="00606277"/>
    <w:rsid w:val="0060687D"/>
    <w:rsid w:val="00606E39"/>
    <w:rsid w:val="006075F7"/>
    <w:rsid w:val="00607A9E"/>
    <w:rsid w:val="00607ADD"/>
    <w:rsid w:val="00607C67"/>
    <w:rsid w:val="006116AE"/>
    <w:rsid w:val="00612ABB"/>
    <w:rsid w:val="00613333"/>
    <w:rsid w:val="0061436D"/>
    <w:rsid w:val="00614C17"/>
    <w:rsid w:val="006167E9"/>
    <w:rsid w:val="00616F75"/>
    <w:rsid w:val="00616F9E"/>
    <w:rsid w:val="0061728B"/>
    <w:rsid w:val="0061731C"/>
    <w:rsid w:val="00617A58"/>
    <w:rsid w:val="00620218"/>
    <w:rsid w:val="00620341"/>
    <w:rsid w:val="00620C63"/>
    <w:rsid w:val="0062137C"/>
    <w:rsid w:val="00622225"/>
    <w:rsid w:val="0062300E"/>
    <w:rsid w:val="00623483"/>
    <w:rsid w:val="00623655"/>
    <w:rsid w:val="00623B53"/>
    <w:rsid w:val="0062597F"/>
    <w:rsid w:val="00625BC3"/>
    <w:rsid w:val="00625DA8"/>
    <w:rsid w:val="006271A3"/>
    <w:rsid w:val="0062779A"/>
    <w:rsid w:val="00627B4F"/>
    <w:rsid w:val="00630E67"/>
    <w:rsid w:val="00632057"/>
    <w:rsid w:val="00632131"/>
    <w:rsid w:val="006326DF"/>
    <w:rsid w:val="00632D03"/>
    <w:rsid w:val="00632E0D"/>
    <w:rsid w:val="0063305F"/>
    <w:rsid w:val="006337D8"/>
    <w:rsid w:val="00633F04"/>
    <w:rsid w:val="00634288"/>
    <w:rsid w:val="00634671"/>
    <w:rsid w:val="00634A88"/>
    <w:rsid w:val="00634E85"/>
    <w:rsid w:val="006351DD"/>
    <w:rsid w:val="00635D8D"/>
    <w:rsid w:val="00636222"/>
    <w:rsid w:val="0063638C"/>
    <w:rsid w:val="006379F9"/>
    <w:rsid w:val="00637A3C"/>
    <w:rsid w:val="00637D52"/>
    <w:rsid w:val="0064002B"/>
    <w:rsid w:val="00640569"/>
    <w:rsid w:val="00640AB5"/>
    <w:rsid w:val="00640F65"/>
    <w:rsid w:val="006411C6"/>
    <w:rsid w:val="00641985"/>
    <w:rsid w:val="00642730"/>
    <w:rsid w:val="00642833"/>
    <w:rsid w:val="00642B5B"/>
    <w:rsid w:val="00642C89"/>
    <w:rsid w:val="00642CC7"/>
    <w:rsid w:val="00643D81"/>
    <w:rsid w:val="006451D4"/>
    <w:rsid w:val="0064553F"/>
    <w:rsid w:val="00645FFD"/>
    <w:rsid w:val="0064602B"/>
    <w:rsid w:val="00646211"/>
    <w:rsid w:val="00646792"/>
    <w:rsid w:val="006468EE"/>
    <w:rsid w:val="00646C38"/>
    <w:rsid w:val="006470AA"/>
    <w:rsid w:val="0064737A"/>
    <w:rsid w:val="006473DD"/>
    <w:rsid w:val="00647481"/>
    <w:rsid w:val="00647814"/>
    <w:rsid w:val="00647D00"/>
    <w:rsid w:val="00647E04"/>
    <w:rsid w:val="006502E5"/>
    <w:rsid w:val="00650F63"/>
    <w:rsid w:val="00651043"/>
    <w:rsid w:val="00651559"/>
    <w:rsid w:val="00651A07"/>
    <w:rsid w:val="00651B1E"/>
    <w:rsid w:val="0065204C"/>
    <w:rsid w:val="006526E8"/>
    <w:rsid w:val="0065316E"/>
    <w:rsid w:val="006538F5"/>
    <w:rsid w:val="00654110"/>
    <w:rsid w:val="00654287"/>
    <w:rsid w:val="00655279"/>
    <w:rsid w:val="006555E3"/>
    <w:rsid w:val="00655874"/>
    <w:rsid w:val="006560A9"/>
    <w:rsid w:val="006566FF"/>
    <w:rsid w:val="00657271"/>
    <w:rsid w:val="00657504"/>
    <w:rsid w:val="00660596"/>
    <w:rsid w:val="00660EB1"/>
    <w:rsid w:val="00661098"/>
    <w:rsid w:val="006613E7"/>
    <w:rsid w:val="006614E1"/>
    <w:rsid w:val="00662034"/>
    <w:rsid w:val="00662661"/>
    <w:rsid w:val="00665195"/>
    <w:rsid w:val="0066575D"/>
    <w:rsid w:val="00665791"/>
    <w:rsid w:val="00665C2E"/>
    <w:rsid w:val="00665E11"/>
    <w:rsid w:val="006662D8"/>
    <w:rsid w:val="00666A23"/>
    <w:rsid w:val="00667B63"/>
    <w:rsid w:val="00670515"/>
    <w:rsid w:val="00670A76"/>
    <w:rsid w:val="00670B9F"/>
    <w:rsid w:val="00670E1C"/>
    <w:rsid w:val="00672775"/>
    <w:rsid w:val="0067277C"/>
    <w:rsid w:val="00672AB4"/>
    <w:rsid w:val="0067305E"/>
    <w:rsid w:val="006739F7"/>
    <w:rsid w:val="00673DA9"/>
    <w:rsid w:val="00674074"/>
    <w:rsid w:val="00674703"/>
    <w:rsid w:val="0067665D"/>
    <w:rsid w:val="00676836"/>
    <w:rsid w:val="00676F9A"/>
    <w:rsid w:val="00677385"/>
    <w:rsid w:val="006774F3"/>
    <w:rsid w:val="00677558"/>
    <w:rsid w:val="0068019C"/>
    <w:rsid w:val="00681143"/>
    <w:rsid w:val="00681520"/>
    <w:rsid w:val="00682BC2"/>
    <w:rsid w:val="00683C94"/>
    <w:rsid w:val="00684943"/>
    <w:rsid w:val="00685640"/>
    <w:rsid w:val="00685794"/>
    <w:rsid w:val="00685878"/>
    <w:rsid w:val="00685C33"/>
    <w:rsid w:val="00686528"/>
    <w:rsid w:val="00686683"/>
    <w:rsid w:val="00686C30"/>
    <w:rsid w:val="0068702A"/>
    <w:rsid w:val="00687277"/>
    <w:rsid w:val="0068767F"/>
    <w:rsid w:val="006879C3"/>
    <w:rsid w:val="00690D2A"/>
    <w:rsid w:val="00691038"/>
    <w:rsid w:val="0069199C"/>
    <w:rsid w:val="006926FE"/>
    <w:rsid w:val="00693A5E"/>
    <w:rsid w:val="00693F52"/>
    <w:rsid w:val="00694167"/>
    <w:rsid w:val="006946A9"/>
    <w:rsid w:val="00694B51"/>
    <w:rsid w:val="006955CC"/>
    <w:rsid w:val="0069696D"/>
    <w:rsid w:val="00696A9C"/>
    <w:rsid w:val="006974E5"/>
    <w:rsid w:val="00697825"/>
    <w:rsid w:val="006979ED"/>
    <w:rsid w:val="00697AE0"/>
    <w:rsid w:val="006A0765"/>
    <w:rsid w:val="006A07E6"/>
    <w:rsid w:val="006A1538"/>
    <w:rsid w:val="006A22F7"/>
    <w:rsid w:val="006A2525"/>
    <w:rsid w:val="006A277A"/>
    <w:rsid w:val="006A2FF9"/>
    <w:rsid w:val="006A3088"/>
    <w:rsid w:val="006A3135"/>
    <w:rsid w:val="006A383A"/>
    <w:rsid w:val="006A3872"/>
    <w:rsid w:val="006A4170"/>
    <w:rsid w:val="006A45B1"/>
    <w:rsid w:val="006A46D1"/>
    <w:rsid w:val="006A4E4D"/>
    <w:rsid w:val="006A4F15"/>
    <w:rsid w:val="006A5099"/>
    <w:rsid w:val="006A511B"/>
    <w:rsid w:val="006A52D9"/>
    <w:rsid w:val="006A5339"/>
    <w:rsid w:val="006A55A4"/>
    <w:rsid w:val="006A5AF9"/>
    <w:rsid w:val="006A6133"/>
    <w:rsid w:val="006A6C76"/>
    <w:rsid w:val="006A7151"/>
    <w:rsid w:val="006A746D"/>
    <w:rsid w:val="006A7E4E"/>
    <w:rsid w:val="006A7FEC"/>
    <w:rsid w:val="006B052A"/>
    <w:rsid w:val="006B064A"/>
    <w:rsid w:val="006B0E9A"/>
    <w:rsid w:val="006B2278"/>
    <w:rsid w:val="006B2605"/>
    <w:rsid w:val="006B3751"/>
    <w:rsid w:val="006B3C87"/>
    <w:rsid w:val="006B4237"/>
    <w:rsid w:val="006B4296"/>
    <w:rsid w:val="006B4C7C"/>
    <w:rsid w:val="006B5051"/>
    <w:rsid w:val="006B5124"/>
    <w:rsid w:val="006B523E"/>
    <w:rsid w:val="006B5571"/>
    <w:rsid w:val="006B6D43"/>
    <w:rsid w:val="006B7358"/>
    <w:rsid w:val="006B772D"/>
    <w:rsid w:val="006B7797"/>
    <w:rsid w:val="006B7A2D"/>
    <w:rsid w:val="006B7B6C"/>
    <w:rsid w:val="006C022B"/>
    <w:rsid w:val="006C0386"/>
    <w:rsid w:val="006C0426"/>
    <w:rsid w:val="006C0AEC"/>
    <w:rsid w:val="006C0D0C"/>
    <w:rsid w:val="006C0D5A"/>
    <w:rsid w:val="006C1F5F"/>
    <w:rsid w:val="006C2A39"/>
    <w:rsid w:val="006C387C"/>
    <w:rsid w:val="006C46F2"/>
    <w:rsid w:val="006C5762"/>
    <w:rsid w:val="006C5843"/>
    <w:rsid w:val="006C584A"/>
    <w:rsid w:val="006C5CFC"/>
    <w:rsid w:val="006C5D20"/>
    <w:rsid w:val="006C64E5"/>
    <w:rsid w:val="006C673F"/>
    <w:rsid w:val="006C6BB7"/>
    <w:rsid w:val="006C778C"/>
    <w:rsid w:val="006C7E56"/>
    <w:rsid w:val="006D02A4"/>
    <w:rsid w:val="006D1202"/>
    <w:rsid w:val="006D17EA"/>
    <w:rsid w:val="006D1B3E"/>
    <w:rsid w:val="006D3619"/>
    <w:rsid w:val="006D3F79"/>
    <w:rsid w:val="006D4724"/>
    <w:rsid w:val="006D49BD"/>
    <w:rsid w:val="006D52AC"/>
    <w:rsid w:val="006D53B2"/>
    <w:rsid w:val="006D54B3"/>
    <w:rsid w:val="006D5777"/>
    <w:rsid w:val="006D5DCD"/>
    <w:rsid w:val="006D6329"/>
    <w:rsid w:val="006D6725"/>
    <w:rsid w:val="006D68C3"/>
    <w:rsid w:val="006D7F01"/>
    <w:rsid w:val="006E045B"/>
    <w:rsid w:val="006E0A09"/>
    <w:rsid w:val="006E0F39"/>
    <w:rsid w:val="006E118B"/>
    <w:rsid w:val="006E130B"/>
    <w:rsid w:val="006E1649"/>
    <w:rsid w:val="006E19AD"/>
    <w:rsid w:val="006E1ABF"/>
    <w:rsid w:val="006E25AB"/>
    <w:rsid w:val="006E2B03"/>
    <w:rsid w:val="006E2C3E"/>
    <w:rsid w:val="006E3269"/>
    <w:rsid w:val="006E34B6"/>
    <w:rsid w:val="006E36E8"/>
    <w:rsid w:val="006E3AC1"/>
    <w:rsid w:val="006E444E"/>
    <w:rsid w:val="006E58A4"/>
    <w:rsid w:val="006E6256"/>
    <w:rsid w:val="006E69F3"/>
    <w:rsid w:val="006E6A6F"/>
    <w:rsid w:val="006E6C4A"/>
    <w:rsid w:val="006E7344"/>
    <w:rsid w:val="006E74DA"/>
    <w:rsid w:val="006E7B71"/>
    <w:rsid w:val="006E7CBD"/>
    <w:rsid w:val="006E7EE1"/>
    <w:rsid w:val="006F1312"/>
    <w:rsid w:val="006F1451"/>
    <w:rsid w:val="006F1776"/>
    <w:rsid w:val="006F1C8B"/>
    <w:rsid w:val="006F1F52"/>
    <w:rsid w:val="006F21D8"/>
    <w:rsid w:val="006F2DB5"/>
    <w:rsid w:val="006F2E92"/>
    <w:rsid w:val="006F35F0"/>
    <w:rsid w:val="006F3CBF"/>
    <w:rsid w:val="006F4802"/>
    <w:rsid w:val="006F5379"/>
    <w:rsid w:val="006F57B8"/>
    <w:rsid w:val="006F5AF7"/>
    <w:rsid w:val="006F5D4D"/>
    <w:rsid w:val="006F5FBB"/>
    <w:rsid w:val="006F6109"/>
    <w:rsid w:val="006F623C"/>
    <w:rsid w:val="006F63E4"/>
    <w:rsid w:val="006F70EB"/>
    <w:rsid w:val="006F72B5"/>
    <w:rsid w:val="006F735D"/>
    <w:rsid w:val="006F751C"/>
    <w:rsid w:val="006F7730"/>
    <w:rsid w:val="006F7C95"/>
    <w:rsid w:val="006F7E52"/>
    <w:rsid w:val="007001DD"/>
    <w:rsid w:val="00700338"/>
    <w:rsid w:val="00700704"/>
    <w:rsid w:val="00702000"/>
    <w:rsid w:val="00702519"/>
    <w:rsid w:val="00702DBB"/>
    <w:rsid w:val="00703A2C"/>
    <w:rsid w:val="007041A0"/>
    <w:rsid w:val="0070425D"/>
    <w:rsid w:val="00704703"/>
    <w:rsid w:val="00704755"/>
    <w:rsid w:val="00706C0F"/>
    <w:rsid w:val="00707F42"/>
    <w:rsid w:val="0071020C"/>
    <w:rsid w:val="00710817"/>
    <w:rsid w:val="00710F42"/>
    <w:rsid w:val="00711353"/>
    <w:rsid w:val="007130B0"/>
    <w:rsid w:val="00713443"/>
    <w:rsid w:val="0071385C"/>
    <w:rsid w:val="00713B5D"/>
    <w:rsid w:val="00713CCF"/>
    <w:rsid w:val="0071494D"/>
    <w:rsid w:val="00714D0D"/>
    <w:rsid w:val="00714D80"/>
    <w:rsid w:val="00714E5F"/>
    <w:rsid w:val="00715530"/>
    <w:rsid w:val="00715985"/>
    <w:rsid w:val="00715C43"/>
    <w:rsid w:val="00716029"/>
    <w:rsid w:val="00716515"/>
    <w:rsid w:val="00716B26"/>
    <w:rsid w:val="00716CF2"/>
    <w:rsid w:val="00717873"/>
    <w:rsid w:val="00717F5B"/>
    <w:rsid w:val="00720270"/>
    <w:rsid w:val="00720528"/>
    <w:rsid w:val="007210A0"/>
    <w:rsid w:val="00721B81"/>
    <w:rsid w:val="00722591"/>
    <w:rsid w:val="007237B9"/>
    <w:rsid w:val="00723963"/>
    <w:rsid w:val="00723DC8"/>
    <w:rsid w:val="007249E0"/>
    <w:rsid w:val="00724A1B"/>
    <w:rsid w:val="00726D56"/>
    <w:rsid w:val="0072726A"/>
    <w:rsid w:val="007273A3"/>
    <w:rsid w:val="00727415"/>
    <w:rsid w:val="0072744D"/>
    <w:rsid w:val="00727673"/>
    <w:rsid w:val="00727821"/>
    <w:rsid w:val="0073020C"/>
    <w:rsid w:val="00731B17"/>
    <w:rsid w:val="00731B43"/>
    <w:rsid w:val="00731C7C"/>
    <w:rsid w:val="0073209E"/>
    <w:rsid w:val="0073211C"/>
    <w:rsid w:val="00732142"/>
    <w:rsid w:val="007326D7"/>
    <w:rsid w:val="0073275A"/>
    <w:rsid w:val="00732F80"/>
    <w:rsid w:val="00733369"/>
    <w:rsid w:val="007349B8"/>
    <w:rsid w:val="0073546A"/>
    <w:rsid w:val="00735E50"/>
    <w:rsid w:val="00735FB3"/>
    <w:rsid w:val="00736109"/>
    <w:rsid w:val="00736C5D"/>
    <w:rsid w:val="007371FC"/>
    <w:rsid w:val="00737475"/>
    <w:rsid w:val="00737487"/>
    <w:rsid w:val="00737843"/>
    <w:rsid w:val="00737AD9"/>
    <w:rsid w:val="00737E4C"/>
    <w:rsid w:val="00737FE2"/>
    <w:rsid w:val="00740038"/>
    <w:rsid w:val="007407E0"/>
    <w:rsid w:val="00740AFF"/>
    <w:rsid w:val="007416B7"/>
    <w:rsid w:val="007417F0"/>
    <w:rsid w:val="00741C4A"/>
    <w:rsid w:val="007429CF"/>
    <w:rsid w:val="00742BD8"/>
    <w:rsid w:val="00742F48"/>
    <w:rsid w:val="00743742"/>
    <w:rsid w:val="00743D60"/>
    <w:rsid w:val="00743F9E"/>
    <w:rsid w:val="00744732"/>
    <w:rsid w:val="0074529F"/>
    <w:rsid w:val="0074546A"/>
    <w:rsid w:val="00745BA5"/>
    <w:rsid w:val="00745D47"/>
    <w:rsid w:val="00745D7C"/>
    <w:rsid w:val="007468E1"/>
    <w:rsid w:val="0074707D"/>
    <w:rsid w:val="007476AD"/>
    <w:rsid w:val="007502DA"/>
    <w:rsid w:val="00750D67"/>
    <w:rsid w:val="00750F0E"/>
    <w:rsid w:val="00751210"/>
    <w:rsid w:val="007518C6"/>
    <w:rsid w:val="00752C3A"/>
    <w:rsid w:val="007532DA"/>
    <w:rsid w:val="007541BC"/>
    <w:rsid w:val="00754626"/>
    <w:rsid w:val="007549AC"/>
    <w:rsid w:val="007557A6"/>
    <w:rsid w:val="00755CA8"/>
    <w:rsid w:val="00756878"/>
    <w:rsid w:val="00756B9A"/>
    <w:rsid w:val="00756BBA"/>
    <w:rsid w:val="007571CB"/>
    <w:rsid w:val="007572AD"/>
    <w:rsid w:val="007607D6"/>
    <w:rsid w:val="00760DC9"/>
    <w:rsid w:val="00761A84"/>
    <w:rsid w:val="00761C1A"/>
    <w:rsid w:val="00761E8C"/>
    <w:rsid w:val="00762389"/>
    <w:rsid w:val="007626D5"/>
    <w:rsid w:val="007629C9"/>
    <w:rsid w:val="00762EC2"/>
    <w:rsid w:val="007633C1"/>
    <w:rsid w:val="00763A0C"/>
    <w:rsid w:val="00763AA8"/>
    <w:rsid w:val="00764978"/>
    <w:rsid w:val="00764B3E"/>
    <w:rsid w:val="00764F8F"/>
    <w:rsid w:val="00765134"/>
    <w:rsid w:val="00765322"/>
    <w:rsid w:val="00765550"/>
    <w:rsid w:val="00765AC2"/>
    <w:rsid w:val="00765C15"/>
    <w:rsid w:val="00766009"/>
    <w:rsid w:val="0076624A"/>
    <w:rsid w:val="00766307"/>
    <w:rsid w:val="007664AD"/>
    <w:rsid w:val="00766C19"/>
    <w:rsid w:val="007703F7"/>
    <w:rsid w:val="0077059A"/>
    <w:rsid w:val="00770A14"/>
    <w:rsid w:val="00771B9A"/>
    <w:rsid w:val="007729F5"/>
    <w:rsid w:val="00772B39"/>
    <w:rsid w:val="00772C86"/>
    <w:rsid w:val="00773057"/>
    <w:rsid w:val="00773ABF"/>
    <w:rsid w:val="00774277"/>
    <w:rsid w:val="0077563E"/>
    <w:rsid w:val="00775C60"/>
    <w:rsid w:val="00776344"/>
    <w:rsid w:val="00776757"/>
    <w:rsid w:val="0077749D"/>
    <w:rsid w:val="007774BB"/>
    <w:rsid w:val="00777D35"/>
    <w:rsid w:val="00777F5D"/>
    <w:rsid w:val="0078002B"/>
    <w:rsid w:val="0078071F"/>
    <w:rsid w:val="00780DDC"/>
    <w:rsid w:val="00781C4A"/>
    <w:rsid w:val="00781DFE"/>
    <w:rsid w:val="00781F9D"/>
    <w:rsid w:val="007824D1"/>
    <w:rsid w:val="00782978"/>
    <w:rsid w:val="00783153"/>
    <w:rsid w:val="007839D0"/>
    <w:rsid w:val="00783B40"/>
    <w:rsid w:val="007849BD"/>
    <w:rsid w:val="00784CA4"/>
    <w:rsid w:val="00784CBD"/>
    <w:rsid w:val="00784F3D"/>
    <w:rsid w:val="00785608"/>
    <w:rsid w:val="007862D9"/>
    <w:rsid w:val="007867C7"/>
    <w:rsid w:val="00787FC9"/>
    <w:rsid w:val="00790FE4"/>
    <w:rsid w:val="00792803"/>
    <w:rsid w:val="00792D72"/>
    <w:rsid w:val="0079332F"/>
    <w:rsid w:val="00793669"/>
    <w:rsid w:val="007936A0"/>
    <w:rsid w:val="0079391E"/>
    <w:rsid w:val="00795BF3"/>
    <w:rsid w:val="00795D93"/>
    <w:rsid w:val="00795F29"/>
    <w:rsid w:val="00796B78"/>
    <w:rsid w:val="00797C23"/>
    <w:rsid w:val="00797C9F"/>
    <w:rsid w:val="00797F05"/>
    <w:rsid w:val="007A08C5"/>
    <w:rsid w:val="007A0A16"/>
    <w:rsid w:val="007A0AFE"/>
    <w:rsid w:val="007A185D"/>
    <w:rsid w:val="007A1C3D"/>
    <w:rsid w:val="007A21DF"/>
    <w:rsid w:val="007A2B14"/>
    <w:rsid w:val="007A2C59"/>
    <w:rsid w:val="007A2E8D"/>
    <w:rsid w:val="007A2F11"/>
    <w:rsid w:val="007A33E6"/>
    <w:rsid w:val="007A35A8"/>
    <w:rsid w:val="007A39EA"/>
    <w:rsid w:val="007A3C0F"/>
    <w:rsid w:val="007A3DA1"/>
    <w:rsid w:val="007A4053"/>
    <w:rsid w:val="007A4173"/>
    <w:rsid w:val="007A4396"/>
    <w:rsid w:val="007A46BC"/>
    <w:rsid w:val="007A5B9C"/>
    <w:rsid w:val="007A64D1"/>
    <w:rsid w:val="007A651A"/>
    <w:rsid w:val="007A70C7"/>
    <w:rsid w:val="007A710F"/>
    <w:rsid w:val="007A7D66"/>
    <w:rsid w:val="007A7FC2"/>
    <w:rsid w:val="007B003A"/>
    <w:rsid w:val="007B1507"/>
    <w:rsid w:val="007B169D"/>
    <w:rsid w:val="007B2457"/>
    <w:rsid w:val="007B26C9"/>
    <w:rsid w:val="007B2C29"/>
    <w:rsid w:val="007B2F68"/>
    <w:rsid w:val="007B32B4"/>
    <w:rsid w:val="007B32D3"/>
    <w:rsid w:val="007B389D"/>
    <w:rsid w:val="007B3957"/>
    <w:rsid w:val="007B4AFD"/>
    <w:rsid w:val="007B5875"/>
    <w:rsid w:val="007B62AB"/>
    <w:rsid w:val="007B648B"/>
    <w:rsid w:val="007B6799"/>
    <w:rsid w:val="007B6A78"/>
    <w:rsid w:val="007B6E5F"/>
    <w:rsid w:val="007B7384"/>
    <w:rsid w:val="007B7D8D"/>
    <w:rsid w:val="007C00CB"/>
    <w:rsid w:val="007C0124"/>
    <w:rsid w:val="007C01CE"/>
    <w:rsid w:val="007C09D4"/>
    <w:rsid w:val="007C0C15"/>
    <w:rsid w:val="007C100C"/>
    <w:rsid w:val="007C173C"/>
    <w:rsid w:val="007C1F79"/>
    <w:rsid w:val="007C2779"/>
    <w:rsid w:val="007C32D0"/>
    <w:rsid w:val="007C3C4B"/>
    <w:rsid w:val="007C42CE"/>
    <w:rsid w:val="007C44D3"/>
    <w:rsid w:val="007C4E6A"/>
    <w:rsid w:val="007C5010"/>
    <w:rsid w:val="007C5346"/>
    <w:rsid w:val="007C565D"/>
    <w:rsid w:val="007C5DE1"/>
    <w:rsid w:val="007C6169"/>
    <w:rsid w:val="007C62F2"/>
    <w:rsid w:val="007C63B4"/>
    <w:rsid w:val="007C6D65"/>
    <w:rsid w:val="007C6F00"/>
    <w:rsid w:val="007C6F86"/>
    <w:rsid w:val="007C76C8"/>
    <w:rsid w:val="007C7823"/>
    <w:rsid w:val="007C7D06"/>
    <w:rsid w:val="007C7FB2"/>
    <w:rsid w:val="007D004A"/>
    <w:rsid w:val="007D042D"/>
    <w:rsid w:val="007D1269"/>
    <w:rsid w:val="007D2A96"/>
    <w:rsid w:val="007D3145"/>
    <w:rsid w:val="007D33F7"/>
    <w:rsid w:val="007D34E4"/>
    <w:rsid w:val="007D395B"/>
    <w:rsid w:val="007D3D6A"/>
    <w:rsid w:val="007D424D"/>
    <w:rsid w:val="007D42A4"/>
    <w:rsid w:val="007D47FA"/>
    <w:rsid w:val="007D528D"/>
    <w:rsid w:val="007D5FC0"/>
    <w:rsid w:val="007D63F7"/>
    <w:rsid w:val="007D6581"/>
    <w:rsid w:val="007D660F"/>
    <w:rsid w:val="007D6E3C"/>
    <w:rsid w:val="007D6F50"/>
    <w:rsid w:val="007D7156"/>
    <w:rsid w:val="007D7696"/>
    <w:rsid w:val="007D7C91"/>
    <w:rsid w:val="007E001F"/>
    <w:rsid w:val="007E099B"/>
    <w:rsid w:val="007E2928"/>
    <w:rsid w:val="007E2D4C"/>
    <w:rsid w:val="007E2E79"/>
    <w:rsid w:val="007E390F"/>
    <w:rsid w:val="007E4A89"/>
    <w:rsid w:val="007E4D62"/>
    <w:rsid w:val="007E55B4"/>
    <w:rsid w:val="007E5659"/>
    <w:rsid w:val="007E56A8"/>
    <w:rsid w:val="007E56CB"/>
    <w:rsid w:val="007E59D8"/>
    <w:rsid w:val="007E6072"/>
    <w:rsid w:val="007E60B2"/>
    <w:rsid w:val="007E6388"/>
    <w:rsid w:val="007E7361"/>
    <w:rsid w:val="007F01FC"/>
    <w:rsid w:val="007F07CB"/>
    <w:rsid w:val="007F09A5"/>
    <w:rsid w:val="007F1102"/>
    <w:rsid w:val="007F1E07"/>
    <w:rsid w:val="007F1F8C"/>
    <w:rsid w:val="007F346C"/>
    <w:rsid w:val="007F34A8"/>
    <w:rsid w:val="007F37E7"/>
    <w:rsid w:val="007F3D56"/>
    <w:rsid w:val="007F46BE"/>
    <w:rsid w:val="007F4D8C"/>
    <w:rsid w:val="007F501D"/>
    <w:rsid w:val="007F5089"/>
    <w:rsid w:val="007F5092"/>
    <w:rsid w:val="007F510F"/>
    <w:rsid w:val="007F5225"/>
    <w:rsid w:val="007F5424"/>
    <w:rsid w:val="007F5450"/>
    <w:rsid w:val="007F5EC8"/>
    <w:rsid w:val="007F6531"/>
    <w:rsid w:val="007F719C"/>
    <w:rsid w:val="007F722D"/>
    <w:rsid w:val="00800807"/>
    <w:rsid w:val="00800882"/>
    <w:rsid w:val="00801057"/>
    <w:rsid w:val="00801D20"/>
    <w:rsid w:val="00801F10"/>
    <w:rsid w:val="00802491"/>
    <w:rsid w:val="00802BF4"/>
    <w:rsid w:val="00803802"/>
    <w:rsid w:val="00803F69"/>
    <w:rsid w:val="00803F72"/>
    <w:rsid w:val="00803FB5"/>
    <w:rsid w:val="00804487"/>
    <w:rsid w:val="00804589"/>
    <w:rsid w:val="00804D4F"/>
    <w:rsid w:val="00805241"/>
    <w:rsid w:val="00805415"/>
    <w:rsid w:val="00805BCC"/>
    <w:rsid w:val="00805C1F"/>
    <w:rsid w:val="00806142"/>
    <w:rsid w:val="008063D0"/>
    <w:rsid w:val="008068EE"/>
    <w:rsid w:val="00806E8F"/>
    <w:rsid w:val="00810600"/>
    <w:rsid w:val="00810788"/>
    <w:rsid w:val="00810F80"/>
    <w:rsid w:val="00811773"/>
    <w:rsid w:val="00811787"/>
    <w:rsid w:val="00811BC7"/>
    <w:rsid w:val="00812E49"/>
    <w:rsid w:val="00812FCC"/>
    <w:rsid w:val="00813F4B"/>
    <w:rsid w:val="00815693"/>
    <w:rsid w:val="00815A2C"/>
    <w:rsid w:val="00815B1F"/>
    <w:rsid w:val="008166C3"/>
    <w:rsid w:val="008168E7"/>
    <w:rsid w:val="0081762D"/>
    <w:rsid w:val="00817CB1"/>
    <w:rsid w:val="00817F7D"/>
    <w:rsid w:val="00820438"/>
    <w:rsid w:val="00820623"/>
    <w:rsid w:val="00820F19"/>
    <w:rsid w:val="008210DB"/>
    <w:rsid w:val="00821208"/>
    <w:rsid w:val="008212BF"/>
    <w:rsid w:val="00821873"/>
    <w:rsid w:val="00821BE4"/>
    <w:rsid w:val="008222EE"/>
    <w:rsid w:val="00822823"/>
    <w:rsid w:val="00823827"/>
    <w:rsid w:val="00823B52"/>
    <w:rsid w:val="00824861"/>
    <w:rsid w:val="00824BBB"/>
    <w:rsid w:val="008253D9"/>
    <w:rsid w:val="00825420"/>
    <w:rsid w:val="00826C37"/>
    <w:rsid w:val="008279CF"/>
    <w:rsid w:val="008308F6"/>
    <w:rsid w:val="00830AD2"/>
    <w:rsid w:val="008317AF"/>
    <w:rsid w:val="008317E4"/>
    <w:rsid w:val="00831B2B"/>
    <w:rsid w:val="00831CF7"/>
    <w:rsid w:val="00831EF3"/>
    <w:rsid w:val="0083210F"/>
    <w:rsid w:val="00832BEA"/>
    <w:rsid w:val="00832F7A"/>
    <w:rsid w:val="00833450"/>
    <w:rsid w:val="00833AAB"/>
    <w:rsid w:val="00833D07"/>
    <w:rsid w:val="00833F21"/>
    <w:rsid w:val="00834657"/>
    <w:rsid w:val="0083465B"/>
    <w:rsid w:val="00834E67"/>
    <w:rsid w:val="00834EDA"/>
    <w:rsid w:val="00834FC9"/>
    <w:rsid w:val="00835744"/>
    <w:rsid w:val="0083590B"/>
    <w:rsid w:val="0083598D"/>
    <w:rsid w:val="00835A11"/>
    <w:rsid w:val="00835F5D"/>
    <w:rsid w:val="00836082"/>
    <w:rsid w:val="008362E5"/>
    <w:rsid w:val="0083680C"/>
    <w:rsid w:val="00836BB3"/>
    <w:rsid w:val="00836C7D"/>
    <w:rsid w:val="00840138"/>
    <w:rsid w:val="008405A6"/>
    <w:rsid w:val="0084077D"/>
    <w:rsid w:val="008407BA"/>
    <w:rsid w:val="008408A9"/>
    <w:rsid w:val="00840D66"/>
    <w:rsid w:val="0084179B"/>
    <w:rsid w:val="00841A5A"/>
    <w:rsid w:val="00841FF1"/>
    <w:rsid w:val="0084296A"/>
    <w:rsid w:val="0084396D"/>
    <w:rsid w:val="008439A9"/>
    <w:rsid w:val="00844A1C"/>
    <w:rsid w:val="00844CA2"/>
    <w:rsid w:val="008451FD"/>
    <w:rsid w:val="008457B7"/>
    <w:rsid w:val="00845D64"/>
    <w:rsid w:val="00846CB3"/>
    <w:rsid w:val="00846D99"/>
    <w:rsid w:val="00846DE2"/>
    <w:rsid w:val="00847966"/>
    <w:rsid w:val="00850800"/>
    <w:rsid w:val="00850C21"/>
    <w:rsid w:val="00851A3D"/>
    <w:rsid w:val="00851B3B"/>
    <w:rsid w:val="00851BBA"/>
    <w:rsid w:val="0085209F"/>
    <w:rsid w:val="00852760"/>
    <w:rsid w:val="0085385B"/>
    <w:rsid w:val="00853D3F"/>
    <w:rsid w:val="00853FD5"/>
    <w:rsid w:val="00854068"/>
    <w:rsid w:val="008553B2"/>
    <w:rsid w:val="00855524"/>
    <w:rsid w:val="00855DD2"/>
    <w:rsid w:val="00855DD5"/>
    <w:rsid w:val="00855FBB"/>
    <w:rsid w:val="00856368"/>
    <w:rsid w:val="0085694C"/>
    <w:rsid w:val="008569BC"/>
    <w:rsid w:val="00856B9D"/>
    <w:rsid w:val="008575C9"/>
    <w:rsid w:val="00857709"/>
    <w:rsid w:val="0086053E"/>
    <w:rsid w:val="008609A8"/>
    <w:rsid w:val="008612AF"/>
    <w:rsid w:val="00861C88"/>
    <w:rsid w:val="008624D1"/>
    <w:rsid w:val="008628E0"/>
    <w:rsid w:val="00862E7C"/>
    <w:rsid w:val="008630AD"/>
    <w:rsid w:val="008632F0"/>
    <w:rsid w:val="008632F2"/>
    <w:rsid w:val="00863428"/>
    <w:rsid w:val="00863453"/>
    <w:rsid w:val="008635AE"/>
    <w:rsid w:val="00863CCA"/>
    <w:rsid w:val="0086422A"/>
    <w:rsid w:val="00864255"/>
    <w:rsid w:val="008645E6"/>
    <w:rsid w:val="00864629"/>
    <w:rsid w:val="008650DA"/>
    <w:rsid w:val="00865B08"/>
    <w:rsid w:val="008666E9"/>
    <w:rsid w:val="0086677F"/>
    <w:rsid w:val="008679F0"/>
    <w:rsid w:val="008700C0"/>
    <w:rsid w:val="00870AE1"/>
    <w:rsid w:val="00870E5C"/>
    <w:rsid w:val="00871823"/>
    <w:rsid w:val="00871C70"/>
    <w:rsid w:val="00871DF3"/>
    <w:rsid w:val="008720DF"/>
    <w:rsid w:val="0087218E"/>
    <w:rsid w:val="00872760"/>
    <w:rsid w:val="008731D8"/>
    <w:rsid w:val="008731EA"/>
    <w:rsid w:val="00873310"/>
    <w:rsid w:val="008733CC"/>
    <w:rsid w:val="008735A6"/>
    <w:rsid w:val="00876729"/>
    <w:rsid w:val="00876FED"/>
    <w:rsid w:val="008772BE"/>
    <w:rsid w:val="00877741"/>
    <w:rsid w:val="008777AD"/>
    <w:rsid w:val="008778BA"/>
    <w:rsid w:val="00877C4B"/>
    <w:rsid w:val="00880367"/>
    <w:rsid w:val="00880607"/>
    <w:rsid w:val="00880621"/>
    <w:rsid w:val="00880767"/>
    <w:rsid w:val="00880A62"/>
    <w:rsid w:val="00880B70"/>
    <w:rsid w:val="00880F99"/>
    <w:rsid w:val="008822AA"/>
    <w:rsid w:val="008837A3"/>
    <w:rsid w:val="00884059"/>
    <w:rsid w:val="00884EDD"/>
    <w:rsid w:val="00884FF2"/>
    <w:rsid w:val="00885580"/>
    <w:rsid w:val="008856C5"/>
    <w:rsid w:val="008859B7"/>
    <w:rsid w:val="0088608D"/>
    <w:rsid w:val="00886384"/>
    <w:rsid w:val="0088641E"/>
    <w:rsid w:val="00886F8C"/>
    <w:rsid w:val="00887DBF"/>
    <w:rsid w:val="00890310"/>
    <w:rsid w:val="00890A7D"/>
    <w:rsid w:val="0089386B"/>
    <w:rsid w:val="00893FE7"/>
    <w:rsid w:val="008947E4"/>
    <w:rsid w:val="008950F3"/>
    <w:rsid w:val="00895619"/>
    <w:rsid w:val="0089578E"/>
    <w:rsid w:val="00896BC7"/>
    <w:rsid w:val="00896FBB"/>
    <w:rsid w:val="00897E35"/>
    <w:rsid w:val="008A059A"/>
    <w:rsid w:val="008A0D2C"/>
    <w:rsid w:val="008A17B4"/>
    <w:rsid w:val="008A1E44"/>
    <w:rsid w:val="008A28FF"/>
    <w:rsid w:val="008A33AA"/>
    <w:rsid w:val="008A34DC"/>
    <w:rsid w:val="008A3835"/>
    <w:rsid w:val="008A499F"/>
    <w:rsid w:val="008A52E3"/>
    <w:rsid w:val="008A546C"/>
    <w:rsid w:val="008A54FE"/>
    <w:rsid w:val="008A5EF2"/>
    <w:rsid w:val="008A6036"/>
    <w:rsid w:val="008A6F74"/>
    <w:rsid w:val="008A7DA2"/>
    <w:rsid w:val="008B069E"/>
    <w:rsid w:val="008B12A4"/>
    <w:rsid w:val="008B1350"/>
    <w:rsid w:val="008B18FC"/>
    <w:rsid w:val="008B2868"/>
    <w:rsid w:val="008B3B9E"/>
    <w:rsid w:val="008B3E84"/>
    <w:rsid w:val="008B5054"/>
    <w:rsid w:val="008B5AC8"/>
    <w:rsid w:val="008B5AE9"/>
    <w:rsid w:val="008B5CF0"/>
    <w:rsid w:val="008B6AEB"/>
    <w:rsid w:val="008B7265"/>
    <w:rsid w:val="008B79FB"/>
    <w:rsid w:val="008C0BB3"/>
    <w:rsid w:val="008C14D6"/>
    <w:rsid w:val="008C1BB1"/>
    <w:rsid w:val="008C1DC2"/>
    <w:rsid w:val="008C225D"/>
    <w:rsid w:val="008C2C28"/>
    <w:rsid w:val="008C2D23"/>
    <w:rsid w:val="008C2FC1"/>
    <w:rsid w:val="008C380B"/>
    <w:rsid w:val="008C3B92"/>
    <w:rsid w:val="008C439C"/>
    <w:rsid w:val="008C5355"/>
    <w:rsid w:val="008C5A45"/>
    <w:rsid w:val="008C5ADD"/>
    <w:rsid w:val="008C6DE5"/>
    <w:rsid w:val="008C7431"/>
    <w:rsid w:val="008C76C4"/>
    <w:rsid w:val="008C7840"/>
    <w:rsid w:val="008C7CB3"/>
    <w:rsid w:val="008D07F6"/>
    <w:rsid w:val="008D140F"/>
    <w:rsid w:val="008D188E"/>
    <w:rsid w:val="008D1C3A"/>
    <w:rsid w:val="008D2D83"/>
    <w:rsid w:val="008D38E0"/>
    <w:rsid w:val="008D3D6F"/>
    <w:rsid w:val="008D4F13"/>
    <w:rsid w:val="008D514D"/>
    <w:rsid w:val="008D5981"/>
    <w:rsid w:val="008D6275"/>
    <w:rsid w:val="008D63C9"/>
    <w:rsid w:val="008D6BD4"/>
    <w:rsid w:val="008D6DCF"/>
    <w:rsid w:val="008D7117"/>
    <w:rsid w:val="008D72D9"/>
    <w:rsid w:val="008D7383"/>
    <w:rsid w:val="008D75D5"/>
    <w:rsid w:val="008D75DC"/>
    <w:rsid w:val="008D7924"/>
    <w:rsid w:val="008E05CC"/>
    <w:rsid w:val="008E07D2"/>
    <w:rsid w:val="008E0EB5"/>
    <w:rsid w:val="008E1CA9"/>
    <w:rsid w:val="008E2751"/>
    <w:rsid w:val="008E3A20"/>
    <w:rsid w:val="008E4208"/>
    <w:rsid w:val="008E5289"/>
    <w:rsid w:val="008E5BFA"/>
    <w:rsid w:val="008E5C62"/>
    <w:rsid w:val="008E60CE"/>
    <w:rsid w:val="008E659F"/>
    <w:rsid w:val="008E6DEB"/>
    <w:rsid w:val="008E6FE2"/>
    <w:rsid w:val="008E71AD"/>
    <w:rsid w:val="008E783E"/>
    <w:rsid w:val="008E79A2"/>
    <w:rsid w:val="008F04B9"/>
    <w:rsid w:val="008F1017"/>
    <w:rsid w:val="008F163E"/>
    <w:rsid w:val="008F1D26"/>
    <w:rsid w:val="008F3F04"/>
    <w:rsid w:val="008F4176"/>
    <w:rsid w:val="008F464D"/>
    <w:rsid w:val="008F6E12"/>
    <w:rsid w:val="008F6E89"/>
    <w:rsid w:val="008F7F74"/>
    <w:rsid w:val="009008B1"/>
    <w:rsid w:val="00900EA4"/>
    <w:rsid w:val="009022AE"/>
    <w:rsid w:val="009028C1"/>
    <w:rsid w:val="00903D67"/>
    <w:rsid w:val="00903D85"/>
    <w:rsid w:val="00903F2A"/>
    <w:rsid w:val="00904319"/>
    <w:rsid w:val="00906221"/>
    <w:rsid w:val="00906793"/>
    <w:rsid w:val="00906922"/>
    <w:rsid w:val="00907043"/>
    <w:rsid w:val="0090760B"/>
    <w:rsid w:val="00907962"/>
    <w:rsid w:val="009103B6"/>
    <w:rsid w:val="009106BC"/>
    <w:rsid w:val="00911B87"/>
    <w:rsid w:val="00911DA1"/>
    <w:rsid w:val="009123C3"/>
    <w:rsid w:val="00912445"/>
    <w:rsid w:val="009125F6"/>
    <w:rsid w:val="00912AE3"/>
    <w:rsid w:val="009137CB"/>
    <w:rsid w:val="00913C69"/>
    <w:rsid w:val="009147D6"/>
    <w:rsid w:val="00915159"/>
    <w:rsid w:val="0091545D"/>
    <w:rsid w:val="00915470"/>
    <w:rsid w:val="009158E3"/>
    <w:rsid w:val="0091788D"/>
    <w:rsid w:val="00917CF2"/>
    <w:rsid w:val="00920748"/>
    <w:rsid w:val="009216C1"/>
    <w:rsid w:val="00923485"/>
    <w:rsid w:val="0092387C"/>
    <w:rsid w:val="00923B75"/>
    <w:rsid w:val="00923F8C"/>
    <w:rsid w:val="00924911"/>
    <w:rsid w:val="00925DE4"/>
    <w:rsid w:val="0092673C"/>
    <w:rsid w:val="009267CC"/>
    <w:rsid w:val="00926A36"/>
    <w:rsid w:val="00926A7D"/>
    <w:rsid w:val="009277EA"/>
    <w:rsid w:val="009301EF"/>
    <w:rsid w:val="009307A7"/>
    <w:rsid w:val="009309EC"/>
    <w:rsid w:val="00932784"/>
    <w:rsid w:val="00932BCC"/>
    <w:rsid w:val="00932DB3"/>
    <w:rsid w:val="00933059"/>
    <w:rsid w:val="009338D2"/>
    <w:rsid w:val="00934A55"/>
    <w:rsid w:val="00934A74"/>
    <w:rsid w:val="00935B0E"/>
    <w:rsid w:val="0093668E"/>
    <w:rsid w:val="009366E7"/>
    <w:rsid w:val="00936D36"/>
    <w:rsid w:val="00936D8A"/>
    <w:rsid w:val="00937334"/>
    <w:rsid w:val="0093774B"/>
    <w:rsid w:val="00937954"/>
    <w:rsid w:val="00940192"/>
    <w:rsid w:val="009407D6"/>
    <w:rsid w:val="00940A6A"/>
    <w:rsid w:val="0094179E"/>
    <w:rsid w:val="00941CEC"/>
    <w:rsid w:val="00942057"/>
    <w:rsid w:val="00942182"/>
    <w:rsid w:val="00942DEE"/>
    <w:rsid w:val="00943E07"/>
    <w:rsid w:val="009441F9"/>
    <w:rsid w:val="00944B9C"/>
    <w:rsid w:val="00944C87"/>
    <w:rsid w:val="00944C9D"/>
    <w:rsid w:val="00945AB4"/>
    <w:rsid w:val="00945D90"/>
    <w:rsid w:val="0094647A"/>
    <w:rsid w:val="00947472"/>
    <w:rsid w:val="009477B4"/>
    <w:rsid w:val="00947F4A"/>
    <w:rsid w:val="00947F5C"/>
    <w:rsid w:val="00950C53"/>
    <w:rsid w:val="00950DB5"/>
    <w:rsid w:val="00950E6E"/>
    <w:rsid w:val="00951013"/>
    <w:rsid w:val="00951511"/>
    <w:rsid w:val="00951A4A"/>
    <w:rsid w:val="00951B14"/>
    <w:rsid w:val="009520FC"/>
    <w:rsid w:val="0095257B"/>
    <w:rsid w:val="0095335B"/>
    <w:rsid w:val="00953C30"/>
    <w:rsid w:val="009544A5"/>
    <w:rsid w:val="00955182"/>
    <w:rsid w:val="00955C77"/>
    <w:rsid w:val="00956BD7"/>
    <w:rsid w:val="00956D7D"/>
    <w:rsid w:val="00957779"/>
    <w:rsid w:val="00960F61"/>
    <w:rsid w:val="00961BF3"/>
    <w:rsid w:val="0096219A"/>
    <w:rsid w:val="00962361"/>
    <w:rsid w:val="009624C0"/>
    <w:rsid w:val="00962E07"/>
    <w:rsid w:val="00963FAF"/>
    <w:rsid w:val="0096463A"/>
    <w:rsid w:val="0096471F"/>
    <w:rsid w:val="009647FF"/>
    <w:rsid w:val="009650F2"/>
    <w:rsid w:val="00965440"/>
    <w:rsid w:val="00965653"/>
    <w:rsid w:val="00965CED"/>
    <w:rsid w:val="0096715B"/>
    <w:rsid w:val="00967AF3"/>
    <w:rsid w:val="00967E48"/>
    <w:rsid w:val="00967E64"/>
    <w:rsid w:val="009705AB"/>
    <w:rsid w:val="00970CAB"/>
    <w:rsid w:val="00971117"/>
    <w:rsid w:val="00971D83"/>
    <w:rsid w:val="00972323"/>
    <w:rsid w:val="00972717"/>
    <w:rsid w:val="009738AF"/>
    <w:rsid w:val="009738ED"/>
    <w:rsid w:val="00973D12"/>
    <w:rsid w:val="00973E97"/>
    <w:rsid w:val="009745A5"/>
    <w:rsid w:val="00974ED5"/>
    <w:rsid w:val="009750C0"/>
    <w:rsid w:val="009759FA"/>
    <w:rsid w:val="00975B07"/>
    <w:rsid w:val="00977225"/>
    <w:rsid w:val="00977A65"/>
    <w:rsid w:val="0098001A"/>
    <w:rsid w:val="00980259"/>
    <w:rsid w:val="009807AD"/>
    <w:rsid w:val="00980EC1"/>
    <w:rsid w:val="00981170"/>
    <w:rsid w:val="0098148D"/>
    <w:rsid w:val="00981BE7"/>
    <w:rsid w:val="00981C5E"/>
    <w:rsid w:val="00982113"/>
    <w:rsid w:val="0098294F"/>
    <w:rsid w:val="00982D2C"/>
    <w:rsid w:val="0098417E"/>
    <w:rsid w:val="00984FEA"/>
    <w:rsid w:val="00985043"/>
    <w:rsid w:val="00985094"/>
    <w:rsid w:val="009850CF"/>
    <w:rsid w:val="0098536D"/>
    <w:rsid w:val="00985C6A"/>
    <w:rsid w:val="00986387"/>
    <w:rsid w:val="009869DE"/>
    <w:rsid w:val="00986ED2"/>
    <w:rsid w:val="009872CC"/>
    <w:rsid w:val="00987454"/>
    <w:rsid w:val="00990240"/>
    <w:rsid w:val="00990313"/>
    <w:rsid w:val="009906DF"/>
    <w:rsid w:val="00990A07"/>
    <w:rsid w:val="009910C5"/>
    <w:rsid w:val="009913C6"/>
    <w:rsid w:val="009914B4"/>
    <w:rsid w:val="009918F7"/>
    <w:rsid w:val="00991C59"/>
    <w:rsid w:val="00992149"/>
    <w:rsid w:val="009921C5"/>
    <w:rsid w:val="00993A0E"/>
    <w:rsid w:val="00994710"/>
    <w:rsid w:val="00994A76"/>
    <w:rsid w:val="00994D36"/>
    <w:rsid w:val="00994DC7"/>
    <w:rsid w:val="00994E7F"/>
    <w:rsid w:val="00996329"/>
    <w:rsid w:val="0099670B"/>
    <w:rsid w:val="0099693C"/>
    <w:rsid w:val="00996E02"/>
    <w:rsid w:val="00997157"/>
    <w:rsid w:val="009977FC"/>
    <w:rsid w:val="009A1BE2"/>
    <w:rsid w:val="009A26D4"/>
    <w:rsid w:val="009A2CE2"/>
    <w:rsid w:val="009A31AA"/>
    <w:rsid w:val="009A3C44"/>
    <w:rsid w:val="009A5CA6"/>
    <w:rsid w:val="009A636F"/>
    <w:rsid w:val="009A67A6"/>
    <w:rsid w:val="009A67CC"/>
    <w:rsid w:val="009A77D2"/>
    <w:rsid w:val="009A7E90"/>
    <w:rsid w:val="009A7F73"/>
    <w:rsid w:val="009B0255"/>
    <w:rsid w:val="009B06E5"/>
    <w:rsid w:val="009B0BA7"/>
    <w:rsid w:val="009B1CF6"/>
    <w:rsid w:val="009B1EF5"/>
    <w:rsid w:val="009B2A3C"/>
    <w:rsid w:val="009B2AED"/>
    <w:rsid w:val="009B2D89"/>
    <w:rsid w:val="009B34F8"/>
    <w:rsid w:val="009B38D7"/>
    <w:rsid w:val="009B3BF8"/>
    <w:rsid w:val="009B3C3D"/>
    <w:rsid w:val="009B4ED2"/>
    <w:rsid w:val="009B4EE3"/>
    <w:rsid w:val="009B5215"/>
    <w:rsid w:val="009B550C"/>
    <w:rsid w:val="009B57F1"/>
    <w:rsid w:val="009B5891"/>
    <w:rsid w:val="009B660A"/>
    <w:rsid w:val="009B7055"/>
    <w:rsid w:val="009B77C5"/>
    <w:rsid w:val="009C0A29"/>
    <w:rsid w:val="009C16AA"/>
    <w:rsid w:val="009C16AE"/>
    <w:rsid w:val="009C172D"/>
    <w:rsid w:val="009C17EC"/>
    <w:rsid w:val="009C199D"/>
    <w:rsid w:val="009C1D4F"/>
    <w:rsid w:val="009C1F0B"/>
    <w:rsid w:val="009C31F9"/>
    <w:rsid w:val="009C39FB"/>
    <w:rsid w:val="009C3A1D"/>
    <w:rsid w:val="009C3AA2"/>
    <w:rsid w:val="009C44C7"/>
    <w:rsid w:val="009C458F"/>
    <w:rsid w:val="009C5BEF"/>
    <w:rsid w:val="009C5C21"/>
    <w:rsid w:val="009C6375"/>
    <w:rsid w:val="009C6628"/>
    <w:rsid w:val="009C7452"/>
    <w:rsid w:val="009C77D7"/>
    <w:rsid w:val="009C7BF4"/>
    <w:rsid w:val="009C7F92"/>
    <w:rsid w:val="009D16AE"/>
    <w:rsid w:val="009D1E62"/>
    <w:rsid w:val="009D2705"/>
    <w:rsid w:val="009D27B4"/>
    <w:rsid w:val="009D2DE7"/>
    <w:rsid w:val="009D3260"/>
    <w:rsid w:val="009D45AA"/>
    <w:rsid w:val="009D4D95"/>
    <w:rsid w:val="009D56B8"/>
    <w:rsid w:val="009D5AF0"/>
    <w:rsid w:val="009D5D2A"/>
    <w:rsid w:val="009D5E55"/>
    <w:rsid w:val="009D62E7"/>
    <w:rsid w:val="009D66C9"/>
    <w:rsid w:val="009D6B47"/>
    <w:rsid w:val="009D73BF"/>
    <w:rsid w:val="009D764B"/>
    <w:rsid w:val="009D7C0C"/>
    <w:rsid w:val="009E08DE"/>
    <w:rsid w:val="009E1222"/>
    <w:rsid w:val="009E157A"/>
    <w:rsid w:val="009E1F2D"/>
    <w:rsid w:val="009E226B"/>
    <w:rsid w:val="009E2DD1"/>
    <w:rsid w:val="009E335D"/>
    <w:rsid w:val="009E3A66"/>
    <w:rsid w:val="009E3E8C"/>
    <w:rsid w:val="009E4061"/>
    <w:rsid w:val="009E5180"/>
    <w:rsid w:val="009E54E4"/>
    <w:rsid w:val="009E732A"/>
    <w:rsid w:val="009E7622"/>
    <w:rsid w:val="009E7D1D"/>
    <w:rsid w:val="009F06C8"/>
    <w:rsid w:val="009F0759"/>
    <w:rsid w:val="009F15E1"/>
    <w:rsid w:val="009F16AC"/>
    <w:rsid w:val="009F250A"/>
    <w:rsid w:val="009F2D9C"/>
    <w:rsid w:val="009F3A7B"/>
    <w:rsid w:val="009F3B9E"/>
    <w:rsid w:val="009F3F1D"/>
    <w:rsid w:val="009F4DF9"/>
    <w:rsid w:val="009F5927"/>
    <w:rsid w:val="009F6A9D"/>
    <w:rsid w:val="009F6CD2"/>
    <w:rsid w:val="009F7085"/>
    <w:rsid w:val="009F77E0"/>
    <w:rsid w:val="009F79D1"/>
    <w:rsid w:val="00A001D5"/>
    <w:rsid w:val="00A01AE5"/>
    <w:rsid w:val="00A01F2E"/>
    <w:rsid w:val="00A027CC"/>
    <w:rsid w:val="00A0291C"/>
    <w:rsid w:val="00A02F5A"/>
    <w:rsid w:val="00A035D0"/>
    <w:rsid w:val="00A03B31"/>
    <w:rsid w:val="00A03D25"/>
    <w:rsid w:val="00A03D5E"/>
    <w:rsid w:val="00A04324"/>
    <w:rsid w:val="00A043F0"/>
    <w:rsid w:val="00A047AF"/>
    <w:rsid w:val="00A0497C"/>
    <w:rsid w:val="00A0504D"/>
    <w:rsid w:val="00A055CC"/>
    <w:rsid w:val="00A05673"/>
    <w:rsid w:val="00A0567C"/>
    <w:rsid w:val="00A05BC4"/>
    <w:rsid w:val="00A066E7"/>
    <w:rsid w:val="00A06BE6"/>
    <w:rsid w:val="00A07018"/>
    <w:rsid w:val="00A0759D"/>
    <w:rsid w:val="00A078FB"/>
    <w:rsid w:val="00A07C13"/>
    <w:rsid w:val="00A07E96"/>
    <w:rsid w:val="00A1009A"/>
    <w:rsid w:val="00A1015E"/>
    <w:rsid w:val="00A1021F"/>
    <w:rsid w:val="00A10424"/>
    <w:rsid w:val="00A10547"/>
    <w:rsid w:val="00A107FC"/>
    <w:rsid w:val="00A126BC"/>
    <w:rsid w:val="00A131D2"/>
    <w:rsid w:val="00A13F17"/>
    <w:rsid w:val="00A13F5B"/>
    <w:rsid w:val="00A140BB"/>
    <w:rsid w:val="00A14D50"/>
    <w:rsid w:val="00A15835"/>
    <w:rsid w:val="00A15D0B"/>
    <w:rsid w:val="00A15F9F"/>
    <w:rsid w:val="00A16530"/>
    <w:rsid w:val="00A16A51"/>
    <w:rsid w:val="00A16CB7"/>
    <w:rsid w:val="00A1754A"/>
    <w:rsid w:val="00A17CF9"/>
    <w:rsid w:val="00A204E7"/>
    <w:rsid w:val="00A20748"/>
    <w:rsid w:val="00A227A1"/>
    <w:rsid w:val="00A22988"/>
    <w:rsid w:val="00A22C8D"/>
    <w:rsid w:val="00A2422B"/>
    <w:rsid w:val="00A24E3A"/>
    <w:rsid w:val="00A252C4"/>
    <w:rsid w:val="00A261E1"/>
    <w:rsid w:val="00A27067"/>
    <w:rsid w:val="00A27140"/>
    <w:rsid w:val="00A279BB"/>
    <w:rsid w:val="00A27C2B"/>
    <w:rsid w:val="00A27CF5"/>
    <w:rsid w:val="00A30701"/>
    <w:rsid w:val="00A317CB"/>
    <w:rsid w:val="00A31920"/>
    <w:rsid w:val="00A32886"/>
    <w:rsid w:val="00A3351D"/>
    <w:rsid w:val="00A3369C"/>
    <w:rsid w:val="00A34349"/>
    <w:rsid w:val="00A34696"/>
    <w:rsid w:val="00A34D05"/>
    <w:rsid w:val="00A35123"/>
    <w:rsid w:val="00A359DF"/>
    <w:rsid w:val="00A35FB1"/>
    <w:rsid w:val="00A35FBE"/>
    <w:rsid w:val="00A36C76"/>
    <w:rsid w:val="00A37301"/>
    <w:rsid w:val="00A379C2"/>
    <w:rsid w:val="00A379F2"/>
    <w:rsid w:val="00A37B55"/>
    <w:rsid w:val="00A37BB1"/>
    <w:rsid w:val="00A37E03"/>
    <w:rsid w:val="00A410D6"/>
    <w:rsid w:val="00A41666"/>
    <w:rsid w:val="00A41CFB"/>
    <w:rsid w:val="00A42C29"/>
    <w:rsid w:val="00A43655"/>
    <w:rsid w:val="00A43B7A"/>
    <w:rsid w:val="00A4473C"/>
    <w:rsid w:val="00A4617A"/>
    <w:rsid w:val="00A500A0"/>
    <w:rsid w:val="00A50657"/>
    <w:rsid w:val="00A510AA"/>
    <w:rsid w:val="00A5148E"/>
    <w:rsid w:val="00A51A61"/>
    <w:rsid w:val="00A51DFF"/>
    <w:rsid w:val="00A5201D"/>
    <w:rsid w:val="00A5315D"/>
    <w:rsid w:val="00A53181"/>
    <w:rsid w:val="00A531C3"/>
    <w:rsid w:val="00A53B94"/>
    <w:rsid w:val="00A53C3D"/>
    <w:rsid w:val="00A53E77"/>
    <w:rsid w:val="00A540C6"/>
    <w:rsid w:val="00A54CF5"/>
    <w:rsid w:val="00A551B1"/>
    <w:rsid w:val="00A56101"/>
    <w:rsid w:val="00A56A84"/>
    <w:rsid w:val="00A5717D"/>
    <w:rsid w:val="00A57523"/>
    <w:rsid w:val="00A61221"/>
    <w:rsid w:val="00A613DE"/>
    <w:rsid w:val="00A61585"/>
    <w:rsid w:val="00A61699"/>
    <w:rsid w:val="00A61C62"/>
    <w:rsid w:val="00A62A35"/>
    <w:rsid w:val="00A6333C"/>
    <w:rsid w:val="00A63399"/>
    <w:rsid w:val="00A63D59"/>
    <w:rsid w:val="00A63F13"/>
    <w:rsid w:val="00A65D70"/>
    <w:rsid w:val="00A66AE3"/>
    <w:rsid w:val="00A70069"/>
    <w:rsid w:val="00A701DA"/>
    <w:rsid w:val="00A70600"/>
    <w:rsid w:val="00A70A02"/>
    <w:rsid w:val="00A70D26"/>
    <w:rsid w:val="00A72444"/>
    <w:rsid w:val="00A724DF"/>
    <w:rsid w:val="00A729F1"/>
    <w:rsid w:val="00A72B2B"/>
    <w:rsid w:val="00A735BB"/>
    <w:rsid w:val="00A73775"/>
    <w:rsid w:val="00A73C3A"/>
    <w:rsid w:val="00A74656"/>
    <w:rsid w:val="00A74B0E"/>
    <w:rsid w:val="00A74D20"/>
    <w:rsid w:val="00A7515E"/>
    <w:rsid w:val="00A75BA6"/>
    <w:rsid w:val="00A75EE3"/>
    <w:rsid w:val="00A7612E"/>
    <w:rsid w:val="00A762AC"/>
    <w:rsid w:val="00A7634F"/>
    <w:rsid w:val="00A76B6C"/>
    <w:rsid w:val="00A77737"/>
    <w:rsid w:val="00A800B5"/>
    <w:rsid w:val="00A8099C"/>
    <w:rsid w:val="00A80CC7"/>
    <w:rsid w:val="00A80D2C"/>
    <w:rsid w:val="00A813F4"/>
    <w:rsid w:val="00A82306"/>
    <w:rsid w:val="00A82583"/>
    <w:rsid w:val="00A826AE"/>
    <w:rsid w:val="00A82814"/>
    <w:rsid w:val="00A829EA"/>
    <w:rsid w:val="00A82FB4"/>
    <w:rsid w:val="00A83600"/>
    <w:rsid w:val="00A83FD5"/>
    <w:rsid w:val="00A850C8"/>
    <w:rsid w:val="00A850FE"/>
    <w:rsid w:val="00A851DD"/>
    <w:rsid w:val="00A854D9"/>
    <w:rsid w:val="00A85D11"/>
    <w:rsid w:val="00A85DB7"/>
    <w:rsid w:val="00A861EA"/>
    <w:rsid w:val="00A86E26"/>
    <w:rsid w:val="00A87927"/>
    <w:rsid w:val="00A87982"/>
    <w:rsid w:val="00A87D74"/>
    <w:rsid w:val="00A90F7D"/>
    <w:rsid w:val="00A91486"/>
    <w:rsid w:val="00A916ED"/>
    <w:rsid w:val="00A918DA"/>
    <w:rsid w:val="00A91E2C"/>
    <w:rsid w:val="00A91F2A"/>
    <w:rsid w:val="00A92561"/>
    <w:rsid w:val="00A927BE"/>
    <w:rsid w:val="00A929ED"/>
    <w:rsid w:val="00A92A86"/>
    <w:rsid w:val="00A942E6"/>
    <w:rsid w:val="00A94502"/>
    <w:rsid w:val="00A94CFA"/>
    <w:rsid w:val="00A95605"/>
    <w:rsid w:val="00A968DE"/>
    <w:rsid w:val="00A96E04"/>
    <w:rsid w:val="00A96FBF"/>
    <w:rsid w:val="00A97103"/>
    <w:rsid w:val="00AA02A6"/>
    <w:rsid w:val="00AA091C"/>
    <w:rsid w:val="00AA0A68"/>
    <w:rsid w:val="00AA127C"/>
    <w:rsid w:val="00AA1A7B"/>
    <w:rsid w:val="00AA1EDA"/>
    <w:rsid w:val="00AA26F6"/>
    <w:rsid w:val="00AA27F7"/>
    <w:rsid w:val="00AA2967"/>
    <w:rsid w:val="00AA3DB8"/>
    <w:rsid w:val="00AA3F39"/>
    <w:rsid w:val="00AA4233"/>
    <w:rsid w:val="00AA5067"/>
    <w:rsid w:val="00AA511F"/>
    <w:rsid w:val="00AA791E"/>
    <w:rsid w:val="00AB040C"/>
    <w:rsid w:val="00AB0A0E"/>
    <w:rsid w:val="00AB25F3"/>
    <w:rsid w:val="00AB46D7"/>
    <w:rsid w:val="00AB4AEF"/>
    <w:rsid w:val="00AB5504"/>
    <w:rsid w:val="00AB5A28"/>
    <w:rsid w:val="00AB632F"/>
    <w:rsid w:val="00AB65A5"/>
    <w:rsid w:val="00AB69BC"/>
    <w:rsid w:val="00AB700A"/>
    <w:rsid w:val="00AB7116"/>
    <w:rsid w:val="00AC0556"/>
    <w:rsid w:val="00AC0749"/>
    <w:rsid w:val="00AC1332"/>
    <w:rsid w:val="00AC2AC3"/>
    <w:rsid w:val="00AC34DD"/>
    <w:rsid w:val="00AC41B4"/>
    <w:rsid w:val="00AC48F6"/>
    <w:rsid w:val="00AC4947"/>
    <w:rsid w:val="00AC59DF"/>
    <w:rsid w:val="00AC5F64"/>
    <w:rsid w:val="00AC6493"/>
    <w:rsid w:val="00AC6C62"/>
    <w:rsid w:val="00AC7407"/>
    <w:rsid w:val="00AC7C2E"/>
    <w:rsid w:val="00AC7E00"/>
    <w:rsid w:val="00AD1BB5"/>
    <w:rsid w:val="00AD21A3"/>
    <w:rsid w:val="00AD2463"/>
    <w:rsid w:val="00AD2985"/>
    <w:rsid w:val="00AD318F"/>
    <w:rsid w:val="00AD4948"/>
    <w:rsid w:val="00AD557B"/>
    <w:rsid w:val="00AD56C0"/>
    <w:rsid w:val="00AD7416"/>
    <w:rsid w:val="00AD7640"/>
    <w:rsid w:val="00AD76C6"/>
    <w:rsid w:val="00AD7817"/>
    <w:rsid w:val="00AD7E28"/>
    <w:rsid w:val="00AE1450"/>
    <w:rsid w:val="00AE180A"/>
    <w:rsid w:val="00AE1DB7"/>
    <w:rsid w:val="00AE2050"/>
    <w:rsid w:val="00AE39FC"/>
    <w:rsid w:val="00AE4728"/>
    <w:rsid w:val="00AE57B4"/>
    <w:rsid w:val="00AE6CA7"/>
    <w:rsid w:val="00AF031C"/>
    <w:rsid w:val="00AF045B"/>
    <w:rsid w:val="00AF05AA"/>
    <w:rsid w:val="00AF06C7"/>
    <w:rsid w:val="00AF1041"/>
    <w:rsid w:val="00AF137B"/>
    <w:rsid w:val="00AF1543"/>
    <w:rsid w:val="00AF1C18"/>
    <w:rsid w:val="00AF211E"/>
    <w:rsid w:val="00AF2AA9"/>
    <w:rsid w:val="00AF2D52"/>
    <w:rsid w:val="00AF34F6"/>
    <w:rsid w:val="00AF3625"/>
    <w:rsid w:val="00AF5538"/>
    <w:rsid w:val="00AF56C4"/>
    <w:rsid w:val="00AF66F9"/>
    <w:rsid w:val="00AF6745"/>
    <w:rsid w:val="00AF6C23"/>
    <w:rsid w:val="00AF7568"/>
    <w:rsid w:val="00AF7F1B"/>
    <w:rsid w:val="00B001D4"/>
    <w:rsid w:val="00B00B35"/>
    <w:rsid w:val="00B00F8B"/>
    <w:rsid w:val="00B00FC9"/>
    <w:rsid w:val="00B01571"/>
    <w:rsid w:val="00B01827"/>
    <w:rsid w:val="00B01960"/>
    <w:rsid w:val="00B02538"/>
    <w:rsid w:val="00B02596"/>
    <w:rsid w:val="00B02D9C"/>
    <w:rsid w:val="00B03D7F"/>
    <w:rsid w:val="00B03E5E"/>
    <w:rsid w:val="00B03F5D"/>
    <w:rsid w:val="00B04422"/>
    <w:rsid w:val="00B05046"/>
    <w:rsid w:val="00B0569F"/>
    <w:rsid w:val="00B05D6D"/>
    <w:rsid w:val="00B05E0A"/>
    <w:rsid w:val="00B05F4F"/>
    <w:rsid w:val="00B064DF"/>
    <w:rsid w:val="00B06DA2"/>
    <w:rsid w:val="00B070BE"/>
    <w:rsid w:val="00B07591"/>
    <w:rsid w:val="00B076E3"/>
    <w:rsid w:val="00B10C81"/>
    <w:rsid w:val="00B10DEA"/>
    <w:rsid w:val="00B10F0E"/>
    <w:rsid w:val="00B10F57"/>
    <w:rsid w:val="00B1103C"/>
    <w:rsid w:val="00B1110F"/>
    <w:rsid w:val="00B118D2"/>
    <w:rsid w:val="00B1211B"/>
    <w:rsid w:val="00B12745"/>
    <w:rsid w:val="00B12B7F"/>
    <w:rsid w:val="00B13C95"/>
    <w:rsid w:val="00B143B1"/>
    <w:rsid w:val="00B14650"/>
    <w:rsid w:val="00B147E9"/>
    <w:rsid w:val="00B14C4A"/>
    <w:rsid w:val="00B15339"/>
    <w:rsid w:val="00B156E7"/>
    <w:rsid w:val="00B15C49"/>
    <w:rsid w:val="00B1658A"/>
    <w:rsid w:val="00B166A6"/>
    <w:rsid w:val="00B16AB1"/>
    <w:rsid w:val="00B20B5E"/>
    <w:rsid w:val="00B21A71"/>
    <w:rsid w:val="00B21E45"/>
    <w:rsid w:val="00B21F9A"/>
    <w:rsid w:val="00B220E9"/>
    <w:rsid w:val="00B23781"/>
    <w:rsid w:val="00B25570"/>
    <w:rsid w:val="00B25A3E"/>
    <w:rsid w:val="00B26973"/>
    <w:rsid w:val="00B26AF2"/>
    <w:rsid w:val="00B27697"/>
    <w:rsid w:val="00B27BB2"/>
    <w:rsid w:val="00B302CB"/>
    <w:rsid w:val="00B307EB"/>
    <w:rsid w:val="00B30AC6"/>
    <w:rsid w:val="00B31797"/>
    <w:rsid w:val="00B31BC3"/>
    <w:rsid w:val="00B31CA9"/>
    <w:rsid w:val="00B32064"/>
    <w:rsid w:val="00B322A4"/>
    <w:rsid w:val="00B330B1"/>
    <w:rsid w:val="00B332C7"/>
    <w:rsid w:val="00B334F5"/>
    <w:rsid w:val="00B33D13"/>
    <w:rsid w:val="00B33DFD"/>
    <w:rsid w:val="00B33E0D"/>
    <w:rsid w:val="00B34319"/>
    <w:rsid w:val="00B34E38"/>
    <w:rsid w:val="00B35CCE"/>
    <w:rsid w:val="00B35D33"/>
    <w:rsid w:val="00B35F67"/>
    <w:rsid w:val="00B36222"/>
    <w:rsid w:val="00B36B3A"/>
    <w:rsid w:val="00B374CE"/>
    <w:rsid w:val="00B37786"/>
    <w:rsid w:val="00B37E74"/>
    <w:rsid w:val="00B37FB4"/>
    <w:rsid w:val="00B40111"/>
    <w:rsid w:val="00B40149"/>
    <w:rsid w:val="00B407F1"/>
    <w:rsid w:val="00B409DA"/>
    <w:rsid w:val="00B4147F"/>
    <w:rsid w:val="00B41583"/>
    <w:rsid w:val="00B41991"/>
    <w:rsid w:val="00B41B37"/>
    <w:rsid w:val="00B41FA8"/>
    <w:rsid w:val="00B424FB"/>
    <w:rsid w:val="00B435A8"/>
    <w:rsid w:val="00B439E3"/>
    <w:rsid w:val="00B455BD"/>
    <w:rsid w:val="00B45F5C"/>
    <w:rsid w:val="00B46455"/>
    <w:rsid w:val="00B46C4B"/>
    <w:rsid w:val="00B5015E"/>
    <w:rsid w:val="00B5017A"/>
    <w:rsid w:val="00B518E0"/>
    <w:rsid w:val="00B51A1C"/>
    <w:rsid w:val="00B51E92"/>
    <w:rsid w:val="00B5237A"/>
    <w:rsid w:val="00B525A6"/>
    <w:rsid w:val="00B5325E"/>
    <w:rsid w:val="00B53776"/>
    <w:rsid w:val="00B53F69"/>
    <w:rsid w:val="00B540B4"/>
    <w:rsid w:val="00B54DB2"/>
    <w:rsid w:val="00B553EB"/>
    <w:rsid w:val="00B5547A"/>
    <w:rsid w:val="00B557C1"/>
    <w:rsid w:val="00B563EF"/>
    <w:rsid w:val="00B56578"/>
    <w:rsid w:val="00B567EF"/>
    <w:rsid w:val="00B5765C"/>
    <w:rsid w:val="00B604EA"/>
    <w:rsid w:val="00B606FB"/>
    <w:rsid w:val="00B61083"/>
    <w:rsid w:val="00B61837"/>
    <w:rsid w:val="00B619E8"/>
    <w:rsid w:val="00B61E0C"/>
    <w:rsid w:val="00B62151"/>
    <w:rsid w:val="00B621B1"/>
    <w:rsid w:val="00B626C3"/>
    <w:rsid w:val="00B62D98"/>
    <w:rsid w:val="00B633EE"/>
    <w:rsid w:val="00B63A06"/>
    <w:rsid w:val="00B63B16"/>
    <w:rsid w:val="00B64166"/>
    <w:rsid w:val="00B6424B"/>
    <w:rsid w:val="00B649C8"/>
    <w:rsid w:val="00B64C8A"/>
    <w:rsid w:val="00B67E2C"/>
    <w:rsid w:val="00B7022B"/>
    <w:rsid w:val="00B709FF"/>
    <w:rsid w:val="00B712FD"/>
    <w:rsid w:val="00B7202E"/>
    <w:rsid w:val="00B72054"/>
    <w:rsid w:val="00B725CF"/>
    <w:rsid w:val="00B7267B"/>
    <w:rsid w:val="00B72862"/>
    <w:rsid w:val="00B73217"/>
    <w:rsid w:val="00B73CDF"/>
    <w:rsid w:val="00B74B19"/>
    <w:rsid w:val="00B74B23"/>
    <w:rsid w:val="00B763A2"/>
    <w:rsid w:val="00B7682E"/>
    <w:rsid w:val="00B76832"/>
    <w:rsid w:val="00B7697A"/>
    <w:rsid w:val="00B770F1"/>
    <w:rsid w:val="00B80361"/>
    <w:rsid w:val="00B8098B"/>
    <w:rsid w:val="00B81D5A"/>
    <w:rsid w:val="00B82AF0"/>
    <w:rsid w:val="00B82FA8"/>
    <w:rsid w:val="00B83E35"/>
    <w:rsid w:val="00B84190"/>
    <w:rsid w:val="00B843B0"/>
    <w:rsid w:val="00B84B01"/>
    <w:rsid w:val="00B8557F"/>
    <w:rsid w:val="00B857B9"/>
    <w:rsid w:val="00B85C1B"/>
    <w:rsid w:val="00B8633D"/>
    <w:rsid w:val="00B86E49"/>
    <w:rsid w:val="00B86F1B"/>
    <w:rsid w:val="00B8719A"/>
    <w:rsid w:val="00B9006A"/>
    <w:rsid w:val="00B901C2"/>
    <w:rsid w:val="00B90909"/>
    <w:rsid w:val="00B90D92"/>
    <w:rsid w:val="00B91332"/>
    <w:rsid w:val="00B92184"/>
    <w:rsid w:val="00B92411"/>
    <w:rsid w:val="00B9276D"/>
    <w:rsid w:val="00B93224"/>
    <w:rsid w:val="00B93292"/>
    <w:rsid w:val="00B93DA3"/>
    <w:rsid w:val="00B94BCE"/>
    <w:rsid w:val="00B9546E"/>
    <w:rsid w:val="00B959B4"/>
    <w:rsid w:val="00B95C3F"/>
    <w:rsid w:val="00B9615A"/>
    <w:rsid w:val="00B96161"/>
    <w:rsid w:val="00B968EC"/>
    <w:rsid w:val="00B96BBD"/>
    <w:rsid w:val="00B9709E"/>
    <w:rsid w:val="00B973ED"/>
    <w:rsid w:val="00B97C42"/>
    <w:rsid w:val="00B97EEB"/>
    <w:rsid w:val="00BA0511"/>
    <w:rsid w:val="00BA0709"/>
    <w:rsid w:val="00BA0BFE"/>
    <w:rsid w:val="00BA1142"/>
    <w:rsid w:val="00BA12A2"/>
    <w:rsid w:val="00BA138A"/>
    <w:rsid w:val="00BA1466"/>
    <w:rsid w:val="00BA1BA2"/>
    <w:rsid w:val="00BA1BC4"/>
    <w:rsid w:val="00BA1DCF"/>
    <w:rsid w:val="00BA20D6"/>
    <w:rsid w:val="00BA226F"/>
    <w:rsid w:val="00BA2A4B"/>
    <w:rsid w:val="00BA3360"/>
    <w:rsid w:val="00BA377F"/>
    <w:rsid w:val="00BA37DF"/>
    <w:rsid w:val="00BA3D86"/>
    <w:rsid w:val="00BA4069"/>
    <w:rsid w:val="00BA5CE4"/>
    <w:rsid w:val="00BA5FC1"/>
    <w:rsid w:val="00BA67D8"/>
    <w:rsid w:val="00BA6E00"/>
    <w:rsid w:val="00BA79A0"/>
    <w:rsid w:val="00BB0006"/>
    <w:rsid w:val="00BB0222"/>
    <w:rsid w:val="00BB04D1"/>
    <w:rsid w:val="00BB0627"/>
    <w:rsid w:val="00BB0BEF"/>
    <w:rsid w:val="00BB1447"/>
    <w:rsid w:val="00BB1A5D"/>
    <w:rsid w:val="00BB2279"/>
    <w:rsid w:val="00BB28E7"/>
    <w:rsid w:val="00BB3183"/>
    <w:rsid w:val="00BB3587"/>
    <w:rsid w:val="00BB387E"/>
    <w:rsid w:val="00BB396F"/>
    <w:rsid w:val="00BB3991"/>
    <w:rsid w:val="00BB3C7F"/>
    <w:rsid w:val="00BB4265"/>
    <w:rsid w:val="00BB4766"/>
    <w:rsid w:val="00BB5BB8"/>
    <w:rsid w:val="00BB6406"/>
    <w:rsid w:val="00BB695E"/>
    <w:rsid w:val="00BB79B5"/>
    <w:rsid w:val="00BB7B42"/>
    <w:rsid w:val="00BC069F"/>
    <w:rsid w:val="00BC0A98"/>
    <w:rsid w:val="00BC0FB8"/>
    <w:rsid w:val="00BC14F6"/>
    <w:rsid w:val="00BC217E"/>
    <w:rsid w:val="00BC22D0"/>
    <w:rsid w:val="00BC28C4"/>
    <w:rsid w:val="00BC3542"/>
    <w:rsid w:val="00BC3ADE"/>
    <w:rsid w:val="00BC3EF0"/>
    <w:rsid w:val="00BC4929"/>
    <w:rsid w:val="00BC4CF8"/>
    <w:rsid w:val="00BC508B"/>
    <w:rsid w:val="00BC5224"/>
    <w:rsid w:val="00BC53CF"/>
    <w:rsid w:val="00BC5699"/>
    <w:rsid w:val="00BC5FFC"/>
    <w:rsid w:val="00BC6D7C"/>
    <w:rsid w:val="00BC74B5"/>
    <w:rsid w:val="00BC74B8"/>
    <w:rsid w:val="00BD0014"/>
    <w:rsid w:val="00BD034F"/>
    <w:rsid w:val="00BD0965"/>
    <w:rsid w:val="00BD0B6D"/>
    <w:rsid w:val="00BD0CE7"/>
    <w:rsid w:val="00BD0E68"/>
    <w:rsid w:val="00BD1B5E"/>
    <w:rsid w:val="00BD1E51"/>
    <w:rsid w:val="00BD22D9"/>
    <w:rsid w:val="00BD2CC5"/>
    <w:rsid w:val="00BD2FAE"/>
    <w:rsid w:val="00BD3433"/>
    <w:rsid w:val="00BD37D2"/>
    <w:rsid w:val="00BD3AA2"/>
    <w:rsid w:val="00BD4776"/>
    <w:rsid w:val="00BD575A"/>
    <w:rsid w:val="00BD6056"/>
    <w:rsid w:val="00BD6079"/>
    <w:rsid w:val="00BD6722"/>
    <w:rsid w:val="00BD752F"/>
    <w:rsid w:val="00BD756B"/>
    <w:rsid w:val="00BD7EA6"/>
    <w:rsid w:val="00BE0294"/>
    <w:rsid w:val="00BE1856"/>
    <w:rsid w:val="00BE2372"/>
    <w:rsid w:val="00BE268F"/>
    <w:rsid w:val="00BE3E10"/>
    <w:rsid w:val="00BE3E6C"/>
    <w:rsid w:val="00BE4168"/>
    <w:rsid w:val="00BE455B"/>
    <w:rsid w:val="00BE4AF1"/>
    <w:rsid w:val="00BE4B47"/>
    <w:rsid w:val="00BE5D4F"/>
    <w:rsid w:val="00BE640F"/>
    <w:rsid w:val="00BF0070"/>
    <w:rsid w:val="00BF012E"/>
    <w:rsid w:val="00BF01C7"/>
    <w:rsid w:val="00BF0EC3"/>
    <w:rsid w:val="00BF107D"/>
    <w:rsid w:val="00BF122D"/>
    <w:rsid w:val="00BF141D"/>
    <w:rsid w:val="00BF1684"/>
    <w:rsid w:val="00BF19D2"/>
    <w:rsid w:val="00BF3094"/>
    <w:rsid w:val="00BF31F0"/>
    <w:rsid w:val="00BF3E82"/>
    <w:rsid w:val="00BF3F4C"/>
    <w:rsid w:val="00BF4C5C"/>
    <w:rsid w:val="00BF4F87"/>
    <w:rsid w:val="00BF5F4B"/>
    <w:rsid w:val="00BF685D"/>
    <w:rsid w:val="00BF76CB"/>
    <w:rsid w:val="00BF7859"/>
    <w:rsid w:val="00BF7F71"/>
    <w:rsid w:val="00C0002F"/>
    <w:rsid w:val="00C000CE"/>
    <w:rsid w:val="00C00AF7"/>
    <w:rsid w:val="00C011A5"/>
    <w:rsid w:val="00C017D1"/>
    <w:rsid w:val="00C0198F"/>
    <w:rsid w:val="00C02CF2"/>
    <w:rsid w:val="00C03994"/>
    <w:rsid w:val="00C039AA"/>
    <w:rsid w:val="00C039EB"/>
    <w:rsid w:val="00C03C54"/>
    <w:rsid w:val="00C03D31"/>
    <w:rsid w:val="00C046EA"/>
    <w:rsid w:val="00C0479A"/>
    <w:rsid w:val="00C04B07"/>
    <w:rsid w:val="00C04B25"/>
    <w:rsid w:val="00C05067"/>
    <w:rsid w:val="00C051C8"/>
    <w:rsid w:val="00C0570D"/>
    <w:rsid w:val="00C05AD9"/>
    <w:rsid w:val="00C05FCF"/>
    <w:rsid w:val="00C061DA"/>
    <w:rsid w:val="00C068B9"/>
    <w:rsid w:val="00C07C1B"/>
    <w:rsid w:val="00C101D5"/>
    <w:rsid w:val="00C10320"/>
    <w:rsid w:val="00C108B4"/>
    <w:rsid w:val="00C10AB3"/>
    <w:rsid w:val="00C10FF0"/>
    <w:rsid w:val="00C110A9"/>
    <w:rsid w:val="00C11950"/>
    <w:rsid w:val="00C124C7"/>
    <w:rsid w:val="00C1276F"/>
    <w:rsid w:val="00C12A6C"/>
    <w:rsid w:val="00C12B07"/>
    <w:rsid w:val="00C12E94"/>
    <w:rsid w:val="00C12EBA"/>
    <w:rsid w:val="00C12FCF"/>
    <w:rsid w:val="00C130C4"/>
    <w:rsid w:val="00C13BF5"/>
    <w:rsid w:val="00C13D17"/>
    <w:rsid w:val="00C142AC"/>
    <w:rsid w:val="00C157D8"/>
    <w:rsid w:val="00C1635A"/>
    <w:rsid w:val="00C169EE"/>
    <w:rsid w:val="00C17179"/>
    <w:rsid w:val="00C1732B"/>
    <w:rsid w:val="00C17422"/>
    <w:rsid w:val="00C17AAF"/>
    <w:rsid w:val="00C17C56"/>
    <w:rsid w:val="00C17D82"/>
    <w:rsid w:val="00C2040D"/>
    <w:rsid w:val="00C20B13"/>
    <w:rsid w:val="00C21160"/>
    <w:rsid w:val="00C211D7"/>
    <w:rsid w:val="00C21360"/>
    <w:rsid w:val="00C21FD4"/>
    <w:rsid w:val="00C22961"/>
    <w:rsid w:val="00C2356C"/>
    <w:rsid w:val="00C2491E"/>
    <w:rsid w:val="00C24D1F"/>
    <w:rsid w:val="00C252A5"/>
    <w:rsid w:val="00C25FF9"/>
    <w:rsid w:val="00C26BC5"/>
    <w:rsid w:val="00C3027F"/>
    <w:rsid w:val="00C308EC"/>
    <w:rsid w:val="00C32453"/>
    <w:rsid w:val="00C32513"/>
    <w:rsid w:val="00C325FB"/>
    <w:rsid w:val="00C3367B"/>
    <w:rsid w:val="00C3372D"/>
    <w:rsid w:val="00C3403D"/>
    <w:rsid w:val="00C342E3"/>
    <w:rsid w:val="00C345AD"/>
    <w:rsid w:val="00C360EC"/>
    <w:rsid w:val="00C36F46"/>
    <w:rsid w:val="00C37635"/>
    <w:rsid w:val="00C40771"/>
    <w:rsid w:val="00C40C45"/>
    <w:rsid w:val="00C40F4A"/>
    <w:rsid w:val="00C423D6"/>
    <w:rsid w:val="00C42BF1"/>
    <w:rsid w:val="00C430ED"/>
    <w:rsid w:val="00C43991"/>
    <w:rsid w:val="00C4413F"/>
    <w:rsid w:val="00C455F2"/>
    <w:rsid w:val="00C45E55"/>
    <w:rsid w:val="00C461B5"/>
    <w:rsid w:val="00C46300"/>
    <w:rsid w:val="00C47A90"/>
    <w:rsid w:val="00C47D96"/>
    <w:rsid w:val="00C5013A"/>
    <w:rsid w:val="00C507C8"/>
    <w:rsid w:val="00C5087A"/>
    <w:rsid w:val="00C51864"/>
    <w:rsid w:val="00C51986"/>
    <w:rsid w:val="00C51BDF"/>
    <w:rsid w:val="00C51DCC"/>
    <w:rsid w:val="00C524C2"/>
    <w:rsid w:val="00C52ED5"/>
    <w:rsid w:val="00C53B80"/>
    <w:rsid w:val="00C541A4"/>
    <w:rsid w:val="00C54201"/>
    <w:rsid w:val="00C54368"/>
    <w:rsid w:val="00C543C6"/>
    <w:rsid w:val="00C54450"/>
    <w:rsid w:val="00C54B32"/>
    <w:rsid w:val="00C54C56"/>
    <w:rsid w:val="00C55ECC"/>
    <w:rsid w:val="00C56753"/>
    <w:rsid w:val="00C56EA0"/>
    <w:rsid w:val="00C57174"/>
    <w:rsid w:val="00C57291"/>
    <w:rsid w:val="00C57DF3"/>
    <w:rsid w:val="00C60347"/>
    <w:rsid w:val="00C60AC0"/>
    <w:rsid w:val="00C60BE7"/>
    <w:rsid w:val="00C61B07"/>
    <w:rsid w:val="00C61BC7"/>
    <w:rsid w:val="00C623C4"/>
    <w:rsid w:val="00C62D24"/>
    <w:rsid w:val="00C645C1"/>
    <w:rsid w:val="00C649C5"/>
    <w:rsid w:val="00C65D88"/>
    <w:rsid w:val="00C65E0C"/>
    <w:rsid w:val="00C6685B"/>
    <w:rsid w:val="00C668C9"/>
    <w:rsid w:val="00C66D38"/>
    <w:rsid w:val="00C673A7"/>
    <w:rsid w:val="00C6783F"/>
    <w:rsid w:val="00C704CA"/>
    <w:rsid w:val="00C70B4D"/>
    <w:rsid w:val="00C71911"/>
    <w:rsid w:val="00C73140"/>
    <w:rsid w:val="00C73855"/>
    <w:rsid w:val="00C73ABE"/>
    <w:rsid w:val="00C74260"/>
    <w:rsid w:val="00C74263"/>
    <w:rsid w:val="00C74367"/>
    <w:rsid w:val="00C7488E"/>
    <w:rsid w:val="00C74ACB"/>
    <w:rsid w:val="00C74DA6"/>
    <w:rsid w:val="00C750E2"/>
    <w:rsid w:val="00C753C2"/>
    <w:rsid w:val="00C7594F"/>
    <w:rsid w:val="00C75EC7"/>
    <w:rsid w:val="00C76476"/>
    <w:rsid w:val="00C76AC7"/>
    <w:rsid w:val="00C774E0"/>
    <w:rsid w:val="00C77643"/>
    <w:rsid w:val="00C77EAD"/>
    <w:rsid w:val="00C8086A"/>
    <w:rsid w:val="00C80B68"/>
    <w:rsid w:val="00C81131"/>
    <w:rsid w:val="00C811D2"/>
    <w:rsid w:val="00C81896"/>
    <w:rsid w:val="00C81DE9"/>
    <w:rsid w:val="00C82454"/>
    <w:rsid w:val="00C827D9"/>
    <w:rsid w:val="00C82C83"/>
    <w:rsid w:val="00C82D95"/>
    <w:rsid w:val="00C82FED"/>
    <w:rsid w:val="00C830D9"/>
    <w:rsid w:val="00C84193"/>
    <w:rsid w:val="00C850AF"/>
    <w:rsid w:val="00C854AC"/>
    <w:rsid w:val="00C854E5"/>
    <w:rsid w:val="00C8595F"/>
    <w:rsid w:val="00C8642E"/>
    <w:rsid w:val="00C876F8"/>
    <w:rsid w:val="00C87DC8"/>
    <w:rsid w:val="00C9022E"/>
    <w:rsid w:val="00C90F90"/>
    <w:rsid w:val="00C9145D"/>
    <w:rsid w:val="00C91540"/>
    <w:rsid w:val="00C92701"/>
    <w:rsid w:val="00C92C33"/>
    <w:rsid w:val="00C9327D"/>
    <w:rsid w:val="00C93682"/>
    <w:rsid w:val="00C943E1"/>
    <w:rsid w:val="00C9524F"/>
    <w:rsid w:val="00C95257"/>
    <w:rsid w:val="00C964AD"/>
    <w:rsid w:val="00C971AF"/>
    <w:rsid w:val="00C97827"/>
    <w:rsid w:val="00C97964"/>
    <w:rsid w:val="00C97C71"/>
    <w:rsid w:val="00CA06D3"/>
    <w:rsid w:val="00CA0C22"/>
    <w:rsid w:val="00CA0D1A"/>
    <w:rsid w:val="00CA0D96"/>
    <w:rsid w:val="00CA1316"/>
    <w:rsid w:val="00CA21B4"/>
    <w:rsid w:val="00CA2D30"/>
    <w:rsid w:val="00CA2D7D"/>
    <w:rsid w:val="00CA4367"/>
    <w:rsid w:val="00CA48F1"/>
    <w:rsid w:val="00CA4D8F"/>
    <w:rsid w:val="00CA4E70"/>
    <w:rsid w:val="00CA5371"/>
    <w:rsid w:val="00CA5B43"/>
    <w:rsid w:val="00CA5CD2"/>
    <w:rsid w:val="00CA6606"/>
    <w:rsid w:val="00CA6F7D"/>
    <w:rsid w:val="00CA7122"/>
    <w:rsid w:val="00CB0596"/>
    <w:rsid w:val="00CB0E7C"/>
    <w:rsid w:val="00CB186E"/>
    <w:rsid w:val="00CB22F6"/>
    <w:rsid w:val="00CB2B5B"/>
    <w:rsid w:val="00CB2BC0"/>
    <w:rsid w:val="00CB3EA1"/>
    <w:rsid w:val="00CB4045"/>
    <w:rsid w:val="00CB44BA"/>
    <w:rsid w:val="00CB46CF"/>
    <w:rsid w:val="00CB479D"/>
    <w:rsid w:val="00CB47E9"/>
    <w:rsid w:val="00CB52A3"/>
    <w:rsid w:val="00CB567A"/>
    <w:rsid w:val="00CB5899"/>
    <w:rsid w:val="00CB6298"/>
    <w:rsid w:val="00CB6663"/>
    <w:rsid w:val="00CB67FB"/>
    <w:rsid w:val="00CB6C54"/>
    <w:rsid w:val="00CB7A12"/>
    <w:rsid w:val="00CB7BDC"/>
    <w:rsid w:val="00CB7CFC"/>
    <w:rsid w:val="00CC00D8"/>
    <w:rsid w:val="00CC0719"/>
    <w:rsid w:val="00CC0D71"/>
    <w:rsid w:val="00CC1A4A"/>
    <w:rsid w:val="00CC2EF2"/>
    <w:rsid w:val="00CC34DB"/>
    <w:rsid w:val="00CC3625"/>
    <w:rsid w:val="00CC3915"/>
    <w:rsid w:val="00CC3C3B"/>
    <w:rsid w:val="00CC5DAA"/>
    <w:rsid w:val="00CC623B"/>
    <w:rsid w:val="00CC62ED"/>
    <w:rsid w:val="00CC6423"/>
    <w:rsid w:val="00CC728B"/>
    <w:rsid w:val="00CC75A4"/>
    <w:rsid w:val="00CD0696"/>
    <w:rsid w:val="00CD0B95"/>
    <w:rsid w:val="00CD1130"/>
    <w:rsid w:val="00CD14B2"/>
    <w:rsid w:val="00CD21AD"/>
    <w:rsid w:val="00CD248F"/>
    <w:rsid w:val="00CD2851"/>
    <w:rsid w:val="00CD2936"/>
    <w:rsid w:val="00CD2DC4"/>
    <w:rsid w:val="00CD3E51"/>
    <w:rsid w:val="00CD52F8"/>
    <w:rsid w:val="00CD6177"/>
    <w:rsid w:val="00CD6540"/>
    <w:rsid w:val="00CD72B6"/>
    <w:rsid w:val="00CD77B8"/>
    <w:rsid w:val="00CE0BD4"/>
    <w:rsid w:val="00CE0CCB"/>
    <w:rsid w:val="00CE0F37"/>
    <w:rsid w:val="00CE139F"/>
    <w:rsid w:val="00CE14FE"/>
    <w:rsid w:val="00CE19FD"/>
    <w:rsid w:val="00CE1C38"/>
    <w:rsid w:val="00CE22B2"/>
    <w:rsid w:val="00CE2AC7"/>
    <w:rsid w:val="00CE2ED3"/>
    <w:rsid w:val="00CE36EB"/>
    <w:rsid w:val="00CE38B6"/>
    <w:rsid w:val="00CE394A"/>
    <w:rsid w:val="00CE40E3"/>
    <w:rsid w:val="00CE4672"/>
    <w:rsid w:val="00CE5C18"/>
    <w:rsid w:val="00CE6764"/>
    <w:rsid w:val="00CE6E16"/>
    <w:rsid w:val="00CE6E37"/>
    <w:rsid w:val="00CE7AA9"/>
    <w:rsid w:val="00CE7DAE"/>
    <w:rsid w:val="00CF03C3"/>
    <w:rsid w:val="00CF14A1"/>
    <w:rsid w:val="00CF170A"/>
    <w:rsid w:val="00CF1970"/>
    <w:rsid w:val="00CF1DE7"/>
    <w:rsid w:val="00CF3A27"/>
    <w:rsid w:val="00CF3B54"/>
    <w:rsid w:val="00CF40AD"/>
    <w:rsid w:val="00CF44E2"/>
    <w:rsid w:val="00CF459B"/>
    <w:rsid w:val="00CF5085"/>
    <w:rsid w:val="00CF51DA"/>
    <w:rsid w:val="00CF5647"/>
    <w:rsid w:val="00CF5953"/>
    <w:rsid w:val="00CF600D"/>
    <w:rsid w:val="00CF62F0"/>
    <w:rsid w:val="00CF69B8"/>
    <w:rsid w:val="00CF6A15"/>
    <w:rsid w:val="00CF6AB7"/>
    <w:rsid w:val="00CF6D5A"/>
    <w:rsid w:val="00CF713E"/>
    <w:rsid w:val="00CF75B6"/>
    <w:rsid w:val="00CF766D"/>
    <w:rsid w:val="00CF78E3"/>
    <w:rsid w:val="00CF7ADA"/>
    <w:rsid w:val="00D00ADB"/>
    <w:rsid w:val="00D00BF2"/>
    <w:rsid w:val="00D00FC2"/>
    <w:rsid w:val="00D013D7"/>
    <w:rsid w:val="00D01708"/>
    <w:rsid w:val="00D01C89"/>
    <w:rsid w:val="00D01DC1"/>
    <w:rsid w:val="00D02199"/>
    <w:rsid w:val="00D02244"/>
    <w:rsid w:val="00D02869"/>
    <w:rsid w:val="00D02D96"/>
    <w:rsid w:val="00D03861"/>
    <w:rsid w:val="00D03DC1"/>
    <w:rsid w:val="00D04119"/>
    <w:rsid w:val="00D043E5"/>
    <w:rsid w:val="00D045CB"/>
    <w:rsid w:val="00D04671"/>
    <w:rsid w:val="00D047D4"/>
    <w:rsid w:val="00D047F6"/>
    <w:rsid w:val="00D052C6"/>
    <w:rsid w:val="00D053B8"/>
    <w:rsid w:val="00D05530"/>
    <w:rsid w:val="00D06082"/>
    <w:rsid w:val="00D0656F"/>
    <w:rsid w:val="00D06BE5"/>
    <w:rsid w:val="00D06EF2"/>
    <w:rsid w:val="00D10691"/>
    <w:rsid w:val="00D1078E"/>
    <w:rsid w:val="00D10FBF"/>
    <w:rsid w:val="00D11B5E"/>
    <w:rsid w:val="00D12480"/>
    <w:rsid w:val="00D1274C"/>
    <w:rsid w:val="00D12C08"/>
    <w:rsid w:val="00D12C7C"/>
    <w:rsid w:val="00D12D4C"/>
    <w:rsid w:val="00D158F8"/>
    <w:rsid w:val="00D15B74"/>
    <w:rsid w:val="00D161C0"/>
    <w:rsid w:val="00D171C9"/>
    <w:rsid w:val="00D173D2"/>
    <w:rsid w:val="00D17767"/>
    <w:rsid w:val="00D17ABD"/>
    <w:rsid w:val="00D17B78"/>
    <w:rsid w:val="00D2030E"/>
    <w:rsid w:val="00D2059D"/>
    <w:rsid w:val="00D20ADA"/>
    <w:rsid w:val="00D20E94"/>
    <w:rsid w:val="00D20F3F"/>
    <w:rsid w:val="00D20F55"/>
    <w:rsid w:val="00D219C7"/>
    <w:rsid w:val="00D21C0C"/>
    <w:rsid w:val="00D220D8"/>
    <w:rsid w:val="00D22886"/>
    <w:rsid w:val="00D22B69"/>
    <w:rsid w:val="00D22EB3"/>
    <w:rsid w:val="00D22FF5"/>
    <w:rsid w:val="00D23817"/>
    <w:rsid w:val="00D23CDD"/>
    <w:rsid w:val="00D23D9C"/>
    <w:rsid w:val="00D242D8"/>
    <w:rsid w:val="00D246D0"/>
    <w:rsid w:val="00D24AF9"/>
    <w:rsid w:val="00D2505B"/>
    <w:rsid w:val="00D25E16"/>
    <w:rsid w:val="00D2616A"/>
    <w:rsid w:val="00D27AA8"/>
    <w:rsid w:val="00D27C83"/>
    <w:rsid w:val="00D302DF"/>
    <w:rsid w:val="00D3034B"/>
    <w:rsid w:val="00D30ED5"/>
    <w:rsid w:val="00D3157F"/>
    <w:rsid w:val="00D31580"/>
    <w:rsid w:val="00D31899"/>
    <w:rsid w:val="00D319D2"/>
    <w:rsid w:val="00D31D45"/>
    <w:rsid w:val="00D31DA7"/>
    <w:rsid w:val="00D32ABC"/>
    <w:rsid w:val="00D330DB"/>
    <w:rsid w:val="00D3372F"/>
    <w:rsid w:val="00D33BC8"/>
    <w:rsid w:val="00D346A3"/>
    <w:rsid w:val="00D34D2F"/>
    <w:rsid w:val="00D361D5"/>
    <w:rsid w:val="00D36A79"/>
    <w:rsid w:val="00D3776B"/>
    <w:rsid w:val="00D37DC0"/>
    <w:rsid w:val="00D4031A"/>
    <w:rsid w:val="00D4082B"/>
    <w:rsid w:val="00D408B4"/>
    <w:rsid w:val="00D41091"/>
    <w:rsid w:val="00D4178E"/>
    <w:rsid w:val="00D41C8C"/>
    <w:rsid w:val="00D41CC8"/>
    <w:rsid w:val="00D421F3"/>
    <w:rsid w:val="00D424C6"/>
    <w:rsid w:val="00D42F0D"/>
    <w:rsid w:val="00D43DEC"/>
    <w:rsid w:val="00D43E85"/>
    <w:rsid w:val="00D4401A"/>
    <w:rsid w:val="00D44828"/>
    <w:rsid w:val="00D4525B"/>
    <w:rsid w:val="00D45602"/>
    <w:rsid w:val="00D47072"/>
    <w:rsid w:val="00D47D37"/>
    <w:rsid w:val="00D47FCA"/>
    <w:rsid w:val="00D521BD"/>
    <w:rsid w:val="00D52F9A"/>
    <w:rsid w:val="00D534CB"/>
    <w:rsid w:val="00D535F1"/>
    <w:rsid w:val="00D53802"/>
    <w:rsid w:val="00D53A25"/>
    <w:rsid w:val="00D53A67"/>
    <w:rsid w:val="00D54052"/>
    <w:rsid w:val="00D546EF"/>
    <w:rsid w:val="00D5473A"/>
    <w:rsid w:val="00D548D9"/>
    <w:rsid w:val="00D54C43"/>
    <w:rsid w:val="00D54EFF"/>
    <w:rsid w:val="00D55614"/>
    <w:rsid w:val="00D57997"/>
    <w:rsid w:val="00D57C41"/>
    <w:rsid w:val="00D57F7C"/>
    <w:rsid w:val="00D57F92"/>
    <w:rsid w:val="00D6122C"/>
    <w:rsid w:val="00D61295"/>
    <w:rsid w:val="00D615A7"/>
    <w:rsid w:val="00D61892"/>
    <w:rsid w:val="00D61E0B"/>
    <w:rsid w:val="00D62802"/>
    <w:rsid w:val="00D6332A"/>
    <w:rsid w:val="00D63E4E"/>
    <w:rsid w:val="00D63F85"/>
    <w:rsid w:val="00D6490A"/>
    <w:rsid w:val="00D64BE2"/>
    <w:rsid w:val="00D656C6"/>
    <w:rsid w:val="00D66190"/>
    <w:rsid w:val="00D661A2"/>
    <w:rsid w:val="00D6632C"/>
    <w:rsid w:val="00D665EE"/>
    <w:rsid w:val="00D67E42"/>
    <w:rsid w:val="00D702CE"/>
    <w:rsid w:val="00D7031D"/>
    <w:rsid w:val="00D70411"/>
    <w:rsid w:val="00D704C2"/>
    <w:rsid w:val="00D7062D"/>
    <w:rsid w:val="00D71378"/>
    <w:rsid w:val="00D7196C"/>
    <w:rsid w:val="00D71995"/>
    <w:rsid w:val="00D71C17"/>
    <w:rsid w:val="00D71F3F"/>
    <w:rsid w:val="00D7262A"/>
    <w:rsid w:val="00D73A9D"/>
    <w:rsid w:val="00D73D8E"/>
    <w:rsid w:val="00D74FF8"/>
    <w:rsid w:val="00D7500A"/>
    <w:rsid w:val="00D756B1"/>
    <w:rsid w:val="00D757E8"/>
    <w:rsid w:val="00D758CE"/>
    <w:rsid w:val="00D75B38"/>
    <w:rsid w:val="00D764A5"/>
    <w:rsid w:val="00D76BA1"/>
    <w:rsid w:val="00D77FFB"/>
    <w:rsid w:val="00D80DBD"/>
    <w:rsid w:val="00D8113C"/>
    <w:rsid w:val="00D81212"/>
    <w:rsid w:val="00D815B5"/>
    <w:rsid w:val="00D816BF"/>
    <w:rsid w:val="00D81973"/>
    <w:rsid w:val="00D81DAB"/>
    <w:rsid w:val="00D821B4"/>
    <w:rsid w:val="00D82422"/>
    <w:rsid w:val="00D82C97"/>
    <w:rsid w:val="00D82CF9"/>
    <w:rsid w:val="00D83013"/>
    <w:rsid w:val="00D834BC"/>
    <w:rsid w:val="00D83A1C"/>
    <w:rsid w:val="00D83A4E"/>
    <w:rsid w:val="00D8464D"/>
    <w:rsid w:val="00D85BE1"/>
    <w:rsid w:val="00D85E77"/>
    <w:rsid w:val="00D876B0"/>
    <w:rsid w:val="00D87711"/>
    <w:rsid w:val="00D8793A"/>
    <w:rsid w:val="00D8799B"/>
    <w:rsid w:val="00D87D56"/>
    <w:rsid w:val="00D909F1"/>
    <w:rsid w:val="00D90AD5"/>
    <w:rsid w:val="00D911E6"/>
    <w:rsid w:val="00D91989"/>
    <w:rsid w:val="00D92660"/>
    <w:rsid w:val="00D92B72"/>
    <w:rsid w:val="00D93187"/>
    <w:rsid w:val="00D93419"/>
    <w:rsid w:val="00D937FE"/>
    <w:rsid w:val="00D93CDE"/>
    <w:rsid w:val="00D944C1"/>
    <w:rsid w:val="00D94B05"/>
    <w:rsid w:val="00D95AD4"/>
    <w:rsid w:val="00D95CC8"/>
    <w:rsid w:val="00D97D83"/>
    <w:rsid w:val="00DA00AB"/>
    <w:rsid w:val="00DA0C4F"/>
    <w:rsid w:val="00DA1022"/>
    <w:rsid w:val="00DA12B5"/>
    <w:rsid w:val="00DA1A1C"/>
    <w:rsid w:val="00DA2A94"/>
    <w:rsid w:val="00DA3D26"/>
    <w:rsid w:val="00DA4556"/>
    <w:rsid w:val="00DA4678"/>
    <w:rsid w:val="00DA4CA7"/>
    <w:rsid w:val="00DA5593"/>
    <w:rsid w:val="00DA56CD"/>
    <w:rsid w:val="00DA5803"/>
    <w:rsid w:val="00DA5DB8"/>
    <w:rsid w:val="00DA7202"/>
    <w:rsid w:val="00DA72B2"/>
    <w:rsid w:val="00DA72BA"/>
    <w:rsid w:val="00DB066B"/>
    <w:rsid w:val="00DB0A2D"/>
    <w:rsid w:val="00DB0A6C"/>
    <w:rsid w:val="00DB0D23"/>
    <w:rsid w:val="00DB1712"/>
    <w:rsid w:val="00DB1750"/>
    <w:rsid w:val="00DB1893"/>
    <w:rsid w:val="00DB194D"/>
    <w:rsid w:val="00DB200D"/>
    <w:rsid w:val="00DB3268"/>
    <w:rsid w:val="00DB3517"/>
    <w:rsid w:val="00DB36C4"/>
    <w:rsid w:val="00DB3D37"/>
    <w:rsid w:val="00DB3ED8"/>
    <w:rsid w:val="00DB3F45"/>
    <w:rsid w:val="00DB412A"/>
    <w:rsid w:val="00DB450C"/>
    <w:rsid w:val="00DB4806"/>
    <w:rsid w:val="00DB4E5B"/>
    <w:rsid w:val="00DB53ED"/>
    <w:rsid w:val="00DB5819"/>
    <w:rsid w:val="00DB5A12"/>
    <w:rsid w:val="00DB6E48"/>
    <w:rsid w:val="00DC090E"/>
    <w:rsid w:val="00DC0A2F"/>
    <w:rsid w:val="00DC0A31"/>
    <w:rsid w:val="00DC0A9B"/>
    <w:rsid w:val="00DC1018"/>
    <w:rsid w:val="00DC10F1"/>
    <w:rsid w:val="00DC19E9"/>
    <w:rsid w:val="00DC2A89"/>
    <w:rsid w:val="00DC2F09"/>
    <w:rsid w:val="00DC30B4"/>
    <w:rsid w:val="00DC3158"/>
    <w:rsid w:val="00DC33F3"/>
    <w:rsid w:val="00DC35E6"/>
    <w:rsid w:val="00DC39C3"/>
    <w:rsid w:val="00DC3B2B"/>
    <w:rsid w:val="00DC4179"/>
    <w:rsid w:val="00DC531C"/>
    <w:rsid w:val="00DC5577"/>
    <w:rsid w:val="00DC5912"/>
    <w:rsid w:val="00DC5B57"/>
    <w:rsid w:val="00DC603C"/>
    <w:rsid w:val="00DC632F"/>
    <w:rsid w:val="00DC6401"/>
    <w:rsid w:val="00DC70E0"/>
    <w:rsid w:val="00DC716D"/>
    <w:rsid w:val="00DC72D5"/>
    <w:rsid w:val="00DC7B98"/>
    <w:rsid w:val="00DC7D73"/>
    <w:rsid w:val="00DD0E92"/>
    <w:rsid w:val="00DD10F0"/>
    <w:rsid w:val="00DD1817"/>
    <w:rsid w:val="00DD1DC5"/>
    <w:rsid w:val="00DD22C6"/>
    <w:rsid w:val="00DD23F5"/>
    <w:rsid w:val="00DD2E24"/>
    <w:rsid w:val="00DD3848"/>
    <w:rsid w:val="00DD3B29"/>
    <w:rsid w:val="00DD4272"/>
    <w:rsid w:val="00DD48BC"/>
    <w:rsid w:val="00DD50ED"/>
    <w:rsid w:val="00DD5740"/>
    <w:rsid w:val="00DD63CC"/>
    <w:rsid w:val="00DD6723"/>
    <w:rsid w:val="00DD7966"/>
    <w:rsid w:val="00DD79D4"/>
    <w:rsid w:val="00DD7F4E"/>
    <w:rsid w:val="00DE01E7"/>
    <w:rsid w:val="00DE093A"/>
    <w:rsid w:val="00DE0986"/>
    <w:rsid w:val="00DE0BAA"/>
    <w:rsid w:val="00DE1558"/>
    <w:rsid w:val="00DE1814"/>
    <w:rsid w:val="00DE1834"/>
    <w:rsid w:val="00DE1C1F"/>
    <w:rsid w:val="00DE2756"/>
    <w:rsid w:val="00DE27B7"/>
    <w:rsid w:val="00DE32CE"/>
    <w:rsid w:val="00DE32F2"/>
    <w:rsid w:val="00DE5B7B"/>
    <w:rsid w:val="00DE715A"/>
    <w:rsid w:val="00DE71FE"/>
    <w:rsid w:val="00DE7437"/>
    <w:rsid w:val="00DE7A6D"/>
    <w:rsid w:val="00DF0054"/>
    <w:rsid w:val="00DF0492"/>
    <w:rsid w:val="00DF06CC"/>
    <w:rsid w:val="00DF0982"/>
    <w:rsid w:val="00DF153C"/>
    <w:rsid w:val="00DF1B1D"/>
    <w:rsid w:val="00DF1FAE"/>
    <w:rsid w:val="00DF1FB1"/>
    <w:rsid w:val="00DF262E"/>
    <w:rsid w:val="00DF277B"/>
    <w:rsid w:val="00DF2A42"/>
    <w:rsid w:val="00DF2EB4"/>
    <w:rsid w:val="00DF5A84"/>
    <w:rsid w:val="00DF5E7E"/>
    <w:rsid w:val="00DF674A"/>
    <w:rsid w:val="00DF6815"/>
    <w:rsid w:val="00DF6854"/>
    <w:rsid w:val="00DF68FA"/>
    <w:rsid w:val="00DF6F04"/>
    <w:rsid w:val="00DF7320"/>
    <w:rsid w:val="00DF746D"/>
    <w:rsid w:val="00DF793B"/>
    <w:rsid w:val="00DF7C25"/>
    <w:rsid w:val="00E0198C"/>
    <w:rsid w:val="00E01A40"/>
    <w:rsid w:val="00E01A9A"/>
    <w:rsid w:val="00E02096"/>
    <w:rsid w:val="00E026CC"/>
    <w:rsid w:val="00E026E6"/>
    <w:rsid w:val="00E032B4"/>
    <w:rsid w:val="00E0337C"/>
    <w:rsid w:val="00E03623"/>
    <w:rsid w:val="00E04198"/>
    <w:rsid w:val="00E04F8C"/>
    <w:rsid w:val="00E0599D"/>
    <w:rsid w:val="00E06341"/>
    <w:rsid w:val="00E06D98"/>
    <w:rsid w:val="00E073D3"/>
    <w:rsid w:val="00E07585"/>
    <w:rsid w:val="00E07667"/>
    <w:rsid w:val="00E07B68"/>
    <w:rsid w:val="00E104AF"/>
    <w:rsid w:val="00E105F8"/>
    <w:rsid w:val="00E1092D"/>
    <w:rsid w:val="00E10FAE"/>
    <w:rsid w:val="00E11405"/>
    <w:rsid w:val="00E114A1"/>
    <w:rsid w:val="00E116B1"/>
    <w:rsid w:val="00E119E9"/>
    <w:rsid w:val="00E1278C"/>
    <w:rsid w:val="00E13551"/>
    <w:rsid w:val="00E14087"/>
    <w:rsid w:val="00E14360"/>
    <w:rsid w:val="00E143E7"/>
    <w:rsid w:val="00E14867"/>
    <w:rsid w:val="00E14C30"/>
    <w:rsid w:val="00E15168"/>
    <w:rsid w:val="00E15230"/>
    <w:rsid w:val="00E155CC"/>
    <w:rsid w:val="00E15B7C"/>
    <w:rsid w:val="00E15C98"/>
    <w:rsid w:val="00E15D1B"/>
    <w:rsid w:val="00E161CE"/>
    <w:rsid w:val="00E16AC1"/>
    <w:rsid w:val="00E16ED0"/>
    <w:rsid w:val="00E17274"/>
    <w:rsid w:val="00E1754C"/>
    <w:rsid w:val="00E1761E"/>
    <w:rsid w:val="00E178B0"/>
    <w:rsid w:val="00E204C9"/>
    <w:rsid w:val="00E20830"/>
    <w:rsid w:val="00E20AC8"/>
    <w:rsid w:val="00E20E27"/>
    <w:rsid w:val="00E213F6"/>
    <w:rsid w:val="00E22024"/>
    <w:rsid w:val="00E22A05"/>
    <w:rsid w:val="00E22F6B"/>
    <w:rsid w:val="00E23F1F"/>
    <w:rsid w:val="00E2462F"/>
    <w:rsid w:val="00E24EF1"/>
    <w:rsid w:val="00E25B57"/>
    <w:rsid w:val="00E2742D"/>
    <w:rsid w:val="00E2769F"/>
    <w:rsid w:val="00E27780"/>
    <w:rsid w:val="00E27E40"/>
    <w:rsid w:val="00E30467"/>
    <w:rsid w:val="00E30786"/>
    <w:rsid w:val="00E31106"/>
    <w:rsid w:val="00E314DD"/>
    <w:rsid w:val="00E32A37"/>
    <w:rsid w:val="00E32BAE"/>
    <w:rsid w:val="00E32CD6"/>
    <w:rsid w:val="00E3310B"/>
    <w:rsid w:val="00E3325C"/>
    <w:rsid w:val="00E334F5"/>
    <w:rsid w:val="00E33AF3"/>
    <w:rsid w:val="00E33C3B"/>
    <w:rsid w:val="00E3401C"/>
    <w:rsid w:val="00E34ED7"/>
    <w:rsid w:val="00E3560C"/>
    <w:rsid w:val="00E356B6"/>
    <w:rsid w:val="00E367D4"/>
    <w:rsid w:val="00E36934"/>
    <w:rsid w:val="00E373C0"/>
    <w:rsid w:val="00E37A3F"/>
    <w:rsid w:val="00E4054B"/>
    <w:rsid w:val="00E406E4"/>
    <w:rsid w:val="00E40C4B"/>
    <w:rsid w:val="00E4104B"/>
    <w:rsid w:val="00E41135"/>
    <w:rsid w:val="00E412DF"/>
    <w:rsid w:val="00E4425F"/>
    <w:rsid w:val="00E44839"/>
    <w:rsid w:val="00E4538B"/>
    <w:rsid w:val="00E45DEA"/>
    <w:rsid w:val="00E464CD"/>
    <w:rsid w:val="00E5002E"/>
    <w:rsid w:val="00E50A6F"/>
    <w:rsid w:val="00E516EA"/>
    <w:rsid w:val="00E51C8C"/>
    <w:rsid w:val="00E52448"/>
    <w:rsid w:val="00E54664"/>
    <w:rsid w:val="00E54B25"/>
    <w:rsid w:val="00E54E03"/>
    <w:rsid w:val="00E54F4F"/>
    <w:rsid w:val="00E54F90"/>
    <w:rsid w:val="00E54FA8"/>
    <w:rsid w:val="00E5526F"/>
    <w:rsid w:val="00E55A01"/>
    <w:rsid w:val="00E55F4E"/>
    <w:rsid w:val="00E56A7E"/>
    <w:rsid w:val="00E56C72"/>
    <w:rsid w:val="00E56EAF"/>
    <w:rsid w:val="00E574DD"/>
    <w:rsid w:val="00E5755E"/>
    <w:rsid w:val="00E6029F"/>
    <w:rsid w:val="00E60466"/>
    <w:rsid w:val="00E604C6"/>
    <w:rsid w:val="00E615A2"/>
    <w:rsid w:val="00E61614"/>
    <w:rsid w:val="00E61EF5"/>
    <w:rsid w:val="00E62279"/>
    <w:rsid w:val="00E622DE"/>
    <w:rsid w:val="00E625A8"/>
    <w:rsid w:val="00E63E9E"/>
    <w:rsid w:val="00E63FC3"/>
    <w:rsid w:val="00E64750"/>
    <w:rsid w:val="00E648DF"/>
    <w:rsid w:val="00E64FA9"/>
    <w:rsid w:val="00E6518E"/>
    <w:rsid w:val="00E6522C"/>
    <w:rsid w:val="00E6549E"/>
    <w:rsid w:val="00E65AA5"/>
    <w:rsid w:val="00E65D67"/>
    <w:rsid w:val="00E65D98"/>
    <w:rsid w:val="00E663E9"/>
    <w:rsid w:val="00E66D0E"/>
    <w:rsid w:val="00E709C8"/>
    <w:rsid w:val="00E71675"/>
    <w:rsid w:val="00E716B0"/>
    <w:rsid w:val="00E71B64"/>
    <w:rsid w:val="00E71E95"/>
    <w:rsid w:val="00E72325"/>
    <w:rsid w:val="00E73255"/>
    <w:rsid w:val="00E7535D"/>
    <w:rsid w:val="00E7571F"/>
    <w:rsid w:val="00E75856"/>
    <w:rsid w:val="00E75922"/>
    <w:rsid w:val="00E76504"/>
    <w:rsid w:val="00E76559"/>
    <w:rsid w:val="00E7655E"/>
    <w:rsid w:val="00E76714"/>
    <w:rsid w:val="00E772DD"/>
    <w:rsid w:val="00E7771D"/>
    <w:rsid w:val="00E77DF4"/>
    <w:rsid w:val="00E80156"/>
    <w:rsid w:val="00E807A3"/>
    <w:rsid w:val="00E80FB6"/>
    <w:rsid w:val="00E819C1"/>
    <w:rsid w:val="00E82C1B"/>
    <w:rsid w:val="00E831E0"/>
    <w:rsid w:val="00E83387"/>
    <w:rsid w:val="00E83A08"/>
    <w:rsid w:val="00E83E66"/>
    <w:rsid w:val="00E84C02"/>
    <w:rsid w:val="00E850F7"/>
    <w:rsid w:val="00E85886"/>
    <w:rsid w:val="00E85963"/>
    <w:rsid w:val="00E859D0"/>
    <w:rsid w:val="00E86073"/>
    <w:rsid w:val="00E8629D"/>
    <w:rsid w:val="00E86B25"/>
    <w:rsid w:val="00E86B44"/>
    <w:rsid w:val="00E90C19"/>
    <w:rsid w:val="00E90F60"/>
    <w:rsid w:val="00E911D4"/>
    <w:rsid w:val="00E93511"/>
    <w:rsid w:val="00E94C96"/>
    <w:rsid w:val="00E954A1"/>
    <w:rsid w:val="00E95F49"/>
    <w:rsid w:val="00E96263"/>
    <w:rsid w:val="00E96A15"/>
    <w:rsid w:val="00E96B5D"/>
    <w:rsid w:val="00E96D33"/>
    <w:rsid w:val="00E96D75"/>
    <w:rsid w:val="00E96E87"/>
    <w:rsid w:val="00E96ECC"/>
    <w:rsid w:val="00E975A1"/>
    <w:rsid w:val="00E9775F"/>
    <w:rsid w:val="00E97C7F"/>
    <w:rsid w:val="00EA0274"/>
    <w:rsid w:val="00EA09A2"/>
    <w:rsid w:val="00EA0AB2"/>
    <w:rsid w:val="00EA11B2"/>
    <w:rsid w:val="00EA18FF"/>
    <w:rsid w:val="00EA1A00"/>
    <w:rsid w:val="00EA1D07"/>
    <w:rsid w:val="00EA2CBA"/>
    <w:rsid w:val="00EA2EB4"/>
    <w:rsid w:val="00EA4586"/>
    <w:rsid w:val="00EA4F7E"/>
    <w:rsid w:val="00EA5077"/>
    <w:rsid w:val="00EA50CC"/>
    <w:rsid w:val="00EA55FA"/>
    <w:rsid w:val="00EA5BB4"/>
    <w:rsid w:val="00EA6941"/>
    <w:rsid w:val="00EA6E97"/>
    <w:rsid w:val="00EA7EEE"/>
    <w:rsid w:val="00EA7FED"/>
    <w:rsid w:val="00EB0103"/>
    <w:rsid w:val="00EB0382"/>
    <w:rsid w:val="00EB1166"/>
    <w:rsid w:val="00EB1209"/>
    <w:rsid w:val="00EB186E"/>
    <w:rsid w:val="00EB1B8B"/>
    <w:rsid w:val="00EB1BC7"/>
    <w:rsid w:val="00EB2590"/>
    <w:rsid w:val="00EB25D0"/>
    <w:rsid w:val="00EB2988"/>
    <w:rsid w:val="00EB3DDA"/>
    <w:rsid w:val="00EB47C5"/>
    <w:rsid w:val="00EB4D36"/>
    <w:rsid w:val="00EB56BE"/>
    <w:rsid w:val="00EB584A"/>
    <w:rsid w:val="00EB6519"/>
    <w:rsid w:val="00EB671A"/>
    <w:rsid w:val="00EB6E40"/>
    <w:rsid w:val="00EB6F5F"/>
    <w:rsid w:val="00EB744D"/>
    <w:rsid w:val="00EB75B1"/>
    <w:rsid w:val="00EC0C81"/>
    <w:rsid w:val="00EC1238"/>
    <w:rsid w:val="00EC13BF"/>
    <w:rsid w:val="00EC1617"/>
    <w:rsid w:val="00EC2D09"/>
    <w:rsid w:val="00EC2DB0"/>
    <w:rsid w:val="00EC3296"/>
    <w:rsid w:val="00EC3612"/>
    <w:rsid w:val="00EC3635"/>
    <w:rsid w:val="00EC38A3"/>
    <w:rsid w:val="00EC3BC2"/>
    <w:rsid w:val="00EC44A3"/>
    <w:rsid w:val="00EC45EE"/>
    <w:rsid w:val="00EC53B1"/>
    <w:rsid w:val="00EC5428"/>
    <w:rsid w:val="00EC5BD6"/>
    <w:rsid w:val="00EC6041"/>
    <w:rsid w:val="00EC65B9"/>
    <w:rsid w:val="00EC6820"/>
    <w:rsid w:val="00EC71B4"/>
    <w:rsid w:val="00ED09EB"/>
    <w:rsid w:val="00ED1E85"/>
    <w:rsid w:val="00ED21F7"/>
    <w:rsid w:val="00ED2F36"/>
    <w:rsid w:val="00ED315A"/>
    <w:rsid w:val="00ED3B77"/>
    <w:rsid w:val="00ED40D1"/>
    <w:rsid w:val="00ED4329"/>
    <w:rsid w:val="00ED462B"/>
    <w:rsid w:val="00ED4784"/>
    <w:rsid w:val="00ED4BB0"/>
    <w:rsid w:val="00ED4CF2"/>
    <w:rsid w:val="00ED53F2"/>
    <w:rsid w:val="00ED62B5"/>
    <w:rsid w:val="00ED687E"/>
    <w:rsid w:val="00ED6DF5"/>
    <w:rsid w:val="00ED71D4"/>
    <w:rsid w:val="00ED7C0E"/>
    <w:rsid w:val="00ED7FC0"/>
    <w:rsid w:val="00EE0810"/>
    <w:rsid w:val="00EE17FE"/>
    <w:rsid w:val="00EE1C1F"/>
    <w:rsid w:val="00EE22C7"/>
    <w:rsid w:val="00EE2A7B"/>
    <w:rsid w:val="00EE402E"/>
    <w:rsid w:val="00EE4289"/>
    <w:rsid w:val="00EE531D"/>
    <w:rsid w:val="00EE5A8D"/>
    <w:rsid w:val="00EE5BCA"/>
    <w:rsid w:val="00EE6459"/>
    <w:rsid w:val="00EE6FE4"/>
    <w:rsid w:val="00EE77D6"/>
    <w:rsid w:val="00EF132E"/>
    <w:rsid w:val="00EF136D"/>
    <w:rsid w:val="00EF1554"/>
    <w:rsid w:val="00EF1FEE"/>
    <w:rsid w:val="00EF2A05"/>
    <w:rsid w:val="00EF2D06"/>
    <w:rsid w:val="00EF33DE"/>
    <w:rsid w:val="00EF3A49"/>
    <w:rsid w:val="00EF42B9"/>
    <w:rsid w:val="00EF4639"/>
    <w:rsid w:val="00EF47FD"/>
    <w:rsid w:val="00EF548E"/>
    <w:rsid w:val="00EF6383"/>
    <w:rsid w:val="00EF7188"/>
    <w:rsid w:val="00EF743A"/>
    <w:rsid w:val="00EF74FC"/>
    <w:rsid w:val="00EF7783"/>
    <w:rsid w:val="00EF7846"/>
    <w:rsid w:val="00EF7C66"/>
    <w:rsid w:val="00EF7D8F"/>
    <w:rsid w:val="00F003F1"/>
    <w:rsid w:val="00F007DF"/>
    <w:rsid w:val="00F00D3C"/>
    <w:rsid w:val="00F01528"/>
    <w:rsid w:val="00F03AFE"/>
    <w:rsid w:val="00F04546"/>
    <w:rsid w:val="00F0486D"/>
    <w:rsid w:val="00F05D84"/>
    <w:rsid w:val="00F0697B"/>
    <w:rsid w:val="00F06FCF"/>
    <w:rsid w:val="00F0738C"/>
    <w:rsid w:val="00F10976"/>
    <w:rsid w:val="00F11E24"/>
    <w:rsid w:val="00F1213C"/>
    <w:rsid w:val="00F12D8C"/>
    <w:rsid w:val="00F130AF"/>
    <w:rsid w:val="00F134D2"/>
    <w:rsid w:val="00F13507"/>
    <w:rsid w:val="00F13615"/>
    <w:rsid w:val="00F162FA"/>
    <w:rsid w:val="00F178E3"/>
    <w:rsid w:val="00F17B36"/>
    <w:rsid w:val="00F1DB83"/>
    <w:rsid w:val="00F206B7"/>
    <w:rsid w:val="00F20FB7"/>
    <w:rsid w:val="00F21056"/>
    <w:rsid w:val="00F21194"/>
    <w:rsid w:val="00F220C1"/>
    <w:rsid w:val="00F227F2"/>
    <w:rsid w:val="00F23B27"/>
    <w:rsid w:val="00F23C94"/>
    <w:rsid w:val="00F24401"/>
    <w:rsid w:val="00F244AE"/>
    <w:rsid w:val="00F245F4"/>
    <w:rsid w:val="00F247B1"/>
    <w:rsid w:val="00F247EB"/>
    <w:rsid w:val="00F24B5E"/>
    <w:rsid w:val="00F25573"/>
    <w:rsid w:val="00F25CCB"/>
    <w:rsid w:val="00F25CED"/>
    <w:rsid w:val="00F263A9"/>
    <w:rsid w:val="00F263C6"/>
    <w:rsid w:val="00F27ADB"/>
    <w:rsid w:val="00F27EE1"/>
    <w:rsid w:val="00F3030A"/>
    <w:rsid w:val="00F31064"/>
    <w:rsid w:val="00F31D66"/>
    <w:rsid w:val="00F3237A"/>
    <w:rsid w:val="00F32434"/>
    <w:rsid w:val="00F3265A"/>
    <w:rsid w:val="00F32C67"/>
    <w:rsid w:val="00F32DE8"/>
    <w:rsid w:val="00F33488"/>
    <w:rsid w:val="00F33F6B"/>
    <w:rsid w:val="00F34006"/>
    <w:rsid w:val="00F341C7"/>
    <w:rsid w:val="00F34918"/>
    <w:rsid w:val="00F35616"/>
    <w:rsid w:val="00F3591C"/>
    <w:rsid w:val="00F36F35"/>
    <w:rsid w:val="00F372EF"/>
    <w:rsid w:val="00F374BD"/>
    <w:rsid w:val="00F37648"/>
    <w:rsid w:val="00F37BB5"/>
    <w:rsid w:val="00F37DBB"/>
    <w:rsid w:val="00F40BFD"/>
    <w:rsid w:val="00F40C3A"/>
    <w:rsid w:val="00F40CFB"/>
    <w:rsid w:val="00F40DB4"/>
    <w:rsid w:val="00F40EE1"/>
    <w:rsid w:val="00F41A2F"/>
    <w:rsid w:val="00F41A5B"/>
    <w:rsid w:val="00F41F82"/>
    <w:rsid w:val="00F426FB"/>
    <w:rsid w:val="00F42A89"/>
    <w:rsid w:val="00F42BAA"/>
    <w:rsid w:val="00F436F7"/>
    <w:rsid w:val="00F43832"/>
    <w:rsid w:val="00F43878"/>
    <w:rsid w:val="00F43953"/>
    <w:rsid w:val="00F43F15"/>
    <w:rsid w:val="00F44087"/>
    <w:rsid w:val="00F44476"/>
    <w:rsid w:val="00F44781"/>
    <w:rsid w:val="00F45744"/>
    <w:rsid w:val="00F458AB"/>
    <w:rsid w:val="00F459F5"/>
    <w:rsid w:val="00F45D32"/>
    <w:rsid w:val="00F45E87"/>
    <w:rsid w:val="00F45FAD"/>
    <w:rsid w:val="00F46135"/>
    <w:rsid w:val="00F461FF"/>
    <w:rsid w:val="00F474AB"/>
    <w:rsid w:val="00F475F0"/>
    <w:rsid w:val="00F4764E"/>
    <w:rsid w:val="00F47F06"/>
    <w:rsid w:val="00F500C3"/>
    <w:rsid w:val="00F50A1A"/>
    <w:rsid w:val="00F515C0"/>
    <w:rsid w:val="00F5174D"/>
    <w:rsid w:val="00F523E9"/>
    <w:rsid w:val="00F52E08"/>
    <w:rsid w:val="00F52F4D"/>
    <w:rsid w:val="00F531C8"/>
    <w:rsid w:val="00F53C28"/>
    <w:rsid w:val="00F54723"/>
    <w:rsid w:val="00F54843"/>
    <w:rsid w:val="00F54F79"/>
    <w:rsid w:val="00F5506B"/>
    <w:rsid w:val="00F563CC"/>
    <w:rsid w:val="00F5696E"/>
    <w:rsid w:val="00F56BD1"/>
    <w:rsid w:val="00F56EC2"/>
    <w:rsid w:val="00F60487"/>
    <w:rsid w:val="00F60523"/>
    <w:rsid w:val="00F60906"/>
    <w:rsid w:val="00F60E65"/>
    <w:rsid w:val="00F61807"/>
    <w:rsid w:val="00F61DA1"/>
    <w:rsid w:val="00F61DF0"/>
    <w:rsid w:val="00F62826"/>
    <w:rsid w:val="00F634EF"/>
    <w:rsid w:val="00F635A7"/>
    <w:rsid w:val="00F638B1"/>
    <w:rsid w:val="00F63E7E"/>
    <w:rsid w:val="00F64187"/>
    <w:rsid w:val="00F645A7"/>
    <w:rsid w:val="00F648C7"/>
    <w:rsid w:val="00F64E41"/>
    <w:rsid w:val="00F65E96"/>
    <w:rsid w:val="00F66842"/>
    <w:rsid w:val="00F66E0F"/>
    <w:rsid w:val="00F67A42"/>
    <w:rsid w:val="00F67BA7"/>
    <w:rsid w:val="00F67D35"/>
    <w:rsid w:val="00F700BC"/>
    <w:rsid w:val="00F71C01"/>
    <w:rsid w:val="00F7289E"/>
    <w:rsid w:val="00F72A74"/>
    <w:rsid w:val="00F72DC7"/>
    <w:rsid w:val="00F73961"/>
    <w:rsid w:val="00F74C22"/>
    <w:rsid w:val="00F756AB"/>
    <w:rsid w:val="00F75A2C"/>
    <w:rsid w:val="00F75E2C"/>
    <w:rsid w:val="00F75FE0"/>
    <w:rsid w:val="00F7604E"/>
    <w:rsid w:val="00F76A1F"/>
    <w:rsid w:val="00F76A81"/>
    <w:rsid w:val="00F76C85"/>
    <w:rsid w:val="00F76FCC"/>
    <w:rsid w:val="00F77790"/>
    <w:rsid w:val="00F77807"/>
    <w:rsid w:val="00F77F12"/>
    <w:rsid w:val="00F808DA"/>
    <w:rsid w:val="00F80F65"/>
    <w:rsid w:val="00F80FD0"/>
    <w:rsid w:val="00F811C5"/>
    <w:rsid w:val="00F81EE2"/>
    <w:rsid w:val="00F81F20"/>
    <w:rsid w:val="00F82A73"/>
    <w:rsid w:val="00F833E0"/>
    <w:rsid w:val="00F83CCE"/>
    <w:rsid w:val="00F83D50"/>
    <w:rsid w:val="00F843EA"/>
    <w:rsid w:val="00F84697"/>
    <w:rsid w:val="00F84B5F"/>
    <w:rsid w:val="00F8531E"/>
    <w:rsid w:val="00F8532B"/>
    <w:rsid w:val="00F85A4D"/>
    <w:rsid w:val="00F86301"/>
    <w:rsid w:val="00F868F4"/>
    <w:rsid w:val="00F86985"/>
    <w:rsid w:val="00F872A8"/>
    <w:rsid w:val="00F87F7A"/>
    <w:rsid w:val="00F9026C"/>
    <w:rsid w:val="00F90EDD"/>
    <w:rsid w:val="00F91146"/>
    <w:rsid w:val="00F912C4"/>
    <w:rsid w:val="00F91343"/>
    <w:rsid w:val="00F917DC"/>
    <w:rsid w:val="00F91938"/>
    <w:rsid w:val="00F91FCE"/>
    <w:rsid w:val="00F9356C"/>
    <w:rsid w:val="00F94265"/>
    <w:rsid w:val="00F94722"/>
    <w:rsid w:val="00F94A15"/>
    <w:rsid w:val="00F95A4B"/>
    <w:rsid w:val="00F97653"/>
    <w:rsid w:val="00FA0396"/>
    <w:rsid w:val="00FA1F41"/>
    <w:rsid w:val="00FA20DD"/>
    <w:rsid w:val="00FA2432"/>
    <w:rsid w:val="00FA250D"/>
    <w:rsid w:val="00FA265A"/>
    <w:rsid w:val="00FA2E61"/>
    <w:rsid w:val="00FA3094"/>
    <w:rsid w:val="00FA3846"/>
    <w:rsid w:val="00FA4142"/>
    <w:rsid w:val="00FA49F3"/>
    <w:rsid w:val="00FA4FD4"/>
    <w:rsid w:val="00FA5431"/>
    <w:rsid w:val="00FA54F3"/>
    <w:rsid w:val="00FA5D38"/>
    <w:rsid w:val="00FA5F78"/>
    <w:rsid w:val="00FA63D4"/>
    <w:rsid w:val="00FA6493"/>
    <w:rsid w:val="00FA64C1"/>
    <w:rsid w:val="00FA66D0"/>
    <w:rsid w:val="00FA6E6B"/>
    <w:rsid w:val="00FA771C"/>
    <w:rsid w:val="00FA7BF8"/>
    <w:rsid w:val="00FA7CB8"/>
    <w:rsid w:val="00FB0CED"/>
    <w:rsid w:val="00FB1686"/>
    <w:rsid w:val="00FB17C3"/>
    <w:rsid w:val="00FB3244"/>
    <w:rsid w:val="00FB361C"/>
    <w:rsid w:val="00FB416D"/>
    <w:rsid w:val="00FB4676"/>
    <w:rsid w:val="00FB4BFC"/>
    <w:rsid w:val="00FB52EB"/>
    <w:rsid w:val="00FB5A21"/>
    <w:rsid w:val="00FB64F8"/>
    <w:rsid w:val="00FB749F"/>
    <w:rsid w:val="00FB765E"/>
    <w:rsid w:val="00FB781B"/>
    <w:rsid w:val="00FB798F"/>
    <w:rsid w:val="00FB7FCC"/>
    <w:rsid w:val="00FC012F"/>
    <w:rsid w:val="00FC05A3"/>
    <w:rsid w:val="00FC0DB0"/>
    <w:rsid w:val="00FC1F59"/>
    <w:rsid w:val="00FC2541"/>
    <w:rsid w:val="00FC25B9"/>
    <w:rsid w:val="00FC4021"/>
    <w:rsid w:val="00FC4545"/>
    <w:rsid w:val="00FC4B81"/>
    <w:rsid w:val="00FC4D19"/>
    <w:rsid w:val="00FC54C4"/>
    <w:rsid w:val="00FC5C42"/>
    <w:rsid w:val="00FC6147"/>
    <w:rsid w:val="00FC628A"/>
    <w:rsid w:val="00FC6438"/>
    <w:rsid w:val="00FC67E9"/>
    <w:rsid w:val="00FC6DF4"/>
    <w:rsid w:val="00FC6E85"/>
    <w:rsid w:val="00FC733E"/>
    <w:rsid w:val="00FC78FE"/>
    <w:rsid w:val="00FC7F89"/>
    <w:rsid w:val="00FD0192"/>
    <w:rsid w:val="00FD0210"/>
    <w:rsid w:val="00FD05E1"/>
    <w:rsid w:val="00FD0905"/>
    <w:rsid w:val="00FD0E3C"/>
    <w:rsid w:val="00FD1487"/>
    <w:rsid w:val="00FD1550"/>
    <w:rsid w:val="00FD196B"/>
    <w:rsid w:val="00FD2172"/>
    <w:rsid w:val="00FD3BF5"/>
    <w:rsid w:val="00FD47E2"/>
    <w:rsid w:val="00FD5125"/>
    <w:rsid w:val="00FD512F"/>
    <w:rsid w:val="00FD5850"/>
    <w:rsid w:val="00FD5D3E"/>
    <w:rsid w:val="00FD6964"/>
    <w:rsid w:val="00FD6E46"/>
    <w:rsid w:val="00FD71C4"/>
    <w:rsid w:val="00FD77F4"/>
    <w:rsid w:val="00FE03A3"/>
    <w:rsid w:val="00FE0A60"/>
    <w:rsid w:val="00FE1E8D"/>
    <w:rsid w:val="00FE23EA"/>
    <w:rsid w:val="00FE2F98"/>
    <w:rsid w:val="00FE3C55"/>
    <w:rsid w:val="00FE3D56"/>
    <w:rsid w:val="00FE4088"/>
    <w:rsid w:val="00FE40C9"/>
    <w:rsid w:val="00FE4611"/>
    <w:rsid w:val="00FE4682"/>
    <w:rsid w:val="00FE46A9"/>
    <w:rsid w:val="00FE4D1A"/>
    <w:rsid w:val="00FE518D"/>
    <w:rsid w:val="00FE5CAA"/>
    <w:rsid w:val="00FE630D"/>
    <w:rsid w:val="00FE6536"/>
    <w:rsid w:val="00FE67A0"/>
    <w:rsid w:val="00FE6AE2"/>
    <w:rsid w:val="00FE6FD9"/>
    <w:rsid w:val="00FE736D"/>
    <w:rsid w:val="00FE7656"/>
    <w:rsid w:val="00FE7FD8"/>
    <w:rsid w:val="00FF014A"/>
    <w:rsid w:val="00FF09B4"/>
    <w:rsid w:val="00FF0BFE"/>
    <w:rsid w:val="00FF0E16"/>
    <w:rsid w:val="00FF17FD"/>
    <w:rsid w:val="00FF251E"/>
    <w:rsid w:val="00FF28E1"/>
    <w:rsid w:val="00FF2991"/>
    <w:rsid w:val="00FF2BE2"/>
    <w:rsid w:val="00FF2DF0"/>
    <w:rsid w:val="00FF3545"/>
    <w:rsid w:val="00FF3F99"/>
    <w:rsid w:val="00FF54DB"/>
    <w:rsid w:val="00FF5616"/>
    <w:rsid w:val="00FF6833"/>
    <w:rsid w:val="00FF7171"/>
    <w:rsid w:val="00FF71D0"/>
    <w:rsid w:val="01457894"/>
    <w:rsid w:val="014B725A"/>
    <w:rsid w:val="0170F134"/>
    <w:rsid w:val="01929654"/>
    <w:rsid w:val="01A5810D"/>
    <w:rsid w:val="01D48A6D"/>
    <w:rsid w:val="01EAA9E9"/>
    <w:rsid w:val="01F1B8E6"/>
    <w:rsid w:val="02394ADA"/>
    <w:rsid w:val="02A1B0FA"/>
    <w:rsid w:val="02ECC64D"/>
    <w:rsid w:val="02FA4DCA"/>
    <w:rsid w:val="0323F21F"/>
    <w:rsid w:val="033679BC"/>
    <w:rsid w:val="033E3791"/>
    <w:rsid w:val="0341A501"/>
    <w:rsid w:val="03E3045F"/>
    <w:rsid w:val="03F60F76"/>
    <w:rsid w:val="043C2C18"/>
    <w:rsid w:val="054B140A"/>
    <w:rsid w:val="05B914D4"/>
    <w:rsid w:val="0600C291"/>
    <w:rsid w:val="0647B5C4"/>
    <w:rsid w:val="06E3D634"/>
    <w:rsid w:val="0715CD6F"/>
    <w:rsid w:val="072D5A88"/>
    <w:rsid w:val="07522C00"/>
    <w:rsid w:val="07E91B75"/>
    <w:rsid w:val="0816AF7D"/>
    <w:rsid w:val="083A1672"/>
    <w:rsid w:val="088C3029"/>
    <w:rsid w:val="09682343"/>
    <w:rsid w:val="096C1F52"/>
    <w:rsid w:val="0A499AC3"/>
    <w:rsid w:val="0A4CA6DC"/>
    <w:rsid w:val="0A91B05B"/>
    <w:rsid w:val="0AE356F2"/>
    <w:rsid w:val="0B03F3A4"/>
    <w:rsid w:val="0B0577A4"/>
    <w:rsid w:val="0B5AFE21"/>
    <w:rsid w:val="0B9EF5CB"/>
    <w:rsid w:val="0BA83A3B"/>
    <w:rsid w:val="0BD70828"/>
    <w:rsid w:val="0C23A2BA"/>
    <w:rsid w:val="0C6543E5"/>
    <w:rsid w:val="0C97CB23"/>
    <w:rsid w:val="0C9FC405"/>
    <w:rsid w:val="0CA07DC7"/>
    <w:rsid w:val="0E1B3EFC"/>
    <w:rsid w:val="0E4B7DB2"/>
    <w:rsid w:val="0FB1CB83"/>
    <w:rsid w:val="1023CC6B"/>
    <w:rsid w:val="106FB3FB"/>
    <w:rsid w:val="10A18B06"/>
    <w:rsid w:val="10AAC570"/>
    <w:rsid w:val="11182AF0"/>
    <w:rsid w:val="11A51E0D"/>
    <w:rsid w:val="11A96417"/>
    <w:rsid w:val="11C5B2F9"/>
    <w:rsid w:val="120BA14D"/>
    <w:rsid w:val="12310DE9"/>
    <w:rsid w:val="1270CBAD"/>
    <w:rsid w:val="127AD7F1"/>
    <w:rsid w:val="128B3E08"/>
    <w:rsid w:val="12AA9DF5"/>
    <w:rsid w:val="12C62D4E"/>
    <w:rsid w:val="12DDAB2D"/>
    <w:rsid w:val="1354BB1C"/>
    <w:rsid w:val="139AAB91"/>
    <w:rsid w:val="13C43EFD"/>
    <w:rsid w:val="1461ED9D"/>
    <w:rsid w:val="14866DD4"/>
    <w:rsid w:val="1501FC72"/>
    <w:rsid w:val="152DFD76"/>
    <w:rsid w:val="159D591E"/>
    <w:rsid w:val="166AFE61"/>
    <w:rsid w:val="1672760A"/>
    <w:rsid w:val="1697EB97"/>
    <w:rsid w:val="16FCA0D0"/>
    <w:rsid w:val="1701E8FA"/>
    <w:rsid w:val="171D7537"/>
    <w:rsid w:val="174A5148"/>
    <w:rsid w:val="177918A9"/>
    <w:rsid w:val="17CA2C79"/>
    <w:rsid w:val="17CAB010"/>
    <w:rsid w:val="1806E596"/>
    <w:rsid w:val="1832969D"/>
    <w:rsid w:val="1911D5B5"/>
    <w:rsid w:val="1918678C"/>
    <w:rsid w:val="197972CD"/>
    <w:rsid w:val="1A3B1668"/>
    <w:rsid w:val="1A486D4C"/>
    <w:rsid w:val="1A717315"/>
    <w:rsid w:val="1A7FD7C3"/>
    <w:rsid w:val="1B6347A2"/>
    <w:rsid w:val="1B6C3D60"/>
    <w:rsid w:val="1BAA638D"/>
    <w:rsid w:val="1BD008F7"/>
    <w:rsid w:val="1BFA3BD9"/>
    <w:rsid w:val="1C11B8E8"/>
    <w:rsid w:val="1C6CEE6F"/>
    <w:rsid w:val="1D12070B"/>
    <w:rsid w:val="1E19A1F6"/>
    <w:rsid w:val="1E2BCE54"/>
    <w:rsid w:val="1E7BE19C"/>
    <w:rsid w:val="1E8A23CB"/>
    <w:rsid w:val="1EB0CC3E"/>
    <w:rsid w:val="1EC3865D"/>
    <w:rsid w:val="1F14D9F9"/>
    <w:rsid w:val="1F696F59"/>
    <w:rsid w:val="1F763C50"/>
    <w:rsid w:val="1F8B78BC"/>
    <w:rsid w:val="1FF02D90"/>
    <w:rsid w:val="1FFA29FD"/>
    <w:rsid w:val="20049FA1"/>
    <w:rsid w:val="2043C4EF"/>
    <w:rsid w:val="207417C1"/>
    <w:rsid w:val="207D216F"/>
    <w:rsid w:val="20B98D3A"/>
    <w:rsid w:val="2128CB52"/>
    <w:rsid w:val="21C382FC"/>
    <w:rsid w:val="220EF70E"/>
    <w:rsid w:val="222519DB"/>
    <w:rsid w:val="222E8005"/>
    <w:rsid w:val="225EDACB"/>
    <w:rsid w:val="22884A20"/>
    <w:rsid w:val="22934C1C"/>
    <w:rsid w:val="22E036FB"/>
    <w:rsid w:val="238A9E58"/>
    <w:rsid w:val="2410CC8D"/>
    <w:rsid w:val="244BAACD"/>
    <w:rsid w:val="24606C14"/>
    <w:rsid w:val="248DEBD5"/>
    <w:rsid w:val="24CFC43C"/>
    <w:rsid w:val="2545DE13"/>
    <w:rsid w:val="2555008B"/>
    <w:rsid w:val="25AABDD4"/>
    <w:rsid w:val="25D376BA"/>
    <w:rsid w:val="26378A1F"/>
    <w:rsid w:val="265F6F14"/>
    <w:rsid w:val="26761AC2"/>
    <w:rsid w:val="26A18BCA"/>
    <w:rsid w:val="26AB1CC8"/>
    <w:rsid w:val="26EBC395"/>
    <w:rsid w:val="2727C5C4"/>
    <w:rsid w:val="2732A222"/>
    <w:rsid w:val="27377C46"/>
    <w:rsid w:val="2784211B"/>
    <w:rsid w:val="27B027D1"/>
    <w:rsid w:val="27DF5603"/>
    <w:rsid w:val="27F455DC"/>
    <w:rsid w:val="28EB0095"/>
    <w:rsid w:val="29C83509"/>
    <w:rsid w:val="2A740A25"/>
    <w:rsid w:val="2A7D59E9"/>
    <w:rsid w:val="2B0F8829"/>
    <w:rsid w:val="2B2987B9"/>
    <w:rsid w:val="2B2EFA74"/>
    <w:rsid w:val="2B4179B5"/>
    <w:rsid w:val="2B55F29B"/>
    <w:rsid w:val="2BDD36E3"/>
    <w:rsid w:val="2C62E955"/>
    <w:rsid w:val="2C69E9DC"/>
    <w:rsid w:val="2C9D1116"/>
    <w:rsid w:val="2CD35333"/>
    <w:rsid w:val="2DF112BD"/>
    <w:rsid w:val="2DF46CC6"/>
    <w:rsid w:val="2E05BA3D"/>
    <w:rsid w:val="2E368867"/>
    <w:rsid w:val="2E41B2D2"/>
    <w:rsid w:val="2E63104D"/>
    <w:rsid w:val="2E79FB45"/>
    <w:rsid w:val="2EB480BB"/>
    <w:rsid w:val="2F089F38"/>
    <w:rsid w:val="2F0AB807"/>
    <w:rsid w:val="2F754923"/>
    <w:rsid w:val="2FA18A9E"/>
    <w:rsid w:val="2FA80C7E"/>
    <w:rsid w:val="2FF69227"/>
    <w:rsid w:val="3019B00B"/>
    <w:rsid w:val="3067B91D"/>
    <w:rsid w:val="30E6FAF7"/>
    <w:rsid w:val="317E057F"/>
    <w:rsid w:val="31AE619D"/>
    <w:rsid w:val="31D5E86B"/>
    <w:rsid w:val="32130ADB"/>
    <w:rsid w:val="328F106E"/>
    <w:rsid w:val="32DB766F"/>
    <w:rsid w:val="334F44DD"/>
    <w:rsid w:val="33709F65"/>
    <w:rsid w:val="3372E64A"/>
    <w:rsid w:val="33E45048"/>
    <w:rsid w:val="3403E545"/>
    <w:rsid w:val="3414802A"/>
    <w:rsid w:val="343C70C1"/>
    <w:rsid w:val="34428DCC"/>
    <w:rsid w:val="34566B5C"/>
    <w:rsid w:val="34749267"/>
    <w:rsid w:val="3474FBC1"/>
    <w:rsid w:val="347BE692"/>
    <w:rsid w:val="34BDE4F4"/>
    <w:rsid w:val="34D1CCF2"/>
    <w:rsid w:val="34E4B8BB"/>
    <w:rsid w:val="350E3D33"/>
    <w:rsid w:val="35177869"/>
    <w:rsid w:val="3517F80B"/>
    <w:rsid w:val="353DA481"/>
    <w:rsid w:val="3572F2F4"/>
    <w:rsid w:val="35BAEC84"/>
    <w:rsid w:val="36B348CA"/>
    <w:rsid w:val="37B1C0F6"/>
    <w:rsid w:val="37DBA2CB"/>
    <w:rsid w:val="3818D962"/>
    <w:rsid w:val="381950C5"/>
    <w:rsid w:val="384F192B"/>
    <w:rsid w:val="3857EB0B"/>
    <w:rsid w:val="386DF245"/>
    <w:rsid w:val="38752641"/>
    <w:rsid w:val="38CCF840"/>
    <w:rsid w:val="38E0FF46"/>
    <w:rsid w:val="39208DAE"/>
    <w:rsid w:val="3923B260"/>
    <w:rsid w:val="39486CE4"/>
    <w:rsid w:val="39619541"/>
    <w:rsid w:val="3979758F"/>
    <w:rsid w:val="398409CF"/>
    <w:rsid w:val="39CEFD55"/>
    <w:rsid w:val="3A28D9C9"/>
    <w:rsid w:val="3A346597"/>
    <w:rsid w:val="3A74B4E0"/>
    <w:rsid w:val="3AC3A1A9"/>
    <w:rsid w:val="3B0C8FA9"/>
    <w:rsid w:val="3B1273B5"/>
    <w:rsid w:val="3B16979C"/>
    <w:rsid w:val="3B219DC2"/>
    <w:rsid w:val="3C449A4A"/>
    <w:rsid w:val="3C623145"/>
    <w:rsid w:val="3CB267FD"/>
    <w:rsid w:val="3CDD8766"/>
    <w:rsid w:val="3D228A4E"/>
    <w:rsid w:val="3D3705FC"/>
    <w:rsid w:val="3D739F71"/>
    <w:rsid w:val="3D8E589C"/>
    <w:rsid w:val="3DB472B7"/>
    <w:rsid w:val="3DCDE892"/>
    <w:rsid w:val="3E5AF770"/>
    <w:rsid w:val="3E602A5A"/>
    <w:rsid w:val="3E6BBEF0"/>
    <w:rsid w:val="3E76E738"/>
    <w:rsid w:val="3EAE12DB"/>
    <w:rsid w:val="3F1B3DBF"/>
    <w:rsid w:val="3F4442F0"/>
    <w:rsid w:val="3F6D7B7E"/>
    <w:rsid w:val="3FA559F0"/>
    <w:rsid w:val="409A97D6"/>
    <w:rsid w:val="40C0B4D3"/>
    <w:rsid w:val="40D3B7AC"/>
    <w:rsid w:val="40F6F40F"/>
    <w:rsid w:val="41629434"/>
    <w:rsid w:val="422E195F"/>
    <w:rsid w:val="42632C0A"/>
    <w:rsid w:val="426AD86B"/>
    <w:rsid w:val="429BF366"/>
    <w:rsid w:val="42A654E7"/>
    <w:rsid w:val="42D2A742"/>
    <w:rsid w:val="43624EE1"/>
    <w:rsid w:val="4371C489"/>
    <w:rsid w:val="43E2CE9E"/>
    <w:rsid w:val="44415176"/>
    <w:rsid w:val="448A3561"/>
    <w:rsid w:val="44D37352"/>
    <w:rsid w:val="44FE1F42"/>
    <w:rsid w:val="45243A71"/>
    <w:rsid w:val="4576785A"/>
    <w:rsid w:val="45868EFE"/>
    <w:rsid w:val="4602B082"/>
    <w:rsid w:val="4618D765"/>
    <w:rsid w:val="4626EFEC"/>
    <w:rsid w:val="466C95B1"/>
    <w:rsid w:val="4674684D"/>
    <w:rsid w:val="46BAB5E2"/>
    <w:rsid w:val="46E51786"/>
    <w:rsid w:val="47302C87"/>
    <w:rsid w:val="475870C9"/>
    <w:rsid w:val="47682339"/>
    <w:rsid w:val="47A2CE9D"/>
    <w:rsid w:val="47C2C04D"/>
    <w:rsid w:val="47F7084A"/>
    <w:rsid w:val="482D916A"/>
    <w:rsid w:val="4892B32E"/>
    <w:rsid w:val="48BD80A2"/>
    <w:rsid w:val="48BFB77E"/>
    <w:rsid w:val="48CD1054"/>
    <w:rsid w:val="48EE41C9"/>
    <w:rsid w:val="49161547"/>
    <w:rsid w:val="49226BC9"/>
    <w:rsid w:val="495E90AE"/>
    <w:rsid w:val="49EE5204"/>
    <w:rsid w:val="4A2EC5BC"/>
    <w:rsid w:val="4A392B44"/>
    <w:rsid w:val="4A42ACE7"/>
    <w:rsid w:val="4A769E13"/>
    <w:rsid w:val="4AA3D024"/>
    <w:rsid w:val="4AEC3C87"/>
    <w:rsid w:val="4AEE3F5D"/>
    <w:rsid w:val="4B9ADC01"/>
    <w:rsid w:val="4BA949B9"/>
    <w:rsid w:val="4BD4FBA5"/>
    <w:rsid w:val="4BDE7D48"/>
    <w:rsid w:val="4C08218F"/>
    <w:rsid w:val="4C0BB794"/>
    <w:rsid w:val="4C0E2BCF"/>
    <w:rsid w:val="4D2608C8"/>
    <w:rsid w:val="4D48ECD0"/>
    <w:rsid w:val="4D52C278"/>
    <w:rsid w:val="4D57D76C"/>
    <w:rsid w:val="4D62AE73"/>
    <w:rsid w:val="4E86E657"/>
    <w:rsid w:val="4ED8602C"/>
    <w:rsid w:val="4EDC6BFF"/>
    <w:rsid w:val="4EE6F579"/>
    <w:rsid w:val="50783C60"/>
    <w:rsid w:val="50808D92"/>
    <w:rsid w:val="5095D7A9"/>
    <w:rsid w:val="50B1EE6B"/>
    <w:rsid w:val="50C99157"/>
    <w:rsid w:val="517C5A25"/>
    <w:rsid w:val="51AB5A48"/>
    <w:rsid w:val="51C379ED"/>
    <w:rsid w:val="51CACEC9"/>
    <w:rsid w:val="51D22641"/>
    <w:rsid w:val="51EA247B"/>
    <w:rsid w:val="524C9C60"/>
    <w:rsid w:val="52732B22"/>
    <w:rsid w:val="52A3CF30"/>
    <w:rsid w:val="52AEDBE1"/>
    <w:rsid w:val="5316AA1C"/>
    <w:rsid w:val="532466E7"/>
    <w:rsid w:val="5327F649"/>
    <w:rsid w:val="5385BD64"/>
    <w:rsid w:val="5394481C"/>
    <w:rsid w:val="53BCCDC7"/>
    <w:rsid w:val="53F37250"/>
    <w:rsid w:val="547715E0"/>
    <w:rsid w:val="54810466"/>
    <w:rsid w:val="54A350C3"/>
    <w:rsid w:val="554BAD83"/>
    <w:rsid w:val="556C5DE9"/>
    <w:rsid w:val="557BDDEB"/>
    <w:rsid w:val="5583E1D4"/>
    <w:rsid w:val="55CAED18"/>
    <w:rsid w:val="55FCE7BA"/>
    <w:rsid w:val="566879EB"/>
    <w:rsid w:val="56A2F885"/>
    <w:rsid w:val="5717AE4C"/>
    <w:rsid w:val="572BAEC7"/>
    <w:rsid w:val="572FEC7F"/>
    <w:rsid w:val="5784628E"/>
    <w:rsid w:val="57BB534E"/>
    <w:rsid w:val="57F834F5"/>
    <w:rsid w:val="583106C2"/>
    <w:rsid w:val="583B26B0"/>
    <w:rsid w:val="58C0E6C1"/>
    <w:rsid w:val="58E6F140"/>
    <w:rsid w:val="5930A5FE"/>
    <w:rsid w:val="593AF10E"/>
    <w:rsid w:val="59486B4A"/>
    <w:rsid w:val="59C7675F"/>
    <w:rsid w:val="5A13F5E2"/>
    <w:rsid w:val="5A2ADE38"/>
    <w:rsid w:val="5A9C1FB7"/>
    <w:rsid w:val="5B07ABF3"/>
    <w:rsid w:val="5BB68246"/>
    <w:rsid w:val="5BEA3545"/>
    <w:rsid w:val="5C3E8FA9"/>
    <w:rsid w:val="5C4D40A1"/>
    <w:rsid w:val="5C66C15E"/>
    <w:rsid w:val="5CC2FEDB"/>
    <w:rsid w:val="5D2E5733"/>
    <w:rsid w:val="5D8BA786"/>
    <w:rsid w:val="5D914F36"/>
    <w:rsid w:val="5D93DA5C"/>
    <w:rsid w:val="5E2CFFC8"/>
    <w:rsid w:val="5E2FDBE4"/>
    <w:rsid w:val="5E48561C"/>
    <w:rsid w:val="5E68D004"/>
    <w:rsid w:val="5E7319C5"/>
    <w:rsid w:val="5E9CB1F7"/>
    <w:rsid w:val="5EA986EA"/>
    <w:rsid w:val="5EF2799F"/>
    <w:rsid w:val="5F1F5A7A"/>
    <w:rsid w:val="5FA3644D"/>
    <w:rsid w:val="5FC5BBD0"/>
    <w:rsid w:val="6009F3EE"/>
    <w:rsid w:val="604E41AD"/>
    <w:rsid w:val="604FA36E"/>
    <w:rsid w:val="60D04925"/>
    <w:rsid w:val="613AAF8D"/>
    <w:rsid w:val="617B9C37"/>
    <w:rsid w:val="61E18B3D"/>
    <w:rsid w:val="620028E2"/>
    <w:rsid w:val="625A4D5A"/>
    <w:rsid w:val="632E2A82"/>
    <w:rsid w:val="63CFF2EE"/>
    <w:rsid w:val="63D63FA4"/>
    <w:rsid w:val="63F5472A"/>
    <w:rsid w:val="63FE1EDA"/>
    <w:rsid w:val="642F1C58"/>
    <w:rsid w:val="64C6A898"/>
    <w:rsid w:val="654C7CE1"/>
    <w:rsid w:val="65545F90"/>
    <w:rsid w:val="6573B3E5"/>
    <w:rsid w:val="658C70EF"/>
    <w:rsid w:val="659BE6F2"/>
    <w:rsid w:val="6685C4A8"/>
    <w:rsid w:val="670529AD"/>
    <w:rsid w:val="68043F4D"/>
    <w:rsid w:val="6815F26E"/>
    <w:rsid w:val="68D18FFD"/>
    <w:rsid w:val="6981B89C"/>
    <w:rsid w:val="69C3D9A6"/>
    <w:rsid w:val="6A6488AE"/>
    <w:rsid w:val="6B3066B4"/>
    <w:rsid w:val="6B445474"/>
    <w:rsid w:val="6B4A4F2C"/>
    <w:rsid w:val="6BB73AC9"/>
    <w:rsid w:val="6BF1C283"/>
    <w:rsid w:val="6C2BC2FA"/>
    <w:rsid w:val="6C6FE729"/>
    <w:rsid w:val="6C72154E"/>
    <w:rsid w:val="6C8A8D81"/>
    <w:rsid w:val="6CCC3715"/>
    <w:rsid w:val="6D4481A0"/>
    <w:rsid w:val="6D9C2970"/>
    <w:rsid w:val="6DC8D5B1"/>
    <w:rsid w:val="6DD90D2C"/>
    <w:rsid w:val="6E8D0372"/>
    <w:rsid w:val="6EE3C7DD"/>
    <w:rsid w:val="6FDAC4A2"/>
    <w:rsid w:val="700C9F25"/>
    <w:rsid w:val="7020C5CD"/>
    <w:rsid w:val="705CDAC5"/>
    <w:rsid w:val="707B67CF"/>
    <w:rsid w:val="70FDD2C5"/>
    <w:rsid w:val="7122AACF"/>
    <w:rsid w:val="712AEB6B"/>
    <w:rsid w:val="71505A4E"/>
    <w:rsid w:val="715084D6"/>
    <w:rsid w:val="71ADDA34"/>
    <w:rsid w:val="71B8CEDC"/>
    <w:rsid w:val="71C45B5F"/>
    <w:rsid w:val="71DE791C"/>
    <w:rsid w:val="71DF42FF"/>
    <w:rsid w:val="7267A24D"/>
    <w:rsid w:val="729FAFAC"/>
    <w:rsid w:val="730A2902"/>
    <w:rsid w:val="73A8C334"/>
    <w:rsid w:val="746BCC90"/>
    <w:rsid w:val="75976BF5"/>
    <w:rsid w:val="76476054"/>
    <w:rsid w:val="76483369"/>
    <w:rsid w:val="764EE435"/>
    <w:rsid w:val="765DB279"/>
    <w:rsid w:val="767E8A92"/>
    <w:rsid w:val="776E17F1"/>
    <w:rsid w:val="776F40EC"/>
    <w:rsid w:val="779AB8FF"/>
    <w:rsid w:val="77BA1B8E"/>
    <w:rsid w:val="77DFAB75"/>
    <w:rsid w:val="781DA64C"/>
    <w:rsid w:val="78DB21BE"/>
    <w:rsid w:val="79418B21"/>
    <w:rsid w:val="796156F7"/>
    <w:rsid w:val="796F771C"/>
    <w:rsid w:val="79B976AD"/>
    <w:rsid w:val="79D3BFBB"/>
    <w:rsid w:val="7A16F982"/>
    <w:rsid w:val="7A8299FE"/>
    <w:rsid w:val="7A887CDC"/>
    <w:rsid w:val="7AA42007"/>
    <w:rsid w:val="7AEE1B61"/>
    <w:rsid w:val="7B52C7B1"/>
    <w:rsid w:val="7B929E82"/>
    <w:rsid w:val="7BC680A2"/>
    <w:rsid w:val="7C5F3007"/>
    <w:rsid w:val="7C6A718F"/>
    <w:rsid w:val="7CA74E73"/>
    <w:rsid w:val="7CE0C6C2"/>
    <w:rsid w:val="7D3A352C"/>
    <w:rsid w:val="7DBA3AC0"/>
    <w:rsid w:val="7DC1DEE9"/>
    <w:rsid w:val="7E8D67D1"/>
    <w:rsid w:val="7ECC061B"/>
    <w:rsid w:val="7F1845C4"/>
    <w:rsid w:val="7F1CCE9B"/>
    <w:rsid w:val="7F20A72C"/>
    <w:rsid w:val="7F46286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B194DB"/>
  <w14:defaultImageDpi w14:val="0"/>
  <w15:docId w15:val="{C0ADA527-ABF3-4620-9A3D-A4F7C058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header" w:locked="1"/>
    <w:lsdException w:name="caption" w:locked="1" w:semiHidden="1" w:uiPriority="0" w:unhideWhenUsed="1" w:qFormat="1"/>
    <w:lsdException w:name="annotation reference" w:uiPriority="0"/>
    <w:lsdException w:name="page number" w:lock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9FC"/>
    <w:pPr>
      <w:spacing w:after="200" w:line="276" w:lineRule="auto"/>
    </w:pPr>
    <w:rPr>
      <w:rFonts w:ascii="Arial" w:hAnsi="Arial" w:cs="Times New Roman"/>
      <w:sz w:val="24"/>
      <w:szCs w:val="22"/>
      <w:lang w:eastAsia="en-US"/>
    </w:rPr>
  </w:style>
  <w:style w:type="paragraph" w:styleId="Heading1">
    <w:name w:val="heading 1"/>
    <w:basedOn w:val="Normal"/>
    <w:next w:val="Normal"/>
    <w:link w:val="Heading1Char"/>
    <w:uiPriority w:val="9"/>
    <w:qFormat/>
    <w:locked/>
    <w:rsid w:val="008C225D"/>
    <w:pPr>
      <w:keepNext/>
      <w:keepLines/>
      <w:spacing w:before="120" w:after="120" w:line="240" w:lineRule="auto"/>
      <w:outlineLvl w:val="0"/>
    </w:pPr>
    <w:rPr>
      <w:rFonts w:eastAsiaTheme="majorEastAsia"/>
      <w:b/>
      <w:bCs/>
      <w:sz w:val="28"/>
      <w:szCs w:val="28"/>
    </w:rPr>
  </w:style>
  <w:style w:type="paragraph" w:styleId="Heading2">
    <w:name w:val="heading 2"/>
    <w:basedOn w:val="Normal"/>
    <w:next w:val="Normal"/>
    <w:link w:val="Heading2Char"/>
    <w:unhideWhenUsed/>
    <w:qFormat/>
    <w:locked/>
    <w:rsid w:val="008C225D"/>
    <w:pPr>
      <w:keepNext/>
      <w:keepLines/>
      <w:spacing w:before="120" w:after="120" w:line="240" w:lineRule="auto"/>
      <w:outlineLvl w:val="1"/>
    </w:pPr>
    <w:rPr>
      <w:rFonts w:eastAsiaTheme="majorEastAsia" w:cstheme="majorBidi"/>
      <w:b/>
      <w:szCs w:val="26"/>
    </w:rPr>
  </w:style>
  <w:style w:type="paragraph" w:styleId="Heading3">
    <w:name w:val="heading 3"/>
    <w:basedOn w:val="Normal"/>
    <w:next w:val="Normal"/>
    <w:link w:val="Heading3Char"/>
    <w:unhideWhenUsed/>
    <w:qFormat/>
    <w:locked/>
    <w:rsid w:val="00C65E0C"/>
    <w:pPr>
      <w:keepNext/>
      <w:keepLines/>
      <w:spacing w:before="240" w:after="240" w:line="240" w:lineRule="auto"/>
      <w:outlineLvl w:val="2"/>
    </w:pPr>
    <w:rPr>
      <w:rFonts w:eastAsiaTheme="majorEastAsia" w:cstheme="majorBidi"/>
      <w:b/>
      <w:szCs w:val="24"/>
    </w:rPr>
  </w:style>
  <w:style w:type="paragraph" w:styleId="Heading4">
    <w:name w:val="heading 4"/>
    <w:basedOn w:val="Normal"/>
    <w:next w:val="Normal"/>
    <w:link w:val="Heading4Char"/>
    <w:semiHidden/>
    <w:unhideWhenUsed/>
    <w:qFormat/>
    <w:locked/>
    <w:rsid w:val="00E574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9"/>
    <w:qFormat/>
    <w:rsid w:val="00852760"/>
    <w:pPr>
      <w:keepNext/>
      <w:widowControl w:val="0"/>
      <w:spacing w:after="0" w:line="240" w:lineRule="auto"/>
      <w:jc w:val="right"/>
      <w:outlineLvl w:val="7"/>
    </w:pPr>
    <w:rPr>
      <w:rFonts w:ascii="Times New Roman" w:hAnsi="Times New Roman"/>
      <w:b/>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225D"/>
    <w:rPr>
      <w:rFonts w:ascii="Arial" w:eastAsiaTheme="majorEastAsia" w:hAnsi="Arial" w:cs="Times New Roman"/>
      <w:b/>
      <w:bCs/>
      <w:sz w:val="28"/>
      <w:szCs w:val="28"/>
      <w:lang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uiPriority w:val="99"/>
    <w:rsid w:val="00852760"/>
    <w:pPr>
      <w:widowControl w:val="0"/>
      <w:tabs>
        <w:tab w:val="center" w:pos="4320"/>
        <w:tab w:val="right" w:pos="8640"/>
      </w:tabs>
      <w:spacing w:after="0" w:line="240" w:lineRule="auto"/>
    </w:pPr>
    <w:rPr>
      <w:rFonts w:ascii="Times New Roman" w:hAnsi="Times New Roman"/>
      <w:szCs w:val="20"/>
      <w:lang w:val="en-GB"/>
    </w:rPr>
  </w:style>
  <w:style w:type="character" w:customStyle="1" w:styleId="HeaderChar">
    <w:name w:val="Header Char"/>
    <w:basedOn w:val="DefaultParagraphFont"/>
    <w:link w:val="Header"/>
    <w:uiPriority w:val="99"/>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852760"/>
    <w:pPr>
      <w:spacing w:before="120" w:after="60" w:line="240" w:lineRule="exact"/>
    </w:pPr>
    <w:rPr>
      <w:sz w:val="18"/>
      <w:szCs w:val="20"/>
    </w:rPr>
  </w:style>
  <w:style w:type="character" w:customStyle="1" w:styleId="FooterChar">
    <w:name w:val="Footer Char"/>
    <w:basedOn w:val="DefaultParagraphFont"/>
    <w:link w:val="Footer"/>
    <w:uiPriority w:val="99"/>
    <w:locked/>
    <w:rsid w:val="00852760"/>
    <w:rPr>
      <w:rFonts w:ascii="Arial" w:hAnsi="Arial" w:cs="Times New Roman"/>
      <w:sz w:val="20"/>
      <w:szCs w:val="20"/>
    </w:rPr>
  </w:style>
  <w:style w:type="paragraph" w:customStyle="1" w:styleId="HeaderEven">
    <w:name w:val="HeaderEven"/>
    <w:basedOn w:val="Normal"/>
    <w:uiPriority w:val="99"/>
    <w:rsid w:val="00852760"/>
    <w:pPr>
      <w:spacing w:after="0" w:line="240" w:lineRule="auto"/>
    </w:pPr>
    <w:rPr>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after="0" w:line="240" w:lineRule="auto"/>
      <w:jc w:val="center"/>
    </w:pPr>
    <w:rPr>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852760"/>
    <w:pPr>
      <w:spacing w:after="0" w:line="240" w:lineRule="auto"/>
      <w:ind w:left="720"/>
    </w:pPr>
    <w:rPr>
      <w:rFonts w:cs="Calibri"/>
      <w:lang w:eastAsia="en-AU"/>
    </w:rPr>
  </w:style>
  <w:style w:type="character" w:styleId="CommentReference">
    <w:name w:val="annotation reference"/>
    <w:basedOn w:val="DefaultParagraphFont"/>
    <w:semiHidden/>
    <w:rsid w:val="008609A8"/>
    <w:rPr>
      <w:rFonts w:cs="Times New Roman"/>
      <w:sz w:val="16"/>
      <w:szCs w:val="16"/>
    </w:rPr>
  </w:style>
  <w:style w:type="paragraph" w:styleId="CommentText">
    <w:name w:val="annotation text"/>
    <w:basedOn w:val="Normal"/>
    <w:link w:val="CommentTextChar"/>
    <w:semiHidden/>
    <w:rsid w:val="008609A8"/>
    <w:rPr>
      <w:sz w:val="20"/>
      <w:szCs w:val="20"/>
    </w:rPr>
  </w:style>
  <w:style w:type="character" w:customStyle="1" w:styleId="CommentTextChar">
    <w:name w:val="Comment Text Char"/>
    <w:basedOn w:val="DefaultParagraphFont"/>
    <w:link w:val="CommentText"/>
    <w:semiHidden/>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after="0" w:line="240" w:lineRule="auto"/>
      <w:ind w:left="1100"/>
      <w:jc w:val="both"/>
    </w:pPr>
    <w:rPr>
      <w:rFonts w:ascii="Times New Roman" w:hAnsi="Times New Roman"/>
      <w:szCs w:val="20"/>
    </w:rPr>
  </w:style>
  <w:style w:type="paragraph" w:customStyle="1" w:styleId="Apara">
    <w:name w:val="A para"/>
    <w:basedOn w:val="Normal"/>
    <w:link w:val="AparaChar"/>
    <w:uiPriority w:val="99"/>
    <w:rsid w:val="00B147E9"/>
    <w:pPr>
      <w:tabs>
        <w:tab w:val="right" w:pos="1400"/>
        <w:tab w:val="left" w:pos="1600"/>
      </w:tabs>
      <w:spacing w:before="140" w:after="0" w:line="240" w:lineRule="auto"/>
      <w:ind w:left="1600" w:hanging="1600"/>
      <w:jc w:val="both"/>
      <w:outlineLvl w:val="6"/>
    </w:pPr>
    <w:rPr>
      <w:rFonts w:ascii="Times New Roman" w:hAnsi="Times New Roman"/>
      <w:szCs w:val="20"/>
    </w:rPr>
  </w:style>
  <w:style w:type="paragraph" w:styleId="FootnoteText">
    <w:name w:val="footnote text"/>
    <w:basedOn w:val="Normal"/>
    <w:link w:val="FootnoteTextChar"/>
    <w:uiPriority w:val="99"/>
    <w:rsid w:val="00205382"/>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05382"/>
    <w:rPr>
      <w:rFonts w:ascii="Times New Roman" w:hAnsi="Times New Roman" w:cs="Times New Roman"/>
      <w:lang w:val="en-GB" w:eastAsia="en-US"/>
    </w:rPr>
  </w:style>
  <w:style w:type="character" w:styleId="FootnoteReference">
    <w:name w:val="footnote reference"/>
    <w:basedOn w:val="DefaultParagraphFont"/>
    <w:uiPriority w:val="99"/>
    <w:rsid w:val="00205382"/>
    <w:rPr>
      <w:rFonts w:cs="Times New Roman"/>
      <w:vertAlign w:val="superscript"/>
    </w:rPr>
  </w:style>
  <w:style w:type="paragraph" w:customStyle="1" w:styleId="aDef">
    <w:name w:val="aDef"/>
    <w:basedOn w:val="Normal"/>
    <w:link w:val="aDefChar"/>
    <w:rsid w:val="00DD3B29"/>
    <w:pPr>
      <w:spacing w:before="140" w:after="0" w:line="240" w:lineRule="auto"/>
      <w:ind w:left="1100"/>
      <w:jc w:val="both"/>
    </w:pPr>
    <w:rPr>
      <w:rFonts w:ascii="Times New Roman" w:hAnsi="Times New Roman"/>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after="0" w:line="240" w:lineRule="auto"/>
      <w:ind w:left="2100" w:hanging="2100"/>
      <w:jc w:val="both"/>
      <w:outlineLvl w:val="7"/>
    </w:pPr>
    <w:rPr>
      <w:rFonts w:ascii="Times New Roman" w:hAnsi="Times New Roman"/>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after="0" w:line="240" w:lineRule="auto"/>
      <w:jc w:val="both"/>
    </w:pPr>
    <w:rPr>
      <w:rFonts w:ascii="Times New Roman" w:hAnsi="Times New Roman"/>
      <w:szCs w:val="20"/>
    </w:rPr>
  </w:style>
  <w:style w:type="paragraph" w:customStyle="1" w:styleId="Amain">
    <w:name w:val="A main"/>
    <w:basedOn w:val="Normal"/>
    <w:uiPriority w:val="99"/>
    <w:rsid w:val="003C6037"/>
    <w:pPr>
      <w:numPr>
        <w:ilvl w:val="5"/>
        <w:numId w:val="19"/>
      </w:numPr>
      <w:spacing w:before="140" w:after="0" w:line="240" w:lineRule="auto"/>
      <w:jc w:val="both"/>
      <w:outlineLvl w:val="5"/>
    </w:pPr>
    <w:rPr>
      <w:rFonts w:ascii="Times New Roman" w:hAnsi="Times New Roman"/>
      <w:szCs w:val="20"/>
    </w:rPr>
  </w:style>
  <w:style w:type="paragraph" w:customStyle="1" w:styleId="Asubpara">
    <w:name w:val="A subpara"/>
    <w:basedOn w:val="Normal"/>
    <w:uiPriority w:val="99"/>
    <w:rsid w:val="003C6037"/>
    <w:pPr>
      <w:tabs>
        <w:tab w:val="num" w:pos="2140"/>
      </w:tabs>
      <w:spacing w:before="140" w:after="0" w:line="240" w:lineRule="auto"/>
      <w:ind w:left="2140" w:hanging="200"/>
      <w:jc w:val="both"/>
      <w:outlineLvl w:val="7"/>
    </w:pPr>
    <w:rPr>
      <w:rFonts w:ascii="Times New Roman" w:hAnsi="Times New Roman"/>
      <w:szCs w:val="20"/>
    </w:rPr>
  </w:style>
  <w:style w:type="paragraph" w:customStyle="1" w:styleId="Asubsubpara">
    <w:name w:val="A subsubpara"/>
    <w:basedOn w:val="Normal"/>
    <w:uiPriority w:val="99"/>
    <w:rsid w:val="003C6037"/>
    <w:pPr>
      <w:tabs>
        <w:tab w:val="num" w:pos="2660"/>
      </w:tabs>
      <w:spacing w:before="140" w:after="0" w:line="240" w:lineRule="auto"/>
      <w:ind w:left="2660" w:hanging="200"/>
      <w:jc w:val="both"/>
      <w:outlineLvl w:val="8"/>
    </w:pPr>
    <w:rPr>
      <w:rFonts w:ascii="Times New Roman" w:hAnsi="Times New Roman"/>
      <w:szCs w:val="20"/>
    </w:rPr>
  </w:style>
  <w:style w:type="paragraph" w:customStyle="1" w:styleId="AH5Sec">
    <w:name w:val="A H5 Sec"/>
    <w:basedOn w:val="Normal"/>
    <w:next w:val="Amain"/>
    <w:rsid w:val="003C6037"/>
    <w:pPr>
      <w:keepNext/>
      <w:numPr>
        <w:ilvl w:val="4"/>
        <w:numId w:val="19"/>
      </w:numPr>
      <w:spacing w:before="240" w:after="0" w:line="240" w:lineRule="auto"/>
      <w:outlineLvl w:val="4"/>
    </w:pPr>
    <w:rPr>
      <w:b/>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44087"/>
    <w:rPr>
      <w:rFonts w:cs="Calibri"/>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20"/>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after="0" w:line="240" w:lineRule="auto"/>
      <w:ind w:left="2140" w:hanging="2140"/>
      <w:jc w:val="both"/>
    </w:pPr>
    <w:rPr>
      <w:rFonts w:ascii="Times New Roman" w:hAnsi="Times New Roman"/>
      <w:szCs w:val="24"/>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850C21"/>
    <w:rPr>
      <w:rFonts w:cs="Times New Roman"/>
      <w:b/>
      <w:bCs/>
    </w:rPr>
  </w:style>
  <w:style w:type="paragraph" w:customStyle="1" w:styleId="aNote">
    <w:name w:val="aNote"/>
    <w:basedOn w:val="Normal"/>
    <w:link w:val="aNoteChar"/>
    <w:rsid w:val="001101D7"/>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szCs w:val="24"/>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szCs w:val="24"/>
      <w:lang w:eastAsia="en-AU"/>
    </w:rPr>
  </w:style>
  <w:style w:type="character" w:customStyle="1" w:styleId="Calibri12">
    <w:name w:val="Calibri 12"/>
    <w:uiPriority w:val="1"/>
    <w:qFormat/>
    <w:rsid w:val="00032126"/>
    <w:rPr>
      <w:rFonts w:ascii="Calibri" w:hAnsi="Calibri"/>
      <w:sz w:val="24"/>
    </w:rPr>
  </w:style>
  <w:style w:type="character" w:customStyle="1" w:styleId="Heading2Char">
    <w:name w:val="Heading 2 Char"/>
    <w:basedOn w:val="DefaultParagraphFont"/>
    <w:link w:val="Heading2"/>
    <w:rsid w:val="008C225D"/>
    <w:rPr>
      <w:rFonts w:ascii="Arial" w:eastAsiaTheme="majorEastAsia" w:hAnsi="Arial" w:cstheme="majorBidi"/>
      <w:b/>
      <w:sz w:val="24"/>
      <w:szCs w:val="26"/>
      <w:lang w:eastAsia="en-US"/>
    </w:rPr>
  </w:style>
  <w:style w:type="character" w:customStyle="1" w:styleId="Heading3Char">
    <w:name w:val="Heading 3 Char"/>
    <w:basedOn w:val="DefaultParagraphFont"/>
    <w:link w:val="Heading3"/>
    <w:rsid w:val="00C65E0C"/>
    <w:rPr>
      <w:rFonts w:ascii="Arial" w:eastAsiaTheme="majorEastAsia" w:hAnsi="Arial" w:cstheme="majorBidi"/>
      <w:b/>
      <w:sz w:val="24"/>
      <w:szCs w:val="24"/>
      <w:lang w:eastAsia="en-US"/>
    </w:rPr>
  </w:style>
  <w:style w:type="character" w:customStyle="1" w:styleId="Heading4Char">
    <w:name w:val="Heading 4 Char"/>
    <w:basedOn w:val="DefaultParagraphFont"/>
    <w:link w:val="Heading4"/>
    <w:semiHidden/>
    <w:rsid w:val="00E574DD"/>
    <w:rPr>
      <w:rFonts w:asciiTheme="majorHAnsi" w:eastAsiaTheme="majorEastAsia" w:hAnsiTheme="majorHAnsi" w:cstheme="majorBidi"/>
      <w:i/>
      <w:iCs/>
      <w:color w:val="365F91" w:themeColor="accent1" w:themeShade="BF"/>
      <w:sz w:val="22"/>
      <w:szCs w:val="22"/>
      <w:lang w:eastAsia="en-US"/>
    </w:rPr>
  </w:style>
  <w:style w:type="character" w:styleId="UnresolvedMention">
    <w:name w:val="Unresolved Mention"/>
    <w:basedOn w:val="DefaultParagraphFont"/>
    <w:uiPriority w:val="99"/>
    <w:semiHidden/>
    <w:unhideWhenUsed/>
    <w:rsid w:val="00F178E3"/>
    <w:rPr>
      <w:color w:val="605E5C"/>
      <w:shd w:val="clear" w:color="auto" w:fill="E1DFDD"/>
    </w:rPr>
  </w:style>
  <w:style w:type="paragraph" w:customStyle="1" w:styleId="CS-Paragraphnumbering">
    <w:name w:val="CS - Paragraph numbering"/>
    <w:basedOn w:val="Normal"/>
    <w:rsid w:val="00131DB4"/>
    <w:pPr>
      <w:numPr>
        <w:numId w:val="22"/>
      </w:numPr>
      <w:spacing w:after="120"/>
      <w:ind w:right="-45"/>
    </w:pPr>
    <w:rPr>
      <w:rFonts w:asciiTheme="minorHAnsi" w:eastAsiaTheme="minorHAnsi" w:hAnsi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74579">
      <w:bodyDiv w:val="1"/>
      <w:marLeft w:val="0"/>
      <w:marRight w:val="0"/>
      <w:marTop w:val="0"/>
      <w:marBottom w:val="0"/>
      <w:divBdr>
        <w:top w:val="none" w:sz="0" w:space="0" w:color="auto"/>
        <w:left w:val="none" w:sz="0" w:space="0" w:color="auto"/>
        <w:bottom w:val="none" w:sz="0" w:space="0" w:color="auto"/>
        <w:right w:val="none" w:sz="0" w:space="0" w:color="auto"/>
      </w:divBdr>
    </w:div>
    <w:div w:id="507060176">
      <w:bodyDiv w:val="1"/>
      <w:marLeft w:val="0"/>
      <w:marRight w:val="0"/>
      <w:marTop w:val="0"/>
      <w:marBottom w:val="0"/>
      <w:divBdr>
        <w:top w:val="none" w:sz="0" w:space="0" w:color="auto"/>
        <w:left w:val="none" w:sz="0" w:space="0" w:color="auto"/>
        <w:bottom w:val="none" w:sz="0" w:space="0" w:color="auto"/>
        <w:right w:val="none" w:sz="0" w:space="0" w:color="auto"/>
      </w:divBdr>
    </w:div>
    <w:div w:id="542446003">
      <w:bodyDiv w:val="1"/>
      <w:marLeft w:val="0"/>
      <w:marRight w:val="0"/>
      <w:marTop w:val="0"/>
      <w:marBottom w:val="0"/>
      <w:divBdr>
        <w:top w:val="none" w:sz="0" w:space="0" w:color="auto"/>
        <w:left w:val="none" w:sz="0" w:space="0" w:color="auto"/>
        <w:bottom w:val="none" w:sz="0" w:space="0" w:color="auto"/>
        <w:right w:val="none" w:sz="0" w:space="0" w:color="auto"/>
      </w:divBdr>
    </w:div>
    <w:div w:id="1251238587">
      <w:bodyDiv w:val="1"/>
      <w:marLeft w:val="0"/>
      <w:marRight w:val="0"/>
      <w:marTop w:val="0"/>
      <w:marBottom w:val="0"/>
      <w:divBdr>
        <w:top w:val="none" w:sz="0" w:space="0" w:color="auto"/>
        <w:left w:val="none" w:sz="0" w:space="0" w:color="auto"/>
        <w:bottom w:val="none" w:sz="0" w:space="0" w:color="auto"/>
        <w:right w:val="none" w:sz="0" w:space="0" w:color="auto"/>
      </w:divBdr>
    </w:div>
    <w:div w:id="2003314557">
      <w:marLeft w:val="0"/>
      <w:marRight w:val="0"/>
      <w:marTop w:val="0"/>
      <w:marBottom w:val="0"/>
      <w:divBdr>
        <w:top w:val="none" w:sz="0" w:space="0" w:color="auto"/>
        <w:left w:val="none" w:sz="0" w:space="0" w:color="auto"/>
        <w:bottom w:val="none" w:sz="0" w:space="0" w:color="auto"/>
        <w:right w:val="none" w:sz="0" w:space="0" w:color="auto"/>
      </w:divBdr>
    </w:div>
    <w:div w:id="2003314558">
      <w:marLeft w:val="0"/>
      <w:marRight w:val="0"/>
      <w:marTop w:val="0"/>
      <w:marBottom w:val="0"/>
      <w:divBdr>
        <w:top w:val="none" w:sz="0" w:space="0" w:color="auto"/>
        <w:left w:val="none" w:sz="0" w:space="0" w:color="auto"/>
        <w:bottom w:val="none" w:sz="0" w:space="0" w:color="auto"/>
        <w:right w:val="none" w:sz="0" w:space="0" w:color="auto"/>
      </w:divBdr>
    </w:div>
    <w:div w:id="2003314559">
      <w:marLeft w:val="0"/>
      <w:marRight w:val="0"/>
      <w:marTop w:val="0"/>
      <w:marBottom w:val="0"/>
      <w:divBdr>
        <w:top w:val="none" w:sz="0" w:space="0" w:color="auto"/>
        <w:left w:val="none" w:sz="0" w:space="0" w:color="auto"/>
        <w:bottom w:val="none" w:sz="0" w:space="0" w:color="auto"/>
        <w:right w:val="none" w:sz="0" w:space="0" w:color="auto"/>
      </w:divBdr>
    </w:div>
    <w:div w:id="2003314565">
      <w:marLeft w:val="0"/>
      <w:marRight w:val="0"/>
      <w:marTop w:val="0"/>
      <w:marBottom w:val="0"/>
      <w:divBdr>
        <w:top w:val="none" w:sz="0" w:space="0" w:color="auto"/>
        <w:left w:val="none" w:sz="0" w:space="0" w:color="auto"/>
        <w:bottom w:val="none" w:sz="0" w:space="0" w:color="auto"/>
        <w:right w:val="none" w:sz="0" w:space="0" w:color="auto"/>
      </w:divBdr>
    </w:div>
    <w:div w:id="2003314568">
      <w:marLeft w:val="0"/>
      <w:marRight w:val="0"/>
      <w:marTop w:val="0"/>
      <w:marBottom w:val="0"/>
      <w:divBdr>
        <w:top w:val="none" w:sz="0" w:space="0" w:color="auto"/>
        <w:left w:val="none" w:sz="0" w:space="0" w:color="auto"/>
        <w:bottom w:val="none" w:sz="0" w:space="0" w:color="auto"/>
        <w:right w:val="none" w:sz="0" w:space="0" w:color="auto"/>
      </w:divBdr>
      <w:divsChild>
        <w:div w:id="2003314572">
          <w:marLeft w:val="0"/>
          <w:marRight w:val="0"/>
          <w:marTop w:val="0"/>
          <w:marBottom w:val="0"/>
          <w:divBdr>
            <w:top w:val="none" w:sz="0" w:space="0" w:color="auto"/>
            <w:left w:val="none" w:sz="0" w:space="0" w:color="auto"/>
            <w:bottom w:val="none" w:sz="0" w:space="0" w:color="auto"/>
            <w:right w:val="none" w:sz="0" w:space="0" w:color="auto"/>
          </w:divBdr>
          <w:divsChild>
            <w:div w:id="2003314583">
              <w:marLeft w:val="0"/>
              <w:marRight w:val="0"/>
              <w:marTop w:val="0"/>
              <w:marBottom w:val="0"/>
              <w:divBdr>
                <w:top w:val="none" w:sz="0" w:space="0" w:color="auto"/>
                <w:left w:val="none" w:sz="0" w:space="0" w:color="auto"/>
                <w:bottom w:val="none" w:sz="0" w:space="0" w:color="auto"/>
                <w:right w:val="none" w:sz="0" w:space="0" w:color="auto"/>
              </w:divBdr>
              <w:divsChild>
                <w:div w:id="2003314606">
                  <w:marLeft w:val="0"/>
                  <w:marRight w:val="0"/>
                  <w:marTop w:val="0"/>
                  <w:marBottom w:val="0"/>
                  <w:divBdr>
                    <w:top w:val="none" w:sz="0" w:space="0" w:color="auto"/>
                    <w:left w:val="none" w:sz="0" w:space="0" w:color="auto"/>
                    <w:bottom w:val="none" w:sz="0" w:space="0" w:color="auto"/>
                    <w:right w:val="none" w:sz="0" w:space="0" w:color="auto"/>
                  </w:divBdr>
                  <w:divsChild>
                    <w:div w:id="2003314600">
                      <w:marLeft w:val="0"/>
                      <w:marRight w:val="0"/>
                      <w:marTop w:val="0"/>
                      <w:marBottom w:val="0"/>
                      <w:divBdr>
                        <w:top w:val="none" w:sz="0" w:space="0" w:color="auto"/>
                        <w:left w:val="none" w:sz="0" w:space="0" w:color="auto"/>
                        <w:bottom w:val="none" w:sz="0" w:space="0" w:color="auto"/>
                        <w:right w:val="none" w:sz="0" w:space="0" w:color="auto"/>
                      </w:divBdr>
                      <w:divsChild>
                        <w:div w:id="2003314574">
                          <w:marLeft w:val="0"/>
                          <w:marRight w:val="0"/>
                          <w:marTop w:val="0"/>
                          <w:marBottom w:val="0"/>
                          <w:divBdr>
                            <w:top w:val="none" w:sz="0" w:space="0" w:color="auto"/>
                            <w:left w:val="none" w:sz="0" w:space="0" w:color="auto"/>
                            <w:bottom w:val="none" w:sz="0" w:space="0" w:color="auto"/>
                            <w:right w:val="none" w:sz="0" w:space="0" w:color="auto"/>
                          </w:divBdr>
                          <w:divsChild>
                            <w:div w:id="2003314573">
                              <w:marLeft w:val="0"/>
                              <w:marRight w:val="0"/>
                              <w:marTop w:val="0"/>
                              <w:marBottom w:val="0"/>
                              <w:divBdr>
                                <w:top w:val="none" w:sz="0" w:space="0" w:color="auto"/>
                                <w:left w:val="none" w:sz="0" w:space="0" w:color="auto"/>
                                <w:bottom w:val="none" w:sz="0" w:space="0" w:color="auto"/>
                                <w:right w:val="none" w:sz="0" w:space="0" w:color="auto"/>
                              </w:divBdr>
                              <w:divsChild>
                                <w:div w:id="2003314603">
                                  <w:marLeft w:val="0"/>
                                  <w:marRight w:val="0"/>
                                  <w:marTop w:val="0"/>
                                  <w:marBottom w:val="0"/>
                                  <w:divBdr>
                                    <w:top w:val="none" w:sz="0" w:space="0" w:color="auto"/>
                                    <w:left w:val="none" w:sz="0" w:space="0" w:color="auto"/>
                                    <w:bottom w:val="none" w:sz="0" w:space="0" w:color="auto"/>
                                    <w:right w:val="none" w:sz="0" w:space="0" w:color="auto"/>
                                  </w:divBdr>
                                  <w:divsChild>
                                    <w:div w:id="200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4576">
      <w:marLeft w:val="0"/>
      <w:marRight w:val="0"/>
      <w:marTop w:val="0"/>
      <w:marBottom w:val="0"/>
      <w:divBdr>
        <w:top w:val="none" w:sz="0" w:space="0" w:color="auto"/>
        <w:left w:val="none" w:sz="0" w:space="0" w:color="auto"/>
        <w:bottom w:val="none" w:sz="0" w:space="0" w:color="auto"/>
        <w:right w:val="none" w:sz="0" w:space="0" w:color="auto"/>
      </w:divBdr>
      <w:divsChild>
        <w:div w:id="2003314584">
          <w:marLeft w:val="0"/>
          <w:marRight w:val="0"/>
          <w:marTop w:val="0"/>
          <w:marBottom w:val="0"/>
          <w:divBdr>
            <w:top w:val="none" w:sz="0" w:space="0" w:color="auto"/>
            <w:left w:val="none" w:sz="0" w:space="0" w:color="auto"/>
            <w:bottom w:val="none" w:sz="0" w:space="0" w:color="auto"/>
            <w:right w:val="none" w:sz="0" w:space="0" w:color="auto"/>
          </w:divBdr>
          <w:divsChild>
            <w:div w:id="2003314582">
              <w:marLeft w:val="0"/>
              <w:marRight w:val="0"/>
              <w:marTop w:val="0"/>
              <w:marBottom w:val="0"/>
              <w:divBdr>
                <w:top w:val="none" w:sz="0" w:space="0" w:color="auto"/>
                <w:left w:val="none" w:sz="0" w:space="0" w:color="auto"/>
                <w:bottom w:val="none" w:sz="0" w:space="0" w:color="auto"/>
                <w:right w:val="none" w:sz="0" w:space="0" w:color="auto"/>
              </w:divBdr>
              <w:divsChild>
                <w:div w:id="2003314594">
                  <w:marLeft w:val="0"/>
                  <w:marRight w:val="0"/>
                  <w:marTop w:val="0"/>
                  <w:marBottom w:val="0"/>
                  <w:divBdr>
                    <w:top w:val="none" w:sz="0" w:space="0" w:color="auto"/>
                    <w:left w:val="none" w:sz="0" w:space="0" w:color="auto"/>
                    <w:bottom w:val="none" w:sz="0" w:space="0" w:color="auto"/>
                    <w:right w:val="none" w:sz="0" w:space="0" w:color="auto"/>
                  </w:divBdr>
                  <w:divsChild>
                    <w:div w:id="2003314602">
                      <w:marLeft w:val="0"/>
                      <w:marRight w:val="0"/>
                      <w:marTop w:val="0"/>
                      <w:marBottom w:val="0"/>
                      <w:divBdr>
                        <w:top w:val="none" w:sz="0" w:space="0" w:color="auto"/>
                        <w:left w:val="none" w:sz="0" w:space="0" w:color="auto"/>
                        <w:bottom w:val="none" w:sz="0" w:space="0" w:color="auto"/>
                        <w:right w:val="none" w:sz="0" w:space="0" w:color="auto"/>
                      </w:divBdr>
                      <w:divsChild>
                        <w:div w:id="2003314563">
                          <w:marLeft w:val="0"/>
                          <w:marRight w:val="0"/>
                          <w:marTop w:val="0"/>
                          <w:marBottom w:val="0"/>
                          <w:divBdr>
                            <w:top w:val="none" w:sz="0" w:space="0" w:color="auto"/>
                            <w:left w:val="none" w:sz="0" w:space="0" w:color="auto"/>
                            <w:bottom w:val="none" w:sz="0" w:space="0" w:color="auto"/>
                            <w:right w:val="none" w:sz="0" w:space="0" w:color="auto"/>
                          </w:divBdr>
                          <w:divsChild>
                            <w:div w:id="2003314571">
                              <w:marLeft w:val="0"/>
                              <w:marRight w:val="0"/>
                              <w:marTop w:val="0"/>
                              <w:marBottom w:val="0"/>
                              <w:divBdr>
                                <w:top w:val="none" w:sz="0" w:space="0" w:color="auto"/>
                                <w:left w:val="none" w:sz="0" w:space="0" w:color="auto"/>
                                <w:bottom w:val="none" w:sz="0" w:space="0" w:color="auto"/>
                                <w:right w:val="none" w:sz="0" w:space="0" w:color="auto"/>
                              </w:divBdr>
                              <w:divsChild>
                                <w:div w:id="200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78">
      <w:marLeft w:val="0"/>
      <w:marRight w:val="0"/>
      <w:marTop w:val="0"/>
      <w:marBottom w:val="0"/>
      <w:divBdr>
        <w:top w:val="none" w:sz="0" w:space="0" w:color="auto"/>
        <w:left w:val="none" w:sz="0" w:space="0" w:color="auto"/>
        <w:bottom w:val="none" w:sz="0" w:space="0" w:color="auto"/>
        <w:right w:val="none" w:sz="0" w:space="0" w:color="auto"/>
      </w:divBdr>
    </w:div>
    <w:div w:id="2003314581">
      <w:marLeft w:val="0"/>
      <w:marRight w:val="0"/>
      <w:marTop w:val="0"/>
      <w:marBottom w:val="0"/>
      <w:divBdr>
        <w:top w:val="none" w:sz="0" w:space="0" w:color="auto"/>
        <w:left w:val="none" w:sz="0" w:space="0" w:color="auto"/>
        <w:bottom w:val="none" w:sz="0" w:space="0" w:color="auto"/>
        <w:right w:val="none" w:sz="0" w:space="0" w:color="auto"/>
      </w:divBdr>
      <w:divsChild>
        <w:div w:id="2003314561">
          <w:marLeft w:val="0"/>
          <w:marRight w:val="0"/>
          <w:marTop w:val="0"/>
          <w:marBottom w:val="0"/>
          <w:divBdr>
            <w:top w:val="none" w:sz="0" w:space="0" w:color="auto"/>
            <w:left w:val="none" w:sz="0" w:space="0" w:color="auto"/>
            <w:bottom w:val="none" w:sz="0" w:space="0" w:color="auto"/>
            <w:right w:val="none" w:sz="0" w:space="0" w:color="auto"/>
          </w:divBdr>
          <w:divsChild>
            <w:div w:id="2003314570">
              <w:marLeft w:val="0"/>
              <w:marRight w:val="0"/>
              <w:marTop w:val="0"/>
              <w:marBottom w:val="0"/>
              <w:divBdr>
                <w:top w:val="none" w:sz="0" w:space="0" w:color="auto"/>
                <w:left w:val="none" w:sz="0" w:space="0" w:color="auto"/>
                <w:bottom w:val="none" w:sz="0" w:space="0" w:color="auto"/>
                <w:right w:val="none" w:sz="0" w:space="0" w:color="auto"/>
              </w:divBdr>
              <w:divsChild>
                <w:div w:id="2003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87">
      <w:marLeft w:val="0"/>
      <w:marRight w:val="0"/>
      <w:marTop w:val="0"/>
      <w:marBottom w:val="0"/>
      <w:divBdr>
        <w:top w:val="none" w:sz="0" w:space="0" w:color="auto"/>
        <w:left w:val="none" w:sz="0" w:space="0" w:color="auto"/>
        <w:bottom w:val="none" w:sz="0" w:space="0" w:color="auto"/>
        <w:right w:val="none" w:sz="0" w:space="0" w:color="auto"/>
      </w:divBdr>
      <w:divsChild>
        <w:div w:id="2003314560">
          <w:marLeft w:val="0"/>
          <w:marRight w:val="0"/>
          <w:marTop w:val="0"/>
          <w:marBottom w:val="0"/>
          <w:divBdr>
            <w:top w:val="none" w:sz="0" w:space="0" w:color="auto"/>
            <w:left w:val="none" w:sz="0" w:space="0" w:color="auto"/>
            <w:bottom w:val="none" w:sz="0" w:space="0" w:color="auto"/>
            <w:right w:val="none" w:sz="0" w:space="0" w:color="auto"/>
          </w:divBdr>
          <w:divsChild>
            <w:div w:id="20033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590">
      <w:marLeft w:val="0"/>
      <w:marRight w:val="0"/>
      <w:marTop w:val="0"/>
      <w:marBottom w:val="0"/>
      <w:divBdr>
        <w:top w:val="none" w:sz="0" w:space="0" w:color="auto"/>
        <w:left w:val="none" w:sz="0" w:space="0" w:color="auto"/>
        <w:bottom w:val="none" w:sz="0" w:space="0" w:color="auto"/>
        <w:right w:val="none" w:sz="0" w:space="0" w:color="auto"/>
      </w:divBdr>
      <w:divsChild>
        <w:div w:id="2003314566">
          <w:marLeft w:val="0"/>
          <w:marRight w:val="0"/>
          <w:marTop w:val="0"/>
          <w:marBottom w:val="0"/>
          <w:divBdr>
            <w:top w:val="none" w:sz="0" w:space="0" w:color="auto"/>
            <w:left w:val="none" w:sz="0" w:space="0" w:color="auto"/>
            <w:bottom w:val="none" w:sz="0" w:space="0" w:color="auto"/>
            <w:right w:val="none" w:sz="0" w:space="0" w:color="auto"/>
          </w:divBdr>
          <w:divsChild>
            <w:div w:id="2003314580">
              <w:marLeft w:val="0"/>
              <w:marRight w:val="0"/>
              <w:marTop w:val="0"/>
              <w:marBottom w:val="0"/>
              <w:divBdr>
                <w:top w:val="none" w:sz="0" w:space="0" w:color="auto"/>
                <w:left w:val="none" w:sz="0" w:space="0" w:color="auto"/>
                <w:bottom w:val="none" w:sz="0" w:space="0" w:color="auto"/>
                <w:right w:val="none" w:sz="0" w:space="0" w:color="auto"/>
              </w:divBdr>
              <w:divsChild>
                <w:div w:id="200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91">
      <w:marLeft w:val="0"/>
      <w:marRight w:val="0"/>
      <w:marTop w:val="0"/>
      <w:marBottom w:val="0"/>
      <w:divBdr>
        <w:top w:val="none" w:sz="0" w:space="0" w:color="auto"/>
        <w:left w:val="none" w:sz="0" w:space="0" w:color="auto"/>
        <w:bottom w:val="none" w:sz="0" w:space="0" w:color="auto"/>
        <w:right w:val="none" w:sz="0" w:space="0" w:color="auto"/>
      </w:divBdr>
      <w:divsChild>
        <w:div w:id="2003314586">
          <w:marLeft w:val="0"/>
          <w:marRight w:val="0"/>
          <w:marTop w:val="0"/>
          <w:marBottom w:val="0"/>
          <w:divBdr>
            <w:top w:val="none" w:sz="0" w:space="0" w:color="auto"/>
            <w:left w:val="none" w:sz="0" w:space="0" w:color="auto"/>
            <w:bottom w:val="none" w:sz="0" w:space="0" w:color="auto"/>
            <w:right w:val="none" w:sz="0" w:space="0" w:color="auto"/>
          </w:divBdr>
          <w:divsChild>
            <w:div w:id="2003314562">
              <w:marLeft w:val="0"/>
              <w:marRight w:val="0"/>
              <w:marTop w:val="0"/>
              <w:marBottom w:val="0"/>
              <w:divBdr>
                <w:top w:val="none" w:sz="0" w:space="0" w:color="auto"/>
                <w:left w:val="none" w:sz="0" w:space="0" w:color="auto"/>
                <w:bottom w:val="none" w:sz="0" w:space="0" w:color="auto"/>
                <w:right w:val="none" w:sz="0" w:space="0" w:color="auto"/>
              </w:divBdr>
              <w:divsChild>
                <w:div w:id="2003314579">
                  <w:marLeft w:val="0"/>
                  <w:marRight w:val="0"/>
                  <w:marTop w:val="0"/>
                  <w:marBottom w:val="0"/>
                  <w:divBdr>
                    <w:top w:val="none" w:sz="0" w:space="0" w:color="auto"/>
                    <w:left w:val="none" w:sz="0" w:space="0" w:color="auto"/>
                    <w:bottom w:val="none" w:sz="0" w:space="0" w:color="auto"/>
                    <w:right w:val="none" w:sz="0" w:space="0" w:color="auto"/>
                  </w:divBdr>
                  <w:divsChild>
                    <w:div w:id="2003314569">
                      <w:marLeft w:val="0"/>
                      <w:marRight w:val="0"/>
                      <w:marTop w:val="0"/>
                      <w:marBottom w:val="0"/>
                      <w:divBdr>
                        <w:top w:val="none" w:sz="0" w:space="0" w:color="auto"/>
                        <w:left w:val="none" w:sz="0" w:space="0" w:color="auto"/>
                        <w:bottom w:val="none" w:sz="0" w:space="0" w:color="auto"/>
                        <w:right w:val="none" w:sz="0" w:space="0" w:color="auto"/>
                      </w:divBdr>
                      <w:divsChild>
                        <w:div w:id="2003314601">
                          <w:marLeft w:val="0"/>
                          <w:marRight w:val="0"/>
                          <w:marTop w:val="0"/>
                          <w:marBottom w:val="0"/>
                          <w:divBdr>
                            <w:top w:val="none" w:sz="0" w:space="0" w:color="auto"/>
                            <w:left w:val="none" w:sz="0" w:space="0" w:color="auto"/>
                            <w:bottom w:val="none" w:sz="0" w:space="0" w:color="auto"/>
                            <w:right w:val="none" w:sz="0" w:space="0" w:color="auto"/>
                          </w:divBdr>
                          <w:divsChild>
                            <w:div w:id="2003314597">
                              <w:marLeft w:val="0"/>
                              <w:marRight w:val="0"/>
                              <w:marTop w:val="0"/>
                              <w:marBottom w:val="0"/>
                              <w:divBdr>
                                <w:top w:val="none" w:sz="0" w:space="0" w:color="auto"/>
                                <w:left w:val="none" w:sz="0" w:space="0" w:color="auto"/>
                                <w:bottom w:val="none" w:sz="0" w:space="0" w:color="auto"/>
                                <w:right w:val="none" w:sz="0" w:space="0" w:color="auto"/>
                              </w:divBdr>
                              <w:divsChild>
                                <w:div w:id="200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93">
      <w:marLeft w:val="0"/>
      <w:marRight w:val="0"/>
      <w:marTop w:val="0"/>
      <w:marBottom w:val="0"/>
      <w:divBdr>
        <w:top w:val="none" w:sz="0" w:space="0" w:color="auto"/>
        <w:left w:val="none" w:sz="0" w:space="0" w:color="auto"/>
        <w:bottom w:val="none" w:sz="0" w:space="0" w:color="auto"/>
        <w:right w:val="none" w:sz="0" w:space="0" w:color="auto"/>
      </w:divBdr>
    </w:div>
    <w:div w:id="2003314595">
      <w:marLeft w:val="0"/>
      <w:marRight w:val="0"/>
      <w:marTop w:val="0"/>
      <w:marBottom w:val="0"/>
      <w:divBdr>
        <w:top w:val="none" w:sz="0" w:space="0" w:color="auto"/>
        <w:left w:val="none" w:sz="0" w:space="0" w:color="auto"/>
        <w:bottom w:val="none" w:sz="0" w:space="0" w:color="auto"/>
        <w:right w:val="none" w:sz="0" w:space="0" w:color="auto"/>
      </w:divBdr>
    </w:div>
    <w:div w:id="2003314598">
      <w:marLeft w:val="0"/>
      <w:marRight w:val="0"/>
      <w:marTop w:val="0"/>
      <w:marBottom w:val="0"/>
      <w:divBdr>
        <w:top w:val="none" w:sz="0" w:space="0" w:color="auto"/>
        <w:left w:val="none" w:sz="0" w:space="0" w:color="auto"/>
        <w:bottom w:val="none" w:sz="0" w:space="0" w:color="auto"/>
        <w:right w:val="none" w:sz="0" w:space="0" w:color="auto"/>
      </w:divBdr>
    </w:div>
    <w:div w:id="2003314604">
      <w:marLeft w:val="0"/>
      <w:marRight w:val="0"/>
      <w:marTop w:val="0"/>
      <w:marBottom w:val="0"/>
      <w:divBdr>
        <w:top w:val="none" w:sz="0" w:space="0" w:color="auto"/>
        <w:left w:val="none" w:sz="0" w:space="0" w:color="auto"/>
        <w:bottom w:val="none" w:sz="0" w:space="0" w:color="auto"/>
        <w:right w:val="none" w:sz="0" w:space="0" w:color="auto"/>
      </w:divBdr>
      <w:divsChild>
        <w:div w:id="2003314564">
          <w:marLeft w:val="0"/>
          <w:marRight w:val="0"/>
          <w:marTop w:val="0"/>
          <w:marBottom w:val="0"/>
          <w:divBdr>
            <w:top w:val="none" w:sz="0" w:space="0" w:color="auto"/>
            <w:left w:val="none" w:sz="0" w:space="0" w:color="auto"/>
            <w:bottom w:val="none" w:sz="0" w:space="0" w:color="auto"/>
            <w:right w:val="none" w:sz="0" w:space="0" w:color="auto"/>
          </w:divBdr>
          <w:divsChild>
            <w:div w:id="2003314567">
              <w:marLeft w:val="0"/>
              <w:marRight w:val="0"/>
              <w:marTop w:val="0"/>
              <w:marBottom w:val="0"/>
              <w:divBdr>
                <w:top w:val="none" w:sz="0" w:space="0" w:color="auto"/>
                <w:left w:val="none" w:sz="0" w:space="0" w:color="auto"/>
                <w:bottom w:val="none" w:sz="0" w:space="0" w:color="auto"/>
                <w:right w:val="none" w:sz="0" w:space="0" w:color="auto"/>
              </w:divBdr>
              <w:divsChild>
                <w:div w:id="2003314577">
                  <w:marLeft w:val="0"/>
                  <w:marRight w:val="0"/>
                  <w:marTop w:val="0"/>
                  <w:marBottom w:val="0"/>
                  <w:divBdr>
                    <w:top w:val="none" w:sz="0" w:space="0" w:color="auto"/>
                    <w:left w:val="none" w:sz="0" w:space="0" w:color="auto"/>
                    <w:bottom w:val="none" w:sz="0" w:space="0" w:color="auto"/>
                    <w:right w:val="none" w:sz="0" w:space="0" w:color="auto"/>
                  </w:divBdr>
                  <w:divsChild>
                    <w:div w:id="2003314588">
                      <w:marLeft w:val="0"/>
                      <w:marRight w:val="0"/>
                      <w:marTop w:val="0"/>
                      <w:marBottom w:val="0"/>
                      <w:divBdr>
                        <w:top w:val="none" w:sz="0" w:space="0" w:color="auto"/>
                        <w:left w:val="none" w:sz="0" w:space="0" w:color="auto"/>
                        <w:bottom w:val="none" w:sz="0" w:space="0" w:color="auto"/>
                        <w:right w:val="none" w:sz="0" w:space="0" w:color="auto"/>
                      </w:divBdr>
                      <w:divsChild>
                        <w:div w:id="2003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BE3CDE-CD63-41CA-9AC7-E7EF218FF1C5}">
  <ds:schemaRefs>
    <ds:schemaRef ds:uri="http://schemas.openxmlformats.org/officeDocument/2006/bibliography"/>
  </ds:schemaRefs>
</ds:datastoreItem>
</file>

<file path=customXml/itemProps2.xml><?xml version="1.0" encoding="utf-8"?>
<ds:datastoreItem xmlns:ds="http://schemas.openxmlformats.org/officeDocument/2006/customXml" ds:itemID="{43EF988E-63A9-4BF6-B8A9-0E7FA2677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9043</Words>
  <Characters>47960</Characters>
  <Application>Microsoft Office Word</Application>
  <DocSecurity>0</DocSecurity>
  <Lines>957</Lines>
  <Paragraphs>315</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56922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Senior Practitioner Amendment Bill 2019, Senior Practitioner Act 2018, restrictive practice</cp:keywords>
  <dc:description/>
  <cp:lastModifiedBy>PCODCS</cp:lastModifiedBy>
  <cp:revision>4</cp:revision>
  <cp:lastPrinted>2019-05-17T13:51:00Z</cp:lastPrinted>
  <dcterms:created xsi:type="dcterms:W3CDTF">2024-12-03T05:51:00Z</dcterms:created>
  <dcterms:modified xsi:type="dcterms:W3CDTF">2024-12-03T05:51:00Z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2024-04-11T01:40:12Z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0104badf-0cb1-4d78-b48d-dfbd1378a858</vt:lpwstr>
  </property>
  <property fmtid="{D5CDD505-2E9C-101B-9397-08002B2CF9AE}" pid="8" name="MSIP_Label_69af8531-eb46-4968-8cb3-105d2f5ea87e_ContentBits">
    <vt:lpwstr>0</vt:lpwstr>
  </property>
</Properties>
</file>