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DAEC5" w14:textId="77777777" w:rsidR="006815C9" w:rsidRDefault="006815C9" w:rsidP="00B67FBE">
      <w:pPr>
        <w:spacing w:before="120" w:after="120"/>
        <w:rPr>
          <w:rFonts w:ascii="Arial" w:hAnsi="Arial" w:cs="Arial"/>
        </w:rPr>
      </w:pPr>
      <w:bookmarkStart w:id="0" w:name="_Toc44738651"/>
      <w:r>
        <w:rPr>
          <w:rFonts w:ascii="Arial" w:hAnsi="Arial" w:cs="Arial"/>
        </w:rPr>
        <w:t>Australian Capital Territory</w:t>
      </w:r>
    </w:p>
    <w:p w14:paraId="4C76B985" w14:textId="2DF34349" w:rsidR="006815C9" w:rsidRDefault="00CE4630" w:rsidP="00B67FBE">
      <w:pPr>
        <w:pStyle w:val="Billname"/>
        <w:spacing w:before="700" w:after="120"/>
      </w:pPr>
      <w:r>
        <w:t>Residential Tenancies</w:t>
      </w:r>
      <w:r w:rsidR="00F733F5">
        <w:t xml:space="preserve"> Amendment Regulation 2024</w:t>
      </w:r>
      <w:r w:rsidR="006815C9">
        <w:t xml:space="preserve"> </w:t>
      </w:r>
      <w:r w:rsidR="006815C9" w:rsidRPr="001741EF">
        <w:t xml:space="preserve">(No </w:t>
      </w:r>
      <w:r w:rsidR="001741EF" w:rsidRPr="001741EF">
        <w:t>1</w:t>
      </w:r>
      <w:r w:rsidR="006815C9" w:rsidRPr="001741EF">
        <w:t>)</w:t>
      </w:r>
    </w:p>
    <w:p w14:paraId="01B80A32" w14:textId="2AE167E0" w:rsidR="006815C9" w:rsidRDefault="00F5371D" w:rsidP="00B67FBE">
      <w:pPr>
        <w:spacing w:before="340" w:after="120"/>
        <w:rPr>
          <w:rFonts w:ascii="Arial" w:hAnsi="Arial" w:cs="Arial"/>
          <w:b/>
          <w:bCs/>
        </w:rPr>
      </w:pPr>
      <w:r>
        <w:rPr>
          <w:rFonts w:ascii="Arial" w:hAnsi="Arial" w:cs="Arial"/>
          <w:b/>
          <w:bCs/>
        </w:rPr>
        <w:t xml:space="preserve">Subordinate law </w:t>
      </w:r>
      <w:r w:rsidRPr="00FB2949">
        <w:rPr>
          <w:rFonts w:ascii="Arial" w:hAnsi="Arial" w:cs="Arial"/>
          <w:b/>
          <w:bCs/>
        </w:rPr>
        <w:t>SL</w:t>
      </w:r>
      <w:r w:rsidR="00F733F5" w:rsidRPr="00FB2949">
        <w:rPr>
          <w:rFonts w:ascii="Arial" w:hAnsi="Arial" w:cs="Arial"/>
          <w:b/>
          <w:bCs/>
        </w:rPr>
        <w:t>2024</w:t>
      </w:r>
      <w:r w:rsidR="006815C9" w:rsidRPr="00FB2949">
        <w:rPr>
          <w:rFonts w:ascii="Arial" w:hAnsi="Arial" w:cs="Arial"/>
          <w:b/>
          <w:bCs/>
        </w:rPr>
        <w:t>–</w:t>
      </w:r>
      <w:r w:rsidR="00C73BD8">
        <w:rPr>
          <w:rFonts w:ascii="Arial" w:hAnsi="Arial" w:cs="Arial"/>
          <w:b/>
          <w:bCs/>
        </w:rPr>
        <w:t>35</w:t>
      </w:r>
    </w:p>
    <w:p w14:paraId="0C6BE2B4" w14:textId="1D3F4DD3" w:rsidR="006815C9" w:rsidRDefault="006815C9" w:rsidP="00B67FBE">
      <w:pPr>
        <w:pStyle w:val="madeunder"/>
        <w:spacing w:before="300" w:after="120"/>
      </w:pPr>
      <w:r>
        <w:t xml:space="preserve">made under the </w:t>
      </w:r>
    </w:p>
    <w:p w14:paraId="21E4D243" w14:textId="16A1FB73" w:rsidR="006815C9" w:rsidRDefault="00CE4630" w:rsidP="00B67FBE">
      <w:pPr>
        <w:pStyle w:val="CoverActName"/>
        <w:spacing w:before="320" w:after="120"/>
        <w:rPr>
          <w:rFonts w:cs="Arial"/>
          <w:sz w:val="20"/>
        </w:rPr>
      </w:pPr>
      <w:r>
        <w:rPr>
          <w:rFonts w:cs="Arial"/>
          <w:i/>
          <w:iCs/>
          <w:sz w:val="20"/>
        </w:rPr>
        <w:t>Residential Tenancies Act 1997</w:t>
      </w:r>
      <w:r w:rsidR="00746819">
        <w:rPr>
          <w:rFonts w:cs="Arial"/>
          <w:i/>
          <w:iCs/>
          <w:sz w:val="20"/>
        </w:rPr>
        <w:t xml:space="preserve"> </w:t>
      </w:r>
    </w:p>
    <w:p w14:paraId="626307A8" w14:textId="77777777" w:rsidR="006815C9" w:rsidRDefault="006815C9" w:rsidP="00B67FBE">
      <w:pPr>
        <w:spacing w:before="360" w:after="120"/>
        <w:ind w:right="565"/>
        <w:rPr>
          <w:rFonts w:ascii="Arial" w:hAnsi="Arial" w:cs="Arial"/>
          <w:b/>
          <w:bCs/>
          <w:sz w:val="28"/>
          <w:szCs w:val="28"/>
        </w:rPr>
      </w:pPr>
      <w:r>
        <w:rPr>
          <w:rFonts w:ascii="Arial" w:hAnsi="Arial" w:cs="Arial"/>
          <w:b/>
          <w:bCs/>
          <w:sz w:val="28"/>
          <w:szCs w:val="28"/>
        </w:rPr>
        <w:t>EXPLANATORY STATEMENT</w:t>
      </w:r>
    </w:p>
    <w:p w14:paraId="0C2992E3" w14:textId="77777777" w:rsidR="006815C9" w:rsidRDefault="006815C9" w:rsidP="00B67FBE">
      <w:pPr>
        <w:pStyle w:val="N-line3"/>
        <w:pBdr>
          <w:bottom w:val="none" w:sz="0" w:space="0" w:color="auto"/>
        </w:pBdr>
        <w:spacing w:after="120"/>
      </w:pPr>
    </w:p>
    <w:p w14:paraId="31F4B7FA" w14:textId="77777777" w:rsidR="006815C9" w:rsidRDefault="006815C9" w:rsidP="00B67FBE">
      <w:pPr>
        <w:pStyle w:val="N-line3"/>
        <w:pBdr>
          <w:top w:val="single" w:sz="12" w:space="1" w:color="auto"/>
          <w:bottom w:val="none" w:sz="0" w:space="0" w:color="auto"/>
        </w:pBdr>
        <w:spacing w:after="120"/>
      </w:pPr>
    </w:p>
    <w:bookmarkEnd w:id="0"/>
    <w:p w14:paraId="7FF16C36" w14:textId="52561748" w:rsidR="000D32A8" w:rsidRPr="006507A5" w:rsidRDefault="000D32A8" w:rsidP="00B67FBE">
      <w:pPr>
        <w:spacing w:after="120" w:line="276" w:lineRule="auto"/>
        <w:rPr>
          <w:rFonts w:ascii="Arial" w:hAnsi="Arial" w:cs="Arial"/>
          <w:szCs w:val="24"/>
          <w:lang w:eastAsia="en-AU"/>
        </w:rPr>
      </w:pPr>
      <w:r w:rsidRPr="006507A5">
        <w:rPr>
          <w:rFonts w:ascii="Arial" w:hAnsi="Arial" w:cs="Arial"/>
          <w:szCs w:val="24"/>
          <w:lang w:eastAsia="en-AU"/>
        </w:rPr>
        <w:t>This explanatory statement relates to the </w:t>
      </w:r>
      <w:r w:rsidR="00F705A4">
        <w:rPr>
          <w:rFonts w:ascii="Arial" w:hAnsi="Arial" w:cs="Arial"/>
          <w:i/>
          <w:iCs/>
          <w:szCs w:val="24"/>
          <w:lang w:eastAsia="en-AU"/>
        </w:rPr>
        <w:t xml:space="preserve">Residential Tenancies Amendment Regulation </w:t>
      </w:r>
      <w:r w:rsidR="00F705A4" w:rsidRPr="00F705A4">
        <w:rPr>
          <w:rFonts w:ascii="Arial" w:hAnsi="Arial" w:cs="Arial"/>
          <w:i/>
          <w:iCs/>
          <w:szCs w:val="24"/>
          <w:lang w:eastAsia="en-AU"/>
        </w:rPr>
        <w:t xml:space="preserve">2024 (No </w:t>
      </w:r>
      <w:r w:rsidR="001741EF">
        <w:rPr>
          <w:rFonts w:ascii="Arial" w:hAnsi="Arial" w:cs="Arial"/>
          <w:i/>
          <w:iCs/>
          <w:szCs w:val="24"/>
          <w:lang w:eastAsia="en-AU"/>
        </w:rPr>
        <w:t>1</w:t>
      </w:r>
      <w:r w:rsidR="00F705A4" w:rsidRPr="00F705A4">
        <w:rPr>
          <w:rFonts w:ascii="Arial" w:hAnsi="Arial" w:cs="Arial"/>
          <w:i/>
          <w:iCs/>
          <w:szCs w:val="24"/>
          <w:lang w:eastAsia="en-AU"/>
        </w:rPr>
        <w:t>)</w:t>
      </w:r>
      <w:r w:rsidR="00F705A4">
        <w:rPr>
          <w:rFonts w:ascii="Arial" w:hAnsi="Arial" w:cs="Arial"/>
          <w:szCs w:val="24"/>
          <w:lang w:eastAsia="en-AU"/>
        </w:rPr>
        <w:t xml:space="preserve"> </w:t>
      </w:r>
      <w:r w:rsidR="001848B7">
        <w:rPr>
          <w:rFonts w:ascii="Arial" w:hAnsi="Arial" w:cs="Arial"/>
          <w:szCs w:val="24"/>
          <w:lang w:eastAsia="en-AU"/>
        </w:rPr>
        <w:t>(</w:t>
      </w:r>
      <w:r w:rsidR="001848B7" w:rsidRPr="00FB2949">
        <w:rPr>
          <w:rFonts w:ascii="Arial" w:hAnsi="Arial" w:cs="Arial"/>
          <w:b/>
          <w:bCs/>
          <w:szCs w:val="24"/>
          <w:lang w:eastAsia="en-AU"/>
        </w:rPr>
        <w:t xml:space="preserve">the </w:t>
      </w:r>
      <w:r w:rsidR="00AC36D9">
        <w:rPr>
          <w:rFonts w:ascii="Arial" w:hAnsi="Arial" w:cs="Arial"/>
          <w:b/>
          <w:bCs/>
          <w:szCs w:val="24"/>
          <w:lang w:eastAsia="en-AU"/>
        </w:rPr>
        <w:t>R</w:t>
      </w:r>
      <w:r w:rsidR="001848B7" w:rsidRPr="00FB2949">
        <w:rPr>
          <w:rFonts w:ascii="Arial" w:hAnsi="Arial" w:cs="Arial"/>
          <w:b/>
          <w:bCs/>
          <w:szCs w:val="24"/>
          <w:lang w:eastAsia="en-AU"/>
        </w:rPr>
        <w:t>egulation</w:t>
      </w:r>
      <w:r w:rsidR="001848B7">
        <w:rPr>
          <w:rFonts w:ascii="Arial" w:hAnsi="Arial" w:cs="Arial"/>
          <w:szCs w:val="24"/>
          <w:lang w:eastAsia="en-AU"/>
        </w:rPr>
        <w:t xml:space="preserve">) </w:t>
      </w:r>
      <w:r w:rsidRPr="006507A5">
        <w:rPr>
          <w:rFonts w:ascii="Arial" w:hAnsi="Arial" w:cs="Arial"/>
          <w:szCs w:val="24"/>
          <w:lang w:eastAsia="en-AU"/>
        </w:rPr>
        <w:t xml:space="preserve">as made by the Executive. It has been prepared to assist the reader of the regulation. It does not form part of the </w:t>
      </w:r>
      <w:r w:rsidR="00D85DCC">
        <w:rPr>
          <w:rFonts w:ascii="Arial" w:hAnsi="Arial" w:cs="Arial"/>
          <w:szCs w:val="24"/>
          <w:lang w:eastAsia="en-AU"/>
        </w:rPr>
        <w:t>R</w:t>
      </w:r>
      <w:r w:rsidRPr="006507A5">
        <w:rPr>
          <w:rFonts w:ascii="Arial" w:hAnsi="Arial" w:cs="Arial"/>
          <w:szCs w:val="24"/>
          <w:lang w:eastAsia="en-AU"/>
        </w:rPr>
        <w:t>egulation and has not been endorsed by the Legislative Assembly.</w:t>
      </w:r>
    </w:p>
    <w:p w14:paraId="1442BD6D" w14:textId="7548B5EE" w:rsidR="006815C9" w:rsidRPr="000D32A8" w:rsidRDefault="000D32A8" w:rsidP="00B67FBE">
      <w:pPr>
        <w:spacing w:after="120" w:line="276" w:lineRule="auto"/>
        <w:rPr>
          <w:rFonts w:ascii="Arial" w:hAnsi="Arial" w:cs="Arial"/>
          <w:szCs w:val="24"/>
          <w:lang w:eastAsia="en-AU"/>
        </w:rPr>
      </w:pPr>
      <w:r w:rsidRPr="006507A5">
        <w:rPr>
          <w:rFonts w:ascii="Arial" w:hAnsi="Arial" w:cs="Arial"/>
          <w:szCs w:val="24"/>
          <w:lang w:eastAsia="en-AU"/>
        </w:rPr>
        <w:t xml:space="preserve">This statement must be read in conjunction with the </w:t>
      </w:r>
      <w:r w:rsidR="00AC36D9">
        <w:rPr>
          <w:rFonts w:ascii="Arial" w:hAnsi="Arial" w:cs="Arial"/>
          <w:szCs w:val="24"/>
          <w:lang w:eastAsia="en-AU"/>
        </w:rPr>
        <w:t>R</w:t>
      </w:r>
      <w:r w:rsidRPr="006507A5">
        <w:rPr>
          <w:rFonts w:ascii="Arial" w:hAnsi="Arial" w:cs="Arial"/>
          <w:szCs w:val="24"/>
          <w:lang w:eastAsia="en-AU"/>
        </w:rPr>
        <w:t xml:space="preserve">egulation. It is not, and is not meant to be, a comprehensive description of the </w:t>
      </w:r>
      <w:r w:rsidR="00AC36D9">
        <w:rPr>
          <w:rFonts w:ascii="Arial" w:hAnsi="Arial" w:cs="Arial"/>
          <w:szCs w:val="24"/>
          <w:lang w:eastAsia="en-AU"/>
        </w:rPr>
        <w:t>R</w:t>
      </w:r>
      <w:r w:rsidRPr="006507A5">
        <w:rPr>
          <w:rFonts w:ascii="Arial" w:hAnsi="Arial" w:cs="Arial"/>
          <w:szCs w:val="24"/>
          <w:lang w:eastAsia="en-AU"/>
        </w:rPr>
        <w:t>egulation. What is said about a provision is not to be taken as an authoritative guide to the meaning of a provision, this being a task for the courts.</w:t>
      </w:r>
    </w:p>
    <w:p w14:paraId="04BCB254" w14:textId="0CCB4150" w:rsidR="007958A2" w:rsidRPr="006477DF" w:rsidRDefault="000D32A8" w:rsidP="00B67FBE">
      <w:pPr>
        <w:spacing w:after="120" w:line="276" w:lineRule="auto"/>
        <w:rPr>
          <w:rFonts w:ascii="Arial" w:hAnsi="Arial" w:cs="Arial"/>
          <w:b/>
          <w:bCs/>
          <w:szCs w:val="24"/>
          <w:lang w:eastAsia="en-AU"/>
        </w:rPr>
      </w:pPr>
      <w:bookmarkStart w:id="1" w:name="_Hlk175127910"/>
      <w:r w:rsidRPr="006477DF">
        <w:rPr>
          <w:rFonts w:ascii="Arial" w:hAnsi="Arial" w:cs="Arial"/>
          <w:b/>
          <w:bCs/>
          <w:szCs w:val="24"/>
          <w:lang w:eastAsia="en-AU"/>
        </w:rPr>
        <w:t>OVERVIEW</w:t>
      </w:r>
    </w:p>
    <w:p w14:paraId="56004AC4" w14:textId="4BC80690" w:rsidR="00D430A1" w:rsidRDefault="00876345" w:rsidP="00B67FBE">
      <w:pPr>
        <w:spacing w:after="120" w:line="276" w:lineRule="auto"/>
        <w:rPr>
          <w:rFonts w:ascii="Arial" w:hAnsi="Arial" w:cs="Arial"/>
          <w:szCs w:val="24"/>
          <w:lang w:eastAsia="en-AU"/>
        </w:rPr>
      </w:pPr>
      <w:r>
        <w:rPr>
          <w:rFonts w:ascii="Arial" w:hAnsi="Arial" w:cs="Arial"/>
          <w:szCs w:val="24"/>
          <w:lang w:eastAsia="en-AU"/>
        </w:rPr>
        <w:t xml:space="preserve">The </w:t>
      </w:r>
      <w:r w:rsidR="00AC36D9">
        <w:rPr>
          <w:rFonts w:ascii="Arial" w:hAnsi="Arial" w:cs="Arial"/>
          <w:szCs w:val="24"/>
          <w:lang w:eastAsia="en-AU"/>
        </w:rPr>
        <w:t>Regulation</w:t>
      </w:r>
      <w:r>
        <w:rPr>
          <w:rFonts w:ascii="Arial" w:hAnsi="Arial" w:cs="Arial"/>
          <w:szCs w:val="24"/>
          <w:lang w:eastAsia="en-AU"/>
        </w:rPr>
        <w:t xml:space="preserve"> amends </w:t>
      </w:r>
      <w:r w:rsidR="00AC36D9">
        <w:rPr>
          <w:rFonts w:ascii="Arial" w:hAnsi="Arial" w:cs="Arial"/>
          <w:szCs w:val="24"/>
          <w:lang w:eastAsia="en-AU"/>
        </w:rPr>
        <w:t xml:space="preserve">the </w:t>
      </w:r>
      <w:r w:rsidR="00F705A4">
        <w:rPr>
          <w:rFonts w:ascii="Arial" w:hAnsi="Arial" w:cs="Arial"/>
          <w:i/>
          <w:iCs/>
          <w:szCs w:val="24"/>
          <w:lang w:eastAsia="en-AU"/>
        </w:rPr>
        <w:t xml:space="preserve">Residential Tenancies Regulation 1998 </w:t>
      </w:r>
      <w:r w:rsidR="00F705A4">
        <w:rPr>
          <w:rFonts w:ascii="Arial" w:hAnsi="Arial" w:cs="Arial"/>
          <w:szCs w:val="24"/>
          <w:lang w:eastAsia="en-AU"/>
        </w:rPr>
        <w:t xml:space="preserve">(the </w:t>
      </w:r>
      <w:r w:rsidR="00D85DCC" w:rsidRPr="00A301B7">
        <w:rPr>
          <w:rFonts w:ascii="Arial" w:hAnsi="Arial" w:cs="Arial"/>
          <w:b/>
          <w:bCs/>
          <w:szCs w:val="24"/>
          <w:lang w:eastAsia="en-AU"/>
        </w:rPr>
        <w:t>RTR</w:t>
      </w:r>
      <w:r w:rsidR="00F705A4">
        <w:rPr>
          <w:rFonts w:ascii="Arial" w:hAnsi="Arial" w:cs="Arial"/>
          <w:szCs w:val="24"/>
          <w:lang w:eastAsia="en-AU"/>
        </w:rPr>
        <w:t xml:space="preserve">) </w:t>
      </w:r>
      <w:r w:rsidR="00D430A1">
        <w:rPr>
          <w:rFonts w:ascii="Arial" w:hAnsi="Arial" w:cs="Arial"/>
          <w:szCs w:val="24"/>
          <w:lang w:eastAsia="en-AU"/>
        </w:rPr>
        <w:t xml:space="preserve">to: </w:t>
      </w:r>
    </w:p>
    <w:p w14:paraId="570A2411" w14:textId="53B0A13F" w:rsidR="006205EF" w:rsidRDefault="00D430A1" w:rsidP="00B67FBE">
      <w:pPr>
        <w:pStyle w:val="ListParagraph"/>
        <w:numPr>
          <w:ilvl w:val="0"/>
          <w:numId w:val="17"/>
        </w:numPr>
        <w:spacing w:after="120" w:line="276" w:lineRule="auto"/>
        <w:contextualSpacing w:val="0"/>
        <w:rPr>
          <w:rFonts w:ascii="Arial" w:hAnsi="Arial" w:cs="Arial"/>
          <w:szCs w:val="24"/>
          <w:lang w:eastAsia="en-AU"/>
        </w:rPr>
      </w:pPr>
      <w:r>
        <w:rPr>
          <w:rFonts w:ascii="Arial" w:hAnsi="Arial" w:cs="Arial"/>
          <w:szCs w:val="24"/>
          <w:lang w:eastAsia="en-AU"/>
        </w:rPr>
        <w:t xml:space="preserve">Prescribe a list of professionals capable of making a competent person declaration under section </w:t>
      </w:r>
      <w:r w:rsidR="001741EF">
        <w:rPr>
          <w:rFonts w:ascii="Arial" w:hAnsi="Arial" w:cs="Arial"/>
          <w:szCs w:val="24"/>
          <w:lang w:eastAsia="en-AU"/>
        </w:rPr>
        <w:t xml:space="preserve">46I </w:t>
      </w:r>
      <w:r w:rsidR="002D7730">
        <w:rPr>
          <w:rFonts w:ascii="Arial" w:hAnsi="Arial" w:cs="Arial"/>
          <w:szCs w:val="24"/>
          <w:lang w:eastAsia="en-AU"/>
        </w:rPr>
        <w:t xml:space="preserve">(4) </w:t>
      </w:r>
      <w:r>
        <w:rPr>
          <w:rFonts w:ascii="Arial" w:hAnsi="Arial" w:cs="Arial"/>
          <w:szCs w:val="24"/>
          <w:lang w:eastAsia="en-AU"/>
        </w:rPr>
        <w:t xml:space="preserve">of the </w:t>
      </w:r>
      <w:r>
        <w:rPr>
          <w:rFonts w:ascii="Arial" w:hAnsi="Arial" w:cs="Arial"/>
          <w:i/>
          <w:iCs/>
          <w:szCs w:val="24"/>
          <w:lang w:eastAsia="en-AU"/>
        </w:rPr>
        <w:t xml:space="preserve">Residential Tenancies Act 1997 </w:t>
      </w:r>
      <w:r w:rsidR="00D85DCC">
        <w:rPr>
          <w:rFonts w:ascii="Arial" w:hAnsi="Arial" w:cs="Arial"/>
          <w:szCs w:val="24"/>
          <w:lang w:eastAsia="en-AU"/>
        </w:rPr>
        <w:t>(</w:t>
      </w:r>
      <w:r>
        <w:rPr>
          <w:rFonts w:ascii="Arial" w:hAnsi="Arial" w:cs="Arial"/>
          <w:b/>
          <w:bCs/>
          <w:szCs w:val="24"/>
          <w:lang w:eastAsia="en-AU"/>
        </w:rPr>
        <w:t>the RTA</w:t>
      </w:r>
      <w:r>
        <w:rPr>
          <w:rFonts w:ascii="Arial" w:hAnsi="Arial" w:cs="Arial"/>
          <w:szCs w:val="24"/>
          <w:lang w:eastAsia="en-AU"/>
        </w:rPr>
        <w:t xml:space="preserve">), </w:t>
      </w:r>
    </w:p>
    <w:p w14:paraId="2ABDD414" w14:textId="78041821" w:rsidR="00D430A1" w:rsidRDefault="006205EF" w:rsidP="00B67FBE">
      <w:pPr>
        <w:pStyle w:val="ListParagraph"/>
        <w:numPr>
          <w:ilvl w:val="0"/>
          <w:numId w:val="17"/>
        </w:numPr>
        <w:spacing w:after="120" w:line="276" w:lineRule="auto"/>
        <w:contextualSpacing w:val="0"/>
        <w:rPr>
          <w:rFonts w:ascii="Arial" w:hAnsi="Arial" w:cs="Arial"/>
          <w:szCs w:val="24"/>
          <w:lang w:eastAsia="en-AU"/>
        </w:rPr>
      </w:pPr>
      <w:r>
        <w:rPr>
          <w:rFonts w:ascii="Arial" w:hAnsi="Arial" w:cs="Arial"/>
          <w:szCs w:val="24"/>
          <w:lang w:eastAsia="en-AU"/>
        </w:rPr>
        <w:t>Prescribe the information which must be included in a competent person declaration</w:t>
      </w:r>
      <w:r w:rsidR="001741EF">
        <w:rPr>
          <w:rFonts w:ascii="Arial" w:hAnsi="Arial" w:cs="Arial"/>
          <w:szCs w:val="24"/>
          <w:lang w:eastAsia="en-AU"/>
        </w:rPr>
        <w:t xml:space="preserve"> under section 46I </w:t>
      </w:r>
      <w:r w:rsidR="002D7730">
        <w:rPr>
          <w:rFonts w:ascii="Arial" w:hAnsi="Arial" w:cs="Arial"/>
          <w:szCs w:val="24"/>
          <w:lang w:eastAsia="en-AU"/>
        </w:rPr>
        <w:t xml:space="preserve">(3) </w:t>
      </w:r>
      <w:r w:rsidR="001741EF">
        <w:rPr>
          <w:rFonts w:ascii="Arial" w:hAnsi="Arial" w:cs="Arial"/>
          <w:szCs w:val="24"/>
          <w:lang w:eastAsia="en-AU"/>
        </w:rPr>
        <w:t>of the RTA</w:t>
      </w:r>
      <w:r>
        <w:rPr>
          <w:rFonts w:ascii="Arial" w:hAnsi="Arial" w:cs="Arial"/>
          <w:szCs w:val="24"/>
          <w:lang w:eastAsia="en-AU"/>
        </w:rPr>
        <w:t xml:space="preserve">, </w:t>
      </w:r>
      <w:r w:rsidR="00D430A1">
        <w:rPr>
          <w:rFonts w:ascii="Arial" w:hAnsi="Arial" w:cs="Arial"/>
          <w:szCs w:val="24"/>
          <w:lang w:eastAsia="en-AU"/>
        </w:rPr>
        <w:t xml:space="preserve">and </w:t>
      </w:r>
    </w:p>
    <w:p w14:paraId="170C22A5" w14:textId="43E998B3" w:rsidR="0071185D" w:rsidRPr="00321CCC" w:rsidRDefault="00BB643B" w:rsidP="00B67FBE">
      <w:pPr>
        <w:pStyle w:val="ListParagraph"/>
        <w:numPr>
          <w:ilvl w:val="0"/>
          <w:numId w:val="17"/>
        </w:numPr>
        <w:spacing w:after="120" w:line="276" w:lineRule="auto"/>
        <w:contextualSpacing w:val="0"/>
        <w:rPr>
          <w:rFonts w:ascii="Arial" w:hAnsi="Arial" w:cs="Arial"/>
          <w:szCs w:val="24"/>
          <w:lang w:eastAsia="en-AU"/>
        </w:rPr>
      </w:pPr>
      <w:r>
        <w:rPr>
          <w:rFonts w:ascii="Arial" w:hAnsi="Arial" w:cs="Arial"/>
          <w:szCs w:val="24"/>
          <w:lang w:eastAsia="en-AU"/>
        </w:rPr>
        <w:t>Prescribe additional information that a landlord must disclose to a prospective tenant when advertising a property for rent and when entering into a residential tenancy agreement</w:t>
      </w:r>
      <w:r w:rsidR="001741EF">
        <w:rPr>
          <w:rFonts w:ascii="Arial" w:hAnsi="Arial" w:cs="Arial"/>
          <w:szCs w:val="24"/>
          <w:lang w:eastAsia="en-AU"/>
        </w:rPr>
        <w:t xml:space="preserve"> under section 11A (4) (f)</w:t>
      </w:r>
      <w:r>
        <w:rPr>
          <w:rFonts w:ascii="Arial" w:hAnsi="Arial" w:cs="Arial"/>
          <w:szCs w:val="24"/>
          <w:lang w:eastAsia="en-AU"/>
        </w:rPr>
        <w:t xml:space="preserve">. </w:t>
      </w:r>
      <w:r w:rsidR="001848B7" w:rsidRPr="00D430A1">
        <w:rPr>
          <w:rFonts w:ascii="Arial" w:hAnsi="Arial" w:cs="Arial"/>
          <w:i/>
          <w:iCs/>
          <w:szCs w:val="24"/>
          <w:lang w:eastAsia="en-AU"/>
        </w:rPr>
        <w:t xml:space="preserve"> </w:t>
      </w:r>
    </w:p>
    <w:p w14:paraId="5E68713F" w14:textId="46A55A2D" w:rsidR="00321CCC" w:rsidRDefault="00F04BA2" w:rsidP="00B67FBE">
      <w:pPr>
        <w:spacing w:after="120" w:line="276" w:lineRule="auto"/>
        <w:rPr>
          <w:rFonts w:ascii="Arial" w:hAnsi="Arial" w:cs="Arial"/>
          <w:i/>
          <w:iCs/>
          <w:szCs w:val="24"/>
          <w:lang w:eastAsia="en-AU"/>
        </w:rPr>
      </w:pPr>
      <w:r>
        <w:rPr>
          <w:rFonts w:ascii="Arial" w:hAnsi="Arial" w:cs="Arial"/>
          <w:i/>
          <w:iCs/>
          <w:szCs w:val="24"/>
          <w:lang w:eastAsia="en-AU"/>
        </w:rPr>
        <w:t>New protections for victim-survivors of domestic or family violence</w:t>
      </w:r>
    </w:p>
    <w:p w14:paraId="78BF479F" w14:textId="3A26CD0C" w:rsidR="00942B00" w:rsidRDefault="001A6999" w:rsidP="00B67FBE">
      <w:pPr>
        <w:spacing w:after="120" w:line="276" w:lineRule="auto"/>
        <w:rPr>
          <w:rFonts w:ascii="Arial" w:hAnsi="Arial" w:cs="Arial"/>
          <w:szCs w:val="24"/>
          <w:lang w:eastAsia="en-AU"/>
        </w:rPr>
      </w:pPr>
      <w:r>
        <w:rPr>
          <w:rFonts w:ascii="Arial" w:hAnsi="Arial" w:cs="Arial"/>
          <w:szCs w:val="24"/>
          <w:lang w:eastAsia="en-AU"/>
        </w:rPr>
        <w:t xml:space="preserve">In June 2024, </w:t>
      </w:r>
      <w:r w:rsidR="007E4EA8">
        <w:rPr>
          <w:rFonts w:ascii="Arial" w:hAnsi="Arial" w:cs="Arial"/>
          <w:szCs w:val="24"/>
          <w:lang w:eastAsia="en-AU"/>
        </w:rPr>
        <w:t>reforms to the</w:t>
      </w:r>
      <w:r>
        <w:rPr>
          <w:rFonts w:ascii="Arial" w:hAnsi="Arial" w:cs="Arial"/>
          <w:szCs w:val="24"/>
          <w:lang w:eastAsia="en-AU"/>
        </w:rPr>
        <w:t xml:space="preserve"> RTA introduce</w:t>
      </w:r>
      <w:r w:rsidR="002D7730">
        <w:rPr>
          <w:rFonts w:ascii="Arial" w:hAnsi="Arial" w:cs="Arial"/>
          <w:szCs w:val="24"/>
          <w:lang w:eastAsia="en-AU"/>
        </w:rPr>
        <w:t>d</w:t>
      </w:r>
      <w:r>
        <w:rPr>
          <w:rFonts w:ascii="Arial" w:hAnsi="Arial" w:cs="Arial"/>
          <w:szCs w:val="24"/>
          <w:lang w:eastAsia="en-AU"/>
        </w:rPr>
        <w:t xml:space="preserve"> new protections for tenants who have experienced domestic or family violence</w:t>
      </w:r>
      <w:r w:rsidR="007E4EA8">
        <w:rPr>
          <w:rFonts w:ascii="Arial" w:hAnsi="Arial" w:cs="Arial"/>
          <w:szCs w:val="24"/>
          <w:lang w:eastAsia="en-AU"/>
        </w:rPr>
        <w:t xml:space="preserve"> were passed</w:t>
      </w:r>
      <w:r>
        <w:rPr>
          <w:rFonts w:ascii="Arial" w:hAnsi="Arial" w:cs="Arial"/>
          <w:szCs w:val="24"/>
          <w:lang w:eastAsia="en-AU"/>
        </w:rPr>
        <w:t>.</w:t>
      </w:r>
      <w:r w:rsidR="007E4EA8">
        <w:rPr>
          <w:rFonts w:ascii="Arial" w:hAnsi="Arial" w:cs="Arial"/>
          <w:szCs w:val="24"/>
          <w:lang w:eastAsia="en-AU"/>
        </w:rPr>
        <w:t xml:space="preserve"> The changes mean a person who has experienced domestic or family violence will be able </w:t>
      </w:r>
      <w:r w:rsidR="007E4EA8">
        <w:rPr>
          <w:rFonts w:ascii="Arial" w:hAnsi="Arial" w:cs="Arial"/>
          <w:szCs w:val="24"/>
          <w:lang w:eastAsia="en-AU"/>
        </w:rPr>
        <w:lastRenderedPageBreak/>
        <w:t xml:space="preserve">to end their tenancy </w:t>
      </w:r>
      <w:r w:rsidR="005C472E">
        <w:rPr>
          <w:rFonts w:ascii="Arial" w:hAnsi="Arial" w:cs="Arial"/>
          <w:szCs w:val="24"/>
          <w:lang w:eastAsia="en-AU"/>
        </w:rPr>
        <w:t>early by giving their landlord a family violence termination notice (</w:t>
      </w:r>
      <w:r w:rsidR="005C472E">
        <w:rPr>
          <w:rFonts w:ascii="Arial" w:hAnsi="Arial" w:cs="Arial"/>
          <w:b/>
          <w:bCs/>
          <w:szCs w:val="24"/>
          <w:lang w:eastAsia="en-AU"/>
        </w:rPr>
        <w:t>FVTN</w:t>
      </w:r>
      <w:r w:rsidR="005C472E">
        <w:rPr>
          <w:rFonts w:ascii="Arial" w:hAnsi="Arial" w:cs="Arial"/>
          <w:szCs w:val="24"/>
          <w:lang w:eastAsia="en-AU"/>
        </w:rPr>
        <w:t>). The FVTN must be accompanied by supporting evidence. This supporting evidence</w:t>
      </w:r>
      <w:r w:rsidR="00942B00">
        <w:rPr>
          <w:rFonts w:ascii="Arial" w:hAnsi="Arial" w:cs="Arial"/>
          <w:szCs w:val="24"/>
          <w:lang w:eastAsia="en-AU"/>
        </w:rPr>
        <w:t xml:space="preserve"> may be: </w:t>
      </w:r>
    </w:p>
    <w:p w14:paraId="26464BE1" w14:textId="77777777" w:rsidR="00942B00" w:rsidRDefault="00942B00" w:rsidP="00B67FBE">
      <w:pPr>
        <w:pStyle w:val="ListParagraph"/>
        <w:numPr>
          <w:ilvl w:val="0"/>
          <w:numId w:val="17"/>
        </w:numPr>
        <w:spacing w:after="120" w:line="276" w:lineRule="auto"/>
        <w:contextualSpacing w:val="0"/>
        <w:rPr>
          <w:rFonts w:ascii="Arial" w:hAnsi="Arial" w:cs="Arial"/>
          <w:szCs w:val="24"/>
          <w:lang w:eastAsia="en-AU"/>
        </w:rPr>
      </w:pPr>
      <w:r>
        <w:rPr>
          <w:rFonts w:ascii="Arial" w:hAnsi="Arial" w:cs="Arial"/>
          <w:szCs w:val="24"/>
          <w:lang w:eastAsia="en-AU"/>
        </w:rPr>
        <w:t xml:space="preserve">A family violence order, protecting the tenant or their dependent child under the </w:t>
      </w:r>
      <w:r>
        <w:rPr>
          <w:rFonts w:ascii="Arial" w:hAnsi="Arial" w:cs="Arial"/>
          <w:i/>
          <w:iCs/>
          <w:szCs w:val="24"/>
          <w:lang w:eastAsia="en-AU"/>
        </w:rPr>
        <w:t>Family Violence Act 2016</w:t>
      </w:r>
      <w:r>
        <w:rPr>
          <w:rFonts w:ascii="Arial" w:hAnsi="Arial" w:cs="Arial"/>
          <w:szCs w:val="24"/>
          <w:lang w:eastAsia="en-AU"/>
        </w:rPr>
        <w:t xml:space="preserve">; </w:t>
      </w:r>
    </w:p>
    <w:p w14:paraId="3C968D27" w14:textId="77777777" w:rsidR="00942B00" w:rsidRDefault="00942B00" w:rsidP="00B67FBE">
      <w:pPr>
        <w:pStyle w:val="ListParagraph"/>
        <w:numPr>
          <w:ilvl w:val="0"/>
          <w:numId w:val="17"/>
        </w:numPr>
        <w:spacing w:after="120" w:line="276" w:lineRule="auto"/>
        <w:contextualSpacing w:val="0"/>
        <w:rPr>
          <w:rFonts w:ascii="Arial" w:hAnsi="Arial" w:cs="Arial"/>
          <w:szCs w:val="24"/>
          <w:lang w:eastAsia="en-AU"/>
        </w:rPr>
      </w:pPr>
      <w:r>
        <w:rPr>
          <w:rFonts w:ascii="Arial" w:hAnsi="Arial" w:cs="Arial"/>
          <w:szCs w:val="24"/>
          <w:lang w:eastAsia="en-AU"/>
        </w:rPr>
        <w:t xml:space="preserve">An injunction under section 68B or 114 of the </w:t>
      </w:r>
      <w:r>
        <w:rPr>
          <w:rFonts w:ascii="Arial" w:hAnsi="Arial" w:cs="Arial"/>
          <w:i/>
          <w:iCs/>
          <w:szCs w:val="24"/>
          <w:lang w:eastAsia="en-AU"/>
        </w:rPr>
        <w:t xml:space="preserve">Family Law Act 1975 </w:t>
      </w:r>
      <w:r>
        <w:rPr>
          <w:rFonts w:ascii="Arial" w:hAnsi="Arial" w:cs="Arial"/>
          <w:szCs w:val="24"/>
          <w:lang w:eastAsia="en-AU"/>
        </w:rPr>
        <w:t xml:space="preserve">(Cth); or </w:t>
      </w:r>
    </w:p>
    <w:p w14:paraId="65F96B28" w14:textId="77777777" w:rsidR="00942B00" w:rsidRDefault="00942B00" w:rsidP="00B67FBE">
      <w:pPr>
        <w:pStyle w:val="ListParagraph"/>
        <w:numPr>
          <w:ilvl w:val="0"/>
          <w:numId w:val="17"/>
        </w:numPr>
        <w:spacing w:after="120" w:line="276" w:lineRule="auto"/>
        <w:contextualSpacing w:val="0"/>
        <w:rPr>
          <w:rFonts w:ascii="Arial" w:hAnsi="Arial" w:cs="Arial"/>
          <w:szCs w:val="24"/>
          <w:lang w:eastAsia="en-AU"/>
        </w:rPr>
      </w:pPr>
      <w:r>
        <w:rPr>
          <w:rFonts w:ascii="Arial" w:hAnsi="Arial" w:cs="Arial"/>
          <w:szCs w:val="24"/>
          <w:lang w:eastAsia="en-AU"/>
        </w:rPr>
        <w:t xml:space="preserve">A declaration by a competent person. </w:t>
      </w:r>
    </w:p>
    <w:p w14:paraId="32C5B989" w14:textId="5B090E26" w:rsidR="009C7E35" w:rsidRDefault="009C7E35" w:rsidP="00B67FBE">
      <w:pPr>
        <w:spacing w:after="120" w:line="276" w:lineRule="auto"/>
        <w:rPr>
          <w:rFonts w:ascii="Arial" w:hAnsi="Arial" w:cs="Arial"/>
          <w:szCs w:val="24"/>
          <w:lang w:eastAsia="en-AU"/>
        </w:rPr>
      </w:pPr>
      <w:r>
        <w:rPr>
          <w:rFonts w:ascii="Arial" w:hAnsi="Arial" w:cs="Arial"/>
          <w:szCs w:val="24"/>
          <w:lang w:eastAsia="en-AU"/>
        </w:rPr>
        <w:t>The declaration by a competent person is a new form of evidence</w:t>
      </w:r>
      <w:r w:rsidR="009E5834">
        <w:rPr>
          <w:rFonts w:ascii="Arial" w:hAnsi="Arial" w:cs="Arial"/>
          <w:szCs w:val="24"/>
          <w:lang w:eastAsia="en-AU"/>
        </w:rPr>
        <w:t xml:space="preserve">, providing an alternative </w:t>
      </w:r>
      <w:r w:rsidR="00AC0C1A">
        <w:rPr>
          <w:rFonts w:ascii="Arial" w:hAnsi="Arial" w:cs="Arial"/>
          <w:szCs w:val="24"/>
          <w:lang w:eastAsia="en-AU"/>
        </w:rPr>
        <w:t>to a family law order or injunction</w:t>
      </w:r>
      <w:r w:rsidR="009E5834">
        <w:rPr>
          <w:rFonts w:ascii="Arial" w:hAnsi="Arial" w:cs="Arial"/>
          <w:szCs w:val="24"/>
          <w:lang w:eastAsia="en-AU"/>
        </w:rPr>
        <w:t xml:space="preserve">. Many victim-survivors may be unwilling or unable to </w:t>
      </w:r>
      <w:r w:rsidR="00B0397A">
        <w:rPr>
          <w:rFonts w:ascii="Arial" w:hAnsi="Arial" w:cs="Arial"/>
          <w:szCs w:val="24"/>
          <w:lang w:eastAsia="en-AU"/>
        </w:rPr>
        <w:t xml:space="preserve">go through court processes to obtain the order or injunction. This evidence is designed to overcome these barriers, and ensure the overarching objective of the reforms, to support people experiencing domestic or family violence to </w:t>
      </w:r>
      <w:r w:rsidR="002D7730">
        <w:rPr>
          <w:rFonts w:ascii="Arial" w:hAnsi="Arial" w:cs="Arial"/>
          <w:szCs w:val="24"/>
          <w:lang w:eastAsia="en-AU"/>
        </w:rPr>
        <w:t xml:space="preserve">end </w:t>
      </w:r>
      <w:r w:rsidR="00B0397A">
        <w:rPr>
          <w:rFonts w:ascii="Arial" w:hAnsi="Arial" w:cs="Arial"/>
          <w:szCs w:val="24"/>
          <w:lang w:eastAsia="en-AU"/>
        </w:rPr>
        <w:t xml:space="preserve">their tenancy immediately and without </w:t>
      </w:r>
      <w:r w:rsidR="002E6827">
        <w:rPr>
          <w:rFonts w:ascii="Arial" w:hAnsi="Arial" w:cs="Arial"/>
          <w:szCs w:val="24"/>
          <w:lang w:eastAsia="en-AU"/>
        </w:rPr>
        <w:t>needing to pay a break lease fee</w:t>
      </w:r>
      <w:r w:rsidR="00B0397A">
        <w:rPr>
          <w:rFonts w:ascii="Arial" w:hAnsi="Arial" w:cs="Arial"/>
          <w:szCs w:val="24"/>
          <w:lang w:eastAsia="en-AU"/>
        </w:rPr>
        <w:t xml:space="preserve">.  </w:t>
      </w:r>
    </w:p>
    <w:p w14:paraId="614757C6" w14:textId="40630BBA" w:rsidR="001A6999" w:rsidRDefault="00DD1851" w:rsidP="00B67FBE">
      <w:pPr>
        <w:spacing w:after="120" w:line="276" w:lineRule="auto"/>
        <w:rPr>
          <w:rFonts w:ascii="Arial" w:hAnsi="Arial" w:cs="Arial"/>
          <w:szCs w:val="24"/>
          <w:lang w:eastAsia="en-AU"/>
        </w:rPr>
      </w:pPr>
      <w:r>
        <w:rPr>
          <w:rFonts w:ascii="Arial" w:hAnsi="Arial" w:cs="Arial"/>
          <w:szCs w:val="24"/>
          <w:lang w:eastAsia="en-AU"/>
        </w:rPr>
        <w:t xml:space="preserve">The RTA provides that Regulation may prescribe a person, or a class of people, to be a competent person. Additionally, </w:t>
      </w:r>
      <w:r w:rsidR="006205EF">
        <w:rPr>
          <w:rFonts w:ascii="Arial" w:hAnsi="Arial" w:cs="Arial"/>
          <w:szCs w:val="24"/>
          <w:lang w:eastAsia="en-AU"/>
        </w:rPr>
        <w:t xml:space="preserve">a competent person must only make a competent person declaration if they have previously consulted the tenant, or their dependent child, in the course of their professional practice. </w:t>
      </w:r>
    </w:p>
    <w:p w14:paraId="355A1AA5" w14:textId="2C31ACE2" w:rsidR="006205EF" w:rsidRDefault="00436B51" w:rsidP="00B67FBE">
      <w:pPr>
        <w:spacing w:after="120" w:line="276" w:lineRule="auto"/>
        <w:rPr>
          <w:rFonts w:ascii="Arial" w:hAnsi="Arial" w:cs="Arial"/>
          <w:szCs w:val="24"/>
          <w:lang w:eastAsia="en-AU"/>
        </w:rPr>
      </w:pPr>
      <w:r>
        <w:rPr>
          <w:rFonts w:ascii="Arial" w:hAnsi="Arial" w:cs="Arial"/>
          <w:szCs w:val="24"/>
          <w:lang w:eastAsia="en-AU"/>
        </w:rPr>
        <w:t xml:space="preserve">This Regulation </w:t>
      </w:r>
      <w:r w:rsidR="00471764">
        <w:rPr>
          <w:rFonts w:ascii="Arial" w:hAnsi="Arial" w:cs="Arial"/>
          <w:szCs w:val="24"/>
          <w:lang w:eastAsia="en-AU"/>
        </w:rPr>
        <w:t xml:space="preserve">prescribes </w:t>
      </w:r>
      <w:r w:rsidR="00C25D4F">
        <w:rPr>
          <w:rFonts w:ascii="Arial" w:hAnsi="Arial" w:cs="Arial"/>
          <w:szCs w:val="24"/>
          <w:lang w:eastAsia="en-AU"/>
        </w:rPr>
        <w:t>the</w:t>
      </w:r>
      <w:r w:rsidR="00471764">
        <w:rPr>
          <w:rFonts w:ascii="Arial" w:hAnsi="Arial" w:cs="Arial"/>
          <w:szCs w:val="24"/>
          <w:lang w:eastAsia="en-AU"/>
        </w:rPr>
        <w:t xml:space="preserve"> list of professional</w:t>
      </w:r>
      <w:r w:rsidR="009C7E35">
        <w:rPr>
          <w:rFonts w:ascii="Arial" w:hAnsi="Arial" w:cs="Arial"/>
          <w:szCs w:val="24"/>
          <w:lang w:eastAsia="en-AU"/>
        </w:rPr>
        <w:t>s</w:t>
      </w:r>
      <w:r w:rsidR="00471764">
        <w:rPr>
          <w:rFonts w:ascii="Arial" w:hAnsi="Arial" w:cs="Arial"/>
          <w:szCs w:val="24"/>
          <w:lang w:eastAsia="en-AU"/>
        </w:rPr>
        <w:t>, who</w:t>
      </w:r>
      <w:r w:rsidR="002E6827">
        <w:rPr>
          <w:rFonts w:ascii="Arial" w:hAnsi="Arial" w:cs="Arial"/>
          <w:szCs w:val="24"/>
          <w:lang w:eastAsia="en-AU"/>
        </w:rPr>
        <w:t>,</w:t>
      </w:r>
      <w:r w:rsidR="00471764">
        <w:rPr>
          <w:rFonts w:ascii="Arial" w:hAnsi="Arial" w:cs="Arial"/>
          <w:szCs w:val="24"/>
          <w:lang w:eastAsia="en-AU"/>
        </w:rPr>
        <w:t xml:space="preserve"> given their expertise and experience, are capable of making a declaration</w:t>
      </w:r>
      <w:r w:rsidR="002E6827">
        <w:rPr>
          <w:rFonts w:ascii="Arial" w:hAnsi="Arial" w:cs="Arial"/>
          <w:szCs w:val="24"/>
          <w:lang w:eastAsia="en-AU"/>
        </w:rPr>
        <w:t>. These professionals are authorised to make a declaration</w:t>
      </w:r>
      <w:r w:rsidR="00471764">
        <w:rPr>
          <w:rFonts w:ascii="Arial" w:hAnsi="Arial" w:cs="Arial"/>
          <w:szCs w:val="24"/>
          <w:lang w:eastAsia="en-AU"/>
        </w:rPr>
        <w:t xml:space="preserve"> that</w:t>
      </w:r>
      <w:r w:rsidR="002E6827">
        <w:rPr>
          <w:rFonts w:ascii="Arial" w:hAnsi="Arial" w:cs="Arial"/>
          <w:szCs w:val="24"/>
          <w:lang w:eastAsia="en-AU"/>
        </w:rPr>
        <w:t>,</w:t>
      </w:r>
      <w:r w:rsidR="00471764">
        <w:rPr>
          <w:rFonts w:ascii="Arial" w:hAnsi="Arial" w:cs="Arial"/>
          <w:szCs w:val="24"/>
          <w:lang w:eastAsia="en-AU"/>
        </w:rPr>
        <w:t xml:space="preserve"> in their opinion, the tenant or their dependent child has experienced domestic or family violence. </w:t>
      </w:r>
    </w:p>
    <w:p w14:paraId="3A999705" w14:textId="0570B0A2" w:rsidR="0052294B" w:rsidRDefault="0052294B" w:rsidP="00B67FBE">
      <w:pPr>
        <w:spacing w:after="120" w:line="276" w:lineRule="auto"/>
        <w:rPr>
          <w:rFonts w:ascii="Arial" w:hAnsi="Arial" w:cs="Arial"/>
          <w:szCs w:val="24"/>
          <w:lang w:eastAsia="en-AU"/>
        </w:rPr>
      </w:pPr>
      <w:r>
        <w:rPr>
          <w:rFonts w:ascii="Arial" w:hAnsi="Arial" w:cs="Arial"/>
          <w:szCs w:val="24"/>
          <w:lang w:eastAsia="en-AU"/>
        </w:rPr>
        <w:t xml:space="preserve">This Regulation also </w:t>
      </w:r>
      <w:r w:rsidR="002E6827">
        <w:rPr>
          <w:rFonts w:ascii="Arial" w:hAnsi="Arial" w:cs="Arial"/>
          <w:szCs w:val="24"/>
          <w:lang w:eastAsia="en-AU"/>
        </w:rPr>
        <w:t xml:space="preserve">requires </w:t>
      </w:r>
      <w:r>
        <w:rPr>
          <w:rFonts w:ascii="Arial" w:hAnsi="Arial" w:cs="Arial"/>
          <w:szCs w:val="24"/>
          <w:lang w:eastAsia="en-AU"/>
        </w:rPr>
        <w:t xml:space="preserve">that a competent person declaration include the following information: </w:t>
      </w:r>
    </w:p>
    <w:p w14:paraId="126E5ECC" w14:textId="5835D76A" w:rsidR="0052294B" w:rsidRDefault="0052294B" w:rsidP="00B67FBE">
      <w:pPr>
        <w:pStyle w:val="ListParagraph"/>
        <w:numPr>
          <w:ilvl w:val="0"/>
          <w:numId w:val="17"/>
        </w:numPr>
        <w:spacing w:after="120" w:line="276" w:lineRule="auto"/>
        <w:contextualSpacing w:val="0"/>
        <w:rPr>
          <w:rFonts w:ascii="Arial" w:hAnsi="Arial" w:cs="Arial"/>
          <w:szCs w:val="24"/>
          <w:lang w:eastAsia="en-AU"/>
        </w:rPr>
      </w:pPr>
      <w:r>
        <w:rPr>
          <w:rFonts w:ascii="Arial" w:hAnsi="Arial" w:cs="Arial"/>
          <w:szCs w:val="24"/>
          <w:lang w:eastAsia="en-AU"/>
        </w:rPr>
        <w:t>The capacity in which the person is authorised to make a competent person declaration</w:t>
      </w:r>
      <w:r w:rsidR="005B79ED">
        <w:rPr>
          <w:rFonts w:ascii="Arial" w:hAnsi="Arial" w:cs="Arial"/>
          <w:szCs w:val="24"/>
          <w:lang w:eastAsia="en-AU"/>
        </w:rPr>
        <w:t xml:space="preserve">; </w:t>
      </w:r>
    </w:p>
    <w:p w14:paraId="245C1888" w14:textId="48C9FFBF" w:rsidR="005B79ED" w:rsidRDefault="005B79ED" w:rsidP="00B67FBE">
      <w:pPr>
        <w:pStyle w:val="ListParagraph"/>
        <w:numPr>
          <w:ilvl w:val="0"/>
          <w:numId w:val="17"/>
        </w:numPr>
        <w:spacing w:after="120" w:line="276" w:lineRule="auto"/>
        <w:contextualSpacing w:val="0"/>
        <w:rPr>
          <w:rFonts w:ascii="Arial" w:hAnsi="Arial" w:cs="Arial"/>
          <w:szCs w:val="24"/>
          <w:lang w:eastAsia="en-AU"/>
        </w:rPr>
      </w:pPr>
      <w:r>
        <w:rPr>
          <w:rFonts w:ascii="Arial" w:hAnsi="Arial" w:cs="Arial"/>
          <w:szCs w:val="24"/>
          <w:lang w:eastAsia="en-AU"/>
        </w:rPr>
        <w:t xml:space="preserve">Either the person’s name or their employer’s name (if their employer is an organisation capable of making a competent person declaration); </w:t>
      </w:r>
    </w:p>
    <w:p w14:paraId="29C4F112" w14:textId="48D9F779" w:rsidR="005B79ED" w:rsidRDefault="005B79ED" w:rsidP="00B67FBE">
      <w:pPr>
        <w:pStyle w:val="ListParagraph"/>
        <w:numPr>
          <w:ilvl w:val="0"/>
          <w:numId w:val="17"/>
        </w:numPr>
        <w:spacing w:after="120" w:line="276" w:lineRule="auto"/>
        <w:contextualSpacing w:val="0"/>
        <w:rPr>
          <w:rFonts w:ascii="Arial" w:hAnsi="Arial" w:cs="Arial"/>
          <w:szCs w:val="24"/>
          <w:lang w:eastAsia="en-AU"/>
        </w:rPr>
      </w:pPr>
      <w:r>
        <w:rPr>
          <w:rFonts w:ascii="Arial" w:hAnsi="Arial" w:cs="Arial"/>
          <w:szCs w:val="24"/>
          <w:lang w:eastAsia="en-AU"/>
        </w:rPr>
        <w:t>A statement that the person has consulted the tenant or their dependent child, and th</w:t>
      </w:r>
      <w:r w:rsidR="00133F79">
        <w:rPr>
          <w:rFonts w:ascii="Arial" w:hAnsi="Arial" w:cs="Arial"/>
          <w:szCs w:val="24"/>
          <w:lang w:eastAsia="en-AU"/>
        </w:rPr>
        <w:t xml:space="preserve">at they have experienced family violence; and </w:t>
      </w:r>
    </w:p>
    <w:p w14:paraId="01AC3F26" w14:textId="646E5E14" w:rsidR="000F7313" w:rsidRPr="000F7313" w:rsidRDefault="00133F79" w:rsidP="00B67FBE">
      <w:pPr>
        <w:pStyle w:val="ListParagraph"/>
        <w:numPr>
          <w:ilvl w:val="0"/>
          <w:numId w:val="17"/>
        </w:numPr>
        <w:spacing w:after="120" w:line="276" w:lineRule="auto"/>
        <w:contextualSpacing w:val="0"/>
        <w:rPr>
          <w:rFonts w:ascii="Arial" w:hAnsi="Arial" w:cs="Arial"/>
          <w:szCs w:val="24"/>
          <w:lang w:eastAsia="en-AU"/>
        </w:rPr>
      </w:pPr>
      <w:r>
        <w:rPr>
          <w:rFonts w:ascii="Arial" w:hAnsi="Arial" w:cs="Arial"/>
          <w:szCs w:val="24"/>
          <w:lang w:eastAsia="en-AU"/>
        </w:rPr>
        <w:t xml:space="preserve">The date the declaration was made. </w:t>
      </w:r>
    </w:p>
    <w:p w14:paraId="25107892" w14:textId="5B29EF1E" w:rsidR="00133F79" w:rsidRDefault="00133F79" w:rsidP="00B67FBE">
      <w:pPr>
        <w:spacing w:after="120" w:line="276" w:lineRule="auto"/>
        <w:rPr>
          <w:rFonts w:ascii="Arial" w:hAnsi="Arial" w:cs="Arial"/>
          <w:i/>
          <w:iCs/>
          <w:szCs w:val="24"/>
          <w:lang w:eastAsia="en-AU"/>
        </w:rPr>
      </w:pPr>
      <w:r>
        <w:rPr>
          <w:rFonts w:ascii="Arial" w:hAnsi="Arial" w:cs="Arial"/>
          <w:i/>
          <w:iCs/>
          <w:szCs w:val="24"/>
          <w:lang w:eastAsia="en-AU"/>
        </w:rPr>
        <w:t>Additional information to be provided when advertising a rental property or entering into a residential tenancy agreement</w:t>
      </w:r>
    </w:p>
    <w:p w14:paraId="610A9F1E" w14:textId="323833F6" w:rsidR="00133F79" w:rsidRDefault="004410D2" w:rsidP="00B67FBE">
      <w:pPr>
        <w:spacing w:after="120" w:line="276" w:lineRule="auto"/>
        <w:rPr>
          <w:rFonts w:ascii="Arial" w:hAnsi="Arial" w:cs="Arial"/>
          <w:szCs w:val="24"/>
          <w:lang w:eastAsia="en-AU"/>
        </w:rPr>
      </w:pPr>
      <w:r>
        <w:rPr>
          <w:rFonts w:ascii="Arial" w:hAnsi="Arial" w:cs="Arial"/>
          <w:szCs w:val="24"/>
          <w:lang w:eastAsia="en-AU"/>
        </w:rPr>
        <w:t xml:space="preserve">Section 11A of the RTA provides that the Government can prescribe, by regulation, information that a landlord must disclose when advertising a rental premises. Similarly, </w:t>
      </w:r>
      <w:r w:rsidR="001144BE">
        <w:rPr>
          <w:rFonts w:ascii="Arial" w:hAnsi="Arial" w:cs="Arial"/>
          <w:szCs w:val="24"/>
          <w:lang w:eastAsia="en-AU"/>
        </w:rPr>
        <w:t xml:space="preserve">section 12 provides that the Government can prescribe by </w:t>
      </w:r>
      <w:r w:rsidR="001144BE">
        <w:rPr>
          <w:rFonts w:ascii="Arial" w:hAnsi="Arial" w:cs="Arial"/>
          <w:szCs w:val="24"/>
          <w:lang w:eastAsia="en-AU"/>
        </w:rPr>
        <w:lastRenderedPageBreak/>
        <w:t xml:space="preserve">regulation information that a landlord must disclose to a tenant at the point of entering into a lease. </w:t>
      </w:r>
    </w:p>
    <w:p w14:paraId="541DF0E2" w14:textId="2F71715E" w:rsidR="00317731" w:rsidRDefault="00317731" w:rsidP="00B67FBE">
      <w:pPr>
        <w:spacing w:after="120" w:line="276" w:lineRule="auto"/>
        <w:rPr>
          <w:rFonts w:ascii="Arial" w:hAnsi="Arial" w:cs="Arial"/>
          <w:szCs w:val="24"/>
          <w:lang w:eastAsia="en-AU"/>
        </w:rPr>
      </w:pPr>
      <w:r>
        <w:rPr>
          <w:rFonts w:ascii="Arial" w:hAnsi="Arial" w:cs="Arial"/>
          <w:szCs w:val="24"/>
          <w:lang w:eastAsia="en-AU"/>
        </w:rPr>
        <w:t xml:space="preserve">These provisions aim to address the information asymmetry that may exist between tenants and landlords, when entering into a lease for a rental property. </w:t>
      </w:r>
      <w:r w:rsidR="0034525C">
        <w:rPr>
          <w:rFonts w:ascii="Arial" w:hAnsi="Arial" w:cs="Arial"/>
          <w:szCs w:val="24"/>
          <w:lang w:eastAsia="en-AU"/>
        </w:rPr>
        <w:t xml:space="preserve">During recent consultations, tenants have expressed a strong desire for information about premises they are considering applying to rent, however, they must often rely on the information provided to them by </w:t>
      </w:r>
      <w:r w:rsidR="000F7313">
        <w:rPr>
          <w:rFonts w:ascii="Arial" w:hAnsi="Arial" w:cs="Arial"/>
          <w:szCs w:val="24"/>
          <w:lang w:eastAsia="en-AU"/>
        </w:rPr>
        <w:t xml:space="preserve">landlords. </w:t>
      </w:r>
    </w:p>
    <w:p w14:paraId="0AF2E530" w14:textId="03069D15" w:rsidR="00247EFD" w:rsidRDefault="00247EFD" w:rsidP="00B67FBE">
      <w:pPr>
        <w:spacing w:after="120" w:line="276" w:lineRule="auto"/>
        <w:rPr>
          <w:rFonts w:ascii="Arial" w:hAnsi="Arial" w:cs="Arial"/>
          <w:szCs w:val="24"/>
          <w:lang w:eastAsia="en-AU"/>
        </w:rPr>
      </w:pPr>
      <w:r>
        <w:rPr>
          <w:rFonts w:ascii="Arial" w:hAnsi="Arial" w:cs="Arial"/>
          <w:szCs w:val="24"/>
          <w:lang w:eastAsia="en-AU"/>
        </w:rPr>
        <w:t xml:space="preserve">This Regulation requires landlords to disclose: </w:t>
      </w:r>
    </w:p>
    <w:p w14:paraId="3192BB6C" w14:textId="4F34EEBF" w:rsidR="00247EFD" w:rsidRDefault="00247EFD" w:rsidP="00B67FBE">
      <w:pPr>
        <w:pStyle w:val="ListParagraph"/>
        <w:numPr>
          <w:ilvl w:val="0"/>
          <w:numId w:val="17"/>
        </w:numPr>
        <w:spacing w:after="120" w:line="276" w:lineRule="auto"/>
        <w:contextualSpacing w:val="0"/>
        <w:rPr>
          <w:rFonts w:ascii="Arial" w:hAnsi="Arial" w:cs="Arial"/>
          <w:szCs w:val="24"/>
          <w:lang w:eastAsia="en-AU"/>
        </w:rPr>
      </w:pPr>
      <w:r>
        <w:rPr>
          <w:rFonts w:ascii="Arial" w:hAnsi="Arial" w:cs="Arial"/>
          <w:szCs w:val="24"/>
          <w:lang w:eastAsia="en-AU"/>
        </w:rPr>
        <w:t xml:space="preserve">Information on whether the rental property is a part of an </w:t>
      </w:r>
      <w:r w:rsidR="002E6827">
        <w:rPr>
          <w:rFonts w:ascii="Arial" w:hAnsi="Arial" w:cs="Arial"/>
          <w:szCs w:val="24"/>
          <w:lang w:eastAsia="en-AU"/>
        </w:rPr>
        <w:t xml:space="preserve">electricity </w:t>
      </w:r>
      <w:r>
        <w:rPr>
          <w:rFonts w:ascii="Arial" w:hAnsi="Arial" w:cs="Arial"/>
          <w:szCs w:val="24"/>
          <w:lang w:eastAsia="en-AU"/>
        </w:rPr>
        <w:t xml:space="preserve">embedded network, both at the point of advertisement and at the point of entering a lease, </w:t>
      </w:r>
    </w:p>
    <w:p w14:paraId="51B404AA" w14:textId="140DBDF5" w:rsidR="002E6827" w:rsidRDefault="002E6827" w:rsidP="00B67FBE">
      <w:pPr>
        <w:pStyle w:val="ListParagraph"/>
        <w:numPr>
          <w:ilvl w:val="0"/>
          <w:numId w:val="17"/>
        </w:numPr>
        <w:spacing w:after="120" w:line="276" w:lineRule="auto"/>
        <w:contextualSpacing w:val="0"/>
        <w:rPr>
          <w:rFonts w:ascii="Arial" w:hAnsi="Arial" w:cs="Arial"/>
          <w:szCs w:val="24"/>
          <w:lang w:eastAsia="en-AU"/>
        </w:rPr>
      </w:pPr>
      <w:r>
        <w:rPr>
          <w:rFonts w:ascii="Arial" w:hAnsi="Arial" w:cs="Arial"/>
          <w:szCs w:val="24"/>
          <w:lang w:eastAsia="en-AU"/>
        </w:rPr>
        <w:t>Information about whether the tenant will have no or limited choice of service providers for a utility service, and, if so the kind of service, both at the point of advertisement and at the point of entering a lease, and</w:t>
      </w:r>
    </w:p>
    <w:p w14:paraId="70C1CDCB" w14:textId="2477F4D4" w:rsidR="00247EFD" w:rsidRDefault="00247EFD" w:rsidP="00B67FBE">
      <w:pPr>
        <w:pStyle w:val="ListParagraph"/>
        <w:numPr>
          <w:ilvl w:val="0"/>
          <w:numId w:val="17"/>
        </w:numPr>
        <w:spacing w:after="120" w:line="276" w:lineRule="auto"/>
        <w:contextualSpacing w:val="0"/>
        <w:rPr>
          <w:rFonts w:ascii="Arial" w:hAnsi="Arial" w:cs="Arial"/>
          <w:szCs w:val="24"/>
          <w:lang w:eastAsia="en-AU"/>
        </w:rPr>
      </w:pPr>
      <w:r>
        <w:rPr>
          <w:rFonts w:ascii="Arial" w:hAnsi="Arial" w:cs="Arial"/>
          <w:szCs w:val="24"/>
          <w:lang w:eastAsia="en-AU"/>
        </w:rPr>
        <w:t>If the rental property has a swimming pool, information on whether the swimming pool complies with the relevant safety standards</w:t>
      </w:r>
      <w:r w:rsidR="002E6827">
        <w:rPr>
          <w:rFonts w:ascii="Arial" w:hAnsi="Arial" w:cs="Arial"/>
          <w:szCs w:val="24"/>
          <w:lang w:eastAsia="en-AU"/>
        </w:rPr>
        <w:t xml:space="preserve"> at the point of entering a lease only</w:t>
      </w:r>
      <w:r>
        <w:rPr>
          <w:rFonts w:ascii="Arial" w:hAnsi="Arial" w:cs="Arial"/>
          <w:szCs w:val="24"/>
          <w:lang w:eastAsia="en-AU"/>
        </w:rPr>
        <w:t xml:space="preserve">. </w:t>
      </w:r>
    </w:p>
    <w:p w14:paraId="630922CB" w14:textId="2BC272E1" w:rsidR="00247EFD" w:rsidRPr="00247EFD" w:rsidRDefault="00786273" w:rsidP="00B67FBE">
      <w:pPr>
        <w:spacing w:after="120" w:line="276" w:lineRule="auto"/>
        <w:rPr>
          <w:rFonts w:ascii="Arial" w:hAnsi="Arial" w:cs="Arial"/>
          <w:szCs w:val="24"/>
          <w:lang w:eastAsia="en-AU"/>
        </w:rPr>
      </w:pPr>
      <w:r>
        <w:rPr>
          <w:rFonts w:ascii="Arial" w:hAnsi="Arial" w:cs="Arial"/>
          <w:szCs w:val="24"/>
          <w:lang w:eastAsia="en-AU"/>
        </w:rPr>
        <w:t>Knowing these key pieces of information about the rental property may be an important factor for a tenant when deciding whether to apply to the property.</w:t>
      </w:r>
    </w:p>
    <w:bookmarkEnd w:id="1"/>
    <w:p w14:paraId="18A4CFFD" w14:textId="18605B4C" w:rsidR="007958A2" w:rsidRPr="006477DF" w:rsidRDefault="000D32A8" w:rsidP="00B67FBE">
      <w:pPr>
        <w:keepNext/>
        <w:spacing w:after="120" w:line="276" w:lineRule="auto"/>
        <w:rPr>
          <w:rFonts w:ascii="Arial" w:hAnsi="Arial" w:cs="Arial"/>
          <w:b/>
          <w:bCs/>
          <w:szCs w:val="24"/>
          <w:lang w:eastAsia="en-AU"/>
        </w:rPr>
      </w:pPr>
      <w:r w:rsidRPr="006477DF">
        <w:rPr>
          <w:rFonts w:ascii="Arial" w:hAnsi="Arial" w:cs="Arial"/>
          <w:b/>
          <w:bCs/>
          <w:szCs w:val="24"/>
          <w:lang w:eastAsia="en-AU"/>
        </w:rPr>
        <w:t>HUMAN RIGHTS IMPLICATIONS</w:t>
      </w:r>
    </w:p>
    <w:p w14:paraId="79CB218E" w14:textId="77777777" w:rsidR="00FD3259" w:rsidRDefault="0068204C" w:rsidP="00B67FBE">
      <w:pPr>
        <w:keepNext/>
        <w:spacing w:after="120" w:line="276" w:lineRule="auto"/>
        <w:rPr>
          <w:rFonts w:ascii="Arial" w:hAnsi="Arial" w:cs="Arial"/>
          <w:szCs w:val="24"/>
          <w:lang w:eastAsia="en-AU"/>
        </w:rPr>
      </w:pPr>
      <w:r w:rsidRPr="0068204C">
        <w:rPr>
          <w:rFonts w:ascii="Arial" w:hAnsi="Arial" w:cs="Arial"/>
          <w:szCs w:val="24"/>
          <w:lang w:eastAsia="en-AU"/>
        </w:rPr>
        <w:t>This Regulation</w:t>
      </w:r>
      <w:r w:rsidR="00AA7AFB">
        <w:rPr>
          <w:rFonts w:ascii="Arial" w:hAnsi="Arial" w:cs="Arial"/>
          <w:szCs w:val="24"/>
          <w:lang w:eastAsia="en-AU"/>
        </w:rPr>
        <w:t xml:space="preserve"> will support people who have experienced domestic or family violence to leave a tenancy early</w:t>
      </w:r>
      <w:r w:rsidR="00FD3259">
        <w:rPr>
          <w:rFonts w:ascii="Arial" w:hAnsi="Arial" w:cs="Arial"/>
          <w:szCs w:val="24"/>
          <w:lang w:eastAsia="en-AU"/>
        </w:rPr>
        <w:t xml:space="preserve">, without penalty, by providing supporting documentation from an appropriate professional. This promotes several rights including: </w:t>
      </w:r>
    </w:p>
    <w:p w14:paraId="7407A99E" w14:textId="59E49C1E" w:rsidR="001D5B3D" w:rsidRPr="001D5B3D" w:rsidRDefault="001D5B3D" w:rsidP="00B67FBE">
      <w:pPr>
        <w:pStyle w:val="ListParagraph"/>
        <w:keepNext/>
        <w:numPr>
          <w:ilvl w:val="0"/>
          <w:numId w:val="17"/>
        </w:numPr>
        <w:spacing w:after="120" w:line="276" w:lineRule="auto"/>
        <w:contextualSpacing w:val="0"/>
        <w:rPr>
          <w:rFonts w:ascii="Arial" w:hAnsi="Arial" w:cs="Arial"/>
          <w:szCs w:val="24"/>
          <w:u w:val="single"/>
          <w:lang w:eastAsia="en-AU"/>
        </w:rPr>
      </w:pPr>
      <w:r w:rsidRPr="001D5B3D">
        <w:rPr>
          <w:rFonts w:ascii="Arial" w:hAnsi="Arial" w:cs="Arial"/>
          <w:szCs w:val="24"/>
          <w:u w:val="single"/>
          <w:lang w:eastAsia="en-AU"/>
        </w:rPr>
        <w:t>Right to recognition and equality before the law (section 8):</w:t>
      </w:r>
      <w:r>
        <w:rPr>
          <w:rFonts w:ascii="Arial" w:hAnsi="Arial" w:cs="Arial"/>
          <w:szCs w:val="24"/>
          <w:lang w:eastAsia="en-AU"/>
        </w:rPr>
        <w:t xml:space="preserve"> </w:t>
      </w:r>
      <w:r w:rsidR="004C7583">
        <w:rPr>
          <w:rFonts w:ascii="Arial" w:hAnsi="Arial" w:cs="Arial"/>
          <w:szCs w:val="24"/>
          <w:lang w:eastAsia="en-AU"/>
        </w:rPr>
        <w:t xml:space="preserve">Certain groups (including women, members of the Aboriginal and Torres Strait Islander community, people living with a disability, </w:t>
      </w:r>
      <w:r w:rsidR="009D3AD3">
        <w:rPr>
          <w:rFonts w:ascii="Arial" w:hAnsi="Arial" w:cs="Arial"/>
          <w:szCs w:val="24"/>
          <w:lang w:eastAsia="en-AU"/>
        </w:rPr>
        <w:t>LGBTQIA+ people, people from cultu</w:t>
      </w:r>
      <w:r w:rsidR="00BD39E5">
        <w:rPr>
          <w:rFonts w:ascii="Arial" w:hAnsi="Arial" w:cs="Arial"/>
          <w:szCs w:val="24"/>
          <w:lang w:eastAsia="en-AU"/>
        </w:rPr>
        <w:t>r</w:t>
      </w:r>
      <w:r w:rsidR="009D3AD3">
        <w:rPr>
          <w:rFonts w:ascii="Arial" w:hAnsi="Arial" w:cs="Arial"/>
          <w:szCs w:val="24"/>
          <w:lang w:eastAsia="en-AU"/>
        </w:rPr>
        <w:t xml:space="preserve">ally and linguistically diverse backgrounds and women on temporary visas) are disproportionately more likely to experience domestic violence. </w:t>
      </w:r>
      <w:r w:rsidR="00343114">
        <w:rPr>
          <w:rFonts w:ascii="Arial" w:hAnsi="Arial" w:cs="Arial"/>
          <w:szCs w:val="24"/>
          <w:lang w:eastAsia="en-AU"/>
        </w:rPr>
        <w:t xml:space="preserve">These groups are also more likely to rent, and may feel less comfortable engaging with formal court processes. These amendments will support the right to equality by supporting these groups to escape domestic or family violence quickly. </w:t>
      </w:r>
    </w:p>
    <w:p w14:paraId="6502FBD2" w14:textId="40520A1E" w:rsidR="001D5B3D" w:rsidRPr="00C0590B" w:rsidRDefault="001D5B3D" w:rsidP="00B67FBE">
      <w:pPr>
        <w:pStyle w:val="ListParagraph"/>
        <w:keepNext/>
        <w:numPr>
          <w:ilvl w:val="0"/>
          <w:numId w:val="17"/>
        </w:numPr>
        <w:spacing w:after="120" w:line="276" w:lineRule="auto"/>
        <w:contextualSpacing w:val="0"/>
        <w:rPr>
          <w:rFonts w:ascii="Arial" w:hAnsi="Arial" w:cs="Arial"/>
          <w:szCs w:val="24"/>
          <w:u w:val="single"/>
          <w:lang w:eastAsia="en-AU"/>
        </w:rPr>
      </w:pPr>
      <w:r w:rsidRPr="00C0590B">
        <w:rPr>
          <w:rFonts w:ascii="Arial" w:hAnsi="Arial" w:cs="Arial"/>
          <w:szCs w:val="24"/>
          <w:u w:val="single"/>
          <w:lang w:eastAsia="en-AU"/>
        </w:rPr>
        <w:t>Right to life (section 9)</w:t>
      </w:r>
      <w:r w:rsidR="00C0590B">
        <w:rPr>
          <w:rFonts w:ascii="Arial" w:hAnsi="Arial" w:cs="Arial"/>
          <w:szCs w:val="24"/>
          <w:lang w:eastAsia="en-AU"/>
        </w:rPr>
        <w:t xml:space="preserve">: </w:t>
      </w:r>
      <w:r w:rsidR="00446795" w:rsidRPr="00446795">
        <w:rPr>
          <w:rFonts w:ascii="Arial" w:hAnsi="Arial" w:cs="Arial"/>
          <w:szCs w:val="24"/>
          <w:lang w:eastAsia="en-AU"/>
        </w:rPr>
        <w:t xml:space="preserve">In Australia, on average, one woman is killed every nine days by a current or former partner. This </w:t>
      </w:r>
      <w:r w:rsidR="00446795">
        <w:rPr>
          <w:rFonts w:ascii="Arial" w:hAnsi="Arial" w:cs="Arial"/>
          <w:szCs w:val="24"/>
          <w:lang w:eastAsia="en-AU"/>
        </w:rPr>
        <w:t>Regulation</w:t>
      </w:r>
      <w:r w:rsidR="00446795" w:rsidRPr="00446795">
        <w:rPr>
          <w:rFonts w:ascii="Arial" w:hAnsi="Arial" w:cs="Arial"/>
          <w:szCs w:val="24"/>
          <w:lang w:eastAsia="en-AU"/>
        </w:rPr>
        <w:t xml:space="preserve"> therefore directly promotes and supports the right to life of victim-</w:t>
      </w:r>
      <w:r w:rsidR="00446795" w:rsidRPr="00446795">
        <w:rPr>
          <w:rFonts w:ascii="Arial" w:hAnsi="Arial" w:cs="Arial"/>
          <w:szCs w:val="24"/>
          <w:lang w:eastAsia="en-AU"/>
        </w:rPr>
        <w:lastRenderedPageBreak/>
        <w:t xml:space="preserve">survivors and their families by </w:t>
      </w:r>
      <w:r w:rsidR="00446795">
        <w:rPr>
          <w:rFonts w:ascii="Arial" w:hAnsi="Arial" w:cs="Arial"/>
          <w:szCs w:val="24"/>
          <w:lang w:eastAsia="en-AU"/>
        </w:rPr>
        <w:t>making it easier for</w:t>
      </w:r>
      <w:r w:rsidR="00446795" w:rsidRPr="00446795">
        <w:rPr>
          <w:rFonts w:ascii="Arial" w:hAnsi="Arial" w:cs="Arial"/>
          <w:szCs w:val="24"/>
          <w:lang w:eastAsia="en-AU"/>
        </w:rPr>
        <w:t xml:space="preserve"> them to leave situations of violence quickly and without penalty.</w:t>
      </w:r>
    </w:p>
    <w:p w14:paraId="3E839702" w14:textId="184F2A46" w:rsidR="001D5B3D" w:rsidRPr="001D5B3D" w:rsidRDefault="001D5B3D" w:rsidP="00B67FBE">
      <w:pPr>
        <w:pStyle w:val="ListParagraph"/>
        <w:keepNext/>
        <w:numPr>
          <w:ilvl w:val="0"/>
          <w:numId w:val="17"/>
        </w:numPr>
        <w:spacing w:after="120" w:line="276" w:lineRule="auto"/>
        <w:contextualSpacing w:val="0"/>
        <w:rPr>
          <w:rFonts w:ascii="Arial" w:hAnsi="Arial" w:cs="Arial"/>
          <w:szCs w:val="24"/>
          <w:lang w:eastAsia="en-AU"/>
        </w:rPr>
      </w:pPr>
      <w:r w:rsidRPr="00446795">
        <w:rPr>
          <w:rFonts w:ascii="Arial" w:hAnsi="Arial" w:cs="Arial"/>
          <w:szCs w:val="24"/>
          <w:u w:val="single"/>
          <w:lang w:eastAsia="en-AU"/>
        </w:rPr>
        <w:t>Right to protection from cruel, inhuman or degrading treatment (section 10)</w:t>
      </w:r>
      <w:r w:rsidR="00446795">
        <w:rPr>
          <w:rFonts w:ascii="Arial" w:hAnsi="Arial" w:cs="Arial"/>
          <w:szCs w:val="24"/>
          <w:lang w:eastAsia="en-AU"/>
        </w:rPr>
        <w:t>:</w:t>
      </w:r>
      <w:r w:rsidR="006E7B73">
        <w:rPr>
          <w:rFonts w:ascii="Arial" w:hAnsi="Arial" w:cs="Arial"/>
          <w:szCs w:val="24"/>
          <w:lang w:eastAsia="en-AU"/>
        </w:rPr>
        <w:t>According to the International Committee on the Elimination of Discrimination against Women,</w:t>
      </w:r>
      <w:r w:rsidR="00270579" w:rsidRPr="00270579">
        <w:rPr>
          <w:rFonts w:ascii="Arial" w:hAnsi="Arial" w:cs="Arial"/>
          <w:szCs w:val="24"/>
          <w:lang w:eastAsia="en-AU"/>
        </w:rPr>
        <w:t> ‘gender-based violence against women may amount to torture or cruel, inhuman or degrading treatment in certain circumstances, including in cases of rape, domestic violence or harmful practices.’</w:t>
      </w:r>
      <w:bookmarkStart w:id="2" w:name="_ftnref17"/>
      <w:bookmarkEnd w:id="2"/>
      <w:r w:rsidR="00270579" w:rsidRPr="00270579">
        <w:rPr>
          <w:rFonts w:ascii="Arial" w:hAnsi="Arial" w:cs="Arial"/>
          <w:szCs w:val="24"/>
          <w:lang w:eastAsia="en-AU"/>
        </w:rPr>
        <w:fldChar w:fldCharType="begin"/>
      </w:r>
      <w:r w:rsidR="00270579" w:rsidRPr="00270579">
        <w:rPr>
          <w:rFonts w:ascii="Arial" w:hAnsi="Arial" w:cs="Arial"/>
          <w:szCs w:val="24"/>
          <w:lang w:eastAsia="en-AU"/>
        </w:rPr>
        <w:instrText>HYPERLINK "https://www.legislation.act.gov.au/View/GetHTMLFile/es/db_69512/20240409-83490/html/db_69512.html" \l "_ftn17"</w:instrText>
      </w:r>
      <w:r w:rsidR="00270579" w:rsidRPr="00270579">
        <w:rPr>
          <w:rFonts w:ascii="Arial" w:hAnsi="Arial" w:cs="Arial"/>
          <w:szCs w:val="24"/>
          <w:lang w:eastAsia="en-AU"/>
        </w:rPr>
      </w:r>
      <w:r w:rsidR="00270579" w:rsidRPr="00270579">
        <w:rPr>
          <w:rFonts w:ascii="Arial" w:hAnsi="Arial" w:cs="Arial"/>
          <w:szCs w:val="24"/>
          <w:lang w:eastAsia="en-AU"/>
        </w:rPr>
        <w:fldChar w:fldCharType="separate"/>
      </w:r>
      <w:r w:rsidR="00270579" w:rsidRPr="00270579">
        <w:rPr>
          <w:rStyle w:val="Hyperlink"/>
          <w:rFonts w:ascii="Arial" w:hAnsi="Arial" w:cs="Arial"/>
          <w:szCs w:val="24"/>
          <w:vertAlign w:val="superscript"/>
          <w:lang w:eastAsia="en-AU"/>
        </w:rPr>
        <w:t>[17]</w:t>
      </w:r>
      <w:r w:rsidR="00270579" w:rsidRPr="00270579">
        <w:rPr>
          <w:rFonts w:ascii="Arial" w:hAnsi="Arial" w:cs="Arial"/>
          <w:szCs w:val="24"/>
          <w:lang w:eastAsia="en-AU"/>
        </w:rPr>
        <w:fldChar w:fldCharType="end"/>
      </w:r>
      <w:r w:rsidR="00270579">
        <w:rPr>
          <w:rFonts w:ascii="Arial" w:hAnsi="Arial" w:cs="Arial"/>
          <w:szCs w:val="24"/>
          <w:lang w:eastAsia="en-AU"/>
        </w:rPr>
        <w:t xml:space="preserve"> This Regulation promotes the right to freedom from cruel, inhuman or degrading treatment, by supporting victim-survivors to escape violence. </w:t>
      </w:r>
    </w:p>
    <w:p w14:paraId="309BCB00" w14:textId="561AE01F" w:rsidR="00BD39E5" w:rsidRPr="00BD39E5" w:rsidRDefault="001D5B3D" w:rsidP="00B67FBE">
      <w:pPr>
        <w:pStyle w:val="ListParagraph"/>
        <w:keepNext/>
        <w:numPr>
          <w:ilvl w:val="0"/>
          <w:numId w:val="17"/>
        </w:numPr>
        <w:spacing w:after="120" w:line="276" w:lineRule="auto"/>
        <w:contextualSpacing w:val="0"/>
        <w:rPr>
          <w:rFonts w:ascii="Arial" w:hAnsi="Arial" w:cs="Arial"/>
          <w:szCs w:val="24"/>
          <w:lang w:eastAsia="en-AU"/>
        </w:rPr>
      </w:pPr>
      <w:r w:rsidRPr="00B93492">
        <w:rPr>
          <w:rFonts w:ascii="Arial" w:hAnsi="Arial" w:cs="Arial"/>
          <w:szCs w:val="24"/>
          <w:u w:val="single"/>
          <w:lang w:eastAsia="en-AU"/>
        </w:rPr>
        <w:t>Right to protection of the family and children (section 11)</w:t>
      </w:r>
      <w:r w:rsidR="00B93492">
        <w:rPr>
          <w:rFonts w:ascii="Arial" w:hAnsi="Arial" w:cs="Arial"/>
          <w:szCs w:val="24"/>
          <w:lang w:eastAsia="en-AU"/>
        </w:rPr>
        <w:t xml:space="preserve">: </w:t>
      </w:r>
      <w:r w:rsidR="005F19D0">
        <w:rPr>
          <w:rFonts w:ascii="Arial" w:hAnsi="Arial" w:cs="Arial"/>
          <w:szCs w:val="24"/>
          <w:lang w:eastAsia="en-AU"/>
        </w:rPr>
        <w:t xml:space="preserve">This Regulation promotes the protection of children by allowing a tenant to escape violence by leaving a tenancy where they or their dependent child are experiencing domestic or family violence, </w:t>
      </w:r>
      <w:r w:rsidR="00BD39E5">
        <w:rPr>
          <w:rFonts w:ascii="Arial" w:hAnsi="Arial" w:cs="Arial"/>
          <w:szCs w:val="24"/>
          <w:lang w:eastAsia="en-AU"/>
        </w:rPr>
        <w:t xml:space="preserve">thereby removing both the tenant and their child from the </w:t>
      </w:r>
      <w:r w:rsidR="00C77AD8">
        <w:rPr>
          <w:rFonts w:ascii="Arial" w:hAnsi="Arial" w:cs="Arial"/>
          <w:szCs w:val="24"/>
          <w:lang w:eastAsia="en-AU"/>
        </w:rPr>
        <w:t xml:space="preserve">violent </w:t>
      </w:r>
      <w:r w:rsidR="00BD39E5">
        <w:rPr>
          <w:rFonts w:ascii="Arial" w:hAnsi="Arial" w:cs="Arial"/>
          <w:szCs w:val="24"/>
          <w:lang w:eastAsia="en-AU"/>
        </w:rPr>
        <w:t xml:space="preserve">situation. </w:t>
      </w:r>
    </w:p>
    <w:p w14:paraId="42FD36D3" w14:textId="4DA6B3CF" w:rsidR="00FD3259" w:rsidRPr="00BD39E5" w:rsidRDefault="001D5B3D" w:rsidP="00B67FBE">
      <w:pPr>
        <w:pStyle w:val="ListParagraph"/>
        <w:keepNext/>
        <w:numPr>
          <w:ilvl w:val="0"/>
          <w:numId w:val="17"/>
        </w:numPr>
        <w:spacing w:after="120" w:line="276" w:lineRule="auto"/>
        <w:contextualSpacing w:val="0"/>
        <w:rPr>
          <w:rFonts w:ascii="Arial" w:hAnsi="Arial" w:cs="Arial"/>
          <w:szCs w:val="24"/>
          <w:u w:val="single"/>
          <w:lang w:eastAsia="en-AU"/>
        </w:rPr>
      </w:pPr>
      <w:r w:rsidRPr="00BD39E5">
        <w:rPr>
          <w:rFonts w:ascii="Arial" w:hAnsi="Arial" w:cs="Arial"/>
          <w:szCs w:val="24"/>
          <w:u w:val="single"/>
          <w:lang w:eastAsia="en-AU"/>
        </w:rPr>
        <w:t>Right to liberty and security of person (section 18)</w:t>
      </w:r>
      <w:r w:rsidR="00BD39E5">
        <w:rPr>
          <w:rFonts w:ascii="Arial" w:hAnsi="Arial" w:cs="Arial"/>
          <w:szCs w:val="24"/>
          <w:lang w:eastAsia="en-AU"/>
        </w:rPr>
        <w:t xml:space="preserve">: </w:t>
      </w:r>
      <w:r w:rsidR="00BD39E5" w:rsidRPr="00BD39E5">
        <w:rPr>
          <w:rFonts w:ascii="Arial" w:hAnsi="Arial" w:cs="Arial"/>
          <w:szCs w:val="24"/>
          <w:lang w:eastAsia="en-AU"/>
        </w:rPr>
        <w:t>A victim-survivor’s right to liberty and security of person is breached</w:t>
      </w:r>
      <w:r w:rsidR="00BD39E5">
        <w:rPr>
          <w:rFonts w:ascii="Arial" w:hAnsi="Arial" w:cs="Arial"/>
          <w:szCs w:val="24"/>
          <w:lang w:eastAsia="en-AU"/>
        </w:rPr>
        <w:t xml:space="preserve"> when they experience domestic or family violence</w:t>
      </w:r>
      <w:r w:rsidR="00BD39E5" w:rsidRPr="00BD39E5">
        <w:rPr>
          <w:rFonts w:ascii="Arial" w:hAnsi="Arial" w:cs="Arial"/>
          <w:szCs w:val="24"/>
          <w:lang w:eastAsia="en-AU"/>
        </w:rPr>
        <w:t xml:space="preserve">. By making it easier for victim-survivors to leave </w:t>
      </w:r>
      <w:r w:rsidR="00BD39E5">
        <w:rPr>
          <w:rFonts w:ascii="Arial" w:hAnsi="Arial" w:cs="Arial"/>
          <w:szCs w:val="24"/>
          <w:lang w:eastAsia="en-AU"/>
        </w:rPr>
        <w:t>these situations</w:t>
      </w:r>
      <w:r w:rsidR="00BD39E5" w:rsidRPr="00BD39E5">
        <w:rPr>
          <w:rFonts w:ascii="Arial" w:hAnsi="Arial" w:cs="Arial"/>
          <w:szCs w:val="24"/>
          <w:lang w:eastAsia="en-AU"/>
        </w:rPr>
        <w:t xml:space="preserve">, the </w:t>
      </w:r>
      <w:r w:rsidR="00BD39E5">
        <w:rPr>
          <w:rFonts w:ascii="Arial" w:hAnsi="Arial" w:cs="Arial"/>
          <w:szCs w:val="24"/>
          <w:lang w:eastAsia="en-AU"/>
        </w:rPr>
        <w:t>Regulation</w:t>
      </w:r>
      <w:r w:rsidR="00BD39E5" w:rsidRPr="00BD39E5">
        <w:rPr>
          <w:rFonts w:ascii="Arial" w:hAnsi="Arial" w:cs="Arial"/>
          <w:szCs w:val="24"/>
          <w:lang w:eastAsia="en-AU"/>
        </w:rPr>
        <w:t xml:space="preserve"> promotes their agency, liberty and security of person.</w:t>
      </w:r>
    </w:p>
    <w:p w14:paraId="0A46243A" w14:textId="38D049F4" w:rsidR="000D32A8" w:rsidRPr="006477DF" w:rsidRDefault="000D32A8" w:rsidP="00B67FBE">
      <w:pPr>
        <w:spacing w:after="120" w:line="276" w:lineRule="auto"/>
        <w:rPr>
          <w:rFonts w:ascii="Arial" w:hAnsi="Arial" w:cs="Arial"/>
          <w:b/>
          <w:bCs/>
          <w:szCs w:val="24"/>
          <w:lang w:eastAsia="en-AU"/>
        </w:rPr>
      </w:pPr>
      <w:r w:rsidRPr="000D32A8">
        <w:rPr>
          <w:rFonts w:ascii="Arial" w:hAnsi="Arial" w:cs="Arial"/>
          <w:b/>
          <w:bCs/>
          <w:szCs w:val="24"/>
          <w:lang w:eastAsia="en-AU"/>
        </w:rPr>
        <w:t>REGULATORY IMPACT STATEMENT</w:t>
      </w:r>
    </w:p>
    <w:p w14:paraId="0F7E95A1" w14:textId="6014DD9A" w:rsidR="001848B7" w:rsidRPr="0094127C" w:rsidRDefault="000D32A8" w:rsidP="00B67FBE">
      <w:pPr>
        <w:spacing w:after="120" w:line="276" w:lineRule="auto"/>
        <w:rPr>
          <w:rFonts w:ascii="Arial" w:hAnsi="Arial" w:cs="Arial"/>
          <w:szCs w:val="24"/>
          <w:lang w:eastAsia="en-AU"/>
        </w:rPr>
      </w:pPr>
      <w:r w:rsidRPr="000D32A8">
        <w:rPr>
          <w:rFonts w:ascii="Arial" w:hAnsi="Arial" w:cs="Arial"/>
          <w:szCs w:val="24"/>
          <w:lang w:eastAsia="en-AU"/>
        </w:rPr>
        <w:t>A regulatory impact statement is not required</w:t>
      </w:r>
      <w:r>
        <w:rPr>
          <w:rFonts w:ascii="Arial" w:hAnsi="Arial" w:cs="Arial"/>
          <w:szCs w:val="24"/>
          <w:lang w:eastAsia="en-AU"/>
        </w:rPr>
        <w:t xml:space="preserve"> </w:t>
      </w:r>
      <w:r w:rsidRPr="000D32A8">
        <w:rPr>
          <w:rFonts w:ascii="Arial" w:hAnsi="Arial" w:cs="Arial"/>
          <w:szCs w:val="24"/>
          <w:lang w:eastAsia="en-AU"/>
        </w:rPr>
        <w:t>as the</w:t>
      </w:r>
      <w:r>
        <w:rPr>
          <w:rFonts w:ascii="Arial" w:hAnsi="Arial" w:cs="Arial"/>
          <w:szCs w:val="24"/>
          <w:lang w:eastAsia="en-AU"/>
        </w:rPr>
        <w:t xml:space="preserve"> </w:t>
      </w:r>
      <w:r w:rsidR="00D85DCC">
        <w:rPr>
          <w:rFonts w:ascii="Arial" w:hAnsi="Arial" w:cs="Arial"/>
          <w:szCs w:val="24"/>
          <w:lang w:eastAsia="en-AU"/>
        </w:rPr>
        <w:t>R</w:t>
      </w:r>
      <w:r w:rsidRPr="000D32A8">
        <w:rPr>
          <w:rFonts w:ascii="Arial" w:hAnsi="Arial" w:cs="Arial"/>
          <w:szCs w:val="24"/>
          <w:lang w:eastAsia="en-AU"/>
        </w:rPr>
        <w:t xml:space="preserve">egulation does not </w:t>
      </w:r>
      <w:r>
        <w:rPr>
          <w:rFonts w:ascii="Arial" w:hAnsi="Arial" w:cs="Arial"/>
          <w:szCs w:val="24"/>
          <w:lang w:eastAsia="en-AU"/>
        </w:rPr>
        <w:t>i</w:t>
      </w:r>
      <w:r w:rsidRPr="000D32A8">
        <w:rPr>
          <w:rFonts w:ascii="Arial" w:hAnsi="Arial" w:cs="Arial"/>
          <w:szCs w:val="24"/>
          <w:lang w:eastAsia="en-AU"/>
        </w:rPr>
        <w:t>mpose any appreciable costs on the community, or part of a</w:t>
      </w:r>
      <w:r>
        <w:rPr>
          <w:rFonts w:ascii="Arial" w:hAnsi="Arial" w:cs="Arial"/>
          <w:szCs w:val="24"/>
          <w:lang w:eastAsia="en-AU"/>
        </w:rPr>
        <w:t xml:space="preserve"> c</w:t>
      </w:r>
      <w:r w:rsidRPr="000D32A8">
        <w:rPr>
          <w:rFonts w:ascii="Arial" w:hAnsi="Arial" w:cs="Arial"/>
          <w:szCs w:val="24"/>
          <w:lang w:eastAsia="en-AU"/>
        </w:rPr>
        <w:t>ommunity</w:t>
      </w:r>
      <w:r>
        <w:rPr>
          <w:rFonts w:ascii="Arial" w:hAnsi="Arial" w:cs="Arial"/>
          <w:szCs w:val="24"/>
          <w:lang w:eastAsia="en-AU"/>
        </w:rPr>
        <w:t xml:space="preserve"> u</w:t>
      </w:r>
      <w:r w:rsidRPr="000D32A8">
        <w:rPr>
          <w:rFonts w:ascii="Arial" w:hAnsi="Arial" w:cs="Arial"/>
          <w:szCs w:val="24"/>
          <w:lang w:eastAsia="en-AU"/>
        </w:rPr>
        <w:t>nder section 34</w:t>
      </w:r>
      <w:r>
        <w:rPr>
          <w:rFonts w:ascii="Arial" w:hAnsi="Arial" w:cs="Arial"/>
          <w:szCs w:val="24"/>
          <w:lang w:eastAsia="en-AU"/>
        </w:rPr>
        <w:t xml:space="preserve"> </w:t>
      </w:r>
      <w:r w:rsidRPr="000D32A8">
        <w:rPr>
          <w:rFonts w:ascii="Arial" w:hAnsi="Arial" w:cs="Arial"/>
          <w:szCs w:val="24"/>
          <w:lang w:eastAsia="en-AU"/>
        </w:rPr>
        <w:t>(1) of the</w:t>
      </w:r>
      <w:r>
        <w:rPr>
          <w:rFonts w:ascii="Arial" w:hAnsi="Arial" w:cs="Arial"/>
          <w:szCs w:val="24"/>
          <w:lang w:eastAsia="en-AU"/>
        </w:rPr>
        <w:t xml:space="preserve"> </w:t>
      </w:r>
      <w:r w:rsidRPr="000D32A8">
        <w:rPr>
          <w:rFonts w:ascii="Arial" w:hAnsi="Arial" w:cs="Arial"/>
          <w:i/>
          <w:iCs/>
          <w:szCs w:val="24"/>
          <w:lang w:eastAsia="en-AU"/>
        </w:rPr>
        <w:t>Legislation Act 2001</w:t>
      </w:r>
      <w:r w:rsidRPr="000D32A8">
        <w:rPr>
          <w:rFonts w:ascii="Arial" w:hAnsi="Arial" w:cs="Arial"/>
          <w:szCs w:val="24"/>
          <w:lang w:eastAsia="en-AU"/>
        </w:rPr>
        <w:t>.</w:t>
      </w:r>
    </w:p>
    <w:p w14:paraId="3A7BE00E" w14:textId="77777777" w:rsidR="001848B7" w:rsidRDefault="001848B7" w:rsidP="00B67FBE">
      <w:pPr>
        <w:spacing w:after="120"/>
        <w:rPr>
          <w:rFonts w:ascii="Arial" w:hAnsi="Arial" w:cs="Arial"/>
          <w:b/>
          <w:bCs/>
          <w:color w:val="000000"/>
        </w:rPr>
      </w:pPr>
    </w:p>
    <w:p w14:paraId="2F65CAE5" w14:textId="063F03A7" w:rsidR="007958A2" w:rsidRDefault="007958A2" w:rsidP="00B67FBE">
      <w:pPr>
        <w:spacing w:after="120"/>
        <w:rPr>
          <w:rFonts w:ascii="Arial" w:hAnsi="Arial" w:cs="Arial"/>
          <w:b/>
          <w:bCs/>
          <w:color w:val="000000"/>
        </w:rPr>
      </w:pPr>
      <w:r>
        <w:rPr>
          <w:rFonts w:ascii="Arial" w:hAnsi="Arial" w:cs="Arial"/>
          <w:b/>
          <w:bCs/>
          <w:color w:val="000000"/>
        </w:rPr>
        <w:t>CLAUSE NOTES</w:t>
      </w:r>
    </w:p>
    <w:p w14:paraId="4031E14F" w14:textId="77777777" w:rsidR="000A55FE" w:rsidRDefault="000A55FE" w:rsidP="00B67FBE">
      <w:pPr>
        <w:spacing w:after="120"/>
        <w:rPr>
          <w:color w:val="000000"/>
        </w:rPr>
      </w:pPr>
    </w:p>
    <w:p w14:paraId="0A842CEA" w14:textId="261E03AD" w:rsidR="007958A2" w:rsidRDefault="007958A2" w:rsidP="00B67FBE">
      <w:pPr>
        <w:pStyle w:val="NormalWeb"/>
        <w:shd w:val="clear" w:color="auto" w:fill="FFFFFF"/>
        <w:spacing w:before="0" w:beforeAutospacing="0" w:after="120" w:afterAutospacing="0" w:line="253" w:lineRule="atLeast"/>
        <w:rPr>
          <w:color w:val="000000"/>
        </w:rPr>
      </w:pPr>
      <w:r>
        <w:rPr>
          <w:rFonts w:ascii="Arial" w:hAnsi="Arial" w:cs="Arial"/>
          <w:b/>
          <w:bCs/>
          <w:color w:val="000000"/>
        </w:rPr>
        <w:t>Clause 1</w:t>
      </w:r>
      <w:r>
        <w:rPr>
          <w:color w:val="000000"/>
        </w:rPr>
        <w:t> </w:t>
      </w:r>
      <w:r w:rsidR="00116603">
        <w:rPr>
          <w:color w:val="000000"/>
        </w:rPr>
        <w:tab/>
      </w:r>
      <w:r>
        <w:rPr>
          <w:rFonts w:ascii="Arial" w:hAnsi="Arial" w:cs="Arial"/>
          <w:b/>
          <w:bCs/>
          <w:color w:val="000000"/>
        </w:rPr>
        <w:t>Name of regulation</w:t>
      </w:r>
    </w:p>
    <w:p w14:paraId="0BBBCC2D" w14:textId="07D3A47A" w:rsidR="007958A2" w:rsidRDefault="007958A2" w:rsidP="00B67FBE">
      <w:pPr>
        <w:pStyle w:val="NormalWeb"/>
        <w:shd w:val="clear" w:color="auto" w:fill="FFFFFF"/>
        <w:spacing w:before="0" w:beforeAutospacing="0" w:after="120" w:afterAutospacing="0" w:line="276" w:lineRule="atLeast"/>
        <w:rPr>
          <w:color w:val="000000"/>
        </w:rPr>
      </w:pPr>
      <w:r>
        <w:rPr>
          <w:rFonts w:ascii="Arial" w:hAnsi="Arial" w:cs="Arial"/>
          <w:color w:val="000000"/>
        </w:rPr>
        <w:t xml:space="preserve">Clause 1 provides that the name of the </w:t>
      </w:r>
      <w:r w:rsidR="00C77AD8">
        <w:rPr>
          <w:rFonts w:ascii="Arial" w:hAnsi="Arial" w:cs="Arial"/>
          <w:color w:val="000000"/>
        </w:rPr>
        <w:t>R</w:t>
      </w:r>
      <w:r>
        <w:rPr>
          <w:rFonts w:ascii="Arial" w:hAnsi="Arial" w:cs="Arial"/>
          <w:color w:val="000000"/>
        </w:rPr>
        <w:t>egulation is the </w:t>
      </w:r>
      <w:r w:rsidR="00762B66">
        <w:rPr>
          <w:rFonts w:ascii="Arial" w:hAnsi="Arial" w:cs="Arial"/>
          <w:i/>
          <w:iCs/>
          <w:color w:val="000000"/>
        </w:rPr>
        <w:t>Residential Tenancies</w:t>
      </w:r>
      <w:r w:rsidR="00116603">
        <w:rPr>
          <w:rFonts w:ascii="Arial" w:hAnsi="Arial" w:cs="Arial"/>
          <w:i/>
          <w:iCs/>
          <w:color w:val="000000"/>
        </w:rPr>
        <w:t xml:space="preserve"> Amendment Regulation 2024 </w:t>
      </w:r>
      <w:r w:rsidR="00116603" w:rsidRPr="00FB2949">
        <w:rPr>
          <w:rFonts w:ascii="Arial" w:hAnsi="Arial" w:cs="Arial"/>
          <w:i/>
          <w:iCs/>
          <w:color w:val="000000"/>
        </w:rPr>
        <w:t>(</w:t>
      </w:r>
      <w:r w:rsidR="00116603" w:rsidRPr="00A301B7">
        <w:rPr>
          <w:rFonts w:ascii="Arial" w:hAnsi="Arial" w:cs="Arial"/>
          <w:i/>
          <w:iCs/>
          <w:color w:val="000000"/>
        </w:rPr>
        <w:t xml:space="preserve">No </w:t>
      </w:r>
      <w:r w:rsidR="00C77AD8" w:rsidRPr="00C77AD8">
        <w:rPr>
          <w:rFonts w:ascii="Arial" w:hAnsi="Arial" w:cs="Arial"/>
          <w:i/>
          <w:iCs/>
          <w:color w:val="000000"/>
        </w:rPr>
        <w:t>1</w:t>
      </w:r>
      <w:r w:rsidR="00116603" w:rsidRPr="00C77AD8">
        <w:rPr>
          <w:rFonts w:ascii="Arial" w:hAnsi="Arial" w:cs="Arial"/>
          <w:i/>
          <w:iCs/>
          <w:color w:val="000000"/>
        </w:rPr>
        <w:t>)</w:t>
      </w:r>
      <w:r w:rsidRPr="00C77AD8">
        <w:rPr>
          <w:rFonts w:ascii="Arial" w:hAnsi="Arial" w:cs="Arial"/>
          <w:i/>
          <w:iCs/>
          <w:color w:val="000000"/>
        </w:rPr>
        <w:t>.</w:t>
      </w:r>
    </w:p>
    <w:p w14:paraId="3E94928B" w14:textId="687FD13F" w:rsidR="007958A2" w:rsidRDefault="007958A2" w:rsidP="00B67FBE">
      <w:pPr>
        <w:pStyle w:val="NormalWeb"/>
        <w:shd w:val="clear" w:color="auto" w:fill="FFFFFF"/>
        <w:spacing w:before="240" w:beforeAutospacing="0" w:after="120" w:afterAutospacing="0"/>
        <w:rPr>
          <w:color w:val="000000"/>
        </w:rPr>
      </w:pPr>
      <w:r>
        <w:rPr>
          <w:rFonts w:ascii="Arial" w:hAnsi="Arial" w:cs="Arial"/>
          <w:b/>
          <w:bCs/>
          <w:color w:val="000000"/>
        </w:rPr>
        <w:t>Clause 2</w:t>
      </w:r>
      <w:r>
        <w:rPr>
          <w:color w:val="000000"/>
        </w:rPr>
        <w:t> </w:t>
      </w:r>
      <w:r w:rsidR="00116603">
        <w:rPr>
          <w:color w:val="000000"/>
        </w:rPr>
        <w:tab/>
      </w:r>
      <w:r>
        <w:rPr>
          <w:rFonts w:ascii="Arial" w:hAnsi="Arial" w:cs="Arial"/>
          <w:b/>
          <w:bCs/>
          <w:color w:val="000000"/>
        </w:rPr>
        <w:t>Commencement</w:t>
      </w:r>
    </w:p>
    <w:p w14:paraId="64C6C12D" w14:textId="5D59A30D" w:rsidR="007958A2" w:rsidRDefault="007958A2" w:rsidP="00B67FBE">
      <w:pPr>
        <w:pStyle w:val="NormalWeb"/>
        <w:shd w:val="clear" w:color="auto" w:fill="FFFFFF"/>
        <w:spacing w:before="0" w:beforeAutospacing="0" w:after="120" w:afterAutospacing="0" w:line="276" w:lineRule="atLeast"/>
        <w:rPr>
          <w:rFonts w:ascii="Arial" w:hAnsi="Arial" w:cs="Arial"/>
          <w:color w:val="000000"/>
        </w:rPr>
      </w:pPr>
      <w:r>
        <w:rPr>
          <w:rFonts w:ascii="Arial" w:hAnsi="Arial" w:cs="Arial"/>
          <w:color w:val="000000"/>
        </w:rPr>
        <w:t xml:space="preserve">This clause </w:t>
      </w:r>
      <w:r w:rsidR="00D37737">
        <w:rPr>
          <w:rFonts w:ascii="Arial" w:hAnsi="Arial" w:cs="Arial"/>
          <w:color w:val="000000"/>
        </w:rPr>
        <w:t xml:space="preserve">indicates </w:t>
      </w:r>
      <w:r>
        <w:rPr>
          <w:rFonts w:ascii="Arial" w:hAnsi="Arial" w:cs="Arial"/>
          <w:color w:val="000000"/>
        </w:rPr>
        <w:t xml:space="preserve">that the commencement date </w:t>
      </w:r>
      <w:r w:rsidR="00762B66">
        <w:rPr>
          <w:rFonts w:ascii="Arial" w:hAnsi="Arial" w:cs="Arial"/>
          <w:color w:val="000000"/>
        </w:rPr>
        <w:t xml:space="preserve">for the </w:t>
      </w:r>
      <w:r w:rsidR="00C77AD8">
        <w:rPr>
          <w:rFonts w:ascii="Arial" w:hAnsi="Arial" w:cs="Arial"/>
          <w:color w:val="000000"/>
        </w:rPr>
        <w:t>R</w:t>
      </w:r>
      <w:r w:rsidR="00762B66">
        <w:rPr>
          <w:rFonts w:ascii="Arial" w:hAnsi="Arial" w:cs="Arial"/>
          <w:color w:val="000000"/>
        </w:rPr>
        <w:t xml:space="preserve">egulation is as follows: </w:t>
      </w:r>
    </w:p>
    <w:p w14:paraId="1D9726B6" w14:textId="52D1158B" w:rsidR="00762B66" w:rsidRPr="001029A4" w:rsidRDefault="00762B66" w:rsidP="00B67FBE">
      <w:pPr>
        <w:pStyle w:val="NormalWeb"/>
        <w:numPr>
          <w:ilvl w:val="0"/>
          <w:numId w:val="17"/>
        </w:numPr>
        <w:shd w:val="clear" w:color="auto" w:fill="FFFFFF"/>
        <w:spacing w:before="0" w:beforeAutospacing="0" w:after="120" w:afterAutospacing="0" w:line="276" w:lineRule="atLeast"/>
        <w:rPr>
          <w:color w:val="000000"/>
        </w:rPr>
      </w:pPr>
      <w:r>
        <w:rPr>
          <w:rFonts w:ascii="Arial" w:hAnsi="Arial" w:cs="Arial"/>
          <w:color w:val="000000"/>
        </w:rPr>
        <w:t xml:space="preserve">For the </w:t>
      </w:r>
      <w:r w:rsidR="00C77AD8">
        <w:rPr>
          <w:rFonts w:ascii="Arial" w:hAnsi="Arial" w:cs="Arial"/>
          <w:color w:val="000000"/>
        </w:rPr>
        <w:t>R</w:t>
      </w:r>
      <w:r>
        <w:rPr>
          <w:rFonts w:ascii="Arial" w:hAnsi="Arial" w:cs="Arial"/>
          <w:color w:val="000000"/>
        </w:rPr>
        <w:t>egulation, other than se</w:t>
      </w:r>
      <w:r w:rsidR="001029A4">
        <w:rPr>
          <w:rFonts w:ascii="Arial" w:hAnsi="Arial" w:cs="Arial"/>
          <w:color w:val="000000"/>
        </w:rPr>
        <w:t xml:space="preserve">ctions 4 to 8, the day after it’s notification day; </w:t>
      </w:r>
    </w:p>
    <w:p w14:paraId="6011F1BA" w14:textId="0604EEB3" w:rsidR="001029A4" w:rsidRPr="001029A4" w:rsidRDefault="001029A4" w:rsidP="00B67FBE">
      <w:pPr>
        <w:pStyle w:val="NormalWeb"/>
        <w:numPr>
          <w:ilvl w:val="0"/>
          <w:numId w:val="17"/>
        </w:numPr>
        <w:shd w:val="clear" w:color="auto" w:fill="FFFFFF"/>
        <w:spacing w:before="0" w:beforeAutospacing="0" w:after="120" w:afterAutospacing="0" w:line="276" w:lineRule="atLeast"/>
        <w:rPr>
          <w:color w:val="000000"/>
        </w:rPr>
      </w:pPr>
      <w:r>
        <w:rPr>
          <w:rFonts w:ascii="Arial" w:hAnsi="Arial" w:cs="Arial"/>
          <w:color w:val="000000"/>
        </w:rPr>
        <w:t xml:space="preserve">For sections 4 and 8, the later of the commencement of the </w:t>
      </w:r>
      <w:r>
        <w:rPr>
          <w:rFonts w:ascii="Arial" w:hAnsi="Arial" w:cs="Arial"/>
          <w:i/>
          <w:iCs/>
          <w:color w:val="000000"/>
        </w:rPr>
        <w:t>Housing and Consumer Affairs Legislation Amendment Act 2024</w:t>
      </w:r>
      <w:r w:rsidR="00C12C77">
        <w:rPr>
          <w:rFonts w:ascii="Arial" w:hAnsi="Arial" w:cs="Arial"/>
          <w:i/>
          <w:iCs/>
          <w:color w:val="000000"/>
        </w:rPr>
        <w:t xml:space="preserve"> </w:t>
      </w:r>
      <w:r w:rsidR="00C12C77">
        <w:rPr>
          <w:rFonts w:ascii="Arial" w:hAnsi="Arial" w:cs="Arial"/>
          <w:color w:val="000000"/>
        </w:rPr>
        <w:t>(</w:t>
      </w:r>
      <w:r w:rsidR="00C12C77" w:rsidRPr="000858D6">
        <w:rPr>
          <w:rFonts w:ascii="Arial" w:hAnsi="Arial" w:cs="Arial"/>
          <w:b/>
          <w:bCs/>
          <w:color w:val="000000"/>
        </w:rPr>
        <w:t>HCALAA</w:t>
      </w:r>
      <w:r w:rsidR="00C12C77">
        <w:rPr>
          <w:rFonts w:ascii="Arial" w:hAnsi="Arial" w:cs="Arial"/>
          <w:color w:val="000000"/>
        </w:rPr>
        <w:t>)</w:t>
      </w:r>
      <w:r>
        <w:rPr>
          <w:rFonts w:ascii="Arial" w:hAnsi="Arial" w:cs="Arial"/>
          <w:color w:val="000000"/>
        </w:rPr>
        <w:t xml:space="preserve">, section 44, and the day after </w:t>
      </w:r>
      <w:r w:rsidR="00C77AD8">
        <w:rPr>
          <w:rFonts w:ascii="Arial" w:hAnsi="Arial" w:cs="Arial"/>
          <w:color w:val="000000"/>
        </w:rPr>
        <w:t>the R</w:t>
      </w:r>
      <w:r>
        <w:rPr>
          <w:rFonts w:ascii="Arial" w:hAnsi="Arial" w:cs="Arial"/>
          <w:color w:val="000000"/>
        </w:rPr>
        <w:t xml:space="preserve">egulation’s notification day; and </w:t>
      </w:r>
    </w:p>
    <w:p w14:paraId="04F6B3DC" w14:textId="46310FD2" w:rsidR="001029A4" w:rsidRPr="000858D6" w:rsidRDefault="000858D6" w:rsidP="00B67FBE">
      <w:pPr>
        <w:pStyle w:val="NormalWeb"/>
        <w:numPr>
          <w:ilvl w:val="0"/>
          <w:numId w:val="17"/>
        </w:numPr>
        <w:shd w:val="clear" w:color="auto" w:fill="FFFFFF"/>
        <w:spacing w:before="0" w:beforeAutospacing="0" w:after="120" w:afterAutospacing="0" w:line="276" w:lineRule="atLeast"/>
        <w:rPr>
          <w:color w:val="000000"/>
        </w:rPr>
      </w:pPr>
      <w:r>
        <w:rPr>
          <w:rFonts w:ascii="Arial" w:hAnsi="Arial" w:cs="Arial"/>
          <w:color w:val="000000"/>
        </w:rPr>
        <w:lastRenderedPageBreak/>
        <w:t xml:space="preserve">For sections 5 to 7, the commencement of the </w:t>
      </w:r>
      <w:r w:rsidR="00020C92" w:rsidRPr="00A301B7">
        <w:rPr>
          <w:rFonts w:ascii="Arial" w:hAnsi="Arial" w:cs="Arial"/>
          <w:color w:val="000000"/>
        </w:rPr>
        <w:t>HCALAA</w:t>
      </w:r>
      <w:r>
        <w:rPr>
          <w:rFonts w:ascii="Arial" w:hAnsi="Arial" w:cs="Arial"/>
          <w:i/>
          <w:iCs/>
          <w:color w:val="000000"/>
        </w:rPr>
        <w:t xml:space="preserve">, </w:t>
      </w:r>
      <w:r>
        <w:rPr>
          <w:rFonts w:ascii="Arial" w:hAnsi="Arial" w:cs="Arial"/>
          <w:color w:val="000000"/>
        </w:rPr>
        <w:t xml:space="preserve">section 67, and the day after this </w:t>
      </w:r>
      <w:r w:rsidR="00C12C77">
        <w:rPr>
          <w:rFonts w:ascii="Arial" w:hAnsi="Arial" w:cs="Arial"/>
          <w:color w:val="000000"/>
        </w:rPr>
        <w:t>R</w:t>
      </w:r>
      <w:r>
        <w:rPr>
          <w:rFonts w:ascii="Arial" w:hAnsi="Arial" w:cs="Arial"/>
          <w:color w:val="000000"/>
        </w:rPr>
        <w:t>egulation</w:t>
      </w:r>
      <w:r w:rsidR="00C12C77">
        <w:rPr>
          <w:rFonts w:ascii="Arial" w:hAnsi="Arial" w:cs="Arial"/>
          <w:color w:val="000000"/>
        </w:rPr>
        <w:t>’</w:t>
      </w:r>
      <w:r>
        <w:rPr>
          <w:rFonts w:ascii="Arial" w:hAnsi="Arial" w:cs="Arial"/>
          <w:color w:val="000000"/>
        </w:rPr>
        <w:t xml:space="preserve">s notification day. </w:t>
      </w:r>
    </w:p>
    <w:p w14:paraId="4BF2FA7F" w14:textId="5493434F" w:rsidR="000858D6" w:rsidRPr="000858D6" w:rsidRDefault="000858D6" w:rsidP="00B67FBE">
      <w:pPr>
        <w:pStyle w:val="NormalWeb"/>
        <w:shd w:val="clear" w:color="auto" w:fill="FFFFFF"/>
        <w:spacing w:before="0" w:beforeAutospacing="0" w:after="120" w:afterAutospacing="0" w:line="276" w:lineRule="atLeast"/>
        <w:rPr>
          <w:rFonts w:ascii="Arial" w:hAnsi="Arial" w:cs="Arial"/>
          <w:i/>
          <w:iCs/>
          <w:color w:val="000000"/>
        </w:rPr>
      </w:pPr>
      <w:r>
        <w:rPr>
          <w:rFonts w:ascii="Arial" w:hAnsi="Arial" w:cs="Arial"/>
          <w:color w:val="000000"/>
        </w:rPr>
        <w:t xml:space="preserve">Sections 4 to 8 </w:t>
      </w:r>
      <w:r w:rsidR="00C77AD8">
        <w:rPr>
          <w:rFonts w:ascii="Arial" w:hAnsi="Arial" w:cs="Arial"/>
          <w:color w:val="000000"/>
        </w:rPr>
        <w:t xml:space="preserve">of the Regulation </w:t>
      </w:r>
      <w:r>
        <w:rPr>
          <w:rFonts w:ascii="Arial" w:hAnsi="Arial" w:cs="Arial"/>
          <w:color w:val="000000"/>
        </w:rPr>
        <w:t>rely on provisions</w:t>
      </w:r>
      <w:r w:rsidR="00C77AD8">
        <w:rPr>
          <w:rFonts w:ascii="Arial" w:hAnsi="Arial" w:cs="Arial"/>
          <w:color w:val="000000"/>
        </w:rPr>
        <w:t xml:space="preserve"> that</w:t>
      </w:r>
      <w:r>
        <w:rPr>
          <w:rFonts w:ascii="Arial" w:hAnsi="Arial" w:cs="Arial"/>
          <w:color w:val="000000"/>
        </w:rPr>
        <w:t xml:space="preserve"> the </w:t>
      </w:r>
      <w:r w:rsidRPr="00A301B7">
        <w:rPr>
          <w:rFonts w:ascii="Arial" w:hAnsi="Arial" w:cs="Arial"/>
          <w:color w:val="000000"/>
        </w:rPr>
        <w:t>HCALAA</w:t>
      </w:r>
      <w:r>
        <w:rPr>
          <w:rFonts w:ascii="Arial" w:hAnsi="Arial" w:cs="Arial"/>
          <w:color w:val="000000"/>
        </w:rPr>
        <w:t xml:space="preserve"> </w:t>
      </w:r>
      <w:r w:rsidR="00020C92" w:rsidRPr="000858D6">
        <w:rPr>
          <w:rFonts w:ascii="Arial" w:hAnsi="Arial" w:cs="Arial"/>
          <w:color w:val="000000"/>
        </w:rPr>
        <w:t>in</w:t>
      </w:r>
      <w:r w:rsidR="00020C92">
        <w:rPr>
          <w:rFonts w:ascii="Arial" w:hAnsi="Arial" w:cs="Arial"/>
          <w:color w:val="000000"/>
        </w:rPr>
        <w:t xml:space="preserve">serts </w:t>
      </w:r>
      <w:r>
        <w:rPr>
          <w:rFonts w:ascii="Arial" w:hAnsi="Arial" w:cs="Arial"/>
          <w:color w:val="000000"/>
        </w:rPr>
        <w:t xml:space="preserve">into the </w:t>
      </w:r>
      <w:r>
        <w:rPr>
          <w:rFonts w:ascii="Arial" w:hAnsi="Arial" w:cs="Arial"/>
          <w:i/>
          <w:iCs/>
          <w:color w:val="000000"/>
        </w:rPr>
        <w:t xml:space="preserve">Residential Tenancies Act 1997 </w:t>
      </w:r>
      <w:r>
        <w:rPr>
          <w:rFonts w:ascii="Arial" w:hAnsi="Arial" w:cs="Arial"/>
          <w:color w:val="000000"/>
        </w:rPr>
        <w:t xml:space="preserve">(the </w:t>
      </w:r>
      <w:r w:rsidRPr="00A301B7">
        <w:rPr>
          <w:rFonts w:ascii="Arial" w:hAnsi="Arial" w:cs="Arial"/>
          <w:b/>
          <w:bCs/>
          <w:color w:val="000000"/>
        </w:rPr>
        <w:t>RTA</w:t>
      </w:r>
      <w:r>
        <w:rPr>
          <w:rFonts w:ascii="Arial" w:hAnsi="Arial" w:cs="Arial"/>
          <w:color w:val="000000"/>
        </w:rPr>
        <w:t>). Accordingly, sections 4 to 8 of th</w:t>
      </w:r>
      <w:r w:rsidR="00C77AD8">
        <w:rPr>
          <w:rFonts w:ascii="Arial" w:hAnsi="Arial" w:cs="Arial"/>
          <w:color w:val="000000"/>
        </w:rPr>
        <w:t>e</w:t>
      </w:r>
      <w:r>
        <w:rPr>
          <w:rFonts w:ascii="Arial" w:hAnsi="Arial" w:cs="Arial"/>
          <w:color w:val="000000"/>
        </w:rPr>
        <w:t xml:space="preserve"> </w:t>
      </w:r>
      <w:r w:rsidR="00C77AD8">
        <w:rPr>
          <w:rFonts w:ascii="Arial" w:hAnsi="Arial" w:cs="Arial"/>
          <w:color w:val="000000"/>
        </w:rPr>
        <w:t>R</w:t>
      </w:r>
      <w:r>
        <w:rPr>
          <w:rFonts w:ascii="Arial" w:hAnsi="Arial" w:cs="Arial"/>
          <w:color w:val="000000"/>
        </w:rPr>
        <w:t xml:space="preserve">egulation cannot commence before the commencement of the corresponding sections of the HCALAA. </w:t>
      </w:r>
    </w:p>
    <w:p w14:paraId="37EDBDA8" w14:textId="0A8B5015" w:rsidR="007958A2" w:rsidRDefault="007958A2" w:rsidP="00B67FBE">
      <w:pPr>
        <w:pStyle w:val="NormalWeb"/>
        <w:shd w:val="clear" w:color="auto" w:fill="FFFFFF"/>
        <w:spacing w:before="240" w:beforeAutospacing="0" w:after="120" w:afterAutospacing="0"/>
        <w:rPr>
          <w:color w:val="000000"/>
        </w:rPr>
      </w:pPr>
      <w:r>
        <w:rPr>
          <w:rFonts w:ascii="Arial" w:hAnsi="Arial" w:cs="Arial"/>
          <w:b/>
          <w:bCs/>
          <w:color w:val="000000"/>
        </w:rPr>
        <w:t>Clause 3</w:t>
      </w:r>
      <w:r>
        <w:rPr>
          <w:color w:val="000000"/>
        </w:rPr>
        <w:t> </w:t>
      </w:r>
      <w:r w:rsidR="00116603">
        <w:rPr>
          <w:color w:val="000000"/>
        </w:rPr>
        <w:tab/>
      </w:r>
      <w:r>
        <w:rPr>
          <w:rFonts w:ascii="Arial" w:hAnsi="Arial" w:cs="Arial"/>
          <w:b/>
          <w:bCs/>
          <w:color w:val="000000"/>
        </w:rPr>
        <w:t>Legislation amended</w:t>
      </w:r>
    </w:p>
    <w:p w14:paraId="727981E5" w14:textId="3089FDA6" w:rsidR="00D97982" w:rsidRDefault="007958A2" w:rsidP="00B67FBE">
      <w:pPr>
        <w:pStyle w:val="NormalWeb"/>
        <w:shd w:val="clear" w:color="auto" w:fill="FFFFFF"/>
        <w:spacing w:before="0" w:beforeAutospacing="0" w:after="120" w:afterAutospacing="0" w:line="276" w:lineRule="atLeast"/>
        <w:rPr>
          <w:rFonts w:ascii="Arial" w:hAnsi="Arial" w:cs="Arial"/>
          <w:color w:val="000000"/>
        </w:rPr>
      </w:pPr>
      <w:r>
        <w:rPr>
          <w:rFonts w:ascii="Arial" w:hAnsi="Arial" w:cs="Arial"/>
          <w:color w:val="000000"/>
        </w:rPr>
        <w:t>This clause provides that the regulation amends the </w:t>
      </w:r>
      <w:r w:rsidR="000858D6">
        <w:rPr>
          <w:rFonts w:ascii="Arial" w:hAnsi="Arial" w:cs="Arial"/>
          <w:i/>
          <w:iCs/>
          <w:color w:val="000000"/>
        </w:rPr>
        <w:t>Residential Tenancies Regulation 1998</w:t>
      </w:r>
      <w:r w:rsidR="000858D6">
        <w:rPr>
          <w:rFonts w:ascii="Arial" w:hAnsi="Arial" w:cs="Arial"/>
          <w:color w:val="000000"/>
        </w:rPr>
        <w:t xml:space="preserve"> (the </w:t>
      </w:r>
      <w:r w:rsidR="00C77AD8">
        <w:rPr>
          <w:rFonts w:ascii="Arial" w:hAnsi="Arial" w:cs="Arial"/>
          <w:b/>
          <w:bCs/>
          <w:color w:val="000000"/>
        </w:rPr>
        <w:t>RTR</w:t>
      </w:r>
      <w:r w:rsidR="000858D6">
        <w:rPr>
          <w:rFonts w:ascii="Arial" w:hAnsi="Arial" w:cs="Arial"/>
          <w:i/>
          <w:iCs/>
          <w:color w:val="000000"/>
        </w:rPr>
        <w:t>)</w:t>
      </w:r>
      <w:r w:rsidR="000858D6">
        <w:rPr>
          <w:rFonts w:ascii="Arial" w:hAnsi="Arial" w:cs="Arial"/>
          <w:color w:val="000000"/>
        </w:rPr>
        <w:t xml:space="preserve">. </w:t>
      </w:r>
    </w:p>
    <w:p w14:paraId="60D3222C" w14:textId="2DE214B6" w:rsidR="000858D6" w:rsidRDefault="00605E30" w:rsidP="00B67FBE">
      <w:pPr>
        <w:pStyle w:val="NormalWeb"/>
        <w:shd w:val="clear" w:color="auto" w:fill="FFFFFF"/>
        <w:spacing w:before="0" w:beforeAutospacing="0" w:after="120" w:afterAutospacing="0" w:line="276" w:lineRule="atLeast"/>
        <w:rPr>
          <w:rFonts w:ascii="Arial" w:hAnsi="Arial" w:cs="Arial"/>
          <w:b/>
          <w:bCs/>
          <w:color w:val="000000"/>
        </w:rPr>
      </w:pPr>
      <w:r>
        <w:rPr>
          <w:rFonts w:ascii="Arial" w:hAnsi="Arial" w:cs="Arial"/>
          <w:b/>
          <w:bCs/>
          <w:color w:val="000000"/>
        </w:rPr>
        <w:t xml:space="preserve">Clause 4 </w:t>
      </w:r>
      <w:r>
        <w:rPr>
          <w:rFonts w:ascii="Arial" w:hAnsi="Arial" w:cs="Arial"/>
          <w:b/>
          <w:bCs/>
          <w:color w:val="000000"/>
        </w:rPr>
        <w:tab/>
        <w:t>New section 1AA</w:t>
      </w:r>
      <w:r w:rsidR="00AA7CAE">
        <w:rPr>
          <w:rFonts w:ascii="Arial" w:hAnsi="Arial" w:cs="Arial"/>
          <w:b/>
          <w:bCs/>
          <w:color w:val="000000"/>
        </w:rPr>
        <w:t>A</w:t>
      </w:r>
      <w:r>
        <w:rPr>
          <w:rFonts w:ascii="Arial" w:hAnsi="Arial" w:cs="Arial"/>
          <w:b/>
          <w:bCs/>
          <w:color w:val="000000"/>
        </w:rPr>
        <w:t xml:space="preserve"> and 1A</w:t>
      </w:r>
      <w:r w:rsidR="00AA7CAE">
        <w:rPr>
          <w:rFonts w:ascii="Arial" w:hAnsi="Arial" w:cs="Arial"/>
          <w:b/>
          <w:bCs/>
          <w:color w:val="000000"/>
        </w:rPr>
        <w:t>A</w:t>
      </w:r>
      <w:r>
        <w:rPr>
          <w:rFonts w:ascii="Arial" w:hAnsi="Arial" w:cs="Arial"/>
          <w:b/>
          <w:bCs/>
          <w:color w:val="000000"/>
        </w:rPr>
        <w:t>B</w:t>
      </w:r>
    </w:p>
    <w:p w14:paraId="2A0FCF3E" w14:textId="055DEFA9" w:rsidR="00605E30" w:rsidRDefault="00141E54" w:rsidP="00B67FBE">
      <w:pPr>
        <w:pStyle w:val="NormalWeb"/>
        <w:shd w:val="clear" w:color="auto" w:fill="FFFFFF"/>
        <w:spacing w:before="0" w:beforeAutospacing="0" w:after="120" w:afterAutospacing="0" w:line="276" w:lineRule="atLeast"/>
        <w:rPr>
          <w:rFonts w:ascii="Arial" w:hAnsi="Arial" w:cs="Arial"/>
          <w:color w:val="000000"/>
        </w:rPr>
      </w:pPr>
      <w:r>
        <w:rPr>
          <w:rFonts w:ascii="Arial" w:hAnsi="Arial" w:cs="Arial"/>
          <w:color w:val="000000"/>
        </w:rPr>
        <w:t xml:space="preserve">This clause inserts </w:t>
      </w:r>
      <w:r w:rsidR="00020C92">
        <w:rPr>
          <w:rFonts w:ascii="Arial" w:hAnsi="Arial" w:cs="Arial"/>
          <w:color w:val="000000"/>
        </w:rPr>
        <w:t xml:space="preserve">two </w:t>
      </w:r>
      <w:r>
        <w:rPr>
          <w:rFonts w:ascii="Arial" w:hAnsi="Arial" w:cs="Arial"/>
          <w:color w:val="000000"/>
        </w:rPr>
        <w:t>new section</w:t>
      </w:r>
      <w:r w:rsidR="00020C92">
        <w:rPr>
          <w:rFonts w:ascii="Arial" w:hAnsi="Arial" w:cs="Arial"/>
          <w:color w:val="000000"/>
        </w:rPr>
        <w:t>s</w:t>
      </w:r>
      <w:r>
        <w:rPr>
          <w:rFonts w:ascii="Arial" w:hAnsi="Arial" w:cs="Arial"/>
          <w:color w:val="000000"/>
        </w:rPr>
        <w:t xml:space="preserve"> into the</w:t>
      </w:r>
      <w:r w:rsidR="00C77AD8">
        <w:rPr>
          <w:rFonts w:ascii="Arial" w:hAnsi="Arial" w:cs="Arial"/>
          <w:color w:val="000000"/>
        </w:rPr>
        <w:t xml:space="preserve"> RTR</w:t>
      </w:r>
      <w:r w:rsidR="00A1560A">
        <w:rPr>
          <w:rFonts w:ascii="Arial" w:hAnsi="Arial" w:cs="Arial"/>
          <w:color w:val="000000"/>
        </w:rPr>
        <w:t>. The</w:t>
      </w:r>
      <w:r w:rsidR="00020C92">
        <w:rPr>
          <w:rFonts w:ascii="Arial" w:hAnsi="Arial" w:cs="Arial"/>
          <w:color w:val="000000"/>
        </w:rPr>
        <w:t>se</w:t>
      </w:r>
      <w:r w:rsidR="00A1560A">
        <w:rPr>
          <w:rFonts w:ascii="Arial" w:hAnsi="Arial" w:cs="Arial"/>
          <w:color w:val="000000"/>
        </w:rPr>
        <w:t xml:space="preserve"> </w:t>
      </w:r>
      <w:r w:rsidR="00020C92">
        <w:rPr>
          <w:rFonts w:ascii="Arial" w:hAnsi="Arial" w:cs="Arial"/>
          <w:color w:val="000000"/>
        </w:rPr>
        <w:t xml:space="preserve">new </w:t>
      </w:r>
      <w:r w:rsidR="00A1560A">
        <w:rPr>
          <w:rFonts w:ascii="Arial" w:hAnsi="Arial" w:cs="Arial"/>
          <w:color w:val="000000"/>
        </w:rPr>
        <w:t>section</w:t>
      </w:r>
      <w:r w:rsidR="00020C92">
        <w:rPr>
          <w:rFonts w:ascii="Arial" w:hAnsi="Arial" w:cs="Arial"/>
          <w:color w:val="000000"/>
        </w:rPr>
        <w:t>s</w:t>
      </w:r>
      <w:r w:rsidR="00A1560A">
        <w:rPr>
          <w:rFonts w:ascii="Arial" w:hAnsi="Arial" w:cs="Arial"/>
          <w:color w:val="000000"/>
        </w:rPr>
        <w:t xml:space="preserve"> require landlords to provide additional information to tenants when advertising a property for rent</w:t>
      </w:r>
      <w:r w:rsidR="00020C92">
        <w:rPr>
          <w:rFonts w:ascii="Arial" w:hAnsi="Arial" w:cs="Arial"/>
          <w:color w:val="000000"/>
        </w:rPr>
        <w:t xml:space="preserve"> (1AAA) or prior to entering a tenancy agreement (1AAB)</w:t>
      </w:r>
      <w:r w:rsidR="00A1560A">
        <w:rPr>
          <w:rFonts w:ascii="Arial" w:hAnsi="Arial" w:cs="Arial"/>
          <w:color w:val="000000"/>
        </w:rPr>
        <w:t xml:space="preserve">. </w:t>
      </w:r>
    </w:p>
    <w:p w14:paraId="119FF61A" w14:textId="20550683" w:rsidR="00425375" w:rsidRPr="00425375" w:rsidRDefault="00425375" w:rsidP="00B67FBE">
      <w:pPr>
        <w:pStyle w:val="NormalWeb"/>
        <w:shd w:val="clear" w:color="auto" w:fill="FFFFFF"/>
        <w:spacing w:before="0" w:beforeAutospacing="0" w:after="120" w:afterAutospacing="0" w:line="276" w:lineRule="atLeast"/>
        <w:rPr>
          <w:rFonts w:ascii="Arial" w:hAnsi="Arial" w:cs="Arial"/>
          <w:i/>
          <w:iCs/>
          <w:color w:val="000000"/>
        </w:rPr>
      </w:pPr>
      <w:r>
        <w:rPr>
          <w:rFonts w:ascii="Arial" w:hAnsi="Arial" w:cs="Arial"/>
          <w:i/>
          <w:iCs/>
          <w:color w:val="000000"/>
        </w:rPr>
        <w:t>Embedded network arrangements</w:t>
      </w:r>
      <w:r w:rsidR="00C3707F">
        <w:rPr>
          <w:rFonts w:ascii="Arial" w:hAnsi="Arial" w:cs="Arial"/>
          <w:i/>
          <w:iCs/>
          <w:color w:val="000000"/>
        </w:rPr>
        <w:t xml:space="preserve"> </w:t>
      </w:r>
      <w:r w:rsidR="00020C92">
        <w:rPr>
          <w:rFonts w:ascii="Arial" w:hAnsi="Arial" w:cs="Arial"/>
          <w:i/>
          <w:iCs/>
          <w:color w:val="000000"/>
        </w:rPr>
        <w:t>and other utilities with limited choice</w:t>
      </w:r>
      <w:r w:rsidR="00C3707F">
        <w:rPr>
          <w:rFonts w:ascii="Arial" w:hAnsi="Arial" w:cs="Arial"/>
          <w:i/>
          <w:iCs/>
          <w:color w:val="000000"/>
        </w:rPr>
        <w:t>– new section 1AA</w:t>
      </w:r>
      <w:r w:rsidR="00020C92">
        <w:rPr>
          <w:rFonts w:ascii="Arial" w:hAnsi="Arial" w:cs="Arial"/>
          <w:i/>
          <w:iCs/>
          <w:color w:val="000000"/>
        </w:rPr>
        <w:t>A</w:t>
      </w:r>
    </w:p>
    <w:p w14:paraId="45312B3E" w14:textId="282DB42F" w:rsidR="00E86450" w:rsidRDefault="00E86450" w:rsidP="00B67FBE">
      <w:pPr>
        <w:pStyle w:val="NormalWeb"/>
        <w:shd w:val="clear" w:color="auto" w:fill="FFFFFF"/>
        <w:spacing w:before="0" w:beforeAutospacing="0" w:after="120" w:afterAutospacing="0" w:line="276" w:lineRule="atLeast"/>
        <w:rPr>
          <w:rFonts w:ascii="Arial" w:hAnsi="Arial" w:cs="Arial"/>
          <w:color w:val="000000"/>
        </w:rPr>
      </w:pPr>
      <w:r>
        <w:rPr>
          <w:rFonts w:ascii="Arial" w:hAnsi="Arial" w:cs="Arial"/>
          <w:color w:val="000000"/>
        </w:rPr>
        <w:t>New section 1AA</w:t>
      </w:r>
      <w:r w:rsidR="00C12C77">
        <w:rPr>
          <w:rFonts w:ascii="Arial" w:hAnsi="Arial" w:cs="Arial"/>
          <w:color w:val="000000"/>
        </w:rPr>
        <w:t>A</w:t>
      </w:r>
      <w:r>
        <w:rPr>
          <w:rFonts w:ascii="Arial" w:hAnsi="Arial" w:cs="Arial"/>
          <w:color w:val="000000"/>
        </w:rPr>
        <w:t xml:space="preserve"> requires landlords to disclose when advertising that the rental property is a part of an embedded network, or that the tenant’s choice of utility providers will otherwise be constrained. </w:t>
      </w:r>
    </w:p>
    <w:p w14:paraId="3D12C631" w14:textId="159D0E10" w:rsidR="00A4102B" w:rsidRDefault="00A4102B" w:rsidP="00B67FBE">
      <w:pPr>
        <w:pStyle w:val="NormalWeb"/>
        <w:shd w:val="clear" w:color="auto" w:fill="FFFFFF"/>
        <w:spacing w:before="0" w:beforeAutospacing="0" w:after="120" w:afterAutospacing="0" w:line="276" w:lineRule="atLeast"/>
        <w:rPr>
          <w:rFonts w:ascii="Arial" w:hAnsi="Arial" w:cs="Arial"/>
          <w:color w:val="000000"/>
        </w:rPr>
      </w:pPr>
      <w:r>
        <w:rPr>
          <w:rFonts w:ascii="Arial" w:hAnsi="Arial" w:cs="Arial"/>
          <w:color w:val="000000"/>
        </w:rPr>
        <w:t xml:space="preserve">Subsection (1) provides that the section only applies if the premises are a unit, and either or both of the following apply: </w:t>
      </w:r>
    </w:p>
    <w:p w14:paraId="39ED9BBB" w14:textId="27E0B169" w:rsidR="00A4102B" w:rsidRDefault="00A4102B" w:rsidP="00B67FBE">
      <w:pPr>
        <w:pStyle w:val="NormalWeb"/>
        <w:numPr>
          <w:ilvl w:val="0"/>
          <w:numId w:val="17"/>
        </w:numPr>
        <w:shd w:val="clear" w:color="auto" w:fill="FFFFFF"/>
        <w:spacing w:before="0" w:beforeAutospacing="0" w:after="120" w:afterAutospacing="0" w:line="276" w:lineRule="atLeast"/>
        <w:rPr>
          <w:rFonts w:ascii="Arial" w:hAnsi="Arial" w:cs="Arial"/>
          <w:color w:val="000000"/>
        </w:rPr>
      </w:pPr>
      <w:r>
        <w:rPr>
          <w:rFonts w:ascii="Arial" w:hAnsi="Arial" w:cs="Arial"/>
          <w:color w:val="000000"/>
        </w:rPr>
        <w:t xml:space="preserve">For an electricity service supplied to the premises – the electricity service is a part of an embedded network (as defined in the </w:t>
      </w:r>
      <w:r>
        <w:rPr>
          <w:rFonts w:ascii="Arial" w:hAnsi="Arial" w:cs="Arial"/>
          <w:i/>
          <w:iCs/>
          <w:color w:val="000000"/>
        </w:rPr>
        <w:t>National Electricity Rules</w:t>
      </w:r>
      <w:r>
        <w:rPr>
          <w:rFonts w:ascii="Arial" w:hAnsi="Arial" w:cs="Arial"/>
          <w:color w:val="000000"/>
        </w:rPr>
        <w:t xml:space="preserve">, administered by, and hosted on the website of the </w:t>
      </w:r>
      <w:r>
        <w:rPr>
          <w:rFonts w:ascii="Arial" w:hAnsi="Arial" w:cs="Arial"/>
          <w:i/>
          <w:iCs/>
          <w:color w:val="000000"/>
        </w:rPr>
        <w:t>Australian Energy Market Commission</w:t>
      </w:r>
      <w:r>
        <w:rPr>
          <w:rFonts w:ascii="Arial" w:hAnsi="Arial" w:cs="Arial"/>
          <w:color w:val="000000"/>
        </w:rPr>
        <w:t xml:space="preserve">); </w:t>
      </w:r>
      <w:r w:rsidR="005833C3">
        <w:rPr>
          <w:rFonts w:ascii="Arial" w:hAnsi="Arial" w:cs="Arial"/>
          <w:color w:val="000000"/>
        </w:rPr>
        <w:t>and</w:t>
      </w:r>
      <w:r>
        <w:rPr>
          <w:rFonts w:ascii="Arial" w:hAnsi="Arial" w:cs="Arial"/>
          <w:color w:val="000000"/>
        </w:rPr>
        <w:t xml:space="preserve"> </w:t>
      </w:r>
    </w:p>
    <w:p w14:paraId="224A7E53" w14:textId="0C00D7C4" w:rsidR="005833C3" w:rsidRDefault="005833C3" w:rsidP="00B67FBE">
      <w:pPr>
        <w:pStyle w:val="NormalWeb"/>
        <w:numPr>
          <w:ilvl w:val="0"/>
          <w:numId w:val="17"/>
        </w:numPr>
        <w:shd w:val="clear" w:color="auto" w:fill="FFFFFF"/>
        <w:spacing w:before="0" w:beforeAutospacing="0" w:after="120" w:afterAutospacing="0" w:line="276" w:lineRule="atLeast"/>
        <w:rPr>
          <w:rFonts w:ascii="Arial" w:hAnsi="Arial" w:cs="Arial"/>
          <w:color w:val="000000"/>
        </w:rPr>
      </w:pPr>
      <w:r>
        <w:rPr>
          <w:rFonts w:ascii="Arial" w:hAnsi="Arial" w:cs="Arial"/>
          <w:color w:val="000000"/>
        </w:rPr>
        <w:t xml:space="preserve">For any </w:t>
      </w:r>
      <w:r w:rsidR="00EB6DFC">
        <w:rPr>
          <w:rFonts w:ascii="Arial" w:hAnsi="Arial" w:cs="Arial"/>
          <w:color w:val="000000"/>
        </w:rPr>
        <w:t>utility</w:t>
      </w:r>
      <w:r>
        <w:rPr>
          <w:rFonts w:ascii="Arial" w:hAnsi="Arial" w:cs="Arial"/>
          <w:color w:val="000000"/>
        </w:rPr>
        <w:t xml:space="preserve"> service supplied to the premises – that the tenant has no or limited choice of service provider for the utility service</w:t>
      </w:r>
      <w:r w:rsidR="00EB6DFC">
        <w:rPr>
          <w:rFonts w:ascii="Arial" w:hAnsi="Arial" w:cs="Arial"/>
          <w:color w:val="000000"/>
        </w:rPr>
        <w:t xml:space="preserve">. </w:t>
      </w:r>
    </w:p>
    <w:p w14:paraId="0A3483AA" w14:textId="38995B1E" w:rsidR="00EB6DFC" w:rsidRDefault="00EB6DFC" w:rsidP="00B67FBE">
      <w:pPr>
        <w:pStyle w:val="NormalWeb"/>
        <w:shd w:val="clear" w:color="auto" w:fill="FFFFFF"/>
        <w:spacing w:before="0" w:beforeAutospacing="0" w:after="120" w:afterAutospacing="0" w:line="276" w:lineRule="atLeast"/>
        <w:rPr>
          <w:rFonts w:ascii="Arial" w:hAnsi="Arial" w:cs="Arial"/>
          <w:color w:val="000000"/>
        </w:rPr>
      </w:pPr>
      <w:r>
        <w:rPr>
          <w:rFonts w:ascii="Arial" w:hAnsi="Arial" w:cs="Arial"/>
          <w:color w:val="000000"/>
        </w:rPr>
        <w:t xml:space="preserve">Additionally, the section will only apply where the tenant will be directly responsible for the costs of the </w:t>
      </w:r>
      <w:r w:rsidR="000D4DA9">
        <w:rPr>
          <w:rFonts w:ascii="Arial" w:hAnsi="Arial" w:cs="Arial"/>
          <w:color w:val="000000"/>
        </w:rPr>
        <w:t xml:space="preserve">utility </w:t>
      </w:r>
      <w:r>
        <w:rPr>
          <w:rFonts w:ascii="Arial" w:hAnsi="Arial" w:cs="Arial"/>
          <w:color w:val="000000"/>
        </w:rPr>
        <w:t xml:space="preserve">service in question. </w:t>
      </w:r>
      <w:r w:rsidR="000C168A">
        <w:rPr>
          <w:rFonts w:ascii="Arial" w:hAnsi="Arial" w:cs="Arial"/>
          <w:color w:val="000000"/>
        </w:rPr>
        <w:t xml:space="preserve">Utility services are defined with reference to the existing definition in the </w:t>
      </w:r>
      <w:r w:rsidR="00D2188C">
        <w:rPr>
          <w:rFonts w:ascii="Arial" w:hAnsi="Arial" w:cs="Arial"/>
          <w:i/>
          <w:iCs/>
          <w:color w:val="000000"/>
        </w:rPr>
        <w:t>Unit Titles Act 2001</w:t>
      </w:r>
      <w:r w:rsidR="000D2DF6">
        <w:rPr>
          <w:rFonts w:ascii="Arial" w:hAnsi="Arial" w:cs="Arial"/>
          <w:i/>
          <w:iCs/>
          <w:color w:val="000000"/>
        </w:rPr>
        <w:t xml:space="preserve"> </w:t>
      </w:r>
      <w:r w:rsidR="000D2DF6">
        <w:rPr>
          <w:rFonts w:ascii="Arial" w:hAnsi="Arial" w:cs="Arial"/>
          <w:color w:val="000000"/>
        </w:rPr>
        <w:t xml:space="preserve">to include: </w:t>
      </w:r>
    </w:p>
    <w:p w14:paraId="1427612E" w14:textId="24B1ECB3" w:rsidR="000D2DF6" w:rsidRPr="000D2DF6" w:rsidRDefault="000D2DF6" w:rsidP="00B67FBE">
      <w:pPr>
        <w:pStyle w:val="adefpara"/>
        <w:numPr>
          <w:ilvl w:val="0"/>
          <w:numId w:val="17"/>
        </w:numPr>
        <w:shd w:val="clear" w:color="auto" w:fill="FFFFFF"/>
        <w:spacing w:before="140" w:beforeAutospacing="0" w:after="120" w:afterAutospacing="0"/>
        <w:jc w:val="both"/>
        <w:rPr>
          <w:rFonts w:ascii="Arial" w:hAnsi="Arial" w:cs="Arial"/>
          <w:color w:val="000000"/>
        </w:rPr>
      </w:pPr>
      <w:r w:rsidRPr="000D2DF6">
        <w:rPr>
          <w:rFonts w:ascii="Arial" w:hAnsi="Arial" w:cs="Arial"/>
          <w:color w:val="000000"/>
        </w:rPr>
        <w:t>the collection and passage of stormwater; and</w:t>
      </w:r>
    </w:p>
    <w:p w14:paraId="45C7E479" w14:textId="5E70D343" w:rsidR="000D2DF6" w:rsidRPr="000D2DF6" w:rsidRDefault="000D2DF6" w:rsidP="00B67FBE">
      <w:pPr>
        <w:pStyle w:val="adefpara"/>
        <w:numPr>
          <w:ilvl w:val="0"/>
          <w:numId w:val="17"/>
        </w:numPr>
        <w:shd w:val="clear" w:color="auto" w:fill="FFFFFF"/>
        <w:spacing w:before="140" w:beforeAutospacing="0" w:after="120" w:afterAutospacing="0"/>
        <w:jc w:val="both"/>
        <w:rPr>
          <w:rFonts w:ascii="Arial" w:hAnsi="Arial" w:cs="Arial"/>
          <w:color w:val="000000"/>
        </w:rPr>
      </w:pPr>
      <w:r w:rsidRPr="000D2DF6">
        <w:rPr>
          <w:rFonts w:ascii="Arial" w:hAnsi="Arial" w:cs="Arial"/>
          <w:color w:val="000000"/>
        </w:rPr>
        <w:t>the supply of water (for drinking or any other use); and</w:t>
      </w:r>
    </w:p>
    <w:p w14:paraId="2094C9BB" w14:textId="64D6EBE2" w:rsidR="000D2DF6" w:rsidRPr="000D2DF6" w:rsidRDefault="000D2DF6" w:rsidP="00B67FBE">
      <w:pPr>
        <w:pStyle w:val="adefpara"/>
        <w:numPr>
          <w:ilvl w:val="0"/>
          <w:numId w:val="17"/>
        </w:numPr>
        <w:shd w:val="clear" w:color="auto" w:fill="FFFFFF"/>
        <w:spacing w:before="140" w:beforeAutospacing="0" w:after="120" w:afterAutospacing="0"/>
        <w:jc w:val="both"/>
        <w:rPr>
          <w:rFonts w:ascii="Arial" w:hAnsi="Arial" w:cs="Arial"/>
          <w:color w:val="000000"/>
        </w:rPr>
      </w:pPr>
      <w:r w:rsidRPr="000D2DF6">
        <w:rPr>
          <w:rFonts w:ascii="Arial" w:hAnsi="Arial" w:cs="Arial"/>
          <w:color w:val="000000"/>
        </w:rPr>
        <w:t>sewerage and drainage services; and</w:t>
      </w:r>
    </w:p>
    <w:p w14:paraId="070BC143" w14:textId="58832A90" w:rsidR="000D2DF6" w:rsidRPr="000D2DF6" w:rsidRDefault="000D2DF6" w:rsidP="00B67FBE">
      <w:pPr>
        <w:pStyle w:val="adefpara"/>
        <w:numPr>
          <w:ilvl w:val="0"/>
          <w:numId w:val="17"/>
        </w:numPr>
        <w:shd w:val="clear" w:color="auto" w:fill="FFFFFF"/>
        <w:spacing w:before="140" w:beforeAutospacing="0" w:after="120" w:afterAutospacing="0"/>
        <w:jc w:val="both"/>
        <w:rPr>
          <w:rFonts w:ascii="Arial" w:hAnsi="Arial" w:cs="Arial"/>
          <w:color w:val="000000"/>
        </w:rPr>
      </w:pPr>
      <w:r w:rsidRPr="000D2DF6">
        <w:rPr>
          <w:rFonts w:ascii="Arial" w:hAnsi="Arial" w:cs="Arial"/>
          <w:color w:val="000000"/>
        </w:rPr>
        <w:t>garbage collection services; and</w:t>
      </w:r>
    </w:p>
    <w:p w14:paraId="6901CEE6" w14:textId="6A27BF94" w:rsidR="000D2DF6" w:rsidRPr="000D2DF6" w:rsidRDefault="000D2DF6" w:rsidP="00B67FBE">
      <w:pPr>
        <w:pStyle w:val="adefpara"/>
        <w:numPr>
          <w:ilvl w:val="0"/>
          <w:numId w:val="17"/>
        </w:numPr>
        <w:shd w:val="clear" w:color="auto" w:fill="FFFFFF"/>
        <w:spacing w:before="140" w:beforeAutospacing="0" w:after="120" w:afterAutospacing="0"/>
        <w:jc w:val="both"/>
        <w:rPr>
          <w:rFonts w:ascii="Arial" w:hAnsi="Arial" w:cs="Arial"/>
          <w:color w:val="000000"/>
        </w:rPr>
      </w:pPr>
      <w:r w:rsidRPr="000D2DF6">
        <w:rPr>
          <w:rFonts w:ascii="Arial" w:hAnsi="Arial" w:cs="Arial"/>
          <w:color w:val="000000"/>
        </w:rPr>
        <w:t>gas, electricity and air services (including air conditioning and heating); and</w:t>
      </w:r>
    </w:p>
    <w:p w14:paraId="108DD5CD" w14:textId="45316C8A" w:rsidR="000D2DF6" w:rsidRDefault="000D2DF6" w:rsidP="00B67FBE">
      <w:pPr>
        <w:pStyle w:val="adefpara"/>
        <w:numPr>
          <w:ilvl w:val="0"/>
          <w:numId w:val="17"/>
        </w:numPr>
        <w:shd w:val="clear" w:color="auto" w:fill="FFFFFF"/>
        <w:spacing w:before="140" w:beforeAutospacing="0" w:after="120" w:afterAutospacing="0"/>
        <w:jc w:val="both"/>
        <w:rPr>
          <w:rFonts w:ascii="Arial" w:hAnsi="Arial" w:cs="Arial"/>
          <w:color w:val="000000"/>
        </w:rPr>
      </w:pPr>
      <w:r w:rsidRPr="000D2DF6">
        <w:rPr>
          <w:rFonts w:ascii="Arial" w:hAnsi="Arial" w:cs="Arial"/>
          <w:color w:val="000000"/>
        </w:rPr>
        <w:t xml:space="preserve">communication services (including telephone, radio, television and internet). </w:t>
      </w:r>
    </w:p>
    <w:p w14:paraId="74CFEEAF" w14:textId="6FAC9231" w:rsidR="00221646" w:rsidRDefault="00221646" w:rsidP="00B67FBE">
      <w:pPr>
        <w:pStyle w:val="adefpara"/>
        <w:shd w:val="clear" w:color="auto" w:fill="FFFFFF"/>
        <w:spacing w:before="140" w:beforeAutospacing="0" w:after="120" w:afterAutospacing="0"/>
        <w:jc w:val="both"/>
        <w:rPr>
          <w:rFonts w:ascii="Arial" w:hAnsi="Arial" w:cs="Arial"/>
          <w:color w:val="000000"/>
        </w:rPr>
      </w:pPr>
      <w:r>
        <w:rPr>
          <w:rFonts w:ascii="Arial" w:hAnsi="Arial" w:cs="Arial"/>
          <w:color w:val="000000"/>
        </w:rPr>
        <w:t xml:space="preserve">If the section applies, the landlord must let the tenant know: </w:t>
      </w:r>
    </w:p>
    <w:p w14:paraId="7A6AB673" w14:textId="339C2D30" w:rsidR="00221646" w:rsidRDefault="00221646" w:rsidP="00B67FBE">
      <w:pPr>
        <w:pStyle w:val="adefpara"/>
        <w:numPr>
          <w:ilvl w:val="0"/>
          <w:numId w:val="17"/>
        </w:numPr>
        <w:shd w:val="clear" w:color="auto" w:fill="FFFFFF"/>
        <w:spacing w:before="140" w:beforeAutospacing="0" w:after="120" w:afterAutospacing="0"/>
        <w:jc w:val="both"/>
        <w:rPr>
          <w:rFonts w:ascii="Arial" w:hAnsi="Arial" w:cs="Arial"/>
          <w:color w:val="000000"/>
        </w:rPr>
      </w:pPr>
      <w:r>
        <w:rPr>
          <w:rFonts w:ascii="Arial" w:hAnsi="Arial" w:cs="Arial"/>
          <w:color w:val="000000"/>
        </w:rPr>
        <w:t>If electricity is supplied through an embedded network, that fact, and</w:t>
      </w:r>
    </w:p>
    <w:p w14:paraId="514424AE" w14:textId="4930E86A" w:rsidR="00221646" w:rsidRPr="000D2DF6" w:rsidRDefault="00221646" w:rsidP="00B67FBE">
      <w:pPr>
        <w:pStyle w:val="adefpara"/>
        <w:numPr>
          <w:ilvl w:val="0"/>
          <w:numId w:val="17"/>
        </w:numPr>
        <w:shd w:val="clear" w:color="auto" w:fill="FFFFFF"/>
        <w:spacing w:before="140" w:beforeAutospacing="0" w:after="120" w:afterAutospacing="0"/>
        <w:jc w:val="both"/>
        <w:rPr>
          <w:rFonts w:ascii="Arial" w:hAnsi="Arial" w:cs="Arial"/>
          <w:color w:val="000000"/>
        </w:rPr>
      </w:pPr>
      <w:r>
        <w:rPr>
          <w:rFonts w:ascii="Arial" w:hAnsi="Arial" w:cs="Arial"/>
          <w:color w:val="000000"/>
        </w:rPr>
        <w:lastRenderedPageBreak/>
        <w:t>If</w:t>
      </w:r>
      <w:r w:rsidR="001834C5">
        <w:rPr>
          <w:rFonts w:ascii="Arial" w:hAnsi="Arial" w:cs="Arial"/>
          <w:color w:val="000000"/>
        </w:rPr>
        <w:t xml:space="preserve"> the tenant has no or limited choice of service provider for a utility service supplied to the premise, the kind of utility service(s) for which the tenant will have limited or no choice. </w:t>
      </w:r>
    </w:p>
    <w:p w14:paraId="79298B31" w14:textId="55C1EEBE" w:rsidR="00DB364C" w:rsidRDefault="005E3667" w:rsidP="00B67FBE">
      <w:pPr>
        <w:pStyle w:val="NormalWeb"/>
        <w:shd w:val="clear" w:color="auto" w:fill="FFFFFF"/>
        <w:spacing w:before="0" w:beforeAutospacing="0" w:after="120" w:afterAutospacing="0" w:line="276" w:lineRule="atLeast"/>
        <w:rPr>
          <w:rFonts w:ascii="Arial" w:hAnsi="Arial" w:cs="Arial"/>
          <w:color w:val="000000"/>
        </w:rPr>
      </w:pPr>
      <w:r>
        <w:rPr>
          <w:rFonts w:ascii="Arial" w:hAnsi="Arial" w:cs="Arial"/>
          <w:color w:val="000000"/>
        </w:rPr>
        <w:t>This section is intended to make prospective tenants aware, before they enter into a residential tenancy agreement, that they will not be able to shop around for the provider of one or more utilities</w:t>
      </w:r>
      <w:r w:rsidR="00DB364C">
        <w:rPr>
          <w:rFonts w:ascii="Arial" w:hAnsi="Arial" w:cs="Arial"/>
          <w:color w:val="000000"/>
        </w:rPr>
        <w:t xml:space="preserve">. This is important information as it may impact the cost or quality of the service. </w:t>
      </w:r>
    </w:p>
    <w:p w14:paraId="40D3F863" w14:textId="48A28FA7" w:rsidR="00F97424" w:rsidRDefault="00F97424" w:rsidP="00B67FBE">
      <w:pPr>
        <w:pStyle w:val="NormalWeb"/>
        <w:shd w:val="clear" w:color="auto" w:fill="FFFFFF"/>
        <w:spacing w:before="0" w:beforeAutospacing="0" w:after="120" w:afterAutospacing="0" w:line="276" w:lineRule="atLeast"/>
        <w:rPr>
          <w:rFonts w:ascii="Arial" w:hAnsi="Arial" w:cs="Arial"/>
          <w:color w:val="000000"/>
        </w:rPr>
      </w:pPr>
      <w:r>
        <w:rPr>
          <w:rFonts w:ascii="Arial" w:hAnsi="Arial" w:cs="Arial"/>
          <w:color w:val="000000"/>
        </w:rPr>
        <w:t xml:space="preserve">It is becoming increasingly common in units plans that services are provided through an embedded network-style arrangement, where </w:t>
      </w:r>
      <w:r w:rsidR="00282D52">
        <w:rPr>
          <w:rFonts w:ascii="Arial" w:hAnsi="Arial" w:cs="Arial"/>
          <w:color w:val="000000"/>
        </w:rPr>
        <w:t xml:space="preserve">there is a ‘parent’ meter for the units plan, and individual ‘child’ meters for each individual unit. Arrangements between units plans can vary, but </w:t>
      </w:r>
      <w:r w:rsidR="00787FE9">
        <w:rPr>
          <w:rFonts w:ascii="Arial" w:hAnsi="Arial" w:cs="Arial"/>
          <w:color w:val="000000"/>
        </w:rPr>
        <w:t xml:space="preserve">in general, </w:t>
      </w:r>
      <w:r w:rsidR="00282D52">
        <w:rPr>
          <w:rFonts w:ascii="Arial" w:hAnsi="Arial" w:cs="Arial"/>
          <w:color w:val="000000"/>
        </w:rPr>
        <w:t xml:space="preserve">mean that </w:t>
      </w:r>
      <w:r w:rsidR="00787FE9">
        <w:rPr>
          <w:rFonts w:ascii="Arial" w:hAnsi="Arial" w:cs="Arial"/>
          <w:color w:val="000000"/>
        </w:rPr>
        <w:t>a</w:t>
      </w:r>
      <w:r w:rsidR="00282D52">
        <w:rPr>
          <w:rFonts w:ascii="Arial" w:hAnsi="Arial" w:cs="Arial"/>
          <w:color w:val="000000"/>
        </w:rPr>
        <w:t xml:space="preserve"> tenant is not able to access the competitive market for that service. </w:t>
      </w:r>
    </w:p>
    <w:p w14:paraId="448240DF" w14:textId="622B89D1" w:rsidR="00EB6DFC" w:rsidRDefault="005E3667" w:rsidP="00B67FBE">
      <w:pPr>
        <w:pStyle w:val="NormalWeb"/>
        <w:shd w:val="clear" w:color="auto" w:fill="FFFFFF"/>
        <w:spacing w:before="0" w:beforeAutospacing="0" w:after="120" w:afterAutospacing="0" w:line="276" w:lineRule="atLeast"/>
        <w:rPr>
          <w:rFonts w:ascii="Arial" w:hAnsi="Arial" w:cs="Arial"/>
          <w:color w:val="000000"/>
        </w:rPr>
      </w:pPr>
      <w:r>
        <w:rPr>
          <w:rFonts w:ascii="Arial" w:hAnsi="Arial" w:cs="Arial"/>
          <w:color w:val="000000"/>
        </w:rPr>
        <w:t xml:space="preserve">Most commonly, this will be where the unit is a part of an electricity embedded network. </w:t>
      </w:r>
      <w:r w:rsidR="00BD3B27">
        <w:rPr>
          <w:rFonts w:ascii="Arial" w:hAnsi="Arial" w:cs="Arial"/>
          <w:color w:val="000000"/>
        </w:rPr>
        <w:t xml:space="preserve">The section applies the definition of an electricity embedded network contained in the </w:t>
      </w:r>
      <w:r w:rsidR="00BD3B27">
        <w:rPr>
          <w:rFonts w:ascii="Arial" w:hAnsi="Arial" w:cs="Arial"/>
          <w:i/>
          <w:iCs/>
          <w:color w:val="000000"/>
        </w:rPr>
        <w:t>National Electricity Rules</w:t>
      </w:r>
      <w:r w:rsidR="00BD3B27">
        <w:rPr>
          <w:rFonts w:ascii="Arial" w:hAnsi="Arial" w:cs="Arial"/>
          <w:color w:val="000000"/>
        </w:rPr>
        <w:t>, that is, a</w:t>
      </w:r>
      <w:r w:rsidR="00BD3B27" w:rsidRPr="00BD3B27">
        <w:rPr>
          <w:rFonts w:ascii="Arial" w:hAnsi="Arial" w:cs="Arial"/>
          <w:color w:val="000000"/>
        </w:rPr>
        <w:t> distribution system, connected at a parent connection point to either a distribution system or transmission system that forms part of the national grid, and which is owned, controlled or operated by a person who is not a Network Service Provider.</w:t>
      </w:r>
    </w:p>
    <w:p w14:paraId="51E35538" w14:textId="03712FB5" w:rsidR="00BD3B27" w:rsidRDefault="00BD3B27" w:rsidP="00B67FBE">
      <w:pPr>
        <w:pStyle w:val="NormalWeb"/>
        <w:shd w:val="clear" w:color="auto" w:fill="FFFFFF"/>
        <w:spacing w:before="0" w:beforeAutospacing="0" w:after="120" w:afterAutospacing="0" w:line="276" w:lineRule="atLeast"/>
        <w:rPr>
          <w:rFonts w:ascii="Arial" w:hAnsi="Arial" w:cs="Arial"/>
          <w:color w:val="000000"/>
        </w:rPr>
      </w:pPr>
      <w:r>
        <w:rPr>
          <w:rFonts w:ascii="Arial" w:hAnsi="Arial" w:cs="Arial"/>
          <w:color w:val="000000"/>
        </w:rPr>
        <w:t xml:space="preserve">However, the Government has heard that these style of arrangements are </w:t>
      </w:r>
      <w:r w:rsidR="00203271">
        <w:rPr>
          <w:rFonts w:ascii="Arial" w:hAnsi="Arial" w:cs="Arial"/>
          <w:color w:val="000000"/>
        </w:rPr>
        <w:t>increasingly being used for other</w:t>
      </w:r>
      <w:r>
        <w:rPr>
          <w:rFonts w:ascii="Arial" w:hAnsi="Arial" w:cs="Arial"/>
          <w:color w:val="000000"/>
        </w:rPr>
        <w:t xml:space="preserve"> services, </w:t>
      </w:r>
      <w:r w:rsidR="00203271">
        <w:rPr>
          <w:rFonts w:ascii="Arial" w:hAnsi="Arial" w:cs="Arial"/>
          <w:color w:val="000000"/>
        </w:rPr>
        <w:t>such as</w:t>
      </w:r>
      <w:r>
        <w:rPr>
          <w:rFonts w:ascii="Arial" w:hAnsi="Arial" w:cs="Arial"/>
          <w:color w:val="000000"/>
        </w:rPr>
        <w:t xml:space="preserve"> hot water and telecommunications (internet). The provision of these services </w:t>
      </w:r>
      <w:r w:rsidR="00203271">
        <w:rPr>
          <w:rFonts w:ascii="Arial" w:hAnsi="Arial" w:cs="Arial"/>
          <w:color w:val="000000"/>
        </w:rPr>
        <w:t>is</w:t>
      </w:r>
      <w:r>
        <w:rPr>
          <w:rFonts w:ascii="Arial" w:hAnsi="Arial" w:cs="Arial"/>
          <w:color w:val="000000"/>
        </w:rPr>
        <w:t xml:space="preserve"> predominantly regulated by industry-specific regulation.</w:t>
      </w:r>
      <w:r w:rsidR="00203271">
        <w:rPr>
          <w:rFonts w:ascii="Arial" w:hAnsi="Arial" w:cs="Arial"/>
          <w:color w:val="000000"/>
        </w:rPr>
        <w:t xml:space="preserve"> Th</w:t>
      </w:r>
      <w:r w:rsidR="00587E23">
        <w:rPr>
          <w:rFonts w:ascii="Arial" w:hAnsi="Arial" w:cs="Arial"/>
          <w:color w:val="000000"/>
        </w:rPr>
        <w:t>is section</w:t>
      </w:r>
      <w:r w:rsidR="00203271">
        <w:rPr>
          <w:rFonts w:ascii="Arial" w:hAnsi="Arial" w:cs="Arial"/>
          <w:color w:val="000000"/>
        </w:rPr>
        <w:t xml:space="preserve"> will, however</w:t>
      </w:r>
      <w:r w:rsidR="001C7493">
        <w:rPr>
          <w:rFonts w:ascii="Arial" w:hAnsi="Arial" w:cs="Arial"/>
          <w:color w:val="000000"/>
        </w:rPr>
        <w:t xml:space="preserve">, </w:t>
      </w:r>
      <w:r w:rsidR="00587E23">
        <w:rPr>
          <w:rFonts w:ascii="Arial" w:hAnsi="Arial" w:cs="Arial"/>
          <w:color w:val="000000"/>
        </w:rPr>
        <w:t xml:space="preserve">ensure tenants </w:t>
      </w:r>
      <w:r w:rsidR="001C7493">
        <w:rPr>
          <w:rFonts w:ascii="Arial" w:hAnsi="Arial" w:cs="Arial"/>
          <w:color w:val="000000"/>
        </w:rPr>
        <w:t>are aware</w:t>
      </w:r>
      <w:r w:rsidR="00587E23">
        <w:rPr>
          <w:rFonts w:ascii="Arial" w:hAnsi="Arial" w:cs="Arial"/>
          <w:color w:val="000000"/>
        </w:rPr>
        <w:t xml:space="preserve"> of these arrangements, and the potential cost implications, before they enter into a residential tenancy agreement. </w:t>
      </w:r>
    </w:p>
    <w:p w14:paraId="37C087FA" w14:textId="7FBFC81C" w:rsidR="001C7493" w:rsidRDefault="001C7493" w:rsidP="00B67FBE">
      <w:pPr>
        <w:pStyle w:val="NormalWeb"/>
        <w:shd w:val="clear" w:color="auto" w:fill="FFFFFF"/>
        <w:spacing w:before="0" w:beforeAutospacing="0" w:after="120" w:afterAutospacing="0" w:line="276" w:lineRule="atLeast"/>
        <w:rPr>
          <w:rFonts w:ascii="Arial" w:hAnsi="Arial" w:cs="Arial"/>
          <w:color w:val="000000"/>
        </w:rPr>
      </w:pPr>
      <w:r>
        <w:rPr>
          <w:rFonts w:ascii="Arial" w:hAnsi="Arial" w:cs="Arial"/>
          <w:color w:val="000000"/>
        </w:rPr>
        <w:t xml:space="preserve">The section is not intended to apply to services that the tenant does not pay for directly (for example, communal waste disposal services, paid for through </w:t>
      </w:r>
      <w:r w:rsidR="006D41CB">
        <w:rPr>
          <w:rFonts w:ascii="Arial" w:hAnsi="Arial" w:cs="Arial"/>
          <w:color w:val="000000"/>
        </w:rPr>
        <w:t xml:space="preserve">the landlord’s </w:t>
      </w:r>
      <w:r w:rsidR="00AA7CAE">
        <w:rPr>
          <w:rFonts w:ascii="Arial" w:hAnsi="Arial" w:cs="Arial"/>
          <w:color w:val="000000"/>
        </w:rPr>
        <w:t xml:space="preserve">owners corporation </w:t>
      </w:r>
      <w:r w:rsidR="00E523C3">
        <w:rPr>
          <w:rFonts w:ascii="Arial" w:hAnsi="Arial" w:cs="Arial"/>
          <w:color w:val="000000"/>
        </w:rPr>
        <w:t xml:space="preserve">fees). This section is also not intended to apply </w:t>
      </w:r>
      <w:r w:rsidR="009F6C52">
        <w:rPr>
          <w:rFonts w:ascii="Arial" w:hAnsi="Arial" w:cs="Arial"/>
          <w:color w:val="000000"/>
        </w:rPr>
        <w:t>where the tenant’s choice of service provider is not constrained in any way</w:t>
      </w:r>
      <w:r w:rsidR="00787FE9">
        <w:rPr>
          <w:rFonts w:ascii="Arial" w:hAnsi="Arial" w:cs="Arial"/>
          <w:color w:val="000000"/>
        </w:rPr>
        <w:t xml:space="preserve">. </w:t>
      </w:r>
    </w:p>
    <w:p w14:paraId="16545703" w14:textId="43855966" w:rsidR="00425375" w:rsidRDefault="00425375" w:rsidP="00B67FBE">
      <w:pPr>
        <w:pStyle w:val="NormalWeb"/>
        <w:shd w:val="clear" w:color="auto" w:fill="FFFFFF"/>
        <w:spacing w:before="0" w:beforeAutospacing="0" w:after="120" w:afterAutospacing="0" w:line="276" w:lineRule="atLeast"/>
        <w:rPr>
          <w:rFonts w:ascii="Arial" w:hAnsi="Arial" w:cs="Arial"/>
          <w:i/>
          <w:iCs/>
          <w:color w:val="000000"/>
        </w:rPr>
      </w:pPr>
      <w:r>
        <w:rPr>
          <w:rFonts w:ascii="Arial" w:hAnsi="Arial" w:cs="Arial"/>
          <w:i/>
          <w:iCs/>
          <w:color w:val="000000"/>
        </w:rPr>
        <w:t>Swimming pool safety information</w:t>
      </w:r>
      <w:r w:rsidR="00C3707F">
        <w:rPr>
          <w:rFonts w:ascii="Arial" w:hAnsi="Arial" w:cs="Arial"/>
          <w:i/>
          <w:iCs/>
          <w:color w:val="000000"/>
        </w:rPr>
        <w:t xml:space="preserve"> – new section 1A</w:t>
      </w:r>
      <w:r w:rsidR="00AA7CAE">
        <w:rPr>
          <w:rFonts w:ascii="Arial" w:hAnsi="Arial" w:cs="Arial"/>
          <w:i/>
          <w:iCs/>
          <w:color w:val="000000"/>
        </w:rPr>
        <w:t>A</w:t>
      </w:r>
      <w:r w:rsidR="00C3707F">
        <w:rPr>
          <w:rFonts w:ascii="Arial" w:hAnsi="Arial" w:cs="Arial"/>
          <w:i/>
          <w:iCs/>
          <w:color w:val="000000"/>
        </w:rPr>
        <w:t>B</w:t>
      </w:r>
    </w:p>
    <w:p w14:paraId="74B48D5A" w14:textId="1745BE9E" w:rsidR="00EB53FA" w:rsidRDefault="00C3707F" w:rsidP="00B67FBE">
      <w:pPr>
        <w:pStyle w:val="NormalWeb"/>
        <w:shd w:val="clear" w:color="auto" w:fill="FFFFFF"/>
        <w:spacing w:before="0" w:beforeAutospacing="0" w:after="120" w:afterAutospacing="0" w:line="276" w:lineRule="atLeast"/>
        <w:rPr>
          <w:rFonts w:ascii="Arial" w:hAnsi="Arial" w:cs="Arial"/>
          <w:color w:val="000000"/>
        </w:rPr>
      </w:pPr>
      <w:r>
        <w:rPr>
          <w:rFonts w:ascii="Arial" w:hAnsi="Arial" w:cs="Arial"/>
          <w:color w:val="000000"/>
        </w:rPr>
        <w:t>New section 1A</w:t>
      </w:r>
      <w:r w:rsidR="000F5D7A">
        <w:rPr>
          <w:rFonts w:ascii="Arial" w:hAnsi="Arial" w:cs="Arial"/>
          <w:color w:val="000000"/>
        </w:rPr>
        <w:t>A</w:t>
      </w:r>
      <w:r>
        <w:rPr>
          <w:rFonts w:ascii="Arial" w:hAnsi="Arial" w:cs="Arial"/>
          <w:color w:val="000000"/>
        </w:rPr>
        <w:t>B</w:t>
      </w:r>
      <w:r w:rsidR="00F01B97">
        <w:rPr>
          <w:rFonts w:ascii="Arial" w:hAnsi="Arial" w:cs="Arial"/>
          <w:color w:val="000000"/>
        </w:rPr>
        <w:t xml:space="preserve"> requires a landlord to provide to their tenant swimming pool </w:t>
      </w:r>
      <w:r w:rsidR="00EA51C9">
        <w:rPr>
          <w:rFonts w:ascii="Arial" w:hAnsi="Arial" w:cs="Arial"/>
          <w:color w:val="000000"/>
        </w:rPr>
        <w:t>safety information</w:t>
      </w:r>
      <w:r w:rsidR="00EB53FA">
        <w:rPr>
          <w:rFonts w:ascii="Arial" w:hAnsi="Arial" w:cs="Arial"/>
          <w:color w:val="000000"/>
        </w:rPr>
        <w:t xml:space="preserve"> when entering into a residential tenancy agreement</w:t>
      </w:r>
      <w:r w:rsidR="00EA51C9">
        <w:rPr>
          <w:rFonts w:ascii="Arial" w:hAnsi="Arial" w:cs="Arial"/>
          <w:color w:val="000000"/>
        </w:rPr>
        <w:t>.</w:t>
      </w:r>
    </w:p>
    <w:p w14:paraId="511C3095" w14:textId="7B6CD055" w:rsidR="00425375" w:rsidRPr="001A3E27" w:rsidRDefault="005077D5" w:rsidP="00B67FBE">
      <w:pPr>
        <w:pStyle w:val="NormalWeb"/>
        <w:shd w:val="clear" w:color="auto" w:fill="FFFFFF"/>
        <w:spacing w:before="0" w:beforeAutospacing="0" w:after="120" w:afterAutospacing="0" w:line="276" w:lineRule="atLeast"/>
        <w:rPr>
          <w:rFonts w:ascii="Arial" w:hAnsi="Arial" w:cs="Arial"/>
          <w:i/>
          <w:iCs/>
          <w:color w:val="000000"/>
        </w:rPr>
      </w:pPr>
      <w:r>
        <w:rPr>
          <w:rFonts w:ascii="Arial" w:hAnsi="Arial" w:cs="Arial"/>
          <w:color w:val="000000"/>
        </w:rPr>
        <w:t xml:space="preserve">A new home swimming pool safety scheme </w:t>
      </w:r>
      <w:r w:rsidR="001A3E27">
        <w:rPr>
          <w:rFonts w:ascii="Arial" w:hAnsi="Arial" w:cs="Arial"/>
          <w:color w:val="000000"/>
        </w:rPr>
        <w:t xml:space="preserve">commenced on 1 May 2024, to </w:t>
      </w:r>
      <w:r w:rsidR="001A3E27" w:rsidRPr="001A3E27">
        <w:rPr>
          <w:rFonts w:ascii="Arial" w:hAnsi="Arial" w:cs="Arial"/>
          <w:color w:val="000000"/>
        </w:rPr>
        <w:t>protect the community by making sure that home swimming pools and spas in the ACT are fenced in accordance with current safety standards.</w:t>
      </w:r>
      <w:r w:rsidR="001A3E27">
        <w:rPr>
          <w:rFonts w:ascii="Arial" w:hAnsi="Arial" w:cs="Arial"/>
          <w:color w:val="000000"/>
        </w:rPr>
        <w:t xml:space="preserve"> This </w:t>
      </w:r>
      <w:r w:rsidR="00020C92">
        <w:rPr>
          <w:rFonts w:ascii="Arial" w:hAnsi="Arial" w:cs="Arial"/>
          <w:color w:val="000000"/>
        </w:rPr>
        <w:t>R</w:t>
      </w:r>
      <w:r w:rsidR="001A3E27">
        <w:rPr>
          <w:rFonts w:ascii="Arial" w:hAnsi="Arial" w:cs="Arial"/>
          <w:color w:val="000000"/>
        </w:rPr>
        <w:t xml:space="preserve">egulation </w:t>
      </w:r>
      <w:r w:rsidR="00167359">
        <w:rPr>
          <w:rFonts w:ascii="Arial" w:hAnsi="Arial" w:cs="Arial"/>
          <w:color w:val="000000"/>
        </w:rPr>
        <w:t xml:space="preserve">ensures that tenants have important safety information about the swimming pool on the property they intend to rent, before they start living there. </w:t>
      </w:r>
    </w:p>
    <w:p w14:paraId="3495679E" w14:textId="1FD6B018" w:rsidR="00FA1C60" w:rsidRDefault="00FA1C60" w:rsidP="00B67FBE">
      <w:pPr>
        <w:pStyle w:val="NormalWeb"/>
        <w:shd w:val="clear" w:color="auto" w:fill="FFFFFF"/>
        <w:spacing w:before="0" w:beforeAutospacing="0" w:after="120" w:afterAutospacing="0" w:line="276" w:lineRule="atLeast"/>
        <w:rPr>
          <w:rFonts w:ascii="Arial" w:hAnsi="Arial" w:cs="Arial"/>
          <w:color w:val="000000"/>
        </w:rPr>
      </w:pPr>
      <w:r>
        <w:rPr>
          <w:rFonts w:ascii="Arial" w:hAnsi="Arial" w:cs="Arial"/>
          <w:color w:val="000000"/>
        </w:rPr>
        <w:t>Subsection (1) provides that section 1A</w:t>
      </w:r>
      <w:r w:rsidR="000F5D7A">
        <w:rPr>
          <w:rFonts w:ascii="Arial" w:hAnsi="Arial" w:cs="Arial"/>
          <w:color w:val="000000"/>
        </w:rPr>
        <w:t>A</w:t>
      </w:r>
      <w:r>
        <w:rPr>
          <w:rFonts w:ascii="Arial" w:hAnsi="Arial" w:cs="Arial"/>
          <w:color w:val="000000"/>
        </w:rPr>
        <w:t>B only applied to premises with a regulated swimming pool, and subsection (2) clarifies that section 1A</w:t>
      </w:r>
      <w:r w:rsidR="000F5D7A">
        <w:rPr>
          <w:rFonts w:ascii="Arial" w:hAnsi="Arial" w:cs="Arial"/>
          <w:color w:val="000000"/>
        </w:rPr>
        <w:t>A</w:t>
      </w:r>
      <w:r>
        <w:rPr>
          <w:rFonts w:ascii="Arial" w:hAnsi="Arial" w:cs="Arial"/>
          <w:color w:val="000000"/>
        </w:rPr>
        <w:t xml:space="preserve">B does not apply if there is a swimming pool on the common property. </w:t>
      </w:r>
      <w:r w:rsidR="00AA7CAE">
        <w:rPr>
          <w:rFonts w:ascii="Arial" w:hAnsi="Arial" w:cs="Arial"/>
          <w:color w:val="000000"/>
        </w:rPr>
        <w:t xml:space="preserve">If there is a regulated swimming pool on the common property of a units plan, then the tenant will be given safety information about that pool via separate means – through the provision of a unit title rental certificate. </w:t>
      </w:r>
    </w:p>
    <w:p w14:paraId="74F56C53" w14:textId="717BB55C" w:rsidR="00167359" w:rsidRDefault="00EB53FA" w:rsidP="00B67FBE">
      <w:pPr>
        <w:pStyle w:val="NormalWeb"/>
        <w:shd w:val="clear" w:color="auto" w:fill="FFFFFF"/>
        <w:spacing w:before="0" w:beforeAutospacing="0" w:after="120" w:afterAutospacing="0" w:line="276" w:lineRule="atLeast"/>
        <w:rPr>
          <w:rFonts w:ascii="Arial" w:hAnsi="Arial" w:cs="Arial"/>
          <w:color w:val="000000"/>
        </w:rPr>
      </w:pPr>
      <w:r>
        <w:rPr>
          <w:rFonts w:ascii="Arial" w:hAnsi="Arial" w:cs="Arial"/>
          <w:color w:val="000000"/>
        </w:rPr>
        <w:lastRenderedPageBreak/>
        <w:t xml:space="preserve">The information that a landlord is required to provide to a tenant </w:t>
      </w:r>
      <w:r w:rsidR="00AA7CAE">
        <w:rPr>
          <w:rFonts w:ascii="Arial" w:hAnsi="Arial" w:cs="Arial"/>
          <w:color w:val="000000"/>
        </w:rPr>
        <w:t xml:space="preserve">under the Regulation </w:t>
      </w:r>
      <w:r>
        <w:rPr>
          <w:rFonts w:ascii="Arial" w:hAnsi="Arial" w:cs="Arial"/>
          <w:color w:val="000000"/>
        </w:rPr>
        <w:t xml:space="preserve">depends on when the swimming pool was built. </w:t>
      </w:r>
    </w:p>
    <w:p w14:paraId="414DDB44" w14:textId="6BB89E2A" w:rsidR="00EB53FA" w:rsidRDefault="00EB53FA" w:rsidP="00B67FBE">
      <w:pPr>
        <w:pStyle w:val="NormalWeb"/>
        <w:shd w:val="clear" w:color="auto" w:fill="FFFFFF"/>
        <w:spacing w:before="0" w:beforeAutospacing="0" w:after="120" w:afterAutospacing="0" w:line="276" w:lineRule="atLeast"/>
        <w:rPr>
          <w:rFonts w:ascii="Arial" w:hAnsi="Arial" w:cs="Arial"/>
          <w:color w:val="000000"/>
        </w:rPr>
      </w:pPr>
      <w:r>
        <w:rPr>
          <w:rFonts w:ascii="Arial" w:hAnsi="Arial" w:cs="Arial"/>
          <w:color w:val="000000"/>
        </w:rPr>
        <w:t xml:space="preserve">If the swimming pool was built before 1 May 2023, the landlord must provide: </w:t>
      </w:r>
    </w:p>
    <w:p w14:paraId="09441560" w14:textId="7E1D28BB" w:rsidR="005077D5" w:rsidRDefault="005125E8" w:rsidP="00B67FBE">
      <w:pPr>
        <w:pStyle w:val="NormalWeb"/>
        <w:numPr>
          <w:ilvl w:val="0"/>
          <w:numId w:val="17"/>
        </w:numPr>
        <w:shd w:val="clear" w:color="auto" w:fill="FFFFFF"/>
        <w:spacing w:after="120" w:afterAutospacing="0" w:line="276" w:lineRule="atLeast"/>
        <w:rPr>
          <w:rFonts w:ascii="Arial" w:hAnsi="Arial" w:cs="Arial"/>
          <w:color w:val="000000"/>
        </w:rPr>
      </w:pPr>
      <w:r>
        <w:rPr>
          <w:rFonts w:ascii="Arial" w:hAnsi="Arial" w:cs="Arial"/>
          <w:color w:val="000000"/>
        </w:rPr>
        <w:t xml:space="preserve">A </w:t>
      </w:r>
      <w:r w:rsidRPr="005125E8">
        <w:rPr>
          <w:rFonts w:ascii="Arial" w:hAnsi="Arial" w:cs="Arial"/>
          <w:color w:val="000000"/>
        </w:rPr>
        <w:t xml:space="preserve">copy of the guidance material notified under the </w:t>
      </w:r>
      <w:r w:rsidRPr="005125E8">
        <w:rPr>
          <w:rFonts w:ascii="Arial" w:hAnsi="Arial" w:cs="Arial"/>
          <w:i/>
          <w:iCs/>
          <w:color w:val="000000"/>
        </w:rPr>
        <w:t>Building Act 2004</w:t>
      </w:r>
      <w:r w:rsidRPr="005125E8">
        <w:rPr>
          <w:rFonts w:ascii="Arial" w:hAnsi="Arial" w:cs="Arial"/>
          <w:color w:val="000000"/>
        </w:rPr>
        <w:t>, section 83H (Guidance about obligations on owners)</w:t>
      </w:r>
      <w:r>
        <w:rPr>
          <w:rFonts w:ascii="Arial" w:hAnsi="Arial" w:cs="Arial"/>
          <w:color w:val="000000"/>
        </w:rPr>
        <w:t xml:space="preserve">; </w:t>
      </w:r>
    </w:p>
    <w:p w14:paraId="77E0A895" w14:textId="188137F4" w:rsidR="0066653D" w:rsidRDefault="005125E8" w:rsidP="00B67FBE">
      <w:pPr>
        <w:pStyle w:val="NormalWeb"/>
        <w:numPr>
          <w:ilvl w:val="0"/>
          <w:numId w:val="17"/>
        </w:numPr>
        <w:shd w:val="clear" w:color="auto" w:fill="FFFFFF"/>
        <w:spacing w:after="120" w:afterAutospacing="0" w:line="276" w:lineRule="atLeast"/>
        <w:rPr>
          <w:rFonts w:ascii="Arial" w:hAnsi="Arial" w:cs="Arial"/>
          <w:color w:val="000000"/>
        </w:rPr>
      </w:pPr>
      <w:r>
        <w:rPr>
          <w:rFonts w:ascii="Arial" w:hAnsi="Arial" w:cs="Arial"/>
          <w:color w:val="000000"/>
        </w:rPr>
        <w:t xml:space="preserve">If the pool has been granted a </w:t>
      </w:r>
      <w:r w:rsidR="00AA7CAE">
        <w:rPr>
          <w:rFonts w:ascii="Arial" w:hAnsi="Arial" w:cs="Arial"/>
          <w:color w:val="000000"/>
        </w:rPr>
        <w:t>M</w:t>
      </w:r>
      <w:r>
        <w:rPr>
          <w:rFonts w:ascii="Arial" w:hAnsi="Arial" w:cs="Arial"/>
          <w:color w:val="000000"/>
        </w:rPr>
        <w:t>inisterial exemption, a copy of the exemption</w:t>
      </w:r>
      <w:r w:rsidR="00AA7CAE">
        <w:rPr>
          <w:rFonts w:ascii="Arial" w:hAnsi="Arial" w:cs="Arial"/>
          <w:color w:val="000000"/>
        </w:rPr>
        <w:t xml:space="preserve"> certificate</w:t>
      </w:r>
      <w:r w:rsidR="0066653D">
        <w:rPr>
          <w:rFonts w:ascii="Arial" w:hAnsi="Arial" w:cs="Arial"/>
          <w:color w:val="000000"/>
        </w:rPr>
        <w:t>, and if the exemption is only for a part of the pool, a compliance certificate for the pool</w:t>
      </w:r>
      <w:r w:rsidR="00AA7CAE">
        <w:rPr>
          <w:rFonts w:ascii="Arial" w:hAnsi="Arial" w:cs="Arial"/>
          <w:color w:val="000000"/>
        </w:rPr>
        <w:t xml:space="preserve"> that is not exempt</w:t>
      </w:r>
      <w:r w:rsidR="0066653D">
        <w:rPr>
          <w:rFonts w:ascii="Arial" w:hAnsi="Arial" w:cs="Arial"/>
          <w:color w:val="000000"/>
        </w:rPr>
        <w:t xml:space="preserve">; or </w:t>
      </w:r>
    </w:p>
    <w:p w14:paraId="0C8E0024" w14:textId="304C54D9" w:rsidR="0066653D" w:rsidRDefault="0066653D" w:rsidP="00B67FBE">
      <w:pPr>
        <w:pStyle w:val="NormalWeb"/>
        <w:numPr>
          <w:ilvl w:val="0"/>
          <w:numId w:val="17"/>
        </w:numPr>
        <w:shd w:val="clear" w:color="auto" w:fill="FFFFFF"/>
        <w:spacing w:after="120" w:afterAutospacing="0" w:line="276" w:lineRule="atLeast"/>
        <w:rPr>
          <w:rFonts w:ascii="Arial" w:hAnsi="Arial" w:cs="Arial"/>
          <w:color w:val="000000"/>
        </w:rPr>
      </w:pPr>
      <w:r>
        <w:rPr>
          <w:rFonts w:ascii="Arial" w:hAnsi="Arial" w:cs="Arial"/>
          <w:color w:val="000000"/>
        </w:rPr>
        <w:t xml:space="preserve">If the pool has not been granted a </w:t>
      </w:r>
      <w:r w:rsidR="00AA7CAE">
        <w:rPr>
          <w:rFonts w:ascii="Arial" w:hAnsi="Arial" w:cs="Arial"/>
          <w:color w:val="000000"/>
        </w:rPr>
        <w:t>M</w:t>
      </w:r>
      <w:r>
        <w:rPr>
          <w:rFonts w:ascii="Arial" w:hAnsi="Arial" w:cs="Arial"/>
          <w:color w:val="000000"/>
        </w:rPr>
        <w:t>inisterial exemption,</w:t>
      </w:r>
      <w:r w:rsidR="00EC25CB">
        <w:rPr>
          <w:rFonts w:ascii="Arial" w:hAnsi="Arial" w:cs="Arial"/>
          <w:color w:val="000000"/>
        </w:rPr>
        <w:t xml:space="preserve"> any of the following:</w:t>
      </w:r>
      <w:r>
        <w:rPr>
          <w:rFonts w:ascii="Arial" w:hAnsi="Arial" w:cs="Arial"/>
          <w:color w:val="000000"/>
        </w:rPr>
        <w:t xml:space="preserve"> </w:t>
      </w:r>
    </w:p>
    <w:p w14:paraId="6BFCD480" w14:textId="2444A792" w:rsidR="005845F9" w:rsidRDefault="005845F9" w:rsidP="00B67FBE">
      <w:pPr>
        <w:pStyle w:val="NormalWeb"/>
        <w:numPr>
          <w:ilvl w:val="1"/>
          <w:numId w:val="17"/>
        </w:numPr>
        <w:shd w:val="clear" w:color="auto" w:fill="FFFFFF"/>
        <w:spacing w:after="120" w:afterAutospacing="0" w:line="276" w:lineRule="atLeast"/>
        <w:rPr>
          <w:rFonts w:ascii="Arial" w:hAnsi="Arial" w:cs="Arial"/>
          <w:color w:val="000000"/>
        </w:rPr>
      </w:pPr>
      <w:r>
        <w:rPr>
          <w:rFonts w:ascii="Arial" w:hAnsi="Arial" w:cs="Arial"/>
          <w:color w:val="000000"/>
        </w:rPr>
        <w:t xml:space="preserve">A swimming pool disclosure statement, </w:t>
      </w:r>
    </w:p>
    <w:p w14:paraId="5ADD5C7F" w14:textId="4F413276" w:rsidR="005845F9" w:rsidRDefault="005845F9" w:rsidP="00B67FBE">
      <w:pPr>
        <w:pStyle w:val="NormalWeb"/>
        <w:numPr>
          <w:ilvl w:val="1"/>
          <w:numId w:val="17"/>
        </w:numPr>
        <w:shd w:val="clear" w:color="auto" w:fill="FFFFFF"/>
        <w:spacing w:after="120" w:afterAutospacing="0" w:line="276" w:lineRule="atLeast"/>
        <w:rPr>
          <w:rFonts w:ascii="Arial" w:hAnsi="Arial" w:cs="Arial"/>
          <w:color w:val="000000"/>
        </w:rPr>
      </w:pPr>
      <w:r>
        <w:rPr>
          <w:rFonts w:ascii="Arial" w:hAnsi="Arial" w:cs="Arial"/>
          <w:color w:val="000000"/>
        </w:rPr>
        <w:t xml:space="preserve">A compliance certificate, and </w:t>
      </w:r>
    </w:p>
    <w:p w14:paraId="298C2447" w14:textId="3C59C2E6" w:rsidR="005845F9" w:rsidRDefault="005845F9" w:rsidP="00B67FBE">
      <w:pPr>
        <w:pStyle w:val="NormalWeb"/>
        <w:numPr>
          <w:ilvl w:val="1"/>
          <w:numId w:val="17"/>
        </w:numPr>
        <w:shd w:val="clear" w:color="auto" w:fill="FFFFFF"/>
        <w:spacing w:after="120" w:afterAutospacing="0" w:line="276" w:lineRule="atLeast"/>
        <w:rPr>
          <w:rFonts w:ascii="Arial" w:hAnsi="Arial" w:cs="Arial"/>
          <w:color w:val="000000"/>
        </w:rPr>
      </w:pPr>
      <w:r>
        <w:rPr>
          <w:rFonts w:ascii="Arial" w:hAnsi="Arial" w:cs="Arial"/>
          <w:color w:val="000000"/>
        </w:rPr>
        <w:t xml:space="preserve">A certificate of occupancy for the pool and safety barrier. </w:t>
      </w:r>
    </w:p>
    <w:p w14:paraId="18D33D2C" w14:textId="17F8C0C9" w:rsidR="00BF6910" w:rsidRDefault="00BF6910" w:rsidP="00B67FBE">
      <w:pPr>
        <w:pStyle w:val="NormalWeb"/>
        <w:shd w:val="clear" w:color="auto" w:fill="FFFFFF"/>
        <w:spacing w:after="120" w:afterAutospacing="0" w:line="276" w:lineRule="atLeast"/>
        <w:rPr>
          <w:rFonts w:ascii="Arial" w:hAnsi="Arial" w:cs="Arial"/>
          <w:color w:val="000000"/>
        </w:rPr>
      </w:pPr>
      <w:r>
        <w:rPr>
          <w:rFonts w:ascii="Arial" w:hAnsi="Arial" w:cs="Arial"/>
          <w:color w:val="000000"/>
        </w:rPr>
        <w:t>If the pool was built (or substantially renovated) on or after 1 May 2023</w:t>
      </w:r>
      <w:r w:rsidR="00EC25CB">
        <w:rPr>
          <w:rFonts w:ascii="Arial" w:hAnsi="Arial" w:cs="Arial"/>
          <w:color w:val="000000"/>
        </w:rPr>
        <w:t>, any 1 of the following</w:t>
      </w:r>
      <w:r>
        <w:rPr>
          <w:rFonts w:ascii="Arial" w:hAnsi="Arial" w:cs="Arial"/>
          <w:color w:val="000000"/>
        </w:rPr>
        <w:t xml:space="preserve">: </w:t>
      </w:r>
    </w:p>
    <w:p w14:paraId="40B3B894" w14:textId="77777777" w:rsidR="00F50E80" w:rsidRDefault="00F50E80" w:rsidP="00B67FBE">
      <w:pPr>
        <w:pStyle w:val="NormalWeb"/>
        <w:numPr>
          <w:ilvl w:val="0"/>
          <w:numId w:val="17"/>
        </w:numPr>
        <w:shd w:val="clear" w:color="auto" w:fill="FFFFFF"/>
        <w:spacing w:after="120" w:afterAutospacing="0" w:line="276" w:lineRule="atLeast"/>
        <w:rPr>
          <w:rFonts w:ascii="Arial" w:hAnsi="Arial" w:cs="Arial"/>
          <w:color w:val="000000"/>
        </w:rPr>
      </w:pPr>
      <w:r>
        <w:rPr>
          <w:rFonts w:ascii="Arial" w:hAnsi="Arial" w:cs="Arial"/>
          <w:color w:val="000000"/>
        </w:rPr>
        <w:t xml:space="preserve">A swimming pool disclosure statement, </w:t>
      </w:r>
    </w:p>
    <w:p w14:paraId="49BCDCC2" w14:textId="7B5FCE10" w:rsidR="00F50E80" w:rsidRDefault="00F50E80" w:rsidP="00B67FBE">
      <w:pPr>
        <w:pStyle w:val="NormalWeb"/>
        <w:numPr>
          <w:ilvl w:val="0"/>
          <w:numId w:val="17"/>
        </w:numPr>
        <w:shd w:val="clear" w:color="auto" w:fill="FFFFFF"/>
        <w:spacing w:after="120" w:afterAutospacing="0" w:line="276" w:lineRule="atLeast"/>
        <w:rPr>
          <w:rFonts w:ascii="Arial" w:hAnsi="Arial" w:cs="Arial"/>
          <w:color w:val="000000"/>
        </w:rPr>
      </w:pPr>
      <w:r>
        <w:rPr>
          <w:rFonts w:ascii="Arial" w:hAnsi="Arial" w:cs="Arial"/>
          <w:color w:val="000000"/>
        </w:rPr>
        <w:t xml:space="preserve">A compliance certificate, </w:t>
      </w:r>
      <w:r w:rsidR="00EC25CB">
        <w:rPr>
          <w:rFonts w:ascii="Arial" w:hAnsi="Arial" w:cs="Arial"/>
          <w:color w:val="000000"/>
        </w:rPr>
        <w:t xml:space="preserve">or </w:t>
      </w:r>
    </w:p>
    <w:p w14:paraId="6D6DD3E4" w14:textId="77777777" w:rsidR="00F50E80" w:rsidRDefault="00F50E80" w:rsidP="00B67FBE">
      <w:pPr>
        <w:pStyle w:val="NormalWeb"/>
        <w:numPr>
          <w:ilvl w:val="0"/>
          <w:numId w:val="17"/>
        </w:numPr>
        <w:shd w:val="clear" w:color="auto" w:fill="FFFFFF"/>
        <w:spacing w:after="120" w:afterAutospacing="0" w:line="276" w:lineRule="atLeast"/>
        <w:rPr>
          <w:rFonts w:ascii="Arial" w:hAnsi="Arial" w:cs="Arial"/>
          <w:color w:val="000000"/>
        </w:rPr>
      </w:pPr>
      <w:r>
        <w:rPr>
          <w:rFonts w:ascii="Arial" w:hAnsi="Arial" w:cs="Arial"/>
          <w:color w:val="000000"/>
        </w:rPr>
        <w:t xml:space="preserve">A certificate of occupancy for the pool and safety barrier. </w:t>
      </w:r>
    </w:p>
    <w:p w14:paraId="376F3792" w14:textId="390BEF20" w:rsidR="00F50E80" w:rsidRDefault="00F50E80" w:rsidP="00B67FBE">
      <w:pPr>
        <w:pStyle w:val="NormalWeb"/>
        <w:shd w:val="clear" w:color="auto" w:fill="FFFFFF"/>
        <w:spacing w:after="120" w:afterAutospacing="0" w:line="276" w:lineRule="atLeast"/>
        <w:rPr>
          <w:rFonts w:ascii="Arial" w:hAnsi="Arial" w:cs="Arial"/>
          <w:color w:val="000000"/>
        </w:rPr>
      </w:pPr>
      <w:r>
        <w:rPr>
          <w:rFonts w:ascii="Arial" w:hAnsi="Arial" w:cs="Arial"/>
          <w:color w:val="000000"/>
        </w:rPr>
        <w:t xml:space="preserve">In all circumstances, the certificate of occupancy must not be more than 5 years old. </w:t>
      </w:r>
    </w:p>
    <w:p w14:paraId="7775DA51" w14:textId="617E611B" w:rsidR="00F50E80" w:rsidRPr="00EC25CB" w:rsidRDefault="00F50E80" w:rsidP="00B67FBE">
      <w:pPr>
        <w:pStyle w:val="NormalWeb"/>
        <w:shd w:val="clear" w:color="auto" w:fill="FFFFFF"/>
        <w:spacing w:after="120" w:afterAutospacing="0" w:line="276" w:lineRule="atLeast"/>
        <w:rPr>
          <w:rFonts w:ascii="Arial" w:hAnsi="Arial" w:cs="Arial"/>
          <w:i/>
          <w:iCs/>
          <w:color w:val="000000"/>
        </w:rPr>
      </w:pPr>
      <w:r>
        <w:rPr>
          <w:rFonts w:ascii="Arial" w:hAnsi="Arial" w:cs="Arial"/>
          <w:color w:val="000000"/>
        </w:rPr>
        <w:t xml:space="preserve">The home swimming pool safety reforms were progressed predominantly through amendments to the </w:t>
      </w:r>
      <w:r>
        <w:rPr>
          <w:rFonts w:ascii="Arial" w:hAnsi="Arial" w:cs="Arial"/>
          <w:i/>
          <w:iCs/>
          <w:color w:val="000000"/>
        </w:rPr>
        <w:t>Building Act 2004</w:t>
      </w:r>
      <w:r>
        <w:rPr>
          <w:rFonts w:ascii="Arial" w:hAnsi="Arial" w:cs="Arial"/>
          <w:color w:val="000000"/>
        </w:rPr>
        <w:t xml:space="preserve">, and so the clause also cross-references </w:t>
      </w:r>
      <w:r w:rsidR="00FA010D">
        <w:rPr>
          <w:rFonts w:ascii="Arial" w:hAnsi="Arial" w:cs="Arial"/>
          <w:color w:val="000000"/>
        </w:rPr>
        <w:t xml:space="preserve">several definitions contained in the </w:t>
      </w:r>
      <w:r w:rsidR="00FA010D">
        <w:rPr>
          <w:rFonts w:ascii="Arial" w:hAnsi="Arial" w:cs="Arial"/>
          <w:i/>
          <w:iCs/>
          <w:color w:val="000000"/>
        </w:rPr>
        <w:t xml:space="preserve">Building Act 2004. </w:t>
      </w:r>
      <w:r w:rsidR="00EC25CB">
        <w:rPr>
          <w:rFonts w:ascii="Arial" w:hAnsi="Arial" w:cs="Arial"/>
          <w:color w:val="000000"/>
        </w:rPr>
        <w:t xml:space="preserve">It also includes cross references to definitions related to units under the </w:t>
      </w:r>
      <w:r w:rsidR="00EC25CB">
        <w:rPr>
          <w:rFonts w:ascii="Arial" w:hAnsi="Arial" w:cs="Arial"/>
          <w:i/>
          <w:iCs/>
          <w:color w:val="000000"/>
        </w:rPr>
        <w:t>Unit Titles Act 2001</w:t>
      </w:r>
    </w:p>
    <w:p w14:paraId="05ECE89A" w14:textId="4378ED80" w:rsidR="00FA010D" w:rsidRDefault="00FA010D" w:rsidP="00B67FBE">
      <w:pPr>
        <w:pStyle w:val="NormalWeb"/>
        <w:shd w:val="clear" w:color="auto" w:fill="FFFFFF"/>
        <w:spacing w:after="120" w:afterAutospacing="0" w:line="276" w:lineRule="atLeast"/>
        <w:rPr>
          <w:rFonts w:ascii="Arial" w:hAnsi="Arial" w:cs="Arial"/>
          <w:b/>
          <w:bCs/>
          <w:color w:val="000000"/>
        </w:rPr>
      </w:pPr>
      <w:r>
        <w:rPr>
          <w:rFonts w:ascii="Arial" w:hAnsi="Arial" w:cs="Arial"/>
          <w:b/>
          <w:bCs/>
          <w:color w:val="000000"/>
        </w:rPr>
        <w:t>Clause 5</w:t>
      </w:r>
      <w:r>
        <w:rPr>
          <w:rFonts w:ascii="Arial" w:hAnsi="Arial" w:cs="Arial"/>
          <w:b/>
          <w:bCs/>
          <w:color w:val="000000"/>
        </w:rPr>
        <w:tab/>
        <w:t>New part 4</w:t>
      </w:r>
    </w:p>
    <w:p w14:paraId="39CC6C5A" w14:textId="791CE20B" w:rsidR="004D30CE" w:rsidRDefault="00FA010D" w:rsidP="00B67FBE">
      <w:pPr>
        <w:pStyle w:val="NormalWeb"/>
        <w:shd w:val="clear" w:color="auto" w:fill="FFFFFF"/>
        <w:spacing w:after="120" w:afterAutospacing="0" w:line="276" w:lineRule="atLeast"/>
        <w:rPr>
          <w:rFonts w:ascii="Arial" w:hAnsi="Arial" w:cs="Arial"/>
          <w:color w:val="000000"/>
        </w:rPr>
      </w:pPr>
      <w:r>
        <w:rPr>
          <w:rFonts w:ascii="Arial" w:hAnsi="Arial" w:cs="Arial"/>
          <w:color w:val="000000"/>
        </w:rPr>
        <w:t>Clause 5 inserts a new part</w:t>
      </w:r>
      <w:r w:rsidR="004D30CE">
        <w:rPr>
          <w:rFonts w:ascii="Arial" w:hAnsi="Arial" w:cs="Arial"/>
          <w:color w:val="000000"/>
        </w:rPr>
        <w:t xml:space="preserve">, Part 4 – Termination of residential tenancy agreements – initiated by tenant for family violence. </w:t>
      </w:r>
    </w:p>
    <w:p w14:paraId="23FCBD00" w14:textId="38A50787" w:rsidR="004D30CE" w:rsidRDefault="004D30CE" w:rsidP="00B67FBE">
      <w:pPr>
        <w:pStyle w:val="NormalWeb"/>
        <w:shd w:val="clear" w:color="auto" w:fill="FFFFFF"/>
        <w:spacing w:after="120" w:afterAutospacing="0" w:line="276" w:lineRule="atLeast"/>
        <w:rPr>
          <w:rFonts w:ascii="Arial" w:hAnsi="Arial" w:cs="Arial"/>
          <w:i/>
          <w:iCs/>
          <w:color w:val="000000"/>
        </w:rPr>
      </w:pPr>
      <w:r>
        <w:rPr>
          <w:rFonts w:ascii="Arial" w:hAnsi="Arial" w:cs="Arial"/>
          <w:i/>
          <w:iCs/>
          <w:color w:val="000000"/>
        </w:rPr>
        <w:t xml:space="preserve">New section 15 – Competent person declaration – required information – Act, s 46I (3) </w:t>
      </w:r>
    </w:p>
    <w:p w14:paraId="4BD459FF" w14:textId="7641C5CD" w:rsidR="005B67B3" w:rsidRDefault="00501C0D" w:rsidP="00B67FBE">
      <w:pPr>
        <w:pStyle w:val="NormalWeb"/>
        <w:shd w:val="clear" w:color="auto" w:fill="FFFFFF"/>
        <w:spacing w:after="120" w:afterAutospacing="0" w:line="276" w:lineRule="atLeast"/>
        <w:rPr>
          <w:rFonts w:ascii="Arial" w:hAnsi="Arial" w:cs="Arial"/>
          <w:color w:val="000000"/>
        </w:rPr>
      </w:pPr>
      <w:r>
        <w:rPr>
          <w:rFonts w:ascii="Arial" w:hAnsi="Arial" w:cs="Arial"/>
          <w:color w:val="000000"/>
        </w:rPr>
        <w:t xml:space="preserve">This new section outlines the information that must be included in a competent person declaration. </w:t>
      </w:r>
      <w:r w:rsidR="00385847">
        <w:rPr>
          <w:rFonts w:ascii="Arial" w:hAnsi="Arial" w:cs="Arial"/>
          <w:color w:val="000000"/>
        </w:rPr>
        <w:t xml:space="preserve">When making a competent person declaration, the competent person must include: </w:t>
      </w:r>
    </w:p>
    <w:p w14:paraId="5BEE7243" w14:textId="74BB91F5" w:rsidR="00385847" w:rsidRDefault="00385847" w:rsidP="00B67FBE">
      <w:pPr>
        <w:pStyle w:val="NormalWeb"/>
        <w:numPr>
          <w:ilvl w:val="0"/>
          <w:numId w:val="17"/>
        </w:numPr>
        <w:shd w:val="clear" w:color="auto" w:fill="FFFFFF"/>
        <w:spacing w:after="120" w:afterAutospacing="0" w:line="276" w:lineRule="atLeast"/>
        <w:rPr>
          <w:rFonts w:ascii="Arial" w:hAnsi="Arial" w:cs="Arial"/>
          <w:color w:val="000000"/>
        </w:rPr>
      </w:pPr>
      <w:r>
        <w:rPr>
          <w:rFonts w:ascii="Arial" w:hAnsi="Arial" w:cs="Arial"/>
          <w:color w:val="000000"/>
        </w:rPr>
        <w:t xml:space="preserve">The capacity in which they are authorised to make a competent person declaration; </w:t>
      </w:r>
    </w:p>
    <w:p w14:paraId="29F1416C" w14:textId="3F12C179" w:rsidR="00385847" w:rsidRDefault="00385847" w:rsidP="00B67FBE">
      <w:pPr>
        <w:pStyle w:val="NormalWeb"/>
        <w:numPr>
          <w:ilvl w:val="0"/>
          <w:numId w:val="17"/>
        </w:numPr>
        <w:shd w:val="clear" w:color="auto" w:fill="FFFFFF"/>
        <w:spacing w:after="120" w:afterAutospacing="0" w:line="276" w:lineRule="atLeast"/>
        <w:rPr>
          <w:rFonts w:ascii="Arial" w:hAnsi="Arial" w:cs="Arial"/>
          <w:color w:val="000000"/>
        </w:rPr>
      </w:pPr>
      <w:r>
        <w:rPr>
          <w:rFonts w:ascii="Arial" w:hAnsi="Arial" w:cs="Arial"/>
          <w:color w:val="000000"/>
        </w:rPr>
        <w:t xml:space="preserve">Either – </w:t>
      </w:r>
    </w:p>
    <w:p w14:paraId="74A73AE2" w14:textId="471223F7" w:rsidR="00385847" w:rsidRDefault="00385847" w:rsidP="00B67FBE">
      <w:pPr>
        <w:pStyle w:val="NormalWeb"/>
        <w:numPr>
          <w:ilvl w:val="1"/>
          <w:numId w:val="17"/>
        </w:numPr>
        <w:shd w:val="clear" w:color="auto" w:fill="FFFFFF"/>
        <w:spacing w:after="120" w:afterAutospacing="0" w:line="276" w:lineRule="atLeast"/>
        <w:rPr>
          <w:rFonts w:ascii="Arial" w:hAnsi="Arial" w:cs="Arial"/>
          <w:color w:val="000000"/>
        </w:rPr>
      </w:pPr>
      <w:r>
        <w:rPr>
          <w:rFonts w:ascii="Arial" w:hAnsi="Arial" w:cs="Arial"/>
          <w:color w:val="000000"/>
        </w:rPr>
        <w:lastRenderedPageBreak/>
        <w:t xml:space="preserve">If the person is employed by an entity capable of making a competent person declaration, the name of the entity, or </w:t>
      </w:r>
    </w:p>
    <w:p w14:paraId="3178B2D5" w14:textId="373A6B25" w:rsidR="00385847" w:rsidRDefault="00385847" w:rsidP="00B67FBE">
      <w:pPr>
        <w:pStyle w:val="NormalWeb"/>
        <w:numPr>
          <w:ilvl w:val="1"/>
          <w:numId w:val="17"/>
        </w:numPr>
        <w:shd w:val="clear" w:color="auto" w:fill="FFFFFF"/>
        <w:spacing w:after="120" w:afterAutospacing="0" w:line="276" w:lineRule="atLeast"/>
        <w:rPr>
          <w:rFonts w:ascii="Arial" w:hAnsi="Arial" w:cs="Arial"/>
          <w:color w:val="000000"/>
        </w:rPr>
      </w:pPr>
      <w:r>
        <w:rPr>
          <w:rFonts w:ascii="Arial" w:hAnsi="Arial" w:cs="Arial"/>
          <w:color w:val="000000"/>
        </w:rPr>
        <w:t xml:space="preserve">In any other case, the person’s name; </w:t>
      </w:r>
    </w:p>
    <w:p w14:paraId="07D41F34" w14:textId="0C5071C2" w:rsidR="00385847" w:rsidRDefault="00385847" w:rsidP="00B67FBE">
      <w:pPr>
        <w:pStyle w:val="NormalWeb"/>
        <w:numPr>
          <w:ilvl w:val="0"/>
          <w:numId w:val="17"/>
        </w:numPr>
        <w:shd w:val="clear" w:color="auto" w:fill="FFFFFF"/>
        <w:spacing w:after="120" w:afterAutospacing="0" w:line="276" w:lineRule="atLeast"/>
        <w:rPr>
          <w:rFonts w:ascii="Arial" w:hAnsi="Arial" w:cs="Arial"/>
          <w:color w:val="000000"/>
        </w:rPr>
      </w:pPr>
      <w:r>
        <w:rPr>
          <w:rFonts w:ascii="Arial" w:hAnsi="Arial" w:cs="Arial"/>
          <w:color w:val="000000"/>
        </w:rPr>
        <w:t xml:space="preserve">A statement that – </w:t>
      </w:r>
    </w:p>
    <w:p w14:paraId="0CB58F59" w14:textId="3EC271DE" w:rsidR="00385847" w:rsidRDefault="00524176" w:rsidP="00B67FBE">
      <w:pPr>
        <w:pStyle w:val="NormalWeb"/>
        <w:numPr>
          <w:ilvl w:val="1"/>
          <w:numId w:val="17"/>
        </w:numPr>
        <w:shd w:val="clear" w:color="auto" w:fill="FFFFFF"/>
        <w:spacing w:after="120" w:afterAutospacing="0" w:line="276" w:lineRule="atLeast"/>
        <w:rPr>
          <w:rFonts w:ascii="Arial" w:hAnsi="Arial" w:cs="Arial"/>
          <w:color w:val="000000"/>
        </w:rPr>
      </w:pPr>
      <w:r>
        <w:rPr>
          <w:rFonts w:ascii="Arial" w:hAnsi="Arial" w:cs="Arial"/>
          <w:color w:val="000000"/>
        </w:rPr>
        <w:t xml:space="preserve">The person has consulted has, in the capacity in which they are authorised to make the competent person declaration, </w:t>
      </w:r>
      <w:r w:rsidR="00B67FBE">
        <w:rPr>
          <w:rFonts w:ascii="Arial" w:hAnsi="Arial" w:cs="Arial"/>
          <w:color w:val="000000"/>
        </w:rPr>
        <w:t xml:space="preserve">consulted the tenant or a dependent child of the tenant, and </w:t>
      </w:r>
    </w:p>
    <w:p w14:paraId="78661551" w14:textId="60B7A77C" w:rsidR="00B67FBE" w:rsidRDefault="00B67FBE" w:rsidP="00B67FBE">
      <w:pPr>
        <w:pStyle w:val="NormalWeb"/>
        <w:numPr>
          <w:ilvl w:val="1"/>
          <w:numId w:val="17"/>
        </w:numPr>
        <w:shd w:val="clear" w:color="auto" w:fill="FFFFFF"/>
        <w:spacing w:after="120" w:afterAutospacing="0" w:line="276" w:lineRule="atLeast"/>
        <w:rPr>
          <w:rFonts w:ascii="Arial" w:hAnsi="Arial" w:cs="Arial"/>
          <w:color w:val="000000"/>
        </w:rPr>
      </w:pPr>
      <w:r>
        <w:rPr>
          <w:rFonts w:ascii="Arial" w:hAnsi="Arial" w:cs="Arial"/>
          <w:color w:val="000000"/>
        </w:rPr>
        <w:t xml:space="preserve">The tenant, or a dependent child of the tenant, has experienced family violence; and </w:t>
      </w:r>
    </w:p>
    <w:p w14:paraId="3FC40721" w14:textId="7A36EEAD" w:rsidR="00B67FBE" w:rsidRDefault="00B67FBE" w:rsidP="00B67FBE">
      <w:pPr>
        <w:pStyle w:val="NormalWeb"/>
        <w:numPr>
          <w:ilvl w:val="0"/>
          <w:numId w:val="17"/>
        </w:numPr>
        <w:shd w:val="clear" w:color="auto" w:fill="FFFFFF"/>
        <w:spacing w:after="120" w:afterAutospacing="0" w:line="276" w:lineRule="atLeast"/>
        <w:rPr>
          <w:rFonts w:ascii="Arial" w:hAnsi="Arial" w:cs="Arial"/>
          <w:color w:val="000000"/>
        </w:rPr>
      </w:pPr>
      <w:r>
        <w:rPr>
          <w:rFonts w:ascii="Arial" w:hAnsi="Arial" w:cs="Arial"/>
          <w:color w:val="000000"/>
        </w:rPr>
        <w:t xml:space="preserve">The date the declaration is made. </w:t>
      </w:r>
    </w:p>
    <w:p w14:paraId="5320E817" w14:textId="128492E7" w:rsidR="00B67FBE" w:rsidRDefault="00B67FBE" w:rsidP="00B67FBE">
      <w:pPr>
        <w:pStyle w:val="NormalWeb"/>
        <w:shd w:val="clear" w:color="auto" w:fill="FFFFFF"/>
        <w:spacing w:after="120" w:afterAutospacing="0" w:line="276" w:lineRule="atLeast"/>
        <w:rPr>
          <w:rFonts w:ascii="Arial" w:hAnsi="Arial" w:cs="Arial"/>
          <w:i/>
          <w:iCs/>
          <w:color w:val="000000"/>
        </w:rPr>
      </w:pPr>
      <w:r>
        <w:rPr>
          <w:rFonts w:ascii="Arial" w:hAnsi="Arial" w:cs="Arial"/>
          <w:i/>
          <w:iCs/>
          <w:color w:val="000000"/>
        </w:rPr>
        <w:t>New section 16 – Competent person – eligible people – Act, s 46I (4)</w:t>
      </w:r>
    </w:p>
    <w:p w14:paraId="3A529F5B" w14:textId="0326C211" w:rsidR="00E1576B" w:rsidRPr="00B67FBE" w:rsidRDefault="00E1576B" w:rsidP="00B67FBE">
      <w:pPr>
        <w:pStyle w:val="NormalWeb"/>
        <w:shd w:val="clear" w:color="auto" w:fill="FFFFFF"/>
        <w:spacing w:after="120" w:afterAutospacing="0" w:line="276" w:lineRule="atLeast"/>
        <w:rPr>
          <w:rFonts w:ascii="Arial" w:hAnsi="Arial" w:cs="Arial"/>
          <w:color w:val="000000"/>
        </w:rPr>
      </w:pPr>
      <w:r>
        <w:rPr>
          <w:rFonts w:ascii="Arial" w:hAnsi="Arial" w:cs="Arial"/>
          <w:color w:val="000000"/>
        </w:rPr>
        <w:t>This new section outlines the classes of persons capable of making a competent person declaration. These people include:</w:t>
      </w:r>
    </w:p>
    <w:p w14:paraId="67B7F7D4" w14:textId="77777777" w:rsidR="00E1576B" w:rsidRDefault="00E1576B" w:rsidP="00E1576B">
      <w:pPr>
        <w:pStyle w:val="NormalWeb"/>
        <w:numPr>
          <w:ilvl w:val="0"/>
          <w:numId w:val="17"/>
        </w:numPr>
        <w:shd w:val="clear" w:color="auto" w:fill="FFFFFF"/>
        <w:spacing w:after="120" w:afterAutospacing="0" w:line="276" w:lineRule="atLeast"/>
        <w:rPr>
          <w:rFonts w:ascii="Arial" w:hAnsi="Arial" w:cs="Arial"/>
          <w:color w:val="000000"/>
        </w:rPr>
      </w:pPr>
      <w:r w:rsidRPr="00E1576B">
        <w:rPr>
          <w:rFonts w:ascii="Arial" w:hAnsi="Arial" w:cs="Arial"/>
          <w:color w:val="000000"/>
        </w:rPr>
        <w:t xml:space="preserve">anyone employed or otherwise engaged by a not-for-profit entity that receives funding from the Territory to provide a service in relation to any of the following: </w:t>
      </w:r>
    </w:p>
    <w:p w14:paraId="24918D80" w14:textId="77777777" w:rsidR="00E1576B" w:rsidRDefault="00E1576B" w:rsidP="00E1576B">
      <w:pPr>
        <w:pStyle w:val="NormalWeb"/>
        <w:numPr>
          <w:ilvl w:val="1"/>
          <w:numId w:val="17"/>
        </w:numPr>
        <w:shd w:val="clear" w:color="auto" w:fill="FFFFFF"/>
        <w:spacing w:after="120" w:afterAutospacing="0" w:line="276" w:lineRule="atLeast"/>
        <w:rPr>
          <w:rFonts w:ascii="Arial" w:hAnsi="Arial" w:cs="Arial"/>
          <w:color w:val="000000"/>
        </w:rPr>
      </w:pPr>
      <w:r w:rsidRPr="00E1576B">
        <w:rPr>
          <w:rFonts w:ascii="Arial" w:hAnsi="Arial" w:cs="Arial"/>
          <w:color w:val="000000"/>
        </w:rPr>
        <w:t xml:space="preserve">family violence; </w:t>
      </w:r>
    </w:p>
    <w:p w14:paraId="56E8C361" w14:textId="77777777" w:rsidR="00E1576B" w:rsidRDefault="00E1576B" w:rsidP="00E1576B">
      <w:pPr>
        <w:pStyle w:val="NormalWeb"/>
        <w:numPr>
          <w:ilvl w:val="1"/>
          <w:numId w:val="17"/>
        </w:numPr>
        <w:shd w:val="clear" w:color="auto" w:fill="FFFFFF"/>
        <w:spacing w:after="120" w:afterAutospacing="0" w:line="276" w:lineRule="atLeast"/>
        <w:rPr>
          <w:rFonts w:ascii="Arial" w:hAnsi="Arial" w:cs="Arial"/>
          <w:color w:val="000000"/>
        </w:rPr>
      </w:pPr>
      <w:r w:rsidRPr="00E1576B">
        <w:rPr>
          <w:rFonts w:ascii="Arial" w:hAnsi="Arial" w:cs="Arial"/>
          <w:color w:val="000000"/>
        </w:rPr>
        <w:t xml:space="preserve">sexual assault; </w:t>
      </w:r>
    </w:p>
    <w:p w14:paraId="097DFB34" w14:textId="77777777" w:rsidR="00E1576B" w:rsidRDefault="00E1576B" w:rsidP="00E1576B">
      <w:pPr>
        <w:pStyle w:val="NormalWeb"/>
        <w:numPr>
          <w:ilvl w:val="1"/>
          <w:numId w:val="17"/>
        </w:numPr>
        <w:shd w:val="clear" w:color="auto" w:fill="FFFFFF"/>
        <w:spacing w:after="120" w:afterAutospacing="0" w:line="276" w:lineRule="atLeast"/>
        <w:rPr>
          <w:rFonts w:ascii="Arial" w:hAnsi="Arial" w:cs="Arial"/>
          <w:color w:val="000000"/>
        </w:rPr>
      </w:pPr>
      <w:r w:rsidRPr="00E1576B">
        <w:rPr>
          <w:rFonts w:ascii="Arial" w:hAnsi="Arial" w:cs="Arial"/>
          <w:color w:val="000000"/>
        </w:rPr>
        <w:t xml:space="preserve">a refuge or other emergency accommodation for people in crisis; </w:t>
      </w:r>
    </w:p>
    <w:p w14:paraId="37E6FBE8" w14:textId="77777777" w:rsidR="00E1576B" w:rsidRPr="00E1576B" w:rsidRDefault="00E1576B" w:rsidP="00E1576B">
      <w:pPr>
        <w:pStyle w:val="NormalWeb"/>
        <w:numPr>
          <w:ilvl w:val="1"/>
          <w:numId w:val="17"/>
        </w:numPr>
        <w:shd w:val="clear" w:color="auto" w:fill="FFFFFF"/>
        <w:spacing w:after="120" w:afterAutospacing="0" w:line="276" w:lineRule="atLeast"/>
        <w:rPr>
          <w:rFonts w:ascii="Arial" w:hAnsi="Arial" w:cs="Arial"/>
          <w:color w:val="000000"/>
        </w:rPr>
      </w:pPr>
      <w:r w:rsidRPr="00E1576B">
        <w:rPr>
          <w:rFonts w:ascii="Arial" w:hAnsi="Arial" w:cs="Arial"/>
          <w:color w:val="000000"/>
        </w:rPr>
        <w:t>children or young people, including their families;</w:t>
      </w:r>
      <w:r w:rsidRPr="00E1576B">
        <w:rPr>
          <w:szCs w:val="20"/>
          <w:lang w:eastAsia="en-US"/>
        </w:rPr>
        <w:t xml:space="preserve"> </w:t>
      </w:r>
    </w:p>
    <w:p w14:paraId="1EA47B87" w14:textId="77777777" w:rsidR="0048798E" w:rsidRDefault="00E1576B" w:rsidP="00E1576B">
      <w:pPr>
        <w:pStyle w:val="NormalWeb"/>
        <w:numPr>
          <w:ilvl w:val="0"/>
          <w:numId w:val="17"/>
        </w:numPr>
        <w:shd w:val="clear" w:color="auto" w:fill="FFFFFF"/>
        <w:spacing w:after="120" w:afterAutospacing="0" w:line="276" w:lineRule="atLeast"/>
        <w:rPr>
          <w:rFonts w:ascii="Arial" w:hAnsi="Arial" w:cs="Arial"/>
          <w:color w:val="000000"/>
        </w:rPr>
      </w:pPr>
      <w:r w:rsidRPr="00E1576B">
        <w:rPr>
          <w:rFonts w:ascii="Arial" w:hAnsi="Arial" w:cs="Arial"/>
          <w:color w:val="000000"/>
        </w:rPr>
        <w:t xml:space="preserve">a health practitioner who practises in any of the following health professions: </w:t>
      </w:r>
    </w:p>
    <w:p w14:paraId="721C8CEA" w14:textId="77777777" w:rsidR="0048798E" w:rsidRDefault="00E1576B" w:rsidP="0048798E">
      <w:pPr>
        <w:pStyle w:val="NormalWeb"/>
        <w:numPr>
          <w:ilvl w:val="1"/>
          <w:numId w:val="17"/>
        </w:numPr>
        <w:shd w:val="clear" w:color="auto" w:fill="FFFFFF"/>
        <w:spacing w:after="120" w:afterAutospacing="0" w:line="276" w:lineRule="atLeast"/>
        <w:rPr>
          <w:rFonts w:ascii="Arial" w:hAnsi="Arial" w:cs="Arial"/>
          <w:color w:val="000000"/>
        </w:rPr>
      </w:pPr>
      <w:r w:rsidRPr="00E1576B">
        <w:rPr>
          <w:rFonts w:ascii="Arial" w:hAnsi="Arial" w:cs="Arial"/>
          <w:color w:val="000000"/>
        </w:rPr>
        <w:t xml:space="preserve">Aboriginal and Torres Strait Islander health practice; </w:t>
      </w:r>
    </w:p>
    <w:p w14:paraId="25067661" w14:textId="77777777" w:rsidR="0048798E" w:rsidRDefault="00E1576B" w:rsidP="0048798E">
      <w:pPr>
        <w:pStyle w:val="NormalWeb"/>
        <w:numPr>
          <w:ilvl w:val="1"/>
          <w:numId w:val="17"/>
        </w:numPr>
        <w:shd w:val="clear" w:color="auto" w:fill="FFFFFF"/>
        <w:spacing w:after="120" w:afterAutospacing="0" w:line="276" w:lineRule="atLeast"/>
        <w:rPr>
          <w:rFonts w:ascii="Arial" w:hAnsi="Arial" w:cs="Arial"/>
          <w:color w:val="000000"/>
        </w:rPr>
      </w:pPr>
      <w:r w:rsidRPr="00E1576B">
        <w:rPr>
          <w:rFonts w:ascii="Arial" w:hAnsi="Arial" w:cs="Arial"/>
          <w:color w:val="000000"/>
        </w:rPr>
        <w:t xml:space="preserve">medical; </w:t>
      </w:r>
    </w:p>
    <w:p w14:paraId="5FEF4036" w14:textId="77777777" w:rsidR="0048798E" w:rsidRDefault="00E1576B" w:rsidP="0048798E">
      <w:pPr>
        <w:pStyle w:val="NormalWeb"/>
        <w:numPr>
          <w:ilvl w:val="1"/>
          <w:numId w:val="17"/>
        </w:numPr>
        <w:shd w:val="clear" w:color="auto" w:fill="FFFFFF"/>
        <w:spacing w:after="120" w:afterAutospacing="0" w:line="276" w:lineRule="atLeast"/>
        <w:rPr>
          <w:rFonts w:ascii="Arial" w:hAnsi="Arial" w:cs="Arial"/>
          <w:color w:val="000000"/>
        </w:rPr>
      </w:pPr>
      <w:r w:rsidRPr="00E1576B">
        <w:rPr>
          <w:rFonts w:ascii="Arial" w:hAnsi="Arial" w:cs="Arial"/>
          <w:color w:val="000000"/>
        </w:rPr>
        <w:t xml:space="preserve">midwifery; </w:t>
      </w:r>
    </w:p>
    <w:p w14:paraId="1C7CA781" w14:textId="77777777" w:rsidR="0048798E" w:rsidRDefault="00E1576B" w:rsidP="0048798E">
      <w:pPr>
        <w:pStyle w:val="NormalWeb"/>
        <w:numPr>
          <w:ilvl w:val="1"/>
          <w:numId w:val="17"/>
        </w:numPr>
        <w:shd w:val="clear" w:color="auto" w:fill="FFFFFF"/>
        <w:spacing w:after="120" w:afterAutospacing="0" w:line="276" w:lineRule="atLeast"/>
        <w:rPr>
          <w:rFonts w:ascii="Arial" w:hAnsi="Arial" w:cs="Arial"/>
          <w:color w:val="000000"/>
        </w:rPr>
      </w:pPr>
      <w:r w:rsidRPr="00E1576B">
        <w:rPr>
          <w:rFonts w:ascii="Arial" w:hAnsi="Arial" w:cs="Arial"/>
          <w:color w:val="000000"/>
        </w:rPr>
        <w:t xml:space="preserve">nursing; </w:t>
      </w:r>
    </w:p>
    <w:p w14:paraId="3EF7AFB1" w14:textId="77777777" w:rsidR="0048798E" w:rsidRDefault="00E1576B" w:rsidP="0048798E">
      <w:pPr>
        <w:pStyle w:val="NormalWeb"/>
        <w:numPr>
          <w:ilvl w:val="1"/>
          <w:numId w:val="17"/>
        </w:numPr>
        <w:shd w:val="clear" w:color="auto" w:fill="FFFFFF"/>
        <w:spacing w:after="120" w:afterAutospacing="0" w:line="276" w:lineRule="atLeast"/>
        <w:rPr>
          <w:rFonts w:ascii="Arial" w:hAnsi="Arial" w:cs="Arial"/>
          <w:color w:val="000000"/>
        </w:rPr>
      </w:pPr>
      <w:r w:rsidRPr="00E1576B">
        <w:rPr>
          <w:rFonts w:ascii="Arial" w:hAnsi="Arial" w:cs="Arial"/>
          <w:color w:val="000000"/>
        </w:rPr>
        <w:t xml:space="preserve">psychology; </w:t>
      </w:r>
    </w:p>
    <w:p w14:paraId="0DCD7E09" w14:textId="77777777" w:rsidR="0048798E" w:rsidRDefault="00E1576B" w:rsidP="0048798E">
      <w:pPr>
        <w:pStyle w:val="NormalWeb"/>
        <w:numPr>
          <w:ilvl w:val="0"/>
          <w:numId w:val="17"/>
        </w:numPr>
        <w:shd w:val="clear" w:color="auto" w:fill="FFFFFF"/>
        <w:spacing w:after="120" w:afterAutospacing="0" w:line="276" w:lineRule="atLeast"/>
        <w:rPr>
          <w:rFonts w:ascii="Arial" w:hAnsi="Arial" w:cs="Arial"/>
          <w:color w:val="000000"/>
        </w:rPr>
      </w:pPr>
      <w:r w:rsidRPr="00E1576B">
        <w:rPr>
          <w:rFonts w:ascii="Arial" w:hAnsi="Arial" w:cs="Arial"/>
          <w:color w:val="000000"/>
        </w:rPr>
        <w:t xml:space="preserve">an employee of the Territory providing a service in relation to child welfare; </w:t>
      </w:r>
    </w:p>
    <w:p w14:paraId="14EE479D" w14:textId="77777777" w:rsidR="0048798E" w:rsidRDefault="00E1576B" w:rsidP="0048798E">
      <w:pPr>
        <w:pStyle w:val="NormalWeb"/>
        <w:numPr>
          <w:ilvl w:val="0"/>
          <w:numId w:val="17"/>
        </w:numPr>
        <w:shd w:val="clear" w:color="auto" w:fill="FFFFFF"/>
        <w:spacing w:after="120" w:afterAutospacing="0" w:line="276" w:lineRule="atLeast"/>
        <w:rPr>
          <w:rFonts w:ascii="Arial" w:hAnsi="Arial" w:cs="Arial"/>
          <w:color w:val="000000"/>
        </w:rPr>
      </w:pPr>
      <w:r w:rsidRPr="00E1576B">
        <w:rPr>
          <w:rFonts w:ascii="Arial" w:hAnsi="Arial" w:cs="Arial"/>
          <w:color w:val="000000"/>
        </w:rPr>
        <w:t xml:space="preserve">a person with a social work qualification that provides eligibility for membership of the Australian Association of Social Workers; </w:t>
      </w:r>
    </w:p>
    <w:p w14:paraId="40934A93" w14:textId="77777777" w:rsidR="006C0B2D" w:rsidRDefault="00E1576B" w:rsidP="0048798E">
      <w:pPr>
        <w:pStyle w:val="NormalWeb"/>
        <w:numPr>
          <w:ilvl w:val="0"/>
          <w:numId w:val="17"/>
        </w:numPr>
        <w:shd w:val="clear" w:color="auto" w:fill="FFFFFF"/>
        <w:spacing w:after="120" w:afterAutospacing="0" w:line="276" w:lineRule="atLeast"/>
        <w:rPr>
          <w:rFonts w:ascii="Arial" w:hAnsi="Arial" w:cs="Arial"/>
          <w:color w:val="000000"/>
        </w:rPr>
      </w:pPr>
      <w:r w:rsidRPr="00E1576B">
        <w:rPr>
          <w:rFonts w:ascii="Arial" w:hAnsi="Arial" w:cs="Arial"/>
          <w:color w:val="000000"/>
        </w:rPr>
        <w:t>a member of the human rights commission;</w:t>
      </w:r>
      <w:r>
        <w:rPr>
          <w:rFonts w:ascii="Arial" w:hAnsi="Arial" w:cs="Arial"/>
          <w:color w:val="000000"/>
        </w:rPr>
        <w:t xml:space="preserve"> </w:t>
      </w:r>
    </w:p>
    <w:p w14:paraId="2A550875" w14:textId="55628BA0" w:rsidR="0048798E" w:rsidRDefault="00E1576B" w:rsidP="0048798E">
      <w:pPr>
        <w:pStyle w:val="NormalWeb"/>
        <w:numPr>
          <w:ilvl w:val="0"/>
          <w:numId w:val="17"/>
        </w:numPr>
        <w:shd w:val="clear" w:color="auto" w:fill="FFFFFF"/>
        <w:spacing w:after="120" w:afterAutospacing="0" w:line="276" w:lineRule="atLeast"/>
        <w:rPr>
          <w:rFonts w:ascii="Arial" w:hAnsi="Arial" w:cs="Arial"/>
          <w:color w:val="000000"/>
        </w:rPr>
      </w:pPr>
      <w:r w:rsidRPr="00E1576B">
        <w:rPr>
          <w:rFonts w:ascii="Arial" w:hAnsi="Arial" w:cs="Arial"/>
          <w:color w:val="000000"/>
        </w:rPr>
        <w:t xml:space="preserve">the Aboriginal and Torres Strait Islander children and young people commissioner; </w:t>
      </w:r>
    </w:p>
    <w:p w14:paraId="508BAF2F" w14:textId="265BC9AF" w:rsidR="00BF6910" w:rsidRDefault="00E1576B" w:rsidP="0048798E">
      <w:pPr>
        <w:pStyle w:val="NormalWeb"/>
        <w:numPr>
          <w:ilvl w:val="0"/>
          <w:numId w:val="17"/>
        </w:numPr>
        <w:shd w:val="clear" w:color="auto" w:fill="FFFFFF"/>
        <w:spacing w:after="120" w:afterAutospacing="0" w:line="276" w:lineRule="atLeast"/>
        <w:rPr>
          <w:rFonts w:ascii="Arial" w:hAnsi="Arial" w:cs="Arial"/>
          <w:color w:val="000000"/>
        </w:rPr>
      </w:pPr>
      <w:r w:rsidRPr="00E1576B">
        <w:rPr>
          <w:rFonts w:ascii="Arial" w:hAnsi="Arial" w:cs="Arial"/>
          <w:color w:val="000000"/>
        </w:rPr>
        <w:t>for a declaration made in relation to a tenant with a dependent child or in relation to the dependent child—a person who is a mandated reporter.</w:t>
      </w:r>
    </w:p>
    <w:p w14:paraId="630BF5A2" w14:textId="2D6AC549" w:rsidR="005845F9" w:rsidRDefault="007410BF" w:rsidP="00B67FBE">
      <w:pPr>
        <w:pStyle w:val="NormalWeb"/>
        <w:shd w:val="clear" w:color="auto" w:fill="FFFFFF"/>
        <w:spacing w:after="120" w:afterAutospacing="0" w:line="276" w:lineRule="atLeast"/>
        <w:rPr>
          <w:rFonts w:ascii="Arial" w:hAnsi="Arial" w:cs="Arial"/>
          <w:color w:val="000000"/>
        </w:rPr>
      </w:pPr>
      <w:r>
        <w:rPr>
          <w:rFonts w:ascii="Arial" w:hAnsi="Arial" w:cs="Arial"/>
          <w:color w:val="000000"/>
        </w:rPr>
        <w:lastRenderedPageBreak/>
        <w:t xml:space="preserve">In this section, a competent person may be an individual, or an entity. For example, an organisation that is funded to provide a service in relation to family violence would be able to make a competent person declaration. This reflects common practices for organisations in this sector not to give out the personal information of their staff members, and is intended to protect staff members’ privacy. </w:t>
      </w:r>
    </w:p>
    <w:p w14:paraId="6E99B147" w14:textId="400BA39E" w:rsidR="007410BF" w:rsidRDefault="007410BF" w:rsidP="00B67FBE">
      <w:pPr>
        <w:pStyle w:val="NormalWeb"/>
        <w:shd w:val="clear" w:color="auto" w:fill="FFFFFF"/>
        <w:spacing w:after="120" w:afterAutospacing="0" w:line="276" w:lineRule="atLeast"/>
        <w:rPr>
          <w:rFonts w:ascii="Arial" w:hAnsi="Arial" w:cs="Arial"/>
          <w:color w:val="000000"/>
        </w:rPr>
      </w:pPr>
      <w:r>
        <w:rPr>
          <w:rFonts w:ascii="Arial" w:hAnsi="Arial" w:cs="Arial"/>
          <w:color w:val="000000"/>
        </w:rPr>
        <w:t xml:space="preserve">Additionally, </w:t>
      </w:r>
      <w:r w:rsidR="006C0B2D">
        <w:rPr>
          <w:rFonts w:ascii="Arial" w:hAnsi="Arial" w:cs="Arial"/>
          <w:color w:val="000000"/>
        </w:rPr>
        <w:t xml:space="preserve">where the competent person is a member of the human rights commission, or the Aboriginal and Torres Strait Islander children and young people commissioner, this would also include a delegate of the </w:t>
      </w:r>
      <w:r w:rsidR="007A511E">
        <w:rPr>
          <w:rFonts w:ascii="Arial" w:hAnsi="Arial" w:cs="Arial"/>
          <w:color w:val="000000"/>
        </w:rPr>
        <w:t xml:space="preserve">member. This is because section 239 (2) of the </w:t>
      </w:r>
      <w:r w:rsidR="007A511E">
        <w:rPr>
          <w:rFonts w:ascii="Arial" w:hAnsi="Arial" w:cs="Arial"/>
          <w:i/>
          <w:iCs/>
          <w:color w:val="000000"/>
        </w:rPr>
        <w:t>Legislation Act 2001</w:t>
      </w:r>
      <w:r w:rsidR="007A511E">
        <w:rPr>
          <w:rFonts w:ascii="Arial" w:hAnsi="Arial" w:cs="Arial"/>
          <w:color w:val="000000"/>
        </w:rPr>
        <w:t xml:space="preserve">, providing that all territory laws apply to the delegate in the exercise of the delegation as if the delegate were the appointer, will apply. </w:t>
      </w:r>
    </w:p>
    <w:p w14:paraId="12AFFDC2" w14:textId="2B4C3007" w:rsidR="00FE62AE" w:rsidRDefault="00FE62AE" w:rsidP="00B67FBE">
      <w:pPr>
        <w:pStyle w:val="NormalWeb"/>
        <w:shd w:val="clear" w:color="auto" w:fill="FFFFFF"/>
        <w:spacing w:after="120" w:afterAutospacing="0" w:line="276" w:lineRule="atLeast"/>
        <w:rPr>
          <w:rFonts w:ascii="Arial" w:hAnsi="Arial" w:cs="Arial"/>
          <w:color w:val="000000"/>
        </w:rPr>
      </w:pPr>
      <w:r>
        <w:rPr>
          <w:rFonts w:ascii="Arial" w:hAnsi="Arial" w:cs="Arial"/>
          <w:color w:val="000000"/>
        </w:rPr>
        <w:t xml:space="preserve">Subsection (2) </w:t>
      </w:r>
      <w:r w:rsidR="00620E12">
        <w:rPr>
          <w:rFonts w:ascii="Arial" w:hAnsi="Arial" w:cs="Arial"/>
          <w:color w:val="000000"/>
        </w:rPr>
        <w:t xml:space="preserve">defines the following terms: </w:t>
      </w:r>
    </w:p>
    <w:p w14:paraId="1B31F393" w14:textId="2DFB2423" w:rsidR="00604176" w:rsidRDefault="007A576A" w:rsidP="00604176">
      <w:pPr>
        <w:pStyle w:val="NormalWeb"/>
        <w:numPr>
          <w:ilvl w:val="0"/>
          <w:numId w:val="17"/>
        </w:numPr>
        <w:shd w:val="clear" w:color="auto" w:fill="FFFFFF"/>
        <w:spacing w:after="120" w:afterAutospacing="0" w:line="276" w:lineRule="atLeast"/>
        <w:rPr>
          <w:rFonts w:ascii="Arial" w:hAnsi="Arial" w:cs="Arial"/>
          <w:color w:val="000000"/>
        </w:rPr>
      </w:pPr>
      <w:r>
        <w:rPr>
          <w:rFonts w:ascii="Arial" w:hAnsi="Arial" w:cs="Arial"/>
          <w:i/>
          <w:iCs/>
          <w:color w:val="000000"/>
        </w:rPr>
        <w:t xml:space="preserve">Aboriginal and </w:t>
      </w:r>
      <w:r w:rsidR="009B5A42">
        <w:rPr>
          <w:rFonts w:ascii="Arial" w:hAnsi="Arial" w:cs="Arial"/>
          <w:i/>
          <w:iCs/>
          <w:color w:val="000000"/>
        </w:rPr>
        <w:t>Torres Strait Islander children and young peoples commissioner</w:t>
      </w:r>
      <w:r w:rsidR="009B5A42">
        <w:rPr>
          <w:rFonts w:ascii="Arial" w:hAnsi="Arial" w:cs="Arial"/>
          <w:color w:val="000000"/>
        </w:rPr>
        <w:t xml:space="preserve"> as the person appointed to that role under the </w:t>
      </w:r>
      <w:r w:rsidR="009B5A42">
        <w:rPr>
          <w:rFonts w:ascii="Arial" w:hAnsi="Arial" w:cs="Arial"/>
          <w:i/>
          <w:iCs/>
          <w:color w:val="000000"/>
        </w:rPr>
        <w:t xml:space="preserve">Aboriginal and Torres Strait Islander Children and Young People Commissioner Act </w:t>
      </w:r>
      <w:r w:rsidR="00604176">
        <w:rPr>
          <w:rFonts w:ascii="Arial" w:hAnsi="Arial" w:cs="Arial"/>
          <w:i/>
          <w:iCs/>
          <w:color w:val="000000"/>
        </w:rPr>
        <w:t>2022</w:t>
      </w:r>
      <w:r w:rsidR="00604176">
        <w:rPr>
          <w:rFonts w:ascii="Arial" w:hAnsi="Arial" w:cs="Arial"/>
          <w:color w:val="000000"/>
        </w:rPr>
        <w:t xml:space="preserve">, section 10. </w:t>
      </w:r>
    </w:p>
    <w:p w14:paraId="7FF9B5E7" w14:textId="6DDD00B6" w:rsidR="00604176" w:rsidRDefault="00604176" w:rsidP="00604176">
      <w:pPr>
        <w:pStyle w:val="NormalWeb"/>
        <w:numPr>
          <w:ilvl w:val="0"/>
          <w:numId w:val="17"/>
        </w:numPr>
        <w:shd w:val="clear" w:color="auto" w:fill="FFFFFF"/>
        <w:spacing w:after="120" w:afterAutospacing="0" w:line="276" w:lineRule="atLeast"/>
        <w:rPr>
          <w:rFonts w:ascii="Arial" w:hAnsi="Arial" w:cs="Arial"/>
          <w:color w:val="000000"/>
        </w:rPr>
      </w:pPr>
      <w:r>
        <w:rPr>
          <w:rFonts w:ascii="Arial" w:hAnsi="Arial" w:cs="Arial"/>
          <w:i/>
          <w:iCs/>
          <w:color w:val="000000"/>
        </w:rPr>
        <w:t>Health profession</w:t>
      </w:r>
      <w:r w:rsidR="008605E8">
        <w:rPr>
          <w:rFonts w:ascii="Arial" w:hAnsi="Arial" w:cs="Arial"/>
          <w:i/>
          <w:iCs/>
          <w:color w:val="000000"/>
        </w:rPr>
        <w:t>,</w:t>
      </w:r>
      <w:r>
        <w:rPr>
          <w:rFonts w:ascii="Arial" w:hAnsi="Arial" w:cs="Arial"/>
          <w:i/>
          <w:iCs/>
          <w:color w:val="000000"/>
        </w:rPr>
        <w:t xml:space="preserve"> </w:t>
      </w:r>
      <w:r>
        <w:rPr>
          <w:rFonts w:ascii="Arial" w:hAnsi="Arial" w:cs="Arial"/>
          <w:color w:val="000000"/>
        </w:rPr>
        <w:t xml:space="preserve">cross-defined by reference to section 5 of the </w:t>
      </w:r>
      <w:r>
        <w:rPr>
          <w:rFonts w:ascii="Arial" w:hAnsi="Arial" w:cs="Arial"/>
          <w:i/>
          <w:iCs/>
          <w:color w:val="000000"/>
        </w:rPr>
        <w:t>Health Practitioner Regulation National Law (ACT)</w:t>
      </w:r>
      <w:r>
        <w:rPr>
          <w:rFonts w:ascii="Arial" w:hAnsi="Arial" w:cs="Arial"/>
          <w:color w:val="000000"/>
        </w:rPr>
        <w:t xml:space="preserve">. </w:t>
      </w:r>
    </w:p>
    <w:p w14:paraId="4988EF01" w14:textId="576523CF" w:rsidR="00604176" w:rsidRDefault="008605E8" w:rsidP="00604176">
      <w:pPr>
        <w:pStyle w:val="NormalWeb"/>
        <w:numPr>
          <w:ilvl w:val="0"/>
          <w:numId w:val="17"/>
        </w:numPr>
        <w:shd w:val="clear" w:color="auto" w:fill="FFFFFF"/>
        <w:spacing w:after="120" w:afterAutospacing="0" w:line="276" w:lineRule="atLeast"/>
        <w:rPr>
          <w:rFonts w:ascii="Arial" w:hAnsi="Arial" w:cs="Arial"/>
          <w:color w:val="000000"/>
        </w:rPr>
      </w:pPr>
      <w:r>
        <w:rPr>
          <w:rFonts w:ascii="Arial" w:hAnsi="Arial" w:cs="Arial"/>
          <w:i/>
          <w:iCs/>
          <w:color w:val="000000"/>
        </w:rPr>
        <w:t xml:space="preserve">Mandated reporter, </w:t>
      </w:r>
      <w:r>
        <w:rPr>
          <w:rFonts w:ascii="Arial" w:hAnsi="Arial" w:cs="Arial"/>
          <w:color w:val="000000"/>
        </w:rPr>
        <w:t xml:space="preserve">cross-defined by reference to section 356 (3) of the </w:t>
      </w:r>
      <w:r>
        <w:rPr>
          <w:rFonts w:ascii="Arial" w:hAnsi="Arial" w:cs="Arial"/>
          <w:i/>
          <w:iCs/>
          <w:color w:val="000000"/>
        </w:rPr>
        <w:t>Children and Young People Act 2008</w:t>
      </w:r>
      <w:r>
        <w:rPr>
          <w:rFonts w:ascii="Arial" w:hAnsi="Arial" w:cs="Arial"/>
          <w:color w:val="000000"/>
        </w:rPr>
        <w:t xml:space="preserve">. </w:t>
      </w:r>
    </w:p>
    <w:p w14:paraId="60690918" w14:textId="6B432F71" w:rsidR="00D85DCC" w:rsidRDefault="00D85DCC" w:rsidP="00A301B7">
      <w:pPr>
        <w:pStyle w:val="NormalWeb"/>
        <w:shd w:val="clear" w:color="auto" w:fill="FFFFFF"/>
        <w:spacing w:after="120" w:afterAutospacing="0" w:line="276" w:lineRule="atLeast"/>
        <w:rPr>
          <w:rFonts w:ascii="Arial" w:hAnsi="Arial" w:cs="Arial"/>
          <w:color w:val="000000"/>
        </w:rPr>
      </w:pPr>
      <w:r>
        <w:rPr>
          <w:rFonts w:ascii="Arial" w:hAnsi="Arial" w:cs="Arial"/>
          <w:color w:val="000000"/>
        </w:rPr>
        <w:t xml:space="preserve">This list is designed to provide a person who has experienced domestic or family violence with a broad range of professional from whom they could seek a competent person declaration, thereby reducing barriers to obtaining the supporting documentation they will need to end their tenancy. </w:t>
      </w:r>
    </w:p>
    <w:p w14:paraId="641B4682" w14:textId="371FF6BE" w:rsidR="008605E8" w:rsidRDefault="008605E8" w:rsidP="008605E8">
      <w:pPr>
        <w:pStyle w:val="NormalWeb"/>
        <w:shd w:val="clear" w:color="auto" w:fill="FFFFFF"/>
        <w:spacing w:after="120" w:afterAutospacing="0" w:line="276" w:lineRule="atLeast"/>
        <w:rPr>
          <w:rFonts w:ascii="Arial" w:hAnsi="Arial" w:cs="Arial"/>
          <w:b/>
          <w:bCs/>
        </w:rPr>
      </w:pPr>
      <w:r>
        <w:rPr>
          <w:rFonts w:ascii="Arial" w:hAnsi="Arial" w:cs="Arial"/>
          <w:b/>
          <w:bCs/>
        </w:rPr>
        <w:t>Clause 6</w:t>
      </w:r>
      <w:r>
        <w:rPr>
          <w:rFonts w:ascii="Arial" w:hAnsi="Arial" w:cs="Arial"/>
          <w:b/>
          <w:bCs/>
        </w:rPr>
        <w:tab/>
        <w:t>Dictionary, note 1, new dot points</w:t>
      </w:r>
    </w:p>
    <w:p w14:paraId="2025E987" w14:textId="79F1A62A" w:rsidR="00E11E83" w:rsidRDefault="00235F92" w:rsidP="00E11E83">
      <w:pPr>
        <w:pStyle w:val="NormalWeb"/>
        <w:shd w:val="clear" w:color="auto" w:fill="FFFFFF"/>
        <w:spacing w:after="120" w:afterAutospacing="0" w:line="276" w:lineRule="atLeast"/>
        <w:rPr>
          <w:rFonts w:ascii="Arial" w:hAnsi="Arial" w:cs="Arial"/>
        </w:rPr>
      </w:pPr>
      <w:r>
        <w:rPr>
          <w:rFonts w:ascii="Arial" w:hAnsi="Arial" w:cs="Arial"/>
        </w:rPr>
        <w:t xml:space="preserve">This clause makes minor and technical consequential amendments to the </w:t>
      </w:r>
      <w:r w:rsidR="00020C92">
        <w:rPr>
          <w:rFonts w:ascii="Arial" w:hAnsi="Arial" w:cs="Arial"/>
        </w:rPr>
        <w:t xml:space="preserve">RTR’s </w:t>
      </w:r>
      <w:r>
        <w:rPr>
          <w:rFonts w:ascii="Arial" w:hAnsi="Arial" w:cs="Arial"/>
        </w:rPr>
        <w:t xml:space="preserve">Dictionary. </w:t>
      </w:r>
      <w:r w:rsidR="00E11E83">
        <w:rPr>
          <w:rFonts w:ascii="Arial" w:hAnsi="Arial" w:cs="Arial"/>
        </w:rPr>
        <w:t xml:space="preserve">Note 1 includes a bullet point list of terms used in the </w:t>
      </w:r>
      <w:r w:rsidR="00C12C77">
        <w:rPr>
          <w:rFonts w:ascii="Arial" w:hAnsi="Arial" w:cs="Arial"/>
        </w:rPr>
        <w:t>RTR</w:t>
      </w:r>
      <w:r w:rsidR="00E11E83">
        <w:rPr>
          <w:rFonts w:ascii="Arial" w:hAnsi="Arial" w:cs="Arial"/>
        </w:rPr>
        <w:t xml:space="preserve">, which are defined in the </w:t>
      </w:r>
      <w:r w:rsidR="00E11E83">
        <w:rPr>
          <w:rFonts w:ascii="Arial" w:hAnsi="Arial" w:cs="Arial"/>
          <w:i/>
          <w:iCs/>
        </w:rPr>
        <w:t>Legislation Act 2001</w:t>
      </w:r>
      <w:r w:rsidR="00E11E83">
        <w:rPr>
          <w:rFonts w:ascii="Arial" w:hAnsi="Arial" w:cs="Arial"/>
        </w:rPr>
        <w:t xml:space="preserve">. This clause adds the following terms to that list: </w:t>
      </w:r>
    </w:p>
    <w:p w14:paraId="74056D4B" w14:textId="76BEC214" w:rsidR="00E11E83" w:rsidRDefault="00E11E83" w:rsidP="00E11E83">
      <w:pPr>
        <w:pStyle w:val="NormalWeb"/>
        <w:numPr>
          <w:ilvl w:val="0"/>
          <w:numId w:val="17"/>
        </w:numPr>
        <w:shd w:val="clear" w:color="auto" w:fill="FFFFFF"/>
        <w:spacing w:after="120" w:afterAutospacing="0" w:line="276" w:lineRule="atLeast"/>
        <w:rPr>
          <w:rFonts w:ascii="Arial" w:hAnsi="Arial" w:cs="Arial"/>
        </w:rPr>
      </w:pPr>
      <w:r w:rsidRPr="00E11E83">
        <w:rPr>
          <w:rFonts w:ascii="Arial" w:hAnsi="Arial" w:cs="Arial"/>
        </w:rPr>
        <w:t>Entity</w:t>
      </w:r>
    </w:p>
    <w:p w14:paraId="6BEB223A" w14:textId="77777777" w:rsidR="00E11E83" w:rsidRDefault="00E11E83" w:rsidP="00E11E83">
      <w:pPr>
        <w:pStyle w:val="NormalWeb"/>
        <w:numPr>
          <w:ilvl w:val="0"/>
          <w:numId w:val="17"/>
        </w:numPr>
        <w:shd w:val="clear" w:color="auto" w:fill="FFFFFF"/>
        <w:spacing w:after="120" w:afterAutospacing="0" w:line="276" w:lineRule="atLeast"/>
        <w:rPr>
          <w:rFonts w:ascii="Arial" w:hAnsi="Arial" w:cs="Arial"/>
        </w:rPr>
      </w:pPr>
      <w:r w:rsidRPr="00E11E83">
        <w:rPr>
          <w:rFonts w:ascii="Arial" w:hAnsi="Arial" w:cs="Arial"/>
        </w:rPr>
        <w:t>health practitioner</w:t>
      </w:r>
    </w:p>
    <w:p w14:paraId="63A15E09" w14:textId="77777777" w:rsidR="00E11E83" w:rsidRDefault="00E11E83" w:rsidP="00E11E83">
      <w:pPr>
        <w:pStyle w:val="NormalWeb"/>
        <w:numPr>
          <w:ilvl w:val="0"/>
          <w:numId w:val="17"/>
        </w:numPr>
        <w:shd w:val="clear" w:color="auto" w:fill="FFFFFF"/>
        <w:spacing w:after="120" w:afterAutospacing="0" w:line="276" w:lineRule="atLeast"/>
        <w:rPr>
          <w:rFonts w:ascii="Arial" w:hAnsi="Arial" w:cs="Arial"/>
        </w:rPr>
      </w:pPr>
      <w:r w:rsidRPr="00E11E83">
        <w:rPr>
          <w:rFonts w:ascii="Arial" w:hAnsi="Arial" w:cs="Arial"/>
        </w:rPr>
        <w:t>human rights commission</w:t>
      </w:r>
    </w:p>
    <w:p w14:paraId="451050C8" w14:textId="5A769F25" w:rsidR="00235F92" w:rsidRDefault="00E11E83" w:rsidP="008605E8">
      <w:pPr>
        <w:pStyle w:val="NormalWeb"/>
        <w:numPr>
          <w:ilvl w:val="0"/>
          <w:numId w:val="17"/>
        </w:numPr>
        <w:shd w:val="clear" w:color="auto" w:fill="FFFFFF"/>
        <w:spacing w:after="120" w:afterAutospacing="0" w:line="276" w:lineRule="atLeast"/>
        <w:rPr>
          <w:rFonts w:ascii="Arial" w:hAnsi="Arial" w:cs="Arial"/>
        </w:rPr>
      </w:pPr>
      <w:r w:rsidRPr="00E11E83">
        <w:rPr>
          <w:rFonts w:ascii="Arial" w:hAnsi="Arial" w:cs="Arial"/>
        </w:rPr>
        <w:t>the Territory</w:t>
      </w:r>
    </w:p>
    <w:p w14:paraId="6ABC9C1F" w14:textId="6EABE6EE" w:rsidR="00E11E83" w:rsidRDefault="00E11E83" w:rsidP="00E11E83">
      <w:pPr>
        <w:pStyle w:val="NormalWeb"/>
        <w:shd w:val="clear" w:color="auto" w:fill="FFFFFF"/>
        <w:spacing w:after="120" w:afterAutospacing="0" w:line="276" w:lineRule="atLeast"/>
        <w:rPr>
          <w:rFonts w:ascii="Arial" w:hAnsi="Arial" w:cs="Arial"/>
          <w:b/>
          <w:bCs/>
        </w:rPr>
      </w:pPr>
      <w:r>
        <w:rPr>
          <w:rFonts w:ascii="Arial" w:hAnsi="Arial" w:cs="Arial"/>
          <w:b/>
          <w:bCs/>
        </w:rPr>
        <w:t xml:space="preserve">Clause 7 </w:t>
      </w:r>
      <w:r>
        <w:rPr>
          <w:rFonts w:ascii="Arial" w:hAnsi="Arial" w:cs="Arial"/>
          <w:b/>
          <w:bCs/>
        </w:rPr>
        <w:tab/>
        <w:t>Dictionary, note 2, new dot point</w:t>
      </w:r>
    </w:p>
    <w:p w14:paraId="2D8BD99F" w14:textId="31C93FE6" w:rsidR="00E11E83" w:rsidRDefault="0078159F" w:rsidP="00E11E83">
      <w:pPr>
        <w:pStyle w:val="NormalWeb"/>
        <w:shd w:val="clear" w:color="auto" w:fill="FFFFFF"/>
        <w:spacing w:after="120" w:afterAutospacing="0" w:line="276" w:lineRule="atLeast"/>
        <w:rPr>
          <w:rFonts w:ascii="Arial" w:hAnsi="Arial" w:cs="Arial"/>
        </w:rPr>
      </w:pPr>
      <w:r>
        <w:rPr>
          <w:rFonts w:ascii="Arial" w:hAnsi="Arial" w:cs="Arial"/>
        </w:rPr>
        <w:t xml:space="preserve">This clause makes minor and technical consequential amendments to the </w:t>
      </w:r>
      <w:r w:rsidR="00020C92">
        <w:rPr>
          <w:rFonts w:ascii="Arial" w:hAnsi="Arial" w:cs="Arial"/>
        </w:rPr>
        <w:t xml:space="preserve">RTR’s </w:t>
      </w:r>
      <w:r>
        <w:rPr>
          <w:rFonts w:ascii="Arial" w:hAnsi="Arial" w:cs="Arial"/>
        </w:rPr>
        <w:t xml:space="preserve">Dictionary. Note 2 notes that terms used in the </w:t>
      </w:r>
      <w:r w:rsidR="00C12C77">
        <w:rPr>
          <w:rFonts w:ascii="Arial" w:hAnsi="Arial" w:cs="Arial"/>
        </w:rPr>
        <w:t>RTR</w:t>
      </w:r>
      <w:r>
        <w:rPr>
          <w:rFonts w:ascii="Arial" w:hAnsi="Arial" w:cs="Arial"/>
        </w:rPr>
        <w:t xml:space="preserve"> have the same meaning as they have in the </w:t>
      </w:r>
      <w:r w:rsidR="00D85DCC" w:rsidRPr="00A301B7">
        <w:rPr>
          <w:rFonts w:ascii="Arial" w:hAnsi="Arial" w:cs="Arial"/>
        </w:rPr>
        <w:t>RTA</w:t>
      </w:r>
      <w:r w:rsidR="00B1391C">
        <w:rPr>
          <w:rFonts w:ascii="Arial" w:hAnsi="Arial" w:cs="Arial"/>
        </w:rPr>
        <w:t xml:space="preserve">, and then includes </w:t>
      </w:r>
      <w:r w:rsidR="009E0A78">
        <w:rPr>
          <w:rFonts w:ascii="Arial" w:hAnsi="Arial" w:cs="Arial"/>
        </w:rPr>
        <w:t xml:space="preserve">a bullet point list of terms </w:t>
      </w:r>
      <w:r w:rsidR="009E0A78">
        <w:rPr>
          <w:rFonts w:ascii="Arial" w:hAnsi="Arial" w:cs="Arial"/>
        </w:rPr>
        <w:lastRenderedPageBreak/>
        <w:t xml:space="preserve">used in the </w:t>
      </w:r>
      <w:r w:rsidR="00C12C77">
        <w:rPr>
          <w:rFonts w:ascii="Arial" w:hAnsi="Arial" w:cs="Arial"/>
        </w:rPr>
        <w:t>RTR</w:t>
      </w:r>
      <w:r w:rsidR="009E0A78">
        <w:rPr>
          <w:rFonts w:ascii="Arial" w:hAnsi="Arial" w:cs="Arial"/>
        </w:rPr>
        <w:t xml:space="preserve"> which are defined in the </w:t>
      </w:r>
      <w:r w:rsidR="00D85DCC">
        <w:rPr>
          <w:rFonts w:ascii="Arial" w:hAnsi="Arial" w:cs="Arial"/>
        </w:rPr>
        <w:t>RTA</w:t>
      </w:r>
      <w:r w:rsidR="009E0A78">
        <w:rPr>
          <w:rFonts w:ascii="Arial" w:hAnsi="Arial" w:cs="Arial"/>
        </w:rPr>
        <w:t xml:space="preserve">. This clause adds ‘family violence’ to that bullet point list. </w:t>
      </w:r>
    </w:p>
    <w:p w14:paraId="70BF0A15" w14:textId="1D2042A9" w:rsidR="009E0A78" w:rsidRDefault="009E0A78" w:rsidP="00E11E83">
      <w:pPr>
        <w:pStyle w:val="NormalWeb"/>
        <w:shd w:val="clear" w:color="auto" w:fill="FFFFFF"/>
        <w:spacing w:after="120" w:afterAutospacing="0" w:line="276" w:lineRule="atLeast"/>
        <w:rPr>
          <w:rFonts w:ascii="Arial" w:hAnsi="Arial" w:cs="Arial"/>
          <w:b/>
          <w:bCs/>
          <w:i/>
          <w:iCs/>
        </w:rPr>
      </w:pPr>
      <w:r>
        <w:rPr>
          <w:rFonts w:ascii="Arial" w:hAnsi="Arial" w:cs="Arial"/>
          <w:b/>
          <w:bCs/>
        </w:rPr>
        <w:t xml:space="preserve">Clause 8 </w:t>
      </w:r>
      <w:r>
        <w:rPr>
          <w:rFonts w:ascii="Arial" w:hAnsi="Arial" w:cs="Arial"/>
          <w:b/>
          <w:bCs/>
        </w:rPr>
        <w:tab/>
        <w:t xml:space="preserve">Dictionary, new definition of </w:t>
      </w:r>
      <w:r>
        <w:rPr>
          <w:rFonts w:ascii="Arial" w:hAnsi="Arial" w:cs="Arial"/>
          <w:b/>
          <w:bCs/>
          <w:i/>
          <w:iCs/>
        </w:rPr>
        <w:t>unit</w:t>
      </w:r>
    </w:p>
    <w:p w14:paraId="09498430" w14:textId="10A521AA" w:rsidR="009E0A78" w:rsidRPr="006C58AF" w:rsidRDefault="008C037C" w:rsidP="00E11E83">
      <w:pPr>
        <w:pStyle w:val="NormalWeb"/>
        <w:shd w:val="clear" w:color="auto" w:fill="FFFFFF"/>
        <w:spacing w:after="120" w:afterAutospacing="0" w:line="276" w:lineRule="atLeast"/>
        <w:rPr>
          <w:rFonts w:ascii="Arial" w:hAnsi="Arial" w:cs="Arial"/>
        </w:rPr>
      </w:pPr>
      <w:r>
        <w:rPr>
          <w:rFonts w:ascii="Arial" w:hAnsi="Arial" w:cs="Arial"/>
        </w:rPr>
        <w:t xml:space="preserve">This clause inserts a new </w:t>
      </w:r>
      <w:r w:rsidR="007C3AFD">
        <w:rPr>
          <w:rFonts w:ascii="Arial" w:hAnsi="Arial" w:cs="Arial"/>
        </w:rPr>
        <w:t>definition of unit into the Dictionary</w:t>
      </w:r>
      <w:r w:rsidR="00C12C77">
        <w:rPr>
          <w:rFonts w:ascii="Arial" w:hAnsi="Arial" w:cs="Arial"/>
        </w:rPr>
        <w:t xml:space="preserve"> of the RTR</w:t>
      </w:r>
      <w:r w:rsidR="007C3AFD">
        <w:rPr>
          <w:rFonts w:ascii="Arial" w:hAnsi="Arial" w:cs="Arial"/>
        </w:rPr>
        <w:t xml:space="preserve">. ‘Unit’ is </w:t>
      </w:r>
      <w:r w:rsidR="006C58AF">
        <w:rPr>
          <w:rFonts w:ascii="Arial" w:hAnsi="Arial" w:cs="Arial"/>
        </w:rPr>
        <w:t xml:space="preserve">defined by </w:t>
      </w:r>
      <w:r w:rsidR="00D85DCC">
        <w:rPr>
          <w:rFonts w:ascii="Arial" w:hAnsi="Arial" w:cs="Arial"/>
        </w:rPr>
        <w:t>cross-</w:t>
      </w:r>
      <w:r w:rsidR="006C58AF">
        <w:rPr>
          <w:rFonts w:ascii="Arial" w:hAnsi="Arial" w:cs="Arial"/>
        </w:rPr>
        <w:t xml:space="preserve">reference to the definition of a ‘unit’ contained in section 9 of the </w:t>
      </w:r>
      <w:r w:rsidR="006C58AF">
        <w:rPr>
          <w:rFonts w:ascii="Arial" w:hAnsi="Arial" w:cs="Arial"/>
          <w:i/>
          <w:iCs/>
        </w:rPr>
        <w:t>Unit Titles Act 2001</w:t>
      </w:r>
      <w:r w:rsidR="006C58AF">
        <w:rPr>
          <w:rFonts w:ascii="Arial" w:hAnsi="Arial" w:cs="Arial"/>
        </w:rPr>
        <w:t xml:space="preserve">. </w:t>
      </w:r>
    </w:p>
    <w:sectPr w:rsidR="009E0A78" w:rsidRPr="006C58AF" w:rsidSect="00C1618B">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C6D69" w14:textId="77777777" w:rsidR="0066483A" w:rsidRDefault="0066483A" w:rsidP="006815C9">
      <w:r>
        <w:separator/>
      </w:r>
    </w:p>
  </w:endnote>
  <w:endnote w:type="continuationSeparator" w:id="0">
    <w:p w14:paraId="2E4D2E70" w14:textId="77777777" w:rsidR="0066483A" w:rsidRDefault="0066483A"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A40D" w14:textId="77777777" w:rsidR="00091D34" w:rsidRDefault="00091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3A7E" w14:textId="5CFF9AE3" w:rsidR="00091D34" w:rsidRPr="002C6730" w:rsidRDefault="002C6730" w:rsidP="002C6730">
    <w:pPr>
      <w:pStyle w:val="Footer"/>
      <w:jc w:val="center"/>
      <w:rPr>
        <w:rFonts w:cs="Arial"/>
        <w:sz w:val="14"/>
      </w:rPr>
    </w:pPr>
    <w:r w:rsidRPr="002C673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FE4D" w14:textId="77777777" w:rsidR="00091D34" w:rsidRDefault="00091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0D088" w14:textId="77777777" w:rsidR="0066483A" w:rsidRDefault="0066483A" w:rsidP="006815C9">
      <w:r>
        <w:separator/>
      </w:r>
    </w:p>
  </w:footnote>
  <w:footnote w:type="continuationSeparator" w:id="0">
    <w:p w14:paraId="191ED4F6" w14:textId="77777777" w:rsidR="0066483A" w:rsidRDefault="0066483A"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E1AE" w14:textId="77777777" w:rsidR="00091D34" w:rsidRDefault="00091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BD57" w14:textId="77777777" w:rsidR="00091D34" w:rsidRDefault="00091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6C17" w14:textId="77777777" w:rsidR="00091D34" w:rsidRDefault="00091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0F314C6"/>
    <w:multiLevelType w:val="hybridMultilevel"/>
    <w:tmpl w:val="62526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207D52"/>
    <w:multiLevelType w:val="hybridMultilevel"/>
    <w:tmpl w:val="160E57FA"/>
    <w:lvl w:ilvl="0" w:tplc="3C76F0EC">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5872B8"/>
    <w:multiLevelType w:val="hybridMultilevel"/>
    <w:tmpl w:val="4192CBAA"/>
    <w:lvl w:ilvl="0" w:tplc="FFFFFFFF">
      <w:start w:val="1"/>
      <w:numFmt w:val="decimal"/>
      <w:pStyle w:val="CS-Paragraphnumbering"/>
      <w:lvlText w:val="%1."/>
      <w:lvlJc w:val="left"/>
      <w:pPr>
        <w:ind w:left="502" w:hanging="360"/>
      </w:pPr>
      <w:rPr>
        <w:sz w:val="24"/>
        <w:szCs w:val="24"/>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964456"/>
    <w:multiLevelType w:val="hybridMultilevel"/>
    <w:tmpl w:val="928CA770"/>
    <w:lvl w:ilvl="0" w:tplc="5CA244B0">
      <w:start w:val="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9"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0"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1" w15:restartNumberingAfterBreak="0">
    <w:nsid w:val="4E625AE8"/>
    <w:multiLevelType w:val="hybridMultilevel"/>
    <w:tmpl w:val="7DD23DE8"/>
    <w:lvl w:ilvl="0" w:tplc="A86A8F6A">
      <w:numFmt w:val="bullet"/>
      <w:lvlText w:val=""/>
      <w:lvlJc w:val="left"/>
      <w:pPr>
        <w:ind w:left="720" w:hanging="360"/>
      </w:pPr>
      <w:rPr>
        <w:rFonts w:ascii="Symbol" w:eastAsia="Times New Roman" w:hAnsi="Symbol"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1B6916"/>
    <w:multiLevelType w:val="hybridMultilevel"/>
    <w:tmpl w:val="71820470"/>
    <w:lvl w:ilvl="0" w:tplc="C5C6D5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4" w15:restartNumberingAfterBreak="0">
    <w:nsid w:val="5A496F86"/>
    <w:multiLevelType w:val="multilevel"/>
    <w:tmpl w:val="8EDAE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1F45AC"/>
    <w:multiLevelType w:val="hybridMultilevel"/>
    <w:tmpl w:val="7BE68ADC"/>
    <w:lvl w:ilvl="0" w:tplc="65807E1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2130583420">
    <w:abstractNumId w:val="2"/>
  </w:num>
  <w:num w:numId="2" w16cid:durableId="1458913944">
    <w:abstractNumId w:val="0"/>
  </w:num>
  <w:num w:numId="3" w16cid:durableId="106437700">
    <w:abstractNumId w:val="3"/>
  </w:num>
  <w:num w:numId="4" w16cid:durableId="1886408061">
    <w:abstractNumId w:val="10"/>
  </w:num>
  <w:num w:numId="5" w16cid:durableId="2019623294">
    <w:abstractNumId w:val="16"/>
  </w:num>
  <w:num w:numId="6" w16cid:durableId="108011302">
    <w:abstractNumId w:val="1"/>
  </w:num>
  <w:num w:numId="7" w16cid:durableId="1337462549">
    <w:abstractNumId w:val="8"/>
  </w:num>
  <w:num w:numId="8" w16cid:durableId="445396006">
    <w:abstractNumId w:val="9"/>
  </w:num>
  <w:num w:numId="9" w16cid:durableId="804664932">
    <w:abstractNumId w:val="13"/>
  </w:num>
  <w:num w:numId="10" w16cid:durableId="454914249">
    <w:abstractNumId w:val="7"/>
  </w:num>
  <w:num w:numId="11" w16cid:durableId="1493137477">
    <w:abstractNumId w:val="12"/>
  </w:num>
  <w:num w:numId="12" w16cid:durableId="2905064">
    <w:abstractNumId w:val="4"/>
  </w:num>
  <w:num w:numId="13" w16cid:durableId="307831327">
    <w:abstractNumId w:val="14"/>
  </w:num>
  <w:num w:numId="14" w16cid:durableId="680201534">
    <w:abstractNumId w:val="6"/>
  </w:num>
  <w:num w:numId="15" w16cid:durableId="2083482509">
    <w:abstractNumId w:val="11"/>
  </w:num>
  <w:num w:numId="16" w16cid:durableId="1467356138">
    <w:abstractNumId w:val="15"/>
  </w:num>
  <w:num w:numId="17" w16cid:durableId="1456482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1D"/>
    <w:rsid w:val="00020C92"/>
    <w:rsid w:val="00040E22"/>
    <w:rsid w:val="00054E4D"/>
    <w:rsid w:val="000858D6"/>
    <w:rsid w:val="00091D34"/>
    <w:rsid w:val="00095DB0"/>
    <w:rsid w:val="000A4528"/>
    <w:rsid w:val="000A55FE"/>
    <w:rsid w:val="000C168A"/>
    <w:rsid w:val="000D2DF6"/>
    <w:rsid w:val="000D32A8"/>
    <w:rsid w:val="000D4DA9"/>
    <w:rsid w:val="000D7CF6"/>
    <w:rsid w:val="000F180B"/>
    <w:rsid w:val="000F5D7A"/>
    <w:rsid w:val="000F7313"/>
    <w:rsid w:val="001029A4"/>
    <w:rsid w:val="001124A8"/>
    <w:rsid w:val="001144BE"/>
    <w:rsid w:val="00116603"/>
    <w:rsid w:val="00133F79"/>
    <w:rsid w:val="00141E54"/>
    <w:rsid w:val="00167359"/>
    <w:rsid w:val="001741EF"/>
    <w:rsid w:val="00181CC0"/>
    <w:rsid w:val="001834C5"/>
    <w:rsid w:val="001848B7"/>
    <w:rsid w:val="00187C66"/>
    <w:rsid w:val="001945FF"/>
    <w:rsid w:val="001A3E27"/>
    <w:rsid w:val="001A46FD"/>
    <w:rsid w:val="001A6999"/>
    <w:rsid w:val="001B7E5A"/>
    <w:rsid w:val="001C36F7"/>
    <w:rsid w:val="001C7493"/>
    <w:rsid w:val="001D5B3D"/>
    <w:rsid w:val="00203271"/>
    <w:rsid w:val="00221646"/>
    <w:rsid w:val="00225A7E"/>
    <w:rsid w:val="00235F92"/>
    <w:rsid w:val="00247EFD"/>
    <w:rsid w:val="00256646"/>
    <w:rsid w:val="00270579"/>
    <w:rsid w:val="00282D52"/>
    <w:rsid w:val="00284E67"/>
    <w:rsid w:val="00295AA2"/>
    <w:rsid w:val="002C6730"/>
    <w:rsid w:val="002D7730"/>
    <w:rsid w:val="002E6827"/>
    <w:rsid w:val="002F2EA9"/>
    <w:rsid w:val="003114A0"/>
    <w:rsid w:val="0031482C"/>
    <w:rsid w:val="00316B33"/>
    <w:rsid w:val="00317731"/>
    <w:rsid w:val="00321CCC"/>
    <w:rsid w:val="00343114"/>
    <w:rsid w:val="003447B6"/>
    <w:rsid w:val="0034525C"/>
    <w:rsid w:val="00360B4B"/>
    <w:rsid w:val="00375552"/>
    <w:rsid w:val="00385847"/>
    <w:rsid w:val="00390D0A"/>
    <w:rsid w:val="003A57A9"/>
    <w:rsid w:val="003C2CC5"/>
    <w:rsid w:val="003F2F44"/>
    <w:rsid w:val="00401013"/>
    <w:rsid w:val="00405342"/>
    <w:rsid w:val="00425375"/>
    <w:rsid w:val="00436B51"/>
    <w:rsid w:val="004410D2"/>
    <w:rsid w:val="00443C77"/>
    <w:rsid w:val="00446795"/>
    <w:rsid w:val="00452000"/>
    <w:rsid w:val="00471764"/>
    <w:rsid w:val="0048798E"/>
    <w:rsid w:val="00495C31"/>
    <w:rsid w:val="004B2E41"/>
    <w:rsid w:val="004C7583"/>
    <w:rsid w:val="004D30CE"/>
    <w:rsid w:val="004D5F6C"/>
    <w:rsid w:val="004E3146"/>
    <w:rsid w:val="00501524"/>
    <w:rsid w:val="00501C0D"/>
    <w:rsid w:val="005071A3"/>
    <w:rsid w:val="005077D5"/>
    <w:rsid w:val="005125E8"/>
    <w:rsid w:val="005139DD"/>
    <w:rsid w:val="0052294B"/>
    <w:rsid w:val="00524176"/>
    <w:rsid w:val="005833C3"/>
    <w:rsid w:val="005845F9"/>
    <w:rsid w:val="0058727B"/>
    <w:rsid w:val="00587E23"/>
    <w:rsid w:val="005B0E4F"/>
    <w:rsid w:val="005B67B3"/>
    <w:rsid w:val="005B79ED"/>
    <w:rsid w:val="005C472E"/>
    <w:rsid w:val="005C6D78"/>
    <w:rsid w:val="005D3707"/>
    <w:rsid w:val="005E3667"/>
    <w:rsid w:val="005E5B63"/>
    <w:rsid w:val="005F19D0"/>
    <w:rsid w:val="00604176"/>
    <w:rsid w:val="00605E30"/>
    <w:rsid w:val="006205EF"/>
    <w:rsid w:val="00620E12"/>
    <w:rsid w:val="006476FE"/>
    <w:rsid w:val="006477DF"/>
    <w:rsid w:val="006507A5"/>
    <w:rsid w:val="0065623B"/>
    <w:rsid w:val="0066483A"/>
    <w:rsid w:val="0066653D"/>
    <w:rsid w:val="006771F6"/>
    <w:rsid w:val="006815C9"/>
    <w:rsid w:val="0068204C"/>
    <w:rsid w:val="006B40AB"/>
    <w:rsid w:val="006C0B2D"/>
    <w:rsid w:val="006C2C90"/>
    <w:rsid w:val="006C58AF"/>
    <w:rsid w:val="006D41CB"/>
    <w:rsid w:val="006D5ACC"/>
    <w:rsid w:val="006D63EC"/>
    <w:rsid w:val="006E7046"/>
    <w:rsid w:val="006E7B73"/>
    <w:rsid w:val="0071185D"/>
    <w:rsid w:val="00731CF7"/>
    <w:rsid w:val="007410BF"/>
    <w:rsid w:val="00744B1F"/>
    <w:rsid w:val="00746819"/>
    <w:rsid w:val="00762B66"/>
    <w:rsid w:val="00774426"/>
    <w:rsid w:val="0078159F"/>
    <w:rsid w:val="00786273"/>
    <w:rsid w:val="00787FE9"/>
    <w:rsid w:val="007958A2"/>
    <w:rsid w:val="007A02E6"/>
    <w:rsid w:val="007A511E"/>
    <w:rsid w:val="007A576A"/>
    <w:rsid w:val="007B1692"/>
    <w:rsid w:val="007B6E75"/>
    <w:rsid w:val="007B6F78"/>
    <w:rsid w:val="007C31B3"/>
    <w:rsid w:val="007C3AFD"/>
    <w:rsid w:val="007E4EA8"/>
    <w:rsid w:val="008224A9"/>
    <w:rsid w:val="008326B5"/>
    <w:rsid w:val="008511EC"/>
    <w:rsid w:val="008605E8"/>
    <w:rsid w:val="00876345"/>
    <w:rsid w:val="008B2DAE"/>
    <w:rsid w:val="008C037C"/>
    <w:rsid w:val="00914AA6"/>
    <w:rsid w:val="009216F7"/>
    <w:rsid w:val="0094127C"/>
    <w:rsid w:val="00942B00"/>
    <w:rsid w:val="009819A9"/>
    <w:rsid w:val="009B0662"/>
    <w:rsid w:val="009B5A42"/>
    <w:rsid w:val="009C64C5"/>
    <w:rsid w:val="009C7E35"/>
    <w:rsid w:val="009D3AD3"/>
    <w:rsid w:val="009E0A78"/>
    <w:rsid w:val="009E5834"/>
    <w:rsid w:val="009F0FE3"/>
    <w:rsid w:val="009F287A"/>
    <w:rsid w:val="009F6C52"/>
    <w:rsid w:val="00A100CA"/>
    <w:rsid w:val="00A109EA"/>
    <w:rsid w:val="00A133E6"/>
    <w:rsid w:val="00A14436"/>
    <w:rsid w:val="00A1560A"/>
    <w:rsid w:val="00A301B7"/>
    <w:rsid w:val="00A3130E"/>
    <w:rsid w:val="00A4102B"/>
    <w:rsid w:val="00A50ED9"/>
    <w:rsid w:val="00A572EB"/>
    <w:rsid w:val="00A67714"/>
    <w:rsid w:val="00A71679"/>
    <w:rsid w:val="00A96471"/>
    <w:rsid w:val="00AA7AFB"/>
    <w:rsid w:val="00AA7CAE"/>
    <w:rsid w:val="00AC0C1A"/>
    <w:rsid w:val="00AC36D9"/>
    <w:rsid w:val="00B0397A"/>
    <w:rsid w:val="00B04C70"/>
    <w:rsid w:val="00B1391C"/>
    <w:rsid w:val="00B2151A"/>
    <w:rsid w:val="00B5058F"/>
    <w:rsid w:val="00B51992"/>
    <w:rsid w:val="00B52195"/>
    <w:rsid w:val="00B67FBE"/>
    <w:rsid w:val="00B73CFE"/>
    <w:rsid w:val="00B81AB4"/>
    <w:rsid w:val="00B9134D"/>
    <w:rsid w:val="00B93492"/>
    <w:rsid w:val="00B948D8"/>
    <w:rsid w:val="00BA3236"/>
    <w:rsid w:val="00BA4CE6"/>
    <w:rsid w:val="00BB643B"/>
    <w:rsid w:val="00BD39E5"/>
    <w:rsid w:val="00BD3B27"/>
    <w:rsid w:val="00BF6910"/>
    <w:rsid w:val="00C0590B"/>
    <w:rsid w:val="00C12C77"/>
    <w:rsid w:val="00C1618B"/>
    <w:rsid w:val="00C25D4F"/>
    <w:rsid w:val="00C3707F"/>
    <w:rsid w:val="00C4741A"/>
    <w:rsid w:val="00C575E4"/>
    <w:rsid w:val="00C73BD8"/>
    <w:rsid w:val="00C77AD8"/>
    <w:rsid w:val="00C77FCE"/>
    <w:rsid w:val="00CB23D0"/>
    <w:rsid w:val="00CE4630"/>
    <w:rsid w:val="00CE50DB"/>
    <w:rsid w:val="00CF6471"/>
    <w:rsid w:val="00D0557F"/>
    <w:rsid w:val="00D2188C"/>
    <w:rsid w:val="00D23CD6"/>
    <w:rsid w:val="00D31320"/>
    <w:rsid w:val="00D37737"/>
    <w:rsid w:val="00D430A1"/>
    <w:rsid w:val="00D51D71"/>
    <w:rsid w:val="00D713D7"/>
    <w:rsid w:val="00D77CE5"/>
    <w:rsid w:val="00D85DCC"/>
    <w:rsid w:val="00D97982"/>
    <w:rsid w:val="00DB364C"/>
    <w:rsid w:val="00DD1851"/>
    <w:rsid w:val="00E034D8"/>
    <w:rsid w:val="00E059FE"/>
    <w:rsid w:val="00E11E83"/>
    <w:rsid w:val="00E1576B"/>
    <w:rsid w:val="00E23358"/>
    <w:rsid w:val="00E432C2"/>
    <w:rsid w:val="00E523C3"/>
    <w:rsid w:val="00E86450"/>
    <w:rsid w:val="00EA51C9"/>
    <w:rsid w:val="00EB53FA"/>
    <w:rsid w:val="00EB6DFC"/>
    <w:rsid w:val="00EC25CB"/>
    <w:rsid w:val="00EC3C76"/>
    <w:rsid w:val="00EE4443"/>
    <w:rsid w:val="00EF4D8B"/>
    <w:rsid w:val="00F01B97"/>
    <w:rsid w:val="00F04BA2"/>
    <w:rsid w:val="00F50E80"/>
    <w:rsid w:val="00F5371D"/>
    <w:rsid w:val="00F637D6"/>
    <w:rsid w:val="00F705A4"/>
    <w:rsid w:val="00F733F5"/>
    <w:rsid w:val="00F97424"/>
    <w:rsid w:val="00FA010D"/>
    <w:rsid w:val="00FA19E3"/>
    <w:rsid w:val="00FA1C60"/>
    <w:rsid w:val="00FB2949"/>
    <w:rsid w:val="00FD1F0F"/>
    <w:rsid w:val="00FD3259"/>
    <w:rsid w:val="00FD43BE"/>
    <w:rsid w:val="00FE62AE"/>
    <w:rsid w:val="00FF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0B1F8"/>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uiPriority w:val="99"/>
    <w:semiHidden/>
    <w:rsid w:val="00C1618B"/>
    <w:rPr>
      <w:rFonts w:ascii="Times New Roman" w:hAnsi="Times New Roman" w:cs="Times New Roman"/>
      <w:sz w:val="24"/>
      <w:szCs w:val="24"/>
      <w:vertAlign w:val="superscript"/>
    </w:rPr>
  </w:style>
  <w:style w:type="paragraph" w:styleId="FootnoteText">
    <w:name w:val="footnote text"/>
    <w:basedOn w:val="Normal"/>
    <w:link w:val="FootnoteTextChar"/>
    <w:uiPriority w:val="99"/>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paragraph" w:styleId="NormalWeb">
    <w:name w:val="Normal (Web)"/>
    <w:basedOn w:val="Normal"/>
    <w:uiPriority w:val="99"/>
    <w:unhideWhenUsed/>
    <w:rsid w:val="007958A2"/>
    <w:pPr>
      <w:spacing w:before="100" w:beforeAutospacing="1" w:after="100" w:afterAutospacing="1"/>
    </w:pPr>
    <w:rPr>
      <w:szCs w:val="24"/>
      <w:lang w:eastAsia="en-AU"/>
    </w:rPr>
  </w:style>
  <w:style w:type="character" w:customStyle="1" w:styleId="ui-provider">
    <w:name w:val="ui-provider"/>
    <w:basedOn w:val="DefaultParagraphFont"/>
    <w:rsid w:val="000D32A8"/>
  </w:style>
  <w:style w:type="paragraph" w:styleId="ListParagraph">
    <w:name w:val="List Paragraph"/>
    <w:basedOn w:val="Normal"/>
    <w:uiPriority w:val="34"/>
    <w:qFormat/>
    <w:rsid w:val="00FF1DE9"/>
    <w:pPr>
      <w:ind w:left="720"/>
      <w:contextualSpacing/>
    </w:pPr>
  </w:style>
  <w:style w:type="character" w:customStyle="1" w:styleId="FootnoteTextChar">
    <w:name w:val="Footnote Text Char"/>
    <w:basedOn w:val="DefaultParagraphFont"/>
    <w:link w:val="FootnoteText"/>
    <w:uiPriority w:val="99"/>
    <w:rsid w:val="00EF4D8B"/>
    <w:rPr>
      <w:sz w:val="24"/>
      <w:szCs w:val="24"/>
      <w:lang w:eastAsia="en-US"/>
    </w:rPr>
  </w:style>
  <w:style w:type="paragraph" w:customStyle="1" w:styleId="CS-Paragraphnumbering">
    <w:name w:val="CS - Paragraph numbering"/>
    <w:basedOn w:val="Normal"/>
    <w:rsid w:val="00F637D6"/>
    <w:pPr>
      <w:numPr>
        <w:numId w:val="14"/>
      </w:numPr>
      <w:spacing w:after="120" w:line="276" w:lineRule="auto"/>
      <w:ind w:right="-45"/>
    </w:pPr>
    <w:rPr>
      <w:rFonts w:asciiTheme="minorHAnsi" w:eastAsiaTheme="minorHAnsi" w:hAnsiTheme="minorHAnsi" w:cstheme="minorBidi"/>
      <w:szCs w:val="24"/>
    </w:rPr>
  </w:style>
  <w:style w:type="paragraph" w:styleId="Revision">
    <w:name w:val="Revision"/>
    <w:hidden/>
    <w:uiPriority w:val="99"/>
    <w:semiHidden/>
    <w:rsid w:val="00746819"/>
    <w:rPr>
      <w:sz w:val="24"/>
      <w:lang w:eastAsia="en-US"/>
    </w:rPr>
  </w:style>
  <w:style w:type="character" w:styleId="CommentReference">
    <w:name w:val="annotation reference"/>
    <w:basedOn w:val="DefaultParagraphFont"/>
    <w:uiPriority w:val="99"/>
    <w:semiHidden/>
    <w:unhideWhenUsed/>
    <w:rsid w:val="00B2151A"/>
    <w:rPr>
      <w:sz w:val="16"/>
      <w:szCs w:val="16"/>
    </w:rPr>
  </w:style>
  <w:style w:type="paragraph" w:styleId="CommentText">
    <w:name w:val="annotation text"/>
    <w:basedOn w:val="Normal"/>
    <w:link w:val="CommentTextChar"/>
    <w:uiPriority w:val="99"/>
    <w:unhideWhenUsed/>
    <w:rsid w:val="00B2151A"/>
    <w:rPr>
      <w:sz w:val="20"/>
    </w:rPr>
  </w:style>
  <w:style w:type="character" w:customStyle="1" w:styleId="CommentTextChar">
    <w:name w:val="Comment Text Char"/>
    <w:basedOn w:val="DefaultParagraphFont"/>
    <w:link w:val="CommentText"/>
    <w:uiPriority w:val="99"/>
    <w:rsid w:val="00B2151A"/>
    <w:rPr>
      <w:lang w:eastAsia="en-US"/>
    </w:rPr>
  </w:style>
  <w:style w:type="paragraph" w:styleId="CommentSubject">
    <w:name w:val="annotation subject"/>
    <w:basedOn w:val="CommentText"/>
    <w:next w:val="CommentText"/>
    <w:link w:val="CommentSubjectChar"/>
    <w:uiPriority w:val="99"/>
    <w:semiHidden/>
    <w:unhideWhenUsed/>
    <w:rsid w:val="00B2151A"/>
    <w:rPr>
      <w:b/>
      <w:bCs/>
    </w:rPr>
  </w:style>
  <w:style w:type="character" w:customStyle="1" w:styleId="CommentSubjectChar">
    <w:name w:val="Comment Subject Char"/>
    <w:basedOn w:val="CommentTextChar"/>
    <w:link w:val="CommentSubject"/>
    <w:uiPriority w:val="99"/>
    <w:semiHidden/>
    <w:rsid w:val="00B2151A"/>
    <w:rPr>
      <w:b/>
      <w:bCs/>
      <w:lang w:eastAsia="en-US"/>
    </w:rPr>
  </w:style>
  <w:style w:type="character" w:styleId="UnresolvedMention">
    <w:name w:val="Unresolved Mention"/>
    <w:basedOn w:val="DefaultParagraphFont"/>
    <w:uiPriority w:val="99"/>
    <w:semiHidden/>
    <w:unhideWhenUsed/>
    <w:rsid w:val="00270579"/>
    <w:rPr>
      <w:color w:val="605E5C"/>
      <w:shd w:val="clear" w:color="auto" w:fill="E1DFDD"/>
    </w:rPr>
  </w:style>
  <w:style w:type="paragraph" w:customStyle="1" w:styleId="adefpara">
    <w:name w:val="adefpara"/>
    <w:basedOn w:val="Normal"/>
    <w:rsid w:val="000D2DF6"/>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49260">
      <w:bodyDiv w:val="1"/>
      <w:marLeft w:val="0"/>
      <w:marRight w:val="0"/>
      <w:marTop w:val="0"/>
      <w:marBottom w:val="0"/>
      <w:divBdr>
        <w:top w:val="none" w:sz="0" w:space="0" w:color="auto"/>
        <w:left w:val="none" w:sz="0" w:space="0" w:color="auto"/>
        <w:bottom w:val="none" w:sz="0" w:space="0" w:color="auto"/>
        <w:right w:val="none" w:sz="0" w:space="0" w:color="auto"/>
      </w:divBdr>
    </w:div>
    <w:div w:id="697707199">
      <w:bodyDiv w:val="1"/>
      <w:marLeft w:val="0"/>
      <w:marRight w:val="0"/>
      <w:marTop w:val="0"/>
      <w:marBottom w:val="0"/>
      <w:divBdr>
        <w:top w:val="none" w:sz="0" w:space="0" w:color="auto"/>
        <w:left w:val="none" w:sz="0" w:space="0" w:color="auto"/>
        <w:bottom w:val="none" w:sz="0" w:space="0" w:color="auto"/>
        <w:right w:val="none" w:sz="0" w:space="0" w:color="auto"/>
      </w:divBdr>
    </w:div>
    <w:div w:id="1184589522">
      <w:bodyDiv w:val="1"/>
      <w:marLeft w:val="0"/>
      <w:marRight w:val="0"/>
      <w:marTop w:val="0"/>
      <w:marBottom w:val="0"/>
      <w:divBdr>
        <w:top w:val="none" w:sz="0" w:space="0" w:color="auto"/>
        <w:left w:val="none" w:sz="0" w:space="0" w:color="auto"/>
        <w:bottom w:val="none" w:sz="0" w:space="0" w:color="auto"/>
        <w:right w:val="none" w:sz="0" w:space="0" w:color="auto"/>
      </w:divBdr>
    </w:div>
    <w:div w:id="1853296489">
      <w:bodyDiv w:val="1"/>
      <w:marLeft w:val="0"/>
      <w:marRight w:val="0"/>
      <w:marTop w:val="0"/>
      <w:marBottom w:val="0"/>
      <w:divBdr>
        <w:top w:val="none" w:sz="0" w:space="0" w:color="auto"/>
        <w:left w:val="none" w:sz="0" w:space="0" w:color="auto"/>
        <w:bottom w:val="none" w:sz="0" w:space="0" w:color="auto"/>
        <w:right w:val="none" w:sz="0" w:space="0" w:color="auto"/>
      </w:divBdr>
    </w:div>
    <w:div w:id="201309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D1613-8023-4896-A37A-35A091437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3129</Words>
  <Characters>16654</Characters>
  <Application>Microsoft Office Word</Application>
  <DocSecurity>0</DocSecurity>
  <Lines>345</Lines>
  <Paragraphs>141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2024-12-06T00:02:00Z</dcterms:created>
  <dcterms:modified xsi:type="dcterms:W3CDTF">2024-12-06T00:02:00Z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2024-08-08T04:11:07Z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a9a857b3-f0f8-4b52-95c2-0026c6e79ac2</vt:lpwstr>
  </property>
  <property fmtid="{D5CDD505-2E9C-101B-9397-08002B2CF9AE}" pid="8" name="MSIP_Label_69af8531-eb46-4968-8cb3-105d2f5ea87e_ContentBits">
    <vt:lpwstr>0</vt:lpwstr>
  </property>
</Properties>
</file>