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11C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95EA97" w14:textId="1ADE25F1" w:rsidR="00C17FAB" w:rsidRDefault="00E93DBA">
      <w:pPr>
        <w:pStyle w:val="Billname"/>
        <w:spacing w:before="700"/>
      </w:pPr>
      <w:r>
        <w:t xml:space="preserve">Unit Titles (Management) </w:t>
      </w:r>
      <w:r w:rsidR="00E747EF">
        <w:t xml:space="preserve">Sale </w:t>
      </w:r>
      <w:r>
        <w:t>Certificate Determination 20</w:t>
      </w:r>
      <w:r w:rsidR="00E731FF">
        <w:t>2</w:t>
      </w:r>
      <w:r w:rsidR="00701463">
        <w:t>4</w:t>
      </w:r>
      <w:r w:rsidR="003D636F">
        <w:t xml:space="preserve"> (No 2)</w:t>
      </w:r>
    </w:p>
    <w:p w14:paraId="225580E5" w14:textId="537B2D07" w:rsidR="00C17FAB" w:rsidRDefault="002D7C60" w:rsidP="00DA3B00">
      <w:pPr>
        <w:spacing w:before="340"/>
        <w:rPr>
          <w:rFonts w:ascii="Arial" w:hAnsi="Arial" w:cs="Arial"/>
          <w:b/>
          <w:bCs/>
        </w:rPr>
      </w:pPr>
      <w:r>
        <w:rPr>
          <w:rFonts w:ascii="Arial" w:hAnsi="Arial" w:cs="Arial"/>
          <w:b/>
          <w:bCs/>
        </w:rPr>
        <w:t>Disallowable instrument DI</w:t>
      </w:r>
      <w:r w:rsidR="00E93DBA">
        <w:rPr>
          <w:rFonts w:ascii="Arial" w:hAnsi="Arial" w:cs="Arial"/>
          <w:b/>
          <w:bCs/>
        </w:rPr>
        <w:t>20</w:t>
      </w:r>
      <w:r w:rsidR="00DC6F97">
        <w:rPr>
          <w:rFonts w:ascii="Arial" w:hAnsi="Arial" w:cs="Arial"/>
          <w:b/>
          <w:bCs/>
        </w:rPr>
        <w:t>2</w:t>
      </w:r>
      <w:r w:rsidR="001C0B0F">
        <w:rPr>
          <w:rFonts w:ascii="Arial" w:hAnsi="Arial" w:cs="Arial"/>
          <w:b/>
          <w:bCs/>
        </w:rPr>
        <w:t>4</w:t>
      </w:r>
      <w:r w:rsidR="00E93DBA">
        <w:rPr>
          <w:rFonts w:ascii="Arial" w:hAnsi="Arial" w:cs="Arial"/>
          <w:b/>
          <w:bCs/>
        </w:rPr>
        <w:t>-</w:t>
      </w:r>
      <w:r w:rsidR="001D6C95">
        <w:rPr>
          <w:rFonts w:ascii="Arial" w:hAnsi="Arial" w:cs="Arial"/>
          <w:b/>
          <w:bCs/>
        </w:rPr>
        <w:t>314</w:t>
      </w:r>
    </w:p>
    <w:p w14:paraId="453E8318" w14:textId="77777777" w:rsidR="00C17FAB" w:rsidRDefault="00C17FAB" w:rsidP="00DA3B00">
      <w:pPr>
        <w:pStyle w:val="madeunder"/>
        <w:spacing w:before="300" w:after="0"/>
      </w:pPr>
      <w:r>
        <w:t xml:space="preserve">made under the  </w:t>
      </w:r>
    </w:p>
    <w:p w14:paraId="0A380883" w14:textId="399EEB61" w:rsidR="00E93DBA" w:rsidRDefault="00E93DBA" w:rsidP="0043567C">
      <w:pPr>
        <w:pStyle w:val="CoverActName"/>
        <w:spacing w:before="320"/>
        <w:jc w:val="left"/>
        <w:rPr>
          <w:rFonts w:cs="Arial"/>
          <w:sz w:val="20"/>
        </w:rPr>
      </w:pPr>
      <w:r>
        <w:rPr>
          <w:rFonts w:cs="Arial"/>
          <w:sz w:val="20"/>
        </w:rPr>
        <w:t xml:space="preserve">Unit Titles (Management) Act 2011, s 119 (Unit </w:t>
      </w:r>
      <w:r w:rsidR="00FC54C9">
        <w:rPr>
          <w:rFonts w:cs="Arial"/>
          <w:sz w:val="20"/>
        </w:rPr>
        <w:t>t</w:t>
      </w:r>
      <w:r>
        <w:rPr>
          <w:rFonts w:cs="Arial"/>
          <w:sz w:val="20"/>
        </w:rPr>
        <w:t>itle certificate</w:t>
      </w:r>
      <w:r w:rsidR="00086A35">
        <w:rPr>
          <w:rFonts w:cs="Arial"/>
          <w:sz w:val="20"/>
        </w:rPr>
        <w:t>s)</w:t>
      </w:r>
    </w:p>
    <w:p w14:paraId="22AB466F" w14:textId="77777777" w:rsidR="00C17FAB" w:rsidRDefault="00C17FAB" w:rsidP="0043567C">
      <w:pPr>
        <w:spacing w:before="360"/>
        <w:rPr>
          <w:rFonts w:ascii="Arial" w:hAnsi="Arial" w:cs="Arial"/>
          <w:b/>
          <w:bCs/>
          <w:sz w:val="28"/>
          <w:szCs w:val="28"/>
        </w:rPr>
      </w:pPr>
      <w:r>
        <w:rPr>
          <w:rFonts w:ascii="Arial" w:hAnsi="Arial" w:cs="Arial"/>
          <w:b/>
          <w:bCs/>
          <w:sz w:val="28"/>
          <w:szCs w:val="28"/>
        </w:rPr>
        <w:t>EXPLANATORY STATEMENT</w:t>
      </w:r>
    </w:p>
    <w:p w14:paraId="1FB9D6AF" w14:textId="77777777" w:rsidR="00C17FAB" w:rsidRDefault="00C17FAB">
      <w:pPr>
        <w:pStyle w:val="N-line3"/>
        <w:pBdr>
          <w:bottom w:val="none" w:sz="0" w:space="0" w:color="auto"/>
        </w:pBdr>
      </w:pPr>
    </w:p>
    <w:p w14:paraId="376DC08E" w14:textId="77777777" w:rsidR="00C17FAB" w:rsidRDefault="00C17FAB">
      <w:pPr>
        <w:pStyle w:val="N-line3"/>
        <w:pBdr>
          <w:top w:val="single" w:sz="12" w:space="1" w:color="auto"/>
          <w:bottom w:val="none" w:sz="0" w:space="0" w:color="auto"/>
        </w:pBdr>
      </w:pPr>
    </w:p>
    <w:bookmarkEnd w:id="0"/>
    <w:p w14:paraId="7C16CA4F" w14:textId="57624FE3" w:rsidR="003D636F" w:rsidRDefault="003D636F" w:rsidP="003D636F">
      <w:pPr>
        <w:tabs>
          <w:tab w:val="left" w:pos="720"/>
          <w:tab w:val="left" w:pos="2880"/>
          <w:tab w:val="center" w:pos="4153"/>
          <w:tab w:val="right" w:pos="8306"/>
        </w:tabs>
        <w:jc w:val="both"/>
        <w:rPr>
          <w:rFonts w:eastAsia="SimSun"/>
          <w:bdr w:val="none" w:sz="0" w:space="0" w:color="auto" w:frame="1"/>
        </w:rPr>
      </w:pPr>
      <w:r w:rsidRPr="0083050F">
        <w:rPr>
          <w:rFonts w:eastAsia="SimSun"/>
          <w:bdr w:val="none" w:sz="0" w:space="0" w:color="auto" w:frame="1"/>
        </w:rPr>
        <w:t xml:space="preserve">The new determination repeals the </w:t>
      </w:r>
      <w:r>
        <w:rPr>
          <w:rFonts w:eastAsia="SimSun"/>
          <w:i/>
          <w:iCs/>
          <w:bdr w:val="none" w:sz="0" w:space="0" w:color="auto" w:frame="1"/>
        </w:rPr>
        <w:t>Unit Titles (Management)</w:t>
      </w:r>
      <w:r w:rsidRPr="0083050F">
        <w:rPr>
          <w:rFonts w:eastAsia="SimSun"/>
          <w:i/>
          <w:iCs/>
          <w:bdr w:val="none" w:sz="0" w:space="0" w:color="auto" w:frame="1"/>
        </w:rPr>
        <w:t xml:space="preserve"> </w:t>
      </w:r>
      <w:r>
        <w:rPr>
          <w:rFonts w:eastAsia="SimSun"/>
          <w:i/>
          <w:iCs/>
          <w:bdr w:val="none" w:sz="0" w:space="0" w:color="auto" w:frame="1"/>
        </w:rPr>
        <w:t>Sale Certificate</w:t>
      </w:r>
      <w:r w:rsidRPr="0083050F">
        <w:rPr>
          <w:rFonts w:eastAsia="SimSun"/>
          <w:i/>
          <w:iCs/>
          <w:bdr w:val="none" w:sz="0" w:space="0" w:color="auto" w:frame="1"/>
        </w:rPr>
        <w:t xml:space="preserve"> Determination 202</w:t>
      </w:r>
      <w:r>
        <w:rPr>
          <w:rFonts w:eastAsia="SimSun"/>
          <w:i/>
          <w:iCs/>
          <w:bdr w:val="none" w:sz="0" w:space="0" w:color="auto" w:frame="1"/>
        </w:rPr>
        <w:t>4</w:t>
      </w:r>
      <w:r w:rsidRPr="0083050F">
        <w:rPr>
          <w:rFonts w:eastAsia="SimSun"/>
          <w:bdr w:val="none" w:sz="0" w:space="0" w:color="auto" w:frame="1"/>
        </w:rPr>
        <w:t xml:space="preserve"> DI202</w:t>
      </w:r>
      <w:r>
        <w:rPr>
          <w:rFonts w:eastAsia="SimSun"/>
          <w:bdr w:val="none" w:sz="0" w:space="0" w:color="auto" w:frame="1"/>
        </w:rPr>
        <w:t>4-219</w:t>
      </w:r>
      <w:r w:rsidRPr="0083050F">
        <w:rPr>
          <w:rFonts w:eastAsia="SimSun"/>
          <w:bdr w:val="none" w:sz="0" w:space="0" w:color="auto" w:frame="1"/>
        </w:rPr>
        <w:t xml:space="preserve">. </w:t>
      </w:r>
    </w:p>
    <w:p w14:paraId="0E2D6779" w14:textId="77777777" w:rsidR="003D636F" w:rsidRDefault="003D636F" w:rsidP="003D636F">
      <w:pPr>
        <w:tabs>
          <w:tab w:val="left" w:pos="720"/>
          <w:tab w:val="left" w:pos="2880"/>
          <w:tab w:val="center" w:pos="4153"/>
          <w:tab w:val="right" w:pos="8306"/>
        </w:tabs>
        <w:jc w:val="both"/>
        <w:rPr>
          <w:rFonts w:eastAsia="SimSun"/>
          <w:bdr w:val="none" w:sz="0" w:space="0" w:color="auto" w:frame="1"/>
        </w:rPr>
      </w:pPr>
    </w:p>
    <w:p w14:paraId="578F3925" w14:textId="74113439" w:rsidR="00DF40A6" w:rsidRDefault="009D50CC" w:rsidP="009F0E87">
      <w:pPr>
        <w:spacing w:after="200"/>
      </w:pPr>
      <w:r>
        <w:rPr>
          <w:iCs/>
        </w:rPr>
        <w:t>The new</w:t>
      </w:r>
      <w:r w:rsidRPr="000F749B">
        <w:rPr>
          <w:i/>
        </w:rPr>
        <w:t xml:space="preserve"> Unit Titles (Management)</w:t>
      </w:r>
      <w:r w:rsidR="00BD1215">
        <w:rPr>
          <w:i/>
        </w:rPr>
        <w:t xml:space="preserve"> Sale</w:t>
      </w:r>
      <w:r w:rsidRPr="000F749B">
        <w:rPr>
          <w:i/>
        </w:rPr>
        <w:t xml:space="preserve"> Certificate Determination 20</w:t>
      </w:r>
      <w:r>
        <w:rPr>
          <w:i/>
        </w:rPr>
        <w:t>24</w:t>
      </w:r>
      <w:r w:rsidR="00574B8A">
        <w:rPr>
          <w:i/>
        </w:rPr>
        <w:t xml:space="preserve"> (No 2)</w:t>
      </w:r>
      <w:r>
        <w:t xml:space="preserve"> prescribes the information that must be provided in </w:t>
      </w:r>
      <w:r w:rsidR="004459EF">
        <w:t xml:space="preserve">a </w:t>
      </w:r>
      <w:r>
        <w:t>unit title</w:t>
      </w:r>
      <w:r w:rsidR="00BD1215">
        <w:t xml:space="preserve"> sale</w:t>
      </w:r>
      <w:r>
        <w:t xml:space="preserve"> certificate </w:t>
      </w:r>
      <w:r w:rsidR="005622B4">
        <w:t xml:space="preserve">and a unit title sale update certificate </w:t>
      </w:r>
      <w:r>
        <w:t>issued under section</w:t>
      </w:r>
      <w:r w:rsidR="00FB1EF9">
        <w:t xml:space="preserve"> </w:t>
      </w:r>
      <w:r>
        <w:t>119</w:t>
      </w:r>
      <w:r w:rsidR="00FB1EF9">
        <w:t xml:space="preserve"> </w:t>
      </w:r>
      <w:r>
        <w:t xml:space="preserve">(1) </w:t>
      </w:r>
      <w:r w:rsidR="00C16747">
        <w:t xml:space="preserve">(a) and (b) </w:t>
      </w:r>
      <w:r>
        <w:t>of the Act</w:t>
      </w:r>
      <w:r w:rsidR="00C16747">
        <w:t xml:space="preserve"> respectively</w:t>
      </w:r>
      <w:r>
        <w:t xml:space="preserve">. </w:t>
      </w:r>
    </w:p>
    <w:p w14:paraId="548643D8" w14:textId="4A05F178" w:rsidR="005622B4" w:rsidRDefault="0041196C" w:rsidP="009F0E87">
      <w:pPr>
        <w:spacing w:after="200"/>
      </w:pPr>
      <w:r>
        <w:rPr>
          <w:iCs/>
        </w:rPr>
        <w:t>The previous determination (</w:t>
      </w:r>
      <w:r w:rsidRPr="00B70917">
        <w:rPr>
          <w:i/>
        </w:rPr>
        <w:t xml:space="preserve">Unit Titles (Management) </w:t>
      </w:r>
      <w:r w:rsidR="00335388">
        <w:rPr>
          <w:i/>
        </w:rPr>
        <w:t xml:space="preserve">Sale </w:t>
      </w:r>
      <w:r w:rsidRPr="00B70917">
        <w:rPr>
          <w:i/>
        </w:rPr>
        <w:t>Certificate Determination 202</w:t>
      </w:r>
      <w:r>
        <w:rPr>
          <w:i/>
        </w:rPr>
        <w:t>4</w:t>
      </w:r>
      <w:r>
        <w:rPr>
          <w:iCs/>
        </w:rPr>
        <w:t xml:space="preserve"> DI2024-219) introduced new requirements for an owners corporation to disclose information about regulated swimming pools on common property (previous section (m)) as well as information about embedded networks within the units plan (previous section (n)).</w:t>
      </w:r>
      <w:r w:rsidR="00E82B18">
        <w:rPr>
          <w:iCs/>
        </w:rPr>
        <w:t xml:space="preserve"> </w:t>
      </w:r>
      <w:r>
        <w:t xml:space="preserve">The new determination updates </w:t>
      </w:r>
      <w:r w:rsidR="00335388">
        <w:t xml:space="preserve">both these provisions for </w:t>
      </w:r>
      <w:r w:rsidR="00981BA5">
        <w:t xml:space="preserve">further </w:t>
      </w:r>
      <w:r w:rsidR="00335388">
        <w:t xml:space="preserve">clarity </w:t>
      </w:r>
      <w:r w:rsidR="00981BA5">
        <w:t xml:space="preserve">as well as </w:t>
      </w:r>
      <w:r w:rsidR="00335388">
        <w:t xml:space="preserve">consistency with the new </w:t>
      </w:r>
      <w:r w:rsidR="00335388" w:rsidRPr="00335388">
        <w:rPr>
          <w:i/>
          <w:iCs/>
        </w:rPr>
        <w:t>Unit Titles (Management) Rental Certificate Determination 2024</w:t>
      </w:r>
      <w:r w:rsidR="00335388">
        <w:t>.</w:t>
      </w:r>
    </w:p>
    <w:p w14:paraId="0AA43762" w14:textId="312A598F" w:rsidR="00FB1EF9" w:rsidRPr="00B70917" w:rsidRDefault="00FB1EF9" w:rsidP="009F0E87">
      <w:pPr>
        <w:spacing w:after="200"/>
        <w:rPr>
          <w:u w:val="single"/>
        </w:rPr>
      </w:pPr>
      <w:r w:rsidRPr="00B70917">
        <w:rPr>
          <w:u w:val="single"/>
        </w:rPr>
        <w:t>Information about regulated swimming pools on common property</w:t>
      </w:r>
      <w:r w:rsidR="00E82B18">
        <w:rPr>
          <w:u w:val="single"/>
        </w:rPr>
        <w:t xml:space="preserve"> – </w:t>
      </w:r>
      <w:r w:rsidR="009E12A1">
        <w:rPr>
          <w:u w:val="single"/>
        </w:rPr>
        <w:t xml:space="preserve">new </w:t>
      </w:r>
      <w:r w:rsidR="00E82B18">
        <w:rPr>
          <w:u w:val="single"/>
        </w:rPr>
        <w:t>section</w:t>
      </w:r>
      <w:r w:rsidR="009E12A1">
        <w:rPr>
          <w:u w:val="single"/>
        </w:rPr>
        <w:t>s 13,</w:t>
      </w:r>
      <w:r w:rsidR="00E82B18">
        <w:rPr>
          <w:u w:val="single"/>
        </w:rPr>
        <w:t xml:space="preserve"> 1</w:t>
      </w:r>
      <w:r w:rsidR="009E12A1">
        <w:rPr>
          <w:u w:val="single"/>
        </w:rPr>
        <w:t>4 and 15</w:t>
      </w:r>
    </w:p>
    <w:p w14:paraId="37B183E9" w14:textId="77777777" w:rsidR="00A90D92" w:rsidRDefault="00480AD6" w:rsidP="009F0E87">
      <w:pPr>
        <w:spacing w:after="200"/>
        <w:rPr>
          <w:iCs/>
        </w:rPr>
      </w:pPr>
      <w:r>
        <w:rPr>
          <w:iCs/>
        </w:rPr>
        <w:t>S</w:t>
      </w:r>
      <w:r w:rsidR="00335388">
        <w:rPr>
          <w:iCs/>
        </w:rPr>
        <w:t xml:space="preserve">ection </w:t>
      </w:r>
      <w:r w:rsidR="00DA64A1">
        <w:t xml:space="preserve">9 (1) (k) </w:t>
      </w:r>
      <w:r w:rsidR="00335388">
        <w:rPr>
          <w:iCs/>
        </w:rPr>
        <w:t xml:space="preserve">of the </w:t>
      </w:r>
      <w:r w:rsidR="00335388" w:rsidRPr="00086A35">
        <w:rPr>
          <w:i/>
        </w:rPr>
        <w:t>Civil Law (Sale of Residential Property) Act 2003</w:t>
      </w:r>
      <w:r w:rsidR="00335388" w:rsidRPr="00FF5D61">
        <w:rPr>
          <w:iCs/>
        </w:rPr>
        <w:t xml:space="preserve"> </w:t>
      </w:r>
      <w:r w:rsidR="00335388" w:rsidRPr="00C50B47">
        <w:rPr>
          <w:iCs/>
        </w:rPr>
        <w:t>(</w:t>
      </w:r>
      <w:r w:rsidR="00335388">
        <w:rPr>
          <w:iCs/>
        </w:rPr>
        <w:t xml:space="preserve">the </w:t>
      </w:r>
      <w:r w:rsidR="00335388" w:rsidRPr="00C50B47">
        <w:rPr>
          <w:b/>
          <w:bCs/>
          <w:iCs/>
        </w:rPr>
        <w:t>CLSRP Act</w:t>
      </w:r>
      <w:r w:rsidR="00335388" w:rsidRPr="00C50B47">
        <w:rPr>
          <w:iCs/>
        </w:rPr>
        <w:t>)</w:t>
      </w:r>
      <w:r w:rsidR="00DA64A1">
        <w:rPr>
          <w:iCs/>
        </w:rPr>
        <w:t xml:space="preserve"> </w:t>
      </w:r>
      <w:r w:rsidR="004F48CC">
        <w:rPr>
          <w:iCs/>
        </w:rPr>
        <w:t xml:space="preserve">compels </w:t>
      </w:r>
      <w:r w:rsidR="00DA64A1">
        <w:rPr>
          <w:iCs/>
        </w:rPr>
        <w:t xml:space="preserve">the </w:t>
      </w:r>
      <w:r w:rsidR="004F48CC">
        <w:rPr>
          <w:iCs/>
        </w:rPr>
        <w:t xml:space="preserve">disclosure of information within a contract for sale if a </w:t>
      </w:r>
      <w:r w:rsidR="00DA64A1">
        <w:rPr>
          <w:iCs/>
        </w:rPr>
        <w:t xml:space="preserve">regulated swimming pool </w:t>
      </w:r>
      <w:r w:rsidR="004F48CC">
        <w:rPr>
          <w:iCs/>
        </w:rPr>
        <w:t xml:space="preserve">is </w:t>
      </w:r>
      <w:r w:rsidR="00DA64A1">
        <w:rPr>
          <w:iCs/>
        </w:rPr>
        <w:t>located on the property</w:t>
      </w:r>
      <w:r w:rsidR="004F48CC">
        <w:rPr>
          <w:iCs/>
        </w:rPr>
        <w:t xml:space="preserve"> covered under the contract</w:t>
      </w:r>
      <w:r w:rsidR="00375C0C">
        <w:rPr>
          <w:iCs/>
        </w:rPr>
        <w:t xml:space="preserve">. </w:t>
      </w:r>
      <w:r w:rsidR="00DA64A1">
        <w:rPr>
          <w:iCs/>
        </w:rPr>
        <w:t xml:space="preserve">The information that must be provided is prescribed by regulation. </w:t>
      </w:r>
    </w:p>
    <w:p w14:paraId="05FCBDFE" w14:textId="40ADDC68" w:rsidR="006851D3" w:rsidRDefault="00A90D92" w:rsidP="009F0E87">
      <w:pPr>
        <w:spacing w:after="200"/>
        <w:rPr>
          <w:iCs/>
        </w:rPr>
      </w:pPr>
      <w:r>
        <w:rPr>
          <w:iCs/>
        </w:rPr>
        <w:t>T</w:t>
      </w:r>
      <w:r w:rsidR="007F5FC8">
        <w:rPr>
          <w:iCs/>
        </w:rPr>
        <w:t>he</w:t>
      </w:r>
      <w:r w:rsidR="009E12A1">
        <w:rPr>
          <w:iCs/>
        </w:rPr>
        <w:t xml:space="preserve"> previous determination included the requirement for information to be disclosed with reference to section (9) (1) (k) of the CLSRP Act. </w:t>
      </w:r>
    </w:p>
    <w:p w14:paraId="28942439" w14:textId="53EC088E" w:rsidR="008C02CC" w:rsidRDefault="008C02CC" w:rsidP="009F0E87">
      <w:pPr>
        <w:spacing w:after="200"/>
        <w:rPr>
          <w:iCs/>
        </w:rPr>
      </w:pPr>
      <w:r>
        <w:rPr>
          <w:iCs/>
        </w:rPr>
        <w:t>The new determination</w:t>
      </w:r>
      <w:r w:rsidR="007F5FC8">
        <w:rPr>
          <w:iCs/>
        </w:rPr>
        <w:t xml:space="preserve"> updates the previous requirement by</w:t>
      </w:r>
      <w:r>
        <w:rPr>
          <w:iCs/>
        </w:rPr>
        <w:t xml:space="preserve"> replicat</w:t>
      </w:r>
      <w:r w:rsidR="007F5FC8">
        <w:rPr>
          <w:iCs/>
        </w:rPr>
        <w:t>ing</w:t>
      </w:r>
      <w:r>
        <w:rPr>
          <w:iCs/>
        </w:rPr>
        <w:t xml:space="preserve"> </w:t>
      </w:r>
      <w:r w:rsidR="00375C0C">
        <w:rPr>
          <w:iCs/>
        </w:rPr>
        <w:t xml:space="preserve">section 10B of the </w:t>
      </w:r>
      <w:r w:rsidR="00375C0C" w:rsidRPr="00375C0C">
        <w:rPr>
          <w:i/>
        </w:rPr>
        <w:t>Civil Law (Sale of Residential Property) Regulation 2004</w:t>
      </w:r>
      <w:r w:rsidR="00A90D92">
        <w:rPr>
          <w:i/>
        </w:rPr>
        <w:t xml:space="preserve">. </w:t>
      </w:r>
      <w:r w:rsidR="00A90D92">
        <w:rPr>
          <w:iCs/>
        </w:rPr>
        <w:t xml:space="preserve">However the information in the new unit title rental certificate </w:t>
      </w:r>
      <w:r w:rsidR="00375C0C">
        <w:rPr>
          <w:iCs/>
        </w:rPr>
        <w:t>clarif</w:t>
      </w:r>
      <w:r w:rsidR="00A90D92">
        <w:rPr>
          <w:iCs/>
        </w:rPr>
        <w:t xml:space="preserve">ies that the information that the owners corporation must provide is information </w:t>
      </w:r>
      <w:r w:rsidR="00375C0C">
        <w:rPr>
          <w:iCs/>
        </w:rPr>
        <w:t>in relation to a regulated swimming pool that is located within the common property of a units plan</w:t>
      </w:r>
      <w:r w:rsidR="00A90D92">
        <w:rPr>
          <w:iCs/>
        </w:rPr>
        <w:t xml:space="preserve"> (not any regulated pools that are within the unit boundary)</w:t>
      </w:r>
      <w:r w:rsidR="00375C0C">
        <w:rPr>
          <w:iCs/>
        </w:rPr>
        <w:t xml:space="preserve">. This </w:t>
      </w:r>
      <w:r w:rsidR="00E82B18">
        <w:rPr>
          <w:iCs/>
        </w:rPr>
        <w:t xml:space="preserve">will </w:t>
      </w:r>
      <w:r w:rsidR="00375C0C">
        <w:rPr>
          <w:iCs/>
        </w:rPr>
        <w:t xml:space="preserve">help clarify what information an owners corporation must include in the unit title sale certificate and unit title sale </w:t>
      </w:r>
      <w:r w:rsidR="00375C0C">
        <w:rPr>
          <w:iCs/>
        </w:rPr>
        <w:lastRenderedPageBreak/>
        <w:t>update certificate</w:t>
      </w:r>
      <w:r w:rsidR="00E82B18">
        <w:rPr>
          <w:iCs/>
        </w:rPr>
        <w:t xml:space="preserve"> if the units plan has a regulated swimming pool located within their common property</w:t>
      </w:r>
      <w:r w:rsidR="00375C0C">
        <w:rPr>
          <w:iCs/>
        </w:rPr>
        <w:t>.</w:t>
      </w:r>
      <w:r w:rsidR="002D4F76">
        <w:rPr>
          <w:iCs/>
        </w:rPr>
        <w:t xml:space="preserve"> </w:t>
      </w:r>
    </w:p>
    <w:p w14:paraId="515DEC40" w14:textId="2FED9761" w:rsidR="006851D3" w:rsidRDefault="00A90D92" w:rsidP="009F0E87">
      <w:pPr>
        <w:spacing w:after="200"/>
        <w:rPr>
          <w:iCs/>
        </w:rPr>
      </w:pPr>
      <w:r>
        <w:rPr>
          <w:iCs/>
        </w:rPr>
        <w:t>W</w:t>
      </w:r>
      <w:r w:rsidR="006851D3">
        <w:rPr>
          <w:iCs/>
        </w:rPr>
        <w:t>here a regulated swimming pool is located within a unit boundary</w:t>
      </w:r>
      <w:r>
        <w:rPr>
          <w:iCs/>
        </w:rPr>
        <w:t>,</w:t>
      </w:r>
      <w:r w:rsidR="006851D3">
        <w:rPr>
          <w:iCs/>
        </w:rPr>
        <w:t xml:space="preserve"> the unit owner is responsible for the compliance and disclosure of information related to any regulated swimming pool located within their unit.</w:t>
      </w:r>
    </w:p>
    <w:p w14:paraId="0944DB57" w14:textId="54E4EBA9" w:rsidR="00FB1EF9" w:rsidRDefault="00FB1EF9" w:rsidP="00B70917">
      <w:pPr>
        <w:spacing w:after="200"/>
        <w:rPr>
          <w:iCs/>
        </w:rPr>
      </w:pPr>
      <w:r w:rsidRPr="00C50B47">
        <w:rPr>
          <w:u w:val="single"/>
        </w:rPr>
        <w:t xml:space="preserve">Information about </w:t>
      </w:r>
      <w:r>
        <w:rPr>
          <w:u w:val="single"/>
        </w:rPr>
        <w:t>embedded networks within the units plan</w:t>
      </w:r>
      <w:r w:rsidR="00E82B18">
        <w:rPr>
          <w:u w:val="single"/>
        </w:rPr>
        <w:t xml:space="preserve"> – </w:t>
      </w:r>
      <w:r w:rsidR="009E12A1">
        <w:rPr>
          <w:u w:val="single"/>
        </w:rPr>
        <w:t xml:space="preserve">new </w:t>
      </w:r>
      <w:r w:rsidR="00E82B18">
        <w:rPr>
          <w:u w:val="single"/>
        </w:rPr>
        <w:t>sections 1</w:t>
      </w:r>
      <w:r w:rsidR="009E12A1">
        <w:rPr>
          <w:u w:val="single"/>
        </w:rPr>
        <w:t>6</w:t>
      </w:r>
      <w:r w:rsidR="00E82B18">
        <w:rPr>
          <w:u w:val="single"/>
        </w:rPr>
        <w:t xml:space="preserve"> and 1</w:t>
      </w:r>
      <w:r w:rsidR="009E12A1">
        <w:rPr>
          <w:u w:val="single"/>
        </w:rPr>
        <w:t>7</w:t>
      </w:r>
    </w:p>
    <w:p w14:paraId="5F1CB6B7" w14:textId="45979617" w:rsidR="005254E5" w:rsidRDefault="00DF40A6" w:rsidP="00DF40A6">
      <w:pPr>
        <w:spacing w:after="240"/>
        <w:rPr>
          <w:iCs/>
        </w:rPr>
      </w:pPr>
      <w:r>
        <w:rPr>
          <w:iCs/>
        </w:rPr>
        <w:t>Th</w:t>
      </w:r>
      <w:r w:rsidR="00E82B18">
        <w:rPr>
          <w:iCs/>
        </w:rPr>
        <w:t>e new d</w:t>
      </w:r>
      <w:r w:rsidR="00C222B9">
        <w:rPr>
          <w:iCs/>
        </w:rPr>
        <w:t xml:space="preserve">etermination </w:t>
      </w:r>
      <w:r w:rsidR="00E82B18">
        <w:rPr>
          <w:iCs/>
        </w:rPr>
        <w:t xml:space="preserve">updates the </w:t>
      </w:r>
      <w:r w:rsidR="00C222B9">
        <w:rPr>
          <w:iCs/>
        </w:rPr>
        <w:t>disclosure requiremen</w:t>
      </w:r>
      <w:r w:rsidR="005B324C">
        <w:rPr>
          <w:iCs/>
        </w:rPr>
        <w:t>t</w:t>
      </w:r>
      <w:r w:rsidR="00E82B18">
        <w:rPr>
          <w:iCs/>
        </w:rPr>
        <w:t>s</w:t>
      </w:r>
      <w:r w:rsidR="00C222B9">
        <w:rPr>
          <w:iCs/>
        </w:rPr>
        <w:t xml:space="preserve"> in relation to </w:t>
      </w:r>
      <w:r w:rsidR="00E82B18">
        <w:rPr>
          <w:iCs/>
        </w:rPr>
        <w:t xml:space="preserve">any </w:t>
      </w:r>
      <w:r w:rsidR="00C222B9">
        <w:rPr>
          <w:iCs/>
        </w:rPr>
        <w:t>embedded networks</w:t>
      </w:r>
      <w:r w:rsidR="00E82B18">
        <w:rPr>
          <w:iCs/>
        </w:rPr>
        <w:t xml:space="preserve"> which may exist </w:t>
      </w:r>
      <w:r w:rsidR="004F48CC">
        <w:rPr>
          <w:iCs/>
        </w:rPr>
        <w:t>within a units plan</w:t>
      </w:r>
      <w:r w:rsidR="00C222B9">
        <w:rPr>
          <w:iCs/>
        </w:rPr>
        <w:t xml:space="preserve">. </w:t>
      </w:r>
      <w:r w:rsidR="004F48CC">
        <w:rPr>
          <w:iCs/>
        </w:rPr>
        <w:t>The new determination makes the distinction between electrical embedded networks (section 14) and any utility service</w:t>
      </w:r>
      <w:r w:rsidR="00454E55">
        <w:rPr>
          <w:iCs/>
        </w:rPr>
        <w:t>s</w:t>
      </w:r>
      <w:r w:rsidR="004F48CC">
        <w:rPr>
          <w:iCs/>
        </w:rPr>
        <w:t xml:space="preserve"> subject to an embedded network </w:t>
      </w:r>
      <w:r w:rsidR="002C135E">
        <w:rPr>
          <w:iCs/>
        </w:rPr>
        <w:t xml:space="preserve">where the owner must contribute to </w:t>
      </w:r>
      <w:r w:rsidR="00071A18">
        <w:rPr>
          <w:iCs/>
        </w:rPr>
        <w:t xml:space="preserve">the cost of </w:t>
      </w:r>
      <w:r w:rsidR="002C135E">
        <w:rPr>
          <w:iCs/>
        </w:rPr>
        <w:t>their us</w:t>
      </w:r>
      <w:r w:rsidR="00071A18">
        <w:rPr>
          <w:iCs/>
        </w:rPr>
        <w:t>e</w:t>
      </w:r>
      <w:r w:rsidR="002C135E">
        <w:rPr>
          <w:iCs/>
        </w:rPr>
        <w:t xml:space="preserve"> </w:t>
      </w:r>
      <w:r w:rsidR="004F48CC">
        <w:rPr>
          <w:iCs/>
        </w:rPr>
        <w:t xml:space="preserve">(section 15). This change has occurred to </w:t>
      </w:r>
      <w:r w:rsidR="00454E55">
        <w:rPr>
          <w:iCs/>
        </w:rPr>
        <w:t>reflect varying circumstances related to embedded networks within a unit</w:t>
      </w:r>
      <w:r w:rsidR="00071A18">
        <w:rPr>
          <w:iCs/>
        </w:rPr>
        <w:t>s</w:t>
      </w:r>
      <w:r w:rsidR="00454E55">
        <w:rPr>
          <w:iCs/>
        </w:rPr>
        <w:t xml:space="preserve"> plan. </w:t>
      </w:r>
    </w:p>
    <w:p w14:paraId="5D625CFB" w14:textId="20FE1B5A" w:rsidR="004F48CC" w:rsidRDefault="00454E55" w:rsidP="00DF40A6">
      <w:pPr>
        <w:spacing w:after="240"/>
        <w:rPr>
          <w:iCs/>
        </w:rPr>
      </w:pPr>
      <w:r>
        <w:rPr>
          <w:iCs/>
        </w:rPr>
        <w:t>For electric</w:t>
      </w:r>
      <w:r w:rsidR="00D22DBA">
        <w:rPr>
          <w:iCs/>
        </w:rPr>
        <w:t>al embedded networks</w:t>
      </w:r>
      <w:r>
        <w:rPr>
          <w:iCs/>
        </w:rPr>
        <w:t xml:space="preserve">, </w:t>
      </w:r>
      <w:r w:rsidR="00D22DBA">
        <w:rPr>
          <w:iCs/>
        </w:rPr>
        <w:t>buyers</w:t>
      </w:r>
      <w:r>
        <w:rPr>
          <w:iCs/>
        </w:rPr>
        <w:t xml:space="preserve"> will need to be aware of which retailer they will need to engage with for the electricity supply to the unit.</w:t>
      </w:r>
      <w:r w:rsidR="002C135E">
        <w:rPr>
          <w:iCs/>
        </w:rPr>
        <w:t xml:space="preserve"> However, other </w:t>
      </w:r>
      <w:r>
        <w:rPr>
          <w:iCs/>
        </w:rPr>
        <w:t>utility service</w:t>
      </w:r>
      <w:r w:rsidR="002C135E">
        <w:rPr>
          <w:iCs/>
        </w:rPr>
        <w:t>s</w:t>
      </w:r>
      <w:r>
        <w:rPr>
          <w:iCs/>
        </w:rPr>
        <w:t xml:space="preserve"> within a units plan may be subject to an embedded network where owner ha</w:t>
      </w:r>
      <w:r w:rsidR="002C135E">
        <w:rPr>
          <w:iCs/>
        </w:rPr>
        <w:t>s</w:t>
      </w:r>
      <w:r>
        <w:rPr>
          <w:iCs/>
        </w:rPr>
        <w:t xml:space="preserve"> little to no choice of service providers</w:t>
      </w:r>
      <w:r w:rsidR="002C135E">
        <w:rPr>
          <w:iCs/>
        </w:rPr>
        <w:t>. This generally occurs in situations where the embedded network is for a central system used by all units within the units plan</w:t>
      </w:r>
      <w:r w:rsidR="00A90D92">
        <w:rPr>
          <w:iCs/>
        </w:rPr>
        <w:t xml:space="preserve"> such as a system to heat hot water</w:t>
      </w:r>
      <w:r w:rsidR="002C135E">
        <w:rPr>
          <w:iCs/>
        </w:rPr>
        <w:t xml:space="preserve">. The new determination </w:t>
      </w:r>
      <w:r w:rsidR="005254E5">
        <w:rPr>
          <w:iCs/>
        </w:rPr>
        <w:t>provides</w:t>
      </w:r>
      <w:r w:rsidR="002C135E">
        <w:rPr>
          <w:iCs/>
        </w:rPr>
        <w:t xml:space="preserve"> an example of this for further clarity.</w:t>
      </w:r>
    </w:p>
    <w:p w14:paraId="3AC0A7A5" w14:textId="0262E3C0" w:rsidR="008C02CC" w:rsidRDefault="008C02CC" w:rsidP="00DF40A6">
      <w:pPr>
        <w:spacing w:after="240"/>
        <w:rPr>
          <w:iCs/>
        </w:rPr>
      </w:pPr>
      <w:r>
        <w:rPr>
          <w:iCs/>
        </w:rPr>
        <w:t xml:space="preserve">The new determination </w:t>
      </w:r>
      <w:r w:rsidR="00071A18">
        <w:rPr>
          <w:iCs/>
        </w:rPr>
        <w:t xml:space="preserve">also </w:t>
      </w:r>
      <w:r>
        <w:rPr>
          <w:iCs/>
        </w:rPr>
        <w:t xml:space="preserve">includes a new </w:t>
      </w:r>
      <w:r w:rsidR="00375C0C">
        <w:rPr>
          <w:iCs/>
        </w:rPr>
        <w:t xml:space="preserve">separate </w:t>
      </w:r>
      <w:r>
        <w:rPr>
          <w:iCs/>
        </w:rPr>
        <w:t xml:space="preserve">section </w:t>
      </w:r>
      <w:r w:rsidR="009E12A1">
        <w:rPr>
          <w:iCs/>
        </w:rPr>
        <w:t xml:space="preserve">4, </w:t>
      </w:r>
      <w:r w:rsidR="00375C0C">
        <w:rPr>
          <w:iCs/>
        </w:rPr>
        <w:t xml:space="preserve">setting out </w:t>
      </w:r>
      <w:r w:rsidR="009E12A1">
        <w:rPr>
          <w:iCs/>
        </w:rPr>
        <w:t xml:space="preserve">the references to </w:t>
      </w:r>
      <w:r w:rsidR="00375C0C">
        <w:rPr>
          <w:iCs/>
        </w:rPr>
        <w:t>all</w:t>
      </w:r>
      <w:r>
        <w:rPr>
          <w:iCs/>
        </w:rPr>
        <w:t xml:space="preserve"> relevant definitions referred to in the </w:t>
      </w:r>
      <w:r w:rsidR="00071A18">
        <w:rPr>
          <w:iCs/>
        </w:rPr>
        <w:t xml:space="preserve">new </w:t>
      </w:r>
      <w:r>
        <w:rPr>
          <w:iCs/>
        </w:rPr>
        <w:t xml:space="preserve">determination. </w:t>
      </w:r>
    </w:p>
    <w:p w14:paraId="38F0FFD0" w14:textId="71F40981" w:rsidR="00480AD6" w:rsidRDefault="00480AD6" w:rsidP="00DF40A6">
      <w:pPr>
        <w:spacing w:after="240"/>
        <w:rPr>
          <w:iCs/>
        </w:rPr>
      </w:pPr>
      <w:r>
        <w:rPr>
          <w:iCs/>
        </w:rPr>
        <w:t>The new determination changes the section numbering format used in previous determination</w:t>
      </w:r>
      <w:r w:rsidR="00071A18">
        <w:rPr>
          <w:iCs/>
        </w:rPr>
        <w:t>s</w:t>
      </w:r>
      <w:r>
        <w:rPr>
          <w:iCs/>
        </w:rPr>
        <w:t>. This has been done to comply with drafting conventions and for consistency across other instruments.</w:t>
      </w:r>
    </w:p>
    <w:p w14:paraId="3A528FCB" w14:textId="53ECA7DF" w:rsidR="00DF40A6" w:rsidRDefault="002F2C37" w:rsidP="00DF40A6">
      <w:pPr>
        <w:spacing w:after="240"/>
        <w:rPr>
          <w:iCs/>
        </w:rPr>
      </w:pPr>
      <w:r>
        <w:rPr>
          <w:iCs/>
        </w:rPr>
        <w:t xml:space="preserve">All other documents required for a unit title sales certificate and a unit title sales update certificate remain the same as </w:t>
      </w:r>
      <w:r w:rsidR="008E3533">
        <w:rPr>
          <w:iCs/>
        </w:rPr>
        <w:t xml:space="preserve">those required for a unit title certificate and a unit title update certificate </w:t>
      </w:r>
      <w:r>
        <w:rPr>
          <w:iCs/>
        </w:rPr>
        <w:t xml:space="preserve">under the previous determination (the </w:t>
      </w:r>
      <w:r w:rsidRPr="00B70917">
        <w:rPr>
          <w:i/>
        </w:rPr>
        <w:t xml:space="preserve">Unit Titles (Management) </w:t>
      </w:r>
      <w:r w:rsidR="00335388">
        <w:rPr>
          <w:i/>
        </w:rPr>
        <w:t xml:space="preserve">Sale </w:t>
      </w:r>
      <w:r w:rsidRPr="00B70917">
        <w:rPr>
          <w:i/>
        </w:rPr>
        <w:t>Certificate Determination 202</w:t>
      </w:r>
      <w:r w:rsidR="003D636F">
        <w:rPr>
          <w:i/>
        </w:rPr>
        <w:t>4</w:t>
      </w:r>
      <w:r w:rsidR="00DF40A6">
        <w:rPr>
          <w:iCs/>
        </w:rPr>
        <w:t xml:space="preserve"> </w:t>
      </w:r>
      <w:r>
        <w:rPr>
          <w:iCs/>
        </w:rPr>
        <w:t>DI202</w:t>
      </w:r>
      <w:r w:rsidR="003D636F">
        <w:rPr>
          <w:iCs/>
        </w:rPr>
        <w:t>4-219</w:t>
      </w:r>
      <w:r>
        <w:rPr>
          <w:iCs/>
        </w:rPr>
        <w:t>).</w:t>
      </w:r>
    </w:p>
    <w:p w14:paraId="6257466E" w14:textId="4EA21027" w:rsidR="001250BF" w:rsidRDefault="001250BF" w:rsidP="00DF40A6">
      <w:pPr>
        <w:spacing w:after="240"/>
      </w:pPr>
      <w:r w:rsidRPr="0070500A">
        <w:t xml:space="preserve">Section </w:t>
      </w:r>
      <w:r>
        <w:t>119</w:t>
      </w:r>
      <w:r w:rsidRPr="0070500A">
        <w:t xml:space="preserve"> (</w:t>
      </w:r>
      <w:r w:rsidR="00086A35">
        <w:t>6</w:t>
      </w:r>
      <w:r w:rsidRPr="0070500A">
        <w:t>) of the Act provides that th</w:t>
      </w:r>
      <w:r>
        <w:t>e Minister’s determination</w:t>
      </w:r>
      <w:r w:rsidRPr="0070500A">
        <w:t xml:space="preserve"> is </w:t>
      </w:r>
      <w:r>
        <w:t xml:space="preserve">a </w:t>
      </w:r>
      <w:r w:rsidRPr="0070500A">
        <w:t>disallowable</w:t>
      </w:r>
      <w:r>
        <w:t xml:space="preserve"> instrument</w:t>
      </w:r>
      <w:r w:rsidRPr="0070500A">
        <w:t>.</w:t>
      </w:r>
      <w:r w:rsidRPr="009A50D2">
        <w:t xml:space="preserve"> </w:t>
      </w:r>
      <w:r>
        <w:t xml:space="preserve"> </w:t>
      </w:r>
    </w:p>
    <w:p w14:paraId="1E661012" w14:textId="45944940" w:rsidR="00097C4D" w:rsidRPr="00994015" w:rsidRDefault="001250BF" w:rsidP="009F0E87">
      <w:pPr>
        <w:spacing w:after="200"/>
        <w:rPr>
          <w:szCs w:val="24"/>
        </w:rPr>
      </w:pPr>
      <w:r>
        <w:t>This instrument does not engage any human rights.</w:t>
      </w:r>
    </w:p>
    <w:sectPr w:rsidR="00097C4D" w:rsidRPr="00994015" w:rsidSect="007828F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27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949A" w14:textId="77777777" w:rsidR="00C23029" w:rsidRDefault="00C23029" w:rsidP="00C17FAB">
      <w:r>
        <w:separator/>
      </w:r>
    </w:p>
  </w:endnote>
  <w:endnote w:type="continuationSeparator" w:id="0">
    <w:p w14:paraId="78ADC573" w14:textId="77777777" w:rsidR="00C23029" w:rsidRDefault="00C2302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A8ED" w14:textId="77777777" w:rsidR="0070562D" w:rsidRDefault="00705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4E5A" w14:textId="264E615E" w:rsidR="0070562D" w:rsidRPr="0070562D" w:rsidRDefault="0070562D" w:rsidP="0070562D">
    <w:pPr>
      <w:pStyle w:val="Footer"/>
      <w:jc w:val="center"/>
      <w:rPr>
        <w:rFonts w:cs="Arial"/>
        <w:sz w:val="14"/>
      </w:rPr>
    </w:pPr>
    <w:r w:rsidRPr="007056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7B34" w14:textId="77777777" w:rsidR="0070562D" w:rsidRDefault="0070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C438" w14:textId="77777777" w:rsidR="00C23029" w:rsidRDefault="00C23029" w:rsidP="00C17FAB">
      <w:r>
        <w:separator/>
      </w:r>
    </w:p>
  </w:footnote>
  <w:footnote w:type="continuationSeparator" w:id="0">
    <w:p w14:paraId="2B7982DE" w14:textId="77777777" w:rsidR="00C23029" w:rsidRDefault="00C2302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DF20" w14:textId="70D1434D" w:rsidR="006E7130" w:rsidRDefault="006E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158E" w14:textId="270FE78C" w:rsidR="006E7130" w:rsidRDefault="006E7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DCD7" w14:textId="10643EFE" w:rsidR="006E7130" w:rsidRDefault="006E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7C627DB"/>
    <w:multiLevelType w:val="hybridMultilevel"/>
    <w:tmpl w:val="59B4AB14"/>
    <w:lvl w:ilvl="0" w:tplc="2BD4B7BA">
      <w:start w:val="1"/>
      <w:numFmt w:val="lowerLetter"/>
      <w:lvlText w:val="(%1)"/>
      <w:lvlJc w:val="left"/>
      <w:pPr>
        <w:ind w:left="1080" w:hanging="360"/>
      </w:pPr>
      <w:rPr>
        <w:rFonts w:hint="default"/>
      </w:rPr>
    </w:lvl>
    <w:lvl w:ilvl="1" w:tplc="583C868E">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91734718">
    <w:abstractNumId w:val="2"/>
  </w:num>
  <w:num w:numId="2" w16cid:durableId="1452819425">
    <w:abstractNumId w:val="0"/>
  </w:num>
  <w:num w:numId="3" w16cid:durableId="1976452064">
    <w:abstractNumId w:val="3"/>
  </w:num>
  <w:num w:numId="4" w16cid:durableId="180438570">
    <w:abstractNumId w:val="7"/>
  </w:num>
  <w:num w:numId="5" w16cid:durableId="1769082587">
    <w:abstractNumId w:val="9"/>
  </w:num>
  <w:num w:numId="6" w16cid:durableId="2009286480">
    <w:abstractNumId w:val="1"/>
  </w:num>
  <w:num w:numId="7" w16cid:durableId="613050995">
    <w:abstractNumId w:val="5"/>
  </w:num>
  <w:num w:numId="8" w16cid:durableId="834959780">
    <w:abstractNumId w:val="6"/>
  </w:num>
  <w:num w:numId="9" w16cid:durableId="1789810941">
    <w:abstractNumId w:val="10"/>
  </w:num>
  <w:num w:numId="10" w16cid:durableId="142545042">
    <w:abstractNumId w:val="4"/>
  </w:num>
  <w:num w:numId="11" w16cid:durableId="1922251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0204"/>
    <w:rsid w:val="00043030"/>
    <w:rsid w:val="00055C68"/>
    <w:rsid w:val="0005632F"/>
    <w:rsid w:val="00060637"/>
    <w:rsid w:val="00071A18"/>
    <w:rsid w:val="00076382"/>
    <w:rsid w:val="00086A35"/>
    <w:rsid w:val="000909D3"/>
    <w:rsid w:val="00097C4D"/>
    <w:rsid w:val="000D36F7"/>
    <w:rsid w:val="000D68FB"/>
    <w:rsid w:val="00106B9C"/>
    <w:rsid w:val="001250BF"/>
    <w:rsid w:val="001776B4"/>
    <w:rsid w:val="00181F3F"/>
    <w:rsid w:val="001866C2"/>
    <w:rsid w:val="001A14D0"/>
    <w:rsid w:val="001C0B0F"/>
    <w:rsid w:val="001C17F0"/>
    <w:rsid w:val="001C36F7"/>
    <w:rsid w:val="001D2333"/>
    <w:rsid w:val="001D6C95"/>
    <w:rsid w:val="001F5180"/>
    <w:rsid w:val="00222819"/>
    <w:rsid w:val="00234700"/>
    <w:rsid w:val="00240EB1"/>
    <w:rsid w:val="002436E8"/>
    <w:rsid w:val="00272112"/>
    <w:rsid w:val="00277482"/>
    <w:rsid w:val="00285250"/>
    <w:rsid w:val="002A5988"/>
    <w:rsid w:val="002C135E"/>
    <w:rsid w:val="002D4F76"/>
    <w:rsid w:val="002D7C60"/>
    <w:rsid w:val="002E289C"/>
    <w:rsid w:val="002E4355"/>
    <w:rsid w:val="002F2C37"/>
    <w:rsid w:val="003219D6"/>
    <w:rsid w:val="00335388"/>
    <w:rsid w:val="0033683F"/>
    <w:rsid w:val="00337428"/>
    <w:rsid w:val="00375C0C"/>
    <w:rsid w:val="00381BD9"/>
    <w:rsid w:val="003B4FED"/>
    <w:rsid w:val="003D636F"/>
    <w:rsid w:val="003F53E7"/>
    <w:rsid w:val="004058AD"/>
    <w:rsid w:val="004073CA"/>
    <w:rsid w:val="0041196C"/>
    <w:rsid w:val="00420E7B"/>
    <w:rsid w:val="0043567C"/>
    <w:rsid w:val="004459EF"/>
    <w:rsid w:val="004515A2"/>
    <w:rsid w:val="00454E55"/>
    <w:rsid w:val="00480AD6"/>
    <w:rsid w:val="004D20EE"/>
    <w:rsid w:val="004D347B"/>
    <w:rsid w:val="004F48CC"/>
    <w:rsid w:val="005254E5"/>
    <w:rsid w:val="00531D00"/>
    <w:rsid w:val="0055288A"/>
    <w:rsid w:val="005622B4"/>
    <w:rsid w:val="00562EC5"/>
    <w:rsid w:val="00564DAF"/>
    <w:rsid w:val="00565343"/>
    <w:rsid w:val="00574B8A"/>
    <w:rsid w:val="00583D8B"/>
    <w:rsid w:val="00595129"/>
    <w:rsid w:val="005B324C"/>
    <w:rsid w:val="005D0E99"/>
    <w:rsid w:val="005F0493"/>
    <w:rsid w:val="006851D3"/>
    <w:rsid w:val="006A700D"/>
    <w:rsid w:val="006B1D7E"/>
    <w:rsid w:val="006B3845"/>
    <w:rsid w:val="006E7130"/>
    <w:rsid w:val="00701463"/>
    <w:rsid w:val="0070562D"/>
    <w:rsid w:val="007346AC"/>
    <w:rsid w:val="00754A86"/>
    <w:rsid w:val="00770A59"/>
    <w:rsid w:val="00775DD6"/>
    <w:rsid w:val="007828FA"/>
    <w:rsid w:val="00791D6A"/>
    <w:rsid w:val="00795CF8"/>
    <w:rsid w:val="007C5C09"/>
    <w:rsid w:val="007C6BB7"/>
    <w:rsid w:val="007E1192"/>
    <w:rsid w:val="007E543D"/>
    <w:rsid w:val="007F3FBA"/>
    <w:rsid w:val="007F5FC8"/>
    <w:rsid w:val="00821F71"/>
    <w:rsid w:val="008258E4"/>
    <w:rsid w:val="00837640"/>
    <w:rsid w:val="0084104B"/>
    <w:rsid w:val="008A1B8B"/>
    <w:rsid w:val="008B2435"/>
    <w:rsid w:val="008C02CC"/>
    <w:rsid w:val="008D3E80"/>
    <w:rsid w:val="008E3533"/>
    <w:rsid w:val="00921A55"/>
    <w:rsid w:val="00942A3D"/>
    <w:rsid w:val="00943479"/>
    <w:rsid w:val="009508A5"/>
    <w:rsid w:val="009604B9"/>
    <w:rsid w:val="00981BA5"/>
    <w:rsid w:val="009902BC"/>
    <w:rsid w:val="00994015"/>
    <w:rsid w:val="009B1BF1"/>
    <w:rsid w:val="009C30AD"/>
    <w:rsid w:val="009D50CC"/>
    <w:rsid w:val="009E12A1"/>
    <w:rsid w:val="009F0E87"/>
    <w:rsid w:val="00A16C6E"/>
    <w:rsid w:val="00A20288"/>
    <w:rsid w:val="00A4298B"/>
    <w:rsid w:val="00A45DC7"/>
    <w:rsid w:val="00A50466"/>
    <w:rsid w:val="00A7665E"/>
    <w:rsid w:val="00A90D92"/>
    <w:rsid w:val="00AA22E8"/>
    <w:rsid w:val="00AA2F81"/>
    <w:rsid w:val="00AB4E59"/>
    <w:rsid w:val="00B5009C"/>
    <w:rsid w:val="00B70917"/>
    <w:rsid w:val="00BB0707"/>
    <w:rsid w:val="00BB7765"/>
    <w:rsid w:val="00BD1215"/>
    <w:rsid w:val="00C07212"/>
    <w:rsid w:val="00C16428"/>
    <w:rsid w:val="00C16747"/>
    <w:rsid w:val="00C168FF"/>
    <w:rsid w:val="00C17FAB"/>
    <w:rsid w:val="00C222B9"/>
    <w:rsid w:val="00C23029"/>
    <w:rsid w:val="00C62F06"/>
    <w:rsid w:val="00C839BD"/>
    <w:rsid w:val="00C90C21"/>
    <w:rsid w:val="00CC70AC"/>
    <w:rsid w:val="00CD65C6"/>
    <w:rsid w:val="00CE599C"/>
    <w:rsid w:val="00CE76D7"/>
    <w:rsid w:val="00D13202"/>
    <w:rsid w:val="00D22DBA"/>
    <w:rsid w:val="00D2535F"/>
    <w:rsid w:val="00D36573"/>
    <w:rsid w:val="00D47489"/>
    <w:rsid w:val="00D639AC"/>
    <w:rsid w:val="00D66277"/>
    <w:rsid w:val="00D77D5C"/>
    <w:rsid w:val="00D82012"/>
    <w:rsid w:val="00DA3B00"/>
    <w:rsid w:val="00DA64A1"/>
    <w:rsid w:val="00DC1976"/>
    <w:rsid w:val="00DC6F97"/>
    <w:rsid w:val="00DD08AF"/>
    <w:rsid w:val="00DD134F"/>
    <w:rsid w:val="00DE62E6"/>
    <w:rsid w:val="00DF40A6"/>
    <w:rsid w:val="00E01A2D"/>
    <w:rsid w:val="00E04474"/>
    <w:rsid w:val="00E06617"/>
    <w:rsid w:val="00E23AE6"/>
    <w:rsid w:val="00E27224"/>
    <w:rsid w:val="00E27CAA"/>
    <w:rsid w:val="00E313C9"/>
    <w:rsid w:val="00E3572B"/>
    <w:rsid w:val="00E361D6"/>
    <w:rsid w:val="00E44876"/>
    <w:rsid w:val="00E47370"/>
    <w:rsid w:val="00E52AAD"/>
    <w:rsid w:val="00E731FF"/>
    <w:rsid w:val="00E73B96"/>
    <w:rsid w:val="00E747EF"/>
    <w:rsid w:val="00E82B18"/>
    <w:rsid w:val="00E93DBA"/>
    <w:rsid w:val="00E97D9F"/>
    <w:rsid w:val="00EB7343"/>
    <w:rsid w:val="00EC19A5"/>
    <w:rsid w:val="00F20C03"/>
    <w:rsid w:val="00F240BF"/>
    <w:rsid w:val="00F24290"/>
    <w:rsid w:val="00F35C0C"/>
    <w:rsid w:val="00FB0E33"/>
    <w:rsid w:val="00FB1EF9"/>
    <w:rsid w:val="00FC54C9"/>
    <w:rsid w:val="00FD43BE"/>
    <w:rsid w:val="00FD75CE"/>
    <w:rsid w:val="00FF0BFE"/>
    <w:rsid w:val="00FF5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887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C54C9"/>
    <w:rPr>
      <w:sz w:val="16"/>
      <w:szCs w:val="16"/>
    </w:rPr>
  </w:style>
  <w:style w:type="paragraph" w:styleId="CommentText">
    <w:name w:val="annotation text"/>
    <w:basedOn w:val="Normal"/>
    <w:link w:val="CommentTextChar"/>
    <w:uiPriority w:val="99"/>
    <w:unhideWhenUsed/>
    <w:rsid w:val="00FC54C9"/>
    <w:rPr>
      <w:sz w:val="20"/>
    </w:rPr>
  </w:style>
  <w:style w:type="character" w:customStyle="1" w:styleId="CommentTextChar">
    <w:name w:val="Comment Text Char"/>
    <w:basedOn w:val="DefaultParagraphFont"/>
    <w:link w:val="CommentText"/>
    <w:uiPriority w:val="99"/>
    <w:rsid w:val="00FC54C9"/>
    <w:rPr>
      <w:lang w:eastAsia="en-US"/>
    </w:rPr>
  </w:style>
  <w:style w:type="paragraph" w:styleId="CommentSubject">
    <w:name w:val="annotation subject"/>
    <w:basedOn w:val="CommentText"/>
    <w:next w:val="CommentText"/>
    <w:link w:val="CommentSubjectChar"/>
    <w:uiPriority w:val="99"/>
    <w:semiHidden/>
    <w:unhideWhenUsed/>
    <w:rsid w:val="00FC54C9"/>
    <w:rPr>
      <w:b/>
      <w:bCs/>
    </w:rPr>
  </w:style>
  <w:style w:type="character" w:customStyle="1" w:styleId="CommentSubjectChar">
    <w:name w:val="Comment Subject Char"/>
    <w:basedOn w:val="CommentTextChar"/>
    <w:link w:val="CommentSubject"/>
    <w:uiPriority w:val="99"/>
    <w:semiHidden/>
    <w:rsid w:val="00FC54C9"/>
    <w:rPr>
      <w:b/>
      <w:bCs/>
      <w:lang w:eastAsia="en-US"/>
    </w:rPr>
  </w:style>
  <w:style w:type="paragraph" w:styleId="BalloonText">
    <w:name w:val="Balloon Text"/>
    <w:basedOn w:val="Normal"/>
    <w:link w:val="BalloonTextChar"/>
    <w:uiPriority w:val="99"/>
    <w:semiHidden/>
    <w:unhideWhenUsed/>
    <w:rsid w:val="00FC5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C9"/>
    <w:rPr>
      <w:rFonts w:ascii="Segoe UI" w:hAnsi="Segoe UI" w:cs="Segoe UI"/>
      <w:sz w:val="18"/>
      <w:szCs w:val="18"/>
      <w:lang w:eastAsia="en-US"/>
    </w:rPr>
  </w:style>
  <w:style w:type="character" w:customStyle="1" w:styleId="Calibri12">
    <w:name w:val="Calibri 12"/>
    <w:basedOn w:val="DefaultParagraphFont"/>
    <w:uiPriority w:val="1"/>
    <w:qFormat/>
    <w:rsid w:val="00994015"/>
    <w:rPr>
      <w:rFonts w:ascii="Calibri" w:hAnsi="Calibri"/>
      <w:sz w:val="24"/>
    </w:rPr>
  </w:style>
  <w:style w:type="paragraph" w:styleId="ListParagraph">
    <w:name w:val="List Paragraph"/>
    <w:basedOn w:val="Normal"/>
    <w:uiPriority w:val="34"/>
    <w:qFormat/>
    <w:rsid w:val="00994015"/>
    <w:pPr>
      <w:widowControl w:val="0"/>
      <w:ind w:left="720"/>
      <w:contextualSpacing/>
    </w:pPr>
    <w:rPr>
      <w:iCs/>
      <w:szCs w:val="24"/>
      <w:lang w:val="en-US"/>
    </w:rPr>
  </w:style>
  <w:style w:type="paragraph" w:styleId="Revision">
    <w:name w:val="Revision"/>
    <w:hidden/>
    <w:uiPriority w:val="99"/>
    <w:semiHidden/>
    <w:rsid w:val="004459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FC91-0FA3-48AD-83AE-F4377F5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3781</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2024-12-06T00:25:00Z</dcterms:created>
  <dcterms:modified xsi:type="dcterms:W3CDTF">2024-12-06T00:25:00Z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A32719803</vt:lpwstr>
  </property>
  <property fmtid="{D5CDD505-2E9C-101B-9397-08002B2CF9AE}" pid="4" name="Objective-Title">
    <vt:lpwstr>Attachment E - Explanatory Statement - Unit Titles (Management) Certificate Determination 2023</vt:lpwstr>
  </property>
  <property fmtid="{D5CDD505-2E9C-101B-9397-08002B2CF9AE}" pid="5" name="Objective-Comment">
    <vt:lpwstr/>
  </property>
  <property fmtid="{D5CDD505-2E9C-101B-9397-08002B2CF9AE}" pid="6" name="Objective-CreationStamp">
    <vt:filetime>2022-02-01T04:16:22Z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2023-01-18T01:48:43Z</vt:filetime>
  </property>
  <property fmtid="{D5CDD505-2E9C-101B-9397-08002B2CF9AE}" pid="10" name="Objective-ModificationStamp">
    <vt:filetime>2023-01-22T21:55:38Z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2024-04-18T07:19:07Z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c7f7650e-1fcb-41b5-b72c-50154b1fa3e1</vt:lpwstr>
  </property>
  <property fmtid="{D5CDD505-2E9C-101B-9397-08002B2CF9AE}" pid="49" name="MSIP_Label_69af8531-eb46-4968-8cb3-105d2f5ea87e_ContentBits">
    <vt:lpwstr>0</vt:lpwstr>
  </property>
</Properties>
</file>