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0642652E"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0146B7">
        <w:rPr>
          <w:rFonts w:ascii="Arial" w:hAnsi="Arial" w:cs="Arial"/>
          <w:b/>
          <w:bCs/>
          <w:sz w:val="24"/>
          <w:szCs w:val="24"/>
        </w:rPr>
        <w:t>5</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50C1A109" w:rsidR="00741C4A" w:rsidRPr="00741C4A" w:rsidRDefault="000146B7" w:rsidP="00741C4A">
      <w:pPr>
        <w:spacing w:after="0"/>
        <w:jc w:val="center"/>
        <w:rPr>
          <w:rFonts w:ascii="Arial" w:hAnsi="Arial" w:cs="Arial"/>
          <w:b/>
          <w:bCs/>
          <w:sz w:val="24"/>
          <w:szCs w:val="24"/>
        </w:rPr>
      </w:pPr>
      <w:r>
        <w:rPr>
          <w:rFonts w:ascii="Arial" w:hAnsi="Arial" w:cs="Arial"/>
          <w:b/>
          <w:bCs/>
          <w:sz w:val="24"/>
          <w:szCs w:val="24"/>
        </w:rPr>
        <w:t>JUSTICE AND COMMUNITY SAFETY LEGISLATION AMENDMENT BILL 2025</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357851A2" w:rsidR="00BB387E" w:rsidRDefault="00900CE7" w:rsidP="00BB387E">
      <w:pPr>
        <w:spacing w:after="0"/>
        <w:ind w:right="686"/>
        <w:jc w:val="right"/>
        <w:rPr>
          <w:rFonts w:ascii="Arial" w:hAnsi="Arial" w:cs="Arial"/>
          <w:b/>
          <w:bCs/>
          <w:sz w:val="24"/>
          <w:szCs w:val="24"/>
        </w:rPr>
      </w:pPr>
      <w:r>
        <w:rPr>
          <w:rFonts w:ascii="Arial" w:hAnsi="Arial" w:cs="Arial"/>
          <w:b/>
          <w:bCs/>
          <w:sz w:val="24"/>
          <w:szCs w:val="24"/>
        </w:rPr>
        <w:t xml:space="preserve"> Tara Cheyne </w:t>
      </w:r>
      <w:r w:rsidR="00E954A1">
        <w:rPr>
          <w:rFonts w:ascii="Arial" w:hAnsi="Arial" w:cs="Arial"/>
          <w:b/>
          <w:bCs/>
          <w:sz w:val="24"/>
          <w:szCs w:val="24"/>
        </w:rPr>
        <w:t>MLA</w:t>
      </w:r>
    </w:p>
    <w:p w14:paraId="39356AA3" w14:textId="10045625" w:rsidR="00900CE7" w:rsidRPr="00BB387E" w:rsidRDefault="00900CE7" w:rsidP="00BB387E">
      <w:pPr>
        <w:spacing w:after="0"/>
        <w:ind w:right="686"/>
        <w:jc w:val="right"/>
        <w:rPr>
          <w:rFonts w:ascii="Arial" w:hAnsi="Arial" w:cs="Arial"/>
          <w:b/>
          <w:bCs/>
          <w:sz w:val="24"/>
          <w:szCs w:val="24"/>
        </w:rPr>
      </w:pPr>
      <w:r>
        <w:rPr>
          <w:rFonts w:ascii="Arial" w:hAnsi="Arial" w:cs="Arial"/>
          <w:b/>
          <w:bCs/>
          <w:sz w:val="24"/>
          <w:szCs w:val="24"/>
        </w:rPr>
        <w:t>Attorney-General</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55019F3B" w14:textId="77777777" w:rsidR="00630D77" w:rsidRPr="00741C4A" w:rsidRDefault="00630D77" w:rsidP="00630D77">
      <w:pPr>
        <w:spacing w:after="0"/>
        <w:jc w:val="center"/>
        <w:rPr>
          <w:rFonts w:ascii="Arial" w:hAnsi="Arial" w:cs="Arial"/>
          <w:b/>
          <w:bCs/>
          <w:sz w:val="24"/>
          <w:szCs w:val="24"/>
        </w:rPr>
      </w:pPr>
      <w:r>
        <w:rPr>
          <w:rFonts w:ascii="Arial" w:hAnsi="Arial" w:cs="Arial"/>
          <w:b/>
          <w:bCs/>
          <w:sz w:val="24"/>
          <w:szCs w:val="24"/>
        </w:rPr>
        <w:lastRenderedPageBreak/>
        <w:t>JUSTICE AND COMMUNITY SAFETY LEGISLATION AMENDMENT BILL 2025</w:t>
      </w:r>
    </w:p>
    <w:p w14:paraId="2612AE1F" w14:textId="77777777" w:rsidR="00834FC9" w:rsidRDefault="00834FC9" w:rsidP="007F3D56">
      <w:pPr>
        <w:spacing w:after="0"/>
        <w:contextualSpacing/>
        <w:rPr>
          <w:rFonts w:ascii="Arial" w:hAnsi="Arial" w:cs="Arial"/>
          <w:bCs/>
          <w:sz w:val="24"/>
          <w:szCs w:val="24"/>
        </w:rPr>
      </w:pPr>
    </w:p>
    <w:p w14:paraId="1C55190C" w14:textId="46D85B4A" w:rsidR="00790FE4"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w:t>
      </w:r>
      <w:r w:rsidRPr="00732142">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EC02271" w14:textId="77777777" w:rsidR="00F13D56" w:rsidRDefault="00F13D56" w:rsidP="007F3D56">
      <w:pPr>
        <w:spacing w:after="0"/>
        <w:contextualSpacing/>
        <w:rPr>
          <w:rFonts w:ascii="Arial" w:hAnsi="Arial" w:cs="Arial"/>
          <w:bCs/>
          <w:sz w:val="24"/>
          <w:szCs w:val="24"/>
        </w:rPr>
      </w:pPr>
    </w:p>
    <w:p w14:paraId="25EB1119" w14:textId="03A5E570" w:rsidR="00F13D56" w:rsidRPr="005C6EF8" w:rsidRDefault="00F13D56" w:rsidP="00F13D56">
      <w:pPr>
        <w:spacing w:after="0"/>
        <w:contextualSpacing/>
        <w:rPr>
          <w:rFonts w:ascii="Arial" w:hAnsi="Arial" w:cs="Arial"/>
          <w:bCs/>
          <w:sz w:val="24"/>
          <w:szCs w:val="28"/>
        </w:rPr>
      </w:pPr>
      <w:r w:rsidRPr="005C6EF8">
        <w:rPr>
          <w:rFonts w:ascii="Arial" w:hAnsi="Arial" w:cs="Arial"/>
          <w:bCs/>
          <w:sz w:val="24"/>
          <w:szCs w:val="28"/>
        </w:rPr>
        <w:t xml:space="preserve">This explanatory statement relates to the </w:t>
      </w:r>
      <w:r w:rsidRPr="005C6EF8">
        <w:rPr>
          <w:rFonts w:ascii="Arial" w:hAnsi="Arial" w:cs="Arial"/>
          <w:bCs/>
          <w:i/>
          <w:iCs/>
          <w:sz w:val="24"/>
          <w:szCs w:val="28"/>
        </w:rPr>
        <w:t xml:space="preserve">Justice and Community Safety Legislation Amendment Bill 2025 </w:t>
      </w:r>
      <w:r w:rsidRPr="005C6EF8">
        <w:rPr>
          <w:rFonts w:ascii="Arial" w:hAnsi="Arial" w:cs="Arial"/>
          <w:bCs/>
          <w:sz w:val="24"/>
          <w:szCs w:val="28"/>
        </w:rPr>
        <w:t xml:space="preserve">as presented to the Legislative Assembly. It has been prepared to assist the reader of the Bill and to help inform debate on it. It does not form part of the Bill and has not been endorsed by the Assembly. The statement is to be read in conjunction with the Bill. It is not, and is not meant to be, a comprehensive description of the Bill. </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4D5721DF" w14:textId="77777777" w:rsidR="005C6EF8" w:rsidRPr="00306B89" w:rsidRDefault="005C6EF8" w:rsidP="005C6EF8">
      <w:pPr>
        <w:rPr>
          <w:rFonts w:ascii="Arial" w:hAnsi="Arial" w:cs="Arial"/>
          <w:bCs/>
          <w:sz w:val="24"/>
          <w:szCs w:val="24"/>
        </w:rPr>
      </w:pPr>
      <w:r w:rsidRPr="00306B89">
        <w:rPr>
          <w:rFonts w:ascii="Arial" w:hAnsi="Arial" w:cs="Arial"/>
          <w:bCs/>
          <w:sz w:val="24"/>
          <w:szCs w:val="24"/>
        </w:rPr>
        <w:t>The Bill is an omnibus bill which amends of the following legislation in the Attorney</w:t>
      </w:r>
      <w:r w:rsidRPr="00306B89">
        <w:rPr>
          <w:rFonts w:ascii="Arial" w:hAnsi="Arial" w:cs="Arial"/>
          <w:bCs/>
          <w:sz w:val="24"/>
          <w:szCs w:val="24"/>
        </w:rPr>
        <w:noBreakHyphen/>
        <w:t xml:space="preserve">General’s portfolio: </w:t>
      </w:r>
    </w:p>
    <w:p w14:paraId="2C1CE2D1" w14:textId="040CC511" w:rsidR="00363755" w:rsidRPr="00347917" w:rsidRDefault="00363755">
      <w:pPr>
        <w:pStyle w:val="ListParagraph"/>
        <w:numPr>
          <w:ilvl w:val="0"/>
          <w:numId w:val="3"/>
        </w:numPr>
        <w:rPr>
          <w:rFonts w:ascii="Arial" w:hAnsi="Arial" w:cs="Arial"/>
          <w:bCs/>
          <w:i/>
          <w:iCs/>
          <w:sz w:val="24"/>
          <w:szCs w:val="24"/>
        </w:rPr>
      </w:pPr>
      <w:bookmarkStart w:id="0" w:name="_Hlk188371277"/>
      <w:r w:rsidRPr="00347917">
        <w:rPr>
          <w:rFonts w:ascii="Arial" w:hAnsi="Arial" w:cs="Arial"/>
          <w:bCs/>
          <w:i/>
          <w:iCs/>
          <w:sz w:val="24"/>
          <w:szCs w:val="24"/>
        </w:rPr>
        <w:t>Crimes Act 1900</w:t>
      </w:r>
    </w:p>
    <w:p w14:paraId="796CAFD6" w14:textId="64F7531F" w:rsidR="00363755" w:rsidRPr="00347917" w:rsidRDefault="00363755">
      <w:pPr>
        <w:pStyle w:val="ListParagraph"/>
        <w:numPr>
          <w:ilvl w:val="0"/>
          <w:numId w:val="3"/>
        </w:numPr>
        <w:rPr>
          <w:rFonts w:ascii="Arial" w:hAnsi="Arial" w:cs="Arial"/>
          <w:bCs/>
          <w:i/>
          <w:iCs/>
          <w:sz w:val="24"/>
          <w:szCs w:val="24"/>
        </w:rPr>
      </w:pPr>
      <w:r w:rsidRPr="00347917">
        <w:rPr>
          <w:rFonts w:ascii="Arial" w:hAnsi="Arial" w:cs="Arial"/>
          <w:bCs/>
          <w:i/>
          <w:iCs/>
          <w:sz w:val="24"/>
          <w:szCs w:val="24"/>
        </w:rPr>
        <w:t>Fair Trading (Fuel Prices) Act 1993</w:t>
      </w:r>
    </w:p>
    <w:p w14:paraId="59D04AA9" w14:textId="14E4DA2D" w:rsidR="00363755" w:rsidRPr="00347917" w:rsidRDefault="00363755">
      <w:pPr>
        <w:pStyle w:val="ListParagraph"/>
        <w:numPr>
          <w:ilvl w:val="0"/>
          <w:numId w:val="3"/>
        </w:numPr>
        <w:rPr>
          <w:rFonts w:ascii="Arial" w:hAnsi="Arial" w:cs="Arial"/>
          <w:bCs/>
          <w:i/>
          <w:iCs/>
          <w:sz w:val="24"/>
          <w:szCs w:val="24"/>
        </w:rPr>
      </w:pPr>
      <w:r w:rsidRPr="00347917">
        <w:rPr>
          <w:rFonts w:ascii="Arial" w:hAnsi="Arial" w:cs="Arial"/>
          <w:bCs/>
          <w:i/>
          <w:iCs/>
          <w:sz w:val="24"/>
          <w:szCs w:val="24"/>
        </w:rPr>
        <w:t>Fair Trading (Motor Vehicle Repair Industry) Act 2010</w:t>
      </w:r>
    </w:p>
    <w:p w14:paraId="70FC9CBE" w14:textId="5C774E68" w:rsidR="00312F1E" w:rsidRPr="00347917" w:rsidRDefault="00312F1E">
      <w:pPr>
        <w:pStyle w:val="ListParagraph"/>
        <w:numPr>
          <w:ilvl w:val="0"/>
          <w:numId w:val="3"/>
        </w:numPr>
        <w:rPr>
          <w:rFonts w:ascii="Arial" w:hAnsi="Arial" w:cs="Arial"/>
          <w:bCs/>
          <w:i/>
          <w:iCs/>
          <w:sz w:val="24"/>
          <w:szCs w:val="24"/>
        </w:rPr>
      </w:pPr>
      <w:r w:rsidRPr="00347917">
        <w:rPr>
          <w:rFonts w:ascii="Arial" w:hAnsi="Arial" w:cs="Arial"/>
          <w:bCs/>
          <w:i/>
          <w:iCs/>
          <w:sz w:val="24"/>
          <w:szCs w:val="24"/>
        </w:rPr>
        <w:t>Jurisdiction of Courts (Cross-Vesting) Act 1993</w:t>
      </w:r>
    </w:p>
    <w:p w14:paraId="11F7FF9A" w14:textId="52747872" w:rsidR="00312F1E" w:rsidRPr="00347917" w:rsidRDefault="00312F1E">
      <w:pPr>
        <w:pStyle w:val="ListParagraph"/>
        <w:numPr>
          <w:ilvl w:val="0"/>
          <w:numId w:val="3"/>
        </w:numPr>
        <w:rPr>
          <w:rFonts w:ascii="Arial" w:hAnsi="Arial" w:cs="Arial"/>
          <w:bCs/>
          <w:i/>
          <w:iCs/>
          <w:sz w:val="24"/>
          <w:szCs w:val="24"/>
        </w:rPr>
      </w:pPr>
      <w:r w:rsidRPr="00347917">
        <w:rPr>
          <w:rFonts w:ascii="Arial" w:hAnsi="Arial" w:cs="Arial"/>
          <w:bCs/>
          <w:i/>
          <w:iCs/>
          <w:sz w:val="24"/>
          <w:szCs w:val="24"/>
        </w:rPr>
        <w:t>Land Titles Act 1925</w:t>
      </w:r>
    </w:p>
    <w:p w14:paraId="519F4578" w14:textId="326355E4" w:rsidR="00312F1E" w:rsidRPr="00347917" w:rsidRDefault="00312F1E">
      <w:pPr>
        <w:pStyle w:val="ListParagraph"/>
        <w:numPr>
          <w:ilvl w:val="0"/>
          <w:numId w:val="3"/>
        </w:numPr>
        <w:rPr>
          <w:rFonts w:ascii="Arial" w:hAnsi="Arial" w:cs="Arial"/>
          <w:bCs/>
          <w:i/>
          <w:iCs/>
          <w:sz w:val="24"/>
          <w:szCs w:val="24"/>
        </w:rPr>
      </w:pPr>
      <w:r w:rsidRPr="00347917">
        <w:rPr>
          <w:rFonts w:ascii="Arial" w:hAnsi="Arial" w:cs="Arial"/>
          <w:bCs/>
          <w:i/>
          <w:iCs/>
          <w:sz w:val="24"/>
          <w:szCs w:val="24"/>
        </w:rPr>
        <w:t>Major Events Act 2014</w:t>
      </w:r>
    </w:p>
    <w:p w14:paraId="3E40EEFA" w14:textId="612D09D0" w:rsidR="00FA1C52" w:rsidRPr="00347917" w:rsidRDefault="00FA1C52">
      <w:pPr>
        <w:pStyle w:val="ListParagraph"/>
        <w:numPr>
          <w:ilvl w:val="0"/>
          <w:numId w:val="3"/>
        </w:numPr>
        <w:rPr>
          <w:rFonts w:ascii="Arial" w:hAnsi="Arial" w:cs="Arial"/>
          <w:bCs/>
          <w:i/>
          <w:iCs/>
          <w:sz w:val="24"/>
          <w:szCs w:val="24"/>
        </w:rPr>
      </w:pPr>
      <w:r w:rsidRPr="00347917">
        <w:rPr>
          <w:rFonts w:ascii="Arial" w:hAnsi="Arial" w:cs="Arial"/>
          <w:bCs/>
          <w:i/>
          <w:iCs/>
          <w:sz w:val="24"/>
          <w:szCs w:val="24"/>
        </w:rPr>
        <w:t xml:space="preserve">Second-hand dealers </w:t>
      </w:r>
      <w:r w:rsidR="00306B89" w:rsidRPr="00347917">
        <w:rPr>
          <w:rFonts w:ascii="Arial" w:hAnsi="Arial" w:cs="Arial"/>
          <w:bCs/>
          <w:i/>
          <w:iCs/>
          <w:sz w:val="24"/>
          <w:szCs w:val="24"/>
        </w:rPr>
        <w:t>R</w:t>
      </w:r>
      <w:r w:rsidRPr="00347917">
        <w:rPr>
          <w:rFonts w:ascii="Arial" w:hAnsi="Arial" w:cs="Arial"/>
          <w:bCs/>
          <w:i/>
          <w:iCs/>
          <w:sz w:val="24"/>
          <w:szCs w:val="24"/>
        </w:rPr>
        <w:t>egulation 2002</w:t>
      </w:r>
    </w:p>
    <w:p w14:paraId="5E6FB971" w14:textId="77777777" w:rsidR="00963951" w:rsidRPr="00306B89" w:rsidRDefault="00963951" w:rsidP="00963951">
      <w:pPr>
        <w:rPr>
          <w:rFonts w:ascii="Arial" w:hAnsi="Arial" w:cs="Arial"/>
          <w:bCs/>
          <w:sz w:val="24"/>
          <w:szCs w:val="24"/>
        </w:rPr>
      </w:pPr>
    </w:p>
    <w:p w14:paraId="08731E02" w14:textId="1CFE426C" w:rsidR="00963951" w:rsidRPr="00306B89" w:rsidRDefault="00963951" w:rsidP="000146B7">
      <w:pPr>
        <w:spacing w:after="0"/>
        <w:rPr>
          <w:rFonts w:ascii="Arial" w:hAnsi="Arial" w:cs="Arial"/>
          <w:bCs/>
          <w:sz w:val="24"/>
          <w:szCs w:val="24"/>
        </w:rPr>
      </w:pPr>
      <w:r w:rsidRPr="00306B89">
        <w:rPr>
          <w:rFonts w:ascii="Arial" w:hAnsi="Arial" w:cs="Arial"/>
          <w:bCs/>
          <w:sz w:val="24"/>
          <w:szCs w:val="24"/>
        </w:rPr>
        <w:t xml:space="preserve">It also amends legislation in the Minister for Gaming Reform’s portfolio: </w:t>
      </w:r>
    </w:p>
    <w:p w14:paraId="78850D27" w14:textId="35D6A81D" w:rsidR="00963951" w:rsidRPr="00347917" w:rsidRDefault="00963951">
      <w:pPr>
        <w:pStyle w:val="ListParagraph"/>
        <w:numPr>
          <w:ilvl w:val="0"/>
          <w:numId w:val="3"/>
        </w:numPr>
        <w:rPr>
          <w:rFonts w:ascii="Arial" w:hAnsi="Arial" w:cs="Arial"/>
          <w:bCs/>
          <w:i/>
          <w:iCs/>
          <w:sz w:val="24"/>
          <w:szCs w:val="24"/>
        </w:rPr>
      </w:pPr>
      <w:r w:rsidRPr="00347917">
        <w:rPr>
          <w:rFonts w:ascii="Arial" w:hAnsi="Arial" w:cs="Arial"/>
          <w:bCs/>
          <w:i/>
          <w:iCs/>
          <w:sz w:val="24"/>
          <w:szCs w:val="24"/>
        </w:rPr>
        <w:t>Gambling and Racing Control Act 1999</w:t>
      </w:r>
    </w:p>
    <w:p w14:paraId="3D31AE26" w14:textId="116B5FD1" w:rsidR="00963951" w:rsidRPr="00347917" w:rsidRDefault="00963951">
      <w:pPr>
        <w:pStyle w:val="ListParagraph"/>
        <w:numPr>
          <w:ilvl w:val="0"/>
          <w:numId w:val="3"/>
        </w:numPr>
        <w:rPr>
          <w:rFonts w:ascii="Arial" w:hAnsi="Arial" w:cs="Arial"/>
          <w:bCs/>
          <w:i/>
          <w:iCs/>
          <w:sz w:val="24"/>
          <w:szCs w:val="24"/>
        </w:rPr>
      </w:pPr>
      <w:r w:rsidRPr="00347917">
        <w:rPr>
          <w:rFonts w:ascii="Arial" w:hAnsi="Arial" w:cs="Arial"/>
          <w:bCs/>
          <w:i/>
          <w:iCs/>
          <w:sz w:val="24"/>
          <w:szCs w:val="24"/>
        </w:rPr>
        <w:t>Gaming Machine Act 2004</w:t>
      </w:r>
    </w:p>
    <w:bookmarkEnd w:id="0"/>
    <w:p w14:paraId="380A2D47" w14:textId="77777777" w:rsidR="00AF50BA" w:rsidRDefault="00AF50BA" w:rsidP="00AF50BA">
      <w:pPr>
        <w:rPr>
          <w:rFonts w:ascii="Arial" w:hAnsi="Arial" w:cs="Arial"/>
          <w:bCs/>
          <w:sz w:val="24"/>
          <w:szCs w:val="24"/>
        </w:rPr>
      </w:pPr>
    </w:p>
    <w:p w14:paraId="0B3B2035" w14:textId="7478BC4B" w:rsidR="00AF50BA" w:rsidRDefault="00AF50BA" w:rsidP="00AF50BA">
      <w:pPr>
        <w:rPr>
          <w:rFonts w:ascii="Arial" w:hAnsi="Arial" w:cs="Arial"/>
          <w:bCs/>
          <w:sz w:val="24"/>
          <w:szCs w:val="24"/>
        </w:rPr>
      </w:pPr>
      <w:r>
        <w:rPr>
          <w:rFonts w:ascii="Arial" w:hAnsi="Arial" w:cs="Arial"/>
          <w:bCs/>
          <w:sz w:val="24"/>
          <w:szCs w:val="24"/>
        </w:rPr>
        <w:t xml:space="preserve">The objective of the Bill is to continue to enhance the ACT’s justice and community safety legislation, to </w:t>
      </w:r>
      <w:r w:rsidR="00207EC6">
        <w:rPr>
          <w:rFonts w:ascii="Arial" w:hAnsi="Arial" w:cs="Arial"/>
          <w:bCs/>
          <w:sz w:val="24"/>
          <w:szCs w:val="24"/>
        </w:rPr>
        <w:t xml:space="preserve">ensure that it is of the highest standard. JACS Bills are an important part of maintaining and enhancing the standard of ACT law. They enable legislative amendments, which taken alone, would generally </w:t>
      </w:r>
      <w:r w:rsidR="008D62E0">
        <w:rPr>
          <w:rFonts w:ascii="Arial" w:hAnsi="Arial" w:cs="Arial"/>
          <w:bCs/>
          <w:sz w:val="24"/>
          <w:szCs w:val="24"/>
        </w:rPr>
        <w:t xml:space="preserve">not be </w:t>
      </w:r>
      <w:r w:rsidR="002854EA">
        <w:rPr>
          <w:rFonts w:ascii="Arial" w:hAnsi="Arial" w:cs="Arial"/>
          <w:bCs/>
          <w:sz w:val="24"/>
          <w:szCs w:val="24"/>
        </w:rPr>
        <w:t>sufficiently</w:t>
      </w:r>
      <w:r w:rsidR="008D62E0">
        <w:rPr>
          <w:rFonts w:ascii="Arial" w:hAnsi="Arial" w:cs="Arial"/>
          <w:bCs/>
          <w:sz w:val="24"/>
          <w:szCs w:val="24"/>
        </w:rPr>
        <w:t xml:space="preserve"> important to justify separate legislation. However, the cumulative effects of the amendments can have a significant impact on the ACT statute </w:t>
      </w:r>
      <w:r w:rsidR="00F62983">
        <w:rPr>
          <w:rFonts w:ascii="Arial" w:hAnsi="Arial" w:cs="Arial"/>
          <w:bCs/>
          <w:sz w:val="24"/>
          <w:szCs w:val="24"/>
        </w:rPr>
        <w:t xml:space="preserve">book and the overall quality of ACT law. </w:t>
      </w:r>
    </w:p>
    <w:p w14:paraId="6400CD49" w14:textId="7D43D609" w:rsidR="00F62983" w:rsidRPr="00AF50BA" w:rsidRDefault="00F62983" w:rsidP="00AF50BA">
      <w:pPr>
        <w:rPr>
          <w:rFonts w:ascii="Arial" w:hAnsi="Arial" w:cs="Arial"/>
          <w:bCs/>
          <w:sz w:val="24"/>
          <w:szCs w:val="24"/>
        </w:rPr>
      </w:pPr>
      <w:r>
        <w:rPr>
          <w:rFonts w:ascii="Arial" w:hAnsi="Arial" w:cs="Arial"/>
          <w:bCs/>
          <w:sz w:val="24"/>
          <w:szCs w:val="24"/>
        </w:rPr>
        <w:t xml:space="preserve">When enacted, </w:t>
      </w:r>
      <w:r w:rsidRPr="00F62983">
        <w:rPr>
          <w:rFonts w:ascii="Arial" w:hAnsi="Arial" w:cs="Arial"/>
          <w:bCs/>
          <w:sz w:val="24"/>
          <w:szCs w:val="24"/>
        </w:rPr>
        <w:t>the Bill will help to improve the quality of the ACT’s statute book by making it simpler, more consistent and more coherent, and will assist in keeping it up-to-date</w:t>
      </w:r>
      <w:r>
        <w:rPr>
          <w:rFonts w:ascii="Arial" w:hAnsi="Arial" w:cs="Arial"/>
          <w:bCs/>
          <w:sz w:val="24"/>
          <w:szCs w:val="24"/>
        </w:rPr>
        <w:t xml:space="preserve">. </w:t>
      </w:r>
    </w:p>
    <w:p w14:paraId="3687FC9A" w14:textId="77777777" w:rsidR="000146B7" w:rsidRPr="00306B89" w:rsidRDefault="000146B7" w:rsidP="000146B7">
      <w:pPr>
        <w:pStyle w:val="ListParagraph"/>
        <w:rPr>
          <w:rFonts w:ascii="Arial" w:hAnsi="Arial" w:cs="Arial"/>
          <w:bCs/>
          <w:sz w:val="24"/>
          <w:szCs w:val="24"/>
        </w:rPr>
      </w:pPr>
    </w:p>
    <w:p w14:paraId="5455FA76" w14:textId="77777777" w:rsidR="00670967" w:rsidRDefault="00670967">
      <w:pPr>
        <w:spacing w:after="0" w:line="240" w:lineRule="auto"/>
        <w:rPr>
          <w:rFonts w:ascii="Arial" w:hAnsi="Arial" w:cs="Arial"/>
          <w:b/>
          <w:sz w:val="24"/>
          <w:szCs w:val="24"/>
        </w:rPr>
      </w:pPr>
      <w:r>
        <w:rPr>
          <w:rFonts w:ascii="Arial" w:hAnsi="Arial" w:cs="Arial"/>
          <w:b/>
          <w:sz w:val="24"/>
          <w:szCs w:val="24"/>
        </w:rPr>
        <w:br w:type="page"/>
      </w:r>
    </w:p>
    <w:p w14:paraId="5D5C6C0D" w14:textId="44643BC6" w:rsidR="00E65AA5" w:rsidRDefault="00AC59DF" w:rsidP="00414921">
      <w:pPr>
        <w:rPr>
          <w:rFonts w:ascii="Arial" w:hAnsi="Arial" w:cs="Arial"/>
          <w:b/>
          <w:sz w:val="24"/>
          <w:szCs w:val="24"/>
        </w:rPr>
      </w:pPr>
      <w:r w:rsidRPr="00AC59DF">
        <w:rPr>
          <w:rFonts w:ascii="Arial" w:hAnsi="Arial" w:cs="Arial"/>
          <w:b/>
          <w:sz w:val="24"/>
          <w:szCs w:val="24"/>
        </w:rPr>
        <w:lastRenderedPageBreak/>
        <w:t>CONSULTATION ON THE PROPOSED APPROACH</w:t>
      </w:r>
    </w:p>
    <w:p w14:paraId="21C5E70F" w14:textId="77777777" w:rsidR="00193791" w:rsidRPr="00193791" w:rsidRDefault="00193791" w:rsidP="008C225D">
      <w:pPr>
        <w:pStyle w:val="Heading2"/>
        <w:rPr>
          <w:rFonts w:eastAsia="Times New Roman" w:cs="Arial"/>
          <w:b w:val="0"/>
          <w:iCs/>
          <w:szCs w:val="24"/>
        </w:rPr>
      </w:pPr>
      <w:r w:rsidRPr="00193791">
        <w:rPr>
          <w:rFonts w:eastAsia="Times New Roman" w:cs="Arial"/>
          <w:b w:val="0"/>
          <w:iCs/>
          <w:szCs w:val="24"/>
        </w:rPr>
        <w:t>As the Bill is an omnibus bill to provide for minor, non-controversial and technical legislative amendments, consultation on the Bill was conducted internally with ACT Government directorates only.</w:t>
      </w:r>
    </w:p>
    <w:p w14:paraId="207A7EA4" w14:textId="77777777" w:rsidR="00193791" w:rsidRDefault="00193791" w:rsidP="008C225D">
      <w:pPr>
        <w:pStyle w:val="Heading2"/>
        <w:rPr>
          <w:rFonts w:eastAsia="Times New Roman" w:cs="Arial"/>
          <w:b w:val="0"/>
          <w:i/>
          <w:color w:val="FF0000"/>
          <w:szCs w:val="24"/>
        </w:rPr>
      </w:pPr>
    </w:p>
    <w:p w14:paraId="1A2BA5E1" w14:textId="403DDE00" w:rsidR="00790FE4" w:rsidRDefault="00503AAB" w:rsidP="008C225D">
      <w:pPr>
        <w:pStyle w:val="Heading2"/>
      </w:pPr>
      <w:r>
        <w:t xml:space="preserve">CONSISTENCY WITH </w:t>
      </w:r>
      <w:r w:rsidR="00790FE4" w:rsidRPr="008C225D">
        <w:t>HUMAN RIGHTS</w:t>
      </w:r>
    </w:p>
    <w:p w14:paraId="27092E85" w14:textId="6883950F" w:rsidR="00F62983" w:rsidRPr="00F62983" w:rsidRDefault="00F62983" w:rsidP="007D660F">
      <w:pPr>
        <w:rPr>
          <w:rFonts w:ascii="Arial" w:hAnsi="Arial" w:cs="Arial"/>
          <w:iCs/>
          <w:sz w:val="24"/>
          <w:szCs w:val="24"/>
        </w:rPr>
      </w:pPr>
      <w:bookmarkStart w:id="1" w:name="_Hlk102131820"/>
      <w:r w:rsidRPr="00F62983">
        <w:rPr>
          <w:rFonts w:ascii="Arial" w:hAnsi="Arial" w:cs="Arial"/>
          <w:iCs/>
          <w:sz w:val="24"/>
          <w:szCs w:val="24"/>
        </w:rPr>
        <w:t>The Bill does not engage any human rights under the </w:t>
      </w:r>
      <w:r w:rsidRPr="00F62983">
        <w:rPr>
          <w:rFonts w:ascii="Arial" w:hAnsi="Arial" w:cs="Arial"/>
          <w:i/>
          <w:iCs/>
          <w:sz w:val="24"/>
          <w:szCs w:val="24"/>
        </w:rPr>
        <w:t>Human Rights Act 2004</w:t>
      </w:r>
      <w:r w:rsidRPr="00F62983">
        <w:rPr>
          <w:rFonts w:ascii="Arial" w:hAnsi="Arial" w:cs="Arial"/>
          <w:iCs/>
          <w:sz w:val="24"/>
          <w:szCs w:val="24"/>
        </w:rPr>
        <w:t>. Therefore, a human rights proportionality analysis is not required.</w:t>
      </w:r>
      <w:bookmarkEnd w:id="1"/>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bookmarkStart w:id="2" w:name="OLE_LINK1"/>
    </w:p>
    <w:p w14:paraId="550D722C" w14:textId="77777777" w:rsidR="00D21DB3" w:rsidRDefault="00D21DB3">
      <w:pPr>
        <w:spacing w:after="0" w:line="240" w:lineRule="auto"/>
        <w:rPr>
          <w:rFonts w:asciiTheme="minorHAnsi" w:eastAsiaTheme="majorEastAsia" w:hAnsiTheme="minorHAnsi" w:cs="Arial"/>
          <w:sz w:val="28"/>
          <w:szCs w:val="28"/>
          <w:lang w:eastAsia="en-AU"/>
        </w:rPr>
      </w:pPr>
      <w:r>
        <w:rPr>
          <w:rFonts w:asciiTheme="minorHAnsi" w:hAnsiTheme="minorHAnsi" w:cs="Arial"/>
          <w:b/>
          <w:sz w:val="28"/>
          <w:szCs w:val="28"/>
          <w:lang w:eastAsia="en-AU"/>
        </w:rPr>
        <w:br w:type="page"/>
      </w:r>
    </w:p>
    <w:p w14:paraId="79AD90A2" w14:textId="3412ECA6" w:rsidR="00E574DD" w:rsidRPr="00943C7F" w:rsidRDefault="00900CE7"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Justice and Community Safety Legislation Amendment Bill 2025</w:t>
      </w:r>
    </w:p>
    <w:bookmarkEnd w:id="2"/>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798A296D"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3E49DF">
        <w:rPr>
          <w:rFonts w:asciiTheme="minorHAnsi" w:hAnsiTheme="minorHAnsi"/>
          <w:b/>
        </w:rPr>
        <w:t>Justice and Community Safety Legislation Amendment Bill 2025</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Assembly</w:t>
      </w:r>
      <w:r w:rsidR="00670967">
        <w:rPr>
          <w:rFonts w:asciiTheme="minorHAnsi" w:hAnsiTheme="minorHAnsi"/>
          <w:b/>
        </w:rPr>
        <w:t xml:space="preserve"> is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0BA01B63" w:rsidR="00E574DD" w:rsidRDefault="00900CE7" w:rsidP="00E574DD">
      <w:pPr>
        <w:rPr>
          <w:rFonts w:asciiTheme="minorHAnsi" w:hAnsiTheme="minorHAnsi" w:cstheme="minorHAnsi"/>
        </w:rPr>
      </w:pPr>
      <w:r>
        <w:rPr>
          <w:rFonts w:asciiTheme="minorHAnsi" w:hAnsiTheme="minorHAnsi" w:cstheme="minorHAnsi"/>
        </w:rPr>
        <w:t>Tara Cheyne</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0E2E8CBE" w14:textId="77777777" w:rsidR="00E76504" w:rsidRPr="00E76504" w:rsidRDefault="00E76504" w:rsidP="00E76504"/>
    <w:p w14:paraId="37292E41" w14:textId="1CEEACB9" w:rsidR="00C76CD8" w:rsidRDefault="00C76CD8" w:rsidP="00C76CD8">
      <w:pPr>
        <w:pStyle w:val="Style1"/>
        <w:numPr>
          <w:ilvl w:val="0"/>
          <w:numId w:val="0"/>
        </w:numPr>
        <w:spacing w:line="276" w:lineRule="auto"/>
        <w:ind w:left="357" w:hanging="357"/>
      </w:pPr>
      <w:r>
        <w:lastRenderedPageBreak/>
        <w:t>CLAUSE NOTES</w:t>
      </w:r>
    </w:p>
    <w:p w14:paraId="27FB735B" w14:textId="74E959DB" w:rsidR="00C61B07" w:rsidRDefault="00C61B07" w:rsidP="00580E82">
      <w:pPr>
        <w:pStyle w:val="Style1"/>
        <w:spacing w:line="276" w:lineRule="auto"/>
      </w:pPr>
      <w:r w:rsidRPr="00BC0E36">
        <w:t>Name of Act</w:t>
      </w:r>
    </w:p>
    <w:p w14:paraId="0E2D95D9" w14:textId="2F25CE93" w:rsidR="00AD4C40" w:rsidRPr="00F51068" w:rsidRDefault="00347917" w:rsidP="00580E82">
      <w:pPr>
        <w:pStyle w:val="Style1"/>
        <w:numPr>
          <w:ilvl w:val="0"/>
          <w:numId w:val="0"/>
        </w:numPr>
        <w:spacing w:line="276" w:lineRule="auto"/>
        <w:rPr>
          <w:i/>
          <w:iCs/>
        </w:rPr>
      </w:pPr>
      <w:r w:rsidRPr="00BF19D2">
        <w:rPr>
          <w:rFonts w:eastAsia="Times New Roman" w:cs="Arial"/>
          <w:b w:val="0"/>
        </w:rPr>
        <w:t xml:space="preserve">This clause provides that the name of the Act is </w:t>
      </w:r>
      <w:r w:rsidR="00F51068" w:rsidRPr="00F51068">
        <w:rPr>
          <w:b w:val="0"/>
          <w:bCs/>
        </w:rPr>
        <w:t xml:space="preserve">the </w:t>
      </w:r>
      <w:r w:rsidR="00F51068" w:rsidRPr="00F51068">
        <w:rPr>
          <w:b w:val="0"/>
          <w:bCs/>
          <w:i/>
          <w:iCs/>
        </w:rPr>
        <w:t>Justice and Community Safety Legislation Amendment Act 2025</w:t>
      </w:r>
      <w:r w:rsidR="00F51068">
        <w:rPr>
          <w:i/>
          <w:iCs/>
        </w:rPr>
        <w:t xml:space="preserve">. </w:t>
      </w:r>
    </w:p>
    <w:p w14:paraId="341827EE" w14:textId="0F1E1249" w:rsidR="00C61B07" w:rsidRDefault="00C61B07" w:rsidP="00580E82">
      <w:pPr>
        <w:pStyle w:val="Style1"/>
        <w:spacing w:line="276" w:lineRule="auto"/>
      </w:pPr>
      <w:r w:rsidRPr="00ED3B77">
        <w:t>Commencement</w:t>
      </w:r>
    </w:p>
    <w:p w14:paraId="7DE3CCA5" w14:textId="5872A316" w:rsidR="000725B7" w:rsidRDefault="00347917" w:rsidP="00580E82">
      <w:pPr>
        <w:pStyle w:val="Style1"/>
        <w:numPr>
          <w:ilvl w:val="0"/>
          <w:numId w:val="0"/>
        </w:numPr>
        <w:spacing w:line="276" w:lineRule="auto"/>
        <w:rPr>
          <w:b w:val="0"/>
          <w:bCs/>
        </w:rPr>
      </w:pPr>
      <w:r w:rsidRPr="00736058">
        <w:rPr>
          <w:rFonts w:cs="Arial"/>
          <w:b w:val="0"/>
          <w:bCs/>
        </w:rPr>
        <w:t>This clause provides for the commencement of the Act.</w:t>
      </w:r>
      <w:r w:rsidRPr="00BF19D2">
        <w:rPr>
          <w:rFonts w:cs="Arial"/>
        </w:rPr>
        <w:t xml:space="preserve"> </w:t>
      </w:r>
      <w:r w:rsidRPr="00736058">
        <w:rPr>
          <w:rFonts w:cs="Arial"/>
          <w:b w:val="0"/>
          <w:bCs/>
        </w:rPr>
        <w:t>The Act commences</w:t>
      </w:r>
      <w:r>
        <w:rPr>
          <w:b w:val="0"/>
          <w:bCs/>
        </w:rPr>
        <w:t xml:space="preserve"> </w:t>
      </w:r>
      <w:r w:rsidR="000725B7">
        <w:rPr>
          <w:b w:val="0"/>
          <w:bCs/>
        </w:rPr>
        <w:t>7 days after the day it is notified</w:t>
      </w:r>
      <w:r w:rsidR="00D14576">
        <w:rPr>
          <w:b w:val="0"/>
          <w:bCs/>
        </w:rPr>
        <w:t xml:space="preserve">. </w:t>
      </w:r>
    </w:p>
    <w:p w14:paraId="489911F0" w14:textId="40E759FC" w:rsidR="00D14576" w:rsidRPr="000725B7" w:rsidRDefault="00D14576" w:rsidP="00580E82">
      <w:pPr>
        <w:pStyle w:val="Style1"/>
        <w:numPr>
          <w:ilvl w:val="0"/>
          <w:numId w:val="0"/>
        </w:numPr>
        <w:spacing w:line="276" w:lineRule="auto"/>
        <w:rPr>
          <w:b w:val="0"/>
          <w:bCs/>
        </w:rPr>
      </w:pPr>
      <w:r>
        <w:rPr>
          <w:b w:val="0"/>
          <w:bCs/>
        </w:rPr>
        <w:t xml:space="preserve">The note provides that naming and commencement provisions will automatically commence on the day the </w:t>
      </w:r>
      <w:r w:rsidR="00BB0ECE">
        <w:rPr>
          <w:b w:val="0"/>
          <w:bCs/>
        </w:rPr>
        <w:t xml:space="preserve">Act </w:t>
      </w:r>
      <w:r>
        <w:rPr>
          <w:b w:val="0"/>
          <w:bCs/>
        </w:rPr>
        <w:t xml:space="preserve">is notified. </w:t>
      </w:r>
    </w:p>
    <w:p w14:paraId="03E3F0B8" w14:textId="22D611CC" w:rsidR="00C61B07" w:rsidRDefault="00C61B07" w:rsidP="00580E82">
      <w:pPr>
        <w:pStyle w:val="Style1"/>
        <w:spacing w:line="276" w:lineRule="auto"/>
      </w:pPr>
      <w:r w:rsidRPr="00ED3B77">
        <w:t>Legislation amended</w:t>
      </w:r>
    </w:p>
    <w:p w14:paraId="7E20FA38" w14:textId="31C4A2FA" w:rsidR="00D7062D" w:rsidRDefault="00572938" w:rsidP="00580E82">
      <w:pPr>
        <w:pStyle w:val="Style1"/>
        <w:numPr>
          <w:ilvl w:val="0"/>
          <w:numId w:val="0"/>
        </w:numPr>
        <w:spacing w:line="276" w:lineRule="auto"/>
        <w:rPr>
          <w:b w:val="0"/>
          <w:bCs/>
        </w:rPr>
      </w:pPr>
      <w:r>
        <w:rPr>
          <w:b w:val="0"/>
          <w:bCs/>
        </w:rPr>
        <w:t xml:space="preserve">This clause </w:t>
      </w:r>
      <w:r w:rsidR="00C30D58">
        <w:rPr>
          <w:b w:val="0"/>
          <w:bCs/>
        </w:rPr>
        <w:t xml:space="preserve">gives effect to the amendments made by Schedule 1. </w:t>
      </w:r>
    </w:p>
    <w:p w14:paraId="0CE0B9E5" w14:textId="5337E896" w:rsidR="00C30D58" w:rsidRDefault="00603AE3" w:rsidP="00580E82">
      <w:pPr>
        <w:pStyle w:val="Style1"/>
        <w:numPr>
          <w:ilvl w:val="0"/>
          <w:numId w:val="0"/>
        </w:numPr>
        <w:spacing w:line="276" w:lineRule="auto"/>
        <w:ind w:left="357" w:hanging="357"/>
      </w:pPr>
      <w:r w:rsidRPr="005B4907">
        <w:t>Schedule 1</w:t>
      </w:r>
      <w:r w:rsidRPr="005B4907">
        <w:tab/>
      </w:r>
      <w:r w:rsidR="005B4907" w:rsidRPr="005B4907">
        <w:t>Legislation amended</w:t>
      </w:r>
    </w:p>
    <w:p w14:paraId="7F451196" w14:textId="0673EDF8" w:rsidR="00603AE3" w:rsidRDefault="009808C1" w:rsidP="00580E82">
      <w:pPr>
        <w:pStyle w:val="Style1"/>
        <w:numPr>
          <w:ilvl w:val="0"/>
          <w:numId w:val="0"/>
        </w:numPr>
        <w:spacing w:line="276" w:lineRule="auto"/>
        <w:rPr>
          <w:b w:val="0"/>
          <w:bCs/>
        </w:rPr>
      </w:pPr>
      <w:r>
        <w:rPr>
          <w:b w:val="0"/>
          <w:bCs/>
        </w:rPr>
        <w:t xml:space="preserve">Schedule 1 </w:t>
      </w:r>
      <w:r w:rsidR="00BB0ECE">
        <w:rPr>
          <w:b w:val="0"/>
          <w:bCs/>
        </w:rPr>
        <w:t>contains amendments</w:t>
      </w:r>
      <w:r>
        <w:rPr>
          <w:b w:val="0"/>
          <w:bCs/>
        </w:rPr>
        <w:t xml:space="preserve"> to the following pieces of legislation: </w:t>
      </w:r>
    </w:p>
    <w:p w14:paraId="19E258D0" w14:textId="268E8B41" w:rsidR="002C4D88" w:rsidRPr="00736058" w:rsidRDefault="002C4D88">
      <w:pPr>
        <w:pStyle w:val="Style1"/>
        <w:numPr>
          <w:ilvl w:val="0"/>
          <w:numId w:val="5"/>
        </w:numPr>
        <w:spacing w:before="0" w:after="120" w:line="276" w:lineRule="auto"/>
        <w:ind w:left="714" w:hanging="357"/>
        <w:rPr>
          <w:b w:val="0"/>
          <w:i/>
          <w:iCs/>
        </w:rPr>
      </w:pPr>
      <w:r w:rsidRPr="00736058">
        <w:rPr>
          <w:b w:val="0"/>
          <w:i/>
          <w:iCs/>
        </w:rPr>
        <w:t>Crimes Act 1900</w:t>
      </w:r>
    </w:p>
    <w:p w14:paraId="16E93CB7" w14:textId="7EC3D14F" w:rsidR="002C4D88" w:rsidRPr="00736058" w:rsidRDefault="002C4D88">
      <w:pPr>
        <w:pStyle w:val="Style1"/>
        <w:numPr>
          <w:ilvl w:val="0"/>
          <w:numId w:val="5"/>
        </w:numPr>
        <w:spacing w:before="0" w:after="120" w:line="276" w:lineRule="auto"/>
        <w:ind w:left="714" w:hanging="357"/>
        <w:rPr>
          <w:b w:val="0"/>
          <w:i/>
          <w:iCs/>
        </w:rPr>
      </w:pPr>
      <w:r w:rsidRPr="00736058">
        <w:rPr>
          <w:b w:val="0"/>
          <w:i/>
          <w:iCs/>
        </w:rPr>
        <w:t>Fair Trading (Fuel Prices) Act 1993</w:t>
      </w:r>
    </w:p>
    <w:p w14:paraId="0CCAFD7E" w14:textId="3941B9A3" w:rsidR="002C4D88" w:rsidRPr="00736058" w:rsidRDefault="002C4D88">
      <w:pPr>
        <w:pStyle w:val="Style1"/>
        <w:numPr>
          <w:ilvl w:val="0"/>
          <w:numId w:val="5"/>
        </w:numPr>
        <w:spacing w:before="0" w:after="120" w:line="276" w:lineRule="auto"/>
        <w:ind w:left="714" w:hanging="357"/>
        <w:rPr>
          <w:b w:val="0"/>
          <w:i/>
          <w:iCs/>
        </w:rPr>
      </w:pPr>
      <w:r w:rsidRPr="00736058">
        <w:rPr>
          <w:b w:val="0"/>
          <w:i/>
          <w:iCs/>
        </w:rPr>
        <w:t>Fair Trading (Motor Vehicle Repair Industry) Act 2010</w:t>
      </w:r>
    </w:p>
    <w:p w14:paraId="626B8969" w14:textId="297B7876" w:rsidR="002C4D88" w:rsidRPr="00736058" w:rsidRDefault="002C4D88">
      <w:pPr>
        <w:pStyle w:val="Style1"/>
        <w:numPr>
          <w:ilvl w:val="0"/>
          <w:numId w:val="5"/>
        </w:numPr>
        <w:spacing w:before="0" w:after="120" w:line="276" w:lineRule="auto"/>
        <w:ind w:left="714" w:hanging="357"/>
        <w:rPr>
          <w:b w:val="0"/>
          <w:i/>
          <w:iCs/>
        </w:rPr>
      </w:pPr>
      <w:r w:rsidRPr="00736058">
        <w:rPr>
          <w:b w:val="0"/>
          <w:i/>
          <w:iCs/>
        </w:rPr>
        <w:t>Gambling and Racing Control Act 1999</w:t>
      </w:r>
    </w:p>
    <w:p w14:paraId="52837BA7" w14:textId="77777777" w:rsidR="002C4D88" w:rsidRPr="00736058" w:rsidRDefault="002C4D88">
      <w:pPr>
        <w:pStyle w:val="Style1"/>
        <w:numPr>
          <w:ilvl w:val="0"/>
          <w:numId w:val="5"/>
        </w:numPr>
        <w:spacing w:before="0" w:after="120" w:line="276" w:lineRule="auto"/>
        <w:ind w:left="714" w:hanging="357"/>
        <w:rPr>
          <w:b w:val="0"/>
          <w:i/>
          <w:iCs/>
        </w:rPr>
      </w:pPr>
      <w:r w:rsidRPr="00736058">
        <w:rPr>
          <w:b w:val="0"/>
          <w:i/>
          <w:iCs/>
        </w:rPr>
        <w:t>Gaming Machine Act 2004</w:t>
      </w:r>
    </w:p>
    <w:p w14:paraId="37136110" w14:textId="67BC8E24" w:rsidR="002C4D88" w:rsidRPr="00736058" w:rsidRDefault="002C4D88">
      <w:pPr>
        <w:pStyle w:val="Style1"/>
        <w:numPr>
          <w:ilvl w:val="0"/>
          <w:numId w:val="5"/>
        </w:numPr>
        <w:spacing w:before="0" w:after="120" w:line="276" w:lineRule="auto"/>
        <w:ind w:left="714" w:hanging="357"/>
        <w:rPr>
          <w:b w:val="0"/>
          <w:i/>
          <w:iCs/>
        </w:rPr>
      </w:pPr>
      <w:r w:rsidRPr="00736058">
        <w:rPr>
          <w:b w:val="0"/>
          <w:i/>
          <w:iCs/>
        </w:rPr>
        <w:t>Jurisdiction of Courts (Cross-Vesting) Act 1993</w:t>
      </w:r>
    </w:p>
    <w:p w14:paraId="7D7F7AED" w14:textId="5267D00C" w:rsidR="002C4D88" w:rsidRPr="00736058" w:rsidRDefault="002C4D88">
      <w:pPr>
        <w:pStyle w:val="Style1"/>
        <w:numPr>
          <w:ilvl w:val="0"/>
          <w:numId w:val="5"/>
        </w:numPr>
        <w:spacing w:before="0" w:after="120" w:line="276" w:lineRule="auto"/>
        <w:ind w:left="714" w:hanging="357"/>
        <w:rPr>
          <w:b w:val="0"/>
          <w:i/>
          <w:iCs/>
        </w:rPr>
      </w:pPr>
      <w:r w:rsidRPr="00736058">
        <w:rPr>
          <w:b w:val="0"/>
          <w:i/>
          <w:iCs/>
        </w:rPr>
        <w:t>Land Titles Act 1925</w:t>
      </w:r>
    </w:p>
    <w:p w14:paraId="593A3395" w14:textId="73A52E67" w:rsidR="002C4D88" w:rsidRPr="00736058" w:rsidRDefault="002C4D88">
      <w:pPr>
        <w:pStyle w:val="Style1"/>
        <w:numPr>
          <w:ilvl w:val="0"/>
          <w:numId w:val="5"/>
        </w:numPr>
        <w:spacing w:before="0" w:after="120" w:line="276" w:lineRule="auto"/>
        <w:ind w:left="714" w:hanging="357"/>
        <w:rPr>
          <w:b w:val="0"/>
          <w:i/>
          <w:iCs/>
        </w:rPr>
      </w:pPr>
      <w:r w:rsidRPr="00736058">
        <w:rPr>
          <w:b w:val="0"/>
          <w:i/>
          <w:iCs/>
        </w:rPr>
        <w:t>Major Events Act 2014</w:t>
      </w:r>
    </w:p>
    <w:p w14:paraId="46C35471" w14:textId="77777777" w:rsidR="002C4D88" w:rsidRPr="00736058" w:rsidRDefault="002C4D88">
      <w:pPr>
        <w:pStyle w:val="Style1"/>
        <w:numPr>
          <w:ilvl w:val="0"/>
          <w:numId w:val="5"/>
        </w:numPr>
        <w:spacing w:before="0" w:after="120" w:line="276" w:lineRule="auto"/>
        <w:ind w:left="714" w:hanging="357"/>
        <w:rPr>
          <w:b w:val="0"/>
          <w:i/>
          <w:iCs/>
        </w:rPr>
      </w:pPr>
      <w:r w:rsidRPr="00736058">
        <w:rPr>
          <w:b w:val="0"/>
          <w:i/>
          <w:iCs/>
        </w:rPr>
        <w:t>Second-hand dealers Regulation 2002</w:t>
      </w:r>
    </w:p>
    <w:p w14:paraId="585EB280" w14:textId="1CF6C766" w:rsidR="009808C1" w:rsidRDefault="00C521B6" w:rsidP="00580E82">
      <w:pPr>
        <w:pStyle w:val="Style2"/>
        <w:spacing w:line="276" w:lineRule="auto"/>
      </w:pPr>
      <w:r>
        <w:tab/>
      </w:r>
      <w:r w:rsidR="003C08AF">
        <w:t>Crimes Act 1900</w:t>
      </w:r>
    </w:p>
    <w:p w14:paraId="32FA7B98" w14:textId="7060D348" w:rsidR="003C08AF" w:rsidRDefault="00A265C1">
      <w:pPr>
        <w:pStyle w:val="Style2"/>
        <w:numPr>
          <w:ilvl w:val="1"/>
          <w:numId w:val="7"/>
        </w:numPr>
        <w:spacing w:line="276" w:lineRule="auto"/>
      </w:pPr>
      <w:r>
        <w:tab/>
        <w:t>S</w:t>
      </w:r>
      <w:r w:rsidR="00E05BBC">
        <w:t>ection 7A, note 1, new do</w:t>
      </w:r>
      <w:r w:rsidR="00E05BBC" w:rsidRPr="00736058">
        <w:t>t points</w:t>
      </w:r>
    </w:p>
    <w:p w14:paraId="1222F88F" w14:textId="52960E93" w:rsidR="00E05BBC" w:rsidRDefault="00E05BBC" w:rsidP="00580E82">
      <w:pPr>
        <w:pStyle w:val="Style2"/>
        <w:numPr>
          <w:ilvl w:val="0"/>
          <w:numId w:val="0"/>
        </w:numPr>
        <w:spacing w:line="276" w:lineRule="auto"/>
        <w:rPr>
          <w:b w:val="0"/>
          <w:bCs w:val="0"/>
        </w:rPr>
      </w:pPr>
      <w:r>
        <w:rPr>
          <w:b w:val="0"/>
          <w:bCs w:val="0"/>
        </w:rPr>
        <w:t xml:space="preserve">This clause inserts two new dot points into </w:t>
      </w:r>
      <w:r w:rsidR="004116DD">
        <w:rPr>
          <w:b w:val="0"/>
          <w:bCs w:val="0"/>
        </w:rPr>
        <w:t xml:space="preserve">Note 1 in section 7A of the </w:t>
      </w:r>
      <w:r w:rsidR="004116DD">
        <w:rPr>
          <w:b w:val="0"/>
          <w:bCs w:val="0"/>
          <w:i/>
          <w:iCs/>
        </w:rPr>
        <w:t xml:space="preserve">Crimes Act 1900. </w:t>
      </w:r>
      <w:r w:rsidR="004116DD">
        <w:rPr>
          <w:b w:val="0"/>
          <w:bCs w:val="0"/>
        </w:rPr>
        <w:t xml:space="preserve">Note 1 in Section 7A provides a list of offences to which </w:t>
      </w:r>
      <w:r w:rsidR="001608BE">
        <w:rPr>
          <w:b w:val="0"/>
          <w:bCs w:val="0"/>
        </w:rPr>
        <w:t xml:space="preserve">other legislation applies, specifically Chapter 2 of the </w:t>
      </w:r>
      <w:r w:rsidR="001608BE" w:rsidRPr="00736058">
        <w:rPr>
          <w:b w:val="0"/>
          <w:bCs w:val="0"/>
        </w:rPr>
        <w:t>Criminal Code</w:t>
      </w:r>
      <w:r w:rsidR="001608BE">
        <w:rPr>
          <w:b w:val="0"/>
          <w:bCs w:val="0"/>
          <w:i/>
          <w:iCs/>
        </w:rPr>
        <w:t xml:space="preserve">. </w:t>
      </w:r>
      <w:r w:rsidR="001608BE">
        <w:rPr>
          <w:b w:val="0"/>
          <w:bCs w:val="0"/>
        </w:rPr>
        <w:t xml:space="preserve">The additional offences inserted into the list are: </w:t>
      </w:r>
    </w:p>
    <w:p w14:paraId="05523695" w14:textId="77777777" w:rsidR="00A265C1" w:rsidRDefault="00A265C1">
      <w:pPr>
        <w:pStyle w:val="Style2"/>
        <w:numPr>
          <w:ilvl w:val="0"/>
          <w:numId w:val="5"/>
        </w:numPr>
        <w:spacing w:line="276" w:lineRule="auto"/>
        <w:rPr>
          <w:b w:val="0"/>
          <w:bCs w:val="0"/>
        </w:rPr>
      </w:pPr>
      <w:r w:rsidRPr="00A265C1">
        <w:rPr>
          <w:b w:val="0"/>
          <w:bCs w:val="0"/>
        </w:rPr>
        <w:t xml:space="preserve">s 55A (Sexual intercourse with young person under special care) </w:t>
      </w:r>
    </w:p>
    <w:p w14:paraId="52F3213F" w14:textId="20635700" w:rsidR="00A265C1" w:rsidRDefault="00A265C1">
      <w:pPr>
        <w:pStyle w:val="Style2"/>
        <w:numPr>
          <w:ilvl w:val="0"/>
          <w:numId w:val="5"/>
        </w:numPr>
        <w:spacing w:line="276" w:lineRule="auto"/>
        <w:rPr>
          <w:b w:val="0"/>
          <w:bCs w:val="0"/>
        </w:rPr>
      </w:pPr>
      <w:r w:rsidRPr="00A265C1">
        <w:rPr>
          <w:b w:val="0"/>
          <w:bCs w:val="0"/>
        </w:rPr>
        <w:lastRenderedPageBreak/>
        <w:t>s 61A (Act of indecency with young person under special care)</w:t>
      </w:r>
    </w:p>
    <w:p w14:paraId="24C44D39" w14:textId="33F4279C" w:rsidR="005B4907" w:rsidRDefault="005B4907" w:rsidP="005B4907">
      <w:pPr>
        <w:pStyle w:val="Style2"/>
        <w:numPr>
          <w:ilvl w:val="1"/>
          <w:numId w:val="7"/>
        </w:numPr>
        <w:spacing w:line="276" w:lineRule="auto"/>
      </w:pPr>
      <w:r>
        <w:rPr>
          <w:b w:val="0"/>
          <w:bCs w:val="0"/>
        </w:rPr>
        <w:t xml:space="preserve"> </w:t>
      </w:r>
      <w:r>
        <w:rPr>
          <w:b w:val="0"/>
          <w:bCs w:val="0"/>
        </w:rPr>
        <w:tab/>
      </w:r>
      <w:r w:rsidRPr="005B4907">
        <w:t>Section 7A</w:t>
      </w:r>
      <w:r>
        <w:t>, new note</w:t>
      </w:r>
    </w:p>
    <w:p w14:paraId="7D8B36F0" w14:textId="14E57DE9" w:rsidR="005B4907" w:rsidRPr="00264117" w:rsidRDefault="005B4907" w:rsidP="005B4907">
      <w:pPr>
        <w:pStyle w:val="Style2"/>
        <w:numPr>
          <w:ilvl w:val="0"/>
          <w:numId w:val="0"/>
        </w:numPr>
        <w:spacing w:line="276" w:lineRule="auto"/>
        <w:rPr>
          <w:b w:val="0"/>
          <w:bCs w:val="0"/>
        </w:rPr>
      </w:pPr>
      <w:r>
        <w:rPr>
          <w:b w:val="0"/>
          <w:bCs w:val="0"/>
        </w:rPr>
        <w:t xml:space="preserve">This clause inserts a new note into section 7A, </w:t>
      </w:r>
      <w:r w:rsidR="00264117">
        <w:rPr>
          <w:b w:val="0"/>
          <w:bCs w:val="0"/>
        </w:rPr>
        <w:t xml:space="preserve">providing that Chapter 2 of the Criminal Code applies to an offence mentioned in section 72AA (1) of the </w:t>
      </w:r>
      <w:r w:rsidR="00264117">
        <w:rPr>
          <w:b w:val="0"/>
          <w:bCs w:val="0"/>
          <w:i/>
          <w:iCs/>
        </w:rPr>
        <w:t xml:space="preserve">Crimes Act </w:t>
      </w:r>
      <w:r w:rsidR="00264117">
        <w:rPr>
          <w:b w:val="0"/>
          <w:bCs w:val="0"/>
        </w:rPr>
        <w:t xml:space="preserve">if Chapter 2 applied to the offence before the commencement of section 72AA (see also section 72AA (4) (b)). </w:t>
      </w:r>
    </w:p>
    <w:p w14:paraId="01C47643" w14:textId="702D2E7D" w:rsidR="00A265C1" w:rsidRPr="00D94300" w:rsidRDefault="00A265C1">
      <w:pPr>
        <w:pStyle w:val="Style2"/>
        <w:numPr>
          <w:ilvl w:val="1"/>
          <w:numId w:val="7"/>
        </w:numPr>
        <w:spacing w:line="276" w:lineRule="auto"/>
        <w:rPr>
          <w:b w:val="0"/>
          <w:bCs w:val="0"/>
        </w:rPr>
      </w:pPr>
      <w:r>
        <w:rPr>
          <w:b w:val="0"/>
          <w:bCs w:val="0"/>
        </w:rPr>
        <w:t xml:space="preserve"> </w:t>
      </w:r>
      <w:r>
        <w:rPr>
          <w:b w:val="0"/>
          <w:bCs w:val="0"/>
        </w:rPr>
        <w:tab/>
      </w:r>
      <w:r w:rsidR="00D94300">
        <w:t xml:space="preserve">Dictionary, definition of </w:t>
      </w:r>
      <w:r w:rsidR="00D94300">
        <w:rPr>
          <w:i/>
          <w:iCs/>
        </w:rPr>
        <w:t xml:space="preserve">public place, </w:t>
      </w:r>
      <w:r w:rsidR="00D94300">
        <w:t>paragraph (a)</w:t>
      </w:r>
    </w:p>
    <w:p w14:paraId="67309B94" w14:textId="74E686A5" w:rsidR="00D94300" w:rsidRDefault="00D94300" w:rsidP="00580E82">
      <w:pPr>
        <w:pStyle w:val="Style2"/>
        <w:numPr>
          <w:ilvl w:val="0"/>
          <w:numId w:val="0"/>
        </w:numPr>
        <w:spacing w:line="276" w:lineRule="auto"/>
        <w:rPr>
          <w:b w:val="0"/>
          <w:bCs w:val="0"/>
        </w:rPr>
      </w:pPr>
      <w:r>
        <w:rPr>
          <w:b w:val="0"/>
          <w:bCs w:val="0"/>
        </w:rPr>
        <w:t xml:space="preserve">This clause corrects a minor typographical error in the definition of public place, replacing ‘; or’ with ‘; and’. </w:t>
      </w:r>
    </w:p>
    <w:p w14:paraId="7BD1353E" w14:textId="355C83C0" w:rsidR="007A4B3A" w:rsidRDefault="00040014" w:rsidP="00580E82">
      <w:pPr>
        <w:pStyle w:val="Style2"/>
        <w:spacing w:line="276" w:lineRule="auto"/>
      </w:pPr>
      <w:r>
        <w:tab/>
      </w:r>
      <w:r w:rsidR="00DF1CAB">
        <w:t xml:space="preserve">Fair Trading (Fuel Prices) </w:t>
      </w:r>
      <w:r w:rsidR="006F1399">
        <w:t>Act 1993</w:t>
      </w:r>
    </w:p>
    <w:p w14:paraId="207A0B47" w14:textId="49445A03" w:rsidR="006F1399" w:rsidRDefault="00D23304">
      <w:pPr>
        <w:pStyle w:val="Style2"/>
        <w:numPr>
          <w:ilvl w:val="1"/>
          <w:numId w:val="7"/>
        </w:numPr>
        <w:spacing w:line="276" w:lineRule="auto"/>
      </w:pPr>
      <w:r>
        <w:t xml:space="preserve"> </w:t>
      </w:r>
      <w:r>
        <w:tab/>
      </w:r>
      <w:r w:rsidR="006F1399">
        <w:t xml:space="preserve">Section 3 (2) (a) </w:t>
      </w:r>
    </w:p>
    <w:p w14:paraId="3BCADAED" w14:textId="33AEAE84" w:rsidR="006F1399" w:rsidRDefault="006F1399" w:rsidP="00580E82">
      <w:pPr>
        <w:pStyle w:val="Style2"/>
        <w:numPr>
          <w:ilvl w:val="0"/>
          <w:numId w:val="0"/>
        </w:numPr>
        <w:spacing w:line="276" w:lineRule="auto"/>
        <w:rPr>
          <w:b w:val="0"/>
          <w:bCs w:val="0"/>
        </w:rPr>
      </w:pPr>
      <w:r>
        <w:rPr>
          <w:b w:val="0"/>
          <w:bCs w:val="0"/>
        </w:rPr>
        <w:t xml:space="preserve">This amendment updates a cross-reference. </w:t>
      </w:r>
      <w:r w:rsidR="008D59DD">
        <w:rPr>
          <w:b w:val="0"/>
          <w:bCs w:val="0"/>
        </w:rPr>
        <w:t xml:space="preserve">The </w:t>
      </w:r>
      <w:r w:rsidR="008D59DD">
        <w:rPr>
          <w:b w:val="0"/>
          <w:bCs w:val="0"/>
          <w:i/>
          <w:iCs/>
        </w:rPr>
        <w:t xml:space="preserve">Prices Surveillance Act 1983 </w:t>
      </w:r>
      <w:r w:rsidR="008D59DD">
        <w:rPr>
          <w:b w:val="0"/>
          <w:bCs w:val="0"/>
        </w:rPr>
        <w:t>(Cwlth) was repealed</w:t>
      </w:r>
      <w:r w:rsidR="00BF126F">
        <w:rPr>
          <w:b w:val="0"/>
          <w:bCs w:val="0"/>
        </w:rPr>
        <w:t xml:space="preserve"> by the </w:t>
      </w:r>
      <w:r w:rsidR="00BF126F">
        <w:rPr>
          <w:b w:val="0"/>
          <w:bCs w:val="0"/>
          <w:i/>
          <w:iCs/>
        </w:rPr>
        <w:t xml:space="preserve">Trade Practices Legislation Amendment Act 2003 </w:t>
      </w:r>
      <w:r w:rsidR="00BF126F">
        <w:rPr>
          <w:b w:val="0"/>
          <w:bCs w:val="0"/>
        </w:rPr>
        <w:t xml:space="preserve">(Cwlth). The equivalent provision was then remade in the </w:t>
      </w:r>
      <w:r w:rsidR="00BF126F">
        <w:rPr>
          <w:b w:val="0"/>
          <w:bCs w:val="0"/>
          <w:i/>
          <w:iCs/>
        </w:rPr>
        <w:t xml:space="preserve">Trade Practices Act 1974 </w:t>
      </w:r>
      <w:r w:rsidR="00BF126F">
        <w:rPr>
          <w:b w:val="0"/>
          <w:bCs w:val="0"/>
        </w:rPr>
        <w:t xml:space="preserve">(Cwlth), which was then renamed the </w:t>
      </w:r>
      <w:r w:rsidR="00BF126F">
        <w:rPr>
          <w:b w:val="0"/>
          <w:bCs w:val="0"/>
          <w:i/>
          <w:iCs/>
        </w:rPr>
        <w:t xml:space="preserve">Competition </w:t>
      </w:r>
      <w:r w:rsidR="00D23304">
        <w:rPr>
          <w:b w:val="0"/>
          <w:bCs w:val="0"/>
          <w:i/>
          <w:iCs/>
        </w:rPr>
        <w:t xml:space="preserve">and Consumer Act 2010 </w:t>
      </w:r>
      <w:r w:rsidR="00D23304">
        <w:rPr>
          <w:b w:val="0"/>
          <w:bCs w:val="0"/>
        </w:rPr>
        <w:t xml:space="preserve">(Cwlth). </w:t>
      </w:r>
    </w:p>
    <w:p w14:paraId="273B3E71" w14:textId="1FD07F80" w:rsidR="00D23304" w:rsidRDefault="00D23304">
      <w:pPr>
        <w:pStyle w:val="Style2"/>
        <w:numPr>
          <w:ilvl w:val="1"/>
          <w:numId w:val="7"/>
        </w:numPr>
        <w:spacing w:line="276" w:lineRule="auto"/>
      </w:pPr>
      <w:r>
        <w:rPr>
          <w:b w:val="0"/>
          <w:bCs w:val="0"/>
        </w:rPr>
        <w:t xml:space="preserve"> </w:t>
      </w:r>
      <w:r>
        <w:rPr>
          <w:b w:val="0"/>
          <w:bCs w:val="0"/>
        </w:rPr>
        <w:tab/>
      </w:r>
      <w:r w:rsidRPr="00D23304">
        <w:t xml:space="preserve">Section </w:t>
      </w:r>
      <w:r w:rsidR="00F14C37">
        <w:t>3</w:t>
      </w:r>
      <w:r>
        <w:t xml:space="preserve"> (</w:t>
      </w:r>
      <w:r w:rsidR="00F14C37">
        <w:t>3</w:t>
      </w:r>
      <w:r>
        <w:t xml:space="preserve">) </w:t>
      </w:r>
    </w:p>
    <w:p w14:paraId="795CDFF0" w14:textId="5C266323" w:rsidR="00D23304" w:rsidRDefault="00D23304" w:rsidP="00580E82">
      <w:pPr>
        <w:pStyle w:val="Style2"/>
        <w:numPr>
          <w:ilvl w:val="0"/>
          <w:numId w:val="0"/>
        </w:numPr>
        <w:spacing w:line="276" w:lineRule="auto"/>
        <w:rPr>
          <w:b w:val="0"/>
          <w:bCs w:val="0"/>
        </w:rPr>
      </w:pPr>
      <w:r>
        <w:rPr>
          <w:b w:val="0"/>
          <w:bCs w:val="0"/>
        </w:rPr>
        <w:t>This amendment updates a cross-reference</w:t>
      </w:r>
      <w:r w:rsidR="00F14C37">
        <w:rPr>
          <w:b w:val="0"/>
          <w:bCs w:val="0"/>
        </w:rPr>
        <w:t xml:space="preserve">. The former reference to section 6AA of the </w:t>
      </w:r>
      <w:r w:rsidR="00F14C37">
        <w:rPr>
          <w:b w:val="0"/>
          <w:bCs w:val="0"/>
          <w:i/>
          <w:iCs/>
        </w:rPr>
        <w:t xml:space="preserve">Competition and Consumer Act 2010 </w:t>
      </w:r>
      <w:r w:rsidR="00F14C37">
        <w:rPr>
          <w:b w:val="0"/>
          <w:bCs w:val="0"/>
        </w:rPr>
        <w:t xml:space="preserve">(Cwlth) is replaced with a reference to section 6A of the same Act. </w:t>
      </w:r>
    </w:p>
    <w:p w14:paraId="334DD4E8" w14:textId="2F9B160E" w:rsidR="00F14C37" w:rsidRPr="00F14C37" w:rsidRDefault="00895A0A">
      <w:pPr>
        <w:pStyle w:val="Style2"/>
        <w:numPr>
          <w:ilvl w:val="1"/>
          <w:numId w:val="7"/>
        </w:numPr>
        <w:spacing w:line="276" w:lineRule="auto"/>
        <w:rPr>
          <w:b w:val="0"/>
          <w:bCs w:val="0"/>
        </w:rPr>
      </w:pPr>
      <w:r>
        <w:rPr>
          <w:b w:val="0"/>
          <w:bCs w:val="0"/>
        </w:rPr>
        <w:t xml:space="preserve"> </w:t>
      </w:r>
      <w:r>
        <w:rPr>
          <w:b w:val="0"/>
          <w:bCs w:val="0"/>
        </w:rPr>
        <w:tab/>
      </w:r>
      <w:r>
        <w:t xml:space="preserve">Section 4 (2) </w:t>
      </w:r>
    </w:p>
    <w:p w14:paraId="5AAFB5DD" w14:textId="77777777" w:rsidR="00EC3F10" w:rsidRDefault="00EC3F10" w:rsidP="00580E82">
      <w:pPr>
        <w:pStyle w:val="Style2"/>
        <w:numPr>
          <w:ilvl w:val="0"/>
          <w:numId w:val="0"/>
        </w:numPr>
        <w:spacing w:line="276" w:lineRule="auto"/>
        <w:rPr>
          <w:b w:val="0"/>
          <w:bCs w:val="0"/>
        </w:rPr>
      </w:pPr>
      <w:r>
        <w:rPr>
          <w:b w:val="0"/>
          <w:bCs w:val="0"/>
        </w:rPr>
        <w:t xml:space="preserve">This amendment updates a cross-reference. The </w:t>
      </w:r>
      <w:r>
        <w:rPr>
          <w:b w:val="0"/>
          <w:bCs w:val="0"/>
          <w:i/>
          <w:iCs/>
        </w:rPr>
        <w:t xml:space="preserve">Prices Surveillance Act 1983 </w:t>
      </w:r>
      <w:r>
        <w:rPr>
          <w:b w:val="0"/>
          <w:bCs w:val="0"/>
        </w:rPr>
        <w:t xml:space="preserve">(Cwlth) was repealed by the </w:t>
      </w:r>
      <w:r>
        <w:rPr>
          <w:b w:val="0"/>
          <w:bCs w:val="0"/>
          <w:i/>
          <w:iCs/>
        </w:rPr>
        <w:t xml:space="preserve">Trade Practices Legislation Amendment Act 2003 </w:t>
      </w:r>
      <w:r>
        <w:rPr>
          <w:b w:val="0"/>
          <w:bCs w:val="0"/>
        </w:rPr>
        <w:t xml:space="preserve">(Cwlth). The equivalent provision was then remade in the </w:t>
      </w:r>
      <w:r>
        <w:rPr>
          <w:b w:val="0"/>
          <w:bCs w:val="0"/>
          <w:i/>
          <w:iCs/>
        </w:rPr>
        <w:t xml:space="preserve">Trade Practices Act 1974 </w:t>
      </w:r>
      <w:r>
        <w:rPr>
          <w:b w:val="0"/>
          <w:bCs w:val="0"/>
        </w:rPr>
        <w:t xml:space="preserve">(Cwlth), which was then renamed the </w:t>
      </w:r>
      <w:r>
        <w:rPr>
          <w:b w:val="0"/>
          <w:bCs w:val="0"/>
          <w:i/>
          <w:iCs/>
        </w:rPr>
        <w:t xml:space="preserve">Competition and Consumer Act 2010 </w:t>
      </w:r>
      <w:r>
        <w:rPr>
          <w:b w:val="0"/>
          <w:bCs w:val="0"/>
        </w:rPr>
        <w:t xml:space="preserve">(Cwlth). </w:t>
      </w:r>
    </w:p>
    <w:p w14:paraId="1792E34B" w14:textId="232C6712" w:rsidR="000F0579" w:rsidRDefault="00EC3F10" w:rsidP="00580E82">
      <w:pPr>
        <w:pStyle w:val="Style2"/>
        <w:numPr>
          <w:ilvl w:val="0"/>
          <w:numId w:val="0"/>
        </w:numPr>
        <w:spacing w:line="276" w:lineRule="auto"/>
        <w:rPr>
          <w:b w:val="0"/>
          <w:bCs w:val="0"/>
        </w:rPr>
      </w:pPr>
      <w:r>
        <w:rPr>
          <w:b w:val="0"/>
          <w:bCs w:val="0"/>
        </w:rPr>
        <w:t>Over the course of the changes, references to the ‘relevant price’ were replaced with a reference to the actual price.</w:t>
      </w:r>
      <w:r w:rsidR="00A32780">
        <w:rPr>
          <w:b w:val="0"/>
          <w:bCs w:val="0"/>
        </w:rPr>
        <w:t xml:space="preserve"> In addition to changing the </w:t>
      </w:r>
      <w:r w:rsidR="000F0579">
        <w:rPr>
          <w:b w:val="0"/>
          <w:bCs w:val="0"/>
        </w:rPr>
        <w:t>name of the legislation, t</w:t>
      </w:r>
      <w:r>
        <w:rPr>
          <w:b w:val="0"/>
          <w:bCs w:val="0"/>
        </w:rPr>
        <w:t xml:space="preserve">he amendment substitutes the phrase ‘relevant price’ </w:t>
      </w:r>
      <w:r w:rsidR="00A32780">
        <w:rPr>
          <w:b w:val="0"/>
          <w:bCs w:val="0"/>
        </w:rPr>
        <w:t xml:space="preserve">with ‘actual price’ </w:t>
      </w:r>
      <w:r w:rsidR="000F0579">
        <w:rPr>
          <w:b w:val="0"/>
          <w:bCs w:val="0"/>
        </w:rPr>
        <w:t xml:space="preserve">to reflect these updates. The effect of the substitution is that the Minister shall not determine a wholesale price of a specified fuel that is greater than the actual price for fuel (if available) determined </w:t>
      </w:r>
      <w:r w:rsidR="00DD27DF">
        <w:rPr>
          <w:b w:val="0"/>
          <w:bCs w:val="0"/>
        </w:rPr>
        <w:t xml:space="preserve">under the </w:t>
      </w:r>
      <w:r w:rsidR="00DD27DF">
        <w:rPr>
          <w:b w:val="0"/>
          <w:bCs w:val="0"/>
          <w:i/>
          <w:iCs/>
        </w:rPr>
        <w:t xml:space="preserve">Competition and Consumer Act 2010 </w:t>
      </w:r>
      <w:r w:rsidR="00DD27DF">
        <w:rPr>
          <w:b w:val="0"/>
          <w:bCs w:val="0"/>
        </w:rPr>
        <w:t xml:space="preserve">(Cwlth) </w:t>
      </w:r>
      <w:r w:rsidR="000F0579">
        <w:rPr>
          <w:b w:val="0"/>
          <w:bCs w:val="0"/>
        </w:rPr>
        <w:t>from time to time</w:t>
      </w:r>
      <w:r w:rsidR="00DD27DF">
        <w:rPr>
          <w:b w:val="0"/>
          <w:bCs w:val="0"/>
        </w:rPr>
        <w:t xml:space="preserve"> – the equivalent of the former provision. </w:t>
      </w:r>
    </w:p>
    <w:p w14:paraId="7B436EFF" w14:textId="5744A173" w:rsidR="00DD27DF" w:rsidRDefault="00DD27DF">
      <w:pPr>
        <w:pStyle w:val="Style2"/>
        <w:numPr>
          <w:ilvl w:val="1"/>
          <w:numId w:val="7"/>
        </w:numPr>
        <w:spacing w:line="276" w:lineRule="auto"/>
        <w:ind w:left="2977" w:hanging="2977"/>
        <w:rPr>
          <w:i/>
          <w:iCs/>
        </w:rPr>
      </w:pPr>
      <w:r w:rsidRPr="00383CC3">
        <w:t xml:space="preserve">Dictionary, definitions of </w:t>
      </w:r>
      <w:r w:rsidRPr="00383CC3">
        <w:rPr>
          <w:i/>
          <w:iCs/>
        </w:rPr>
        <w:t xml:space="preserve">leaded petrol </w:t>
      </w:r>
      <w:r w:rsidRPr="00383CC3">
        <w:t xml:space="preserve">and </w:t>
      </w:r>
      <w:r w:rsidRPr="00383CC3">
        <w:rPr>
          <w:i/>
          <w:iCs/>
        </w:rPr>
        <w:t>unleaded petrol</w:t>
      </w:r>
    </w:p>
    <w:p w14:paraId="45F50BAA" w14:textId="11612057" w:rsidR="00383CC3" w:rsidRDefault="009B1DB8" w:rsidP="00580E82">
      <w:pPr>
        <w:pStyle w:val="Style2"/>
        <w:numPr>
          <w:ilvl w:val="0"/>
          <w:numId w:val="0"/>
        </w:numPr>
        <w:spacing w:line="276" w:lineRule="auto"/>
        <w:rPr>
          <w:b w:val="0"/>
          <w:bCs w:val="0"/>
        </w:rPr>
      </w:pPr>
      <w:r>
        <w:rPr>
          <w:b w:val="0"/>
          <w:bCs w:val="0"/>
        </w:rPr>
        <w:lastRenderedPageBreak/>
        <w:t xml:space="preserve">This amendment omits </w:t>
      </w:r>
      <w:r w:rsidR="00CA72BB">
        <w:rPr>
          <w:b w:val="0"/>
          <w:bCs w:val="0"/>
        </w:rPr>
        <w:t xml:space="preserve">the </w:t>
      </w:r>
      <w:r>
        <w:rPr>
          <w:b w:val="0"/>
          <w:bCs w:val="0"/>
        </w:rPr>
        <w:t>redundant definitions</w:t>
      </w:r>
      <w:r w:rsidR="00CA72BB">
        <w:rPr>
          <w:b w:val="0"/>
          <w:bCs w:val="0"/>
        </w:rPr>
        <w:t xml:space="preserve"> of leaded petrol and unleaded petrol</w:t>
      </w:r>
      <w:r>
        <w:rPr>
          <w:b w:val="0"/>
          <w:bCs w:val="0"/>
        </w:rPr>
        <w:t xml:space="preserve">. The terms ‘leaded petrol’ and ‘unleaded petrol’ are defined in section 7A (2) of the </w:t>
      </w:r>
      <w:r>
        <w:rPr>
          <w:b w:val="0"/>
          <w:bCs w:val="0"/>
          <w:i/>
          <w:iCs/>
        </w:rPr>
        <w:t>Fair Trading (Fuel Prices) Act 1993</w:t>
      </w:r>
      <w:r>
        <w:rPr>
          <w:b w:val="0"/>
          <w:bCs w:val="0"/>
        </w:rPr>
        <w:t xml:space="preserve"> and are only used in that section. </w:t>
      </w:r>
    </w:p>
    <w:p w14:paraId="0EF71EA1" w14:textId="0E2F794D" w:rsidR="009B1DB8" w:rsidRDefault="00040014" w:rsidP="00580E82">
      <w:pPr>
        <w:pStyle w:val="Style2"/>
        <w:spacing w:line="276" w:lineRule="auto"/>
      </w:pPr>
      <w:r>
        <w:t xml:space="preserve"> </w:t>
      </w:r>
      <w:r>
        <w:tab/>
      </w:r>
      <w:r>
        <w:tab/>
      </w:r>
      <w:r w:rsidR="00CA72BB">
        <w:t>Fair Trading (Motor Vehicle Repair Industry) Act 2010</w:t>
      </w:r>
    </w:p>
    <w:p w14:paraId="26CC9B55" w14:textId="6BACD934" w:rsidR="00CA72BB" w:rsidRDefault="00D83C0B">
      <w:pPr>
        <w:pStyle w:val="Style2"/>
        <w:numPr>
          <w:ilvl w:val="1"/>
          <w:numId w:val="7"/>
        </w:numPr>
        <w:spacing w:line="276" w:lineRule="auto"/>
      </w:pPr>
      <w:r>
        <w:t xml:space="preserve"> </w:t>
      </w:r>
      <w:r>
        <w:tab/>
        <w:t>Part 7 heading, note</w:t>
      </w:r>
    </w:p>
    <w:p w14:paraId="108425C1" w14:textId="31EC38D3" w:rsidR="00D83C0B" w:rsidRDefault="00080BD2" w:rsidP="00580E82">
      <w:pPr>
        <w:pStyle w:val="Style2"/>
        <w:numPr>
          <w:ilvl w:val="0"/>
          <w:numId w:val="0"/>
        </w:numPr>
        <w:spacing w:line="276" w:lineRule="auto"/>
        <w:rPr>
          <w:b w:val="0"/>
          <w:bCs w:val="0"/>
        </w:rPr>
      </w:pPr>
      <w:r>
        <w:rPr>
          <w:b w:val="0"/>
          <w:bCs w:val="0"/>
        </w:rPr>
        <w:t xml:space="preserve">This amendment corrects a cross reference. </w:t>
      </w:r>
      <w:r w:rsidR="00DE7144">
        <w:rPr>
          <w:b w:val="0"/>
          <w:bCs w:val="0"/>
        </w:rPr>
        <w:t xml:space="preserve">The reference in the note formerly referred to Division 3.2 of the </w:t>
      </w:r>
      <w:r w:rsidR="00DE7144">
        <w:rPr>
          <w:b w:val="0"/>
          <w:bCs w:val="0"/>
          <w:i/>
          <w:iCs/>
        </w:rPr>
        <w:t>Fair Trading (Consumer Affairs) Act 1973</w:t>
      </w:r>
      <w:r w:rsidR="00DE7144">
        <w:rPr>
          <w:b w:val="0"/>
          <w:bCs w:val="0"/>
        </w:rPr>
        <w:t xml:space="preserve">. However, the </w:t>
      </w:r>
      <w:r w:rsidR="00DE7144">
        <w:rPr>
          <w:b w:val="0"/>
          <w:bCs w:val="0"/>
          <w:i/>
          <w:iCs/>
        </w:rPr>
        <w:t xml:space="preserve">Fair Trading (Consumer Affairs) Act 1973 </w:t>
      </w:r>
      <w:r w:rsidR="00DE7144">
        <w:rPr>
          <w:b w:val="0"/>
          <w:bCs w:val="0"/>
        </w:rPr>
        <w:t xml:space="preserve">was restructured and renamed as the </w:t>
      </w:r>
      <w:r w:rsidR="00DE7144">
        <w:rPr>
          <w:b w:val="0"/>
          <w:bCs w:val="0"/>
          <w:i/>
          <w:iCs/>
        </w:rPr>
        <w:t>Fair Trading (Australian Consumer Law) Act 1992</w:t>
      </w:r>
      <w:r w:rsidR="00DE7144">
        <w:rPr>
          <w:b w:val="0"/>
          <w:bCs w:val="0"/>
        </w:rPr>
        <w:t xml:space="preserve"> in 2010. At the time, the reference to the </w:t>
      </w:r>
      <w:r w:rsidR="00DE7144">
        <w:rPr>
          <w:b w:val="0"/>
          <w:bCs w:val="0"/>
          <w:i/>
          <w:iCs/>
        </w:rPr>
        <w:t>Fair Trading</w:t>
      </w:r>
      <w:r w:rsidR="005434E9">
        <w:rPr>
          <w:b w:val="0"/>
          <w:bCs w:val="0"/>
          <w:i/>
          <w:iCs/>
        </w:rPr>
        <w:t xml:space="preserve"> (Consumer Affairs) Act 1973 </w:t>
      </w:r>
      <w:r w:rsidR="005434E9">
        <w:rPr>
          <w:b w:val="0"/>
          <w:bCs w:val="0"/>
        </w:rPr>
        <w:t xml:space="preserve">was updated, however, the Division reference was not likewise updated. This amendment updates the reference to Division 3.2 with the correct reference to Division 5.2. </w:t>
      </w:r>
    </w:p>
    <w:p w14:paraId="636D1A43" w14:textId="2284F33A" w:rsidR="004F1A88" w:rsidRPr="004F1A88" w:rsidRDefault="004F1A88">
      <w:pPr>
        <w:pStyle w:val="Style2"/>
        <w:numPr>
          <w:ilvl w:val="1"/>
          <w:numId w:val="7"/>
        </w:numPr>
        <w:spacing w:line="276" w:lineRule="auto"/>
      </w:pPr>
      <w:r>
        <w:t xml:space="preserve"> </w:t>
      </w:r>
      <w:r>
        <w:tab/>
      </w:r>
      <w:r w:rsidR="00B64857" w:rsidRPr="004F1A88">
        <w:t xml:space="preserve">Section 49 (2) </w:t>
      </w:r>
    </w:p>
    <w:p w14:paraId="0446F906" w14:textId="5FF1BC83" w:rsidR="00B64857" w:rsidRDefault="00B64857" w:rsidP="00580E82">
      <w:pPr>
        <w:pStyle w:val="Style2"/>
        <w:numPr>
          <w:ilvl w:val="0"/>
          <w:numId w:val="0"/>
        </w:numPr>
        <w:spacing w:line="276" w:lineRule="auto"/>
        <w:rPr>
          <w:b w:val="0"/>
          <w:bCs w:val="0"/>
        </w:rPr>
      </w:pPr>
      <w:r w:rsidRPr="004F1A88">
        <w:rPr>
          <w:b w:val="0"/>
          <w:bCs w:val="0"/>
        </w:rPr>
        <w:t xml:space="preserve">This section updates a cross-reference, because of amendments made by the </w:t>
      </w:r>
      <w:r w:rsidRPr="004F1A88">
        <w:rPr>
          <w:b w:val="0"/>
          <w:bCs w:val="0"/>
          <w:i/>
          <w:iCs/>
        </w:rPr>
        <w:t xml:space="preserve">Trade Practices Amendment (Australian Consumer Law) Act (No, 2) 2010 </w:t>
      </w:r>
      <w:r w:rsidRPr="004F1A88">
        <w:rPr>
          <w:b w:val="0"/>
          <w:bCs w:val="0"/>
        </w:rPr>
        <w:t>(Cwlth)</w:t>
      </w:r>
      <w:r w:rsidR="006E76ED" w:rsidRPr="004F1A88">
        <w:rPr>
          <w:b w:val="0"/>
          <w:bCs w:val="0"/>
        </w:rPr>
        <w:t xml:space="preserve">. The former reference to the </w:t>
      </w:r>
      <w:r w:rsidR="006E76ED" w:rsidRPr="004F1A88">
        <w:rPr>
          <w:b w:val="0"/>
          <w:bCs w:val="0"/>
          <w:i/>
          <w:iCs/>
        </w:rPr>
        <w:t>Competition and Consumer Act 2010 (Cwlth), part 5 (Consumer protection), division 1AA (Country of origin representations)</w:t>
      </w:r>
      <w:r w:rsidR="006E76ED" w:rsidRPr="004F1A88">
        <w:rPr>
          <w:b w:val="0"/>
          <w:bCs w:val="0"/>
        </w:rPr>
        <w:t xml:space="preserve">, is replaced with the now correct reference to </w:t>
      </w:r>
      <w:r w:rsidR="004F1A88" w:rsidRPr="004F1A88">
        <w:rPr>
          <w:b w:val="0"/>
          <w:bCs w:val="0"/>
          <w:i/>
          <w:iCs/>
        </w:rPr>
        <w:t>Australian Consumer Law, part 5-3 (Country of origin representations)</w:t>
      </w:r>
      <w:r w:rsidR="004F1A88">
        <w:rPr>
          <w:b w:val="0"/>
          <w:bCs w:val="0"/>
        </w:rPr>
        <w:t xml:space="preserve">. </w:t>
      </w:r>
    </w:p>
    <w:p w14:paraId="12C35A6F" w14:textId="435E2CDF" w:rsidR="004F1A88" w:rsidRDefault="00040014" w:rsidP="00580E82">
      <w:pPr>
        <w:pStyle w:val="Style2"/>
        <w:spacing w:line="276" w:lineRule="auto"/>
      </w:pPr>
      <w:r>
        <w:t xml:space="preserve"> </w:t>
      </w:r>
      <w:r>
        <w:tab/>
      </w:r>
      <w:r>
        <w:tab/>
      </w:r>
      <w:r w:rsidR="004F1A88">
        <w:t>Gambling and Racing Control Act 1999</w:t>
      </w:r>
    </w:p>
    <w:p w14:paraId="36030F5C" w14:textId="62EDA6B3" w:rsidR="004F1A88" w:rsidRPr="004F1A88" w:rsidRDefault="004F1A88">
      <w:pPr>
        <w:pStyle w:val="Style2"/>
        <w:numPr>
          <w:ilvl w:val="1"/>
          <w:numId w:val="7"/>
        </w:numPr>
        <w:spacing w:line="276" w:lineRule="auto"/>
        <w:ind w:left="2977" w:hanging="2977"/>
      </w:pPr>
      <w:r>
        <w:t xml:space="preserve">Section 51, definitions of </w:t>
      </w:r>
      <w:r>
        <w:rPr>
          <w:i/>
          <w:iCs/>
        </w:rPr>
        <w:t xml:space="preserve">permit </w:t>
      </w:r>
      <w:r>
        <w:t xml:space="preserve">and </w:t>
      </w:r>
      <w:r>
        <w:rPr>
          <w:i/>
          <w:iCs/>
        </w:rPr>
        <w:t>quarantine permit</w:t>
      </w:r>
    </w:p>
    <w:p w14:paraId="3E48FCA0" w14:textId="2F75BB86" w:rsidR="006D5C34" w:rsidRPr="004C39A5" w:rsidRDefault="004C39A5" w:rsidP="00580E82">
      <w:pPr>
        <w:pStyle w:val="Style2"/>
        <w:numPr>
          <w:ilvl w:val="0"/>
          <w:numId w:val="0"/>
        </w:numPr>
        <w:spacing w:line="276" w:lineRule="auto"/>
        <w:rPr>
          <w:b w:val="0"/>
          <w:bCs w:val="0"/>
        </w:rPr>
      </w:pPr>
      <w:r>
        <w:rPr>
          <w:b w:val="0"/>
          <w:bCs w:val="0"/>
        </w:rPr>
        <w:t xml:space="preserve">This amendment omits redundant definitions of </w:t>
      </w:r>
      <w:r>
        <w:rPr>
          <w:b w:val="0"/>
          <w:bCs w:val="0"/>
          <w:i/>
          <w:iCs/>
        </w:rPr>
        <w:t xml:space="preserve">permit </w:t>
      </w:r>
      <w:r>
        <w:rPr>
          <w:b w:val="0"/>
          <w:bCs w:val="0"/>
        </w:rPr>
        <w:t xml:space="preserve">and </w:t>
      </w:r>
      <w:r>
        <w:rPr>
          <w:b w:val="0"/>
          <w:bCs w:val="0"/>
          <w:i/>
          <w:iCs/>
        </w:rPr>
        <w:t xml:space="preserve">quarantine permit. </w:t>
      </w:r>
      <w:r>
        <w:rPr>
          <w:b w:val="0"/>
          <w:bCs w:val="0"/>
        </w:rPr>
        <w:t xml:space="preserve">These terms are not used in the </w:t>
      </w:r>
      <w:r>
        <w:rPr>
          <w:b w:val="0"/>
          <w:bCs w:val="0"/>
          <w:i/>
          <w:iCs/>
        </w:rPr>
        <w:t>Gambling and Racing Control Act 1999</w:t>
      </w:r>
      <w:r>
        <w:rPr>
          <w:b w:val="0"/>
          <w:bCs w:val="0"/>
        </w:rPr>
        <w:t xml:space="preserve">. </w:t>
      </w:r>
    </w:p>
    <w:p w14:paraId="39C5F4DB" w14:textId="79DCC06E" w:rsidR="006D5C34" w:rsidRPr="008D690D" w:rsidRDefault="008D690D">
      <w:pPr>
        <w:pStyle w:val="Style2"/>
        <w:numPr>
          <w:ilvl w:val="1"/>
          <w:numId w:val="7"/>
        </w:numPr>
        <w:spacing w:line="276" w:lineRule="auto"/>
        <w:ind w:left="2977" w:hanging="2977"/>
      </w:pPr>
      <w:r>
        <w:t xml:space="preserve">Dictionary, definitions of </w:t>
      </w:r>
      <w:r>
        <w:rPr>
          <w:i/>
          <w:iCs/>
        </w:rPr>
        <w:t>permit and quarantine permit</w:t>
      </w:r>
    </w:p>
    <w:p w14:paraId="7DF112E4" w14:textId="2164DF59" w:rsidR="00052F33" w:rsidRDefault="008D690D" w:rsidP="00580E82">
      <w:pPr>
        <w:pStyle w:val="Style2"/>
        <w:numPr>
          <w:ilvl w:val="0"/>
          <w:numId w:val="0"/>
        </w:numPr>
        <w:spacing w:line="276" w:lineRule="auto"/>
        <w:rPr>
          <w:b w:val="0"/>
          <w:bCs w:val="0"/>
          <w:i/>
          <w:iCs/>
        </w:rPr>
      </w:pPr>
      <w:r>
        <w:rPr>
          <w:b w:val="0"/>
          <w:bCs w:val="0"/>
        </w:rPr>
        <w:t>This amendment is consequential to the amendment in Clause 1.18. The</w:t>
      </w:r>
      <w:r w:rsidR="00A45F64">
        <w:rPr>
          <w:b w:val="0"/>
          <w:bCs w:val="0"/>
        </w:rPr>
        <w:t xml:space="preserve"> terms permit and quarantine permit were omitted from the </w:t>
      </w:r>
      <w:r w:rsidR="00A45F64">
        <w:rPr>
          <w:b w:val="0"/>
          <w:bCs w:val="0"/>
          <w:i/>
          <w:iCs/>
        </w:rPr>
        <w:t xml:space="preserve">Gaming Machine Act </w:t>
      </w:r>
      <w:r w:rsidR="00052F33">
        <w:rPr>
          <w:b w:val="0"/>
          <w:bCs w:val="0"/>
          <w:i/>
          <w:iCs/>
        </w:rPr>
        <w:t xml:space="preserve">2004 </w:t>
      </w:r>
      <w:r w:rsidR="00A45F64">
        <w:rPr>
          <w:b w:val="0"/>
          <w:bCs w:val="0"/>
        </w:rPr>
        <w:t xml:space="preserve">by the </w:t>
      </w:r>
      <w:r w:rsidR="00A45F64">
        <w:rPr>
          <w:b w:val="0"/>
          <w:bCs w:val="0"/>
          <w:i/>
          <w:iCs/>
        </w:rPr>
        <w:t>Gambling Legislation Amendment Act 2018</w:t>
      </w:r>
      <w:r w:rsidR="00A45F64">
        <w:rPr>
          <w:b w:val="0"/>
          <w:bCs w:val="0"/>
        </w:rPr>
        <w:t xml:space="preserve"> and are no longer used by the </w:t>
      </w:r>
      <w:r w:rsidR="00A45F64">
        <w:rPr>
          <w:b w:val="0"/>
          <w:bCs w:val="0"/>
          <w:i/>
          <w:iCs/>
        </w:rPr>
        <w:t xml:space="preserve">Gambling and Racing Control Act 1999. </w:t>
      </w:r>
      <w:r w:rsidR="00A45F64">
        <w:rPr>
          <w:b w:val="0"/>
          <w:bCs w:val="0"/>
        </w:rPr>
        <w:t xml:space="preserve">As such, they not longer need to be included in the Dictionary for the </w:t>
      </w:r>
      <w:r w:rsidR="00A45F64">
        <w:rPr>
          <w:b w:val="0"/>
          <w:bCs w:val="0"/>
          <w:i/>
          <w:iCs/>
        </w:rPr>
        <w:t xml:space="preserve">Gambling and Racing Control Act 1999. </w:t>
      </w:r>
    </w:p>
    <w:p w14:paraId="12DBBCDB" w14:textId="1AB88153" w:rsidR="00052F33" w:rsidRDefault="00040014" w:rsidP="00580E82">
      <w:pPr>
        <w:pStyle w:val="Style2"/>
        <w:spacing w:line="276" w:lineRule="auto"/>
      </w:pPr>
      <w:r>
        <w:t xml:space="preserve"> </w:t>
      </w:r>
      <w:r>
        <w:tab/>
      </w:r>
      <w:r>
        <w:tab/>
      </w:r>
      <w:r w:rsidR="00052F33">
        <w:t>Gaming Machine Act 2004</w:t>
      </w:r>
    </w:p>
    <w:p w14:paraId="3EEA7612" w14:textId="58117974" w:rsidR="008D690D" w:rsidRPr="008E6341" w:rsidRDefault="008E6341">
      <w:pPr>
        <w:pStyle w:val="Style2"/>
        <w:numPr>
          <w:ilvl w:val="1"/>
          <w:numId w:val="7"/>
        </w:numPr>
        <w:spacing w:line="276" w:lineRule="auto"/>
      </w:pPr>
      <w:r>
        <w:t xml:space="preserve"> </w:t>
      </w:r>
      <w:r>
        <w:tab/>
        <w:t xml:space="preserve">Section 52A (4), definition of </w:t>
      </w:r>
      <w:r>
        <w:rPr>
          <w:i/>
          <w:iCs/>
        </w:rPr>
        <w:t xml:space="preserve">casino licensee </w:t>
      </w:r>
    </w:p>
    <w:p w14:paraId="51DC4407" w14:textId="67C0D9D6" w:rsidR="008E6341" w:rsidRPr="00202FB3" w:rsidRDefault="00202FB3" w:rsidP="00580E82">
      <w:pPr>
        <w:pStyle w:val="Style2"/>
        <w:numPr>
          <w:ilvl w:val="0"/>
          <w:numId w:val="0"/>
        </w:numPr>
        <w:spacing w:line="276" w:lineRule="auto"/>
        <w:rPr>
          <w:b w:val="0"/>
          <w:bCs w:val="0"/>
        </w:rPr>
      </w:pPr>
      <w:r>
        <w:rPr>
          <w:b w:val="0"/>
          <w:bCs w:val="0"/>
        </w:rPr>
        <w:lastRenderedPageBreak/>
        <w:t xml:space="preserve">This amendment omits a redundant definition. The term casino licensee is defined in the </w:t>
      </w:r>
      <w:r>
        <w:rPr>
          <w:b w:val="0"/>
          <w:bCs w:val="0"/>
          <w:i/>
          <w:iCs/>
        </w:rPr>
        <w:t xml:space="preserve">Gaming Machine Act 2004, </w:t>
      </w:r>
      <w:r>
        <w:rPr>
          <w:b w:val="0"/>
          <w:bCs w:val="0"/>
        </w:rPr>
        <w:t xml:space="preserve">dictionary, and so does not need </w:t>
      </w:r>
      <w:r w:rsidR="00A42708">
        <w:rPr>
          <w:b w:val="0"/>
          <w:bCs w:val="0"/>
        </w:rPr>
        <w:t>t</w:t>
      </w:r>
      <w:r>
        <w:rPr>
          <w:b w:val="0"/>
          <w:bCs w:val="0"/>
        </w:rPr>
        <w:t xml:space="preserve">o be defined in section 52A. </w:t>
      </w:r>
    </w:p>
    <w:p w14:paraId="495DEC6B" w14:textId="53E6CF1C" w:rsidR="008E6341" w:rsidRPr="00DA2FC1" w:rsidRDefault="008E6341">
      <w:pPr>
        <w:pStyle w:val="Style2"/>
        <w:numPr>
          <w:ilvl w:val="1"/>
          <w:numId w:val="7"/>
        </w:numPr>
        <w:spacing w:line="276" w:lineRule="auto"/>
      </w:pPr>
      <w:r>
        <w:t xml:space="preserve"> </w:t>
      </w:r>
      <w:r>
        <w:tab/>
        <w:t>Dictionary, new definitions</w:t>
      </w:r>
    </w:p>
    <w:p w14:paraId="2FAAAC6B" w14:textId="74DCE042" w:rsidR="00DA2FC1" w:rsidRDefault="00DA2FC1" w:rsidP="00580E82">
      <w:pPr>
        <w:pStyle w:val="Style2"/>
        <w:numPr>
          <w:ilvl w:val="0"/>
          <w:numId w:val="0"/>
        </w:numPr>
        <w:spacing w:line="276" w:lineRule="auto"/>
        <w:rPr>
          <w:b w:val="0"/>
          <w:bCs w:val="0"/>
        </w:rPr>
      </w:pPr>
      <w:r>
        <w:rPr>
          <w:b w:val="0"/>
          <w:bCs w:val="0"/>
        </w:rPr>
        <w:t>This amendment inserts four definitions</w:t>
      </w:r>
      <w:r w:rsidR="00EF3D8E">
        <w:rPr>
          <w:b w:val="0"/>
          <w:bCs w:val="0"/>
        </w:rPr>
        <w:t xml:space="preserve"> that were inadvertently omitted by another Act. The definitions inserted are: </w:t>
      </w:r>
    </w:p>
    <w:p w14:paraId="741A1B30" w14:textId="77777777" w:rsidR="00EF3D8E" w:rsidRPr="000640E6" w:rsidRDefault="00EF3D8E">
      <w:pPr>
        <w:pStyle w:val="Style2"/>
        <w:numPr>
          <w:ilvl w:val="0"/>
          <w:numId w:val="5"/>
        </w:numPr>
        <w:spacing w:before="120" w:after="120" w:line="276" w:lineRule="auto"/>
        <w:ind w:left="714" w:hanging="357"/>
        <w:rPr>
          <w:b w:val="0"/>
          <w:bCs w:val="0"/>
        </w:rPr>
      </w:pPr>
      <w:r w:rsidRPr="00A42708">
        <w:rPr>
          <w:i/>
          <w:iCs/>
        </w:rPr>
        <w:t>surrendered authorisation</w:t>
      </w:r>
      <w:r w:rsidRPr="000640E6">
        <w:rPr>
          <w:b w:val="0"/>
          <w:bCs w:val="0"/>
        </w:rPr>
        <w:t xml:space="preserve">, for division 2A.2 (Voluntary surrenders)—see section 10A. </w:t>
      </w:r>
    </w:p>
    <w:p w14:paraId="00E54239" w14:textId="77777777" w:rsidR="00EF3D8E" w:rsidRPr="000640E6" w:rsidRDefault="00EF3D8E">
      <w:pPr>
        <w:pStyle w:val="Style2"/>
        <w:numPr>
          <w:ilvl w:val="0"/>
          <w:numId w:val="5"/>
        </w:numPr>
        <w:spacing w:before="120" w:after="120" w:line="276" w:lineRule="auto"/>
        <w:ind w:left="714" w:hanging="357"/>
        <w:rPr>
          <w:b w:val="0"/>
          <w:bCs w:val="0"/>
        </w:rPr>
      </w:pPr>
      <w:r w:rsidRPr="00A42708">
        <w:rPr>
          <w:i/>
          <w:iCs/>
        </w:rPr>
        <w:t>voluntary surrender agreement</w:t>
      </w:r>
      <w:r w:rsidRPr="000640E6">
        <w:rPr>
          <w:b w:val="0"/>
          <w:bCs w:val="0"/>
        </w:rPr>
        <w:t xml:space="preserve">, for division 2A.2 (Voluntary surrenders)—see section 10C. </w:t>
      </w:r>
    </w:p>
    <w:p w14:paraId="4F12F9B8" w14:textId="77777777" w:rsidR="00EF3D8E" w:rsidRPr="000640E6" w:rsidRDefault="00EF3D8E">
      <w:pPr>
        <w:pStyle w:val="Style2"/>
        <w:numPr>
          <w:ilvl w:val="0"/>
          <w:numId w:val="5"/>
        </w:numPr>
        <w:spacing w:before="120" w:after="120" w:line="276" w:lineRule="auto"/>
        <w:ind w:left="714" w:hanging="357"/>
        <w:rPr>
          <w:b w:val="0"/>
          <w:bCs w:val="0"/>
        </w:rPr>
      </w:pPr>
      <w:r w:rsidRPr="00A42708">
        <w:rPr>
          <w:i/>
          <w:iCs/>
        </w:rPr>
        <w:t>voluntary surrender day</w:t>
      </w:r>
      <w:r w:rsidRPr="000640E6">
        <w:rPr>
          <w:b w:val="0"/>
          <w:bCs w:val="0"/>
        </w:rPr>
        <w:t xml:space="preserve">, for a licensee, for division 2A.2 (Voluntary surrenders)—see section 10A. </w:t>
      </w:r>
    </w:p>
    <w:p w14:paraId="49873BCA" w14:textId="762A47D7" w:rsidR="00EF3D8E" w:rsidRDefault="00EF3D8E">
      <w:pPr>
        <w:pStyle w:val="Style2"/>
        <w:numPr>
          <w:ilvl w:val="0"/>
          <w:numId w:val="5"/>
        </w:numPr>
        <w:spacing w:before="120" w:after="120" w:line="276" w:lineRule="auto"/>
        <w:ind w:left="714" w:hanging="357"/>
        <w:rPr>
          <w:b w:val="0"/>
          <w:bCs w:val="0"/>
        </w:rPr>
      </w:pPr>
      <w:r w:rsidRPr="00A42708">
        <w:rPr>
          <w:i/>
          <w:iCs/>
        </w:rPr>
        <w:t>voluntary surrender notice</w:t>
      </w:r>
      <w:r w:rsidRPr="000640E6">
        <w:rPr>
          <w:b w:val="0"/>
          <w:bCs w:val="0"/>
        </w:rPr>
        <w:t>, for division 2A.2 (Voluntary surrenders)—see section 10B.</w:t>
      </w:r>
    </w:p>
    <w:p w14:paraId="36F07C8E" w14:textId="2349B714" w:rsidR="003B498A" w:rsidRDefault="00040014" w:rsidP="00580E82">
      <w:pPr>
        <w:pStyle w:val="Style2"/>
        <w:spacing w:line="276" w:lineRule="auto"/>
      </w:pPr>
      <w:r>
        <w:tab/>
      </w:r>
      <w:r>
        <w:tab/>
      </w:r>
      <w:r w:rsidR="003B498A">
        <w:t>Jurisdiction of Courts (Cross-Vesting) Act 1993</w:t>
      </w:r>
    </w:p>
    <w:p w14:paraId="77613D34" w14:textId="4111235B" w:rsidR="003B498A" w:rsidRDefault="00992B33">
      <w:pPr>
        <w:pStyle w:val="Style2"/>
        <w:numPr>
          <w:ilvl w:val="1"/>
          <w:numId w:val="7"/>
        </w:numPr>
        <w:spacing w:line="276" w:lineRule="auto"/>
      </w:pPr>
      <w:r>
        <w:t xml:space="preserve"> </w:t>
      </w:r>
      <w:r>
        <w:tab/>
        <w:t xml:space="preserve">Section 6 (2) (a) </w:t>
      </w:r>
    </w:p>
    <w:p w14:paraId="0111892E" w14:textId="6C71D82E" w:rsidR="00FF2FAD" w:rsidRPr="00FF2FAD" w:rsidRDefault="00FF2FAD" w:rsidP="00580E82">
      <w:pPr>
        <w:pStyle w:val="Style2"/>
        <w:numPr>
          <w:ilvl w:val="0"/>
          <w:numId w:val="0"/>
        </w:numPr>
        <w:spacing w:line="276" w:lineRule="auto"/>
        <w:rPr>
          <w:b w:val="0"/>
          <w:bCs w:val="0"/>
        </w:rPr>
      </w:pPr>
      <w:r>
        <w:rPr>
          <w:b w:val="0"/>
          <w:bCs w:val="0"/>
        </w:rPr>
        <w:t>This clause omits a redundant cross-reference. Paragraph (d) in the definition of special federal matter in section 3</w:t>
      </w:r>
      <w:r w:rsidR="00A42708">
        <w:rPr>
          <w:b w:val="0"/>
          <w:bCs w:val="0"/>
        </w:rPr>
        <w:t xml:space="preserve"> </w:t>
      </w:r>
      <w:r>
        <w:rPr>
          <w:b w:val="0"/>
          <w:bCs w:val="0"/>
        </w:rPr>
        <w:t xml:space="preserve">(1) of the </w:t>
      </w:r>
      <w:r>
        <w:rPr>
          <w:b w:val="0"/>
          <w:bCs w:val="0"/>
          <w:i/>
          <w:iCs/>
        </w:rPr>
        <w:t xml:space="preserve">Jurisdiction of Courts (Cross-vesting) Act 1987 </w:t>
      </w:r>
      <w:r>
        <w:rPr>
          <w:b w:val="0"/>
          <w:bCs w:val="0"/>
        </w:rPr>
        <w:t xml:space="preserve">(Cwlth) has been </w:t>
      </w:r>
      <w:r w:rsidR="00F155DC">
        <w:rPr>
          <w:b w:val="0"/>
          <w:bCs w:val="0"/>
        </w:rPr>
        <w:t xml:space="preserve">omitted. </w:t>
      </w:r>
    </w:p>
    <w:p w14:paraId="5F5C3E0F" w14:textId="4A35F667" w:rsidR="00607E93" w:rsidRDefault="00607E93">
      <w:pPr>
        <w:pStyle w:val="Style2"/>
        <w:numPr>
          <w:ilvl w:val="1"/>
          <w:numId w:val="7"/>
        </w:numPr>
        <w:spacing w:line="276" w:lineRule="auto"/>
      </w:pPr>
      <w:r>
        <w:tab/>
        <w:t>Section 10 (b)</w:t>
      </w:r>
    </w:p>
    <w:p w14:paraId="4F685B88" w14:textId="287CF945" w:rsidR="00F155DC" w:rsidRPr="00993171" w:rsidRDefault="00F155DC" w:rsidP="00580E82">
      <w:pPr>
        <w:pStyle w:val="Style2"/>
        <w:numPr>
          <w:ilvl w:val="0"/>
          <w:numId w:val="0"/>
        </w:numPr>
        <w:spacing w:line="276" w:lineRule="auto"/>
        <w:rPr>
          <w:b w:val="0"/>
          <w:bCs w:val="0"/>
        </w:rPr>
      </w:pPr>
      <w:r>
        <w:rPr>
          <w:b w:val="0"/>
          <w:bCs w:val="0"/>
        </w:rPr>
        <w:t>This clause updates section 10 (</w:t>
      </w:r>
      <w:r w:rsidR="00993171">
        <w:rPr>
          <w:b w:val="0"/>
          <w:bCs w:val="0"/>
        </w:rPr>
        <w:t xml:space="preserve">b) of the </w:t>
      </w:r>
      <w:r w:rsidR="00993171">
        <w:rPr>
          <w:b w:val="0"/>
          <w:bCs w:val="0"/>
          <w:i/>
          <w:iCs/>
        </w:rPr>
        <w:t>Jurisdiction of Courts (Cross-Vesting) Act 1993</w:t>
      </w:r>
      <w:r w:rsidR="00993171">
        <w:rPr>
          <w:b w:val="0"/>
          <w:bCs w:val="0"/>
        </w:rPr>
        <w:t xml:space="preserve"> to reflect changes to the </w:t>
      </w:r>
      <w:r w:rsidR="00993171">
        <w:rPr>
          <w:b w:val="0"/>
          <w:bCs w:val="0"/>
          <w:i/>
          <w:iCs/>
        </w:rPr>
        <w:t xml:space="preserve">Jurisdiction of Courts (Cross-Vesting) Act 1987 </w:t>
      </w:r>
      <w:r w:rsidR="00993171">
        <w:rPr>
          <w:b w:val="0"/>
          <w:bCs w:val="0"/>
        </w:rPr>
        <w:t>(Cwlth). The change will</w:t>
      </w:r>
      <w:r w:rsidR="00C60E45">
        <w:rPr>
          <w:b w:val="0"/>
          <w:bCs w:val="0"/>
        </w:rPr>
        <w:t xml:space="preserve"> ensure consistency in the matters that can be transferred to the ACT Magistrates Court. </w:t>
      </w:r>
    </w:p>
    <w:p w14:paraId="6FBB9893" w14:textId="538B51A0" w:rsidR="00607E93" w:rsidRPr="00C60E45" w:rsidRDefault="00A059F4">
      <w:pPr>
        <w:pStyle w:val="Style2"/>
        <w:numPr>
          <w:ilvl w:val="1"/>
          <w:numId w:val="7"/>
        </w:numPr>
        <w:spacing w:line="276" w:lineRule="auto"/>
      </w:pPr>
      <w:r>
        <w:tab/>
        <w:t xml:space="preserve">Further amendments, mentions of </w:t>
      </w:r>
      <w:r>
        <w:rPr>
          <w:i/>
          <w:iCs/>
        </w:rPr>
        <w:t>shall</w:t>
      </w:r>
    </w:p>
    <w:p w14:paraId="508A1B9C" w14:textId="5D738C0E" w:rsidR="00C60E45" w:rsidRDefault="001A44BC" w:rsidP="00580E82">
      <w:pPr>
        <w:pStyle w:val="Style2"/>
        <w:numPr>
          <w:ilvl w:val="0"/>
          <w:numId w:val="0"/>
        </w:numPr>
        <w:spacing w:line="276" w:lineRule="auto"/>
        <w:rPr>
          <w:b w:val="0"/>
          <w:bCs w:val="0"/>
        </w:rPr>
      </w:pPr>
      <w:r>
        <w:rPr>
          <w:b w:val="0"/>
          <w:bCs w:val="0"/>
        </w:rPr>
        <w:t>This clau</w:t>
      </w:r>
      <w:r w:rsidR="008C521D">
        <w:rPr>
          <w:b w:val="0"/>
          <w:bCs w:val="0"/>
        </w:rPr>
        <w:t xml:space="preserve">se </w:t>
      </w:r>
      <w:r w:rsidR="00B27C68">
        <w:rPr>
          <w:b w:val="0"/>
          <w:bCs w:val="0"/>
        </w:rPr>
        <w:t>updates the language used in sections 5</w:t>
      </w:r>
      <w:r w:rsidR="00213DC0">
        <w:rPr>
          <w:b w:val="0"/>
          <w:bCs w:val="0"/>
        </w:rPr>
        <w:t>, 6, 7 and 11</w:t>
      </w:r>
      <w:r w:rsidR="00F2122B">
        <w:rPr>
          <w:b w:val="0"/>
          <w:bCs w:val="0"/>
        </w:rPr>
        <w:t>. Specifically, the use of the word ‘shall’ is replaced with the word ‘must’</w:t>
      </w:r>
      <w:r w:rsidR="00BB0ECE">
        <w:rPr>
          <w:b w:val="0"/>
          <w:bCs w:val="0"/>
        </w:rPr>
        <w:t xml:space="preserve"> in the above mentioned provisions</w:t>
      </w:r>
      <w:r w:rsidR="00F2122B">
        <w:rPr>
          <w:b w:val="0"/>
          <w:bCs w:val="0"/>
        </w:rPr>
        <w:t xml:space="preserve">. </w:t>
      </w:r>
    </w:p>
    <w:p w14:paraId="1F42AB41" w14:textId="749A2956" w:rsidR="00F2122B" w:rsidRPr="001A44BC" w:rsidRDefault="00F2122B" w:rsidP="00580E82">
      <w:pPr>
        <w:pStyle w:val="Style2"/>
        <w:numPr>
          <w:ilvl w:val="0"/>
          <w:numId w:val="0"/>
        </w:numPr>
        <w:spacing w:line="276" w:lineRule="auto"/>
        <w:rPr>
          <w:b w:val="0"/>
          <w:bCs w:val="0"/>
        </w:rPr>
      </w:pPr>
      <w:r>
        <w:rPr>
          <w:b w:val="0"/>
          <w:bCs w:val="0"/>
        </w:rPr>
        <w:t xml:space="preserve">This is a minor and technical amendment, aimed at increasing the readability and coherency of the ACT statute book. </w:t>
      </w:r>
    </w:p>
    <w:p w14:paraId="4D2252F1" w14:textId="57C427B2" w:rsidR="00A059F4" w:rsidRPr="00A059F4" w:rsidRDefault="00040014" w:rsidP="00580E82">
      <w:pPr>
        <w:pStyle w:val="Style2"/>
        <w:spacing w:line="276" w:lineRule="auto"/>
      </w:pPr>
      <w:r>
        <w:t xml:space="preserve"> </w:t>
      </w:r>
      <w:r>
        <w:tab/>
      </w:r>
      <w:r>
        <w:tab/>
      </w:r>
      <w:r w:rsidR="00A059F4">
        <w:t xml:space="preserve">Land Titles Act 1925 </w:t>
      </w:r>
    </w:p>
    <w:p w14:paraId="048F9C19" w14:textId="49D0504D" w:rsidR="00A059F4" w:rsidRDefault="00A059F4">
      <w:pPr>
        <w:pStyle w:val="Style2"/>
        <w:numPr>
          <w:ilvl w:val="1"/>
          <w:numId w:val="7"/>
        </w:numPr>
        <w:spacing w:line="276" w:lineRule="auto"/>
      </w:pPr>
      <w:r>
        <w:t xml:space="preserve"> </w:t>
      </w:r>
      <w:r>
        <w:tab/>
        <w:t>Sections 99 etc</w:t>
      </w:r>
    </w:p>
    <w:p w14:paraId="587849ED" w14:textId="69FE7718" w:rsidR="00CE2628" w:rsidRDefault="00CE2628" w:rsidP="00580E82">
      <w:pPr>
        <w:pStyle w:val="Style2"/>
        <w:numPr>
          <w:ilvl w:val="0"/>
          <w:numId w:val="0"/>
        </w:numPr>
        <w:spacing w:line="276" w:lineRule="auto"/>
        <w:rPr>
          <w:b w:val="0"/>
          <w:bCs w:val="0"/>
        </w:rPr>
      </w:pPr>
      <w:r>
        <w:rPr>
          <w:b w:val="0"/>
          <w:bCs w:val="0"/>
        </w:rPr>
        <w:lastRenderedPageBreak/>
        <w:t xml:space="preserve">This amendment makes consequential amendments to a number of provisions in the </w:t>
      </w:r>
      <w:r>
        <w:rPr>
          <w:b w:val="0"/>
          <w:bCs w:val="0"/>
          <w:i/>
          <w:iCs/>
        </w:rPr>
        <w:t xml:space="preserve">Land Titles Act 1925 </w:t>
      </w:r>
      <w:r>
        <w:rPr>
          <w:b w:val="0"/>
          <w:bCs w:val="0"/>
        </w:rPr>
        <w:t xml:space="preserve">which refer to the Family Court. </w:t>
      </w:r>
      <w:r w:rsidR="00746CD1">
        <w:rPr>
          <w:b w:val="0"/>
          <w:bCs w:val="0"/>
        </w:rPr>
        <w:t xml:space="preserve">The Family Court of Australia and Federal Circuit Court of Australia were restructured, and joined, </w:t>
      </w:r>
      <w:r w:rsidR="00510072">
        <w:rPr>
          <w:b w:val="0"/>
          <w:bCs w:val="0"/>
        </w:rPr>
        <w:t xml:space="preserve">as the Federal Circuit Court and Family Court of Australia (the FCFCOA). The FCFCOA has two divisions. </w:t>
      </w:r>
    </w:p>
    <w:p w14:paraId="4542E3DB" w14:textId="76722E84" w:rsidR="00510072" w:rsidRDefault="005E1BAA" w:rsidP="00580E82">
      <w:pPr>
        <w:pStyle w:val="Style2"/>
        <w:numPr>
          <w:ilvl w:val="0"/>
          <w:numId w:val="0"/>
        </w:numPr>
        <w:spacing w:line="276" w:lineRule="auto"/>
        <w:rPr>
          <w:b w:val="0"/>
          <w:bCs w:val="0"/>
        </w:rPr>
      </w:pPr>
      <w:r>
        <w:rPr>
          <w:b w:val="0"/>
          <w:bCs w:val="0"/>
        </w:rPr>
        <w:t xml:space="preserve">Sections 99, 104, 105, 106 and 128 of the </w:t>
      </w:r>
      <w:r>
        <w:rPr>
          <w:b w:val="0"/>
          <w:bCs w:val="0"/>
          <w:i/>
          <w:iCs/>
        </w:rPr>
        <w:t xml:space="preserve">Land Titles Act 1925 </w:t>
      </w:r>
      <w:r>
        <w:rPr>
          <w:b w:val="0"/>
          <w:bCs w:val="0"/>
        </w:rPr>
        <w:t xml:space="preserve">refer to proceedings in the Family Court of Australia, and any other court with jurisdiction under the </w:t>
      </w:r>
      <w:r>
        <w:rPr>
          <w:b w:val="0"/>
          <w:bCs w:val="0"/>
          <w:i/>
          <w:iCs/>
        </w:rPr>
        <w:t xml:space="preserve">Family Law Act 1975 </w:t>
      </w:r>
      <w:r>
        <w:rPr>
          <w:b w:val="0"/>
          <w:bCs w:val="0"/>
        </w:rPr>
        <w:t xml:space="preserve">(Cwlth). </w:t>
      </w:r>
    </w:p>
    <w:p w14:paraId="6F398DDE" w14:textId="482EE9B3" w:rsidR="005E1BAA" w:rsidRDefault="005E1BAA" w:rsidP="00580E82">
      <w:pPr>
        <w:pStyle w:val="Style2"/>
        <w:numPr>
          <w:ilvl w:val="0"/>
          <w:numId w:val="0"/>
        </w:numPr>
        <w:spacing w:line="276" w:lineRule="auto"/>
        <w:rPr>
          <w:b w:val="0"/>
          <w:bCs w:val="0"/>
        </w:rPr>
      </w:pPr>
      <w:r>
        <w:rPr>
          <w:b w:val="0"/>
          <w:bCs w:val="0"/>
        </w:rPr>
        <w:t xml:space="preserve">This clause updates sections 99, 104, 105, 106, 128, to define a court to include any court with jurisdiction under the </w:t>
      </w:r>
      <w:r>
        <w:rPr>
          <w:b w:val="0"/>
          <w:bCs w:val="0"/>
          <w:i/>
          <w:iCs/>
        </w:rPr>
        <w:t xml:space="preserve">Family Law Act 1975 </w:t>
      </w:r>
      <w:r>
        <w:rPr>
          <w:b w:val="0"/>
          <w:bCs w:val="0"/>
        </w:rPr>
        <w:t xml:space="preserve">(Cwlth), in line with the changed structure of the FCFCOA. </w:t>
      </w:r>
    </w:p>
    <w:p w14:paraId="09EF31C4" w14:textId="0F4622FF" w:rsidR="000729DA" w:rsidRDefault="000729DA" w:rsidP="00580E82">
      <w:pPr>
        <w:pStyle w:val="Style2"/>
        <w:spacing w:line="276" w:lineRule="auto"/>
      </w:pPr>
      <w:r>
        <w:t xml:space="preserve"> </w:t>
      </w:r>
      <w:r w:rsidR="00040014">
        <w:t xml:space="preserve"> </w:t>
      </w:r>
      <w:r w:rsidR="00040014">
        <w:tab/>
      </w:r>
      <w:r w:rsidR="00040014">
        <w:tab/>
      </w:r>
      <w:r>
        <w:t>Major Events Act 2014</w:t>
      </w:r>
    </w:p>
    <w:p w14:paraId="75BB9B84" w14:textId="26EF68D3" w:rsidR="000729DA" w:rsidRDefault="000729DA">
      <w:pPr>
        <w:pStyle w:val="Style2"/>
        <w:numPr>
          <w:ilvl w:val="1"/>
          <w:numId w:val="7"/>
        </w:numPr>
        <w:spacing w:line="276" w:lineRule="auto"/>
      </w:pPr>
      <w:r>
        <w:t xml:space="preserve"> </w:t>
      </w:r>
      <w:r>
        <w:tab/>
        <w:t>Section 62</w:t>
      </w:r>
    </w:p>
    <w:p w14:paraId="791AEA05" w14:textId="7A8187DC" w:rsidR="000729DA" w:rsidRPr="003853ED" w:rsidRDefault="00E3405C" w:rsidP="00580E82">
      <w:pPr>
        <w:pStyle w:val="Style2"/>
        <w:numPr>
          <w:ilvl w:val="0"/>
          <w:numId w:val="0"/>
        </w:numPr>
        <w:spacing w:line="276" w:lineRule="auto"/>
        <w:rPr>
          <w:rFonts w:cs="Arial"/>
          <w:b w:val="0"/>
          <w:bCs w:val="0"/>
        </w:rPr>
      </w:pPr>
      <w:r w:rsidRPr="003853ED">
        <w:rPr>
          <w:rFonts w:cs="Arial"/>
          <w:b w:val="0"/>
          <w:bCs w:val="0"/>
        </w:rPr>
        <w:t>This clause corrects the reference to the organiser of an event. The clause replaces reference to a ‘venue organiser’ (which may be confusing, as it is not used elsewhere in the Act</w:t>
      </w:r>
      <w:r w:rsidR="003853ED" w:rsidRPr="003853ED">
        <w:rPr>
          <w:rFonts w:cs="Arial"/>
          <w:b w:val="0"/>
          <w:bCs w:val="0"/>
        </w:rPr>
        <w:t>)</w:t>
      </w:r>
      <w:r w:rsidRPr="003853ED">
        <w:rPr>
          <w:rFonts w:cs="Arial"/>
          <w:b w:val="0"/>
          <w:bCs w:val="0"/>
        </w:rPr>
        <w:t>, with a reference to an ‘event organiser’, which is used elsewhere in the Act and so will reduce confusion.</w:t>
      </w:r>
    </w:p>
    <w:p w14:paraId="514A0BD1" w14:textId="27459118" w:rsidR="003D547E" w:rsidRDefault="00040014" w:rsidP="00580E82">
      <w:pPr>
        <w:pStyle w:val="Style2"/>
        <w:spacing w:line="276" w:lineRule="auto"/>
      </w:pPr>
      <w:r>
        <w:tab/>
      </w:r>
      <w:r>
        <w:tab/>
      </w:r>
      <w:r w:rsidR="003D547E">
        <w:t xml:space="preserve">Second-hand Dealers Regulation 2002 </w:t>
      </w:r>
    </w:p>
    <w:p w14:paraId="2B9E7893" w14:textId="2BF7352E" w:rsidR="003D547E" w:rsidRPr="003D547E" w:rsidRDefault="003D547E">
      <w:pPr>
        <w:pStyle w:val="Style2"/>
        <w:numPr>
          <w:ilvl w:val="1"/>
          <w:numId w:val="7"/>
        </w:numPr>
        <w:spacing w:line="276" w:lineRule="auto"/>
      </w:pPr>
      <w:r>
        <w:t xml:space="preserve"> </w:t>
      </w:r>
      <w:r>
        <w:tab/>
        <w:t xml:space="preserve">Dictionary, definition of </w:t>
      </w:r>
      <w:r>
        <w:rPr>
          <w:i/>
          <w:iCs/>
        </w:rPr>
        <w:t>extract from the electoral roll</w:t>
      </w:r>
    </w:p>
    <w:p w14:paraId="6F12548B" w14:textId="63248C5B" w:rsidR="003D547E" w:rsidRDefault="00DE6F6B" w:rsidP="00580E82">
      <w:pPr>
        <w:pStyle w:val="Style2"/>
        <w:numPr>
          <w:ilvl w:val="0"/>
          <w:numId w:val="0"/>
        </w:numPr>
        <w:spacing w:line="276" w:lineRule="auto"/>
        <w:rPr>
          <w:b w:val="0"/>
          <w:bCs w:val="0"/>
        </w:rPr>
      </w:pPr>
      <w:r>
        <w:rPr>
          <w:b w:val="0"/>
          <w:bCs w:val="0"/>
        </w:rPr>
        <w:t xml:space="preserve">This </w:t>
      </w:r>
      <w:r w:rsidR="00E3405C">
        <w:rPr>
          <w:b w:val="0"/>
          <w:bCs w:val="0"/>
        </w:rPr>
        <w:t>clause</w:t>
      </w:r>
      <w:r>
        <w:rPr>
          <w:b w:val="0"/>
          <w:bCs w:val="0"/>
        </w:rPr>
        <w:t xml:space="preserve"> updates a reference to the Australian Electoral Office with the now correct reference to the Australian Electoral Commission.</w:t>
      </w:r>
    </w:p>
    <w:p w14:paraId="0278374E" w14:textId="77777777" w:rsidR="00A059F4" w:rsidRPr="009D1366" w:rsidRDefault="00A059F4" w:rsidP="00A059F4">
      <w:pPr>
        <w:pStyle w:val="Style2"/>
        <w:numPr>
          <w:ilvl w:val="0"/>
          <w:numId w:val="0"/>
        </w:numPr>
      </w:pPr>
    </w:p>
    <w:p w14:paraId="7E513E6E" w14:textId="38267EB0" w:rsidR="00DA2FC1" w:rsidRPr="008D690D" w:rsidRDefault="00DA2FC1" w:rsidP="00DA2FC1">
      <w:pPr>
        <w:pStyle w:val="Style2"/>
        <w:numPr>
          <w:ilvl w:val="0"/>
          <w:numId w:val="0"/>
        </w:numPr>
      </w:pPr>
    </w:p>
    <w:sectPr w:rsidR="00DA2FC1" w:rsidRPr="008D690D"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0E62" w14:textId="77777777" w:rsidR="000A7E6C" w:rsidRDefault="000A7E6C">
      <w:pPr>
        <w:spacing w:after="0" w:line="240" w:lineRule="auto"/>
      </w:pPr>
      <w:r>
        <w:separator/>
      </w:r>
    </w:p>
  </w:endnote>
  <w:endnote w:type="continuationSeparator" w:id="0">
    <w:p w14:paraId="3E980861" w14:textId="77777777" w:rsidR="000A7E6C" w:rsidRDefault="000A7E6C">
      <w:pPr>
        <w:spacing w:after="0" w:line="240" w:lineRule="auto"/>
      </w:pPr>
      <w:r>
        <w:continuationSeparator/>
      </w:r>
    </w:p>
  </w:endnote>
  <w:endnote w:type="continuationNotice" w:id="1">
    <w:p w14:paraId="5F265982" w14:textId="77777777" w:rsidR="000A7E6C" w:rsidRDefault="000A7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3E43" w14:textId="77777777" w:rsidR="00D7164E" w:rsidRDefault="00D71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12D7" w14:textId="07A609CF" w:rsidR="009314D6" w:rsidRPr="00D7164E" w:rsidRDefault="00D7164E" w:rsidP="00D7164E">
    <w:pPr>
      <w:pStyle w:val="Footer"/>
      <w:jc w:val="center"/>
      <w:rPr>
        <w:rFonts w:cs="Arial"/>
        <w:sz w:val="14"/>
      </w:rPr>
    </w:pPr>
    <w:r w:rsidRPr="00D7164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9EEB" w14:textId="06D58C75" w:rsidR="009314D6" w:rsidRDefault="009028C1" w:rsidP="00670967">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39E9497A" w14:textId="45B4B120" w:rsidR="00D7164E" w:rsidRPr="00D7164E" w:rsidRDefault="00D7164E" w:rsidP="00D7164E">
    <w:pPr>
      <w:pStyle w:val="Footer"/>
      <w:spacing w:before="60" w:line="240" w:lineRule="auto"/>
      <w:jc w:val="center"/>
      <w:rPr>
        <w:rFonts w:cs="Arial"/>
        <w:sz w:val="14"/>
      </w:rPr>
    </w:pPr>
    <w:r w:rsidRPr="00D7164E">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77777777"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45ADD842" w14:textId="394E41CE" w:rsidR="00D7164E" w:rsidRPr="00D7164E" w:rsidRDefault="00D7164E" w:rsidP="00D7164E">
    <w:pPr>
      <w:pStyle w:val="Footer"/>
      <w:jc w:val="center"/>
      <w:rPr>
        <w:rFonts w:cs="Arial"/>
        <w:sz w:val="14"/>
      </w:rPr>
    </w:pPr>
    <w:r w:rsidRPr="00D7164E">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6443" w14:textId="77777777" w:rsidR="000A7E6C" w:rsidRDefault="000A7E6C">
      <w:pPr>
        <w:spacing w:after="0" w:line="240" w:lineRule="auto"/>
      </w:pPr>
      <w:r>
        <w:separator/>
      </w:r>
    </w:p>
  </w:footnote>
  <w:footnote w:type="continuationSeparator" w:id="0">
    <w:p w14:paraId="331886A0" w14:textId="77777777" w:rsidR="000A7E6C" w:rsidRDefault="000A7E6C">
      <w:pPr>
        <w:spacing w:after="0" w:line="240" w:lineRule="auto"/>
      </w:pPr>
      <w:r>
        <w:continuationSeparator/>
      </w:r>
    </w:p>
  </w:footnote>
  <w:footnote w:type="continuationNotice" w:id="1">
    <w:p w14:paraId="1F78D069" w14:textId="77777777" w:rsidR="000A7E6C" w:rsidRDefault="000A7E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509A" w14:textId="77777777" w:rsidR="00D7164E" w:rsidRDefault="00D71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976C" w14:textId="77777777" w:rsidR="00D7164E" w:rsidRDefault="00D71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C64C" w14:textId="77777777" w:rsidR="00D7164E" w:rsidRDefault="00D71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65174"/>
    <w:multiLevelType w:val="multilevel"/>
    <w:tmpl w:val="A0E2ADFC"/>
    <w:lvl w:ilvl="0">
      <w:start w:val="1"/>
      <w:numFmt w:val="decimal"/>
      <w:lvlText w:val="%1."/>
      <w:lvlJc w:val="left"/>
      <w:pPr>
        <w:ind w:left="360" w:hanging="360"/>
      </w:pPr>
      <w:rPr>
        <w:rFonts w:hint="default"/>
      </w:rPr>
    </w:lvl>
    <w:lvl w:ilvl="1">
      <w:start w:val="1"/>
      <w:numFmt w:val="decimal"/>
      <w:lvlText w:val="Clause [%1.%2]"/>
      <w:lvlJc w:val="left"/>
      <w:pPr>
        <w:ind w:left="792" w:hanging="792"/>
      </w:pPr>
      <w:rPr>
        <w:rFonts w:hint="default"/>
        <w:b/>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FDC60DF"/>
    <w:multiLevelType w:val="hybridMultilevel"/>
    <w:tmpl w:val="D4F41050"/>
    <w:lvl w:ilvl="0" w:tplc="448621E2">
      <w:start w:val="1"/>
      <w:numFmt w:val="decimal"/>
      <w:pStyle w:val="Style1"/>
      <w:lvlText w:val="Claus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634F0CAA"/>
    <w:multiLevelType w:val="multilevel"/>
    <w:tmpl w:val="663210F2"/>
    <w:lvl w:ilvl="0">
      <w:start w:val="1"/>
      <w:numFmt w:val="decimal"/>
      <w:lvlText w:val="%1."/>
      <w:lvlJc w:val="left"/>
      <w:pPr>
        <w:ind w:left="360" w:hanging="360"/>
      </w:pPr>
      <w:rPr>
        <w:rFonts w:hint="default"/>
      </w:rPr>
    </w:lvl>
    <w:lvl w:ilvl="1">
      <w:start w:val="1"/>
      <w:numFmt w:val="decimal"/>
      <w:pStyle w:val="Style2"/>
      <w:lvlText w:val="Part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F485C02"/>
    <w:multiLevelType w:val="hybridMultilevel"/>
    <w:tmpl w:val="A74EEE1E"/>
    <w:lvl w:ilvl="0" w:tplc="1E342C8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16cid:durableId="1261571902">
    <w:abstractNumId w:val="2"/>
  </w:num>
  <w:num w:numId="2" w16cid:durableId="1053116581">
    <w:abstractNumId w:val="5"/>
  </w:num>
  <w:num w:numId="3" w16cid:durableId="1405834452">
    <w:abstractNumId w:val="4"/>
  </w:num>
  <w:num w:numId="4" w16cid:durableId="14842483">
    <w:abstractNumId w:val="1"/>
  </w:num>
  <w:num w:numId="5" w16cid:durableId="19092162">
    <w:abstractNumId w:val="4"/>
  </w:num>
  <w:num w:numId="6" w16cid:durableId="1600870981">
    <w:abstractNumId w:val="3"/>
  </w:num>
  <w:num w:numId="7" w16cid:durableId="82624166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32D"/>
    <w:rsid w:val="00000744"/>
    <w:rsid w:val="00000D55"/>
    <w:rsid w:val="000010F4"/>
    <w:rsid w:val="000017F2"/>
    <w:rsid w:val="000030E5"/>
    <w:rsid w:val="00003193"/>
    <w:rsid w:val="000031D2"/>
    <w:rsid w:val="000033B9"/>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05A"/>
    <w:rsid w:val="000146B7"/>
    <w:rsid w:val="0001486E"/>
    <w:rsid w:val="0001535A"/>
    <w:rsid w:val="0001570F"/>
    <w:rsid w:val="00016330"/>
    <w:rsid w:val="0001665A"/>
    <w:rsid w:val="00016A3A"/>
    <w:rsid w:val="00017B43"/>
    <w:rsid w:val="00017E9E"/>
    <w:rsid w:val="00017F39"/>
    <w:rsid w:val="00020A0B"/>
    <w:rsid w:val="00020FD5"/>
    <w:rsid w:val="00021084"/>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014"/>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2F33"/>
    <w:rsid w:val="0005382B"/>
    <w:rsid w:val="00054677"/>
    <w:rsid w:val="0005467E"/>
    <w:rsid w:val="000554D5"/>
    <w:rsid w:val="000555A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40E6"/>
    <w:rsid w:val="0006545C"/>
    <w:rsid w:val="00065468"/>
    <w:rsid w:val="00066031"/>
    <w:rsid w:val="00066731"/>
    <w:rsid w:val="0006694B"/>
    <w:rsid w:val="00066C61"/>
    <w:rsid w:val="00067CD2"/>
    <w:rsid w:val="00067E87"/>
    <w:rsid w:val="00070095"/>
    <w:rsid w:val="00071883"/>
    <w:rsid w:val="000725B7"/>
    <w:rsid w:val="000729DA"/>
    <w:rsid w:val="00072D58"/>
    <w:rsid w:val="00072EA8"/>
    <w:rsid w:val="0007375C"/>
    <w:rsid w:val="00073760"/>
    <w:rsid w:val="00073A1C"/>
    <w:rsid w:val="00074ACD"/>
    <w:rsid w:val="00076249"/>
    <w:rsid w:val="000762EC"/>
    <w:rsid w:val="00076783"/>
    <w:rsid w:val="00077549"/>
    <w:rsid w:val="00077D2E"/>
    <w:rsid w:val="00080BD2"/>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A7E6C"/>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DAB"/>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E66"/>
    <w:rsid w:val="000E6FF4"/>
    <w:rsid w:val="000F0579"/>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177"/>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34E8"/>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8BE"/>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9A3"/>
    <w:rsid w:val="00186CF6"/>
    <w:rsid w:val="00190048"/>
    <w:rsid w:val="001909E6"/>
    <w:rsid w:val="0019122A"/>
    <w:rsid w:val="0019177A"/>
    <w:rsid w:val="00191B79"/>
    <w:rsid w:val="00191DB6"/>
    <w:rsid w:val="00192203"/>
    <w:rsid w:val="0019295E"/>
    <w:rsid w:val="00192C76"/>
    <w:rsid w:val="0019375C"/>
    <w:rsid w:val="00193791"/>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4BC"/>
    <w:rsid w:val="001A4947"/>
    <w:rsid w:val="001A4BA1"/>
    <w:rsid w:val="001A4BF2"/>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2FB3"/>
    <w:rsid w:val="002031EE"/>
    <w:rsid w:val="0020456E"/>
    <w:rsid w:val="00205382"/>
    <w:rsid w:val="00205808"/>
    <w:rsid w:val="0020585F"/>
    <w:rsid w:val="0020655C"/>
    <w:rsid w:val="00206BA3"/>
    <w:rsid w:val="00206D41"/>
    <w:rsid w:val="002079B0"/>
    <w:rsid w:val="00207EC6"/>
    <w:rsid w:val="00207ECF"/>
    <w:rsid w:val="00210051"/>
    <w:rsid w:val="002107F3"/>
    <w:rsid w:val="00210D30"/>
    <w:rsid w:val="00210D7A"/>
    <w:rsid w:val="0021142F"/>
    <w:rsid w:val="002131FC"/>
    <w:rsid w:val="00213C0E"/>
    <w:rsid w:val="00213CE5"/>
    <w:rsid w:val="00213DC0"/>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117"/>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4EA"/>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2A6D"/>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4D88"/>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445"/>
    <w:rsid w:val="003046D5"/>
    <w:rsid w:val="00304A15"/>
    <w:rsid w:val="00304DA9"/>
    <w:rsid w:val="00304DF7"/>
    <w:rsid w:val="00305D57"/>
    <w:rsid w:val="00305F74"/>
    <w:rsid w:val="00306979"/>
    <w:rsid w:val="00306A96"/>
    <w:rsid w:val="00306B89"/>
    <w:rsid w:val="00307340"/>
    <w:rsid w:val="00307E87"/>
    <w:rsid w:val="00310DE4"/>
    <w:rsid w:val="003119D9"/>
    <w:rsid w:val="003124D6"/>
    <w:rsid w:val="00312B5F"/>
    <w:rsid w:val="00312E3D"/>
    <w:rsid w:val="00312F1E"/>
    <w:rsid w:val="0031311E"/>
    <w:rsid w:val="0031372C"/>
    <w:rsid w:val="00313B96"/>
    <w:rsid w:val="00314524"/>
    <w:rsid w:val="00314CC2"/>
    <w:rsid w:val="0031517F"/>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3402"/>
    <w:rsid w:val="003447CE"/>
    <w:rsid w:val="00344CA5"/>
    <w:rsid w:val="0034506A"/>
    <w:rsid w:val="003455C9"/>
    <w:rsid w:val="00345B11"/>
    <w:rsid w:val="00346013"/>
    <w:rsid w:val="003461C3"/>
    <w:rsid w:val="00346546"/>
    <w:rsid w:val="00347917"/>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3755"/>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0DC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3CC3"/>
    <w:rsid w:val="0038423E"/>
    <w:rsid w:val="00384870"/>
    <w:rsid w:val="0038506B"/>
    <w:rsid w:val="003853ED"/>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498A"/>
    <w:rsid w:val="003B509F"/>
    <w:rsid w:val="003B51E1"/>
    <w:rsid w:val="003B5572"/>
    <w:rsid w:val="003B55B1"/>
    <w:rsid w:val="003B621B"/>
    <w:rsid w:val="003B62F7"/>
    <w:rsid w:val="003B6911"/>
    <w:rsid w:val="003B709B"/>
    <w:rsid w:val="003B71CF"/>
    <w:rsid w:val="003B739A"/>
    <w:rsid w:val="003B7A31"/>
    <w:rsid w:val="003B7C4B"/>
    <w:rsid w:val="003C08AF"/>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47E"/>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49DF"/>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16DD"/>
    <w:rsid w:val="004126F8"/>
    <w:rsid w:val="004131EB"/>
    <w:rsid w:val="004135D5"/>
    <w:rsid w:val="00414534"/>
    <w:rsid w:val="00414921"/>
    <w:rsid w:val="004149E8"/>
    <w:rsid w:val="00414BA9"/>
    <w:rsid w:val="00414DDB"/>
    <w:rsid w:val="004155E5"/>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308"/>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A70"/>
    <w:rsid w:val="00481C17"/>
    <w:rsid w:val="004831AE"/>
    <w:rsid w:val="004835B5"/>
    <w:rsid w:val="00484982"/>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02B"/>
    <w:rsid w:val="004C0525"/>
    <w:rsid w:val="004C0D6A"/>
    <w:rsid w:val="004C0FF0"/>
    <w:rsid w:val="004C16D9"/>
    <w:rsid w:val="004C180D"/>
    <w:rsid w:val="004C197D"/>
    <w:rsid w:val="004C2727"/>
    <w:rsid w:val="004C272D"/>
    <w:rsid w:val="004C2815"/>
    <w:rsid w:val="004C2CD6"/>
    <w:rsid w:val="004C33BC"/>
    <w:rsid w:val="004C39A5"/>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A19"/>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A88"/>
    <w:rsid w:val="004F1F84"/>
    <w:rsid w:val="004F262F"/>
    <w:rsid w:val="004F26DC"/>
    <w:rsid w:val="004F27A6"/>
    <w:rsid w:val="004F2FF3"/>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072"/>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68E0"/>
    <w:rsid w:val="00537541"/>
    <w:rsid w:val="00537760"/>
    <w:rsid w:val="00540411"/>
    <w:rsid w:val="00541C26"/>
    <w:rsid w:val="005429CB"/>
    <w:rsid w:val="00543111"/>
    <w:rsid w:val="005431F6"/>
    <w:rsid w:val="005434E9"/>
    <w:rsid w:val="005437F5"/>
    <w:rsid w:val="00543DB4"/>
    <w:rsid w:val="00544371"/>
    <w:rsid w:val="00544A57"/>
    <w:rsid w:val="005463E1"/>
    <w:rsid w:val="0054641F"/>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938"/>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0E82"/>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0C9F"/>
    <w:rsid w:val="00591318"/>
    <w:rsid w:val="0059134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4907"/>
    <w:rsid w:val="005B6270"/>
    <w:rsid w:val="005B6457"/>
    <w:rsid w:val="005B6A08"/>
    <w:rsid w:val="005B6C48"/>
    <w:rsid w:val="005B6E2F"/>
    <w:rsid w:val="005B7158"/>
    <w:rsid w:val="005B77A2"/>
    <w:rsid w:val="005B7C06"/>
    <w:rsid w:val="005B7F41"/>
    <w:rsid w:val="005C13CA"/>
    <w:rsid w:val="005C18A0"/>
    <w:rsid w:val="005C3491"/>
    <w:rsid w:val="005C36E0"/>
    <w:rsid w:val="005C43F0"/>
    <w:rsid w:val="005C579A"/>
    <w:rsid w:val="005C5EB2"/>
    <w:rsid w:val="005C67DC"/>
    <w:rsid w:val="005C6966"/>
    <w:rsid w:val="005C6B99"/>
    <w:rsid w:val="005C6EF8"/>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1BAA"/>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3AE3"/>
    <w:rsid w:val="0060434E"/>
    <w:rsid w:val="0060478F"/>
    <w:rsid w:val="00605637"/>
    <w:rsid w:val="006056B0"/>
    <w:rsid w:val="00605FBD"/>
    <w:rsid w:val="006060E6"/>
    <w:rsid w:val="00606277"/>
    <w:rsid w:val="0060687D"/>
    <w:rsid w:val="00606E39"/>
    <w:rsid w:val="00607A9E"/>
    <w:rsid w:val="00607ADD"/>
    <w:rsid w:val="00607C67"/>
    <w:rsid w:val="00607E93"/>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646"/>
    <w:rsid w:val="00625BC3"/>
    <w:rsid w:val="00625DA8"/>
    <w:rsid w:val="006270F3"/>
    <w:rsid w:val="006271A3"/>
    <w:rsid w:val="0062779A"/>
    <w:rsid w:val="00627B4F"/>
    <w:rsid w:val="00630D77"/>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713"/>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967"/>
    <w:rsid w:val="00670A76"/>
    <w:rsid w:val="00670B9F"/>
    <w:rsid w:val="00670E1C"/>
    <w:rsid w:val="00672775"/>
    <w:rsid w:val="0067305E"/>
    <w:rsid w:val="006739F7"/>
    <w:rsid w:val="00673DA9"/>
    <w:rsid w:val="00674074"/>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293"/>
    <w:rsid w:val="006A6C76"/>
    <w:rsid w:val="006A7151"/>
    <w:rsid w:val="006A746D"/>
    <w:rsid w:val="006A7E4E"/>
    <w:rsid w:val="006A7FEC"/>
    <w:rsid w:val="006B052A"/>
    <w:rsid w:val="006B064A"/>
    <w:rsid w:val="006B0E9A"/>
    <w:rsid w:val="006B2278"/>
    <w:rsid w:val="006B2605"/>
    <w:rsid w:val="006B327F"/>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C34"/>
    <w:rsid w:val="006D5DCD"/>
    <w:rsid w:val="006D6329"/>
    <w:rsid w:val="006D6725"/>
    <w:rsid w:val="006D68C3"/>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6ED"/>
    <w:rsid w:val="006E7B71"/>
    <w:rsid w:val="006E7EE1"/>
    <w:rsid w:val="006F1312"/>
    <w:rsid w:val="006F1399"/>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32F"/>
    <w:rsid w:val="007326D7"/>
    <w:rsid w:val="0073275A"/>
    <w:rsid w:val="00732F80"/>
    <w:rsid w:val="00733369"/>
    <w:rsid w:val="007349B8"/>
    <w:rsid w:val="0073546A"/>
    <w:rsid w:val="00735E50"/>
    <w:rsid w:val="00735FB3"/>
    <w:rsid w:val="00736058"/>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6CD1"/>
    <w:rsid w:val="007476AD"/>
    <w:rsid w:val="007476B6"/>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4B3A"/>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5A0A"/>
    <w:rsid w:val="00896BC7"/>
    <w:rsid w:val="00896C90"/>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21D"/>
    <w:rsid w:val="008C5355"/>
    <w:rsid w:val="008C5896"/>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59DD"/>
    <w:rsid w:val="008D6275"/>
    <w:rsid w:val="008D62E0"/>
    <w:rsid w:val="008D63C9"/>
    <w:rsid w:val="008D690D"/>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341"/>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CE7"/>
    <w:rsid w:val="00900EA4"/>
    <w:rsid w:val="009028C1"/>
    <w:rsid w:val="00903D67"/>
    <w:rsid w:val="00903D85"/>
    <w:rsid w:val="00903F2A"/>
    <w:rsid w:val="00904319"/>
    <w:rsid w:val="00906221"/>
    <w:rsid w:val="00906793"/>
    <w:rsid w:val="00906922"/>
    <w:rsid w:val="00907043"/>
    <w:rsid w:val="0090760B"/>
    <w:rsid w:val="00907962"/>
    <w:rsid w:val="0091059C"/>
    <w:rsid w:val="009106BC"/>
    <w:rsid w:val="00911B87"/>
    <w:rsid w:val="009123C3"/>
    <w:rsid w:val="00912445"/>
    <w:rsid w:val="009125F6"/>
    <w:rsid w:val="00912AE3"/>
    <w:rsid w:val="009137CB"/>
    <w:rsid w:val="00913C69"/>
    <w:rsid w:val="009147D6"/>
    <w:rsid w:val="00915159"/>
    <w:rsid w:val="0091545D"/>
    <w:rsid w:val="00915470"/>
    <w:rsid w:val="009158E3"/>
    <w:rsid w:val="00915E65"/>
    <w:rsid w:val="0091788D"/>
    <w:rsid w:val="00917CF2"/>
    <w:rsid w:val="009204CF"/>
    <w:rsid w:val="00920748"/>
    <w:rsid w:val="009216C1"/>
    <w:rsid w:val="00923485"/>
    <w:rsid w:val="00923B75"/>
    <w:rsid w:val="00923F8C"/>
    <w:rsid w:val="00924911"/>
    <w:rsid w:val="00925DE4"/>
    <w:rsid w:val="009267CC"/>
    <w:rsid w:val="00926A36"/>
    <w:rsid w:val="00926A7D"/>
    <w:rsid w:val="009277EA"/>
    <w:rsid w:val="009301EF"/>
    <w:rsid w:val="009307A7"/>
    <w:rsid w:val="009314D6"/>
    <w:rsid w:val="00932784"/>
    <w:rsid w:val="00932BCC"/>
    <w:rsid w:val="00933059"/>
    <w:rsid w:val="009338D2"/>
    <w:rsid w:val="00934A55"/>
    <w:rsid w:val="00934A74"/>
    <w:rsid w:val="00935B0E"/>
    <w:rsid w:val="0093602F"/>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951"/>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8C1"/>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2B33"/>
    <w:rsid w:val="00993171"/>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099"/>
    <w:rsid w:val="009A77D2"/>
    <w:rsid w:val="009A7E90"/>
    <w:rsid w:val="009A7F73"/>
    <w:rsid w:val="009B0255"/>
    <w:rsid w:val="009B06E5"/>
    <w:rsid w:val="009B0BA7"/>
    <w:rsid w:val="009B1CF6"/>
    <w:rsid w:val="009B1DB8"/>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366"/>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9F4"/>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65C1"/>
    <w:rsid w:val="00A27067"/>
    <w:rsid w:val="00A27140"/>
    <w:rsid w:val="00A279BB"/>
    <w:rsid w:val="00A27C2B"/>
    <w:rsid w:val="00A27CF5"/>
    <w:rsid w:val="00A30701"/>
    <w:rsid w:val="00A317CB"/>
    <w:rsid w:val="00A31920"/>
    <w:rsid w:val="00A32780"/>
    <w:rsid w:val="00A3351D"/>
    <w:rsid w:val="00A3369C"/>
    <w:rsid w:val="00A338B8"/>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708"/>
    <w:rsid w:val="00A42C29"/>
    <w:rsid w:val="00A43655"/>
    <w:rsid w:val="00A43B7A"/>
    <w:rsid w:val="00A4473C"/>
    <w:rsid w:val="00A45F64"/>
    <w:rsid w:val="00A500A0"/>
    <w:rsid w:val="00A50657"/>
    <w:rsid w:val="00A5148E"/>
    <w:rsid w:val="00A51A61"/>
    <w:rsid w:val="00A51DFF"/>
    <w:rsid w:val="00A5201D"/>
    <w:rsid w:val="00A5247F"/>
    <w:rsid w:val="00A5315D"/>
    <w:rsid w:val="00A53181"/>
    <w:rsid w:val="00A531C3"/>
    <w:rsid w:val="00A53B94"/>
    <w:rsid w:val="00A53C3D"/>
    <w:rsid w:val="00A53E77"/>
    <w:rsid w:val="00A540C6"/>
    <w:rsid w:val="00A54CF5"/>
    <w:rsid w:val="00A551B1"/>
    <w:rsid w:val="00A56101"/>
    <w:rsid w:val="00A5717D"/>
    <w:rsid w:val="00A57523"/>
    <w:rsid w:val="00A60D25"/>
    <w:rsid w:val="00A61221"/>
    <w:rsid w:val="00A613DE"/>
    <w:rsid w:val="00A61585"/>
    <w:rsid w:val="00A61699"/>
    <w:rsid w:val="00A61C62"/>
    <w:rsid w:val="00A62A35"/>
    <w:rsid w:val="00A6333C"/>
    <w:rsid w:val="00A63D59"/>
    <w:rsid w:val="00A63F13"/>
    <w:rsid w:val="00A64FC7"/>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82A"/>
    <w:rsid w:val="00A76B6C"/>
    <w:rsid w:val="00A77737"/>
    <w:rsid w:val="00A800B5"/>
    <w:rsid w:val="00A8099C"/>
    <w:rsid w:val="00A80CC7"/>
    <w:rsid w:val="00A80D2C"/>
    <w:rsid w:val="00A813F4"/>
    <w:rsid w:val="00A81EA9"/>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976CF"/>
    <w:rsid w:val="00AA02A6"/>
    <w:rsid w:val="00AA045D"/>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4C40"/>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48F9"/>
    <w:rsid w:val="00AF50BA"/>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6E"/>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27C68"/>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857"/>
    <w:rsid w:val="00B649C8"/>
    <w:rsid w:val="00B64C8A"/>
    <w:rsid w:val="00B654E2"/>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6E00"/>
    <w:rsid w:val="00BA79A0"/>
    <w:rsid w:val="00BB0006"/>
    <w:rsid w:val="00BB0222"/>
    <w:rsid w:val="00BB04D1"/>
    <w:rsid w:val="00BB0627"/>
    <w:rsid w:val="00BB0ECE"/>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E36"/>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26F"/>
    <w:rsid w:val="00BF141D"/>
    <w:rsid w:val="00BF1684"/>
    <w:rsid w:val="00BF3094"/>
    <w:rsid w:val="00BF31F0"/>
    <w:rsid w:val="00BF3E82"/>
    <w:rsid w:val="00BF3F4C"/>
    <w:rsid w:val="00BF4322"/>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0D58"/>
    <w:rsid w:val="00C3156E"/>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1B6"/>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0E45"/>
    <w:rsid w:val="00C61B07"/>
    <w:rsid w:val="00C61BC7"/>
    <w:rsid w:val="00C623C4"/>
    <w:rsid w:val="00C62D24"/>
    <w:rsid w:val="00C6362E"/>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6CD8"/>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88F"/>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A72BB"/>
    <w:rsid w:val="00CB0596"/>
    <w:rsid w:val="00CB0E7C"/>
    <w:rsid w:val="00CB16A0"/>
    <w:rsid w:val="00CB186E"/>
    <w:rsid w:val="00CB22F6"/>
    <w:rsid w:val="00CB2B5B"/>
    <w:rsid w:val="00CB2BC0"/>
    <w:rsid w:val="00CB3ECF"/>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62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300F"/>
    <w:rsid w:val="00D14576"/>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1DB3"/>
    <w:rsid w:val="00D220D8"/>
    <w:rsid w:val="00D22886"/>
    <w:rsid w:val="00D22B69"/>
    <w:rsid w:val="00D22EB3"/>
    <w:rsid w:val="00D22FF5"/>
    <w:rsid w:val="00D23304"/>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57C"/>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64E"/>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CE4"/>
    <w:rsid w:val="00D80DBD"/>
    <w:rsid w:val="00D8113C"/>
    <w:rsid w:val="00D81212"/>
    <w:rsid w:val="00D815B5"/>
    <w:rsid w:val="00D816BF"/>
    <w:rsid w:val="00D81973"/>
    <w:rsid w:val="00D81DAB"/>
    <w:rsid w:val="00D821B4"/>
    <w:rsid w:val="00D82422"/>
    <w:rsid w:val="00D82C97"/>
    <w:rsid w:val="00D83013"/>
    <w:rsid w:val="00D8344D"/>
    <w:rsid w:val="00D834BC"/>
    <w:rsid w:val="00D83A1C"/>
    <w:rsid w:val="00D83A4E"/>
    <w:rsid w:val="00D83C0B"/>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300"/>
    <w:rsid w:val="00D944C1"/>
    <w:rsid w:val="00D94B05"/>
    <w:rsid w:val="00D95AD4"/>
    <w:rsid w:val="00D95CC8"/>
    <w:rsid w:val="00D97D83"/>
    <w:rsid w:val="00DA00AB"/>
    <w:rsid w:val="00DA0C4F"/>
    <w:rsid w:val="00DA1022"/>
    <w:rsid w:val="00DA12B5"/>
    <w:rsid w:val="00DA1A1C"/>
    <w:rsid w:val="00DA2A94"/>
    <w:rsid w:val="00DA2FC1"/>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7DF"/>
    <w:rsid w:val="00DD2E24"/>
    <w:rsid w:val="00DD3848"/>
    <w:rsid w:val="00DD3B29"/>
    <w:rsid w:val="00DD48BC"/>
    <w:rsid w:val="00DD50ED"/>
    <w:rsid w:val="00DD5253"/>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6F6B"/>
    <w:rsid w:val="00DE7144"/>
    <w:rsid w:val="00DE715A"/>
    <w:rsid w:val="00DE71FE"/>
    <w:rsid w:val="00DE7437"/>
    <w:rsid w:val="00DE7A6D"/>
    <w:rsid w:val="00DF0054"/>
    <w:rsid w:val="00DF0492"/>
    <w:rsid w:val="00DF06CC"/>
    <w:rsid w:val="00DF0982"/>
    <w:rsid w:val="00DF153C"/>
    <w:rsid w:val="00DF1B1D"/>
    <w:rsid w:val="00DF1CAB"/>
    <w:rsid w:val="00DF1FAE"/>
    <w:rsid w:val="00DF1FB1"/>
    <w:rsid w:val="00DF262E"/>
    <w:rsid w:val="00DF277B"/>
    <w:rsid w:val="00DF5A84"/>
    <w:rsid w:val="00DF5B1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06F"/>
    <w:rsid w:val="00E0599D"/>
    <w:rsid w:val="00E05BBC"/>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102"/>
    <w:rsid w:val="00E30467"/>
    <w:rsid w:val="00E30786"/>
    <w:rsid w:val="00E31106"/>
    <w:rsid w:val="00E314DD"/>
    <w:rsid w:val="00E32A37"/>
    <w:rsid w:val="00E32BAE"/>
    <w:rsid w:val="00E32CD6"/>
    <w:rsid w:val="00E3310B"/>
    <w:rsid w:val="00E3325C"/>
    <w:rsid w:val="00E334F5"/>
    <w:rsid w:val="00E33AF3"/>
    <w:rsid w:val="00E33C3B"/>
    <w:rsid w:val="00E3401C"/>
    <w:rsid w:val="00E3405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0CE4"/>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885"/>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3F10"/>
    <w:rsid w:val="00EC44A3"/>
    <w:rsid w:val="00EC45EE"/>
    <w:rsid w:val="00EC53B1"/>
    <w:rsid w:val="00EC5428"/>
    <w:rsid w:val="00EC5B84"/>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CAA"/>
    <w:rsid w:val="00EF1FEE"/>
    <w:rsid w:val="00EF2A05"/>
    <w:rsid w:val="00EF2D06"/>
    <w:rsid w:val="00EF33DE"/>
    <w:rsid w:val="00EF3A49"/>
    <w:rsid w:val="00EF3D8E"/>
    <w:rsid w:val="00EF42B9"/>
    <w:rsid w:val="00EF4639"/>
    <w:rsid w:val="00EF548E"/>
    <w:rsid w:val="00EF6383"/>
    <w:rsid w:val="00EF6FE7"/>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3D56"/>
    <w:rsid w:val="00F14C37"/>
    <w:rsid w:val="00F155DC"/>
    <w:rsid w:val="00F162FA"/>
    <w:rsid w:val="00F17B36"/>
    <w:rsid w:val="00F206B7"/>
    <w:rsid w:val="00F20FB7"/>
    <w:rsid w:val="00F21056"/>
    <w:rsid w:val="00F21194"/>
    <w:rsid w:val="00F2122B"/>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60B"/>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EAD"/>
    <w:rsid w:val="00F45FAD"/>
    <w:rsid w:val="00F46135"/>
    <w:rsid w:val="00F461FF"/>
    <w:rsid w:val="00F474AB"/>
    <w:rsid w:val="00F475F0"/>
    <w:rsid w:val="00F4764E"/>
    <w:rsid w:val="00F47F06"/>
    <w:rsid w:val="00F500C3"/>
    <w:rsid w:val="00F50A1A"/>
    <w:rsid w:val="00F51068"/>
    <w:rsid w:val="00F515C0"/>
    <w:rsid w:val="00F5174D"/>
    <w:rsid w:val="00F523E9"/>
    <w:rsid w:val="00F52E08"/>
    <w:rsid w:val="00F52F4D"/>
    <w:rsid w:val="00F53C28"/>
    <w:rsid w:val="00F54723"/>
    <w:rsid w:val="00F54843"/>
    <w:rsid w:val="00F54F79"/>
    <w:rsid w:val="00F5506B"/>
    <w:rsid w:val="00F55912"/>
    <w:rsid w:val="00F563CC"/>
    <w:rsid w:val="00F5696E"/>
    <w:rsid w:val="00F56EC2"/>
    <w:rsid w:val="00F60487"/>
    <w:rsid w:val="00F60523"/>
    <w:rsid w:val="00F60906"/>
    <w:rsid w:val="00F60E65"/>
    <w:rsid w:val="00F61807"/>
    <w:rsid w:val="00F61DA1"/>
    <w:rsid w:val="00F61DF0"/>
    <w:rsid w:val="00F62826"/>
    <w:rsid w:val="00F62983"/>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EE1"/>
    <w:rsid w:val="00F91FCE"/>
    <w:rsid w:val="00F9356C"/>
    <w:rsid w:val="00F94265"/>
    <w:rsid w:val="00F94722"/>
    <w:rsid w:val="00F94A15"/>
    <w:rsid w:val="00F95A4B"/>
    <w:rsid w:val="00F97653"/>
    <w:rsid w:val="00FA0396"/>
    <w:rsid w:val="00FA1C52"/>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114"/>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1F2"/>
    <w:rsid w:val="00FE1E8D"/>
    <w:rsid w:val="00FE23EA"/>
    <w:rsid w:val="00FE2F98"/>
    <w:rsid w:val="00FE3C55"/>
    <w:rsid w:val="00FE3D56"/>
    <w:rsid w:val="00FE4088"/>
    <w:rsid w:val="00FE4611"/>
    <w:rsid w:val="00FE4682"/>
    <w:rsid w:val="00FE46A9"/>
    <w:rsid w:val="00FE4D1A"/>
    <w:rsid w:val="00FE518D"/>
    <w:rsid w:val="00FE547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2FAD"/>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Style1">
    <w:name w:val="Style1"/>
    <w:basedOn w:val="Heading3"/>
    <w:link w:val="Style1Char"/>
    <w:qFormat/>
    <w:rsid w:val="00BC0E36"/>
    <w:pPr>
      <w:numPr>
        <w:numId w:val="4"/>
      </w:numPr>
      <w:ind w:left="357" w:hanging="357"/>
    </w:pPr>
  </w:style>
  <w:style w:type="character" w:customStyle="1" w:styleId="Style1Char">
    <w:name w:val="Style1 Char"/>
    <w:basedOn w:val="Heading3Char"/>
    <w:link w:val="Style1"/>
    <w:rsid w:val="00BC0E36"/>
    <w:rPr>
      <w:rFonts w:ascii="Arial" w:eastAsiaTheme="majorEastAsia" w:hAnsi="Arial" w:cstheme="majorBidi"/>
      <w:b/>
      <w:sz w:val="24"/>
      <w:szCs w:val="24"/>
      <w:lang w:eastAsia="en-US"/>
    </w:rPr>
  </w:style>
  <w:style w:type="paragraph" w:customStyle="1" w:styleId="Style2">
    <w:name w:val="Style2"/>
    <w:basedOn w:val="Style1"/>
    <w:link w:val="Style2Char"/>
    <w:qFormat/>
    <w:rsid w:val="001869A3"/>
    <w:pPr>
      <w:numPr>
        <w:ilvl w:val="1"/>
        <w:numId w:val="6"/>
      </w:numPr>
      <w:ind w:left="0" w:firstLine="0"/>
    </w:pPr>
    <w:rPr>
      <w:bCs/>
    </w:rPr>
  </w:style>
  <w:style w:type="character" w:customStyle="1" w:styleId="Style2Char">
    <w:name w:val="Style2 Char"/>
    <w:basedOn w:val="Style1Char"/>
    <w:link w:val="Style2"/>
    <w:rsid w:val="001869A3"/>
    <w:rPr>
      <w:rFonts w:ascii="Arial" w:eastAsiaTheme="majorEastAsia" w:hAnsi="Arial" w:cstheme="maj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627664768">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7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1868</Words>
  <Characters>9923</Characters>
  <Application>Microsoft Office Word</Application>
  <DocSecurity>0</DocSecurity>
  <Lines>255</Lines>
  <Paragraphs>113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2025-02-05T01:59:00Z</dcterms:created>
  <dcterms:modified xsi:type="dcterms:W3CDTF">2025-02-05T01:59:00Z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2025-01-21T03:43:01Z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f7cff8a1-29c6-42f7-b1b6-548bec426519</vt:lpwstr>
  </property>
  <property fmtid="{D5CDD505-2E9C-101B-9397-08002B2CF9AE}" pid="8" name="MSIP_Label_69af8531-eb46-4968-8cb3-105d2f5ea87e_ContentBits">
    <vt:lpwstr>0</vt:lpwstr>
  </property>
</Properties>
</file>