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7260" w14:textId="77777777" w:rsidR="00C910FE" w:rsidRPr="00C910FE" w:rsidRDefault="00C910FE" w:rsidP="00C910FE">
      <w:pPr>
        <w:spacing w:before="120"/>
        <w:rPr>
          <w:rFonts w:ascii="Arial" w:hAnsi="Arial" w:cs="Arial"/>
          <w:szCs w:val="20"/>
        </w:rPr>
      </w:pPr>
      <w:r w:rsidRPr="00C910FE">
        <w:rPr>
          <w:rFonts w:ascii="Arial" w:hAnsi="Arial" w:cs="Arial"/>
          <w:szCs w:val="20"/>
        </w:rPr>
        <w:t>Australian Capital Territory</w:t>
      </w:r>
    </w:p>
    <w:p w14:paraId="03C2A179" w14:textId="40E1AC30" w:rsidR="00C910FE" w:rsidRPr="00C910FE" w:rsidRDefault="00C910FE" w:rsidP="00C910FE">
      <w:pPr>
        <w:tabs>
          <w:tab w:val="left" w:pos="2400"/>
          <w:tab w:val="left" w:pos="2880"/>
        </w:tabs>
        <w:spacing w:before="700" w:after="100"/>
        <w:rPr>
          <w:rFonts w:ascii="Arial" w:hAnsi="Arial"/>
          <w:b/>
          <w:sz w:val="40"/>
          <w:szCs w:val="20"/>
        </w:rPr>
      </w:pPr>
      <w:r w:rsidRPr="00C910FE">
        <w:rPr>
          <w:rFonts w:ascii="Arial" w:hAnsi="Arial"/>
          <w:b/>
          <w:sz w:val="40"/>
          <w:szCs w:val="20"/>
        </w:rPr>
        <w:t>Integrity Commission (Commissioner Selection Criteria and Process) Determination 202</w:t>
      </w:r>
      <w:r w:rsidR="00496E06">
        <w:rPr>
          <w:rFonts w:ascii="Arial" w:hAnsi="Arial"/>
          <w:b/>
          <w:sz w:val="40"/>
          <w:szCs w:val="20"/>
        </w:rPr>
        <w:t>5</w:t>
      </w:r>
    </w:p>
    <w:p w14:paraId="5CB95534" w14:textId="1BEC2121" w:rsidR="00C910FE" w:rsidRPr="00C910FE" w:rsidRDefault="00C910FE" w:rsidP="00C910FE">
      <w:pPr>
        <w:spacing w:before="340"/>
        <w:rPr>
          <w:rFonts w:ascii="Arial" w:hAnsi="Arial" w:cs="Arial"/>
          <w:b/>
          <w:bCs/>
          <w:szCs w:val="20"/>
        </w:rPr>
      </w:pPr>
      <w:r w:rsidRPr="00C910FE">
        <w:rPr>
          <w:rFonts w:ascii="Arial" w:hAnsi="Arial" w:cs="Arial"/>
          <w:b/>
          <w:bCs/>
          <w:szCs w:val="20"/>
        </w:rPr>
        <w:t>Disallowable instrument DI</w:t>
      </w:r>
      <w:r w:rsidRPr="00C910FE">
        <w:rPr>
          <w:rFonts w:ascii="Arial" w:hAnsi="Arial" w:cs="Arial"/>
          <w:b/>
          <w:bCs/>
          <w:iCs/>
          <w:szCs w:val="20"/>
        </w:rPr>
        <w:t>202</w:t>
      </w:r>
      <w:r w:rsidR="00F33FA0">
        <w:rPr>
          <w:rFonts w:ascii="Arial" w:hAnsi="Arial" w:cs="Arial"/>
          <w:b/>
          <w:bCs/>
          <w:iCs/>
          <w:szCs w:val="20"/>
        </w:rPr>
        <w:t>5</w:t>
      </w:r>
      <w:r w:rsidRPr="00C910FE">
        <w:rPr>
          <w:rFonts w:ascii="Arial" w:hAnsi="Arial" w:cs="Arial"/>
          <w:b/>
          <w:bCs/>
          <w:szCs w:val="20"/>
        </w:rPr>
        <w:t>–</w:t>
      </w:r>
      <w:r w:rsidR="009308F1">
        <w:rPr>
          <w:rFonts w:ascii="Arial" w:hAnsi="Arial" w:cs="Arial"/>
          <w:b/>
          <w:bCs/>
          <w:szCs w:val="20"/>
        </w:rPr>
        <w:t>12</w:t>
      </w:r>
    </w:p>
    <w:p w14:paraId="4D069936" w14:textId="77777777" w:rsidR="00C910FE" w:rsidRPr="00C910FE" w:rsidRDefault="00C910FE" w:rsidP="00C910FE">
      <w:pPr>
        <w:spacing w:before="300"/>
        <w:jc w:val="both"/>
        <w:rPr>
          <w:szCs w:val="20"/>
        </w:rPr>
      </w:pPr>
      <w:r w:rsidRPr="00C910FE">
        <w:rPr>
          <w:szCs w:val="20"/>
        </w:rPr>
        <w:t xml:space="preserve">made under </w:t>
      </w:r>
    </w:p>
    <w:p w14:paraId="113086FC" w14:textId="77777777" w:rsidR="00C910FE" w:rsidRPr="00C910FE" w:rsidRDefault="00C910FE" w:rsidP="00C910FE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  <w:szCs w:val="20"/>
        </w:rPr>
      </w:pPr>
      <w:r w:rsidRPr="00C910FE">
        <w:rPr>
          <w:rFonts w:ascii="Arial" w:hAnsi="Arial" w:cs="Arial"/>
          <w:b/>
          <w:sz w:val="20"/>
          <w:szCs w:val="20"/>
        </w:rPr>
        <w:t>Integrity Commission Act 2018, s 27 (Commissioner—selection criteria and process)</w:t>
      </w:r>
    </w:p>
    <w:p w14:paraId="035CAFF5" w14:textId="77777777" w:rsidR="00C910FE" w:rsidRDefault="00C910FE" w:rsidP="00C910FE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5D6F5C4" w14:textId="77777777" w:rsidR="00C910FE" w:rsidRDefault="00C910FE" w:rsidP="00C910FE">
      <w:pPr>
        <w:pStyle w:val="N-line3"/>
        <w:pBdr>
          <w:bottom w:val="none" w:sz="0" w:space="0" w:color="auto"/>
        </w:pBdr>
      </w:pPr>
    </w:p>
    <w:p w14:paraId="729F16AC" w14:textId="77777777" w:rsidR="00C910FE" w:rsidRDefault="00C910FE" w:rsidP="00C910FE">
      <w:pPr>
        <w:pStyle w:val="N-line3"/>
        <w:pBdr>
          <w:top w:val="single" w:sz="12" w:space="1" w:color="auto"/>
          <w:bottom w:val="none" w:sz="0" w:space="0" w:color="auto"/>
        </w:pBdr>
      </w:pPr>
    </w:p>
    <w:p w14:paraId="0C2AA121" w14:textId="668C8F17" w:rsidR="00420394" w:rsidRPr="00151240" w:rsidRDefault="00774FCD" w:rsidP="0096381D">
      <w:pPr>
        <w:spacing w:before="120" w:after="120"/>
        <w:rPr>
          <w:rFonts w:asciiTheme="minorHAnsi" w:hAnsiTheme="minorHAnsi"/>
        </w:rPr>
      </w:pPr>
      <w:r w:rsidRPr="00151240">
        <w:rPr>
          <w:rFonts w:asciiTheme="minorHAnsi" w:hAnsiTheme="minorHAnsi"/>
        </w:rPr>
        <w:t xml:space="preserve">Section </w:t>
      </w:r>
      <w:r w:rsidR="00420394" w:rsidRPr="00151240">
        <w:rPr>
          <w:rFonts w:asciiTheme="minorHAnsi" w:hAnsiTheme="minorHAnsi"/>
        </w:rPr>
        <w:t>27</w:t>
      </w:r>
      <w:r w:rsidR="00CA37BF">
        <w:rPr>
          <w:rFonts w:asciiTheme="minorHAnsi" w:hAnsiTheme="minorHAnsi"/>
        </w:rPr>
        <w:t xml:space="preserve"> </w:t>
      </w:r>
      <w:r w:rsidR="00756014" w:rsidRPr="00151240">
        <w:rPr>
          <w:rFonts w:asciiTheme="minorHAnsi" w:hAnsiTheme="minorHAnsi"/>
        </w:rPr>
        <w:t>(1)</w:t>
      </w:r>
      <w:r w:rsidRPr="00151240">
        <w:rPr>
          <w:rFonts w:asciiTheme="minorHAnsi" w:hAnsiTheme="minorHAnsi"/>
        </w:rPr>
        <w:t xml:space="preserve"> of the </w:t>
      </w:r>
      <w:r w:rsidR="00420394" w:rsidRPr="00151240">
        <w:rPr>
          <w:rFonts w:asciiTheme="minorHAnsi" w:hAnsiTheme="minorHAnsi"/>
          <w:i/>
        </w:rPr>
        <w:t>Integrity Commission Act 2018</w:t>
      </w:r>
      <w:r w:rsidRPr="00151240">
        <w:rPr>
          <w:rFonts w:asciiTheme="minorHAnsi" w:hAnsiTheme="minorHAnsi"/>
          <w:i/>
        </w:rPr>
        <w:t xml:space="preserve"> </w:t>
      </w:r>
      <w:r w:rsidR="00756014" w:rsidRPr="00151240">
        <w:rPr>
          <w:rFonts w:asciiTheme="minorHAnsi" w:hAnsiTheme="minorHAnsi"/>
        </w:rPr>
        <w:t xml:space="preserve">(the Act) </w:t>
      </w:r>
      <w:r w:rsidRPr="00151240">
        <w:rPr>
          <w:rFonts w:asciiTheme="minorHAnsi" w:hAnsiTheme="minorHAnsi"/>
        </w:rPr>
        <w:t>states that the Speaker must</w:t>
      </w:r>
      <w:r w:rsidR="00420394" w:rsidRPr="00151240">
        <w:rPr>
          <w:rFonts w:asciiTheme="minorHAnsi" w:hAnsiTheme="minorHAnsi"/>
        </w:rPr>
        <w:t xml:space="preserve"> make a determination </w:t>
      </w:r>
      <w:r w:rsidR="00A02DA9" w:rsidRPr="00036E90">
        <w:rPr>
          <w:rFonts w:asciiTheme="minorHAnsi" w:hAnsiTheme="minorHAnsi"/>
        </w:rPr>
        <w:t>(</w:t>
      </w:r>
      <w:r w:rsidR="00A02DA9" w:rsidRPr="003E7E08">
        <w:rPr>
          <w:rFonts w:asciiTheme="minorHAnsi" w:hAnsiTheme="minorHAnsi"/>
          <w:bCs/>
          <w:i/>
        </w:rPr>
        <w:t>a</w:t>
      </w:r>
      <w:r w:rsidR="00A02DA9" w:rsidRPr="00151240">
        <w:rPr>
          <w:rFonts w:asciiTheme="minorHAnsi" w:hAnsiTheme="minorHAnsi"/>
          <w:b/>
          <w:i/>
        </w:rPr>
        <w:t xml:space="preserve"> commissioner selection criteria and process determination</w:t>
      </w:r>
      <w:r w:rsidR="00A02DA9" w:rsidRPr="00151240">
        <w:rPr>
          <w:rFonts w:asciiTheme="minorHAnsi" w:hAnsiTheme="minorHAnsi"/>
        </w:rPr>
        <w:t xml:space="preserve">) </w:t>
      </w:r>
      <w:r w:rsidR="00420394" w:rsidRPr="00151240">
        <w:rPr>
          <w:rFonts w:asciiTheme="minorHAnsi" w:hAnsiTheme="minorHAnsi"/>
        </w:rPr>
        <w:t>about the criteria that apply to the selection of a person for appointment as commissioner and the process for selecting the person.</w:t>
      </w:r>
    </w:p>
    <w:p w14:paraId="326117AA" w14:textId="77777777" w:rsidR="00420394" w:rsidRPr="00151240" w:rsidRDefault="00420394" w:rsidP="0096381D">
      <w:pPr>
        <w:spacing w:before="120" w:after="120"/>
        <w:rPr>
          <w:rFonts w:asciiTheme="minorHAnsi" w:hAnsiTheme="minorHAnsi"/>
        </w:rPr>
      </w:pPr>
      <w:r w:rsidRPr="00151240">
        <w:rPr>
          <w:rFonts w:asciiTheme="minorHAnsi" w:hAnsiTheme="minorHAnsi"/>
        </w:rPr>
        <w:t>This instrument makes a</w:t>
      </w:r>
      <w:r w:rsidRPr="00151240">
        <w:rPr>
          <w:rFonts w:asciiTheme="minorHAnsi" w:hAnsiTheme="minorHAnsi"/>
          <w:b/>
          <w:i/>
        </w:rPr>
        <w:t xml:space="preserve"> commissioner selection criteria and process determination</w:t>
      </w:r>
      <w:r w:rsidR="00A02DA9" w:rsidRPr="00151240">
        <w:rPr>
          <w:rFonts w:asciiTheme="minorHAnsi" w:hAnsiTheme="minorHAnsi"/>
          <w:b/>
          <w:i/>
        </w:rPr>
        <w:t>.</w:t>
      </w:r>
      <w:r w:rsidRPr="00151240">
        <w:rPr>
          <w:rFonts w:asciiTheme="minorHAnsi" w:hAnsiTheme="minorHAnsi"/>
        </w:rPr>
        <w:t xml:space="preserve"> </w:t>
      </w:r>
    </w:p>
    <w:p w14:paraId="0CFCBC3E" w14:textId="3D6C06C7" w:rsidR="00420394" w:rsidRPr="00151240" w:rsidRDefault="00420394" w:rsidP="0096381D">
      <w:pPr>
        <w:spacing w:before="120" w:after="120"/>
        <w:ind w:right="-52"/>
        <w:rPr>
          <w:rFonts w:asciiTheme="minorHAnsi" w:hAnsiTheme="minorHAnsi"/>
        </w:rPr>
      </w:pPr>
      <w:r w:rsidRPr="00151240">
        <w:rPr>
          <w:rFonts w:asciiTheme="minorHAnsi" w:hAnsiTheme="minorHAnsi"/>
        </w:rPr>
        <w:t>Section 27</w:t>
      </w:r>
      <w:r w:rsidR="00CA37BF">
        <w:rPr>
          <w:rFonts w:asciiTheme="minorHAnsi" w:hAnsiTheme="minorHAnsi"/>
        </w:rPr>
        <w:t xml:space="preserve"> </w:t>
      </w:r>
      <w:r w:rsidRPr="00151240">
        <w:rPr>
          <w:rFonts w:asciiTheme="minorHAnsi" w:hAnsiTheme="minorHAnsi"/>
        </w:rPr>
        <w:t>(2)</w:t>
      </w:r>
      <w:r w:rsidR="009308F1">
        <w:rPr>
          <w:rFonts w:asciiTheme="minorHAnsi" w:hAnsiTheme="minorHAnsi"/>
        </w:rPr>
        <w:t xml:space="preserve"> of the Act</w:t>
      </w:r>
      <w:r w:rsidRPr="00151240">
        <w:rPr>
          <w:rFonts w:asciiTheme="minorHAnsi" w:hAnsiTheme="minorHAnsi"/>
        </w:rPr>
        <w:t xml:space="preserve"> </w:t>
      </w:r>
      <w:r w:rsidR="00756014" w:rsidRPr="00151240">
        <w:rPr>
          <w:rFonts w:asciiTheme="minorHAnsi" w:hAnsiTheme="minorHAnsi"/>
        </w:rPr>
        <w:t xml:space="preserve">sets out </w:t>
      </w:r>
      <w:r w:rsidRPr="00151240">
        <w:rPr>
          <w:rFonts w:asciiTheme="minorHAnsi" w:hAnsiTheme="minorHAnsi"/>
        </w:rPr>
        <w:t>the things that the Speaker must do</w:t>
      </w:r>
      <w:r w:rsidR="00A02DA9" w:rsidRPr="00151240">
        <w:rPr>
          <w:rFonts w:asciiTheme="minorHAnsi" w:hAnsiTheme="minorHAnsi"/>
        </w:rPr>
        <w:t xml:space="preserve"> in making a </w:t>
      </w:r>
      <w:r w:rsidR="00A02DA9" w:rsidRPr="00151240">
        <w:rPr>
          <w:rFonts w:asciiTheme="minorHAnsi" w:hAnsiTheme="minorHAnsi"/>
          <w:b/>
          <w:i/>
        </w:rPr>
        <w:t>commissioner selection criteria and process determination.</w:t>
      </w:r>
      <w:r w:rsidR="00A02DA9" w:rsidRPr="00151240">
        <w:rPr>
          <w:rFonts w:asciiTheme="minorHAnsi" w:hAnsiTheme="minorHAnsi"/>
        </w:rPr>
        <w:t xml:space="preserve"> </w:t>
      </w:r>
    </w:p>
    <w:p w14:paraId="41C341A4" w14:textId="77777777" w:rsidR="00774FCD" w:rsidRPr="00151240" w:rsidRDefault="007E5EC7" w:rsidP="00D169B3">
      <w:pPr>
        <w:spacing w:before="120" w:after="120"/>
        <w:rPr>
          <w:rFonts w:asciiTheme="minorHAnsi" w:hAnsiTheme="minorHAnsi"/>
        </w:rPr>
      </w:pPr>
      <w:r w:rsidRPr="00151240">
        <w:rPr>
          <w:rFonts w:asciiTheme="minorHAnsi" w:hAnsiTheme="minorHAnsi"/>
        </w:rPr>
        <w:t xml:space="preserve">In </w:t>
      </w:r>
      <w:r w:rsidR="003E161D" w:rsidRPr="00151240">
        <w:rPr>
          <w:rFonts w:asciiTheme="minorHAnsi" w:hAnsiTheme="minorHAnsi"/>
        </w:rPr>
        <w:t xml:space="preserve">making the </w:t>
      </w:r>
      <w:r w:rsidR="00420394" w:rsidRPr="00151240">
        <w:rPr>
          <w:rFonts w:asciiTheme="minorHAnsi" w:hAnsiTheme="minorHAnsi"/>
        </w:rPr>
        <w:t>determination</w:t>
      </w:r>
      <w:r w:rsidR="003E161D" w:rsidRPr="00151240">
        <w:rPr>
          <w:rFonts w:asciiTheme="minorHAnsi" w:hAnsiTheme="minorHAnsi"/>
        </w:rPr>
        <w:t xml:space="preserve">, </w:t>
      </w:r>
      <w:r w:rsidR="00774FCD" w:rsidRPr="00151240">
        <w:rPr>
          <w:rFonts w:asciiTheme="minorHAnsi" w:hAnsiTheme="minorHAnsi"/>
        </w:rPr>
        <w:t>the Speaker</w:t>
      </w:r>
      <w:r w:rsidR="00151240">
        <w:rPr>
          <w:rFonts w:asciiTheme="minorHAnsi" w:hAnsiTheme="minorHAnsi"/>
        </w:rPr>
        <w:t xml:space="preserve"> has</w:t>
      </w:r>
      <w:r w:rsidR="00774FCD" w:rsidRPr="00151240">
        <w:rPr>
          <w:rFonts w:asciiTheme="minorHAnsi" w:hAnsiTheme="minorHAnsi"/>
        </w:rPr>
        <w:t>:</w:t>
      </w:r>
    </w:p>
    <w:p w14:paraId="4BD2D7B3" w14:textId="3673F149" w:rsidR="00774FCD" w:rsidRPr="00AC6CF4" w:rsidRDefault="00BA61F4" w:rsidP="00AC6CF4">
      <w:pPr>
        <w:pStyle w:val="ListParagraph"/>
        <w:numPr>
          <w:ilvl w:val="0"/>
          <w:numId w:val="2"/>
        </w:numPr>
        <w:spacing w:before="120" w:after="120"/>
        <w:ind w:right="-269"/>
        <w:contextualSpacing w:val="0"/>
        <w:rPr>
          <w:rFonts w:asciiTheme="minorHAnsi" w:hAnsiTheme="minorHAnsi"/>
          <w:spacing w:val="-2"/>
        </w:rPr>
      </w:pPr>
      <w:r w:rsidRPr="00AC6CF4">
        <w:rPr>
          <w:rFonts w:asciiTheme="minorHAnsi" w:hAnsiTheme="minorHAnsi"/>
          <w:spacing w:val="-2"/>
        </w:rPr>
        <w:t>consulted</w:t>
      </w:r>
      <w:r w:rsidR="00774FCD" w:rsidRPr="00AC6CF4">
        <w:rPr>
          <w:rFonts w:asciiTheme="minorHAnsi" w:hAnsiTheme="minorHAnsi"/>
          <w:spacing w:val="-2"/>
        </w:rPr>
        <w:t xml:space="preserve"> with the persons </w:t>
      </w:r>
      <w:r w:rsidR="00DB00E5" w:rsidRPr="00AC6CF4">
        <w:rPr>
          <w:rFonts w:asciiTheme="minorHAnsi" w:hAnsiTheme="minorHAnsi"/>
          <w:spacing w:val="-2"/>
        </w:rPr>
        <w:t xml:space="preserve">and the standing committee </w:t>
      </w:r>
      <w:r w:rsidR="00774FCD" w:rsidRPr="00AC6CF4">
        <w:rPr>
          <w:rFonts w:asciiTheme="minorHAnsi" w:hAnsiTheme="minorHAnsi"/>
          <w:spacing w:val="-2"/>
        </w:rPr>
        <w:t xml:space="preserve">mentioned in s </w:t>
      </w:r>
      <w:r w:rsidR="00420394" w:rsidRPr="00AC6CF4">
        <w:rPr>
          <w:rFonts w:asciiTheme="minorHAnsi" w:hAnsiTheme="minorHAnsi"/>
          <w:spacing w:val="-2"/>
        </w:rPr>
        <w:t>27</w:t>
      </w:r>
      <w:r w:rsidR="00CA37BF" w:rsidRPr="00AC6CF4">
        <w:rPr>
          <w:rFonts w:asciiTheme="minorHAnsi" w:hAnsiTheme="minorHAnsi"/>
          <w:spacing w:val="-2"/>
        </w:rPr>
        <w:t xml:space="preserve"> </w:t>
      </w:r>
      <w:r w:rsidR="00420394" w:rsidRPr="00AC6CF4">
        <w:rPr>
          <w:rFonts w:asciiTheme="minorHAnsi" w:hAnsiTheme="minorHAnsi"/>
          <w:spacing w:val="-2"/>
        </w:rPr>
        <w:t>(2)</w:t>
      </w:r>
      <w:r w:rsidR="00CA37BF" w:rsidRPr="00AC6CF4">
        <w:rPr>
          <w:rFonts w:asciiTheme="minorHAnsi" w:hAnsiTheme="minorHAnsi"/>
          <w:spacing w:val="-2"/>
        </w:rPr>
        <w:t xml:space="preserve"> </w:t>
      </w:r>
      <w:r w:rsidR="00A02DA9" w:rsidRPr="00AC6CF4">
        <w:rPr>
          <w:rFonts w:asciiTheme="minorHAnsi" w:hAnsiTheme="minorHAnsi"/>
          <w:spacing w:val="-2"/>
        </w:rPr>
        <w:t>(a)</w:t>
      </w:r>
      <w:r w:rsidR="00C92CA4" w:rsidRPr="00AC6CF4">
        <w:rPr>
          <w:rFonts w:asciiTheme="minorHAnsi" w:hAnsiTheme="minorHAnsi"/>
          <w:spacing w:val="-2"/>
        </w:rPr>
        <w:t>;</w:t>
      </w:r>
    </w:p>
    <w:p w14:paraId="72A9DCD8" w14:textId="77777777" w:rsidR="00A02DA9" w:rsidRPr="00151240" w:rsidRDefault="00A02DA9" w:rsidP="00D169B3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/>
        </w:rPr>
      </w:pPr>
      <w:r w:rsidRPr="00151240">
        <w:rPr>
          <w:rFonts w:asciiTheme="minorHAnsi" w:hAnsiTheme="minorHAnsi"/>
        </w:rPr>
        <w:t>ensured, through the drafting of the determination, an open, accountable and competitive selection process;</w:t>
      </w:r>
      <w:r w:rsidR="008A142C">
        <w:rPr>
          <w:rFonts w:asciiTheme="minorHAnsi" w:hAnsiTheme="minorHAnsi"/>
        </w:rPr>
        <w:t xml:space="preserve"> and</w:t>
      </w:r>
    </w:p>
    <w:p w14:paraId="798A3D1B" w14:textId="77777777" w:rsidR="00A02DA9" w:rsidRPr="00151240" w:rsidRDefault="00A02DA9" w:rsidP="00D169B3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/>
          <w:i/>
        </w:rPr>
      </w:pPr>
      <w:r w:rsidRPr="00151240">
        <w:rPr>
          <w:rFonts w:asciiTheme="minorHAnsi" w:hAnsiTheme="minorHAnsi"/>
        </w:rPr>
        <w:t xml:space="preserve">had regard to selection criteria determined under s 4AA of the </w:t>
      </w:r>
      <w:r w:rsidRPr="00151240">
        <w:rPr>
          <w:rFonts w:asciiTheme="minorHAnsi" w:hAnsiTheme="minorHAnsi"/>
          <w:i/>
        </w:rPr>
        <w:t xml:space="preserve">Supreme Court Act 1933. </w:t>
      </w:r>
    </w:p>
    <w:p w14:paraId="771B0B86" w14:textId="19670FDA" w:rsidR="00134F39" w:rsidRDefault="002D66B1" w:rsidP="00D169B3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determination </w:t>
      </w:r>
      <w:r w:rsidR="009B119E">
        <w:rPr>
          <w:rFonts w:asciiTheme="minorHAnsi" w:hAnsiTheme="minorHAnsi"/>
        </w:rPr>
        <w:t>pro</w:t>
      </w:r>
      <w:r w:rsidR="00CB67BF">
        <w:rPr>
          <w:rFonts w:asciiTheme="minorHAnsi" w:hAnsiTheme="minorHAnsi"/>
        </w:rPr>
        <w:t>vides that</w:t>
      </w:r>
      <w:r w:rsidR="009308F1">
        <w:rPr>
          <w:rFonts w:asciiTheme="minorHAnsi" w:hAnsiTheme="minorHAnsi"/>
        </w:rPr>
        <w:t xml:space="preserve"> the</w:t>
      </w:r>
      <w:r w:rsidR="00DB00E5">
        <w:rPr>
          <w:rFonts w:asciiTheme="minorHAnsi" w:hAnsiTheme="minorHAnsi"/>
        </w:rPr>
        <w:t xml:space="preserve">: </w:t>
      </w:r>
    </w:p>
    <w:p w14:paraId="76D2DC7A" w14:textId="235F3DCE" w:rsidR="00DB00E5" w:rsidRDefault="00DB00E5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selection process for the position of Integrity Commissioner must be open, accountable and competitive;</w:t>
      </w:r>
    </w:p>
    <w:p w14:paraId="146DA0CA" w14:textId="0996720C" w:rsidR="00DB00E5" w:rsidRDefault="00DB00E5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Speaker must seek expressions of interest</w:t>
      </w:r>
      <w:r w:rsidR="003E7E08">
        <w:rPr>
          <w:rFonts w:asciiTheme="minorHAnsi" w:hAnsiTheme="minorHAnsi"/>
        </w:rPr>
        <w:t xml:space="preserve"> from eligible persons t</w:t>
      </w:r>
      <w:r>
        <w:rPr>
          <w:rFonts w:asciiTheme="minorHAnsi" w:hAnsiTheme="minorHAnsi"/>
        </w:rPr>
        <w:t>hrough public advertising</w:t>
      </w:r>
      <w:r w:rsidR="003E7E08">
        <w:rPr>
          <w:rFonts w:asciiTheme="minorHAnsi" w:hAnsiTheme="minorHAnsi"/>
        </w:rPr>
        <w:t xml:space="preserve"> of the position</w:t>
      </w:r>
      <w:r>
        <w:rPr>
          <w:rFonts w:asciiTheme="minorHAnsi" w:hAnsiTheme="minorHAnsi"/>
        </w:rPr>
        <w:t>;</w:t>
      </w:r>
    </w:p>
    <w:p w14:paraId="1A2AAB68" w14:textId="0F63DA3D" w:rsidR="00DB00E5" w:rsidRDefault="00DB00E5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Speaker must appoint an advisor</w:t>
      </w:r>
      <w:r w:rsidR="003E7E08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panel </w:t>
      </w:r>
      <w:r w:rsidR="003E7E08">
        <w:rPr>
          <w:rFonts w:asciiTheme="minorHAnsi" w:hAnsiTheme="minorHAnsi"/>
        </w:rPr>
        <w:t>to evaluate the suitability and eligibility of persons who lodge an expression of interest (applicants)</w:t>
      </w:r>
      <w:r w:rsidR="00036E90">
        <w:rPr>
          <w:rFonts w:asciiTheme="minorHAnsi" w:hAnsiTheme="minorHAnsi"/>
        </w:rPr>
        <w:t>;</w:t>
      </w:r>
    </w:p>
    <w:p w14:paraId="4FC59462" w14:textId="15CE2C8C" w:rsidR="003E7E08" w:rsidRPr="003E7E08" w:rsidRDefault="003E7E08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 w:rsidRPr="003E7E08">
        <w:rPr>
          <w:rFonts w:asciiTheme="minorHAnsi" w:hAnsiTheme="minorHAnsi"/>
        </w:rPr>
        <w:t xml:space="preserve">panel must consist of three members and include at least one male and one female member. A panel member must be:  </w:t>
      </w:r>
    </w:p>
    <w:p w14:paraId="79F8D5C4" w14:textId="77777777" w:rsidR="003E7E08" w:rsidRPr="003E7E08" w:rsidRDefault="003E7E08" w:rsidP="003E7E08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Theme="minorHAnsi" w:hAnsiTheme="minorHAnsi"/>
        </w:rPr>
      </w:pPr>
      <w:r w:rsidRPr="003E7E08">
        <w:rPr>
          <w:rFonts w:asciiTheme="minorHAnsi" w:hAnsiTheme="minorHAnsi"/>
        </w:rPr>
        <w:lastRenderedPageBreak/>
        <w:t>an esteemed representative of the Australian legal community (for example, a retired judge or justice, or an eminent Senior Counsel or King’s Counsel); or</w:t>
      </w:r>
    </w:p>
    <w:p w14:paraId="5A2DC533" w14:textId="77777777" w:rsidR="003E7E08" w:rsidRPr="003E7E08" w:rsidRDefault="003E7E08" w:rsidP="003E7E08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Theme="minorHAnsi" w:hAnsiTheme="minorHAnsi"/>
        </w:rPr>
      </w:pPr>
      <w:r w:rsidRPr="003E7E08">
        <w:rPr>
          <w:rFonts w:asciiTheme="minorHAnsi" w:hAnsiTheme="minorHAnsi"/>
        </w:rPr>
        <w:t>a current or former member of an anti-corruption or integrity body from another state/territory or the Commonwealth; or</w:t>
      </w:r>
    </w:p>
    <w:p w14:paraId="28F31F41" w14:textId="588681EE" w:rsidR="003E7E08" w:rsidRPr="003E7E08" w:rsidRDefault="003E7E08" w:rsidP="003E7E08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Theme="minorHAnsi" w:hAnsiTheme="minorHAnsi"/>
        </w:rPr>
      </w:pPr>
      <w:r w:rsidRPr="003E7E08">
        <w:rPr>
          <w:rFonts w:asciiTheme="minorHAnsi" w:hAnsiTheme="minorHAnsi"/>
        </w:rPr>
        <w:t>a current or former statutory office holder from another state/territory or the Commonwealth</w:t>
      </w:r>
      <w:r w:rsidR="0096381D">
        <w:rPr>
          <w:rFonts w:asciiTheme="minorHAnsi" w:hAnsiTheme="minorHAnsi"/>
        </w:rPr>
        <w:t>;</w:t>
      </w:r>
    </w:p>
    <w:p w14:paraId="36989B92" w14:textId="3B336F3D" w:rsidR="00DB00E5" w:rsidRPr="0096381D" w:rsidRDefault="00DB00E5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 w:rsidRPr="0096381D">
        <w:rPr>
          <w:rFonts w:asciiTheme="minorHAnsi" w:hAnsiTheme="minorHAnsi"/>
        </w:rPr>
        <w:t>members of the advisory panel must declare to the Speaker any matter that may reasonably be seen to give rise to an apprehension of bias or conflict of interest</w:t>
      </w:r>
      <w:r w:rsidR="0096381D" w:rsidRPr="0096381D">
        <w:rPr>
          <w:rFonts w:asciiTheme="minorHAnsi" w:hAnsiTheme="minorHAnsi"/>
        </w:rPr>
        <w:t xml:space="preserve"> in contributing to the performance of the panel’s advisory function</w:t>
      </w:r>
      <w:r w:rsidRPr="0096381D">
        <w:rPr>
          <w:rFonts w:asciiTheme="minorHAnsi" w:hAnsiTheme="minorHAnsi"/>
        </w:rPr>
        <w:t xml:space="preserve">. </w:t>
      </w:r>
      <w:r w:rsidR="0096381D" w:rsidRPr="0096381D">
        <w:rPr>
          <w:rFonts w:asciiTheme="minorHAnsi" w:hAnsiTheme="minorHAnsi"/>
        </w:rPr>
        <w:t>The Speaker may decide how the possibility of a conflict of interest or apprehension of bias is to be managed;</w:t>
      </w:r>
    </w:p>
    <w:p w14:paraId="168C5B77" w14:textId="45C86EE4" w:rsidR="00DB00E5" w:rsidRDefault="00DB00E5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panel must evaluate the candidates against the selection criteria outlined in the determination and requirements under the Act;</w:t>
      </w:r>
    </w:p>
    <w:p w14:paraId="22591D18" w14:textId="1A00815A" w:rsidR="00DB00E5" w:rsidRDefault="00DB00E5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following its consideration of the suitability of eligible applicants against the selection criteria, the panel must provide to the Speaker:</w:t>
      </w:r>
    </w:p>
    <w:p w14:paraId="68BF6D34" w14:textId="77777777" w:rsidR="00DB00E5" w:rsidRPr="00DB00E5" w:rsidRDefault="00DB00E5" w:rsidP="003E7E08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Theme="minorHAnsi" w:hAnsiTheme="minorHAnsi"/>
        </w:rPr>
      </w:pPr>
      <w:r w:rsidRPr="00DB00E5">
        <w:rPr>
          <w:rFonts w:asciiTheme="minorHAnsi" w:hAnsiTheme="minorHAnsi"/>
        </w:rPr>
        <w:t>if only one applicant is assessed as being suitable for appointment, a recommendation that the person be appointed and statement of reasons to that effect; or</w:t>
      </w:r>
    </w:p>
    <w:p w14:paraId="12CD6286" w14:textId="7B6FA571" w:rsidR="00DB00E5" w:rsidRDefault="00DB00E5" w:rsidP="003E7E08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Theme="minorHAnsi" w:hAnsiTheme="minorHAnsi"/>
        </w:rPr>
      </w:pPr>
      <w:r w:rsidRPr="00DB00E5">
        <w:rPr>
          <w:rFonts w:asciiTheme="minorHAnsi" w:hAnsiTheme="minorHAnsi"/>
        </w:rPr>
        <w:t>if more than one applicant is assessed by the panel as being suitable for appointment, a recommendation that the person listed first in the order of merit be appointed and a statement of reasons to that effect</w:t>
      </w:r>
      <w:r>
        <w:rPr>
          <w:rFonts w:asciiTheme="minorHAnsi" w:hAnsiTheme="minorHAnsi"/>
        </w:rPr>
        <w:t>;</w:t>
      </w:r>
      <w:r w:rsidRPr="00DB00E5">
        <w:rPr>
          <w:rFonts w:asciiTheme="minorHAnsi" w:hAnsiTheme="minorHAnsi"/>
        </w:rPr>
        <w:t xml:space="preserve">  </w:t>
      </w:r>
    </w:p>
    <w:p w14:paraId="63005C7E" w14:textId="58FB2E95" w:rsidR="00DB00E5" w:rsidRDefault="00DB00E5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the p</w:t>
      </w:r>
      <w:r w:rsidRPr="00DB00E5">
        <w:rPr>
          <w:rFonts w:asciiTheme="minorHAnsi" w:hAnsiTheme="minorHAnsi"/>
        </w:rPr>
        <w:t>anel must be satisfied that any person it recommends to the Speaker for appointment as the Commissioner, or who is included on a merit list as being suitable for appointment, is both eligible for appointment and is a fit and proper person of good character</w:t>
      </w:r>
      <w:r>
        <w:rPr>
          <w:rFonts w:asciiTheme="minorHAnsi" w:hAnsiTheme="minorHAnsi"/>
        </w:rPr>
        <w:t>;</w:t>
      </w:r>
    </w:p>
    <w:p w14:paraId="6DAD2C5D" w14:textId="52D9AFFA" w:rsidR="00DB00E5" w:rsidRDefault="00DB00E5" w:rsidP="003E7E08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DB00E5">
        <w:rPr>
          <w:rFonts w:asciiTheme="minorHAnsi" w:hAnsiTheme="minorHAnsi"/>
        </w:rPr>
        <w:t>n exercising the Speaker’s power of appointment, the Speaker must consider the panel’s recommendation, order of merit and statement of reasons</w:t>
      </w:r>
      <w:r>
        <w:rPr>
          <w:rFonts w:asciiTheme="minorHAnsi" w:hAnsiTheme="minorHAnsi"/>
        </w:rPr>
        <w:t>;</w:t>
      </w:r>
    </w:p>
    <w:p w14:paraId="22A1AF57" w14:textId="66D88A47" w:rsidR="0040130A" w:rsidRPr="00DB00E5" w:rsidRDefault="00036E90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1B2B0A">
        <w:rPr>
          <w:rFonts w:asciiTheme="minorHAnsi" w:hAnsiTheme="minorHAnsi"/>
        </w:rPr>
        <w:t xml:space="preserve">Speaker </w:t>
      </w:r>
      <w:r>
        <w:rPr>
          <w:rFonts w:asciiTheme="minorHAnsi" w:hAnsiTheme="minorHAnsi"/>
        </w:rPr>
        <w:t>must not appoint a person as Integrity Commission unless satisfied that the person has extensive knowledge of:</w:t>
      </w:r>
    </w:p>
    <w:p w14:paraId="1FA57D82" w14:textId="77777777" w:rsidR="00036E90" w:rsidRDefault="00036E90" w:rsidP="003E7E08">
      <w:pPr>
        <w:pStyle w:val="Aparabullet"/>
        <w:numPr>
          <w:ilvl w:val="0"/>
          <w:numId w:val="6"/>
        </w:numPr>
        <w:spacing w:before="120" w:after="120"/>
      </w:pPr>
      <w:bookmarkStart w:id="0" w:name="_Hlk190250745"/>
      <w:r w:rsidRPr="002C5968">
        <w:t xml:space="preserve">criminal </w:t>
      </w:r>
      <w:r w:rsidRPr="002A4C7C">
        <w:t>investigation</w:t>
      </w:r>
      <w:r w:rsidRPr="002C5968">
        <w:t xml:space="preserve"> or criminal adjudication; or </w:t>
      </w:r>
    </w:p>
    <w:p w14:paraId="2ACCAA96" w14:textId="77777777" w:rsidR="00036E90" w:rsidRDefault="00036E90" w:rsidP="003E7E08">
      <w:pPr>
        <w:pStyle w:val="Aparabullet"/>
        <w:numPr>
          <w:ilvl w:val="0"/>
          <w:numId w:val="6"/>
        </w:numPr>
        <w:spacing w:before="120" w:after="120"/>
      </w:pPr>
      <w:r w:rsidRPr="002C5968">
        <w:t xml:space="preserve">law enforcement or the conduct of investigations; or </w:t>
      </w:r>
    </w:p>
    <w:p w14:paraId="08B9057A" w14:textId="6693E586" w:rsidR="00036E90" w:rsidRPr="002C5968" w:rsidRDefault="00036E90" w:rsidP="003E7E08">
      <w:pPr>
        <w:pStyle w:val="Aparabullet"/>
        <w:numPr>
          <w:ilvl w:val="0"/>
          <w:numId w:val="6"/>
        </w:numPr>
        <w:spacing w:before="120" w:after="120"/>
      </w:pPr>
      <w:r w:rsidRPr="002C5968">
        <w:t>public administration, governance or government</w:t>
      </w:r>
      <w:r>
        <w:t xml:space="preserve">; </w:t>
      </w:r>
      <w:r w:rsidRPr="002C5968">
        <w:t xml:space="preserve"> </w:t>
      </w:r>
    </w:p>
    <w:p w14:paraId="789DBAFE" w14:textId="77777777" w:rsidR="0096381D" w:rsidRDefault="00036E90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Calibri" w:hAnsi="Calibri" w:cs="Calibri"/>
        </w:rPr>
      </w:pPr>
      <w:bookmarkStart w:id="1" w:name="_Hlk190250819"/>
      <w:bookmarkEnd w:id="0"/>
      <w:r w:rsidRPr="00036E90">
        <w:rPr>
          <w:rFonts w:ascii="Calibri" w:hAnsi="Calibri" w:cs="Calibri"/>
        </w:rPr>
        <w:t xml:space="preserve">The Speaker must not make an appointment unless the Legislative Assembly has approved the appointment, by resolution passed by a majority of at least 2/3 of the members. </w:t>
      </w:r>
    </w:p>
    <w:p w14:paraId="63960FE9" w14:textId="3F3F4097" w:rsidR="00134F39" w:rsidRDefault="00036E90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Calibri" w:hAnsi="Calibri" w:cs="Calibri"/>
        </w:rPr>
      </w:pPr>
      <w:r w:rsidRPr="00036E90">
        <w:rPr>
          <w:rFonts w:ascii="Calibri" w:hAnsi="Calibri" w:cs="Calibri"/>
        </w:rPr>
        <w:t>Before a person is appointed as Commissioner, the person must take an oath of office, or make an affirmation of office, before the Speaker</w:t>
      </w:r>
      <w:r w:rsidR="003E7E08">
        <w:rPr>
          <w:rFonts w:ascii="Calibri" w:hAnsi="Calibri" w:cs="Calibri"/>
        </w:rPr>
        <w:t>;</w:t>
      </w:r>
    </w:p>
    <w:bookmarkEnd w:id="1"/>
    <w:p w14:paraId="77CAD03C" w14:textId="41A15E7A" w:rsidR="003E7E08" w:rsidRPr="00036E90" w:rsidRDefault="003E7E08" w:rsidP="003E7E0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Speaker may receive administrative support and advice from an external recruitment consultant. </w:t>
      </w:r>
    </w:p>
    <w:p w14:paraId="3E67D6DB" w14:textId="1B32CE82" w:rsidR="00915C36" w:rsidRPr="00151240" w:rsidRDefault="008F6154">
      <w:pPr>
        <w:rPr>
          <w:rFonts w:asciiTheme="minorHAnsi" w:hAnsiTheme="minorHAnsi"/>
        </w:rPr>
      </w:pPr>
      <w:r>
        <w:rPr>
          <w:rFonts w:asciiTheme="minorHAnsi" w:hAnsiTheme="minorHAnsi"/>
        </w:rPr>
        <w:t>The determination revokes DI20</w:t>
      </w:r>
      <w:r w:rsidR="00DB00E5">
        <w:rPr>
          <w:rFonts w:asciiTheme="minorHAnsi" w:hAnsiTheme="minorHAnsi"/>
        </w:rPr>
        <w:t>21</w:t>
      </w:r>
      <w:r>
        <w:rPr>
          <w:rFonts w:asciiTheme="minorHAnsi" w:hAnsiTheme="minorHAnsi"/>
        </w:rPr>
        <w:t>-</w:t>
      </w:r>
      <w:r w:rsidR="00DB00E5">
        <w:rPr>
          <w:rFonts w:asciiTheme="minorHAnsi" w:hAnsiTheme="minorHAnsi"/>
        </w:rPr>
        <w:t>36</w:t>
      </w:r>
      <w:r>
        <w:rPr>
          <w:rFonts w:asciiTheme="minorHAnsi" w:hAnsiTheme="minorHAnsi"/>
        </w:rPr>
        <w:t>.</w:t>
      </w:r>
    </w:p>
    <w:sectPr w:rsidR="00915C36" w:rsidRPr="00151240" w:rsidSect="00AC6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C358" w14:textId="77777777" w:rsidR="00B4668A" w:rsidRDefault="00B4668A">
      <w:r>
        <w:separator/>
      </w:r>
    </w:p>
  </w:endnote>
  <w:endnote w:type="continuationSeparator" w:id="0">
    <w:p w14:paraId="48199B66" w14:textId="77777777" w:rsidR="00B4668A" w:rsidRDefault="00B4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3CAD" w14:textId="77777777" w:rsidR="006F0E3C" w:rsidRDefault="006F0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4F2A" w14:textId="2C36707D" w:rsidR="006D5682" w:rsidRPr="006F0E3C" w:rsidRDefault="006F0E3C" w:rsidP="006F0E3C">
    <w:pPr>
      <w:pStyle w:val="Footer"/>
      <w:jc w:val="center"/>
      <w:rPr>
        <w:rFonts w:ascii="Arial" w:hAnsi="Arial" w:cs="Arial"/>
        <w:sz w:val="14"/>
      </w:rPr>
    </w:pPr>
    <w:r w:rsidRPr="006F0E3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C7E6" w14:textId="77777777" w:rsidR="006F0E3C" w:rsidRDefault="006F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815F" w14:textId="77777777" w:rsidR="00B4668A" w:rsidRDefault="00B4668A">
      <w:r>
        <w:separator/>
      </w:r>
    </w:p>
  </w:footnote>
  <w:footnote w:type="continuationSeparator" w:id="0">
    <w:p w14:paraId="5F3DAE24" w14:textId="77777777" w:rsidR="00B4668A" w:rsidRDefault="00B4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2EBD" w14:textId="77777777" w:rsidR="006F0E3C" w:rsidRDefault="006F0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62C3" w14:textId="77777777" w:rsidR="006F0E3C" w:rsidRDefault="006F0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43C6" w14:textId="77777777" w:rsidR="006F0E3C" w:rsidRDefault="006F0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57D8"/>
    <w:multiLevelType w:val="hybridMultilevel"/>
    <w:tmpl w:val="9DE4D0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6305"/>
    <w:multiLevelType w:val="singleLevel"/>
    <w:tmpl w:val="AD30A1C4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2" w15:restartNumberingAfterBreak="0">
    <w:nsid w:val="394B34F8"/>
    <w:multiLevelType w:val="hybridMultilevel"/>
    <w:tmpl w:val="5DA8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E292B"/>
    <w:multiLevelType w:val="hybridMultilevel"/>
    <w:tmpl w:val="373C5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66128C"/>
    <w:multiLevelType w:val="hybridMultilevel"/>
    <w:tmpl w:val="8870B4D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F54A3F"/>
    <w:multiLevelType w:val="hybridMultilevel"/>
    <w:tmpl w:val="8E3C3F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46913"/>
    <w:multiLevelType w:val="hybridMultilevel"/>
    <w:tmpl w:val="A164DFD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14192">
    <w:abstractNumId w:val="3"/>
  </w:num>
  <w:num w:numId="2" w16cid:durableId="1548909613">
    <w:abstractNumId w:val="2"/>
  </w:num>
  <w:num w:numId="3" w16cid:durableId="1402174999">
    <w:abstractNumId w:val="0"/>
  </w:num>
  <w:num w:numId="4" w16cid:durableId="383524411">
    <w:abstractNumId w:val="5"/>
  </w:num>
  <w:num w:numId="5" w16cid:durableId="1949924197">
    <w:abstractNumId w:val="1"/>
  </w:num>
  <w:num w:numId="6" w16cid:durableId="404029875">
    <w:abstractNumId w:val="4"/>
  </w:num>
  <w:num w:numId="7" w16cid:durableId="1981222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6"/>
    <w:rsid w:val="00007A75"/>
    <w:rsid w:val="000108DD"/>
    <w:rsid w:val="00012157"/>
    <w:rsid w:val="00036E90"/>
    <w:rsid w:val="000B15B2"/>
    <w:rsid w:val="000C03C3"/>
    <w:rsid w:val="000D2ABD"/>
    <w:rsid w:val="00111D97"/>
    <w:rsid w:val="00134F39"/>
    <w:rsid w:val="00151240"/>
    <w:rsid w:val="00163A43"/>
    <w:rsid w:val="00183B98"/>
    <w:rsid w:val="001B2B0A"/>
    <w:rsid w:val="001D25DE"/>
    <w:rsid w:val="00214703"/>
    <w:rsid w:val="0024204C"/>
    <w:rsid w:val="00244E4E"/>
    <w:rsid w:val="002B5349"/>
    <w:rsid w:val="002D66B1"/>
    <w:rsid w:val="002D7428"/>
    <w:rsid w:val="00304641"/>
    <w:rsid w:val="0032519F"/>
    <w:rsid w:val="00327F34"/>
    <w:rsid w:val="00332962"/>
    <w:rsid w:val="00342CF1"/>
    <w:rsid w:val="00345659"/>
    <w:rsid w:val="00362D65"/>
    <w:rsid w:val="003810A6"/>
    <w:rsid w:val="003A2A78"/>
    <w:rsid w:val="003B3269"/>
    <w:rsid w:val="003C427A"/>
    <w:rsid w:val="003E161D"/>
    <w:rsid w:val="003E7E08"/>
    <w:rsid w:val="0040130A"/>
    <w:rsid w:val="00420394"/>
    <w:rsid w:val="004404A7"/>
    <w:rsid w:val="00442895"/>
    <w:rsid w:val="00496E06"/>
    <w:rsid w:val="004A27AC"/>
    <w:rsid w:val="00527A3E"/>
    <w:rsid w:val="006702B0"/>
    <w:rsid w:val="006B72A3"/>
    <w:rsid w:val="006D34F8"/>
    <w:rsid w:val="006D5682"/>
    <w:rsid w:val="006D67AE"/>
    <w:rsid w:val="006F0E3C"/>
    <w:rsid w:val="006F3EA1"/>
    <w:rsid w:val="00756014"/>
    <w:rsid w:val="00774FCD"/>
    <w:rsid w:val="007A05CC"/>
    <w:rsid w:val="007E2A94"/>
    <w:rsid w:val="007E5EC7"/>
    <w:rsid w:val="00831A11"/>
    <w:rsid w:val="0084736E"/>
    <w:rsid w:val="00870EA8"/>
    <w:rsid w:val="00894E88"/>
    <w:rsid w:val="008A142C"/>
    <w:rsid w:val="008A4789"/>
    <w:rsid w:val="008A4E66"/>
    <w:rsid w:val="008F6154"/>
    <w:rsid w:val="00915C36"/>
    <w:rsid w:val="009308F1"/>
    <w:rsid w:val="00932E04"/>
    <w:rsid w:val="0096381D"/>
    <w:rsid w:val="00967D7B"/>
    <w:rsid w:val="009B119E"/>
    <w:rsid w:val="009B41B7"/>
    <w:rsid w:val="00A02DA9"/>
    <w:rsid w:val="00A11673"/>
    <w:rsid w:val="00A12198"/>
    <w:rsid w:val="00A30367"/>
    <w:rsid w:val="00A64E11"/>
    <w:rsid w:val="00AC6CF4"/>
    <w:rsid w:val="00AE4404"/>
    <w:rsid w:val="00AF5E97"/>
    <w:rsid w:val="00B120BB"/>
    <w:rsid w:val="00B4668A"/>
    <w:rsid w:val="00B97F7B"/>
    <w:rsid w:val="00BA61F4"/>
    <w:rsid w:val="00BE1D6E"/>
    <w:rsid w:val="00C10A06"/>
    <w:rsid w:val="00C910FE"/>
    <w:rsid w:val="00C92CA4"/>
    <w:rsid w:val="00CA37BF"/>
    <w:rsid w:val="00CB67BF"/>
    <w:rsid w:val="00D13EA7"/>
    <w:rsid w:val="00D169B3"/>
    <w:rsid w:val="00D25377"/>
    <w:rsid w:val="00D70364"/>
    <w:rsid w:val="00D71276"/>
    <w:rsid w:val="00DB00E5"/>
    <w:rsid w:val="00DC0F1A"/>
    <w:rsid w:val="00E21BA5"/>
    <w:rsid w:val="00E40F81"/>
    <w:rsid w:val="00E6698D"/>
    <w:rsid w:val="00E8085A"/>
    <w:rsid w:val="00EB04AB"/>
    <w:rsid w:val="00EE0600"/>
    <w:rsid w:val="00F174F6"/>
    <w:rsid w:val="00F33FA0"/>
    <w:rsid w:val="00F43A95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269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E1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E1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E11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4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64E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64E11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E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FCD"/>
    <w:pPr>
      <w:ind w:left="720"/>
      <w:contextualSpacing/>
    </w:pPr>
  </w:style>
  <w:style w:type="paragraph" w:customStyle="1" w:styleId="N-line3">
    <w:name w:val="N-line3"/>
    <w:basedOn w:val="Normal"/>
    <w:next w:val="Normal"/>
    <w:rsid w:val="00C910FE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Aparabullet">
    <w:name w:val="A para bullet"/>
    <w:basedOn w:val="Normal"/>
    <w:rsid w:val="00036E90"/>
    <w:pPr>
      <w:numPr>
        <w:numId w:val="5"/>
      </w:numPr>
      <w:tabs>
        <w:tab w:val="clear" w:pos="1740"/>
      </w:tabs>
      <w:ind w:left="284" w:hanging="284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E19D3718-3A28-4471-BE99-4475EE9AFE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3536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2025-02-25T23:46:00Z</dcterms:created>
  <dcterms:modified xsi:type="dcterms:W3CDTF">2025-02-25T23:46:00Z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6bfd41c5-45f7-42ca-8df2-979965d0a7a8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MSIP_Label_69af8531-eb46-4968-8cb3-105d2f5ea87e_Enabled">
    <vt:lpwstr>true</vt:lpwstr>
  </property>
  <property fmtid="{D5CDD505-2E9C-101B-9397-08002B2CF9AE}" pid="10" name="MSIP_Label_69af8531-eb46-4968-8cb3-105d2f5ea87e_SetDate">
    <vt:lpwstr>2025-02-11T05:43:55Z</vt:lpwstr>
  </property>
  <property fmtid="{D5CDD505-2E9C-101B-9397-08002B2CF9AE}" pid="11" name="MSIP_Label_69af8531-eb46-4968-8cb3-105d2f5ea87e_Method">
    <vt:lpwstr>Standard</vt:lpwstr>
  </property>
  <property fmtid="{D5CDD505-2E9C-101B-9397-08002B2CF9AE}" pid="12" name="MSIP_Label_69af8531-eb46-4968-8cb3-105d2f5ea87e_Name">
    <vt:lpwstr>Official - No Marking</vt:lpwstr>
  </property>
  <property fmtid="{D5CDD505-2E9C-101B-9397-08002B2CF9AE}" pid="13" name="MSIP_Label_69af8531-eb46-4968-8cb3-105d2f5ea87e_SiteId">
    <vt:lpwstr>b46c1908-0334-4236-b978-585ee88e4199</vt:lpwstr>
  </property>
  <property fmtid="{D5CDD505-2E9C-101B-9397-08002B2CF9AE}" pid="14" name="MSIP_Label_69af8531-eb46-4968-8cb3-105d2f5ea87e_ActionId">
    <vt:lpwstr>82a35503-b874-4ff5-bf02-4dd308248df2</vt:lpwstr>
  </property>
  <property fmtid="{D5CDD505-2E9C-101B-9397-08002B2CF9AE}" pid="15" name="MSIP_Label_69af8531-eb46-4968-8cb3-105d2f5ea87e_ContentBits">
    <vt:lpwstr>0</vt:lpwstr>
  </property>
</Properties>
</file>