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C5F9B" w14:textId="77777777" w:rsidR="00E90DF9" w:rsidRPr="008C3B92" w:rsidRDefault="00E90DF9" w:rsidP="00E90DF9">
      <w:pPr>
        <w:spacing w:after="0"/>
        <w:rPr>
          <w:rFonts w:ascii="Arial" w:hAnsi="Arial" w:cs="Arial"/>
          <w:b/>
          <w:bCs/>
          <w:sz w:val="24"/>
          <w:szCs w:val="24"/>
        </w:rPr>
      </w:pPr>
    </w:p>
    <w:p w14:paraId="5C6C9ECA" w14:textId="70EE47C0"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w:t>
      </w:r>
      <w:r w:rsidR="006C7E67">
        <w:rPr>
          <w:rFonts w:ascii="Arial" w:hAnsi="Arial" w:cs="Arial"/>
          <w:b/>
          <w:bCs/>
          <w:sz w:val="24"/>
          <w:szCs w:val="24"/>
        </w:rPr>
        <w:t>5</w:t>
      </w:r>
    </w:p>
    <w:p w14:paraId="4E149149" w14:textId="77777777" w:rsidR="00E90DF9" w:rsidRPr="00BB387E" w:rsidRDefault="00E90DF9" w:rsidP="00E90DF9">
      <w:pPr>
        <w:spacing w:after="0"/>
        <w:jc w:val="center"/>
        <w:rPr>
          <w:rFonts w:ascii="Arial" w:hAnsi="Arial" w:cs="Arial"/>
          <w:b/>
          <w:sz w:val="24"/>
          <w:szCs w:val="24"/>
        </w:rPr>
      </w:pPr>
    </w:p>
    <w:p w14:paraId="06167890" w14:textId="77777777" w:rsidR="00E90DF9" w:rsidRPr="00BB387E" w:rsidRDefault="00E90DF9" w:rsidP="00E90DF9">
      <w:pPr>
        <w:spacing w:after="0"/>
        <w:jc w:val="center"/>
        <w:rPr>
          <w:rFonts w:ascii="Arial" w:hAnsi="Arial" w:cs="Arial"/>
          <w:b/>
          <w:sz w:val="24"/>
          <w:szCs w:val="24"/>
        </w:rPr>
      </w:pPr>
    </w:p>
    <w:p w14:paraId="271BD407" w14:textId="77777777" w:rsidR="00E90DF9" w:rsidRPr="00BB387E" w:rsidRDefault="00E90DF9" w:rsidP="00E90DF9">
      <w:pPr>
        <w:spacing w:after="0"/>
        <w:jc w:val="center"/>
        <w:rPr>
          <w:rFonts w:ascii="Arial" w:hAnsi="Arial" w:cs="Arial"/>
          <w:b/>
          <w:sz w:val="24"/>
          <w:szCs w:val="24"/>
        </w:rPr>
      </w:pPr>
    </w:p>
    <w:p w14:paraId="71A1CE5B" w14:textId="77777777" w:rsidR="00E90DF9" w:rsidRPr="00BB387E" w:rsidRDefault="00E90DF9" w:rsidP="00E90DF9">
      <w:pPr>
        <w:spacing w:after="0"/>
        <w:jc w:val="center"/>
        <w:rPr>
          <w:rFonts w:ascii="Arial" w:hAnsi="Arial" w:cs="Arial"/>
          <w:b/>
          <w:sz w:val="24"/>
          <w:szCs w:val="24"/>
        </w:rPr>
      </w:pPr>
    </w:p>
    <w:p w14:paraId="677673A4" w14:textId="77777777" w:rsidR="00E90DF9" w:rsidRPr="00BB387E" w:rsidRDefault="00E90DF9" w:rsidP="00E90DF9">
      <w:pPr>
        <w:spacing w:after="0"/>
        <w:jc w:val="center"/>
        <w:rPr>
          <w:rFonts w:ascii="Arial" w:hAnsi="Arial" w:cs="Arial"/>
          <w:b/>
          <w:bCs/>
          <w:sz w:val="24"/>
          <w:szCs w:val="24"/>
        </w:rPr>
      </w:pPr>
    </w:p>
    <w:p w14:paraId="463F3AB6" w14:textId="77777777" w:rsidR="00E90DF9" w:rsidRPr="00BB387E" w:rsidRDefault="00E90DF9" w:rsidP="00E90DF9">
      <w:pPr>
        <w:spacing w:after="0"/>
        <w:jc w:val="center"/>
        <w:rPr>
          <w:rFonts w:ascii="Arial" w:hAnsi="Arial" w:cs="Arial"/>
          <w:b/>
          <w:bCs/>
          <w:sz w:val="24"/>
          <w:szCs w:val="24"/>
        </w:rPr>
      </w:pPr>
    </w:p>
    <w:p w14:paraId="02BC33AF" w14:textId="77777777"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091772B4" w14:textId="77777777" w:rsidR="00E90DF9" w:rsidRPr="00BB387E" w:rsidRDefault="00E90DF9" w:rsidP="00E90DF9">
      <w:pPr>
        <w:spacing w:after="0"/>
        <w:jc w:val="center"/>
        <w:rPr>
          <w:rFonts w:ascii="Arial" w:hAnsi="Arial" w:cs="Arial"/>
          <w:b/>
          <w:sz w:val="24"/>
          <w:szCs w:val="24"/>
        </w:rPr>
      </w:pPr>
      <w:r w:rsidRPr="00BB387E">
        <w:rPr>
          <w:rFonts w:ascii="Arial" w:hAnsi="Arial" w:cs="Arial"/>
          <w:b/>
          <w:bCs/>
          <w:sz w:val="24"/>
          <w:szCs w:val="24"/>
        </w:rPr>
        <w:t>AUSTRALIAN CAPITAL TERRITORY</w:t>
      </w:r>
    </w:p>
    <w:p w14:paraId="63982AB9" w14:textId="77777777" w:rsidR="00E90DF9" w:rsidRPr="00BB387E" w:rsidRDefault="00E90DF9" w:rsidP="00E90DF9">
      <w:pPr>
        <w:spacing w:after="0"/>
        <w:jc w:val="center"/>
        <w:rPr>
          <w:rFonts w:ascii="Arial" w:hAnsi="Arial" w:cs="Arial"/>
          <w:b/>
          <w:sz w:val="24"/>
          <w:szCs w:val="24"/>
        </w:rPr>
      </w:pPr>
    </w:p>
    <w:p w14:paraId="5FABE90A" w14:textId="77777777" w:rsidR="00E90DF9" w:rsidRPr="00BB387E" w:rsidRDefault="00E90DF9" w:rsidP="00E90DF9">
      <w:pPr>
        <w:spacing w:after="0"/>
        <w:jc w:val="center"/>
        <w:rPr>
          <w:rFonts w:ascii="Arial" w:hAnsi="Arial" w:cs="Arial"/>
          <w:b/>
          <w:sz w:val="24"/>
          <w:szCs w:val="24"/>
        </w:rPr>
      </w:pPr>
    </w:p>
    <w:p w14:paraId="6118207D" w14:textId="77777777" w:rsidR="00E90DF9" w:rsidRPr="00BB387E" w:rsidRDefault="00E90DF9" w:rsidP="00E90DF9">
      <w:pPr>
        <w:spacing w:after="0"/>
        <w:jc w:val="center"/>
        <w:rPr>
          <w:rFonts w:ascii="Arial" w:hAnsi="Arial" w:cs="Arial"/>
          <w:b/>
          <w:sz w:val="24"/>
          <w:szCs w:val="24"/>
        </w:rPr>
      </w:pPr>
    </w:p>
    <w:p w14:paraId="75A33EE9" w14:textId="4095B364" w:rsidR="00E90DF9" w:rsidRPr="00BB387E" w:rsidRDefault="009E0822" w:rsidP="00E90DF9">
      <w:pPr>
        <w:spacing w:after="0"/>
        <w:jc w:val="center"/>
        <w:rPr>
          <w:rFonts w:ascii="Arial" w:hAnsi="Arial" w:cs="Arial"/>
          <w:b/>
          <w:sz w:val="24"/>
          <w:szCs w:val="24"/>
        </w:rPr>
      </w:pPr>
      <w:r>
        <w:rPr>
          <w:rFonts w:ascii="Arial" w:hAnsi="Arial" w:cs="Arial"/>
          <w:b/>
          <w:sz w:val="24"/>
          <w:szCs w:val="24"/>
        </w:rPr>
        <w:t>ELEV</w:t>
      </w:r>
      <w:r w:rsidR="00E90DF9">
        <w:rPr>
          <w:rFonts w:ascii="Arial" w:hAnsi="Arial" w:cs="Arial"/>
          <w:b/>
          <w:sz w:val="24"/>
          <w:szCs w:val="24"/>
        </w:rPr>
        <w:t>ENTH ASSEMBLY</w:t>
      </w:r>
    </w:p>
    <w:p w14:paraId="12B1793E" w14:textId="77777777" w:rsidR="00E90DF9" w:rsidRPr="00BB387E" w:rsidRDefault="00E90DF9" w:rsidP="00E90DF9">
      <w:pPr>
        <w:spacing w:after="0"/>
        <w:jc w:val="center"/>
        <w:rPr>
          <w:rFonts w:ascii="Arial" w:hAnsi="Arial" w:cs="Arial"/>
          <w:b/>
          <w:sz w:val="24"/>
          <w:szCs w:val="24"/>
        </w:rPr>
      </w:pPr>
    </w:p>
    <w:p w14:paraId="3D84F818" w14:textId="77777777" w:rsidR="00E90DF9" w:rsidRPr="00BB387E" w:rsidRDefault="00E90DF9" w:rsidP="00E90DF9">
      <w:pPr>
        <w:spacing w:after="0"/>
        <w:jc w:val="center"/>
        <w:rPr>
          <w:rFonts w:ascii="Arial" w:hAnsi="Arial" w:cs="Arial"/>
          <w:b/>
          <w:sz w:val="24"/>
          <w:szCs w:val="24"/>
        </w:rPr>
      </w:pPr>
    </w:p>
    <w:p w14:paraId="312E8FE1" w14:textId="77777777" w:rsidR="00E90DF9" w:rsidRPr="00BB387E" w:rsidRDefault="00E90DF9" w:rsidP="00E90DF9">
      <w:pPr>
        <w:spacing w:after="0"/>
        <w:jc w:val="center"/>
        <w:rPr>
          <w:rFonts w:ascii="Arial" w:hAnsi="Arial" w:cs="Arial"/>
          <w:b/>
          <w:sz w:val="24"/>
          <w:szCs w:val="24"/>
        </w:rPr>
      </w:pPr>
    </w:p>
    <w:p w14:paraId="62527870" w14:textId="77777777" w:rsidR="00E90DF9" w:rsidRPr="00BB387E" w:rsidRDefault="00E90DF9" w:rsidP="00E90DF9">
      <w:pPr>
        <w:spacing w:after="0"/>
        <w:jc w:val="center"/>
        <w:rPr>
          <w:rFonts w:ascii="Arial" w:hAnsi="Arial" w:cs="Arial"/>
          <w:b/>
          <w:sz w:val="24"/>
          <w:szCs w:val="24"/>
        </w:rPr>
      </w:pPr>
    </w:p>
    <w:p w14:paraId="10E34864" w14:textId="77777777" w:rsidR="00E90DF9" w:rsidRPr="00BB387E" w:rsidRDefault="00E90DF9" w:rsidP="00E90DF9">
      <w:pPr>
        <w:spacing w:after="0"/>
        <w:jc w:val="center"/>
        <w:rPr>
          <w:rFonts w:ascii="Arial" w:hAnsi="Arial" w:cs="Arial"/>
          <w:b/>
          <w:sz w:val="24"/>
          <w:szCs w:val="24"/>
        </w:rPr>
      </w:pPr>
    </w:p>
    <w:p w14:paraId="7A5CE6C9" w14:textId="77777777" w:rsidR="00E90DF9" w:rsidRPr="00BB387E" w:rsidRDefault="00E90DF9" w:rsidP="00E90DF9">
      <w:pPr>
        <w:spacing w:after="0"/>
        <w:jc w:val="center"/>
        <w:rPr>
          <w:rFonts w:ascii="Arial" w:hAnsi="Arial" w:cs="Arial"/>
          <w:b/>
          <w:sz w:val="24"/>
          <w:szCs w:val="24"/>
        </w:rPr>
      </w:pPr>
    </w:p>
    <w:p w14:paraId="590EB1A4" w14:textId="29B5A7A4" w:rsidR="00E90DF9" w:rsidRPr="00E90DF9" w:rsidRDefault="00C1332E" w:rsidP="00E90DF9">
      <w:pPr>
        <w:spacing w:after="0"/>
        <w:jc w:val="center"/>
        <w:rPr>
          <w:rFonts w:ascii="Arial" w:hAnsi="Arial" w:cs="Arial"/>
          <w:b/>
          <w:bCs/>
          <w:color w:val="FF0000"/>
          <w:sz w:val="24"/>
          <w:szCs w:val="24"/>
        </w:rPr>
      </w:pPr>
      <w:r>
        <w:rPr>
          <w:rFonts w:ascii="Arial" w:hAnsi="Arial" w:cs="Arial"/>
          <w:b/>
          <w:bCs/>
          <w:sz w:val="24"/>
          <w:szCs w:val="24"/>
        </w:rPr>
        <w:t xml:space="preserve">CRIMES LEGISLATION AMENDMENT BILL </w:t>
      </w:r>
      <w:r w:rsidR="00437547">
        <w:rPr>
          <w:rFonts w:ascii="Arial" w:hAnsi="Arial" w:cs="Arial"/>
          <w:b/>
          <w:bCs/>
          <w:sz w:val="24"/>
          <w:szCs w:val="24"/>
        </w:rPr>
        <w:t xml:space="preserve">(No.1) </w:t>
      </w:r>
      <w:r>
        <w:rPr>
          <w:rFonts w:ascii="Arial" w:hAnsi="Arial" w:cs="Arial"/>
          <w:b/>
          <w:bCs/>
          <w:sz w:val="24"/>
          <w:szCs w:val="24"/>
        </w:rPr>
        <w:t>2025</w:t>
      </w:r>
    </w:p>
    <w:p w14:paraId="23C1CDE7" w14:textId="77777777" w:rsidR="00E90DF9" w:rsidRPr="00BB387E" w:rsidRDefault="00E90DF9" w:rsidP="00E90DF9">
      <w:pPr>
        <w:spacing w:after="0"/>
        <w:jc w:val="center"/>
        <w:rPr>
          <w:rFonts w:ascii="Arial" w:hAnsi="Arial" w:cs="Arial"/>
          <w:b/>
          <w:bCs/>
          <w:sz w:val="24"/>
          <w:szCs w:val="24"/>
        </w:rPr>
      </w:pPr>
    </w:p>
    <w:p w14:paraId="5D04CAEB" w14:textId="77777777" w:rsidR="00E90DF9" w:rsidRPr="00BB387E" w:rsidRDefault="00E90DF9" w:rsidP="00E90DF9">
      <w:pPr>
        <w:spacing w:after="0"/>
        <w:jc w:val="center"/>
        <w:rPr>
          <w:rFonts w:ascii="Arial" w:hAnsi="Arial" w:cs="Arial"/>
          <w:b/>
          <w:sz w:val="24"/>
          <w:szCs w:val="24"/>
        </w:rPr>
      </w:pPr>
    </w:p>
    <w:p w14:paraId="1BE97576" w14:textId="1F407BD2" w:rsidR="00E90DF9" w:rsidRPr="00781E2B" w:rsidRDefault="00C1332E" w:rsidP="00E90DF9">
      <w:pPr>
        <w:spacing w:after="0"/>
        <w:jc w:val="center"/>
        <w:rPr>
          <w:rFonts w:ascii="Arial" w:hAnsi="Arial" w:cs="Arial"/>
          <w:i/>
          <w:iCs/>
          <w:color w:val="FF0000"/>
          <w:sz w:val="24"/>
          <w:szCs w:val="24"/>
        </w:rPr>
      </w:pPr>
      <w:r>
        <w:rPr>
          <w:rFonts w:ascii="Arial" w:hAnsi="Arial" w:cs="Arial"/>
          <w:i/>
          <w:iCs/>
          <w:color w:val="FF0000"/>
          <w:sz w:val="24"/>
          <w:szCs w:val="24"/>
        </w:rPr>
        <w:t xml:space="preserve"> </w:t>
      </w:r>
    </w:p>
    <w:p w14:paraId="664BEC68" w14:textId="77777777" w:rsidR="00E90DF9" w:rsidRDefault="00E90DF9" w:rsidP="00E90DF9">
      <w:pPr>
        <w:spacing w:after="0"/>
        <w:jc w:val="center"/>
        <w:rPr>
          <w:rFonts w:ascii="Arial" w:hAnsi="Arial" w:cs="Arial"/>
          <w:b/>
          <w:bCs/>
          <w:sz w:val="24"/>
          <w:szCs w:val="24"/>
        </w:rPr>
      </w:pPr>
      <w:r w:rsidRPr="00BB387E">
        <w:rPr>
          <w:rFonts w:ascii="Arial" w:hAnsi="Arial" w:cs="Arial"/>
          <w:b/>
          <w:bCs/>
          <w:sz w:val="24"/>
          <w:szCs w:val="24"/>
        </w:rPr>
        <w:t>EXPLANATORY STATEMENT</w:t>
      </w:r>
      <w:r>
        <w:rPr>
          <w:rFonts w:ascii="Arial" w:hAnsi="Arial" w:cs="Arial"/>
          <w:b/>
          <w:bCs/>
          <w:sz w:val="24"/>
          <w:szCs w:val="24"/>
        </w:rPr>
        <w:t xml:space="preserve"> </w:t>
      </w:r>
    </w:p>
    <w:p w14:paraId="09B948FF" w14:textId="77777777" w:rsidR="00E90DF9" w:rsidRDefault="00E90DF9" w:rsidP="00E90DF9">
      <w:pPr>
        <w:spacing w:after="0"/>
        <w:jc w:val="center"/>
        <w:rPr>
          <w:rFonts w:ascii="Arial" w:hAnsi="Arial" w:cs="Arial"/>
          <w:b/>
          <w:bCs/>
          <w:sz w:val="24"/>
          <w:szCs w:val="24"/>
        </w:rPr>
      </w:pPr>
      <w:r>
        <w:rPr>
          <w:rFonts w:ascii="Arial" w:hAnsi="Arial" w:cs="Arial"/>
          <w:b/>
          <w:bCs/>
          <w:sz w:val="24"/>
          <w:szCs w:val="24"/>
        </w:rPr>
        <w:t>and</w:t>
      </w:r>
    </w:p>
    <w:p w14:paraId="243211BD" w14:textId="77777777" w:rsidR="00E90DF9" w:rsidRDefault="00E90DF9" w:rsidP="00E90DF9">
      <w:pPr>
        <w:spacing w:after="0"/>
        <w:jc w:val="center"/>
        <w:rPr>
          <w:rFonts w:ascii="Arial" w:hAnsi="Arial" w:cs="Arial"/>
          <w:b/>
          <w:bCs/>
          <w:sz w:val="24"/>
          <w:szCs w:val="24"/>
        </w:rPr>
      </w:pPr>
      <w:r>
        <w:rPr>
          <w:rFonts w:ascii="Arial" w:hAnsi="Arial" w:cs="Arial"/>
          <w:b/>
          <w:bCs/>
          <w:sz w:val="24"/>
          <w:szCs w:val="24"/>
        </w:rPr>
        <w:t xml:space="preserve"> HUMAN RIGHTS COMPATIBILITY STATEMENT</w:t>
      </w:r>
    </w:p>
    <w:p w14:paraId="2FDF54DB" w14:textId="77777777" w:rsidR="00E90DF9" w:rsidRPr="00BB387E" w:rsidRDefault="00E90DF9" w:rsidP="00E90DF9">
      <w:pPr>
        <w:spacing w:after="0"/>
        <w:jc w:val="center"/>
        <w:rPr>
          <w:rFonts w:ascii="Arial" w:hAnsi="Arial" w:cs="Arial"/>
          <w:b/>
          <w:sz w:val="24"/>
          <w:szCs w:val="24"/>
        </w:rPr>
      </w:pPr>
      <w:r>
        <w:rPr>
          <w:rFonts w:ascii="Arial" w:hAnsi="Arial" w:cs="Arial"/>
          <w:b/>
          <w:bCs/>
          <w:sz w:val="24"/>
          <w:szCs w:val="24"/>
        </w:rPr>
        <w:t>(</w:t>
      </w:r>
      <w:r w:rsidRPr="00BC3EF0">
        <w:rPr>
          <w:rFonts w:ascii="Arial" w:hAnsi="Arial" w:cs="Arial"/>
          <w:b/>
          <w:bCs/>
          <w:i/>
          <w:iCs/>
          <w:sz w:val="24"/>
          <w:szCs w:val="24"/>
        </w:rPr>
        <w:t>Human Rights Act 2004</w:t>
      </w:r>
      <w:r>
        <w:rPr>
          <w:rFonts w:ascii="Arial" w:hAnsi="Arial" w:cs="Arial"/>
          <w:b/>
          <w:bCs/>
          <w:sz w:val="24"/>
          <w:szCs w:val="24"/>
        </w:rPr>
        <w:t>, s 37)</w:t>
      </w:r>
    </w:p>
    <w:p w14:paraId="25C71D31" w14:textId="77777777" w:rsidR="00E90DF9" w:rsidRPr="00BB387E" w:rsidRDefault="00E90DF9" w:rsidP="00E90DF9">
      <w:pPr>
        <w:spacing w:after="0"/>
        <w:jc w:val="center"/>
        <w:rPr>
          <w:rFonts w:ascii="Arial" w:hAnsi="Arial" w:cs="Arial"/>
          <w:b/>
          <w:sz w:val="24"/>
          <w:szCs w:val="24"/>
        </w:rPr>
      </w:pPr>
    </w:p>
    <w:p w14:paraId="62B7AD27" w14:textId="77777777" w:rsidR="00E90DF9" w:rsidRPr="00BB387E" w:rsidRDefault="00E90DF9" w:rsidP="00E90DF9">
      <w:pPr>
        <w:spacing w:after="0"/>
        <w:jc w:val="center"/>
        <w:rPr>
          <w:rFonts w:ascii="Arial" w:hAnsi="Arial" w:cs="Arial"/>
          <w:b/>
          <w:sz w:val="24"/>
          <w:szCs w:val="24"/>
        </w:rPr>
      </w:pPr>
    </w:p>
    <w:p w14:paraId="3B7A8E87" w14:textId="77777777" w:rsidR="00E90DF9" w:rsidRPr="00BB387E" w:rsidRDefault="00E90DF9" w:rsidP="00E90DF9">
      <w:pPr>
        <w:spacing w:after="0"/>
        <w:jc w:val="center"/>
        <w:rPr>
          <w:rFonts w:ascii="Arial" w:hAnsi="Arial" w:cs="Arial"/>
          <w:b/>
          <w:sz w:val="24"/>
          <w:szCs w:val="24"/>
        </w:rPr>
      </w:pPr>
    </w:p>
    <w:p w14:paraId="67BAB751" w14:textId="77777777" w:rsidR="00E90DF9" w:rsidRDefault="00E90DF9" w:rsidP="00E90DF9">
      <w:pPr>
        <w:spacing w:after="0"/>
        <w:jc w:val="center"/>
        <w:rPr>
          <w:rFonts w:ascii="Arial" w:hAnsi="Arial" w:cs="Arial"/>
          <w:b/>
          <w:sz w:val="24"/>
          <w:szCs w:val="24"/>
        </w:rPr>
      </w:pPr>
    </w:p>
    <w:p w14:paraId="3D25356F" w14:textId="77777777" w:rsidR="00E90DF9" w:rsidRDefault="00E90DF9" w:rsidP="00E90DF9">
      <w:pPr>
        <w:spacing w:after="0"/>
        <w:jc w:val="center"/>
        <w:rPr>
          <w:rFonts w:ascii="Arial" w:hAnsi="Arial" w:cs="Arial"/>
          <w:b/>
          <w:sz w:val="24"/>
          <w:szCs w:val="24"/>
        </w:rPr>
      </w:pPr>
    </w:p>
    <w:p w14:paraId="5A9A0527" w14:textId="77777777" w:rsidR="00E90DF9" w:rsidRDefault="00E90DF9" w:rsidP="00E90DF9">
      <w:pPr>
        <w:spacing w:after="0"/>
        <w:jc w:val="center"/>
        <w:rPr>
          <w:rFonts w:ascii="Arial" w:hAnsi="Arial" w:cs="Arial"/>
          <w:b/>
          <w:sz w:val="24"/>
          <w:szCs w:val="24"/>
        </w:rPr>
      </w:pPr>
    </w:p>
    <w:p w14:paraId="4CDC9EA3" w14:textId="77777777" w:rsidR="00E90DF9" w:rsidRPr="00BB387E" w:rsidRDefault="00E90DF9" w:rsidP="00E90DF9">
      <w:pPr>
        <w:spacing w:after="0"/>
        <w:jc w:val="center"/>
        <w:rPr>
          <w:rFonts w:ascii="Arial" w:hAnsi="Arial" w:cs="Arial"/>
          <w:b/>
          <w:sz w:val="24"/>
          <w:szCs w:val="24"/>
        </w:rPr>
      </w:pPr>
    </w:p>
    <w:p w14:paraId="01179C4F" w14:textId="77777777" w:rsidR="00E90DF9" w:rsidRPr="00BB387E" w:rsidRDefault="00E90DF9" w:rsidP="00E90DF9">
      <w:pPr>
        <w:keepNext/>
        <w:widowControl w:val="0"/>
        <w:spacing w:after="0"/>
        <w:jc w:val="center"/>
        <w:outlineLvl w:val="7"/>
        <w:rPr>
          <w:rFonts w:ascii="Arial" w:hAnsi="Arial" w:cs="Arial"/>
          <w:b/>
          <w:bCs/>
          <w:sz w:val="24"/>
          <w:szCs w:val="24"/>
        </w:rPr>
      </w:pPr>
    </w:p>
    <w:p w14:paraId="01D43C2C" w14:textId="77777777" w:rsidR="00E90DF9" w:rsidRPr="00BB387E" w:rsidRDefault="00E90DF9" w:rsidP="00E90DF9">
      <w:pPr>
        <w:keepNext/>
        <w:widowControl w:val="0"/>
        <w:spacing w:after="0"/>
        <w:jc w:val="center"/>
        <w:outlineLvl w:val="7"/>
        <w:rPr>
          <w:rFonts w:ascii="Arial" w:hAnsi="Arial" w:cs="Arial"/>
          <w:b/>
          <w:bCs/>
          <w:sz w:val="24"/>
          <w:szCs w:val="24"/>
        </w:rPr>
      </w:pPr>
    </w:p>
    <w:p w14:paraId="461523AD" w14:textId="77777777" w:rsidR="00E90DF9" w:rsidRPr="00BB387E" w:rsidRDefault="00E90DF9" w:rsidP="00E90DF9">
      <w:pPr>
        <w:keepNext/>
        <w:widowControl w:val="0"/>
        <w:spacing w:after="0"/>
        <w:ind w:right="686"/>
        <w:jc w:val="right"/>
        <w:outlineLvl w:val="7"/>
        <w:rPr>
          <w:rFonts w:ascii="Arial" w:hAnsi="Arial" w:cs="Arial"/>
          <w:b/>
          <w:bCs/>
          <w:sz w:val="24"/>
          <w:szCs w:val="24"/>
        </w:rPr>
      </w:pPr>
      <w:r w:rsidRPr="00BB387E">
        <w:rPr>
          <w:rFonts w:ascii="Arial" w:hAnsi="Arial" w:cs="Arial"/>
          <w:b/>
          <w:bCs/>
          <w:sz w:val="24"/>
          <w:szCs w:val="24"/>
        </w:rPr>
        <w:t>Presented by</w:t>
      </w:r>
    </w:p>
    <w:p w14:paraId="340671F6" w14:textId="4A68F264" w:rsidR="00E90DF9" w:rsidRDefault="00C1332E" w:rsidP="00E90DF9">
      <w:pPr>
        <w:spacing w:after="0"/>
        <w:ind w:right="686"/>
        <w:jc w:val="right"/>
        <w:rPr>
          <w:rFonts w:ascii="Arial" w:hAnsi="Arial" w:cs="Arial"/>
          <w:b/>
          <w:bCs/>
          <w:sz w:val="24"/>
          <w:szCs w:val="24"/>
        </w:rPr>
      </w:pPr>
      <w:r>
        <w:rPr>
          <w:rFonts w:ascii="Arial" w:hAnsi="Arial" w:cs="Arial"/>
          <w:b/>
          <w:bCs/>
          <w:sz w:val="24"/>
          <w:szCs w:val="24"/>
        </w:rPr>
        <w:t>TARA CHEYNE</w:t>
      </w:r>
      <w:r w:rsidR="00E90DF9" w:rsidRPr="00E90DF9">
        <w:rPr>
          <w:rFonts w:ascii="Arial" w:hAnsi="Arial" w:cs="Arial"/>
          <w:b/>
          <w:bCs/>
          <w:color w:val="FF0000"/>
          <w:sz w:val="24"/>
          <w:szCs w:val="24"/>
        </w:rPr>
        <w:t xml:space="preserve"> </w:t>
      </w:r>
      <w:r w:rsidR="00E90DF9">
        <w:rPr>
          <w:rFonts w:ascii="Arial" w:hAnsi="Arial" w:cs="Arial"/>
          <w:b/>
          <w:bCs/>
          <w:sz w:val="24"/>
          <w:szCs w:val="24"/>
        </w:rPr>
        <w:t>MLA</w:t>
      </w:r>
    </w:p>
    <w:p w14:paraId="2B65FA14" w14:textId="12ED841E" w:rsidR="00E90DF9" w:rsidRPr="00E90DF9" w:rsidRDefault="00C1332E" w:rsidP="00E90DF9">
      <w:pPr>
        <w:spacing w:after="0"/>
        <w:ind w:right="686"/>
        <w:jc w:val="right"/>
        <w:rPr>
          <w:rFonts w:ascii="Arial" w:hAnsi="Arial" w:cs="Arial"/>
          <w:b/>
          <w:bCs/>
          <w:color w:val="FF0000"/>
          <w:sz w:val="24"/>
          <w:szCs w:val="24"/>
        </w:rPr>
      </w:pPr>
      <w:r>
        <w:rPr>
          <w:rFonts w:ascii="Arial" w:hAnsi="Arial" w:cs="Arial"/>
          <w:b/>
          <w:bCs/>
          <w:sz w:val="24"/>
          <w:szCs w:val="24"/>
        </w:rPr>
        <w:t>ATTORNEY-GENERAL</w:t>
      </w:r>
    </w:p>
    <w:p w14:paraId="722CCE31" w14:textId="36D2A3CA" w:rsidR="00E90DF9" w:rsidRPr="00BB387E" w:rsidRDefault="00C1332E" w:rsidP="00E90DF9">
      <w:pPr>
        <w:spacing w:after="0"/>
        <w:ind w:right="686"/>
        <w:jc w:val="right"/>
        <w:rPr>
          <w:rFonts w:ascii="Arial" w:hAnsi="Arial" w:cs="Arial"/>
          <w:b/>
          <w:bCs/>
          <w:sz w:val="24"/>
          <w:szCs w:val="24"/>
        </w:rPr>
      </w:pPr>
      <w:r>
        <w:rPr>
          <w:rFonts w:ascii="Arial" w:hAnsi="Arial" w:cs="Arial"/>
          <w:b/>
          <w:bCs/>
          <w:sz w:val="24"/>
          <w:szCs w:val="24"/>
        </w:rPr>
        <w:t>MARCH</w:t>
      </w:r>
      <w:r w:rsidR="00E90DF9" w:rsidRPr="00E90DF9">
        <w:rPr>
          <w:rFonts w:ascii="Arial" w:hAnsi="Arial" w:cs="Arial"/>
          <w:b/>
          <w:bCs/>
          <w:color w:val="FF0000"/>
          <w:sz w:val="24"/>
          <w:szCs w:val="24"/>
        </w:rPr>
        <w:t xml:space="preserve"> </w:t>
      </w:r>
      <w:r w:rsidR="00E90DF9">
        <w:rPr>
          <w:rFonts w:ascii="Arial" w:hAnsi="Arial" w:cs="Arial"/>
          <w:b/>
          <w:bCs/>
          <w:sz w:val="24"/>
          <w:szCs w:val="24"/>
        </w:rPr>
        <w:t>202</w:t>
      </w:r>
      <w:r w:rsidR="006C7E67">
        <w:rPr>
          <w:rFonts w:ascii="Arial" w:hAnsi="Arial" w:cs="Arial"/>
          <w:b/>
          <w:bCs/>
          <w:sz w:val="24"/>
          <w:szCs w:val="24"/>
        </w:rPr>
        <w:t>5</w:t>
      </w:r>
    </w:p>
    <w:p w14:paraId="764EA7E1" w14:textId="77777777" w:rsidR="00E90DF9" w:rsidRPr="008C3B92" w:rsidRDefault="00E90DF9" w:rsidP="00E90DF9">
      <w:pPr>
        <w:spacing w:after="0" w:line="240" w:lineRule="auto"/>
        <w:rPr>
          <w:rFonts w:ascii="Arial" w:hAnsi="Arial" w:cs="Arial"/>
          <w:b/>
          <w:bCs/>
          <w:sz w:val="24"/>
          <w:szCs w:val="24"/>
          <w:u w:val="single"/>
        </w:rPr>
        <w:sectPr w:rsidR="00E90DF9" w:rsidRPr="008C3B92" w:rsidSect="00DC5912">
          <w:headerReference w:type="even" r:id="rId11"/>
          <w:headerReference w:type="default" r:id="rId12"/>
          <w:footerReference w:type="even" r:id="rId13"/>
          <w:footerReference w:type="default" r:id="rId14"/>
          <w:headerReference w:type="first" r:id="rId15"/>
          <w:footerReference w:type="first" r:id="rId16"/>
          <w:pgSz w:w="11906" w:h="16838"/>
          <w:pgMar w:top="1276" w:right="1440" w:bottom="1440" w:left="1440" w:header="709" w:footer="675" w:gutter="0"/>
          <w:pgNumType w:start="1"/>
          <w:cols w:space="708"/>
          <w:docGrid w:linePitch="360"/>
        </w:sectPr>
      </w:pPr>
      <w:r w:rsidRPr="008C3B92">
        <w:rPr>
          <w:rFonts w:ascii="Arial" w:hAnsi="Arial" w:cs="Arial"/>
          <w:b/>
          <w:bCs/>
          <w:sz w:val="24"/>
          <w:szCs w:val="24"/>
          <w:u w:val="single"/>
        </w:rPr>
        <w:br w:type="page"/>
      </w:r>
    </w:p>
    <w:p w14:paraId="428B67D0" w14:textId="15A2D463" w:rsidR="00E90DF9" w:rsidRPr="00BB387E" w:rsidRDefault="00C1332E" w:rsidP="00E90DF9">
      <w:pPr>
        <w:pStyle w:val="Heading1"/>
        <w:jc w:val="center"/>
      </w:pPr>
      <w:r w:rsidRPr="00D3036F">
        <w:lastRenderedPageBreak/>
        <w:t>CRIMES LEGISLATION AMENDMENT BILL 2025</w:t>
      </w:r>
    </w:p>
    <w:p w14:paraId="791A60D0" w14:textId="77777777" w:rsidR="00E90DF9" w:rsidRDefault="00E90DF9" w:rsidP="00E90DF9">
      <w:pPr>
        <w:spacing w:after="0"/>
        <w:contextualSpacing/>
        <w:rPr>
          <w:rFonts w:ascii="Arial" w:hAnsi="Arial" w:cs="Arial"/>
          <w:bCs/>
          <w:sz w:val="24"/>
          <w:szCs w:val="24"/>
        </w:rPr>
      </w:pPr>
    </w:p>
    <w:p w14:paraId="04010BFE" w14:textId="22BA9A8E" w:rsidR="00E90DF9" w:rsidRPr="00834FC9" w:rsidRDefault="00E90DF9" w:rsidP="00E90DF9">
      <w:pPr>
        <w:spacing w:after="0"/>
        <w:contextualSpacing/>
        <w:rPr>
          <w:rFonts w:ascii="Arial" w:hAnsi="Arial" w:cs="Arial"/>
          <w:bCs/>
          <w:sz w:val="24"/>
          <w:szCs w:val="24"/>
        </w:rPr>
      </w:pPr>
      <w:r w:rsidRPr="00834FC9">
        <w:rPr>
          <w:rFonts w:ascii="Arial" w:hAnsi="Arial" w:cs="Arial"/>
          <w:bCs/>
          <w:sz w:val="24"/>
          <w:szCs w:val="24"/>
        </w:rPr>
        <w:t xml:space="preserve">The Bill </w:t>
      </w:r>
      <w:r w:rsidRPr="00C1332E">
        <w:rPr>
          <w:rFonts w:ascii="Arial" w:hAnsi="Arial" w:cs="Arial"/>
          <w:b/>
          <w:sz w:val="24"/>
          <w:szCs w:val="24"/>
        </w:rPr>
        <w:t>is</w:t>
      </w:r>
      <w:r w:rsidRPr="00834FC9">
        <w:rPr>
          <w:rFonts w:ascii="Arial" w:hAnsi="Arial" w:cs="Arial"/>
          <w:bCs/>
          <w:sz w:val="24"/>
          <w:szCs w:val="24"/>
        </w:rPr>
        <w:t xml:space="preserve"> a Significant Bill. Significant Bills are bills that </w:t>
      </w:r>
      <w:r>
        <w:rPr>
          <w:rFonts w:ascii="Arial" w:hAnsi="Arial" w:cs="Arial"/>
          <w:bCs/>
          <w:sz w:val="24"/>
          <w:szCs w:val="24"/>
        </w:rPr>
        <w:t>have been assessed</w:t>
      </w:r>
      <w:r w:rsidRPr="00834FC9">
        <w:rPr>
          <w:rFonts w:ascii="Arial" w:hAnsi="Arial" w:cs="Arial"/>
          <w:bCs/>
          <w:sz w:val="24"/>
          <w:szCs w:val="24"/>
        </w:rPr>
        <w:t xml:space="preserve"> as </w:t>
      </w:r>
      <w:r>
        <w:rPr>
          <w:rFonts w:ascii="Arial" w:hAnsi="Arial" w:cs="Arial"/>
          <w:bCs/>
          <w:sz w:val="24"/>
          <w:szCs w:val="24"/>
        </w:rPr>
        <w:t>likely to have</w:t>
      </w:r>
      <w:r w:rsidRPr="00834FC9">
        <w:rPr>
          <w:rFonts w:ascii="Arial" w:hAnsi="Arial" w:cs="Arial"/>
          <w:bCs/>
          <w:sz w:val="24"/>
          <w:szCs w:val="24"/>
        </w:rPr>
        <w:t xml:space="preserve"> significant </w:t>
      </w:r>
      <w:r>
        <w:rPr>
          <w:rFonts w:ascii="Arial" w:hAnsi="Arial" w:cs="Arial"/>
          <w:bCs/>
          <w:sz w:val="24"/>
          <w:szCs w:val="24"/>
        </w:rPr>
        <w:t>engagement of human rights</w:t>
      </w:r>
      <w:r w:rsidRPr="00834FC9">
        <w:rPr>
          <w:rFonts w:ascii="Arial" w:hAnsi="Arial" w:cs="Arial"/>
          <w:bCs/>
          <w:sz w:val="24"/>
          <w:szCs w:val="24"/>
        </w:rPr>
        <w:t xml:space="preserve"> and require more detailed reasoning in relation to </w:t>
      </w:r>
      <w:r>
        <w:rPr>
          <w:rFonts w:ascii="Arial" w:hAnsi="Arial" w:cs="Arial"/>
          <w:bCs/>
          <w:sz w:val="24"/>
          <w:szCs w:val="24"/>
        </w:rPr>
        <w:t xml:space="preserve">compatibility with the </w:t>
      </w:r>
      <w:r w:rsidRPr="00834FC9">
        <w:rPr>
          <w:rFonts w:ascii="Arial" w:hAnsi="Arial" w:cs="Arial"/>
          <w:bCs/>
          <w:i/>
          <w:iCs/>
          <w:sz w:val="24"/>
          <w:szCs w:val="24"/>
        </w:rPr>
        <w:t>Human Rights Act 2004</w:t>
      </w:r>
      <w:r w:rsidRPr="00834FC9">
        <w:rPr>
          <w:rFonts w:ascii="Arial" w:hAnsi="Arial" w:cs="Arial"/>
          <w:bCs/>
          <w:sz w:val="24"/>
          <w:szCs w:val="24"/>
        </w:rPr>
        <w:t>.</w:t>
      </w:r>
    </w:p>
    <w:p w14:paraId="3735CFA3" w14:textId="77777777" w:rsidR="00E90DF9" w:rsidRPr="00834FC9" w:rsidRDefault="00E90DF9" w:rsidP="00E90DF9">
      <w:pPr>
        <w:spacing w:after="0"/>
        <w:rPr>
          <w:rFonts w:ascii="Arial" w:hAnsi="Arial" w:cs="Arial"/>
          <w:bCs/>
          <w:sz w:val="24"/>
          <w:szCs w:val="24"/>
          <w:highlight w:val="yellow"/>
        </w:rPr>
      </w:pPr>
    </w:p>
    <w:p w14:paraId="266B7B2E" w14:textId="77777777" w:rsidR="00E90DF9" w:rsidRDefault="00E90DF9" w:rsidP="00E90DF9">
      <w:pPr>
        <w:pStyle w:val="Heading2"/>
      </w:pPr>
      <w:r>
        <w:t>OVERVIEW OF THE BILL</w:t>
      </w:r>
    </w:p>
    <w:p w14:paraId="1245B7F6" w14:textId="23006DF9" w:rsidR="00FC40FD" w:rsidRDefault="00FC40FD" w:rsidP="00FC40FD">
      <w:pPr>
        <w:rPr>
          <w:rFonts w:ascii="Arial" w:hAnsi="Arial" w:cs="Arial"/>
          <w:iCs/>
          <w:sz w:val="24"/>
          <w:szCs w:val="24"/>
        </w:rPr>
      </w:pPr>
      <w:r>
        <w:rPr>
          <w:rFonts w:ascii="Arial" w:hAnsi="Arial" w:cs="Arial"/>
          <w:iCs/>
          <w:sz w:val="24"/>
          <w:szCs w:val="24"/>
        </w:rPr>
        <w:t>This Bill forms part of the reforms to raising the minimum age of criminal responsibility (MACR)</w:t>
      </w:r>
      <w:r w:rsidR="00FD7D25">
        <w:rPr>
          <w:rFonts w:ascii="Arial" w:hAnsi="Arial" w:cs="Arial"/>
          <w:iCs/>
          <w:sz w:val="24"/>
          <w:szCs w:val="24"/>
        </w:rPr>
        <w:t xml:space="preserve"> which were effected through the </w:t>
      </w:r>
      <w:r w:rsidR="00FD7D25" w:rsidRPr="009B141A">
        <w:rPr>
          <w:rFonts w:ascii="Arial" w:hAnsi="Arial" w:cs="Arial"/>
          <w:i/>
          <w:sz w:val="24"/>
          <w:szCs w:val="24"/>
        </w:rPr>
        <w:t>Justice (Age of Criminal Responsibility) Legislation Amendment Act 2023</w:t>
      </w:r>
      <w:r>
        <w:rPr>
          <w:rFonts w:ascii="Arial" w:hAnsi="Arial" w:cs="Arial"/>
          <w:iCs/>
          <w:sz w:val="24"/>
          <w:szCs w:val="24"/>
        </w:rPr>
        <w:t>.</w:t>
      </w:r>
      <w:r w:rsidR="00FD7D25">
        <w:rPr>
          <w:rFonts w:ascii="Arial" w:hAnsi="Arial" w:cs="Arial"/>
          <w:iCs/>
          <w:sz w:val="24"/>
          <w:szCs w:val="24"/>
        </w:rPr>
        <w:t xml:space="preserve"> From 1 July 2025, the MACR will be </w:t>
      </w:r>
      <w:r w:rsidR="00FD7D25" w:rsidRPr="00FD7D25">
        <w:rPr>
          <w:rFonts w:ascii="Arial" w:hAnsi="Arial" w:cs="Arial"/>
          <w:iCs/>
          <w:sz w:val="24"/>
          <w:szCs w:val="24"/>
        </w:rPr>
        <w:t>14 years</w:t>
      </w:r>
      <w:r w:rsidR="009B141A">
        <w:rPr>
          <w:rFonts w:ascii="Arial" w:hAnsi="Arial" w:cs="Arial"/>
          <w:iCs/>
          <w:sz w:val="24"/>
          <w:szCs w:val="24"/>
        </w:rPr>
        <w:t xml:space="preserve"> (with the rebuttable presumption retained only for 12 and 13 year olds who commit murder, sexual assault in the first degree, an act of indecency in the first degree, or intentionally inflict grievous bodily harm)</w:t>
      </w:r>
      <w:r w:rsidR="00FD7D25">
        <w:rPr>
          <w:rFonts w:ascii="Arial" w:hAnsi="Arial" w:cs="Arial"/>
          <w:iCs/>
          <w:sz w:val="24"/>
          <w:szCs w:val="24"/>
        </w:rPr>
        <w:t>.</w:t>
      </w:r>
    </w:p>
    <w:p w14:paraId="76BA89A8" w14:textId="3A47396C" w:rsidR="001F540C" w:rsidRDefault="001F540C" w:rsidP="00FC40FD">
      <w:pPr>
        <w:rPr>
          <w:rFonts w:ascii="Arial" w:hAnsi="Arial" w:cs="Arial"/>
          <w:bCs/>
          <w:iCs/>
          <w:sz w:val="24"/>
          <w:szCs w:val="24"/>
        </w:rPr>
      </w:pPr>
      <w:r>
        <w:rPr>
          <w:rFonts w:ascii="Arial" w:hAnsi="Arial" w:cs="Arial"/>
          <w:iCs/>
          <w:sz w:val="24"/>
          <w:szCs w:val="24"/>
        </w:rPr>
        <w:t>Stakeholders have noted that it is not immediately apparent in the legislation that police</w:t>
      </w:r>
      <w:r w:rsidR="00AA0667">
        <w:rPr>
          <w:rFonts w:ascii="Arial" w:hAnsi="Arial" w:cs="Arial"/>
          <w:iCs/>
          <w:sz w:val="24"/>
          <w:szCs w:val="24"/>
        </w:rPr>
        <w:t xml:space="preserve"> officers</w:t>
      </w:r>
      <w:r>
        <w:rPr>
          <w:rFonts w:ascii="Arial" w:hAnsi="Arial" w:cs="Arial"/>
          <w:iCs/>
          <w:sz w:val="24"/>
          <w:szCs w:val="24"/>
        </w:rPr>
        <w:t xml:space="preserve"> had powers to stop, search, and detain people under the MACR</w:t>
      </w:r>
      <w:r w:rsidR="00AA0667">
        <w:rPr>
          <w:rFonts w:ascii="Arial" w:hAnsi="Arial" w:cs="Arial"/>
          <w:iCs/>
          <w:sz w:val="24"/>
          <w:szCs w:val="24"/>
        </w:rPr>
        <w:t>, lawfully and safely for all persons involved</w:t>
      </w:r>
      <w:r>
        <w:rPr>
          <w:rFonts w:ascii="Arial" w:hAnsi="Arial" w:cs="Arial"/>
          <w:iCs/>
          <w:sz w:val="24"/>
          <w:szCs w:val="24"/>
        </w:rPr>
        <w:t xml:space="preserve">. </w:t>
      </w:r>
      <w:r w:rsidRPr="001A0100">
        <w:rPr>
          <w:rFonts w:ascii="Arial" w:hAnsi="Arial" w:cs="Arial"/>
          <w:bCs/>
          <w:iCs/>
          <w:sz w:val="24"/>
          <w:szCs w:val="24"/>
        </w:rPr>
        <w:t xml:space="preserve">Although a person under the </w:t>
      </w:r>
      <w:r w:rsidR="00437547">
        <w:rPr>
          <w:rFonts w:ascii="Arial" w:hAnsi="Arial" w:cs="Arial"/>
          <w:bCs/>
          <w:iCs/>
          <w:sz w:val="24"/>
          <w:szCs w:val="24"/>
        </w:rPr>
        <w:t>MACR</w:t>
      </w:r>
      <w:r w:rsidRPr="001A0100">
        <w:rPr>
          <w:rFonts w:ascii="Arial" w:hAnsi="Arial" w:cs="Arial"/>
          <w:bCs/>
          <w:iCs/>
          <w:sz w:val="24"/>
          <w:szCs w:val="24"/>
        </w:rPr>
        <w:t xml:space="preserve"> may </w:t>
      </w:r>
      <w:r w:rsidRPr="001A0100">
        <w:rPr>
          <w:rFonts w:ascii="Arial" w:hAnsi="Arial" w:cs="Arial"/>
          <w:bCs/>
          <w:i/>
          <w:iCs/>
          <w:sz w:val="24"/>
          <w:szCs w:val="24"/>
        </w:rPr>
        <w:t>commit</w:t>
      </w:r>
      <w:r w:rsidRPr="001A0100">
        <w:rPr>
          <w:rFonts w:ascii="Arial" w:hAnsi="Arial" w:cs="Arial"/>
          <w:bCs/>
          <w:iCs/>
          <w:sz w:val="24"/>
          <w:szCs w:val="24"/>
        </w:rPr>
        <w:t xml:space="preserve"> an offence</w:t>
      </w:r>
      <w:r w:rsidR="008C3D61">
        <w:rPr>
          <w:rFonts w:ascii="Arial" w:hAnsi="Arial" w:cs="Arial"/>
          <w:bCs/>
          <w:iCs/>
          <w:sz w:val="24"/>
          <w:szCs w:val="24"/>
        </w:rPr>
        <w:t>,</w:t>
      </w:r>
      <w:r w:rsidRPr="001A0100">
        <w:rPr>
          <w:rFonts w:ascii="Arial" w:hAnsi="Arial" w:cs="Arial"/>
          <w:bCs/>
          <w:iCs/>
          <w:sz w:val="24"/>
          <w:szCs w:val="24"/>
        </w:rPr>
        <w:t xml:space="preserve"> they cannot be held criminally </w:t>
      </w:r>
      <w:r w:rsidRPr="001A0100">
        <w:rPr>
          <w:rFonts w:ascii="Arial" w:hAnsi="Arial" w:cs="Arial"/>
          <w:bCs/>
          <w:i/>
          <w:iCs/>
          <w:sz w:val="24"/>
          <w:szCs w:val="24"/>
        </w:rPr>
        <w:t>responsible</w:t>
      </w:r>
      <w:r w:rsidRPr="001A0100">
        <w:rPr>
          <w:rFonts w:ascii="Arial" w:hAnsi="Arial" w:cs="Arial"/>
          <w:bCs/>
          <w:iCs/>
          <w:sz w:val="24"/>
          <w:szCs w:val="24"/>
        </w:rPr>
        <w:t xml:space="preserve"> for it.</w:t>
      </w:r>
    </w:p>
    <w:p w14:paraId="2E6CD444" w14:textId="0AE1EBC5" w:rsidR="00E020DE" w:rsidRDefault="00E020DE" w:rsidP="00FC40FD">
      <w:pPr>
        <w:rPr>
          <w:rFonts w:ascii="Arial" w:hAnsi="Arial" w:cs="Arial"/>
          <w:bCs/>
          <w:iCs/>
          <w:sz w:val="24"/>
          <w:szCs w:val="24"/>
        </w:rPr>
      </w:pPr>
      <w:r>
        <w:rPr>
          <w:rFonts w:ascii="Arial" w:hAnsi="Arial" w:cs="Arial"/>
          <w:bCs/>
          <w:iCs/>
          <w:sz w:val="24"/>
          <w:szCs w:val="24"/>
        </w:rPr>
        <w:t>The current law provides that, in</w:t>
      </w:r>
      <w:r w:rsidR="001F540C" w:rsidRPr="001A0100">
        <w:rPr>
          <w:rFonts w:ascii="Arial" w:hAnsi="Arial" w:cs="Arial"/>
          <w:bCs/>
          <w:iCs/>
          <w:sz w:val="24"/>
          <w:szCs w:val="24"/>
        </w:rPr>
        <w:t xml:space="preserve"> general, if a police officer has reasonable suspicion that an offence has been </w:t>
      </w:r>
      <w:r w:rsidR="001F540C" w:rsidRPr="001F540C">
        <w:rPr>
          <w:rFonts w:ascii="Arial" w:hAnsi="Arial" w:cs="Arial"/>
          <w:bCs/>
          <w:i/>
          <w:sz w:val="24"/>
          <w:szCs w:val="24"/>
        </w:rPr>
        <w:t>committed</w:t>
      </w:r>
      <w:r w:rsidR="001F540C" w:rsidRPr="001A0100">
        <w:rPr>
          <w:rFonts w:ascii="Arial" w:hAnsi="Arial" w:cs="Arial"/>
          <w:bCs/>
          <w:iCs/>
          <w:sz w:val="24"/>
          <w:szCs w:val="24"/>
        </w:rPr>
        <w:t xml:space="preserve">, they </w:t>
      </w:r>
      <w:r w:rsidR="001F540C">
        <w:rPr>
          <w:rFonts w:ascii="Arial" w:hAnsi="Arial" w:cs="Arial"/>
          <w:bCs/>
          <w:iCs/>
          <w:sz w:val="24"/>
          <w:szCs w:val="24"/>
        </w:rPr>
        <w:t>currently</w:t>
      </w:r>
      <w:r w:rsidR="001F540C" w:rsidRPr="001A0100">
        <w:rPr>
          <w:rFonts w:ascii="Arial" w:hAnsi="Arial" w:cs="Arial"/>
          <w:bCs/>
          <w:iCs/>
          <w:sz w:val="24"/>
          <w:szCs w:val="24"/>
        </w:rPr>
        <w:t xml:space="preserve"> have powers to investigate (including power</w:t>
      </w:r>
      <w:r w:rsidR="001F540C">
        <w:rPr>
          <w:rFonts w:ascii="Arial" w:hAnsi="Arial" w:cs="Arial"/>
          <w:bCs/>
          <w:iCs/>
          <w:sz w:val="24"/>
          <w:szCs w:val="24"/>
        </w:rPr>
        <w:t>s</w:t>
      </w:r>
      <w:r w:rsidR="001F540C" w:rsidRPr="001A0100">
        <w:rPr>
          <w:rFonts w:ascii="Arial" w:hAnsi="Arial" w:cs="Arial"/>
          <w:bCs/>
          <w:iCs/>
          <w:sz w:val="24"/>
          <w:szCs w:val="24"/>
        </w:rPr>
        <w:t xml:space="preserve"> to stop, search, </w:t>
      </w:r>
      <w:r w:rsidR="001F540C">
        <w:rPr>
          <w:rFonts w:ascii="Arial" w:hAnsi="Arial" w:cs="Arial"/>
          <w:bCs/>
          <w:iCs/>
          <w:sz w:val="24"/>
          <w:szCs w:val="24"/>
        </w:rPr>
        <w:t>or</w:t>
      </w:r>
      <w:r w:rsidR="001F540C" w:rsidRPr="001A0100">
        <w:rPr>
          <w:rFonts w:ascii="Arial" w:hAnsi="Arial" w:cs="Arial"/>
          <w:bCs/>
          <w:iCs/>
          <w:sz w:val="24"/>
          <w:szCs w:val="24"/>
        </w:rPr>
        <w:t xml:space="preserve"> detain). Although there are some powers that are age-restricted (such as strip searching), </w:t>
      </w:r>
      <w:r>
        <w:rPr>
          <w:rFonts w:ascii="Arial" w:hAnsi="Arial" w:cs="Arial"/>
          <w:bCs/>
          <w:iCs/>
          <w:sz w:val="24"/>
          <w:szCs w:val="24"/>
        </w:rPr>
        <w:t xml:space="preserve">most police powers do not expressly require consideration of the age of the person suspected of committing the offence. </w:t>
      </w:r>
    </w:p>
    <w:p w14:paraId="0E53CFD4" w14:textId="41EC7DDA" w:rsidR="001F540C" w:rsidRDefault="00AA0667" w:rsidP="00FC40FD">
      <w:pPr>
        <w:rPr>
          <w:rFonts w:ascii="Arial" w:hAnsi="Arial" w:cs="Arial"/>
          <w:iCs/>
          <w:sz w:val="24"/>
          <w:szCs w:val="24"/>
        </w:rPr>
      </w:pPr>
      <w:r>
        <w:rPr>
          <w:rFonts w:ascii="Arial" w:hAnsi="Arial" w:cs="Arial"/>
          <w:bCs/>
          <w:iCs/>
          <w:sz w:val="24"/>
          <w:szCs w:val="24"/>
        </w:rPr>
        <w:t xml:space="preserve">This Bill </w:t>
      </w:r>
      <w:r w:rsidR="009B7732">
        <w:rPr>
          <w:rFonts w:ascii="Arial" w:hAnsi="Arial" w:cs="Arial"/>
          <w:bCs/>
          <w:iCs/>
          <w:sz w:val="24"/>
          <w:szCs w:val="24"/>
        </w:rPr>
        <w:t xml:space="preserve">seeks to </w:t>
      </w:r>
      <w:r w:rsidR="00E020DE">
        <w:rPr>
          <w:rFonts w:ascii="Arial" w:hAnsi="Arial" w:cs="Arial"/>
          <w:bCs/>
          <w:iCs/>
          <w:sz w:val="24"/>
          <w:szCs w:val="24"/>
        </w:rPr>
        <w:t xml:space="preserve">address </w:t>
      </w:r>
      <w:r w:rsidR="009B7732">
        <w:rPr>
          <w:rFonts w:ascii="Arial" w:hAnsi="Arial" w:cs="Arial"/>
          <w:bCs/>
          <w:iCs/>
          <w:sz w:val="24"/>
          <w:szCs w:val="24"/>
        </w:rPr>
        <w:t>stakeholders’</w:t>
      </w:r>
      <w:r w:rsidR="00E020DE">
        <w:rPr>
          <w:rFonts w:ascii="Arial" w:hAnsi="Arial" w:cs="Arial"/>
          <w:bCs/>
          <w:iCs/>
          <w:sz w:val="24"/>
          <w:szCs w:val="24"/>
        </w:rPr>
        <w:t xml:space="preserve"> concern that the legislation should provide clearer guidance on the availability of police powers with regard to people under MACR</w:t>
      </w:r>
      <w:r w:rsidR="009B7732">
        <w:rPr>
          <w:rFonts w:ascii="Arial" w:hAnsi="Arial" w:cs="Arial"/>
          <w:bCs/>
          <w:iCs/>
          <w:sz w:val="24"/>
          <w:szCs w:val="24"/>
        </w:rPr>
        <w:t>. It also</w:t>
      </w:r>
      <w:r w:rsidR="00E020DE">
        <w:rPr>
          <w:rFonts w:ascii="Arial" w:hAnsi="Arial" w:cs="Arial"/>
          <w:bCs/>
          <w:iCs/>
          <w:sz w:val="24"/>
          <w:szCs w:val="24"/>
        </w:rPr>
        <w:t xml:space="preserve"> provides a new framework for the use of those powers which expressly requires consideration of the age of the person suspected of committing the offence</w:t>
      </w:r>
      <w:r w:rsidR="00F42B16">
        <w:rPr>
          <w:rFonts w:ascii="Arial" w:hAnsi="Arial" w:cs="Arial"/>
          <w:bCs/>
          <w:iCs/>
          <w:sz w:val="24"/>
          <w:szCs w:val="24"/>
        </w:rPr>
        <w:t xml:space="preserve"> (specifically, the fact that a person under a certain age cannot be charged for an offence)</w:t>
      </w:r>
      <w:r w:rsidR="00E020DE">
        <w:rPr>
          <w:rFonts w:ascii="Arial" w:hAnsi="Arial" w:cs="Arial"/>
          <w:bCs/>
          <w:iCs/>
          <w:sz w:val="24"/>
          <w:szCs w:val="24"/>
        </w:rPr>
        <w:t xml:space="preserve">. </w:t>
      </w:r>
      <w:r w:rsidR="00F42B16">
        <w:rPr>
          <w:rFonts w:ascii="Arial" w:hAnsi="Arial" w:cs="Arial"/>
          <w:bCs/>
          <w:iCs/>
          <w:sz w:val="24"/>
          <w:szCs w:val="24"/>
        </w:rPr>
        <w:t>Th</w:t>
      </w:r>
      <w:r w:rsidR="009B7732">
        <w:rPr>
          <w:rFonts w:ascii="Arial" w:hAnsi="Arial" w:cs="Arial"/>
          <w:bCs/>
          <w:iCs/>
          <w:sz w:val="24"/>
          <w:szCs w:val="24"/>
        </w:rPr>
        <w:t>e Bill aims to provide</w:t>
      </w:r>
      <w:r w:rsidR="00F42B16">
        <w:rPr>
          <w:rFonts w:ascii="Arial" w:hAnsi="Arial" w:cs="Arial"/>
          <w:bCs/>
          <w:iCs/>
          <w:sz w:val="24"/>
          <w:szCs w:val="24"/>
        </w:rPr>
        <w:t xml:space="preserve"> greater clarity that police powers will be available where the police believe </w:t>
      </w:r>
      <w:r w:rsidR="009B7732">
        <w:rPr>
          <w:rFonts w:ascii="Arial" w:hAnsi="Arial" w:cs="Arial"/>
          <w:bCs/>
          <w:iCs/>
          <w:sz w:val="24"/>
          <w:szCs w:val="24"/>
        </w:rPr>
        <w:t xml:space="preserve">the use of powers </w:t>
      </w:r>
      <w:r w:rsidR="00F42B16">
        <w:rPr>
          <w:rFonts w:ascii="Arial" w:hAnsi="Arial" w:cs="Arial"/>
          <w:bCs/>
          <w:iCs/>
          <w:sz w:val="24"/>
          <w:szCs w:val="24"/>
        </w:rPr>
        <w:t>is necessary for the safety of the community and</w:t>
      </w:r>
      <w:r w:rsidR="009B7732">
        <w:rPr>
          <w:rFonts w:ascii="Arial" w:hAnsi="Arial" w:cs="Arial"/>
          <w:bCs/>
          <w:iCs/>
          <w:sz w:val="24"/>
          <w:szCs w:val="24"/>
        </w:rPr>
        <w:t>/or</w:t>
      </w:r>
      <w:r w:rsidR="00F42B16">
        <w:rPr>
          <w:rFonts w:ascii="Arial" w:hAnsi="Arial" w:cs="Arial"/>
          <w:bCs/>
          <w:iCs/>
          <w:sz w:val="24"/>
          <w:szCs w:val="24"/>
        </w:rPr>
        <w:t xml:space="preserve"> the safety of the individual person.</w:t>
      </w:r>
      <w:r w:rsidR="00E020DE">
        <w:rPr>
          <w:rFonts w:ascii="Arial" w:hAnsi="Arial" w:cs="Arial"/>
          <w:bCs/>
          <w:iCs/>
          <w:sz w:val="24"/>
          <w:szCs w:val="24"/>
        </w:rPr>
        <w:t xml:space="preserve"> </w:t>
      </w:r>
    </w:p>
    <w:p w14:paraId="2434EFE5" w14:textId="0283DB20" w:rsidR="00CF345D" w:rsidRPr="009B141A" w:rsidRDefault="00CF345D" w:rsidP="00FC40FD">
      <w:pPr>
        <w:rPr>
          <w:rFonts w:cs="Arial"/>
          <w:i/>
          <w:szCs w:val="24"/>
        </w:rPr>
      </w:pPr>
      <w:r>
        <w:rPr>
          <w:rFonts w:ascii="Arial" w:hAnsi="Arial" w:cs="Arial"/>
          <w:i/>
          <w:sz w:val="24"/>
          <w:szCs w:val="24"/>
        </w:rPr>
        <w:t>Police powers amendments</w:t>
      </w:r>
    </w:p>
    <w:p w14:paraId="0150B2C0" w14:textId="7F8E9627" w:rsidR="002A5166" w:rsidRDefault="00A23044" w:rsidP="00E90DF9">
      <w:pPr>
        <w:spacing w:after="120"/>
        <w:ind w:right="-45"/>
        <w:rPr>
          <w:rFonts w:ascii="Arial" w:hAnsi="Arial" w:cs="Arial"/>
          <w:iCs/>
          <w:sz w:val="24"/>
          <w:szCs w:val="24"/>
        </w:rPr>
      </w:pPr>
      <w:r>
        <w:rPr>
          <w:rFonts w:ascii="Arial" w:hAnsi="Arial" w:cs="Arial"/>
          <w:iCs/>
          <w:sz w:val="24"/>
          <w:szCs w:val="24"/>
        </w:rPr>
        <w:t xml:space="preserve">This Bill </w:t>
      </w:r>
      <w:r w:rsidR="002A5166">
        <w:rPr>
          <w:rFonts w:ascii="Arial" w:hAnsi="Arial" w:cs="Arial"/>
          <w:iCs/>
          <w:sz w:val="24"/>
          <w:szCs w:val="24"/>
        </w:rPr>
        <w:t xml:space="preserve">amends the </w:t>
      </w:r>
      <w:r w:rsidR="002A5166" w:rsidRPr="009B141A">
        <w:rPr>
          <w:rFonts w:ascii="Arial" w:hAnsi="Arial" w:cs="Arial"/>
          <w:i/>
          <w:sz w:val="24"/>
          <w:szCs w:val="24"/>
        </w:rPr>
        <w:t>Crimes Act 1900</w:t>
      </w:r>
      <w:r w:rsidR="002A5166">
        <w:rPr>
          <w:rFonts w:ascii="Arial" w:hAnsi="Arial" w:cs="Arial"/>
          <w:iCs/>
          <w:sz w:val="24"/>
          <w:szCs w:val="24"/>
        </w:rPr>
        <w:t xml:space="preserve"> to </w:t>
      </w:r>
      <w:r>
        <w:rPr>
          <w:rFonts w:ascii="Arial" w:hAnsi="Arial" w:cs="Arial"/>
          <w:iCs/>
          <w:sz w:val="24"/>
          <w:szCs w:val="24"/>
        </w:rPr>
        <w:t>clarif</w:t>
      </w:r>
      <w:r w:rsidR="001D69D4">
        <w:rPr>
          <w:rFonts w:ascii="Arial" w:hAnsi="Arial" w:cs="Arial"/>
          <w:iCs/>
          <w:sz w:val="24"/>
          <w:szCs w:val="24"/>
        </w:rPr>
        <w:t>y</w:t>
      </w:r>
      <w:r>
        <w:rPr>
          <w:rFonts w:ascii="Arial" w:hAnsi="Arial" w:cs="Arial"/>
          <w:iCs/>
          <w:sz w:val="24"/>
          <w:szCs w:val="24"/>
        </w:rPr>
        <w:t xml:space="preserve"> the application of existing </w:t>
      </w:r>
      <w:r w:rsidR="002A5166">
        <w:rPr>
          <w:rFonts w:ascii="Arial" w:hAnsi="Arial" w:cs="Arial"/>
          <w:iCs/>
          <w:sz w:val="24"/>
          <w:szCs w:val="24"/>
        </w:rPr>
        <w:t xml:space="preserve">police </w:t>
      </w:r>
      <w:r>
        <w:rPr>
          <w:rFonts w:ascii="Arial" w:hAnsi="Arial" w:cs="Arial"/>
          <w:iCs/>
          <w:sz w:val="24"/>
          <w:szCs w:val="24"/>
        </w:rPr>
        <w:t>powers</w:t>
      </w:r>
      <w:r w:rsidR="005B759A">
        <w:rPr>
          <w:rFonts w:ascii="Arial" w:hAnsi="Arial" w:cs="Arial"/>
          <w:iCs/>
          <w:sz w:val="24"/>
          <w:szCs w:val="24"/>
        </w:rPr>
        <w:t xml:space="preserve"> with respect to a young person under the age of 14 years</w:t>
      </w:r>
      <w:r w:rsidR="00437DFF">
        <w:rPr>
          <w:rFonts w:ascii="Arial" w:hAnsi="Arial" w:cs="Arial"/>
          <w:iCs/>
          <w:sz w:val="24"/>
          <w:szCs w:val="24"/>
        </w:rPr>
        <w:t>, and to provide additional limitations on the use of those powers. The relevant powers are:</w:t>
      </w:r>
      <w:r>
        <w:rPr>
          <w:rFonts w:ascii="Arial" w:hAnsi="Arial" w:cs="Arial"/>
          <w:iCs/>
          <w:sz w:val="24"/>
          <w:szCs w:val="24"/>
        </w:rPr>
        <w:t xml:space="preserve"> </w:t>
      </w:r>
    </w:p>
    <w:p w14:paraId="154C43BE" w14:textId="69CA51E5" w:rsidR="005B759A" w:rsidRDefault="00437DFF" w:rsidP="009B141A">
      <w:pPr>
        <w:pStyle w:val="ListParagraph"/>
        <w:numPr>
          <w:ilvl w:val="0"/>
          <w:numId w:val="18"/>
        </w:numPr>
        <w:spacing w:after="120" w:line="276" w:lineRule="auto"/>
        <w:ind w:left="714" w:right="-45" w:hanging="357"/>
        <w:rPr>
          <w:rFonts w:ascii="Arial" w:hAnsi="Arial" w:cs="Arial"/>
          <w:iCs/>
          <w:sz w:val="24"/>
          <w:szCs w:val="24"/>
        </w:rPr>
      </w:pPr>
      <w:r>
        <w:rPr>
          <w:rFonts w:ascii="Arial" w:hAnsi="Arial" w:cs="Arial"/>
          <w:iCs/>
          <w:sz w:val="24"/>
          <w:szCs w:val="24"/>
        </w:rPr>
        <w:t>the preventative action powers of police acting under a warrant and without a warrant</w:t>
      </w:r>
      <w:r w:rsidR="0091346F">
        <w:rPr>
          <w:rFonts w:ascii="Arial" w:hAnsi="Arial" w:cs="Arial"/>
          <w:iCs/>
          <w:sz w:val="24"/>
          <w:szCs w:val="24"/>
        </w:rPr>
        <w:t xml:space="preserve"> (</w:t>
      </w:r>
      <w:r w:rsidR="0091346F" w:rsidRPr="00437DFF">
        <w:rPr>
          <w:rFonts w:ascii="Arial" w:hAnsi="Arial" w:cs="Arial"/>
          <w:iCs/>
          <w:sz w:val="24"/>
          <w:szCs w:val="24"/>
        </w:rPr>
        <w:t xml:space="preserve">clauses </w:t>
      </w:r>
      <w:r>
        <w:rPr>
          <w:rFonts w:ascii="Arial" w:hAnsi="Arial" w:cs="Arial"/>
          <w:iCs/>
          <w:sz w:val="24"/>
          <w:szCs w:val="24"/>
        </w:rPr>
        <w:t>7–8</w:t>
      </w:r>
      <w:r w:rsidR="0091346F">
        <w:rPr>
          <w:rFonts w:ascii="Arial" w:hAnsi="Arial" w:cs="Arial"/>
          <w:iCs/>
          <w:sz w:val="24"/>
          <w:szCs w:val="24"/>
        </w:rPr>
        <w:t>)</w:t>
      </w:r>
      <w:r>
        <w:rPr>
          <w:rFonts w:ascii="Arial" w:hAnsi="Arial" w:cs="Arial"/>
          <w:iCs/>
          <w:sz w:val="24"/>
          <w:szCs w:val="24"/>
        </w:rPr>
        <w:t>;</w:t>
      </w:r>
    </w:p>
    <w:p w14:paraId="47573518" w14:textId="47CADED5" w:rsidR="002A5166" w:rsidRPr="009B141A" w:rsidRDefault="00437DFF" w:rsidP="009B141A">
      <w:pPr>
        <w:pStyle w:val="ListParagraph"/>
        <w:numPr>
          <w:ilvl w:val="0"/>
          <w:numId w:val="18"/>
        </w:numPr>
        <w:spacing w:after="120" w:line="276" w:lineRule="auto"/>
        <w:ind w:left="714" w:right="-45" w:hanging="357"/>
        <w:rPr>
          <w:rFonts w:ascii="Arial" w:hAnsi="Arial" w:cs="Arial"/>
          <w:iCs/>
          <w:sz w:val="24"/>
          <w:szCs w:val="24"/>
        </w:rPr>
      </w:pPr>
      <w:r>
        <w:rPr>
          <w:rFonts w:ascii="Arial" w:hAnsi="Arial" w:cs="Arial"/>
          <w:iCs/>
          <w:sz w:val="24"/>
          <w:szCs w:val="24"/>
        </w:rPr>
        <w:t>the search and seizure powers of police acting under a warrant</w:t>
      </w:r>
      <w:r w:rsidR="0091346F">
        <w:rPr>
          <w:rFonts w:ascii="Arial" w:hAnsi="Arial" w:cs="Arial"/>
          <w:iCs/>
          <w:sz w:val="24"/>
          <w:szCs w:val="24"/>
        </w:rPr>
        <w:t xml:space="preserve"> (</w:t>
      </w:r>
      <w:r w:rsidR="0091346F" w:rsidRPr="00437DFF">
        <w:rPr>
          <w:rFonts w:ascii="Arial" w:hAnsi="Arial" w:cs="Arial"/>
          <w:iCs/>
          <w:sz w:val="24"/>
          <w:szCs w:val="24"/>
        </w:rPr>
        <w:t xml:space="preserve">clauses </w:t>
      </w:r>
      <w:r>
        <w:rPr>
          <w:rFonts w:ascii="Arial" w:hAnsi="Arial" w:cs="Arial"/>
          <w:iCs/>
          <w:sz w:val="24"/>
          <w:szCs w:val="24"/>
        </w:rPr>
        <w:t>9–10</w:t>
      </w:r>
      <w:r w:rsidR="0091346F">
        <w:rPr>
          <w:rFonts w:ascii="Arial" w:hAnsi="Arial" w:cs="Arial"/>
          <w:iCs/>
          <w:sz w:val="24"/>
          <w:szCs w:val="24"/>
        </w:rPr>
        <w:t>)</w:t>
      </w:r>
    </w:p>
    <w:p w14:paraId="7F6C85C0" w14:textId="33BA8BEB" w:rsidR="0091346F" w:rsidRPr="007D2F2E" w:rsidRDefault="00437DFF" w:rsidP="009B141A">
      <w:pPr>
        <w:pStyle w:val="ListParagraph"/>
        <w:numPr>
          <w:ilvl w:val="0"/>
          <w:numId w:val="18"/>
        </w:numPr>
        <w:spacing w:after="120" w:line="276" w:lineRule="auto"/>
        <w:ind w:left="714" w:right="-45" w:hanging="357"/>
        <w:rPr>
          <w:rFonts w:ascii="Arial" w:hAnsi="Arial" w:cs="Arial"/>
          <w:iCs/>
          <w:sz w:val="24"/>
          <w:szCs w:val="24"/>
        </w:rPr>
      </w:pPr>
      <w:r>
        <w:rPr>
          <w:rFonts w:ascii="Arial" w:hAnsi="Arial" w:cs="Arial"/>
          <w:iCs/>
          <w:sz w:val="24"/>
          <w:szCs w:val="24"/>
        </w:rPr>
        <w:t>the</w:t>
      </w:r>
      <w:r w:rsidR="002A5166">
        <w:rPr>
          <w:rFonts w:ascii="Arial" w:hAnsi="Arial" w:cs="Arial"/>
          <w:iCs/>
          <w:sz w:val="24"/>
          <w:szCs w:val="24"/>
        </w:rPr>
        <w:t xml:space="preserve"> </w:t>
      </w:r>
      <w:r w:rsidR="00A23044" w:rsidRPr="009B141A">
        <w:rPr>
          <w:rFonts w:ascii="Arial" w:hAnsi="Arial" w:cs="Arial"/>
          <w:iCs/>
          <w:sz w:val="24"/>
          <w:szCs w:val="24"/>
        </w:rPr>
        <w:t>stop, search, or detain</w:t>
      </w:r>
      <w:r>
        <w:rPr>
          <w:rFonts w:ascii="Arial" w:hAnsi="Arial" w:cs="Arial"/>
          <w:iCs/>
          <w:sz w:val="24"/>
          <w:szCs w:val="24"/>
        </w:rPr>
        <w:t xml:space="preserve"> powers</w:t>
      </w:r>
      <w:r w:rsidR="00A23044" w:rsidRPr="009B141A">
        <w:rPr>
          <w:rFonts w:ascii="Arial" w:hAnsi="Arial" w:cs="Arial"/>
          <w:iCs/>
          <w:sz w:val="24"/>
          <w:szCs w:val="24"/>
        </w:rPr>
        <w:t xml:space="preserve"> </w:t>
      </w:r>
      <w:r w:rsidR="002A5166">
        <w:rPr>
          <w:rFonts w:ascii="Arial" w:hAnsi="Arial" w:cs="Arial"/>
          <w:iCs/>
          <w:sz w:val="24"/>
          <w:szCs w:val="24"/>
        </w:rPr>
        <w:t>without a warrant</w:t>
      </w:r>
      <w:r w:rsidR="0091346F">
        <w:rPr>
          <w:rFonts w:ascii="Arial" w:hAnsi="Arial" w:cs="Arial"/>
          <w:iCs/>
          <w:sz w:val="24"/>
          <w:szCs w:val="24"/>
        </w:rPr>
        <w:t xml:space="preserve"> (</w:t>
      </w:r>
      <w:r w:rsidR="0091346F" w:rsidRPr="00437DFF">
        <w:rPr>
          <w:rFonts w:ascii="Arial" w:hAnsi="Arial" w:cs="Arial"/>
          <w:iCs/>
          <w:sz w:val="24"/>
          <w:szCs w:val="24"/>
        </w:rPr>
        <w:t>clause 1</w:t>
      </w:r>
      <w:r>
        <w:rPr>
          <w:rFonts w:ascii="Arial" w:hAnsi="Arial" w:cs="Arial"/>
          <w:iCs/>
          <w:sz w:val="24"/>
          <w:szCs w:val="24"/>
        </w:rPr>
        <w:t>1</w:t>
      </w:r>
      <w:r w:rsidR="0091346F">
        <w:rPr>
          <w:rFonts w:ascii="Arial" w:hAnsi="Arial" w:cs="Arial"/>
          <w:iCs/>
          <w:sz w:val="24"/>
          <w:szCs w:val="24"/>
        </w:rPr>
        <w:t>)</w:t>
      </w:r>
      <w:r w:rsidR="007D2F2E">
        <w:rPr>
          <w:rFonts w:ascii="Arial" w:hAnsi="Arial" w:cs="Arial"/>
          <w:iCs/>
          <w:sz w:val="24"/>
          <w:szCs w:val="24"/>
        </w:rPr>
        <w:t>; and</w:t>
      </w:r>
    </w:p>
    <w:p w14:paraId="2B58D842" w14:textId="4411EA12" w:rsidR="00A23044" w:rsidRPr="00123F04" w:rsidRDefault="00437DFF" w:rsidP="009B141A">
      <w:pPr>
        <w:pStyle w:val="ListParagraph"/>
        <w:numPr>
          <w:ilvl w:val="0"/>
          <w:numId w:val="18"/>
        </w:numPr>
        <w:spacing w:after="120" w:line="276" w:lineRule="auto"/>
        <w:ind w:left="714" w:right="-45" w:hanging="357"/>
        <w:rPr>
          <w:rFonts w:ascii="Arial" w:hAnsi="Arial" w:cs="Arial"/>
          <w:iCs/>
          <w:sz w:val="24"/>
          <w:szCs w:val="24"/>
        </w:rPr>
      </w:pPr>
      <w:r>
        <w:rPr>
          <w:rFonts w:ascii="Arial" w:hAnsi="Arial" w:cs="Arial"/>
          <w:iCs/>
          <w:sz w:val="24"/>
          <w:szCs w:val="24"/>
        </w:rPr>
        <w:lastRenderedPageBreak/>
        <w:t>the discretionary power to transport</w:t>
      </w:r>
      <w:r w:rsidR="002A5166">
        <w:rPr>
          <w:rFonts w:ascii="Arial" w:hAnsi="Arial" w:cs="Arial"/>
          <w:iCs/>
          <w:sz w:val="24"/>
          <w:szCs w:val="24"/>
        </w:rPr>
        <w:t xml:space="preserve"> a person under 14 years of age to their parent or another responsible person or appropriate agency, after stopping, searching</w:t>
      </w:r>
      <w:r>
        <w:rPr>
          <w:rFonts w:ascii="Arial" w:hAnsi="Arial" w:cs="Arial"/>
          <w:iCs/>
          <w:sz w:val="24"/>
          <w:szCs w:val="24"/>
        </w:rPr>
        <w:t>,</w:t>
      </w:r>
      <w:r w:rsidR="002A5166">
        <w:rPr>
          <w:rFonts w:ascii="Arial" w:hAnsi="Arial" w:cs="Arial"/>
          <w:iCs/>
          <w:sz w:val="24"/>
          <w:szCs w:val="24"/>
        </w:rPr>
        <w:t xml:space="preserve"> or detaining them</w:t>
      </w:r>
      <w:r w:rsidR="00A522F6">
        <w:rPr>
          <w:rFonts w:ascii="Arial" w:hAnsi="Arial" w:cs="Arial"/>
          <w:iCs/>
          <w:sz w:val="24"/>
          <w:szCs w:val="24"/>
        </w:rPr>
        <w:t xml:space="preserve"> (</w:t>
      </w:r>
      <w:r w:rsidR="00A522F6" w:rsidRPr="00437DFF">
        <w:rPr>
          <w:rFonts w:ascii="Arial" w:hAnsi="Arial" w:cs="Arial"/>
          <w:iCs/>
          <w:sz w:val="24"/>
          <w:szCs w:val="24"/>
        </w:rPr>
        <w:t>clause 1</w:t>
      </w:r>
      <w:r>
        <w:rPr>
          <w:rFonts w:ascii="Arial" w:hAnsi="Arial" w:cs="Arial"/>
          <w:iCs/>
          <w:sz w:val="24"/>
          <w:szCs w:val="24"/>
        </w:rPr>
        <w:t>1</w:t>
      </w:r>
      <w:r w:rsidR="00A522F6">
        <w:rPr>
          <w:rFonts w:ascii="Arial" w:hAnsi="Arial" w:cs="Arial"/>
          <w:iCs/>
          <w:sz w:val="24"/>
          <w:szCs w:val="24"/>
        </w:rPr>
        <w:t>)</w:t>
      </w:r>
      <w:r w:rsidR="00A23044" w:rsidRPr="009B141A">
        <w:rPr>
          <w:rFonts w:ascii="Arial" w:hAnsi="Arial" w:cs="Arial"/>
          <w:iCs/>
          <w:sz w:val="24"/>
          <w:szCs w:val="24"/>
        </w:rPr>
        <w:t>.</w:t>
      </w:r>
    </w:p>
    <w:p w14:paraId="1E7F7C66" w14:textId="31526B35" w:rsidR="00CF345D" w:rsidRDefault="00CF345D" w:rsidP="001D69D4">
      <w:pPr>
        <w:spacing w:after="120"/>
        <w:ind w:right="-45"/>
        <w:rPr>
          <w:rFonts w:ascii="Arial" w:hAnsi="Arial" w:cs="Arial"/>
          <w:iCs/>
          <w:sz w:val="24"/>
          <w:szCs w:val="24"/>
        </w:rPr>
      </w:pPr>
      <w:r>
        <w:rPr>
          <w:rFonts w:ascii="Arial" w:hAnsi="Arial" w:cs="Arial"/>
          <w:iCs/>
          <w:sz w:val="24"/>
          <w:szCs w:val="24"/>
        </w:rPr>
        <w:t>This Bill does not provide new powers</w:t>
      </w:r>
      <w:r w:rsidR="00AA0667">
        <w:rPr>
          <w:rFonts w:ascii="Arial" w:hAnsi="Arial" w:cs="Arial"/>
          <w:iCs/>
          <w:sz w:val="24"/>
          <w:szCs w:val="24"/>
        </w:rPr>
        <w:t xml:space="preserve"> to police officers</w:t>
      </w:r>
      <w:r>
        <w:rPr>
          <w:rFonts w:ascii="Arial" w:hAnsi="Arial" w:cs="Arial"/>
          <w:iCs/>
          <w:sz w:val="24"/>
          <w:szCs w:val="24"/>
        </w:rPr>
        <w:t xml:space="preserve">. </w:t>
      </w:r>
    </w:p>
    <w:p w14:paraId="2E402D04" w14:textId="4863AA8C" w:rsidR="00A1342A" w:rsidRDefault="009B141A" w:rsidP="00CF345D">
      <w:pPr>
        <w:spacing w:after="120"/>
        <w:rPr>
          <w:rFonts w:ascii="Arial" w:hAnsi="Arial" w:cs="Arial"/>
          <w:iCs/>
          <w:sz w:val="24"/>
          <w:szCs w:val="24"/>
        </w:rPr>
      </w:pPr>
      <w:r>
        <w:rPr>
          <w:rFonts w:ascii="Arial" w:hAnsi="Arial" w:cs="Arial"/>
          <w:iCs/>
          <w:sz w:val="24"/>
          <w:szCs w:val="24"/>
        </w:rPr>
        <w:t>In addition to clarifying the application of existing law, the Bill introduces new limits on the availability of those powers</w:t>
      </w:r>
      <w:r w:rsidR="00AA0667">
        <w:rPr>
          <w:rFonts w:ascii="Arial" w:hAnsi="Arial" w:cs="Arial"/>
          <w:iCs/>
          <w:sz w:val="24"/>
          <w:szCs w:val="24"/>
        </w:rPr>
        <w:t xml:space="preserve"> for persons under MACR</w:t>
      </w:r>
      <w:r>
        <w:rPr>
          <w:rFonts w:ascii="Arial" w:hAnsi="Arial" w:cs="Arial"/>
          <w:iCs/>
          <w:sz w:val="24"/>
          <w:szCs w:val="24"/>
        </w:rPr>
        <w:t xml:space="preserve">. The most significant of these limitations is </w:t>
      </w:r>
      <w:r w:rsidR="00123F04">
        <w:rPr>
          <w:rFonts w:ascii="Arial" w:hAnsi="Arial" w:cs="Arial"/>
          <w:iCs/>
          <w:sz w:val="24"/>
          <w:szCs w:val="24"/>
        </w:rPr>
        <w:t>on</w:t>
      </w:r>
      <w:r w:rsidR="005B759A" w:rsidRPr="00123F04">
        <w:rPr>
          <w:rFonts w:ascii="Arial" w:hAnsi="Arial" w:cs="Arial"/>
          <w:iCs/>
          <w:sz w:val="24"/>
          <w:szCs w:val="24"/>
        </w:rPr>
        <w:t xml:space="preserve"> the circumstances in which police may stop, search or detain a young person without a warrant, by </w:t>
      </w:r>
      <w:r w:rsidR="00A23044" w:rsidRPr="00123F04">
        <w:rPr>
          <w:rFonts w:ascii="Arial" w:hAnsi="Arial" w:cs="Arial"/>
          <w:iCs/>
          <w:sz w:val="24"/>
          <w:szCs w:val="24"/>
        </w:rPr>
        <w:t>provid</w:t>
      </w:r>
      <w:r w:rsidR="005B759A" w:rsidRPr="00123F04">
        <w:rPr>
          <w:rFonts w:ascii="Arial" w:hAnsi="Arial" w:cs="Arial"/>
          <w:iCs/>
          <w:sz w:val="24"/>
          <w:szCs w:val="24"/>
        </w:rPr>
        <w:t>ing</w:t>
      </w:r>
      <w:r w:rsidR="00A23044" w:rsidRPr="00123F04">
        <w:rPr>
          <w:rFonts w:ascii="Arial" w:hAnsi="Arial" w:cs="Arial"/>
          <w:iCs/>
          <w:sz w:val="24"/>
          <w:szCs w:val="24"/>
        </w:rPr>
        <w:t xml:space="preserve"> a new ‘serious</w:t>
      </w:r>
      <w:r>
        <w:rPr>
          <w:rFonts w:ascii="Arial" w:hAnsi="Arial" w:cs="Arial"/>
          <w:iCs/>
          <w:sz w:val="24"/>
          <w:szCs w:val="24"/>
        </w:rPr>
        <w:t>ness</w:t>
      </w:r>
      <w:r w:rsidR="00A23044" w:rsidRPr="00123F04">
        <w:rPr>
          <w:rFonts w:ascii="Arial" w:hAnsi="Arial" w:cs="Arial"/>
          <w:iCs/>
          <w:sz w:val="24"/>
          <w:szCs w:val="24"/>
        </w:rPr>
        <w:t xml:space="preserve"> threshold’ that a police officer must </w:t>
      </w:r>
      <w:r w:rsidR="00A1342A" w:rsidRPr="00123F04">
        <w:rPr>
          <w:rFonts w:ascii="Arial" w:hAnsi="Arial" w:cs="Arial"/>
          <w:iCs/>
          <w:sz w:val="24"/>
          <w:szCs w:val="24"/>
        </w:rPr>
        <w:t xml:space="preserve">consider prior to using their powers where they are unable to form the belief on reasonable grounds that a person is </w:t>
      </w:r>
      <w:r w:rsidR="00515ED2">
        <w:rPr>
          <w:rFonts w:ascii="Arial" w:hAnsi="Arial" w:cs="Arial"/>
          <w:iCs/>
          <w:sz w:val="24"/>
          <w:szCs w:val="24"/>
        </w:rPr>
        <w:t>at least</w:t>
      </w:r>
      <w:r w:rsidR="00515ED2" w:rsidRPr="00123F04">
        <w:rPr>
          <w:rFonts w:ascii="Arial" w:hAnsi="Arial" w:cs="Arial"/>
          <w:iCs/>
          <w:sz w:val="24"/>
          <w:szCs w:val="24"/>
        </w:rPr>
        <w:t xml:space="preserve"> </w:t>
      </w:r>
      <w:r w:rsidR="00A1342A" w:rsidRPr="00123F04">
        <w:rPr>
          <w:rFonts w:ascii="Arial" w:hAnsi="Arial" w:cs="Arial"/>
          <w:iCs/>
          <w:sz w:val="24"/>
          <w:szCs w:val="24"/>
        </w:rPr>
        <w:t>14-years old.</w:t>
      </w:r>
      <w:r w:rsidR="00FC40FD" w:rsidRPr="00123F04">
        <w:rPr>
          <w:rFonts w:ascii="Arial" w:hAnsi="Arial" w:cs="Arial"/>
          <w:iCs/>
          <w:sz w:val="24"/>
          <w:szCs w:val="24"/>
        </w:rPr>
        <w:t xml:space="preserve"> </w:t>
      </w:r>
      <w:r w:rsidR="00CF345D">
        <w:rPr>
          <w:rFonts w:ascii="Arial" w:hAnsi="Arial" w:cs="Arial"/>
          <w:iCs/>
          <w:sz w:val="24"/>
          <w:szCs w:val="24"/>
        </w:rPr>
        <w:t>The new threshold is</w:t>
      </w:r>
      <w:r w:rsidR="00CF345D" w:rsidRPr="00123F04">
        <w:rPr>
          <w:rFonts w:ascii="Arial" w:hAnsi="Arial" w:cs="Arial"/>
          <w:iCs/>
          <w:sz w:val="24"/>
          <w:szCs w:val="24"/>
        </w:rPr>
        <w:t xml:space="preserve"> based on section 501Q of the </w:t>
      </w:r>
      <w:r w:rsidR="00CF345D" w:rsidRPr="00123F04">
        <w:rPr>
          <w:rFonts w:ascii="Arial" w:hAnsi="Arial" w:cs="Arial"/>
          <w:i/>
          <w:sz w:val="24"/>
          <w:szCs w:val="24"/>
        </w:rPr>
        <w:t xml:space="preserve">Children and Young People Act 2008 </w:t>
      </w:r>
      <w:r w:rsidR="00CF345D" w:rsidRPr="00123F04">
        <w:rPr>
          <w:rFonts w:ascii="Arial" w:hAnsi="Arial" w:cs="Arial"/>
          <w:iCs/>
          <w:sz w:val="24"/>
          <w:szCs w:val="24"/>
        </w:rPr>
        <w:t>(CYPA)).</w:t>
      </w:r>
      <w:r w:rsidR="00CF345D">
        <w:rPr>
          <w:rFonts w:ascii="Arial" w:hAnsi="Arial" w:cs="Arial"/>
          <w:iCs/>
          <w:sz w:val="24"/>
          <w:szCs w:val="24"/>
        </w:rPr>
        <w:t xml:space="preserve"> </w:t>
      </w:r>
      <w:r w:rsidR="00FC40FD">
        <w:rPr>
          <w:rFonts w:ascii="Arial" w:hAnsi="Arial" w:cs="Arial"/>
          <w:iCs/>
          <w:sz w:val="24"/>
          <w:szCs w:val="24"/>
        </w:rPr>
        <w:t xml:space="preserve">This ‘seriousness threshold’ is in addition to existing statutory and common law limitations on the use of police powers, and in addition to </w:t>
      </w:r>
      <w:r w:rsidR="00FD0538">
        <w:rPr>
          <w:rFonts w:ascii="Arial" w:hAnsi="Arial" w:cs="Arial"/>
          <w:iCs/>
          <w:sz w:val="24"/>
          <w:szCs w:val="24"/>
        </w:rPr>
        <w:t xml:space="preserve">a </w:t>
      </w:r>
      <w:r w:rsidR="00FC40FD">
        <w:rPr>
          <w:rFonts w:ascii="Arial" w:hAnsi="Arial" w:cs="Arial"/>
          <w:iCs/>
          <w:sz w:val="24"/>
          <w:szCs w:val="24"/>
        </w:rPr>
        <w:t>police officer’s obligations</w:t>
      </w:r>
      <w:r w:rsidR="00123F04">
        <w:rPr>
          <w:rFonts w:ascii="Arial" w:hAnsi="Arial" w:cs="Arial"/>
          <w:iCs/>
          <w:sz w:val="24"/>
          <w:szCs w:val="24"/>
        </w:rPr>
        <w:t xml:space="preserve"> (in section 40B of the </w:t>
      </w:r>
      <w:r w:rsidR="00123F04">
        <w:rPr>
          <w:rFonts w:ascii="Arial" w:hAnsi="Arial" w:cs="Arial"/>
          <w:i/>
          <w:sz w:val="24"/>
          <w:szCs w:val="24"/>
        </w:rPr>
        <w:t xml:space="preserve">Human Rights Act 2004 </w:t>
      </w:r>
      <w:r w:rsidR="00123F04">
        <w:rPr>
          <w:rFonts w:ascii="Arial" w:hAnsi="Arial" w:cs="Arial"/>
          <w:iCs/>
          <w:sz w:val="24"/>
          <w:szCs w:val="24"/>
        </w:rPr>
        <w:t>(HRA))</w:t>
      </w:r>
      <w:r w:rsidR="00FC40FD">
        <w:rPr>
          <w:rFonts w:ascii="Arial" w:hAnsi="Arial" w:cs="Arial"/>
          <w:iCs/>
          <w:sz w:val="24"/>
          <w:szCs w:val="24"/>
        </w:rPr>
        <w:t xml:space="preserve"> as </w:t>
      </w:r>
      <w:r w:rsidR="005E2CE0">
        <w:rPr>
          <w:rFonts w:ascii="Arial" w:hAnsi="Arial" w:cs="Arial"/>
          <w:iCs/>
          <w:sz w:val="24"/>
          <w:szCs w:val="24"/>
        </w:rPr>
        <w:t xml:space="preserve">a </w:t>
      </w:r>
      <w:r w:rsidR="00FC40FD">
        <w:rPr>
          <w:rFonts w:ascii="Arial" w:hAnsi="Arial" w:cs="Arial"/>
          <w:iCs/>
          <w:sz w:val="24"/>
          <w:szCs w:val="24"/>
        </w:rPr>
        <w:t xml:space="preserve">public authority </w:t>
      </w:r>
      <w:r w:rsidR="00123F04">
        <w:rPr>
          <w:rFonts w:ascii="Arial" w:hAnsi="Arial" w:cs="Arial"/>
          <w:iCs/>
          <w:sz w:val="24"/>
          <w:szCs w:val="24"/>
        </w:rPr>
        <w:t xml:space="preserve">(per </w:t>
      </w:r>
      <w:r w:rsidR="00FC40FD">
        <w:rPr>
          <w:rFonts w:ascii="Arial" w:hAnsi="Arial" w:cs="Arial"/>
          <w:iCs/>
          <w:sz w:val="24"/>
          <w:szCs w:val="24"/>
        </w:rPr>
        <w:t>section</w:t>
      </w:r>
      <w:r w:rsidR="00783C55">
        <w:rPr>
          <w:rFonts w:ascii="Arial" w:hAnsi="Arial" w:cs="Arial"/>
          <w:iCs/>
          <w:sz w:val="24"/>
          <w:szCs w:val="24"/>
        </w:rPr>
        <w:t> </w:t>
      </w:r>
      <w:r w:rsidR="00FC40FD">
        <w:rPr>
          <w:rFonts w:ascii="Arial" w:hAnsi="Arial" w:cs="Arial"/>
          <w:iCs/>
          <w:sz w:val="24"/>
          <w:szCs w:val="24"/>
        </w:rPr>
        <w:t xml:space="preserve">40 of the </w:t>
      </w:r>
      <w:r w:rsidR="00123F04" w:rsidRPr="00123F04">
        <w:rPr>
          <w:rFonts w:ascii="Arial" w:hAnsi="Arial" w:cs="Arial"/>
          <w:iCs/>
          <w:sz w:val="24"/>
          <w:szCs w:val="24"/>
        </w:rPr>
        <w:t>HRA</w:t>
      </w:r>
      <w:r w:rsidR="00123F04">
        <w:rPr>
          <w:rFonts w:ascii="Arial" w:hAnsi="Arial" w:cs="Arial"/>
          <w:iCs/>
          <w:sz w:val="24"/>
          <w:szCs w:val="24"/>
        </w:rPr>
        <w:t>)</w:t>
      </w:r>
      <w:r w:rsidR="00FC40FD">
        <w:rPr>
          <w:rFonts w:ascii="Arial" w:hAnsi="Arial" w:cs="Arial"/>
          <w:iCs/>
          <w:sz w:val="24"/>
          <w:szCs w:val="24"/>
        </w:rPr>
        <w:t>.</w:t>
      </w:r>
    </w:p>
    <w:p w14:paraId="60599885" w14:textId="3E10EAF0" w:rsidR="00CF345D" w:rsidRPr="001D69D4" w:rsidRDefault="00CF345D" w:rsidP="00CF345D">
      <w:pPr>
        <w:rPr>
          <w:rFonts w:ascii="Arial" w:hAnsi="Arial" w:cs="Arial"/>
          <w:bCs/>
          <w:iCs/>
          <w:sz w:val="24"/>
          <w:szCs w:val="24"/>
        </w:rPr>
      </w:pPr>
      <w:r w:rsidRPr="001D69D4">
        <w:rPr>
          <w:rFonts w:ascii="Arial" w:hAnsi="Arial" w:cs="Arial"/>
          <w:bCs/>
          <w:iCs/>
          <w:sz w:val="24"/>
          <w:szCs w:val="24"/>
        </w:rPr>
        <w:t>It is important that police powers are readily ascertainable and the primary purpose of this Bill is to achieve that with respect to children and young people under the MACR.</w:t>
      </w:r>
      <w:r w:rsidR="00B428A9">
        <w:rPr>
          <w:rFonts w:ascii="Arial" w:hAnsi="Arial" w:cs="Arial"/>
          <w:bCs/>
          <w:iCs/>
          <w:sz w:val="24"/>
          <w:szCs w:val="24"/>
        </w:rPr>
        <w:t xml:space="preserve"> The law needs to be clear for police officers to use their powers.</w:t>
      </w:r>
      <w:r w:rsidRPr="001D69D4">
        <w:rPr>
          <w:rFonts w:ascii="Arial" w:hAnsi="Arial" w:cs="Arial"/>
          <w:bCs/>
          <w:iCs/>
          <w:sz w:val="24"/>
          <w:szCs w:val="24"/>
        </w:rPr>
        <w:t xml:space="preserve"> Legal practitioners also need clarity about the law so that they can support clients to seek redress where police are alleged not to have used their powers lawfully.</w:t>
      </w:r>
    </w:p>
    <w:p w14:paraId="683D1E0D" w14:textId="4E70A59A" w:rsidR="00CF345D" w:rsidRPr="001D69D4" w:rsidRDefault="00AA0667" w:rsidP="00CF345D">
      <w:pPr>
        <w:rPr>
          <w:rFonts w:ascii="Arial" w:hAnsi="Arial" w:cs="Arial"/>
          <w:bCs/>
          <w:iCs/>
          <w:sz w:val="24"/>
          <w:szCs w:val="24"/>
        </w:rPr>
      </w:pPr>
      <w:r>
        <w:rPr>
          <w:rFonts w:ascii="Arial" w:hAnsi="Arial" w:cs="Arial"/>
          <w:bCs/>
          <w:iCs/>
          <w:sz w:val="24"/>
          <w:szCs w:val="24"/>
        </w:rPr>
        <w:t>A</w:t>
      </w:r>
      <w:r w:rsidR="00CF345D" w:rsidRPr="001D69D4">
        <w:rPr>
          <w:rFonts w:ascii="Arial" w:hAnsi="Arial" w:cs="Arial"/>
          <w:bCs/>
          <w:iCs/>
          <w:sz w:val="24"/>
          <w:szCs w:val="24"/>
        </w:rPr>
        <w:t xml:space="preserve">mbiguity in the law </w:t>
      </w:r>
      <w:r w:rsidR="00CF345D">
        <w:rPr>
          <w:rFonts w:ascii="Arial" w:hAnsi="Arial" w:cs="Arial"/>
          <w:bCs/>
          <w:iCs/>
          <w:sz w:val="24"/>
          <w:szCs w:val="24"/>
        </w:rPr>
        <w:t xml:space="preserve">is undesirable as it is important that members of the public can understand their rights regarding police action. Ambiguity </w:t>
      </w:r>
      <w:r w:rsidR="00CF345D" w:rsidRPr="001D69D4">
        <w:rPr>
          <w:rFonts w:ascii="Arial" w:hAnsi="Arial" w:cs="Arial"/>
          <w:bCs/>
          <w:iCs/>
          <w:sz w:val="24"/>
          <w:szCs w:val="24"/>
        </w:rPr>
        <w:t>can</w:t>
      </w:r>
      <w:r w:rsidR="00CF345D">
        <w:rPr>
          <w:rFonts w:ascii="Arial" w:hAnsi="Arial" w:cs="Arial"/>
          <w:bCs/>
          <w:iCs/>
          <w:sz w:val="24"/>
          <w:szCs w:val="24"/>
        </w:rPr>
        <w:t xml:space="preserve"> also</w:t>
      </w:r>
      <w:r w:rsidR="00CF345D" w:rsidRPr="001D69D4">
        <w:rPr>
          <w:rFonts w:ascii="Arial" w:hAnsi="Arial" w:cs="Arial"/>
          <w:bCs/>
          <w:iCs/>
          <w:sz w:val="24"/>
          <w:szCs w:val="24"/>
        </w:rPr>
        <w:t xml:space="preserve"> cause reputational risk for both ACT</w:t>
      </w:r>
      <w:r w:rsidR="00783C55">
        <w:rPr>
          <w:rFonts w:ascii="Arial" w:hAnsi="Arial" w:cs="Arial"/>
          <w:bCs/>
          <w:iCs/>
          <w:sz w:val="24"/>
          <w:szCs w:val="24"/>
        </w:rPr>
        <w:t> </w:t>
      </w:r>
      <w:r w:rsidR="00CF345D" w:rsidRPr="001D69D4">
        <w:rPr>
          <w:rFonts w:ascii="Arial" w:hAnsi="Arial" w:cs="Arial"/>
          <w:bCs/>
          <w:iCs/>
          <w:sz w:val="24"/>
          <w:szCs w:val="24"/>
        </w:rPr>
        <w:t>Policing generally and individual police officers specifically, as well as for the ACT</w:t>
      </w:r>
      <w:r w:rsidR="00783C55">
        <w:rPr>
          <w:rFonts w:ascii="Arial" w:hAnsi="Arial" w:cs="Arial"/>
          <w:bCs/>
          <w:iCs/>
          <w:sz w:val="24"/>
          <w:szCs w:val="24"/>
        </w:rPr>
        <w:t> </w:t>
      </w:r>
      <w:r w:rsidR="00CF345D" w:rsidRPr="001D69D4">
        <w:rPr>
          <w:rFonts w:ascii="Arial" w:hAnsi="Arial" w:cs="Arial"/>
          <w:bCs/>
          <w:iCs/>
          <w:sz w:val="24"/>
          <w:szCs w:val="24"/>
        </w:rPr>
        <w:t xml:space="preserve">Government. People with mistaken beliefs about their rights regarding police officers may become unnecessarily hostile, or act unlawfully in resisting police action. </w:t>
      </w:r>
    </w:p>
    <w:p w14:paraId="474E83F4" w14:textId="5791A0FB" w:rsidR="00CF345D" w:rsidRPr="00CF345D" w:rsidRDefault="00CF345D" w:rsidP="000137F5">
      <w:pPr>
        <w:rPr>
          <w:rFonts w:ascii="Arial" w:hAnsi="Arial" w:cs="Arial"/>
          <w:bCs/>
          <w:iCs/>
          <w:sz w:val="24"/>
          <w:szCs w:val="24"/>
        </w:rPr>
      </w:pPr>
      <w:r w:rsidRPr="001D69D4">
        <w:rPr>
          <w:rFonts w:ascii="Arial" w:hAnsi="Arial" w:cs="Arial"/>
          <w:bCs/>
          <w:iCs/>
          <w:sz w:val="24"/>
          <w:szCs w:val="24"/>
        </w:rPr>
        <w:t xml:space="preserve">The primary policy goal of raising MACR </w:t>
      </w:r>
      <w:r w:rsidR="00AA0667">
        <w:rPr>
          <w:rFonts w:ascii="Arial" w:hAnsi="Arial" w:cs="Arial"/>
          <w:bCs/>
          <w:iCs/>
          <w:sz w:val="24"/>
          <w:szCs w:val="24"/>
        </w:rPr>
        <w:t>i</w:t>
      </w:r>
      <w:r w:rsidRPr="001D69D4">
        <w:rPr>
          <w:rFonts w:ascii="Arial" w:hAnsi="Arial" w:cs="Arial"/>
          <w:bCs/>
          <w:iCs/>
          <w:sz w:val="24"/>
          <w:szCs w:val="24"/>
        </w:rPr>
        <w:t>s to reduce the level of contact between the criminal justice system and young people</w:t>
      </w:r>
      <w:r w:rsidR="00F42B16">
        <w:rPr>
          <w:rFonts w:ascii="Arial" w:hAnsi="Arial" w:cs="Arial"/>
          <w:bCs/>
          <w:iCs/>
          <w:sz w:val="24"/>
          <w:szCs w:val="24"/>
        </w:rPr>
        <w:t>—a goal which</w:t>
      </w:r>
      <w:r w:rsidR="00AA0667">
        <w:rPr>
          <w:rFonts w:ascii="Arial" w:hAnsi="Arial" w:cs="Arial"/>
          <w:bCs/>
          <w:iCs/>
          <w:sz w:val="24"/>
          <w:szCs w:val="24"/>
        </w:rPr>
        <w:t xml:space="preserve"> all stakeholders are committed to </w:t>
      </w:r>
      <w:r w:rsidR="00F9488D">
        <w:rPr>
          <w:rFonts w:ascii="Arial" w:hAnsi="Arial" w:cs="Arial"/>
          <w:bCs/>
          <w:iCs/>
          <w:sz w:val="24"/>
          <w:szCs w:val="24"/>
        </w:rPr>
        <w:t xml:space="preserve">realising through the development of </w:t>
      </w:r>
      <w:r w:rsidR="00AA0667">
        <w:rPr>
          <w:rFonts w:ascii="Arial" w:hAnsi="Arial" w:cs="Arial"/>
          <w:bCs/>
          <w:iCs/>
          <w:sz w:val="24"/>
          <w:szCs w:val="24"/>
        </w:rPr>
        <w:t>robust arrangements</w:t>
      </w:r>
      <w:r w:rsidRPr="001D69D4">
        <w:rPr>
          <w:rFonts w:ascii="Arial" w:hAnsi="Arial" w:cs="Arial"/>
          <w:bCs/>
          <w:iCs/>
          <w:sz w:val="24"/>
          <w:szCs w:val="24"/>
        </w:rPr>
        <w:t xml:space="preserve">. This policy goal was related to the desired outcome of reducing recidivism and encouraging diversionary strategies for young people. There remains, however, a community expectation that police will be able to perform their community policing functions, </w:t>
      </w:r>
      <w:r w:rsidR="00AA0667">
        <w:rPr>
          <w:rFonts w:ascii="Arial" w:hAnsi="Arial" w:cs="Arial"/>
          <w:bCs/>
          <w:iCs/>
          <w:sz w:val="24"/>
          <w:szCs w:val="24"/>
        </w:rPr>
        <w:t xml:space="preserve">to </w:t>
      </w:r>
      <w:r w:rsidRPr="001D69D4">
        <w:rPr>
          <w:rFonts w:ascii="Arial" w:hAnsi="Arial" w:cs="Arial"/>
          <w:bCs/>
          <w:iCs/>
          <w:sz w:val="24"/>
          <w:szCs w:val="24"/>
        </w:rPr>
        <w:t>manag</w:t>
      </w:r>
      <w:r w:rsidR="00AA0667">
        <w:rPr>
          <w:rFonts w:ascii="Arial" w:hAnsi="Arial" w:cs="Arial"/>
          <w:bCs/>
          <w:iCs/>
          <w:sz w:val="24"/>
          <w:szCs w:val="24"/>
        </w:rPr>
        <w:t>e</w:t>
      </w:r>
      <w:r w:rsidR="00EF4CFD">
        <w:rPr>
          <w:rFonts w:ascii="Arial" w:hAnsi="Arial" w:cs="Arial"/>
          <w:bCs/>
          <w:iCs/>
          <w:sz w:val="24"/>
          <w:szCs w:val="24"/>
        </w:rPr>
        <w:t xml:space="preserve"> </w:t>
      </w:r>
      <w:r w:rsidRPr="001D69D4">
        <w:rPr>
          <w:rFonts w:ascii="Arial" w:hAnsi="Arial" w:cs="Arial"/>
          <w:bCs/>
          <w:iCs/>
          <w:sz w:val="24"/>
          <w:szCs w:val="24"/>
        </w:rPr>
        <w:t>disturbances of the peace</w:t>
      </w:r>
      <w:r w:rsidR="00F9488D">
        <w:rPr>
          <w:rFonts w:ascii="Arial" w:hAnsi="Arial" w:cs="Arial"/>
          <w:bCs/>
          <w:iCs/>
          <w:sz w:val="24"/>
          <w:szCs w:val="24"/>
        </w:rPr>
        <w:t>,</w:t>
      </w:r>
      <w:r w:rsidRPr="001D69D4">
        <w:rPr>
          <w:rFonts w:ascii="Arial" w:hAnsi="Arial" w:cs="Arial"/>
          <w:bCs/>
          <w:iCs/>
          <w:sz w:val="24"/>
          <w:szCs w:val="24"/>
        </w:rPr>
        <w:t xml:space="preserve"> and </w:t>
      </w:r>
      <w:r w:rsidR="00F9488D">
        <w:rPr>
          <w:rFonts w:ascii="Arial" w:hAnsi="Arial" w:cs="Arial"/>
          <w:bCs/>
          <w:iCs/>
          <w:sz w:val="24"/>
          <w:szCs w:val="24"/>
        </w:rPr>
        <w:t xml:space="preserve">to </w:t>
      </w:r>
      <w:r w:rsidRPr="001D69D4">
        <w:rPr>
          <w:rFonts w:ascii="Arial" w:hAnsi="Arial" w:cs="Arial"/>
          <w:bCs/>
          <w:iCs/>
          <w:sz w:val="24"/>
          <w:szCs w:val="24"/>
        </w:rPr>
        <w:t>promot</w:t>
      </w:r>
      <w:r w:rsidR="00AA0667">
        <w:rPr>
          <w:rFonts w:ascii="Arial" w:hAnsi="Arial" w:cs="Arial"/>
          <w:bCs/>
          <w:iCs/>
          <w:sz w:val="24"/>
          <w:szCs w:val="24"/>
        </w:rPr>
        <w:t>e</w:t>
      </w:r>
      <w:r w:rsidRPr="001D69D4">
        <w:rPr>
          <w:rFonts w:ascii="Arial" w:hAnsi="Arial" w:cs="Arial"/>
          <w:bCs/>
          <w:iCs/>
          <w:sz w:val="24"/>
          <w:szCs w:val="24"/>
        </w:rPr>
        <w:t xml:space="preserve"> community safety.</w:t>
      </w:r>
      <w:r>
        <w:rPr>
          <w:rFonts w:ascii="Arial" w:hAnsi="Arial" w:cs="Arial"/>
          <w:bCs/>
          <w:iCs/>
          <w:sz w:val="24"/>
          <w:szCs w:val="24"/>
        </w:rPr>
        <w:t xml:space="preserve"> This Bill seeks</w:t>
      </w:r>
      <w:r w:rsidR="00F42B16">
        <w:rPr>
          <w:rFonts w:ascii="Arial" w:hAnsi="Arial" w:cs="Arial"/>
          <w:bCs/>
          <w:iCs/>
          <w:sz w:val="24"/>
          <w:szCs w:val="24"/>
        </w:rPr>
        <w:t xml:space="preserve"> to achieve</w:t>
      </w:r>
      <w:r>
        <w:rPr>
          <w:rFonts w:ascii="Arial" w:hAnsi="Arial" w:cs="Arial"/>
          <w:bCs/>
          <w:iCs/>
          <w:sz w:val="24"/>
          <w:szCs w:val="24"/>
        </w:rPr>
        <w:t xml:space="preserve"> these purposes and ensure that powers </w:t>
      </w:r>
      <w:r w:rsidR="007C164F">
        <w:rPr>
          <w:rFonts w:ascii="Arial" w:hAnsi="Arial" w:cs="Arial"/>
          <w:bCs/>
          <w:iCs/>
          <w:sz w:val="24"/>
          <w:szCs w:val="24"/>
        </w:rPr>
        <w:t xml:space="preserve">available to police when engaging </w:t>
      </w:r>
      <w:r>
        <w:rPr>
          <w:rFonts w:ascii="Arial" w:hAnsi="Arial" w:cs="Arial"/>
          <w:bCs/>
          <w:iCs/>
          <w:sz w:val="24"/>
          <w:szCs w:val="24"/>
        </w:rPr>
        <w:t xml:space="preserve">with young people under the MACR </w:t>
      </w:r>
      <w:r w:rsidR="007C164F">
        <w:rPr>
          <w:rFonts w:ascii="Arial" w:hAnsi="Arial" w:cs="Arial"/>
          <w:bCs/>
          <w:iCs/>
          <w:sz w:val="24"/>
          <w:szCs w:val="24"/>
        </w:rPr>
        <w:t xml:space="preserve">can be </w:t>
      </w:r>
      <w:r>
        <w:rPr>
          <w:rFonts w:ascii="Arial" w:hAnsi="Arial" w:cs="Arial"/>
          <w:bCs/>
          <w:iCs/>
          <w:sz w:val="24"/>
          <w:szCs w:val="24"/>
        </w:rPr>
        <w:t xml:space="preserve">exercised to the extent necessary for </w:t>
      </w:r>
      <w:r w:rsidR="007C164F">
        <w:rPr>
          <w:rFonts w:ascii="Arial" w:hAnsi="Arial" w:cs="Arial"/>
          <w:bCs/>
          <w:iCs/>
          <w:sz w:val="24"/>
          <w:szCs w:val="24"/>
        </w:rPr>
        <w:t>their safety and</w:t>
      </w:r>
      <w:r w:rsidR="00EE0AAC">
        <w:rPr>
          <w:rFonts w:ascii="Arial" w:hAnsi="Arial" w:cs="Arial"/>
          <w:bCs/>
          <w:iCs/>
          <w:sz w:val="24"/>
          <w:szCs w:val="24"/>
        </w:rPr>
        <w:t>/or</w:t>
      </w:r>
      <w:r w:rsidR="007C164F">
        <w:rPr>
          <w:rFonts w:ascii="Arial" w:hAnsi="Arial" w:cs="Arial"/>
          <w:bCs/>
          <w:iCs/>
          <w:sz w:val="24"/>
          <w:szCs w:val="24"/>
        </w:rPr>
        <w:t xml:space="preserve"> </w:t>
      </w:r>
      <w:r>
        <w:rPr>
          <w:rFonts w:ascii="Arial" w:hAnsi="Arial" w:cs="Arial"/>
          <w:bCs/>
          <w:iCs/>
          <w:sz w:val="24"/>
          <w:szCs w:val="24"/>
        </w:rPr>
        <w:t>community safety.</w:t>
      </w:r>
    </w:p>
    <w:p w14:paraId="6B33EBFE" w14:textId="4F3561FE" w:rsidR="000137F5" w:rsidRPr="000137F5" w:rsidRDefault="000137F5" w:rsidP="00EF4CFD">
      <w:pPr>
        <w:keepNext/>
        <w:spacing w:after="120"/>
        <w:rPr>
          <w:rFonts w:ascii="Arial" w:hAnsi="Arial" w:cs="Arial"/>
          <w:i/>
          <w:sz w:val="24"/>
          <w:szCs w:val="24"/>
        </w:rPr>
      </w:pPr>
      <w:r>
        <w:rPr>
          <w:rFonts w:ascii="Arial" w:hAnsi="Arial" w:cs="Arial"/>
          <w:i/>
          <w:sz w:val="24"/>
          <w:szCs w:val="24"/>
        </w:rPr>
        <w:t>Court proceeding amendments</w:t>
      </w:r>
    </w:p>
    <w:p w14:paraId="41F17180" w14:textId="37A9FBBF" w:rsidR="000137F5" w:rsidRDefault="000137F5" w:rsidP="000137F5">
      <w:pPr>
        <w:rPr>
          <w:rFonts w:ascii="Arial" w:hAnsi="Arial" w:cs="Arial"/>
          <w:iCs/>
          <w:sz w:val="24"/>
          <w:szCs w:val="24"/>
        </w:rPr>
      </w:pPr>
      <w:r>
        <w:rPr>
          <w:rFonts w:ascii="Arial" w:hAnsi="Arial" w:cs="Arial"/>
          <w:iCs/>
          <w:sz w:val="24"/>
          <w:szCs w:val="24"/>
        </w:rPr>
        <w:t>Arising from the new inconsistency in the MACR between Australian jurisdictions, t</w:t>
      </w:r>
      <w:r w:rsidRPr="00A13321">
        <w:rPr>
          <w:rFonts w:ascii="Arial" w:hAnsi="Arial" w:cs="Arial"/>
          <w:iCs/>
          <w:sz w:val="24"/>
          <w:szCs w:val="24"/>
        </w:rPr>
        <w:t xml:space="preserve">he Bill makes </w:t>
      </w:r>
      <w:r>
        <w:rPr>
          <w:rFonts w:ascii="Arial" w:hAnsi="Arial" w:cs="Arial"/>
          <w:iCs/>
          <w:sz w:val="24"/>
          <w:szCs w:val="24"/>
        </w:rPr>
        <w:t xml:space="preserve">a </w:t>
      </w:r>
      <w:r w:rsidRPr="00A13321">
        <w:rPr>
          <w:rFonts w:ascii="Arial" w:hAnsi="Arial" w:cs="Arial"/>
          <w:iCs/>
          <w:sz w:val="24"/>
          <w:szCs w:val="24"/>
        </w:rPr>
        <w:t>minor technical change</w:t>
      </w:r>
      <w:r>
        <w:rPr>
          <w:rFonts w:ascii="Arial" w:hAnsi="Arial" w:cs="Arial"/>
          <w:iCs/>
          <w:sz w:val="24"/>
          <w:szCs w:val="24"/>
        </w:rPr>
        <w:t xml:space="preserve"> </w:t>
      </w:r>
      <w:r w:rsidRPr="00A13321">
        <w:rPr>
          <w:rFonts w:ascii="Arial" w:hAnsi="Arial" w:cs="Arial"/>
          <w:iCs/>
          <w:sz w:val="24"/>
          <w:szCs w:val="24"/>
        </w:rPr>
        <w:t xml:space="preserve">to </w:t>
      </w:r>
      <w:r>
        <w:rPr>
          <w:rFonts w:ascii="Arial" w:hAnsi="Arial" w:cs="Arial"/>
          <w:iCs/>
          <w:sz w:val="24"/>
          <w:szCs w:val="24"/>
        </w:rPr>
        <w:t xml:space="preserve">a legislative provision about what information may be disclosed to the Court. </w:t>
      </w:r>
    </w:p>
    <w:p w14:paraId="3FFF9E62" w14:textId="4DBF891A" w:rsidR="000137F5" w:rsidRDefault="000137F5" w:rsidP="000137F5">
      <w:pPr>
        <w:rPr>
          <w:rFonts w:ascii="Arial" w:hAnsi="Arial" w:cs="Arial"/>
          <w:iCs/>
          <w:sz w:val="24"/>
          <w:szCs w:val="24"/>
        </w:rPr>
      </w:pPr>
      <w:r>
        <w:rPr>
          <w:rFonts w:ascii="Arial" w:hAnsi="Arial" w:cs="Arial"/>
          <w:iCs/>
          <w:sz w:val="24"/>
          <w:szCs w:val="24"/>
        </w:rPr>
        <w:lastRenderedPageBreak/>
        <w:t xml:space="preserve">Section 442A of the </w:t>
      </w:r>
      <w:r>
        <w:rPr>
          <w:rFonts w:ascii="Arial" w:hAnsi="Arial" w:cs="Arial"/>
          <w:i/>
          <w:sz w:val="24"/>
          <w:szCs w:val="24"/>
        </w:rPr>
        <w:t>Crimes Act 1900</w:t>
      </w:r>
      <w:r>
        <w:rPr>
          <w:rFonts w:ascii="Arial" w:hAnsi="Arial" w:cs="Arial"/>
          <w:iCs/>
          <w:sz w:val="24"/>
          <w:szCs w:val="24"/>
        </w:rPr>
        <w:t xml:space="preserve"> </w:t>
      </w:r>
      <w:r w:rsidR="001F540C">
        <w:rPr>
          <w:rFonts w:ascii="Arial" w:hAnsi="Arial" w:cs="Arial"/>
          <w:iCs/>
          <w:sz w:val="24"/>
          <w:szCs w:val="24"/>
        </w:rPr>
        <w:t>prohibits specified types of information from being put before a Court during a proceeding. The types of information specified were various particulars about youth offences (convictions or findings about youth offences; actions carried out by police in relation to a youth offence; &amp;c.).</w:t>
      </w:r>
    </w:p>
    <w:p w14:paraId="129E0B69" w14:textId="24171B43" w:rsidR="001F540C" w:rsidRDefault="001F540C" w:rsidP="000137F5">
      <w:pPr>
        <w:rPr>
          <w:rFonts w:ascii="Arial" w:hAnsi="Arial" w:cs="Arial"/>
          <w:iCs/>
          <w:sz w:val="24"/>
          <w:szCs w:val="24"/>
        </w:rPr>
      </w:pPr>
      <w:r>
        <w:rPr>
          <w:rFonts w:ascii="Arial" w:hAnsi="Arial" w:cs="Arial"/>
          <w:iCs/>
          <w:sz w:val="24"/>
          <w:szCs w:val="24"/>
        </w:rPr>
        <w:t>‘Youth offence’ is currently defined as an offence ‘</w:t>
      </w:r>
      <w:r w:rsidRPr="001F540C">
        <w:rPr>
          <w:rFonts w:ascii="Arial" w:hAnsi="Arial" w:cs="Arial"/>
          <w:iCs/>
          <w:sz w:val="24"/>
          <w:szCs w:val="24"/>
        </w:rPr>
        <w:t>against a territory law committed or allegedly committed by the person when under 12 years old</w:t>
      </w:r>
      <w:r>
        <w:rPr>
          <w:rFonts w:ascii="Arial" w:hAnsi="Arial" w:cs="Arial"/>
          <w:iCs/>
          <w:sz w:val="24"/>
          <w:szCs w:val="24"/>
        </w:rPr>
        <w:t xml:space="preserve">’. The Bill expands this to exclude offences against laws of the Commonwealth, States, or another Territory.  </w:t>
      </w:r>
    </w:p>
    <w:p w14:paraId="47DA7525" w14:textId="35E90264" w:rsidR="00CF345D" w:rsidRPr="000137F5" w:rsidRDefault="00CF345D" w:rsidP="00D2714E">
      <w:pPr>
        <w:keepNext/>
        <w:spacing w:after="120"/>
        <w:rPr>
          <w:rFonts w:ascii="Arial" w:hAnsi="Arial" w:cs="Arial"/>
          <w:i/>
          <w:sz w:val="24"/>
          <w:szCs w:val="24"/>
        </w:rPr>
      </w:pPr>
      <w:r>
        <w:rPr>
          <w:rFonts w:ascii="Arial" w:hAnsi="Arial" w:cs="Arial"/>
          <w:i/>
          <w:sz w:val="24"/>
          <w:szCs w:val="24"/>
        </w:rPr>
        <w:t xml:space="preserve">Spent </w:t>
      </w:r>
      <w:r w:rsidR="000137F5">
        <w:rPr>
          <w:rFonts w:ascii="Arial" w:hAnsi="Arial" w:cs="Arial"/>
          <w:i/>
          <w:sz w:val="24"/>
          <w:szCs w:val="24"/>
        </w:rPr>
        <w:t>C</w:t>
      </w:r>
      <w:r>
        <w:rPr>
          <w:rFonts w:ascii="Arial" w:hAnsi="Arial" w:cs="Arial"/>
          <w:i/>
          <w:sz w:val="24"/>
          <w:szCs w:val="24"/>
        </w:rPr>
        <w:t>onvictions</w:t>
      </w:r>
      <w:r w:rsidR="000137F5">
        <w:rPr>
          <w:rFonts w:ascii="Arial" w:hAnsi="Arial" w:cs="Arial"/>
          <w:i/>
          <w:sz w:val="24"/>
          <w:szCs w:val="24"/>
        </w:rPr>
        <w:t xml:space="preserve"> Act 2000</w:t>
      </w:r>
      <w:r>
        <w:rPr>
          <w:rFonts w:ascii="Arial" w:hAnsi="Arial" w:cs="Arial"/>
          <w:i/>
          <w:sz w:val="24"/>
          <w:szCs w:val="24"/>
        </w:rPr>
        <w:t xml:space="preserve"> amendments</w:t>
      </w:r>
    </w:p>
    <w:p w14:paraId="35650559" w14:textId="168BFC2C" w:rsidR="000137F5" w:rsidRDefault="00FC40FD" w:rsidP="00E90DF9">
      <w:pPr>
        <w:rPr>
          <w:rFonts w:ascii="Arial" w:hAnsi="Arial" w:cs="Arial"/>
          <w:iCs/>
          <w:sz w:val="24"/>
          <w:szCs w:val="24"/>
        </w:rPr>
      </w:pPr>
      <w:r w:rsidRPr="00A13321">
        <w:rPr>
          <w:rFonts w:ascii="Arial" w:hAnsi="Arial" w:cs="Arial"/>
          <w:iCs/>
          <w:sz w:val="24"/>
          <w:szCs w:val="24"/>
        </w:rPr>
        <w:t>The Bill also makes minor technical changes</w:t>
      </w:r>
      <w:r w:rsidR="000137F5">
        <w:rPr>
          <w:rFonts w:ascii="Arial" w:hAnsi="Arial" w:cs="Arial"/>
          <w:iCs/>
          <w:sz w:val="24"/>
          <w:szCs w:val="24"/>
        </w:rPr>
        <w:t xml:space="preserve"> and corrections</w:t>
      </w:r>
      <w:r w:rsidRPr="00A13321">
        <w:rPr>
          <w:rFonts w:ascii="Arial" w:hAnsi="Arial" w:cs="Arial"/>
          <w:iCs/>
          <w:sz w:val="24"/>
          <w:szCs w:val="24"/>
        </w:rPr>
        <w:t xml:space="preserve"> to legislation arising from the change to the MACR.</w:t>
      </w:r>
    </w:p>
    <w:p w14:paraId="2D982D94" w14:textId="663EC085" w:rsidR="000137F5" w:rsidRDefault="000137F5" w:rsidP="00E90DF9">
      <w:pPr>
        <w:rPr>
          <w:rFonts w:ascii="Arial" w:hAnsi="Arial" w:cs="Arial"/>
          <w:iCs/>
          <w:sz w:val="24"/>
          <w:szCs w:val="24"/>
        </w:rPr>
      </w:pPr>
      <w:r>
        <w:rPr>
          <w:rFonts w:ascii="Arial" w:hAnsi="Arial" w:cs="Arial"/>
          <w:iCs/>
          <w:sz w:val="24"/>
          <w:szCs w:val="24"/>
        </w:rPr>
        <w:t>These changes:</w:t>
      </w:r>
    </w:p>
    <w:p w14:paraId="02E038B5" w14:textId="216B26ED" w:rsidR="001F540C" w:rsidRDefault="001F540C" w:rsidP="000137F5">
      <w:pPr>
        <w:pStyle w:val="ListParagraph"/>
        <w:numPr>
          <w:ilvl w:val="0"/>
          <w:numId w:val="18"/>
        </w:numPr>
        <w:spacing w:after="120" w:line="276" w:lineRule="auto"/>
        <w:ind w:left="714" w:right="-45" w:hanging="357"/>
        <w:rPr>
          <w:rFonts w:ascii="Arial" w:hAnsi="Arial" w:cs="Arial"/>
          <w:iCs/>
          <w:sz w:val="24"/>
          <w:szCs w:val="24"/>
        </w:rPr>
      </w:pPr>
      <w:r>
        <w:rPr>
          <w:rFonts w:ascii="Arial" w:hAnsi="Arial" w:cs="Arial"/>
          <w:iCs/>
          <w:sz w:val="24"/>
          <w:szCs w:val="24"/>
        </w:rPr>
        <w:t xml:space="preserve">Correct the definition of a ‘youth sexual offence conviction’ so that it does not include people dealt with as an adult when they were convicted; and </w:t>
      </w:r>
    </w:p>
    <w:p w14:paraId="39ACDBE0" w14:textId="49246F5D" w:rsidR="000137F5" w:rsidRDefault="000137F5" w:rsidP="000137F5">
      <w:pPr>
        <w:pStyle w:val="ListParagraph"/>
        <w:numPr>
          <w:ilvl w:val="0"/>
          <w:numId w:val="18"/>
        </w:numPr>
        <w:spacing w:after="120" w:line="276" w:lineRule="auto"/>
        <w:ind w:left="714" w:right="-45" w:hanging="357"/>
        <w:rPr>
          <w:rFonts w:ascii="Arial" w:hAnsi="Arial" w:cs="Arial"/>
          <w:iCs/>
          <w:sz w:val="24"/>
          <w:szCs w:val="24"/>
        </w:rPr>
      </w:pPr>
      <w:r>
        <w:rPr>
          <w:rFonts w:ascii="Arial" w:hAnsi="Arial" w:cs="Arial"/>
          <w:iCs/>
          <w:sz w:val="24"/>
          <w:szCs w:val="24"/>
        </w:rPr>
        <w:t xml:space="preserve">Ensure the correct information is available </w:t>
      </w:r>
      <w:r w:rsidR="00437547">
        <w:rPr>
          <w:rFonts w:ascii="Arial" w:hAnsi="Arial" w:cs="Arial"/>
          <w:iCs/>
          <w:sz w:val="24"/>
          <w:szCs w:val="24"/>
        </w:rPr>
        <w:t>when</w:t>
      </w:r>
      <w:r>
        <w:rPr>
          <w:rFonts w:ascii="Arial" w:hAnsi="Arial" w:cs="Arial"/>
          <w:iCs/>
          <w:sz w:val="24"/>
          <w:szCs w:val="24"/>
        </w:rPr>
        <w:t xml:space="preserve"> a Working with Vulnerable People assessment is undertaken</w:t>
      </w:r>
      <w:r w:rsidR="001F540C">
        <w:rPr>
          <w:rFonts w:ascii="Arial" w:hAnsi="Arial" w:cs="Arial"/>
          <w:iCs/>
          <w:sz w:val="24"/>
          <w:szCs w:val="24"/>
        </w:rPr>
        <w:t>.</w:t>
      </w:r>
    </w:p>
    <w:p w14:paraId="25E5EC3A" w14:textId="127F36C6" w:rsidR="00E90DF9" w:rsidRDefault="00E90DF9" w:rsidP="00E90DF9">
      <w:pPr>
        <w:rPr>
          <w:rFonts w:ascii="Arial" w:hAnsi="Arial" w:cs="Arial"/>
          <w:b/>
          <w:sz w:val="24"/>
          <w:szCs w:val="24"/>
        </w:rPr>
      </w:pPr>
      <w:r w:rsidRPr="00AC59DF">
        <w:rPr>
          <w:rFonts w:ascii="Arial" w:hAnsi="Arial" w:cs="Arial"/>
          <w:b/>
          <w:sz w:val="24"/>
          <w:szCs w:val="24"/>
        </w:rPr>
        <w:t>CONSULTATION ON THE PROPOSED APPROACH</w:t>
      </w:r>
    </w:p>
    <w:p w14:paraId="59C9093F" w14:textId="37978905" w:rsidR="00A1342A" w:rsidRPr="00A1342A" w:rsidRDefault="00A1342A" w:rsidP="00A1342A">
      <w:pPr>
        <w:rPr>
          <w:rFonts w:ascii="Arial" w:hAnsi="Arial" w:cs="Arial"/>
          <w:iCs/>
          <w:sz w:val="24"/>
          <w:szCs w:val="24"/>
        </w:rPr>
      </w:pPr>
      <w:r w:rsidRPr="00A1342A">
        <w:rPr>
          <w:rFonts w:ascii="Arial" w:hAnsi="Arial" w:cs="Arial"/>
          <w:iCs/>
          <w:sz w:val="24"/>
          <w:szCs w:val="24"/>
        </w:rPr>
        <w:t>In February 2021, the ACT Government commissioned an independent review, led by Professor Morag McArthur with Curijo Pty Ltd – an Aboriginal consulting company – and Dr Aino Suomi from the Australian National University, which reviewed the service system and outlined implementation requirements for raising the MACR in the ACT. The review found that raising the MACR would help address the risk factors of children that commit crimes and strongly advocated for a therapeutic response model to further address these risk factors. The report also made note that raising the MACR would help tackle the overrepresentation of Indigenous children in the criminal justice system.</w:t>
      </w:r>
    </w:p>
    <w:p w14:paraId="5FD2A009" w14:textId="28018D93" w:rsidR="006C7E67" w:rsidRDefault="00A1342A" w:rsidP="00A1342A">
      <w:pPr>
        <w:rPr>
          <w:rFonts w:ascii="Arial" w:hAnsi="Arial" w:cs="Arial"/>
          <w:iCs/>
          <w:sz w:val="24"/>
          <w:szCs w:val="24"/>
        </w:rPr>
      </w:pPr>
      <w:r w:rsidRPr="00A1342A">
        <w:rPr>
          <w:rFonts w:ascii="Arial" w:hAnsi="Arial" w:cs="Arial"/>
          <w:iCs/>
          <w:sz w:val="24"/>
          <w:szCs w:val="24"/>
        </w:rPr>
        <w:t>The ACT Government Discussion Paper outlined the government’s goal to raise the MACR to 14, as a way to respond to young offenders with an evidence-based approach rather than a punitive approach in appropriate cases (pg. 2). The paper prompt</w:t>
      </w:r>
      <w:r w:rsidR="006C7E67">
        <w:rPr>
          <w:rFonts w:ascii="Arial" w:hAnsi="Arial" w:cs="Arial"/>
          <w:iCs/>
          <w:sz w:val="24"/>
          <w:szCs w:val="24"/>
        </w:rPr>
        <w:t>ed</w:t>
      </w:r>
      <w:r w:rsidRPr="00A1342A">
        <w:rPr>
          <w:rFonts w:ascii="Arial" w:hAnsi="Arial" w:cs="Arial"/>
          <w:iCs/>
          <w:sz w:val="24"/>
          <w:szCs w:val="24"/>
        </w:rPr>
        <w:t xml:space="preserve"> community discussion around several points</w:t>
      </w:r>
      <w:r w:rsidR="006C7E67">
        <w:rPr>
          <w:rFonts w:ascii="Arial" w:hAnsi="Arial" w:cs="Arial"/>
          <w:iCs/>
          <w:sz w:val="24"/>
          <w:szCs w:val="24"/>
        </w:rPr>
        <w:t>:</w:t>
      </w:r>
    </w:p>
    <w:p w14:paraId="363F3D2B" w14:textId="77777777" w:rsidR="006C7E67" w:rsidRDefault="00A1342A" w:rsidP="006C7E67">
      <w:pPr>
        <w:pStyle w:val="ListParagraph"/>
        <w:numPr>
          <w:ilvl w:val="0"/>
          <w:numId w:val="17"/>
        </w:numPr>
        <w:rPr>
          <w:rFonts w:ascii="Arial" w:hAnsi="Arial" w:cs="Arial"/>
          <w:iCs/>
          <w:sz w:val="24"/>
          <w:szCs w:val="24"/>
        </w:rPr>
      </w:pPr>
      <w:r w:rsidRPr="006C7E67">
        <w:rPr>
          <w:rFonts w:ascii="Arial" w:hAnsi="Arial" w:cs="Arial"/>
          <w:iCs/>
          <w:sz w:val="24"/>
          <w:szCs w:val="24"/>
        </w:rPr>
        <w:t>what should the MACR be raised to, and should there be an exceptions model</w:t>
      </w:r>
    </w:p>
    <w:p w14:paraId="7E371B79" w14:textId="77777777" w:rsidR="006C7E67" w:rsidRDefault="00A1342A" w:rsidP="006C7E67">
      <w:pPr>
        <w:pStyle w:val="ListParagraph"/>
        <w:numPr>
          <w:ilvl w:val="0"/>
          <w:numId w:val="17"/>
        </w:numPr>
        <w:rPr>
          <w:rFonts w:ascii="Arial" w:hAnsi="Arial" w:cs="Arial"/>
          <w:iCs/>
          <w:sz w:val="24"/>
          <w:szCs w:val="24"/>
        </w:rPr>
      </w:pPr>
      <w:r w:rsidRPr="006C7E67">
        <w:rPr>
          <w:rFonts w:ascii="Arial" w:hAnsi="Arial" w:cs="Arial"/>
          <w:iCs/>
          <w:sz w:val="24"/>
          <w:szCs w:val="24"/>
        </w:rPr>
        <w:t>it sought community feedback on alternative models for dealing with young offenders</w:t>
      </w:r>
    </w:p>
    <w:p w14:paraId="6F6291E3" w14:textId="77777777" w:rsidR="006C7E67" w:rsidRDefault="00A1342A" w:rsidP="006C7E67">
      <w:pPr>
        <w:pStyle w:val="ListParagraph"/>
        <w:numPr>
          <w:ilvl w:val="0"/>
          <w:numId w:val="17"/>
        </w:numPr>
        <w:rPr>
          <w:rFonts w:ascii="Arial" w:hAnsi="Arial" w:cs="Arial"/>
          <w:iCs/>
          <w:sz w:val="24"/>
          <w:szCs w:val="24"/>
        </w:rPr>
      </w:pPr>
      <w:r w:rsidRPr="006C7E67">
        <w:rPr>
          <w:rFonts w:ascii="Arial" w:hAnsi="Arial" w:cs="Arial"/>
          <w:iCs/>
          <w:sz w:val="24"/>
          <w:szCs w:val="24"/>
        </w:rPr>
        <w:t xml:space="preserve">the paper considered the rights of victims, and </w:t>
      </w:r>
    </w:p>
    <w:p w14:paraId="2A0B6331" w14:textId="7BFE34E7" w:rsidR="006C7E67" w:rsidRPr="00014814" w:rsidRDefault="006C7E67" w:rsidP="00014814">
      <w:pPr>
        <w:pStyle w:val="ListParagraph"/>
        <w:numPr>
          <w:ilvl w:val="0"/>
          <w:numId w:val="17"/>
        </w:numPr>
        <w:rPr>
          <w:rFonts w:ascii="Arial" w:hAnsi="Arial" w:cs="Arial"/>
          <w:iCs/>
          <w:sz w:val="24"/>
          <w:szCs w:val="24"/>
        </w:rPr>
      </w:pPr>
      <w:r>
        <w:rPr>
          <w:rFonts w:ascii="Arial" w:hAnsi="Arial" w:cs="Arial"/>
          <w:iCs/>
          <w:sz w:val="24"/>
          <w:szCs w:val="24"/>
        </w:rPr>
        <w:t>i</w:t>
      </w:r>
      <w:r w:rsidR="00A1342A" w:rsidRPr="006C7E67">
        <w:rPr>
          <w:rFonts w:ascii="Arial" w:hAnsi="Arial" w:cs="Arial"/>
          <w:iCs/>
          <w:sz w:val="24"/>
          <w:szCs w:val="24"/>
        </w:rPr>
        <w:t xml:space="preserve">t discussed what police powers would be like under new legislation and the transitional arrangement that would be needed. </w:t>
      </w:r>
      <w:r w:rsidR="001D69D4">
        <w:rPr>
          <w:rFonts w:ascii="Arial" w:hAnsi="Arial" w:cs="Arial"/>
          <w:iCs/>
          <w:sz w:val="24"/>
          <w:szCs w:val="24"/>
        </w:rPr>
        <w:br/>
      </w:r>
    </w:p>
    <w:p w14:paraId="1074A6BB" w14:textId="2ECDD905" w:rsidR="00A1342A" w:rsidRPr="006C7E67" w:rsidRDefault="00A1342A" w:rsidP="006C7E67">
      <w:pPr>
        <w:rPr>
          <w:rFonts w:ascii="Arial" w:hAnsi="Arial" w:cs="Arial"/>
          <w:iCs/>
          <w:sz w:val="24"/>
          <w:szCs w:val="24"/>
        </w:rPr>
      </w:pPr>
      <w:r w:rsidRPr="006C7E67">
        <w:rPr>
          <w:rFonts w:ascii="Arial" w:hAnsi="Arial" w:cs="Arial"/>
          <w:iCs/>
          <w:sz w:val="24"/>
          <w:szCs w:val="24"/>
        </w:rPr>
        <w:t>The paper recognised the need for a comprehensive approach so that no child is left unsupported under new legislation (pg. 3).</w:t>
      </w:r>
    </w:p>
    <w:p w14:paraId="662D1C89" w14:textId="08D9B24D" w:rsidR="00A1342A" w:rsidRPr="00A1342A" w:rsidRDefault="00A1342A" w:rsidP="00A1342A">
      <w:pPr>
        <w:rPr>
          <w:rFonts w:ascii="Arial" w:hAnsi="Arial" w:cs="Arial"/>
          <w:iCs/>
          <w:sz w:val="24"/>
          <w:szCs w:val="24"/>
        </w:rPr>
      </w:pPr>
      <w:r w:rsidRPr="00A1342A">
        <w:rPr>
          <w:rFonts w:ascii="Arial" w:hAnsi="Arial" w:cs="Arial"/>
          <w:iCs/>
          <w:sz w:val="24"/>
          <w:szCs w:val="24"/>
        </w:rPr>
        <w:lastRenderedPageBreak/>
        <w:t xml:space="preserve">The Listening Report summarised the responses from the submissions. </w:t>
      </w:r>
      <w:r w:rsidR="006C7E67">
        <w:rPr>
          <w:rFonts w:ascii="Arial" w:hAnsi="Arial" w:cs="Arial"/>
          <w:iCs/>
          <w:sz w:val="24"/>
          <w:szCs w:val="24"/>
        </w:rPr>
        <w:t xml:space="preserve">While </w:t>
      </w:r>
      <w:r w:rsidRPr="00A1342A">
        <w:rPr>
          <w:rFonts w:ascii="Arial" w:hAnsi="Arial" w:cs="Arial"/>
          <w:iCs/>
          <w:sz w:val="24"/>
          <w:szCs w:val="24"/>
        </w:rPr>
        <w:t>broadly supportive of raising the age</w:t>
      </w:r>
      <w:r w:rsidR="006C7E67">
        <w:rPr>
          <w:rFonts w:ascii="Arial" w:hAnsi="Arial" w:cs="Arial"/>
          <w:iCs/>
          <w:sz w:val="24"/>
          <w:szCs w:val="24"/>
        </w:rPr>
        <w:t>, submissions</w:t>
      </w:r>
      <w:r w:rsidRPr="00A1342A">
        <w:rPr>
          <w:rFonts w:ascii="Arial" w:hAnsi="Arial" w:cs="Arial"/>
          <w:iCs/>
          <w:sz w:val="24"/>
          <w:szCs w:val="24"/>
        </w:rPr>
        <w:t xml:space="preserve"> </w:t>
      </w:r>
      <w:r w:rsidR="006C7E67">
        <w:rPr>
          <w:rFonts w:ascii="Arial" w:hAnsi="Arial" w:cs="Arial"/>
          <w:iCs/>
          <w:sz w:val="24"/>
          <w:szCs w:val="24"/>
        </w:rPr>
        <w:t xml:space="preserve">identified </w:t>
      </w:r>
      <w:r w:rsidRPr="00A1342A">
        <w:rPr>
          <w:rFonts w:ascii="Arial" w:hAnsi="Arial" w:cs="Arial"/>
          <w:iCs/>
          <w:sz w:val="24"/>
          <w:szCs w:val="24"/>
        </w:rPr>
        <w:t>the need for more support for young people when diverting them from the criminal justice system. The new legislation address</w:t>
      </w:r>
      <w:r w:rsidR="006C7E67">
        <w:rPr>
          <w:rFonts w:ascii="Arial" w:hAnsi="Arial" w:cs="Arial"/>
          <w:iCs/>
          <w:sz w:val="24"/>
          <w:szCs w:val="24"/>
        </w:rPr>
        <w:t>ed</w:t>
      </w:r>
      <w:r w:rsidRPr="00A1342A">
        <w:rPr>
          <w:rFonts w:ascii="Arial" w:hAnsi="Arial" w:cs="Arial"/>
          <w:iCs/>
          <w:sz w:val="24"/>
          <w:szCs w:val="24"/>
        </w:rPr>
        <w:t xml:space="preserve"> these concerns through the introduction of the new therapeutic model as an alternative to a criminal justice response in appropriate cases.</w:t>
      </w:r>
    </w:p>
    <w:p w14:paraId="6BACB458" w14:textId="77777777" w:rsidR="00A1342A" w:rsidRPr="00A1342A" w:rsidRDefault="00A1342A" w:rsidP="00A1342A">
      <w:pPr>
        <w:rPr>
          <w:rFonts w:ascii="Arial" w:hAnsi="Arial" w:cs="Arial"/>
          <w:iCs/>
          <w:sz w:val="24"/>
          <w:szCs w:val="24"/>
        </w:rPr>
      </w:pPr>
      <w:bookmarkStart w:id="0" w:name="_Hlk122521401"/>
      <w:r w:rsidRPr="00A1342A">
        <w:rPr>
          <w:rFonts w:ascii="Arial" w:hAnsi="Arial" w:cs="Arial"/>
          <w:iCs/>
          <w:sz w:val="24"/>
          <w:szCs w:val="24"/>
        </w:rPr>
        <w:t>Targeted </w:t>
      </w:r>
      <w:bookmarkStart w:id="1" w:name="_Hlk122521949"/>
      <w:bookmarkEnd w:id="0"/>
      <w:r w:rsidRPr="00A1342A">
        <w:rPr>
          <w:rFonts w:ascii="Arial" w:hAnsi="Arial" w:cs="Arial"/>
          <w:iCs/>
          <w:sz w:val="24"/>
          <w:szCs w:val="24"/>
        </w:rPr>
        <w:t>consultation in October and November 2022 guided the design of an immediate service response to better support ACT Policing frontline officers to respond to children and young people in need</w:t>
      </w:r>
      <w:bookmarkEnd w:id="1"/>
      <w:r w:rsidRPr="00A1342A">
        <w:rPr>
          <w:rFonts w:ascii="Arial" w:hAnsi="Arial" w:cs="Arial"/>
          <w:iCs/>
          <w:sz w:val="24"/>
          <w:szCs w:val="24"/>
        </w:rPr>
        <w:t>. An intensive 6-week sprint with key government and community partners explored the elements necessary for an immediate service response. This included consideration of access to on-call youth workers, access to safe spaces, youth worker follow-up, and emergency accommodation for at-risk children and young people.</w:t>
      </w:r>
    </w:p>
    <w:p w14:paraId="5B8F887B" w14:textId="77777777" w:rsidR="00A1342A" w:rsidRPr="00A1342A" w:rsidRDefault="00A1342A" w:rsidP="00A1342A">
      <w:pPr>
        <w:rPr>
          <w:rFonts w:ascii="Arial" w:hAnsi="Arial" w:cs="Arial"/>
          <w:iCs/>
          <w:sz w:val="24"/>
          <w:szCs w:val="24"/>
        </w:rPr>
      </w:pPr>
      <w:r w:rsidRPr="00A1342A">
        <w:rPr>
          <w:rFonts w:ascii="Arial" w:hAnsi="Arial" w:cs="Arial"/>
          <w:iCs/>
          <w:sz w:val="24"/>
          <w:szCs w:val="24"/>
        </w:rPr>
        <w:t>This process culminated in the release of a Position Paper in November 2022 by the ACT Government which outlined key policy decisions taken by the Government to date. The Justice and Community Safety Directorate (JACS) and Community Services Directorate (CSD) have had ongoing consultation with a broad range of stakeholders throughout the development of these reforms. The Minimum Age of Criminal Responsibility Reference Group was established, which included government and community representatives and academics, to provide strategic oversight of the implementation planning of a higher MACR in the ACT and met throughout 2021 and 2022. Stakeholders who have been engaged include:</w:t>
      </w:r>
    </w:p>
    <w:tbl>
      <w:tblPr>
        <w:tblW w:w="9360" w:type="dxa"/>
        <w:tblLook w:val="04A0" w:firstRow="1" w:lastRow="0" w:firstColumn="1" w:lastColumn="0" w:noHBand="0" w:noVBand="1"/>
      </w:tblPr>
      <w:tblGrid>
        <w:gridCol w:w="4395"/>
        <w:gridCol w:w="4965"/>
      </w:tblGrid>
      <w:tr w:rsidR="00A1342A" w:rsidRPr="00A1342A" w14:paraId="357CFA74" w14:textId="77777777" w:rsidTr="00A1342A">
        <w:trPr>
          <w:trHeight w:val="300"/>
        </w:trPr>
        <w:tc>
          <w:tcPr>
            <w:tcW w:w="4395" w:type="dxa"/>
            <w:tcBorders>
              <w:top w:val="nil"/>
              <w:left w:val="nil"/>
              <w:bottom w:val="nil"/>
              <w:right w:val="nil"/>
            </w:tcBorders>
            <w:shd w:val="clear" w:color="auto" w:fill="auto"/>
            <w:noWrap/>
            <w:hideMark/>
          </w:tcPr>
          <w:p w14:paraId="0B60ABB2" w14:textId="77777777" w:rsidR="00A1342A" w:rsidRPr="00A1342A" w:rsidRDefault="00A1342A" w:rsidP="00A1342A">
            <w:pPr>
              <w:pStyle w:val="ListParagraph"/>
              <w:numPr>
                <w:ilvl w:val="0"/>
                <w:numId w:val="2"/>
              </w:numPr>
              <w:spacing w:after="60"/>
              <w:rPr>
                <w:rFonts w:ascii="Arial" w:hAnsi="Arial" w:cs="Arial"/>
                <w:color w:val="000000"/>
                <w:sz w:val="24"/>
                <w:szCs w:val="24"/>
              </w:rPr>
            </w:pPr>
            <w:r w:rsidRPr="00A1342A">
              <w:rPr>
                <w:rFonts w:ascii="Arial" w:hAnsi="Arial" w:cs="Arial"/>
                <w:iCs/>
                <w:color w:val="000000"/>
                <w:sz w:val="24"/>
                <w:szCs w:val="24"/>
              </w:rPr>
              <w:t>Aboriginal and Torres Strait Islander Elected Body;</w:t>
            </w:r>
          </w:p>
        </w:tc>
        <w:tc>
          <w:tcPr>
            <w:tcW w:w="4965" w:type="dxa"/>
            <w:tcBorders>
              <w:top w:val="nil"/>
              <w:left w:val="nil"/>
              <w:bottom w:val="nil"/>
              <w:right w:val="nil"/>
            </w:tcBorders>
            <w:shd w:val="clear" w:color="auto" w:fill="auto"/>
            <w:noWrap/>
            <w:hideMark/>
          </w:tcPr>
          <w:p w14:paraId="16A79146" w14:textId="77777777" w:rsidR="00A1342A" w:rsidRPr="00A1342A" w:rsidRDefault="00A1342A" w:rsidP="00A1342A">
            <w:pPr>
              <w:pStyle w:val="ListParagraph"/>
              <w:numPr>
                <w:ilvl w:val="0"/>
                <w:numId w:val="2"/>
              </w:numPr>
              <w:spacing w:after="60"/>
              <w:rPr>
                <w:rFonts w:ascii="Arial" w:hAnsi="Arial" w:cs="Arial"/>
                <w:color w:val="000000"/>
                <w:sz w:val="24"/>
                <w:szCs w:val="24"/>
              </w:rPr>
            </w:pPr>
            <w:r w:rsidRPr="00A1342A">
              <w:rPr>
                <w:rFonts w:ascii="Arial" w:hAnsi="Arial" w:cs="Arial"/>
                <w:iCs/>
                <w:color w:val="000000"/>
                <w:sz w:val="24"/>
                <w:szCs w:val="24"/>
              </w:rPr>
              <w:t>Change the Record;</w:t>
            </w:r>
          </w:p>
        </w:tc>
      </w:tr>
      <w:tr w:rsidR="00A1342A" w:rsidRPr="00A1342A" w14:paraId="1DC62E63" w14:textId="77777777" w:rsidTr="00A1342A">
        <w:trPr>
          <w:trHeight w:val="300"/>
        </w:trPr>
        <w:tc>
          <w:tcPr>
            <w:tcW w:w="4395" w:type="dxa"/>
            <w:tcBorders>
              <w:top w:val="nil"/>
              <w:left w:val="nil"/>
              <w:bottom w:val="nil"/>
              <w:right w:val="nil"/>
            </w:tcBorders>
            <w:shd w:val="clear" w:color="auto" w:fill="auto"/>
            <w:noWrap/>
            <w:hideMark/>
          </w:tcPr>
          <w:p w14:paraId="16A10DAF" w14:textId="77777777" w:rsidR="00A1342A" w:rsidRPr="00A1342A" w:rsidRDefault="00A1342A" w:rsidP="00A1342A">
            <w:pPr>
              <w:pStyle w:val="ListParagraph"/>
              <w:numPr>
                <w:ilvl w:val="0"/>
                <w:numId w:val="2"/>
              </w:numPr>
              <w:spacing w:after="60"/>
              <w:rPr>
                <w:rFonts w:ascii="Arial" w:hAnsi="Arial" w:cs="Arial"/>
                <w:color w:val="000000"/>
                <w:sz w:val="24"/>
                <w:szCs w:val="24"/>
              </w:rPr>
            </w:pPr>
            <w:r w:rsidRPr="00A1342A">
              <w:rPr>
                <w:rFonts w:ascii="Arial" w:hAnsi="Arial" w:cs="Arial"/>
                <w:iCs/>
                <w:color w:val="000000"/>
                <w:sz w:val="24"/>
                <w:szCs w:val="24"/>
              </w:rPr>
              <w:t>Aboriginal Legal Service (NSW/ACT);</w:t>
            </w:r>
          </w:p>
        </w:tc>
        <w:tc>
          <w:tcPr>
            <w:tcW w:w="4965" w:type="dxa"/>
            <w:tcBorders>
              <w:top w:val="nil"/>
              <w:left w:val="nil"/>
              <w:bottom w:val="nil"/>
              <w:right w:val="nil"/>
            </w:tcBorders>
            <w:shd w:val="clear" w:color="auto" w:fill="auto"/>
            <w:noWrap/>
            <w:hideMark/>
          </w:tcPr>
          <w:p w14:paraId="3B96A860" w14:textId="77777777" w:rsidR="00A1342A" w:rsidRPr="00A1342A" w:rsidRDefault="00A1342A" w:rsidP="00A1342A">
            <w:pPr>
              <w:pStyle w:val="ListParagraph"/>
              <w:numPr>
                <w:ilvl w:val="0"/>
                <w:numId w:val="2"/>
              </w:numPr>
              <w:spacing w:after="60"/>
              <w:rPr>
                <w:rFonts w:ascii="Arial" w:hAnsi="Arial" w:cs="Arial"/>
                <w:color w:val="000000"/>
                <w:sz w:val="24"/>
                <w:szCs w:val="24"/>
              </w:rPr>
            </w:pPr>
            <w:r w:rsidRPr="00A1342A">
              <w:rPr>
                <w:rFonts w:ascii="Arial" w:hAnsi="Arial" w:cs="Arial"/>
                <w:iCs/>
                <w:color w:val="000000"/>
                <w:sz w:val="24"/>
                <w:szCs w:val="24"/>
              </w:rPr>
              <w:t>Chief Minister, Treasury, and Economic Development Directorate;</w:t>
            </w:r>
          </w:p>
        </w:tc>
      </w:tr>
      <w:tr w:rsidR="00A1342A" w:rsidRPr="00A1342A" w14:paraId="30BB2EC0" w14:textId="77777777" w:rsidTr="00A1342A">
        <w:trPr>
          <w:trHeight w:val="300"/>
        </w:trPr>
        <w:tc>
          <w:tcPr>
            <w:tcW w:w="4395" w:type="dxa"/>
            <w:tcBorders>
              <w:top w:val="nil"/>
              <w:left w:val="nil"/>
              <w:bottom w:val="nil"/>
              <w:right w:val="nil"/>
            </w:tcBorders>
            <w:shd w:val="clear" w:color="auto" w:fill="auto"/>
            <w:noWrap/>
            <w:hideMark/>
          </w:tcPr>
          <w:p w14:paraId="56EE58B1" w14:textId="77777777" w:rsidR="00A1342A" w:rsidRPr="00A1342A" w:rsidRDefault="00A1342A" w:rsidP="00A1342A">
            <w:pPr>
              <w:pStyle w:val="ListParagraph"/>
              <w:numPr>
                <w:ilvl w:val="0"/>
                <w:numId w:val="2"/>
              </w:numPr>
              <w:spacing w:after="60"/>
              <w:rPr>
                <w:rFonts w:ascii="Arial" w:hAnsi="Arial" w:cs="Arial"/>
                <w:color w:val="000000"/>
                <w:sz w:val="24"/>
                <w:szCs w:val="24"/>
              </w:rPr>
            </w:pPr>
            <w:r w:rsidRPr="00A1342A">
              <w:rPr>
                <w:rFonts w:ascii="Arial" w:hAnsi="Arial" w:cs="Arial"/>
                <w:iCs/>
                <w:color w:val="000000"/>
                <w:sz w:val="24"/>
                <w:szCs w:val="24"/>
              </w:rPr>
              <w:t>ACT Bar Association;</w:t>
            </w:r>
          </w:p>
        </w:tc>
        <w:tc>
          <w:tcPr>
            <w:tcW w:w="4965" w:type="dxa"/>
            <w:tcBorders>
              <w:top w:val="nil"/>
              <w:left w:val="nil"/>
              <w:bottom w:val="nil"/>
              <w:right w:val="nil"/>
            </w:tcBorders>
            <w:shd w:val="clear" w:color="auto" w:fill="auto"/>
            <w:noWrap/>
            <w:hideMark/>
          </w:tcPr>
          <w:p w14:paraId="10CD5825" w14:textId="77777777" w:rsidR="00A1342A" w:rsidRPr="00A1342A" w:rsidRDefault="00A1342A" w:rsidP="00A1342A">
            <w:pPr>
              <w:pStyle w:val="ListParagraph"/>
              <w:numPr>
                <w:ilvl w:val="0"/>
                <w:numId w:val="2"/>
              </w:numPr>
              <w:spacing w:after="60"/>
              <w:rPr>
                <w:rFonts w:ascii="Arial" w:hAnsi="Arial" w:cs="Arial"/>
                <w:color w:val="000000"/>
                <w:sz w:val="24"/>
                <w:szCs w:val="24"/>
              </w:rPr>
            </w:pPr>
            <w:r w:rsidRPr="00A1342A">
              <w:rPr>
                <w:rFonts w:ascii="Arial" w:hAnsi="Arial" w:cs="Arial"/>
                <w:iCs/>
                <w:color w:val="000000"/>
                <w:sz w:val="24"/>
                <w:szCs w:val="24"/>
              </w:rPr>
              <w:t>Community Services Directorate;</w:t>
            </w:r>
          </w:p>
        </w:tc>
      </w:tr>
      <w:tr w:rsidR="00A1342A" w:rsidRPr="00A1342A" w14:paraId="6CEFC016" w14:textId="77777777" w:rsidTr="00A1342A">
        <w:trPr>
          <w:trHeight w:val="300"/>
        </w:trPr>
        <w:tc>
          <w:tcPr>
            <w:tcW w:w="4395" w:type="dxa"/>
            <w:tcBorders>
              <w:top w:val="nil"/>
              <w:left w:val="nil"/>
              <w:bottom w:val="nil"/>
              <w:right w:val="nil"/>
            </w:tcBorders>
            <w:shd w:val="clear" w:color="auto" w:fill="auto"/>
            <w:noWrap/>
            <w:hideMark/>
          </w:tcPr>
          <w:p w14:paraId="17FD5524" w14:textId="77777777" w:rsidR="00A1342A" w:rsidRPr="00A1342A" w:rsidRDefault="00A1342A" w:rsidP="00A1342A">
            <w:pPr>
              <w:pStyle w:val="ListParagraph"/>
              <w:numPr>
                <w:ilvl w:val="0"/>
                <w:numId w:val="2"/>
              </w:numPr>
              <w:spacing w:after="60"/>
              <w:rPr>
                <w:rFonts w:ascii="Arial" w:hAnsi="Arial" w:cs="Arial"/>
                <w:color w:val="000000"/>
                <w:sz w:val="24"/>
                <w:szCs w:val="24"/>
              </w:rPr>
            </w:pPr>
            <w:r w:rsidRPr="00A1342A">
              <w:rPr>
                <w:rFonts w:ascii="Arial" w:hAnsi="Arial" w:cs="Arial"/>
                <w:iCs/>
                <w:color w:val="000000"/>
                <w:sz w:val="24"/>
                <w:szCs w:val="24"/>
              </w:rPr>
              <w:t>ACT Corrective Services;</w:t>
            </w:r>
          </w:p>
        </w:tc>
        <w:tc>
          <w:tcPr>
            <w:tcW w:w="4965" w:type="dxa"/>
            <w:tcBorders>
              <w:top w:val="nil"/>
              <w:left w:val="nil"/>
              <w:bottom w:val="nil"/>
              <w:right w:val="nil"/>
            </w:tcBorders>
            <w:shd w:val="clear" w:color="auto" w:fill="auto"/>
            <w:noWrap/>
            <w:hideMark/>
          </w:tcPr>
          <w:p w14:paraId="6CB8144D" w14:textId="77777777" w:rsidR="00A1342A" w:rsidRPr="00A1342A" w:rsidRDefault="00A1342A" w:rsidP="00A1342A">
            <w:pPr>
              <w:pStyle w:val="ListParagraph"/>
              <w:numPr>
                <w:ilvl w:val="0"/>
                <w:numId w:val="2"/>
              </w:numPr>
              <w:spacing w:after="60"/>
              <w:rPr>
                <w:rFonts w:ascii="Arial" w:hAnsi="Arial" w:cs="Arial"/>
                <w:color w:val="000000"/>
                <w:sz w:val="24"/>
                <w:szCs w:val="24"/>
              </w:rPr>
            </w:pPr>
            <w:r w:rsidRPr="00A1342A">
              <w:rPr>
                <w:rFonts w:ascii="Arial" w:hAnsi="Arial" w:cs="Arial"/>
                <w:iCs/>
                <w:color w:val="000000"/>
                <w:sz w:val="24"/>
                <w:szCs w:val="24"/>
              </w:rPr>
              <w:t>Discrimination, Health Services, and Disability and Community Services Commissioner;</w:t>
            </w:r>
          </w:p>
        </w:tc>
      </w:tr>
      <w:tr w:rsidR="00A1342A" w:rsidRPr="00A1342A" w14:paraId="5D44CE1E" w14:textId="77777777" w:rsidTr="00A1342A">
        <w:trPr>
          <w:trHeight w:val="300"/>
        </w:trPr>
        <w:tc>
          <w:tcPr>
            <w:tcW w:w="4395" w:type="dxa"/>
            <w:tcBorders>
              <w:top w:val="nil"/>
              <w:left w:val="nil"/>
              <w:bottom w:val="nil"/>
              <w:right w:val="nil"/>
            </w:tcBorders>
            <w:shd w:val="clear" w:color="auto" w:fill="auto"/>
            <w:noWrap/>
            <w:hideMark/>
          </w:tcPr>
          <w:p w14:paraId="44A8FE68" w14:textId="77777777" w:rsidR="00A1342A" w:rsidRPr="00A1342A" w:rsidRDefault="00A1342A" w:rsidP="00A1342A">
            <w:pPr>
              <w:pStyle w:val="ListParagraph"/>
              <w:numPr>
                <w:ilvl w:val="0"/>
                <w:numId w:val="2"/>
              </w:numPr>
              <w:spacing w:after="60"/>
              <w:rPr>
                <w:rFonts w:ascii="Arial" w:hAnsi="Arial" w:cs="Arial"/>
                <w:color w:val="000000"/>
                <w:sz w:val="24"/>
                <w:szCs w:val="24"/>
              </w:rPr>
            </w:pPr>
            <w:r w:rsidRPr="00A1342A">
              <w:rPr>
                <w:rFonts w:ascii="Arial" w:hAnsi="Arial" w:cs="Arial"/>
                <w:iCs/>
                <w:color w:val="000000"/>
                <w:sz w:val="24"/>
                <w:szCs w:val="24"/>
              </w:rPr>
              <w:t>ACT Courts and Tribunal;</w:t>
            </w:r>
          </w:p>
        </w:tc>
        <w:tc>
          <w:tcPr>
            <w:tcW w:w="4965" w:type="dxa"/>
            <w:tcBorders>
              <w:top w:val="nil"/>
              <w:left w:val="nil"/>
              <w:bottom w:val="nil"/>
              <w:right w:val="nil"/>
            </w:tcBorders>
            <w:shd w:val="clear" w:color="auto" w:fill="auto"/>
            <w:noWrap/>
            <w:hideMark/>
          </w:tcPr>
          <w:p w14:paraId="2234C3B5" w14:textId="77777777" w:rsidR="00A1342A" w:rsidRPr="00A1342A" w:rsidRDefault="00A1342A" w:rsidP="00A1342A">
            <w:pPr>
              <w:pStyle w:val="ListParagraph"/>
              <w:numPr>
                <w:ilvl w:val="0"/>
                <w:numId w:val="2"/>
              </w:numPr>
              <w:spacing w:after="60"/>
              <w:rPr>
                <w:rFonts w:ascii="Arial" w:hAnsi="Arial" w:cs="Arial"/>
                <w:color w:val="000000"/>
                <w:sz w:val="24"/>
                <w:szCs w:val="24"/>
              </w:rPr>
            </w:pPr>
            <w:r w:rsidRPr="00A1342A">
              <w:rPr>
                <w:rFonts w:ascii="Arial" w:hAnsi="Arial" w:cs="Arial"/>
                <w:iCs/>
                <w:color w:val="000000"/>
                <w:sz w:val="24"/>
                <w:szCs w:val="24"/>
              </w:rPr>
              <w:t>Education Directorate;</w:t>
            </w:r>
          </w:p>
        </w:tc>
      </w:tr>
      <w:tr w:rsidR="00A1342A" w:rsidRPr="00A1342A" w14:paraId="0BEDB7E2" w14:textId="77777777" w:rsidTr="00A1342A">
        <w:trPr>
          <w:trHeight w:val="300"/>
        </w:trPr>
        <w:tc>
          <w:tcPr>
            <w:tcW w:w="4395" w:type="dxa"/>
            <w:tcBorders>
              <w:top w:val="nil"/>
              <w:left w:val="nil"/>
              <w:bottom w:val="nil"/>
              <w:right w:val="nil"/>
            </w:tcBorders>
            <w:shd w:val="clear" w:color="auto" w:fill="auto"/>
            <w:noWrap/>
            <w:hideMark/>
          </w:tcPr>
          <w:p w14:paraId="33A44D29" w14:textId="77777777" w:rsidR="00A1342A" w:rsidRPr="00A1342A" w:rsidRDefault="00A1342A" w:rsidP="00A1342A">
            <w:pPr>
              <w:pStyle w:val="ListParagraph"/>
              <w:numPr>
                <w:ilvl w:val="0"/>
                <w:numId w:val="2"/>
              </w:numPr>
              <w:spacing w:after="60"/>
              <w:rPr>
                <w:rFonts w:ascii="Arial" w:hAnsi="Arial" w:cs="Arial"/>
                <w:color w:val="000000"/>
                <w:sz w:val="24"/>
                <w:szCs w:val="24"/>
              </w:rPr>
            </w:pPr>
            <w:r w:rsidRPr="00A1342A">
              <w:rPr>
                <w:rFonts w:ascii="Arial" w:hAnsi="Arial" w:cs="Arial"/>
                <w:iCs/>
                <w:color w:val="000000"/>
                <w:sz w:val="24"/>
                <w:szCs w:val="24"/>
              </w:rPr>
              <w:t>ACT Director of Public Prosecutions;</w:t>
            </w:r>
          </w:p>
        </w:tc>
        <w:tc>
          <w:tcPr>
            <w:tcW w:w="4965" w:type="dxa"/>
            <w:tcBorders>
              <w:top w:val="nil"/>
              <w:left w:val="nil"/>
              <w:bottom w:val="nil"/>
              <w:right w:val="nil"/>
            </w:tcBorders>
            <w:shd w:val="clear" w:color="auto" w:fill="auto"/>
            <w:noWrap/>
            <w:hideMark/>
          </w:tcPr>
          <w:p w14:paraId="4130E5D3" w14:textId="77777777" w:rsidR="00A1342A" w:rsidRPr="00A1342A" w:rsidRDefault="00A1342A" w:rsidP="00A1342A">
            <w:pPr>
              <w:pStyle w:val="ListParagraph"/>
              <w:numPr>
                <w:ilvl w:val="0"/>
                <w:numId w:val="2"/>
              </w:numPr>
              <w:spacing w:after="60"/>
              <w:rPr>
                <w:rFonts w:ascii="Arial" w:hAnsi="Arial" w:cs="Arial"/>
                <w:color w:val="000000"/>
                <w:sz w:val="24"/>
                <w:szCs w:val="24"/>
              </w:rPr>
            </w:pPr>
            <w:r w:rsidRPr="00A1342A">
              <w:rPr>
                <w:rFonts w:ascii="Arial" w:hAnsi="Arial" w:cs="Arial"/>
                <w:iCs/>
                <w:color w:val="000000"/>
                <w:sz w:val="24"/>
                <w:szCs w:val="24"/>
              </w:rPr>
              <w:t>Gugan Gulwan Youth Aboriginal Corporation</w:t>
            </w:r>
          </w:p>
        </w:tc>
      </w:tr>
      <w:tr w:rsidR="00A1342A" w:rsidRPr="00A1342A" w14:paraId="525221FE" w14:textId="77777777" w:rsidTr="00A1342A">
        <w:trPr>
          <w:trHeight w:val="300"/>
        </w:trPr>
        <w:tc>
          <w:tcPr>
            <w:tcW w:w="4395" w:type="dxa"/>
            <w:tcBorders>
              <w:top w:val="nil"/>
              <w:left w:val="nil"/>
              <w:bottom w:val="nil"/>
              <w:right w:val="nil"/>
            </w:tcBorders>
            <w:shd w:val="clear" w:color="auto" w:fill="auto"/>
            <w:noWrap/>
            <w:hideMark/>
          </w:tcPr>
          <w:p w14:paraId="39B3FF9E" w14:textId="77777777" w:rsidR="00A1342A" w:rsidRPr="00A1342A" w:rsidRDefault="00A1342A" w:rsidP="00A1342A">
            <w:pPr>
              <w:pStyle w:val="ListParagraph"/>
              <w:numPr>
                <w:ilvl w:val="0"/>
                <w:numId w:val="2"/>
              </w:numPr>
              <w:spacing w:after="60"/>
              <w:rPr>
                <w:rFonts w:ascii="Arial" w:hAnsi="Arial" w:cs="Arial"/>
                <w:color w:val="000000"/>
                <w:sz w:val="24"/>
                <w:szCs w:val="24"/>
              </w:rPr>
            </w:pPr>
            <w:r w:rsidRPr="00A1342A">
              <w:rPr>
                <w:rFonts w:ascii="Arial" w:hAnsi="Arial" w:cs="Arial"/>
                <w:iCs/>
                <w:color w:val="000000"/>
                <w:sz w:val="24"/>
                <w:szCs w:val="24"/>
              </w:rPr>
              <w:t>ACT Health Directorate;</w:t>
            </w:r>
          </w:p>
        </w:tc>
        <w:tc>
          <w:tcPr>
            <w:tcW w:w="4965" w:type="dxa"/>
            <w:tcBorders>
              <w:top w:val="nil"/>
              <w:left w:val="nil"/>
              <w:bottom w:val="nil"/>
              <w:right w:val="nil"/>
            </w:tcBorders>
            <w:shd w:val="clear" w:color="auto" w:fill="auto"/>
            <w:noWrap/>
            <w:hideMark/>
          </w:tcPr>
          <w:p w14:paraId="496211D0" w14:textId="77777777" w:rsidR="00A1342A" w:rsidRPr="00A1342A" w:rsidRDefault="00A1342A" w:rsidP="00A1342A">
            <w:pPr>
              <w:pStyle w:val="ListParagraph"/>
              <w:numPr>
                <w:ilvl w:val="0"/>
                <w:numId w:val="2"/>
              </w:numPr>
              <w:spacing w:after="60"/>
              <w:rPr>
                <w:rFonts w:ascii="Arial" w:hAnsi="Arial" w:cs="Arial"/>
                <w:color w:val="000000"/>
                <w:sz w:val="24"/>
                <w:szCs w:val="24"/>
              </w:rPr>
            </w:pPr>
            <w:r w:rsidRPr="00A1342A">
              <w:rPr>
                <w:rFonts w:ascii="Arial" w:hAnsi="Arial" w:cs="Arial"/>
                <w:iCs/>
                <w:color w:val="000000"/>
                <w:sz w:val="24"/>
                <w:szCs w:val="24"/>
              </w:rPr>
              <w:t>Justice Reform Initiative;</w:t>
            </w:r>
          </w:p>
        </w:tc>
      </w:tr>
      <w:tr w:rsidR="00A1342A" w:rsidRPr="00A1342A" w14:paraId="35C51335" w14:textId="77777777" w:rsidTr="00A1342A">
        <w:trPr>
          <w:trHeight w:val="300"/>
        </w:trPr>
        <w:tc>
          <w:tcPr>
            <w:tcW w:w="4395" w:type="dxa"/>
            <w:tcBorders>
              <w:top w:val="nil"/>
              <w:left w:val="nil"/>
              <w:bottom w:val="nil"/>
              <w:right w:val="nil"/>
            </w:tcBorders>
            <w:shd w:val="clear" w:color="auto" w:fill="auto"/>
            <w:noWrap/>
            <w:hideMark/>
          </w:tcPr>
          <w:p w14:paraId="33EEE76A" w14:textId="77777777" w:rsidR="00A1342A" w:rsidRPr="00A1342A" w:rsidRDefault="00A1342A" w:rsidP="00A1342A">
            <w:pPr>
              <w:pStyle w:val="ListParagraph"/>
              <w:numPr>
                <w:ilvl w:val="0"/>
                <w:numId w:val="2"/>
              </w:numPr>
              <w:spacing w:after="60"/>
              <w:rPr>
                <w:rFonts w:ascii="Arial" w:hAnsi="Arial" w:cs="Arial"/>
                <w:color w:val="000000"/>
                <w:sz w:val="24"/>
                <w:szCs w:val="24"/>
              </w:rPr>
            </w:pPr>
            <w:r w:rsidRPr="00A1342A">
              <w:rPr>
                <w:rFonts w:ascii="Arial" w:hAnsi="Arial" w:cs="Arial"/>
                <w:iCs/>
                <w:color w:val="000000"/>
                <w:sz w:val="24"/>
                <w:szCs w:val="24"/>
              </w:rPr>
              <w:t>ACT Human Rights Commission;</w:t>
            </w:r>
          </w:p>
        </w:tc>
        <w:tc>
          <w:tcPr>
            <w:tcW w:w="4965" w:type="dxa"/>
            <w:tcBorders>
              <w:top w:val="nil"/>
              <w:left w:val="nil"/>
              <w:bottom w:val="nil"/>
              <w:right w:val="nil"/>
            </w:tcBorders>
            <w:shd w:val="clear" w:color="auto" w:fill="auto"/>
            <w:noWrap/>
            <w:hideMark/>
          </w:tcPr>
          <w:p w14:paraId="6F3094B0" w14:textId="77777777" w:rsidR="00A1342A" w:rsidRPr="00A1342A" w:rsidRDefault="00A1342A" w:rsidP="00A1342A">
            <w:pPr>
              <w:pStyle w:val="ListParagraph"/>
              <w:numPr>
                <w:ilvl w:val="0"/>
                <w:numId w:val="2"/>
              </w:numPr>
              <w:spacing w:after="60"/>
              <w:rPr>
                <w:rFonts w:ascii="Arial" w:hAnsi="Arial" w:cs="Arial"/>
                <w:color w:val="000000"/>
                <w:sz w:val="24"/>
                <w:szCs w:val="24"/>
              </w:rPr>
            </w:pPr>
            <w:r w:rsidRPr="00A1342A">
              <w:rPr>
                <w:rFonts w:ascii="Arial" w:hAnsi="Arial" w:cs="Arial"/>
                <w:iCs/>
                <w:color w:val="000000"/>
                <w:sz w:val="24"/>
                <w:szCs w:val="24"/>
              </w:rPr>
              <w:t>Legal Aid ACT;</w:t>
            </w:r>
          </w:p>
        </w:tc>
      </w:tr>
      <w:tr w:rsidR="00A1342A" w:rsidRPr="00A1342A" w14:paraId="65D6AC5E" w14:textId="77777777" w:rsidTr="00A1342A">
        <w:trPr>
          <w:trHeight w:val="300"/>
        </w:trPr>
        <w:tc>
          <w:tcPr>
            <w:tcW w:w="4395" w:type="dxa"/>
            <w:tcBorders>
              <w:top w:val="nil"/>
              <w:left w:val="nil"/>
              <w:bottom w:val="nil"/>
              <w:right w:val="nil"/>
            </w:tcBorders>
            <w:shd w:val="clear" w:color="auto" w:fill="auto"/>
            <w:noWrap/>
            <w:hideMark/>
          </w:tcPr>
          <w:p w14:paraId="647EA80D" w14:textId="77777777" w:rsidR="00A1342A" w:rsidRPr="00A1342A" w:rsidRDefault="00A1342A" w:rsidP="00A1342A">
            <w:pPr>
              <w:pStyle w:val="ListParagraph"/>
              <w:numPr>
                <w:ilvl w:val="0"/>
                <w:numId w:val="2"/>
              </w:numPr>
              <w:spacing w:after="60"/>
              <w:rPr>
                <w:rFonts w:ascii="Arial" w:hAnsi="Arial" w:cs="Arial"/>
                <w:color w:val="000000"/>
                <w:sz w:val="24"/>
                <w:szCs w:val="24"/>
              </w:rPr>
            </w:pPr>
            <w:r w:rsidRPr="00A1342A">
              <w:rPr>
                <w:rFonts w:ascii="Arial" w:hAnsi="Arial" w:cs="Arial"/>
                <w:iCs/>
                <w:color w:val="000000"/>
                <w:sz w:val="24"/>
                <w:szCs w:val="24"/>
              </w:rPr>
              <w:t>ACT Law Society;</w:t>
            </w:r>
          </w:p>
        </w:tc>
        <w:tc>
          <w:tcPr>
            <w:tcW w:w="4965" w:type="dxa"/>
            <w:tcBorders>
              <w:top w:val="nil"/>
              <w:left w:val="nil"/>
              <w:bottom w:val="nil"/>
              <w:right w:val="nil"/>
            </w:tcBorders>
            <w:shd w:val="clear" w:color="auto" w:fill="auto"/>
            <w:noWrap/>
            <w:hideMark/>
          </w:tcPr>
          <w:p w14:paraId="6A01E5B8" w14:textId="77777777" w:rsidR="00A1342A" w:rsidRPr="00A1342A" w:rsidRDefault="00A1342A" w:rsidP="00A1342A">
            <w:pPr>
              <w:pStyle w:val="ListParagraph"/>
              <w:numPr>
                <w:ilvl w:val="0"/>
                <w:numId w:val="2"/>
              </w:numPr>
              <w:spacing w:after="60"/>
              <w:rPr>
                <w:rFonts w:ascii="Arial" w:hAnsi="Arial" w:cs="Arial"/>
                <w:color w:val="000000"/>
                <w:sz w:val="24"/>
                <w:szCs w:val="24"/>
              </w:rPr>
            </w:pPr>
            <w:r w:rsidRPr="00A1342A">
              <w:rPr>
                <w:rFonts w:ascii="Arial" w:hAnsi="Arial" w:cs="Arial"/>
                <w:iCs/>
                <w:color w:val="000000"/>
                <w:sz w:val="24"/>
                <w:szCs w:val="24"/>
              </w:rPr>
              <w:t>MensLink;</w:t>
            </w:r>
          </w:p>
        </w:tc>
      </w:tr>
      <w:tr w:rsidR="00A1342A" w:rsidRPr="00A1342A" w14:paraId="30396FD6" w14:textId="77777777" w:rsidTr="00A1342A">
        <w:trPr>
          <w:trHeight w:val="300"/>
        </w:trPr>
        <w:tc>
          <w:tcPr>
            <w:tcW w:w="4395" w:type="dxa"/>
            <w:tcBorders>
              <w:top w:val="nil"/>
              <w:left w:val="nil"/>
              <w:bottom w:val="nil"/>
              <w:right w:val="nil"/>
            </w:tcBorders>
            <w:shd w:val="clear" w:color="auto" w:fill="auto"/>
            <w:noWrap/>
            <w:hideMark/>
          </w:tcPr>
          <w:p w14:paraId="779F7AE5" w14:textId="77777777" w:rsidR="00A1342A" w:rsidRPr="00A1342A" w:rsidRDefault="00A1342A" w:rsidP="00A1342A">
            <w:pPr>
              <w:pStyle w:val="ListParagraph"/>
              <w:numPr>
                <w:ilvl w:val="0"/>
                <w:numId w:val="2"/>
              </w:numPr>
              <w:spacing w:after="60"/>
              <w:rPr>
                <w:rFonts w:ascii="Arial" w:hAnsi="Arial" w:cs="Arial"/>
                <w:color w:val="000000"/>
                <w:sz w:val="24"/>
                <w:szCs w:val="24"/>
              </w:rPr>
            </w:pPr>
            <w:r w:rsidRPr="00A1342A">
              <w:rPr>
                <w:rFonts w:ascii="Arial" w:hAnsi="Arial" w:cs="Arial"/>
                <w:iCs/>
                <w:color w:val="000000"/>
                <w:sz w:val="24"/>
                <w:szCs w:val="24"/>
              </w:rPr>
              <w:t>ACT Policing;</w:t>
            </w:r>
          </w:p>
        </w:tc>
        <w:tc>
          <w:tcPr>
            <w:tcW w:w="4965" w:type="dxa"/>
            <w:tcBorders>
              <w:top w:val="nil"/>
              <w:left w:val="nil"/>
              <w:bottom w:val="nil"/>
              <w:right w:val="nil"/>
            </w:tcBorders>
            <w:shd w:val="clear" w:color="auto" w:fill="auto"/>
            <w:noWrap/>
            <w:hideMark/>
          </w:tcPr>
          <w:p w14:paraId="3C3AA0D9" w14:textId="77777777" w:rsidR="00A1342A" w:rsidRPr="00A1342A" w:rsidRDefault="00A1342A" w:rsidP="00A1342A">
            <w:pPr>
              <w:pStyle w:val="ListParagraph"/>
              <w:numPr>
                <w:ilvl w:val="0"/>
                <w:numId w:val="2"/>
              </w:numPr>
              <w:spacing w:after="60"/>
              <w:rPr>
                <w:rFonts w:ascii="Arial" w:hAnsi="Arial" w:cs="Arial"/>
                <w:color w:val="000000"/>
                <w:sz w:val="24"/>
                <w:szCs w:val="24"/>
              </w:rPr>
            </w:pPr>
            <w:r w:rsidRPr="00A1342A">
              <w:rPr>
                <w:rFonts w:ascii="Arial" w:hAnsi="Arial" w:cs="Arial"/>
                <w:iCs/>
                <w:color w:val="000000"/>
                <w:sz w:val="24"/>
                <w:szCs w:val="24"/>
              </w:rPr>
              <w:t>Public Advocate and Children and Young People Commissioner;</w:t>
            </w:r>
          </w:p>
        </w:tc>
      </w:tr>
      <w:tr w:rsidR="00A1342A" w:rsidRPr="00A1342A" w14:paraId="1D010CD0" w14:textId="77777777" w:rsidTr="00A1342A">
        <w:trPr>
          <w:trHeight w:val="300"/>
        </w:trPr>
        <w:tc>
          <w:tcPr>
            <w:tcW w:w="4395" w:type="dxa"/>
            <w:tcBorders>
              <w:top w:val="nil"/>
              <w:left w:val="nil"/>
              <w:bottom w:val="nil"/>
              <w:right w:val="nil"/>
            </w:tcBorders>
            <w:shd w:val="clear" w:color="auto" w:fill="auto"/>
            <w:noWrap/>
            <w:hideMark/>
          </w:tcPr>
          <w:p w14:paraId="268437C4" w14:textId="77777777" w:rsidR="00A1342A" w:rsidRPr="00A1342A" w:rsidRDefault="00A1342A" w:rsidP="00A1342A">
            <w:pPr>
              <w:pStyle w:val="ListParagraph"/>
              <w:numPr>
                <w:ilvl w:val="0"/>
                <w:numId w:val="2"/>
              </w:numPr>
              <w:spacing w:after="60"/>
              <w:rPr>
                <w:rFonts w:ascii="Arial" w:hAnsi="Arial" w:cs="Arial"/>
                <w:color w:val="000000"/>
                <w:sz w:val="24"/>
                <w:szCs w:val="24"/>
              </w:rPr>
            </w:pPr>
            <w:r w:rsidRPr="00A1342A">
              <w:rPr>
                <w:rFonts w:ascii="Arial" w:hAnsi="Arial" w:cs="Arial"/>
                <w:iCs/>
                <w:color w:val="000000"/>
                <w:sz w:val="24"/>
                <w:szCs w:val="24"/>
              </w:rPr>
              <w:t>ACT Raise the Age Coalition;</w:t>
            </w:r>
          </w:p>
        </w:tc>
        <w:tc>
          <w:tcPr>
            <w:tcW w:w="4965" w:type="dxa"/>
            <w:tcBorders>
              <w:top w:val="nil"/>
              <w:left w:val="nil"/>
              <w:bottom w:val="nil"/>
              <w:right w:val="nil"/>
            </w:tcBorders>
            <w:shd w:val="clear" w:color="auto" w:fill="auto"/>
            <w:noWrap/>
            <w:hideMark/>
          </w:tcPr>
          <w:p w14:paraId="395C1792" w14:textId="77777777" w:rsidR="00A1342A" w:rsidRPr="00A1342A" w:rsidRDefault="00A1342A" w:rsidP="00A1342A">
            <w:pPr>
              <w:pStyle w:val="ListParagraph"/>
              <w:numPr>
                <w:ilvl w:val="0"/>
                <w:numId w:val="2"/>
              </w:numPr>
              <w:spacing w:after="60"/>
              <w:rPr>
                <w:rFonts w:ascii="Arial" w:hAnsi="Arial" w:cs="Arial"/>
                <w:color w:val="000000"/>
                <w:sz w:val="24"/>
                <w:szCs w:val="24"/>
              </w:rPr>
            </w:pPr>
            <w:r w:rsidRPr="00A1342A">
              <w:rPr>
                <w:rFonts w:ascii="Arial" w:hAnsi="Arial" w:cs="Arial"/>
                <w:iCs/>
                <w:color w:val="000000"/>
                <w:sz w:val="24"/>
                <w:szCs w:val="24"/>
              </w:rPr>
              <w:t>Relationships Australia;</w:t>
            </w:r>
          </w:p>
        </w:tc>
      </w:tr>
      <w:tr w:rsidR="00A1342A" w:rsidRPr="00A1342A" w14:paraId="45AB8876" w14:textId="77777777" w:rsidTr="00A1342A">
        <w:trPr>
          <w:trHeight w:val="300"/>
        </w:trPr>
        <w:tc>
          <w:tcPr>
            <w:tcW w:w="4395" w:type="dxa"/>
            <w:tcBorders>
              <w:top w:val="nil"/>
              <w:left w:val="nil"/>
              <w:bottom w:val="nil"/>
              <w:right w:val="nil"/>
            </w:tcBorders>
            <w:shd w:val="clear" w:color="auto" w:fill="auto"/>
            <w:noWrap/>
            <w:hideMark/>
          </w:tcPr>
          <w:p w14:paraId="4C555A0F" w14:textId="77777777" w:rsidR="00A1342A" w:rsidRPr="00A1342A" w:rsidRDefault="00A1342A" w:rsidP="00A1342A">
            <w:pPr>
              <w:pStyle w:val="ListParagraph"/>
              <w:numPr>
                <w:ilvl w:val="0"/>
                <w:numId w:val="2"/>
              </w:numPr>
              <w:spacing w:after="60"/>
              <w:rPr>
                <w:rFonts w:ascii="Arial" w:hAnsi="Arial" w:cs="Arial"/>
                <w:color w:val="000000"/>
                <w:sz w:val="24"/>
                <w:szCs w:val="24"/>
              </w:rPr>
            </w:pPr>
            <w:r w:rsidRPr="00A1342A">
              <w:rPr>
                <w:rFonts w:ascii="Arial" w:hAnsi="Arial" w:cs="Arial"/>
                <w:iCs/>
                <w:color w:val="000000"/>
                <w:sz w:val="24"/>
                <w:szCs w:val="24"/>
              </w:rPr>
              <w:t>ACT Victims Advisory Board;</w:t>
            </w:r>
          </w:p>
        </w:tc>
        <w:tc>
          <w:tcPr>
            <w:tcW w:w="4965" w:type="dxa"/>
            <w:tcBorders>
              <w:top w:val="nil"/>
              <w:left w:val="nil"/>
              <w:bottom w:val="nil"/>
              <w:right w:val="nil"/>
            </w:tcBorders>
            <w:shd w:val="clear" w:color="auto" w:fill="auto"/>
            <w:noWrap/>
            <w:hideMark/>
          </w:tcPr>
          <w:p w14:paraId="016CCAC5" w14:textId="77777777" w:rsidR="00A1342A" w:rsidRPr="00A1342A" w:rsidRDefault="00A1342A" w:rsidP="00A1342A">
            <w:pPr>
              <w:pStyle w:val="ListParagraph"/>
              <w:numPr>
                <w:ilvl w:val="0"/>
                <w:numId w:val="2"/>
              </w:numPr>
              <w:spacing w:after="60"/>
              <w:rPr>
                <w:rFonts w:ascii="Arial" w:hAnsi="Arial" w:cs="Arial"/>
                <w:color w:val="000000"/>
                <w:sz w:val="24"/>
                <w:szCs w:val="24"/>
              </w:rPr>
            </w:pPr>
            <w:r w:rsidRPr="00A1342A">
              <w:rPr>
                <w:rFonts w:ascii="Arial" w:hAnsi="Arial" w:cs="Arial"/>
                <w:iCs/>
                <w:color w:val="000000"/>
                <w:sz w:val="24"/>
                <w:szCs w:val="24"/>
              </w:rPr>
              <w:t>Victims of Crime Commissioner;</w:t>
            </w:r>
          </w:p>
        </w:tc>
      </w:tr>
      <w:tr w:rsidR="00A1342A" w:rsidRPr="00A1342A" w14:paraId="6182F4BE" w14:textId="77777777" w:rsidTr="00A1342A">
        <w:trPr>
          <w:trHeight w:val="300"/>
        </w:trPr>
        <w:tc>
          <w:tcPr>
            <w:tcW w:w="4395" w:type="dxa"/>
            <w:tcBorders>
              <w:top w:val="nil"/>
              <w:left w:val="nil"/>
              <w:bottom w:val="nil"/>
              <w:right w:val="nil"/>
            </w:tcBorders>
            <w:shd w:val="clear" w:color="auto" w:fill="auto"/>
            <w:noWrap/>
            <w:hideMark/>
          </w:tcPr>
          <w:p w14:paraId="609EE6BE" w14:textId="77777777" w:rsidR="00A1342A" w:rsidRPr="00A1342A" w:rsidRDefault="00A1342A" w:rsidP="00A1342A">
            <w:pPr>
              <w:pStyle w:val="ListParagraph"/>
              <w:numPr>
                <w:ilvl w:val="0"/>
                <w:numId w:val="2"/>
              </w:numPr>
              <w:spacing w:after="60"/>
              <w:rPr>
                <w:rFonts w:ascii="Arial" w:hAnsi="Arial" w:cs="Arial"/>
                <w:color w:val="000000"/>
                <w:sz w:val="24"/>
                <w:szCs w:val="24"/>
              </w:rPr>
            </w:pPr>
            <w:r w:rsidRPr="00A1342A">
              <w:rPr>
                <w:rFonts w:ascii="Arial" w:hAnsi="Arial" w:cs="Arial"/>
                <w:iCs/>
                <w:color w:val="000000"/>
                <w:sz w:val="24"/>
                <w:szCs w:val="24"/>
              </w:rPr>
              <w:lastRenderedPageBreak/>
              <w:t>ACT Youth Advisory Council;</w:t>
            </w:r>
          </w:p>
        </w:tc>
        <w:tc>
          <w:tcPr>
            <w:tcW w:w="4965" w:type="dxa"/>
            <w:tcBorders>
              <w:top w:val="nil"/>
              <w:left w:val="nil"/>
              <w:bottom w:val="nil"/>
              <w:right w:val="nil"/>
            </w:tcBorders>
            <w:shd w:val="clear" w:color="auto" w:fill="auto"/>
            <w:noWrap/>
            <w:hideMark/>
          </w:tcPr>
          <w:p w14:paraId="4B06DE17" w14:textId="15C26CC9" w:rsidR="00A1342A" w:rsidRPr="00A1342A" w:rsidRDefault="00A1342A" w:rsidP="00A1342A">
            <w:pPr>
              <w:pStyle w:val="ListParagraph"/>
              <w:numPr>
                <w:ilvl w:val="0"/>
                <w:numId w:val="2"/>
              </w:numPr>
              <w:spacing w:after="60"/>
              <w:rPr>
                <w:rFonts w:ascii="Arial" w:hAnsi="Arial" w:cs="Arial"/>
                <w:color w:val="000000"/>
                <w:sz w:val="24"/>
                <w:szCs w:val="24"/>
              </w:rPr>
            </w:pPr>
            <w:r w:rsidRPr="00A1342A">
              <w:rPr>
                <w:rFonts w:ascii="Arial" w:hAnsi="Arial" w:cs="Arial"/>
                <w:iCs/>
                <w:color w:val="000000"/>
                <w:sz w:val="24"/>
                <w:szCs w:val="24"/>
              </w:rPr>
              <w:t>Winnunga Nimmityjah Aboriginal Health and Community Services;</w:t>
            </w:r>
          </w:p>
        </w:tc>
      </w:tr>
      <w:tr w:rsidR="00A1342A" w:rsidRPr="00A1342A" w14:paraId="724BAD8B" w14:textId="77777777" w:rsidTr="00A1342A">
        <w:trPr>
          <w:trHeight w:val="300"/>
        </w:trPr>
        <w:tc>
          <w:tcPr>
            <w:tcW w:w="4395" w:type="dxa"/>
            <w:tcBorders>
              <w:top w:val="nil"/>
              <w:left w:val="nil"/>
              <w:bottom w:val="nil"/>
              <w:right w:val="nil"/>
            </w:tcBorders>
            <w:shd w:val="clear" w:color="auto" w:fill="auto"/>
            <w:noWrap/>
            <w:hideMark/>
          </w:tcPr>
          <w:p w14:paraId="77F3F570" w14:textId="77777777" w:rsidR="00A1342A" w:rsidRPr="00A1342A" w:rsidRDefault="00A1342A" w:rsidP="00A1342A">
            <w:pPr>
              <w:pStyle w:val="ListParagraph"/>
              <w:numPr>
                <w:ilvl w:val="0"/>
                <w:numId w:val="2"/>
              </w:numPr>
              <w:spacing w:after="60"/>
              <w:rPr>
                <w:rFonts w:ascii="Arial" w:hAnsi="Arial" w:cs="Arial"/>
                <w:color w:val="000000"/>
                <w:sz w:val="24"/>
                <w:szCs w:val="24"/>
              </w:rPr>
            </w:pPr>
            <w:r w:rsidRPr="00A1342A">
              <w:rPr>
                <w:rFonts w:ascii="Arial" w:hAnsi="Arial" w:cs="Arial"/>
                <w:iCs/>
                <w:color w:val="000000"/>
                <w:sz w:val="24"/>
                <w:szCs w:val="24"/>
              </w:rPr>
              <w:t>Amnesty International Australia;</w:t>
            </w:r>
          </w:p>
        </w:tc>
        <w:tc>
          <w:tcPr>
            <w:tcW w:w="4965" w:type="dxa"/>
            <w:tcBorders>
              <w:top w:val="nil"/>
              <w:left w:val="nil"/>
              <w:bottom w:val="nil"/>
              <w:right w:val="nil"/>
            </w:tcBorders>
            <w:shd w:val="clear" w:color="auto" w:fill="auto"/>
            <w:noWrap/>
            <w:hideMark/>
          </w:tcPr>
          <w:p w14:paraId="651BB06A" w14:textId="77777777" w:rsidR="00A1342A" w:rsidRPr="00A1342A" w:rsidRDefault="00A1342A" w:rsidP="00A1342A">
            <w:pPr>
              <w:pStyle w:val="ListParagraph"/>
              <w:numPr>
                <w:ilvl w:val="0"/>
                <w:numId w:val="2"/>
              </w:numPr>
              <w:spacing w:after="60"/>
              <w:rPr>
                <w:rFonts w:ascii="Arial" w:hAnsi="Arial" w:cs="Arial"/>
                <w:color w:val="000000"/>
                <w:sz w:val="24"/>
                <w:szCs w:val="24"/>
              </w:rPr>
            </w:pPr>
            <w:r w:rsidRPr="00A1342A">
              <w:rPr>
                <w:rFonts w:ascii="Arial" w:hAnsi="Arial" w:cs="Arial"/>
                <w:color w:val="000000"/>
                <w:sz w:val="24"/>
                <w:szCs w:val="24"/>
              </w:rPr>
              <w:t>Youth Coalition of the ACT.</w:t>
            </w:r>
          </w:p>
        </w:tc>
      </w:tr>
      <w:tr w:rsidR="00A1342A" w:rsidRPr="00A1342A" w14:paraId="294A3228" w14:textId="77777777" w:rsidTr="00A1342A">
        <w:trPr>
          <w:trHeight w:val="300"/>
        </w:trPr>
        <w:tc>
          <w:tcPr>
            <w:tcW w:w="9360" w:type="dxa"/>
            <w:gridSpan w:val="2"/>
            <w:tcBorders>
              <w:top w:val="nil"/>
              <w:left w:val="nil"/>
              <w:bottom w:val="nil"/>
              <w:right w:val="nil"/>
            </w:tcBorders>
            <w:shd w:val="clear" w:color="auto" w:fill="auto"/>
            <w:noWrap/>
            <w:hideMark/>
          </w:tcPr>
          <w:p w14:paraId="5C4DA1EF" w14:textId="77777777" w:rsidR="00A1342A" w:rsidRPr="00A1342A" w:rsidRDefault="00A1342A" w:rsidP="00A1342A">
            <w:pPr>
              <w:pStyle w:val="ListParagraph"/>
              <w:numPr>
                <w:ilvl w:val="0"/>
                <w:numId w:val="2"/>
              </w:numPr>
              <w:spacing w:after="60"/>
              <w:rPr>
                <w:rFonts w:ascii="Arial" w:hAnsi="Arial" w:cs="Arial"/>
                <w:color w:val="000000"/>
                <w:sz w:val="24"/>
                <w:szCs w:val="24"/>
              </w:rPr>
            </w:pPr>
            <w:r w:rsidRPr="00A1342A">
              <w:rPr>
                <w:rFonts w:ascii="Arial" w:hAnsi="Arial" w:cs="Arial"/>
                <w:iCs/>
                <w:color w:val="000000"/>
                <w:sz w:val="24"/>
                <w:szCs w:val="24"/>
              </w:rPr>
              <w:t>Australian National University;</w:t>
            </w:r>
          </w:p>
        </w:tc>
      </w:tr>
    </w:tbl>
    <w:p w14:paraId="5E4B7D95" w14:textId="4D265B50" w:rsidR="00936F14" w:rsidRPr="00B44A98" w:rsidRDefault="001D69D4" w:rsidP="00A1342A">
      <w:pPr>
        <w:rPr>
          <w:rFonts w:ascii="Arial" w:hAnsi="Arial" w:cs="Arial"/>
          <w:bCs/>
          <w:iCs/>
          <w:sz w:val="24"/>
          <w:szCs w:val="24"/>
        </w:rPr>
      </w:pPr>
      <w:r>
        <w:rPr>
          <w:rFonts w:ascii="Arial" w:hAnsi="Arial" w:cs="Arial"/>
          <w:iCs/>
          <w:sz w:val="24"/>
          <w:szCs w:val="24"/>
        </w:rPr>
        <w:br/>
      </w:r>
      <w:r w:rsidR="00936F14">
        <w:rPr>
          <w:rFonts w:ascii="Arial" w:hAnsi="Arial" w:cs="Arial"/>
          <w:bCs/>
          <w:iCs/>
          <w:sz w:val="24"/>
          <w:szCs w:val="24"/>
        </w:rPr>
        <w:t xml:space="preserve">Throughout 2024, </w:t>
      </w:r>
      <w:r w:rsidR="00D2714E">
        <w:rPr>
          <w:rFonts w:ascii="Arial" w:hAnsi="Arial" w:cs="Arial"/>
          <w:bCs/>
          <w:iCs/>
          <w:sz w:val="24"/>
          <w:szCs w:val="24"/>
        </w:rPr>
        <w:t xml:space="preserve">a targeted list of </w:t>
      </w:r>
      <w:r w:rsidR="00936F14">
        <w:rPr>
          <w:rFonts w:ascii="Arial" w:hAnsi="Arial" w:cs="Arial"/>
          <w:bCs/>
          <w:iCs/>
          <w:sz w:val="24"/>
          <w:szCs w:val="24"/>
        </w:rPr>
        <w:t xml:space="preserve">stakeholders across the justice and community sectors were consulted on the preferred approach to making the existing law clearer and on new </w:t>
      </w:r>
      <w:r w:rsidR="00936F14" w:rsidRPr="00B44A98">
        <w:rPr>
          <w:rFonts w:ascii="Arial" w:hAnsi="Arial" w:cs="Arial"/>
          <w:bCs/>
          <w:iCs/>
          <w:sz w:val="24"/>
          <w:szCs w:val="24"/>
        </w:rPr>
        <w:t xml:space="preserve">safeguards to align existing police powers with the objectives of MACR. </w:t>
      </w:r>
    </w:p>
    <w:p w14:paraId="23CB6687" w14:textId="0B517A49" w:rsidR="00CF76B1" w:rsidRPr="005B0897" w:rsidRDefault="00CF76B1" w:rsidP="0047372E">
      <w:pPr>
        <w:spacing w:before="240"/>
        <w:rPr>
          <w:rFonts w:ascii="Arial" w:hAnsi="Arial" w:cs="Arial"/>
          <w:b/>
          <w:sz w:val="24"/>
          <w:szCs w:val="24"/>
        </w:rPr>
      </w:pPr>
      <w:r w:rsidRPr="005B0897">
        <w:rPr>
          <w:rFonts w:ascii="Arial" w:hAnsi="Arial" w:cs="Arial"/>
          <w:b/>
          <w:sz w:val="24"/>
          <w:szCs w:val="24"/>
        </w:rPr>
        <w:t>CLIMATE IMPACT</w:t>
      </w:r>
    </w:p>
    <w:p w14:paraId="265A2B2A" w14:textId="12F4222D" w:rsidR="00A53E70" w:rsidRPr="00936F14" w:rsidRDefault="00936F14" w:rsidP="005B0897">
      <w:pPr>
        <w:rPr>
          <w:rFonts w:ascii="Arial" w:hAnsi="Arial" w:cs="Arial"/>
          <w:iCs/>
          <w:color w:val="FF0000"/>
          <w:sz w:val="24"/>
          <w:szCs w:val="24"/>
        </w:rPr>
      </w:pPr>
      <w:r>
        <w:rPr>
          <w:rFonts w:ascii="Arial" w:hAnsi="Arial" w:cs="Arial"/>
          <w:iCs/>
          <w:sz w:val="24"/>
          <w:szCs w:val="24"/>
        </w:rPr>
        <w:t>This Bill will not have any climate impact.</w:t>
      </w:r>
    </w:p>
    <w:p w14:paraId="1E002791" w14:textId="13B1C834" w:rsidR="00E90DF9" w:rsidRDefault="00E90DF9" w:rsidP="00E90DF9">
      <w:pPr>
        <w:pStyle w:val="Heading2"/>
      </w:pPr>
      <w:r>
        <w:t xml:space="preserve">CONSISTENCY WITH </w:t>
      </w:r>
      <w:r w:rsidRPr="008C225D">
        <w:t>HUMAN RIGHTS</w:t>
      </w:r>
    </w:p>
    <w:p w14:paraId="2CC55231" w14:textId="392AABBB" w:rsidR="00936F14" w:rsidRDefault="00936F14" w:rsidP="00936F14">
      <w:pPr>
        <w:rPr>
          <w:rFonts w:ascii="Arial" w:hAnsi="Arial" w:cs="Arial"/>
          <w:iCs/>
          <w:sz w:val="24"/>
          <w:szCs w:val="24"/>
        </w:rPr>
      </w:pPr>
      <w:r>
        <w:rPr>
          <w:rFonts w:ascii="Arial" w:hAnsi="Arial" w:cs="Arial"/>
          <w:iCs/>
          <w:sz w:val="24"/>
          <w:szCs w:val="24"/>
        </w:rPr>
        <w:t xml:space="preserve">This Bill is consistent with human rights. </w:t>
      </w:r>
      <w:r w:rsidR="00A97C79">
        <w:rPr>
          <w:rFonts w:ascii="Arial" w:hAnsi="Arial" w:cs="Arial"/>
          <w:iCs/>
          <w:sz w:val="24"/>
          <w:szCs w:val="24"/>
        </w:rPr>
        <w:t>The Bill</w:t>
      </w:r>
      <w:r w:rsidR="008D172C">
        <w:rPr>
          <w:rFonts w:ascii="Arial" w:hAnsi="Arial" w:cs="Arial"/>
          <w:iCs/>
          <w:sz w:val="24"/>
          <w:szCs w:val="24"/>
        </w:rPr>
        <w:t xml:space="preserve"> has</w:t>
      </w:r>
      <w:r w:rsidR="00A97C79">
        <w:rPr>
          <w:rFonts w:ascii="Arial" w:hAnsi="Arial" w:cs="Arial"/>
          <w:iCs/>
          <w:sz w:val="24"/>
          <w:szCs w:val="24"/>
        </w:rPr>
        <w:t xml:space="preserve"> been developed taking into consideration relevant human rights standards</w:t>
      </w:r>
      <w:r w:rsidR="008D172C">
        <w:rPr>
          <w:rFonts w:ascii="Arial" w:hAnsi="Arial" w:cs="Arial"/>
          <w:iCs/>
          <w:sz w:val="24"/>
          <w:szCs w:val="24"/>
        </w:rPr>
        <w:t xml:space="preserve"> in the HRA and internationally</w:t>
      </w:r>
      <w:r w:rsidR="00A97C79">
        <w:rPr>
          <w:rFonts w:ascii="Arial" w:hAnsi="Arial" w:cs="Arial"/>
          <w:iCs/>
          <w:sz w:val="24"/>
          <w:szCs w:val="24"/>
        </w:rPr>
        <w:t>. These include</w:t>
      </w:r>
      <w:r w:rsidR="00D42B73" w:rsidRPr="00D42B73">
        <w:rPr>
          <w:rFonts w:ascii="Arial" w:hAnsi="Arial" w:cs="Arial"/>
          <w:iCs/>
          <w:sz w:val="24"/>
          <w:szCs w:val="24"/>
        </w:rPr>
        <w:t xml:space="preserve"> Australia’s obligations under the United Nations (UN) Convention on the Rights of the Child (CRC)</w:t>
      </w:r>
      <w:r w:rsidR="00FD0538">
        <w:rPr>
          <w:rFonts w:ascii="Arial" w:hAnsi="Arial" w:cs="Arial"/>
          <w:iCs/>
          <w:sz w:val="24"/>
          <w:szCs w:val="24"/>
        </w:rPr>
        <w:t xml:space="preserve"> </w:t>
      </w:r>
      <w:r w:rsidR="00D42B73" w:rsidRPr="00D42B73">
        <w:rPr>
          <w:rFonts w:ascii="Arial" w:hAnsi="Arial" w:cs="Arial"/>
          <w:iCs/>
          <w:sz w:val="24"/>
          <w:szCs w:val="24"/>
        </w:rPr>
        <w:t>and the</w:t>
      </w:r>
      <w:r w:rsidR="008D4A5A">
        <w:rPr>
          <w:rFonts w:ascii="Arial" w:hAnsi="Arial" w:cs="Arial"/>
          <w:iCs/>
          <w:sz w:val="24"/>
          <w:szCs w:val="24"/>
        </w:rPr>
        <w:t xml:space="preserve"> principles in the</w:t>
      </w:r>
      <w:r w:rsidR="00D42B73" w:rsidRPr="00D42B73">
        <w:rPr>
          <w:rFonts w:ascii="Arial" w:hAnsi="Arial" w:cs="Arial"/>
          <w:iCs/>
          <w:sz w:val="24"/>
          <w:szCs w:val="24"/>
        </w:rPr>
        <w:t xml:space="preserve"> UN</w:t>
      </w:r>
      <w:r w:rsidR="00FD0538">
        <w:rPr>
          <w:rFonts w:ascii="Arial" w:hAnsi="Arial" w:cs="Arial"/>
          <w:iCs/>
          <w:sz w:val="24"/>
          <w:szCs w:val="24"/>
        </w:rPr>
        <w:t> </w:t>
      </w:r>
      <w:r w:rsidR="00D42B73" w:rsidRPr="00D42B73">
        <w:rPr>
          <w:rFonts w:ascii="Arial" w:hAnsi="Arial" w:cs="Arial"/>
          <w:iCs/>
          <w:sz w:val="24"/>
          <w:szCs w:val="24"/>
        </w:rPr>
        <w:t>Standard Minimum Rules for the Administration of Juvenile Justice (‘Beijing Rules’).</w:t>
      </w:r>
    </w:p>
    <w:p w14:paraId="2B1EEC71" w14:textId="3E5454F2" w:rsidR="00D42B73" w:rsidRPr="00D42B73" w:rsidRDefault="00D42B73" w:rsidP="00D42B73">
      <w:pPr>
        <w:rPr>
          <w:rFonts w:ascii="Arial" w:hAnsi="Arial" w:cs="Arial"/>
          <w:iCs/>
          <w:sz w:val="24"/>
          <w:szCs w:val="24"/>
        </w:rPr>
      </w:pPr>
      <w:r w:rsidRPr="00D42B73">
        <w:rPr>
          <w:rFonts w:ascii="Arial" w:hAnsi="Arial" w:cs="Arial"/>
          <w:iCs/>
          <w:sz w:val="24"/>
          <w:szCs w:val="24"/>
        </w:rPr>
        <w:t>Relevantly, the CRC provides that:</w:t>
      </w:r>
    </w:p>
    <w:p w14:paraId="5C61882F" w14:textId="77777777" w:rsidR="00D42B73" w:rsidRPr="00D42B73" w:rsidRDefault="00D42B73" w:rsidP="00D42B73">
      <w:pPr>
        <w:numPr>
          <w:ilvl w:val="0"/>
          <w:numId w:val="7"/>
        </w:numPr>
        <w:rPr>
          <w:rFonts w:ascii="Arial" w:hAnsi="Arial" w:cs="Arial"/>
          <w:iCs/>
          <w:sz w:val="24"/>
          <w:szCs w:val="24"/>
        </w:rPr>
      </w:pPr>
      <w:r w:rsidRPr="00D42B73">
        <w:rPr>
          <w:rFonts w:ascii="Arial" w:hAnsi="Arial" w:cs="Arial"/>
          <w:iCs/>
          <w:sz w:val="24"/>
          <w:szCs w:val="24"/>
        </w:rPr>
        <w:t>the best interests of the child shall be a primary consideration (article 3(1));</w:t>
      </w:r>
    </w:p>
    <w:p w14:paraId="24B26AD0" w14:textId="77777777" w:rsidR="00D42B73" w:rsidRPr="00D42B73" w:rsidRDefault="00D42B73" w:rsidP="00D42B73">
      <w:pPr>
        <w:numPr>
          <w:ilvl w:val="0"/>
          <w:numId w:val="7"/>
        </w:numPr>
        <w:rPr>
          <w:rFonts w:ascii="Arial" w:hAnsi="Arial" w:cs="Arial"/>
          <w:iCs/>
          <w:sz w:val="24"/>
          <w:szCs w:val="24"/>
        </w:rPr>
      </w:pPr>
      <w:r w:rsidRPr="00D42B73">
        <w:rPr>
          <w:rFonts w:ascii="Arial" w:hAnsi="Arial" w:cs="Arial"/>
          <w:iCs/>
          <w:sz w:val="24"/>
          <w:szCs w:val="24"/>
        </w:rPr>
        <w:t>detention or imprisonment of a child shall be used only as a measure of last resort and for the shortest appropriate period of time (article 37(b)); and</w:t>
      </w:r>
    </w:p>
    <w:p w14:paraId="6BB86B14" w14:textId="77777777" w:rsidR="00D42B73" w:rsidRPr="00D42B73" w:rsidRDefault="00D42B73" w:rsidP="00D42B73">
      <w:pPr>
        <w:numPr>
          <w:ilvl w:val="0"/>
          <w:numId w:val="7"/>
        </w:numPr>
        <w:rPr>
          <w:rFonts w:ascii="Arial" w:hAnsi="Arial" w:cs="Arial"/>
          <w:iCs/>
          <w:sz w:val="24"/>
          <w:szCs w:val="24"/>
        </w:rPr>
      </w:pPr>
      <w:r w:rsidRPr="00D42B73">
        <w:rPr>
          <w:rFonts w:ascii="Arial" w:hAnsi="Arial" w:cs="Arial"/>
          <w:iCs/>
          <w:sz w:val="24"/>
          <w:szCs w:val="24"/>
        </w:rPr>
        <w:t>a child recognised as having infringed penal law is to be treated in a manner …which takes into account the child's age and the desirability of promoting the child's reintegration and the child's assuming a constructive role in society (article 40(1)).</w:t>
      </w:r>
    </w:p>
    <w:p w14:paraId="1CF0BCFA" w14:textId="76E8E12E" w:rsidR="00D42B73" w:rsidRPr="00D42B73" w:rsidRDefault="00D42B73" w:rsidP="00D42B73">
      <w:pPr>
        <w:rPr>
          <w:rFonts w:ascii="Arial" w:hAnsi="Arial" w:cs="Arial"/>
          <w:iCs/>
          <w:sz w:val="24"/>
          <w:szCs w:val="24"/>
        </w:rPr>
      </w:pPr>
      <w:r w:rsidRPr="00D42B73">
        <w:rPr>
          <w:rFonts w:ascii="Arial" w:hAnsi="Arial" w:cs="Arial"/>
          <w:iCs/>
          <w:sz w:val="24"/>
          <w:szCs w:val="24"/>
        </w:rPr>
        <w:t>The Beijing Rules provide that:</w:t>
      </w:r>
    </w:p>
    <w:p w14:paraId="29C6EBF8" w14:textId="12328461" w:rsidR="00D42B73" w:rsidRPr="007D2F2E" w:rsidRDefault="00D42B73" w:rsidP="007D2F2E">
      <w:pPr>
        <w:numPr>
          <w:ilvl w:val="0"/>
          <w:numId w:val="7"/>
        </w:numPr>
        <w:rPr>
          <w:rFonts w:ascii="Arial" w:hAnsi="Arial" w:cs="Arial"/>
          <w:iCs/>
          <w:sz w:val="24"/>
          <w:szCs w:val="24"/>
        </w:rPr>
      </w:pPr>
      <w:r w:rsidRPr="00D42B73">
        <w:rPr>
          <w:rFonts w:ascii="Arial" w:hAnsi="Arial" w:cs="Arial"/>
          <w:iCs/>
          <w:sz w:val="24"/>
          <w:szCs w:val="24"/>
        </w:rPr>
        <w:t>the reaction taken</w:t>
      </w:r>
      <w:r w:rsidR="00A97C79">
        <w:rPr>
          <w:rFonts w:ascii="Arial" w:hAnsi="Arial" w:cs="Arial"/>
          <w:iCs/>
          <w:sz w:val="24"/>
          <w:szCs w:val="24"/>
        </w:rPr>
        <w:t xml:space="preserve"> by the State</w:t>
      </w:r>
      <w:r w:rsidRPr="00D42B73">
        <w:rPr>
          <w:rFonts w:ascii="Arial" w:hAnsi="Arial" w:cs="Arial"/>
          <w:iCs/>
          <w:sz w:val="24"/>
          <w:szCs w:val="24"/>
        </w:rPr>
        <w:t xml:space="preserve"> shall always be in proportion not only to the circumstances and the gravity of the offence but also to the circumstances and the needs of the juvenile as well as to the needs of the society (rule</w:t>
      </w:r>
      <w:r w:rsidR="00A97C79">
        <w:rPr>
          <w:rFonts w:ascii="Arial" w:hAnsi="Arial" w:cs="Arial"/>
          <w:iCs/>
          <w:sz w:val="24"/>
          <w:szCs w:val="24"/>
        </w:rPr>
        <w:t> </w:t>
      </w:r>
      <w:r w:rsidRPr="00D42B73">
        <w:rPr>
          <w:rFonts w:ascii="Arial" w:hAnsi="Arial" w:cs="Arial"/>
          <w:iCs/>
          <w:sz w:val="24"/>
          <w:szCs w:val="24"/>
        </w:rPr>
        <w:t>17.1(a));</w:t>
      </w:r>
      <w:r w:rsidR="007D2F2E">
        <w:rPr>
          <w:rFonts w:ascii="Arial" w:hAnsi="Arial" w:cs="Arial"/>
          <w:iCs/>
          <w:sz w:val="24"/>
          <w:szCs w:val="24"/>
        </w:rPr>
        <w:t xml:space="preserve"> </w:t>
      </w:r>
      <w:r w:rsidRPr="007D2F2E">
        <w:rPr>
          <w:rFonts w:ascii="Arial" w:hAnsi="Arial" w:cs="Arial"/>
          <w:iCs/>
          <w:sz w:val="24"/>
          <w:szCs w:val="24"/>
        </w:rPr>
        <w:t>and</w:t>
      </w:r>
    </w:p>
    <w:p w14:paraId="1BAFE649" w14:textId="165A3276" w:rsidR="00A97C79" w:rsidRDefault="00D42B73" w:rsidP="00A97C79">
      <w:pPr>
        <w:numPr>
          <w:ilvl w:val="0"/>
          <w:numId w:val="7"/>
        </w:numPr>
        <w:rPr>
          <w:rFonts w:ascii="Arial" w:hAnsi="Arial" w:cs="Arial"/>
          <w:iCs/>
          <w:sz w:val="24"/>
          <w:szCs w:val="24"/>
        </w:rPr>
      </w:pPr>
      <w:r w:rsidRPr="00D42B73">
        <w:rPr>
          <w:rFonts w:ascii="Arial" w:hAnsi="Arial" w:cs="Arial"/>
          <w:iCs/>
          <w:sz w:val="24"/>
          <w:szCs w:val="24"/>
        </w:rPr>
        <w:t xml:space="preserve">the well-being of the juvenile shall be the guiding factor in the consideration of </w:t>
      </w:r>
      <w:r w:rsidR="008D4A5A">
        <w:rPr>
          <w:rFonts w:ascii="Arial" w:hAnsi="Arial" w:cs="Arial"/>
          <w:iCs/>
          <w:sz w:val="24"/>
          <w:szCs w:val="24"/>
        </w:rPr>
        <w:t>their</w:t>
      </w:r>
      <w:r w:rsidRPr="00D42B73">
        <w:rPr>
          <w:rFonts w:ascii="Arial" w:hAnsi="Arial" w:cs="Arial"/>
          <w:iCs/>
          <w:sz w:val="24"/>
          <w:szCs w:val="24"/>
        </w:rPr>
        <w:t xml:space="preserve"> case (rule 17.1(d)).</w:t>
      </w:r>
    </w:p>
    <w:p w14:paraId="1257CE27" w14:textId="40E29FF5" w:rsidR="00A97C79" w:rsidRPr="00A97C79" w:rsidRDefault="00A97C79" w:rsidP="008D20AE">
      <w:pPr>
        <w:rPr>
          <w:rFonts w:ascii="Arial" w:hAnsi="Arial" w:cs="Arial"/>
          <w:iCs/>
          <w:sz w:val="24"/>
          <w:szCs w:val="24"/>
        </w:rPr>
      </w:pPr>
      <w:r>
        <w:rPr>
          <w:rFonts w:ascii="Arial" w:hAnsi="Arial" w:cs="Arial"/>
          <w:iCs/>
          <w:sz w:val="24"/>
          <w:szCs w:val="24"/>
        </w:rPr>
        <w:t>The MACR reforms</w:t>
      </w:r>
      <w:r w:rsidR="007D2F2E">
        <w:rPr>
          <w:rFonts w:ascii="Arial" w:hAnsi="Arial" w:cs="Arial"/>
          <w:iCs/>
          <w:sz w:val="24"/>
          <w:szCs w:val="24"/>
        </w:rPr>
        <w:t>, and the amendments in this Bill,</w:t>
      </w:r>
      <w:r>
        <w:rPr>
          <w:rFonts w:ascii="Arial" w:hAnsi="Arial" w:cs="Arial"/>
          <w:iCs/>
          <w:sz w:val="24"/>
          <w:szCs w:val="24"/>
        </w:rPr>
        <w:t xml:space="preserve"> </w:t>
      </w:r>
      <w:r w:rsidR="007D2F2E">
        <w:rPr>
          <w:rFonts w:ascii="Arial" w:hAnsi="Arial" w:cs="Arial"/>
          <w:iCs/>
          <w:sz w:val="24"/>
          <w:szCs w:val="24"/>
        </w:rPr>
        <w:t xml:space="preserve">reflect these obligations and standards, as their overarching purpose </w:t>
      </w:r>
      <w:r w:rsidR="00FF5547">
        <w:rPr>
          <w:rFonts w:ascii="Arial" w:hAnsi="Arial" w:cs="Arial"/>
          <w:iCs/>
          <w:sz w:val="24"/>
          <w:szCs w:val="24"/>
        </w:rPr>
        <w:t xml:space="preserve">is </w:t>
      </w:r>
      <w:r>
        <w:rPr>
          <w:rFonts w:ascii="Arial" w:hAnsi="Arial" w:cs="Arial"/>
          <w:iCs/>
          <w:sz w:val="24"/>
          <w:szCs w:val="24"/>
        </w:rPr>
        <w:t>to limit contact between children and young people under the MACR with the criminal justice system</w:t>
      </w:r>
      <w:r w:rsidR="008D20AE">
        <w:rPr>
          <w:rFonts w:ascii="Arial" w:hAnsi="Arial" w:cs="Arial"/>
          <w:iCs/>
          <w:sz w:val="24"/>
          <w:szCs w:val="24"/>
        </w:rPr>
        <w:t>. Police officers are already required to use</w:t>
      </w:r>
      <w:r w:rsidR="007D2F2E">
        <w:rPr>
          <w:rFonts w:ascii="Arial" w:hAnsi="Arial" w:cs="Arial"/>
          <w:iCs/>
          <w:sz w:val="24"/>
          <w:szCs w:val="24"/>
        </w:rPr>
        <w:t xml:space="preserve"> the minimum necessary</w:t>
      </w:r>
      <w:r w:rsidR="008D20AE">
        <w:rPr>
          <w:rFonts w:ascii="Arial" w:hAnsi="Arial" w:cs="Arial"/>
          <w:iCs/>
          <w:sz w:val="24"/>
          <w:szCs w:val="24"/>
        </w:rPr>
        <w:t xml:space="preserve"> power</w:t>
      </w:r>
      <w:r w:rsidR="007D2F2E">
        <w:rPr>
          <w:rFonts w:ascii="Arial" w:hAnsi="Arial" w:cs="Arial"/>
          <w:iCs/>
          <w:sz w:val="24"/>
          <w:szCs w:val="24"/>
        </w:rPr>
        <w:t xml:space="preserve"> to ensure community safety</w:t>
      </w:r>
      <w:r>
        <w:rPr>
          <w:rFonts w:ascii="Arial" w:hAnsi="Arial" w:cs="Arial"/>
          <w:iCs/>
          <w:sz w:val="24"/>
          <w:szCs w:val="24"/>
        </w:rPr>
        <w:t xml:space="preserve"> and </w:t>
      </w:r>
      <w:r w:rsidRPr="00A97C79">
        <w:rPr>
          <w:rFonts w:ascii="Arial" w:hAnsi="Arial" w:cs="Arial"/>
          <w:iCs/>
          <w:sz w:val="24"/>
          <w:szCs w:val="24"/>
        </w:rPr>
        <w:t>provide alternative</w:t>
      </w:r>
      <w:r w:rsidR="008D172C">
        <w:rPr>
          <w:rFonts w:ascii="Arial" w:hAnsi="Arial" w:cs="Arial"/>
          <w:iCs/>
          <w:sz w:val="24"/>
          <w:szCs w:val="24"/>
        </w:rPr>
        <w:t xml:space="preserve"> </w:t>
      </w:r>
      <w:r w:rsidRPr="00A97C79">
        <w:rPr>
          <w:rFonts w:ascii="Arial" w:hAnsi="Arial" w:cs="Arial"/>
          <w:iCs/>
          <w:sz w:val="24"/>
          <w:szCs w:val="24"/>
        </w:rPr>
        <w:t>responses</w:t>
      </w:r>
      <w:r w:rsidR="002437CC">
        <w:rPr>
          <w:rFonts w:ascii="Arial" w:hAnsi="Arial" w:cs="Arial"/>
          <w:iCs/>
          <w:sz w:val="24"/>
          <w:szCs w:val="24"/>
        </w:rPr>
        <w:t xml:space="preserve">, including diverting to other </w:t>
      </w:r>
      <w:r w:rsidR="00A24753">
        <w:rPr>
          <w:rFonts w:ascii="Arial" w:hAnsi="Arial" w:cs="Arial"/>
          <w:iCs/>
          <w:sz w:val="24"/>
          <w:szCs w:val="24"/>
        </w:rPr>
        <w:t xml:space="preserve">care and support </w:t>
      </w:r>
      <w:r w:rsidR="002437CC">
        <w:rPr>
          <w:rFonts w:ascii="Arial" w:hAnsi="Arial" w:cs="Arial"/>
          <w:iCs/>
          <w:sz w:val="24"/>
          <w:szCs w:val="24"/>
        </w:rPr>
        <w:lastRenderedPageBreak/>
        <w:t>services,</w:t>
      </w:r>
      <w:r w:rsidRPr="00A97C79">
        <w:rPr>
          <w:rFonts w:ascii="Arial" w:hAnsi="Arial" w:cs="Arial"/>
          <w:iCs/>
          <w:sz w:val="24"/>
          <w:szCs w:val="24"/>
        </w:rPr>
        <w:t xml:space="preserve"> to address the underlying complex needs </w:t>
      </w:r>
      <w:r>
        <w:rPr>
          <w:rFonts w:ascii="Arial" w:hAnsi="Arial" w:cs="Arial"/>
          <w:iCs/>
          <w:sz w:val="24"/>
          <w:szCs w:val="24"/>
        </w:rPr>
        <w:t>that drive</w:t>
      </w:r>
      <w:r w:rsidRPr="00A97C79">
        <w:rPr>
          <w:rFonts w:ascii="Arial" w:hAnsi="Arial" w:cs="Arial"/>
          <w:iCs/>
          <w:sz w:val="24"/>
          <w:szCs w:val="24"/>
        </w:rPr>
        <w:t xml:space="preserve"> harmful behaviour</w:t>
      </w:r>
      <w:r w:rsidR="008D20AE">
        <w:rPr>
          <w:rFonts w:ascii="Arial" w:hAnsi="Arial" w:cs="Arial"/>
          <w:iCs/>
          <w:sz w:val="24"/>
          <w:szCs w:val="24"/>
        </w:rPr>
        <w:t>; these amendments provide additional considerations required when establishing the minimum use of power</w:t>
      </w:r>
      <w:r w:rsidR="008D4A5A">
        <w:rPr>
          <w:rFonts w:ascii="Arial" w:hAnsi="Arial" w:cs="Arial"/>
          <w:iCs/>
          <w:sz w:val="24"/>
          <w:szCs w:val="24"/>
        </w:rPr>
        <w:t xml:space="preserve"> with respect to persons under the MACR</w:t>
      </w:r>
      <w:r>
        <w:rPr>
          <w:rFonts w:ascii="Arial" w:hAnsi="Arial" w:cs="Arial"/>
          <w:iCs/>
          <w:sz w:val="24"/>
          <w:szCs w:val="24"/>
        </w:rPr>
        <w:t>.</w:t>
      </w:r>
    </w:p>
    <w:p w14:paraId="3AA827AB" w14:textId="77777777" w:rsidR="00E90DF9" w:rsidRPr="00414921" w:rsidRDefault="00E90DF9" w:rsidP="00773E2A">
      <w:pPr>
        <w:keepNext/>
        <w:rPr>
          <w:rFonts w:ascii="Arial" w:hAnsi="Arial" w:cs="Arial"/>
          <w:b/>
          <w:bCs/>
          <w:iCs/>
          <w:sz w:val="24"/>
          <w:szCs w:val="24"/>
        </w:rPr>
      </w:pPr>
      <w:r w:rsidRPr="00414921">
        <w:rPr>
          <w:rFonts w:ascii="Arial" w:hAnsi="Arial" w:cs="Arial"/>
          <w:b/>
          <w:bCs/>
          <w:iCs/>
          <w:sz w:val="24"/>
          <w:szCs w:val="24"/>
        </w:rPr>
        <w:t>Rights engaged</w:t>
      </w:r>
    </w:p>
    <w:p w14:paraId="5730DBD6" w14:textId="77777777" w:rsidR="00D42B73" w:rsidRPr="00D42B73" w:rsidRDefault="00D42B73" w:rsidP="00773E2A">
      <w:pPr>
        <w:keepNext/>
        <w:rPr>
          <w:rFonts w:ascii="Arial" w:hAnsi="Arial" w:cs="Arial"/>
          <w:iCs/>
          <w:sz w:val="24"/>
          <w:szCs w:val="24"/>
        </w:rPr>
      </w:pPr>
      <w:r w:rsidRPr="00D42B73">
        <w:rPr>
          <w:rFonts w:ascii="Arial" w:hAnsi="Arial" w:cs="Arial"/>
          <w:iCs/>
          <w:sz w:val="24"/>
          <w:szCs w:val="24"/>
        </w:rPr>
        <w:t xml:space="preserve">Broadly, the Bill engages the following HR Act rights: </w:t>
      </w:r>
    </w:p>
    <w:p w14:paraId="0B3826D8" w14:textId="0C95DA17" w:rsidR="00B75D95" w:rsidRDefault="00B75D95" w:rsidP="00D42B73">
      <w:pPr>
        <w:pStyle w:val="ListParagraph"/>
        <w:numPr>
          <w:ilvl w:val="0"/>
          <w:numId w:val="6"/>
        </w:numPr>
        <w:rPr>
          <w:rFonts w:ascii="Arial" w:hAnsi="Arial" w:cs="Arial"/>
          <w:iCs/>
          <w:sz w:val="24"/>
          <w:szCs w:val="24"/>
        </w:rPr>
      </w:pPr>
      <w:r>
        <w:rPr>
          <w:rFonts w:ascii="Arial" w:hAnsi="Arial" w:cs="Arial"/>
          <w:iCs/>
          <w:sz w:val="24"/>
          <w:szCs w:val="24"/>
        </w:rPr>
        <w:t>Section 8 – Right to equality and non-discrimination</w:t>
      </w:r>
    </w:p>
    <w:p w14:paraId="15AE6646" w14:textId="03D7DCA4" w:rsidR="00D42B73" w:rsidRPr="00D42B73" w:rsidRDefault="00D42B73" w:rsidP="00D42B73">
      <w:pPr>
        <w:pStyle w:val="ListParagraph"/>
        <w:numPr>
          <w:ilvl w:val="0"/>
          <w:numId w:val="6"/>
        </w:numPr>
        <w:rPr>
          <w:rFonts w:ascii="Arial" w:hAnsi="Arial" w:cs="Arial"/>
          <w:iCs/>
          <w:sz w:val="24"/>
          <w:szCs w:val="24"/>
        </w:rPr>
      </w:pPr>
      <w:r w:rsidRPr="00D42B73">
        <w:rPr>
          <w:rFonts w:ascii="Arial" w:hAnsi="Arial" w:cs="Arial"/>
          <w:iCs/>
          <w:sz w:val="24"/>
          <w:szCs w:val="24"/>
        </w:rPr>
        <w:t>Section 11 – Protection of family and children</w:t>
      </w:r>
    </w:p>
    <w:p w14:paraId="5E9638FC" w14:textId="77777777" w:rsidR="00D42B73" w:rsidRPr="00D42B73" w:rsidRDefault="00D42B73" w:rsidP="00D42B73">
      <w:pPr>
        <w:pStyle w:val="ListParagraph"/>
        <w:numPr>
          <w:ilvl w:val="0"/>
          <w:numId w:val="6"/>
        </w:numPr>
        <w:rPr>
          <w:rFonts w:ascii="Arial" w:hAnsi="Arial" w:cs="Arial"/>
          <w:iCs/>
          <w:sz w:val="24"/>
          <w:szCs w:val="24"/>
        </w:rPr>
      </w:pPr>
      <w:r w:rsidRPr="00D42B73">
        <w:rPr>
          <w:rFonts w:ascii="Arial" w:hAnsi="Arial" w:cs="Arial"/>
          <w:iCs/>
          <w:sz w:val="24"/>
          <w:szCs w:val="24"/>
        </w:rPr>
        <w:t>Section 12 – Right to privacy and reputation</w:t>
      </w:r>
    </w:p>
    <w:p w14:paraId="4415062B" w14:textId="77777777" w:rsidR="00D42B73" w:rsidRPr="00D42B73" w:rsidRDefault="00D42B73" w:rsidP="00D42B73">
      <w:pPr>
        <w:pStyle w:val="ListParagraph"/>
        <w:numPr>
          <w:ilvl w:val="0"/>
          <w:numId w:val="6"/>
        </w:numPr>
        <w:rPr>
          <w:rFonts w:ascii="Arial" w:hAnsi="Arial" w:cs="Arial"/>
          <w:iCs/>
          <w:sz w:val="24"/>
          <w:szCs w:val="24"/>
        </w:rPr>
      </w:pPr>
      <w:r w:rsidRPr="00D42B73">
        <w:rPr>
          <w:rFonts w:ascii="Arial" w:hAnsi="Arial" w:cs="Arial"/>
          <w:iCs/>
          <w:sz w:val="24"/>
          <w:szCs w:val="24"/>
        </w:rPr>
        <w:t>Section 13 – Freedom of movement</w:t>
      </w:r>
    </w:p>
    <w:p w14:paraId="44E4598A" w14:textId="1C57D995" w:rsidR="00CF345D" w:rsidRDefault="00D42B73" w:rsidP="00CF345D">
      <w:pPr>
        <w:pStyle w:val="ListParagraph"/>
        <w:numPr>
          <w:ilvl w:val="0"/>
          <w:numId w:val="6"/>
        </w:numPr>
        <w:rPr>
          <w:rFonts w:ascii="Arial" w:hAnsi="Arial" w:cs="Arial"/>
          <w:iCs/>
          <w:sz w:val="24"/>
          <w:szCs w:val="24"/>
        </w:rPr>
      </w:pPr>
      <w:r w:rsidRPr="00D42B73">
        <w:rPr>
          <w:rFonts w:ascii="Arial" w:hAnsi="Arial" w:cs="Arial"/>
          <w:iCs/>
          <w:sz w:val="24"/>
          <w:szCs w:val="24"/>
        </w:rPr>
        <w:t>Section 18 – Right to liberty and security of person</w:t>
      </w:r>
    </w:p>
    <w:p w14:paraId="659D4AAB" w14:textId="033F76F3" w:rsidR="00CF345D" w:rsidRPr="008D20AE" w:rsidRDefault="00B75D95" w:rsidP="00CF345D">
      <w:pPr>
        <w:pStyle w:val="ListParagraph"/>
        <w:numPr>
          <w:ilvl w:val="0"/>
          <w:numId w:val="6"/>
        </w:numPr>
        <w:rPr>
          <w:rFonts w:ascii="Arial" w:hAnsi="Arial" w:cs="Arial"/>
          <w:iCs/>
          <w:sz w:val="24"/>
          <w:szCs w:val="24"/>
        </w:rPr>
      </w:pPr>
      <w:r>
        <w:rPr>
          <w:rFonts w:ascii="Arial" w:hAnsi="Arial" w:cs="Arial"/>
          <w:iCs/>
          <w:sz w:val="24"/>
          <w:szCs w:val="24"/>
        </w:rPr>
        <w:t xml:space="preserve">Section 27B – Right to work </w:t>
      </w:r>
    </w:p>
    <w:p w14:paraId="774721D1" w14:textId="6BBA86C4" w:rsidR="00E90DF9" w:rsidRPr="00BC3EF0" w:rsidRDefault="00E90DF9" w:rsidP="007278C6">
      <w:pPr>
        <w:keepNext/>
        <w:spacing w:before="240"/>
        <w:rPr>
          <w:rFonts w:ascii="Arial" w:hAnsi="Arial" w:cs="Arial"/>
          <w:b/>
          <w:bCs/>
          <w:i/>
          <w:sz w:val="24"/>
          <w:szCs w:val="24"/>
        </w:rPr>
      </w:pPr>
      <w:r w:rsidRPr="00BC3EF0">
        <w:rPr>
          <w:rFonts w:ascii="Arial" w:hAnsi="Arial" w:cs="Arial"/>
          <w:b/>
          <w:bCs/>
          <w:i/>
          <w:sz w:val="24"/>
          <w:szCs w:val="24"/>
        </w:rPr>
        <w:t>Rights Promoted</w:t>
      </w:r>
    </w:p>
    <w:p w14:paraId="4991AD3C" w14:textId="7D03BD84" w:rsidR="00CF345D" w:rsidRPr="008D20AE" w:rsidRDefault="00CF345D" w:rsidP="00D42B73">
      <w:pPr>
        <w:rPr>
          <w:rFonts w:ascii="Arial" w:hAnsi="Arial" w:cs="Arial"/>
          <w:i/>
          <w:sz w:val="24"/>
          <w:szCs w:val="24"/>
          <w:u w:val="single"/>
        </w:rPr>
      </w:pPr>
      <w:r w:rsidRPr="008D20AE">
        <w:rPr>
          <w:rFonts w:ascii="Arial" w:hAnsi="Arial" w:cs="Arial"/>
          <w:i/>
          <w:sz w:val="24"/>
          <w:szCs w:val="24"/>
          <w:u w:val="single"/>
        </w:rPr>
        <w:t>Police powers amendments</w:t>
      </w:r>
    </w:p>
    <w:p w14:paraId="76DC8B7A" w14:textId="6DD1065C" w:rsidR="00D42B73" w:rsidRPr="00D42B73" w:rsidRDefault="00D42B73" w:rsidP="00D42B73">
      <w:pPr>
        <w:rPr>
          <w:rFonts w:ascii="Arial" w:hAnsi="Arial" w:cs="Arial"/>
          <w:iCs/>
          <w:sz w:val="24"/>
          <w:szCs w:val="24"/>
        </w:rPr>
      </w:pPr>
      <w:r w:rsidRPr="00D42B73">
        <w:rPr>
          <w:rFonts w:ascii="Arial" w:hAnsi="Arial" w:cs="Arial"/>
          <w:iCs/>
          <w:sz w:val="24"/>
          <w:szCs w:val="24"/>
        </w:rPr>
        <w:t xml:space="preserve">The Bill engages and </w:t>
      </w:r>
      <w:r w:rsidR="00FD3E39">
        <w:rPr>
          <w:rFonts w:ascii="Arial" w:hAnsi="Arial" w:cs="Arial"/>
          <w:iCs/>
          <w:sz w:val="24"/>
          <w:szCs w:val="24"/>
        </w:rPr>
        <w:t>promotes</w:t>
      </w:r>
      <w:r w:rsidR="00FD3E39" w:rsidRPr="00D42B73">
        <w:rPr>
          <w:rFonts w:ascii="Arial" w:hAnsi="Arial" w:cs="Arial"/>
          <w:iCs/>
          <w:sz w:val="24"/>
          <w:szCs w:val="24"/>
        </w:rPr>
        <w:t xml:space="preserve"> </w:t>
      </w:r>
      <w:r w:rsidRPr="00D42B73">
        <w:rPr>
          <w:rFonts w:ascii="Arial" w:hAnsi="Arial" w:cs="Arial"/>
          <w:iCs/>
          <w:sz w:val="24"/>
          <w:szCs w:val="24"/>
        </w:rPr>
        <w:t>the following rights:</w:t>
      </w:r>
    </w:p>
    <w:p w14:paraId="05DFB77E" w14:textId="77777777" w:rsidR="00D42B73" w:rsidRDefault="00D42B73" w:rsidP="00D42B73">
      <w:pPr>
        <w:pStyle w:val="ListParagraph"/>
        <w:numPr>
          <w:ilvl w:val="0"/>
          <w:numId w:val="8"/>
        </w:numPr>
        <w:rPr>
          <w:rFonts w:ascii="Arial" w:hAnsi="Arial" w:cs="Arial"/>
          <w:iCs/>
          <w:sz w:val="24"/>
          <w:szCs w:val="24"/>
        </w:rPr>
      </w:pPr>
      <w:r w:rsidRPr="00D42B73">
        <w:rPr>
          <w:rFonts w:ascii="Arial" w:hAnsi="Arial" w:cs="Arial"/>
          <w:iCs/>
          <w:sz w:val="24"/>
          <w:szCs w:val="24"/>
        </w:rPr>
        <w:t>Section 11 – Protection of family and children</w:t>
      </w:r>
    </w:p>
    <w:p w14:paraId="11937474" w14:textId="77777777" w:rsidR="00FD3E39" w:rsidRPr="00D42B73" w:rsidRDefault="00FD3E39" w:rsidP="00FD3E39">
      <w:pPr>
        <w:pStyle w:val="ListParagraph"/>
        <w:numPr>
          <w:ilvl w:val="0"/>
          <w:numId w:val="8"/>
        </w:numPr>
        <w:rPr>
          <w:rFonts w:ascii="Arial" w:hAnsi="Arial" w:cs="Arial"/>
          <w:iCs/>
          <w:sz w:val="24"/>
          <w:szCs w:val="24"/>
        </w:rPr>
      </w:pPr>
      <w:r w:rsidRPr="00D42B73">
        <w:rPr>
          <w:rFonts w:ascii="Arial" w:hAnsi="Arial" w:cs="Arial"/>
          <w:iCs/>
          <w:sz w:val="24"/>
          <w:szCs w:val="24"/>
        </w:rPr>
        <w:t>Section 12 – Right to privacy and reputation</w:t>
      </w:r>
    </w:p>
    <w:p w14:paraId="60E73019" w14:textId="77777777" w:rsidR="00FD3E39" w:rsidRDefault="00FD3E39" w:rsidP="00FD3E39">
      <w:pPr>
        <w:pStyle w:val="ListParagraph"/>
        <w:numPr>
          <w:ilvl w:val="0"/>
          <w:numId w:val="8"/>
        </w:numPr>
        <w:rPr>
          <w:rFonts w:ascii="Arial" w:hAnsi="Arial" w:cs="Arial"/>
          <w:iCs/>
          <w:sz w:val="24"/>
          <w:szCs w:val="24"/>
        </w:rPr>
      </w:pPr>
      <w:r w:rsidRPr="00D42B73">
        <w:rPr>
          <w:rFonts w:ascii="Arial" w:hAnsi="Arial" w:cs="Arial"/>
          <w:iCs/>
          <w:sz w:val="24"/>
          <w:szCs w:val="24"/>
        </w:rPr>
        <w:t>Section 13 – Freedom of movement</w:t>
      </w:r>
    </w:p>
    <w:p w14:paraId="5CC26F6B" w14:textId="72B79554" w:rsidR="00D42B73" w:rsidRPr="00D42B73" w:rsidRDefault="00FD3E39" w:rsidP="00A13321">
      <w:pPr>
        <w:pStyle w:val="ListParagraph"/>
      </w:pPr>
      <w:r w:rsidRPr="008D20AE">
        <w:rPr>
          <w:rFonts w:ascii="Arial" w:hAnsi="Arial" w:cs="Arial"/>
          <w:iCs/>
          <w:sz w:val="24"/>
          <w:szCs w:val="24"/>
        </w:rPr>
        <w:t>Section 18 – Right to liberty and security of person</w:t>
      </w:r>
    </w:p>
    <w:p w14:paraId="0DCEE36E" w14:textId="517440F6" w:rsidR="00FD3E39" w:rsidRPr="008D20AE" w:rsidRDefault="00CF345D" w:rsidP="002B7212">
      <w:pPr>
        <w:rPr>
          <w:rFonts w:ascii="Arial" w:hAnsi="Arial" w:cs="Arial"/>
          <w:iCs/>
          <w:sz w:val="24"/>
          <w:szCs w:val="24"/>
        </w:rPr>
      </w:pPr>
      <w:r>
        <w:rPr>
          <w:rFonts w:ascii="Arial" w:hAnsi="Arial" w:cs="Arial"/>
          <w:iCs/>
          <w:sz w:val="24"/>
          <w:szCs w:val="24"/>
        </w:rPr>
        <w:br/>
      </w:r>
      <w:r w:rsidR="00FD3E39">
        <w:rPr>
          <w:rFonts w:ascii="Arial" w:hAnsi="Arial" w:cs="Arial"/>
          <w:iCs/>
          <w:sz w:val="24"/>
          <w:szCs w:val="24"/>
        </w:rPr>
        <w:t xml:space="preserve">The Bill promotes these rights by imposing additional requirements </w:t>
      </w:r>
      <w:r w:rsidR="00062A66">
        <w:rPr>
          <w:rFonts w:ascii="Arial" w:hAnsi="Arial" w:cs="Arial"/>
          <w:iCs/>
          <w:sz w:val="24"/>
          <w:szCs w:val="24"/>
        </w:rPr>
        <w:t xml:space="preserve">(that function as safeguards) </w:t>
      </w:r>
      <w:r w:rsidR="00FD3E39">
        <w:rPr>
          <w:rFonts w:ascii="Arial" w:hAnsi="Arial" w:cs="Arial"/>
          <w:iCs/>
          <w:sz w:val="24"/>
          <w:szCs w:val="24"/>
        </w:rPr>
        <w:t>in relation to</w:t>
      </w:r>
      <w:r w:rsidR="008D172C">
        <w:rPr>
          <w:rFonts w:ascii="Arial" w:hAnsi="Arial" w:cs="Arial"/>
          <w:iCs/>
          <w:sz w:val="24"/>
          <w:szCs w:val="24"/>
        </w:rPr>
        <w:t xml:space="preserve"> the exercise of police powers that interfere with a young person’s autonomy, freedom of movement or liberty, namely</w:t>
      </w:r>
      <w:r w:rsidR="00FD3E39">
        <w:rPr>
          <w:rFonts w:ascii="Arial" w:hAnsi="Arial" w:cs="Arial"/>
          <w:iCs/>
          <w:sz w:val="24"/>
          <w:szCs w:val="24"/>
        </w:rPr>
        <w:t xml:space="preserve">: </w:t>
      </w:r>
    </w:p>
    <w:p w14:paraId="16DFB322" w14:textId="4AECB3B7" w:rsidR="002B7212" w:rsidRPr="00DA1280" w:rsidRDefault="002B7212" w:rsidP="002B7212">
      <w:pPr>
        <w:pStyle w:val="ListParagraph"/>
        <w:numPr>
          <w:ilvl w:val="0"/>
          <w:numId w:val="6"/>
        </w:numPr>
        <w:spacing w:after="120" w:line="276" w:lineRule="auto"/>
        <w:ind w:right="-45"/>
        <w:rPr>
          <w:rFonts w:ascii="Arial" w:hAnsi="Arial" w:cs="Arial"/>
          <w:iCs/>
          <w:sz w:val="24"/>
          <w:szCs w:val="24"/>
        </w:rPr>
      </w:pPr>
      <w:r>
        <w:rPr>
          <w:rFonts w:ascii="Arial" w:hAnsi="Arial" w:cs="Arial"/>
          <w:iCs/>
          <w:sz w:val="24"/>
          <w:szCs w:val="24"/>
        </w:rPr>
        <w:t>when a search warrant may be issued</w:t>
      </w:r>
      <w:r w:rsidR="003B1642">
        <w:rPr>
          <w:rFonts w:ascii="Arial" w:hAnsi="Arial" w:cs="Arial"/>
          <w:iCs/>
          <w:sz w:val="24"/>
          <w:szCs w:val="24"/>
        </w:rPr>
        <w:t>;</w:t>
      </w:r>
    </w:p>
    <w:p w14:paraId="1EE7F05A" w14:textId="11709D62" w:rsidR="002B7212" w:rsidRDefault="002B7212" w:rsidP="002B7212">
      <w:pPr>
        <w:pStyle w:val="ListParagraph"/>
        <w:numPr>
          <w:ilvl w:val="0"/>
          <w:numId w:val="6"/>
        </w:numPr>
        <w:spacing w:after="120" w:line="276" w:lineRule="auto"/>
        <w:ind w:right="-45"/>
        <w:rPr>
          <w:rFonts w:ascii="Arial" w:hAnsi="Arial" w:cs="Arial"/>
          <w:iCs/>
          <w:sz w:val="24"/>
          <w:szCs w:val="24"/>
        </w:rPr>
      </w:pPr>
      <w:r>
        <w:rPr>
          <w:rFonts w:ascii="Arial" w:hAnsi="Arial" w:cs="Arial"/>
          <w:iCs/>
          <w:sz w:val="24"/>
          <w:szCs w:val="24"/>
        </w:rPr>
        <w:t>when the police may</w:t>
      </w:r>
      <w:r w:rsidRPr="00DA1280">
        <w:rPr>
          <w:rFonts w:ascii="Arial" w:hAnsi="Arial" w:cs="Arial"/>
          <w:iCs/>
          <w:sz w:val="24"/>
          <w:szCs w:val="24"/>
        </w:rPr>
        <w:t xml:space="preserve"> stop, search, or detain people under 14 years of age</w:t>
      </w:r>
      <w:r>
        <w:rPr>
          <w:rFonts w:ascii="Arial" w:hAnsi="Arial" w:cs="Arial"/>
          <w:iCs/>
          <w:sz w:val="24"/>
          <w:szCs w:val="24"/>
        </w:rPr>
        <w:t xml:space="preserve"> without a warrant; and</w:t>
      </w:r>
    </w:p>
    <w:p w14:paraId="54C0765B" w14:textId="1B1FB041" w:rsidR="002B7212" w:rsidRPr="008D20AE" w:rsidRDefault="002B7212" w:rsidP="008D20AE">
      <w:pPr>
        <w:pStyle w:val="ListParagraph"/>
        <w:numPr>
          <w:ilvl w:val="0"/>
          <w:numId w:val="6"/>
        </w:numPr>
        <w:spacing w:after="120" w:line="276" w:lineRule="auto"/>
        <w:ind w:right="-45"/>
        <w:rPr>
          <w:rFonts w:ascii="Arial" w:hAnsi="Arial" w:cs="Arial"/>
          <w:iCs/>
          <w:sz w:val="24"/>
          <w:szCs w:val="24"/>
        </w:rPr>
      </w:pPr>
      <w:r>
        <w:rPr>
          <w:rFonts w:ascii="Arial" w:hAnsi="Arial" w:cs="Arial"/>
          <w:iCs/>
          <w:sz w:val="24"/>
          <w:szCs w:val="24"/>
        </w:rPr>
        <w:t>when police may take a person under 14 years of age to their parent or another responsible person or appropriate agency, after stopping, searching or detaining them</w:t>
      </w:r>
      <w:r w:rsidRPr="00DA1280">
        <w:rPr>
          <w:rFonts w:ascii="Arial" w:hAnsi="Arial" w:cs="Arial"/>
          <w:iCs/>
          <w:sz w:val="24"/>
          <w:szCs w:val="24"/>
        </w:rPr>
        <w:t>.</w:t>
      </w:r>
    </w:p>
    <w:p w14:paraId="0583F91E" w14:textId="1B4FB2BD" w:rsidR="007D2F2E" w:rsidRDefault="00CF345D" w:rsidP="00D42B73">
      <w:pPr>
        <w:rPr>
          <w:rFonts w:ascii="Arial" w:hAnsi="Arial" w:cs="Arial"/>
          <w:iCs/>
          <w:sz w:val="24"/>
          <w:szCs w:val="24"/>
        </w:rPr>
      </w:pPr>
      <w:r>
        <w:rPr>
          <w:rFonts w:ascii="Arial" w:hAnsi="Arial" w:cs="Arial"/>
          <w:iCs/>
          <w:sz w:val="24"/>
          <w:szCs w:val="24"/>
        </w:rPr>
        <w:t xml:space="preserve">These rights </w:t>
      </w:r>
      <w:r w:rsidR="003C3107">
        <w:rPr>
          <w:rFonts w:ascii="Arial" w:hAnsi="Arial" w:cs="Arial"/>
          <w:iCs/>
          <w:sz w:val="24"/>
          <w:szCs w:val="24"/>
        </w:rPr>
        <w:t xml:space="preserve">of young people </w:t>
      </w:r>
      <w:r>
        <w:rPr>
          <w:rFonts w:ascii="Arial" w:hAnsi="Arial" w:cs="Arial"/>
          <w:iCs/>
          <w:sz w:val="24"/>
          <w:szCs w:val="24"/>
        </w:rPr>
        <w:t xml:space="preserve">are promoted because the Bill introduces a new framework to ensure that </w:t>
      </w:r>
      <w:r w:rsidR="008D172C">
        <w:rPr>
          <w:rFonts w:ascii="Arial" w:hAnsi="Arial" w:cs="Arial"/>
          <w:iCs/>
          <w:sz w:val="24"/>
          <w:szCs w:val="24"/>
        </w:rPr>
        <w:t xml:space="preserve">these </w:t>
      </w:r>
      <w:r>
        <w:rPr>
          <w:rFonts w:ascii="Arial" w:hAnsi="Arial" w:cs="Arial"/>
          <w:iCs/>
          <w:sz w:val="24"/>
          <w:szCs w:val="24"/>
        </w:rPr>
        <w:t xml:space="preserve">powers are used in a way which </w:t>
      </w:r>
      <w:r w:rsidR="008D172C">
        <w:rPr>
          <w:rFonts w:ascii="Arial" w:hAnsi="Arial" w:cs="Arial"/>
          <w:iCs/>
          <w:sz w:val="24"/>
          <w:szCs w:val="24"/>
        </w:rPr>
        <w:t>is</w:t>
      </w:r>
      <w:r>
        <w:rPr>
          <w:rFonts w:ascii="Arial" w:hAnsi="Arial" w:cs="Arial"/>
          <w:iCs/>
          <w:sz w:val="24"/>
          <w:szCs w:val="24"/>
        </w:rPr>
        <w:t xml:space="preserve"> necessary, proportionate, and well</w:t>
      </w:r>
      <w:r>
        <w:rPr>
          <w:rFonts w:ascii="Arial" w:hAnsi="Arial" w:cs="Arial"/>
          <w:iCs/>
          <w:sz w:val="24"/>
          <w:szCs w:val="24"/>
        </w:rPr>
        <w:noBreakHyphen/>
        <w:t xml:space="preserve">adapted to achieve the dual purposes of limiting the contact of young people under the MACR </w:t>
      </w:r>
      <w:r w:rsidRPr="00B44A98">
        <w:rPr>
          <w:rFonts w:ascii="Arial" w:hAnsi="Arial" w:cs="Arial"/>
          <w:iCs/>
          <w:sz w:val="24"/>
          <w:szCs w:val="24"/>
        </w:rPr>
        <w:t xml:space="preserve">with the criminal justice system and protecting community safety and public order. </w:t>
      </w:r>
    </w:p>
    <w:p w14:paraId="5D31AE0B" w14:textId="2EF2152F" w:rsidR="00CF345D" w:rsidRPr="00B44A98" w:rsidRDefault="007D2F2E" w:rsidP="00D42B73">
      <w:pPr>
        <w:rPr>
          <w:rFonts w:ascii="Arial" w:hAnsi="Arial" w:cs="Arial"/>
          <w:iCs/>
          <w:sz w:val="24"/>
          <w:szCs w:val="24"/>
        </w:rPr>
      </w:pPr>
      <w:r>
        <w:rPr>
          <w:rFonts w:ascii="Arial" w:hAnsi="Arial" w:cs="Arial"/>
          <w:iCs/>
          <w:sz w:val="24"/>
          <w:szCs w:val="24"/>
        </w:rPr>
        <w:t xml:space="preserve">For example, </w:t>
      </w:r>
      <w:r w:rsidRPr="0026201F">
        <w:rPr>
          <w:rFonts w:ascii="Arial" w:hAnsi="Arial" w:cs="Arial"/>
          <w:iCs/>
          <w:sz w:val="24"/>
          <w:szCs w:val="24"/>
        </w:rPr>
        <w:t>s</w:t>
      </w:r>
      <w:r w:rsidR="0091346F" w:rsidRPr="0026201F">
        <w:rPr>
          <w:rFonts w:ascii="Arial" w:hAnsi="Arial" w:cs="Arial"/>
          <w:iCs/>
          <w:sz w:val="24"/>
          <w:szCs w:val="24"/>
        </w:rPr>
        <w:t>ection 252AC of the Bill raises the thres</w:t>
      </w:r>
      <w:r w:rsidR="0091346F">
        <w:rPr>
          <w:rFonts w:ascii="Arial" w:hAnsi="Arial" w:cs="Arial"/>
          <w:iCs/>
          <w:sz w:val="24"/>
          <w:szCs w:val="24"/>
        </w:rPr>
        <w:t xml:space="preserve">hold for the use of stop, search </w:t>
      </w:r>
      <w:r w:rsidR="00C76A77">
        <w:rPr>
          <w:rFonts w:ascii="Arial" w:hAnsi="Arial" w:cs="Arial"/>
          <w:iCs/>
          <w:sz w:val="24"/>
          <w:szCs w:val="24"/>
        </w:rPr>
        <w:t>or</w:t>
      </w:r>
      <w:r w:rsidR="0091346F">
        <w:rPr>
          <w:rFonts w:ascii="Arial" w:hAnsi="Arial" w:cs="Arial"/>
          <w:iCs/>
          <w:sz w:val="24"/>
          <w:szCs w:val="24"/>
        </w:rPr>
        <w:t xml:space="preserve"> det</w:t>
      </w:r>
      <w:r w:rsidR="00C76A77">
        <w:rPr>
          <w:rFonts w:ascii="Arial" w:hAnsi="Arial" w:cs="Arial"/>
          <w:iCs/>
          <w:sz w:val="24"/>
          <w:szCs w:val="24"/>
        </w:rPr>
        <w:t>ention</w:t>
      </w:r>
      <w:r w:rsidR="0091346F">
        <w:rPr>
          <w:rFonts w:ascii="Arial" w:hAnsi="Arial" w:cs="Arial"/>
          <w:iCs/>
          <w:sz w:val="24"/>
          <w:szCs w:val="24"/>
        </w:rPr>
        <w:t xml:space="preserve"> powers for a person under 14 years old from reasonable suspicion to </w:t>
      </w:r>
      <w:r w:rsidR="00C76A77">
        <w:rPr>
          <w:rFonts w:ascii="Arial" w:hAnsi="Arial" w:cs="Arial"/>
          <w:iCs/>
          <w:sz w:val="24"/>
          <w:szCs w:val="24"/>
        </w:rPr>
        <w:t xml:space="preserve">belief on </w:t>
      </w:r>
      <w:r w:rsidR="0091346F">
        <w:rPr>
          <w:rFonts w:ascii="Arial" w:hAnsi="Arial" w:cs="Arial"/>
          <w:iCs/>
          <w:sz w:val="24"/>
          <w:szCs w:val="24"/>
        </w:rPr>
        <w:t xml:space="preserve">reasonable </w:t>
      </w:r>
      <w:r w:rsidR="00C76A77">
        <w:rPr>
          <w:rFonts w:ascii="Arial" w:hAnsi="Arial" w:cs="Arial"/>
          <w:iCs/>
          <w:sz w:val="24"/>
          <w:szCs w:val="24"/>
        </w:rPr>
        <w:t>grounds</w:t>
      </w:r>
      <w:r w:rsidR="0091346F">
        <w:rPr>
          <w:rFonts w:ascii="Arial" w:hAnsi="Arial" w:cs="Arial"/>
          <w:iCs/>
          <w:sz w:val="24"/>
          <w:szCs w:val="24"/>
        </w:rPr>
        <w:t xml:space="preserve">. This higher threshold aims to ensure </w:t>
      </w:r>
      <w:r w:rsidR="007C164F">
        <w:rPr>
          <w:rFonts w:ascii="Arial" w:hAnsi="Arial" w:cs="Arial"/>
          <w:iCs/>
          <w:sz w:val="24"/>
          <w:szCs w:val="24"/>
        </w:rPr>
        <w:t xml:space="preserve">police </w:t>
      </w:r>
      <w:r w:rsidR="00F8563B">
        <w:rPr>
          <w:rFonts w:ascii="Arial" w:hAnsi="Arial" w:cs="Arial"/>
          <w:iCs/>
          <w:sz w:val="24"/>
          <w:szCs w:val="24"/>
        </w:rPr>
        <w:t xml:space="preserve">interactions with a person under 14 years occur with more caution. This promotes </w:t>
      </w:r>
      <w:r w:rsidR="0091346F">
        <w:rPr>
          <w:rFonts w:ascii="Arial" w:hAnsi="Arial" w:cs="Arial"/>
          <w:iCs/>
          <w:sz w:val="24"/>
          <w:szCs w:val="24"/>
        </w:rPr>
        <w:t>the right</w:t>
      </w:r>
      <w:r w:rsidR="00F8563B">
        <w:rPr>
          <w:rFonts w:ascii="Arial" w:hAnsi="Arial" w:cs="Arial"/>
          <w:iCs/>
          <w:sz w:val="24"/>
          <w:szCs w:val="24"/>
        </w:rPr>
        <w:t>s</w:t>
      </w:r>
      <w:r w:rsidR="0091346F">
        <w:rPr>
          <w:rFonts w:ascii="Arial" w:hAnsi="Arial" w:cs="Arial"/>
          <w:iCs/>
          <w:sz w:val="24"/>
          <w:szCs w:val="24"/>
        </w:rPr>
        <w:t xml:space="preserve"> to privacy, freedom of movement and liberty and </w:t>
      </w:r>
      <w:r w:rsidR="00C76A77">
        <w:rPr>
          <w:rFonts w:ascii="Arial" w:hAnsi="Arial" w:cs="Arial"/>
          <w:iCs/>
          <w:sz w:val="24"/>
          <w:szCs w:val="24"/>
        </w:rPr>
        <w:t xml:space="preserve">security </w:t>
      </w:r>
      <w:r w:rsidR="0091346F">
        <w:rPr>
          <w:rFonts w:ascii="Arial" w:hAnsi="Arial" w:cs="Arial"/>
          <w:iCs/>
          <w:sz w:val="24"/>
          <w:szCs w:val="24"/>
        </w:rPr>
        <w:t xml:space="preserve">of </w:t>
      </w:r>
      <w:r w:rsidR="0091346F">
        <w:rPr>
          <w:rFonts w:ascii="Arial" w:hAnsi="Arial" w:cs="Arial"/>
          <w:iCs/>
          <w:sz w:val="24"/>
          <w:szCs w:val="24"/>
        </w:rPr>
        <w:lastRenderedPageBreak/>
        <w:t>person</w:t>
      </w:r>
      <w:r w:rsidR="00F8563B">
        <w:rPr>
          <w:rFonts w:ascii="Arial" w:hAnsi="Arial" w:cs="Arial"/>
          <w:iCs/>
          <w:sz w:val="24"/>
          <w:szCs w:val="24"/>
        </w:rPr>
        <w:t xml:space="preserve">, all of which are engaged </w:t>
      </w:r>
      <w:r w:rsidR="0091346F">
        <w:rPr>
          <w:rFonts w:ascii="Arial" w:hAnsi="Arial" w:cs="Arial"/>
          <w:iCs/>
          <w:sz w:val="24"/>
          <w:szCs w:val="24"/>
        </w:rPr>
        <w:t xml:space="preserve">when </w:t>
      </w:r>
      <w:r w:rsidR="00F8563B">
        <w:rPr>
          <w:rFonts w:ascii="Arial" w:hAnsi="Arial" w:cs="Arial"/>
          <w:iCs/>
          <w:sz w:val="24"/>
          <w:szCs w:val="24"/>
        </w:rPr>
        <w:t>police exercise their powers</w:t>
      </w:r>
      <w:r w:rsidR="0091346F">
        <w:rPr>
          <w:rFonts w:ascii="Arial" w:hAnsi="Arial" w:cs="Arial"/>
          <w:iCs/>
          <w:sz w:val="24"/>
          <w:szCs w:val="24"/>
        </w:rPr>
        <w:t xml:space="preserve">. This meets the purpose of reducing children’s interaction with police and criminal justice system. </w:t>
      </w:r>
    </w:p>
    <w:p w14:paraId="5ECAB8B9" w14:textId="7AF64014" w:rsidR="00CF345D" w:rsidRPr="00B44A98" w:rsidRDefault="00CF345D" w:rsidP="00D42B73">
      <w:pPr>
        <w:rPr>
          <w:rFonts w:ascii="Arial" w:hAnsi="Arial" w:cs="Arial"/>
          <w:iCs/>
          <w:sz w:val="24"/>
          <w:szCs w:val="24"/>
        </w:rPr>
      </w:pPr>
      <w:r w:rsidRPr="00B44A98">
        <w:rPr>
          <w:rFonts w:ascii="Arial" w:hAnsi="Arial" w:cs="Arial"/>
          <w:iCs/>
          <w:sz w:val="24"/>
          <w:szCs w:val="24"/>
        </w:rPr>
        <w:t>Th</w:t>
      </w:r>
      <w:r w:rsidR="008D172C" w:rsidRPr="00B44A98">
        <w:rPr>
          <w:rFonts w:ascii="Arial" w:hAnsi="Arial" w:cs="Arial"/>
          <w:iCs/>
          <w:sz w:val="24"/>
          <w:szCs w:val="24"/>
        </w:rPr>
        <w:t xml:space="preserve">e Bill complements other existing </w:t>
      </w:r>
      <w:r w:rsidR="00FF5547" w:rsidRPr="00B44A98">
        <w:rPr>
          <w:rFonts w:ascii="Arial" w:hAnsi="Arial" w:cs="Arial"/>
          <w:iCs/>
          <w:sz w:val="24"/>
          <w:szCs w:val="24"/>
        </w:rPr>
        <w:t xml:space="preserve">legal rules (in statute and common law) </w:t>
      </w:r>
      <w:r w:rsidR="008D172C" w:rsidRPr="00B44A98">
        <w:rPr>
          <w:rFonts w:ascii="Arial" w:hAnsi="Arial" w:cs="Arial"/>
          <w:iCs/>
          <w:sz w:val="24"/>
          <w:szCs w:val="24"/>
        </w:rPr>
        <w:t>which protect children and young people from unreasonable or arbitrary interference with police (</w:t>
      </w:r>
      <w:r w:rsidR="008D172C" w:rsidRPr="006C2C68">
        <w:rPr>
          <w:rFonts w:ascii="Arial" w:hAnsi="Arial" w:cs="Arial"/>
          <w:iCs/>
          <w:sz w:val="24"/>
          <w:szCs w:val="24"/>
        </w:rPr>
        <w:t>see further below</w:t>
      </w:r>
      <w:r w:rsidR="008D172C" w:rsidRPr="00B44A98">
        <w:rPr>
          <w:rFonts w:ascii="Arial" w:hAnsi="Arial" w:cs="Arial"/>
          <w:iCs/>
          <w:sz w:val="24"/>
          <w:szCs w:val="24"/>
        </w:rPr>
        <w:t xml:space="preserve">). </w:t>
      </w:r>
    </w:p>
    <w:p w14:paraId="20307AFA" w14:textId="2DD47168" w:rsidR="004316C2" w:rsidRDefault="005823D5" w:rsidP="00D42B73">
      <w:pPr>
        <w:rPr>
          <w:rFonts w:ascii="Arial" w:hAnsi="Arial" w:cs="Arial"/>
          <w:iCs/>
          <w:sz w:val="24"/>
          <w:szCs w:val="24"/>
        </w:rPr>
      </w:pPr>
      <w:r w:rsidRPr="005823D5">
        <w:rPr>
          <w:rFonts w:ascii="Arial" w:hAnsi="Arial" w:cs="Arial"/>
          <w:iCs/>
          <w:sz w:val="24"/>
          <w:szCs w:val="24"/>
        </w:rPr>
        <w:t>By ensuring that police powers</w:t>
      </w:r>
      <w:r w:rsidR="00F42B16">
        <w:rPr>
          <w:rFonts w:ascii="Arial" w:hAnsi="Arial" w:cs="Arial"/>
          <w:iCs/>
          <w:sz w:val="24"/>
          <w:szCs w:val="24"/>
        </w:rPr>
        <w:t xml:space="preserve"> </w:t>
      </w:r>
      <w:r w:rsidR="004316C2" w:rsidRPr="00B44A98">
        <w:rPr>
          <w:rFonts w:ascii="Arial" w:hAnsi="Arial" w:cs="Arial"/>
          <w:iCs/>
          <w:sz w:val="24"/>
          <w:szCs w:val="24"/>
        </w:rPr>
        <w:t>are specially adapted to the unique needs and vulnerabilities of persons under the MACR</w:t>
      </w:r>
      <w:r>
        <w:rPr>
          <w:rFonts w:ascii="Arial" w:hAnsi="Arial" w:cs="Arial"/>
          <w:iCs/>
          <w:sz w:val="24"/>
          <w:szCs w:val="24"/>
        </w:rPr>
        <w:t>, the Bill</w:t>
      </w:r>
      <w:r w:rsidR="004316C2" w:rsidRPr="00B44A98">
        <w:rPr>
          <w:rFonts w:ascii="Arial" w:hAnsi="Arial" w:cs="Arial"/>
          <w:iCs/>
          <w:sz w:val="24"/>
          <w:szCs w:val="24"/>
        </w:rPr>
        <w:t xml:space="preserve"> promote</w:t>
      </w:r>
      <w:r>
        <w:rPr>
          <w:rFonts w:ascii="Arial" w:hAnsi="Arial" w:cs="Arial"/>
          <w:iCs/>
          <w:sz w:val="24"/>
          <w:szCs w:val="24"/>
        </w:rPr>
        <w:t>s</w:t>
      </w:r>
      <w:r w:rsidR="004316C2" w:rsidRPr="00B44A98">
        <w:rPr>
          <w:rFonts w:ascii="Arial" w:hAnsi="Arial" w:cs="Arial"/>
          <w:iCs/>
          <w:sz w:val="24"/>
          <w:szCs w:val="24"/>
        </w:rPr>
        <w:t xml:space="preserve"> the right of the child to the protection they need by virtue of </w:t>
      </w:r>
      <w:r w:rsidR="00A13321" w:rsidRPr="00B44A98">
        <w:rPr>
          <w:rFonts w:ascii="Arial" w:hAnsi="Arial" w:cs="Arial"/>
          <w:iCs/>
          <w:sz w:val="24"/>
          <w:szCs w:val="24"/>
        </w:rPr>
        <w:t>being a child</w:t>
      </w:r>
      <w:r w:rsidR="004316C2" w:rsidRPr="00B44A98">
        <w:rPr>
          <w:rFonts w:ascii="Arial" w:hAnsi="Arial" w:cs="Arial"/>
          <w:iCs/>
          <w:sz w:val="24"/>
          <w:szCs w:val="24"/>
        </w:rPr>
        <w:t>,</w:t>
      </w:r>
      <w:r w:rsidR="00A13321" w:rsidRPr="00B44A98">
        <w:rPr>
          <w:rFonts w:ascii="Arial" w:hAnsi="Arial" w:cs="Arial"/>
          <w:iCs/>
          <w:sz w:val="24"/>
          <w:szCs w:val="24"/>
        </w:rPr>
        <w:t xml:space="preserve"> under </w:t>
      </w:r>
      <w:r w:rsidR="004316C2" w:rsidRPr="00B44A98">
        <w:rPr>
          <w:rFonts w:ascii="Arial" w:hAnsi="Arial" w:cs="Arial"/>
          <w:iCs/>
          <w:sz w:val="24"/>
          <w:szCs w:val="24"/>
        </w:rPr>
        <w:t>section 11</w:t>
      </w:r>
      <w:r w:rsidR="00A13321" w:rsidRPr="00B44A98">
        <w:rPr>
          <w:rFonts w:ascii="Arial" w:hAnsi="Arial" w:cs="Arial"/>
          <w:iCs/>
          <w:sz w:val="24"/>
          <w:szCs w:val="24"/>
        </w:rPr>
        <w:t>(2)</w:t>
      </w:r>
      <w:r w:rsidR="004316C2" w:rsidRPr="00B44A98">
        <w:rPr>
          <w:rFonts w:ascii="Arial" w:hAnsi="Arial" w:cs="Arial"/>
          <w:iCs/>
          <w:sz w:val="24"/>
          <w:szCs w:val="24"/>
        </w:rPr>
        <w:t xml:space="preserve"> of the HR</w:t>
      </w:r>
      <w:r w:rsidR="00A13321" w:rsidRPr="00B44A98">
        <w:rPr>
          <w:rFonts w:ascii="Arial" w:hAnsi="Arial" w:cs="Arial"/>
          <w:iCs/>
          <w:sz w:val="24"/>
          <w:szCs w:val="24"/>
        </w:rPr>
        <w:t>A.</w:t>
      </w:r>
    </w:p>
    <w:p w14:paraId="294F588E" w14:textId="182387B7" w:rsidR="003C3107" w:rsidRPr="00B44A98" w:rsidRDefault="0EB58C4B" w:rsidP="45155BF8">
      <w:pPr>
        <w:rPr>
          <w:rFonts w:ascii="Arial" w:hAnsi="Arial" w:cs="Arial"/>
          <w:sz w:val="24"/>
          <w:szCs w:val="24"/>
        </w:rPr>
      </w:pPr>
      <w:r w:rsidRPr="45155BF8">
        <w:rPr>
          <w:rFonts w:ascii="Arial" w:hAnsi="Arial" w:cs="Arial"/>
          <w:sz w:val="24"/>
          <w:szCs w:val="24"/>
        </w:rPr>
        <w:t xml:space="preserve">Ensuring that police </w:t>
      </w:r>
      <w:r w:rsidR="007C164F">
        <w:rPr>
          <w:rFonts w:ascii="Arial" w:hAnsi="Arial" w:cs="Arial"/>
          <w:sz w:val="24"/>
          <w:szCs w:val="24"/>
        </w:rPr>
        <w:t xml:space="preserve">officers </w:t>
      </w:r>
      <w:r w:rsidRPr="45155BF8">
        <w:rPr>
          <w:rFonts w:ascii="Arial" w:hAnsi="Arial" w:cs="Arial"/>
          <w:sz w:val="24"/>
          <w:szCs w:val="24"/>
        </w:rPr>
        <w:t xml:space="preserve">retain powers with respect to young persons under the MACR </w:t>
      </w:r>
      <w:r w:rsidR="005823D5">
        <w:rPr>
          <w:rFonts w:ascii="Arial" w:hAnsi="Arial" w:cs="Arial"/>
          <w:sz w:val="24"/>
          <w:szCs w:val="24"/>
        </w:rPr>
        <w:t>aims to</w:t>
      </w:r>
      <w:r w:rsidRPr="45155BF8">
        <w:rPr>
          <w:rFonts w:ascii="Arial" w:hAnsi="Arial" w:cs="Arial"/>
          <w:sz w:val="24"/>
          <w:szCs w:val="24"/>
        </w:rPr>
        <w:t xml:space="preserve"> protect community safety in circumstances where a young person may have engaged in conduct that risks harm to others. This </w:t>
      </w:r>
      <w:r w:rsidR="005823D5">
        <w:rPr>
          <w:rFonts w:ascii="Arial" w:hAnsi="Arial" w:cs="Arial"/>
          <w:sz w:val="24"/>
          <w:szCs w:val="24"/>
        </w:rPr>
        <w:t xml:space="preserve">is intended to </w:t>
      </w:r>
      <w:r w:rsidRPr="45155BF8">
        <w:rPr>
          <w:rFonts w:ascii="Arial" w:hAnsi="Arial" w:cs="Arial"/>
          <w:sz w:val="24"/>
          <w:szCs w:val="24"/>
        </w:rPr>
        <w:t xml:space="preserve">promote the rights of those other persons to be free from harm (the rights to </w:t>
      </w:r>
      <w:r w:rsidR="533DB73C" w:rsidRPr="45155BF8">
        <w:rPr>
          <w:rFonts w:ascii="Arial" w:hAnsi="Arial" w:cs="Arial"/>
          <w:sz w:val="24"/>
          <w:szCs w:val="24"/>
        </w:rPr>
        <w:t>security of person</w:t>
      </w:r>
      <w:r w:rsidR="3ADC3BB8" w:rsidRPr="45155BF8">
        <w:rPr>
          <w:rFonts w:ascii="Arial" w:hAnsi="Arial" w:cs="Arial"/>
          <w:sz w:val="24"/>
          <w:szCs w:val="24"/>
        </w:rPr>
        <w:t xml:space="preserve">, life </w:t>
      </w:r>
      <w:r w:rsidRPr="45155BF8">
        <w:rPr>
          <w:rFonts w:ascii="Arial" w:hAnsi="Arial" w:cs="Arial"/>
          <w:sz w:val="24"/>
          <w:szCs w:val="24"/>
        </w:rPr>
        <w:t xml:space="preserve">or privacy, depending on the gravity of the conduct). </w:t>
      </w:r>
    </w:p>
    <w:p w14:paraId="09579853" w14:textId="663E88E9" w:rsidR="00CF345D" w:rsidRPr="007F123B" w:rsidRDefault="00CF345D" w:rsidP="00D42B73">
      <w:pPr>
        <w:rPr>
          <w:rFonts w:ascii="Arial" w:hAnsi="Arial" w:cs="Arial"/>
          <w:i/>
          <w:sz w:val="24"/>
          <w:szCs w:val="24"/>
          <w:u w:val="single"/>
        </w:rPr>
      </w:pPr>
      <w:r w:rsidRPr="007F123B">
        <w:rPr>
          <w:rFonts w:ascii="Arial" w:hAnsi="Arial" w:cs="Arial"/>
          <w:i/>
          <w:sz w:val="24"/>
          <w:szCs w:val="24"/>
          <w:u w:val="single"/>
        </w:rPr>
        <w:t>Spent convictions amendments</w:t>
      </w:r>
    </w:p>
    <w:p w14:paraId="3F596725" w14:textId="1541C470" w:rsidR="00977555" w:rsidRDefault="00B75D95" w:rsidP="00D42B73">
      <w:pPr>
        <w:rPr>
          <w:rFonts w:ascii="Arial" w:hAnsi="Arial" w:cs="Arial"/>
          <w:iCs/>
          <w:sz w:val="24"/>
          <w:szCs w:val="24"/>
        </w:rPr>
      </w:pPr>
      <w:r>
        <w:rPr>
          <w:rFonts w:ascii="Arial" w:hAnsi="Arial" w:cs="Arial"/>
          <w:iCs/>
          <w:sz w:val="24"/>
          <w:szCs w:val="24"/>
        </w:rPr>
        <w:t xml:space="preserve">The amendment to section 442A(2) of the </w:t>
      </w:r>
      <w:r w:rsidRPr="0026201F">
        <w:rPr>
          <w:rFonts w:ascii="Arial" w:hAnsi="Arial" w:cs="Arial"/>
          <w:i/>
          <w:sz w:val="24"/>
          <w:szCs w:val="24"/>
        </w:rPr>
        <w:t>Crimes Act</w:t>
      </w:r>
      <w:r w:rsidR="0026201F">
        <w:rPr>
          <w:rFonts w:ascii="Arial" w:hAnsi="Arial" w:cs="Arial"/>
          <w:i/>
          <w:sz w:val="24"/>
          <w:szCs w:val="24"/>
        </w:rPr>
        <w:t xml:space="preserve"> 1900</w:t>
      </w:r>
      <w:r>
        <w:rPr>
          <w:rFonts w:ascii="Arial" w:hAnsi="Arial" w:cs="Arial"/>
          <w:iCs/>
          <w:sz w:val="24"/>
          <w:szCs w:val="24"/>
        </w:rPr>
        <w:t xml:space="preserve"> promotes the right to equality and non-discrimination in section 8 of the HRA. The amendment ensures that people who have a conviction from another jurisdiction for an offence that was committed when they were under the MACR will not be required to disclose this offence in an ACT criminal proceeding. </w:t>
      </w:r>
      <w:r w:rsidR="002B7212">
        <w:rPr>
          <w:rFonts w:ascii="Arial" w:hAnsi="Arial" w:cs="Arial"/>
          <w:iCs/>
          <w:sz w:val="24"/>
          <w:szCs w:val="24"/>
        </w:rPr>
        <w:t>This promotes the right to equality and non</w:t>
      </w:r>
      <w:r w:rsidR="00C76A77">
        <w:rPr>
          <w:rFonts w:ascii="Arial" w:hAnsi="Arial" w:cs="Arial"/>
          <w:iCs/>
          <w:sz w:val="24"/>
          <w:szCs w:val="24"/>
        </w:rPr>
        <w:noBreakHyphen/>
      </w:r>
      <w:r w:rsidR="002B7212">
        <w:rPr>
          <w:rFonts w:ascii="Arial" w:hAnsi="Arial" w:cs="Arial"/>
          <w:iCs/>
          <w:sz w:val="24"/>
          <w:szCs w:val="24"/>
        </w:rPr>
        <w:t>discrimination because it treats convictions imposed within the ACT and outside the ACT alike</w:t>
      </w:r>
      <w:r w:rsidR="00977555">
        <w:rPr>
          <w:rFonts w:ascii="Arial" w:hAnsi="Arial" w:cs="Arial"/>
          <w:iCs/>
          <w:sz w:val="24"/>
          <w:szCs w:val="24"/>
        </w:rPr>
        <w:t xml:space="preserve"> in relation to the protected attributes of age and irrelevant criminal record.</w:t>
      </w:r>
      <w:r w:rsidR="00DE628B">
        <w:rPr>
          <w:rFonts w:ascii="Arial" w:hAnsi="Arial" w:cs="Arial"/>
          <w:iCs/>
          <w:sz w:val="24"/>
          <w:szCs w:val="24"/>
        </w:rPr>
        <w:t xml:space="preserve"> </w:t>
      </w:r>
    </w:p>
    <w:p w14:paraId="350430E5" w14:textId="60268942" w:rsidR="00CF345D" w:rsidRPr="00CF345D" w:rsidRDefault="00977555" w:rsidP="00D42B73">
      <w:pPr>
        <w:rPr>
          <w:rFonts w:ascii="Arial" w:hAnsi="Arial" w:cs="Arial"/>
          <w:iCs/>
          <w:sz w:val="24"/>
          <w:szCs w:val="24"/>
        </w:rPr>
      </w:pPr>
      <w:r>
        <w:rPr>
          <w:rFonts w:ascii="Arial" w:hAnsi="Arial" w:cs="Arial"/>
          <w:iCs/>
          <w:sz w:val="24"/>
          <w:szCs w:val="24"/>
        </w:rPr>
        <w:t xml:space="preserve">The Bill will </w:t>
      </w:r>
      <w:r w:rsidR="00DE628B">
        <w:rPr>
          <w:rFonts w:ascii="Arial" w:hAnsi="Arial" w:cs="Arial"/>
          <w:iCs/>
          <w:sz w:val="24"/>
          <w:szCs w:val="24"/>
        </w:rPr>
        <w:t>ensu</w:t>
      </w:r>
      <w:r>
        <w:rPr>
          <w:rFonts w:ascii="Arial" w:hAnsi="Arial" w:cs="Arial"/>
          <w:iCs/>
          <w:sz w:val="24"/>
          <w:szCs w:val="24"/>
        </w:rPr>
        <w:t>re</w:t>
      </w:r>
      <w:r w:rsidR="00DE628B">
        <w:rPr>
          <w:rFonts w:ascii="Arial" w:hAnsi="Arial" w:cs="Arial"/>
          <w:iCs/>
          <w:sz w:val="24"/>
          <w:szCs w:val="24"/>
        </w:rPr>
        <w:t xml:space="preserve"> that people are not treated differently in the courts </w:t>
      </w:r>
      <w:r>
        <w:rPr>
          <w:rFonts w:ascii="Arial" w:hAnsi="Arial" w:cs="Arial"/>
          <w:iCs/>
          <w:sz w:val="24"/>
          <w:szCs w:val="24"/>
        </w:rPr>
        <w:t>based on their age at the time of commission of a prior offence (due to different jurisdictions having different minimum ages of criminal responsibility). It will also ensure</w:t>
      </w:r>
      <w:r w:rsidR="002B7212">
        <w:rPr>
          <w:rFonts w:ascii="Arial" w:hAnsi="Arial" w:cs="Arial"/>
          <w:iCs/>
          <w:sz w:val="24"/>
          <w:szCs w:val="24"/>
        </w:rPr>
        <w:t xml:space="preserve"> that a youth offence</w:t>
      </w:r>
      <w:r>
        <w:rPr>
          <w:rFonts w:ascii="Arial" w:hAnsi="Arial" w:cs="Arial"/>
          <w:iCs/>
          <w:sz w:val="24"/>
          <w:szCs w:val="24"/>
        </w:rPr>
        <w:t xml:space="preserve"> conviction</w:t>
      </w:r>
      <w:r w:rsidR="002B7212">
        <w:rPr>
          <w:rFonts w:ascii="Arial" w:hAnsi="Arial" w:cs="Arial"/>
          <w:iCs/>
          <w:sz w:val="24"/>
          <w:szCs w:val="24"/>
        </w:rPr>
        <w:t xml:space="preserve"> from another jurisdiction is treated as an irrelevant criminal record in the context of an ACT criminal proceeding</w:t>
      </w:r>
      <w:r>
        <w:rPr>
          <w:rFonts w:ascii="Arial" w:hAnsi="Arial" w:cs="Arial"/>
          <w:iCs/>
          <w:sz w:val="24"/>
          <w:szCs w:val="24"/>
        </w:rPr>
        <w:t xml:space="preserve"> (noting that youth offence convictions (subject to limited exceptions) are extinguished under section 19GB of the </w:t>
      </w:r>
      <w:r>
        <w:rPr>
          <w:rFonts w:ascii="Arial" w:hAnsi="Arial" w:cs="Arial"/>
          <w:i/>
          <w:sz w:val="24"/>
          <w:szCs w:val="24"/>
        </w:rPr>
        <w:t>Spent Convictions Act 2000</w:t>
      </w:r>
      <w:r>
        <w:rPr>
          <w:rFonts w:ascii="Arial" w:hAnsi="Arial" w:cs="Arial"/>
          <w:iCs/>
          <w:sz w:val="24"/>
          <w:szCs w:val="24"/>
        </w:rPr>
        <w:t xml:space="preserve"> and are therefore irrelevant criminal records for the purposes of the </w:t>
      </w:r>
      <w:r w:rsidRPr="006C2C68">
        <w:rPr>
          <w:rFonts w:ascii="Arial" w:hAnsi="Arial" w:cs="Arial"/>
          <w:i/>
          <w:sz w:val="24"/>
          <w:szCs w:val="24"/>
        </w:rPr>
        <w:t>Discrimination Act 1991</w:t>
      </w:r>
      <w:r>
        <w:rPr>
          <w:rFonts w:ascii="Arial" w:hAnsi="Arial" w:cs="Arial"/>
          <w:iCs/>
          <w:sz w:val="24"/>
          <w:szCs w:val="24"/>
        </w:rPr>
        <w:t>).</w:t>
      </w:r>
    </w:p>
    <w:p w14:paraId="54FE1438" w14:textId="77777777" w:rsidR="00E90DF9" w:rsidRPr="00BC3EF0" w:rsidRDefault="00E90DF9" w:rsidP="00E90DF9">
      <w:pPr>
        <w:rPr>
          <w:rFonts w:ascii="Arial" w:hAnsi="Arial" w:cs="Arial"/>
          <w:b/>
          <w:bCs/>
          <w:i/>
          <w:sz w:val="24"/>
          <w:szCs w:val="24"/>
        </w:rPr>
      </w:pPr>
      <w:r w:rsidRPr="00BC3EF0">
        <w:rPr>
          <w:rFonts w:ascii="Arial" w:hAnsi="Arial" w:cs="Arial"/>
          <w:b/>
          <w:bCs/>
          <w:i/>
          <w:sz w:val="24"/>
          <w:szCs w:val="24"/>
        </w:rPr>
        <w:t>Rights Limited</w:t>
      </w:r>
    </w:p>
    <w:p w14:paraId="136E3569" w14:textId="335C4617" w:rsidR="009479CD" w:rsidRDefault="009479CD" w:rsidP="005D75A9">
      <w:pPr>
        <w:rPr>
          <w:rFonts w:ascii="Arial" w:hAnsi="Arial" w:cs="Arial"/>
          <w:iCs/>
          <w:sz w:val="24"/>
          <w:szCs w:val="24"/>
        </w:rPr>
      </w:pPr>
      <w:r>
        <w:rPr>
          <w:rFonts w:ascii="Arial" w:hAnsi="Arial" w:cs="Arial"/>
          <w:iCs/>
          <w:sz w:val="24"/>
          <w:szCs w:val="24"/>
        </w:rPr>
        <w:t>Human rights</w:t>
      </w:r>
      <w:r w:rsidRPr="009479CD">
        <w:rPr>
          <w:rFonts w:ascii="Arial" w:hAnsi="Arial" w:cs="Arial"/>
          <w:iCs/>
          <w:sz w:val="24"/>
          <w:szCs w:val="24"/>
        </w:rPr>
        <w:t xml:space="preserve"> may be subject only to the reasonable limits in law that can be demonstrably justified in a free and democratic society. Section 28(2) of the HRA contains the framework that is used to determine the acceptable limitations that may be placed on human rights.</w:t>
      </w:r>
      <w:r w:rsidRPr="009479CD" w:rsidDel="00FD3E39">
        <w:rPr>
          <w:rFonts w:ascii="Arial" w:hAnsi="Arial" w:cs="Arial"/>
          <w:iCs/>
          <w:sz w:val="24"/>
          <w:szCs w:val="24"/>
        </w:rPr>
        <w:t xml:space="preserve"> </w:t>
      </w:r>
    </w:p>
    <w:p w14:paraId="2651F256" w14:textId="6EC12959" w:rsidR="002B7212" w:rsidRPr="007F123B" w:rsidRDefault="002B7212" w:rsidP="005D75A9">
      <w:pPr>
        <w:rPr>
          <w:rFonts w:ascii="Arial" w:hAnsi="Arial" w:cs="Arial"/>
          <w:i/>
          <w:sz w:val="24"/>
          <w:szCs w:val="24"/>
          <w:u w:val="single"/>
        </w:rPr>
      </w:pPr>
      <w:r w:rsidRPr="007F123B">
        <w:rPr>
          <w:rFonts w:ascii="Arial" w:hAnsi="Arial" w:cs="Arial"/>
          <w:i/>
          <w:sz w:val="24"/>
          <w:szCs w:val="24"/>
          <w:u w:val="single"/>
        </w:rPr>
        <w:t>Police powers amendments</w:t>
      </w:r>
    </w:p>
    <w:p w14:paraId="6F88E404" w14:textId="0BBA8BD8" w:rsidR="0095405E" w:rsidRDefault="007278C6" w:rsidP="005D75A9">
      <w:pPr>
        <w:rPr>
          <w:rFonts w:ascii="Arial" w:hAnsi="Arial" w:cs="Arial"/>
          <w:iCs/>
          <w:sz w:val="24"/>
          <w:szCs w:val="24"/>
        </w:rPr>
      </w:pPr>
      <w:r>
        <w:rPr>
          <w:rFonts w:ascii="Arial" w:hAnsi="Arial" w:cs="Arial"/>
          <w:bCs/>
          <w:iCs/>
          <w:sz w:val="24"/>
          <w:szCs w:val="24"/>
        </w:rPr>
        <w:t xml:space="preserve">Although the Bill </w:t>
      </w:r>
      <w:r w:rsidR="002B7212">
        <w:rPr>
          <w:rFonts w:ascii="Arial" w:hAnsi="Arial" w:cs="Arial"/>
          <w:bCs/>
          <w:iCs/>
          <w:sz w:val="24"/>
          <w:szCs w:val="24"/>
        </w:rPr>
        <w:t>promotes rights by circumscribing existing powers,</w:t>
      </w:r>
      <w:r>
        <w:rPr>
          <w:rFonts w:ascii="Arial" w:hAnsi="Arial" w:cs="Arial"/>
          <w:bCs/>
          <w:iCs/>
          <w:sz w:val="24"/>
          <w:szCs w:val="24"/>
        </w:rPr>
        <w:t xml:space="preserve"> </w:t>
      </w:r>
      <w:r w:rsidR="00FF5547">
        <w:rPr>
          <w:rFonts w:ascii="Arial" w:hAnsi="Arial" w:cs="Arial"/>
          <w:bCs/>
          <w:iCs/>
          <w:sz w:val="24"/>
          <w:szCs w:val="24"/>
        </w:rPr>
        <w:t xml:space="preserve">it </w:t>
      </w:r>
      <w:r w:rsidR="002B7212">
        <w:rPr>
          <w:rFonts w:ascii="Arial" w:hAnsi="Arial" w:cs="Arial"/>
          <w:bCs/>
          <w:iCs/>
          <w:sz w:val="24"/>
          <w:szCs w:val="24"/>
        </w:rPr>
        <w:t xml:space="preserve">nonetheless may also </w:t>
      </w:r>
      <w:r w:rsidR="00984A5C">
        <w:rPr>
          <w:rFonts w:ascii="Arial" w:hAnsi="Arial" w:cs="Arial"/>
          <w:bCs/>
          <w:iCs/>
          <w:sz w:val="24"/>
          <w:szCs w:val="24"/>
        </w:rPr>
        <w:t xml:space="preserve">be seen as </w:t>
      </w:r>
      <w:r w:rsidR="002B7212">
        <w:rPr>
          <w:rFonts w:ascii="Arial" w:hAnsi="Arial" w:cs="Arial"/>
          <w:bCs/>
          <w:iCs/>
          <w:sz w:val="24"/>
          <w:szCs w:val="24"/>
        </w:rPr>
        <w:t>limit</w:t>
      </w:r>
      <w:r w:rsidR="00984A5C">
        <w:rPr>
          <w:rFonts w:ascii="Arial" w:hAnsi="Arial" w:cs="Arial"/>
          <w:bCs/>
          <w:iCs/>
          <w:sz w:val="24"/>
          <w:szCs w:val="24"/>
        </w:rPr>
        <w:t>ing</w:t>
      </w:r>
      <w:r w:rsidR="002B7212">
        <w:rPr>
          <w:rFonts w:ascii="Arial" w:hAnsi="Arial" w:cs="Arial"/>
          <w:bCs/>
          <w:iCs/>
          <w:sz w:val="24"/>
          <w:szCs w:val="24"/>
        </w:rPr>
        <w:t xml:space="preserve"> rights b</w:t>
      </w:r>
      <w:r w:rsidR="007D2F2E">
        <w:rPr>
          <w:rFonts w:ascii="Arial" w:hAnsi="Arial" w:cs="Arial"/>
          <w:bCs/>
          <w:iCs/>
          <w:sz w:val="24"/>
          <w:szCs w:val="24"/>
        </w:rPr>
        <w:t>ecause it</w:t>
      </w:r>
      <w:r w:rsidR="002B7212">
        <w:rPr>
          <w:rFonts w:ascii="Arial" w:hAnsi="Arial" w:cs="Arial"/>
          <w:bCs/>
          <w:iCs/>
          <w:sz w:val="24"/>
          <w:szCs w:val="24"/>
        </w:rPr>
        <w:t xml:space="preserve"> </w:t>
      </w:r>
      <w:r w:rsidR="00FF5547" w:rsidRPr="00FF5547">
        <w:rPr>
          <w:rFonts w:ascii="Arial" w:hAnsi="Arial" w:cs="Arial"/>
          <w:iCs/>
          <w:sz w:val="24"/>
          <w:szCs w:val="24"/>
        </w:rPr>
        <w:t>set</w:t>
      </w:r>
      <w:r w:rsidR="007D2F2E">
        <w:rPr>
          <w:rFonts w:ascii="Arial" w:hAnsi="Arial" w:cs="Arial"/>
          <w:iCs/>
          <w:sz w:val="24"/>
          <w:szCs w:val="24"/>
        </w:rPr>
        <w:t>s</w:t>
      </w:r>
      <w:r w:rsidR="00FF5547" w:rsidRPr="00FF5547">
        <w:rPr>
          <w:rFonts w:ascii="Arial" w:hAnsi="Arial" w:cs="Arial"/>
          <w:iCs/>
          <w:sz w:val="24"/>
          <w:szCs w:val="24"/>
        </w:rPr>
        <w:t xml:space="preserve"> </w:t>
      </w:r>
      <w:r w:rsidR="00FF5547">
        <w:rPr>
          <w:rFonts w:ascii="Arial" w:hAnsi="Arial" w:cs="Arial"/>
          <w:iCs/>
          <w:sz w:val="24"/>
          <w:szCs w:val="24"/>
        </w:rPr>
        <w:t>new</w:t>
      </w:r>
      <w:r w:rsidR="00FF5547" w:rsidRPr="00FF5547">
        <w:rPr>
          <w:rFonts w:ascii="Arial" w:hAnsi="Arial" w:cs="Arial"/>
          <w:iCs/>
          <w:sz w:val="24"/>
          <w:szCs w:val="24"/>
        </w:rPr>
        <w:t xml:space="preserve"> standard</w:t>
      </w:r>
      <w:r w:rsidR="00FF5547">
        <w:rPr>
          <w:rFonts w:ascii="Arial" w:hAnsi="Arial" w:cs="Arial"/>
          <w:iCs/>
          <w:sz w:val="24"/>
          <w:szCs w:val="24"/>
        </w:rPr>
        <w:t>s</w:t>
      </w:r>
      <w:r w:rsidR="00FF5547" w:rsidRPr="00FF5547">
        <w:rPr>
          <w:rFonts w:ascii="Arial" w:hAnsi="Arial" w:cs="Arial"/>
          <w:iCs/>
          <w:sz w:val="24"/>
          <w:szCs w:val="24"/>
        </w:rPr>
        <w:t xml:space="preserve"> </w:t>
      </w:r>
      <w:r w:rsidR="002B7212">
        <w:rPr>
          <w:rFonts w:ascii="Arial" w:hAnsi="Arial" w:cs="Arial"/>
          <w:iCs/>
          <w:sz w:val="24"/>
          <w:szCs w:val="24"/>
        </w:rPr>
        <w:t>connected to</w:t>
      </w:r>
      <w:r w:rsidR="00FF5547" w:rsidRPr="00FF5547">
        <w:rPr>
          <w:rFonts w:ascii="Arial" w:hAnsi="Arial" w:cs="Arial"/>
          <w:iCs/>
          <w:sz w:val="24"/>
          <w:szCs w:val="24"/>
        </w:rPr>
        <w:t xml:space="preserve"> </w:t>
      </w:r>
      <w:r w:rsidR="00FF5547" w:rsidRPr="00FF5547">
        <w:rPr>
          <w:rFonts w:ascii="Arial" w:hAnsi="Arial" w:cs="Arial"/>
          <w:iCs/>
          <w:sz w:val="24"/>
          <w:szCs w:val="24"/>
        </w:rPr>
        <w:lastRenderedPageBreak/>
        <w:t xml:space="preserve">when police may exercise </w:t>
      </w:r>
      <w:r w:rsidR="002B7212">
        <w:rPr>
          <w:rFonts w:ascii="Arial" w:hAnsi="Arial" w:cs="Arial"/>
          <w:iCs/>
          <w:sz w:val="24"/>
          <w:szCs w:val="24"/>
        </w:rPr>
        <w:t>invasive</w:t>
      </w:r>
      <w:r w:rsidR="00FF5547" w:rsidRPr="00FF5547">
        <w:rPr>
          <w:rFonts w:ascii="Arial" w:hAnsi="Arial" w:cs="Arial"/>
          <w:iCs/>
          <w:sz w:val="24"/>
          <w:szCs w:val="24"/>
        </w:rPr>
        <w:t xml:space="preserve"> powers</w:t>
      </w:r>
      <w:r w:rsidR="00FF5547">
        <w:rPr>
          <w:rFonts w:ascii="Arial" w:hAnsi="Arial" w:cs="Arial"/>
          <w:iCs/>
          <w:sz w:val="24"/>
          <w:szCs w:val="24"/>
        </w:rPr>
        <w:t xml:space="preserve">. Police powers </w:t>
      </w:r>
      <w:r w:rsidR="0095405E">
        <w:rPr>
          <w:rFonts w:ascii="Arial" w:hAnsi="Arial" w:cs="Arial"/>
          <w:iCs/>
          <w:sz w:val="24"/>
          <w:szCs w:val="24"/>
        </w:rPr>
        <w:t xml:space="preserve">with respect </w:t>
      </w:r>
      <w:r w:rsidR="00FF5547">
        <w:rPr>
          <w:rFonts w:ascii="Arial" w:hAnsi="Arial" w:cs="Arial"/>
          <w:iCs/>
          <w:sz w:val="24"/>
          <w:szCs w:val="24"/>
        </w:rPr>
        <w:t>to</w:t>
      </w:r>
      <w:r w:rsidR="0095405E">
        <w:rPr>
          <w:rFonts w:ascii="Arial" w:hAnsi="Arial" w:cs="Arial"/>
          <w:iCs/>
          <w:sz w:val="24"/>
          <w:szCs w:val="24"/>
        </w:rPr>
        <w:t xml:space="preserve"> young persons under the MACR to:</w:t>
      </w:r>
      <w:r w:rsidR="00FF5547">
        <w:rPr>
          <w:rFonts w:ascii="Arial" w:hAnsi="Arial" w:cs="Arial"/>
          <w:iCs/>
          <w:sz w:val="24"/>
          <w:szCs w:val="24"/>
        </w:rPr>
        <w:t xml:space="preserve"> </w:t>
      </w:r>
    </w:p>
    <w:p w14:paraId="703F3553" w14:textId="13E645F2" w:rsidR="0095405E" w:rsidRPr="0095405E" w:rsidRDefault="00FF5547" w:rsidP="0095405E">
      <w:pPr>
        <w:pStyle w:val="ListParagraph"/>
        <w:numPr>
          <w:ilvl w:val="0"/>
          <w:numId w:val="23"/>
        </w:numPr>
        <w:rPr>
          <w:rFonts w:ascii="Arial" w:hAnsi="Arial" w:cs="Arial"/>
          <w:bCs/>
          <w:iCs/>
          <w:sz w:val="24"/>
          <w:szCs w:val="24"/>
        </w:rPr>
      </w:pPr>
      <w:r w:rsidRPr="007F123B">
        <w:rPr>
          <w:rFonts w:ascii="Arial" w:hAnsi="Arial" w:cs="Arial"/>
          <w:iCs/>
          <w:sz w:val="24"/>
          <w:szCs w:val="24"/>
        </w:rPr>
        <w:t>search</w:t>
      </w:r>
      <w:r w:rsidR="007D2F2E" w:rsidRPr="007F123B">
        <w:rPr>
          <w:rFonts w:ascii="Arial" w:hAnsi="Arial" w:cs="Arial"/>
          <w:iCs/>
          <w:sz w:val="24"/>
          <w:szCs w:val="24"/>
        </w:rPr>
        <w:t xml:space="preserve"> under warrant</w:t>
      </w:r>
    </w:p>
    <w:p w14:paraId="7D154A21" w14:textId="77777777" w:rsidR="0095405E" w:rsidRPr="0095405E" w:rsidRDefault="004316C2" w:rsidP="0095405E">
      <w:pPr>
        <w:pStyle w:val="ListParagraph"/>
        <w:numPr>
          <w:ilvl w:val="0"/>
          <w:numId w:val="23"/>
        </w:numPr>
        <w:rPr>
          <w:rFonts w:ascii="Arial" w:hAnsi="Arial" w:cs="Arial"/>
          <w:bCs/>
          <w:iCs/>
          <w:sz w:val="24"/>
          <w:szCs w:val="24"/>
        </w:rPr>
      </w:pPr>
      <w:r w:rsidRPr="007F123B">
        <w:rPr>
          <w:rFonts w:ascii="Arial" w:hAnsi="Arial" w:cs="Arial"/>
          <w:iCs/>
          <w:sz w:val="24"/>
          <w:szCs w:val="24"/>
        </w:rPr>
        <w:t>stop,</w:t>
      </w:r>
      <w:r w:rsidR="007D2F2E" w:rsidRPr="007F123B">
        <w:rPr>
          <w:rFonts w:ascii="Arial" w:hAnsi="Arial" w:cs="Arial"/>
          <w:iCs/>
          <w:sz w:val="24"/>
          <w:szCs w:val="24"/>
        </w:rPr>
        <w:t xml:space="preserve"> search or</w:t>
      </w:r>
      <w:r w:rsidR="00FF5547" w:rsidRPr="007F123B">
        <w:rPr>
          <w:rFonts w:ascii="Arial" w:hAnsi="Arial" w:cs="Arial"/>
          <w:iCs/>
          <w:sz w:val="24"/>
          <w:szCs w:val="24"/>
        </w:rPr>
        <w:t xml:space="preserve"> detain</w:t>
      </w:r>
      <w:r w:rsidR="007D2F2E" w:rsidRPr="007F123B">
        <w:rPr>
          <w:rFonts w:ascii="Arial" w:hAnsi="Arial" w:cs="Arial"/>
          <w:iCs/>
          <w:sz w:val="24"/>
          <w:szCs w:val="24"/>
        </w:rPr>
        <w:t xml:space="preserve"> without warrant,</w:t>
      </w:r>
      <w:r w:rsidR="00FF5547" w:rsidRPr="007F123B">
        <w:rPr>
          <w:rFonts w:ascii="Arial" w:hAnsi="Arial" w:cs="Arial"/>
          <w:iCs/>
          <w:sz w:val="24"/>
          <w:szCs w:val="24"/>
        </w:rPr>
        <w:t xml:space="preserve"> or </w:t>
      </w:r>
    </w:p>
    <w:p w14:paraId="0C812C2F" w14:textId="77777777" w:rsidR="0095405E" w:rsidRPr="0095405E" w:rsidRDefault="00FF5547" w:rsidP="0095405E">
      <w:pPr>
        <w:pStyle w:val="ListParagraph"/>
        <w:numPr>
          <w:ilvl w:val="0"/>
          <w:numId w:val="23"/>
        </w:numPr>
        <w:rPr>
          <w:rFonts w:ascii="Arial" w:hAnsi="Arial" w:cs="Arial"/>
          <w:bCs/>
          <w:iCs/>
          <w:sz w:val="24"/>
          <w:szCs w:val="24"/>
        </w:rPr>
      </w:pPr>
      <w:r w:rsidRPr="007F123B">
        <w:rPr>
          <w:rFonts w:ascii="Arial" w:hAnsi="Arial" w:cs="Arial"/>
          <w:iCs/>
          <w:sz w:val="24"/>
          <w:szCs w:val="24"/>
        </w:rPr>
        <w:t xml:space="preserve">transfer </w:t>
      </w:r>
      <w:r w:rsidR="0095405E">
        <w:rPr>
          <w:rFonts w:ascii="Arial" w:hAnsi="Arial" w:cs="Arial"/>
          <w:iCs/>
          <w:sz w:val="24"/>
          <w:szCs w:val="24"/>
        </w:rPr>
        <w:t>them to another person or authority responsible for their care</w:t>
      </w:r>
    </w:p>
    <w:p w14:paraId="3F2FEA26" w14:textId="312AAF88" w:rsidR="005D75A9" w:rsidRPr="007F123B" w:rsidRDefault="0095405E" w:rsidP="0095405E">
      <w:pPr>
        <w:rPr>
          <w:rFonts w:ascii="Arial" w:hAnsi="Arial" w:cs="Arial"/>
          <w:bCs/>
          <w:iCs/>
          <w:sz w:val="24"/>
          <w:szCs w:val="24"/>
        </w:rPr>
      </w:pPr>
      <w:r>
        <w:rPr>
          <w:rFonts w:ascii="Arial" w:hAnsi="Arial" w:cs="Arial"/>
          <w:bCs/>
          <w:iCs/>
          <w:sz w:val="24"/>
          <w:szCs w:val="24"/>
        </w:rPr>
        <w:br/>
      </w:r>
      <w:r w:rsidR="005D75A9" w:rsidRPr="007F123B">
        <w:rPr>
          <w:rFonts w:ascii="Arial" w:hAnsi="Arial" w:cs="Arial"/>
          <w:bCs/>
          <w:iCs/>
          <w:sz w:val="24"/>
          <w:szCs w:val="24"/>
        </w:rPr>
        <w:t>engage and limit the following rights</w:t>
      </w:r>
      <w:r>
        <w:rPr>
          <w:rFonts w:ascii="Arial" w:hAnsi="Arial" w:cs="Arial"/>
          <w:bCs/>
          <w:iCs/>
          <w:sz w:val="24"/>
          <w:szCs w:val="24"/>
        </w:rPr>
        <w:t xml:space="preserve"> under the HRA</w:t>
      </w:r>
      <w:r w:rsidR="005D75A9" w:rsidRPr="007F123B">
        <w:rPr>
          <w:rFonts w:ascii="Arial" w:hAnsi="Arial" w:cs="Arial"/>
          <w:bCs/>
          <w:iCs/>
          <w:sz w:val="24"/>
          <w:szCs w:val="24"/>
        </w:rPr>
        <w:t>:</w:t>
      </w:r>
    </w:p>
    <w:p w14:paraId="410D8555" w14:textId="77777777" w:rsidR="005D75A9" w:rsidRPr="005D75A9" w:rsidRDefault="005D75A9" w:rsidP="005D75A9">
      <w:pPr>
        <w:pStyle w:val="ListParagraph"/>
        <w:numPr>
          <w:ilvl w:val="0"/>
          <w:numId w:val="6"/>
        </w:numPr>
        <w:rPr>
          <w:rFonts w:ascii="Arial" w:hAnsi="Arial" w:cs="Arial"/>
          <w:iCs/>
          <w:sz w:val="24"/>
          <w:szCs w:val="24"/>
        </w:rPr>
      </w:pPr>
      <w:r w:rsidRPr="005D75A9">
        <w:rPr>
          <w:rFonts w:ascii="Arial" w:hAnsi="Arial" w:cs="Arial"/>
          <w:iCs/>
          <w:sz w:val="24"/>
          <w:szCs w:val="24"/>
        </w:rPr>
        <w:t>Section 12 – Right to privacy and reputation</w:t>
      </w:r>
    </w:p>
    <w:p w14:paraId="3EC0EE16" w14:textId="77777777" w:rsidR="005D75A9" w:rsidRPr="005D75A9" w:rsidRDefault="005D75A9" w:rsidP="005D75A9">
      <w:pPr>
        <w:pStyle w:val="ListParagraph"/>
        <w:numPr>
          <w:ilvl w:val="0"/>
          <w:numId w:val="6"/>
        </w:numPr>
        <w:rPr>
          <w:rFonts w:ascii="Arial" w:hAnsi="Arial" w:cs="Arial"/>
          <w:iCs/>
          <w:sz w:val="24"/>
          <w:szCs w:val="24"/>
        </w:rPr>
      </w:pPr>
      <w:r w:rsidRPr="005D75A9">
        <w:rPr>
          <w:rFonts w:ascii="Arial" w:hAnsi="Arial" w:cs="Arial"/>
          <w:iCs/>
          <w:sz w:val="24"/>
          <w:szCs w:val="24"/>
        </w:rPr>
        <w:t>Section 13 – Freedom of movement</w:t>
      </w:r>
    </w:p>
    <w:p w14:paraId="0A7AA487" w14:textId="590EC143" w:rsidR="005D75A9" w:rsidRPr="005D75A9" w:rsidRDefault="005D75A9" w:rsidP="005D75A9">
      <w:pPr>
        <w:pStyle w:val="ListParagraph"/>
        <w:numPr>
          <w:ilvl w:val="0"/>
          <w:numId w:val="6"/>
        </w:numPr>
        <w:rPr>
          <w:rFonts w:ascii="Arial" w:hAnsi="Arial" w:cs="Arial"/>
          <w:iCs/>
          <w:sz w:val="24"/>
          <w:szCs w:val="24"/>
        </w:rPr>
      </w:pPr>
      <w:r w:rsidRPr="005D75A9">
        <w:rPr>
          <w:rFonts w:ascii="Arial" w:hAnsi="Arial" w:cs="Arial"/>
          <w:iCs/>
          <w:sz w:val="24"/>
          <w:szCs w:val="24"/>
        </w:rPr>
        <w:t>Section 18 – Right to liberty and security of person</w:t>
      </w:r>
      <w:r w:rsidR="007F123B">
        <w:rPr>
          <w:rFonts w:ascii="Arial" w:hAnsi="Arial" w:cs="Arial"/>
          <w:iCs/>
          <w:sz w:val="24"/>
          <w:szCs w:val="24"/>
        </w:rPr>
        <w:t>.</w:t>
      </w:r>
    </w:p>
    <w:p w14:paraId="5DD6CF44" w14:textId="129A182B" w:rsidR="00A13321" w:rsidRDefault="00FF5547" w:rsidP="00E90DF9">
      <w:pPr>
        <w:rPr>
          <w:rFonts w:ascii="Arial" w:hAnsi="Arial" w:cs="Arial"/>
          <w:iCs/>
          <w:sz w:val="24"/>
          <w:szCs w:val="24"/>
        </w:rPr>
      </w:pPr>
      <w:r>
        <w:rPr>
          <w:rFonts w:ascii="Arial" w:hAnsi="Arial" w:cs="Arial"/>
          <w:iCs/>
          <w:sz w:val="24"/>
          <w:szCs w:val="24"/>
        </w:rPr>
        <w:br/>
      </w:r>
      <w:r w:rsidR="009479CD">
        <w:rPr>
          <w:rFonts w:ascii="Arial" w:hAnsi="Arial" w:cs="Arial"/>
          <w:iCs/>
          <w:sz w:val="24"/>
          <w:szCs w:val="24"/>
        </w:rPr>
        <w:t>T</w:t>
      </w:r>
      <w:r>
        <w:rPr>
          <w:rFonts w:ascii="Arial" w:hAnsi="Arial" w:cs="Arial"/>
          <w:iCs/>
          <w:sz w:val="24"/>
          <w:szCs w:val="24"/>
        </w:rPr>
        <w:t>he</w:t>
      </w:r>
      <w:r w:rsidR="002B7212">
        <w:rPr>
          <w:rFonts w:ascii="Arial" w:hAnsi="Arial" w:cs="Arial"/>
          <w:iCs/>
          <w:sz w:val="24"/>
          <w:szCs w:val="24"/>
        </w:rPr>
        <w:t xml:space="preserve"> </w:t>
      </w:r>
      <w:r>
        <w:rPr>
          <w:rFonts w:ascii="Arial" w:hAnsi="Arial" w:cs="Arial"/>
          <w:iCs/>
          <w:sz w:val="24"/>
          <w:szCs w:val="24"/>
        </w:rPr>
        <w:t>discussion below</w:t>
      </w:r>
      <w:r w:rsidR="0095405E">
        <w:rPr>
          <w:rFonts w:ascii="Arial" w:hAnsi="Arial" w:cs="Arial"/>
          <w:iCs/>
          <w:sz w:val="24"/>
          <w:szCs w:val="24"/>
        </w:rPr>
        <w:t xml:space="preserve"> first</w:t>
      </w:r>
      <w:r>
        <w:rPr>
          <w:rFonts w:ascii="Arial" w:hAnsi="Arial" w:cs="Arial"/>
          <w:iCs/>
          <w:sz w:val="24"/>
          <w:szCs w:val="24"/>
        </w:rPr>
        <w:t xml:space="preserve"> </w:t>
      </w:r>
      <w:r w:rsidR="0095405E">
        <w:rPr>
          <w:rFonts w:ascii="Arial" w:hAnsi="Arial" w:cs="Arial"/>
          <w:iCs/>
          <w:sz w:val="24"/>
          <w:szCs w:val="24"/>
        </w:rPr>
        <w:t xml:space="preserve">describes the nature of these rights, and then </w:t>
      </w:r>
      <w:r>
        <w:rPr>
          <w:rFonts w:ascii="Arial" w:hAnsi="Arial" w:cs="Arial"/>
          <w:iCs/>
          <w:sz w:val="24"/>
          <w:szCs w:val="24"/>
        </w:rPr>
        <w:t xml:space="preserve">assesses </w:t>
      </w:r>
      <w:r w:rsidR="003F7A6A">
        <w:rPr>
          <w:rFonts w:ascii="Arial" w:hAnsi="Arial" w:cs="Arial"/>
          <w:iCs/>
          <w:sz w:val="24"/>
          <w:szCs w:val="24"/>
        </w:rPr>
        <w:t xml:space="preserve">each category of police powers </w:t>
      </w:r>
      <w:r w:rsidR="009479CD">
        <w:rPr>
          <w:rFonts w:ascii="Arial" w:hAnsi="Arial" w:cs="Arial"/>
          <w:iCs/>
          <w:sz w:val="24"/>
          <w:szCs w:val="24"/>
        </w:rPr>
        <w:t>amend</w:t>
      </w:r>
      <w:r w:rsidR="003F7A6A">
        <w:rPr>
          <w:rFonts w:ascii="Arial" w:hAnsi="Arial" w:cs="Arial"/>
          <w:iCs/>
          <w:sz w:val="24"/>
          <w:szCs w:val="24"/>
        </w:rPr>
        <w:t>ed</w:t>
      </w:r>
      <w:r w:rsidR="009479CD">
        <w:rPr>
          <w:rFonts w:ascii="Arial" w:hAnsi="Arial" w:cs="Arial"/>
          <w:iCs/>
          <w:sz w:val="24"/>
          <w:szCs w:val="24"/>
        </w:rPr>
        <w:t xml:space="preserve"> in the Bill </w:t>
      </w:r>
      <w:r w:rsidR="002B7212">
        <w:rPr>
          <w:rFonts w:ascii="Arial" w:hAnsi="Arial" w:cs="Arial"/>
          <w:iCs/>
          <w:sz w:val="24"/>
          <w:szCs w:val="24"/>
        </w:rPr>
        <w:t>under s28(2) of the HRA</w:t>
      </w:r>
      <w:r w:rsidR="0095405E">
        <w:rPr>
          <w:rFonts w:ascii="Arial" w:hAnsi="Arial" w:cs="Arial"/>
          <w:iCs/>
          <w:sz w:val="24"/>
          <w:szCs w:val="24"/>
        </w:rPr>
        <w:t xml:space="preserve"> with respect to these three rights</w:t>
      </w:r>
      <w:r w:rsidR="002B7212">
        <w:rPr>
          <w:rFonts w:ascii="Arial" w:hAnsi="Arial" w:cs="Arial"/>
          <w:iCs/>
          <w:sz w:val="24"/>
          <w:szCs w:val="24"/>
        </w:rPr>
        <w:t>.</w:t>
      </w:r>
      <w:r w:rsidR="0095405E">
        <w:rPr>
          <w:rFonts w:ascii="Arial" w:hAnsi="Arial" w:cs="Arial"/>
          <w:iCs/>
          <w:sz w:val="24"/>
          <w:szCs w:val="24"/>
        </w:rPr>
        <w:t xml:space="preserve"> </w:t>
      </w:r>
    </w:p>
    <w:p w14:paraId="3C9EB41B" w14:textId="2FCB00C1" w:rsidR="0095405E" w:rsidRDefault="0095405E" w:rsidP="00E90DF9">
      <w:pPr>
        <w:rPr>
          <w:rFonts w:ascii="Arial" w:hAnsi="Arial" w:cs="Arial"/>
          <w:b/>
          <w:bCs/>
          <w:i/>
          <w:sz w:val="24"/>
          <w:szCs w:val="24"/>
        </w:rPr>
      </w:pPr>
      <w:r w:rsidRPr="007F123B">
        <w:rPr>
          <w:rFonts w:ascii="Arial" w:hAnsi="Arial" w:cs="Arial"/>
          <w:b/>
          <w:bCs/>
          <w:i/>
          <w:sz w:val="24"/>
          <w:szCs w:val="24"/>
        </w:rPr>
        <w:t>Nature of the rights</w:t>
      </w:r>
      <w:r>
        <w:rPr>
          <w:rFonts w:ascii="Arial" w:hAnsi="Arial" w:cs="Arial"/>
          <w:b/>
          <w:bCs/>
          <w:i/>
          <w:sz w:val="24"/>
          <w:szCs w:val="24"/>
        </w:rPr>
        <w:t xml:space="preserve"> limited</w:t>
      </w:r>
      <w:r w:rsidR="004610D1">
        <w:rPr>
          <w:rFonts w:ascii="Arial" w:hAnsi="Arial" w:cs="Arial"/>
          <w:b/>
          <w:bCs/>
          <w:i/>
          <w:sz w:val="24"/>
          <w:szCs w:val="24"/>
        </w:rPr>
        <w:t xml:space="preserve"> (s 28 (2) (a))</w:t>
      </w:r>
    </w:p>
    <w:p w14:paraId="62127423" w14:textId="4EC41EE9" w:rsidR="004610D1" w:rsidRPr="007F123B" w:rsidRDefault="004610D1" w:rsidP="00E90DF9">
      <w:pPr>
        <w:rPr>
          <w:rFonts w:ascii="Arial" w:hAnsi="Arial" w:cs="Arial"/>
          <w:iCs/>
          <w:sz w:val="24"/>
          <w:szCs w:val="24"/>
        </w:rPr>
      </w:pPr>
      <w:r>
        <w:rPr>
          <w:rFonts w:ascii="Arial" w:hAnsi="Arial" w:cs="Arial"/>
          <w:iCs/>
          <w:sz w:val="24"/>
          <w:szCs w:val="24"/>
        </w:rPr>
        <w:t>The rights in sections 12, 13 and 18 of the HRA are not absolute and may be subject to permissible limitations.</w:t>
      </w:r>
    </w:p>
    <w:p w14:paraId="62F83956" w14:textId="28EBB2E7" w:rsidR="0095405E" w:rsidRPr="007F123B" w:rsidRDefault="0095405E" w:rsidP="0095405E">
      <w:pPr>
        <w:spacing w:before="240"/>
        <w:rPr>
          <w:rFonts w:ascii="Arial" w:hAnsi="Arial" w:cs="Arial"/>
          <w:i/>
          <w:sz w:val="24"/>
          <w:szCs w:val="24"/>
          <w:u w:val="single"/>
        </w:rPr>
      </w:pPr>
      <w:r w:rsidRPr="007F123B">
        <w:rPr>
          <w:rFonts w:ascii="Arial" w:hAnsi="Arial" w:cs="Arial"/>
          <w:i/>
          <w:sz w:val="24"/>
          <w:szCs w:val="24"/>
          <w:u w:val="single"/>
        </w:rPr>
        <w:t>Right to privacy and reputation</w:t>
      </w:r>
      <w:r w:rsidR="004610D1" w:rsidRPr="007F123B">
        <w:rPr>
          <w:rFonts w:ascii="Arial" w:hAnsi="Arial" w:cs="Arial"/>
          <w:i/>
          <w:sz w:val="24"/>
          <w:szCs w:val="24"/>
          <w:u w:val="single"/>
        </w:rPr>
        <w:t xml:space="preserve"> (s 12)</w:t>
      </w:r>
    </w:p>
    <w:p w14:paraId="67BC772D" w14:textId="799A1911" w:rsidR="0095405E" w:rsidRPr="007709E8" w:rsidRDefault="0095405E" w:rsidP="0095405E">
      <w:pPr>
        <w:spacing w:before="240"/>
        <w:rPr>
          <w:rFonts w:ascii="Arial" w:hAnsi="Arial" w:cs="Arial"/>
          <w:iCs/>
          <w:sz w:val="24"/>
          <w:szCs w:val="24"/>
        </w:rPr>
      </w:pPr>
      <w:r w:rsidRPr="007709E8">
        <w:rPr>
          <w:rFonts w:ascii="Arial" w:hAnsi="Arial" w:cs="Arial"/>
          <w:iCs/>
          <w:sz w:val="24"/>
          <w:szCs w:val="24"/>
        </w:rPr>
        <w:t>Section 12 of the HRA states that everyone has the right:</w:t>
      </w:r>
    </w:p>
    <w:p w14:paraId="4434D882" w14:textId="77777777" w:rsidR="0095405E" w:rsidRDefault="0095405E" w:rsidP="0095405E">
      <w:pPr>
        <w:pStyle w:val="ListParagraph"/>
        <w:numPr>
          <w:ilvl w:val="0"/>
          <w:numId w:val="13"/>
        </w:numPr>
        <w:rPr>
          <w:rFonts w:ascii="Arial" w:hAnsi="Arial" w:cs="Arial"/>
          <w:iCs/>
          <w:sz w:val="24"/>
          <w:szCs w:val="24"/>
        </w:rPr>
      </w:pPr>
      <w:r w:rsidRPr="007709E8">
        <w:rPr>
          <w:rFonts w:ascii="Arial" w:hAnsi="Arial" w:cs="Arial"/>
          <w:iCs/>
          <w:sz w:val="24"/>
          <w:szCs w:val="24"/>
        </w:rPr>
        <w:t>not to have their privacy, family, home or correspondence interfered with unlawfully or arbitrarily; and</w:t>
      </w:r>
    </w:p>
    <w:p w14:paraId="6BFA5D0F" w14:textId="77CB8971" w:rsidR="0095405E" w:rsidRPr="007F123B" w:rsidRDefault="0095405E" w:rsidP="007F123B">
      <w:pPr>
        <w:pStyle w:val="ListParagraph"/>
        <w:numPr>
          <w:ilvl w:val="0"/>
          <w:numId w:val="13"/>
        </w:numPr>
        <w:rPr>
          <w:rFonts w:ascii="Arial" w:hAnsi="Arial" w:cs="Arial"/>
          <w:b/>
          <w:bCs/>
          <w:i/>
          <w:sz w:val="24"/>
          <w:szCs w:val="24"/>
        </w:rPr>
      </w:pPr>
      <w:r w:rsidRPr="007709E8">
        <w:rPr>
          <w:rFonts w:ascii="Arial" w:hAnsi="Arial" w:cs="Arial"/>
          <w:iCs/>
          <w:sz w:val="24"/>
          <w:szCs w:val="24"/>
        </w:rPr>
        <w:t>not to have their reputation unlawfully attacked.</w:t>
      </w:r>
    </w:p>
    <w:p w14:paraId="629D3522" w14:textId="77777777" w:rsidR="0095405E" w:rsidRPr="007709E8" w:rsidRDefault="0095405E" w:rsidP="0095405E">
      <w:pPr>
        <w:keepNext/>
        <w:spacing w:before="240"/>
        <w:rPr>
          <w:rFonts w:ascii="Arial" w:hAnsi="Arial" w:cs="Arial"/>
          <w:bCs/>
          <w:iCs/>
          <w:sz w:val="24"/>
          <w:szCs w:val="24"/>
        </w:rPr>
      </w:pPr>
      <w:r w:rsidRPr="007709E8">
        <w:rPr>
          <w:rFonts w:ascii="Arial" w:hAnsi="Arial" w:cs="Arial"/>
          <w:bCs/>
          <w:iCs/>
          <w:sz w:val="24"/>
          <w:szCs w:val="24"/>
        </w:rPr>
        <w:t xml:space="preserve">Section 12 of the </w:t>
      </w:r>
      <w:r>
        <w:rPr>
          <w:rFonts w:ascii="Arial" w:hAnsi="Arial" w:cs="Arial"/>
          <w:bCs/>
          <w:iCs/>
          <w:sz w:val="24"/>
          <w:szCs w:val="24"/>
        </w:rPr>
        <w:t>HRA</w:t>
      </w:r>
      <w:r w:rsidRPr="007709E8">
        <w:rPr>
          <w:rFonts w:ascii="Arial" w:hAnsi="Arial" w:cs="Arial"/>
          <w:bCs/>
          <w:iCs/>
          <w:sz w:val="24"/>
          <w:szCs w:val="24"/>
        </w:rPr>
        <w:t xml:space="preserve"> protects individuals from unlawful or arbitrary interference with privacy, family, home or correspondence. The right encompasses the idea that individuals should have a separate area of autonomous development, interaction and liberty, free from excessive government intervention and unsolicited intrusion by other individuals.</w:t>
      </w:r>
      <w:r w:rsidRPr="007709E8">
        <w:rPr>
          <w:rFonts w:ascii="Arial" w:hAnsi="Arial" w:cs="Arial"/>
          <w:bCs/>
          <w:iCs/>
          <w:sz w:val="24"/>
          <w:szCs w:val="24"/>
          <w:vertAlign w:val="superscript"/>
        </w:rPr>
        <w:footnoteReference w:id="1"/>
      </w:r>
      <w:r w:rsidRPr="007709E8">
        <w:rPr>
          <w:rFonts w:ascii="Arial" w:hAnsi="Arial" w:cs="Arial"/>
          <w:bCs/>
          <w:iCs/>
          <w:sz w:val="24"/>
          <w:szCs w:val="24"/>
        </w:rPr>
        <w:t xml:space="preserve"> </w:t>
      </w:r>
    </w:p>
    <w:p w14:paraId="440C4A45" w14:textId="7C5D80A4" w:rsidR="0095405E" w:rsidRPr="007709E8" w:rsidRDefault="0095405E" w:rsidP="0095405E">
      <w:pPr>
        <w:spacing w:before="240"/>
        <w:rPr>
          <w:rFonts w:ascii="Arial" w:hAnsi="Arial" w:cs="Arial"/>
          <w:bCs/>
          <w:iCs/>
          <w:sz w:val="24"/>
          <w:szCs w:val="24"/>
        </w:rPr>
      </w:pPr>
      <w:r w:rsidRPr="007709E8">
        <w:rPr>
          <w:rFonts w:ascii="Arial" w:hAnsi="Arial" w:cs="Arial"/>
          <w:bCs/>
          <w:i/>
          <w:sz w:val="24"/>
          <w:szCs w:val="24"/>
        </w:rPr>
        <w:t>Inter alia</w:t>
      </w:r>
      <w:r w:rsidRPr="007709E8">
        <w:rPr>
          <w:rFonts w:ascii="Arial" w:hAnsi="Arial" w:cs="Arial"/>
          <w:bCs/>
          <w:iCs/>
          <w:sz w:val="24"/>
          <w:szCs w:val="24"/>
        </w:rPr>
        <w:t>, it protects physical, psychological, and bodily integrity (</w:t>
      </w:r>
      <w:r>
        <w:rPr>
          <w:rFonts w:ascii="Arial" w:hAnsi="Arial" w:cs="Arial"/>
          <w:bCs/>
          <w:iCs/>
          <w:sz w:val="24"/>
          <w:szCs w:val="24"/>
        </w:rPr>
        <w:t xml:space="preserve">including </w:t>
      </w:r>
      <w:r w:rsidRPr="007709E8">
        <w:rPr>
          <w:rFonts w:ascii="Arial" w:hAnsi="Arial" w:cs="Arial"/>
          <w:bCs/>
          <w:iCs/>
          <w:sz w:val="24"/>
          <w:szCs w:val="24"/>
        </w:rPr>
        <w:t>the protection of individuals against non-consensual contact, or invasive procedures such as body searches) and personal autonomy and private life</w:t>
      </w:r>
      <w:r>
        <w:rPr>
          <w:rFonts w:ascii="Arial" w:hAnsi="Arial" w:cs="Arial"/>
          <w:bCs/>
          <w:iCs/>
          <w:sz w:val="24"/>
          <w:szCs w:val="24"/>
        </w:rPr>
        <w:t>.</w:t>
      </w:r>
    </w:p>
    <w:p w14:paraId="268A08A4" w14:textId="1D77FE1B" w:rsidR="0095405E" w:rsidRDefault="0095405E" w:rsidP="0095405E">
      <w:pPr>
        <w:spacing w:before="240"/>
        <w:rPr>
          <w:rFonts w:ascii="Arial" w:hAnsi="Arial" w:cs="Arial"/>
          <w:iCs/>
          <w:sz w:val="24"/>
          <w:szCs w:val="24"/>
        </w:rPr>
      </w:pPr>
      <w:r w:rsidRPr="007709E8">
        <w:rPr>
          <w:rFonts w:ascii="Arial" w:hAnsi="Arial" w:cs="Arial"/>
          <w:iCs/>
          <w:sz w:val="24"/>
          <w:szCs w:val="24"/>
        </w:rPr>
        <w:t>In the view of the UN Human Rights Committee</w:t>
      </w:r>
      <w:r w:rsidR="004610D1">
        <w:rPr>
          <w:rFonts w:ascii="Arial" w:hAnsi="Arial" w:cs="Arial"/>
          <w:iCs/>
          <w:sz w:val="24"/>
          <w:szCs w:val="24"/>
        </w:rPr>
        <w:t>,</w:t>
      </w:r>
      <w:r w:rsidRPr="007709E8">
        <w:rPr>
          <w:rFonts w:ascii="Arial" w:hAnsi="Arial" w:cs="Arial"/>
          <w:iCs/>
          <w:sz w:val="24"/>
          <w:szCs w:val="24"/>
        </w:rPr>
        <w:t xml:space="preserve"> the expression ‘arbitrary interference’ is considered independently from ‘unlawful’, as an interference might both be provided for in law while also being arbitrary: ‘The introduction of the concept of arbitrariness is intended to guarantee that even interference provided for by law </w:t>
      </w:r>
      <w:r w:rsidRPr="007709E8">
        <w:rPr>
          <w:rFonts w:ascii="Arial" w:hAnsi="Arial" w:cs="Arial"/>
          <w:iCs/>
          <w:sz w:val="24"/>
          <w:szCs w:val="24"/>
        </w:rPr>
        <w:lastRenderedPageBreak/>
        <w:t>should be in accordance with the provisions, aims and objectives of the Covenant and should be, in any event, reasonable in the particular circumstances.’</w:t>
      </w:r>
      <w:r w:rsidR="004610D1" w:rsidRPr="007709E8">
        <w:rPr>
          <w:rFonts w:ascii="Arial" w:hAnsi="Arial" w:cs="Arial"/>
          <w:iCs/>
          <w:sz w:val="24"/>
          <w:szCs w:val="24"/>
          <w:vertAlign w:val="superscript"/>
        </w:rPr>
        <w:footnoteReference w:id="2"/>
      </w:r>
    </w:p>
    <w:p w14:paraId="65EB27D2" w14:textId="4E8BB92B" w:rsidR="0095405E" w:rsidRPr="007F123B" w:rsidRDefault="0095405E" w:rsidP="0095405E">
      <w:pPr>
        <w:keepNext/>
        <w:spacing w:before="240"/>
        <w:rPr>
          <w:rFonts w:ascii="Arial" w:hAnsi="Arial" w:cs="Arial"/>
          <w:i/>
          <w:sz w:val="24"/>
          <w:szCs w:val="24"/>
          <w:u w:val="single"/>
        </w:rPr>
      </w:pPr>
      <w:r w:rsidRPr="004610D1">
        <w:rPr>
          <w:rFonts w:ascii="Arial" w:hAnsi="Arial" w:cs="Arial"/>
          <w:i/>
          <w:sz w:val="24"/>
          <w:szCs w:val="24"/>
          <w:u w:val="single"/>
        </w:rPr>
        <w:t>Freedom of movement</w:t>
      </w:r>
      <w:r w:rsidR="004610D1">
        <w:rPr>
          <w:rFonts w:ascii="Arial" w:hAnsi="Arial" w:cs="Arial"/>
          <w:i/>
          <w:sz w:val="24"/>
          <w:szCs w:val="24"/>
          <w:u w:val="single"/>
        </w:rPr>
        <w:t xml:space="preserve"> (s 13)</w:t>
      </w:r>
    </w:p>
    <w:p w14:paraId="0963A046" w14:textId="77777777" w:rsidR="0095405E" w:rsidRPr="007709E8" w:rsidRDefault="0095405E" w:rsidP="0095405E">
      <w:pPr>
        <w:spacing w:before="240"/>
        <w:rPr>
          <w:rFonts w:ascii="Arial" w:hAnsi="Arial" w:cs="Arial"/>
          <w:iCs/>
          <w:sz w:val="24"/>
          <w:szCs w:val="24"/>
        </w:rPr>
      </w:pPr>
      <w:r w:rsidRPr="007709E8">
        <w:rPr>
          <w:rFonts w:ascii="Arial" w:hAnsi="Arial" w:cs="Arial"/>
          <w:iCs/>
          <w:sz w:val="24"/>
          <w:szCs w:val="24"/>
        </w:rPr>
        <w:t>Section 13 of the HRA states that everyone has the right to move freely within the ACT and to enter and leave it, and the freedom to choose their residence in the ACT.</w:t>
      </w:r>
    </w:p>
    <w:p w14:paraId="2FF22782" w14:textId="24FEE0DD" w:rsidR="0095405E" w:rsidRPr="007709E8" w:rsidRDefault="0095405E" w:rsidP="0095405E">
      <w:pPr>
        <w:spacing w:before="240"/>
        <w:rPr>
          <w:rFonts w:ascii="Arial" w:hAnsi="Arial" w:cs="Arial"/>
          <w:iCs/>
          <w:sz w:val="24"/>
          <w:szCs w:val="24"/>
        </w:rPr>
      </w:pPr>
      <w:r w:rsidRPr="007709E8">
        <w:rPr>
          <w:rFonts w:ascii="Arial" w:hAnsi="Arial" w:cs="Arial"/>
          <w:iCs/>
          <w:sz w:val="24"/>
          <w:szCs w:val="24"/>
        </w:rPr>
        <w:t>The right is not absolute. It is based on Article 12 of the International Covenant on Civil and Political Rights which includes (at [3]): ‘The above-mentioned rights shall not be subject to any restrictions except those which are provided by law, are necessary to protect national security, public order (</w:t>
      </w:r>
      <w:r w:rsidRPr="007709E8">
        <w:rPr>
          <w:rFonts w:ascii="Arial" w:hAnsi="Arial" w:cs="Arial"/>
          <w:i/>
          <w:iCs/>
          <w:sz w:val="24"/>
          <w:szCs w:val="24"/>
        </w:rPr>
        <w:t>ordre public</w:t>
      </w:r>
      <w:r w:rsidRPr="007709E8">
        <w:rPr>
          <w:rFonts w:ascii="Arial" w:hAnsi="Arial" w:cs="Arial"/>
          <w:iCs/>
          <w:sz w:val="24"/>
          <w:szCs w:val="24"/>
        </w:rPr>
        <w:t xml:space="preserve">), public health or morals or the rights and freedoms of others, and are consistent with the other rights recognized in the present Covenant.’ </w:t>
      </w:r>
    </w:p>
    <w:p w14:paraId="2FE2594D" w14:textId="786E4FA3" w:rsidR="0095405E" w:rsidRPr="001D5A55" w:rsidRDefault="0095405E" w:rsidP="007F123B">
      <w:pPr>
        <w:keepNext/>
        <w:spacing w:before="240"/>
        <w:rPr>
          <w:rFonts w:ascii="Arial" w:hAnsi="Arial" w:cs="Arial"/>
          <w:i/>
          <w:sz w:val="24"/>
          <w:szCs w:val="24"/>
          <w:u w:val="single"/>
        </w:rPr>
      </w:pPr>
      <w:r w:rsidRPr="001D5A55">
        <w:rPr>
          <w:rFonts w:ascii="Arial" w:hAnsi="Arial" w:cs="Arial"/>
          <w:i/>
          <w:sz w:val="24"/>
          <w:szCs w:val="24"/>
          <w:u w:val="single"/>
        </w:rPr>
        <w:t>Right to liberty and security of person</w:t>
      </w:r>
      <w:r w:rsidR="004610D1">
        <w:rPr>
          <w:rFonts w:ascii="Arial" w:hAnsi="Arial" w:cs="Arial"/>
          <w:i/>
          <w:sz w:val="24"/>
          <w:szCs w:val="24"/>
          <w:u w:val="single"/>
        </w:rPr>
        <w:t xml:space="preserve"> (s 18)</w:t>
      </w:r>
    </w:p>
    <w:p w14:paraId="1988B6A4" w14:textId="77777777" w:rsidR="0095405E" w:rsidRPr="007709E8" w:rsidRDefault="0095405E" w:rsidP="0095405E">
      <w:pPr>
        <w:spacing w:before="240"/>
        <w:rPr>
          <w:rFonts w:ascii="Arial" w:hAnsi="Arial" w:cs="Arial"/>
          <w:iCs/>
          <w:sz w:val="24"/>
          <w:szCs w:val="24"/>
        </w:rPr>
      </w:pPr>
      <w:r w:rsidRPr="007709E8">
        <w:rPr>
          <w:rFonts w:ascii="Arial" w:hAnsi="Arial" w:cs="Arial"/>
          <w:iCs/>
          <w:sz w:val="24"/>
          <w:szCs w:val="24"/>
        </w:rPr>
        <w:t xml:space="preserve">Section 18 of the HRA states </w:t>
      </w:r>
      <w:r>
        <w:rPr>
          <w:rFonts w:ascii="Arial" w:hAnsi="Arial" w:cs="Arial"/>
          <w:iCs/>
          <w:sz w:val="24"/>
          <w:szCs w:val="24"/>
        </w:rPr>
        <w:t xml:space="preserve">(in relevant part) </w:t>
      </w:r>
      <w:r w:rsidRPr="007709E8">
        <w:rPr>
          <w:rFonts w:ascii="Arial" w:hAnsi="Arial" w:cs="Arial"/>
          <w:iCs/>
          <w:sz w:val="24"/>
          <w:szCs w:val="24"/>
        </w:rPr>
        <w:t>that:</w:t>
      </w:r>
    </w:p>
    <w:p w14:paraId="2CD378FC" w14:textId="77777777" w:rsidR="0095405E" w:rsidRPr="007709E8" w:rsidRDefault="0095405E" w:rsidP="0095405E">
      <w:pPr>
        <w:pStyle w:val="ListParagraph"/>
        <w:numPr>
          <w:ilvl w:val="0"/>
          <w:numId w:val="14"/>
        </w:numPr>
        <w:rPr>
          <w:rFonts w:ascii="Arial" w:hAnsi="Arial" w:cs="Arial"/>
          <w:iCs/>
          <w:sz w:val="24"/>
          <w:szCs w:val="24"/>
        </w:rPr>
      </w:pPr>
      <w:r w:rsidRPr="007709E8">
        <w:rPr>
          <w:rFonts w:ascii="Arial" w:hAnsi="Arial" w:cs="Arial"/>
          <w:iCs/>
          <w:sz w:val="24"/>
          <w:szCs w:val="24"/>
        </w:rPr>
        <w:t>Everyone has the right to liberty and security of person.</w:t>
      </w:r>
      <w:r>
        <w:rPr>
          <w:rFonts w:ascii="Arial" w:hAnsi="Arial" w:cs="Arial"/>
          <w:iCs/>
          <w:sz w:val="24"/>
          <w:szCs w:val="24"/>
        </w:rPr>
        <w:t xml:space="preserve"> </w:t>
      </w:r>
      <w:r w:rsidRPr="007709E8">
        <w:rPr>
          <w:rFonts w:ascii="Arial" w:hAnsi="Arial" w:cs="Arial"/>
          <w:iCs/>
          <w:sz w:val="24"/>
          <w:szCs w:val="24"/>
        </w:rPr>
        <w:t>In particular, no</w:t>
      </w:r>
      <w:r>
        <w:rPr>
          <w:rFonts w:ascii="Arial" w:hAnsi="Arial" w:cs="Arial"/>
          <w:iCs/>
          <w:sz w:val="24"/>
          <w:szCs w:val="24"/>
        </w:rPr>
        <w:noBreakHyphen/>
      </w:r>
      <w:r w:rsidRPr="007709E8">
        <w:rPr>
          <w:rFonts w:ascii="Arial" w:hAnsi="Arial" w:cs="Arial"/>
          <w:iCs/>
          <w:sz w:val="24"/>
          <w:szCs w:val="24"/>
        </w:rPr>
        <w:t>one may be arbitrarily arrested or detained.</w:t>
      </w:r>
    </w:p>
    <w:p w14:paraId="47D5395B" w14:textId="77777777" w:rsidR="0095405E" w:rsidRPr="007709E8" w:rsidRDefault="0095405E" w:rsidP="0095405E">
      <w:pPr>
        <w:pStyle w:val="ListParagraph"/>
        <w:numPr>
          <w:ilvl w:val="0"/>
          <w:numId w:val="14"/>
        </w:numPr>
        <w:rPr>
          <w:rFonts w:ascii="Arial" w:hAnsi="Arial" w:cs="Arial"/>
          <w:iCs/>
          <w:sz w:val="24"/>
          <w:szCs w:val="24"/>
        </w:rPr>
      </w:pPr>
      <w:r w:rsidRPr="007709E8">
        <w:rPr>
          <w:rFonts w:ascii="Arial" w:hAnsi="Arial" w:cs="Arial"/>
          <w:iCs/>
          <w:sz w:val="24"/>
          <w:szCs w:val="24"/>
        </w:rPr>
        <w:t>No-one may be deprived of liberty, except on the grounds and in accordance with the procedures established by law.</w:t>
      </w:r>
    </w:p>
    <w:p w14:paraId="5A0641C8" w14:textId="37B340CC" w:rsidR="0095405E" w:rsidRPr="007709E8" w:rsidRDefault="0095405E" w:rsidP="0095405E">
      <w:pPr>
        <w:spacing w:before="240"/>
        <w:rPr>
          <w:rFonts w:ascii="Arial" w:hAnsi="Arial" w:cs="Arial"/>
          <w:iCs/>
          <w:sz w:val="24"/>
          <w:szCs w:val="24"/>
        </w:rPr>
      </w:pPr>
      <w:r w:rsidRPr="007709E8">
        <w:rPr>
          <w:rFonts w:ascii="Arial" w:hAnsi="Arial" w:cs="Arial"/>
          <w:iCs/>
          <w:sz w:val="24"/>
          <w:szCs w:val="24"/>
        </w:rPr>
        <w:t>The right to liberty prohibits the arbitrary and unlawful deprivation of liberty. It</w:t>
      </w:r>
      <w:r w:rsidR="004610D1">
        <w:rPr>
          <w:rFonts w:ascii="Arial" w:hAnsi="Arial" w:cs="Arial"/>
          <w:iCs/>
          <w:sz w:val="24"/>
          <w:szCs w:val="24"/>
        </w:rPr>
        <w:t> </w:t>
      </w:r>
      <w:r w:rsidRPr="007709E8">
        <w:rPr>
          <w:rFonts w:ascii="Arial" w:hAnsi="Arial" w:cs="Arial"/>
          <w:iCs/>
          <w:sz w:val="24"/>
          <w:szCs w:val="24"/>
        </w:rPr>
        <w:t>imposes a negative duty on public authorities to respect the right, and a positive duty to take appropriate measures to protect individuals from unlawful detention or involuntary restraint by others.</w:t>
      </w:r>
    </w:p>
    <w:p w14:paraId="22723948" w14:textId="6BEA1E63" w:rsidR="0095405E" w:rsidRPr="007709E8" w:rsidRDefault="004610D1" w:rsidP="0095405E">
      <w:pPr>
        <w:spacing w:before="240"/>
        <w:rPr>
          <w:rFonts w:ascii="Arial" w:hAnsi="Arial" w:cs="Arial"/>
          <w:iCs/>
          <w:sz w:val="24"/>
          <w:szCs w:val="24"/>
        </w:rPr>
      </w:pPr>
      <w:r w:rsidRPr="007709E8">
        <w:rPr>
          <w:rFonts w:ascii="Arial" w:hAnsi="Arial" w:cs="Arial"/>
          <w:iCs/>
          <w:sz w:val="24"/>
          <w:szCs w:val="24"/>
        </w:rPr>
        <w:t>Deprivation of liberty occurs when a person does not freely consent to being detained or restrained.</w:t>
      </w:r>
      <w:r w:rsidRPr="007709E8">
        <w:rPr>
          <w:rFonts w:ascii="Arial" w:hAnsi="Arial" w:cs="Arial"/>
          <w:iCs/>
          <w:sz w:val="24"/>
          <w:szCs w:val="24"/>
          <w:vertAlign w:val="superscript"/>
        </w:rPr>
        <w:footnoteReference w:id="3"/>
      </w:r>
      <w:r>
        <w:rPr>
          <w:rFonts w:ascii="Arial" w:hAnsi="Arial" w:cs="Arial"/>
          <w:iCs/>
          <w:sz w:val="24"/>
          <w:szCs w:val="24"/>
        </w:rPr>
        <w:t xml:space="preserve"> </w:t>
      </w:r>
      <w:r w:rsidR="0095405E" w:rsidRPr="007709E8">
        <w:rPr>
          <w:rFonts w:ascii="Arial" w:hAnsi="Arial" w:cs="Arial"/>
          <w:iCs/>
          <w:sz w:val="24"/>
          <w:szCs w:val="24"/>
        </w:rPr>
        <w:t>Deprivation of liberty must not only be lawful, in accordance with pre-established legal procedures, but must not be ‘arbitrary’. Arrest or detention may be ‘arbitrary’ if it is unreasonable, unjust, inappropriate or disproportionate in all the circumstances of the case or not in accordance with due process.</w:t>
      </w:r>
      <w:r w:rsidR="0095405E" w:rsidRPr="007709E8">
        <w:rPr>
          <w:rFonts w:ascii="Arial" w:hAnsi="Arial" w:cs="Arial"/>
          <w:iCs/>
          <w:sz w:val="24"/>
          <w:szCs w:val="24"/>
          <w:vertAlign w:val="superscript"/>
        </w:rPr>
        <w:footnoteReference w:id="4"/>
      </w:r>
      <w:r>
        <w:rPr>
          <w:rFonts w:ascii="Arial" w:hAnsi="Arial" w:cs="Arial"/>
          <w:iCs/>
          <w:sz w:val="24"/>
          <w:szCs w:val="24"/>
        </w:rPr>
        <w:t xml:space="preserve"> </w:t>
      </w:r>
      <w:r w:rsidR="0095405E" w:rsidRPr="007709E8">
        <w:rPr>
          <w:rFonts w:ascii="Arial" w:hAnsi="Arial" w:cs="Arial"/>
          <w:iCs/>
          <w:sz w:val="24"/>
          <w:szCs w:val="24"/>
        </w:rPr>
        <w:t>‘Arbitrariness’ can also occur where detention is initially lawful but becomes arbitrary because it continues for an unreasonable time or in unjustified circumstances.</w:t>
      </w:r>
      <w:r w:rsidR="0095405E" w:rsidRPr="007709E8">
        <w:rPr>
          <w:rFonts w:ascii="Arial" w:hAnsi="Arial" w:cs="Arial"/>
          <w:iCs/>
          <w:sz w:val="24"/>
          <w:szCs w:val="24"/>
          <w:vertAlign w:val="superscript"/>
        </w:rPr>
        <w:footnoteReference w:id="5"/>
      </w:r>
    </w:p>
    <w:p w14:paraId="08F415F6" w14:textId="4AA8B90D" w:rsidR="00A13321" w:rsidRPr="007F123B" w:rsidRDefault="0095405E" w:rsidP="006C2C68">
      <w:pPr>
        <w:keepNext/>
        <w:rPr>
          <w:rFonts w:ascii="Arial" w:hAnsi="Arial" w:cs="Arial"/>
          <w:b/>
          <w:bCs/>
          <w:i/>
          <w:sz w:val="24"/>
          <w:szCs w:val="24"/>
        </w:rPr>
      </w:pPr>
      <w:r>
        <w:rPr>
          <w:rFonts w:ascii="Arial" w:hAnsi="Arial" w:cs="Arial"/>
          <w:b/>
          <w:bCs/>
          <w:i/>
          <w:sz w:val="24"/>
          <w:szCs w:val="24"/>
        </w:rPr>
        <w:lastRenderedPageBreak/>
        <w:t>Powers to s</w:t>
      </w:r>
      <w:r w:rsidR="00A13321" w:rsidRPr="007F123B">
        <w:rPr>
          <w:rFonts w:ascii="Arial" w:hAnsi="Arial" w:cs="Arial"/>
          <w:b/>
          <w:bCs/>
          <w:i/>
          <w:sz w:val="24"/>
          <w:szCs w:val="24"/>
        </w:rPr>
        <w:t>earch</w:t>
      </w:r>
      <w:r>
        <w:rPr>
          <w:rFonts w:ascii="Arial" w:hAnsi="Arial" w:cs="Arial"/>
          <w:b/>
          <w:bCs/>
          <w:i/>
          <w:sz w:val="24"/>
          <w:szCs w:val="24"/>
        </w:rPr>
        <w:t xml:space="preserve"> under</w:t>
      </w:r>
      <w:r w:rsidR="00A13321" w:rsidRPr="007F123B">
        <w:rPr>
          <w:rFonts w:ascii="Arial" w:hAnsi="Arial" w:cs="Arial"/>
          <w:b/>
          <w:bCs/>
          <w:i/>
          <w:sz w:val="24"/>
          <w:szCs w:val="24"/>
        </w:rPr>
        <w:t xml:space="preserve"> warrant</w:t>
      </w:r>
      <w:r w:rsidR="00E85C48">
        <w:rPr>
          <w:rFonts w:ascii="Arial" w:hAnsi="Arial" w:cs="Arial"/>
          <w:b/>
          <w:bCs/>
          <w:i/>
          <w:sz w:val="24"/>
          <w:szCs w:val="24"/>
        </w:rPr>
        <w:t xml:space="preserve"> (clauses 9 and 10)</w:t>
      </w:r>
    </w:p>
    <w:p w14:paraId="7D77DFD0" w14:textId="43B2C103" w:rsidR="007709E8" w:rsidRPr="007D4D17" w:rsidRDefault="007709E8" w:rsidP="00174965">
      <w:pPr>
        <w:keepNext/>
        <w:spacing w:before="240"/>
        <w:rPr>
          <w:rFonts w:ascii="Arial" w:hAnsi="Arial" w:cs="Arial"/>
          <w:bCs/>
          <w:iCs/>
          <w:sz w:val="24"/>
          <w:szCs w:val="24"/>
          <w:u w:val="single"/>
        </w:rPr>
      </w:pPr>
      <w:bookmarkStart w:id="2" w:name="OLE_LINK1"/>
      <w:r w:rsidRPr="007D4D17">
        <w:rPr>
          <w:rFonts w:ascii="Arial" w:hAnsi="Arial" w:cs="Arial"/>
          <w:bCs/>
          <w:i/>
          <w:iCs/>
          <w:sz w:val="24"/>
          <w:szCs w:val="24"/>
          <w:u w:val="single"/>
        </w:rPr>
        <w:t>1. Nature of the limitation (s 28 (2) (c))</w:t>
      </w:r>
    </w:p>
    <w:p w14:paraId="3E991E05" w14:textId="60F9CCB3" w:rsidR="004610D1" w:rsidRDefault="00A522F6" w:rsidP="007709E8">
      <w:pPr>
        <w:spacing w:before="240"/>
        <w:rPr>
          <w:rFonts w:ascii="Arial" w:hAnsi="Arial" w:cs="Arial"/>
          <w:iCs/>
          <w:sz w:val="24"/>
          <w:szCs w:val="24"/>
        </w:rPr>
      </w:pPr>
      <w:r>
        <w:rPr>
          <w:rFonts w:ascii="Arial" w:hAnsi="Arial" w:cs="Arial"/>
          <w:iCs/>
          <w:sz w:val="24"/>
          <w:szCs w:val="24"/>
        </w:rPr>
        <w:t xml:space="preserve">The Bill </w:t>
      </w:r>
      <w:r w:rsidR="007D4D17">
        <w:rPr>
          <w:rFonts w:ascii="Arial" w:hAnsi="Arial" w:cs="Arial"/>
          <w:iCs/>
          <w:sz w:val="24"/>
          <w:szCs w:val="24"/>
        </w:rPr>
        <w:t>makes clear the existing law</w:t>
      </w:r>
      <w:r>
        <w:rPr>
          <w:rFonts w:ascii="Arial" w:hAnsi="Arial" w:cs="Arial"/>
          <w:iCs/>
          <w:sz w:val="24"/>
          <w:szCs w:val="24"/>
        </w:rPr>
        <w:t xml:space="preserve"> that a warrant may be issued for an ordinary search </w:t>
      </w:r>
      <w:r w:rsidR="007B13E7">
        <w:rPr>
          <w:rFonts w:ascii="Arial" w:hAnsi="Arial" w:cs="Arial"/>
          <w:iCs/>
          <w:sz w:val="24"/>
          <w:szCs w:val="24"/>
        </w:rPr>
        <w:t>o</w:t>
      </w:r>
      <w:r>
        <w:rPr>
          <w:rFonts w:ascii="Arial" w:hAnsi="Arial" w:cs="Arial"/>
          <w:iCs/>
          <w:sz w:val="24"/>
          <w:szCs w:val="24"/>
        </w:rPr>
        <w:t xml:space="preserve">r frisk search for a person who </w:t>
      </w:r>
      <w:r w:rsidR="00EF5C6D">
        <w:rPr>
          <w:rFonts w:ascii="Arial" w:hAnsi="Arial" w:cs="Arial"/>
          <w:iCs/>
          <w:sz w:val="24"/>
          <w:szCs w:val="24"/>
        </w:rPr>
        <w:t>i</w:t>
      </w:r>
      <w:r>
        <w:rPr>
          <w:rFonts w:ascii="Arial" w:hAnsi="Arial" w:cs="Arial"/>
          <w:iCs/>
          <w:sz w:val="24"/>
          <w:szCs w:val="24"/>
        </w:rPr>
        <w:t xml:space="preserve">s under 14 years old for the purposes of </w:t>
      </w:r>
      <w:r w:rsidR="00EF5C6D">
        <w:rPr>
          <w:rFonts w:ascii="Arial" w:hAnsi="Arial" w:cs="Arial"/>
          <w:iCs/>
          <w:sz w:val="24"/>
          <w:szCs w:val="24"/>
        </w:rPr>
        <w:t>determining</w:t>
      </w:r>
      <w:r>
        <w:rPr>
          <w:rFonts w:ascii="Arial" w:hAnsi="Arial" w:cs="Arial"/>
          <w:iCs/>
          <w:sz w:val="24"/>
          <w:szCs w:val="24"/>
        </w:rPr>
        <w:t xml:space="preserve"> whether they are in possession of anything stolen, </w:t>
      </w:r>
      <w:r w:rsidR="00EF5C6D">
        <w:rPr>
          <w:rFonts w:ascii="Arial" w:hAnsi="Arial" w:cs="Arial"/>
          <w:iCs/>
          <w:sz w:val="24"/>
          <w:szCs w:val="24"/>
        </w:rPr>
        <w:t>unlawfully</w:t>
      </w:r>
      <w:r>
        <w:rPr>
          <w:rFonts w:ascii="Arial" w:hAnsi="Arial" w:cs="Arial"/>
          <w:iCs/>
          <w:sz w:val="24"/>
          <w:szCs w:val="24"/>
        </w:rPr>
        <w:t xml:space="preserve"> obtained or evidential material. </w:t>
      </w:r>
    </w:p>
    <w:p w14:paraId="23646A0E" w14:textId="6DDA3789" w:rsidR="007B13E7" w:rsidRDefault="0F6815A6" w:rsidP="45155BF8">
      <w:pPr>
        <w:spacing w:before="240"/>
        <w:rPr>
          <w:rFonts w:ascii="Arial" w:hAnsi="Arial" w:cs="Arial"/>
          <w:sz w:val="24"/>
          <w:szCs w:val="24"/>
        </w:rPr>
      </w:pPr>
      <w:r w:rsidRPr="45155BF8">
        <w:rPr>
          <w:rFonts w:ascii="Arial" w:hAnsi="Arial" w:cs="Arial"/>
          <w:sz w:val="24"/>
          <w:szCs w:val="24"/>
        </w:rPr>
        <w:t>As noted, th</w:t>
      </w:r>
      <w:r w:rsidR="04ADB5ED" w:rsidRPr="45155BF8">
        <w:rPr>
          <w:rFonts w:ascii="Arial" w:hAnsi="Arial" w:cs="Arial"/>
          <w:sz w:val="24"/>
          <w:szCs w:val="24"/>
        </w:rPr>
        <w:t>i</w:t>
      </w:r>
      <w:r w:rsidRPr="45155BF8">
        <w:rPr>
          <w:rFonts w:ascii="Arial" w:hAnsi="Arial" w:cs="Arial"/>
          <w:sz w:val="24"/>
          <w:szCs w:val="24"/>
        </w:rPr>
        <w:t>s</w:t>
      </w:r>
      <w:r w:rsidR="04ADB5ED" w:rsidRPr="45155BF8">
        <w:rPr>
          <w:rFonts w:ascii="Arial" w:hAnsi="Arial" w:cs="Arial"/>
          <w:sz w:val="24"/>
          <w:szCs w:val="24"/>
        </w:rPr>
        <w:t xml:space="preserve"> is</w:t>
      </w:r>
      <w:r w:rsidRPr="45155BF8">
        <w:rPr>
          <w:rFonts w:ascii="Arial" w:hAnsi="Arial" w:cs="Arial"/>
          <w:sz w:val="24"/>
          <w:szCs w:val="24"/>
        </w:rPr>
        <w:t xml:space="preserve"> not</w:t>
      </w:r>
      <w:r w:rsidR="04ADB5ED" w:rsidRPr="45155BF8">
        <w:rPr>
          <w:rFonts w:ascii="Arial" w:hAnsi="Arial" w:cs="Arial"/>
          <w:sz w:val="24"/>
          <w:szCs w:val="24"/>
        </w:rPr>
        <w:t xml:space="preserve"> a</w:t>
      </w:r>
      <w:r w:rsidRPr="45155BF8">
        <w:rPr>
          <w:rFonts w:ascii="Arial" w:hAnsi="Arial" w:cs="Arial"/>
          <w:sz w:val="24"/>
          <w:szCs w:val="24"/>
        </w:rPr>
        <w:t xml:space="preserve"> new power in relation to people under 14. However, t</w:t>
      </w:r>
      <w:r w:rsidR="2DEFC670" w:rsidRPr="45155BF8">
        <w:rPr>
          <w:rFonts w:ascii="Arial" w:hAnsi="Arial" w:cs="Arial"/>
          <w:sz w:val="24"/>
          <w:szCs w:val="24"/>
        </w:rPr>
        <w:t xml:space="preserve">he conduct of a search </w:t>
      </w:r>
      <w:r w:rsidRPr="45155BF8">
        <w:rPr>
          <w:rFonts w:ascii="Arial" w:hAnsi="Arial" w:cs="Arial"/>
          <w:sz w:val="24"/>
          <w:szCs w:val="24"/>
        </w:rPr>
        <w:t>of premises or an individual young person under the MACR in accordance with section 194 of the</w:t>
      </w:r>
      <w:r w:rsidRPr="45155BF8">
        <w:rPr>
          <w:rFonts w:ascii="Arial" w:hAnsi="Arial" w:cs="Arial"/>
          <w:i/>
          <w:iCs/>
          <w:sz w:val="24"/>
          <w:szCs w:val="24"/>
        </w:rPr>
        <w:t xml:space="preserve"> Crimes Act</w:t>
      </w:r>
      <w:r w:rsidR="04ADB5ED" w:rsidRPr="45155BF8">
        <w:rPr>
          <w:rFonts w:ascii="Arial" w:hAnsi="Arial" w:cs="Arial"/>
          <w:i/>
          <w:iCs/>
          <w:sz w:val="24"/>
          <w:szCs w:val="24"/>
        </w:rPr>
        <w:t xml:space="preserve"> 1900</w:t>
      </w:r>
      <w:r w:rsidRPr="45155BF8">
        <w:rPr>
          <w:rFonts w:ascii="Arial" w:hAnsi="Arial" w:cs="Arial"/>
          <w:sz w:val="24"/>
          <w:szCs w:val="24"/>
        </w:rPr>
        <w:t xml:space="preserve"> </w:t>
      </w:r>
      <w:r w:rsidR="2DEFC670" w:rsidRPr="45155BF8">
        <w:rPr>
          <w:rFonts w:ascii="Arial" w:hAnsi="Arial" w:cs="Arial"/>
          <w:sz w:val="24"/>
          <w:szCs w:val="24"/>
        </w:rPr>
        <w:t>will limit their right to privacy</w:t>
      </w:r>
      <w:r w:rsidR="7EB245D7" w:rsidRPr="45155BF8">
        <w:rPr>
          <w:rFonts w:ascii="Arial" w:hAnsi="Arial" w:cs="Arial"/>
          <w:sz w:val="24"/>
          <w:szCs w:val="24"/>
        </w:rPr>
        <w:t>, both in terms of the privacy of their home and their bodily integrity</w:t>
      </w:r>
      <w:r w:rsidR="2DEFC670" w:rsidRPr="45155BF8">
        <w:rPr>
          <w:rFonts w:ascii="Arial" w:hAnsi="Arial" w:cs="Arial"/>
          <w:sz w:val="24"/>
          <w:szCs w:val="24"/>
        </w:rPr>
        <w:t>.</w:t>
      </w:r>
      <w:r w:rsidR="366AA98D" w:rsidRPr="45155BF8">
        <w:rPr>
          <w:rFonts w:ascii="Arial" w:hAnsi="Arial" w:cs="Arial"/>
          <w:sz w:val="24"/>
          <w:szCs w:val="24"/>
        </w:rPr>
        <w:t xml:space="preserve"> It may also limit their rights to freedom of movement and liberty and security of the person, for the short period in which they are restricted </w:t>
      </w:r>
      <w:r w:rsidR="5D78D129" w:rsidRPr="45155BF8">
        <w:rPr>
          <w:rFonts w:ascii="Arial" w:hAnsi="Arial" w:cs="Arial"/>
          <w:sz w:val="24"/>
          <w:szCs w:val="24"/>
        </w:rPr>
        <w:t xml:space="preserve">and their person interfered with </w:t>
      </w:r>
      <w:r w:rsidR="366AA98D" w:rsidRPr="45155BF8">
        <w:rPr>
          <w:rFonts w:ascii="Arial" w:hAnsi="Arial" w:cs="Arial"/>
          <w:sz w:val="24"/>
          <w:szCs w:val="24"/>
        </w:rPr>
        <w:t>while the search is conducted.</w:t>
      </w:r>
      <w:r w:rsidR="2DEFC670" w:rsidRPr="45155BF8">
        <w:rPr>
          <w:rFonts w:ascii="Arial" w:hAnsi="Arial" w:cs="Arial"/>
          <w:sz w:val="24"/>
          <w:szCs w:val="24"/>
        </w:rPr>
        <w:t xml:space="preserve"> </w:t>
      </w:r>
    </w:p>
    <w:p w14:paraId="51D349D7" w14:textId="02DD46CC" w:rsidR="007709E8" w:rsidRPr="007D4D17" w:rsidRDefault="007709E8" w:rsidP="007D4D17">
      <w:pPr>
        <w:keepNext/>
        <w:spacing w:before="240"/>
        <w:rPr>
          <w:rFonts w:ascii="Arial" w:hAnsi="Arial" w:cs="Arial"/>
          <w:bCs/>
          <w:i/>
          <w:iCs/>
          <w:sz w:val="24"/>
          <w:szCs w:val="24"/>
          <w:u w:val="single"/>
        </w:rPr>
      </w:pPr>
      <w:r w:rsidRPr="007D4D17">
        <w:rPr>
          <w:rFonts w:ascii="Arial" w:hAnsi="Arial" w:cs="Arial"/>
          <w:bCs/>
          <w:i/>
          <w:iCs/>
          <w:sz w:val="24"/>
          <w:szCs w:val="24"/>
          <w:u w:val="single"/>
        </w:rPr>
        <w:t>2. Legitimate purpose (s 28 (2) (b))</w:t>
      </w:r>
    </w:p>
    <w:p w14:paraId="601FA748" w14:textId="10B7D822" w:rsidR="00984A5C" w:rsidRDefault="59B7626B" w:rsidP="45155BF8">
      <w:pPr>
        <w:keepNext/>
        <w:spacing w:before="240"/>
        <w:rPr>
          <w:rFonts w:ascii="Arial" w:hAnsi="Arial" w:cs="Arial"/>
          <w:sz w:val="24"/>
          <w:szCs w:val="24"/>
        </w:rPr>
      </w:pPr>
      <w:r w:rsidRPr="45155BF8">
        <w:rPr>
          <w:rFonts w:ascii="Arial" w:hAnsi="Arial" w:cs="Arial"/>
          <w:sz w:val="24"/>
          <w:szCs w:val="24"/>
        </w:rPr>
        <w:t>Searches are a necessary police power</w:t>
      </w:r>
      <w:r w:rsidR="60F081FD" w:rsidRPr="45155BF8">
        <w:rPr>
          <w:rFonts w:ascii="Arial" w:hAnsi="Arial" w:cs="Arial"/>
          <w:sz w:val="24"/>
          <w:szCs w:val="24"/>
        </w:rPr>
        <w:t xml:space="preserve"> for the protection of the public, and in some cases, the person being searched, from harm</w:t>
      </w:r>
      <w:r w:rsidR="6EB0F9EB" w:rsidRPr="45155BF8">
        <w:rPr>
          <w:rFonts w:ascii="Arial" w:hAnsi="Arial" w:cs="Arial"/>
          <w:sz w:val="24"/>
          <w:szCs w:val="24"/>
        </w:rPr>
        <w:t xml:space="preserve">. Searches are also important to </w:t>
      </w:r>
      <w:r w:rsidR="60F081FD" w:rsidRPr="45155BF8">
        <w:rPr>
          <w:rFonts w:ascii="Arial" w:hAnsi="Arial" w:cs="Arial"/>
          <w:sz w:val="24"/>
          <w:szCs w:val="24"/>
        </w:rPr>
        <w:t xml:space="preserve">ensure due </w:t>
      </w:r>
      <w:r w:rsidR="353AF62B" w:rsidRPr="45155BF8">
        <w:rPr>
          <w:rFonts w:ascii="Arial" w:hAnsi="Arial" w:cs="Arial"/>
          <w:sz w:val="24"/>
          <w:szCs w:val="24"/>
        </w:rPr>
        <w:t>process</w:t>
      </w:r>
      <w:r w:rsidR="60F081FD" w:rsidRPr="45155BF8">
        <w:rPr>
          <w:rFonts w:ascii="Arial" w:hAnsi="Arial" w:cs="Arial"/>
          <w:sz w:val="24"/>
          <w:szCs w:val="24"/>
        </w:rPr>
        <w:t xml:space="preserve"> within the</w:t>
      </w:r>
      <w:r w:rsidR="6B2C9F65" w:rsidRPr="45155BF8">
        <w:rPr>
          <w:rFonts w:ascii="Arial" w:hAnsi="Arial" w:cs="Arial"/>
          <w:sz w:val="24"/>
          <w:szCs w:val="24"/>
        </w:rPr>
        <w:t xml:space="preserve"> </w:t>
      </w:r>
      <w:r w:rsidR="60F081FD" w:rsidRPr="45155BF8">
        <w:rPr>
          <w:rFonts w:ascii="Arial" w:hAnsi="Arial" w:cs="Arial"/>
          <w:sz w:val="24"/>
          <w:szCs w:val="24"/>
        </w:rPr>
        <w:t xml:space="preserve">criminal justice system (eg. </w:t>
      </w:r>
      <w:r w:rsidR="5A9E7702" w:rsidRPr="45155BF8">
        <w:rPr>
          <w:rFonts w:ascii="Arial" w:hAnsi="Arial" w:cs="Arial"/>
          <w:sz w:val="24"/>
          <w:szCs w:val="24"/>
        </w:rPr>
        <w:t>t</w:t>
      </w:r>
      <w:r w:rsidR="60F081FD" w:rsidRPr="45155BF8">
        <w:rPr>
          <w:rFonts w:ascii="Arial" w:hAnsi="Arial" w:cs="Arial"/>
          <w:sz w:val="24"/>
          <w:szCs w:val="24"/>
        </w:rPr>
        <w:t>o</w:t>
      </w:r>
      <w:r w:rsidR="3BD9E1EB" w:rsidRPr="45155BF8">
        <w:rPr>
          <w:rFonts w:ascii="Arial" w:hAnsi="Arial" w:cs="Arial"/>
          <w:sz w:val="24"/>
          <w:szCs w:val="24"/>
        </w:rPr>
        <w:t xml:space="preserve"> obtain evidential material for prosecution of offences)</w:t>
      </w:r>
      <w:r w:rsidRPr="45155BF8">
        <w:rPr>
          <w:rFonts w:ascii="Arial" w:hAnsi="Arial" w:cs="Arial"/>
          <w:sz w:val="24"/>
          <w:szCs w:val="24"/>
        </w:rPr>
        <w:t>. Th</w:t>
      </w:r>
      <w:r w:rsidR="2DEFC670" w:rsidRPr="45155BF8">
        <w:rPr>
          <w:rFonts w:ascii="Arial" w:hAnsi="Arial" w:cs="Arial"/>
          <w:sz w:val="24"/>
          <w:szCs w:val="24"/>
        </w:rPr>
        <w:t xml:space="preserve">e legitimate purposes of </w:t>
      </w:r>
      <w:r w:rsidRPr="45155BF8">
        <w:rPr>
          <w:rFonts w:ascii="Arial" w:hAnsi="Arial" w:cs="Arial"/>
          <w:sz w:val="24"/>
          <w:szCs w:val="24"/>
        </w:rPr>
        <w:t>searches</w:t>
      </w:r>
      <w:r w:rsidR="2DEFC670" w:rsidRPr="45155BF8">
        <w:rPr>
          <w:rFonts w:ascii="Arial" w:hAnsi="Arial" w:cs="Arial"/>
          <w:sz w:val="24"/>
          <w:szCs w:val="24"/>
        </w:rPr>
        <w:t xml:space="preserve"> include that police may find:</w:t>
      </w:r>
      <w:r w:rsidRPr="45155BF8">
        <w:rPr>
          <w:rFonts w:ascii="Arial" w:hAnsi="Arial" w:cs="Arial"/>
          <w:sz w:val="24"/>
          <w:szCs w:val="24"/>
        </w:rPr>
        <w:t xml:space="preserve"> </w:t>
      </w:r>
    </w:p>
    <w:p w14:paraId="69A85AAE" w14:textId="66A9D018" w:rsidR="00984A5C" w:rsidRPr="007D4D17" w:rsidRDefault="007709E8" w:rsidP="007D4D17">
      <w:pPr>
        <w:pStyle w:val="ListParagraph"/>
        <w:numPr>
          <w:ilvl w:val="0"/>
          <w:numId w:val="23"/>
        </w:numPr>
        <w:rPr>
          <w:rFonts w:ascii="Arial" w:hAnsi="Arial" w:cs="Arial"/>
          <w:bCs/>
          <w:iCs/>
          <w:sz w:val="24"/>
          <w:szCs w:val="24"/>
        </w:rPr>
      </w:pPr>
      <w:r w:rsidRPr="007D4D17">
        <w:rPr>
          <w:rFonts w:ascii="Arial" w:hAnsi="Arial" w:cs="Arial"/>
          <w:bCs/>
          <w:iCs/>
          <w:sz w:val="24"/>
          <w:szCs w:val="24"/>
        </w:rPr>
        <w:t>unlawfully obtained goods (which should be returned to the lawful owner)</w:t>
      </w:r>
    </w:p>
    <w:p w14:paraId="004F2333" w14:textId="1BA10AF4" w:rsidR="00984A5C" w:rsidRPr="007D4D17" w:rsidRDefault="007709E8" w:rsidP="007D4D17">
      <w:pPr>
        <w:pStyle w:val="ListParagraph"/>
        <w:numPr>
          <w:ilvl w:val="0"/>
          <w:numId w:val="23"/>
        </w:numPr>
        <w:rPr>
          <w:rFonts w:ascii="Arial" w:hAnsi="Arial" w:cs="Arial"/>
          <w:bCs/>
          <w:iCs/>
          <w:sz w:val="24"/>
          <w:szCs w:val="24"/>
        </w:rPr>
      </w:pPr>
      <w:r w:rsidRPr="007D4D17">
        <w:rPr>
          <w:rFonts w:ascii="Arial" w:hAnsi="Arial" w:cs="Arial"/>
          <w:bCs/>
          <w:iCs/>
          <w:sz w:val="24"/>
          <w:szCs w:val="24"/>
        </w:rPr>
        <w:t xml:space="preserve">dangerous contraband items (which </w:t>
      </w:r>
      <w:r w:rsidR="00984A5C" w:rsidRPr="007D4D17">
        <w:rPr>
          <w:rFonts w:ascii="Arial" w:hAnsi="Arial" w:cs="Arial"/>
          <w:bCs/>
          <w:iCs/>
          <w:sz w:val="24"/>
          <w:szCs w:val="24"/>
        </w:rPr>
        <w:t xml:space="preserve">may </w:t>
      </w:r>
      <w:r w:rsidRPr="007D4D17">
        <w:rPr>
          <w:rFonts w:ascii="Arial" w:hAnsi="Arial" w:cs="Arial"/>
          <w:bCs/>
          <w:iCs/>
          <w:sz w:val="24"/>
          <w:szCs w:val="24"/>
        </w:rPr>
        <w:t>pose a risk to the person and the wider community)</w:t>
      </w:r>
      <w:r w:rsidR="00984A5C" w:rsidRPr="007D4D17">
        <w:rPr>
          <w:rFonts w:ascii="Arial" w:hAnsi="Arial" w:cs="Arial"/>
          <w:bCs/>
          <w:iCs/>
          <w:sz w:val="24"/>
          <w:szCs w:val="24"/>
        </w:rPr>
        <w:t>, or</w:t>
      </w:r>
    </w:p>
    <w:p w14:paraId="14156FF2" w14:textId="0C2DEB24" w:rsidR="00293EB8" w:rsidRPr="007D4D17" w:rsidRDefault="00984A5C" w:rsidP="007D4D17">
      <w:pPr>
        <w:pStyle w:val="ListParagraph"/>
        <w:numPr>
          <w:ilvl w:val="0"/>
          <w:numId w:val="23"/>
        </w:numPr>
        <w:rPr>
          <w:rFonts w:ascii="Arial" w:hAnsi="Arial" w:cs="Arial"/>
          <w:bCs/>
          <w:iCs/>
          <w:sz w:val="24"/>
          <w:szCs w:val="24"/>
        </w:rPr>
      </w:pPr>
      <w:r w:rsidRPr="007D4D17">
        <w:rPr>
          <w:rFonts w:ascii="Arial" w:hAnsi="Arial" w:cs="Arial"/>
          <w:bCs/>
          <w:iCs/>
          <w:sz w:val="24"/>
          <w:szCs w:val="24"/>
        </w:rPr>
        <w:t>evidential material relevant to the commission of an offence by a person over the MACR.</w:t>
      </w:r>
      <w:r w:rsidR="007709E8" w:rsidRPr="007D4D17">
        <w:rPr>
          <w:rFonts w:ascii="Arial" w:hAnsi="Arial" w:cs="Arial"/>
          <w:bCs/>
          <w:iCs/>
          <w:sz w:val="24"/>
          <w:szCs w:val="24"/>
        </w:rPr>
        <w:t xml:space="preserve">  </w:t>
      </w:r>
    </w:p>
    <w:p w14:paraId="427300E3" w14:textId="0A3DD0C8" w:rsidR="004610D1" w:rsidRPr="009F124B" w:rsidRDefault="004610D1" w:rsidP="004610D1">
      <w:pPr>
        <w:spacing w:before="240"/>
        <w:rPr>
          <w:rFonts w:ascii="Arial" w:hAnsi="Arial" w:cs="Arial"/>
          <w:iCs/>
          <w:sz w:val="24"/>
          <w:szCs w:val="24"/>
        </w:rPr>
      </w:pPr>
      <w:r>
        <w:rPr>
          <w:rFonts w:ascii="Arial" w:hAnsi="Arial" w:cs="Arial"/>
          <w:iCs/>
          <w:sz w:val="24"/>
          <w:szCs w:val="24"/>
        </w:rPr>
        <w:t>The legitimate purpose of the amendment in the Bill is to create additional safeguards which will apply when a warrant is issued (see proportionality below). These are intended to ensure that the warrant is necessary and appropriate having regard to the child or young person’s</w:t>
      </w:r>
      <w:r w:rsidR="00437547">
        <w:rPr>
          <w:rFonts w:ascii="Arial" w:hAnsi="Arial" w:cs="Arial"/>
          <w:iCs/>
          <w:sz w:val="24"/>
          <w:szCs w:val="24"/>
        </w:rPr>
        <w:t xml:space="preserve"> best</w:t>
      </w:r>
      <w:r>
        <w:rPr>
          <w:rFonts w:ascii="Arial" w:hAnsi="Arial" w:cs="Arial"/>
          <w:iCs/>
          <w:sz w:val="24"/>
          <w:szCs w:val="24"/>
        </w:rPr>
        <w:t xml:space="preserve"> interests. </w:t>
      </w:r>
    </w:p>
    <w:p w14:paraId="60523764" w14:textId="77777777" w:rsidR="007709E8" w:rsidRPr="009F124B" w:rsidRDefault="007709E8" w:rsidP="007709E8">
      <w:pPr>
        <w:spacing w:before="240"/>
        <w:rPr>
          <w:rFonts w:ascii="Arial" w:hAnsi="Arial" w:cs="Arial"/>
          <w:bCs/>
          <w:iCs/>
          <w:sz w:val="24"/>
          <w:szCs w:val="24"/>
          <w:u w:val="single"/>
        </w:rPr>
      </w:pPr>
      <w:r w:rsidRPr="009F124B">
        <w:rPr>
          <w:rFonts w:ascii="Arial" w:hAnsi="Arial" w:cs="Arial"/>
          <w:bCs/>
          <w:i/>
          <w:iCs/>
          <w:sz w:val="24"/>
          <w:szCs w:val="24"/>
          <w:u w:val="single"/>
        </w:rPr>
        <w:t>3. Rational connection between the limitation and the purpose (s 28 (2) (d))</w:t>
      </w:r>
    </w:p>
    <w:p w14:paraId="4D23E70C" w14:textId="4F74052F" w:rsidR="007709E8" w:rsidRPr="007709E8" w:rsidRDefault="5C3B5FCF" w:rsidP="45155BF8">
      <w:pPr>
        <w:spacing w:before="240"/>
        <w:rPr>
          <w:rFonts w:ascii="Arial" w:hAnsi="Arial" w:cs="Arial"/>
          <w:sz w:val="24"/>
          <w:szCs w:val="24"/>
        </w:rPr>
      </w:pPr>
      <w:r w:rsidRPr="45155BF8">
        <w:rPr>
          <w:rFonts w:ascii="Arial" w:hAnsi="Arial" w:cs="Arial"/>
          <w:sz w:val="24"/>
          <w:szCs w:val="24"/>
        </w:rPr>
        <w:t>The limitation</w:t>
      </w:r>
      <w:r w:rsidR="3FD2EF3C" w:rsidRPr="45155BF8">
        <w:rPr>
          <w:rFonts w:ascii="Arial" w:hAnsi="Arial" w:cs="Arial"/>
          <w:sz w:val="24"/>
          <w:szCs w:val="24"/>
        </w:rPr>
        <w:t>s on rights</w:t>
      </w:r>
      <w:r w:rsidRPr="45155BF8">
        <w:rPr>
          <w:rFonts w:ascii="Arial" w:hAnsi="Arial" w:cs="Arial"/>
          <w:sz w:val="24"/>
          <w:szCs w:val="24"/>
        </w:rPr>
        <w:t xml:space="preserve"> arise necessarily from the </w:t>
      </w:r>
      <w:r w:rsidR="2DEFC670" w:rsidRPr="45155BF8">
        <w:rPr>
          <w:rFonts w:ascii="Arial" w:hAnsi="Arial" w:cs="Arial"/>
          <w:sz w:val="24"/>
          <w:szCs w:val="24"/>
        </w:rPr>
        <w:t xml:space="preserve">legitimate </w:t>
      </w:r>
      <w:r w:rsidRPr="45155BF8">
        <w:rPr>
          <w:rFonts w:ascii="Arial" w:hAnsi="Arial" w:cs="Arial"/>
          <w:sz w:val="24"/>
          <w:szCs w:val="24"/>
        </w:rPr>
        <w:t>purpose</w:t>
      </w:r>
      <w:r w:rsidR="59B7626B" w:rsidRPr="45155BF8">
        <w:rPr>
          <w:rFonts w:ascii="Arial" w:hAnsi="Arial" w:cs="Arial"/>
          <w:sz w:val="24"/>
          <w:szCs w:val="24"/>
        </w:rPr>
        <w:t>.</w:t>
      </w:r>
      <w:r w:rsidRPr="45155BF8">
        <w:rPr>
          <w:rFonts w:ascii="Arial" w:hAnsi="Arial" w:cs="Arial"/>
          <w:sz w:val="24"/>
          <w:szCs w:val="24"/>
        </w:rPr>
        <w:t xml:space="preserve"> It is not possible to conduct a search of a person without limiting their right</w:t>
      </w:r>
      <w:r w:rsidR="366AA98D" w:rsidRPr="45155BF8">
        <w:rPr>
          <w:rFonts w:ascii="Arial" w:hAnsi="Arial" w:cs="Arial"/>
          <w:sz w:val="24"/>
          <w:szCs w:val="24"/>
        </w:rPr>
        <w:t>s</w:t>
      </w:r>
      <w:r w:rsidR="2DEFC670" w:rsidRPr="45155BF8">
        <w:rPr>
          <w:rFonts w:ascii="Arial" w:hAnsi="Arial" w:cs="Arial"/>
          <w:sz w:val="24"/>
          <w:szCs w:val="24"/>
        </w:rPr>
        <w:t>.</w:t>
      </w:r>
    </w:p>
    <w:p w14:paraId="75638A87" w14:textId="77777777" w:rsidR="007709E8" w:rsidRPr="009F124B" w:rsidRDefault="007709E8" w:rsidP="007709E8">
      <w:pPr>
        <w:spacing w:before="240"/>
        <w:rPr>
          <w:rFonts w:ascii="Arial" w:hAnsi="Arial" w:cs="Arial"/>
          <w:bCs/>
          <w:iCs/>
          <w:sz w:val="24"/>
          <w:szCs w:val="24"/>
          <w:u w:val="single"/>
        </w:rPr>
      </w:pPr>
      <w:r w:rsidRPr="009F124B">
        <w:rPr>
          <w:rFonts w:ascii="Arial" w:hAnsi="Arial" w:cs="Arial"/>
          <w:bCs/>
          <w:i/>
          <w:iCs/>
          <w:sz w:val="24"/>
          <w:szCs w:val="24"/>
          <w:u w:val="single"/>
        </w:rPr>
        <w:t>4. Proportionality (s 28 (2) (e))</w:t>
      </w:r>
    </w:p>
    <w:p w14:paraId="6F5BC7BD" w14:textId="764F12CB" w:rsidR="00984A5C" w:rsidRDefault="00984A5C" w:rsidP="007709E8">
      <w:pPr>
        <w:spacing w:before="240"/>
        <w:rPr>
          <w:rFonts w:ascii="Arial" w:hAnsi="Arial" w:cs="Arial"/>
          <w:bCs/>
          <w:iCs/>
          <w:sz w:val="24"/>
          <w:szCs w:val="24"/>
        </w:rPr>
      </w:pPr>
      <w:bookmarkStart w:id="3" w:name="_Hlk188359343"/>
      <w:r>
        <w:rPr>
          <w:rFonts w:ascii="Arial" w:hAnsi="Arial" w:cs="Arial"/>
          <w:bCs/>
          <w:iCs/>
          <w:sz w:val="24"/>
          <w:szCs w:val="24"/>
        </w:rPr>
        <w:t>The provisions governing the issue of search warrants</w:t>
      </w:r>
      <w:r w:rsidR="00EF5C6D">
        <w:rPr>
          <w:rFonts w:ascii="Arial" w:hAnsi="Arial" w:cs="Arial"/>
          <w:bCs/>
          <w:iCs/>
          <w:sz w:val="24"/>
          <w:szCs w:val="24"/>
        </w:rPr>
        <w:t xml:space="preserve"> in section 194 of the </w:t>
      </w:r>
      <w:r w:rsidR="00EF5C6D" w:rsidRPr="009F124B">
        <w:rPr>
          <w:rFonts w:ascii="Arial" w:hAnsi="Arial" w:cs="Arial"/>
          <w:bCs/>
          <w:i/>
          <w:sz w:val="24"/>
          <w:szCs w:val="24"/>
        </w:rPr>
        <w:t>Crimes Act</w:t>
      </w:r>
      <w:r w:rsidR="009F124B">
        <w:rPr>
          <w:rFonts w:ascii="Arial" w:hAnsi="Arial" w:cs="Arial"/>
          <w:bCs/>
          <w:iCs/>
          <w:sz w:val="24"/>
          <w:szCs w:val="24"/>
        </w:rPr>
        <w:t xml:space="preserve"> </w:t>
      </w:r>
      <w:r w:rsidR="009F124B" w:rsidRPr="009F124B">
        <w:rPr>
          <w:rFonts w:ascii="Arial" w:hAnsi="Arial" w:cs="Arial"/>
          <w:bCs/>
          <w:i/>
          <w:sz w:val="24"/>
          <w:szCs w:val="24"/>
        </w:rPr>
        <w:t>1900</w:t>
      </w:r>
      <w:r>
        <w:rPr>
          <w:rFonts w:ascii="Arial" w:hAnsi="Arial" w:cs="Arial"/>
          <w:bCs/>
          <w:iCs/>
          <w:sz w:val="24"/>
          <w:szCs w:val="24"/>
        </w:rPr>
        <w:t xml:space="preserve"> in respect of young people under the MACR are proportionate because</w:t>
      </w:r>
      <w:r w:rsidR="00174965">
        <w:rPr>
          <w:rFonts w:ascii="Arial" w:hAnsi="Arial" w:cs="Arial"/>
          <w:bCs/>
          <w:iCs/>
          <w:sz w:val="24"/>
          <w:szCs w:val="24"/>
        </w:rPr>
        <w:t xml:space="preserve"> of a combination of existing and new safeguards</w:t>
      </w:r>
      <w:r>
        <w:rPr>
          <w:rFonts w:ascii="Arial" w:hAnsi="Arial" w:cs="Arial"/>
          <w:bCs/>
          <w:iCs/>
          <w:sz w:val="24"/>
          <w:szCs w:val="24"/>
        </w:rPr>
        <w:t>:</w:t>
      </w:r>
    </w:p>
    <w:p w14:paraId="7C97DD24" w14:textId="651ABC89" w:rsidR="00984A5C" w:rsidRDefault="00984A5C" w:rsidP="009F124B">
      <w:pPr>
        <w:pStyle w:val="ListParagraph"/>
        <w:numPr>
          <w:ilvl w:val="0"/>
          <w:numId w:val="23"/>
        </w:numPr>
        <w:rPr>
          <w:rFonts w:ascii="Arial" w:hAnsi="Arial" w:cs="Arial"/>
          <w:bCs/>
          <w:iCs/>
          <w:sz w:val="24"/>
          <w:szCs w:val="24"/>
        </w:rPr>
      </w:pPr>
      <w:r>
        <w:rPr>
          <w:rFonts w:ascii="Arial" w:hAnsi="Arial" w:cs="Arial"/>
          <w:bCs/>
          <w:iCs/>
          <w:sz w:val="24"/>
          <w:szCs w:val="24"/>
        </w:rPr>
        <w:t>the issue of the warrant involves judicial oversight</w:t>
      </w:r>
      <w:r w:rsidR="009F124B">
        <w:rPr>
          <w:rFonts w:ascii="Arial" w:hAnsi="Arial" w:cs="Arial"/>
          <w:bCs/>
          <w:iCs/>
          <w:sz w:val="24"/>
          <w:szCs w:val="24"/>
        </w:rPr>
        <w:t>;</w:t>
      </w:r>
    </w:p>
    <w:p w14:paraId="2071FA33" w14:textId="567FBE9C" w:rsidR="009F124B" w:rsidRDefault="00984A5C" w:rsidP="009F124B">
      <w:pPr>
        <w:pStyle w:val="ListParagraph"/>
        <w:numPr>
          <w:ilvl w:val="0"/>
          <w:numId w:val="23"/>
        </w:numPr>
        <w:rPr>
          <w:rFonts w:ascii="Arial" w:hAnsi="Arial" w:cs="Arial"/>
          <w:bCs/>
          <w:iCs/>
          <w:sz w:val="24"/>
          <w:szCs w:val="24"/>
        </w:rPr>
      </w:pPr>
      <w:r>
        <w:rPr>
          <w:rFonts w:ascii="Arial" w:hAnsi="Arial" w:cs="Arial"/>
          <w:bCs/>
          <w:iCs/>
          <w:sz w:val="24"/>
          <w:szCs w:val="24"/>
        </w:rPr>
        <w:lastRenderedPageBreak/>
        <w:t xml:space="preserve">police officers are required to provide information on oath to demonstrate their reasonable grounds for suspecting the person possesses </w:t>
      </w:r>
      <w:r w:rsidR="00174965">
        <w:rPr>
          <w:rFonts w:ascii="Arial" w:hAnsi="Arial" w:cs="Arial"/>
          <w:bCs/>
          <w:iCs/>
          <w:sz w:val="24"/>
          <w:szCs w:val="24"/>
        </w:rPr>
        <w:t xml:space="preserve">(or will shortly possess) </w:t>
      </w:r>
      <w:r>
        <w:rPr>
          <w:rFonts w:ascii="Arial" w:hAnsi="Arial" w:cs="Arial"/>
          <w:bCs/>
          <w:iCs/>
          <w:sz w:val="24"/>
          <w:szCs w:val="24"/>
        </w:rPr>
        <w:t>evidential material</w:t>
      </w:r>
      <w:r w:rsidR="009F124B">
        <w:rPr>
          <w:rFonts w:ascii="Arial" w:hAnsi="Arial" w:cs="Arial"/>
          <w:bCs/>
          <w:iCs/>
          <w:sz w:val="24"/>
          <w:szCs w:val="24"/>
        </w:rPr>
        <w:t>;</w:t>
      </w:r>
    </w:p>
    <w:p w14:paraId="774A53B2" w14:textId="72E3968D" w:rsidR="009F124B" w:rsidRDefault="0C5B0081" w:rsidP="45155BF8">
      <w:pPr>
        <w:pStyle w:val="ListParagraph"/>
        <w:numPr>
          <w:ilvl w:val="0"/>
          <w:numId w:val="23"/>
        </w:numPr>
        <w:rPr>
          <w:rFonts w:ascii="Arial" w:hAnsi="Arial" w:cs="Arial"/>
          <w:sz w:val="24"/>
          <w:szCs w:val="24"/>
        </w:rPr>
      </w:pPr>
      <w:r w:rsidRPr="45155BF8">
        <w:rPr>
          <w:rFonts w:ascii="Arial" w:hAnsi="Arial" w:cs="Arial"/>
          <w:sz w:val="24"/>
          <w:szCs w:val="24"/>
        </w:rPr>
        <w:t xml:space="preserve">the </w:t>
      </w:r>
      <w:r w:rsidR="76B26AEA" w:rsidRPr="45155BF8">
        <w:rPr>
          <w:rFonts w:ascii="Arial" w:hAnsi="Arial" w:cs="Arial"/>
          <w:sz w:val="24"/>
          <w:szCs w:val="24"/>
        </w:rPr>
        <w:t xml:space="preserve">Bill includes a </w:t>
      </w:r>
      <w:r w:rsidRPr="45155BF8">
        <w:rPr>
          <w:rFonts w:ascii="Arial" w:hAnsi="Arial" w:cs="Arial"/>
          <w:sz w:val="24"/>
          <w:szCs w:val="24"/>
        </w:rPr>
        <w:t>new consideration</w:t>
      </w:r>
      <w:r w:rsidR="4960F781" w:rsidRPr="45155BF8">
        <w:rPr>
          <w:rFonts w:ascii="Arial" w:hAnsi="Arial" w:cs="Arial"/>
          <w:sz w:val="24"/>
          <w:szCs w:val="24"/>
        </w:rPr>
        <w:t xml:space="preserve"> which</w:t>
      </w:r>
      <w:r w:rsidRPr="45155BF8">
        <w:rPr>
          <w:rFonts w:ascii="Arial" w:hAnsi="Arial" w:cs="Arial"/>
          <w:sz w:val="24"/>
          <w:szCs w:val="24"/>
        </w:rPr>
        <w:t xml:space="preserve"> requires the issuing officer expressly to consider the best interests of the child;</w:t>
      </w:r>
    </w:p>
    <w:p w14:paraId="3820901C" w14:textId="72DDE886" w:rsidR="00984A5C" w:rsidRDefault="0C5B0081" w:rsidP="45155BF8">
      <w:pPr>
        <w:pStyle w:val="ListParagraph"/>
        <w:numPr>
          <w:ilvl w:val="0"/>
          <w:numId w:val="23"/>
        </w:numPr>
        <w:rPr>
          <w:rFonts w:ascii="Arial" w:hAnsi="Arial" w:cs="Arial"/>
          <w:sz w:val="24"/>
          <w:szCs w:val="24"/>
        </w:rPr>
      </w:pPr>
      <w:r w:rsidRPr="45155BF8">
        <w:rPr>
          <w:rFonts w:ascii="Arial" w:hAnsi="Arial" w:cs="Arial"/>
          <w:sz w:val="24"/>
          <w:szCs w:val="24"/>
        </w:rPr>
        <w:t xml:space="preserve">the new provisions </w:t>
      </w:r>
      <w:r w:rsidR="4890FA2D" w:rsidRPr="45155BF8">
        <w:rPr>
          <w:rFonts w:ascii="Arial" w:hAnsi="Arial" w:cs="Arial"/>
          <w:sz w:val="24"/>
          <w:szCs w:val="24"/>
        </w:rPr>
        <w:t xml:space="preserve">also </w:t>
      </w:r>
      <w:r w:rsidRPr="45155BF8">
        <w:rPr>
          <w:rFonts w:ascii="Arial" w:hAnsi="Arial" w:cs="Arial"/>
          <w:sz w:val="24"/>
          <w:szCs w:val="24"/>
        </w:rPr>
        <w:t>allow the issuing officer to require th</w:t>
      </w:r>
      <w:r w:rsidR="79915005" w:rsidRPr="45155BF8">
        <w:rPr>
          <w:rFonts w:ascii="Arial" w:hAnsi="Arial" w:cs="Arial"/>
          <w:sz w:val="24"/>
          <w:szCs w:val="24"/>
        </w:rPr>
        <w:t>at</w:t>
      </w:r>
      <w:r w:rsidR="006C2C68">
        <w:rPr>
          <w:rFonts w:ascii="Arial" w:hAnsi="Arial" w:cs="Arial"/>
          <w:sz w:val="24"/>
          <w:szCs w:val="24"/>
        </w:rPr>
        <w:t>,</w:t>
      </w:r>
      <w:r w:rsidRPr="45155BF8">
        <w:rPr>
          <w:rFonts w:ascii="Arial" w:hAnsi="Arial" w:cs="Arial"/>
          <w:sz w:val="24"/>
          <w:szCs w:val="24"/>
        </w:rPr>
        <w:t xml:space="preserve"> prior to executing the warrant</w:t>
      </w:r>
      <w:r w:rsidR="79915005" w:rsidRPr="45155BF8">
        <w:rPr>
          <w:rFonts w:ascii="Arial" w:hAnsi="Arial" w:cs="Arial"/>
          <w:sz w:val="24"/>
          <w:szCs w:val="24"/>
        </w:rPr>
        <w:t>, the person applying for the warrant must give notice to the Aboriginal and Torres Strait Islander Children and Young People Commissioner</w:t>
      </w:r>
      <w:r w:rsidR="00D46495">
        <w:rPr>
          <w:rFonts w:ascii="Arial" w:hAnsi="Arial" w:cs="Arial"/>
          <w:sz w:val="24"/>
          <w:szCs w:val="24"/>
        </w:rPr>
        <w:t xml:space="preserve"> (‘the Commissioner’) or the Public Advocate</w:t>
      </w:r>
      <w:r w:rsidR="79915005" w:rsidRPr="45155BF8">
        <w:rPr>
          <w:rFonts w:ascii="Arial" w:hAnsi="Arial" w:cs="Arial"/>
          <w:sz w:val="24"/>
          <w:szCs w:val="24"/>
        </w:rPr>
        <w:t xml:space="preserve"> (as relevant)</w:t>
      </w:r>
      <w:r w:rsidR="127A0CE5" w:rsidRPr="45155BF8">
        <w:rPr>
          <w:rFonts w:ascii="Arial" w:hAnsi="Arial" w:cs="Arial"/>
          <w:sz w:val="24"/>
          <w:szCs w:val="24"/>
        </w:rPr>
        <w:t xml:space="preserve">, to enable </w:t>
      </w:r>
      <w:r w:rsidR="00D46495">
        <w:rPr>
          <w:rFonts w:ascii="Arial" w:hAnsi="Arial" w:cs="Arial"/>
          <w:sz w:val="24"/>
          <w:szCs w:val="24"/>
        </w:rPr>
        <w:t>them</w:t>
      </w:r>
      <w:r w:rsidR="127A0CE5" w:rsidRPr="45155BF8">
        <w:rPr>
          <w:rFonts w:ascii="Arial" w:hAnsi="Arial" w:cs="Arial"/>
          <w:sz w:val="24"/>
          <w:szCs w:val="24"/>
        </w:rPr>
        <w:t xml:space="preserve"> to offer support to the child following the execution of the warrant should this be appropriate</w:t>
      </w:r>
      <w:r w:rsidRPr="45155BF8">
        <w:rPr>
          <w:rFonts w:ascii="Arial" w:hAnsi="Arial" w:cs="Arial"/>
          <w:sz w:val="24"/>
          <w:szCs w:val="24"/>
        </w:rPr>
        <w:t xml:space="preserve">; and </w:t>
      </w:r>
      <w:r w:rsidR="2DEFC670" w:rsidRPr="45155BF8">
        <w:rPr>
          <w:rFonts w:ascii="Arial" w:hAnsi="Arial" w:cs="Arial"/>
          <w:sz w:val="24"/>
          <w:szCs w:val="24"/>
        </w:rPr>
        <w:t xml:space="preserve">  </w:t>
      </w:r>
    </w:p>
    <w:p w14:paraId="4FD68A18" w14:textId="2BC399F2" w:rsidR="00E85C48" w:rsidRDefault="009F124B" w:rsidP="00174965">
      <w:pPr>
        <w:pStyle w:val="ListParagraph"/>
        <w:numPr>
          <w:ilvl w:val="0"/>
          <w:numId w:val="23"/>
        </w:numPr>
        <w:rPr>
          <w:rFonts w:ascii="Arial" w:hAnsi="Arial" w:cs="Arial"/>
          <w:bCs/>
          <w:iCs/>
          <w:sz w:val="24"/>
          <w:szCs w:val="24"/>
        </w:rPr>
      </w:pPr>
      <w:r>
        <w:rPr>
          <w:rFonts w:ascii="Arial" w:hAnsi="Arial" w:cs="Arial"/>
          <w:bCs/>
          <w:iCs/>
          <w:sz w:val="24"/>
          <w:szCs w:val="24"/>
        </w:rPr>
        <w:t xml:space="preserve">the existing </w:t>
      </w:r>
      <w:r w:rsidR="003976F1">
        <w:rPr>
          <w:rFonts w:ascii="Arial" w:hAnsi="Arial" w:cs="Arial"/>
          <w:bCs/>
          <w:iCs/>
          <w:sz w:val="24"/>
          <w:szCs w:val="24"/>
        </w:rPr>
        <w:t>statutory and common law safeguards continue to apply</w:t>
      </w:r>
      <w:r w:rsidR="00E85C48">
        <w:rPr>
          <w:rFonts w:ascii="Arial" w:hAnsi="Arial" w:cs="Arial"/>
          <w:bCs/>
          <w:iCs/>
          <w:sz w:val="24"/>
          <w:szCs w:val="24"/>
        </w:rPr>
        <w:t xml:space="preserve"> (see clause notes for clause 9)</w:t>
      </w:r>
      <w:r w:rsidR="003976F1">
        <w:rPr>
          <w:rFonts w:ascii="Arial" w:hAnsi="Arial" w:cs="Arial"/>
          <w:bCs/>
          <w:iCs/>
          <w:sz w:val="24"/>
          <w:szCs w:val="24"/>
        </w:rPr>
        <w:t>.</w:t>
      </w:r>
    </w:p>
    <w:p w14:paraId="011C9967" w14:textId="77777777" w:rsidR="00E85C48" w:rsidRPr="006C2C68" w:rsidRDefault="00E85C48" w:rsidP="006C2C68">
      <w:pPr>
        <w:pStyle w:val="ListParagraph"/>
        <w:rPr>
          <w:rFonts w:ascii="Arial" w:hAnsi="Arial" w:cs="Arial"/>
          <w:bCs/>
          <w:iCs/>
          <w:sz w:val="24"/>
          <w:szCs w:val="24"/>
        </w:rPr>
      </w:pPr>
    </w:p>
    <w:p w14:paraId="69334F5F" w14:textId="09CE5FEC" w:rsidR="00174965" w:rsidRPr="006C2C68" w:rsidRDefault="00174965" w:rsidP="004D6445">
      <w:pPr>
        <w:rPr>
          <w:rFonts w:ascii="Arial" w:hAnsi="Arial" w:cs="Arial"/>
          <w:bCs/>
          <w:iCs/>
          <w:sz w:val="24"/>
          <w:szCs w:val="24"/>
        </w:rPr>
      </w:pPr>
      <w:r>
        <w:rPr>
          <w:rFonts w:ascii="Arial" w:hAnsi="Arial" w:cs="Arial"/>
          <w:bCs/>
          <w:iCs/>
          <w:sz w:val="24"/>
          <w:szCs w:val="24"/>
        </w:rPr>
        <w:t>Consideration was given to whether it should be mandatory in all instances for the Commissioner</w:t>
      </w:r>
      <w:r w:rsidR="00D46495">
        <w:rPr>
          <w:rFonts w:ascii="Arial" w:hAnsi="Arial" w:cs="Arial"/>
          <w:bCs/>
          <w:iCs/>
          <w:sz w:val="24"/>
          <w:szCs w:val="24"/>
        </w:rPr>
        <w:t xml:space="preserve"> and/or the Public Advocate</w:t>
      </w:r>
      <w:r>
        <w:rPr>
          <w:rFonts w:ascii="Arial" w:hAnsi="Arial" w:cs="Arial"/>
          <w:bCs/>
          <w:iCs/>
          <w:sz w:val="24"/>
          <w:szCs w:val="24"/>
        </w:rPr>
        <w:t xml:space="preserve"> to be notified prior to execution of the warrant. The Bill preserves the discretion of the issuing officer, as there may be some cases where it is not appropriate to require the police to disclose their intention to act under a warrant to third parties (for example, a highly sensitive investigation). </w:t>
      </w:r>
    </w:p>
    <w:p w14:paraId="5495AE91" w14:textId="0840B091" w:rsidR="00984A5C" w:rsidRPr="009F124B" w:rsidRDefault="00984A5C" w:rsidP="006C2C68">
      <w:pPr>
        <w:keepNext/>
        <w:spacing w:before="240"/>
        <w:rPr>
          <w:rFonts w:ascii="Arial" w:hAnsi="Arial" w:cs="Arial"/>
          <w:b/>
          <w:i/>
          <w:sz w:val="24"/>
          <w:szCs w:val="24"/>
        </w:rPr>
      </w:pPr>
      <w:r w:rsidRPr="009F124B">
        <w:rPr>
          <w:rFonts w:ascii="Arial" w:hAnsi="Arial" w:cs="Arial"/>
          <w:b/>
          <w:i/>
          <w:sz w:val="24"/>
          <w:szCs w:val="24"/>
        </w:rPr>
        <w:t>Stop, search and detain without warrant</w:t>
      </w:r>
      <w:r w:rsidR="00E85C48">
        <w:rPr>
          <w:rFonts w:ascii="Arial" w:hAnsi="Arial" w:cs="Arial"/>
          <w:b/>
          <w:i/>
          <w:sz w:val="24"/>
          <w:szCs w:val="24"/>
        </w:rPr>
        <w:t xml:space="preserve"> (clause 11, sections 252AA – 252AD)</w:t>
      </w:r>
    </w:p>
    <w:p w14:paraId="50D51BAE" w14:textId="6ABB9D72" w:rsidR="00881338" w:rsidRDefault="00881338" w:rsidP="003F7A6A">
      <w:pPr>
        <w:keepNext/>
        <w:spacing w:before="240"/>
        <w:rPr>
          <w:rFonts w:ascii="Arial" w:hAnsi="Arial" w:cs="Arial"/>
          <w:bCs/>
          <w:i/>
          <w:iCs/>
          <w:sz w:val="24"/>
          <w:szCs w:val="24"/>
          <w:u w:val="single"/>
        </w:rPr>
      </w:pPr>
      <w:r w:rsidRPr="00AF3C73">
        <w:rPr>
          <w:rFonts w:ascii="Arial" w:hAnsi="Arial" w:cs="Arial"/>
          <w:bCs/>
          <w:i/>
          <w:iCs/>
          <w:sz w:val="24"/>
          <w:szCs w:val="24"/>
          <w:u w:val="single"/>
        </w:rPr>
        <w:t>1. Nature of the limitation (s 28 (2) (c))</w:t>
      </w:r>
    </w:p>
    <w:p w14:paraId="287B1ADD" w14:textId="242EFF89" w:rsidR="004610D1" w:rsidRDefault="366AA98D" w:rsidP="45155BF8">
      <w:pPr>
        <w:spacing w:before="240"/>
        <w:rPr>
          <w:rFonts w:ascii="Arial" w:hAnsi="Arial" w:cs="Arial"/>
          <w:sz w:val="24"/>
          <w:szCs w:val="24"/>
        </w:rPr>
      </w:pPr>
      <w:r w:rsidRPr="45155BF8">
        <w:rPr>
          <w:rFonts w:ascii="Arial" w:hAnsi="Arial" w:cs="Arial"/>
          <w:sz w:val="24"/>
          <w:szCs w:val="24"/>
        </w:rPr>
        <w:t>The Bill places new conditions on the existing powers of police to stop, search, or detain a person (whether sourced in common law or statute). The exercise of those powers</w:t>
      </w:r>
      <w:r w:rsidR="279FE943" w:rsidRPr="45155BF8">
        <w:rPr>
          <w:rFonts w:ascii="Arial" w:hAnsi="Arial" w:cs="Arial"/>
          <w:sz w:val="24"/>
          <w:szCs w:val="24"/>
        </w:rPr>
        <w:t>, as outlined in the analysis above,</w:t>
      </w:r>
      <w:r w:rsidRPr="45155BF8">
        <w:rPr>
          <w:rFonts w:ascii="Arial" w:hAnsi="Arial" w:cs="Arial"/>
          <w:sz w:val="24"/>
          <w:szCs w:val="24"/>
        </w:rPr>
        <w:t xml:space="preserve"> inherently limits the rights to privacy, freedom of movement and liberty and security of the person.  </w:t>
      </w:r>
    </w:p>
    <w:p w14:paraId="07011D3D" w14:textId="085525D5" w:rsidR="00881338" w:rsidRPr="00DA1280" w:rsidRDefault="00881338" w:rsidP="00C419C4">
      <w:pPr>
        <w:keepNext/>
        <w:spacing w:before="240"/>
        <w:rPr>
          <w:rFonts w:ascii="Arial" w:hAnsi="Arial" w:cs="Arial"/>
          <w:bCs/>
          <w:i/>
          <w:iCs/>
          <w:sz w:val="24"/>
          <w:szCs w:val="24"/>
          <w:u w:val="single"/>
        </w:rPr>
      </w:pPr>
      <w:r w:rsidRPr="00DA1280">
        <w:rPr>
          <w:rFonts w:ascii="Arial" w:hAnsi="Arial" w:cs="Arial"/>
          <w:bCs/>
          <w:i/>
          <w:iCs/>
          <w:sz w:val="24"/>
          <w:szCs w:val="24"/>
          <w:u w:val="single"/>
        </w:rPr>
        <w:t>2. Legitimate purpose (s 28 (2) (b))</w:t>
      </w:r>
    </w:p>
    <w:p w14:paraId="39DDFFC5" w14:textId="5EF4838F" w:rsidR="00C419C4" w:rsidRPr="007D4D17" w:rsidRDefault="00276F38" w:rsidP="00354245">
      <w:pPr>
        <w:keepNext/>
        <w:spacing w:before="240"/>
        <w:rPr>
          <w:rFonts w:ascii="Arial" w:hAnsi="Arial" w:cs="Arial"/>
          <w:bCs/>
          <w:iCs/>
          <w:sz w:val="24"/>
          <w:szCs w:val="24"/>
        </w:rPr>
      </w:pPr>
      <w:r w:rsidRPr="007709E8">
        <w:rPr>
          <w:rFonts w:ascii="Arial" w:hAnsi="Arial" w:cs="Arial"/>
          <w:iCs/>
          <w:sz w:val="24"/>
          <w:szCs w:val="24"/>
        </w:rPr>
        <w:t xml:space="preserve">A power to </w:t>
      </w:r>
      <w:r>
        <w:rPr>
          <w:rFonts w:ascii="Arial" w:hAnsi="Arial" w:cs="Arial"/>
          <w:iCs/>
          <w:sz w:val="24"/>
          <w:szCs w:val="24"/>
        </w:rPr>
        <w:t>stop, search or detain a person</w:t>
      </w:r>
      <w:r w:rsidRPr="007709E8">
        <w:rPr>
          <w:rFonts w:ascii="Arial" w:hAnsi="Arial" w:cs="Arial"/>
          <w:iCs/>
          <w:sz w:val="24"/>
          <w:szCs w:val="24"/>
        </w:rPr>
        <w:t xml:space="preserve"> is a necessary police power to ensure the safety of the person and the safety of the broader community. </w:t>
      </w:r>
      <w:r w:rsidR="00C419C4" w:rsidRPr="007709E8">
        <w:rPr>
          <w:rFonts w:ascii="Arial" w:hAnsi="Arial" w:cs="Arial"/>
          <w:iCs/>
          <w:sz w:val="24"/>
          <w:szCs w:val="24"/>
        </w:rPr>
        <w:t>Th</w:t>
      </w:r>
      <w:r w:rsidR="00C419C4">
        <w:rPr>
          <w:rFonts w:ascii="Arial" w:hAnsi="Arial" w:cs="Arial"/>
          <w:iCs/>
          <w:sz w:val="24"/>
          <w:szCs w:val="24"/>
        </w:rPr>
        <w:t xml:space="preserve">e legitimate purposes of </w:t>
      </w:r>
      <w:r w:rsidR="00C419C4" w:rsidRPr="007709E8">
        <w:rPr>
          <w:rFonts w:ascii="Arial" w:hAnsi="Arial" w:cs="Arial"/>
          <w:iCs/>
          <w:sz w:val="24"/>
          <w:szCs w:val="24"/>
        </w:rPr>
        <w:t>searches</w:t>
      </w:r>
      <w:r w:rsidR="00C419C4">
        <w:rPr>
          <w:rFonts w:ascii="Arial" w:hAnsi="Arial" w:cs="Arial"/>
          <w:iCs/>
          <w:sz w:val="24"/>
          <w:szCs w:val="24"/>
        </w:rPr>
        <w:t xml:space="preserve"> </w:t>
      </w:r>
      <w:r w:rsidR="00354245">
        <w:rPr>
          <w:rFonts w:ascii="Arial" w:hAnsi="Arial" w:cs="Arial"/>
          <w:iCs/>
          <w:sz w:val="24"/>
          <w:szCs w:val="24"/>
        </w:rPr>
        <w:t xml:space="preserve">are cited above. </w:t>
      </w:r>
    </w:p>
    <w:p w14:paraId="7B211966" w14:textId="09B1DC8C" w:rsidR="00C419C4" w:rsidRDefault="00C419C4" w:rsidP="00C419C4">
      <w:pPr>
        <w:spacing w:before="240"/>
        <w:rPr>
          <w:rFonts w:ascii="Arial" w:hAnsi="Arial" w:cs="Arial"/>
          <w:iCs/>
          <w:sz w:val="24"/>
          <w:szCs w:val="24"/>
        </w:rPr>
      </w:pPr>
      <w:r>
        <w:rPr>
          <w:rFonts w:ascii="Arial" w:hAnsi="Arial" w:cs="Arial"/>
          <w:iCs/>
          <w:sz w:val="24"/>
          <w:szCs w:val="24"/>
        </w:rPr>
        <w:t xml:space="preserve">Detaining a person can be done for their safety or the safety of others. </w:t>
      </w:r>
    </w:p>
    <w:p w14:paraId="5327804C" w14:textId="765A877E" w:rsidR="00881338" w:rsidRPr="00C419C4" w:rsidRDefault="628497CF" w:rsidP="45155BF8">
      <w:pPr>
        <w:spacing w:before="240"/>
        <w:rPr>
          <w:rFonts w:ascii="Arial" w:hAnsi="Arial" w:cs="Arial"/>
          <w:sz w:val="24"/>
          <w:szCs w:val="24"/>
        </w:rPr>
      </w:pPr>
      <w:r w:rsidRPr="45155BF8">
        <w:rPr>
          <w:rFonts w:ascii="Arial" w:hAnsi="Arial" w:cs="Arial"/>
          <w:sz w:val="24"/>
          <w:szCs w:val="24"/>
        </w:rPr>
        <w:t xml:space="preserve">The legitimate purpose of the amendment in the Bill is to create additional safeguards which will apply when an existing power to stop, search, or detain a person is used (see proportionality below). These are intended to provide additional considerations </w:t>
      </w:r>
      <w:r w:rsidR="006C2C68">
        <w:rPr>
          <w:rFonts w:ascii="Arial" w:hAnsi="Arial" w:cs="Arial"/>
          <w:sz w:val="24"/>
          <w:szCs w:val="24"/>
        </w:rPr>
        <w:t xml:space="preserve">applicable when </w:t>
      </w:r>
      <w:r w:rsidR="00C419C4" w:rsidRPr="45155BF8">
        <w:rPr>
          <w:rFonts w:ascii="Arial" w:hAnsi="Arial" w:cs="Arial"/>
          <w:sz w:val="24"/>
          <w:szCs w:val="24"/>
        </w:rPr>
        <w:t>assessing whether</w:t>
      </w:r>
      <w:r w:rsidRPr="45155BF8">
        <w:rPr>
          <w:rFonts w:ascii="Arial" w:hAnsi="Arial" w:cs="Arial"/>
          <w:sz w:val="24"/>
          <w:szCs w:val="24"/>
        </w:rPr>
        <w:t xml:space="preserve"> the </w:t>
      </w:r>
      <w:r w:rsidR="00C419C4" w:rsidRPr="45155BF8">
        <w:rPr>
          <w:rFonts w:ascii="Arial" w:hAnsi="Arial" w:cs="Arial"/>
          <w:sz w:val="24"/>
          <w:szCs w:val="24"/>
        </w:rPr>
        <w:t>use of the power is necessary</w:t>
      </w:r>
      <w:r w:rsidRPr="45155BF8">
        <w:rPr>
          <w:rFonts w:ascii="Arial" w:hAnsi="Arial" w:cs="Arial"/>
          <w:sz w:val="24"/>
          <w:szCs w:val="24"/>
        </w:rPr>
        <w:t xml:space="preserve">. </w:t>
      </w:r>
    </w:p>
    <w:p w14:paraId="0914FABB" w14:textId="622405D6" w:rsidR="00276F38" w:rsidRPr="00C419C4" w:rsidRDefault="00881338" w:rsidP="00881338">
      <w:pPr>
        <w:spacing w:before="240"/>
        <w:rPr>
          <w:rFonts w:ascii="Arial" w:hAnsi="Arial" w:cs="Arial"/>
          <w:bCs/>
          <w:i/>
          <w:iCs/>
          <w:sz w:val="24"/>
          <w:szCs w:val="24"/>
          <w:u w:val="single"/>
        </w:rPr>
      </w:pPr>
      <w:r w:rsidRPr="00DA1280">
        <w:rPr>
          <w:rFonts w:ascii="Arial" w:hAnsi="Arial" w:cs="Arial"/>
          <w:bCs/>
          <w:i/>
          <w:iCs/>
          <w:sz w:val="24"/>
          <w:szCs w:val="24"/>
          <w:u w:val="single"/>
        </w:rPr>
        <w:t>3. Rational connection between the limitation and the purpose (s 28 (2) (d))</w:t>
      </w:r>
    </w:p>
    <w:p w14:paraId="07C3778F" w14:textId="7A0FD51E" w:rsidR="00276F38" w:rsidRPr="00AF3C73" w:rsidRDefault="00276F38" w:rsidP="00881338">
      <w:pPr>
        <w:spacing w:before="240"/>
        <w:rPr>
          <w:rFonts w:ascii="Arial" w:hAnsi="Arial" w:cs="Arial"/>
          <w:iCs/>
          <w:sz w:val="24"/>
          <w:szCs w:val="24"/>
        </w:rPr>
      </w:pPr>
      <w:r w:rsidRPr="007709E8">
        <w:rPr>
          <w:rFonts w:ascii="Arial" w:hAnsi="Arial" w:cs="Arial"/>
          <w:iCs/>
          <w:sz w:val="24"/>
          <w:szCs w:val="24"/>
        </w:rPr>
        <w:t>As there is no other way to ensure the safety of the person or the safety of the broader community without a power</w:t>
      </w:r>
      <w:r w:rsidR="006A6C30">
        <w:rPr>
          <w:rFonts w:ascii="Arial" w:hAnsi="Arial" w:cs="Arial"/>
          <w:iCs/>
          <w:sz w:val="24"/>
          <w:szCs w:val="24"/>
        </w:rPr>
        <w:t xml:space="preserve"> for police</w:t>
      </w:r>
      <w:r w:rsidRPr="007709E8">
        <w:rPr>
          <w:rFonts w:ascii="Arial" w:hAnsi="Arial" w:cs="Arial"/>
          <w:iCs/>
          <w:sz w:val="24"/>
          <w:szCs w:val="24"/>
        </w:rPr>
        <w:t xml:space="preserve"> to </w:t>
      </w:r>
      <w:r>
        <w:rPr>
          <w:rFonts w:ascii="Arial" w:hAnsi="Arial" w:cs="Arial"/>
          <w:iCs/>
          <w:sz w:val="24"/>
          <w:szCs w:val="24"/>
        </w:rPr>
        <w:t xml:space="preserve">stop, search or </w:t>
      </w:r>
      <w:r w:rsidRPr="007709E8">
        <w:rPr>
          <w:rFonts w:ascii="Arial" w:hAnsi="Arial" w:cs="Arial"/>
          <w:iCs/>
          <w:sz w:val="24"/>
          <w:szCs w:val="24"/>
        </w:rPr>
        <w:t>detain</w:t>
      </w:r>
      <w:r w:rsidR="006A6C30">
        <w:rPr>
          <w:rFonts w:ascii="Arial" w:hAnsi="Arial" w:cs="Arial"/>
          <w:iCs/>
          <w:sz w:val="24"/>
          <w:szCs w:val="24"/>
        </w:rPr>
        <w:t xml:space="preserve"> in appropriate </w:t>
      </w:r>
      <w:r w:rsidR="006A6C30">
        <w:rPr>
          <w:rFonts w:ascii="Arial" w:hAnsi="Arial" w:cs="Arial"/>
          <w:iCs/>
          <w:sz w:val="24"/>
          <w:szCs w:val="24"/>
        </w:rPr>
        <w:lastRenderedPageBreak/>
        <w:t>circumstances</w:t>
      </w:r>
      <w:r w:rsidRPr="007709E8">
        <w:rPr>
          <w:rFonts w:ascii="Arial" w:hAnsi="Arial" w:cs="Arial"/>
          <w:iCs/>
          <w:sz w:val="24"/>
          <w:szCs w:val="24"/>
        </w:rPr>
        <w:t>, there is a necessary connection between the limitation</w:t>
      </w:r>
      <w:r w:rsidR="000867C4">
        <w:rPr>
          <w:rFonts w:ascii="Arial" w:hAnsi="Arial" w:cs="Arial"/>
          <w:iCs/>
          <w:sz w:val="24"/>
          <w:szCs w:val="24"/>
        </w:rPr>
        <w:t>s</w:t>
      </w:r>
      <w:r w:rsidRPr="007709E8">
        <w:rPr>
          <w:rFonts w:ascii="Arial" w:hAnsi="Arial" w:cs="Arial"/>
          <w:iCs/>
          <w:sz w:val="24"/>
          <w:szCs w:val="24"/>
        </w:rPr>
        <w:t xml:space="preserve"> on </w:t>
      </w:r>
      <w:r w:rsidR="000867C4">
        <w:rPr>
          <w:rFonts w:ascii="Arial" w:hAnsi="Arial" w:cs="Arial"/>
          <w:iCs/>
          <w:sz w:val="24"/>
          <w:szCs w:val="24"/>
        </w:rPr>
        <w:t xml:space="preserve">rights </w:t>
      </w:r>
      <w:r w:rsidRPr="007709E8">
        <w:rPr>
          <w:rFonts w:ascii="Arial" w:hAnsi="Arial" w:cs="Arial"/>
          <w:iCs/>
          <w:sz w:val="24"/>
          <w:szCs w:val="24"/>
        </w:rPr>
        <w:t xml:space="preserve">with the policy goal. </w:t>
      </w:r>
    </w:p>
    <w:p w14:paraId="264901AF" w14:textId="137EA22B" w:rsidR="00881338" w:rsidRPr="00C419C4" w:rsidRDefault="00881338" w:rsidP="00881338">
      <w:pPr>
        <w:spacing w:before="240"/>
        <w:rPr>
          <w:rFonts w:ascii="Arial" w:hAnsi="Arial" w:cs="Arial"/>
          <w:bCs/>
          <w:i/>
          <w:iCs/>
          <w:sz w:val="24"/>
          <w:szCs w:val="24"/>
          <w:u w:val="single"/>
        </w:rPr>
      </w:pPr>
      <w:r w:rsidRPr="00C419C4">
        <w:rPr>
          <w:rFonts w:ascii="Arial" w:hAnsi="Arial" w:cs="Arial"/>
          <w:bCs/>
          <w:i/>
          <w:iCs/>
          <w:sz w:val="24"/>
          <w:szCs w:val="24"/>
          <w:u w:val="single"/>
        </w:rPr>
        <w:t>4. Proportionality (s 28 (2) (e))</w:t>
      </w:r>
    </w:p>
    <w:p w14:paraId="77BEFEFC" w14:textId="5ECFBCC0" w:rsidR="00C419C4" w:rsidRDefault="00C419C4" w:rsidP="00881338">
      <w:pPr>
        <w:spacing w:before="240"/>
        <w:rPr>
          <w:rFonts w:ascii="Arial" w:hAnsi="Arial" w:cs="Arial"/>
          <w:bCs/>
          <w:iCs/>
          <w:sz w:val="24"/>
          <w:szCs w:val="24"/>
        </w:rPr>
      </w:pPr>
      <w:r>
        <w:rPr>
          <w:rFonts w:ascii="Arial" w:hAnsi="Arial" w:cs="Arial"/>
          <w:bCs/>
          <w:iCs/>
          <w:sz w:val="24"/>
          <w:szCs w:val="24"/>
        </w:rPr>
        <w:t>The approach taken is proportionate because:</w:t>
      </w:r>
    </w:p>
    <w:p w14:paraId="44C3D0CE" w14:textId="550F9D5E" w:rsidR="00C419C4" w:rsidRDefault="00C419C4" w:rsidP="00C419C4">
      <w:pPr>
        <w:pStyle w:val="ListParagraph"/>
        <w:numPr>
          <w:ilvl w:val="0"/>
          <w:numId w:val="23"/>
        </w:numPr>
        <w:rPr>
          <w:rFonts w:ascii="Arial" w:hAnsi="Arial" w:cs="Arial"/>
          <w:bCs/>
          <w:iCs/>
          <w:sz w:val="24"/>
          <w:szCs w:val="24"/>
        </w:rPr>
      </w:pPr>
      <w:r>
        <w:rPr>
          <w:rFonts w:ascii="Arial" w:hAnsi="Arial" w:cs="Arial"/>
          <w:bCs/>
          <w:iCs/>
          <w:sz w:val="24"/>
          <w:szCs w:val="24"/>
        </w:rPr>
        <w:t xml:space="preserve">the new threshold operates in addition to existing </w:t>
      </w:r>
      <w:r w:rsidR="009B5C20">
        <w:rPr>
          <w:rFonts w:ascii="Arial" w:hAnsi="Arial" w:cs="Arial"/>
          <w:bCs/>
          <w:iCs/>
          <w:sz w:val="24"/>
          <w:szCs w:val="24"/>
        </w:rPr>
        <w:t>limitations and safeguards on the use of police powers (including common law powers, statutory safeguards, and human rights obligations</w:t>
      </w:r>
      <w:r w:rsidR="00953187">
        <w:rPr>
          <w:rFonts w:ascii="Arial" w:hAnsi="Arial" w:cs="Arial"/>
          <w:bCs/>
          <w:iCs/>
          <w:sz w:val="24"/>
          <w:szCs w:val="24"/>
        </w:rPr>
        <w:t xml:space="preserve"> – see further clause notes for clause 11</w:t>
      </w:r>
      <w:r w:rsidR="009B5C20">
        <w:rPr>
          <w:rFonts w:ascii="Arial" w:hAnsi="Arial" w:cs="Arial"/>
          <w:bCs/>
          <w:iCs/>
          <w:sz w:val="24"/>
          <w:szCs w:val="24"/>
        </w:rPr>
        <w:t>)</w:t>
      </w:r>
    </w:p>
    <w:p w14:paraId="67F53C75" w14:textId="3717EEDB" w:rsidR="009B5C20" w:rsidRDefault="009B5C20" w:rsidP="00C419C4">
      <w:pPr>
        <w:pStyle w:val="ListParagraph"/>
        <w:numPr>
          <w:ilvl w:val="0"/>
          <w:numId w:val="23"/>
        </w:numPr>
        <w:rPr>
          <w:rFonts w:ascii="Arial" w:hAnsi="Arial" w:cs="Arial"/>
          <w:bCs/>
          <w:iCs/>
          <w:sz w:val="24"/>
          <w:szCs w:val="24"/>
        </w:rPr>
      </w:pPr>
      <w:r>
        <w:rPr>
          <w:rFonts w:ascii="Arial" w:hAnsi="Arial" w:cs="Arial"/>
          <w:bCs/>
          <w:iCs/>
          <w:sz w:val="24"/>
          <w:szCs w:val="24"/>
        </w:rPr>
        <w:t>the new threshold requires that a police officer hold relevant beliefs (rather than relevant suspicions) on reasonable grounds before using the powers</w:t>
      </w:r>
    </w:p>
    <w:p w14:paraId="10B1A719" w14:textId="707059D1" w:rsidR="009B5C20" w:rsidRDefault="00B40EBB" w:rsidP="45155BF8">
      <w:pPr>
        <w:pStyle w:val="ListParagraph"/>
        <w:numPr>
          <w:ilvl w:val="0"/>
          <w:numId w:val="23"/>
        </w:numPr>
        <w:rPr>
          <w:rFonts w:ascii="Arial" w:hAnsi="Arial" w:cs="Arial"/>
          <w:sz w:val="24"/>
          <w:szCs w:val="24"/>
        </w:rPr>
      </w:pPr>
      <w:r>
        <w:rPr>
          <w:rFonts w:ascii="Arial" w:hAnsi="Arial" w:cs="Arial"/>
          <w:sz w:val="24"/>
          <w:szCs w:val="24"/>
        </w:rPr>
        <w:t xml:space="preserve">placing more restrictions on the use of police powers may result in a greater range of scenarios where police are unable to </w:t>
      </w:r>
      <w:r w:rsidR="4AD467C9" w:rsidRPr="45155BF8">
        <w:rPr>
          <w:rFonts w:ascii="Arial" w:hAnsi="Arial" w:cs="Arial"/>
          <w:sz w:val="24"/>
          <w:szCs w:val="24"/>
        </w:rPr>
        <w:t xml:space="preserve">meet </w:t>
      </w:r>
      <w:r>
        <w:rPr>
          <w:rFonts w:ascii="Arial" w:hAnsi="Arial" w:cs="Arial"/>
          <w:sz w:val="24"/>
          <w:szCs w:val="24"/>
        </w:rPr>
        <w:t xml:space="preserve">reasonable and practical </w:t>
      </w:r>
      <w:r w:rsidR="4AD467C9" w:rsidRPr="45155BF8">
        <w:rPr>
          <w:rFonts w:ascii="Arial" w:hAnsi="Arial" w:cs="Arial"/>
          <w:sz w:val="24"/>
          <w:szCs w:val="24"/>
        </w:rPr>
        <w:t>community expectations about maintaining public order</w:t>
      </w:r>
      <w:r w:rsidR="1B57A3E9" w:rsidRPr="45155BF8">
        <w:rPr>
          <w:rFonts w:ascii="Arial" w:hAnsi="Arial" w:cs="Arial"/>
          <w:sz w:val="24"/>
          <w:szCs w:val="24"/>
        </w:rPr>
        <w:t xml:space="preserve"> and safety</w:t>
      </w:r>
    </w:p>
    <w:p w14:paraId="318406CD" w14:textId="5FF44B94" w:rsidR="009B5C20" w:rsidRDefault="00B40EBB" w:rsidP="45155BF8">
      <w:pPr>
        <w:pStyle w:val="ListParagraph"/>
        <w:numPr>
          <w:ilvl w:val="0"/>
          <w:numId w:val="23"/>
        </w:numPr>
        <w:rPr>
          <w:rFonts w:ascii="Arial" w:hAnsi="Arial" w:cs="Arial"/>
          <w:sz w:val="24"/>
          <w:szCs w:val="24"/>
        </w:rPr>
      </w:pPr>
      <w:r>
        <w:rPr>
          <w:rFonts w:ascii="Arial" w:hAnsi="Arial" w:cs="Arial"/>
          <w:sz w:val="24"/>
          <w:szCs w:val="24"/>
        </w:rPr>
        <w:t xml:space="preserve">the new threshold is consistent with the policy objectives </w:t>
      </w:r>
      <w:r w:rsidR="4AD467C9" w:rsidRPr="45155BF8">
        <w:rPr>
          <w:rFonts w:ascii="Arial" w:hAnsi="Arial" w:cs="Arial"/>
          <w:sz w:val="24"/>
          <w:szCs w:val="24"/>
        </w:rPr>
        <w:t>to have police refer young people to diversionary options (like the Therapeutic Support Panel)</w:t>
      </w:r>
      <w:r>
        <w:rPr>
          <w:rFonts w:ascii="Arial" w:hAnsi="Arial" w:cs="Arial"/>
          <w:sz w:val="24"/>
          <w:szCs w:val="24"/>
        </w:rPr>
        <w:t>; if the threshold is higher for the stop power, police may not have the required information to make the appropriate referrals for young people who engage in harmful conduct</w:t>
      </w:r>
    </w:p>
    <w:p w14:paraId="5F9AAFCC" w14:textId="418CC2D7" w:rsidR="00C419C4" w:rsidRPr="009B5C20" w:rsidRDefault="009B5C20" w:rsidP="009B5C20">
      <w:pPr>
        <w:pStyle w:val="ListParagraph"/>
        <w:numPr>
          <w:ilvl w:val="0"/>
          <w:numId w:val="23"/>
        </w:numPr>
        <w:spacing w:after="240"/>
        <w:ind w:left="714" w:hanging="357"/>
        <w:rPr>
          <w:rFonts w:ascii="Arial" w:hAnsi="Arial" w:cs="Arial"/>
          <w:bCs/>
          <w:iCs/>
          <w:sz w:val="24"/>
          <w:szCs w:val="24"/>
        </w:rPr>
      </w:pPr>
      <w:r w:rsidRPr="009B5C20">
        <w:rPr>
          <w:rFonts w:ascii="Arial" w:hAnsi="Arial" w:cs="Arial"/>
          <w:bCs/>
          <w:iCs/>
          <w:sz w:val="24"/>
          <w:szCs w:val="24"/>
        </w:rPr>
        <w:t>the use of police powers without warrant are for use in urgent, serious circumstances</w:t>
      </w:r>
      <w:r>
        <w:rPr>
          <w:rFonts w:ascii="Arial" w:hAnsi="Arial" w:cs="Arial"/>
          <w:bCs/>
          <w:iCs/>
          <w:sz w:val="24"/>
          <w:szCs w:val="24"/>
        </w:rPr>
        <w:t xml:space="preserve">, so using the existing standard from section 501Q of the </w:t>
      </w:r>
      <w:r w:rsidRPr="00AF3C73">
        <w:rPr>
          <w:rFonts w:ascii="Arial" w:hAnsi="Arial" w:cs="Arial"/>
          <w:i/>
          <w:sz w:val="24"/>
          <w:szCs w:val="24"/>
        </w:rPr>
        <w:t xml:space="preserve">Children and Young People Act 2008 </w:t>
      </w:r>
      <w:r w:rsidRPr="00AF3C73">
        <w:rPr>
          <w:rFonts w:ascii="Arial" w:hAnsi="Arial" w:cs="Arial"/>
          <w:iCs/>
          <w:sz w:val="24"/>
          <w:szCs w:val="24"/>
        </w:rPr>
        <w:t>(CYPA)</w:t>
      </w:r>
      <w:r>
        <w:rPr>
          <w:rFonts w:ascii="Arial" w:hAnsi="Arial" w:cs="Arial"/>
          <w:bCs/>
          <w:iCs/>
          <w:sz w:val="24"/>
          <w:szCs w:val="24"/>
        </w:rPr>
        <w:t xml:space="preserve"> ensures that police do not need bespoke tests for bespoke scenarios</w:t>
      </w:r>
      <w:r w:rsidR="00C419C4" w:rsidRPr="009B5C20">
        <w:rPr>
          <w:rFonts w:ascii="Arial" w:hAnsi="Arial" w:cs="Arial"/>
          <w:bCs/>
          <w:iCs/>
          <w:sz w:val="24"/>
          <w:szCs w:val="24"/>
        </w:rPr>
        <w:t xml:space="preserve">.  </w:t>
      </w:r>
    </w:p>
    <w:p w14:paraId="568874CC" w14:textId="5C95BD13" w:rsidR="00B44A98" w:rsidRPr="006C2C68" w:rsidRDefault="42977EA4" w:rsidP="45155BF8">
      <w:pPr>
        <w:keepNext/>
        <w:rPr>
          <w:rFonts w:ascii="Arial" w:hAnsi="Arial" w:cs="Arial"/>
          <w:sz w:val="24"/>
          <w:szCs w:val="24"/>
        </w:rPr>
      </w:pPr>
      <w:r w:rsidRPr="006C2C68">
        <w:rPr>
          <w:rFonts w:ascii="Arial" w:hAnsi="Arial" w:cs="Arial"/>
          <w:sz w:val="24"/>
          <w:szCs w:val="24"/>
        </w:rPr>
        <w:t xml:space="preserve">The two primary ways of achieving </w:t>
      </w:r>
      <w:r w:rsidR="59BDC244" w:rsidRPr="006C2C68">
        <w:rPr>
          <w:rFonts w:ascii="Arial" w:hAnsi="Arial" w:cs="Arial"/>
          <w:sz w:val="24"/>
          <w:szCs w:val="24"/>
        </w:rPr>
        <w:t xml:space="preserve">proportionality </w:t>
      </w:r>
      <w:r w:rsidRPr="006C2C68">
        <w:rPr>
          <w:rFonts w:ascii="Arial" w:hAnsi="Arial" w:cs="Arial"/>
          <w:sz w:val="24"/>
          <w:szCs w:val="24"/>
        </w:rPr>
        <w:t>through the Bill are:</w:t>
      </w:r>
    </w:p>
    <w:p w14:paraId="4BF59E09" w14:textId="77777777" w:rsidR="00B44A98" w:rsidRPr="006C2C68" w:rsidRDefault="42977EA4" w:rsidP="45155BF8">
      <w:pPr>
        <w:pStyle w:val="ListParagraph"/>
        <w:numPr>
          <w:ilvl w:val="0"/>
          <w:numId w:val="4"/>
        </w:numPr>
        <w:spacing w:after="120" w:line="276" w:lineRule="auto"/>
        <w:ind w:left="425" w:hanging="357"/>
        <w:rPr>
          <w:rFonts w:ascii="Arial" w:hAnsi="Arial" w:cs="Arial"/>
          <w:sz w:val="24"/>
          <w:szCs w:val="24"/>
        </w:rPr>
      </w:pPr>
      <w:r w:rsidRPr="006C2C68">
        <w:rPr>
          <w:rFonts w:ascii="Arial" w:hAnsi="Arial" w:cs="Arial"/>
          <w:sz w:val="24"/>
          <w:szCs w:val="24"/>
        </w:rPr>
        <w:t>Raising the requisite state of mind required before police officers can exercise their powers in relation to people under 14-years old (from suspicion on reasonable grounds to belief on reasonable grounds); and</w:t>
      </w:r>
    </w:p>
    <w:p w14:paraId="3990DC9D" w14:textId="4287330C" w:rsidR="00B44A98" w:rsidRPr="006C2C68" w:rsidRDefault="42977EA4" w:rsidP="45155BF8">
      <w:pPr>
        <w:pStyle w:val="ListParagraph"/>
        <w:numPr>
          <w:ilvl w:val="0"/>
          <w:numId w:val="4"/>
        </w:numPr>
        <w:spacing w:after="120" w:line="276" w:lineRule="auto"/>
        <w:ind w:left="425" w:hanging="357"/>
        <w:rPr>
          <w:rFonts w:ascii="Arial" w:hAnsi="Arial" w:cs="Arial"/>
          <w:sz w:val="24"/>
          <w:szCs w:val="24"/>
        </w:rPr>
      </w:pPr>
      <w:r w:rsidRPr="006C2C68">
        <w:rPr>
          <w:rFonts w:ascii="Arial" w:hAnsi="Arial" w:cs="Arial"/>
          <w:sz w:val="24"/>
          <w:szCs w:val="24"/>
        </w:rPr>
        <w:t>Introducing new mandatory considerations</w:t>
      </w:r>
      <w:r w:rsidR="253D9BE3" w:rsidRPr="006C2C68">
        <w:rPr>
          <w:rFonts w:ascii="Arial" w:hAnsi="Arial" w:cs="Arial"/>
          <w:sz w:val="24"/>
          <w:szCs w:val="24"/>
        </w:rPr>
        <w:t xml:space="preserve"> (s252AC)</w:t>
      </w:r>
      <w:r w:rsidRPr="006C2C68">
        <w:rPr>
          <w:rFonts w:ascii="Arial" w:hAnsi="Arial" w:cs="Arial"/>
          <w:sz w:val="24"/>
          <w:szCs w:val="24"/>
        </w:rPr>
        <w:t xml:space="preserve"> that the police officer must consider before </w:t>
      </w:r>
      <w:r w:rsidR="1B57A3E9" w:rsidRPr="006C2C68">
        <w:rPr>
          <w:rFonts w:ascii="Arial" w:hAnsi="Arial" w:cs="Arial"/>
          <w:sz w:val="24"/>
          <w:szCs w:val="24"/>
        </w:rPr>
        <w:t>exercising a power in relation to a</w:t>
      </w:r>
      <w:r w:rsidRPr="006C2C68">
        <w:rPr>
          <w:rFonts w:ascii="Arial" w:hAnsi="Arial" w:cs="Arial"/>
          <w:sz w:val="24"/>
          <w:szCs w:val="24"/>
        </w:rPr>
        <w:t xml:space="preserve"> person under 14-years old without a warrant (based on section 501Q of the CYPA)</w:t>
      </w:r>
      <w:r w:rsidR="253D9BE3" w:rsidRPr="006C2C68">
        <w:rPr>
          <w:rFonts w:ascii="Arial" w:hAnsi="Arial" w:cs="Arial"/>
          <w:sz w:val="24"/>
          <w:szCs w:val="24"/>
        </w:rPr>
        <w:t xml:space="preserve"> where the purpose is to prevent harm or serious or destructive behaviour</w:t>
      </w:r>
      <w:r w:rsidRPr="006C2C68">
        <w:rPr>
          <w:rFonts w:ascii="Arial" w:hAnsi="Arial" w:cs="Arial"/>
          <w:sz w:val="24"/>
          <w:szCs w:val="24"/>
        </w:rPr>
        <w:t>.</w:t>
      </w:r>
      <w:r w:rsidR="7FB4D184" w:rsidRPr="006C2C68">
        <w:rPr>
          <w:rFonts w:ascii="Arial" w:hAnsi="Arial" w:cs="Arial"/>
          <w:sz w:val="24"/>
          <w:szCs w:val="24"/>
        </w:rPr>
        <w:t xml:space="preserve"> The intended meaning of the new threshold in s</w:t>
      </w:r>
      <w:r w:rsidR="0F71A132" w:rsidRPr="006C2C68">
        <w:rPr>
          <w:rFonts w:ascii="Arial" w:hAnsi="Arial" w:cs="Arial"/>
          <w:sz w:val="24"/>
          <w:szCs w:val="24"/>
        </w:rPr>
        <w:t>252AC is discussed in the clause notes for clause 11.</w:t>
      </w:r>
    </w:p>
    <w:p w14:paraId="2133A8AD" w14:textId="77777777" w:rsidR="00276F38" w:rsidRDefault="00276F38" w:rsidP="00276F38">
      <w:pPr>
        <w:rPr>
          <w:rFonts w:ascii="Arial" w:hAnsi="Arial" w:cs="Arial"/>
          <w:iCs/>
          <w:sz w:val="24"/>
          <w:szCs w:val="24"/>
        </w:rPr>
      </w:pPr>
      <w:r w:rsidRPr="00AF3C73">
        <w:rPr>
          <w:rFonts w:ascii="Arial" w:hAnsi="Arial" w:cs="Arial"/>
          <w:iCs/>
          <w:sz w:val="24"/>
          <w:szCs w:val="24"/>
        </w:rPr>
        <w:t>The exercise of common law powers and statutory powers is subject to constraints, such as doing only that which is reasonable and necessary (</w:t>
      </w:r>
      <w:r w:rsidRPr="00AF3C73">
        <w:rPr>
          <w:rFonts w:ascii="Arial" w:hAnsi="Arial" w:cs="Arial"/>
          <w:i/>
          <w:iCs/>
          <w:sz w:val="24"/>
          <w:szCs w:val="24"/>
        </w:rPr>
        <w:t xml:space="preserve">The Queen v Rolfe </w:t>
      </w:r>
      <w:r w:rsidRPr="00AF3C73">
        <w:rPr>
          <w:rFonts w:ascii="Arial" w:hAnsi="Arial" w:cs="Arial"/>
          <w:iCs/>
          <w:sz w:val="24"/>
          <w:szCs w:val="24"/>
        </w:rPr>
        <w:t xml:space="preserve">[2021] HCA 38; </w:t>
      </w:r>
      <w:r w:rsidRPr="00AF3C73">
        <w:rPr>
          <w:rFonts w:ascii="Arial" w:hAnsi="Arial" w:cs="Arial"/>
          <w:i/>
          <w:iCs/>
          <w:sz w:val="24"/>
          <w:szCs w:val="24"/>
        </w:rPr>
        <w:t>R v Turner</w:t>
      </w:r>
      <w:r w:rsidRPr="00AF3C73">
        <w:rPr>
          <w:rFonts w:ascii="Arial" w:hAnsi="Arial" w:cs="Arial"/>
          <w:iCs/>
          <w:sz w:val="24"/>
          <w:szCs w:val="24"/>
        </w:rPr>
        <w:t xml:space="preserve"> [1962] VR 30; </w:t>
      </w:r>
      <w:r w:rsidRPr="00AF3C73">
        <w:rPr>
          <w:rFonts w:ascii="Arial" w:hAnsi="Arial" w:cs="Arial"/>
          <w:i/>
          <w:iCs/>
          <w:sz w:val="24"/>
          <w:szCs w:val="24"/>
        </w:rPr>
        <w:t>Woodley v Boyd</w:t>
      </w:r>
      <w:r w:rsidRPr="00AF3C73">
        <w:rPr>
          <w:rFonts w:ascii="Arial" w:hAnsi="Arial" w:cs="Arial"/>
          <w:iCs/>
          <w:sz w:val="24"/>
          <w:szCs w:val="24"/>
        </w:rPr>
        <w:t xml:space="preserve"> [2001] NSWCA 35; </w:t>
      </w:r>
      <w:r w:rsidRPr="00AF3C73">
        <w:rPr>
          <w:rFonts w:ascii="Arial" w:hAnsi="Arial" w:cs="Arial"/>
          <w:i/>
          <w:iCs/>
          <w:sz w:val="24"/>
          <w:szCs w:val="24"/>
        </w:rPr>
        <w:t>Dowse v New South Wales</w:t>
      </w:r>
      <w:r w:rsidRPr="00AF3C73">
        <w:rPr>
          <w:rFonts w:ascii="Arial" w:hAnsi="Arial" w:cs="Arial"/>
          <w:iCs/>
          <w:sz w:val="24"/>
          <w:szCs w:val="24"/>
        </w:rPr>
        <w:t xml:space="preserve"> [2012] NSWCA 337). The proposed Bill does not disturb those constraints.</w:t>
      </w:r>
    </w:p>
    <w:p w14:paraId="526197A9" w14:textId="3F4F15FB" w:rsidR="00276F38" w:rsidRPr="00B44A98" w:rsidRDefault="00276F38" w:rsidP="00276F38">
      <w:pPr>
        <w:rPr>
          <w:rFonts w:ascii="Arial" w:hAnsi="Arial" w:cs="Arial"/>
          <w:iCs/>
          <w:sz w:val="24"/>
          <w:szCs w:val="24"/>
        </w:rPr>
      </w:pPr>
      <w:r w:rsidRPr="00AF3C73">
        <w:rPr>
          <w:rFonts w:ascii="Arial" w:hAnsi="Arial" w:cs="Arial"/>
          <w:iCs/>
          <w:sz w:val="24"/>
          <w:szCs w:val="24"/>
        </w:rPr>
        <w:t>The amendments advanced by this Bill require police to have a higher degree of satisfaction about certain facts before the</w:t>
      </w:r>
      <w:r w:rsidR="00230A51">
        <w:rPr>
          <w:rFonts w:ascii="Arial" w:hAnsi="Arial" w:cs="Arial"/>
          <w:iCs/>
          <w:sz w:val="24"/>
          <w:szCs w:val="24"/>
        </w:rPr>
        <w:t>y</w:t>
      </w:r>
      <w:r w:rsidRPr="00AF3C73">
        <w:rPr>
          <w:rFonts w:ascii="Arial" w:hAnsi="Arial" w:cs="Arial"/>
          <w:iCs/>
          <w:sz w:val="24"/>
          <w:szCs w:val="24"/>
        </w:rPr>
        <w:t xml:space="preserve"> can use their stop, search, and detain powers with regard to children who may have committed offences.</w:t>
      </w:r>
      <w:r w:rsidRPr="00B44A98">
        <w:rPr>
          <w:rFonts w:ascii="Arial" w:hAnsi="Arial" w:cs="Arial"/>
          <w:iCs/>
          <w:sz w:val="24"/>
          <w:szCs w:val="24"/>
        </w:rPr>
        <w:t xml:space="preserve"> </w:t>
      </w:r>
    </w:p>
    <w:p w14:paraId="55DAC4B8" w14:textId="77777777" w:rsidR="00276F38" w:rsidRDefault="00276F38" w:rsidP="00B737AB">
      <w:pPr>
        <w:keepLines/>
        <w:rPr>
          <w:rFonts w:ascii="Arial" w:hAnsi="Arial" w:cs="Arial"/>
          <w:iCs/>
          <w:sz w:val="24"/>
          <w:szCs w:val="24"/>
        </w:rPr>
      </w:pPr>
      <w:r w:rsidRPr="00AF3C73">
        <w:rPr>
          <w:rFonts w:ascii="Arial" w:hAnsi="Arial" w:cs="Arial"/>
          <w:iCs/>
          <w:sz w:val="24"/>
          <w:szCs w:val="24"/>
        </w:rPr>
        <w:lastRenderedPageBreak/>
        <w:t>Maintaining police discretion in the use of their powers is necessary because of the wide range of possible circumstances that might face police officers. If the threshold is set too high, there may be circumstances where police are not able to meet community expectations about safety and public order. As the new threshold works in addition to existing common law, statutory, and human rights limitations, the use of this threshold is reasonable, well-adapted, and proportionate.</w:t>
      </w:r>
    </w:p>
    <w:p w14:paraId="0907EFAD" w14:textId="3FD93CAD" w:rsidR="00DA7203" w:rsidRDefault="00276F38" w:rsidP="00276F38">
      <w:pPr>
        <w:spacing w:before="240"/>
        <w:rPr>
          <w:rFonts w:ascii="Arial" w:hAnsi="Arial" w:cs="Arial"/>
          <w:bCs/>
          <w:iCs/>
          <w:sz w:val="24"/>
          <w:szCs w:val="24"/>
        </w:rPr>
      </w:pPr>
      <w:r w:rsidRPr="007709E8">
        <w:rPr>
          <w:rFonts w:ascii="Arial" w:hAnsi="Arial" w:cs="Arial"/>
          <w:bCs/>
          <w:iCs/>
          <w:sz w:val="24"/>
          <w:szCs w:val="24"/>
        </w:rPr>
        <w:t xml:space="preserve">Because people under MACR are not able to be charged for offences, the </w:t>
      </w:r>
      <w:r w:rsidR="007B5A8C">
        <w:rPr>
          <w:rFonts w:ascii="Arial" w:hAnsi="Arial" w:cs="Arial"/>
          <w:bCs/>
          <w:iCs/>
          <w:sz w:val="24"/>
          <w:szCs w:val="24"/>
        </w:rPr>
        <w:t>threshold</w:t>
      </w:r>
      <w:r w:rsidR="007B5A8C" w:rsidRPr="007709E8">
        <w:rPr>
          <w:rFonts w:ascii="Arial" w:hAnsi="Arial" w:cs="Arial"/>
          <w:bCs/>
          <w:iCs/>
          <w:sz w:val="24"/>
          <w:szCs w:val="24"/>
        </w:rPr>
        <w:t xml:space="preserve"> </w:t>
      </w:r>
      <w:r w:rsidRPr="007709E8">
        <w:rPr>
          <w:rFonts w:ascii="Arial" w:hAnsi="Arial" w:cs="Arial"/>
          <w:bCs/>
          <w:iCs/>
          <w:sz w:val="24"/>
          <w:szCs w:val="24"/>
        </w:rPr>
        <w:t>to search a person under MACR</w:t>
      </w:r>
      <w:r w:rsidR="007B5A8C">
        <w:rPr>
          <w:rFonts w:ascii="Arial" w:hAnsi="Arial" w:cs="Arial"/>
          <w:bCs/>
          <w:iCs/>
          <w:sz w:val="24"/>
          <w:szCs w:val="24"/>
        </w:rPr>
        <w:t xml:space="preserve"> without warrant</w:t>
      </w:r>
      <w:r w:rsidRPr="007709E8">
        <w:rPr>
          <w:rFonts w:ascii="Arial" w:hAnsi="Arial" w:cs="Arial"/>
          <w:bCs/>
          <w:iCs/>
          <w:sz w:val="24"/>
          <w:szCs w:val="24"/>
        </w:rPr>
        <w:t xml:space="preserve"> needs to be </w:t>
      </w:r>
      <w:r w:rsidR="009E057E">
        <w:rPr>
          <w:rFonts w:ascii="Arial" w:hAnsi="Arial" w:cs="Arial"/>
          <w:bCs/>
          <w:iCs/>
          <w:sz w:val="24"/>
          <w:szCs w:val="24"/>
        </w:rPr>
        <w:t>circumscribed to</w:t>
      </w:r>
      <w:r w:rsidR="007B5A8C">
        <w:rPr>
          <w:rFonts w:ascii="Arial" w:hAnsi="Arial" w:cs="Arial"/>
          <w:bCs/>
          <w:iCs/>
          <w:sz w:val="24"/>
          <w:szCs w:val="24"/>
        </w:rPr>
        <w:t xml:space="preserve"> the legitimate purpose of protecting community safety and the safety of the individual</w:t>
      </w:r>
      <w:r w:rsidRPr="007709E8">
        <w:rPr>
          <w:rFonts w:ascii="Arial" w:hAnsi="Arial" w:cs="Arial"/>
          <w:bCs/>
          <w:iCs/>
          <w:sz w:val="24"/>
          <w:szCs w:val="24"/>
        </w:rPr>
        <w:t>.  To achieve this, the Bill proposes a higher threshold than a police officer ordinarily requires in order to conduct a search. Ordinarily, a police officer need</w:t>
      </w:r>
      <w:r w:rsidR="00DA7203">
        <w:rPr>
          <w:rFonts w:ascii="Arial" w:hAnsi="Arial" w:cs="Arial"/>
          <w:bCs/>
          <w:iCs/>
          <w:sz w:val="24"/>
          <w:szCs w:val="24"/>
        </w:rPr>
        <w:t>s</w:t>
      </w:r>
      <w:r w:rsidRPr="007709E8">
        <w:rPr>
          <w:rFonts w:ascii="Arial" w:hAnsi="Arial" w:cs="Arial"/>
          <w:bCs/>
          <w:iCs/>
          <w:sz w:val="24"/>
          <w:szCs w:val="24"/>
        </w:rPr>
        <w:t xml:space="preserve"> to suspect on reasonable grounds that </w:t>
      </w:r>
      <w:r w:rsidR="00DA7203">
        <w:rPr>
          <w:rFonts w:ascii="Arial" w:hAnsi="Arial" w:cs="Arial"/>
          <w:bCs/>
          <w:iCs/>
          <w:sz w:val="24"/>
          <w:szCs w:val="24"/>
        </w:rPr>
        <w:t>certain things are true prior to being able to search without warrant</w:t>
      </w:r>
      <w:r w:rsidRPr="007709E8">
        <w:rPr>
          <w:rFonts w:ascii="Arial" w:hAnsi="Arial" w:cs="Arial"/>
          <w:bCs/>
          <w:iCs/>
          <w:sz w:val="24"/>
          <w:szCs w:val="24"/>
        </w:rPr>
        <w:t>. This threshold is ordinarily proportionate and well-adapted because the police officer needs appropriate powers to investigate suspected offences</w:t>
      </w:r>
      <w:r w:rsidR="003C3C68">
        <w:rPr>
          <w:rFonts w:ascii="Arial" w:hAnsi="Arial" w:cs="Arial"/>
          <w:bCs/>
          <w:iCs/>
          <w:sz w:val="24"/>
          <w:szCs w:val="24"/>
        </w:rPr>
        <w:t xml:space="preserve"> or</w:t>
      </w:r>
      <w:r w:rsidRPr="00296884">
        <w:rPr>
          <w:rFonts w:ascii="Arial" w:hAnsi="Arial" w:cs="Arial"/>
          <w:bCs/>
          <w:iCs/>
          <w:sz w:val="24"/>
          <w:szCs w:val="24"/>
        </w:rPr>
        <w:t xml:space="preserve"> </w:t>
      </w:r>
      <w:r w:rsidR="00605658" w:rsidRPr="00296884">
        <w:rPr>
          <w:rFonts w:ascii="Arial" w:hAnsi="Arial" w:cs="Arial"/>
          <w:bCs/>
          <w:iCs/>
          <w:sz w:val="24"/>
          <w:szCs w:val="24"/>
        </w:rPr>
        <w:t xml:space="preserve">prevent destruction of evidential material, </w:t>
      </w:r>
      <w:r w:rsidRPr="00296884">
        <w:rPr>
          <w:rFonts w:ascii="Arial" w:hAnsi="Arial" w:cs="Arial"/>
          <w:bCs/>
          <w:iCs/>
          <w:sz w:val="24"/>
          <w:szCs w:val="24"/>
        </w:rPr>
        <w:t>and</w:t>
      </w:r>
      <w:r w:rsidRPr="007709E8">
        <w:rPr>
          <w:rFonts w:ascii="Arial" w:hAnsi="Arial" w:cs="Arial"/>
          <w:bCs/>
          <w:iCs/>
          <w:sz w:val="24"/>
          <w:szCs w:val="24"/>
        </w:rPr>
        <w:t xml:space="preserve"> because the use of the power is scrutinised by a judicial officer when charges are laid. The Bill proposes to lift this standard for people under 14 to </w:t>
      </w:r>
      <w:r w:rsidRPr="007709E8">
        <w:rPr>
          <w:rFonts w:ascii="Arial" w:hAnsi="Arial" w:cs="Arial"/>
          <w:bCs/>
          <w:i/>
          <w:iCs/>
          <w:sz w:val="24"/>
          <w:szCs w:val="24"/>
        </w:rPr>
        <w:t xml:space="preserve">belief </w:t>
      </w:r>
      <w:r w:rsidRPr="007709E8">
        <w:rPr>
          <w:rFonts w:ascii="Arial" w:hAnsi="Arial" w:cs="Arial"/>
          <w:bCs/>
          <w:iCs/>
          <w:sz w:val="24"/>
          <w:szCs w:val="24"/>
        </w:rPr>
        <w:t>on reasonable grounds that</w:t>
      </w:r>
      <w:r w:rsidR="00DA7203">
        <w:rPr>
          <w:rFonts w:ascii="Arial" w:hAnsi="Arial" w:cs="Arial"/>
          <w:bCs/>
          <w:iCs/>
          <w:sz w:val="24"/>
          <w:szCs w:val="24"/>
        </w:rPr>
        <w:t>:</w:t>
      </w:r>
    </w:p>
    <w:p w14:paraId="0CB51EB3" w14:textId="43ED572C" w:rsidR="00DA7203" w:rsidRDefault="00276F38" w:rsidP="00DA7203">
      <w:pPr>
        <w:pStyle w:val="ListParagraph"/>
        <w:numPr>
          <w:ilvl w:val="0"/>
          <w:numId w:val="42"/>
        </w:numPr>
        <w:spacing w:before="240"/>
        <w:rPr>
          <w:rFonts w:ascii="Arial" w:hAnsi="Arial" w:cs="Arial"/>
          <w:bCs/>
          <w:iCs/>
          <w:sz w:val="24"/>
          <w:szCs w:val="24"/>
        </w:rPr>
      </w:pPr>
      <w:r w:rsidRPr="00296884">
        <w:rPr>
          <w:rFonts w:ascii="Arial" w:hAnsi="Arial" w:cs="Arial"/>
          <w:bCs/>
          <w:iCs/>
          <w:sz w:val="24"/>
          <w:szCs w:val="24"/>
        </w:rPr>
        <w:t xml:space="preserve">the person </w:t>
      </w:r>
      <w:r w:rsidR="00DA7203" w:rsidRPr="00296884">
        <w:rPr>
          <w:rFonts w:ascii="Arial" w:hAnsi="Arial" w:cs="Arial"/>
          <w:bCs/>
          <w:iCs/>
          <w:sz w:val="24"/>
          <w:szCs w:val="24"/>
        </w:rPr>
        <w:t>has engaged or will engage in harmful conduct</w:t>
      </w:r>
      <w:r w:rsidR="00605658">
        <w:rPr>
          <w:rFonts w:ascii="Arial" w:hAnsi="Arial" w:cs="Arial"/>
          <w:bCs/>
          <w:iCs/>
          <w:sz w:val="24"/>
          <w:szCs w:val="24"/>
        </w:rPr>
        <w:t xml:space="preserve"> </w:t>
      </w:r>
      <w:r w:rsidR="00605658" w:rsidRPr="00296884">
        <w:rPr>
          <w:rFonts w:ascii="Arial" w:hAnsi="Arial" w:cs="Arial"/>
          <w:bCs/>
          <w:iCs/>
          <w:sz w:val="24"/>
          <w:szCs w:val="24"/>
        </w:rPr>
        <w:t>to themselves or others</w:t>
      </w:r>
      <w:r w:rsidR="00DA7203" w:rsidRPr="00296884">
        <w:rPr>
          <w:rFonts w:ascii="Arial" w:hAnsi="Arial" w:cs="Arial"/>
          <w:bCs/>
          <w:iCs/>
          <w:sz w:val="24"/>
          <w:szCs w:val="24"/>
        </w:rPr>
        <w:t>, serious damage</w:t>
      </w:r>
      <w:r w:rsidR="00605658" w:rsidRPr="00296884">
        <w:rPr>
          <w:rFonts w:ascii="Arial" w:hAnsi="Arial" w:cs="Arial"/>
          <w:bCs/>
          <w:iCs/>
          <w:sz w:val="24"/>
          <w:szCs w:val="24"/>
        </w:rPr>
        <w:t xml:space="preserve"> to property or the environment</w:t>
      </w:r>
      <w:r w:rsidR="00DA7203" w:rsidRPr="00296884">
        <w:rPr>
          <w:rFonts w:ascii="Arial" w:hAnsi="Arial" w:cs="Arial"/>
          <w:bCs/>
          <w:iCs/>
          <w:sz w:val="24"/>
          <w:szCs w:val="24"/>
        </w:rPr>
        <w:t>, cruelty to animals, or any other serious or destructive behaviour (section 252AC(b))</w:t>
      </w:r>
      <w:r w:rsidR="00DA7203">
        <w:rPr>
          <w:rFonts w:ascii="Arial" w:hAnsi="Arial" w:cs="Arial"/>
          <w:bCs/>
          <w:iCs/>
          <w:sz w:val="24"/>
          <w:szCs w:val="24"/>
        </w:rPr>
        <w:t>; or</w:t>
      </w:r>
    </w:p>
    <w:p w14:paraId="31DE01D2" w14:textId="77777777" w:rsidR="00DA7203" w:rsidRDefault="00DA7203" w:rsidP="00DA7203">
      <w:pPr>
        <w:pStyle w:val="ListParagraph"/>
        <w:numPr>
          <w:ilvl w:val="0"/>
          <w:numId w:val="42"/>
        </w:numPr>
        <w:spacing w:before="240"/>
        <w:rPr>
          <w:rFonts w:ascii="Arial" w:hAnsi="Arial" w:cs="Arial"/>
          <w:bCs/>
          <w:iCs/>
          <w:sz w:val="24"/>
          <w:szCs w:val="24"/>
        </w:rPr>
      </w:pPr>
      <w:r>
        <w:rPr>
          <w:rFonts w:ascii="Arial" w:hAnsi="Arial" w:cs="Arial"/>
          <w:bCs/>
          <w:iCs/>
          <w:sz w:val="24"/>
          <w:szCs w:val="24"/>
        </w:rPr>
        <w:t>the exercise of the power is required to ensure the safety of the person (section 252AC(c)); or</w:t>
      </w:r>
    </w:p>
    <w:p w14:paraId="561D71AF" w14:textId="77777777" w:rsidR="00DA7203" w:rsidRDefault="00DA7203" w:rsidP="00DA7203">
      <w:pPr>
        <w:pStyle w:val="ListParagraph"/>
        <w:numPr>
          <w:ilvl w:val="0"/>
          <w:numId w:val="42"/>
        </w:numPr>
        <w:spacing w:before="240"/>
        <w:rPr>
          <w:rFonts w:ascii="Arial" w:hAnsi="Arial" w:cs="Arial"/>
          <w:bCs/>
          <w:iCs/>
          <w:sz w:val="24"/>
          <w:szCs w:val="24"/>
        </w:rPr>
      </w:pPr>
      <w:r>
        <w:rPr>
          <w:rFonts w:ascii="Arial" w:hAnsi="Arial" w:cs="Arial"/>
          <w:bCs/>
          <w:iCs/>
          <w:sz w:val="24"/>
          <w:szCs w:val="24"/>
        </w:rPr>
        <w:t>the person possesses evidence relevant to the investigation of an offence or possible offence committed by another person (section 252AD).</w:t>
      </w:r>
    </w:p>
    <w:p w14:paraId="1E1B78D2" w14:textId="3835944E" w:rsidR="00276F38" w:rsidRPr="003C3C68" w:rsidRDefault="00276F38" w:rsidP="00DA7203">
      <w:pPr>
        <w:spacing w:before="240"/>
        <w:rPr>
          <w:rFonts w:ascii="Arial" w:hAnsi="Arial" w:cs="Arial"/>
          <w:bCs/>
          <w:iCs/>
          <w:sz w:val="24"/>
          <w:szCs w:val="24"/>
        </w:rPr>
      </w:pPr>
      <w:r w:rsidRPr="003C3C68">
        <w:rPr>
          <w:rFonts w:ascii="Arial" w:hAnsi="Arial" w:cs="Arial"/>
          <w:bCs/>
          <w:iCs/>
          <w:sz w:val="24"/>
          <w:szCs w:val="24"/>
        </w:rPr>
        <w:t>This higher threshold makes the power less prone to arbitrary use and shapes the use of the power to its legitimate purpose.</w:t>
      </w:r>
    </w:p>
    <w:p w14:paraId="54130718" w14:textId="21905813" w:rsidR="00881338" w:rsidRDefault="00276F38" w:rsidP="00881338">
      <w:pPr>
        <w:spacing w:before="240"/>
        <w:rPr>
          <w:rFonts w:ascii="Arial" w:hAnsi="Arial" w:cs="Arial"/>
          <w:bCs/>
          <w:iCs/>
          <w:sz w:val="24"/>
          <w:szCs w:val="24"/>
        </w:rPr>
      </w:pPr>
      <w:r w:rsidRPr="007709E8">
        <w:rPr>
          <w:rFonts w:ascii="Arial" w:hAnsi="Arial" w:cs="Arial"/>
          <w:bCs/>
          <w:iCs/>
          <w:sz w:val="24"/>
          <w:szCs w:val="24"/>
        </w:rPr>
        <w:t>Where there is an investigation of an offence by a third party</w:t>
      </w:r>
      <w:r w:rsidR="006A6C30">
        <w:rPr>
          <w:rFonts w:ascii="Arial" w:hAnsi="Arial" w:cs="Arial"/>
          <w:bCs/>
          <w:iCs/>
          <w:sz w:val="24"/>
          <w:szCs w:val="24"/>
        </w:rPr>
        <w:t xml:space="preserve"> who is not under the MACR (new section 252AD)</w:t>
      </w:r>
      <w:r w:rsidRPr="007709E8">
        <w:rPr>
          <w:rFonts w:ascii="Arial" w:hAnsi="Arial" w:cs="Arial"/>
          <w:bCs/>
          <w:iCs/>
          <w:sz w:val="24"/>
          <w:szCs w:val="24"/>
        </w:rPr>
        <w:t xml:space="preserve">, the </w:t>
      </w:r>
      <w:r w:rsidR="00B737AB">
        <w:rPr>
          <w:rFonts w:ascii="Arial" w:hAnsi="Arial" w:cs="Arial"/>
          <w:bCs/>
          <w:iCs/>
          <w:sz w:val="24"/>
          <w:szCs w:val="24"/>
        </w:rPr>
        <w:t>‘seriousness threshold’ is not used, but the officer must still form the belief (not the suspicion) on reasonable grounds that the person under 14 is in possession of evidentiary material</w:t>
      </w:r>
      <w:r w:rsidRPr="007709E8">
        <w:rPr>
          <w:rFonts w:ascii="Arial" w:hAnsi="Arial" w:cs="Arial"/>
          <w:bCs/>
          <w:iCs/>
          <w:sz w:val="24"/>
          <w:szCs w:val="24"/>
        </w:rPr>
        <w:t>. This is appropriate because police officers are investigating an offence that will likely be heard by a Court. The differing purpose and the judicial oversight justify the lower standard.</w:t>
      </w:r>
      <w:r w:rsidR="001C0A3F">
        <w:rPr>
          <w:rFonts w:ascii="Arial" w:hAnsi="Arial" w:cs="Arial"/>
          <w:bCs/>
          <w:iCs/>
          <w:sz w:val="24"/>
          <w:szCs w:val="24"/>
        </w:rPr>
        <w:t xml:space="preserve"> In addition, creating a different (higher) standard for intervention by police to investigate third party offences may risk incentivising persons engaging in criminal conduct to place evidentiary materials in the possession of persons under the MACR.</w:t>
      </w:r>
    </w:p>
    <w:p w14:paraId="59F54199" w14:textId="7D1F1FBD" w:rsidR="00276F38" w:rsidRPr="00AF3C73" w:rsidRDefault="00B737AB" w:rsidP="00881338">
      <w:pPr>
        <w:spacing w:before="240"/>
        <w:rPr>
          <w:rFonts w:ascii="Arial" w:hAnsi="Arial" w:cs="Arial"/>
          <w:iCs/>
          <w:sz w:val="24"/>
          <w:szCs w:val="24"/>
        </w:rPr>
      </w:pPr>
      <w:r>
        <w:rPr>
          <w:rFonts w:ascii="Arial" w:hAnsi="Arial" w:cs="Arial"/>
          <w:iCs/>
          <w:sz w:val="24"/>
          <w:szCs w:val="24"/>
        </w:rPr>
        <w:t>Although</w:t>
      </w:r>
      <w:r w:rsidR="00276F38" w:rsidRPr="007709E8">
        <w:rPr>
          <w:rFonts w:ascii="Arial" w:hAnsi="Arial" w:cs="Arial"/>
          <w:iCs/>
          <w:sz w:val="24"/>
          <w:szCs w:val="24"/>
        </w:rPr>
        <w:t xml:space="preserve"> the detention power is </w:t>
      </w:r>
      <w:r>
        <w:rPr>
          <w:rFonts w:ascii="Arial" w:hAnsi="Arial" w:cs="Arial"/>
          <w:iCs/>
          <w:sz w:val="24"/>
          <w:szCs w:val="24"/>
        </w:rPr>
        <w:t>‘</w:t>
      </w:r>
      <w:r w:rsidR="00276F38" w:rsidRPr="007709E8">
        <w:rPr>
          <w:rFonts w:ascii="Arial" w:hAnsi="Arial" w:cs="Arial"/>
          <w:iCs/>
          <w:sz w:val="24"/>
          <w:szCs w:val="24"/>
        </w:rPr>
        <w:t>a lower power</w:t>
      </w:r>
      <w:r>
        <w:rPr>
          <w:rFonts w:ascii="Arial" w:hAnsi="Arial" w:cs="Arial"/>
          <w:iCs/>
          <w:sz w:val="24"/>
          <w:szCs w:val="24"/>
        </w:rPr>
        <w:t>’</w:t>
      </w:r>
      <w:r w:rsidR="00276F38" w:rsidRPr="007709E8">
        <w:rPr>
          <w:rFonts w:ascii="Arial" w:hAnsi="Arial" w:cs="Arial"/>
          <w:iCs/>
          <w:sz w:val="24"/>
          <w:szCs w:val="24"/>
        </w:rPr>
        <w:t xml:space="preserve"> than the arrest power</w:t>
      </w:r>
      <w:r>
        <w:rPr>
          <w:rFonts w:ascii="Arial" w:hAnsi="Arial" w:cs="Arial"/>
          <w:iCs/>
          <w:sz w:val="24"/>
          <w:szCs w:val="24"/>
        </w:rPr>
        <w:t xml:space="preserve">, there is </w:t>
      </w:r>
      <w:r w:rsidR="00276F38" w:rsidRPr="007709E8">
        <w:rPr>
          <w:rFonts w:ascii="Arial" w:hAnsi="Arial" w:cs="Arial"/>
          <w:iCs/>
          <w:sz w:val="24"/>
          <w:szCs w:val="24"/>
        </w:rPr>
        <w:t>less judicial oversight of its use.</w:t>
      </w:r>
      <w:r>
        <w:rPr>
          <w:rFonts w:ascii="Arial" w:hAnsi="Arial" w:cs="Arial"/>
          <w:iCs/>
          <w:sz w:val="24"/>
          <w:szCs w:val="24"/>
        </w:rPr>
        <w:t xml:space="preserve"> </w:t>
      </w:r>
      <w:r w:rsidR="00276F38" w:rsidRPr="007709E8">
        <w:rPr>
          <w:rFonts w:ascii="Arial" w:hAnsi="Arial" w:cs="Arial"/>
          <w:iCs/>
          <w:sz w:val="24"/>
          <w:szCs w:val="24"/>
        </w:rPr>
        <w:t>To achieve compliance with human rights, the Bill proposes</w:t>
      </w:r>
      <w:r>
        <w:rPr>
          <w:rFonts w:ascii="Arial" w:hAnsi="Arial" w:cs="Arial"/>
          <w:iCs/>
          <w:sz w:val="24"/>
          <w:szCs w:val="24"/>
        </w:rPr>
        <w:t xml:space="preserve"> for people under 14 years of age</w:t>
      </w:r>
      <w:r w:rsidR="00276F38" w:rsidRPr="007709E8">
        <w:rPr>
          <w:rFonts w:ascii="Arial" w:hAnsi="Arial" w:cs="Arial"/>
          <w:iCs/>
          <w:sz w:val="24"/>
          <w:szCs w:val="24"/>
        </w:rPr>
        <w:t xml:space="preserve"> a higher threshold than a police officer ordinarily requires in order to detain a person. Detention powers are ordinarily for the safety of the person or the safety of the community, but do not require the person to </w:t>
      </w:r>
      <w:r w:rsidR="00276F38" w:rsidRPr="007709E8">
        <w:rPr>
          <w:rFonts w:ascii="Arial" w:hAnsi="Arial" w:cs="Arial"/>
          <w:iCs/>
          <w:sz w:val="24"/>
          <w:szCs w:val="24"/>
        </w:rPr>
        <w:lastRenderedPageBreak/>
        <w:t>be under arrest. As people under MACR are ordinarily unable to be arrested</w:t>
      </w:r>
      <w:r>
        <w:rPr>
          <w:rFonts w:ascii="Arial" w:hAnsi="Arial" w:cs="Arial"/>
          <w:iCs/>
          <w:sz w:val="24"/>
          <w:szCs w:val="24"/>
        </w:rPr>
        <w:t xml:space="preserve"> and there are existing provisions in the Act for the arrest of people under MACR</w:t>
      </w:r>
      <w:r w:rsidR="00276F38" w:rsidRPr="007709E8">
        <w:rPr>
          <w:rFonts w:ascii="Arial" w:hAnsi="Arial" w:cs="Arial"/>
          <w:iCs/>
          <w:sz w:val="24"/>
          <w:szCs w:val="24"/>
        </w:rPr>
        <w:t>, the Bill proposes to c</w:t>
      </w:r>
      <w:r>
        <w:rPr>
          <w:rFonts w:ascii="Arial" w:hAnsi="Arial" w:cs="Arial"/>
          <w:iCs/>
          <w:sz w:val="24"/>
          <w:szCs w:val="24"/>
        </w:rPr>
        <w:t>larify</w:t>
      </w:r>
      <w:r w:rsidR="00276F38" w:rsidRPr="007709E8">
        <w:rPr>
          <w:rFonts w:ascii="Arial" w:hAnsi="Arial" w:cs="Arial"/>
          <w:iCs/>
          <w:sz w:val="24"/>
          <w:szCs w:val="24"/>
        </w:rPr>
        <w:t xml:space="preserve"> the detention power </w:t>
      </w:r>
      <w:r>
        <w:rPr>
          <w:rFonts w:ascii="Arial" w:hAnsi="Arial" w:cs="Arial"/>
          <w:iCs/>
          <w:sz w:val="24"/>
          <w:szCs w:val="24"/>
        </w:rPr>
        <w:t>to ensure its availability as a more appropriate alternative to arrest</w:t>
      </w:r>
      <w:r w:rsidR="00D46495">
        <w:rPr>
          <w:rFonts w:ascii="Arial" w:hAnsi="Arial" w:cs="Arial"/>
          <w:iCs/>
          <w:sz w:val="24"/>
          <w:szCs w:val="24"/>
        </w:rPr>
        <w:t xml:space="preserve"> (for example, </w:t>
      </w:r>
      <w:r w:rsidR="001A52F0">
        <w:rPr>
          <w:rFonts w:ascii="Arial" w:hAnsi="Arial" w:cs="Arial"/>
          <w:iCs/>
          <w:sz w:val="24"/>
          <w:szCs w:val="24"/>
        </w:rPr>
        <w:t>to stop offending conduct, to</w:t>
      </w:r>
      <w:r w:rsidR="00D46495">
        <w:rPr>
          <w:rFonts w:ascii="Arial" w:hAnsi="Arial" w:cs="Arial"/>
          <w:iCs/>
          <w:sz w:val="24"/>
          <w:szCs w:val="24"/>
        </w:rPr>
        <w:t xml:space="preserve"> transport a person under MACR to a parent, guardian, or other appropriate person or agency, or </w:t>
      </w:r>
      <w:r w:rsidR="001A52F0">
        <w:rPr>
          <w:rFonts w:ascii="Arial" w:hAnsi="Arial" w:cs="Arial"/>
          <w:iCs/>
          <w:sz w:val="24"/>
          <w:szCs w:val="24"/>
        </w:rPr>
        <w:t xml:space="preserve">to </w:t>
      </w:r>
      <w:r w:rsidR="00D46495">
        <w:rPr>
          <w:rFonts w:ascii="Arial" w:hAnsi="Arial" w:cs="Arial"/>
          <w:iCs/>
          <w:sz w:val="24"/>
          <w:szCs w:val="24"/>
        </w:rPr>
        <w:t xml:space="preserve">conduct a search under section 207 of the </w:t>
      </w:r>
      <w:r w:rsidR="00D46495" w:rsidRPr="001A52F0">
        <w:rPr>
          <w:rFonts w:ascii="Arial" w:hAnsi="Arial" w:cs="Arial"/>
          <w:i/>
          <w:sz w:val="24"/>
          <w:szCs w:val="24"/>
        </w:rPr>
        <w:t>Crimes Act</w:t>
      </w:r>
      <w:r w:rsidR="001A52F0" w:rsidRPr="001A52F0">
        <w:rPr>
          <w:rFonts w:ascii="Arial" w:hAnsi="Arial" w:cs="Arial"/>
          <w:i/>
          <w:sz w:val="24"/>
          <w:szCs w:val="24"/>
        </w:rPr>
        <w:t xml:space="preserve"> 1900</w:t>
      </w:r>
      <w:r w:rsidR="00D46495">
        <w:rPr>
          <w:rFonts w:ascii="Arial" w:hAnsi="Arial" w:cs="Arial"/>
          <w:iCs/>
          <w:sz w:val="24"/>
          <w:szCs w:val="24"/>
        </w:rPr>
        <w:t>)</w:t>
      </w:r>
      <w:r w:rsidR="00276F38" w:rsidRPr="007709E8">
        <w:rPr>
          <w:rFonts w:ascii="Arial" w:hAnsi="Arial" w:cs="Arial"/>
          <w:iCs/>
          <w:sz w:val="24"/>
          <w:szCs w:val="24"/>
        </w:rPr>
        <w:t>. Prior to using a power to detain on people under 14</w:t>
      </w:r>
      <w:r>
        <w:rPr>
          <w:rFonts w:ascii="Arial" w:hAnsi="Arial" w:cs="Arial"/>
          <w:iCs/>
          <w:sz w:val="24"/>
          <w:szCs w:val="24"/>
        </w:rPr>
        <w:t xml:space="preserve"> years of age</w:t>
      </w:r>
      <w:r w:rsidR="00276F38" w:rsidRPr="007709E8">
        <w:rPr>
          <w:rFonts w:ascii="Arial" w:hAnsi="Arial" w:cs="Arial"/>
          <w:iCs/>
          <w:sz w:val="24"/>
          <w:szCs w:val="24"/>
        </w:rPr>
        <w:t>, the police officer must believe</w:t>
      </w:r>
      <w:r>
        <w:rPr>
          <w:rFonts w:ascii="Arial" w:hAnsi="Arial" w:cs="Arial"/>
          <w:iCs/>
          <w:sz w:val="24"/>
          <w:szCs w:val="24"/>
        </w:rPr>
        <w:t xml:space="preserve"> (rather than merely suspect)</w:t>
      </w:r>
      <w:r w:rsidR="00276F38" w:rsidRPr="007709E8">
        <w:rPr>
          <w:rFonts w:ascii="Arial" w:hAnsi="Arial" w:cs="Arial"/>
          <w:iCs/>
          <w:sz w:val="24"/>
          <w:szCs w:val="24"/>
        </w:rPr>
        <w:t xml:space="preserve"> on reasonable grounds that</w:t>
      </w:r>
      <w:r w:rsidR="001A52F0">
        <w:rPr>
          <w:rFonts w:ascii="Arial" w:hAnsi="Arial" w:cs="Arial"/>
          <w:iCs/>
          <w:sz w:val="24"/>
          <w:szCs w:val="24"/>
        </w:rPr>
        <w:t xml:space="preserve"> </w:t>
      </w:r>
      <w:r w:rsidR="003C3C68">
        <w:rPr>
          <w:rFonts w:ascii="Arial" w:hAnsi="Arial" w:cs="Arial"/>
          <w:iCs/>
          <w:sz w:val="24"/>
          <w:szCs w:val="24"/>
        </w:rPr>
        <w:t xml:space="preserve">the </w:t>
      </w:r>
      <w:r w:rsidR="001A52F0">
        <w:rPr>
          <w:rFonts w:ascii="Arial" w:hAnsi="Arial" w:cs="Arial"/>
          <w:iCs/>
          <w:sz w:val="24"/>
          <w:szCs w:val="24"/>
        </w:rPr>
        <w:t>seriousness threshold (section 252AC(b)) is met or that the detention is required to ensure the safety of the person (section 252AC(c))</w:t>
      </w:r>
      <w:r w:rsidR="00276F38" w:rsidRPr="007709E8">
        <w:rPr>
          <w:rFonts w:ascii="Arial" w:hAnsi="Arial" w:cs="Arial"/>
          <w:iCs/>
          <w:sz w:val="24"/>
          <w:szCs w:val="24"/>
        </w:rPr>
        <w:t>. This higher threshold makes the power less prone to arbitrary use and shapes the use of the power to its legitimate purpose.</w:t>
      </w:r>
    </w:p>
    <w:p w14:paraId="18214089" w14:textId="7FACF769" w:rsidR="00881338" w:rsidRPr="00AF3C73" w:rsidRDefault="00881338" w:rsidP="00B737AB">
      <w:pPr>
        <w:keepNext/>
        <w:spacing w:before="240"/>
        <w:rPr>
          <w:rFonts w:ascii="Arial" w:hAnsi="Arial" w:cs="Arial"/>
          <w:b/>
          <w:bCs/>
          <w:i/>
          <w:sz w:val="24"/>
          <w:szCs w:val="24"/>
        </w:rPr>
      </w:pPr>
      <w:r>
        <w:rPr>
          <w:rFonts w:ascii="Arial" w:hAnsi="Arial" w:cs="Arial"/>
          <w:b/>
          <w:bCs/>
          <w:i/>
          <w:sz w:val="24"/>
          <w:szCs w:val="24"/>
        </w:rPr>
        <w:t>Transfer of young person under the MACR</w:t>
      </w:r>
      <w:r w:rsidR="00E85C48">
        <w:rPr>
          <w:rFonts w:ascii="Arial" w:hAnsi="Arial" w:cs="Arial"/>
          <w:b/>
          <w:bCs/>
          <w:i/>
          <w:sz w:val="24"/>
          <w:szCs w:val="24"/>
        </w:rPr>
        <w:t xml:space="preserve"> </w:t>
      </w:r>
      <w:r w:rsidR="00E85C48">
        <w:rPr>
          <w:rFonts w:ascii="Arial" w:hAnsi="Arial" w:cs="Arial"/>
          <w:b/>
          <w:i/>
          <w:sz w:val="24"/>
          <w:szCs w:val="24"/>
        </w:rPr>
        <w:t>(clause 11, section 252AE)</w:t>
      </w:r>
    </w:p>
    <w:p w14:paraId="14EEE8CF" w14:textId="613D4CFC" w:rsidR="00881338" w:rsidRPr="00DA1280" w:rsidRDefault="00881338" w:rsidP="00881338">
      <w:pPr>
        <w:keepNext/>
        <w:spacing w:before="240"/>
        <w:rPr>
          <w:rFonts w:ascii="Arial" w:hAnsi="Arial" w:cs="Arial"/>
          <w:bCs/>
          <w:iCs/>
          <w:sz w:val="24"/>
          <w:szCs w:val="24"/>
          <w:u w:val="single"/>
        </w:rPr>
      </w:pPr>
      <w:r w:rsidRPr="00DA1280">
        <w:rPr>
          <w:rFonts w:ascii="Arial" w:hAnsi="Arial" w:cs="Arial"/>
          <w:bCs/>
          <w:i/>
          <w:iCs/>
          <w:sz w:val="24"/>
          <w:szCs w:val="24"/>
          <w:u w:val="single"/>
        </w:rPr>
        <w:t>1. Nature of the limitation (s 28 (2) (c))</w:t>
      </w:r>
    </w:p>
    <w:p w14:paraId="07637023" w14:textId="5F0A43C6" w:rsidR="00881338" w:rsidRDefault="000867C4" w:rsidP="00881338">
      <w:pPr>
        <w:spacing w:before="240"/>
        <w:rPr>
          <w:rFonts w:ascii="Arial" w:hAnsi="Arial" w:cs="Arial"/>
          <w:iCs/>
          <w:sz w:val="24"/>
          <w:szCs w:val="24"/>
        </w:rPr>
      </w:pPr>
      <w:r>
        <w:rPr>
          <w:rFonts w:ascii="Arial" w:hAnsi="Arial" w:cs="Arial"/>
          <w:iCs/>
          <w:sz w:val="24"/>
          <w:szCs w:val="24"/>
        </w:rPr>
        <w:t>The Bill provides that a</w:t>
      </w:r>
      <w:r w:rsidR="00881338" w:rsidRPr="007709E8">
        <w:rPr>
          <w:rFonts w:ascii="Arial" w:hAnsi="Arial" w:cs="Arial"/>
          <w:iCs/>
          <w:sz w:val="24"/>
          <w:szCs w:val="24"/>
        </w:rPr>
        <w:t xml:space="preserve"> police officer may, after </w:t>
      </w:r>
      <w:r w:rsidR="00881338">
        <w:rPr>
          <w:rFonts w:ascii="Arial" w:hAnsi="Arial" w:cs="Arial"/>
          <w:iCs/>
          <w:sz w:val="24"/>
          <w:szCs w:val="24"/>
        </w:rPr>
        <w:t xml:space="preserve">stopping, searching or detaining </w:t>
      </w:r>
      <w:r w:rsidR="00881338" w:rsidRPr="007709E8">
        <w:rPr>
          <w:rFonts w:ascii="Arial" w:hAnsi="Arial" w:cs="Arial"/>
          <w:iCs/>
          <w:sz w:val="24"/>
          <w:szCs w:val="24"/>
        </w:rPr>
        <w:t>the person under 14 years old, take the person to a parent, carer, or other agency responsible for the person’s welfare.</w:t>
      </w:r>
    </w:p>
    <w:p w14:paraId="78BFDB89" w14:textId="6CFD0A45" w:rsidR="007B13E7" w:rsidRDefault="00276F38" w:rsidP="007B13E7">
      <w:pPr>
        <w:spacing w:before="240"/>
        <w:rPr>
          <w:rFonts w:ascii="Arial" w:hAnsi="Arial" w:cs="Arial"/>
          <w:iCs/>
          <w:sz w:val="24"/>
          <w:szCs w:val="24"/>
        </w:rPr>
      </w:pPr>
      <w:r>
        <w:rPr>
          <w:rFonts w:ascii="Arial" w:hAnsi="Arial" w:cs="Arial"/>
          <w:iCs/>
          <w:sz w:val="24"/>
          <w:szCs w:val="24"/>
        </w:rPr>
        <w:t xml:space="preserve">This provision does not create new powers but </w:t>
      </w:r>
      <w:r w:rsidR="007B13E7">
        <w:rPr>
          <w:rFonts w:ascii="Arial" w:hAnsi="Arial" w:cs="Arial"/>
          <w:iCs/>
          <w:sz w:val="24"/>
          <w:szCs w:val="24"/>
        </w:rPr>
        <w:t>codifies the existing power of a police officer to take a young person to a responsible adult, guardian, or appropriate agency.</w:t>
      </w:r>
    </w:p>
    <w:p w14:paraId="67FA980F" w14:textId="268897E3" w:rsidR="007B13E7" w:rsidRDefault="007B13E7" w:rsidP="007B13E7">
      <w:pPr>
        <w:spacing w:before="240"/>
        <w:rPr>
          <w:rFonts w:ascii="Arial" w:hAnsi="Arial" w:cs="Arial"/>
          <w:iCs/>
          <w:sz w:val="24"/>
          <w:szCs w:val="24"/>
        </w:rPr>
      </w:pPr>
      <w:r>
        <w:rPr>
          <w:rFonts w:ascii="Arial" w:hAnsi="Arial" w:cs="Arial"/>
          <w:iCs/>
          <w:sz w:val="24"/>
          <w:szCs w:val="24"/>
        </w:rPr>
        <w:t>The use of this power necessarily divulges information about the activities of the young person to the parent, guardian, or appropriate agency, limiting their right to privacy.</w:t>
      </w:r>
    </w:p>
    <w:p w14:paraId="3649ACE3" w14:textId="4F143D33" w:rsidR="00881338" w:rsidRPr="00881338" w:rsidRDefault="000867C4" w:rsidP="00984A5C">
      <w:pPr>
        <w:spacing w:before="240"/>
        <w:rPr>
          <w:rFonts w:ascii="Arial" w:hAnsi="Arial" w:cs="Arial"/>
          <w:bCs/>
          <w:iCs/>
          <w:sz w:val="24"/>
          <w:szCs w:val="24"/>
          <w:highlight w:val="yellow"/>
        </w:rPr>
      </w:pPr>
      <w:r>
        <w:rPr>
          <w:rFonts w:ascii="Arial" w:hAnsi="Arial" w:cs="Arial"/>
          <w:iCs/>
          <w:sz w:val="24"/>
          <w:szCs w:val="24"/>
        </w:rPr>
        <w:t>In addition,</w:t>
      </w:r>
      <w:r w:rsidR="00276F38">
        <w:rPr>
          <w:rFonts w:ascii="Arial" w:hAnsi="Arial" w:cs="Arial"/>
          <w:iCs/>
          <w:sz w:val="24"/>
          <w:szCs w:val="24"/>
        </w:rPr>
        <w:t xml:space="preserve"> t</w:t>
      </w:r>
      <w:r w:rsidR="00881338">
        <w:rPr>
          <w:rFonts w:ascii="Arial" w:hAnsi="Arial" w:cs="Arial"/>
          <w:iCs/>
          <w:sz w:val="24"/>
          <w:szCs w:val="24"/>
        </w:rPr>
        <w:t>h</w:t>
      </w:r>
      <w:r w:rsidR="00276F38">
        <w:rPr>
          <w:rFonts w:ascii="Arial" w:hAnsi="Arial" w:cs="Arial"/>
          <w:iCs/>
          <w:sz w:val="24"/>
          <w:szCs w:val="24"/>
        </w:rPr>
        <w:t>e compulsory movement of the person</w:t>
      </w:r>
      <w:r w:rsidR="00881338">
        <w:rPr>
          <w:rFonts w:ascii="Arial" w:hAnsi="Arial" w:cs="Arial"/>
          <w:iCs/>
          <w:sz w:val="24"/>
          <w:szCs w:val="24"/>
        </w:rPr>
        <w:t xml:space="preserve"> limits the</w:t>
      </w:r>
      <w:r w:rsidR="00276F38">
        <w:rPr>
          <w:rFonts w:ascii="Arial" w:hAnsi="Arial" w:cs="Arial"/>
          <w:iCs/>
          <w:sz w:val="24"/>
          <w:szCs w:val="24"/>
        </w:rPr>
        <w:t xml:space="preserve">ir </w:t>
      </w:r>
      <w:r w:rsidR="00881338">
        <w:rPr>
          <w:rFonts w:ascii="Arial" w:hAnsi="Arial" w:cs="Arial"/>
          <w:iCs/>
          <w:sz w:val="24"/>
          <w:szCs w:val="24"/>
        </w:rPr>
        <w:t xml:space="preserve">rights to privacy, </w:t>
      </w:r>
      <w:r w:rsidR="00881338" w:rsidRPr="007709E8">
        <w:rPr>
          <w:rFonts w:ascii="Arial" w:hAnsi="Arial" w:cs="Arial"/>
          <w:iCs/>
          <w:sz w:val="24"/>
          <w:szCs w:val="24"/>
        </w:rPr>
        <w:t>freedom of movement</w:t>
      </w:r>
      <w:r w:rsidR="00881338">
        <w:rPr>
          <w:rFonts w:ascii="Arial" w:hAnsi="Arial" w:cs="Arial"/>
          <w:iCs/>
          <w:sz w:val="24"/>
          <w:szCs w:val="24"/>
        </w:rPr>
        <w:t xml:space="preserve">, and </w:t>
      </w:r>
      <w:r w:rsidR="00881338" w:rsidRPr="00881338">
        <w:rPr>
          <w:rFonts w:ascii="Arial" w:hAnsi="Arial" w:cs="Arial"/>
          <w:iCs/>
          <w:sz w:val="24"/>
          <w:szCs w:val="24"/>
        </w:rPr>
        <w:t>liberty and security of the person</w:t>
      </w:r>
      <w:r w:rsidR="00881338">
        <w:rPr>
          <w:rFonts w:ascii="Arial" w:hAnsi="Arial" w:cs="Arial"/>
          <w:iCs/>
          <w:sz w:val="24"/>
          <w:szCs w:val="24"/>
        </w:rPr>
        <w:t xml:space="preserve">. </w:t>
      </w:r>
    </w:p>
    <w:p w14:paraId="5C6D45D6" w14:textId="77777777" w:rsidR="00276F38" w:rsidRPr="00DA1280" w:rsidRDefault="00276F38" w:rsidP="00276F38">
      <w:pPr>
        <w:spacing w:before="240"/>
        <w:rPr>
          <w:rFonts w:ascii="Arial" w:hAnsi="Arial" w:cs="Arial"/>
          <w:bCs/>
          <w:i/>
          <w:iCs/>
          <w:sz w:val="24"/>
          <w:szCs w:val="24"/>
          <w:u w:val="single"/>
        </w:rPr>
      </w:pPr>
      <w:r w:rsidRPr="00DA1280">
        <w:rPr>
          <w:rFonts w:ascii="Arial" w:hAnsi="Arial" w:cs="Arial"/>
          <w:bCs/>
          <w:i/>
          <w:iCs/>
          <w:sz w:val="24"/>
          <w:szCs w:val="24"/>
          <w:u w:val="single"/>
        </w:rPr>
        <w:t>2. Legitimate purpose (s 28 (2) (b))</w:t>
      </w:r>
    </w:p>
    <w:p w14:paraId="56BAA15A" w14:textId="5E15BD95" w:rsidR="00276F38" w:rsidRDefault="00276F38" w:rsidP="00276F38">
      <w:pPr>
        <w:spacing w:before="240"/>
        <w:rPr>
          <w:rFonts w:ascii="Arial" w:hAnsi="Arial" w:cs="Arial"/>
          <w:iCs/>
          <w:sz w:val="24"/>
          <w:szCs w:val="24"/>
        </w:rPr>
      </w:pPr>
      <w:r>
        <w:rPr>
          <w:rFonts w:ascii="Arial" w:hAnsi="Arial" w:cs="Arial"/>
          <w:iCs/>
          <w:sz w:val="24"/>
          <w:szCs w:val="24"/>
        </w:rPr>
        <w:t>Taking a young person to a parent, guardian, or appropriate agency is done with the interests of the safety of the child in mind. This purpose also emerges from other human rights obligations of the State. Section 11 of the HRA (Article 24 of the ICCPR) requires the State to provide measures of protection for children. In General Comment No 24 (CRC/C/GC/24), the UN Committee on the Rights of the Child wrote: ‘</w:t>
      </w:r>
      <w:r w:rsidRPr="002F5BA3">
        <w:rPr>
          <w:rFonts w:ascii="Arial" w:hAnsi="Arial" w:cs="Arial"/>
          <w:iCs/>
          <w:sz w:val="24"/>
          <w:szCs w:val="24"/>
        </w:rPr>
        <w:t xml:space="preserve">Articles 18 and 27 of the </w:t>
      </w:r>
      <w:r>
        <w:rPr>
          <w:rFonts w:ascii="Arial" w:hAnsi="Arial" w:cs="Arial"/>
          <w:iCs/>
          <w:sz w:val="24"/>
          <w:szCs w:val="24"/>
        </w:rPr>
        <w:t>[CROC]</w:t>
      </w:r>
      <w:r w:rsidRPr="002F5BA3">
        <w:rPr>
          <w:rFonts w:ascii="Arial" w:hAnsi="Arial" w:cs="Arial"/>
          <w:iCs/>
          <w:sz w:val="24"/>
          <w:szCs w:val="24"/>
        </w:rPr>
        <w:t xml:space="preserve"> confirm the importance of the responsibility of parents or legal guardians for the upbringing of their children, but at the same time </w:t>
      </w:r>
      <w:r>
        <w:rPr>
          <w:rFonts w:ascii="Arial" w:hAnsi="Arial" w:cs="Arial"/>
          <w:iCs/>
          <w:sz w:val="24"/>
          <w:szCs w:val="24"/>
        </w:rPr>
        <w:t>[CROC]</w:t>
      </w:r>
      <w:r w:rsidRPr="002F5BA3">
        <w:rPr>
          <w:rFonts w:ascii="Arial" w:hAnsi="Arial" w:cs="Arial"/>
          <w:iCs/>
          <w:sz w:val="24"/>
          <w:szCs w:val="24"/>
        </w:rPr>
        <w:t xml:space="preserve"> requires States parties to provide the necessary assistance to parents (or other caregivers), in the performance of their parental responsibilities. The measures of assistance should not only focus on the prevention of negative situations,but should also emphasise the promotion of the social potential of parents.</w:t>
      </w:r>
      <w:r>
        <w:rPr>
          <w:rFonts w:ascii="Arial" w:hAnsi="Arial" w:cs="Arial"/>
          <w:iCs/>
          <w:sz w:val="24"/>
          <w:szCs w:val="24"/>
        </w:rPr>
        <w:t>’</w:t>
      </w:r>
    </w:p>
    <w:p w14:paraId="671D100F" w14:textId="261A3094" w:rsidR="00276F38" w:rsidRDefault="00276F38" w:rsidP="00276F38">
      <w:pPr>
        <w:spacing w:before="240"/>
        <w:rPr>
          <w:rFonts w:ascii="Arial" w:hAnsi="Arial" w:cs="Arial"/>
          <w:b/>
          <w:bCs/>
          <w:i/>
          <w:sz w:val="24"/>
          <w:szCs w:val="24"/>
        </w:rPr>
      </w:pPr>
      <w:r>
        <w:rPr>
          <w:rFonts w:ascii="Arial" w:hAnsi="Arial" w:cs="Arial"/>
          <w:iCs/>
          <w:sz w:val="24"/>
          <w:szCs w:val="24"/>
        </w:rPr>
        <w:lastRenderedPageBreak/>
        <w:t xml:space="preserve">The </w:t>
      </w:r>
      <w:r w:rsidRPr="007709E8">
        <w:rPr>
          <w:rFonts w:ascii="Arial" w:hAnsi="Arial" w:cs="Arial"/>
          <w:iCs/>
          <w:sz w:val="24"/>
          <w:szCs w:val="24"/>
        </w:rPr>
        <w:t xml:space="preserve">powers are also consistent with Article 12(3) of the ICCPR </w:t>
      </w:r>
      <w:r w:rsidR="000867C4">
        <w:rPr>
          <w:rFonts w:ascii="Arial" w:hAnsi="Arial" w:cs="Arial"/>
          <w:iCs/>
          <w:sz w:val="24"/>
          <w:szCs w:val="24"/>
        </w:rPr>
        <w:t xml:space="preserve">(permissible limitations on the right to </w:t>
      </w:r>
      <w:r w:rsidR="00977D26">
        <w:rPr>
          <w:rFonts w:ascii="Arial" w:hAnsi="Arial" w:cs="Arial"/>
          <w:iCs/>
          <w:sz w:val="24"/>
          <w:szCs w:val="24"/>
        </w:rPr>
        <w:t>liberty of movement</w:t>
      </w:r>
      <w:r w:rsidR="000867C4">
        <w:rPr>
          <w:rFonts w:ascii="Arial" w:hAnsi="Arial" w:cs="Arial"/>
          <w:iCs/>
          <w:sz w:val="24"/>
          <w:szCs w:val="24"/>
        </w:rPr>
        <w:t xml:space="preserve">) </w:t>
      </w:r>
      <w:r w:rsidRPr="007709E8">
        <w:rPr>
          <w:rFonts w:ascii="Arial" w:hAnsi="Arial" w:cs="Arial"/>
          <w:iCs/>
          <w:sz w:val="24"/>
          <w:szCs w:val="24"/>
        </w:rPr>
        <w:t>as they are necessary for public order and to protect the rights and freedoms of others.</w:t>
      </w:r>
    </w:p>
    <w:p w14:paraId="60FE102D" w14:textId="77777777" w:rsidR="00276F38" w:rsidRDefault="00276F38" w:rsidP="00276F38">
      <w:pPr>
        <w:spacing w:before="240"/>
        <w:rPr>
          <w:rFonts w:ascii="Arial" w:hAnsi="Arial" w:cs="Arial"/>
          <w:bCs/>
          <w:i/>
          <w:iCs/>
          <w:sz w:val="24"/>
          <w:szCs w:val="24"/>
          <w:u w:val="single"/>
        </w:rPr>
      </w:pPr>
      <w:r w:rsidRPr="00DA1280">
        <w:rPr>
          <w:rFonts w:ascii="Arial" w:hAnsi="Arial" w:cs="Arial"/>
          <w:bCs/>
          <w:i/>
          <w:iCs/>
          <w:sz w:val="24"/>
          <w:szCs w:val="24"/>
          <w:u w:val="single"/>
        </w:rPr>
        <w:t>3. Rational connection between the limitation and the purpose (s 28 (2) (d))</w:t>
      </w:r>
    </w:p>
    <w:p w14:paraId="23C44E67" w14:textId="7513098B" w:rsidR="00230A51" w:rsidRDefault="000867C4" w:rsidP="00276F38">
      <w:pPr>
        <w:spacing w:before="240"/>
        <w:rPr>
          <w:rFonts w:ascii="Arial" w:hAnsi="Arial" w:cs="Arial"/>
          <w:bCs/>
          <w:i/>
          <w:iCs/>
          <w:sz w:val="24"/>
          <w:szCs w:val="24"/>
          <w:u w:val="single"/>
        </w:rPr>
      </w:pPr>
      <w:r>
        <w:rPr>
          <w:rFonts w:ascii="Arial" w:hAnsi="Arial" w:cs="Arial"/>
          <w:iCs/>
          <w:sz w:val="24"/>
          <w:szCs w:val="24"/>
        </w:rPr>
        <w:t>The limitation arises necessarily from the legitimate purpose</w:t>
      </w:r>
      <w:r w:rsidRPr="007709E8">
        <w:rPr>
          <w:rFonts w:ascii="Arial" w:hAnsi="Arial" w:cs="Arial"/>
          <w:iCs/>
          <w:sz w:val="24"/>
          <w:szCs w:val="24"/>
        </w:rPr>
        <w:t>.</w:t>
      </w:r>
      <w:r>
        <w:rPr>
          <w:rFonts w:ascii="Arial" w:hAnsi="Arial" w:cs="Arial"/>
          <w:iCs/>
          <w:sz w:val="24"/>
          <w:szCs w:val="24"/>
        </w:rPr>
        <w:t xml:space="preserve"> It is not possible to transfer a young person without their consent into the care of another responsible person or authority without limiting their rights.</w:t>
      </w:r>
    </w:p>
    <w:p w14:paraId="0DBF6A70" w14:textId="422BC228" w:rsidR="00276F38" w:rsidRPr="00DA1280" w:rsidRDefault="00276F38" w:rsidP="00276F38">
      <w:pPr>
        <w:spacing w:before="240"/>
        <w:rPr>
          <w:rFonts w:ascii="Arial" w:hAnsi="Arial" w:cs="Arial"/>
          <w:bCs/>
          <w:iCs/>
          <w:sz w:val="24"/>
          <w:szCs w:val="24"/>
          <w:u w:val="single"/>
        </w:rPr>
      </w:pPr>
      <w:r w:rsidRPr="00DA1280">
        <w:rPr>
          <w:rFonts w:ascii="Arial" w:hAnsi="Arial" w:cs="Arial"/>
          <w:bCs/>
          <w:i/>
          <w:iCs/>
          <w:sz w:val="24"/>
          <w:szCs w:val="24"/>
          <w:u w:val="single"/>
        </w:rPr>
        <w:t>4. Proportionality (s 28 (2) (e))</w:t>
      </w:r>
    </w:p>
    <w:bookmarkEnd w:id="3"/>
    <w:p w14:paraId="68CA04B0" w14:textId="3C78BD49" w:rsidR="00276F38" w:rsidRDefault="009B5C20" w:rsidP="00BC0772">
      <w:pPr>
        <w:rPr>
          <w:rFonts w:ascii="Arial" w:hAnsi="Arial" w:cs="Arial"/>
          <w:bCs/>
          <w:iCs/>
          <w:sz w:val="24"/>
          <w:szCs w:val="24"/>
        </w:rPr>
      </w:pPr>
      <w:r>
        <w:rPr>
          <w:rFonts w:ascii="Arial" w:hAnsi="Arial" w:cs="Arial"/>
          <w:bCs/>
          <w:iCs/>
          <w:sz w:val="24"/>
          <w:szCs w:val="24"/>
        </w:rPr>
        <w:t xml:space="preserve">This approach is proportionate because it is itself part of the safeguard framework on other powers.  Under section 252I of the </w:t>
      </w:r>
      <w:r>
        <w:rPr>
          <w:rFonts w:ascii="Arial" w:hAnsi="Arial" w:cs="Arial"/>
          <w:bCs/>
          <w:i/>
          <w:sz w:val="24"/>
          <w:szCs w:val="24"/>
        </w:rPr>
        <w:t>Crimes Act 1900</w:t>
      </w:r>
      <w:r>
        <w:rPr>
          <w:rFonts w:ascii="Arial" w:hAnsi="Arial" w:cs="Arial"/>
          <w:bCs/>
          <w:iCs/>
          <w:sz w:val="24"/>
          <w:szCs w:val="24"/>
        </w:rPr>
        <w:t>, police are already required to contact the ‘responsible person’ (parent or someone else who has daily care responsibility or long-term care responsibility for the child or young person)</w:t>
      </w:r>
      <w:r w:rsidR="00953187">
        <w:rPr>
          <w:rFonts w:ascii="Arial" w:hAnsi="Arial" w:cs="Arial"/>
          <w:bCs/>
          <w:iCs/>
          <w:sz w:val="24"/>
          <w:szCs w:val="24"/>
        </w:rPr>
        <w:t xml:space="preserve"> if they </w:t>
      </w:r>
      <w:r w:rsidR="00371C4F">
        <w:rPr>
          <w:rFonts w:ascii="Arial" w:hAnsi="Arial" w:cs="Arial"/>
          <w:bCs/>
          <w:iCs/>
          <w:sz w:val="24"/>
          <w:szCs w:val="24"/>
        </w:rPr>
        <w:t>detain</w:t>
      </w:r>
      <w:r w:rsidR="00953187">
        <w:rPr>
          <w:rFonts w:ascii="Arial" w:hAnsi="Arial" w:cs="Arial"/>
          <w:bCs/>
          <w:iCs/>
          <w:sz w:val="24"/>
          <w:szCs w:val="24"/>
        </w:rPr>
        <w:t xml:space="preserve"> a child or young person</w:t>
      </w:r>
      <w:r>
        <w:rPr>
          <w:rFonts w:ascii="Arial" w:hAnsi="Arial" w:cs="Arial"/>
          <w:bCs/>
          <w:iCs/>
          <w:sz w:val="24"/>
          <w:szCs w:val="24"/>
        </w:rPr>
        <w:t>. The proposed provision works in concert with the existing provision, codifying the existing discretion for the police officer to transport a person under the age of 14 after using a stop, search, or detain power.</w:t>
      </w:r>
    </w:p>
    <w:p w14:paraId="7920B5B1" w14:textId="1F0426B9" w:rsidR="001F4564" w:rsidRDefault="001F4564" w:rsidP="00BC0772">
      <w:pPr>
        <w:rPr>
          <w:rFonts w:ascii="Arial" w:hAnsi="Arial" w:cs="Arial"/>
          <w:bCs/>
          <w:iCs/>
          <w:sz w:val="24"/>
          <w:szCs w:val="24"/>
        </w:rPr>
      </w:pPr>
      <w:r>
        <w:rPr>
          <w:rFonts w:ascii="Arial" w:hAnsi="Arial" w:cs="Arial"/>
          <w:bCs/>
          <w:iCs/>
          <w:sz w:val="24"/>
          <w:szCs w:val="24"/>
        </w:rPr>
        <w:t xml:space="preserve">Providing it as a discretionary power means that a police officer is not required to remain in contact with a person under 14 years old for more than is necessary or appropriate. </w:t>
      </w:r>
    </w:p>
    <w:p w14:paraId="3CDDA0DE" w14:textId="51B939EB" w:rsidR="001F4564" w:rsidRPr="009B5C20" w:rsidRDefault="001F4564" w:rsidP="00BC0772">
      <w:pPr>
        <w:rPr>
          <w:iCs/>
        </w:rPr>
      </w:pPr>
      <w:r>
        <w:rPr>
          <w:rFonts w:ascii="Arial" w:hAnsi="Arial" w:cs="Arial"/>
          <w:bCs/>
          <w:iCs/>
          <w:sz w:val="24"/>
          <w:szCs w:val="24"/>
        </w:rPr>
        <w:t xml:space="preserve">Where the transport power is used and it is considered neither practicable nor appropriate to take the person to a parent or somebody who has daily care responsibility or long-term care responsibility of the child, the police officer may take the person to another appropriate person or agency.  </w:t>
      </w:r>
      <w:r w:rsidR="001A52F0">
        <w:rPr>
          <w:rFonts w:ascii="Arial" w:hAnsi="Arial" w:cs="Arial"/>
          <w:bCs/>
          <w:iCs/>
          <w:sz w:val="24"/>
          <w:szCs w:val="24"/>
        </w:rPr>
        <w:t>If this occurs, the police officer must notify</w:t>
      </w:r>
      <w:r>
        <w:rPr>
          <w:rFonts w:ascii="Arial" w:hAnsi="Arial" w:cs="Arial"/>
          <w:bCs/>
          <w:iCs/>
          <w:sz w:val="24"/>
          <w:szCs w:val="24"/>
        </w:rPr>
        <w:t xml:space="preserve"> either the Aboriginal and Torres Strait Islander Children and Young Person Commissioner (if the person is known to be an Aboriginal or Torres Strait Islander person), or (in all other cases) the </w:t>
      </w:r>
      <w:r w:rsidR="001A52F0">
        <w:rPr>
          <w:rFonts w:ascii="Arial" w:hAnsi="Arial" w:cs="Arial"/>
          <w:bCs/>
          <w:iCs/>
          <w:sz w:val="24"/>
          <w:szCs w:val="24"/>
        </w:rPr>
        <w:t>Public Advocate</w:t>
      </w:r>
      <w:r>
        <w:rPr>
          <w:rFonts w:ascii="Arial" w:hAnsi="Arial" w:cs="Arial"/>
          <w:bCs/>
          <w:iCs/>
          <w:sz w:val="24"/>
          <w:szCs w:val="24"/>
        </w:rPr>
        <w:t xml:space="preserve">.  </w:t>
      </w:r>
      <w:r w:rsidR="001A52F0">
        <w:rPr>
          <w:rFonts w:ascii="Arial" w:hAnsi="Arial" w:cs="Arial"/>
          <w:bCs/>
          <w:iCs/>
          <w:sz w:val="24"/>
          <w:szCs w:val="24"/>
        </w:rPr>
        <w:t xml:space="preserve">This notification system is designed to provide for greater oversight of </w:t>
      </w:r>
      <w:r w:rsidR="00605658" w:rsidRPr="00296884">
        <w:rPr>
          <w:rFonts w:ascii="Arial" w:hAnsi="Arial" w:cs="Arial"/>
          <w:bCs/>
          <w:iCs/>
          <w:sz w:val="24"/>
          <w:szCs w:val="24"/>
        </w:rPr>
        <w:t xml:space="preserve">the exercise </w:t>
      </w:r>
      <w:r w:rsidR="00296884">
        <w:rPr>
          <w:rFonts w:ascii="Arial" w:hAnsi="Arial" w:cs="Arial"/>
          <w:bCs/>
          <w:iCs/>
          <w:sz w:val="24"/>
          <w:szCs w:val="24"/>
        </w:rPr>
        <w:t xml:space="preserve">of </w:t>
      </w:r>
      <w:r w:rsidR="001A52F0" w:rsidRPr="00296884">
        <w:rPr>
          <w:rFonts w:ascii="Arial" w:hAnsi="Arial" w:cs="Arial"/>
          <w:bCs/>
          <w:iCs/>
          <w:sz w:val="24"/>
          <w:szCs w:val="24"/>
        </w:rPr>
        <w:t>this power</w:t>
      </w:r>
      <w:r w:rsidR="001A52F0">
        <w:rPr>
          <w:rFonts w:ascii="Arial" w:hAnsi="Arial" w:cs="Arial"/>
          <w:bCs/>
          <w:iCs/>
          <w:sz w:val="24"/>
          <w:szCs w:val="24"/>
        </w:rPr>
        <w:t xml:space="preserve"> and to ensure additional supports can be provided if needed.</w:t>
      </w:r>
    </w:p>
    <w:p w14:paraId="6E6A93CE" w14:textId="034F5960" w:rsidR="00B75D95" w:rsidRPr="00BC0772" w:rsidRDefault="00B75D95" w:rsidP="007709E8">
      <w:pPr>
        <w:spacing w:before="240"/>
        <w:rPr>
          <w:rFonts w:ascii="Arial" w:hAnsi="Arial" w:cs="Arial"/>
          <w:b/>
          <w:bCs/>
          <w:i/>
          <w:sz w:val="24"/>
          <w:szCs w:val="24"/>
        </w:rPr>
      </w:pPr>
      <w:r w:rsidRPr="00BC0772">
        <w:rPr>
          <w:rFonts w:ascii="Arial" w:hAnsi="Arial" w:cs="Arial"/>
          <w:b/>
          <w:bCs/>
          <w:i/>
          <w:sz w:val="24"/>
          <w:szCs w:val="24"/>
        </w:rPr>
        <w:t>Spent convictions amendments</w:t>
      </w:r>
      <w:r w:rsidR="00276F38">
        <w:rPr>
          <w:rFonts w:ascii="Arial" w:hAnsi="Arial" w:cs="Arial"/>
          <w:b/>
          <w:bCs/>
          <w:i/>
          <w:sz w:val="24"/>
          <w:szCs w:val="24"/>
        </w:rPr>
        <w:t xml:space="preserve"> – right to work (section 27B, HRA)</w:t>
      </w:r>
    </w:p>
    <w:p w14:paraId="3A77B3AB" w14:textId="77777777" w:rsidR="000867C4" w:rsidRDefault="00B75D95" w:rsidP="007709E8">
      <w:pPr>
        <w:spacing w:before="240"/>
        <w:rPr>
          <w:rFonts w:ascii="Arial" w:hAnsi="Arial" w:cs="Arial"/>
          <w:iCs/>
          <w:sz w:val="24"/>
          <w:szCs w:val="24"/>
        </w:rPr>
      </w:pPr>
      <w:r>
        <w:rPr>
          <w:rFonts w:ascii="Arial" w:hAnsi="Arial" w:cs="Arial"/>
          <w:iCs/>
          <w:sz w:val="24"/>
          <w:szCs w:val="24"/>
        </w:rPr>
        <w:t xml:space="preserve">The amendment to section 19H(4) of the </w:t>
      </w:r>
      <w:r w:rsidRPr="00BC0772">
        <w:rPr>
          <w:rFonts w:ascii="Arial" w:hAnsi="Arial" w:cs="Arial"/>
          <w:i/>
          <w:sz w:val="24"/>
          <w:szCs w:val="24"/>
        </w:rPr>
        <w:t>Spent Convictions Act 2000</w:t>
      </w:r>
      <w:r>
        <w:rPr>
          <w:rFonts w:ascii="Arial" w:hAnsi="Arial" w:cs="Arial"/>
          <w:i/>
          <w:sz w:val="24"/>
          <w:szCs w:val="24"/>
        </w:rPr>
        <w:t xml:space="preserve"> </w:t>
      </w:r>
      <w:r>
        <w:rPr>
          <w:rFonts w:ascii="Arial" w:hAnsi="Arial" w:cs="Arial"/>
          <w:iCs/>
          <w:sz w:val="24"/>
          <w:szCs w:val="24"/>
        </w:rPr>
        <w:t xml:space="preserve">provides that a person will be required to disclose an extinguished conviction for the purposes of an application to a scheme in another jurisdiction that is equivalent to the </w:t>
      </w:r>
      <w:r w:rsidRPr="00BC0772">
        <w:rPr>
          <w:rFonts w:ascii="Arial" w:hAnsi="Arial" w:cs="Arial"/>
          <w:i/>
          <w:sz w:val="24"/>
          <w:szCs w:val="24"/>
        </w:rPr>
        <w:t>Working With Vulnerable People (Background Checking) Act 2011</w:t>
      </w:r>
      <w:r>
        <w:rPr>
          <w:rFonts w:ascii="Arial" w:hAnsi="Arial" w:cs="Arial"/>
          <w:iCs/>
          <w:sz w:val="24"/>
          <w:szCs w:val="24"/>
        </w:rPr>
        <w:t xml:space="preserve">. </w:t>
      </w:r>
    </w:p>
    <w:p w14:paraId="3548882D" w14:textId="1ABF5DA1" w:rsidR="00B75D95" w:rsidRDefault="00B75D95" w:rsidP="007709E8">
      <w:pPr>
        <w:spacing w:before="240"/>
        <w:rPr>
          <w:rFonts w:ascii="Arial" w:hAnsi="Arial" w:cs="Arial"/>
          <w:iCs/>
          <w:sz w:val="24"/>
          <w:szCs w:val="24"/>
        </w:rPr>
      </w:pPr>
      <w:r>
        <w:rPr>
          <w:rFonts w:ascii="Arial" w:hAnsi="Arial" w:cs="Arial"/>
          <w:iCs/>
          <w:sz w:val="24"/>
          <w:szCs w:val="24"/>
        </w:rPr>
        <w:t>This may limit the right to work as this may affect the person’s ability to volunteer or work in another jurisdiction. This limitation serves the legitimate purpose of protecting vulnerable people and is rationally connected to that purpose as the conviction may be relevant to their</w:t>
      </w:r>
      <w:r w:rsidR="00B44A98">
        <w:rPr>
          <w:rFonts w:ascii="Arial" w:hAnsi="Arial" w:cs="Arial"/>
          <w:iCs/>
          <w:sz w:val="24"/>
          <w:szCs w:val="24"/>
        </w:rPr>
        <w:t xml:space="preserve"> employment</w:t>
      </w:r>
      <w:r>
        <w:rPr>
          <w:rFonts w:ascii="Arial" w:hAnsi="Arial" w:cs="Arial"/>
          <w:iCs/>
          <w:sz w:val="24"/>
          <w:szCs w:val="24"/>
        </w:rPr>
        <w:t xml:space="preserve">. The limitation is proportionate as the relevant legislation will contain </w:t>
      </w:r>
      <w:r w:rsidR="00B44A98">
        <w:rPr>
          <w:rFonts w:ascii="Arial" w:hAnsi="Arial" w:cs="Arial"/>
          <w:iCs/>
          <w:sz w:val="24"/>
          <w:szCs w:val="24"/>
        </w:rPr>
        <w:t xml:space="preserve">basic principles of procedural fairness such as </w:t>
      </w:r>
      <w:r>
        <w:rPr>
          <w:rFonts w:ascii="Arial" w:hAnsi="Arial" w:cs="Arial"/>
          <w:iCs/>
          <w:sz w:val="24"/>
          <w:szCs w:val="24"/>
        </w:rPr>
        <w:lastRenderedPageBreak/>
        <w:t xml:space="preserve">safeguards for the review of decisions and the opportunity to be heard in relation to the application. </w:t>
      </w:r>
    </w:p>
    <w:p w14:paraId="6ADE5517" w14:textId="0AA4A64E" w:rsidR="00B44A98" w:rsidRDefault="00B44A98">
      <w:pPr>
        <w:spacing w:after="160" w:line="259" w:lineRule="auto"/>
        <w:rPr>
          <w:rFonts w:ascii="Arial" w:hAnsi="Arial" w:cs="Arial"/>
          <w:iCs/>
          <w:sz w:val="24"/>
          <w:szCs w:val="24"/>
        </w:rPr>
      </w:pPr>
      <w:r>
        <w:rPr>
          <w:rFonts w:ascii="Arial" w:hAnsi="Arial" w:cs="Arial"/>
          <w:iCs/>
          <w:sz w:val="24"/>
          <w:szCs w:val="24"/>
        </w:rPr>
        <w:br w:type="page"/>
      </w:r>
    </w:p>
    <w:p w14:paraId="698CAAFE" w14:textId="77777777" w:rsidR="00B44A98" w:rsidRPr="00B75D95" w:rsidRDefault="00B44A98" w:rsidP="007709E8">
      <w:pPr>
        <w:spacing w:before="240"/>
        <w:rPr>
          <w:rFonts w:ascii="Arial" w:hAnsi="Arial" w:cs="Arial"/>
          <w:iCs/>
          <w:sz w:val="24"/>
          <w:szCs w:val="24"/>
        </w:rPr>
      </w:pPr>
    </w:p>
    <w:p w14:paraId="00876F20" w14:textId="77777777" w:rsidR="00E90DF9" w:rsidRDefault="00E90DF9" w:rsidP="00E90DF9">
      <w:pPr>
        <w:pStyle w:val="Heading2"/>
        <w:ind w:left="-108"/>
        <w:jc w:val="center"/>
        <w:rPr>
          <w:rFonts w:asciiTheme="minorHAnsi" w:hAnsiTheme="minorHAnsi" w:cs="Arial"/>
          <w:b w:val="0"/>
          <w:sz w:val="28"/>
          <w:szCs w:val="28"/>
          <w:lang w:eastAsia="en-AU"/>
        </w:rPr>
      </w:pPr>
    </w:p>
    <w:p w14:paraId="66BEC609" w14:textId="637AB408" w:rsidR="00E90DF9" w:rsidRPr="00943C7F" w:rsidRDefault="00B6673D" w:rsidP="00E90DF9">
      <w:pPr>
        <w:pStyle w:val="Heading2"/>
        <w:ind w:left="-108"/>
        <w:jc w:val="center"/>
        <w:rPr>
          <w:rFonts w:asciiTheme="minorHAnsi" w:hAnsiTheme="minorHAnsi" w:cs="Arial"/>
          <w:b w:val="0"/>
          <w:bCs/>
          <w:i/>
          <w:iCs/>
          <w:sz w:val="28"/>
          <w:szCs w:val="28"/>
        </w:rPr>
      </w:pPr>
      <w:r>
        <w:rPr>
          <w:rFonts w:asciiTheme="minorHAnsi" w:hAnsiTheme="minorHAnsi" w:cs="Arial"/>
          <w:b w:val="0"/>
          <w:sz w:val="28"/>
          <w:szCs w:val="28"/>
          <w:lang w:eastAsia="en-AU"/>
        </w:rPr>
        <w:t>CRIMES LEGISLATION AMENDMENT BILL 2025</w:t>
      </w:r>
    </w:p>
    <w:bookmarkEnd w:id="2"/>
    <w:p w14:paraId="3FC035F1" w14:textId="77777777" w:rsidR="00E90DF9" w:rsidRPr="003E5EE6" w:rsidRDefault="00E90DF9" w:rsidP="00E90DF9">
      <w:pPr>
        <w:pStyle w:val="Heading4"/>
        <w:ind w:left="-108"/>
        <w:jc w:val="center"/>
        <w:rPr>
          <w:rFonts w:asciiTheme="minorHAnsi" w:hAnsiTheme="minorHAnsi"/>
          <w:sz w:val="24"/>
          <w:szCs w:val="24"/>
        </w:rPr>
      </w:pPr>
      <w:r w:rsidRPr="003E5EE6">
        <w:rPr>
          <w:rFonts w:asciiTheme="minorHAnsi" w:hAnsiTheme="minorHAnsi"/>
          <w:sz w:val="24"/>
          <w:szCs w:val="24"/>
        </w:rPr>
        <w:t>Human Rights Act 2004 - Compatibility Statement</w:t>
      </w:r>
    </w:p>
    <w:p w14:paraId="4BE2285B" w14:textId="77777777" w:rsidR="00E90DF9" w:rsidRDefault="00E90DF9" w:rsidP="00E90DF9"/>
    <w:p w14:paraId="3E3301AD" w14:textId="77777777" w:rsidR="00E90DF9" w:rsidRPr="00D77995" w:rsidRDefault="00E90DF9" w:rsidP="00E90DF9"/>
    <w:p w14:paraId="45D422CA" w14:textId="2458951E" w:rsidR="00E90DF9" w:rsidRDefault="00E90DF9" w:rsidP="00E90DF9">
      <w:r w:rsidRPr="00521950">
        <w:rPr>
          <w:rFonts w:asciiTheme="minorHAnsi" w:hAnsiTheme="minorHAnsi"/>
        </w:rPr>
        <w:t xml:space="preserve">In accordance with section 37 of the </w:t>
      </w:r>
      <w:r w:rsidRPr="00521950">
        <w:rPr>
          <w:rFonts w:asciiTheme="minorHAnsi" w:hAnsiTheme="minorHAnsi"/>
          <w:i/>
          <w:iCs/>
        </w:rPr>
        <w:t>Human Rights Act 2004</w:t>
      </w:r>
      <w:r w:rsidRPr="00521950">
        <w:rPr>
          <w:rFonts w:asciiTheme="minorHAnsi" w:hAnsiTheme="minorHAnsi"/>
        </w:rPr>
        <w:t xml:space="preserve"> I have examined the</w:t>
      </w:r>
      <w:r>
        <w:rPr>
          <w:rFonts w:asciiTheme="minorHAnsi" w:hAnsiTheme="minorHAnsi"/>
          <w:b/>
        </w:rPr>
        <w:t xml:space="preserve"> </w:t>
      </w:r>
      <w:r w:rsidR="00B6673D">
        <w:rPr>
          <w:rFonts w:asciiTheme="minorHAnsi" w:hAnsiTheme="minorHAnsi"/>
          <w:b/>
        </w:rPr>
        <w:t>CRIMES LEGISLATION AMENDMENT BILL 2025</w:t>
      </w:r>
      <w:r w:rsidRPr="00521950">
        <w:rPr>
          <w:rFonts w:asciiTheme="minorHAnsi" w:hAnsiTheme="minorHAnsi"/>
        </w:rPr>
        <w:t>.  In my opinion,</w:t>
      </w:r>
      <w:r>
        <w:rPr>
          <w:rFonts w:asciiTheme="minorHAnsi" w:hAnsiTheme="minorHAnsi"/>
        </w:rPr>
        <w:t xml:space="preserve"> having regard to the Bill and the outline of the policy considerations and justification of any limitations on rights outlined in this explanatory statement, </w:t>
      </w:r>
      <w:r w:rsidRPr="00521950">
        <w:rPr>
          <w:rFonts w:asciiTheme="minorHAnsi" w:hAnsiTheme="minorHAnsi"/>
        </w:rPr>
        <w:t>the Bill</w:t>
      </w:r>
      <w:r w:rsidRPr="005162FA">
        <w:rPr>
          <w:rFonts w:asciiTheme="minorHAnsi" w:hAnsiTheme="minorHAnsi"/>
        </w:rPr>
        <w:t xml:space="preserve"> </w:t>
      </w:r>
      <w:r w:rsidRPr="00521950">
        <w:rPr>
          <w:rFonts w:asciiTheme="minorHAnsi" w:hAnsiTheme="minorHAnsi"/>
        </w:rPr>
        <w:t xml:space="preserve">as presented </w:t>
      </w:r>
      <w:r>
        <w:rPr>
          <w:rFonts w:asciiTheme="minorHAnsi" w:hAnsiTheme="minorHAnsi"/>
        </w:rPr>
        <w:t>to the Legislative Assembly</w:t>
      </w:r>
      <w:r w:rsidR="00B6673D">
        <w:rPr>
          <w:rFonts w:asciiTheme="minorHAnsi" w:hAnsiTheme="minorHAnsi"/>
        </w:rPr>
        <w:t xml:space="preserve"> </w:t>
      </w:r>
      <w:r w:rsidR="00B6673D" w:rsidRPr="00B6673D">
        <w:rPr>
          <w:rFonts w:asciiTheme="minorHAnsi" w:hAnsiTheme="minorHAnsi"/>
          <w:b/>
          <w:bCs/>
        </w:rPr>
        <w:t>is</w:t>
      </w:r>
      <w:r>
        <w:rPr>
          <w:rFonts w:asciiTheme="minorHAnsi" w:hAnsiTheme="minorHAnsi"/>
        </w:rPr>
        <w:t xml:space="preserve"> </w:t>
      </w:r>
      <w:r w:rsidRPr="00521950">
        <w:rPr>
          <w:rFonts w:asciiTheme="minorHAnsi" w:hAnsiTheme="minorHAnsi"/>
        </w:rPr>
        <w:t xml:space="preserve">consistent with the </w:t>
      </w:r>
      <w:r w:rsidRPr="00521950">
        <w:rPr>
          <w:rFonts w:asciiTheme="minorHAnsi" w:hAnsiTheme="minorHAnsi"/>
          <w:i/>
          <w:iCs/>
        </w:rPr>
        <w:t>Human Rights Act 2004</w:t>
      </w:r>
      <w:r>
        <w:rPr>
          <w:rFonts w:asciiTheme="minorHAnsi" w:hAnsiTheme="minorHAnsi"/>
          <w:i/>
          <w:iCs/>
        </w:rPr>
        <w:t>.</w:t>
      </w:r>
    </w:p>
    <w:p w14:paraId="76476A29" w14:textId="77777777" w:rsidR="00E90DF9" w:rsidRDefault="00E90DF9" w:rsidP="00E90DF9">
      <w:pPr>
        <w:rPr>
          <w:rFonts w:asciiTheme="minorHAnsi" w:hAnsiTheme="minorHAnsi" w:cstheme="minorHAnsi"/>
        </w:rPr>
      </w:pPr>
    </w:p>
    <w:p w14:paraId="2CC08B60" w14:textId="77777777" w:rsidR="00E90DF9" w:rsidRDefault="00E90DF9" w:rsidP="00E90DF9">
      <w:pPr>
        <w:rPr>
          <w:rFonts w:asciiTheme="minorHAnsi" w:hAnsiTheme="minorHAnsi" w:cstheme="minorHAnsi"/>
        </w:rPr>
      </w:pPr>
    </w:p>
    <w:p w14:paraId="71AFABAD" w14:textId="77777777" w:rsidR="00E90DF9" w:rsidRDefault="00E90DF9" w:rsidP="00E90DF9">
      <w:pPr>
        <w:rPr>
          <w:rFonts w:asciiTheme="minorHAnsi" w:hAnsiTheme="minorHAnsi" w:cstheme="minorHAnsi"/>
        </w:rPr>
      </w:pPr>
      <w:r>
        <w:rPr>
          <w:rFonts w:asciiTheme="minorHAnsi" w:hAnsiTheme="minorHAnsi" w:cstheme="minorHAnsi"/>
        </w:rPr>
        <w:t>………………………………………………….</w:t>
      </w:r>
    </w:p>
    <w:p w14:paraId="7B5A08D3" w14:textId="3B96021E" w:rsidR="00E90DF9" w:rsidRDefault="00376695" w:rsidP="00E90DF9">
      <w:pPr>
        <w:rPr>
          <w:rFonts w:asciiTheme="minorHAnsi" w:hAnsiTheme="minorHAnsi" w:cstheme="minorHAnsi"/>
        </w:rPr>
      </w:pPr>
      <w:r>
        <w:rPr>
          <w:rFonts w:asciiTheme="minorHAnsi" w:hAnsiTheme="minorHAnsi" w:cstheme="minorHAnsi"/>
        </w:rPr>
        <w:t>Tara Cheyne</w:t>
      </w:r>
      <w:r w:rsidR="00E90DF9">
        <w:rPr>
          <w:rFonts w:asciiTheme="minorHAnsi" w:hAnsiTheme="minorHAnsi" w:cstheme="minorHAnsi"/>
        </w:rPr>
        <w:t xml:space="preserve"> MLA</w:t>
      </w:r>
      <w:r w:rsidR="00E90DF9">
        <w:rPr>
          <w:rFonts w:asciiTheme="minorHAnsi" w:hAnsiTheme="minorHAnsi" w:cstheme="minorHAnsi"/>
        </w:rPr>
        <w:br/>
        <w:t>Attorney-General</w:t>
      </w:r>
    </w:p>
    <w:p w14:paraId="481185F5" w14:textId="77777777" w:rsidR="00E90DF9" w:rsidRPr="006D52AC" w:rsidRDefault="00E90DF9" w:rsidP="00E90DF9">
      <w:pPr>
        <w:spacing w:before="200"/>
        <w:rPr>
          <w:rFonts w:ascii="Arial" w:hAnsi="Arial" w:cs="Arial"/>
          <w:sz w:val="24"/>
          <w:szCs w:val="24"/>
        </w:rPr>
      </w:pPr>
    </w:p>
    <w:p w14:paraId="675B90DB" w14:textId="77777777" w:rsidR="00BC0772" w:rsidRDefault="00BC0772" w:rsidP="00BC0772">
      <w:pPr>
        <w:pStyle w:val="Heading2"/>
        <w:pageBreakBefore/>
        <w:spacing w:before="240" w:after="240"/>
      </w:pPr>
      <w:r w:rsidRPr="008C225D">
        <w:lastRenderedPageBreak/>
        <w:t>CLAUSE NOTES</w:t>
      </w:r>
    </w:p>
    <w:p w14:paraId="3ED11EFD" w14:textId="77777777" w:rsidR="00BC0772" w:rsidRPr="00E76504" w:rsidRDefault="00BC0772" w:rsidP="00BC0772"/>
    <w:p w14:paraId="779EAC4B" w14:textId="77777777" w:rsidR="00BC0772" w:rsidRDefault="00BC0772" w:rsidP="00BC0772">
      <w:pPr>
        <w:pStyle w:val="Heading3"/>
      </w:pPr>
      <w:r>
        <w:t>Preliminary</w:t>
      </w:r>
    </w:p>
    <w:p w14:paraId="1D44B807" w14:textId="77777777" w:rsidR="00BC0772" w:rsidRDefault="00BC0772" w:rsidP="00BC0772">
      <w:pPr>
        <w:pStyle w:val="Heading3"/>
      </w:pPr>
      <w:r w:rsidRPr="00ED3B77">
        <w:t>Clause 1</w:t>
      </w:r>
      <w:r w:rsidRPr="00ED3B77">
        <w:tab/>
        <w:t>Name of Act</w:t>
      </w:r>
    </w:p>
    <w:p w14:paraId="7054A4E7" w14:textId="77777777" w:rsidR="00BC0772" w:rsidRPr="008C41A1" w:rsidRDefault="00BC0772" w:rsidP="00BC0772">
      <w:pPr>
        <w:spacing w:before="240"/>
        <w:rPr>
          <w:rFonts w:ascii="Arial" w:hAnsi="Arial" w:cs="Arial"/>
          <w:iCs/>
          <w:sz w:val="24"/>
          <w:szCs w:val="24"/>
        </w:rPr>
      </w:pPr>
      <w:r w:rsidRPr="008C41A1">
        <w:rPr>
          <w:rFonts w:ascii="Arial" w:hAnsi="Arial" w:cs="Arial"/>
          <w:iCs/>
          <w:sz w:val="24"/>
          <w:szCs w:val="24"/>
        </w:rPr>
        <w:t xml:space="preserve">This clause </w:t>
      </w:r>
      <w:r>
        <w:rPr>
          <w:rFonts w:ascii="Arial" w:hAnsi="Arial" w:cs="Arial"/>
          <w:iCs/>
          <w:sz w:val="24"/>
          <w:szCs w:val="24"/>
        </w:rPr>
        <w:t xml:space="preserve">provides that the name of this Act is the </w:t>
      </w:r>
      <w:r>
        <w:rPr>
          <w:rFonts w:ascii="Arial" w:hAnsi="Arial" w:cs="Arial"/>
          <w:i/>
          <w:sz w:val="24"/>
          <w:szCs w:val="24"/>
        </w:rPr>
        <w:t>Crimes Legislation Amendment Act 2025</w:t>
      </w:r>
      <w:r>
        <w:rPr>
          <w:rFonts w:ascii="Arial" w:hAnsi="Arial" w:cs="Arial"/>
          <w:iCs/>
          <w:sz w:val="24"/>
          <w:szCs w:val="24"/>
        </w:rPr>
        <w:t>.</w:t>
      </w:r>
    </w:p>
    <w:p w14:paraId="7A47333E" w14:textId="77777777" w:rsidR="00BC0772" w:rsidRDefault="00BC0772" w:rsidP="00BC0772">
      <w:pPr>
        <w:pStyle w:val="Heading3"/>
      </w:pPr>
      <w:r w:rsidRPr="00ED3B77">
        <w:t>Clause 2</w:t>
      </w:r>
      <w:r w:rsidRPr="00ED3B77">
        <w:tab/>
        <w:t>Commencement</w:t>
      </w:r>
    </w:p>
    <w:p w14:paraId="1885BF25" w14:textId="77777777" w:rsidR="00BC0772" w:rsidRPr="008C41A1" w:rsidRDefault="00BC0772" w:rsidP="00BC0772">
      <w:pPr>
        <w:spacing w:before="240"/>
        <w:rPr>
          <w:rFonts w:ascii="Arial" w:hAnsi="Arial" w:cs="Arial"/>
          <w:iCs/>
          <w:sz w:val="24"/>
          <w:szCs w:val="24"/>
        </w:rPr>
      </w:pPr>
      <w:r w:rsidRPr="008C41A1">
        <w:rPr>
          <w:rFonts w:ascii="Arial" w:hAnsi="Arial" w:cs="Arial"/>
          <w:iCs/>
          <w:sz w:val="24"/>
          <w:szCs w:val="24"/>
        </w:rPr>
        <w:t xml:space="preserve">This clause </w:t>
      </w:r>
      <w:r>
        <w:rPr>
          <w:rFonts w:ascii="Arial" w:hAnsi="Arial" w:cs="Arial"/>
          <w:iCs/>
          <w:sz w:val="24"/>
          <w:szCs w:val="24"/>
        </w:rPr>
        <w:t xml:space="preserve">provides for the commencement of the Act. This clause makes the commencement of this Act contingent upon the commencement of section 127 of the </w:t>
      </w:r>
      <w:r>
        <w:rPr>
          <w:rFonts w:ascii="Arial" w:hAnsi="Arial" w:cs="Arial"/>
          <w:i/>
          <w:sz w:val="24"/>
          <w:szCs w:val="24"/>
        </w:rPr>
        <w:t>Justice (Age of Criminal Responsibility) Legislation Amendment Act 2023</w:t>
      </w:r>
      <w:r>
        <w:rPr>
          <w:rFonts w:ascii="Arial" w:hAnsi="Arial" w:cs="Arial"/>
          <w:iCs/>
          <w:sz w:val="24"/>
          <w:szCs w:val="24"/>
        </w:rPr>
        <w:t xml:space="preserve">. The </w:t>
      </w:r>
      <w:r>
        <w:rPr>
          <w:rFonts w:ascii="Arial" w:hAnsi="Arial" w:cs="Arial"/>
          <w:i/>
          <w:sz w:val="24"/>
          <w:szCs w:val="24"/>
        </w:rPr>
        <w:t xml:space="preserve">Justice (Age of Criminal Responsibility) Legislation Amendment Act 2023 </w:t>
      </w:r>
      <w:r>
        <w:rPr>
          <w:rFonts w:ascii="Arial" w:hAnsi="Arial" w:cs="Arial"/>
          <w:iCs/>
          <w:sz w:val="24"/>
          <w:szCs w:val="24"/>
        </w:rPr>
        <w:t xml:space="preserve">was the primary legislative vehicle for raising the minimum age of criminal responsibility. The amendments of this Act are subsequent to the amendments of the </w:t>
      </w:r>
      <w:r>
        <w:rPr>
          <w:rFonts w:ascii="Arial" w:hAnsi="Arial" w:cs="Arial"/>
          <w:i/>
          <w:sz w:val="24"/>
          <w:szCs w:val="24"/>
        </w:rPr>
        <w:t>Justice (Age of Criminal Responsibility) Legislation Amendment Act 2023</w:t>
      </w:r>
      <w:r>
        <w:rPr>
          <w:rFonts w:ascii="Arial" w:hAnsi="Arial" w:cs="Arial"/>
          <w:iCs/>
          <w:sz w:val="24"/>
          <w:szCs w:val="24"/>
        </w:rPr>
        <w:t>. It is anticipated that this Act will commence on 1 July 2025.</w:t>
      </w:r>
    </w:p>
    <w:p w14:paraId="5E02BE63" w14:textId="77777777" w:rsidR="00BC0772" w:rsidRPr="00ED3B77" w:rsidRDefault="00BC0772" w:rsidP="00BC0772">
      <w:pPr>
        <w:pStyle w:val="Heading3"/>
        <w:rPr>
          <w:b w:val="0"/>
        </w:rPr>
      </w:pPr>
      <w:r w:rsidRPr="00ED3B77">
        <w:t>Clause 3</w:t>
      </w:r>
      <w:r w:rsidRPr="00ED3B77">
        <w:tab/>
        <w:t>Legislation amended</w:t>
      </w:r>
    </w:p>
    <w:p w14:paraId="2A4ED4E7" w14:textId="77777777" w:rsidR="00BC0772" w:rsidRDefault="00BC0772" w:rsidP="00BC0772">
      <w:pPr>
        <w:rPr>
          <w:rFonts w:ascii="Arial" w:hAnsi="Arial" w:cs="Arial"/>
          <w:sz w:val="24"/>
          <w:szCs w:val="24"/>
        </w:rPr>
      </w:pPr>
      <w:r>
        <w:rPr>
          <w:rFonts w:ascii="Arial" w:hAnsi="Arial" w:cs="Arial"/>
          <w:sz w:val="24"/>
          <w:szCs w:val="24"/>
        </w:rPr>
        <w:t>This clause identifies the legislation that will be amended:</w:t>
      </w:r>
    </w:p>
    <w:p w14:paraId="2D4A5BD7" w14:textId="77777777" w:rsidR="00BC0772" w:rsidRPr="003920D9" w:rsidRDefault="00BC0772" w:rsidP="00BC0772">
      <w:pPr>
        <w:pStyle w:val="ListParagraph"/>
        <w:numPr>
          <w:ilvl w:val="0"/>
          <w:numId w:val="25"/>
        </w:numPr>
        <w:rPr>
          <w:rFonts w:ascii="Arial" w:hAnsi="Arial" w:cs="Arial"/>
          <w:sz w:val="24"/>
          <w:szCs w:val="24"/>
        </w:rPr>
      </w:pPr>
      <w:r>
        <w:rPr>
          <w:rFonts w:ascii="Arial" w:hAnsi="Arial" w:cs="Arial"/>
          <w:i/>
          <w:iCs/>
          <w:sz w:val="24"/>
          <w:szCs w:val="24"/>
        </w:rPr>
        <w:t>Crimes Act 1900</w:t>
      </w:r>
    </w:p>
    <w:p w14:paraId="18B20A3E" w14:textId="77777777" w:rsidR="00BC0772" w:rsidRDefault="00BC0772" w:rsidP="00BC0772">
      <w:pPr>
        <w:pStyle w:val="ListParagraph"/>
        <w:numPr>
          <w:ilvl w:val="0"/>
          <w:numId w:val="25"/>
        </w:numPr>
        <w:rPr>
          <w:rFonts w:ascii="Arial" w:hAnsi="Arial" w:cs="Arial"/>
          <w:sz w:val="24"/>
          <w:szCs w:val="24"/>
        </w:rPr>
      </w:pPr>
      <w:r>
        <w:rPr>
          <w:rFonts w:ascii="Arial" w:hAnsi="Arial" w:cs="Arial"/>
          <w:i/>
          <w:iCs/>
          <w:sz w:val="24"/>
          <w:szCs w:val="24"/>
        </w:rPr>
        <w:t>Spent Convictions Act 2000</w:t>
      </w:r>
      <w:r>
        <w:rPr>
          <w:rFonts w:ascii="Arial" w:hAnsi="Arial" w:cs="Arial"/>
          <w:sz w:val="24"/>
          <w:szCs w:val="24"/>
        </w:rPr>
        <w:t>.</w:t>
      </w:r>
    </w:p>
    <w:p w14:paraId="013FBCC7" w14:textId="77777777" w:rsidR="00BC0772" w:rsidRDefault="00BC0772" w:rsidP="00BC0772">
      <w:pPr>
        <w:pStyle w:val="Heading3"/>
      </w:pPr>
      <w:r>
        <w:t>Part 2 Crimes Act 1900</w:t>
      </w:r>
    </w:p>
    <w:p w14:paraId="6172FB1F" w14:textId="5A9D6BBC" w:rsidR="00570D58" w:rsidRPr="00ED3B77" w:rsidRDefault="00570D58" w:rsidP="00570D58">
      <w:pPr>
        <w:pStyle w:val="Heading3"/>
        <w:ind w:left="1440" w:hanging="1440"/>
        <w:rPr>
          <w:b w:val="0"/>
        </w:rPr>
      </w:pPr>
      <w:r w:rsidRPr="00ED3B77">
        <w:t xml:space="preserve">Clause </w:t>
      </w:r>
      <w:r>
        <w:t>4</w:t>
      </w:r>
      <w:r w:rsidRPr="00ED3B77">
        <w:tab/>
      </w:r>
      <w:r>
        <w:rPr>
          <w:bCs/>
        </w:rPr>
        <w:t>Definitions for</w:t>
      </w:r>
      <w:r w:rsidRPr="00E13270">
        <w:rPr>
          <w:bCs/>
        </w:rPr>
        <w:t xml:space="preserve"> pt 10 </w:t>
      </w:r>
      <w:r>
        <w:rPr>
          <w:bCs/>
        </w:rPr>
        <w:br/>
      </w:r>
      <w:r w:rsidRPr="00E13270">
        <w:rPr>
          <w:bCs/>
        </w:rPr>
        <w:t>Section 18</w:t>
      </w:r>
      <w:r>
        <w:rPr>
          <w:bCs/>
        </w:rPr>
        <w:t>5, new definitions</w:t>
      </w:r>
    </w:p>
    <w:p w14:paraId="1318BA2B" w14:textId="1FC8C0E8" w:rsidR="00570D58" w:rsidRDefault="00570D58" w:rsidP="00570D58">
      <w:pPr>
        <w:rPr>
          <w:rFonts w:ascii="Arial" w:hAnsi="Arial" w:cs="Arial"/>
          <w:sz w:val="24"/>
          <w:szCs w:val="24"/>
        </w:rPr>
      </w:pPr>
      <w:r>
        <w:rPr>
          <w:rFonts w:ascii="Arial" w:hAnsi="Arial" w:cs="Arial"/>
          <w:sz w:val="24"/>
          <w:szCs w:val="24"/>
        </w:rPr>
        <w:t>This clause is a consequential amendment to facilitate new section 252AE.</w:t>
      </w:r>
    </w:p>
    <w:p w14:paraId="4AE9DE83" w14:textId="4931A105" w:rsidR="00570D58" w:rsidRPr="00ED3B77" w:rsidRDefault="00570D58" w:rsidP="00570D58">
      <w:pPr>
        <w:pStyle w:val="Heading3"/>
        <w:ind w:left="1440" w:hanging="1440"/>
        <w:rPr>
          <w:b w:val="0"/>
        </w:rPr>
      </w:pPr>
      <w:r w:rsidRPr="00ED3B77">
        <w:t xml:space="preserve">Clause </w:t>
      </w:r>
      <w:r>
        <w:t>5</w:t>
      </w:r>
      <w:r w:rsidRPr="00ED3B77">
        <w:tab/>
      </w:r>
      <w:r>
        <w:rPr>
          <w:bCs/>
        </w:rPr>
        <w:t>New section 185 (2)</w:t>
      </w:r>
    </w:p>
    <w:p w14:paraId="090A1AB0" w14:textId="77777777" w:rsidR="00570D58" w:rsidRDefault="00570D58" w:rsidP="00570D58">
      <w:pPr>
        <w:rPr>
          <w:rFonts w:ascii="Arial" w:hAnsi="Arial" w:cs="Arial"/>
          <w:sz w:val="24"/>
          <w:szCs w:val="24"/>
        </w:rPr>
      </w:pPr>
      <w:r>
        <w:rPr>
          <w:rFonts w:ascii="Arial" w:hAnsi="Arial" w:cs="Arial"/>
          <w:sz w:val="24"/>
          <w:szCs w:val="24"/>
        </w:rPr>
        <w:t>This clause is a consequential amendment to facilitate new section 252AE.</w:t>
      </w:r>
    </w:p>
    <w:p w14:paraId="0539C004" w14:textId="0A6DDA8D" w:rsidR="00BC0772" w:rsidRPr="00ED3B77" w:rsidRDefault="00BC0772" w:rsidP="00BC0772">
      <w:pPr>
        <w:pStyle w:val="Heading3"/>
        <w:ind w:left="1440" w:hanging="1440"/>
        <w:rPr>
          <w:b w:val="0"/>
        </w:rPr>
      </w:pPr>
      <w:r w:rsidRPr="00ED3B77">
        <w:t xml:space="preserve">Clause </w:t>
      </w:r>
      <w:r w:rsidR="00570D58">
        <w:t>6</w:t>
      </w:r>
      <w:r w:rsidRPr="00ED3B77">
        <w:tab/>
      </w:r>
      <w:r w:rsidRPr="00E13270">
        <w:rPr>
          <w:bCs/>
        </w:rPr>
        <w:t xml:space="preserve">Application of pt 10 </w:t>
      </w:r>
      <w:r>
        <w:rPr>
          <w:bCs/>
        </w:rPr>
        <w:br/>
      </w:r>
      <w:r w:rsidRPr="00E13270">
        <w:rPr>
          <w:bCs/>
        </w:rPr>
        <w:t>Section 186 (1)</w:t>
      </w:r>
    </w:p>
    <w:p w14:paraId="138802E5" w14:textId="77777777" w:rsidR="00BC0772" w:rsidRDefault="00BC0772" w:rsidP="00BC0772">
      <w:pPr>
        <w:rPr>
          <w:rFonts w:ascii="Arial" w:hAnsi="Arial" w:cs="Arial"/>
          <w:sz w:val="24"/>
          <w:szCs w:val="24"/>
        </w:rPr>
      </w:pPr>
      <w:r>
        <w:rPr>
          <w:rFonts w:ascii="Arial" w:hAnsi="Arial" w:cs="Arial"/>
          <w:sz w:val="24"/>
          <w:szCs w:val="24"/>
        </w:rPr>
        <w:t>This clause is a technical change to section 186(1) to facilitate the application of new subdivision 10.7.1A to all Territory law (including common law).</w:t>
      </w:r>
    </w:p>
    <w:p w14:paraId="63E3B4F5" w14:textId="6A0AEA7E" w:rsidR="00BC0772" w:rsidRPr="00ED3B77" w:rsidRDefault="00BC0772" w:rsidP="00BC0772">
      <w:pPr>
        <w:pStyle w:val="Heading3"/>
        <w:ind w:left="1440" w:hanging="1440"/>
        <w:rPr>
          <w:b w:val="0"/>
        </w:rPr>
      </w:pPr>
      <w:r w:rsidRPr="00ED3B77">
        <w:lastRenderedPageBreak/>
        <w:t xml:space="preserve">Clause </w:t>
      </w:r>
      <w:r w:rsidR="00570D58">
        <w:t>7</w:t>
      </w:r>
      <w:r w:rsidRPr="00ED3B77">
        <w:tab/>
      </w:r>
      <w:r>
        <w:rPr>
          <w:bCs/>
        </w:rPr>
        <w:t>Issue of warrant</w:t>
      </w:r>
      <w:r>
        <w:rPr>
          <w:bCs/>
        </w:rPr>
        <w:br/>
      </w:r>
      <w:r w:rsidRPr="00E13270">
        <w:rPr>
          <w:bCs/>
        </w:rPr>
        <w:t>Section 18</w:t>
      </w:r>
      <w:r>
        <w:rPr>
          <w:bCs/>
        </w:rPr>
        <w:t>9</w:t>
      </w:r>
      <w:r w:rsidRPr="00E13270">
        <w:rPr>
          <w:bCs/>
        </w:rPr>
        <w:t xml:space="preserve"> (1)</w:t>
      </w:r>
      <w:r>
        <w:rPr>
          <w:bCs/>
        </w:rPr>
        <w:t xml:space="preserve"> (d)</w:t>
      </w:r>
    </w:p>
    <w:p w14:paraId="31A20A8E" w14:textId="77777777" w:rsidR="00BC0772" w:rsidRDefault="00BC0772" w:rsidP="00AC686D">
      <w:pPr>
        <w:keepNext/>
        <w:rPr>
          <w:rFonts w:ascii="Arial" w:hAnsi="Arial" w:cs="Arial"/>
          <w:sz w:val="24"/>
          <w:szCs w:val="24"/>
        </w:rPr>
      </w:pPr>
      <w:r>
        <w:rPr>
          <w:rFonts w:ascii="Arial" w:hAnsi="Arial" w:cs="Arial"/>
          <w:sz w:val="24"/>
          <w:szCs w:val="24"/>
        </w:rPr>
        <w:t>This clause clarifies the alignment between:</w:t>
      </w:r>
    </w:p>
    <w:p w14:paraId="307BB6B0" w14:textId="77777777" w:rsidR="00BC0772" w:rsidRDefault="00BC0772" w:rsidP="00BC0772">
      <w:pPr>
        <w:pStyle w:val="ListParagraph"/>
        <w:numPr>
          <w:ilvl w:val="0"/>
          <w:numId w:val="26"/>
        </w:numPr>
        <w:rPr>
          <w:rFonts w:ascii="Arial" w:hAnsi="Arial" w:cs="Arial"/>
          <w:sz w:val="24"/>
          <w:szCs w:val="24"/>
        </w:rPr>
      </w:pPr>
      <w:r w:rsidRPr="00C87C61">
        <w:rPr>
          <w:rFonts w:ascii="Arial" w:hAnsi="Arial" w:cs="Arial"/>
          <w:sz w:val="24"/>
          <w:szCs w:val="24"/>
        </w:rPr>
        <w:t xml:space="preserve">the reasons for issuing a preventative action warrant in section 189(1)(a) (specifically, the reasonable grounds to suspect that a person has suffered or is in imminent danger of suffering physical injury at the hands of another person) with </w:t>
      </w:r>
    </w:p>
    <w:p w14:paraId="151C5442" w14:textId="77777777" w:rsidR="00BC0772" w:rsidRPr="00C87C61" w:rsidRDefault="00BC0772" w:rsidP="00570D58">
      <w:pPr>
        <w:pStyle w:val="ListParagraph"/>
        <w:numPr>
          <w:ilvl w:val="0"/>
          <w:numId w:val="26"/>
        </w:numPr>
        <w:spacing w:after="240"/>
        <w:ind w:left="714" w:hanging="357"/>
        <w:rPr>
          <w:rFonts w:ascii="Arial" w:hAnsi="Arial" w:cs="Arial"/>
          <w:sz w:val="24"/>
          <w:szCs w:val="24"/>
        </w:rPr>
      </w:pPr>
      <w:r w:rsidRPr="00C87C61">
        <w:rPr>
          <w:rFonts w:ascii="Arial" w:hAnsi="Arial" w:cs="Arial"/>
          <w:sz w:val="24"/>
          <w:szCs w:val="24"/>
        </w:rPr>
        <w:t>the actions authorised by the warrant in section 189(1)(d) (which currently does not include the action that is necessary to prevent the physical injury described in section 189(1)(a)).</w:t>
      </w:r>
    </w:p>
    <w:p w14:paraId="776EF241" w14:textId="1995E769" w:rsidR="00BC0772" w:rsidRDefault="00BC0772" w:rsidP="00BC0772">
      <w:pPr>
        <w:rPr>
          <w:rFonts w:ascii="Arial" w:hAnsi="Arial" w:cs="Arial"/>
          <w:sz w:val="24"/>
          <w:szCs w:val="24"/>
        </w:rPr>
      </w:pPr>
      <w:r>
        <w:rPr>
          <w:rFonts w:ascii="Arial" w:hAnsi="Arial" w:cs="Arial"/>
          <w:sz w:val="24"/>
          <w:szCs w:val="24"/>
        </w:rPr>
        <w:t>Aligning the reasons for the warrant with the powers authorised by the warrant is important for clarifying police powers with regard to people under MACR.</w:t>
      </w:r>
    </w:p>
    <w:p w14:paraId="14E04989" w14:textId="34D72CED" w:rsidR="00570D58" w:rsidRPr="00570D58" w:rsidRDefault="00570D58" w:rsidP="00BC0772">
      <w:pPr>
        <w:rPr>
          <w:rFonts w:ascii="Arial" w:hAnsi="Arial" w:cs="Arial"/>
          <w:i/>
          <w:iCs/>
          <w:sz w:val="24"/>
          <w:szCs w:val="24"/>
        </w:rPr>
      </w:pPr>
      <w:r>
        <w:rPr>
          <w:rFonts w:ascii="Arial" w:hAnsi="Arial" w:cs="Arial"/>
          <w:sz w:val="24"/>
          <w:szCs w:val="24"/>
        </w:rPr>
        <w:t xml:space="preserve">Section 189 of the </w:t>
      </w:r>
      <w:r>
        <w:rPr>
          <w:rFonts w:ascii="Arial" w:hAnsi="Arial" w:cs="Arial"/>
          <w:i/>
          <w:iCs/>
          <w:sz w:val="24"/>
          <w:szCs w:val="24"/>
        </w:rPr>
        <w:t xml:space="preserve">Crimes Act 1900 </w:t>
      </w:r>
      <w:r>
        <w:rPr>
          <w:rFonts w:ascii="Arial" w:hAnsi="Arial" w:cs="Arial"/>
          <w:sz w:val="24"/>
          <w:szCs w:val="24"/>
        </w:rPr>
        <w:t xml:space="preserve">was, prior to being renumbered in 2001, section 394B. This section was inserted as part of reforms related to </w:t>
      </w:r>
      <w:r w:rsidR="00EA5FBA">
        <w:rPr>
          <w:rFonts w:ascii="Arial" w:hAnsi="Arial" w:cs="Arial"/>
          <w:sz w:val="24"/>
          <w:szCs w:val="24"/>
        </w:rPr>
        <w:t>domestic violence. The</w:t>
      </w:r>
      <w:r w:rsidR="00AC686D">
        <w:rPr>
          <w:rFonts w:ascii="Arial" w:hAnsi="Arial" w:cs="Arial"/>
          <w:sz w:val="24"/>
          <w:szCs w:val="24"/>
        </w:rPr>
        <w:t> </w:t>
      </w:r>
      <w:r w:rsidR="00EA5FBA">
        <w:rPr>
          <w:rFonts w:ascii="Arial" w:hAnsi="Arial" w:cs="Arial"/>
          <w:sz w:val="24"/>
          <w:szCs w:val="24"/>
        </w:rPr>
        <w:t xml:space="preserve">section authorises ‘preventative action warrants’: </w:t>
      </w:r>
      <w:r w:rsidR="00CF0C55">
        <w:rPr>
          <w:rFonts w:ascii="Arial" w:hAnsi="Arial" w:cs="Arial"/>
          <w:sz w:val="24"/>
          <w:szCs w:val="24"/>
        </w:rPr>
        <w:t xml:space="preserve">a </w:t>
      </w:r>
      <w:r w:rsidR="00EA5FBA">
        <w:rPr>
          <w:rFonts w:ascii="Arial" w:hAnsi="Arial" w:cs="Arial"/>
          <w:sz w:val="24"/>
          <w:szCs w:val="24"/>
        </w:rPr>
        <w:t>warrant that allow</w:t>
      </w:r>
      <w:r w:rsidR="00CF0C55">
        <w:rPr>
          <w:rFonts w:ascii="Arial" w:hAnsi="Arial" w:cs="Arial"/>
          <w:sz w:val="24"/>
          <w:szCs w:val="24"/>
        </w:rPr>
        <w:t>s</w:t>
      </w:r>
      <w:r w:rsidR="00EA5FBA">
        <w:rPr>
          <w:rFonts w:ascii="Arial" w:hAnsi="Arial" w:cs="Arial"/>
          <w:sz w:val="24"/>
          <w:szCs w:val="24"/>
        </w:rPr>
        <w:t xml:space="preserve"> a police officer to enter where there are reasonable grounds to suspect that a person has suffered (or is in imminent danger of) physical injury at the hands of another person and needs assistance to prevent or deal with the injury.</w:t>
      </w:r>
    </w:p>
    <w:p w14:paraId="20E15648" w14:textId="77777777" w:rsidR="00CF0C55" w:rsidRDefault="00CF0C55" w:rsidP="00CF0C55">
      <w:pPr>
        <w:rPr>
          <w:rFonts w:ascii="Arial" w:hAnsi="Arial" w:cs="Arial"/>
          <w:sz w:val="24"/>
          <w:szCs w:val="24"/>
        </w:rPr>
      </w:pPr>
      <w:r>
        <w:rPr>
          <w:rFonts w:ascii="Arial" w:hAnsi="Arial" w:cs="Arial"/>
          <w:sz w:val="24"/>
          <w:szCs w:val="24"/>
        </w:rPr>
        <w:t xml:space="preserve">In </w:t>
      </w:r>
      <w:r>
        <w:rPr>
          <w:rFonts w:ascii="Arial" w:hAnsi="Arial" w:cs="Arial"/>
          <w:i/>
          <w:iCs/>
          <w:sz w:val="24"/>
          <w:szCs w:val="24"/>
        </w:rPr>
        <w:t xml:space="preserve">Glavinic v Commonwealth </w:t>
      </w:r>
      <w:r>
        <w:rPr>
          <w:rFonts w:ascii="Arial" w:hAnsi="Arial" w:cs="Arial"/>
          <w:sz w:val="24"/>
          <w:szCs w:val="24"/>
        </w:rPr>
        <w:t>[2023] ACTSC 361, Mossop J explained that ‘</w:t>
      </w:r>
      <w:r w:rsidRPr="00C87C61">
        <w:rPr>
          <w:rFonts w:ascii="Arial" w:hAnsi="Arial" w:cs="Arial"/>
          <w:sz w:val="24"/>
          <w:szCs w:val="24"/>
        </w:rPr>
        <w:t>the mental threshold that must be satisfied is that the magistrate must be satisfied there are reasonable grounds to suspect the matters in s 189(1)(a)</w:t>
      </w:r>
      <w:r>
        <w:rPr>
          <w:rFonts w:ascii="Arial" w:hAnsi="Arial" w:cs="Arial"/>
          <w:sz w:val="24"/>
          <w:szCs w:val="24"/>
        </w:rPr>
        <w:t>’, that being:</w:t>
      </w:r>
    </w:p>
    <w:p w14:paraId="7FB7D734" w14:textId="77777777" w:rsidR="00CF0C55" w:rsidRPr="00C87C61" w:rsidRDefault="00CF0C55" w:rsidP="00CF0C55">
      <w:pPr>
        <w:pStyle w:val="ListParagraph"/>
        <w:numPr>
          <w:ilvl w:val="0"/>
          <w:numId w:val="29"/>
        </w:numPr>
        <w:rPr>
          <w:rFonts w:ascii="Arial" w:hAnsi="Arial" w:cs="Arial"/>
          <w:sz w:val="24"/>
          <w:szCs w:val="24"/>
        </w:rPr>
      </w:pPr>
      <w:r>
        <w:rPr>
          <w:rFonts w:ascii="Arial" w:hAnsi="Arial" w:cs="Arial"/>
          <w:sz w:val="24"/>
          <w:szCs w:val="24"/>
        </w:rPr>
        <w:t>‘</w:t>
      </w:r>
      <w:r w:rsidRPr="00C87C61">
        <w:rPr>
          <w:rFonts w:ascii="Arial" w:hAnsi="Arial" w:cs="Arial"/>
          <w:sz w:val="24"/>
          <w:szCs w:val="24"/>
        </w:rPr>
        <w:t>reasonable grounds to suspect that a person on the premises </w:t>
      </w:r>
      <w:r w:rsidRPr="00C87C61">
        <w:rPr>
          <w:rFonts w:ascii="Arial" w:hAnsi="Arial" w:cs="Arial"/>
          <w:i/>
          <w:iCs/>
          <w:sz w:val="24"/>
          <w:szCs w:val="24"/>
        </w:rPr>
        <w:t>has suffered </w:t>
      </w:r>
      <w:r w:rsidRPr="00C87C61">
        <w:rPr>
          <w:rFonts w:ascii="Arial" w:hAnsi="Arial" w:cs="Arial"/>
          <w:sz w:val="24"/>
          <w:szCs w:val="24"/>
        </w:rPr>
        <w:t>physical injury at the hands of another and needs assistance to </w:t>
      </w:r>
      <w:r w:rsidRPr="00C87C61">
        <w:rPr>
          <w:rFonts w:ascii="Arial" w:hAnsi="Arial" w:cs="Arial"/>
          <w:i/>
          <w:iCs/>
          <w:sz w:val="24"/>
          <w:szCs w:val="24"/>
        </w:rPr>
        <w:t>deal with</w:t>
      </w:r>
      <w:r w:rsidRPr="00C87C61">
        <w:rPr>
          <w:rFonts w:ascii="Arial" w:hAnsi="Arial" w:cs="Arial"/>
          <w:sz w:val="24"/>
          <w:szCs w:val="24"/>
        </w:rPr>
        <w:t> the injury; or</w:t>
      </w:r>
    </w:p>
    <w:p w14:paraId="4AC7D7EE" w14:textId="77777777" w:rsidR="00CF0C55" w:rsidRPr="00C87C61" w:rsidRDefault="00CF0C55" w:rsidP="00CF0C55">
      <w:pPr>
        <w:pStyle w:val="ListParagraph"/>
        <w:numPr>
          <w:ilvl w:val="0"/>
          <w:numId w:val="29"/>
        </w:numPr>
        <w:spacing w:after="200"/>
        <w:ind w:left="714" w:hanging="357"/>
        <w:rPr>
          <w:rFonts w:ascii="Arial" w:hAnsi="Arial" w:cs="Arial"/>
          <w:sz w:val="24"/>
          <w:szCs w:val="24"/>
        </w:rPr>
      </w:pPr>
      <w:r w:rsidRPr="00C87C61">
        <w:rPr>
          <w:rFonts w:ascii="Arial" w:hAnsi="Arial" w:cs="Arial"/>
          <w:sz w:val="24"/>
          <w:szCs w:val="24"/>
        </w:rPr>
        <w:t>reasonable grounds to suspect that a person on the premises </w:t>
      </w:r>
      <w:r w:rsidRPr="00C87C61">
        <w:rPr>
          <w:rFonts w:ascii="Arial" w:hAnsi="Arial" w:cs="Arial"/>
          <w:i/>
          <w:iCs/>
          <w:sz w:val="24"/>
          <w:szCs w:val="24"/>
        </w:rPr>
        <w:t>is in imminent danger</w:t>
      </w:r>
      <w:r w:rsidRPr="00C87C61">
        <w:rPr>
          <w:rFonts w:ascii="Arial" w:hAnsi="Arial" w:cs="Arial"/>
          <w:sz w:val="24"/>
          <w:szCs w:val="24"/>
        </w:rPr>
        <w:t> of physical injury at the hands of another and needs assistance </w:t>
      </w:r>
      <w:r w:rsidRPr="00C87C61">
        <w:rPr>
          <w:rFonts w:ascii="Arial" w:hAnsi="Arial" w:cs="Arial"/>
          <w:i/>
          <w:iCs/>
          <w:sz w:val="24"/>
          <w:szCs w:val="24"/>
        </w:rPr>
        <w:t>to prevent</w:t>
      </w:r>
      <w:r w:rsidRPr="00C87C61">
        <w:rPr>
          <w:rFonts w:ascii="Arial" w:hAnsi="Arial" w:cs="Arial"/>
          <w:sz w:val="24"/>
          <w:szCs w:val="24"/>
        </w:rPr>
        <w:t> the injury.</w:t>
      </w:r>
      <w:r>
        <w:rPr>
          <w:rFonts w:ascii="Arial" w:hAnsi="Arial" w:cs="Arial"/>
          <w:sz w:val="24"/>
          <w:szCs w:val="24"/>
        </w:rPr>
        <w:t>’</w:t>
      </w:r>
    </w:p>
    <w:p w14:paraId="2D6EA55E" w14:textId="75FB1FC8" w:rsidR="00144A74" w:rsidRDefault="00CF0C55" w:rsidP="00BC0772">
      <w:pPr>
        <w:rPr>
          <w:rFonts w:ascii="Arial" w:hAnsi="Arial" w:cs="Arial"/>
          <w:sz w:val="24"/>
          <w:szCs w:val="24"/>
        </w:rPr>
      </w:pPr>
      <w:r>
        <w:rPr>
          <w:rFonts w:ascii="Arial" w:hAnsi="Arial" w:cs="Arial"/>
          <w:sz w:val="24"/>
          <w:szCs w:val="24"/>
        </w:rPr>
        <w:t>The warrant authorises the police officer to enter the premises and authorises ‘</w:t>
      </w:r>
      <w:r w:rsidRPr="00CF0C55">
        <w:rPr>
          <w:rFonts w:ascii="Arial" w:hAnsi="Arial" w:cs="Arial"/>
          <w:sz w:val="24"/>
          <w:szCs w:val="24"/>
        </w:rPr>
        <w:t>subject to any conditions specified in the warrant, to take the action that is necessary to prevent the commission or repetition of an offence or of a breach of the peace or to protect life or property.</w:t>
      </w:r>
      <w:r>
        <w:rPr>
          <w:rFonts w:ascii="Arial" w:hAnsi="Arial" w:cs="Arial"/>
          <w:sz w:val="24"/>
          <w:szCs w:val="24"/>
        </w:rPr>
        <w:t>’ Although the warrant may be issued because of the suspicion on reasonable grounds that somebody may suffer physical injury, the warrant does not clearly empower the police officer to prevent the physical injury (unless the physical injury constitutes an offence, or the physical injury threatens life or property).</w:t>
      </w:r>
      <w:r w:rsidR="007F7FD4">
        <w:rPr>
          <w:rFonts w:ascii="Arial" w:hAnsi="Arial" w:cs="Arial"/>
          <w:sz w:val="24"/>
          <w:szCs w:val="24"/>
        </w:rPr>
        <w:t xml:space="preserve"> Although </w:t>
      </w:r>
      <w:r w:rsidR="00AC686D">
        <w:rPr>
          <w:rFonts w:ascii="Arial" w:hAnsi="Arial" w:cs="Arial"/>
          <w:sz w:val="24"/>
          <w:szCs w:val="24"/>
        </w:rPr>
        <w:t>the text of the current legislation</w:t>
      </w:r>
      <w:r w:rsidR="007F7FD4">
        <w:rPr>
          <w:rFonts w:ascii="Arial" w:hAnsi="Arial" w:cs="Arial"/>
          <w:sz w:val="24"/>
          <w:szCs w:val="24"/>
        </w:rPr>
        <w:t xml:space="preserve"> </w:t>
      </w:r>
      <w:r w:rsidR="00AC686D">
        <w:rPr>
          <w:rFonts w:ascii="Arial" w:hAnsi="Arial" w:cs="Arial"/>
          <w:sz w:val="24"/>
          <w:szCs w:val="24"/>
        </w:rPr>
        <w:t xml:space="preserve">does </w:t>
      </w:r>
      <w:r w:rsidR="007F7FD4">
        <w:rPr>
          <w:rFonts w:ascii="Arial" w:hAnsi="Arial" w:cs="Arial"/>
          <w:sz w:val="24"/>
          <w:szCs w:val="24"/>
        </w:rPr>
        <w:t>not clearly enable this, it</w:t>
      </w:r>
      <w:r w:rsidR="00AC686D">
        <w:rPr>
          <w:rFonts w:ascii="Arial" w:hAnsi="Arial" w:cs="Arial"/>
          <w:sz w:val="24"/>
          <w:szCs w:val="24"/>
        </w:rPr>
        <w:t> </w:t>
      </w:r>
      <w:r w:rsidR="007F7FD4">
        <w:rPr>
          <w:rFonts w:ascii="Arial" w:hAnsi="Arial" w:cs="Arial"/>
          <w:sz w:val="24"/>
          <w:szCs w:val="24"/>
        </w:rPr>
        <w:t>is obviously a necessarily implication of the warrant</w:t>
      </w:r>
      <w:r w:rsidR="00144A74">
        <w:rPr>
          <w:rFonts w:ascii="Arial" w:hAnsi="Arial" w:cs="Arial"/>
          <w:sz w:val="24"/>
          <w:szCs w:val="24"/>
        </w:rPr>
        <w:t xml:space="preserve">. </w:t>
      </w:r>
    </w:p>
    <w:p w14:paraId="2A84BB72" w14:textId="3EB85BC6" w:rsidR="00CF0C55" w:rsidRDefault="00CF0C55" w:rsidP="00BC0772">
      <w:pPr>
        <w:rPr>
          <w:rFonts w:ascii="Arial" w:hAnsi="Arial" w:cs="Arial"/>
          <w:sz w:val="24"/>
          <w:szCs w:val="24"/>
        </w:rPr>
      </w:pPr>
      <w:r>
        <w:rPr>
          <w:rFonts w:ascii="Arial" w:hAnsi="Arial" w:cs="Arial"/>
          <w:sz w:val="24"/>
          <w:szCs w:val="24"/>
        </w:rPr>
        <w:t>Aligning the purposes of the warrant with the powers authorised by the warrant provides additional clarity to the warrant provision</w:t>
      </w:r>
      <w:r w:rsidR="001A51F2">
        <w:rPr>
          <w:rFonts w:ascii="Arial" w:hAnsi="Arial" w:cs="Arial"/>
          <w:sz w:val="24"/>
          <w:szCs w:val="24"/>
        </w:rPr>
        <w:t xml:space="preserve">. </w:t>
      </w:r>
      <w:r w:rsidR="00144A74">
        <w:rPr>
          <w:rFonts w:ascii="Arial" w:hAnsi="Arial" w:cs="Arial"/>
          <w:sz w:val="24"/>
          <w:szCs w:val="24"/>
        </w:rPr>
        <w:t>Warrants are subject to the ‘rule of strictness’ (as discussed below), so it is important that warrant powers very clearly and accurately specify the details of the warrant.</w:t>
      </w:r>
    </w:p>
    <w:p w14:paraId="2B6B119D" w14:textId="7A6C5EFB" w:rsidR="00BC0772" w:rsidRDefault="00BC0772" w:rsidP="00BC0772">
      <w:pPr>
        <w:rPr>
          <w:rFonts w:ascii="Arial" w:hAnsi="Arial" w:cs="Arial"/>
          <w:sz w:val="24"/>
          <w:szCs w:val="24"/>
        </w:rPr>
      </w:pPr>
      <w:r>
        <w:rPr>
          <w:rFonts w:ascii="Arial" w:hAnsi="Arial" w:cs="Arial"/>
          <w:sz w:val="24"/>
          <w:szCs w:val="24"/>
        </w:rPr>
        <w:lastRenderedPageBreak/>
        <w:t>The clause does not expand the grounds upon which a police officer may enter a property.</w:t>
      </w:r>
    </w:p>
    <w:p w14:paraId="4B33D41E" w14:textId="375DB479" w:rsidR="00BC0772" w:rsidRPr="00C87C61" w:rsidRDefault="00BC0772" w:rsidP="00CF0C55">
      <w:pPr>
        <w:rPr>
          <w:rFonts w:ascii="Arial" w:hAnsi="Arial" w:cs="Arial"/>
          <w:sz w:val="24"/>
          <w:szCs w:val="24"/>
        </w:rPr>
      </w:pPr>
      <w:r>
        <w:rPr>
          <w:rFonts w:ascii="Arial" w:hAnsi="Arial" w:cs="Arial"/>
          <w:sz w:val="24"/>
          <w:szCs w:val="24"/>
        </w:rPr>
        <w:t xml:space="preserve">The clause does not expand police powers. </w:t>
      </w:r>
    </w:p>
    <w:p w14:paraId="7F0EEC94" w14:textId="77777777" w:rsidR="00BC0772" w:rsidRDefault="00BC0772" w:rsidP="00BC0772">
      <w:pPr>
        <w:rPr>
          <w:rFonts w:ascii="Arial" w:hAnsi="Arial" w:cs="Arial"/>
          <w:sz w:val="24"/>
          <w:szCs w:val="24"/>
        </w:rPr>
      </w:pPr>
      <w:r>
        <w:rPr>
          <w:rFonts w:ascii="Arial" w:hAnsi="Arial" w:cs="Arial"/>
          <w:sz w:val="24"/>
          <w:szCs w:val="24"/>
        </w:rPr>
        <w:t xml:space="preserve">Preventative action warrants are not search warrants (which are covered by Division 10.3 of the </w:t>
      </w:r>
      <w:r>
        <w:rPr>
          <w:rFonts w:ascii="Arial" w:hAnsi="Arial" w:cs="Arial"/>
          <w:i/>
          <w:iCs/>
          <w:sz w:val="24"/>
          <w:szCs w:val="24"/>
        </w:rPr>
        <w:t>Crimes Act 1900</w:t>
      </w:r>
      <w:r>
        <w:rPr>
          <w:rFonts w:ascii="Arial" w:hAnsi="Arial" w:cs="Arial"/>
          <w:sz w:val="24"/>
          <w:szCs w:val="24"/>
        </w:rPr>
        <w:t xml:space="preserve">). </w:t>
      </w:r>
    </w:p>
    <w:p w14:paraId="2EB4757B" w14:textId="688F7DEE" w:rsidR="00BC0772" w:rsidRPr="00144A74" w:rsidRDefault="00144A74" w:rsidP="00BC0772">
      <w:pPr>
        <w:rPr>
          <w:rFonts w:ascii="Arial" w:hAnsi="Arial" w:cs="Arial"/>
          <w:sz w:val="24"/>
          <w:szCs w:val="24"/>
        </w:rPr>
      </w:pPr>
      <w:r>
        <w:rPr>
          <w:rFonts w:ascii="Arial" w:hAnsi="Arial" w:cs="Arial"/>
          <w:sz w:val="24"/>
          <w:szCs w:val="24"/>
        </w:rPr>
        <w:t>Further limitations and safeguards on warrants are discussed below.</w:t>
      </w:r>
    </w:p>
    <w:p w14:paraId="6B4C9958" w14:textId="02BF6E9D" w:rsidR="00775D00" w:rsidRPr="00ED3B77" w:rsidRDefault="00775D00" w:rsidP="00775D00">
      <w:pPr>
        <w:pStyle w:val="Heading3"/>
        <w:ind w:left="1440" w:hanging="1440"/>
        <w:rPr>
          <w:b w:val="0"/>
        </w:rPr>
      </w:pPr>
      <w:r w:rsidRPr="00ED3B77">
        <w:t xml:space="preserve">Clause </w:t>
      </w:r>
      <w:r w:rsidR="00AC686D">
        <w:t>8</w:t>
      </w:r>
      <w:r w:rsidRPr="00ED3B77">
        <w:tab/>
      </w:r>
      <w:r w:rsidR="00C559A3">
        <w:rPr>
          <w:bCs/>
        </w:rPr>
        <w:t>Entry in emergencies</w:t>
      </w:r>
      <w:r>
        <w:rPr>
          <w:bCs/>
        </w:rPr>
        <w:br/>
      </w:r>
      <w:r w:rsidRPr="00E13270">
        <w:rPr>
          <w:bCs/>
        </w:rPr>
        <w:t>Section 1</w:t>
      </w:r>
      <w:r>
        <w:rPr>
          <w:bCs/>
        </w:rPr>
        <w:t>90</w:t>
      </w:r>
      <w:r w:rsidRPr="00E13270">
        <w:rPr>
          <w:bCs/>
        </w:rPr>
        <w:t xml:space="preserve"> </w:t>
      </w:r>
      <w:r>
        <w:rPr>
          <w:bCs/>
        </w:rPr>
        <w:t>(b)</w:t>
      </w:r>
    </w:p>
    <w:p w14:paraId="74A3C4DE" w14:textId="7AF6D55A" w:rsidR="00775D00" w:rsidRDefault="00775D00" w:rsidP="00775D00">
      <w:pPr>
        <w:rPr>
          <w:rFonts w:ascii="Arial" w:hAnsi="Arial" w:cs="Arial"/>
          <w:sz w:val="24"/>
          <w:szCs w:val="24"/>
        </w:rPr>
      </w:pPr>
      <w:r>
        <w:rPr>
          <w:rFonts w:ascii="Arial" w:hAnsi="Arial" w:cs="Arial"/>
          <w:sz w:val="24"/>
          <w:szCs w:val="24"/>
        </w:rPr>
        <w:t xml:space="preserve">This clause </w:t>
      </w:r>
      <w:r w:rsidR="00AC686D">
        <w:rPr>
          <w:rFonts w:ascii="Arial" w:hAnsi="Arial" w:cs="Arial"/>
          <w:sz w:val="24"/>
          <w:szCs w:val="24"/>
        </w:rPr>
        <w:t xml:space="preserve">is analogous to the amendment in clause 7, except for emergency entry without a warrant. </w:t>
      </w:r>
    </w:p>
    <w:p w14:paraId="0718A1D0" w14:textId="77777777" w:rsidR="00AC686D" w:rsidRDefault="00AC686D" w:rsidP="00AC686D">
      <w:pPr>
        <w:rPr>
          <w:rFonts w:ascii="Arial" w:hAnsi="Arial" w:cs="Arial"/>
          <w:sz w:val="24"/>
          <w:szCs w:val="24"/>
        </w:rPr>
      </w:pPr>
      <w:r>
        <w:rPr>
          <w:rFonts w:ascii="Arial" w:hAnsi="Arial" w:cs="Arial"/>
          <w:sz w:val="24"/>
          <w:szCs w:val="24"/>
        </w:rPr>
        <w:t>The clause does not expand the grounds upon which a police officer may enter a property.</w:t>
      </w:r>
    </w:p>
    <w:p w14:paraId="57044C4D" w14:textId="77777777" w:rsidR="00AC686D" w:rsidRPr="00C87C61" w:rsidRDefault="00AC686D" w:rsidP="00AC686D">
      <w:pPr>
        <w:rPr>
          <w:rFonts w:ascii="Arial" w:hAnsi="Arial" w:cs="Arial"/>
          <w:sz w:val="24"/>
          <w:szCs w:val="24"/>
        </w:rPr>
      </w:pPr>
      <w:r>
        <w:rPr>
          <w:rFonts w:ascii="Arial" w:hAnsi="Arial" w:cs="Arial"/>
          <w:sz w:val="24"/>
          <w:szCs w:val="24"/>
        </w:rPr>
        <w:t xml:space="preserve">The clause does not expand police powers. </w:t>
      </w:r>
    </w:p>
    <w:p w14:paraId="18A84D66" w14:textId="15A63966" w:rsidR="00C559A3" w:rsidRPr="00ED3B77" w:rsidRDefault="00C559A3" w:rsidP="00C559A3">
      <w:pPr>
        <w:pStyle w:val="Heading3"/>
        <w:ind w:left="1440" w:hanging="1440"/>
        <w:rPr>
          <w:b w:val="0"/>
        </w:rPr>
      </w:pPr>
      <w:r w:rsidRPr="00ED3B77">
        <w:t xml:space="preserve">Clause </w:t>
      </w:r>
      <w:r w:rsidR="00AC686D">
        <w:t>9</w:t>
      </w:r>
      <w:r w:rsidRPr="00ED3B77">
        <w:tab/>
      </w:r>
      <w:r>
        <w:rPr>
          <w:bCs/>
        </w:rPr>
        <w:t>When search warrants can be issued</w:t>
      </w:r>
      <w:r>
        <w:rPr>
          <w:bCs/>
        </w:rPr>
        <w:br/>
      </w:r>
      <w:r w:rsidRPr="00E13270">
        <w:rPr>
          <w:bCs/>
        </w:rPr>
        <w:t>Section 1</w:t>
      </w:r>
      <w:r>
        <w:rPr>
          <w:bCs/>
        </w:rPr>
        <w:t>94 (2)</w:t>
      </w:r>
    </w:p>
    <w:p w14:paraId="0BADF935" w14:textId="0317A58D" w:rsidR="00C559A3" w:rsidRDefault="00C559A3" w:rsidP="00C559A3">
      <w:pPr>
        <w:rPr>
          <w:rFonts w:ascii="Arial" w:hAnsi="Arial" w:cs="Arial"/>
          <w:sz w:val="24"/>
          <w:szCs w:val="24"/>
        </w:rPr>
      </w:pPr>
      <w:r>
        <w:rPr>
          <w:rFonts w:ascii="Arial" w:hAnsi="Arial" w:cs="Arial"/>
          <w:sz w:val="24"/>
          <w:szCs w:val="24"/>
        </w:rPr>
        <w:t xml:space="preserve">This clause </w:t>
      </w:r>
      <w:r w:rsidR="00600EF9">
        <w:rPr>
          <w:rFonts w:ascii="Arial" w:hAnsi="Arial" w:cs="Arial"/>
          <w:sz w:val="24"/>
          <w:szCs w:val="24"/>
        </w:rPr>
        <w:t>clarifies the existing law that a search warrant may be issued for a person under 14 years old. This provision does not change the existing law</w:t>
      </w:r>
      <w:r w:rsidR="00BE1C75">
        <w:rPr>
          <w:rFonts w:ascii="Arial" w:hAnsi="Arial" w:cs="Arial"/>
          <w:sz w:val="24"/>
          <w:szCs w:val="24"/>
        </w:rPr>
        <w:t xml:space="preserve"> but makes it clear to the issuing officer that a warrant may be issued in respect of a person under 14 years old.</w:t>
      </w:r>
      <w:r w:rsidR="00AC686D">
        <w:rPr>
          <w:rFonts w:ascii="Arial" w:hAnsi="Arial" w:cs="Arial"/>
          <w:sz w:val="24"/>
          <w:szCs w:val="24"/>
        </w:rPr>
        <w:t xml:space="preserve"> </w:t>
      </w:r>
    </w:p>
    <w:p w14:paraId="7C029A0A" w14:textId="7AA9FA7E" w:rsidR="007B1661" w:rsidRDefault="007B1661" w:rsidP="00C559A3">
      <w:pPr>
        <w:rPr>
          <w:rFonts w:ascii="Arial" w:hAnsi="Arial" w:cs="Arial"/>
          <w:sz w:val="24"/>
          <w:szCs w:val="24"/>
        </w:rPr>
      </w:pPr>
      <w:r>
        <w:rPr>
          <w:rFonts w:ascii="Arial" w:hAnsi="Arial" w:cs="Arial"/>
          <w:sz w:val="24"/>
          <w:szCs w:val="24"/>
        </w:rPr>
        <w:t xml:space="preserve">Clarity is necessary in this provision because courts </w:t>
      </w:r>
      <w:r w:rsidR="002C2FA5">
        <w:rPr>
          <w:rFonts w:ascii="Arial" w:hAnsi="Arial" w:cs="Arial"/>
          <w:sz w:val="24"/>
          <w:szCs w:val="24"/>
        </w:rPr>
        <w:t>adopt a</w:t>
      </w:r>
      <w:r>
        <w:rPr>
          <w:rFonts w:ascii="Arial" w:hAnsi="Arial" w:cs="Arial"/>
          <w:sz w:val="24"/>
          <w:szCs w:val="24"/>
        </w:rPr>
        <w:t xml:space="preserve"> ‘rule of strictness’ in expressing the law governing search warrants (</w:t>
      </w:r>
      <w:r>
        <w:rPr>
          <w:rFonts w:ascii="Arial" w:hAnsi="Arial" w:cs="Arial"/>
          <w:i/>
          <w:iCs/>
          <w:sz w:val="24"/>
          <w:szCs w:val="24"/>
        </w:rPr>
        <w:t xml:space="preserve">Macdonald v Beare </w:t>
      </w:r>
      <w:r>
        <w:rPr>
          <w:rFonts w:ascii="Arial" w:hAnsi="Arial" w:cs="Arial"/>
          <w:sz w:val="24"/>
          <w:szCs w:val="24"/>
        </w:rPr>
        <w:t xml:space="preserve">[1904] HCA 22; </w:t>
      </w:r>
      <w:r>
        <w:rPr>
          <w:rFonts w:ascii="Arial" w:hAnsi="Arial" w:cs="Arial"/>
          <w:i/>
          <w:iCs/>
          <w:sz w:val="24"/>
          <w:szCs w:val="24"/>
        </w:rPr>
        <w:t xml:space="preserve">NSW v Corbett </w:t>
      </w:r>
      <w:r>
        <w:rPr>
          <w:rFonts w:ascii="Arial" w:hAnsi="Arial" w:cs="Arial"/>
          <w:sz w:val="24"/>
          <w:szCs w:val="24"/>
        </w:rPr>
        <w:t xml:space="preserve">[2007] HCA 32). Amending this provision will make the law clearer to issuing officers, police informants, and the general public.  </w:t>
      </w:r>
    </w:p>
    <w:p w14:paraId="7673F66B" w14:textId="65FBA9C9" w:rsidR="004E2BDA" w:rsidRDefault="004E2BDA" w:rsidP="00C559A3">
      <w:pPr>
        <w:rPr>
          <w:rFonts w:ascii="Arial" w:hAnsi="Arial" w:cs="Arial"/>
          <w:sz w:val="24"/>
          <w:szCs w:val="24"/>
        </w:rPr>
      </w:pPr>
      <w:r>
        <w:rPr>
          <w:rFonts w:ascii="Arial" w:hAnsi="Arial" w:cs="Arial"/>
          <w:sz w:val="24"/>
          <w:szCs w:val="24"/>
        </w:rPr>
        <w:t xml:space="preserve">The clause also introduces a new requirement that the issuing officer must take into account the best interests of the person under 14 years old if the issuing officer receives an application to issue a warrant under which a person under 14 years old may be searched or may be present at premises that may be searched. </w:t>
      </w:r>
    </w:p>
    <w:p w14:paraId="4D0AAB09" w14:textId="614973AD" w:rsidR="004E2BDA" w:rsidRDefault="004E2BDA" w:rsidP="00C559A3">
      <w:pPr>
        <w:rPr>
          <w:rFonts w:ascii="Arial" w:hAnsi="Arial" w:cs="Arial"/>
          <w:sz w:val="24"/>
          <w:szCs w:val="24"/>
        </w:rPr>
      </w:pPr>
      <w:r>
        <w:rPr>
          <w:rFonts w:ascii="Arial" w:hAnsi="Arial" w:cs="Arial"/>
          <w:sz w:val="24"/>
          <w:szCs w:val="24"/>
        </w:rPr>
        <w:t xml:space="preserve">The clause also enables the issuing officer to require the person applying for the warrant to contact the Aboriginal and Torres Strait Islander Children and Young Person Commissioner or the </w:t>
      </w:r>
      <w:r w:rsidR="00D14C7B">
        <w:rPr>
          <w:rFonts w:ascii="Arial" w:hAnsi="Arial" w:cs="Arial"/>
          <w:sz w:val="24"/>
          <w:szCs w:val="24"/>
        </w:rPr>
        <w:t>Public Advocate</w:t>
      </w:r>
      <w:r>
        <w:rPr>
          <w:rFonts w:ascii="Arial" w:hAnsi="Arial" w:cs="Arial"/>
          <w:sz w:val="24"/>
          <w:szCs w:val="24"/>
        </w:rPr>
        <w:t xml:space="preserve"> prior to executing the warrant.</w:t>
      </w:r>
    </w:p>
    <w:p w14:paraId="225F5391" w14:textId="72FB698D" w:rsidR="00C559A3" w:rsidRDefault="00C559A3" w:rsidP="00C559A3">
      <w:pPr>
        <w:rPr>
          <w:rFonts w:ascii="Arial" w:hAnsi="Arial" w:cs="Arial"/>
          <w:sz w:val="24"/>
          <w:szCs w:val="24"/>
        </w:rPr>
      </w:pPr>
      <w:r>
        <w:rPr>
          <w:rFonts w:ascii="Arial" w:hAnsi="Arial" w:cs="Arial"/>
          <w:sz w:val="24"/>
          <w:szCs w:val="24"/>
        </w:rPr>
        <w:t xml:space="preserve">This clause </w:t>
      </w:r>
      <w:r w:rsidR="007B1661">
        <w:rPr>
          <w:rFonts w:ascii="Arial" w:hAnsi="Arial" w:cs="Arial"/>
          <w:sz w:val="24"/>
          <w:szCs w:val="24"/>
        </w:rPr>
        <w:t xml:space="preserve">provides new safeguards on the power to issue a search warrant and the power to execute a search warrant. </w:t>
      </w:r>
      <w:r w:rsidR="004E2BDA">
        <w:rPr>
          <w:rFonts w:ascii="Arial" w:hAnsi="Arial" w:cs="Arial"/>
          <w:sz w:val="24"/>
          <w:szCs w:val="24"/>
        </w:rPr>
        <w:t xml:space="preserve">This clause does not provide police new powers. </w:t>
      </w:r>
    </w:p>
    <w:p w14:paraId="2044BE71" w14:textId="1813E619" w:rsidR="007B1661" w:rsidRDefault="007B1661" w:rsidP="004E2BDA">
      <w:pPr>
        <w:keepNext/>
        <w:rPr>
          <w:rFonts w:ascii="Arial" w:hAnsi="Arial" w:cs="Arial"/>
          <w:i/>
          <w:iCs/>
          <w:sz w:val="24"/>
          <w:szCs w:val="24"/>
        </w:rPr>
      </w:pPr>
      <w:r>
        <w:rPr>
          <w:rFonts w:ascii="Arial" w:hAnsi="Arial" w:cs="Arial"/>
          <w:i/>
          <w:iCs/>
          <w:sz w:val="24"/>
          <w:szCs w:val="24"/>
        </w:rPr>
        <w:t>Search warrants: current law</w:t>
      </w:r>
    </w:p>
    <w:p w14:paraId="13A8FD4C" w14:textId="0D6E470A" w:rsidR="007B1661" w:rsidRDefault="00415949" w:rsidP="00C559A3">
      <w:pPr>
        <w:rPr>
          <w:rFonts w:ascii="Arial" w:hAnsi="Arial" w:cs="Arial"/>
          <w:sz w:val="24"/>
          <w:szCs w:val="24"/>
        </w:rPr>
      </w:pPr>
      <w:r>
        <w:rPr>
          <w:rFonts w:ascii="Arial" w:hAnsi="Arial" w:cs="Arial"/>
          <w:sz w:val="24"/>
          <w:szCs w:val="24"/>
        </w:rPr>
        <w:t xml:space="preserve">Unless otherwise provided by law, a police officer may not enter a private dwelling for the purposes of seeking evidence of an offence. Legislatures have sought to </w:t>
      </w:r>
      <w:r>
        <w:rPr>
          <w:rFonts w:ascii="Arial" w:hAnsi="Arial" w:cs="Arial"/>
          <w:sz w:val="24"/>
          <w:szCs w:val="24"/>
        </w:rPr>
        <w:lastRenderedPageBreak/>
        <w:t xml:space="preserve">balance two competing ideas: on the one hand, there is </w:t>
      </w:r>
      <w:r w:rsidRPr="00415949">
        <w:rPr>
          <w:rFonts w:ascii="Arial" w:hAnsi="Arial" w:cs="Arial"/>
          <w:sz w:val="24"/>
          <w:szCs w:val="24"/>
        </w:rPr>
        <w:t xml:space="preserve">a person's private interest in the inviolability of his house </w:t>
      </w:r>
      <w:r>
        <w:rPr>
          <w:rFonts w:ascii="Arial" w:hAnsi="Arial" w:cs="Arial"/>
          <w:sz w:val="24"/>
          <w:szCs w:val="24"/>
        </w:rPr>
        <w:t>(</w:t>
      </w:r>
      <w:r w:rsidRPr="00415949">
        <w:rPr>
          <w:rFonts w:ascii="Arial" w:hAnsi="Arial" w:cs="Arial"/>
          <w:sz w:val="24"/>
          <w:szCs w:val="24"/>
        </w:rPr>
        <w:t xml:space="preserve">his </w:t>
      </w:r>
      <w:r>
        <w:rPr>
          <w:rFonts w:ascii="Arial" w:hAnsi="Arial" w:cs="Arial"/>
          <w:sz w:val="24"/>
          <w:szCs w:val="24"/>
        </w:rPr>
        <w:t>‘</w:t>
      </w:r>
      <w:r w:rsidRPr="00415949">
        <w:rPr>
          <w:rFonts w:ascii="Arial" w:hAnsi="Arial" w:cs="Arial"/>
          <w:sz w:val="24"/>
          <w:szCs w:val="24"/>
        </w:rPr>
        <w:t>castle and fortress</w:t>
      </w:r>
      <w:r>
        <w:rPr>
          <w:rFonts w:ascii="Arial" w:hAnsi="Arial" w:cs="Arial"/>
          <w:sz w:val="24"/>
          <w:szCs w:val="24"/>
        </w:rPr>
        <w:t>’ (</w:t>
      </w:r>
      <w:r w:rsidRPr="00415949">
        <w:rPr>
          <w:rFonts w:ascii="Arial" w:hAnsi="Arial" w:cs="Arial"/>
          <w:i/>
          <w:iCs/>
          <w:sz w:val="24"/>
          <w:szCs w:val="24"/>
        </w:rPr>
        <w:t>Semayne's Case</w:t>
      </w:r>
      <w:r w:rsidRPr="00415949">
        <w:rPr>
          <w:rFonts w:ascii="Arial" w:hAnsi="Arial" w:cs="Arial"/>
          <w:sz w:val="24"/>
          <w:szCs w:val="24"/>
        </w:rPr>
        <w:t xml:space="preserve"> (1604) 5 Co Rep 91</w:t>
      </w:r>
      <w:r>
        <w:rPr>
          <w:rFonts w:ascii="Arial" w:hAnsi="Arial" w:cs="Arial"/>
          <w:sz w:val="24"/>
          <w:szCs w:val="24"/>
        </w:rPr>
        <w:t>); on the other, there is the public interest in ‘</w:t>
      </w:r>
      <w:r w:rsidRPr="00415949">
        <w:rPr>
          <w:rFonts w:ascii="Arial" w:hAnsi="Arial" w:cs="Arial"/>
          <w:sz w:val="24"/>
          <w:szCs w:val="24"/>
        </w:rPr>
        <w:t>gathering of evidence against, and the apprehension and conviction of, those who have broken the criminal law</w:t>
      </w:r>
      <w:r>
        <w:rPr>
          <w:rFonts w:ascii="Arial" w:hAnsi="Arial" w:cs="Arial"/>
          <w:sz w:val="24"/>
          <w:szCs w:val="24"/>
        </w:rPr>
        <w:t>’ (</w:t>
      </w:r>
      <w:r>
        <w:rPr>
          <w:rFonts w:ascii="Arial" w:hAnsi="Arial" w:cs="Arial"/>
          <w:i/>
          <w:iCs/>
          <w:sz w:val="24"/>
          <w:szCs w:val="24"/>
        </w:rPr>
        <w:t xml:space="preserve">George v Rockett </w:t>
      </w:r>
      <w:r>
        <w:rPr>
          <w:rFonts w:ascii="Arial" w:hAnsi="Arial" w:cs="Arial"/>
          <w:sz w:val="24"/>
          <w:szCs w:val="24"/>
        </w:rPr>
        <w:t>[1990] HCA 26).</w:t>
      </w:r>
    </w:p>
    <w:p w14:paraId="7BF710E1" w14:textId="3199F5D3" w:rsidR="00415949" w:rsidRDefault="00415949" w:rsidP="00C559A3">
      <w:pPr>
        <w:rPr>
          <w:rFonts w:ascii="Arial" w:hAnsi="Arial" w:cs="Arial"/>
          <w:sz w:val="24"/>
          <w:szCs w:val="24"/>
        </w:rPr>
      </w:pPr>
      <w:r>
        <w:rPr>
          <w:rFonts w:ascii="Arial" w:hAnsi="Arial" w:cs="Arial"/>
          <w:sz w:val="24"/>
          <w:szCs w:val="24"/>
        </w:rPr>
        <w:t>A search warrant is one way a police officer might be authorised to enter a person’s home for the purposes of undertaking a search.</w:t>
      </w:r>
    </w:p>
    <w:p w14:paraId="7B8BE06C" w14:textId="562A1581" w:rsidR="001F2FB3" w:rsidRDefault="001F2FB3" w:rsidP="00C559A3">
      <w:pPr>
        <w:rPr>
          <w:rFonts w:ascii="Arial" w:hAnsi="Arial" w:cs="Arial"/>
          <w:sz w:val="24"/>
          <w:szCs w:val="24"/>
        </w:rPr>
      </w:pPr>
      <w:r>
        <w:rPr>
          <w:rFonts w:ascii="Arial" w:hAnsi="Arial" w:cs="Arial"/>
          <w:sz w:val="24"/>
          <w:szCs w:val="24"/>
        </w:rPr>
        <w:t>Search warrants must be sufficiently particular in their details about which property is being searched, for what material, and for what reason.  A warrant which does not identify a particular object of the search is known as a ‘general warrant’, which are not lawful</w:t>
      </w:r>
      <w:r w:rsidR="00C62489">
        <w:rPr>
          <w:rFonts w:ascii="Arial" w:hAnsi="Arial" w:cs="Arial"/>
          <w:sz w:val="24"/>
          <w:szCs w:val="24"/>
        </w:rPr>
        <w:t>. General warrants have been described as</w:t>
      </w:r>
      <w:r>
        <w:rPr>
          <w:rFonts w:ascii="Arial" w:hAnsi="Arial" w:cs="Arial"/>
          <w:sz w:val="24"/>
          <w:szCs w:val="24"/>
        </w:rPr>
        <w:t xml:space="preserve"> ‘totally subversive of the liberty of the subject’ (</w:t>
      </w:r>
      <w:r>
        <w:rPr>
          <w:rFonts w:ascii="Arial" w:hAnsi="Arial" w:cs="Arial"/>
          <w:i/>
          <w:iCs/>
          <w:sz w:val="24"/>
          <w:szCs w:val="24"/>
        </w:rPr>
        <w:t xml:space="preserve">Wilkes v Wood </w:t>
      </w:r>
      <w:r>
        <w:rPr>
          <w:rFonts w:ascii="Arial" w:hAnsi="Arial" w:cs="Arial"/>
          <w:sz w:val="24"/>
          <w:szCs w:val="24"/>
        </w:rPr>
        <w:t>(1763) 98 ER 489).</w:t>
      </w:r>
    </w:p>
    <w:p w14:paraId="511F42C1" w14:textId="75832F4B" w:rsidR="00767CDF" w:rsidRDefault="00C62489" w:rsidP="00C559A3">
      <w:pPr>
        <w:rPr>
          <w:rFonts w:ascii="Arial" w:hAnsi="Arial" w:cs="Arial"/>
          <w:sz w:val="24"/>
          <w:szCs w:val="24"/>
        </w:rPr>
      </w:pPr>
      <w:r>
        <w:rPr>
          <w:rFonts w:ascii="Arial" w:hAnsi="Arial" w:cs="Arial"/>
          <w:sz w:val="24"/>
          <w:szCs w:val="24"/>
        </w:rPr>
        <w:t xml:space="preserve">When interpreting warrants, </w:t>
      </w:r>
      <w:r w:rsidR="00767CDF">
        <w:rPr>
          <w:rFonts w:ascii="Arial" w:hAnsi="Arial" w:cs="Arial"/>
          <w:sz w:val="24"/>
          <w:szCs w:val="24"/>
        </w:rPr>
        <w:t>Courts have insisted on a ‘rule of strictness’</w:t>
      </w:r>
      <w:r>
        <w:rPr>
          <w:rFonts w:ascii="Arial" w:hAnsi="Arial" w:cs="Arial"/>
          <w:sz w:val="24"/>
          <w:szCs w:val="24"/>
        </w:rPr>
        <w:t>. ‘[I]</w:t>
      </w:r>
      <w:r w:rsidRPr="00C62489">
        <w:rPr>
          <w:rFonts w:ascii="Arial" w:hAnsi="Arial" w:cs="Arial"/>
          <w:sz w:val="24"/>
          <w:szCs w:val="24"/>
        </w:rPr>
        <w:t>n construing and applying such statutes, it needs to be kept in mind that they authorize the invasion of interests which the common law has always valued highly and which, through the writ of trespass, it went to great lengths to protect</w:t>
      </w:r>
      <w:r>
        <w:rPr>
          <w:rFonts w:ascii="Arial" w:hAnsi="Arial" w:cs="Arial"/>
          <w:sz w:val="24"/>
          <w:szCs w:val="24"/>
        </w:rPr>
        <w:t>’ (</w:t>
      </w:r>
      <w:r>
        <w:rPr>
          <w:rFonts w:ascii="Arial" w:hAnsi="Arial" w:cs="Arial"/>
          <w:i/>
          <w:iCs/>
          <w:sz w:val="24"/>
          <w:szCs w:val="24"/>
        </w:rPr>
        <w:t xml:space="preserve">George v Rockett </w:t>
      </w:r>
      <w:r>
        <w:rPr>
          <w:rFonts w:ascii="Arial" w:hAnsi="Arial" w:cs="Arial"/>
          <w:sz w:val="24"/>
          <w:szCs w:val="24"/>
        </w:rPr>
        <w:t>[1990] HCA 26).</w:t>
      </w:r>
    </w:p>
    <w:p w14:paraId="3AE0DB32" w14:textId="536186A8" w:rsidR="00C62489" w:rsidRDefault="00C62489" w:rsidP="00C559A3">
      <w:pPr>
        <w:rPr>
          <w:rFonts w:ascii="Arial" w:hAnsi="Arial" w:cs="Arial"/>
          <w:sz w:val="24"/>
          <w:szCs w:val="24"/>
        </w:rPr>
      </w:pPr>
      <w:r>
        <w:rPr>
          <w:rFonts w:ascii="Arial" w:hAnsi="Arial" w:cs="Arial"/>
          <w:sz w:val="24"/>
          <w:szCs w:val="24"/>
        </w:rPr>
        <w:t xml:space="preserve">The reasons behind the rule of strictness include (as set out by Kirby J in </w:t>
      </w:r>
      <w:r>
        <w:rPr>
          <w:rFonts w:ascii="Arial" w:hAnsi="Arial" w:cs="Arial"/>
          <w:i/>
          <w:iCs/>
          <w:sz w:val="24"/>
          <w:szCs w:val="24"/>
        </w:rPr>
        <w:t xml:space="preserve">NSW v Corbett </w:t>
      </w:r>
      <w:r>
        <w:rPr>
          <w:rFonts w:ascii="Arial" w:hAnsi="Arial" w:cs="Arial"/>
          <w:sz w:val="24"/>
          <w:szCs w:val="24"/>
        </w:rPr>
        <w:t>[2007] HCA 32):</w:t>
      </w:r>
    </w:p>
    <w:p w14:paraId="159D11F0" w14:textId="24EFF9F4" w:rsidR="00C62489" w:rsidRPr="00C62489" w:rsidRDefault="00C62489" w:rsidP="00856E72">
      <w:pPr>
        <w:pStyle w:val="ListParagraph"/>
        <w:numPr>
          <w:ilvl w:val="0"/>
          <w:numId w:val="31"/>
        </w:numPr>
        <w:ind w:left="709"/>
        <w:rPr>
          <w:rFonts w:ascii="Arial" w:hAnsi="Arial" w:cs="Arial"/>
          <w:sz w:val="24"/>
          <w:szCs w:val="24"/>
        </w:rPr>
      </w:pPr>
      <w:r w:rsidRPr="00C62489">
        <w:rPr>
          <w:rFonts w:ascii="Arial" w:hAnsi="Arial" w:cs="Arial"/>
          <w:sz w:val="24"/>
          <w:szCs w:val="24"/>
        </w:rPr>
        <w:t>The protection of the ordinary quiet and tranquillity of the places in which people live and work and of their possessions as a precious feature of our type of society and the happiness of its people;</w:t>
      </w:r>
    </w:p>
    <w:p w14:paraId="45C5CEF9" w14:textId="4FE3A4A6" w:rsidR="00C62489" w:rsidRPr="00C62489" w:rsidRDefault="00C62489" w:rsidP="00856E72">
      <w:pPr>
        <w:pStyle w:val="ListParagraph"/>
        <w:numPr>
          <w:ilvl w:val="0"/>
          <w:numId w:val="31"/>
        </w:numPr>
        <w:ind w:left="709" w:hanging="283"/>
        <w:rPr>
          <w:rFonts w:ascii="Arial" w:hAnsi="Arial" w:cs="Arial"/>
          <w:sz w:val="24"/>
          <w:szCs w:val="24"/>
        </w:rPr>
      </w:pPr>
      <w:r w:rsidRPr="00C62489">
        <w:rPr>
          <w:rFonts w:ascii="Arial" w:hAnsi="Arial" w:cs="Arial"/>
          <w:sz w:val="24"/>
          <w:szCs w:val="24"/>
        </w:rPr>
        <w:t>The avoidance of disruption and the occasional violence that can arise in the case of unwarranted or excessive searches and seizures;</w:t>
      </w:r>
    </w:p>
    <w:p w14:paraId="50A1F56E" w14:textId="52166745" w:rsidR="00C62489" w:rsidRPr="00C62489" w:rsidRDefault="00C62489" w:rsidP="00856E72">
      <w:pPr>
        <w:pStyle w:val="ListParagraph"/>
        <w:numPr>
          <w:ilvl w:val="0"/>
          <w:numId w:val="31"/>
        </w:numPr>
        <w:ind w:left="709" w:hanging="283"/>
        <w:rPr>
          <w:rFonts w:ascii="Arial" w:hAnsi="Arial" w:cs="Arial"/>
          <w:sz w:val="24"/>
          <w:szCs w:val="24"/>
        </w:rPr>
      </w:pPr>
      <w:r w:rsidRPr="00C62489">
        <w:rPr>
          <w:rFonts w:ascii="Arial" w:hAnsi="Arial" w:cs="Arial"/>
          <w:sz w:val="24"/>
          <w:szCs w:val="24"/>
        </w:rPr>
        <w:t>The beneficial control of the agents of the State exerted because of their awareness that they will be held to conformity with strict rules whenever they conduct a search and will require statutory or common law that clearly supports their searches and seizures;</w:t>
      </w:r>
    </w:p>
    <w:p w14:paraId="70516808" w14:textId="60A7FB91" w:rsidR="00C62489" w:rsidRPr="00C62489" w:rsidRDefault="00C62489" w:rsidP="00856E72">
      <w:pPr>
        <w:pStyle w:val="ListParagraph"/>
        <w:numPr>
          <w:ilvl w:val="0"/>
          <w:numId w:val="31"/>
        </w:numPr>
        <w:ind w:left="709" w:hanging="283"/>
        <w:rPr>
          <w:rFonts w:ascii="Arial" w:hAnsi="Arial" w:cs="Arial"/>
          <w:sz w:val="24"/>
          <w:szCs w:val="24"/>
        </w:rPr>
      </w:pPr>
      <w:r w:rsidRPr="00C62489">
        <w:rPr>
          <w:rFonts w:ascii="Arial" w:hAnsi="Arial" w:cs="Arial"/>
          <w:sz w:val="24"/>
          <w:szCs w:val="24"/>
        </w:rPr>
        <w:t>The incentive that strict rules afford for the maintenance of respect for the basic rights of individuals who become subject to, or affected by, the processes of compulsory search and seizure; and</w:t>
      </w:r>
    </w:p>
    <w:p w14:paraId="7E10EA65" w14:textId="57E495E3" w:rsidR="00C62489" w:rsidRPr="00C62489" w:rsidRDefault="00C62489" w:rsidP="00856E72">
      <w:pPr>
        <w:pStyle w:val="ListParagraph"/>
        <w:numPr>
          <w:ilvl w:val="0"/>
          <w:numId w:val="31"/>
        </w:numPr>
        <w:spacing w:after="240"/>
        <w:ind w:left="709" w:hanging="284"/>
        <w:rPr>
          <w:rFonts w:ascii="Arial" w:hAnsi="Arial" w:cs="Arial"/>
          <w:sz w:val="24"/>
          <w:szCs w:val="24"/>
        </w:rPr>
      </w:pPr>
      <w:r w:rsidRPr="00C62489">
        <w:rPr>
          <w:rFonts w:ascii="Arial" w:hAnsi="Arial" w:cs="Arial"/>
          <w:sz w:val="24"/>
          <w:szCs w:val="24"/>
        </w:rPr>
        <w:t>The provision in advance to those persons of a warrant signifying, with a high degree of clarity, both the lawful ambit of the search and seizure that may take place and the assurance that an independent office-holder has been persuaded that a search and seizure, within that ambit, would be lawful and has been justified on reasonable grounds.</w:t>
      </w:r>
    </w:p>
    <w:p w14:paraId="18F0462E" w14:textId="2EB1F726" w:rsidR="00382677" w:rsidRDefault="00767CDF" w:rsidP="00C559A3">
      <w:pPr>
        <w:rPr>
          <w:rFonts w:ascii="Arial" w:hAnsi="Arial" w:cs="Arial"/>
          <w:sz w:val="24"/>
          <w:szCs w:val="24"/>
        </w:rPr>
      </w:pPr>
      <w:r>
        <w:rPr>
          <w:rFonts w:ascii="Arial" w:hAnsi="Arial" w:cs="Arial"/>
          <w:sz w:val="24"/>
          <w:szCs w:val="24"/>
        </w:rPr>
        <w:t xml:space="preserve">The ‘rule of strictness’ and the prohibition on ‘general warrants’ are read into section 194.  </w:t>
      </w:r>
      <w:r w:rsidR="0012300C">
        <w:rPr>
          <w:rFonts w:ascii="Arial" w:hAnsi="Arial" w:cs="Arial"/>
          <w:sz w:val="24"/>
          <w:szCs w:val="24"/>
        </w:rPr>
        <w:t xml:space="preserve">A warrant to search a premises (section 194(1)) or a warrant to search a person (section 194(2)) </w:t>
      </w:r>
      <w:r>
        <w:rPr>
          <w:rFonts w:ascii="Arial" w:hAnsi="Arial" w:cs="Arial"/>
          <w:sz w:val="24"/>
          <w:szCs w:val="24"/>
        </w:rPr>
        <w:t>require the issuing officer to be</w:t>
      </w:r>
      <w:r w:rsidR="00856E72">
        <w:rPr>
          <w:rFonts w:ascii="Arial" w:hAnsi="Arial" w:cs="Arial"/>
          <w:sz w:val="24"/>
          <w:szCs w:val="24"/>
        </w:rPr>
        <w:t>:</w:t>
      </w:r>
    </w:p>
    <w:p w14:paraId="701BB58D" w14:textId="1792A796" w:rsidR="00856E72" w:rsidRDefault="0012300C" w:rsidP="0012300C">
      <w:pPr>
        <w:pStyle w:val="ListParagraph"/>
        <w:numPr>
          <w:ilvl w:val="0"/>
          <w:numId w:val="22"/>
        </w:numPr>
        <w:rPr>
          <w:rFonts w:ascii="Arial" w:hAnsi="Arial" w:cs="Arial"/>
          <w:sz w:val="24"/>
          <w:szCs w:val="24"/>
        </w:rPr>
      </w:pPr>
      <w:r>
        <w:rPr>
          <w:rFonts w:ascii="Arial" w:hAnsi="Arial" w:cs="Arial"/>
          <w:sz w:val="24"/>
          <w:szCs w:val="24"/>
        </w:rPr>
        <w:t>Satisfied</w:t>
      </w:r>
    </w:p>
    <w:p w14:paraId="67E98F2E" w14:textId="60D836E9" w:rsidR="0012300C" w:rsidRDefault="0012300C" w:rsidP="0012300C">
      <w:pPr>
        <w:pStyle w:val="ListParagraph"/>
        <w:numPr>
          <w:ilvl w:val="0"/>
          <w:numId w:val="22"/>
        </w:numPr>
        <w:rPr>
          <w:rFonts w:ascii="Arial" w:hAnsi="Arial" w:cs="Arial"/>
          <w:sz w:val="24"/>
          <w:szCs w:val="24"/>
        </w:rPr>
      </w:pPr>
      <w:r>
        <w:rPr>
          <w:rFonts w:ascii="Arial" w:hAnsi="Arial" w:cs="Arial"/>
          <w:sz w:val="24"/>
          <w:szCs w:val="24"/>
        </w:rPr>
        <w:t>By information on oath</w:t>
      </w:r>
    </w:p>
    <w:p w14:paraId="0AA16DA3" w14:textId="65ED198F" w:rsidR="0012300C" w:rsidRDefault="0012300C" w:rsidP="0012300C">
      <w:pPr>
        <w:pStyle w:val="ListParagraph"/>
        <w:numPr>
          <w:ilvl w:val="0"/>
          <w:numId w:val="22"/>
        </w:numPr>
        <w:rPr>
          <w:rFonts w:ascii="Arial" w:hAnsi="Arial" w:cs="Arial"/>
          <w:sz w:val="24"/>
          <w:szCs w:val="24"/>
        </w:rPr>
      </w:pPr>
      <w:r>
        <w:rPr>
          <w:rFonts w:ascii="Arial" w:hAnsi="Arial" w:cs="Arial"/>
          <w:sz w:val="24"/>
          <w:szCs w:val="24"/>
        </w:rPr>
        <w:t>That there are reasonable grounds for suspecting that</w:t>
      </w:r>
    </w:p>
    <w:p w14:paraId="47D1D707" w14:textId="50915549" w:rsidR="0012300C" w:rsidRDefault="0012300C" w:rsidP="0012300C">
      <w:pPr>
        <w:pStyle w:val="ListParagraph"/>
        <w:numPr>
          <w:ilvl w:val="0"/>
          <w:numId w:val="22"/>
        </w:numPr>
        <w:rPr>
          <w:rFonts w:ascii="Arial" w:hAnsi="Arial" w:cs="Arial"/>
          <w:sz w:val="24"/>
          <w:szCs w:val="24"/>
        </w:rPr>
      </w:pPr>
      <w:r>
        <w:rPr>
          <w:rFonts w:ascii="Arial" w:hAnsi="Arial" w:cs="Arial"/>
          <w:sz w:val="24"/>
          <w:szCs w:val="24"/>
        </w:rPr>
        <w:lastRenderedPageBreak/>
        <w:t>There is or will be</w:t>
      </w:r>
    </w:p>
    <w:p w14:paraId="7501E9CC" w14:textId="0B645AC7" w:rsidR="0012300C" w:rsidRPr="0012300C" w:rsidRDefault="0012300C" w:rsidP="0012300C">
      <w:pPr>
        <w:pStyle w:val="ListParagraph"/>
        <w:numPr>
          <w:ilvl w:val="0"/>
          <w:numId w:val="22"/>
        </w:numPr>
        <w:spacing w:after="240"/>
        <w:ind w:left="714" w:hanging="357"/>
        <w:rPr>
          <w:rFonts w:ascii="Arial" w:hAnsi="Arial" w:cs="Arial"/>
          <w:sz w:val="24"/>
          <w:szCs w:val="24"/>
        </w:rPr>
      </w:pPr>
      <w:r>
        <w:rPr>
          <w:rFonts w:ascii="Arial" w:hAnsi="Arial" w:cs="Arial"/>
          <w:sz w:val="24"/>
          <w:szCs w:val="24"/>
        </w:rPr>
        <w:t>Any evidential material.</w:t>
      </w:r>
    </w:p>
    <w:p w14:paraId="6B3DDCCA" w14:textId="2E58695D" w:rsidR="001F2FB3" w:rsidRPr="001F2FB3" w:rsidRDefault="0012300C" w:rsidP="00C559A3">
      <w:pPr>
        <w:rPr>
          <w:rFonts w:ascii="Arial" w:hAnsi="Arial" w:cs="Arial"/>
          <w:sz w:val="24"/>
          <w:szCs w:val="24"/>
        </w:rPr>
      </w:pPr>
      <w:r>
        <w:rPr>
          <w:rFonts w:ascii="Arial" w:hAnsi="Arial" w:cs="Arial"/>
          <w:sz w:val="24"/>
          <w:szCs w:val="24"/>
        </w:rPr>
        <w:t>The issuing officer is:</w:t>
      </w:r>
    </w:p>
    <w:p w14:paraId="7922732C" w14:textId="7F6651E0" w:rsidR="0012300C" w:rsidRPr="0012300C" w:rsidRDefault="0012300C" w:rsidP="0012300C">
      <w:pPr>
        <w:pStyle w:val="ListParagraph"/>
        <w:numPr>
          <w:ilvl w:val="0"/>
          <w:numId w:val="34"/>
        </w:numPr>
        <w:ind w:left="709" w:hanging="283"/>
        <w:rPr>
          <w:rFonts w:ascii="Arial" w:hAnsi="Arial" w:cs="Arial"/>
          <w:sz w:val="24"/>
          <w:szCs w:val="24"/>
        </w:rPr>
      </w:pPr>
      <w:r w:rsidRPr="0012300C">
        <w:rPr>
          <w:rFonts w:ascii="Arial" w:hAnsi="Arial" w:cs="Arial"/>
          <w:sz w:val="24"/>
          <w:szCs w:val="24"/>
        </w:rPr>
        <w:t>a judge, the registrar or a deputy registrar of the Supreme Court; or</w:t>
      </w:r>
    </w:p>
    <w:p w14:paraId="39A967E1" w14:textId="3D276847" w:rsidR="0012300C" w:rsidRPr="0012300C" w:rsidRDefault="0012300C" w:rsidP="0012300C">
      <w:pPr>
        <w:pStyle w:val="ListParagraph"/>
        <w:numPr>
          <w:ilvl w:val="0"/>
          <w:numId w:val="34"/>
        </w:numPr>
        <w:ind w:left="709" w:hanging="283"/>
        <w:rPr>
          <w:rFonts w:ascii="Arial" w:hAnsi="Arial" w:cs="Arial"/>
          <w:sz w:val="24"/>
          <w:szCs w:val="24"/>
        </w:rPr>
      </w:pPr>
      <w:r w:rsidRPr="0012300C">
        <w:rPr>
          <w:rFonts w:ascii="Arial" w:hAnsi="Arial" w:cs="Arial"/>
          <w:sz w:val="24"/>
          <w:szCs w:val="24"/>
        </w:rPr>
        <w:t>a magistrate; or</w:t>
      </w:r>
    </w:p>
    <w:p w14:paraId="3302F72F" w14:textId="5EAD18DA" w:rsidR="0012300C" w:rsidRPr="0012300C" w:rsidRDefault="0012300C" w:rsidP="0012300C">
      <w:pPr>
        <w:pStyle w:val="ListParagraph"/>
        <w:numPr>
          <w:ilvl w:val="0"/>
          <w:numId w:val="34"/>
        </w:numPr>
        <w:spacing w:after="240"/>
        <w:ind w:left="709" w:hanging="284"/>
        <w:rPr>
          <w:rFonts w:ascii="Arial" w:hAnsi="Arial" w:cs="Arial"/>
          <w:sz w:val="24"/>
          <w:szCs w:val="24"/>
        </w:rPr>
      </w:pPr>
      <w:r w:rsidRPr="0012300C">
        <w:rPr>
          <w:rFonts w:ascii="Arial" w:hAnsi="Arial" w:cs="Arial"/>
          <w:sz w:val="24"/>
          <w:szCs w:val="24"/>
        </w:rPr>
        <w:t>the registrar or a deputy registrar of the Magistrates Court</w:t>
      </w:r>
      <w:r w:rsidR="00F46B8D">
        <w:rPr>
          <w:rFonts w:ascii="Arial" w:hAnsi="Arial" w:cs="Arial"/>
          <w:sz w:val="24"/>
          <w:szCs w:val="24"/>
        </w:rPr>
        <w:t xml:space="preserve"> (</w:t>
      </w:r>
      <w:r w:rsidR="00F46B8D" w:rsidRPr="0012300C">
        <w:rPr>
          <w:rFonts w:ascii="Arial" w:hAnsi="Arial" w:cs="Arial"/>
          <w:sz w:val="24"/>
          <w:szCs w:val="24"/>
        </w:rPr>
        <w:t>if authorised by the Chief Magistrate to issue such search warrants</w:t>
      </w:r>
      <w:r w:rsidR="00F46B8D">
        <w:rPr>
          <w:rFonts w:ascii="Arial" w:hAnsi="Arial" w:cs="Arial"/>
          <w:sz w:val="24"/>
          <w:szCs w:val="24"/>
        </w:rPr>
        <w:t>)</w:t>
      </w:r>
      <w:r w:rsidRPr="0012300C">
        <w:rPr>
          <w:rFonts w:ascii="Arial" w:hAnsi="Arial" w:cs="Arial"/>
          <w:sz w:val="24"/>
          <w:szCs w:val="24"/>
        </w:rPr>
        <w:t>.</w:t>
      </w:r>
    </w:p>
    <w:p w14:paraId="33A03566" w14:textId="63EAFE87" w:rsidR="00415949" w:rsidRDefault="003F5FFC" w:rsidP="00C559A3">
      <w:pPr>
        <w:rPr>
          <w:rFonts w:ascii="Arial" w:hAnsi="Arial" w:cs="Arial"/>
          <w:sz w:val="24"/>
          <w:szCs w:val="24"/>
        </w:rPr>
      </w:pPr>
      <w:r>
        <w:rPr>
          <w:rFonts w:ascii="Arial" w:hAnsi="Arial" w:cs="Arial"/>
          <w:sz w:val="24"/>
          <w:szCs w:val="24"/>
        </w:rPr>
        <w:t>In addition to the common law constraint on issuing warrants, so far as it is possible to do so consistently with its purpose, a Territory law must be interpreted in a way that is compatible with human rights (</w:t>
      </w:r>
      <w:r>
        <w:rPr>
          <w:rFonts w:ascii="Arial" w:hAnsi="Arial" w:cs="Arial"/>
          <w:i/>
          <w:iCs/>
          <w:sz w:val="24"/>
          <w:szCs w:val="24"/>
        </w:rPr>
        <w:t>Human Rights Act</w:t>
      </w:r>
      <w:r w:rsidR="007F4547">
        <w:rPr>
          <w:rFonts w:ascii="Arial" w:hAnsi="Arial" w:cs="Arial"/>
          <w:i/>
          <w:iCs/>
          <w:sz w:val="24"/>
          <w:szCs w:val="24"/>
        </w:rPr>
        <w:t xml:space="preserve"> 2004</w:t>
      </w:r>
      <w:r>
        <w:rPr>
          <w:rFonts w:ascii="Arial" w:hAnsi="Arial" w:cs="Arial"/>
          <w:i/>
          <w:iCs/>
          <w:sz w:val="24"/>
          <w:szCs w:val="24"/>
        </w:rPr>
        <w:t xml:space="preserve"> </w:t>
      </w:r>
      <w:r>
        <w:rPr>
          <w:rFonts w:ascii="Arial" w:hAnsi="Arial" w:cs="Arial"/>
          <w:sz w:val="24"/>
          <w:szCs w:val="24"/>
        </w:rPr>
        <w:t xml:space="preserve">section 30). Further, the issuing officer is not the Court within the meaning of section 40(2) of the </w:t>
      </w:r>
      <w:r>
        <w:rPr>
          <w:rFonts w:ascii="Arial" w:hAnsi="Arial" w:cs="Arial"/>
          <w:i/>
          <w:iCs/>
          <w:sz w:val="24"/>
          <w:szCs w:val="24"/>
        </w:rPr>
        <w:t>Human Rights Act 2004</w:t>
      </w:r>
      <w:r>
        <w:rPr>
          <w:rFonts w:ascii="Arial" w:hAnsi="Arial" w:cs="Arial"/>
          <w:sz w:val="24"/>
          <w:szCs w:val="24"/>
        </w:rPr>
        <w:t xml:space="preserve">. The power to issue a warrant is an administrative power conferred upon </w:t>
      </w:r>
      <w:r w:rsidR="007F4547">
        <w:rPr>
          <w:rFonts w:ascii="Arial" w:hAnsi="Arial" w:cs="Arial"/>
          <w:sz w:val="24"/>
          <w:szCs w:val="24"/>
        </w:rPr>
        <w:t>judicial officers (and registrars) is administrative (</w:t>
      </w:r>
      <w:r w:rsidR="007F4547">
        <w:rPr>
          <w:rFonts w:ascii="Arial" w:hAnsi="Arial" w:cs="Arial"/>
          <w:i/>
          <w:iCs/>
          <w:sz w:val="24"/>
          <w:szCs w:val="24"/>
        </w:rPr>
        <w:t xml:space="preserve">Grollo v Palmer </w:t>
      </w:r>
      <w:r w:rsidR="007F4547">
        <w:rPr>
          <w:rFonts w:ascii="Arial" w:hAnsi="Arial" w:cs="Arial"/>
          <w:sz w:val="24"/>
          <w:szCs w:val="24"/>
        </w:rPr>
        <w:t>[1995] HCA 26) and, as such, the issuing officers are public authorities and must act consistently with human rights (</w:t>
      </w:r>
      <w:r w:rsidR="007F4547">
        <w:rPr>
          <w:rFonts w:ascii="Arial" w:hAnsi="Arial" w:cs="Arial"/>
          <w:i/>
          <w:iCs/>
          <w:sz w:val="24"/>
          <w:szCs w:val="24"/>
        </w:rPr>
        <w:t>Human Rights Act 2004</w:t>
      </w:r>
      <w:r w:rsidR="007F4547">
        <w:rPr>
          <w:rFonts w:ascii="Arial" w:hAnsi="Arial" w:cs="Arial"/>
          <w:sz w:val="24"/>
          <w:szCs w:val="24"/>
        </w:rPr>
        <w:t xml:space="preserve"> section 40A).</w:t>
      </w:r>
    </w:p>
    <w:p w14:paraId="32AC3DEF" w14:textId="0BB29035" w:rsidR="004E2BDA" w:rsidRDefault="004E2BDA" w:rsidP="00C559A3">
      <w:pPr>
        <w:rPr>
          <w:rFonts w:ascii="Arial" w:hAnsi="Arial" w:cs="Arial"/>
          <w:sz w:val="24"/>
          <w:szCs w:val="24"/>
        </w:rPr>
      </w:pPr>
      <w:r>
        <w:rPr>
          <w:rFonts w:ascii="Arial" w:hAnsi="Arial" w:cs="Arial"/>
          <w:sz w:val="24"/>
          <w:szCs w:val="24"/>
        </w:rPr>
        <w:t>People who are affected by search warrants (either by being the target of the warrant or being the owner or occupier of the premises targeted by the warrant) are able to challenge the lawfulness of the decision to issue the warrant.</w:t>
      </w:r>
    </w:p>
    <w:p w14:paraId="2E550252" w14:textId="500C3544" w:rsidR="007B1661" w:rsidRPr="007B1661" w:rsidRDefault="007F4547" w:rsidP="00C559A3">
      <w:pPr>
        <w:rPr>
          <w:rFonts w:ascii="Arial" w:hAnsi="Arial" w:cs="Arial"/>
          <w:i/>
          <w:iCs/>
          <w:sz w:val="24"/>
          <w:szCs w:val="24"/>
        </w:rPr>
      </w:pPr>
      <w:r>
        <w:rPr>
          <w:rFonts w:ascii="Arial" w:hAnsi="Arial" w:cs="Arial"/>
          <w:i/>
          <w:iCs/>
          <w:sz w:val="24"/>
          <w:szCs w:val="24"/>
        </w:rPr>
        <w:t>New safeguard: best interests test</w:t>
      </w:r>
    </w:p>
    <w:p w14:paraId="45C42464" w14:textId="7A704663" w:rsidR="007F4547" w:rsidRDefault="007F4547" w:rsidP="00C559A3">
      <w:pPr>
        <w:rPr>
          <w:rFonts w:ascii="Arial" w:hAnsi="Arial" w:cs="Arial"/>
          <w:sz w:val="24"/>
          <w:szCs w:val="24"/>
        </w:rPr>
      </w:pPr>
      <w:r>
        <w:rPr>
          <w:rFonts w:ascii="Arial" w:hAnsi="Arial" w:cs="Arial"/>
          <w:sz w:val="24"/>
          <w:szCs w:val="24"/>
        </w:rPr>
        <w:t>In addition to the existing common law</w:t>
      </w:r>
      <w:r w:rsidR="00CE0F5B">
        <w:rPr>
          <w:rFonts w:ascii="Arial" w:hAnsi="Arial" w:cs="Arial"/>
          <w:sz w:val="24"/>
          <w:szCs w:val="24"/>
        </w:rPr>
        <w:t>,</w:t>
      </w:r>
      <w:r>
        <w:rPr>
          <w:rFonts w:ascii="Arial" w:hAnsi="Arial" w:cs="Arial"/>
          <w:sz w:val="24"/>
          <w:szCs w:val="24"/>
        </w:rPr>
        <w:t xml:space="preserve"> statutory</w:t>
      </w:r>
      <w:r w:rsidR="00CE0F5B">
        <w:rPr>
          <w:rFonts w:ascii="Arial" w:hAnsi="Arial" w:cs="Arial"/>
          <w:sz w:val="24"/>
          <w:szCs w:val="24"/>
        </w:rPr>
        <w:t>, and human rights</w:t>
      </w:r>
      <w:r>
        <w:rPr>
          <w:rFonts w:ascii="Arial" w:hAnsi="Arial" w:cs="Arial"/>
          <w:sz w:val="24"/>
          <w:szCs w:val="24"/>
        </w:rPr>
        <w:t xml:space="preserve"> protections on issuing a warrant, this clause adds an additional requirement that the issuing officer must take into account the best interests of the person under 14 years old if:</w:t>
      </w:r>
    </w:p>
    <w:p w14:paraId="3137BC2E" w14:textId="5091002A" w:rsidR="007F4547" w:rsidRDefault="007A52B7" w:rsidP="007F4547">
      <w:pPr>
        <w:pStyle w:val="ListParagraph"/>
        <w:numPr>
          <w:ilvl w:val="0"/>
          <w:numId w:val="35"/>
        </w:numPr>
        <w:rPr>
          <w:rFonts w:ascii="Arial" w:hAnsi="Arial" w:cs="Arial"/>
          <w:sz w:val="24"/>
          <w:szCs w:val="24"/>
        </w:rPr>
      </w:pPr>
      <w:r>
        <w:rPr>
          <w:rFonts w:ascii="Arial" w:hAnsi="Arial" w:cs="Arial"/>
          <w:sz w:val="24"/>
          <w:szCs w:val="24"/>
        </w:rPr>
        <w:t>The issuing officer is considering an application for a warrant under which a person under 14 years old may be searched; or</w:t>
      </w:r>
    </w:p>
    <w:p w14:paraId="1A897D28" w14:textId="05712F4F" w:rsidR="007A52B7" w:rsidRPr="007F4547" w:rsidRDefault="007A52B7" w:rsidP="007A52B7">
      <w:pPr>
        <w:pStyle w:val="ListParagraph"/>
        <w:numPr>
          <w:ilvl w:val="0"/>
          <w:numId w:val="35"/>
        </w:numPr>
        <w:spacing w:after="240"/>
        <w:ind w:left="714" w:hanging="357"/>
        <w:rPr>
          <w:rFonts w:ascii="Arial" w:hAnsi="Arial" w:cs="Arial"/>
          <w:sz w:val="24"/>
          <w:szCs w:val="24"/>
        </w:rPr>
      </w:pPr>
      <w:r>
        <w:rPr>
          <w:rFonts w:ascii="Arial" w:hAnsi="Arial" w:cs="Arial"/>
          <w:sz w:val="24"/>
          <w:szCs w:val="24"/>
        </w:rPr>
        <w:t>The issuing officer is considering an application for a warrant to search a premises where a person under 14 years old may be present.</w:t>
      </w:r>
    </w:p>
    <w:p w14:paraId="3A6E0977" w14:textId="7F644BFD" w:rsidR="007B1661" w:rsidRDefault="007B1661" w:rsidP="00C559A3">
      <w:pPr>
        <w:rPr>
          <w:rFonts w:ascii="Arial" w:hAnsi="Arial" w:cs="Arial"/>
          <w:sz w:val="24"/>
          <w:szCs w:val="24"/>
        </w:rPr>
      </w:pPr>
      <w:r>
        <w:rPr>
          <w:rFonts w:ascii="Arial" w:hAnsi="Arial" w:cs="Arial"/>
          <w:sz w:val="24"/>
          <w:szCs w:val="24"/>
        </w:rPr>
        <w:t>When issuing a warrant under which a person under 14 years old may be searched or may be present at premises that may be searched, the issuing officer must take into consideration the best interests of the child.</w:t>
      </w:r>
    </w:p>
    <w:p w14:paraId="374D918B" w14:textId="756C7561" w:rsidR="006F084D" w:rsidRDefault="006F084D" w:rsidP="00C559A3">
      <w:pPr>
        <w:rPr>
          <w:rFonts w:ascii="Arial" w:hAnsi="Arial" w:cs="Arial"/>
          <w:sz w:val="24"/>
          <w:szCs w:val="24"/>
        </w:rPr>
      </w:pPr>
      <w:r>
        <w:rPr>
          <w:rFonts w:ascii="Arial" w:hAnsi="Arial" w:cs="Arial"/>
          <w:sz w:val="24"/>
          <w:szCs w:val="24"/>
        </w:rPr>
        <w:t>Article 3 of the Convention on the Rights of the Child requires that ‘</w:t>
      </w:r>
      <w:r w:rsidRPr="006F084D">
        <w:rPr>
          <w:rFonts w:ascii="Arial" w:hAnsi="Arial" w:cs="Arial"/>
          <w:sz w:val="24"/>
          <w:szCs w:val="24"/>
        </w:rPr>
        <w:t>in all actions concerning children, whether undertaken by public or private social welfare institutions, courts of law, administrative authorities or legislative bodies, the best interests of the child shall be a primary consideration</w:t>
      </w:r>
      <w:r>
        <w:rPr>
          <w:rFonts w:ascii="Arial" w:hAnsi="Arial" w:cs="Arial"/>
          <w:sz w:val="24"/>
          <w:szCs w:val="24"/>
        </w:rPr>
        <w:t xml:space="preserve">’. </w:t>
      </w:r>
    </w:p>
    <w:p w14:paraId="35174E41" w14:textId="7079C506" w:rsidR="00B10812" w:rsidRDefault="006F084D">
      <w:pPr>
        <w:rPr>
          <w:rFonts w:ascii="Arial" w:hAnsi="Arial" w:cs="Arial"/>
          <w:sz w:val="24"/>
          <w:szCs w:val="24"/>
        </w:rPr>
      </w:pPr>
      <w:r>
        <w:rPr>
          <w:rFonts w:ascii="Arial" w:hAnsi="Arial" w:cs="Arial"/>
          <w:sz w:val="24"/>
          <w:szCs w:val="24"/>
        </w:rPr>
        <w:t>The UN Committee on the Rights of the Children stated that t</w:t>
      </w:r>
      <w:r w:rsidRPr="006F084D">
        <w:rPr>
          <w:rFonts w:ascii="Arial" w:hAnsi="Arial" w:cs="Arial"/>
          <w:sz w:val="24"/>
          <w:szCs w:val="24"/>
        </w:rPr>
        <w:t xml:space="preserve">he </w:t>
      </w:r>
      <w:r>
        <w:rPr>
          <w:rFonts w:ascii="Arial" w:hAnsi="Arial" w:cs="Arial"/>
          <w:sz w:val="24"/>
          <w:szCs w:val="24"/>
        </w:rPr>
        <w:t>‘</w:t>
      </w:r>
      <w:r w:rsidRPr="006F084D">
        <w:rPr>
          <w:rFonts w:ascii="Arial" w:hAnsi="Arial" w:cs="Arial"/>
          <w:sz w:val="24"/>
          <w:szCs w:val="24"/>
        </w:rPr>
        <w:t>concept of the child's best interests is complex and its content must be determined on a case-by-case basis.</w:t>
      </w:r>
      <w:r>
        <w:rPr>
          <w:rFonts w:ascii="Arial" w:hAnsi="Arial" w:cs="Arial"/>
          <w:sz w:val="24"/>
          <w:szCs w:val="24"/>
        </w:rPr>
        <w:t>’ Using the standard allows the issuing officer to tailor its reasoning ‘</w:t>
      </w:r>
      <w:r w:rsidRPr="006F084D">
        <w:rPr>
          <w:rFonts w:ascii="Arial" w:hAnsi="Arial" w:cs="Arial"/>
          <w:sz w:val="24"/>
          <w:szCs w:val="24"/>
        </w:rPr>
        <w:t xml:space="preserve">on an individual basis, according to the specific situation of the child or children concerned, taking into consideration their personal context, situation and needs. For individual </w:t>
      </w:r>
      <w:r w:rsidRPr="006F084D">
        <w:rPr>
          <w:rFonts w:ascii="Arial" w:hAnsi="Arial" w:cs="Arial"/>
          <w:sz w:val="24"/>
          <w:szCs w:val="24"/>
        </w:rPr>
        <w:lastRenderedPageBreak/>
        <w:t>decisions, the child's best interests must be assessed and determined in light of the specific circumstances of the particular child.</w:t>
      </w:r>
      <w:r>
        <w:rPr>
          <w:rFonts w:ascii="Arial" w:hAnsi="Arial" w:cs="Arial"/>
          <w:sz w:val="24"/>
          <w:szCs w:val="24"/>
        </w:rPr>
        <w:t>’</w:t>
      </w:r>
    </w:p>
    <w:p w14:paraId="4BE4BC63" w14:textId="66AF3D3E" w:rsidR="005209EA" w:rsidRDefault="005209EA">
      <w:pPr>
        <w:rPr>
          <w:rFonts w:ascii="Arial" w:hAnsi="Arial" w:cs="Arial"/>
          <w:sz w:val="24"/>
          <w:szCs w:val="24"/>
        </w:rPr>
      </w:pPr>
      <w:r>
        <w:rPr>
          <w:rFonts w:ascii="Arial" w:hAnsi="Arial" w:cs="Arial"/>
          <w:sz w:val="24"/>
          <w:szCs w:val="24"/>
        </w:rPr>
        <w:t xml:space="preserve">The concept of ‘best interests of the child’ is already used extensively in Territory law (for example, </w:t>
      </w:r>
      <w:r>
        <w:rPr>
          <w:rFonts w:ascii="Arial" w:hAnsi="Arial" w:cs="Arial"/>
          <w:i/>
          <w:iCs/>
          <w:sz w:val="24"/>
          <w:szCs w:val="24"/>
        </w:rPr>
        <w:t>Court Procedures Act 2004</w:t>
      </w:r>
      <w:r>
        <w:rPr>
          <w:rFonts w:ascii="Arial" w:hAnsi="Arial" w:cs="Arial"/>
          <w:sz w:val="24"/>
          <w:szCs w:val="24"/>
        </w:rPr>
        <w:t xml:space="preserve">, </w:t>
      </w:r>
      <w:r>
        <w:rPr>
          <w:rFonts w:ascii="Arial" w:hAnsi="Arial" w:cs="Arial"/>
          <w:i/>
          <w:iCs/>
          <w:sz w:val="24"/>
          <w:szCs w:val="24"/>
        </w:rPr>
        <w:t>Bail Act 1992</w:t>
      </w:r>
      <w:r>
        <w:rPr>
          <w:rFonts w:ascii="Arial" w:hAnsi="Arial" w:cs="Arial"/>
          <w:sz w:val="24"/>
          <w:szCs w:val="24"/>
        </w:rPr>
        <w:t xml:space="preserve">, and the </w:t>
      </w:r>
      <w:r>
        <w:rPr>
          <w:rFonts w:ascii="Arial" w:hAnsi="Arial" w:cs="Arial"/>
          <w:i/>
          <w:iCs/>
          <w:sz w:val="24"/>
          <w:szCs w:val="24"/>
        </w:rPr>
        <w:t>Freedom of Information Act 2016</w:t>
      </w:r>
      <w:r>
        <w:rPr>
          <w:rFonts w:ascii="Arial" w:hAnsi="Arial" w:cs="Arial"/>
          <w:sz w:val="24"/>
          <w:szCs w:val="24"/>
        </w:rPr>
        <w:t xml:space="preserve">). </w:t>
      </w:r>
    </w:p>
    <w:p w14:paraId="7732A834" w14:textId="50750CE7" w:rsidR="004E2BDA" w:rsidRDefault="004E2BDA">
      <w:pPr>
        <w:rPr>
          <w:rFonts w:ascii="Arial" w:hAnsi="Arial" w:cs="Arial"/>
          <w:sz w:val="24"/>
          <w:szCs w:val="24"/>
        </w:rPr>
      </w:pPr>
      <w:r>
        <w:rPr>
          <w:rFonts w:ascii="Arial" w:hAnsi="Arial" w:cs="Arial"/>
          <w:sz w:val="24"/>
          <w:szCs w:val="24"/>
        </w:rPr>
        <w:t xml:space="preserve">Strictly, this consideration was already required of an issuing officer. </w:t>
      </w:r>
      <w:r w:rsidR="002C2FA5">
        <w:rPr>
          <w:rFonts w:ascii="Arial" w:hAnsi="Arial" w:cs="Arial"/>
          <w:sz w:val="24"/>
          <w:szCs w:val="24"/>
        </w:rPr>
        <w:t>T</w:t>
      </w:r>
      <w:r>
        <w:rPr>
          <w:rFonts w:ascii="Arial" w:hAnsi="Arial" w:cs="Arial"/>
          <w:sz w:val="24"/>
          <w:szCs w:val="24"/>
        </w:rPr>
        <w:t xml:space="preserve">he amendment makes the requirement clearer and more precise. </w:t>
      </w:r>
    </w:p>
    <w:p w14:paraId="41BE30AF" w14:textId="66A05178" w:rsidR="005209EA" w:rsidRDefault="005209EA">
      <w:pPr>
        <w:rPr>
          <w:rFonts w:ascii="Arial" w:hAnsi="Arial" w:cs="Arial"/>
          <w:sz w:val="24"/>
          <w:szCs w:val="24"/>
        </w:rPr>
      </w:pPr>
      <w:r>
        <w:rPr>
          <w:rFonts w:ascii="Arial" w:hAnsi="Arial" w:cs="Arial"/>
          <w:i/>
          <w:iCs/>
          <w:sz w:val="24"/>
          <w:szCs w:val="24"/>
        </w:rPr>
        <w:t>New safeguard: notification</w:t>
      </w:r>
    </w:p>
    <w:p w14:paraId="1121CB69" w14:textId="77777777" w:rsidR="005209EA" w:rsidRDefault="005209EA">
      <w:pPr>
        <w:rPr>
          <w:rFonts w:ascii="Arial" w:hAnsi="Arial" w:cs="Arial"/>
          <w:sz w:val="24"/>
          <w:szCs w:val="24"/>
        </w:rPr>
      </w:pPr>
      <w:r>
        <w:rPr>
          <w:rFonts w:ascii="Arial" w:hAnsi="Arial" w:cs="Arial"/>
          <w:sz w:val="24"/>
          <w:szCs w:val="24"/>
        </w:rPr>
        <w:t>This clause also provides the discretionary power to require the person applying for the warrant, prior to its execution, to give notice to:</w:t>
      </w:r>
    </w:p>
    <w:p w14:paraId="7CE5D58B" w14:textId="2B40BA34" w:rsidR="005209EA" w:rsidRDefault="005209EA" w:rsidP="005209EA">
      <w:pPr>
        <w:pStyle w:val="ListParagraph"/>
        <w:numPr>
          <w:ilvl w:val="0"/>
          <w:numId w:val="36"/>
        </w:numPr>
        <w:rPr>
          <w:rFonts w:ascii="Arial" w:hAnsi="Arial" w:cs="Arial"/>
          <w:sz w:val="24"/>
          <w:szCs w:val="24"/>
        </w:rPr>
      </w:pPr>
      <w:r>
        <w:rPr>
          <w:rFonts w:ascii="Arial" w:hAnsi="Arial" w:cs="Arial"/>
          <w:sz w:val="24"/>
          <w:szCs w:val="24"/>
        </w:rPr>
        <w:t>The Aboriginal and Torres Strait Islander Children and Young People Commissioner</w:t>
      </w:r>
      <w:r w:rsidR="00D14C7B">
        <w:rPr>
          <w:rFonts w:ascii="Arial" w:hAnsi="Arial" w:cs="Arial"/>
          <w:sz w:val="24"/>
          <w:szCs w:val="24"/>
        </w:rPr>
        <w:t xml:space="preserve"> (‘the Commissioner’)</w:t>
      </w:r>
      <w:r>
        <w:rPr>
          <w:rFonts w:ascii="Arial" w:hAnsi="Arial" w:cs="Arial"/>
          <w:sz w:val="24"/>
          <w:szCs w:val="24"/>
        </w:rPr>
        <w:t xml:space="preserve"> if the person under 14 years old is known to be an Aboriginal or Torres Strait Islander person; or</w:t>
      </w:r>
    </w:p>
    <w:p w14:paraId="389EDDDF" w14:textId="57367F7C" w:rsidR="005209EA" w:rsidRDefault="005209EA" w:rsidP="005209EA">
      <w:pPr>
        <w:pStyle w:val="ListParagraph"/>
        <w:numPr>
          <w:ilvl w:val="0"/>
          <w:numId w:val="36"/>
        </w:numPr>
        <w:spacing w:after="240"/>
        <w:ind w:left="714" w:hanging="357"/>
        <w:rPr>
          <w:rFonts w:ascii="Arial" w:hAnsi="Arial" w:cs="Arial"/>
          <w:sz w:val="24"/>
          <w:szCs w:val="24"/>
        </w:rPr>
      </w:pPr>
      <w:r>
        <w:rPr>
          <w:rFonts w:ascii="Arial" w:hAnsi="Arial" w:cs="Arial"/>
          <w:sz w:val="24"/>
          <w:szCs w:val="24"/>
        </w:rPr>
        <w:t xml:space="preserve">The </w:t>
      </w:r>
      <w:r w:rsidR="00D14C7B">
        <w:rPr>
          <w:rFonts w:ascii="Arial" w:hAnsi="Arial" w:cs="Arial"/>
          <w:sz w:val="24"/>
          <w:szCs w:val="24"/>
        </w:rPr>
        <w:t>Public Advocate</w:t>
      </w:r>
      <w:r>
        <w:rPr>
          <w:rFonts w:ascii="Arial" w:hAnsi="Arial" w:cs="Arial"/>
          <w:sz w:val="24"/>
          <w:szCs w:val="24"/>
        </w:rPr>
        <w:t>.</w:t>
      </w:r>
    </w:p>
    <w:p w14:paraId="13400330" w14:textId="372DBC5B" w:rsidR="005209EA" w:rsidRDefault="005209EA" w:rsidP="005209EA">
      <w:pPr>
        <w:rPr>
          <w:rFonts w:ascii="Arial" w:hAnsi="Arial" w:cs="Arial"/>
          <w:sz w:val="24"/>
          <w:szCs w:val="24"/>
        </w:rPr>
      </w:pPr>
      <w:r>
        <w:rPr>
          <w:rFonts w:ascii="Arial" w:hAnsi="Arial" w:cs="Arial"/>
          <w:sz w:val="24"/>
          <w:szCs w:val="24"/>
        </w:rPr>
        <w:t xml:space="preserve">This power is discretionary because there may be situations in which it is inappropriate for </w:t>
      </w:r>
      <w:r w:rsidR="00D14C7B">
        <w:rPr>
          <w:rFonts w:ascii="Arial" w:hAnsi="Arial" w:cs="Arial"/>
          <w:sz w:val="24"/>
          <w:szCs w:val="24"/>
        </w:rPr>
        <w:t>them</w:t>
      </w:r>
      <w:r>
        <w:rPr>
          <w:rFonts w:ascii="Arial" w:hAnsi="Arial" w:cs="Arial"/>
          <w:sz w:val="24"/>
          <w:szCs w:val="24"/>
        </w:rPr>
        <w:t xml:space="preserve"> to be notified of the warrant prior to its execution.</w:t>
      </w:r>
    </w:p>
    <w:p w14:paraId="6D6F4AE0" w14:textId="1B8F6308" w:rsidR="005209EA" w:rsidRPr="005209EA" w:rsidRDefault="005209EA" w:rsidP="005209EA">
      <w:pPr>
        <w:rPr>
          <w:rFonts w:ascii="Arial" w:hAnsi="Arial" w:cs="Arial"/>
          <w:sz w:val="24"/>
          <w:szCs w:val="24"/>
        </w:rPr>
      </w:pPr>
      <w:r>
        <w:rPr>
          <w:rFonts w:ascii="Arial" w:hAnsi="Arial" w:cs="Arial"/>
          <w:sz w:val="24"/>
          <w:szCs w:val="24"/>
        </w:rPr>
        <w:t xml:space="preserve">The power </w:t>
      </w:r>
      <w:r w:rsidR="002E5838">
        <w:rPr>
          <w:rFonts w:ascii="Arial" w:hAnsi="Arial" w:cs="Arial"/>
          <w:sz w:val="24"/>
          <w:szCs w:val="24"/>
        </w:rPr>
        <w:t>provides an additional pathway to redirect young people out of the criminal justice system and into therapeutic options. By notifying the Commissioner</w:t>
      </w:r>
      <w:r w:rsidR="00D14C7B">
        <w:rPr>
          <w:rFonts w:ascii="Arial" w:hAnsi="Arial" w:cs="Arial"/>
          <w:sz w:val="24"/>
          <w:szCs w:val="24"/>
        </w:rPr>
        <w:t xml:space="preserve"> or Public Advocate</w:t>
      </w:r>
      <w:r w:rsidR="002E5838">
        <w:rPr>
          <w:rFonts w:ascii="Arial" w:hAnsi="Arial" w:cs="Arial"/>
          <w:sz w:val="24"/>
          <w:szCs w:val="24"/>
        </w:rPr>
        <w:t xml:space="preserve"> prior to executing the warrant, there is the option for </w:t>
      </w:r>
      <w:r w:rsidR="00D14C7B">
        <w:rPr>
          <w:rFonts w:ascii="Arial" w:hAnsi="Arial" w:cs="Arial"/>
          <w:sz w:val="24"/>
          <w:szCs w:val="24"/>
        </w:rPr>
        <w:t>them</w:t>
      </w:r>
      <w:r w:rsidR="002E5838">
        <w:rPr>
          <w:rFonts w:ascii="Arial" w:hAnsi="Arial" w:cs="Arial"/>
          <w:sz w:val="24"/>
          <w:szCs w:val="24"/>
        </w:rPr>
        <w:t xml:space="preserve"> to provide additional support to the person under 14 years old who might be adversely affected by the execution of the warrant.</w:t>
      </w:r>
    </w:p>
    <w:p w14:paraId="1045FBC1" w14:textId="64DF8C05" w:rsidR="002001F2" w:rsidRPr="00ED3B77" w:rsidRDefault="002001F2" w:rsidP="002001F2">
      <w:pPr>
        <w:pStyle w:val="Heading3"/>
        <w:ind w:left="1440" w:hanging="1440"/>
        <w:rPr>
          <w:b w:val="0"/>
        </w:rPr>
      </w:pPr>
      <w:r w:rsidRPr="00ED3B77">
        <w:t xml:space="preserve">Clause </w:t>
      </w:r>
      <w:r w:rsidR="004E2BDA">
        <w:t>10</w:t>
      </w:r>
      <w:r w:rsidRPr="00ED3B77">
        <w:tab/>
      </w:r>
      <w:r w:rsidRPr="00E13270">
        <w:rPr>
          <w:bCs/>
        </w:rPr>
        <w:t>Section 1</w:t>
      </w:r>
      <w:r>
        <w:rPr>
          <w:bCs/>
        </w:rPr>
        <w:t>94 (3A)</w:t>
      </w:r>
    </w:p>
    <w:p w14:paraId="67D7D482" w14:textId="07A0456E" w:rsidR="002001F2" w:rsidRDefault="002001F2" w:rsidP="002001F2">
      <w:pPr>
        <w:rPr>
          <w:rFonts w:ascii="Arial" w:hAnsi="Arial" w:cs="Arial"/>
          <w:sz w:val="24"/>
          <w:szCs w:val="24"/>
        </w:rPr>
      </w:pPr>
      <w:r>
        <w:rPr>
          <w:rFonts w:ascii="Arial" w:hAnsi="Arial" w:cs="Arial"/>
          <w:sz w:val="24"/>
          <w:szCs w:val="24"/>
        </w:rPr>
        <w:t xml:space="preserve">This clause </w:t>
      </w:r>
      <w:r w:rsidR="00CE0F5B">
        <w:rPr>
          <w:rFonts w:ascii="Arial" w:hAnsi="Arial" w:cs="Arial"/>
          <w:sz w:val="24"/>
          <w:szCs w:val="24"/>
        </w:rPr>
        <w:t>creates a new obligation on the person applying for the warrant to notify the issuing officer if they know or suspect that a person under 14 years old may be searched or may be present at premises that may be searched.</w:t>
      </w:r>
    </w:p>
    <w:p w14:paraId="16DD1ED1" w14:textId="6E0AA03B" w:rsidR="00CE0F5B" w:rsidRDefault="00CE0F5B" w:rsidP="002001F2">
      <w:pPr>
        <w:rPr>
          <w:rFonts w:ascii="Arial" w:hAnsi="Arial" w:cs="Arial"/>
          <w:sz w:val="24"/>
          <w:szCs w:val="24"/>
        </w:rPr>
      </w:pPr>
      <w:r>
        <w:rPr>
          <w:rFonts w:ascii="Arial" w:hAnsi="Arial" w:cs="Arial"/>
          <w:sz w:val="24"/>
          <w:szCs w:val="24"/>
        </w:rPr>
        <w:t>If the person knows or suspects that a person under 14 years old may be searched or may be present at premises that may be searched, then the person applying for the warrant must state that knowledge or suspicion and the grounds for the knowledge or suspicion in the information.</w:t>
      </w:r>
    </w:p>
    <w:p w14:paraId="4C56B27B" w14:textId="55B7CEDD" w:rsidR="00CE0F5B" w:rsidRDefault="00CE0F5B" w:rsidP="002001F2">
      <w:pPr>
        <w:rPr>
          <w:rFonts w:ascii="Arial" w:hAnsi="Arial" w:cs="Arial"/>
          <w:sz w:val="24"/>
          <w:szCs w:val="24"/>
        </w:rPr>
      </w:pPr>
      <w:r>
        <w:rPr>
          <w:rFonts w:ascii="Arial" w:hAnsi="Arial" w:cs="Arial"/>
          <w:sz w:val="24"/>
          <w:szCs w:val="24"/>
        </w:rPr>
        <w:t>This clause does not require police officers (or those making applications) to make specific inquiries into whether or not a person under 14 years old is at the premises being searched or may be subject to a search. The clause does require police officers (or those making applications) to turn their minds to whether a person under 14 years old may be at the premises or may be searched.</w:t>
      </w:r>
    </w:p>
    <w:p w14:paraId="2D89887D" w14:textId="23DCA797" w:rsidR="002001F2" w:rsidRDefault="00CE0F5B">
      <w:pPr>
        <w:rPr>
          <w:rFonts w:ascii="Arial" w:hAnsi="Arial" w:cs="Arial"/>
          <w:sz w:val="24"/>
          <w:szCs w:val="24"/>
        </w:rPr>
      </w:pPr>
      <w:r>
        <w:rPr>
          <w:rFonts w:ascii="Arial" w:hAnsi="Arial" w:cs="Arial"/>
          <w:sz w:val="24"/>
          <w:szCs w:val="24"/>
        </w:rPr>
        <w:t>The purpose of this clause is to</w:t>
      </w:r>
      <w:r w:rsidR="00B40EBB">
        <w:rPr>
          <w:rFonts w:ascii="Arial" w:hAnsi="Arial" w:cs="Arial"/>
          <w:sz w:val="24"/>
          <w:szCs w:val="24"/>
        </w:rPr>
        <w:t xml:space="preserve"> ensure the issuing officer has information presented to them</w:t>
      </w:r>
      <w:r>
        <w:rPr>
          <w:rFonts w:ascii="Arial" w:hAnsi="Arial" w:cs="Arial"/>
          <w:sz w:val="24"/>
          <w:szCs w:val="24"/>
        </w:rPr>
        <w:t xml:space="preserve"> to consider the best interests of the child and</w:t>
      </w:r>
      <w:r w:rsidR="001C0A3F">
        <w:rPr>
          <w:rFonts w:ascii="Arial" w:hAnsi="Arial" w:cs="Arial"/>
          <w:sz w:val="24"/>
          <w:szCs w:val="24"/>
        </w:rPr>
        <w:t xml:space="preserve"> provide them with</w:t>
      </w:r>
      <w:r>
        <w:rPr>
          <w:rFonts w:ascii="Arial" w:hAnsi="Arial" w:cs="Arial"/>
          <w:sz w:val="24"/>
          <w:szCs w:val="24"/>
        </w:rPr>
        <w:t xml:space="preserve"> the option to require a Commissioner to be notified. </w:t>
      </w:r>
    </w:p>
    <w:p w14:paraId="29E36F35" w14:textId="36F31651" w:rsidR="004E2BDA" w:rsidRDefault="004E2BDA">
      <w:r>
        <w:rPr>
          <w:rFonts w:ascii="Arial" w:hAnsi="Arial" w:cs="Arial"/>
          <w:sz w:val="24"/>
          <w:szCs w:val="24"/>
        </w:rPr>
        <w:lastRenderedPageBreak/>
        <w:t xml:space="preserve">This clause does not expand police powers. </w:t>
      </w:r>
    </w:p>
    <w:p w14:paraId="4AC9E260" w14:textId="13E2D905" w:rsidR="00CE0F5B" w:rsidRPr="00ED3B77" w:rsidRDefault="00CE0F5B" w:rsidP="00CE0F5B">
      <w:pPr>
        <w:pStyle w:val="Heading3"/>
        <w:ind w:left="1440" w:hanging="1440"/>
        <w:rPr>
          <w:b w:val="0"/>
        </w:rPr>
      </w:pPr>
      <w:r w:rsidRPr="00ED3B77">
        <w:t xml:space="preserve">Clause </w:t>
      </w:r>
      <w:r w:rsidR="004E2BDA">
        <w:t>11</w:t>
      </w:r>
      <w:r w:rsidRPr="00ED3B77">
        <w:tab/>
      </w:r>
      <w:r>
        <w:rPr>
          <w:bCs/>
        </w:rPr>
        <w:t>New subdivision 10.7.1A</w:t>
      </w:r>
    </w:p>
    <w:p w14:paraId="3DFE560A" w14:textId="36C6EF32" w:rsidR="00CE0F5B" w:rsidRDefault="00CE0F5B" w:rsidP="00CE0F5B">
      <w:pPr>
        <w:rPr>
          <w:rFonts w:ascii="Arial" w:hAnsi="Arial" w:cs="Arial"/>
          <w:sz w:val="24"/>
          <w:szCs w:val="24"/>
        </w:rPr>
      </w:pPr>
      <w:r>
        <w:rPr>
          <w:rFonts w:ascii="Arial" w:hAnsi="Arial" w:cs="Arial"/>
          <w:sz w:val="24"/>
          <w:szCs w:val="24"/>
        </w:rPr>
        <w:t xml:space="preserve">This clause </w:t>
      </w:r>
      <w:r w:rsidR="002F1E04">
        <w:rPr>
          <w:rFonts w:ascii="Arial" w:hAnsi="Arial" w:cs="Arial"/>
          <w:sz w:val="24"/>
          <w:szCs w:val="24"/>
        </w:rPr>
        <w:t xml:space="preserve">inserts a new subdivision into the </w:t>
      </w:r>
      <w:r w:rsidR="002F1E04">
        <w:rPr>
          <w:rFonts w:ascii="Arial" w:hAnsi="Arial" w:cs="Arial"/>
          <w:i/>
          <w:iCs/>
          <w:sz w:val="24"/>
          <w:szCs w:val="24"/>
        </w:rPr>
        <w:t xml:space="preserve">Crimes Act 1900 </w:t>
      </w:r>
      <w:r w:rsidR="002F1E04">
        <w:rPr>
          <w:rFonts w:ascii="Arial" w:hAnsi="Arial" w:cs="Arial"/>
          <w:sz w:val="24"/>
          <w:szCs w:val="24"/>
        </w:rPr>
        <w:t>that is intended to apply to every power to stop, to search, or to detain a person under Territory law (including common law)</w:t>
      </w:r>
      <w:r w:rsidR="00EE6767">
        <w:rPr>
          <w:rFonts w:ascii="Arial" w:hAnsi="Arial" w:cs="Arial"/>
          <w:sz w:val="24"/>
          <w:szCs w:val="24"/>
        </w:rPr>
        <w:t xml:space="preserve">, other than those powers exercised </w:t>
      </w:r>
      <w:r w:rsidR="00632C4D">
        <w:rPr>
          <w:rFonts w:ascii="Arial" w:hAnsi="Arial" w:cs="Arial"/>
          <w:sz w:val="24"/>
          <w:szCs w:val="24"/>
        </w:rPr>
        <w:t>under a warrant</w:t>
      </w:r>
      <w:r w:rsidR="001E7199">
        <w:rPr>
          <w:rFonts w:ascii="Arial" w:hAnsi="Arial" w:cs="Arial"/>
          <w:sz w:val="24"/>
          <w:szCs w:val="24"/>
        </w:rPr>
        <w:t xml:space="preserve"> or other order of a Court or the ACT Civil and Administrative Tribunal (ACAT)</w:t>
      </w:r>
      <w:r w:rsidR="00632C4D">
        <w:rPr>
          <w:rFonts w:ascii="Arial" w:hAnsi="Arial" w:cs="Arial"/>
          <w:sz w:val="24"/>
          <w:szCs w:val="24"/>
        </w:rPr>
        <w:t>.</w:t>
      </w:r>
    </w:p>
    <w:p w14:paraId="6997A7C1" w14:textId="16F58004" w:rsidR="002F1E04" w:rsidRPr="002F1E04" w:rsidRDefault="002F1E04" w:rsidP="00CE0F5B">
      <w:pPr>
        <w:rPr>
          <w:rFonts w:ascii="Arial" w:hAnsi="Arial" w:cs="Arial"/>
          <w:iCs/>
          <w:sz w:val="24"/>
          <w:szCs w:val="24"/>
        </w:rPr>
      </w:pPr>
      <w:r>
        <w:rPr>
          <w:rFonts w:ascii="Arial" w:hAnsi="Arial" w:cs="Arial"/>
          <w:sz w:val="24"/>
          <w:szCs w:val="24"/>
        </w:rPr>
        <w:t>The key statutory source for the powers to stop, search, and detain</w:t>
      </w:r>
      <w:r w:rsidR="00EE6767">
        <w:rPr>
          <w:rFonts w:ascii="Arial" w:hAnsi="Arial" w:cs="Arial"/>
          <w:sz w:val="24"/>
          <w:szCs w:val="24"/>
        </w:rPr>
        <w:t xml:space="preserve"> without a warrant</w:t>
      </w:r>
      <w:r>
        <w:rPr>
          <w:rFonts w:ascii="Arial" w:hAnsi="Arial" w:cs="Arial"/>
          <w:sz w:val="24"/>
          <w:szCs w:val="24"/>
        </w:rPr>
        <w:t xml:space="preserve"> are in section</w:t>
      </w:r>
      <w:r w:rsidR="001C0A3F">
        <w:rPr>
          <w:rFonts w:ascii="Arial" w:hAnsi="Arial" w:cs="Arial"/>
          <w:sz w:val="24"/>
          <w:szCs w:val="24"/>
        </w:rPr>
        <w:t> </w:t>
      </w:r>
      <w:r>
        <w:rPr>
          <w:rFonts w:ascii="Arial" w:hAnsi="Arial" w:cs="Arial"/>
          <w:sz w:val="24"/>
          <w:szCs w:val="24"/>
        </w:rPr>
        <w:t xml:space="preserve">207 of the </w:t>
      </w:r>
      <w:r>
        <w:rPr>
          <w:rFonts w:ascii="Arial" w:hAnsi="Arial" w:cs="Arial"/>
          <w:i/>
          <w:sz w:val="24"/>
          <w:szCs w:val="24"/>
        </w:rPr>
        <w:t>Crimes Act 1900</w:t>
      </w:r>
      <w:r>
        <w:rPr>
          <w:rFonts w:ascii="Arial" w:hAnsi="Arial" w:cs="Arial"/>
          <w:iCs/>
          <w:sz w:val="24"/>
          <w:szCs w:val="24"/>
        </w:rPr>
        <w:t>.</w:t>
      </w:r>
    </w:p>
    <w:p w14:paraId="30AFD5CD" w14:textId="5CE53FCD" w:rsidR="002F1E04" w:rsidRDefault="002F1E04" w:rsidP="00CE0F5B">
      <w:pPr>
        <w:rPr>
          <w:rFonts w:ascii="Arial" w:hAnsi="Arial" w:cs="Arial"/>
          <w:sz w:val="24"/>
          <w:szCs w:val="24"/>
        </w:rPr>
      </w:pPr>
      <w:r>
        <w:rPr>
          <w:rFonts w:ascii="Arial" w:hAnsi="Arial" w:cs="Arial"/>
          <w:sz w:val="24"/>
          <w:szCs w:val="24"/>
        </w:rPr>
        <w:t xml:space="preserve">A power to stop is a power to interrupt a person going about their business. The police officer is permitted to ask questions, but the person stopped is not required to provide that information unless required by another law (for example, </w:t>
      </w:r>
      <w:r>
        <w:rPr>
          <w:rFonts w:ascii="Arial" w:hAnsi="Arial" w:cs="Arial"/>
          <w:i/>
          <w:iCs/>
          <w:sz w:val="24"/>
          <w:szCs w:val="24"/>
        </w:rPr>
        <w:t xml:space="preserve">Crimes Act 1900 </w:t>
      </w:r>
      <w:r>
        <w:rPr>
          <w:rFonts w:ascii="Arial" w:hAnsi="Arial" w:cs="Arial"/>
          <w:sz w:val="24"/>
          <w:szCs w:val="24"/>
        </w:rPr>
        <w:t>section 211).</w:t>
      </w:r>
    </w:p>
    <w:p w14:paraId="5828B6AE" w14:textId="1639C7BE" w:rsidR="00632C4D" w:rsidRDefault="002F1E04" w:rsidP="00CE0F5B">
      <w:pPr>
        <w:rPr>
          <w:rFonts w:ascii="Arial" w:hAnsi="Arial" w:cs="Arial"/>
          <w:sz w:val="24"/>
          <w:szCs w:val="24"/>
        </w:rPr>
      </w:pPr>
      <w:r>
        <w:rPr>
          <w:rFonts w:ascii="Arial" w:hAnsi="Arial" w:cs="Arial"/>
          <w:sz w:val="24"/>
          <w:szCs w:val="24"/>
        </w:rPr>
        <w:t>A power to search is a power to explore a person, vehicle, or property for a relevant thing that is concealed. The nature of the search</w:t>
      </w:r>
      <w:r w:rsidR="00632C4D">
        <w:rPr>
          <w:rFonts w:ascii="Arial" w:hAnsi="Arial" w:cs="Arial"/>
          <w:sz w:val="24"/>
          <w:szCs w:val="24"/>
        </w:rPr>
        <w:t xml:space="preserve"> (for example, </w:t>
      </w:r>
      <w:r w:rsidR="00440A30">
        <w:rPr>
          <w:rFonts w:ascii="Arial" w:hAnsi="Arial" w:cs="Arial"/>
          <w:sz w:val="24"/>
          <w:szCs w:val="24"/>
        </w:rPr>
        <w:t>an ‘ordinary search’</w:t>
      </w:r>
      <w:r w:rsidR="00632C4D">
        <w:rPr>
          <w:rFonts w:ascii="Arial" w:hAnsi="Arial" w:cs="Arial"/>
          <w:sz w:val="24"/>
          <w:szCs w:val="24"/>
        </w:rPr>
        <w:t>)</w:t>
      </w:r>
      <w:r>
        <w:rPr>
          <w:rFonts w:ascii="Arial" w:hAnsi="Arial" w:cs="Arial"/>
          <w:sz w:val="24"/>
          <w:szCs w:val="24"/>
        </w:rPr>
        <w:t xml:space="preserve"> is determined by the relevant law</w:t>
      </w:r>
      <w:r w:rsidR="00632C4D">
        <w:rPr>
          <w:rFonts w:ascii="Arial" w:hAnsi="Arial" w:cs="Arial"/>
          <w:sz w:val="24"/>
          <w:szCs w:val="24"/>
        </w:rPr>
        <w:t xml:space="preserve"> authorising the search.</w:t>
      </w:r>
      <w:r w:rsidR="00440A30">
        <w:rPr>
          <w:rFonts w:ascii="Arial" w:hAnsi="Arial" w:cs="Arial"/>
          <w:sz w:val="24"/>
          <w:szCs w:val="24"/>
        </w:rPr>
        <w:t xml:space="preserve"> </w:t>
      </w:r>
    </w:p>
    <w:p w14:paraId="18A63FE2" w14:textId="1ABD4E26" w:rsidR="00632C4D" w:rsidRDefault="00632C4D" w:rsidP="00CE0F5B">
      <w:pPr>
        <w:rPr>
          <w:rFonts w:ascii="Arial" w:hAnsi="Arial" w:cs="Arial"/>
          <w:sz w:val="24"/>
          <w:szCs w:val="24"/>
        </w:rPr>
      </w:pPr>
      <w:r>
        <w:rPr>
          <w:rFonts w:ascii="Arial" w:hAnsi="Arial" w:cs="Arial"/>
          <w:sz w:val="24"/>
          <w:szCs w:val="24"/>
        </w:rPr>
        <w:t>A power to detain is a power to stop a person and prevent their departure without placing the person under arrest. The power to detain a person is often needed in order to search a person.</w:t>
      </w:r>
      <w:r w:rsidR="00CD320A">
        <w:rPr>
          <w:rFonts w:ascii="Arial" w:hAnsi="Arial" w:cs="Arial"/>
          <w:sz w:val="24"/>
          <w:szCs w:val="24"/>
        </w:rPr>
        <w:t xml:space="preserve"> A police officer may use reasonable force necessary and appropriate to give effect to the detention. </w:t>
      </w:r>
    </w:p>
    <w:p w14:paraId="724D0D63" w14:textId="43659717" w:rsidR="00456AE4" w:rsidRDefault="005D7C06" w:rsidP="00CE0F5B">
      <w:pPr>
        <w:rPr>
          <w:rFonts w:ascii="Arial" w:hAnsi="Arial" w:cs="Arial"/>
          <w:sz w:val="24"/>
          <w:szCs w:val="24"/>
        </w:rPr>
      </w:pPr>
      <w:r>
        <w:rPr>
          <w:rFonts w:ascii="Arial" w:hAnsi="Arial" w:cs="Arial"/>
          <w:sz w:val="24"/>
          <w:szCs w:val="24"/>
        </w:rPr>
        <w:t xml:space="preserve">It is common for statute to authorise the use of these powers if the police officer </w:t>
      </w:r>
      <w:r w:rsidRPr="005D7C06">
        <w:rPr>
          <w:rFonts w:ascii="Arial" w:hAnsi="Arial" w:cs="Arial"/>
          <w:i/>
          <w:iCs/>
          <w:sz w:val="24"/>
          <w:szCs w:val="24"/>
        </w:rPr>
        <w:t>suspects</w:t>
      </w:r>
      <w:r>
        <w:rPr>
          <w:rFonts w:ascii="Arial" w:hAnsi="Arial" w:cs="Arial"/>
          <w:sz w:val="24"/>
          <w:szCs w:val="24"/>
        </w:rPr>
        <w:t xml:space="preserve"> on reasonable grounds that an offence might have occurred.</w:t>
      </w:r>
      <w:r w:rsidR="00EE6767">
        <w:rPr>
          <w:rFonts w:ascii="Arial" w:hAnsi="Arial" w:cs="Arial"/>
          <w:sz w:val="24"/>
          <w:szCs w:val="24"/>
        </w:rPr>
        <w:t xml:space="preserve"> In section 207, the powers are available without a warrant because the officer suspects on reasonable grounds that the use of power is necessary and that the circumstances are serious and urgent.</w:t>
      </w:r>
      <w:r>
        <w:rPr>
          <w:rFonts w:ascii="Arial" w:hAnsi="Arial" w:cs="Arial"/>
          <w:sz w:val="24"/>
          <w:szCs w:val="24"/>
        </w:rPr>
        <w:t xml:space="preserve"> This standard is used so that police may investigate and find evidence to support (or dispel) their suspicions for the purposes of laying charges</w:t>
      </w:r>
      <w:r w:rsidR="00EE6767">
        <w:rPr>
          <w:rFonts w:ascii="Arial" w:hAnsi="Arial" w:cs="Arial"/>
          <w:sz w:val="24"/>
          <w:szCs w:val="24"/>
        </w:rPr>
        <w:t>, balanced against protecting the principle of common law trespass against the person</w:t>
      </w:r>
      <w:r w:rsidR="00456AE4">
        <w:rPr>
          <w:rFonts w:ascii="Arial" w:hAnsi="Arial" w:cs="Arial"/>
          <w:sz w:val="24"/>
          <w:szCs w:val="24"/>
        </w:rPr>
        <w:t>.</w:t>
      </w:r>
    </w:p>
    <w:p w14:paraId="5DC599F9" w14:textId="6FDB7148" w:rsidR="005D7C06" w:rsidRDefault="005D7C06" w:rsidP="00CE0F5B">
      <w:pPr>
        <w:rPr>
          <w:rFonts w:ascii="Arial" w:hAnsi="Arial" w:cs="Arial"/>
          <w:sz w:val="24"/>
          <w:szCs w:val="24"/>
        </w:rPr>
      </w:pPr>
      <w:r>
        <w:rPr>
          <w:rFonts w:ascii="Arial" w:hAnsi="Arial" w:cs="Arial"/>
          <w:sz w:val="24"/>
          <w:szCs w:val="24"/>
        </w:rPr>
        <w:t xml:space="preserve">With people under MACR, there is little justification for allowing investigations of suspected offences as the person is unable to be charged.  </w:t>
      </w:r>
      <w:r w:rsidR="00EE0AAC">
        <w:rPr>
          <w:rFonts w:ascii="Arial" w:hAnsi="Arial" w:cs="Arial"/>
          <w:sz w:val="24"/>
          <w:szCs w:val="24"/>
        </w:rPr>
        <w:t xml:space="preserve">As </w:t>
      </w:r>
      <w:r w:rsidR="00456AE4">
        <w:rPr>
          <w:rFonts w:ascii="Arial" w:hAnsi="Arial" w:cs="Arial"/>
          <w:sz w:val="24"/>
          <w:szCs w:val="24"/>
        </w:rPr>
        <w:t xml:space="preserve">charges cannot be laid, the police powers </w:t>
      </w:r>
      <w:r w:rsidR="00EE0AAC">
        <w:rPr>
          <w:rFonts w:ascii="Arial" w:hAnsi="Arial" w:cs="Arial"/>
          <w:sz w:val="24"/>
          <w:szCs w:val="24"/>
        </w:rPr>
        <w:t xml:space="preserve">are only </w:t>
      </w:r>
      <w:r w:rsidR="00456AE4">
        <w:rPr>
          <w:rFonts w:ascii="Arial" w:hAnsi="Arial" w:cs="Arial"/>
          <w:sz w:val="24"/>
          <w:szCs w:val="24"/>
        </w:rPr>
        <w:t>to be used in the interests of the safety of the community and the safety of the individual person.</w:t>
      </w:r>
    </w:p>
    <w:p w14:paraId="34DFD2F5" w14:textId="44950B6C" w:rsidR="00571955" w:rsidRDefault="00571955" w:rsidP="00EB2DA3">
      <w:pPr>
        <w:rPr>
          <w:rFonts w:ascii="Arial" w:hAnsi="Arial" w:cs="Arial"/>
          <w:sz w:val="24"/>
          <w:szCs w:val="24"/>
        </w:rPr>
      </w:pPr>
      <w:r>
        <w:rPr>
          <w:rFonts w:ascii="Arial" w:hAnsi="Arial" w:cs="Arial"/>
          <w:sz w:val="24"/>
          <w:szCs w:val="24"/>
        </w:rPr>
        <w:t>Because there is little justification for allowing investigations of suspected offences committed by people under MACR</w:t>
      </w:r>
      <w:r w:rsidR="00456AE4">
        <w:rPr>
          <w:rFonts w:ascii="Arial" w:hAnsi="Arial" w:cs="Arial"/>
          <w:sz w:val="24"/>
          <w:szCs w:val="24"/>
        </w:rPr>
        <w:t xml:space="preserve"> and because the powers are not being exercised under a warrant</w:t>
      </w:r>
      <w:r>
        <w:rPr>
          <w:rFonts w:ascii="Arial" w:hAnsi="Arial" w:cs="Arial"/>
          <w:sz w:val="24"/>
          <w:szCs w:val="24"/>
        </w:rPr>
        <w:t>, the new provisions more regularly use the standard of ‘belief on reasonable grounds’.</w:t>
      </w:r>
      <w:r w:rsidR="00456AE4">
        <w:rPr>
          <w:rFonts w:ascii="Arial" w:hAnsi="Arial" w:cs="Arial"/>
          <w:sz w:val="24"/>
          <w:szCs w:val="24"/>
        </w:rPr>
        <w:t xml:space="preserve"> This framework is consistent with similar areas of the </w:t>
      </w:r>
      <w:r w:rsidR="00456AE4">
        <w:rPr>
          <w:rFonts w:ascii="Arial" w:hAnsi="Arial" w:cs="Arial"/>
          <w:i/>
          <w:iCs/>
          <w:sz w:val="24"/>
          <w:szCs w:val="24"/>
        </w:rPr>
        <w:t>Crimes Act 1900</w:t>
      </w:r>
      <w:r w:rsidR="00EB2DA3">
        <w:rPr>
          <w:rFonts w:ascii="Arial" w:hAnsi="Arial" w:cs="Arial"/>
          <w:sz w:val="24"/>
          <w:szCs w:val="24"/>
        </w:rPr>
        <w:t>.</w:t>
      </w:r>
      <w:r w:rsidR="00456AE4">
        <w:rPr>
          <w:rFonts w:ascii="Arial" w:hAnsi="Arial" w:cs="Arial"/>
          <w:sz w:val="24"/>
          <w:szCs w:val="24"/>
        </w:rPr>
        <w:t xml:space="preserve"> </w:t>
      </w:r>
      <w:r w:rsidR="00EB2DA3">
        <w:rPr>
          <w:rFonts w:ascii="Arial" w:hAnsi="Arial" w:cs="Arial"/>
          <w:sz w:val="24"/>
          <w:szCs w:val="24"/>
        </w:rPr>
        <w:t>F</w:t>
      </w:r>
      <w:r w:rsidR="00456AE4">
        <w:rPr>
          <w:rFonts w:ascii="Arial" w:hAnsi="Arial" w:cs="Arial"/>
          <w:sz w:val="24"/>
          <w:szCs w:val="24"/>
        </w:rPr>
        <w:t xml:space="preserve">or example, </w:t>
      </w:r>
      <w:r w:rsidR="00EB2DA3">
        <w:rPr>
          <w:rFonts w:ascii="Arial" w:hAnsi="Arial" w:cs="Arial"/>
          <w:sz w:val="24"/>
          <w:szCs w:val="24"/>
        </w:rPr>
        <w:t xml:space="preserve">a search warrant may be issued by an issuing officer (judge, magistrate, or—in some circumstances—a registrar) if there </w:t>
      </w:r>
      <w:r w:rsidR="00EB2DA3" w:rsidRPr="00EB2DA3">
        <w:rPr>
          <w:rFonts w:ascii="Arial" w:hAnsi="Arial" w:cs="Arial"/>
          <w:sz w:val="24"/>
          <w:szCs w:val="24"/>
        </w:rPr>
        <w:t xml:space="preserve">are </w:t>
      </w:r>
      <w:r w:rsidR="00EB2DA3" w:rsidRPr="00EB2DA3">
        <w:rPr>
          <w:rFonts w:ascii="Arial" w:hAnsi="Arial" w:cs="Arial"/>
          <w:i/>
          <w:iCs/>
          <w:sz w:val="24"/>
          <w:szCs w:val="24"/>
        </w:rPr>
        <w:t>reasonable grounds for suspecting</w:t>
      </w:r>
      <w:r w:rsidR="00EB2DA3" w:rsidRPr="00EB2DA3">
        <w:rPr>
          <w:rFonts w:ascii="Arial" w:hAnsi="Arial" w:cs="Arial"/>
          <w:sz w:val="24"/>
          <w:szCs w:val="24"/>
        </w:rPr>
        <w:t xml:space="preserve"> that there is, or there will be within the next 72 hours, any evidential </w:t>
      </w:r>
      <w:r w:rsidR="00EB2DA3" w:rsidRPr="00EB2DA3">
        <w:rPr>
          <w:rFonts w:ascii="Arial" w:hAnsi="Arial" w:cs="Arial"/>
          <w:sz w:val="24"/>
          <w:szCs w:val="24"/>
        </w:rPr>
        <w:lastRenderedPageBreak/>
        <w:t>material at the premises</w:t>
      </w:r>
      <w:r w:rsidR="00EB2DA3">
        <w:rPr>
          <w:rFonts w:ascii="Arial" w:hAnsi="Arial" w:cs="Arial"/>
          <w:sz w:val="24"/>
          <w:szCs w:val="24"/>
        </w:rPr>
        <w:t xml:space="preserve"> (section 192). The warrant must state </w:t>
      </w:r>
      <w:r w:rsidR="00EB2DA3" w:rsidRPr="00EB2DA3">
        <w:rPr>
          <w:rFonts w:ascii="Arial" w:hAnsi="Arial" w:cs="Arial"/>
          <w:sz w:val="24"/>
          <w:szCs w:val="24"/>
        </w:rPr>
        <w:t>the kinds of evidential material that are to be searched for under the warrant</w:t>
      </w:r>
      <w:r w:rsidR="00EB2DA3">
        <w:rPr>
          <w:rFonts w:ascii="Arial" w:hAnsi="Arial" w:cs="Arial"/>
          <w:sz w:val="24"/>
          <w:szCs w:val="24"/>
        </w:rPr>
        <w:t xml:space="preserve">. If, during the execution of the warrant, the police officer notices things other than the type described in the warrant, they can only seize those things if they </w:t>
      </w:r>
      <w:r w:rsidR="00EB2DA3">
        <w:rPr>
          <w:rFonts w:ascii="Arial" w:hAnsi="Arial" w:cs="Arial"/>
          <w:i/>
          <w:iCs/>
          <w:sz w:val="24"/>
          <w:szCs w:val="24"/>
        </w:rPr>
        <w:t xml:space="preserve">believe on reasonable grounds </w:t>
      </w:r>
      <w:r w:rsidR="00EB2DA3">
        <w:rPr>
          <w:rFonts w:ascii="Arial" w:hAnsi="Arial" w:cs="Arial"/>
          <w:sz w:val="24"/>
          <w:szCs w:val="24"/>
        </w:rPr>
        <w:t>that the thing is:</w:t>
      </w:r>
      <w:r w:rsidR="00BC2970">
        <w:rPr>
          <w:rFonts w:ascii="Arial" w:hAnsi="Arial" w:cs="Arial"/>
          <w:sz w:val="24"/>
          <w:szCs w:val="24"/>
        </w:rPr>
        <w:t xml:space="preserve">  </w:t>
      </w:r>
    </w:p>
    <w:p w14:paraId="22373F44" w14:textId="6EB22B8B" w:rsidR="00EB2DA3" w:rsidRPr="00EB2DA3" w:rsidRDefault="00EB2DA3" w:rsidP="00EB2DA3">
      <w:pPr>
        <w:pStyle w:val="ListParagraph"/>
        <w:numPr>
          <w:ilvl w:val="0"/>
          <w:numId w:val="41"/>
        </w:numPr>
        <w:rPr>
          <w:rFonts w:ascii="Arial" w:hAnsi="Arial" w:cs="Arial"/>
          <w:sz w:val="24"/>
          <w:szCs w:val="24"/>
        </w:rPr>
      </w:pPr>
      <w:r w:rsidRPr="00EB2DA3">
        <w:rPr>
          <w:rFonts w:ascii="Arial" w:hAnsi="Arial" w:cs="Arial"/>
          <w:sz w:val="24"/>
          <w:szCs w:val="24"/>
        </w:rPr>
        <w:t>evidential material in relation to an offence to which the warrant relates; or</w:t>
      </w:r>
    </w:p>
    <w:p w14:paraId="0011A209" w14:textId="247EDB37" w:rsidR="00EB2DA3" w:rsidRPr="00EB2DA3" w:rsidRDefault="00EB2DA3" w:rsidP="00EB2DA3">
      <w:pPr>
        <w:pStyle w:val="ListParagraph"/>
        <w:numPr>
          <w:ilvl w:val="0"/>
          <w:numId w:val="41"/>
        </w:numPr>
        <w:rPr>
          <w:rFonts w:ascii="Arial" w:hAnsi="Arial" w:cs="Arial"/>
          <w:sz w:val="24"/>
          <w:szCs w:val="24"/>
        </w:rPr>
      </w:pPr>
      <w:r w:rsidRPr="00EB2DA3">
        <w:rPr>
          <w:rFonts w:ascii="Arial" w:hAnsi="Arial" w:cs="Arial"/>
          <w:sz w:val="24"/>
          <w:szCs w:val="24"/>
        </w:rPr>
        <w:t>a thing relevant to another offence that is a serious offence; or</w:t>
      </w:r>
    </w:p>
    <w:p w14:paraId="4139A590" w14:textId="22E192F6" w:rsidR="00EB2DA3" w:rsidRPr="00EB2DA3" w:rsidRDefault="00EB2DA3" w:rsidP="00EB2DA3">
      <w:pPr>
        <w:pStyle w:val="ListParagraph"/>
        <w:numPr>
          <w:ilvl w:val="0"/>
          <w:numId w:val="41"/>
        </w:numPr>
        <w:spacing w:after="240"/>
        <w:ind w:left="714" w:hanging="357"/>
        <w:rPr>
          <w:rFonts w:ascii="Arial" w:hAnsi="Arial" w:cs="Arial"/>
          <w:sz w:val="24"/>
          <w:szCs w:val="24"/>
        </w:rPr>
      </w:pPr>
      <w:r w:rsidRPr="00EB2DA3">
        <w:rPr>
          <w:rFonts w:ascii="Arial" w:hAnsi="Arial" w:cs="Arial"/>
          <w:sz w:val="24"/>
          <w:szCs w:val="24"/>
        </w:rPr>
        <w:t>target material or tainted property.</w:t>
      </w:r>
    </w:p>
    <w:p w14:paraId="6D67872A" w14:textId="661EABDB" w:rsidR="009B3158" w:rsidRDefault="00EB2DA3" w:rsidP="00571955">
      <w:pPr>
        <w:rPr>
          <w:rFonts w:ascii="Arial" w:hAnsi="Arial" w:cs="Arial"/>
          <w:sz w:val="24"/>
          <w:szCs w:val="24"/>
        </w:rPr>
      </w:pPr>
      <w:r>
        <w:rPr>
          <w:rFonts w:ascii="Arial" w:hAnsi="Arial" w:cs="Arial"/>
          <w:sz w:val="24"/>
          <w:szCs w:val="24"/>
        </w:rPr>
        <w:t xml:space="preserve">Because the additional trespass against the person is not clearly within the authority granted by the warrant, the police officer must form a higher degree of confidence about the nature of the materials before seizing them while executing a search warrant. </w:t>
      </w:r>
    </w:p>
    <w:p w14:paraId="1202B3F1" w14:textId="77777777" w:rsidR="009F0FA7" w:rsidRDefault="00EB2DA3" w:rsidP="00571955">
      <w:pPr>
        <w:rPr>
          <w:rFonts w:ascii="Arial" w:hAnsi="Arial" w:cs="Arial"/>
          <w:sz w:val="24"/>
          <w:szCs w:val="24"/>
        </w:rPr>
      </w:pPr>
      <w:r>
        <w:rPr>
          <w:rFonts w:ascii="Arial" w:hAnsi="Arial" w:cs="Arial"/>
          <w:sz w:val="24"/>
          <w:szCs w:val="24"/>
        </w:rPr>
        <w:t xml:space="preserve">Additional protections for minors are also included throughout the </w:t>
      </w:r>
      <w:r>
        <w:rPr>
          <w:rFonts w:ascii="Arial" w:hAnsi="Arial" w:cs="Arial"/>
          <w:i/>
          <w:iCs/>
          <w:sz w:val="24"/>
          <w:szCs w:val="24"/>
        </w:rPr>
        <w:t>Crimes Act 1900</w:t>
      </w:r>
      <w:r>
        <w:rPr>
          <w:rFonts w:ascii="Arial" w:hAnsi="Arial" w:cs="Arial"/>
          <w:sz w:val="24"/>
          <w:szCs w:val="24"/>
        </w:rPr>
        <w:t xml:space="preserve">. For example, if an adult is unimpaired and in custody, a police officer of or above the rank of sergeant </w:t>
      </w:r>
      <w:r w:rsidR="009F0FA7">
        <w:rPr>
          <w:rFonts w:ascii="Arial" w:hAnsi="Arial" w:cs="Arial"/>
          <w:sz w:val="24"/>
          <w:szCs w:val="24"/>
        </w:rPr>
        <w:t>may take a print of the person’s fingers (section 230(3)(b)(ii). If the person is instead under 16, an order from a magistrate is required.</w:t>
      </w:r>
    </w:p>
    <w:p w14:paraId="0015BA39" w14:textId="7559BC22" w:rsidR="00EB2DA3" w:rsidRPr="00EB2DA3" w:rsidRDefault="009F0FA7" w:rsidP="00571955">
      <w:pPr>
        <w:rPr>
          <w:rFonts w:ascii="Arial" w:hAnsi="Arial" w:cs="Arial"/>
          <w:sz w:val="24"/>
          <w:szCs w:val="24"/>
        </w:rPr>
      </w:pPr>
      <w:r>
        <w:rPr>
          <w:rFonts w:ascii="Arial" w:hAnsi="Arial" w:cs="Arial"/>
          <w:sz w:val="24"/>
          <w:szCs w:val="24"/>
        </w:rPr>
        <w:t xml:space="preserve">The distinction is also seen in the arrest power. To arrest a person lawfully without warrant under section 212 of the </w:t>
      </w:r>
      <w:r>
        <w:rPr>
          <w:rFonts w:ascii="Arial" w:hAnsi="Arial" w:cs="Arial"/>
          <w:i/>
          <w:iCs/>
          <w:sz w:val="24"/>
          <w:szCs w:val="24"/>
        </w:rPr>
        <w:t>Crimes Act 1900</w:t>
      </w:r>
      <w:r>
        <w:rPr>
          <w:rFonts w:ascii="Arial" w:hAnsi="Arial" w:cs="Arial"/>
          <w:sz w:val="24"/>
          <w:szCs w:val="24"/>
        </w:rPr>
        <w:t xml:space="preserve">, must </w:t>
      </w:r>
      <w:r w:rsidRPr="009F0FA7">
        <w:rPr>
          <w:rFonts w:ascii="Arial" w:hAnsi="Arial" w:cs="Arial"/>
          <w:i/>
          <w:iCs/>
          <w:sz w:val="24"/>
          <w:szCs w:val="24"/>
        </w:rPr>
        <w:t>suspect on reasonable grounds</w:t>
      </w:r>
      <w:r>
        <w:rPr>
          <w:rFonts w:ascii="Arial" w:hAnsi="Arial" w:cs="Arial"/>
          <w:sz w:val="24"/>
          <w:szCs w:val="24"/>
        </w:rPr>
        <w:t xml:space="preserve"> that (inter alia) the person has committed or is committing an offence. To arrest a person under the minimum age of criminal responsibility, the police officer must </w:t>
      </w:r>
      <w:r w:rsidRPr="009F0FA7">
        <w:rPr>
          <w:rFonts w:ascii="Arial" w:hAnsi="Arial" w:cs="Arial"/>
          <w:i/>
          <w:iCs/>
          <w:sz w:val="24"/>
          <w:szCs w:val="24"/>
        </w:rPr>
        <w:t>believe on reasonable grounds</w:t>
      </w:r>
      <w:r>
        <w:rPr>
          <w:rFonts w:ascii="Arial" w:hAnsi="Arial" w:cs="Arial"/>
          <w:sz w:val="24"/>
          <w:szCs w:val="24"/>
        </w:rPr>
        <w:t xml:space="preserve"> that (inter alia) the person committed the physical elements of the offence.</w:t>
      </w:r>
      <w:r w:rsidR="00EB2DA3">
        <w:rPr>
          <w:rFonts w:ascii="Arial" w:hAnsi="Arial" w:cs="Arial"/>
          <w:sz w:val="24"/>
          <w:szCs w:val="24"/>
        </w:rPr>
        <w:t xml:space="preserve"> </w:t>
      </w:r>
    </w:p>
    <w:p w14:paraId="74840D80" w14:textId="1FF0942E" w:rsidR="00456AE4" w:rsidRDefault="009B3158" w:rsidP="00571955">
      <w:pPr>
        <w:rPr>
          <w:rFonts w:ascii="Arial" w:hAnsi="Arial" w:cs="Arial"/>
          <w:sz w:val="24"/>
          <w:szCs w:val="24"/>
        </w:rPr>
      </w:pPr>
      <w:r>
        <w:rPr>
          <w:rFonts w:ascii="Arial" w:hAnsi="Arial" w:cs="Arial"/>
          <w:sz w:val="24"/>
          <w:szCs w:val="24"/>
        </w:rPr>
        <w:t>Judicial oversight is a well-established safeguard on the use of police powers that involve trespass upon the person. The lower standard of ‘suspicion on reasonable grounds’ is justifiable for many police powers as they are provided with a view to laying charges.</w:t>
      </w:r>
      <w:r w:rsidR="004041EC">
        <w:rPr>
          <w:rFonts w:ascii="Arial" w:hAnsi="Arial" w:cs="Arial"/>
          <w:sz w:val="24"/>
          <w:szCs w:val="24"/>
        </w:rPr>
        <w:t xml:space="preserve"> The Bill lifts the threshold to ‘belief on reasonable grounds’ for the ‘seriousness threshold’ to avoid the investigation of children without warrant only on suspicion on reasonable grounds. </w:t>
      </w:r>
      <w:r w:rsidR="001E7199">
        <w:rPr>
          <w:rFonts w:ascii="Arial" w:hAnsi="Arial" w:cs="Arial"/>
          <w:sz w:val="24"/>
          <w:szCs w:val="24"/>
        </w:rPr>
        <w:t>Consistently with this, the subdivision has a carve-out for powers used under a warrant or order of a Court or ACAT.</w:t>
      </w:r>
      <w:r w:rsidR="00296884">
        <w:rPr>
          <w:rFonts w:ascii="Arial" w:hAnsi="Arial" w:cs="Arial"/>
          <w:sz w:val="24"/>
          <w:szCs w:val="24"/>
        </w:rPr>
        <w:t xml:space="preserve"> Where a Court or ACAT directs a police officer to use a power to detain a person, additional consideration of the ‘seriousness threshold’ is inappropriate.</w:t>
      </w:r>
      <w:r w:rsidR="001E7199">
        <w:rPr>
          <w:rFonts w:ascii="Arial" w:hAnsi="Arial" w:cs="Arial"/>
          <w:sz w:val="24"/>
          <w:szCs w:val="24"/>
        </w:rPr>
        <w:t xml:space="preserve"> </w:t>
      </w:r>
    </w:p>
    <w:p w14:paraId="2D4601F5" w14:textId="3070DABB" w:rsidR="00571955" w:rsidRPr="00571955" w:rsidRDefault="00571955" w:rsidP="00571955">
      <w:pPr>
        <w:rPr>
          <w:rFonts w:ascii="Arial" w:hAnsi="Arial" w:cs="Arial"/>
          <w:sz w:val="24"/>
          <w:szCs w:val="24"/>
        </w:rPr>
      </w:pPr>
      <w:r w:rsidRPr="00571955">
        <w:rPr>
          <w:rFonts w:ascii="Arial" w:hAnsi="Arial" w:cs="Arial"/>
          <w:sz w:val="24"/>
          <w:szCs w:val="24"/>
        </w:rPr>
        <w:t>A suspicion that something exists is more than a mere idle wondering whether it exists or not; it is a positive feeling of actual apprehension or mistrust, amounting to a slight opinion, but without sufficient evidence (</w:t>
      </w:r>
      <w:r w:rsidRPr="00571955">
        <w:rPr>
          <w:rFonts w:ascii="Arial" w:hAnsi="Arial" w:cs="Arial"/>
          <w:i/>
          <w:iCs/>
          <w:sz w:val="24"/>
          <w:szCs w:val="24"/>
        </w:rPr>
        <w:t xml:space="preserve">Queensland Bacon v Rees </w:t>
      </w:r>
      <w:r w:rsidRPr="00571955">
        <w:rPr>
          <w:rFonts w:ascii="Arial" w:hAnsi="Arial" w:cs="Arial"/>
          <w:sz w:val="24"/>
          <w:szCs w:val="24"/>
        </w:rPr>
        <w:t xml:space="preserve">(1966) 115 CLR 266). </w:t>
      </w:r>
    </w:p>
    <w:p w14:paraId="71C5EB71" w14:textId="77777777" w:rsidR="00571955" w:rsidRPr="00571955" w:rsidRDefault="00571955" w:rsidP="00571955">
      <w:pPr>
        <w:rPr>
          <w:rFonts w:ascii="Arial" w:hAnsi="Arial" w:cs="Arial"/>
          <w:sz w:val="24"/>
          <w:szCs w:val="24"/>
        </w:rPr>
      </w:pPr>
      <w:r w:rsidRPr="00571955">
        <w:rPr>
          <w:rFonts w:ascii="Arial" w:hAnsi="Arial" w:cs="Arial"/>
          <w:sz w:val="24"/>
          <w:szCs w:val="24"/>
        </w:rPr>
        <w:t>Belief is a higher standard. Belief is an inclination of the mind towards assenting to, rather than rejecting, a proposition. The objective circumstances sufficient to show a reason to believe something need to point more clearly to the subject matter of the belief. (</w:t>
      </w:r>
      <w:r w:rsidRPr="00571955">
        <w:rPr>
          <w:rFonts w:ascii="Arial" w:hAnsi="Arial" w:cs="Arial"/>
          <w:i/>
          <w:iCs/>
          <w:sz w:val="24"/>
          <w:szCs w:val="24"/>
        </w:rPr>
        <w:t xml:space="preserve">George v Rockett </w:t>
      </w:r>
      <w:r w:rsidRPr="00571955">
        <w:rPr>
          <w:rFonts w:ascii="Arial" w:hAnsi="Arial" w:cs="Arial"/>
          <w:sz w:val="24"/>
          <w:szCs w:val="24"/>
        </w:rPr>
        <w:t>[1990] HCA 26).</w:t>
      </w:r>
    </w:p>
    <w:p w14:paraId="50E64D47" w14:textId="77777777" w:rsidR="00571955" w:rsidRPr="00571955" w:rsidRDefault="00571955" w:rsidP="00571955">
      <w:pPr>
        <w:rPr>
          <w:rFonts w:ascii="Arial" w:hAnsi="Arial" w:cs="Arial"/>
          <w:sz w:val="24"/>
          <w:szCs w:val="24"/>
        </w:rPr>
      </w:pPr>
      <w:r w:rsidRPr="00571955">
        <w:rPr>
          <w:rFonts w:ascii="Arial" w:hAnsi="Arial" w:cs="Arial"/>
          <w:sz w:val="24"/>
          <w:szCs w:val="24"/>
        </w:rPr>
        <w:lastRenderedPageBreak/>
        <w:t>When a statute prescribes that there must be ‘reasonable grounds’ for a state of mind—including suspicion and belief—it requires the existence of facts which are sufficient to induce that state of mind in a reasonable person (</w:t>
      </w:r>
      <w:r w:rsidRPr="00571955">
        <w:rPr>
          <w:rFonts w:ascii="Arial" w:hAnsi="Arial" w:cs="Arial"/>
          <w:i/>
          <w:iCs/>
          <w:sz w:val="24"/>
          <w:szCs w:val="24"/>
        </w:rPr>
        <w:t xml:space="preserve">George v Rockett </w:t>
      </w:r>
      <w:r w:rsidRPr="00571955">
        <w:rPr>
          <w:rFonts w:ascii="Arial" w:hAnsi="Arial" w:cs="Arial"/>
          <w:sz w:val="24"/>
          <w:szCs w:val="24"/>
        </w:rPr>
        <w:t>[1990] HCA 26).</w:t>
      </w:r>
    </w:p>
    <w:p w14:paraId="5EC367F3" w14:textId="7670AEC3" w:rsidR="00632C4D" w:rsidRDefault="00632C4D" w:rsidP="00CE0F5B">
      <w:pPr>
        <w:rPr>
          <w:rFonts w:ascii="Arial" w:hAnsi="Arial" w:cs="Arial"/>
          <w:sz w:val="24"/>
          <w:szCs w:val="24"/>
        </w:rPr>
      </w:pPr>
      <w:r>
        <w:rPr>
          <w:rFonts w:ascii="Arial" w:hAnsi="Arial" w:cs="Arial"/>
          <w:sz w:val="24"/>
          <w:szCs w:val="24"/>
        </w:rPr>
        <w:t>New subdivision 10.7.1A is not a source of new police powers.  This provision makes it clear that existing powers do apply where a person under 14 has committed (or is suspected of committing) an offence, and then applies new safeguards to the use of those powers.</w:t>
      </w:r>
    </w:p>
    <w:p w14:paraId="71ADBE5B" w14:textId="77777777" w:rsidR="00D25CDC" w:rsidRDefault="00D25CDC" w:rsidP="00CE0F5B">
      <w:pPr>
        <w:rPr>
          <w:rFonts w:ascii="Arial" w:hAnsi="Arial" w:cs="Arial"/>
          <w:sz w:val="24"/>
          <w:szCs w:val="24"/>
        </w:rPr>
      </w:pPr>
      <w:r>
        <w:rPr>
          <w:rFonts w:ascii="Arial" w:hAnsi="Arial" w:cs="Arial"/>
          <w:sz w:val="24"/>
          <w:szCs w:val="24"/>
        </w:rPr>
        <w:t>The use of the phrase ‘person under 14 years old’ (and its variants) is used instead of the phrases ‘child’, ‘child or young person’, and ‘… under MACR’ to provide greater certainty to police officers.</w:t>
      </w:r>
    </w:p>
    <w:p w14:paraId="08128D78" w14:textId="29D9ABF0" w:rsidR="00CE0F5B" w:rsidRDefault="00D25CDC">
      <w:pPr>
        <w:rPr>
          <w:rFonts w:ascii="Arial" w:hAnsi="Arial" w:cs="Arial"/>
          <w:sz w:val="24"/>
          <w:szCs w:val="24"/>
        </w:rPr>
      </w:pPr>
      <w:r>
        <w:rPr>
          <w:rFonts w:ascii="Arial" w:hAnsi="Arial" w:cs="Arial"/>
          <w:sz w:val="24"/>
          <w:szCs w:val="24"/>
        </w:rPr>
        <w:t xml:space="preserve">‘Child’ and ‘young person’ are defined in different ways across ACT legislation to meet different policy goals and outcomes. Using the phrase ‘person under 14’ makes it immediately clear to the ordinary reader without needing to navigate the different definitions.  </w:t>
      </w:r>
    </w:p>
    <w:p w14:paraId="5ED38FC4" w14:textId="7DB43485" w:rsidR="00D25CDC" w:rsidRDefault="00D25CDC">
      <w:pPr>
        <w:rPr>
          <w:rFonts w:ascii="Arial" w:hAnsi="Arial" w:cs="Arial"/>
          <w:sz w:val="24"/>
          <w:szCs w:val="24"/>
        </w:rPr>
      </w:pPr>
      <w:r>
        <w:rPr>
          <w:rFonts w:ascii="Arial" w:hAnsi="Arial" w:cs="Arial"/>
          <w:sz w:val="24"/>
          <w:szCs w:val="24"/>
        </w:rPr>
        <w:t xml:space="preserve">Phrases including ‘… under MACR’ are not used in these provisions to avoid interpretive issues that </w:t>
      </w:r>
      <w:r w:rsidR="00D27E32">
        <w:rPr>
          <w:rFonts w:ascii="Arial" w:hAnsi="Arial" w:cs="Arial"/>
          <w:sz w:val="24"/>
          <w:szCs w:val="24"/>
        </w:rPr>
        <w:t>arise from the contingent nature of MACR.  From 1 July 2025, people under 14 will not be criminally responsible for offences that they commit, unless:</w:t>
      </w:r>
    </w:p>
    <w:p w14:paraId="63461EE3" w14:textId="783FF7BA" w:rsidR="00D27E32" w:rsidRDefault="00D27E32" w:rsidP="00D27E32">
      <w:pPr>
        <w:pStyle w:val="ListParagraph"/>
        <w:numPr>
          <w:ilvl w:val="0"/>
          <w:numId w:val="37"/>
        </w:numPr>
        <w:rPr>
          <w:rFonts w:ascii="Arial" w:hAnsi="Arial" w:cs="Arial"/>
          <w:sz w:val="24"/>
          <w:szCs w:val="24"/>
        </w:rPr>
      </w:pPr>
      <w:r>
        <w:rPr>
          <w:rFonts w:ascii="Arial" w:hAnsi="Arial" w:cs="Arial"/>
          <w:sz w:val="24"/>
          <w:szCs w:val="24"/>
        </w:rPr>
        <w:t xml:space="preserve">They commit the offence of murder, sexual assault in the first degree, act of indecency in the first degree, or intentionally inflicting grievous bodily harm (‘the four schedule offences’); </w:t>
      </w:r>
      <w:r w:rsidRPr="00D27E32">
        <w:rPr>
          <w:rFonts w:ascii="Arial" w:hAnsi="Arial" w:cs="Arial"/>
          <w:b/>
          <w:bCs/>
          <w:sz w:val="24"/>
          <w:szCs w:val="24"/>
        </w:rPr>
        <w:t>and</w:t>
      </w:r>
      <w:r>
        <w:rPr>
          <w:rFonts w:ascii="Arial" w:hAnsi="Arial" w:cs="Arial"/>
          <w:b/>
          <w:bCs/>
          <w:sz w:val="24"/>
          <w:szCs w:val="24"/>
        </w:rPr>
        <w:t xml:space="preserve"> </w:t>
      </w:r>
    </w:p>
    <w:p w14:paraId="4C96CCF4" w14:textId="41B729C1" w:rsidR="00D27E32" w:rsidRDefault="00D27E32" w:rsidP="00D27E32">
      <w:pPr>
        <w:pStyle w:val="ListParagraph"/>
        <w:numPr>
          <w:ilvl w:val="0"/>
          <w:numId w:val="37"/>
        </w:numPr>
        <w:spacing w:after="240"/>
        <w:ind w:left="714" w:hanging="357"/>
        <w:rPr>
          <w:rFonts w:ascii="Arial" w:hAnsi="Arial" w:cs="Arial"/>
          <w:sz w:val="24"/>
          <w:szCs w:val="24"/>
        </w:rPr>
      </w:pPr>
      <w:r>
        <w:rPr>
          <w:rFonts w:ascii="Arial" w:hAnsi="Arial" w:cs="Arial"/>
          <w:sz w:val="24"/>
          <w:szCs w:val="24"/>
        </w:rPr>
        <w:t>The prosecution proves that the child knew that their conduct was wrong.</w:t>
      </w:r>
    </w:p>
    <w:p w14:paraId="1703550E" w14:textId="131C3DF7" w:rsidR="00D27E32" w:rsidRDefault="00D27E32" w:rsidP="00D27E32">
      <w:pPr>
        <w:rPr>
          <w:rFonts w:ascii="Arial" w:hAnsi="Arial" w:cs="Arial"/>
          <w:sz w:val="24"/>
          <w:szCs w:val="24"/>
        </w:rPr>
      </w:pPr>
      <w:r>
        <w:rPr>
          <w:rFonts w:ascii="Arial" w:hAnsi="Arial" w:cs="Arial"/>
          <w:sz w:val="24"/>
          <w:szCs w:val="24"/>
        </w:rPr>
        <w:t xml:space="preserve">A person is considered under the age of criminal responsibility for an offence if the person is not criminally responsible for the offence. This contingent definition makes it confusing to apply in practice if a 12 or 13 year old is suspected of having committed one of the four schedule offences. If the prosecution later fails to prove that the 12 or 13 year old knew that their conduct was wrong, </w:t>
      </w:r>
      <w:r w:rsidR="003B6630">
        <w:rPr>
          <w:rFonts w:ascii="Arial" w:hAnsi="Arial" w:cs="Arial"/>
          <w:sz w:val="24"/>
          <w:szCs w:val="24"/>
        </w:rPr>
        <w:t>the question arises if police used their powers appropriately given the person was, therefore, under MACR.</w:t>
      </w:r>
    </w:p>
    <w:p w14:paraId="3907B3FF" w14:textId="7D816DDB" w:rsidR="003B6630" w:rsidRDefault="003B6630" w:rsidP="00D27E32">
      <w:pPr>
        <w:rPr>
          <w:rFonts w:ascii="Arial" w:hAnsi="Arial" w:cs="Arial"/>
          <w:sz w:val="24"/>
          <w:szCs w:val="24"/>
        </w:rPr>
      </w:pPr>
      <w:r>
        <w:rPr>
          <w:rFonts w:ascii="Arial" w:hAnsi="Arial" w:cs="Arial"/>
          <w:sz w:val="24"/>
          <w:szCs w:val="24"/>
        </w:rPr>
        <w:t xml:space="preserve">Using the phrase ‘person under 14 years old’ removes this ambiguity.  As explained in more detail below, a 12 or 13 year old who has committed one of the four schedule offences will still fall within the scope of the lawful use of police powers.  </w:t>
      </w:r>
    </w:p>
    <w:p w14:paraId="4CC87D67" w14:textId="7816517A" w:rsidR="00B15A8C" w:rsidRDefault="00503208" w:rsidP="00D27E32">
      <w:pPr>
        <w:rPr>
          <w:rFonts w:ascii="Arial" w:hAnsi="Arial" w:cs="Arial"/>
          <w:sz w:val="24"/>
          <w:szCs w:val="24"/>
        </w:rPr>
      </w:pPr>
      <w:r w:rsidRPr="004E2BDA">
        <w:rPr>
          <w:rFonts w:ascii="Arial" w:hAnsi="Arial" w:cs="Arial"/>
          <w:sz w:val="24"/>
          <w:szCs w:val="24"/>
        </w:rPr>
        <w:t>Proposed section 252AB states that</w:t>
      </w:r>
      <w:r>
        <w:rPr>
          <w:rFonts w:ascii="Arial" w:hAnsi="Arial" w:cs="Arial"/>
          <w:sz w:val="24"/>
          <w:szCs w:val="24"/>
        </w:rPr>
        <w:t xml:space="preserve"> a police officer must not exercise their powers to stop, search, or detain a person under 14 years old except in accordance with this subdivision.  This prohibition does not extend to other officials who have powers under Territory laws to stop, search, or detain. For example, it does not prevent a conservation officer’s powers under section 343 of the </w:t>
      </w:r>
      <w:r>
        <w:rPr>
          <w:rFonts w:ascii="Arial" w:hAnsi="Arial" w:cs="Arial"/>
          <w:i/>
          <w:iCs/>
          <w:sz w:val="24"/>
          <w:szCs w:val="24"/>
        </w:rPr>
        <w:t xml:space="preserve">Nature Conservation Act 2014 </w:t>
      </w:r>
      <w:r>
        <w:rPr>
          <w:rFonts w:ascii="Arial" w:hAnsi="Arial" w:cs="Arial"/>
          <w:sz w:val="24"/>
          <w:szCs w:val="24"/>
        </w:rPr>
        <w:t>to seize a distressed native bird if in the possession of a person under 14</w:t>
      </w:r>
      <w:r w:rsidR="00B15A8C">
        <w:rPr>
          <w:rFonts w:ascii="Arial" w:hAnsi="Arial" w:cs="Arial"/>
          <w:sz w:val="24"/>
          <w:szCs w:val="24"/>
        </w:rPr>
        <w:t xml:space="preserve"> years old.</w:t>
      </w:r>
    </w:p>
    <w:p w14:paraId="32A78FB1" w14:textId="69D0436C" w:rsidR="003B6630" w:rsidRDefault="00B15A8C" w:rsidP="00D27E32">
      <w:pPr>
        <w:rPr>
          <w:rFonts w:ascii="Arial" w:hAnsi="Arial" w:cs="Arial"/>
          <w:sz w:val="24"/>
          <w:szCs w:val="24"/>
        </w:rPr>
      </w:pPr>
      <w:r w:rsidRPr="004E2BDA">
        <w:rPr>
          <w:rFonts w:ascii="Arial" w:hAnsi="Arial" w:cs="Arial"/>
          <w:sz w:val="24"/>
          <w:szCs w:val="24"/>
        </w:rPr>
        <w:lastRenderedPageBreak/>
        <w:t>Proposed section 252AC provides the</w:t>
      </w:r>
      <w:r>
        <w:rPr>
          <w:rFonts w:ascii="Arial" w:hAnsi="Arial" w:cs="Arial"/>
          <w:sz w:val="24"/>
          <w:szCs w:val="24"/>
        </w:rPr>
        <w:t xml:space="preserve"> new ‘seriousness threshold’ that applies in addition to existing common law, statutory, and human rights constraints on the use of police powers.</w:t>
      </w:r>
    </w:p>
    <w:p w14:paraId="1C964965" w14:textId="3045807C" w:rsidR="00B15A8C" w:rsidRDefault="00B15A8C" w:rsidP="00D27E32">
      <w:pPr>
        <w:rPr>
          <w:rFonts w:ascii="Arial" w:hAnsi="Arial" w:cs="Arial"/>
          <w:sz w:val="24"/>
          <w:szCs w:val="24"/>
        </w:rPr>
      </w:pPr>
      <w:r>
        <w:rPr>
          <w:rFonts w:ascii="Arial" w:hAnsi="Arial" w:cs="Arial"/>
          <w:sz w:val="24"/>
          <w:szCs w:val="24"/>
        </w:rPr>
        <w:t>Prior to the application of the ‘seriousness threshold’, the police officer must turn their mind to the age of the person they wish to stop, search, or detain.</w:t>
      </w:r>
      <w:r w:rsidR="00CA695C">
        <w:rPr>
          <w:rFonts w:ascii="Arial" w:hAnsi="Arial" w:cs="Arial"/>
          <w:sz w:val="24"/>
          <w:szCs w:val="24"/>
        </w:rPr>
        <w:t xml:space="preserve"> Because it is not possible for a police officer to know the age of every person they encounter, the test here does not require certainty. Instead, the police officer must form the belief on reasonable grounds that the person they wish to stop, search, or detain is </w:t>
      </w:r>
      <w:r w:rsidR="00D14C7B">
        <w:rPr>
          <w:rFonts w:ascii="Arial" w:hAnsi="Arial" w:cs="Arial"/>
          <w:sz w:val="24"/>
          <w:szCs w:val="24"/>
        </w:rPr>
        <w:t xml:space="preserve">at least </w:t>
      </w:r>
      <w:r w:rsidR="00CA695C">
        <w:rPr>
          <w:rFonts w:ascii="Arial" w:hAnsi="Arial" w:cs="Arial"/>
          <w:sz w:val="24"/>
          <w:szCs w:val="24"/>
        </w:rPr>
        <w:t>14 years old.</w:t>
      </w:r>
    </w:p>
    <w:p w14:paraId="669EEBCD" w14:textId="56ECE27B" w:rsidR="00CA695C" w:rsidRDefault="00CA695C" w:rsidP="00D27E32">
      <w:pPr>
        <w:rPr>
          <w:rFonts w:ascii="Arial" w:hAnsi="Arial" w:cs="Arial"/>
          <w:sz w:val="24"/>
          <w:szCs w:val="24"/>
        </w:rPr>
      </w:pPr>
      <w:r>
        <w:rPr>
          <w:rFonts w:ascii="Arial" w:hAnsi="Arial" w:cs="Arial"/>
          <w:sz w:val="24"/>
          <w:szCs w:val="24"/>
        </w:rPr>
        <w:t>In the majority of situations, the belief on reasonable grounds will be informed by the appearance of the person. The belief on reasonable grounds might also be informed by the officer’s previous knowledge of the person, knowing that they are 15 years old, for example.</w:t>
      </w:r>
    </w:p>
    <w:p w14:paraId="19E538F8" w14:textId="756206F5" w:rsidR="00CA695C" w:rsidRDefault="00CA695C" w:rsidP="00D27E32">
      <w:pPr>
        <w:rPr>
          <w:rFonts w:ascii="Arial" w:hAnsi="Arial" w:cs="Arial"/>
          <w:sz w:val="24"/>
          <w:szCs w:val="24"/>
        </w:rPr>
      </w:pPr>
      <w:r>
        <w:rPr>
          <w:rFonts w:ascii="Arial" w:hAnsi="Arial" w:cs="Arial"/>
          <w:sz w:val="24"/>
          <w:szCs w:val="24"/>
        </w:rPr>
        <w:t xml:space="preserve">The physical maturity of people between the ages of 10 and 18 vary wildly. A police officer might form the belief on reasonable grounds that a person is </w:t>
      </w:r>
      <w:r w:rsidR="00D14C7B">
        <w:rPr>
          <w:rFonts w:ascii="Arial" w:hAnsi="Arial" w:cs="Arial"/>
          <w:sz w:val="24"/>
          <w:szCs w:val="24"/>
        </w:rPr>
        <w:t xml:space="preserve">at least </w:t>
      </w:r>
      <w:r>
        <w:rPr>
          <w:rFonts w:ascii="Arial" w:hAnsi="Arial" w:cs="Arial"/>
          <w:sz w:val="24"/>
          <w:szCs w:val="24"/>
        </w:rPr>
        <w:t xml:space="preserve">14 years old because of their facial hair and because they were smoking a cigarette. Following the lawful use of their stop power, it might become apparent to the police officer that the person is not </w:t>
      </w:r>
      <w:r w:rsidR="00D14C7B">
        <w:rPr>
          <w:rFonts w:ascii="Arial" w:hAnsi="Arial" w:cs="Arial"/>
          <w:sz w:val="24"/>
          <w:szCs w:val="24"/>
        </w:rPr>
        <w:t xml:space="preserve">at least </w:t>
      </w:r>
      <w:r>
        <w:rPr>
          <w:rFonts w:ascii="Arial" w:hAnsi="Arial" w:cs="Arial"/>
          <w:sz w:val="24"/>
          <w:szCs w:val="24"/>
        </w:rPr>
        <w:t>14 years old but is, instead, 13 years old. At that point, the police officer cannot continue to use their powers without contemplating the ’seriousness threshold’.</w:t>
      </w:r>
    </w:p>
    <w:p w14:paraId="35241604" w14:textId="22FB2BB2" w:rsidR="00CA695C" w:rsidRDefault="00CA695C" w:rsidP="00D27E32">
      <w:pPr>
        <w:rPr>
          <w:rFonts w:ascii="Arial" w:hAnsi="Arial" w:cs="Arial"/>
          <w:sz w:val="24"/>
          <w:szCs w:val="24"/>
        </w:rPr>
      </w:pPr>
      <w:r>
        <w:rPr>
          <w:rFonts w:ascii="Arial" w:hAnsi="Arial" w:cs="Arial"/>
          <w:sz w:val="24"/>
          <w:szCs w:val="24"/>
        </w:rPr>
        <w:t xml:space="preserve">Where a police officer cannot form (or no longer forms) the belief on reasonable grounds that the person is </w:t>
      </w:r>
      <w:r w:rsidR="00D14C7B">
        <w:rPr>
          <w:rFonts w:ascii="Arial" w:hAnsi="Arial" w:cs="Arial"/>
          <w:sz w:val="24"/>
          <w:szCs w:val="24"/>
        </w:rPr>
        <w:t xml:space="preserve">at least </w:t>
      </w:r>
      <w:r>
        <w:rPr>
          <w:rFonts w:ascii="Arial" w:hAnsi="Arial" w:cs="Arial"/>
          <w:sz w:val="24"/>
          <w:szCs w:val="24"/>
        </w:rPr>
        <w:t xml:space="preserve">14 years old, the police officer must turn their mind to the </w:t>
      </w:r>
      <w:r w:rsidR="00BC38E0">
        <w:rPr>
          <w:rFonts w:ascii="Arial" w:hAnsi="Arial" w:cs="Arial"/>
          <w:sz w:val="24"/>
          <w:szCs w:val="24"/>
        </w:rPr>
        <w:t>immediate situation and apply the ‘seriousness threshold’.  The police officer must form the reasonable belief that the person is at risk of engaging in, or has engaged in, any of the following conduct:</w:t>
      </w:r>
    </w:p>
    <w:p w14:paraId="70D2EE3B" w14:textId="77777777" w:rsidR="00BC38E0" w:rsidRPr="00BC38E0" w:rsidRDefault="00BC38E0" w:rsidP="00BC38E0">
      <w:pPr>
        <w:pStyle w:val="ListParagraph"/>
        <w:numPr>
          <w:ilvl w:val="0"/>
          <w:numId w:val="38"/>
        </w:numPr>
        <w:rPr>
          <w:rFonts w:ascii="Arial" w:hAnsi="Arial" w:cs="Arial"/>
          <w:sz w:val="24"/>
          <w:szCs w:val="24"/>
        </w:rPr>
      </w:pPr>
      <w:r w:rsidRPr="00BC38E0">
        <w:rPr>
          <w:rFonts w:ascii="Arial" w:hAnsi="Arial" w:cs="Arial"/>
          <w:sz w:val="24"/>
          <w:szCs w:val="24"/>
        </w:rPr>
        <w:t xml:space="preserve">harm to themselves or someone else; </w:t>
      </w:r>
    </w:p>
    <w:p w14:paraId="670A320F" w14:textId="1AFC8838" w:rsidR="00BC38E0" w:rsidRPr="00BC38E0" w:rsidRDefault="00BC38E0" w:rsidP="00BC38E0">
      <w:pPr>
        <w:pStyle w:val="ListParagraph"/>
        <w:numPr>
          <w:ilvl w:val="0"/>
          <w:numId w:val="38"/>
        </w:numPr>
        <w:rPr>
          <w:rFonts w:ascii="Arial" w:hAnsi="Arial" w:cs="Arial"/>
          <w:sz w:val="24"/>
          <w:szCs w:val="24"/>
        </w:rPr>
      </w:pPr>
      <w:r w:rsidRPr="00BC38E0">
        <w:rPr>
          <w:rFonts w:ascii="Arial" w:hAnsi="Arial" w:cs="Arial"/>
          <w:sz w:val="24"/>
          <w:szCs w:val="24"/>
        </w:rPr>
        <w:t xml:space="preserve">serious damage to property or the environment or cruelty to an animal; </w:t>
      </w:r>
      <w:r>
        <w:rPr>
          <w:rFonts w:ascii="Arial" w:hAnsi="Arial" w:cs="Arial"/>
          <w:sz w:val="24"/>
          <w:szCs w:val="24"/>
        </w:rPr>
        <w:t>or</w:t>
      </w:r>
    </w:p>
    <w:p w14:paraId="3AD8260F" w14:textId="4E21B11B" w:rsidR="00BC38E0" w:rsidRPr="00BC38E0" w:rsidRDefault="00BC38E0" w:rsidP="00BC38E0">
      <w:pPr>
        <w:pStyle w:val="ListParagraph"/>
        <w:numPr>
          <w:ilvl w:val="0"/>
          <w:numId w:val="38"/>
        </w:numPr>
        <w:spacing w:after="240"/>
        <w:ind w:left="714" w:hanging="357"/>
        <w:rPr>
          <w:rFonts w:ascii="Arial" w:hAnsi="Arial" w:cs="Arial"/>
          <w:sz w:val="24"/>
          <w:szCs w:val="24"/>
        </w:rPr>
      </w:pPr>
      <w:r w:rsidRPr="00BC38E0">
        <w:rPr>
          <w:rFonts w:ascii="Arial" w:hAnsi="Arial" w:cs="Arial"/>
          <w:sz w:val="24"/>
          <w:szCs w:val="24"/>
        </w:rPr>
        <w:t>any other serious or destructive behaviour</w:t>
      </w:r>
      <w:r>
        <w:rPr>
          <w:rFonts w:ascii="Arial" w:hAnsi="Arial" w:cs="Arial"/>
          <w:sz w:val="24"/>
          <w:szCs w:val="24"/>
        </w:rPr>
        <w:t>.</w:t>
      </w:r>
    </w:p>
    <w:p w14:paraId="412F3C38" w14:textId="2923A818" w:rsidR="00BC38E0" w:rsidRDefault="00BC38E0" w:rsidP="00D27E32">
      <w:pPr>
        <w:rPr>
          <w:rFonts w:ascii="Arial" w:hAnsi="Arial" w:cs="Arial"/>
          <w:sz w:val="24"/>
          <w:szCs w:val="24"/>
        </w:rPr>
      </w:pPr>
      <w:r w:rsidRPr="00BC38E0">
        <w:rPr>
          <w:rFonts w:ascii="Arial" w:hAnsi="Arial" w:cs="Arial"/>
          <w:sz w:val="24"/>
          <w:szCs w:val="24"/>
        </w:rPr>
        <w:t>Further, police can use the power to stop, search, or detain if the exercise of the power is required to ensure the safety of the child.</w:t>
      </w:r>
    </w:p>
    <w:p w14:paraId="2B3B329B" w14:textId="6AB51BF3" w:rsidR="00BC38E0" w:rsidRDefault="00BC38E0" w:rsidP="00D27E32">
      <w:pPr>
        <w:rPr>
          <w:rFonts w:ascii="Arial" w:hAnsi="Arial" w:cs="Arial"/>
          <w:sz w:val="24"/>
          <w:szCs w:val="24"/>
        </w:rPr>
      </w:pPr>
      <w:r>
        <w:rPr>
          <w:rFonts w:ascii="Arial" w:hAnsi="Arial" w:cs="Arial"/>
          <w:sz w:val="24"/>
          <w:szCs w:val="24"/>
        </w:rPr>
        <w:t xml:space="preserve">This ‘seriousness threshold’ is adopted from section 501Q of the </w:t>
      </w:r>
      <w:r>
        <w:rPr>
          <w:rFonts w:ascii="Arial" w:hAnsi="Arial" w:cs="Arial"/>
          <w:i/>
          <w:iCs/>
          <w:sz w:val="24"/>
          <w:szCs w:val="24"/>
        </w:rPr>
        <w:t>Children and Young People Act 2008</w:t>
      </w:r>
      <w:r>
        <w:rPr>
          <w:rFonts w:ascii="Arial" w:hAnsi="Arial" w:cs="Arial"/>
          <w:sz w:val="24"/>
          <w:szCs w:val="24"/>
        </w:rPr>
        <w:t>.  In that Act, this threshold was used as the test to refer children and young people to the Therapeutic Support Panel.  It was developed as a legislative statement of the circumstances in which State intervention was considered appropriate. It is necessarily broad in scope in order to accommodate the wide range of factors that might arise.  For example, ‘serious damage’ might depend upon the nature of the damage, the location of the damage, and the significance of the damage. Damage to, for example, the War Memorial might be considered more serious than the same amount of damage done to a rubbish bin or underside of a bridge.</w:t>
      </w:r>
    </w:p>
    <w:p w14:paraId="698189B5" w14:textId="77777777" w:rsidR="00AB4E9A" w:rsidRPr="00AB4E9A" w:rsidRDefault="00AB4E9A" w:rsidP="00AB4E9A">
      <w:pPr>
        <w:rPr>
          <w:rFonts w:ascii="Arial" w:hAnsi="Arial" w:cs="Arial"/>
          <w:sz w:val="24"/>
          <w:szCs w:val="24"/>
        </w:rPr>
      </w:pPr>
      <w:r w:rsidRPr="00AB4E9A">
        <w:rPr>
          <w:rFonts w:ascii="Arial" w:hAnsi="Arial" w:cs="Arial"/>
          <w:sz w:val="24"/>
          <w:szCs w:val="24"/>
        </w:rPr>
        <w:lastRenderedPageBreak/>
        <w:t xml:space="preserve">The term ‘harm’ is defined in the </w:t>
      </w:r>
      <w:r w:rsidRPr="00AB4E9A">
        <w:rPr>
          <w:rFonts w:ascii="Arial" w:hAnsi="Arial" w:cs="Arial"/>
          <w:i/>
          <w:iCs/>
          <w:sz w:val="24"/>
          <w:szCs w:val="24"/>
        </w:rPr>
        <w:t>Criminal Code 2002</w:t>
      </w:r>
      <w:r w:rsidRPr="00AB4E9A">
        <w:rPr>
          <w:rFonts w:ascii="Arial" w:hAnsi="Arial" w:cs="Arial"/>
          <w:sz w:val="24"/>
          <w:szCs w:val="24"/>
        </w:rPr>
        <w:t xml:space="preserve"> as:</w:t>
      </w:r>
    </w:p>
    <w:p w14:paraId="298CDA05" w14:textId="77777777" w:rsidR="00AB4E9A" w:rsidRPr="00AB4E9A" w:rsidRDefault="00AB4E9A" w:rsidP="00AB4E9A">
      <w:pPr>
        <w:ind w:left="1440" w:hanging="720"/>
        <w:rPr>
          <w:rFonts w:ascii="Arial" w:hAnsi="Arial" w:cs="Arial"/>
          <w:sz w:val="24"/>
          <w:szCs w:val="24"/>
        </w:rPr>
      </w:pPr>
      <w:r w:rsidRPr="00AB4E9A">
        <w:rPr>
          <w:rFonts w:ascii="Arial" w:hAnsi="Arial" w:cs="Arial"/>
          <w:sz w:val="24"/>
          <w:szCs w:val="24"/>
        </w:rPr>
        <w:t>(a)</w:t>
      </w:r>
      <w:r w:rsidRPr="00AB4E9A">
        <w:rPr>
          <w:rFonts w:ascii="Arial" w:hAnsi="Arial" w:cs="Arial"/>
          <w:sz w:val="24"/>
          <w:szCs w:val="24"/>
        </w:rPr>
        <w:tab/>
        <w:t>physical harm to a person, including unconsciousness, pain, disfigurement, infection with a disease and any physical contact with the person that a person might reasonably object to in the circumstances (whether or not the person was aware of it at the time); and</w:t>
      </w:r>
    </w:p>
    <w:p w14:paraId="1B94AF8F" w14:textId="77777777" w:rsidR="00AB4E9A" w:rsidRPr="00AB4E9A" w:rsidRDefault="00AB4E9A" w:rsidP="00AB4E9A">
      <w:pPr>
        <w:ind w:left="1440" w:hanging="720"/>
        <w:rPr>
          <w:rFonts w:ascii="Arial" w:hAnsi="Arial" w:cs="Arial"/>
          <w:sz w:val="24"/>
          <w:szCs w:val="24"/>
        </w:rPr>
      </w:pPr>
      <w:r w:rsidRPr="00AB4E9A">
        <w:rPr>
          <w:rFonts w:ascii="Arial" w:hAnsi="Arial" w:cs="Arial"/>
          <w:sz w:val="24"/>
          <w:szCs w:val="24"/>
        </w:rPr>
        <w:t>(b)</w:t>
      </w:r>
      <w:r w:rsidRPr="00AB4E9A">
        <w:rPr>
          <w:rFonts w:ascii="Arial" w:hAnsi="Arial" w:cs="Arial"/>
          <w:sz w:val="24"/>
          <w:szCs w:val="24"/>
        </w:rPr>
        <w:tab/>
        <w:t> harm to a person’s mental health, including psychological harm, but not including mere ordinary emotional reactions (for example, distress, grief, fear or anger);</w:t>
      </w:r>
    </w:p>
    <w:p w14:paraId="321FCE34" w14:textId="77777777" w:rsidR="00AB4E9A" w:rsidRPr="00AB4E9A" w:rsidRDefault="00AB4E9A" w:rsidP="00AB4E9A">
      <w:pPr>
        <w:ind w:left="720"/>
        <w:rPr>
          <w:rFonts w:ascii="Arial" w:hAnsi="Arial" w:cs="Arial"/>
          <w:sz w:val="24"/>
          <w:szCs w:val="24"/>
        </w:rPr>
      </w:pPr>
      <w:r w:rsidRPr="00AB4E9A">
        <w:rPr>
          <w:rFonts w:ascii="Arial" w:hAnsi="Arial" w:cs="Arial"/>
          <w:sz w:val="24"/>
          <w:szCs w:val="24"/>
        </w:rPr>
        <w:t>whether temporary or permanent, but does not include being subjected to any force or impact that is within the limits of what is acceptable as incidental to social interaction or to life in the community.</w:t>
      </w:r>
    </w:p>
    <w:p w14:paraId="09365EC9" w14:textId="77777777" w:rsidR="00AB4E9A" w:rsidRPr="00AB4E9A" w:rsidRDefault="00AB4E9A" w:rsidP="00AB4E9A">
      <w:pPr>
        <w:rPr>
          <w:rFonts w:ascii="Arial" w:hAnsi="Arial" w:cs="Arial"/>
          <w:sz w:val="24"/>
          <w:szCs w:val="24"/>
        </w:rPr>
      </w:pPr>
      <w:r w:rsidRPr="00AB4E9A">
        <w:rPr>
          <w:rFonts w:ascii="Arial" w:hAnsi="Arial" w:cs="Arial"/>
          <w:sz w:val="24"/>
          <w:szCs w:val="24"/>
        </w:rPr>
        <w:t xml:space="preserve">The term is used extensively throughout the </w:t>
      </w:r>
      <w:r w:rsidRPr="00AB4E9A">
        <w:rPr>
          <w:rFonts w:ascii="Arial" w:hAnsi="Arial" w:cs="Arial"/>
          <w:i/>
          <w:iCs/>
          <w:sz w:val="24"/>
          <w:szCs w:val="24"/>
        </w:rPr>
        <w:t xml:space="preserve">Crimes Act 1900 </w:t>
      </w:r>
      <w:r w:rsidRPr="00AB4E9A">
        <w:rPr>
          <w:rFonts w:ascii="Arial" w:hAnsi="Arial" w:cs="Arial"/>
          <w:sz w:val="24"/>
          <w:szCs w:val="24"/>
        </w:rPr>
        <w:t xml:space="preserve">and </w:t>
      </w:r>
      <w:r w:rsidRPr="00AB4E9A">
        <w:rPr>
          <w:rFonts w:ascii="Arial" w:hAnsi="Arial" w:cs="Arial"/>
          <w:i/>
          <w:iCs/>
          <w:sz w:val="24"/>
          <w:szCs w:val="24"/>
        </w:rPr>
        <w:t>Criminal Code 2002</w:t>
      </w:r>
      <w:r w:rsidRPr="00AB4E9A">
        <w:rPr>
          <w:rFonts w:ascii="Arial" w:hAnsi="Arial" w:cs="Arial"/>
          <w:sz w:val="24"/>
          <w:szCs w:val="24"/>
        </w:rPr>
        <w:t xml:space="preserve">.  It is the broadest definition of harm before ‘serious harm’ (defined in the </w:t>
      </w:r>
      <w:r w:rsidRPr="00AB4E9A">
        <w:rPr>
          <w:rFonts w:ascii="Arial" w:hAnsi="Arial" w:cs="Arial"/>
          <w:i/>
          <w:iCs/>
          <w:sz w:val="24"/>
          <w:szCs w:val="24"/>
        </w:rPr>
        <w:t>Criminal Code 2002</w:t>
      </w:r>
      <w:r w:rsidRPr="00AB4E9A">
        <w:rPr>
          <w:rFonts w:ascii="Arial" w:hAnsi="Arial" w:cs="Arial"/>
          <w:sz w:val="24"/>
          <w:szCs w:val="24"/>
        </w:rPr>
        <w:t xml:space="preserve"> and used in the </w:t>
      </w:r>
      <w:r w:rsidRPr="00AB4E9A">
        <w:rPr>
          <w:rFonts w:ascii="Arial" w:hAnsi="Arial" w:cs="Arial"/>
          <w:i/>
          <w:iCs/>
          <w:sz w:val="24"/>
          <w:szCs w:val="24"/>
        </w:rPr>
        <w:t>Crimes Act 1900</w:t>
      </w:r>
      <w:r w:rsidRPr="00AB4E9A">
        <w:rPr>
          <w:rFonts w:ascii="Arial" w:hAnsi="Arial" w:cs="Arial"/>
          <w:sz w:val="24"/>
          <w:szCs w:val="24"/>
        </w:rPr>
        <w:t xml:space="preserve">), actual bodily harm (see sections 23 and 24 of the </w:t>
      </w:r>
      <w:r w:rsidRPr="00AB4E9A">
        <w:rPr>
          <w:rFonts w:ascii="Arial" w:hAnsi="Arial" w:cs="Arial"/>
          <w:i/>
          <w:iCs/>
          <w:sz w:val="24"/>
          <w:szCs w:val="24"/>
        </w:rPr>
        <w:t>Crimes Act 1900</w:t>
      </w:r>
      <w:r w:rsidRPr="00AB4E9A">
        <w:rPr>
          <w:rFonts w:ascii="Arial" w:hAnsi="Arial" w:cs="Arial"/>
          <w:sz w:val="24"/>
          <w:szCs w:val="24"/>
        </w:rPr>
        <w:t xml:space="preserve">, for example), and grievous bodily harm (see sections 13 and 19 of the </w:t>
      </w:r>
      <w:r w:rsidRPr="00AB4E9A">
        <w:rPr>
          <w:rFonts w:ascii="Arial" w:hAnsi="Arial" w:cs="Arial"/>
          <w:i/>
          <w:iCs/>
          <w:sz w:val="24"/>
          <w:szCs w:val="24"/>
        </w:rPr>
        <w:t>Crimes Act 1900</w:t>
      </w:r>
      <w:r w:rsidRPr="00AB4E9A">
        <w:rPr>
          <w:rFonts w:ascii="Arial" w:hAnsi="Arial" w:cs="Arial"/>
          <w:sz w:val="24"/>
          <w:szCs w:val="24"/>
        </w:rPr>
        <w:t>, for example).</w:t>
      </w:r>
    </w:p>
    <w:p w14:paraId="0FAF6DF5" w14:textId="23563ACA" w:rsidR="008A6B3A" w:rsidRPr="008A6B3A" w:rsidRDefault="00AB4E9A" w:rsidP="008A6B3A">
      <w:pPr>
        <w:rPr>
          <w:rFonts w:ascii="Arial" w:hAnsi="Arial" w:cs="Arial"/>
          <w:sz w:val="24"/>
          <w:szCs w:val="24"/>
        </w:rPr>
      </w:pPr>
      <w:r>
        <w:rPr>
          <w:rFonts w:ascii="Arial" w:hAnsi="Arial" w:cs="Arial"/>
          <w:sz w:val="24"/>
          <w:szCs w:val="24"/>
        </w:rPr>
        <w:t>S</w:t>
      </w:r>
      <w:r w:rsidRPr="00BC38E0">
        <w:rPr>
          <w:rFonts w:ascii="Arial" w:hAnsi="Arial" w:cs="Arial"/>
          <w:sz w:val="24"/>
          <w:szCs w:val="24"/>
        </w:rPr>
        <w:t>erious damage to property</w:t>
      </w:r>
      <w:r>
        <w:rPr>
          <w:rFonts w:ascii="Arial" w:hAnsi="Arial" w:cs="Arial"/>
          <w:sz w:val="24"/>
          <w:szCs w:val="24"/>
        </w:rPr>
        <w:t xml:space="preserve"> is already a standard used by the </w:t>
      </w:r>
      <w:r w:rsidRPr="00AB4E9A">
        <w:rPr>
          <w:rFonts w:ascii="Arial" w:hAnsi="Arial" w:cs="Arial"/>
          <w:i/>
          <w:iCs/>
          <w:sz w:val="24"/>
          <w:szCs w:val="24"/>
        </w:rPr>
        <w:t xml:space="preserve">Crimes Act 1900 </w:t>
      </w:r>
      <w:r w:rsidRPr="00AB4E9A">
        <w:rPr>
          <w:rFonts w:ascii="Arial" w:hAnsi="Arial" w:cs="Arial"/>
          <w:sz w:val="24"/>
          <w:szCs w:val="24"/>
        </w:rPr>
        <w:t xml:space="preserve">and </w:t>
      </w:r>
      <w:r w:rsidRPr="00AB4E9A">
        <w:rPr>
          <w:rFonts w:ascii="Arial" w:hAnsi="Arial" w:cs="Arial"/>
          <w:i/>
          <w:iCs/>
          <w:sz w:val="24"/>
          <w:szCs w:val="24"/>
        </w:rPr>
        <w:t>Criminal Code 2002</w:t>
      </w:r>
      <w:r>
        <w:rPr>
          <w:rFonts w:ascii="Arial" w:hAnsi="Arial" w:cs="Arial"/>
          <w:sz w:val="24"/>
          <w:szCs w:val="24"/>
        </w:rPr>
        <w:t xml:space="preserve">.  It is used in the </w:t>
      </w:r>
      <w:r>
        <w:rPr>
          <w:rFonts w:ascii="Arial" w:hAnsi="Arial" w:cs="Arial"/>
          <w:i/>
          <w:iCs/>
          <w:sz w:val="24"/>
          <w:szCs w:val="24"/>
        </w:rPr>
        <w:t xml:space="preserve">Crimes Act 1900 </w:t>
      </w:r>
      <w:r>
        <w:rPr>
          <w:rFonts w:ascii="Arial" w:hAnsi="Arial" w:cs="Arial"/>
          <w:sz w:val="24"/>
          <w:szCs w:val="24"/>
        </w:rPr>
        <w:t>specifically with reference to children and young people. For example, a police officer’s powers to interview a child or young person</w:t>
      </w:r>
      <w:r w:rsidR="008A6B3A">
        <w:rPr>
          <w:rFonts w:ascii="Arial" w:hAnsi="Arial" w:cs="Arial"/>
          <w:sz w:val="24"/>
          <w:szCs w:val="24"/>
        </w:rPr>
        <w:t xml:space="preserve"> under section 252H of the </w:t>
      </w:r>
      <w:r w:rsidR="008A6B3A">
        <w:rPr>
          <w:rFonts w:ascii="Arial" w:hAnsi="Arial" w:cs="Arial"/>
          <w:i/>
          <w:iCs/>
          <w:sz w:val="24"/>
          <w:szCs w:val="24"/>
        </w:rPr>
        <w:t>Crimes Act 1900</w:t>
      </w:r>
      <w:r>
        <w:rPr>
          <w:rFonts w:ascii="Arial" w:hAnsi="Arial" w:cs="Arial"/>
          <w:sz w:val="24"/>
          <w:szCs w:val="24"/>
        </w:rPr>
        <w:t xml:space="preserve"> </w:t>
      </w:r>
      <w:r w:rsidR="008A6B3A">
        <w:rPr>
          <w:rFonts w:ascii="Arial" w:hAnsi="Arial" w:cs="Arial"/>
          <w:sz w:val="24"/>
          <w:szCs w:val="24"/>
        </w:rPr>
        <w:t xml:space="preserve">depends upon, </w:t>
      </w:r>
      <w:r w:rsidR="008A6B3A">
        <w:rPr>
          <w:rFonts w:ascii="Arial" w:hAnsi="Arial" w:cs="Arial"/>
          <w:i/>
          <w:iCs/>
          <w:sz w:val="24"/>
          <w:szCs w:val="24"/>
        </w:rPr>
        <w:t>inter alia</w:t>
      </w:r>
      <w:r w:rsidR="008A6B3A">
        <w:rPr>
          <w:rFonts w:ascii="Arial" w:hAnsi="Arial" w:cs="Arial"/>
          <w:sz w:val="24"/>
          <w:szCs w:val="24"/>
        </w:rPr>
        <w:t xml:space="preserve">, the police officer’s belief on reasonable grounds that it is </w:t>
      </w:r>
      <w:r w:rsidR="008A6B3A" w:rsidRPr="008A6B3A">
        <w:rPr>
          <w:rFonts w:ascii="Arial" w:hAnsi="Arial" w:cs="Arial"/>
          <w:sz w:val="24"/>
          <w:szCs w:val="24"/>
        </w:rPr>
        <w:t>necessary to interview the child or young person without delay to avoid</w:t>
      </w:r>
      <w:r w:rsidR="008A6B3A">
        <w:rPr>
          <w:rFonts w:ascii="Arial" w:hAnsi="Arial" w:cs="Arial"/>
          <w:sz w:val="24"/>
          <w:szCs w:val="24"/>
        </w:rPr>
        <w:t xml:space="preserve"> </w:t>
      </w:r>
      <w:r w:rsidR="008A6B3A" w:rsidRPr="008A6B3A">
        <w:rPr>
          <w:rFonts w:ascii="Arial" w:hAnsi="Arial" w:cs="Arial"/>
          <w:sz w:val="24"/>
          <w:szCs w:val="24"/>
        </w:rPr>
        <w:t>a risk of death or serious injury of a person or</w:t>
      </w:r>
      <w:r w:rsidR="008A6B3A">
        <w:rPr>
          <w:rFonts w:ascii="Arial" w:hAnsi="Arial" w:cs="Arial"/>
          <w:sz w:val="24"/>
          <w:szCs w:val="24"/>
        </w:rPr>
        <w:t xml:space="preserve"> </w:t>
      </w:r>
      <w:r w:rsidR="008A6B3A" w:rsidRPr="008A6B3A">
        <w:rPr>
          <w:rFonts w:ascii="Arial" w:hAnsi="Arial" w:cs="Arial"/>
          <w:sz w:val="24"/>
          <w:szCs w:val="24"/>
        </w:rPr>
        <w:t>serious damage to property.</w:t>
      </w:r>
    </w:p>
    <w:p w14:paraId="6676EF50" w14:textId="77777777" w:rsidR="00A84421" w:rsidRDefault="0019402A" w:rsidP="00D27E32">
      <w:pPr>
        <w:rPr>
          <w:rFonts w:ascii="Arial" w:hAnsi="Arial" w:cs="Arial"/>
          <w:sz w:val="24"/>
          <w:szCs w:val="24"/>
        </w:rPr>
      </w:pPr>
      <w:r>
        <w:rPr>
          <w:rFonts w:ascii="Arial" w:hAnsi="Arial" w:cs="Arial"/>
          <w:sz w:val="24"/>
          <w:szCs w:val="24"/>
        </w:rPr>
        <w:t>Serious d</w:t>
      </w:r>
      <w:r w:rsidR="008A6B3A">
        <w:rPr>
          <w:rFonts w:ascii="Arial" w:hAnsi="Arial" w:cs="Arial"/>
          <w:sz w:val="24"/>
          <w:szCs w:val="24"/>
        </w:rPr>
        <w:t>amage to the environment</w:t>
      </w:r>
      <w:r>
        <w:rPr>
          <w:rFonts w:ascii="Arial" w:hAnsi="Arial" w:cs="Arial"/>
          <w:sz w:val="24"/>
          <w:szCs w:val="24"/>
        </w:rPr>
        <w:t xml:space="preserve"> is intended to capture those activities where the damage might not strictly be to property. For example, activities that involve setting fires, threaten native wildlife, or ‘trail biking’ </w:t>
      </w:r>
      <w:r w:rsidR="00A84421">
        <w:rPr>
          <w:rFonts w:ascii="Arial" w:hAnsi="Arial" w:cs="Arial"/>
          <w:sz w:val="24"/>
          <w:szCs w:val="24"/>
        </w:rPr>
        <w:t>along nature walks might, depending upon the specific circumstances, constitute serious damage to the environment.</w:t>
      </w:r>
    </w:p>
    <w:p w14:paraId="66EA3C00" w14:textId="76E7DE9E" w:rsidR="00A84421" w:rsidRPr="00A84421" w:rsidRDefault="00A84421" w:rsidP="00A84421">
      <w:pPr>
        <w:rPr>
          <w:rFonts w:ascii="Arial" w:hAnsi="Arial" w:cs="Arial"/>
          <w:sz w:val="24"/>
          <w:szCs w:val="24"/>
        </w:rPr>
      </w:pPr>
      <w:r>
        <w:rPr>
          <w:rFonts w:ascii="Arial" w:hAnsi="Arial" w:cs="Arial"/>
          <w:sz w:val="24"/>
          <w:szCs w:val="24"/>
        </w:rPr>
        <w:t>Cruelty to an animal is intended to capture those activities where the conduct does not result in harm to a person or serious damage to the environment, but has a strong negative effect on the well-being of an animal.</w:t>
      </w:r>
      <w:r>
        <w:rPr>
          <w:rFonts w:ascii="Arial" w:hAnsi="Arial" w:cs="Arial"/>
          <w:b/>
          <w:bCs/>
          <w:i/>
          <w:iCs/>
          <w:sz w:val="24"/>
          <w:szCs w:val="24"/>
        </w:rPr>
        <w:t xml:space="preserve"> </w:t>
      </w:r>
      <w:r>
        <w:rPr>
          <w:rFonts w:ascii="Arial" w:hAnsi="Arial" w:cs="Arial"/>
          <w:sz w:val="24"/>
          <w:szCs w:val="24"/>
        </w:rPr>
        <w:t xml:space="preserve">As defined by section 6A of the </w:t>
      </w:r>
      <w:r>
        <w:rPr>
          <w:rFonts w:ascii="Arial" w:hAnsi="Arial" w:cs="Arial"/>
          <w:i/>
          <w:iCs/>
          <w:sz w:val="24"/>
          <w:szCs w:val="24"/>
        </w:rPr>
        <w:t xml:space="preserve">Animal Welfare Act </w:t>
      </w:r>
      <w:r w:rsidRPr="00A84421">
        <w:rPr>
          <w:rFonts w:ascii="Arial" w:hAnsi="Arial" w:cs="Arial"/>
          <w:i/>
          <w:iCs/>
          <w:sz w:val="24"/>
          <w:szCs w:val="24"/>
        </w:rPr>
        <w:t>1992</w:t>
      </w:r>
      <w:r>
        <w:rPr>
          <w:rFonts w:ascii="Arial" w:hAnsi="Arial" w:cs="Arial"/>
          <w:sz w:val="24"/>
          <w:szCs w:val="24"/>
        </w:rPr>
        <w:t>, c</w:t>
      </w:r>
      <w:r w:rsidRPr="00A84421">
        <w:rPr>
          <w:rFonts w:ascii="Arial" w:hAnsi="Arial" w:cs="Arial"/>
          <w:sz w:val="24"/>
          <w:szCs w:val="24"/>
        </w:rPr>
        <w:t>ruelty in relation to an animal, includes the following:</w:t>
      </w:r>
    </w:p>
    <w:p w14:paraId="430CBB1E" w14:textId="422777C7" w:rsidR="00A84421" w:rsidRPr="00A84421" w:rsidRDefault="00A84421" w:rsidP="00A84421">
      <w:pPr>
        <w:pStyle w:val="ListParagraph"/>
        <w:numPr>
          <w:ilvl w:val="1"/>
          <w:numId w:val="39"/>
        </w:numPr>
        <w:ind w:left="426"/>
        <w:rPr>
          <w:rFonts w:ascii="Arial" w:hAnsi="Arial" w:cs="Arial"/>
          <w:sz w:val="24"/>
          <w:szCs w:val="24"/>
        </w:rPr>
      </w:pPr>
      <w:r w:rsidRPr="00A84421">
        <w:rPr>
          <w:rFonts w:ascii="Arial" w:hAnsi="Arial" w:cs="Arial"/>
          <w:sz w:val="24"/>
          <w:szCs w:val="24"/>
        </w:rPr>
        <w:t>doing, or not doing, something to an animal that causes, or is likely to cause, injury, pain, stress or death to the animal that is unjustifiable, unnecessary or unreasonable in the circumstances;</w:t>
      </w:r>
    </w:p>
    <w:p w14:paraId="5A73560C" w14:textId="2622A36F" w:rsidR="00A84421" w:rsidRPr="00A84421" w:rsidRDefault="00A84421" w:rsidP="00A84421">
      <w:pPr>
        <w:pStyle w:val="ListParagraph"/>
        <w:numPr>
          <w:ilvl w:val="1"/>
          <w:numId w:val="39"/>
        </w:numPr>
        <w:spacing w:after="240"/>
        <w:ind w:left="425" w:hanging="357"/>
        <w:rPr>
          <w:rFonts w:ascii="Arial" w:hAnsi="Arial" w:cs="Arial"/>
          <w:sz w:val="24"/>
          <w:szCs w:val="24"/>
        </w:rPr>
      </w:pPr>
      <w:r w:rsidRPr="00A84421">
        <w:rPr>
          <w:rFonts w:ascii="Arial" w:hAnsi="Arial" w:cs="Arial"/>
          <w:sz w:val="24"/>
          <w:szCs w:val="24"/>
        </w:rPr>
        <w:t>abusing, terrifying or tormenting the animal.</w:t>
      </w:r>
    </w:p>
    <w:p w14:paraId="384DD739" w14:textId="055200AA" w:rsidR="00AB4E9A" w:rsidRDefault="00A84421" w:rsidP="00D27E32">
      <w:pPr>
        <w:rPr>
          <w:rFonts w:ascii="Arial" w:hAnsi="Arial" w:cs="Arial"/>
          <w:sz w:val="24"/>
          <w:szCs w:val="24"/>
        </w:rPr>
      </w:pPr>
      <w:r>
        <w:rPr>
          <w:rFonts w:ascii="Arial" w:hAnsi="Arial" w:cs="Arial"/>
          <w:sz w:val="24"/>
          <w:szCs w:val="24"/>
        </w:rPr>
        <w:t>‘A</w:t>
      </w:r>
      <w:r w:rsidRPr="00BC38E0">
        <w:rPr>
          <w:rFonts w:ascii="Arial" w:hAnsi="Arial" w:cs="Arial"/>
          <w:sz w:val="24"/>
          <w:szCs w:val="24"/>
        </w:rPr>
        <w:t>ny other serious or destructive behaviour</w:t>
      </w:r>
      <w:r>
        <w:rPr>
          <w:rFonts w:ascii="Arial" w:hAnsi="Arial" w:cs="Arial"/>
          <w:sz w:val="24"/>
          <w:szCs w:val="24"/>
        </w:rPr>
        <w:t xml:space="preserve">’ is intended to capture those activities which fail to be covered by the other categories. For example, creating an obstacle on a roadway is serious, but it might not be obvious that the obstacle would cause </w:t>
      </w:r>
      <w:r>
        <w:rPr>
          <w:rFonts w:ascii="Arial" w:hAnsi="Arial" w:cs="Arial"/>
          <w:sz w:val="24"/>
          <w:szCs w:val="24"/>
        </w:rPr>
        <w:lastRenderedPageBreak/>
        <w:t>harm to a person or serious damage to property. Serious behaviour might also, in context, involve shouting racist obscenities</w:t>
      </w:r>
      <w:r w:rsidR="0063203A">
        <w:rPr>
          <w:rFonts w:ascii="Arial" w:hAnsi="Arial" w:cs="Arial"/>
          <w:sz w:val="24"/>
          <w:szCs w:val="24"/>
        </w:rPr>
        <w:t>, even though the likelihood of harm might be difficult for a police officer to determine.</w:t>
      </w:r>
    </w:p>
    <w:p w14:paraId="59912DA4" w14:textId="3A89718D" w:rsidR="0063203A" w:rsidRDefault="0063203A" w:rsidP="00D27E32">
      <w:pPr>
        <w:rPr>
          <w:rFonts w:ascii="Arial" w:hAnsi="Arial" w:cs="Arial"/>
          <w:sz w:val="24"/>
          <w:szCs w:val="24"/>
        </w:rPr>
      </w:pPr>
      <w:r>
        <w:rPr>
          <w:rFonts w:ascii="Arial" w:hAnsi="Arial" w:cs="Arial"/>
          <w:sz w:val="24"/>
          <w:szCs w:val="24"/>
        </w:rPr>
        <w:t xml:space="preserve">For the avoidance of doubt, committing an offence where the maximum penalty includes a term of imprisonment is defined as a serious behaviour. This includes activities like theft. </w:t>
      </w:r>
    </w:p>
    <w:p w14:paraId="3CF7D6E5" w14:textId="6DBCA09E" w:rsidR="0063203A" w:rsidRDefault="00434C03" w:rsidP="00D27E32">
      <w:pPr>
        <w:rPr>
          <w:rFonts w:ascii="Arial" w:hAnsi="Arial" w:cs="Arial"/>
          <w:sz w:val="24"/>
          <w:szCs w:val="24"/>
        </w:rPr>
      </w:pPr>
      <w:r>
        <w:rPr>
          <w:rFonts w:ascii="Arial" w:hAnsi="Arial" w:cs="Arial"/>
          <w:sz w:val="24"/>
          <w:szCs w:val="24"/>
        </w:rPr>
        <w:t>The ‘seriousness threshold’ does not apply where the police officer is using their power to stop, search, or detain where the exercise of the power is required to ensure the safety of the person. This situation might arise if there is an environmental hazard</w:t>
      </w:r>
      <w:r w:rsidR="00AE0E8C">
        <w:rPr>
          <w:rFonts w:ascii="Arial" w:hAnsi="Arial" w:cs="Arial"/>
          <w:sz w:val="24"/>
          <w:szCs w:val="24"/>
        </w:rPr>
        <w:t>, natural disaster, or other emergency</w:t>
      </w:r>
      <w:r>
        <w:rPr>
          <w:rFonts w:ascii="Arial" w:hAnsi="Arial" w:cs="Arial"/>
          <w:sz w:val="24"/>
          <w:szCs w:val="24"/>
        </w:rPr>
        <w:t xml:space="preserve"> and the person under 14 is unaccompanied.</w:t>
      </w:r>
    </w:p>
    <w:p w14:paraId="0C747199" w14:textId="6C52576F" w:rsidR="00320DC7" w:rsidRDefault="00320DC7" w:rsidP="00D27E32">
      <w:pPr>
        <w:rPr>
          <w:rFonts w:ascii="Arial" w:hAnsi="Arial" w:cs="Arial"/>
          <w:sz w:val="24"/>
          <w:szCs w:val="24"/>
        </w:rPr>
      </w:pPr>
      <w:r>
        <w:rPr>
          <w:rFonts w:ascii="Arial" w:hAnsi="Arial" w:cs="Arial"/>
          <w:sz w:val="24"/>
          <w:szCs w:val="24"/>
        </w:rPr>
        <w:t>Having met the seriousness threshold, the police officer must turn their mind to other limitations on the use of their powers. These include the common law requirement that the power being used is necessary and appropriate. There are also requirements related to young people that continue to apply; for example, there is a requirement in section 252I that if a person is detained and the person is not yet an adult, the police officer must promptly take all reasonable steps to inform the parent of the person, or the person who has daily care responsibility, or long-term care responsibility, for the person. These requirements continue to apply.</w:t>
      </w:r>
    </w:p>
    <w:p w14:paraId="1A735A23" w14:textId="64810AF3" w:rsidR="00320DC7" w:rsidRDefault="005D7C06" w:rsidP="00D27E32">
      <w:pPr>
        <w:rPr>
          <w:rFonts w:ascii="Arial" w:hAnsi="Arial" w:cs="Arial"/>
          <w:sz w:val="24"/>
          <w:szCs w:val="24"/>
        </w:rPr>
      </w:pPr>
      <w:r>
        <w:rPr>
          <w:rFonts w:ascii="Arial" w:hAnsi="Arial" w:cs="Arial"/>
          <w:sz w:val="24"/>
          <w:szCs w:val="24"/>
        </w:rPr>
        <w:t xml:space="preserve">In addition to other limitations on the detention power, section 252AC(2) makes it clear that the detention must not be longer than is necessary and reasonable to satisfy the purpose of the detention. </w:t>
      </w:r>
    </w:p>
    <w:p w14:paraId="7484A7BC" w14:textId="7A73EFAB" w:rsidR="005D7C06" w:rsidRDefault="005D7C06" w:rsidP="00D27E32">
      <w:pPr>
        <w:rPr>
          <w:rFonts w:ascii="Arial" w:hAnsi="Arial" w:cs="Arial"/>
          <w:sz w:val="24"/>
          <w:szCs w:val="24"/>
        </w:rPr>
      </w:pPr>
      <w:r w:rsidRPr="009A2447">
        <w:rPr>
          <w:rFonts w:ascii="Arial" w:hAnsi="Arial" w:cs="Arial"/>
          <w:sz w:val="24"/>
          <w:szCs w:val="24"/>
        </w:rPr>
        <w:t>Section 252AD provides an exception</w:t>
      </w:r>
      <w:r>
        <w:rPr>
          <w:rFonts w:ascii="Arial" w:hAnsi="Arial" w:cs="Arial"/>
          <w:sz w:val="24"/>
          <w:szCs w:val="24"/>
        </w:rPr>
        <w:t xml:space="preserve"> to the consideration of the ‘seriousness threshold’. In circumstances where a police officer is investigating an offence committed (or suspected of being committed) by another person</w:t>
      </w:r>
      <w:r w:rsidR="0024594A">
        <w:rPr>
          <w:rFonts w:ascii="Arial" w:hAnsi="Arial" w:cs="Arial"/>
          <w:sz w:val="24"/>
          <w:szCs w:val="24"/>
        </w:rPr>
        <w:t>. There is no additional requirement to meet the ‘seriousness threshold’ if the police officer believes on reasonable grounds that the person under 14 years old possesses evidence relevant to the investigation. If the person being investigated is under 14 years old, the police officer must necessarily have met the ‘seriousness threshold’ in relation to that person in order to conduct the investigation.</w:t>
      </w:r>
    </w:p>
    <w:p w14:paraId="417377C3" w14:textId="120F6F82" w:rsidR="0024594A" w:rsidRDefault="0024594A" w:rsidP="00D27E32">
      <w:pPr>
        <w:rPr>
          <w:rFonts w:ascii="Arial" w:hAnsi="Arial" w:cs="Arial"/>
          <w:sz w:val="24"/>
          <w:szCs w:val="24"/>
        </w:rPr>
      </w:pPr>
      <w:r>
        <w:rPr>
          <w:rFonts w:ascii="Arial" w:hAnsi="Arial" w:cs="Arial"/>
          <w:sz w:val="24"/>
          <w:szCs w:val="24"/>
        </w:rPr>
        <w:t>This provision is designed to avoid creating a legislative incentive for people to hide evidentiary material on children. Simply being in possession of evidentiary material might not meet the ‘seriousness threshold’.</w:t>
      </w:r>
    </w:p>
    <w:p w14:paraId="20CEE74A" w14:textId="73647CF2" w:rsidR="0024594A" w:rsidRDefault="0024594A" w:rsidP="00D27E32">
      <w:pPr>
        <w:rPr>
          <w:rFonts w:ascii="Arial" w:hAnsi="Arial" w:cs="Arial"/>
          <w:sz w:val="24"/>
          <w:szCs w:val="24"/>
        </w:rPr>
      </w:pPr>
      <w:r>
        <w:rPr>
          <w:rFonts w:ascii="Arial" w:hAnsi="Arial" w:cs="Arial"/>
          <w:sz w:val="24"/>
          <w:szCs w:val="24"/>
        </w:rPr>
        <w:t>Further, where police are investigating offences, this is likely to result in charges being laid and judicial oversight of the police conduct. That oversight justifies not using the ‘seriousness threshold’ in the interaction with the person under 14 years old.</w:t>
      </w:r>
    </w:p>
    <w:p w14:paraId="7926EEDE" w14:textId="14A7E316" w:rsidR="009A2447" w:rsidRDefault="00196EE2" w:rsidP="00D27E32">
      <w:pPr>
        <w:rPr>
          <w:rFonts w:ascii="Arial" w:hAnsi="Arial" w:cs="Arial"/>
          <w:sz w:val="24"/>
          <w:szCs w:val="24"/>
        </w:rPr>
      </w:pPr>
      <w:r w:rsidRPr="009A2447">
        <w:rPr>
          <w:rFonts w:ascii="Arial" w:hAnsi="Arial" w:cs="Arial"/>
          <w:sz w:val="24"/>
          <w:szCs w:val="24"/>
        </w:rPr>
        <w:t>Section 252AE codifies</w:t>
      </w:r>
      <w:r>
        <w:rPr>
          <w:rFonts w:ascii="Arial" w:hAnsi="Arial" w:cs="Arial"/>
          <w:sz w:val="24"/>
          <w:szCs w:val="24"/>
        </w:rPr>
        <w:t xml:space="preserve"> an existing power of police officers </w:t>
      </w:r>
      <w:r w:rsidR="00B85132">
        <w:rPr>
          <w:rFonts w:ascii="Arial" w:hAnsi="Arial" w:cs="Arial"/>
          <w:sz w:val="24"/>
          <w:szCs w:val="24"/>
        </w:rPr>
        <w:t xml:space="preserve">to ensure the safety of a person by transporting them to a safe location. </w:t>
      </w:r>
      <w:r w:rsidR="009A2447">
        <w:rPr>
          <w:rFonts w:ascii="Arial" w:hAnsi="Arial" w:cs="Arial"/>
          <w:sz w:val="24"/>
          <w:szCs w:val="24"/>
        </w:rPr>
        <w:t xml:space="preserve">This is a discretionary power as </w:t>
      </w:r>
      <w:r w:rsidR="009A2447">
        <w:rPr>
          <w:rFonts w:ascii="Arial" w:hAnsi="Arial" w:cs="Arial"/>
          <w:sz w:val="24"/>
          <w:szCs w:val="24"/>
        </w:rPr>
        <w:lastRenderedPageBreak/>
        <w:t xml:space="preserve">ongoing contact between the police officer and the person under 14 years old might not be appropriate or reasonable. The police officer may take the person under 14 years old to a parent of the person or somebody who has daily care responsibility or long-term care responsibility for the person. If the parent or another carer is not practicable or appropriate, the police officer may take the person to another appropriate person or agency. </w:t>
      </w:r>
      <w:r w:rsidR="00515ED2">
        <w:rPr>
          <w:rFonts w:ascii="Arial" w:hAnsi="Arial" w:cs="Arial"/>
          <w:sz w:val="24"/>
          <w:szCs w:val="24"/>
        </w:rPr>
        <w:t>If the police officer takes</w:t>
      </w:r>
      <w:r w:rsidR="009A2447">
        <w:rPr>
          <w:rFonts w:ascii="Arial" w:hAnsi="Arial" w:cs="Arial"/>
          <w:sz w:val="24"/>
          <w:szCs w:val="24"/>
        </w:rPr>
        <w:t xml:space="preserve"> the person to another appropriate person or agency, the police officer </w:t>
      </w:r>
      <w:r w:rsidR="00515ED2">
        <w:rPr>
          <w:rFonts w:ascii="Arial" w:hAnsi="Arial" w:cs="Arial"/>
          <w:sz w:val="24"/>
          <w:szCs w:val="24"/>
        </w:rPr>
        <w:t>must notify</w:t>
      </w:r>
      <w:r w:rsidR="009A2447">
        <w:rPr>
          <w:rFonts w:ascii="Arial" w:hAnsi="Arial" w:cs="Arial"/>
          <w:sz w:val="24"/>
          <w:szCs w:val="24"/>
        </w:rPr>
        <w:t xml:space="preserve"> the Aboriginal and Torres Strait Islander Children and Young People Commissioner or the </w:t>
      </w:r>
      <w:r w:rsidR="00515ED2">
        <w:rPr>
          <w:rFonts w:ascii="Arial" w:hAnsi="Arial" w:cs="Arial"/>
          <w:sz w:val="24"/>
          <w:szCs w:val="24"/>
        </w:rPr>
        <w:t>Public Advocate</w:t>
      </w:r>
      <w:r w:rsidR="009A2447">
        <w:rPr>
          <w:rFonts w:ascii="Arial" w:hAnsi="Arial" w:cs="Arial"/>
          <w:sz w:val="24"/>
          <w:szCs w:val="24"/>
        </w:rPr>
        <w:t xml:space="preserve">. </w:t>
      </w:r>
      <w:r w:rsidR="00762362">
        <w:rPr>
          <w:rFonts w:ascii="Arial" w:hAnsi="Arial" w:cs="Arial"/>
          <w:sz w:val="24"/>
          <w:szCs w:val="24"/>
        </w:rPr>
        <w:t xml:space="preserve">The information requirements listed in section 252AE(3) are to support the Commissioner or the Public Advocate to provide additional support to the young person, and to support them to fulfil their functions. </w:t>
      </w:r>
      <w:r w:rsidR="00515ED2">
        <w:rPr>
          <w:rFonts w:ascii="Arial" w:hAnsi="Arial" w:cs="Arial"/>
          <w:sz w:val="24"/>
          <w:szCs w:val="24"/>
        </w:rPr>
        <w:t>This provides for greater oversight and allows for additional supports to be provided if needed.</w:t>
      </w:r>
      <w:r w:rsidR="00762362">
        <w:rPr>
          <w:rFonts w:ascii="Arial" w:hAnsi="Arial" w:cs="Arial"/>
          <w:sz w:val="24"/>
          <w:szCs w:val="24"/>
        </w:rPr>
        <w:t xml:space="preserve"> Failure to provide the notification is not intended to invalidate the police officer’s action, </w:t>
      </w:r>
      <w:r w:rsidR="00605658" w:rsidRPr="00296884">
        <w:rPr>
          <w:rFonts w:ascii="Arial" w:hAnsi="Arial" w:cs="Arial"/>
          <w:sz w:val="24"/>
          <w:szCs w:val="24"/>
        </w:rPr>
        <w:t>as stipulated at</w:t>
      </w:r>
      <w:r w:rsidR="00762362" w:rsidRPr="00296884">
        <w:rPr>
          <w:rFonts w:ascii="Arial" w:hAnsi="Arial" w:cs="Arial"/>
          <w:sz w:val="24"/>
          <w:szCs w:val="24"/>
        </w:rPr>
        <w:t xml:space="preserve"> section 252AE(4).</w:t>
      </w:r>
      <w:r w:rsidR="00762362">
        <w:rPr>
          <w:rFonts w:ascii="Arial" w:hAnsi="Arial" w:cs="Arial"/>
          <w:sz w:val="24"/>
          <w:szCs w:val="24"/>
        </w:rPr>
        <w:t xml:space="preserve"> </w:t>
      </w:r>
    </w:p>
    <w:p w14:paraId="2F0A135A" w14:textId="4B324851" w:rsidR="00CE0F5B" w:rsidRPr="00067E87" w:rsidRDefault="00CE0F5B" w:rsidP="00CE0F5B">
      <w:pPr>
        <w:pStyle w:val="Heading3"/>
        <w:ind w:left="1440" w:hanging="1440"/>
        <w:rPr>
          <w:b w:val="0"/>
          <w:i/>
          <w:iCs/>
        </w:rPr>
      </w:pPr>
      <w:r w:rsidRPr="00ED3B77">
        <w:t xml:space="preserve">Clause </w:t>
      </w:r>
      <w:r w:rsidR="00067E87">
        <w:t>12</w:t>
      </w:r>
      <w:r w:rsidRPr="00ED3B77">
        <w:tab/>
      </w:r>
      <w:r w:rsidR="00067E87">
        <w:rPr>
          <w:bCs/>
        </w:rPr>
        <w:t>Record of youth offence particulars not to be disclosed in court proceedings</w:t>
      </w:r>
      <w:r>
        <w:rPr>
          <w:bCs/>
        </w:rPr>
        <w:br/>
      </w:r>
      <w:r w:rsidR="00067E87">
        <w:rPr>
          <w:bCs/>
        </w:rPr>
        <w:t xml:space="preserve">Section 442A (2), definition of </w:t>
      </w:r>
      <w:r w:rsidR="00067E87">
        <w:rPr>
          <w:bCs/>
          <w:i/>
          <w:iCs/>
        </w:rPr>
        <w:t>youth offence</w:t>
      </w:r>
    </w:p>
    <w:p w14:paraId="2D9B048B" w14:textId="7C652103" w:rsidR="00CE0F5B" w:rsidRDefault="00CE0F5B">
      <w:r>
        <w:rPr>
          <w:rFonts w:ascii="Arial" w:hAnsi="Arial" w:cs="Arial"/>
          <w:sz w:val="24"/>
          <w:szCs w:val="24"/>
        </w:rPr>
        <w:t xml:space="preserve">This clause </w:t>
      </w:r>
      <w:r w:rsidR="00067E87">
        <w:rPr>
          <w:rFonts w:ascii="Arial" w:hAnsi="Arial" w:cs="Arial"/>
          <w:sz w:val="24"/>
          <w:szCs w:val="24"/>
        </w:rPr>
        <w:t xml:space="preserve">is a technical change to the </w:t>
      </w:r>
      <w:r w:rsidR="00067E87">
        <w:rPr>
          <w:rFonts w:ascii="Arial" w:hAnsi="Arial" w:cs="Arial"/>
          <w:i/>
          <w:iCs/>
          <w:sz w:val="24"/>
          <w:szCs w:val="24"/>
        </w:rPr>
        <w:t xml:space="preserve">Crimes Act 1900 </w:t>
      </w:r>
      <w:r w:rsidR="00067E87">
        <w:rPr>
          <w:rFonts w:ascii="Arial" w:hAnsi="Arial" w:cs="Arial"/>
          <w:sz w:val="24"/>
          <w:szCs w:val="24"/>
        </w:rPr>
        <w:t>to ensure that youth offence particulars relating to conduct in the ACT is treated the same way as youth offence particulars relating to conduct outside of the Territory. This ensures greater equality in the application of the law (especially to those who live in ‘border communities’), and consistently applies the policy purpose of raising MACR.</w:t>
      </w:r>
    </w:p>
    <w:p w14:paraId="7382AF1B" w14:textId="63FF643E" w:rsidR="00CE0F5B" w:rsidRPr="00ED3B77" w:rsidRDefault="00CE0F5B" w:rsidP="00CE0F5B">
      <w:pPr>
        <w:pStyle w:val="Heading3"/>
        <w:ind w:left="1440" w:hanging="1440"/>
        <w:rPr>
          <w:b w:val="0"/>
        </w:rPr>
      </w:pPr>
      <w:r w:rsidRPr="00ED3B77">
        <w:t xml:space="preserve">Clause </w:t>
      </w:r>
      <w:r w:rsidR="00067E87">
        <w:t>13</w:t>
      </w:r>
      <w:r w:rsidRPr="00ED3B77">
        <w:tab/>
      </w:r>
      <w:r w:rsidR="00067E87">
        <w:rPr>
          <w:bCs/>
        </w:rPr>
        <w:t>Dictionary, note</w:t>
      </w:r>
    </w:p>
    <w:p w14:paraId="7784A168" w14:textId="11866078" w:rsidR="00CE0F5B" w:rsidRDefault="00067E87" w:rsidP="00CE0F5B">
      <w:pPr>
        <w:rPr>
          <w:rFonts w:ascii="Arial" w:hAnsi="Arial" w:cs="Arial"/>
          <w:sz w:val="24"/>
          <w:szCs w:val="24"/>
        </w:rPr>
      </w:pPr>
      <w:r>
        <w:rPr>
          <w:rFonts w:ascii="Arial" w:hAnsi="Arial" w:cs="Arial"/>
          <w:sz w:val="24"/>
          <w:szCs w:val="24"/>
        </w:rPr>
        <w:t>This clause is a consequential amendment to facilitate new section 252AE.</w:t>
      </w:r>
    </w:p>
    <w:p w14:paraId="12F6B3BD" w14:textId="43EC295D" w:rsidR="00067E87" w:rsidRPr="00ED3B77" w:rsidRDefault="00067E87" w:rsidP="00067E87">
      <w:pPr>
        <w:pStyle w:val="Heading3"/>
        <w:ind w:left="1440" w:hanging="1440"/>
        <w:rPr>
          <w:b w:val="0"/>
        </w:rPr>
      </w:pPr>
      <w:r w:rsidRPr="00ED3B77">
        <w:t xml:space="preserve">Clause </w:t>
      </w:r>
      <w:r>
        <w:t>14</w:t>
      </w:r>
      <w:r w:rsidRPr="00ED3B77">
        <w:tab/>
      </w:r>
      <w:r>
        <w:rPr>
          <w:bCs/>
        </w:rPr>
        <w:t>Dictionary, new definitions</w:t>
      </w:r>
    </w:p>
    <w:p w14:paraId="1B11D165" w14:textId="1D5A1F45" w:rsidR="00067E87" w:rsidRDefault="00067E87" w:rsidP="00067E87">
      <w:pPr>
        <w:rPr>
          <w:rFonts w:ascii="Arial" w:hAnsi="Arial" w:cs="Arial"/>
          <w:sz w:val="24"/>
          <w:szCs w:val="24"/>
        </w:rPr>
      </w:pPr>
      <w:r>
        <w:rPr>
          <w:rFonts w:ascii="Arial" w:hAnsi="Arial" w:cs="Arial"/>
          <w:sz w:val="24"/>
          <w:szCs w:val="24"/>
        </w:rPr>
        <w:t>This clause is a consequential amendment to facilitate new section 252AE.</w:t>
      </w:r>
    </w:p>
    <w:p w14:paraId="0CF407AA" w14:textId="44511B09" w:rsidR="00067E87" w:rsidRDefault="00067E87" w:rsidP="00067E87">
      <w:pPr>
        <w:pStyle w:val="Heading3"/>
        <w:ind w:left="1440" w:hanging="1440"/>
      </w:pPr>
      <w:r>
        <w:t>Part 3</w:t>
      </w:r>
    </w:p>
    <w:p w14:paraId="62F7D212" w14:textId="5390E5F5" w:rsidR="00067E87" w:rsidRPr="00ED3B77" w:rsidRDefault="00067E87" w:rsidP="00067E87">
      <w:pPr>
        <w:pStyle w:val="Heading3"/>
        <w:ind w:left="1440" w:hanging="1440"/>
        <w:rPr>
          <w:b w:val="0"/>
        </w:rPr>
      </w:pPr>
      <w:r w:rsidRPr="00ED3B77">
        <w:t xml:space="preserve">Clause </w:t>
      </w:r>
      <w:r>
        <w:t>15</w:t>
      </w:r>
      <w:r w:rsidRPr="00ED3B77">
        <w:tab/>
      </w:r>
      <w:r w:rsidRPr="00067E87">
        <w:rPr>
          <w:bCs/>
        </w:rPr>
        <w:t xml:space="preserve">Meaning of </w:t>
      </w:r>
      <w:r w:rsidRPr="00067E87">
        <w:rPr>
          <w:bCs/>
          <w:i/>
          <w:iCs/>
        </w:rPr>
        <w:t>youth sexual offence conviction</w:t>
      </w:r>
      <w:r w:rsidRPr="00067E87">
        <w:rPr>
          <w:bCs/>
        </w:rPr>
        <w:t>—pt 2</w:t>
      </w:r>
      <w:r>
        <w:rPr>
          <w:bCs/>
        </w:rPr>
        <w:br/>
      </w:r>
      <w:r w:rsidRPr="00067E87">
        <w:rPr>
          <w:bCs/>
        </w:rPr>
        <w:t xml:space="preserve">Section 14A, definition of </w:t>
      </w:r>
      <w:r w:rsidRPr="00067E87">
        <w:rPr>
          <w:bCs/>
          <w:i/>
          <w:iCs/>
        </w:rPr>
        <w:t>youth sexual offence conviction</w:t>
      </w:r>
      <w:r w:rsidRPr="00067E87">
        <w:rPr>
          <w:bCs/>
        </w:rPr>
        <w:t>, paragraph (a)</w:t>
      </w:r>
    </w:p>
    <w:p w14:paraId="5842D960" w14:textId="07CF7728" w:rsidR="00067E87" w:rsidRDefault="00067E87" w:rsidP="00067E87">
      <w:pPr>
        <w:rPr>
          <w:rFonts w:ascii="Arial" w:hAnsi="Arial" w:cs="Arial"/>
          <w:sz w:val="24"/>
          <w:szCs w:val="24"/>
        </w:rPr>
      </w:pPr>
      <w:r>
        <w:rPr>
          <w:rFonts w:ascii="Arial" w:hAnsi="Arial" w:cs="Arial"/>
          <w:sz w:val="24"/>
          <w:szCs w:val="24"/>
        </w:rPr>
        <w:t xml:space="preserve">This clause is a technical amendment to correct an error introduced by the </w:t>
      </w:r>
      <w:r>
        <w:rPr>
          <w:rFonts w:ascii="Arial" w:hAnsi="Arial" w:cs="Arial"/>
          <w:i/>
          <w:iCs/>
          <w:sz w:val="24"/>
          <w:szCs w:val="24"/>
        </w:rPr>
        <w:t>Justice (Age of Criminal Responsibility) Legislation Act 2023</w:t>
      </w:r>
      <w:r>
        <w:rPr>
          <w:rFonts w:ascii="Arial" w:hAnsi="Arial" w:cs="Arial"/>
          <w:sz w:val="24"/>
          <w:szCs w:val="24"/>
        </w:rPr>
        <w:t>. This amendment ensures that the option to apply for a spent conviction for a youth sexual offence applies only to those who were not dealt with as an adult when convicted.</w:t>
      </w:r>
    </w:p>
    <w:p w14:paraId="7107C611" w14:textId="48C7E89D" w:rsidR="00067E87" w:rsidRPr="00067E87" w:rsidRDefault="00067E87" w:rsidP="00067E87">
      <w:pPr>
        <w:pStyle w:val="Heading3"/>
        <w:ind w:left="1440" w:hanging="1440"/>
        <w:rPr>
          <w:bCs/>
        </w:rPr>
      </w:pPr>
      <w:r w:rsidRPr="00ED3B77">
        <w:lastRenderedPageBreak/>
        <w:t xml:space="preserve">Clause </w:t>
      </w:r>
      <w:r>
        <w:t>16</w:t>
      </w:r>
      <w:r w:rsidRPr="00ED3B77">
        <w:tab/>
      </w:r>
      <w:r w:rsidRPr="00067E87">
        <w:rPr>
          <w:bCs/>
        </w:rPr>
        <w:t>Consequences of conviction becoming extinguished</w:t>
      </w:r>
      <w:r>
        <w:rPr>
          <w:bCs/>
        </w:rPr>
        <w:br/>
      </w:r>
      <w:r w:rsidRPr="00067E87">
        <w:rPr>
          <w:bCs/>
        </w:rPr>
        <w:t>Section 19H (4)</w:t>
      </w:r>
    </w:p>
    <w:p w14:paraId="524660E7" w14:textId="20FB4C23" w:rsidR="00067E87" w:rsidRDefault="00067E87" w:rsidP="00067E87">
      <w:pPr>
        <w:rPr>
          <w:rFonts w:ascii="Arial" w:hAnsi="Arial" w:cs="Arial"/>
          <w:sz w:val="24"/>
          <w:szCs w:val="24"/>
        </w:rPr>
      </w:pPr>
      <w:r>
        <w:rPr>
          <w:rFonts w:ascii="Arial" w:hAnsi="Arial" w:cs="Arial"/>
          <w:sz w:val="24"/>
          <w:szCs w:val="24"/>
        </w:rPr>
        <w:t>This clause is a technical amendment to ensure that relevant information about extinguished convictions are treated the same way for people applying for a Working with Vulnerable People (WWVP) check in the ACT as for people applying for a WWVP check outside of the ACT. This is important for those who live in ‘border communities’ to ensure there is no disadvantage to applying within the ACT or outside of the ACT.</w:t>
      </w:r>
    </w:p>
    <w:p w14:paraId="4E6D671A" w14:textId="77777777" w:rsidR="00067E87" w:rsidRPr="00067E87" w:rsidRDefault="00067E87" w:rsidP="00067E87">
      <w:pPr>
        <w:rPr>
          <w:rFonts w:ascii="Arial" w:hAnsi="Arial" w:cs="Arial"/>
          <w:sz w:val="24"/>
          <w:szCs w:val="24"/>
        </w:rPr>
      </w:pPr>
    </w:p>
    <w:p w14:paraId="6D766EB9" w14:textId="77777777" w:rsidR="00CE0F5B" w:rsidRDefault="00CE0F5B"/>
    <w:sectPr w:rsidR="00CE0F5B" w:rsidSect="00F41A2F">
      <w:footerReference w:type="default" r:id="rId17"/>
      <w:footerReference w:type="first" r:id="rId18"/>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EC057" w14:textId="77777777" w:rsidR="00285D06" w:rsidRDefault="00285D06" w:rsidP="00E90DF9">
      <w:pPr>
        <w:spacing w:after="0" w:line="240" w:lineRule="auto"/>
      </w:pPr>
      <w:r>
        <w:separator/>
      </w:r>
    </w:p>
  </w:endnote>
  <w:endnote w:type="continuationSeparator" w:id="0">
    <w:p w14:paraId="79B3952D" w14:textId="77777777" w:rsidR="00285D06" w:rsidRDefault="00285D06" w:rsidP="00E90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4DB06" w14:textId="77777777" w:rsidR="002A2FDE" w:rsidRDefault="002A2F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53A28" w14:textId="0E693E65" w:rsidR="00D901C7" w:rsidRPr="00F04D88" w:rsidRDefault="00F04D88" w:rsidP="00F04D88">
    <w:pPr>
      <w:pStyle w:val="Footer"/>
      <w:jc w:val="center"/>
      <w:rPr>
        <w:rFonts w:cs="Arial"/>
        <w:sz w:val="14"/>
      </w:rPr>
    </w:pPr>
    <w:r w:rsidRPr="00F04D8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785B3" w14:textId="77777777" w:rsidR="00E90DF9" w:rsidRDefault="00E90DF9">
    <w:pPr>
      <w:pStyle w:val="Footer"/>
      <w:jc w:val="right"/>
    </w:pPr>
  </w:p>
  <w:p w14:paraId="7B511C0F" w14:textId="77777777" w:rsidR="00E90DF9" w:rsidRPr="00DC5912" w:rsidRDefault="00E90DF9"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6E4F6" w14:textId="2691C6E8" w:rsidR="00D901C7" w:rsidRDefault="00E90DF9" w:rsidP="005441A6">
    <w:pPr>
      <w:pStyle w:val="Footer"/>
      <w:spacing w:before="60" w:line="240" w:lineRule="auto"/>
      <w:jc w:val="right"/>
    </w:pPr>
    <w:r>
      <w:fldChar w:fldCharType="begin"/>
    </w:r>
    <w:r>
      <w:instrText xml:space="preserve"> PAGE   \* MERGEFORMAT </w:instrText>
    </w:r>
    <w:r>
      <w:fldChar w:fldCharType="separate"/>
    </w:r>
    <w:r>
      <w:rPr>
        <w:noProof/>
      </w:rPr>
      <w:t>4</w:t>
    </w:r>
    <w:r>
      <w:fldChar w:fldCharType="end"/>
    </w:r>
  </w:p>
  <w:p w14:paraId="532A0493" w14:textId="0DFE6581" w:rsidR="00F04D88" w:rsidRPr="00F04D88" w:rsidRDefault="00F04D88" w:rsidP="00F04D88">
    <w:pPr>
      <w:pStyle w:val="Footer"/>
      <w:spacing w:before="60" w:line="240" w:lineRule="auto"/>
      <w:jc w:val="center"/>
      <w:rPr>
        <w:rFonts w:cs="Arial"/>
        <w:sz w:val="14"/>
      </w:rPr>
    </w:pPr>
    <w:r w:rsidRPr="00F04D88">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B9236" w14:textId="63E351FB" w:rsidR="00D901C7" w:rsidRDefault="00E90DF9" w:rsidP="005441A6">
    <w:pPr>
      <w:pStyle w:val="Footer"/>
      <w:jc w:val="right"/>
    </w:pPr>
    <w:r>
      <w:fldChar w:fldCharType="begin"/>
    </w:r>
    <w:r>
      <w:instrText xml:space="preserve"> PAGE   \* MERGEFORMAT </w:instrText>
    </w:r>
    <w:r>
      <w:fldChar w:fldCharType="separate"/>
    </w:r>
    <w:r>
      <w:rPr>
        <w:noProof/>
      </w:rPr>
      <w:t>1</w:t>
    </w:r>
    <w:r>
      <w:fldChar w:fldCharType="end"/>
    </w:r>
  </w:p>
  <w:p w14:paraId="5D3E9991" w14:textId="4596276B" w:rsidR="00F04D88" w:rsidRPr="00F04D88" w:rsidRDefault="00F04D88" w:rsidP="00F04D88">
    <w:pPr>
      <w:pStyle w:val="Footer"/>
      <w:jc w:val="center"/>
      <w:rPr>
        <w:rFonts w:cs="Arial"/>
        <w:sz w:val="14"/>
      </w:rPr>
    </w:pPr>
    <w:r w:rsidRPr="00F04D88">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694AD" w14:textId="77777777" w:rsidR="00285D06" w:rsidRDefault="00285D06" w:rsidP="00E90DF9">
      <w:pPr>
        <w:spacing w:after="0" w:line="240" w:lineRule="auto"/>
      </w:pPr>
      <w:r>
        <w:separator/>
      </w:r>
    </w:p>
  </w:footnote>
  <w:footnote w:type="continuationSeparator" w:id="0">
    <w:p w14:paraId="37974715" w14:textId="77777777" w:rsidR="00285D06" w:rsidRDefault="00285D06" w:rsidP="00E90DF9">
      <w:pPr>
        <w:spacing w:after="0" w:line="240" w:lineRule="auto"/>
      </w:pPr>
      <w:r>
        <w:continuationSeparator/>
      </w:r>
    </w:p>
  </w:footnote>
  <w:footnote w:id="1">
    <w:p w14:paraId="187A51AC" w14:textId="77777777" w:rsidR="0095405E" w:rsidRDefault="0095405E" w:rsidP="0095405E">
      <w:pPr>
        <w:pStyle w:val="FootnoteText"/>
      </w:pPr>
      <w:r>
        <w:rPr>
          <w:rStyle w:val="FootnoteReference"/>
        </w:rPr>
        <w:footnoteRef/>
      </w:r>
      <w:r>
        <w:t xml:space="preserve"> </w:t>
      </w:r>
      <w:r w:rsidRPr="002D34D9">
        <w:t>UN Human Rights Committee, General Comment No. 16: Article 17, the Right to Respect of Privacy, Family, Home and Correspondence, and Protection of Honour and Reputation (1988) (‘General Comment No. 16’) [1].</w:t>
      </w:r>
    </w:p>
  </w:footnote>
  <w:footnote w:id="2">
    <w:p w14:paraId="0F11132B" w14:textId="77777777" w:rsidR="004610D1" w:rsidRDefault="004610D1" w:rsidP="004610D1">
      <w:pPr>
        <w:pStyle w:val="FootnoteText"/>
      </w:pPr>
      <w:r>
        <w:rPr>
          <w:rStyle w:val="FootnoteReference"/>
        </w:rPr>
        <w:footnoteRef/>
      </w:r>
      <w:r>
        <w:t xml:space="preserve"> </w:t>
      </w:r>
      <w:r w:rsidRPr="0091256E">
        <w:t>UN Human Rights Committee, General Comment No. 16: Article 17 (Right to Privacy), The Right to Respect of Privacy, Family, Home and Correspondence, and Protection of Honour and Reputation (1988).</w:t>
      </w:r>
    </w:p>
  </w:footnote>
  <w:footnote w:id="3">
    <w:p w14:paraId="6D0EC593" w14:textId="77777777" w:rsidR="004610D1" w:rsidRDefault="004610D1" w:rsidP="004610D1">
      <w:pPr>
        <w:pStyle w:val="FootnoteText"/>
      </w:pPr>
      <w:r>
        <w:rPr>
          <w:rStyle w:val="FootnoteReference"/>
        </w:rPr>
        <w:footnoteRef/>
      </w:r>
      <w:r>
        <w:t xml:space="preserve"> </w:t>
      </w:r>
      <w:r w:rsidRPr="00395B81">
        <w:t>UN Human Rights Committee, General Comment No. 35: Article 9 (Liberty and security of person) (2014)(‘General Comment No. 35’),</w:t>
      </w:r>
      <w:r>
        <w:t xml:space="preserve"> [7].</w:t>
      </w:r>
    </w:p>
  </w:footnote>
  <w:footnote w:id="4">
    <w:p w14:paraId="5A68EFB2" w14:textId="77777777" w:rsidR="0095405E" w:rsidRDefault="0095405E" w:rsidP="0095405E">
      <w:pPr>
        <w:pStyle w:val="FootnoteText"/>
      </w:pPr>
      <w:r>
        <w:rPr>
          <w:rStyle w:val="FootnoteReference"/>
        </w:rPr>
        <w:footnoteRef/>
      </w:r>
      <w:r>
        <w:t xml:space="preserve"> </w:t>
      </w:r>
      <w:r w:rsidRPr="009A2755">
        <w:rPr>
          <w:i/>
          <w:iCs/>
        </w:rPr>
        <w:t>Hugo van Alphen v. The Netherlands</w:t>
      </w:r>
      <w:r w:rsidRPr="009A2755">
        <w:t>, UN Human Rights Committee Communication No.305/1988 (1990), [5.8].</w:t>
      </w:r>
    </w:p>
  </w:footnote>
  <w:footnote w:id="5">
    <w:p w14:paraId="06C0771B" w14:textId="77777777" w:rsidR="0095405E" w:rsidRDefault="0095405E" w:rsidP="0095405E">
      <w:pPr>
        <w:pStyle w:val="FootnoteText"/>
      </w:pPr>
      <w:r>
        <w:rPr>
          <w:rStyle w:val="FootnoteReference"/>
        </w:rPr>
        <w:footnoteRef/>
      </w:r>
      <w:r>
        <w:t xml:space="preserve"> </w:t>
      </w:r>
      <w:r w:rsidRPr="009A2755">
        <w:rPr>
          <w:i/>
          <w:iCs/>
        </w:rPr>
        <w:t>Aage Spakmo v Norway</w:t>
      </w:r>
      <w:r w:rsidRPr="009A2755">
        <w:t>, UN Human Rights Committee Communication No. 631/1995 (1999), [6.3].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A7F95" w14:textId="77777777" w:rsidR="002A2FDE" w:rsidRDefault="002A2F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07704" w14:textId="7DB3557B" w:rsidR="00D901C7" w:rsidRPr="00D901C7" w:rsidRDefault="00D901C7" w:rsidP="00D901C7">
    <w:pPr>
      <w:pStyle w:val="Header"/>
      <w:jc w:val="center"/>
      <w:rPr>
        <w:b/>
        <w:bCs/>
        <w:color w:val="FF0000"/>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0FCB7" w14:textId="77777777" w:rsidR="00D901C7" w:rsidRDefault="00D901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130F"/>
    <w:multiLevelType w:val="hybridMultilevel"/>
    <w:tmpl w:val="CC2E91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3061E4"/>
    <w:multiLevelType w:val="hybridMultilevel"/>
    <w:tmpl w:val="543856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D535F42"/>
    <w:multiLevelType w:val="hybridMultilevel"/>
    <w:tmpl w:val="226021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C846E0"/>
    <w:multiLevelType w:val="hybridMultilevel"/>
    <w:tmpl w:val="D1BEFB20"/>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B95B02"/>
    <w:multiLevelType w:val="hybridMultilevel"/>
    <w:tmpl w:val="2E90BAC0"/>
    <w:lvl w:ilvl="0" w:tplc="FFFFFFFF">
      <w:start w:val="1"/>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A061F81"/>
    <w:multiLevelType w:val="hybridMultilevel"/>
    <w:tmpl w:val="A01A9B22"/>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7" w15:restartNumberingAfterBreak="0">
    <w:nsid w:val="1A6F3E71"/>
    <w:multiLevelType w:val="hybridMultilevel"/>
    <w:tmpl w:val="8CD8C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9606C0"/>
    <w:multiLevelType w:val="hybridMultilevel"/>
    <w:tmpl w:val="2B98E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B76B4C"/>
    <w:multiLevelType w:val="hybridMultilevel"/>
    <w:tmpl w:val="3F922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95323A"/>
    <w:multiLevelType w:val="hybridMultilevel"/>
    <w:tmpl w:val="3D7AE3DE"/>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11" w15:restartNumberingAfterBreak="0">
    <w:nsid w:val="1D0E5D29"/>
    <w:multiLevelType w:val="hybridMultilevel"/>
    <w:tmpl w:val="5F2811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1905888"/>
    <w:multiLevelType w:val="hybridMultilevel"/>
    <w:tmpl w:val="AD2E2CF4"/>
    <w:lvl w:ilvl="0" w:tplc="86E47702">
      <w:start w:val="1"/>
      <w:numFmt w:val="lowerLetter"/>
      <w:lvlText w:val="(%1)"/>
      <w:lvlJc w:val="left"/>
      <w:pPr>
        <w:ind w:left="720" w:hanging="360"/>
      </w:pPr>
      <w:rPr>
        <w:rFonts w:hint="default"/>
      </w:rPr>
    </w:lvl>
    <w:lvl w:ilvl="1" w:tplc="0E9E0144">
      <w:start w:val="1"/>
      <w:numFmt w:val="decimal"/>
      <w:lvlText w:val="(%2)"/>
      <w:lvlJc w:val="left"/>
      <w:pPr>
        <w:ind w:left="2112" w:hanging="1032"/>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4F75F10"/>
    <w:multiLevelType w:val="hybridMultilevel"/>
    <w:tmpl w:val="7CDC71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5585E34"/>
    <w:multiLevelType w:val="hybridMultilevel"/>
    <w:tmpl w:val="8D4E5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B022549"/>
    <w:multiLevelType w:val="hybridMultilevel"/>
    <w:tmpl w:val="DA163730"/>
    <w:lvl w:ilvl="0" w:tplc="FFFFFFFF">
      <w:start w:val="1"/>
      <w:numFmt w:val="decimal"/>
      <w:lvlText w:val="%1."/>
      <w:lvlJc w:val="left"/>
      <w:pPr>
        <w:ind w:left="1080" w:hanging="360"/>
      </w:pPr>
      <w:rPr>
        <w:rFonts w:hint="default"/>
      </w:rPr>
    </w:lvl>
    <w:lvl w:ilvl="1" w:tplc="89447BA0">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D8E6C6E"/>
    <w:multiLevelType w:val="hybridMultilevel"/>
    <w:tmpl w:val="192060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18327D1"/>
    <w:multiLevelType w:val="hybridMultilevel"/>
    <w:tmpl w:val="92E4D326"/>
    <w:lvl w:ilvl="0" w:tplc="E9F4C8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65401FF"/>
    <w:multiLevelType w:val="hybridMultilevel"/>
    <w:tmpl w:val="A0EC00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CC4677C"/>
    <w:multiLevelType w:val="hybridMultilevel"/>
    <w:tmpl w:val="964A1F3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E632D72"/>
    <w:multiLevelType w:val="hybridMultilevel"/>
    <w:tmpl w:val="40349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1F507A"/>
    <w:multiLevelType w:val="hybridMultilevel"/>
    <w:tmpl w:val="8D40655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24A63DA"/>
    <w:multiLevelType w:val="hybridMultilevel"/>
    <w:tmpl w:val="043A64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2E20D49"/>
    <w:multiLevelType w:val="hybridMultilevel"/>
    <w:tmpl w:val="D1BEFB20"/>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9335F4D"/>
    <w:multiLevelType w:val="hybridMultilevel"/>
    <w:tmpl w:val="A18267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FDA375E"/>
    <w:multiLevelType w:val="hybridMultilevel"/>
    <w:tmpl w:val="14D23D7C"/>
    <w:lvl w:ilvl="0" w:tplc="9B6ADDF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254F71"/>
    <w:multiLevelType w:val="hybridMultilevel"/>
    <w:tmpl w:val="E20A3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762301"/>
    <w:multiLevelType w:val="multilevel"/>
    <w:tmpl w:val="EF4840B8"/>
    <w:lvl w:ilvl="0">
      <w:start w:val="1"/>
      <w:numFmt w:val="decimal"/>
      <w:lvlText w:val="%1)"/>
      <w:lvlJc w:val="left"/>
      <w:pPr>
        <w:ind w:left="340" w:hanging="340"/>
      </w:pPr>
      <w:rPr>
        <w:rFonts w:hint="default"/>
        <w:b w:val="0"/>
        <w:bCs w:val="0"/>
        <w:sz w:val="24"/>
      </w:rPr>
    </w:lvl>
    <w:lvl w:ilvl="1">
      <w:start w:val="1"/>
      <w:numFmt w:val="lowerLetter"/>
      <w:lvlText w:val="%2."/>
      <w:lvlJc w:val="left"/>
      <w:pPr>
        <w:ind w:left="680" w:hanging="340"/>
      </w:pPr>
      <w:rPr>
        <w:rFonts w:hint="default"/>
        <w:sz w:val="24"/>
      </w:rPr>
    </w:lvl>
    <w:lvl w:ilvl="2">
      <w:start w:val="1"/>
      <w:numFmt w:val="lowerRoman"/>
      <w:lvlText w:val="%3."/>
      <w:lvlJc w:val="left"/>
      <w:pPr>
        <w:ind w:left="1020" w:hanging="340"/>
      </w:pPr>
      <w:rPr>
        <w:rFonts w:hint="default"/>
        <w:sz w:val="24"/>
      </w:rPr>
    </w:lvl>
    <w:lvl w:ilvl="3">
      <w:start w:val="1"/>
      <w:numFmt w:val="upperLetter"/>
      <w:lvlText w:val="(%4)"/>
      <w:lvlJc w:val="left"/>
      <w:pPr>
        <w:ind w:left="1360" w:hanging="340"/>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8" w15:restartNumberingAfterBreak="0">
    <w:nsid w:val="56844F3C"/>
    <w:multiLevelType w:val="hybridMultilevel"/>
    <w:tmpl w:val="4F90D6AE"/>
    <w:lvl w:ilvl="0" w:tplc="72B2A804">
      <w:start w:val="1"/>
      <w:numFmt w:val="decimal"/>
      <w:lvlText w:val="(%1)"/>
      <w:lvlJc w:val="left"/>
      <w:pPr>
        <w:ind w:left="1080" w:hanging="720"/>
      </w:pPr>
      <w:rPr>
        <w:rFonts w:hint="default"/>
        <w:b w:val="0"/>
        <w:bCs w:val="0"/>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E3B560B"/>
    <w:multiLevelType w:val="hybridMultilevel"/>
    <w:tmpl w:val="CD5E41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F1B522B"/>
    <w:multiLevelType w:val="hybridMultilevel"/>
    <w:tmpl w:val="F6A6D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F866E9C"/>
    <w:multiLevelType w:val="hybridMultilevel"/>
    <w:tmpl w:val="A4B2B34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12230DD"/>
    <w:multiLevelType w:val="hybridMultilevel"/>
    <w:tmpl w:val="964A1F3A"/>
    <w:lvl w:ilvl="0" w:tplc="7EA8859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66046F48"/>
    <w:multiLevelType w:val="hybridMultilevel"/>
    <w:tmpl w:val="FF5C2A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76F481B"/>
    <w:multiLevelType w:val="hybridMultilevel"/>
    <w:tmpl w:val="1062CAAE"/>
    <w:lvl w:ilvl="0" w:tplc="FFFFFFF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A4B0025"/>
    <w:multiLevelType w:val="hybridMultilevel"/>
    <w:tmpl w:val="D1BEFB20"/>
    <w:lvl w:ilvl="0" w:tplc="BEB253D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D830094"/>
    <w:multiLevelType w:val="hybridMultilevel"/>
    <w:tmpl w:val="8EB65F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F3E76F5"/>
    <w:multiLevelType w:val="hybridMultilevel"/>
    <w:tmpl w:val="F3E41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5115FC6"/>
    <w:multiLevelType w:val="hybridMultilevel"/>
    <w:tmpl w:val="D1BEFB20"/>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5551F1D"/>
    <w:multiLevelType w:val="hybridMultilevel"/>
    <w:tmpl w:val="8E4A2E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F616DFF"/>
    <w:multiLevelType w:val="hybridMultilevel"/>
    <w:tmpl w:val="175ED6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FD6896"/>
    <w:multiLevelType w:val="hybridMultilevel"/>
    <w:tmpl w:val="5DBED3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85321631">
    <w:abstractNumId w:val="2"/>
  </w:num>
  <w:num w:numId="2" w16cid:durableId="1502576358">
    <w:abstractNumId w:val="8"/>
  </w:num>
  <w:num w:numId="3" w16cid:durableId="1293369276">
    <w:abstractNumId w:val="27"/>
  </w:num>
  <w:num w:numId="4" w16cid:durableId="1602058596">
    <w:abstractNumId w:val="18"/>
  </w:num>
  <w:num w:numId="5" w16cid:durableId="664623822">
    <w:abstractNumId w:val="33"/>
  </w:num>
  <w:num w:numId="6" w16cid:durableId="1940258982">
    <w:abstractNumId w:val="7"/>
  </w:num>
  <w:num w:numId="7" w16cid:durableId="1852835060">
    <w:abstractNumId w:val="13"/>
  </w:num>
  <w:num w:numId="8" w16cid:durableId="413746849">
    <w:abstractNumId w:val="26"/>
  </w:num>
  <w:num w:numId="9" w16cid:durableId="926500183">
    <w:abstractNumId w:val="31"/>
  </w:num>
  <w:num w:numId="10" w16cid:durableId="1107962958">
    <w:abstractNumId w:val="34"/>
  </w:num>
  <w:num w:numId="11" w16cid:durableId="178400350">
    <w:abstractNumId w:val="35"/>
  </w:num>
  <w:num w:numId="12" w16cid:durableId="1244608457">
    <w:abstractNumId w:val="4"/>
  </w:num>
  <w:num w:numId="13" w16cid:durableId="2009289048">
    <w:abstractNumId w:val="28"/>
  </w:num>
  <w:num w:numId="14" w16cid:durableId="139540524">
    <w:abstractNumId w:val="38"/>
  </w:num>
  <w:num w:numId="15" w16cid:durableId="1533223833">
    <w:abstractNumId w:val="23"/>
  </w:num>
  <w:num w:numId="16" w16cid:durableId="594822045">
    <w:abstractNumId w:val="21"/>
  </w:num>
  <w:num w:numId="17" w16cid:durableId="1183975674">
    <w:abstractNumId w:val="11"/>
  </w:num>
  <w:num w:numId="18" w16cid:durableId="1206599015">
    <w:abstractNumId w:val="30"/>
  </w:num>
  <w:num w:numId="19" w16cid:durableId="1761558472">
    <w:abstractNumId w:val="9"/>
  </w:num>
  <w:num w:numId="20" w16cid:durableId="462961190">
    <w:abstractNumId w:val="1"/>
  </w:num>
  <w:num w:numId="21" w16cid:durableId="948660334">
    <w:abstractNumId w:val="6"/>
  </w:num>
  <w:num w:numId="22" w16cid:durableId="374473348">
    <w:abstractNumId w:val="16"/>
  </w:num>
  <w:num w:numId="23" w16cid:durableId="377779839">
    <w:abstractNumId w:val="24"/>
  </w:num>
  <w:num w:numId="24" w16cid:durableId="1323505913">
    <w:abstractNumId w:val="20"/>
  </w:num>
  <w:num w:numId="25" w16cid:durableId="629169556">
    <w:abstractNumId w:val="25"/>
  </w:num>
  <w:num w:numId="26" w16cid:durableId="921371889">
    <w:abstractNumId w:val="36"/>
  </w:num>
  <w:num w:numId="27" w16cid:durableId="1531379773">
    <w:abstractNumId w:val="12"/>
  </w:num>
  <w:num w:numId="28" w16cid:durableId="1575319351">
    <w:abstractNumId w:val="32"/>
  </w:num>
  <w:num w:numId="29" w16cid:durableId="2079866293">
    <w:abstractNumId w:val="22"/>
  </w:num>
  <w:num w:numId="30" w16cid:durableId="1838305998">
    <w:abstractNumId w:val="0"/>
  </w:num>
  <w:num w:numId="31" w16cid:durableId="208036289">
    <w:abstractNumId w:val="15"/>
  </w:num>
  <w:num w:numId="32" w16cid:durableId="262109008">
    <w:abstractNumId w:val="5"/>
  </w:num>
  <w:num w:numId="33" w16cid:durableId="422991727">
    <w:abstractNumId w:val="17"/>
  </w:num>
  <w:num w:numId="34" w16cid:durableId="986859420">
    <w:abstractNumId w:val="19"/>
  </w:num>
  <w:num w:numId="35" w16cid:durableId="339629334">
    <w:abstractNumId w:val="29"/>
  </w:num>
  <w:num w:numId="36" w16cid:durableId="613749455">
    <w:abstractNumId w:val="39"/>
  </w:num>
  <w:num w:numId="37" w16cid:durableId="385227067">
    <w:abstractNumId w:val="3"/>
  </w:num>
  <w:num w:numId="38" w16cid:durableId="835994822">
    <w:abstractNumId w:val="14"/>
  </w:num>
  <w:num w:numId="39" w16cid:durableId="211311434">
    <w:abstractNumId w:val="40"/>
  </w:num>
  <w:num w:numId="40" w16cid:durableId="1264845624">
    <w:abstractNumId w:val="41"/>
  </w:num>
  <w:num w:numId="41" w16cid:durableId="352807548">
    <w:abstractNumId w:val="37"/>
  </w:num>
  <w:num w:numId="42" w16cid:durableId="16660114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01478"/>
    <w:rsid w:val="0001034D"/>
    <w:rsid w:val="000137F5"/>
    <w:rsid w:val="00014814"/>
    <w:rsid w:val="00023D04"/>
    <w:rsid w:val="00062A66"/>
    <w:rsid w:val="00067E87"/>
    <w:rsid w:val="000724B3"/>
    <w:rsid w:val="00080760"/>
    <w:rsid w:val="000867C4"/>
    <w:rsid w:val="00090848"/>
    <w:rsid w:val="00093305"/>
    <w:rsid w:val="00094350"/>
    <w:rsid w:val="000A185C"/>
    <w:rsid w:val="000F4ABF"/>
    <w:rsid w:val="000F5874"/>
    <w:rsid w:val="00113666"/>
    <w:rsid w:val="0012300C"/>
    <w:rsid w:val="00123F04"/>
    <w:rsid w:val="001364A7"/>
    <w:rsid w:val="00143576"/>
    <w:rsid w:val="00144A74"/>
    <w:rsid w:val="00155EA9"/>
    <w:rsid w:val="001663C6"/>
    <w:rsid w:val="00174965"/>
    <w:rsid w:val="00190FE6"/>
    <w:rsid w:val="0019402A"/>
    <w:rsid w:val="00196EE2"/>
    <w:rsid w:val="001A0100"/>
    <w:rsid w:val="001A51F2"/>
    <w:rsid w:val="001A52F0"/>
    <w:rsid w:val="001C0A3F"/>
    <w:rsid w:val="001D69D4"/>
    <w:rsid w:val="001E7199"/>
    <w:rsid w:val="001F2FB3"/>
    <w:rsid w:val="001F4564"/>
    <w:rsid w:val="001F540C"/>
    <w:rsid w:val="002001F2"/>
    <w:rsid w:val="002162F4"/>
    <w:rsid w:val="00225457"/>
    <w:rsid w:val="00230A51"/>
    <w:rsid w:val="002437CC"/>
    <w:rsid w:val="0024594A"/>
    <w:rsid w:val="002556AF"/>
    <w:rsid w:val="0026201F"/>
    <w:rsid w:val="00273297"/>
    <w:rsid w:val="00276F38"/>
    <w:rsid w:val="00285D06"/>
    <w:rsid w:val="00293EB8"/>
    <w:rsid w:val="00296884"/>
    <w:rsid w:val="002A2FDE"/>
    <w:rsid w:val="002A5166"/>
    <w:rsid w:val="002A6887"/>
    <w:rsid w:val="002A71D5"/>
    <w:rsid w:val="002B7212"/>
    <w:rsid w:val="002C2FA5"/>
    <w:rsid w:val="002C70B9"/>
    <w:rsid w:val="002E5838"/>
    <w:rsid w:val="002E70BA"/>
    <w:rsid w:val="002F1E04"/>
    <w:rsid w:val="002F5BA3"/>
    <w:rsid w:val="00304641"/>
    <w:rsid w:val="00320DC7"/>
    <w:rsid w:val="0034097E"/>
    <w:rsid w:val="00354245"/>
    <w:rsid w:val="0035760A"/>
    <w:rsid w:val="003703C6"/>
    <w:rsid w:val="003717DF"/>
    <w:rsid w:val="00371C4F"/>
    <w:rsid w:val="00376695"/>
    <w:rsid w:val="003812E1"/>
    <w:rsid w:val="00382677"/>
    <w:rsid w:val="00386949"/>
    <w:rsid w:val="003908A7"/>
    <w:rsid w:val="003976F1"/>
    <w:rsid w:val="003B0855"/>
    <w:rsid w:val="003B1115"/>
    <w:rsid w:val="003B1642"/>
    <w:rsid w:val="003B6630"/>
    <w:rsid w:val="003B6CBB"/>
    <w:rsid w:val="003C3107"/>
    <w:rsid w:val="003C3C68"/>
    <w:rsid w:val="003E56AD"/>
    <w:rsid w:val="003E6DA6"/>
    <w:rsid w:val="003F5FFC"/>
    <w:rsid w:val="003F7A6A"/>
    <w:rsid w:val="004041EC"/>
    <w:rsid w:val="00407358"/>
    <w:rsid w:val="00407B5B"/>
    <w:rsid w:val="00415132"/>
    <w:rsid w:val="00415949"/>
    <w:rsid w:val="004316C2"/>
    <w:rsid w:val="004343C8"/>
    <w:rsid w:val="00434C03"/>
    <w:rsid w:val="00437547"/>
    <w:rsid w:val="00437DFF"/>
    <w:rsid w:val="00440A30"/>
    <w:rsid w:val="00456AE4"/>
    <w:rsid w:val="004610D1"/>
    <w:rsid w:val="0047372E"/>
    <w:rsid w:val="00475FFF"/>
    <w:rsid w:val="004A7312"/>
    <w:rsid w:val="004C4A55"/>
    <w:rsid w:val="004C62B7"/>
    <w:rsid w:val="004D4BE5"/>
    <w:rsid w:val="004D53F3"/>
    <w:rsid w:val="004D6445"/>
    <w:rsid w:val="004E2BDA"/>
    <w:rsid w:val="00503208"/>
    <w:rsid w:val="005150E9"/>
    <w:rsid w:val="00515ED2"/>
    <w:rsid w:val="005209EA"/>
    <w:rsid w:val="00526860"/>
    <w:rsid w:val="00533630"/>
    <w:rsid w:val="00543B21"/>
    <w:rsid w:val="005441A6"/>
    <w:rsid w:val="00570D58"/>
    <w:rsid w:val="00571955"/>
    <w:rsid w:val="005823D5"/>
    <w:rsid w:val="0058265A"/>
    <w:rsid w:val="00584D96"/>
    <w:rsid w:val="00597A21"/>
    <w:rsid w:val="005B0897"/>
    <w:rsid w:val="005B759A"/>
    <w:rsid w:val="005C1ECF"/>
    <w:rsid w:val="005D55D8"/>
    <w:rsid w:val="005D75A9"/>
    <w:rsid w:val="005D7C06"/>
    <w:rsid w:val="005E2CE0"/>
    <w:rsid w:val="005E74AF"/>
    <w:rsid w:val="005F01C9"/>
    <w:rsid w:val="005F24AA"/>
    <w:rsid w:val="00600EF9"/>
    <w:rsid w:val="00605658"/>
    <w:rsid w:val="0063203A"/>
    <w:rsid w:val="00632C4D"/>
    <w:rsid w:val="00641112"/>
    <w:rsid w:val="00643F6A"/>
    <w:rsid w:val="00651493"/>
    <w:rsid w:val="00664599"/>
    <w:rsid w:val="00672C5D"/>
    <w:rsid w:val="00673A7E"/>
    <w:rsid w:val="00674A6E"/>
    <w:rsid w:val="006A6C30"/>
    <w:rsid w:val="006B4699"/>
    <w:rsid w:val="006C2C68"/>
    <w:rsid w:val="006C7E67"/>
    <w:rsid w:val="006D6543"/>
    <w:rsid w:val="006F084D"/>
    <w:rsid w:val="006F6B5A"/>
    <w:rsid w:val="0071180A"/>
    <w:rsid w:val="007278C6"/>
    <w:rsid w:val="00762362"/>
    <w:rsid w:val="00767CDF"/>
    <w:rsid w:val="007709E8"/>
    <w:rsid w:val="00773E2A"/>
    <w:rsid w:val="00775D00"/>
    <w:rsid w:val="00783C55"/>
    <w:rsid w:val="00785C31"/>
    <w:rsid w:val="007A52B7"/>
    <w:rsid w:val="007B13E7"/>
    <w:rsid w:val="007B1661"/>
    <w:rsid w:val="007B5A8C"/>
    <w:rsid w:val="007C164F"/>
    <w:rsid w:val="007D2F2E"/>
    <w:rsid w:val="007D4D17"/>
    <w:rsid w:val="007F123B"/>
    <w:rsid w:val="007F4547"/>
    <w:rsid w:val="007F7FD4"/>
    <w:rsid w:val="00810494"/>
    <w:rsid w:val="00820FE0"/>
    <w:rsid w:val="008278F2"/>
    <w:rsid w:val="008301D4"/>
    <w:rsid w:val="00840133"/>
    <w:rsid w:val="00856E72"/>
    <w:rsid w:val="00881338"/>
    <w:rsid w:val="008A197B"/>
    <w:rsid w:val="008A6B3A"/>
    <w:rsid w:val="008C3D61"/>
    <w:rsid w:val="008C648A"/>
    <w:rsid w:val="008D172C"/>
    <w:rsid w:val="008D20AE"/>
    <w:rsid w:val="008D4A5A"/>
    <w:rsid w:val="0090738F"/>
    <w:rsid w:val="0091346F"/>
    <w:rsid w:val="00913594"/>
    <w:rsid w:val="0093341C"/>
    <w:rsid w:val="00936F14"/>
    <w:rsid w:val="0094280C"/>
    <w:rsid w:val="00947612"/>
    <w:rsid w:val="009479CD"/>
    <w:rsid w:val="00953187"/>
    <w:rsid w:val="0095405E"/>
    <w:rsid w:val="00977555"/>
    <w:rsid w:val="00977D26"/>
    <w:rsid w:val="00984A5C"/>
    <w:rsid w:val="00993FD7"/>
    <w:rsid w:val="009A2447"/>
    <w:rsid w:val="009B141A"/>
    <w:rsid w:val="009B280D"/>
    <w:rsid w:val="009B3158"/>
    <w:rsid w:val="009B344C"/>
    <w:rsid w:val="009B5C20"/>
    <w:rsid w:val="009B7732"/>
    <w:rsid w:val="009D28B9"/>
    <w:rsid w:val="009D2EC9"/>
    <w:rsid w:val="009E057E"/>
    <w:rsid w:val="009E0822"/>
    <w:rsid w:val="009E6427"/>
    <w:rsid w:val="009F0FA7"/>
    <w:rsid w:val="009F124B"/>
    <w:rsid w:val="00A1182C"/>
    <w:rsid w:val="00A13321"/>
    <w:rsid w:val="00A1342A"/>
    <w:rsid w:val="00A15B99"/>
    <w:rsid w:val="00A23044"/>
    <w:rsid w:val="00A23E94"/>
    <w:rsid w:val="00A24753"/>
    <w:rsid w:val="00A41912"/>
    <w:rsid w:val="00A522F6"/>
    <w:rsid w:val="00A53E70"/>
    <w:rsid w:val="00A56595"/>
    <w:rsid w:val="00A72591"/>
    <w:rsid w:val="00A84421"/>
    <w:rsid w:val="00A86A7A"/>
    <w:rsid w:val="00A903DB"/>
    <w:rsid w:val="00A9658F"/>
    <w:rsid w:val="00A97C79"/>
    <w:rsid w:val="00AA0667"/>
    <w:rsid w:val="00AB4E9A"/>
    <w:rsid w:val="00AB60C7"/>
    <w:rsid w:val="00AC443B"/>
    <w:rsid w:val="00AC686D"/>
    <w:rsid w:val="00AE0E8C"/>
    <w:rsid w:val="00AF3243"/>
    <w:rsid w:val="00AF3C73"/>
    <w:rsid w:val="00B10812"/>
    <w:rsid w:val="00B15A8C"/>
    <w:rsid w:val="00B200D3"/>
    <w:rsid w:val="00B40EBB"/>
    <w:rsid w:val="00B428A9"/>
    <w:rsid w:val="00B44A98"/>
    <w:rsid w:val="00B6673D"/>
    <w:rsid w:val="00B737AB"/>
    <w:rsid w:val="00B75D95"/>
    <w:rsid w:val="00B84769"/>
    <w:rsid w:val="00B85132"/>
    <w:rsid w:val="00BA0A16"/>
    <w:rsid w:val="00BC0772"/>
    <w:rsid w:val="00BC2970"/>
    <w:rsid w:val="00BC38E0"/>
    <w:rsid w:val="00BD5B9C"/>
    <w:rsid w:val="00BE1C75"/>
    <w:rsid w:val="00BE52EB"/>
    <w:rsid w:val="00BF077E"/>
    <w:rsid w:val="00C1332E"/>
    <w:rsid w:val="00C24E0C"/>
    <w:rsid w:val="00C419C4"/>
    <w:rsid w:val="00C559A3"/>
    <w:rsid w:val="00C62489"/>
    <w:rsid w:val="00C73F34"/>
    <w:rsid w:val="00C74863"/>
    <w:rsid w:val="00C76A77"/>
    <w:rsid w:val="00C84F2E"/>
    <w:rsid w:val="00C87E68"/>
    <w:rsid w:val="00C96D0D"/>
    <w:rsid w:val="00CA695C"/>
    <w:rsid w:val="00CC03E5"/>
    <w:rsid w:val="00CC2F56"/>
    <w:rsid w:val="00CD320A"/>
    <w:rsid w:val="00CE0A71"/>
    <w:rsid w:val="00CE0F5B"/>
    <w:rsid w:val="00CF0C55"/>
    <w:rsid w:val="00CF13DB"/>
    <w:rsid w:val="00CF2EEC"/>
    <w:rsid w:val="00CF345D"/>
    <w:rsid w:val="00CF76B1"/>
    <w:rsid w:val="00D14C7B"/>
    <w:rsid w:val="00D25CDC"/>
    <w:rsid w:val="00D2714E"/>
    <w:rsid w:val="00D27E32"/>
    <w:rsid w:val="00D3036F"/>
    <w:rsid w:val="00D34922"/>
    <w:rsid w:val="00D42B73"/>
    <w:rsid w:val="00D46495"/>
    <w:rsid w:val="00D52CCF"/>
    <w:rsid w:val="00D54255"/>
    <w:rsid w:val="00D56374"/>
    <w:rsid w:val="00D628A6"/>
    <w:rsid w:val="00D6322D"/>
    <w:rsid w:val="00D7652D"/>
    <w:rsid w:val="00D901C7"/>
    <w:rsid w:val="00D931E2"/>
    <w:rsid w:val="00DA415F"/>
    <w:rsid w:val="00DA4305"/>
    <w:rsid w:val="00DA7203"/>
    <w:rsid w:val="00DB56FE"/>
    <w:rsid w:val="00DE628B"/>
    <w:rsid w:val="00DE6F00"/>
    <w:rsid w:val="00E020DE"/>
    <w:rsid w:val="00E07B57"/>
    <w:rsid w:val="00E64FEC"/>
    <w:rsid w:val="00E80CDF"/>
    <w:rsid w:val="00E83489"/>
    <w:rsid w:val="00E85C48"/>
    <w:rsid w:val="00E90DF9"/>
    <w:rsid w:val="00EA5FBA"/>
    <w:rsid w:val="00EB2DA3"/>
    <w:rsid w:val="00EB7510"/>
    <w:rsid w:val="00EB7678"/>
    <w:rsid w:val="00EE0AAC"/>
    <w:rsid w:val="00EE6767"/>
    <w:rsid w:val="00EF4CFD"/>
    <w:rsid w:val="00EF5C6D"/>
    <w:rsid w:val="00EF6532"/>
    <w:rsid w:val="00F04D88"/>
    <w:rsid w:val="00F20EB5"/>
    <w:rsid w:val="00F42B16"/>
    <w:rsid w:val="00F46B8D"/>
    <w:rsid w:val="00F8563B"/>
    <w:rsid w:val="00F9175E"/>
    <w:rsid w:val="00F9488D"/>
    <w:rsid w:val="00FB3A59"/>
    <w:rsid w:val="00FB46AD"/>
    <w:rsid w:val="00FC40FD"/>
    <w:rsid w:val="00FD0538"/>
    <w:rsid w:val="00FD3E39"/>
    <w:rsid w:val="00FD7D25"/>
    <w:rsid w:val="00FF5547"/>
    <w:rsid w:val="04ADB5ED"/>
    <w:rsid w:val="05F99CA8"/>
    <w:rsid w:val="0C5B0081"/>
    <w:rsid w:val="0EB58C4B"/>
    <w:rsid w:val="0F6815A6"/>
    <w:rsid w:val="0F71A132"/>
    <w:rsid w:val="127A0CE5"/>
    <w:rsid w:val="1613D7A9"/>
    <w:rsid w:val="1B57A3E9"/>
    <w:rsid w:val="253D9BE3"/>
    <w:rsid w:val="26500CDF"/>
    <w:rsid w:val="279FE943"/>
    <w:rsid w:val="2DEFC670"/>
    <w:rsid w:val="33859427"/>
    <w:rsid w:val="34FDDCD6"/>
    <w:rsid w:val="353AF62B"/>
    <w:rsid w:val="366AA98D"/>
    <w:rsid w:val="368EF2B5"/>
    <w:rsid w:val="389E214D"/>
    <w:rsid w:val="3ADC3BB8"/>
    <w:rsid w:val="3BD9E1EB"/>
    <w:rsid w:val="3FD2EF3C"/>
    <w:rsid w:val="42977EA4"/>
    <w:rsid w:val="45155BF8"/>
    <w:rsid w:val="4890FA2D"/>
    <w:rsid w:val="4960F781"/>
    <w:rsid w:val="4AD467C9"/>
    <w:rsid w:val="4B0A38C0"/>
    <w:rsid w:val="513218D5"/>
    <w:rsid w:val="533DB73C"/>
    <w:rsid w:val="595EB0B7"/>
    <w:rsid w:val="59A44FEE"/>
    <w:rsid w:val="59B7626B"/>
    <w:rsid w:val="59BDC244"/>
    <w:rsid w:val="5A9E7702"/>
    <w:rsid w:val="5C3B5FCF"/>
    <w:rsid w:val="5D78D129"/>
    <w:rsid w:val="5EBAB0B2"/>
    <w:rsid w:val="60F081FD"/>
    <w:rsid w:val="628497CF"/>
    <w:rsid w:val="6B2C9F65"/>
    <w:rsid w:val="6EB0F9EB"/>
    <w:rsid w:val="6EE7743E"/>
    <w:rsid w:val="75737DA8"/>
    <w:rsid w:val="76B26AEA"/>
    <w:rsid w:val="79915005"/>
    <w:rsid w:val="79C2C7B3"/>
    <w:rsid w:val="7ADCCE51"/>
    <w:rsid w:val="7DDBF758"/>
    <w:rsid w:val="7EB245D7"/>
    <w:rsid w:val="7FB4D1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D3965"/>
  <w15:chartTrackingRefBased/>
  <w15:docId w15:val="{D61E32E4-F51F-4A39-984F-BFA829E5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DF9"/>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rsid w:val="00E90D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semiHidden/>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aliases w:val="Footnote Text Char1 Char,Footnote Text Char Char Char,Footnote Text Char Char Char Char Char Char Char Char Char Char Char,Footnote Text Char Char Char Char Char Char Char Char,Footnote Text Char2 Char,Char,FA Fu,Footnote Text Char Char"/>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aliases w:val="Footnote Text Char1 Char Char,Footnote Text Char Char Char Char,Footnote Text Char Char Char Char Char Char Char Char Char Char Char Char,Footnote Text Char Char Char Char Char Char Char Char Char,Footnote Text Char2 Char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aliases w:val="Footnote number,Footnotes refss"/>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character" w:styleId="CommentReference">
    <w:name w:val="annotation reference"/>
    <w:basedOn w:val="DefaultParagraphFont"/>
    <w:uiPriority w:val="99"/>
    <w:semiHidden/>
    <w:unhideWhenUsed/>
    <w:rsid w:val="006C7E67"/>
    <w:rPr>
      <w:sz w:val="16"/>
      <w:szCs w:val="16"/>
    </w:rPr>
  </w:style>
  <w:style w:type="paragraph" w:styleId="CommentText">
    <w:name w:val="annotation text"/>
    <w:basedOn w:val="Normal"/>
    <w:link w:val="CommentTextChar"/>
    <w:uiPriority w:val="99"/>
    <w:unhideWhenUsed/>
    <w:rsid w:val="006C7E67"/>
    <w:pPr>
      <w:spacing w:line="240" w:lineRule="auto"/>
    </w:pPr>
    <w:rPr>
      <w:sz w:val="20"/>
      <w:szCs w:val="20"/>
    </w:rPr>
  </w:style>
  <w:style w:type="character" w:customStyle="1" w:styleId="CommentTextChar">
    <w:name w:val="Comment Text Char"/>
    <w:basedOn w:val="DefaultParagraphFont"/>
    <w:link w:val="CommentText"/>
    <w:uiPriority w:val="99"/>
    <w:rsid w:val="006C7E67"/>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C7E67"/>
    <w:rPr>
      <w:b/>
      <w:bCs/>
    </w:rPr>
  </w:style>
  <w:style w:type="character" w:customStyle="1" w:styleId="CommentSubjectChar">
    <w:name w:val="Comment Subject Char"/>
    <w:basedOn w:val="CommentTextChar"/>
    <w:link w:val="CommentSubject"/>
    <w:uiPriority w:val="99"/>
    <w:semiHidden/>
    <w:rsid w:val="006C7E67"/>
    <w:rPr>
      <w:rFonts w:ascii="Calibri" w:eastAsia="Times New Roman" w:hAnsi="Calibri" w:cs="Times New Roman"/>
      <w:b/>
      <w:bCs/>
      <w:kern w:val="0"/>
      <w:sz w:val="20"/>
      <w:szCs w:val="20"/>
      <w14:ligatures w14:val="none"/>
    </w:rPr>
  </w:style>
  <w:style w:type="paragraph" w:styleId="Revision">
    <w:name w:val="Revision"/>
    <w:hidden/>
    <w:uiPriority w:val="99"/>
    <w:semiHidden/>
    <w:rsid w:val="006C7E67"/>
    <w:pPr>
      <w:spacing w:after="0" w:line="240" w:lineRule="auto"/>
    </w:pPr>
    <w:rPr>
      <w:rFonts w:ascii="Calibri" w:eastAsia="Times New Roman" w:hAnsi="Calibri" w:cs="Times New Roman"/>
      <w:kern w:val="0"/>
      <w14:ligatures w14:val="none"/>
    </w:rPr>
  </w:style>
  <w:style w:type="paragraph" w:styleId="Header">
    <w:name w:val="header"/>
    <w:basedOn w:val="Normal"/>
    <w:link w:val="HeaderChar"/>
    <w:uiPriority w:val="99"/>
    <w:unhideWhenUsed/>
    <w:rsid w:val="00D901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01C7"/>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35960">
      <w:bodyDiv w:val="1"/>
      <w:marLeft w:val="0"/>
      <w:marRight w:val="0"/>
      <w:marTop w:val="0"/>
      <w:marBottom w:val="0"/>
      <w:divBdr>
        <w:top w:val="none" w:sz="0" w:space="0" w:color="auto"/>
        <w:left w:val="none" w:sz="0" w:space="0" w:color="auto"/>
        <w:bottom w:val="none" w:sz="0" w:space="0" w:color="auto"/>
        <w:right w:val="none" w:sz="0" w:space="0" w:color="auto"/>
      </w:divBdr>
    </w:div>
    <w:div w:id="47802097">
      <w:bodyDiv w:val="1"/>
      <w:marLeft w:val="0"/>
      <w:marRight w:val="0"/>
      <w:marTop w:val="0"/>
      <w:marBottom w:val="0"/>
      <w:divBdr>
        <w:top w:val="none" w:sz="0" w:space="0" w:color="auto"/>
        <w:left w:val="none" w:sz="0" w:space="0" w:color="auto"/>
        <w:bottom w:val="none" w:sz="0" w:space="0" w:color="auto"/>
        <w:right w:val="none" w:sz="0" w:space="0" w:color="auto"/>
      </w:divBdr>
    </w:div>
    <w:div w:id="93403672">
      <w:bodyDiv w:val="1"/>
      <w:marLeft w:val="0"/>
      <w:marRight w:val="0"/>
      <w:marTop w:val="0"/>
      <w:marBottom w:val="0"/>
      <w:divBdr>
        <w:top w:val="none" w:sz="0" w:space="0" w:color="auto"/>
        <w:left w:val="none" w:sz="0" w:space="0" w:color="auto"/>
        <w:bottom w:val="none" w:sz="0" w:space="0" w:color="auto"/>
        <w:right w:val="none" w:sz="0" w:space="0" w:color="auto"/>
      </w:divBdr>
    </w:div>
    <w:div w:id="284582494">
      <w:bodyDiv w:val="1"/>
      <w:marLeft w:val="0"/>
      <w:marRight w:val="0"/>
      <w:marTop w:val="0"/>
      <w:marBottom w:val="0"/>
      <w:divBdr>
        <w:top w:val="none" w:sz="0" w:space="0" w:color="auto"/>
        <w:left w:val="none" w:sz="0" w:space="0" w:color="auto"/>
        <w:bottom w:val="none" w:sz="0" w:space="0" w:color="auto"/>
        <w:right w:val="none" w:sz="0" w:space="0" w:color="auto"/>
      </w:divBdr>
      <w:divsChild>
        <w:div w:id="1123227245">
          <w:blockQuote w:val="1"/>
          <w:marLeft w:val="768"/>
          <w:marRight w:val="720"/>
          <w:marTop w:val="0"/>
          <w:marBottom w:val="0"/>
          <w:divBdr>
            <w:top w:val="none" w:sz="0" w:space="0" w:color="auto"/>
            <w:left w:val="none" w:sz="0" w:space="0" w:color="auto"/>
            <w:bottom w:val="none" w:sz="0" w:space="0" w:color="auto"/>
            <w:right w:val="none" w:sz="0" w:space="0" w:color="auto"/>
          </w:divBdr>
          <w:divsChild>
            <w:div w:id="393435678">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047022031">
          <w:blockQuote w:val="1"/>
          <w:marLeft w:val="768"/>
          <w:marRight w:val="720"/>
          <w:marTop w:val="0"/>
          <w:marBottom w:val="0"/>
          <w:divBdr>
            <w:top w:val="none" w:sz="0" w:space="0" w:color="auto"/>
            <w:left w:val="none" w:sz="0" w:space="0" w:color="auto"/>
            <w:bottom w:val="none" w:sz="0" w:space="0" w:color="auto"/>
            <w:right w:val="none" w:sz="0" w:space="0" w:color="auto"/>
          </w:divBdr>
          <w:divsChild>
            <w:div w:id="1465002525">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06123781">
          <w:blockQuote w:val="1"/>
          <w:marLeft w:val="768"/>
          <w:marRight w:val="720"/>
          <w:marTop w:val="0"/>
          <w:marBottom w:val="0"/>
          <w:divBdr>
            <w:top w:val="none" w:sz="0" w:space="0" w:color="auto"/>
            <w:left w:val="none" w:sz="0" w:space="0" w:color="auto"/>
            <w:bottom w:val="none" w:sz="0" w:space="0" w:color="auto"/>
            <w:right w:val="none" w:sz="0" w:space="0" w:color="auto"/>
          </w:divBdr>
          <w:divsChild>
            <w:div w:id="680736522">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466655849">
          <w:blockQuote w:val="1"/>
          <w:marLeft w:val="768"/>
          <w:marRight w:val="720"/>
          <w:marTop w:val="0"/>
          <w:marBottom w:val="0"/>
          <w:divBdr>
            <w:top w:val="none" w:sz="0" w:space="0" w:color="auto"/>
            <w:left w:val="none" w:sz="0" w:space="0" w:color="auto"/>
            <w:bottom w:val="none" w:sz="0" w:space="0" w:color="auto"/>
            <w:right w:val="none" w:sz="0" w:space="0" w:color="auto"/>
          </w:divBdr>
          <w:divsChild>
            <w:div w:id="769668048">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4843419">
          <w:blockQuote w:val="1"/>
          <w:marLeft w:val="768"/>
          <w:marRight w:val="720"/>
          <w:marTop w:val="0"/>
          <w:marBottom w:val="0"/>
          <w:divBdr>
            <w:top w:val="none" w:sz="0" w:space="0" w:color="auto"/>
            <w:left w:val="none" w:sz="0" w:space="0" w:color="auto"/>
            <w:bottom w:val="none" w:sz="0" w:space="0" w:color="auto"/>
            <w:right w:val="none" w:sz="0" w:space="0" w:color="auto"/>
          </w:divBdr>
          <w:divsChild>
            <w:div w:id="919674045">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 w:id="403525190">
      <w:bodyDiv w:val="1"/>
      <w:marLeft w:val="0"/>
      <w:marRight w:val="0"/>
      <w:marTop w:val="0"/>
      <w:marBottom w:val="0"/>
      <w:divBdr>
        <w:top w:val="none" w:sz="0" w:space="0" w:color="auto"/>
        <w:left w:val="none" w:sz="0" w:space="0" w:color="auto"/>
        <w:bottom w:val="none" w:sz="0" w:space="0" w:color="auto"/>
        <w:right w:val="none" w:sz="0" w:space="0" w:color="auto"/>
      </w:divBdr>
    </w:div>
    <w:div w:id="501357474">
      <w:bodyDiv w:val="1"/>
      <w:marLeft w:val="0"/>
      <w:marRight w:val="0"/>
      <w:marTop w:val="0"/>
      <w:marBottom w:val="0"/>
      <w:divBdr>
        <w:top w:val="none" w:sz="0" w:space="0" w:color="auto"/>
        <w:left w:val="none" w:sz="0" w:space="0" w:color="auto"/>
        <w:bottom w:val="none" w:sz="0" w:space="0" w:color="auto"/>
        <w:right w:val="none" w:sz="0" w:space="0" w:color="auto"/>
      </w:divBdr>
    </w:div>
    <w:div w:id="534464185">
      <w:bodyDiv w:val="1"/>
      <w:marLeft w:val="0"/>
      <w:marRight w:val="0"/>
      <w:marTop w:val="0"/>
      <w:marBottom w:val="0"/>
      <w:divBdr>
        <w:top w:val="none" w:sz="0" w:space="0" w:color="auto"/>
        <w:left w:val="none" w:sz="0" w:space="0" w:color="auto"/>
        <w:bottom w:val="none" w:sz="0" w:space="0" w:color="auto"/>
        <w:right w:val="none" w:sz="0" w:space="0" w:color="auto"/>
      </w:divBdr>
    </w:div>
    <w:div w:id="536815861">
      <w:bodyDiv w:val="1"/>
      <w:marLeft w:val="0"/>
      <w:marRight w:val="0"/>
      <w:marTop w:val="0"/>
      <w:marBottom w:val="0"/>
      <w:divBdr>
        <w:top w:val="none" w:sz="0" w:space="0" w:color="auto"/>
        <w:left w:val="none" w:sz="0" w:space="0" w:color="auto"/>
        <w:bottom w:val="none" w:sz="0" w:space="0" w:color="auto"/>
        <w:right w:val="none" w:sz="0" w:space="0" w:color="auto"/>
      </w:divBdr>
    </w:div>
    <w:div w:id="944339842">
      <w:bodyDiv w:val="1"/>
      <w:marLeft w:val="0"/>
      <w:marRight w:val="0"/>
      <w:marTop w:val="0"/>
      <w:marBottom w:val="0"/>
      <w:divBdr>
        <w:top w:val="none" w:sz="0" w:space="0" w:color="auto"/>
        <w:left w:val="none" w:sz="0" w:space="0" w:color="auto"/>
        <w:bottom w:val="none" w:sz="0" w:space="0" w:color="auto"/>
        <w:right w:val="none" w:sz="0" w:space="0" w:color="auto"/>
      </w:divBdr>
    </w:div>
    <w:div w:id="1204438540">
      <w:bodyDiv w:val="1"/>
      <w:marLeft w:val="0"/>
      <w:marRight w:val="0"/>
      <w:marTop w:val="0"/>
      <w:marBottom w:val="0"/>
      <w:divBdr>
        <w:top w:val="none" w:sz="0" w:space="0" w:color="auto"/>
        <w:left w:val="none" w:sz="0" w:space="0" w:color="auto"/>
        <w:bottom w:val="none" w:sz="0" w:space="0" w:color="auto"/>
        <w:right w:val="none" w:sz="0" w:space="0" w:color="auto"/>
      </w:divBdr>
    </w:div>
    <w:div w:id="1256868493">
      <w:bodyDiv w:val="1"/>
      <w:marLeft w:val="0"/>
      <w:marRight w:val="0"/>
      <w:marTop w:val="0"/>
      <w:marBottom w:val="0"/>
      <w:divBdr>
        <w:top w:val="none" w:sz="0" w:space="0" w:color="auto"/>
        <w:left w:val="none" w:sz="0" w:space="0" w:color="auto"/>
        <w:bottom w:val="none" w:sz="0" w:space="0" w:color="auto"/>
        <w:right w:val="none" w:sz="0" w:space="0" w:color="auto"/>
      </w:divBdr>
      <w:divsChild>
        <w:div w:id="1073117034">
          <w:blockQuote w:val="1"/>
          <w:marLeft w:val="768"/>
          <w:marRight w:val="720"/>
          <w:marTop w:val="0"/>
          <w:marBottom w:val="0"/>
          <w:divBdr>
            <w:top w:val="none" w:sz="0" w:space="0" w:color="auto"/>
            <w:left w:val="none" w:sz="0" w:space="0" w:color="auto"/>
            <w:bottom w:val="none" w:sz="0" w:space="0" w:color="auto"/>
            <w:right w:val="none" w:sz="0" w:space="0" w:color="auto"/>
          </w:divBdr>
          <w:divsChild>
            <w:div w:id="1289047821">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538669354">
          <w:blockQuote w:val="1"/>
          <w:marLeft w:val="768"/>
          <w:marRight w:val="720"/>
          <w:marTop w:val="0"/>
          <w:marBottom w:val="0"/>
          <w:divBdr>
            <w:top w:val="none" w:sz="0" w:space="0" w:color="auto"/>
            <w:left w:val="none" w:sz="0" w:space="0" w:color="auto"/>
            <w:bottom w:val="none" w:sz="0" w:space="0" w:color="auto"/>
            <w:right w:val="none" w:sz="0" w:space="0" w:color="auto"/>
          </w:divBdr>
          <w:divsChild>
            <w:div w:id="1341587667">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2107076270">
          <w:blockQuote w:val="1"/>
          <w:marLeft w:val="768"/>
          <w:marRight w:val="720"/>
          <w:marTop w:val="0"/>
          <w:marBottom w:val="0"/>
          <w:divBdr>
            <w:top w:val="none" w:sz="0" w:space="0" w:color="auto"/>
            <w:left w:val="none" w:sz="0" w:space="0" w:color="auto"/>
            <w:bottom w:val="none" w:sz="0" w:space="0" w:color="auto"/>
            <w:right w:val="none" w:sz="0" w:space="0" w:color="auto"/>
          </w:divBdr>
          <w:divsChild>
            <w:div w:id="2115830317">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464423105">
          <w:blockQuote w:val="1"/>
          <w:marLeft w:val="768"/>
          <w:marRight w:val="720"/>
          <w:marTop w:val="0"/>
          <w:marBottom w:val="0"/>
          <w:divBdr>
            <w:top w:val="none" w:sz="0" w:space="0" w:color="auto"/>
            <w:left w:val="none" w:sz="0" w:space="0" w:color="auto"/>
            <w:bottom w:val="none" w:sz="0" w:space="0" w:color="auto"/>
            <w:right w:val="none" w:sz="0" w:space="0" w:color="auto"/>
          </w:divBdr>
          <w:divsChild>
            <w:div w:id="946547911">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012561703">
          <w:blockQuote w:val="1"/>
          <w:marLeft w:val="768"/>
          <w:marRight w:val="720"/>
          <w:marTop w:val="0"/>
          <w:marBottom w:val="0"/>
          <w:divBdr>
            <w:top w:val="none" w:sz="0" w:space="0" w:color="auto"/>
            <w:left w:val="none" w:sz="0" w:space="0" w:color="auto"/>
            <w:bottom w:val="none" w:sz="0" w:space="0" w:color="auto"/>
            <w:right w:val="none" w:sz="0" w:space="0" w:color="auto"/>
          </w:divBdr>
          <w:divsChild>
            <w:div w:id="1539507592">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 w:id="1263416134">
      <w:bodyDiv w:val="1"/>
      <w:marLeft w:val="0"/>
      <w:marRight w:val="0"/>
      <w:marTop w:val="0"/>
      <w:marBottom w:val="0"/>
      <w:divBdr>
        <w:top w:val="none" w:sz="0" w:space="0" w:color="auto"/>
        <w:left w:val="none" w:sz="0" w:space="0" w:color="auto"/>
        <w:bottom w:val="none" w:sz="0" w:space="0" w:color="auto"/>
        <w:right w:val="none" w:sz="0" w:space="0" w:color="auto"/>
      </w:divBdr>
    </w:div>
    <w:div w:id="1422489794">
      <w:bodyDiv w:val="1"/>
      <w:marLeft w:val="0"/>
      <w:marRight w:val="0"/>
      <w:marTop w:val="0"/>
      <w:marBottom w:val="0"/>
      <w:divBdr>
        <w:top w:val="none" w:sz="0" w:space="0" w:color="auto"/>
        <w:left w:val="none" w:sz="0" w:space="0" w:color="auto"/>
        <w:bottom w:val="none" w:sz="0" w:space="0" w:color="auto"/>
        <w:right w:val="none" w:sz="0" w:space="0" w:color="auto"/>
      </w:divBdr>
    </w:div>
    <w:div w:id="1579097651">
      <w:bodyDiv w:val="1"/>
      <w:marLeft w:val="0"/>
      <w:marRight w:val="0"/>
      <w:marTop w:val="0"/>
      <w:marBottom w:val="0"/>
      <w:divBdr>
        <w:top w:val="none" w:sz="0" w:space="0" w:color="auto"/>
        <w:left w:val="none" w:sz="0" w:space="0" w:color="auto"/>
        <w:bottom w:val="none" w:sz="0" w:space="0" w:color="auto"/>
        <w:right w:val="none" w:sz="0" w:space="0" w:color="auto"/>
      </w:divBdr>
    </w:div>
    <w:div w:id="1668826482">
      <w:bodyDiv w:val="1"/>
      <w:marLeft w:val="0"/>
      <w:marRight w:val="0"/>
      <w:marTop w:val="0"/>
      <w:marBottom w:val="0"/>
      <w:divBdr>
        <w:top w:val="none" w:sz="0" w:space="0" w:color="auto"/>
        <w:left w:val="none" w:sz="0" w:space="0" w:color="auto"/>
        <w:bottom w:val="none" w:sz="0" w:space="0" w:color="auto"/>
        <w:right w:val="none" w:sz="0" w:space="0" w:color="auto"/>
      </w:divBdr>
    </w:div>
    <w:div w:id="1817337992">
      <w:bodyDiv w:val="1"/>
      <w:marLeft w:val="0"/>
      <w:marRight w:val="0"/>
      <w:marTop w:val="0"/>
      <w:marBottom w:val="0"/>
      <w:divBdr>
        <w:top w:val="none" w:sz="0" w:space="0" w:color="auto"/>
        <w:left w:val="none" w:sz="0" w:space="0" w:color="auto"/>
        <w:bottom w:val="none" w:sz="0" w:space="0" w:color="auto"/>
        <w:right w:val="none" w:sz="0" w:space="0" w:color="auto"/>
      </w:divBdr>
    </w:div>
    <w:div w:id="1917518527">
      <w:bodyDiv w:val="1"/>
      <w:marLeft w:val="0"/>
      <w:marRight w:val="0"/>
      <w:marTop w:val="0"/>
      <w:marBottom w:val="0"/>
      <w:divBdr>
        <w:top w:val="none" w:sz="0" w:space="0" w:color="auto"/>
        <w:left w:val="none" w:sz="0" w:space="0" w:color="auto"/>
        <w:bottom w:val="none" w:sz="0" w:space="0" w:color="auto"/>
        <w:right w:val="none" w:sz="0" w:space="0" w:color="auto"/>
      </w:divBdr>
    </w:div>
    <w:div w:id="1980839273">
      <w:bodyDiv w:val="1"/>
      <w:marLeft w:val="0"/>
      <w:marRight w:val="0"/>
      <w:marTop w:val="0"/>
      <w:marBottom w:val="0"/>
      <w:divBdr>
        <w:top w:val="none" w:sz="0" w:space="0" w:color="auto"/>
        <w:left w:val="none" w:sz="0" w:space="0" w:color="auto"/>
        <w:bottom w:val="none" w:sz="0" w:space="0" w:color="auto"/>
        <w:right w:val="none" w:sz="0" w:space="0" w:color="auto"/>
      </w:divBdr>
    </w:div>
    <w:div w:id="206617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FP Document" ma:contentTypeID="0x0101002B5F5A109A5F6C4A918B83B8E560216400F5940024A038A5409B03A7D9C05C44D3" ma:contentTypeVersion="26" ma:contentTypeDescription="" ma:contentTypeScope="" ma:versionID="6800999d3c5c8aa9daae4cc5cbc72e45">
  <xsd:schema xmlns:xsd="http://www.w3.org/2001/XMLSchema" xmlns:xs="http://www.w3.org/2001/XMLSchema" xmlns:p="http://schemas.microsoft.com/office/2006/metadata/properties" xmlns:ns2="889ece3a-dc55-4df9-8a78-da09de45da37" xmlns:ns3="8432cba3-eb2d-40a0-8872-b3c44b782709" xmlns:ns4="2b1458f6-2451-4ccf-8165-fecbce816aec" targetNamespace="http://schemas.microsoft.com/office/2006/metadata/properties" ma:root="true" ma:fieldsID="556102c89fb8bc3018318d2796f5a030" ns2:_="" ns3:_="" ns4:_="">
    <xsd:import namespace="889ece3a-dc55-4df9-8a78-da09de45da37"/>
    <xsd:import namespace="8432cba3-eb2d-40a0-8872-b3c44b782709"/>
    <xsd:import namespace="2b1458f6-2451-4ccf-8165-fecbce816aec"/>
    <xsd:element name="properties">
      <xsd:complexType>
        <xsd:sequence>
          <xsd:element name="documentManagement">
            <xsd:complexType>
              <xsd:all>
                <xsd:element ref="ns2:TaxCatchAll" minOccurs="0"/>
                <xsd:element ref="ns2:TaxCatchAllLabel" minOccurs="0"/>
                <xsd:element ref="ns3:jef904eb6f4249e98add0068c26232b9" minOccurs="0"/>
                <xsd:element ref="ns4:MediaServiceMetadata" minOccurs="0"/>
                <xsd:element ref="ns4:MediaServiceFastMetadata" minOccurs="0"/>
                <xsd:element ref="ns4:MediaServiceAutoKeyPoints" minOccurs="0"/>
                <xsd:element ref="ns4:MediaServiceKeyPoints" minOccurs="0"/>
                <xsd:element ref="ns3:BusinessOwner" minOccurs="0"/>
                <xsd:element ref="ns2:SharedWithUsers" minOccurs="0"/>
                <xsd:element ref="ns2:SharedWithDetails" minOccurs="0"/>
                <xsd:element ref="ns4:MediaServiceAutoTags" minOccurs="0"/>
                <xsd:element ref="ns4:MediaServiceGenerationTime" minOccurs="0"/>
                <xsd:element ref="ns4:MediaServiceEventHashCode" minOccurs="0"/>
                <xsd:element ref="ns4:MediaServiceDateTaken" minOccurs="0"/>
                <xsd:element ref="ns4:lcf76f155ced4ddcb4097134ff3c332f" minOccurs="0"/>
                <xsd:element ref="ns4:MediaServiceOCR" minOccurs="0"/>
                <xsd:element ref="ns4:MediaServiceObjectDetectorVersions"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ece3a-dc55-4df9-8a78-da09de45da3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9083583-ec37-419f-bb5c-b3056aecd394}" ma:internalName="TaxCatchAll" ma:showField="CatchAllData" ma:web="889ece3a-dc55-4df9-8a78-da09de45da3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9083583-ec37-419f-bb5c-b3056aecd394}" ma:internalName="TaxCatchAllLabel" ma:readOnly="true" ma:showField="CatchAllDataLabel" ma:web="889ece3a-dc55-4df9-8a78-da09de45da3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32cba3-eb2d-40a0-8872-b3c44b782709" elementFormDefault="qualified">
    <xsd:import namespace="http://schemas.microsoft.com/office/2006/documentManagement/types"/>
    <xsd:import namespace="http://schemas.microsoft.com/office/infopath/2007/PartnerControls"/>
    <xsd:element name="jef904eb6f4249e98add0068c26232b9" ma:index="10" nillable="true" ma:taxonomy="true" ma:internalName="jef904eb6f4249e98add0068c26232b9" ma:taxonomyFieldName="BCS" ma:displayName="BCS" ma:default="" ma:fieldId="{3ef904eb-6f42-49e9-8add-0068c26232b9}" ma:sspId="10eef27b-9142-4bf3-a2be-c27af2704a88" ma:termSetId="bbced730-344f-46ce-a26d-c12b5f9a8b6e" ma:anchorId="00000000-0000-0000-0000-000000000000" ma:open="false" ma:isKeyword="false">
      <xsd:complexType>
        <xsd:sequence>
          <xsd:element ref="pc:Terms" minOccurs="0" maxOccurs="1"/>
        </xsd:sequence>
      </xsd:complexType>
    </xsd:element>
    <xsd:element name="BusinessOwner" ma:index="16" nillable="true" ma:displayName="Business Owner" ma:default="ACT POLICING" ma:description="The area of the AFP, business unit, project or operation that the team has been created for" ma:internalName="BusinessOwn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1458f6-2451-4ccf-8165-fecbce816aec"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0eef27b-9142-4bf3-a2be-c27af2704a88"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89ece3a-dc55-4df9-8a78-da09de45da37" xsi:nil="true"/>
    <jef904eb6f4249e98add0068c26232b9 xmlns="8432cba3-eb2d-40a0-8872-b3c44b782709">
      <Terms xmlns="http://schemas.microsoft.com/office/infopath/2007/PartnerControls"/>
    </jef904eb6f4249e98add0068c26232b9>
    <lcf76f155ced4ddcb4097134ff3c332f xmlns="2b1458f6-2451-4ccf-8165-fecbce816aec">
      <Terms xmlns="http://schemas.microsoft.com/office/infopath/2007/PartnerControls"/>
    </lcf76f155ced4ddcb4097134ff3c332f>
    <BusinessOwner xmlns="8432cba3-eb2d-40a0-8872-b3c44b782709">ACT POLICING</BusinessOwner>
  </documentManagement>
</p:properties>
</file>

<file path=customXml/itemProps1.xml><?xml version="1.0" encoding="utf-8"?>
<ds:datastoreItem xmlns:ds="http://schemas.openxmlformats.org/officeDocument/2006/customXml" ds:itemID="{0D2ED3DD-63D6-4682-9325-F190D14BEE7D}">
  <ds:schemaRefs>
    <ds:schemaRef ds:uri="http://schemas.openxmlformats.org/officeDocument/2006/bibliography"/>
  </ds:schemaRefs>
</ds:datastoreItem>
</file>

<file path=customXml/itemProps2.xml><?xml version="1.0" encoding="utf-8"?>
<ds:datastoreItem xmlns:ds="http://schemas.openxmlformats.org/officeDocument/2006/customXml" ds:itemID="{A6AC4A61-E871-4C28-911C-DFE51135D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ece3a-dc55-4df9-8a78-da09de45da37"/>
    <ds:schemaRef ds:uri="8432cba3-eb2d-40a0-8872-b3c44b782709"/>
    <ds:schemaRef ds:uri="2b1458f6-2451-4ccf-8165-fecbce816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51A34D-4AD1-4ABF-91F6-290896CDED7C}">
  <ds:schemaRefs>
    <ds:schemaRef ds:uri="http://schemas.microsoft.com/sharepoint/v3/contenttype/forms"/>
  </ds:schemaRefs>
</ds:datastoreItem>
</file>

<file path=customXml/itemProps4.xml><?xml version="1.0" encoding="utf-8"?>
<ds:datastoreItem xmlns:ds="http://schemas.openxmlformats.org/officeDocument/2006/customXml" ds:itemID="{8E1B7879-FF2C-4778-9E42-586F52E0DC55}">
  <ds:schemaRefs>
    <ds:schemaRef ds:uri="http://schemas.microsoft.com/office/2006/metadata/properties"/>
    <ds:schemaRef ds:uri="http://schemas.microsoft.com/office/infopath/2007/PartnerControls"/>
    <ds:schemaRef ds:uri="889ece3a-dc55-4df9-8a78-da09de45da37"/>
    <ds:schemaRef ds:uri="8432cba3-eb2d-40a0-8872-b3c44b782709"/>
    <ds:schemaRef ds:uri="2b1458f6-2451-4ccf-8165-fecbce816ae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11755</Words>
  <Characters>60737</Characters>
  <Application>Microsoft Office Word</Application>
  <DocSecurity>0</DocSecurity>
  <Lines>1134</Lines>
  <Paragraphs>376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dcterms:created xsi:type="dcterms:W3CDTF">2025-03-04T01:13:00Z</dcterms:created>
  <dcterms:modified xsi:type="dcterms:W3CDTF">2025-03-04T01:13:00Z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0x0101002B5F5A109A5F6C4A918B83B8E560216400F5940024A038A5409B03A7D9C05C44D3</vt:lpwstr>
  </property>
  <property fmtid="{D5CDD505-2E9C-101B-9397-08002B2CF9AE}" pid="3" name="MSIP_Label_69af8531-eb46-4968-8cb3-105d2f5ea87e_Enabled">
    <vt:lpwstr>true</vt:lpwstr>
  </property>
  <property fmtid="{D5CDD505-2E9C-101B-9397-08002B2CF9AE}" pid="4" name="MSIP_Label_69af8531-eb46-4968-8cb3-105d2f5ea87e_SetDate">
    <vt:lpwstr>2024-11-14T22:43:05Z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afbfd6bc-6100-4152-8de1-284222bffaef</vt:lpwstr>
  </property>
  <property fmtid="{D5CDD505-2E9C-101B-9397-08002B2CF9AE}" pid="9" name="MSIP_Label_69af8531-eb46-4968-8cb3-105d2f5ea87e_ContentBits">
    <vt:lpwstr>0</vt:lpwstr>
  </property>
</Properties>
</file>