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119B" w14:textId="77777777" w:rsidR="003939A4" w:rsidRPr="008C3B92" w:rsidRDefault="003939A4" w:rsidP="003939A4">
      <w:pPr>
        <w:spacing w:after="0"/>
        <w:rPr>
          <w:rFonts w:ascii="Arial" w:hAnsi="Arial" w:cs="Arial"/>
          <w:b/>
          <w:bCs/>
        </w:rPr>
      </w:pPr>
    </w:p>
    <w:p w14:paraId="63F70CB2" w14:textId="77777777" w:rsidR="003939A4" w:rsidRPr="00BB387E" w:rsidRDefault="003939A4" w:rsidP="003939A4">
      <w:pPr>
        <w:spacing w:after="0"/>
        <w:jc w:val="center"/>
        <w:rPr>
          <w:rFonts w:ascii="Arial" w:hAnsi="Arial" w:cs="Arial"/>
          <w:b/>
          <w:bCs/>
        </w:rPr>
      </w:pPr>
      <w:r w:rsidRPr="757CC93F">
        <w:rPr>
          <w:rFonts w:ascii="Arial" w:hAnsi="Arial" w:cs="Arial"/>
          <w:b/>
          <w:bCs/>
        </w:rPr>
        <w:t>2025</w:t>
      </w:r>
    </w:p>
    <w:p w14:paraId="17AEFB02" w14:textId="77777777" w:rsidR="003939A4" w:rsidRPr="00BB387E" w:rsidRDefault="003939A4" w:rsidP="003939A4">
      <w:pPr>
        <w:spacing w:after="0"/>
        <w:jc w:val="center"/>
        <w:rPr>
          <w:rFonts w:ascii="Arial" w:hAnsi="Arial" w:cs="Arial"/>
          <w:b/>
        </w:rPr>
      </w:pPr>
    </w:p>
    <w:p w14:paraId="2EE0363F" w14:textId="77777777" w:rsidR="003939A4" w:rsidRPr="00BB387E" w:rsidRDefault="003939A4" w:rsidP="003939A4">
      <w:pPr>
        <w:spacing w:after="0"/>
        <w:jc w:val="center"/>
        <w:rPr>
          <w:rFonts w:ascii="Arial" w:hAnsi="Arial" w:cs="Arial"/>
          <w:b/>
        </w:rPr>
      </w:pPr>
    </w:p>
    <w:p w14:paraId="6A8DE367" w14:textId="77777777" w:rsidR="003939A4" w:rsidRPr="00BB387E" w:rsidRDefault="003939A4" w:rsidP="003939A4">
      <w:pPr>
        <w:spacing w:after="0"/>
        <w:jc w:val="center"/>
        <w:rPr>
          <w:rFonts w:ascii="Arial" w:hAnsi="Arial" w:cs="Arial"/>
          <w:b/>
        </w:rPr>
      </w:pPr>
    </w:p>
    <w:p w14:paraId="6059E26C" w14:textId="77777777" w:rsidR="003939A4" w:rsidRPr="00BB387E" w:rsidRDefault="003939A4" w:rsidP="003939A4">
      <w:pPr>
        <w:spacing w:after="0"/>
        <w:jc w:val="center"/>
        <w:rPr>
          <w:rFonts w:ascii="Arial" w:hAnsi="Arial" w:cs="Arial"/>
          <w:b/>
        </w:rPr>
      </w:pPr>
    </w:p>
    <w:p w14:paraId="73503AAC" w14:textId="77777777" w:rsidR="003939A4" w:rsidRPr="00BB387E" w:rsidRDefault="003939A4" w:rsidP="003939A4">
      <w:pPr>
        <w:spacing w:after="0"/>
        <w:jc w:val="center"/>
        <w:rPr>
          <w:rFonts w:ascii="Arial" w:hAnsi="Arial" w:cs="Arial"/>
          <w:b/>
          <w:bCs/>
        </w:rPr>
      </w:pPr>
    </w:p>
    <w:p w14:paraId="67E7D8D6" w14:textId="77777777" w:rsidR="003939A4" w:rsidRPr="00BB387E" w:rsidRDefault="003939A4" w:rsidP="003939A4">
      <w:pPr>
        <w:spacing w:after="0"/>
        <w:jc w:val="center"/>
        <w:rPr>
          <w:rFonts w:ascii="Arial" w:hAnsi="Arial" w:cs="Arial"/>
          <w:b/>
          <w:bCs/>
        </w:rPr>
      </w:pPr>
    </w:p>
    <w:p w14:paraId="4476696D" w14:textId="77777777" w:rsidR="003939A4" w:rsidRPr="00BB387E" w:rsidRDefault="003939A4" w:rsidP="003939A4">
      <w:pPr>
        <w:spacing w:after="0"/>
        <w:jc w:val="center"/>
        <w:rPr>
          <w:rFonts w:ascii="Arial" w:hAnsi="Arial" w:cs="Arial"/>
          <w:b/>
          <w:bCs/>
        </w:rPr>
      </w:pPr>
      <w:r w:rsidRPr="00BB387E">
        <w:rPr>
          <w:rFonts w:ascii="Arial" w:hAnsi="Arial" w:cs="Arial"/>
          <w:b/>
          <w:bCs/>
        </w:rPr>
        <w:t>THE LEGISLATIVE ASSEMBLY FOR THE</w:t>
      </w:r>
    </w:p>
    <w:p w14:paraId="0DB752B7" w14:textId="77777777" w:rsidR="003939A4" w:rsidRPr="00BB387E" w:rsidRDefault="003939A4" w:rsidP="003939A4">
      <w:pPr>
        <w:spacing w:after="0"/>
        <w:jc w:val="center"/>
        <w:rPr>
          <w:rFonts w:ascii="Arial" w:hAnsi="Arial" w:cs="Arial"/>
          <w:b/>
        </w:rPr>
      </w:pPr>
      <w:r w:rsidRPr="00BB387E">
        <w:rPr>
          <w:rFonts w:ascii="Arial" w:hAnsi="Arial" w:cs="Arial"/>
          <w:b/>
          <w:bCs/>
        </w:rPr>
        <w:t>AUSTRALIAN CAPITAL TERRITORY</w:t>
      </w:r>
    </w:p>
    <w:p w14:paraId="4CED0155" w14:textId="77777777" w:rsidR="003939A4" w:rsidRPr="00BB387E" w:rsidRDefault="003939A4" w:rsidP="003939A4">
      <w:pPr>
        <w:spacing w:after="0"/>
        <w:jc w:val="center"/>
        <w:rPr>
          <w:rFonts w:ascii="Arial" w:hAnsi="Arial" w:cs="Arial"/>
          <w:b/>
        </w:rPr>
      </w:pPr>
    </w:p>
    <w:p w14:paraId="3B590554" w14:textId="77777777" w:rsidR="003939A4" w:rsidRPr="00BB387E" w:rsidRDefault="003939A4" w:rsidP="003939A4">
      <w:pPr>
        <w:spacing w:after="0"/>
        <w:jc w:val="center"/>
        <w:rPr>
          <w:rFonts w:ascii="Arial" w:hAnsi="Arial" w:cs="Arial"/>
          <w:b/>
        </w:rPr>
      </w:pPr>
    </w:p>
    <w:p w14:paraId="612E2D1F" w14:textId="77777777" w:rsidR="003939A4" w:rsidRPr="00BB387E" w:rsidRDefault="003939A4" w:rsidP="003939A4">
      <w:pPr>
        <w:spacing w:after="0"/>
        <w:jc w:val="center"/>
        <w:rPr>
          <w:rFonts w:ascii="Arial" w:hAnsi="Arial" w:cs="Arial"/>
          <w:b/>
        </w:rPr>
      </w:pPr>
    </w:p>
    <w:p w14:paraId="4385F4A6" w14:textId="77777777" w:rsidR="003939A4" w:rsidRPr="00BB387E" w:rsidRDefault="003939A4" w:rsidP="003939A4">
      <w:pPr>
        <w:spacing w:after="0"/>
        <w:jc w:val="center"/>
        <w:rPr>
          <w:rFonts w:ascii="Arial" w:hAnsi="Arial" w:cs="Arial"/>
          <w:b/>
        </w:rPr>
      </w:pPr>
      <w:r>
        <w:rPr>
          <w:rFonts w:ascii="Arial" w:hAnsi="Arial" w:cs="Arial"/>
          <w:b/>
        </w:rPr>
        <w:t>ELEVENTH ASSEMBLY</w:t>
      </w:r>
    </w:p>
    <w:p w14:paraId="05075DD9" w14:textId="77777777" w:rsidR="003939A4" w:rsidRPr="00BB387E" w:rsidRDefault="003939A4" w:rsidP="003939A4">
      <w:pPr>
        <w:spacing w:after="0"/>
        <w:jc w:val="center"/>
        <w:rPr>
          <w:rFonts w:ascii="Arial" w:hAnsi="Arial" w:cs="Arial"/>
          <w:b/>
        </w:rPr>
      </w:pPr>
    </w:p>
    <w:p w14:paraId="06A803A2" w14:textId="77777777" w:rsidR="003939A4" w:rsidRPr="00BB387E" w:rsidRDefault="003939A4" w:rsidP="003939A4">
      <w:pPr>
        <w:spacing w:after="0"/>
        <w:jc w:val="center"/>
        <w:rPr>
          <w:rFonts w:ascii="Arial" w:hAnsi="Arial" w:cs="Arial"/>
          <w:b/>
        </w:rPr>
      </w:pPr>
    </w:p>
    <w:p w14:paraId="76A0215C" w14:textId="77777777" w:rsidR="003939A4" w:rsidRPr="00BB387E" w:rsidRDefault="003939A4" w:rsidP="003939A4">
      <w:pPr>
        <w:spacing w:after="0"/>
        <w:jc w:val="center"/>
        <w:rPr>
          <w:rFonts w:ascii="Arial" w:hAnsi="Arial" w:cs="Arial"/>
          <w:b/>
        </w:rPr>
      </w:pPr>
    </w:p>
    <w:p w14:paraId="782CB982" w14:textId="77777777" w:rsidR="003939A4" w:rsidRPr="00BB387E" w:rsidRDefault="003939A4" w:rsidP="003939A4">
      <w:pPr>
        <w:spacing w:after="0"/>
        <w:jc w:val="center"/>
        <w:rPr>
          <w:rFonts w:ascii="Arial" w:hAnsi="Arial" w:cs="Arial"/>
          <w:b/>
        </w:rPr>
      </w:pPr>
    </w:p>
    <w:p w14:paraId="66D5B06D" w14:textId="77777777" w:rsidR="003939A4" w:rsidRPr="00BB387E" w:rsidRDefault="003939A4" w:rsidP="003939A4">
      <w:pPr>
        <w:spacing w:after="0"/>
        <w:jc w:val="center"/>
        <w:rPr>
          <w:rFonts w:ascii="Arial" w:hAnsi="Arial" w:cs="Arial"/>
          <w:b/>
        </w:rPr>
      </w:pPr>
    </w:p>
    <w:p w14:paraId="2EDE3DB6" w14:textId="77777777" w:rsidR="003939A4" w:rsidRPr="00BB387E" w:rsidRDefault="003939A4" w:rsidP="003939A4">
      <w:pPr>
        <w:spacing w:after="0"/>
        <w:jc w:val="center"/>
        <w:rPr>
          <w:rFonts w:ascii="Arial" w:hAnsi="Arial" w:cs="Arial"/>
          <w:b/>
        </w:rPr>
      </w:pPr>
    </w:p>
    <w:p w14:paraId="1EF2291D" w14:textId="5254575D" w:rsidR="003939A4" w:rsidRDefault="003939A4" w:rsidP="003939A4">
      <w:pPr>
        <w:spacing w:after="0"/>
        <w:jc w:val="center"/>
        <w:rPr>
          <w:rFonts w:ascii="Arial" w:hAnsi="Arial" w:cs="Arial"/>
          <w:b/>
          <w:bCs/>
        </w:rPr>
      </w:pPr>
      <w:r w:rsidRPr="7B3E5DB3">
        <w:rPr>
          <w:rFonts w:ascii="Arial" w:hAnsi="Arial" w:cs="Arial"/>
          <w:b/>
          <w:bCs/>
        </w:rPr>
        <w:t>BETTER REGULATION</w:t>
      </w:r>
      <w:r w:rsidR="00EA6DF0">
        <w:rPr>
          <w:rFonts w:ascii="Arial" w:hAnsi="Arial" w:cs="Arial"/>
          <w:b/>
          <w:bCs/>
        </w:rPr>
        <w:t xml:space="preserve"> </w:t>
      </w:r>
      <w:r w:rsidR="00A13D78">
        <w:rPr>
          <w:rFonts w:ascii="Arial" w:hAnsi="Arial" w:cs="Arial"/>
          <w:b/>
          <w:bCs/>
        </w:rPr>
        <w:t xml:space="preserve">(REPEAL OF LEGISLATION) </w:t>
      </w:r>
      <w:r w:rsidRPr="7B3E5DB3">
        <w:rPr>
          <w:rFonts w:ascii="Arial" w:hAnsi="Arial" w:cs="Arial"/>
          <w:b/>
          <w:bCs/>
        </w:rPr>
        <w:t>BILL 2025</w:t>
      </w:r>
    </w:p>
    <w:p w14:paraId="4B2007A4" w14:textId="77777777" w:rsidR="003939A4" w:rsidRPr="00BB387E" w:rsidRDefault="003939A4" w:rsidP="003939A4">
      <w:pPr>
        <w:spacing w:after="0"/>
        <w:jc w:val="center"/>
        <w:rPr>
          <w:rFonts w:ascii="Arial" w:hAnsi="Arial" w:cs="Arial"/>
          <w:b/>
          <w:bCs/>
        </w:rPr>
      </w:pPr>
    </w:p>
    <w:p w14:paraId="26D1EAB5" w14:textId="77777777" w:rsidR="003939A4" w:rsidRPr="00BB387E" w:rsidRDefault="003939A4" w:rsidP="003939A4">
      <w:pPr>
        <w:spacing w:after="0"/>
        <w:jc w:val="center"/>
        <w:rPr>
          <w:rFonts w:ascii="Arial" w:hAnsi="Arial" w:cs="Arial"/>
          <w:b/>
        </w:rPr>
      </w:pPr>
    </w:p>
    <w:p w14:paraId="5E25EA35" w14:textId="77777777" w:rsidR="003939A4" w:rsidRPr="00781E2B" w:rsidRDefault="003939A4" w:rsidP="003939A4">
      <w:pPr>
        <w:spacing w:after="0"/>
        <w:jc w:val="center"/>
        <w:rPr>
          <w:rFonts w:ascii="Arial" w:hAnsi="Arial" w:cs="Arial"/>
          <w:i/>
          <w:iCs/>
          <w:color w:val="FF0000"/>
        </w:rPr>
      </w:pPr>
    </w:p>
    <w:p w14:paraId="6F96E5E4" w14:textId="77777777" w:rsidR="003939A4" w:rsidRDefault="003939A4" w:rsidP="003939A4">
      <w:pPr>
        <w:spacing w:after="0"/>
        <w:jc w:val="center"/>
        <w:rPr>
          <w:rFonts w:ascii="Arial" w:hAnsi="Arial" w:cs="Arial"/>
          <w:b/>
          <w:bCs/>
        </w:rPr>
      </w:pPr>
      <w:r w:rsidRPr="00BB387E">
        <w:rPr>
          <w:rFonts w:ascii="Arial" w:hAnsi="Arial" w:cs="Arial"/>
          <w:b/>
          <w:bCs/>
        </w:rPr>
        <w:t>EXPLANATORY STATEMENT</w:t>
      </w:r>
      <w:r>
        <w:rPr>
          <w:rFonts w:ascii="Arial" w:hAnsi="Arial" w:cs="Arial"/>
          <w:b/>
          <w:bCs/>
        </w:rPr>
        <w:t xml:space="preserve"> </w:t>
      </w:r>
    </w:p>
    <w:p w14:paraId="0AFE5896" w14:textId="77777777" w:rsidR="003939A4" w:rsidRDefault="003939A4" w:rsidP="003939A4">
      <w:pPr>
        <w:spacing w:after="0"/>
        <w:jc w:val="center"/>
        <w:rPr>
          <w:rFonts w:ascii="Arial" w:hAnsi="Arial" w:cs="Arial"/>
          <w:b/>
          <w:bCs/>
        </w:rPr>
      </w:pPr>
      <w:r>
        <w:rPr>
          <w:rFonts w:ascii="Arial" w:hAnsi="Arial" w:cs="Arial"/>
          <w:b/>
          <w:bCs/>
        </w:rPr>
        <w:t>and</w:t>
      </w:r>
    </w:p>
    <w:p w14:paraId="5A99369A" w14:textId="77777777" w:rsidR="003939A4" w:rsidRDefault="003939A4" w:rsidP="003939A4">
      <w:pPr>
        <w:spacing w:after="0"/>
        <w:jc w:val="center"/>
        <w:rPr>
          <w:rFonts w:ascii="Arial" w:hAnsi="Arial" w:cs="Arial"/>
          <w:b/>
          <w:bCs/>
        </w:rPr>
      </w:pPr>
      <w:r>
        <w:rPr>
          <w:rFonts w:ascii="Arial" w:hAnsi="Arial" w:cs="Arial"/>
          <w:b/>
          <w:bCs/>
        </w:rPr>
        <w:t xml:space="preserve"> HUMAN RIGHTS COMPATIBILITY STATEMENT</w:t>
      </w:r>
    </w:p>
    <w:p w14:paraId="42D0900E" w14:textId="77777777" w:rsidR="003939A4" w:rsidRPr="00BB387E" w:rsidRDefault="003939A4" w:rsidP="003939A4">
      <w:pPr>
        <w:spacing w:after="0"/>
        <w:jc w:val="center"/>
        <w:rPr>
          <w:rFonts w:ascii="Arial" w:hAnsi="Arial" w:cs="Arial"/>
          <w:b/>
        </w:rPr>
      </w:pPr>
      <w:r>
        <w:rPr>
          <w:rFonts w:ascii="Arial" w:hAnsi="Arial" w:cs="Arial"/>
          <w:b/>
          <w:bCs/>
        </w:rPr>
        <w:t>(</w:t>
      </w:r>
      <w:r w:rsidRPr="00BC3EF0">
        <w:rPr>
          <w:rFonts w:ascii="Arial" w:hAnsi="Arial" w:cs="Arial"/>
          <w:b/>
          <w:bCs/>
          <w:i/>
          <w:iCs/>
        </w:rPr>
        <w:t>Human Rights Act 2004</w:t>
      </w:r>
      <w:r>
        <w:rPr>
          <w:rFonts w:ascii="Arial" w:hAnsi="Arial" w:cs="Arial"/>
          <w:b/>
          <w:bCs/>
        </w:rPr>
        <w:t>, s 37)</w:t>
      </w:r>
    </w:p>
    <w:p w14:paraId="56334852" w14:textId="77777777" w:rsidR="003939A4" w:rsidRPr="00BB387E" w:rsidRDefault="003939A4" w:rsidP="003939A4">
      <w:pPr>
        <w:spacing w:after="0"/>
        <w:jc w:val="center"/>
        <w:rPr>
          <w:rFonts w:ascii="Arial" w:hAnsi="Arial" w:cs="Arial"/>
          <w:b/>
        </w:rPr>
      </w:pPr>
    </w:p>
    <w:p w14:paraId="086A4676" w14:textId="77777777" w:rsidR="003939A4" w:rsidRPr="00BB387E" w:rsidRDefault="003939A4" w:rsidP="003939A4">
      <w:pPr>
        <w:spacing w:after="0"/>
        <w:jc w:val="center"/>
        <w:rPr>
          <w:rFonts w:ascii="Arial" w:hAnsi="Arial" w:cs="Arial"/>
          <w:b/>
        </w:rPr>
      </w:pPr>
    </w:p>
    <w:p w14:paraId="701DDA15" w14:textId="77777777" w:rsidR="003939A4" w:rsidRPr="00BB387E" w:rsidRDefault="003939A4" w:rsidP="003939A4">
      <w:pPr>
        <w:spacing w:after="0"/>
        <w:jc w:val="center"/>
        <w:rPr>
          <w:rFonts w:ascii="Arial" w:hAnsi="Arial" w:cs="Arial"/>
          <w:b/>
        </w:rPr>
      </w:pPr>
    </w:p>
    <w:p w14:paraId="444440D4" w14:textId="77777777" w:rsidR="003939A4" w:rsidRDefault="003939A4" w:rsidP="003939A4">
      <w:pPr>
        <w:spacing w:after="0"/>
        <w:jc w:val="center"/>
        <w:rPr>
          <w:rFonts w:ascii="Arial" w:hAnsi="Arial" w:cs="Arial"/>
          <w:b/>
        </w:rPr>
      </w:pPr>
    </w:p>
    <w:p w14:paraId="0977DFC2" w14:textId="77777777" w:rsidR="003939A4" w:rsidRDefault="003939A4" w:rsidP="003939A4">
      <w:pPr>
        <w:spacing w:after="0"/>
        <w:jc w:val="center"/>
        <w:rPr>
          <w:rFonts w:ascii="Arial" w:hAnsi="Arial" w:cs="Arial"/>
          <w:b/>
        </w:rPr>
      </w:pPr>
    </w:p>
    <w:p w14:paraId="56CFC7AD" w14:textId="77777777" w:rsidR="003939A4" w:rsidRDefault="003939A4" w:rsidP="003939A4">
      <w:pPr>
        <w:spacing w:after="0"/>
        <w:jc w:val="center"/>
        <w:rPr>
          <w:rFonts w:ascii="Arial" w:hAnsi="Arial" w:cs="Arial"/>
          <w:b/>
        </w:rPr>
      </w:pPr>
    </w:p>
    <w:p w14:paraId="7C2C2C82" w14:textId="77777777" w:rsidR="003939A4" w:rsidRPr="00BB387E" w:rsidRDefault="003939A4" w:rsidP="003939A4">
      <w:pPr>
        <w:spacing w:after="0"/>
        <w:jc w:val="center"/>
        <w:rPr>
          <w:rFonts w:ascii="Arial" w:hAnsi="Arial" w:cs="Arial"/>
          <w:b/>
        </w:rPr>
      </w:pPr>
    </w:p>
    <w:p w14:paraId="45B47050" w14:textId="77777777" w:rsidR="003939A4" w:rsidRPr="00BB387E" w:rsidRDefault="003939A4" w:rsidP="003939A4">
      <w:pPr>
        <w:keepNext/>
        <w:widowControl w:val="0"/>
        <w:spacing w:after="0"/>
        <w:jc w:val="center"/>
        <w:outlineLvl w:val="7"/>
        <w:rPr>
          <w:rFonts w:ascii="Arial" w:hAnsi="Arial" w:cs="Arial"/>
          <w:b/>
          <w:bCs/>
        </w:rPr>
      </w:pPr>
    </w:p>
    <w:p w14:paraId="364574EB" w14:textId="77777777" w:rsidR="003939A4" w:rsidRPr="00BB387E" w:rsidRDefault="003939A4" w:rsidP="003939A4">
      <w:pPr>
        <w:keepNext/>
        <w:widowControl w:val="0"/>
        <w:spacing w:after="0"/>
        <w:jc w:val="center"/>
        <w:outlineLvl w:val="7"/>
        <w:rPr>
          <w:rFonts w:ascii="Arial" w:hAnsi="Arial" w:cs="Arial"/>
          <w:b/>
          <w:bCs/>
        </w:rPr>
      </w:pPr>
    </w:p>
    <w:p w14:paraId="21A33CA1" w14:textId="77777777" w:rsidR="003939A4" w:rsidRPr="00BB387E" w:rsidRDefault="003939A4" w:rsidP="003939A4">
      <w:pPr>
        <w:keepNext/>
        <w:widowControl w:val="0"/>
        <w:spacing w:after="0"/>
        <w:ind w:right="686"/>
        <w:jc w:val="right"/>
        <w:outlineLvl w:val="7"/>
        <w:rPr>
          <w:rFonts w:ascii="Arial" w:hAnsi="Arial" w:cs="Arial"/>
          <w:b/>
          <w:bCs/>
        </w:rPr>
      </w:pPr>
      <w:r w:rsidRPr="00BB387E">
        <w:rPr>
          <w:rFonts w:ascii="Arial" w:hAnsi="Arial" w:cs="Arial"/>
          <w:b/>
          <w:bCs/>
        </w:rPr>
        <w:t>Presented by</w:t>
      </w:r>
    </w:p>
    <w:p w14:paraId="0E59BD7D" w14:textId="77777777" w:rsidR="003939A4" w:rsidRDefault="003939A4" w:rsidP="003939A4">
      <w:pPr>
        <w:spacing w:after="0"/>
        <w:ind w:right="686"/>
        <w:jc w:val="right"/>
        <w:rPr>
          <w:rFonts w:ascii="Arial" w:hAnsi="Arial" w:cs="Arial"/>
          <w:b/>
          <w:bCs/>
        </w:rPr>
      </w:pPr>
      <w:r w:rsidRPr="7B3E5DB3">
        <w:rPr>
          <w:rFonts w:ascii="Arial" w:hAnsi="Arial" w:cs="Arial"/>
          <w:b/>
          <w:bCs/>
        </w:rPr>
        <w:t>Tara Cheyne MLA</w:t>
      </w:r>
    </w:p>
    <w:p w14:paraId="23C72573" w14:textId="77777777" w:rsidR="003939A4" w:rsidRDefault="003939A4" w:rsidP="003939A4">
      <w:pPr>
        <w:spacing w:after="0"/>
        <w:ind w:right="686"/>
        <w:jc w:val="right"/>
        <w:rPr>
          <w:rFonts w:ascii="Arial" w:hAnsi="Arial" w:cs="Arial"/>
          <w:b/>
          <w:bCs/>
        </w:rPr>
      </w:pPr>
      <w:r w:rsidRPr="7B3E5DB3">
        <w:rPr>
          <w:rFonts w:ascii="Arial" w:hAnsi="Arial" w:cs="Arial"/>
          <w:b/>
          <w:bCs/>
        </w:rPr>
        <w:t>Attorney-General</w:t>
      </w:r>
    </w:p>
    <w:p w14:paraId="29F479BB" w14:textId="77777777" w:rsidR="003939A4" w:rsidRPr="00BB387E" w:rsidRDefault="003939A4" w:rsidP="003939A4">
      <w:pPr>
        <w:spacing w:after="0"/>
        <w:ind w:right="686"/>
        <w:jc w:val="right"/>
        <w:rPr>
          <w:rFonts w:ascii="Arial" w:hAnsi="Arial" w:cs="Arial"/>
          <w:b/>
          <w:bCs/>
        </w:rPr>
      </w:pPr>
      <w:r w:rsidRPr="7B3E5DB3">
        <w:rPr>
          <w:rFonts w:ascii="Arial" w:hAnsi="Arial" w:cs="Arial"/>
          <w:b/>
          <w:bCs/>
        </w:rPr>
        <w:t>March</w:t>
      </w:r>
      <w:r w:rsidRPr="7B3E5DB3">
        <w:rPr>
          <w:rFonts w:ascii="Arial" w:hAnsi="Arial" w:cs="Arial"/>
          <w:b/>
        </w:rPr>
        <w:t xml:space="preserve"> </w:t>
      </w:r>
      <w:r>
        <w:rPr>
          <w:rFonts w:ascii="Arial" w:hAnsi="Arial" w:cs="Arial"/>
          <w:b/>
          <w:bCs/>
        </w:rPr>
        <w:t>2025</w:t>
      </w:r>
    </w:p>
    <w:p w14:paraId="22EEC351" w14:textId="47843748" w:rsidR="00A425EE" w:rsidRDefault="003939A4">
      <w:pPr>
        <w:rPr>
          <w:rFonts w:ascii="Arial" w:hAnsi="Arial" w:cs="Arial"/>
          <w:b/>
          <w:bCs/>
          <w:u w:val="single"/>
        </w:rPr>
      </w:pPr>
      <w:r w:rsidRPr="008C3B92">
        <w:rPr>
          <w:rFonts w:ascii="Arial" w:hAnsi="Arial" w:cs="Arial"/>
          <w:b/>
          <w:bCs/>
          <w:u w:val="single"/>
        </w:rPr>
        <w:br w:type="page"/>
      </w:r>
      <w:r w:rsidR="00A425EE">
        <w:rPr>
          <w:rFonts w:ascii="Arial" w:hAnsi="Arial" w:cs="Arial"/>
          <w:b/>
          <w:bCs/>
          <w:u w:val="single"/>
        </w:rPr>
        <w:lastRenderedPageBreak/>
        <w:br w:type="page"/>
      </w:r>
    </w:p>
    <w:p w14:paraId="3649A79D" w14:textId="77777777" w:rsidR="003939A4" w:rsidRPr="008C3B92" w:rsidRDefault="003939A4" w:rsidP="003939A4">
      <w:pPr>
        <w:spacing w:after="0" w:line="240" w:lineRule="auto"/>
        <w:rPr>
          <w:rFonts w:ascii="Arial" w:hAnsi="Arial" w:cs="Arial"/>
          <w:b/>
          <w:bCs/>
          <w:u w:val="single"/>
        </w:rPr>
        <w:sectPr w:rsidR="003939A4" w:rsidRPr="008C3B92" w:rsidSect="003939A4">
          <w:footerReference w:type="default" r:id="rId10"/>
          <w:headerReference w:type="first" r:id="rId11"/>
          <w:footerReference w:type="first" r:id="rId12"/>
          <w:pgSz w:w="11906" w:h="16838"/>
          <w:pgMar w:top="1276" w:right="1440" w:bottom="1440" w:left="1440" w:header="709" w:footer="675" w:gutter="0"/>
          <w:pgNumType w:start="1"/>
          <w:cols w:space="708"/>
          <w:docGrid w:linePitch="360"/>
        </w:sectPr>
      </w:pPr>
    </w:p>
    <w:p w14:paraId="3CC7BFBC" w14:textId="4273CC95" w:rsidR="003939A4" w:rsidRDefault="003939A4" w:rsidP="003939A4">
      <w:pPr>
        <w:spacing w:after="0"/>
        <w:jc w:val="center"/>
        <w:rPr>
          <w:rFonts w:ascii="Arial" w:hAnsi="Arial" w:cs="Arial"/>
          <w:b/>
          <w:bCs/>
        </w:rPr>
      </w:pPr>
      <w:r w:rsidRPr="7B3E5DB3">
        <w:rPr>
          <w:rFonts w:ascii="Arial" w:hAnsi="Arial" w:cs="Arial"/>
          <w:b/>
          <w:bCs/>
        </w:rPr>
        <w:lastRenderedPageBreak/>
        <w:t>BETTER REGULATION</w:t>
      </w:r>
      <w:r w:rsidR="00EA6DF0">
        <w:rPr>
          <w:rFonts w:ascii="Arial" w:hAnsi="Arial" w:cs="Arial"/>
          <w:b/>
          <w:bCs/>
        </w:rPr>
        <w:t xml:space="preserve"> </w:t>
      </w:r>
      <w:r w:rsidR="00A13D78">
        <w:rPr>
          <w:rFonts w:ascii="Arial" w:hAnsi="Arial" w:cs="Arial"/>
          <w:b/>
          <w:bCs/>
        </w:rPr>
        <w:t xml:space="preserve">(REPEAL OF </w:t>
      </w:r>
      <w:r w:rsidR="00EA6DF0">
        <w:rPr>
          <w:rFonts w:ascii="Arial" w:hAnsi="Arial" w:cs="Arial"/>
          <w:b/>
          <w:bCs/>
        </w:rPr>
        <w:t>LEGISLATION</w:t>
      </w:r>
      <w:r w:rsidR="00A13D78">
        <w:rPr>
          <w:rFonts w:ascii="Arial" w:hAnsi="Arial" w:cs="Arial"/>
          <w:b/>
          <w:bCs/>
        </w:rPr>
        <w:t>)</w:t>
      </w:r>
      <w:r w:rsidRPr="7B3E5DB3">
        <w:rPr>
          <w:rFonts w:ascii="Arial" w:hAnsi="Arial" w:cs="Arial"/>
          <w:b/>
          <w:bCs/>
        </w:rPr>
        <w:t xml:space="preserve"> BILL 2025</w:t>
      </w:r>
    </w:p>
    <w:p w14:paraId="561369CF" w14:textId="77777777" w:rsidR="003939A4" w:rsidRDefault="003939A4" w:rsidP="003939A4">
      <w:pPr>
        <w:spacing w:after="0"/>
        <w:contextualSpacing/>
        <w:jc w:val="both"/>
        <w:rPr>
          <w:rFonts w:ascii="Arial" w:hAnsi="Arial" w:cs="Arial"/>
        </w:rPr>
      </w:pPr>
    </w:p>
    <w:p w14:paraId="41CF1439" w14:textId="237B08AF" w:rsidR="003939A4" w:rsidRDefault="003939A4" w:rsidP="003939A4">
      <w:pPr>
        <w:spacing w:after="0"/>
        <w:contextualSpacing/>
        <w:jc w:val="both"/>
        <w:rPr>
          <w:rFonts w:ascii="Arial" w:eastAsia="Arial" w:hAnsi="Arial" w:cs="Arial"/>
        </w:rPr>
      </w:pPr>
      <w:r w:rsidRPr="7B3E5DB3">
        <w:rPr>
          <w:rFonts w:ascii="Arial" w:eastAsia="Arial" w:hAnsi="Arial" w:cs="Arial"/>
          <w:color w:val="000000" w:themeColor="text1"/>
        </w:rPr>
        <w:t xml:space="preserve">This explanatory statement relates to the </w:t>
      </w:r>
      <w:r w:rsidRPr="7B3E5DB3">
        <w:rPr>
          <w:rFonts w:ascii="Arial" w:eastAsia="Arial" w:hAnsi="Arial" w:cs="Arial"/>
          <w:i/>
          <w:iCs/>
          <w:color w:val="000000" w:themeColor="text1"/>
        </w:rPr>
        <w:t xml:space="preserve">Better Regulation </w:t>
      </w:r>
      <w:r w:rsidR="00A13D78">
        <w:rPr>
          <w:rFonts w:ascii="Arial" w:eastAsia="Arial" w:hAnsi="Arial" w:cs="Arial"/>
          <w:i/>
          <w:iCs/>
          <w:color w:val="000000" w:themeColor="text1"/>
        </w:rPr>
        <w:t xml:space="preserve">(Repeal of </w:t>
      </w:r>
      <w:r w:rsidR="00EA6DF0">
        <w:rPr>
          <w:rFonts w:ascii="Arial" w:eastAsia="Arial" w:hAnsi="Arial" w:cs="Arial"/>
          <w:i/>
          <w:iCs/>
          <w:color w:val="000000" w:themeColor="text1"/>
        </w:rPr>
        <w:t>Legislation</w:t>
      </w:r>
      <w:r w:rsidR="00A13D78">
        <w:rPr>
          <w:rFonts w:ascii="Arial" w:eastAsia="Arial" w:hAnsi="Arial" w:cs="Arial"/>
          <w:i/>
          <w:iCs/>
          <w:color w:val="000000" w:themeColor="text1"/>
        </w:rPr>
        <w:t>)</w:t>
      </w:r>
      <w:r w:rsidR="00EA6DF0">
        <w:rPr>
          <w:rFonts w:ascii="Arial" w:eastAsia="Arial" w:hAnsi="Arial" w:cs="Arial"/>
          <w:i/>
          <w:iCs/>
          <w:color w:val="000000" w:themeColor="text1"/>
        </w:rPr>
        <w:t xml:space="preserve"> </w:t>
      </w:r>
      <w:r w:rsidRPr="7B3E5DB3">
        <w:rPr>
          <w:rFonts w:ascii="Arial" w:eastAsia="Arial" w:hAnsi="Arial" w:cs="Arial"/>
          <w:i/>
          <w:iCs/>
          <w:color w:val="000000" w:themeColor="text1"/>
        </w:rPr>
        <w:t xml:space="preserve">Bill 2025 </w:t>
      </w:r>
      <w:r w:rsidRPr="7B3E5DB3">
        <w:rPr>
          <w:rFonts w:ascii="Arial" w:eastAsia="Arial" w:hAnsi="Arial" w:cs="Arial"/>
          <w:color w:val="000000" w:themeColor="text1"/>
        </w:rPr>
        <w:t>as presented to the Legislative Assembly. It has been prepared to assist the reader of the Bill and to help inform debate on it. The statement is to be read in conjunction with the Bill. It is not, and is not meant to be, a comprehensive description of the amendments. What is said about a provision is not to be taken as an authoritative guide to the meaning of a provision, this being a task for the courts.</w:t>
      </w:r>
    </w:p>
    <w:p w14:paraId="4047A95F" w14:textId="77777777" w:rsidR="003939A4" w:rsidRDefault="003939A4" w:rsidP="001B00EA">
      <w:pPr>
        <w:pStyle w:val="Heading2"/>
      </w:pPr>
    </w:p>
    <w:p w14:paraId="1839731D" w14:textId="77777777" w:rsidR="003939A4" w:rsidRDefault="003939A4" w:rsidP="001B00EA">
      <w:pPr>
        <w:pStyle w:val="Heading2"/>
      </w:pPr>
      <w:r>
        <w:t>OVERVIEW OF THE BILL</w:t>
      </w:r>
    </w:p>
    <w:p w14:paraId="6F01CB97" w14:textId="409F6B02" w:rsidR="003939A4" w:rsidRDefault="003939A4" w:rsidP="003939A4">
      <w:pPr>
        <w:rPr>
          <w:rFonts w:ascii="Arial" w:hAnsi="Arial" w:cs="Arial"/>
        </w:rPr>
      </w:pPr>
      <w:r w:rsidRPr="7B3E5DB3">
        <w:rPr>
          <w:rFonts w:ascii="Arial" w:hAnsi="Arial" w:cs="Arial"/>
        </w:rPr>
        <w:t xml:space="preserve">This Bill is an omnibus bill which </w:t>
      </w:r>
      <w:r w:rsidR="00A73129">
        <w:rPr>
          <w:rFonts w:ascii="Arial" w:hAnsi="Arial" w:cs="Arial"/>
        </w:rPr>
        <w:t xml:space="preserve">repeals </w:t>
      </w:r>
      <w:r w:rsidR="00881FD2">
        <w:rPr>
          <w:rFonts w:ascii="Arial" w:hAnsi="Arial" w:cs="Arial"/>
        </w:rPr>
        <w:t xml:space="preserve">multiple </w:t>
      </w:r>
      <w:r w:rsidR="00A73129">
        <w:rPr>
          <w:rFonts w:ascii="Arial" w:hAnsi="Arial" w:cs="Arial"/>
        </w:rPr>
        <w:t>Acts, Regulations and notifiable instruments</w:t>
      </w:r>
      <w:r w:rsidRPr="24BD4B80">
        <w:rPr>
          <w:rFonts w:ascii="Arial" w:hAnsi="Arial" w:cs="Arial"/>
        </w:rPr>
        <w:t>:</w:t>
      </w:r>
    </w:p>
    <w:p w14:paraId="6A7972E3" w14:textId="694FA24E" w:rsidR="00165755" w:rsidRPr="000A52D7" w:rsidRDefault="00165755" w:rsidP="00165755">
      <w:pPr>
        <w:pStyle w:val="ListParagraph"/>
        <w:numPr>
          <w:ilvl w:val="0"/>
          <w:numId w:val="11"/>
        </w:numPr>
        <w:rPr>
          <w:rFonts w:ascii="Arial" w:hAnsi="Arial" w:cs="Arial"/>
          <w:i/>
          <w:sz w:val="24"/>
          <w:szCs w:val="24"/>
        </w:rPr>
      </w:pPr>
      <w:r w:rsidRPr="00072268">
        <w:rPr>
          <w:rFonts w:ascii="Arial" w:hAnsi="Arial" w:cs="Arial"/>
          <w:i/>
          <w:sz w:val="24"/>
          <w:szCs w:val="24"/>
        </w:rPr>
        <w:t xml:space="preserve">COVID-19 Emergency Response Legislation Amendment Act 2020 </w:t>
      </w:r>
    </w:p>
    <w:p w14:paraId="424C965A" w14:textId="4081E7C1" w:rsidR="00165755" w:rsidRPr="000B3093" w:rsidRDefault="00165755" w:rsidP="00165755">
      <w:pPr>
        <w:pStyle w:val="ListParagraph"/>
        <w:numPr>
          <w:ilvl w:val="0"/>
          <w:numId w:val="11"/>
        </w:numPr>
        <w:rPr>
          <w:rFonts w:ascii="Arial" w:hAnsi="Arial" w:cs="Arial"/>
          <w:i/>
          <w:sz w:val="24"/>
          <w:szCs w:val="24"/>
        </w:rPr>
      </w:pPr>
      <w:r w:rsidRPr="00072268">
        <w:rPr>
          <w:rFonts w:ascii="Arial" w:hAnsi="Arial" w:cs="Arial"/>
          <w:i/>
          <w:sz w:val="24"/>
          <w:szCs w:val="24"/>
        </w:rPr>
        <w:t>COVID-19 Emergency Response Legislation Amendment Act 2021</w:t>
      </w:r>
    </w:p>
    <w:p w14:paraId="5D6233F1" w14:textId="3C79DB75" w:rsidR="00165755" w:rsidRPr="00A0323D" w:rsidRDefault="00165755" w:rsidP="00165755">
      <w:pPr>
        <w:pStyle w:val="ListParagraph"/>
        <w:numPr>
          <w:ilvl w:val="0"/>
          <w:numId w:val="2"/>
        </w:numPr>
        <w:rPr>
          <w:rFonts w:ascii="Arial" w:hAnsi="Arial" w:cs="Arial"/>
          <w:i/>
          <w:iCs/>
          <w:sz w:val="24"/>
          <w:szCs w:val="24"/>
        </w:rPr>
      </w:pPr>
      <w:r w:rsidRPr="00D9103D">
        <w:rPr>
          <w:rFonts w:ascii="Arial" w:hAnsi="Arial" w:cs="Arial"/>
          <w:i/>
          <w:iCs/>
          <w:sz w:val="24"/>
          <w:szCs w:val="24"/>
        </w:rPr>
        <w:t>Drugs in Sport Act 1999 (A1999-84)</w:t>
      </w:r>
    </w:p>
    <w:p w14:paraId="1A90D5C4" w14:textId="2CFE62D2" w:rsidR="00165755" w:rsidRPr="00A0323D" w:rsidRDefault="00165755" w:rsidP="00A0323D">
      <w:pPr>
        <w:pStyle w:val="ListParagraph"/>
        <w:numPr>
          <w:ilvl w:val="0"/>
          <w:numId w:val="2"/>
        </w:numPr>
        <w:rPr>
          <w:rFonts w:ascii="Arial" w:hAnsi="Arial" w:cs="Arial"/>
          <w:i/>
          <w:iCs/>
          <w:sz w:val="24"/>
          <w:szCs w:val="24"/>
        </w:rPr>
      </w:pPr>
      <w:r>
        <w:rPr>
          <w:rFonts w:ascii="Arial" w:hAnsi="Arial" w:cs="Arial"/>
          <w:i/>
          <w:iCs/>
          <w:sz w:val="24"/>
          <w:szCs w:val="24"/>
        </w:rPr>
        <w:t>Hemp Fibre Industry Facilitation Act 2004</w:t>
      </w:r>
    </w:p>
    <w:p w14:paraId="416578D9" w14:textId="3621D01B" w:rsidR="00165755" w:rsidRPr="00E3026B" w:rsidRDefault="00165755" w:rsidP="00165755">
      <w:pPr>
        <w:pStyle w:val="ListParagraph"/>
        <w:numPr>
          <w:ilvl w:val="0"/>
          <w:numId w:val="2"/>
        </w:numPr>
        <w:rPr>
          <w:rFonts w:ascii="Arial" w:hAnsi="Arial" w:cs="Arial"/>
          <w:sz w:val="24"/>
          <w:szCs w:val="24"/>
        </w:rPr>
      </w:pPr>
      <w:r w:rsidRPr="371E51D1">
        <w:rPr>
          <w:rFonts w:ascii="Arial" w:hAnsi="Arial" w:cs="Arial"/>
          <w:i/>
          <w:iCs/>
          <w:sz w:val="24"/>
          <w:szCs w:val="24"/>
        </w:rPr>
        <w:t>Magistrates Court (Fair Trading Motor Vehicle Repair Industry Infringement Notices) Regulation 2012</w:t>
      </w:r>
    </w:p>
    <w:p w14:paraId="6CDA02F5" w14:textId="77777777" w:rsidR="00165755" w:rsidRPr="003668B6" w:rsidRDefault="00165755" w:rsidP="00165755">
      <w:pPr>
        <w:pStyle w:val="ListParagraph"/>
        <w:numPr>
          <w:ilvl w:val="0"/>
          <w:numId w:val="2"/>
        </w:numPr>
        <w:rPr>
          <w:rFonts w:ascii="Arial" w:hAnsi="Arial" w:cs="Arial"/>
          <w:i/>
          <w:iCs/>
          <w:sz w:val="24"/>
          <w:szCs w:val="24"/>
        </w:rPr>
      </w:pPr>
      <w:r w:rsidRPr="009309BA">
        <w:rPr>
          <w:rFonts w:ascii="Arial" w:hAnsi="Arial" w:cs="Arial"/>
          <w:sz w:val="24"/>
          <w:szCs w:val="24"/>
        </w:rPr>
        <w:t>Notifiable instruments</w:t>
      </w:r>
      <w:r>
        <w:rPr>
          <w:rFonts w:ascii="Arial" w:hAnsi="Arial" w:cs="Arial"/>
          <w:sz w:val="24"/>
          <w:szCs w:val="24"/>
        </w:rPr>
        <w:t>, listed below,</w:t>
      </w:r>
      <w:r w:rsidRPr="009309BA">
        <w:rPr>
          <w:rFonts w:ascii="Arial" w:hAnsi="Arial" w:cs="Arial"/>
          <w:sz w:val="24"/>
          <w:szCs w:val="24"/>
        </w:rPr>
        <w:t xml:space="preserve"> made under the</w:t>
      </w:r>
      <w:r w:rsidRPr="003A3988">
        <w:rPr>
          <w:rFonts w:ascii="Arial" w:hAnsi="Arial" w:cs="Arial"/>
          <w:i/>
          <w:iCs/>
          <w:sz w:val="24"/>
          <w:szCs w:val="24"/>
        </w:rPr>
        <w:t xml:space="preserve"> Public Interest Disclosure Act 2012, </w:t>
      </w:r>
      <w:r w:rsidRPr="00A9286C">
        <w:rPr>
          <w:rFonts w:ascii="Arial" w:hAnsi="Arial" w:cs="Arial"/>
          <w:sz w:val="24"/>
          <w:szCs w:val="24"/>
        </w:rPr>
        <w:t>section 11</w:t>
      </w:r>
      <w:r>
        <w:rPr>
          <w:rFonts w:ascii="Arial" w:hAnsi="Arial" w:cs="Arial"/>
          <w:i/>
          <w:iCs/>
          <w:sz w:val="24"/>
          <w:szCs w:val="24"/>
        </w:rPr>
        <w:t>:</w:t>
      </w:r>
    </w:p>
    <w:p w14:paraId="02B060F3"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ACT Health Directorate) Declaration 2019 (No 1) (NI2019-279) </w:t>
      </w:r>
    </w:p>
    <w:p w14:paraId="43840C24"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ACT Human Rights Commission) Declaration 2020 (No 1) (NI2020-628) </w:t>
      </w:r>
    </w:p>
    <w:p w14:paraId="3BD28DF5"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Calvary Health Care Public) Declaration 2018 (No 1) (NI2018-564) </w:t>
      </w:r>
    </w:p>
    <w:p w14:paraId="179CC86C"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Canberra Health Services) Declaration 2019 (No 2) (NI2019-530) </w:t>
      </w:r>
    </w:p>
    <w:p w14:paraId="74C19798"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Canberra Institute of Technology) Declaration 2018 (No 1) (NI2018-587) </w:t>
      </w:r>
    </w:p>
    <w:p w14:paraId="41E1A38C"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2013 (No 9) (NI2013-578) </w:t>
      </w:r>
    </w:p>
    <w:p w14:paraId="084BF91F"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2015 (No 5) (NI2015-629) </w:t>
      </w:r>
    </w:p>
    <w:p w14:paraId="65A0C3C5"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2016 (No 5) (NI2016-649) </w:t>
      </w:r>
    </w:p>
    <w:p w14:paraId="63834E88" w14:textId="77777777" w:rsidR="00165755" w:rsidRPr="003668B6"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2017 (No 3) (NI2017-666) </w:t>
      </w:r>
    </w:p>
    <w:p w14:paraId="3F689BCF"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2018 (No 2) (NI2018-126) </w:t>
      </w:r>
    </w:p>
    <w:p w14:paraId="2B2E3D53"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2018 (No 3) (NI2018-388) </w:t>
      </w:r>
    </w:p>
    <w:p w14:paraId="27F36CED"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2018 (No 4) (NI2018-484) </w:t>
      </w:r>
    </w:p>
    <w:p w14:paraId="40A6766C"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lastRenderedPageBreak/>
        <w:t xml:space="preserve">Public Interest Disclosure (Designated Disclosure Officer) Declaration 2019 (No 1) (NI2019-56) </w:t>
      </w:r>
    </w:p>
    <w:p w14:paraId="4D19DB29" w14:textId="1E7D0424"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Public Interest Disclosure (Designated Disclosure Officer) Declaration 2019 (No 2) (NI2019-392</w:t>
      </w:r>
      <w:r w:rsidR="001B00EA">
        <w:rPr>
          <w:rFonts w:ascii="Arial" w:hAnsi="Arial" w:cs="Arial"/>
          <w:i/>
          <w:iCs/>
          <w:sz w:val="24"/>
          <w:szCs w:val="24"/>
        </w:rPr>
        <w:t>)</w:t>
      </w:r>
      <w:r w:rsidRPr="00831974">
        <w:rPr>
          <w:rFonts w:ascii="Arial" w:hAnsi="Arial" w:cs="Arial"/>
          <w:i/>
          <w:iCs/>
          <w:sz w:val="24"/>
          <w:szCs w:val="24"/>
        </w:rPr>
        <w:t xml:space="preserve"> </w:t>
      </w:r>
    </w:p>
    <w:p w14:paraId="73F98A22"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2019 (No 3) (NI2019-415) </w:t>
      </w:r>
    </w:p>
    <w:p w14:paraId="47353D2D"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2019 (No 4) (NI2019-465) </w:t>
      </w:r>
    </w:p>
    <w:p w14:paraId="6078C6E1"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2019 (No 5) (NI2019-464) </w:t>
      </w:r>
    </w:p>
    <w:p w14:paraId="14729649"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2019 (No 6) (NI2019-590) </w:t>
      </w:r>
    </w:p>
    <w:p w14:paraId="0AFC1B41"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2020 (No 1) (NI2020-152) </w:t>
      </w:r>
    </w:p>
    <w:p w14:paraId="04AE50F4"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2020 (No 2) (NI2020-349) </w:t>
      </w:r>
    </w:p>
    <w:p w14:paraId="2E6446EE"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Director of Public Prosecutions) Declaration 2019 (No 1) (NI2019-439) </w:t>
      </w:r>
    </w:p>
    <w:p w14:paraId="5801EB55"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Officer—JACS) Declaration 2018 (No 1) (NI2018-465) </w:t>
      </w:r>
    </w:p>
    <w:p w14:paraId="5CADF1AC" w14:textId="77777777" w:rsidR="00165755" w:rsidRPr="00831974" w:rsidRDefault="00165755" w:rsidP="00165755">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MPC) Declaration 2019 (No 1) (NI2019-642) </w:t>
      </w:r>
    </w:p>
    <w:p w14:paraId="36AC2036" w14:textId="73697A21" w:rsidR="00165755" w:rsidRPr="0045530E" w:rsidRDefault="00165755" w:rsidP="003939A4">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TCCS) Declaration 2020 (No 1) (NI2020-384) </w:t>
      </w:r>
    </w:p>
    <w:p w14:paraId="239487E5" w14:textId="77777777" w:rsidR="00A73129" w:rsidRDefault="00A73129" w:rsidP="003939A4">
      <w:pPr>
        <w:rPr>
          <w:rFonts w:ascii="Arial" w:hAnsi="Arial" w:cs="Arial"/>
        </w:rPr>
      </w:pPr>
    </w:p>
    <w:p w14:paraId="11315807" w14:textId="77777777" w:rsidR="003939A4" w:rsidRDefault="003939A4" w:rsidP="003939A4">
      <w:pPr>
        <w:rPr>
          <w:rFonts w:ascii="Arial" w:hAnsi="Arial" w:cs="Arial"/>
          <w:b/>
        </w:rPr>
      </w:pPr>
      <w:r w:rsidRPr="00AC59DF">
        <w:rPr>
          <w:rFonts w:ascii="Arial" w:hAnsi="Arial" w:cs="Arial"/>
          <w:b/>
        </w:rPr>
        <w:t>CONSULTATION ON THE PROPOSED APPROACH</w:t>
      </w:r>
    </w:p>
    <w:p w14:paraId="0ED24E89" w14:textId="1419D532" w:rsidR="003939A4" w:rsidRDefault="00C33018" w:rsidP="003939A4">
      <w:pPr>
        <w:rPr>
          <w:rFonts w:ascii="Arial" w:hAnsi="Arial" w:cs="Arial"/>
        </w:rPr>
      </w:pPr>
      <w:r>
        <w:rPr>
          <w:rFonts w:ascii="Arial" w:hAnsi="Arial" w:cs="Arial"/>
          <w:iCs/>
        </w:rPr>
        <w:t>C</w:t>
      </w:r>
      <w:r w:rsidR="003939A4" w:rsidRPr="00CA4E58">
        <w:rPr>
          <w:rFonts w:ascii="Arial" w:hAnsi="Arial" w:cs="Arial"/>
          <w:iCs/>
        </w:rPr>
        <w:t xml:space="preserve">onsultation on the Bill was conducted internally with </w:t>
      </w:r>
      <w:r>
        <w:rPr>
          <w:rFonts w:ascii="Arial" w:hAnsi="Arial" w:cs="Arial"/>
          <w:iCs/>
        </w:rPr>
        <w:t xml:space="preserve">the relevant </w:t>
      </w:r>
      <w:r w:rsidR="003939A4" w:rsidRPr="00CA4E58">
        <w:rPr>
          <w:rFonts w:ascii="Arial" w:hAnsi="Arial" w:cs="Arial"/>
          <w:iCs/>
        </w:rPr>
        <w:t>ACT Government directorates.</w:t>
      </w:r>
      <w:r w:rsidR="003939A4">
        <w:rPr>
          <w:rFonts w:ascii="Arial" w:hAnsi="Arial" w:cs="Arial"/>
          <w:iCs/>
        </w:rPr>
        <w:t xml:space="preserve"> </w:t>
      </w:r>
    </w:p>
    <w:p w14:paraId="0C3E13D7" w14:textId="77777777" w:rsidR="00E23EDB" w:rsidRDefault="00E23EDB" w:rsidP="003939A4">
      <w:pPr>
        <w:rPr>
          <w:rFonts w:ascii="Arial" w:hAnsi="Arial" w:cs="Arial"/>
        </w:rPr>
      </w:pPr>
    </w:p>
    <w:p w14:paraId="351B9811" w14:textId="77777777" w:rsidR="003939A4" w:rsidRPr="005B0897" w:rsidRDefault="003939A4" w:rsidP="003939A4">
      <w:pPr>
        <w:rPr>
          <w:rFonts w:ascii="Arial" w:hAnsi="Arial" w:cs="Arial"/>
          <w:b/>
        </w:rPr>
      </w:pPr>
      <w:r w:rsidRPr="005B0897">
        <w:rPr>
          <w:rFonts w:ascii="Arial" w:hAnsi="Arial" w:cs="Arial"/>
          <w:b/>
        </w:rPr>
        <w:t>CLIMATE IMPACT</w:t>
      </w:r>
    </w:p>
    <w:p w14:paraId="7EA583C9" w14:textId="77777777" w:rsidR="003939A4" w:rsidRPr="001B00EA" w:rsidRDefault="003939A4" w:rsidP="001B00EA">
      <w:pPr>
        <w:pStyle w:val="Heading2"/>
      </w:pPr>
      <w:r w:rsidRPr="001B00EA">
        <w:t>Not applicable.</w:t>
      </w:r>
    </w:p>
    <w:p w14:paraId="2EBDBE64" w14:textId="77777777" w:rsidR="003939A4" w:rsidRDefault="003939A4" w:rsidP="001B00EA">
      <w:pPr>
        <w:pStyle w:val="Heading2"/>
      </w:pPr>
    </w:p>
    <w:p w14:paraId="403DCC48" w14:textId="77777777" w:rsidR="003939A4" w:rsidRPr="00D217FC" w:rsidRDefault="003939A4" w:rsidP="001B00EA">
      <w:pPr>
        <w:pStyle w:val="Heading2"/>
      </w:pPr>
      <w:r>
        <w:t xml:space="preserve">CONSISTENCY WITH </w:t>
      </w:r>
      <w:r w:rsidRPr="008C225D">
        <w:t>HUMAN RIGHTS</w:t>
      </w:r>
    </w:p>
    <w:p w14:paraId="1DD2CAB6" w14:textId="77777777" w:rsidR="003939A4" w:rsidRDefault="003939A4" w:rsidP="003939A4">
      <w:pPr>
        <w:spacing w:after="0"/>
        <w:contextualSpacing/>
        <w:jc w:val="both"/>
        <w:rPr>
          <w:rFonts w:ascii="Arial" w:hAnsi="Arial" w:cs="Arial"/>
          <w:bCs/>
        </w:rPr>
      </w:pPr>
    </w:p>
    <w:p w14:paraId="3AB778D1" w14:textId="388644AF" w:rsidR="003939A4" w:rsidRPr="008B4916" w:rsidRDefault="003939A4" w:rsidP="003939A4">
      <w:pPr>
        <w:spacing w:after="0"/>
        <w:contextualSpacing/>
        <w:jc w:val="both"/>
        <w:rPr>
          <w:rFonts w:ascii="Arial" w:hAnsi="Arial" w:cs="Arial"/>
        </w:rPr>
      </w:pPr>
      <w:r w:rsidRPr="757CC93F">
        <w:rPr>
          <w:rFonts w:ascii="Arial" w:hAnsi="Arial" w:cs="Arial"/>
        </w:rPr>
        <w:t xml:space="preserve">The Bill is not a Significant Bill. Significant Bills are bills that have been assessed as likely to have significant engagement of human rights and require more detailed reasoning in relation to compatibility with the </w:t>
      </w:r>
      <w:r w:rsidRPr="757CC93F">
        <w:rPr>
          <w:rFonts w:ascii="Arial" w:hAnsi="Arial" w:cs="Arial"/>
          <w:i/>
          <w:iCs/>
        </w:rPr>
        <w:t>Human Rights Act 2004</w:t>
      </w:r>
      <w:r w:rsidRPr="757CC93F">
        <w:rPr>
          <w:rFonts w:ascii="Arial" w:hAnsi="Arial" w:cs="Arial"/>
        </w:rPr>
        <w:t xml:space="preserve">. </w:t>
      </w:r>
      <w:r w:rsidR="00073235">
        <w:rPr>
          <w:rFonts w:ascii="Arial" w:hAnsi="Arial" w:cs="Arial"/>
        </w:rPr>
        <w:t>Th</w:t>
      </w:r>
      <w:r w:rsidR="00333D7E">
        <w:rPr>
          <w:rFonts w:ascii="Arial" w:hAnsi="Arial" w:cs="Arial"/>
        </w:rPr>
        <w:t>is</w:t>
      </w:r>
      <w:r w:rsidR="00073235">
        <w:rPr>
          <w:rFonts w:ascii="Arial" w:hAnsi="Arial" w:cs="Arial"/>
        </w:rPr>
        <w:t xml:space="preserve"> Bill does not engage human rights.</w:t>
      </w:r>
    </w:p>
    <w:p w14:paraId="667561C2" w14:textId="6A17E1E2" w:rsidR="003939A4" w:rsidRDefault="003939A4" w:rsidP="003939A4">
      <w:pPr>
        <w:rPr>
          <w:rFonts w:ascii="Arial" w:eastAsia="Arial" w:hAnsi="Arial" w:cs="Arial"/>
          <w:color w:val="000000" w:themeColor="text1"/>
        </w:rPr>
      </w:pPr>
      <w:bookmarkStart w:id="0" w:name="OLE_LINK1"/>
    </w:p>
    <w:p w14:paraId="4034499C" w14:textId="3E75709C" w:rsidR="003939A4" w:rsidRDefault="003939A4" w:rsidP="003939A4">
      <w:pPr>
        <w:rPr>
          <w:rFonts w:ascii="Arial" w:eastAsia="Arial" w:hAnsi="Arial" w:cs="Arial"/>
          <w:color w:val="000000" w:themeColor="text1"/>
        </w:rPr>
      </w:pPr>
    </w:p>
    <w:p w14:paraId="30F8C25C" w14:textId="77777777" w:rsidR="003939A4" w:rsidRPr="00CA607A" w:rsidRDefault="003939A4" w:rsidP="003939A4">
      <w:pPr>
        <w:rPr>
          <w:rFonts w:ascii="Arial" w:eastAsia="Arial" w:hAnsi="Arial" w:cs="Arial"/>
          <w:color w:val="000000" w:themeColor="text1"/>
        </w:rPr>
      </w:pPr>
      <w:r w:rsidRPr="757CC93F">
        <w:rPr>
          <w:rFonts w:cs="Arial"/>
          <w:b/>
          <w:bCs/>
          <w:sz w:val="28"/>
          <w:szCs w:val="28"/>
          <w:lang w:eastAsia="en-AU"/>
        </w:rPr>
        <w:br w:type="page"/>
      </w:r>
    </w:p>
    <w:bookmarkEnd w:id="0"/>
    <w:p w14:paraId="52451159" w14:textId="2EC3BF96" w:rsidR="003939A4" w:rsidRDefault="003939A4" w:rsidP="003939A4">
      <w:pPr>
        <w:jc w:val="center"/>
      </w:pPr>
      <w:r>
        <w:lastRenderedPageBreak/>
        <w:t>BETTER REGULATION</w:t>
      </w:r>
      <w:r w:rsidR="00EA6DF0">
        <w:t xml:space="preserve"> </w:t>
      </w:r>
      <w:r w:rsidR="00A13D78">
        <w:t xml:space="preserve">(REPEAL OF </w:t>
      </w:r>
      <w:r w:rsidR="00EA6DF0">
        <w:t>LEGISLATION</w:t>
      </w:r>
      <w:r w:rsidR="00A13D78">
        <w:t>)</w:t>
      </w:r>
      <w:r>
        <w:t xml:space="preserve"> BILL 2025  </w:t>
      </w:r>
    </w:p>
    <w:p w14:paraId="3EB75993" w14:textId="77777777" w:rsidR="003939A4" w:rsidRPr="003E5EE6" w:rsidRDefault="003939A4" w:rsidP="003939A4">
      <w:pPr>
        <w:pStyle w:val="Heading4"/>
        <w:ind w:left="-108"/>
        <w:jc w:val="center"/>
      </w:pPr>
      <w:r w:rsidRPr="003E5EE6">
        <w:t>Human Rights Act 2004 - Compatibility Statement</w:t>
      </w:r>
    </w:p>
    <w:p w14:paraId="1AF438DE" w14:textId="77777777" w:rsidR="003939A4" w:rsidRDefault="003939A4" w:rsidP="003939A4"/>
    <w:p w14:paraId="263655AC" w14:textId="77777777" w:rsidR="003939A4" w:rsidRPr="00D77995" w:rsidRDefault="003939A4" w:rsidP="003939A4"/>
    <w:p w14:paraId="0D8163BB" w14:textId="36FF831A" w:rsidR="003939A4" w:rsidRDefault="003939A4" w:rsidP="003939A4">
      <w:pPr>
        <w:rPr>
          <w:rFonts w:cs="Arial"/>
          <w:i/>
          <w:sz w:val="28"/>
          <w:szCs w:val="28"/>
        </w:rPr>
      </w:pPr>
      <w:r w:rsidRPr="00521950">
        <w:t xml:space="preserve">In accordance with section 37 of the </w:t>
      </w:r>
      <w:r w:rsidRPr="00521950">
        <w:rPr>
          <w:i/>
          <w:iCs/>
        </w:rPr>
        <w:t>Human Rights Act 2004</w:t>
      </w:r>
      <w:r w:rsidRPr="00521950">
        <w:t xml:space="preserve"> I have examined the</w:t>
      </w:r>
      <w:r>
        <w:rPr>
          <w:b/>
        </w:rPr>
        <w:t xml:space="preserve"> </w:t>
      </w:r>
      <w:r>
        <w:t xml:space="preserve">BETTER REGULATION </w:t>
      </w:r>
      <w:r w:rsidR="00A13D78">
        <w:t>(REP</w:t>
      </w:r>
      <w:r w:rsidR="001B00EA">
        <w:t>E</w:t>
      </w:r>
      <w:r w:rsidR="00A13D78">
        <w:t xml:space="preserve">AL OF </w:t>
      </w:r>
      <w:r w:rsidR="00EA6DF0">
        <w:t>LEGISLATION</w:t>
      </w:r>
      <w:r w:rsidR="00A13D78">
        <w:t>)</w:t>
      </w:r>
      <w:r w:rsidR="00EA6DF0">
        <w:t xml:space="preserve"> </w:t>
      </w:r>
      <w:r>
        <w:t>BILL 2025</w:t>
      </w:r>
      <w:r w:rsidR="00881FD2">
        <w:t xml:space="preserve"> (the Bill)</w:t>
      </w:r>
      <w:r w:rsidRPr="07A5A333">
        <w:t>.</w:t>
      </w:r>
      <w:r w:rsidRPr="00521950">
        <w:t xml:space="preserve">  In my opinion,</w:t>
      </w:r>
      <w:r>
        <w:t xml:space="preserve"> having regard to the Bill and the outline of the policy considerations and justification of any limitations on rights outlined in this explanatory statement, </w:t>
      </w:r>
      <w:r w:rsidRPr="00521950">
        <w:t>the Bill</w:t>
      </w:r>
      <w:r w:rsidRPr="005162FA">
        <w:t xml:space="preserve"> </w:t>
      </w:r>
      <w:r w:rsidRPr="00521950">
        <w:t xml:space="preserve">as presented </w:t>
      </w:r>
      <w:r>
        <w:t>to the Legislative Assembly</w:t>
      </w:r>
      <w:r>
        <w:rPr>
          <w:b/>
        </w:rPr>
        <w:t xml:space="preserve"> </w:t>
      </w:r>
      <w:r w:rsidRPr="0098551A">
        <w:rPr>
          <w:bCs/>
        </w:rPr>
        <w:t>is</w:t>
      </w:r>
      <w:r>
        <w:rPr>
          <w:b/>
        </w:rPr>
        <w:t xml:space="preserve"> </w:t>
      </w:r>
      <w:r w:rsidRPr="00521950">
        <w:t xml:space="preserve">consistent with the </w:t>
      </w:r>
      <w:r w:rsidRPr="00521950">
        <w:rPr>
          <w:i/>
          <w:iCs/>
        </w:rPr>
        <w:t>Human Rights Act 2004</w:t>
      </w:r>
      <w:r>
        <w:rPr>
          <w:i/>
          <w:iCs/>
        </w:rPr>
        <w:t>.</w:t>
      </w:r>
    </w:p>
    <w:p w14:paraId="37DBB1E9" w14:textId="77777777" w:rsidR="003939A4" w:rsidRDefault="003939A4" w:rsidP="003939A4">
      <w:pPr>
        <w:rPr>
          <w:rFonts w:cstheme="minorHAnsi"/>
        </w:rPr>
      </w:pPr>
    </w:p>
    <w:p w14:paraId="0244FB3C" w14:textId="77777777" w:rsidR="003939A4" w:rsidRDefault="003939A4" w:rsidP="003939A4">
      <w:pPr>
        <w:rPr>
          <w:rFonts w:cstheme="minorHAnsi"/>
        </w:rPr>
      </w:pPr>
    </w:p>
    <w:p w14:paraId="2B66DA21" w14:textId="77777777" w:rsidR="003939A4" w:rsidRDefault="003939A4" w:rsidP="003939A4">
      <w:pPr>
        <w:rPr>
          <w:rFonts w:cstheme="minorHAnsi"/>
        </w:rPr>
      </w:pPr>
      <w:r>
        <w:rPr>
          <w:rFonts w:cstheme="minorHAnsi"/>
        </w:rPr>
        <w:t>………………………………………………….</w:t>
      </w:r>
    </w:p>
    <w:p w14:paraId="23CAF9B6" w14:textId="77777777" w:rsidR="003939A4" w:rsidRDefault="003939A4" w:rsidP="003939A4">
      <w:pPr>
        <w:rPr>
          <w:rFonts w:cstheme="minorHAnsi"/>
        </w:rPr>
      </w:pPr>
      <w:r>
        <w:rPr>
          <w:rFonts w:cstheme="minorHAnsi"/>
        </w:rPr>
        <w:t>Tara Cheyne MLA</w:t>
      </w:r>
      <w:r>
        <w:rPr>
          <w:rFonts w:cstheme="minorHAnsi"/>
        </w:rPr>
        <w:br/>
        <w:t>Attorney-General</w:t>
      </w:r>
    </w:p>
    <w:p w14:paraId="3CDA7DCE" w14:textId="77777777" w:rsidR="003939A4" w:rsidRDefault="003939A4" w:rsidP="003939A4">
      <w:pPr>
        <w:spacing w:before="200"/>
        <w:rPr>
          <w:rFonts w:ascii="Arial" w:hAnsi="Arial" w:cs="Arial"/>
        </w:rPr>
      </w:pPr>
    </w:p>
    <w:p w14:paraId="251914A4" w14:textId="77777777" w:rsidR="003939A4" w:rsidRDefault="003939A4" w:rsidP="003939A4">
      <w:pPr>
        <w:spacing w:before="200"/>
        <w:rPr>
          <w:rFonts w:ascii="Arial" w:hAnsi="Arial" w:cs="Arial"/>
        </w:rPr>
      </w:pPr>
    </w:p>
    <w:p w14:paraId="4E399206" w14:textId="77777777" w:rsidR="003939A4" w:rsidRDefault="003939A4" w:rsidP="003939A4">
      <w:pPr>
        <w:spacing w:before="200"/>
        <w:rPr>
          <w:rFonts w:ascii="Arial" w:hAnsi="Arial" w:cs="Arial"/>
        </w:rPr>
      </w:pPr>
    </w:p>
    <w:p w14:paraId="11A3BDBC" w14:textId="77777777" w:rsidR="003939A4" w:rsidRDefault="003939A4" w:rsidP="003939A4">
      <w:pPr>
        <w:spacing w:before="200"/>
        <w:rPr>
          <w:rFonts w:ascii="Arial" w:hAnsi="Arial" w:cs="Arial"/>
        </w:rPr>
      </w:pPr>
    </w:p>
    <w:p w14:paraId="51B288B2" w14:textId="77777777" w:rsidR="003939A4" w:rsidRDefault="003939A4" w:rsidP="003939A4">
      <w:pPr>
        <w:spacing w:before="200"/>
        <w:rPr>
          <w:rFonts w:ascii="Arial" w:hAnsi="Arial" w:cs="Arial"/>
        </w:rPr>
      </w:pPr>
    </w:p>
    <w:p w14:paraId="493305BB" w14:textId="77777777" w:rsidR="003939A4" w:rsidRDefault="003939A4" w:rsidP="003939A4">
      <w:pPr>
        <w:spacing w:before="200"/>
        <w:rPr>
          <w:rFonts w:ascii="Arial" w:hAnsi="Arial" w:cs="Arial"/>
        </w:rPr>
      </w:pPr>
    </w:p>
    <w:p w14:paraId="456FB472" w14:textId="77777777" w:rsidR="003939A4" w:rsidRDefault="003939A4" w:rsidP="003939A4">
      <w:pPr>
        <w:spacing w:before="200"/>
        <w:rPr>
          <w:rFonts w:ascii="Arial" w:hAnsi="Arial" w:cs="Arial"/>
        </w:rPr>
      </w:pPr>
    </w:p>
    <w:p w14:paraId="696A4743" w14:textId="77777777" w:rsidR="003939A4" w:rsidRDefault="003939A4" w:rsidP="003939A4">
      <w:pPr>
        <w:spacing w:before="200"/>
        <w:rPr>
          <w:rFonts w:ascii="Arial" w:hAnsi="Arial" w:cs="Arial"/>
        </w:rPr>
      </w:pPr>
    </w:p>
    <w:p w14:paraId="2D3CCAFB" w14:textId="77777777" w:rsidR="003939A4" w:rsidRDefault="003939A4" w:rsidP="003939A4">
      <w:pPr>
        <w:spacing w:before="200"/>
        <w:rPr>
          <w:rFonts w:ascii="Arial" w:hAnsi="Arial" w:cs="Arial"/>
        </w:rPr>
      </w:pPr>
    </w:p>
    <w:p w14:paraId="1043B968" w14:textId="77777777" w:rsidR="003939A4" w:rsidRDefault="003939A4" w:rsidP="003939A4">
      <w:pPr>
        <w:spacing w:before="200"/>
        <w:rPr>
          <w:rFonts w:ascii="Arial" w:hAnsi="Arial" w:cs="Arial"/>
        </w:rPr>
      </w:pPr>
    </w:p>
    <w:p w14:paraId="112C836E" w14:textId="77777777" w:rsidR="003939A4" w:rsidRDefault="003939A4" w:rsidP="003939A4">
      <w:pPr>
        <w:spacing w:before="200"/>
        <w:rPr>
          <w:rFonts w:ascii="Arial" w:hAnsi="Arial" w:cs="Arial"/>
        </w:rPr>
      </w:pPr>
    </w:p>
    <w:p w14:paraId="7AA6E107" w14:textId="458724D1" w:rsidR="00C0629F" w:rsidRPr="00831974" w:rsidRDefault="003939A4" w:rsidP="001B00EA">
      <w:pPr>
        <w:pStyle w:val="Heading2"/>
      </w:pPr>
      <w:r>
        <w:tab/>
      </w:r>
    </w:p>
    <w:p w14:paraId="5E5787A5" w14:textId="333B571D" w:rsidR="0092233D" w:rsidRDefault="0092233D" w:rsidP="00C0629F">
      <w:pPr>
        <w:rPr>
          <w:rFonts w:ascii="Arial" w:hAnsi="Arial" w:cs="Arial"/>
          <w:i/>
          <w:iCs/>
        </w:rPr>
      </w:pPr>
    </w:p>
    <w:p w14:paraId="38E4A0BB" w14:textId="08995CCF" w:rsidR="006C1933" w:rsidRPr="008E4001" w:rsidRDefault="006C1933" w:rsidP="000D3F31">
      <w:pPr>
        <w:pStyle w:val="Heading1"/>
      </w:pPr>
    </w:p>
    <w:p w14:paraId="60FE323F" w14:textId="37CA9CF7" w:rsidR="006C1933" w:rsidRPr="00ED3B77" w:rsidRDefault="006C1933" w:rsidP="001B00EA">
      <w:pPr>
        <w:pStyle w:val="Heading2"/>
      </w:pPr>
      <w:r>
        <w:t>Preliminary</w:t>
      </w:r>
    </w:p>
    <w:p w14:paraId="621BB0F9" w14:textId="46E9C3E0" w:rsidR="006C1933" w:rsidRPr="00ED3B77" w:rsidRDefault="006C1933" w:rsidP="00542F77">
      <w:pPr>
        <w:pStyle w:val="Heading3"/>
        <w:numPr>
          <w:ilvl w:val="2"/>
          <w:numId w:val="17"/>
        </w:numPr>
      </w:pPr>
      <w:r w:rsidRPr="00ED3B77">
        <w:tab/>
      </w:r>
      <w:r w:rsidR="006025F1">
        <w:t>Name of the Act</w:t>
      </w:r>
    </w:p>
    <w:p w14:paraId="762FD068" w14:textId="3C77C255" w:rsidR="006025F1" w:rsidRDefault="006025F1" w:rsidP="006C1933">
      <w:pPr>
        <w:rPr>
          <w:rFonts w:ascii="Arial" w:eastAsia="Arial" w:hAnsi="Arial" w:cs="Arial"/>
          <w:color w:val="000000" w:themeColor="text1"/>
        </w:rPr>
      </w:pPr>
      <w:r w:rsidRPr="7B3E5DB3">
        <w:rPr>
          <w:rFonts w:ascii="Arial" w:eastAsia="Arial" w:hAnsi="Arial" w:cs="Arial"/>
        </w:rPr>
        <w:t xml:space="preserve">This clause provides that the name of the Act </w:t>
      </w:r>
      <w:r>
        <w:rPr>
          <w:rFonts w:ascii="Arial" w:eastAsia="Arial" w:hAnsi="Arial" w:cs="Arial"/>
        </w:rPr>
        <w:t>i</w:t>
      </w:r>
      <w:r w:rsidRPr="7B3E5DB3">
        <w:rPr>
          <w:rFonts w:ascii="Arial" w:eastAsia="Arial" w:hAnsi="Arial" w:cs="Arial"/>
        </w:rPr>
        <w:t>s the</w:t>
      </w:r>
      <w:r w:rsidRPr="7B3E5DB3">
        <w:t xml:space="preserve"> </w:t>
      </w:r>
      <w:r w:rsidRPr="7B3E5DB3">
        <w:rPr>
          <w:rFonts w:ascii="Arial" w:eastAsia="Arial" w:hAnsi="Arial" w:cs="Arial"/>
          <w:i/>
          <w:iCs/>
          <w:color w:val="000000" w:themeColor="text1"/>
        </w:rPr>
        <w:t xml:space="preserve">Better Regulation </w:t>
      </w:r>
      <w:r w:rsidR="00A13D78">
        <w:rPr>
          <w:rFonts w:ascii="Arial" w:eastAsia="Arial" w:hAnsi="Arial" w:cs="Arial"/>
          <w:i/>
          <w:iCs/>
          <w:color w:val="000000" w:themeColor="text1"/>
        </w:rPr>
        <w:t>(Repeal of Legislation)</w:t>
      </w:r>
      <w:r w:rsidR="00806709">
        <w:rPr>
          <w:rFonts w:ascii="Arial" w:eastAsia="Arial" w:hAnsi="Arial" w:cs="Arial"/>
          <w:i/>
          <w:iCs/>
          <w:color w:val="000000" w:themeColor="text1"/>
        </w:rPr>
        <w:t xml:space="preserve"> </w:t>
      </w:r>
      <w:r>
        <w:rPr>
          <w:rFonts w:ascii="Arial" w:eastAsia="Arial" w:hAnsi="Arial" w:cs="Arial"/>
          <w:i/>
          <w:iCs/>
          <w:color w:val="000000" w:themeColor="text1"/>
        </w:rPr>
        <w:t>Act</w:t>
      </w:r>
      <w:r w:rsidRPr="7B3E5DB3">
        <w:rPr>
          <w:rFonts w:ascii="Arial" w:eastAsia="Arial" w:hAnsi="Arial" w:cs="Arial"/>
          <w:i/>
          <w:iCs/>
          <w:color w:val="000000" w:themeColor="text1"/>
        </w:rPr>
        <w:t xml:space="preserve"> 2025</w:t>
      </w:r>
      <w:r>
        <w:rPr>
          <w:rFonts w:ascii="Arial" w:eastAsia="Arial" w:hAnsi="Arial" w:cs="Arial"/>
          <w:i/>
          <w:iCs/>
          <w:color w:val="000000" w:themeColor="text1"/>
        </w:rPr>
        <w:t xml:space="preserve"> </w:t>
      </w:r>
      <w:r>
        <w:rPr>
          <w:rFonts w:ascii="Arial" w:eastAsia="Arial" w:hAnsi="Arial" w:cs="Arial"/>
          <w:color w:val="000000" w:themeColor="text1"/>
        </w:rPr>
        <w:t>(the Act).</w:t>
      </w:r>
    </w:p>
    <w:p w14:paraId="0B5A5E49" w14:textId="77777777" w:rsidR="006025F1" w:rsidRPr="00ED3B77" w:rsidRDefault="006025F1" w:rsidP="006025F1">
      <w:pPr>
        <w:pStyle w:val="Heading3"/>
      </w:pPr>
      <w:r w:rsidRPr="00ED3B77">
        <w:tab/>
        <w:t>Commencement</w:t>
      </w:r>
    </w:p>
    <w:p w14:paraId="5B612B4E" w14:textId="77777777" w:rsidR="006025F1" w:rsidRDefault="006025F1" w:rsidP="006025F1">
      <w:pPr>
        <w:rPr>
          <w:rFonts w:eastAsia="Calibri" w:cs="Calibri"/>
        </w:rPr>
      </w:pPr>
      <w:r w:rsidRPr="7B3E5DB3">
        <w:rPr>
          <w:rFonts w:ascii="Arial" w:eastAsia="Arial" w:hAnsi="Arial" w:cs="Arial"/>
          <w:color w:val="000000" w:themeColor="text1"/>
        </w:rPr>
        <w:t xml:space="preserve">This clause provides for the commencement of the Act. </w:t>
      </w:r>
    </w:p>
    <w:p w14:paraId="780FA5D9" w14:textId="7CCA851F" w:rsidR="006025F1" w:rsidRPr="004A75E3" w:rsidRDefault="006025F1" w:rsidP="006C1933">
      <w:pPr>
        <w:rPr>
          <w:rFonts w:ascii="Arial" w:eastAsia="Arial" w:hAnsi="Arial" w:cs="Arial"/>
          <w:color w:val="000000" w:themeColor="text1"/>
        </w:rPr>
      </w:pPr>
      <w:r w:rsidRPr="7B3E5DB3" w:rsidDel="00007B46">
        <w:rPr>
          <w:rFonts w:ascii="Arial" w:eastAsia="Arial" w:hAnsi="Arial" w:cs="Arial"/>
          <w:color w:val="000000" w:themeColor="text1"/>
        </w:rPr>
        <w:t>This clause</w:t>
      </w:r>
      <w:r w:rsidRPr="7B3E5DB3">
        <w:rPr>
          <w:rFonts w:ascii="Arial" w:eastAsia="Arial" w:hAnsi="Arial" w:cs="Arial"/>
          <w:color w:val="000000" w:themeColor="text1"/>
        </w:rPr>
        <w:t xml:space="preserve"> provides that </w:t>
      </w:r>
      <w:r w:rsidRPr="7B3E5DB3" w:rsidDel="00C830E7">
        <w:rPr>
          <w:rFonts w:ascii="Arial" w:eastAsia="Arial" w:hAnsi="Arial" w:cs="Arial"/>
          <w:color w:val="000000" w:themeColor="text1"/>
        </w:rPr>
        <w:t>the provisions in this</w:t>
      </w:r>
      <w:r>
        <w:rPr>
          <w:rFonts w:ascii="Arial" w:eastAsia="Arial" w:hAnsi="Arial" w:cs="Arial"/>
          <w:color w:val="000000" w:themeColor="text1"/>
        </w:rPr>
        <w:t xml:space="preserve"> Act</w:t>
      </w:r>
      <w:r w:rsidR="00747830">
        <w:rPr>
          <w:rFonts w:ascii="Arial" w:eastAsia="Arial" w:hAnsi="Arial" w:cs="Arial"/>
          <w:color w:val="000000" w:themeColor="text1"/>
        </w:rPr>
        <w:t xml:space="preserve"> </w:t>
      </w:r>
      <w:r w:rsidRPr="7B3E5DB3">
        <w:rPr>
          <w:rFonts w:ascii="Arial" w:eastAsia="Arial" w:hAnsi="Arial" w:cs="Arial"/>
          <w:color w:val="000000" w:themeColor="text1"/>
        </w:rPr>
        <w:t xml:space="preserve">will commence on the </w:t>
      </w:r>
      <w:r>
        <w:rPr>
          <w:rFonts w:ascii="Arial" w:eastAsia="Arial" w:hAnsi="Arial" w:cs="Arial"/>
          <w:color w:val="000000" w:themeColor="text1"/>
        </w:rPr>
        <w:t>notification day</w:t>
      </w:r>
      <w:r w:rsidR="00A13D78">
        <w:rPr>
          <w:rFonts w:ascii="Arial" w:eastAsia="Arial" w:hAnsi="Arial" w:cs="Arial"/>
          <w:color w:val="000000" w:themeColor="text1"/>
        </w:rPr>
        <w:t>, as standard commencement (see Legislation Act, s 75(1))</w:t>
      </w:r>
      <w:r>
        <w:rPr>
          <w:rFonts w:ascii="Arial" w:eastAsia="Arial" w:hAnsi="Arial" w:cs="Arial"/>
          <w:color w:val="000000" w:themeColor="text1"/>
        </w:rPr>
        <w:t xml:space="preserve">.  </w:t>
      </w:r>
    </w:p>
    <w:p w14:paraId="3C4E5382" w14:textId="2CFFBC45" w:rsidR="006C1933" w:rsidRPr="00ED3B77" w:rsidRDefault="006C1933" w:rsidP="006C1933">
      <w:pPr>
        <w:pStyle w:val="Heading3"/>
      </w:pPr>
      <w:r>
        <w:t xml:space="preserve"> </w:t>
      </w:r>
      <w:r w:rsidR="00E6259E">
        <w:t xml:space="preserve">     </w:t>
      </w:r>
      <w:r>
        <w:t xml:space="preserve">Legislation </w:t>
      </w:r>
      <w:r w:rsidR="006051E8">
        <w:t>Repealed</w:t>
      </w:r>
    </w:p>
    <w:p w14:paraId="23E67121" w14:textId="316E66F0" w:rsidR="006C1933" w:rsidRDefault="006C1933" w:rsidP="006C1933">
      <w:pPr>
        <w:rPr>
          <w:rFonts w:ascii="Arial" w:eastAsia="Arial" w:hAnsi="Arial" w:cs="Arial"/>
          <w:color w:val="000000" w:themeColor="text1"/>
        </w:rPr>
      </w:pPr>
      <w:r w:rsidRPr="371E51D1">
        <w:rPr>
          <w:rFonts w:ascii="Arial" w:eastAsia="Arial" w:hAnsi="Arial" w:cs="Arial"/>
          <w:color w:val="000000" w:themeColor="text1"/>
        </w:rPr>
        <w:t xml:space="preserve">This clause identifies the </w:t>
      </w:r>
      <w:r>
        <w:rPr>
          <w:rFonts w:ascii="Arial" w:eastAsia="Arial" w:hAnsi="Arial" w:cs="Arial"/>
          <w:color w:val="000000" w:themeColor="text1"/>
        </w:rPr>
        <w:t>Acts</w:t>
      </w:r>
      <w:r w:rsidR="00FA5C96">
        <w:rPr>
          <w:rFonts w:ascii="Arial" w:eastAsia="Arial" w:hAnsi="Arial" w:cs="Arial"/>
          <w:color w:val="000000" w:themeColor="text1"/>
        </w:rPr>
        <w:t xml:space="preserve">, </w:t>
      </w:r>
      <w:r>
        <w:rPr>
          <w:rFonts w:ascii="Arial" w:eastAsia="Arial" w:hAnsi="Arial" w:cs="Arial"/>
          <w:color w:val="000000" w:themeColor="text1"/>
        </w:rPr>
        <w:t>Regulations</w:t>
      </w:r>
      <w:r w:rsidRPr="371E51D1">
        <w:rPr>
          <w:rFonts w:ascii="Arial" w:eastAsia="Arial" w:hAnsi="Arial" w:cs="Arial"/>
          <w:color w:val="000000" w:themeColor="text1"/>
        </w:rPr>
        <w:t xml:space="preserve"> </w:t>
      </w:r>
      <w:r w:rsidR="0009794E">
        <w:rPr>
          <w:rFonts w:ascii="Arial" w:eastAsia="Arial" w:hAnsi="Arial" w:cs="Arial"/>
          <w:color w:val="000000" w:themeColor="text1"/>
        </w:rPr>
        <w:t xml:space="preserve">and notifiable instruments </w:t>
      </w:r>
      <w:r w:rsidRPr="371E51D1">
        <w:rPr>
          <w:rFonts w:ascii="Arial" w:eastAsia="Arial" w:hAnsi="Arial" w:cs="Arial"/>
          <w:color w:val="000000" w:themeColor="text1"/>
        </w:rPr>
        <w:t xml:space="preserve">that will be </w:t>
      </w:r>
      <w:r w:rsidR="0009794E">
        <w:rPr>
          <w:rFonts w:ascii="Arial" w:eastAsia="Arial" w:hAnsi="Arial" w:cs="Arial"/>
          <w:color w:val="000000" w:themeColor="text1"/>
        </w:rPr>
        <w:t>repealed</w:t>
      </w:r>
      <w:r w:rsidRPr="371E51D1">
        <w:rPr>
          <w:rFonts w:ascii="Arial" w:eastAsia="Arial" w:hAnsi="Arial" w:cs="Arial"/>
          <w:color w:val="000000" w:themeColor="text1"/>
        </w:rPr>
        <w:t xml:space="preserve"> </w:t>
      </w:r>
      <w:r>
        <w:rPr>
          <w:rFonts w:ascii="Arial" w:eastAsia="Arial" w:hAnsi="Arial" w:cs="Arial"/>
          <w:color w:val="000000" w:themeColor="text1"/>
        </w:rPr>
        <w:t>by this Act:</w:t>
      </w:r>
    </w:p>
    <w:p w14:paraId="184ED660" w14:textId="77777777" w:rsidR="0009794E" w:rsidRPr="00806709" w:rsidRDefault="0009794E" w:rsidP="00AA4853">
      <w:pPr>
        <w:pStyle w:val="ListParagraph"/>
        <w:numPr>
          <w:ilvl w:val="0"/>
          <w:numId w:val="18"/>
        </w:numPr>
        <w:rPr>
          <w:rFonts w:ascii="Arial" w:hAnsi="Arial" w:cs="Arial"/>
          <w:i/>
          <w:sz w:val="24"/>
          <w:szCs w:val="24"/>
        </w:rPr>
      </w:pPr>
      <w:r w:rsidRPr="00806709">
        <w:rPr>
          <w:rFonts w:ascii="Arial" w:hAnsi="Arial" w:cs="Arial"/>
          <w:i/>
          <w:sz w:val="24"/>
          <w:szCs w:val="24"/>
        </w:rPr>
        <w:t xml:space="preserve">COVID-19 Emergency Response Legislation Amendment Act 2020 </w:t>
      </w:r>
    </w:p>
    <w:p w14:paraId="27F39815" w14:textId="77777777" w:rsidR="003070C6" w:rsidRDefault="003070C6" w:rsidP="003070C6">
      <w:pPr>
        <w:pStyle w:val="ListParagraph"/>
        <w:rPr>
          <w:rFonts w:ascii="Arial" w:hAnsi="Arial" w:cs="Arial"/>
          <w:i/>
          <w:sz w:val="24"/>
          <w:szCs w:val="24"/>
        </w:rPr>
      </w:pPr>
    </w:p>
    <w:p w14:paraId="0AAFCD9F" w14:textId="03553FBC" w:rsidR="003070C6" w:rsidRPr="00C66442" w:rsidRDefault="00881FD2" w:rsidP="00AA4853">
      <w:pPr>
        <w:ind w:left="720"/>
        <w:rPr>
          <w:rFonts w:ascii="Arial" w:eastAsia="Arial" w:hAnsi="Arial" w:cs="Arial"/>
          <w:color w:val="000000" w:themeColor="text1"/>
          <w:lang w:val="en-AU"/>
        </w:rPr>
      </w:pPr>
      <w:r>
        <w:rPr>
          <w:rFonts w:ascii="Arial" w:eastAsia="Arial" w:hAnsi="Arial" w:cs="Arial"/>
          <w:color w:val="000000" w:themeColor="text1"/>
          <w:lang w:val="en-AU"/>
        </w:rPr>
        <w:t xml:space="preserve">The </w:t>
      </w:r>
      <w:r w:rsidR="003070C6" w:rsidRPr="00806709">
        <w:rPr>
          <w:rFonts w:ascii="Arial" w:eastAsia="Arial" w:hAnsi="Arial" w:cs="Arial"/>
          <w:i/>
          <w:iCs/>
          <w:color w:val="000000" w:themeColor="text1"/>
          <w:lang w:val="en-AU"/>
        </w:rPr>
        <w:t>COVID-19 Emergency Response Legislation Amendment Act 2020</w:t>
      </w:r>
      <w:r w:rsidR="003070C6">
        <w:rPr>
          <w:rFonts w:ascii="Arial" w:eastAsia="Arial" w:hAnsi="Arial" w:cs="Arial"/>
          <w:color w:val="000000" w:themeColor="text1"/>
          <w:lang w:val="en-AU"/>
        </w:rPr>
        <w:t xml:space="preserve"> </w:t>
      </w:r>
      <w:r>
        <w:rPr>
          <w:rFonts w:ascii="Arial" w:eastAsia="Arial" w:hAnsi="Arial" w:cs="Arial"/>
          <w:color w:val="000000" w:themeColor="text1"/>
          <w:lang w:val="en-AU"/>
        </w:rPr>
        <w:t>(the 202</w:t>
      </w:r>
      <w:r w:rsidR="001B00EA">
        <w:rPr>
          <w:rFonts w:ascii="Arial" w:eastAsia="Arial" w:hAnsi="Arial" w:cs="Arial"/>
          <w:color w:val="000000" w:themeColor="text1"/>
          <w:lang w:val="en-AU"/>
        </w:rPr>
        <w:t>0</w:t>
      </w:r>
      <w:r>
        <w:rPr>
          <w:rFonts w:ascii="Arial" w:eastAsia="Arial" w:hAnsi="Arial" w:cs="Arial"/>
          <w:color w:val="000000" w:themeColor="text1"/>
          <w:lang w:val="en-AU"/>
        </w:rPr>
        <w:t xml:space="preserve"> Act)</w:t>
      </w:r>
      <w:r w:rsidR="003070C6" w:rsidRPr="00C66442">
        <w:rPr>
          <w:rFonts w:ascii="Arial" w:eastAsia="Arial" w:hAnsi="Arial" w:cs="Arial"/>
          <w:color w:val="000000" w:themeColor="text1"/>
          <w:lang w:val="en-AU"/>
        </w:rPr>
        <w:t xml:space="preserve"> is no longer needed</w:t>
      </w:r>
      <w:r>
        <w:rPr>
          <w:rFonts w:ascii="Arial" w:eastAsia="Arial" w:hAnsi="Arial" w:cs="Arial"/>
          <w:color w:val="000000" w:themeColor="text1"/>
          <w:lang w:val="en-AU"/>
        </w:rPr>
        <w:t xml:space="preserve"> as the relevant state of emergency has ended</w:t>
      </w:r>
      <w:r w:rsidR="003070C6" w:rsidRPr="00C66442">
        <w:rPr>
          <w:rFonts w:ascii="Arial" w:eastAsia="Arial" w:hAnsi="Arial" w:cs="Arial"/>
          <w:color w:val="000000" w:themeColor="text1"/>
          <w:lang w:val="en-AU"/>
        </w:rPr>
        <w:t>.  </w:t>
      </w:r>
    </w:p>
    <w:p w14:paraId="122A9015" w14:textId="50D282C3" w:rsidR="003070C6" w:rsidRPr="00AA4853" w:rsidRDefault="003070C6" w:rsidP="00AA4853">
      <w:pPr>
        <w:ind w:left="720"/>
        <w:rPr>
          <w:rFonts w:ascii="Arial" w:eastAsia="Arial" w:hAnsi="Arial" w:cs="Arial"/>
          <w:color w:val="000000" w:themeColor="text1"/>
          <w:lang w:val="en-AU"/>
        </w:rPr>
      </w:pPr>
      <w:r w:rsidRPr="00C66442">
        <w:rPr>
          <w:rFonts w:ascii="Arial" w:eastAsia="Arial" w:hAnsi="Arial" w:cs="Arial"/>
          <w:color w:val="000000" w:themeColor="text1"/>
          <w:lang w:val="en-AU"/>
        </w:rPr>
        <w:t xml:space="preserve">The </w:t>
      </w:r>
      <w:r w:rsidR="00881FD2">
        <w:rPr>
          <w:rFonts w:ascii="Arial" w:eastAsia="Arial" w:hAnsi="Arial" w:cs="Arial"/>
          <w:color w:val="000000" w:themeColor="text1"/>
          <w:lang w:val="en-AU"/>
        </w:rPr>
        <w:t xml:space="preserve">commencement of </w:t>
      </w:r>
      <w:r w:rsidRPr="00C66442">
        <w:rPr>
          <w:rFonts w:ascii="Arial" w:eastAsia="Arial" w:hAnsi="Arial" w:cs="Arial"/>
          <w:color w:val="000000" w:themeColor="text1"/>
          <w:lang w:val="en-AU"/>
        </w:rPr>
        <w:t xml:space="preserve">schedule 1, part 1.4 </w:t>
      </w:r>
      <w:r w:rsidR="00881FD2">
        <w:rPr>
          <w:rFonts w:ascii="Arial" w:eastAsia="Arial" w:hAnsi="Arial" w:cs="Arial"/>
          <w:color w:val="000000" w:themeColor="text1"/>
          <w:lang w:val="en-AU"/>
        </w:rPr>
        <w:t xml:space="preserve">of </w:t>
      </w:r>
      <w:r w:rsidRPr="00C66442">
        <w:rPr>
          <w:rFonts w:ascii="Arial" w:eastAsia="Arial" w:hAnsi="Arial" w:cs="Arial"/>
          <w:color w:val="000000" w:themeColor="text1"/>
          <w:lang w:val="en-AU"/>
        </w:rPr>
        <w:t xml:space="preserve">the 2020 Act is by written notice </w:t>
      </w:r>
      <w:r w:rsidR="00881FD2">
        <w:rPr>
          <w:rFonts w:ascii="Arial" w:eastAsia="Arial" w:hAnsi="Arial" w:cs="Arial"/>
          <w:color w:val="000000" w:themeColor="text1"/>
          <w:lang w:val="en-AU"/>
        </w:rPr>
        <w:t>of</w:t>
      </w:r>
      <w:r w:rsidRPr="00C66442">
        <w:rPr>
          <w:rFonts w:ascii="Arial" w:eastAsia="Arial" w:hAnsi="Arial" w:cs="Arial"/>
          <w:color w:val="000000" w:themeColor="text1"/>
          <w:lang w:val="en-AU"/>
        </w:rPr>
        <w:t xml:space="preserve"> the Minister. There is no automatic commencement date for the 2020 Act, schedule 1, part 1.4 because the Legislation Act, section 79 (Automatic commencement of postponed law) was disapplied. The amendments in schedule 1, part 1.4 have no effect unless there is a COVID-19 emergency in force or it is less than 1 month since a COVID-19 emergency was last in force. The COVID-19 emergency ended on 29 September 2022. </w:t>
      </w:r>
    </w:p>
    <w:p w14:paraId="2382CD16" w14:textId="77777777" w:rsidR="0009794E" w:rsidRDefault="0009794E" w:rsidP="0009794E">
      <w:pPr>
        <w:pStyle w:val="ListParagraph"/>
        <w:numPr>
          <w:ilvl w:val="0"/>
          <w:numId w:val="11"/>
        </w:numPr>
        <w:rPr>
          <w:rFonts w:ascii="Arial" w:hAnsi="Arial" w:cs="Arial"/>
          <w:i/>
          <w:sz w:val="24"/>
          <w:szCs w:val="24"/>
        </w:rPr>
      </w:pPr>
      <w:r w:rsidRPr="00072268">
        <w:rPr>
          <w:rFonts w:ascii="Arial" w:hAnsi="Arial" w:cs="Arial"/>
          <w:i/>
          <w:sz w:val="24"/>
          <w:szCs w:val="24"/>
        </w:rPr>
        <w:t>COVID-19 Emergency Response Legislation Amendment Act 2021</w:t>
      </w:r>
    </w:p>
    <w:p w14:paraId="443E9356" w14:textId="77777777" w:rsidR="003070C6" w:rsidRDefault="003070C6" w:rsidP="003070C6">
      <w:pPr>
        <w:rPr>
          <w:rFonts w:ascii="Arial" w:hAnsi="Arial" w:cs="Arial"/>
          <w:i/>
        </w:rPr>
      </w:pPr>
    </w:p>
    <w:p w14:paraId="272EF0CD" w14:textId="596707F3" w:rsidR="00AA4853" w:rsidRDefault="00AA4853" w:rsidP="00AA4853">
      <w:pPr>
        <w:ind w:left="720"/>
        <w:rPr>
          <w:rFonts w:ascii="Arial" w:eastAsia="Arial" w:hAnsi="Arial" w:cs="Arial"/>
          <w:color w:val="000000" w:themeColor="text1"/>
        </w:rPr>
      </w:pPr>
      <w:r>
        <w:rPr>
          <w:rFonts w:ascii="Arial" w:eastAsia="Arial" w:hAnsi="Arial" w:cs="Arial"/>
          <w:color w:val="000000" w:themeColor="text1"/>
        </w:rPr>
        <w:t>T</w:t>
      </w:r>
      <w:r w:rsidRPr="00E844C5">
        <w:rPr>
          <w:rFonts w:ascii="Arial" w:eastAsia="Arial" w:hAnsi="Arial" w:cs="Arial"/>
          <w:color w:val="000000" w:themeColor="text1"/>
        </w:rPr>
        <w:t xml:space="preserve">he </w:t>
      </w:r>
      <w:r w:rsidR="00881FD2" w:rsidRPr="00690779">
        <w:rPr>
          <w:rFonts w:ascii="Arial" w:eastAsia="Arial" w:hAnsi="Arial" w:cs="Arial"/>
          <w:i/>
          <w:iCs/>
          <w:color w:val="000000" w:themeColor="text1"/>
        </w:rPr>
        <w:t>COVID-19 Emergency Response Legislation Amendment Act 2021</w:t>
      </w:r>
      <w:r w:rsidR="00881FD2" w:rsidRPr="00690779">
        <w:rPr>
          <w:rFonts w:ascii="Arial" w:eastAsia="Arial" w:hAnsi="Arial" w:cs="Arial"/>
          <w:color w:val="000000" w:themeColor="text1"/>
        </w:rPr>
        <w:t xml:space="preserve"> (the 2021 Act)</w:t>
      </w:r>
      <w:r w:rsidRPr="00E844C5">
        <w:rPr>
          <w:rFonts w:ascii="Arial" w:eastAsia="Arial" w:hAnsi="Arial" w:cs="Arial"/>
          <w:color w:val="000000" w:themeColor="text1"/>
        </w:rPr>
        <w:t xml:space="preserve"> is no longer needed.</w:t>
      </w:r>
    </w:p>
    <w:p w14:paraId="56E4E133" w14:textId="1CFCE105" w:rsidR="003070C6" w:rsidRPr="00AA4853" w:rsidRDefault="00806709" w:rsidP="00AA4853">
      <w:pPr>
        <w:ind w:left="720"/>
        <w:rPr>
          <w:rFonts w:ascii="Arial" w:eastAsia="Arial" w:hAnsi="Arial" w:cs="Arial"/>
          <w:color w:val="000000" w:themeColor="text1"/>
          <w:lang w:val="en-AU"/>
        </w:rPr>
      </w:pPr>
      <w:r>
        <w:rPr>
          <w:rFonts w:ascii="Arial" w:eastAsia="Arial" w:hAnsi="Arial" w:cs="Arial"/>
          <w:color w:val="000000" w:themeColor="text1"/>
        </w:rPr>
        <w:t>S</w:t>
      </w:r>
      <w:r w:rsidR="00AA4853" w:rsidRPr="00690779">
        <w:rPr>
          <w:rFonts w:ascii="Arial" w:eastAsia="Arial" w:hAnsi="Arial" w:cs="Arial"/>
          <w:color w:val="000000" w:themeColor="text1"/>
        </w:rPr>
        <w:t xml:space="preserve">chedule 1, amendments 1.5 and 1.7 </w:t>
      </w:r>
      <w:r w:rsidR="007D4A54">
        <w:rPr>
          <w:rFonts w:ascii="Arial" w:eastAsia="Arial" w:hAnsi="Arial" w:cs="Arial"/>
          <w:color w:val="000000" w:themeColor="text1"/>
        </w:rPr>
        <w:t xml:space="preserve">of the Act </w:t>
      </w:r>
      <w:r w:rsidR="00AA4853" w:rsidRPr="00690779">
        <w:rPr>
          <w:rFonts w:ascii="Arial" w:eastAsia="Arial" w:hAnsi="Arial" w:cs="Arial"/>
          <w:color w:val="000000" w:themeColor="text1"/>
        </w:rPr>
        <w:t xml:space="preserve">are to commence on the commencement of amendments in the 2020 Act, schedule 1, part 1.4. </w:t>
      </w:r>
      <w:r w:rsidR="008B277B">
        <w:rPr>
          <w:rFonts w:ascii="Arial" w:eastAsia="Arial" w:hAnsi="Arial" w:cs="Arial"/>
          <w:color w:val="000000" w:themeColor="text1"/>
        </w:rPr>
        <w:t>As the</w:t>
      </w:r>
      <w:r w:rsidR="00AA4853" w:rsidRPr="00690779">
        <w:rPr>
          <w:rFonts w:ascii="Arial" w:eastAsia="Arial" w:hAnsi="Arial" w:cs="Arial"/>
          <w:color w:val="000000" w:themeColor="text1"/>
        </w:rPr>
        <w:t xml:space="preserve"> 2020 Act is repealed</w:t>
      </w:r>
      <w:r w:rsidR="008B277B">
        <w:rPr>
          <w:rFonts w:ascii="Arial" w:eastAsia="Arial" w:hAnsi="Arial" w:cs="Arial"/>
          <w:color w:val="000000" w:themeColor="text1"/>
        </w:rPr>
        <w:t>, the repeal of the 2021 is also required.</w:t>
      </w:r>
    </w:p>
    <w:p w14:paraId="6C027EE9" w14:textId="5EBD26D2" w:rsidR="0009794E" w:rsidRDefault="0009794E" w:rsidP="0009794E">
      <w:pPr>
        <w:pStyle w:val="ListParagraph"/>
        <w:numPr>
          <w:ilvl w:val="0"/>
          <w:numId w:val="2"/>
        </w:numPr>
        <w:rPr>
          <w:rFonts w:ascii="Arial" w:hAnsi="Arial" w:cs="Arial"/>
          <w:i/>
          <w:iCs/>
          <w:sz w:val="24"/>
          <w:szCs w:val="24"/>
        </w:rPr>
      </w:pPr>
      <w:r w:rsidRPr="00D9103D">
        <w:rPr>
          <w:rFonts w:ascii="Arial" w:hAnsi="Arial" w:cs="Arial"/>
          <w:i/>
          <w:iCs/>
          <w:sz w:val="24"/>
          <w:szCs w:val="24"/>
        </w:rPr>
        <w:t>Drugs in Sport Act 1999</w:t>
      </w:r>
    </w:p>
    <w:p w14:paraId="094F3CAB" w14:textId="77777777" w:rsidR="00AA4853" w:rsidRDefault="00AA4853" w:rsidP="00AA4853">
      <w:pPr>
        <w:rPr>
          <w:rFonts w:ascii="Arial" w:hAnsi="Arial" w:cs="Arial"/>
          <w:i/>
          <w:iCs/>
        </w:rPr>
      </w:pPr>
    </w:p>
    <w:p w14:paraId="70C0EB56" w14:textId="4C8D46BC" w:rsidR="00AA4853" w:rsidRPr="00AA4853" w:rsidRDefault="007D4A54" w:rsidP="00AA4853">
      <w:pPr>
        <w:ind w:left="720"/>
        <w:rPr>
          <w:rFonts w:ascii="Arial" w:eastAsia="Arial" w:hAnsi="Arial" w:cs="Arial"/>
          <w:color w:val="000000" w:themeColor="text1"/>
        </w:rPr>
      </w:pPr>
      <w:r>
        <w:rPr>
          <w:rFonts w:ascii="Arial" w:eastAsia="Arial" w:hAnsi="Arial" w:cs="Arial"/>
          <w:color w:val="000000" w:themeColor="text1"/>
        </w:rPr>
        <w:t xml:space="preserve">The </w:t>
      </w:r>
      <w:r w:rsidRPr="00806709">
        <w:rPr>
          <w:rFonts w:ascii="Arial" w:eastAsia="Arial" w:hAnsi="Arial" w:cs="Arial"/>
          <w:i/>
          <w:iCs/>
          <w:color w:val="000000" w:themeColor="text1"/>
        </w:rPr>
        <w:t xml:space="preserve">Drugs in Sport </w:t>
      </w:r>
      <w:r w:rsidR="00AA4853" w:rsidRPr="00806709">
        <w:rPr>
          <w:rFonts w:ascii="Arial" w:eastAsia="Arial" w:hAnsi="Arial" w:cs="Arial"/>
          <w:i/>
          <w:iCs/>
          <w:color w:val="000000" w:themeColor="text1"/>
        </w:rPr>
        <w:t>Act</w:t>
      </w:r>
      <w:r>
        <w:rPr>
          <w:rFonts w:ascii="Arial" w:eastAsia="Arial" w:hAnsi="Arial" w:cs="Arial"/>
          <w:i/>
          <w:iCs/>
          <w:color w:val="000000" w:themeColor="text1"/>
        </w:rPr>
        <w:t xml:space="preserve"> 1999</w:t>
      </w:r>
      <w:r w:rsidR="00AA4853" w:rsidRPr="00E844C5">
        <w:rPr>
          <w:rFonts w:ascii="Arial" w:eastAsia="Arial" w:hAnsi="Arial" w:cs="Arial"/>
          <w:color w:val="000000" w:themeColor="text1"/>
        </w:rPr>
        <w:t xml:space="preserve"> is no longer needed.</w:t>
      </w:r>
      <w:r w:rsidR="00AA4853">
        <w:rPr>
          <w:rFonts w:ascii="Arial" w:eastAsia="Arial" w:hAnsi="Arial" w:cs="Arial"/>
          <w:color w:val="000000" w:themeColor="text1"/>
        </w:rPr>
        <w:t xml:space="preserve"> </w:t>
      </w:r>
      <w:r w:rsidR="00AA4853" w:rsidRPr="00FE7D9A">
        <w:rPr>
          <w:rFonts w:ascii="Arial" w:eastAsia="Arial" w:hAnsi="Arial" w:cs="Arial"/>
          <w:color w:val="000000" w:themeColor="text1"/>
        </w:rPr>
        <w:t xml:space="preserve">The </w:t>
      </w:r>
      <w:r w:rsidR="00AA4853" w:rsidRPr="00FE7D9A">
        <w:rPr>
          <w:rFonts w:ascii="Arial" w:eastAsia="Arial" w:hAnsi="Arial" w:cs="Arial"/>
          <w:i/>
          <w:iCs/>
          <w:color w:val="000000" w:themeColor="text1"/>
        </w:rPr>
        <w:t>Drugs in Sport Act 1999</w:t>
      </w:r>
      <w:r w:rsidR="00AA4853" w:rsidRPr="00FE7D9A">
        <w:rPr>
          <w:rFonts w:ascii="Arial" w:eastAsia="Arial" w:hAnsi="Arial" w:cs="Arial"/>
          <w:color w:val="000000" w:themeColor="text1"/>
        </w:rPr>
        <w:t xml:space="preserve"> was originally enacted to confer functions and powers on the Australian Sports Drug Agency of the Commonwealth </w:t>
      </w:r>
      <w:r>
        <w:rPr>
          <w:rFonts w:ascii="Arial" w:eastAsia="Arial" w:hAnsi="Arial" w:cs="Arial"/>
          <w:color w:val="000000" w:themeColor="text1"/>
        </w:rPr>
        <w:t>about</w:t>
      </w:r>
      <w:r w:rsidR="00AA4853" w:rsidRPr="00FE7D9A">
        <w:rPr>
          <w:rFonts w:ascii="Arial" w:eastAsia="Arial" w:hAnsi="Arial" w:cs="Arial"/>
          <w:color w:val="000000" w:themeColor="text1"/>
        </w:rPr>
        <w:t xml:space="preserve"> the use of drugs and doping methods in sport, </w:t>
      </w:r>
      <w:r>
        <w:rPr>
          <w:rFonts w:ascii="Arial" w:eastAsia="Arial" w:hAnsi="Arial" w:cs="Arial"/>
          <w:color w:val="000000" w:themeColor="text1"/>
        </w:rPr>
        <w:t>by</w:t>
      </w:r>
      <w:r w:rsidR="00AA4853" w:rsidRPr="00FE7D9A">
        <w:rPr>
          <w:rFonts w:ascii="Arial" w:eastAsia="Arial" w:hAnsi="Arial" w:cs="Arial"/>
          <w:color w:val="000000" w:themeColor="text1"/>
        </w:rPr>
        <w:t xml:space="preserve"> ACT competitors. The </w:t>
      </w:r>
      <w:r w:rsidR="00AA4853" w:rsidRPr="00FE7D9A">
        <w:rPr>
          <w:rFonts w:ascii="Arial" w:eastAsia="Arial" w:hAnsi="Arial" w:cs="Arial"/>
          <w:i/>
          <w:iCs/>
          <w:color w:val="000000" w:themeColor="text1"/>
        </w:rPr>
        <w:t>Drugs in Sport Act 1999</w:t>
      </w:r>
      <w:r w:rsidR="00AA4853" w:rsidRPr="00FE7D9A">
        <w:rPr>
          <w:rFonts w:ascii="Arial" w:eastAsia="Arial" w:hAnsi="Arial" w:cs="Arial"/>
          <w:color w:val="000000" w:themeColor="text1"/>
        </w:rPr>
        <w:t xml:space="preserve"> </w:t>
      </w:r>
      <w:r w:rsidR="00AA4853" w:rsidRPr="00FE7D9A">
        <w:rPr>
          <w:rFonts w:ascii="Arial" w:eastAsia="Arial" w:hAnsi="Arial" w:cs="Arial"/>
          <w:color w:val="000000" w:themeColor="text1"/>
        </w:rPr>
        <w:lastRenderedPageBreak/>
        <w:t xml:space="preserve">complemented the </w:t>
      </w:r>
      <w:r w:rsidR="00AA4853" w:rsidRPr="00FE7D9A">
        <w:rPr>
          <w:rFonts w:ascii="Arial" w:eastAsia="Arial" w:hAnsi="Arial" w:cs="Arial"/>
          <w:i/>
          <w:iCs/>
          <w:color w:val="000000" w:themeColor="text1"/>
        </w:rPr>
        <w:t>Australian Sports Drug Agency Act 1990</w:t>
      </w:r>
      <w:r w:rsidR="00AA4853" w:rsidRPr="00FE7D9A">
        <w:rPr>
          <w:rFonts w:ascii="Arial" w:eastAsia="Arial" w:hAnsi="Arial" w:cs="Arial"/>
          <w:color w:val="000000" w:themeColor="text1"/>
        </w:rPr>
        <w:t xml:space="preserve"> (Cwlth). The </w:t>
      </w:r>
      <w:r w:rsidR="00AA4853" w:rsidRPr="00FE7D9A">
        <w:rPr>
          <w:rFonts w:ascii="Arial" w:eastAsia="Arial" w:hAnsi="Arial" w:cs="Arial"/>
          <w:i/>
          <w:iCs/>
          <w:color w:val="000000" w:themeColor="text1"/>
        </w:rPr>
        <w:t>Drugs in Sport Act 1999</w:t>
      </w:r>
      <w:r w:rsidR="00AA4853" w:rsidRPr="00FE7D9A">
        <w:rPr>
          <w:rFonts w:ascii="Arial" w:eastAsia="Arial" w:hAnsi="Arial" w:cs="Arial"/>
          <w:color w:val="000000" w:themeColor="text1"/>
        </w:rPr>
        <w:t xml:space="preserve"> has no practical effect as it has been superseded by the </w:t>
      </w:r>
      <w:r w:rsidR="00AA4853" w:rsidRPr="00FE7D9A">
        <w:rPr>
          <w:rFonts w:ascii="Arial" w:eastAsia="Arial" w:hAnsi="Arial" w:cs="Arial"/>
          <w:i/>
          <w:iCs/>
          <w:color w:val="000000" w:themeColor="text1"/>
        </w:rPr>
        <w:t>Australian Sports Anti-Doping Authority Act 2006</w:t>
      </w:r>
      <w:r w:rsidR="00AA4853" w:rsidRPr="00FE7D9A">
        <w:rPr>
          <w:rFonts w:ascii="Arial" w:eastAsia="Arial" w:hAnsi="Arial" w:cs="Arial"/>
          <w:color w:val="000000" w:themeColor="text1"/>
        </w:rPr>
        <w:t xml:space="preserve"> (Cwlth) (now titled the </w:t>
      </w:r>
      <w:r w:rsidR="00AA4853" w:rsidRPr="00FE7D9A">
        <w:rPr>
          <w:rFonts w:ascii="Arial" w:eastAsia="Arial" w:hAnsi="Arial" w:cs="Arial"/>
          <w:i/>
          <w:iCs/>
          <w:color w:val="000000" w:themeColor="text1"/>
        </w:rPr>
        <w:t>Sports Integrity Australia Act 2020</w:t>
      </w:r>
      <w:r w:rsidR="00AA4853" w:rsidRPr="00FE7D9A">
        <w:rPr>
          <w:rFonts w:ascii="Arial" w:eastAsia="Arial" w:hAnsi="Arial" w:cs="Arial"/>
          <w:color w:val="000000" w:themeColor="text1"/>
        </w:rPr>
        <w:t xml:space="preserve"> (Cwlth)).</w:t>
      </w:r>
    </w:p>
    <w:p w14:paraId="36CB9A25" w14:textId="77777777" w:rsidR="0009794E" w:rsidRDefault="0009794E" w:rsidP="0009794E">
      <w:pPr>
        <w:pStyle w:val="ListParagraph"/>
        <w:numPr>
          <w:ilvl w:val="0"/>
          <w:numId w:val="2"/>
        </w:numPr>
        <w:rPr>
          <w:rFonts w:ascii="Arial" w:hAnsi="Arial" w:cs="Arial"/>
          <w:i/>
          <w:iCs/>
          <w:sz w:val="24"/>
          <w:szCs w:val="24"/>
        </w:rPr>
      </w:pPr>
      <w:r>
        <w:rPr>
          <w:rFonts w:ascii="Arial" w:hAnsi="Arial" w:cs="Arial"/>
          <w:i/>
          <w:iCs/>
          <w:sz w:val="24"/>
          <w:szCs w:val="24"/>
        </w:rPr>
        <w:t>Hemp Fibre Industry Facilitation Act 2004</w:t>
      </w:r>
    </w:p>
    <w:p w14:paraId="54238B41" w14:textId="77777777" w:rsidR="00AA4853" w:rsidRDefault="00AA4853" w:rsidP="00AA4853">
      <w:pPr>
        <w:rPr>
          <w:rFonts w:ascii="Arial" w:hAnsi="Arial" w:cs="Arial"/>
          <w:i/>
          <w:iCs/>
        </w:rPr>
      </w:pPr>
    </w:p>
    <w:p w14:paraId="7AEC43D4" w14:textId="213792C4" w:rsidR="00AA4853" w:rsidRDefault="00AA4853" w:rsidP="00AA4853">
      <w:pPr>
        <w:pStyle w:val="paragraph"/>
        <w:spacing w:before="0" w:beforeAutospacing="0" w:after="0" w:afterAutospacing="0"/>
        <w:ind w:left="720"/>
        <w:textAlignment w:val="baseline"/>
        <w:rPr>
          <w:rStyle w:val="eop"/>
          <w:rFonts w:ascii="Arial" w:eastAsiaTheme="majorEastAsia" w:hAnsi="Arial" w:cs="Arial"/>
        </w:rPr>
      </w:pPr>
      <w:r>
        <w:rPr>
          <w:rStyle w:val="normaltextrun"/>
          <w:rFonts w:ascii="Arial" w:eastAsiaTheme="majorEastAsia" w:hAnsi="Arial" w:cs="Arial"/>
        </w:rPr>
        <w:t xml:space="preserve">The </w:t>
      </w:r>
      <w:r w:rsidRPr="00806709">
        <w:rPr>
          <w:rStyle w:val="normaltextrun"/>
          <w:rFonts w:ascii="Arial" w:eastAsiaTheme="majorEastAsia" w:hAnsi="Arial" w:cs="Arial"/>
          <w:i/>
          <w:iCs/>
        </w:rPr>
        <w:t>Hemp Fibre</w:t>
      </w:r>
      <w:r w:rsidR="007D4A54" w:rsidRPr="00806709">
        <w:rPr>
          <w:rStyle w:val="normaltextrun"/>
          <w:rFonts w:ascii="Arial" w:eastAsiaTheme="majorEastAsia" w:hAnsi="Arial" w:cs="Arial"/>
          <w:i/>
          <w:iCs/>
        </w:rPr>
        <w:t xml:space="preserve"> Industry Facilitation</w:t>
      </w:r>
      <w:r w:rsidRPr="00806709">
        <w:rPr>
          <w:rStyle w:val="normaltextrun"/>
          <w:rFonts w:ascii="Arial" w:eastAsiaTheme="majorEastAsia" w:hAnsi="Arial" w:cs="Arial"/>
          <w:i/>
          <w:iCs/>
        </w:rPr>
        <w:t xml:space="preserve"> Act</w:t>
      </w:r>
      <w:r w:rsidR="007D4A54" w:rsidRPr="00806709">
        <w:rPr>
          <w:rStyle w:val="normaltextrun"/>
          <w:rFonts w:ascii="Arial" w:eastAsiaTheme="majorEastAsia" w:hAnsi="Arial" w:cs="Arial"/>
          <w:i/>
          <w:iCs/>
        </w:rPr>
        <w:t xml:space="preserve"> 2004</w:t>
      </w:r>
      <w:r>
        <w:rPr>
          <w:rStyle w:val="normaltextrun"/>
          <w:rFonts w:ascii="Arial" w:eastAsiaTheme="majorEastAsia" w:hAnsi="Arial" w:cs="Arial"/>
        </w:rPr>
        <w:t xml:space="preserve"> </w:t>
      </w:r>
      <w:r w:rsidR="007D4A54">
        <w:rPr>
          <w:rStyle w:val="normaltextrun"/>
          <w:rFonts w:ascii="Arial" w:eastAsiaTheme="majorEastAsia" w:hAnsi="Arial" w:cs="Arial"/>
        </w:rPr>
        <w:t xml:space="preserve">(the Hemp Fibre Act) </w:t>
      </w:r>
      <w:r>
        <w:rPr>
          <w:rStyle w:val="normaltextrun"/>
          <w:rFonts w:ascii="Arial" w:eastAsiaTheme="majorEastAsia" w:hAnsi="Arial" w:cs="Arial"/>
        </w:rPr>
        <w:t xml:space="preserve">provides for a licensing scheme to produce industrial </w:t>
      </w:r>
      <w:r w:rsidR="00CF52CE">
        <w:rPr>
          <w:rStyle w:val="normaltextrun"/>
          <w:rFonts w:ascii="Arial" w:eastAsiaTheme="majorEastAsia" w:hAnsi="Arial" w:cs="Arial"/>
        </w:rPr>
        <w:t>(Low-</w:t>
      </w:r>
      <w:r>
        <w:rPr>
          <w:rStyle w:val="normaltextrun"/>
          <w:rFonts w:ascii="Arial" w:eastAsiaTheme="majorEastAsia" w:hAnsi="Arial" w:cs="Arial"/>
        </w:rPr>
        <w:t>THC</w:t>
      </w:r>
      <w:r w:rsidR="00CF52CE">
        <w:rPr>
          <w:rStyle w:val="normaltextrun"/>
          <w:rFonts w:ascii="Arial" w:eastAsiaTheme="majorEastAsia" w:hAnsi="Arial" w:cs="Arial"/>
        </w:rPr>
        <w:t>)</w:t>
      </w:r>
      <w:r>
        <w:rPr>
          <w:rStyle w:val="normaltextrun"/>
          <w:rFonts w:ascii="Arial" w:eastAsiaTheme="majorEastAsia" w:hAnsi="Arial" w:cs="Arial"/>
        </w:rPr>
        <w:t xml:space="preserve"> hemp fibre. It has no connection to cannabis production.</w:t>
      </w:r>
      <w:r>
        <w:rPr>
          <w:rStyle w:val="eop"/>
          <w:rFonts w:ascii="Arial" w:eastAsiaTheme="majorEastAsia" w:hAnsi="Arial" w:cs="Arial"/>
        </w:rPr>
        <w:t> </w:t>
      </w:r>
    </w:p>
    <w:p w14:paraId="54F31A32" w14:textId="77777777" w:rsidR="00AA4853" w:rsidRDefault="00AA4853" w:rsidP="00AA4853">
      <w:pPr>
        <w:pStyle w:val="paragraph"/>
        <w:spacing w:before="0" w:beforeAutospacing="0" w:after="0" w:afterAutospacing="0"/>
        <w:ind w:left="720"/>
        <w:textAlignment w:val="baseline"/>
        <w:rPr>
          <w:rFonts w:ascii="Segoe UI" w:hAnsi="Segoe UI" w:cs="Segoe UI"/>
          <w:sz w:val="18"/>
          <w:szCs w:val="18"/>
        </w:rPr>
      </w:pPr>
    </w:p>
    <w:p w14:paraId="0D40C583" w14:textId="3DC4ACCC" w:rsidR="00AA4853" w:rsidRDefault="00CF52CE" w:rsidP="00AA4853">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rPr>
        <w:t xml:space="preserve">The </w:t>
      </w:r>
      <w:r w:rsidR="007D4A54">
        <w:rPr>
          <w:rStyle w:val="normaltextrun"/>
          <w:rFonts w:ascii="Arial" w:eastAsiaTheme="majorEastAsia" w:hAnsi="Arial" w:cs="Arial"/>
        </w:rPr>
        <w:t xml:space="preserve">Hemp Fibre </w:t>
      </w:r>
      <w:r>
        <w:rPr>
          <w:rStyle w:val="normaltextrun"/>
          <w:rFonts w:ascii="Arial" w:eastAsiaTheme="majorEastAsia" w:hAnsi="Arial" w:cs="Arial"/>
        </w:rPr>
        <w:t>Act</w:t>
      </w:r>
      <w:r w:rsidR="00AA4853">
        <w:rPr>
          <w:rStyle w:val="normaltextrun"/>
          <w:rFonts w:ascii="Arial" w:eastAsiaTheme="majorEastAsia" w:hAnsi="Arial" w:cs="Arial"/>
        </w:rPr>
        <w:t xml:space="preserve"> is being repealed because there is no viable</w:t>
      </w:r>
      <w:r w:rsidR="007D4A54">
        <w:rPr>
          <w:rStyle w:val="normaltextrun"/>
          <w:rFonts w:ascii="Arial" w:eastAsiaTheme="majorEastAsia" w:hAnsi="Arial" w:cs="Arial"/>
        </w:rPr>
        <w:t xml:space="preserve"> hemp fibre</w:t>
      </w:r>
      <w:r w:rsidR="00AA4853">
        <w:rPr>
          <w:rStyle w:val="normaltextrun"/>
          <w:rFonts w:ascii="Arial" w:eastAsiaTheme="majorEastAsia" w:hAnsi="Arial" w:cs="Arial"/>
        </w:rPr>
        <w:t xml:space="preserve"> industry within the region due to</w:t>
      </w:r>
      <w:r w:rsidR="001B00EA">
        <w:rPr>
          <w:rStyle w:val="normaltextrun"/>
          <w:rFonts w:ascii="Arial" w:eastAsiaTheme="majorEastAsia" w:hAnsi="Arial" w:cs="Arial"/>
        </w:rPr>
        <w:t xml:space="preserve"> </w:t>
      </w:r>
      <w:r>
        <w:rPr>
          <w:rStyle w:val="normaltextrun"/>
          <w:rFonts w:ascii="Arial" w:eastAsiaTheme="majorEastAsia" w:hAnsi="Arial" w:cs="Arial"/>
        </w:rPr>
        <w:t>a lack of interest from rural lessees in cultivating industrial hemp and to climatic issues which means that Canberra’s climate is not conductive to a viable hemp fibre industry</w:t>
      </w:r>
      <w:r w:rsidR="00AA4853">
        <w:rPr>
          <w:rStyle w:val="normaltextrun"/>
          <w:rFonts w:ascii="Arial" w:eastAsiaTheme="majorEastAsia" w:hAnsi="Arial" w:cs="Arial"/>
        </w:rPr>
        <w:t xml:space="preserve">. No rural lease holders have </w:t>
      </w:r>
      <w:r>
        <w:rPr>
          <w:rStyle w:val="normaltextrun"/>
          <w:rFonts w:ascii="Arial" w:eastAsiaTheme="majorEastAsia" w:hAnsi="Arial" w:cs="Arial"/>
        </w:rPr>
        <w:t xml:space="preserve">ever </w:t>
      </w:r>
      <w:r w:rsidR="00AA4853">
        <w:rPr>
          <w:rStyle w:val="normaltextrun"/>
          <w:rFonts w:ascii="Arial" w:eastAsiaTheme="majorEastAsia" w:hAnsi="Arial" w:cs="Arial"/>
        </w:rPr>
        <w:t>applied for a</w:t>
      </w:r>
      <w:r>
        <w:rPr>
          <w:rStyle w:val="normaltextrun"/>
          <w:rFonts w:ascii="Arial" w:eastAsiaTheme="majorEastAsia" w:hAnsi="Arial" w:cs="Arial"/>
        </w:rPr>
        <w:t xml:space="preserve"> licence under the Hemp Fibre Act</w:t>
      </w:r>
      <w:r w:rsidR="00AA4853">
        <w:rPr>
          <w:rStyle w:val="normaltextrun"/>
          <w:rFonts w:ascii="Arial" w:eastAsiaTheme="majorEastAsia" w:hAnsi="Arial" w:cs="Arial"/>
        </w:rPr>
        <w:t xml:space="preserve">. This repeal will lessen </w:t>
      </w:r>
      <w:r>
        <w:rPr>
          <w:rStyle w:val="normaltextrun"/>
          <w:rFonts w:ascii="Arial" w:eastAsiaTheme="majorEastAsia" w:hAnsi="Arial" w:cs="Arial"/>
        </w:rPr>
        <w:t xml:space="preserve">the </w:t>
      </w:r>
      <w:r w:rsidR="00AA4853">
        <w:rPr>
          <w:rStyle w:val="normaltextrun"/>
          <w:rFonts w:ascii="Arial" w:eastAsiaTheme="majorEastAsia" w:hAnsi="Arial" w:cs="Arial"/>
        </w:rPr>
        <w:t xml:space="preserve">burden on the government from having to respond to </w:t>
      </w:r>
      <w:r>
        <w:rPr>
          <w:rStyle w:val="normaltextrun"/>
          <w:rFonts w:ascii="Arial" w:eastAsiaTheme="majorEastAsia" w:hAnsi="Arial" w:cs="Arial"/>
        </w:rPr>
        <w:t xml:space="preserve">inquiries about </w:t>
      </w:r>
      <w:r w:rsidR="00AA4853">
        <w:rPr>
          <w:rStyle w:val="normaltextrun"/>
          <w:rFonts w:ascii="Arial" w:eastAsiaTheme="majorEastAsia" w:hAnsi="Arial" w:cs="Arial"/>
        </w:rPr>
        <w:t xml:space="preserve">applications for </w:t>
      </w:r>
      <w:r>
        <w:rPr>
          <w:rStyle w:val="normaltextrun"/>
          <w:rFonts w:ascii="Arial" w:eastAsiaTheme="majorEastAsia" w:hAnsi="Arial" w:cs="Arial"/>
        </w:rPr>
        <w:t xml:space="preserve">hemp fibre </w:t>
      </w:r>
      <w:r w:rsidR="00AA4853">
        <w:rPr>
          <w:rStyle w:val="normaltextrun"/>
          <w:rFonts w:ascii="Arial" w:eastAsiaTheme="majorEastAsia" w:hAnsi="Arial" w:cs="Arial"/>
        </w:rPr>
        <w:t>licen</w:t>
      </w:r>
      <w:r>
        <w:rPr>
          <w:rStyle w:val="normaltextrun"/>
          <w:rFonts w:ascii="Arial" w:eastAsiaTheme="majorEastAsia" w:hAnsi="Arial" w:cs="Arial"/>
        </w:rPr>
        <w:t>c</w:t>
      </w:r>
      <w:r w:rsidR="00AA4853">
        <w:rPr>
          <w:rStyle w:val="normaltextrun"/>
          <w:rFonts w:ascii="Arial" w:eastAsiaTheme="majorEastAsia" w:hAnsi="Arial" w:cs="Arial"/>
        </w:rPr>
        <w:t>es that are inappropriate.</w:t>
      </w:r>
    </w:p>
    <w:p w14:paraId="64FDE2A2" w14:textId="77777777" w:rsidR="00AA4853" w:rsidRPr="00AA4853" w:rsidRDefault="00AA4853" w:rsidP="00AA4853">
      <w:pPr>
        <w:rPr>
          <w:rFonts w:ascii="Arial" w:hAnsi="Arial" w:cs="Arial"/>
          <w:i/>
          <w:iCs/>
        </w:rPr>
      </w:pPr>
    </w:p>
    <w:p w14:paraId="3BE54DB1" w14:textId="77777777" w:rsidR="0009794E" w:rsidRPr="00AA4853" w:rsidRDefault="0009794E" w:rsidP="0009794E">
      <w:pPr>
        <w:pStyle w:val="ListParagraph"/>
        <w:numPr>
          <w:ilvl w:val="0"/>
          <w:numId w:val="2"/>
        </w:numPr>
        <w:rPr>
          <w:rFonts w:ascii="Arial" w:hAnsi="Arial" w:cs="Arial"/>
          <w:sz w:val="24"/>
          <w:szCs w:val="24"/>
        </w:rPr>
      </w:pPr>
      <w:r w:rsidRPr="371E51D1">
        <w:rPr>
          <w:rFonts w:ascii="Arial" w:hAnsi="Arial" w:cs="Arial"/>
          <w:i/>
          <w:iCs/>
          <w:sz w:val="24"/>
          <w:szCs w:val="24"/>
        </w:rPr>
        <w:t>Magistrates Court (Fair Trading Motor Vehicle Repair Industry Infringement Notices) Regulation 2012</w:t>
      </w:r>
    </w:p>
    <w:p w14:paraId="43F41811" w14:textId="77777777" w:rsidR="00AA4853" w:rsidRDefault="00AA4853" w:rsidP="00AA4853">
      <w:pPr>
        <w:pStyle w:val="ListParagraph"/>
        <w:rPr>
          <w:rFonts w:ascii="Arial" w:hAnsi="Arial" w:cs="Arial"/>
          <w:sz w:val="24"/>
          <w:szCs w:val="24"/>
        </w:rPr>
      </w:pPr>
    </w:p>
    <w:p w14:paraId="6227FA31" w14:textId="01D21B0A" w:rsidR="00B307ED" w:rsidRPr="00AA4853" w:rsidRDefault="00B307ED" w:rsidP="00B307ED">
      <w:pPr>
        <w:pStyle w:val="ListParagraph"/>
        <w:rPr>
          <w:rFonts w:ascii="Arial" w:hAnsi="Arial" w:cs="Arial"/>
          <w:sz w:val="24"/>
          <w:szCs w:val="24"/>
        </w:rPr>
      </w:pPr>
      <w:r w:rsidRPr="00B307ED">
        <w:rPr>
          <w:rFonts w:ascii="Arial" w:hAnsi="Arial" w:cs="Arial"/>
          <w:sz w:val="24"/>
          <w:szCs w:val="24"/>
        </w:rPr>
        <w:t xml:space="preserve">All infringement notice offences under this regulation were repealed in 2016 (when the </w:t>
      </w:r>
      <w:r w:rsidRPr="001B00EA">
        <w:rPr>
          <w:rFonts w:ascii="Arial" w:hAnsi="Arial" w:cs="Arial"/>
          <w:i/>
          <w:iCs/>
          <w:sz w:val="24"/>
          <w:szCs w:val="24"/>
        </w:rPr>
        <w:t>Traders (Licensing) Act 2016</w:t>
      </w:r>
      <w:r w:rsidRPr="00B307ED">
        <w:rPr>
          <w:rFonts w:ascii="Arial" w:hAnsi="Arial" w:cs="Arial"/>
          <w:sz w:val="24"/>
          <w:szCs w:val="24"/>
        </w:rPr>
        <w:t xml:space="preserve"> was enacted).</w:t>
      </w:r>
      <w:r w:rsidR="007D4A54">
        <w:rPr>
          <w:rFonts w:ascii="Arial" w:hAnsi="Arial" w:cs="Arial"/>
          <w:sz w:val="24"/>
          <w:szCs w:val="24"/>
        </w:rPr>
        <w:t xml:space="preserve"> Therefore, this regulation is no longer needed.</w:t>
      </w:r>
    </w:p>
    <w:p w14:paraId="2E386128" w14:textId="77777777" w:rsidR="00AA4853" w:rsidRPr="00AA4853" w:rsidRDefault="00AA4853" w:rsidP="00AA4853">
      <w:pPr>
        <w:rPr>
          <w:rFonts w:ascii="Arial" w:hAnsi="Arial" w:cs="Arial"/>
        </w:rPr>
      </w:pPr>
    </w:p>
    <w:p w14:paraId="66E24761" w14:textId="77777777" w:rsidR="0009794E" w:rsidRPr="003668B6" w:rsidRDefault="0009794E" w:rsidP="0009794E">
      <w:pPr>
        <w:pStyle w:val="ListParagraph"/>
        <w:numPr>
          <w:ilvl w:val="0"/>
          <w:numId w:val="2"/>
        </w:numPr>
        <w:rPr>
          <w:rFonts w:ascii="Arial" w:hAnsi="Arial" w:cs="Arial"/>
          <w:i/>
          <w:iCs/>
          <w:sz w:val="24"/>
          <w:szCs w:val="24"/>
        </w:rPr>
      </w:pPr>
      <w:r w:rsidRPr="009309BA">
        <w:rPr>
          <w:rFonts w:ascii="Arial" w:hAnsi="Arial" w:cs="Arial"/>
          <w:sz w:val="24"/>
          <w:szCs w:val="24"/>
        </w:rPr>
        <w:t>Notifiable instruments</w:t>
      </w:r>
      <w:r>
        <w:rPr>
          <w:rFonts w:ascii="Arial" w:hAnsi="Arial" w:cs="Arial"/>
          <w:sz w:val="24"/>
          <w:szCs w:val="24"/>
        </w:rPr>
        <w:t>, listed below,</w:t>
      </w:r>
      <w:r w:rsidRPr="009309BA">
        <w:rPr>
          <w:rFonts w:ascii="Arial" w:hAnsi="Arial" w:cs="Arial"/>
          <w:sz w:val="24"/>
          <w:szCs w:val="24"/>
        </w:rPr>
        <w:t xml:space="preserve"> made under the</w:t>
      </w:r>
      <w:r w:rsidRPr="003A3988">
        <w:rPr>
          <w:rFonts w:ascii="Arial" w:hAnsi="Arial" w:cs="Arial"/>
          <w:i/>
          <w:iCs/>
          <w:sz w:val="24"/>
          <w:szCs w:val="24"/>
        </w:rPr>
        <w:t xml:space="preserve"> Public Interest Disclosure Act 2012, </w:t>
      </w:r>
      <w:r w:rsidRPr="00A9286C">
        <w:rPr>
          <w:rFonts w:ascii="Arial" w:hAnsi="Arial" w:cs="Arial"/>
          <w:sz w:val="24"/>
          <w:szCs w:val="24"/>
        </w:rPr>
        <w:t>section 11</w:t>
      </w:r>
      <w:r>
        <w:rPr>
          <w:rFonts w:ascii="Arial" w:hAnsi="Arial" w:cs="Arial"/>
          <w:i/>
          <w:iCs/>
          <w:sz w:val="24"/>
          <w:szCs w:val="24"/>
        </w:rPr>
        <w:t>:</w:t>
      </w:r>
    </w:p>
    <w:p w14:paraId="11D94A67"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ACT Health Directorate) Declaration 2019 (No 1) (NI2019-279) </w:t>
      </w:r>
    </w:p>
    <w:p w14:paraId="5808160D"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ACT Human Rights Commission) Declaration 2020 (No 1) (NI2020-628) </w:t>
      </w:r>
    </w:p>
    <w:p w14:paraId="4942D93F"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Calvary Health Care Public) Declaration 2018 (No 1) (NI2018-564) </w:t>
      </w:r>
    </w:p>
    <w:p w14:paraId="24952EA3"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Canberra Health Services) Declaration 2019 (No 2) (NI2019-530) </w:t>
      </w:r>
    </w:p>
    <w:p w14:paraId="0A2AFA83"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Canberra Institute of Technology) Declaration 2018 (No 1) (NI2018-587) </w:t>
      </w:r>
    </w:p>
    <w:p w14:paraId="2DD91828"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2013 (No 9) (NI2013-578) </w:t>
      </w:r>
    </w:p>
    <w:p w14:paraId="7C808295"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2015 (No 5) (NI2015-629) </w:t>
      </w:r>
    </w:p>
    <w:p w14:paraId="691E75FA"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2016 (No 5) (NI2016-649) </w:t>
      </w:r>
    </w:p>
    <w:p w14:paraId="50A0EEBB" w14:textId="77777777" w:rsidR="0009794E" w:rsidRPr="003668B6"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2017 (No 3) (NI2017-666) </w:t>
      </w:r>
    </w:p>
    <w:p w14:paraId="48F35FE3"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2018 (No 2) (NI2018-126) </w:t>
      </w:r>
    </w:p>
    <w:p w14:paraId="3BB26D25"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lastRenderedPageBreak/>
        <w:t xml:space="preserve">Public Interest Disclosure (Designated Disclosure Officer) Declaration 2018 (No 3) (NI2018-388) </w:t>
      </w:r>
    </w:p>
    <w:p w14:paraId="4711EA93"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2018 (No 4) (NI2018-484) </w:t>
      </w:r>
    </w:p>
    <w:p w14:paraId="1560E3D8"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2019 (No 1) (NI2019-56) </w:t>
      </w:r>
    </w:p>
    <w:p w14:paraId="41119229" w14:textId="3BB1BD12"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Public Interest Disclosure (Designated Disclosure Officer) Declaration 2019 (No 2) (NI2019-392</w:t>
      </w:r>
      <w:r w:rsidR="001B00EA">
        <w:rPr>
          <w:rFonts w:ascii="Arial" w:hAnsi="Arial" w:cs="Arial"/>
          <w:i/>
          <w:iCs/>
          <w:sz w:val="24"/>
          <w:szCs w:val="24"/>
        </w:rPr>
        <w:t>)</w:t>
      </w:r>
      <w:r w:rsidRPr="00831974">
        <w:rPr>
          <w:rFonts w:ascii="Arial" w:hAnsi="Arial" w:cs="Arial"/>
          <w:i/>
          <w:iCs/>
          <w:sz w:val="24"/>
          <w:szCs w:val="24"/>
        </w:rPr>
        <w:t xml:space="preserve"> </w:t>
      </w:r>
    </w:p>
    <w:p w14:paraId="5A210DAD"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2019 (No 3) (NI2019-415) </w:t>
      </w:r>
    </w:p>
    <w:p w14:paraId="41169D6F"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2019 (No 4) (NI2019-465) </w:t>
      </w:r>
    </w:p>
    <w:p w14:paraId="1BA28145"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2019 (No 5) (NI2019-464) </w:t>
      </w:r>
    </w:p>
    <w:p w14:paraId="4445F4A8"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2019 (No 6) (NI2019-590) </w:t>
      </w:r>
    </w:p>
    <w:p w14:paraId="4AC79A89"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2020 (No 1) (NI2020-152) </w:t>
      </w:r>
    </w:p>
    <w:p w14:paraId="66805AE0"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Declaration 2020 (No 2) (NI2020-349) </w:t>
      </w:r>
    </w:p>
    <w:p w14:paraId="652B2CCC"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Director of Public Prosecutions) Declaration 2019 (No 1) (NI2019-439) </w:t>
      </w:r>
    </w:p>
    <w:p w14:paraId="44627DC1"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Officer—JACS) Declaration 2018 (No 1) (NI2018-465) </w:t>
      </w:r>
    </w:p>
    <w:p w14:paraId="117F2152" w14:textId="77777777" w:rsidR="0009794E" w:rsidRPr="00831974" w:rsidRDefault="0009794E" w:rsidP="0009794E">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MPC) Declaration 2019 (No 1) (NI2019-642) </w:t>
      </w:r>
    </w:p>
    <w:p w14:paraId="3328B76F" w14:textId="7C004E94" w:rsidR="005D607A" w:rsidRDefault="0009794E" w:rsidP="00AA4853">
      <w:pPr>
        <w:pStyle w:val="ListParagraph"/>
        <w:numPr>
          <w:ilvl w:val="1"/>
          <w:numId w:val="2"/>
        </w:numPr>
        <w:rPr>
          <w:rFonts w:ascii="Arial" w:hAnsi="Arial" w:cs="Arial"/>
          <w:i/>
          <w:iCs/>
          <w:sz w:val="24"/>
          <w:szCs w:val="24"/>
        </w:rPr>
      </w:pPr>
      <w:r w:rsidRPr="00831974">
        <w:rPr>
          <w:rFonts w:ascii="Arial" w:hAnsi="Arial" w:cs="Arial"/>
          <w:i/>
          <w:iCs/>
          <w:sz w:val="24"/>
          <w:szCs w:val="24"/>
        </w:rPr>
        <w:t xml:space="preserve">Public Interest Disclosure (Designated Disclosure Officer – TCCS) Declaration 2020 (No 1) (NI2020-384) </w:t>
      </w:r>
    </w:p>
    <w:p w14:paraId="7410BA27" w14:textId="77777777" w:rsidR="00AA4853" w:rsidRPr="00AA4853" w:rsidRDefault="00AA4853" w:rsidP="00AA4853">
      <w:pPr>
        <w:pStyle w:val="ListParagraph"/>
        <w:ind w:left="1440"/>
        <w:rPr>
          <w:rFonts w:ascii="Arial" w:hAnsi="Arial" w:cs="Arial"/>
          <w:i/>
          <w:iCs/>
          <w:sz w:val="24"/>
          <w:szCs w:val="24"/>
        </w:rPr>
      </w:pPr>
    </w:p>
    <w:p w14:paraId="49E4F3EE" w14:textId="4C66059E" w:rsidR="00837857" w:rsidRPr="00837857" w:rsidRDefault="00837857" w:rsidP="00AA4853">
      <w:pPr>
        <w:ind w:left="720"/>
        <w:rPr>
          <w:rFonts w:ascii="Arial" w:hAnsi="Arial" w:cs="Arial"/>
        </w:rPr>
      </w:pPr>
      <w:r w:rsidRPr="00837857">
        <w:rPr>
          <w:rFonts w:ascii="Arial" w:hAnsi="Arial" w:cs="Arial"/>
        </w:rPr>
        <w:t xml:space="preserve">This repeals 24 notifiable instruments made under the </w:t>
      </w:r>
      <w:r w:rsidRPr="00BC2E7B">
        <w:rPr>
          <w:rFonts w:ascii="Arial" w:hAnsi="Arial" w:cs="Arial"/>
          <w:i/>
          <w:iCs/>
        </w:rPr>
        <w:t>Public Interest Disclosure Act 2012</w:t>
      </w:r>
      <w:r w:rsidRPr="00837857">
        <w:rPr>
          <w:rFonts w:ascii="Arial" w:hAnsi="Arial" w:cs="Arial"/>
        </w:rPr>
        <w:t xml:space="preserve">, section 11, listed in Clause 3 of this Bill, as they are no longer needed. </w:t>
      </w:r>
    </w:p>
    <w:p w14:paraId="431F8E96" w14:textId="42B15779" w:rsidR="00837857" w:rsidRPr="00837857" w:rsidRDefault="00837857" w:rsidP="00AA4853">
      <w:pPr>
        <w:ind w:left="720"/>
        <w:rPr>
          <w:rFonts w:ascii="Arial" w:hAnsi="Arial" w:cs="Arial"/>
        </w:rPr>
      </w:pPr>
      <w:r w:rsidRPr="00837857">
        <w:rPr>
          <w:rFonts w:ascii="Arial" w:hAnsi="Arial" w:cs="Arial"/>
        </w:rPr>
        <w:t xml:space="preserve">The </w:t>
      </w:r>
      <w:r w:rsidRPr="00BC2E7B">
        <w:rPr>
          <w:rFonts w:ascii="Arial" w:hAnsi="Arial" w:cs="Arial"/>
          <w:i/>
          <w:iCs/>
        </w:rPr>
        <w:t>Public Interest Disclosure Amendment Act 2020</w:t>
      </w:r>
      <w:r w:rsidRPr="00837857">
        <w:rPr>
          <w:rFonts w:ascii="Arial" w:hAnsi="Arial" w:cs="Arial"/>
        </w:rPr>
        <w:t xml:space="preserve"> amended the </w:t>
      </w:r>
      <w:r w:rsidRPr="00BC2E7B">
        <w:rPr>
          <w:rFonts w:ascii="Arial" w:hAnsi="Arial" w:cs="Arial"/>
          <w:i/>
          <w:iCs/>
        </w:rPr>
        <w:t>Public Interest Disclosure Act 2012</w:t>
      </w:r>
      <w:r w:rsidRPr="00837857">
        <w:rPr>
          <w:rFonts w:ascii="Arial" w:hAnsi="Arial" w:cs="Arial"/>
        </w:rPr>
        <w:t>, section 11 to remove the requirement for declarations of disclosure</w:t>
      </w:r>
      <w:r w:rsidR="005563C0">
        <w:rPr>
          <w:rFonts w:ascii="Arial" w:hAnsi="Arial" w:cs="Arial"/>
        </w:rPr>
        <w:t xml:space="preserve"> officers</w:t>
      </w:r>
      <w:r w:rsidRPr="00837857">
        <w:rPr>
          <w:rFonts w:ascii="Arial" w:hAnsi="Arial" w:cs="Arial"/>
        </w:rPr>
        <w:t xml:space="preserve"> to be notifiable instruments.</w:t>
      </w:r>
    </w:p>
    <w:sectPr w:rsidR="00837857" w:rsidRPr="00837857" w:rsidSect="003939A4">
      <w:headerReference w:type="default" r:id="rId13"/>
      <w:footerReference w:type="default" r:id="rId14"/>
      <w:headerReference w:type="firs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E599" w14:textId="77777777" w:rsidR="00990D13" w:rsidRDefault="00990D13" w:rsidP="00E23EDB">
      <w:pPr>
        <w:spacing w:after="0" w:line="240" w:lineRule="auto"/>
      </w:pPr>
      <w:r>
        <w:separator/>
      </w:r>
    </w:p>
  </w:endnote>
  <w:endnote w:type="continuationSeparator" w:id="0">
    <w:p w14:paraId="1291FEFD" w14:textId="77777777" w:rsidR="00990D13" w:rsidRDefault="00990D13" w:rsidP="00E23EDB">
      <w:pPr>
        <w:spacing w:after="0" w:line="240" w:lineRule="auto"/>
      </w:pPr>
      <w:r>
        <w:continuationSeparator/>
      </w:r>
    </w:p>
  </w:endnote>
  <w:endnote w:type="continuationNotice" w:id="1">
    <w:p w14:paraId="5F29BC2E" w14:textId="77777777" w:rsidR="00990D13" w:rsidRDefault="00990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D607A" w14:paraId="2D2B5FF8" w14:textId="77777777" w:rsidTr="005D607A">
      <w:trPr>
        <w:trHeight w:val="300"/>
      </w:trPr>
      <w:tc>
        <w:tcPr>
          <w:tcW w:w="3005" w:type="dxa"/>
        </w:tcPr>
        <w:p w14:paraId="56AD88DE" w14:textId="77777777" w:rsidR="005D607A" w:rsidRDefault="005D607A" w:rsidP="005D607A">
          <w:pPr>
            <w:pStyle w:val="Header"/>
            <w:ind w:left="-115"/>
          </w:pPr>
        </w:p>
      </w:tc>
      <w:tc>
        <w:tcPr>
          <w:tcW w:w="3005" w:type="dxa"/>
        </w:tcPr>
        <w:p w14:paraId="5A68A090" w14:textId="77777777" w:rsidR="005D607A" w:rsidRDefault="005D607A" w:rsidP="005D607A">
          <w:pPr>
            <w:pStyle w:val="Header"/>
            <w:jc w:val="center"/>
          </w:pPr>
        </w:p>
      </w:tc>
      <w:tc>
        <w:tcPr>
          <w:tcW w:w="3005" w:type="dxa"/>
        </w:tcPr>
        <w:p w14:paraId="7AE48E13" w14:textId="77777777" w:rsidR="005D607A" w:rsidRDefault="005D607A" w:rsidP="005D607A">
          <w:pPr>
            <w:pStyle w:val="Header"/>
            <w:ind w:right="-115"/>
            <w:jc w:val="right"/>
          </w:pPr>
        </w:p>
      </w:tc>
    </w:tr>
  </w:tbl>
  <w:p w14:paraId="740D8AAD" w14:textId="554D02FA" w:rsidR="005D607A" w:rsidRPr="00417676" w:rsidRDefault="00485BA0" w:rsidP="00485BA0">
    <w:pPr>
      <w:pStyle w:val="Header"/>
      <w:jc w:val="center"/>
      <w:rPr>
        <w:rFonts w:ascii="Arial" w:hAnsi="Arial" w:cs="Arial"/>
        <w:sz w:val="14"/>
        <w:szCs w:val="32"/>
      </w:rPr>
    </w:pPr>
    <w:r w:rsidRPr="00417676">
      <w:rPr>
        <w:rFonts w:ascii="Arial" w:hAnsi="Arial" w:cs="Arial"/>
        <w:sz w:val="14"/>
        <w:szCs w:val="32"/>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2A9F" w14:textId="77777777" w:rsidR="005D607A" w:rsidRDefault="005D607A">
    <w:pPr>
      <w:pStyle w:val="Footer"/>
      <w:jc w:val="right"/>
    </w:pPr>
  </w:p>
  <w:p w14:paraId="184A0F39" w14:textId="77777777" w:rsidR="005D607A" w:rsidRPr="00DC5912" w:rsidRDefault="005D607A" w:rsidP="005D6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DFF4" w14:textId="77777777" w:rsidR="005D607A" w:rsidRDefault="005D607A" w:rsidP="005D607A">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7128F234" w14:textId="4AE0BA90" w:rsidR="00485BA0" w:rsidRPr="00485BA0" w:rsidRDefault="00485BA0" w:rsidP="00485BA0">
    <w:pPr>
      <w:pStyle w:val="Footer"/>
      <w:spacing w:before="60" w:line="240" w:lineRule="auto"/>
      <w:jc w:val="center"/>
      <w:rPr>
        <w:rFonts w:cs="Arial"/>
        <w:sz w:val="14"/>
      </w:rPr>
    </w:pPr>
    <w:r w:rsidRPr="00485BA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AEE2" w14:textId="77777777" w:rsidR="005D607A" w:rsidRDefault="005D607A">
    <w:pPr>
      <w:pStyle w:val="Footer"/>
      <w:jc w:val="right"/>
    </w:pPr>
    <w:r>
      <w:fldChar w:fldCharType="begin"/>
    </w:r>
    <w:r>
      <w:instrText xml:space="preserve"> PAGE   \* MERGEFORMAT </w:instrText>
    </w:r>
    <w:r>
      <w:fldChar w:fldCharType="separate"/>
    </w:r>
    <w:r>
      <w:rPr>
        <w:noProof/>
      </w:rPr>
      <w:t>1</w:t>
    </w:r>
    <w:r>
      <w:fldChar w:fldCharType="end"/>
    </w:r>
  </w:p>
  <w:p w14:paraId="48826CF1" w14:textId="4E9A3E7B" w:rsidR="00485BA0" w:rsidRPr="00485BA0" w:rsidRDefault="00485BA0" w:rsidP="00485BA0">
    <w:pPr>
      <w:pStyle w:val="Footer"/>
      <w:jc w:val="center"/>
      <w:rPr>
        <w:rFonts w:cs="Arial"/>
        <w:sz w:val="14"/>
      </w:rPr>
    </w:pPr>
    <w:r w:rsidRPr="00485BA0">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2037" w14:textId="77777777" w:rsidR="00990D13" w:rsidRDefault="00990D13" w:rsidP="00E23EDB">
      <w:pPr>
        <w:spacing w:after="0" w:line="240" w:lineRule="auto"/>
      </w:pPr>
      <w:r>
        <w:separator/>
      </w:r>
    </w:p>
  </w:footnote>
  <w:footnote w:type="continuationSeparator" w:id="0">
    <w:p w14:paraId="7049AB09" w14:textId="77777777" w:rsidR="00990D13" w:rsidRDefault="00990D13" w:rsidP="00E23EDB">
      <w:pPr>
        <w:spacing w:after="0" w:line="240" w:lineRule="auto"/>
      </w:pPr>
      <w:r>
        <w:continuationSeparator/>
      </w:r>
    </w:p>
  </w:footnote>
  <w:footnote w:type="continuationNotice" w:id="1">
    <w:p w14:paraId="32D82953" w14:textId="77777777" w:rsidR="00990D13" w:rsidRDefault="00990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D607A" w14:paraId="46647597" w14:textId="77777777" w:rsidTr="005D607A">
      <w:trPr>
        <w:trHeight w:val="300"/>
      </w:trPr>
      <w:tc>
        <w:tcPr>
          <w:tcW w:w="3005" w:type="dxa"/>
        </w:tcPr>
        <w:p w14:paraId="5223A00F" w14:textId="77777777" w:rsidR="005D607A" w:rsidRDefault="005D607A" w:rsidP="005D607A">
          <w:pPr>
            <w:pStyle w:val="Header"/>
            <w:ind w:left="-115"/>
          </w:pPr>
        </w:p>
      </w:tc>
      <w:tc>
        <w:tcPr>
          <w:tcW w:w="3005" w:type="dxa"/>
        </w:tcPr>
        <w:p w14:paraId="3BC04068" w14:textId="77777777" w:rsidR="005D607A" w:rsidRDefault="005D607A" w:rsidP="005D607A">
          <w:pPr>
            <w:pStyle w:val="Header"/>
            <w:jc w:val="center"/>
          </w:pPr>
        </w:p>
      </w:tc>
      <w:tc>
        <w:tcPr>
          <w:tcW w:w="3005" w:type="dxa"/>
        </w:tcPr>
        <w:p w14:paraId="5973B144" w14:textId="77777777" w:rsidR="005D607A" w:rsidRDefault="005D607A" w:rsidP="005D607A">
          <w:pPr>
            <w:pStyle w:val="Header"/>
            <w:ind w:right="-115"/>
            <w:jc w:val="right"/>
          </w:pPr>
        </w:p>
      </w:tc>
    </w:tr>
  </w:tbl>
  <w:p w14:paraId="16FFED50" w14:textId="77777777" w:rsidR="005D607A" w:rsidRDefault="005D6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D607A" w14:paraId="79A30075" w14:textId="77777777" w:rsidTr="005D607A">
      <w:trPr>
        <w:trHeight w:val="300"/>
      </w:trPr>
      <w:tc>
        <w:tcPr>
          <w:tcW w:w="3005" w:type="dxa"/>
        </w:tcPr>
        <w:p w14:paraId="0BC1CC86" w14:textId="77777777" w:rsidR="005D607A" w:rsidRDefault="005D607A" w:rsidP="005D607A">
          <w:pPr>
            <w:pStyle w:val="Header"/>
            <w:ind w:left="-115"/>
          </w:pPr>
        </w:p>
      </w:tc>
      <w:tc>
        <w:tcPr>
          <w:tcW w:w="3005" w:type="dxa"/>
        </w:tcPr>
        <w:p w14:paraId="24CFD911" w14:textId="61297B63" w:rsidR="005D607A" w:rsidRPr="00EF15ED" w:rsidRDefault="005D607A" w:rsidP="00EF15ED">
          <w:pPr>
            <w:pStyle w:val="Header"/>
            <w:jc w:val="center"/>
            <w:rPr>
              <w:b/>
              <w:bCs/>
              <w:color w:val="FF0000"/>
              <w:sz w:val="32"/>
              <w:szCs w:val="32"/>
            </w:rPr>
          </w:pPr>
        </w:p>
      </w:tc>
      <w:tc>
        <w:tcPr>
          <w:tcW w:w="3005" w:type="dxa"/>
        </w:tcPr>
        <w:p w14:paraId="54C73758" w14:textId="77777777" w:rsidR="005D607A" w:rsidRDefault="005D607A" w:rsidP="005D607A">
          <w:pPr>
            <w:pStyle w:val="Header"/>
            <w:ind w:right="-115"/>
            <w:jc w:val="right"/>
          </w:pPr>
        </w:p>
      </w:tc>
    </w:tr>
  </w:tbl>
  <w:p w14:paraId="7D55925E" w14:textId="77777777" w:rsidR="005D607A" w:rsidRDefault="005D6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gridCol w:w="3005"/>
    </w:tblGrid>
    <w:tr w:rsidR="00EF15ED" w14:paraId="6ECFAF89" w14:textId="77777777" w:rsidTr="00EF15ED">
      <w:trPr>
        <w:trHeight w:val="300"/>
      </w:trPr>
      <w:tc>
        <w:tcPr>
          <w:tcW w:w="3005" w:type="dxa"/>
        </w:tcPr>
        <w:p w14:paraId="0B9CAE1D" w14:textId="77777777" w:rsidR="00EF15ED" w:rsidRDefault="00EF15ED" w:rsidP="005D607A">
          <w:pPr>
            <w:pStyle w:val="Header"/>
            <w:ind w:left="-115"/>
          </w:pPr>
        </w:p>
      </w:tc>
      <w:tc>
        <w:tcPr>
          <w:tcW w:w="3005" w:type="dxa"/>
        </w:tcPr>
        <w:p w14:paraId="25FA332C" w14:textId="2D602204" w:rsidR="00EF15ED" w:rsidRPr="00EF15ED" w:rsidRDefault="00EF15ED" w:rsidP="00EF15ED">
          <w:pPr>
            <w:pStyle w:val="Header"/>
            <w:jc w:val="center"/>
            <w:rPr>
              <w:b/>
              <w:bCs/>
              <w:color w:val="FF0000"/>
              <w:sz w:val="32"/>
              <w:szCs w:val="32"/>
            </w:rPr>
          </w:pPr>
        </w:p>
      </w:tc>
      <w:tc>
        <w:tcPr>
          <w:tcW w:w="3005" w:type="dxa"/>
        </w:tcPr>
        <w:p w14:paraId="14D03786" w14:textId="69E8E085" w:rsidR="00EF15ED" w:rsidRDefault="00EF15ED" w:rsidP="005D607A">
          <w:pPr>
            <w:pStyle w:val="Header"/>
            <w:jc w:val="center"/>
          </w:pPr>
        </w:p>
      </w:tc>
      <w:tc>
        <w:tcPr>
          <w:tcW w:w="3005" w:type="dxa"/>
        </w:tcPr>
        <w:p w14:paraId="12EED0DF" w14:textId="77777777" w:rsidR="00EF15ED" w:rsidRDefault="00EF15ED" w:rsidP="005D607A">
          <w:pPr>
            <w:pStyle w:val="Header"/>
            <w:ind w:right="-115"/>
            <w:jc w:val="right"/>
          </w:pPr>
        </w:p>
      </w:tc>
    </w:tr>
  </w:tbl>
  <w:p w14:paraId="308E0146" w14:textId="77777777" w:rsidR="005D607A" w:rsidRDefault="005D6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72B9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BB62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C26229"/>
    <w:multiLevelType w:val="hybridMultilevel"/>
    <w:tmpl w:val="0C7EBFC6"/>
    <w:lvl w:ilvl="0" w:tplc="9CAE3FDA">
      <w:start w:val="1"/>
      <w:numFmt w:val="decimal"/>
      <w:lvlText w:val="%1."/>
      <w:lvlJc w:val="left"/>
      <w:pPr>
        <w:ind w:left="1080" w:hanging="360"/>
      </w:pPr>
    </w:lvl>
    <w:lvl w:ilvl="1" w:tplc="EA3C8F1E">
      <w:start w:val="1"/>
      <w:numFmt w:val="decimal"/>
      <w:lvlText w:val="%2."/>
      <w:lvlJc w:val="left"/>
      <w:pPr>
        <w:ind w:left="1080" w:hanging="360"/>
      </w:pPr>
    </w:lvl>
    <w:lvl w:ilvl="2" w:tplc="1522FC34">
      <w:start w:val="1"/>
      <w:numFmt w:val="decimal"/>
      <w:lvlText w:val="%3."/>
      <w:lvlJc w:val="left"/>
      <w:pPr>
        <w:ind w:left="1080" w:hanging="360"/>
      </w:pPr>
    </w:lvl>
    <w:lvl w:ilvl="3" w:tplc="1E8E6E58">
      <w:start w:val="1"/>
      <w:numFmt w:val="decimal"/>
      <w:lvlText w:val="%4."/>
      <w:lvlJc w:val="left"/>
      <w:pPr>
        <w:ind w:left="1080" w:hanging="360"/>
      </w:pPr>
    </w:lvl>
    <w:lvl w:ilvl="4" w:tplc="C5D4EA2C">
      <w:start w:val="1"/>
      <w:numFmt w:val="decimal"/>
      <w:lvlText w:val="%5."/>
      <w:lvlJc w:val="left"/>
      <w:pPr>
        <w:ind w:left="1080" w:hanging="360"/>
      </w:pPr>
    </w:lvl>
    <w:lvl w:ilvl="5" w:tplc="48CAD492">
      <w:start w:val="1"/>
      <w:numFmt w:val="decimal"/>
      <w:lvlText w:val="%6."/>
      <w:lvlJc w:val="left"/>
      <w:pPr>
        <w:ind w:left="1080" w:hanging="360"/>
      </w:pPr>
    </w:lvl>
    <w:lvl w:ilvl="6" w:tplc="8EB66568">
      <w:start w:val="1"/>
      <w:numFmt w:val="decimal"/>
      <w:lvlText w:val="%7."/>
      <w:lvlJc w:val="left"/>
      <w:pPr>
        <w:ind w:left="1080" w:hanging="360"/>
      </w:pPr>
    </w:lvl>
    <w:lvl w:ilvl="7" w:tplc="DA4C344C">
      <w:start w:val="1"/>
      <w:numFmt w:val="decimal"/>
      <w:lvlText w:val="%8."/>
      <w:lvlJc w:val="left"/>
      <w:pPr>
        <w:ind w:left="1080" w:hanging="360"/>
      </w:pPr>
    </w:lvl>
    <w:lvl w:ilvl="8" w:tplc="9D182522">
      <w:start w:val="1"/>
      <w:numFmt w:val="decimal"/>
      <w:lvlText w:val="%9."/>
      <w:lvlJc w:val="left"/>
      <w:pPr>
        <w:ind w:left="1080" w:hanging="360"/>
      </w:pPr>
    </w:lvl>
  </w:abstractNum>
  <w:abstractNum w:abstractNumId="4" w15:restartNumberingAfterBreak="0">
    <w:nsid w:val="20547E44"/>
    <w:multiLevelType w:val="multilevel"/>
    <w:tmpl w:val="FB1C1298"/>
    <w:lvl w:ilvl="0">
      <w:start w:val="1"/>
      <w:numFmt w:val="none"/>
      <w:pStyle w:val="Heading1"/>
      <w:suff w:val="space"/>
      <w:lvlText w:val="Clause Notes"/>
      <w:lvlJc w:val="left"/>
      <w:pPr>
        <w:ind w:left="0" w:firstLine="0"/>
      </w:pPr>
    </w:lvl>
    <w:lvl w:ilvl="1">
      <w:start w:val="1"/>
      <w:numFmt w:val="decimal"/>
      <w:lvlRestart w:val="0"/>
      <w:suff w:val="space"/>
      <w:lvlText w:val="Part %2"/>
      <w:lvlJc w:val="left"/>
      <w:pPr>
        <w:ind w:left="0" w:firstLine="0"/>
      </w:pPr>
    </w:lvl>
    <w:lvl w:ilvl="2">
      <w:start w:val="1"/>
      <w:numFmt w:val="decimal"/>
      <w:lvlRestart w:val="0"/>
      <w:pStyle w:val="Heading3"/>
      <w:suff w:val="nothing"/>
      <w:lvlText w:val="Clause %3"/>
      <w:lvlJc w:val="left"/>
      <w:pPr>
        <w:ind w:left="0" w:firstLine="0"/>
      </w:pPr>
      <w:rPr>
        <w:rFonts w:ascii="Arial Bold" w:hAnsi="Arial Bold" w:hint="default"/>
        <w:b/>
        <w:i w:val="0"/>
        <w:sz w:val="24"/>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2122EAF1"/>
    <w:multiLevelType w:val="hybridMultilevel"/>
    <w:tmpl w:val="F7CE3AE4"/>
    <w:lvl w:ilvl="0" w:tplc="A3DA791C">
      <w:start w:val="1"/>
      <w:numFmt w:val="bullet"/>
      <w:lvlText w:val=""/>
      <w:lvlJc w:val="left"/>
      <w:pPr>
        <w:ind w:left="720" w:hanging="360"/>
      </w:pPr>
      <w:rPr>
        <w:rFonts w:ascii="Symbol" w:hAnsi="Symbol" w:hint="default"/>
      </w:rPr>
    </w:lvl>
    <w:lvl w:ilvl="1" w:tplc="96FCBD1E">
      <w:start w:val="1"/>
      <w:numFmt w:val="bullet"/>
      <w:lvlText w:val="o"/>
      <w:lvlJc w:val="left"/>
      <w:pPr>
        <w:ind w:left="1440" w:hanging="360"/>
      </w:pPr>
      <w:rPr>
        <w:rFonts w:ascii="Courier New" w:hAnsi="Courier New" w:hint="default"/>
      </w:rPr>
    </w:lvl>
    <w:lvl w:ilvl="2" w:tplc="C74C5D0E">
      <w:start w:val="1"/>
      <w:numFmt w:val="bullet"/>
      <w:lvlText w:val=""/>
      <w:lvlJc w:val="left"/>
      <w:pPr>
        <w:ind w:left="2160" w:hanging="360"/>
      </w:pPr>
      <w:rPr>
        <w:rFonts w:ascii="Wingdings" w:hAnsi="Wingdings" w:hint="default"/>
      </w:rPr>
    </w:lvl>
    <w:lvl w:ilvl="3" w:tplc="605CFCDA">
      <w:start w:val="1"/>
      <w:numFmt w:val="bullet"/>
      <w:lvlText w:val=""/>
      <w:lvlJc w:val="left"/>
      <w:pPr>
        <w:ind w:left="2880" w:hanging="360"/>
      </w:pPr>
      <w:rPr>
        <w:rFonts w:ascii="Symbol" w:hAnsi="Symbol" w:hint="default"/>
      </w:rPr>
    </w:lvl>
    <w:lvl w:ilvl="4" w:tplc="0388BF86">
      <w:start w:val="1"/>
      <w:numFmt w:val="bullet"/>
      <w:lvlText w:val="o"/>
      <w:lvlJc w:val="left"/>
      <w:pPr>
        <w:ind w:left="3600" w:hanging="360"/>
      </w:pPr>
      <w:rPr>
        <w:rFonts w:ascii="Courier New" w:hAnsi="Courier New" w:hint="default"/>
      </w:rPr>
    </w:lvl>
    <w:lvl w:ilvl="5" w:tplc="EE408BD4">
      <w:start w:val="1"/>
      <w:numFmt w:val="bullet"/>
      <w:lvlText w:val=""/>
      <w:lvlJc w:val="left"/>
      <w:pPr>
        <w:ind w:left="4320" w:hanging="360"/>
      </w:pPr>
      <w:rPr>
        <w:rFonts w:ascii="Wingdings" w:hAnsi="Wingdings" w:hint="default"/>
      </w:rPr>
    </w:lvl>
    <w:lvl w:ilvl="6" w:tplc="B640644C">
      <w:start w:val="1"/>
      <w:numFmt w:val="bullet"/>
      <w:lvlText w:val=""/>
      <w:lvlJc w:val="left"/>
      <w:pPr>
        <w:ind w:left="5040" w:hanging="360"/>
      </w:pPr>
      <w:rPr>
        <w:rFonts w:ascii="Symbol" w:hAnsi="Symbol" w:hint="default"/>
      </w:rPr>
    </w:lvl>
    <w:lvl w:ilvl="7" w:tplc="0CDE1C0E">
      <w:start w:val="1"/>
      <w:numFmt w:val="bullet"/>
      <w:lvlText w:val="o"/>
      <w:lvlJc w:val="left"/>
      <w:pPr>
        <w:ind w:left="5760" w:hanging="360"/>
      </w:pPr>
      <w:rPr>
        <w:rFonts w:ascii="Courier New" w:hAnsi="Courier New" w:hint="default"/>
      </w:rPr>
    </w:lvl>
    <w:lvl w:ilvl="8" w:tplc="CA8AB180">
      <w:start w:val="1"/>
      <w:numFmt w:val="bullet"/>
      <w:lvlText w:val=""/>
      <w:lvlJc w:val="left"/>
      <w:pPr>
        <w:ind w:left="6480" w:hanging="360"/>
      </w:pPr>
      <w:rPr>
        <w:rFonts w:ascii="Wingdings" w:hAnsi="Wingdings" w:hint="default"/>
      </w:rPr>
    </w:lvl>
  </w:abstractNum>
  <w:abstractNum w:abstractNumId="6" w15:restartNumberingAfterBreak="0">
    <w:nsid w:val="2EEB23D2"/>
    <w:multiLevelType w:val="hybridMultilevel"/>
    <w:tmpl w:val="9BE41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7B45F1"/>
    <w:multiLevelType w:val="hybridMultilevel"/>
    <w:tmpl w:val="1ED08F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6E4C1B"/>
    <w:multiLevelType w:val="hybridMultilevel"/>
    <w:tmpl w:val="DBF25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AC1BB1"/>
    <w:multiLevelType w:val="hybridMultilevel"/>
    <w:tmpl w:val="0A9A0872"/>
    <w:lvl w:ilvl="0" w:tplc="24CCFB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870E89"/>
    <w:multiLevelType w:val="hybridMultilevel"/>
    <w:tmpl w:val="B0F67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E06BC4"/>
    <w:multiLevelType w:val="hybridMultilevel"/>
    <w:tmpl w:val="EFA8A1A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7D10C09"/>
    <w:multiLevelType w:val="hybridMultilevel"/>
    <w:tmpl w:val="B608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EF6178"/>
    <w:multiLevelType w:val="hybridMultilevel"/>
    <w:tmpl w:val="B0F67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242A89"/>
    <w:multiLevelType w:val="multilevel"/>
    <w:tmpl w:val="FE48D3A6"/>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360" w:hanging="340"/>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num w:numId="1" w16cid:durableId="485321631">
    <w:abstractNumId w:val="2"/>
  </w:num>
  <w:num w:numId="2" w16cid:durableId="690424089">
    <w:abstractNumId w:val="5"/>
  </w:num>
  <w:num w:numId="3" w16cid:durableId="134567193">
    <w:abstractNumId w:val="3"/>
  </w:num>
  <w:num w:numId="4" w16cid:durableId="1753313540">
    <w:abstractNumId w:val="14"/>
  </w:num>
  <w:num w:numId="5" w16cid:durableId="1369912614">
    <w:abstractNumId w:val="0"/>
  </w:num>
  <w:num w:numId="6" w16cid:durableId="168524106">
    <w:abstractNumId w:val="1"/>
  </w:num>
  <w:num w:numId="7" w16cid:durableId="829323934">
    <w:abstractNumId w:val="8"/>
  </w:num>
  <w:num w:numId="8" w16cid:durableId="962540032">
    <w:abstractNumId w:val="10"/>
  </w:num>
  <w:num w:numId="9" w16cid:durableId="1919056114">
    <w:abstractNumId w:val="13"/>
  </w:num>
  <w:num w:numId="10" w16cid:durableId="1019623484">
    <w:abstractNumId w:val="9"/>
  </w:num>
  <w:num w:numId="11" w16cid:durableId="482279931">
    <w:abstractNumId w:val="6"/>
  </w:num>
  <w:num w:numId="12" w16cid:durableId="1297024880">
    <w:abstractNumId w:val="7"/>
  </w:num>
  <w:num w:numId="13" w16cid:durableId="2116097891">
    <w:abstractNumId w:val="11"/>
  </w:num>
  <w:num w:numId="14" w16cid:durableId="1120297864">
    <w:abstractNumId w:val="4"/>
  </w:num>
  <w:num w:numId="15" w16cid:durableId="182285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3804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235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47490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FFE42E"/>
    <w:rsid w:val="000273F6"/>
    <w:rsid w:val="00040820"/>
    <w:rsid w:val="00043479"/>
    <w:rsid w:val="0004509D"/>
    <w:rsid w:val="000608F4"/>
    <w:rsid w:val="00066DF9"/>
    <w:rsid w:val="00073235"/>
    <w:rsid w:val="0008201B"/>
    <w:rsid w:val="0009794E"/>
    <w:rsid w:val="000A52D7"/>
    <w:rsid w:val="000B1AA4"/>
    <w:rsid w:val="000B3093"/>
    <w:rsid w:val="000C3D95"/>
    <w:rsid w:val="000D3F31"/>
    <w:rsid w:val="000F3651"/>
    <w:rsid w:val="0013551B"/>
    <w:rsid w:val="00150189"/>
    <w:rsid w:val="0015211E"/>
    <w:rsid w:val="00165755"/>
    <w:rsid w:val="001B00EA"/>
    <w:rsid w:val="001B5D45"/>
    <w:rsid w:val="001E2277"/>
    <w:rsid w:val="001F3F51"/>
    <w:rsid w:val="0027683A"/>
    <w:rsid w:val="002771C6"/>
    <w:rsid w:val="00281C6F"/>
    <w:rsid w:val="002D248F"/>
    <w:rsid w:val="002D4439"/>
    <w:rsid w:val="002F1BCD"/>
    <w:rsid w:val="002F1C22"/>
    <w:rsid w:val="00304641"/>
    <w:rsid w:val="00305F5C"/>
    <w:rsid w:val="003070C6"/>
    <w:rsid w:val="00333D7E"/>
    <w:rsid w:val="0035641B"/>
    <w:rsid w:val="003723B7"/>
    <w:rsid w:val="00381C23"/>
    <w:rsid w:val="003939A4"/>
    <w:rsid w:val="004068C7"/>
    <w:rsid w:val="004134A7"/>
    <w:rsid w:val="00417676"/>
    <w:rsid w:val="00426052"/>
    <w:rsid w:val="00435F31"/>
    <w:rsid w:val="00450B9C"/>
    <w:rsid w:val="0045530E"/>
    <w:rsid w:val="00485BA0"/>
    <w:rsid w:val="004B52B5"/>
    <w:rsid w:val="004E3874"/>
    <w:rsid w:val="004F0EF1"/>
    <w:rsid w:val="00500C74"/>
    <w:rsid w:val="00510362"/>
    <w:rsid w:val="00530123"/>
    <w:rsid w:val="00542F77"/>
    <w:rsid w:val="00546E46"/>
    <w:rsid w:val="005563C0"/>
    <w:rsid w:val="00577FF3"/>
    <w:rsid w:val="00586327"/>
    <w:rsid w:val="005C15FF"/>
    <w:rsid w:val="005D199D"/>
    <w:rsid w:val="005D607A"/>
    <w:rsid w:val="006021AB"/>
    <w:rsid w:val="006025F1"/>
    <w:rsid w:val="006051E8"/>
    <w:rsid w:val="006263CF"/>
    <w:rsid w:val="00640CA3"/>
    <w:rsid w:val="00642338"/>
    <w:rsid w:val="00690779"/>
    <w:rsid w:val="006A5CFF"/>
    <w:rsid w:val="006B6911"/>
    <w:rsid w:val="006C1933"/>
    <w:rsid w:val="006C45D0"/>
    <w:rsid w:val="00712700"/>
    <w:rsid w:val="007403C8"/>
    <w:rsid w:val="00747830"/>
    <w:rsid w:val="007639EB"/>
    <w:rsid w:val="00773EFC"/>
    <w:rsid w:val="007D4A54"/>
    <w:rsid w:val="007E2C11"/>
    <w:rsid w:val="007E3BF2"/>
    <w:rsid w:val="00801EB8"/>
    <w:rsid w:val="00805BB9"/>
    <w:rsid w:val="00806709"/>
    <w:rsid w:val="008107DA"/>
    <w:rsid w:val="00815D63"/>
    <w:rsid w:val="00825985"/>
    <w:rsid w:val="00827E8F"/>
    <w:rsid w:val="00837857"/>
    <w:rsid w:val="00851561"/>
    <w:rsid w:val="00880702"/>
    <w:rsid w:val="00881FD2"/>
    <w:rsid w:val="0089068E"/>
    <w:rsid w:val="00892F5A"/>
    <w:rsid w:val="008B277B"/>
    <w:rsid w:val="008E4001"/>
    <w:rsid w:val="0091427C"/>
    <w:rsid w:val="0092233D"/>
    <w:rsid w:val="00944D7A"/>
    <w:rsid w:val="00947E1A"/>
    <w:rsid w:val="009532B7"/>
    <w:rsid w:val="00962573"/>
    <w:rsid w:val="00986148"/>
    <w:rsid w:val="00990D13"/>
    <w:rsid w:val="00990EAD"/>
    <w:rsid w:val="009A38B9"/>
    <w:rsid w:val="009B450B"/>
    <w:rsid w:val="009F49A0"/>
    <w:rsid w:val="00A0323D"/>
    <w:rsid w:val="00A13D78"/>
    <w:rsid w:val="00A14BD7"/>
    <w:rsid w:val="00A425EE"/>
    <w:rsid w:val="00A73129"/>
    <w:rsid w:val="00A87555"/>
    <w:rsid w:val="00A95104"/>
    <w:rsid w:val="00AA4853"/>
    <w:rsid w:val="00AA564C"/>
    <w:rsid w:val="00AD51C8"/>
    <w:rsid w:val="00AD7177"/>
    <w:rsid w:val="00AF629D"/>
    <w:rsid w:val="00B011BD"/>
    <w:rsid w:val="00B14B9E"/>
    <w:rsid w:val="00B307ED"/>
    <w:rsid w:val="00B540F7"/>
    <w:rsid w:val="00B54CAB"/>
    <w:rsid w:val="00B741C0"/>
    <w:rsid w:val="00B96096"/>
    <w:rsid w:val="00BB4E7B"/>
    <w:rsid w:val="00BC2E7B"/>
    <w:rsid w:val="00C0629F"/>
    <w:rsid w:val="00C21DFB"/>
    <w:rsid w:val="00C2246A"/>
    <w:rsid w:val="00C33018"/>
    <w:rsid w:val="00C37C9F"/>
    <w:rsid w:val="00C66442"/>
    <w:rsid w:val="00C9061C"/>
    <w:rsid w:val="00C96B26"/>
    <w:rsid w:val="00CA72E5"/>
    <w:rsid w:val="00CC36BA"/>
    <w:rsid w:val="00CC4A3F"/>
    <w:rsid w:val="00CC7119"/>
    <w:rsid w:val="00CE1764"/>
    <w:rsid w:val="00CF52CE"/>
    <w:rsid w:val="00D04FFB"/>
    <w:rsid w:val="00D20561"/>
    <w:rsid w:val="00D26827"/>
    <w:rsid w:val="00D72B7D"/>
    <w:rsid w:val="00DA7485"/>
    <w:rsid w:val="00DB6226"/>
    <w:rsid w:val="00DC67E2"/>
    <w:rsid w:val="00DC7F68"/>
    <w:rsid w:val="00DE3D93"/>
    <w:rsid w:val="00DF388F"/>
    <w:rsid w:val="00E15FC9"/>
    <w:rsid w:val="00E23EDB"/>
    <w:rsid w:val="00E4364F"/>
    <w:rsid w:val="00E55BAE"/>
    <w:rsid w:val="00E6259E"/>
    <w:rsid w:val="00E8237D"/>
    <w:rsid w:val="00E844C5"/>
    <w:rsid w:val="00E84CA7"/>
    <w:rsid w:val="00E87593"/>
    <w:rsid w:val="00EA6DF0"/>
    <w:rsid w:val="00ED0397"/>
    <w:rsid w:val="00ED2C16"/>
    <w:rsid w:val="00EF15ED"/>
    <w:rsid w:val="00F05B98"/>
    <w:rsid w:val="00F26728"/>
    <w:rsid w:val="00F279FD"/>
    <w:rsid w:val="00F538A2"/>
    <w:rsid w:val="00F8092E"/>
    <w:rsid w:val="00F81993"/>
    <w:rsid w:val="00FA5C96"/>
    <w:rsid w:val="00FB6229"/>
    <w:rsid w:val="00FE2937"/>
    <w:rsid w:val="00FE7D9A"/>
    <w:rsid w:val="1A73D2D3"/>
    <w:rsid w:val="64FFE42E"/>
    <w:rsid w:val="76F8D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FE42E"/>
  <w15:chartTrackingRefBased/>
  <w15:docId w15:val="{5925AF8B-BFB3-48BA-96C8-B807143C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119"/>
    <w:pPr>
      <w:keepNext/>
      <w:keepLines/>
      <w:numPr>
        <w:numId w:val="16"/>
      </w:numPr>
      <w:spacing w:before="360" w:after="80"/>
      <w:outlineLvl w:val="0"/>
    </w:pPr>
    <w:rPr>
      <w:rFonts w:ascii="Arial" w:eastAsiaTheme="majorEastAsia" w:hAnsi="Arial" w:cstheme="majorBidi"/>
      <w:b/>
      <w:szCs w:val="40"/>
    </w:rPr>
  </w:style>
  <w:style w:type="paragraph" w:styleId="Heading2">
    <w:name w:val="heading 2"/>
    <w:basedOn w:val="Normal"/>
    <w:next w:val="Normal"/>
    <w:link w:val="Heading2Char"/>
    <w:autoRedefine/>
    <w:unhideWhenUsed/>
    <w:qFormat/>
    <w:rsid w:val="001B00EA"/>
    <w:pPr>
      <w:keepNext/>
      <w:keepLines/>
      <w:shd w:val="clear" w:color="auto" w:fill="FFFFFF"/>
      <w:spacing w:before="160" w:after="240"/>
      <w:outlineLvl w:val="1"/>
    </w:pPr>
    <w:rPr>
      <w:rFonts w:ascii="Arial" w:hAnsi="Arial" w:cs="Arial"/>
      <w:bCs/>
      <w:iCs/>
    </w:rPr>
  </w:style>
  <w:style w:type="paragraph" w:styleId="Heading3">
    <w:name w:val="heading 3"/>
    <w:basedOn w:val="Normal"/>
    <w:next w:val="Normal"/>
    <w:link w:val="Heading3Char"/>
    <w:autoRedefine/>
    <w:unhideWhenUsed/>
    <w:qFormat/>
    <w:rsid w:val="00CC7119"/>
    <w:pPr>
      <w:keepNext/>
      <w:keepLines/>
      <w:numPr>
        <w:ilvl w:val="2"/>
        <w:numId w:val="16"/>
      </w:numPr>
      <w:spacing w:before="160" w:after="80"/>
      <w:outlineLvl w:val="2"/>
    </w:pPr>
    <w:rPr>
      <w:rFonts w:ascii="Arial" w:eastAsiaTheme="majorEastAsia" w:hAnsi="Arial" w:cstheme="majorBidi"/>
      <w:b/>
      <w:szCs w:val="28"/>
    </w:rPr>
  </w:style>
  <w:style w:type="paragraph" w:styleId="Heading4">
    <w:name w:val="heading 4"/>
    <w:basedOn w:val="Normal"/>
    <w:next w:val="Normal"/>
    <w:link w:val="Heading4Char"/>
    <w:unhideWhenUsed/>
    <w:qFormat/>
    <w:pPr>
      <w:keepNext/>
      <w:keepLines/>
      <w:numPr>
        <w:ilvl w:val="3"/>
        <w:numId w:val="16"/>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numPr>
        <w:ilvl w:val="4"/>
        <w:numId w:val="16"/>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numPr>
        <w:ilvl w:val="5"/>
        <w:numId w:val="16"/>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numPr>
        <w:ilvl w:val="6"/>
        <w:numId w:val="16"/>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numPr>
        <w:ilvl w:val="7"/>
        <w:numId w:val="16"/>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numPr>
        <w:ilvl w:val="8"/>
        <w:numId w:val="16"/>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119"/>
    <w:rPr>
      <w:rFonts w:ascii="Arial" w:eastAsiaTheme="majorEastAsia" w:hAnsi="Arial" w:cstheme="majorBidi"/>
      <w:b/>
      <w:szCs w:val="40"/>
    </w:rPr>
  </w:style>
  <w:style w:type="character" w:customStyle="1" w:styleId="Heading2Char">
    <w:name w:val="Heading 2 Char"/>
    <w:basedOn w:val="DefaultParagraphFont"/>
    <w:link w:val="Heading2"/>
    <w:rsid w:val="001B00EA"/>
    <w:rPr>
      <w:rFonts w:ascii="Arial" w:hAnsi="Arial" w:cs="Arial"/>
      <w:bCs/>
      <w:iCs/>
      <w:shd w:val="clear" w:color="auto" w:fill="FFFFFF"/>
    </w:rPr>
  </w:style>
  <w:style w:type="character" w:customStyle="1" w:styleId="Heading3Char">
    <w:name w:val="Heading 3 Char"/>
    <w:basedOn w:val="DefaultParagraphFont"/>
    <w:link w:val="Heading3"/>
    <w:rsid w:val="00CC7119"/>
    <w:rPr>
      <w:rFonts w:ascii="Arial" w:eastAsiaTheme="majorEastAsia" w:hAnsi="Arial" w:cstheme="majorBidi"/>
      <w:b/>
      <w:szCs w:val="28"/>
    </w:rPr>
  </w:style>
  <w:style w:type="character" w:customStyle="1" w:styleId="Heading4Char">
    <w:name w:val="Heading 4 Char"/>
    <w:basedOn w:val="DefaultParagraphFont"/>
    <w:link w:val="Heading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rsid w:val="003939A4"/>
    <w:pPr>
      <w:spacing w:before="120" w:after="60" w:line="240" w:lineRule="exact"/>
    </w:pPr>
    <w:rPr>
      <w:rFonts w:ascii="Arial" w:eastAsia="Times New Roman" w:hAnsi="Arial" w:cs="Times New Roman"/>
      <w:sz w:val="18"/>
      <w:szCs w:val="20"/>
      <w:lang w:val="en-AU" w:eastAsia="en-US"/>
    </w:rPr>
  </w:style>
  <w:style w:type="character" w:customStyle="1" w:styleId="FooterChar">
    <w:name w:val="Footer Char"/>
    <w:basedOn w:val="DefaultParagraphFont"/>
    <w:link w:val="Footer"/>
    <w:uiPriority w:val="99"/>
    <w:rsid w:val="003939A4"/>
    <w:rPr>
      <w:rFonts w:ascii="Arial" w:eastAsia="Times New Roman" w:hAnsi="Arial" w:cs="Times New Roman"/>
      <w:sz w:val="18"/>
      <w:szCs w:val="20"/>
      <w:lang w:val="en-AU" w:eastAsia="en-US"/>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3939A4"/>
    <w:pPr>
      <w:spacing w:after="0" w:line="240" w:lineRule="auto"/>
      <w:ind w:left="720"/>
    </w:pPr>
    <w:rPr>
      <w:rFonts w:ascii="Calibri" w:eastAsia="Times New Roman" w:hAnsi="Calibri" w:cs="Calibri"/>
      <w:sz w:val="22"/>
      <w:szCs w:val="22"/>
      <w:lang w:val="en-AU" w:eastAsia="en-AU"/>
    </w:rPr>
  </w:style>
  <w:style w:type="paragraph" w:styleId="FootnoteText">
    <w:name w:val="footnote text"/>
    <w:basedOn w:val="Normal"/>
    <w:link w:val="FootnoteTextChar"/>
    <w:uiPriority w:val="99"/>
    <w:rsid w:val="003939A4"/>
    <w:pPr>
      <w:widowControl w:val="0"/>
      <w:spacing w:after="6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3939A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rsid w:val="003939A4"/>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3939A4"/>
    <w:rPr>
      <w:rFonts w:ascii="Calibri" w:eastAsia="Times New Roman" w:hAnsi="Calibri" w:cs="Calibri"/>
      <w:sz w:val="22"/>
      <w:szCs w:val="22"/>
      <w:lang w:val="en-AU" w:eastAsia="en-AU"/>
    </w:rPr>
  </w:style>
  <w:style w:type="paragraph" w:styleId="Header">
    <w:name w:val="header"/>
    <w:basedOn w:val="Normal"/>
    <w:link w:val="HeaderChar"/>
    <w:uiPriority w:val="99"/>
    <w:unhideWhenUsed/>
    <w:rsid w:val="003939A4"/>
    <w:pPr>
      <w:tabs>
        <w:tab w:val="center" w:pos="4513"/>
        <w:tab w:val="right" w:pos="9026"/>
      </w:tabs>
      <w:spacing w:after="0" w:line="240" w:lineRule="auto"/>
    </w:pPr>
    <w:rPr>
      <w:rFonts w:ascii="Calibri" w:eastAsia="Times New Roman" w:hAnsi="Calibri" w:cs="Times New Roman"/>
      <w:sz w:val="22"/>
      <w:szCs w:val="22"/>
      <w:lang w:val="en-AU" w:eastAsia="en-US"/>
    </w:rPr>
  </w:style>
  <w:style w:type="character" w:customStyle="1" w:styleId="HeaderChar">
    <w:name w:val="Header Char"/>
    <w:basedOn w:val="DefaultParagraphFont"/>
    <w:link w:val="Header"/>
    <w:uiPriority w:val="99"/>
    <w:rsid w:val="003939A4"/>
    <w:rPr>
      <w:rFonts w:ascii="Calibri" w:eastAsia="Times New Roman" w:hAnsi="Calibri" w:cs="Times New Roman"/>
      <w:sz w:val="22"/>
      <w:szCs w:val="22"/>
      <w:lang w:val="en-AU" w:eastAsia="en-US"/>
    </w:rPr>
  </w:style>
  <w:style w:type="character" w:styleId="CommentReference">
    <w:name w:val="annotation reference"/>
    <w:basedOn w:val="DefaultParagraphFont"/>
    <w:uiPriority w:val="99"/>
    <w:semiHidden/>
    <w:unhideWhenUsed/>
    <w:rsid w:val="003939A4"/>
    <w:rPr>
      <w:sz w:val="16"/>
      <w:szCs w:val="16"/>
    </w:rPr>
  </w:style>
  <w:style w:type="paragraph" w:styleId="CommentText">
    <w:name w:val="annotation text"/>
    <w:basedOn w:val="Normal"/>
    <w:link w:val="CommentTextChar"/>
    <w:uiPriority w:val="99"/>
    <w:unhideWhenUsed/>
    <w:rsid w:val="003939A4"/>
    <w:pPr>
      <w:spacing w:after="200" w:line="240" w:lineRule="auto"/>
    </w:pPr>
    <w:rPr>
      <w:rFonts w:ascii="Calibri" w:eastAsia="Times New Roman" w:hAnsi="Calibri" w:cs="Times New Roman"/>
      <w:sz w:val="20"/>
      <w:szCs w:val="20"/>
      <w:lang w:val="en-AU" w:eastAsia="en-US"/>
    </w:rPr>
  </w:style>
  <w:style w:type="character" w:customStyle="1" w:styleId="CommentTextChar">
    <w:name w:val="Comment Text Char"/>
    <w:basedOn w:val="DefaultParagraphFont"/>
    <w:link w:val="CommentText"/>
    <w:uiPriority w:val="99"/>
    <w:rsid w:val="003939A4"/>
    <w:rPr>
      <w:rFonts w:ascii="Calibri" w:eastAsia="Times New Roman" w:hAnsi="Calibri"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3939A4"/>
    <w:rPr>
      <w:b/>
      <w:bCs/>
    </w:rPr>
  </w:style>
  <w:style w:type="character" w:customStyle="1" w:styleId="CommentSubjectChar">
    <w:name w:val="Comment Subject Char"/>
    <w:basedOn w:val="CommentTextChar"/>
    <w:link w:val="CommentSubject"/>
    <w:uiPriority w:val="99"/>
    <w:semiHidden/>
    <w:rsid w:val="003939A4"/>
    <w:rPr>
      <w:rFonts w:ascii="Calibri" w:eastAsia="Times New Roman" w:hAnsi="Calibri" w:cs="Times New Roman"/>
      <w:b/>
      <w:bCs/>
      <w:sz w:val="20"/>
      <w:szCs w:val="20"/>
      <w:lang w:val="en-AU" w:eastAsia="en-US"/>
    </w:rPr>
  </w:style>
  <w:style w:type="paragraph" w:styleId="Revision">
    <w:name w:val="Revision"/>
    <w:hidden/>
    <w:uiPriority w:val="99"/>
    <w:semiHidden/>
    <w:rsid w:val="003939A4"/>
    <w:pPr>
      <w:spacing w:after="0" w:line="240" w:lineRule="auto"/>
    </w:pPr>
    <w:rPr>
      <w:rFonts w:ascii="Calibri" w:eastAsia="Times New Roman" w:hAnsi="Calibri" w:cs="Times New Roman"/>
      <w:sz w:val="22"/>
      <w:szCs w:val="22"/>
      <w:lang w:val="en-AU" w:eastAsia="en-US"/>
    </w:rPr>
  </w:style>
  <w:style w:type="character" w:styleId="Hyperlink">
    <w:name w:val="Hyperlink"/>
    <w:basedOn w:val="DefaultParagraphFont"/>
    <w:uiPriority w:val="99"/>
    <w:unhideWhenUsed/>
    <w:rsid w:val="003939A4"/>
    <w:rPr>
      <w:color w:val="0563C1"/>
      <w:u w:val="single"/>
    </w:rPr>
  </w:style>
  <w:style w:type="character" w:styleId="UnresolvedMention">
    <w:name w:val="Unresolved Mention"/>
    <w:basedOn w:val="DefaultParagraphFont"/>
    <w:uiPriority w:val="99"/>
    <w:semiHidden/>
    <w:unhideWhenUsed/>
    <w:rsid w:val="003939A4"/>
    <w:rPr>
      <w:color w:val="605E5C"/>
      <w:shd w:val="clear" w:color="auto" w:fill="E1DFDD"/>
    </w:rPr>
  </w:style>
  <w:style w:type="table" w:styleId="TableGrid">
    <w:name w:val="Table Grid"/>
    <w:basedOn w:val="TableNormal"/>
    <w:uiPriority w:val="59"/>
    <w:rsid w:val="003939A4"/>
    <w:pPr>
      <w:spacing w:after="0" w:line="240" w:lineRule="auto"/>
    </w:pPr>
    <w:rPr>
      <w:rFonts w:eastAsiaTheme="minorHAnsi"/>
      <w:kern w:val="2"/>
      <w:sz w:val="22"/>
      <w:szCs w:val="22"/>
      <w:lang w:val="en-AU" w:eastAsia="en-US"/>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3939A4"/>
    <w:rPr>
      <w:color w:val="2B579A"/>
      <w:shd w:val="clear" w:color="auto" w:fill="E1DFDD"/>
    </w:rPr>
  </w:style>
  <w:style w:type="paragraph" w:customStyle="1" w:styleId="Paragraphtext">
    <w:name w:val="Paragraph text"/>
    <w:basedOn w:val="Normal"/>
    <w:link w:val="ParagraphtextChar"/>
    <w:qFormat/>
    <w:rsid w:val="003939A4"/>
    <w:pPr>
      <w:spacing w:before="120" w:after="120" w:line="240" w:lineRule="auto"/>
    </w:pPr>
    <w:rPr>
      <w:rFonts w:ascii="Calibri" w:eastAsia="Calibri" w:hAnsi="Calibri" w:cs="Times New Roman"/>
      <w:color w:val="000000" w:themeColor="text1"/>
      <w:szCs w:val="22"/>
      <w:lang w:val="en-AU" w:eastAsia="en-US"/>
    </w:rPr>
  </w:style>
  <w:style w:type="character" w:customStyle="1" w:styleId="ParagraphtextChar">
    <w:name w:val="Paragraph text Char"/>
    <w:basedOn w:val="DefaultParagraphFont"/>
    <w:link w:val="Paragraphtext"/>
    <w:rsid w:val="003939A4"/>
    <w:rPr>
      <w:rFonts w:ascii="Calibri" w:eastAsia="Calibri" w:hAnsi="Calibri" w:cs="Times New Roman"/>
      <w:color w:val="000000" w:themeColor="text1"/>
      <w:szCs w:val="22"/>
      <w:lang w:val="en-AU" w:eastAsia="en-US"/>
    </w:rPr>
  </w:style>
  <w:style w:type="paragraph" w:customStyle="1" w:styleId="Default">
    <w:name w:val="Default"/>
    <w:rsid w:val="003939A4"/>
    <w:pPr>
      <w:autoSpaceDE w:val="0"/>
      <w:autoSpaceDN w:val="0"/>
      <w:adjustRightInd w:val="0"/>
      <w:spacing w:after="0" w:line="240" w:lineRule="auto"/>
    </w:pPr>
    <w:rPr>
      <w:rFonts w:ascii="Times New Roman" w:eastAsiaTheme="minorHAnsi" w:hAnsi="Times New Roman" w:cs="Times New Roman"/>
      <w:color w:val="000000"/>
      <w:lang w:val="en-AU" w:eastAsia="en-US"/>
      <w14:ligatures w14:val="standardContextual"/>
    </w:rPr>
  </w:style>
  <w:style w:type="paragraph" w:customStyle="1" w:styleId="paragraph">
    <w:name w:val="paragraph"/>
    <w:basedOn w:val="Normal"/>
    <w:rsid w:val="00043479"/>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043479"/>
  </w:style>
  <w:style w:type="character" w:customStyle="1" w:styleId="eop">
    <w:name w:val="eop"/>
    <w:basedOn w:val="DefaultParagraphFont"/>
    <w:rsid w:val="0004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47301">
      <w:bodyDiv w:val="1"/>
      <w:marLeft w:val="0"/>
      <w:marRight w:val="0"/>
      <w:marTop w:val="0"/>
      <w:marBottom w:val="0"/>
      <w:divBdr>
        <w:top w:val="none" w:sz="0" w:space="0" w:color="auto"/>
        <w:left w:val="none" w:sz="0" w:space="0" w:color="auto"/>
        <w:bottom w:val="none" w:sz="0" w:space="0" w:color="auto"/>
        <w:right w:val="none" w:sz="0" w:space="0" w:color="auto"/>
      </w:divBdr>
      <w:divsChild>
        <w:div w:id="703478956">
          <w:marLeft w:val="0"/>
          <w:marRight w:val="0"/>
          <w:marTop w:val="0"/>
          <w:marBottom w:val="0"/>
          <w:divBdr>
            <w:top w:val="none" w:sz="0" w:space="0" w:color="auto"/>
            <w:left w:val="none" w:sz="0" w:space="0" w:color="auto"/>
            <w:bottom w:val="none" w:sz="0" w:space="0" w:color="auto"/>
            <w:right w:val="none" w:sz="0" w:space="0" w:color="auto"/>
          </w:divBdr>
        </w:div>
        <w:div w:id="1748576583">
          <w:marLeft w:val="0"/>
          <w:marRight w:val="0"/>
          <w:marTop w:val="0"/>
          <w:marBottom w:val="0"/>
          <w:divBdr>
            <w:top w:val="none" w:sz="0" w:space="0" w:color="auto"/>
            <w:left w:val="none" w:sz="0" w:space="0" w:color="auto"/>
            <w:bottom w:val="none" w:sz="0" w:space="0" w:color="auto"/>
            <w:right w:val="none" w:sz="0" w:space="0" w:color="auto"/>
          </w:divBdr>
        </w:div>
      </w:divsChild>
    </w:div>
    <w:div w:id="865365770">
      <w:bodyDiv w:val="1"/>
      <w:marLeft w:val="0"/>
      <w:marRight w:val="0"/>
      <w:marTop w:val="0"/>
      <w:marBottom w:val="0"/>
      <w:divBdr>
        <w:top w:val="none" w:sz="0" w:space="0" w:color="auto"/>
        <w:left w:val="none" w:sz="0" w:space="0" w:color="auto"/>
        <w:bottom w:val="none" w:sz="0" w:space="0" w:color="auto"/>
        <w:right w:val="none" w:sz="0" w:space="0" w:color="auto"/>
      </w:divBdr>
      <w:divsChild>
        <w:div w:id="43264496">
          <w:marLeft w:val="0"/>
          <w:marRight w:val="0"/>
          <w:marTop w:val="0"/>
          <w:marBottom w:val="0"/>
          <w:divBdr>
            <w:top w:val="none" w:sz="0" w:space="0" w:color="auto"/>
            <w:left w:val="none" w:sz="0" w:space="0" w:color="auto"/>
            <w:bottom w:val="none" w:sz="0" w:space="0" w:color="auto"/>
            <w:right w:val="none" w:sz="0" w:space="0" w:color="auto"/>
          </w:divBdr>
        </w:div>
        <w:div w:id="1733582669">
          <w:marLeft w:val="0"/>
          <w:marRight w:val="0"/>
          <w:marTop w:val="0"/>
          <w:marBottom w:val="0"/>
          <w:divBdr>
            <w:top w:val="none" w:sz="0" w:space="0" w:color="auto"/>
            <w:left w:val="none" w:sz="0" w:space="0" w:color="auto"/>
            <w:bottom w:val="none" w:sz="0" w:space="0" w:color="auto"/>
            <w:right w:val="none" w:sz="0" w:space="0" w:color="auto"/>
          </w:divBdr>
        </w:div>
        <w:div w:id="1817528594">
          <w:marLeft w:val="0"/>
          <w:marRight w:val="0"/>
          <w:marTop w:val="0"/>
          <w:marBottom w:val="0"/>
          <w:divBdr>
            <w:top w:val="none" w:sz="0" w:space="0" w:color="auto"/>
            <w:left w:val="none" w:sz="0" w:space="0" w:color="auto"/>
            <w:bottom w:val="none" w:sz="0" w:space="0" w:color="auto"/>
            <w:right w:val="none" w:sz="0" w:space="0" w:color="auto"/>
          </w:divBdr>
        </w:div>
      </w:divsChild>
    </w:div>
    <w:div w:id="1705904217">
      <w:bodyDiv w:val="1"/>
      <w:marLeft w:val="0"/>
      <w:marRight w:val="0"/>
      <w:marTop w:val="0"/>
      <w:marBottom w:val="0"/>
      <w:divBdr>
        <w:top w:val="none" w:sz="0" w:space="0" w:color="auto"/>
        <w:left w:val="none" w:sz="0" w:space="0" w:color="auto"/>
        <w:bottom w:val="none" w:sz="0" w:space="0" w:color="auto"/>
        <w:right w:val="none" w:sz="0" w:space="0" w:color="auto"/>
      </w:divBdr>
      <w:divsChild>
        <w:div w:id="1218128388">
          <w:marLeft w:val="0"/>
          <w:marRight w:val="0"/>
          <w:marTop w:val="0"/>
          <w:marBottom w:val="0"/>
          <w:divBdr>
            <w:top w:val="none" w:sz="0" w:space="0" w:color="auto"/>
            <w:left w:val="none" w:sz="0" w:space="0" w:color="auto"/>
            <w:bottom w:val="none" w:sz="0" w:space="0" w:color="auto"/>
            <w:right w:val="none" w:sz="0" w:space="0" w:color="auto"/>
          </w:divBdr>
        </w:div>
        <w:div w:id="1882671602">
          <w:marLeft w:val="0"/>
          <w:marRight w:val="0"/>
          <w:marTop w:val="0"/>
          <w:marBottom w:val="0"/>
          <w:divBdr>
            <w:top w:val="none" w:sz="0" w:space="0" w:color="auto"/>
            <w:left w:val="none" w:sz="0" w:space="0" w:color="auto"/>
            <w:bottom w:val="none" w:sz="0" w:space="0" w:color="auto"/>
            <w:right w:val="none" w:sz="0" w:space="0" w:color="auto"/>
          </w:divBdr>
        </w:div>
      </w:divsChild>
    </w:div>
    <w:div w:id="2007584353">
      <w:bodyDiv w:val="1"/>
      <w:marLeft w:val="0"/>
      <w:marRight w:val="0"/>
      <w:marTop w:val="0"/>
      <w:marBottom w:val="0"/>
      <w:divBdr>
        <w:top w:val="none" w:sz="0" w:space="0" w:color="auto"/>
        <w:left w:val="none" w:sz="0" w:space="0" w:color="auto"/>
        <w:bottom w:val="none" w:sz="0" w:space="0" w:color="auto"/>
        <w:right w:val="none" w:sz="0" w:space="0" w:color="auto"/>
      </w:divBdr>
      <w:divsChild>
        <w:div w:id="344944584">
          <w:marLeft w:val="0"/>
          <w:marRight w:val="0"/>
          <w:marTop w:val="0"/>
          <w:marBottom w:val="0"/>
          <w:divBdr>
            <w:top w:val="none" w:sz="0" w:space="0" w:color="auto"/>
            <w:left w:val="none" w:sz="0" w:space="0" w:color="auto"/>
            <w:bottom w:val="none" w:sz="0" w:space="0" w:color="auto"/>
            <w:right w:val="none" w:sz="0" w:space="0" w:color="auto"/>
          </w:divBdr>
        </w:div>
        <w:div w:id="441270010">
          <w:marLeft w:val="0"/>
          <w:marRight w:val="0"/>
          <w:marTop w:val="0"/>
          <w:marBottom w:val="0"/>
          <w:divBdr>
            <w:top w:val="none" w:sz="0" w:space="0" w:color="auto"/>
            <w:left w:val="none" w:sz="0" w:space="0" w:color="auto"/>
            <w:bottom w:val="none" w:sz="0" w:space="0" w:color="auto"/>
            <w:right w:val="none" w:sz="0" w:space="0" w:color="auto"/>
          </w:divBdr>
        </w:div>
      </w:divsChild>
    </w:div>
    <w:div w:id="2099057380">
      <w:bodyDiv w:val="1"/>
      <w:marLeft w:val="0"/>
      <w:marRight w:val="0"/>
      <w:marTop w:val="0"/>
      <w:marBottom w:val="0"/>
      <w:divBdr>
        <w:top w:val="none" w:sz="0" w:space="0" w:color="auto"/>
        <w:left w:val="none" w:sz="0" w:space="0" w:color="auto"/>
        <w:bottom w:val="none" w:sz="0" w:space="0" w:color="auto"/>
        <w:right w:val="none" w:sz="0" w:space="0" w:color="auto"/>
      </w:divBdr>
      <w:divsChild>
        <w:div w:id="2115394873">
          <w:marLeft w:val="0"/>
          <w:marRight w:val="0"/>
          <w:marTop w:val="0"/>
          <w:marBottom w:val="0"/>
          <w:divBdr>
            <w:top w:val="none" w:sz="0" w:space="0" w:color="auto"/>
            <w:left w:val="none" w:sz="0" w:space="0" w:color="auto"/>
            <w:bottom w:val="none" w:sz="0" w:space="0" w:color="auto"/>
            <w:right w:val="none" w:sz="0" w:space="0" w:color="auto"/>
          </w:divBdr>
        </w:div>
        <w:div w:id="213595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1FC089426D44081D69165A207EBC8" ma:contentTypeVersion="10" ma:contentTypeDescription="Create a new document." ma:contentTypeScope="" ma:versionID="5075bea48b82feaac073b29f473999e9">
  <xsd:schema xmlns:xsd="http://www.w3.org/2001/XMLSchema" xmlns:xs="http://www.w3.org/2001/XMLSchema" xmlns:p="http://schemas.microsoft.com/office/2006/metadata/properties" xmlns:ns2="84ab0b94-4cef-4d05-9a94-801728506d15" xmlns:ns3="0502114e-1845-4934-a9b6-6f4b8968ecfb" targetNamespace="http://schemas.microsoft.com/office/2006/metadata/properties" ma:root="true" ma:fieldsID="eccd8753c7b6ce0f3aa9b4f20b82c008" ns2:_="" ns3:_="">
    <xsd:import namespace="84ab0b94-4cef-4d05-9a94-801728506d15"/>
    <xsd:import namespace="0502114e-1845-4934-a9b6-6f4b8968e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CTSANDREGULATIONS" minOccurs="0"/>
                <xsd:element ref="ns2:OTHERJURISDICTION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b0b94-4cef-4d05-9a94-80172850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CTSANDREGULATIONS" ma:index="12" nillable="true" ma:displayName="ACTS AND REGULATIONS" ma:description="A list of ACT Acts and Regulations which regulation the NT&amp;EE " ma:format="Dropdown" ma:internalName="ACTSANDREGULATIONS">
      <xsd:simpleType>
        <xsd:restriction base="dms:Note">
          <xsd:maxLength value="255"/>
        </xsd:restriction>
      </xsd:simpleType>
    </xsd:element>
    <xsd:element name="OTHERJURISDICTIONS" ma:index="13" nillable="true" ma:displayName="OTHER JURISDICTIONS" ma:description="Webpages of the work of other jurisdictions on NT&amp;EE matters" ma:format="Dropdown" ma:internalName="OTHERJURISDICTIONS">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2114e-1845-4934-a9b6-6f4b8968ec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SANDREGULATIONS xmlns="84ab0b94-4cef-4d05-9a94-801728506d15" xsi:nil="true"/>
    <OTHERJURISDICTIONS xmlns="84ab0b94-4cef-4d05-9a94-801728506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223C5-B0FC-4977-98A9-48D24CCE8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b0b94-4cef-4d05-9a94-801728506d15"/>
    <ds:schemaRef ds:uri="0502114e-1845-4934-a9b6-6f4b8968e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460D-0B59-475A-A588-90981BD0CB4F}">
  <ds:schemaRefs>
    <ds:schemaRef ds:uri="http://schemas.microsoft.com/office/2006/metadata/properties"/>
    <ds:schemaRef ds:uri="http://schemas.microsoft.com/office/infopath/2007/PartnerControls"/>
    <ds:schemaRef ds:uri="84ab0b94-4cef-4d05-9a94-801728506d15"/>
  </ds:schemaRefs>
</ds:datastoreItem>
</file>

<file path=customXml/itemProps3.xml><?xml version="1.0" encoding="utf-8"?>
<ds:datastoreItem xmlns:ds="http://schemas.openxmlformats.org/officeDocument/2006/customXml" ds:itemID="{F01EC551-B1BA-4B29-9E55-6970161FE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1584</Words>
  <Characters>9600</Characters>
  <Application>Microsoft Office Word</Application>
  <DocSecurity>0</DocSecurity>
  <Lines>282</Lines>
  <Paragraphs>124</Paragraphs>
  <ScaleCrop>false</ScaleCrop>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6</cp:revision>
  <dcterms:created xsi:type="dcterms:W3CDTF">2025-03-04T22:47:00Z</dcterms:created>
  <dcterms:modified xsi:type="dcterms:W3CDTF">2025-03-05T23:03:00Z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0x010100E1C1FC089426D44081D69165A207EBC8</vt:lpwstr>
  </property>
  <property fmtid="{D5CDD505-2E9C-101B-9397-08002B2CF9AE}" pid="3" name="MSIP_Label_69af8531-eb46-4968-8cb3-105d2f5ea87e_Enabled">
    <vt:lpwstr>true</vt:lpwstr>
  </property>
  <property fmtid="{D5CDD505-2E9C-101B-9397-08002B2CF9AE}" pid="4" name="MSIP_Label_69af8531-eb46-4968-8cb3-105d2f5ea87e_SetDate">
    <vt:lpwstr>2025-02-17T21:36:48Z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71d67e6f-a131-4069-a93e-26b945d93b1a</vt:lpwstr>
  </property>
  <property fmtid="{D5CDD505-2E9C-101B-9397-08002B2CF9AE}" pid="9" name="MSIP_Label_69af8531-eb46-4968-8cb3-105d2f5ea87e_ContentBits">
    <vt:lpwstr>0</vt:lpwstr>
  </property>
</Properties>
</file>