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8F1B2"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08EF393A"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01AEEFA7" w14:textId="77777777" w:rsidR="004F2533" w:rsidRPr="004F2533" w:rsidRDefault="004F2533" w:rsidP="004F2533">
      <w:pPr>
        <w:spacing w:after="80"/>
        <w:ind w:right="573"/>
        <w:jc w:val="center"/>
        <w:rPr>
          <w:rFonts w:ascii="Aptos Display" w:eastAsia="Arial" w:hAnsi="Aptos Display" w:cs="Arial"/>
          <w:b/>
          <w:bCs/>
          <w:color w:val="000000" w:themeColor="text1"/>
          <w:sz w:val="36"/>
          <w:szCs w:val="36"/>
        </w:rPr>
      </w:pPr>
    </w:p>
    <w:p w14:paraId="5AE4D97A"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4F823859"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2F892EF1"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22BADE10"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0A838493" w14:textId="77777777" w:rsidR="004F2533" w:rsidRDefault="004F2533" w:rsidP="004F2533">
      <w:pPr>
        <w:spacing w:after="80"/>
        <w:ind w:right="573"/>
        <w:jc w:val="center"/>
        <w:rPr>
          <w:rFonts w:ascii="Aptos Display" w:eastAsia="Arial" w:hAnsi="Aptos Display" w:cs="Arial"/>
          <w:b/>
          <w:bCs/>
          <w:color w:val="000000" w:themeColor="text1"/>
          <w:sz w:val="26"/>
          <w:szCs w:val="26"/>
        </w:rPr>
      </w:pPr>
    </w:p>
    <w:p w14:paraId="32C9FD49" w14:textId="487C30F9" w:rsidR="00FC0461" w:rsidRPr="004F2533" w:rsidRDefault="4FA27BCE" w:rsidP="004F2533">
      <w:pPr>
        <w:spacing w:after="80"/>
        <w:ind w:right="573"/>
        <w:jc w:val="center"/>
        <w:rPr>
          <w:rFonts w:ascii="Aptos Display" w:hAnsi="Aptos Display"/>
          <w:sz w:val="26"/>
          <w:szCs w:val="26"/>
        </w:rPr>
      </w:pPr>
      <w:r w:rsidRPr="00237C51">
        <w:rPr>
          <w:rFonts w:ascii="Aptos Display" w:eastAsia="Arial" w:hAnsi="Aptos Display" w:cs="Arial"/>
          <w:b/>
          <w:bCs/>
          <w:color w:val="000000" w:themeColor="text1"/>
          <w:sz w:val="26"/>
          <w:szCs w:val="26"/>
        </w:rPr>
        <w:t>20</w:t>
      </w:r>
      <w:r w:rsidR="00060C60">
        <w:rPr>
          <w:rFonts w:ascii="Aptos Display" w:eastAsia="Arial" w:hAnsi="Aptos Display" w:cs="Arial"/>
          <w:b/>
          <w:bCs/>
          <w:color w:val="000000" w:themeColor="text1"/>
          <w:sz w:val="26"/>
          <w:szCs w:val="26"/>
        </w:rPr>
        <w:t>2</w:t>
      </w:r>
      <w:r w:rsidR="00A3017B" w:rsidRPr="00237C51">
        <w:rPr>
          <w:rFonts w:ascii="Aptos Display" w:eastAsia="Arial" w:hAnsi="Aptos Display" w:cs="Arial"/>
          <w:b/>
          <w:bCs/>
          <w:color w:val="000000" w:themeColor="text1"/>
          <w:sz w:val="26"/>
          <w:szCs w:val="26"/>
        </w:rPr>
        <w:t>5</w:t>
      </w:r>
    </w:p>
    <w:p w14:paraId="0A1A1141" w14:textId="77777777" w:rsidR="004F2533" w:rsidRPr="00237C51" w:rsidRDefault="004F2533" w:rsidP="00D85ECE">
      <w:pPr>
        <w:spacing w:after="80"/>
        <w:ind w:right="573"/>
        <w:rPr>
          <w:rFonts w:ascii="Aptos Display" w:eastAsia="Arial" w:hAnsi="Aptos Display" w:cs="Arial"/>
          <w:b/>
          <w:bCs/>
          <w:color w:val="000000" w:themeColor="text1"/>
          <w:sz w:val="26"/>
          <w:szCs w:val="26"/>
        </w:rPr>
      </w:pPr>
    </w:p>
    <w:p w14:paraId="6B1E2272" w14:textId="14F8F5F2" w:rsidR="00B94515" w:rsidRPr="00237C51" w:rsidRDefault="00B94515" w:rsidP="00237C51">
      <w:pPr>
        <w:spacing w:after="80"/>
        <w:ind w:left="284" w:right="573"/>
        <w:jc w:val="center"/>
        <w:rPr>
          <w:rFonts w:ascii="Aptos Display" w:eastAsia="Arial" w:hAnsi="Aptos Display" w:cs="Arial"/>
          <w:b/>
          <w:bCs/>
          <w:color w:val="000000" w:themeColor="text1"/>
          <w:sz w:val="26"/>
          <w:szCs w:val="26"/>
        </w:rPr>
      </w:pPr>
    </w:p>
    <w:p w14:paraId="0BEF1377" w14:textId="5A47E419" w:rsidR="00B94515" w:rsidRPr="00237C51" w:rsidRDefault="4FA27BCE" w:rsidP="00237C51">
      <w:pPr>
        <w:spacing w:after="80"/>
        <w:ind w:left="284" w:right="573"/>
        <w:jc w:val="center"/>
        <w:rPr>
          <w:rFonts w:ascii="Aptos Display" w:hAnsi="Aptos Display"/>
          <w:sz w:val="26"/>
          <w:szCs w:val="26"/>
        </w:rPr>
      </w:pPr>
      <w:r w:rsidRPr="00237C51">
        <w:rPr>
          <w:rFonts w:ascii="Aptos Display" w:eastAsia="Arial" w:hAnsi="Aptos Display" w:cs="Arial"/>
          <w:b/>
          <w:bCs/>
          <w:color w:val="000000" w:themeColor="text1"/>
          <w:sz w:val="26"/>
          <w:szCs w:val="26"/>
        </w:rPr>
        <w:t>THE LEGISLATIVE ASSEMBLY FOR</w:t>
      </w:r>
    </w:p>
    <w:p w14:paraId="2878B4AC" w14:textId="1396A43D" w:rsidR="00B94515" w:rsidRPr="00237C51" w:rsidRDefault="4FA27BCE" w:rsidP="00237C51">
      <w:pPr>
        <w:spacing w:after="80"/>
        <w:ind w:left="284" w:right="573"/>
        <w:jc w:val="center"/>
        <w:rPr>
          <w:rFonts w:ascii="Aptos Display" w:hAnsi="Aptos Display"/>
          <w:sz w:val="26"/>
          <w:szCs w:val="26"/>
        </w:rPr>
      </w:pPr>
      <w:r w:rsidRPr="00237C51">
        <w:rPr>
          <w:rFonts w:ascii="Aptos Display" w:eastAsia="Arial" w:hAnsi="Aptos Display" w:cs="Arial"/>
          <w:b/>
          <w:bCs/>
          <w:color w:val="000000" w:themeColor="text1"/>
          <w:sz w:val="26"/>
          <w:szCs w:val="26"/>
        </w:rPr>
        <w:t xml:space="preserve"> THE AUSTRALIAN CAPITAL TERRITORY</w:t>
      </w:r>
    </w:p>
    <w:p w14:paraId="6790B63C" w14:textId="77777777" w:rsidR="008638D1" w:rsidRDefault="008638D1" w:rsidP="00237C51">
      <w:pPr>
        <w:spacing w:after="80"/>
        <w:ind w:left="284" w:right="573"/>
        <w:rPr>
          <w:rFonts w:ascii="Aptos Display" w:eastAsia="Arial" w:hAnsi="Aptos Display" w:cs="Arial"/>
          <w:b/>
          <w:bCs/>
          <w:color w:val="000000" w:themeColor="text1"/>
          <w:sz w:val="26"/>
          <w:szCs w:val="26"/>
        </w:rPr>
      </w:pPr>
    </w:p>
    <w:p w14:paraId="5AC902A8" w14:textId="77777777" w:rsidR="000F2C94" w:rsidRPr="00237C51" w:rsidRDefault="000F2C94" w:rsidP="00237C51">
      <w:pPr>
        <w:spacing w:after="80"/>
        <w:ind w:left="284" w:right="573"/>
        <w:rPr>
          <w:rFonts w:ascii="Aptos Display" w:eastAsia="Arial" w:hAnsi="Aptos Display" w:cs="Arial"/>
          <w:b/>
          <w:bCs/>
          <w:color w:val="000000" w:themeColor="text1"/>
          <w:sz w:val="26"/>
          <w:szCs w:val="26"/>
        </w:rPr>
      </w:pPr>
    </w:p>
    <w:p w14:paraId="7AE51F24" w14:textId="12803FFE" w:rsidR="00B94515" w:rsidRPr="00237C51" w:rsidRDefault="00B94515" w:rsidP="00237C51">
      <w:pPr>
        <w:spacing w:after="80"/>
        <w:ind w:left="284" w:right="573"/>
        <w:jc w:val="center"/>
        <w:rPr>
          <w:rFonts w:ascii="Aptos Display" w:eastAsia="Arial" w:hAnsi="Aptos Display" w:cs="Arial"/>
          <w:b/>
          <w:bCs/>
          <w:color w:val="000000" w:themeColor="text1"/>
          <w:sz w:val="26"/>
          <w:szCs w:val="26"/>
        </w:rPr>
      </w:pPr>
    </w:p>
    <w:p w14:paraId="7F417C3D" w14:textId="76FA1F59" w:rsidR="005047F7" w:rsidRPr="008638D1" w:rsidRDefault="00A3017B" w:rsidP="008638D1">
      <w:pPr>
        <w:spacing w:after="80"/>
        <w:ind w:left="284" w:right="573"/>
        <w:jc w:val="center"/>
        <w:rPr>
          <w:rFonts w:ascii="Aptos Display" w:hAnsi="Aptos Display"/>
          <w:sz w:val="26"/>
          <w:szCs w:val="26"/>
        </w:rPr>
      </w:pPr>
      <w:r w:rsidRPr="00237C51">
        <w:rPr>
          <w:rFonts w:ascii="Aptos Display" w:eastAsia="Arial" w:hAnsi="Aptos Display" w:cs="Arial"/>
          <w:b/>
          <w:bCs/>
          <w:color w:val="000000" w:themeColor="text1"/>
          <w:sz w:val="26"/>
          <w:szCs w:val="26"/>
        </w:rPr>
        <w:t>Planning</w:t>
      </w:r>
      <w:r w:rsidR="00F539E1">
        <w:rPr>
          <w:rFonts w:ascii="Aptos Display" w:eastAsia="Arial" w:hAnsi="Aptos Display" w:cs="Arial"/>
          <w:b/>
          <w:bCs/>
          <w:color w:val="000000" w:themeColor="text1"/>
          <w:sz w:val="26"/>
          <w:szCs w:val="26"/>
        </w:rPr>
        <w:t xml:space="preserve"> (Ainslie Volcanics)</w:t>
      </w:r>
      <w:r w:rsidRPr="00237C51">
        <w:rPr>
          <w:rFonts w:ascii="Aptos Display" w:eastAsia="Arial" w:hAnsi="Aptos Display" w:cs="Arial"/>
          <w:b/>
          <w:bCs/>
          <w:color w:val="000000" w:themeColor="text1"/>
          <w:sz w:val="26"/>
          <w:szCs w:val="26"/>
        </w:rPr>
        <w:t xml:space="preserve"> Amendment Bill</w:t>
      </w:r>
      <w:r w:rsidR="005047F7" w:rsidRPr="00237C51">
        <w:rPr>
          <w:rFonts w:ascii="Aptos Display" w:eastAsia="Arial" w:hAnsi="Aptos Display" w:cs="Arial"/>
          <w:b/>
          <w:bCs/>
          <w:color w:val="000000" w:themeColor="text1"/>
          <w:sz w:val="26"/>
          <w:szCs w:val="26"/>
        </w:rPr>
        <w:t xml:space="preserve"> 202</w:t>
      </w:r>
      <w:r w:rsidRPr="00237C51">
        <w:rPr>
          <w:rFonts w:ascii="Aptos Display" w:eastAsia="Arial" w:hAnsi="Aptos Display" w:cs="Arial"/>
          <w:b/>
          <w:bCs/>
          <w:color w:val="000000" w:themeColor="text1"/>
          <w:sz w:val="26"/>
          <w:szCs w:val="26"/>
        </w:rPr>
        <w:t>5</w:t>
      </w:r>
    </w:p>
    <w:p w14:paraId="5DF2D7D1" w14:textId="199D7926" w:rsidR="00B94515" w:rsidRPr="00237C51" w:rsidRDefault="4FA27BCE" w:rsidP="00237C51">
      <w:pPr>
        <w:spacing w:after="80"/>
        <w:ind w:left="284" w:right="573"/>
        <w:jc w:val="center"/>
        <w:rPr>
          <w:rFonts w:ascii="Aptos Display" w:eastAsia="Arial" w:hAnsi="Aptos Display" w:cs="Arial"/>
          <w:b/>
          <w:bCs/>
          <w:color w:val="000000" w:themeColor="text1"/>
          <w:sz w:val="26"/>
          <w:szCs w:val="26"/>
        </w:rPr>
      </w:pPr>
      <w:r w:rsidRPr="00237C51">
        <w:rPr>
          <w:rFonts w:ascii="Aptos Display" w:eastAsia="Arial" w:hAnsi="Aptos Display" w:cs="Arial"/>
          <w:b/>
          <w:bCs/>
          <w:color w:val="000000" w:themeColor="text1"/>
          <w:sz w:val="26"/>
          <w:szCs w:val="26"/>
        </w:rPr>
        <w:t>EXPLANATORY STATEMENT</w:t>
      </w:r>
    </w:p>
    <w:p w14:paraId="02CE973D" w14:textId="2DA876A6" w:rsidR="6A3A1C74" w:rsidRDefault="6A3A1C74" w:rsidP="00237C51">
      <w:pPr>
        <w:spacing w:after="80"/>
        <w:ind w:right="573"/>
        <w:jc w:val="center"/>
        <w:rPr>
          <w:rFonts w:ascii="Aptos Display" w:eastAsia="Arial" w:hAnsi="Aptos Display" w:cs="Arial"/>
          <w:b/>
          <w:bCs/>
          <w:color w:val="000000" w:themeColor="text1"/>
          <w:sz w:val="26"/>
          <w:szCs w:val="26"/>
        </w:rPr>
      </w:pPr>
    </w:p>
    <w:p w14:paraId="526CD71E" w14:textId="77777777" w:rsidR="008638D1" w:rsidRDefault="008638D1" w:rsidP="00237C51">
      <w:pPr>
        <w:spacing w:after="80"/>
        <w:ind w:right="573"/>
        <w:jc w:val="center"/>
        <w:rPr>
          <w:rFonts w:ascii="Aptos Display" w:eastAsia="Arial" w:hAnsi="Aptos Display" w:cs="Arial"/>
          <w:b/>
          <w:bCs/>
          <w:color w:val="000000" w:themeColor="text1"/>
          <w:sz w:val="26"/>
          <w:szCs w:val="26"/>
        </w:rPr>
      </w:pPr>
    </w:p>
    <w:p w14:paraId="0B2EC57C" w14:textId="77777777" w:rsidR="008638D1" w:rsidRDefault="008638D1" w:rsidP="00237C51">
      <w:pPr>
        <w:spacing w:after="80"/>
        <w:ind w:right="573"/>
        <w:jc w:val="right"/>
        <w:rPr>
          <w:rFonts w:ascii="Aptos Display" w:hAnsi="Aptos Display"/>
          <w:b/>
          <w:bCs/>
          <w:sz w:val="26"/>
          <w:szCs w:val="26"/>
        </w:rPr>
      </w:pPr>
    </w:p>
    <w:p w14:paraId="50D04193" w14:textId="77777777" w:rsidR="004F2533" w:rsidRDefault="004F2533" w:rsidP="00237C51">
      <w:pPr>
        <w:spacing w:after="80"/>
        <w:ind w:right="573"/>
        <w:jc w:val="right"/>
        <w:rPr>
          <w:rFonts w:ascii="Aptos Display" w:hAnsi="Aptos Display"/>
          <w:b/>
          <w:bCs/>
          <w:sz w:val="26"/>
          <w:szCs w:val="26"/>
        </w:rPr>
      </w:pPr>
    </w:p>
    <w:p w14:paraId="136DBA9F" w14:textId="77777777" w:rsidR="004F2533" w:rsidRDefault="004F2533" w:rsidP="00237C51">
      <w:pPr>
        <w:spacing w:after="80"/>
        <w:ind w:right="573"/>
        <w:jc w:val="right"/>
        <w:rPr>
          <w:rFonts w:ascii="Aptos Display" w:hAnsi="Aptos Display"/>
          <w:b/>
          <w:bCs/>
          <w:sz w:val="26"/>
          <w:szCs w:val="26"/>
        </w:rPr>
      </w:pPr>
    </w:p>
    <w:p w14:paraId="01725D10" w14:textId="77777777" w:rsidR="00D85ECE" w:rsidRDefault="00D85ECE" w:rsidP="00237C51">
      <w:pPr>
        <w:spacing w:after="80"/>
        <w:ind w:right="573"/>
        <w:jc w:val="right"/>
        <w:rPr>
          <w:rFonts w:ascii="Aptos Display" w:hAnsi="Aptos Display"/>
          <w:b/>
          <w:bCs/>
          <w:sz w:val="26"/>
          <w:szCs w:val="26"/>
        </w:rPr>
      </w:pPr>
    </w:p>
    <w:p w14:paraId="61FB9859" w14:textId="77777777" w:rsidR="004F2533" w:rsidRPr="00237C51" w:rsidRDefault="004F2533" w:rsidP="00237C51">
      <w:pPr>
        <w:spacing w:after="80"/>
        <w:ind w:right="573"/>
        <w:jc w:val="right"/>
        <w:rPr>
          <w:rFonts w:ascii="Aptos Display" w:hAnsi="Aptos Display"/>
          <w:b/>
          <w:bCs/>
          <w:sz w:val="26"/>
          <w:szCs w:val="26"/>
        </w:rPr>
      </w:pPr>
    </w:p>
    <w:p w14:paraId="61FFFB82" w14:textId="0B5F2CAA" w:rsidR="00E4066C" w:rsidRPr="00237C51" w:rsidRDefault="4FA27BCE" w:rsidP="00237C51">
      <w:pPr>
        <w:spacing w:after="80"/>
        <w:ind w:right="573"/>
        <w:jc w:val="right"/>
        <w:rPr>
          <w:rFonts w:ascii="Aptos Display" w:hAnsi="Aptos Display"/>
          <w:b/>
          <w:bCs/>
          <w:sz w:val="26"/>
          <w:szCs w:val="26"/>
        </w:rPr>
      </w:pPr>
      <w:r w:rsidRPr="00237C51">
        <w:rPr>
          <w:rFonts w:ascii="Aptos Display" w:hAnsi="Aptos Display"/>
          <w:b/>
          <w:bCs/>
          <w:sz w:val="26"/>
          <w:szCs w:val="26"/>
        </w:rPr>
        <w:t>Presented by</w:t>
      </w:r>
    </w:p>
    <w:p w14:paraId="2D57E0FE" w14:textId="7960E287" w:rsidR="4FA27BCE" w:rsidRDefault="00A3017B" w:rsidP="00237C51">
      <w:pPr>
        <w:spacing w:after="80"/>
        <w:ind w:right="573"/>
        <w:jc w:val="right"/>
        <w:rPr>
          <w:rFonts w:ascii="Aptos Display" w:hAnsi="Aptos Display"/>
          <w:b/>
          <w:bCs/>
          <w:sz w:val="26"/>
          <w:szCs w:val="26"/>
        </w:rPr>
      </w:pPr>
      <w:r w:rsidRPr="00237C51">
        <w:rPr>
          <w:rFonts w:ascii="Aptos Display" w:hAnsi="Aptos Display"/>
          <w:b/>
          <w:bCs/>
          <w:sz w:val="26"/>
          <w:szCs w:val="26"/>
        </w:rPr>
        <w:t>Shane Rattenbury MLA</w:t>
      </w:r>
    </w:p>
    <w:p w14:paraId="2AB6544B" w14:textId="705787F9" w:rsidR="00237C51" w:rsidRPr="00237C51" w:rsidRDefault="00237C51" w:rsidP="00237C51">
      <w:pPr>
        <w:spacing w:after="80"/>
        <w:ind w:right="573"/>
        <w:jc w:val="right"/>
        <w:rPr>
          <w:rFonts w:ascii="Aptos Display" w:hAnsi="Aptos Display"/>
          <w:b/>
          <w:bCs/>
          <w:sz w:val="26"/>
          <w:szCs w:val="26"/>
        </w:rPr>
      </w:pPr>
      <w:r>
        <w:rPr>
          <w:rFonts w:ascii="Aptos Display" w:hAnsi="Aptos Display"/>
          <w:b/>
          <w:bCs/>
          <w:sz w:val="26"/>
          <w:szCs w:val="26"/>
        </w:rPr>
        <w:t>Leader of the ACT Greens</w:t>
      </w:r>
    </w:p>
    <w:p w14:paraId="1371856B" w14:textId="6820A7E8" w:rsidR="4FA27BCE" w:rsidRPr="000F2C94" w:rsidRDefault="4FA27BCE" w:rsidP="00237C51">
      <w:pPr>
        <w:spacing w:after="80"/>
        <w:ind w:right="573"/>
        <w:jc w:val="right"/>
        <w:rPr>
          <w:rFonts w:ascii="Aptos Display" w:hAnsi="Aptos Display"/>
          <w:sz w:val="26"/>
          <w:szCs w:val="26"/>
        </w:rPr>
      </w:pPr>
      <w:r w:rsidRPr="000F2C94">
        <w:rPr>
          <w:rFonts w:ascii="Aptos Display" w:hAnsi="Aptos Display"/>
          <w:sz w:val="26"/>
          <w:szCs w:val="26"/>
        </w:rPr>
        <w:t xml:space="preserve">Member for </w:t>
      </w:r>
      <w:r w:rsidR="00A3017B" w:rsidRPr="000F2C94">
        <w:rPr>
          <w:rFonts w:ascii="Aptos Display" w:hAnsi="Aptos Display"/>
          <w:sz w:val="26"/>
          <w:szCs w:val="26"/>
        </w:rPr>
        <w:t>Kurrajong</w:t>
      </w:r>
    </w:p>
    <w:p w14:paraId="462992DF" w14:textId="77777777" w:rsidR="00396A89" w:rsidRDefault="00AB3FDC" w:rsidP="00396A89">
      <w:pPr>
        <w:spacing w:after="80"/>
        <w:ind w:right="573"/>
        <w:jc w:val="right"/>
        <w:rPr>
          <w:rFonts w:ascii="Aptos Display" w:hAnsi="Aptos Display"/>
          <w:sz w:val="26"/>
          <w:szCs w:val="26"/>
        </w:rPr>
      </w:pPr>
      <w:r w:rsidRPr="000F2C94">
        <w:rPr>
          <w:rFonts w:ascii="Aptos Display" w:hAnsi="Aptos Display"/>
          <w:sz w:val="26"/>
          <w:szCs w:val="26"/>
        </w:rPr>
        <w:t>March 2025</w:t>
      </w:r>
    </w:p>
    <w:p w14:paraId="607D7058" w14:textId="3ACC8C10" w:rsidR="313C3194" w:rsidRPr="00396A89" w:rsidRDefault="00E55E65" w:rsidP="00DC1C75">
      <w:pPr>
        <w:spacing w:after="80" w:line="240" w:lineRule="auto"/>
        <w:ind w:right="573"/>
        <w:rPr>
          <w:rFonts w:ascii="Aptos Display" w:hAnsi="Aptos Display"/>
          <w:sz w:val="26"/>
          <w:szCs w:val="26"/>
        </w:rPr>
      </w:pPr>
      <w:r>
        <w:rPr>
          <w:rFonts w:ascii="Aptos Display" w:hAnsi="Aptos Display"/>
          <w:b/>
          <w:bCs/>
          <w:sz w:val="26"/>
          <w:szCs w:val="26"/>
        </w:rPr>
        <w:lastRenderedPageBreak/>
        <w:t>Planning (Ainslie Volcanics) Amendment Bill 2025</w:t>
      </w:r>
    </w:p>
    <w:p w14:paraId="530B7DD7" w14:textId="77777777" w:rsidR="00396A89" w:rsidRPr="00396A89" w:rsidRDefault="00396A89" w:rsidP="00DC1C75">
      <w:pPr>
        <w:spacing w:line="240" w:lineRule="auto"/>
        <w:rPr>
          <w:rFonts w:ascii="Aptos Display" w:hAnsi="Aptos Display"/>
          <w:sz w:val="6"/>
          <w:szCs w:val="6"/>
          <w:u w:val="single"/>
        </w:rPr>
      </w:pPr>
    </w:p>
    <w:p w14:paraId="4601B597" w14:textId="54260E9D" w:rsidR="15452C6A" w:rsidRPr="00396A89" w:rsidRDefault="15452C6A" w:rsidP="00DC1C75">
      <w:pPr>
        <w:spacing w:line="240" w:lineRule="auto"/>
        <w:rPr>
          <w:rFonts w:ascii="Aptos Display" w:hAnsi="Aptos Display"/>
          <w:sz w:val="26"/>
          <w:szCs w:val="26"/>
          <w:u w:val="single"/>
        </w:rPr>
      </w:pPr>
      <w:r w:rsidRPr="00396A89">
        <w:rPr>
          <w:rFonts w:ascii="Aptos Display" w:hAnsi="Aptos Display"/>
          <w:sz w:val="26"/>
          <w:szCs w:val="26"/>
          <w:u w:val="single"/>
        </w:rPr>
        <w:t>Introduction</w:t>
      </w:r>
    </w:p>
    <w:p w14:paraId="7D36BBD4" w14:textId="6353EF21" w:rsidR="005047F7" w:rsidRPr="00237C51" w:rsidRDefault="005047F7" w:rsidP="00DC1C75">
      <w:pPr>
        <w:spacing w:line="240" w:lineRule="auto"/>
        <w:rPr>
          <w:rFonts w:ascii="Aptos Display" w:hAnsi="Aptos Display"/>
          <w:sz w:val="26"/>
          <w:szCs w:val="26"/>
        </w:rPr>
      </w:pPr>
      <w:r w:rsidRPr="00237C51">
        <w:rPr>
          <w:rFonts w:ascii="Aptos Display" w:hAnsi="Aptos Display"/>
          <w:sz w:val="26"/>
          <w:szCs w:val="26"/>
        </w:rPr>
        <w:t xml:space="preserve">This explanatory statement relates to the </w:t>
      </w:r>
      <w:r w:rsidR="00574570">
        <w:rPr>
          <w:rFonts w:ascii="Aptos Display" w:hAnsi="Aptos Display"/>
          <w:sz w:val="26"/>
          <w:szCs w:val="26"/>
        </w:rPr>
        <w:t xml:space="preserve">Planning (Ainslie </w:t>
      </w:r>
      <w:r w:rsidR="00F539E1">
        <w:rPr>
          <w:rFonts w:ascii="Aptos Display" w:hAnsi="Aptos Display"/>
          <w:sz w:val="26"/>
          <w:szCs w:val="26"/>
        </w:rPr>
        <w:t>Volcanics</w:t>
      </w:r>
      <w:r w:rsidR="00574570">
        <w:rPr>
          <w:rFonts w:ascii="Aptos Display" w:hAnsi="Aptos Display"/>
          <w:sz w:val="26"/>
          <w:szCs w:val="26"/>
        </w:rPr>
        <w:t>)</w:t>
      </w:r>
      <w:r w:rsidRPr="00237C51">
        <w:rPr>
          <w:rFonts w:ascii="Aptos Display" w:hAnsi="Aptos Display"/>
          <w:sz w:val="26"/>
          <w:szCs w:val="26"/>
        </w:rPr>
        <w:t xml:space="preserve"> Amendment Bill 202</w:t>
      </w:r>
      <w:r w:rsidR="00574570">
        <w:rPr>
          <w:rFonts w:ascii="Aptos Display" w:hAnsi="Aptos Display"/>
          <w:sz w:val="26"/>
          <w:szCs w:val="26"/>
        </w:rPr>
        <w:t>5</w:t>
      </w:r>
      <w:r w:rsidRPr="00237C51">
        <w:rPr>
          <w:rFonts w:ascii="Aptos Display" w:hAnsi="Aptos Display"/>
          <w:sz w:val="26"/>
          <w:szCs w:val="26"/>
        </w:rPr>
        <w:t xml:space="preserve"> (the Bill) as presented to the ACT Legislative Assembly</w:t>
      </w:r>
      <w:r w:rsidR="00574570">
        <w:rPr>
          <w:rFonts w:ascii="Aptos Display" w:hAnsi="Aptos Display"/>
          <w:sz w:val="26"/>
          <w:szCs w:val="26"/>
        </w:rPr>
        <w:t xml:space="preserve"> by Shane Rattenbury MLA</w:t>
      </w:r>
      <w:r w:rsidRPr="00237C51">
        <w:rPr>
          <w:rFonts w:ascii="Aptos Display" w:hAnsi="Aptos Display"/>
          <w:sz w:val="26"/>
          <w:szCs w:val="26"/>
        </w:rPr>
        <w:t>. It has been prepared to assist the reader of the Bill and to help inform debate on it. It does not form part of the Bill and has not been endorsed by the Assembly.</w:t>
      </w:r>
    </w:p>
    <w:p w14:paraId="627EC079" w14:textId="3C8F7D7F" w:rsidR="0095224F" w:rsidRDefault="0046150D" w:rsidP="00DC1C75">
      <w:pPr>
        <w:spacing w:line="240" w:lineRule="auto"/>
        <w:rPr>
          <w:rFonts w:ascii="Aptos Display" w:hAnsi="Aptos Display"/>
          <w:sz w:val="26"/>
          <w:szCs w:val="26"/>
        </w:rPr>
      </w:pPr>
      <w:r w:rsidRPr="00237C51">
        <w:rPr>
          <w:rFonts w:ascii="Aptos Display" w:hAnsi="Aptos Display"/>
          <w:sz w:val="26"/>
          <w:szCs w:val="26"/>
        </w:rPr>
        <w:t>The</w:t>
      </w:r>
      <w:r w:rsidR="00B26AF0">
        <w:rPr>
          <w:rFonts w:ascii="Aptos Display" w:hAnsi="Aptos Display"/>
          <w:sz w:val="26"/>
          <w:szCs w:val="26"/>
        </w:rPr>
        <w:t xml:space="preserve"> s</w:t>
      </w:r>
      <w:r w:rsidRPr="00237C51">
        <w:rPr>
          <w:rFonts w:ascii="Aptos Display" w:hAnsi="Aptos Display"/>
          <w:sz w:val="26"/>
          <w:szCs w:val="26"/>
        </w:rPr>
        <w:t xml:space="preserve">tatement must be read in conjunction with the Bill. It is not, and is not meant to be, a comprehensive description of the Bill. What </w:t>
      </w:r>
      <w:r w:rsidR="00531FA1" w:rsidRPr="00237C51">
        <w:rPr>
          <w:rFonts w:ascii="Aptos Display" w:hAnsi="Aptos Display"/>
          <w:sz w:val="26"/>
          <w:szCs w:val="26"/>
        </w:rPr>
        <w:t>i</w:t>
      </w:r>
      <w:r w:rsidRPr="00237C51">
        <w:rPr>
          <w:rFonts w:ascii="Aptos Display" w:hAnsi="Aptos Display"/>
          <w:sz w:val="26"/>
          <w:szCs w:val="26"/>
        </w:rPr>
        <w:t xml:space="preserve">s said about a provision is not to be taken as an authoritative guide to the meaning of a provision, this being a task for the courts. </w:t>
      </w:r>
    </w:p>
    <w:p w14:paraId="5E1175FC" w14:textId="77777777" w:rsidR="006F1084" w:rsidRPr="006F1084" w:rsidRDefault="006F1084" w:rsidP="00DC1C75">
      <w:pPr>
        <w:spacing w:line="240" w:lineRule="auto"/>
        <w:rPr>
          <w:rFonts w:ascii="Aptos Display" w:hAnsi="Aptos Display"/>
          <w:sz w:val="6"/>
          <w:szCs w:val="6"/>
        </w:rPr>
      </w:pPr>
    </w:p>
    <w:p w14:paraId="0DC90932" w14:textId="4F270A0B" w:rsidR="15452C6A" w:rsidRPr="006F1084" w:rsidRDefault="15452C6A" w:rsidP="00DC1C75">
      <w:pPr>
        <w:spacing w:line="240" w:lineRule="auto"/>
        <w:rPr>
          <w:rFonts w:ascii="Aptos Display" w:hAnsi="Aptos Display"/>
          <w:sz w:val="26"/>
          <w:szCs w:val="26"/>
          <w:u w:val="single"/>
        </w:rPr>
      </w:pPr>
      <w:r w:rsidRPr="006F1084">
        <w:rPr>
          <w:rFonts w:ascii="Aptos Display" w:hAnsi="Aptos Display"/>
          <w:sz w:val="26"/>
          <w:szCs w:val="26"/>
          <w:u w:val="single"/>
        </w:rPr>
        <w:t xml:space="preserve">Overview of the Bill </w:t>
      </w:r>
    </w:p>
    <w:p w14:paraId="0E1E3CE2" w14:textId="5250B5A6" w:rsidR="006F1084" w:rsidRDefault="0074292F" w:rsidP="00DC1C75">
      <w:pPr>
        <w:spacing w:line="240" w:lineRule="auto"/>
        <w:rPr>
          <w:rFonts w:ascii="Aptos Display" w:hAnsi="Aptos Display"/>
          <w:sz w:val="26"/>
          <w:szCs w:val="26"/>
        </w:rPr>
      </w:pPr>
      <w:r w:rsidRPr="7CDD1913">
        <w:rPr>
          <w:rFonts w:ascii="Aptos Display" w:hAnsi="Aptos Display"/>
          <w:sz w:val="26"/>
          <w:szCs w:val="26"/>
        </w:rPr>
        <w:t xml:space="preserve">The Planning (Ainslie Volcanics) Amendment Bill 2025 aims to safeguard </w:t>
      </w:r>
      <w:r w:rsidR="00E15814" w:rsidRPr="7CDD1913">
        <w:rPr>
          <w:rFonts w:ascii="Aptos Display" w:hAnsi="Aptos Display"/>
          <w:sz w:val="26"/>
          <w:szCs w:val="26"/>
        </w:rPr>
        <w:t>environmentally and</w:t>
      </w:r>
      <w:r w:rsidRPr="7CDD1913">
        <w:rPr>
          <w:rFonts w:ascii="Aptos Display" w:hAnsi="Aptos Display"/>
          <w:sz w:val="26"/>
          <w:szCs w:val="26"/>
        </w:rPr>
        <w:t xml:space="preserve"> ecologically significant land located at the corner of Quick </w:t>
      </w:r>
      <w:r w:rsidR="00E15814" w:rsidRPr="7CDD1913">
        <w:rPr>
          <w:rFonts w:ascii="Aptos Display" w:hAnsi="Aptos Display"/>
          <w:sz w:val="26"/>
          <w:szCs w:val="26"/>
        </w:rPr>
        <w:t>Street</w:t>
      </w:r>
      <w:r w:rsidRPr="7CDD1913">
        <w:rPr>
          <w:rFonts w:ascii="Aptos Display" w:hAnsi="Aptos Display"/>
          <w:sz w:val="26"/>
          <w:szCs w:val="26"/>
        </w:rPr>
        <w:t xml:space="preserve"> and Limestone </w:t>
      </w:r>
      <w:r w:rsidR="00E15814" w:rsidRPr="7CDD1913">
        <w:rPr>
          <w:rFonts w:ascii="Aptos Display" w:hAnsi="Aptos Display"/>
          <w:sz w:val="26"/>
          <w:szCs w:val="26"/>
        </w:rPr>
        <w:t>Avenue</w:t>
      </w:r>
      <w:r w:rsidRPr="7CDD1913">
        <w:rPr>
          <w:rFonts w:ascii="Aptos Display" w:hAnsi="Aptos Display"/>
          <w:sz w:val="26"/>
          <w:szCs w:val="26"/>
        </w:rPr>
        <w:t xml:space="preserve"> in Ainslie. This </w:t>
      </w:r>
      <w:r w:rsidR="6B9F9295" w:rsidRPr="7CDD1913">
        <w:rPr>
          <w:rFonts w:ascii="Aptos Display" w:hAnsi="Aptos Display"/>
          <w:sz w:val="26"/>
          <w:szCs w:val="26"/>
        </w:rPr>
        <w:t>B</w:t>
      </w:r>
      <w:r w:rsidRPr="7CDD1913">
        <w:rPr>
          <w:rFonts w:ascii="Aptos Display" w:hAnsi="Aptos Display"/>
          <w:sz w:val="26"/>
          <w:szCs w:val="26"/>
        </w:rPr>
        <w:t>ill revoke</w:t>
      </w:r>
      <w:r w:rsidR="16310331" w:rsidRPr="7CDD1913">
        <w:rPr>
          <w:rFonts w:ascii="Aptos Display" w:hAnsi="Aptos Display"/>
          <w:sz w:val="26"/>
          <w:szCs w:val="26"/>
        </w:rPr>
        <w:t>s</w:t>
      </w:r>
      <w:r w:rsidRPr="7CDD1913">
        <w:rPr>
          <w:rFonts w:ascii="Aptos Display" w:hAnsi="Aptos Display"/>
          <w:sz w:val="26"/>
          <w:szCs w:val="26"/>
        </w:rPr>
        <w:t xml:space="preserve"> an already approved development application for the site and to prohibit any future development, thereby preserving its environmental values.</w:t>
      </w:r>
    </w:p>
    <w:p w14:paraId="34102DE2" w14:textId="77777777" w:rsidR="00CD0E43" w:rsidRPr="00CD0E43" w:rsidRDefault="00CD0E43" w:rsidP="00DC1C75">
      <w:pPr>
        <w:spacing w:line="240" w:lineRule="auto"/>
        <w:rPr>
          <w:rFonts w:ascii="Aptos Display" w:hAnsi="Aptos Display"/>
          <w:sz w:val="6"/>
          <w:szCs w:val="6"/>
        </w:rPr>
      </w:pPr>
    </w:p>
    <w:p w14:paraId="3D941B37" w14:textId="0DC7E1D2" w:rsidR="00020700" w:rsidRPr="006F1084" w:rsidRDefault="00020700" w:rsidP="00DC1C75">
      <w:pPr>
        <w:spacing w:line="240" w:lineRule="auto"/>
        <w:rPr>
          <w:rFonts w:ascii="Aptos Display" w:hAnsi="Aptos Display"/>
          <w:sz w:val="26"/>
          <w:szCs w:val="26"/>
          <w:u w:val="single"/>
        </w:rPr>
      </w:pPr>
      <w:r w:rsidRPr="006F1084">
        <w:rPr>
          <w:rFonts w:ascii="Aptos Display" w:hAnsi="Aptos Display"/>
          <w:sz w:val="26"/>
          <w:szCs w:val="26"/>
          <w:u w:val="single"/>
        </w:rPr>
        <w:t>Background</w:t>
      </w:r>
    </w:p>
    <w:p w14:paraId="05DE2AA1" w14:textId="68E84986" w:rsidR="00BD3E45" w:rsidRPr="00BD3E45" w:rsidRDefault="00BD3E45" w:rsidP="00BD3E45">
      <w:pPr>
        <w:spacing w:line="240" w:lineRule="auto"/>
        <w:rPr>
          <w:rFonts w:ascii="Aptos Display" w:hAnsi="Aptos Display"/>
          <w:sz w:val="26"/>
          <w:szCs w:val="26"/>
        </w:rPr>
      </w:pPr>
      <w:r w:rsidRPr="00BD3E45">
        <w:rPr>
          <w:rFonts w:ascii="Aptos Display" w:hAnsi="Aptos Display"/>
          <w:sz w:val="26"/>
          <w:szCs w:val="26"/>
        </w:rPr>
        <w:t>Ainslie Volcanics, located at the base of Mount Ainslie in Canberra's suburb of Ainslie, is a region of significant ecological and cultural importance. Spanning from the corner of Quick Street and Limestone Avenue towards Ainslie Village, this area encompasses a mix of grassland and woodland habitats. It is home to critically endangered ecological communities, including natural temperate grasslands and box gum woodlands, which are protected under both ACT and Commonwealth legislation.</w:t>
      </w:r>
    </w:p>
    <w:p w14:paraId="6BF937A6" w14:textId="5D613E7D" w:rsidR="00BD3E45" w:rsidRPr="00BD3E45" w:rsidRDefault="00BD3E45" w:rsidP="00BD3E45">
      <w:pPr>
        <w:spacing w:line="240" w:lineRule="auto"/>
        <w:rPr>
          <w:rFonts w:ascii="Aptos Display" w:hAnsi="Aptos Display"/>
          <w:sz w:val="26"/>
          <w:szCs w:val="26"/>
        </w:rPr>
      </w:pPr>
      <w:r w:rsidRPr="00BD3E45">
        <w:rPr>
          <w:rFonts w:ascii="Aptos Display" w:hAnsi="Aptos Display"/>
          <w:sz w:val="26"/>
          <w:szCs w:val="26"/>
        </w:rPr>
        <w:t xml:space="preserve">The site also supports threatened native species such as the Canberra Spider Orchid and the Golden Sun Moth. These species' presence highlights the area's rich biodiversity and the necessity for its conservation. </w:t>
      </w:r>
    </w:p>
    <w:p w14:paraId="05131031" w14:textId="6EC21904" w:rsidR="00BD3E45" w:rsidRPr="00BD3E45" w:rsidRDefault="00BD3E45" w:rsidP="00BD3E45">
      <w:pPr>
        <w:spacing w:line="240" w:lineRule="auto"/>
        <w:rPr>
          <w:rFonts w:ascii="Aptos Display" w:hAnsi="Aptos Display"/>
          <w:sz w:val="26"/>
          <w:szCs w:val="26"/>
        </w:rPr>
      </w:pPr>
      <w:r w:rsidRPr="00BD3E45">
        <w:rPr>
          <w:rFonts w:ascii="Aptos Display" w:hAnsi="Aptos Display"/>
          <w:sz w:val="26"/>
          <w:szCs w:val="26"/>
        </w:rPr>
        <w:t xml:space="preserve">Community groups, notably the Ainslie Volcanics Weeders, have been actively involved in rehabilitating the area by removing invasive weed species like St John's Wort. Their efforts aim to restore the native grasslands and enhance the site's ecological health. </w:t>
      </w:r>
      <w:r w:rsidRPr="00BD3E45">
        <w:rPr>
          <w:rFonts w:ascii="Arial" w:hAnsi="Arial" w:cs="Arial"/>
          <w:sz w:val="26"/>
          <w:szCs w:val="26"/>
        </w:rPr>
        <w:t>​</w:t>
      </w:r>
    </w:p>
    <w:p w14:paraId="7B6B270A" w14:textId="77777777" w:rsidR="00773A17" w:rsidRDefault="00BD3E45" w:rsidP="00BD3E45">
      <w:pPr>
        <w:spacing w:line="240" w:lineRule="auto"/>
        <w:rPr>
          <w:rFonts w:ascii="Aptos Display" w:hAnsi="Aptos Display"/>
          <w:sz w:val="26"/>
          <w:szCs w:val="26"/>
        </w:rPr>
      </w:pPr>
      <w:r w:rsidRPr="00BD3E45">
        <w:rPr>
          <w:rFonts w:ascii="Aptos Display" w:hAnsi="Aptos Display"/>
          <w:sz w:val="26"/>
          <w:szCs w:val="26"/>
        </w:rPr>
        <w:t>In May 2023, a petition was initiated to incorporate the Ainslie Volcanics site into the Canberra Nature Park. This initiative seeks to provide formal protection and ensure the long-term preservation of the site's unique natural and cultural values</w:t>
      </w:r>
      <w:r w:rsidR="00773A17">
        <w:rPr>
          <w:rFonts w:ascii="Aptos Display" w:hAnsi="Aptos Display"/>
          <w:sz w:val="26"/>
          <w:szCs w:val="26"/>
        </w:rPr>
        <w:t>.</w:t>
      </w:r>
    </w:p>
    <w:p w14:paraId="6B531006" w14:textId="77777777" w:rsidR="002702B6" w:rsidRDefault="00773A17" w:rsidP="00BD3E45">
      <w:pPr>
        <w:spacing w:line="240" w:lineRule="auto"/>
        <w:rPr>
          <w:rFonts w:ascii="Aptos Display" w:hAnsi="Aptos Display"/>
          <w:sz w:val="26"/>
          <w:szCs w:val="26"/>
        </w:rPr>
      </w:pPr>
      <w:r>
        <w:rPr>
          <w:rFonts w:ascii="Aptos Display" w:hAnsi="Aptos Display"/>
          <w:sz w:val="26"/>
          <w:szCs w:val="26"/>
        </w:rPr>
        <w:t xml:space="preserve">In response, the government </w:t>
      </w:r>
      <w:r w:rsidR="003628F9">
        <w:rPr>
          <w:rFonts w:ascii="Aptos Display" w:hAnsi="Aptos Display"/>
          <w:sz w:val="26"/>
          <w:szCs w:val="26"/>
        </w:rPr>
        <w:t>acknowledged the site has important ecological and cultural values that require ongoing protection</w:t>
      </w:r>
      <w:r w:rsidR="004C0E43">
        <w:rPr>
          <w:rFonts w:ascii="Aptos Display" w:hAnsi="Aptos Display"/>
          <w:sz w:val="26"/>
          <w:szCs w:val="26"/>
        </w:rPr>
        <w:t>. They acknowledged that adding the area into the protected areas of Canberra Nature Park could assist to secure ecological improvements</w:t>
      </w:r>
      <w:r w:rsidR="002702B6">
        <w:rPr>
          <w:rFonts w:ascii="Aptos Display" w:hAnsi="Aptos Display"/>
          <w:sz w:val="26"/>
          <w:szCs w:val="26"/>
        </w:rPr>
        <w:t>.</w:t>
      </w:r>
    </w:p>
    <w:p w14:paraId="07F807C0" w14:textId="77777777" w:rsidR="00A1430B" w:rsidRDefault="00A15CFA" w:rsidP="00BD3E45">
      <w:pPr>
        <w:spacing w:line="240" w:lineRule="auto"/>
        <w:rPr>
          <w:rFonts w:ascii="Arial" w:hAnsi="Arial" w:cs="Arial"/>
          <w:sz w:val="26"/>
          <w:szCs w:val="26"/>
        </w:rPr>
      </w:pPr>
      <w:r>
        <w:rPr>
          <w:rFonts w:ascii="Aptos Display" w:hAnsi="Aptos Display"/>
          <w:sz w:val="26"/>
          <w:szCs w:val="26"/>
        </w:rPr>
        <w:lastRenderedPageBreak/>
        <w:t xml:space="preserve">However, the government stopped short of committing to protecting </w:t>
      </w:r>
      <w:r w:rsidR="00A370C8">
        <w:rPr>
          <w:rFonts w:ascii="Aptos Display" w:hAnsi="Aptos Display"/>
          <w:sz w:val="26"/>
          <w:szCs w:val="26"/>
        </w:rPr>
        <w:t xml:space="preserve">the block, arguing it would </w:t>
      </w:r>
      <w:r w:rsidR="00A1430B">
        <w:rPr>
          <w:rFonts w:ascii="Aptos Display" w:hAnsi="Aptos Display"/>
          <w:sz w:val="26"/>
          <w:szCs w:val="26"/>
        </w:rPr>
        <w:t xml:space="preserve">require significant additional resourcing. </w:t>
      </w:r>
    </w:p>
    <w:p w14:paraId="153F82C5" w14:textId="39C59994" w:rsidR="00BD3E45" w:rsidRDefault="00BD3E45" w:rsidP="00BD3E45">
      <w:pPr>
        <w:spacing w:line="240" w:lineRule="auto"/>
        <w:rPr>
          <w:rFonts w:ascii="Arial" w:hAnsi="Arial" w:cs="Arial"/>
          <w:sz w:val="26"/>
          <w:szCs w:val="26"/>
        </w:rPr>
      </w:pPr>
      <w:r w:rsidRPr="00BD3E45">
        <w:rPr>
          <w:rFonts w:ascii="Aptos Display" w:hAnsi="Aptos Display"/>
          <w:sz w:val="26"/>
          <w:szCs w:val="26"/>
        </w:rPr>
        <w:t>Despite its recogni</w:t>
      </w:r>
      <w:r w:rsidR="00A1430B">
        <w:rPr>
          <w:rFonts w:ascii="Aptos Display" w:hAnsi="Aptos Display"/>
          <w:sz w:val="26"/>
          <w:szCs w:val="26"/>
        </w:rPr>
        <w:t>s</w:t>
      </w:r>
      <w:r w:rsidRPr="00BD3E45">
        <w:rPr>
          <w:rFonts w:ascii="Aptos Display" w:hAnsi="Aptos Display"/>
          <w:sz w:val="26"/>
          <w:szCs w:val="26"/>
        </w:rPr>
        <w:t xml:space="preserve">ed significance, the site has faced development pressures. In late 2024, the ACT Government approved the construction of a mobile telecommunications tower at the corner of Quick Street and Limestone Avenue. This decision was met with criticism from conservationists, who expressed concerns over potential impacts on the site's ecological integrity. </w:t>
      </w:r>
      <w:r w:rsidRPr="00BD3E45">
        <w:rPr>
          <w:rFonts w:ascii="Arial" w:hAnsi="Arial" w:cs="Arial"/>
          <w:sz w:val="26"/>
          <w:szCs w:val="26"/>
        </w:rPr>
        <w:t>​</w:t>
      </w:r>
    </w:p>
    <w:p w14:paraId="3B8C7D19" w14:textId="34F309EC" w:rsidR="007C771A" w:rsidRPr="007C771A" w:rsidRDefault="007C771A" w:rsidP="007C771A">
      <w:pPr>
        <w:spacing w:line="240" w:lineRule="auto"/>
        <w:rPr>
          <w:rFonts w:ascii="Aptos Display" w:hAnsi="Aptos Display"/>
          <w:sz w:val="26"/>
          <w:szCs w:val="26"/>
          <w:lang w:val="en-AU"/>
        </w:rPr>
      </w:pPr>
      <w:r w:rsidRPr="007C771A">
        <w:rPr>
          <w:rFonts w:ascii="Aptos Display" w:hAnsi="Aptos Display"/>
          <w:sz w:val="26"/>
          <w:szCs w:val="26"/>
          <w:lang w:val="en-AU"/>
        </w:rPr>
        <w:t xml:space="preserve">There is a significant divide between the concerns of the community and those of the government. The government has been focused solely on the </w:t>
      </w:r>
      <w:r w:rsidR="00C35824" w:rsidRPr="00C35824">
        <w:rPr>
          <w:rFonts w:ascii="Aptos Display" w:hAnsi="Aptos Display"/>
          <w:sz w:val="26"/>
          <w:szCs w:val="26"/>
          <w:lang w:val="en-AU"/>
        </w:rPr>
        <w:t xml:space="preserve">contemporaneous </w:t>
      </w:r>
      <w:r w:rsidR="00142AE5">
        <w:rPr>
          <w:rFonts w:ascii="Aptos Display" w:hAnsi="Aptos Display"/>
          <w:sz w:val="26"/>
          <w:szCs w:val="26"/>
          <w:lang w:val="en-AU"/>
        </w:rPr>
        <w:t>values</w:t>
      </w:r>
      <w:r w:rsidRPr="007C771A">
        <w:rPr>
          <w:rFonts w:ascii="Aptos Display" w:hAnsi="Aptos Display"/>
          <w:sz w:val="26"/>
          <w:szCs w:val="26"/>
          <w:lang w:val="en-AU"/>
        </w:rPr>
        <w:t xml:space="preserve"> of the Ainslie Volcanics site, failing to recognize its potential future ecological value.</w:t>
      </w:r>
    </w:p>
    <w:p w14:paraId="17A7ED52" w14:textId="77777777" w:rsidR="007C771A" w:rsidRPr="007C771A" w:rsidRDefault="007C771A" w:rsidP="007C771A">
      <w:pPr>
        <w:spacing w:line="240" w:lineRule="auto"/>
        <w:rPr>
          <w:rFonts w:ascii="Aptos Display" w:hAnsi="Aptos Display"/>
          <w:sz w:val="26"/>
          <w:szCs w:val="26"/>
          <w:lang w:val="en-AU"/>
        </w:rPr>
      </w:pPr>
      <w:r w:rsidRPr="007C771A">
        <w:rPr>
          <w:rFonts w:ascii="Aptos Display" w:hAnsi="Aptos Display"/>
          <w:sz w:val="26"/>
          <w:szCs w:val="26"/>
          <w:lang w:val="en-AU"/>
        </w:rPr>
        <w:t>Environmentalists and concerned local citizens initially restored degraded land, which is now recognized as ecologically significant, adjacent to the proposed development. Residents have now begun efforts to restore the site where the tower is proposed, drawing on their previous experience to demonstrate that this land can be restored to an ecologically significant state. This difference in perspective underpins the divide between the community and the government on this issue.</w:t>
      </w:r>
    </w:p>
    <w:p w14:paraId="213DA1E5" w14:textId="77777777" w:rsidR="00BD3E45" w:rsidRDefault="00BD3E45" w:rsidP="00BD3E45">
      <w:pPr>
        <w:spacing w:line="240" w:lineRule="auto"/>
        <w:rPr>
          <w:rFonts w:ascii="Aptos Display" w:hAnsi="Aptos Display"/>
          <w:sz w:val="26"/>
          <w:szCs w:val="26"/>
        </w:rPr>
      </w:pPr>
      <w:r w:rsidRPr="00BD3E45">
        <w:rPr>
          <w:rFonts w:ascii="Aptos Display" w:hAnsi="Aptos Display"/>
          <w:sz w:val="26"/>
          <w:szCs w:val="26"/>
        </w:rPr>
        <w:t>Efforts to protect and enhance the Ainslie Volcanics site continue, with ongoing community involvement and advocacy aimed at preserving its rich natural heritage for future generations.</w:t>
      </w:r>
    </w:p>
    <w:p w14:paraId="5E9AB750" w14:textId="77777777" w:rsidR="0010314A" w:rsidRPr="0008562D" w:rsidRDefault="0010314A" w:rsidP="00DC1C75">
      <w:pPr>
        <w:spacing w:line="240" w:lineRule="auto"/>
        <w:rPr>
          <w:rFonts w:ascii="Aptos Display" w:hAnsi="Aptos Display"/>
          <w:sz w:val="6"/>
          <w:szCs w:val="6"/>
        </w:rPr>
      </w:pPr>
    </w:p>
    <w:p w14:paraId="6CCA46BA" w14:textId="53EDA333" w:rsidR="15452C6A" w:rsidRPr="0008562D" w:rsidRDefault="00CA1BA0" w:rsidP="00DC1C75">
      <w:pPr>
        <w:spacing w:line="240" w:lineRule="auto"/>
        <w:rPr>
          <w:rFonts w:ascii="Aptos Display" w:hAnsi="Aptos Display"/>
          <w:sz w:val="26"/>
          <w:szCs w:val="26"/>
          <w:u w:val="single"/>
        </w:rPr>
      </w:pPr>
      <w:r w:rsidRPr="0008562D">
        <w:rPr>
          <w:rFonts w:ascii="Aptos Display" w:hAnsi="Aptos Display"/>
          <w:sz w:val="26"/>
          <w:szCs w:val="26"/>
          <w:u w:val="single"/>
        </w:rPr>
        <w:t>Clause Notes</w:t>
      </w:r>
    </w:p>
    <w:p w14:paraId="68006965" w14:textId="7FE03F8C" w:rsidR="00CA1BA0" w:rsidRPr="00237C51" w:rsidRDefault="008B5C9A" w:rsidP="00DC1C75">
      <w:pPr>
        <w:spacing w:line="240" w:lineRule="auto"/>
        <w:rPr>
          <w:rFonts w:ascii="Aptos Display" w:hAnsi="Aptos Display"/>
          <w:b/>
          <w:bCs/>
          <w:sz w:val="26"/>
          <w:szCs w:val="26"/>
        </w:rPr>
      </w:pPr>
      <w:r>
        <w:rPr>
          <w:rFonts w:ascii="Aptos Display" w:hAnsi="Aptos Display"/>
          <w:b/>
          <w:bCs/>
          <w:sz w:val="26"/>
          <w:szCs w:val="26"/>
        </w:rPr>
        <w:t xml:space="preserve">CLAUSE </w:t>
      </w:r>
      <w:r w:rsidR="00CA1BA0" w:rsidRPr="00237C51">
        <w:rPr>
          <w:rFonts w:ascii="Aptos Display" w:hAnsi="Aptos Display"/>
          <w:b/>
          <w:bCs/>
          <w:sz w:val="26"/>
          <w:szCs w:val="26"/>
        </w:rPr>
        <w:t>1</w:t>
      </w:r>
      <w:r w:rsidR="00FB183D">
        <w:rPr>
          <w:rFonts w:ascii="Aptos Display" w:hAnsi="Aptos Display"/>
          <w:b/>
          <w:bCs/>
          <w:sz w:val="26"/>
          <w:szCs w:val="26"/>
        </w:rPr>
        <w:t>:</w:t>
      </w:r>
      <w:r w:rsidR="00814502">
        <w:rPr>
          <w:rFonts w:ascii="Aptos Display" w:hAnsi="Aptos Display"/>
          <w:b/>
          <w:bCs/>
          <w:sz w:val="26"/>
          <w:szCs w:val="26"/>
        </w:rPr>
        <w:tab/>
      </w:r>
      <w:r w:rsidR="00CA1BA0" w:rsidRPr="00237C51">
        <w:rPr>
          <w:rFonts w:ascii="Aptos Display" w:hAnsi="Aptos Display"/>
          <w:b/>
          <w:bCs/>
          <w:sz w:val="26"/>
          <w:szCs w:val="26"/>
        </w:rPr>
        <w:t>Name of Act</w:t>
      </w:r>
    </w:p>
    <w:p w14:paraId="0ABDDC4B" w14:textId="336E043B" w:rsidR="00CA1BA0" w:rsidRPr="00BB6698" w:rsidRDefault="00CA1BA0" w:rsidP="00DC1C75">
      <w:pPr>
        <w:spacing w:line="240" w:lineRule="auto"/>
        <w:rPr>
          <w:rFonts w:ascii="Aptos Display" w:hAnsi="Aptos Display"/>
          <w:sz w:val="26"/>
          <w:szCs w:val="26"/>
        </w:rPr>
      </w:pPr>
      <w:r w:rsidRPr="00237C51">
        <w:rPr>
          <w:rFonts w:ascii="Aptos Display" w:hAnsi="Aptos Display"/>
          <w:sz w:val="26"/>
          <w:szCs w:val="26"/>
        </w:rPr>
        <w:t xml:space="preserve">The Act is the </w:t>
      </w:r>
      <w:r w:rsidR="00BB6698">
        <w:rPr>
          <w:rFonts w:ascii="Aptos Display" w:hAnsi="Aptos Display"/>
          <w:i/>
          <w:iCs/>
          <w:sz w:val="26"/>
          <w:szCs w:val="26"/>
        </w:rPr>
        <w:t>Planning (Ainslie Volcanics) Amendment Act 2025</w:t>
      </w:r>
      <w:r w:rsidR="00BB6698">
        <w:rPr>
          <w:rFonts w:ascii="Aptos Display" w:hAnsi="Aptos Display"/>
          <w:sz w:val="26"/>
          <w:szCs w:val="26"/>
        </w:rPr>
        <w:t>.</w:t>
      </w:r>
    </w:p>
    <w:p w14:paraId="41402713" w14:textId="5B76B7A8" w:rsidR="00FF02F1" w:rsidRPr="00237C51" w:rsidRDefault="00FB183D" w:rsidP="00DC1C75">
      <w:pPr>
        <w:spacing w:line="240" w:lineRule="auto"/>
        <w:rPr>
          <w:rFonts w:ascii="Aptos Display" w:hAnsi="Aptos Display"/>
          <w:b/>
          <w:bCs/>
          <w:sz w:val="26"/>
          <w:szCs w:val="26"/>
        </w:rPr>
      </w:pPr>
      <w:r>
        <w:rPr>
          <w:rFonts w:ascii="Aptos Display" w:hAnsi="Aptos Display"/>
          <w:b/>
          <w:bCs/>
          <w:sz w:val="26"/>
          <w:szCs w:val="26"/>
        </w:rPr>
        <w:t xml:space="preserve">CLAUSE </w:t>
      </w:r>
      <w:r w:rsidR="00FF02F1" w:rsidRPr="00237C51">
        <w:rPr>
          <w:rFonts w:ascii="Aptos Display" w:hAnsi="Aptos Display"/>
          <w:b/>
          <w:bCs/>
          <w:sz w:val="26"/>
          <w:szCs w:val="26"/>
        </w:rPr>
        <w:t>2</w:t>
      </w:r>
      <w:r>
        <w:rPr>
          <w:rFonts w:ascii="Aptos Display" w:hAnsi="Aptos Display"/>
          <w:b/>
          <w:bCs/>
          <w:sz w:val="26"/>
          <w:szCs w:val="26"/>
        </w:rPr>
        <w:tab/>
      </w:r>
      <w:r w:rsidR="00FF02F1" w:rsidRPr="00237C51">
        <w:rPr>
          <w:rFonts w:ascii="Aptos Display" w:hAnsi="Aptos Display"/>
          <w:b/>
          <w:bCs/>
          <w:sz w:val="26"/>
          <w:szCs w:val="26"/>
        </w:rPr>
        <w:t>Commencement</w:t>
      </w:r>
    </w:p>
    <w:p w14:paraId="2EB61DBA" w14:textId="3EFF905F" w:rsidR="00FF02F1" w:rsidRPr="00237C51" w:rsidRDefault="00FF02F1" w:rsidP="00DC1C75">
      <w:pPr>
        <w:spacing w:line="240" w:lineRule="auto"/>
        <w:rPr>
          <w:rFonts w:ascii="Aptos Display" w:hAnsi="Aptos Display"/>
          <w:sz w:val="26"/>
          <w:szCs w:val="26"/>
        </w:rPr>
      </w:pPr>
      <w:r w:rsidRPr="00237C51">
        <w:rPr>
          <w:rFonts w:ascii="Aptos Display" w:hAnsi="Aptos Display"/>
          <w:sz w:val="26"/>
          <w:szCs w:val="26"/>
        </w:rPr>
        <w:t xml:space="preserve">This Act </w:t>
      </w:r>
      <w:r w:rsidR="00714FA1">
        <w:rPr>
          <w:rFonts w:ascii="Aptos Display" w:hAnsi="Aptos Display"/>
          <w:sz w:val="26"/>
          <w:szCs w:val="26"/>
        </w:rPr>
        <w:t xml:space="preserve">commences on the day after its notification day. </w:t>
      </w:r>
    </w:p>
    <w:p w14:paraId="2002D29C" w14:textId="788F15CC" w:rsidR="00DF573C" w:rsidRPr="00237C51" w:rsidRDefault="00FB183D" w:rsidP="00DC1C75">
      <w:pPr>
        <w:spacing w:line="240" w:lineRule="auto"/>
        <w:rPr>
          <w:rFonts w:ascii="Aptos Display" w:hAnsi="Aptos Display"/>
          <w:b/>
          <w:bCs/>
          <w:sz w:val="26"/>
          <w:szCs w:val="26"/>
        </w:rPr>
      </w:pPr>
      <w:r>
        <w:rPr>
          <w:rFonts w:ascii="Aptos Display" w:hAnsi="Aptos Display"/>
          <w:b/>
          <w:bCs/>
          <w:sz w:val="26"/>
          <w:szCs w:val="26"/>
        </w:rPr>
        <w:t>CLAUSE 3:</w:t>
      </w:r>
      <w:r>
        <w:rPr>
          <w:rFonts w:ascii="Aptos Display" w:hAnsi="Aptos Display"/>
          <w:b/>
          <w:bCs/>
          <w:sz w:val="26"/>
          <w:szCs w:val="26"/>
        </w:rPr>
        <w:tab/>
      </w:r>
      <w:r w:rsidR="00DF573C" w:rsidRPr="00237C51">
        <w:rPr>
          <w:rFonts w:ascii="Aptos Display" w:hAnsi="Aptos Display"/>
          <w:b/>
          <w:bCs/>
          <w:sz w:val="26"/>
          <w:szCs w:val="26"/>
        </w:rPr>
        <w:t>Legislation amended</w:t>
      </w:r>
    </w:p>
    <w:p w14:paraId="31FD305C" w14:textId="37338380" w:rsidR="00DF573C" w:rsidRPr="00237C51" w:rsidRDefault="00DF573C" w:rsidP="00DC1C75">
      <w:pPr>
        <w:spacing w:line="240" w:lineRule="auto"/>
        <w:rPr>
          <w:rFonts w:ascii="Aptos Display" w:hAnsi="Aptos Display"/>
          <w:sz w:val="26"/>
          <w:szCs w:val="26"/>
        </w:rPr>
      </w:pPr>
      <w:r w:rsidRPr="00237C51">
        <w:rPr>
          <w:rFonts w:ascii="Aptos Display" w:hAnsi="Aptos Display"/>
          <w:sz w:val="26"/>
          <w:szCs w:val="26"/>
        </w:rPr>
        <w:t xml:space="preserve">This Act amends the </w:t>
      </w:r>
      <w:r w:rsidR="00714FA1" w:rsidRPr="00714FA1">
        <w:rPr>
          <w:rFonts w:ascii="Aptos Display" w:hAnsi="Aptos Display"/>
          <w:i/>
          <w:iCs/>
          <w:sz w:val="26"/>
          <w:szCs w:val="26"/>
        </w:rPr>
        <w:t>Planning Act 2023.</w:t>
      </w:r>
    </w:p>
    <w:p w14:paraId="005237F3" w14:textId="00AC33EE" w:rsidR="00DF573C" w:rsidRPr="00237C51" w:rsidRDefault="00FB183D" w:rsidP="00DC1C75">
      <w:pPr>
        <w:spacing w:line="240" w:lineRule="auto"/>
        <w:rPr>
          <w:rFonts w:ascii="Aptos Display" w:hAnsi="Aptos Display"/>
          <w:b/>
          <w:bCs/>
          <w:sz w:val="26"/>
          <w:szCs w:val="26"/>
        </w:rPr>
      </w:pPr>
      <w:r>
        <w:rPr>
          <w:rFonts w:ascii="Aptos Display" w:hAnsi="Aptos Display"/>
          <w:b/>
          <w:bCs/>
          <w:sz w:val="26"/>
          <w:szCs w:val="26"/>
        </w:rPr>
        <w:t xml:space="preserve">CLAUSE </w:t>
      </w:r>
      <w:r w:rsidR="00DF573C" w:rsidRPr="00237C51">
        <w:rPr>
          <w:rFonts w:ascii="Aptos Display" w:hAnsi="Aptos Display"/>
          <w:b/>
          <w:bCs/>
          <w:sz w:val="26"/>
          <w:szCs w:val="26"/>
        </w:rPr>
        <w:t>4</w:t>
      </w:r>
      <w:r w:rsidR="0071100D">
        <w:rPr>
          <w:rFonts w:ascii="Aptos Display" w:hAnsi="Aptos Display"/>
          <w:b/>
          <w:bCs/>
          <w:sz w:val="26"/>
          <w:szCs w:val="26"/>
        </w:rPr>
        <w:t>:</w:t>
      </w:r>
      <w:r>
        <w:rPr>
          <w:rFonts w:ascii="Aptos Display" w:hAnsi="Aptos Display"/>
          <w:b/>
          <w:bCs/>
          <w:sz w:val="26"/>
          <w:szCs w:val="26"/>
        </w:rPr>
        <w:tab/>
      </w:r>
      <w:r w:rsidR="00C14026">
        <w:rPr>
          <w:rFonts w:ascii="Aptos Display" w:hAnsi="Aptos Display"/>
          <w:b/>
          <w:bCs/>
          <w:sz w:val="26"/>
          <w:szCs w:val="26"/>
        </w:rPr>
        <w:t>New division 7.3.</w:t>
      </w:r>
      <w:r w:rsidR="00EB1E0F">
        <w:rPr>
          <w:rFonts w:ascii="Aptos Display" w:hAnsi="Aptos Display"/>
          <w:b/>
          <w:bCs/>
          <w:sz w:val="26"/>
          <w:szCs w:val="26"/>
        </w:rPr>
        <w:t>1</w:t>
      </w:r>
    </w:p>
    <w:p w14:paraId="5A7CF359" w14:textId="5DE517E6" w:rsidR="008E3074" w:rsidRDefault="00DF573C" w:rsidP="00DC1C75">
      <w:pPr>
        <w:spacing w:line="240" w:lineRule="auto"/>
        <w:rPr>
          <w:rFonts w:ascii="Aptos Display" w:hAnsi="Aptos Display"/>
          <w:sz w:val="26"/>
          <w:szCs w:val="26"/>
        </w:rPr>
      </w:pPr>
      <w:r w:rsidRPr="00237C51">
        <w:rPr>
          <w:rFonts w:ascii="Aptos Display" w:hAnsi="Aptos Display"/>
          <w:sz w:val="26"/>
          <w:szCs w:val="26"/>
        </w:rPr>
        <w:t xml:space="preserve">This clause </w:t>
      </w:r>
      <w:r w:rsidR="00C14026">
        <w:rPr>
          <w:rFonts w:ascii="Aptos Display" w:hAnsi="Aptos Display"/>
          <w:sz w:val="26"/>
          <w:szCs w:val="26"/>
        </w:rPr>
        <w:t xml:space="preserve">inserts a new </w:t>
      </w:r>
      <w:r w:rsidR="00C6780E">
        <w:rPr>
          <w:rFonts w:ascii="Aptos Display" w:hAnsi="Aptos Display"/>
          <w:sz w:val="26"/>
          <w:szCs w:val="26"/>
        </w:rPr>
        <w:t>division which will</w:t>
      </w:r>
      <w:r w:rsidR="00A75C29">
        <w:rPr>
          <w:rFonts w:ascii="Aptos Display" w:hAnsi="Aptos Display"/>
          <w:sz w:val="26"/>
          <w:szCs w:val="26"/>
        </w:rPr>
        <w:t xml:space="preserve"> prevent</w:t>
      </w:r>
      <w:r w:rsidR="008E3074">
        <w:rPr>
          <w:rFonts w:ascii="Aptos Display" w:hAnsi="Aptos Display"/>
          <w:sz w:val="26"/>
          <w:szCs w:val="26"/>
        </w:rPr>
        <w:t xml:space="preserve"> current and future</w:t>
      </w:r>
      <w:r w:rsidR="00A75C29">
        <w:rPr>
          <w:rFonts w:ascii="Aptos Display" w:hAnsi="Aptos Display"/>
          <w:sz w:val="26"/>
          <w:szCs w:val="26"/>
        </w:rPr>
        <w:t xml:space="preserve"> development </w:t>
      </w:r>
      <w:r w:rsidR="008E3074">
        <w:rPr>
          <w:rFonts w:ascii="Aptos Display" w:hAnsi="Aptos Display"/>
          <w:sz w:val="26"/>
          <w:szCs w:val="26"/>
        </w:rPr>
        <w:t>from</w:t>
      </w:r>
      <w:r w:rsidR="00A75C29">
        <w:rPr>
          <w:rFonts w:ascii="Aptos Display" w:hAnsi="Aptos Display"/>
          <w:sz w:val="26"/>
          <w:szCs w:val="26"/>
        </w:rPr>
        <w:t xml:space="preserve"> occurring at the Ainslie Volcanics site. </w:t>
      </w:r>
    </w:p>
    <w:p w14:paraId="02CC4A2B" w14:textId="5CB95D8D" w:rsidR="00A414C8" w:rsidRDefault="008E3074" w:rsidP="00DC1C75">
      <w:pPr>
        <w:spacing w:line="240" w:lineRule="auto"/>
        <w:rPr>
          <w:rFonts w:ascii="Aptos Display" w:hAnsi="Aptos Display"/>
          <w:sz w:val="26"/>
          <w:szCs w:val="26"/>
        </w:rPr>
      </w:pPr>
      <w:r>
        <w:rPr>
          <w:rFonts w:ascii="Aptos Display" w:hAnsi="Aptos Display"/>
          <w:sz w:val="26"/>
          <w:szCs w:val="26"/>
        </w:rPr>
        <w:t>S</w:t>
      </w:r>
      <w:r w:rsidR="00A75C29">
        <w:rPr>
          <w:rFonts w:ascii="Aptos Display" w:hAnsi="Aptos Display"/>
          <w:sz w:val="26"/>
          <w:szCs w:val="26"/>
        </w:rPr>
        <w:t>ection</w:t>
      </w:r>
      <w:r>
        <w:rPr>
          <w:rFonts w:ascii="Aptos Display" w:hAnsi="Aptos Display"/>
          <w:sz w:val="26"/>
          <w:szCs w:val="26"/>
        </w:rPr>
        <w:t xml:space="preserve"> 1</w:t>
      </w:r>
      <w:r w:rsidR="00093317">
        <w:rPr>
          <w:rFonts w:ascii="Aptos Display" w:hAnsi="Aptos Display"/>
          <w:sz w:val="26"/>
          <w:szCs w:val="26"/>
        </w:rPr>
        <w:t>59</w:t>
      </w:r>
      <w:r>
        <w:rPr>
          <w:rFonts w:ascii="Aptos Display" w:hAnsi="Aptos Display"/>
          <w:sz w:val="26"/>
          <w:szCs w:val="26"/>
        </w:rPr>
        <w:t>A of this division will</w:t>
      </w:r>
      <w:r w:rsidR="00C6780E">
        <w:rPr>
          <w:rFonts w:ascii="Aptos Display" w:hAnsi="Aptos Display"/>
          <w:sz w:val="26"/>
          <w:szCs w:val="26"/>
        </w:rPr>
        <w:t xml:space="preserve"> </w:t>
      </w:r>
      <w:r w:rsidR="00B74249">
        <w:rPr>
          <w:rFonts w:ascii="Aptos Display" w:hAnsi="Aptos Display"/>
          <w:sz w:val="26"/>
          <w:szCs w:val="26"/>
        </w:rPr>
        <w:t xml:space="preserve">revoke development application </w:t>
      </w:r>
      <w:r w:rsidR="0043322B">
        <w:rPr>
          <w:rFonts w:ascii="Aptos Display" w:hAnsi="Aptos Display"/>
          <w:sz w:val="26"/>
          <w:szCs w:val="26"/>
        </w:rPr>
        <w:t>202342438 from being approved at the site of block 3, section 60, division of Ainslie</w:t>
      </w:r>
      <w:r>
        <w:rPr>
          <w:rFonts w:ascii="Aptos Display" w:hAnsi="Aptos Display"/>
          <w:sz w:val="26"/>
          <w:szCs w:val="26"/>
        </w:rPr>
        <w:t>.</w:t>
      </w:r>
    </w:p>
    <w:p w14:paraId="59A137E1" w14:textId="339C1B7E" w:rsidR="008E3074" w:rsidRDefault="002541E9" w:rsidP="00DC1C75">
      <w:pPr>
        <w:spacing w:line="240" w:lineRule="auto"/>
        <w:rPr>
          <w:rFonts w:ascii="Aptos Display" w:hAnsi="Aptos Display"/>
          <w:sz w:val="26"/>
          <w:szCs w:val="26"/>
        </w:rPr>
      </w:pPr>
      <w:r>
        <w:rPr>
          <w:rFonts w:ascii="Aptos Display" w:hAnsi="Aptos Display"/>
          <w:sz w:val="26"/>
          <w:szCs w:val="26"/>
        </w:rPr>
        <w:lastRenderedPageBreak/>
        <w:t>Section 1</w:t>
      </w:r>
      <w:r w:rsidR="00E22658">
        <w:rPr>
          <w:rFonts w:ascii="Aptos Display" w:hAnsi="Aptos Display"/>
          <w:sz w:val="26"/>
          <w:szCs w:val="26"/>
        </w:rPr>
        <w:t>59</w:t>
      </w:r>
      <w:r>
        <w:rPr>
          <w:rFonts w:ascii="Aptos Display" w:hAnsi="Aptos Display"/>
          <w:sz w:val="26"/>
          <w:szCs w:val="26"/>
        </w:rPr>
        <w:t xml:space="preserve">B of the division will prevent any future development from occurring at the site by </w:t>
      </w:r>
      <w:r w:rsidR="00EB6827">
        <w:rPr>
          <w:rFonts w:ascii="Aptos Display" w:hAnsi="Aptos Display"/>
          <w:sz w:val="26"/>
          <w:szCs w:val="26"/>
        </w:rPr>
        <w:t>enforcing that any development applications for the site be refused.</w:t>
      </w:r>
    </w:p>
    <w:p w14:paraId="61F4BCB3" w14:textId="7E8449C2" w:rsidR="00EB3C37" w:rsidRPr="00237C51" w:rsidRDefault="007F33D3" w:rsidP="00DC1C75">
      <w:pPr>
        <w:spacing w:line="240" w:lineRule="auto"/>
        <w:rPr>
          <w:rFonts w:ascii="Aptos Display" w:hAnsi="Aptos Display"/>
          <w:b/>
          <w:bCs/>
          <w:sz w:val="26"/>
          <w:szCs w:val="26"/>
        </w:rPr>
      </w:pPr>
      <w:r w:rsidRPr="007F33D3">
        <w:rPr>
          <w:rFonts w:ascii="Aptos Display" w:hAnsi="Aptos Display"/>
          <w:sz w:val="26"/>
          <w:szCs w:val="26"/>
        </w:rPr>
        <w:t xml:space="preserve">Finally, </w:t>
      </w:r>
      <w:r>
        <w:rPr>
          <w:rFonts w:ascii="Aptos Display" w:hAnsi="Aptos Display"/>
          <w:sz w:val="26"/>
          <w:szCs w:val="26"/>
        </w:rPr>
        <w:t>s</w:t>
      </w:r>
      <w:r w:rsidRPr="007F33D3">
        <w:rPr>
          <w:rFonts w:ascii="Aptos Display" w:hAnsi="Aptos Display"/>
          <w:sz w:val="26"/>
          <w:szCs w:val="26"/>
        </w:rPr>
        <w:t>ection 1</w:t>
      </w:r>
      <w:r w:rsidR="00566CF1">
        <w:rPr>
          <w:rFonts w:ascii="Aptos Display" w:hAnsi="Aptos Display"/>
          <w:sz w:val="26"/>
          <w:szCs w:val="26"/>
        </w:rPr>
        <w:t>59</w:t>
      </w:r>
      <w:r w:rsidRPr="007F33D3">
        <w:rPr>
          <w:rFonts w:ascii="Aptos Display" w:hAnsi="Aptos Display"/>
          <w:sz w:val="26"/>
          <w:szCs w:val="26"/>
        </w:rPr>
        <w:t>C guarantees that any revocation of an approved development application is accompanied by fair and just compensation to the original applicant. This is achieved by requiring the territory to engage directly with the applicants to negotiate appropriate compensation. If these negotiations fail to reach an agreement, the applicant is entitled to take the matter to court to seek adequate compensation.</w:t>
      </w:r>
    </w:p>
    <w:p w14:paraId="0544E3A2" w14:textId="77777777" w:rsidR="00680DD0" w:rsidRPr="00680DD0" w:rsidRDefault="00680DD0" w:rsidP="00DC1C75">
      <w:pPr>
        <w:spacing w:line="240" w:lineRule="auto"/>
        <w:rPr>
          <w:rFonts w:ascii="Aptos Display" w:hAnsi="Aptos Display"/>
          <w:sz w:val="6"/>
          <w:szCs w:val="6"/>
        </w:rPr>
      </w:pPr>
    </w:p>
    <w:p w14:paraId="256D653F" w14:textId="4EE834E1" w:rsidR="00020700" w:rsidRPr="00680DD0" w:rsidRDefault="00020700" w:rsidP="00DC1C75">
      <w:pPr>
        <w:spacing w:line="240" w:lineRule="auto"/>
        <w:rPr>
          <w:rFonts w:ascii="Aptos Display" w:hAnsi="Aptos Display"/>
          <w:sz w:val="26"/>
          <w:szCs w:val="26"/>
          <w:u w:val="single"/>
        </w:rPr>
      </w:pPr>
      <w:r w:rsidRPr="00680DD0">
        <w:rPr>
          <w:rFonts w:ascii="Aptos Display" w:hAnsi="Aptos Display"/>
          <w:sz w:val="26"/>
          <w:szCs w:val="26"/>
          <w:u w:val="single"/>
        </w:rPr>
        <w:t xml:space="preserve">Human Rights Considerations </w:t>
      </w:r>
    </w:p>
    <w:p w14:paraId="318A36D3" w14:textId="13A36069" w:rsidR="008E3C43" w:rsidRDefault="00A41243" w:rsidP="00DC1C75">
      <w:pPr>
        <w:spacing w:line="240" w:lineRule="auto"/>
        <w:rPr>
          <w:rFonts w:ascii="Aptos Display" w:hAnsi="Aptos Display"/>
          <w:sz w:val="26"/>
          <w:szCs w:val="26"/>
        </w:rPr>
      </w:pPr>
      <w:r w:rsidRPr="00A41243">
        <w:rPr>
          <w:rFonts w:ascii="Aptos Display" w:hAnsi="Aptos Display"/>
          <w:sz w:val="26"/>
          <w:szCs w:val="26"/>
        </w:rPr>
        <w:t xml:space="preserve">During the development of the Bill, due regard was given to its interaction with human rights as set out in the Human Rights Act 2004 (the HRA). </w:t>
      </w:r>
      <w:r w:rsidR="001B34B1">
        <w:rPr>
          <w:rFonts w:ascii="Aptos Display" w:hAnsi="Aptos Display"/>
          <w:sz w:val="26"/>
          <w:szCs w:val="26"/>
        </w:rPr>
        <w:t xml:space="preserve">Engagement was made with the Human Rights Commission </w:t>
      </w:r>
      <w:r w:rsidR="00C92A5A">
        <w:rPr>
          <w:rFonts w:ascii="Aptos Display" w:hAnsi="Aptos Display"/>
          <w:sz w:val="26"/>
          <w:szCs w:val="26"/>
        </w:rPr>
        <w:t xml:space="preserve">(the HRC) </w:t>
      </w:r>
      <w:r w:rsidR="001B34B1">
        <w:rPr>
          <w:rFonts w:ascii="Aptos Display" w:hAnsi="Aptos Display"/>
          <w:sz w:val="26"/>
          <w:szCs w:val="26"/>
        </w:rPr>
        <w:t xml:space="preserve">which informs the Human Rights Considerations section of this </w:t>
      </w:r>
      <w:r w:rsidR="008E3C43">
        <w:rPr>
          <w:rFonts w:ascii="Aptos Display" w:hAnsi="Aptos Display"/>
          <w:sz w:val="26"/>
          <w:szCs w:val="26"/>
        </w:rPr>
        <w:t>Explanatory Statement</w:t>
      </w:r>
      <w:r w:rsidR="001B34B1">
        <w:rPr>
          <w:rFonts w:ascii="Aptos Display" w:hAnsi="Aptos Display"/>
          <w:sz w:val="26"/>
          <w:szCs w:val="26"/>
        </w:rPr>
        <w:t xml:space="preserve">. </w:t>
      </w:r>
      <w:r w:rsidRPr="00A41243">
        <w:rPr>
          <w:rFonts w:ascii="Aptos Display" w:hAnsi="Aptos Display"/>
          <w:sz w:val="26"/>
          <w:szCs w:val="26"/>
        </w:rPr>
        <w:t xml:space="preserve">The Bill engages and supports </w:t>
      </w:r>
      <w:r w:rsidR="00FC085F">
        <w:rPr>
          <w:rFonts w:ascii="Aptos Display" w:hAnsi="Aptos Display"/>
          <w:sz w:val="26"/>
          <w:szCs w:val="26"/>
        </w:rPr>
        <w:t>the right to a healthy environment</w:t>
      </w:r>
      <w:r w:rsidRPr="00A41243">
        <w:rPr>
          <w:rFonts w:ascii="Aptos Display" w:hAnsi="Aptos Display"/>
          <w:sz w:val="26"/>
          <w:szCs w:val="26"/>
        </w:rPr>
        <w:t xml:space="preserve"> and engages and </w:t>
      </w:r>
      <w:r w:rsidR="00FC085F">
        <w:rPr>
          <w:rFonts w:ascii="Aptos Display" w:hAnsi="Aptos Display"/>
          <w:sz w:val="26"/>
          <w:szCs w:val="26"/>
        </w:rPr>
        <w:t xml:space="preserve">potentially </w:t>
      </w:r>
      <w:r w:rsidRPr="00A41243">
        <w:rPr>
          <w:rFonts w:ascii="Aptos Display" w:hAnsi="Aptos Display"/>
          <w:sz w:val="26"/>
          <w:szCs w:val="26"/>
        </w:rPr>
        <w:t xml:space="preserve">limits rights </w:t>
      </w:r>
      <w:r w:rsidR="00FC085F">
        <w:rPr>
          <w:rFonts w:ascii="Aptos Display" w:hAnsi="Aptos Display"/>
          <w:sz w:val="26"/>
          <w:szCs w:val="26"/>
        </w:rPr>
        <w:t>the right to fair hearing.</w:t>
      </w:r>
    </w:p>
    <w:p w14:paraId="4110BA72" w14:textId="77777777" w:rsidR="007C7180" w:rsidRDefault="007C7180" w:rsidP="00DC1C75">
      <w:pPr>
        <w:spacing w:line="240" w:lineRule="auto"/>
        <w:rPr>
          <w:rFonts w:ascii="Aptos Display" w:hAnsi="Aptos Display"/>
          <w:sz w:val="26"/>
          <w:szCs w:val="26"/>
        </w:rPr>
      </w:pPr>
      <w:r w:rsidRPr="007C7180">
        <w:rPr>
          <w:rFonts w:ascii="Aptos Display" w:hAnsi="Aptos Display"/>
          <w:sz w:val="26"/>
          <w:szCs w:val="26"/>
        </w:rPr>
        <w:t>The proposed Private Members Bill would amend the Planning Act 2023 to:</w:t>
      </w:r>
    </w:p>
    <w:p w14:paraId="75155D91" w14:textId="77777777" w:rsidR="007C7180" w:rsidRDefault="007C7180" w:rsidP="007C7180">
      <w:pPr>
        <w:pStyle w:val="ListParagraph"/>
        <w:numPr>
          <w:ilvl w:val="0"/>
          <w:numId w:val="2"/>
        </w:numPr>
        <w:spacing w:line="240" w:lineRule="auto"/>
        <w:rPr>
          <w:rFonts w:ascii="Aptos Display" w:hAnsi="Aptos Display"/>
          <w:sz w:val="26"/>
          <w:szCs w:val="26"/>
        </w:rPr>
      </w:pPr>
      <w:r w:rsidRPr="007C7180">
        <w:rPr>
          <w:rFonts w:ascii="Aptos Display" w:hAnsi="Aptos Display"/>
          <w:sz w:val="26"/>
          <w:szCs w:val="26"/>
        </w:rPr>
        <w:t>Revoke any development approval given in relation to Block 3 of Section 60 in the Division of Ainslie (henceforth ‘the site’) under the Planning and Development Act 2007 (repealed) from commencement</w:t>
      </w:r>
    </w:p>
    <w:p w14:paraId="288AD636" w14:textId="77777777" w:rsidR="007C7180" w:rsidRDefault="007C7180" w:rsidP="007C7180">
      <w:pPr>
        <w:pStyle w:val="ListParagraph"/>
        <w:numPr>
          <w:ilvl w:val="0"/>
          <w:numId w:val="2"/>
        </w:numPr>
        <w:spacing w:line="240" w:lineRule="auto"/>
        <w:rPr>
          <w:rFonts w:ascii="Aptos Display" w:hAnsi="Aptos Display"/>
          <w:sz w:val="26"/>
          <w:szCs w:val="26"/>
        </w:rPr>
      </w:pPr>
      <w:r w:rsidRPr="007C7180">
        <w:rPr>
          <w:rFonts w:ascii="Aptos Display" w:hAnsi="Aptos Display"/>
          <w:sz w:val="26"/>
          <w:szCs w:val="26"/>
        </w:rPr>
        <w:t>Require that any development application made in relation to the site must be refused; and</w:t>
      </w:r>
    </w:p>
    <w:p w14:paraId="222D84F1" w14:textId="05050669" w:rsidR="007C7180" w:rsidRPr="007C7180" w:rsidRDefault="007C7180" w:rsidP="007C7180">
      <w:pPr>
        <w:pStyle w:val="ListParagraph"/>
        <w:numPr>
          <w:ilvl w:val="0"/>
          <w:numId w:val="2"/>
        </w:numPr>
        <w:spacing w:line="240" w:lineRule="auto"/>
        <w:rPr>
          <w:rFonts w:ascii="Aptos Display" w:hAnsi="Aptos Display"/>
          <w:sz w:val="26"/>
          <w:szCs w:val="26"/>
        </w:rPr>
      </w:pPr>
      <w:r w:rsidRPr="007C7180">
        <w:rPr>
          <w:rFonts w:ascii="Aptos Display" w:hAnsi="Aptos Display"/>
          <w:sz w:val="26"/>
          <w:szCs w:val="26"/>
        </w:rPr>
        <w:t xml:space="preserve">Provide a pathway for a person to obtain reasonable compensation from the Territory for any acquisition of property other than on just terms that occurs as a result of the proposed reform. </w:t>
      </w:r>
    </w:p>
    <w:p w14:paraId="1F4F3221" w14:textId="04FAB34D" w:rsidR="00575727" w:rsidRDefault="00C92A5A" w:rsidP="007C7180">
      <w:pPr>
        <w:spacing w:line="240" w:lineRule="auto"/>
        <w:rPr>
          <w:rFonts w:ascii="Aptos Display" w:hAnsi="Aptos Display"/>
          <w:sz w:val="26"/>
          <w:szCs w:val="26"/>
        </w:rPr>
      </w:pPr>
      <w:r>
        <w:rPr>
          <w:rFonts w:ascii="Aptos Display" w:hAnsi="Aptos Display"/>
          <w:sz w:val="26"/>
          <w:szCs w:val="26"/>
        </w:rPr>
        <w:t>The</w:t>
      </w:r>
      <w:r w:rsidR="007C7180" w:rsidRPr="007C7180">
        <w:rPr>
          <w:rFonts w:ascii="Aptos Display" w:hAnsi="Aptos Display"/>
          <w:sz w:val="26"/>
          <w:szCs w:val="26"/>
        </w:rPr>
        <w:t xml:space="preserve"> Bill echoes the structure of Division 7.3.2 of the Planning Act 2023. Those provisions in turn reflect previous amendments to the now-repealed Planning and Development Act 2007 made by the Planning and Development Amendment Act 2021 in February 2021.</w:t>
      </w:r>
      <w:r w:rsidR="000F404B">
        <w:rPr>
          <w:rStyle w:val="FootnoteReference"/>
          <w:rFonts w:ascii="Aptos Display" w:hAnsi="Aptos Display"/>
          <w:sz w:val="26"/>
          <w:szCs w:val="26"/>
        </w:rPr>
        <w:footnoteReference w:id="2"/>
      </w:r>
      <w:r w:rsidR="007C7180">
        <w:rPr>
          <w:rFonts w:ascii="Aptos Display" w:hAnsi="Aptos Display"/>
          <w:sz w:val="26"/>
          <w:szCs w:val="26"/>
        </w:rPr>
        <w:t xml:space="preserve"> </w:t>
      </w:r>
      <w:r w:rsidR="007C7180" w:rsidRPr="007C7180">
        <w:rPr>
          <w:rFonts w:ascii="Aptos Display" w:hAnsi="Aptos Display"/>
          <w:sz w:val="26"/>
          <w:szCs w:val="26"/>
        </w:rPr>
        <w:t>The Statement of Compatibility accompanying those reforms did not identify any human rights as being engaged.</w:t>
      </w:r>
      <w:r w:rsidR="0072082D">
        <w:rPr>
          <w:rStyle w:val="FootnoteReference"/>
          <w:rFonts w:ascii="Aptos Display" w:hAnsi="Aptos Display"/>
          <w:sz w:val="26"/>
          <w:szCs w:val="26"/>
        </w:rPr>
        <w:footnoteReference w:id="3"/>
      </w:r>
    </w:p>
    <w:p w14:paraId="06C80FD3" w14:textId="0985244F" w:rsidR="00774AAB" w:rsidRPr="00774AAB" w:rsidRDefault="00774AAB" w:rsidP="007C7180">
      <w:pPr>
        <w:spacing w:line="240" w:lineRule="auto"/>
        <w:rPr>
          <w:rFonts w:ascii="Aptos Display" w:hAnsi="Aptos Display"/>
          <w:b/>
          <w:bCs/>
          <w:sz w:val="26"/>
          <w:szCs w:val="26"/>
        </w:rPr>
      </w:pPr>
      <w:r w:rsidRPr="00774AAB">
        <w:rPr>
          <w:rFonts w:ascii="Aptos Display" w:hAnsi="Aptos Display"/>
          <w:b/>
          <w:bCs/>
          <w:sz w:val="26"/>
          <w:szCs w:val="26"/>
        </w:rPr>
        <w:t xml:space="preserve">Supporting the </w:t>
      </w:r>
      <w:r w:rsidR="00BC3814">
        <w:rPr>
          <w:rFonts w:ascii="Aptos Display" w:hAnsi="Aptos Display"/>
          <w:b/>
          <w:bCs/>
          <w:sz w:val="26"/>
          <w:szCs w:val="26"/>
        </w:rPr>
        <w:t>r</w:t>
      </w:r>
      <w:r w:rsidRPr="00774AAB">
        <w:rPr>
          <w:rFonts w:ascii="Aptos Display" w:hAnsi="Aptos Display"/>
          <w:b/>
          <w:bCs/>
          <w:sz w:val="26"/>
          <w:szCs w:val="26"/>
        </w:rPr>
        <w:t xml:space="preserve">ight to a </w:t>
      </w:r>
      <w:r w:rsidR="00BC3814">
        <w:rPr>
          <w:rFonts w:ascii="Aptos Display" w:hAnsi="Aptos Display"/>
          <w:b/>
          <w:bCs/>
          <w:sz w:val="26"/>
          <w:szCs w:val="26"/>
        </w:rPr>
        <w:t>h</w:t>
      </w:r>
      <w:r w:rsidRPr="00774AAB">
        <w:rPr>
          <w:rFonts w:ascii="Aptos Display" w:hAnsi="Aptos Display"/>
          <w:b/>
          <w:bCs/>
          <w:sz w:val="26"/>
          <w:szCs w:val="26"/>
        </w:rPr>
        <w:t xml:space="preserve">ealthy </w:t>
      </w:r>
      <w:r w:rsidR="00BC3814">
        <w:rPr>
          <w:rFonts w:ascii="Aptos Display" w:hAnsi="Aptos Display"/>
          <w:b/>
          <w:bCs/>
          <w:sz w:val="26"/>
          <w:szCs w:val="26"/>
        </w:rPr>
        <w:t>e</w:t>
      </w:r>
      <w:r w:rsidRPr="00774AAB">
        <w:rPr>
          <w:rFonts w:ascii="Aptos Display" w:hAnsi="Aptos Display"/>
          <w:b/>
          <w:bCs/>
          <w:sz w:val="26"/>
          <w:szCs w:val="26"/>
        </w:rPr>
        <w:t>nvironment</w:t>
      </w:r>
    </w:p>
    <w:p w14:paraId="19B9F842" w14:textId="77777777" w:rsidR="00983C62" w:rsidRDefault="00D75FD1" w:rsidP="00774AAB">
      <w:pPr>
        <w:spacing w:line="240" w:lineRule="auto"/>
        <w:rPr>
          <w:rFonts w:ascii="Aptos Display" w:hAnsi="Aptos Display"/>
          <w:sz w:val="26"/>
          <w:szCs w:val="26"/>
        </w:rPr>
      </w:pPr>
      <w:r>
        <w:rPr>
          <w:rFonts w:ascii="Aptos Display" w:hAnsi="Aptos Display"/>
          <w:sz w:val="26"/>
          <w:szCs w:val="26"/>
        </w:rPr>
        <w:t>T</w:t>
      </w:r>
      <w:r w:rsidRPr="00D75FD1">
        <w:rPr>
          <w:rFonts w:ascii="Aptos Display" w:hAnsi="Aptos Display"/>
          <w:sz w:val="26"/>
          <w:szCs w:val="26"/>
        </w:rPr>
        <w:t xml:space="preserve">he right to a healthy environment has recently taken effect on 17 March 2025. Accordingly, there is not yet local jurisprudence directly addressing the nature, scope, and content of the right as recognised in the ACT and, as an emerging right in international human rights law, there is also limited, albeit growing, international or foreign case law governing its application. </w:t>
      </w:r>
    </w:p>
    <w:p w14:paraId="549F1DE3" w14:textId="77777777" w:rsidR="00983C62" w:rsidRDefault="00D75FD1" w:rsidP="00774AAB">
      <w:pPr>
        <w:spacing w:line="240" w:lineRule="auto"/>
        <w:rPr>
          <w:rFonts w:ascii="Aptos Display" w:hAnsi="Aptos Display"/>
          <w:sz w:val="26"/>
          <w:szCs w:val="26"/>
        </w:rPr>
      </w:pPr>
      <w:r w:rsidRPr="00D75FD1">
        <w:rPr>
          <w:rFonts w:ascii="Aptos Display" w:hAnsi="Aptos Display"/>
          <w:sz w:val="26"/>
          <w:szCs w:val="26"/>
        </w:rPr>
        <w:lastRenderedPageBreak/>
        <w:t xml:space="preserve">Section 31 of the HR Act, however, clarifies that ‘international law’ relevant to a human right may be considered in its interpretation and captures in that definition, for the purposes of the HR Act, declarations and standards adopted by the United Nations General Assembly (UNGA) that are relevant to human rights. This includes the UNGA resolution that first recognised the right to a healthy environment in July 2022, and the related work of the Special Rapporteur on Human Rights and the Environment that underpinned its recognition. </w:t>
      </w:r>
    </w:p>
    <w:p w14:paraId="65937BE2" w14:textId="77777777" w:rsidR="00983C62" w:rsidRDefault="00D75FD1" w:rsidP="00774AAB">
      <w:pPr>
        <w:spacing w:line="240" w:lineRule="auto"/>
        <w:rPr>
          <w:rFonts w:ascii="Aptos Display" w:hAnsi="Aptos Display"/>
          <w:sz w:val="26"/>
          <w:szCs w:val="26"/>
        </w:rPr>
      </w:pPr>
      <w:r w:rsidRPr="00D75FD1">
        <w:rPr>
          <w:rFonts w:ascii="Aptos Display" w:hAnsi="Aptos Display"/>
          <w:sz w:val="26"/>
          <w:szCs w:val="26"/>
        </w:rPr>
        <w:t>The thematic reports of successive Special Rapporteurs therefore provide important extrinsic context when interpreting the intended scope and content of the right to a healthy environment. In particular, a report by former Special Rapporteur, John H Knox, published in January 2017, outlines governments’ human rights obligations relating to the conservation and sustainable use of biological diversity</w:t>
      </w:r>
      <w:r w:rsidR="00983C62">
        <w:rPr>
          <w:rFonts w:ascii="Aptos Display" w:hAnsi="Aptos Display"/>
          <w:sz w:val="26"/>
          <w:szCs w:val="26"/>
        </w:rPr>
        <w:t>.</w:t>
      </w:r>
    </w:p>
    <w:p w14:paraId="5588B3B5" w14:textId="77777777" w:rsidR="00983C62" w:rsidRDefault="00D75FD1" w:rsidP="00774AAB">
      <w:pPr>
        <w:spacing w:line="240" w:lineRule="auto"/>
        <w:rPr>
          <w:rFonts w:ascii="Aptos Display" w:hAnsi="Aptos Display"/>
          <w:sz w:val="26"/>
          <w:szCs w:val="26"/>
        </w:rPr>
      </w:pPr>
      <w:r w:rsidRPr="00D75FD1">
        <w:rPr>
          <w:rFonts w:ascii="Aptos Display" w:hAnsi="Aptos Display"/>
          <w:sz w:val="26"/>
          <w:szCs w:val="26"/>
        </w:rPr>
        <w:t>The new right recognises the Government has obligations to protect against environmental harm that interferes with the enjoyment of human rights, including adverse impacts on ecosystems and biodiversity. The specific contours of these duties will often vary by situation and with regard to components of biodiversity that are especially necessary for the enjoyment of other human rights, like life, cultural rights, and privacy.</w:t>
      </w:r>
    </w:p>
    <w:p w14:paraId="119E7ACE" w14:textId="77D5C502" w:rsidR="002A235A" w:rsidRDefault="00D75FD1" w:rsidP="00774AAB">
      <w:pPr>
        <w:spacing w:line="240" w:lineRule="auto"/>
        <w:rPr>
          <w:rFonts w:ascii="Aptos Display" w:hAnsi="Aptos Display"/>
          <w:sz w:val="26"/>
          <w:szCs w:val="26"/>
        </w:rPr>
      </w:pPr>
      <w:r w:rsidRPr="00D75FD1">
        <w:rPr>
          <w:rFonts w:ascii="Aptos Display" w:hAnsi="Aptos Display"/>
          <w:sz w:val="26"/>
          <w:szCs w:val="26"/>
        </w:rPr>
        <w:t>In essence, Governments are obliged to take effective steps to ensure the conservation and sustainable use of the ecosystems and biological diversity on which the full enjoyment of human rights depends. To this end, the Special Rapporteur recommends the social and environmental impacts of all proposed projects that may affect biodiversity are assessed, and that Governments establish, maintain, and uphold legal and institutional frameworks that protect biodiversity, especially for those who are most affected by degradation or loss of biodiversity (e.g. indigenous and transitional communities).</w:t>
      </w:r>
      <w:r w:rsidR="009A67AF">
        <w:rPr>
          <w:rStyle w:val="FootnoteReference"/>
          <w:rFonts w:ascii="Aptos Display" w:hAnsi="Aptos Display"/>
          <w:sz w:val="26"/>
          <w:szCs w:val="26"/>
        </w:rPr>
        <w:footnoteReference w:id="4"/>
      </w:r>
    </w:p>
    <w:p w14:paraId="0A1A3FBA" w14:textId="77777777" w:rsidR="002A235A" w:rsidRDefault="00D75FD1" w:rsidP="00774AAB">
      <w:pPr>
        <w:spacing w:line="240" w:lineRule="auto"/>
        <w:rPr>
          <w:rFonts w:ascii="Aptos Display" w:hAnsi="Aptos Display"/>
          <w:sz w:val="26"/>
          <w:szCs w:val="26"/>
        </w:rPr>
      </w:pPr>
      <w:r w:rsidRPr="00D75FD1">
        <w:rPr>
          <w:rFonts w:ascii="Aptos Display" w:hAnsi="Aptos Display"/>
          <w:sz w:val="26"/>
          <w:szCs w:val="26"/>
        </w:rPr>
        <w:t xml:space="preserve">With regard to the proposed Bill, the Special Rapporteur has recently emphasised that the right to a healthy environment’s interpretation and application should always be guided by a series of principles sourced in international environmental law. These relevantly include: </w:t>
      </w:r>
    </w:p>
    <w:p w14:paraId="1B4D2FD6" w14:textId="03F0150C" w:rsidR="002A235A" w:rsidRPr="002A235A" w:rsidRDefault="00D75FD1" w:rsidP="002A235A">
      <w:pPr>
        <w:pStyle w:val="ListParagraph"/>
        <w:numPr>
          <w:ilvl w:val="0"/>
          <w:numId w:val="3"/>
        </w:numPr>
        <w:spacing w:line="240" w:lineRule="auto"/>
        <w:rPr>
          <w:rFonts w:ascii="Aptos Display" w:hAnsi="Aptos Display"/>
          <w:b/>
          <w:bCs/>
          <w:sz w:val="26"/>
          <w:szCs w:val="26"/>
        </w:rPr>
      </w:pPr>
      <w:r w:rsidRPr="002A235A">
        <w:rPr>
          <w:rFonts w:ascii="Aptos Display" w:hAnsi="Aptos Display"/>
          <w:sz w:val="26"/>
          <w:szCs w:val="26"/>
        </w:rPr>
        <w:t xml:space="preserve">Prevention – Governments should ensure a robust regulatory framework with a view to proactively prevent environmental harms that threaten human rights. </w:t>
      </w:r>
    </w:p>
    <w:p w14:paraId="7FBA8C5D" w14:textId="0288AE2D" w:rsidR="002A235A" w:rsidRPr="002A235A" w:rsidRDefault="00D75FD1" w:rsidP="002A235A">
      <w:pPr>
        <w:pStyle w:val="ListParagraph"/>
        <w:numPr>
          <w:ilvl w:val="0"/>
          <w:numId w:val="3"/>
        </w:numPr>
        <w:spacing w:line="240" w:lineRule="auto"/>
        <w:rPr>
          <w:rFonts w:ascii="Aptos Display" w:hAnsi="Aptos Display"/>
          <w:b/>
          <w:bCs/>
          <w:sz w:val="26"/>
          <w:szCs w:val="26"/>
        </w:rPr>
      </w:pPr>
      <w:r w:rsidRPr="002A235A">
        <w:rPr>
          <w:rFonts w:ascii="Aptos Display" w:hAnsi="Aptos Display"/>
          <w:sz w:val="26"/>
          <w:szCs w:val="26"/>
        </w:rPr>
        <w:t xml:space="preserve">Precaution – Where there are threats of serious and irreversible harm to the environment, lack of full scientific certainty must not be used as a reason for postponing preventive action. </w:t>
      </w:r>
    </w:p>
    <w:p w14:paraId="759D1700" w14:textId="7F8BAE19" w:rsidR="0044615D" w:rsidRDefault="00D75FD1" w:rsidP="002A235A">
      <w:pPr>
        <w:spacing w:line="240" w:lineRule="auto"/>
        <w:rPr>
          <w:rFonts w:ascii="Aptos Display" w:hAnsi="Aptos Display"/>
          <w:sz w:val="26"/>
          <w:szCs w:val="26"/>
        </w:rPr>
      </w:pPr>
      <w:r w:rsidRPr="002A235A">
        <w:rPr>
          <w:rFonts w:ascii="Aptos Display" w:hAnsi="Aptos Display"/>
          <w:sz w:val="26"/>
          <w:szCs w:val="26"/>
        </w:rPr>
        <w:lastRenderedPageBreak/>
        <w:t xml:space="preserve">Having regard to these principles, </w:t>
      </w:r>
      <w:r w:rsidR="002A235A">
        <w:rPr>
          <w:rFonts w:ascii="Aptos Display" w:hAnsi="Aptos Display"/>
          <w:sz w:val="26"/>
          <w:szCs w:val="26"/>
        </w:rPr>
        <w:t>we</w:t>
      </w:r>
      <w:r w:rsidRPr="002A235A">
        <w:rPr>
          <w:rFonts w:ascii="Aptos Display" w:hAnsi="Aptos Display"/>
          <w:sz w:val="26"/>
          <w:szCs w:val="26"/>
        </w:rPr>
        <w:t xml:space="preserve"> present the Bill as a precautionary and preventive approach to conservation of native temperate grasslands on the site and, by doing so, assert that it supports the right to a clean, healthy, and sustainable environment. This accords with recognition in local case law that each human right in the HR Act is to be construed in ‘the broadest possible way</w:t>
      </w:r>
      <w:r w:rsidR="00BB22BF">
        <w:rPr>
          <w:rFonts w:ascii="Aptos Display" w:hAnsi="Aptos Display"/>
          <w:sz w:val="26"/>
          <w:szCs w:val="26"/>
        </w:rPr>
        <w:t>’.</w:t>
      </w:r>
      <w:r w:rsidR="00927ABA">
        <w:rPr>
          <w:rStyle w:val="FootnoteReference"/>
          <w:rFonts w:ascii="Aptos Display" w:hAnsi="Aptos Display"/>
          <w:sz w:val="26"/>
          <w:szCs w:val="26"/>
        </w:rPr>
        <w:footnoteReference w:id="5"/>
      </w:r>
    </w:p>
    <w:p w14:paraId="7FB726D4" w14:textId="2EB0A71D" w:rsidR="00D43230" w:rsidRDefault="00D75FD1" w:rsidP="002A235A">
      <w:pPr>
        <w:spacing w:line="240" w:lineRule="auto"/>
        <w:rPr>
          <w:rFonts w:ascii="Aptos Display" w:hAnsi="Aptos Display"/>
          <w:sz w:val="26"/>
          <w:szCs w:val="26"/>
        </w:rPr>
      </w:pPr>
      <w:r w:rsidRPr="006A49AB">
        <w:rPr>
          <w:rFonts w:ascii="Aptos Display" w:hAnsi="Aptos Display"/>
          <w:sz w:val="26"/>
          <w:szCs w:val="26"/>
        </w:rPr>
        <w:t>The right to a healthy environment also recognises the close relationship between Aboriginal and Torres Strait Islander peoples and biodiversity and ecosystems. We understand there are differing views within the Aboriginal community about whether the broader site has cultural heritage value, with the ACT Heritage Council having decided not to provisionally register the site.</w:t>
      </w:r>
      <w:r w:rsidR="004E1701">
        <w:rPr>
          <w:rStyle w:val="FootnoteReference"/>
          <w:rFonts w:ascii="Aptos Display" w:hAnsi="Aptos Display"/>
          <w:sz w:val="26"/>
          <w:szCs w:val="26"/>
        </w:rPr>
        <w:footnoteReference w:id="6"/>
      </w:r>
      <w:r w:rsidRPr="006A49AB">
        <w:rPr>
          <w:rFonts w:ascii="Aptos Display" w:hAnsi="Aptos Display"/>
          <w:sz w:val="26"/>
          <w:szCs w:val="26"/>
        </w:rPr>
        <w:t xml:space="preserve"> </w:t>
      </w:r>
      <w:r w:rsidR="00E96A4E">
        <w:rPr>
          <w:rFonts w:ascii="Aptos Display" w:hAnsi="Aptos Display"/>
          <w:sz w:val="26"/>
          <w:szCs w:val="26"/>
        </w:rPr>
        <w:t xml:space="preserve">There is worth to considering </w:t>
      </w:r>
      <w:r w:rsidRPr="006A49AB">
        <w:rPr>
          <w:rFonts w:ascii="Aptos Display" w:hAnsi="Aptos Display"/>
          <w:sz w:val="26"/>
          <w:szCs w:val="26"/>
        </w:rPr>
        <w:t>consultation with key representative groups</w:t>
      </w:r>
      <w:r w:rsidR="00E96A4E">
        <w:rPr>
          <w:rFonts w:ascii="Aptos Display" w:hAnsi="Aptos Display"/>
          <w:sz w:val="26"/>
          <w:szCs w:val="26"/>
        </w:rPr>
        <w:t xml:space="preserve"> to determine </w:t>
      </w:r>
      <w:r w:rsidRPr="006A49AB">
        <w:rPr>
          <w:rFonts w:ascii="Aptos Display" w:hAnsi="Aptos Display"/>
          <w:sz w:val="26"/>
          <w:szCs w:val="26"/>
        </w:rPr>
        <w:t>whether the Bill should also be construed as supporting the cultural rights of Aboriginal and Torres Strait (HR Act, s 27(2)).</w:t>
      </w:r>
    </w:p>
    <w:p w14:paraId="6456F33C" w14:textId="2A9D0568" w:rsidR="00B666F1" w:rsidRPr="002A235A" w:rsidRDefault="000252F0" w:rsidP="002A235A">
      <w:pPr>
        <w:spacing w:line="240" w:lineRule="auto"/>
        <w:rPr>
          <w:rFonts w:ascii="Aptos Display" w:hAnsi="Aptos Display"/>
          <w:b/>
          <w:bCs/>
          <w:sz w:val="26"/>
          <w:szCs w:val="26"/>
        </w:rPr>
      </w:pPr>
      <w:r w:rsidRPr="006A49AB">
        <w:rPr>
          <w:rFonts w:ascii="Aptos Display" w:hAnsi="Aptos Display"/>
          <w:b/>
          <w:bCs/>
          <w:sz w:val="26"/>
          <w:szCs w:val="26"/>
        </w:rPr>
        <w:t xml:space="preserve">Engaging </w:t>
      </w:r>
      <w:r w:rsidR="001F234A" w:rsidRPr="006A49AB">
        <w:rPr>
          <w:rFonts w:ascii="Aptos Display" w:hAnsi="Aptos Display"/>
          <w:b/>
          <w:bCs/>
          <w:sz w:val="26"/>
          <w:szCs w:val="26"/>
        </w:rPr>
        <w:t xml:space="preserve">the </w:t>
      </w:r>
      <w:r w:rsidR="00E77B0C" w:rsidRPr="006A49AB">
        <w:rPr>
          <w:rFonts w:ascii="Aptos Display" w:hAnsi="Aptos Display"/>
          <w:b/>
          <w:bCs/>
          <w:sz w:val="26"/>
          <w:szCs w:val="26"/>
        </w:rPr>
        <w:t>r</w:t>
      </w:r>
      <w:r w:rsidR="001F234A" w:rsidRPr="006A49AB">
        <w:rPr>
          <w:rFonts w:ascii="Aptos Display" w:hAnsi="Aptos Display"/>
          <w:b/>
          <w:bCs/>
          <w:sz w:val="26"/>
          <w:szCs w:val="26"/>
        </w:rPr>
        <w:t>ight to</w:t>
      </w:r>
      <w:r w:rsidR="00A86B44">
        <w:rPr>
          <w:rFonts w:ascii="Aptos Display" w:hAnsi="Aptos Display"/>
          <w:b/>
          <w:bCs/>
          <w:sz w:val="26"/>
          <w:szCs w:val="26"/>
        </w:rPr>
        <w:t xml:space="preserve"> fair hearing</w:t>
      </w:r>
    </w:p>
    <w:p w14:paraId="12B9902A" w14:textId="700D2FFF" w:rsidR="003D421F" w:rsidRDefault="001F5866" w:rsidP="00774AAB">
      <w:pPr>
        <w:spacing w:line="240" w:lineRule="auto"/>
        <w:rPr>
          <w:rFonts w:ascii="Aptos Display" w:hAnsi="Aptos Display"/>
          <w:sz w:val="26"/>
          <w:szCs w:val="26"/>
        </w:rPr>
      </w:pPr>
      <w:r>
        <w:rPr>
          <w:rFonts w:ascii="Aptos Display" w:hAnsi="Aptos Display"/>
          <w:sz w:val="26"/>
          <w:szCs w:val="26"/>
        </w:rPr>
        <w:t xml:space="preserve">There </w:t>
      </w:r>
      <w:r w:rsidR="006406C3">
        <w:rPr>
          <w:rFonts w:ascii="Aptos Display" w:hAnsi="Aptos Display"/>
          <w:sz w:val="26"/>
          <w:szCs w:val="26"/>
        </w:rPr>
        <w:t>was</w:t>
      </w:r>
      <w:r>
        <w:rPr>
          <w:rFonts w:ascii="Aptos Display" w:hAnsi="Aptos Display"/>
          <w:sz w:val="26"/>
          <w:szCs w:val="26"/>
        </w:rPr>
        <w:t xml:space="preserve"> consideration as to whether</w:t>
      </w:r>
      <w:r w:rsidR="00186E4D" w:rsidRPr="00186E4D">
        <w:rPr>
          <w:rFonts w:ascii="Aptos Display" w:hAnsi="Aptos Display"/>
          <w:sz w:val="26"/>
          <w:szCs w:val="26"/>
        </w:rPr>
        <w:t xml:space="preserve"> the statutory revocation of an approved development application would engage and limit the human right to fair trial pursuant to s 21 of the HR Act. There are also other common law and statutory protections providing for fair hearing rights that may also be engaged. The Commission limi</w:t>
      </w:r>
      <w:r w:rsidR="005112AC">
        <w:rPr>
          <w:rFonts w:ascii="Aptos Display" w:hAnsi="Aptos Display"/>
          <w:sz w:val="26"/>
          <w:szCs w:val="26"/>
        </w:rPr>
        <w:t>ts their</w:t>
      </w:r>
      <w:r w:rsidR="00186E4D" w:rsidRPr="00186E4D">
        <w:rPr>
          <w:rFonts w:ascii="Aptos Display" w:hAnsi="Aptos Display"/>
          <w:sz w:val="26"/>
          <w:szCs w:val="26"/>
        </w:rPr>
        <w:t xml:space="preserve"> comments here to the human right as protected by the HR Act. </w:t>
      </w:r>
    </w:p>
    <w:p w14:paraId="68D8F088" w14:textId="77777777" w:rsidR="003D421F" w:rsidRDefault="00186E4D" w:rsidP="00774AAB">
      <w:pPr>
        <w:spacing w:line="240" w:lineRule="auto"/>
        <w:rPr>
          <w:rFonts w:ascii="Aptos Display" w:hAnsi="Aptos Display"/>
          <w:sz w:val="26"/>
          <w:szCs w:val="26"/>
        </w:rPr>
      </w:pPr>
      <w:r w:rsidRPr="00186E4D">
        <w:rPr>
          <w:rFonts w:ascii="Aptos Display" w:hAnsi="Aptos Display"/>
          <w:sz w:val="26"/>
          <w:szCs w:val="26"/>
        </w:rPr>
        <w:t xml:space="preserve">The right to fair trial in the HR Act relevantly provides that ‘everyone has the right to have […] rights and obligations recognised by law, decided by a competent, independent, and impartial court or tribunal after a fair and public hearing.’ </w:t>
      </w:r>
    </w:p>
    <w:p w14:paraId="1563BB76" w14:textId="1EFA40E9" w:rsidR="00E77B0C" w:rsidRDefault="00186E4D" w:rsidP="00774AAB">
      <w:pPr>
        <w:spacing w:line="240" w:lineRule="auto"/>
        <w:rPr>
          <w:rFonts w:ascii="Aptos Display" w:hAnsi="Aptos Display"/>
          <w:sz w:val="26"/>
          <w:szCs w:val="26"/>
        </w:rPr>
      </w:pPr>
      <w:r w:rsidRPr="00186E4D">
        <w:rPr>
          <w:rFonts w:ascii="Aptos Display" w:hAnsi="Aptos Display"/>
          <w:sz w:val="26"/>
          <w:szCs w:val="26"/>
        </w:rPr>
        <w:t>The right to a fair trial is an absolute right insofar as irremediable procedural defects that render a proceeding manifestly arbitrary or a denial of justice must not ever be tolerated. The right to a fair trial is therefore concerned with the procedural fairness of a decision; it is guaranteed with respect to criminal charges and, relevantly, the determination of rights and obligations in a ‘suit at law’. Whether something qualifies as a ‘suit at law’ so as to enliven the right to a fair trial is informed by the nature of the right in question; it can encompass judicial procedures aimed at determining rights and obligations in a private sphere (e.g. in contract, property and tort) as well as equivalent notions in administrative law, including ‘procedures regarding the use of public land or the taking of private property.</w:t>
      </w:r>
      <w:r w:rsidR="00DE1CC0">
        <w:rPr>
          <w:rStyle w:val="FootnoteReference"/>
          <w:rFonts w:ascii="Aptos Display" w:hAnsi="Aptos Display"/>
          <w:sz w:val="26"/>
          <w:szCs w:val="26"/>
        </w:rPr>
        <w:footnoteReference w:id="7"/>
      </w:r>
    </w:p>
    <w:p w14:paraId="0EB43DAB" w14:textId="77777777" w:rsidR="00E77B0C" w:rsidRDefault="00186E4D" w:rsidP="00774AAB">
      <w:pPr>
        <w:spacing w:line="240" w:lineRule="auto"/>
        <w:rPr>
          <w:rFonts w:ascii="Aptos Display" w:hAnsi="Aptos Display"/>
          <w:sz w:val="26"/>
          <w:szCs w:val="26"/>
        </w:rPr>
      </w:pPr>
      <w:r w:rsidRPr="00186E4D">
        <w:rPr>
          <w:rFonts w:ascii="Aptos Display" w:hAnsi="Aptos Display"/>
          <w:sz w:val="26"/>
          <w:szCs w:val="26"/>
        </w:rPr>
        <w:lastRenderedPageBreak/>
        <w:t xml:space="preserve">It is not clear, however, that the human right to a fair trial is directly engaged in the context of the present Bill. Human rights, by their very nature, belong to individuals; meaning natural persons (HR Act, s 6, Legislation Act 2001, dictionary). </w:t>
      </w:r>
    </w:p>
    <w:p w14:paraId="2D54889A" w14:textId="76BBFB9B" w:rsidR="00E96A4E" w:rsidRPr="00A86B44" w:rsidRDefault="00186E4D" w:rsidP="00DC1C75">
      <w:pPr>
        <w:spacing w:line="240" w:lineRule="auto"/>
        <w:rPr>
          <w:rFonts w:ascii="Aptos Display" w:hAnsi="Aptos Display"/>
          <w:sz w:val="26"/>
          <w:szCs w:val="26"/>
        </w:rPr>
      </w:pPr>
      <w:r w:rsidRPr="00186E4D">
        <w:rPr>
          <w:rFonts w:ascii="Aptos Display" w:hAnsi="Aptos Display"/>
          <w:sz w:val="26"/>
          <w:szCs w:val="26"/>
        </w:rPr>
        <w:t>As the approved development application appears to have been secured by a corporation, Indara Infrastructure Pty Ltd, it is not clear that its revocation by the proposed Bill would directly engage (or limit) the human rights of a natural person, including to fair trial. The same reasoning was relied on to advance that the Planning and Development Amendment Bill 2021 did not engage human rights, which was accepted by the Legislative Scrutiny Committee who made no comment on the Bill.</w:t>
      </w:r>
      <w:r w:rsidR="004844D9">
        <w:rPr>
          <w:rStyle w:val="FootnoteReference"/>
          <w:rFonts w:ascii="Aptos Display" w:hAnsi="Aptos Display"/>
          <w:sz w:val="26"/>
          <w:szCs w:val="26"/>
        </w:rPr>
        <w:footnoteReference w:id="8"/>
      </w:r>
    </w:p>
    <w:p w14:paraId="7A5EE742" w14:textId="113B5C67" w:rsidR="00275080" w:rsidRDefault="00E77B0C" w:rsidP="00DC1C75">
      <w:pPr>
        <w:spacing w:line="240" w:lineRule="auto"/>
        <w:rPr>
          <w:rFonts w:ascii="Aptos Display" w:hAnsi="Aptos Display"/>
          <w:b/>
          <w:bCs/>
          <w:sz w:val="26"/>
          <w:szCs w:val="26"/>
        </w:rPr>
      </w:pPr>
      <w:r>
        <w:rPr>
          <w:rFonts w:ascii="Aptos Display" w:hAnsi="Aptos Display"/>
          <w:b/>
          <w:bCs/>
          <w:sz w:val="26"/>
          <w:szCs w:val="26"/>
        </w:rPr>
        <w:t>Requiring refusal of future development applications</w:t>
      </w:r>
    </w:p>
    <w:p w14:paraId="33760FF7" w14:textId="796444A0" w:rsidR="00BC3814" w:rsidRDefault="006406C3" w:rsidP="00DC1C75">
      <w:pPr>
        <w:spacing w:line="240" w:lineRule="auto"/>
        <w:rPr>
          <w:rFonts w:ascii="Aptos Display" w:hAnsi="Aptos Display"/>
          <w:sz w:val="26"/>
          <w:szCs w:val="26"/>
        </w:rPr>
      </w:pPr>
      <w:r>
        <w:rPr>
          <w:rFonts w:ascii="Aptos Display" w:hAnsi="Aptos Display"/>
          <w:sz w:val="26"/>
          <w:szCs w:val="26"/>
        </w:rPr>
        <w:t>T</w:t>
      </w:r>
      <w:r w:rsidR="00A51726">
        <w:rPr>
          <w:rFonts w:ascii="Aptos Display" w:hAnsi="Aptos Display"/>
          <w:sz w:val="26"/>
          <w:szCs w:val="26"/>
        </w:rPr>
        <w:t>here</w:t>
      </w:r>
      <w:r>
        <w:rPr>
          <w:rFonts w:ascii="Aptos Display" w:hAnsi="Aptos Display"/>
          <w:sz w:val="26"/>
          <w:szCs w:val="26"/>
        </w:rPr>
        <w:t xml:space="preserve"> was also consideration as to whether </w:t>
      </w:r>
      <w:r w:rsidRPr="006406C3">
        <w:rPr>
          <w:rFonts w:ascii="Aptos Display" w:hAnsi="Aptos Display"/>
          <w:sz w:val="26"/>
          <w:szCs w:val="26"/>
        </w:rPr>
        <w:t xml:space="preserve">mandating that any development applications in relation to the site must be refused would engage and limit the right to fair trial (HR Act, s 21) were an individual to ever lodge a development application with respect to the site in future. </w:t>
      </w:r>
      <w:r>
        <w:rPr>
          <w:rFonts w:ascii="Aptos Display" w:hAnsi="Aptos Display"/>
          <w:sz w:val="26"/>
          <w:szCs w:val="26"/>
        </w:rPr>
        <w:t>The HRC</w:t>
      </w:r>
      <w:r w:rsidRPr="006406C3">
        <w:rPr>
          <w:rFonts w:ascii="Aptos Display" w:hAnsi="Aptos Display"/>
          <w:sz w:val="26"/>
          <w:szCs w:val="26"/>
        </w:rPr>
        <w:t xml:space="preserve"> appreciate</w:t>
      </w:r>
      <w:r>
        <w:rPr>
          <w:rFonts w:ascii="Aptos Display" w:hAnsi="Aptos Display"/>
          <w:sz w:val="26"/>
          <w:szCs w:val="26"/>
        </w:rPr>
        <w:t>d</w:t>
      </w:r>
      <w:r w:rsidRPr="006406C3">
        <w:rPr>
          <w:rFonts w:ascii="Aptos Display" w:hAnsi="Aptos Display"/>
          <w:sz w:val="26"/>
          <w:szCs w:val="26"/>
        </w:rPr>
        <w:t xml:space="preserve"> that this situation is highly unlikely given it would also involve the ACT Government granting some form of lease or a public unleased land permit over the site in favour of an individual, however have considered it for completeness. </w:t>
      </w:r>
    </w:p>
    <w:p w14:paraId="21B68689" w14:textId="77777777" w:rsidR="00BC3814" w:rsidRDefault="006406C3" w:rsidP="00DC1C75">
      <w:pPr>
        <w:spacing w:line="240" w:lineRule="auto"/>
        <w:rPr>
          <w:rFonts w:ascii="Aptos Display" w:hAnsi="Aptos Display"/>
          <w:sz w:val="26"/>
          <w:szCs w:val="26"/>
        </w:rPr>
      </w:pPr>
      <w:r w:rsidRPr="006406C3">
        <w:rPr>
          <w:rFonts w:ascii="Aptos Display" w:hAnsi="Aptos Display"/>
          <w:sz w:val="26"/>
          <w:szCs w:val="26"/>
        </w:rPr>
        <w:t>In its current form, proposed s 162B requires that any development application made in relation to the site must be refused. The proposed approach in the Bill is therefore different to s 161(1) of the Planning Act 2023 regarding waste facility development applications, which requires that the territory planning authority must not accept a prohibited waste facility development application. The Bill appears to still contemplate the receipt of development applications and decisions being made (albeit as directed by the legislation).</w:t>
      </w:r>
    </w:p>
    <w:p w14:paraId="6CB6CAC1" w14:textId="77777777" w:rsidR="00BC3814" w:rsidRDefault="006406C3" w:rsidP="00DC1C75">
      <w:pPr>
        <w:spacing w:line="240" w:lineRule="auto"/>
        <w:rPr>
          <w:rFonts w:ascii="Aptos Display" w:hAnsi="Aptos Display"/>
          <w:sz w:val="26"/>
          <w:szCs w:val="26"/>
        </w:rPr>
      </w:pPr>
      <w:r w:rsidRPr="006406C3">
        <w:rPr>
          <w:rFonts w:ascii="Aptos Display" w:hAnsi="Aptos Display"/>
          <w:sz w:val="26"/>
          <w:szCs w:val="26"/>
        </w:rPr>
        <w:t xml:space="preserve">This approach appears to contemplate development applications in relation to the site still being received, and needing to still be decided and refused by virtue of s 162B. This proposed approach could be understood as dictating the outcome of a decision-making process in a way that prevents effective access to a court or tribunal in the determination of rights and obligations. As such, it may be seen as engaging the right to a fair trial (HR Act, s 21). </w:t>
      </w:r>
    </w:p>
    <w:p w14:paraId="3DEEA118" w14:textId="64A69C68" w:rsidR="006406C3" w:rsidRPr="00237C51" w:rsidRDefault="006406C3" w:rsidP="00DC1C75">
      <w:pPr>
        <w:spacing w:line="240" w:lineRule="auto"/>
        <w:rPr>
          <w:rFonts w:ascii="Aptos Display" w:hAnsi="Aptos Display"/>
          <w:sz w:val="26"/>
          <w:szCs w:val="26"/>
        </w:rPr>
      </w:pPr>
      <w:r w:rsidRPr="006406C3">
        <w:rPr>
          <w:rFonts w:ascii="Aptos Display" w:hAnsi="Aptos Display"/>
          <w:sz w:val="26"/>
          <w:szCs w:val="26"/>
        </w:rPr>
        <w:t>Authoritative commentary of the United Nations Human Rights Committee affirms that the right to a fair trial – which guarantees procedural fairness in the determination of rights and obligations in a suit at law – does not operate where there is no underlying legal entitlement (such as in cases concerning promotions or appointments).</w:t>
      </w:r>
      <w:r w:rsidR="00C17F53">
        <w:rPr>
          <w:rStyle w:val="FootnoteReference"/>
          <w:rFonts w:ascii="Aptos Display" w:hAnsi="Aptos Display"/>
          <w:sz w:val="26"/>
          <w:szCs w:val="26"/>
        </w:rPr>
        <w:footnoteReference w:id="9"/>
      </w:r>
      <w:r w:rsidRPr="006406C3">
        <w:rPr>
          <w:rFonts w:ascii="Aptos Display" w:hAnsi="Aptos Display"/>
          <w:sz w:val="26"/>
          <w:szCs w:val="26"/>
        </w:rPr>
        <w:t xml:space="preserve"> Removing ability </w:t>
      </w:r>
      <w:r w:rsidRPr="006406C3">
        <w:rPr>
          <w:rFonts w:ascii="Aptos Display" w:hAnsi="Aptos Display"/>
          <w:sz w:val="26"/>
          <w:szCs w:val="26"/>
        </w:rPr>
        <w:lastRenderedPageBreak/>
        <w:t>for the planning and land authority to receive a development application with respect to the relevant site, as is the case for waste facilities, may be preferred to the extent it would remove any underlying legal entitlement on which a denial of the right to fair trial might be argued</w:t>
      </w:r>
      <w:r w:rsidR="00BC3814">
        <w:rPr>
          <w:rFonts w:ascii="Aptos Display" w:hAnsi="Aptos Display"/>
          <w:sz w:val="26"/>
          <w:szCs w:val="26"/>
        </w:rPr>
        <w:t>.</w:t>
      </w:r>
      <w:r w:rsidR="007A110A">
        <w:rPr>
          <w:rFonts w:ascii="Aptos Display" w:hAnsi="Aptos Display"/>
          <w:sz w:val="26"/>
          <w:szCs w:val="26"/>
        </w:rPr>
        <w:t xml:space="preserve"> However, a decision was made against this approach out of caution for any development applications that may be lodged </w:t>
      </w:r>
      <w:r w:rsidR="007B080E">
        <w:rPr>
          <w:rFonts w:ascii="Aptos Display" w:hAnsi="Aptos Display"/>
          <w:sz w:val="26"/>
          <w:szCs w:val="26"/>
        </w:rPr>
        <w:t>in-between the proposal of this bill and it’s potential passage.</w:t>
      </w:r>
    </w:p>
    <w:sectPr w:rsidR="006406C3" w:rsidRPr="00237C51" w:rsidSect="004B65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4A3B" w14:textId="77777777" w:rsidR="00D37FBF" w:rsidRDefault="00D37FBF" w:rsidP="005047F7">
      <w:pPr>
        <w:spacing w:after="0" w:line="240" w:lineRule="auto"/>
      </w:pPr>
      <w:r>
        <w:separator/>
      </w:r>
    </w:p>
  </w:endnote>
  <w:endnote w:type="continuationSeparator" w:id="0">
    <w:p w14:paraId="5211DBA1" w14:textId="77777777" w:rsidR="00D37FBF" w:rsidRDefault="00D37FBF" w:rsidP="005047F7">
      <w:pPr>
        <w:spacing w:after="0" w:line="240" w:lineRule="auto"/>
      </w:pPr>
      <w:r>
        <w:continuationSeparator/>
      </w:r>
    </w:p>
  </w:endnote>
  <w:endnote w:type="continuationNotice" w:id="1">
    <w:p w14:paraId="76D6FE84" w14:textId="77777777" w:rsidR="00D37FBF" w:rsidRDefault="00D37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262" w14:textId="77777777" w:rsidR="007046CC" w:rsidRDefault="00704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369989"/>
      <w:docPartObj>
        <w:docPartGallery w:val="Page Numbers (Bottom of Page)"/>
        <w:docPartUnique/>
      </w:docPartObj>
    </w:sdtPr>
    <w:sdtEndPr>
      <w:rPr>
        <w:noProof/>
      </w:rPr>
    </w:sdtEndPr>
    <w:sdtContent>
      <w:p w14:paraId="7145636D" w14:textId="54C134B4" w:rsidR="005047F7" w:rsidRDefault="005047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D29425" w14:textId="3CC35D35" w:rsidR="005047F7" w:rsidRPr="007046CC" w:rsidRDefault="007046CC" w:rsidP="007046CC">
    <w:pPr>
      <w:pStyle w:val="Footer"/>
      <w:jc w:val="center"/>
      <w:rPr>
        <w:rFonts w:ascii="Arial" w:hAnsi="Arial" w:cs="Arial"/>
        <w:sz w:val="14"/>
      </w:rPr>
    </w:pPr>
    <w:r w:rsidRPr="007046C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AC03" w14:textId="6B8DDF7B" w:rsidR="007046CC" w:rsidRPr="007046CC" w:rsidRDefault="007046CC" w:rsidP="007046CC">
    <w:pPr>
      <w:pStyle w:val="Footer"/>
      <w:jc w:val="center"/>
      <w:rPr>
        <w:rFonts w:ascii="Arial" w:hAnsi="Arial" w:cs="Arial"/>
        <w:sz w:val="14"/>
      </w:rPr>
    </w:pPr>
    <w:r w:rsidRPr="007046C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34FE2" w14:textId="77777777" w:rsidR="00D37FBF" w:rsidRDefault="00D37FBF" w:rsidP="005047F7">
      <w:pPr>
        <w:spacing w:after="0" w:line="240" w:lineRule="auto"/>
      </w:pPr>
      <w:r>
        <w:separator/>
      </w:r>
    </w:p>
  </w:footnote>
  <w:footnote w:type="continuationSeparator" w:id="0">
    <w:p w14:paraId="00F0E843" w14:textId="77777777" w:rsidR="00D37FBF" w:rsidRDefault="00D37FBF" w:rsidP="005047F7">
      <w:pPr>
        <w:spacing w:after="0" w:line="240" w:lineRule="auto"/>
      </w:pPr>
      <w:r>
        <w:continuationSeparator/>
      </w:r>
    </w:p>
  </w:footnote>
  <w:footnote w:type="continuationNotice" w:id="1">
    <w:p w14:paraId="048BC1DA" w14:textId="77777777" w:rsidR="00D37FBF" w:rsidRDefault="00D37FBF">
      <w:pPr>
        <w:spacing w:after="0" w:line="240" w:lineRule="auto"/>
      </w:pPr>
    </w:p>
  </w:footnote>
  <w:footnote w:id="2">
    <w:p w14:paraId="0B907524" w14:textId="524E0122" w:rsidR="0072082D" w:rsidRPr="00C6589E" w:rsidRDefault="000F404B">
      <w:pPr>
        <w:pStyle w:val="FootnoteText"/>
        <w:rPr>
          <w:rFonts w:ascii="Aptos Display" w:hAnsi="Aptos Display"/>
        </w:rPr>
      </w:pPr>
      <w:r w:rsidRPr="00C6589E">
        <w:rPr>
          <w:rStyle w:val="FootnoteReference"/>
          <w:rFonts w:ascii="Aptos Display" w:hAnsi="Aptos Display"/>
        </w:rPr>
        <w:footnoteRef/>
      </w:r>
      <w:r w:rsidRPr="00C6589E">
        <w:rPr>
          <w:rFonts w:ascii="Aptos Display" w:hAnsi="Aptos Display"/>
        </w:rPr>
        <w:t xml:space="preserve"> Planning and Development Amendment Act 2021, available at:</w:t>
      </w:r>
      <w:r w:rsidR="0072082D" w:rsidRPr="00C6589E">
        <w:rPr>
          <w:rFonts w:ascii="Aptos Display" w:hAnsi="Aptos Display"/>
        </w:rPr>
        <w:t xml:space="preserve"> </w:t>
      </w:r>
      <w:hyperlink r:id="rId1" w:history="1">
        <w:r w:rsidR="0072082D" w:rsidRPr="00C6589E">
          <w:rPr>
            <w:rStyle w:val="Hyperlink"/>
            <w:rFonts w:ascii="Aptos Display" w:hAnsi="Aptos Display"/>
          </w:rPr>
          <w:t>https://www.legislation.act.gov.au/a/2021-2/</w:t>
        </w:r>
      </w:hyperlink>
      <w:r w:rsidR="0072082D" w:rsidRPr="00C6589E">
        <w:rPr>
          <w:rFonts w:ascii="Aptos Display" w:hAnsi="Aptos Display"/>
        </w:rPr>
        <w:t xml:space="preserve"> </w:t>
      </w:r>
    </w:p>
  </w:footnote>
  <w:footnote w:id="3">
    <w:p w14:paraId="20BD5323" w14:textId="40DCECDD" w:rsidR="0072082D" w:rsidRPr="00C6589E" w:rsidRDefault="0072082D">
      <w:pPr>
        <w:pStyle w:val="FootnoteText"/>
        <w:rPr>
          <w:rFonts w:ascii="Aptos Display" w:hAnsi="Aptos Display"/>
          <w:lang w:val="en-AU"/>
        </w:rPr>
      </w:pPr>
      <w:r w:rsidRPr="00C6589E">
        <w:rPr>
          <w:rStyle w:val="FootnoteReference"/>
          <w:rFonts w:ascii="Aptos Display" w:hAnsi="Aptos Display"/>
        </w:rPr>
        <w:footnoteRef/>
      </w:r>
      <w:r w:rsidRPr="00C6589E">
        <w:rPr>
          <w:rFonts w:ascii="Aptos Display" w:hAnsi="Aptos Display"/>
        </w:rPr>
        <w:t xml:space="preserve"> </w:t>
      </w:r>
      <w:hyperlink r:id="rId2" w:history="1">
        <w:r w:rsidR="005102DA" w:rsidRPr="00C6589E">
          <w:rPr>
            <w:rStyle w:val="Hyperlink"/>
            <w:rFonts w:ascii="Aptos Display" w:hAnsi="Aptos Display"/>
          </w:rPr>
          <w:t>https://www.legislation.act.gov.au/View/es/db_63810/20210210-75860/html/db_63810.html</w:t>
        </w:r>
      </w:hyperlink>
      <w:r w:rsidR="005102DA" w:rsidRPr="00C6589E">
        <w:rPr>
          <w:rFonts w:ascii="Aptos Display" w:hAnsi="Aptos Display"/>
        </w:rPr>
        <w:t xml:space="preserve"> </w:t>
      </w:r>
    </w:p>
  </w:footnote>
  <w:footnote w:id="4">
    <w:p w14:paraId="5EF3D024" w14:textId="5B0DDFEC" w:rsidR="009A67AF" w:rsidRPr="00C6589E" w:rsidRDefault="009A67AF">
      <w:pPr>
        <w:pStyle w:val="FootnoteText"/>
        <w:rPr>
          <w:rFonts w:ascii="Aptos Display" w:hAnsi="Aptos Display"/>
          <w:lang w:val="en-AU"/>
        </w:rPr>
      </w:pPr>
      <w:r w:rsidRPr="00C6589E">
        <w:rPr>
          <w:rStyle w:val="FootnoteReference"/>
          <w:rFonts w:ascii="Aptos Display" w:hAnsi="Aptos Display"/>
        </w:rPr>
        <w:footnoteRef/>
      </w:r>
      <w:r w:rsidRPr="00C6589E">
        <w:rPr>
          <w:rFonts w:ascii="Aptos Display" w:hAnsi="Aptos Display"/>
        </w:rPr>
        <w:t xml:space="preserve"> </w:t>
      </w:r>
      <w:r w:rsidR="00C6589E" w:rsidRPr="00C6589E">
        <w:rPr>
          <w:rFonts w:ascii="Aptos Display" w:hAnsi="Aptos Display"/>
        </w:rPr>
        <w:t>Special Rapporteur on Human Rights and the Environment, Report of the Special Rapporteur on the issue of human rights obligations relating to the enjoyment of a safe, clean, healthy and sustainable environment - Biodiversity, UN Doc. A/HRC/34/49 (19 January 2017), available at:</w:t>
      </w:r>
      <w:r w:rsidR="00C6589E" w:rsidRPr="00C6589E">
        <w:t xml:space="preserve"> </w:t>
      </w:r>
      <w:hyperlink r:id="rId3" w:history="1">
        <w:r w:rsidR="00C6589E" w:rsidRPr="009A3A00">
          <w:rPr>
            <w:rStyle w:val="Hyperlink"/>
            <w:rFonts w:ascii="Aptos Display" w:hAnsi="Aptos Display"/>
          </w:rPr>
          <w:t>https://docs.un.org/en/A/HRC/34/49</w:t>
        </w:r>
      </w:hyperlink>
      <w:r w:rsidR="00C6589E">
        <w:rPr>
          <w:rFonts w:ascii="Aptos Display" w:hAnsi="Aptos Display"/>
        </w:rPr>
        <w:t xml:space="preserve"> </w:t>
      </w:r>
    </w:p>
  </w:footnote>
  <w:footnote w:id="5">
    <w:p w14:paraId="2CA2FD61" w14:textId="4AC36468" w:rsidR="00927ABA" w:rsidRPr="004E1701" w:rsidRDefault="00927ABA">
      <w:pPr>
        <w:pStyle w:val="FootnoteText"/>
        <w:rPr>
          <w:rFonts w:ascii="Aptos Display" w:hAnsi="Aptos Display"/>
          <w:lang w:val="en-AU"/>
        </w:rPr>
      </w:pPr>
      <w:r w:rsidRPr="004E1701">
        <w:rPr>
          <w:rStyle w:val="FootnoteReference"/>
          <w:rFonts w:ascii="Aptos Display" w:hAnsi="Aptos Display"/>
        </w:rPr>
        <w:footnoteRef/>
      </w:r>
      <w:r w:rsidRPr="004E1701">
        <w:rPr>
          <w:rFonts w:ascii="Aptos Display" w:hAnsi="Aptos Display"/>
        </w:rPr>
        <w:t xml:space="preserve"> Islam v Director-General, Justice and Community Safety Directorate [2021] ACTSC 33, [79].</w:t>
      </w:r>
    </w:p>
  </w:footnote>
  <w:footnote w:id="6">
    <w:p w14:paraId="4A07C7B8" w14:textId="1E1A16E4" w:rsidR="004E1701" w:rsidRPr="004E1701" w:rsidRDefault="004E1701">
      <w:pPr>
        <w:pStyle w:val="FootnoteText"/>
        <w:rPr>
          <w:lang w:val="en-AU"/>
        </w:rPr>
      </w:pPr>
      <w:r w:rsidRPr="004E1701">
        <w:rPr>
          <w:rStyle w:val="FootnoteReference"/>
          <w:rFonts w:ascii="Aptos Display" w:hAnsi="Aptos Display"/>
        </w:rPr>
        <w:footnoteRef/>
      </w:r>
      <w:r w:rsidRPr="004E1701">
        <w:rPr>
          <w:rFonts w:ascii="Aptos Display" w:hAnsi="Aptos Display"/>
        </w:rPr>
        <w:t xml:space="preserve"> 1 Heritage (Decision about Provisional Registration of Ainslie Volcanics) Notice 2024, available at:</w:t>
      </w:r>
      <w:r w:rsidR="00A86B44">
        <w:rPr>
          <w:rFonts w:ascii="Aptos Display" w:hAnsi="Aptos Display"/>
        </w:rPr>
        <w:t xml:space="preserve"> </w:t>
      </w:r>
      <w:hyperlink r:id="rId4" w:history="1">
        <w:r w:rsidR="00A86B44" w:rsidRPr="009A3A00">
          <w:rPr>
            <w:rStyle w:val="Hyperlink"/>
            <w:rFonts w:ascii="Aptos Display" w:hAnsi="Aptos Display"/>
          </w:rPr>
          <w:t>https://www.legislation.act.gov.au/View/ni/2024-668/current/html/2024-668.html</w:t>
        </w:r>
      </w:hyperlink>
      <w:r w:rsidR="00A86B44">
        <w:rPr>
          <w:rFonts w:ascii="Aptos Display" w:hAnsi="Aptos Display"/>
        </w:rPr>
        <w:t xml:space="preserve"> </w:t>
      </w:r>
    </w:p>
  </w:footnote>
  <w:footnote w:id="7">
    <w:p w14:paraId="0198FE7E" w14:textId="2B8AFB6A" w:rsidR="00DE1CC0" w:rsidRPr="00DE1CC0" w:rsidRDefault="00DE1CC0" w:rsidP="00DE1CC0">
      <w:pPr>
        <w:pStyle w:val="FootnoteText"/>
      </w:pPr>
      <w:r>
        <w:rPr>
          <w:rStyle w:val="FootnoteReference"/>
        </w:rPr>
        <w:footnoteRef/>
      </w:r>
      <w:r>
        <w:t xml:space="preserve"> United Nations (UN) Human Rights Committee (HRC), General Comment No. 32, Article 14: Right to equality before courts and tribunals and to a fair trial, 90th sess, UN Doc. CCPR/C/GC/ 32 (23 August 2007), [16].</w:t>
      </w:r>
    </w:p>
  </w:footnote>
  <w:footnote w:id="8">
    <w:p w14:paraId="04077145" w14:textId="77777777" w:rsidR="00CA78C1" w:rsidRPr="00A27166" w:rsidRDefault="004844D9" w:rsidP="00CA78C1">
      <w:pPr>
        <w:pStyle w:val="FootnoteText"/>
        <w:rPr>
          <w:rFonts w:ascii="Aptos Display" w:hAnsi="Aptos Display"/>
        </w:rPr>
      </w:pPr>
      <w:r w:rsidRPr="00A27166">
        <w:rPr>
          <w:rStyle w:val="FootnoteReference"/>
          <w:rFonts w:ascii="Aptos Display" w:hAnsi="Aptos Display"/>
        </w:rPr>
        <w:footnoteRef/>
      </w:r>
      <w:r w:rsidRPr="00A27166">
        <w:rPr>
          <w:rFonts w:ascii="Aptos Display" w:hAnsi="Aptos Display"/>
        </w:rPr>
        <w:t xml:space="preserve"> </w:t>
      </w:r>
      <w:r w:rsidR="00CA78C1" w:rsidRPr="00A27166">
        <w:rPr>
          <w:rFonts w:ascii="Aptos Display" w:hAnsi="Aptos Display"/>
        </w:rPr>
        <w:t xml:space="preserve">Standing Committee on Justice and Community Safety (Legislative Scrutiny Role), Scrutiny Report 2 of 2021, 24 </w:t>
      </w:r>
    </w:p>
    <w:p w14:paraId="24B06FF5" w14:textId="66888028" w:rsidR="004844D9" w:rsidRPr="00A27166" w:rsidRDefault="00CA78C1" w:rsidP="00C17F53">
      <w:pPr>
        <w:pStyle w:val="FootnoteText"/>
        <w:rPr>
          <w:rFonts w:ascii="Aptos Display" w:hAnsi="Aptos Display"/>
          <w:lang w:val="en-AU"/>
        </w:rPr>
      </w:pPr>
      <w:r w:rsidRPr="00A27166">
        <w:rPr>
          <w:rFonts w:ascii="Aptos Display" w:hAnsi="Aptos Display"/>
        </w:rPr>
        <w:t>March 2021, 4, available at:</w:t>
      </w:r>
      <w:r w:rsidR="00C17F53" w:rsidRPr="00A27166">
        <w:rPr>
          <w:rFonts w:ascii="Aptos Display" w:hAnsi="Aptos Display"/>
        </w:rPr>
        <w:t xml:space="preserve"> </w:t>
      </w:r>
      <w:hyperlink r:id="rId5" w:history="1">
        <w:r w:rsidR="00C17F53" w:rsidRPr="00A27166">
          <w:rPr>
            <w:rStyle w:val="Hyperlink"/>
            <w:rFonts w:ascii="Aptos Display" w:hAnsi="Aptos Display"/>
          </w:rPr>
          <w:t>https://www.parliament.act.gov.au/__data/assets/pdf_file/0003/1730613/Report_02__.pdf</w:t>
        </w:r>
      </w:hyperlink>
      <w:r w:rsidR="00C17F53" w:rsidRPr="00A27166">
        <w:rPr>
          <w:rFonts w:ascii="Aptos Display" w:hAnsi="Aptos Display"/>
        </w:rPr>
        <w:t xml:space="preserve"> </w:t>
      </w:r>
    </w:p>
  </w:footnote>
  <w:footnote w:id="9">
    <w:p w14:paraId="66CB2C67" w14:textId="0C62D5D5" w:rsidR="00C17F53" w:rsidRPr="00C17F53" w:rsidRDefault="00C17F53">
      <w:pPr>
        <w:pStyle w:val="FootnoteText"/>
        <w:rPr>
          <w:lang w:val="en-AU"/>
        </w:rPr>
      </w:pPr>
      <w:r w:rsidRPr="00A27166">
        <w:rPr>
          <w:rStyle w:val="FootnoteReference"/>
          <w:rFonts w:ascii="Aptos Display" w:hAnsi="Aptos Display"/>
        </w:rPr>
        <w:footnoteRef/>
      </w:r>
      <w:r w:rsidRPr="00A27166">
        <w:rPr>
          <w:rFonts w:ascii="Aptos Display" w:hAnsi="Aptos Display"/>
        </w:rPr>
        <w:t xml:space="preserve"> </w:t>
      </w:r>
      <w:r w:rsidR="00A27166" w:rsidRPr="00A27166">
        <w:rPr>
          <w:rFonts w:ascii="Aptos Display" w:hAnsi="Aptos Display"/>
        </w:rPr>
        <w:t>Above 12,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448F" w14:textId="77777777" w:rsidR="007046CC" w:rsidRDefault="00704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874A" w14:textId="77777777" w:rsidR="007046CC" w:rsidRDefault="00704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F627" w14:textId="77777777" w:rsidR="007046CC" w:rsidRDefault="00704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157E1"/>
    <w:multiLevelType w:val="hybridMultilevel"/>
    <w:tmpl w:val="2F820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8811B5"/>
    <w:multiLevelType w:val="hybridMultilevel"/>
    <w:tmpl w:val="1B1C5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7C3AF8"/>
    <w:multiLevelType w:val="hybridMultilevel"/>
    <w:tmpl w:val="AD8C7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538435">
    <w:abstractNumId w:val="2"/>
  </w:num>
  <w:num w:numId="2" w16cid:durableId="2106535703">
    <w:abstractNumId w:val="0"/>
  </w:num>
  <w:num w:numId="3" w16cid:durableId="391197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CFBF90"/>
    <w:rsid w:val="0000235E"/>
    <w:rsid w:val="00004AE4"/>
    <w:rsid w:val="000071AE"/>
    <w:rsid w:val="00020700"/>
    <w:rsid w:val="000252F0"/>
    <w:rsid w:val="00043166"/>
    <w:rsid w:val="00046175"/>
    <w:rsid w:val="00060C60"/>
    <w:rsid w:val="00074213"/>
    <w:rsid w:val="00076528"/>
    <w:rsid w:val="00077999"/>
    <w:rsid w:val="00082F64"/>
    <w:rsid w:val="0008562D"/>
    <w:rsid w:val="00093317"/>
    <w:rsid w:val="00096199"/>
    <w:rsid w:val="000B71DE"/>
    <w:rsid w:val="000F2C94"/>
    <w:rsid w:val="000F404B"/>
    <w:rsid w:val="0010314A"/>
    <w:rsid w:val="0013218D"/>
    <w:rsid w:val="00142AE5"/>
    <w:rsid w:val="0017160E"/>
    <w:rsid w:val="00171904"/>
    <w:rsid w:val="0017437E"/>
    <w:rsid w:val="00186E4D"/>
    <w:rsid w:val="001A1B9D"/>
    <w:rsid w:val="001A1C70"/>
    <w:rsid w:val="001A3569"/>
    <w:rsid w:val="001B34B1"/>
    <w:rsid w:val="001C7269"/>
    <w:rsid w:val="001D2CA9"/>
    <w:rsid w:val="001E45BA"/>
    <w:rsid w:val="001F234A"/>
    <w:rsid w:val="001F57DB"/>
    <w:rsid w:val="001F5866"/>
    <w:rsid w:val="001F6B49"/>
    <w:rsid w:val="00200F7E"/>
    <w:rsid w:val="00205157"/>
    <w:rsid w:val="00210C7A"/>
    <w:rsid w:val="002110C0"/>
    <w:rsid w:val="00231DD1"/>
    <w:rsid w:val="00235002"/>
    <w:rsid w:val="00237C51"/>
    <w:rsid w:val="00240A8C"/>
    <w:rsid w:val="00251C2D"/>
    <w:rsid w:val="0025322F"/>
    <w:rsid w:val="002541E9"/>
    <w:rsid w:val="0025653B"/>
    <w:rsid w:val="002702B6"/>
    <w:rsid w:val="00275080"/>
    <w:rsid w:val="00285EFD"/>
    <w:rsid w:val="0029531B"/>
    <w:rsid w:val="002A235A"/>
    <w:rsid w:val="002E0932"/>
    <w:rsid w:val="002E6B08"/>
    <w:rsid w:val="002E7C13"/>
    <w:rsid w:val="002F6CBF"/>
    <w:rsid w:val="002F7725"/>
    <w:rsid w:val="003075C3"/>
    <w:rsid w:val="003140E2"/>
    <w:rsid w:val="0032660D"/>
    <w:rsid w:val="003329A6"/>
    <w:rsid w:val="0036182E"/>
    <w:rsid w:val="003628F9"/>
    <w:rsid w:val="003723DE"/>
    <w:rsid w:val="003813C0"/>
    <w:rsid w:val="00385B08"/>
    <w:rsid w:val="00396A89"/>
    <w:rsid w:val="003C1119"/>
    <w:rsid w:val="003D421F"/>
    <w:rsid w:val="003E2973"/>
    <w:rsid w:val="003F3E23"/>
    <w:rsid w:val="0043322B"/>
    <w:rsid w:val="0044615D"/>
    <w:rsid w:val="0045416C"/>
    <w:rsid w:val="0045551B"/>
    <w:rsid w:val="0046150D"/>
    <w:rsid w:val="004823B0"/>
    <w:rsid w:val="004844D9"/>
    <w:rsid w:val="00492680"/>
    <w:rsid w:val="004B6540"/>
    <w:rsid w:val="004C0E43"/>
    <w:rsid w:val="004C1A8F"/>
    <w:rsid w:val="004E1701"/>
    <w:rsid w:val="004F2533"/>
    <w:rsid w:val="005047F7"/>
    <w:rsid w:val="0050536B"/>
    <w:rsid w:val="005102DA"/>
    <w:rsid w:val="005112AC"/>
    <w:rsid w:val="005158A4"/>
    <w:rsid w:val="00525F2D"/>
    <w:rsid w:val="00531FA1"/>
    <w:rsid w:val="00566CF1"/>
    <w:rsid w:val="00574570"/>
    <w:rsid w:val="00575727"/>
    <w:rsid w:val="005833C4"/>
    <w:rsid w:val="005964AE"/>
    <w:rsid w:val="005A3A1E"/>
    <w:rsid w:val="00601997"/>
    <w:rsid w:val="006051FC"/>
    <w:rsid w:val="006159B7"/>
    <w:rsid w:val="00616738"/>
    <w:rsid w:val="006236C5"/>
    <w:rsid w:val="00623BF9"/>
    <w:rsid w:val="00624832"/>
    <w:rsid w:val="00627350"/>
    <w:rsid w:val="0063671E"/>
    <w:rsid w:val="006406C3"/>
    <w:rsid w:val="006629DD"/>
    <w:rsid w:val="006642E1"/>
    <w:rsid w:val="00680DD0"/>
    <w:rsid w:val="006A49AB"/>
    <w:rsid w:val="006C7820"/>
    <w:rsid w:val="006E0CDC"/>
    <w:rsid w:val="006E3E16"/>
    <w:rsid w:val="006F1084"/>
    <w:rsid w:val="007046CC"/>
    <w:rsid w:val="0071100D"/>
    <w:rsid w:val="00714FA1"/>
    <w:rsid w:val="0072082D"/>
    <w:rsid w:val="00726A48"/>
    <w:rsid w:val="0074292F"/>
    <w:rsid w:val="007610D3"/>
    <w:rsid w:val="007628BF"/>
    <w:rsid w:val="00773A17"/>
    <w:rsid w:val="00774AAB"/>
    <w:rsid w:val="00786892"/>
    <w:rsid w:val="007A110A"/>
    <w:rsid w:val="007B080E"/>
    <w:rsid w:val="007B439E"/>
    <w:rsid w:val="007C7180"/>
    <w:rsid w:val="007C771A"/>
    <w:rsid w:val="007F33D3"/>
    <w:rsid w:val="00814502"/>
    <w:rsid w:val="00830FEF"/>
    <w:rsid w:val="00831D83"/>
    <w:rsid w:val="008324D3"/>
    <w:rsid w:val="008427A4"/>
    <w:rsid w:val="0084287A"/>
    <w:rsid w:val="00861BEC"/>
    <w:rsid w:val="008638D1"/>
    <w:rsid w:val="00875388"/>
    <w:rsid w:val="00876ACC"/>
    <w:rsid w:val="00883A3B"/>
    <w:rsid w:val="00890F7F"/>
    <w:rsid w:val="00897946"/>
    <w:rsid w:val="008B5C9A"/>
    <w:rsid w:val="008E3074"/>
    <w:rsid w:val="008E3C43"/>
    <w:rsid w:val="008F224E"/>
    <w:rsid w:val="0090598C"/>
    <w:rsid w:val="00906239"/>
    <w:rsid w:val="00920C66"/>
    <w:rsid w:val="00927ABA"/>
    <w:rsid w:val="0095224F"/>
    <w:rsid w:val="00980254"/>
    <w:rsid w:val="00980DA6"/>
    <w:rsid w:val="00983C62"/>
    <w:rsid w:val="009A67AF"/>
    <w:rsid w:val="009D1BA4"/>
    <w:rsid w:val="009D733B"/>
    <w:rsid w:val="009F111F"/>
    <w:rsid w:val="009F539D"/>
    <w:rsid w:val="00A1430B"/>
    <w:rsid w:val="00A15CFA"/>
    <w:rsid w:val="00A27166"/>
    <w:rsid w:val="00A3017B"/>
    <w:rsid w:val="00A370C8"/>
    <w:rsid w:val="00A41243"/>
    <w:rsid w:val="00A414C8"/>
    <w:rsid w:val="00A4629D"/>
    <w:rsid w:val="00A46650"/>
    <w:rsid w:val="00A514C6"/>
    <w:rsid w:val="00A51726"/>
    <w:rsid w:val="00A75C29"/>
    <w:rsid w:val="00A86B44"/>
    <w:rsid w:val="00A9141F"/>
    <w:rsid w:val="00AB3FDC"/>
    <w:rsid w:val="00AE7874"/>
    <w:rsid w:val="00AF036C"/>
    <w:rsid w:val="00AF4060"/>
    <w:rsid w:val="00B04407"/>
    <w:rsid w:val="00B15EEF"/>
    <w:rsid w:val="00B23007"/>
    <w:rsid w:val="00B26AF0"/>
    <w:rsid w:val="00B5694C"/>
    <w:rsid w:val="00B57858"/>
    <w:rsid w:val="00B666F1"/>
    <w:rsid w:val="00B722C2"/>
    <w:rsid w:val="00B74249"/>
    <w:rsid w:val="00B90CD1"/>
    <w:rsid w:val="00B94515"/>
    <w:rsid w:val="00BB22BF"/>
    <w:rsid w:val="00BB6698"/>
    <w:rsid w:val="00BC3455"/>
    <w:rsid w:val="00BC3814"/>
    <w:rsid w:val="00BD3E45"/>
    <w:rsid w:val="00BD43DD"/>
    <w:rsid w:val="00BF3927"/>
    <w:rsid w:val="00C01EAD"/>
    <w:rsid w:val="00C102A8"/>
    <w:rsid w:val="00C14026"/>
    <w:rsid w:val="00C14728"/>
    <w:rsid w:val="00C17F53"/>
    <w:rsid w:val="00C35824"/>
    <w:rsid w:val="00C6589E"/>
    <w:rsid w:val="00C6780E"/>
    <w:rsid w:val="00C92A5A"/>
    <w:rsid w:val="00CA1BA0"/>
    <w:rsid w:val="00CA78C1"/>
    <w:rsid w:val="00CB5F9C"/>
    <w:rsid w:val="00CD0E43"/>
    <w:rsid w:val="00CE0B3D"/>
    <w:rsid w:val="00CF76A3"/>
    <w:rsid w:val="00D24476"/>
    <w:rsid w:val="00D32499"/>
    <w:rsid w:val="00D37FBF"/>
    <w:rsid w:val="00D43230"/>
    <w:rsid w:val="00D4567E"/>
    <w:rsid w:val="00D652C1"/>
    <w:rsid w:val="00D75FD1"/>
    <w:rsid w:val="00D85ECE"/>
    <w:rsid w:val="00DA389A"/>
    <w:rsid w:val="00DA6F39"/>
    <w:rsid w:val="00DB0312"/>
    <w:rsid w:val="00DC1C75"/>
    <w:rsid w:val="00DD00E7"/>
    <w:rsid w:val="00DE1CC0"/>
    <w:rsid w:val="00DE37E8"/>
    <w:rsid w:val="00DF573C"/>
    <w:rsid w:val="00E14D40"/>
    <w:rsid w:val="00E156C9"/>
    <w:rsid w:val="00E15814"/>
    <w:rsid w:val="00E170E1"/>
    <w:rsid w:val="00E22658"/>
    <w:rsid w:val="00E3144A"/>
    <w:rsid w:val="00E34EDF"/>
    <w:rsid w:val="00E37FAF"/>
    <w:rsid w:val="00E4066C"/>
    <w:rsid w:val="00E55E65"/>
    <w:rsid w:val="00E77B0C"/>
    <w:rsid w:val="00E96A4E"/>
    <w:rsid w:val="00EA633C"/>
    <w:rsid w:val="00EB1E0F"/>
    <w:rsid w:val="00EB3C37"/>
    <w:rsid w:val="00EB4E85"/>
    <w:rsid w:val="00EB6827"/>
    <w:rsid w:val="00EC23EC"/>
    <w:rsid w:val="00EE2483"/>
    <w:rsid w:val="00F22559"/>
    <w:rsid w:val="00F24143"/>
    <w:rsid w:val="00F31BDB"/>
    <w:rsid w:val="00F31DC3"/>
    <w:rsid w:val="00F539E1"/>
    <w:rsid w:val="00F730EA"/>
    <w:rsid w:val="00F77577"/>
    <w:rsid w:val="00FA4C29"/>
    <w:rsid w:val="00FB183D"/>
    <w:rsid w:val="00FB3B02"/>
    <w:rsid w:val="00FC0461"/>
    <w:rsid w:val="00FC085F"/>
    <w:rsid w:val="00FC40B0"/>
    <w:rsid w:val="00FF02F1"/>
    <w:rsid w:val="00FF6722"/>
    <w:rsid w:val="0376C885"/>
    <w:rsid w:val="088E01A7"/>
    <w:rsid w:val="099C1E3B"/>
    <w:rsid w:val="0ADB52D0"/>
    <w:rsid w:val="0D6A975F"/>
    <w:rsid w:val="132021E2"/>
    <w:rsid w:val="15452C6A"/>
    <w:rsid w:val="16310331"/>
    <w:rsid w:val="2B83BECA"/>
    <w:rsid w:val="2B860F74"/>
    <w:rsid w:val="313C3194"/>
    <w:rsid w:val="319F5E3E"/>
    <w:rsid w:val="353A4850"/>
    <w:rsid w:val="3A8F27F2"/>
    <w:rsid w:val="40CFBF90"/>
    <w:rsid w:val="4FA27BCE"/>
    <w:rsid w:val="6A3A1C74"/>
    <w:rsid w:val="6B9F9295"/>
    <w:rsid w:val="70144C8D"/>
    <w:rsid w:val="76ECB0DA"/>
    <w:rsid w:val="7CDD19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D1248"/>
  <w15:chartTrackingRefBased/>
  <w15:docId w15:val="{2752088E-6F14-4108-AFA5-6D24287D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7"/>
  </w:style>
  <w:style w:type="paragraph" w:styleId="Footer">
    <w:name w:val="footer"/>
    <w:basedOn w:val="Normal"/>
    <w:link w:val="FooterChar"/>
    <w:uiPriority w:val="99"/>
    <w:unhideWhenUsed/>
    <w:rsid w:val="00504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7"/>
  </w:style>
  <w:style w:type="character" w:styleId="CommentReference">
    <w:name w:val="annotation reference"/>
    <w:basedOn w:val="DefaultParagraphFont"/>
    <w:uiPriority w:val="99"/>
    <w:semiHidden/>
    <w:unhideWhenUsed/>
    <w:rsid w:val="00D4567E"/>
    <w:rPr>
      <w:sz w:val="16"/>
      <w:szCs w:val="16"/>
    </w:rPr>
  </w:style>
  <w:style w:type="paragraph" w:styleId="CommentText">
    <w:name w:val="annotation text"/>
    <w:basedOn w:val="Normal"/>
    <w:link w:val="CommentTextChar"/>
    <w:uiPriority w:val="99"/>
    <w:semiHidden/>
    <w:unhideWhenUsed/>
    <w:rsid w:val="00D4567E"/>
    <w:pPr>
      <w:spacing w:line="240" w:lineRule="auto"/>
    </w:pPr>
    <w:rPr>
      <w:sz w:val="20"/>
      <w:szCs w:val="20"/>
    </w:rPr>
  </w:style>
  <w:style w:type="character" w:customStyle="1" w:styleId="CommentTextChar">
    <w:name w:val="Comment Text Char"/>
    <w:basedOn w:val="DefaultParagraphFont"/>
    <w:link w:val="CommentText"/>
    <w:uiPriority w:val="99"/>
    <w:semiHidden/>
    <w:rsid w:val="00D4567E"/>
    <w:rPr>
      <w:sz w:val="20"/>
      <w:szCs w:val="20"/>
    </w:rPr>
  </w:style>
  <w:style w:type="paragraph" w:styleId="CommentSubject">
    <w:name w:val="annotation subject"/>
    <w:basedOn w:val="CommentText"/>
    <w:next w:val="CommentText"/>
    <w:link w:val="CommentSubjectChar"/>
    <w:uiPriority w:val="99"/>
    <w:semiHidden/>
    <w:unhideWhenUsed/>
    <w:rsid w:val="00D4567E"/>
    <w:rPr>
      <w:b/>
      <w:bCs/>
    </w:rPr>
  </w:style>
  <w:style w:type="character" w:customStyle="1" w:styleId="CommentSubjectChar">
    <w:name w:val="Comment Subject Char"/>
    <w:basedOn w:val="CommentTextChar"/>
    <w:link w:val="CommentSubject"/>
    <w:uiPriority w:val="99"/>
    <w:semiHidden/>
    <w:rsid w:val="00D4567E"/>
    <w:rPr>
      <w:b/>
      <w:bCs/>
      <w:sz w:val="20"/>
      <w:szCs w:val="20"/>
    </w:rPr>
  </w:style>
  <w:style w:type="paragraph" w:styleId="ListParagraph">
    <w:name w:val="List Paragraph"/>
    <w:basedOn w:val="Normal"/>
    <w:uiPriority w:val="34"/>
    <w:qFormat/>
    <w:rsid w:val="00231DD1"/>
    <w:pPr>
      <w:ind w:left="720"/>
      <w:contextualSpacing/>
    </w:pPr>
  </w:style>
  <w:style w:type="paragraph" w:styleId="FootnoteText">
    <w:name w:val="footnote text"/>
    <w:basedOn w:val="Normal"/>
    <w:link w:val="FootnoteTextChar"/>
    <w:uiPriority w:val="99"/>
    <w:unhideWhenUsed/>
    <w:rsid w:val="001A3569"/>
    <w:pPr>
      <w:spacing w:after="0" w:line="240" w:lineRule="auto"/>
    </w:pPr>
    <w:rPr>
      <w:sz w:val="20"/>
      <w:szCs w:val="20"/>
    </w:rPr>
  </w:style>
  <w:style w:type="character" w:customStyle="1" w:styleId="FootnoteTextChar">
    <w:name w:val="Footnote Text Char"/>
    <w:basedOn w:val="DefaultParagraphFont"/>
    <w:link w:val="FootnoteText"/>
    <w:uiPriority w:val="99"/>
    <w:rsid w:val="001A3569"/>
    <w:rPr>
      <w:sz w:val="20"/>
      <w:szCs w:val="20"/>
    </w:rPr>
  </w:style>
  <w:style w:type="character" w:styleId="FootnoteReference">
    <w:name w:val="footnote reference"/>
    <w:basedOn w:val="DefaultParagraphFont"/>
    <w:uiPriority w:val="99"/>
    <w:semiHidden/>
    <w:unhideWhenUsed/>
    <w:rsid w:val="001A3569"/>
    <w:rPr>
      <w:vertAlign w:val="superscript"/>
    </w:rPr>
  </w:style>
  <w:style w:type="character" w:styleId="Hyperlink">
    <w:name w:val="Hyperlink"/>
    <w:basedOn w:val="DefaultParagraphFont"/>
    <w:uiPriority w:val="99"/>
    <w:unhideWhenUsed/>
    <w:rsid w:val="005833C4"/>
    <w:rPr>
      <w:color w:val="0563C1" w:themeColor="hyperlink"/>
      <w:u w:val="single"/>
    </w:rPr>
  </w:style>
  <w:style w:type="character" w:styleId="UnresolvedMention">
    <w:name w:val="Unresolved Mention"/>
    <w:basedOn w:val="DefaultParagraphFont"/>
    <w:uiPriority w:val="99"/>
    <w:semiHidden/>
    <w:unhideWhenUsed/>
    <w:rsid w:val="0058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7933">
      <w:bodyDiv w:val="1"/>
      <w:marLeft w:val="0"/>
      <w:marRight w:val="0"/>
      <w:marTop w:val="0"/>
      <w:marBottom w:val="0"/>
      <w:divBdr>
        <w:top w:val="none" w:sz="0" w:space="0" w:color="auto"/>
        <w:left w:val="none" w:sz="0" w:space="0" w:color="auto"/>
        <w:bottom w:val="none" w:sz="0" w:space="0" w:color="auto"/>
        <w:right w:val="none" w:sz="0" w:space="0" w:color="auto"/>
      </w:divBdr>
    </w:div>
    <w:div w:id="211236489">
      <w:bodyDiv w:val="1"/>
      <w:marLeft w:val="0"/>
      <w:marRight w:val="0"/>
      <w:marTop w:val="0"/>
      <w:marBottom w:val="0"/>
      <w:divBdr>
        <w:top w:val="none" w:sz="0" w:space="0" w:color="auto"/>
        <w:left w:val="none" w:sz="0" w:space="0" w:color="auto"/>
        <w:bottom w:val="none" w:sz="0" w:space="0" w:color="auto"/>
        <w:right w:val="none" w:sz="0" w:space="0" w:color="auto"/>
      </w:divBdr>
    </w:div>
    <w:div w:id="445733751">
      <w:bodyDiv w:val="1"/>
      <w:marLeft w:val="0"/>
      <w:marRight w:val="0"/>
      <w:marTop w:val="0"/>
      <w:marBottom w:val="0"/>
      <w:divBdr>
        <w:top w:val="none" w:sz="0" w:space="0" w:color="auto"/>
        <w:left w:val="none" w:sz="0" w:space="0" w:color="auto"/>
        <w:bottom w:val="none" w:sz="0" w:space="0" w:color="auto"/>
        <w:right w:val="none" w:sz="0" w:space="0" w:color="auto"/>
      </w:divBdr>
    </w:div>
    <w:div w:id="544679608">
      <w:bodyDiv w:val="1"/>
      <w:marLeft w:val="0"/>
      <w:marRight w:val="0"/>
      <w:marTop w:val="0"/>
      <w:marBottom w:val="0"/>
      <w:divBdr>
        <w:top w:val="none" w:sz="0" w:space="0" w:color="auto"/>
        <w:left w:val="none" w:sz="0" w:space="0" w:color="auto"/>
        <w:bottom w:val="none" w:sz="0" w:space="0" w:color="auto"/>
        <w:right w:val="none" w:sz="0" w:space="0" w:color="auto"/>
      </w:divBdr>
    </w:div>
    <w:div w:id="549268112">
      <w:bodyDiv w:val="1"/>
      <w:marLeft w:val="0"/>
      <w:marRight w:val="0"/>
      <w:marTop w:val="0"/>
      <w:marBottom w:val="0"/>
      <w:divBdr>
        <w:top w:val="none" w:sz="0" w:space="0" w:color="auto"/>
        <w:left w:val="none" w:sz="0" w:space="0" w:color="auto"/>
        <w:bottom w:val="none" w:sz="0" w:space="0" w:color="auto"/>
        <w:right w:val="none" w:sz="0" w:space="0" w:color="auto"/>
      </w:divBdr>
    </w:div>
    <w:div w:id="573510814">
      <w:bodyDiv w:val="1"/>
      <w:marLeft w:val="0"/>
      <w:marRight w:val="0"/>
      <w:marTop w:val="0"/>
      <w:marBottom w:val="0"/>
      <w:divBdr>
        <w:top w:val="none" w:sz="0" w:space="0" w:color="auto"/>
        <w:left w:val="none" w:sz="0" w:space="0" w:color="auto"/>
        <w:bottom w:val="none" w:sz="0" w:space="0" w:color="auto"/>
        <w:right w:val="none" w:sz="0" w:space="0" w:color="auto"/>
      </w:divBdr>
    </w:div>
    <w:div w:id="611592381">
      <w:bodyDiv w:val="1"/>
      <w:marLeft w:val="0"/>
      <w:marRight w:val="0"/>
      <w:marTop w:val="0"/>
      <w:marBottom w:val="0"/>
      <w:divBdr>
        <w:top w:val="none" w:sz="0" w:space="0" w:color="auto"/>
        <w:left w:val="none" w:sz="0" w:space="0" w:color="auto"/>
        <w:bottom w:val="none" w:sz="0" w:space="0" w:color="auto"/>
        <w:right w:val="none" w:sz="0" w:space="0" w:color="auto"/>
      </w:divBdr>
    </w:div>
    <w:div w:id="805514761">
      <w:bodyDiv w:val="1"/>
      <w:marLeft w:val="0"/>
      <w:marRight w:val="0"/>
      <w:marTop w:val="0"/>
      <w:marBottom w:val="0"/>
      <w:divBdr>
        <w:top w:val="none" w:sz="0" w:space="0" w:color="auto"/>
        <w:left w:val="none" w:sz="0" w:space="0" w:color="auto"/>
        <w:bottom w:val="none" w:sz="0" w:space="0" w:color="auto"/>
        <w:right w:val="none" w:sz="0" w:space="0" w:color="auto"/>
      </w:divBdr>
    </w:div>
    <w:div w:id="1117405475">
      <w:bodyDiv w:val="1"/>
      <w:marLeft w:val="0"/>
      <w:marRight w:val="0"/>
      <w:marTop w:val="0"/>
      <w:marBottom w:val="0"/>
      <w:divBdr>
        <w:top w:val="none" w:sz="0" w:space="0" w:color="auto"/>
        <w:left w:val="none" w:sz="0" w:space="0" w:color="auto"/>
        <w:bottom w:val="none" w:sz="0" w:space="0" w:color="auto"/>
        <w:right w:val="none" w:sz="0" w:space="0" w:color="auto"/>
      </w:divBdr>
    </w:div>
    <w:div w:id="1941793806">
      <w:bodyDiv w:val="1"/>
      <w:marLeft w:val="0"/>
      <w:marRight w:val="0"/>
      <w:marTop w:val="0"/>
      <w:marBottom w:val="0"/>
      <w:divBdr>
        <w:top w:val="none" w:sz="0" w:space="0" w:color="auto"/>
        <w:left w:val="none" w:sz="0" w:space="0" w:color="auto"/>
        <w:bottom w:val="none" w:sz="0" w:space="0" w:color="auto"/>
        <w:right w:val="none" w:sz="0" w:space="0" w:color="auto"/>
      </w:divBdr>
    </w:div>
    <w:div w:id="2059160634">
      <w:bodyDiv w:val="1"/>
      <w:marLeft w:val="0"/>
      <w:marRight w:val="0"/>
      <w:marTop w:val="0"/>
      <w:marBottom w:val="0"/>
      <w:divBdr>
        <w:top w:val="none" w:sz="0" w:space="0" w:color="auto"/>
        <w:left w:val="none" w:sz="0" w:space="0" w:color="auto"/>
        <w:bottom w:val="none" w:sz="0" w:space="0" w:color="auto"/>
        <w:right w:val="none" w:sz="0" w:space="0" w:color="auto"/>
      </w:divBdr>
    </w:div>
    <w:div w:id="2069724888">
      <w:bodyDiv w:val="1"/>
      <w:marLeft w:val="0"/>
      <w:marRight w:val="0"/>
      <w:marTop w:val="0"/>
      <w:marBottom w:val="0"/>
      <w:divBdr>
        <w:top w:val="none" w:sz="0" w:space="0" w:color="auto"/>
        <w:left w:val="none" w:sz="0" w:space="0" w:color="auto"/>
        <w:bottom w:val="none" w:sz="0" w:space="0" w:color="auto"/>
        <w:right w:val="none" w:sz="0" w:space="0" w:color="auto"/>
      </w:divBdr>
    </w:div>
    <w:div w:id="21409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ocs.un.org/en/A/HRC/34/49" TargetMode="External"/><Relationship Id="rId2" Type="http://schemas.openxmlformats.org/officeDocument/2006/relationships/hyperlink" Target="https://www.legislation.act.gov.au/View/es/db_63810/20210210-75860/html/db_63810.html" TargetMode="External"/><Relationship Id="rId1" Type="http://schemas.openxmlformats.org/officeDocument/2006/relationships/hyperlink" Target="https://www.legislation.act.gov.au/a/2021-2/" TargetMode="External"/><Relationship Id="rId5" Type="http://schemas.openxmlformats.org/officeDocument/2006/relationships/hyperlink" Target="https://www.parliament.act.gov.au/__data/assets/pdf_file/0003/1730613/Report_02__.pdf" TargetMode="External"/><Relationship Id="rId4" Type="http://schemas.openxmlformats.org/officeDocument/2006/relationships/hyperlink" Target="https://www.legislation.act.gov.au/View/ni/2024-668/current/html/2024-6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57a30c2f835ddf02382a4107e4550e65">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ef28443cf7107644ecffd4b3e848f3b5"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F9CC6-C7C4-4AED-A23A-4BDF3D1E54C1}">
  <ds:schemaRefs>
    <ds:schemaRef ds:uri="http://schemas.openxmlformats.org/officeDocument/2006/bibliography"/>
  </ds:schemaRefs>
</ds:datastoreItem>
</file>

<file path=customXml/itemProps2.xml><?xml version="1.0" encoding="utf-8"?>
<ds:datastoreItem xmlns:ds="http://schemas.openxmlformats.org/officeDocument/2006/customXml" ds:itemID="{556A909A-938F-45F7-BCA5-3DCAC1ED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55F72-0E41-42FD-987D-2D63275B998A}">
  <ds:schemaRefs>
    <ds:schemaRef ds:uri="http://schemas.microsoft.com/office/2006/metadata/properties"/>
    <ds:schemaRef ds:uri="http://schemas.microsoft.com/office/infopath/2007/PartnerControls"/>
    <ds:schemaRef ds:uri="d477c74b-77b5-4c97-882d-eead2a707f23"/>
    <ds:schemaRef ds:uri="616ae013-c81a-4123-829f-3af5763c278b"/>
  </ds:schemaRefs>
</ds:datastoreItem>
</file>

<file path=customXml/itemProps4.xml><?xml version="1.0" encoding="utf-8"?>
<ds:datastoreItem xmlns:ds="http://schemas.openxmlformats.org/officeDocument/2006/customXml" ds:itemID="{C625A2E5-B6EA-4E5F-BB34-D271AD550F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2384</Words>
  <Characters>12988</Characters>
  <Application>Microsoft Office Word</Application>
  <DocSecurity>0</DocSecurity>
  <Lines>235</Lines>
  <Paragraphs>68</Paragraphs>
  <ScaleCrop>false</ScaleCrop>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2021-11-08T05:37:00Z</cp:lastPrinted>
  <dcterms:created xsi:type="dcterms:W3CDTF">2025-03-19T23:40:00Z</dcterms:created>
  <dcterms:modified xsi:type="dcterms:W3CDTF">2025-03-19T23:40:00Z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2025-03-19T23:40:28Z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9c77bef3-3320-4127-a2fd-bf539d87836d</vt:lpwstr>
  </property>
  <property fmtid="{D5CDD505-2E9C-101B-9397-08002B2CF9AE}" pid="10" name="MSIP_Label_69af8531-eb46-4968-8cb3-105d2f5ea87e_ContentBits">
    <vt:lpwstr>0</vt:lpwstr>
  </property>
</Properties>
</file>