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254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744D26" w14:textId="60803BCC" w:rsidR="00C17FAB" w:rsidRDefault="00905AFA">
      <w:pPr>
        <w:pStyle w:val="Billname"/>
        <w:spacing w:before="700"/>
      </w:pPr>
      <w:r>
        <w:t xml:space="preserve">Gaming Machine (Determination of Surrender Obligations) </w:t>
      </w:r>
      <w:r w:rsidR="002A41D0">
        <w:t xml:space="preserve">Guidelines </w:t>
      </w:r>
      <w:r>
        <w:t>Revocation 2025</w:t>
      </w:r>
    </w:p>
    <w:p w14:paraId="26C0719D" w14:textId="36F203EA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05AFA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275C1C">
        <w:rPr>
          <w:rFonts w:ascii="Arial" w:hAnsi="Arial" w:cs="Arial"/>
          <w:b/>
          <w:bCs/>
        </w:rPr>
        <w:t>70</w:t>
      </w:r>
    </w:p>
    <w:p w14:paraId="3FD3607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B287333" w14:textId="39894D87" w:rsidR="00C17FAB" w:rsidRDefault="00905AF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Gaming Machine Act 2004, section 10L (Guidelines for assessment etc)</w:t>
      </w:r>
    </w:p>
    <w:p w14:paraId="49D82752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4694CAF" w14:textId="77777777" w:rsidR="00C17FAB" w:rsidRDefault="00C17FAB">
      <w:pPr>
        <w:pStyle w:val="N-line3"/>
        <w:pBdr>
          <w:bottom w:val="none" w:sz="0" w:space="0" w:color="auto"/>
        </w:pBdr>
      </w:pPr>
    </w:p>
    <w:p w14:paraId="56AF8B86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5FB11AA" w14:textId="5B70ECCB" w:rsidR="008206E8" w:rsidRDefault="00905AFA" w:rsidP="00905AFA">
      <w:r w:rsidRPr="00905AFA">
        <w:t>This instrument is the </w:t>
      </w:r>
      <w:r w:rsidRPr="00905AFA">
        <w:rPr>
          <w:i/>
          <w:iCs/>
        </w:rPr>
        <w:t xml:space="preserve">Gaming Machine (Determination of Surrender Obligations) </w:t>
      </w:r>
      <w:r w:rsidR="002A41D0">
        <w:rPr>
          <w:i/>
          <w:iCs/>
        </w:rPr>
        <w:t xml:space="preserve">Guidelines </w:t>
      </w:r>
      <w:r>
        <w:rPr>
          <w:i/>
          <w:iCs/>
        </w:rPr>
        <w:t>Revocation</w:t>
      </w:r>
      <w:r w:rsidRPr="00905AFA">
        <w:rPr>
          <w:i/>
          <w:iCs/>
        </w:rPr>
        <w:t> 2025</w:t>
      </w:r>
      <w:r w:rsidR="008206E8">
        <w:t xml:space="preserve">. </w:t>
      </w:r>
    </w:p>
    <w:p w14:paraId="34010B69" w14:textId="77777777" w:rsidR="008206E8" w:rsidRDefault="008206E8" w:rsidP="00905AFA"/>
    <w:p w14:paraId="71842606" w14:textId="72D95FFE" w:rsidR="00905AFA" w:rsidRDefault="008206E8" w:rsidP="00905AFA">
      <w:r>
        <w:t xml:space="preserve">This instrument </w:t>
      </w:r>
      <w:r w:rsidR="00F84C3A">
        <w:t xml:space="preserve">revokes </w:t>
      </w:r>
      <w:r>
        <w:t xml:space="preserve">the </w:t>
      </w:r>
      <w:r>
        <w:rPr>
          <w:i/>
          <w:iCs/>
        </w:rPr>
        <w:t xml:space="preserve">Gaming Machine (Determination of Surrender Obligations) Guidelines 2025 (No 1) </w:t>
      </w:r>
      <w:r>
        <w:t xml:space="preserve">DI2025-2, </w:t>
      </w:r>
      <w:r w:rsidR="0098780D">
        <w:t xml:space="preserve">made by the Minister </w:t>
      </w:r>
      <w:r>
        <w:t xml:space="preserve">under section 10L (Guidelines for assessment etc) of the </w:t>
      </w:r>
      <w:r>
        <w:rPr>
          <w:i/>
          <w:iCs/>
        </w:rPr>
        <w:t>Gaming Machine Act 2004</w:t>
      </w:r>
      <w:r w:rsidR="0098780D">
        <w:t xml:space="preserve">. These guidelines are no longer required </w:t>
      </w:r>
      <w:r>
        <w:t xml:space="preserve">as the target reduction to 3,500 gaming machine authorisations </w:t>
      </w:r>
      <w:r w:rsidR="0098780D">
        <w:t>was</w:t>
      </w:r>
      <w:r>
        <w:t xml:space="preserve"> reached before 1 July 2025.</w:t>
      </w:r>
    </w:p>
    <w:p w14:paraId="45B0501B" w14:textId="77777777" w:rsidR="00905AFA" w:rsidRPr="00905AFA" w:rsidRDefault="00905AFA" w:rsidP="00905AFA"/>
    <w:p w14:paraId="3083D61D" w14:textId="55B1D393" w:rsidR="00905AFA" w:rsidRPr="008206E8" w:rsidRDefault="008206E8">
      <w:r>
        <w:t xml:space="preserve">Under section 46 (Power to make instrument includes power to amend or repeal) of the </w:t>
      </w:r>
      <w:r>
        <w:rPr>
          <w:i/>
          <w:iCs/>
        </w:rPr>
        <w:t>Legislation Act 2001</w:t>
      </w:r>
      <w:r>
        <w:t>, the power given under an Act to make a statutory instrument includes the power to amend or repeal the instrument</w:t>
      </w:r>
      <w:r w:rsidR="0098780D">
        <w:t>. The power to repeal the instrument is exercisable in the same way as the power to make the instrument. Accordingly, this revocation instrument is a disallowable instrument</w:t>
      </w:r>
      <w:r w:rsidR="00F26114">
        <w:t xml:space="preserve"> made under section 10L of the Gaming Machine Act.</w:t>
      </w:r>
    </w:p>
    <w:p w14:paraId="232A9F42" w14:textId="77777777" w:rsidR="00F84C3A" w:rsidRDefault="00F84C3A"/>
    <w:sectPr w:rsidR="00F84C3A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46CC" w14:textId="77777777" w:rsidR="006B72EA" w:rsidRDefault="006B72EA" w:rsidP="00C17FAB">
      <w:r>
        <w:separator/>
      </w:r>
    </w:p>
  </w:endnote>
  <w:endnote w:type="continuationSeparator" w:id="0">
    <w:p w14:paraId="7CB6F93A" w14:textId="77777777" w:rsidR="006B72EA" w:rsidRDefault="006B72E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948E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FF20" w14:textId="356A4CAD" w:rsidR="00DA3B00" w:rsidRPr="00782832" w:rsidRDefault="00782832" w:rsidP="00782832">
    <w:pPr>
      <w:pStyle w:val="Footer"/>
      <w:jc w:val="center"/>
      <w:rPr>
        <w:rFonts w:cs="Arial"/>
        <w:sz w:val="14"/>
      </w:rPr>
    </w:pPr>
    <w:r w:rsidRPr="007828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8CDF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49CD" w14:textId="77777777" w:rsidR="006B72EA" w:rsidRDefault="006B72EA" w:rsidP="00C17FAB">
      <w:r>
        <w:separator/>
      </w:r>
    </w:p>
  </w:footnote>
  <w:footnote w:type="continuationSeparator" w:id="0">
    <w:p w14:paraId="1444C41F" w14:textId="77777777" w:rsidR="006B72EA" w:rsidRDefault="006B72E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84DA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665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43F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3882737">
    <w:abstractNumId w:val="2"/>
  </w:num>
  <w:num w:numId="2" w16cid:durableId="1645353022">
    <w:abstractNumId w:val="0"/>
  </w:num>
  <w:num w:numId="3" w16cid:durableId="566888702">
    <w:abstractNumId w:val="3"/>
  </w:num>
  <w:num w:numId="4" w16cid:durableId="1504589192">
    <w:abstractNumId w:val="6"/>
  </w:num>
  <w:num w:numId="5" w16cid:durableId="2015181218">
    <w:abstractNumId w:val="7"/>
  </w:num>
  <w:num w:numId="6" w16cid:durableId="930743468">
    <w:abstractNumId w:val="1"/>
  </w:num>
  <w:num w:numId="7" w16cid:durableId="1796286535">
    <w:abstractNumId w:val="4"/>
  </w:num>
  <w:num w:numId="8" w16cid:durableId="867714219">
    <w:abstractNumId w:val="5"/>
  </w:num>
  <w:num w:numId="9" w16cid:durableId="715470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275C1C"/>
    <w:rsid w:val="00284C13"/>
    <w:rsid w:val="002A41D0"/>
    <w:rsid w:val="002D7C60"/>
    <w:rsid w:val="004E083B"/>
    <w:rsid w:val="006B72EA"/>
    <w:rsid w:val="007346AC"/>
    <w:rsid w:val="00782832"/>
    <w:rsid w:val="007A6CBB"/>
    <w:rsid w:val="007E4363"/>
    <w:rsid w:val="007F1266"/>
    <w:rsid w:val="008206E8"/>
    <w:rsid w:val="00905AFA"/>
    <w:rsid w:val="009508A5"/>
    <w:rsid w:val="0098780D"/>
    <w:rsid w:val="00B46526"/>
    <w:rsid w:val="00C17FAB"/>
    <w:rsid w:val="00CE599C"/>
    <w:rsid w:val="00DA3B00"/>
    <w:rsid w:val="00F018FE"/>
    <w:rsid w:val="00F26114"/>
    <w:rsid w:val="00F84C3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6BDB4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987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2025-05-27T05:46:00Z</dcterms:created>
  <dcterms:modified xsi:type="dcterms:W3CDTF">2025-05-27T05:46:00Z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2025-04-29T06:17:37Z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0317274b-7da7-4993-89ef-e334065af883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