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EEA5" w14:textId="77777777" w:rsidR="0078581E" w:rsidRPr="0078581E" w:rsidRDefault="0078581E" w:rsidP="0078581E">
      <w:pPr>
        <w:spacing w:before="120"/>
        <w:rPr>
          <w:rFonts w:ascii="Arial" w:hAnsi="Arial" w:cs="Arial"/>
        </w:rPr>
      </w:pPr>
      <w:bookmarkStart w:id="0" w:name="_Toc44738651"/>
      <w:r w:rsidRPr="0078581E">
        <w:rPr>
          <w:rFonts w:ascii="Arial" w:hAnsi="Arial" w:cs="Arial"/>
        </w:rPr>
        <w:t>Australian Capital Territory</w:t>
      </w:r>
    </w:p>
    <w:p w14:paraId="5095EA97" w14:textId="77ADB156" w:rsidR="00C17FAB" w:rsidRDefault="00E93DBA">
      <w:pPr>
        <w:pStyle w:val="Billname"/>
        <w:spacing w:before="700"/>
      </w:pPr>
      <w:r>
        <w:t xml:space="preserve">Unit Titles (Management) </w:t>
      </w:r>
      <w:r w:rsidR="00E747EF">
        <w:t xml:space="preserve">Sale </w:t>
      </w:r>
      <w:r>
        <w:t>Certificate Determination 20</w:t>
      </w:r>
      <w:r w:rsidR="00E731FF">
        <w:t>2</w:t>
      </w:r>
      <w:r w:rsidR="00E3199B">
        <w:t>5</w:t>
      </w:r>
    </w:p>
    <w:p w14:paraId="225580E5" w14:textId="2101D5D2" w:rsidR="00C17FAB" w:rsidRDefault="002D7C60" w:rsidP="00DA3B00">
      <w:pPr>
        <w:spacing w:before="340"/>
        <w:rPr>
          <w:rFonts w:ascii="Arial" w:hAnsi="Arial" w:cs="Arial"/>
          <w:b/>
          <w:bCs/>
        </w:rPr>
      </w:pPr>
      <w:r>
        <w:rPr>
          <w:rFonts w:ascii="Arial" w:hAnsi="Arial" w:cs="Arial"/>
          <w:b/>
          <w:bCs/>
        </w:rPr>
        <w:t>Disallowable instrument DI</w:t>
      </w:r>
      <w:r w:rsidR="00E93DBA">
        <w:rPr>
          <w:rFonts w:ascii="Arial" w:hAnsi="Arial" w:cs="Arial"/>
          <w:b/>
          <w:bCs/>
        </w:rPr>
        <w:t>20</w:t>
      </w:r>
      <w:r w:rsidR="00DC6F97">
        <w:rPr>
          <w:rFonts w:ascii="Arial" w:hAnsi="Arial" w:cs="Arial"/>
          <w:b/>
          <w:bCs/>
        </w:rPr>
        <w:t>2</w:t>
      </w:r>
      <w:r w:rsidR="00E3199B">
        <w:rPr>
          <w:rFonts w:ascii="Arial" w:hAnsi="Arial" w:cs="Arial"/>
          <w:b/>
          <w:bCs/>
        </w:rPr>
        <w:t>5</w:t>
      </w:r>
      <w:r w:rsidR="00E93DBA">
        <w:rPr>
          <w:rFonts w:ascii="Arial" w:hAnsi="Arial" w:cs="Arial"/>
          <w:b/>
          <w:bCs/>
        </w:rPr>
        <w:t>-</w:t>
      </w:r>
      <w:r w:rsidR="00092887">
        <w:rPr>
          <w:rFonts w:ascii="Arial" w:hAnsi="Arial" w:cs="Arial"/>
          <w:b/>
          <w:bCs/>
        </w:rPr>
        <w:t>75</w:t>
      </w:r>
    </w:p>
    <w:p w14:paraId="453E8318" w14:textId="77777777" w:rsidR="00C17FAB" w:rsidRDefault="00C17FAB" w:rsidP="00DA3B00">
      <w:pPr>
        <w:pStyle w:val="madeunder"/>
        <w:spacing w:before="300" w:after="0"/>
      </w:pPr>
      <w:r>
        <w:t xml:space="preserve">made under the  </w:t>
      </w:r>
    </w:p>
    <w:p w14:paraId="0A380883" w14:textId="399EEB61" w:rsidR="00E93DBA" w:rsidRDefault="00E93DBA" w:rsidP="0043567C">
      <w:pPr>
        <w:pStyle w:val="CoverActName"/>
        <w:spacing w:before="320"/>
        <w:jc w:val="left"/>
        <w:rPr>
          <w:rFonts w:cs="Arial"/>
          <w:sz w:val="20"/>
        </w:rPr>
      </w:pPr>
      <w:r>
        <w:rPr>
          <w:rFonts w:cs="Arial"/>
          <w:sz w:val="20"/>
        </w:rPr>
        <w:t xml:space="preserve">Unit Titles (Management) Act 2011, s 119 (Unit </w:t>
      </w:r>
      <w:r w:rsidR="00FC54C9">
        <w:rPr>
          <w:rFonts w:cs="Arial"/>
          <w:sz w:val="20"/>
        </w:rPr>
        <w:t>t</w:t>
      </w:r>
      <w:r>
        <w:rPr>
          <w:rFonts w:cs="Arial"/>
          <w:sz w:val="20"/>
        </w:rPr>
        <w:t>itle certificate</w:t>
      </w:r>
      <w:r w:rsidR="00086A35">
        <w:rPr>
          <w:rFonts w:cs="Arial"/>
          <w:sz w:val="20"/>
        </w:rPr>
        <w:t>s)</w:t>
      </w:r>
    </w:p>
    <w:p w14:paraId="22AB466F" w14:textId="77777777" w:rsidR="00C17FAB" w:rsidRDefault="00C17FAB" w:rsidP="0043567C">
      <w:pPr>
        <w:spacing w:before="360"/>
        <w:rPr>
          <w:rFonts w:ascii="Arial" w:hAnsi="Arial" w:cs="Arial"/>
          <w:b/>
          <w:bCs/>
          <w:sz w:val="28"/>
          <w:szCs w:val="28"/>
        </w:rPr>
      </w:pPr>
      <w:r>
        <w:rPr>
          <w:rFonts w:ascii="Arial" w:hAnsi="Arial" w:cs="Arial"/>
          <w:b/>
          <w:bCs/>
          <w:sz w:val="28"/>
          <w:szCs w:val="28"/>
        </w:rPr>
        <w:t>EXPLANATORY STATEMENT</w:t>
      </w:r>
    </w:p>
    <w:p w14:paraId="1FB9D6AF" w14:textId="77777777" w:rsidR="00C17FAB" w:rsidRDefault="00C17FAB">
      <w:pPr>
        <w:pStyle w:val="N-line3"/>
        <w:pBdr>
          <w:bottom w:val="none" w:sz="0" w:space="0" w:color="auto"/>
        </w:pBdr>
      </w:pPr>
    </w:p>
    <w:p w14:paraId="376DC08E" w14:textId="77777777" w:rsidR="00C17FAB" w:rsidRDefault="00C17FAB">
      <w:pPr>
        <w:pStyle w:val="N-line3"/>
        <w:pBdr>
          <w:top w:val="single" w:sz="12" w:space="1" w:color="auto"/>
          <w:bottom w:val="none" w:sz="0" w:space="0" w:color="auto"/>
        </w:pBdr>
      </w:pPr>
    </w:p>
    <w:bookmarkEnd w:id="0"/>
    <w:p w14:paraId="7C16CA4F" w14:textId="7C51A735" w:rsidR="003D636F" w:rsidRDefault="003D636F" w:rsidP="003D636F">
      <w:pPr>
        <w:tabs>
          <w:tab w:val="left" w:pos="720"/>
          <w:tab w:val="left" w:pos="2880"/>
          <w:tab w:val="center" w:pos="4153"/>
          <w:tab w:val="right" w:pos="8306"/>
        </w:tabs>
        <w:jc w:val="both"/>
        <w:rPr>
          <w:rFonts w:eastAsia="SimSun"/>
          <w:bdr w:val="none" w:sz="0" w:space="0" w:color="auto" w:frame="1"/>
        </w:rPr>
      </w:pPr>
      <w:r w:rsidRPr="0083050F">
        <w:rPr>
          <w:rFonts w:eastAsia="SimSun"/>
          <w:bdr w:val="none" w:sz="0" w:space="0" w:color="auto" w:frame="1"/>
        </w:rPr>
        <w:t xml:space="preserve">The new determination repeals the </w:t>
      </w:r>
      <w:r>
        <w:rPr>
          <w:rFonts w:eastAsia="SimSun"/>
          <w:i/>
          <w:iCs/>
          <w:bdr w:val="none" w:sz="0" w:space="0" w:color="auto" w:frame="1"/>
        </w:rPr>
        <w:t>Unit Titles (Management)</w:t>
      </w:r>
      <w:r w:rsidRPr="0083050F">
        <w:rPr>
          <w:rFonts w:eastAsia="SimSun"/>
          <w:i/>
          <w:iCs/>
          <w:bdr w:val="none" w:sz="0" w:space="0" w:color="auto" w:frame="1"/>
        </w:rPr>
        <w:t xml:space="preserve"> </w:t>
      </w:r>
      <w:r>
        <w:rPr>
          <w:rFonts w:eastAsia="SimSun"/>
          <w:i/>
          <w:iCs/>
          <w:bdr w:val="none" w:sz="0" w:space="0" w:color="auto" w:frame="1"/>
        </w:rPr>
        <w:t>Sale Certificate</w:t>
      </w:r>
      <w:r w:rsidRPr="0083050F">
        <w:rPr>
          <w:rFonts w:eastAsia="SimSun"/>
          <w:i/>
          <w:iCs/>
          <w:bdr w:val="none" w:sz="0" w:space="0" w:color="auto" w:frame="1"/>
        </w:rPr>
        <w:t xml:space="preserve"> Determination 202</w:t>
      </w:r>
      <w:r>
        <w:rPr>
          <w:rFonts w:eastAsia="SimSun"/>
          <w:i/>
          <w:iCs/>
          <w:bdr w:val="none" w:sz="0" w:space="0" w:color="auto" w:frame="1"/>
        </w:rPr>
        <w:t>4</w:t>
      </w:r>
      <w:r w:rsidR="00E3199B">
        <w:rPr>
          <w:rFonts w:eastAsia="SimSun"/>
          <w:i/>
          <w:iCs/>
          <w:bdr w:val="none" w:sz="0" w:space="0" w:color="auto" w:frame="1"/>
        </w:rPr>
        <w:t xml:space="preserve"> (No 2)</w:t>
      </w:r>
      <w:r w:rsidRPr="0083050F">
        <w:rPr>
          <w:rFonts w:eastAsia="SimSun"/>
          <w:bdr w:val="none" w:sz="0" w:space="0" w:color="auto" w:frame="1"/>
        </w:rPr>
        <w:t xml:space="preserve"> DI202</w:t>
      </w:r>
      <w:r>
        <w:rPr>
          <w:rFonts w:eastAsia="SimSun"/>
          <w:bdr w:val="none" w:sz="0" w:space="0" w:color="auto" w:frame="1"/>
        </w:rPr>
        <w:t>4-</w:t>
      </w:r>
      <w:r w:rsidR="00E3199B">
        <w:rPr>
          <w:rFonts w:eastAsia="SimSun"/>
          <w:bdr w:val="none" w:sz="0" w:space="0" w:color="auto" w:frame="1"/>
        </w:rPr>
        <w:t>314</w:t>
      </w:r>
      <w:r w:rsidRPr="0083050F">
        <w:rPr>
          <w:rFonts w:eastAsia="SimSun"/>
          <w:bdr w:val="none" w:sz="0" w:space="0" w:color="auto" w:frame="1"/>
        </w:rPr>
        <w:t xml:space="preserve">. </w:t>
      </w:r>
    </w:p>
    <w:p w14:paraId="0E2D6779" w14:textId="77777777" w:rsidR="003D636F" w:rsidRDefault="003D636F" w:rsidP="003D636F">
      <w:pPr>
        <w:tabs>
          <w:tab w:val="left" w:pos="720"/>
          <w:tab w:val="left" w:pos="2880"/>
          <w:tab w:val="center" w:pos="4153"/>
          <w:tab w:val="right" w:pos="8306"/>
        </w:tabs>
        <w:jc w:val="both"/>
        <w:rPr>
          <w:rFonts w:eastAsia="SimSun"/>
          <w:bdr w:val="none" w:sz="0" w:space="0" w:color="auto" w:frame="1"/>
        </w:rPr>
      </w:pPr>
    </w:p>
    <w:p w14:paraId="578F3925" w14:textId="0E11C107" w:rsidR="00DF40A6" w:rsidRDefault="009D50CC" w:rsidP="009F0E87">
      <w:pPr>
        <w:spacing w:after="200"/>
      </w:pPr>
      <w:r>
        <w:rPr>
          <w:iCs/>
        </w:rPr>
        <w:t>The new</w:t>
      </w:r>
      <w:r w:rsidRPr="000F749B">
        <w:rPr>
          <w:i/>
        </w:rPr>
        <w:t xml:space="preserve"> Unit Titles (Management)</w:t>
      </w:r>
      <w:r w:rsidR="00BD1215">
        <w:rPr>
          <w:i/>
        </w:rPr>
        <w:t xml:space="preserve"> Sale</w:t>
      </w:r>
      <w:r w:rsidRPr="000F749B">
        <w:rPr>
          <w:i/>
        </w:rPr>
        <w:t xml:space="preserve"> Certificate Determination 20</w:t>
      </w:r>
      <w:r>
        <w:rPr>
          <w:i/>
        </w:rPr>
        <w:t>2</w:t>
      </w:r>
      <w:r w:rsidR="00E3199B">
        <w:rPr>
          <w:i/>
        </w:rPr>
        <w:t>5</w:t>
      </w:r>
      <w:r>
        <w:t xml:space="preserve"> </w:t>
      </w:r>
      <w:r w:rsidR="004B48BF">
        <w:t>(</w:t>
      </w:r>
      <w:r w:rsidR="004B48BF" w:rsidRPr="00841F09">
        <w:rPr>
          <w:b/>
          <w:bCs/>
        </w:rPr>
        <w:t>the 2025 Determination</w:t>
      </w:r>
      <w:r w:rsidR="004B48BF">
        <w:t xml:space="preserve">) </w:t>
      </w:r>
      <w:r w:rsidR="00935A04">
        <w:t xml:space="preserve">makes minor amendment to </w:t>
      </w:r>
      <w:r>
        <w:t xml:space="preserve">the information that must be provided in </w:t>
      </w:r>
      <w:r w:rsidR="004459EF">
        <w:t xml:space="preserve">a </w:t>
      </w:r>
      <w:r>
        <w:t>unit title</w:t>
      </w:r>
      <w:r w:rsidR="00BD1215">
        <w:t xml:space="preserve"> sale</w:t>
      </w:r>
      <w:r>
        <w:t xml:space="preserve"> certificate </w:t>
      </w:r>
      <w:r w:rsidR="005622B4">
        <w:t xml:space="preserve">and a unit title sale update certificate </w:t>
      </w:r>
      <w:r>
        <w:t>issued under section</w:t>
      </w:r>
      <w:r w:rsidR="00FB1EF9">
        <w:t xml:space="preserve"> </w:t>
      </w:r>
      <w:r>
        <w:t>119</w:t>
      </w:r>
      <w:r w:rsidR="00FB1EF9">
        <w:t xml:space="preserve"> </w:t>
      </w:r>
      <w:r>
        <w:t xml:space="preserve">(1) </w:t>
      </w:r>
      <w:r w:rsidR="00C16747">
        <w:t xml:space="preserve">(a) and (b) </w:t>
      </w:r>
      <w:r>
        <w:t>of the Act</w:t>
      </w:r>
      <w:r w:rsidR="00C16747">
        <w:t xml:space="preserve"> respectively</w:t>
      </w:r>
      <w:r>
        <w:t xml:space="preserve">. </w:t>
      </w:r>
      <w:r w:rsidR="004B48BF">
        <w:t>It also makes a minor change to an example provided in the previous determination in relation to embedded networks.</w:t>
      </w:r>
    </w:p>
    <w:p w14:paraId="6ED10A75" w14:textId="0E803799" w:rsidR="004B48BF" w:rsidRPr="00841F09" w:rsidRDefault="004B48BF" w:rsidP="00841F09">
      <w:pPr>
        <w:spacing w:after="200"/>
        <w:rPr>
          <w:i/>
          <w:iCs/>
          <w:u w:val="single"/>
        </w:rPr>
      </w:pPr>
      <w:r w:rsidRPr="007D3B2A">
        <w:rPr>
          <w:u w:val="single"/>
        </w:rPr>
        <w:t xml:space="preserve">Amendment to definition of </w:t>
      </w:r>
      <w:r w:rsidRPr="007D3B2A">
        <w:rPr>
          <w:i/>
          <w:iCs/>
          <w:u w:val="single"/>
        </w:rPr>
        <w:t>swimming pool disclosure statement</w:t>
      </w:r>
    </w:p>
    <w:p w14:paraId="40AE3DEA" w14:textId="4A5660EC" w:rsidR="00935A04" w:rsidRDefault="00935A04" w:rsidP="00DF40A6">
      <w:pPr>
        <w:spacing w:after="240"/>
        <w:rPr>
          <w:iCs/>
        </w:rPr>
      </w:pPr>
      <w:r w:rsidRPr="00935A04">
        <w:rPr>
          <w:iCs/>
        </w:rPr>
        <w:t xml:space="preserve">The </w:t>
      </w:r>
      <w:r>
        <w:rPr>
          <w:iCs/>
        </w:rPr>
        <w:t>previous d</w:t>
      </w:r>
      <w:r w:rsidRPr="00935A04">
        <w:rPr>
          <w:iCs/>
        </w:rPr>
        <w:t xml:space="preserve">etermination </w:t>
      </w:r>
      <w:r>
        <w:rPr>
          <w:iCs/>
        </w:rPr>
        <w:t xml:space="preserve">(DI2024-314) </w:t>
      </w:r>
      <w:r w:rsidR="004B48BF">
        <w:rPr>
          <w:iCs/>
        </w:rPr>
        <w:t>(</w:t>
      </w:r>
      <w:r w:rsidR="004B48BF" w:rsidRPr="00841F09">
        <w:rPr>
          <w:b/>
          <w:bCs/>
          <w:iCs/>
        </w:rPr>
        <w:t>the 2024 Determination</w:t>
      </w:r>
      <w:r w:rsidR="004B48BF">
        <w:rPr>
          <w:iCs/>
        </w:rPr>
        <w:t xml:space="preserve">) </w:t>
      </w:r>
      <w:r w:rsidRPr="00935A04">
        <w:rPr>
          <w:iCs/>
        </w:rPr>
        <w:t xml:space="preserve">includes requirements for an owners corporation to disclose information about any regulated swimming pool located on the common property. A </w:t>
      </w:r>
      <w:r w:rsidRPr="00935A04">
        <w:rPr>
          <w:i/>
          <w:iCs/>
        </w:rPr>
        <w:t>swimming pool disclosure statement</w:t>
      </w:r>
      <w:r w:rsidRPr="00935A04">
        <w:rPr>
          <w:iCs/>
        </w:rPr>
        <w:t xml:space="preserve"> forms part of the information that must be disclosed, which includes disclosure of </w:t>
      </w:r>
      <w:r w:rsidR="001B4B47">
        <w:rPr>
          <w:iCs/>
        </w:rPr>
        <w:t>when</w:t>
      </w:r>
      <w:r w:rsidRPr="00935A04">
        <w:rPr>
          <w:iCs/>
        </w:rPr>
        <w:t xml:space="preserve"> the units plan was built. Feedback from stakeholders has indicated that this information is problematic, particularly for staged developments where there maybe multiple build dates for the units plan.</w:t>
      </w:r>
      <w:r>
        <w:rPr>
          <w:iCs/>
        </w:rPr>
        <w:t xml:space="preserve"> Additionally, when the units plan was built will be disclosed in other documents in the contract for sale required under section 9 of the </w:t>
      </w:r>
      <w:r w:rsidRPr="00935A04">
        <w:rPr>
          <w:i/>
        </w:rPr>
        <w:t>Civil Law (Sale of Residential Property) Act 2003</w:t>
      </w:r>
      <w:r>
        <w:rPr>
          <w:iCs/>
        </w:rPr>
        <w:t xml:space="preserve">. </w:t>
      </w:r>
    </w:p>
    <w:p w14:paraId="725E93CA" w14:textId="0CC7DAE4" w:rsidR="00DB0917" w:rsidRDefault="00935A04" w:rsidP="00DB0917">
      <w:pPr>
        <w:spacing w:after="200"/>
      </w:pPr>
      <w:r w:rsidRPr="00935A04">
        <w:rPr>
          <w:iCs/>
        </w:rPr>
        <w:t xml:space="preserve">In consideration of this, it has been determined that </w:t>
      </w:r>
      <w:r w:rsidR="004B48BF">
        <w:t>about when a units plan, or a stage of a units plan has been completed</w:t>
      </w:r>
      <w:r w:rsidR="004B48BF" w:rsidRPr="00935A04">
        <w:rPr>
          <w:iCs/>
        </w:rPr>
        <w:t xml:space="preserve"> </w:t>
      </w:r>
      <w:r w:rsidRPr="00935A04">
        <w:rPr>
          <w:iCs/>
        </w:rPr>
        <w:t>information is not required</w:t>
      </w:r>
      <w:r w:rsidR="004B48BF">
        <w:rPr>
          <w:iCs/>
        </w:rPr>
        <w:t xml:space="preserve"> </w:t>
      </w:r>
      <w:r w:rsidR="004B48BF">
        <w:t xml:space="preserve">as it is not relevant safety information relating to the regulated swimming pool. As such, the requirement to provide information about when the units plan was built has been removed from the 2025 Determination. </w:t>
      </w:r>
      <w:r w:rsidR="00DB0917">
        <w:t xml:space="preserve">Further, a clarification has been included in the 2025 Determination that the swimming pool disclosure statement only needs to include information about alterations to the regulated swimming pool or safety barrier when those alterations were building work which required building approval. Definitions of building work and building approval have also been inserted into the 2025 Determination. In both cases, the definitions referenced are those contained in the Dictionary of the </w:t>
      </w:r>
      <w:r w:rsidR="00DB0917" w:rsidRPr="00773E5A">
        <w:rPr>
          <w:i/>
          <w:iCs/>
        </w:rPr>
        <w:t>Building Act 2004</w:t>
      </w:r>
      <w:r w:rsidR="00DB0917">
        <w:t xml:space="preserve">. </w:t>
      </w:r>
      <w:r w:rsidR="00DB0917" w:rsidRPr="00773E5A">
        <w:t xml:space="preserve">This would mean, for example, that if a swimming pool fence had been painted, the owners corporation would not need to </w:t>
      </w:r>
      <w:r w:rsidR="00DB0917" w:rsidRPr="00773E5A">
        <w:lastRenderedPageBreak/>
        <w:t>disclose that information in the swimming pool disclosure statement as painting is not building work requiring building approval. </w:t>
      </w:r>
    </w:p>
    <w:p w14:paraId="44703F18" w14:textId="3158A132" w:rsidR="00DB0917" w:rsidRDefault="00DB0917" w:rsidP="004B48BF">
      <w:pPr>
        <w:spacing w:after="200"/>
      </w:pPr>
    </w:p>
    <w:p w14:paraId="64B17018" w14:textId="6AC07D6D" w:rsidR="004B48BF" w:rsidRDefault="004B48BF" w:rsidP="004B48BF">
      <w:pPr>
        <w:spacing w:after="200"/>
      </w:pPr>
      <w:r>
        <w:t>Owners corporations are now required to provide information about:</w:t>
      </w:r>
    </w:p>
    <w:p w14:paraId="12524ECB" w14:textId="11E17775" w:rsidR="004B48BF" w:rsidRDefault="001B4B47" w:rsidP="004B48BF">
      <w:pPr>
        <w:pStyle w:val="ListParagraph"/>
        <w:numPr>
          <w:ilvl w:val="0"/>
          <w:numId w:val="12"/>
        </w:numPr>
        <w:spacing w:after="240"/>
      </w:pPr>
      <w:r w:rsidRPr="004B48BF">
        <w:t>when</w:t>
      </w:r>
      <w:r w:rsidR="00935A04" w:rsidRPr="004B48BF">
        <w:t xml:space="preserve"> the regulated swimming pool was completed, </w:t>
      </w:r>
    </w:p>
    <w:p w14:paraId="0FA0F42F" w14:textId="3E5F8AEF" w:rsidR="00841F09" w:rsidRDefault="00DB0917" w:rsidP="004B48BF">
      <w:pPr>
        <w:pStyle w:val="ListParagraph"/>
        <w:numPr>
          <w:ilvl w:val="0"/>
          <w:numId w:val="12"/>
        </w:numPr>
        <w:spacing w:after="240"/>
      </w:pPr>
      <w:r>
        <w:t xml:space="preserve">if the regulated swimming pool has a safety barrier, </w:t>
      </w:r>
      <w:r w:rsidR="00841F09">
        <w:t>when the safety barrier was completed</w:t>
      </w:r>
      <w:r>
        <w:t>;</w:t>
      </w:r>
    </w:p>
    <w:p w14:paraId="4A501823" w14:textId="09F08239" w:rsidR="004B48BF" w:rsidRDefault="00841F09" w:rsidP="00AF4D73">
      <w:pPr>
        <w:pStyle w:val="ListParagraph"/>
        <w:numPr>
          <w:ilvl w:val="0"/>
          <w:numId w:val="12"/>
        </w:numPr>
        <w:spacing w:after="240"/>
      </w:pPr>
      <w:r>
        <w:t>i</w:t>
      </w:r>
      <w:r w:rsidR="004B48BF">
        <w:t xml:space="preserve">f any </w:t>
      </w:r>
      <w:r>
        <w:t>building work which requires building approval</w:t>
      </w:r>
      <w:r w:rsidR="00935A04" w:rsidRPr="004B48BF">
        <w:t xml:space="preserve"> </w:t>
      </w:r>
      <w:r w:rsidR="004B48BF">
        <w:t>to the regulated swimming pool or safety barrier ha</w:t>
      </w:r>
      <w:r w:rsidR="00DB0917">
        <w:t>s</w:t>
      </w:r>
      <w:r w:rsidR="004B48BF">
        <w:t xml:space="preserve"> occurred, when those alterations were </w:t>
      </w:r>
      <w:r w:rsidR="00935A04" w:rsidRPr="004B48BF">
        <w:t>completed</w:t>
      </w:r>
      <w:r>
        <w:t>,</w:t>
      </w:r>
      <w:r w:rsidR="004B48BF">
        <w:t xml:space="preserve"> and</w:t>
      </w:r>
    </w:p>
    <w:p w14:paraId="629F5830" w14:textId="77777777" w:rsidR="004B48BF" w:rsidRDefault="004B48BF" w:rsidP="004B48BF">
      <w:pPr>
        <w:pStyle w:val="ListParagraph"/>
        <w:numPr>
          <w:ilvl w:val="0"/>
          <w:numId w:val="12"/>
        </w:numPr>
        <w:spacing w:after="200"/>
      </w:pPr>
      <w:r>
        <w:t xml:space="preserve">whether a standing exemption applies in relation to the regulated swimming pool, and, if so, the circumstances for the exemption. </w:t>
      </w:r>
    </w:p>
    <w:p w14:paraId="0CDD5824" w14:textId="77777777" w:rsidR="004B48BF" w:rsidRPr="00B428D2" w:rsidRDefault="004B48BF" w:rsidP="004B48BF">
      <w:pPr>
        <w:spacing w:after="200"/>
        <w:rPr>
          <w:u w:val="single"/>
        </w:rPr>
      </w:pPr>
      <w:r>
        <w:rPr>
          <w:u w:val="single"/>
        </w:rPr>
        <w:t>Example</w:t>
      </w:r>
      <w:r w:rsidRPr="00B428D2">
        <w:rPr>
          <w:u w:val="single"/>
        </w:rPr>
        <w:t xml:space="preserve"> about embedded networks </w:t>
      </w:r>
      <w:r>
        <w:rPr>
          <w:u w:val="single"/>
        </w:rPr>
        <w:t>with</w:t>
      </w:r>
      <w:r w:rsidRPr="00B428D2">
        <w:rPr>
          <w:u w:val="single"/>
        </w:rPr>
        <w:t>in the units plan</w:t>
      </w:r>
    </w:p>
    <w:p w14:paraId="228B0E4F" w14:textId="6A85F004" w:rsidR="004B48BF" w:rsidRPr="004759A3" w:rsidRDefault="004B48BF" w:rsidP="004B48BF">
      <w:pPr>
        <w:spacing w:after="200"/>
      </w:pPr>
      <w:r>
        <w:t xml:space="preserve">The </w:t>
      </w:r>
      <w:r w:rsidRPr="00212DFD">
        <w:rPr>
          <w:iCs/>
        </w:rPr>
        <w:t>202</w:t>
      </w:r>
      <w:r>
        <w:rPr>
          <w:iCs/>
        </w:rPr>
        <w:t>4</w:t>
      </w:r>
      <w:r w:rsidRPr="00212DFD">
        <w:rPr>
          <w:iCs/>
        </w:rPr>
        <w:t xml:space="preserve"> Determination</w:t>
      </w:r>
      <w:r>
        <w:t xml:space="preserve"> provides for two circumstances where the owners corporation must disclose information about any embedded networks that may affect prospective buyer:</w:t>
      </w:r>
    </w:p>
    <w:p w14:paraId="4BB0AD23" w14:textId="77777777" w:rsidR="004B48BF" w:rsidRDefault="004B48BF" w:rsidP="004B48BF">
      <w:pPr>
        <w:pStyle w:val="ListParagraph"/>
        <w:numPr>
          <w:ilvl w:val="0"/>
          <w:numId w:val="14"/>
        </w:numPr>
        <w:spacing w:after="200"/>
      </w:pPr>
      <w:r>
        <w:t xml:space="preserve">For an electricity service supplied to the premises – the electricity service is a part of an embedded network; and </w:t>
      </w:r>
    </w:p>
    <w:p w14:paraId="53EEF9A5" w14:textId="32854280" w:rsidR="004B48BF" w:rsidRPr="00761133" w:rsidRDefault="004B48BF" w:rsidP="004B48BF">
      <w:pPr>
        <w:pStyle w:val="ListParagraph"/>
        <w:numPr>
          <w:ilvl w:val="0"/>
          <w:numId w:val="14"/>
        </w:numPr>
        <w:spacing w:after="200"/>
      </w:pPr>
      <w:r>
        <w:t xml:space="preserve">For any utility service supplied to the premises – that unit owner will have no or limited choice of service provider for the utility service. </w:t>
      </w:r>
    </w:p>
    <w:p w14:paraId="1E8C6F98" w14:textId="29DA8FBC" w:rsidR="004B48BF" w:rsidRPr="004B48BF" w:rsidRDefault="004B48BF" w:rsidP="004B48BF">
      <w:pPr>
        <w:spacing w:after="240"/>
      </w:pPr>
      <w:r>
        <w:rPr>
          <w:iCs/>
        </w:rPr>
        <w:t>While intended to relate to any utility service, the example included for Para (</w:t>
      </w:r>
      <w:r w:rsidR="004F58E8">
        <w:rPr>
          <w:iCs/>
        </w:rPr>
        <w:t>17</w:t>
      </w:r>
      <w:r>
        <w:rPr>
          <w:iCs/>
        </w:rPr>
        <w:t xml:space="preserve">) in </w:t>
      </w:r>
      <w:r w:rsidRPr="00212DFD">
        <w:rPr>
          <w:iCs/>
        </w:rPr>
        <w:t>202</w:t>
      </w:r>
      <w:r>
        <w:rPr>
          <w:iCs/>
        </w:rPr>
        <w:t>4</w:t>
      </w:r>
      <w:r w:rsidRPr="00212DFD">
        <w:rPr>
          <w:iCs/>
        </w:rPr>
        <w:t xml:space="preserve"> Determination</w:t>
      </w:r>
      <w:r>
        <w:rPr>
          <w:iCs/>
        </w:rPr>
        <w:t xml:space="preserve"> referenced a scenario in relation to electricity supply. Stakeholder feedback indicated this was confusing considering the determination had a separate requirement for an owners corporation to disclose any embedded network for electricity services. The example in the </w:t>
      </w:r>
      <w:r w:rsidRPr="00212DFD">
        <w:rPr>
          <w:iCs/>
        </w:rPr>
        <w:t>202</w:t>
      </w:r>
      <w:r>
        <w:rPr>
          <w:iCs/>
        </w:rPr>
        <w:t>5</w:t>
      </w:r>
      <w:r w:rsidRPr="00212DFD">
        <w:rPr>
          <w:iCs/>
        </w:rPr>
        <w:t xml:space="preserve"> Determination</w:t>
      </w:r>
      <w:r>
        <w:rPr>
          <w:iCs/>
        </w:rPr>
        <w:t xml:space="preserve"> </w:t>
      </w:r>
      <w:r w:rsidR="004F58E8">
        <w:rPr>
          <w:iCs/>
        </w:rPr>
        <w:t>contains an</w:t>
      </w:r>
      <w:r>
        <w:rPr>
          <w:iCs/>
        </w:rPr>
        <w:t xml:space="preserve"> amended </w:t>
      </w:r>
      <w:r w:rsidR="004F58E8">
        <w:rPr>
          <w:iCs/>
        </w:rPr>
        <w:t xml:space="preserve">example which </w:t>
      </w:r>
      <w:r>
        <w:rPr>
          <w:iCs/>
        </w:rPr>
        <w:t>relate</w:t>
      </w:r>
      <w:r w:rsidR="004F58E8">
        <w:rPr>
          <w:iCs/>
        </w:rPr>
        <w:t>s</w:t>
      </w:r>
      <w:r>
        <w:rPr>
          <w:iCs/>
        </w:rPr>
        <w:t xml:space="preserve"> to a scenario where the central hot water system relies on gas supply where each unit is charged separately for their consumption.</w:t>
      </w:r>
    </w:p>
    <w:p w14:paraId="3A528FCB" w14:textId="5A48D880" w:rsidR="00DF40A6" w:rsidRPr="004B48BF" w:rsidRDefault="002F2C37" w:rsidP="004B48BF">
      <w:pPr>
        <w:spacing w:after="240"/>
      </w:pPr>
      <w:r w:rsidRPr="004B48BF">
        <w:t xml:space="preserve">All other documents required for a unit title sales certificate and a unit title sales update certificate </w:t>
      </w:r>
      <w:r w:rsidR="004B48BF">
        <w:t xml:space="preserve">in the 2025 Determination </w:t>
      </w:r>
      <w:r w:rsidRPr="004B48BF">
        <w:t xml:space="preserve">remain the same as </w:t>
      </w:r>
      <w:r w:rsidR="008E3533" w:rsidRPr="004B48BF">
        <w:t xml:space="preserve">those required for a unit title certificate and a unit title update certificate </w:t>
      </w:r>
      <w:r w:rsidRPr="004B48BF">
        <w:t xml:space="preserve">under the </w:t>
      </w:r>
      <w:r w:rsidR="004B48BF">
        <w:t>2024</w:t>
      </w:r>
      <w:r w:rsidRPr="004B48BF">
        <w:t>.</w:t>
      </w:r>
    </w:p>
    <w:p w14:paraId="320657D3" w14:textId="77777777" w:rsidR="00935A04" w:rsidRDefault="001250BF" w:rsidP="00935A04">
      <w:pPr>
        <w:spacing w:after="240"/>
      </w:pPr>
      <w:r w:rsidRPr="0070500A">
        <w:t xml:space="preserve">Section </w:t>
      </w:r>
      <w:r>
        <w:t>119</w:t>
      </w:r>
      <w:r w:rsidRPr="0070500A">
        <w:t xml:space="preserve"> (</w:t>
      </w:r>
      <w:r w:rsidR="00086A35">
        <w:t>6</w:t>
      </w:r>
      <w:r w:rsidRPr="0070500A">
        <w:t>) of the Act provides that th</w:t>
      </w:r>
      <w:r>
        <w:t>e Minister’s determination</w:t>
      </w:r>
      <w:r w:rsidRPr="0070500A">
        <w:t xml:space="preserve"> is </w:t>
      </w:r>
      <w:r>
        <w:t xml:space="preserve">a </w:t>
      </w:r>
      <w:r w:rsidRPr="0070500A">
        <w:t>disallowable</w:t>
      </w:r>
      <w:r>
        <w:t xml:space="preserve"> instrument</w:t>
      </w:r>
      <w:r w:rsidRPr="0070500A">
        <w:t>.</w:t>
      </w:r>
      <w:r w:rsidRPr="009A50D2">
        <w:t xml:space="preserve"> </w:t>
      </w:r>
      <w:r>
        <w:t xml:space="preserve"> </w:t>
      </w:r>
    </w:p>
    <w:p w14:paraId="1E661012" w14:textId="5850E24C" w:rsidR="00097C4D" w:rsidRPr="00994015" w:rsidRDefault="001250BF" w:rsidP="00935A04">
      <w:pPr>
        <w:spacing w:after="240"/>
        <w:rPr>
          <w:szCs w:val="24"/>
        </w:rPr>
      </w:pPr>
      <w:r>
        <w:t>This instrument does not engage any human rights.</w:t>
      </w:r>
    </w:p>
    <w:sectPr w:rsidR="00097C4D" w:rsidRPr="00994015" w:rsidSect="007828FA">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276"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BE9A" w14:textId="77777777" w:rsidR="00694C1E" w:rsidRDefault="00694C1E" w:rsidP="00C17FAB">
      <w:r>
        <w:separator/>
      </w:r>
    </w:p>
  </w:endnote>
  <w:endnote w:type="continuationSeparator" w:id="0">
    <w:p w14:paraId="4317FEBB" w14:textId="77777777" w:rsidR="00694C1E" w:rsidRDefault="00694C1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E9D8" w14:textId="77777777" w:rsidR="00481216" w:rsidRDefault="00481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4E5A" w14:textId="72197273" w:rsidR="0070562D" w:rsidRPr="00481216" w:rsidRDefault="00481216" w:rsidP="00481216">
    <w:pPr>
      <w:pStyle w:val="Footer"/>
      <w:jc w:val="center"/>
      <w:rPr>
        <w:rFonts w:cs="Arial"/>
        <w:sz w:val="14"/>
      </w:rPr>
    </w:pPr>
    <w:r w:rsidRPr="0048121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79E6" w14:textId="77777777" w:rsidR="00481216" w:rsidRDefault="00481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D445" w14:textId="77777777" w:rsidR="00694C1E" w:rsidRDefault="00694C1E" w:rsidP="00C17FAB">
      <w:r>
        <w:separator/>
      </w:r>
    </w:p>
  </w:footnote>
  <w:footnote w:type="continuationSeparator" w:id="0">
    <w:p w14:paraId="75B554B4" w14:textId="77777777" w:rsidR="00694C1E" w:rsidRDefault="00694C1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A6FB" w14:textId="77777777" w:rsidR="00481216" w:rsidRDefault="00481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5739" w14:textId="77777777" w:rsidR="00481216" w:rsidRDefault="00481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2200" w14:textId="77777777" w:rsidR="00481216" w:rsidRDefault="00481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312CE"/>
    <w:multiLevelType w:val="hybridMultilevel"/>
    <w:tmpl w:val="4DB801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4410D9D"/>
    <w:multiLevelType w:val="hybridMultilevel"/>
    <w:tmpl w:val="DC0A1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7C627DB"/>
    <w:multiLevelType w:val="hybridMultilevel"/>
    <w:tmpl w:val="59B4AB14"/>
    <w:lvl w:ilvl="0" w:tplc="2BD4B7BA">
      <w:start w:val="1"/>
      <w:numFmt w:val="lowerLetter"/>
      <w:lvlText w:val="(%1)"/>
      <w:lvlJc w:val="left"/>
      <w:pPr>
        <w:ind w:left="1080" w:hanging="360"/>
      </w:pPr>
      <w:rPr>
        <w:rFonts w:hint="default"/>
      </w:rPr>
    </w:lvl>
    <w:lvl w:ilvl="1" w:tplc="583C868E">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F225964"/>
    <w:multiLevelType w:val="hybridMultilevel"/>
    <w:tmpl w:val="17D235D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391734718">
    <w:abstractNumId w:val="2"/>
  </w:num>
  <w:num w:numId="2" w16cid:durableId="1452819425">
    <w:abstractNumId w:val="0"/>
  </w:num>
  <w:num w:numId="3" w16cid:durableId="1976452064">
    <w:abstractNumId w:val="3"/>
  </w:num>
  <w:num w:numId="4" w16cid:durableId="180438570">
    <w:abstractNumId w:val="9"/>
  </w:num>
  <w:num w:numId="5" w16cid:durableId="1769082587">
    <w:abstractNumId w:val="12"/>
  </w:num>
  <w:num w:numId="6" w16cid:durableId="2009286480">
    <w:abstractNumId w:val="1"/>
  </w:num>
  <w:num w:numId="7" w16cid:durableId="613050995">
    <w:abstractNumId w:val="7"/>
  </w:num>
  <w:num w:numId="8" w16cid:durableId="834959780">
    <w:abstractNumId w:val="8"/>
  </w:num>
  <w:num w:numId="9" w16cid:durableId="1789810941">
    <w:abstractNumId w:val="13"/>
  </w:num>
  <w:num w:numId="10" w16cid:durableId="142545042">
    <w:abstractNumId w:val="6"/>
  </w:num>
  <w:num w:numId="11" w16cid:durableId="1922251719">
    <w:abstractNumId w:val="10"/>
  </w:num>
  <w:num w:numId="12" w16cid:durableId="784272705">
    <w:abstractNumId w:val="5"/>
  </w:num>
  <w:num w:numId="13" w16cid:durableId="370426854">
    <w:abstractNumId w:val="4"/>
  </w:num>
  <w:num w:numId="14" w16cid:durableId="1483815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00204"/>
    <w:rsid w:val="0001442C"/>
    <w:rsid w:val="00043030"/>
    <w:rsid w:val="00055C68"/>
    <w:rsid w:val="0005632F"/>
    <w:rsid w:val="00060637"/>
    <w:rsid w:val="00071A18"/>
    <w:rsid w:val="00076382"/>
    <w:rsid w:val="00086A35"/>
    <w:rsid w:val="000909D3"/>
    <w:rsid w:val="00092887"/>
    <w:rsid w:val="00097C4D"/>
    <w:rsid w:val="000D36F7"/>
    <w:rsid w:val="000D68FB"/>
    <w:rsid w:val="00106B9C"/>
    <w:rsid w:val="001250BF"/>
    <w:rsid w:val="001776B4"/>
    <w:rsid w:val="00181F38"/>
    <w:rsid w:val="00181F3F"/>
    <w:rsid w:val="001866C2"/>
    <w:rsid w:val="001A14D0"/>
    <w:rsid w:val="001B4B47"/>
    <w:rsid w:val="001C0B0F"/>
    <w:rsid w:val="001C17F0"/>
    <w:rsid w:val="001C36F7"/>
    <w:rsid w:val="001D2333"/>
    <w:rsid w:val="001D6C95"/>
    <w:rsid w:val="001F3907"/>
    <w:rsid w:val="001F5180"/>
    <w:rsid w:val="00222819"/>
    <w:rsid w:val="00234700"/>
    <w:rsid w:val="00240EB1"/>
    <w:rsid w:val="00241577"/>
    <w:rsid w:val="002436E8"/>
    <w:rsid w:val="002545AF"/>
    <w:rsid w:val="00270B06"/>
    <w:rsid w:val="00272112"/>
    <w:rsid w:val="00277482"/>
    <w:rsid w:val="00285250"/>
    <w:rsid w:val="002A5988"/>
    <w:rsid w:val="002B112C"/>
    <w:rsid w:val="002B7D50"/>
    <w:rsid w:val="002C135E"/>
    <w:rsid w:val="002D4F76"/>
    <w:rsid w:val="002D7C60"/>
    <w:rsid w:val="002E289C"/>
    <w:rsid w:val="002E4355"/>
    <w:rsid w:val="002F2C37"/>
    <w:rsid w:val="003219D6"/>
    <w:rsid w:val="00335388"/>
    <w:rsid w:val="0033683F"/>
    <w:rsid w:val="00337428"/>
    <w:rsid w:val="00375C0C"/>
    <w:rsid w:val="00381BD9"/>
    <w:rsid w:val="003B4FED"/>
    <w:rsid w:val="003D636F"/>
    <w:rsid w:val="003D65C9"/>
    <w:rsid w:val="003F53E7"/>
    <w:rsid w:val="004058AD"/>
    <w:rsid w:val="004073CA"/>
    <w:rsid w:val="0041196C"/>
    <w:rsid w:val="00420E7B"/>
    <w:rsid w:val="0043567C"/>
    <w:rsid w:val="004459EF"/>
    <w:rsid w:val="004515A2"/>
    <w:rsid w:val="00454E55"/>
    <w:rsid w:val="004557EC"/>
    <w:rsid w:val="00480AD6"/>
    <w:rsid w:val="00481216"/>
    <w:rsid w:val="0049292F"/>
    <w:rsid w:val="004B48BF"/>
    <w:rsid w:val="004D20EE"/>
    <w:rsid w:val="004D347B"/>
    <w:rsid w:val="004F48CC"/>
    <w:rsid w:val="004F58E8"/>
    <w:rsid w:val="005254E5"/>
    <w:rsid w:val="00531D00"/>
    <w:rsid w:val="0055288A"/>
    <w:rsid w:val="005622B4"/>
    <w:rsid w:val="00562EC5"/>
    <w:rsid w:val="00564DAF"/>
    <w:rsid w:val="00565343"/>
    <w:rsid w:val="00574B8A"/>
    <w:rsid w:val="00583D8B"/>
    <w:rsid w:val="00595129"/>
    <w:rsid w:val="005B324C"/>
    <w:rsid w:val="005D0E99"/>
    <w:rsid w:val="005F0493"/>
    <w:rsid w:val="0066746D"/>
    <w:rsid w:val="006851D3"/>
    <w:rsid w:val="00694C1E"/>
    <w:rsid w:val="006A700D"/>
    <w:rsid w:val="006B1D7E"/>
    <w:rsid w:val="006B3845"/>
    <w:rsid w:val="006E7130"/>
    <w:rsid w:val="00701463"/>
    <w:rsid w:val="0070562D"/>
    <w:rsid w:val="007346AC"/>
    <w:rsid w:val="00754A86"/>
    <w:rsid w:val="007628E1"/>
    <w:rsid w:val="00770A59"/>
    <w:rsid w:val="00775DD6"/>
    <w:rsid w:val="007828FA"/>
    <w:rsid w:val="0078581E"/>
    <w:rsid w:val="00791D6A"/>
    <w:rsid w:val="00795CF8"/>
    <w:rsid w:val="007C5C09"/>
    <w:rsid w:val="007C6BB7"/>
    <w:rsid w:val="007E1192"/>
    <w:rsid w:val="007E543D"/>
    <w:rsid w:val="007F3FBA"/>
    <w:rsid w:val="007F5FC8"/>
    <w:rsid w:val="00821F71"/>
    <w:rsid w:val="008258E4"/>
    <w:rsid w:val="00837640"/>
    <w:rsid w:val="0084104B"/>
    <w:rsid w:val="00841F09"/>
    <w:rsid w:val="008A1B8B"/>
    <w:rsid w:val="008B2435"/>
    <w:rsid w:val="008C02CC"/>
    <w:rsid w:val="008D3E80"/>
    <w:rsid w:val="008E3533"/>
    <w:rsid w:val="00921A55"/>
    <w:rsid w:val="00935A04"/>
    <w:rsid w:val="00942A3D"/>
    <w:rsid w:val="00943479"/>
    <w:rsid w:val="009508A5"/>
    <w:rsid w:val="009604B9"/>
    <w:rsid w:val="00981BA5"/>
    <w:rsid w:val="009902BC"/>
    <w:rsid w:val="00994015"/>
    <w:rsid w:val="009B1BF1"/>
    <w:rsid w:val="009C30AD"/>
    <w:rsid w:val="009D1A4C"/>
    <w:rsid w:val="009D50CC"/>
    <w:rsid w:val="009E0041"/>
    <w:rsid w:val="009E12A1"/>
    <w:rsid w:val="009E6913"/>
    <w:rsid w:val="009F0E87"/>
    <w:rsid w:val="00A16C6E"/>
    <w:rsid w:val="00A20288"/>
    <w:rsid w:val="00A4298B"/>
    <w:rsid w:val="00A45DC7"/>
    <w:rsid w:val="00A50466"/>
    <w:rsid w:val="00A7665E"/>
    <w:rsid w:val="00A90D92"/>
    <w:rsid w:val="00AA22E8"/>
    <w:rsid w:val="00AA2F81"/>
    <w:rsid w:val="00AB4E59"/>
    <w:rsid w:val="00B5009C"/>
    <w:rsid w:val="00B70917"/>
    <w:rsid w:val="00BB0707"/>
    <w:rsid w:val="00BB7765"/>
    <w:rsid w:val="00BC6EB4"/>
    <w:rsid w:val="00BD1215"/>
    <w:rsid w:val="00C07212"/>
    <w:rsid w:val="00C16428"/>
    <w:rsid w:val="00C16747"/>
    <w:rsid w:val="00C168FF"/>
    <w:rsid w:val="00C17FAB"/>
    <w:rsid w:val="00C222B9"/>
    <w:rsid w:val="00C23029"/>
    <w:rsid w:val="00C62F06"/>
    <w:rsid w:val="00C839BD"/>
    <w:rsid w:val="00C90C21"/>
    <w:rsid w:val="00CC70AC"/>
    <w:rsid w:val="00CD65C6"/>
    <w:rsid w:val="00CE599C"/>
    <w:rsid w:val="00CE76D7"/>
    <w:rsid w:val="00D13202"/>
    <w:rsid w:val="00D143B6"/>
    <w:rsid w:val="00D22DBA"/>
    <w:rsid w:val="00D2535F"/>
    <w:rsid w:val="00D3442A"/>
    <w:rsid w:val="00D36573"/>
    <w:rsid w:val="00D47489"/>
    <w:rsid w:val="00D639AC"/>
    <w:rsid w:val="00D66277"/>
    <w:rsid w:val="00D77D5C"/>
    <w:rsid w:val="00D82012"/>
    <w:rsid w:val="00DA3B00"/>
    <w:rsid w:val="00DA64A1"/>
    <w:rsid w:val="00DB0917"/>
    <w:rsid w:val="00DC1976"/>
    <w:rsid w:val="00DC6F97"/>
    <w:rsid w:val="00DD08AF"/>
    <w:rsid w:val="00DD134F"/>
    <w:rsid w:val="00DE62E6"/>
    <w:rsid w:val="00DF40A6"/>
    <w:rsid w:val="00E01A2D"/>
    <w:rsid w:val="00E04474"/>
    <w:rsid w:val="00E06617"/>
    <w:rsid w:val="00E13369"/>
    <w:rsid w:val="00E21801"/>
    <w:rsid w:val="00E23AE6"/>
    <w:rsid w:val="00E27224"/>
    <w:rsid w:val="00E27CAA"/>
    <w:rsid w:val="00E313C9"/>
    <w:rsid w:val="00E3199B"/>
    <w:rsid w:val="00E3572B"/>
    <w:rsid w:val="00E361D6"/>
    <w:rsid w:val="00E44876"/>
    <w:rsid w:val="00E47370"/>
    <w:rsid w:val="00E52AAD"/>
    <w:rsid w:val="00E731FF"/>
    <w:rsid w:val="00E73B96"/>
    <w:rsid w:val="00E747EF"/>
    <w:rsid w:val="00E82B18"/>
    <w:rsid w:val="00E93DBA"/>
    <w:rsid w:val="00E97D9F"/>
    <w:rsid w:val="00EB7343"/>
    <w:rsid w:val="00EC19A5"/>
    <w:rsid w:val="00F20C03"/>
    <w:rsid w:val="00F240BF"/>
    <w:rsid w:val="00F24290"/>
    <w:rsid w:val="00F35C0C"/>
    <w:rsid w:val="00F53E62"/>
    <w:rsid w:val="00FB0E33"/>
    <w:rsid w:val="00FB1EF9"/>
    <w:rsid w:val="00FC54C9"/>
    <w:rsid w:val="00FD43BE"/>
    <w:rsid w:val="00FD75CE"/>
    <w:rsid w:val="00FF0BFE"/>
    <w:rsid w:val="00FF5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3887F"/>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FC54C9"/>
    <w:rPr>
      <w:sz w:val="16"/>
      <w:szCs w:val="16"/>
    </w:rPr>
  </w:style>
  <w:style w:type="paragraph" w:styleId="CommentText">
    <w:name w:val="annotation text"/>
    <w:basedOn w:val="Normal"/>
    <w:link w:val="CommentTextChar"/>
    <w:uiPriority w:val="99"/>
    <w:unhideWhenUsed/>
    <w:rsid w:val="00FC54C9"/>
    <w:rPr>
      <w:sz w:val="20"/>
    </w:rPr>
  </w:style>
  <w:style w:type="character" w:customStyle="1" w:styleId="CommentTextChar">
    <w:name w:val="Comment Text Char"/>
    <w:basedOn w:val="DefaultParagraphFont"/>
    <w:link w:val="CommentText"/>
    <w:uiPriority w:val="99"/>
    <w:rsid w:val="00FC54C9"/>
    <w:rPr>
      <w:lang w:eastAsia="en-US"/>
    </w:rPr>
  </w:style>
  <w:style w:type="paragraph" w:styleId="CommentSubject">
    <w:name w:val="annotation subject"/>
    <w:basedOn w:val="CommentText"/>
    <w:next w:val="CommentText"/>
    <w:link w:val="CommentSubjectChar"/>
    <w:uiPriority w:val="99"/>
    <w:semiHidden/>
    <w:unhideWhenUsed/>
    <w:rsid w:val="00FC54C9"/>
    <w:rPr>
      <w:b/>
      <w:bCs/>
    </w:rPr>
  </w:style>
  <w:style w:type="character" w:customStyle="1" w:styleId="CommentSubjectChar">
    <w:name w:val="Comment Subject Char"/>
    <w:basedOn w:val="CommentTextChar"/>
    <w:link w:val="CommentSubject"/>
    <w:uiPriority w:val="99"/>
    <w:semiHidden/>
    <w:rsid w:val="00FC54C9"/>
    <w:rPr>
      <w:b/>
      <w:bCs/>
      <w:lang w:eastAsia="en-US"/>
    </w:rPr>
  </w:style>
  <w:style w:type="paragraph" w:styleId="BalloonText">
    <w:name w:val="Balloon Text"/>
    <w:basedOn w:val="Normal"/>
    <w:link w:val="BalloonTextChar"/>
    <w:uiPriority w:val="99"/>
    <w:semiHidden/>
    <w:unhideWhenUsed/>
    <w:rsid w:val="00FC5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C9"/>
    <w:rPr>
      <w:rFonts w:ascii="Segoe UI" w:hAnsi="Segoe UI" w:cs="Segoe UI"/>
      <w:sz w:val="18"/>
      <w:szCs w:val="18"/>
      <w:lang w:eastAsia="en-US"/>
    </w:rPr>
  </w:style>
  <w:style w:type="character" w:customStyle="1" w:styleId="Calibri12">
    <w:name w:val="Calibri 12"/>
    <w:basedOn w:val="DefaultParagraphFont"/>
    <w:uiPriority w:val="1"/>
    <w:qFormat/>
    <w:rsid w:val="00994015"/>
    <w:rPr>
      <w:rFonts w:ascii="Calibri" w:hAnsi="Calibri"/>
      <w:sz w:val="24"/>
    </w:rPr>
  </w:style>
  <w:style w:type="paragraph" w:styleId="ListParagraph">
    <w:name w:val="List Paragraph"/>
    <w:basedOn w:val="Normal"/>
    <w:uiPriority w:val="34"/>
    <w:qFormat/>
    <w:rsid w:val="00994015"/>
    <w:pPr>
      <w:widowControl w:val="0"/>
      <w:ind w:left="720"/>
      <w:contextualSpacing/>
    </w:pPr>
    <w:rPr>
      <w:iCs/>
      <w:szCs w:val="24"/>
      <w:lang w:val="en-US"/>
    </w:rPr>
  </w:style>
  <w:style w:type="paragraph" w:styleId="Revision">
    <w:name w:val="Revision"/>
    <w:hidden/>
    <w:uiPriority w:val="99"/>
    <w:semiHidden/>
    <w:rsid w:val="004459E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49">
      <w:bodyDiv w:val="1"/>
      <w:marLeft w:val="0"/>
      <w:marRight w:val="0"/>
      <w:marTop w:val="0"/>
      <w:marBottom w:val="0"/>
      <w:divBdr>
        <w:top w:val="none" w:sz="0" w:space="0" w:color="auto"/>
        <w:left w:val="none" w:sz="0" w:space="0" w:color="auto"/>
        <w:bottom w:val="none" w:sz="0" w:space="0" w:color="auto"/>
        <w:right w:val="none" w:sz="0" w:space="0" w:color="auto"/>
      </w:divBdr>
    </w:div>
    <w:div w:id="516191853">
      <w:bodyDiv w:val="1"/>
      <w:marLeft w:val="0"/>
      <w:marRight w:val="0"/>
      <w:marTop w:val="0"/>
      <w:marBottom w:val="0"/>
      <w:divBdr>
        <w:top w:val="none" w:sz="0" w:space="0" w:color="auto"/>
        <w:left w:val="none" w:sz="0" w:space="0" w:color="auto"/>
        <w:bottom w:val="none" w:sz="0" w:space="0" w:color="auto"/>
        <w:right w:val="none" w:sz="0" w:space="0" w:color="auto"/>
      </w:divBdr>
    </w:div>
    <w:div w:id="13871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FC91-0FA3-48AD-83AE-F4377F50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3904</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2025-06-11T01:12:00Z</dcterms:created>
  <dcterms:modified xsi:type="dcterms:W3CDTF">2025-06-11T01:12:00Z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A32719803</vt:lpwstr>
  </property>
  <property fmtid="{D5CDD505-2E9C-101B-9397-08002B2CF9AE}" pid="4" name="Objective-Title">
    <vt:lpwstr>Attachment E - Explanatory Statement - Unit Titles (Management) Certificate Determination 2023</vt:lpwstr>
  </property>
  <property fmtid="{D5CDD505-2E9C-101B-9397-08002B2CF9AE}" pid="5" name="Objective-Comment">
    <vt:lpwstr/>
  </property>
  <property fmtid="{D5CDD505-2E9C-101B-9397-08002B2CF9AE}" pid="6" name="Objective-CreationStamp">
    <vt:filetime>2022-02-01T04:16:22Z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2023-01-18T01:48:43Z</vt:filetime>
  </property>
  <property fmtid="{D5CDD505-2E9C-101B-9397-08002B2CF9AE}" pid="10" name="Objective-ModificationStamp">
    <vt:filetime>2023-01-22T21:55:38Z</vt:filetime>
  </property>
  <property fmtid="{D5CDD505-2E9C-101B-9397-08002B2CF9AE}" pid="11" name="Objective-Owner">
    <vt:lpwstr>Caroline Cogger</vt:lpwstr>
  </property>
  <property fmtid="{D5CDD505-2E9C-101B-9397-08002B2CF9AE}" pid="12" name="Objective-Path">
    <vt:lpwstr>Whole of ACT Government:EPSDD - Environment Planning and Sustainable Development Directorate:07. Ministerial, Cabinet and Government Relations:06. Ministerials:z. 2013 - 2022 Ministerial and Chief Ministerial Correspondence:2022 - Ministerial and Chief Ministerial Briefs / Correspondence:Planning and Urban Policy:01. January:22/10213 Ministerial Information Brief - Gentleman - Unit Titles Reform Project Update - Stage 2:</vt:lpwstr>
  </property>
  <property fmtid="{D5CDD505-2E9C-101B-9397-08002B2CF9AE}" pid="13" name="Objective-Parent">
    <vt:lpwstr>22/10213 Ministerial Information Brief - Gentleman - Unit Titles Reform Project Update - Stage 2</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1-2022/10213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2024-04-18T07:19:07Z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c7f7650e-1fcb-41b5-b72c-50154b1fa3e1</vt:lpwstr>
  </property>
  <property fmtid="{D5CDD505-2E9C-101B-9397-08002B2CF9AE}" pid="49" name="MSIP_Label_69af8531-eb46-4968-8cb3-105d2f5ea87e_ContentBits">
    <vt:lpwstr>0</vt:lpwstr>
  </property>
</Properties>
</file>