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Default="00E90DF9" w:rsidP="00E90DF9">
      <w:pPr>
        <w:spacing w:after="0"/>
        <w:rPr>
          <w:rFonts w:ascii="Arial" w:hAnsi="Arial" w:cs="Arial"/>
          <w:b/>
          <w:bCs/>
          <w:sz w:val="24"/>
          <w:szCs w:val="24"/>
        </w:rPr>
      </w:pPr>
    </w:p>
    <w:p w14:paraId="5FA3FF8E" w14:textId="77777777" w:rsidR="008E3B8C" w:rsidRDefault="008E3B8C" w:rsidP="00E90DF9">
      <w:pPr>
        <w:spacing w:after="0"/>
        <w:rPr>
          <w:rFonts w:ascii="Arial" w:hAnsi="Arial" w:cs="Arial"/>
          <w:b/>
          <w:bCs/>
          <w:sz w:val="24"/>
          <w:szCs w:val="24"/>
        </w:rPr>
      </w:pPr>
    </w:p>
    <w:p w14:paraId="19A199B3" w14:textId="77777777" w:rsidR="008E3B8C" w:rsidRDefault="008E3B8C" w:rsidP="00E90DF9">
      <w:pPr>
        <w:spacing w:after="0"/>
        <w:rPr>
          <w:rFonts w:ascii="Arial" w:hAnsi="Arial" w:cs="Arial"/>
          <w:b/>
          <w:bCs/>
          <w:sz w:val="24"/>
          <w:szCs w:val="24"/>
        </w:rPr>
      </w:pPr>
    </w:p>
    <w:p w14:paraId="1A332DC7" w14:textId="77777777" w:rsidR="008E3B8C" w:rsidRPr="008C3B92" w:rsidRDefault="008E3B8C" w:rsidP="00E90DF9">
      <w:pPr>
        <w:spacing w:after="0"/>
        <w:rPr>
          <w:rFonts w:ascii="Arial" w:hAnsi="Arial" w:cs="Arial"/>
          <w:b/>
          <w:bCs/>
          <w:sz w:val="24"/>
          <w:szCs w:val="24"/>
        </w:rPr>
      </w:pPr>
    </w:p>
    <w:p w14:paraId="5C6C9ECA" w14:textId="595637F8"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D66685">
        <w:rPr>
          <w:rFonts w:ascii="Arial" w:hAnsi="Arial" w:cs="Arial"/>
          <w:b/>
          <w:bCs/>
          <w:sz w:val="24"/>
          <w:szCs w:val="24"/>
        </w:rPr>
        <w:t>5</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6726A1">
      <w:pPr>
        <w:spacing w:after="0"/>
        <w:rPr>
          <w:rFonts w:ascii="Arial" w:hAnsi="Arial" w:cs="Arial"/>
          <w:b/>
          <w:sz w:val="24"/>
          <w:szCs w:val="24"/>
        </w:rPr>
      </w:pPr>
    </w:p>
    <w:p w14:paraId="4FBE8318" w14:textId="77777777" w:rsidR="006726A1" w:rsidRPr="00BB387E" w:rsidRDefault="006726A1" w:rsidP="006726A1">
      <w:pPr>
        <w:pStyle w:val="Heading1"/>
        <w:jc w:val="center"/>
      </w:pPr>
      <w:r>
        <w:t>JUSTICE AND COMMUNITY SAFETY LEGISLATION AMENDMENT BILL 2025 (NO 2)</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5FAFD780" w14:textId="77777777" w:rsidR="006726A1" w:rsidRDefault="006726A1" w:rsidP="00E90DF9">
      <w:pPr>
        <w:spacing w:after="0"/>
        <w:jc w:val="center"/>
        <w:rPr>
          <w:rFonts w:ascii="Arial" w:hAnsi="Arial" w:cs="Arial"/>
          <w:i/>
          <w:iCs/>
          <w:color w:val="FF0000"/>
          <w:sz w:val="24"/>
          <w:szCs w:val="24"/>
        </w:rPr>
      </w:pPr>
    </w:p>
    <w:p w14:paraId="664BEC68" w14:textId="1471DD99" w:rsidR="00E90DF9" w:rsidRDefault="0014128F" w:rsidP="00E90DF9">
      <w:pPr>
        <w:spacing w:after="0"/>
        <w:jc w:val="center"/>
        <w:rPr>
          <w:rFonts w:ascii="Arial" w:hAnsi="Arial" w:cs="Arial"/>
          <w:b/>
          <w:bCs/>
          <w:sz w:val="24"/>
          <w:szCs w:val="24"/>
        </w:rPr>
      </w:pPr>
      <w:r>
        <w:rPr>
          <w:rFonts w:ascii="Arial" w:hAnsi="Arial" w:cs="Arial"/>
          <w:b/>
          <w:bCs/>
          <w:sz w:val="24"/>
          <w:szCs w:val="24"/>
        </w:rPr>
        <w:t xml:space="preserve">REVISED </w:t>
      </w:r>
      <w:r w:rsidR="00E90DF9" w:rsidRPr="00BB387E">
        <w:rPr>
          <w:rFonts w:ascii="Arial" w:hAnsi="Arial" w:cs="Arial"/>
          <w:b/>
          <w:bCs/>
          <w:sz w:val="24"/>
          <w:szCs w:val="24"/>
        </w:rPr>
        <w:t>EXPLANATORY STATEMENT</w:t>
      </w:r>
      <w:r w:rsidR="00E90DF9">
        <w:rPr>
          <w:rFonts w:ascii="Arial" w:hAnsi="Arial" w:cs="Arial"/>
          <w:b/>
          <w:bCs/>
          <w:sz w:val="24"/>
          <w:szCs w:val="24"/>
        </w:rPr>
        <w:t xml:space="preserve"> </w:t>
      </w:r>
    </w:p>
    <w:p w14:paraId="25C71D31" w14:textId="77777777" w:rsidR="00E90DF9" w:rsidRPr="00BB387E" w:rsidRDefault="00E90DF9" w:rsidP="005610B4">
      <w:pPr>
        <w:spacing w:after="0"/>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6726A1" w:rsidRDefault="00E90DF9" w:rsidP="00E90DF9">
      <w:pPr>
        <w:keepNext/>
        <w:widowControl w:val="0"/>
        <w:spacing w:after="0"/>
        <w:jc w:val="center"/>
        <w:outlineLvl w:val="7"/>
        <w:rPr>
          <w:rFonts w:ascii="Arial" w:hAnsi="Arial" w:cs="Arial"/>
          <w:b/>
          <w:bCs/>
          <w:color w:val="000000" w:themeColor="text1"/>
          <w:sz w:val="24"/>
          <w:szCs w:val="24"/>
        </w:rPr>
      </w:pPr>
    </w:p>
    <w:p w14:paraId="461523AD" w14:textId="77777777" w:rsidR="00E90DF9" w:rsidRPr="006726A1" w:rsidRDefault="00E90DF9" w:rsidP="00E90DF9">
      <w:pPr>
        <w:keepNext/>
        <w:widowControl w:val="0"/>
        <w:spacing w:after="0"/>
        <w:ind w:right="686"/>
        <w:jc w:val="right"/>
        <w:outlineLvl w:val="7"/>
        <w:rPr>
          <w:rFonts w:ascii="Arial" w:hAnsi="Arial" w:cs="Arial"/>
          <w:b/>
          <w:bCs/>
          <w:color w:val="000000" w:themeColor="text1"/>
          <w:sz w:val="24"/>
          <w:szCs w:val="24"/>
        </w:rPr>
      </w:pPr>
      <w:r w:rsidRPr="006726A1">
        <w:rPr>
          <w:rFonts w:ascii="Arial" w:hAnsi="Arial" w:cs="Arial"/>
          <w:b/>
          <w:bCs/>
          <w:color w:val="000000" w:themeColor="text1"/>
          <w:sz w:val="24"/>
          <w:szCs w:val="24"/>
        </w:rPr>
        <w:t>Presented by</w:t>
      </w:r>
    </w:p>
    <w:p w14:paraId="340671F6" w14:textId="785A2116" w:rsidR="00E90DF9" w:rsidRPr="006726A1" w:rsidRDefault="006726A1" w:rsidP="00E90DF9">
      <w:pPr>
        <w:spacing w:after="0"/>
        <w:ind w:right="686"/>
        <w:jc w:val="right"/>
        <w:rPr>
          <w:rFonts w:ascii="Arial" w:hAnsi="Arial" w:cs="Arial"/>
          <w:b/>
          <w:bCs/>
          <w:color w:val="000000" w:themeColor="text1"/>
          <w:sz w:val="24"/>
          <w:szCs w:val="24"/>
        </w:rPr>
      </w:pPr>
      <w:r w:rsidRPr="006726A1">
        <w:rPr>
          <w:rFonts w:ascii="Arial" w:hAnsi="Arial" w:cs="Arial"/>
          <w:b/>
          <w:bCs/>
          <w:color w:val="000000" w:themeColor="text1"/>
          <w:sz w:val="24"/>
          <w:szCs w:val="24"/>
        </w:rPr>
        <w:t>Tanya Cheyne</w:t>
      </w:r>
      <w:r w:rsidR="00E90DF9" w:rsidRPr="006726A1">
        <w:rPr>
          <w:rFonts w:ascii="Arial" w:hAnsi="Arial" w:cs="Arial"/>
          <w:b/>
          <w:bCs/>
          <w:color w:val="000000" w:themeColor="text1"/>
          <w:sz w:val="24"/>
          <w:szCs w:val="24"/>
        </w:rPr>
        <w:t xml:space="preserve"> MLA</w:t>
      </w:r>
    </w:p>
    <w:p w14:paraId="2B65FA14" w14:textId="166475AA" w:rsidR="00E90DF9" w:rsidRPr="006726A1" w:rsidRDefault="006726A1" w:rsidP="00E90DF9">
      <w:pPr>
        <w:spacing w:after="0"/>
        <w:ind w:right="686"/>
        <w:jc w:val="right"/>
        <w:rPr>
          <w:rFonts w:ascii="Arial" w:hAnsi="Arial" w:cs="Arial"/>
          <w:b/>
          <w:bCs/>
          <w:color w:val="000000" w:themeColor="text1"/>
          <w:sz w:val="24"/>
          <w:szCs w:val="24"/>
        </w:rPr>
      </w:pPr>
      <w:r w:rsidRPr="006726A1">
        <w:rPr>
          <w:rFonts w:ascii="Arial" w:hAnsi="Arial" w:cs="Arial"/>
          <w:b/>
          <w:bCs/>
          <w:color w:val="000000" w:themeColor="text1"/>
          <w:sz w:val="24"/>
          <w:szCs w:val="24"/>
        </w:rPr>
        <w:t>Attorney-General</w:t>
      </w:r>
    </w:p>
    <w:p w14:paraId="722CCE31" w14:textId="1B4CC84E" w:rsidR="00E90DF9" w:rsidRPr="006726A1" w:rsidRDefault="00451D67" w:rsidP="00E90DF9">
      <w:pPr>
        <w:spacing w:after="0"/>
        <w:ind w:right="686"/>
        <w:jc w:val="right"/>
        <w:rPr>
          <w:rFonts w:ascii="Arial" w:hAnsi="Arial" w:cs="Arial"/>
          <w:b/>
          <w:bCs/>
          <w:color w:val="000000" w:themeColor="text1"/>
          <w:sz w:val="24"/>
          <w:szCs w:val="24"/>
        </w:rPr>
      </w:pPr>
      <w:r>
        <w:rPr>
          <w:rFonts w:ascii="Arial" w:hAnsi="Arial" w:cs="Arial"/>
          <w:b/>
          <w:bCs/>
          <w:color w:val="000000" w:themeColor="text1"/>
          <w:sz w:val="24"/>
          <w:szCs w:val="24"/>
        </w:rPr>
        <w:t>June</w:t>
      </w:r>
      <w:r w:rsidRPr="006726A1">
        <w:rPr>
          <w:rFonts w:ascii="Arial" w:hAnsi="Arial" w:cs="Arial"/>
          <w:b/>
          <w:bCs/>
          <w:color w:val="000000" w:themeColor="text1"/>
          <w:sz w:val="24"/>
          <w:szCs w:val="24"/>
        </w:rPr>
        <w:t xml:space="preserve"> </w:t>
      </w:r>
      <w:r w:rsidR="00E90DF9" w:rsidRPr="006726A1">
        <w:rPr>
          <w:rFonts w:ascii="Arial" w:hAnsi="Arial" w:cs="Arial"/>
          <w:b/>
          <w:bCs/>
          <w:color w:val="000000" w:themeColor="text1"/>
          <w:sz w:val="24"/>
          <w:szCs w:val="24"/>
        </w:rPr>
        <w:t>202</w:t>
      </w:r>
      <w:r w:rsidR="00D66685" w:rsidRPr="006726A1">
        <w:rPr>
          <w:rFonts w:ascii="Arial" w:hAnsi="Arial" w:cs="Arial"/>
          <w:b/>
          <w:bCs/>
          <w:color w:val="000000" w:themeColor="text1"/>
          <w:sz w:val="24"/>
          <w:szCs w:val="24"/>
        </w:rPr>
        <w:t>5</w:t>
      </w:r>
    </w:p>
    <w:p w14:paraId="764EA7E1" w14:textId="77777777" w:rsidR="00E90DF9" w:rsidRPr="006726A1" w:rsidRDefault="00E90DF9" w:rsidP="00E90DF9">
      <w:pPr>
        <w:spacing w:after="0" w:line="240" w:lineRule="auto"/>
        <w:rPr>
          <w:rFonts w:ascii="Arial" w:hAnsi="Arial" w:cs="Arial"/>
          <w:b/>
          <w:bCs/>
          <w:color w:val="000000" w:themeColor="text1"/>
          <w:sz w:val="24"/>
          <w:szCs w:val="24"/>
          <w:u w:val="single"/>
        </w:rPr>
        <w:sectPr w:rsidR="00E90DF9" w:rsidRPr="006726A1" w:rsidSect="00DC591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6726A1">
        <w:rPr>
          <w:rFonts w:ascii="Arial" w:hAnsi="Arial" w:cs="Arial"/>
          <w:b/>
          <w:bCs/>
          <w:color w:val="000000" w:themeColor="text1"/>
          <w:sz w:val="24"/>
          <w:szCs w:val="24"/>
          <w:u w:val="single"/>
        </w:rPr>
        <w:br w:type="page"/>
      </w:r>
    </w:p>
    <w:p w14:paraId="428B67D0" w14:textId="33C0F9A0" w:rsidR="00E90DF9" w:rsidRPr="00BB387E" w:rsidRDefault="006726A1" w:rsidP="00E90DF9">
      <w:pPr>
        <w:pStyle w:val="Heading1"/>
        <w:jc w:val="center"/>
      </w:pPr>
      <w:bookmarkStart w:id="0" w:name="_Hlk194499762"/>
      <w:r>
        <w:lastRenderedPageBreak/>
        <w:t>JUSTICE AND COMMUNITY SAFETY LEGISLATION AMENDMENT BILL 2025 (NO 2)</w:t>
      </w:r>
    </w:p>
    <w:bookmarkEnd w:id="0"/>
    <w:p w14:paraId="791A60D0" w14:textId="77777777" w:rsidR="00E90DF9" w:rsidRDefault="00E90DF9" w:rsidP="00E90DF9">
      <w:pPr>
        <w:spacing w:after="0"/>
        <w:contextualSpacing/>
        <w:rPr>
          <w:rFonts w:ascii="Arial" w:hAnsi="Arial" w:cs="Arial"/>
          <w:bCs/>
          <w:sz w:val="24"/>
          <w:szCs w:val="24"/>
        </w:rPr>
      </w:pPr>
    </w:p>
    <w:p w14:paraId="04010BFE" w14:textId="17A6D1E0" w:rsidR="00E90DF9" w:rsidRDefault="00E90DF9" w:rsidP="00E90DF9">
      <w:pPr>
        <w:spacing w:after="0"/>
        <w:contextualSpacing/>
        <w:rPr>
          <w:rFonts w:ascii="Arial" w:hAnsi="Arial" w:cs="Arial"/>
          <w:bCs/>
          <w:sz w:val="24"/>
          <w:szCs w:val="24"/>
        </w:rPr>
      </w:pPr>
      <w:r w:rsidRPr="006726A1">
        <w:rPr>
          <w:rFonts w:ascii="Arial" w:hAnsi="Arial" w:cs="Arial"/>
          <w:bCs/>
          <w:sz w:val="24"/>
          <w:szCs w:val="24"/>
        </w:rPr>
        <w:t xml:space="preserve">The Bill </w:t>
      </w:r>
      <w:r w:rsidR="006726A1" w:rsidRPr="006726A1">
        <w:rPr>
          <w:rFonts w:ascii="Arial" w:hAnsi="Arial" w:cs="Arial"/>
          <w:b/>
          <w:sz w:val="24"/>
          <w:szCs w:val="24"/>
        </w:rPr>
        <w:t xml:space="preserve">is </w:t>
      </w:r>
      <w:r w:rsidRPr="006726A1">
        <w:rPr>
          <w:rFonts w:ascii="Arial" w:hAnsi="Arial" w:cs="Arial"/>
          <w:b/>
          <w:sz w:val="24"/>
          <w:szCs w:val="24"/>
        </w:rPr>
        <w:t>not</w:t>
      </w:r>
      <w:r w:rsidRPr="006726A1">
        <w:rPr>
          <w:rFonts w:ascii="Arial" w:hAnsi="Arial" w:cs="Arial"/>
          <w:bCs/>
          <w:sz w:val="24"/>
          <w:szCs w:val="24"/>
        </w:rPr>
        <w:t xml:space="preserve"> a Significant Bill. Significant Bills are bills that have been assessed as likely to have significant engagement</w:t>
      </w:r>
      <w:r>
        <w:rPr>
          <w:rFonts w:ascii="Arial" w:hAnsi="Arial" w:cs="Arial"/>
          <w:bCs/>
          <w:sz w:val="24"/>
          <w:szCs w:val="24"/>
        </w:rPr>
        <w:t xml:space="preserve">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21B7CFED" w14:textId="77777777" w:rsidR="006726A1" w:rsidRDefault="006726A1" w:rsidP="00E90DF9">
      <w:pPr>
        <w:spacing w:after="0"/>
        <w:contextualSpacing/>
        <w:rPr>
          <w:rFonts w:ascii="Arial" w:hAnsi="Arial" w:cs="Arial"/>
          <w:bCs/>
          <w:sz w:val="24"/>
          <w:szCs w:val="24"/>
        </w:rPr>
      </w:pPr>
    </w:p>
    <w:p w14:paraId="45FD4CA5" w14:textId="3EC27507" w:rsidR="006726A1" w:rsidRPr="00834FC9" w:rsidRDefault="006726A1" w:rsidP="00E90DF9">
      <w:pPr>
        <w:spacing w:after="0"/>
        <w:contextualSpacing/>
        <w:rPr>
          <w:rFonts w:ascii="Arial" w:hAnsi="Arial" w:cs="Arial"/>
          <w:bCs/>
          <w:sz w:val="24"/>
          <w:szCs w:val="24"/>
        </w:rPr>
      </w:pPr>
      <w:r>
        <w:rPr>
          <w:rFonts w:ascii="Arial" w:hAnsi="Arial" w:cs="Arial"/>
          <w:bCs/>
          <w:sz w:val="24"/>
          <w:szCs w:val="24"/>
        </w:rPr>
        <w:t xml:space="preserve">This explanatory statement relates to the Justice and Community Safety Legislation Amendment Bill 2025 </w:t>
      </w:r>
      <w:r w:rsidR="007027F4">
        <w:rPr>
          <w:rFonts w:ascii="Arial" w:hAnsi="Arial" w:cs="Arial"/>
          <w:bCs/>
          <w:sz w:val="24"/>
          <w:szCs w:val="24"/>
        </w:rPr>
        <w:t xml:space="preserve">(No 2) </w:t>
      </w:r>
      <w:r>
        <w:rPr>
          <w:rFonts w:ascii="Arial" w:hAnsi="Arial" w:cs="Arial"/>
          <w:bCs/>
          <w:sz w:val="24"/>
          <w:szCs w:val="24"/>
        </w:rPr>
        <w:t>as presented to the Legislative Assembly.</w:t>
      </w:r>
      <w:r w:rsidR="001035FC" w:rsidRPr="001035FC">
        <w:t xml:space="preserve"> </w:t>
      </w:r>
      <w:r w:rsidR="001035FC" w:rsidRPr="001035FC">
        <w:rPr>
          <w:rFonts w:ascii="Arial" w:hAnsi="Arial" w:cs="Arial"/>
          <w:bCs/>
          <w:sz w:val="24"/>
          <w:szCs w:val="24"/>
        </w:rPr>
        <w:t>It has been prepared to assist the reader of the Bill and to help inform debate on it. It does not form part of the Bill and has not been endorsed by the Assembly. The statement is to be read in conjunction with the Bill. It is not, and is not meant to be, a comprehensive description of the Bill.</w:t>
      </w:r>
    </w:p>
    <w:p w14:paraId="3735CFA3" w14:textId="77777777" w:rsidR="00E90DF9" w:rsidRPr="00834FC9" w:rsidRDefault="00E90DF9" w:rsidP="00E90DF9">
      <w:pPr>
        <w:spacing w:after="0"/>
        <w:rPr>
          <w:rFonts w:ascii="Arial" w:hAnsi="Arial" w:cs="Arial"/>
          <w:bCs/>
          <w:sz w:val="24"/>
          <w:szCs w:val="24"/>
          <w:highlight w:val="yellow"/>
        </w:rPr>
      </w:pPr>
    </w:p>
    <w:p w14:paraId="266B7B2E" w14:textId="77777777" w:rsidR="00E90DF9" w:rsidRDefault="00E90DF9" w:rsidP="00E90DF9">
      <w:pPr>
        <w:pStyle w:val="Heading2"/>
      </w:pPr>
      <w:r>
        <w:t>OVERVIEW OF THE BILL</w:t>
      </w:r>
    </w:p>
    <w:p w14:paraId="28CFC936" w14:textId="6B794AAB" w:rsidR="001035FC" w:rsidRPr="000D192F" w:rsidRDefault="001035FC" w:rsidP="001035FC">
      <w:pPr>
        <w:rPr>
          <w:rFonts w:ascii="Arial" w:hAnsi="Arial" w:cs="Arial"/>
          <w:sz w:val="24"/>
          <w:szCs w:val="24"/>
        </w:rPr>
      </w:pPr>
      <w:r w:rsidRPr="000D192F">
        <w:rPr>
          <w:rFonts w:ascii="Arial" w:hAnsi="Arial" w:cs="Arial"/>
          <w:sz w:val="24"/>
          <w:szCs w:val="24"/>
        </w:rPr>
        <w:t>The Bill is an omnibus bill which amends of the following legislation:</w:t>
      </w:r>
    </w:p>
    <w:p w14:paraId="2DE60744" w14:textId="77777777" w:rsidR="001035FC" w:rsidRPr="000D192F" w:rsidRDefault="001035FC" w:rsidP="001035FC">
      <w:pPr>
        <w:pStyle w:val="ListParagraph"/>
        <w:numPr>
          <w:ilvl w:val="0"/>
          <w:numId w:val="3"/>
        </w:numPr>
        <w:rPr>
          <w:rFonts w:ascii="Arial" w:hAnsi="Arial" w:cs="Arial"/>
          <w:sz w:val="28"/>
          <w:szCs w:val="28"/>
        </w:rPr>
      </w:pPr>
      <w:r w:rsidRPr="000D192F">
        <w:rPr>
          <w:rFonts w:ascii="Arial" w:hAnsi="Arial" w:cs="Arial"/>
          <w:i/>
          <w:iCs/>
          <w:sz w:val="24"/>
          <w:szCs w:val="24"/>
        </w:rPr>
        <w:t>Civil Law (Sale of Residential Property) Act 2003</w:t>
      </w:r>
    </w:p>
    <w:p w14:paraId="6FDA78BD" w14:textId="77777777" w:rsidR="001035FC" w:rsidRPr="000D192F" w:rsidRDefault="001035FC" w:rsidP="001035FC">
      <w:pPr>
        <w:pStyle w:val="ListParagraph"/>
        <w:numPr>
          <w:ilvl w:val="0"/>
          <w:numId w:val="3"/>
        </w:numPr>
        <w:rPr>
          <w:rFonts w:ascii="Arial" w:hAnsi="Arial" w:cs="Arial"/>
          <w:sz w:val="28"/>
          <w:szCs w:val="28"/>
        </w:rPr>
      </w:pPr>
      <w:r w:rsidRPr="000D192F">
        <w:rPr>
          <w:rFonts w:ascii="Arial" w:hAnsi="Arial" w:cs="Arial"/>
          <w:i/>
          <w:iCs/>
          <w:sz w:val="24"/>
          <w:szCs w:val="24"/>
        </w:rPr>
        <w:t>Crimes (Sentencing) Act 2005</w:t>
      </w:r>
    </w:p>
    <w:p w14:paraId="522DF542" w14:textId="333C498E" w:rsidR="007B5FF4" w:rsidRPr="000D192F" w:rsidRDefault="007B5FF4" w:rsidP="001035FC">
      <w:pPr>
        <w:pStyle w:val="ListParagraph"/>
        <w:numPr>
          <w:ilvl w:val="0"/>
          <w:numId w:val="3"/>
        </w:numPr>
        <w:rPr>
          <w:rFonts w:ascii="Arial" w:hAnsi="Arial" w:cs="Arial"/>
          <w:sz w:val="28"/>
          <w:szCs w:val="28"/>
        </w:rPr>
      </w:pPr>
      <w:r w:rsidRPr="000D192F">
        <w:rPr>
          <w:rFonts w:ascii="Arial" w:hAnsi="Arial" w:cs="Arial"/>
          <w:i/>
          <w:iCs/>
          <w:sz w:val="24"/>
          <w:szCs w:val="24"/>
        </w:rPr>
        <w:t>Disability Services Act 1991</w:t>
      </w:r>
    </w:p>
    <w:p w14:paraId="2F73DF36" w14:textId="0E4733EA" w:rsidR="007B5FF4" w:rsidRPr="000D192F" w:rsidRDefault="001035FC" w:rsidP="007B5FF4">
      <w:pPr>
        <w:pStyle w:val="ListParagraph"/>
        <w:numPr>
          <w:ilvl w:val="0"/>
          <w:numId w:val="3"/>
        </w:numPr>
        <w:rPr>
          <w:rFonts w:ascii="Arial" w:hAnsi="Arial" w:cs="Arial"/>
          <w:sz w:val="28"/>
          <w:szCs w:val="28"/>
        </w:rPr>
      </w:pPr>
      <w:r w:rsidRPr="000D192F">
        <w:rPr>
          <w:rFonts w:ascii="Arial" w:hAnsi="Arial" w:cs="Arial"/>
          <w:i/>
          <w:iCs/>
          <w:sz w:val="24"/>
          <w:szCs w:val="24"/>
        </w:rPr>
        <w:t>Discrimination Act 1991</w:t>
      </w:r>
    </w:p>
    <w:p w14:paraId="604701AB" w14:textId="77777777" w:rsidR="001035FC" w:rsidRPr="000D192F" w:rsidRDefault="001035FC" w:rsidP="001035FC">
      <w:pPr>
        <w:pStyle w:val="ListParagraph"/>
        <w:numPr>
          <w:ilvl w:val="0"/>
          <w:numId w:val="3"/>
        </w:numPr>
        <w:rPr>
          <w:rFonts w:ascii="Arial" w:hAnsi="Arial" w:cs="Arial"/>
          <w:sz w:val="28"/>
          <w:szCs w:val="28"/>
        </w:rPr>
      </w:pPr>
      <w:r w:rsidRPr="000D192F">
        <w:rPr>
          <w:rFonts w:ascii="Arial" w:hAnsi="Arial" w:cs="Arial"/>
          <w:i/>
          <w:iCs/>
          <w:sz w:val="24"/>
          <w:szCs w:val="24"/>
        </w:rPr>
        <w:t>Information Privacy Act 2014</w:t>
      </w:r>
    </w:p>
    <w:p w14:paraId="5F5163CE" w14:textId="77777777" w:rsidR="001035FC" w:rsidRPr="00D6107B" w:rsidRDefault="001035FC" w:rsidP="001035FC">
      <w:pPr>
        <w:pStyle w:val="ListParagraph"/>
        <w:numPr>
          <w:ilvl w:val="0"/>
          <w:numId w:val="3"/>
        </w:numPr>
        <w:rPr>
          <w:rFonts w:ascii="Arial" w:hAnsi="Arial" w:cs="Arial"/>
          <w:sz w:val="28"/>
          <w:szCs w:val="28"/>
        </w:rPr>
      </w:pPr>
      <w:r w:rsidRPr="000D192F">
        <w:rPr>
          <w:rFonts w:ascii="Arial" w:hAnsi="Arial" w:cs="Arial"/>
          <w:i/>
          <w:iCs/>
          <w:sz w:val="24"/>
          <w:szCs w:val="24"/>
        </w:rPr>
        <w:t>Guardianship and Management of Property Act</w:t>
      </w:r>
      <w:r w:rsidRPr="001035FC">
        <w:rPr>
          <w:rFonts w:ascii="Arial" w:hAnsi="Arial" w:cs="Arial"/>
          <w:i/>
          <w:iCs/>
          <w:sz w:val="24"/>
          <w:szCs w:val="24"/>
        </w:rPr>
        <w:t xml:space="preserve"> 1991</w:t>
      </w:r>
    </w:p>
    <w:p w14:paraId="6C5497BC" w14:textId="7B12B76A" w:rsidR="00D6107B" w:rsidRPr="001035FC" w:rsidRDefault="00D6107B" w:rsidP="001035FC">
      <w:pPr>
        <w:pStyle w:val="ListParagraph"/>
        <w:numPr>
          <w:ilvl w:val="0"/>
          <w:numId w:val="3"/>
        </w:numPr>
        <w:rPr>
          <w:rFonts w:ascii="Arial" w:hAnsi="Arial" w:cs="Arial"/>
          <w:sz w:val="28"/>
          <w:szCs w:val="28"/>
        </w:rPr>
      </w:pPr>
      <w:r>
        <w:rPr>
          <w:rFonts w:ascii="Arial" w:hAnsi="Arial" w:cs="Arial"/>
          <w:i/>
          <w:iCs/>
          <w:sz w:val="24"/>
          <w:szCs w:val="24"/>
        </w:rPr>
        <w:t>Medical Treatment (Health Directions) Act 2006</w:t>
      </w:r>
    </w:p>
    <w:p w14:paraId="4A29B7FA" w14:textId="77777777" w:rsidR="001035FC" w:rsidRPr="001035FC" w:rsidRDefault="001035FC" w:rsidP="001035FC">
      <w:pPr>
        <w:pStyle w:val="ListParagraph"/>
        <w:numPr>
          <w:ilvl w:val="0"/>
          <w:numId w:val="3"/>
        </w:numPr>
        <w:rPr>
          <w:rFonts w:ascii="Arial" w:hAnsi="Arial" w:cs="Arial"/>
          <w:sz w:val="28"/>
          <w:szCs w:val="28"/>
        </w:rPr>
      </w:pPr>
      <w:r w:rsidRPr="001035FC">
        <w:rPr>
          <w:rFonts w:ascii="Arial" w:hAnsi="Arial" w:cs="Arial"/>
          <w:i/>
          <w:iCs/>
          <w:sz w:val="24"/>
          <w:szCs w:val="24"/>
        </w:rPr>
        <w:t>Powers of Attorney Act 2006</w:t>
      </w:r>
    </w:p>
    <w:p w14:paraId="131B1981" w14:textId="47AC4B3A" w:rsidR="001035FC" w:rsidRPr="001035FC" w:rsidRDefault="001035FC" w:rsidP="001035FC">
      <w:pPr>
        <w:pStyle w:val="ListParagraph"/>
        <w:numPr>
          <w:ilvl w:val="0"/>
          <w:numId w:val="3"/>
        </w:numPr>
        <w:rPr>
          <w:rFonts w:ascii="Arial" w:hAnsi="Arial" w:cs="Arial"/>
          <w:sz w:val="28"/>
          <w:szCs w:val="28"/>
        </w:rPr>
      </w:pPr>
      <w:r w:rsidRPr="001035FC">
        <w:rPr>
          <w:rFonts w:ascii="Arial" w:hAnsi="Arial" w:cs="Arial"/>
          <w:i/>
          <w:iCs/>
          <w:sz w:val="24"/>
          <w:szCs w:val="24"/>
        </w:rPr>
        <w:t>Residential Tenanc</w:t>
      </w:r>
      <w:r w:rsidR="00BA46F5">
        <w:rPr>
          <w:rFonts w:ascii="Arial" w:hAnsi="Arial" w:cs="Arial"/>
          <w:i/>
          <w:iCs/>
          <w:sz w:val="24"/>
          <w:szCs w:val="24"/>
        </w:rPr>
        <w:t>ies</w:t>
      </w:r>
      <w:r w:rsidRPr="001035FC">
        <w:rPr>
          <w:rFonts w:ascii="Arial" w:hAnsi="Arial" w:cs="Arial"/>
          <w:i/>
          <w:iCs/>
          <w:sz w:val="24"/>
          <w:szCs w:val="24"/>
        </w:rPr>
        <w:t xml:space="preserve"> Act 1997</w:t>
      </w:r>
    </w:p>
    <w:p w14:paraId="378CB5F2" w14:textId="27327F1A" w:rsidR="001035FC" w:rsidRPr="001035FC" w:rsidRDefault="001035FC" w:rsidP="001035FC">
      <w:pPr>
        <w:pStyle w:val="ListParagraph"/>
        <w:numPr>
          <w:ilvl w:val="0"/>
          <w:numId w:val="3"/>
        </w:numPr>
        <w:rPr>
          <w:rFonts w:ascii="Arial" w:hAnsi="Arial" w:cs="Arial"/>
          <w:sz w:val="28"/>
          <w:szCs w:val="28"/>
        </w:rPr>
      </w:pPr>
      <w:r w:rsidRPr="001035FC">
        <w:rPr>
          <w:rFonts w:ascii="Arial" w:hAnsi="Arial" w:cs="Arial"/>
          <w:i/>
          <w:iCs/>
          <w:sz w:val="24"/>
          <w:szCs w:val="24"/>
        </w:rPr>
        <w:t>Retirement Villages Act 2012</w:t>
      </w:r>
    </w:p>
    <w:p w14:paraId="69B9DB1D" w14:textId="5742E162" w:rsidR="001035FC" w:rsidRPr="000D192F" w:rsidRDefault="001035FC" w:rsidP="001035FC">
      <w:pPr>
        <w:pStyle w:val="ListParagraph"/>
        <w:numPr>
          <w:ilvl w:val="0"/>
          <w:numId w:val="3"/>
        </w:numPr>
        <w:rPr>
          <w:rFonts w:ascii="Arial" w:hAnsi="Arial" w:cs="Arial"/>
          <w:sz w:val="28"/>
          <w:szCs w:val="28"/>
        </w:rPr>
      </w:pPr>
      <w:r w:rsidRPr="001035FC">
        <w:rPr>
          <w:rFonts w:ascii="Arial" w:hAnsi="Arial" w:cs="Arial"/>
          <w:i/>
          <w:iCs/>
          <w:sz w:val="24"/>
          <w:szCs w:val="24"/>
        </w:rPr>
        <w:t>Retirement Villages Regulation 2013</w:t>
      </w:r>
      <w:r w:rsidR="007B5FF4">
        <w:rPr>
          <w:rFonts w:ascii="Arial" w:hAnsi="Arial" w:cs="Arial"/>
          <w:i/>
          <w:iCs/>
          <w:sz w:val="24"/>
          <w:szCs w:val="24"/>
        </w:rPr>
        <w:t>; and</w:t>
      </w:r>
    </w:p>
    <w:p w14:paraId="4B8CABCD" w14:textId="63657F3C" w:rsidR="001035FC" w:rsidRPr="000D192F" w:rsidRDefault="007B5FF4" w:rsidP="001035FC">
      <w:pPr>
        <w:pStyle w:val="ListParagraph"/>
        <w:numPr>
          <w:ilvl w:val="0"/>
          <w:numId w:val="3"/>
        </w:numPr>
        <w:rPr>
          <w:rFonts w:ascii="Arial" w:hAnsi="Arial" w:cs="Arial"/>
          <w:sz w:val="28"/>
          <w:szCs w:val="28"/>
        </w:rPr>
      </w:pPr>
      <w:r>
        <w:rPr>
          <w:rFonts w:ascii="Arial" w:hAnsi="Arial" w:cs="Arial"/>
          <w:i/>
          <w:iCs/>
          <w:sz w:val="24"/>
          <w:szCs w:val="24"/>
        </w:rPr>
        <w:t>Working with Vulnerable People (Background Checking) Act 2011.</w:t>
      </w:r>
      <w:r w:rsidR="000D192F">
        <w:rPr>
          <w:rFonts w:ascii="Arial" w:hAnsi="Arial" w:cs="Arial"/>
          <w:i/>
          <w:iCs/>
          <w:sz w:val="24"/>
          <w:szCs w:val="24"/>
        </w:rPr>
        <w:br/>
      </w:r>
    </w:p>
    <w:p w14:paraId="2B6365D7" w14:textId="77052950" w:rsidR="001035FC" w:rsidRDefault="001035FC" w:rsidP="001035FC">
      <w:pPr>
        <w:rPr>
          <w:rFonts w:ascii="Arial" w:hAnsi="Arial" w:cs="Arial"/>
          <w:sz w:val="24"/>
          <w:szCs w:val="24"/>
        </w:rPr>
      </w:pPr>
      <w:r>
        <w:rPr>
          <w:rFonts w:ascii="Arial" w:hAnsi="Arial" w:cs="Arial"/>
          <w:sz w:val="24"/>
          <w:szCs w:val="24"/>
        </w:rPr>
        <w:t xml:space="preserve">The Bill </w:t>
      </w:r>
      <w:r w:rsidR="00451D67">
        <w:rPr>
          <w:rFonts w:ascii="Arial" w:hAnsi="Arial" w:cs="Arial"/>
          <w:sz w:val="24"/>
          <w:szCs w:val="24"/>
        </w:rPr>
        <w:t>will improve</w:t>
      </w:r>
      <w:r>
        <w:rPr>
          <w:rFonts w:ascii="Arial" w:hAnsi="Arial" w:cs="Arial"/>
          <w:sz w:val="24"/>
          <w:szCs w:val="24"/>
        </w:rPr>
        <w:t xml:space="preserve"> the ACT’s justice and community safety legislation, to ensure that it is of the highest standards, </w:t>
      </w:r>
      <w:r w:rsidR="00DB05D2">
        <w:rPr>
          <w:rFonts w:ascii="Arial" w:hAnsi="Arial" w:cs="Arial"/>
          <w:sz w:val="24"/>
          <w:szCs w:val="24"/>
        </w:rPr>
        <w:t xml:space="preserve">facilitates the </w:t>
      </w:r>
      <w:r>
        <w:rPr>
          <w:rFonts w:ascii="Arial" w:hAnsi="Arial" w:cs="Arial"/>
          <w:sz w:val="24"/>
          <w:szCs w:val="24"/>
        </w:rPr>
        <w:t>practical</w:t>
      </w:r>
      <w:r w:rsidR="00DB05D2">
        <w:rPr>
          <w:rFonts w:ascii="Arial" w:hAnsi="Arial" w:cs="Arial"/>
          <w:sz w:val="24"/>
          <w:szCs w:val="24"/>
        </w:rPr>
        <w:t xml:space="preserve"> operations of justice sector agencies</w:t>
      </w:r>
      <w:r>
        <w:rPr>
          <w:rFonts w:ascii="Arial" w:hAnsi="Arial" w:cs="Arial"/>
          <w:sz w:val="24"/>
          <w:szCs w:val="24"/>
        </w:rPr>
        <w:t xml:space="preserve"> and</w:t>
      </w:r>
      <w:r w:rsidR="00DB05D2">
        <w:rPr>
          <w:rFonts w:ascii="Arial" w:hAnsi="Arial" w:cs="Arial"/>
          <w:sz w:val="24"/>
          <w:szCs w:val="24"/>
        </w:rPr>
        <w:t xml:space="preserve"> best supports and</w:t>
      </w:r>
      <w:r>
        <w:rPr>
          <w:rFonts w:ascii="Arial" w:hAnsi="Arial" w:cs="Arial"/>
          <w:sz w:val="24"/>
          <w:szCs w:val="24"/>
        </w:rPr>
        <w:t xml:space="preserve"> protects the ACT community. </w:t>
      </w:r>
    </w:p>
    <w:p w14:paraId="65C64A5D" w14:textId="6AA57EE7" w:rsidR="00DB05D2" w:rsidRDefault="00DB05D2" w:rsidP="001035FC">
      <w:pPr>
        <w:rPr>
          <w:rFonts w:ascii="Arial" w:hAnsi="Arial" w:cs="Arial"/>
          <w:sz w:val="24"/>
          <w:szCs w:val="24"/>
        </w:rPr>
      </w:pPr>
      <w:r>
        <w:rPr>
          <w:rFonts w:ascii="Arial" w:hAnsi="Arial" w:cs="Arial"/>
          <w:sz w:val="24"/>
          <w:szCs w:val="24"/>
        </w:rPr>
        <w:t xml:space="preserve">In particular, the Bill </w:t>
      </w:r>
      <w:r w:rsidR="000D192F">
        <w:rPr>
          <w:rFonts w:ascii="Arial" w:hAnsi="Arial" w:cs="Arial"/>
          <w:sz w:val="24"/>
          <w:szCs w:val="24"/>
        </w:rPr>
        <w:t xml:space="preserve">will </w:t>
      </w:r>
      <w:r>
        <w:rPr>
          <w:rFonts w:ascii="Arial" w:hAnsi="Arial" w:cs="Arial"/>
          <w:sz w:val="24"/>
          <w:szCs w:val="24"/>
        </w:rPr>
        <w:t>mak</w:t>
      </w:r>
      <w:r w:rsidR="000D192F">
        <w:rPr>
          <w:rFonts w:ascii="Arial" w:hAnsi="Arial" w:cs="Arial"/>
          <w:sz w:val="24"/>
          <w:szCs w:val="24"/>
        </w:rPr>
        <w:t>e</w:t>
      </w:r>
      <w:r>
        <w:rPr>
          <w:rFonts w:ascii="Arial" w:hAnsi="Arial" w:cs="Arial"/>
          <w:sz w:val="24"/>
          <w:szCs w:val="24"/>
        </w:rPr>
        <w:t xml:space="preserve"> amendments that will support the Drug and Alcohol Sentencing List</w:t>
      </w:r>
      <w:r w:rsidR="000D192F">
        <w:rPr>
          <w:rFonts w:ascii="Arial" w:hAnsi="Arial" w:cs="Arial"/>
          <w:sz w:val="24"/>
          <w:szCs w:val="24"/>
        </w:rPr>
        <w:t xml:space="preserve"> (</w:t>
      </w:r>
      <w:r w:rsidR="000D192F" w:rsidRPr="006E77B4">
        <w:rPr>
          <w:rFonts w:ascii="Arial" w:hAnsi="Arial" w:cs="Arial"/>
          <w:b/>
          <w:bCs/>
          <w:sz w:val="24"/>
          <w:szCs w:val="24"/>
        </w:rPr>
        <w:t>DASL</w:t>
      </w:r>
      <w:r w:rsidR="000D192F">
        <w:rPr>
          <w:rFonts w:ascii="Arial" w:hAnsi="Arial" w:cs="Arial"/>
          <w:sz w:val="24"/>
          <w:szCs w:val="24"/>
        </w:rPr>
        <w:t>)</w:t>
      </w:r>
      <w:r>
        <w:rPr>
          <w:rFonts w:ascii="Arial" w:hAnsi="Arial" w:cs="Arial"/>
          <w:sz w:val="24"/>
          <w:szCs w:val="24"/>
        </w:rPr>
        <w:t xml:space="preserve"> in the ACT Supreme Court and the conduct of guardianship or manager proceedings in the ACT Civil and Administrative Tribunal</w:t>
      </w:r>
      <w:r w:rsidR="000D192F">
        <w:rPr>
          <w:rFonts w:ascii="Arial" w:hAnsi="Arial" w:cs="Arial"/>
          <w:sz w:val="24"/>
          <w:szCs w:val="24"/>
        </w:rPr>
        <w:t xml:space="preserve"> (</w:t>
      </w:r>
      <w:r w:rsidR="000D192F" w:rsidRPr="006E77B4">
        <w:rPr>
          <w:rFonts w:ascii="Arial" w:hAnsi="Arial" w:cs="Arial"/>
          <w:b/>
          <w:bCs/>
          <w:sz w:val="24"/>
          <w:szCs w:val="24"/>
        </w:rPr>
        <w:t>ACAT</w:t>
      </w:r>
      <w:r w:rsidR="000D192F">
        <w:rPr>
          <w:rFonts w:ascii="Arial" w:hAnsi="Arial" w:cs="Arial"/>
          <w:sz w:val="24"/>
          <w:szCs w:val="24"/>
        </w:rPr>
        <w:t>)</w:t>
      </w:r>
      <w:r>
        <w:rPr>
          <w:rFonts w:ascii="Arial" w:hAnsi="Arial" w:cs="Arial"/>
          <w:sz w:val="24"/>
          <w:szCs w:val="24"/>
        </w:rPr>
        <w:t>.</w:t>
      </w:r>
    </w:p>
    <w:p w14:paraId="31F0D7D5" w14:textId="2F37347D" w:rsidR="00DB05D2" w:rsidRDefault="00DB05D2" w:rsidP="001035FC">
      <w:pPr>
        <w:rPr>
          <w:rFonts w:ascii="Arial" w:hAnsi="Arial" w:cs="Arial"/>
          <w:sz w:val="24"/>
          <w:szCs w:val="24"/>
        </w:rPr>
      </w:pPr>
      <w:r>
        <w:rPr>
          <w:rFonts w:ascii="Arial" w:hAnsi="Arial" w:cs="Arial"/>
          <w:sz w:val="24"/>
          <w:szCs w:val="24"/>
        </w:rPr>
        <w:t>The Bill will facilitate more effective</w:t>
      </w:r>
      <w:r w:rsidRPr="00DB05D2">
        <w:rPr>
          <w:rFonts w:ascii="Arial" w:hAnsi="Arial" w:cs="Arial"/>
          <w:sz w:val="24"/>
          <w:szCs w:val="24"/>
        </w:rPr>
        <w:t xml:space="preserve"> complaints resolution procedures within the ACT</w:t>
      </w:r>
      <w:r w:rsidR="000D192F">
        <w:rPr>
          <w:rFonts w:ascii="Arial" w:hAnsi="Arial" w:cs="Arial"/>
          <w:sz w:val="24"/>
          <w:szCs w:val="24"/>
        </w:rPr>
        <w:t> </w:t>
      </w:r>
      <w:r w:rsidRPr="00DB05D2">
        <w:rPr>
          <w:rFonts w:ascii="Arial" w:hAnsi="Arial" w:cs="Arial"/>
          <w:sz w:val="24"/>
          <w:szCs w:val="24"/>
        </w:rPr>
        <w:t>Human Rights Commission (</w:t>
      </w:r>
      <w:r w:rsidRPr="006E77B4">
        <w:rPr>
          <w:rFonts w:ascii="Arial" w:hAnsi="Arial" w:cs="Arial"/>
          <w:b/>
          <w:bCs/>
          <w:sz w:val="24"/>
          <w:szCs w:val="24"/>
        </w:rPr>
        <w:t>HRC</w:t>
      </w:r>
      <w:r w:rsidRPr="00DB05D2">
        <w:rPr>
          <w:rFonts w:ascii="Arial" w:hAnsi="Arial" w:cs="Arial"/>
          <w:sz w:val="24"/>
          <w:szCs w:val="24"/>
        </w:rPr>
        <w:t xml:space="preserve">) by </w:t>
      </w:r>
      <w:r>
        <w:rPr>
          <w:rFonts w:ascii="Arial" w:hAnsi="Arial" w:cs="Arial"/>
          <w:sz w:val="24"/>
          <w:szCs w:val="24"/>
        </w:rPr>
        <w:t>creating a conciliation regime for</w:t>
      </w:r>
      <w:r w:rsidRPr="00DB05D2">
        <w:rPr>
          <w:rFonts w:ascii="Arial" w:hAnsi="Arial" w:cs="Arial"/>
          <w:sz w:val="24"/>
          <w:szCs w:val="24"/>
        </w:rPr>
        <w:t xml:space="preserve"> </w:t>
      </w:r>
      <w:r>
        <w:rPr>
          <w:rFonts w:ascii="Arial" w:hAnsi="Arial" w:cs="Arial"/>
          <w:sz w:val="24"/>
          <w:szCs w:val="24"/>
        </w:rPr>
        <w:t>information</w:t>
      </w:r>
      <w:r w:rsidRPr="00DB05D2">
        <w:rPr>
          <w:rFonts w:ascii="Arial" w:hAnsi="Arial" w:cs="Arial"/>
          <w:sz w:val="24"/>
          <w:szCs w:val="24"/>
        </w:rPr>
        <w:t xml:space="preserve"> privacy complaints</w:t>
      </w:r>
      <w:r>
        <w:rPr>
          <w:rFonts w:ascii="Arial" w:hAnsi="Arial" w:cs="Arial"/>
          <w:sz w:val="24"/>
          <w:szCs w:val="24"/>
        </w:rPr>
        <w:t>.</w:t>
      </w:r>
    </w:p>
    <w:p w14:paraId="2654825D" w14:textId="6350E4E6" w:rsidR="00DB05D2" w:rsidRDefault="00DB05D2" w:rsidP="001035FC">
      <w:pPr>
        <w:rPr>
          <w:rFonts w:ascii="Arial" w:hAnsi="Arial" w:cs="Arial"/>
          <w:sz w:val="24"/>
          <w:szCs w:val="24"/>
        </w:rPr>
      </w:pPr>
      <w:r>
        <w:rPr>
          <w:rFonts w:ascii="Arial" w:hAnsi="Arial" w:cs="Arial"/>
          <w:sz w:val="24"/>
          <w:szCs w:val="24"/>
        </w:rPr>
        <w:t xml:space="preserve">The Bill will also improve property laws in the ACT. It will modernise the process for condition reports under tenancy laws and make the posting termination clause fairer </w:t>
      </w:r>
      <w:r>
        <w:rPr>
          <w:rFonts w:ascii="Arial" w:hAnsi="Arial" w:cs="Arial"/>
          <w:sz w:val="24"/>
          <w:szCs w:val="24"/>
        </w:rPr>
        <w:lastRenderedPageBreak/>
        <w:t xml:space="preserve">and more effective for the benefit of tenants and </w:t>
      </w:r>
      <w:r w:rsidR="00FE167F">
        <w:rPr>
          <w:rFonts w:ascii="Arial" w:hAnsi="Arial" w:cs="Arial"/>
          <w:sz w:val="24"/>
          <w:szCs w:val="24"/>
        </w:rPr>
        <w:t>lessors</w:t>
      </w:r>
      <w:r>
        <w:rPr>
          <w:rFonts w:ascii="Arial" w:hAnsi="Arial" w:cs="Arial"/>
          <w:sz w:val="24"/>
          <w:szCs w:val="24"/>
        </w:rPr>
        <w:t xml:space="preserve">. </w:t>
      </w:r>
      <w:r w:rsidR="00BA46F5">
        <w:rPr>
          <w:rFonts w:ascii="Arial" w:hAnsi="Arial" w:cs="Arial"/>
          <w:sz w:val="24"/>
          <w:szCs w:val="24"/>
        </w:rPr>
        <w:t xml:space="preserve">In addition, it makes minor and technical changes to improve consistency in wording and layout in tenancy provisions. </w:t>
      </w:r>
      <w:r>
        <w:rPr>
          <w:rFonts w:ascii="Arial" w:hAnsi="Arial" w:cs="Arial"/>
          <w:sz w:val="24"/>
          <w:szCs w:val="24"/>
        </w:rPr>
        <w:t xml:space="preserve">It will also remove a </w:t>
      </w:r>
      <w:r w:rsidR="00457BD9">
        <w:rPr>
          <w:rFonts w:ascii="Arial" w:hAnsi="Arial" w:cs="Arial"/>
          <w:sz w:val="24"/>
          <w:szCs w:val="24"/>
        </w:rPr>
        <w:t xml:space="preserve">duplicated disclosure </w:t>
      </w:r>
      <w:r>
        <w:rPr>
          <w:rFonts w:ascii="Arial" w:hAnsi="Arial" w:cs="Arial"/>
          <w:sz w:val="24"/>
          <w:szCs w:val="24"/>
        </w:rPr>
        <w:t xml:space="preserve">requirement </w:t>
      </w:r>
      <w:r w:rsidR="000D192F">
        <w:rPr>
          <w:rFonts w:ascii="Arial" w:hAnsi="Arial" w:cs="Arial"/>
          <w:sz w:val="24"/>
          <w:szCs w:val="24"/>
        </w:rPr>
        <w:t xml:space="preserve">concerning swimming pool safety barriers </w:t>
      </w:r>
      <w:r w:rsidR="00457BD9">
        <w:rPr>
          <w:rFonts w:ascii="Arial" w:hAnsi="Arial" w:cs="Arial"/>
          <w:sz w:val="24"/>
          <w:szCs w:val="24"/>
        </w:rPr>
        <w:t>in sale of residential property laws</w:t>
      </w:r>
      <w:r>
        <w:rPr>
          <w:rFonts w:ascii="Arial" w:hAnsi="Arial" w:cs="Arial"/>
          <w:sz w:val="24"/>
          <w:szCs w:val="24"/>
        </w:rPr>
        <w:t>.</w:t>
      </w:r>
    </w:p>
    <w:p w14:paraId="01EB4F1C" w14:textId="063EBA34" w:rsidR="001035FC" w:rsidRPr="001035FC" w:rsidRDefault="00DB05D2" w:rsidP="001035FC">
      <w:pPr>
        <w:rPr>
          <w:rFonts w:ascii="Arial" w:hAnsi="Arial" w:cs="Arial"/>
          <w:sz w:val="24"/>
          <w:szCs w:val="24"/>
        </w:rPr>
      </w:pPr>
      <w:r>
        <w:rPr>
          <w:rFonts w:ascii="Arial" w:hAnsi="Arial" w:cs="Arial"/>
          <w:sz w:val="24"/>
          <w:szCs w:val="24"/>
        </w:rPr>
        <w:t>Other minor amendments in the</w:t>
      </w:r>
      <w:r w:rsidR="001035FC" w:rsidRPr="001035FC">
        <w:rPr>
          <w:rFonts w:ascii="Arial" w:hAnsi="Arial" w:cs="Arial"/>
          <w:sz w:val="24"/>
          <w:szCs w:val="24"/>
        </w:rPr>
        <w:t xml:space="preserve"> Bill will</w:t>
      </w:r>
      <w:r w:rsidR="00B63CF5">
        <w:rPr>
          <w:rFonts w:ascii="Arial" w:hAnsi="Arial" w:cs="Arial"/>
          <w:sz w:val="24"/>
          <w:szCs w:val="24"/>
        </w:rPr>
        <w:t xml:space="preserve"> clarify discrimination law and update references to the Commonwealth’s aged care legislation following 2024 reforms. This will</w:t>
      </w:r>
      <w:r w:rsidR="001035FC" w:rsidRPr="001035FC">
        <w:rPr>
          <w:rFonts w:ascii="Arial" w:hAnsi="Arial" w:cs="Arial"/>
          <w:sz w:val="24"/>
          <w:szCs w:val="24"/>
        </w:rPr>
        <w:t xml:space="preserve"> improve the quality of the ACT’s statute book by making it simpler</w:t>
      </w:r>
      <w:r>
        <w:rPr>
          <w:rFonts w:ascii="Arial" w:hAnsi="Arial" w:cs="Arial"/>
          <w:sz w:val="24"/>
          <w:szCs w:val="24"/>
        </w:rPr>
        <w:t xml:space="preserve"> and</w:t>
      </w:r>
      <w:r w:rsidR="001035FC" w:rsidRPr="001035FC">
        <w:rPr>
          <w:rFonts w:ascii="Arial" w:hAnsi="Arial" w:cs="Arial"/>
          <w:sz w:val="24"/>
          <w:szCs w:val="24"/>
        </w:rPr>
        <w:t xml:space="preserve"> more consistent</w:t>
      </w:r>
      <w:r>
        <w:rPr>
          <w:rFonts w:ascii="Arial" w:hAnsi="Arial" w:cs="Arial"/>
          <w:sz w:val="24"/>
          <w:szCs w:val="24"/>
        </w:rPr>
        <w:t xml:space="preserve">, </w:t>
      </w:r>
      <w:r w:rsidR="001035FC" w:rsidRPr="001035FC">
        <w:rPr>
          <w:rFonts w:ascii="Arial" w:hAnsi="Arial" w:cs="Arial"/>
          <w:sz w:val="24"/>
          <w:szCs w:val="24"/>
        </w:rPr>
        <w:t>coherent and up-to-dat</w:t>
      </w:r>
      <w:r w:rsidR="001035FC">
        <w:rPr>
          <w:rFonts w:ascii="Arial" w:hAnsi="Arial" w:cs="Arial"/>
          <w:sz w:val="24"/>
          <w:szCs w:val="24"/>
        </w:rPr>
        <w:t>e.</w:t>
      </w:r>
    </w:p>
    <w:p w14:paraId="25E5EC3A" w14:textId="77777777" w:rsidR="00E90DF9" w:rsidRDefault="00E90DF9" w:rsidP="00E90DF9">
      <w:pPr>
        <w:rPr>
          <w:rFonts w:ascii="Arial" w:hAnsi="Arial" w:cs="Arial"/>
          <w:b/>
          <w:sz w:val="24"/>
          <w:szCs w:val="24"/>
        </w:rPr>
      </w:pPr>
      <w:r w:rsidRPr="00AC59DF">
        <w:rPr>
          <w:rFonts w:ascii="Arial" w:hAnsi="Arial" w:cs="Arial"/>
          <w:b/>
          <w:sz w:val="24"/>
          <w:szCs w:val="24"/>
        </w:rPr>
        <w:t>CONSULTATION ON THE PROPOSED APPROACH</w:t>
      </w:r>
    </w:p>
    <w:p w14:paraId="732C5C22" w14:textId="75EDABC8" w:rsidR="000D192F" w:rsidRDefault="003B09DC" w:rsidP="000D192F">
      <w:pPr>
        <w:rPr>
          <w:rFonts w:ascii="Arial" w:hAnsi="Arial" w:cs="Arial"/>
          <w:sz w:val="24"/>
          <w:szCs w:val="24"/>
        </w:rPr>
      </w:pPr>
      <w:r w:rsidRPr="000D192F">
        <w:rPr>
          <w:rFonts w:ascii="Arial" w:hAnsi="Arial" w:cs="Arial"/>
          <w:sz w:val="24"/>
          <w:szCs w:val="24"/>
        </w:rPr>
        <w:t xml:space="preserve">The amendments in the Bill were developed in targeted consultation within Government and with relevant stakeholders where appropriate. In some cases, minor and technical </w:t>
      </w:r>
      <w:r w:rsidRPr="00763534">
        <w:rPr>
          <w:rFonts w:ascii="Arial" w:hAnsi="Arial" w:cs="Arial"/>
          <w:sz w:val="24"/>
          <w:szCs w:val="24"/>
        </w:rPr>
        <w:t>amendments were identified by the Government agency that administers or operates under the relevant Act, or by key stakeholders in the relevant sector.</w:t>
      </w:r>
      <w:r w:rsidRPr="000D192F">
        <w:rPr>
          <w:rFonts w:ascii="Arial" w:hAnsi="Arial" w:cs="Arial"/>
          <w:sz w:val="24"/>
          <w:szCs w:val="24"/>
        </w:rPr>
        <w:t xml:space="preserve">  </w:t>
      </w:r>
    </w:p>
    <w:p w14:paraId="7B0A6948" w14:textId="2F7A21C0" w:rsidR="003B09DC" w:rsidRPr="000D192F" w:rsidRDefault="00763534" w:rsidP="000D192F">
      <w:pPr>
        <w:rPr>
          <w:rFonts w:ascii="Arial" w:hAnsi="Arial" w:cs="Arial"/>
          <w:sz w:val="24"/>
          <w:szCs w:val="24"/>
        </w:rPr>
      </w:pPr>
      <w:r>
        <w:rPr>
          <w:rFonts w:ascii="Arial" w:hAnsi="Arial" w:cs="Arial"/>
          <w:sz w:val="24"/>
          <w:szCs w:val="24"/>
        </w:rPr>
        <w:t xml:space="preserve">The </w:t>
      </w:r>
      <w:r w:rsidR="003B09DC" w:rsidRPr="000D192F">
        <w:rPr>
          <w:rFonts w:ascii="Arial" w:hAnsi="Arial" w:cs="Arial"/>
          <w:sz w:val="24"/>
          <w:szCs w:val="24"/>
        </w:rPr>
        <w:t xml:space="preserve">amendments to the </w:t>
      </w:r>
      <w:r w:rsidR="003B09DC" w:rsidRPr="006E77B4">
        <w:rPr>
          <w:rFonts w:ascii="Arial" w:hAnsi="Arial" w:cs="Arial"/>
          <w:i/>
          <w:iCs/>
          <w:sz w:val="24"/>
          <w:szCs w:val="24"/>
        </w:rPr>
        <w:t>Information Privacy Act 2014</w:t>
      </w:r>
      <w:r w:rsidR="003B09DC" w:rsidRPr="000D192F">
        <w:rPr>
          <w:rFonts w:ascii="Arial" w:hAnsi="Arial" w:cs="Arial"/>
          <w:sz w:val="24"/>
          <w:szCs w:val="24"/>
        </w:rPr>
        <w:t xml:space="preserve"> (the </w:t>
      </w:r>
      <w:r w:rsidR="003B09DC" w:rsidRPr="000D192F">
        <w:rPr>
          <w:rFonts w:ascii="Arial" w:hAnsi="Arial" w:cs="Arial"/>
          <w:b/>
          <w:bCs/>
          <w:sz w:val="24"/>
          <w:szCs w:val="24"/>
        </w:rPr>
        <w:t>IP Act</w:t>
      </w:r>
      <w:r w:rsidR="003B09DC" w:rsidRPr="000D192F">
        <w:rPr>
          <w:rFonts w:ascii="Arial" w:hAnsi="Arial" w:cs="Arial"/>
          <w:sz w:val="24"/>
          <w:szCs w:val="24"/>
        </w:rPr>
        <w:t>)</w:t>
      </w:r>
      <w:r>
        <w:rPr>
          <w:rFonts w:ascii="Arial" w:hAnsi="Arial" w:cs="Arial"/>
          <w:sz w:val="24"/>
          <w:szCs w:val="24"/>
        </w:rPr>
        <w:t xml:space="preserve"> were proposed by</w:t>
      </w:r>
      <w:r w:rsidR="003B09DC" w:rsidRPr="000D192F">
        <w:rPr>
          <w:rFonts w:ascii="Arial" w:hAnsi="Arial" w:cs="Arial"/>
          <w:sz w:val="24"/>
          <w:szCs w:val="24"/>
        </w:rPr>
        <w:t xml:space="preserve"> the Information Privacy Commissioner (the </w:t>
      </w:r>
      <w:r w:rsidR="000D192F" w:rsidRPr="000D192F">
        <w:rPr>
          <w:rFonts w:ascii="Arial" w:hAnsi="Arial" w:cs="Arial"/>
          <w:b/>
          <w:bCs/>
          <w:sz w:val="24"/>
          <w:szCs w:val="24"/>
        </w:rPr>
        <w:t xml:space="preserve">IP </w:t>
      </w:r>
      <w:r w:rsidR="003B09DC" w:rsidRPr="000D192F">
        <w:rPr>
          <w:rFonts w:ascii="Arial" w:hAnsi="Arial" w:cs="Arial"/>
          <w:b/>
          <w:bCs/>
          <w:sz w:val="24"/>
          <w:szCs w:val="24"/>
        </w:rPr>
        <w:t>Commissioner</w:t>
      </w:r>
      <w:r w:rsidR="003B09DC" w:rsidRPr="000D192F">
        <w:rPr>
          <w:rFonts w:ascii="Arial" w:hAnsi="Arial" w:cs="Arial"/>
          <w:sz w:val="24"/>
          <w:szCs w:val="24"/>
        </w:rPr>
        <w:t>)</w:t>
      </w:r>
      <w:r w:rsidR="00B63CF5">
        <w:rPr>
          <w:rFonts w:ascii="Arial" w:hAnsi="Arial" w:cs="Arial"/>
          <w:sz w:val="24"/>
          <w:szCs w:val="24"/>
        </w:rPr>
        <w:t xml:space="preserve"> within the</w:t>
      </w:r>
      <w:r w:rsidR="00B63CF5" w:rsidRPr="00B63CF5">
        <w:rPr>
          <w:rFonts w:ascii="Arial" w:hAnsi="Arial" w:cs="Arial"/>
          <w:sz w:val="24"/>
          <w:szCs w:val="24"/>
        </w:rPr>
        <w:t xml:space="preserve"> </w:t>
      </w:r>
      <w:r w:rsidR="00B63CF5" w:rsidRPr="00AD26E4">
        <w:rPr>
          <w:rFonts w:ascii="Arial" w:hAnsi="Arial" w:cs="Arial"/>
          <w:sz w:val="24"/>
          <w:szCs w:val="24"/>
        </w:rPr>
        <w:t>HRC</w:t>
      </w:r>
      <w:r w:rsidR="003B09DC" w:rsidRPr="000D192F">
        <w:rPr>
          <w:rFonts w:ascii="Arial" w:hAnsi="Arial" w:cs="Arial"/>
          <w:sz w:val="24"/>
          <w:szCs w:val="24"/>
        </w:rPr>
        <w:t xml:space="preserve">. </w:t>
      </w:r>
      <w:r>
        <w:rPr>
          <w:rFonts w:ascii="Arial" w:hAnsi="Arial" w:cs="Arial"/>
          <w:sz w:val="24"/>
          <w:szCs w:val="24"/>
        </w:rPr>
        <w:t xml:space="preserve">The </w:t>
      </w:r>
      <w:r w:rsidR="00B63CF5">
        <w:rPr>
          <w:rFonts w:ascii="Arial" w:hAnsi="Arial" w:cs="Arial"/>
          <w:sz w:val="24"/>
          <w:szCs w:val="24"/>
        </w:rPr>
        <w:t xml:space="preserve">HRC </w:t>
      </w:r>
      <w:r>
        <w:rPr>
          <w:rFonts w:ascii="Arial" w:hAnsi="Arial" w:cs="Arial"/>
          <w:sz w:val="24"/>
          <w:szCs w:val="24"/>
        </w:rPr>
        <w:t xml:space="preserve">was also consulted on the amendments to the </w:t>
      </w:r>
      <w:r w:rsidRPr="006E77B4">
        <w:rPr>
          <w:rFonts w:ascii="Arial" w:hAnsi="Arial" w:cs="Arial"/>
          <w:i/>
          <w:iCs/>
          <w:sz w:val="24"/>
          <w:szCs w:val="24"/>
        </w:rPr>
        <w:t>Discrimination Act 1991</w:t>
      </w:r>
      <w:r>
        <w:rPr>
          <w:rFonts w:ascii="Arial" w:hAnsi="Arial" w:cs="Arial"/>
          <w:sz w:val="24"/>
          <w:szCs w:val="24"/>
        </w:rPr>
        <w:t>.</w:t>
      </w:r>
    </w:p>
    <w:p w14:paraId="796E265F" w14:textId="49B06298" w:rsidR="003B09DC" w:rsidRDefault="003B09DC" w:rsidP="003B09DC">
      <w:pPr>
        <w:rPr>
          <w:rFonts w:ascii="Arial" w:hAnsi="Arial" w:cs="Arial"/>
          <w:sz w:val="24"/>
          <w:szCs w:val="24"/>
        </w:rPr>
      </w:pPr>
      <w:r w:rsidRPr="000D192F">
        <w:rPr>
          <w:rFonts w:ascii="Arial" w:hAnsi="Arial" w:cs="Arial"/>
          <w:sz w:val="24"/>
          <w:szCs w:val="24"/>
        </w:rPr>
        <w:t xml:space="preserve">The ACT Supreme Court and the ACT Magistrates Court were consulted and support the proposed amendments to the </w:t>
      </w:r>
      <w:r w:rsidRPr="000D192F">
        <w:rPr>
          <w:rFonts w:ascii="Arial" w:hAnsi="Arial" w:cs="Arial"/>
          <w:i/>
          <w:iCs/>
          <w:sz w:val="24"/>
          <w:szCs w:val="24"/>
        </w:rPr>
        <w:t>Crimes (Sentencing) Act 2005</w:t>
      </w:r>
      <w:r w:rsidR="000D192F">
        <w:rPr>
          <w:rFonts w:ascii="Arial" w:hAnsi="Arial" w:cs="Arial"/>
          <w:i/>
          <w:iCs/>
          <w:sz w:val="24"/>
          <w:szCs w:val="24"/>
        </w:rPr>
        <w:t xml:space="preserve"> </w:t>
      </w:r>
      <w:r w:rsidR="000D192F">
        <w:rPr>
          <w:rFonts w:ascii="Arial" w:hAnsi="Arial" w:cs="Arial"/>
          <w:sz w:val="24"/>
          <w:szCs w:val="24"/>
        </w:rPr>
        <w:t>in relation to the DASL</w:t>
      </w:r>
      <w:r w:rsidRPr="000D192F">
        <w:rPr>
          <w:rFonts w:ascii="Arial" w:hAnsi="Arial" w:cs="Arial"/>
          <w:sz w:val="24"/>
          <w:szCs w:val="24"/>
        </w:rPr>
        <w:t xml:space="preserve">. </w:t>
      </w:r>
    </w:p>
    <w:p w14:paraId="7E3F099F" w14:textId="5E8C5919" w:rsidR="003B09DC" w:rsidRDefault="007B5FF4" w:rsidP="003B09DC">
      <w:pPr>
        <w:rPr>
          <w:rFonts w:ascii="Arial" w:hAnsi="Arial" w:cs="Arial"/>
          <w:sz w:val="24"/>
          <w:szCs w:val="24"/>
        </w:rPr>
      </w:pPr>
      <w:r w:rsidRPr="006E77B4">
        <w:rPr>
          <w:rFonts w:ascii="Arial" w:hAnsi="Arial" w:cs="Arial"/>
          <w:iCs/>
          <w:sz w:val="24"/>
          <w:szCs w:val="24"/>
        </w:rPr>
        <w:t>ACAT</w:t>
      </w:r>
      <w:r w:rsidRPr="00763534">
        <w:rPr>
          <w:rFonts w:ascii="Arial" w:hAnsi="Arial" w:cs="Arial"/>
          <w:iCs/>
          <w:sz w:val="24"/>
          <w:szCs w:val="24"/>
        </w:rPr>
        <w:t xml:space="preserve"> </w:t>
      </w:r>
      <w:r w:rsidR="00763534">
        <w:rPr>
          <w:rFonts w:ascii="Arial" w:hAnsi="Arial" w:cs="Arial"/>
          <w:iCs/>
          <w:sz w:val="24"/>
          <w:szCs w:val="24"/>
        </w:rPr>
        <w:t>was</w:t>
      </w:r>
      <w:r w:rsidR="000D192F">
        <w:rPr>
          <w:rFonts w:ascii="Arial" w:hAnsi="Arial" w:cs="Arial"/>
          <w:iCs/>
          <w:sz w:val="24"/>
          <w:szCs w:val="24"/>
        </w:rPr>
        <w:t xml:space="preserve"> </w:t>
      </w:r>
      <w:r>
        <w:rPr>
          <w:rFonts w:ascii="Arial" w:hAnsi="Arial" w:cs="Arial"/>
          <w:iCs/>
          <w:sz w:val="24"/>
          <w:szCs w:val="24"/>
        </w:rPr>
        <w:t xml:space="preserve">consulted on </w:t>
      </w:r>
      <w:r w:rsidR="000D192F">
        <w:rPr>
          <w:rFonts w:ascii="Arial" w:hAnsi="Arial" w:cs="Arial"/>
          <w:iCs/>
          <w:sz w:val="24"/>
          <w:szCs w:val="24"/>
        </w:rPr>
        <w:t xml:space="preserve">the </w:t>
      </w:r>
      <w:r>
        <w:rPr>
          <w:rFonts w:ascii="Arial" w:hAnsi="Arial" w:cs="Arial"/>
          <w:iCs/>
          <w:sz w:val="24"/>
          <w:szCs w:val="24"/>
        </w:rPr>
        <w:t xml:space="preserve">amendments relating to statutory declarations under the </w:t>
      </w:r>
      <w:r w:rsidRPr="006E77B4">
        <w:rPr>
          <w:rFonts w:ascii="Arial" w:hAnsi="Arial" w:cs="Arial"/>
          <w:i/>
          <w:iCs/>
          <w:sz w:val="24"/>
          <w:szCs w:val="24"/>
        </w:rPr>
        <w:t>Guardianship and Management of Property Act 1991</w:t>
      </w:r>
      <w:r>
        <w:rPr>
          <w:rFonts w:ascii="Arial" w:hAnsi="Arial" w:cs="Arial"/>
          <w:sz w:val="24"/>
          <w:szCs w:val="24"/>
        </w:rPr>
        <w:t xml:space="preserve"> (</w:t>
      </w:r>
      <w:r w:rsidRPr="006E77B4">
        <w:rPr>
          <w:rFonts w:ascii="Arial" w:hAnsi="Arial" w:cs="Arial"/>
          <w:sz w:val="24"/>
          <w:szCs w:val="24"/>
        </w:rPr>
        <w:t>the</w:t>
      </w:r>
      <w:r w:rsidRPr="000D192F">
        <w:rPr>
          <w:rFonts w:ascii="Arial" w:hAnsi="Arial" w:cs="Arial"/>
          <w:b/>
          <w:bCs/>
          <w:sz w:val="24"/>
          <w:szCs w:val="24"/>
        </w:rPr>
        <w:t xml:space="preserve"> GMP Act</w:t>
      </w:r>
      <w:r>
        <w:rPr>
          <w:rFonts w:ascii="Arial" w:hAnsi="Arial" w:cs="Arial"/>
          <w:sz w:val="24"/>
          <w:szCs w:val="24"/>
        </w:rPr>
        <w:t>)</w:t>
      </w:r>
      <w:r w:rsidR="00763534">
        <w:rPr>
          <w:rFonts w:ascii="Arial" w:hAnsi="Arial" w:cs="Arial"/>
          <w:sz w:val="24"/>
          <w:szCs w:val="24"/>
        </w:rPr>
        <w:t xml:space="preserve"> as well as the Discrimination Act amendments</w:t>
      </w:r>
      <w:r>
        <w:rPr>
          <w:rFonts w:ascii="Arial" w:hAnsi="Arial" w:cs="Arial"/>
          <w:sz w:val="24"/>
          <w:szCs w:val="24"/>
        </w:rPr>
        <w:t xml:space="preserve">. </w:t>
      </w:r>
    </w:p>
    <w:p w14:paraId="75EFA862" w14:textId="67D583B9" w:rsidR="00763534" w:rsidRDefault="00763534" w:rsidP="003B09DC">
      <w:pPr>
        <w:rPr>
          <w:rFonts w:ascii="Arial" w:hAnsi="Arial" w:cs="Arial"/>
          <w:iCs/>
          <w:sz w:val="24"/>
          <w:szCs w:val="24"/>
        </w:rPr>
      </w:pPr>
      <w:r>
        <w:rPr>
          <w:rFonts w:ascii="Arial" w:hAnsi="Arial" w:cs="Arial"/>
          <w:sz w:val="24"/>
          <w:szCs w:val="24"/>
        </w:rPr>
        <w:t>The Real Estate Institute of the ACT proposed amendments to the</w:t>
      </w:r>
      <w:r w:rsidRPr="00763534">
        <w:rPr>
          <w:rFonts w:eastAsia="Calibri"/>
          <w:i/>
          <w:iCs/>
        </w:rPr>
        <w:t xml:space="preserve"> </w:t>
      </w:r>
      <w:r w:rsidRPr="00763534">
        <w:rPr>
          <w:rFonts w:ascii="Arial" w:hAnsi="Arial" w:cs="Arial"/>
          <w:i/>
          <w:iCs/>
          <w:sz w:val="24"/>
          <w:szCs w:val="24"/>
        </w:rPr>
        <w:t>Residential Tenancies Act 1997</w:t>
      </w:r>
      <w:r>
        <w:rPr>
          <w:i/>
          <w:iCs/>
        </w:rPr>
        <w:t xml:space="preserve"> </w:t>
      </w:r>
      <w:r w:rsidRPr="006E77B4">
        <w:rPr>
          <w:rFonts w:ascii="Arial" w:hAnsi="Arial" w:cs="Arial"/>
          <w:iCs/>
          <w:sz w:val="24"/>
          <w:szCs w:val="24"/>
        </w:rPr>
        <w:t>(</w:t>
      </w:r>
      <w:r w:rsidRPr="006E77B4">
        <w:rPr>
          <w:rFonts w:ascii="Arial" w:hAnsi="Arial" w:cs="Arial"/>
          <w:b/>
          <w:bCs/>
          <w:iCs/>
          <w:sz w:val="24"/>
          <w:szCs w:val="24"/>
        </w:rPr>
        <w:t>RTA</w:t>
      </w:r>
      <w:r w:rsidRPr="006E77B4">
        <w:rPr>
          <w:rFonts w:ascii="Arial" w:hAnsi="Arial" w:cs="Arial"/>
          <w:iCs/>
          <w:sz w:val="24"/>
          <w:szCs w:val="24"/>
        </w:rPr>
        <w:t>)</w:t>
      </w:r>
      <w:r w:rsidRPr="00763534">
        <w:rPr>
          <w:rFonts w:eastAsia="Calibri"/>
        </w:rPr>
        <w:t xml:space="preserve"> </w:t>
      </w:r>
      <w:r w:rsidRPr="00763534">
        <w:rPr>
          <w:rFonts w:ascii="Arial" w:hAnsi="Arial" w:cs="Arial"/>
          <w:iCs/>
          <w:sz w:val="24"/>
          <w:szCs w:val="24"/>
        </w:rPr>
        <w:t>in relation to electronic condition reports and some aspects of the changes to the posting termination clause</w:t>
      </w:r>
      <w:r>
        <w:rPr>
          <w:rFonts w:ascii="Arial" w:hAnsi="Arial" w:cs="Arial"/>
          <w:iCs/>
          <w:sz w:val="24"/>
          <w:szCs w:val="24"/>
        </w:rPr>
        <w:t>.</w:t>
      </w:r>
    </w:p>
    <w:p w14:paraId="79C3E82B" w14:textId="41FFB6C0" w:rsidR="00763534" w:rsidRPr="00763534" w:rsidRDefault="00763534" w:rsidP="003B09DC">
      <w:pPr>
        <w:rPr>
          <w:rFonts w:ascii="Arial" w:hAnsi="Arial" w:cs="Arial"/>
          <w:sz w:val="24"/>
          <w:szCs w:val="24"/>
        </w:rPr>
      </w:pPr>
      <w:r>
        <w:rPr>
          <w:rFonts w:ascii="Arial" w:hAnsi="Arial" w:cs="Arial"/>
          <w:sz w:val="24"/>
          <w:szCs w:val="24"/>
        </w:rPr>
        <w:t xml:space="preserve">The </w:t>
      </w:r>
      <w:r w:rsidRPr="006E77B4">
        <w:rPr>
          <w:rFonts w:ascii="Arial" w:hAnsi="Arial" w:cs="Arial"/>
          <w:sz w:val="24"/>
          <w:szCs w:val="24"/>
        </w:rPr>
        <w:t>amendment to the</w:t>
      </w:r>
      <w:r>
        <w:rPr>
          <w:rFonts w:ascii="Arial" w:hAnsi="Arial" w:cs="Arial"/>
          <w:sz w:val="24"/>
          <w:szCs w:val="24"/>
        </w:rPr>
        <w:t xml:space="preserve"> </w:t>
      </w:r>
      <w:r w:rsidRPr="006E77B4">
        <w:rPr>
          <w:rFonts w:ascii="Arial" w:hAnsi="Arial" w:cs="Arial"/>
          <w:i/>
          <w:iCs/>
          <w:sz w:val="24"/>
          <w:szCs w:val="24"/>
        </w:rPr>
        <w:t>Civil</w:t>
      </w:r>
      <w:r w:rsidRPr="006E77B4">
        <w:rPr>
          <w:rFonts w:ascii="Arial" w:hAnsi="Arial" w:cs="Arial"/>
          <w:sz w:val="24"/>
          <w:szCs w:val="24"/>
        </w:rPr>
        <w:t xml:space="preserve"> </w:t>
      </w:r>
      <w:r w:rsidRPr="000D192F">
        <w:rPr>
          <w:rFonts w:ascii="Arial" w:hAnsi="Arial" w:cs="Arial"/>
          <w:i/>
          <w:iCs/>
          <w:sz w:val="24"/>
          <w:szCs w:val="24"/>
        </w:rPr>
        <w:t>Law (Sale of Residential Property) Act 2003</w:t>
      </w:r>
      <w:r>
        <w:rPr>
          <w:rFonts w:ascii="Arial" w:hAnsi="Arial" w:cs="Arial"/>
          <w:i/>
          <w:iCs/>
          <w:sz w:val="24"/>
          <w:szCs w:val="24"/>
        </w:rPr>
        <w:t xml:space="preserve"> </w:t>
      </w:r>
      <w:r>
        <w:rPr>
          <w:rFonts w:ascii="Arial" w:hAnsi="Arial" w:cs="Arial"/>
          <w:sz w:val="24"/>
          <w:szCs w:val="24"/>
        </w:rPr>
        <w:t>(</w:t>
      </w:r>
      <w:r w:rsidRPr="006E77B4">
        <w:rPr>
          <w:rFonts w:ascii="Arial" w:hAnsi="Arial" w:cs="Arial"/>
          <w:b/>
          <w:bCs/>
          <w:sz w:val="24"/>
          <w:szCs w:val="24"/>
        </w:rPr>
        <w:t>CLSORPA</w:t>
      </w:r>
      <w:r>
        <w:rPr>
          <w:rFonts w:ascii="Arial" w:hAnsi="Arial" w:cs="Arial"/>
          <w:sz w:val="24"/>
          <w:szCs w:val="24"/>
        </w:rPr>
        <w:t>)</w:t>
      </w:r>
      <w:r w:rsidRPr="006E77B4">
        <w:rPr>
          <w:rFonts w:ascii="Arial" w:hAnsi="Arial" w:cs="Arial"/>
          <w:sz w:val="24"/>
          <w:szCs w:val="24"/>
        </w:rPr>
        <w:t xml:space="preserve"> to remove the duplication of disclosure requirements relating to swimming pool safety on the common property of a units plan was proposed by the ACT Law Society</w:t>
      </w:r>
      <w:r>
        <w:rPr>
          <w:rFonts w:ascii="Arial" w:hAnsi="Arial" w:cs="Arial"/>
          <w:sz w:val="24"/>
          <w:szCs w:val="24"/>
        </w:rPr>
        <w:t>.</w:t>
      </w:r>
    </w:p>
    <w:p w14:paraId="25B1658A" w14:textId="7871570F" w:rsidR="00A536CA" w:rsidRPr="00A536CA" w:rsidRDefault="000A7CE2" w:rsidP="00A536CA">
      <w:pPr>
        <w:pStyle w:val="Heading2"/>
        <w:rPr>
          <w:bCs/>
        </w:rPr>
      </w:pPr>
      <w:r w:rsidRPr="000A7CE2">
        <w:rPr>
          <w:bCs/>
        </w:rPr>
        <w:t>SUMMARY OF AMENDMENTS</w:t>
      </w:r>
    </w:p>
    <w:p w14:paraId="0A508E65" w14:textId="332F322D" w:rsidR="00A536CA" w:rsidRDefault="00A536CA" w:rsidP="00D42B20">
      <w:pPr>
        <w:rPr>
          <w:rFonts w:ascii="Arial" w:hAnsi="Arial" w:cs="Arial"/>
          <w:b/>
          <w:bCs/>
          <w:iCs/>
          <w:sz w:val="24"/>
          <w:szCs w:val="24"/>
        </w:rPr>
      </w:pPr>
      <w:r w:rsidRPr="000D192F">
        <w:rPr>
          <w:rFonts w:ascii="Arial" w:hAnsi="Arial" w:cs="Arial"/>
          <w:b/>
          <w:bCs/>
          <w:iCs/>
          <w:sz w:val="24"/>
          <w:szCs w:val="24"/>
        </w:rPr>
        <w:t>Civil Law (Sale of Residential Property) Act 2003</w:t>
      </w:r>
    </w:p>
    <w:p w14:paraId="3182FB1E" w14:textId="59799D10" w:rsidR="00AD4230" w:rsidRDefault="00AD4230" w:rsidP="00AD4230">
      <w:pPr>
        <w:rPr>
          <w:rFonts w:ascii="Arial" w:hAnsi="Arial" w:cs="Arial"/>
          <w:i/>
          <w:sz w:val="24"/>
          <w:szCs w:val="24"/>
        </w:rPr>
      </w:pPr>
      <w:r>
        <w:rPr>
          <w:rFonts w:ascii="Arial" w:hAnsi="Arial" w:cs="Arial"/>
          <w:iCs/>
          <w:sz w:val="24"/>
          <w:szCs w:val="24"/>
        </w:rPr>
        <w:t>This Bill will remove the requirement at section 9</w:t>
      </w:r>
      <w:r w:rsidR="00457BD9">
        <w:rPr>
          <w:rFonts w:ascii="Arial" w:hAnsi="Arial" w:cs="Arial"/>
          <w:iCs/>
          <w:sz w:val="24"/>
          <w:szCs w:val="24"/>
        </w:rPr>
        <w:t xml:space="preserve"> </w:t>
      </w:r>
      <w:r w:rsidR="006A7FDB">
        <w:rPr>
          <w:rFonts w:ascii="Arial" w:hAnsi="Arial" w:cs="Arial"/>
          <w:iCs/>
          <w:sz w:val="24"/>
          <w:szCs w:val="24"/>
        </w:rPr>
        <w:t xml:space="preserve">(1) </w:t>
      </w:r>
      <w:r>
        <w:rPr>
          <w:rFonts w:ascii="Arial" w:hAnsi="Arial" w:cs="Arial"/>
          <w:iCs/>
          <w:sz w:val="24"/>
          <w:szCs w:val="24"/>
        </w:rPr>
        <w:t xml:space="preserve">(k) of CLSORPA </w:t>
      </w:r>
      <w:r w:rsidRPr="00AD4230">
        <w:rPr>
          <w:rFonts w:ascii="Arial" w:hAnsi="Arial" w:cs="Arial"/>
          <w:iCs/>
          <w:sz w:val="24"/>
          <w:szCs w:val="24"/>
        </w:rPr>
        <w:t>for a unit seller to disclose information about the safety barriers of regulated swimming pools on common property, given this information is already effectively conveyed to a unit buyer through the information disclosed by the unit title sales certificate.</w:t>
      </w:r>
      <w:r>
        <w:rPr>
          <w:rFonts w:ascii="Arial" w:hAnsi="Arial" w:cs="Arial"/>
          <w:i/>
          <w:sz w:val="24"/>
          <w:szCs w:val="24"/>
        </w:rPr>
        <w:t xml:space="preserve"> </w:t>
      </w:r>
    </w:p>
    <w:p w14:paraId="7170E494" w14:textId="316A2A31" w:rsidR="00AD4230" w:rsidRDefault="00457BD9" w:rsidP="00D42B20">
      <w:pPr>
        <w:rPr>
          <w:rFonts w:ascii="Arial" w:hAnsi="Arial" w:cs="Arial"/>
          <w:iCs/>
          <w:sz w:val="24"/>
          <w:szCs w:val="24"/>
        </w:rPr>
      </w:pPr>
      <w:r>
        <w:rPr>
          <w:rFonts w:ascii="Arial" w:hAnsi="Arial" w:cs="Arial"/>
          <w:iCs/>
          <w:sz w:val="24"/>
          <w:szCs w:val="24"/>
        </w:rPr>
        <w:lastRenderedPageBreak/>
        <w:t>I</w:t>
      </w:r>
      <w:r w:rsidR="005202AC">
        <w:rPr>
          <w:rFonts w:ascii="Arial" w:hAnsi="Arial" w:cs="Arial"/>
          <w:iCs/>
          <w:sz w:val="24"/>
          <w:szCs w:val="24"/>
        </w:rPr>
        <w:t>n May 2024</w:t>
      </w:r>
      <w:r>
        <w:rPr>
          <w:rFonts w:ascii="Arial" w:hAnsi="Arial" w:cs="Arial"/>
          <w:iCs/>
          <w:sz w:val="24"/>
          <w:szCs w:val="24"/>
        </w:rPr>
        <w:t xml:space="preserve"> the ACT Government introduced reforms</w:t>
      </w:r>
      <w:r w:rsidR="00AD4230" w:rsidRPr="00AD4230">
        <w:rPr>
          <w:rFonts w:ascii="Arial" w:hAnsi="Arial" w:cs="Arial"/>
          <w:iCs/>
          <w:sz w:val="24"/>
          <w:szCs w:val="24"/>
        </w:rPr>
        <w:t xml:space="preserve"> </w:t>
      </w:r>
      <w:r>
        <w:rPr>
          <w:rFonts w:ascii="Arial" w:hAnsi="Arial" w:cs="Arial"/>
          <w:iCs/>
          <w:sz w:val="24"/>
          <w:szCs w:val="24"/>
        </w:rPr>
        <w:t xml:space="preserve">relating to </w:t>
      </w:r>
      <w:r w:rsidR="00AD4230" w:rsidRPr="00AD4230">
        <w:rPr>
          <w:rFonts w:ascii="Arial" w:hAnsi="Arial" w:cs="Arial"/>
          <w:iCs/>
          <w:sz w:val="24"/>
          <w:szCs w:val="24"/>
        </w:rPr>
        <w:t>swimming pool safety barriers, as well as requirements to disclose information to prospective purchasers about the swimming pool safety barriers when a property with a regulated swimming pool is sold.</w:t>
      </w:r>
      <w:r w:rsidR="00AD4230">
        <w:rPr>
          <w:rFonts w:ascii="Arial" w:hAnsi="Arial" w:cs="Arial"/>
          <w:iCs/>
          <w:sz w:val="24"/>
          <w:szCs w:val="24"/>
        </w:rPr>
        <w:t xml:space="preserve"> </w:t>
      </w:r>
      <w:r>
        <w:rPr>
          <w:rFonts w:ascii="Arial" w:hAnsi="Arial" w:cs="Arial"/>
          <w:iCs/>
          <w:sz w:val="24"/>
          <w:szCs w:val="24"/>
        </w:rPr>
        <w:t xml:space="preserve">Section 9 </w:t>
      </w:r>
      <w:r w:rsidR="006A7FDB">
        <w:rPr>
          <w:rFonts w:ascii="Arial" w:hAnsi="Arial" w:cs="Arial"/>
          <w:iCs/>
          <w:sz w:val="24"/>
          <w:szCs w:val="24"/>
        </w:rPr>
        <w:t xml:space="preserve">(1) </w:t>
      </w:r>
      <w:r>
        <w:rPr>
          <w:rFonts w:ascii="Arial" w:hAnsi="Arial" w:cs="Arial"/>
          <w:iCs/>
          <w:sz w:val="24"/>
          <w:szCs w:val="24"/>
        </w:rPr>
        <w:t xml:space="preserve">(k) of the CLSORPA was introduced at that time. It requires a unit seller to disclose information about a regulated swimming pool </w:t>
      </w:r>
      <w:r w:rsidR="006A7FDB">
        <w:rPr>
          <w:rFonts w:ascii="Arial" w:hAnsi="Arial" w:cs="Arial"/>
          <w:iCs/>
          <w:sz w:val="24"/>
          <w:szCs w:val="24"/>
        </w:rPr>
        <w:t xml:space="preserve">on both the property being sold as well as any pool on the common property of a units plan. </w:t>
      </w:r>
    </w:p>
    <w:p w14:paraId="40C8D8C0" w14:textId="47DDE2C4" w:rsidR="006A7FDB" w:rsidRDefault="006A7FDB" w:rsidP="00D42B20">
      <w:pPr>
        <w:rPr>
          <w:rFonts w:ascii="Arial" w:hAnsi="Arial" w:cs="Arial"/>
          <w:iCs/>
          <w:sz w:val="24"/>
          <w:szCs w:val="24"/>
        </w:rPr>
      </w:pPr>
      <w:r>
        <w:rPr>
          <w:rFonts w:ascii="Arial" w:hAnsi="Arial" w:cs="Arial"/>
          <w:iCs/>
          <w:sz w:val="24"/>
          <w:szCs w:val="24"/>
        </w:rPr>
        <w:t xml:space="preserve">However, separately to this, section 9 (1) (g) </w:t>
      </w:r>
      <w:r w:rsidR="0008262C">
        <w:rPr>
          <w:rFonts w:ascii="Arial" w:hAnsi="Arial" w:cs="Arial"/>
          <w:iCs/>
          <w:sz w:val="24"/>
          <w:szCs w:val="24"/>
        </w:rPr>
        <w:t xml:space="preserve">(i) (B) </w:t>
      </w:r>
      <w:r>
        <w:rPr>
          <w:rFonts w:ascii="Arial" w:hAnsi="Arial" w:cs="Arial"/>
          <w:iCs/>
          <w:sz w:val="24"/>
          <w:szCs w:val="24"/>
        </w:rPr>
        <w:t xml:space="preserve">requires that a unit seller must also provide a unit buyer with a unit title sale certificate for the unit being sold. </w:t>
      </w:r>
    </w:p>
    <w:p w14:paraId="58A046AB" w14:textId="50E15D16" w:rsidR="006A7FDB" w:rsidRPr="006A7FDB" w:rsidRDefault="006A7FDB" w:rsidP="00D42B20">
      <w:pPr>
        <w:rPr>
          <w:rFonts w:ascii="Arial" w:hAnsi="Arial" w:cs="Arial"/>
          <w:iCs/>
          <w:sz w:val="24"/>
          <w:szCs w:val="24"/>
        </w:rPr>
      </w:pPr>
      <w:r>
        <w:rPr>
          <w:rFonts w:ascii="Arial" w:hAnsi="Arial" w:cs="Arial"/>
          <w:iCs/>
          <w:sz w:val="24"/>
          <w:szCs w:val="24"/>
        </w:rPr>
        <w:t xml:space="preserve">A unit title sale certificate can be requested by a unit owner from the owners corporation under the </w:t>
      </w:r>
      <w:r w:rsidRPr="006E77B4">
        <w:rPr>
          <w:rFonts w:ascii="Arial" w:hAnsi="Arial" w:cs="Arial"/>
          <w:i/>
          <w:sz w:val="24"/>
          <w:szCs w:val="24"/>
        </w:rPr>
        <w:t>Unit Titles (Management) Act 2011</w:t>
      </w:r>
      <w:r>
        <w:rPr>
          <w:rFonts w:ascii="Arial" w:hAnsi="Arial" w:cs="Arial"/>
          <w:i/>
          <w:sz w:val="24"/>
          <w:szCs w:val="24"/>
        </w:rPr>
        <w:t xml:space="preserve"> </w:t>
      </w:r>
      <w:r>
        <w:rPr>
          <w:rFonts w:ascii="Arial" w:hAnsi="Arial" w:cs="Arial"/>
          <w:iCs/>
          <w:sz w:val="24"/>
          <w:szCs w:val="24"/>
        </w:rPr>
        <w:t>(UTMA)</w:t>
      </w:r>
      <w:r>
        <w:rPr>
          <w:rFonts w:ascii="Arial" w:hAnsi="Arial" w:cs="Arial"/>
          <w:i/>
          <w:sz w:val="24"/>
          <w:szCs w:val="24"/>
        </w:rPr>
        <w:t xml:space="preserve">. </w:t>
      </w:r>
      <w:r>
        <w:rPr>
          <w:rFonts w:ascii="Arial" w:hAnsi="Arial" w:cs="Arial"/>
          <w:iCs/>
          <w:sz w:val="24"/>
          <w:szCs w:val="24"/>
        </w:rPr>
        <w:t xml:space="preserve">The UTMA also allows the Minister to determine the information that must be included in a unit title sale certificate. </w:t>
      </w:r>
    </w:p>
    <w:p w14:paraId="2C98CCAF" w14:textId="2EBCF533" w:rsidR="005202AC" w:rsidRDefault="006A7FDB" w:rsidP="00D42B20">
      <w:pPr>
        <w:rPr>
          <w:rFonts w:ascii="Arial" w:hAnsi="Arial" w:cs="Arial"/>
          <w:iCs/>
          <w:sz w:val="24"/>
          <w:szCs w:val="24"/>
        </w:rPr>
      </w:pPr>
      <w:r>
        <w:rPr>
          <w:rFonts w:ascii="Arial" w:hAnsi="Arial" w:cs="Arial"/>
          <w:iCs/>
          <w:sz w:val="24"/>
          <w:szCs w:val="24"/>
        </w:rPr>
        <w:t>T</w:t>
      </w:r>
      <w:r w:rsidR="00AD4230" w:rsidRPr="00AD4230">
        <w:rPr>
          <w:rFonts w:ascii="Arial" w:hAnsi="Arial" w:cs="Arial"/>
          <w:iCs/>
          <w:sz w:val="24"/>
          <w:szCs w:val="24"/>
        </w:rPr>
        <w:t xml:space="preserve">he </w:t>
      </w:r>
      <w:r w:rsidR="00AD4230" w:rsidRPr="006E77B4">
        <w:rPr>
          <w:rFonts w:ascii="Arial" w:hAnsi="Arial" w:cs="Arial"/>
          <w:i/>
          <w:sz w:val="24"/>
          <w:szCs w:val="24"/>
        </w:rPr>
        <w:t>Unit Titles (Sales Certificate) Determination 2024 (No 2)</w:t>
      </w:r>
      <w:r w:rsidRPr="00AD4230" w:rsidDel="006A7FDB">
        <w:rPr>
          <w:rFonts w:ascii="Arial" w:hAnsi="Arial" w:cs="Arial"/>
          <w:iCs/>
          <w:sz w:val="24"/>
          <w:szCs w:val="24"/>
        </w:rPr>
        <w:t xml:space="preserve"> </w:t>
      </w:r>
      <w:r>
        <w:rPr>
          <w:rFonts w:ascii="Arial" w:hAnsi="Arial" w:cs="Arial"/>
          <w:iCs/>
          <w:sz w:val="24"/>
          <w:szCs w:val="24"/>
        </w:rPr>
        <w:t xml:space="preserve">indicates that the owners corporation must </w:t>
      </w:r>
      <w:r w:rsidR="00AD4230" w:rsidRPr="00AD4230">
        <w:rPr>
          <w:rFonts w:ascii="Arial" w:hAnsi="Arial" w:cs="Arial"/>
          <w:iCs/>
          <w:sz w:val="24"/>
          <w:szCs w:val="24"/>
        </w:rPr>
        <w:t xml:space="preserve">include information about swimming pool safety barriers </w:t>
      </w:r>
      <w:r>
        <w:rPr>
          <w:rFonts w:ascii="Arial" w:hAnsi="Arial" w:cs="Arial"/>
          <w:iCs/>
          <w:sz w:val="24"/>
          <w:szCs w:val="24"/>
        </w:rPr>
        <w:t xml:space="preserve">relating to any regulated swimming pool </w:t>
      </w:r>
      <w:r w:rsidR="00AD4230" w:rsidRPr="00AD4230">
        <w:rPr>
          <w:rFonts w:ascii="Arial" w:hAnsi="Arial" w:cs="Arial"/>
          <w:iCs/>
          <w:sz w:val="24"/>
          <w:szCs w:val="24"/>
        </w:rPr>
        <w:t xml:space="preserve">on the common property of the units plan. </w:t>
      </w:r>
      <w:r>
        <w:rPr>
          <w:rFonts w:ascii="Arial" w:hAnsi="Arial" w:cs="Arial"/>
          <w:iCs/>
          <w:sz w:val="24"/>
          <w:szCs w:val="24"/>
        </w:rPr>
        <w:t>This means that</w:t>
      </w:r>
      <w:r w:rsidR="0008262C">
        <w:rPr>
          <w:rFonts w:ascii="Arial" w:hAnsi="Arial" w:cs="Arial"/>
          <w:iCs/>
          <w:sz w:val="24"/>
          <w:szCs w:val="24"/>
        </w:rPr>
        <w:t>,</w:t>
      </w:r>
      <w:r>
        <w:rPr>
          <w:rFonts w:ascii="Arial" w:hAnsi="Arial" w:cs="Arial"/>
          <w:iCs/>
          <w:sz w:val="24"/>
          <w:szCs w:val="24"/>
        </w:rPr>
        <w:t xml:space="preserve"> at present</w:t>
      </w:r>
      <w:r w:rsidR="0008262C">
        <w:rPr>
          <w:rFonts w:ascii="Arial" w:hAnsi="Arial" w:cs="Arial"/>
          <w:iCs/>
          <w:sz w:val="24"/>
          <w:szCs w:val="24"/>
        </w:rPr>
        <w:t>,</w:t>
      </w:r>
      <w:r>
        <w:rPr>
          <w:rFonts w:ascii="Arial" w:hAnsi="Arial" w:cs="Arial"/>
          <w:iCs/>
          <w:sz w:val="24"/>
          <w:szCs w:val="24"/>
        </w:rPr>
        <w:t xml:space="preserve"> a unit seller is required to provide information about the safety barriers for regulated swimming pools on common property under both section</w:t>
      </w:r>
      <w:r w:rsidR="00D22A93">
        <w:rPr>
          <w:rFonts w:ascii="Arial" w:hAnsi="Arial" w:cs="Arial"/>
          <w:iCs/>
          <w:sz w:val="24"/>
          <w:szCs w:val="24"/>
        </w:rPr>
        <w:t> </w:t>
      </w:r>
      <w:r>
        <w:rPr>
          <w:rFonts w:ascii="Arial" w:hAnsi="Arial" w:cs="Arial"/>
          <w:iCs/>
          <w:sz w:val="24"/>
          <w:szCs w:val="24"/>
        </w:rPr>
        <w:t xml:space="preserve">9 (1) (g) </w:t>
      </w:r>
      <w:r w:rsidR="0008262C">
        <w:rPr>
          <w:rFonts w:ascii="Arial" w:hAnsi="Arial" w:cs="Arial"/>
          <w:iCs/>
          <w:sz w:val="24"/>
          <w:szCs w:val="24"/>
        </w:rPr>
        <w:t xml:space="preserve">(i) (B) </w:t>
      </w:r>
      <w:r>
        <w:rPr>
          <w:rFonts w:ascii="Arial" w:hAnsi="Arial" w:cs="Arial"/>
          <w:iCs/>
          <w:sz w:val="24"/>
          <w:szCs w:val="24"/>
        </w:rPr>
        <w:t xml:space="preserve">and 9 (1) (k). </w:t>
      </w:r>
    </w:p>
    <w:p w14:paraId="161EE525" w14:textId="763A1086" w:rsidR="00AD4230" w:rsidRPr="000D192F" w:rsidRDefault="00AD4230" w:rsidP="00D42B20">
      <w:pPr>
        <w:rPr>
          <w:rFonts w:ascii="Arial" w:hAnsi="Arial" w:cs="Arial"/>
          <w:iCs/>
          <w:sz w:val="24"/>
          <w:szCs w:val="24"/>
        </w:rPr>
      </w:pPr>
      <w:r>
        <w:rPr>
          <w:rFonts w:ascii="Arial" w:hAnsi="Arial" w:cs="Arial"/>
          <w:iCs/>
          <w:sz w:val="24"/>
          <w:szCs w:val="24"/>
        </w:rPr>
        <w:t>This amendment will ensure that there is no duplication in the requirement to disclose information relating to swimming pools on the common property of a units plan.</w:t>
      </w:r>
    </w:p>
    <w:p w14:paraId="7AA3BD32" w14:textId="2CE421BA" w:rsidR="00A536CA" w:rsidRDefault="00A536CA" w:rsidP="00D42B20">
      <w:pPr>
        <w:rPr>
          <w:rFonts w:ascii="Arial" w:hAnsi="Arial" w:cs="Arial"/>
          <w:b/>
          <w:bCs/>
          <w:iCs/>
          <w:sz w:val="24"/>
          <w:szCs w:val="24"/>
        </w:rPr>
      </w:pPr>
      <w:r w:rsidRPr="000D192F">
        <w:rPr>
          <w:rFonts w:ascii="Arial" w:hAnsi="Arial" w:cs="Arial"/>
          <w:b/>
          <w:bCs/>
          <w:iCs/>
          <w:sz w:val="24"/>
          <w:szCs w:val="24"/>
        </w:rPr>
        <w:t>Crimes (Sentencing) Act 2005</w:t>
      </w:r>
    </w:p>
    <w:p w14:paraId="0887354B" w14:textId="79ED871F" w:rsidR="00A536CA" w:rsidRDefault="00E03D17" w:rsidP="00D42B20">
      <w:pPr>
        <w:rPr>
          <w:rFonts w:ascii="Arial" w:hAnsi="Arial" w:cs="Arial"/>
          <w:iCs/>
          <w:sz w:val="24"/>
          <w:szCs w:val="24"/>
        </w:rPr>
      </w:pPr>
      <w:r>
        <w:rPr>
          <w:rFonts w:ascii="Arial" w:hAnsi="Arial" w:cs="Arial"/>
          <w:iCs/>
          <w:sz w:val="24"/>
          <w:szCs w:val="24"/>
        </w:rPr>
        <w:t>The</w:t>
      </w:r>
      <w:r w:rsidRPr="00E03D17">
        <w:rPr>
          <w:rFonts w:ascii="Arial" w:hAnsi="Arial" w:cs="Arial"/>
          <w:iCs/>
          <w:sz w:val="24"/>
          <w:szCs w:val="24"/>
        </w:rPr>
        <w:t xml:space="preserve"> </w:t>
      </w:r>
      <w:r w:rsidR="008E6134">
        <w:rPr>
          <w:rFonts w:ascii="Arial" w:hAnsi="Arial" w:cs="Arial"/>
          <w:iCs/>
          <w:sz w:val="24"/>
          <w:szCs w:val="24"/>
        </w:rPr>
        <w:t>Drug and Alcohol Sentencing List (</w:t>
      </w:r>
      <w:r w:rsidRPr="009B2F47">
        <w:rPr>
          <w:rFonts w:ascii="Arial" w:hAnsi="Arial" w:cs="Arial"/>
          <w:b/>
          <w:bCs/>
          <w:iCs/>
          <w:sz w:val="24"/>
          <w:szCs w:val="24"/>
        </w:rPr>
        <w:t>DASL</w:t>
      </w:r>
      <w:r w:rsidR="008E6134" w:rsidRPr="009B2F47">
        <w:rPr>
          <w:rFonts w:ascii="Arial" w:hAnsi="Arial" w:cs="Arial"/>
          <w:iCs/>
          <w:sz w:val="24"/>
          <w:szCs w:val="24"/>
        </w:rPr>
        <w:t>)</w:t>
      </w:r>
      <w:r w:rsidRPr="00E03D17">
        <w:rPr>
          <w:rFonts w:ascii="Arial" w:hAnsi="Arial" w:cs="Arial"/>
          <w:iCs/>
          <w:sz w:val="24"/>
          <w:szCs w:val="24"/>
        </w:rPr>
        <w:t xml:space="preserve"> is a sentencing option in the Supreme Court for people whose drug and alcohol use has contributed to their offending</w:t>
      </w:r>
      <w:r>
        <w:rPr>
          <w:rFonts w:ascii="Arial" w:hAnsi="Arial" w:cs="Arial"/>
          <w:iCs/>
          <w:sz w:val="24"/>
          <w:szCs w:val="24"/>
        </w:rPr>
        <w:t>.</w:t>
      </w:r>
      <w:r w:rsidRPr="00E03D17">
        <w:rPr>
          <w:rFonts w:ascii="Arial" w:hAnsi="Arial" w:cs="Arial"/>
          <w:iCs/>
          <w:sz w:val="24"/>
          <w:szCs w:val="24"/>
        </w:rPr>
        <w:t xml:space="preserve"> </w:t>
      </w:r>
      <w:r w:rsidR="00A536CA">
        <w:rPr>
          <w:rFonts w:ascii="Arial" w:hAnsi="Arial" w:cs="Arial"/>
          <w:iCs/>
          <w:sz w:val="24"/>
          <w:szCs w:val="24"/>
        </w:rPr>
        <w:t xml:space="preserve">This Bill </w:t>
      </w:r>
      <w:r w:rsidR="00845088">
        <w:rPr>
          <w:rFonts w:ascii="Arial" w:hAnsi="Arial" w:cs="Arial"/>
          <w:iCs/>
          <w:sz w:val="24"/>
          <w:szCs w:val="24"/>
        </w:rPr>
        <w:t>insert</w:t>
      </w:r>
      <w:r w:rsidR="009B2F47">
        <w:rPr>
          <w:rFonts w:ascii="Arial" w:hAnsi="Arial" w:cs="Arial"/>
          <w:iCs/>
          <w:sz w:val="24"/>
          <w:szCs w:val="24"/>
        </w:rPr>
        <w:t>s</w:t>
      </w:r>
      <w:r w:rsidR="00845088">
        <w:rPr>
          <w:rFonts w:ascii="Arial" w:hAnsi="Arial" w:cs="Arial"/>
          <w:iCs/>
          <w:sz w:val="24"/>
          <w:szCs w:val="24"/>
        </w:rPr>
        <w:t xml:space="preserve"> a new section, section 80ZBA, which will permit the Magistrates Court to hear and make certain temporary orders for persons subject to a Drug and Alcohol Treatment Order (</w:t>
      </w:r>
      <w:r w:rsidR="00845088" w:rsidRPr="009B2F47">
        <w:rPr>
          <w:rFonts w:ascii="Arial" w:hAnsi="Arial" w:cs="Arial"/>
          <w:b/>
          <w:bCs/>
          <w:iCs/>
          <w:sz w:val="24"/>
          <w:szCs w:val="24"/>
        </w:rPr>
        <w:t>DATO</w:t>
      </w:r>
      <w:r w:rsidR="00845088">
        <w:rPr>
          <w:rFonts w:ascii="Arial" w:hAnsi="Arial" w:cs="Arial"/>
          <w:iCs/>
          <w:sz w:val="24"/>
          <w:szCs w:val="24"/>
        </w:rPr>
        <w:t>), who have been arrested under a warrant for a breach of the DATO (other than by commission of an offence)</w:t>
      </w:r>
      <w:r w:rsidR="009B2F47">
        <w:rPr>
          <w:rFonts w:ascii="Arial" w:hAnsi="Arial" w:cs="Arial"/>
          <w:iCs/>
          <w:sz w:val="24"/>
          <w:szCs w:val="24"/>
        </w:rPr>
        <w:t xml:space="preserve"> when</w:t>
      </w:r>
      <w:r w:rsidR="00845088">
        <w:rPr>
          <w:rFonts w:ascii="Arial" w:hAnsi="Arial" w:cs="Arial"/>
          <w:iCs/>
          <w:sz w:val="24"/>
          <w:szCs w:val="24"/>
        </w:rPr>
        <w:t xml:space="preserve"> the Supreme Court is not sitting</w:t>
      </w:r>
      <w:r w:rsidR="009B2F47">
        <w:rPr>
          <w:rFonts w:ascii="Arial" w:hAnsi="Arial" w:cs="Arial"/>
          <w:iCs/>
          <w:sz w:val="24"/>
          <w:szCs w:val="24"/>
        </w:rPr>
        <w:t xml:space="preserve">. </w:t>
      </w:r>
      <w:r w:rsidR="00845088">
        <w:rPr>
          <w:rFonts w:ascii="Arial" w:hAnsi="Arial" w:cs="Arial"/>
          <w:iCs/>
          <w:sz w:val="24"/>
          <w:szCs w:val="24"/>
        </w:rPr>
        <w:t xml:space="preserve"> The Bill will also make minor amendments to section 80ZB to </w:t>
      </w:r>
      <w:r w:rsidR="008E6134">
        <w:rPr>
          <w:rFonts w:ascii="Arial" w:hAnsi="Arial" w:cs="Arial"/>
          <w:iCs/>
          <w:sz w:val="24"/>
          <w:szCs w:val="24"/>
        </w:rPr>
        <w:t>assist readability</w:t>
      </w:r>
      <w:r w:rsidR="00845088">
        <w:rPr>
          <w:rFonts w:ascii="Arial" w:hAnsi="Arial" w:cs="Arial"/>
          <w:iCs/>
          <w:sz w:val="24"/>
          <w:szCs w:val="24"/>
        </w:rPr>
        <w:t>.</w:t>
      </w:r>
    </w:p>
    <w:p w14:paraId="291C2BE3" w14:textId="51359FD4" w:rsidR="005202AC" w:rsidRPr="00297FBA" w:rsidRDefault="005202AC" w:rsidP="00D42B20">
      <w:pPr>
        <w:rPr>
          <w:rFonts w:ascii="Arial" w:hAnsi="Arial" w:cs="Arial"/>
          <w:iCs/>
          <w:sz w:val="24"/>
          <w:szCs w:val="24"/>
        </w:rPr>
      </w:pPr>
      <w:r w:rsidRPr="005202AC">
        <w:rPr>
          <w:rFonts w:ascii="Arial" w:hAnsi="Arial" w:cs="Arial"/>
          <w:iCs/>
          <w:sz w:val="24"/>
          <w:szCs w:val="24"/>
        </w:rPr>
        <w:t xml:space="preserve">Currently, only the Supreme Court can issue orders under section 80ZB for individuals sentenced to a DATO who breach a treatment order without committing an offence. To address this limitation and maintain the integrity of the DATO, the Supreme Court </w:t>
      </w:r>
      <w:r w:rsidR="00297FBA">
        <w:rPr>
          <w:rFonts w:ascii="Arial" w:hAnsi="Arial" w:cs="Arial"/>
          <w:iCs/>
          <w:sz w:val="24"/>
          <w:szCs w:val="24"/>
        </w:rPr>
        <w:t xml:space="preserve">may </w:t>
      </w:r>
      <w:r w:rsidRPr="005202AC">
        <w:rPr>
          <w:rFonts w:ascii="Arial" w:hAnsi="Arial" w:cs="Arial"/>
          <w:iCs/>
          <w:sz w:val="24"/>
          <w:szCs w:val="24"/>
        </w:rPr>
        <w:t>convene on non-sitting days</w:t>
      </w:r>
      <w:r w:rsidR="00E03D17">
        <w:rPr>
          <w:rFonts w:ascii="Arial" w:hAnsi="Arial" w:cs="Arial"/>
          <w:iCs/>
          <w:sz w:val="24"/>
          <w:szCs w:val="24"/>
        </w:rPr>
        <w:t>, if required to respond to a breach</w:t>
      </w:r>
      <w:r w:rsidRPr="005202AC">
        <w:rPr>
          <w:rFonts w:ascii="Arial" w:hAnsi="Arial" w:cs="Arial"/>
          <w:iCs/>
          <w:sz w:val="24"/>
          <w:szCs w:val="24"/>
        </w:rPr>
        <w:t>. However, this is not ideal because the DASL is resource-intensive and costly</w:t>
      </w:r>
      <w:r>
        <w:rPr>
          <w:rFonts w:ascii="Arial" w:hAnsi="Arial" w:cs="Arial"/>
          <w:iCs/>
          <w:sz w:val="24"/>
          <w:szCs w:val="24"/>
        </w:rPr>
        <w:t>.</w:t>
      </w:r>
      <w:r w:rsidR="00297FBA">
        <w:rPr>
          <w:rFonts w:ascii="Arial" w:hAnsi="Arial" w:cs="Arial"/>
          <w:iCs/>
          <w:sz w:val="24"/>
          <w:szCs w:val="24"/>
        </w:rPr>
        <w:t xml:space="preserve"> Alternatively, the matter will be brought before the Magistrates Court if the Magistrates Court is sitting (such as on a Saturday), however, the Magistrates Court is only permitted to make certain orders pursuant to section 8A of the </w:t>
      </w:r>
      <w:r w:rsidR="00297FBA">
        <w:rPr>
          <w:rFonts w:ascii="Arial" w:hAnsi="Arial" w:cs="Arial"/>
          <w:i/>
          <w:sz w:val="24"/>
          <w:szCs w:val="24"/>
        </w:rPr>
        <w:t>Bail Act 1992</w:t>
      </w:r>
      <w:r w:rsidR="00297FBA">
        <w:rPr>
          <w:rFonts w:ascii="Arial" w:hAnsi="Arial" w:cs="Arial"/>
          <w:iCs/>
          <w:sz w:val="24"/>
          <w:szCs w:val="24"/>
        </w:rPr>
        <w:t>.</w:t>
      </w:r>
    </w:p>
    <w:p w14:paraId="681A7755" w14:textId="23CD6D92" w:rsidR="007F5EF3" w:rsidRPr="000D192F" w:rsidRDefault="005202AC" w:rsidP="00D42B20">
      <w:pPr>
        <w:rPr>
          <w:rFonts w:ascii="Arial" w:hAnsi="Arial" w:cs="Arial"/>
          <w:iCs/>
          <w:sz w:val="24"/>
          <w:szCs w:val="24"/>
        </w:rPr>
      </w:pPr>
      <w:r>
        <w:rPr>
          <w:rFonts w:ascii="Arial" w:hAnsi="Arial" w:cs="Arial"/>
          <w:iCs/>
          <w:sz w:val="24"/>
          <w:szCs w:val="24"/>
        </w:rPr>
        <w:lastRenderedPageBreak/>
        <w:t>This</w:t>
      </w:r>
      <w:r w:rsidR="007F5EF3">
        <w:rPr>
          <w:rFonts w:ascii="Arial" w:hAnsi="Arial" w:cs="Arial"/>
          <w:iCs/>
          <w:sz w:val="24"/>
          <w:szCs w:val="24"/>
        </w:rPr>
        <w:t xml:space="preserve"> amendment allows </w:t>
      </w:r>
      <w:r w:rsidR="007F5EF3" w:rsidRPr="007F5EF3">
        <w:rPr>
          <w:rFonts w:ascii="Arial" w:hAnsi="Arial" w:cs="Arial"/>
          <w:iCs/>
          <w:sz w:val="24"/>
          <w:szCs w:val="24"/>
        </w:rPr>
        <w:t xml:space="preserve">the Magistrates Court to take </w:t>
      </w:r>
      <w:r w:rsidR="00E03D17">
        <w:rPr>
          <w:rFonts w:ascii="Arial" w:hAnsi="Arial" w:cs="Arial"/>
          <w:iCs/>
          <w:sz w:val="24"/>
          <w:szCs w:val="24"/>
        </w:rPr>
        <w:t xml:space="preserve">certain </w:t>
      </w:r>
      <w:r w:rsidR="007F5EF3" w:rsidRPr="007F5EF3">
        <w:rPr>
          <w:rFonts w:ascii="Arial" w:hAnsi="Arial" w:cs="Arial"/>
          <w:iCs/>
          <w:sz w:val="24"/>
          <w:szCs w:val="24"/>
        </w:rPr>
        <w:t xml:space="preserve">actions under </w:t>
      </w:r>
      <w:r w:rsidR="00297FBA">
        <w:rPr>
          <w:rFonts w:ascii="Arial" w:hAnsi="Arial" w:cs="Arial"/>
          <w:iCs/>
          <w:sz w:val="24"/>
          <w:szCs w:val="24"/>
        </w:rPr>
        <w:t xml:space="preserve">new </w:t>
      </w:r>
      <w:r w:rsidR="007F5EF3" w:rsidRPr="007F5EF3">
        <w:rPr>
          <w:rFonts w:ascii="Arial" w:hAnsi="Arial" w:cs="Arial"/>
          <w:iCs/>
          <w:sz w:val="24"/>
          <w:szCs w:val="24"/>
        </w:rPr>
        <w:t>section</w:t>
      </w:r>
      <w:r w:rsidR="00E03D17">
        <w:rPr>
          <w:rFonts w:ascii="Arial" w:hAnsi="Arial" w:cs="Arial"/>
          <w:iCs/>
          <w:sz w:val="24"/>
          <w:szCs w:val="24"/>
        </w:rPr>
        <w:t> </w:t>
      </w:r>
      <w:r w:rsidR="007F5EF3" w:rsidRPr="007F5EF3">
        <w:rPr>
          <w:rFonts w:ascii="Arial" w:hAnsi="Arial" w:cs="Arial"/>
          <w:iCs/>
          <w:sz w:val="24"/>
          <w:szCs w:val="24"/>
        </w:rPr>
        <w:t>80ZB</w:t>
      </w:r>
      <w:r w:rsidR="00297FBA">
        <w:rPr>
          <w:rFonts w:ascii="Arial" w:hAnsi="Arial" w:cs="Arial"/>
          <w:iCs/>
          <w:sz w:val="24"/>
          <w:szCs w:val="24"/>
        </w:rPr>
        <w:t>A</w:t>
      </w:r>
      <w:r w:rsidR="007F5EF3" w:rsidRPr="007F5EF3">
        <w:rPr>
          <w:rFonts w:ascii="Arial" w:hAnsi="Arial" w:cs="Arial"/>
          <w:iCs/>
          <w:sz w:val="24"/>
          <w:szCs w:val="24"/>
        </w:rPr>
        <w:t xml:space="preserve">, </w:t>
      </w:r>
      <w:r w:rsidR="00297FBA">
        <w:rPr>
          <w:rFonts w:ascii="Arial" w:hAnsi="Arial" w:cs="Arial"/>
          <w:iCs/>
          <w:sz w:val="24"/>
          <w:szCs w:val="24"/>
        </w:rPr>
        <w:t xml:space="preserve">to give a warning, require the offender to comply with 1 or more conditions as set out in section 80ZB(1)(d) (such as staying at a stated place, or not driving a car), and </w:t>
      </w:r>
      <w:r w:rsidR="009B2F47">
        <w:rPr>
          <w:rFonts w:ascii="Arial" w:hAnsi="Arial" w:cs="Arial"/>
          <w:iCs/>
          <w:sz w:val="24"/>
          <w:szCs w:val="24"/>
        </w:rPr>
        <w:t xml:space="preserve">make </w:t>
      </w:r>
      <w:r w:rsidR="00297FBA">
        <w:rPr>
          <w:rFonts w:ascii="Arial" w:hAnsi="Arial" w:cs="Arial"/>
          <w:iCs/>
          <w:sz w:val="24"/>
          <w:szCs w:val="24"/>
        </w:rPr>
        <w:t>an order temporarily cancelling the suspension of the sentence of imprisonment until the next day on which the Supreme Court is sitting</w:t>
      </w:r>
      <w:r w:rsidR="007F5EF3" w:rsidRPr="007F5EF3">
        <w:rPr>
          <w:rFonts w:ascii="Arial" w:hAnsi="Arial" w:cs="Arial"/>
          <w:iCs/>
          <w:sz w:val="24"/>
          <w:szCs w:val="24"/>
        </w:rPr>
        <w:t>.</w:t>
      </w:r>
      <w:r w:rsidR="007F5EF3">
        <w:rPr>
          <w:rFonts w:ascii="Arial" w:hAnsi="Arial" w:cs="Arial"/>
          <w:iCs/>
          <w:sz w:val="24"/>
          <w:szCs w:val="24"/>
        </w:rPr>
        <w:t xml:space="preserve"> </w:t>
      </w:r>
      <w:r w:rsidR="00AD4230">
        <w:rPr>
          <w:rFonts w:ascii="Arial" w:hAnsi="Arial" w:cs="Arial"/>
          <w:iCs/>
          <w:sz w:val="24"/>
          <w:szCs w:val="24"/>
        </w:rPr>
        <w:t>Th</w:t>
      </w:r>
      <w:r w:rsidR="00E03D17">
        <w:rPr>
          <w:rFonts w:ascii="Arial" w:hAnsi="Arial" w:cs="Arial"/>
          <w:iCs/>
          <w:sz w:val="24"/>
          <w:szCs w:val="24"/>
        </w:rPr>
        <w:t xml:space="preserve">is </w:t>
      </w:r>
      <w:r w:rsidR="00AD4230">
        <w:rPr>
          <w:rFonts w:ascii="Arial" w:hAnsi="Arial" w:cs="Arial"/>
          <w:iCs/>
          <w:sz w:val="24"/>
          <w:szCs w:val="24"/>
        </w:rPr>
        <w:t xml:space="preserve">will allow the Magistrates Court to make orders or arrangements that </w:t>
      </w:r>
      <w:r w:rsidR="00E03D17">
        <w:rPr>
          <w:rFonts w:ascii="Arial" w:hAnsi="Arial" w:cs="Arial"/>
          <w:iCs/>
          <w:sz w:val="24"/>
          <w:szCs w:val="24"/>
        </w:rPr>
        <w:t xml:space="preserve">will only </w:t>
      </w:r>
      <w:r w:rsidR="00AD4230">
        <w:rPr>
          <w:rFonts w:ascii="Arial" w:hAnsi="Arial" w:cs="Arial"/>
          <w:iCs/>
          <w:sz w:val="24"/>
          <w:szCs w:val="24"/>
        </w:rPr>
        <w:t xml:space="preserve">apply in the short time </w:t>
      </w:r>
      <w:r w:rsidR="00E03D17">
        <w:rPr>
          <w:rFonts w:ascii="Arial" w:hAnsi="Arial" w:cs="Arial"/>
          <w:iCs/>
          <w:sz w:val="24"/>
          <w:szCs w:val="24"/>
        </w:rPr>
        <w:t>until</w:t>
      </w:r>
      <w:r w:rsidR="00AD4230">
        <w:rPr>
          <w:rFonts w:ascii="Arial" w:hAnsi="Arial" w:cs="Arial"/>
          <w:iCs/>
          <w:sz w:val="24"/>
          <w:szCs w:val="24"/>
        </w:rPr>
        <w:t xml:space="preserve"> the Supreme Court sit</w:t>
      </w:r>
      <w:r w:rsidR="00E03D17">
        <w:rPr>
          <w:rFonts w:ascii="Arial" w:hAnsi="Arial" w:cs="Arial"/>
          <w:iCs/>
          <w:sz w:val="24"/>
          <w:szCs w:val="24"/>
        </w:rPr>
        <w:t>s</w:t>
      </w:r>
      <w:r w:rsidR="00AD4230">
        <w:rPr>
          <w:rFonts w:ascii="Arial" w:hAnsi="Arial" w:cs="Arial"/>
          <w:iCs/>
          <w:sz w:val="24"/>
          <w:szCs w:val="24"/>
        </w:rPr>
        <w:t xml:space="preserve"> again</w:t>
      </w:r>
      <w:r w:rsidR="00E03D17">
        <w:rPr>
          <w:rFonts w:ascii="Arial" w:hAnsi="Arial" w:cs="Arial"/>
          <w:iCs/>
          <w:sz w:val="24"/>
          <w:szCs w:val="24"/>
        </w:rPr>
        <w:t>.</w:t>
      </w:r>
      <w:r>
        <w:rPr>
          <w:rFonts w:ascii="Arial" w:hAnsi="Arial" w:cs="Arial"/>
          <w:iCs/>
          <w:sz w:val="24"/>
          <w:szCs w:val="24"/>
        </w:rPr>
        <w:t xml:space="preserve"> </w:t>
      </w:r>
      <w:r w:rsidR="00E03D17">
        <w:rPr>
          <w:rFonts w:ascii="Arial" w:hAnsi="Arial" w:cs="Arial"/>
          <w:iCs/>
          <w:sz w:val="24"/>
          <w:szCs w:val="24"/>
        </w:rPr>
        <w:t>This</w:t>
      </w:r>
      <w:r>
        <w:rPr>
          <w:rFonts w:ascii="Arial" w:hAnsi="Arial" w:cs="Arial"/>
          <w:iCs/>
          <w:sz w:val="24"/>
          <w:szCs w:val="24"/>
        </w:rPr>
        <w:t xml:space="preserve"> </w:t>
      </w:r>
      <w:r w:rsidR="00297FBA">
        <w:rPr>
          <w:rFonts w:ascii="Arial" w:hAnsi="Arial" w:cs="Arial"/>
          <w:iCs/>
          <w:sz w:val="24"/>
          <w:szCs w:val="24"/>
        </w:rPr>
        <w:t xml:space="preserve">may better protect the individual by responding to breaches quickly to curb problematic behaviour, provide protection to the community in circumstances where a person has not been complying with their DATO and </w:t>
      </w:r>
      <w:r>
        <w:rPr>
          <w:rFonts w:ascii="Arial" w:hAnsi="Arial" w:cs="Arial"/>
          <w:iCs/>
          <w:sz w:val="24"/>
          <w:szCs w:val="24"/>
        </w:rPr>
        <w:t xml:space="preserve">increase efficiency within </w:t>
      </w:r>
      <w:r w:rsidR="00E03D17">
        <w:rPr>
          <w:rFonts w:ascii="Arial" w:hAnsi="Arial" w:cs="Arial"/>
          <w:iCs/>
          <w:sz w:val="24"/>
          <w:szCs w:val="24"/>
        </w:rPr>
        <w:t xml:space="preserve">the </w:t>
      </w:r>
      <w:r>
        <w:rPr>
          <w:rFonts w:ascii="Arial" w:hAnsi="Arial" w:cs="Arial"/>
          <w:iCs/>
          <w:sz w:val="24"/>
          <w:szCs w:val="24"/>
        </w:rPr>
        <w:t xml:space="preserve">ACT’s Court procedures. </w:t>
      </w:r>
    </w:p>
    <w:p w14:paraId="65655199" w14:textId="39AD7530" w:rsidR="00D42B20" w:rsidRPr="000D192F" w:rsidRDefault="00D42B20" w:rsidP="00D42B20">
      <w:pPr>
        <w:rPr>
          <w:rFonts w:ascii="Arial" w:hAnsi="Arial" w:cs="Arial"/>
          <w:b/>
          <w:bCs/>
          <w:sz w:val="24"/>
          <w:szCs w:val="24"/>
        </w:rPr>
      </w:pPr>
      <w:r w:rsidRPr="000D192F">
        <w:rPr>
          <w:rFonts w:ascii="Arial" w:hAnsi="Arial" w:cs="Arial"/>
          <w:b/>
          <w:bCs/>
          <w:sz w:val="24"/>
          <w:szCs w:val="24"/>
        </w:rPr>
        <w:t>Discrimination Act 1991</w:t>
      </w:r>
    </w:p>
    <w:p w14:paraId="78AF16D3" w14:textId="7CCF7EDF" w:rsidR="00D42B20" w:rsidRDefault="00AA6225" w:rsidP="00D42B20">
      <w:pPr>
        <w:rPr>
          <w:rFonts w:ascii="Arial" w:hAnsi="Arial" w:cs="Arial"/>
          <w:iCs/>
          <w:sz w:val="24"/>
          <w:szCs w:val="24"/>
        </w:rPr>
      </w:pPr>
      <w:r>
        <w:rPr>
          <w:rFonts w:ascii="Arial" w:hAnsi="Arial" w:cs="Arial"/>
          <w:sz w:val="24"/>
          <w:szCs w:val="24"/>
        </w:rPr>
        <w:t xml:space="preserve">The Bill will </w:t>
      </w:r>
      <w:r w:rsidR="00D42B20" w:rsidRPr="00E26B3A">
        <w:rPr>
          <w:rFonts w:ascii="Arial" w:hAnsi="Arial" w:cs="Arial"/>
          <w:sz w:val="24"/>
          <w:szCs w:val="24"/>
        </w:rPr>
        <w:t>update</w:t>
      </w:r>
      <w:r>
        <w:rPr>
          <w:rFonts w:ascii="Arial" w:hAnsi="Arial" w:cs="Arial"/>
          <w:sz w:val="24"/>
          <w:szCs w:val="24"/>
        </w:rPr>
        <w:t xml:space="preserve"> </w:t>
      </w:r>
      <w:r w:rsidR="00D42B20" w:rsidRPr="00E26B3A">
        <w:rPr>
          <w:rFonts w:ascii="Arial" w:hAnsi="Arial" w:cs="Arial"/>
          <w:sz w:val="24"/>
          <w:szCs w:val="24"/>
        </w:rPr>
        <w:t xml:space="preserve">the definition of </w:t>
      </w:r>
      <w:r w:rsidR="00D42B20" w:rsidRPr="00E26B3A">
        <w:rPr>
          <w:rFonts w:ascii="Arial" w:hAnsi="Arial" w:cs="Arial"/>
          <w:i/>
          <w:iCs/>
          <w:sz w:val="24"/>
          <w:szCs w:val="24"/>
        </w:rPr>
        <w:t xml:space="preserve">irrelevant criminal record </w:t>
      </w:r>
      <w:r w:rsidR="00D42B20">
        <w:rPr>
          <w:rFonts w:ascii="Arial" w:hAnsi="Arial" w:cs="Arial"/>
          <w:sz w:val="24"/>
          <w:szCs w:val="24"/>
        </w:rPr>
        <w:t>in</w:t>
      </w:r>
      <w:r w:rsidR="00D42B20" w:rsidRPr="00E26B3A">
        <w:rPr>
          <w:rFonts w:ascii="Arial" w:hAnsi="Arial" w:cs="Arial"/>
          <w:sz w:val="24"/>
          <w:szCs w:val="24"/>
        </w:rPr>
        <w:t xml:space="preserve"> the </w:t>
      </w:r>
      <w:r w:rsidR="00D42B20" w:rsidRPr="009A1F04">
        <w:rPr>
          <w:rFonts w:ascii="Arial" w:hAnsi="Arial" w:cs="Arial"/>
          <w:i/>
          <w:iCs/>
          <w:sz w:val="24"/>
          <w:szCs w:val="24"/>
        </w:rPr>
        <w:t>Discrimination Act 1991</w:t>
      </w:r>
      <w:r w:rsidR="00D42B20">
        <w:rPr>
          <w:rFonts w:ascii="Arial" w:hAnsi="Arial" w:cs="Arial"/>
          <w:sz w:val="24"/>
          <w:szCs w:val="24"/>
        </w:rPr>
        <w:t xml:space="preserve"> to address a misalignment between this definition and the </w:t>
      </w:r>
      <w:r w:rsidR="00D42B20" w:rsidRPr="00E26B3A">
        <w:rPr>
          <w:rFonts w:ascii="Arial" w:hAnsi="Arial" w:cs="Arial"/>
          <w:i/>
          <w:sz w:val="24"/>
          <w:szCs w:val="24"/>
        </w:rPr>
        <w:t xml:space="preserve">Spent Convictions Act </w:t>
      </w:r>
      <w:r w:rsidR="00D42B20" w:rsidRPr="00D42B20">
        <w:rPr>
          <w:rFonts w:ascii="Arial" w:hAnsi="Arial" w:cs="Arial"/>
          <w:i/>
          <w:sz w:val="24"/>
          <w:szCs w:val="24"/>
        </w:rPr>
        <w:t>2000</w:t>
      </w:r>
      <w:r w:rsidR="00D42B20">
        <w:rPr>
          <w:rFonts w:ascii="Arial" w:hAnsi="Arial" w:cs="Arial"/>
          <w:iCs/>
          <w:sz w:val="24"/>
          <w:szCs w:val="24"/>
        </w:rPr>
        <w:t>.</w:t>
      </w:r>
    </w:p>
    <w:p w14:paraId="700BA698" w14:textId="3DBFF85F" w:rsidR="00D42B20" w:rsidRPr="009A1F04" w:rsidRDefault="00D42B20" w:rsidP="00D42B20">
      <w:pPr>
        <w:rPr>
          <w:rFonts w:ascii="Arial" w:hAnsi="Arial" w:cs="Arial"/>
          <w:iCs/>
          <w:sz w:val="24"/>
          <w:szCs w:val="24"/>
        </w:rPr>
      </w:pPr>
      <w:r>
        <w:rPr>
          <w:rFonts w:ascii="Arial" w:hAnsi="Arial" w:cs="Arial"/>
          <w:iCs/>
          <w:sz w:val="24"/>
          <w:szCs w:val="24"/>
        </w:rPr>
        <w:t xml:space="preserve">The current definition in the Discrimination Act treats spent convictions as </w:t>
      </w:r>
      <w:r w:rsidRPr="009A1F04">
        <w:rPr>
          <w:rFonts w:ascii="Arial" w:hAnsi="Arial" w:cs="Arial"/>
          <w:iCs/>
          <w:sz w:val="24"/>
          <w:szCs w:val="24"/>
        </w:rPr>
        <w:t>irrelevant criminal records.</w:t>
      </w:r>
      <w:r>
        <w:rPr>
          <w:rFonts w:ascii="Arial" w:hAnsi="Arial" w:cs="Arial"/>
          <w:iCs/>
          <w:sz w:val="24"/>
          <w:szCs w:val="24"/>
        </w:rPr>
        <w:t xml:space="preserve"> This does not take into account the </w:t>
      </w:r>
      <w:r w:rsidRPr="00D42B20">
        <w:rPr>
          <w:rFonts w:ascii="Arial" w:hAnsi="Arial" w:cs="Arial"/>
          <w:iCs/>
          <w:sz w:val="24"/>
          <w:szCs w:val="24"/>
        </w:rPr>
        <w:t xml:space="preserve">exclusions in section 19 </w:t>
      </w:r>
      <w:r>
        <w:rPr>
          <w:rFonts w:ascii="Arial" w:hAnsi="Arial" w:cs="Arial"/>
          <w:iCs/>
          <w:sz w:val="24"/>
          <w:szCs w:val="24"/>
        </w:rPr>
        <w:t xml:space="preserve">of the Spent Convictions Act, </w:t>
      </w:r>
      <w:r w:rsidRPr="00D42B20">
        <w:rPr>
          <w:rFonts w:ascii="Arial" w:hAnsi="Arial" w:cs="Arial"/>
          <w:iCs/>
          <w:sz w:val="24"/>
          <w:szCs w:val="24"/>
        </w:rPr>
        <w:t xml:space="preserve">which in effect allow a person’s spent conviction to be considered in some circumstances (for example, when applying for a position relating to the care of children). </w:t>
      </w:r>
      <w:r w:rsidRPr="009A1F04">
        <w:rPr>
          <w:rFonts w:ascii="Arial" w:hAnsi="Arial" w:cs="Arial"/>
          <w:iCs/>
          <w:sz w:val="24"/>
          <w:szCs w:val="24"/>
        </w:rPr>
        <w:t>The issue arose in</w:t>
      </w:r>
      <w:r w:rsidR="00AA6225">
        <w:rPr>
          <w:rFonts w:ascii="Arial" w:hAnsi="Arial" w:cs="Arial"/>
          <w:iCs/>
          <w:sz w:val="24"/>
          <w:szCs w:val="24"/>
        </w:rPr>
        <w:t xml:space="preserve"> the ACAT decision of</w:t>
      </w:r>
      <w:r w:rsidRPr="009A1F04">
        <w:rPr>
          <w:rFonts w:ascii="Arial" w:hAnsi="Arial" w:cs="Arial"/>
          <w:iCs/>
          <w:sz w:val="24"/>
          <w:szCs w:val="24"/>
        </w:rPr>
        <w:t xml:space="preserve"> </w:t>
      </w:r>
      <w:r w:rsidRPr="009A1F04">
        <w:rPr>
          <w:rFonts w:ascii="Arial" w:hAnsi="Arial" w:cs="Arial"/>
          <w:i/>
          <w:sz w:val="24"/>
          <w:szCs w:val="24"/>
        </w:rPr>
        <w:t>Complainant 202012 v ACT</w:t>
      </w:r>
      <w:r w:rsidRPr="009A1F04">
        <w:rPr>
          <w:rFonts w:ascii="Arial" w:hAnsi="Arial" w:cs="Arial"/>
          <w:iCs/>
          <w:sz w:val="24"/>
          <w:szCs w:val="24"/>
        </w:rPr>
        <w:t xml:space="preserve"> (as represented by the Director-General, Community Services Directorate) [2023] ACAT 17 in which Children, Youth and Families looked at a person’s spent convictions to determine whether she was suitable to be a kinship carer.</w:t>
      </w:r>
      <w:r w:rsidRPr="00C86E6F">
        <w:t xml:space="preserve"> </w:t>
      </w:r>
      <w:r w:rsidR="00AA6225">
        <w:rPr>
          <w:rFonts w:ascii="Arial" w:hAnsi="Arial" w:cs="Arial"/>
          <w:iCs/>
          <w:sz w:val="24"/>
          <w:szCs w:val="24"/>
        </w:rPr>
        <w:t>On a strict reading of the Discrimination Act, this could constitute unlawful discrimination. T</w:t>
      </w:r>
      <w:r w:rsidR="00AA6225" w:rsidRPr="000D192F">
        <w:rPr>
          <w:rFonts w:ascii="Arial" w:hAnsi="Arial" w:cs="Arial"/>
          <w:iCs/>
          <w:sz w:val="24"/>
          <w:szCs w:val="24"/>
        </w:rPr>
        <w:t>he Tribunal commented at [82] that “it is not difficult to see how a simple amendment could resolve the issue”</w:t>
      </w:r>
      <w:r w:rsidR="00AA6225">
        <w:rPr>
          <w:rFonts w:ascii="Arial" w:hAnsi="Arial" w:cs="Arial"/>
          <w:iCs/>
          <w:sz w:val="24"/>
          <w:szCs w:val="24"/>
        </w:rPr>
        <w:t xml:space="preserve"> of the apparent inconsistency between the two Acts</w:t>
      </w:r>
      <w:r w:rsidR="00AA6225" w:rsidRPr="000D192F">
        <w:rPr>
          <w:rFonts w:ascii="Arial" w:hAnsi="Arial" w:cs="Arial"/>
          <w:iCs/>
          <w:sz w:val="24"/>
          <w:szCs w:val="24"/>
        </w:rPr>
        <w:t>.</w:t>
      </w:r>
    </w:p>
    <w:p w14:paraId="44B3D67D" w14:textId="521BEA4C" w:rsidR="00D42B20" w:rsidRPr="00A536CA" w:rsidRDefault="00D42B20" w:rsidP="000D192F">
      <w:pPr>
        <w:rPr>
          <w:rFonts w:cs="Arial"/>
          <w:iCs/>
          <w:szCs w:val="24"/>
        </w:rPr>
      </w:pPr>
      <w:r>
        <w:rPr>
          <w:rFonts w:ascii="Arial" w:hAnsi="Arial" w:cs="Arial"/>
          <w:iCs/>
          <w:sz w:val="24"/>
          <w:szCs w:val="24"/>
        </w:rPr>
        <w:t xml:space="preserve">The </w:t>
      </w:r>
      <w:r w:rsidRPr="00D42B20">
        <w:rPr>
          <w:rFonts w:ascii="Arial" w:hAnsi="Arial" w:cs="Arial"/>
          <w:iCs/>
          <w:sz w:val="24"/>
          <w:szCs w:val="24"/>
        </w:rPr>
        <w:t>Bill will amend the definition of an “irrelevant criminal record” under the Discrimination Act, to clarify that requiring a person to disclose information about a criminal record under section 19 of the Spent Convictions Act is not automatically unlawful discrimination on the grounds of irrelevant criminal record</w:t>
      </w:r>
      <w:r w:rsidR="00AA6225">
        <w:rPr>
          <w:rFonts w:ascii="Arial" w:hAnsi="Arial" w:cs="Arial"/>
          <w:iCs/>
          <w:sz w:val="24"/>
          <w:szCs w:val="24"/>
        </w:rPr>
        <w:t xml:space="preserve">. The new definition </w:t>
      </w:r>
      <w:r w:rsidRPr="00D42B20">
        <w:rPr>
          <w:rFonts w:ascii="Arial" w:hAnsi="Arial" w:cs="Arial"/>
          <w:iCs/>
          <w:sz w:val="24"/>
          <w:szCs w:val="24"/>
        </w:rPr>
        <w:t>w</w:t>
      </w:r>
      <w:r w:rsidR="00AA6225">
        <w:rPr>
          <w:rFonts w:ascii="Arial" w:hAnsi="Arial" w:cs="Arial"/>
          <w:iCs/>
          <w:sz w:val="24"/>
          <w:szCs w:val="24"/>
        </w:rPr>
        <w:t>ill continue to</w:t>
      </w:r>
      <w:r w:rsidRPr="00D42B20">
        <w:rPr>
          <w:rFonts w:ascii="Arial" w:hAnsi="Arial" w:cs="Arial"/>
          <w:iCs/>
          <w:sz w:val="24"/>
          <w:szCs w:val="24"/>
        </w:rPr>
        <w:t xml:space="preserve"> ensur</w:t>
      </w:r>
      <w:r w:rsidR="00AA6225">
        <w:rPr>
          <w:rFonts w:ascii="Arial" w:hAnsi="Arial" w:cs="Arial"/>
          <w:iCs/>
          <w:sz w:val="24"/>
          <w:szCs w:val="24"/>
        </w:rPr>
        <w:t>e</w:t>
      </w:r>
      <w:r w:rsidRPr="00D42B20">
        <w:rPr>
          <w:rFonts w:ascii="Arial" w:hAnsi="Arial" w:cs="Arial"/>
          <w:iCs/>
          <w:sz w:val="24"/>
          <w:szCs w:val="24"/>
        </w:rPr>
        <w:t xml:space="preserve"> that any unfavourable treatment </w:t>
      </w:r>
      <w:r w:rsidR="00B63CF5">
        <w:rPr>
          <w:rFonts w:ascii="Arial" w:hAnsi="Arial" w:cs="Arial"/>
          <w:iCs/>
          <w:sz w:val="24"/>
          <w:szCs w:val="24"/>
        </w:rPr>
        <w:t xml:space="preserve">or disadvantage </w:t>
      </w:r>
      <w:r w:rsidRPr="00D42B20">
        <w:rPr>
          <w:rFonts w:ascii="Arial" w:hAnsi="Arial" w:cs="Arial"/>
          <w:iCs/>
          <w:sz w:val="24"/>
          <w:szCs w:val="24"/>
        </w:rPr>
        <w:t>relating to a spent conviction that is actually irrelevant may still amount to unlawful discrimination.</w:t>
      </w:r>
      <w:r w:rsidR="00AA6225">
        <w:rPr>
          <w:rFonts w:ascii="Arial" w:hAnsi="Arial" w:cs="Arial"/>
          <w:iCs/>
          <w:sz w:val="24"/>
          <w:szCs w:val="24"/>
        </w:rPr>
        <w:t xml:space="preserve"> This preserves the policy intent and the protective function of the Discrimination Act.</w:t>
      </w:r>
    </w:p>
    <w:p w14:paraId="5DA9CA25" w14:textId="6E35DCEE" w:rsidR="000A7CE2" w:rsidRDefault="00AD4230" w:rsidP="00E90DF9">
      <w:pPr>
        <w:pStyle w:val="Heading2"/>
      </w:pPr>
      <w:r w:rsidRPr="00B256A2">
        <w:t>Information Privacy Act 2014</w:t>
      </w:r>
    </w:p>
    <w:p w14:paraId="7A8EDA4A" w14:textId="77777777" w:rsidR="00D111D0" w:rsidRDefault="00D111D0" w:rsidP="00AD4230">
      <w:pPr>
        <w:rPr>
          <w:rFonts w:ascii="Arial" w:hAnsi="Arial" w:cs="Arial"/>
          <w:sz w:val="24"/>
          <w:szCs w:val="24"/>
        </w:rPr>
      </w:pPr>
      <w:r w:rsidRPr="000D192F">
        <w:rPr>
          <w:rFonts w:ascii="Arial" w:hAnsi="Arial" w:cs="Arial"/>
          <w:sz w:val="24"/>
          <w:szCs w:val="24"/>
        </w:rPr>
        <w:t>The Bill will create a conciliation framework for complaints under the IP Act, to facilitate better complaints resolution pathways for complainants raising issues about breaches of privacy under the Territory Privacy Principles.</w:t>
      </w:r>
    </w:p>
    <w:p w14:paraId="75E0EF45" w14:textId="695FD667" w:rsidR="005202AC" w:rsidRDefault="00E03D17" w:rsidP="00D111D0">
      <w:pPr>
        <w:rPr>
          <w:rFonts w:ascii="Arial" w:hAnsi="Arial" w:cs="Arial"/>
          <w:sz w:val="24"/>
          <w:szCs w:val="24"/>
        </w:rPr>
      </w:pPr>
      <w:r>
        <w:rPr>
          <w:rFonts w:ascii="Arial" w:hAnsi="Arial" w:cs="Arial"/>
          <w:sz w:val="24"/>
          <w:szCs w:val="24"/>
        </w:rPr>
        <w:lastRenderedPageBreak/>
        <w:t>Currently</w:t>
      </w:r>
      <w:r w:rsidR="005202AC">
        <w:rPr>
          <w:rFonts w:ascii="Arial" w:hAnsi="Arial" w:cs="Arial"/>
          <w:sz w:val="24"/>
          <w:szCs w:val="24"/>
        </w:rPr>
        <w:t xml:space="preserve"> </w:t>
      </w:r>
      <w:r>
        <w:rPr>
          <w:rFonts w:ascii="Arial" w:hAnsi="Arial" w:cs="Arial"/>
          <w:sz w:val="24"/>
          <w:szCs w:val="24"/>
        </w:rPr>
        <w:t xml:space="preserve">under </w:t>
      </w:r>
      <w:r w:rsidR="00D111D0" w:rsidRPr="00D111D0">
        <w:rPr>
          <w:rFonts w:ascii="Arial" w:hAnsi="Arial" w:cs="Arial"/>
          <w:sz w:val="24"/>
          <w:szCs w:val="24"/>
        </w:rPr>
        <w:t xml:space="preserve">the IP Act the IP Commissioner can inquire into and investigate complaints of breaches of privacy under the IP </w:t>
      </w:r>
      <w:r w:rsidR="009F3939" w:rsidRPr="00D111D0">
        <w:rPr>
          <w:rFonts w:ascii="Arial" w:hAnsi="Arial" w:cs="Arial"/>
          <w:sz w:val="24"/>
          <w:szCs w:val="24"/>
        </w:rPr>
        <w:t>Act but</w:t>
      </w:r>
      <w:r w:rsidR="00D111D0" w:rsidRPr="00D111D0">
        <w:rPr>
          <w:rFonts w:ascii="Arial" w:hAnsi="Arial" w:cs="Arial"/>
          <w:sz w:val="24"/>
          <w:szCs w:val="24"/>
        </w:rPr>
        <w:t xml:space="preserve"> has no explicit power to conciliate these matters. Conciliation is intended to be a low-cost, informal and effective way to resolve complaints, which benefits complainants and respondents alike. </w:t>
      </w:r>
    </w:p>
    <w:p w14:paraId="676B923D" w14:textId="0853C29F" w:rsidR="007B5FF4" w:rsidRPr="000D192F" w:rsidRDefault="005202AC" w:rsidP="00D111D0">
      <w:pPr>
        <w:rPr>
          <w:rFonts w:ascii="Arial" w:hAnsi="Arial" w:cs="Arial"/>
          <w:sz w:val="24"/>
          <w:szCs w:val="24"/>
        </w:rPr>
      </w:pPr>
      <w:r>
        <w:rPr>
          <w:rFonts w:ascii="Arial" w:hAnsi="Arial" w:cs="Arial"/>
          <w:sz w:val="24"/>
          <w:szCs w:val="24"/>
        </w:rPr>
        <w:t>This Bill will amend the IP Act to enable the IP Commissioner to conciliate privacy complaints</w:t>
      </w:r>
      <w:r w:rsidR="00E03D17">
        <w:rPr>
          <w:rFonts w:ascii="Arial" w:hAnsi="Arial" w:cs="Arial"/>
          <w:sz w:val="24"/>
          <w:szCs w:val="24"/>
        </w:rPr>
        <w:t>. The amendments</w:t>
      </w:r>
      <w:r>
        <w:rPr>
          <w:rFonts w:ascii="Arial" w:hAnsi="Arial" w:cs="Arial"/>
          <w:sz w:val="24"/>
          <w:szCs w:val="24"/>
        </w:rPr>
        <w:t xml:space="preserve"> will </w:t>
      </w:r>
      <w:r w:rsidR="00B256A2" w:rsidRPr="00B256A2">
        <w:rPr>
          <w:rFonts w:ascii="Arial" w:hAnsi="Arial" w:cs="Arial"/>
          <w:sz w:val="24"/>
          <w:szCs w:val="24"/>
        </w:rPr>
        <w:t xml:space="preserve">mirror the pre-existing framework for conciliation of human rights complaints under the </w:t>
      </w:r>
      <w:r w:rsidR="00B256A2" w:rsidRPr="006E77B4">
        <w:rPr>
          <w:rFonts w:ascii="Arial" w:hAnsi="Arial" w:cs="Arial"/>
          <w:i/>
          <w:iCs/>
          <w:sz w:val="24"/>
          <w:szCs w:val="24"/>
        </w:rPr>
        <w:t>Human Rights Commission Act 2005</w:t>
      </w:r>
      <w:r w:rsidR="00B256A2" w:rsidRPr="00B256A2">
        <w:rPr>
          <w:rFonts w:ascii="Arial" w:hAnsi="Arial" w:cs="Arial"/>
          <w:sz w:val="24"/>
          <w:szCs w:val="24"/>
        </w:rPr>
        <w:t>, which has proven effective in the HRC</w:t>
      </w:r>
      <w:r w:rsidR="00E03D17">
        <w:rPr>
          <w:rFonts w:ascii="Arial" w:hAnsi="Arial" w:cs="Arial"/>
          <w:sz w:val="24"/>
          <w:szCs w:val="24"/>
        </w:rPr>
        <w:t>’s</w:t>
      </w:r>
      <w:r w:rsidR="00B256A2" w:rsidRPr="00B256A2">
        <w:rPr>
          <w:rFonts w:ascii="Arial" w:hAnsi="Arial" w:cs="Arial"/>
          <w:sz w:val="24"/>
          <w:szCs w:val="24"/>
        </w:rPr>
        <w:t xml:space="preserve"> jurisdictions and is familiar to government agencies and members of the public.</w:t>
      </w:r>
      <w:r w:rsidR="00B256A2" w:rsidRPr="00B256A2">
        <w:t xml:space="preserve"> </w:t>
      </w:r>
    </w:p>
    <w:p w14:paraId="1344D05F" w14:textId="05AE6D97" w:rsidR="00B256A2" w:rsidRDefault="005202AC" w:rsidP="00D111D0">
      <w:pPr>
        <w:rPr>
          <w:rFonts w:ascii="Arial" w:hAnsi="Arial" w:cs="Arial"/>
          <w:sz w:val="24"/>
          <w:szCs w:val="24"/>
        </w:rPr>
      </w:pPr>
      <w:r>
        <w:rPr>
          <w:rFonts w:ascii="Arial" w:hAnsi="Arial" w:cs="Arial"/>
          <w:sz w:val="24"/>
          <w:szCs w:val="24"/>
        </w:rPr>
        <w:t>Th</w:t>
      </w:r>
      <w:r w:rsidR="00E03D17">
        <w:rPr>
          <w:rFonts w:ascii="Arial" w:hAnsi="Arial" w:cs="Arial"/>
          <w:sz w:val="24"/>
          <w:szCs w:val="24"/>
        </w:rPr>
        <w:t xml:space="preserve">e </w:t>
      </w:r>
      <w:r w:rsidR="00B256A2" w:rsidRPr="00B256A2">
        <w:rPr>
          <w:rFonts w:ascii="Arial" w:hAnsi="Arial" w:cs="Arial"/>
          <w:sz w:val="24"/>
          <w:szCs w:val="24"/>
        </w:rPr>
        <w:t xml:space="preserve">new conciliation regime </w:t>
      </w:r>
      <w:r w:rsidR="00E03D17">
        <w:rPr>
          <w:rFonts w:ascii="Arial" w:hAnsi="Arial" w:cs="Arial"/>
          <w:sz w:val="24"/>
          <w:szCs w:val="24"/>
        </w:rPr>
        <w:t>will</w:t>
      </w:r>
      <w:r w:rsidR="00B256A2" w:rsidRPr="00B256A2">
        <w:rPr>
          <w:rFonts w:ascii="Arial" w:hAnsi="Arial" w:cs="Arial"/>
          <w:sz w:val="24"/>
          <w:szCs w:val="24"/>
        </w:rPr>
        <w:t xml:space="preserve"> provide for more effective complaints-handling and consistency between the handling of complaints relating to breaches of the right to privacy (section 12 of the </w:t>
      </w:r>
      <w:r w:rsidR="00B256A2" w:rsidRPr="006E77B4">
        <w:rPr>
          <w:rFonts w:ascii="Arial" w:hAnsi="Arial" w:cs="Arial"/>
          <w:i/>
          <w:iCs/>
          <w:sz w:val="24"/>
          <w:szCs w:val="24"/>
        </w:rPr>
        <w:t>Human Rights Act 2004</w:t>
      </w:r>
      <w:r w:rsidR="00B256A2" w:rsidRPr="00B256A2">
        <w:rPr>
          <w:rFonts w:ascii="Arial" w:hAnsi="Arial" w:cs="Arial"/>
          <w:sz w:val="24"/>
          <w:szCs w:val="24"/>
        </w:rPr>
        <w:t xml:space="preserve"> (</w:t>
      </w:r>
      <w:r w:rsidR="00B256A2" w:rsidRPr="00AD26E4">
        <w:rPr>
          <w:rFonts w:ascii="Arial" w:hAnsi="Arial" w:cs="Arial"/>
          <w:b/>
          <w:bCs/>
          <w:sz w:val="24"/>
          <w:szCs w:val="24"/>
        </w:rPr>
        <w:t>HRA</w:t>
      </w:r>
      <w:r w:rsidR="00B256A2" w:rsidRPr="00B256A2">
        <w:rPr>
          <w:rFonts w:ascii="Arial" w:hAnsi="Arial" w:cs="Arial"/>
          <w:sz w:val="24"/>
          <w:szCs w:val="24"/>
        </w:rPr>
        <w:t>)) by the HRC, which can be conciliated,</w:t>
      </w:r>
      <w:r w:rsidR="00E03D17">
        <w:rPr>
          <w:rFonts w:ascii="Arial" w:hAnsi="Arial" w:cs="Arial"/>
          <w:sz w:val="24"/>
          <w:szCs w:val="24"/>
        </w:rPr>
        <w:t xml:space="preserve"> and the handling of privacy complaints under the IP Act. It will</w:t>
      </w:r>
      <w:r w:rsidR="00B256A2" w:rsidRPr="00B256A2">
        <w:rPr>
          <w:rFonts w:ascii="Arial" w:hAnsi="Arial" w:cs="Arial"/>
          <w:sz w:val="24"/>
          <w:szCs w:val="24"/>
        </w:rPr>
        <w:t xml:space="preserve"> </w:t>
      </w:r>
      <w:r w:rsidR="00B256A2">
        <w:rPr>
          <w:rFonts w:ascii="Arial" w:hAnsi="Arial" w:cs="Arial"/>
          <w:sz w:val="24"/>
          <w:szCs w:val="24"/>
        </w:rPr>
        <w:t>assist</w:t>
      </w:r>
      <w:r w:rsidR="00B256A2" w:rsidRPr="00B256A2">
        <w:rPr>
          <w:rFonts w:ascii="Arial" w:hAnsi="Arial" w:cs="Arial"/>
          <w:sz w:val="24"/>
          <w:szCs w:val="24"/>
        </w:rPr>
        <w:t xml:space="preserve"> </w:t>
      </w:r>
      <w:r w:rsidR="00E03D17">
        <w:rPr>
          <w:rFonts w:ascii="Arial" w:hAnsi="Arial" w:cs="Arial"/>
          <w:sz w:val="24"/>
          <w:szCs w:val="24"/>
        </w:rPr>
        <w:t xml:space="preserve">the </w:t>
      </w:r>
      <w:r w:rsidR="00B256A2" w:rsidRPr="00B256A2">
        <w:rPr>
          <w:rFonts w:ascii="Arial" w:hAnsi="Arial" w:cs="Arial"/>
          <w:sz w:val="24"/>
          <w:szCs w:val="24"/>
        </w:rPr>
        <w:t xml:space="preserve">HRC </w:t>
      </w:r>
      <w:r w:rsidR="00E03D17">
        <w:rPr>
          <w:rFonts w:ascii="Arial" w:hAnsi="Arial" w:cs="Arial"/>
          <w:sz w:val="24"/>
          <w:szCs w:val="24"/>
        </w:rPr>
        <w:t>to better</w:t>
      </w:r>
      <w:r w:rsidR="00B256A2">
        <w:rPr>
          <w:rFonts w:ascii="Arial" w:hAnsi="Arial" w:cs="Arial"/>
          <w:sz w:val="24"/>
          <w:szCs w:val="24"/>
        </w:rPr>
        <w:t xml:space="preserve"> respon</w:t>
      </w:r>
      <w:r w:rsidR="00E03D17">
        <w:rPr>
          <w:rFonts w:ascii="Arial" w:hAnsi="Arial" w:cs="Arial"/>
          <w:sz w:val="24"/>
          <w:szCs w:val="24"/>
        </w:rPr>
        <w:t>d</w:t>
      </w:r>
      <w:r w:rsidR="00B256A2">
        <w:rPr>
          <w:rFonts w:ascii="Arial" w:hAnsi="Arial" w:cs="Arial"/>
          <w:sz w:val="24"/>
          <w:szCs w:val="24"/>
        </w:rPr>
        <w:t xml:space="preserve"> to</w:t>
      </w:r>
      <w:r w:rsidR="00B256A2" w:rsidRPr="00B256A2">
        <w:rPr>
          <w:rFonts w:ascii="Arial" w:hAnsi="Arial" w:cs="Arial"/>
          <w:sz w:val="24"/>
          <w:szCs w:val="24"/>
        </w:rPr>
        <w:t xml:space="preserve"> complaints from members of the community who have had their rights or privacy interfered with by government agencies</w:t>
      </w:r>
      <w:r w:rsidR="00E03D17">
        <w:rPr>
          <w:rFonts w:ascii="Arial" w:hAnsi="Arial" w:cs="Arial"/>
          <w:sz w:val="24"/>
          <w:szCs w:val="24"/>
        </w:rPr>
        <w:t xml:space="preserve"> or contracted service providers</w:t>
      </w:r>
      <w:r w:rsidR="00B256A2" w:rsidRPr="00B256A2">
        <w:rPr>
          <w:rFonts w:ascii="Arial" w:hAnsi="Arial" w:cs="Arial"/>
          <w:sz w:val="24"/>
          <w:szCs w:val="24"/>
        </w:rPr>
        <w:t>.</w:t>
      </w:r>
    </w:p>
    <w:p w14:paraId="0D4468CF" w14:textId="18E994F8" w:rsidR="00D111D0" w:rsidRDefault="00D111D0" w:rsidP="00066063">
      <w:pPr>
        <w:keepNext/>
        <w:rPr>
          <w:rFonts w:ascii="Arial" w:hAnsi="Arial" w:cs="Arial"/>
          <w:b/>
          <w:bCs/>
          <w:sz w:val="24"/>
          <w:szCs w:val="24"/>
        </w:rPr>
      </w:pPr>
      <w:r w:rsidRPr="000D192F">
        <w:rPr>
          <w:rFonts w:ascii="Arial" w:hAnsi="Arial" w:cs="Arial"/>
          <w:b/>
          <w:bCs/>
          <w:sz w:val="24"/>
          <w:szCs w:val="24"/>
        </w:rPr>
        <w:t>Guardianship and Management of Property Act 1991</w:t>
      </w:r>
    </w:p>
    <w:p w14:paraId="4E16751F" w14:textId="42BFDF7A" w:rsidR="00D111D0" w:rsidRDefault="00D111D0" w:rsidP="00066063">
      <w:pPr>
        <w:keepNext/>
        <w:rPr>
          <w:rFonts w:ascii="Arial" w:hAnsi="Arial" w:cs="Arial"/>
          <w:sz w:val="24"/>
          <w:szCs w:val="24"/>
        </w:rPr>
      </w:pPr>
      <w:bookmarkStart w:id="1" w:name="_Hlk195271972"/>
      <w:r w:rsidRPr="00D111D0">
        <w:rPr>
          <w:rFonts w:ascii="Arial" w:hAnsi="Arial" w:cs="Arial"/>
          <w:sz w:val="24"/>
          <w:szCs w:val="24"/>
        </w:rPr>
        <w:t>The Bill will amend the GMP Act</w:t>
      </w:r>
      <w:r w:rsidR="005202AC">
        <w:rPr>
          <w:rFonts w:ascii="Arial" w:hAnsi="Arial" w:cs="Arial"/>
          <w:sz w:val="24"/>
          <w:szCs w:val="24"/>
        </w:rPr>
        <w:t xml:space="preserve"> </w:t>
      </w:r>
      <w:r w:rsidRPr="00D111D0">
        <w:rPr>
          <w:rFonts w:ascii="Arial" w:hAnsi="Arial" w:cs="Arial"/>
          <w:sz w:val="24"/>
          <w:szCs w:val="24"/>
        </w:rPr>
        <w:t xml:space="preserve">to enable ACAT to be informed </w:t>
      </w:r>
      <w:r w:rsidR="00E03D17">
        <w:rPr>
          <w:rFonts w:ascii="Arial" w:hAnsi="Arial" w:cs="Arial"/>
          <w:sz w:val="24"/>
          <w:szCs w:val="24"/>
        </w:rPr>
        <w:t xml:space="preserve">of certain information </w:t>
      </w:r>
      <w:r w:rsidRPr="00D111D0">
        <w:rPr>
          <w:rFonts w:ascii="Arial" w:hAnsi="Arial" w:cs="Arial"/>
          <w:sz w:val="24"/>
          <w:szCs w:val="24"/>
        </w:rPr>
        <w:t>by oath or statutory declaration.</w:t>
      </w:r>
    </w:p>
    <w:p w14:paraId="0906CC45" w14:textId="058F828F" w:rsidR="00066063" w:rsidRDefault="004002C7" w:rsidP="00FD7124">
      <w:r w:rsidRPr="004002C7">
        <w:rPr>
          <w:rFonts w:ascii="Arial" w:hAnsi="Arial" w:cs="Arial"/>
          <w:sz w:val="24"/>
          <w:szCs w:val="24"/>
        </w:rPr>
        <w:t xml:space="preserve">Under section 10(2) of the GMP Act, a person cannot be appointed as a guardian or manager for someone with impaired decision-making ability unless they inform ACAT of certain matters, such as prior convictions. </w:t>
      </w:r>
      <w:r w:rsidR="00FD7124">
        <w:rPr>
          <w:rFonts w:ascii="Arial" w:hAnsi="Arial" w:cs="Arial"/>
          <w:sz w:val="24"/>
          <w:szCs w:val="24"/>
        </w:rPr>
        <w:t>S</w:t>
      </w:r>
      <w:r w:rsidRPr="004002C7">
        <w:rPr>
          <w:rFonts w:ascii="Arial" w:hAnsi="Arial" w:cs="Arial"/>
          <w:sz w:val="24"/>
          <w:szCs w:val="24"/>
        </w:rPr>
        <w:t>ection 10(2) requires this information to be provided under oath.</w:t>
      </w:r>
      <w:r>
        <w:rPr>
          <w:rFonts w:ascii="Arial" w:hAnsi="Arial" w:cs="Arial"/>
          <w:sz w:val="24"/>
          <w:szCs w:val="24"/>
        </w:rPr>
        <w:t xml:space="preserve"> </w:t>
      </w:r>
      <w:r w:rsidR="00FD7124" w:rsidRPr="004002C7">
        <w:rPr>
          <w:rFonts w:ascii="Arial" w:hAnsi="Arial" w:cs="Arial"/>
          <w:sz w:val="24"/>
          <w:szCs w:val="24"/>
        </w:rPr>
        <w:t xml:space="preserve">ACAT has accepted statutory declarations in the past, </w:t>
      </w:r>
      <w:r w:rsidR="00FD7124">
        <w:rPr>
          <w:rFonts w:ascii="Arial" w:hAnsi="Arial" w:cs="Arial"/>
          <w:sz w:val="24"/>
          <w:szCs w:val="24"/>
        </w:rPr>
        <w:t xml:space="preserve">including </w:t>
      </w:r>
      <w:r w:rsidR="00D111D0" w:rsidRPr="00D111D0">
        <w:rPr>
          <w:rFonts w:ascii="Arial" w:hAnsi="Arial" w:cs="Arial"/>
          <w:sz w:val="24"/>
          <w:szCs w:val="24"/>
        </w:rPr>
        <w:t xml:space="preserve">by relying on other laws, such as the </w:t>
      </w:r>
      <w:r w:rsidR="00D111D0" w:rsidRPr="006E77B4">
        <w:rPr>
          <w:rFonts w:ascii="Arial" w:hAnsi="Arial" w:cs="Arial"/>
          <w:i/>
          <w:iCs/>
          <w:sz w:val="24"/>
          <w:szCs w:val="24"/>
        </w:rPr>
        <w:t>Oaths and Affirmations Act 1984</w:t>
      </w:r>
      <w:r w:rsidR="00D111D0" w:rsidRPr="00D111D0">
        <w:rPr>
          <w:rFonts w:ascii="Arial" w:hAnsi="Arial" w:cs="Arial"/>
          <w:sz w:val="24"/>
          <w:szCs w:val="24"/>
        </w:rPr>
        <w:t xml:space="preserve">, the </w:t>
      </w:r>
      <w:r w:rsidR="00D111D0" w:rsidRPr="006E77B4">
        <w:rPr>
          <w:rFonts w:ascii="Arial" w:hAnsi="Arial" w:cs="Arial"/>
          <w:i/>
          <w:iCs/>
          <w:sz w:val="24"/>
          <w:szCs w:val="24"/>
        </w:rPr>
        <w:t>Acts Interpretation Act 1901</w:t>
      </w:r>
      <w:r w:rsidR="00D111D0" w:rsidRPr="00D111D0">
        <w:rPr>
          <w:rFonts w:ascii="Arial" w:hAnsi="Arial" w:cs="Arial"/>
          <w:sz w:val="24"/>
          <w:szCs w:val="24"/>
        </w:rPr>
        <w:t xml:space="preserve"> (Cth) and </w:t>
      </w:r>
      <w:r w:rsidR="00D111D0" w:rsidRPr="006E77B4">
        <w:rPr>
          <w:rFonts w:ascii="Arial" w:hAnsi="Arial" w:cs="Arial"/>
          <w:i/>
          <w:iCs/>
          <w:sz w:val="24"/>
          <w:szCs w:val="24"/>
        </w:rPr>
        <w:t>Statutory Declarations Act 1959</w:t>
      </w:r>
      <w:r w:rsidR="00D111D0" w:rsidRPr="00D111D0">
        <w:rPr>
          <w:rFonts w:ascii="Arial" w:hAnsi="Arial" w:cs="Arial"/>
          <w:sz w:val="24"/>
          <w:szCs w:val="24"/>
        </w:rPr>
        <w:t>.</w:t>
      </w:r>
      <w:r w:rsidR="00D111D0" w:rsidRPr="00D111D0">
        <w:t xml:space="preserve"> </w:t>
      </w:r>
    </w:p>
    <w:p w14:paraId="52F2C1EF" w14:textId="6D905C79" w:rsidR="004002C7" w:rsidRDefault="00D111D0" w:rsidP="00FD7124">
      <w:pPr>
        <w:rPr>
          <w:rFonts w:ascii="Arial" w:hAnsi="Arial" w:cs="Arial"/>
          <w:sz w:val="24"/>
          <w:szCs w:val="24"/>
        </w:rPr>
      </w:pPr>
      <w:r>
        <w:rPr>
          <w:rFonts w:ascii="Arial" w:hAnsi="Arial" w:cs="Arial"/>
          <w:sz w:val="24"/>
          <w:szCs w:val="24"/>
        </w:rPr>
        <w:t>Th</w:t>
      </w:r>
      <w:r w:rsidR="00066063">
        <w:rPr>
          <w:rFonts w:ascii="Arial" w:hAnsi="Arial" w:cs="Arial"/>
          <w:sz w:val="24"/>
          <w:szCs w:val="24"/>
        </w:rPr>
        <w:t>e</w:t>
      </w:r>
      <w:r w:rsidRPr="00D111D0">
        <w:rPr>
          <w:rFonts w:ascii="Arial" w:hAnsi="Arial" w:cs="Arial"/>
          <w:sz w:val="24"/>
          <w:szCs w:val="24"/>
        </w:rPr>
        <w:t xml:space="preserve"> Bill will</w:t>
      </w:r>
      <w:r w:rsidR="00FD7124">
        <w:rPr>
          <w:rFonts w:ascii="Arial" w:hAnsi="Arial" w:cs="Arial"/>
          <w:sz w:val="24"/>
          <w:szCs w:val="24"/>
        </w:rPr>
        <w:t xml:space="preserve"> modernise the GMP Act to confirm that statutory declarations may be accepted as well as oaths (or affirmations). The Bill will</w:t>
      </w:r>
      <w:r w:rsidRPr="00D111D0">
        <w:rPr>
          <w:rFonts w:ascii="Arial" w:hAnsi="Arial" w:cs="Arial"/>
          <w:sz w:val="24"/>
          <w:szCs w:val="24"/>
        </w:rPr>
        <w:t xml:space="preserve"> include a validating provision</w:t>
      </w:r>
      <w:r w:rsidR="00FD7124">
        <w:rPr>
          <w:rFonts w:ascii="Arial" w:hAnsi="Arial" w:cs="Arial"/>
          <w:sz w:val="24"/>
          <w:szCs w:val="24"/>
        </w:rPr>
        <w:t xml:space="preserve"> in relation to information accepted to date</w:t>
      </w:r>
      <w:r>
        <w:rPr>
          <w:rFonts w:ascii="Arial" w:hAnsi="Arial" w:cs="Arial"/>
          <w:sz w:val="24"/>
          <w:szCs w:val="24"/>
        </w:rPr>
        <w:t xml:space="preserve">, </w:t>
      </w:r>
      <w:r w:rsidR="00FD7124">
        <w:rPr>
          <w:rFonts w:ascii="Arial" w:hAnsi="Arial" w:cs="Arial"/>
          <w:sz w:val="24"/>
          <w:szCs w:val="24"/>
        </w:rPr>
        <w:t>to ensure there is no doubt that the</w:t>
      </w:r>
      <w:r w:rsidR="004002C7">
        <w:rPr>
          <w:rFonts w:ascii="Arial" w:hAnsi="Arial" w:cs="Arial"/>
          <w:sz w:val="24"/>
          <w:szCs w:val="24"/>
        </w:rPr>
        <w:t xml:space="preserve"> current appointments of guardians and managers</w:t>
      </w:r>
      <w:r w:rsidR="00FD7124">
        <w:rPr>
          <w:rFonts w:ascii="Arial" w:hAnsi="Arial" w:cs="Arial"/>
          <w:sz w:val="24"/>
          <w:szCs w:val="24"/>
        </w:rPr>
        <w:t xml:space="preserve"> remain valid</w:t>
      </w:r>
      <w:r w:rsidR="004002C7">
        <w:rPr>
          <w:rFonts w:ascii="Arial" w:hAnsi="Arial" w:cs="Arial"/>
          <w:sz w:val="24"/>
          <w:szCs w:val="24"/>
        </w:rPr>
        <w:t>.</w:t>
      </w:r>
    </w:p>
    <w:bookmarkEnd w:id="1"/>
    <w:p w14:paraId="547CBEF5" w14:textId="5F9D628F" w:rsidR="009F3939" w:rsidRPr="000D192F" w:rsidRDefault="009F3939" w:rsidP="000D192F">
      <w:pPr>
        <w:rPr>
          <w:rFonts w:ascii="Arial" w:hAnsi="Arial" w:cs="Arial"/>
          <w:b/>
          <w:bCs/>
          <w:sz w:val="24"/>
          <w:szCs w:val="24"/>
        </w:rPr>
      </w:pPr>
      <w:r w:rsidRPr="000D192F">
        <w:rPr>
          <w:rFonts w:ascii="Arial" w:hAnsi="Arial" w:cs="Arial"/>
          <w:b/>
          <w:bCs/>
          <w:sz w:val="24"/>
          <w:szCs w:val="24"/>
        </w:rPr>
        <w:t>Residential Tenancies Act 1997</w:t>
      </w:r>
    </w:p>
    <w:p w14:paraId="687DA47B" w14:textId="3E380BE0" w:rsidR="00B256A2" w:rsidRDefault="00B256A2" w:rsidP="00B256A2">
      <w:pPr>
        <w:rPr>
          <w:rFonts w:ascii="Arial" w:hAnsi="Arial" w:cs="Arial"/>
          <w:sz w:val="24"/>
          <w:szCs w:val="24"/>
        </w:rPr>
      </w:pPr>
      <w:r>
        <w:rPr>
          <w:rFonts w:ascii="Arial" w:hAnsi="Arial" w:cs="Arial"/>
          <w:sz w:val="24"/>
          <w:szCs w:val="24"/>
        </w:rPr>
        <w:t xml:space="preserve">This Bill makes amendments to the </w:t>
      </w:r>
      <w:r w:rsidR="00FD7124">
        <w:rPr>
          <w:rFonts w:ascii="Arial" w:hAnsi="Arial" w:cs="Arial"/>
          <w:sz w:val="24"/>
          <w:szCs w:val="24"/>
        </w:rPr>
        <w:t>RTA</w:t>
      </w:r>
      <w:r w:rsidR="006E77B4">
        <w:rPr>
          <w:rFonts w:ascii="Arial" w:hAnsi="Arial" w:cs="Arial"/>
          <w:sz w:val="24"/>
          <w:szCs w:val="24"/>
        </w:rPr>
        <w:t xml:space="preserve"> </w:t>
      </w:r>
      <w:r w:rsidR="00FD7124">
        <w:rPr>
          <w:rFonts w:ascii="Arial" w:hAnsi="Arial" w:cs="Arial"/>
          <w:sz w:val="24"/>
          <w:szCs w:val="24"/>
        </w:rPr>
        <w:t>to facilitate</w:t>
      </w:r>
      <w:r>
        <w:rPr>
          <w:rFonts w:ascii="Arial" w:hAnsi="Arial" w:cs="Arial"/>
          <w:sz w:val="24"/>
          <w:szCs w:val="24"/>
        </w:rPr>
        <w:t>:</w:t>
      </w:r>
    </w:p>
    <w:p w14:paraId="39937CAD" w14:textId="1368D299" w:rsidR="00B256A2" w:rsidRPr="000D192F" w:rsidRDefault="00FD7124" w:rsidP="000D192F">
      <w:pPr>
        <w:pStyle w:val="ListParagraph"/>
        <w:numPr>
          <w:ilvl w:val="0"/>
          <w:numId w:val="7"/>
        </w:numPr>
        <w:spacing w:line="360" w:lineRule="auto"/>
        <w:rPr>
          <w:rFonts w:ascii="Arial" w:hAnsi="Arial" w:cs="Arial"/>
          <w:sz w:val="24"/>
          <w:szCs w:val="24"/>
        </w:rPr>
      </w:pPr>
      <w:r>
        <w:rPr>
          <w:rFonts w:ascii="Arial" w:hAnsi="Arial" w:cs="Arial"/>
          <w:sz w:val="24"/>
          <w:szCs w:val="24"/>
        </w:rPr>
        <w:t>e</w:t>
      </w:r>
      <w:r w:rsidR="00B256A2" w:rsidRPr="000D192F">
        <w:rPr>
          <w:rFonts w:ascii="Arial" w:hAnsi="Arial" w:cs="Arial"/>
          <w:sz w:val="24"/>
          <w:szCs w:val="24"/>
        </w:rPr>
        <w:t>lectronic condition reports; and</w:t>
      </w:r>
    </w:p>
    <w:p w14:paraId="6EFE147C" w14:textId="011A2D84" w:rsidR="00B256A2" w:rsidRDefault="00FD7124" w:rsidP="00FD7124">
      <w:pPr>
        <w:pStyle w:val="ListParagraph"/>
        <w:numPr>
          <w:ilvl w:val="0"/>
          <w:numId w:val="7"/>
        </w:numPr>
        <w:spacing w:after="120" w:line="360" w:lineRule="auto"/>
        <w:ind w:left="714" w:hanging="357"/>
        <w:rPr>
          <w:rFonts w:ascii="Arial" w:hAnsi="Arial" w:cs="Arial"/>
          <w:sz w:val="24"/>
          <w:szCs w:val="24"/>
        </w:rPr>
      </w:pPr>
      <w:r>
        <w:rPr>
          <w:rFonts w:ascii="Arial" w:hAnsi="Arial" w:cs="Arial"/>
          <w:sz w:val="24"/>
          <w:szCs w:val="24"/>
        </w:rPr>
        <w:t>the use of the p</w:t>
      </w:r>
      <w:r w:rsidR="00B256A2" w:rsidRPr="000D192F">
        <w:rPr>
          <w:rFonts w:ascii="Arial" w:hAnsi="Arial" w:cs="Arial"/>
          <w:sz w:val="24"/>
          <w:szCs w:val="24"/>
        </w:rPr>
        <w:t xml:space="preserve">osting </w:t>
      </w:r>
      <w:r w:rsidR="0008262C">
        <w:rPr>
          <w:rFonts w:ascii="Arial" w:hAnsi="Arial" w:cs="Arial"/>
          <w:sz w:val="24"/>
          <w:szCs w:val="24"/>
        </w:rPr>
        <w:t xml:space="preserve">termination </w:t>
      </w:r>
      <w:r w:rsidR="00B256A2" w:rsidRPr="000D192F">
        <w:rPr>
          <w:rFonts w:ascii="Arial" w:hAnsi="Arial" w:cs="Arial"/>
          <w:sz w:val="24"/>
          <w:szCs w:val="24"/>
        </w:rPr>
        <w:t>clause.</w:t>
      </w:r>
    </w:p>
    <w:p w14:paraId="5DFA65DA" w14:textId="40093F4A" w:rsidR="00F91869" w:rsidRPr="00512851" w:rsidRDefault="00F91869" w:rsidP="00512851">
      <w:pPr>
        <w:spacing w:after="120" w:line="360" w:lineRule="auto"/>
        <w:rPr>
          <w:rFonts w:ascii="Arial" w:hAnsi="Arial" w:cs="Arial"/>
          <w:sz w:val="24"/>
          <w:szCs w:val="24"/>
        </w:rPr>
      </w:pPr>
      <w:r>
        <w:rPr>
          <w:rFonts w:ascii="Arial" w:hAnsi="Arial" w:cs="Arial"/>
          <w:sz w:val="24"/>
          <w:szCs w:val="24"/>
        </w:rPr>
        <w:t xml:space="preserve">It also makes a range of minor and technical amendments to increase consistency in wording in provisions throughout RTA. </w:t>
      </w:r>
    </w:p>
    <w:p w14:paraId="154656AD" w14:textId="5E8A7CAE" w:rsidR="009F3939" w:rsidRPr="000D192F" w:rsidRDefault="00B256A2" w:rsidP="000D192F">
      <w:pPr>
        <w:spacing w:line="360" w:lineRule="auto"/>
        <w:rPr>
          <w:rFonts w:ascii="Arial" w:hAnsi="Arial" w:cs="Arial"/>
          <w:sz w:val="24"/>
          <w:szCs w:val="24"/>
          <w:u w:val="single"/>
        </w:rPr>
      </w:pPr>
      <w:r w:rsidRPr="000D192F">
        <w:rPr>
          <w:rFonts w:ascii="Arial" w:hAnsi="Arial" w:cs="Arial"/>
          <w:sz w:val="24"/>
          <w:szCs w:val="24"/>
          <w:u w:val="single"/>
        </w:rPr>
        <w:lastRenderedPageBreak/>
        <w:t xml:space="preserve">Electronic </w:t>
      </w:r>
      <w:r w:rsidR="003B09DC">
        <w:rPr>
          <w:rFonts w:ascii="Arial" w:hAnsi="Arial" w:cs="Arial"/>
          <w:sz w:val="24"/>
          <w:szCs w:val="24"/>
          <w:u w:val="single"/>
        </w:rPr>
        <w:t>C</w:t>
      </w:r>
      <w:r w:rsidRPr="000D192F">
        <w:rPr>
          <w:rFonts w:ascii="Arial" w:hAnsi="Arial" w:cs="Arial"/>
          <w:sz w:val="24"/>
          <w:szCs w:val="24"/>
          <w:u w:val="single"/>
        </w:rPr>
        <w:t xml:space="preserve">ondition </w:t>
      </w:r>
      <w:r w:rsidR="003B09DC">
        <w:rPr>
          <w:rFonts w:ascii="Arial" w:hAnsi="Arial" w:cs="Arial"/>
          <w:sz w:val="24"/>
          <w:szCs w:val="24"/>
          <w:u w:val="single"/>
        </w:rPr>
        <w:t>R</w:t>
      </w:r>
      <w:r w:rsidRPr="000D192F">
        <w:rPr>
          <w:rFonts w:ascii="Arial" w:hAnsi="Arial" w:cs="Arial"/>
          <w:sz w:val="24"/>
          <w:szCs w:val="24"/>
          <w:u w:val="single"/>
        </w:rPr>
        <w:t>eports</w:t>
      </w:r>
    </w:p>
    <w:p w14:paraId="21A719E3" w14:textId="70BCF32D" w:rsidR="00B256A2" w:rsidRDefault="00B256A2" w:rsidP="00D111D0">
      <w:pPr>
        <w:rPr>
          <w:rFonts w:ascii="Arial" w:hAnsi="Arial" w:cs="Arial"/>
          <w:sz w:val="24"/>
          <w:szCs w:val="24"/>
        </w:rPr>
      </w:pPr>
      <w:r w:rsidRPr="00B256A2">
        <w:rPr>
          <w:rFonts w:ascii="Arial" w:hAnsi="Arial" w:cs="Arial"/>
          <w:sz w:val="24"/>
          <w:szCs w:val="24"/>
        </w:rPr>
        <w:t xml:space="preserve">The Bill will amend clause 21 of the </w:t>
      </w:r>
      <w:r>
        <w:rPr>
          <w:rFonts w:ascii="Arial" w:hAnsi="Arial" w:cs="Arial"/>
          <w:sz w:val="24"/>
          <w:szCs w:val="24"/>
        </w:rPr>
        <w:t>Standard Residential Tenancy Terms (</w:t>
      </w:r>
      <w:r w:rsidRPr="00AD26E4">
        <w:rPr>
          <w:rFonts w:ascii="Arial" w:hAnsi="Arial" w:cs="Arial"/>
          <w:b/>
          <w:bCs/>
          <w:sz w:val="24"/>
          <w:szCs w:val="24"/>
        </w:rPr>
        <w:t>SRTTs</w:t>
      </w:r>
      <w:r>
        <w:rPr>
          <w:rFonts w:ascii="Arial" w:hAnsi="Arial" w:cs="Arial"/>
          <w:sz w:val="24"/>
          <w:szCs w:val="24"/>
        </w:rPr>
        <w:t>)</w:t>
      </w:r>
      <w:r w:rsidRPr="00B256A2">
        <w:rPr>
          <w:rFonts w:ascii="Arial" w:hAnsi="Arial" w:cs="Arial"/>
          <w:sz w:val="24"/>
          <w:szCs w:val="24"/>
        </w:rPr>
        <w:t xml:space="preserve">, so that, if the tenant agrees, the </w:t>
      </w:r>
      <w:r w:rsidR="00FE167F">
        <w:rPr>
          <w:rFonts w:ascii="Arial" w:hAnsi="Arial" w:cs="Arial"/>
          <w:sz w:val="24"/>
          <w:szCs w:val="24"/>
        </w:rPr>
        <w:t>lessor</w:t>
      </w:r>
      <w:r w:rsidR="00FE167F" w:rsidRPr="00B256A2">
        <w:rPr>
          <w:rFonts w:ascii="Arial" w:hAnsi="Arial" w:cs="Arial"/>
          <w:sz w:val="24"/>
          <w:szCs w:val="24"/>
        </w:rPr>
        <w:t xml:space="preserve"> </w:t>
      </w:r>
      <w:r w:rsidRPr="00B256A2">
        <w:rPr>
          <w:rFonts w:ascii="Arial" w:hAnsi="Arial" w:cs="Arial"/>
          <w:sz w:val="24"/>
          <w:szCs w:val="24"/>
        </w:rPr>
        <w:t>can provide an electronic copy of the condition report.</w:t>
      </w:r>
    </w:p>
    <w:p w14:paraId="2D754D7E" w14:textId="71E0BA11" w:rsidR="00B256A2" w:rsidRDefault="00FD7124" w:rsidP="00D111D0">
      <w:pPr>
        <w:rPr>
          <w:rFonts w:ascii="Arial" w:hAnsi="Arial" w:cs="Arial"/>
          <w:sz w:val="24"/>
          <w:szCs w:val="24"/>
        </w:rPr>
      </w:pPr>
      <w:r>
        <w:rPr>
          <w:rFonts w:ascii="Arial" w:hAnsi="Arial" w:cs="Arial"/>
          <w:sz w:val="24"/>
          <w:szCs w:val="24"/>
        </w:rPr>
        <w:t>The RTA requires that</w:t>
      </w:r>
      <w:r w:rsidR="00B256A2" w:rsidRPr="00B256A2">
        <w:rPr>
          <w:rFonts w:ascii="Arial" w:hAnsi="Arial" w:cs="Arial"/>
          <w:sz w:val="24"/>
          <w:szCs w:val="24"/>
        </w:rPr>
        <w:t xml:space="preserve"> within 1</w:t>
      </w:r>
      <w:r>
        <w:rPr>
          <w:rFonts w:ascii="Arial" w:hAnsi="Arial" w:cs="Arial"/>
          <w:sz w:val="24"/>
          <w:szCs w:val="24"/>
        </w:rPr>
        <w:t> </w:t>
      </w:r>
      <w:r w:rsidR="00B256A2" w:rsidRPr="00B256A2">
        <w:rPr>
          <w:rFonts w:ascii="Arial" w:hAnsi="Arial" w:cs="Arial"/>
          <w:sz w:val="24"/>
          <w:szCs w:val="24"/>
        </w:rPr>
        <w:t>day of the tenant taking possession of the premises, the lessor must give 2 copies of a condition report completed by the lessor to the tenant.</w:t>
      </w:r>
    </w:p>
    <w:p w14:paraId="548F4852" w14:textId="06A0E829" w:rsidR="00B256A2" w:rsidRDefault="00B256A2" w:rsidP="00D111D0">
      <w:pPr>
        <w:rPr>
          <w:rFonts w:ascii="Arial" w:hAnsi="Arial" w:cs="Arial"/>
          <w:sz w:val="24"/>
          <w:szCs w:val="24"/>
        </w:rPr>
      </w:pPr>
      <w:r w:rsidRPr="00B256A2">
        <w:rPr>
          <w:rFonts w:ascii="Arial" w:hAnsi="Arial" w:cs="Arial"/>
          <w:sz w:val="24"/>
          <w:szCs w:val="24"/>
        </w:rPr>
        <w:t xml:space="preserve">Whilst the </w:t>
      </w:r>
      <w:r w:rsidRPr="006E77B4">
        <w:rPr>
          <w:rFonts w:ascii="Arial" w:hAnsi="Arial" w:cs="Arial"/>
          <w:i/>
          <w:iCs/>
          <w:sz w:val="24"/>
          <w:szCs w:val="24"/>
        </w:rPr>
        <w:t>Electronic Transactions Act 2001</w:t>
      </w:r>
      <w:r w:rsidRPr="00B256A2">
        <w:rPr>
          <w:rFonts w:ascii="Arial" w:hAnsi="Arial" w:cs="Arial"/>
          <w:sz w:val="24"/>
          <w:szCs w:val="24"/>
        </w:rPr>
        <w:t xml:space="preserve"> currently allows for records to be sent electronically, stakeholder feedback is that most people assume that clause 21 requires a paper copy of the condition report, given that it specifies the requirement to provide 2 copies of the document. Other Australian jurisdictions clarify that when condition reports are sent electronically there is only a requirement to provide a single electronic copy of the record.</w:t>
      </w:r>
    </w:p>
    <w:p w14:paraId="2C21E3BB" w14:textId="1BC9EB8D" w:rsidR="00B256A2" w:rsidRDefault="00B256A2" w:rsidP="00D111D0">
      <w:pPr>
        <w:rPr>
          <w:rFonts w:ascii="Arial" w:hAnsi="Arial" w:cs="Arial"/>
          <w:sz w:val="24"/>
          <w:szCs w:val="24"/>
        </w:rPr>
      </w:pPr>
      <w:r>
        <w:rPr>
          <w:rFonts w:ascii="Arial" w:hAnsi="Arial" w:cs="Arial"/>
          <w:sz w:val="24"/>
          <w:szCs w:val="24"/>
        </w:rPr>
        <w:t>The</w:t>
      </w:r>
      <w:r w:rsidRPr="00B256A2">
        <w:rPr>
          <w:rFonts w:ascii="Arial" w:hAnsi="Arial" w:cs="Arial"/>
          <w:sz w:val="24"/>
          <w:szCs w:val="24"/>
        </w:rPr>
        <w:t xml:space="preserve"> amend</w:t>
      </w:r>
      <w:r w:rsidR="009C1EA8">
        <w:rPr>
          <w:rFonts w:ascii="Arial" w:hAnsi="Arial" w:cs="Arial"/>
          <w:sz w:val="24"/>
          <w:szCs w:val="24"/>
        </w:rPr>
        <w:t>ed</w:t>
      </w:r>
      <w:r w:rsidRPr="00B256A2">
        <w:rPr>
          <w:rFonts w:ascii="Arial" w:hAnsi="Arial" w:cs="Arial"/>
          <w:sz w:val="24"/>
          <w:szCs w:val="24"/>
        </w:rPr>
        <w:t xml:space="preserve"> provision requires that the electronic file provided by the </w:t>
      </w:r>
      <w:r w:rsidR="00FE167F">
        <w:rPr>
          <w:rFonts w:ascii="Arial" w:hAnsi="Arial" w:cs="Arial"/>
          <w:sz w:val="24"/>
          <w:szCs w:val="24"/>
        </w:rPr>
        <w:t>lessor</w:t>
      </w:r>
      <w:r w:rsidR="00FE167F" w:rsidRPr="00B256A2">
        <w:rPr>
          <w:rFonts w:ascii="Arial" w:hAnsi="Arial" w:cs="Arial"/>
          <w:sz w:val="24"/>
          <w:szCs w:val="24"/>
        </w:rPr>
        <w:t xml:space="preserve"> </w:t>
      </w:r>
      <w:r w:rsidRPr="00B256A2">
        <w:rPr>
          <w:rFonts w:ascii="Arial" w:hAnsi="Arial" w:cs="Arial"/>
          <w:sz w:val="24"/>
          <w:szCs w:val="24"/>
        </w:rPr>
        <w:t>to</w:t>
      </w:r>
      <w:r w:rsidR="00AF4818">
        <w:rPr>
          <w:rFonts w:ascii="Arial" w:hAnsi="Arial" w:cs="Arial"/>
          <w:sz w:val="24"/>
          <w:szCs w:val="24"/>
        </w:rPr>
        <w:t xml:space="preserve"> the</w:t>
      </w:r>
      <w:r w:rsidRPr="00B256A2">
        <w:rPr>
          <w:rFonts w:ascii="Arial" w:hAnsi="Arial" w:cs="Arial"/>
          <w:sz w:val="24"/>
          <w:szCs w:val="24"/>
        </w:rPr>
        <w:t xml:space="preserve"> tenant must be capable of being edited by the tenant so that the tenant can provide any comments on the condition report prepared by the lessor.</w:t>
      </w:r>
      <w:r>
        <w:rPr>
          <w:rFonts w:ascii="Arial" w:hAnsi="Arial" w:cs="Arial"/>
          <w:sz w:val="24"/>
          <w:szCs w:val="24"/>
        </w:rPr>
        <w:t xml:space="preserve"> This amendment will decrease </w:t>
      </w:r>
      <w:r w:rsidR="003B09DC">
        <w:rPr>
          <w:rFonts w:ascii="Arial" w:hAnsi="Arial" w:cs="Arial"/>
          <w:sz w:val="24"/>
          <w:szCs w:val="24"/>
        </w:rPr>
        <w:t>administrative</w:t>
      </w:r>
      <w:r>
        <w:rPr>
          <w:rFonts w:ascii="Arial" w:hAnsi="Arial" w:cs="Arial"/>
          <w:sz w:val="24"/>
          <w:szCs w:val="24"/>
        </w:rPr>
        <w:t xml:space="preserve"> </w:t>
      </w:r>
      <w:r w:rsidR="003B09DC">
        <w:rPr>
          <w:rFonts w:ascii="Arial" w:hAnsi="Arial" w:cs="Arial"/>
          <w:sz w:val="24"/>
          <w:szCs w:val="24"/>
        </w:rPr>
        <w:t>burden</w:t>
      </w:r>
      <w:r>
        <w:rPr>
          <w:rFonts w:ascii="Arial" w:hAnsi="Arial" w:cs="Arial"/>
          <w:sz w:val="24"/>
          <w:szCs w:val="24"/>
        </w:rPr>
        <w:t xml:space="preserve">, </w:t>
      </w:r>
      <w:r w:rsidR="00F91869">
        <w:rPr>
          <w:rFonts w:ascii="Arial" w:hAnsi="Arial" w:cs="Arial"/>
          <w:sz w:val="24"/>
          <w:szCs w:val="24"/>
        </w:rPr>
        <w:t xml:space="preserve">by clarifying that condition reports can be provided electronically in certain circumstances. It will also clarify that where a condition report is provided electronically, </w:t>
      </w:r>
      <w:r w:rsidR="003B09DC">
        <w:rPr>
          <w:rFonts w:ascii="Arial" w:hAnsi="Arial" w:cs="Arial"/>
          <w:sz w:val="24"/>
          <w:szCs w:val="24"/>
        </w:rPr>
        <w:t>only one copy of the report will be required.</w:t>
      </w:r>
    </w:p>
    <w:p w14:paraId="78B54758" w14:textId="2C5E50C6" w:rsidR="00C47E4B" w:rsidRDefault="003B09DC" w:rsidP="00AD26E4">
      <w:pPr>
        <w:keepNext/>
        <w:rPr>
          <w:rFonts w:ascii="Arial" w:hAnsi="Arial" w:cs="Arial"/>
          <w:sz w:val="24"/>
          <w:szCs w:val="24"/>
          <w:u w:val="single"/>
        </w:rPr>
      </w:pPr>
      <w:r w:rsidRPr="00E44CE0">
        <w:rPr>
          <w:rFonts w:ascii="Arial" w:hAnsi="Arial" w:cs="Arial"/>
          <w:sz w:val="24"/>
          <w:szCs w:val="24"/>
          <w:u w:val="single"/>
        </w:rPr>
        <w:t xml:space="preserve">Posting </w:t>
      </w:r>
      <w:r w:rsidR="0008262C">
        <w:rPr>
          <w:rFonts w:ascii="Arial" w:hAnsi="Arial" w:cs="Arial"/>
          <w:sz w:val="24"/>
          <w:szCs w:val="24"/>
          <w:u w:val="single"/>
        </w:rPr>
        <w:t xml:space="preserve">Termination </w:t>
      </w:r>
      <w:r w:rsidRPr="00E44CE0">
        <w:rPr>
          <w:rFonts w:ascii="Arial" w:hAnsi="Arial" w:cs="Arial"/>
          <w:sz w:val="24"/>
          <w:szCs w:val="24"/>
          <w:u w:val="single"/>
        </w:rPr>
        <w:t>Clause</w:t>
      </w:r>
    </w:p>
    <w:p w14:paraId="14ACFB37" w14:textId="2C78CBF0" w:rsidR="00C47E4B" w:rsidRDefault="00C47E4B" w:rsidP="00AD26E4">
      <w:pPr>
        <w:keepNext/>
        <w:rPr>
          <w:rFonts w:ascii="Arial" w:hAnsi="Arial" w:cs="Arial"/>
          <w:sz w:val="24"/>
          <w:szCs w:val="24"/>
        </w:rPr>
      </w:pPr>
      <w:r w:rsidRPr="00E44CE0">
        <w:rPr>
          <w:rFonts w:ascii="Arial" w:hAnsi="Arial" w:cs="Arial"/>
          <w:sz w:val="24"/>
          <w:szCs w:val="24"/>
        </w:rPr>
        <w:t xml:space="preserve">This </w:t>
      </w:r>
      <w:r>
        <w:rPr>
          <w:rFonts w:ascii="Arial" w:hAnsi="Arial" w:cs="Arial"/>
          <w:sz w:val="24"/>
          <w:szCs w:val="24"/>
        </w:rPr>
        <w:t>Bill</w:t>
      </w:r>
      <w:r w:rsidRPr="00E44CE0">
        <w:rPr>
          <w:rFonts w:ascii="Arial" w:hAnsi="Arial" w:cs="Arial"/>
          <w:sz w:val="24"/>
          <w:szCs w:val="24"/>
        </w:rPr>
        <w:t xml:space="preserve"> </w:t>
      </w:r>
      <w:r>
        <w:rPr>
          <w:rFonts w:ascii="Arial" w:hAnsi="Arial" w:cs="Arial"/>
          <w:sz w:val="24"/>
          <w:szCs w:val="24"/>
        </w:rPr>
        <w:t xml:space="preserve">will </w:t>
      </w:r>
      <w:r w:rsidRPr="00300FA4">
        <w:rPr>
          <w:rFonts w:ascii="Arial" w:hAnsi="Arial" w:cs="Arial"/>
          <w:sz w:val="24"/>
          <w:szCs w:val="24"/>
        </w:rPr>
        <w:t xml:space="preserve">update </w:t>
      </w:r>
      <w:r>
        <w:rPr>
          <w:rFonts w:ascii="Arial" w:hAnsi="Arial" w:cs="Arial"/>
          <w:sz w:val="24"/>
          <w:szCs w:val="24"/>
        </w:rPr>
        <w:t xml:space="preserve">the posting </w:t>
      </w:r>
      <w:r w:rsidR="0008262C">
        <w:rPr>
          <w:rFonts w:ascii="Arial" w:hAnsi="Arial" w:cs="Arial"/>
          <w:sz w:val="24"/>
          <w:szCs w:val="24"/>
        </w:rPr>
        <w:t xml:space="preserve">termination </w:t>
      </w:r>
      <w:r>
        <w:rPr>
          <w:rFonts w:ascii="Arial" w:hAnsi="Arial" w:cs="Arial"/>
          <w:sz w:val="24"/>
          <w:szCs w:val="24"/>
        </w:rPr>
        <w:t>clause under Schedule 2, Clause 2.1</w:t>
      </w:r>
      <w:r w:rsidR="00E44CE0">
        <w:rPr>
          <w:rFonts w:ascii="Arial" w:hAnsi="Arial" w:cs="Arial"/>
          <w:sz w:val="24"/>
          <w:szCs w:val="24"/>
        </w:rPr>
        <w:t xml:space="preserve"> of the SRTTs</w:t>
      </w:r>
      <w:r>
        <w:rPr>
          <w:rFonts w:ascii="Arial" w:hAnsi="Arial" w:cs="Arial"/>
          <w:sz w:val="24"/>
          <w:szCs w:val="24"/>
        </w:rPr>
        <w:t xml:space="preserve">. </w:t>
      </w:r>
    </w:p>
    <w:p w14:paraId="0B7C93BC" w14:textId="1240CC55" w:rsidR="00C47E4B" w:rsidRDefault="00C47E4B" w:rsidP="00ED7507">
      <w:pPr>
        <w:rPr>
          <w:rFonts w:ascii="Arial" w:hAnsi="Arial" w:cs="Arial"/>
          <w:sz w:val="24"/>
          <w:szCs w:val="24"/>
        </w:rPr>
      </w:pPr>
      <w:r>
        <w:rPr>
          <w:rFonts w:ascii="Arial" w:hAnsi="Arial" w:cs="Arial"/>
          <w:sz w:val="24"/>
          <w:szCs w:val="24"/>
        </w:rPr>
        <w:t xml:space="preserve">The following shortcomings of </w:t>
      </w:r>
      <w:r w:rsidR="00E44CE0">
        <w:rPr>
          <w:rFonts w:ascii="Arial" w:hAnsi="Arial" w:cs="Arial"/>
          <w:sz w:val="24"/>
          <w:szCs w:val="24"/>
        </w:rPr>
        <w:t xml:space="preserve">the </w:t>
      </w:r>
      <w:r>
        <w:rPr>
          <w:rFonts w:ascii="Arial" w:hAnsi="Arial" w:cs="Arial"/>
          <w:sz w:val="24"/>
          <w:szCs w:val="24"/>
        </w:rPr>
        <w:t xml:space="preserve">current posting </w:t>
      </w:r>
      <w:r w:rsidR="0008262C">
        <w:rPr>
          <w:rFonts w:ascii="Arial" w:hAnsi="Arial" w:cs="Arial"/>
          <w:sz w:val="24"/>
          <w:szCs w:val="24"/>
        </w:rPr>
        <w:t xml:space="preserve">termination </w:t>
      </w:r>
      <w:r>
        <w:rPr>
          <w:rFonts w:ascii="Arial" w:hAnsi="Arial" w:cs="Arial"/>
          <w:sz w:val="24"/>
          <w:szCs w:val="24"/>
        </w:rPr>
        <w:t>clause have been identified:</w:t>
      </w:r>
    </w:p>
    <w:p w14:paraId="77A24F3F" w14:textId="394D7985" w:rsidR="00C47E4B" w:rsidRPr="00C57A11" w:rsidRDefault="00C47E4B" w:rsidP="00C57A11">
      <w:pPr>
        <w:pStyle w:val="ListParagraph"/>
        <w:numPr>
          <w:ilvl w:val="0"/>
          <w:numId w:val="20"/>
        </w:numPr>
        <w:spacing w:after="200" w:line="276" w:lineRule="auto"/>
        <w:rPr>
          <w:rFonts w:ascii="Arial" w:hAnsi="Arial" w:cs="Arial"/>
          <w:sz w:val="24"/>
          <w:szCs w:val="24"/>
        </w:rPr>
      </w:pPr>
      <w:r w:rsidRPr="00E44CE0">
        <w:rPr>
          <w:rFonts w:ascii="Arial" w:hAnsi="Arial" w:cs="Arial"/>
          <w:i/>
          <w:iCs/>
          <w:sz w:val="24"/>
          <w:szCs w:val="24"/>
        </w:rPr>
        <w:t>MacDonald v Al-Ani &amp; Anor (Residential Tenancies)</w:t>
      </w:r>
      <w:r w:rsidRPr="00C47E4B">
        <w:rPr>
          <w:rFonts w:ascii="Arial" w:hAnsi="Arial" w:cs="Arial"/>
          <w:sz w:val="24"/>
          <w:szCs w:val="24"/>
        </w:rPr>
        <w:t xml:space="preserve"> [2024] ACAT 79</w:t>
      </w:r>
      <w:r>
        <w:rPr>
          <w:rFonts w:ascii="Arial" w:hAnsi="Arial" w:cs="Arial"/>
          <w:sz w:val="24"/>
          <w:szCs w:val="24"/>
        </w:rPr>
        <w:t xml:space="preserve"> identified </w:t>
      </w:r>
      <w:r w:rsidR="00841F0C">
        <w:rPr>
          <w:rFonts w:ascii="Arial" w:hAnsi="Arial" w:cs="Arial"/>
          <w:sz w:val="24"/>
          <w:szCs w:val="24"/>
        </w:rPr>
        <w:t xml:space="preserve">that </w:t>
      </w:r>
      <w:r>
        <w:rPr>
          <w:rFonts w:ascii="Arial" w:hAnsi="Arial" w:cs="Arial"/>
          <w:sz w:val="24"/>
          <w:szCs w:val="24"/>
        </w:rPr>
        <w:t xml:space="preserve">a tenant </w:t>
      </w:r>
      <w:r w:rsidR="00841F0C">
        <w:rPr>
          <w:rFonts w:ascii="Arial" w:hAnsi="Arial" w:cs="Arial"/>
          <w:sz w:val="24"/>
          <w:szCs w:val="24"/>
        </w:rPr>
        <w:t xml:space="preserve">who is </w:t>
      </w:r>
      <w:r>
        <w:rPr>
          <w:rFonts w:ascii="Arial" w:hAnsi="Arial" w:cs="Arial"/>
          <w:sz w:val="24"/>
          <w:szCs w:val="24"/>
        </w:rPr>
        <w:t>serv</w:t>
      </w:r>
      <w:r w:rsidR="00841F0C">
        <w:rPr>
          <w:rFonts w:ascii="Arial" w:hAnsi="Arial" w:cs="Arial"/>
          <w:sz w:val="24"/>
          <w:szCs w:val="24"/>
        </w:rPr>
        <w:t>ed</w:t>
      </w:r>
      <w:r>
        <w:rPr>
          <w:rFonts w:ascii="Arial" w:hAnsi="Arial" w:cs="Arial"/>
          <w:sz w:val="24"/>
          <w:szCs w:val="24"/>
        </w:rPr>
        <w:t xml:space="preserve"> with a notice to vacate </w:t>
      </w:r>
      <w:r w:rsidR="00841F0C">
        <w:rPr>
          <w:rFonts w:ascii="Arial" w:hAnsi="Arial" w:cs="Arial"/>
          <w:sz w:val="24"/>
          <w:szCs w:val="24"/>
        </w:rPr>
        <w:t xml:space="preserve">is not permitted </w:t>
      </w:r>
      <w:r>
        <w:rPr>
          <w:rFonts w:ascii="Arial" w:hAnsi="Arial" w:cs="Arial"/>
          <w:sz w:val="24"/>
          <w:szCs w:val="24"/>
        </w:rPr>
        <w:t xml:space="preserve">to break the lease prior to the expiration of the notice period without penalty. </w:t>
      </w:r>
      <w:r w:rsidR="00841F0C">
        <w:rPr>
          <w:rFonts w:ascii="Arial" w:hAnsi="Arial" w:cs="Arial"/>
          <w:sz w:val="24"/>
          <w:szCs w:val="24"/>
        </w:rPr>
        <w:t>In this respect, the</w:t>
      </w:r>
      <w:r>
        <w:rPr>
          <w:rFonts w:ascii="Arial" w:hAnsi="Arial" w:cs="Arial"/>
          <w:sz w:val="24"/>
          <w:szCs w:val="24"/>
        </w:rPr>
        <w:t xml:space="preserve"> posting </w:t>
      </w:r>
      <w:r w:rsidR="0008262C">
        <w:rPr>
          <w:rFonts w:ascii="Arial" w:hAnsi="Arial" w:cs="Arial"/>
          <w:sz w:val="24"/>
          <w:szCs w:val="24"/>
        </w:rPr>
        <w:t xml:space="preserve">termination </w:t>
      </w:r>
      <w:r>
        <w:rPr>
          <w:rFonts w:ascii="Arial" w:hAnsi="Arial" w:cs="Arial"/>
          <w:sz w:val="24"/>
          <w:szCs w:val="24"/>
        </w:rPr>
        <w:t xml:space="preserve">clause does not align with other tenancy termination provisions within the RTA, </w:t>
      </w:r>
      <w:r w:rsidR="00841F0C">
        <w:rPr>
          <w:rFonts w:ascii="Arial" w:hAnsi="Arial" w:cs="Arial"/>
          <w:sz w:val="24"/>
          <w:szCs w:val="24"/>
        </w:rPr>
        <w:t xml:space="preserve">which permit tenants </w:t>
      </w:r>
      <w:r>
        <w:rPr>
          <w:rFonts w:ascii="Arial" w:hAnsi="Arial" w:cs="Arial"/>
          <w:sz w:val="24"/>
          <w:szCs w:val="24"/>
        </w:rPr>
        <w:t xml:space="preserve">to issue </w:t>
      </w:r>
      <w:r w:rsidR="00841F0C">
        <w:rPr>
          <w:rFonts w:ascii="Arial" w:hAnsi="Arial" w:cs="Arial"/>
          <w:sz w:val="24"/>
          <w:szCs w:val="24"/>
        </w:rPr>
        <w:t xml:space="preserve">a </w:t>
      </w:r>
      <w:r>
        <w:rPr>
          <w:rFonts w:ascii="Arial" w:hAnsi="Arial" w:cs="Arial"/>
          <w:sz w:val="24"/>
          <w:szCs w:val="24"/>
        </w:rPr>
        <w:t>notice of intention to vacate</w:t>
      </w:r>
      <w:r w:rsidR="00841F0C">
        <w:rPr>
          <w:rFonts w:ascii="Arial" w:hAnsi="Arial" w:cs="Arial"/>
          <w:sz w:val="24"/>
          <w:szCs w:val="24"/>
        </w:rPr>
        <w:t xml:space="preserve"> with an earlier date</w:t>
      </w:r>
      <w:r w:rsidR="00F91869">
        <w:rPr>
          <w:rFonts w:ascii="Arial" w:hAnsi="Arial" w:cs="Arial"/>
          <w:sz w:val="24"/>
          <w:szCs w:val="24"/>
        </w:rPr>
        <w:t xml:space="preserve"> than the </w:t>
      </w:r>
      <w:r w:rsidR="00FE167F">
        <w:rPr>
          <w:rFonts w:ascii="Arial" w:hAnsi="Arial" w:cs="Arial"/>
          <w:sz w:val="24"/>
          <w:szCs w:val="24"/>
        </w:rPr>
        <w:t xml:space="preserve">lessor </w:t>
      </w:r>
      <w:r w:rsidR="00F91869">
        <w:rPr>
          <w:rFonts w:ascii="Arial" w:hAnsi="Arial" w:cs="Arial"/>
          <w:sz w:val="24"/>
          <w:szCs w:val="24"/>
        </w:rPr>
        <w:t>gave in their notice to vacate</w:t>
      </w:r>
      <w:r w:rsidR="00841F0C">
        <w:rPr>
          <w:rFonts w:ascii="Arial" w:hAnsi="Arial" w:cs="Arial"/>
          <w:sz w:val="24"/>
          <w:szCs w:val="24"/>
        </w:rPr>
        <w:t>. The standard approach in other termination provisions is fairer</w:t>
      </w:r>
      <w:r>
        <w:rPr>
          <w:rFonts w:ascii="Arial" w:hAnsi="Arial" w:cs="Arial"/>
          <w:sz w:val="24"/>
          <w:szCs w:val="24"/>
        </w:rPr>
        <w:t xml:space="preserve"> </w:t>
      </w:r>
      <w:r w:rsidR="00F91869">
        <w:rPr>
          <w:rFonts w:ascii="Arial" w:hAnsi="Arial" w:cs="Arial"/>
          <w:sz w:val="24"/>
          <w:szCs w:val="24"/>
        </w:rPr>
        <w:t xml:space="preserve">in that it </w:t>
      </w:r>
      <w:r>
        <w:rPr>
          <w:rFonts w:ascii="Arial" w:hAnsi="Arial" w:cs="Arial"/>
          <w:sz w:val="24"/>
          <w:szCs w:val="24"/>
        </w:rPr>
        <w:t>reduce</w:t>
      </w:r>
      <w:r w:rsidR="00841F0C">
        <w:rPr>
          <w:rFonts w:ascii="Arial" w:hAnsi="Arial" w:cs="Arial"/>
          <w:sz w:val="24"/>
          <w:szCs w:val="24"/>
        </w:rPr>
        <w:t>s</w:t>
      </w:r>
      <w:r>
        <w:rPr>
          <w:rFonts w:ascii="Arial" w:hAnsi="Arial" w:cs="Arial"/>
          <w:sz w:val="24"/>
          <w:szCs w:val="24"/>
        </w:rPr>
        <w:t xml:space="preserve"> the tenant</w:t>
      </w:r>
      <w:r w:rsidR="00841F0C">
        <w:rPr>
          <w:rFonts w:ascii="Arial" w:hAnsi="Arial" w:cs="Arial"/>
          <w:sz w:val="24"/>
          <w:szCs w:val="24"/>
        </w:rPr>
        <w:t>’</w:t>
      </w:r>
      <w:r>
        <w:rPr>
          <w:rFonts w:ascii="Arial" w:hAnsi="Arial" w:cs="Arial"/>
          <w:sz w:val="24"/>
          <w:szCs w:val="24"/>
        </w:rPr>
        <w:t>s responsibility to pay double rent if they can find alternative accommodation in the notice to vacate period</w:t>
      </w:r>
      <w:r w:rsidR="00841F0C">
        <w:rPr>
          <w:rFonts w:ascii="Arial" w:hAnsi="Arial" w:cs="Arial"/>
          <w:sz w:val="24"/>
          <w:szCs w:val="24"/>
        </w:rPr>
        <w:t>.</w:t>
      </w:r>
    </w:p>
    <w:p w14:paraId="53CDD704" w14:textId="6C3BC8FE" w:rsidR="00B5093D" w:rsidRPr="00B5093D" w:rsidRDefault="00C47E4B" w:rsidP="00C57A11">
      <w:pPr>
        <w:pStyle w:val="ListParagraph"/>
        <w:numPr>
          <w:ilvl w:val="0"/>
          <w:numId w:val="20"/>
        </w:numPr>
        <w:spacing w:after="200" w:line="276" w:lineRule="auto"/>
        <w:rPr>
          <w:rFonts w:ascii="Arial" w:hAnsi="Arial" w:cs="Arial"/>
          <w:sz w:val="24"/>
          <w:szCs w:val="24"/>
        </w:rPr>
      </w:pPr>
      <w:r>
        <w:rPr>
          <w:rFonts w:ascii="Arial" w:hAnsi="Arial" w:cs="Arial"/>
          <w:sz w:val="24"/>
          <w:szCs w:val="24"/>
        </w:rPr>
        <w:t xml:space="preserve">The posting termination clause currently </w:t>
      </w:r>
      <w:r w:rsidRPr="00C47E4B">
        <w:rPr>
          <w:rFonts w:ascii="Arial" w:hAnsi="Arial" w:cs="Arial"/>
          <w:sz w:val="24"/>
          <w:szCs w:val="24"/>
        </w:rPr>
        <w:t>provides that the residential tenancy agreement terminates either 8 weeks after the day the notice to vacate or notice of intention to vacate is received, or, if a later date is stated in the notice, on the stated date</w:t>
      </w:r>
      <w:r w:rsidR="00841F0C">
        <w:rPr>
          <w:rFonts w:ascii="Arial" w:hAnsi="Arial" w:cs="Arial"/>
          <w:sz w:val="24"/>
          <w:szCs w:val="24"/>
        </w:rPr>
        <w:t>. This</w:t>
      </w:r>
      <w:r>
        <w:rPr>
          <w:rFonts w:ascii="Arial" w:hAnsi="Arial" w:cs="Arial"/>
          <w:sz w:val="24"/>
          <w:szCs w:val="24"/>
        </w:rPr>
        <w:t xml:space="preserve"> is inconsistent with other tenancy termination provision</w:t>
      </w:r>
      <w:r w:rsidR="00841F0C">
        <w:rPr>
          <w:rFonts w:ascii="Arial" w:hAnsi="Arial" w:cs="Arial"/>
          <w:sz w:val="24"/>
          <w:szCs w:val="24"/>
        </w:rPr>
        <w:t>s</w:t>
      </w:r>
      <w:r>
        <w:rPr>
          <w:rFonts w:ascii="Arial" w:hAnsi="Arial" w:cs="Arial"/>
          <w:sz w:val="24"/>
          <w:szCs w:val="24"/>
        </w:rPr>
        <w:t xml:space="preserve"> in the RTA</w:t>
      </w:r>
      <w:r w:rsidR="00C67E56">
        <w:rPr>
          <w:rFonts w:ascii="Arial" w:hAnsi="Arial" w:cs="Arial"/>
          <w:sz w:val="24"/>
          <w:szCs w:val="24"/>
        </w:rPr>
        <w:t xml:space="preserve">, which generally provide for the tenancy to end when </w:t>
      </w:r>
      <w:r w:rsidR="00C67E56">
        <w:rPr>
          <w:rFonts w:ascii="Arial" w:hAnsi="Arial" w:cs="Arial"/>
          <w:sz w:val="24"/>
          <w:szCs w:val="24"/>
        </w:rPr>
        <w:lastRenderedPageBreak/>
        <w:t>the tenant vacates the premises</w:t>
      </w:r>
      <w:r w:rsidR="00F91869">
        <w:rPr>
          <w:rFonts w:ascii="Arial" w:hAnsi="Arial" w:cs="Arial"/>
          <w:sz w:val="24"/>
          <w:szCs w:val="24"/>
        </w:rPr>
        <w:t xml:space="preserve"> in accordance with a notice to vacate</w:t>
      </w:r>
      <w:r>
        <w:rPr>
          <w:rFonts w:ascii="Arial" w:hAnsi="Arial" w:cs="Arial"/>
          <w:sz w:val="24"/>
          <w:szCs w:val="24"/>
        </w:rPr>
        <w:t>.</w:t>
      </w:r>
      <w:r w:rsidR="009C1EA8">
        <w:rPr>
          <w:rFonts w:ascii="Arial" w:hAnsi="Arial" w:cs="Arial"/>
          <w:sz w:val="24"/>
          <w:szCs w:val="24"/>
        </w:rPr>
        <w:t xml:space="preserve"> In </w:t>
      </w:r>
      <w:r w:rsidR="00F91869">
        <w:rPr>
          <w:rFonts w:ascii="Arial" w:hAnsi="Arial" w:cs="Arial"/>
          <w:sz w:val="24"/>
          <w:szCs w:val="24"/>
        </w:rPr>
        <w:t>circumstances where</w:t>
      </w:r>
      <w:r w:rsidR="009C1EA8">
        <w:rPr>
          <w:rFonts w:ascii="Arial" w:hAnsi="Arial" w:cs="Arial"/>
          <w:sz w:val="24"/>
          <w:szCs w:val="24"/>
        </w:rPr>
        <w:t xml:space="preserve"> a tenant does not vacate, the RTA require</w:t>
      </w:r>
      <w:r w:rsidR="00C67E56">
        <w:rPr>
          <w:rFonts w:ascii="Arial" w:hAnsi="Arial" w:cs="Arial"/>
          <w:sz w:val="24"/>
          <w:szCs w:val="24"/>
        </w:rPr>
        <w:t>s</w:t>
      </w:r>
      <w:r w:rsidR="009C1EA8">
        <w:rPr>
          <w:rFonts w:ascii="Arial" w:hAnsi="Arial" w:cs="Arial"/>
          <w:sz w:val="24"/>
          <w:szCs w:val="24"/>
        </w:rPr>
        <w:t xml:space="preserve"> the </w:t>
      </w:r>
      <w:r w:rsidR="00FE167F">
        <w:rPr>
          <w:rFonts w:ascii="Arial" w:hAnsi="Arial" w:cs="Arial"/>
          <w:sz w:val="24"/>
          <w:szCs w:val="24"/>
        </w:rPr>
        <w:t xml:space="preserve">lessor </w:t>
      </w:r>
      <w:r w:rsidR="009C1EA8">
        <w:rPr>
          <w:rFonts w:ascii="Arial" w:hAnsi="Arial" w:cs="Arial"/>
          <w:sz w:val="24"/>
          <w:szCs w:val="24"/>
        </w:rPr>
        <w:t xml:space="preserve">to apply </w:t>
      </w:r>
      <w:r w:rsidR="00F91869">
        <w:rPr>
          <w:rFonts w:ascii="Arial" w:hAnsi="Arial" w:cs="Arial"/>
          <w:sz w:val="24"/>
          <w:szCs w:val="24"/>
        </w:rPr>
        <w:t xml:space="preserve">to </w:t>
      </w:r>
      <w:r w:rsidR="009C1EA8">
        <w:rPr>
          <w:rFonts w:ascii="Arial" w:hAnsi="Arial" w:cs="Arial"/>
          <w:sz w:val="24"/>
          <w:szCs w:val="24"/>
        </w:rPr>
        <w:t>ACAT for an order to end the tenancy</w:t>
      </w:r>
      <w:r w:rsidR="00C67E56">
        <w:rPr>
          <w:rFonts w:ascii="Arial" w:hAnsi="Arial" w:cs="Arial"/>
          <w:sz w:val="24"/>
          <w:szCs w:val="24"/>
        </w:rPr>
        <w:t xml:space="preserve">. The omission of this requirement in connection with the posting </w:t>
      </w:r>
      <w:r w:rsidR="0008262C">
        <w:rPr>
          <w:rFonts w:ascii="Arial" w:hAnsi="Arial" w:cs="Arial"/>
          <w:sz w:val="24"/>
          <w:szCs w:val="24"/>
        </w:rPr>
        <w:t xml:space="preserve">termination </w:t>
      </w:r>
      <w:r w:rsidR="00C67E56">
        <w:rPr>
          <w:rFonts w:ascii="Arial" w:hAnsi="Arial" w:cs="Arial"/>
          <w:sz w:val="24"/>
          <w:szCs w:val="24"/>
        </w:rPr>
        <w:t>clause</w:t>
      </w:r>
      <w:r w:rsidR="009C1EA8">
        <w:rPr>
          <w:rFonts w:ascii="Arial" w:hAnsi="Arial" w:cs="Arial"/>
          <w:sz w:val="24"/>
          <w:szCs w:val="24"/>
        </w:rPr>
        <w:t xml:space="preserve"> limits the tenant</w:t>
      </w:r>
      <w:r w:rsidR="00C67E56">
        <w:rPr>
          <w:rFonts w:ascii="Arial" w:hAnsi="Arial" w:cs="Arial"/>
          <w:sz w:val="24"/>
          <w:szCs w:val="24"/>
        </w:rPr>
        <w:t>’</w:t>
      </w:r>
      <w:r w:rsidR="009C1EA8">
        <w:rPr>
          <w:rFonts w:ascii="Arial" w:hAnsi="Arial" w:cs="Arial"/>
          <w:sz w:val="24"/>
          <w:szCs w:val="24"/>
        </w:rPr>
        <w:t xml:space="preserve">s access to </w:t>
      </w:r>
      <w:r w:rsidR="00C67E56">
        <w:rPr>
          <w:rFonts w:ascii="Arial" w:hAnsi="Arial" w:cs="Arial"/>
          <w:sz w:val="24"/>
          <w:szCs w:val="24"/>
        </w:rPr>
        <w:t xml:space="preserve">an important </w:t>
      </w:r>
      <w:r w:rsidR="009C1EA8">
        <w:rPr>
          <w:rFonts w:ascii="Arial" w:hAnsi="Arial" w:cs="Arial"/>
          <w:sz w:val="24"/>
          <w:szCs w:val="24"/>
        </w:rPr>
        <w:t>legal protection</w:t>
      </w:r>
      <w:r w:rsidR="00C67E56">
        <w:rPr>
          <w:rFonts w:ascii="Arial" w:hAnsi="Arial" w:cs="Arial"/>
          <w:sz w:val="24"/>
          <w:szCs w:val="24"/>
        </w:rPr>
        <w:t>.</w:t>
      </w:r>
    </w:p>
    <w:p w14:paraId="192D8E5D" w14:textId="4C9AA4C5" w:rsidR="009C1EA8" w:rsidRPr="00C57A11" w:rsidRDefault="009C1EA8" w:rsidP="00C57A11">
      <w:pPr>
        <w:pStyle w:val="ListParagraph"/>
        <w:numPr>
          <w:ilvl w:val="0"/>
          <w:numId w:val="20"/>
        </w:numPr>
        <w:spacing w:after="200" w:line="276" w:lineRule="auto"/>
        <w:rPr>
          <w:rFonts w:ascii="Arial" w:hAnsi="Arial" w:cs="Arial"/>
          <w:sz w:val="24"/>
          <w:szCs w:val="24"/>
        </w:rPr>
      </w:pPr>
      <w:r w:rsidRPr="009C1EA8">
        <w:rPr>
          <w:rFonts w:ascii="Arial" w:hAnsi="Arial" w:cs="Arial"/>
          <w:sz w:val="24"/>
          <w:szCs w:val="24"/>
        </w:rPr>
        <w:t xml:space="preserve">The posting termination clause also does not permit either the </w:t>
      </w:r>
      <w:r w:rsidR="00FE167F">
        <w:rPr>
          <w:rFonts w:ascii="Arial" w:hAnsi="Arial" w:cs="Arial"/>
          <w:sz w:val="24"/>
          <w:szCs w:val="24"/>
        </w:rPr>
        <w:t>lessor</w:t>
      </w:r>
      <w:r w:rsidR="00FE167F" w:rsidRPr="009C1EA8">
        <w:rPr>
          <w:rFonts w:ascii="Arial" w:hAnsi="Arial" w:cs="Arial"/>
          <w:sz w:val="24"/>
          <w:szCs w:val="24"/>
        </w:rPr>
        <w:t xml:space="preserve"> </w:t>
      </w:r>
      <w:r w:rsidRPr="009C1EA8">
        <w:rPr>
          <w:rFonts w:ascii="Arial" w:hAnsi="Arial" w:cs="Arial"/>
          <w:sz w:val="24"/>
          <w:szCs w:val="24"/>
        </w:rPr>
        <w:t>or tenant to rely on the clause when their domestic partner is the person being posted</w:t>
      </w:r>
      <w:r>
        <w:rPr>
          <w:rFonts w:ascii="Arial" w:hAnsi="Arial" w:cs="Arial"/>
          <w:sz w:val="24"/>
          <w:szCs w:val="24"/>
        </w:rPr>
        <w:t>.</w:t>
      </w:r>
    </w:p>
    <w:p w14:paraId="4FEA953B" w14:textId="63AFF401" w:rsidR="00C67E56" w:rsidRDefault="009C1EA8" w:rsidP="00D111D0">
      <w:pPr>
        <w:rPr>
          <w:rFonts w:ascii="Arial" w:hAnsi="Arial" w:cs="Arial"/>
          <w:sz w:val="24"/>
          <w:szCs w:val="24"/>
        </w:rPr>
      </w:pPr>
      <w:r>
        <w:rPr>
          <w:rFonts w:ascii="Arial" w:hAnsi="Arial" w:cs="Arial"/>
          <w:sz w:val="24"/>
          <w:szCs w:val="24"/>
        </w:rPr>
        <w:t xml:space="preserve">The new provisions under this Bill will broaden the scope of legal protections under posting </w:t>
      </w:r>
      <w:r w:rsidR="0008262C">
        <w:rPr>
          <w:rFonts w:ascii="Arial" w:hAnsi="Arial" w:cs="Arial"/>
          <w:sz w:val="24"/>
          <w:szCs w:val="24"/>
        </w:rPr>
        <w:t xml:space="preserve">termination </w:t>
      </w:r>
      <w:r>
        <w:rPr>
          <w:rFonts w:ascii="Arial" w:hAnsi="Arial" w:cs="Arial"/>
          <w:sz w:val="24"/>
          <w:szCs w:val="24"/>
        </w:rPr>
        <w:t>clauses, to</w:t>
      </w:r>
      <w:r w:rsidR="00C67E56">
        <w:rPr>
          <w:rFonts w:ascii="Arial" w:hAnsi="Arial" w:cs="Arial"/>
          <w:sz w:val="24"/>
          <w:szCs w:val="24"/>
        </w:rPr>
        <w:t>:</w:t>
      </w:r>
      <w:r>
        <w:rPr>
          <w:rFonts w:ascii="Arial" w:hAnsi="Arial" w:cs="Arial"/>
          <w:sz w:val="24"/>
          <w:szCs w:val="24"/>
        </w:rPr>
        <w:t xml:space="preserve"> </w:t>
      </w:r>
    </w:p>
    <w:p w14:paraId="0F092F93" w14:textId="1679C0A9" w:rsidR="00C67E56" w:rsidRPr="00C57A11" w:rsidRDefault="009C1EA8" w:rsidP="00C57A11">
      <w:pPr>
        <w:pStyle w:val="ListParagraph"/>
        <w:numPr>
          <w:ilvl w:val="0"/>
          <w:numId w:val="21"/>
        </w:numPr>
        <w:spacing w:after="200" w:line="276" w:lineRule="auto"/>
        <w:rPr>
          <w:rFonts w:ascii="Arial" w:hAnsi="Arial" w:cs="Arial"/>
          <w:sz w:val="24"/>
          <w:szCs w:val="24"/>
        </w:rPr>
      </w:pPr>
      <w:r>
        <w:rPr>
          <w:rFonts w:ascii="Arial" w:hAnsi="Arial" w:cs="Arial"/>
          <w:sz w:val="24"/>
          <w:szCs w:val="24"/>
        </w:rPr>
        <w:t xml:space="preserve">enable tenants who have received an 8 week notice to vacate under the posting termination clause, to provide their </w:t>
      </w:r>
      <w:r w:rsidR="00FE167F">
        <w:rPr>
          <w:rFonts w:ascii="Arial" w:hAnsi="Arial" w:cs="Arial"/>
          <w:sz w:val="24"/>
          <w:szCs w:val="24"/>
        </w:rPr>
        <w:t xml:space="preserve">lessors </w:t>
      </w:r>
      <w:r>
        <w:rPr>
          <w:rFonts w:ascii="Arial" w:hAnsi="Arial" w:cs="Arial"/>
          <w:sz w:val="24"/>
          <w:szCs w:val="24"/>
        </w:rPr>
        <w:t>with a notice of their intention to vacate</w:t>
      </w:r>
      <w:r w:rsidR="00C67E56">
        <w:rPr>
          <w:rFonts w:ascii="Arial" w:hAnsi="Arial" w:cs="Arial"/>
          <w:sz w:val="24"/>
          <w:szCs w:val="24"/>
        </w:rPr>
        <w:t xml:space="preserve"> </w:t>
      </w:r>
      <w:r w:rsidR="00F91869">
        <w:rPr>
          <w:rFonts w:ascii="Arial" w:hAnsi="Arial" w:cs="Arial"/>
          <w:sz w:val="24"/>
          <w:szCs w:val="24"/>
        </w:rPr>
        <w:t xml:space="preserve">with </w:t>
      </w:r>
      <w:r w:rsidR="00C67E56">
        <w:rPr>
          <w:rFonts w:ascii="Arial" w:hAnsi="Arial" w:cs="Arial"/>
          <w:sz w:val="24"/>
          <w:szCs w:val="24"/>
        </w:rPr>
        <w:t xml:space="preserve">an earlier </w:t>
      </w:r>
      <w:r w:rsidR="00F91869">
        <w:rPr>
          <w:rFonts w:ascii="Arial" w:hAnsi="Arial" w:cs="Arial"/>
          <w:sz w:val="24"/>
          <w:szCs w:val="24"/>
        </w:rPr>
        <w:t xml:space="preserve">vacate </w:t>
      </w:r>
      <w:r w:rsidR="00C67E56">
        <w:rPr>
          <w:rFonts w:ascii="Arial" w:hAnsi="Arial" w:cs="Arial"/>
          <w:sz w:val="24"/>
          <w:szCs w:val="24"/>
        </w:rPr>
        <w:t>date</w:t>
      </w:r>
      <w:r w:rsidR="00F91869">
        <w:rPr>
          <w:rFonts w:ascii="Arial" w:hAnsi="Arial" w:cs="Arial"/>
          <w:sz w:val="24"/>
          <w:szCs w:val="24"/>
        </w:rPr>
        <w:t xml:space="preserve"> than that given in their </w:t>
      </w:r>
      <w:r w:rsidR="00FE167F">
        <w:rPr>
          <w:rFonts w:ascii="Arial" w:hAnsi="Arial" w:cs="Arial"/>
          <w:sz w:val="24"/>
          <w:szCs w:val="24"/>
        </w:rPr>
        <w:t xml:space="preserve">lessor’s </w:t>
      </w:r>
      <w:r w:rsidR="00F91869">
        <w:rPr>
          <w:rFonts w:ascii="Arial" w:hAnsi="Arial" w:cs="Arial"/>
          <w:sz w:val="24"/>
          <w:szCs w:val="24"/>
        </w:rPr>
        <w:t xml:space="preserve">notice to vacate. </w:t>
      </w:r>
    </w:p>
    <w:p w14:paraId="7486DCF2" w14:textId="23B76C12" w:rsidR="00C67E56" w:rsidRDefault="009C1EA8" w:rsidP="00C57A11">
      <w:pPr>
        <w:pStyle w:val="ListParagraph"/>
        <w:numPr>
          <w:ilvl w:val="0"/>
          <w:numId w:val="21"/>
        </w:numPr>
        <w:spacing w:after="200" w:line="276" w:lineRule="auto"/>
        <w:rPr>
          <w:rFonts w:ascii="Arial" w:hAnsi="Arial" w:cs="Arial"/>
          <w:sz w:val="24"/>
          <w:szCs w:val="24"/>
        </w:rPr>
      </w:pPr>
      <w:r>
        <w:rPr>
          <w:rFonts w:ascii="Arial" w:hAnsi="Arial" w:cs="Arial"/>
          <w:sz w:val="24"/>
          <w:szCs w:val="24"/>
        </w:rPr>
        <w:t xml:space="preserve">provide that </w:t>
      </w:r>
      <w:r w:rsidR="00241B2C">
        <w:rPr>
          <w:rFonts w:ascii="Arial" w:hAnsi="Arial" w:cs="Arial"/>
          <w:sz w:val="24"/>
          <w:szCs w:val="24"/>
        </w:rPr>
        <w:t xml:space="preserve">the </w:t>
      </w:r>
      <w:r>
        <w:rPr>
          <w:rFonts w:ascii="Arial" w:hAnsi="Arial" w:cs="Arial"/>
          <w:sz w:val="24"/>
          <w:szCs w:val="24"/>
        </w:rPr>
        <w:t>tenancy will end when a tenant vacates the tenancy agreement in accordance with the notice, and</w:t>
      </w:r>
    </w:p>
    <w:p w14:paraId="5EED1770" w14:textId="57E0BE54" w:rsidR="00C67E56" w:rsidRPr="00C57A11" w:rsidRDefault="009C1EA8" w:rsidP="00C57A11">
      <w:pPr>
        <w:pStyle w:val="ListParagraph"/>
        <w:numPr>
          <w:ilvl w:val="0"/>
          <w:numId w:val="21"/>
        </w:numPr>
        <w:spacing w:after="200" w:line="276" w:lineRule="auto"/>
        <w:rPr>
          <w:rFonts w:ascii="Arial" w:hAnsi="Arial" w:cs="Arial"/>
          <w:sz w:val="24"/>
          <w:szCs w:val="24"/>
        </w:rPr>
      </w:pPr>
      <w:r>
        <w:rPr>
          <w:rFonts w:ascii="Arial" w:hAnsi="Arial" w:cs="Arial"/>
          <w:sz w:val="24"/>
          <w:szCs w:val="24"/>
        </w:rPr>
        <w:t xml:space="preserve">allow either </w:t>
      </w:r>
      <w:r w:rsidRPr="009C1EA8">
        <w:rPr>
          <w:rFonts w:ascii="Arial" w:hAnsi="Arial" w:cs="Arial"/>
          <w:sz w:val="24"/>
          <w:szCs w:val="24"/>
        </w:rPr>
        <w:t xml:space="preserve">the tenant or the </w:t>
      </w:r>
      <w:r w:rsidR="00FE167F">
        <w:rPr>
          <w:rFonts w:ascii="Arial" w:hAnsi="Arial" w:cs="Arial"/>
          <w:sz w:val="24"/>
          <w:szCs w:val="24"/>
        </w:rPr>
        <w:t>lessor</w:t>
      </w:r>
      <w:r w:rsidR="00FE167F" w:rsidRPr="009C1EA8">
        <w:rPr>
          <w:rFonts w:ascii="Arial" w:hAnsi="Arial" w:cs="Arial"/>
          <w:sz w:val="24"/>
          <w:szCs w:val="24"/>
        </w:rPr>
        <w:t xml:space="preserve"> </w:t>
      </w:r>
      <w:r w:rsidRPr="009C1EA8">
        <w:rPr>
          <w:rFonts w:ascii="Arial" w:hAnsi="Arial" w:cs="Arial"/>
          <w:sz w:val="24"/>
          <w:szCs w:val="24"/>
        </w:rPr>
        <w:t xml:space="preserve">to rely on the posting </w:t>
      </w:r>
      <w:r w:rsidR="0008262C">
        <w:rPr>
          <w:rFonts w:ascii="Arial" w:hAnsi="Arial" w:cs="Arial"/>
          <w:sz w:val="24"/>
          <w:szCs w:val="24"/>
        </w:rPr>
        <w:t xml:space="preserve">termination </w:t>
      </w:r>
      <w:r w:rsidRPr="009C1EA8">
        <w:rPr>
          <w:rFonts w:ascii="Arial" w:hAnsi="Arial" w:cs="Arial"/>
          <w:sz w:val="24"/>
          <w:szCs w:val="24"/>
        </w:rPr>
        <w:t>clause when their domestic partner (who is not a party to the tenancy agreement) is the person being posted.</w:t>
      </w:r>
    </w:p>
    <w:p w14:paraId="5DC7EFA9" w14:textId="64B6A656" w:rsidR="009F3939" w:rsidRPr="000D192F" w:rsidRDefault="006E77B4" w:rsidP="00B5093D">
      <w:pPr>
        <w:keepNext/>
        <w:rPr>
          <w:rFonts w:ascii="Arial" w:hAnsi="Arial" w:cs="Arial"/>
          <w:b/>
          <w:bCs/>
          <w:sz w:val="24"/>
          <w:szCs w:val="24"/>
        </w:rPr>
      </w:pPr>
      <w:r>
        <w:rPr>
          <w:rFonts w:ascii="Arial" w:hAnsi="Arial" w:cs="Arial"/>
          <w:b/>
          <w:bCs/>
          <w:sz w:val="24"/>
          <w:szCs w:val="24"/>
        </w:rPr>
        <w:t>Updating references to the Commonwealth Aged Care Act 2024 (Cth)</w:t>
      </w:r>
      <w:r w:rsidRPr="000D192F" w:rsidDel="006E77B4">
        <w:rPr>
          <w:rFonts w:ascii="Arial" w:hAnsi="Arial" w:cs="Arial"/>
          <w:b/>
          <w:bCs/>
          <w:sz w:val="24"/>
          <w:szCs w:val="24"/>
        </w:rPr>
        <w:t xml:space="preserve"> </w:t>
      </w:r>
    </w:p>
    <w:p w14:paraId="6124BF84" w14:textId="67210928" w:rsidR="009F3939" w:rsidRPr="009F3939" w:rsidRDefault="009F3939" w:rsidP="00B5093D">
      <w:pPr>
        <w:keepNext/>
        <w:rPr>
          <w:rFonts w:ascii="Arial" w:hAnsi="Arial" w:cs="Arial"/>
          <w:sz w:val="24"/>
          <w:szCs w:val="24"/>
        </w:rPr>
      </w:pPr>
      <w:r w:rsidRPr="009F3939">
        <w:rPr>
          <w:rFonts w:ascii="Arial" w:hAnsi="Arial" w:cs="Arial"/>
          <w:sz w:val="24"/>
          <w:szCs w:val="24"/>
        </w:rPr>
        <w:t xml:space="preserve">In late 2024, the Federal Parliament passed the </w:t>
      </w:r>
      <w:r w:rsidRPr="006E77B4">
        <w:rPr>
          <w:rFonts w:ascii="Arial" w:hAnsi="Arial" w:cs="Arial"/>
          <w:i/>
          <w:iCs/>
          <w:sz w:val="24"/>
          <w:szCs w:val="24"/>
        </w:rPr>
        <w:t>Aged Care Act 2024</w:t>
      </w:r>
      <w:r w:rsidRPr="009F3939">
        <w:rPr>
          <w:rFonts w:ascii="Arial" w:hAnsi="Arial" w:cs="Arial"/>
          <w:sz w:val="24"/>
          <w:szCs w:val="24"/>
        </w:rPr>
        <w:t xml:space="preserve"> (Cth) (the </w:t>
      </w:r>
      <w:r w:rsidR="00B5093D">
        <w:rPr>
          <w:rFonts w:ascii="Arial" w:hAnsi="Arial" w:cs="Arial"/>
          <w:sz w:val="24"/>
          <w:szCs w:val="24"/>
        </w:rPr>
        <w:br/>
      </w:r>
      <w:r w:rsidRPr="00AD26E4">
        <w:rPr>
          <w:rFonts w:ascii="Arial" w:hAnsi="Arial" w:cs="Arial"/>
          <w:b/>
          <w:bCs/>
          <w:sz w:val="24"/>
          <w:szCs w:val="24"/>
        </w:rPr>
        <w:t>new Act</w:t>
      </w:r>
      <w:r w:rsidRPr="009F3939">
        <w:rPr>
          <w:rFonts w:ascii="Arial" w:hAnsi="Arial" w:cs="Arial"/>
          <w:sz w:val="24"/>
          <w:szCs w:val="24"/>
        </w:rPr>
        <w:t xml:space="preserve">). It </w:t>
      </w:r>
      <w:r w:rsidR="00241B2C">
        <w:rPr>
          <w:rFonts w:ascii="Arial" w:hAnsi="Arial" w:cs="Arial"/>
          <w:sz w:val="24"/>
          <w:szCs w:val="24"/>
        </w:rPr>
        <w:t xml:space="preserve">is anticipated to </w:t>
      </w:r>
      <w:r w:rsidRPr="009F3939">
        <w:rPr>
          <w:rFonts w:ascii="Arial" w:hAnsi="Arial" w:cs="Arial"/>
          <w:sz w:val="24"/>
          <w:szCs w:val="24"/>
        </w:rPr>
        <w:t xml:space="preserve">commence on 1 July 2025. On commencement, the new Act will repeal the </w:t>
      </w:r>
      <w:r w:rsidRPr="006E77B4">
        <w:rPr>
          <w:rFonts w:ascii="Arial" w:hAnsi="Arial" w:cs="Arial"/>
          <w:i/>
          <w:iCs/>
          <w:sz w:val="24"/>
          <w:szCs w:val="24"/>
        </w:rPr>
        <w:t>Aged Care Act 1997</w:t>
      </w:r>
      <w:r w:rsidRPr="009F3939">
        <w:rPr>
          <w:rFonts w:ascii="Arial" w:hAnsi="Arial" w:cs="Arial"/>
          <w:sz w:val="24"/>
          <w:szCs w:val="24"/>
        </w:rPr>
        <w:t xml:space="preserve"> (Cth) (the </w:t>
      </w:r>
      <w:r w:rsidRPr="00AD26E4">
        <w:rPr>
          <w:rFonts w:ascii="Arial" w:hAnsi="Arial" w:cs="Arial"/>
          <w:b/>
          <w:bCs/>
          <w:sz w:val="24"/>
          <w:szCs w:val="24"/>
        </w:rPr>
        <w:t>current Act</w:t>
      </w:r>
      <w:r w:rsidRPr="009F3939">
        <w:rPr>
          <w:rFonts w:ascii="Arial" w:hAnsi="Arial" w:cs="Arial"/>
          <w:sz w:val="24"/>
          <w:szCs w:val="24"/>
        </w:rPr>
        <w:t xml:space="preserve">). </w:t>
      </w:r>
      <w:r w:rsidR="00305639">
        <w:rPr>
          <w:rFonts w:ascii="Arial" w:hAnsi="Arial" w:cs="Arial"/>
          <w:sz w:val="24"/>
          <w:szCs w:val="24"/>
        </w:rPr>
        <w:t>Schedule</w:t>
      </w:r>
      <w:r w:rsidR="00E44CE0">
        <w:rPr>
          <w:rFonts w:ascii="Arial" w:hAnsi="Arial" w:cs="Arial"/>
          <w:sz w:val="24"/>
          <w:szCs w:val="24"/>
        </w:rPr>
        <w:t xml:space="preserve"> 1 of t</w:t>
      </w:r>
      <w:r w:rsidRPr="009F3939">
        <w:rPr>
          <w:rFonts w:ascii="Arial" w:hAnsi="Arial" w:cs="Arial"/>
          <w:sz w:val="24"/>
          <w:szCs w:val="24"/>
        </w:rPr>
        <w:t>he Bill contains amendments to ACT legislation to replace references to the current Act with references to the new Act and to make associated updates to terminology used in the new Act. The following legislation is amended:</w:t>
      </w:r>
    </w:p>
    <w:p w14:paraId="59D41DE4" w14:textId="04CC3685" w:rsidR="009F3939" w:rsidRPr="00E44CE0" w:rsidRDefault="006E77B4" w:rsidP="000D192F">
      <w:pPr>
        <w:pStyle w:val="ListParagraph"/>
        <w:numPr>
          <w:ilvl w:val="0"/>
          <w:numId w:val="6"/>
        </w:numPr>
        <w:spacing w:line="360" w:lineRule="auto"/>
        <w:rPr>
          <w:rFonts w:ascii="Arial" w:hAnsi="Arial" w:cs="Arial"/>
          <w:i/>
          <w:iCs/>
          <w:sz w:val="24"/>
          <w:szCs w:val="24"/>
        </w:rPr>
      </w:pPr>
      <w:r w:rsidRPr="00AD26E4">
        <w:rPr>
          <w:rFonts w:ascii="Arial" w:hAnsi="Arial" w:cs="Arial"/>
          <w:sz w:val="24"/>
          <w:szCs w:val="24"/>
        </w:rPr>
        <w:t>CLSORPA</w:t>
      </w:r>
      <w:r w:rsidR="009F3939" w:rsidRPr="00E44CE0">
        <w:rPr>
          <w:rFonts w:ascii="Arial" w:hAnsi="Arial" w:cs="Arial"/>
          <w:i/>
          <w:iCs/>
          <w:sz w:val="24"/>
          <w:szCs w:val="24"/>
        </w:rPr>
        <w:t>;</w:t>
      </w:r>
    </w:p>
    <w:p w14:paraId="7C60855D" w14:textId="01154758" w:rsidR="009F3939" w:rsidRPr="00E44CE0" w:rsidRDefault="009F3939" w:rsidP="000D192F">
      <w:pPr>
        <w:pStyle w:val="ListParagraph"/>
        <w:numPr>
          <w:ilvl w:val="0"/>
          <w:numId w:val="6"/>
        </w:numPr>
        <w:spacing w:line="360" w:lineRule="auto"/>
        <w:rPr>
          <w:rFonts w:ascii="Arial" w:hAnsi="Arial" w:cs="Arial"/>
          <w:i/>
          <w:iCs/>
          <w:sz w:val="24"/>
          <w:szCs w:val="24"/>
        </w:rPr>
      </w:pPr>
      <w:r w:rsidRPr="00E44CE0">
        <w:rPr>
          <w:rFonts w:ascii="Arial" w:hAnsi="Arial" w:cs="Arial"/>
          <w:i/>
          <w:iCs/>
          <w:sz w:val="24"/>
          <w:szCs w:val="24"/>
        </w:rPr>
        <w:t>Disability Services Act 1991;</w:t>
      </w:r>
    </w:p>
    <w:p w14:paraId="03B10A60" w14:textId="6954FC50" w:rsidR="009F3939" w:rsidRDefault="009F3939" w:rsidP="000D192F">
      <w:pPr>
        <w:pStyle w:val="ListParagraph"/>
        <w:numPr>
          <w:ilvl w:val="0"/>
          <w:numId w:val="6"/>
        </w:numPr>
        <w:spacing w:line="360" w:lineRule="auto"/>
        <w:rPr>
          <w:rFonts w:ascii="Arial" w:hAnsi="Arial" w:cs="Arial"/>
          <w:i/>
          <w:iCs/>
          <w:sz w:val="24"/>
          <w:szCs w:val="24"/>
        </w:rPr>
      </w:pPr>
      <w:r w:rsidRPr="00E44CE0">
        <w:rPr>
          <w:rFonts w:ascii="Arial" w:hAnsi="Arial" w:cs="Arial"/>
          <w:i/>
          <w:iCs/>
          <w:sz w:val="24"/>
          <w:szCs w:val="24"/>
        </w:rPr>
        <w:t xml:space="preserve">Powers of Attorney Act 2006; </w:t>
      </w:r>
    </w:p>
    <w:p w14:paraId="3FC2F1D6" w14:textId="64DF2EA2" w:rsidR="00A94D6F" w:rsidRPr="00A94D6F" w:rsidRDefault="00A94D6F" w:rsidP="00A94D6F">
      <w:pPr>
        <w:pStyle w:val="ListParagraph"/>
        <w:numPr>
          <w:ilvl w:val="0"/>
          <w:numId w:val="6"/>
        </w:numPr>
        <w:spacing w:after="120"/>
        <w:ind w:left="714" w:hanging="357"/>
        <w:rPr>
          <w:rFonts w:ascii="Arial" w:hAnsi="Arial" w:cs="Arial"/>
          <w:sz w:val="28"/>
          <w:szCs w:val="28"/>
        </w:rPr>
      </w:pPr>
      <w:r>
        <w:rPr>
          <w:rFonts w:ascii="Arial" w:hAnsi="Arial" w:cs="Arial"/>
          <w:i/>
          <w:iCs/>
          <w:sz w:val="24"/>
          <w:szCs w:val="24"/>
        </w:rPr>
        <w:t>Medical Treatment (Health Directions) Act 2006</w:t>
      </w:r>
    </w:p>
    <w:p w14:paraId="1F1737C3" w14:textId="29544B68" w:rsidR="009F3939" w:rsidRPr="00E44CE0" w:rsidRDefault="006E77B4" w:rsidP="00A94D6F">
      <w:pPr>
        <w:pStyle w:val="ListParagraph"/>
        <w:numPr>
          <w:ilvl w:val="0"/>
          <w:numId w:val="6"/>
        </w:numPr>
        <w:spacing w:after="120" w:line="360" w:lineRule="auto"/>
        <w:ind w:left="714" w:hanging="357"/>
        <w:rPr>
          <w:rFonts w:ascii="Arial" w:hAnsi="Arial" w:cs="Arial"/>
          <w:i/>
          <w:iCs/>
          <w:sz w:val="24"/>
          <w:szCs w:val="24"/>
        </w:rPr>
      </w:pPr>
      <w:r w:rsidRPr="00AD26E4">
        <w:rPr>
          <w:rFonts w:ascii="Arial" w:hAnsi="Arial" w:cs="Arial"/>
          <w:sz w:val="24"/>
          <w:szCs w:val="24"/>
        </w:rPr>
        <w:t>RTA</w:t>
      </w:r>
      <w:r w:rsidR="009F3939" w:rsidRPr="00E44CE0">
        <w:rPr>
          <w:rFonts w:ascii="Arial" w:hAnsi="Arial" w:cs="Arial"/>
          <w:i/>
          <w:iCs/>
          <w:sz w:val="24"/>
          <w:szCs w:val="24"/>
        </w:rPr>
        <w:t>;</w:t>
      </w:r>
    </w:p>
    <w:p w14:paraId="5BD8EED1" w14:textId="0E4ABBCF" w:rsidR="009F3939" w:rsidRPr="00E44CE0" w:rsidRDefault="009F3939" w:rsidP="000D192F">
      <w:pPr>
        <w:pStyle w:val="ListParagraph"/>
        <w:numPr>
          <w:ilvl w:val="0"/>
          <w:numId w:val="6"/>
        </w:numPr>
        <w:spacing w:line="360" w:lineRule="auto"/>
        <w:rPr>
          <w:rFonts w:ascii="Arial" w:hAnsi="Arial" w:cs="Arial"/>
          <w:i/>
          <w:iCs/>
          <w:sz w:val="24"/>
          <w:szCs w:val="24"/>
        </w:rPr>
      </w:pPr>
      <w:r w:rsidRPr="00E44CE0">
        <w:rPr>
          <w:rFonts w:ascii="Arial" w:hAnsi="Arial" w:cs="Arial"/>
          <w:i/>
          <w:iCs/>
          <w:sz w:val="24"/>
          <w:szCs w:val="24"/>
        </w:rPr>
        <w:t xml:space="preserve">Retirement Villages Act 2012; </w:t>
      </w:r>
    </w:p>
    <w:p w14:paraId="381436C8" w14:textId="4F1B4F5F" w:rsidR="009F3939" w:rsidRPr="00E44CE0" w:rsidRDefault="009F3939" w:rsidP="000D192F">
      <w:pPr>
        <w:pStyle w:val="ListParagraph"/>
        <w:numPr>
          <w:ilvl w:val="0"/>
          <w:numId w:val="6"/>
        </w:numPr>
        <w:spacing w:line="360" w:lineRule="auto"/>
        <w:rPr>
          <w:rFonts w:ascii="Arial" w:hAnsi="Arial" w:cs="Arial"/>
          <w:i/>
          <w:iCs/>
          <w:sz w:val="24"/>
          <w:szCs w:val="24"/>
        </w:rPr>
      </w:pPr>
      <w:r w:rsidRPr="00E44CE0">
        <w:rPr>
          <w:rFonts w:ascii="Arial" w:hAnsi="Arial" w:cs="Arial"/>
          <w:i/>
          <w:iCs/>
          <w:sz w:val="24"/>
          <w:szCs w:val="24"/>
        </w:rPr>
        <w:t>Retirement Villages Regulation 2013</w:t>
      </w:r>
      <w:r w:rsidRPr="00C57A11">
        <w:rPr>
          <w:rFonts w:ascii="Arial" w:hAnsi="Arial" w:cs="Arial"/>
          <w:sz w:val="24"/>
          <w:szCs w:val="24"/>
        </w:rPr>
        <w:t>; and</w:t>
      </w:r>
    </w:p>
    <w:p w14:paraId="1394938A" w14:textId="52A843DB" w:rsidR="009F3939" w:rsidRPr="00AD26E4" w:rsidRDefault="009F3939" w:rsidP="000D192F">
      <w:pPr>
        <w:pStyle w:val="ListParagraph"/>
        <w:numPr>
          <w:ilvl w:val="0"/>
          <w:numId w:val="6"/>
        </w:numPr>
        <w:spacing w:line="360" w:lineRule="auto"/>
        <w:rPr>
          <w:rFonts w:cs="Arial"/>
          <w:i/>
          <w:iCs/>
          <w:szCs w:val="24"/>
        </w:rPr>
      </w:pPr>
      <w:r w:rsidRPr="00E44CE0">
        <w:rPr>
          <w:rFonts w:ascii="Arial" w:hAnsi="Arial" w:cs="Arial"/>
          <w:i/>
          <w:iCs/>
          <w:sz w:val="24"/>
          <w:szCs w:val="24"/>
        </w:rPr>
        <w:t xml:space="preserve">Working with Vulnerable People (Background </w:t>
      </w:r>
      <w:r w:rsidRPr="00AD26E4">
        <w:rPr>
          <w:rFonts w:ascii="Arial" w:hAnsi="Arial" w:cs="Arial"/>
          <w:i/>
          <w:iCs/>
          <w:sz w:val="24"/>
          <w:szCs w:val="24"/>
        </w:rPr>
        <w:t>Checking) Act 2011.</w:t>
      </w:r>
    </w:p>
    <w:p w14:paraId="1E002791" w14:textId="1550F3E8" w:rsidR="00E90DF9" w:rsidRDefault="00E90DF9" w:rsidP="00DD5279">
      <w:pPr>
        <w:pStyle w:val="Heading2"/>
      </w:pPr>
      <w:r>
        <w:lastRenderedPageBreak/>
        <w:t xml:space="preserve">CONSISTENCY WITH </w:t>
      </w:r>
      <w:r w:rsidRPr="008C225D">
        <w:t>HUMAN RIGHTS</w:t>
      </w:r>
    </w:p>
    <w:p w14:paraId="31D57A63" w14:textId="6AFCD495" w:rsidR="007B5FF4" w:rsidRPr="00AD26E4" w:rsidRDefault="007B5FF4" w:rsidP="00DD5279">
      <w:pPr>
        <w:keepNext/>
        <w:rPr>
          <w:rFonts w:ascii="Arial" w:hAnsi="Arial" w:cs="Arial"/>
          <w:b/>
          <w:i/>
          <w:sz w:val="28"/>
          <w:szCs w:val="28"/>
        </w:rPr>
      </w:pPr>
      <w:r w:rsidRPr="00AD26E4">
        <w:rPr>
          <w:rFonts w:ascii="Arial" w:hAnsi="Arial" w:cs="Arial"/>
          <w:b/>
          <w:i/>
          <w:color w:val="000000" w:themeColor="text1"/>
          <w:sz w:val="24"/>
          <w:szCs w:val="28"/>
        </w:rPr>
        <w:t>Rights Engaged</w:t>
      </w:r>
    </w:p>
    <w:p w14:paraId="677E8F7F" w14:textId="40D9A148" w:rsidR="007B5FF4" w:rsidRDefault="007B5FF4" w:rsidP="00DD5279">
      <w:pPr>
        <w:keepNext/>
        <w:rPr>
          <w:rFonts w:ascii="Arial" w:hAnsi="Arial" w:cs="Arial"/>
          <w:sz w:val="24"/>
          <w:szCs w:val="24"/>
        </w:rPr>
      </w:pPr>
      <w:r w:rsidRPr="000D192F">
        <w:rPr>
          <w:rFonts w:ascii="Arial" w:hAnsi="Arial" w:cs="Arial"/>
          <w:sz w:val="24"/>
          <w:szCs w:val="24"/>
        </w:rPr>
        <w:t>The Bill engages the following sections of the Human Rights Act 2004 (</w:t>
      </w:r>
      <w:r w:rsidRPr="000D192F">
        <w:rPr>
          <w:rFonts w:ascii="Arial" w:hAnsi="Arial" w:cs="Arial"/>
          <w:b/>
          <w:bCs/>
          <w:sz w:val="24"/>
          <w:szCs w:val="24"/>
        </w:rPr>
        <w:t>HRA</w:t>
      </w:r>
      <w:r w:rsidRPr="000D192F">
        <w:rPr>
          <w:rFonts w:ascii="Arial" w:hAnsi="Arial" w:cs="Arial"/>
          <w:sz w:val="24"/>
          <w:szCs w:val="24"/>
        </w:rPr>
        <w:t>)</w:t>
      </w:r>
      <w:r>
        <w:rPr>
          <w:rFonts w:ascii="Arial" w:hAnsi="Arial" w:cs="Arial"/>
          <w:sz w:val="24"/>
          <w:szCs w:val="24"/>
        </w:rPr>
        <w:t>:</w:t>
      </w:r>
    </w:p>
    <w:p w14:paraId="7B30F59B" w14:textId="0F07A878" w:rsidR="007B5FF4" w:rsidRDefault="007B5FF4" w:rsidP="000D192F">
      <w:pPr>
        <w:pStyle w:val="ListParagraph"/>
        <w:numPr>
          <w:ilvl w:val="0"/>
          <w:numId w:val="3"/>
        </w:numPr>
        <w:spacing w:line="360" w:lineRule="auto"/>
        <w:rPr>
          <w:rFonts w:ascii="Arial" w:hAnsi="Arial" w:cs="Arial"/>
          <w:sz w:val="24"/>
          <w:szCs w:val="24"/>
        </w:rPr>
      </w:pPr>
      <w:r>
        <w:rPr>
          <w:rFonts w:ascii="Arial" w:hAnsi="Arial" w:cs="Arial"/>
          <w:sz w:val="24"/>
          <w:szCs w:val="24"/>
        </w:rPr>
        <w:t>Section 8 – right to recognition and equality before the law</w:t>
      </w:r>
      <w:r w:rsidR="00C90C96">
        <w:rPr>
          <w:rFonts w:ascii="Arial" w:hAnsi="Arial" w:cs="Arial"/>
          <w:sz w:val="24"/>
          <w:szCs w:val="24"/>
        </w:rPr>
        <w:t xml:space="preserve"> </w:t>
      </w:r>
      <w:r w:rsidR="00305639">
        <w:rPr>
          <w:rFonts w:ascii="Arial" w:hAnsi="Arial" w:cs="Arial"/>
          <w:sz w:val="24"/>
          <w:szCs w:val="24"/>
        </w:rPr>
        <w:t>(</w:t>
      </w:r>
      <w:r w:rsidR="004625DC">
        <w:rPr>
          <w:rFonts w:ascii="Arial" w:hAnsi="Arial" w:cs="Arial"/>
          <w:i/>
          <w:iCs/>
          <w:sz w:val="24"/>
          <w:szCs w:val="24"/>
        </w:rPr>
        <w:t>engaged</w:t>
      </w:r>
      <w:r w:rsidR="00305639">
        <w:rPr>
          <w:rFonts w:ascii="Arial" w:hAnsi="Arial" w:cs="Arial"/>
          <w:sz w:val="24"/>
          <w:szCs w:val="24"/>
        </w:rPr>
        <w:t>)</w:t>
      </w:r>
    </w:p>
    <w:p w14:paraId="09826033" w14:textId="794EDF6F" w:rsidR="00241B2C" w:rsidRDefault="00241B2C" w:rsidP="000D192F">
      <w:pPr>
        <w:pStyle w:val="ListParagraph"/>
        <w:numPr>
          <w:ilvl w:val="0"/>
          <w:numId w:val="3"/>
        </w:numPr>
        <w:spacing w:line="360" w:lineRule="auto"/>
        <w:rPr>
          <w:rFonts w:ascii="Arial" w:hAnsi="Arial" w:cs="Arial"/>
          <w:sz w:val="24"/>
          <w:szCs w:val="24"/>
        </w:rPr>
      </w:pPr>
      <w:r>
        <w:rPr>
          <w:rFonts w:ascii="Arial" w:hAnsi="Arial" w:cs="Arial"/>
          <w:sz w:val="24"/>
          <w:szCs w:val="24"/>
        </w:rPr>
        <w:t xml:space="preserve">Section 11 – right protection of the family and children </w:t>
      </w:r>
      <w:r w:rsidRPr="00512851">
        <w:rPr>
          <w:rFonts w:ascii="Arial" w:hAnsi="Arial" w:cs="Arial"/>
          <w:i/>
          <w:iCs/>
          <w:sz w:val="24"/>
          <w:szCs w:val="24"/>
        </w:rPr>
        <w:t>(promoted)</w:t>
      </w:r>
    </w:p>
    <w:p w14:paraId="01F62114" w14:textId="3B4CB9D8" w:rsidR="007B5FF4" w:rsidRDefault="007B5FF4" w:rsidP="000D192F">
      <w:pPr>
        <w:pStyle w:val="ListParagraph"/>
        <w:numPr>
          <w:ilvl w:val="0"/>
          <w:numId w:val="3"/>
        </w:numPr>
        <w:spacing w:line="360" w:lineRule="auto"/>
        <w:rPr>
          <w:rFonts w:ascii="Arial" w:hAnsi="Arial" w:cs="Arial"/>
          <w:sz w:val="24"/>
          <w:szCs w:val="24"/>
        </w:rPr>
      </w:pPr>
      <w:r>
        <w:rPr>
          <w:rFonts w:ascii="Arial" w:hAnsi="Arial" w:cs="Arial"/>
          <w:sz w:val="24"/>
          <w:szCs w:val="24"/>
        </w:rPr>
        <w:t>Section 12 – right to privacy</w:t>
      </w:r>
      <w:r w:rsidR="00C90C96">
        <w:rPr>
          <w:rFonts w:ascii="Arial" w:hAnsi="Arial" w:cs="Arial"/>
          <w:sz w:val="24"/>
          <w:szCs w:val="24"/>
        </w:rPr>
        <w:t xml:space="preserve"> (</w:t>
      </w:r>
      <w:r w:rsidR="00C90C96" w:rsidRPr="000D192F">
        <w:rPr>
          <w:rFonts w:ascii="Arial" w:hAnsi="Arial" w:cs="Arial"/>
          <w:i/>
          <w:iCs/>
          <w:sz w:val="24"/>
          <w:szCs w:val="24"/>
        </w:rPr>
        <w:t>promoted</w:t>
      </w:r>
      <w:r w:rsidR="00663329">
        <w:rPr>
          <w:rFonts w:ascii="Arial" w:hAnsi="Arial" w:cs="Arial"/>
          <w:i/>
          <w:iCs/>
          <w:sz w:val="24"/>
          <w:szCs w:val="24"/>
        </w:rPr>
        <w:t xml:space="preserve"> and limited</w:t>
      </w:r>
      <w:r w:rsidR="00C90C96">
        <w:rPr>
          <w:rFonts w:ascii="Arial" w:hAnsi="Arial" w:cs="Arial"/>
          <w:sz w:val="24"/>
          <w:szCs w:val="24"/>
        </w:rPr>
        <w:t>)</w:t>
      </w:r>
    </w:p>
    <w:p w14:paraId="738A410F" w14:textId="6FB98966" w:rsidR="00C90C96" w:rsidRDefault="00C90C96" w:rsidP="000D192F">
      <w:pPr>
        <w:pStyle w:val="ListParagraph"/>
        <w:numPr>
          <w:ilvl w:val="0"/>
          <w:numId w:val="3"/>
        </w:numPr>
        <w:spacing w:line="360" w:lineRule="auto"/>
        <w:rPr>
          <w:rFonts w:ascii="Arial" w:hAnsi="Arial" w:cs="Arial"/>
          <w:sz w:val="24"/>
          <w:szCs w:val="24"/>
        </w:rPr>
      </w:pPr>
      <w:r>
        <w:rPr>
          <w:rFonts w:ascii="Arial" w:hAnsi="Arial" w:cs="Arial"/>
          <w:sz w:val="24"/>
          <w:szCs w:val="24"/>
        </w:rPr>
        <w:t>Section 13 – right to freedom of movement</w:t>
      </w:r>
      <w:r w:rsidR="00305639">
        <w:rPr>
          <w:rFonts w:ascii="Arial" w:hAnsi="Arial" w:cs="Arial"/>
          <w:sz w:val="24"/>
          <w:szCs w:val="24"/>
        </w:rPr>
        <w:t xml:space="preserve"> (</w:t>
      </w:r>
      <w:r w:rsidR="00305639" w:rsidRPr="00D85BD6">
        <w:rPr>
          <w:rFonts w:ascii="Arial" w:hAnsi="Arial" w:cs="Arial"/>
          <w:i/>
          <w:iCs/>
          <w:sz w:val="24"/>
          <w:szCs w:val="24"/>
        </w:rPr>
        <w:t>limited</w:t>
      </w:r>
      <w:r w:rsidR="00305639">
        <w:rPr>
          <w:rFonts w:ascii="Arial" w:hAnsi="Arial" w:cs="Arial"/>
          <w:sz w:val="24"/>
          <w:szCs w:val="24"/>
        </w:rPr>
        <w:t>)</w:t>
      </w:r>
    </w:p>
    <w:p w14:paraId="75DBBDD8" w14:textId="58746A31" w:rsidR="009640F3" w:rsidRPr="005610B4" w:rsidRDefault="00C90C96" w:rsidP="005610B4">
      <w:pPr>
        <w:pStyle w:val="ListParagraph"/>
        <w:numPr>
          <w:ilvl w:val="0"/>
          <w:numId w:val="3"/>
        </w:numPr>
        <w:spacing w:after="120" w:line="360" w:lineRule="auto"/>
        <w:ind w:left="714" w:hanging="357"/>
        <w:rPr>
          <w:rFonts w:ascii="Arial" w:hAnsi="Arial" w:cs="Arial"/>
          <w:sz w:val="24"/>
          <w:szCs w:val="24"/>
        </w:rPr>
      </w:pPr>
      <w:r>
        <w:rPr>
          <w:rFonts w:ascii="Arial" w:hAnsi="Arial" w:cs="Arial"/>
          <w:sz w:val="24"/>
          <w:szCs w:val="24"/>
        </w:rPr>
        <w:t>Section 18 – right to liberty</w:t>
      </w:r>
      <w:r w:rsidR="00305639">
        <w:rPr>
          <w:rFonts w:ascii="Arial" w:hAnsi="Arial" w:cs="Arial"/>
          <w:sz w:val="24"/>
          <w:szCs w:val="24"/>
        </w:rPr>
        <w:t xml:space="preserve"> (</w:t>
      </w:r>
      <w:r w:rsidR="00305639" w:rsidRPr="00D85BD6">
        <w:rPr>
          <w:rFonts w:ascii="Arial" w:hAnsi="Arial" w:cs="Arial"/>
          <w:i/>
          <w:iCs/>
          <w:sz w:val="24"/>
          <w:szCs w:val="24"/>
        </w:rPr>
        <w:t>limited</w:t>
      </w:r>
      <w:r w:rsidR="00305639">
        <w:rPr>
          <w:rFonts w:ascii="Arial" w:hAnsi="Arial" w:cs="Arial"/>
          <w:sz w:val="24"/>
          <w:szCs w:val="24"/>
        </w:rPr>
        <w:t>)</w:t>
      </w:r>
    </w:p>
    <w:p w14:paraId="53BBC3F3" w14:textId="688949A9" w:rsidR="00C90C96" w:rsidRPr="000D192F" w:rsidRDefault="00C90C96" w:rsidP="000D192F">
      <w:pPr>
        <w:rPr>
          <w:rFonts w:ascii="Arial" w:hAnsi="Arial" w:cs="Arial"/>
          <w:sz w:val="24"/>
          <w:szCs w:val="24"/>
        </w:rPr>
      </w:pPr>
      <w:r>
        <w:rPr>
          <w:rFonts w:ascii="Arial" w:hAnsi="Arial" w:cs="Arial"/>
          <w:sz w:val="24"/>
          <w:szCs w:val="24"/>
        </w:rPr>
        <w:t>The ways in which the Bill does this are set out below.</w:t>
      </w:r>
    </w:p>
    <w:p w14:paraId="421AABB9" w14:textId="7CF3A5AE" w:rsidR="004625DC" w:rsidRDefault="004625DC" w:rsidP="001035FC">
      <w:pPr>
        <w:pStyle w:val="Heading2"/>
        <w:rPr>
          <w:rFonts w:cs="Arial"/>
          <w:bCs/>
          <w:i/>
          <w:iCs/>
          <w:szCs w:val="24"/>
          <w:lang w:eastAsia="en-AU"/>
        </w:rPr>
      </w:pPr>
      <w:bookmarkStart w:id="2" w:name="OLE_LINK1"/>
      <w:r>
        <w:rPr>
          <w:rFonts w:cs="Arial"/>
          <w:bCs/>
          <w:i/>
          <w:iCs/>
          <w:szCs w:val="24"/>
          <w:lang w:eastAsia="en-AU"/>
        </w:rPr>
        <w:t>Rights engaged</w:t>
      </w:r>
    </w:p>
    <w:p w14:paraId="59A58BBB" w14:textId="391EE13F" w:rsidR="004625DC" w:rsidRDefault="004625DC" w:rsidP="004625DC">
      <w:pPr>
        <w:rPr>
          <w:rFonts w:ascii="Arial" w:hAnsi="Arial" w:cs="Arial"/>
          <w:sz w:val="24"/>
          <w:szCs w:val="24"/>
          <w:u w:val="single"/>
          <w:lang w:eastAsia="en-AU"/>
        </w:rPr>
      </w:pPr>
      <w:r>
        <w:rPr>
          <w:rFonts w:ascii="Arial" w:hAnsi="Arial" w:cs="Arial"/>
          <w:sz w:val="24"/>
          <w:szCs w:val="24"/>
          <w:u w:val="single"/>
          <w:lang w:eastAsia="en-AU"/>
        </w:rPr>
        <w:t>Discrimination Act amendments – r</w:t>
      </w:r>
      <w:r w:rsidRPr="008B7AFA">
        <w:rPr>
          <w:rFonts w:ascii="Arial" w:hAnsi="Arial" w:cs="Arial"/>
          <w:sz w:val="24"/>
          <w:szCs w:val="24"/>
          <w:u w:val="single"/>
          <w:lang w:eastAsia="en-AU"/>
        </w:rPr>
        <w:t xml:space="preserve">ight to </w:t>
      </w:r>
      <w:r>
        <w:rPr>
          <w:rFonts w:ascii="Arial" w:hAnsi="Arial" w:cs="Arial"/>
          <w:sz w:val="24"/>
          <w:szCs w:val="24"/>
          <w:u w:val="single"/>
          <w:lang w:eastAsia="en-AU"/>
        </w:rPr>
        <w:t>recognition and equality before the law</w:t>
      </w:r>
    </w:p>
    <w:p w14:paraId="1ADE749D" w14:textId="49AE13C9" w:rsidR="00903207" w:rsidRDefault="004625DC" w:rsidP="004625DC">
      <w:pPr>
        <w:rPr>
          <w:rFonts w:ascii="Arial" w:hAnsi="Arial" w:cs="Arial"/>
          <w:sz w:val="24"/>
          <w:szCs w:val="24"/>
          <w:lang w:eastAsia="en-AU"/>
        </w:rPr>
      </w:pPr>
      <w:r>
        <w:rPr>
          <w:rFonts w:ascii="Arial" w:hAnsi="Arial" w:cs="Arial"/>
          <w:sz w:val="24"/>
          <w:szCs w:val="24"/>
          <w:lang w:eastAsia="en-AU"/>
        </w:rPr>
        <w:t>Under section 8 of the HRA, everyone has the right to enjoy their human rights without distinction or discrimination of any kind. The Bill</w:t>
      </w:r>
      <w:r w:rsidRPr="00663329">
        <w:rPr>
          <w:rFonts w:ascii="Arial" w:hAnsi="Arial" w:cs="Arial"/>
          <w:sz w:val="24"/>
          <w:szCs w:val="24"/>
          <w:lang w:eastAsia="en-AU"/>
        </w:rPr>
        <w:t xml:space="preserve"> may engage th</w:t>
      </w:r>
      <w:r>
        <w:rPr>
          <w:rFonts w:ascii="Arial" w:hAnsi="Arial" w:cs="Arial"/>
          <w:sz w:val="24"/>
          <w:szCs w:val="24"/>
          <w:lang w:eastAsia="en-AU"/>
        </w:rPr>
        <w:t>is</w:t>
      </w:r>
      <w:r w:rsidRPr="00663329">
        <w:rPr>
          <w:rFonts w:ascii="Arial" w:hAnsi="Arial" w:cs="Arial"/>
          <w:sz w:val="24"/>
          <w:szCs w:val="24"/>
          <w:lang w:eastAsia="en-AU"/>
        </w:rPr>
        <w:t xml:space="preserve"> right because </w:t>
      </w:r>
      <w:r>
        <w:rPr>
          <w:rFonts w:ascii="Arial" w:hAnsi="Arial" w:cs="Arial"/>
          <w:sz w:val="24"/>
          <w:szCs w:val="24"/>
          <w:lang w:eastAsia="en-AU"/>
        </w:rPr>
        <w:t xml:space="preserve">of the amendment to the Discrimination Act relating to the definition </w:t>
      </w:r>
      <w:r w:rsidRPr="00663329">
        <w:rPr>
          <w:rFonts w:ascii="Arial" w:hAnsi="Arial" w:cs="Arial"/>
          <w:sz w:val="24"/>
          <w:szCs w:val="24"/>
          <w:lang w:eastAsia="en-AU"/>
        </w:rPr>
        <w:t xml:space="preserve">of </w:t>
      </w:r>
      <w:r w:rsidRPr="00663329">
        <w:rPr>
          <w:rFonts w:ascii="Arial" w:hAnsi="Arial" w:cs="Arial"/>
          <w:i/>
          <w:iCs/>
          <w:sz w:val="24"/>
          <w:szCs w:val="24"/>
          <w:lang w:eastAsia="en-AU"/>
        </w:rPr>
        <w:t>irrelevant criminal record</w:t>
      </w:r>
      <w:r w:rsidRPr="00663329">
        <w:rPr>
          <w:rFonts w:ascii="Arial" w:hAnsi="Arial" w:cs="Arial"/>
          <w:sz w:val="24"/>
          <w:szCs w:val="24"/>
          <w:lang w:eastAsia="en-AU"/>
        </w:rPr>
        <w:t xml:space="preserve">. However, the amendment </w:t>
      </w:r>
      <w:r w:rsidR="00903207">
        <w:rPr>
          <w:rFonts w:ascii="Arial" w:hAnsi="Arial" w:cs="Arial"/>
          <w:sz w:val="24"/>
          <w:szCs w:val="24"/>
          <w:lang w:eastAsia="en-AU"/>
        </w:rPr>
        <w:t>does not</w:t>
      </w:r>
      <w:r w:rsidRPr="00663329">
        <w:rPr>
          <w:rFonts w:ascii="Arial" w:hAnsi="Arial" w:cs="Arial"/>
          <w:sz w:val="24"/>
          <w:szCs w:val="24"/>
          <w:lang w:eastAsia="en-AU"/>
        </w:rPr>
        <w:t xml:space="preserve"> limit this right because it </w:t>
      </w:r>
      <w:r w:rsidR="00903207">
        <w:rPr>
          <w:rFonts w:ascii="Arial" w:hAnsi="Arial" w:cs="Arial"/>
          <w:sz w:val="24"/>
          <w:szCs w:val="24"/>
          <w:lang w:eastAsia="en-AU"/>
        </w:rPr>
        <w:t xml:space="preserve">merely </w:t>
      </w:r>
      <w:r w:rsidRPr="00663329">
        <w:rPr>
          <w:rFonts w:ascii="Arial" w:hAnsi="Arial" w:cs="Arial"/>
          <w:sz w:val="24"/>
          <w:szCs w:val="24"/>
          <w:lang w:eastAsia="en-AU"/>
        </w:rPr>
        <w:t>clarifies the interaction between</w:t>
      </w:r>
      <w:r>
        <w:rPr>
          <w:rFonts w:ascii="Arial" w:hAnsi="Arial" w:cs="Arial"/>
          <w:sz w:val="24"/>
          <w:szCs w:val="24"/>
          <w:lang w:eastAsia="en-AU"/>
        </w:rPr>
        <w:t xml:space="preserve"> th</w:t>
      </w:r>
      <w:r w:rsidR="00903207">
        <w:rPr>
          <w:rFonts w:ascii="Arial" w:hAnsi="Arial" w:cs="Arial"/>
          <w:sz w:val="24"/>
          <w:szCs w:val="24"/>
          <w:lang w:eastAsia="en-AU"/>
        </w:rPr>
        <w:t>e Discrimination</w:t>
      </w:r>
      <w:r>
        <w:rPr>
          <w:rFonts w:ascii="Arial" w:hAnsi="Arial" w:cs="Arial"/>
          <w:sz w:val="24"/>
          <w:szCs w:val="24"/>
          <w:lang w:eastAsia="en-AU"/>
        </w:rPr>
        <w:t xml:space="preserve"> Act and the</w:t>
      </w:r>
      <w:r w:rsidR="00903207">
        <w:rPr>
          <w:rFonts w:ascii="Arial" w:hAnsi="Arial" w:cs="Arial"/>
          <w:sz w:val="24"/>
          <w:szCs w:val="24"/>
          <w:lang w:eastAsia="en-AU"/>
        </w:rPr>
        <w:t xml:space="preserve"> exclusions in the</w:t>
      </w:r>
      <w:r>
        <w:rPr>
          <w:rFonts w:ascii="Arial" w:hAnsi="Arial" w:cs="Arial"/>
          <w:sz w:val="24"/>
          <w:szCs w:val="24"/>
          <w:lang w:eastAsia="en-AU"/>
        </w:rPr>
        <w:t xml:space="preserve"> </w:t>
      </w:r>
      <w:r w:rsidRPr="00D84C14">
        <w:rPr>
          <w:rFonts w:ascii="Arial" w:hAnsi="Arial" w:cs="Arial"/>
          <w:sz w:val="24"/>
          <w:szCs w:val="24"/>
          <w:lang w:eastAsia="en-AU"/>
        </w:rPr>
        <w:t>Spent Convictions Act</w:t>
      </w:r>
      <w:r w:rsidR="00903207">
        <w:rPr>
          <w:rFonts w:ascii="Arial" w:hAnsi="Arial" w:cs="Arial"/>
          <w:sz w:val="24"/>
          <w:szCs w:val="24"/>
          <w:lang w:eastAsia="en-AU"/>
        </w:rPr>
        <w:t xml:space="preserve">, which are </w:t>
      </w:r>
      <w:r w:rsidRPr="00663329">
        <w:rPr>
          <w:rFonts w:ascii="Arial" w:hAnsi="Arial" w:cs="Arial"/>
          <w:sz w:val="24"/>
          <w:szCs w:val="24"/>
          <w:lang w:eastAsia="en-AU"/>
        </w:rPr>
        <w:t xml:space="preserve">already in operation. </w:t>
      </w:r>
      <w:r>
        <w:rPr>
          <w:rFonts w:ascii="Arial" w:hAnsi="Arial" w:cs="Arial"/>
          <w:sz w:val="24"/>
          <w:szCs w:val="24"/>
          <w:lang w:eastAsia="en-AU"/>
        </w:rPr>
        <w:t>There is no intention to reduce the scope of the protection afforded by the Discrimination Act</w:t>
      </w:r>
      <w:r w:rsidR="00903207">
        <w:rPr>
          <w:rFonts w:ascii="Arial" w:hAnsi="Arial" w:cs="Arial"/>
          <w:sz w:val="24"/>
          <w:szCs w:val="24"/>
          <w:lang w:eastAsia="en-AU"/>
        </w:rPr>
        <w:t xml:space="preserve"> – if a person is treated unfavourably or experiences disadvantage because of a spent conviction that is irrelevant in the circumstances, this may still amount to unlawful discrimination.</w:t>
      </w:r>
    </w:p>
    <w:p w14:paraId="7E4BCE88" w14:textId="53F3F7F6" w:rsidR="004625DC" w:rsidRPr="00663329" w:rsidRDefault="004625DC" w:rsidP="00663329">
      <w:pPr>
        <w:rPr>
          <w:rFonts w:ascii="Arial" w:hAnsi="Arial" w:cs="Arial"/>
          <w:sz w:val="24"/>
          <w:szCs w:val="24"/>
          <w:lang w:eastAsia="en-AU"/>
        </w:rPr>
      </w:pPr>
      <w:r w:rsidRPr="00663329">
        <w:rPr>
          <w:rFonts w:ascii="Arial" w:hAnsi="Arial" w:cs="Arial"/>
          <w:sz w:val="24"/>
          <w:szCs w:val="24"/>
          <w:lang w:eastAsia="en-AU"/>
        </w:rPr>
        <w:t>The amendment would also support various human rights protected by the exclusions in s</w:t>
      </w:r>
      <w:r w:rsidR="00903207">
        <w:rPr>
          <w:rFonts w:ascii="Arial" w:hAnsi="Arial" w:cs="Arial"/>
          <w:sz w:val="24"/>
          <w:szCs w:val="24"/>
          <w:lang w:eastAsia="en-AU"/>
        </w:rPr>
        <w:t>ection</w:t>
      </w:r>
      <w:r w:rsidRPr="00663329">
        <w:rPr>
          <w:rFonts w:ascii="Arial" w:hAnsi="Arial" w:cs="Arial"/>
          <w:sz w:val="24"/>
          <w:szCs w:val="24"/>
          <w:lang w:eastAsia="en-AU"/>
        </w:rPr>
        <w:t xml:space="preserve"> 19 of the Spent Convictions Act (e.g. rights of children </w:t>
      </w:r>
      <w:r w:rsidR="00903207">
        <w:rPr>
          <w:rFonts w:ascii="Arial" w:hAnsi="Arial" w:cs="Arial"/>
          <w:sz w:val="24"/>
          <w:szCs w:val="24"/>
          <w:lang w:eastAsia="en-AU"/>
        </w:rPr>
        <w:br/>
      </w:r>
      <w:r w:rsidRPr="00663329">
        <w:rPr>
          <w:rFonts w:ascii="Arial" w:hAnsi="Arial" w:cs="Arial"/>
          <w:sz w:val="24"/>
          <w:szCs w:val="24"/>
          <w:lang w:eastAsia="en-AU"/>
        </w:rPr>
        <w:t>(section 11(2)</w:t>
      </w:r>
      <w:r w:rsidR="00903207">
        <w:rPr>
          <w:rFonts w:ascii="Arial" w:hAnsi="Arial" w:cs="Arial"/>
          <w:sz w:val="24"/>
          <w:szCs w:val="24"/>
          <w:lang w:eastAsia="en-AU"/>
        </w:rPr>
        <w:t xml:space="preserve"> HRA</w:t>
      </w:r>
      <w:r w:rsidRPr="00663329">
        <w:rPr>
          <w:rFonts w:ascii="Arial" w:hAnsi="Arial" w:cs="Arial"/>
          <w:sz w:val="24"/>
          <w:szCs w:val="24"/>
          <w:lang w:eastAsia="en-AU"/>
        </w:rPr>
        <w:t>), security of person (section 18(1)</w:t>
      </w:r>
      <w:r w:rsidR="00903207">
        <w:rPr>
          <w:rFonts w:ascii="Arial" w:hAnsi="Arial" w:cs="Arial"/>
          <w:sz w:val="24"/>
          <w:szCs w:val="24"/>
          <w:lang w:eastAsia="en-AU"/>
        </w:rPr>
        <w:t xml:space="preserve"> HRA</w:t>
      </w:r>
      <w:r w:rsidRPr="00663329">
        <w:rPr>
          <w:rFonts w:ascii="Arial" w:hAnsi="Arial" w:cs="Arial"/>
          <w:sz w:val="24"/>
          <w:szCs w:val="24"/>
          <w:lang w:eastAsia="en-AU"/>
        </w:rPr>
        <w:t>), equal protection of the law (section</w:t>
      </w:r>
      <w:r w:rsidR="00903207">
        <w:rPr>
          <w:rFonts w:ascii="Arial" w:hAnsi="Arial" w:cs="Arial"/>
          <w:sz w:val="24"/>
          <w:szCs w:val="24"/>
          <w:lang w:eastAsia="en-AU"/>
        </w:rPr>
        <w:t> </w:t>
      </w:r>
      <w:r w:rsidRPr="00663329">
        <w:rPr>
          <w:rFonts w:ascii="Arial" w:hAnsi="Arial" w:cs="Arial"/>
          <w:sz w:val="24"/>
          <w:szCs w:val="24"/>
          <w:lang w:eastAsia="en-AU"/>
        </w:rPr>
        <w:t>8(3)</w:t>
      </w:r>
      <w:r w:rsidR="00903207">
        <w:rPr>
          <w:rFonts w:ascii="Arial" w:hAnsi="Arial" w:cs="Arial"/>
          <w:sz w:val="24"/>
          <w:szCs w:val="24"/>
          <w:lang w:eastAsia="en-AU"/>
        </w:rPr>
        <w:t xml:space="preserve"> HRA</w:t>
      </w:r>
      <w:r w:rsidRPr="00663329">
        <w:rPr>
          <w:rFonts w:ascii="Arial" w:hAnsi="Arial" w:cs="Arial"/>
          <w:sz w:val="24"/>
          <w:szCs w:val="24"/>
          <w:lang w:eastAsia="en-AU"/>
        </w:rPr>
        <w:t>) with respect to care of older people and those with disability).</w:t>
      </w:r>
    </w:p>
    <w:p w14:paraId="00876F20" w14:textId="5FE8BA9C" w:rsidR="00E90DF9" w:rsidRPr="000D192F" w:rsidRDefault="00C90C96" w:rsidP="001035FC">
      <w:pPr>
        <w:pStyle w:val="Heading2"/>
        <w:rPr>
          <w:rFonts w:cs="Arial"/>
          <w:bCs/>
          <w:i/>
          <w:iCs/>
          <w:szCs w:val="24"/>
          <w:lang w:eastAsia="en-AU"/>
        </w:rPr>
      </w:pPr>
      <w:r w:rsidRPr="000D192F">
        <w:rPr>
          <w:rFonts w:cs="Arial"/>
          <w:bCs/>
          <w:i/>
          <w:iCs/>
          <w:szCs w:val="24"/>
          <w:lang w:eastAsia="en-AU"/>
        </w:rPr>
        <w:t>Rights promoted</w:t>
      </w:r>
    </w:p>
    <w:p w14:paraId="22E4A067" w14:textId="70B40EEB" w:rsidR="00DB701C" w:rsidRDefault="00DB701C" w:rsidP="004002C7">
      <w:pPr>
        <w:rPr>
          <w:rFonts w:ascii="Arial" w:hAnsi="Arial" w:cs="Arial"/>
          <w:sz w:val="24"/>
          <w:szCs w:val="24"/>
          <w:lang w:eastAsia="en-AU"/>
        </w:rPr>
      </w:pPr>
      <w:r>
        <w:rPr>
          <w:rFonts w:ascii="Arial" w:hAnsi="Arial" w:cs="Arial"/>
          <w:sz w:val="24"/>
          <w:szCs w:val="24"/>
          <w:lang w:eastAsia="en-AU"/>
        </w:rPr>
        <w:t>Under section 12 of the HRA, everyone has the right not to have their privacy, family, home or correspondent interfered with unlawfully or arbitrarily and not have their reputation unlawfully attacked.</w:t>
      </w:r>
    </w:p>
    <w:p w14:paraId="06C8E30B" w14:textId="63F2796D" w:rsidR="00507BEB" w:rsidRDefault="00507BEB" w:rsidP="004002C7">
      <w:pPr>
        <w:rPr>
          <w:rFonts w:ascii="Arial" w:hAnsi="Arial" w:cs="Arial"/>
          <w:sz w:val="24"/>
          <w:szCs w:val="24"/>
          <w:lang w:eastAsia="en-AU"/>
        </w:rPr>
      </w:pPr>
      <w:r>
        <w:rPr>
          <w:rFonts w:ascii="Arial" w:hAnsi="Arial" w:cs="Arial"/>
          <w:sz w:val="24"/>
          <w:szCs w:val="24"/>
          <w:lang w:eastAsia="en-AU"/>
        </w:rPr>
        <w:t xml:space="preserve">Under section 11 of the HRA, the right to </w:t>
      </w:r>
      <w:r w:rsidR="0008262C">
        <w:rPr>
          <w:rFonts w:ascii="Arial" w:hAnsi="Arial" w:cs="Arial"/>
          <w:sz w:val="24"/>
          <w:szCs w:val="24"/>
          <w:lang w:eastAsia="en-AU"/>
        </w:rPr>
        <w:t>p</w:t>
      </w:r>
      <w:r>
        <w:rPr>
          <w:rFonts w:ascii="Arial" w:hAnsi="Arial" w:cs="Arial"/>
          <w:sz w:val="24"/>
          <w:szCs w:val="24"/>
          <w:lang w:eastAsia="en-AU"/>
        </w:rPr>
        <w:t xml:space="preserve">rotection of the family and children </w:t>
      </w:r>
      <w:r w:rsidRPr="00507BEB">
        <w:rPr>
          <w:rFonts w:ascii="Arial" w:hAnsi="Arial" w:cs="Arial"/>
          <w:sz w:val="24"/>
          <w:szCs w:val="24"/>
          <w:lang w:eastAsia="en-AU"/>
        </w:rPr>
        <w:t>recognises the importance of the family unit in making up society and the benefits that come from preserving family relations</w:t>
      </w:r>
      <w:r>
        <w:rPr>
          <w:rFonts w:ascii="Arial" w:hAnsi="Arial" w:cs="Arial"/>
          <w:sz w:val="24"/>
          <w:szCs w:val="24"/>
          <w:lang w:eastAsia="en-AU"/>
        </w:rPr>
        <w:t>.</w:t>
      </w:r>
      <w:r w:rsidRPr="00507BEB">
        <w:rPr>
          <w:rFonts w:ascii="Arial" w:hAnsi="Arial" w:cs="Arial"/>
          <w:sz w:val="24"/>
          <w:szCs w:val="24"/>
          <w:lang w:eastAsia="en-AU"/>
        </w:rPr>
        <w:t xml:space="preserve"> It further recognises that families should not be subject to arbitrary interference or separation by public authorities</w:t>
      </w:r>
      <w:r>
        <w:rPr>
          <w:rFonts w:ascii="Arial" w:hAnsi="Arial" w:cs="Arial"/>
          <w:sz w:val="24"/>
          <w:szCs w:val="24"/>
          <w:lang w:eastAsia="en-AU"/>
        </w:rPr>
        <w:t xml:space="preserve">. The right also protects the special human rights of children, taking into account their particular vulnerabilities. </w:t>
      </w:r>
    </w:p>
    <w:p w14:paraId="3A82D54B" w14:textId="06E6315A" w:rsidR="00DB701C" w:rsidRDefault="00DB701C" w:rsidP="005610B4">
      <w:pPr>
        <w:keepNext/>
        <w:rPr>
          <w:rFonts w:ascii="Arial" w:hAnsi="Arial" w:cs="Arial"/>
          <w:sz w:val="24"/>
          <w:szCs w:val="24"/>
          <w:lang w:eastAsia="en-AU"/>
        </w:rPr>
      </w:pPr>
      <w:r w:rsidRPr="00AD26E4">
        <w:rPr>
          <w:rFonts w:ascii="Arial" w:hAnsi="Arial" w:cs="Arial"/>
          <w:sz w:val="24"/>
          <w:szCs w:val="24"/>
          <w:u w:val="single"/>
          <w:lang w:eastAsia="en-AU"/>
        </w:rPr>
        <w:lastRenderedPageBreak/>
        <w:t>IP Act</w:t>
      </w:r>
      <w:r>
        <w:rPr>
          <w:rFonts w:ascii="Arial" w:hAnsi="Arial" w:cs="Arial"/>
          <w:sz w:val="24"/>
          <w:szCs w:val="24"/>
          <w:u w:val="single"/>
          <w:lang w:eastAsia="en-AU"/>
        </w:rPr>
        <w:t xml:space="preserve"> amendments</w:t>
      </w:r>
      <w:r w:rsidRPr="00AD26E4">
        <w:rPr>
          <w:rFonts w:ascii="Arial" w:hAnsi="Arial" w:cs="Arial"/>
          <w:sz w:val="24"/>
          <w:szCs w:val="24"/>
          <w:u w:val="single"/>
          <w:lang w:eastAsia="en-AU"/>
        </w:rPr>
        <w:t xml:space="preserve"> – right to privacy</w:t>
      </w:r>
    </w:p>
    <w:p w14:paraId="791144FA" w14:textId="7C288BA9" w:rsidR="004002C7" w:rsidRDefault="004002C7" w:rsidP="005610B4">
      <w:pPr>
        <w:keepNext/>
        <w:rPr>
          <w:rFonts w:ascii="Arial" w:hAnsi="Arial" w:cs="Arial"/>
          <w:sz w:val="24"/>
          <w:szCs w:val="24"/>
          <w:lang w:eastAsia="en-AU"/>
        </w:rPr>
      </w:pPr>
      <w:r w:rsidRPr="000D192F">
        <w:rPr>
          <w:rFonts w:ascii="Arial" w:hAnsi="Arial" w:cs="Arial"/>
          <w:sz w:val="24"/>
          <w:szCs w:val="24"/>
          <w:lang w:eastAsia="en-AU"/>
        </w:rPr>
        <w:t xml:space="preserve">The Bill specifically promotes the right to </w:t>
      </w:r>
      <w:r>
        <w:rPr>
          <w:rFonts w:ascii="Arial" w:hAnsi="Arial" w:cs="Arial"/>
          <w:sz w:val="24"/>
          <w:szCs w:val="24"/>
          <w:lang w:eastAsia="en-AU"/>
        </w:rPr>
        <w:t xml:space="preserve">privacy by improving complaint handling for breaches of privacy by ACT public authorities. </w:t>
      </w:r>
    </w:p>
    <w:p w14:paraId="70E4A42D" w14:textId="560E54AB" w:rsidR="00D06E39" w:rsidRDefault="00D06E39" w:rsidP="004002C7">
      <w:pPr>
        <w:rPr>
          <w:rFonts w:ascii="Arial" w:hAnsi="Arial" w:cs="Arial"/>
          <w:sz w:val="24"/>
          <w:szCs w:val="24"/>
          <w:lang w:eastAsia="zh-TW"/>
        </w:rPr>
      </w:pPr>
      <w:r>
        <w:rPr>
          <w:rFonts w:ascii="Arial" w:hAnsi="Arial" w:cs="Arial"/>
          <w:sz w:val="24"/>
          <w:szCs w:val="24"/>
          <w:lang w:eastAsia="en-AU"/>
        </w:rPr>
        <w:t>The amendments to the IP Act will provide the IP Commissioner with provisions to support their ability to investigate privacy complaints as set out in section 29 of the IP</w:t>
      </w:r>
      <w:r w:rsidR="004625DC">
        <w:rPr>
          <w:rFonts w:ascii="Arial" w:hAnsi="Arial" w:cs="Arial"/>
          <w:sz w:val="24"/>
          <w:szCs w:val="24"/>
          <w:lang w:eastAsia="en-AU"/>
        </w:rPr>
        <w:t> </w:t>
      </w:r>
      <w:r>
        <w:rPr>
          <w:rFonts w:ascii="Arial" w:hAnsi="Arial" w:cs="Arial"/>
          <w:sz w:val="24"/>
          <w:szCs w:val="24"/>
          <w:lang w:eastAsia="en-AU"/>
        </w:rPr>
        <w:t>Act, by undertaking conciliation</w:t>
      </w:r>
      <w:r w:rsidR="004625DC">
        <w:rPr>
          <w:rFonts w:ascii="Arial" w:hAnsi="Arial" w:cs="Arial"/>
          <w:sz w:val="24"/>
          <w:szCs w:val="24"/>
          <w:lang w:eastAsia="en-AU"/>
        </w:rPr>
        <w:t>s in appropriate cases</w:t>
      </w:r>
      <w:r>
        <w:rPr>
          <w:rFonts w:ascii="Arial" w:hAnsi="Arial" w:cs="Arial"/>
          <w:sz w:val="24"/>
          <w:szCs w:val="24"/>
          <w:lang w:eastAsia="en-AU"/>
        </w:rPr>
        <w:t xml:space="preserve">. The conciliation framework within this Bill </w:t>
      </w:r>
      <w:r w:rsidR="004625DC">
        <w:rPr>
          <w:rFonts w:ascii="Arial" w:hAnsi="Arial" w:cs="Arial"/>
          <w:sz w:val="24"/>
          <w:szCs w:val="24"/>
          <w:lang w:eastAsia="en-AU"/>
        </w:rPr>
        <w:t>will</w:t>
      </w:r>
      <w:r>
        <w:rPr>
          <w:rFonts w:ascii="Arial" w:hAnsi="Arial" w:cs="Arial"/>
          <w:sz w:val="24"/>
          <w:szCs w:val="24"/>
          <w:lang w:eastAsia="en-AU"/>
        </w:rPr>
        <w:t xml:space="preserve"> facilitate better complaints resolution</w:t>
      </w:r>
      <w:r w:rsidRPr="00D06E39">
        <w:rPr>
          <w:lang w:eastAsia="zh-TW"/>
        </w:rPr>
        <w:t xml:space="preserve"> </w:t>
      </w:r>
      <w:r w:rsidRPr="00AD26E4">
        <w:rPr>
          <w:rFonts w:ascii="Arial" w:hAnsi="Arial" w:cs="Arial"/>
          <w:sz w:val="24"/>
          <w:szCs w:val="24"/>
          <w:lang w:eastAsia="zh-TW"/>
        </w:rPr>
        <w:t>for complainants raising issues about breaches of privacy under the Territory Privacy Principles</w:t>
      </w:r>
      <w:r>
        <w:rPr>
          <w:rFonts w:ascii="Arial" w:hAnsi="Arial" w:cs="Arial"/>
          <w:sz w:val="24"/>
          <w:szCs w:val="24"/>
          <w:lang w:eastAsia="zh-TW"/>
        </w:rPr>
        <w:t>.</w:t>
      </w:r>
    </w:p>
    <w:p w14:paraId="6E01D315" w14:textId="7A6CE10E" w:rsidR="00DB701C" w:rsidRPr="00663329" w:rsidRDefault="00DB701C" w:rsidP="004002C7">
      <w:pPr>
        <w:rPr>
          <w:rFonts w:ascii="Arial" w:hAnsi="Arial" w:cs="Arial"/>
          <w:sz w:val="24"/>
          <w:szCs w:val="24"/>
          <w:u w:val="single"/>
          <w:lang w:eastAsia="zh-TW"/>
        </w:rPr>
      </w:pPr>
      <w:r w:rsidRPr="00663329">
        <w:rPr>
          <w:rFonts w:ascii="Arial" w:hAnsi="Arial" w:cs="Arial"/>
          <w:sz w:val="24"/>
          <w:szCs w:val="24"/>
          <w:u w:val="single"/>
          <w:lang w:eastAsia="zh-TW"/>
        </w:rPr>
        <w:t>RTA amendments – right to privacy</w:t>
      </w:r>
    </w:p>
    <w:p w14:paraId="78EACFC6" w14:textId="68292D6D" w:rsidR="00DB701C" w:rsidRDefault="00DB701C" w:rsidP="004002C7">
      <w:pPr>
        <w:rPr>
          <w:rFonts w:ascii="Arial" w:hAnsi="Arial" w:cs="Arial"/>
          <w:sz w:val="24"/>
          <w:szCs w:val="24"/>
          <w:lang w:eastAsia="zh-TW"/>
        </w:rPr>
      </w:pPr>
      <w:r>
        <w:rPr>
          <w:rFonts w:ascii="Arial" w:hAnsi="Arial" w:cs="Arial"/>
          <w:sz w:val="24"/>
          <w:szCs w:val="24"/>
          <w:lang w:eastAsia="zh-TW"/>
        </w:rPr>
        <w:t>The amendment</w:t>
      </w:r>
      <w:r w:rsidR="00241B2C">
        <w:rPr>
          <w:rFonts w:ascii="Arial" w:hAnsi="Arial" w:cs="Arial"/>
          <w:sz w:val="24"/>
          <w:szCs w:val="24"/>
          <w:lang w:eastAsia="zh-TW"/>
        </w:rPr>
        <w:t>s</w:t>
      </w:r>
      <w:r>
        <w:rPr>
          <w:rFonts w:ascii="Arial" w:hAnsi="Arial" w:cs="Arial"/>
          <w:sz w:val="24"/>
          <w:szCs w:val="24"/>
          <w:lang w:eastAsia="zh-TW"/>
        </w:rPr>
        <w:t xml:space="preserve"> to the posting </w:t>
      </w:r>
      <w:r w:rsidR="0008262C">
        <w:rPr>
          <w:rFonts w:ascii="Arial" w:hAnsi="Arial" w:cs="Arial"/>
          <w:sz w:val="24"/>
          <w:szCs w:val="24"/>
          <w:lang w:eastAsia="zh-TW"/>
        </w:rPr>
        <w:t xml:space="preserve">termination </w:t>
      </w:r>
      <w:r>
        <w:rPr>
          <w:rFonts w:ascii="Arial" w:hAnsi="Arial" w:cs="Arial"/>
          <w:sz w:val="24"/>
          <w:szCs w:val="24"/>
          <w:lang w:eastAsia="zh-TW"/>
        </w:rPr>
        <w:t xml:space="preserve">clause that ensure a tenancy is only terminated where a tenant moves out in accordance with a notice to vacate (rather than the tenancy terminating on the date specified in the notice) promotes the tenant’s right to privacy and home. It ensures that in circumstances where a tenant </w:t>
      </w:r>
      <w:r w:rsidR="00241B2C">
        <w:rPr>
          <w:rFonts w:ascii="Arial" w:hAnsi="Arial" w:cs="Arial"/>
          <w:sz w:val="24"/>
          <w:szCs w:val="24"/>
          <w:lang w:eastAsia="zh-TW"/>
        </w:rPr>
        <w:t>does not vacate the premises in accordance with</w:t>
      </w:r>
      <w:r>
        <w:rPr>
          <w:rFonts w:ascii="Arial" w:hAnsi="Arial" w:cs="Arial"/>
          <w:sz w:val="24"/>
          <w:szCs w:val="24"/>
          <w:lang w:eastAsia="zh-TW"/>
        </w:rPr>
        <w:t xml:space="preserve"> the notice, the </w:t>
      </w:r>
      <w:r w:rsidR="00FE167F">
        <w:rPr>
          <w:rFonts w:ascii="Arial" w:hAnsi="Arial" w:cs="Arial"/>
          <w:sz w:val="24"/>
          <w:szCs w:val="24"/>
          <w:lang w:eastAsia="zh-TW"/>
        </w:rPr>
        <w:t xml:space="preserve">lessor </w:t>
      </w:r>
      <w:r>
        <w:rPr>
          <w:rFonts w:ascii="Arial" w:hAnsi="Arial" w:cs="Arial"/>
          <w:sz w:val="24"/>
          <w:szCs w:val="24"/>
          <w:lang w:eastAsia="zh-TW"/>
        </w:rPr>
        <w:t xml:space="preserve">must apply to ACAT for a termination and possession order </w:t>
      </w:r>
      <w:r w:rsidR="00241B2C">
        <w:rPr>
          <w:rFonts w:ascii="Arial" w:hAnsi="Arial" w:cs="Arial"/>
          <w:sz w:val="24"/>
          <w:szCs w:val="24"/>
          <w:lang w:eastAsia="zh-TW"/>
        </w:rPr>
        <w:t xml:space="preserve">under section 47 of the RTA to </w:t>
      </w:r>
      <w:r>
        <w:rPr>
          <w:rFonts w:ascii="Arial" w:hAnsi="Arial" w:cs="Arial"/>
          <w:sz w:val="24"/>
          <w:szCs w:val="24"/>
          <w:lang w:eastAsia="zh-TW"/>
        </w:rPr>
        <w:t>end the tenancy. This is an important legal protection for tenants.</w:t>
      </w:r>
    </w:p>
    <w:p w14:paraId="5159FF22" w14:textId="6871000C" w:rsidR="00241B2C" w:rsidRDefault="00241B2C" w:rsidP="00241B2C">
      <w:pPr>
        <w:rPr>
          <w:rFonts w:ascii="Arial" w:hAnsi="Arial" w:cs="Arial"/>
          <w:sz w:val="24"/>
          <w:szCs w:val="24"/>
          <w:u w:val="single"/>
          <w:lang w:eastAsia="en-AU"/>
        </w:rPr>
      </w:pPr>
      <w:r>
        <w:rPr>
          <w:rFonts w:ascii="Arial" w:hAnsi="Arial" w:cs="Arial"/>
          <w:sz w:val="24"/>
          <w:szCs w:val="24"/>
          <w:u w:val="single"/>
          <w:lang w:eastAsia="en-AU"/>
        </w:rPr>
        <w:t>RTA Amendments – right to protection of the family and children</w:t>
      </w:r>
    </w:p>
    <w:p w14:paraId="335A7E07" w14:textId="33D38A96" w:rsidR="00241B2C" w:rsidRPr="009C1EA8" w:rsidRDefault="00241B2C" w:rsidP="004002C7">
      <w:pPr>
        <w:rPr>
          <w:rFonts w:ascii="Arial" w:hAnsi="Arial" w:cs="Arial"/>
          <w:sz w:val="24"/>
          <w:szCs w:val="24"/>
          <w:lang w:eastAsia="en-AU"/>
        </w:rPr>
      </w:pPr>
      <w:r w:rsidRPr="00512851">
        <w:rPr>
          <w:rFonts w:ascii="Arial" w:hAnsi="Arial" w:cs="Arial"/>
          <w:sz w:val="24"/>
          <w:szCs w:val="24"/>
          <w:lang w:eastAsia="en-AU"/>
        </w:rPr>
        <w:t xml:space="preserve">The amendments to the posting termination clause allow both the tenant and </w:t>
      </w:r>
      <w:r w:rsidR="00FE167F">
        <w:rPr>
          <w:rFonts w:ascii="Arial" w:hAnsi="Arial" w:cs="Arial"/>
          <w:sz w:val="24"/>
          <w:szCs w:val="24"/>
          <w:lang w:eastAsia="en-AU"/>
        </w:rPr>
        <w:t>lessor</w:t>
      </w:r>
      <w:r w:rsidR="00FE167F" w:rsidRPr="00512851">
        <w:rPr>
          <w:rFonts w:ascii="Arial" w:hAnsi="Arial" w:cs="Arial"/>
          <w:sz w:val="24"/>
          <w:szCs w:val="24"/>
          <w:lang w:eastAsia="en-AU"/>
        </w:rPr>
        <w:t xml:space="preserve"> </w:t>
      </w:r>
      <w:r w:rsidRPr="00512851">
        <w:rPr>
          <w:rFonts w:ascii="Arial" w:hAnsi="Arial" w:cs="Arial"/>
          <w:sz w:val="24"/>
          <w:szCs w:val="24"/>
          <w:lang w:eastAsia="en-AU"/>
        </w:rPr>
        <w:t xml:space="preserve">to end the tenancy using the posting termination clause in circumstances where their domestic partner is the person who is posted (and where their domestic partner is not a party to the tenancy agreement). This provision promotes the right to protection of the family by </w:t>
      </w:r>
      <w:r w:rsidR="008A6AFC" w:rsidRPr="00512851">
        <w:rPr>
          <w:rFonts w:ascii="Arial" w:hAnsi="Arial" w:cs="Arial"/>
          <w:sz w:val="24"/>
          <w:szCs w:val="24"/>
          <w:lang w:eastAsia="en-AU"/>
        </w:rPr>
        <w:t>removing a barrier to domestic partners remaining together when one of the partners is posted. It does this by ensuring that they can end the tenancy agreement when the posting occurs</w:t>
      </w:r>
      <w:r w:rsidR="008A6AFC">
        <w:rPr>
          <w:rFonts w:ascii="Arial" w:hAnsi="Arial" w:cs="Arial"/>
          <w:sz w:val="24"/>
          <w:szCs w:val="24"/>
          <w:lang w:eastAsia="en-AU"/>
        </w:rPr>
        <w:t>,</w:t>
      </w:r>
      <w:r w:rsidR="008A6AFC" w:rsidRPr="00512851">
        <w:rPr>
          <w:rFonts w:ascii="Arial" w:hAnsi="Arial" w:cs="Arial"/>
          <w:sz w:val="24"/>
          <w:szCs w:val="24"/>
          <w:lang w:eastAsia="en-AU"/>
        </w:rPr>
        <w:t xml:space="preserve"> allowing them to move to the posted place together.  </w:t>
      </w:r>
    </w:p>
    <w:p w14:paraId="0307BF6F" w14:textId="7DA7EA71" w:rsidR="004002C7" w:rsidRDefault="004002C7" w:rsidP="004002C7">
      <w:pPr>
        <w:pStyle w:val="Heading2"/>
        <w:rPr>
          <w:rFonts w:cs="Arial"/>
          <w:bCs/>
          <w:i/>
          <w:iCs/>
          <w:szCs w:val="24"/>
          <w:lang w:eastAsia="en-AU"/>
        </w:rPr>
      </w:pPr>
      <w:r w:rsidRPr="008B7AFA">
        <w:rPr>
          <w:rFonts w:cs="Arial"/>
          <w:bCs/>
          <w:i/>
          <w:iCs/>
          <w:szCs w:val="24"/>
          <w:lang w:eastAsia="en-AU"/>
        </w:rPr>
        <w:t xml:space="preserve">Rights </w:t>
      </w:r>
      <w:r>
        <w:rPr>
          <w:rFonts w:cs="Arial"/>
          <w:bCs/>
          <w:i/>
          <w:iCs/>
          <w:szCs w:val="24"/>
          <w:lang w:eastAsia="en-AU"/>
        </w:rPr>
        <w:t>limited</w:t>
      </w:r>
    </w:p>
    <w:p w14:paraId="7EE98010" w14:textId="28DCB65D" w:rsidR="005A0277" w:rsidRPr="000D192F" w:rsidRDefault="005A0277" w:rsidP="005A0277">
      <w:pPr>
        <w:rPr>
          <w:rFonts w:ascii="Arial" w:hAnsi="Arial" w:cs="Arial"/>
          <w:sz w:val="24"/>
          <w:szCs w:val="24"/>
          <w:lang w:eastAsia="en-AU"/>
        </w:rPr>
      </w:pPr>
      <w:r w:rsidRPr="000D192F">
        <w:rPr>
          <w:rFonts w:ascii="Arial" w:hAnsi="Arial" w:cs="Arial"/>
          <w:sz w:val="24"/>
          <w:szCs w:val="24"/>
          <w:lang w:eastAsia="en-AU"/>
        </w:rPr>
        <w:t xml:space="preserve">The preamble to the HRA notes that few rights are absolute and that they may be subject to reasonable limits in law that can be demonstrably justified in a free and democratic society. </w:t>
      </w:r>
    </w:p>
    <w:p w14:paraId="4142FD57" w14:textId="04DF97BD" w:rsidR="005A0277" w:rsidRPr="000D192F" w:rsidRDefault="005A0277" w:rsidP="005A0277">
      <w:pPr>
        <w:rPr>
          <w:rFonts w:ascii="Arial" w:hAnsi="Arial" w:cs="Arial"/>
          <w:sz w:val="24"/>
          <w:szCs w:val="24"/>
          <w:lang w:eastAsia="en-AU"/>
        </w:rPr>
      </w:pPr>
      <w:r w:rsidRPr="000D192F">
        <w:rPr>
          <w:rFonts w:ascii="Arial" w:hAnsi="Arial" w:cs="Arial"/>
          <w:sz w:val="24"/>
          <w:szCs w:val="24"/>
          <w:lang w:eastAsia="en-AU"/>
        </w:rPr>
        <w:t xml:space="preserve">Section 28 (2) of the HRA contains the framework that is used to determine the acceptable limitations that may be placed on human rights. </w:t>
      </w:r>
    </w:p>
    <w:p w14:paraId="1FAF67B3" w14:textId="5E645E65" w:rsidR="004002C7" w:rsidRDefault="005A0277" w:rsidP="005A0277">
      <w:pPr>
        <w:rPr>
          <w:rFonts w:ascii="Arial" w:hAnsi="Arial" w:cs="Arial"/>
          <w:sz w:val="24"/>
          <w:szCs w:val="24"/>
          <w:lang w:eastAsia="en-AU"/>
        </w:rPr>
      </w:pPr>
      <w:r w:rsidRPr="000D192F">
        <w:rPr>
          <w:rFonts w:ascii="Arial" w:hAnsi="Arial" w:cs="Arial"/>
          <w:sz w:val="24"/>
          <w:szCs w:val="24"/>
          <w:lang w:eastAsia="en-AU"/>
        </w:rPr>
        <w:t xml:space="preserve">Section 28 of the HRA requires that any limitation on a human right be authorised by a Territory law, be based on evidence, and be reasonable to achieve a legitimate aim. Whether a limitation is reasonable depends on whether it is proportionate. </w:t>
      </w:r>
    </w:p>
    <w:p w14:paraId="4A74E6B4" w14:textId="4278EBCD" w:rsidR="005A0277" w:rsidRDefault="004625DC" w:rsidP="00DD5279">
      <w:pPr>
        <w:keepNext/>
      </w:pPr>
      <w:r>
        <w:rPr>
          <w:rFonts w:ascii="Arial" w:hAnsi="Arial" w:cs="Arial"/>
          <w:sz w:val="24"/>
          <w:szCs w:val="24"/>
          <w:u w:val="single"/>
          <w:lang w:eastAsia="en-AU"/>
        </w:rPr>
        <w:lastRenderedPageBreak/>
        <w:t>RTA amendments – r</w:t>
      </w:r>
      <w:r w:rsidR="005A0277" w:rsidRPr="000D192F">
        <w:rPr>
          <w:rFonts w:ascii="Arial" w:hAnsi="Arial" w:cs="Arial"/>
          <w:sz w:val="24"/>
          <w:szCs w:val="24"/>
          <w:u w:val="single"/>
          <w:lang w:eastAsia="en-AU"/>
        </w:rPr>
        <w:t xml:space="preserve">ight to privacy </w:t>
      </w:r>
    </w:p>
    <w:p w14:paraId="35E42B08" w14:textId="06C77E76" w:rsidR="005A0277" w:rsidRDefault="005A0277" w:rsidP="00DD5279">
      <w:pPr>
        <w:keepNext/>
        <w:rPr>
          <w:rFonts w:ascii="Arial" w:hAnsi="Arial" w:cs="Arial"/>
          <w:sz w:val="24"/>
          <w:szCs w:val="24"/>
          <w:lang w:eastAsia="en-AU"/>
        </w:rPr>
      </w:pPr>
      <w:r>
        <w:rPr>
          <w:rFonts w:ascii="Arial" w:hAnsi="Arial" w:cs="Arial"/>
          <w:sz w:val="24"/>
          <w:szCs w:val="24"/>
          <w:lang w:eastAsia="en-AU"/>
        </w:rPr>
        <w:t xml:space="preserve">Under section 12 of the HRA, everyone has the right not to have their privacy, family, home or correspondence interfered with unlawfully or arbitrarily or not to have their reputation unlawfully attacked. </w:t>
      </w:r>
    </w:p>
    <w:p w14:paraId="63C6BCCF" w14:textId="57880A1E" w:rsidR="00CB25A7" w:rsidRPr="00CB25A7" w:rsidRDefault="005A0277" w:rsidP="001035FC">
      <w:pPr>
        <w:rPr>
          <w:rFonts w:ascii="Arial" w:hAnsi="Arial" w:cs="Arial"/>
          <w:sz w:val="24"/>
          <w:szCs w:val="24"/>
          <w:lang w:eastAsia="en-AU"/>
        </w:rPr>
      </w:pPr>
      <w:r>
        <w:rPr>
          <w:rFonts w:ascii="Arial" w:hAnsi="Arial" w:cs="Arial"/>
          <w:sz w:val="24"/>
          <w:szCs w:val="24"/>
          <w:lang w:eastAsia="en-AU"/>
        </w:rPr>
        <w:t xml:space="preserve">The proposed amendments to the RTA expand the scope of </w:t>
      </w:r>
      <w:r w:rsidR="004625DC">
        <w:rPr>
          <w:rFonts w:ascii="Arial" w:hAnsi="Arial" w:cs="Arial"/>
          <w:sz w:val="24"/>
          <w:szCs w:val="24"/>
          <w:lang w:eastAsia="en-AU"/>
        </w:rPr>
        <w:t xml:space="preserve">the </w:t>
      </w:r>
      <w:r w:rsidRPr="005A0277">
        <w:rPr>
          <w:rFonts w:ascii="Arial" w:hAnsi="Arial" w:cs="Arial"/>
          <w:sz w:val="24"/>
          <w:szCs w:val="24"/>
          <w:lang w:eastAsia="en-AU"/>
        </w:rPr>
        <w:t xml:space="preserve">posting termination clause to allow the clause to be used when the </w:t>
      </w:r>
      <w:r w:rsidR="00FE167F">
        <w:rPr>
          <w:rFonts w:ascii="Arial" w:hAnsi="Arial" w:cs="Arial"/>
          <w:sz w:val="24"/>
          <w:szCs w:val="24"/>
          <w:lang w:eastAsia="en-AU"/>
        </w:rPr>
        <w:t>lessor</w:t>
      </w:r>
      <w:r w:rsidR="00FE167F" w:rsidRPr="005A0277">
        <w:rPr>
          <w:rFonts w:ascii="Arial" w:hAnsi="Arial" w:cs="Arial"/>
          <w:sz w:val="24"/>
          <w:szCs w:val="24"/>
          <w:lang w:eastAsia="en-AU"/>
        </w:rPr>
        <w:t xml:space="preserve"> </w:t>
      </w:r>
      <w:r w:rsidRPr="005A0277">
        <w:rPr>
          <w:rFonts w:ascii="Arial" w:hAnsi="Arial" w:cs="Arial"/>
          <w:sz w:val="24"/>
          <w:szCs w:val="24"/>
          <w:lang w:eastAsia="en-AU"/>
        </w:rPr>
        <w:t>or tenant’s domestic partner is the person being posted</w:t>
      </w:r>
      <w:r w:rsidR="004625DC">
        <w:rPr>
          <w:rFonts w:ascii="Arial" w:hAnsi="Arial" w:cs="Arial"/>
          <w:sz w:val="24"/>
          <w:szCs w:val="24"/>
          <w:lang w:eastAsia="en-AU"/>
        </w:rPr>
        <w:t>, even where the partner is not party to the tenancy agreement</w:t>
      </w:r>
      <w:r w:rsidR="00AE379A">
        <w:rPr>
          <w:rFonts w:ascii="Arial" w:hAnsi="Arial" w:cs="Arial"/>
          <w:sz w:val="24"/>
          <w:szCs w:val="24"/>
          <w:lang w:eastAsia="en-AU"/>
        </w:rPr>
        <w:t>.</w:t>
      </w:r>
      <w:r>
        <w:rPr>
          <w:rFonts w:ascii="Arial" w:hAnsi="Arial" w:cs="Arial"/>
          <w:sz w:val="24"/>
          <w:szCs w:val="24"/>
          <w:lang w:eastAsia="en-AU"/>
        </w:rPr>
        <w:t xml:space="preserve"> </w:t>
      </w:r>
      <w:r w:rsidR="00AE379A">
        <w:rPr>
          <w:rFonts w:ascii="Arial" w:hAnsi="Arial" w:cs="Arial"/>
          <w:sz w:val="24"/>
          <w:szCs w:val="24"/>
          <w:lang w:eastAsia="en-AU"/>
        </w:rPr>
        <w:t>This may limit</w:t>
      </w:r>
      <w:r>
        <w:rPr>
          <w:rFonts w:ascii="Arial" w:hAnsi="Arial" w:cs="Arial"/>
          <w:sz w:val="24"/>
          <w:szCs w:val="24"/>
          <w:lang w:eastAsia="en-AU"/>
        </w:rPr>
        <w:t xml:space="preserve"> the tenant’s right to privacy and home, as it expands</w:t>
      </w:r>
      <w:r w:rsidRPr="005A0277">
        <w:rPr>
          <w:rFonts w:ascii="Arial" w:hAnsi="Arial" w:cs="Arial"/>
          <w:sz w:val="24"/>
          <w:szCs w:val="24"/>
          <w:lang w:eastAsia="en-AU"/>
        </w:rPr>
        <w:t xml:space="preserve"> the circumstances in which a tenancy can be ended </w:t>
      </w:r>
      <w:r w:rsidR="004625DC">
        <w:rPr>
          <w:rFonts w:ascii="Arial" w:hAnsi="Arial" w:cs="Arial"/>
          <w:sz w:val="24"/>
          <w:szCs w:val="24"/>
          <w:lang w:eastAsia="en-AU"/>
        </w:rPr>
        <w:t xml:space="preserve">by the </w:t>
      </w:r>
      <w:r w:rsidR="00FE167F">
        <w:rPr>
          <w:rFonts w:ascii="Arial" w:hAnsi="Arial" w:cs="Arial"/>
          <w:sz w:val="24"/>
          <w:szCs w:val="24"/>
          <w:lang w:eastAsia="en-AU"/>
        </w:rPr>
        <w:t>lessor</w:t>
      </w:r>
      <w:r>
        <w:rPr>
          <w:rFonts w:ascii="Arial" w:hAnsi="Arial" w:cs="Arial"/>
          <w:sz w:val="24"/>
          <w:szCs w:val="24"/>
          <w:lang w:eastAsia="en-AU"/>
        </w:rPr>
        <w:t>.</w:t>
      </w:r>
    </w:p>
    <w:p w14:paraId="3FDD1E44" w14:textId="523EF05B" w:rsidR="004002C7" w:rsidRDefault="00CB25A7" w:rsidP="004002C7">
      <w:pPr>
        <w:rPr>
          <w:rFonts w:ascii="Arial" w:hAnsi="Arial" w:cs="Arial"/>
          <w:sz w:val="24"/>
          <w:szCs w:val="24"/>
          <w:lang w:eastAsia="en-AU"/>
        </w:rPr>
      </w:pPr>
      <w:r>
        <w:rPr>
          <w:rFonts w:ascii="Arial" w:eastAsia="Arial" w:hAnsi="Arial" w:cs="Arial"/>
          <w:sz w:val="24"/>
          <w:szCs w:val="28"/>
        </w:rPr>
        <w:t xml:space="preserve">This limitation </w:t>
      </w:r>
      <w:r w:rsidR="00DB701C">
        <w:rPr>
          <w:rFonts w:ascii="Arial" w:eastAsia="Arial" w:hAnsi="Arial" w:cs="Arial"/>
          <w:sz w:val="24"/>
          <w:szCs w:val="28"/>
        </w:rPr>
        <w:t>has a legitimate purpose</w:t>
      </w:r>
      <w:r w:rsidR="00D714D6">
        <w:rPr>
          <w:rFonts w:ascii="Arial" w:eastAsia="Arial" w:hAnsi="Arial" w:cs="Arial"/>
          <w:sz w:val="24"/>
          <w:szCs w:val="28"/>
        </w:rPr>
        <w:t>, as the</w:t>
      </w:r>
      <w:r>
        <w:rPr>
          <w:rFonts w:ascii="Arial" w:eastAsia="Arial" w:hAnsi="Arial" w:cs="Arial"/>
          <w:sz w:val="24"/>
          <w:szCs w:val="28"/>
        </w:rPr>
        <w:t xml:space="preserve"> amendment also promotes both the </w:t>
      </w:r>
      <w:r w:rsidR="00FE167F">
        <w:rPr>
          <w:rFonts w:ascii="Arial" w:eastAsia="Arial" w:hAnsi="Arial" w:cs="Arial"/>
          <w:sz w:val="24"/>
          <w:szCs w:val="28"/>
        </w:rPr>
        <w:t>lessor</w:t>
      </w:r>
      <w:r>
        <w:rPr>
          <w:rFonts w:ascii="Arial" w:eastAsia="Arial" w:hAnsi="Arial" w:cs="Arial"/>
          <w:sz w:val="24"/>
          <w:szCs w:val="28"/>
        </w:rPr>
        <w:t xml:space="preserve"> and tenant’s right to family</w:t>
      </w:r>
      <w:r w:rsidR="004625DC">
        <w:rPr>
          <w:rFonts w:ascii="Arial" w:eastAsia="Arial" w:hAnsi="Arial" w:cs="Arial"/>
          <w:sz w:val="24"/>
          <w:szCs w:val="28"/>
        </w:rPr>
        <w:t>,</w:t>
      </w:r>
      <w:r w:rsidRPr="00CB25A7">
        <w:t xml:space="preserve"> </w:t>
      </w:r>
      <w:r w:rsidRPr="00CB25A7">
        <w:rPr>
          <w:rFonts w:ascii="Arial" w:eastAsia="Arial" w:hAnsi="Arial" w:cs="Arial"/>
          <w:sz w:val="24"/>
          <w:szCs w:val="28"/>
        </w:rPr>
        <w:t xml:space="preserve">by allowing family units to remain together when the tenant or </w:t>
      </w:r>
      <w:r w:rsidR="00FE167F">
        <w:rPr>
          <w:rFonts w:ascii="Arial" w:eastAsia="Arial" w:hAnsi="Arial" w:cs="Arial"/>
          <w:sz w:val="24"/>
          <w:szCs w:val="28"/>
        </w:rPr>
        <w:t>lessor</w:t>
      </w:r>
      <w:r w:rsidRPr="00CB25A7">
        <w:rPr>
          <w:rFonts w:ascii="Arial" w:eastAsia="Arial" w:hAnsi="Arial" w:cs="Arial"/>
          <w:sz w:val="24"/>
          <w:szCs w:val="28"/>
        </w:rPr>
        <w:t>’s domestic partner is the person being posted.</w:t>
      </w:r>
      <w:r w:rsidR="00DB701C">
        <w:rPr>
          <w:rFonts w:ascii="Arial" w:eastAsia="Arial" w:hAnsi="Arial" w:cs="Arial"/>
          <w:sz w:val="24"/>
          <w:szCs w:val="28"/>
        </w:rPr>
        <w:t xml:space="preserve"> It is proportionate because the scope for termination is only expanded insofar as is necessary to enable persons </w:t>
      </w:r>
      <w:r w:rsidR="001E0502">
        <w:rPr>
          <w:rFonts w:ascii="Arial" w:eastAsia="Arial" w:hAnsi="Arial" w:cs="Arial"/>
          <w:sz w:val="24"/>
          <w:szCs w:val="28"/>
        </w:rPr>
        <w:t>to</w:t>
      </w:r>
      <w:r w:rsidR="00DB701C">
        <w:rPr>
          <w:rFonts w:ascii="Arial" w:eastAsia="Arial" w:hAnsi="Arial" w:cs="Arial"/>
          <w:sz w:val="24"/>
          <w:szCs w:val="28"/>
        </w:rPr>
        <w:t xml:space="preserve"> remain with their domestic partner. </w:t>
      </w:r>
      <w:r w:rsidRPr="00CB25A7">
        <w:rPr>
          <w:rFonts w:ascii="Arial" w:eastAsia="Arial" w:hAnsi="Arial" w:cs="Arial"/>
          <w:sz w:val="24"/>
          <w:szCs w:val="28"/>
        </w:rPr>
        <w:t xml:space="preserve"> </w:t>
      </w:r>
    </w:p>
    <w:p w14:paraId="48047469" w14:textId="59BDC4F8" w:rsidR="00AE379A" w:rsidRPr="00DD5279" w:rsidRDefault="00AE379A" w:rsidP="00663329">
      <w:pPr>
        <w:keepNext/>
        <w:rPr>
          <w:rFonts w:ascii="Arial" w:hAnsi="Arial" w:cs="Arial"/>
          <w:sz w:val="24"/>
          <w:szCs w:val="24"/>
          <w:u w:val="single"/>
        </w:rPr>
      </w:pPr>
      <w:r w:rsidRPr="00DD5279">
        <w:rPr>
          <w:rFonts w:ascii="Arial" w:hAnsi="Arial" w:cs="Arial"/>
          <w:sz w:val="24"/>
          <w:szCs w:val="24"/>
          <w:u w:val="single"/>
          <w:lang w:eastAsia="en-AU"/>
        </w:rPr>
        <w:t>Right to freedom of movement</w:t>
      </w:r>
      <w:r w:rsidR="00DD5279">
        <w:rPr>
          <w:rFonts w:ascii="Arial" w:hAnsi="Arial" w:cs="Arial"/>
          <w:sz w:val="24"/>
          <w:szCs w:val="24"/>
          <w:u w:val="single"/>
          <w:lang w:eastAsia="en-AU"/>
        </w:rPr>
        <w:t xml:space="preserve"> and</w:t>
      </w:r>
      <w:r w:rsidRPr="00DD5279">
        <w:rPr>
          <w:rFonts w:ascii="Arial" w:hAnsi="Arial" w:cs="Arial"/>
          <w:sz w:val="24"/>
          <w:szCs w:val="24"/>
          <w:u w:val="single"/>
          <w:lang w:eastAsia="en-AU"/>
        </w:rPr>
        <w:t xml:space="preserve"> right to liberty</w:t>
      </w:r>
      <w:r w:rsidR="00DD5279">
        <w:rPr>
          <w:rFonts w:ascii="Arial" w:hAnsi="Arial" w:cs="Arial"/>
          <w:sz w:val="24"/>
          <w:szCs w:val="24"/>
          <w:u w:val="single"/>
          <w:lang w:eastAsia="en-AU"/>
        </w:rPr>
        <w:t xml:space="preserve"> </w:t>
      </w:r>
      <w:r w:rsidRPr="00DD5279">
        <w:rPr>
          <w:rFonts w:ascii="Arial" w:hAnsi="Arial" w:cs="Arial"/>
          <w:sz w:val="24"/>
          <w:szCs w:val="24"/>
          <w:u w:val="single"/>
          <w:lang w:eastAsia="en-AU"/>
        </w:rPr>
        <w:t xml:space="preserve">– amendments to the </w:t>
      </w:r>
      <w:r w:rsidRPr="00DD5279">
        <w:rPr>
          <w:rFonts w:ascii="Arial" w:hAnsi="Arial" w:cs="Arial"/>
          <w:sz w:val="24"/>
          <w:szCs w:val="24"/>
          <w:u w:val="single"/>
        </w:rPr>
        <w:t>Crimes (Sentencing) Act 2005</w:t>
      </w:r>
    </w:p>
    <w:p w14:paraId="5EC10C51" w14:textId="573326B5" w:rsidR="00CB25A7" w:rsidRPr="00DD5279" w:rsidRDefault="00CB25A7" w:rsidP="00663329">
      <w:pPr>
        <w:keepNext/>
        <w:rPr>
          <w:rFonts w:ascii="Arial" w:hAnsi="Arial" w:cs="Arial"/>
          <w:sz w:val="24"/>
          <w:szCs w:val="24"/>
        </w:rPr>
      </w:pPr>
      <w:r w:rsidRPr="00DD5279">
        <w:rPr>
          <w:rFonts w:ascii="Arial" w:hAnsi="Arial" w:cs="Arial"/>
          <w:sz w:val="24"/>
          <w:szCs w:val="24"/>
        </w:rPr>
        <w:t xml:space="preserve">The proposed amendments to the </w:t>
      </w:r>
      <w:r w:rsidRPr="00DD5279">
        <w:rPr>
          <w:rFonts w:ascii="Arial" w:hAnsi="Arial" w:cs="Arial"/>
          <w:i/>
          <w:iCs/>
          <w:sz w:val="24"/>
          <w:szCs w:val="24"/>
        </w:rPr>
        <w:t>Crimes (Sentencing) Act 2005</w:t>
      </w:r>
      <w:r w:rsidRPr="00DD5279">
        <w:rPr>
          <w:rFonts w:ascii="Arial" w:hAnsi="Arial" w:cs="Arial"/>
          <w:sz w:val="24"/>
          <w:szCs w:val="24"/>
        </w:rPr>
        <w:t xml:space="preserve"> could engage the following rights</w:t>
      </w:r>
      <w:r w:rsidR="00FE3447" w:rsidRPr="00DD5279">
        <w:rPr>
          <w:rFonts w:ascii="Arial" w:hAnsi="Arial" w:cs="Arial"/>
          <w:sz w:val="24"/>
          <w:szCs w:val="24"/>
        </w:rPr>
        <w:t xml:space="preserve"> under the HRA</w:t>
      </w:r>
      <w:r w:rsidRPr="00DD5279">
        <w:rPr>
          <w:rFonts w:ascii="Arial" w:hAnsi="Arial" w:cs="Arial"/>
          <w:sz w:val="24"/>
          <w:szCs w:val="24"/>
        </w:rPr>
        <w:t>:</w:t>
      </w:r>
    </w:p>
    <w:p w14:paraId="3540122C" w14:textId="5307463C" w:rsidR="00DF181D" w:rsidRPr="00DD5279" w:rsidRDefault="00DD5279" w:rsidP="00C57A11">
      <w:pPr>
        <w:pStyle w:val="ListParagraph"/>
        <w:numPr>
          <w:ilvl w:val="0"/>
          <w:numId w:val="3"/>
        </w:numPr>
        <w:spacing w:after="200" w:line="276" w:lineRule="auto"/>
        <w:ind w:left="714" w:hanging="357"/>
        <w:rPr>
          <w:rFonts w:ascii="Arial" w:hAnsi="Arial" w:cs="Arial"/>
          <w:sz w:val="24"/>
          <w:szCs w:val="24"/>
        </w:rPr>
      </w:pPr>
      <w:r>
        <w:rPr>
          <w:rFonts w:ascii="Arial" w:hAnsi="Arial" w:cs="Arial"/>
          <w:sz w:val="24"/>
          <w:szCs w:val="24"/>
        </w:rPr>
        <w:t>t</w:t>
      </w:r>
      <w:r w:rsidR="00CB25A7" w:rsidRPr="00DD5279">
        <w:rPr>
          <w:rFonts w:ascii="Arial" w:hAnsi="Arial" w:cs="Arial"/>
          <w:sz w:val="24"/>
          <w:szCs w:val="24"/>
        </w:rPr>
        <w:t>he right to freedom of movement, which provides the right to move freely within the ACT and to enter and leave it, and the freedom to cho</w:t>
      </w:r>
      <w:r w:rsidR="00264C33" w:rsidRPr="00DD5279">
        <w:rPr>
          <w:rFonts w:ascii="Arial" w:hAnsi="Arial" w:cs="Arial"/>
          <w:sz w:val="24"/>
          <w:szCs w:val="24"/>
        </w:rPr>
        <w:t>o</w:t>
      </w:r>
      <w:r w:rsidR="00CB25A7" w:rsidRPr="00DD5279">
        <w:rPr>
          <w:rFonts w:ascii="Arial" w:hAnsi="Arial" w:cs="Arial"/>
          <w:sz w:val="24"/>
          <w:szCs w:val="24"/>
        </w:rPr>
        <w:t xml:space="preserve">se their residence in the ACT, pursuant </w:t>
      </w:r>
      <w:r w:rsidR="00F43D8E" w:rsidRPr="00DD5279">
        <w:rPr>
          <w:rFonts w:ascii="Arial" w:hAnsi="Arial" w:cs="Arial"/>
          <w:sz w:val="24"/>
          <w:szCs w:val="24"/>
        </w:rPr>
        <w:t>to</w:t>
      </w:r>
      <w:r w:rsidR="00FE3447" w:rsidRPr="00DD5279">
        <w:rPr>
          <w:rFonts w:ascii="Arial" w:hAnsi="Arial" w:cs="Arial"/>
          <w:sz w:val="24"/>
          <w:szCs w:val="24"/>
        </w:rPr>
        <w:t xml:space="preserve"> s</w:t>
      </w:r>
      <w:r w:rsidR="00CB25A7" w:rsidRPr="00DD5279">
        <w:rPr>
          <w:rFonts w:ascii="Arial" w:hAnsi="Arial" w:cs="Arial"/>
          <w:sz w:val="24"/>
          <w:szCs w:val="24"/>
        </w:rPr>
        <w:t>ection 13</w:t>
      </w:r>
      <w:r w:rsidR="00FE3447" w:rsidRPr="00DD5279">
        <w:rPr>
          <w:rFonts w:ascii="Arial" w:hAnsi="Arial" w:cs="Arial"/>
          <w:sz w:val="24"/>
          <w:szCs w:val="24"/>
        </w:rPr>
        <w:t>;</w:t>
      </w:r>
      <w:r w:rsidR="00167FA3">
        <w:rPr>
          <w:rFonts w:ascii="Arial" w:hAnsi="Arial" w:cs="Arial"/>
          <w:sz w:val="24"/>
          <w:szCs w:val="24"/>
        </w:rPr>
        <w:t xml:space="preserve"> and</w:t>
      </w:r>
    </w:p>
    <w:p w14:paraId="337B1284" w14:textId="255CA9B8" w:rsidR="00DF181D" w:rsidRPr="00167FA3" w:rsidRDefault="00DD5279" w:rsidP="00C57A11">
      <w:pPr>
        <w:pStyle w:val="ListParagraph"/>
        <w:numPr>
          <w:ilvl w:val="0"/>
          <w:numId w:val="3"/>
        </w:numPr>
        <w:spacing w:after="200" w:line="276" w:lineRule="auto"/>
        <w:ind w:left="714" w:hanging="357"/>
        <w:rPr>
          <w:rFonts w:ascii="Arial" w:hAnsi="Arial" w:cs="Arial"/>
          <w:sz w:val="24"/>
          <w:szCs w:val="24"/>
        </w:rPr>
      </w:pPr>
      <w:r>
        <w:rPr>
          <w:rFonts w:ascii="Arial" w:hAnsi="Arial" w:cs="Arial"/>
          <w:sz w:val="24"/>
          <w:szCs w:val="24"/>
        </w:rPr>
        <w:t>t</w:t>
      </w:r>
      <w:r w:rsidR="00FE3447" w:rsidRPr="00DD5279">
        <w:rPr>
          <w:rFonts w:ascii="Arial" w:hAnsi="Arial" w:cs="Arial"/>
          <w:sz w:val="24"/>
          <w:szCs w:val="24"/>
        </w:rPr>
        <w:t xml:space="preserve">he right to liberty and security of </w:t>
      </w:r>
      <w:r w:rsidR="00FE3447" w:rsidRPr="00167FA3">
        <w:rPr>
          <w:rFonts w:ascii="Arial" w:hAnsi="Arial" w:cs="Arial"/>
          <w:sz w:val="24"/>
          <w:szCs w:val="24"/>
        </w:rPr>
        <w:t xml:space="preserve">person. </w:t>
      </w:r>
      <w:r w:rsidR="00F43D8E" w:rsidRPr="00167FA3">
        <w:rPr>
          <w:rFonts w:ascii="Arial" w:hAnsi="Arial" w:cs="Arial"/>
          <w:sz w:val="24"/>
          <w:szCs w:val="24"/>
        </w:rPr>
        <w:t xml:space="preserve">in </w:t>
      </w:r>
      <w:r w:rsidR="008E6134" w:rsidRPr="00167FA3">
        <w:rPr>
          <w:rFonts w:ascii="Arial" w:hAnsi="Arial" w:cs="Arial"/>
          <w:sz w:val="24"/>
          <w:szCs w:val="24"/>
        </w:rPr>
        <w:t>particular, that</w:t>
      </w:r>
      <w:r w:rsidR="00FE3447" w:rsidRPr="00167FA3">
        <w:rPr>
          <w:rFonts w:ascii="Arial" w:hAnsi="Arial" w:cs="Arial"/>
          <w:sz w:val="24"/>
          <w:szCs w:val="24"/>
        </w:rPr>
        <w:t xml:space="preserve"> no-one may be arbitrarily arrested or detained, pursuant </w:t>
      </w:r>
      <w:r w:rsidR="00F43D8E" w:rsidRPr="00167FA3">
        <w:rPr>
          <w:rFonts w:ascii="Arial" w:hAnsi="Arial" w:cs="Arial"/>
          <w:sz w:val="24"/>
          <w:szCs w:val="24"/>
        </w:rPr>
        <w:t>to</w:t>
      </w:r>
      <w:r w:rsidR="00FE3447" w:rsidRPr="00167FA3">
        <w:rPr>
          <w:rFonts w:ascii="Arial" w:hAnsi="Arial" w:cs="Arial"/>
          <w:sz w:val="24"/>
          <w:szCs w:val="24"/>
        </w:rPr>
        <w:t xml:space="preserve"> section 18</w:t>
      </w:r>
      <w:r w:rsidR="00167FA3">
        <w:rPr>
          <w:rFonts w:ascii="Arial" w:hAnsi="Arial" w:cs="Arial"/>
          <w:sz w:val="24"/>
          <w:szCs w:val="24"/>
        </w:rPr>
        <w:t>.</w:t>
      </w:r>
    </w:p>
    <w:p w14:paraId="04C2C078" w14:textId="7C1DD885" w:rsidR="001E1B33" w:rsidRPr="00DD5279" w:rsidRDefault="001E1B33" w:rsidP="00FE3447">
      <w:pPr>
        <w:rPr>
          <w:rFonts w:ascii="Arial" w:hAnsi="Arial" w:cs="Arial"/>
          <w:sz w:val="24"/>
          <w:szCs w:val="24"/>
        </w:rPr>
      </w:pPr>
      <w:r w:rsidRPr="008E6134">
        <w:rPr>
          <w:rFonts w:ascii="Arial" w:hAnsi="Arial" w:cs="Arial"/>
          <w:sz w:val="24"/>
          <w:szCs w:val="24"/>
        </w:rPr>
        <w:t>The Drug and Alcohol Sentencing List (DASL) is a sentencing option in the Supreme Court for people whose drug and alcohol use has contributed to their offending that would otherwise be sentenced to a term of imprisonment. It offers an alternative approach to imprisonment by focusing on rehabilitating these offenders, reintegrating them into the community and reducing criminal offending.</w:t>
      </w:r>
    </w:p>
    <w:p w14:paraId="1EF8D05B" w14:textId="1BAF787D" w:rsidR="007A2E3C" w:rsidRPr="00DD5279" w:rsidRDefault="00F43D8E" w:rsidP="00FE3447">
      <w:pPr>
        <w:rPr>
          <w:rFonts w:ascii="Arial" w:hAnsi="Arial" w:cs="Arial"/>
          <w:sz w:val="24"/>
          <w:szCs w:val="24"/>
        </w:rPr>
      </w:pPr>
      <w:r w:rsidRPr="00DD5279">
        <w:rPr>
          <w:rFonts w:ascii="Arial" w:hAnsi="Arial" w:cs="Arial"/>
          <w:sz w:val="24"/>
          <w:szCs w:val="24"/>
        </w:rPr>
        <w:t>The</w:t>
      </w:r>
      <w:r w:rsidR="001E1B33" w:rsidRPr="00DD5279">
        <w:rPr>
          <w:rFonts w:ascii="Arial" w:hAnsi="Arial" w:cs="Arial"/>
          <w:sz w:val="24"/>
          <w:szCs w:val="24"/>
        </w:rPr>
        <w:t xml:space="preserve"> above</w:t>
      </w:r>
      <w:r w:rsidRPr="00DD5279">
        <w:rPr>
          <w:rFonts w:ascii="Arial" w:hAnsi="Arial" w:cs="Arial"/>
          <w:sz w:val="24"/>
          <w:szCs w:val="24"/>
        </w:rPr>
        <w:t xml:space="preserve"> rights are </w:t>
      </w:r>
      <w:r w:rsidR="00003CB1" w:rsidRPr="00DD5279">
        <w:rPr>
          <w:rFonts w:ascii="Arial" w:hAnsi="Arial" w:cs="Arial"/>
          <w:sz w:val="24"/>
          <w:szCs w:val="24"/>
        </w:rPr>
        <w:t xml:space="preserve">currently </w:t>
      </w:r>
      <w:r w:rsidRPr="00DD5279">
        <w:rPr>
          <w:rFonts w:ascii="Arial" w:hAnsi="Arial" w:cs="Arial"/>
          <w:sz w:val="24"/>
          <w:szCs w:val="24"/>
        </w:rPr>
        <w:t xml:space="preserve">engaged by the Crimes (Sentencing) Act in relation to persons under a DATO, however, the insertion of new section 80ZBA will extend the operation of certain limited powers under the Act to the Magistrates Court. Specifically, this proposed amendment will permit the Magistrates Court to </w:t>
      </w:r>
      <w:r w:rsidR="007A2E3C" w:rsidRPr="00DD5279">
        <w:rPr>
          <w:rFonts w:ascii="Arial" w:hAnsi="Arial" w:cs="Arial"/>
          <w:sz w:val="24"/>
          <w:szCs w:val="24"/>
        </w:rPr>
        <w:t xml:space="preserve">hear a matter where a person under a DATO has been arrested for breaching a treatment order obligation if it is a day the Supreme Court is not sitting and the Magistrates Court is </w:t>
      </w:r>
      <w:r w:rsidR="008E6134" w:rsidRPr="00DD5279">
        <w:rPr>
          <w:rFonts w:ascii="Arial" w:hAnsi="Arial" w:cs="Arial"/>
          <w:sz w:val="24"/>
          <w:szCs w:val="24"/>
        </w:rPr>
        <w:t xml:space="preserve">sitting </w:t>
      </w:r>
      <w:r w:rsidR="007A2E3C" w:rsidRPr="00DD5279">
        <w:rPr>
          <w:rFonts w:ascii="Arial" w:hAnsi="Arial" w:cs="Arial"/>
          <w:sz w:val="24"/>
          <w:szCs w:val="24"/>
        </w:rPr>
        <w:t xml:space="preserve">(such as a Saturday or during the Supreme Court </w:t>
      </w:r>
      <w:r w:rsidR="001E1B33" w:rsidRPr="00DD5279">
        <w:rPr>
          <w:rFonts w:ascii="Arial" w:hAnsi="Arial" w:cs="Arial"/>
          <w:sz w:val="24"/>
          <w:szCs w:val="24"/>
        </w:rPr>
        <w:t xml:space="preserve">end-of-year </w:t>
      </w:r>
      <w:r w:rsidR="007A2E3C" w:rsidRPr="00DD5279">
        <w:rPr>
          <w:rFonts w:ascii="Arial" w:hAnsi="Arial" w:cs="Arial"/>
          <w:sz w:val="24"/>
          <w:szCs w:val="24"/>
        </w:rPr>
        <w:t>shutdown period)</w:t>
      </w:r>
      <w:r w:rsidR="008E6134" w:rsidRPr="00DD5279">
        <w:rPr>
          <w:rFonts w:ascii="Arial" w:hAnsi="Arial" w:cs="Arial"/>
          <w:sz w:val="24"/>
          <w:szCs w:val="24"/>
        </w:rPr>
        <w:t xml:space="preserve"> and make limited orders in relation to that breach</w:t>
      </w:r>
      <w:r w:rsidR="009B2F47">
        <w:rPr>
          <w:rFonts w:ascii="Arial" w:hAnsi="Arial" w:cs="Arial"/>
          <w:sz w:val="24"/>
          <w:szCs w:val="24"/>
        </w:rPr>
        <w:t xml:space="preserve"> (</w:t>
      </w:r>
      <w:r w:rsidR="008E6134" w:rsidRPr="00DD5279">
        <w:rPr>
          <w:rFonts w:ascii="Arial" w:hAnsi="Arial" w:cs="Arial"/>
          <w:sz w:val="24"/>
          <w:szCs w:val="24"/>
        </w:rPr>
        <w:t>to give a warning, impose certain conditions on the person, or temporarily cancel the suspension of the sentence of imprisonment</w:t>
      </w:r>
      <w:r w:rsidR="009B2F47">
        <w:rPr>
          <w:rFonts w:ascii="Arial" w:hAnsi="Arial" w:cs="Arial"/>
          <w:sz w:val="24"/>
          <w:szCs w:val="24"/>
        </w:rPr>
        <w:t>)</w:t>
      </w:r>
      <w:r w:rsidR="007A2E3C" w:rsidRPr="00DD5279">
        <w:rPr>
          <w:rFonts w:ascii="Arial" w:hAnsi="Arial" w:cs="Arial"/>
          <w:sz w:val="24"/>
          <w:szCs w:val="24"/>
        </w:rPr>
        <w:t xml:space="preserve">. </w:t>
      </w:r>
      <w:r w:rsidR="008E6134" w:rsidRPr="00DD5279">
        <w:rPr>
          <w:rFonts w:ascii="Arial" w:hAnsi="Arial" w:cs="Arial"/>
          <w:sz w:val="24"/>
          <w:szCs w:val="24"/>
        </w:rPr>
        <w:t xml:space="preserve">By enabling the Magistrates Court to </w:t>
      </w:r>
      <w:r w:rsidR="008E6134" w:rsidRPr="00DD5279">
        <w:rPr>
          <w:rFonts w:ascii="Arial" w:hAnsi="Arial" w:cs="Arial"/>
          <w:sz w:val="24"/>
          <w:szCs w:val="24"/>
        </w:rPr>
        <w:lastRenderedPageBreak/>
        <w:t>impos</w:t>
      </w:r>
      <w:r w:rsidR="009B2F47">
        <w:rPr>
          <w:rFonts w:ascii="Arial" w:hAnsi="Arial" w:cs="Arial"/>
          <w:sz w:val="24"/>
          <w:szCs w:val="24"/>
        </w:rPr>
        <w:t>e</w:t>
      </w:r>
      <w:r w:rsidR="008E6134" w:rsidRPr="00DD5279">
        <w:rPr>
          <w:rFonts w:ascii="Arial" w:hAnsi="Arial" w:cs="Arial"/>
          <w:sz w:val="24"/>
          <w:szCs w:val="24"/>
        </w:rPr>
        <w:t xml:space="preserve"> conditions (such as requiring a person to reside in a particular residence), the amendment will engage and possibly limit the right to freedom of movement. By enabling the Magistrates Court to make orders temporarily cancelling the suspension of the sentence of imprisonment (such that a person will be imprisoned until the next day the Supreme Court is sitting), the amendment engages the right to liberty and security of person. </w:t>
      </w:r>
    </w:p>
    <w:p w14:paraId="168DA280" w14:textId="439851B7" w:rsidR="001E1B33" w:rsidRPr="00DD5279" w:rsidRDefault="001E1B33" w:rsidP="001E1B33">
      <w:pPr>
        <w:rPr>
          <w:rFonts w:ascii="Arial" w:hAnsi="Arial" w:cs="Arial"/>
          <w:sz w:val="24"/>
          <w:szCs w:val="24"/>
        </w:rPr>
      </w:pPr>
      <w:r w:rsidRPr="00DD5279">
        <w:rPr>
          <w:rFonts w:ascii="Arial" w:hAnsi="Arial" w:cs="Arial"/>
          <w:sz w:val="24"/>
          <w:szCs w:val="24"/>
        </w:rPr>
        <w:t xml:space="preserve">The legitimate purpose of this amendment is to improve the operation of the DASL by enabling the Magistrates Court to make temporary orders in relation to certain breaches of DATOs on days the Supreme Court is not sitting. This is important as it will ensure that if a person is arrested, they are able to be dealt with promptly rather than being detained </w:t>
      </w:r>
      <w:r w:rsidR="00002ACE" w:rsidRPr="00DD5279">
        <w:rPr>
          <w:rFonts w:ascii="Arial" w:hAnsi="Arial" w:cs="Arial"/>
          <w:sz w:val="24"/>
          <w:szCs w:val="24"/>
        </w:rPr>
        <w:t xml:space="preserve">for a longer period </w:t>
      </w:r>
      <w:r w:rsidRPr="00DD5279">
        <w:rPr>
          <w:rFonts w:ascii="Arial" w:hAnsi="Arial" w:cs="Arial"/>
          <w:sz w:val="24"/>
          <w:szCs w:val="24"/>
        </w:rPr>
        <w:t>in police custody. Additionally, it will ensure that if a person is brought before a court (which includes the Magistrates Court) that the court has sufficient powers both to protect the individual by responding to breaches quickly to curb problematic behaviour and to protect the community by ensuring the court has powers to either warn, impose conditions or impose the existing order of imprisonment, depending on the seriousness of the breach of the person’s order.</w:t>
      </w:r>
    </w:p>
    <w:p w14:paraId="48C45649" w14:textId="5ADCE59A" w:rsidR="00F43D8E" w:rsidRPr="00DD5279" w:rsidRDefault="00003CB1" w:rsidP="00003CB1">
      <w:pPr>
        <w:rPr>
          <w:rFonts w:ascii="Arial" w:hAnsi="Arial" w:cs="Arial"/>
          <w:sz w:val="24"/>
          <w:szCs w:val="24"/>
        </w:rPr>
      </w:pPr>
      <w:r w:rsidRPr="00DD5279">
        <w:rPr>
          <w:rFonts w:ascii="Arial" w:hAnsi="Arial" w:cs="Arial"/>
          <w:sz w:val="24"/>
          <w:szCs w:val="24"/>
        </w:rPr>
        <w:t xml:space="preserve">This amendment will achieve its objective by </w:t>
      </w:r>
      <w:r w:rsidR="007A2E3C" w:rsidRPr="00DD5279">
        <w:rPr>
          <w:rFonts w:ascii="Arial" w:hAnsi="Arial" w:cs="Arial"/>
          <w:sz w:val="24"/>
          <w:szCs w:val="24"/>
        </w:rPr>
        <w:t>allow</w:t>
      </w:r>
      <w:r w:rsidRPr="00DD5279">
        <w:rPr>
          <w:rFonts w:ascii="Arial" w:hAnsi="Arial" w:cs="Arial"/>
          <w:sz w:val="24"/>
          <w:szCs w:val="24"/>
        </w:rPr>
        <w:t>ing</w:t>
      </w:r>
      <w:r w:rsidR="007A2E3C" w:rsidRPr="00DD5279">
        <w:rPr>
          <w:rFonts w:ascii="Arial" w:hAnsi="Arial" w:cs="Arial"/>
          <w:sz w:val="24"/>
          <w:szCs w:val="24"/>
        </w:rPr>
        <w:t xml:space="preserve"> the Magistrates Court to hear the matter and mak</w:t>
      </w:r>
      <w:r w:rsidR="009B2F47">
        <w:rPr>
          <w:rFonts w:ascii="Arial" w:hAnsi="Arial" w:cs="Arial"/>
          <w:sz w:val="24"/>
          <w:szCs w:val="24"/>
        </w:rPr>
        <w:t>e</w:t>
      </w:r>
      <w:r w:rsidR="007A2E3C" w:rsidRPr="00DD5279">
        <w:rPr>
          <w:rFonts w:ascii="Arial" w:hAnsi="Arial" w:cs="Arial"/>
          <w:sz w:val="24"/>
          <w:szCs w:val="24"/>
        </w:rPr>
        <w:t xml:space="preserve"> </w:t>
      </w:r>
      <w:r w:rsidR="009B2F47">
        <w:rPr>
          <w:rFonts w:ascii="Arial" w:hAnsi="Arial" w:cs="Arial"/>
          <w:sz w:val="24"/>
          <w:szCs w:val="24"/>
        </w:rPr>
        <w:t xml:space="preserve">some of the </w:t>
      </w:r>
      <w:r w:rsidR="007A2E3C" w:rsidRPr="00DD5279">
        <w:rPr>
          <w:rFonts w:ascii="Arial" w:hAnsi="Arial" w:cs="Arial"/>
          <w:sz w:val="24"/>
          <w:szCs w:val="24"/>
        </w:rPr>
        <w:t>orders</w:t>
      </w:r>
      <w:r w:rsidR="00002ACE" w:rsidRPr="00DD5279">
        <w:rPr>
          <w:rFonts w:ascii="Arial" w:hAnsi="Arial" w:cs="Arial"/>
          <w:sz w:val="24"/>
          <w:szCs w:val="24"/>
        </w:rPr>
        <w:t xml:space="preserve"> available to the Supreme Court (a</w:t>
      </w:r>
      <w:r w:rsidR="007A2E3C" w:rsidRPr="00DD5279">
        <w:rPr>
          <w:rFonts w:ascii="Arial" w:hAnsi="Arial" w:cs="Arial"/>
          <w:sz w:val="24"/>
          <w:szCs w:val="24"/>
        </w:rPr>
        <w:t xml:space="preserve"> warning; requir</w:t>
      </w:r>
      <w:r w:rsidRPr="00DD5279">
        <w:rPr>
          <w:rFonts w:ascii="Arial" w:hAnsi="Arial" w:cs="Arial"/>
          <w:sz w:val="24"/>
          <w:szCs w:val="24"/>
        </w:rPr>
        <w:t>ing</w:t>
      </w:r>
      <w:r w:rsidR="007A2E3C" w:rsidRPr="00DD5279">
        <w:rPr>
          <w:rFonts w:ascii="Arial" w:hAnsi="Arial" w:cs="Arial"/>
          <w:sz w:val="24"/>
          <w:szCs w:val="24"/>
        </w:rPr>
        <w:t xml:space="preserve"> compliance with certain additional conditions (such as residing at a particular address); or temporarily cancel</w:t>
      </w:r>
      <w:r w:rsidR="00002ACE" w:rsidRPr="00DD5279">
        <w:rPr>
          <w:rFonts w:ascii="Arial" w:hAnsi="Arial" w:cs="Arial"/>
          <w:sz w:val="24"/>
          <w:szCs w:val="24"/>
        </w:rPr>
        <w:t>ling</w:t>
      </w:r>
      <w:r w:rsidR="007A2E3C" w:rsidRPr="00DD5279">
        <w:rPr>
          <w:rFonts w:ascii="Arial" w:hAnsi="Arial" w:cs="Arial"/>
          <w:sz w:val="24"/>
          <w:szCs w:val="24"/>
        </w:rPr>
        <w:t xml:space="preserve"> the suspension of the sentence of imprisonment (such that the person will be imprisoned) until the next day the Supreme Court is sitting</w:t>
      </w:r>
      <w:r w:rsidR="00002ACE" w:rsidRPr="00DD5279">
        <w:rPr>
          <w:rFonts w:ascii="Arial" w:hAnsi="Arial" w:cs="Arial"/>
          <w:sz w:val="24"/>
          <w:szCs w:val="24"/>
        </w:rPr>
        <w:t>)</w:t>
      </w:r>
      <w:r w:rsidR="007A2E3C" w:rsidRPr="00DD5279">
        <w:rPr>
          <w:rFonts w:ascii="Arial" w:hAnsi="Arial" w:cs="Arial"/>
          <w:sz w:val="24"/>
          <w:szCs w:val="24"/>
        </w:rPr>
        <w:t xml:space="preserve">. </w:t>
      </w:r>
    </w:p>
    <w:p w14:paraId="050A5C87" w14:textId="6A38BD97" w:rsidR="007A2E3C" w:rsidRPr="00DD5279" w:rsidRDefault="00003CB1" w:rsidP="00FE3447">
      <w:pPr>
        <w:rPr>
          <w:rFonts w:ascii="Arial" w:hAnsi="Arial" w:cs="Arial"/>
          <w:sz w:val="24"/>
          <w:szCs w:val="24"/>
        </w:rPr>
      </w:pPr>
      <w:r w:rsidRPr="00DD5279">
        <w:rPr>
          <w:rFonts w:ascii="Arial" w:hAnsi="Arial" w:cs="Arial"/>
          <w:sz w:val="24"/>
          <w:szCs w:val="24"/>
        </w:rPr>
        <w:t xml:space="preserve">This approach is the least restrictive means reasonably available </w:t>
      </w:r>
      <w:r w:rsidR="00002ACE" w:rsidRPr="00DD5279">
        <w:rPr>
          <w:rFonts w:ascii="Arial" w:hAnsi="Arial" w:cs="Arial"/>
          <w:sz w:val="24"/>
          <w:szCs w:val="24"/>
        </w:rPr>
        <w:t xml:space="preserve">as it ensures that a court is available to hear a person’s matter if they have been arrested for breaching their DATO. The person may otherwise have been required to remain in police custody if the Supreme Court was not available or brought before the Magistrates Court for an order to be made pursuant to the </w:t>
      </w:r>
      <w:r w:rsidR="00002ACE" w:rsidRPr="00DD5279">
        <w:rPr>
          <w:rFonts w:ascii="Arial" w:hAnsi="Arial" w:cs="Arial"/>
          <w:i/>
          <w:iCs/>
          <w:sz w:val="24"/>
          <w:szCs w:val="24"/>
        </w:rPr>
        <w:t>Bail Act 1992</w:t>
      </w:r>
      <w:r w:rsidR="00002ACE" w:rsidRPr="00DD5279">
        <w:rPr>
          <w:rFonts w:ascii="Arial" w:hAnsi="Arial" w:cs="Arial"/>
          <w:sz w:val="24"/>
          <w:szCs w:val="24"/>
        </w:rPr>
        <w:t xml:space="preserve">. The amendment has been drafted to ensure it is less restrictive by only permitting the Magistrates Court to make certain orders and to require that when the Supreme Court is next sitting that the matter must be listed before it for review, meaning any order made by the Magistrates Court will be reviewed within a short period. </w:t>
      </w:r>
      <w:r w:rsidR="00D22A93" w:rsidRPr="00167FA3">
        <w:rPr>
          <w:rFonts w:ascii="Arial" w:hAnsi="Arial" w:cs="Arial"/>
          <w:sz w:val="24"/>
          <w:szCs w:val="24"/>
        </w:rPr>
        <w:t>Additionally, a person’s rights are not likely to be restricted further on the basis that these orders were orders already available to the Supreme Court for a person subject to a DATO.</w:t>
      </w:r>
    </w:p>
    <w:p w14:paraId="6B4FAAC8" w14:textId="77777777" w:rsidR="004002C7" w:rsidRDefault="004002C7" w:rsidP="004002C7">
      <w:pPr>
        <w:rPr>
          <w:rFonts w:ascii="Arial" w:hAnsi="Arial" w:cs="Arial"/>
          <w:sz w:val="24"/>
          <w:szCs w:val="24"/>
          <w:lang w:eastAsia="en-AU"/>
        </w:rPr>
      </w:pPr>
    </w:p>
    <w:p w14:paraId="75DA14A1" w14:textId="47256E32" w:rsidR="00DB2E6D" w:rsidRDefault="00DB2E6D">
      <w:pPr>
        <w:spacing w:after="160" w:line="259" w:lineRule="auto"/>
        <w:rPr>
          <w:lang w:eastAsia="en-AU"/>
        </w:rPr>
      </w:pPr>
      <w:r>
        <w:rPr>
          <w:lang w:eastAsia="en-AU"/>
        </w:rPr>
        <w:br w:type="page"/>
      </w:r>
    </w:p>
    <w:bookmarkEnd w:id="2"/>
    <w:p w14:paraId="634CD2DB" w14:textId="77777777" w:rsidR="00E90DF9" w:rsidRDefault="00E90DF9" w:rsidP="00E90DF9">
      <w:pPr>
        <w:pStyle w:val="Heading2"/>
        <w:pageBreakBefore/>
        <w:spacing w:before="240" w:after="240"/>
      </w:pPr>
      <w:r w:rsidRPr="008C225D">
        <w:lastRenderedPageBreak/>
        <w:t>CLAUSE NOTES</w:t>
      </w:r>
    </w:p>
    <w:p w14:paraId="15420702" w14:textId="11EF5591" w:rsidR="00E90DF9" w:rsidRPr="000D192F" w:rsidRDefault="00D42B20" w:rsidP="00E90DF9">
      <w:pPr>
        <w:rPr>
          <w:rFonts w:ascii="Arial" w:eastAsiaTheme="majorEastAsia" w:hAnsi="Arial" w:cstheme="majorBidi"/>
          <w:b/>
          <w:sz w:val="24"/>
          <w:szCs w:val="24"/>
        </w:rPr>
      </w:pPr>
      <w:r w:rsidRPr="000D192F">
        <w:rPr>
          <w:rFonts w:ascii="Arial" w:eastAsiaTheme="majorEastAsia" w:hAnsi="Arial" w:cstheme="majorBidi"/>
          <w:b/>
          <w:sz w:val="24"/>
          <w:szCs w:val="24"/>
        </w:rPr>
        <w:t>Part 1</w:t>
      </w:r>
      <w:r>
        <w:rPr>
          <w:rFonts w:ascii="Arial" w:eastAsiaTheme="majorEastAsia" w:hAnsi="Arial" w:cstheme="majorBidi"/>
          <w:b/>
          <w:sz w:val="24"/>
          <w:szCs w:val="24"/>
        </w:rPr>
        <w:tab/>
      </w:r>
      <w:r>
        <w:rPr>
          <w:rFonts w:ascii="Arial" w:eastAsiaTheme="majorEastAsia" w:hAnsi="Arial" w:cstheme="majorBidi"/>
          <w:b/>
          <w:sz w:val="24"/>
          <w:szCs w:val="24"/>
        </w:rPr>
        <w:tab/>
        <w:t>Preliminary</w:t>
      </w:r>
    </w:p>
    <w:p w14:paraId="21139D56" w14:textId="77777777" w:rsidR="00E90DF9" w:rsidRDefault="00E90DF9" w:rsidP="00E90DF9">
      <w:pPr>
        <w:pStyle w:val="Heading3"/>
      </w:pPr>
      <w:r w:rsidRPr="00ED3B77">
        <w:t>Clause 1</w:t>
      </w:r>
      <w:r w:rsidRPr="00ED3B77">
        <w:tab/>
        <w:t>Name of Act</w:t>
      </w:r>
    </w:p>
    <w:p w14:paraId="54449411" w14:textId="51394454" w:rsidR="001035FC" w:rsidRPr="001035FC" w:rsidRDefault="001035FC" w:rsidP="001035FC">
      <w:pPr>
        <w:rPr>
          <w:rFonts w:ascii="Arial" w:hAnsi="Arial" w:cs="Arial"/>
          <w:sz w:val="24"/>
          <w:szCs w:val="24"/>
        </w:rPr>
      </w:pPr>
      <w:r w:rsidRPr="001035FC">
        <w:rPr>
          <w:rFonts w:ascii="Arial" w:hAnsi="Arial" w:cs="Arial"/>
          <w:sz w:val="24"/>
          <w:szCs w:val="24"/>
        </w:rPr>
        <w:t>This clause provides that the name of the Act is the Justice and Community Safety Legislation Amendment Act 2025</w:t>
      </w:r>
      <w:r>
        <w:rPr>
          <w:rFonts w:ascii="Arial" w:hAnsi="Arial" w:cs="Arial"/>
          <w:sz w:val="24"/>
          <w:szCs w:val="24"/>
        </w:rPr>
        <w:t xml:space="preserve"> (No 2)</w:t>
      </w:r>
      <w:r w:rsidRPr="001035FC">
        <w:rPr>
          <w:rFonts w:ascii="Arial" w:hAnsi="Arial" w:cs="Arial"/>
          <w:sz w:val="24"/>
          <w:szCs w:val="24"/>
        </w:rPr>
        <w:t>.</w:t>
      </w:r>
    </w:p>
    <w:p w14:paraId="0887BC45" w14:textId="77777777" w:rsidR="00E90DF9" w:rsidRDefault="00E90DF9" w:rsidP="00E90DF9">
      <w:pPr>
        <w:pStyle w:val="Heading3"/>
      </w:pPr>
      <w:r w:rsidRPr="00ED3B77">
        <w:t>Clause 2</w:t>
      </w:r>
      <w:r w:rsidRPr="00ED3B77">
        <w:tab/>
        <w:t>Commencement</w:t>
      </w:r>
    </w:p>
    <w:p w14:paraId="0D0A6479" w14:textId="37483102" w:rsidR="00A8650A" w:rsidRDefault="00A8650A" w:rsidP="00A578C2">
      <w:pPr>
        <w:rPr>
          <w:rFonts w:ascii="Arial" w:hAnsi="Arial" w:cs="Arial"/>
          <w:sz w:val="24"/>
          <w:szCs w:val="24"/>
        </w:rPr>
      </w:pPr>
      <w:r w:rsidRPr="00A8650A">
        <w:rPr>
          <w:rFonts w:ascii="Arial" w:hAnsi="Arial" w:cs="Arial"/>
          <w:sz w:val="24"/>
          <w:szCs w:val="24"/>
        </w:rPr>
        <w:t xml:space="preserve">This clause provides for the commencement of the Act. The Act commences </w:t>
      </w:r>
      <w:r w:rsidR="00AD26E4">
        <w:rPr>
          <w:rFonts w:ascii="Arial" w:hAnsi="Arial" w:cs="Arial"/>
          <w:sz w:val="24"/>
          <w:szCs w:val="24"/>
        </w:rPr>
        <w:t>on the day</w:t>
      </w:r>
      <w:r w:rsidRPr="00A8650A">
        <w:rPr>
          <w:rFonts w:ascii="Arial" w:hAnsi="Arial" w:cs="Arial"/>
          <w:sz w:val="24"/>
          <w:szCs w:val="24"/>
        </w:rPr>
        <w:t xml:space="preserve"> after it is notified</w:t>
      </w:r>
      <w:r w:rsidR="00557AE0">
        <w:rPr>
          <w:rFonts w:ascii="Arial" w:hAnsi="Arial" w:cs="Arial"/>
          <w:sz w:val="24"/>
          <w:szCs w:val="24"/>
        </w:rPr>
        <w:t>, except for:</w:t>
      </w:r>
    </w:p>
    <w:p w14:paraId="683BB369" w14:textId="17C2B6BC" w:rsidR="00D714D6" w:rsidRPr="00D714D6" w:rsidRDefault="00A578C2" w:rsidP="00D714D6">
      <w:pPr>
        <w:pStyle w:val="ListParagraph"/>
        <w:numPr>
          <w:ilvl w:val="0"/>
          <w:numId w:val="19"/>
        </w:numPr>
        <w:spacing w:line="276" w:lineRule="auto"/>
        <w:rPr>
          <w:rFonts w:ascii="Arial" w:hAnsi="Arial" w:cs="Arial"/>
          <w:sz w:val="24"/>
          <w:szCs w:val="24"/>
        </w:rPr>
      </w:pPr>
      <w:r>
        <w:rPr>
          <w:rFonts w:ascii="Arial" w:hAnsi="Arial" w:cs="Arial"/>
          <w:sz w:val="24"/>
          <w:szCs w:val="24"/>
        </w:rPr>
        <w:t>Part 7, which</w:t>
      </w:r>
      <w:r w:rsidR="00D714D6">
        <w:rPr>
          <w:rFonts w:ascii="Arial" w:hAnsi="Arial" w:cs="Arial"/>
          <w:sz w:val="24"/>
          <w:szCs w:val="24"/>
        </w:rPr>
        <w:t xml:space="preserve"> will commence 1 month after this Act’s notification date, to allow </w:t>
      </w:r>
      <w:r w:rsidR="00FE167F">
        <w:rPr>
          <w:rFonts w:ascii="Arial" w:hAnsi="Arial" w:cs="Arial"/>
          <w:sz w:val="24"/>
          <w:szCs w:val="24"/>
        </w:rPr>
        <w:t>lessor</w:t>
      </w:r>
      <w:r w:rsidR="00D714D6">
        <w:rPr>
          <w:rFonts w:ascii="Arial" w:hAnsi="Arial" w:cs="Arial"/>
          <w:sz w:val="24"/>
          <w:szCs w:val="24"/>
        </w:rPr>
        <w:t xml:space="preserve">s and those engaged in the real estate sector with time to update tenancy agreements </w:t>
      </w:r>
      <w:r w:rsidR="008A6AFC">
        <w:rPr>
          <w:rFonts w:ascii="Arial" w:hAnsi="Arial" w:cs="Arial"/>
          <w:sz w:val="24"/>
          <w:szCs w:val="24"/>
        </w:rPr>
        <w:t>to reflect the new</w:t>
      </w:r>
      <w:r w:rsidR="00D714D6">
        <w:rPr>
          <w:rFonts w:ascii="Arial" w:hAnsi="Arial" w:cs="Arial"/>
          <w:sz w:val="24"/>
          <w:szCs w:val="24"/>
        </w:rPr>
        <w:t xml:space="preserve"> SRTTS</w:t>
      </w:r>
      <w:r>
        <w:rPr>
          <w:rFonts w:ascii="Arial" w:hAnsi="Arial" w:cs="Arial"/>
          <w:sz w:val="24"/>
          <w:szCs w:val="24"/>
        </w:rPr>
        <w:t>; and</w:t>
      </w:r>
      <w:r>
        <w:rPr>
          <w:rFonts w:ascii="Arial" w:hAnsi="Arial" w:cs="Arial"/>
          <w:sz w:val="24"/>
          <w:szCs w:val="24"/>
        </w:rPr>
        <w:br/>
      </w:r>
    </w:p>
    <w:p w14:paraId="78800030" w14:textId="3BA46EE1" w:rsidR="00FE25A1" w:rsidRPr="00A578C2" w:rsidRDefault="00D714D6" w:rsidP="00A578C2">
      <w:pPr>
        <w:pStyle w:val="ListParagraph"/>
        <w:numPr>
          <w:ilvl w:val="0"/>
          <w:numId w:val="19"/>
        </w:numPr>
        <w:spacing w:line="276" w:lineRule="auto"/>
        <w:rPr>
          <w:rFonts w:ascii="Arial" w:hAnsi="Arial" w:cs="Arial"/>
          <w:sz w:val="24"/>
          <w:szCs w:val="24"/>
        </w:rPr>
      </w:pPr>
      <w:r>
        <w:rPr>
          <w:rFonts w:ascii="Arial" w:hAnsi="Arial" w:cs="Arial"/>
          <w:sz w:val="24"/>
          <w:szCs w:val="24"/>
        </w:rPr>
        <w:t>Schedule 1</w:t>
      </w:r>
      <w:r w:rsidR="00A578C2">
        <w:rPr>
          <w:rFonts w:ascii="Arial" w:hAnsi="Arial" w:cs="Arial"/>
          <w:sz w:val="24"/>
          <w:szCs w:val="24"/>
        </w:rPr>
        <w:t>, which</w:t>
      </w:r>
      <w:r>
        <w:rPr>
          <w:rFonts w:ascii="Arial" w:hAnsi="Arial" w:cs="Arial"/>
          <w:sz w:val="24"/>
          <w:szCs w:val="24"/>
        </w:rPr>
        <w:t xml:space="preserve"> </w:t>
      </w:r>
      <w:r w:rsidR="00B07CF1">
        <w:rPr>
          <w:rFonts w:ascii="Arial" w:hAnsi="Arial" w:cs="Arial"/>
          <w:sz w:val="24"/>
          <w:szCs w:val="24"/>
        </w:rPr>
        <w:t xml:space="preserve">will commence on the </w:t>
      </w:r>
      <w:r w:rsidR="0008262C">
        <w:rPr>
          <w:rFonts w:ascii="Arial" w:hAnsi="Arial" w:cs="Arial"/>
          <w:sz w:val="24"/>
          <w:szCs w:val="24"/>
        </w:rPr>
        <w:t xml:space="preserve">later of the </w:t>
      </w:r>
      <w:r w:rsidR="00B07CF1">
        <w:rPr>
          <w:rFonts w:ascii="Arial" w:hAnsi="Arial" w:cs="Arial"/>
          <w:sz w:val="24"/>
          <w:szCs w:val="24"/>
        </w:rPr>
        <w:t xml:space="preserve">commencement of the </w:t>
      </w:r>
      <w:r w:rsidR="00B07CF1" w:rsidRPr="00A578C2">
        <w:rPr>
          <w:rFonts w:ascii="Arial" w:hAnsi="Arial" w:cs="Arial"/>
          <w:i/>
          <w:iCs/>
          <w:sz w:val="24"/>
          <w:szCs w:val="24"/>
        </w:rPr>
        <w:t>Aged Care Act 2024</w:t>
      </w:r>
      <w:r w:rsidR="00B07CF1">
        <w:rPr>
          <w:rFonts w:ascii="Arial" w:hAnsi="Arial" w:cs="Arial"/>
          <w:sz w:val="24"/>
          <w:szCs w:val="24"/>
        </w:rPr>
        <w:t xml:space="preserve"> (Cwlth), or </w:t>
      </w:r>
      <w:r w:rsidR="0008262C">
        <w:rPr>
          <w:rFonts w:ascii="Arial" w:hAnsi="Arial" w:cs="Arial"/>
          <w:sz w:val="24"/>
          <w:szCs w:val="24"/>
        </w:rPr>
        <w:t>the commencement of section 3 of this Act</w:t>
      </w:r>
      <w:r w:rsidR="00AD26E4">
        <w:rPr>
          <w:rFonts w:ascii="Arial" w:hAnsi="Arial" w:cs="Arial"/>
          <w:sz w:val="24"/>
          <w:szCs w:val="24"/>
        </w:rPr>
        <w:t>.</w:t>
      </w:r>
    </w:p>
    <w:p w14:paraId="5A4E563E" w14:textId="77777777" w:rsidR="00E90DF9" w:rsidRPr="00ED3B77" w:rsidRDefault="00E90DF9" w:rsidP="00E90DF9">
      <w:pPr>
        <w:pStyle w:val="Heading3"/>
        <w:rPr>
          <w:b w:val="0"/>
        </w:rPr>
      </w:pPr>
      <w:r w:rsidRPr="00ED3B77">
        <w:t>Clause 3</w:t>
      </w:r>
      <w:r w:rsidRPr="00ED3B77">
        <w:tab/>
        <w:t>Legislation amended</w:t>
      </w:r>
    </w:p>
    <w:p w14:paraId="35174E41" w14:textId="005C9E80" w:rsidR="00B10812" w:rsidRDefault="00C90C96">
      <w:pPr>
        <w:rPr>
          <w:rFonts w:ascii="Arial" w:hAnsi="Arial" w:cs="Arial"/>
          <w:sz w:val="24"/>
          <w:szCs w:val="24"/>
        </w:rPr>
      </w:pPr>
      <w:r>
        <w:rPr>
          <w:rFonts w:ascii="Arial" w:hAnsi="Arial" w:cs="Arial"/>
          <w:sz w:val="24"/>
          <w:szCs w:val="24"/>
        </w:rPr>
        <w:t xml:space="preserve">This clause identifies the legislation that will be amended in the </w:t>
      </w:r>
      <w:r w:rsidR="00AD26E4">
        <w:rPr>
          <w:rFonts w:ascii="Arial" w:hAnsi="Arial" w:cs="Arial"/>
          <w:sz w:val="24"/>
          <w:szCs w:val="24"/>
        </w:rPr>
        <w:t>B</w:t>
      </w:r>
      <w:r>
        <w:rPr>
          <w:rFonts w:ascii="Arial" w:hAnsi="Arial" w:cs="Arial"/>
          <w:sz w:val="24"/>
          <w:szCs w:val="24"/>
        </w:rPr>
        <w:t>ill:</w:t>
      </w:r>
      <w:r w:rsidR="00A8650A" w:rsidRPr="00A8650A">
        <w:rPr>
          <w:rFonts w:ascii="Arial" w:hAnsi="Arial" w:cs="Arial"/>
          <w:sz w:val="24"/>
          <w:szCs w:val="24"/>
        </w:rPr>
        <w:t xml:space="preserve"> </w:t>
      </w:r>
    </w:p>
    <w:p w14:paraId="6E8025B5" w14:textId="77777777" w:rsidR="00A8650A" w:rsidRPr="00A578C2" w:rsidRDefault="00A8650A" w:rsidP="00A578C2">
      <w:pPr>
        <w:pStyle w:val="ListParagraph"/>
        <w:numPr>
          <w:ilvl w:val="0"/>
          <w:numId w:val="3"/>
        </w:numPr>
        <w:spacing w:line="360" w:lineRule="auto"/>
        <w:ind w:left="714" w:hanging="357"/>
        <w:rPr>
          <w:rFonts w:ascii="Arial" w:hAnsi="Arial" w:cs="Arial"/>
          <w:i/>
          <w:iCs/>
          <w:sz w:val="24"/>
          <w:szCs w:val="24"/>
        </w:rPr>
      </w:pPr>
      <w:r w:rsidRPr="00A578C2">
        <w:rPr>
          <w:rFonts w:ascii="Arial" w:hAnsi="Arial" w:cs="Arial"/>
          <w:i/>
          <w:iCs/>
          <w:sz w:val="24"/>
          <w:szCs w:val="24"/>
        </w:rPr>
        <w:t>Civil Law (Sale of Residential Property) Act 2003</w:t>
      </w:r>
    </w:p>
    <w:p w14:paraId="4533808C" w14:textId="77777777" w:rsidR="00A8650A" w:rsidRPr="00A578C2" w:rsidRDefault="00A8650A" w:rsidP="00A578C2">
      <w:pPr>
        <w:pStyle w:val="ListParagraph"/>
        <w:numPr>
          <w:ilvl w:val="0"/>
          <w:numId w:val="3"/>
        </w:numPr>
        <w:spacing w:line="360" w:lineRule="auto"/>
        <w:rPr>
          <w:rFonts w:ascii="Arial" w:hAnsi="Arial" w:cs="Arial"/>
          <w:i/>
          <w:iCs/>
          <w:sz w:val="24"/>
          <w:szCs w:val="24"/>
        </w:rPr>
      </w:pPr>
      <w:r w:rsidRPr="00A578C2">
        <w:rPr>
          <w:rFonts w:ascii="Arial" w:hAnsi="Arial" w:cs="Arial"/>
          <w:i/>
          <w:iCs/>
          <w:sz w:val="24"/>
          <w:szCs w:val="24"/>
        </w:rPr>
        <w:t>Crimes (Sentencing) Act 2005</w:t>
      </w:r>
    </w:p>
    <w:p w14:paraId="63D754FF" w14:textId="77777777" w:rsidR="00A8650A" w:rsidRPr="00A578C2" w:rsidRDefault="00A8650A" w:rsidP="00A578C2">
      <w:pPr>
        <w:pStyle w:val="ListParagraph"/>
        <w:numPr>
          <w:ilvl w:val="0"/>
          <w:numId w:val="3"/>
        </w:numPr>
        <w:spacing w:line="360" w:lineRule="auto"/>
        <w:rPr>
          <w:rFonts w:ascii="Arial" w:hAnsi="Arial" w:cs="Arial"/>
          <w:i/>
          <w:iCs/>
          <w:sz w:val="24"/>
          <w:szCs w:val="24"/>
        </w:rPr>
      </w:pPr>
      <w:r w:rsidRPr="00A578C2">
        <w:rPr>
          <w:rFonts w:ascii="Arial" w:hAnsi="Arial" w:cs="Arial"/>
          <w:i/>
          <w:iCs/>
          <w:sz w:val="24"/>
          <w:szCs w:val="24"/>
        </w:rPr>
        <w:t>Discrimination Act 1991</w:t>
      </w:r>
    </w:p>
    <w:p w14:paraId="188BE91A" w14:textId="40D3A8A2" w:rsidR="001270C4" w:rsidRPr="00A578C2" w:rsidRDefault="001270C4" w:rsidP="00A578C2">
      <w:pPr>
        <w:pStyle w:val="ListParagraph"/>
        <w:numPr>
          <w:ilvl w:val="0"/>
          <w:numId w:val="3"/>
        </w:numPr>
        <w:spacing w:line="360" w:lineRule="auto"/>
        <w:rPr>
          <w:rFonts w:ascii="Arial" w:hAnsi="Arial" w:cs="Arial"/>
          <w:i/>
          <w:iCs/>
          <w:sz w:val="24"/>
          <w:szCs w:val="24"/>
        </w:rPr>
      </w:pPr>
      <w:r w:rsidRPr="00A578C2">
        <w:rPr>
          <w:rFonts w:ascii="Arial" w:hAnsi="Arial" w:cs="Arial"/>
          <w:i/>
          <w:iCs/>
          <w:sz w:val="24"/>
          <w:szCs w:val="24"/>
        </w:rPr>
        <w:t>Guardianship and Management of Property Act 1991</w:t>
      </w:r>
    </w:p>
    <w:p w14:paraId="32DC45B3" w14:textId="77777777" w:rsidR="00A578C2" w:rsidRDefault="00A8650A" w:rsidP="00A578C2">
      <w:pPr>
        <w:pStyle w:val="ListParagraph"/>
        <w:numPr>
          <w:ilvl w:val="0"/>
          <w:numId w:val="3"/>
        </w:numPr>
        <w:spacing w:line="360" w:lineRule="auto"/>
        <w:rPr>
          <w:rFonts w:ascii="Arial" w:hAnsi="Arial" w:cs="Arial"/>
          <w:i/>
          <w:iCs/>
          <w:sz w:val="24"/>
          <w:szCs w:val="24"/>
        </w:rPr>
      </w:pPr>
      <w:r w:rsidRPr="00A578C2">
        <w:rPr>
          <w:rFonts w:ascii="Arial" w:hAnsi="Arial" w:cs="Arial"/>
          <w:i/>
          <w:iCs/>
          <w:sz w:val="24"/>
          <w:szCs w:val="24"/>
        </w:rPr>
        <w:t>Information Privacy Act 2014</w:t>
      </w:r>
    </w:p>
    <w:p w14:paraId="1B59B76F" w14:textId="51A819AD" w:rsidR="00A578C2" w:rsidRPr="00A578C2" w:rsidRDefault="00A578C2" w:rsidP="00A578C2">
      <w:pPr>
        <w:pStyle w:val="ListParagraph"/>
        <w:numPr>
          <w:ilvl w:val="0"/>
          <w:numId w:val="3"/>
        </w:numPr>
        <w:spacing w:line="360" w:lineRule="auto"/>
        <w:ind w:left="714" w:hanging="357"/>
        <w:rPr>
          <w:rFonts w:ascii="Arial" w:hAnsi="Arial" w:cs="Arial"/>
          <w:i/>
          <w:iCs/>
          <w:sz w:val="24"/>
          <w:szCs w:val="24"/>
        </w:rPr>
      </w:pPr>
      <w:r>
        <w:rPr>
          <w:rFonts w:ascii="Arial" w:hAnsi="Arial" w:cs="Arial"/>
          <w:i/>
          <w:iCs/>
          <w:sz w:val="24"/>
          <w:szCs w:val="24"/>
        </w:rPr>
        <w:t xml:space="preserve">Residential </w:t>
      </w:r>
      <w:r w:rsidRPr="00A578C2">
        <w:rPr>
          <w:rFonts w:ascii="Arial" w:hAnsi="Arial" w:cs="Arial"/>
          <w:i/>
          <w:iCs/>
          <w:sz w:val="24"/>
          <w:szCs w:val="24"/>
        </w:rPr>
        <w:t>Tenancies Act 1997</w:t>
      </w:r>
    </w:p>
    <w:p w14:paraId="46BC0017" w14:textId="3E06826C" w:rsidR="001270C4" w:rsidRPr="00A578C2" w:rsidRDefault="001270C4" w:rsidP="00A578C2">
      <w:pPr>
        <w:spacing w:before="120"/>
        <w:rPr>
          <w:rFonts w:ascii="Arial" w:hAnsi="Arial" w:cs="Arial"/>
          <w:sz w:val="28"/>
          <w:szCs w:val="28"/>
        </w:rPr>
      </w:pPr>
      <w:r w:rsidRPr="00AD26E4">
        <w:rPr>
          <w:rFonts w:ascii="Arial" w:hAnsi="Arial" w:cs="Arial"/>
          <w:sz w:val="24"/>
          <w:szCs w:val="24"/>
        </w:rPr>
        <w:t>This Bill also amends other legislation</w:t>
      </w:r>
      <w:r w:rsidR="004B061C">
        <w:rPr>
          <w:rFonts w:ascii="Arial" w:hAnsi="Arial" w:cs="Arial"/>
          <w:sz w:val="24"/>
          <w:szCs w:val="24"/>
        </w:rPr>
        <w:t xml:space="preserve">, </w:t>
      </w:r>
      <w:r w:rsidR="00AD26E4">
        <w:rPr>
          <w:rFonts w:ascii="Arial" w:hAnsi="Arial" w:cs="Arial"/>
          <w:sz w:val="24"/>
          <w:szCs w:val="24"/>
        </w:rPr>
        <w:t>with</w:t>
      </w:r>
      <w:r w:rsidR="004B061C">
        <w:rPr>
          <w:rFonts w:ascii="Arial" w:hAnsi="Arial" w:cs="Arial"/>
          <w:sz w:val="24"/>
          <w:szCs w:val="24"/>
        </w:rPr>
        <w:t xml:space="preserve"> amendments made </w:t>
      </w:r>
      <w:r w:rsidR="00A578C2" w:rsidRPr="00AD26E4">
        <w:rPr>
          <w:rFonts w:ascii="Arial" w:hAnsi="Arial" w:cs="Arial"/>
          <w:sz w:val="24"/>
          <w:szCs w:val="24"/>
        </w:rPr>
        <w:t>under Schedule 1</w:t>
      </w:r>
      <w:r w:rsidR="00A578C2">
        <w:rPr>
          <w:rFonts w:ascii="Arial" w:hAnsi="Arial" w:cs="Arial"/>
          <w:sz w:val="24"/>
          <w:szCs w:val="24"/>
        </w:rPr>
        <w:br/>
      </w:r>
      <w:r w:rsidR="00AD26E4">
        <w:rPr>
          <w:rFonts w:ascii="Arial" w:hAnsi="Arial" w:cs="Arial"/>
          <w:sz w:val="24"/>
          <w:szCs w:val="24"/>
        </w:rPr>
        <w:t>to align ACT laws</w:t>
      </w:r>
      <w:r w:rsidR="004B061C">
        <w:rPr>
          <w:rFonts w:ascii="Arial" w:hAnsi="Arial" w:cs="Arial"/>
          <w:sz w:val="24"/>
          <w:szCs w:val="24"/>
        </w:rPr>
        <w:t xml:space="preserve"> with the</w:t>
      </w:r>
      <w:r w:rsidR="00A578C2">
        <w:rPr>
          <w:rFonts w:ascii="Arial" w:hAnsi="Arial" w:cs="Arial"/>
          <w:sz w:val="24"/>
          <w:szCs w:val="24"/>
        </w:rPr>
        <w:t xml:space="preserve"> new</w:t>
      </w:r>
      <w:r w:rsidR="004B061C">
        <w:rPr>
          <w:rFonts w:ascii="Arial" w:hAnsi="Arial" w:cs="Arial"/>
          <w:sz w:val="24"/>
          <w:szCs w:val="24"/>
        </w:rPr>
        <w:t xml:space="preserve"> </w:t>
      </w:r>
      <w:r w:rsidR="004B061C" w:rsidRPr="00A578C2">
        <w:rPr>
          <w:rFonts w:ascii="Arial" w:hAnsi="Arial" w:cs="Arial"/>
          <w:i/>
          <w:iCs/>
          <w:sz w:val="24"/>
          <w:szCs w:val="24"/>
        </w:rPr>
        <w:t>Aged Care Act 2024</w:t>
      </w:r>
      <w:r w:rsidR="004B061C">
        <w:rPr>
          <w:rFonts w:ascii="Arial" w:hAnsi="Arial" w:cs="Arial"/>
          <w:sz w:val="24"/>
          <w:szCs w:val="24"/>
        </w:rPr>
        <w:t xml:space="preserve"> (Cw</w:t>
      </w:r>
      <w:r w:rsidR="00DB2E6D">
        <w:rPr>
          <w:rFonts w:ascii="Arial" w:hAnsi="Arial" w:cs="Arial"/>
          <w:sz w:val="24"/>
          <w:szCs w:val="24"/>
        </w:rPr>
        <w:t>l</w:t>
      </w:r>
      <w:r w:rsidR="004B061C">
        <w:rPr>
          <w:rFonts w:ascii="Arial" w:hAnsi="Arial" w:cs="Arial"/>
          <w:sz w:val="24"/>
          <w:szCs w:val="24"/>
        </w:rPr>
        <w:t>th)</w:t>
      </w:r>
      <w:r w:rsidRPr="00AD26E4">
        <w:rPr>
          <w:rFonts w:ascii="Arial" w:hAnsi="Arial" w:cs="Arial"/>
          <w:sz w:val="24"/>
          <w:szCs w:val="24"/>
        </w:rPr>
        <w:t>:</w:t>
      </w:r>
    </w:p>
    <w:p w14:paraId="2285D5CD" w14:textId="77777777" w:rsidR="004B061C" w:rsidRPr="00A578C2" w:rsidRDefault="004B061C" w:rsidP="00A578C2">
      <w:pPr>
        <w:pStyle w:val="ListParagraph"/>
        <w:numPr>
          <w:ilvl w:val="0"/>
          <w:numId w:val="3"/>
        </w:numPr>
        <w:spacing w:line="360" w:lineRule="auto"/>
        <w:ind w:left="714" w:hanging="357"/>
        <w:rPr>
          <w:rFonts w:ascii="Arial" w:hAnsi="Arial" w:cs="Arial"/>
          <w:i/>
          <w:iCs/>
          <w:sz w:val="24"/>
          <w:szCs w:val="24"/>
        </w:rPr>
      </w:pPr>
      <w:r w:rsidRPr="001035FC">
        <w:rPr>
          <w:rFonts w:ascii="Arial" w:hAnsi="Arial" w:cs="Arial"/>
          <w:i/>
          <w:iCs/>
          <w:sz w:val="24"/>
          <w:szCs w:val="24"/>
        </w:rPr>
        <w:t>Civil Law (Sale of Residential Property) Act 2003</w:t>
      </w:r>
    </w:p>
    <w:p w14:paraId="1ED05648" w14:textId="1329191B" w:rsidR="001270C4" w:rsidRPr="00AD26E4" w:rsidRDefault="004B061C" w:rsidP="00A578C2">
      <w:pPr>
        <w:pStyle w:val="ListParagraph"/>
        <w:numPr>
          <w:ilvl w:val="0"/>
          <w:numId w:val="3"/>
        </w:numPr>
        <w:spacing w:line="360" w:lineRule="auto"/>
        <w:ind w:left="714" w:hanging="357"/>
        <w:rPr>
          <w:rFonts w:ascii="Arial" w:hAnsi="Arial" w:cs="Arial"/>
          <w:i/>
          <w:iCs/>
          <w:sz w:val="24"/>
          <w:szCs w:val="24"/>
        </w:rPr>
      </w:pPr>
      <w:bookmarkStart w:id="3" w:name="_Hlk195281553"/>
      <w:r w:rsidRPr="00AD26E4">
        <w:rPr>
          <w:rFonts w:ascii="Arial" w:hAnsi="Arial" w:cs="Arial"/>
          <w:i/>
          <w:iCs/>
          <w:sz w:val="24"/>
          <w:szCs w:val="24"/>
        </w:rPr>
        <w:t>Disability Services Act 1991</w:t>
      </w:r>
    </w:p>
    <w:p w14:paraId="0B980F4B" w14:textId="73514406" w:rsidR="004B061C" w:rsidRPr="00AD26E4" w:rsidRDefault="004B061C" w:rsidP="00A578C2">
      <w:pPr>
        <w:pStyle w:val="ListParagraph"/>
        <w:numPr>
          <w:ilvl w:val="0"/>
          <w:numId w:val="3"/>
        </w:numPr>
        <w:spacing w:line="360" w:lineRule="auto"/>
        <w:ind w:left="714" w:hanging="357"/>
        <w:rPr>
          <w:rFonts w:ascii="Arial" w:hAnsi="Arial" w:cs="Arial"/>
          <w:i/>
          <w:iCs/>
          <w:sz w:val="24"/>
          <w:szCs w:val="24"/>
        </w:rPr>
      </w:pPr>
      <w:bookmarkStart w:id="4" w:name="_Hlk195281517"/>
      <w:bookmarkStart w:id="5" w:name="_Hlk195281780"/>
      <w:bookmarkEnd w:id="3"/>
      <w:r w:rsidRPr="00AD26E4">
        <w:rPr>
          <w:rFonts w:ascii="Arial" w:hAnsi="Arial" w:cs="Arial"/>
          <w:i/>
          <w:iCs/>
          <w:sz w:val="24"/>
          <w:szCs w:val="24"/>
        </w:rPr>
        <w:t>Medical Treatment (Health Directions) Act 2006</w:t>
      </w:r>
    </w:p>
    <w:bookmarkEnd w:id="4"/>
    <w:p w14:paraId="6472C436" w14:textId="7D642FA7" w:rsidR="004B061C" w:rsidRPr="00AD26E4" w:rsidRDefault="004B061C" w:rsidP="00A578C2">
      <w:pPr>
        <w:pStyle w:val="ListParagraph"/>
        <w:numPr>
          <w:ilvl w:val="0"/>
          <w:numId w:val="3"/>
        </w:numPr>
        <w:spacing w:line="360" w:lineRule="auto"/>
        <w:ind w:left="714" w:hanging="357"/>
        <w:rPr>
          <w:rFonts w:ascii="Arial" w:hAnsi="Arial" w:cs="Arial"/>
          <w:i/>
          <w:iCs/>
          <w:sz w:val="24"/>
          <w:szCs w:val="24"/>
        </w:rPr>
      </w:pPr>
      <w:r w:rsidRPr="00AD26E4">
        <w:rPr>
          <w:rFonts w:ascii="Arial" w:hAnsi="Arial" w:cs="Arial"/>
          <w:i/>
          <w:iCs/>
          <w:sz w:val="24"/>
          <w:szCs w:val="24"/>
        </w:rPr>
        <w:t>Powers of Attorney Act 2006</w:t>
      </w:r>
    </w:p>
    <w:bookmarkEnd w:id="5"/>
    <w:p w14:paraId="635A4AA1" w14:textId="0F4EDB1F" w:rsidR="004B061C" w:rsidRPr="00AD26E4" w:rsidRDefault="004B061C" w:rsidP="00A578C2">
      <w:pPr>
        <w:pStyle w:val="ListParagraph"/>
        <w:numPr>
          <w:ilvl w:val="0"/>
          <w:numId w:val="3"/>
        </w:numPr>
        <w:spacing w:line="360" w:lineRule="auto"/>
        <w:ind w:left="714" w:hanging="357"/>
        <w:rPr>
          <w:rFonts w:ascii="Arial" w:hAnsi="Arial" w:cs="Arial"/>
          <w:i/>
          <w:iCs/>
          <w:sz w:val="24"/>
          <w:szCs w:val="24"/>
        </w:rPr>
      </w:pPr>
      <w:r w:rsidRPr="00AD26E4">
        <w:rPr>
          <w:rFonts w:ascii="Arial" w:hAnsi="Arial" w:cs="Arial"/>
          <w:i/>
          <w:iCs/>
          <w:sz w:val="24"/>
          <w:szCs w:val="24"/>
        </w:rPr>
        <w:t>Residential Tenancies Act 1997</w:t>
      </w:r>
    </w:p>
    <w:p w14:paraId="42DD0806" w14:textId="0FDDA85E" w:rsidR="004B061C" w:rsidRPr="00AD26E4" w:rsidRDefault="004B061C" w:rsidP="00A578C2">
      <w:pPr>
        <w:pStyle w:val="ListParagraph"/>
        <w:numPr>
          <w:ilvl w:val="0"/>
          <w:numId w:val="3"/>
        </w:numPr>
        <w:spacing w:line="360" w:lineRule="auto"/>
        <w:ind w:left="714" w:hanging="357"/>
        <w:rPr>
          <w:rFonts w:ascii="Arial" w:hAnsi="Arial" w:cs="Arial"/>
          <w:i/>
          <w:iCs/>
          <w:sz w:val="24"/>
          <w:szCs w:val="24"/>
        </w:rPr>
      </w:pPr>
      <w:r w:rsidRPr="00AD26E4">
        <w:rPr>
          <w:rFonts w:ascii="Arial" w:hAnsi="Arial" w:cs="Arial"/>
          <w:i/>
          <w:iCs/>
          <w:sz w:val="24"/>
          <w:szCs w:val="24"/>
        </w:rPr>
        <w:t>Retirement Villages Act 2012</w:t>
      </w:r>
    </w:p>
    <w:p w14:paraId="2C7C0A18" w14:textId="619DDD41" w:rsidR="004B061C" w:rsidRPr="00AD26E4" w:rsidRDefault="004B061C" w:rsidP="00A578C2">
      <w:pPr>
        <w:pStyle w:val="ListParagraph"/>
        <w:numPr>
          <w:ilvl w:val="0"/>
          <w:numId w:val="3"/>
        </w:numPr>
        <w:spacing w:line="360" w:lineRule="auto"/>
        <w:ind w:left="714" w:hanging="357"/>
        <w:rPr>
          <w:rFonts w:ascii="Arial" w:hAnsi="Arial" w:cs="Arial"/>
          <w:i/>
          <w:iCs/>
          <w:sz w:val="24"/>
          <w:szCs w:val="24"/>
        </w:rPr>
      </w:pPr>
      <w:r w:rsidRPr="00AD26E4">
        <w:rPr>
          <w:rFonts w:ascii="Arial" w:hAnsi="Arial" w:cs="Arial"/>
          <w:i/>
          <w:iCs/>
          <w:sz w:val="24"/>
          <w:szCs w:val="24"/>
        </w:rPr>
        <w:t>Retirement Villages Regulation 2013</w:t>
      </w:r>
    </w:p>
    <w:p w14:paraId="4FC9032F" w14:textId="237C9B55" w:rsidR="004B061C" w:rsidRPr="00AD26E4" w:rsidRDefault="004B061C" w:rsidP="00A578C2">
      <w:pPr>
        <w:pStyle w:val="ListParagraph"/>
        <w:numPr>
          <w:ilvl w:val="0"/>
          <w:numId w:val="3"/>
        </w:numPr>
        <w:spacing w:line="360" w:lineRule="auto"/>
        <w:ind w:left="714" w:hanging="357"/>
        <w:rPr>
          <w:rFonts w:ascii="Arial" w:hAnsi="Arial" w:cs="Arial"/>
          <w:i/>
          <w:iCs/>
          <w:sz w:val="24"/>
          <w:szCs w:val="24"/>
        </w:rPr>
      </w:pPr>
      <w:bookmarkStart w:id="6" w:name="_Hlk195281575"/>
      <w:r w:rsidRPr="00AD26E4">
        <w:rPr>
          <w:rFonts w:ascii="Arial" w:hAnsi="Arial" w:cs="Arial"/>
          <w:i/>
          <w:iCs/>
          <w:sz w:val="24"/>
          <w:szCs w:val="24"/>
        </w:rPr>
        <w:t>Working with Vulnerable People (Background Checking) Act 2011</w:t>
      </w:r>
    </w:p>
    <w:bookmarkEnd w:id="6"/>
    <w:p w14:paraId="0F25340A" w14:textId="5279274E" w:rsidR="00A8650A" w:rsidRPr="00A8650A" w:rsidRDefault="00A8650A" w:rsidP="00A578C2">
      <w:pPr>
        <w:spacing w:before="120"/>
        <w:rPr>
          <w:rFonts w:ascii="Arial" w:hAnsi="Arial" w:cs="Arial"/>
          <w:b/>
          <w:bCs/>
          <w:sz w:val="28"/>
          <w:szCs w:val="28"/>
        </w:rPr>
      </w:pPr>
      <w:r w:rsidRPr="00A8650A">
        <w:rPr>
          <w:rFonts w:ascii="Arial" w:hAnsi="Arial" w:cs="Arial"/>
          <w:b/>
          <w:bCs/>
          <w:sz w:val="24"/>
          <w:szCs w:val="24"/>
        </w:rPr>
        <w:lastRenderedPageBreak/>
        <w:t xml:space="preserve">Part </w:t>
      </w:r>
      <w:r w:rsidR="00D42B20">
        <w:rPr>
          <w:rFonts w:ascii="Arial" w:hAnsi="Arial" w:cs="Arial"/>
          <w:b/>
          <w:bCs/>
          <w:sz w:val="24"/>
          <w:szCs w:val="24"/>
        </w:rPr>
        <w:t>2</w:t>
      </w:r>
      <w:r w:rsidRPr="00A8650A">
        <w:rPr>
          <w:rFonts w:ascii="Arial" w:hAnsi="Arial" w:cs="Arial"/>
          <w:b/>
          <w:bCs/>
          <w:sz w:val="24"/>
          <w:szCs w:val="24"/>
        </w:rPr>
        <w:t xml:space="preserve"> </w:t>
      </w:r>
      <w:r w:rsidRPr="00A8650A">
        <w:rPr>
          <w:rFonts w:ascii="Arial" w:hAnsi="Arial" w:cs="Arial"/>
          <w:b/>
          <w:bCs/>
          <w:sz w:val="24"/>
          <w:szCs w:val="24"/>
        </w:rPr>
        <w:tab/>
      </w:r>
      <w:r w:rsidRPr="00A8650A">
        <w:rPr>
          <w:rFonts w:ascii="Arial" w:hAnsi="Arial" w:cs="Arial"/>
          <w:b/>
          <w:bCs/>
          <w:sz w:val="24"/>
          <w:szCs w:val="24"/>
        </w:rPr>
        <w:tab/>
      </w:r>
      <w:r w:rsidRPr="00950749">
        <w:rPr>
          <w:rFonts w:ascii="Arial" w:hAnsi="Arial" w:cs="Arial"/>
          <w:b/>
          <w:bCs/>
          <w:sz w:val="24"/>
          <w:szCs w:val="24"/>
        </w:rPr>
        <w:t>Civil Law (Sale of Residential Property) Act 2003</w:t>
      </w:r>
    </w:p>
    <w:p w14:paraId="689CA830" w14:textId="4416356B" w:rsidR="00A8650A" w:rsidRDefault="00A8650A" w:rsidP="00A578C2">
      <w:pPr>
        <w:ind w:left="2160" w:hanging="2160"/>
        <w:rPr>
          <w:rFonts w:ascii="Arial" w:hAnsi="Arial" w:cs="Arial"/>
          <w:b/>
          <w:bCs/>
          <w:sz w:val="24"/>
          <w:szCs w:val="24"/>
        </w:rPr>
      </w:pPr>
      <w:r w:rsidRPr="00A8650A">
        <w:rPr>
          <w:rFonts w:ascii="Arial" w:hAnsi="Arial" w:cs="Arial"/>
          <w:b/>
          <w:bCs/>
          <w:sz w:val="24"/>
          <w:szCs w:val="24"/>
        </w:rPr>
        <w:t xml:space="preserve">Clause </w:t>
      </w:r>
      <w:r w:rsidR="00C90C96">
        <w:rPr>
          <w:rFonts w:ascii="Arial" w:hAnsi="Arial" w:cs="Arial"/>
          <w:b/>
          <w:bCs/>
          <w:sz w:val="24"/>
          <w:szCs w:val="24"/>
        </w:rPr>
        <w:t>4</w:t>
      </w:r>
      <w:r w:rsidRPr="00A8650A">
        <w:rPr>
          <w:rFonts w:ascii="Arial" w:hAnsi="Arial" w:cs="Arial"/>
          <w:b/>
          <w:bCs/>
          <w:sz w:val="24"/>
          <w:szCs w:val="24"/>
        </w:rPr>
        <w:t xml:space="preserve"> </w:t>
      </w:r>
      <w:r w:rsidRPr="00A8650A">
        <w:rPr>
          <w:rFonts w:ascii="Arial" w:hAnsi="Arial" w:cs="Arial"/>
          <w:b/>
          <w:bCs/>
          <w:sz w:val="24"/>
          <w:szCs w:val="24"/>
        </w:rPr>
        <w:tab/>
      </w:r>
      <w:r w:rsidR="00615325">
        <w:rPr>
          <w:rFonts w:ascii="Arial" w:hAnsi="Arial" w:cs="Arial"/>
          <w:b/>
          <w:bCs/>
          <w:sz w:val="24"/>
          <w:szCs w:val="24"/>
        </w:rPr>
        <w:t xml:space="preserve">Meaning of </w:t>
      </w:r>
      <w:r w:rsidR="00615325">
        <w:rPr>
          <w:rFonts w:ascii="Arial" w:hAnsi="Arial" w:cs="Arial"/>
          <w:b/>
          <w:bCs/>
          <w:i/>
          <w:iCs/>
          <w:sz w:val="24"/>
          <w:szCs w:val="24"/>
        </w:rPr>
        <w:t xml:space="preserve">required documents </w:t>
      </w:r>
      <w:r w:rsidR="00A578C2">
        <w:rPr>
          <w:rFonts w:ascii="Arial" w:hAnsi="Arial" w:cs="Arial"/>
          <w:b/>
          <w:bCs/>
          <w:i/>
          <w:iCs/>
          <w:sz w:val="24"/>
          <w:szCs w:val="24"/>
        </w:rPr>
        <w:br/>
      </w:r>
      <w:r w:rsidR="00A578C2">
        <w:rPr>
          <w:rFonts w:ascii="Arial" w:hAnsi="Arial" w:cs="Arial"/>
          <w:b/>
          <w:bCs/>
          <w:sz w:val="24"/>
          <w:szCs w:val="24"/>
        </w:rPr>
        <w:t>S</w:t>
      </w:r>
      <w:r>
        <w:rPr>
          <w:rFonts w:ascii="Arial" w:hAnsi="Arial" w:cs="Arial"/>
          <w:b/>
          <w:bCs/>
          <w:sz w:val="24"/>
          <w:szCs w:val="24"/>
        </w:rPr>
        <w:t xml:space="preserve">ection </w:t>
      </w:r>
      <w:r w:rsidR="00622B9D">
        <w:rPr>
          <w:rFonts w:ascii="Arial" w:hAnsi="Arial" w:cs="Arial"/>
          <w:b/>
          <w:bCs/>
          <w:sz w:val="24"/>
          <w:szCs w:val="24"/>
        </w:rPr>
        <w:t xml:space="preserve">9 (1) (k) </w:t>
      </w:r>
    </w:p>
    <w:p w14:paraId="5DF8ED8C" w14:textId="02784678" w:rsidR="00266CB8" w:rsidRDefault="00A8650A" w:rsidP="00950749">
      <w:pPr>
        <w:pStyle w:val="CS-Paragraphnumbering"/>
        <w:spacing w:before="240"/>
        <w:rPr>
          <w:rFonts w:ascii="Arial" w:hAnsi="Arial" w:cs="Arial"/>
        </w:rPr>
      </w:pPr>
      <w:r w:rsidRPr="00950749">
        <w:rPr>
          <w:rFonts w:ascii="Arial" w:hAnsi="Arial" w:cs="Arial"/>
        </w:rPr>
        <w:t>This clause</w:t>
      </w:r>
      <w:r w:rsidR="00266CB8">
        <w:rPr>
          <w:rFonts w:ascii="Arial" w:hAnsi="Arial" w:cs="Arial"/>
        </w:rPr>
        <w:t xml:space="preserve"> </w:t>
      </w:r>
      <w:r w:rsidR="008A6AFC">
        <w:rPr>
          <w:rFonts w:ascii="Arial" w:hAnsi="Arial" w:cs="Arial"/>
        </w:rPr>
        <w:t xml:space="preserve">amends </w:t>
      </w:r>
      <w:r w:rsidR="00266CB8">
        <w:rPr>
          <w:rFonts w:ascii="Arial" w:hAnsi="Arial" w:cs="Arial"/>
        </w:rPr>
        <w:t xml:space="preserve">the </w:t>
      </w:r>
      <w:r w:rsidR="008A6AFC">
        <w:rPr>
          <w:rFonts w:ascii="Arial" w:hAnsi="Arial" w:cs="Arial"/>
        </w:rPr>
        <w:t xml:space="preserve">list </w:t>
      </w:r>
      <w:r w:rsidR="00266CB8">
        <w:rPr>
          <w:rFonts w:ascii="Arial" w:hAnsi="Arial" w:cs="Arial"/>
        </w:rPr>
        <w:t xml:space="preserve">of </w:t>
      </w:r>
      <w:r w:rsidR="00266CB8">
        <w:rPr>
          <w:rFonts w:ascii="Arial" w:hAnsi="Arial" w:cs="Arial"/>
          <w:i/>
          <w:iCs/>
        </w:rPr>
        <w:t>required documents</w:t>
      </w:r>
      <w:r w:rsidR="00A578C2">
        <w:rPr>
          <w:rFonts w:ascii="Arial" w:hAnsi="Arial" w:cs="Arial"/>
          <w:i/>
          <w:iCs/>
        </w:rPr>
        <w:t xml:space="preserve"> </w:t>
      </w:r>
      <w:r w:rsidR="00A578C2">
        <w:rPr>
          <w:rFonts w:ascii="Arial" w:hAnsi="Arial" w:cs="Arial"/>
        </w:rPr>
        <w:t xml:space="preserve">under section 9 (1) (k) </w:t>
      </w:r>
      <w:r w:rsidR="008A6AFC">
        <w:rPr>
          <w:rFonts w:ascii="Arial" w:hAnsi="Arial" w:cs="Arial"/>
        </w:rPr>
        <w:t xml:space="preserve">of the </w:t>
      </w:r>
      <w:r w:rsidR="008A6AFC" w:rsidRPr="00512851">
        <w:rPr>
          <w:rFonts w:ascii="Arial" w:hAnsi="Arial" w:cs="Arial"/>
          <w:i/>
          <w:iCs/>
        </w:rPr>
        <w:t>Civil Law (Sale of Residential Property) Act 2003</w:t>
      </w:r>
      <w:r w:rsidR="008A6AFC">
        <w:rPr>
          <w:rFonts w:ascii="Arial" w:hAnsi="Arial" w:cs="Arial"/>
        </w:rPr>
        <w:t xml:space="preserve"> by removing </w:t>
      </w:r>
      <w:r w:rsidR="00A578C2">
        <w:rPr>
          <w:rFonts w:ascii="Arial" w:hAnsi="Arial" w:cs="Arial"/>
        </w:rPr>
        <w:t xml:space="preserve">the reference to </w:t>
      </w:r>
      <w:r w:rsidR="008A6AFC">
        <w:rPr>
          <w:rFonts w:ascii="Arial" w:hAnsi="Arial" w:cs="Arial"/>
        </w:rPr>
        <w:t>‘</w:t>
      </w:r>
      <w:r w:rsidR="00A578C2">
        <w:rPr>
          <w:rFonts w:ascii="Arial" w:hAnsi="Arial" w:cs="Arial"/>
        </w:rPr>
        <w:t>common property associated with the premises</w:t>
      </w:r>
      <w:r w:rsidR="00E05D80">
        <w:rPr>
          <w:rFonts w:ascii="Arial" w:hAnsi="Arial" w:cs="Arial"/>
        </w:rPr>
        <w:t>.’</w:t>
      </w:r>
      <w:r w:rsidR="00266CB8">
        <w:rPr>
          <w:rFonts w:ascii="Arial" w:hAnsi="Arial" w:cs="Arial"/>
          <w:i/>
          <w:iCs/>
        </w:rPr>
        <w:t xml:space="preserve"> </w:t>
      </w:r>
    </w:p>
    <w:p w14:paraId="13871775" w14:textId="2F1AD37E" w:rsidR="00A578C2" w:rsidRDefault="00266CB8" w:rsidP="00950749">
      <w:pPr>
        <w:pStyle w:val="CS-Paragraphnumbering"/>
        <w:spacing w:before="240"/>
        <w:rPr>
          <w:rFonts w:ascii="Arial" w:hAnsi="Arial" w:cs="Arial"/>
        </w:rPr>
      </w:pPr>
      <w:r>
        <w:rPr>
          <w:rFonts w:ascii="Arial" w:hAnsi="Arial" w:cs="Arial"/>
        </w:rPr>
        <w:t>This amendment</w:t>
      </w:r>
      <w:r w:rsidR="00950749" w:rsidRPr="00950749">
        <w:rPr>
          <w:rFonts w:ascii="Arial" w:hAnsi="Arial" w:cs="Arial"/>
        </w:rPr>
        <w:t xml:space="preserve"> removes the requirement </w:t>
      </w:r>
      <w:r w:rsidR="00E05D80">
        <w:rPr>
          <w:rFonts w:ascii="Arial" w:hAnsi="Arial" w:cs="Arial"/>
        </w:rPr>
        <w:t xml:space="preserve">for </w:t>
      </w:r>
      <w:r w:rsidR="00950749" w:rsidRPr="00950749">
        <w:rPr>
          <w:rFonts w:ascii="Arial" w:hAnsi="Arial" w:cs="Arial"/>
        </w:rPr>
        <w:t xml:space="preserve">a unit seller to disclose information </w:t>
      </w:r>
      <w:r w:rsidR="0008262C">
        <w:rPr>
          <w:rFonts w:ascii="Arial" w:hAnsi="Arial" w:cs="Arial"/>
        </w:rPr>
        <w:t>relating to</w:t>
      </w:r>
      <w:r w:rsidR="00950749" w:rsidRPr="00950749">
        <w:rPr>
          <w:rFonts w:ascii="Arial" w:hAnsi="Arial" w:cs="Arial"/>
        </w:rPr>
        <w:t xml:space="preserve"> regulated swimming pools on </w:t>
      </w:r>
      <w:r w:rsidR="00E05D80">
        <w:rPr>
          <w:rFonts w:ascii="Arial" w:hAnsi="Arial" w:cs="Arial"/>
        </w:rPr>
        <w:t xml:space="preserve">the </w:t>
      </w:r>
      <w:r w:rsidR="00950749" w:rsidRPr="00950749">
        <w:rPr>
          <w:rFonts w:ascii="Arial" w:hAnsi="Arial" w:cs="Arial"/>
        </w:rPr>
        <w:t>common property</w:t>
      </w:r>
      <w:r w:rsidR="00E05D80">
        <w:rPr>
          <w:rFonts w:ascii="Arial" w:hAnsi="Arial" w:cs="Arial"/>
        </w:rPr>
        <w:t xml:space="preserve"> of a units plan</w:t>
      </w:r>
      <w:r w:rsidR="00950749" w:rsidRPr="00950749">
        <w:rPr>
          <w:rFonts w:ascii="Arial" w:hAnsi="Arial" w:cs="Arial"/>
        </w:rPr>
        <w:t xml:space="preserve">, </w:t>
      </w:r>
      <w:r w:rsidR="00950749">
        <w:rPr>
          <w:rFonts w:ascii="Arial" w:hAnsi="Arial" w:cs="Arial"/>
        </w:rPr>
        <w:t>as this information is already conveyed</w:t>
      </w:r>
      <w:r w:rsidR="00A578C2">
        <w:rPr>
          <w:rFonts w:ascii="Arial" w:hAnsi="Arial" w:cs="Arial"/>
        </w:rPr>
        <w:t xml:space="preserve"> to prospective buyers, through the unit titles sale certificate</w:t>
      </w:r>
      <w:r w:rsidR="00950749">
        <w:rPr>
          <w:rFonts w:ascii="Arial" w:hAnsi="Arial" w:cs="Arial"/>
        </w:rPr>
        <w:t>.</w:t>
      </w:r>
      <w:r w:rsidR="00A578C2" w:rsidRPr="00A578C2">
        <w:rPr>
          <w:rFonts w:ascii="Arial" w:hAnsi="Arial" w:cs="Arial"/>
        </w:rPr>
        <w:t xml:space="preserve"> </w:t>
      </w:r>
      <w:r w:rsidR="00E05D80">
        <w:rPr>
          <w:rFonts w:ascii="Arial" w:hAnsi="Arial" w:cs="Arial"/>
        </w:rPr>
        <w:t xml:space="preserve">A unit titles sale certificate must be provided to a unit buyer under section 9 (1) (g) </w:t>
      </w:r>
      <w:r w:rsidR="00E9482B">
        <w:rPr>
          <w:rFonts w:ascii="Arial" w:hAnsi="Arial" w:cs="Arial"/>
        </w:rPr>
        <w:t xml:space="preserve">(i) (B) </w:t>
      </w:r>
      <w:r w:rsidR="00E05D80">
        <w:rPr>
          <w:rFonts w:ascii="Arial" w:hAnsi="Arial" w:cs="Arial"/>
        </w:rPr>
        <w:t xml:space="preserve">of the </w:t>
      </w:r>
      <w:r w:rsidR="00E05D80" w:rsidRPr="00314243">
        <w:rPr>
          <w:rFonts w:ascii="Arial" w:hAnsi="Arial" w:cs="Arial"/>
          <w:i/>
          <w:iCs/>
        </w:rPr>
        <w:t>Civil Law (Sale of Residential Property) Act 2003</w:t>
      </w:r>
      <w:r w:rsidR="00E05D80">
        <w:rPr>
          <w:rFonts w:ascii="Arial" w:hAnsi="Arial" w:cs="Arial"/>
          <w:i/>
          <w:iCs/>
        </w:rPr>
        <w:t>.</w:t>
      </w:r>
    </w:p>
    <w:p w14:paraId="69DDBDC5" w14:textId="0A46A120" w:rsidR="00950749" w:rsidRDefault="00A578C2" w:rsidP="00950749">
      <w:pPr>
        <w:pStyle w:val="CS-Paragraphnumbering"/>
        <w:spacing w:before="240"/>
        <w:rPr>
          <w:rFonts w:ascii="Arial" w:hAnsi="Arial" w:cs="Arial"/>
        </w:rPr>
      </w:pPr>
      <w:r>
        <w:rPr>
          <w:rFonts w:ascii="Arial" w:hAnsi="Arial" w:cs="Arial"/>
        </w:rPr>
        <w:t xml:space="preserve">The </w:t>
      </w:r>
      <w:r w:rsidRPr="007027F4">
        <w:rPr>
          <w:rFonts w:ascii="Arial" w:hAnsi="Arial" w:cs="Arial"/>
          <w:i/>
          <w:iCs/>
        </w:rPr>
        <w:t>Unit Titles (Sales Certificate) Determination 2024 (No 2)</w:t>
      </w:r>
      <w:r w:rsidR="00E05D80">
        <w:rPr>
          <w:rFonts w:ascii="Arial" w:hAnsi="Arial" w:cs="Arial"/>
          <w:i/>
          <w:iCs/>
        </w:rPr>
        <w:t xml:space="preserve">, </w:t>
      </w:r>
      <w:r w:rsidR="00E05D80" w:rsidRPr="00512851">
        <w:rPr>
          <w:rFonts w:ascii="Arial" w:hAnsi="Arial" w:cs="Arial"/>
        </w:rPr>
        <w:t>made un</w:t>
      </w:r>
      <w:r w:rsidR="00E05D80">
        <w:rPr>
          <w:rFonts w:ascii="Arial" w:hAnsi="Arial" w:cs="Arial"/>
        </w:rPr>
        <w:t xml:space="preserve">der the </w:t>
      </w:r>
      <w:r w:rsidR="00E05D80">
        <w:rPr>
          <w:rFonts w:ascii="Arial" w:hAnsi="Arial" w:cs="Arial"/>
          <w:i/>
          <w:iCs/>
        </w:rPr>
        <w:t>Unit Titles (Management) Act 2011,</w:t>
      </w:r>
      <w:r w:rsidRPr="007027F4">
        <w:rPr>
          <w:rFonts w:ascii="Arial" w:hAnsi="Arial" w:cs="Arial"/>
        </w:rPr>
        <w:t xml:space="preserve"> </w:t>
      </w:r>
      <w:r>
        <w:rPr>
          <w:rFonts w:ascii="Arial" w:hAnsi="Arial" w:cs="Arial"/>
        </w:rPr>
        <w:t>lists</w:t>
      </w:r>
      <w:r w:rsidRPr="007027F4">
        <w:rPr>
          <w:rFonts w:ascii="Arial" w:hAnsi="Arial" w:cs="Arial"/>
        </w:rPr>
        <w:t xml:space="preserve"> what </w:t>
      </w:r>
      <w:r w:rsidR="00E05D80">
        <w:rPr>
          <w:rFonts w:ascii="Arial" w:hAnsi="Arial" w:cs="Arial"/>
        </w:rPr>
        <w:t xml:space="preserve">information </w:t>
      </w:r>
      <w:r w:rsidRPr="007027F4">
        <w:rPr>
          <w:rFonts w:ascii="Arial" w:hAnsi="Arial" w:cs="Arial"/>
        </w:rPr>
        <w:t>the owners corporation must include in the unit title sales certificate.</w:t>
      </w:r>
      <w:r w:rsidR="00E05D80">
        <w:rPr>
          <w:rFonts w:ascii="Arial" w:hAnsi="Arial" w:cs="Arial"/>
        </w:rPr>
        <w:t xml:space="preserve"> It includes a requirement to provide information about regulated swimming pools on the common property of a units plan. </w:t>
      </w:r>
    </w:p>
    <w:p w14:paraId="46492DC8" w14:textId="44C13B3D" w:rsidR="00A578C2" w:rsidRDefault="00A578C2" w:rsidP="00950749">
      <w:pPr>
        <w:pStyle w:val="CS-Paragraphnumbering"/>
        <w:spacing w:before="240"/>
        <w:rPr>
          <w:rFonts w:ascii="Arial" w:hAnsi="Arial" w:cs="Arial"/>
        </w:rPr>
      </w:pPr>
      <w:r>
        <w:rPr>
          <w:rFonts w:ascii="Arial" w:hAnsi="Arial" w:cs="Arial"/>
        </w:rPr>
        <w:t xml:space="preserve">This amendment removes unnecessary red tape </w:t>
      </w:r>
      <w:r w:rsidR="00E05D80">
        <w:rPr>
          <w:rFonts w:ascii="Arial" w:hAnsi="Arial" w:cs="Arial"/>
        </w:rPr>
        <w:t xml:space="preserve">by removing </w:t>
      </w:r>
      <w:r>
        <w:rPr>
          <w:rFonts w:ascii="Arial" w:hAnsi="Arial" w:cs="Arial"/>
        </w:rPr>
        <w:t>a duplicative regulatory requirement.</w:t>
      </w:r>
    </w:p>
    <w:p w14:paraId="1FFB6A24" w14:textId="2A649B15" w:rsidR="004B061C" w:rsidRPr="00C746AF" w:rsidRDefault="004B061C" w:rsidP="004B061C">
      <w:pPr>
        <w:rPr>
          <w:rFonts w:ascii="Arial" w:hAnsi="Arial" w:cs="Arial"/>
          <w:b/>
          <w:bCs/>
          <w:sz w:val="28"/>
          <w:szCs w:val="28"/>
        </w:rPr>
      </w:pPr>
      <w:r w:rsidRPr="00C746AF">
        <w:rPr>
          <w:rFonts w:ascii="Arial" w:hAnsi="Arial" w:cs="Arial"/>
          <w:b/>
          <w:bCs/>
          <w:sz w:val="24"/>
          <w:szCs w:val="24"/>
        </w:rPr>
        <w:t xml:space="preserve">Part </w:t>
      </w:r>
      <w:r>
        <w:rPr>
          <w:rFonts w:ascii="Arial" w:hAnsi="Arial" w:cs="Arial"/>
          <w:b/>
          <w:bCs/>
          <w:sz w:val="24"/>
          <w:szCs w:val="24"/>
        </w:rPr>
        <w:t>3</w:t>
      </w:r>
      <w:r w:rsidRPr="00C746AF">
        <w:rPr>
          <w:rFonts w:ascii="Arial" w:hAnsi="Arial" w:cs="Arial"/>
          <w:b/>
          <w:bCs/>
          <w:sz w:val="24"/>
          <w:szCs w:val="24"/>
        </w:rPr>
        <w:tab/>
      </w:r>
      <w:r w:rsidRPr="00C746AF">
        <w:rPr>
          <w:rFonts w:ascii="Arial" w:hAnsi="Arial" w:cs="Arial"/>
          <w:b/>
          <w:bCs/>
          <w:sz w:val="24"/>
          <w:szCs w:val="24"/>
        </w:rPr>
        <w:tab/>
      </w:r>
      <w:r>
        <w:rPr>
          <w:rFonts w:ascii="Arial" w:hAnsi="Arial" w:cs="Arial"/>
          <w:b/>
          <w:bCs/>
          <w:sz w:val="24"/>
          <w:szCs w:val="24"/>
        </w:rPr>
        <w:tab/>
      </w:r>
      <w:r w:rsidRPr="00C746AF">
        <w:rPr>
          <w:rFonts w:ascii="Arial" w:hAnsi="Arial" w:cs="Arial"/>
          <w:b/>
          <w:bCs/>
          <w:sz w:val="24"/>
          <w:szCs w:val="24"/>
        </w:rPr>
        <w:t>Crimes (Sentencing) Act 2005</w:t>
      </w:r>
    </w:p>
    <w:p w14:paraId="103854FD" w14:textId="77777777" w:rsidR="00167FA3" w:rsidRDefault="00167FA3" w:rsidP="00167FA3">
      <w:pPr>
        <w:ind w:left="2160" w:hanging="2160"/>
        <w:rPr>
          <w:rFonts w:ascii="Arial" w:hAnsi="Arial" w:cs="Arial"/>
          <w:b/>
          <w:bCs/>
          <w:sz w:val="24"/>
          <w:szCs w:val="24"/>
        </w:rPr>
      </w:pPr>
      <w:r w:rsidRPr="00615325">
        <w:rPr>
          <w:rFonts w:ascii="Arial" w:hAnsi="Arial" w:cs="Arial"/>
          <w:b/>
          <w:bCs/>
          <w:sz w:val="24"/>
          <w:szCs w:val="24"/>
        </w:rPr>
        <w:t xml:space="preserve">Clause </w:t>
      </w:r>
      <w:r>
        <w:rPr>
          <w:rFonts w:ascii="Arial" w:hAnsi="Arial" w:cs="Arial"/>
          <w:b/>
          <w:bCs/>
          <w:sz w:val="24"/>
          <w:szCs w:val="24"/>
        </w:rPr>
        <w:t>5</w:t>
      </w:r>
      <w:r>
        <w:rPr>
          <w:rFonts w:ascii="Arial" w:hAnsi="Arial" w:cs="Arial"/>
          <w:b/>
          <w:bCs/>
          <w:sz w:val="24"/>
          <w:szCs w:val="24"/>
        </w:rPr>
        <w:tab/>
        <w:t>Breach of treatment order–other than commission of offence</w:t>
      </w:r>
      <w:r>
        <w:rPr>
          <w:rFonts w:ascii="Arial" w:hAnsi="Arial" w:cs="Arial"/>
          <w:b/>
          <w:bCs/>
          <w:sz w:val="24"/>
          <w:szCs w:val="24"/>
        </w:rPr>
        <w:br/>
        <w:t>Section 80ZB (1) (a)</w:t>
      </w:r>
    </w:p>
    <w:p w14:paraId="5C212189" w14:textId="77777777" w:rsidR="00167FA3" w:rsidRDefault="00167FA3" w:rsidP="00167FA3">
      <w:pPr>
        <w:rPr>
          <w:rFonts w:ascii="Arial" w:hAnsi="Arial" w:cs="Arial"/>
          <w:sz w:val="24"/>
          <w:szCs w:val="24"/>
        </w:rPr>
      </w:pPr>
      <w:r>
        <w:rPr>
          <w:rFonts w:ascii="Arial" w:hAnsi="Arial" w:cs="Arial"/>
          <w:sz w:val="24"/>
          <w:szCs w:val="24"/>
        </w:rPr>
        <w:t>This clause makes a minor technical amendment to assist readability.</w:t>
      </w:r>
    </w:p>
    <w:p w14:paraId="7E106460" w14:textId="77777777" w:rsidR="00167FA3" w:rsidRDefault="00167FA3" w:rsidP="00167FA3">
      <w:pPr>
        <w:jc w:val="both"/>
        <w:rPr>
          <w:rFonts w:ascii="Arial" w:hAnsi="Arial" w:cs="Arial"/>
          <w:b/>
          <w:bCs/>
          <w:sz w:val="24"/>
          <w:szCs w:val="24"/>
        </w:rPr>
      </w:pPr>
      <w:r w:rsidRPr="00615325">
        <w:rPr>
          <w:rFonts w:ascii="Arial" w:hAnsi="Arial" w:cs="Arial"/>
          <w:b/>
          <w:bCs/>
          <w:sz w:val="24"/>
          <w:szCs w:val="24"/>
        </w:rPr>
        <w:t xml:space="preserve">Clause </w:t>
      </w:r>
      <w:r>
        <w:rPr>
          <w:rFonts w:ascii="Arial" w:hAnsi="Arial" w:cs="Arial"/>
          <w:b/>
          <w:bCs/>
          <w:sz w:val="24"/>
          <w:szCs w:val="24"/>
        </w:rPr>
        <w:t>6</w:t>
      </w:r>
      <w:r w:rsidRPr="00615325">
        <w:rPr>
          <w:rFonts w:ascii="Arial" w:hAnsi="Arial" w:cs="Arial"/>
          <w:b/>
          <w:bCs/>
          <w:sz w:val="24"/>
          <w:szCs w:val="24"/>
        </w:rPr>
        <w:tab/>
      </w:r>
      <w:r w:rsidRPr="00615325">
        <w:rPr>
          <w:rFonts w:ascii="Arial" w:hAnsi="Arial" w:cs="Arial"/>
          <w:b/>
          <w:bCs/>
          <w:sz w:val="24"/>
          <w:szCs w:val="24"/>
        </w:rPr>
        <w:tab/>
      </w:r>
      <w:r>
        <w:rPr>
          <w:rFonts w:ascii="Arial" w:hAnsi="Arial" w:cs="Arial"/>
          <w:b/>
          <w:bCs/>
          <w:sz w:val="24"/>
          <w:szCs w:val="24"/>
        </w:rPr>
        <w:t>Section 80ZB (1) (b)</w:t>
      </w:r>
    </w:p>
    <w:p w14:paraId="55E7AE62" w14:textId="77777777" w:rsidR="00167FA3" w:rsidRDefault="00167FA3" w:rsidP="00167FA3">
      <w:pPr>
        <w:rPr>
          <w:rFonts w:ascii="Arial" w:hAnsi="Arial" w:cs="Arial"/>
          <w:sz w:val="24"/>
          <w:szCs w:val="24"/>
        </w:rPr>
      </w:pPr>
      <w:r>
        <w:rPr>
          <w:rFonts w:ascii="Arial" w:hAnsi="Arial" w:cs="Arial"/>
          <w:sz w:val="24"/>
          <w:szCs w:val="24"/>
        </w:rPr>
        <w:t>This clause makes a minor technical amendment to assist readability.</w:t>
      </w:r>
    </w:p>
    <w:p w14:paraId="3419DB04" w14:textId="77777777" w:rsidR="00167FA3" w:rsidRDefault="00167FA3" w:rsidP="00167FA3">
      <w:pPr>
        <w:jc w:val="both"/>
        <w:rPr>
          <w:rFonts w:ascii="Arial" w:hAnsi="Arial" w:cs="Arial"/>
          <w:b/>
          <w:bCs/>
          <w:sz w:val="24"/>
          <w:szCs w:val="24"/>
        </w:rPr>
      </w:pPr>
      <w:r w:rsidRPr="00615325">
        <w:rPr>
          <w:rFonts w:ascii="Arial" w:hAnsi="Arial" w:cs="Arial"/>
          <w:b/>
          <w:bCs/>
          <w:sz w:val="24"/>
          <w:szCs w:val="24"/>
        </w:rPr>
        <w:t xml:space="preserve">Clause </w:t>
      </w:r>
      <w:r>
        <w:rPr>
          <w:rFonts w:ascii="Arial" w:hAnsi="Arial" w:cs="Arial"/>
          <w:b/>
          <w:bCs/>
          <w:sz w:val="24"/>
          <w:szCs w:val="24"/>
        </w:rPr>
        <w:t>7</w:t>
      </w:r>
      <w:r w:rsidRPr="00615325">
        <w:rPr>
          <w:rFonts w:ascii="Arial" w:hAnsi="Arial" w:cs="Arial"/>
          <w:b/>
          <w:bCs/>
          <w:sz w:val="24"/>
          <w:szCs w:val="24"/>
        </w:rPr>
        <w:tab/>
      </w:r>
      <w:r w:rsidRPr="00615325">
        <w:rPr>
          <w:rFonts w:ascii="Arial" w:hAnsi="Arial" w:cs="Arial"/>
          <w:b/>
          <w:bCs/>
          <w:sz w:val="24"/>
          <w:szCs w:val="24"/>
        </w:rPr>
        <w:tab/>
      </w:r>
      <w:r>
        <w:rPr>
          <w:rFonts w:ascii="Arial" w:hAnsi="Arial" w:cs="Arial"/>
          <w:b/>
          <w:bCs/>
          <w:sz w:val="24"/>
          <w:szCs w:val="24"/>
        </w:rPr>
        <w:t>Section 80ZB (1) (c</w:t>
      </w:r>
      <w:r w:rsidRPr="00615325">
        <w:rPr>
          <w:rFonts w:ascii="Arial" w:hAnsi="Arial" w:cs="Arial"/>
          <w:b/>
          <w:bCs/>
          <w:sz w:val="24"/>
          <w:szCs w:val="24"/>
        </w:rPr>
        <w:t>)</w:t>
      </w:r>
    </w:p>
    <w:p w14:paraId="5EF3F421" w14:textId="77777777" w:rsidR="00167FA3" w:rsidRDefault="00167FA3" w:rsidP="00167FA3">
      <w:pPr>
        <w:rPr>
          <w:rFonts w:ascii="Arial" w:hAnsi="Arial" w:cs="Arial"/>
          <w:sz w:val="24"/>
          <w:szCs w:val="24"/>
        </w:rPr>
      </w:pPr>
      <w:r>
        <w:rPr>
          <w:rFonts w:ascii="Arial" w:hAnsi="Arial" w:cs="Arial"/>
          <w:sz w:val="24"/>
          <w:szCs w:val="24"/>
        </w:rPr>
        <w:t>This clause makes a minor technical amendment to assist readability.</w:t>
      </w:r>
    </w:p>
    <w:p w14:paraId="4FE9815C" w14:textId="77777777" w:rsidR="00167FA3" w:rsidRDefault="00167FA3" w:rsidP="00167FA3">
      <w:pPr>
        <w:jc w:val="both"/>
        <w:rPr>
          <w:rFonts w:ascii="Arial" w:hAnsi="Arial" w:cs="Arial"/>
          <w:b/>
          <w:bCs/>
          <w:sz w:val="24"/>
          <w:szCs w:val="24"/>
        </w:rPr>
      </w:pPr>
      <w:r w:rsidRPr="00615325">
        <w:rPr>
          <w:rFonts w:ascii="Arial" w:hAnsi="Arial" w:cs="Arial"/>
          <w:b/>
          <w:bCs/>
          <w:sz w:val="24"/>
          <w:szCs w:val="24"/>
        </w:rPr>
        <w:t xml:space="preserve">Clause </w:t>
      </w:r>
      <w:r>
        <w:rPr>
          <w:rFonts w:ascii="Arial" w:hAnsi="Arial" w:cs="Arial"/>
          <w:b/>
          <w:bCs/>
          <w:sz w:val="24"/>
          <w:szCs w:val="24"/>
        </w:rPr>
        <w:t>8</w:t>
      </w:r>
      <w:r w:rsidRPr="00615325">
        <w:rPr>
          <w:rFonts w:ascii="Arial" w:hAnsi="Arial" w:cs="Arial"/>
          <w:b/>
          <w:bCs/>
          <w:sz w:val="24"/>
          <w:szCs w:val="24"/>
        </w:rPr>
        <w:tab/>
      </w:r>
      <w:r w:rsidRPr="00615325">
        <w:rPr>
          <w:rFonts w:ascii="Arial" w:hAnsi="Arial" w:cs="Arial"/>
          <w:b/>
          <w:bCs/>
          <w:sz w:val="24"/>
          <w:szCs w:val="24"/>
        </w:rPr>
        <w:tab/>
      </w:r>
      <w:r>
        <w:rPr>
          <w:rFonts w:ascii="Arial" w:hAnsi="Arial" w:cs="Arial"/>
          <w:b/>
          <w:bCs/>
          <w:sz w:val="24"/>
          <w:szCs w:val="24"/>
        </w:rPr>
        <w:t>Section 80ZB (1) (d</w:t>
      </w:r>
      <w:r w:rsidRPr="00615325">
        <w:rPr>
          <w:rFonts w:ascii="Arial" w:hAnsi="Arial" w:cs="Arial"/>
          <w:b/>
          <w:bCs/>
          <w:sz w:val="24"/>
          <w:szCs w:val="24"/>
        </w:rPr>
        <w:t>)</w:t>
      </w:r>
    </w:p>
    <w:p w14:paraId="4C148B6D" w14:textId="77777777" w:rsidR="00167FA3" w:rsidRDefault="00167FA3" w:rsidP="00167FA3">
      <w:pPr>
        <w:rPr>
          <w:rFonts w:ascii="Arial" w:hAnsi="Arial" w:cs="Arial"/>
          <w:sz w:val="24"/>
          <w:szCs w:val="24"/>
        </w:rPr>
      </w:pPr>
      <w:r>
        <w:rPr>
          <w:rFonts w:ascii="Arial" w:hAnsi="Arial" w:cs="Arial"/>
          <w:sz w:val="24"/>
          <w:szCs w:val="24"/>
        </w:rPr>
        <w:t>This clause makes a minor technical amendment to assist readability.</w:t>
      </w:r>
    </w:p>
    <w:p w14:paraId="4B35A8BE" w14:textId="77777777" w:rsidR="00167FA3" w:rsidRDefault="00167FA3" w:rsidP="00167FA3">
      <w:pPr>
        <w:jc w:val="both"/>
        <w:rPr>
          <w:rFonts w:ascii="Arial" w:hAnsi="Arial" w:cs="Arial"/>
          <w:b/>
          <w:bCs/>
          <w:sz w:val="24"/>
          <w:szCs w:val="24"/>
        </w:rPr>
      </w:pPr>
      <w:r w:rsidRPr="00615325">
        <w:rPr>
          <w:rFonts w:ascii="Arial" w:hAnsi="Arial" w:cs="Arial"/>
          <w:b/>
          <w:bCs/>
          <w:sz w:val="24"/>
          <w:szCs w:val="24"/>
        </w:rPr>
        <w:t xml:space="preserve">Clause </w:t>
      </w:r>
      <w:r>
        <w:rPr>
          <w:rFonts w:ascii="Arial" w:hAnsi="Arial" w:cs="Arial"/>
          <w:b/>
          <w:bCs/>
          <w:sz w:val="24"/>
          <w:szCs w:val="24"/>
        </w:rPr>
        <w:t>9</w:t>
      </w:r>
      <w:r w:rsidRPr="00615325">
        <w:rPr>
          <w:rFonts w:ascii="Arial" w:hAnsi="Arial" w:cs="Arial"/>
          <w:b/>
          <w:bCs/>
          <w:sz w:val="24"/>
          <w:szCs w:val="24"/>
        </w:rPr>
        <w:tab/>
      </w:r>
      <w:r w:rsidRPr="00615325">
        <w:rPr>
          <w:rFonts w:ascii="Arial" w:hAnsi="Arial" w:cs="Arial"/>
          <w:b/>
          <w:bCs/>
          <w:sz w:val="24"/>
          <w:szCs w:val="24"/>
        </w:rPr>
        <w:tab/>
      </w:r>
      <w:r>
        <w:rPr>
          <w:rFonts w:ascii="Arial" w:hAnsi="Arial" w:cs="Arial"/>
          <w:b/>
          <w:bCs/>
          <w:sz w:val="24"/>
          <w:szCs w:val="24"/>
        </w:rPr>
        <w:t>Section 80ZB (1) (e</w:t>
      </w:r>
      <w:r w:rsidRPr="00615325">
        <w:rPr>
          <w:rFonts w:ascii="Arial" w:hAnsi="Arial" w:cs="Arial"/>
          <w:b/>
          <w:bCs/>
          <w:sz w:val="24"/>
          <w:szCs w:val="24"/>
        </w:rPr>
        <w:t>)</w:t>
      </w:r>
    </w:p>
    <w:p w14:paraId="64975A30" w14:textId="77777777" w:rsidR="00167FA3" w:rsidRDefault="00167FA3" w:rsidP="00167FA3">
      <w:pPr>
        <w:rPr>
          <w:rFonts w:ascii="Arial" w:hAnsi="Arial" w:cs="Arial"/>
          <w:sz w:val="24"/>
          <w:szCs w:val="24"/>
        </w:rPr>
      </w:pPr>
      <w:r>
        <w:rPr>
          <w:rFonts w:ascii="Arial" w:hAnsi="Arial" w:cs="Arial"/>
          <w:sz w:val="24"/>
          <w:szCs w:val="24"/>
        </w:rPr>
        <w:t>This clause makes a minor technical amendment to assist readability.</w:t>
      </w:r>
    </w:p>
    <w:p w14:paraId="1D6BC320" w14:textId="77777777" w:rsidR="00167FA3" w:rsidRDefault="00167FA3" w:rsidP="00167FA3">
      <w:pPr>
        <w:jc w:val="both"/>
        <w:rPr>
          <w:rFonts w:ascii="Arial" w:hAnsi="Arial" w:cs="Arial"/>
          <w:b/>
          <w:bCs/>
          <w:sz w:val="24"/>
          <w:szCs w:val="24"/>
        </w:rPr>
      </w:pPr>
      <w:r w:rsidRPr="00615325">
        <w:rPr>
          <w:rFonts w:ascii="Arial" w:hAnsi="Arial" w:cs="Arial"/>
          <w:b/>
          <w:bCs/>
          <w:sz w:val="24"/>
          <w:szCs w:val="24"/>
        </w:rPr>
        <w:t xml:space="preserve">Clause </w:t>
      </w:r>
      <w:r>
        <w:rPr>
          <w:rFonts w:ascii="Arial" w:hAnsi="Arial" w:cs="Arial"/>
          <w:b/>
          <w:bCs/>
          <w:sz w:val="24"/>
          <w:szCs w:val="24"/>
        </w:rPr>
        <w:t>10</w:t>
      </w:r>
      <w:r w:rsidRPr="00615325">
        <w:rPr>
          <w:rFonts w:ascii="Arial" w:hAnsi="Arial" w:cs="Arial"/>
          <w:b/>
          <w:bCs/>
          <w:sz w:val="24"/>
          <w:szCs w:val="24"/>
        </w:rPr>
        <w:tab/>
      </w:r>
      <w:r w:rsidRPr="00615325">
        <w:rPr>
          <w:rFonts w:ascii="Arial" w:hAnsi="Arial" w:cs="Arial"/>
          <w:b/>
          <w:bCs/>
          <w:sz w:val="24"/>
          <w:szCs w:val="24"/>
        </w:rPr>
        <w:tab/>
      </w:r>
      <w:r>
        <w:rPr>
          <w:rFonts w:ascii="Arial" w:hAnsi="Arial" w:cs="Arial"/>
          <w:b/>
          <w:bCs/>
          <w:sz w:val="24"/>
          <w:szCs w:val="24"/>
        </w:rPr>
        <w:t>Section 80ZB (1) (f) and (g</w:t>
      </w:r>
      <w:r w:rsidRPr="00615325">
        <w:rPr>
          <w:rFonts w:ascii="Arial" w:hAnsi="Arial" w:cs="Arial"/>
          <w:b/>
          <w:bCs/>
          <w:sz w:val="24"/>
          <w:szCs w:val="24"/>
        </w:rPr>
        <w:t>)</w:t>
      </w:r>
    </w:p>
    <w:p w14:paraId="4A295461" w14:textId="77777777" w:rsidR="00167FA3" w:rsidRDefault="00167FA3" w:rsidP="00167FA3">
      <w:pPr>
        <w:rPr>
          <w:rFonts w:ascii="Arial" w:hAnsi="Arial" w:cs="Arial"/>
          <w:sz w:val="24"/>
          <w:szCs w:val="24"/>
        </w:rPr>
      </w:pPr>
      <w:r>
        <w:rPr>
          <w:rFonts w:ascii="Arial" w:hAnsi="Arial" w:cs="Arial"/>
          <w:sz w:val="24"/>
          <w:szCs w:val="24"/>
        </w:rPr>
        <w:t>This clause makes minor technical amendments to assist readability.</w:t>
      </w:r>
    </w:p>
    <w:p w14:paraId="2E96D818" w14:textId="77777777" w:rsidR="00167FA3" w:rsidRDefault="00167FA3" w:rsidP="00167FA3">
      <w:pPr>
        <w:ind w:left="2160" w:hanging="2160"/>
        <w:rPr>
          <w:rFonts w:ascii="Arial" w:hAnsi="Arial" w:cs="Arial"/>
          <w:b/>
          <w:bCs/>
          <w:sz w:val="24"/>
          <w:szCs w:val="24"/>
        </w:rPr>
      </w:pPr>
      <w:r w:rsidRPr="00A8650A">
        <w:rPr>
          <w:rFonts w:ascii="Arial" w:hAnsi="Arial" w:cs="Arial"/>
          <w:b/>
          <w:bCs/>
          <w:sz w:val="24"/>
          <w:szCs w:val="24"/>
        </w:rPr>
        <w:lastRenderedPageBreak/>
        <w:t>Clause</w:t>
      </w:r>
      <w:r>
        <w:rPr>
          <w:rFonts w:ascii="Arial" w:hAnsi="Arial" w:cs="Arial"/>
          <w:b/>
          <w:bCs/>
          <w:sz w:val="24"/>
          <w:szCs w:val="24"/>
        </w:rPr>
        <w:t xml:space="preserve"> 11</w:t>
      </w:r>
      <w:r w:rsidRPr="00A8650A">
        <w:rPr>
          <w:rFonts w:ascii="Arial" w:hAnsi="Arial" w:cs="Arial"/>
          <w:b/>
          <w:bCs/>
          <w:sz w:val="24"/>
          <w:szCs w:val="24"/>
        </w:rPr>
        <w:tab/>
      </w:r>
      <w:r>
        <w:rPr>
          <w:rFonts w:ascii="Arial" w:hAnsi="Arial" w:cs="Arial"/>
          <w:b/>
          <w:bCs/>
          <w:sz w:val="24"/>
          <w:szCs w:val="24"/>
        </w:rPr>
        <w:t xml:space="preserve">New section 80ZBA  </w:t>
      </w:r>
      <w:r>
        <w:rPr>
          <w:rFonts w:ascii="Arial" w:hAnsi="Arial" w:cs="Arial"/>
          <w:b/>
          <w:bCs/>
          <w:sz w:val="24"/>
          <w:szCs w:val="24"/>
        </w:rPr>
        <w:br/>
        <w:t>Breach of treatment order–other than commission of offence–Magistrates Court may make temporary order</w:t>
      </w:r>
    </w:p>
    <w:p w14:paraId="6BECD5CD" w14:textId="77777777" w:rsidR="00167FA3" w:rsidRDefault="00167FA3" w:rsidP="00167FA3">
      <w:pPr>
        <w:rPr>
          <w:rFonts w:ascii="Arial" w:hAnsi="Arial" w:cs="Arial"/>
          <w:sz w:val="24"/>
          <w:szCs w:val="24"/>
        </w:rPr>
      </w:pPr>
      <w:r>
        <w:rPr>
          <w:rFonts w:ascii="Arial" w:hAnsi="Arial" w:cs="Arial"/>
          <w:sz w:val="24"/>
          <w:szCs w:val="24"/>
        </w:rPr>
        <w:t>This clause inserts a new provision (section 80ZBA), which permits the Magistrates Court to hear a breach of a Drug and Alcohol Treatment Order (DATO) matter and make a temporary order.</w:t>
      </w:r>
    </w:p>
    <w:p w14:paraId="77D30571" w14:textId="77777777" w:rsidR="00167FA3" w:rsidRPr="00DD724D" w:rsidRDefault="00167FA3" w:rsidP="00167FA3">
      <w:pPr>
        <w:rPr>
          <w:rFonts w:ascii="Arial" w:hAnsi="Arial" w:cs="Arial"/>
          <w:iCs/>
          <w:sz w:val="24"/>
          <w:szCs w:val="24"/>
        </w:rPr>
      </w:pPr>
      <w:r>
        <w:rPr>
          <w:rFonts w:ascii="Arial" w:hAnsi="Arial" w:cs="Arial"/>
          <w:iCs/>
          <w:sz w:val="24"/>
          <w:szCs w:val="24"/>
        </w:rPr>
        <w:t xml:space="preserve">New section 80ZBA applies where an </w:t>
      </w:r>
      <w:r w:rsidRPr="00DD724D">
        <w:rPr>
          <w:rFonts w:ascii="Arial" w:hAnsi="Arial" w:cs="Arial"/>
          <w:iCs/>
          <w:sz w:val="24"/>
          <w:szCs w:val="24"/>
        </w:rPr>
        <w:t xml:space="preserve">offender has been arrested for breaching a DATO </w:t>
      </w:r>
      <w:r>
        <w:rPr>
          <w:rFonts w:ascii="Arial" w:hAnsi="Arial" w:cs="Arial"/>
          <w:iCs/>
          <w:sz w:val="24"/>
          <w:szCs w:val="24"/>
        </w:rPr>
        <w:t xml:space="preserve">(other by commission of an offence) </w:t>
      </w:r>
      <w:r w:rsidRPr="00DD724D">
        <w:rPr>
          <w:rFonts w:ascii="Arial" w:hAnsi="Arial" w:cs="Arial"/>
          <w:iCs/>
          <w:sz w:val="24"/>
          <w:szCs w:val="24"/>
        </w:rPr>
        <w:t>and the offender cannot be brought before the Supreme Court because the Supreme Court is not sitting</w:t>
      </w:r>
      <w:r>
        <w:rPr>
          <w:rFonts w:ascii="Arial" w:hAnsi="Arial" w:cs="Arial"/>
          <w:iCs/>
          <w:sz w:val="24"/>
          <w:szCs w:val="24"/>
        </w:rPr>
        <w:t xml:space="preserve"> (on days such as a Saturday, a public holiday or the court shutdown period)</w:t>
      </w:r>
      <w:r w:rsidRPr="00DD724D">
        <w:rPr>
          <w:rFonts w:ascii="Arial" w:hAnsi="Arial" w:cs="Arial"/>
          <w:iCs/>
          <w:sz w:val="24"/>
          <w:szCs w:val="24"/>
        </w:rPr>
        <w:t>. In those circumstances the Magistrates Court can make an order of the type listed in</w:t>
      </w:r>
      <w:r>
        <w:rPr>
          <w:rFonts w:ascii="Arial" w:hAnsi="Arial" w:cs="Arial"/>
          <w:iCs/>
          <w:sz w:val="24"/>
          <w:szCs w:val="24"/>
        </w:rPr>
        <w:t xml:space="preserve"> new</w:t>
      </w:r>
      <w:r w:rsidRPr="00DD724D">
        <w:rPr>
          <w:rFonts w:ascii="Arial" w:hAnsi="Arial" w:cs="Arial"/>
          <w:iCs/>
          <w:sz w:val="24"/>
          <w:szCs w:val="24"/>
        </w:rPr>
        <w:t xml:space="preserve"> section 80ZBA(2) if satisfied on the balance of probabilities that the offender has breached a condition of their DATO</w:t>
      </w:r>
      <w:r>
        <w:rPr>
          <w:rFonts w:ascii="Arial" w:hAnsi="Arial" w:cs="Arial"/>
          <w:iCs/>
          <w:sz w:val="24"/>
          <w:szCs w:val="24"/>
        </w:rPr>
        <w:t>.</w:t>
      </w:r>
      <w:r w:rsidRPr="00DD724D">
        <w:rPr>
          <w:rFonts w:ascii="Arial" w:hAnsi="Arial" w:cs="Arial"/>
          <w:iCs/>
          <w:sz w:val="24"/>
          <w:szCs w:val="24"/>
        </w:rPr>
        <w:t xml:space="preserve"> </w:t>
      </w:r>
      <w:r>
        <w:rPr>
          <w:rFonts w:ascii="Arial" w:hAnsi="Arial" w:cs="Arial"/>
          <w:iCs/>
          <w:sz w:val="24"/>
          <w:szCs w:val="24"/>
        </w:rPr>
        <w:t xml:space="preserve">The orders available are providing a warning, imposing a condition (such as where a person should reside) or </w:t>
      </w:r>
      <w:r w:rsidRPr="00DD724D">
        <w:rPr>
          <w:rFonts w:ascii="Arial" w:hAnsi="Arial" w:cs="Arial"/>
          <w:iCs/>
          <w:sz w:val="24"/>
          <w:szCs w:val="24"/>
        </w:rPr>
        <w:t>cancelling the suspension of the offender’s sentence of imprisonment</w:t>
      </w:r>
      <w:r>
        <w:rPr>
          <w:rFonts w:ascii="Arial" w:hAnsi="Arial" w:cs="Arial"/>
          <w:iCs/>
          <w:sz w:val="24"/>
          <w:szCs w:val="24"/>
        </w:rPr>
        <w:t>, such that the person will be imprisoned until the next day on which the Supreme Court is sitting</w:t>
      </w:r>
      <w:r w:rsidRPr="00DD724D">
        <w:rPr>
          <w:rFonts w:ascii="Arial" w:hAnsi="Arial" w:cs="Arial"/>
          <w:iCs/>
          <w:sz w:val="24"/>
          <w:szCs w:val="24"/>
        </w:rPr>
        <w:t>.</w:t>
      </w:r>
    </w:p>
    <w:p w14:paraId="7584B682" w14:textId="77777777" w:rsidR="00167FA3" w:rsidRPr="00DD724D" w:rsidRDefault="00167FA3" w:rsidP="00167FA3">
      <w:pPr>
        <w:rPr>
          <w:rFonts w:ascii="Arial" w:hAnsi="Arial" w:cs="Arial"/>
          <w:sz w:val="24"/>
          <w:szCs w:val="24"/>
        </w:rPr>
      </w:pPr>
      <w:r w:rsidRPr="00DD724D">
        <w:rPr>
          <w:rFonts w:ascii="Arial" w:hAnsi="Arial" w:cs="Arial"/>
          <w:sz w:val="24"/>
          <w:szCs w:val="24"/>
        </w:rPr>
        <w:t xml:space="preserve">The provision includes appropriate safeguards, including </w:t>
      </w:r>
      <w:r>
        <w:rPr>
          <w:rFonts w:ascii="Arial" w:hAnsi="Arial" w:cs="Arial"/>
          <w:sz w:val="24"/>
          <w:szCs w:val="24"/>
        </w:rPr>
        <w:t>that the Supreme Court must review the order on the next day it sits and that any temporary cancellation of a suspended sentence will be until the next day the Supreme Court is sitting (which is frequent) and cannot be more than 14 days</w:t>
      </w:r>
      <w:r w:rsidRPr="00DD724D">
        <w:rPr>
          <w:rFonts w:ascii="Arial" w:hAnsi="Arial" w:cs="Arial"/>
          <w:sz w:val="24"/>
          <w:szCs w:val="24"/>
        </w:rPr>
        <w:t xml:space="preserve">. </w:t>
      </w:r>
    </w:p>
    <w:p w14:paraId="7F5AA02B" w14:textId="77777777" w:rsidR="00167FA3" w:rsidRDefault="00167FA3" w:rsidP="00167FA3">
      <w:pPr>
        <w:rPr>
          <w:rFonts w:ascii="Arial" w:hAnsi="Arial" w:cs="Arial"/>
          <w:sz w:val="24"/>
          <w:szCs w:val="24"/>
        </w:rPr>
      </w:pPr>
      <w:r>
        <w:rPr>
          <w:rFonts w:ascii="Arial" w:hAnsi="Arial" w:cs="Arial"/>
          <w:sz w:val="24"/>
          <w:szCs w:val="24"/>
        </w:rPr>
        <w:t>New s</w:t>
      </w:r>
      <w:r w:rsidRPr="00DD724D">
        <w:rPr>
          <w:rFonts w:ascii="Arial" w:hAnsi="Arial" w:cs="Arial"/>
          <w:sz w:val="24"/>
          <w:szCs w:val="24"/>
        </w:rPr>
        <w:t xml:space="preserve">ection 80ZBA(4) provides that the Magistrates Court can make an order on its own initiative or on application by the specified parties, and requires he Magistrates Court to provide a copy of any order made to the </w:t>
      </w:r>
      <w:r>
        <w:rPr>
          <w:rFonts w:ascii="Arial" w:hAnsi="Arial" w:cs="Arial"/>
          <w:sz w:val="24"/>
          <w:szCs w:val="24"/>
        </w:rPr>
        <w:t xml:space="preserve">offender, each member of the treatment team and any other person, to </w:t>
      </w:r>
      <w:r w:rsidRPr="00DD724D">
        <w:rPr>
          <w:rFonts w:ascii="Arial" w:hAnsi="Arial" w:cs="Arial"/>
          <w:sz w:val="24"/>
          <w:szCs w:val="24"/>
        </w:rPr>
        <w:t xml:space="preserve">ensure relevant organisations </w:t>
      </w:r>
      <w:r>
        <w:rPr>
          <w:rFonts w:ascii="Arial" w:hAnsi="Arial" w:cs="Arial"/>
          <w:sz w:val="24"/>
          <w:szCs w:val="24"/>
        </w:rPr>
        <w:t xml:space="preserve">are </w:t>
      </w:r>
      <w:r w:rsidRPr="00DD724D">
        <w:rPr>
          <w:rFonts w:ascii="Arial" w:hAnsi="Arial" w:cs="Arial"/>
          <w:sz w:val="24"/>
          <w:szCs w:val="24"/>
        </w:rPr>
        <w:t>made aware of the order.</w:t>
      </w:r>
    </w:p>
    <w:p w14:paraId="52BF9711" w14:textId="77777777" w:rsidR="00167FA3" w:rsidRPr="00DD724D" w:rsidRDefault="00167FA3" w:rsidP="00167FA3">
      <w:pPr>
        <w:rPr>
          <w:rFonts w:ascii="Arial" w:hAnsi="Arial" w:cs="Arial"/>
          <w:sz w:val="24"/>
          <w:szCs w:val="24"/>
        </w:rPr>
      </w:pPr>
      <w:r>
        <w:rPr>
          <w:rFonts w:ascii="Arial" w:hAnsi="Arial" w:cs="Arial"/>
          <w:sz w:val="24"/>
          <w:szCs w:val="24"/>
        </w:rPr>
        <w:t xml:space="preserve">New section 80ZBA(8) notes that following any action from the Magistrates Court, the Supreme Court is able to take action under section 80ZB in relation to the person’s breach of their DATO and review the order under section 80ZH of the Sentencing Act. </w:t>
      </w:r>
    </w:p>
    <w:p w14:paraId="404EE537" w14:textId="54BFEB26" w:rsidR="00C90C96" w:rsidRPr="004B18C5" w:rsidRDefault="00C90C96" w:rsidP="00C57A11">
      <w:pPr>
        <w:pStyle w:val="CS-Paragraphnumbering"/>
        <w:keepNext/>
        <w:rPr>
          <w:rFonts w:ascii="Arial" w:hAnsi="Arial" w:cs="Arial"/>
          <w:b/>
          <w:bCs/>
        </w:rPr>
      </w:pPr>
      <w:r w:rsidRPr="004B18C5">
        <w:rPr>
          <w:rFonts w:ascii="Arial" w:hAnsi="Arial" w:cs="Arial"/>
          <w:b/>
          <w:bCs/>
        </w:rPr>
        <w:t xml:space="preserve">Part </w:t>
      </w:r>
      <w:r w:rsidR="004B061C">
        <w:rPr>
          <w:rFonts w:ascii="Arial" w:hAnsi="Arial" w:cs="Arial"/>
          <w:b/>
          <w:bCs/>
        </w:rPr>
        <w:t>4</w:t>
      </w:r>
      <w:r w:rsidRPr="004B18C5">
        <w:rPr>
          <w:rFonts w:ascii="Arial" w:hAnsi="Arial" w:cs="Arial"/>
          <w:b/>
          <w:bCs/>
        </w:rPr>
        <w:t xml:space="preserve"> </w:t>
      </w:r>
      <w:r w:rsidRPr="004B18C5">
        <w:rPr>
          <w:rFonts w:ascii="Arial" w:hAnsi="Arial" w:cs="Arial"/>
          <w:b/>
          <w:bCs/>
        </w:rPr>
        <w:tab/>
      </w:r>
      <w:r w:rsidRPr="004B18C5">
        <w:rPr>
          <w:rFonts w:ascii="Arial" w:hAnsi="Arial" w:cs="Arial"/>
          <w:b/>
          <w:bCs/>
        </w:rPr>
        <w:tab/>
        <w:t>Discrimination Act 1991</w:t>
      </w:r>
    </w:p>
    <w:p w14:paraId="2DBC3929" w14:textId="33304FBB" w:rsidR="00C90C96" w:rsidRPr="008B7AFA" w:rsidRDefault="00C90C96" w:rsidP="00C57A11">
      <w:pPr>
        <w:keepNext/>
        <w:rPr>
          <w:rFonts w:ascii="Arial" w:hAnsi="Arial" w:cs="Arial"/>
          <w:b/>
          <w:bCs/>
          <w:sz w:val="24"/>
          <w:szCs w:val="24"/>
        </w:rPr>
      </w:pPr>
      <w:r w:rsidRPr="004B18C5">
        <w:rPr>
          <w:rFonts w:ascii="Arial" w:hAnsi="Arial" w:cs="Arial"/>
          <w:b/>
          <w:bCs/>
          <w:sz w:val="24"/>
          <w:szCs w:val="24"/>
        </w:rPr>
        <w:t xml:space="preserve">Clause </w:t>
      </w:r>
      <w:r w:rsidR="009676A2">
        <w:rPr>
          <w:rFonts w:ascii="Arial" w:hAnsi="Arial" w:cs="Arial"/>
          <w:b/>
          <w:bCs/>
          <w:sz w:val="24"/>
          <w:szCs w:val="24"/>
        </w:rPr>
        <w:t>12</w:t>
      </w:r>
      <w:r w:rsidRPr="004B18C5">
        <w:rPr>
          <w:rFonts w:ascii="Arial" w:hAnsi="Arial" w:cs="Arial"/>
          <w:b/>
          <w:bCs/>
          <w:sz w:val="24"/>
          <w:szCs w:val="24"/>
        </w:rPr>
        <w:tab/>
      </w:r>
      <w:r w:rsidR="00891B66">
        <w:rPr>
          <w:rFonts w:ascii="Arial" w:hAnsi="Arial" w:cs="Arial"/>
          <w:b/>
          <w:bCs/>
          <w:sz w:val="24"/>
          <w:szCs w:val="24"/>
        </w:rPr>
        <w:tab/>
      </w:r>
      <w:r>
        <w:rPr>
          <w:rFonts w:ascii="Arial" w:hAnsi="Arial" w:cs="Arial"/>
          <w:b/>
          <w:bCs/>
          <w:sz w:val="24"/>
          <w:szCs w:val="24"/>
        </w:rPr>
        <w:t xml:space="preserve">Dictionary, definition of </w:t>
      </w:r>
      <w:r>
        <w:rPr>
          <w:rFonts w:ascii="Arial" w:hAnsi="Arial" w:cs="Arial"/>
          <w:b/>
          <w:bCs/>
          <w:i/>
          <w:iCs/>
          <w:sz w:val="24"/>
          <w:szCs w:val="24"/>
        </w:rPr>
        <w:t>irrelevant criminal record</w:t>
      </w:r>
      <w:r>
        <w:rPr>
          <w:rFonts w:ascii="Arial" w:hAnsi="Arial" w:cs="Arial"/>
          <w:b/>
          <w:bCs/>
          <w:i/>
          <w:iCs/>
          <w:sz w:val="24"/>
          <w:szCs w:val="24"/>
        </w:rPr>
        <w:br/>
      </w:r>
      <w:r>
        <w:rPr>
          <w:rFonts w:ascii="Arial" w:hAnsi="Arial" w:cs="Arial"/>
          <w:b/>
          <w:bCs/>
          <w:i/>
          <w:iCs/>
          <w:sz w:val="24"/>
          <w:szCs w:val="24"/>
        </w:rPr>
        <w:tab/>
      </w:r>
      <w:r>
        <w:rPr>
          <w:rFonts w:ascii="Arial" w:hAnsi="Arial" w:cs="Arial"/>
          <w:b/>
          <w:bCs/>
          <w:i/>
          <w:iCs/>
          <w:sz w:val="24"/>
          <w:szCs w:val="24"/>
        </w:rPr>
        <w:tab/>
      </w:r>
      <w:r>
        <w:rPr>
          <w:rFonts w:ascii="Arial" w:hAnsi="Arial" w:cs="Arial"/>
          <w:b/>
          <w:bCs/>
          <w:i/>
          <w:iCs/>
          <w:sz w:val="24"/>
          <w:szCs w:val="24"/>
        </w:rPr>
        <w:tab/>
      </w:r>
      <w:r>
        <w:rPr>
          <w:rFonts w:ascii="Arial" w:hAnsi="Arial" w:cs="Arial"/>
          <w:b/>
          <w:bCs/>
          <w:sz w:val="24"/>
          <w:szCs w:val="24"/>
        </w:rPr>
        <w:t>paragraph (f) and note</w:t>
      </w:r>
    </w:p>
    <w:p w14:paraId="24890A8E" w14:textId="77777777" w:rsidR="00D54A85" w:rsidRDefault="00C90C96" w:rsidP="00C90C96">
      <w:pPr>
        <w:rPr>
          <w:rFonts w:ascii="Arial" w:hAnsi="Arial" w:cs="Arial"/>
          <w:sz w:val="24"/>
          <w:szCs w:val="24"/>
        </w:rPr>
      </w:pPr>
      <w:r w:rsidRPr="00E26B3A">
        <w:rPr>
          <w:rFonts w:ascii="Arial" w:hAnsi="Arial" w:cs="Arial"/>
          <w:sz w:val="24"/>
          <w:szCs w:val="24"/>
        </w:rPr>
        <w:t xml:space="preserve">This clause updates the definition of </w:t>
      </w:r>
      <w:r w:rsidRPr="00E26B3A">
        <w:rPr>
          <w:rFonts w:ascii="Arial" w:hAnsi="Arial" w:cs="Arial"/>
          <w:i/>
          <w:iCs/>
          <w:sz w:val="24"/>
          <w:szCs w:val="24"/>
        </w:rPr>
        <w:t xml:space="preserve">irrelevant criminal record </w:t>
      </w:r>
      <w:r>
        <w:rPr>
          <w:rFonts w:ascii="Arial" w:hAnsi="Arial" w:cs="Arial"/>
          <w:sz w:val="24"/>
          <w:szCs w:val="24"/>
        </w:rPr>
        <w:t>in</w:t>
      </w:r>
      <w:r w:rsidRPr="00E26B3A">
        <w:rPr>
          <w:rFonts w:ascii="Arial" w:hAnsi="Arial" w:cs="Arial"/>
          <w:sz w:val="24"/>
          <w:szCs w:val="24"/>
        </w:rPr>
        <w:t xml:space="preserve"> the</w:t>
      </w:r>
      <w:r w:rsidR="00D54A85">
        <w:rPr>
          <w:rFonts w:ascii="Arial" w:hAnsi="Arial" w:cs="Arial"/>
          <w:sz w:val="24"/>
          <w:szCs w:val="24"/>
        </w:rPr>
        <w:t xml:space="preserve"> Dictionary of the</w:t>
      </w:r>
      <w:r w:rsidRPr="00E26B3A">
        <w:rPr>
          <w:rFonts w:ascii="Arial" w:hAnsi="Arial" w:cs="Arial"/>
          <w:sz w:val="24"/>
          <w:szCs w:val="24"/>
        </w:rPr>
        <w:t xml:space="preserve"> </w:t>
      </w:r>
      <w:r w:rsidRPr="008B7AFA">
        <w:rPr>
          <w:rFonts w:ascii="Arial" w:hAnsi="Arial" w:cs="Arial"/>
          <w:i/>
          <w:iCs/>
          <w:sz w:val="24"/>
          <w:szCs w:val="24"/>
        </w:rPr>
        <w:t>Discrimination Act 1991</w:t>
      </w:r>
      <w:r w:rsidR="00D54A85">
        <w:rPr>
          <w:rFonts w:ascii="Arial" w:hAnsi="Arial" w:cs="Arial"/>
          <w:sz w:val="24"/>
          <w:szCs w:val="24"/>
        </w:rPr>
        <w:t>. Currently, the definition treats extinguished and spent convictions as irrelevant for all purposes when considering whether unlawful discrimination has occurred.</w:t>
      </w:r>
    </w:p>
    <w:p w14:paraId="6408716E" w14:textId="3208183A" w:rsidR="00D54A85" w:rsidRDefault="00D54A85" w:rsidP="00C90C96">
      <w:pPr>
        <w:rPr>
          <w:rFonts w:ascii="Arial" w:hAnsi="Arial" w:cs="Arial"/>
          <w:sz w:val="24"/>
          <w:szCs w:val="24"/>
        </w:rPr>
      </w:pPr>
      <w:r>
        <w:rPr>
          <w:rFonts w:ascii="Arial" w:hAnsi="Arial" w:cs="Arial"/>
          <w:sz w:val="24"/>
          <w:szCs w:val="24"/>
        </w:rPr>
        <w:t>The new definition preserves this position with respect to extinguished convictions.</w:t>
      </w:r>
    </w:p>
    <w:p w14:paraId="28E9ACFE" w14:textId="047F1F09" w:rsidR="00C90C96" w:rsidRDefault="00D54A85" w:rsidP="00C90C96">
      <w:pPr>
        <w:rPr>
          <w:rFonts w:ascii="Arial" w:hAnsi="Arial" w:cs="Arial"/>
          <w:sz w:val="24"/>
          <w:szCs w:val="24"/>
        </w:rPr>
      </w:pPr>
      <w:r>
        <w:rPr>
          <w:rFonts w:ascii="Arial" w:hAnsi="Arial" w:cs="Arial"/>
          <w:sz w:val="24"/>
          <w:szCs w:val="24"/>
        </w:rPr>
        <w:lastRenderedPageBreak/>
        <w:t xml:space="preserve">The new definition clarifies the position with respect to spent convictions, by ensuring that it will not constitute unlawful discrimination if a person’s spent conviction is taken into account in circumstances contemplated in section 19 of the </w:t>
      </w:r>
      <w:r>
        <w:rPr>
          <w:rFonts w:ascii="Arial" w:hAnsi="Arial" w:cs="Arial"/>
          <w:i/>
          <w:iCs/>
          <w:sz w:val="24"/>
          <w:szCs w:val="24"/>
        </w:rPr>
        <w:t xml:space="preserve">Spent Convictions Act 2005 </w:t>
      </w:r>
      <w:r>
        <w:rPr>
          <w:rFonts w:ascii="Arial" w:hAnsi="Arial" w:cs="Arial"/>
          <w:sz w:val="24"/>
          <w:szCs w:val="24"/>
        </w:rPr>
        <w:t xml:space="preserve">(which has the effect that section 16 of that Act does not apply). </w:t>
      </w:r>
    </w:p>
    <w:p w14:paraId="0FD6D2CA" w14:textId="1F9B5AD9" w:rsidR="00D54A85" w:rsidRPr="00D54A85" w:rsidRDefault="00D54A85" w:rsidP="00C90C96">
      <w:pPr>
        <w:rPr>
          <w:rFonts w:ascii="Arial" w:hAnsi="Arial" w:cs="Arial"/>
          <w:sz w:val="24"/>
          <w:szCs w:val="24"/>
        </w:rPr>
      </w:pPr>
      <w:r>
        <w:rPr>
          <w:rFonts w:ascii="Arial" w:hAnsi="Arial" w:cs="Arial"/>
          <w:sz w:val="24"/>
          <w:szCs w:val="24"/>
        </w:rPr>
        <w:t>However, the new definition also indicates that a spent conviction will be an irrelevant criminal record, even if section 16 of the Spent Convictions Act does not apply, where the circumstances of the offence are not directly relevant to the situation in which discrimination arises.</w:t>
      </w:r>
    </w:p>
    <w:p w14:paraId="55C0AEC0" w14:textId="1AC5306B" w:rsidR="00A8650A" w:rsidRPr="00AD26E4" w:rsidRDefault="00C90C96">
      <w:pPr>
        <w:rPr>
          <w:rFonts w:ascii="Arial" w:hAnsi="Arial" w:cs="Arial"/>
          <w:sz w:val="28"/>
          <w:szCs w:val="28"/>
        </w:rPr>
      </w:pPr>
      <w:r w:rsidRPr="00AD26E4">
        <w:rPr>
          <w:rFonts w:ascii="Arial" w:hAnsi="Arial" w:cs="Arial"/>
          <w:iCs/>
          <w:sz w:val="24"/>
          <w:szCs w:val="24"/>
        </w:rPr>
        <w:t>The</w:t>
      </w:r>
      <w:r w:rsidR="00D54A85">
        <w:rPr>
          <w:rFonts w:ascii="Arial" w:hAnsi="Arial" w:cs="Arial"/>
          <w:iCs/>
          <w:sz w:val="24"/>
          <w:szCs w:val="24"/>
        </w:rPr>
        <w:t xml:space="preserve"> intention is to align the two Acts so that sections 16 and 19 of the Spent Conviction can operate to their full effect, but that a</w:t>
      </w:r>
      <w:r w:rsidRPr="00AD26E4">
        <w:rPr>
          <w:rFonts w:ascii="Arial" w:hAnsi="Arial" w:cs="Arial"/>
          <w:iCs/>
          <w:sz w:val="24"/>
          <w:szCs w:val="24"/>
        </w:rPr>
        <w:t xml:space="preserve">ny unfavourable treatment </w:t>
      </w:r>
      <w:r w:rsidR="00D54A85">
        <w:rPr>
          <w:rFonts w:ascii="Arial" w:hAnsi="Arial" w:cs="Arial"/>
          <w:iCs/>
          <w:sz w:val="24"/>
          <w:szCs w:val="24"/>
        </w:rPr>
        <w:t xml:space="preserve">or disadvantage </w:t>
      </w:r>
      <w:r w:rsidRPr="00AD26E4">
        <w:rPr>
          <w:rFonts w:ascii="Arial" w:hAnsi="Arial" w:cs="Arial"/>
          <w:iCs/>
          <w:sz w:val="24"/>
          <w:szCs w:val="24"/>
        </w:rPr>
        <w:t>relating to a spent conviction that is actually irrelevant may still amount to unlawful discrimination.</w:t>
      </w:r>
    </w:p>
    <w:p w14:paraId="19FC7929" w14:textId="65663031" w:rsidR="00C90C96" w:rsidRPr="004B18C5" w:rsidRDefault="00C90C96" w:rsidP="00C90C96">
      <w:pPr>
        <w:rPr>
          <w:rFonts w:ascii="Arial" w:hAnsi="Arial" w:cs="Arial"/>
          <w:b/>
          <w:bCs/>
          <w:sz w:val="28"/>
          <w:szCs w:val="28"/>
        </w:rPr>
      </w:pPr>
      <w:r w:rsidRPr="004B18C5">
        <w:rPr>
          <w:rFonts w:ascii="Arial" w:hAnsi="Arial" w:cs="Arial"/>
          <w:b/>
          <w:bCs/>
          <w:sz w:val="24"/>
          <w:szCs w:val="24"/>
        </w:rPr>
        <w:t xml:space="preserve">Part </w:t>
      </w:r>
      <w:r>
        <w:rPr>
          <w:rFonts w:ascii="Arial" w:hAnsi="Arial" w:cs="Arial"/>
          <w:b/>
          <w:bCs/>
          <w:sz w:val="24"/>
          <w:szCs w:val="24"/>
        </w:rPr>
        <w:t xml:space="preserve">5 </w:t>
      </w:r>
      <w:r w:rsidRPr="004B18C5">
        <w:rPr>
          <w:rFonts w:ascii="Arial" w:hAnsi="Arial" w:cs="Arial"/>
          <w:b/>
          <w:bCs/>
          <w:sz w:val="24"/>
          <w:szCs w:val="24"/>
        </w:rPr>
        <w:tab/>
      </w:r>
      <w:r w:rsidRPr="004B18C5">
        <w:rPr>
          <w:rFonts w:ascii="Arial" w:hAnsi="Arial" w:cs="Arial"/>
          <w:b/>
          <w:bCs/>
          <w:sz w:val="24"/>
          <w:szCs w:val="24"/>
        </w:rPr>
        <w:tab/>
        <w:t>Guardianship and Management of Property Act 1991</w:t>
      </w:r>
    </w:p>
    <w:p w14:paraId="05C0C788" w14:textId="5F6F934C" w:rsidR="00C90C96" w:rsidRDefault="00C90C96" w:rsidP="00C57A11">
      <w:pPr>
        <w:rPr>
          <w:rFonts w:ascii="Arial" w:hAnsi="Arial" w:cs="Arial"/>
          <w:b/>
          <w:bCs/>
          <w:sz w:val="24"/>
          <w:szCs w:val="24"/>
        </w:rPr>
      </w:pPr>
      <w:r w:rsidRPr="000D7F33">
        <w:rPr>
          <w:rFonts w:ascii="Arial" w:hAnsi="Arial" w:cs="Arial"/>
          <w:b/>
          <w:bCs/>
          <w:sz w:val="24"/>
          <w:szCs w:val="24"/>
        </w:rPr>
        <w:t xml:space="preserve">Clause </w:t>
      </w:r>
      <w:r w:rsidR="009676A2">
        <w:rPr>
          <w:rFonts w:ascii="Arial" w:hAnsi="Arial" w:cs="Arial"/>
          <w:b/>
          <w:bCs/>
          <w:sz w:val="24"/>
          <w:szCs w:val="24"/>
        </w:rPr>
        <w:t>13</w:t>
      </w:r>
      <w:r w:rsidRPr="000D7F33">
        <w:rPr>
          <w:rFonts w:ascii="Arial" w:hAnsi="Arial" w:cs="Arial"/>
          <w:b/>
          <w:bCs/>
          <w:sz w:val="24"/>
          <w:szCs w:val="24"/>
        </w:rPr>
        <w:tab/>
      </w:r>
      <w:r w:rsidRPr="000D7F33">
        <w:rPr>
          <w:rFonts w:ascii="Arial" w:hAnsi="Arial" w:cs="Arial"/>
          <w:b/>
          <w:bCs/>
          <w:sz w:val="24"/>
          <w:szCs w:val="24"/>
        </w:rPr>
        <w:tab/>
        <w:t>Considerations affecting appointment</w:t>
      </w:r>
      <w:r w:rsidR="00D54A85">
        <w:rPr>
          <w:rFonts w:ascii="Arial" w:hAnsi="Arial" w:cs="Arial"/>
          <w:b/>
          <w:bCs/>
          <w:sz w:val="24"/>
          <w:szCs w:val="24"/>
        </w:rPr>
        <w:br/>
      </w:r>
      <w:r w:rsidRPr="000D7F33">
        <w:rPr>
          <w:rFonts w:ascii="Arial" w:hAnsi="Arial" w:cs="Arial"/>
          <w:b/>
          <w:bCs/>
          <w:sz w:val="24"/>
          <w:szCs w:val="24"/>
        </w:rPr>
        <w:t xml:space="preserve"> </w:t>
      </w:r>
      <w:r w:rsidR="00D54A85">
        <w:rPr>
          <w:rFonts w:ascii="Arial" w:hAnsi="Arial" w:cs="Arial"/>
          <w:b/>
          <w:bCs/>
          <w:sz w:val="24"/>
          <w:szCs w:val="24"/>
        </w:rPr>
        <w:tab/>
      </w:r>
      <w:r w:rsidR="00D54A85">
        <w:rPr>
          <w:rFonts w:ascii="Arial" w:hAnsi="Arial" w:cs="Arial"/>
          <w:b/>
          <w:bCs/>
          <w:sz w:val="24"/>
          <w:szCs w:val="24"/>
        </w:rPr>
        <w:tab/>
      </w:r>
      <w:r w:rsidR="00D54A85">
        <w:rPr>
          <w:rFonts w:ascii="Arial" w:hAnsi="Arial" w:cs="Arial"/>
          <w:b/>
          <w:bCs/>
          <w:sz w:val="24"/>
          <w:szCs w:val="24"/>
        </w:rPr>
        <w:tab/>
        <w:t>S</w:t>
      </w:r>
      <w:r w:rsidRPr="000D7F33">
        <w:rPr>
          <w:rFonts w:ascii="Arial" w:hAnsi="Arial" w:cs="Arial"/>
          <w:b/>
          <w:bCs/>
          <w:sz w:val="24"/>
          <w:szCs w:val="24"/>
        </w:rPr>
        <w:t>ection 10</w:t>
      </w:r>
      <w:r w:rsidR="00FA7473" w:rsidRPr="000D7F33">
        <w:rPr>
          <w:rFonts w:ascii="Arial" w:hAnsi="Arial" w:cs="Arial"/>
          <w:b/>
          <w:bCs/>
          <w:sz w:val="24"/>
          <w:szCs w:val="24"/>
        </w:rPr>
        <w:t xml:space="preserve"> </w:t>
      </w:r>
      <w:r w:rsidRPr="000D7F33">
        <w:rPr>
          <w:rFonts w:ascii="Arial" w:hAnsi="Arial" w:cs="Arial"/>
          <w:b/>
          <w:bCs/>
          <w:sz w:val="24"/>
          <w:szCs w:val="24"/>
        </w:rPr>
        <w:t>(2)</w:t>
      </w:r>
    </w:p>
    <w:p w14:paraId="05480580" w14:textId="5672A6B2" w:rsidR="000D7F33" w:rsidRDefault="00C90C96" w:rsidP="00C90C96">
      <w:pPr>
        <w:rPr>
          <w:rFonts w:ascii="Arial" w:hAnsi="Arial" w:cs="Arial"/>
          <w:sz w:val="24"/>
          <w:szCs w:val="24"/>
        </w:rPr>
      </w:pPr>
      <w:r w:rsidRPr="000317D8">
        <w:rPr>
          <w:rFonts w:ascii="Arial" w:hAnsi="Arial" w:cs="Arial"/>
          <w:sz w:val="24"/>
          <w:szCs w:val="24"/>
        </w:rPr>
        <w:t xml:space="preserve">This </w:t>
      </w:r>
      <w:r w:rsidR="00FA7473">
        <w:rPr>
          <w:rFonts w:ascii="Arial" w:hAnsi="Arial" w:cs="Arial"/>
          <w:sz w:val="24"/>
          <w:szCs w:val="24"/>
        </w:rPr>
        <w:t>clause</w:t>
      </w:r>
      <w:r w:rsidR="00FA7473" w:rsidRPr="000317D8">
        <w:rPr>
          <w:rFonts w:ascii="Arial" w:hAnsi="Arial" w:cs="Arial"/>
          <w:sz w:val="24"/>
          <w:szCs w:val="24"/>
        </w:rPr>
        <w:t xml:space="preserve"> </w:t>
      </w:r>
      <w:r w:rsidR="00861FF3">
        <w:rPr>
          <w:rFonts w:ascii="Arial" w:hAnsi="Arial" w:cs="Arial"/>
          <w:sz w:val="24"/>
          <w:szCs w:val="24"/>
        </w:rPr>
        <w:t xml:space="preserve">makes a technical amendment to </w:t>
      </w:r>
      <w:r w:rsidR="00FE25A1">
        <w:rPr>
          <w:rFonts w:ascii="Arial" w:hAnsi="Arial" w:cs="Arial"/>
          <w:sz w:val="24"/>
          <w:szCs w:val="24"/>
        </w:rPr>
        <w:t>omit</w:t>
      </w:r>
      <w:r w:rsidR="00861FF3">
        <w:rPr>
          <w:rFonts w:ascii="Arial" w:hAnsi="Arial" w:cs="Arial"/>
          <w:sz w:val="24"/>
          <w:szCs w:val="24"/>
        </w:rPr>
        <w:t xml:space="preserve"> the words</w:t>
      </w:r>
      <w:r w:rsidR="00FE25A1">
        <w:rPr>
          <w:rFonts w:ascii="Arial" w:hAnsi="Arial" w:cs="Arial"/>
          <w:sz w:val="24"/>
          <w:szCs w:val="24"/>
        </w:rPr>
        <w:t xml:space="preserve"> </w:t>
      </w:r>
      <w:r w:rsidR="00861FF3">
        <w:rPr>
          <w:rFonts w:ascii="Arial" w:hAnsi="Arial" w:cs="Arial"/>
          <w:i/>
          <w:iCs/>
          <w:sz w:val="24"/>
          <w:szCs w:val="24"/>
        </w:rPr>
        <w:t>o</w:t>
      </w:r>
      <w:r w:rsidR="00FE25A1">
        <w:rPr>
          <w:rFonts w:ascii="Arial" w:hAnsi="Arial" w:cs="Arial"/>
          <w:i/>
          <w:iCs/>
          <w:sz w:val="24"/>
          <w:szCs w:val="24"/>
        </w:rPr>
        <w:t xml:space="preserve">n oath. </w:t>
      </w:r>
      <w:r w:rsidR="00861FF3">
        <w:rPr>
          <w:rFonts w:ascii="Arial" w:hAnsi="Arial" w:cs="Arial"/>
          <w:i/>
          <w:iCs/>
          <w:sz w:val="24"/>
          <w:szCs w:val="24"/>
        </w:rPr>
        <w:br/>
      </w:r>
      <w:r w:rsidR="00FE25A1">
        <w:rPr>
          <w:rFonts w:ascii="Arial" w:hAnsi="Arial" w:cs="Arial"/>
          <w:sz w:val="24"/>
          <w:szCs w:val="24"/>
        </w:rPr>
        <w:t>This amendment</w:t>
      </w:r>
      <w:r w:rsidR="000D7F33">
        <w:rPr>
          <w:rFonts w:ascii="Arial" w:hAnsi="Arial" w:cs="Arial"/>
          <w:sz w:val="24"/>
          <w:szCs w:val="24"/>
        </w:rPr>
        <w:t xml:space="preserve"> </w:t>
      </w:r>
      <w:r w:rsidR="00861FF3">
        <w:rPr>
          <w:rFonts w:ascii="Arial" w:hAnsi="Arial" w:cs="Arial"/>
          <w:sz w:val="24"/>
          <w:szCs w:val="24"/>
        </w:rPr>
        <w:t>supports</w:t>
      </w:r>
      <w:r w:rsidR="000D7F33">
        <w:rPr>
          <w:rFonts w:ascii="Arial" w:hAnsi="Arial" w:cs="Arial"/>
          <w:sz w:val="24"/>
          <w:szCs w:val="24"/>
        </w:rPr>
        <w:t xml:space="preserve"> Clause </w:t>
      </w:r>
      <w:r w:rsidR="009676A2">
        <w:rPr>
          <w:rFonts w:ascii="Arial" w:hAnsi="Arial" w:cs="Arial"/>
          <w:sz w:val="24"/>
          <w:szCs w:val="24"/>
        </w:rPr>
        <w:t>14</w:t>
      </w:r>
      <w:r w:rsidR="000D7F33">
        <w:rPr>
          <w:rFonts w:ascii="Arial" w:hAnsi="Arial" w:cs="Arial"/>
          <w:sz w:val="24"/>
          <w:szCs w:val="24"/>
        </w:rPr>
        <w:t>.</w:t>
      </w:r>
    </w:p>
    <w:p w14:paraId="1A963BCB" w14:textId="0771DD93" w:rsidR="00C90C96" w:rsidRDefault="00C90C96" w:rsidP="00C90C96">
      <w:pPr>
        <w:jc w:val="both"/>
        <w:rPr>
          <w:rFonts w:ascii="Arial" w:hAnsi="Arial" w:cs="Arial"/>
          <w:b/>
          <w:bCs/>
          <w:sz w:val="24"/>
          <w:szCs w:val="24"/>
        </w:rPr>
      </w:pPr>
      <w:r w:rsidRPr="00615325">
        <w:rPr>
          <w:rFonts w:ascii="Arial" w:hAnsi="Arial" w:cs="Arial"/>
          <w:b/>
          <w:bCs/>
          <w:sz w:val="24"/>
          <w:szCs w:val="24"/>
        </w:rPr>
        <w:t xml:space="preserve">Clause </w:t>
      </w:r>
      <w:r w:rsidR="009676A2">
        <w:rPr>
          <w:rFonts w:ascii="Arial" w:hAnsi="Arial" w:cs="Arial"/>
          <w:b/>
          <w:bCs/>
          <w:sz w:val="24"/>
          <w:szCs w:val="24"/>
        </w:rPr>
        <w:t>14</w:t>
      </w:r>
      <w:r w:rsidRPr="00615325">
        <w:rPr>
          <w:rFonts w:ascii="Arial" w:hAnsi="Arial" w:cs="Arial"/>
          <w:b/>
          <w:bCs/>
          <w:sz w:val="24"/>
          <w:szCs w:val="24"/>
        </w:rPr>
        <w:tab/>
      </w:r>
      <w:r w:rsidRPr="00615325">
        <w:rPr>
          <w:rFonts w:ascii="Arial" w:hAnsi="Arial" w:cs="Arial"/>
          <w:b/>
          <w:bCs/>
          <w:sz w:val="24"/>
          <w:szCs w:val="24"/>
        </w:rPr>
        <w:tab/>
        <w:t>New section 10</w:t>
      </w:r>
      <w:r w:rsidR="00861FF3">
        <w:rPr>
          <w:rFonts w:ascii="Arial" w:hAnsi="Arial" w:cs="Arial"/>
          <w:b/>
          <w:bCs/>
          <w:sz w:val="24"/>
          <w:szCs w:val="24"/>
        </w:rPr>
        <w:t xml:space="preserve"> </w:t>
      </w:r>
      <w:r w:rsidRPr="00615325">
        <w:rPr>
          <w:rFonts w:ascii="Arial" w:hAnsi="Arial" w:cs="Arial"/>
          <w:b/>
          <w:bCs/>
          <w:sz w:val="24"/>
          <w:szCs w:val="24"/>
        </w:rPr>
        <w:t>(2A)</w:t>
      </w:r>
    </w:p>
    <w:p w14:paraId="4036730E" w14:textId="57EEE828" w:rsidR="00615325" w:rsidRPr="000D192F" w:rsidRDefault="00615325" w:rsidP="00C90C96">
      <w:pPr>
        <w:jc w:val="both"/>
        <w:rPr>
          <w:rFonts w:ascii="Arial" w:hAnsi="Arial" w:cs="Arial"/>
          <w:sz w:val="24"/>
          <w:szCs w:val="24"/>
        </w:rPr>
      </w:pPr>
      <w:r w:rsidRPr="000D192F">
        <w:rPr>
          <w:rFonts w:ascii="Arial" w:hAnsi="Arial" w:cs="Arial"/>
          <w:sz w:val="24"/>
          <w:szCs w:val="24"/>
        </w:rPr>
        <w:t xml:space="preserve">This clause inserts new section </w:t>
      </w:r>
      <w:r w:rsidR="008812E0">
        <w:rPr>
          <w:rFonts w:ascii="Arial" w:hAnsi="Arial" w:cs="Arial"/>
          <w:sz w:val="24"/>
          <w:szCs w:val="24"/>
        </w:rPr>
        <w:t>10(2A)</w:t>
      </w:r>
      <w:r>
        <w:rPr>
          <w:rFonts w:ascii="Arial" w:hAnsi="Arial" w:cs="Arial"/>
          <w:sz w:val="24"/>
          <w:szCs w:val="24"/>
        </w:rPr>
        <w:t xml:space="preserve">. This is a minor and technical amendment that </w:t>
      </w:r>
      <w:r w:rsidR="000D7F33">
        <w:rPr>
          <w:rFonts w:ascii="Arial" w:hAnsi="Arial" w:cs="Arial"/>
          <w:sz w:val="24"/>
          <w:szCs w:val="24"/>
        </w:rPr>
        <w:t xml:space="preserve">inserts a provision which enables persons applying to be </w:t>
      </w:r>
      <w:r w:rsidR="00861FF3">
        <w:rPr>
          <w:rFonts w:ascii="Arial" w:hAnsi="Arial" w:cs="Arial"/>
          <w:sz w:val="24"/>
          <w:szCs w:val="24"/>
        </w:rPr>
        <w:t xml:space="preserve">a </w:t>
      </w:r>
      <w:r w:rsidR="000D7F33">
        <w:rPr>
          <w:rFonts w:ascii="Arial" w:hAnsi="Arial" w:cs="Arial"/>
          <w:sz w:val="24"/>
          <w:szCs w:val="24"/>
        </w:rPr>
        <w:t xml:space="preserve">guardian or manager to inform ACAT </w:t>
      </w:r>
      <w:r w:rsidR="00861FF3">
        <w:rPr>
          <w:rFonts w:ascii="Arial" w:hAnsi="Arial" w:cs="Arial"/>
          <w:sz w:val="24"/>
          <w:szCs w:val="24"/>
        </w:rPr>
        <w:t xml:space="preserve">of certain matters </w:t>
      </w:r>
      <w:r w:rsidR="000D7F33">
        <w:rPr>
          <w:rFonts w:ascii="Arial" w:hAnsi="Arial" w:cs="Arial"/>
          <w:sz w:val="24"/>
          <w:szCs w:val="24"/>
        </w:rPr>
        <w:t xml:space="preserve">by an oath or statutory declaration. </w:t>
      </w:r>
    </w:p>
    <w:p w14:paraId="54798B85" w14:textId="364DFAE3" w:rsidR="00EE17D3" w:rsidRDefault="00EE17D3" w:rsidP="00EE17D3">
      <w:pPr>
        <w:jc w:val="both"/>
        <w:rPr>
          <w:rFonts w:ascii="Arial" w:hAnsi="Arial" w:cs="Arial"/>
          <w:b/>
          <w:bCs/>
          <w:sz w:val="24"/>
          <w:szCs w:val="24"/>
        </w:rPr>
      </w:pPr>
      <w:r w:rsidRPr="008812E0">
        <w:rPr>
          <w:rFonts w:ascii="Arial" w:hAnsi="Arial" w:cs="Arial"/>
          <w:b/>
          <w:bCs/>
          <w:sz w:val="24"/>
          <w:szCs w:val="24"/>
        </w:rPr>
        <w:t xml:space="preserve">Clause </w:t>
      </w:r>
      <w:r w:rsidR="009676A2">
        <w:rPr>
          <w:rFonts w:ascii="Arial" w:hAnsi="Arial" w:cs="Arial"/>
          <w:b/>
          <w:bCs/>
          <w:sz w:val="24"/>
          <w:szCs w:val="24"/>
        </w:rPr>
        <w:t>15</w:t>
      </w:r>
      <w:r w:rsidRPr="008812E0">
        <w:rPr>
          <w:rFonts w:ascii="Arial" w:hAnsi="Arial" w:cs="Arial"/>
          <w:b/>
          <w:bCs/>
          <w:sz w:val="24"/>
          <w:szCs w:val="24"/>
        </w:rPr>
        <w:tab/>
      </w:r>
      <w:r w:rsidRPr="008812E0">
        <w:rPr>
          <w:rFonts w:ascii="Arial" w:hAnsi="Arial" w:cs="Arial"/>
          <w:b/>
          <w:bCs/>
          <w:sz w:val="24"/>
          <w:szCs w:val="24"/>
        </w:rPr>
        <w:tab/>
        <w:t>Emergency removal of disabled persons, section 68(4)</w:t>
      </w:r>
    </w:p>
    <w:p w14:paraId="61C42D3A" w14:textId="034D307C" w:rsidR="008812E0" w:rsidRPr="000D192F" w:rsidRDefault="008812E0" w:rsidP="00EE17D3">
      <w:pPr>
        <w:jc w:val="both"/>
        <w:rPr>
          <w:rFonts w:ascii="Arial" w:hAnsi="Arial" w:cs="Arial"/>
          <w:sz w:val="24"/>
          <w:szCs w:val="24"/>
        </w:rPr>
      </w:pPr>
      <w:r w:rsidRPr="000D192F">
        <w:rPr>
          <w:rFonts w:ascii="Arial" w:hAnsi="Arial" w:cs="Arial"/>
          <w:sz w:val="24"/>
          <w:szCs w:val="24"/>
        </w:rPr>
        <w:t xml:space="preserve">This clause </w:t>
      </w:r>
      <w:r w:rsidR="00861FF3">
        <w:rPr>
          <w:rFonts w:ascii="Arial" w:hAnsi="Arial" w:cs="Arial"/>
          <w:sz w:val="24"/>
          <w:szCs w:val="24"/>
        </w:rPr>
        <w:t>amends</w:t>
      </w:r>
      <w:r>
        <w:rPr>
          <w:rFonts w:ascii="Arial" w:hAnsi="Arial" w:cs="Arial"/>
          <w:sz w:val="24"/>
          <w:szCs w:val="24"/>
        </w:rPr>
        <w:t xml:space="preserve"> section 68 (4</w:t>
      </w:r>
      <w:r w:rsidR="0096211D">
        <w:rPr>
          <w:rFonts w:ascii="Arial" w:hAnsi="Arial" w:cs="Arial"/>
          <w:sz w:val="24"/>
          <w:szCs w:val="24"/>
        </w:rPr>
        <w:t>)</w:t>
      </w:r>
      <w:r>
        <w:rPr>
          <w:rFonts w:ascii="Arial" w:hAnsi="Arial" w:cs="Arial"/>
          <w:sz w:val="24"/>
          <w:szCs w:val="24"/>
        </w:rPr>
        <w:t xml:space="preserve">, to include the ability for ACAT to be informed </w:t>
      </w:r>
      <w:r w:rsidR="00861FF3">
        <w:rPr>
          <w:rFonts w:ascii="Arial" w:hAnsi="Arial" w:cs="Arial"/>
          <w:sz w:val="24"/>
          <w:szCs w:val="24"/>
        </w:rPr>
        <w:t xml:space="preserve">of matters </w:t>
      </w:r>
      <w:r>
        <w:rPr>
          <w:rFonts w:ascii="Arial" w:hAnsi="Arial" w:cs="Arial"/>
          <w:sz w:val="24"/>
          <w:szCs w:val="24"/>
        </w:rPr>
        <w:t>by statutory declaration</w:t>
      </w:r>
      <w:r w:rsidR="00861FF3">
        <w:rPr>
          <w:rFonts w:ascii="Arial" w:hAnsi="Arial" w:cs="Arial"/>
          <w:sz w:val="24"/>
          <w:szCs w:val="24"/>
        </w:rPr>
        <w:t xml:space="preserve"> as well as on oath, when an application is made under this section</w:t>
      </w:r>
      <w:r>
        <w:rPr>
          <w:rFonts w:ascii="Arial" w:hAnsi="Arial" w:cs="Arial"/>
          <w:sz w:val="24"/>
          <w:szCs w:val="24"/>
        </w:rPr>
        <w:t>.</w:t>
      </w:r>
    </w:p>
    <w:p w14:paraId="2F38D54B" w14:textId="689EAFED" w:rsidR="008812E0" w:rsidRDefault="00EE17D3" w:rsidP="00EE17D3">
      <w:pPr>
        <w:pStyle w:val="CS-Paragraphnumbering"/>
        <w:jc w:val="both"/>
        <w:rPr>
          <w:rFonts w:ascii="Arial" w:eastAsia="Times New Roman" w:hAnsi="Arial" w:cs="Arial"/>
          <w:b/>
          <w:bCs/>
        </w:rPr>
      </w:pPr>
      <w:r w:rsidRPr="00AD26E4">
        <w:rPr>
          <w:rFonts w:ascii="Arial" w:hAnsi="Arial" w:cs="Arial"/>
          <w:b/>
          <w:bCs/>
        </w:rPr>
        <w:t xml:space="preserve">Clause </w:t>
      </w:r>
      <w:r w:rsidR="004B061C" w:rsidRPr="00D714D6">
        <w:rPr>
          <w:rFonts w:ascii="Arial" w:hAnsi="Arial" w:cs="Arial"/>
          <w:b/>
          <w:bCs/>
        </w:rPr>
        <w:t>1</w:t>
      </w:r>
      <w:r w:rsidR="009676A2">
        <w:rPr>
          <w:rFonts w:ascii="Arial" w:hAnsi="Arial" w:cs="Arial"/>
          <w:b/>
          <w:bCs/>
        </w:rPr>
        <w:t>6</w:t>
      </w:r>
      <w:r w:rsidRPr="00AD26E4">
        <w:rPr>
          <w:rFonts w:ascii="Arial" w:hAnsi="Arial" w:cs="Arial"/>
          <w:b/>
          <w:bCs/>
        </w:rPr>
        <w:tab/>
      </w:r>
      <w:r w:rsidRPr="00AD26E4">
        <w:rPr>
          <w:rFonts w:ascii="Arial" w:hAnsi="Arial" w:cs="Arial"/>
          <w:b/>
          <w:bCs/>
        </w:rPr>
        <w:tab/>
        <w:t>New section 74A</w:t>
      </w:r>
    </w:p>
    <w:p w14:paraId="51EE4D91" w14:textId="4349B261" w:rsidR="00E26B3A" w:rsidRDefault="000D7F33" w:rsidP="00AD26E4">
      <w:pPr>
        <w:pStyle w:val="CS-Paragraphnumbering"/>
        <w:jc w:val="both"/>
      </w:pPr>
      <w:r w:rsidRPr="000D7F33">
        <w:rPr>
          <w:rFonts w:ascii="Arial" w:eastAsia="Times New Roman" w:hAnsi="Arial" w:cs="Arial"/>
        </w:rPr>
        <w:t xml:space="preserve">This clause </w:t>
      </w:r>
      <w:r>
        <w:rPr>
          <w:rFonts w:ascii="Arial" w:eastAsia="Times New Roman" w:hAnsi="Arial" w:cs="Arial"/>
        </w:rPr>
        <w:t>inserts a new</w:t>
      </w:r>
      <w:r w:rsidRPr="000D7F33">
        <w:rPr>
          <w:rFonts w:ascii="Arial" w:eastAsia="Times New Roman" w:hAnsi="Arial" w:cs="Arial"/>
        </w:rPr>
        <w:t xml:space="preserve"> section 74A, which confirms the validity of previous guardian and manager appointments, </w:t>
      </w:r>
      <w:r w:rsidR="00861FF3">
        <w:rPr>
          <w:rFonts w:ascii="Arial" w:eastAsia="Times New Roman" w:hAnsi="Arial" w:cs="Arial"/>
        </w:rPr>
        <w:t>including where information was provided to ACAT by statutory declaration</w:t>
      </w:r>
      <w:r w:rsidRPr="000D7F33">
        <w:rPr>
          <w:rFonts w:ascii="Arial" w:eastAsia="Times New Roman" w:hAnsi="Arial" w:cs="Arial"/>
        </w:rPr>
        <w:t>.</w:t>
      </w:r>
    </w:p>
    <w:p w14:paraId="517131B8" w14:textId="3956258D" w:rsidR="004B18C5" w:rsidRPr="004B18C5" w:rsidRDefault="004B18C5" w:rsidP="00C57A11">
      <w:pPr>
        <w:pStyle w:val="CS-Paragraphnumbering"/>
        <w:keepNext/>
        <w:ind w:left="567" w:hanging="567"/>
        <w:rPr>
          <w:rFonts w:ascii="Arial" w:hAnsi="Arial" w:cs="Arial"/>
          <w:b/>
          <w:bCs/>
        </w:rPr>
      </w:pPr>
      <w:r w:rsidRPr="004B18C5">
        <w:rPr>
          <w:rFonts w:ascii="Arial" w:hAnsi="Arial" w:cs="Arial"/>
          <w:b/>
          <w:bCs/>
        </w:rPr>
        <w:lastRenderedPageBreak/>
        <w:t xml:space="preserve">Part </w:t>
      </w:r>
      <w:r w:rsidR="00EE17D3">
        <w:rPr>
          <w:rFonts w:ascii="Arial" w:hAnsi="Arial" w:cs="Arial"/>
          <w:b/>
          <w:bCs/>
        </w:rPr>
        <w:t>6</w:t>
      </w:r>
      <w:r w:rsidR="00EE17D3">
        <w:rPr>
          <w:rFonts w:ascii="Arial" w:hAnsi="Arial" w:cs="Arial"/>
          <w:b/>
          <w:bCs/>
        </w:rPr>
        <w:tab/>
      </w:r>
      <w:r w:rsidRPr="004B18C5">
        <w:rPr>
          <w:rFonts w:ascii="Arial" w:hAnsi="Arial" w:cs="Arial"/>
          <w:b/>
          <w:bCs/>
        </w:rPr>
        <w:tab/>
      </w:r>
      <w:r w:rsidRPr="004B18C5">
        <w:rPr>
          <w:rFonts w:ascii="Arial" w:hAnsi="Arial" w:cs="Arial"/>
          <w:b/>
          <w:bCs/>
        </w:rPr>
        <w:tab/>
        <w:t>Information Privacy Act 2014</w:t>
      </w:r>
    </w:p>
    <w:p w14:paraId="52117D4B" w14:textId="2AD012A8" w:rsidR="004B061C" w:rsidRDefault="004B061C" w:rsidP="00C57A11">
      <w:pPr>
        <w:keepNext/>
        <w:ind w:left="2160" w:hanging="2160"/>
        <w:rPr>
          <w:rFonts w:ascii="Arial" w:hAnsi="Arial" w:cs="Arial"/>
          <w:b/>
          <w:bCs/>
          <w:sz w:val="24"/>
          <w:szCs w:val="24"/>
        </w:rPr>
      </w:pPr>
      <w:r w:rsidRPr="00D714D6">
        <w:rPr>
          <w:rFonts w:ascii="Arial" w:hAnsi="Arial" w:cs="Arial"/>
          <w:b/>
          <w:bCs/>
          <w:sz w:val="24"/>
          <w:szCs w:val="24"/>
        </w:rPr>
        <w:t>Clause 1</w:t>
      </w:r>
      <w:r w:rsidR="009676A2">
        <w:rPr>
          <w:rFonts w:ascii="Arial" w:hAnsi="Arial" w:cs="Arial"/>
          <w:b/>
          <w:bCs/>
          <w:sz w:val="24"/>
          <w:szCs w:val="24"/>
        </w:rPr>
        <w:t>7</w:t>
      </w:r>
      <w:r w:rsidRPr="00D714D6">
        <w:rPr>
          <w:rFonts w:ascii="Arial" w:hAnsi="Arial" w:cs="Arial"/>
          <w:b/>
          <w:bCs/>
          <w:sz w:val="24"/>
          <w:szCs w:val="24"/>
        </w:rPr>
        <w:tab/>
        <w:t>Dealing with privacy complaints</w:t>
      </w:r>
      <w:r w:rsidR="00B5093D">
        <w:rPr>
          <w:rFonts w:ascii="Arial" w:hAnsi="Arial" w:cs="Arial"/>
          <w:b/>
          <w:bCs/>
          <w:sz w:val="24"/>
          <w:szCs w:val="24"/>
        </w:rPr>
        <w:br/>
        <w:t>N</w:t>
      </w:r>
      <w:r w:rsidR="00D6107B" w:rsidRPr="00D714D6">
        <w:rPr>
          <w:rFonts w:ascii="Arial" w:hAnsi="Arial" w:cs="Arial"/>
          <w:b/>
          <w:bCs/>
          <w:sz w:val="24"/>
          <w:szCs w:val="24"/>
        </w:rPr>
        <w:t>ew</w:t>
      </w:r>
      <w:r w:rsidRPr="00D714D6">
        <w:rPr>
          <w:rFonts w:ascii="Arial" w:hAnsi="Arial" w:cs="Arial"/>
          <w:b/>
          <w:bCs/>
          <w:sz w:val="24"/>
          <w:szCs w:val="24"/>
        </w:rPr>
        <w:t xml:space="preserve"> section 40 (2) (d) and (3)</w:t>
      </w:r>
    </w:p>
    <w:p w14:paraId="179C5FD6" w14:textId="2CCC31B8" w:rsidR="00D866F8" w:rsidRDefault="00D714D6">
      <w:pPr>
        <w:keepNext/>
        <w:rPr>
          <w:rFonts w:ascii="Arial" w:hAnsi="Arial" w:cs="Arial"/>
          <w:sz w:val="24"/>
          <w:szCs w:val="24"/>
        </w:rPr>
      </w:pPr>
      <w:r w:rsidRPr="00D714D6">
        <w:rPr>
          <w:rFonts w:ascii="Arial" w:hAnsi="Arial" w:cs="Arial"/>
          <w:sz w:val="24"/>
          <w:szCs w:val="24"/>
        </w:rPr>
        <w:t>This clause inserts new section 40</w:t>
      </w:r>
      <w:r w:rsidR="00D866F8">
        <w:rPr>
          <w:rFonts w:ascii="Arial" w:hAnsi="Arial" w:cs="Arial"/>
          <w:sz w:val="24"/>
          <w:szCs w:val="24"/>
        </w:rPr>
        <w:t xml:space="preserve"> </w:t>
      </w:r>
      <w:r w:rsidRPr="00D714D6">
        <w:rPr>
          <w:rFonts w:ascii="Arial" w:hAnsi="Arial" w:cs="Arial"/>
          <w:sz w:val="24"/>
          <w:szCs w:val="24"/>
        </w:rPr>
        <w:t>(2)</w:t>
      </w:r>
      <w:r w:rsidR="00D866F8">
        <w:rPr>
          <w:rFonts w:ascii="Arial" w:hAnsi="Arial" w:cs="Arial"/>
          <w:sz w:val="24"/>
          <w:szCs w:val="24"/>
        </w:rPr>
        <w:t xml:space="preserve"> </w:t>
      </w:r>
      <w:r w:rsidRPr="00D714D6">
        <w:rPr>
          <w:rFonts w:ascii="Arial" w:hAnsi="Arial" w:cs="Arial"/>
          <w:sz w:val="24"/>
          <w:szCs w:val="24"/>
        </w:rPr>
        <w:t>(d)</w:t>
      </w:r>
      <w:r>
        <w:rPr>
          <w:rFonts w:ascii="Arial" w:hAnsi="Arial" w:cs="Arial"/>
          <w:sz w:val="24"/>
          <w:szCs w:val="24"/>
        </w:rPr>
        <w:t xml:space="preserve"> to include the conciliation of complaints</w:t>
      </w:r>
      <w:r w:rsidR="00D866F8">
        <w:rPr>
          <w:rFonts w:ascii="Arial" w:hAnsi="Arial" w:cs="Arial"/>
          <w:sz w:val="24"/>
          <w:szCs w:val="24"/>
        </w:rPr>
        <w:t>. This amendment is consequential to clauses 12 and 13</w:t>
      </w:r>
      <w:r>
        <w:rPr>
          <w:rFonts w:ascii="Arial" w:hAnsi="Arial" w:cs="Arial"/>
          <w:sz w:val="24"/>
          <w:szCs w:val="24"/>
        </w:rPr>
        <w:t xml:space="preserve"> which </w:t>
      </w:r>
      <w:r w:rsidR="00D866F8">
        <w:rPr>
          <w:rFonts w:ascii="Arial" w:hAnsi="Arial" w:cs="Arial"/>
          <w:sz w:val="24"/>
          <w:szCs w:val="24"/>
        </w:rPr>
        <w:t xml:space="preserve">creates explicit rules for </w:t>
      </w:r>
      <w:r>
        <w:rPr>
          <w:rFonts w:ascii="Arial" w:hAnsi="Arial" w:cs="Arial"/>
          <w:sz w:val="24"/>
          <w:szCs w:val="24"/>
        </w:rPr>
        <w:t>the IP Commissioner</w:t>
      </w:r>
      <w:r w:rsidR="00D866F8">
        <w:rPr>
          <w:rFonts w:ascii="Arial" w:hAnsi="Arial" w:cs="Arial"/>
          <w:sz w:val="24"/>
          <w:szCs w:val="24"/>
        </w:rPr>
        <w:t xml:space="preserve"> to conciliate complaints.</w:t>
      </w:r>
    </w:p>
    <w:p w14:paraId="2D7CEA56" w14:textId="08AB9714" w:rsidR="00D714D6" w:rsidRDefault="00D866F8" w:rsidP="00C57A11">
      <w:pPr>
        <w:keepNext/>
        <w:rPr>
          <w:rFonts w:ascii="Arial" w:hAnsi="Arial" w:cs="Arial"/>
          <w:sz w:val="24"/>
          <w:szCs w:val="24"/>
        </w:rPr>
      </w:pPr>
      <w:r>
        <w:rPr>
          <w:rFonts w:ascii="Arial" w:hAnsi="Arial" w:cs="Arial"/>
          <w:sz w:val="24"/>
          <w:szCs w:val="24"/>
        </w:rPr>
        <w:t>Section 40 (2) provides for the circumstances in which the IP Commissioner may, at their discretion, decide not to continue dealing with a complaint received. This amendment confirms that where conciliation ends without agreement being reached, this may be a basis for the IP Commissioner to decline to deal further with the complaint. Under section 41, this decision must be communicated to the parties.</w:t>
      </w:r>
    </w:p>
    <w:p w14:paraId="21CAC300" w14:textId="6BDD305A" w:rsidR="00D866F8" w:rsidRPr="00D714D6" w:rsidRDefault="00D714D6" w:rsidP="00EE17D3">
      <w:pPr>
        <w:rPr>
          <w:rFonts w:ascii="Arial" w:hAnsi="Arial" w:cs="Arial"/>
          <w:i/>
          <w:iCs/>
          <w:sz w:val="24"/>
          <w:szCs w:val="24"/>
        </w:rPr>
      </w:pPr>
      <w:r>
        <w:rPr>
          <w:rFonts w:ascii="Arial" w:hAnsi="Arial" w:cs="Arial"/>
          <w:sz w:val="24"/>
          <w:szCs w:val="24"/>
        </w:rPr>
        <w:t>This amendment also includes</w:t>
      </w:r>
      <w:r w:rsidR="00D866F8">
        <w:rPr>
          <w:rFonts w:ascii="Arial" w:hAnsi="Arial" w:cs="Arial"/>
          <w:sz w:val="24"/>
          <w:szCs w:val="24"/>
        </w:rPr>
        <w:t xml:space="preserve"> new section 40 (3) which cross-references the new </w:t>
      </w:r>
      <w:r>
        <w:rPr>
          <w:rFonts w:ascii="Arial" w:hAnsi="Arial" w:cs="Arial"/>
          <w:sz w:val="24"/>
          <w:szCs w:val="24"/>
        </w:rPr>
        <w:t xml:space="preserve">definition of </w:t>
      </w:r>
      <w:r>
        <w:rPr>
          <w:rFonts w:ascii="Arial" w:hAnsi="Arial" w:cs="Arial"/>
          <w:i/>
          <w:iCs/>
          <w:sz w:val="24"/>
          <w:szCs w:val="24"/>
        </w:rPr>
        <w:t>conciliation</w:t>
      </w:r>
      <w:r w:rsidR="00D866F8">
        <w:rPr>
          <w:rFonts w:ascii="Arial" w:hAnsi="Arial" w:cs="Arial"/>
          <w:i/>
          <w:iCs/>
          <w:sz w:val="24"/>
          <w:szCs w:val="24"/>
        </w:rPr>
        <w:t xml:space="preserve"> </w:t>
      </w:r>
      <w:r w:rsidR="00D866F8">
        <w:rPr>
          <w:rFonts w:ascii="Arial" w:hAnsi="Arial" w:cs="Arial"/>
          <w:sz w:val="24"/>
          <w:szCs w:val="24"/>
        </w:rPr>
        <w:t>in clause 13</w:t>
      </w:r>
      <w:r>
        <w:rPr>
          <w:rFonts w:ascii="Arial" w:hAnsi="Arial" w:cs="Arial"/>
          <w:i/>
          <w:iCs/>
          <w:sz w:val="24"/>
          <w:szCs w:val="24"/>
        </w:rPr>
        <w:t>.</w:t>
      </w:r>
    </w:p>
    <w:p w14:paraId="262EBDB3" w14:textId="0B687EAB" w:rsidR="008812E0" w:rsidRDefault="004B18C5" w:rsidP="00EE17D3">
      <w:pPr>
        <w:rPr>
          <w:rFonts w:ascii="Arial" w:hAnsi="Arial" w:cs="Arial"/>
          <w:b/>
          <w:bCs/>
          <w:sz w:val="24"/>
          <w:szCs w:val="24"/>
          <w:highlight w:val="cyan"/>
        </w:rPr>
      </w:pPr>
      <w:r w:rsidRPr="002168AC">
        <w:rPr>
          <w:rFonts w:ascii="Arial" w:hAnsi="Arial" w:cs="Arial"/>
          <w:b/>
          <w:bCs/>
          <w:sz w:val="24"/>
          <w:szCs w:val="24"/>
        </w:rPr>
        <w:t>Clause</w:t>
      </w:r>
      <w:r w:rsidR="00EE17D3" w:rsidRPr="002168AC">
        <w:rPr>
          <w:rFonts w:ascii="Arial" w:hAnsi="Arial" w:cs="Arial"/>
          <w:b/>
          <w:bCs/>
          <w:sz w:val="24"/>
          <w:szCs w:val="24"/>
        </w:rPr>
        <w:t xml:space="preserve"> </w:t>
      </w:r>
      <w:r w:rsidR="004B061C">
        <w:rPr>
          <w:rFonts w:ascii="Arial" w:hAnsi="Arial" w:cs="Arial"/>
          <w:b/>
          <w:bCs/>
          <w:sz w:val="24"/>
          <w:szCs w:val="24"/>
        </w:rPr>
        <w:t>1</w:t>
      </w:r>
      <w:r w:rsidR="009676A2">
        <w:rPr>
          <w:rFonts w:ascii="Arial" w:hAnsi="Arial" w:cs="Arial"/>
          <w:b/>
          <w:bCs/>
          <w:sz w:val="24"/>
          <w:szCs w:val="24"/>
        </w:rPr>
        <w:t>8</w:t>
      </w:r>
      <w:r w:rsidR="00234FD4" w:rsidRPr="002168AC">
        <w:rPr>
          <w:rFonts w:ascii="Arial" w:hAnsi="Arial" w:cs="Arial"/>
          <w:b/>
          <w:bCs/>
          <w:sz w:val="24"/>
          <w:szCs w:val="24"/>
        </w:rPr>
        <w:tab/>
      </w:r>
      <w:r w:rsidR="00234FD4" w:rsidRPr="002168AC">
        <w:rPr>
          <w:rFonts w:ascii="Arial" w:hAnsi="Arial" w:cs="Arial"/>
          <w:b/>
          <w:bCs/>
          <w:sz w:val="24"/>
          <w:szCs w:val="24"/>
        </w:rPr>
        <w:tab/>
      </w:r>
      <w:r w:rsidR="00EE17D3" w:rsidRPr="002168AC">
        <w:rPr>
          <w:rFonts w:ascii="Arial" w:hAnsi="Arial" w:cs="Arial"/>
          <w:b/>
          <w:bCs/>
          <w:sz w:val="24"/>
          <w:szCs w:val="24"/>
        </w:rPr>
        <w:t>New section 41A</w:t>
      </w:r>
    </w:p>
    <w:p w14:paraId="16462A18" w14:textId="4FCEFC30" w:rsidR="008812E0" w:rsidRDefault="008812E0" w:rsidP="00EE17D3">
      <w:pPr>
        <w:rPr>
          <w:rFonts w:ascii="Arial" w:hAnsi="Arial" w:cs="Arial"/>
          <w:sz w:val="24"/>
          <w:szCs w:val="24"/>
        </w:rPr>
      </w:pPr>
      <w:r w:rsidRPr="000D192F">
        <w:rPr>
          <w:rFonts w:ascii="Arial" w:hAnsi="Arial" w:cs="Arial"/>
          <w:sz w:val="24"/>
          <w:szCs w:val="24"/>
        </w:rPr>
        <w:t xml:space="preserve">This clause inserts a new </w:t>
      </w:r>
      <w:r>
        <w:rPr>
          <w:rFonts w:ascii="Arial" w:hAnsi="Arial" w:cs="Arial"/>
          <w:sz w:val="24"/>
          <w:szCs w:val="24"/>
        </w:rPr>
        <w:t>section</w:t>
      </w:r>
      <w:r w:rsidRPr="000D192F">
        <w:rPr>
          <w:rFonts w:ascii="Arial" w:hAnsi="Arial" w:cs="Arial"/>
          <w:sz w:val="24"/>
          <w:szCs w:val="24"/>
        </w:rPr>
        <w:t xml:space="preserve"> 41A</w:t>
      </w:r>
      <w:r>
        <w:rPr>
          <w:rFonts w:ascii="Arial" w:hAnsi="Arial" w:cs="Arial"/>
          <w:sz w:val="24"/>
          <w:szCs w:val="24"/>
        </w:rPr>
        <w:t xml:space="preserve"> to </w:t>
      </w:r>
      <w:r w:rsidRPr="008812E0">
        <w:rPr>
          <w:rFonts w:ascii="Arial" w:hAnsi="Arial" w:cs="Arial"/>
          <w:sz w:val="24"/>
          <w:szCs w:val="24"/>
        </w:rPr>
        <w:t>create a</w:t>
      </w:r>
      <w:r w:rsidR="0097538F">
        <w:rPr>
          <w:rFonts w:ascii="Arial" w:hAnsi="Arial" w:cs="Arial"/>
          <w:sz w:val="24"/>
          <w:szCs w:val="24"/>
        </w:rPr>
        <w:t>n explicit</w:t>
      </w:r>
      <w:r w:rsidRPr="008812E0">
        <w:rPr>
          <w:rFonts w:ascii="Arial" w:hAnsi="Arial" w:cs="Arial"/>
          <w:sz w:val="24"/>
          <w:szCs w:val="24"/>
        </w:rPr>
        <w:t xml:space="preserve"> conciliation framework for complaints under the IP Act, to facilitate better complaints resolution pathways for complainants raising issues about breaches of privacy under the Territory Privacy Principles</w:t>
      </w:r>
      <w:r>
        <w:rPr>
          <w:rFonts w:ascii="Arial" w:hAnsi="Arial" w:cs="Arial"/>
          <w:sz w:val="24"/>
          <w:szCs w:val="24"/>
        </w:rPr>
        <w:t>.</w:t>
      </w:r>
    </w:p>
    <w:p w14:paraId="4FFE298A" w14:textId="12902069" w:rsidR="002168AC" w:rsidRDefault="008812E0" w:rsidP="000D192F">
      <w:pPr>
        <w:pStyle w:val="CS-Paragraphnumbering"/>
        <w:spacing w:before="240"/>
        <w:rPr>
          <w:rFonts w:ascii="Arial" w:hAnsi="Arial" w:cs="Arial"/>
        </w:rPr>
      </w:pPr>
      <w:r>
        <w:rPr>
          <w:rFonts w:ascii="Arial" w:hAnsi="Arial" w:cs="Arial"/>
        </w:rPr>
        <w:t>New section 41A confirm</w:t>
      </w:r>
      <w:r w:rsidR="002168AC">
        <w:rPr>
          <w:rFonts w:ascii="Arial" w:hAnsi="Arial" w:cs="Arial"/>
        </w:rPr>
        <w:t>s</w:t>
      </w:r>
      <w:r>
        <w:rPr>
          <w:rFonts w:ascii="Arial" w:hAnsi="Arial" w:cs="Arial"/>
        </w:rPr>
        <w:t xml:space="preserve"> that the information privacy commissioner, ma</w:t>
      </w:r>
      <w:r w:rsidR="002168AC">
        <w:rPr>
          <w:rFonts w:ascii="Arial" w:hAnsi="Arial" w:cs="Arial"/>
        </w:rPr>
        <w:t>y</w:t>
      </w:r>
      <w:r>
        <w:rPr>
          <w:rFonts w:ascii="Arial" w:hAnsi="Arial" w:cs="Arial"/>
        </w:rPr>
        <w:t xml:space="preserve">, at any time, conciliate a privacy complaint, or matter that forms part of a complaint, if satisfied that the complaint or matter is appropriate for conciliation. </w:t>
      </w:r>
    </w:p>
    <w:p w14:paraId="18BC9759" w14:textId="566D7AE8" w:rsidR="008812E0" w:rsidRPr="000D192F" w:rsidRDefault="008812E0" w:rsidP="00EE17D3">
      <w:pPr>
        <w:rPr>
          <w:rFonts w:ascii="Arial" w:hAnsi="Arial" w:cs="Arial"/>
          <w:sz w:val="24"/>
          <w:szCs w:val="24"/>
        </w:rPr>
      </w:pPr>
      <w:r>
        <w:rPr>
          <w:rFonts w:ascii="Arial" w:hAnsi="Arial" w:cs="Arial"/>
          <w:sz w:val="24"/>
          <w:szCs w:val="24"/>
        </w:rPr>
        <w:t>This provision ensure</w:t>
      </w:r>
      <w:r w:rsidR="002168AC">
        <w:rPr>
          <w:rFonts w:ascii="Arial" w:hAnsi="Arial" w:cs="Arial"/>
          <w:sz w:val="24"/>
          <w:szCs w:val="24"/>
        </w:rPr>
        <w:t>s</w:t>
      </w:r>
      <w:r>
        <w:rPr>
          <w:rFonts w:ascii="Arial" w:hAnsi="Arial" w:cs="Arial"/>
          <w:sz w:val="24"/>
          <w:szCs w:val="24"/>
        </w:rPr>
        <w:t xml:space="preserve"> that the </w:t>
      </w:r>
      <w:r w:rsidR="0097538F">
        <w:rPr>
          <w:rFonts w:ascii="Arial" w:hAnsi="Arial" w:cs="Arial"/>
          <w:sz w:val="24"/>
          <w:szCs w:val="24"/>
        </w:rPr>
        <w:t xml:space="preserve">IP </w:t>
      </w:r>
      <w:r>
        <w:rPr>
          <w:rFonts w:ascii="Arial" w:hAnsi="Arial" w:cs="Arial"/>
          <w:sz w:val="24"/>
          <w:szCs w:val="24"/>
        </w:rPr>
        <w:t>Commissioner has the ability to conciliate a privacy complaint, as well as continu</w:t>
      </w:r>
      <w:r w:rsidR="0097538F">
        <w:rPr>
          <w:rFonts w:ascii="Arial" w:hAnsi="Arial" w:cs="Arial"/>
          <w:sz w:val="24"/>
          <w:szCs w:val="24"/>
        </w:rPr>
        <w:t>e</w:t>
      </w:r>
      <w:r>
        <w:rPr>
          <w:rFonts w:ascii="Arial" w:hAnsi="Arial" w:cs="Arial"/>
          <w:sz w:val="24"/>
          <w:szCs w:val="24"/>
        </w:rPr>
        <w:t xml:space="preserve"> to deal with the complaint </w:t>
      </w:r>
      <w:r w:rsidR="0097538F">
        <w:rPr>
          <w:rFonts w:ascii="Arial" w:hAnsi="Arial" w:cs="Arial"/>
          <w:sz w:val="24"/>
          <w:szCs w:val="24"/>
        </w:rPr>
        <w:t>under other sections of the Act while it is being conciliated.</w:t>
      </w:r>
    </w:p>
    <w:p w14:paraId="07B7053C" w14:textId="42D00C1C" w:rsidR="00EE17D3" w:rsidRPr="000D192F" w:rsidRDefault="00EE17D3" w:rsidP="00EE17D3">
      <w:pPr>
        <w:rPr>
          <w:rFonts w:ascii="Arial" w:hAnsi="Arial" w:cs="Arial"/>
          <w:b/>
          <w:bCs/>
          <w:sz w:val="24"/>
          <w:szCs w:val="24"/>
        </w:rPr>
      </w:pPr>
      <w:r w:rsidRPr="002168AC">
        <w:rPr>
          <w:rFonts w:ascii="Arial" w:hAnsi="Arial" w:cs="Arial"/>
          <w:b/>
          <w:bCs/>
          <w:sz w:val="24"/>
          <w:szCs w:val="24"/>
        </w:rPr>
        <w:t>Clause 1</w:t>
      </w:r>
      <w:r w:rsidR="009676A2">
        <w:rPr>
          <w:rFonts w:ascii="Arial" w:hAnsi="Arial" w:cs="Arial"/>
          <w:b/>
          <w:bCs/>
          <w:sz w:val="24"/>
          <w:szCs w:val="24"/>
        </w:rPr>
        <w:t>9</w:t>
      </w:r>
      <w:r w:rsidRPr="002168AC">
        <w:rPr>
          <w:rFonts w:ascii="Arial" w:hAnsi="Arial" w:cs="Arial"/>
          <w:b/>
          <w:bCs/>
          <w:sz w:val="24"/>
          <w:szCs w:val="24"/>
        </w:rPr>
        <w:tab/>
      </w:r>
      <w:r w:rsidRPr="002168AC">
        <w:rPr>
          <w:rFonts w:ascii="Arial" w:hAnsi="Arial" w:cs="Arial"/>
          <w:b/>
          <w:bCs/>
          <w:sz w:val="24"/>
          <w:szCs w:val="24"/>
        </w:rPr>
        <w:tab/>
        <w:t>New division 6.3A</w:t>
      </w:r>
    </w:p>
    <w:p w14:paraId="003FABF9" w14:textId="77498F7E" w:rsidR="002168AC" w:rsidRPr="0097538F" w:rsidRDefault="002168AC" w:rsidP="00EE17D3">
      <w:pPr>
        <w:rPr>
          <w:rFonts w:ascii="Arial" w:hAnsi="Arial" w:cs="Arial"/>
          <w:sz w:val="24"/>
          <w:szCs w:val="24"/>
        </w:rPr>
      </w:pPr>
      <w:r w:rsidRPr="000D192F">
        <w:rPr>
          <w:rFonts w:ascii="Arial" w:hAnsi="Arial" w:cs="Arial"/>
          <w:sz w:val="24"/>
          <w:szCs w:val="24"/>
        </w:rPr>
        <w:t>This clause inserts a new division 6.3A into the IP Act, containing provisions that are necessary to the implementation of conciliation of privacy complaints.</w:t>
      </w:r>
      <w:r w:rsidR="0097538F">
        <w:rPr>
          <w:rFonts w:ascii="Arial" w:hAnsi="Arial" w:cs="Arial"/>
          <w:sz w:val="24"/>
          <w:szCs w:val="24"/>
        </w:rPr>
        <w:t xml:space="preserve"> The provisions are substantially similar to the conciliation regime in the </w:t>
      </w:r>
      <w:r w:rsidR="0097538F">
        <w:rPr>
          <w:rFonts w:ascii="Arial" w:hAnsi="Arial" w:cs="Arial"/>
          <w:i/>
          <w:iCs/>
          <w:sz w:val="24"/>
          <w:szCs w:val="24"/>
        </w:rPr>
        <w:t xml:space="preserve">Human Rights Commission Act 2005 </w:t>
      </w:r>
      <w:r w:rsidR="0097538F">
        <w:rPr>
          <w:rFonts w:ascii="Arial" w:hAnsi="Arial" w:cs="Arial"/>
          <w:sz w:val="24"/>
          <w:szCs w:val="24"/>
        </w:rPr>
        <w:t>(</w:t>
      </w:r>
      <w:r w:rsidR="0097538F" w:rsidRPr="00C57A11">
        <w:rPr>
          <w:rFonts w:ascii="Arial" w:hAnsi="Arial" w:cs="Arial"/>
          <w:b/>
          <w:bCs/>
          <w:sz w:val="24"/>
          <w:szCs w:val="24"/>
        </w:rPr>
        <w:t>HRC Act</w:t>
      </w:r>
      <w:r w:rsidR="0097538F">
        <w:rPr>
          <w:rFonts w:ascii="Arial" w:hAnsi="Arial" w:cs="Arial"/>
          <w:sz w:val="24"/>
          <w:szCs w:val="24"/>
        </w:rPr>
        <w:t>).</w:t>
      </w:r>
    </w:p>
    <w:p w14:paraId="742AD6DA" w14:textId="19660872" w:rsidR="002168AC" w:rsidRDefault="002168AC" w:rsidP="00EE17D3">
      <w:pPr>
        <w:rPr>
          <w:rFonts w:ascii="Arial" w:hAnsi="Arial" w:cs="Arial"/>
          <w:sz w:val="24"/>
          <w:szCs w:val="24"/>
        </w:rPr>
      </w:pPr>
      <w:r>
        <w:rPr>
          <w:rFonts w:ascii="Arial" w:hAnsi="Arial" w:cs="Arial"/>
          <w:sz w:val="24"/>
          <w:szCs w:val="24"/>
        </w:rPr>
        <w:t>New section 44A provides the definition of a conciliation of a privacy complaint</w:t>
      </w:r>
      <w:r w:rsidR="0097538F">
        <w:rPr>
          <w:rFonts w:ascii="Arial" w:hAnsi="Arial" w:cs="Arial"/>
          <w:sz w:val="24"/>
          <w:szCs w:val="24"/>
        </w:rPr>
        <w:t xml:space="preserve">. </w:t>
      </w:r>
      <w:r w:rsidR="0097538F">
        <w:rPr>
          <w:rFonts w:ascii="Arial" w:hAnsi="Arial" w:cs="Arial"/>
          <w:sz w:val="24"/>
          <w:szCs w:val="24"/>
        </w:rPr>
        <w:br/>
        <w:t>It</w:t>
      </w:r>
      <w:r>
        <w:rPr>
          <w:rFonts w:ascii="Arial" w:hAnsi="Arial" w:cs="Arial"/>
          <w:sz w:val="24"/>
          <w:szCs w:val="24"/>
        </w:rPr>
        <w:t xml:space="preserve"> defines the </w:t>
      </w:r>
      <w:r w:rsidR="0096211D">
        <w:rPr>
          <w:rFonts w:ascii="Arial" w:hAnsi="Arial" w:cs="Arial"/>
          <w:sz w:val="24"/>
          <w:szCs w:val="24"/>
        </w:rPr>
        <w:t>I</w:t>
      </w:r>
      <w:r>
        <w:rPr>
          <w:rFonts w:ascii="Arial" w:hAnsi="Arial" w:cs="Arial"/>
          <w:sz w:val="24"/>
          <w:szCs w:val="24"/>
        </w:rPr>
        <w:t>P Commissioner’s responsibility under division 6.3A</w:t>
      </w:r>
      <w:r w:rsidR="0097538F">
        <w:rPr>
          <w:rFonts w:ascii="Arial" w:hAnsi="Arial" w:cs="Arial"/>
          <w:sz w:val="24"/>
          <w:szCs w:val="24"/>
        </w:rPr>
        <w:t xml:space="preserve"> to impartially assist the parties to resolve their complaint and confirms that the parties participate voluntarily and decide the outcome</w:t>
      </w:r>
      <w:r>
        <w:rPr>
          <w:rFonts w:ascii="Arial" w:hAnsi="Arial" w:cs="Arial"/>
          <w:sz w:val="24"/>
          <w:szCs w:val="24"/>
        </w:rPr>
        <w:t>.</w:t>
      </w:r>
      <w:r w:rsidR="00266908">
        <w:rPr>
          <w:rFonts w:ascii="Arial" w:hAnsi="Arial" w:cs="Arial"/>
          <w:sz w:val="24"/>
          <w:szCs w:val="24"/>
        </w:rPr>
        <w:t xml:space="preserve"> This amendment also inse</w:t>
      </w:r>
      <w:r w:rsidR="0097538F">
        <w:rPr>
          <w:rFonts w:ascii="Arial" w:hAnsi="Arial" w:cs="Arial"/>
          <w:sz w:val="24"/>
          <w:szCs w:val="24"/>
        </w:rPr>
        <w:t>r</w:t>
      </w:r>
      <w:r w:rsidR="00266908">
        <w:rPr>
          <w:rFonts w:ascii="Arial" w:hAnsi="Arial" w:cs="Arial"/>
          <w:sz w:val="24"/>
          <w:szCs w:val="24"/>
        </w:rPr>
        <w:t xml:space="preserve">ts definitions of </w:t>
      </w:r>
      <w:r w:rsidR="00266908" w:rsidRPr="00AD26E4">
        <w:rPr>
          <w:rFonts w:ascii="Arial" w:hAnsi="Arial" w:cs="Arial"/>
          <w:i/>
          <w:iCs/>
          <w:sz w:val="24"/>
          <w:szCs w:val="24"/>
        </w:rPr>
        <w:t>conciliation agreement</w:t>
      </w:r>
      <w:r w:rsidR="00266908">
        <w:rPr>
          <w:rFonts w:ascii="Arial" w:hAnsi="Arial" w:cs="Arial"/>
          <w:sz w:val="24"/>
          <w:szCs w:val="24"/>
        </w:rPr>
        <w:t xml:space="preserve"> and </w:t>
      </w:r>
      <w:r w:rsidR="00266908" w:rsidRPr="00AD26E4">
        <w:rPr>
          <w:rFonts w:ascii="Arial" w:hAnsi="Arial" w:cs="Arial"/>
          <w:i/>
          <w:iCs/>
          <w:sz w:val="24"/>
          <w:szCs w:val="24"/>
        </w:rPr>
        <w:t>parties</w:t>
      </w:r>
      <w:r w:rsidR="00266908">
        <w:rPr>
          <w:rFonts w:ascii="Arial" w:hAnsi="Arial" w:cs="Arial"/>
          <w:sz w:val="24"/>
          <w:szCs w:val="24"/>
        </w:rPr>
        <w:t>, which are referred to in division 6.3A.</w:t>
      </w:r>
    </w:p>
    <w:p w14:paraId="418F45B1" w14:textId="1EBA80BC" w:rsidR="0097538F" w:rsidRDefault="002168AC" w:rsidP="00EE17D3">
      <w:pPr>
        <w:rPr>
          <w:rFonts w:ascii="Arial" w:hAnsi="Arial" w:cs="Arial"/>
          <w:sz w:val="24"/>
          <w:szCs w:val="24"/>
        </w:rPr>
      </w:pPr>
      <w:r>
        <w:rPr>
          <w:rFonts w:ascii="Arial" w:hAnsi="Arial" w:cs="Arial"/>
          <w:sz w:val="24"/>
          <w:szCs w:val="24"/>
        </w:rPr>
        <w:t xml:space="preserve">New section 44B provides </w:t>
      </w:r>
      <w:r w:rsidR="0097538F">
        <w:rPr>
          <w:rFonts w:ascii="Arial" w:hAnsi="Arial" w:cs="Arial"/>
          <w:sz w:val="24"/>
          <w:szCs w:val="24"/>
        </w:rPr>
        <w:t>that the parties must</w:t>
      </w:r>
      <w:r>
        <w:rPr>
          <w:rFonts w:ascii="Arial" w:hAnsi="Arial" w:cs="Arial"/>
          <w:sz w:val="24"/>
          <w:szCs w:val="24"/>
        </w:rPr>
        <w:t xml:space="preserve"> attend conciliation</w:t>
      </w:r>
      <w:r w:rsidR="0097538F">
        <w:rPr>
          <w:rFonts w:ascii="Arial" w:hAnsi="Arial" w:cs="Arial"/>
          <w:sz w:val="24"/>
          <w:szCs w:val="24"/>
        </w:rPr>
        <w:t xml:space="preserve"> and makes it an offence (with a maximum penalty of 50 penalty units) if a party fails to attend at the </w:t>
      </w:r>
      <w:r w:rsidR="0097538F">
        <w:rPr>
          <w:rFonts w:ascii="Arial" w:hAnsi="Arial" w:cs="Arial"/>
          <w:sz w:val="24"/>
          <w:szCs w:val="24"/>
        </w:rPr>
        <w:lastRenderedPageBreak/>
        <w:t>stated time and place for the conciliation without reasonable excuse. This mirrors the existing offence in section 59 of the</w:t>
      </w:r>
      <w:r w:rsidR="0097538F">
        <w:rPr>
          <w:rFonts w:ascii="Arial" w:hAnsi="Arial" w:cs="Arial"/>
          <w:i/>
          <w:iCs/>
          <w:sz w:val="24"/>
          <w:szCs w:val="24"/>
        </w:rPr>
        <w:t xml:space="preserve"> </w:t>
      </w:r>
      <w:r w:rsidR="0097538F">
        <w:rPr>
          <w:rFonts w:ascii="Arial" w:hAnsi="Arial" w:cs="Arial"/>
          <w:sz w:val="24"/>
          <w:szCs w:val="24"/>
        </w:rPr>
        <w:t>HRC Act.</w:t>
      </w:r>
    </w:p>
    <w:p w14:paraId="085711B2" w14:textId="127C88AF" w:rsidR="00E125B0" w:rsidRPr="00E125B0" w:rsidRDefault="00E125B0" w:rsidP="00E125B0">
      <w:pPr>
        <w:rPr>
          <w:rFonts w:ascii="Arial" w:hAnsi="Arial" w:cs="Arial"/>
          <w:sz w:val="24"/>
          <w:szCs w:val="24"/>
        </w:rPr>
      </w:pPr>
      <w:r>
        <w:rPr>
          <w:rFonts w:ascii="Arial" w:hAnsi="Arial" w:cs="Arial"/>
          <w:sz w:val="24"/>
          <w:szCs w:val="24"/>
        </w:rPr>
        <w:t>T</w:t>
      </w:r>
      <w:r w:rsidRPr="00E125B0">
        <w:rPr>
          <w:rFonts w:ascii="Arial" w:hAnsi="Arial" w:cs="Arial"/>
          <w:sz w:val="24"/>
          <w:szCs w:val="24"/>
        </w:rPr>
        <w:t>he proposed offence strikes</w:t>
      </w:r>
      <w:r>
        <w:rPr>
          <w:rFonts w:ascii="Arial" w:hAnsi="Arial" w:cs="Arial"/>
          <w:sz w:val="24"/>
          <w:szCs w:val="24"/>
        </w:rPr>
        <w:t xml:space="preserve"> a</w:t>
      </w:r>
      <w:r w:rsidRPr="00E125B0">
        <w:rPr>
          <w:rFonts w:ascii="Arial" w:hAnsi="Arial" w:cs="Arial"/>
          <w:sz w:val="24"/>
          <w:szCs w:val="24"/>
        </w:rPr>
        <w:t xml:space="preserve"> balance between ensuring the </w:t>
      </w:r>
      <w:r w:rsidR="001E0502">
        <w:rPr>
          <w:rFonts w:ascii="Arial" w:hAnsi="Arial" w:cs="Arial"/>
          <w:sz w:val="24"/>
          <w:szCs w:val="24"/>
        </w:rPr>
        <w:t xml:space="preserve">IP </w:t>
      </w:r>
      <w:r w:rsidRPr="00E125B0">
        <w:rPr>
          <w:rFonts w:ascii="Arial" w:hAnsi="Arial" w:cs="Arial"/>
          <w:sz w:val="24"/>
          <w:szCs w:val="24"/>
        </w:rPr>
        <w:t>Commission</w:t>
      </w:r>
      <w:r w:rsidR="001E0502">
        <w:rPr>
          <w:rFonts w:ascii="Arial" w:hAnsi="Arial" w:cs="Arial"/>
          <w:sz w:val="24"/>
          <w:szCs w:val="24"/>
        </w:rPr>
        <w:t>er</w:t>
      </w:r>
      <w:r w:rsidRPr="00E125B0">
        <w:rPr>
          <w:rFonts w:ascii="Arial" w:hAnsi="Arial" w:cs="Arial"/>
          <w:sz w:val="24"/>
          <w:szCs w:val="24"/>
        </w:rPr>
        <w:t xml:space="preserve"> can exercise </w:t>
      </w:r>
      <w:r w:rsidR="001E0502">
        <w:rPr>
          <w:rFonts w:ascii="Arial" w:hAnsi="Arial" w:cs="Arial"/>
          <w:sz w:val="24"/>
          <w:szCs w:val="24"/>
        </w:rPr>
        <w:t>their</w:t>
      </w:r>
      <w:r w:rsidRPr="00E125B0">
        <w:rPr>
          <w:rFonts w:ascii="Arial" w:hAnsi="Arial" w:cs="Arial"/>
          <w:sz w:val="24"/>
          <w:szCs w:val="24"/>
        </w:rPr>
        <w:t xml:space="preserve"> dispute resolution functions and preserving the voluntary nature of conciliation. The power to require attendance (backed by an offence) requires parties to take the </w:t>
      </w:r>
      <w:r w:rsidR="001E0502">
        <w:rPr>
          <w:rFonts w:ascii="Arial" w:hAnsi="Arial" w:cs="Arial"/>
          <w:sz w:val="24"/>
          <w:szCs w:val="24"/>
        </w:rPr>
        <w:t xml:space="preserve">IP </w:t>
      </w:r>
      <w:r w:rsidRPr="00E125B0">
        <w:rPr>
          <w:rFonts w:ascii="Arial" w:hAnsi="Arial" w:cs="Arial"/>
          <w:sz w:val="24"/>
          <w:szCs w:val="24"/>
        </w:rPr>
        <w:t>Commission</w:t>
      </w:r>
      <w:r w:rsidR="001E0502">
        <w:rPr>
          <w:rFonts w:ascii="Arial" w:hAnsi="Arial" w:cs="Arial"/>
          <w:sz w:val="24"/>
          <w:szCs w:val="24"/>
        </w:rPr>
        <w:t>er</w:t>
      </w:r>
      <w:r w:rsidRPr="00E125B0">
        <w:rPr>
          <w:rFonts w:ascii="Arial" w:hAnsi="Arial" w:cs="Arial"/>
          <w:sz w:val="24"/>
          <w:szCs w:val="24"/>
        </w:rPr>
        <w:t>’s processes seriously. However, should a person attend as required, and still be unwilling to participate, the Commission cannot compel them to do so.</w:t>
      </w:r>
    </w:p>
    <w:p w14:paraId="06742356" w14:textId="6C4B6E88" w:rsidR="002168AC" w:rsidRDefault="00E125B0" w:rsidP="00EE17D3">
      <w:pPr>
        <w:rPr>
          <w:rFonts w:ascii="Arial" w:hAnsi="Arial" w:cs="Arial"/>
          <w:sz w:val="24"/>
          <w:szCs w:val="24"/>
        </w:rPr>
      </w:pPr>
      <w:r w:rsidRPr="00E125B0">
        <w:rPr>
          <w:rFonts w:ascii="Arial" w:hAnsi="Arial" w:cs="Arial"/>
          <w:sz w:val="24"/>
          <w:szCs w:val="24"/>
        </w:rPr>
        <w:t>This balanced approach has</w:t>
      </w:r>
      <w:r w:rsidR="009616DF">
        <w:rPr>
          <w:rFonts w:ascii="Arial" w:hAnsi="Arial" w:cs="Arial"/>
          <w:sz w:val="24"/>
          <w:szCs w:val="24"/>
        </w:rPr>
        <w:t xml:space="preserve"> been</w:t>
      </w:r>
      <w:r w:rsidRPr="00E125B0">
        <w:rPr>
          <w:rFonts w:ascii="Arial" w:hAnsi="Arial" w:cs="Arial"/>
          <w:sz w:val="24"/>
          <w:szCs w:val="24"/>
        </w:rPr>
        <w:t xml:space="preserve"> applied in t</w:t>
      </w:r>
      <w:r w:rsidR="001E0502">
        <w:rPr>
          <w:rFonts w:ascii="Arial" w:hAnsi="Arial" w:cs="Arial"/>
          <w:sz w:val="24"/>
          <w:szCs w:val="24"/>
        </w:rPr>
        <w:t>he</w:t>
      </w:r>
      <w:r w:rsidRPr="00E125B0">
        <w:rPr>
          <w:rFonts w:ascii="Arial" w:hAnsi="Arial" w:cs="Arial"/>
          <w:sz w:val="24"/>
          <w:szCs w:val="24"/>
        </w:rPr>
        <w:t xml:space="preserve"> complaints jurisdictions</w:t>
      </w:r>
      <w:r w:rsidR="001E0502">
        <w:rPr>
          <w:rFonts w:ascii="Arial" w:hAnsi="Arial" w:cs="Arial"/>
          <w:sz w:val="24"/>
          <w:szCs w:val="24"/>
        </w:rPr>
        <w:t xml:space="preserve"> under the HRC Act</w:t>
      </w:r>
      <w:r w:rsidRPr="00E125B0">
        <w:rPr>
          <w:rFonts w:ascii="Arial" w:hAnsi="Arial" w:cs="Arial"/>
          <w:sz w:val="24"/>
          <w:szCs w:val="24"/>
        </w:rPr>
        <w:t xml:space="preserve"> since the Commission was created in 2005. The Explanatory Statement for the relevant Bill justified </w:t>
      </w:r>
      <w:r w:rsidR="001E0502">
        <w:rPr>
          <w:rFonts w:ascii="Arial" w:hAnsi="Arial" w:cs="Arial"/>
          <w:sz w:val="24"/>
          <w:szCs w:val="24"/>
        </w:rPr>
        <w:t>the offence provision</w:t>
      </w:r>
      <w:r w:rsidRPr="00E125B0">
        <w:rPr>
          <w:rFonts w:ascii="Arial" w:hAnsi="Arial" w:cs="Arial"/>
          <w:sz w:val="24"/>
          <w:szCs w:val="24"/>
        </w:rPr>
        <w:t xml:space="preserve"> as </w:t>
      </w:r>
      <w:r w:rsidR="001E0502">
        <w:rPr>
          <w:rFonts w:ascii="Arial" w:hAnsi="Arial" w:cs="Arial"/>
          <w:sz w:val="24"/>
          <w:szCs w:val="24"/>
        </w:rPr>
        <w:t>offering an effective tool where a party may be reluctant to attend, but if they did attend, they may participate and reach a constructive outcome</w:t>
      </w:r>
      <w:r w:rsidRPr="00E125B0">
        <w:rPr>
          <w:rFonts w:ascii="Arial" w:hAnsi="Arial" w:cs="Arial"/>
          <w:sz w:val="24"/>
          <w:szCs w:val="24"/>
        </w:rPr>
        <w:t>.</w:t>
      </w:r>
      <w:r w:rsidRPr="00E125B0">
        <w:rPr>
          <w:rFonts w:ascii="Arial" w:hAnsi="Arial" w:cs="Arial"/>
          <w:sz w:val="24"/>
          <w:szCs w:val="24"/>
          <w:vertAlign w:val="superscript"/>
        </w:rPr>
        <w:footnoteReference w:id="1"/>
      </w:r>
      <w:r w:rsidR="002168AC">
        <w:rPr>
          <w:rFonts w:ascii="Arial" w:hAnsi="Arial" w:cs="Arial"/>
          <w:sz w:val="24"/>
          <w:szCs w:val="24"/>
        </w:rPr>
        <w:t xml:space="preserve">New section 44C provides </w:t>
      </w:r>
      <w:r w:rsidR="0097538F">
        <w:rPr>
          <w:rFonts w:ascii="Arial" w:hAnsi="Arial" w:cs="Arial"/>
          <w:sz w:val="24"/>
          <w:szCs w:val="24"/>
        </w:rPr>
        <w:t>that</w:t>
      </w:r>
      <w:r w:rsidR="002168AC">
        <w:rPr>
          <w:rFonts w:ascii="Arial" w:hAnsi="Arial" w:cs="Arial"/>
          <w:sz w:val="24"/>
          <w:szCs w:val="24"/>
        </w:rPr>
        <w:t xml:space="preserve"> the IP Commissioner may</w:t>
      </w:r>
      <w:r w:rsidR="0097538F">
        <w:rPr>
          <w:rFonts w:ascii="Arial" w:hAnsi="Arial" w:cs="Arial"/>
          <w:sz w:val="24"/>
          <w:szCs w:val="24"/>
        </w:rPr>
        <w:t xml:space="preserve"> allow, or</w:t>
      </w:r>
      <w:r w:rsidR="002168AC">
        <w:rPr>
          <w:rFonts w:ascii="Arial" w:hAnsi="Arial" w:cs="Arial"/>
          <w:sz w:val="24"/>
          <w:szCs w:val="24"/>
        </w:rPr>
        <w:t xml:space="preserve"> ask</w:t>
      </w:r>
      <w:r w:rsidR="0097538F">
        <w:rPr>
          <w:rFonts w:ascii="Arial" w:hAnsi="Arial" w:cs="Arial"/>
          <w:sz w:val="24"/>
          <w:szCs w:val="24"/>
        </w:rPr>
        <w:t>,</w:t>
      </w:r>
      <w:r w:rsidR="002168AC">
        <w:rPr>
          <w:rFonts w:ascii="Arial" w:hAnsi="Arial" w:cs="Arial"/>
          <w:sz w:val="24"/>
          <w:szCs w:val="24"/>
        </w:rPr>
        <w:t xml:space="preserve"> </w:t>
      </w:r>
      <w:r w:rsidR="0097538F">
        <w:rPr>
          <w:rFonts w:ascii="Arial" w:hAnsi="Arial" w:cs="Arial"/>
          <w:sz w:val="24"/>
          <w:szCs w:val="24"/>
        </w:rPr>
        <w:t>people other than the parties</w:t>
      </w:r>
      <w:r w:rsidR="002168AC">
        <w:rPr>
          <w:rFonts w:ascii="Arial" w:hAnsi="Arial" w:cs="Arial"/>
          <w:sz w:val="24"/>
          <w:szCs w:val="24"/>
        </w:rPr>
        <w:t xml:space="preserve"> to attend conciliation if satisfied that the person’s attendance will assist the conciliation. </w:t>
      </w:r>
      <w:r w:rsidR="0097538F">
        <w:rPr>
          <w:rFonts w:ascii="Arial" w:hAnsi="Arial" w:cs="Arial"/>
          <w:sz w:val="24"/>
          <w:szCs w:val="24"/>
        </w:rPr>
        <w:t xml:space="preserve">However, parties may not be legally represented unless the Commissioner is satisfied this will substantially help the conciliation. This provision is intended to help promote the informal nature of conciliation as an alternative dispute resolution mechanism. </w:t>
      </w:r>
    </w:p>
    <w:p w14:paraId="15B54C22" w14:textId="7A5FCDB5" w:rsidR="002168AC" w:rsidRDefault="002168AC" w:rsidP="00EE17D3">
      <w:pPr>
        <w:rPr>
          <w:rFonts w:ascii="Arial" w:hAnsi="Arial" w:cs="Arial"/>
          <w:sz w:val="24"/>
          <w:szCs w:val="24"/>
        </w:rPr>
      </w:pPr>
      <w:r>
        <w:rPr>
          <w:rFonts w:ascii="Arial" w:hAnsi="Arial" w:cs="Arial"/>
          <w:sz w:val="24"/>
          <w:szCs w:val="24"/>
        </w:rPr>
        <w:t>New section 44</w:t>
      </w:r>
      <w:r w:rsidR="0064278B">
        <w:rPr>
          <w:rFonts w:ascii="Arial" w:hAnsi="Arial" w:cs="Arial"/>
          <w:sz w:val="24"/>
          <w:szCs w:val="24"/>
        </w:rPr>
        <w:t>D</w:t>
      </w:r>
      <w:r>
        <w:rPr>
          <w:rFonts w:ascii="Arial" w:hAnsi="Arial" w:cs="Arial"/>
          <w:sz w:val="24"/>
          <w:szCs w:val="24"/>
        </w:rPr>
        <w:t xml:space="preserve"> enable</w:t>
      </w:r>
      <w:r w:rsidR="004D3155">
        <w:rPr>
          <w:rFonts w:ascii="Arial" w:hAnsi="Arial" w:cs="Arial"/>
          <w:sz w:val="24"/>
          <w:szCs w:val="24"/>
        </w:rPr>
        <w:t>s</w:t>
      </w:r>
      <w:r>
        <w:rPr>
          <w:rFonts w:ascii="Arial" w:hAnsi="Arial" w:cs="Arial"/>
          <w:sz w:val="24"/>
          <w:szCs w:val="24"/>
        </w:rPr>
        <w:t xml:space="preserve"> the IP Commissioner to conduct the conciliation</w:t>
      </w:r>
      <w:r w:rsidR="0064278B">
        <w:rPr>
          <w:rFonts w:ascii="Arial" w:hAnsi="Arial" w:cs="Arial"/>
          <w:sz w:val="24"/>
          <w:szCs w:val="24"/>
        </w:rPr>
        <w:t xml:space="preserve"> in the manner that they decide</w:t>
      </w:r>
      <w:r>
        <w:rPr>
          <w:rFonts w:ascii="Arial" w:hAnsi="Arial" w:cs="Arial"/>
          <w:sz w:val="24"/>
          <w:szCs w:val="24"/>
        </w:rPr>
        <w:t>.</w:t>
      </w:r>
    </w:p>
    <w:p w14:paraId="302E73B4" w14:textId="0B2B0779" w:rsidR="002168AC" w:rsidRDefault="002168AC" w:rsidP="00EE17D3">
      <w:pPr>
        <w:rPr>
          <w:rFonts w:ascii="Arial" w:hAnsi="Arial" w:cs="Arial"/>
          <w:sz w:val="24"/>
          <w:szCs w:val="24"/>
        </w:rPr>
      </w:pPr>
      <w:r w:rsidRPr="00AD26E4">
        <w:rPr>
          <w:rFonts w:ascii="Arial" w:hAnsi="Arial" w:cs="Arial"/>
          <w:sz w:val="24"/>
          <w:szCs w:val="24"/>
        </w:rPr>
        <w:t>New section 44</w:t>
      </w:r>
      <w:r w:rsidR="0064278B">
        <w:rPr>
          <w:rFonts w:ascii="Arial" w:hAnsi="Arial" w:cs="Arial"/>
          <w:sz w:val="24"/>
          <w:szCs w:val="24"/>
        </w:rPr>
        <w:t>E</w:t>
      </w:r>
      <w:r w:rsidRPr="004D3155">
        <w:rPr>
          <w:rFonts w:ascii="Arial" w:hAnsi="Arial" w:cs="Arial"/>
          <w:sz w:val="24"/>
          <w:szCs w:val="24"/>
        </w:rPr>
        <w:t xml:space="preserve"> </w:t>
      </w:r>
      <w:r w:rsidR="0096211D" w:rsidRPr="004D3155">
        <w:rPr>
          <w:rFonts w:ascii="Arial" w:hAnsi="Arial" w:cs="Arial"/>
          <w:sz w:val="24"/>
          <w:szCs w:val="24"/>
        </w:rPr>
        <w:t xml:space="preserve">provides </w:t>
      </w:r>
      <w:r w:rsidR="0064278B">
        <w:rPr>
          <w:rFonts w:ascii="Arial" w:hAnsi="Arial" w:cs="Arial"/>
          <w:sz w:val="24"/>
          <w:szCs w:val="24"/>
        </w:rPr>
        <w:t xml:space="preserve">for </w:t>
      </w:r>
      <w:r w:rsidR="004D3155">
        <w:rPr>
          <w:rFonts w:ascii="Arial" w:hAnsi="Arial" w:cs="Arial"/>
          <w:sz w:val="24"/>
          <w:szCs w:val="24"/>
        </w:rPr>
        <w:t>when an agreement is reached by conciliation</w:t>
      </w:r>
      <w:r w:rsidR="0064278B">
        <w:rPr>
          <w:rFonts w:ascii="Arial" w:hAnsi="Arial" w:cs="Arial"/>
          <w:sz w:val="24"/>
          <w:szCs w:val="24"/>
        </w:rPr>
        <w:t>.</w:t>
      </w:r>
      <w:r w:rsidR="004D3155">
        <w:rPr>
          <w:rFonts w:ascii="Arial" w:hAnsi="Arial" w:cs="Arial"/>
          <w:sz w:val="24"/>
          <w:szCs w:val="24"/>
        </w:rPr>
        <w:t xml:space="preserve"> </w:t>
      </w:r>
      <w:r w:rsidR="0064278B">
        <w:rPr>
          <w:rFonts w:ascii="Arial" w:hAnsi="Arial" w:cs="Arial"/>
          <w:sz w:val="24"/>
          <w:szCs w:val="24"/>
        </w:rPr>
        <w:t>T</w:t>
      </w:r>
      <w:r w:rsidR="004D3155">
        <w:rPr>
          <w:rFonts w:ascii="Arial" w:hAnsi="Arial" w:cs="Arial"/>
          <w:sz w:val="24"/>
          <w:szCs w:val="24"/>
        </w:rPr>
        <w:t xml:space="preserve">he IP </w:t>
      </w:r>
      <w:r w:rsidR="0064278B">
        <w:rPr>
          <w:rFonts w:ascii="Arial" w:hAnsi="Arial" w:cs="Arial"/>
          <w:sz w:val="24"/>
          <w:szCs w:val="24"/>
        </w:rPr>
        <w:t>C</w:t>
      </w:r>
      <w:r w:rsidR="004D3155">
        <w:rPr>
          <w:rFonts w:ascii="Arial" w:hAnsi="Arial" w:cs="Arial"/>
          <w:sz w:val="24"/>
          <w:szCs w:val="24"/>
        </w:rPr>
        <w:t>ommissioner may assist</w:t>
      </w:r>
      <w:r w:rsidR="0064278B">
        <w:rPr>
          <w:rFonts w:ascii="Arial" w:hAnsi="Arial" w:cs="Arial"/>
          <w:sz w:val="24"/>
          <w:szCs w:val="24"/>
        </w:rPr>
        <w:t xml:space="preserve"> the</w:t>
      </w:r>
      <w:r w:rsidR="004D3155">
        <w:rPr>
          <w:rFonts w:ascii="Arial" w:hAnsi="Arial" w:cs="Arial"/>
          <w:sz w:val="24"/>
          <w:szCs w:val="24"/>
        </w:rPr>
        <w:t xml:space="preserve"> parties in making a written record</w:t>
      </w:r>
      <w:r w:rsidR="0064278B">
        <w:rPr>
          <w:rFonts w:ascii="Arial" w:hAnsi="Arial" w:cs="Arial"/>
          <w:sz w:val="24"/>
          <w:szCs w:val="24"/>
        </w:rPr>
        <w:t xml:space="preserve"> of their agreement</w:t>
      </w:r>
      <w:r w:rsidR="004D3155">
        <w:rPr>
          <w:rFonts w:ascii="Arial" w:hAnsi="Arial" w:cs="Arial"/>
          <w:sz w:val="24"/>
          <w:szCs w:val="24"/>
        </w:rPr>
        <w:t xml:space="preserve">. </w:t>
      </w:r>
      <w:r w:rsidR="0064278B">
        <w:rPr>
          <w:rFonts w:ascii="Arial" w:hAnsi="Arial" w:cs="Arial"/>
          <w:sz w:val="24"/>
          <w:szCs w:val="24"/>
        </w:rPr>
        <w:t>E</w:t>
      </w:r>
      <w:r w:rsidR="004D3155">
        <w:rPr>
          <w:rFonts w:ascii="Arial" w:hAnsi="Arial" w:cs="Arial"/>
          <w:sz w:val="24"/>
          <w:szCs w:val="24"/>
        </w:rPr>
        <w:t>ach party must sign the agreement, and the IP Commissioner must give a copy of the conciliation agreement to each party.</w:t>
      </w:r>
    </w:p>
    <w:p w14:paraId="1870BF4E" w14:textId="367A91BE" w:rsidR="002168AC" w:rsidRDefault="002168AC" w:rsidP="00EE17D3">
      <w:pPr>
        <w:rPr>
          <w:rFonts w:ascii="Arial" w:hAnsi="Arial" w:cs="Arial"/>
          <w:sz w:val="24"/>
          <w:szCs w:val="24"/>
        </w:rPr>
      </w:pPr>
      <w:r>
        <w:rPr>
          <w:rFonts w:ascii="Arial" w:hAnsi="Arial" w:cs="Arial"/>
          <w:sz w:val="24"/>
          <w:szCs w:val="24"/>
        </w:rPr>
        <w:t>New section 44</w:t>
      </w:r>
      <w:r w:rsidR="0064278B">
        <w:rPr>
          <w:rFonts w:ascii="Arial" w:hAnsi="Arial" w:cs="Arial"/>
          <w:sz w:val="24"/>
          <w:szCs w:val="24"/>
        </w:rPr>
        <w:t>F</w:t>
      </w:r>
      <w:r w:rsidR="00CF2AB7">
        <w:rPr>
          <w:rFonts w:ascii="Arial" w:hAnsi="Arial" w:cs="Arial"/>
          <w:sz w:val="24"/>
          <w:szCs w:val="24"/>
        </w:rPr>
        <w:t xml:space="preserve"> </w:t>
      </w:r>
      <w:r w:rsidR="0064278B">
        <w:rPr>
          <w:rFonts w:ascii="Arial" w:hAnsi="Arial" w:cs="Arial"/>
          <w:sz w:val="24"/>
          <w:szCs w:val="24"/>
        </w:rPr>
        <w:t>permits the</w:t>
      </w:r>
      <w:r w:rsidR="00CF2AB7">
        <w:rPr>
          <w:rFonts w:ascii="Arial" w:hAnsi="Arial" w:cs="Arial"/>
          <w:sz w:val="24"/>
          <w:szCs w:val="24"/>
        </w:rPr>
        <w:t xml:space="preserve"> use of</w:t>
      </w:r>
      <w:r w:rsidR="0064278B">
        <w:rPr>
          <w:rFonts w:ascii="Arial" w:hAnsi="Arial" w:cs="Arial"/>
          <w:sz w:val="24"/>
          <w:szCs w:val="24"/>
        </w:rPr>
        <w:t xml:space="preserve"> information in</w:t>
      </w:r>
      <w:r w:rsidR="00CF2AB7">
        <w:rPr>
          <w:rFonts w:ascii="Arial" w:hAnsi="Arial" w:cs="Arial"/>
          <w:sz w:val="24"/>
          <w:szCs w:val="24"/>
        </w:rPr>
        <w:t xml:space="preserve"> conciliation agreements by the IP</w:t>
      </w:r>
      <w:r w:rsidR="0064278B">
        <w:rPr>
          <w:rFonts w:ascii="Arial" w:hAnsi="Arial" w:cs="Arial"/>
          <w:sz w:val="24"/>
          <w:szCs w:val="24"/>
        </w:rPr>
        <w:t> </w:t>
      </w:r>
      <w:r w:rsidR="00CF2AB7">
        <w:rPr>
          <w:rFonts w:ascii="Arial" w:hAnsi="Arial" w:cs="Arial"/>
          <w:sz w:val="24"/>
          <w:szCs w:val="24"/>
        </w:rPr>
        <w:t>Commissioner</w:t>
      </w:r>
      <w:r w:rsidR="0064278B">
        <w:rPr>
          <w:rFonts w:ascii="Arial" w:hAnsi="Arial" w:cs="Arial"/>
          <w:sz w:val="24"/>
          <w:szCs w:val="24"/>
        </w:rPr>
        <w:t xml:space="preserve"> only to the extent that the parties agree</w:t>
      </w:r>
      <w:r w:rsidR="00CF2AB7">
        <w:rPr>
          <w:rFonts w:ascii="Arial" w:hAnsi="Arial" w:cs="Arial"/>
          <w:sz w:val="24"/>
          <w:szCs w:val="24"/>
        </w:rPr>
        <w:t>.</w:t>
      </w:r>
    </w:p>
    <w:p w14:paraId="6ADD8B56" w14:textId="02D4A990" w:rsidR="002168AC" w:rsidRPr="00AD26E4" w:rsidRDefault="002168AC" w:rsidP="00EE17D3">
      <w:pPr>
        <w:rPr>
          <w:rFonts w:ascii="Arial" w:hAnsi="Arial" w:cs="Arial"/>
          <w:sz w:val="24"/>
          <w:szCs w:val="24"/>
        </w:rPr>
      </w:pPr>
      <w:r w:rsidRPr="00AD26E4">
        <w:rPr>
          <w:rFonts w:ascii="Arial" w:hAnsi="Arial" w:cs="Arial"/>
          <w:sz w:val="24"/>
          <w:szCs w:val="24"/>
        </w:rPr>
        <w:t>New section 44</w:t>
      </w:r>
      <w:r w:rsidR="0064278B">
        <w:rPr>
          <w:rFonts w:ascii="Arial" w:hAnsi="Arial" w:cs="Arial"/>
          <w:sz w:val="24"/>
          <w:szCs w:val="24"/>
        </w:rPr>
        <w:t>G</w:t>
      </w:r>
      <w:r w:rsidR="004D3155" w:rsidRPr="00AD26E4">
        <w:rPr>
          <w:rFonts w:ascii="Arial" w:hAnsi="Arial" w:cs="Arial"/>
          <w:sz w:val="24"/>
          <w:szCs w:val="24"/>
        </w:rPr>
        <w:t xml:space="preserve"> defines the </w:t>
      </w:r>
      <w:r w:rsidR="004D3155">
        <w:rPr>
          <w:rFonts w:ascii="Arial" w:hAnsi="Arial" w:cs="Arial"/>
          <w:sz w:val="24"/>
          <w:szCs w:val="24"/>
        </w:rPr>
        <w:t xml:space="preserve">conditions </w:t>
      </w:r>
      <w:r w:rsidR="0064278B">
        <w:rPr>
          <w:rFonts w:ascii="Arial" w:hAnsi="Arial" w:cs="Arial"/>
          <w:sz w:val="24"/>
          <w:szCs w:val="24"/>
        </w:rPr>
        <w:t>in</w:t>
      </w:r>
      <w:r w:rsidR="004D3155">
        <w:rPr>
          <w:rFonts w:ascii="Arial" w:hAnsi="Arial" w:cs="Arial"/>
          <w:sz w:val="24"/>
          <w:szCs w:val="24"/>
        </w:rPr>
        <w:t xml:space="preserve"> which a conciliation will end</w:t>
      </w:r>
      <w:r w:rsidR="0064278B">
        <w:rPr>
          <w:rFonts w:ascii="Arial" w:hAnsi="Arial" w:cs="Arial"/>
          <w:sz w:val="24"/>
          <w:szCs w:val="24"/>
        </w:rPr>
        <w:t>, whether because the parties reach agreement, one party withdraws, both parties agree to end the process, or the IP Commissioner ends the process because agreement is not likely to be reached</w:t>
      </w:r>
      <w:r w:rsidR="004D3155">
        <w:rPr>
          <w:rFonts w:ascii="Arial" w:hAnsi="Arial" w:cs="Arial"/>
          <w:sz w:val="24"/>
          <w:szCs w:val="24"/>
        </w:rPr>
        <w:t>.</w:t>
      </w:r>
      <w:r w:rsidR="0064278B">
        <w:rPr>
          <w:rFonts w:ascii="Arial" w:hAnsi="Arial" w:cs="Arial"/>
          <w:sz w:val="24"/>
          <w:szCs w:val="24"/>
        </w:rPr>
        <w:t xml:space="preserve"> The IP Commissioner must tell the parties that the conciliation has ended under this provision and why, and may then close the complaint.</w:t>
      </w:r>
    </w:p>
    <w:p w14:paraId="572B78E2" w14:textId="58856AD6" w:rsidR="002168AC" w:rsidRPr="00AD26E4" w:rsidRDefault="002168AC" w:rsidP="00EE17D3">
      <w:pPr>
        <w:rPr>
          <w:rFonts w:ascii="Arial" w:hAnsi="Arial" w:cs="Arial"/>
          <w:sz w:val="24"/>
          <w:szCs w:val="24"/>
        </w:rPr>
      </w:pPr>
      <w:r w:rsidRPr="00AD26E4">
        <w:rPr>
          <w:rFonts w:ascii="Arial" w:hAnsi="Arial" w:cs="Arial"/>
          <w:sz w:val="24"/>
          <w:szCs w:val="24"/>
        </w:rPr>
        <w:t>New section 44</w:t>
      </w:r>
      <w:r w:rsidR="0064278B">
        <w:rPr>
          <w:rFonts w:ascii="Arial" w:hAnsi="Arial" w:cs="Arial"/>
          <w:sz w:val="24"/>
          <w:szCs w:val="24"/>
        </w:rPr>
        <w:t>H</w:t>
      </w:r>
      <w:r w:rsidR="004D3155">
        <w:rPr>
          <w:rFonts w:ascii="Arial" w:hAnsi="Arial" w:cs="Arial"/>
          <w:sz w:val="24"/>
          <w:szCs w:val="24"/>
        </w:rPr>
        <w:t xml:space="preserve"> </w:t>
      </w:r>
      <w:r w:rsidR="0064278B">
        <w:rPr>
          <w:rFonts w:ascii="Arial" w:hAnsi="Arial" w:cs="Arial"/>
          <w:sz w:val="24"/>
          <w:szCs w:val="24"/>
        </w:rPr>
        <w:t>governs</w:t>
      </w:r>
      <w:r w:rsidR="004D3155">
        <w:rPr>
          <w:rFonts w:ascii="Arial" w:hAnsi="Arial" w:cs="Arial"/>
          <w:sz w:val="24"/>
          <w:szCs w:val="24"/>
        </w:rPr>
        <w:t xml:space="preserve"> the admissibility of </w:t>
      </w:r>
      <w:r w:rsidR="0064278B">
        <w:rPr>
          <w:rFonts w:ascii="Arial" w:hAnsi="Arial" w:cs="Arial"/>
          <w:sz w:val="24"/>
          <w:szCs w:val="24"/>
        </w:rPr>
        <w:t xml:space="preserve">information or documents </w:t>
      </w:r>
      <w:r w:rsidR="00CB2D76">
        <w:rPr>
          <w:rFonts w:ascii="Arial" w:hAnsi="Arial" w:cs="Arial"/>
          <w:sz w:val="24"/>
          <w:szCs w:val="24"/>
        </w:rPr>
        <w:t xml:space="preserve">prepared for or communicated in </w:t>
      </w:r>
      <w:r w:rsidR="004D3155">
        <w:rPr>
          <w:rFonts w:ascii="Arial" w:hAnsi="Arial" w:cs="Arial"/>
          <w:sz w:val="24"/>
          <w:szCs w:val="24"/>
        </w:rPr>
        <w:t>conciliation</w:t>
      </w:r>
      <w:r w:rsidR="00CB2D76">
        <w:rPr>
          <w:rFonts w:ascii="Arial" w:hAnsi="Arial" w:cs="Arial"/>
          <w:sz w:val="24"/>
          <w:szCs w:val="24"/>
        </w:rPr>
        <w:t xml:space="preserve"> in subsequent legal proceedings.</w:t>
      </w:r>
      <w:r w:rsidR="004D3155">
        <w:rPr>
          <w:rFonts w:ascii="Arial" w:hAnsi="Arial" w:cs="Arial"/>
          <w:sz w:val="24"/>
          <w:szCs w:val="24"/>
        </w:rPr>
        <w:t xml:space="preserve"> </w:t>
      </w:r>
      <w:r w:rsidR="003A159F">
        <w:rPr>
          <w:rFonts w:ascii="Arial" w:hAnsi="Arial" w:cs="Arial"/>
          <w:sz w:val="24"/>
          <w:szCs w:val="24"/>
        </w:rPr>
        <w:t xml:space="preserve">The provision ensures that </w:t>
      </w:r>
      <w:r w:rsidR="004D3155">
        <w:rPr>
          <w:rFonts w:ascii="Arial" w:hAnsi="Arial" w:cs="Arial"/>
          <w:sz w:val="24"/>
          <w:szCs w:val="24"/>
        </w:rPr>
        <w:t xml:space="preserve">section 131 of the </w:t>
      </w:r>
      <w:r w:rsidR="004D3155">
        <w:rPr>
          <w:rFonts w:ascii="Arial" w:hAnsi="Arial" w:cs="Arial"/>
          <w:i/>
          <w:iCs/>
          <w:sz w:val="24"/>
          <w:szCs w:val="24"/>
        </w:rPr>
        <w:t>Evidence Act 2011</w:t>
      </w:r>
      <w:r w:rsidR="003A159F">
        <w:rPr>
          <w:rFonts w:ascii="Arial" w:hAnsi="Arial" w:cs="Arial"/>
          <w:i/>
          <w:iCs/>
          <w:sz w:val="24"/>
          <w:szCs w:val="24"/>
        </w:rPr>
        <w:t xml:space="preserve"> </w:t>
      </w:r>
      <w:r w:rsidR="003A159F">
        <w:rPr>
          <w:rFonts w:ascii="Arial" w:hAnsi="Arial" w:cs="Arial"/>
          <w:sz w:val="24"/>
          <w:szCs w:val="24"/>
        </w:rPr>
        <w:t>will apply</w:t>
      </w:r>
      <w:r w:rsidR="004D3155">
        <w:rPr>
          <w:rFonts w:ascii="Arial" w:hAnsi="Arial" w:cs="Arial"/>
          <w:i/>
          <w:iCs/>
          <w:sz w:val="24"/>
          <w:szCs w:val="24"/>
        </w:rPr>
        <w:t xml:space="preserve">, </w:t>
      </w:r>
      <w:r w:rsidR="003A159F">
        <w:rPr>
          <w:rFonts w:ascii="Arial" w:hAnsi="Arial" w:cs="Arial"/>
          <w:sz w:val="24"/>
          <w:szCs w:val="24"/>
        </w:rPr>
        <w:t>which</w:t>
      </w:r>
      <w:r w:rsidR="004D3155">
        <w:rPr>
          <w:rFonts w:ascii="Arial" w:hAnsi="Arial" w:cs="Arial"/>
          <w:sz w:val="24"/>
          <w:szCs w:val="24"/>
        </w:rPr>
        <w:t xml:space="preserve"> exclu</w:t>
      </w:r>
      <w:r w:rsidR="003A159F">
        <w:rPr>
          <w:rFonts w:ascii="Arial" w:hAnsi="Arial" w:cs="Arial"/>
          <w:sz w:val="24"/>
          <w:szCs w:val="24"/>
        </w:rPr>
        <w:t>des</w:t>
      </w:r>
      <w:r w:rsidR="004D3155">
        <w:rPr>
          <w:rFonts w:ascii="Arial" w:hAnsi="Arial" w:cs="Arial"/>
          <w:sz w:val="24"/>
          <w:szCs w:val="24"/>
        </w:rPr>
        <w:t xml:space="preserve"> evidence of settlement negotiations</w:t>
      </w:r>
      <w:r w:rsidR="003A159F">
        <w:rPr>
          <w:rFonts w:ascii="Arial" w:hAnsi="Arial" w:cs="Arial"/>
          <w:sz w:val="24"/>
          <w:szCs w:val="24"/>
        </w:rPr>
        <w:t xml:space="preserve"> (except to the extent that the parties have </w:t>
      </w:r>
      <w:r w:rsidR="003A159F">
        <w:rPr>
          <w:rFonts w:ascii="Arial" w:hAnsi="Arial" w:cs="Arial"/>
          <w:sz w:val="24"/>
          <w:szCs w:val="24"/>
        </w:rPr>
        <w:lastRenderedPageBreak/>
        <w:t xml:space="preserve">agreed that a conciliation agreement may be used by the Commissioner in whole or in part). </w:t>
      </w:r>
    </w:p>
    <w:p w14:paraId="5228CD5A" w14:textId="61C7B608" w:rsidR="002168AC" w:rsidRPr="00DB2E6D" w:rsidRDefault="002168AC" w:rsidP="00EE17D3">
      <w:pPr>
        <w:rPr>
          <w:rFonts w:ascii="Arial" w:hAnsi="Arial" w:cs="Arial"/>
          <w:sz w:val="24"/>
          <w:szCs w:val="24"/>
        </w:rPr>
      </w:pPr>
      <w:r w:rsidRPr="00AD26E4">
        <w:rPr>
          <w:rFonts w:ascii="Arial" w:hAnsi="Arial" w:cs="Arial"/>
          <w:sz w:val="24"/>
          <w:szCs w:val="24"/>
        </w:rPr>
        <w:t>New section 44</w:t>
      </w:r>
      <w:r w:rsidR="0064278B">
        <w:rPr>
          <w:rFonts w:ascii="Arial" w:hAnsi="Arial" w:cs="Arial"/>
          <w:sz w:val="24"/>
          <w:szCs w:val="24"/>
        </w:rPr>
        <w:t>I</w:t>
      </w:r>
      <w:r w:rsidR="004D3155" w:rsidRPr="004D3155">
        <w:rPr>
          <w:rFonts w:ascii="Arial" w:hAnsi="Arial" w:cs="Arial"/>
          <w:sz w:val="24"/>
          <w:szCs w:val="24"/>
        </w:rPr>
        <w:t xml:space="preserve"> protects conciliation attendees from civil liability</w:t>
      </w:r>
      <w:r w:rsidR="0064278B">
        <w:rPr>
          <w:rFonts w:ascii="Arial" w:hAnsi="Arial" w:cs="Arial"/>
          <w:sz w:val="24"/>
          <w:szCs w:val="24"/>
        </w:rPr>
        <w:t xml:space="preserve"> for acts done </w:t>
      </w:r>
      <w:r w:rsidR="0064278B" w:rsidRPr="00DB2E6D">
        <w:rPr>
          <w:rFonts w:ascii="Arial" w:hAnsi="Arial" w:cs="Arial"/>
          <w:sz w:val="24"/>
          <w:szCs w:val="24"/>
        </w:rPr>
        <w:t>honestly and without recklessness during conciliation</w:t>
      </w:r>
      <w:r w:rsidR="004D3155" w:rsidRPr="00DB2E6D">
        <w:rPr>
          <w:rFonts w:ascii="Arial" w:hAnsi="Arial" w:cs="Arial"/>
          <w:sz w:val="24"/>
          <w:szCs w:val="24"/>
        </w:rPr>
        <w:t>.</w:t>
      </w:r>
    </w:p>
    <w:p w14:paraId="7BC542A7" w14:textId="426D6B88" w:rsidR="00EE17D3" w:rsidRPr="00DB2E6D" w:rsidRDefault="00EE17D3" w:rsidP="00EE17D3">
      <w:pPr>
        <w:rPr>
          <w:rFonts w:ascii="Arial" w:hAnsi="Arial" w:cs="Arial"/>
          <w:b/>
          <w:bCs/>
          <w:sz w:val="24"/>
          <w:szCs w:val="24"/>
        </w:rPr>
      </w:pPr>
      <w:r w:rsidRPr="00C57A11">
        <w:rPr>
          <w:rFonts w:ascii="Arial" w:hAnsi="Arial" w:cs="Arial"/>
          <w:b/>
          <w:bCs/>
          <w:sz w:val="24"/>
          <w:szCs w:val="24"/>
        </w:rPr>
        <w:t xml:space="preserve">Clause </w:t>
      </w:r>
      <w:r w:rsidR="009676A2">
        <w:rPr>
          <w:rFonts w:ascii="Arial" w:hAnsi="Arial" w:cs="Arial"/>
          <w:b/>
          <w:bCs/>
          <w:sz w:val="24"/>
          <w:szCs w:val="24"/>
        </w:rPr>
        <w:t>20</w:t>
      </w:r>
      <w:r w:rsidRPr="00C57A11">
        <w:rPr>
          <w:rFonts w:ascii="Arial" w:hAnsi="Arial" w:cs="Arial"/>
          <w:b/>
          <w:bCs/>
          <w:sz w:val="24"/>
          <w:szCs w:val="24"/>
        </w:rPr>
        <w:tab/>
      </w:r>
      <w:r w:rsidRPr="00C57A11">
        <w:rPr>
          <w:rFonts w:ascii="Arial" w:hAnsi="Arial" w:cs="Arial"/>
          <w:b/>
          <w:bCs/>
          <w:sz w:val="24"/>
          <w:szCs w:val="24"/>
        </w:rPr>
        <w:tab/>
        <w:t>Section 45</w:t>
      </w:r>
    </w:p>
    <w:p w14:paraId="1C8827B4" w14:textId="6E974192" w:rsidR="00B762E0" w:rsidRDefault="00B762E0" w:rsidP="00EE17D3">
      <w:pPr>
        <w:rPr>
          <w:rFonts w:ascii="Arial" w:hAnsi="Arial" w:cs="Arial"/>
          <w:sz w:val="24"/>
          <w:szCs w:val="24"/>
        </w:rPr>
      </w:pPr>
      <w:r w:rsidRPr="00DB2E6D">
        <w:rPr>
          <w:rFonts w:ascii="Arial" w:hAnsi="Arial" w:cs="Arial"/>
          <w:sz w:val="24"/>
          <w:szCs w:val="24"/>
        </w:rPr>
        <w:t xml:space="preserve">This clause </w:t>
      </w:r>
      <w:r w:rsidR="003A159F" w:rsidRPr="00DB2E6D">
        <w:rPr>
          <w:rFonts w:ascii="Arial" w:hAnsi="Arial" w:cs="Arial"/>
          <w:sz w:val="24"/>
          <w:szCs w:val="24"/>
        </w:rPr>
        <w:t>substitutes</w:t>
      </w:r>
      <w:r w:rsidRPr="00DB2E6D">
        <w:rPr>
          <w:rFonts w:ascii="Arial" w:hAnsi="Arial" w:cs="Arial"/>
          <w:sz w:val="24"/>
          <w:szCs w:val="24"/>
        </w:rPr>
        <w:t xml:space="preserve"> section 45</w:t>
      </w:r>
      <w:r w:rsidR="003A159F" w:rsidRPr="00DB2E6D">
        <w:rPr>
          <w:rFonts w:ascii="Arial" w:hAnsi="Arial" w:cs="Arial"/>
          <w:sz w:val="24"/>
          <w:szCs w:val="24"/>
        </w:rPr>
        <w:t>. The purpose of the new provision is to ensure that if a complaint</w:t>
      </w:r>
      <w:r w:rsidR="003A159F">
        <w:rPr>
          <w:rFonts w:ascii="Arial" w:hAnsi="Arial" w:cs="Arial"/>
          <w:sz w:val="24"/>
          <w:szCs w:val="24"/>
        </w:rPr>
        <w:t xml:space="preserve"> is successfully resolved through conciliation, the IP Commissioner need not tell the parties that an application may be made to court for an order about the complaint, even if the Commissioner is satisfied that an interference with privacy has occurred.</w:t>
      </w:r>
    </w:p>
    <w:p w14:paraId="07E56DDA" w14:textId="7AC326AE" w:rsidR="00EE17D3" w:rsidRDefault="00EE17D3" w:rsidP="00C57A11">
      <w:pPr>
        <w:keepNext/>
        <w:ind w:left="2160" w:hanging="2160"/>
        <w:rPr>
          <w:rFonts w:ascii="Arial" w:hAnsi="Arial" w:cs="Arial"/>
          <w:b/>
          <w:bCs/>
          <w:sz w:val="24"/>
          <w:szCs w:val="24"/>
        </w:rPr>
      </w:pPr>
      <w:r w:rsidRPr="00AD26E4">
        <w:rPr>
          <w:rFonts w:ascii="Arial" w:hAnsi="Arial" w:cs="Arial"/>
          <w:b/>
          <w:bCs/>
          <w:sz w:val="24"/>
          <w:szCs w:val="24"/>
        </w:rPr>
        <w:t xml:space="preserve">Clause </w:t>
      </w:r>
      <w:r w:rsidR="009676A2">
        <w:rPr>
          <w:rFonts w:ascii="Arial" w:hAnsi="Arial" w:cs="Arial"/>
          <w:b/>
          <w:bCs/>
          <w:sz w:val="24"/>
          <w:szCs w:val="24"/>
        </w:rPr>
        <w:t>21</w:t>
      </w:r>
      <w:r w:rsidRPr="00AD26E4">
        <w:rPr>
          <w:rFonts w:ascii="Arial" w:hAnsi="Arial" w:cs="Arial"/>
          <w:b/>
          <w:bCs/>
          <w:sz w:val="24"/>
          <w:szCs w:val="24"/>
        </w:rPr>
        <w:tab/>
        <w:t xml:space="preserve">Dictionary, new definitions of </w:t>
      </w:r>
      <w:r w:rsidRPr="00AD26E4">
        <w:rPr>
          <w:rFonts w:ascii="Arial" w:hAnsi="Arial" w:cs="Arial"/>
          <w:b/>
          <w:bCs/>
          <w:i/>
          <w:iCs/>
          <w:sz w:val="24"/>
          <w:szCs w:val="24"/>
        </w:rPr>
        <w:t>conciliation</w:t>
      </w:r>
      <w:r w:rsidRPr="00AD26E4">
        <w:rPr>
          <w:rFonts w:ascii="Arial" w:hAnsi="Arial" w:cs="Arial"/>
          <w:b/>
          <w:bCs/>
          <w:sz w:val="24"/>
          <w:szCs w:val="24"/>
        </w:rPr>
        <w:t xml:space="preserve">, </w:t>
      </w:r>
      <w:r w:rsidRPr="00AD26E4">
        <w:rPr>
          <w:rFonts w:ascii="Arial" w:hAnsi="Arial" w:cs="Arial"/>
          <w:b/>
          <w:bCs/>
          <w:i/>
          <w:iCs/>
          <w:sz w:val="24"/>
          <w:szCs w:val="24"/>
        </w:rPr>
        <w:t>conciliation agreement</w:t>
      </w:r>
      <w:r w:rsidRPr="00AD26E4">
        <w:rPr>
          <w:rFonts w:ascii="Arial" w:hAnsi="Arial" w:cs="Arial"/>
          <w:b/>
          <w:bCs/>
          <w:sz w:val="24"/>
          <w:szCs w:val="24"/>
        </w:rPr>
        <w:t xml:space="preserve"> and </w:t>
      </w:r>
      <w:r w:rsidRPr="00AD26E4">
        <w:rPr>
          <w:rFonts w:ascii="Arial" w:hAnsi="Arial" w:cs="Arial"/>
          <w:b/>
          <w:bCs/>
          <w:i/>
          <w:iCs/>
          <w:sz w:val="24"/>
          <w:szCs w:val="24"/>
        </w:rPr>
        <w:t>parties</w:t>
      </w:r>
      <w:r>
        <w:rPr>
          <w:rFonts w:ascii="Arial" w:hAnsi="Arial" w:cs="Arial"/>
          <w:b/>
          <w:bCs/>
          <w:sz w:val="24"/>
          <w:szCs w:val="24"/>
        </w:rPr>
        <w:t xml:space="preserve"> </w:t>
      </w:r>
    </w:p>
    <w:p w14:paraId="35FD2ED1" w14:textId="0372EBAF" w:rsidR="009619A9" w:rsidRPr="00316B31" w:rsidRDefault="005A0277" w:rsidP="00C57A11">
      <w:pPr>
        <w:keepNext/>
        <w:rPr>
          <w:rFonts w:ascii="Arial" w:hAnsi="Arial" w:cs="Arial"/>
          <w:sz w:val="24"/>
          <w:szCs w:val="24"/>
        </w:rPr>
      </w:pPr>
      <w:r>
        <w:rPr>
          <w:rFonts w:ascii="Arial" w:hAnsi="Arial" w:cs="Arial"/>
          <w:sz w:val="24"/>
          <w:szCs w:val="24"/>
        </w:rPr>
        <w:t>This clause inserts minor</w:t>
      </w:r>
      <w:r w:rsidR="004D3155">
        <w:rPr>
          <w:rFonts w:ascii="Arial" w:hAnsi="Arial" w:cs="Arial"/>
          <w:sz w:val="24"/>
          <w:szCs w:val="24"/>
        </w:rPr>
        <w:t xml:space="preserve"> and technical amendments, by inserting</w:t>
      </w:r>
      <w:r>
        <w:rPr>
          <w:rFonts w:ascii="Arial" w:hAnsi="Arial" w:cs="Arial"/>
          <w:sz w:val="24"/>
          <w:szCs w:val="24"/>
        </w:rPr>
        <w:t xml:space="preserve"> definitions of </w:t>
      </w:r>
      <w:r>
        <w:rPr>
          <w:rFonts w:ascii="Arial" w:hAnsi="Arial" w:cs="Arial"/>
          <w:i/>
          <w:iCs/>
          <w:sz w:val="24"/>
          <w:szCs w:val="24"/>
        </w:rPr>
        <w:t xml:space="preserve">conciliation, conciliation agreement </w:t>
      </w:r>
      <w:r w:rsidRPr="000D192F">
        <w:rPr>
          <w:rFonts w:ascii="Arial" w:hAnsi="Arial" w:cs="Arial"/>
          <w:sz w:val="24"/>
          <w:szCs w:val="24"/>
        </w:rPr>
        <w:t>and</w:t>
      </w:r>
      <w:r>
        <w:rPr>
          <w:rFonts w:ascii="Arial" w:hAnsi="Arial" w:cs="Arial"/>
          <w:i/>
          <w:iCs/>
          <w:sz w:val="24"/>
          <w:szCs w:val="24"/>
        </w:rPr>
        <w:t xml:space="preserve"> parties </w:t>
      </w:r>
      <w:r>
        <w:rPr>
          <w:rFonts w:ascii="Arial" w:hAnsi="Arial" w:cs="Arial"/>
          <w:sz w:val="24"/>
          <w:szCs w:val="24"/>
        </w:rPr>
        <w:t>to the IP Act</w:t>
      </w:r>
      <w:r w:rsidR="000D7F33">
        <w:rPr>
          <w:rFonts w:ascii="Arial" w:hAnsi="Arial" w:cs="Arial"/>
          <w:sz w:val="24"/>
          <w:szCs w:val="24"/>
        </w:rPr>
        <w:t>, which supports provisions under division 6.3A.</w:t>
      </w:r>
    </w:p>
    <w:p w14:paraId="71D13D71" w14:textId="53D464CA" w:rsidR="004B061C" w:rsidRPr="00227FC5" w:rsidRDefault="004B061C" w:rsidP="004B061C">
      <w:pPr>
        <w:rPr>
          <w:rFonts w:ascii="Arial" w:hAnsi="Arial" w:cs="Arial"/>
          <w:b/>
          <w:bCs/>
          <w:sz w:val="24"/>
          <w:szCs w:val="24"/>
        </w:rPr>
      </w:pPr>
      <w:r w:rsidRPr="00227FC5">
        <w:rPr>
          <w:rFonts w:ascii="Arial" w:hAnsi="Arial" w:cs="Arial"/>
          <w:b/>
          <w:bCs/>
          <w:sz w:val="24"/>
          <w:szCs w:val="24"/>
        </w:rPr>
        <w:t xml:space="preserve">Part </w:t>
      </w:r>
      <w:r>
        <w:rPr>
          <w:rFonts w:ascii="Arial" w:hAnsi="Arial" w:cs="Arial"/>
          <w:b/>
          <w:bCs/>
          <w:sz w:val="24"/>
          <w:szCs w:val="24"/>
        </w:rPr>
        <w:t>7</w:t>
      </w:r>
      <w:r w:rsidRPr="00227FC5">
        <w:rPr>
          <w:rFonts w:ascii="Arial" w:hAnsi="Arial" w:cs="Arial"/>
          <w:b/>
          <w:bCs/>
          <w:sz w:val="24"/>
          <w:szCs w:val="24"/>
        </w:rPr>
        <w:tab/>
      </w:r>
      <w:r w:rsidRPr="00227FC5">
        <w:rPr>
          <w:rFonts w:ascii="Arial" w:hAnsi="Arial" w:cs="Arial"/>
          <w:b/>
          <w:bCs/>
          <w:sz w:val="24"/>
          <w:szCs w:val="24"/>
        </w:rPr>
        <w:tab/>
      </w:r>
      <w:r w:rsidR="00DB2E6D">
        <w:rPr>
          <w:rFonts w:ascii="Arial" w:hAnsi="Arial" w:cs="Arial"/>
          <w:b/>
          <w:bCs/>
          <w:sz w:val="24"/>
          <w:szCs w:val="24"/>
        </w:rPr>
        <w:tab/>
      </w:r>
      <w:r w:rsidRPr="00227FC5">
        <w:rPr>
          <w:rFonts w:ascii="Arial" w:hAnsi="Arial" w:cs="Arial"/>
          <w:b/>
          <w:bCs/>
          <w:sz w:val="24"/>
          <w:szCs w:val="24"/>
        </w:rPr>
        <w:t>Residential Tenan</w:t>
      </w:r>
      <w:r>
        <w:rPr>
          <w:rFonts w:ascii="Arial" w:hAnsi="Arial" w:cs="Arial"/>
          <w:b/>
          <w:bCs/>
          <w:sz w:val="24"/>
          <w:szCs w:val="24"/>
        </w:rPr>
        <w:t>cies</w:t>
      </w:r>
      <w:r w:rsidRPr="00227FC5">
        <w:rPr>
          <w:rFonts w:ascii="Arial" w:hAnsi="Arial" w:cs="Arial"/>
          <w:b/>
          <w:bCs/>
          <w:sz w:val="24"/>
          <w:szCs w:val="24"/>
        </w:rPr>
        <w:t xml:space="preserve"> Act 1997</w:t>
      </w:r>
    </w:p>
    <w:p w14:paraId="596FBC4F" w14:textId="150E5531" w:rsidR="004B061C" w:rsidRDefault="004B061C" w:rsidP="00C57A11">
      <w:pPr>
        <w:ind w:left="2160" w:hanging="2160"/>
        <w:rPr>
          <w:rFonts w:ascii="Arial" w:hAnsi="Arial" w:cs="Arial"/>
          <w:b/>
          <w:bCs/>
          <w:sz w:val="24"/>
          <w:szCs w:val="24"/>
        </w:rPr>
      </w:pPr>
      <w:r w:rsidRPr="00D85BD6">
        <w:rPr>
          <w:rFonts w:ascii="Arial" w:hAnsi="Arial" w:cs="Arial"/>
          <w:b/>
          <w:bCs/>
          <w:sz w:val="24"/>
          <w:szCs w:val="24"/>
        </w:rPr>
        <w:t xml:space="preserve">Clause </w:t>
      </w:r>
      <w:r w:rsidR="00E9482B">
        <w:rPr>
          <w:rFonts w:ascii="Arial" w:hAnsi="Arial" w:cs="Arial"/>
          <w:b/>
          <w:bCs/>
          <w:sz w:val="24"/>
          <w:szCs w:val="24"/>
        </w:rPr>
        <w:t>22</w:t>
      </w:r>
      <w:r w:rsidR="00E9482B" w:rsidRPr="00D85BD6">
        <w:rPr>
          <w:rFonts w:ascii="Arial" w:hAnsi="Arial" w:cs="Arial"/>
          <w:b/>
          <w:bCs/>
          <w:sz w:val="24"/>
          <w:szCs w:val="24"/>
        </w:rPr>
        <w:t xml:space="preserve"> </w:t>
      </w:r>
      <w:r w:rsidRPr="00D85BD6">
        <w:rPr>
          <w:rFonts w:ascii="Arial" w:hAnsi="Arial" w:cs="Arial"/>
          <w:b/>
          <w:bCs/>
          <w:sz w:val="24"/>
          <w:szCs w:val="24"/>
        </w:rPr>
        <w:tab/>
        <w:t>Terms included in residential tenancy agreements</w:t>
      </w:r>
      <w:r w:rsidR="00DB2E6D">
        <w:rPr>
          <w:rFonts w:ascii="Arial" w:hAnsi="Arial" w:cs="Arial"/>
          <w:b/>
          <w:bCs/>
          <w:sz w:val="24"/>
          <w:szCs w:val="24"/>
        </w:rPr>
        <w:br/>
      </w:r>
      <w:r w:rsidRPr="00D85BD6">
        <w:rPr>
          <w:rFonts w:ascii="Arial" w:hAnsi="Arial" w:cs="Arial"/>
          <w:b/>
          <w:bCs/>
          <w:sz w:val="24"/>
          <w:szCs w:val="24"/>
        </w:rPr>
        <w:t>section 8 (1) (f)</w:t>
      </w:r>
    </w:p>
    <w:p w14:paraId="1DF78C46" w14:textId="74D7BC62" w:rsidR="00310C5B" w:rsidRDefault="004B061C" w:rsidP="004B061C">
      <w:pPr>
        <w:rPr>
          <w:rFonts w:ascii="Arial" w:hAnsi="Arial" w:cs="Arial"/>
          <w:sz w:val="24"/>
          <w:szCs w:val="24"/>
        </w:rPr>
      </w:pPr>
      <w:r w:rsidRPr="008B7AFA">
        <w:rPr>
          <w:rFonts w:ascii="Arial" w:hAnsi="Arial" w:cs="Arial"/>
          <w:sz w:val="24"/>
          <w:szCs w:val="24"/>
        </w:rPr>
        <w:t xml:space="preserve">This clause </w:t>
      </w:r>
      <w:r w:rsidRPr="00D3475C">
        <w:rPr>
          <w:rFonts w:ascii="Arial" w:hAnsi="Arial" w:cs="Arial"/>
          <w:sz w:val="24"/>
          <w:szCs w:val="24"/>
        </w:rPr>
        <w:t xml:space="preserve">is a minor and technical amendment to update </w:t>
      </w:r>
      <w:r w:rsidRPr="00D3475C">
        <w:rPr>
          <w:rFonts w:ascii="Arial" w:hAnsi="Arial" w:cs="Arial"/>
          <w:i/>
          <w:iCs/>
          <w:sz w:val="24"/>
          <w:szCs w:val="24"/>
        </w:rPr>
        <w:t xml:space="preserve">clause </w:t>
      </w:r>
      <w:r w:rsidRPr="00D3475C">
        <w:rPr>
          <w:rFonts w:ascii="Arial" w:hAnsi="Arial" w:cs="Arial"/>
          <w:sz w:val="24"/>
          <w:szCs w:val="24"/>
        </w:rPr>
        <w:t xml:space="preserve">to </w:t>
      </w:r>
      <w:r w:rsidRPr="00D3475C">
        <w:rPr>
          <w:rFonts w:ascii="Arial" w:hAnsi="Arial" w:cs="Arial"/>
          <w:i/>
          <w:iCs/>
          <w:sz w:val="24"/>
          <w:szCs w:val="24"/>
        </w:rPr>
        <w:t xml:space="preserve">clauses, </w:t>
      </w:r>
      <w:r w:rsidRPr="00D3475C">
        <w:rPr>
          <w:rFonts w:ascii="Arial" w:hAnsi="Arial" w:cs="Arial"/>
          <w:sz w:val="24"/>
          <w:szCs w:val="24"/>
        </w:rPr>
        <w:t xml:space="preserve">as this </w:t>
      </w:r>
      <w:r w:rsidR="00DB2E6D" w:rsidRPr="00D3475C">
        <w:rPr>
          <w:rFonts w:ascii="Arial" w:hAnsi="Arial" w:cs="Arial"/>
          <w:sz w:val="24"/>
          <w:szCs w:val="24"/>
        </w:rPr>
        <w:t xml:space="preserve">Bill </w:t>
      </w:r>
      <w:r w:rsidR="00E05D80">
        <w:rPr>
          <w:rFonts w:ascii="Arial" w:hAnsi="Arial" w:cs="Arial"/>
          <w:sz w:val="24"/>
          <w:szCs w:val="24"/>
        </w:rPr>
        <w:t xml:space="preserve">splits the current </w:t>
      </w:r>
      <w:r w:rsidRPr="00D3475C">
        <w:rPr>
          <w:rFonts w:ascii="Arial" w:hAnsi="Arial" w:cs="Arial"/>
          <w:sz w:val="24"/>
          <w:szCs w:val="24"/>
        </w:rPr>
        <w:t>posting termination clause</w:t>
      </w:r>
      <w:r w:rsidR="00E05D80">
        <w:rPr>
          <w:rFonts w:ascii="Arial" w:hAnsi="Arial" w:cs="Arial"/>
          <w:sz w:val="24"/>
          <w:szCs w:val="24"/>
        </w:rPr>
        <w:t xml:space="preserve"> into two separate clauses</w:t>
      </w:r>
      <w:r w:rsidR="00E9482B">
        <w:rPr>
          <w:rFonts w:ascii="Arial" w:hAnsi="Arial" w:cs="Arial"/>
          <w:sz w:val="24"/>
          <w:szCs w:val="24"/>
        </w:rPr>
        <w:t>: one</w:t>
      </w:r>
      <w:r w:rsidRPr="00D3475C">
        <w:rPr>
          <w:rFonts w:ascii="Arial" w:hAnsi="Arial" w:cs="Arial"/>
          <w:sz w:val="24"/>
          <w:szCs w:val="24"/>
        </w:rPr>
        <w:t xml:space="preserve"> for </w:t>
      </w:r>
      <w:r w:rsidR="00D3475C">
        <w:rPr>
          <w:rFonts w:ascii="Arial" w:hAnsi="Arial" w:cs="Arial"/>
          <w:sz w:val="24"/>
          <w:szCs w:val="24"/>
        </w:rPr>
        <w:t xml:space="preserve">the </w:t>
      </w:r>
      <w:r w:rsidRPr="00D3475C">
        <w:rPr>
          <w:rFonts w:ascii="Arial" w:hAnsi="Arial" w:cs="Arial"/>
          <w:sz w:val="24"/>
          <w:szCs w:val="24"/>
        </w:rPr>
        <w:t xml:space="preserve">lessor and </w:t>
      </w:r>
      <w:r w:rsidR="00E9482B">
        <w:rPr>
          <w:rFonts w:ascii="Arial" w:hAnsi="Arial" w:cs="Arial"/>
          <w:sz w:val="24"/>
          <w:szCs w:val="24"/>
        </w:rPr>
        <w:t xml:space="preserve">one for </w:t>
      </w:r>
      <w:r w:rsidRPr="00D3475C">
        <w:rPr>
          <w:rFonts w:ascii="Arial" w:hAnsi="Arial" w:cs="Arial"/>
          <w:sz w:val="24"/>
          <w:szCs w:val="24"/>
        </w:rPr>
        <w:t>the tenant</w:t>
      </w:r>
      <w:r w:rsidR="00E05D80">
        <w:rPr>
          <w:rFonts w:ascii="Arial" w:hAnsi="Arial" w:cs="Arial"/>
          <w:sz w:val="24"/>
          <w:szCs w:val="24"/>
        </w:rPr>
        <w:t xml:space="preserve"> to reflect the different ways the tenancy can terminate depending on whether the lessor or tenant issues the termination notice</w:t>
      </w:r>
      <w:r w:rsidRPr="00D3475C">
        <w:rPr>
          <w:rFonts w:ascii="Arial" w:hAnsi="Arial" w:cs="Arial"/>
          <w:sz w:val="24"/>
          <w:szCs w:val="24"/>
        </w:rPr>
        <w:t xml:space="preserve">. </w:t>
      </w:r>
      <w:r w:rsidR="00310C5B" w:rsidRPr="00D3475C">
        <w:rPr>
          <w:rFonts w:ascii="Arial" w:hAnsi="Arial" w:cs="Arial"/>
          <w:sz w:val="24"/>
          <w:szCs w:val="24"/>
        </w:rPr>
        <w:t>This amendment</w:t>
      </w:r>
      <w:r w:rsidR="00DB2E6D" w:rsidRPr="00D3475C">
        <w:rPr>
          <w:rFonts w:ascii="Arial" w:hAnsi="Arial" w:cs="Arial"/>
          <w:sz w:val="24"/>
          <w:szCs w:val="24"/>
        </w:rPr>
        <w:t xml:space="preserve"> is consequential to the </w:t>
      </w:r>
      <w:r w:rsidR="00D3475C" w:rsidRPr="00D3475C">
        <w:rPr>
          <w:rFonts w:ascii="Arial" w:hAnsi="Arial" w:cs="Arial"/>
          <w:sz w:val="24"/>
          <w:szCs w:val="24"/>
        </w:rPr>
        <w:t>amendments in</w:t>
      </w:r>
      <w:r w:rsidR="00DB2E6D" w:rsidRPr="00D3475C">
        <w:rPr>
          <w:rFonts w:ascii="Arial" w:hAnsi="Arial" w:cs="Arial"/>
          <w:sz w:val="24"/>
          <w:szCs w:val="24"/>
        </w:rPr>
        <w:t xml:space="preserve"> clause </w:t>
      </w:r>
      <w:r w:rsidR="00E9482B">
        <w:rPr>
          <w:rFonts w:ascii="Arial" w:hAnsi="Arial" w:cs="Arial"/>
          <w:sz w:val="24"/>
          <w:szCs w:val="24"/>
        </w:rPr>
        <w:t>35</w:t>
      </w:r>
      <w:r w:rsidR="00D3475C">
        <w:rPr>
          <w:rFonts w:ascii="Arial" w:hAnsi="Arial" w:cs="Arial"/>
          <w:sz w:val="24"/>
          <w:szCs w:val="24"/>
        </w:rPr>
        <w:t>.</w:t>
      </w:r>
      <w:r w:rsidR="00D3475C" w:rsidRPr="00D3475C">
        <w:rPr>
          <w:rFonts w:ascii="Arial" w:hAnsi="Arial" w:cs="Arial"/>
          <w:sz w:val="24"/>
          <w:szCs w:val="24"/>
        </w:rPr>
        <w:t xml:space="preserve"> </w:t>
      </w:r>
    </w:p>
    <w:p w14:paraId="624B4EA0" w14:textId="2E248E88" w:rsidR="00E9482B" w:rsidRDefault="00E9482B" w:rsidP="004B061C">
      <w:pPr>
        <w:rPr>
          <w:rFonts w:ascii="Arial" w:hAnsi="Arial" w:cs="Arial"/>
          <w:sz w:val="24"/>
          <w:szCs w:val="24"/>
        </w:rPr>
      </w:pPr>
      <w:r>
        <w:rPr>
          <w:rFonts w:ascii="Arial" w:hAnsi="Arial" w:cs="Arial"/>
          <w:sz w:val="24"/>
          <w:szCs w:val="24"/>
        </w:rPr>
        <w:t xml:space="preserve">For the avoidance of doubt, it is intended that if the lessor and tenant agree to include the posting termination clauses in the tenancy agreement – they include </w:t>
      </w:r>
      <w:r w:rsidRPr="00DD5279">
        <w:rPr>
          <w:rFonts w:ascii="Arial" w:hAnsi="Arial" w:cs="Arial"/>
          <w:b/>
          <w:bCs/>
          <w:sz w:val="24"/>
          <w:szCs w:val="24"/>
        </w:rPr>
        <w:t>both</w:t>
      </w:r>
      <w:r>
        <w:rPr>
          <w:rFonts w:ascii="Arial" w:hAnsi="Arial" w:cs="Arial"/>
          <w:sz w:val="24"/>
          <w:szCs w:val="24"/>
        </w:rPr>
        <w:t xml:space="preserve"> termination clauses in their agreement. They cannot agree to include only the posting termination clause for the lessor (102) or only the posting termination clause for the tenant (102A). </w:t>
      </w:r>
    </w:p>
    <w:p w14:paraId="6E743CFF" w14:textId="1362E7CD" w:rsidR="004B061C" w:rsidRDefault="004B061C" w:rsidP="004B061C">
      <w:pPr>
        <w:ind w:left="1440" w:hanging="1440"/>
        <w:rPr>
          <w:rFonts w:ascii="Arial" w:hAnsi="Arial" w:cs="Arial"/>
          <w:b/>
          <w:bCs/>
          <w:i/>
          <w:iCs/>
          <w:sz w:val="24"/>
          <w:szCs w:val="24"/>
        </w:rPr>
      </w:pPr>
      <w:r>
        <w:rPr>
          <w:rFonts w:ascii="Arial" w:hAnsi="Arial" w:cs="Arial"/>
          <w:b/>
          <w:bCs/>
          <w:sz w:val="24"/>
          <w:szCs w:val="24"/>
        </w:rPr>
        <w:t xml:space="preserve">Clause </w:t>
      </w:r>
      <w:r w:rsidR="00E9482B">
        <w:rPr>
          <w:rFonts w:ascii="Arial" w:hAnsi="Arial" w:cs="Arial"/>
          <w:b/>
          <w:bCs/>
          <w:sz w:val="24"/>
          <w:szCs w:val="24"/>
        </w:rPr>
        <w:t>23</w:t>
      </w:r>
      <w:r>
        <w:rPr>
          <w:rFonts w:ascii="Arial" w:hAnsi="Arial" w:cs="Arial"/>
          <w:b/>
          <w:bCs/>
          <w:sz w:val="24"/>
          <w:szCs w:val="24"/>
        </w:rPr>
        <w:tab/>
      </w:r>
      <w:r>
        <w:rPr>
          <w:rFonts w:ascii="Arial" w:hAnsi="Arial" w:cs="Arial"/>
          <w:b/>
          <w:bCs/>
          <w:sz w:val="24"/>
          <w:szCs w:val="24"/>
        </w:rPr>
        <w:tab/>
        <w:t xml:space="preserve">Section 8 (4), definition of </w:t>
      </w:r>
      <w:r w:rsidRPr="000D192F">
        <w:rPr>
          <w:rFonts w:ascii="Arial" w:hAnsi="Arial" w:cs="Arial"/>
          <w:b/>
          <w:bCs/>
          <w:i/>
          <w:iCs/>
          <w:sz w:val="24"/>
          <w:szCs w:val="24"/>
        </w:rPr>
        <w:t>posting termination clause</w:t>
      </w:r>
    </w:p>
    <w:p w14:paraId="5BBCA26C" w14:textId="54636209" w:rsidR="00CE1888" w:rsidRPr="00C57A11" w:rsidRDefault="00CE1888" w:rsidP="00CE1888">
      <w:pPr>
        <w:rPr>
          <w:rFonts w:ascii="Arial" w:hAnsi="Arial" w:cs="Arial"/>
          <w:sz w:val="24"/>
          <w:szCs w:val="24"/>
        </w:rPr>
      </w:pPr>
      <w:r w:rsidRPr="00D3475C">
        <w:rPr>
          <w:rFonts w:ascii="Arial" w:hAnsi="Arial" w:cs="Arial"/>
          <w:sz w:val="24"/>
          <w:szCs w:val="24"/>
        </w:rPr>
        <w:t xml:space="preserve">This amendment is consequential to the amendments in clause </w:t>
      </w:r>
      <w:r w:rsidR="00E9482B">
        <w:rPr>
          <w:rFonts w:ascii="Arial" w:hAnsi="Arial" w:cs="Arial"/>
          <w:sz w:val="24"/>
          <w:szCs w:val="24"/>
        </w:rPr>
        <w:t>35</w:t>
      </w:r>
      <w:r>
        <w:rPr>
          <w:rFonts w:ascii="Arial" w:hAnsi="Arial" w:cs="Arial"/>
          <w:sz w:val="24"/>
          <w:szCs w:val="24"/>
        </w:rPr>
        <w:t>,</w:t>
      </w:r>
      <w:r w:rsidRPr="00D3475C">
        <w:rPr>
          <w:rFonts w:ascii="Arial" w:hAnsi="Arial" w:cs="Arial"/>
          <w:sz w:val="24"/>
          <w:szCs w:val="24"/>
        </w:rPr>
        <w:t xml:space="preserve"> as a result of which there will now be two posting termination clauses </w:t>
      </w:r>
      <w:r w:rsidR="00E9482B">
        <w:rPr>
          <w:rFonts w:ascii="Arial" w:hAnsi="Arial" w:cs="Arial"/>
          <w:sz w:val="24"/>
          <w:szCs w:val="24"/>
        </w:rPr>
        <w:t xml:space="preserve">rather than one </w:t>
      </w:r>
      <w:r w:rsidRPr="00D3475C">
        <w:rPr>
          <w:rFonts w:ascii="Arial" w:hAnsi="Arial" w:cs="Arial"/>
          <w:sz w:val="24"/>
          <w:szCs w:val="24"/>
        </w:rPr>
        <w:t>(one for</w:t>
      </w:r>
      <w:r>
        <w:rPr>
          <w:rFonts w:ascii="Arial" w:hAnsi="Arial" w:cs="Arial"/>
          <w:sz w:val="24"/>
          <w:szCs w:val="24"/>
        </w:rPr>
        <w:t xml:space="preserve"> the lessor and one for the tenant).  </w:t>
      </w:r>
    </w:p>
    <w:p w14:paraId="7C54EFCE" w14:textId="621238E9" w:rsidR="004B061C" w:rsidRDefault="004B061C" w:rsidP="004B061C">
      <w:pPr>
        <w:rPr>
          <w:rFonts w:ascii="Arial" w:hAnsi="Arial" w:cs="Arial"/>
          <w:i/>
          <w:iCs/>
          <w:sz w:val="24"/>
          <w:szCs w:val="24"/>
        </w:rPr>
      </w:pPr>
      <w:r>
        <w:rPr>
          <w:rFonts w:ascii="Arial" w:hAnsi="Arial" w:cs="Arial"/>
          <w:sz w:val="24"/>
          <w:szCs w:val="24"/>
        </w:rPr>
        <w:t>This clause</w:t>
      </w:r>
      <w:r w:rsidR="00D3475C">
        <w:rPr>
          <w:rFonts w:ascii="Arial" w:hAnsi="Arial" w:cs="Arial"/>
          <w:sz w:val="24"/>
          <w:szCs w:val="24"/>
        </w:rPr>
        <w:t xml:space="preserve"> is a</w:t>
      </w:r>
      <w:r>
        <w:rPr>
          <w:rFonts w:ascii="Arial" w:hAnsi="Arial" w:cs="Arial"/>
          <w:sz w:val="24"/>
          <w:szCs w:val="24"/>
        </w:rPr>
        <w:t xml:space="preserve"> minor and technical amendment </w:t>
      </w:r>
      <w:r w:rsidR="00CE1888">
        <w:rPr>
          <w:rFonts w:ascii="Arial" w:hAnsi="Arial" w:cs="Arial"/>
          <w:sz w:val="24"/>
          <w:szCs w:val="24"/>
        </w:rPr>
        <w:t xml:space="preserve">to </w:t>
      </w:r>
      <w:r>
        <w:rPr>
          <w:rFonts w:ascii="Arial" w:hAnsi="Arial" w:cs="Arial"/>
          <w:sz w:val="24"/>
          <w:szCs w:val="24"/>
        </w:rPr>
        <w:t xml:space="preserve">insert a new definition of </w:t>
      </w:r>
      <w:r>
        <w:rPr>
          <w:rFonts w:ascii="Arial" w:hAnsi="Arial" w:cs="Arial"/>
          <w:i/>
          <w:iCs/>
          <w:sz w:val="24"/>
          <w:szCs w:val="24"/>
        </w:rPr>
        <w:t>posting termination clause</w:t>
      </w:r>
      <w:r w:rsidR="00D3475C">
        <w:rPr>
          <w:rFonts w:ascii="Arial" w:hAnsi="Arial" w:cs="Arial"/>
          <w:i/>
          <w:iCs/>
          <w:sz w:val="24"/>
          <w:szCs w:val="24"/>
        </w:rPr>
        <w:t>s</w:t>
      </w:r>
      <w:r>
        <w:rPr>
          <w:rFonts w:ascii="Arial" w:hAnsi="Arial" w:cs="Arial"/>
          <w:i/>
          <w:iCs/>
          <w:sz w:val="24"/>
          <w:szCs w:val="24"/>
        </w:rPr>
        <w:t>.</w:t>
      </w:r>
    </w:p>
    <w:p w14:paraId="4A8F9BE6" w14:textId="5EC6773A" w:rsidR="00CE1888" w:rsidRPr="00512851" w:rsidRDefault="00CE1888" w:rsidP="004B061C">
      <w:pPr>
        <w:rPr>
          <w:rFonts w:ascii="Arial" w:hAnsi="Arial" w:cs="Arial"/>
          <w:sz w:val="24"/>
          <w:szCs w:val="24"/>
        </w:rPr>
      </w:pPr>
      <w:r>
        <w:rPr>
          <w:rFonts w:ascii="Arial" w:hAnsi="Arial" w:cs="Arial"/>
          <w:sz w:val="24"/>
          <w:szCs w:val="24"/>
        </w:rPr>
        <w:t xml:space="preserve">The amended provisions defines </w:t>
      </w:r>
      <w:r>
        <w:rPr>
          <w:rFonts w:ascii="Arial" w:hAnsi="Arial" w:cs="Arial"/>
          <w:i/>
          <w:iCs/>
          <w:sz w:val="24"/>
          <w:szCs w:val="24"/>
        </w:rPr>
        <w:t>posting termination clauses</w:t>
      </w:r>
      <w:r>
        <w:rPr>
          <w:rFonts w:ascii="Arial" w:hAnsi="Arial" w:cs="Arial"/>
          <w:sz w:val="24"/>
          <w:szCs w:val="24"/>
        </w:rPr>
        <w:t xml:space="preserve"> to mean the clauses in schedule 2, section 2.1.</w:t>
      </w:r>
    </w:p>
    <w:p w14:paraId="6180A4B3" w14:textId="03B4E6D0" w:rsidR="004B061C" w:rsidRPr="00D85BD6" w:rsidRDefault="004B061C" w:rsidP="00C57A11">
      <w:pPr>
        <w:ind w:left="2160" w:hanging="2160"/>
        <w:rPr>
          <w:rFonts w:ascii="Arial" w:hAnsi="Arial" w:cs="Arial"/>
          <w:b/>
          <w:bCs/>
          <w:sz w:val="24"/>
          <w:szCs w:val="24"/>
        </w:rPr>
      </w:pPr>
      <w:r w:rsidRPr="00D85BD6">
        <w:rPr>
          <w:rFonts w:ascii="Arial" w:hAnsi="Arial" w:cs="Arial"/>
          <w:b/>
          <w:bCs/>
          <w:sz w:val="24"/>
          <w:szCs w:val="24"/>
        </w:rPr>
        <w:lastRenderedPageBreak/>
        <w:t xml:space="preserve">Clause </w:t>
      </w:r>
      <w:r w:rsidR="00E9482B">
        <w:rPr>
          <w:rFonts w:ascii="Arial" w:hAnsi="Arial" w:cs="Arial"/>
          <w:b/>
          <w:bCs/>
          <w:sz w:val="24"/>
          <w:szCs w:val="24"/>
        </w:rPr>
        <w:t>24</w:t>
      </w:r>
      <w:r w:rsidRPr="00D85BD6">
        <w:rPr>
          <w:rFonts w:ascii="Arial" w:hAnsi="Arial" w:cs="Arial"/>
          <w:b/>
          <w:bCs/>
          <w:sz w:val="24"/>
          <w:szCs w:val="24"/>
        </w:rPr>
        <w:tab/>
        <w:t>Termination</w:t>
      </w:r>
      <w:r w:rsidR="00D3475C">
        <w:rPr>
          <w:rFonts w:ascii="Arial" w:hAnsi="Arial" w:cs="Arial"/>
          <w:b/>
          <w:bCs/>
          <w:sz w:val="24"/>
          <w:szCs w:val="24"/>
        </w:rPr>
        <w:br/>
      </w:r>
      <w:r w:rsidRPr="00D85BD6">
        <w:rPr>
          <w:rFonts w:ascii="Arial" w:hAnsi="Arial" w:cs="Arial"/>
          <w:b/>
          <w:bCs/>
          <w:sz w:val="24"/>
          <w:szCs w:val="24"/>
        </w:rPr>
        <w:t>section 36 (1) (p)</w:t>
      </w:r>
    </w:p>
    <w:p w14:paraId="21A6D73C" w14:textId="4F830087" w:rsidR="00494175" w:rsidRDefault="004B061C" w:rsidP="004B061C">
      <w:pPr>
        <w:rPr>
          <w:rFonts w:ascii="Arial" w:hAnsi="Arial" w:cs="Arial"/>
          <w:sz w:val="24"/>
          <w:szCs w:val="24"/>
        </w:rPr>
      </w:pPr>
      <w:r w:rsidRPr="008B7AFA">
        <w:rPr>
          <w:rFonts w:ascii="Arial" w:hAnsi="Arial" w:cs="Arial"/>
          <w:sz w:val="24"/>
          <w:szCs w:val="24"/>
        </w:rPr>
        <w:t xml:space="preserve">This clause </w:t>
      </w:r>
      <w:r w:rsidR="00E9482B">
        <w:rPr>
          <w:rFonts w:ascii="Arial" w:hAnsi="Arial" w:cs="Arial"/>
          <w:sz w:val="24"/>
          <w:szCs w:val="24"/>
        </w:rPr>
        <w:t xml:space="preserve">omits section 36 (1) (p) from the </w:t>
      </w:r>
      <w:r w:rsidR="00E9482B">
        <w:rPr>
          <w:rFonts w:ascii="Arial" w:hAnsi="Arial" w:cs="Arial"/>
          <w:i/>
          <w:iCs/>
          <w:sz w:val="24"/>
          <w:szCs w:val="24"/>
        </w:rPr>
        <w:t xml:space="preserve">Residential Tenancies Act 1997 </w:t>
      </w:r>
      <w:r w:rsidR="00E9482B">
        <w:rPr>
          <w:rFonts w:ascii="Arial" w:hAnsi="Arial" w:cs="Arial"/>
          <w:sz w:val="24"/>
          <w:szCs w:val="24"/>
        </w:rPr>
        <w:t xml:space="preserve">(RTA). </w:t>
      </w:r>
    </w:p>
    <w:p w14:paraId="41D4F80F" w14:textId="46D1448C" w:rsidR="004B061C" w:rsidRDefault="00297F9C" w:rsidP="004B061C">
      <w:pPr>
        <w:rPr>
          <w:rFonts w:ascii="Arial" w:hAnsi="Arial" w:cs="Arial"/>
          <w:sz w:val="24"/>
          <w:szCs w:val="24"/>
        </w:rPr>
      </w:pPr>
      <w:r>
        <w:rPr>
          <w:rFonts w:ascii="Arial" w:hAnsi="Arial" w:cs="Arial"/>
          <w:sz w:val="24"/>
          <w:szCs w:val="24"/>
        </w:rPr>
        <w:t xml:space="preserve">Section 36 sets out the circumstances in which a residential tenancy agreement can be ended. </w:t>
      </w:r>
      <w:r w:rsidR="00E9482B">
        <w:rPr>
          <w:rFonts w:ascii="Arial" w:hAnsi="Arial" w:cs="Arial"/>
          <w:sz w:val="24"/>
          <w:szCs w:val="24"/>
        </w:rPr>
        <w:t xml:space="preserve">This </w:t>
      </w:r>
      <w:r w:rsidR="00494175">
        <w:rPr>
          <w:rFonts w:ascii="Arial" w:hAnsi="Arial" w:cs="Arial"/>
          <w:sz w:val="24"/>
          <w:szCs w:val="24"/>
        </w:rPr>
        <w:t>provision has been omitted as it is no longer necessary to list the posting termination clauses as a separate way to end a tenancy agreement</w:t>
      </w:r>
      <w:r w:rsidR="00E9482B">
        <w:rPr>
          <w:rFonts w:ascii="Arial" w:hAnsi="Arial" w:cs="Arial"/>
          <w:sz w:val="24"/>
          <w:szCs w:val="24"/>
        </w:rPr>
        <w:t xml:space="preserve"> because </w:t>
      </w:r>
      <w:r w:rsidR="00494175">
        <w:rPr>
          <w:rFonts w:ascii="Arial" w:hAnsi="Arial" w:cs="Arial"/>
          <w:sz w:val="24"/>
          <w:szCs w:val="24"/>
        </w:rPr>
        <w:t>the posting termination clauses at Schedule 2, 2.1 are standard residential tenancy terms. This means that terminating an agreement under the posting termination clause is covered under either:</w:t>
      </w:r>
    </w:p>
    <w:p w14:paraId="530CC8ED" w14:textId="4593FA57" w:rsidR="00494175" w:rsidRDefault="00494175" w:rsidP="00263821">
      <w:pPr>
        <w:pStyle w:val="ListParagraph"/>
        <w:numPr>
          <w:ilvl w:val="0"/>
          <w:numId w:val="23"/>
        </w:numPr>
        <w:spacing w:after="200" w:line="276" w:lineRule="auto"/>
        <w:ind w:left="714" w:hanging="357"/>
        <w:rPr>
          <w:rFonts w:ascii="Arial" w:hAnsi="Arial" w:cs="Arial"/>
          <w:sz w:val="24"/>
          <w:szCs w:val="24"/>
        </w:rPr>
      </w:pPr>
      <w:r>
        <w:rPr>
          <w:rFonts w:ascii="Arial" w:hAnsi="Arial" w:cs="Arial"/>
          <w:sz w:val="24"/>
          <w:szCs w:val="24"/>
        </w:rPr>
        <w:t>Section 36 (1) (b) – where a party serves a termination notice in accordance with the standard residential tenancy terms and the tenant vacates the premises in accordance with the notice; or</w:t>
      </w:r>
    </w:p>
    <w:p w14:paraId="42571CC7" w14:textId="396B0F4D" w:rsidR="00494175" w:rsidRPr="00263821" w:rsidRDefault="00494175" w:rsidP="00263821">
      <w:pPr>
        <w:pStyle w:val="ListParagraph"/>
        <w:numPr>
          <w:ilvl w:val="0"/>
          <w:numId w:val="23"/>
        </w:numPr>
        <w:spacing w:after="200" w:line="276" w:lineRule="auto"/>
        <w:ind w:left="714" w:hanging="357"/>
        <w:rPr>
          <w:rFonts w:ascii="Arial" w:hAnsi="Arial" w:cs="Arial"/>
          <w:sz w:val="24"/>
          <w:szCs w:val="24"/>
        </w:rPr>
      </w:pPr>
      <w:r>
        <w:rPr>
          <w:rFonts w:ascii="Arial" w:hAnsi="Arial" w:cs="Arial"/>
          <w:sz w:val="24"/>
          <w:szCs w:val="24"/>
        </w:rPr>
        <w:t xml:space="preserve">Section 36 (1) (e) - where the ACAT makes a termination and possession order in relation to the premises that are the subject of the tenancy agreement under division 4.4 (specifically, section 47 of the RTA). </w:t>
      </w:r>
    </w:p>
    <w:p w14:paraId="4555EB49" w14:textId="7A6F0838" w:rsidR="00494175" w:rsidRDefault="00494175" w:rsidP="00494175">
      <w:pPr>
        <w:rPr>
          <w:rFonts w:ascii="Arial" w:hAnsi="Arial" w:cs="Arial"/>
          <w:sz w:val="24"/>
          <w:szCs w:val="24"/>
        </w:rPr>
      </w:pPr>
      <w:r>
        <w:rPr>
          <w:rFonts w:ascii="Arial" w:hAnsi="Arial" w:cs="Arial"/>
          <w:sz w:val="24"/>
          <w:szCs w:val="24"/>
        </w:rPr>
        <w:t xml:space="preserve">The history to the posting termination clause is that it was inserted into </w:t>
      </w:r>
      <w:r w:rsidR="00297F9C">
        <w:rPr>
          <w:rFonts w:ascii="Arial" w:hAnsi="Arial" w:cs="Arial"/>
          <w:sz w:val="24"/>
          <w:szCs w:val="24"/>
        </w:rPr>
        <w:t xml:space="preserve">section 8 of </w:t>
      </w:r>
      <w:r>
        <w:rPr>
          <w:rFonts w:ascii="Arial" w:hAnsi="Arial" w:cs="Arial"/>
          <w:sz w:val="24"/>
          <w:szCs w:val="24"/>
        </w:rPr>
        <w:t xml:space="preserve">the RTA in 2005 via the </w:t>
      </w:r>
      <w:r>
        <w:rPr>
          <w:rFonts w:ascii="Arial" w:hAnsi="Arial" w:cs="Arial"/>
          <w:i/>
          <w:iCs/>
          <w:sz w:val="24"/>
          <w:szCs w:val="24"/>
        </w:rPr>
        <w:t>Residential Tenancies Amendment Act 2005.</w:t>
      </w:r>
      <w:r w:rsidR="00297F9C">
        <w:rPr>
          <w:rFonts w:ascii="Arial" w:hAnsi="Arial" w:cs="Arial"/>
          <w:sz w:val="24"/>
          <w:szCs w:val="24"/>
        </w:rPr>
        <w:t xml:space="preserve"> At the time, it was referred to as the “fair clause for posted people.” In 2016 it was recognised that termination via the “fair clause for posted people” was not a listed ground under section 36 and so termination via the fair clause for posted people was inserted into section 36 as a separately recognised ground for ending a tenancy agreement via the </w:t>
      </w:r>
      <w:r w:rsidR="00297F9C">
        <w:rPr>
          <w:rFonts w:ascii="Arial" w:hAnsi="Arial" w:cs="Arial"/>
          <w:i/>
          <w:iCs/>
          <w:sz w:val="24"/>
          <w:szCs w:val="24"/>
        </w:rPr>
        <w:t>Residential Tenancies Amendment Act 2016.</w:t>
      </w:r>
    </w:p>
    <w:p w14:paraId="2AA792C6" w14:textId="3879481A" w:rsidR="00297F9C" w:rsidRDefault="00297F9C" w:rsidP="00494175">
      <w:pPr>
        <w:rPr>
          <w:rFonts w:ascii="Arial" w:hAnsi="Arial" w:cs="Arial"/>
          <w:sz w:val="24"/>
          <w:szCs w:val="24"/>
        </w:rPr>
      </w:pPr>
      <w:r>
        <w:rPr>
          <w:rFonts w:ascii="Arial" w:hAnsi="Arial" w:cs="Arial"/>
          <w:sz w:val="24"/>
          <w:szCs w:val="24"/>
        </w:rPr>
        <w:t xml:space="preserve">In 2023 the </w:t>
      </w:r>
      <w:r>
        <w:rPr>
          <w:rFonts w:ascii="Arial" w:hAnsi="Arial" w:cs="Arial"/>
          <w:i/>
          <w:iCs/>
          <w:sz w:val="24"/>
          <w:szCs w:val="24"/>
        </w:rPr>
        <w:t>Residential Tenancies Legislation Amendment Act 2023</w:t>
      </w:r>
      <w:r>
        <w:rPr>
          <w:rFonts w:ascii="Arial" w:hAnsi="Arial" w:cs="Arial"/>
          <w:sz w:val="24"/>
          <w:szCs w:val="24"/>
        </w:rPr>
        <w:t xml:space="preserve"> (</w:t>
      </w:r>
      <w:r w:rsidRPr="00DD5279">
        <w:rPr>
          <w:rFonts w:ascii="Arial" w:hAnsi="Arial" w:cs="Arial"/>
          <w:b/>
          <w:bCs/>
          <w:sz w:val="24"/>
          <w:szCs w:val="24"/>
        </w:rPr>
        <w:t>the 2023 Amendment Act</w:t>
      </w:r>
      <w:r>
        <w:rPr>
          <w:rFonts w:ascii="Arial" w:hAnsi="Arial" w:cs="Arial"/>
          <w:sz w:val="24"/>
          <w:szCs w:val="24"/>
        </w:rPr>
        <w:t xml:space="preserve">) moved the fair clause for posted people into schedule 2, 2.1 and renamed the provision the ‘posting termination clause.’ The 2023 Amendment Act also amended the definition of </w:t>
      </w:r>
      <w:r>
        <w:rPr>
          <w:rFonts w:ascii="Arial" w:hAnsi="Arial" w:cs="Arial"/>
          <w:i/>
          <w:iCs/>
          <w:sz w:val="24"/>
          <w:szCs w:val="24"/>
        </w:rPr>
        <w:t>standard residential tenancy term</w:t>
      </w:r>
      <w:r>
        <w:t xml:space="preserve"> </w:t>
      </w:r>
      <w:r w:rsidRPr="00DD5279">
        <w:rPr>
          <w:rFonts w:ascii="Arial" w:hAnsi="Arial" w:cs="Arial"/>
          <w:sz w:val="24"/>
          <w:szCs w:val="24"/>
        </w:rPr>
        <w:t xml:space="preserve">so that it includes </w:t>
      </w:r>
      <w:r w:rsidR="00E35804" w:rsidRPr="00DD5279">
        <w:rPr>
          <w:rFonts w:ascii="Arial" w:hAnsi="Arial" w:cs="Arial"/>
          <w:sz w:val="24"/>
          <w:szCs w:val="24"/>
        </w:rPr>
        <w:t xml:space="preserve">the posting termination clause. </w:t>
      </w:r>
    </w:p>
    <w:p w14:paraId="231C9283" w14:textId="539D9060" w:rsidR="00E35804" w:rsidRPr="00DD5279" w:rsidRDefault="00E35804" w:rsidP="00494175">
      <w:pPr>
        <w:rPr>
          <w:rFonts w:ascii="Arial" w:hAnsi="Arial" w:cs="Arial"/>
          <w:sz w:val="24"/>
          <w:szCs w:val="24"/>
        </w:rPr>
      </w:pPr>
      <w:r>
        <w:rPr>
          <w:rFonts w:ascii="Arial" w:hAnsi="Arial" w:cs="Arial"/>
          <w:sz w:val="24"/>
          <w:szCs w:val="24"/>
        </w:rPr>
        <w:t xml:space="preserve">As the posting termination clause is captured in the definition of standard residential tenancy term, it is no longer necessary to separately list it as a ground for termination under section 36 of the RTA. </w:t>
      </w:r>
    </w:p>
    <w:p w14:paraId="223D2B99" w14:textId="37C9AF3C" w:rsidR="004B061C" w:rsidRPr="00B762E0" w:rsidRDefault="004B061C" w:rsidP="004B061C">
      <w:pPr>
        <w:ind w:left="1440" w:hanging="1440"/>
        <w:rPr>
          <w:rFonts w:ascii="Arial" w:hAnsi="Arial" w:cs="Arial"/>
          <w:b/>
          <w:bCs/>
          <w:i/>
          <w:iCs/>
          <w:sz w:val="24"/>
          <w:szCs w:val="24"/>
        </w:rPr>
      </w:pPr>
      <w:r w:rsidRPr="00B762E0">
        <w:rPr>
          <w:rFonts w:ascii="Arial" w:hAnsi="Arial" w:cs="Arial"/>
          <w:b/>
          <w:bCs/>
          <w:sz w:val="24"/>
          <w:szCs w:val="24"/>
        </w:rPr>
        <w:t xml:space="preserve">Clause </w:t>
      </w:r>
      <w:r w:rsidR="00E35804">
        <w:rPr>
          <w:rFonts w:ascii="Arial" w:hAnsi="Arial" w:cs="Arial"/>
          <w:b/>
          <w:bCs/>
          <w:sz w:val="24"/>
          <w:szCs w:val="24"/>
        </w:rPr>
        <w:t>25</w:t>
      </w:r>
      <w:r w:rsidRPr="00B762E0">
        <w:rPr>
          <w:rFonts w:ascii="Arial" w:hAnsi="Arial" w:cs="Arial"/>
          <w:b/>
          <w:bCs/>
          <w:sz w:val="24"/>
          <w:szCs w:val="24"/>
        </w:rPr>
        <w:tab/>
      </w:r>
      <w:r w:rsidRPr="00B762E0">
        <w:rPr>
          <w:rFonts w:ascii="Arial" w:hAnsi="Arial" w:cs="Arial"/>
          <w:b/>
          <w:bCs/>
          <w:sz w:val="24"/>
          <w:szCs w:val="24"/>
        </w:rPr>
        <w:tab/>
        <w:t>Section 36 (2)</w:t>
      </w:r>
    </w:p>
    <w:p w14:paraId="42D3214B" w14:textId="5B36D34A" w:rsidR="00D3475C" w:rsidRPr="00B762E0" w:rsidRDefault="00D3475C" w:rsidP="00B762E0">
      <w:pPr>
        <w:rPr>
          <w:rFonts w:ascii="Arial" w:hAnsi="Arial" w:cs="Arial"/>
          <w:sz w:val="24"/>
          <w:szCs w:val="24"/>
        </w:rPr>
      </w:pPr>
      <w:r w:rsidRPr="00D3475C">
        <w:rPr>
          <w:rFonts w:ascii="Arial" w:hAnsi="Arial" w:cs="Arial"/>
          <w:sz w:val="24"/>
          <w:szCs w:val="24"/>
        </w:rPr>
        <w:t xml:space="preserve">This amendment is consequential to the amendments in clause </w:t>
      </w:r>
      <w:r w:rsidR="00E35804" w:rsidRPr="00D3475C">
        <w:rPr>
          <w:rFonts w:ascii="Arial" w:hAnsi="Arial" w:cs="Arial"/>
          <w:sz w:val="24"/>
          <w:szCs w:val="24"/>
        </w:rPr>
        <w:t>2</w:t>
      </w:r>
      <w:r w:rsidR="00E35804">
        <w:rPr>
          <w:rFonts w:ascii="Arial" w:hAnsi="Arial" w:cs="Arial"/>
          <w:sz w:val="24"/>
          <w:szCs w:val="24"/>
        </w:rPr>
        <w:t>4</w:t>
      </w:r>
      <w:r>
        <w:rPr>
          <w:rFonts w:ascii="Arial" w:hAnsi="Arial" w:cs="Arial"/>
          <w:sz w:val="24"/>
          <w:szCs w:val="24"/>
        </w:rPr>
        <w:t>.</w:t>
      </w:r>
      <w:r w:rsidR="00E35804">
        <w:rPr>
          <w:rFonts w:ascii="Arial" w:hAnsi="Arial" w:cs="Arial"/>
          <w:sz w:val="24"/>
          <w:szCs w:val="24"/>
        </w:rPr>
        <w:t xml:space="preserve"> As clause 24 omits the posting termination clause as a separate ground under which a tenancy can end under section 36 (because it is already captured under other provisions in section 36) it is no longer necessary to include a definition of posting termination clause within section 36 of the RTA. </w:t>
      </w:r>
    </w:p>
    <w:p w14:paraId="4C2511B3" w14:textId="4988F206" w:rsidR="004B061C" w:rsidRDefault="004B061C" w:rsidP="005610B4">
      <w:pPr>
        <w:keepNext/>
        <w:keepLines/>
        <w:ind w:left="2160" w:hanging="2160"/>
        <w:rPr>
          <w:rFonts w:ascii="Arial" w:hAnsi="Arial" w:cs="Arial"/>
          <w:b/>
          <w:bCs/>
          <w:sz w:val="24"/>
          <w:szCs w:val="24"/>
        </w:rPr>
      </w:pPr>
      <w:r>
        <w:rPr>
          <w:rFonts w:ascii="Arial" w:hAnsi="Arial" w:cs="Arial"/>
          <w:b/>
          <w:bCs/>
          <w:sz w:val="24"/>
          <w:szCs w:val="24"/>
        </w:rPr>
        <w:lastRenderedPageBreak/>
        <w:t xml:space="preserve">Clause </w:t>
      </w:r>
      <w:r w:rsidR="00E35804">
        <w:rPr>
          <w:rFonts w:ascii="Arial" w:hAnsi="Arial" w:cs="Arial"/>
          <w:b/>
          <w:bCs/>
          <w:sz w:val="24"/>
          <w:szCs w:val="24"/>
        </w:rPr>
        <w:t xml:space="preserve">26 </w:t>
      </w:r>
      <w:r>
        <w:rPr>
          <w:rFonts w:ascii="Arial" w:hAnsi="Arial" w:cs="Arial"/>
          <w:b/>
          <w:bCs/>
          <w:sz w:val="24"/>
          <w:szCs w:val="24"/>
        </w:rPr>
        <w:tab/>
      </w:r>
      <w:r w:rsidR="00D3475C">
        <w:rPr>
          <w:rFonts w:ascii="Arial" w:hAnsi="Arial" w:cs="Arial"/>
          <w:b/>
          <w:bCs/>
          <w:sz w:val="24"/>
          <w:szCs w:val="24"/>
        </w:rPr>
        <w:t xml:space="preserve">Standard residential tenancy terms </w:t>
      </w:r>
      <w:r w:rsidR="00D3475C">
        <w:rPr>
          <w:rFonts w:ascii="Arial" w:hAnsi="Arial" w:cs="Arial"/>
          <w:b/>
          <w:bCs/>
          <w:sz w:val="24"/>
          <w:szCs w:val="24"/>
        </w:rPr>
        <w:br/>
      </w:r>
      <w:r>
        <w:rPr>
          <w:rFonts w:ascii="Arial" w:hAnsi="Arial" w:cs="Arial"/>
          <w:b/>
          <w:bCs/>
          <w:sz w:val="24"/>
          <w:szCs w:val="24"/>
        </w:rPr>
        <w:t>Schedule 1, clause 21 (1)</w:t>
      </w:r>
    </w:p>
    <w:p w14:paraId="4524CCAE" w14:textId="339CEDCE" w:rsidR="004B061C" w:rsidRDefault="004B061C" w:rsidP="005610B4">
      <w:pPr>
        <w:keepNext/>
        <w:keepLines/>
        <w:rPr>
          <w:rFonts w:ascii="Arial" w:hAnsi="Arial" w:cs="Arial"/>
          <w:sz w:val="24"/>
          <w:szCs w:val="24"/>
        </w:rPr>
      </w:pPr>
      <w:r w:rsidRPr="00404980">
        <w:rPr>
          <w:rFonts w:ascii="Arial" w:hAnsi="Arial" w:cs="Arial"/>
          <w:sz w:val="24"/>
          <w:szCs w:val="24"/>
        </w:rPr>
        <w:t xml:space="preserve">This </w:t>
      </w:r>
      <w:r>
        <w:rPr>
          <w:rFonts w:ascii="Arial" w:hAnsi="Arial" w:cs="Arial"/>
          <w:sz w:val="24"/>
          <w:szCs w:val="24"/>
        </w:rPr>
        <w:t>clause updates</w:t>
      </w:r>
      <w:r w:rsidR="00D3475C">
        <w:rPr>
          <w:rFonts w:ascii="Arial" w:hAnsi="Arial" w:cs="Arial"/>
          <w:sz w:val="24"/>
          <w:szCs w:val="24"/>
        </w:rPr>
        <w:t xml:space="preserve"> the rules around</w:t>
      </w:r>
      <w:r>
        <w:rPr>
          <w:rFonts w:ascii="Arial" w:hAnsi="Arial" w:cs="Arial"/>
          <w:sz w:val="24"/>
          <w:szCs w:val="24"/>
        </w:rPr>
        <w:t xml:space="preserve"> condition report</w:t>
      </w:r>
      <w:r w:rsidR="00D3475C">
        <w:rPr>
          <w:rFonts w:ascii="Arial" w:hAnsi="Arial" w:cs="Arial"/>
          <w:sz w:val="24"/>
          <w:szCs w:val="24"/>
        </w:rPr>
        <w:t>s</w:t>
      </w:r>
      <w:r>
        <w:rPr>
          <w:rFonts w:ascii="Arial" w:hAnsi="Arial" w:cs="Arial"/>
          <w:i/>
          <w:iCs/>
          <w:sz w:val="24"/>
          <w:szCs w:val="24"/>
        </w:rPr>
        <w:t xml:space="preserve"> </w:t>
      </w:r>
      <w:r>
        <w:rPr>
          <w:rFonts w:ascii="Arial" w:hAnsi="Arial" w:cs="Arial"/>
          <w:sz w:val="24"/>
          <w:szCs w:val="24"/>
        </w:rPr>
        <w:t>to enable lessors to provide tenants with electronic copies of condition reports</w:t>
      </w:r>
      <w:r w:rsidR="00CE1888">
        <w:rPr>
          <w:rFonts w:ascii="Arial" w:hAnsi="Arial" w:cs="Arial"/>
          <w:sz w:val="24"/>
          <w:szCs w:val="24"/>
        </w:rPr>
        <w:t xml:space="preserve"> in certain circumstances</w:t>
      </w:r>
      <w:r>
        <w:rPr>
          <w:rFonts w:ascii="Arial" w:hAnsi="Arial" w:cs="Arial"/>
          <w:sz w:val="24"/>
          <w:szCs w:val="24"/>
        </w:rPr>
        <w:t>.</w:t>
      </w:r>
    </w:p>
    <w:p w14:paraId="2D069A17" w14:textId="50877B02" w:rsidR="00310C5B" w:rsidRDefault="00310C5B" w:rsidP="004B061C">
      <w:pPr>
        <w:rPr>
          <w:rFonts w:ascii="Arial" w:hAnsi="Arial" w:cs="Arial"/>
          <w:sz w:val="24"/>
          <w:szCs w:val="24"/>
        </w:rPr>
      </w:pPr>
      <w:r>
        <w:rPr>
          <w:rFonts w:ascii="Arial" w:hAnsi="Arial" w:cs="Arial"/>
          <w:sz w:val="24"/>
          <w:szCs w:val="24"/>
        </w:rPr>
        <w:t>Currently, clause 21 of Schedule 1</w:t>
      </w:r>
      <w:r w:rsidRPr="00310C5B">
        <w:t xml:space="preserve"> </w:t>
      </w:r>
      <w:r w:rsidRPr="00310C5B">
        <w:rPr>
          <w:rFonts w:ascii="Arial" w:hAnsi="Arial" w:cs="Arial"/>
          <w:sz w:val="24"/>
          <w:szCs w:val="24"/>
        </w:rPr>
        <w:t>states that within 1 day of the tenant taking possession of the premises, the lessor must give 2 copies of a condition report completed by the lessor to the tenant.</w:t>
      </w:r>
      <w:r>
        <w:rPr>
          <w:rFonts w:ascii="Arial" w:hAnsi="Arial" w:cs="Arial"/>
          <w:sz w:val="24"/>
          <w:szCs w:val="24"/>
        </w:rPr>
        <w:t xml:space="preserve"> </w:t>
      </w:r>
    </w:p>
    <w:p w14:paraId="1BAE8A47" w14:textId="0BACFBAF" w:rsidR="00310C5B" w:rsidRDefault="00310C5B" w:rsidP="004B061C">
      <w:pPr>
        <w:rPr>
          <w:rFonts w:ascii="Arial" w:hAnsi="Arial" w:cs="Arial"/>
          <w:sz w:val="24"/>
          <w:szCs w:val="24"/>
        </w:rPr>
      </w:pPr>
      <w:r>
        <w:rPr>
          <w:rFonts w:ascii="Arial" w:hAnsi="Arial" w:cs="Arial"/>
          <w:sz w:val="24"/>
          <w:szCs w:val="24"/>
        </w:rPr>
        <w:t xml:space="preserve">This amendment </w:t>
      </w:r>
      <w:r w:rsidR="00D3475C">
        <w:rPr>
          <w:rFonts w:ascii="Arial" w:hAnsi="Arial" w:cs="Arial"/>
          <w:sz w:val="24"/>
          <w:szCs w:val="24"/>
        </w:rPr>
        <w:t>confirms that 2 paper copies</w:t>
      </w:r>
      <w:r w:rsidR="00CE1888">
        <w:rPr>
          <w:rFonts w:ascii="Arial" w:hAnsi="Arial" w:cs="Arial"/>
          <w:sz w:val="24"/>
          <w:szCs w:val="24"/>
        </w:rPr>
        <w:t>,</w:t>
      </w:r>
      <w:r w:rsidR="00D3475C">
        <w:rPr>
          <w:rFonts w:ascii="Arial" w:hAnsi="Arial" w:cs="Arial"/>
          <w:sz w:val="24"/>
          <w:szCs w:val="24"/>
        </w:rPr>
        <w:t xml:space="preserve"> or</w:t>
      </w:r>
      <w:r w:rsidR="00CE1888">
        <w:rPr>
          <w:rFonts w:ascii="Arial" w:hAnsi="Arial" w:cs="Arial"/>
          <w:sz w:val="24"/>
          <w:szCs w:val="24"/>
        </w:rPr>
        <w:t>,</w:t>
      </w:r>
      <w:r w:rsidR="00D3475C">
        <w:rPr>
          <w:rFonts w:ascii="Arial" w:hAnsi="Arial" w:cs="Arial"/>
          <w:sz w:val="24"/>
          <w:szCs w:val="24"/>
        </w:rPr>
        <w:t xml:space="preserve"> </w:t>
      </w:r>
      <w:r w:rsidR="000C250A">
        <w:rPr>
          <w:rFonts w:ascii="Arial" w:hAnsi="Arial" w:cs="Arial"/>
          <w:sz w:val="24"/>
          <w:szCs w:val="24"/>
        </w:rPr>
        <w:t>if the tenant agrees</w:t>
      </w:r>
      <w:r w:rsidR="00CE1888">
        <w:rPr>
          <w:rFonts w:ascii="Arial" w:hAnsi="Arial" w:cs="Arial"/>
          <w:sz w:val="24"/>
          <w:szCs w:val="24"/>
        </w:rPr>
        <w:t>,</w:t>
      </w:r>
      <w:r w:rsidR="000C250A">
        <w:rPr>
          <w:rFonts w:ascii="Arial" w:hAnsi="Arial" w:cs="Arial"/>
          <w:sz w:val="24"/>
          <w:szCs w:val="24"/>
        </w:rPr>
        <w:t xml:space="preserve"> </w:t>
      </w:r>
      <w:r w:rsidR="00D3475C">
        <w:rPr>
          <w:rFonts w:ascii="Arial" w:hAnsi="Arial" w:cs="Arial"/>
          <w:sz w:val="24"/>
          <w:szCs w:val="24"/>
        </w:rPr>
        <w:t xml:space="preserve">one electronic copy must be provided, in a form that can be electronically edited by the tenant. </w:t>
      </w:r>
    </w:p>
    <w:p w14:paraId="2EB6545F" w14:textId="7C557D7E" w:rsidR="00310C5B" w:rsidRDefault="00310C5B" w:rsidP="004B061C">
      <w:pPr>
        <w:rPr>
          <w:rFonts w:ascii="Arial" w:hAnsi="Arial" w:cs="Arial"/>
          <w:sz w:val="24"/>
          <w:szCs w:val="24"/>
        </w:rPr>
      </w:pPr>
      <w:r>
        <w:rPr>
          <w:rFonts w:ascii="Arial" w:hAnsi="Arial" w:cs="Arial"/>
          <w:sz w:val="24"/>
          <w:szCs w:val="24"/>
        </w:rPr>
        <w:t xml:space="preserve">This amendment will </w:t>
      </w:r>
      <w:r w:rsidRPr="00310C5B">
        <w:rPr>
          <w:rFonts w:ascii="Arial" w:hAnsi="Arial" w:cs="Arial"/>
          <w:sz w:val="24"/>
          <w:szCs w:val="24"/>
        </w:rPr>
        <w:t>lessen administrative burden</w:t>
      </w:r>
      <w:r w:rsidR="000C250A">
        <w:rPr>
          <w:rFonts w:ascii="Arial" w:hAnsi="Arial" w:cs="Arial"/>
          <w:sz w:val="24"/>
          <w:szCs w:val="24"/>
        </w:rPr>
        <w:t xml:space="preserve"> for </w:t>
      </w:r>
      <w:r w:rsidR="00CE1888">
        <w:rPr>
          <w:rFonts w:ascii="Arial" w:hAnsi="Arial" w:cs="Arial"/>
          <w:sz w:val="24"/>
          <w:szCs w:val="24"/>
        </w:rPr>
        <w:t xml:space="preserve">lessors and tenants who </w:t>
      </w:r>
      <w:r w:rsidR="000C250A">
        <w:rPr>
          <w:rFonts w:ascii="Arial" w:hAnsi="Arial" w:cs="Arial"/>
          <w:sz w:val="24"/>
          <w:szCs w:val="24"/>
        </w:rPr>
        <w:t xml:space="preserve">prefer to communicate </w:t>
      </w:r>
      <w:r w:rsidR="00CE1888">
        <w:rPr>
          <w:rFonts w:ascii="Arial" w:hAnsi="Arial" w:cs="Arial"/>
          <w:sz w:val="24"/>
          <w:szCs w:val="24"/>
        </w:rPr>
        <w:t>electronically by allowing them to issue and received condition reports electronically</w:t>
      </w:r>
      <w:r w:rsidR="000C250A">
        <w:rPr>
          <w:rFonts w:ascii="Arial" w:hAnsi="Arial" w:cs="Arial"/>
          <w:sz w:val="24"/>
          <w:szCs w:val="24"/>
        </w:rPr>
        <w:t>.</w:t>
      </w:r>
    </w:p>
    <w:p w14:paraId="6B57BA95" w14:textId="25B99A5C" w:rsidR="000C250A" w:rsidRDefault="000C250A" w:rsidP="000C250A">
      <w:pPr>
        <w:ind w:left="1440" w:hanging="1440"/>
        <w:rPr>
          <w:rFonts w:ascii="Arial" w:hAnsi="Arial" w:cs="Arial"/>
          <w:b/>
          <w:bCs/>
          <w:sz w:val="24"/>
          <w:szCs w:val="24"/>
        </w:rPr>
      </w:pPr>
      <w:r>
        <w:rPr>
          <w:rFonts w:ascii="Arial" w:hAnsi="Arial" w:cs="Arial"/>
          <w:b/>
          <w:bCs/>
          <w:sz w:val="24"/>
          <w:szCs w:val="24"/>
        </w:rPr>
        <w:t xml:space="preserve">Clause </w:t>
      </w:r>
      <w:r w:rsidR="00E35804">
        <w:rPr>
          <w:rFonts w:ascii="Arial" w:hAnsi="Arial" w:cs="Arial"/>
          <w:b/>
          <w:bCs/>
          <w:sz w:val="24"/>
          <w:szCs w:val="24"/>
        </w:rPr>
        <w:t xml:space="preserve">27 </w:t>
      </w:r>
      <w:r>
        <w:rPr>
          <w:rFonts w:ascii="Arial" w:hAnsi="Arial" w:cs="Arial"/>
          <w:b/>
          <w:bCs/>
          <w:sz w:val="24"/>
          <w:szCs w:val="24"/>
        </w:rPr>
        <w:tab/>
      </w:r>
      <w:r>
        <w:rPr>
          <w:rFonts w:ascii="Arial" w:hAnsi="Arial" w:cs="Arial"/>
          <w:b/>
          <w:bCs/>
          <w:sz w:val="24"/>
          <w:szCs w:val="24"/>
        </w:rPr>
        <w:tab/>
        <w:t>Schedule 1, clause 38 (2)</w:t>
      </w:r>
    </w:p>
    <w:p w14:paraId="1ED231DD" w14:textId="65F8A36C" w:rsidR="000C250A" w:rsidRDefault="000C250A" w:rsidP="004B061C">
      <w:pPr>
        <w:rPr>
          <w:rFonts w:ascii="Arial" w:hAnsi="Arial" w:cs="Arial"/>
          <w:sz w:val="24"/>
          <w:szCs w:val="24"/>
        </w:rPr>
      </w:pPr>
      <w:r w:rsidRPr="00C57A11">
        <w:rPr>
          <w:rFonts w:ascii="Arial" w:hAnsi="Arial" w:cs="Arial"/>
          <w:sz w:val="24"/>
          <w:szCs w:val="24"/>
        </w:rPr>
        <w:t xml:space="preserve">This is a minor and technical amendment to substitute the </w:t>
      </w:r>
      <w:r w:rsidR="00CE1888">
        <w:rPr>
          <w:rFonts w:ascii="Arial" w:hAnsi="Arial" w:cs="Arial"/>
          <w:sz w:val="24"/>
          <w:szCs w:val="24"/>
        </w:rPr>
        <w:t>defined term</w:t>
      </w:r>
      <w:r w:rsidR="00CE1888" w:rsidRPr="00C57A11">
        <w:rPr>
          <w:rFonts w:ascii="Arial" w:hAnsi="Arial" w:cs="Arial"/>
          <w:sz w:val="24"/>
          <w:szCs w:val="24"/>
        </w:rPr>
        <w:t xml:space="preserve"> </w:t>
      </w:r>
      <w:r w:rsidRPr="00C57A11">
        <w:rPr>
          <w:rFonts w:ascii="Arial" w:hAnsi="Arial" w:cs="Arial"/>
          <w:sz w:val="24"/>
          <w:szCs w:val="24"/>
        </w:rPr>
        <w:t>“tribunal” instead of “ACAT”</w:t>
      </w:r>
      <w:r>
        <w:rPr>
          <w:rFonts w:ascii="Arial" w:hAnsi="Arial" w:cs="Arial"/>
          <w:sz w:val="24"/>
          <w:szCs w:val="24"/>
        </w:rPr>
        <w:t xml:space="preserve"> </w:t>
      </w:r>
      <w:r w:rsidR="00CE1888">
        <w:rPr>
          <w:rFonts w:ascii="Arial" w:hAnsi="Arial" w:cs="Arial"/>
          <w:sz w:val="24"/>
          <w:szCs w:val="24"/>
        </w:rPr>
        <w:t xml:space="preserve">to create greater </w:t>
      </w:r>
      <w:r>
        <w:rPr>
          <w:rFonts w:ascii="Arial" w:hAnsi="Arial" w:cs="Arial"/>
          <w:sz w:val="24"/>
          <w:szCs w:val="24"/>
        </w:rPr>
        <w:t xml:space="preserve">consistency throughout the Act. </w:t>
      </w:r>
      <w:r w:rsidR="00CE1888">
        <w:rPr>
          <w:rFonts w:ascii="Arial" w:hAnsi="Arial" w:cs="Arial"/>
          <w:sz w:val="24"/>
          <w:szCs w:val="24"/>
        </w:rPr>
        <w:t>There is no substantive</w:t>
      </w:r>
      <w:r>
        <w:rPr>
          <w:rFonts w:ascii="Arial" w:hAnsi="Arial" w:cs="Arial"/>
          <w:sz w:val="24"/>
          <w:szCs w:val="24"/>
        </w:rPr>
        <w:t xml:space="preserve"> change </w:t>
      </w:r>
      <w:r w:rsidR="00CE1888">
        <w:rPr>
          <w:rFonts w:ascii="Arial" w:hAnsi="Arial" w:cs="Arial"/>
          <w:sz w:val="24"/>
          <w:szCs w:val="24"/>
        </w:rPr>
        <w:t>to the operation of the provision</w:t>
      </w:r>
      <w:r>
        <w:rPr>
          <w:rFonts w:ascii="Arial" w:hAnsi="Arial" w:cs="Arial"/>
          <w:sz w:val="24"/>
          <w:szCs w:val="24"/>
        </w:rPr>
        <w:t>.</w:t>
      </w:r>
    </w:p>
    <w:p w14:paraId="46B5B281" w14:textId="5C638E84" w:rsidR="000C250A" w:rsidRDefault="000C250A" w:rsidP="000C250A">
      <w:pPr>
        <w:ind w:left="1440" w:hanging="1440"/>
        <w:rPr>
          <w:rFonts w:ascii="Arial" w:hAnsi="Arial" w:cs="Arial"/>
          <w:b/>
          <w:bCs/>
          <w:sz w:val="24"/>
          <w:szCs w:val="24"/>
        </w:rPr>
      </w:pPr>
      <w:r>
        <w:rPr>
          <w:rFonts w:ascii="Arial" w:hAnsi="Arial" w:cs="Arial"/>
          <w:b/>
          <w:bCs/>
          <w:sz w:val="24"/>
          <w:szCs w:val="24"/>
        </w:rPr>
        <w:t xml:space="preserve">Clause </w:t>
      </w:r>
      <w:r w:rsidR="00E35804">
        <w:rPr>
          <w:rFonts w:ascii="Arial" w:hAnsi="Arial" w:cs="Arial"/>
          <w:b/>
          <w:bCs/>
          <w:sz w:val="24"/>
          <w:szCs w:val="24"/>
        </w:rPr>
        <w:t xml:space="preserve">28 </w:t>
      </w:r>
      <w:r>
        <w:rPr>
          <w:rFonts w:ascii="Arial" w:hAnsi="Arial" w:cs="Arial"/>
          <w:b/>
          <w:bCs/>
          <w:sz w:val="24"/>
          <w:szCs w:val="24"/>
        </w:rPr>
        <w:tab/>
      </w:r>
      <w:r>
        <w:rPr>
          <w:rFonts w:ascii="Arial" w:hAnsi="Arial" w:cs="Arial"/>
          <w:b/>
          <w:bCs/>
          <w:sz w:val="24"/>
          <w:szCs w:val="24"/>
        </w:rPr>
        <w:tab/>
        <w:t>Schedule 1, clause 70 (a), note</w:t>
      </w:r>
    </w:p>
    <w:p w14:paraId="223B971D" w14:textId="77777777" w:rsidR="00CE1888" w:rsidRDefault="00CE1888" w:rsidP="00CE1888">
      <w:pPr>
        <w:rPr>
          <w:rFonts w:ascii="Arial" w:hAnsi="Arial" w:cs="Arial"/>
          <w:sz w:val="24"/>
          <w:szCs w:val="24"/>
        </w:rPr>
      </w:pPr>
      <w:r w:rsidRPr="00C57A11">
        <w:rPr>
          <w:rFonts w:ascii="Arial" w:hAnsi="Arial" w:cs="Arial"/>
          <w:sz w:val="24"/>
          <w:szCs w:val="24"/>
        </w:rPr>
        <w:t xml:space="preserve">This is a minor and technical amendment to substitute the </w:t>
      </w:r>
      <w:r>
        <w:rPr>
          <w:rFonts w:ascii="Arial" w:hAnsi="Arial" w:cs="Arial"/>
          <w:sz w:val="24"/>
          <w:szCs w:val="24"/>
        </w:rPr>
        <w:t>defined term</w:t>
      </w:r>
      <w:r w:rsidRPr="00C57A11">
        <w:rPr>
          <w:rFonts w:ascii="Arial" w:hAnsi="Arial" w:cs="Arial"/>
          <w:sz w:val="24"/>
          <w:szCs w:val="24"/>
        </w:rPr>
        <w:t xml:space="preserve"> “tribunal” instead of “ACAT”</w:t>
      </w:r>
      <w:r>
        <w:rPr>
          <w:rFonts w:ascii="Arial" w:hAnsi="Arial" w:cs="Arial"/>
          <w:sz w:val="24"/>
          <w:szCs w:val="24"/>
        </w:rPr>
        <w:t xml:space="preserve"> to create greater consistency throughout the Act. There is no substantive change to the operation of the provision.</w:t>
      </w:r>
    </w:p>
    <w:p w14:paraId="44216EDB" w14:textId="725F48A6" w:rsidR="000C250A" w:rsidRDefault="000C250A" w:rsidP="000C250A">
      <w:pPr>
        <w:ind w:left="1440" w:hanging="1440"/>
        <w:rPr>
          <w:rFonts w:ascii="Arial" w:hAnsi="Arial" w:cs="Arial"/>
          <w:b/>
          <w:bCs/>
          <w:sz w:val="24"/>
          <w:szCs w:val="24"/>
        </w:rPr>
      </w:pPr>
      <w:r>
        <w:rPr>
          <w:rFonts w:ascii="Arial" w:hAnsi="Arial" w:cs="Arial"/>
          <w:b/>
          <w:bCs/>
          <w:sz w:val="24"/>
          <w:szCs w:val="24"/>
        </w:rPr>
        <w:t xml:space="preserve">Clause </w:t>
      </w:r>
      <w:r w:rsidR="00E35804">
        <w:rPr>
          <w:rFonts w:ascii="Arial" w:hAnsi="Arial" w:cs="Arial"/>
          <w:b/>
          <w:bCs/>
          <w:sz w:val="24"/>
          <w:szCs w:val="24"/>
        </w:rPr>
        <w:t xml:space="preserve">29 </w:t>
      </w:r>
      <w:r>
        <w:rPr>
          <w:rFonts w:ascii="Arial" w:hAnsi="Arial" w:cs="Arial"/>
          <w:b/>
          <w:bCs/>
          <w:sz w:val="24"/>
          <w:szCs w:val="24"/>
        </w:rPr>
        <w:tab/>
      </w:r>
      <w:r>
        <w:rPr>
          <w:rFonts w:ascii="Arial" w:hAnsi="Arial" w:cs="Arial"/>
          <w:b/>
          <w:bCs/>
          <w:sz w:val="24"/>
          <w:szCs w:val="24"/>
        </w:rPr>
        <w:tab/>
        <w:t>Schedule 1, clause 85 (3)</w:t>
      </w:r>
    </w:p>
    <w:p w14:paraId="51A69F39" w14:textId="49B0433E" w:rsidR="000C250A" w:rsidRDefault="000C250A" w:rsidP="000C250A">
      <w:pPr>
        <w:rPr>
          <w:rFonts w:ascii="Arial" w:hAnsi="Arial" w:cs="Arial"/>
          <w:sz w:val="24"/>
          <w:szCs w:val="24"/>
        </w:rPr>
      </w:pPr>
      <w:r w:rsidRPr="00417E2B">
        <w:rPr>
          <w:rFonts w:ascii="Arial" w:hAnsi="Arial" w:cs="Arial"/>
          <w:sz w:val="24"/>
          <w:szCs w:val="24"/>
        </w:rPr>
        <w:t xml:space="preserve">This is a minor and technical </w:t>
      </w:r>
      <w:r w:rsidR="00CE1888">
        <w:rPr>
          <w:rFonts w:ascii="Arial" w:hAnsi="Arial" w:cs="Arial"/>
          <w:sz w:val="24"/>
          <w:szCs w:val="24"/>
        </w:rPr>
        <w:t xml:space="preserve">amendment </w:t>
      </w:r>
      <w:r w:rsidRPr="000C250A">
        <w:rPr>
          <w:rFonts w:ascii="Arial" w:hAnsi="Arial" w:cs="Arial"/>
          <w:sz w:val="24"/>
          <w:szCs w:val="24"/>
        </w:rPr>
        <w:t xml:space="preserve">to bring the wording </w:t>
      </w:r>
      <w:r w:rsidR="00CE1888">
        <w:rPr>
          <w:rFonts w:ascii="Arial" w:hAnsi="Arial" w:cs="Arial"/>
          <w:sz w:val="24"/>
          <w:szCs w:val="24"/>
        </w:rPr>
        <w:t xml:space="preserve">and layout </w:t>
      </w:r>
      <w:r w:rsidRPr="000C250A">
        <w:rPr>
          <w:rFonts w:ascii="Arial" w:hAnsi="Arial" w:cs="Arial"/>
          <w:sz w:val="24"/>
          <w:szCs w:val="24"/>
        </w:rPr>
        <w:t xml:space="preserve">of this clause into line with similar provisions in the Act. </w:t>
      </w:r>
      <w:r w:rsidR="00CE1888">
        <w:rPr>
          <w:rFonts w:ascii="Arial" w:hAnsi="Arial" w:cs="Arial"/>
          <w:sz w:val="24"/>
          <w:szCs w:val="24"/>
        </w:rPr>
        <w:t>There is no substantive change to the operation of the provision.</w:t>
      </w:r>
    </w:p>
    <w:p w14:paraId="2E211827" w14:textId="4C72FB52" w:rsidR="000C250A" w:rsidRDefault="000C250A" w:rsidP="000C250A">
      <w:pPr>
        <w:rPr>
          <w:rFonts w:ascii="Arial" w:hAnsi="Arial" w:cs="Arial"/>
          <w:b/>
          <w:bCs/>
          <w:sz w:val="24"/>
          <w:szCs w:val="24"/>
        </w:rPr>
      </w:pPr>
      <w:r>
        <w:rPr>
          <w:rFonts w:ascii="Arial" w:hAnsi="Arial" w:cs="Arial"/>
          <w:b/>
          <w:bCs/>
          <w:sz w:val="24"/>
          <w:szCs w:val="24"/>
        </w:rPr>
        <w:t xml:space="preserve">Clause </w:t>
      </w:r>
      <w:r w:rsidR="00E35804">
        <w:rPr>
          <w:rFonts w:ascii="Arial" w:hAnsi="Arial" w:cs="Arial"/>
          <w:b/>
          <w:bCs/>
          <w:sz w:val="24"/>
          <w:szCs w:val="24"/>
        </w:rPr>
        <w:t>30</w:t>
      </w:r>
      <w:r>
        <w:rPr>
          <w:rFonts w:ascii="Arial" w:hAnsi="Arial" w:cs="Arial"/>
          <w:b/>
          <w:bCs/>
          <w:sz w:val="24"/>
          <w:szCs w:val="24"/>
        </w:rPr>
        <w:tab/>
      </w:r>
      <w:r>
        <w:rPr>
          <w:rFonts w:ascii="Arial" w:hAnsi="Arial" w:cs="Arial"/>
          <w:b/>
          <w:bCs/>
          <w:sz w:val="24"/>
          <w:szCs w:val="24"/>
        </w:rPr>
        <w:tab/>
      </w:r>
      <w:r w:rsidRPr="00C57A11">
        <w:rPr>
          <w:rFonts w:ascii="Arial" w:hAnsi="Arial" w:cs="Arial"/>
          <w:b/>
          <w:bCs/>
          <w:sz w:val="24"/>
          <w:szCs w:val="24"/>
        </w:rPr>
        <w:t>Schedule 1, clause 86 (2), note</w:t>
      </w:r>
    </w:p>
    <w:p w14:paraId="1BF4ED74" w14:textId="77777777" w:rsidR="006302A8" w:rsidRDefault="006302A8" w:rsidP="006302A8">
      <w:pPr>
        <w:rPr>
          <w:rFonts w:ascii="Arial" w:hAnsi="Arial" w:cs="Arial"/>
          <w:sz w:val="24"/>
          <w:szCs w:val="24"/>
        </w:rPr>
      </w:pPr>
      <w:r w:rsidRPr="00C57A11">
        <w:rPr>
          <w:rFonts w:ascii="Arial" w:hAnsi="Arial" w:cs="Arial"/>
          <w:sz w:val="24"/>
          <w:szCs w:val="24"/>
        </w:rPr>
        <w:t xml:space="preserve">This is a minor and technical amendment to substitute the </w:t>
      </w:r>
      <w:r>
        <w:rPr>
          <w:rFonts w:ascii="Arial" w:hAnsi="Arial" w:cs="Arial"/>
          <w:sz w:val="24"/>
          <w:szCs w:val="24"/>
        </w:rPr>
        <w:t>defined term</w:t>
      </w:r>
      <w:r w:rsidRPr="00C57A11">
        <w:rPr>
          <w:rFonts w:ascii="Arial" w:hAnsi="Arial" w:cs="Arial"/>
          <w:sz w:val="24"/>
          <w:szCs w:val="24"/>
        </w:rPr>
        <w:t xml:space="preserve"> “tribunal” instead of “ACAT”</w:t>
      </w:r>
      <w:r>
        <w:rPr>
          <w:rFonts w:ascii="Arial" w:hAnsi="Arial" w:cs="Arial"/>
          <w:sz w:val="24"/>
          <w:szCs w:val="24"/>
        </w:rPr>
        <w:t xml:space="preserve"> to create greater consistency throughout the Act. There is no substantive change to the operation of the provision.</w:t>
      </w:r>
    </w:p>
    <w:p w14:paraId="1D82B636" w14:textId="16607912" w:rsidR="00E35804" w:rsidRDefault="00E35804" w:rsidP="000C250A">
      <w:pPr>
        <w:rPr>
          <w:rFonts w:ascii="Arial" w:hAnsi="Arial" w:cs="Arial"/>
          <w:b/>
          <w:bCs/>
          <w:sz w:val="24"/>
          <w:szCs w:val="24"/>
        </w:rPr>
      </w:pPr>
      <w:r>
        <w:rPr>
          <w:rFonts w:ascii="Arial" w:hAnsi="Arial" w:cs="Arial"/>
          <w:b/>
          <w:bCs/>
          <w:sz w:val="24"/>
          <w:szCs w:val="24"/>
        </w:rPr>
        <w:t>Clause 31</w:t>
      </w:r>
      <w:r>
        <w:rPr>
          <w:rFonts w:ascii="Arial" w:hAnsi="Arial" w:cs="Arial"/>
          <w:b/>
          <w:bCs/>
          <w:sz w:val="24"/>
          <w:szCs w:val="24"/>
        </w:rPr>
        <w:tab/>
      </w:r>
      <w:r>
        <w:rPr>
          <w:rFonts w:ascii="Arial" w:hAnsi="Arial" w:cs="Arial"/>
          <w:b/>
          <w:bCs/>
          <w:sz w:val="24"/>
          <w:szCs w:val="24"/>
        </w:rPr>
        <w:tab/>
        <w:t xml:space="preserve">Schedule 1, clause 89A (5) </w:t>
      </w:r>
    </w:p>
    <w:p w14:paraId="1926D761" w14:textId="77777777" w:rsidR="006922F1" w:rsidRDefault="00E35804" w:rsidP="000C250A">
      <w:pPr>
        <w:rPr>
          <w:rFonts w:ascii="Arial" w:hAnsi="Arial" w:cs="Arial"/>
          <w:sz w:val="24"/>
          <w:szCs w:val="24"/>
        </w:rPr>
      </w:pPr>
      <w:r w:rsidRPr="00DD5279">
        <w:rPr>
          <w:rFonts w:ascii="Arial" w:hAnsi="Arial" w:cs="Arial"/>
          <w:sz w:val="24"/>
          <w:szCs w:val="24"/>
        </w:rPr>
        <w:t>This cl</w:t>
      </w:r>
      <w:r>
        <w:rPr>
          <w:rFonts w:ascii="Arial" w:hAnsi="Arial" w:cs="Arial"/>
          <w:sz w:val="24"/>
          <w:szCs w:val="24"/>
        </w:rPr>
        <w:t xml:space="preserve">ause is consequential to the changes made in clause </w:t>
      </w:r>
      <w:r w:rsidR="006922F1">
        <w:rPr>
          <w:rFonts w:ascii="Arial" w:hAnsi="Arial" w:cs="Arial"/>
          <w:sz w:val="24"/>
          <w:szCs w:val="24"/>
        </w:rPr>
        <w:t xml:space="preserve">35 which amend the posting termination clause to create two separate posting termination clauses – one for use by the lessor and one for use by the tenant. Under the changes made by clause 35 where the tenant ends the tenancy under the posting termination clauses the lessor will not be able to charge them a break lease fee for doing so. </w:t>
      </w:r>
    </w:p>
    <w:p w14:paraId="1C396E98" w14:textId="33E62C9C" w:rsidR="00E35804" w:rsidRDefault="006922F1" w:rsidP="000C250A">
      <w:pPr>
        <w:rPr>
          <w:rFonts w:ascii="Arial" w:hAnsi="Arial" w:cs="Arial"/>
          <w:sz w:val="24"/>
          <w:szCs w:val="24"/>
        </w:rPr>
      </w:pPr>
      <w:r>
        <w:rPr>
          <w:rFonts w:ascii="Arial" w:hAnsi="Arial" w:cs="Arial"/>
          <w:sz w:val="24"/>
          <w:szCs w:val="24"/>
        </w:rPr>
        <w:lastRenderedPageBreak/>
        <w:t xml:space="preserve">This clause amends the break lease fee provision in the standard residential tenancy terms to clarify that where a tenant ends a fixed term tenancy under the posting termination clauses, the lessor will not be able to charge them a break lease fee. </w:t>
      </w:r>
    </w:p>
    <w:p w14:paraId="649B7CEF" w14:textId="4C7A2D27" w:rsidR="006922F1" w:rsidRPr="00DD5279" w:rsidRDefault="006922F1" w:rsidP="000C250A">
      <w:pPr>
        <w:rPr>
          <w:rFonts w:ascii="Arial" w:hAnsi="Arial" w:cs="Arial"/>
          <w:sz w:val="24"/>
          <w:szCs w:val="24"/>
        </w:rPr>
      </w:pPr>
      <w:r>
        <w:rPr>
          <w:rFonts w:ascii="Arial" w:hAnsi="Arial" w:cs="Arial"/>
          <w:sz w:val="24"/>
          <w:szCs w:val="24"/>
        </w:rPr>
        <w:t xml:space="preserve">This is considered appropriate from a policy perspective as, by choosing to include the break lease fee clause in the tenancy agreement, both the lessor and tenant agree that the tenancy can be terminated during the course of the fixed term. In that context, it is unreasonable to allow the lessor to charge a break lease fee when they have already agreed that the tenant can end the tenancy during the fixed term by agreeing to include the break lease fee clauses in the tenancy agreement. </w:t>
      </w:r>
    </w:p>
    <w:p w14:paraId="1ADE830E" w14:textId="3CFFDC23" w:rsidR="006922F1" w:rsidRPr="00DD5279" w:rsidRDefault="006922F1" w:rsidP="00263821">
      <w:pPr>
        <w:keepNext/>
        <w:rPr>
          <w:rFonts w:ascii="Arial" w:hAnsi="Arial" w:cs="Arial"/>
          <w:b/>
          <w:bCs/>
          <w:i/>
          <w:iCs/>
          <w:sz w:val="24"/>
          <w:szCs w:val="24"/>
        </w:rPr>
      </w:pPr>
      <w:r>
        <w:rPr>
          <w:rFonts w:ascii="Arial" w:hAnsi="Arial" w:cs="Arial"/>
          <w:b/>
          <w:bCs/>
          <w:sz w:val="24"/>
          <w:szCs w:val="24"/>
        </w:rPr>
        <w:t>Clause 32</w:t>
      </w:r>
      <w:r w:rsidR="009676A2">
        <w:rPr>
          <w:rFonts w:ascii="Arial" w:hAnsi="Arial" w:cs="Arial"/>
          <w:b/>
          <w:bCs/>
          <w:sz w:val="24"/>
          <w:szCs w:val="24"/>
        </w:rPr>
        <w:t xml:space="preserve"> </w:t>
      </w:r>
      <w:r w:rsidR="009676A2">
        <w:rPr>
          <w:rFonts w:ascii="Arial" w:hAnsi="Arial" w:cs="Arial"/>
          <w:b/>
          <w:bCs/>
          <w:sz w:val="24"/>
          <w:szCs w:val="24"/>
        </w:rPr>
        <w:tab/>
      </w:r>
      <w:r w:rsidR="009676A2">
        <w:rPr>
          <w:rFonts w:ascii="Arial" w:hAnsi="Arial" w:cs="Arial"/>
          <w:b/>
          <w:bCs/>
          <w:sz w:val="24"/>
          <w:szCs w:val="24"/>
        </w:rPr>
        <w:tab/>
        <w:t xml:space="preserve">Schedule 1, clause 89A (6), new definition of </w:t>
      </w:r>
      <w:r w:rsidR="009676A2">
        <w:rPr>
          <w:rFonts w:ascii="Arial" w:hAnsi="Arial" w:cs="Arial"/>
          <w:b/>
          <w:bCs/>
          <w:i/>
          <w:iCs/>
          <w:sz w:val="24"/>
          <w:szCs w:val="24"/>
        </w:rPr>
        <w:t>posting termination clause</w:t>
      </w:r>
    </w:p>
    <w:p w14:paraId="6C587304" w14:textId="18C91775" w:rsidR="006922F1" w:rsidRDefault="006922F1" w:rsidP="00263821">
      <w:pPr>
        <w:keepNext/>
        <w:rPr>
          <w:rFonts w:ascii="Arial" w:hAnsi="Arial" w:cs="Arial"/>
          <w:sz w:val="24"/>
          <w:szCs w:val="24"/>
        </w:rPr>
      </w:pPr>
      <w:r w:rsidRPr="00DD5279">
        <w:rPr>
          <w:rFonts w:ascii="Arial" w:hAnsi="Arial" w:cs="Arial"/>
          <w:sz w:val="24"/>
          <w:szCs w:val="24"/>
        </w:rPr>
        <w:t xml:space="preserve">This </w:t>
      </w:r>
      <w:r>
        <w:rPr>
          <w:rFonts w:ascii="Arial" w:hAnsi="Arial" w:cs="Arial"/>
          <w:sz w:val="24"/>
          <w:szCs w:val="24"/>
        </w:rPr>
        <w:t xml:space="preserve">clause is consequential to the changes in clauses 31 and 35. Clause 35 amends the posting termination clause and clause 31 indicates that the lessor is not able to charge a break lease fee where the tenancy is ended under the posting termination clauses. </w:t>
      </w:r>
    </w:p>
    <w:p w14:paraId="1D8698F3" w14:textId="554F5C71" w:rsidR="006922F1" w:rsidRPr="00DD5279" w:rsidRDefault="006922F1" w:rsidP="000C250A">
      <w:pPr>
        <w:rPr>
          <w:rFonts w:ascii="Arial" w:hAnsi="Arial" w:cs="Arial"/>
          <w:sz w:val="24"/>
          <w:szCs w:val="24"/>
        </w:rPr>
      </w:pPr>
      <w:r>
        <w:rPr>
          <w:rFonts w:ascii="Arial" w:hAnsi="Arial" w:cs="Arial"/>
          <w:sz w:val="24"/>
          <w:szCs w:val="24"/>
        </w:rPr>
        <w:t xml:space="preserve">This clause inserts the definition of posting termination clause into clause 89A (which sets out when the break lease fee clause may be used). </w:t>
      </w:r>
    </w:p>
    <w:p w14:paraId="5FA9EBDF" w14:textId="72204BBB" w:rsidR="000C250A" w:rsidRDefault="000C250A" w:rsidP="000C250A">
      <w:pPr>
        <w:rPr>
          <w:rFonts w:ascii="Arial" w:hAnsi="Arial" w:cs="Arial"/>
          <w:b/>
          <w:bCs/>
          <w:sz w:val="24"/>
          <w:szCs w:val="24"/>
        </w:rPr>
      </w:pPr>
      <w:r w:rsidRPr="00C57A11">
        <w:rPr>
          <w:rFonts w:ascii="Arial" w:hAnsi="Arial" w:cs="Arial"/>
          <w:b/>
          <w:bCs/>
          <w:sz w:val="24"/>
          <w:szCs w:val="24"/>
        </w:rPr>
        <w:t xml:space="preserve">Clause </w:t>
      </w:r>
      <w:r w:rsidR="00E35804">
        <w:rPr>
          <w:rFonts w:ascii="Arial" w:hAnsi="Arial" w:cs="Arial"/>
          <w:b/>
          <w:bCs/>
          <w:sz w:val="24"/>
          <w:szCs w:val="24"/>
        </w:rPr>
        <w:t>3</w:t>
      </w:r>
      <w:r w:rsidR="006922F1">
        <w:rPr>
          <w:rFonts w:ascii="Arial" w:hAnsi="Arial" w:cs="Arial"/>
          <w:b/>
          <w:bCs/>
          <w:sz w:val="24"/>
          <w:szCs w:val="24"/>
        </w:rPr>
        <w:t>3</w:t>
      </w:r>
      <w:r w:rsidR="00E35804" w:rsidRPr="00C57A11">
        <w:rPr>
          <w:rFonts w:ascii="Arial" w:hAnsi="Arial" w:cs="Arial"/>
          <w:b/>
          <w:bCs/>
          <w:sz w:val="24"/>
          <w:szCs w:val="24"/>
        </w:rPr>
        <w:t xml:space="preserve"> </w:t>
      </w:r>
      <w:r w:rsidRPr="00C57A11">
        <w:rPr>
          <w:rFonts w:ascii="Arial" w:hAnsi="Arial" w:cs="Arial"/>
          <w:b/>
          <w:bCs/>
          <w:sz w:val="24"/>
          <w:szCs w:val="24"/>
        </w:rPr>
        <w:tab/>
      </w:r>
      <w:r w:rsidRPr="00C57A11">
        <w:rPr>
          <w:rFonts w:ascii="Arial" w:hAnsi="Arial" w:cs="Arial"/>
          <w:b/>
          <w:bCs/>
          <w:sz w:val="24"/>
          <w:szCs w:val="24"/>
        </w:rPr>
        <w:tab/>
        <w:t>Schedule 1, clause 96 (2)</w:t>
      </w:r>
    </w:p>
    <w:p w14:paraId="5EF1172A" w14:textId="7C46F84B" w:rsidR="000C250A" w:rsidRDefault="000C250A" w:rsidP="000C250A">
      <w:pPr>
        <w:rPr>
          <w:rFonts w:ascii="Arial" w:hAnsi="Arial" w:cs="Arial"/>
          <w:sz w:val="24"/>
          <w:szCs w:val="24"/>
        </w:rPr>
      </w:pPr>
      <w:r w:rsidRPr="00417E2B">
        <w:rPr>
          <w:rFonts w:ascii="Arial" w:hAnsi="Arial" w:cs="Arial"/>
          <w:sz w:val="24"/>
          <w:szCs w:val="24"/>
        </w:rPr>
        <w:t xml:space="preserve">This is a minor and technical amendment </w:t>
      </w:r>
      <w:r w:rsidRPr="000C250A">
        <w:rPr>
          <w:rFonts w:ascii="Arial" w:hAnsi="Arial" w:cs="Arial"/>
          <w:sz w:val="24"/>
          <w:szCs w:val="24"/>
        </w:rPr>
        <w:t xml:space="preserve">to bring the wording of this clause into line with similar provisions in the Act. </w:t>
      </w:r>
      <w:r w:rsidR="006302A8">
        <w:rPr>
          <w:rFonts w:ascii="Arial" w:hAnsi="Arial" w:cs="Arial"/>
          <w:sz w:val="24"/>
          <w:szCs w:val="24"/>
        </w:rPr>
        <w:t>There is no substantive change to the operation of the provision.</w:t>
      </w:r>
    </w:p>
    <w:p w14:paraId="1DC8B732" w14:textId="5C06480F" w:rsidR="000C250A" w:rsidRDefault="000C250A" w:rsidP="000C250A">
      <w:pPr>
        <w:rPr>
          <w:rFonts w:ascii="Arial" w:hAnsi="Arial" w:cs="Arial"/>
          <w:b/>
          <w:bCs/>
          <w:sz w:val="24"/>
          <w:szCs w:val="24"/>
        </w:rPr>
      </w:pPr>
      <w:r w:rsidRPr="00C57A11">
        <w:rPr>
          <w:rFonts w:ascii="Arial" w:hAnsi="Arial" w:cs="Arial"/>
          <w:b/>
          <w:bCs/>
          <w:sz w:val="24"/>
          <w:szCs w:val="24"/>
        </w:rPr>
        <w:t xml:space="preserve">Clause </w:t>
      </w:r>
      <w:r w:rsidR="00E35804">
        <w:rPr>
          <w:rFonts w:ascii="Arial" w:hAnsi="Arial" w:cs="Arial"/>
          <w:b/>
          <w:bCs/>
          <w:sz w:val="24"/>
          <w:szCs w:val="24"/>
        </w:rPr>
        <w:t>3</w:t>
      </w:r>
      <w:r w:rsidR="006922F1">
        <w:rPr>
          <w:rFonts w:ascii="Arial" w:hAnsi="Arial" w:cs="Arial"/>
          <w:b/>
          <w:bCs/>
          <w:sz w:val="24"/>
          <w:szCs w:val="24"/>
        </w:rPr>
        <w:t>4</w:t>
      </w:r>
      <w:r w:rsidRPr="00C57A11">
        <w:rPr>
          <w:rFonts w:ascii="Arial" w:hAnsi="Arial" w:cs="Arial"/>
          <w:b/>
          <w:bCs/>
          <w:sz w:val="24"/>
          <w:szCs w:val="24"/>
        </w:rPr>
        <w:tab/>
      </w:r>
      <w:r>
        <w:rPr>
          <w:rFonts w:ascii="Arial" w:hAnsi="Arial" w:cs="Arial"/>
          <w:sz w:val="24"/>
          <w:szCs w:val="24"/>
        </w:rPr>
        <w:tab/>
      </w:r>
      <w:r w:rsidR="00913043" w:rsidRPr="00C57A11">
        <w:rPr>
          <w:rFonts w:ascii="Arial" w:hAnsi="Arial" w:cs="Arial"/>
          <w:b/>
          <w:bCs/>
          <w:sz w:val="24"/>
          <w:szCs w:val="24"/>
        </w:rPr>
        <w:t>Schedule 1, clause 97 (1)</w:t>
      </w:r>
    </w:p>
    <w:p w14:paraId="0774A3CF" w14:textId="78073C7D" w:rsidR="00913043" w:rsidRPr="000C250A" w:rsidRDefault="00913043" w:rsidP="000C250A">
      <w:pPr>
        <w:rPr>
          <w:rFonts w:ascii="Arial" w:hAnsi="Arial" w:cs="Arial"/>
          <w:sz w:val="24"/>
          <w:szCs w:val="24"/>
        </w:rPr>
      </w:pPr>
      <w:r w:rsidRPr="00417E2B">
        <w:rPr>
          <w:rFonts w:ascii="Arial" w:hAnsi="Arial" w:cs="Arial"/>
          <w:sz w:val="24"/>
          <w:szCs w:val="24"/>
        </w:rPr>
        <w:t xml:space="preserve">This is a minor and technical amendment </w:t>
      </w:r>
      <w:r w:rsidRPr="000C250A">
        <w:rPr>
          <w:rFonts w:ascii="Arial" w:hAnsi="Arial" w:cs="Arial"/>
          <w:sz w:val="24"/>
          <w:szCs w:val="24"/>
        </w:rPr>
        <w:t xml:space="preserve">to bring the wording </w:t>
      </w:r>
      <w:r w:rsidR="006302A8">
        <w:rPr>
          <w:rFonts w:ascii="Arial" w:hAnsi="Arial" w:cs="Arial"/>
          <w:sz w:val="24"/>
          <w:szCs w:val="24"/>
        </w:rPr>
        <w:t xml:space="preserve">and layout </w:t>
      </w:r>
      <w:r w:rsidRPr="000C250A">
        <w:rPr>
          <w:rFonts w:ascii="Arial" w:hAnsi="Arial" w:cs="Arial"/>
          <w:sz w:val="24"/>
          <w:szCs w:val="24"/>
        </w:rPr>
        <w:t xml:space="preserve">of this clause into line with similar provisions in the Act. </w:t>
      </w:r>
      <w:r w:rsidR="006302A8">
        <w:rPr>
          <w:rFonts w:ascii="Arial" w:hAnsi="Arial" w:cs="Arial"/>
          <w:sz w:val="24"/>
          <w:szCs w:val="24"/>
        </w:rPr>
        <w:t>There is no substantive change to the operation of the provision.</w:t>
      </w:r>
    </w:p>
    <w:p w14:paraId="2FCD0215" w14:textId="4E4304CF" w:rsidR="004B061C" w:rsidRDefault="004B061C" w:rsidP="00C57A11">
      <w:pPr>
        <w:ind w:left="2160" w:hanging="2160"/>
        <w:rPr>
          <w:rFonts w:ascii="Arial" w:hAnsi="Arial" w:cs="Arial"/>
          <w:b/>
          <w:bCs/>
          <w:sz w:val="24"/>
          <w:szCs w:val="24"/>
        </w:rPr>
      </w:pPr>
      <w:r w:rsidRPr="00966E47">
        <w:rPr>
          <w:rFonts w:ascii="Arial" w:hAnsi="Arial" w:cs="Arial"/>
          <w:b/>
          <w:bCs/>
          <w:sz w:val="24"/>
          <w:szCs w:val="24"/>
        </w:rPr>
        <w:t xml:space="preserve">Clause </w:t>
      </w:r>
      <w:r w:rsidR="00E35804">
        <w:rPr>
          <w:rFonts w:ascii="Arial" w:hAnsi="Arial" w:cs="Arial"/>
          <w:b/>
          <w:bCs/>
          <w:sz w:val="24"/>
          <w:szCs w:val="24"/>
        </w:rPr>
        <w:t>3</w:t>
      </w:r>
      <w:r w:rsidR="006922F1">
        <w:rPr>
          <w:rFonts w:ascii="Arial" w:hAnsi="Arial" w:cs="Arial"/>
          <w:b/>
          <w:bCs/>
          <w:sz w:val="24"/>
          <w:szCs w:val="24"/>
        </w:rPr>
        <w:t>5</w:t>
      </w:r>
      <w:r w:rsidRPr="00966E47">
        <w:rPr>
          <w:rFonts w:ascii="Arial" w:hAnsi="Arial" w:cs="Arial"/>
          <w:b/>
          <w:bCs/>
          <w:sz w:val="24"/>
          <w:szCs w:val="24"/>
        </w:rPr>
        <w:tab/>
      </w:r>
      <w:r w:rsidR="00913043" w:rsidRPr="00966E47">
        <w:rPr>
          <w:rFonts w:ascii="Arial" w:hAnsi="Arial" w:cs="Arial"/>
          <w:b/>
          <w:bCs/>
          <w:sz w:val="24"/>
          <w:szCs w:val="24"/>
        </w:rPr>
        <w:t>Additional terms for certain residential tenancy agreements</w:t>
      </w:r>
      <w:r w:rsidR="00913043" w:rsidRPr="00966E47">
        <w:rPr>
          <w:rFonts w:ascii="Arial" w:hAnsi="Arial" w:cs="Arial"/>
          <w:b/>
          <w:bCs/>
          <w:sz w:val="24"/>
          <w:szCs w:val="24"/>
        </w:rPr>
        <w:br/>
      </w:r>
      <w:r w:rsidRPr="00966E47">
        <w:rPr>
          <w:rFonts w:ascii="Arial" w:hAnsi="Arial" w:cs="Arial"/>
          <w:b/>
          <w:bCs/>
          <w:sz w:val="24"/>
          <w:szCs w:val="24"/>
        </w:rPr>
        <w:t>Schedule 2, section 2.1</w:t>
      </w:r>
    </w:p>
    <w:p w14:paraId="66D5B56B" w14:textId="2025A80E" w:rsidR="004B061C" w:rsidRDefault="004B061C" w:rsidP="004B061C">
      <w:pPr>
        <w:rPr>
          <w:rFonts w:ascii="Arial" w:hAnsi="Arial" w:cs="Arial"/>
          <w:sz w:val="24"/>
          <w:szCs w:val="24"/>
        </w:rPr>
      </w:pPr>
      <w:r w:rsidRPr="00300FA4">
        <w:rPr>
          <w:rFonts w:ascii="Arial" w:hAnsi="Arial" w:cs="Arial"/>
          <w:sz w:val="24"/>
          <w:szCs w:val="24"/>
        </w:rPr>
        <w:t xml:space="preserve">This </w:t>
      </w:r>
      <w:r>
        <w:rPr>
          <w:rFonts w:ascii="Arial" w:hAnsi="Arial" w:cs="Arial"/>
          <w:sz w:val="24"/>
          <w:szCs w:val="24"/>
        </w:rPr>
        <w:t>clause</w:t>
      </w:r>
      <w:r w:rsidRPr="00300FA4">
        <w:rPr>
          <w:rFonts w:ascii="Arial" w:hAnsi="Arial" w:cs="Arial"/>
          <w:sz w:val="24"/>
          <w:szCs w:val="24"/>
        </w:rPr>
        <w:t xml:space="preserve"> updates </w:t>
      </w:r>
      <w:r>
        <w:rPr>
          <w:rFonts w:ascii="Arial" w:hAnsi="Arial" w:cs="Arial"/>
          <w:sz w:val="24"/>
          <w:szCs w:val="24"/>
        </w:rPr>
        <w:t xml:space="preserve">the posting </w:t>
      </w:r>
      <w:r w:rsidR="0008262C">
        <w:rPr>
          <w:rFonts w:ascii="Arial" w:hAnsi="Arial" w:cs="Arial"/>
          <w:sz w:val="24"/>
          <w:szCs w:val="24"/>
        </w:rPr>
        <w:t xml:space="preserve">termination </w:t>
      </w:r>
      <w:r>
        <w:rPr>
          <w:rFonts w:ascii="Arial" w:hAnsi="Arial" w:cs="Arial"/>
          <w:sz w:val="24"/>
          <w:szCs w:val="24"/>
        </w:rPr>
        <w:t xml:space="preserve">clause under Schedule 2, Clause 2.1. </w:t>
      </w:r>
      <w:r w:rsidR="006302A8">
        <w:rPr>
          <w:rFonts w:ascii="Arial" w:hAnsi="Arial" w:cs="Arial"/>
          <w:sz w:val="24"/>
          <w:szCs w:val="24"/>
        </w:rPr>
        <w:t>It</w:t>
      </w:r>
      <w:r>
        <w:rPr>
          <w:rFonts w:ascii="Arial" w:hAnsi="Arial" w:cs="Arial"/>
          <w:sz w:val="24"/>
          <w:szCs w:val="24"/>
        </w:rPr>
        <w:t xml:space="preserve"> replaces </w:t>
      </w:r>
      <w:r w:rsidR="00966E47">
        <w:rPr>
          <w:rFonts w:ascii="Arial" w:hAnsi="Arial" w:cs="Arial"/>
          <w:sz w:val="24"/>
          <w:szCs w:val="24"/>
        </w:rPr>
        <w:t xml:space="preserve">the </w:t>
      </w:r>
      <w:r>
        <w:rPr>
          <w:rFonts w:ascii="Arial" w:hAnsi="Arial" w:cs="Arial"/>
          <w:sz w:val="24"/>
          <w:szCs w:val="24"/>
        </w:rPr>
        <w:t xml:space="preserve">current posting termination clause </w:t>
      </w:r>
      <w:r w:rsidR="006302A8">
        <w:rPr>
          <w:rFonts w:ascii="Arial" w:hAnsi="Arial" w:cs="Arial"/>
          <w:sz w:val="24"/>
          <w:szCs w:val="24"/>
        </w:rPr>
        <w:t>with two separate clauses: one for use by the lessor and one for use by the tenant</w:t>
      </w:r>
      <w:r>
        <w:rPr>
          <w:rFonts w:ascii="Arial" w:hAnsi="Arial" w:cs="Arial"/>
          <w:sz w:val="24"/>
          <w:szCs w:val="24"/>
        </w:rPr>
        <w:t xml:space="preserve">. </w:t>
      </w:r>
    </w:p>
    <w:p w14:paraId="239C430A" w14:textId="7D0DB4E1" w:rsidR="00310C5B" w:rsidRDefault="00966E47" w:rsidP="004B061C">
      <w:pPr>
        <w:rPr>
          <w:rFonts w:ascii="Arial" w:hAnsi="Arial" w:cs="Arial"/>
          <w:sz w:val="24"/>
          <w:szCs w:val="24"/>
        </w:rPr>
      </w:pPr>
      <w:r>
        <w:rPr>
          <w:rFonts w:ascii="Arial" w:hAnsi="Arial" w:cs="Arial"/>
          <w:sz w:val="24"/>
          <w:szCs w:val="24"/>
        </w:rPr>
        <w:t>The changes</w:t>
      </w:r>
      <w:r w:rsidR="006302A8">
        <w:rPr>
          <w:rFonts w:ascii="Arial" w:hAnsi="Arial" w:cs="Arial"/>
          <w:sz w:val="24"/>
          <w:szCs w:val="24"/>
        </w:rPr>
        <w:t xml:space="preserve"> to the posting termination clause are intended to</w:t>
      </w:r>
      <w:r>
        <w:rPr>
          <w:rFonts w:ascii="Arial" w:hAnsi="Arial" w:cs="Arial"/>
          <w:sz w:val="24"/>
          <w:szCs w:val="24"/>
        </w:rPr>
        <w:t>:</w:t>
      </w:r>
    </w:p>
    <w:p w14:paraId="6064436F" w14:textId="79D75D87" w:rsidR="00966E47" w:rsidRPr="00263821" w:rsidRDefault="00966E47" w:rsidP="00263821">
      <w:pPr>
        <w:pStyle w:val="ListParagraph"/>
        <w:numPr>
          <w:ilvl w:val="0"/>
          <w:numId w:val="22"/>
        </w:numPr>
        <w:spacing w:after="200" w:line="276" w:lineRule="auto"/>
        <w:rPr>
          <w:rFonts w:ascii="Arial" w:hAnsi="Arial" w:cs="Arial"/>
          <w:sz w:val="24"/>
          <w:szCs w:val="24"/>
        </w:rPr>
      </w:pPr>
      <w:r>
        <w:rPr>
          <w:rFonts w:ascii="Arial" w:hAnsi="Arial" w:cs="Arial"/>
          <w:sz w:val="24"/>
          <w:szCs w:val="24"/>
        </w:rPr>
        <w:t xml:space="preserve">enable tenants and </w:t>
      </w:r>
      <w:r w:rsidR="006302A8">
        <w:rPr>
          <w:rFonts w:ascii="Arial" w:hAnsi="Arial" w:cs="Arial"/>
          <w:sz w:val="24"/>
          <w:szCs w:val="24"/>
        </w:rPr>
        <w:t xml:space="preserve">lessors </w:t>
      </w:r>
      <w:r>
        <w:rPr>
          <w:rFonts w:ascii="Arial" w:hAnsi="Arial" w:cs="Arial"/>
          <w:sz w:val="24"/>
          <w:szCs w:val="24"/>
        </w:rPr>
        <w:t xml:space="preserve">to rely on the posting </w:t>
      </w:r>
      <w:r w:rsidR="0008262C">
        <w:rPr>
          <w:rFonts w:ascii="Arial" w:hAnsi="Arial" w:cs="Arial"/>
          <w:sz w:val="24"/>
          <w:szCs w:val="24"/>
        </w:rPr>
        <w:t xml:space="preserve">termination </w:t>
      </w:r>
      <w:r>
        <w:rPr>
          <w:rFonts w:ascii="Arial" w:hAnsi="Arial" w:cs="Arial"/>
          <w:sz w:val="24"/>
          <w:szCs w:val="24"/>
        </w:rPr>
        <w:t>clauses where their domestic partner (who is not a party to the tenancy agreement) is posted to or from Canberra in the course of their employment</w:t>
      </w:r>
    </w:p>
    <w:p w14:paraId="51779B5D" w14:textId="7CA86B07" w:rsidR="00966E47" w:rsidRPr="00263821" w:rsidRDefault="00966E47" w:rsidP="00263821">
      <w:pPr>
        <w:pStyle w:val="ListParagraph"/>
        <w:numPr>
          <w:ilvl w:val="0"/>
          <w:numId w:val="22"/>
        </w:numPr>
        <w:spacing w:after="200" w:line="276" w:lineRule="auto"/>
        <w:rPr>
          <w:rFonts w:ascii="Arial" w:hAnsi="Arial" w:cs="Arial"/>
          <w:sz w:val="24"/>
          <w:szCs w:val="24"/>
        </w:rPr>
      </w:pPr>
      <w:r>
        <w:rPr>
          <w:rFonts w:ascii="Arial" w:hAnsi="Arial" w:cs="Arial"/>
          <w:sz w:val="24"/>
          <w:szCs w:val="24"/>
        </w:rPr>
        <w:t xml:space="preserve">allow tenants who receive a notice to vacate under the posting </w:t>
      </w:r>
      <w:r w:rsidR="0008262C">
        <w:rPr>
          <w:rFonts w:ascii="Arial" w:hAnsi="Arial" w:cs="Arial"/>
          <w:sz w:val="24"/>
          <w:szCs w:val="24"/>
        </w:rPr>
        <w:t xml:space="preserve">termination </w:t>
      </w:r>
      <w:r>
        <w:rPr>
          <w:rFonts w:ascii="Arial" w:hAnsi="Arial" w:cs="Arial"/>
          <w:sz w:val="24"/>
          <w:szCs w:val="24"/>
        </w:rPr>
        <w:t xml:space="preserve">clauses to end their tenancy earlier than the </w:t>
      </w:r>
      <w:r w:rsidR="006302A8">
        <w:rPr>
          <w:rFonts w:ascii="Arial" w:hAnsi="Arial" w:cs="Arial"/>
          <w:sz w:val="24"/>
          <w:szCs w:val="24"/>
        </w:rPr>
        <w:t xml:space="preserve">vacate </w:t>
      </w:r>
      <w:r>
        <w:rPr>
          <w:rFonts w:ascii="Arial" w:hAnsi="Arial" w:cs="Arial"/>
          <w:sz w:val="24"/>
          <w:szCs w:val="24"/>
        </w:rPr>
        <w:t xml:space="preserve">date stipulated in the </w:t>
      </w:r>
      <w:r w:rsidR="006302A8">
        <w:rPr>
          <w:rFonts w:ascii="Arial" w:hAnsi="Arial" w:cs="Arial"/>
          <w:sz w:val="24"/>
          <w:szCs w:val="24"/>
        </w:rPr>
        <w:lastRenderedPageBreak/>
        <w:t xml:space="preserve">lessor’s </w:t>
      </w:r>
      <w:r>
        <w:rPr>
          <w:rFonts w:ascii="Arial" w:hAnsi="Arial" w:cs="Arial"/>
          <w:sz w:val="24"/>
          <w:szCs w:val="24"/>
        </w:rPr>
        <w:t xml:space="preserve">notice, without penalty, </w:t>
      </w:r>
      <w:r w:rsidR="006302A8">
        <w:rPr>
          <w:rFonts w:ascii="Arial" w:hAnsi="Arial" w:cs="Arial"/>
          <w:sz w:val="24"/>
          <w:szCs w:val="24"/>
        </w:rPr>
        <w:t xml:space="preserve">by issuing their own notice of intention to vacate to the lessor, </w:t>
      </w:r>
      <w:r>
        <w:rPr>
          <w:rFonts w:ascii="Arial" w:hAnsi="Arial" w:cs="Arial"/>
          <w:sz w:val="24"/>
          <w:szCs w:val="24"/>
        </w:rPr>
        <w:t>and</w:t>
      </w:r>
    </w:p>
    <w:p w14:paraId="3DD999F3" w14:textId="30F8B635" w:rsidR="00B81CC5" w:rsidRPr="00C57A11" w:rsidRDefault="00B81CC5" w:rsidP="00263821">
      <w:pPr>
        <w:pStyle w:val="ListParagraph"/>
        <w:numPr>
          <w:ilvl w:val="0"/>
          <w:numId w:val="22"/>
        </w:numPr>
        <w:spacing w:after="200" w:line="276" w:lineRule="auto"/>
        <w:rPr>
          <w:rFonts w:ascii="Arial" w:hAnsi="Arial" w:cs="Arial"/>
          <w:sz w:val="24"/>
          <w:szCs w:val="24"/>
        </w:rPr>
      </w:pPr>
      <w:r>
        <w:rPr>
          <w:rFonts w:ascii="Arial" w:hAnsi="Arial" w:cs="Arial"/>
          <w:sz w:val="24"/>
          <w:szCs w:val="24"/>
        </w:rPr>
        <w:t xml:space="preserve">ensure that a tenancy does not end automatically on the date stipulated in a </w:t>
      </w:r>
      <w:r w:rsidR="00FE167F">
        <w:rPr>
          <w:rFonts w:ascii="Arial" w:hAnsi="Arial" w:cs="Arial"/>
          <w:sz w:val="24"/>
          <w:szCs w:val="24"/>
        </w:rPr>
        <w:t>lessor</w:t>
      </w:r>
      <w:r>
        <w:rPr>
          <w:rFonts w:ascii="Arial" w:hAnsi="Arial" w:cs="Arial"/>
          <w:sz w:val="24"/>
          <w:szCs w:val="24"/>
        </w:rPr>
        <w:t>’s notice to vacate, if the tenant does not actually move out by that date. This brings the clause into line with other termination provisions in the RTA</w:t>
      </w:r>
      <w:r w:rsidR="006302A8">
        <w:rPr>
          <w:rFonts w:ascii="Arial" w:hAnsi="Arial" w:cs="Arial"/>
          <w:sz w:val="24"/>
          <w:szCs w:val="24"/>
        </w:rPr>
        <w:t xml:space="preserve"> which only allow for the tenancy to end if the tenant moves out in accordance with the notice to vacate issued to them</w:t>
      </w:r>
      <w:r>
        <w:rPr>
          <w:rFonts w:ascii="Arial" w:hAnsi="Arial" w:cs="Arial"/>
          <w:sz w:val="24"/>
          <w:szCs w:val="24"/>
        </w:rPr>
        <w:t>.</w:t>
      </w:r>
    </w:p>
    <w:p w14:paraId="76D5E60A" w14:textId="6759A4E7" w:rsidR="00310C5B" w:rsidRPr="00512851" w:rsidRDefault="007B670A" w:rsidP="00C57A11">
      <w:pPr>
        <w:rPr>
          <w:rFonts w:ascii="Arial" w:hAnsi="Arial" w:cs="Arial"/>
          <w:sz w:val="24"/>
          <w:szCs w:val="24"/>
        </w:rPr>
      </w:pPr>
      <w:r w:rsidRPr="00512851">
        <w:rPr>
          <w:rFonts w:ascii="Arial" w:hAnsi="Arial" w:cs="Arial"/>
          <w:sz w:val="24"/>
          <w:szCs w:val="24"/>
        </w:rPr>
        <w:t xml:space="preserve">Amended </w:t>
      </w:r>
      <w:r w:rsidR="00966E47" w:rsidRPr="00512851">
        <w:rPr>
          <w:rFonts w:ascii="Arial" w:hAnsi="Arial" w:cs="Arial"/>
          <w:sz w:val="24"/>
          <w:szCs w:val="24"/>
        </w:rPr>
        <w:t xml:space="preserve">clause 102 </w:t>
      </w:r>
      <w:r w:rsidR="006302A8" w:rsidRPr="00512851">
        <w:rPr>
          <w:rFonts w:ascii="Arial" w:hAnsi="Arial" w:cs="Arial"/>
          <w:sz w:val="24"/>
          <w:szCs w:val="24"/>
        </w:rPr>
        <w:t>allows a lessor to issue an 8-week notice to vacate to the tenant where they, or their domestic partner is posted to the ACT in the course of their employment. I</w:t>
      </w:r>
      <w:r w:rsidR="00067DA4" w:rsidRPr="00512851">
        <w:rPr>
          <w:rFonts w:ascii="Arial" w:hAnsi="Arial" w:cs="Arial"/>
          <w:sz w:val="24"/>
          <w:szCs w:val="24"/>
        </w:rPr>
        <w:t>t</w:t>
      </w:r>
      <w:r w:rsidR="006302A8" w:rsidRPr="00512851">
        <w:rPr>
          <w:rFonts w:ascii="Arial" w:hAnsi="Arial" w:cs="Arial"/>
          <w:sz w:val="24"/>
          <w:szCs w:val="24"/>
        </w:rPr>
        <w:t xml:space="preserve"> also </w:t>
      </w:r>
      <w:r w:rsidR="00966E47" w:rsidRPr="00512851">
        <w:rPr>
          <w:rFonts w:ascii="Arial" w:hAnsi="Arial" w:cs="Arial"/>
          <w:sz w:val="24"/>
          <w:szCs w:val="24"/>
        </w:rPr>
        <w:t>p</w:t>
      </w:r>
      <w:r w:rsidR="00310C5B" w:rsidRPr="00512851">
        <w:rPr>
          <w:rFonts w:ascii="Arial" w:hAnsi="Arial" w:cs="Arial"/>
          <w:sz w:val="24"/>
          <w:szCs w:val="24"/>
        </w:rPr>
        <w:t xml:space="preserve">rovides that if a tenant receives a notice to vacate under that clause, they may vacate the premises at any time before the date stated in the </w:t>
      </w:r>
      <w:r w:rsidR="00FE167F">
        <w:rPr>
          <w:rFonts w:ascii="Arial" w:hAnsi="Arial" w:cs="Arial"/>
          <w:sz w:val="24"/>
          <w:szCs w:val="24"/>
        </w:rPr>
        <w:t xml:space="preserve">lessor’s </w:t>
      </w:r>
      <w:r w:rsidR="00310C5B" w:rsidRPr="00512851">
        <w:rPr>
          <w:rFonts w:ascii="Arial" w:hAnsi="Arial" w:cs="Arial"/>
          <w:sz w:val="24"/>
          <w:szCs w:val="24"/>
        </w:rPr>
        <w:t>notice to vacate</w:t>
      </w:r>
      <w:r w:rsidR="00FE167F">
        <w:rPr>
          <w:rFonts w:ascii="Arial" w:hAnsi="Arial" w:cs="Arial"/>
          <w:sz w:val="24"/>
          <w:szCs w:val="24"/>
        </w:rPr>
        <w:t>,</w:t>
      </w:r>
      <w:r w:rsidR="00310C5B" w:rsidRPr="00512851">
        <w:rPr>
          <w:rFonts w:ascii="Arial" w:hAnsi="Arial" w:cs="Arial"/>
          <w:sz w:val="24"/>
          <w:szCs w:val="24"/>
        </w:rPr>
        <w:t xml:space="preserve"> provided they give the lessor:</w:t>
      </w:r>
    </w:p>
    <w:p w14:paraId="06E70419" w14:textId="769DC244" w:rsidR="00310C5B" w:rsidRPr="00512851" w:rsidRDefault="00966E47" w:rsidP="00263821">
      <w:pPr>
        <w:pStyle w:val="ListParagraph"/>
        <w:numPr>
          <w:ilvl w:val="0"/>
          <w:numId w:val="3"/>
        </w:numPr>
        <w:spacing w:after="200" w:line="276" w:lineRule="auto"/>
        <w:ind w:left="714" w:hanging="357"/>
        <w:rPr>
          <w:rFonts w:ascii="Arial" w:hAnsi="Arial" w:cs="Arial"/>
          <w:sz w:val="24"/>
          <w:szCs w:val="24"/>
        </w:rPr>
      </w:pPr>
      <w:r w:rsidRPr="00512851">
        <w:rPr>
          <w:rFonts w:ascii="Arial" w:hAnsi="Arial" w:cs="Arial"/>
          <w:sz w:val="24"/>
          <w:szCs w:val="24"/>
        </w:rPr>
        <w:t>a</w:t>
      </w:r>
      <w:r w:rsidR="00310C5B" w:rsidRPr="00512851">
        <w:rPr>
          <w:rFonts w:ascii="Arial" w:hAnsi="Arial" w:cs="Arial"/>
          <w:sz w:val="24"/>
          <w:szCs w:val="24"/>
        </w:rPr>
        <w:t xml:space="preserve">t least two weeks’ notice of their intention to vacate; or </w:t>
      </w:r>
    </w:p>
    <w:p w14:paraId="04CB09E3" w14:textId="6D640636" w:rsidR="00512851" w:rsidRPr="00263821" w:rsidRDefault="00966E47" w:rsidP="00263821">
      <w:pPr>
        <w:pStyle w:val="ListParagraph"/>
        <w:numPr>
          <w:ilvl w:val="0"/>
          <w:numId w:val="3"/>
        </w:numPr>
        <w:spacing w:after="200" w:line="276" w:lineRule="auto"/>
        <w:ind w:left="714" w:hanging="357"/>
        <w:rPr>
          <w:rFonts w:ascii="Arial" w:hAnsi="Arial" w:cs="Arial"/>
          <w:sz w:val="24"/>
          <w:szCs w:val="24"/>
        </w:rPr>
      </w:pPr>
      <w:r w:rsidRPr="00512851">
        <w:rPr>
          <w:rFonts w:ascii="Arial" w:hAnsi="Arial" w:cs="Arial"/>
          <w:sz w:val="24"/>
          <w:szCs w:val="24"/>
        </w:rPr>
        <w:t>i</w:t>
      </w:r>
      <w:r w:rsidR="00310C5B" w:rsidRPr="00512851">
        <w:rPr>
          <w:rFonts w:ascii="Arial" w:hAnsi="Arial" w:cs="Arial"/>
          <w:sz w:val="24"/>
          <w:szCs w:val="24"/>
        </w:rPr>
        <w:t>n the last 2 weeks before the lessor’s notice to vacate date – at least 4 days’ notice of the</w:t>
      </w:r>
      <w:r w:rsidRPr="00512851">
        <w:rPr>
          <w:rFonts w:ascii="Arial" w:hAnsi="Arial" w:cs="Arial"/>
          <w:sz w:val="24"/>
          <w:szCs w:val="24"/>
        </w:rPr>
        <w:t>ir</w:t>
      </w:r>
      <w:r w:rsidR="00310C5B" w:rsidRPr="00512851">
        <w:rPr>
          <w:rFonts w:ascii="Arial" w:hAnsi="Arial" w:cs="Arial"/>
          <w:sz w:val="24"/>
          <w:szCs w:val="24"/>
        </w:rPr>
        <w:t xml:space="preserve"> intention to vacate.</w:t>
      </w:r>
    </w:p>
    <w:p w14:paraId="7E3A2BE8" w14:textId="75182D52" w:rsidR="00A52EB0" w:rsidRPr="00512851" w:rsidRDefault="00067DA4" w:rsidP="00067DA4">
      <w:pPr>
        <w:rPr>
          <w:rFonts w:ascii="Arial" w:hAnsi="Arial" w:cs="Arial"/>
          <w:sz w:val="24"/>
          <w:szCs w:val="24"/>
        </w:rPr>
      </w:pPr>
      <w:r w:rsidRPr="00512851">
        <w:rPr>
          <w:rFonts w:ascii="Arial" w:hAnsi="Arial" w:cs="Arial"/>
          <w:sz w:val="24"/>
          <w:szCs w:val="24"/>
        </w:rPr>
        <w:t xml:space="preserve">Where the tenant moves out in accordance with either the notice to vacate issued to them by the lessor or in accordance with their own notice of intention to vacate given to the lessor, the tenancy will end when the tenant moves out in accordance with the notice. This means the tenant will not have to pay double rent for an extended period of time in circumstances where they have been able to find alternative accommodation before the vacate date given to them by the </w:t>
      </w:r>
      <w:r w:rsidR="00FE167F">
        <w:rPr>
          <w:rFonts w:ascii="Arial" w:hAnsi="Arial" w:cs="Arial"/>
          <w:sz w:val="24"/>
          <w:szCs w:val="24"/>
        </w:rPr>
        <w:t>lessor</w:t>
      </w:r>
      <w:r w:rsidR="00A52EB0" w:rsidRPr="00512851">
        <w:rPr>
          <w:rFonts w:ascii="Arial" w:hAnsi="Arial" w:cs="Arial"/>
          <w:sz w:val="24"/>
          <w:szCs w:val="24"/>
        </w:rPr>
        <w:t>.</w:t>
      </w:r>
    </w:p>
    <w:p w14:paraId="55FA944B" w14:textId="48F2FCF1" w:rsidR="00067DA4" w:rsidRPr="00512851" w:rsidRDefault="00A52EB0" w:rsidP="00067DA4">
      <w:pPr>
        <w:rPr>
          <w:rFonts w:ascii="Arial" w:hAnsi="Arial" w:cs="Arial"/>
          <w:sz w:val="24"/>
          <w:szCs w:val="24"/>
        </w:rPr>
      </w:pPr>
      <w:r w:rsidRPr="00512851">
        <w:rPr>
          <w:rFonts w:ascii="Arial" w:hAnsi="Arial" w:cs="Arial"/>
          <w:sz w:val="24"/>
          <w:szCs w:val="24"/>
        </w:rPr>
        <w:t xml:space="preserve">The amended provision also clarifies that the tenant will not </w:t>
      </w:r>
      <w:r w:rsidR="00067DA4" w:rsidRPr="00512851">
        <w:rPr>
          <w:rFonts w:ascii="Arial" w:hAnsi="Arial" w:cs="Arial"/>
          <w:sz w:val="24"/>
          <w:szCs w:val="24"/>
        </w:rPr>
        <w:t>be required to pay a break lease fee if they end a fixed term tenancy early</w:t>
      </w:r>
      <w:r w:rsidRPr="00512851">
        <w:rPr>
          <w:rFonts w:ascii="Arial" w:hAnsi="Arial" w:cs="Arial"/>
          <w:sz w:val="24"/>
          <w:szCs w:val="24"/>
        </w:rPr>
        <w:t xml:space="preserve"> under standard term 102 (3)</w:t>
      </w:r>
      <w:r w:rsidR="00067DA4" w:rsidRPr="00512851">
        <w:rPr>
          <w:rFonts w:ascii="Arial" w:hAnsi="Arial" w:cs="Arial"/>
          <w:sz w:val="24"/>
          <w:szCs w:val="24"/>
        </w:rPr>
        <w:t xml:space="preserve">. </w:t>
      </w:r>
    </w:p>
    <w:p w14:paraId="18046F82" w14:textId="24917691" w:rsidR="00067DA4" w:rsidRPr="00512851" w:rsidRDefault="00067DA4" w:rsidP="00512851">
      <w:pPr>
        <w:rPr>
          <w:rFonts w:ascii="Arial" w:hAnsi="Arial" w:cs="Arial"/>
          <w:sz w:val="24"/>
          <w:szCs w:val="24"/>
        </w:rPr>
      </w:pPr>
      <w:r w:rsidRPr="00512851">
        <w:rPr>
          <w:rFonts w:ascii="Arial" w:hAnsi="Arial" w:cs="Arial"/>
          <w:sz w:val="24"/>
          <w:szCs w:val="24"/>
        </w:rPr>
        <w:t xml:space="preserve">If a tenant does not move out in accordance with the notice to vacate given to them by the lessor, the lessor will need to apply to ACAT for a termination and possession order under Division 4.4, section 47 of the RTA. </w:t>
      </w:r>
    </w:p>
    <w:p w14:paraId="17E6467D" w14:textId="197536A1" w:rsidR="00310C5B" w:rsidRPr="00512851" w:rsidRDefault="00966E47" w:rsidP="00512851">
      <w:pPr>
        <w:rPr>
          <w:rFonts w:ascii="Arial" w:hAnsi="Arial" w:cs="Arial"/>
          <w:sz w:val="24"/>
          <w:szCs w:val="24"/>
        </w:rPr>
      </w:pPr>
      <w:r w:rsidRPr="00512851">
        <w:rPr>
          <w:rFonts w:ascii="Arial" w:hAnsi="Arial" w:cs="Arial"/>
          <w:sz w:val="24"/>
          <w:szCs w:val="24"/>
        </w:rPr>
        <w:t xml:space="preserve">New clause </w:t>
      </w:r>
      <w:r w:rsidR="00067DA4" w:rsidRPr="00512851">
        <w:rPr>
          <w:rFonts w:ascii="Arial" w:hAnsi="Arial" w:cs="Arial"/>
          <w:sz w:val="24"/>
          <w:szCs w:val="24"/>
        </w:rPr>
        <w:t>102A allows a tenant to issue an 8</w:t>
      </w:r>
      <w:r w:rsidR="007B670A">
        <w:rPr>
          <w:rFonts w:ascii="Arial" w:hAnsi="Arial" w:cs="Arial"/>
          <w:sz w:val="24"/>
          <w:szCs w:val="24"/>
        </w:rPr>
        <w:t>-</w:t>
      </w:r>
      <w:r w:rsidR="00067DA4" w:rsidRPr="00512851">
        <w:rPr>
          <w:rFonts w:ascii="Arial" w:hAnsi="Arial" w:cs="Arial"/>
          <w:sz w:val="24"/>
          <w:szCs w:val="24"/>
        </w:rPr>
        <w:t xml:space="preserve">week notice of intention to vacate to the lessor where they or their domestic partner are posted away from the ACT in the course of their employment. </w:t>
      </w:r>
      <w:r w:rsidRPr="00512851">
        <w:rPr>
          <w:rFonts w:ascii="Arial" w:hAnsi="Arial" w:cs="Arial"/>
          <w:sz w:val="24"/>
          <w:szCs w:val="24"/>
        </w:rPr>
        <w:t>Wh</w:t>
      </w:r>
      <w:r w:rsidR="00310C5B" w:rsidRPr="00512851">
        <w:rPr>
          <w:rFonts w:ascii="Arial" w:hAnsi="Arial" w:cs="Arial"/>
          <w:sz w:val="24"/>
          <w:szCs w:val="24"/>
        </w:rPr>
        <w:t>ere a tenant issue</w:t>
      </w:r>
      <w:r w:rsidR="007B670A" w:rsidRPr="00512851">
        <w:rPr>
          <w:rFonts w:ascii="Arial" w:hAnsi="Arial" w:cs="Arial"/>
          <w:sz w:val="24"/>
          <w:szCs w:val="24"/>
        </w:rPr>
        <w:t>s</w:t>
      </w:r>
      <w:r w:rsidR="00310C5B" w:rsidRPr="00512851">
        <w:rPr>
          <w:rFonts w:ascii="Arial" w:hAnsi="Arial" w:cs="Arial"/>
          <w:sz w:val="24"/>
          <w:szCs w:val="24"/>
        </w:rPr>
        <w:t xml:space="preserve"> </w:t>
      </w:r>
      <w:r w:rsidR="007B670A" w:rsidRPr="00512851">
        <w:rPr>
          <w:rFonts w:ascii="Arial" w:hAnsi="Arial" w:cs="Arial"/>
          <w:sz w:val="24"/>
          <w:szCs w:val="24"/>
        </w:rPr>
        <w:t xml:space="preserve">a </w:t>
      </w:r>
      <w:r w:rsidR="00310C5B" w:rsidRPr="00512851">
        <w:rPr>
          <w:rFonts w:ascii="Arial" w:hAnsi="Arial" w:cs="Arial"/>
          <w:sz w:val="24"/>
          <w:szCs w:val="24"/>
        </w:rPr>
        <w:t xml:space="preserve">notice </w:t>
      </w:r>
      <w:r w:rsidR="007B670A" w:rsidRPr="00512851">
        <w:rPr>
          <w:rFonts w:ascii="Arial" w:hAnsi="Arial" w:cs="Arial"/>
          <w:sz w:val="24"/>
          <w:szCs w:val="24"/>
        </w:rPr>
        <w:t xml:space="preserve">of intention to vacate </w:t>
      </w:r>
      <w:r w:rsidR="00310C5B" w:rsidRPr="00512851">
        <w:rPr>
          <w:rFonts w:ascii="Arial" w:hAnsi="Arial" w:cs="Arial"/>
          <w:sz w:val="24"/>
          <w:szCs w:val="24"/>
        </w:rPr>
        <w:t xml:space="preserve">under </w:t>
      </w:r>
      <w:r w:rsidR="007B670A" w:rsidRPr="00512851">
        <w:rPr>
          <w:rFonts w:ascii="Arial" w:hAnsi="Arial" w:cs="Arial"/>
          <w:sz w:val="24"/>
          <w:szCs w:val="24"/>
        </w:rPr>
        <w:t>102A</w:t>
      </w:r>
      <w:r w:rsidR="00310C5B" w:rsidRPr="00512851">
        <w:rPr>
          <w:rFonts w:ascii="Arial" w:hAnsi="Arial" w:cs="Arial"/>
          <w:sz w:val="24"/>
          <w:szCs w:val="24"/>
        </w:rPr>
        <w:t xml:space="preserve">, and the tenant vacates the premises </w:t>
      </w:r>
      <w:r w:rsidR="007B670A">
        <w:rPr>
          <w:rFonts w:ascii="Arial" w:hAnsi="Arial" w:cs="Arial"/>
          <w:sz w:val="24"/>
          <w:szCs w:val="24"/>
        </w:rPr>
        <w:t>in accordance with their notice</w:t>
      </w:r>
      <w:r w:rsidR="00310C5B" w:rsidRPr="00512851">
        <w:rPr>
          <w:rFonts w:ascii="Arial" w:hAnsi="Arial" w:cs="Arial"/>
          <w:sz w:val="24"/>
          <w:szCs w:val="24"/>
        </w:rPr>
        <w:t xml:space="preserve">, the tenancy will end </w:t>
      </w:r>
      <w:r w:rsidR="007B670A" w:rsidRPr="00512851">
        <w:rPr>
          <w:rFonts w:ascii="Arial" w:hAnsi="Arial" w:cs="Arial"/>
          <w:sz w:val="24"/>
          <w:szCs w:val="24"/>
        </w:rPr>
        <w:t xml:space="preserve">when the tenant vacates the tenancy. However, if the tenant does not vacate the tenancy in accordance with their notice of intention to vacate, </w:t>
      </w:r>
      <w:r w:rsidR="00310C5B" w:rsidRPr="00512851">
        <w:rPr>
          <w:rFonts w:ascii="Arial" w:hAnsi="Arial" w:cs="Arial"/>
          <w:sz w:val="24"/>
          <w:szCs w:val="24"/>
        </w:rPr>
        <w:t xml:space="preserve">their notice </w:t>
      </w:r>
      <w:r w:rsidR="007B670A" w:rsidRPr="00512851">
        <w:rPr>
          <w:rFonts w:ascii="Arial" w:hAnsi="Arial" w:cs="Arial"/>
          <w:sz w:val="24"/>
          <w:szCs w:val="24"/>
        </w:rPr>
        <w:t xml:space="preserve">will be </w:t>
      </w:r>
      <w:r w:rsidR="00310C5B" w:rsidRPr="00512851">
        <w:rPr>
          <w:rFonts w:ascii="Arial" w:hAnsi="Arial" w:cs="Arial"/>
          <w:sz w:val="24"/>
          <w:szCs w:val="24"/>
        </w:rPr>
        <w:t xml:space="preserve">taken </w:t>
      </w:r>
      <w:r w:rsidR="007B670A" w:rsidRPr="00512851">
        <w:rPr>
          <w:rFonts w:ascii="Arial" w:hAnsi="Arial" w:cs="Arial"/>
          <w:sz w:val="24"/>
          <w:szCs w:val="24"/>
        </w:rPr>
        <w:t>t</w:t>
      </w:r>
      <w:r w:rsidR="00310C5B" w:rsidRPr="00512851">
        <w:rPr>
          <w:rFonts w:ascii="Arial" w:hAnsi="Arial" w:cs="Arial"/>
          <w:sz w:val="24"/>
          <w:szCs w:val="24"/>
        </w:rPr>
        <w:t>o be withdrawn and the tenancy will continue</w:t>
      </w:r>
      <w:r w:rsidR="007B670A" w:rsidRPr="00512851">
        <w:rPr>
          <w:rFonts w:ascii="Arial" w:hAnsi="Arial" w:cs="Arial"/>
          <w:sz w:val="24"/>
          <w:szCs w:val="24"/>
        </w:rPr>
        <w:t>.</w:t>
      </w:r>
    </w:p>
    <w:p w14:paraId="4AC99AB8" w14:textId="115B515D" w:rsidR="00B81CC5" w:rsidRDefault="00B81CC5" w:rsidP="004B061C">
      <w:pPr>
        <w:ind w:left="1440" w:hanging="1440"/>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36</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103 (3)</w:t>
      </w:r>
    </w:p>
    <w:p w14:paraId="601CF5A2" w14:textId="1857B091" w:rsidR="00E468DD" w:rsidRDefault="00B81CC5" w:rsidP="00E468DD">
      <w:pPr>
        <w:rPr>
          <w:rFonts w:ascii="Arial" w:hAnsi="Arial" w:cs="Arial"/>
          <w:sz w:val="24"/>
          <w:szCs w:val="24"/>
        </w:rPr>
      </w:pPr>
      <w:r w:rsidRPr="00417E2B">
        <w:rPr>
          <w:rFonts w:ascii="Arial" w:hAnsi="Arial" w:cs="Arial"/>
          <w:sz w:val="24"/>
          <w:szCs w:val="24"/>
        </w:rPr>
        <w:t xml:space="preserve">This is a minor and technical amendment </w:t>
      </w:r>
      <w:r w:rsidRPr="000C250A">
        <w:rPr>
          <w:rFonts w:ascii="Arial" w:hAnsi="Arial" w:cs="Arial"/>
          <w:sz w:val="24"/>
          <w:szCs w:val="24"/>
        </w:rPr>
        <w:t xml:space="preserve">to bring the wording of this clause into line with similar provisions in the Act. </w:t>
      </w:r>
      <w:r w:rsidR="00E468DD">
        <w:rPr>
          <w:rFonts w:ascii="Arial" w:hAnsi="Arial" w:cs="Arial"/>
          <w:sz w:val="24"/>
          <w:szCs w:val="24"/>
        </w:rPr>
        <w:t>There is no substantive change to the operation of the provision.</w:t>
      </w:r>
    </w:p>
    <w:p w14:paraId="1F9212CA" w14:textId="64F6AF2C" w:rsidR="00B81CC5" w:rsidRDefault="00B81CC5" w:rsidP="00E468DD">
      <w:pPr>
        <w:rPr>
          <w:rFonts w:ascii="Arial" w:hAnsi="Arial" w:cs="Arial"/>
          <w:b/>
          <w:bCs/>
          <w:sz w:val="24"/>
          <w:szCs w:val="24"/>
        </w:rPr>
      </w:pPr>
      <w:r w:rsidRPr="00966E47">
        <w:rPr>
          <w:rFonts w:ascii="Arial" w:hAnsi="Arial" w:cs="Arial"/>
          <w:b/>
          <w:bCs/>
          <w:sz w:val="24"/>
          <w:szCs w:val="24"/>
        </w:rPr>
        <w:lastRenderedPageBreak/>
        <w:t xml:space="preserve">Clause </w:t>
      </w:r>
      <w:r w:rsidR="00FE167F">
        <w:rPr>
          <w:rFonts w:ascii="Arial" w:hAnsi="Arial" w:cs="Arial"/>
          <w:b/>
          <w:bCs/>
          <w:sz w:val="24"/>
          <w:szCs w:val="24"/>
        </w:rPr>
        <w:t>37</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103 (4)</w:t>
      </w:r>
    </w:p>
    <w:p w14:paraId="2090F7F7" w14:textId="75EAC9C5" w:rsidR="00B81CC5" w:rsidRDefault="00B81CC5" w:rsidP="00B81CC5">
      <w:pPr>
        <w:rPr>
          <w:rFonts w:ascii="Arial" w:hAnsi="Arial" w:cs="Arial"/>
          <w:sz w:val="24"/>
          <w:szCs w:val="24"/>
        </w:rPr>
      </w:pPr>
      <w:r w:rsidRPr="00417E2B">
        <w:rPr>
          <w:rFonts w:ascii="Arial" w:hAnsi="Arial" w:cs="Arial"/>
          <w:sz w:val="24"/>
          <w:szCs w:val="24"/>
        </w:rPr>
        <w:t xml:space="preserve">This is a minor and technical amendment </w:t>
      </w:r>
      <w:r w:rsidRPr="000C250A">
        <w:rPr>
          <w:rFonts w:ascii="Arial" w:hAnsi="Arial" w:cs="Arial"/>
          <w:sz w:val="24"/>
          <w:szCs w:val="24"/>
        </w:rPr>
        <w:t xml:space="preserve">to bring the wording of this clause into line with similar provisions in the Act. </w:t>
      </w:r>
      <w:r w:rsidR="00E468DD">
        <w:rPr>
          <w:rFonts w:ascii="Arial" w:hAnsi="Arial" w:cs="Arial"/>
          <w:sz w:val="24"/>
          <w:szCs w:val="24"/>
        </w:rPr>
        <w:t>There is no substantive change to the operation of the provision.</w:t>
      </w:r>
    </w:p>
    <w:p w14:paraId="6ED908FC" w14:textId="66AB062C" w:rsidR="00B81CC5" w:rsidRDefault="00B81CC5" w:rsidP="00263821">
      <w:pPr>
        <w:keepNext/>
        <w:ind w:left="1440" w:hanging="1440"/>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38</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103 (4) (b)</w:t>
      </w:r>
    </w:p>
    <w:p w14:paraId="374095F1" w14:textId="372A71C0" w:rsidR="00E468DD" w:rsidRDefault="00B81CC5" w:rsidP="00263821">
      <w:pPr>
        <w:keepNext/>
        <w:rPr>
          <w:rFonts w:ascii="Arial" w:hAnsi="Arial" w:cs="Arial"/>
          <w:sz w:val="24"/>
          <w:szCs w:val="24"/>
        </w:rPr>
      </w:pPr>
      <w:r w:rsidRPr="00417E2B">
        <w:rPr>
          <w:rFonts w:ascii="Arial" w:hAnsi="Arial" w:cs="Arial"/>
          <w:sz w:val="24"/>
          <w:szCs w:val="24"/>
        </w:rPr>
        <w:t xml:space="preserve">This is a minor and technical amendment </w:t>
      </w:r>
      <w:r w:rsidRPr="000C250A">
        <w:rPr>
          <w:rFonts w:ascii="Arial" w:hAnsi="Arial" w:cs="Arial"/>
          <w:sz w:val="24"/>
          <w:szCs w:val="24"/>
        </w:rPr>
        <w:t xml:space="preserve">to bring the wording of this clause into line with </w:t>
      </w:r>
      <w:r>
        <w:rPr>
          <w:rFonts w:ascii="Arial" w:hAnsi="Arial" w:cs="Arial"/>
          <w:sz w:val="24"/>
          <w:szCs w:val="24"/>
        </w:rPr>
        <w:t xml:space="preserve">the remainder of the </w:t>
      </w:r>
      <w:r w:rsidR="00E468DD">
        <w:rPr>
          <w:rFonts w:ascii="Arial" w:hAnsi="Arial" w:cs="Arial"/>
          <w:sz w:val="24"/>
          <w:szCs w:val="24"/>
        </w:rPr>
        <w:t>provision</w:t>
      </w:r>
      <w:r>
        <w:rPr>
          <w:rFonts w:ascii="Arial" w:hAnsi="Arial" w:cs="Arial"/>
          <w:sz w:val="24"/>
          <w:szCs w:val="24"/>
        </w:rPr>
        <w:t>, following the amendment in clause 29.</w:t>
      </w:r>
      <w:r w:rsidRPr="000C250A">
        <w:rPr>
          <w:rFonts w:ascii="Arial" w:hAnsi="Arial" w:cs="Arial"/>
          <w:sz w:val="24"/>
          <w:szCs w:val="24"/>
        </w:rPr>
        <w:t xml:space="preserve"> </w:t>
      </w:r>
      <w:r w:rsidR="00E468DD">
        <w:rPr>
          <w:rFonts w:ascii="Arial" w:hAnsi="Arial" w:cs="Arial"/>
          <w:sz w:val="24"/>
          <w:szCs w:val="24"/>
        </w:rPr>
        <w:t>There is no substantive change to the operation of the provision.</w:t>
      </w:r>
    </w:p>
    <w:p w14:paraId="6CC520B0" w14:textId="4A18A1FF" w:rsidR="00B81CC5" w:rsidRDefault="00B81CC5" w:rsidP="00E468DD">
      <w:pPr>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39</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104 (5), example</w:t>
      </w:r>
    </w:p>
    <w:p w14:paraId="499963BC" w14:textId="77777777" w:rsidR="00E468DD" w:rsidRDefault="00E468DD" w:rsidP="00E468DD">
      <w:pPr>
        <w:rPr>
          <w:rFonts w:ascii="Arial" w:hAnsi="Arial" w:cs="Arial"/>
          <w:sz w:val="24"/>
          <w:szCs w:val="24"/>
        </w:rPr>
      </w:pPr>
      <w:r w:rsidRPr="00C57A11">
        <w:rPr>
          <w:rFonts w:ascii="Arial" w:hAnsi="Arial" w:cs="Arial"/>
          <w:sz w:val="24"/>
          <w:szCs w:val="24"/>
        </w:rPr>
        <w:t xml:space="preserve">This is a minor and technical amendment to substitute the </w:t>
      </w:r>
      <w:r>
        <w:rPr>
          <w:rFonts w:ascii="Arial" w:hAnsi="Arial" w:cs="Arial"/>
          <w:sz w:val="24"/>
          <w:szCs w:val="24"/>
        </w:rPr>
        <w:t>defined term</w:t>
      </w:r>
      <w:r w:rsidRPr="00C57A11">
        <w:rPr>
          <w:rFonts w:ascii="Arial" w:hAnsi="Arial" w:cs="Arial"/>
          <w:sz w:val="24"/>
          <w:szCs w:val="24"/>
        </w:rPr>
        <w:t xml:space="preserve"> “tribunal” instead of “ACAT”</w:t>
      </w:r>
      <w:r>
        <w:rPr>
          <w:rFonts w:ascii="Arial" w:hAnsi="Arial" w:cs="Arial"/>
          <w:sz w:val="24"/>
          <w:szCs w:val="24"/>
        </w:rPr>
        <w:t xml:space="preserve"> to create greater consistency throughout the Act. There is no substantive change to the operation of the provision.</w:t>
      </w:r>
    </w:p>
    <w:p w14:paraId="02EFE3BC" w14:textId="2E0B8F93" w:rsidR="00B81CC5" w:rsidRDefault="00B81CC5" w:rsidP="00B81CC5">
      <w:pPr>
        <w:ind w:left="1440" w:hanging="1440"/>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40</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104 (7) (b)</w:t>
      </w:r>
    </w:p>
    <w:p w14:paraId="1F3717C4" w14:textId="3F5D0B1A" w:rsidR="00E468DD" w:rsidRDefault="00B81CC5" w:rsidP="00E468DD">
      <w:pPr>
        <w:rPr>
          <w:rFonts w:ascii="Arial" w:hAnsi="Arial" w:cs="Arial"/>
          <w:sz w:val="24"/>
          <w:szCs w:val="24"/>
        </w:rPr>
      </w:pPr>
      <w:r w:rsidRPr="00417E2B">
        <w:rPr>
          <w:rFonts w:ascii="Arial" w:hAnsi="Arial" w:cs="Arial"/>
          <w:sz w:val="24"/>
          <w:szCs w:val="24"/>
        </w:rPr>
        <w:t xml:space="preserve">This is a minor and technical amendment </w:t>
      </w:r>
      <w:r w:rsidR="0036640C">
        <w:rPr>
          <w:rFonts w:ascii="Arial" w:hAnsi="Arial" w:cs="Arial"/>
          <w:sz w:val="24"/>
          <w:szCs w:val="24"/>
        </w:rPr>
        <w:t>for consistency of</w:t>
      </w:r>
      <w:r w:rsidRPr="000C250A">
        <w:rPr>
          <w:rFonts w:ascii="Arial" w:hAnsi="Arial" w:cs="Arial"/>
          <w:sz w:val="24"/>
          <w:szCs w:val="24"/>
        </w:rPr>
        <w:t xml:space="preserve"> wording </w:t>
      </w:r>
      <w:r w:rsidR="00E468DD">
        <w:rPr>
          <w:rFonts w:ascii="Arial" w:hAnsi="Arial" w:cs="Arial"/>
          <w:sz w:val="24"/>
          <w:szCs w:val="24"/>
        </w:rPr>
        <w:t>within</w:t>
      </w:r>
      <w:r w:rsidR="00E468DD" w:rsidRPr="000C250A">
        <w:rPr>
          <w:rFonts w:ascii="Arial" w:hAnsi="Arial" w:cs="Arial"/>
          <w:sz w:val="24"/>
          <w:szCs w:val="24"/>
        </w:rPr>
        <w:t xml:space="preserve"> </w:t>
      </w:r>
      <w:r w:rsidRPr="000C250A">
        <w:rPr>
          <w:rFonts w:ascii="Arial" w:hAnsi="Arial" w:cs="Arial"/>
          <w:sz w:val="24"/>
          <w:szCs w:val="24"/>
        </w:rPr>
        <w:t xml:space="preserve">this </w:t>
      </w:r>
      <w:r w:rsidR="00E468DD">
        <w:rPr>
          <w:rFonts w:ascii="Arial" w:hAnsi="Arial" w:cs="Arial"/>
          <w:sz w:val="24"/>
          <w:szCs w:val="24"/>
        </w:rPr>
        <w:t>provision and for consistency with other provisions in the Act</w:t>
      </w:r>
      <w:r>
        <w:rPr>
          <w:rFonts w:ascii="Arial" w:hAnsi="Arial" w:cs="Arial"/>
          <w:sz w:val="24"/>
          <w:szCs w:val="24"/>
        </w:rPr>
        <w:t>.</w:t>
      </w:r>
      <w:r w:rsidRPr="000C250A">
        <w:rPr>
          <w:rFonts w:ascii="Arial" w:hAnsi="Arial" w:cs="Arial"/>
          <w:sz w:val="24"/>
          <w:szCs w:val="24"/>
        </w:rPr>
        <w:t xml:space="preserve"> </w:t>
      </w:r>
      <w:r w:rsidR="00E468DD">
        <w:rPr>
          <w:rFonts w:ascii="Arial" w:hAnsi="Arial" w:cs="Arial"/>
          <w:sz w:val="24"/>
          <w:szCs w:val="24"/>
        </w:rPr>
        <w:t>There is no substantive change to the operation of the provision.</w:t>
      </w:r>
    </w:p>
    <w:p w14:paraId="011857AB" w14:textId="0C8FCF60" w:rsidR="00B81CC5" w:rsidRDefault="00B81CC5" w:rsidP="00E468DD">
      <w:pPr>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41</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105 (5) (b)</w:t>
      </w:r>
    </w:p>
    <w:p w14:paraId="7ACB142E" w14:textId="77777777" w:rsidR="00E468DD" w:rsidRDefault="00E468DD" w:rsidP="00E468DD">
      <w:pPr>
        <w:rPr>
          <w:rFonts w:ascii="Arial" w:hAnsi="Arial" w:cs="Arial"/>
          <w:sz w:val="24"/>
          <w:szCs w:val="24"/>
        </w:rPr>
      </w:pPr>
      <w:r w:rsidRPr="00417E2B">
        <w:rPr>
          <w:rFonts w:ascii="Arial" w:hAnsi="Arial" w:cs="Arial"/>
          <w:sz w:val="24"/>
          <w:szCs w:val="24"/>
        </w:rPr>
        <w:t xml:space="preserve">This is a minor and technical amendment </w:t>
      </w:r>
      <w:r>
        <w:rPr>
          <w:rFonts w:ascii="Arial" w:hAnsi="Arial" w:cs="Arial"/>
          <w:sz w:val="24"/>
          <w:szCs w:val="24"/>
        </w:rPr>
        <w:t>for consistency of</w:t>
      </w:r>
      <w:r w:rsidRPr="000C250A">
        <w:rPr>
          <w:rFonts w:ascii="Arial" w:hAnsi="Arial" w:cs="Arial"/>
          <w:sz w:val="24"/>
          <w:szCs w:val="24"/>
        </w:rPr>
        <w:t xml:space="preserve"> wording </w:t>
      </w:r>
      <w:r>
        <w:rPr>
          <w:rFonts w:ascii="Arial" w:hAnsi="Arial" w:cs="Arial"/>
          <w:sz w:val="24"/>
          <w:szCs w:val="24"/>
        </w:rPr>
        <w:t>within</w:t>
      </w:r>
      <w:r w:rsidRPr="000C250A">
        <w:rPr>
          <w:rFonts w:ascii="Arial" w:hAnsi="Arial" w:cs="Arial"/>
          <w:sz w:val="24"/>
          <w:szCs w:val="24"/>
        </w:rPr>
        <w:t xml:space="preserve"> this </w:t>
      </w:r>
      <w:r>
        <w:rPr>
          <w:rFonts w:ascii="Arial" w:hAnsi="Arial" w:cs="Arial"/>
          <w:sz w:val="24"/>
          <w:szCs w:val="24"/>
        </w:rPr>
        <w:t>provision and for consistency with other provisions in the Act.</w:t>
      </w:r>
      <w:r w:rsidRPr="000C250A">
        <w:rPr>
          <w:rFonts w:ascii="Arial" w:hAnsi="Arial" w:cs="Arial"/>
          <w:sz w:val="24"/>
          <w:szCs w:val="24"/>
        </w:rPr>
        <w:t xml:space="preserve"> </w:t>
      </w:r>
      <w:r>
        <w:rPr>
          <w:rFonts w:ascii="Arial" w:hAnsi="Arial" w:cs="Arial"/>
          <w:sz w:val="24"/>
          <w:szCs w:val="24"/>
        </w:rPr>
        <w:t>There is no substantive change to the operation of the provision.</w:t>
      </w:r>
    </w:p>
    <w:p w14:paraId="48BFCF2F" w14:textId="0413489B" w:rsidR="00B81CC5" w:rsidRDefault="00B81CC5" w:rsidP="00B81CC5">
      <w:pPr>
        <w:ind w:left="1440" w:hanging="1440"/>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42</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106</w:t>
      </w:r>
      <w:r w:rsidR="00FE167F">
        <w:rPr>
          <w:rFonts w:ascii="Arial" w:hAnsi="Arial" w:cs="Arial"/>
          <w:b/>
          <w:bCs/>
          <w:sz w:val="24"/>
          <w:szCs w:val="24"/>
        </w:rPr>
        <w:t>A</w:t>
      </w:r>
      <w:r w:rsidRPr="00B81CC5">
        <w:rPr>
          <w:rFonts w:ascii="Arial" w:hAnsi="Arial" w:cs="Arial"/>
          <w:b/>
          <w:bCs/>
          <w:sz w:val="24"/>
          <w:szCs w:val="24"/>
        </w:rPr>
        <w:t xml:space="preserve"> (7) (b</w:t>
      </w:r>
      <w:r w:rsidR="00FE167F">
        <w:rPr>
          <w:rFonts w:ascii="Arial" w:hAnsi="Arial" w:cs="Arial"/>
          <w:b/>
          <w:bCs/>
          <w:sz w:val="24"/>
          <w:szCs w:val="24"/>
        </w:rPr>
        <w:t>)</w:t>
      </w:r>
    </w:p>
    <w:p w14:paraId="5B980D31" w14:textId="77777777" w:rsidR="00E468DD" w:rsidRDefault="00E468DD" w:rsidP="00E468DD">
      <w:pPr>
        <w:rPr>
          <w:rFonts w:ascii="Arial" w:hAnsi="Arial" w:cs="Arial"/>
          <w:sz w:val="24"/>
          <w:szCs w:val="24"/>
        </w:rPr>
      </w:pPr>
      <w:r w:rsidRPr="00417E2B">
        <w:rPr>
          <w:rFonts w:ascii="Arial" w:hAnsi="Arial" w:cs="Arial"/>
          <w:sz w:val="24"/>
          <w:szCs w:val="24"/>
        </w:rPr>
        <w:t xml:space="preserve">This is a minor and technical amendment </w:t>
      </w:r>
      <w:r>
        <w:rPr>
          <w:rFonts w:ascii="Arial" w:hAnsi="Arial" w:cs="Arial"/>
          <w:sz w:val="24"/>
          <w:szCs w:val="24"/>
        </w:rPr>
        <w:t>for consistency of</w:t>
      </w:r>
      <w:r w:rsidRPr="000C250A">
        <w:rPr>
          <w:rFonts w:ascii="Arial" w:hAnsi="Arial" w:cs="Arial"/>
          <w:sz w:val="24"/>
          <w:szCs w:val="24"/>
        </w:rPr>
        <w:t xml:space="preserve"> wording </w:t>
      </w:r>
      <w:r>
        <w:rPr>
          <w:rFonts w:ascii="Arial" w:hAnsi="Arial" w:cs="Arial"/>
          <w:sz w:val="24"/>
          <w:szCs w:val="24"/>
        </w:rPr>
        <w:t>within</w:t>
      </w:r>
      <w:r w:rsidRPr="000C250A">
        <w:rPr>
          <w:rFonts w:ascii="Arial" w:hAnsi="Arial" w:cs="Arial"/>
          <w:sz w:val="24"/>
          <w:szCs w:val="24"/>
        </w:rPr>
        <w:t xml:space="preserve"> this </w:t>
      </w:r>
      <w:r>
        <w:rPr>
          <w:rFonts w:ascii="Arial" w:hAnsi="Arial" w:cs="Arial"/>
          <w:sz w:val="24"/>
          <w:szCs w:val="24"/>
        </w:rPr>
        <w:t>provision and for consistency with other provisions in the Act.</w:t>
      </w:r>
      <w:r w:rsidRPr="000C250A">
        <w:rPr>
          <w:rFonts w:ascii="Arial" w:hAnsi="Arial" w:cs="Arial"/>
          <w:sz w:val="24"/>
          <w:szCs w:val="24"/>
        </w:rPr>
        <w:t xml:space="preserve"> </w:t>
      </w:r>
      <w:r>
        <w:rPr>
          <w:rFonts w:ascii="Arial" w:hAnsi="Arial" w:cs="Arial"/>
          <w:sz w:val="24"/>
          <w:szCs w:val="24"/>
        </w:rPr>
        <w:t>There is no substantive change to the operation of the provision.</w:t>
      </w:r>
    </w:p>
    <w:p w14:paraId="11410328" w14:textId="72D514A8" w:rsidR="00B81CC5" w:rsidRDefault="00B81CC5" w:rsidP="00B81CC5">
      <w:pPr>
        <w:ind w:left="1440" w:hanging="1440"/>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43</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107 (3) (b)</w:t>
      </w:r>
    </w:p>
    <w:p w14:paraId="2F6679C3" w14:textId="77777777" w:rsidR="00E468DD" w:rsidRDefault="00E468DD" w:rsidP="00E468DD">
      <w:pPr>
        <w:rPr>
          <w:rFonts w:ascii="Arial" w:hAnsi="Arial" w:cs="Arial"/>
          <w:sz w:val="24"/>
          <w:szCs w:val="24"/>
        </w:rPr>
      </w:pPr>
      <w:r w:rsidRPr="00417E2B">
        <w:rPr>
          <w:rFonts w:ascii="Arial" w:hAnsi="Arial" w:cs="Arial"/>
          <w:sz w:val="24"/>
          <w:szCs w:val="24"/>
        </w:rPr>
        <w:t xml:space="preserve">This is a minor and technical amendment </w:t>
      </w:r>
      <w:r>
        <w:rPr>
          <w:rFonts w:ascii="Arial" w:hAnsi="Arial" w:cs="Arial"/>
          <w:sz w:val="24"/>
          <w:szCs w:val="24"/>
        </w:rPr>
        <w:t>for consistency of</w:t>
      </w:r>
      <w:r w:rsidRPr="000C250A">
        <w:rPr>
          <w:rFonts w:ascii="Arial" w:hAnsi="Arial" w:cs="Arial"/>
          <w:sz w:val="24"/>
          <w:szCs w:val="24"/>
        </w:rPr>
        <w:t xml:space="preserve"> wording </w:t>
      </w:r>
      <w:r>
        <w:rPr>
          <w:rFonts w:ascii="Arial" w:hAnsi="Arial" w:cs="Arial"/>
          <w:sz w:val="24"/>
          <w:szCs w:val="24"/>
        </w:rPr>
        <w:t>within</w:t>
      </w:r>
      <w:r w:rsidRPr="000C250A">
        <w:rPr>
          <w:rFonts w:ascii="Arial" w:hAnsi="Arial" w:cs="Arial"/>
          <w:sz w:val="24"/>
          <w:szCs w:val="24"/>
        </w:rPr>
        <w:t xml:space="preserve"> this </w:t>
      </w:r>
      <w:r>
        <w:rPr>
          <w:rFonts w:ascii="Arial" w:hAnsi="Arial" w:cs="Arial"/>
          <w:sz w:val="24"/>
          <w:szCs w:val="24"/>
        </w:rPr>
        <w:t>provision and for consistency with other provisions in the Act.</w:t>
      </w:r>
      <w:r w:rsidRPr="000C250A">
        <w:rPr>
          <w:rFonts w:ascii="Arial" w:hAnsi="Arial" w:cs="Arial"/>
          <w:sz w:val="24"/>
          <w:szCs w:val="24"/>
        </w:rPr>
        <w:t xml:space="preserve"> </w:t>
      </w:r>
      <w:r>
        <w:rPr>
          <w:rFonts w:ascii="Arial" w:hAnsi="Arial" w:cs="Arial"/>
          <w:sz w:val="24"/>
          <w:szCs w:val="24"/>
        </w:rPr>
        <w:t>There is no substantive change to the operation of the provision.</w:t>
      </w:r>
    </w:p>
    <w:p w14:paraId="3A7AAC23" w14:textId="738673A1" w:rsidR="00B81CC5" w:rsidRDefault="00B81CC5" w:rsidP="00B81CC5">
      <w:pPr>
        <w:ind w:left="1440" w:hanging="1440"/>
        <w:rPr>
          <w:rFonts w:ascii="Arial" w:hAnsi="Arial" w:cs="Arial"/>
          <w:b/>
          <w:bCs/>
          <w:sz w:val="24"/>
          <w:szCs w:val="24"/>
        </w:rPr>
      </w:pPr>
      <w:r w:rsidRPr="00966E47">
        <w:rPr>
          <w:rFonts w:ascii="Arial" w:hAnsi="Arial" w:cs="Arial"/>
          <w:b/>
          <w:bCs/>
          <w:sz w:val="24"/>
          <w:szCs w:val="24"/>
        </w:rPr>
        <w:t xml:space="preserve">Clause </w:t>
      </w:r>
      <w:r w:rsidR="00FE167F">
        <w:rPr>
          <w:rFonts w:ascii="Arial" w:hAnsi="Arial" w:cs="Arial"/>
          <w:b/>
          <w:bCs/>
          <w:sz w:val="24"/>
          <w:szCs w:val="24"/>
        </w:rPr>
        <w:t>44</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111 (7) (b)</w:t>
      </w:r>
    </w:p>
    <w:p w14:paraId="1F507EF8" w14:textId="77777777" w:rsidR="00E468DD" w:rsidRDefault="00E468DD" w:rsidP="00E468DD">
      <w:pPr>
        <w:rPr>
          <w:rFonts w:ascii="Arial" w:hAnsi="Arial" w:cs="Arial"/>
          <w:sz w:val="24"/>
          <w:szCs w:val="24"/>
        </w:rPr>
      </w:pPr>
      <w:r w:rsidRPr="00417E2B">
        <w:rPr>
          <w:rFonts w:ascii="Arial" w:hAnsi="Arial" w:cs="Arial"/>
          <w:sz w:val="24"/>
          <w:szCs w:val="24"/>
        </w:rPr>
        <w:t xml:space="preserve">This is a minor and technical amendment </w:t>
      </w:r>
      <w:r>
        <w:rPr>
          <w:rFonts w:ascii="Arial" w:hAnsi="Arial" w:cs="Arial"/>
          <w:sz w:val="24"/>
          <w:szCs w:val="24"/>
        </w:rPr>
        <w:t>for consistency of</w:t>
      </w:r>
      <w:r w:rsidRPr="000C250A">
        <w:rPr>
          <w:rFonts w:ascii="Arial" w:hAnsi="Arial" w:cs="Arial"/>
          <w:sz w:val="24"/>
          <w:szCs w:val="24"/>
        </w:rPr>
        <w:t xml:space="preserve"> wording </w:t>
      </w:r>
      <w:r>
        <w:rPr>
          <w:rFonts w:ascii="Arial" w:hAnsi="Arial" w:cs="Arial"/>
          <w:sz w:val="24"/>
          <w:szCs w:val="24"/>
        </w:rPr>
        <w:t>within</w:t>
      </w:r>
      <w:r w:rsidRPr="000C250A">
        <w:rPr>
          <w:rFonts w:ascii="Arial" w:hAnsi="Arial" w:cs="Arial"/>
          <w:sz w:val="24"/>
          <w:szCs w:val="24"/>
        </w:rPr>
        <w:t xml:space="preserve"> this </w:t>
      </w:r>
      <w:r>
        <w:rPr>
          <w:rFonts w:ascii="Arial" w:hAnsi="Arial" w:cs="Arial"/>
          <w:sz w:val="24"/>
          <w:szCs w:val="24"/>
        </w:rPr>
        <w:t>provision and for consistency with other provisions in the Act.</w:t>
      </w:r>
      <w:r w:rsidRPr="000C250A">
        <w:rPr>
          <w:rFonts w:ascii="Arial" w:hAnsi="Arial" w:cs="Arial"/>
          <w:sz w:val="24"/>
          <w:szCs w:val="24"/>
        </w:rPr>
        <w:t xml:space="preserve"> </w:t>
      </w:r>
      <w:r>
        <w:rPr>
          <w:rFonts w:ascii="Arial" w:hAnsi="Arial" w:cs="Arial"/>
          <w:sz w:val="24"/>
          <w:szCs w:val="24"/>
        </w:rPr>
        <w:t>There is no substantive change to the operation of the provision.</w:t>
      </w:r>
    </w:p>
    <w:p w14:paraId="14D15114" w14:textId="080ED869" w:rsidR="00B81CC5" w:rsidRDefault="00B81CC5" w:rsidP="005610B4">
      <w:pPr>
        <w:keepNext/>
        <w:ind w:left="1440" w:hanging="1440"/>
        <w:rPr>
          <w:rFonts w:ascii="Arial" w:hAnsi="Arial" w:cs="Arial"/>
          <w:b/>
          <w:bCs/>
          <w:sz w:val="24"/>
          <w:szCs w:val="24"/>
        </w:rPr>
      </w:pPr>
      <w:r w:rsidRPr="00966E47">
        <w:rPr>
          <w:rFonts w:ascii="Arial" w:hAnsi="Arial" w:cs="Arial"/>
          <w:b/>
          <w:bCs/>
          <w:sz w:val="24"/>
          <w:szCs w:val="24"/>
        </w:rPr>
        <w:lastRenderedPageBreak/>
        <w:t xml:space="preserve">Clause </w:t>
      </w:r>
      <w:r w:rsidR="00FE167F">
        <w:rPr>
          <w:rFonts w:ascii="Arial" w:hAnsi="Arial" w:cs="Arial"/>
          <w:b/>
          <w:bCs/>
          <w:sz w:val="24"/>
          <w:szCs w:val="24"/>
        </w:rPr>
        <w:t>45</w:t>
      </w:r>
      <w:r>
        <w:rPr>
          <w:rFonts w:ascii="Arial" w:hAnsi="Arial" w:cs="Arial"/>
          <w:b/>
          <w:bCs/>
          <w:sz w:val="24"/>
          <w:szCs w:val="24"/>
        </w:rPr>
        <w:tab/>
      </w:r>
      <w:r>
        <w:rPr>
          <w:rFonts w:ascii="Arial" w:hAnsi="Arial" w:cs="Arial"/>
          <w:b/>
          <w:bCs/>
          <w:sz w:val="24"/>
          <w:szCs w:val="24"/>
        </w:rPr>
        <w:tab/>
      </w:r>
      <w:r w:rsidRPr="00B81CC5">
        <w:rPr>
          <w:rFonts w:ascii="Arial" w:hAnsi="Arial" w:cs="Arial"/>
          <w:b/>
          <w:bCs/>
          <w:sz w:val="24"/>
          <w:szCs w:val="24"/>
        </w:rPr>
        <w:t>Schedule 2, clause 112 (4) (b)</w:t>
      </w:r>
    </w:p>
    <w:p w14:paraId="56A404E2" w14:textId="77777777" w:rsidR="00E468DD" w:rsidRDefault="00E468DD" w:rsidP="005610B4">
      <w:pPr>
        <w:keepNext/>
        <w:rPr>
          <w:rFonts w:ascii="Arial" w:hAnsi="Arial" w:cs="Arial"/>
          <w:sz w:val="24"/>
          <w:szCs w:val="24"/>
        </w:rPr>
      </w:pPr>
      <w:r w:rsidRPr="00417E2B">
        <w:rPr>
          <w:rFonts w:ascii="Arial" w:hAnsi="Arial" w:cs="Arial"/>
          <w:sz w:val="24"/>
          <w:szCs w:val="24"/>
        </w:rPr>
        <w:t xml:space="preserve">This is a minor and technical amendment </w:t>
      </w:r>
      <w:r>
        <w:rPr>
          <w:rFonts w:ascii="Arial" w:hAnsi="Arial" w:cs="Arial"/>
          <w:sz w:val="24"/>
          <w:szCs w:val="24"/>
        </w:rPr>
        <w:t>for consistency of</w:t>
      </w:r>
      <w:r w:rsidRPr="000C250A">
        <w:rPr>
          <w:rFonts w:ascii="Arial" w:hAnsi="Arial" w:cs="Arial"/>
          <w:sz w:val="24"/>
          <w:szCs w:val="24"/>
        </w:rPr>
        <w:t xml:space="preserve"> wording </w:t>
      </w:r>
      <w:r>
        <w:rPr>
          <w:rFonts w:ascii="Arial" w:hAnsi="Arial" w:cs="Arial"/>
          <w:sz w:val="24"/>
          <w:szCs w:val="24"/>
        </w:rPr>
        <w:t>within</w:t>
      </w:r>
      <w:r w:rsidRPr="000C250A">
        <w:rPr>
          <w:rFonts w:ascii="Arial" w:hAnsi="Arial" w:cs="Arial"/>
          <w:sz w:val="24"/>
          <w:szCs w:val="24"/>
        </w:rPr>
        <w:t xml:space="preserve"> this </w:t>
      </w:r>
      <w:r>
        <w:rPr>
          <w:rFonts w:ascii="Arial" w:hAnsi="Arial" w:cs="Arial"/>
          <w:sz w:val="24"/>
          <w:szCs w:val="24"/>
        </w:rPr>
        <w:t>provision and for consistency with other provisions in the Act.</w:t>
      </w:r>
      <w:r w:rsidRPr="000C250A">
        <w:rPr>
          <w:rFonts w:ascii="Arial" w:hAnsi="Arial" w:cs="Arial"/>
          <w:sz w:val="24"/>
          <w:szCs w:val="24"/>
        </w:rPr>
        <w:t xml:space="preserve"> </w:t>
      </w:r>
      <w:r>
        <w:rPr>
          <w:rFonts w:ascii="Arial" w:hAnsi="Arial" w:cs="Arial"/>
          <w:sz w:val="24"/>
          <w:szCs w:val="24"/>
        </w:rPr>
        <w:t>There is no substantive change to the operation of the provision.</w:t>
      </w:r>
    </w:p>
    <w:p w14:paraId="4238AF75" w14:textId="1088882B" w:rsidR="0014128F" w:rsidRDefault="0014128F" w:rsidP="00E468DD">
      <w:pPr>
        <w:rPr>
          <w:rFonts w:ascii="Arial" w:hAnsi="Arial" w:cs="Arial"/>
          <w:b/>
          <w:bCs/>
          <w:i/>
          <w:iCs/>
          <w:sz w:val="24"/>
          <w:szCs w:val="24"/>
        </w:rPr>
      </w:pPr>
      <w:r w:rsidRPr="005610B4">
        <w:rPr>
          <w:rFonts w:ascii="Arial" w:hAnsi="Arial" w:cs="Arial"/>
          <w:b/>
          <w:bCs/>
          <w:sz w:val="24"/>
          <w:szCs w:val="24"/>
        </w:rPr>
        <w:t>Clause 46</w:t>
      </w:r>
      <w:r>
        <w:rPr>
          <w:rFonts w:ascii="Arial" w:hAnsi="Arial" w:cs="Arial"/>
          <w:b/>
          <w:bCs/>
          <w:sz w:val="24"/>
          <w:szCs w:val="24"/>
        </w:rPr>
        <w:tab/>
      </w:r>
      <w:r>
        <w:rPr>
          <w:rFonts w:ascii="Arial" w:hAnsi="Arial" w:cs="Arial"/>
          <w:b/>
          <w:bCs/>
          <w:sz w:val="24"/>
          <w:szCs w:val="24"/>
        </w:rPr>
        <w:tab/>
      </w:r>
      <w:r w:rsidRPr="0014128F">
        <w:rPr>
          <w:rFonts w:ascii="Arial" w:hAnsi="Arial" w:cs="Arial"/>
          <w:b/>
          <w:bCs/>
          <w:sz w:val="24"/>
          <w:szCs w:val="24"/>
        </w:rPr>
        <w:t xml:space="preserve">Dictionary, new definition of </w:t>
      </w:r>
      <w:r w:rsidRPr="005610B4">
        <w:rPr>
          <w:rFonts w:ascii="Arial" w:hAnsi="Arial" w:cs="Arial"/>
          <w:b/>
          <w:bCs/>
          <w:i/>
          <w:iCs/>
          <w:sz w:val="24"/>
          <w:szCs w:val="24"/>
        </w:rPr>
        <w:t>Residential Tenancies Act</w:t>
      </w:r>
    </w:p>
    <w:p w14:paraId="46ADB133" w14:textId="4B813CDF" w:rsidR="0014128F" w:rsidRPr="005610B4" w:rsidRDefault="0014128F" w:rsidP="005610B4">
      <w:pPr>
        <w:keepNext/>
        <w:rPr>
          <w:rFonts w:ascii="Arial" w:hAnsi="Arial" w:cs="Arial"/>
          <w:b/>
          <w:bCs/>
          <w:sz w:val="24"/>
          <w:szCs w:val="24"/>
        </w:rPr>
      </w:pPr>
      <w:r w:rsidRPr="00B762E0">
        <w:rPr>
          <w:rFonts w:ascii="Arial" w:hAnsi="Arial" w:cs="Arial"/>
          <w:sz w:val="24"/>
          <w:szCs w:val="24"/>
        </w:rPr>
        <w:t>This</w:t>
      </w:r>
      <w:r>
        <w:rPr>
          <w:rFonts w:ascii="Arial" w:hAnsi="Arial" w:cs="Arial"/>
          <w:b/>
          <w:bCs/>
          <w:sz w:val="24"/>
          <w:szCs w:val="24"/>
        </w:rPr>
        <w:t xml:space="preserve"> </w:t>
      </w:r>
      <w:r>
        <w:rPr>
          <w:rFonts w:ascii="Arial" w:hAnsi="Arial" w:cs="Arial"/>
          <w:sz w:val="24"/>
          <w:szCs w:val="24"/>
        </w:rPr>
        <w:t xml:space="preserve">clause makes a minor and technical amendment which confirms that the definition of </w:t>
      </w:r>
      <w:r>
        <w:rPr>
          <w:rFonts w:ascii="Arial" w:hAnsi="Arial" w:cs="Arial"/>
          <w:i/>
          <w:iCs/>
          <w:sz w:val="24"/>
          <w:szCs w:val="24"/>
        </w:rPr>
        <w:t xml:space="preserve">Residential Tenancies Act </w:t>
      </w:r>
      <w:r>
        <w:rPr>
          <w:rFonts w:ascii="Arial" w:hAnsi="Arial" w:cs="Arial"/>
          <w:sz w:val="24"/>
          <w:szCs w:val="24"/>
        </w:rPr>
        <w:t xml:space="preserve">for the purposes of the standard residential tenancy terms in schedule 1 of the RTA means the </w:t>
      </w:r>
      <w:r>
        <w:rPr>
          <w:rFonts w:ascii="Arial" w:hAnsi="Arial" w:cs="Arial"/>
          <w:i/>
          <w:iCs/>
          <w:sz w:val="24"/>
          <w:szCs w:val="24"/>
        </w:rPr>
        <w:t>Residential Tenancies Act (1997)</w:t>
      </w:r>
      <w:r>
        <w:rPr>
          <w:rFonts w:ascii="Arial" w:hAnsi="Arial" w:cs="Arial"/>
          <w:sz w:val="24"/>
          <w:szCs w:val="24"/>
        </w:rPr>
        <w:t>.</w:t>
      </w:r>
    </w:p>
    <w:p w14:paraId="1D0EAFFF" w14:textId="3C90DD6E" w:rsidR="004B061C" w:rsidRDefault="004B061C" w:rsidP="00263821">
      <w:pPr>
        <w:keepNext/>
        <w:ind w:left="1440" w:hanging="1440"/>
        <w:rPr>
          <w:rFonts w:ascii="Arial" w:hAnsi="Arial" w:cs="Arial"/>
          <w:b/>
          <w:bCs/>
          <w:i/>
          <w:iCs/>
          <w:sz w:val="24"/>
          <w:szCs w:val="24"/>
        </w:rPr>
      </w:pPr>
      <w:r w:rsidRPr="00B762E0">
        <w:rPr>
          <w:rFonts w:ascii="Arial" w:hAnsi="Arial" w:cs="Arial"/>
          <w:b/>
          <w:bCs/>
          <w:sz w:val="24"/>
          <w:szCs w:val="24"/>
        </w:rPr>
        <w:t xml:space="preserve">Clause </w:t>
      </w:r>
      <w:r w:rsidR="00FE167F">
        <w:rPr>
          <w:rFonts w:ascii="Arial" w:hAnsi="Arial" w:cs="Arial"/>
          <w:b/>
          <w:bCs/>
          <w:sz w:val="24"/>
          <w:szCs w:val="24"/>
        </w:rPr>
        <w:t>47</w:t>
      </w:r>
      <w:r w:rsidRPr="00B762E0">
        <w:rPr>
          <w:rFonts w:ascii="Arial" w:hAnsi="Arial" w:cs="Arial"/>
          <w:b/>
          <w:bCs/>
          <w:sz w:val="24"/>
          <w:szCs w:val="24"/>
        </w:rPr>
        <w:tab/>
      </w:r>
      <w:r w:rsidRPr="00B762E0">
        <w:rPr>
          <w:rFonts w:ascii="Arial" w:hAnsi="Arial" w:cs="Arial"/>
          <w:b/>
          <w:bCs/>
          <w:sz w:val="24"/>
          <w:szCs w:val="24"/>
        </w:rPr>
        <w:tab/>
        <w:t xml:space="preserve">Dictionary, definition of </w:t>
      </w:r>
      <w:r w:rsidRPr="00B762E0">
        <w:rPr>
          <w:rFonts w:ascii="Arial" w:hAnsi="Arial" w:cs="Arial"/>
          <w:b/>
          <w:bCs/>
          <w:i/>
          <w:iCs/>
          <w:sz w:val="24"/>
          <w:szCs w:val="24"/>
        </w:rPr>
        <w:t>tribunal</w:t>
      </w:r>
    </w:p>
    <w:p w14:paraId="783A7144" w14:textId="6BAE08CD" w:rsidR="00B762E0" w:rsidRPr="00B762E0" w:rsidRDefault="00B762E0" w:rsidP="00263821">
      <w:pPr>
        <w:keepNext/>
        <w:rPr>
          <w:rFonts w:ascii="Arial" w:hAnsi="Arial" w:cs="Arial"/>
          <w:b/>
          <w:bCs/>
          <w:sz w:val="24"/>
          <w:szCs w:val="24"/>
        </w:rPr>
      </w:pPr>
      <w:r w:rsidRPr="00B762E0">
        <w:rPr>
          <w:rFonts w:ascii="Arial" w:hAnsi="Arial" w:cs="Arial"/>
          <w:sz w:val="24"/>
          <w:szCs w:val="24"/>
        </w:rPr>
        <w:t>This</w:t>
      </w:r>
      <w:r>
        <w:rPr>
          <w:rFonts w:ascii="Arial" w:hAnsi="Arial" w:cs="Arial"/>
          <w:b/>
          <w:bCs/>
          <w:sz w:val="24"/>
          <w:szCs w:val="24"/>
        </w:rPr>
        <w:t xml:space="preserve"> </w:t>
      </w:r>
      <w:r>
        <w:rPr>
          <w:rFonts w:ascii="Arial" w:hAnsi="Arial" w:cs="Arial"/>
          <w:sz w:val="24"/>
          <w:szCs w:val="24"/>
        </w:rPr>
        <w:t xml:space="preserve">clause makes a minor and technical amendment which </w:t>
      </w:r>
      <w:r w:rsidR="00B81CC5">
        <w:rPr>
          <w:rFonts w:ascii="Arial" w:hAnsi="Arial" w:cs="Arial"/>
          <w:sz w:val="24"/>
          <w:szCs w:val="24"/>
        </w:rPr>
        <w:t>ensures that</w:t>
      </w:r>
      <w:r>
        <w:rPr>
          <w:rFonts w:ascii="Arial" w:hAnsi="Arial" w:cs="Arial"/>
          <w:sz w:val="24"/>
          <w:szCs w:val="24"/>
        </w:rPr>
        <w:t xml:space="preserve"> the definition of </w:t>
      </w:r>
      <w:r>
        <w:rPr>
          <w:rFonts w:ascii="Arial" w:hAnsi="Arial" w:cs="Arial"/>
          <w:i/>
          <w:iCs/>
          <w:sz w:val="24"/>
          <w:szCs w:val="24"/>
        </w:rPr>
        <w:t>tribunal</w:t>
      </w:r>
      <w:r>
        <w:rPr>
          <w:rFonts w:ascii="Arial" w:hAnsi="Arial" w:cs="Arial"/>
          <w:sz w:val="24"/>
          <w:szCs w:val="24"/>
        </w:rPr>
        <w:t xml:space="preserve"> </w:t>
      </w:r>
      <w:r w:rsidR="00E468DD">
        <w:rPr>
          <w:rFonts w:ascii="Arial" w:hAnsi="Arial" w:cs="Arial"/>
          <w:sz w:val="24"/>
          <w:szCs w:val="24"/>
        </w:rPr>
        <w:t>also applies</w:t>
      </w:r>
      <w:r>
        <w:rPr>
          <w:rFonts w:ascii="Arial" w:hAnsi="Arial" w:cs="Arial"/>
          <w:sz w:val="24"/>
          <w:szCs w:val="24"/>
        </w:rPr>
        <w:t xml:space="preserve"> </w:t>
      </w:r>
      <w:r w:rsidR="00B81CC5">
        <w:rPr>
          <w:rFonts w:ascii="Arial" w:hAnsi="Arial" w:cs="Arial"/>
          <w:sz w:val="24"/>
          <w:szCs w:val="24"/>
        </w:rPr>
        <w:t xml:space="preserve">in relation </w:t>
      </w:r>
      <w:r>
        <w:rPr>
          <w:rFonts w:ascii="Arial" w:hAnsi="Arial" w:cs="Arial"/>
          <w:sz w:val="24"/>
          <w:szCs w:val="24"/>
        </w:rPr>
        <w:t>to schedule 2</w:t>
      </w:r>
      <w:r w:rsidR="00B81CC5">
        <w:rPr>
          <w:rFonts w:ascii="Arial" w:hAnsi="Arial" w:cs="Arial"/>
          <w:sz w:val="24"/>
          <w:szCs w:val="24"/>
        </w:rPr>
        <w:t xml:space="preserve"> of the </w:t>
      </w:r>
      <w:r w:rsidR="00E468DD">
        <w:rPr>
          <w:rFonts w:ascii="Arial" w:hAnsi="Arial" w:cs="Arial"/>
          <w:sz w:val="24"/>
          <w:szCs w:val="24"/>
        </w:rPr>
        <w:t>RTA</w:t>
      </w:r>
      <w:r>
        <w:rPr>
          <w:rFonts w:ascii="Arial" w:hAnsi="Arial" w:cs="Arial"/>
          <w:sz w:val="24"/>
          <w:szCs w:val="24"/>
        </w:rPr>
        <w:t>.</w:t>
      </w:r>
    </w:p>
    <w:p w14:paraId="07D3D937" w14:textId="10473179" w:rsidR="004B061C" w:rsidRDefault="004B061C" w:rsidP="004B18C5">
      <w:pPr>
        <w:rPr>
          <w:rFonts w:ascii="Arial" w:hAnsi="Arial" w:cs="Arial"/>
          <w:b/>
          <w:bCs/>
          <w:sz w:val="24"/>
          <w:szCs w:val="24"/>
        </w:rPr>
      </w:pPr>
      <w:r w:rsidRPr="00B762E0">
        <w:rPr>
          <w:rFonts w:ascii="Arial" w:hAnsi="Arial" w:cs="Arial"/>
          <w:b/>
          <w:bCs/>
          <w:sz w:val="24"/>
          <w:szCs w:val="24"/>
        </w:rPr>
        <w:t>Schedule 1</w:t>
      </w:r>
      <w:r w:rsidRPr="00B762E0">
        <w:rPr>
          <w:rFonts w:ascii="Arial" w:hAnsi="Arial" w:cs="Arial"/>
          <w:b/>
          <w:bCs/>
          <w:sz w:val="24"/>
          <w:szCs w:val="24"/>
        </w:rPr>
        <w:tab/>
      </w:r>
      <w:r w:rsidRPr="00B762E0">
        <w:rPr>
          <w:rFonts w:ascii="Arial" w:hAnsi="Arial" w:cs="Arial"/>
          <w:b/>
          <w:bCs/>
          <w:sz w:val="24"/>
          <w:szCs w:val="24"/>
        </w:rPr>
        <w:tab/>
      </w:r>
      <w:r w:rsidR="00B81CC5">
        <w:rPr>
          <w:rFonts w:ascii="Arial" w:hAnsi="Arial" w:cs="Arial"/>
          <w:b/>
          <w:bCs/>
          <w:sz w:val="24"/>
          <w:szCs w:val="24"/>
        </w:rPr>
        <w:t>Other</w:t>
      </w:r>
      <w:r w:rsidRPr="00B762E0">
        <w:rPr>
          <w:rFonts w:ascii="Arial" w:hAnsi="Arial" w:cs="Arial"/>
          <w:b/>
          <w:bCs/>
          <w:sz w:val="24"/>
          <w:szCs w:val="24"/>
        </w:rPr>
        <w:t xml:space="preserve"> amendments</w:t>
      </w:r>
    </w:p>
    <w:p w14:paraId="4BB143DC" w14:textId="328D1F44" w:rsidR="00DB30A6" w:rsidRPr="004002C7" w:rsidRDefault="004B061C" w:rsidP="00DB30A6">
      <w:pPr>
        <w:rPr>
          <w:rFonts w:ascii="Arial" w:hAnsi="Arial" w:cs="Arial"/>
          <w:sz w:val="24"/>
          <w:szCs w:val="24"/>
        </w:rPr>
      </w:pPr>
      <w:r w:rsidRPr="004B061C">
        <w:rPr>
          <w:rFonts w:ascii="Arial" w:hAnsi="Arial" w:cs="Arial"/>
          <w:sz w:val="24"/>
          <w:szCs w:val="24"/>
        </w:rPr>
        <w:t>Schedule</w:t>
      </w:r>
      <w:r w:rsidRPr="00AD26E4">
        <w:rPr>
          <w:rFonts w:ascii="Arial" w:hAnsi="Arial" w:cs="Arial"/>
          <w:sz w:val="24"/>
          <w:szCs w:val="24"/>
        </w:rPr>
        <w:t xml:space="preserve"> 1 </w:t>
      </w:r>
      <w:r w:rsidR="0014128F">
        <w:rPr>
          <w:rFonts w:ascii="Arial" w:hAnsi="Arial" w:cs="Arial"/>
          <w:sz w:val="24"/>
          <w:szCs w:val="24"/>
        </w:rPr>
        <w:t>(other</w:t>
      </w:r>
      <w:r w:rsidRPr="00AD26E4">
        <w:rPr>
          <w:rFonts w:ascii="Arial" w:hAnsi="Arial" w:cs="Arial"/>
          <w:sz w:val="24"/>
          <w:szCs w:val="24"/>
        </w:rPr>
        <w:t xml:space="preserve"> amendments</w:t>
      </w:r>
      <w:r w:rsidR="0014128F">
        <w:rPr>
          <w:rFonts w:ascii="Arial" w:hAnsi="Arial" w:cs="Arial"/>
          <w:sz w:val="24"/>
          <w:szCs w:val="24"/>
        </w:rPr>
        <w:t>)</w:t>
      </w:r>
      <w:r w:rsidRPr="00AD26E4">
        <w:rPr>
          <w:rFonts w:ascii="Arial" w:hAnsi="Arial" w:cs="Arial"/>
          <w:sz w:val="24"/>
          <w:szCs w:val="24"/>
        </w:rPr>
        <w:t xml:space="preserve"> </w:t>
      </w:r>
      <w:r w:rsidR="00DB30A6" w:rsidRPr="00DB30A6">
        <w:rPr>
          <w:rFonts w:ascii="Arial" w:hAnsi="Arial" w:cs="Arial"/>
          <w:sz w:val="24"/>
          <w:szCs w:val="24"/>
        </w:rPr>
        <w:t>make</w:t>
      </w:r>
      <w:r w:rsidR="00B762E0">
        <w:rPr>
          <w:rFonts w:ascii="Arial" w:hAnsi="Arial" w:cs="Arial"/>
          <w:sz w:val="24"/>
          <w:szCs w:val="24"/>
        </w:rPr>
        <w:t>s</w:t>
      </w:r>
      <w:r w:rsidRPr="00AD26E4">
        <w:rPr>
          <w:rFonts w:ascii="Arial" w:hAnsi="Arial" w:cs="Arial"/>
          <w:sz w:val="24"/>
          <w:szCs w:val="24"/>
        </w:rPr>
        <w:t xml:space="preserve"> a </w:t>
      </w:r>
      <w:r w:rsidRPr="004B061C">
        <w:rPr>
          <w:rFonts w:ascii="Arial" w:hAnsi="Arial" w:cs="Arial"/>
          <w:sz w:val="24"/>
          <w:szCs w:val="24"/>
        </w:rPr>
        <w:t>series</w:t>
      </w:r>
      <w:r w:rsidRPr="00AD26E4">
        <w:rPr>
          <w:rFonts w:ascii="Arial" w:hAnsi="Arial" w:cs="Arial"/>
          <w:sz w:val="24"/>
          <w:szCs w:val="24"/>
        </w:rPr>
        <w:t xml:space="preserve"> of minor and technical amendments to </w:t>
      </w:r>
      <w:r w:rsidR="00DB30A6">
        <w:rPr>
          <w:rFonts w:ascii="Arial" w:hAnsi="Arial" w:cs="Arial"/>
          <w:sz w:val="24"/>
          <w:szCs w:val="24"/>
        </w:rPr>
        <w:t xml:space="preserve">definitions, </w:t>
      </w:r>
      <w:r w:rsidR="0064278B">
        <w:rPr>
          <w:rFonts w:ascii="Arial" w:hAnsi="Arial" w:cs="Arial"/>
          <w:sz w:val="24"/>
          <w:szCs w:val="24"/>
        </w:rPr>
        <w:t xml:space="preserve">with the purpose of updating </w:t>
      </w:r>
      <w:r w:rsidR="00D714D6">
        <w:rPr>
          <w:rFonts w:ascii="Arial" w:hAnsi="Arial" w:cs="Arial"/>
          <w:sz w:val="24"/>
          <w:szCs w:val="24"/>
        </w:rPr>
        <w:t>references</w:t>
      </w:r>
      <w:r w:rsidR="0064278B">
        <w:rPr>
          <w:rFonts w:ascii="Arial" w:hAnsi="Arial" w:cs="Arial"/>
          <w:sz w:val="24"/>
          <w:szCs w:val="24"/>
        </w:rPr>
        <w:t xml:space="preserve"> in ACT laws </w:t>
      </w:r>
      <w:r w:rsidR="00D714D6">
        <w:rPr>
          <w:rFonts w:ascii="Arial" w:hAnsi="Arial" w:cs="Arial"/>
          <w:sz w:val="24"/>
          <w:szCs w:val="24"/>
        </w:rPr>
        <w:t xml:space="preserve">to the </w:t>
      </w:r>
      <w:r w:rsidR="00D714D6" w:rsidRPr="00D714D6">
        <w:rPr>
          <w:rFonts w:ascii="Arial" w:hAnsi="Arial" w:cs="Arial"/>
          <w:i/>
          <w:iCs/>
          <w:sz w:val="24"/>
          <w:szCs w:val="24"/>
        </w:rPr>
        <w:t>Aged Care Act 1997</w:t>
      </w:r>
      <w:r w:rsidR="00D714D6">
        <w:rPr>
          <w:rFonts w:ascii="Arial" w:hAnsi="Arial" w:cs="Arial"/>
          <w:sz w:val="24"/>
          <w:szCs w:val="24"/>
        </w:rPr>
        <w:t xml:space="preserve"> (Cw</w:t>
      </w:r>
      <w:r w:rsidR="0014128F">
        <w:rPr>
          <w:rFonts w:ascii="Arial" w:hAnsi="Arial" w:cs="Arial"/>
          <w:sz w:val="24"/>
          <w:szCs w:val="24"/>
        </w:rPr>
        <w:t>l</w:t>
      </w:r>
      <w:r w:rsidR="00D714D6">
        <w:rPr>
          <w:rFonts w:ascii="Arial" w:hAnsi="Arial" w:cs="Arial"/>
          <w:sz w:val="24"/>
          <w:szCs w:val="24"/>
        </w:rPr>
        <w:t>th)</w:t>
      </w:r>
      <w:r w:rsidR="0064278B">
        <w:rPr>
          <w:rFonts w:ascii="Arial" w:hAnsi="Arial" w:cs="Arial"/>
          <w:sz w:val="24"/>
          <w:szCs w:val="24"/>
        </w:rPr>
        <w:t>.</w:t>
      </w:r>
      <w:r w:rsidR="00D714D6">
        <w:rPr>
          <w:rFonts w:ascii="Arial" w:hAnsi="Arial" w:cs="Arial"/>
          <w:sz w:val="24"/>
          <w:szCs w:val="24"/>
        </w:rPr>
        <w:t xml:space="preserve"> </w:t>
      </w:r>
      <w:r w:rsidR="0064278B">
        <w:rPr>
          <w:rFonts w:ascii="Arial" w:hAnsi="Arial" w:cs="Arial"/>
          <w:sz w:val="24"/>
          <w:szCs w:val="24"/>
        </w:rPr>
        <w:t xml:space="preserve">This Act </w:t>
      </w:r>
      <w:r w:rsidR="00E468DD">
        <w:rPr>
          <w:rFonts w:ascii="Arial" w:hAnsi="Arial" w:cs="Arial"/>
          <w:sz w:val="24"/>
          <w:szCs w:val="24"/>
        </w:rPr>
        <w:t>will be</w:t>
      </w:r>
      <w:r w:rsidR="00DB30A6">
        <w:rPr>
          <w:rFonts w:ascii="Arial" w:hAnsi="Arial" w:cs="Arial"/>
          <w:sz w:val="24"/>
          <w:szCs w:val="24"/>
        </w:rPr>
        <w:t xml:space="preserve"> </w:t>
      </w:r>
      <w:r w:rsidR="00D714D6">
        <w:rPr>
          <w:rFonts w:ascii="Arial" w:hAnsi="Arial" w:cs="Arial"/>
          <w:sz w:val="24"/>
          <w:szCs w:val="24"/>
        </w:rPr>
        <w:t>repealed by</w:t>
      </w:r>
      <w:r w:rsidR="00DB30A6">
        <w:rPr>
          <w:rFonts w:ascii="Arial" w:hAnsi="Arial" w:cs="Arial"/>
          <w:sz w:val="24"/>
          <w:szCs w:val="24"/>
        </w:rPr>
        <w:t xml:space="preserve"> the </w:t>
      </w:r>
      <w:r w:rsidR="00DB30A6" w:rsidRPr="0027174E">
        <w:rPr>
          <w:rFonts w:ascii="Arial" w:hAnsi="Arial" w:cs="Arial"/>
          <w:i/>
          <w:iCs/>
          <w:sz w:val="24"/>
          <w:szCs w:val="24"/>
        </w:rPr>
        <w:t>Aged Care Act 2024</w:t>
      </w:r>
      <w:r w:rsidR="00DB30A6">
        <w:rPr>
          <w:rFonts w:ascii="Arial" w:hAnsi="Arial" w:cs="Arial"/>
          <w:sz w:val="24"/>
          <w:szCs w:val="24"/>
        </w:rPr>
        <w:t xml:space="preserve"> (Cwlth).</w:t>
      </w:r>
      <w:r w:rsidR="0064278B">
        <w:rPr>
          <w:rFonts w:ascii="Arial" w:hAnsi="Arial" w:cs="Arial"/>
          <w:sz w:val="24"/>
          <w:szCs w:val="24"/>
        </w:rPr>
        <w:t xml:space="preserve"> The updated definitions effected through Schedule 1 will refer to the newer Act. </w:t>
      </w:r>
      <w:r w:rsidR="0014128F">
        <w:rPr>
          <w:rFonts w:ascii="Arial" w:hAnsi="Arial" w:cs="Arial"/>
          <w:sz w:val="24"/>
          <w:szCs w:val="24"/>
        </w:rPr>
        <w:t>In certain instances</w:t>
      </w:r>
      <w:r w:rsidR="000E1E31">
        <w:rPr>
          <w:rFonts w:ascii="Arial" w:hAnsi="Arial" w:cs="Arial"/>
          <w:sz w:val="24"/>
          <w:szCs w:val="24"/>
        </w:rPr>
        <w:t>,</w:t>
      </w:r>
      <w:r w:rsidR="0014128F">
        <w:rPr>
          <w:rFonts w:ascii="Arial" w:hAnsi="Arial" w:cs="Arial"/>
          <w:sz w:val="24"/>
          <w:szCs w:val="24"/>
        </w:rPr>
        <w:t xml:space="preserve"> terminology has been updated to better align with the newer Act. For example, the amendments in clauses 1.19, 1.20 and 1.28 of Schedule 1 introduce the </w:t>
      </w:r>
      <w:r w:rsidR="0014128F" w:rsidRPr="0088714F">
        <w:rPr>
          <w:rFonts w:ascii="Arial" w:hAnsi="Arial" w:cs="Arial"/>
          <w:sz w:val="24"/>
          <w:szCs w:val="24"/>
        </w:rPr>
        <w:t>concept of</w:t>
      </w:r>
      <w:r w:rsidR="0014128F">
        <w:rPr>
          <w:rFonts w:ascii="Arial" w:hAnsi="Arial" w:cs="Arial"/>
          <w:sz w:val="24"/>
          <w:szCs w:val="24"/>
        </w:rPr>
        <w:t xml:space="preserve"> persons being</w:t>
      </w:r>
      <w:r w:rsidR="0014128F" w:rsidRPr="0088714F">
        <w:rPr>
          <w:rFonts w:ascii="Arial" w:hAnsi="Arial" w:cs="Arial"/>
          <w:sz w:val="24"/>
          <w:szCs w:val="24"/>
        </w:rPr>
        <w:t xml:space="preserve"> </w:t>
      </w:r>
      <w:r w:rsidR="0014128F" w:rsidRPr="005610B4">
        <w:rPr>
          <w:rFonts w:ascii="Arial" w:hAnsi="Arial" w:cs="Arial"/>
          <w:i/>
          <w:iCs/>
          <w:sz w:val="24"/>
          <w:szCs w:val="24"/>
        </w:rPr>
        <w:t>approved</w:t>
      </w:r>
      <w:r w:rsidR="0014128F" w:rsidRPr="0088714F">
        <w:rPr>
          <w:rFonts w:ascii="Arial" w:hAnsi="Arial" w:cs="Arial"/>
          <w:sz w:val="24"/>
          <w:szCs w:val="24"/>
        </w:rPr>
        <w:t xml:space="preserve"> for </w:t>
      </w:r>
      <w:r w:rsidR="0014128F" w:rsidRPr="005610B4">
        <w:rPr>
          <w:rFonts w:ascii="Arial" w:hAnsi="Arial" w:cs="Arial"/>
          <w:i/>
          <w:iCs/>
          <w:sz w:val="24"/>
          <w:szCs w:val="24"/>
        </w:rPr>
        <w:t>access</w:t>
      </w:r>
      <w:r w:rsidR="0014128F">
        <w:rPr>
          <w:rFonts w:ascii="Arial" w:hAnsi="Arial" w:cs="Arial"/>
          <w:sz w:val="24"/>
          <w:szCs w:val="24"/>
        </w:rPr>
        <w:t xml:space="preserve"> to aged care, instead of existing language around persons being </w:t>
      </w:r>
      <w:r w:rsidR="0014128F" w:rsidRPr="005610B4">
        <w:rPr>
          <w:rFonts w:ascii="Arial" w:hAnsi="Arial" w:cs="Arial"/>
          <w:i/>
          <w:iCs/>
          <w:sz w:val="24"/>
          <w:szCs w:val="24"/>
        </w:rPr>
        <w:t xml:space="preserve">assessed </w:t>
      </w:r>
      <w:r w:rsidR="0014128F">
        <w:rPr>
          <w:rFonts w:ascii="Arial" w:hAnsi="Arial" w:cs="Arial"/>
          <w:sz w:val="24"/>
          <w:szCs w:val="24"/>
        </w:rPr>
        <w:t>for their eligibility.</w:t>
      </w:r>
      <w:r w:rsidR="0014128F" w:rsidRPr="0088714F">
        <w:rPr>
          <w:rFonts w:ascii="Arial" w:hAnsi="Arial" w:cs="Arial"/>
          <w:sz w:val="24"/>
          <w:szCs w:val="24"/>
        </w:rPr>
        <w:t xml:space="preserve"> </w:t>
      </w:r>
      <w:r w:rsidR="0014128F">
        <w:rPr>
          <w:rFonts w:ascii="Arial" w:hAnsi="Arial" w:cs="Arial"/>
          <w:sz w:val="24"/>
          <w:szCs w:val="24"/>
        </w:rPr>
        <w:t>T</w:t>
      </w:r>
      <w:r w:rsidR="0014128F" w:rsidRPr="0088714F">
        <w:rPr>
          <w:rFonts w:ascii="Arial" w:hAnsi="Arial" w:cs="Arial"/>
          <w:sz w:val="24"/>
          <w:szCs w:val="24"/>
        </w:rPr>
        <w:t xml:space="preserve">his </w:t>
      </w:r>
      <w:r w:rsidR="0014128F">
        <w:rPr>
          <w:rFonts w:ascii="Arial" w:hAnsi="Arial" w:cs="Arial"/>
          <w:sz w:val="24"/>
          <w:szCs w:val="24"/>
        </w:rPr>
        <w:t xml:space="preserve">change </w:t>
      </w:r>
      <w:r w:rsidR="0014128F" w:rsidRPr="0088714F">
        <w:rPr>
          <w:rFonts w:ascii="Arial" w:hAnsi="Arial" w:cs="Arial"/>
          <w:sz w:val="24"/>
          <w:szCs w:val="24"/>
        </w:rPr>
        <w:t>aligns better with the 2024 Act, which treats the concept of an assessment of a person’s needs separately to the formal process of approval to enter an aged care facility.</w:t>
      </w:r>
      <w:r w:rsidR="0014128F">
        <w:rPr>
          <w:rFonts w:ascii="Arial" w:hAnsi="Arial" w:cs="Arial"/>
          <w:sz w:val="24"/>
          <w:szCs w:val="24"/>
        </w:rPr>
        <w:t xml:space="preserve"> </w:t>
      </w:r>
      <w:r w:rsidR="0064278B">
        <w:rPr>
          <w:rFonts w:ascii="Arial" w:hAnsi="Arial" w:cs="Arial"/>
          <w:sz w:val="24"/>
          <w:szCs w:val="24"/>
        </w:rPr>
        <w:t>There is no intention to alter the scope and effect of ACT laws.</w:t>
      </w:r>
    </w:p>
    <w:p w14:paraId="1B21DAF6" w14:textId="6A852683" w:rsidR="004B061C" w:rsidRPr="00AD26E4" w:rsidRDefault="004B061C" w:rsidP="004B18C5">
      <w:pPr>
        <w:rPr>
          <w:rFonts w:ascii="Arial" w:hAnsi="Arial" w:cs="Arial"/>
          <w:sz w:val="24"/>
          <w:szCs w:val="24"/>
        </w:rPr>
      </w:pPr>
    </w:p>
    <w:p w14:paraId="6E744304" w14:textId="1D9AE546" w:rsidR="004002C7" w:rsidRPr="004002C7" w:rsidRDefault="004002C7">
      <w:pPr>
        <w:rPr>
          <w:rFonts w:ascii="Arial" w:hAnsi="Arial" w:cs="Arial"/>
          <w:sz w:val="24"/>
          <w:szCs w:val="24"/>
        </w:rPr>
      </w:pPr>
    </w:p>
    <w:sectPr w:rsidR="004002C7" w:rsidRPr="004002C7" w:rsidSect="00F41A2F">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783F" w14:textId="77777777" w:rsidR="00FF119A" w:rsidRDefault="00FF119A" w:rsidP="00E90DF9">
      <w:pPr>
        <w:spacing w:after="0" w:line="240" w:lineRule="auto"/>
      </w:pPr>
      <w:r>
        <w:separator/>
      </w:r>
    </w:p>
  </w:endnote>
  <w:endnote w:type="continuationSeparator" w:id="0">
    <w:p w14:paraId="5CFDBDBC" w14:textId="77777777" w:rsidR="00FF119A" w:rsidRDefault="00FF119A"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90A5" w14:textId="77777777" w:rsidR="0071342B" w:rsidRDefault="00713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F2C0" w14:textId="03DDCBE2" w:rsidR="00EA692E" w:rsidRPr="0071342B" w:rsidRDefault="0071342B" w:rsidP="0071342B">
    <w:pPr>
      <w:pStyle w:val="Footer"/>
      <w:jc w:val="center"/>
      <w:rPr>
        <w:rFonts w:cs="Arial"/>
        <w:sz w:val="14"/>
      </w:rPr>
    </w:pPr>
    <w:r w:rsidRPr="0071342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53DA2D40" w14:textId="20B119C9" w:rsidR="00EA692E" w:rsidRPr="0071342B" w:rsidRDefault="0071342B" w:rsidP="0071342B">
    <w:pPr>
      <w:pStyle w:val="Footer"/>
      <w:spacing w:before="60" w:line="240" w:lineRule="auto"/>
      <w:jc w:val="center"/>
      <w:rPr>
        <w:rFonts w:cs="Arial"/>
        <w:sz w:val="14"/>
      </w:rPr>
    </w:pPr>
    <w:r w:rsidRPr="0071342B">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08AB92A8" w14:textId="6EE34A95" w:rsidR="00EA692E" w:rsidRPr="0071342B" w:rsidRDefault="0071342B" w:rsidP="0071342B">
    <w:pPr>
      <w:pStyle w:val="Footer"/>
      <w:jc w:val="center"/>
      <w:rPr>
        <w:rFonts w:cs="Arial"/>
        <w:sz w:val="14"/>
      </w:rPr>
    </w:pPr>
    <w:r w:rsidRPr="0071342B">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F8576" w14:textId="77777777" w:rsidR="00FF119A" w:rsidRDefault="00FF119A" w:rsidP="00E90DF9">
      <w:pPr>
        <w:spacing w:after="0" w:line="240" w:lineRule="auto"/>
      </w:pPr>
      <w:r>
        <w:separator/>
      </w:r>
    </w:p>
  </w:footnote>
  <w:footnote w:type="continuationSeparator" w:id="0">
    <w:p w14:paraId="55637571" w14:textId="77777777" w:rsidR="00FF119A" w:rsidRDefault="00FF119A" w:rsidP="00E90DF9">
      <w:pPr>
        <w:spacing w:after="0" w:line="240" w:lineRule="auto"/>
      </w:pPr>
      <w:r>
        <w:continuationSeparator/>
      </w:r>
    </w:p>
  </w:footnote>
  <w:footnote w:id="1">
    <w:p w14:paraId="32631B44" w14:textId="77777777" w:rsidR="00E125B0" w:rsidRPr="005610B4" w:rsidRDefault="00E125B0" w:rsidP="00E125B0">
      <w:pPr>
        <w:pStyle w:val="FootnoteText"/>
        <w:rPr>
          <w:rFonts w:ascii="Arial" w:hAnsi="Arial" w:cs="Arial"/>
        </w:rPr>
      </w:pPr>
      <w:r w:rsidRPr="005610B4">
        <w:rPr>
          <w:rStyle w:val="FootnoteReference"/>
          <w:rFonts w:ascii="Arial" w:hAnsi="Arial" w:cs="Arial"/>
        </w:rPr>
        <w:footnoteRef/>
      </w:r>
      <w:r w:rsidRPr="005610B4">
        <w:rPr>
          <w:rFonts w:ascii="Arial" w:hAnsi="Arial" w:cs="Arial"/>
        </w:rPr>
        <w:t xml:space="preserve"> Human Rights Commission Bill 2005, </w:t>
      </w:r>
      <w:hyperlink r:id="rId1" w:history="1">
        <w:r w:rsidRPr="005610B4">
          <w:rPr>
            <w:rStyle w:val="Hyperlink"/>
            <w:rFonts w:ascii="Arial" w:hAnsi="Arial" w:cs="Arial"/>
          </w:rPr>
          <w:t>Explanatory Statement</w:t>
        </w:r>
      </w:hyperlink>
      <w:r w:rsidRPr="005610B4">
        <w:rPr>
          <w:rFonts w:ascii="Arial" w:hAnsi="Arial" w:cs="Arial"/>
        </w:rPr>
        <w:t>, clause 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C45F" w14:textId="77777777" w:rsidR="0071342B" w:rsidRDefault="00713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D2D0" w14:textId="51EF6A76" w:rsidR="00EA692E" w:rsidRPr="00EA692E" w:rsidRDefault="00EA692E" w:rsidP="00EA692E">
    <w:pPr>
      <w:pStyle w:val="Header"/>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3E39" w14:textId="68D40F46" w:rsidR="00EA692E" w:rsidRPr="00EA692E" w:rsidRDefault="00EA692E" w:rsidP="00EA692E">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39E2"/>
    <w:multiLevelType w:val="hybridMultilevel"/>
    <w:tmpl w:val="DA78C780"/>
    <w:lvl w:ilvl="0" w:tplc="23FE0D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5FA7A07"/>
    <w:multiLevelType w:val="hybridMultilevel"/>
    <w:tmpl w:val="DF6A9644"/>
    <w:lvl w:ilvl="0" w:tplc="EA0EE1FA">
      <w:start w:val="1"/>
      <w:numFmt w:val="decimal"/>
      <w:lvlText w:val="%1."/>
      <w:lvlJc w:val="left"/>
      <w:pPr>
        <w:ind w:left="1080" w:hanging="360"/>
      </w:pPr>
      <w:rPr>
        <w:rFonts w:ascii="Arial" w:hAnsi="Arial" w:cs="Arial" w:hint="default"/>
        <w:i/>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82C211B"/>
    <w:multiLevelType w:val="hybridMultilevel"/>
    <w:tmpl w:val="ED5A2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426C18"/>
    <w:multiLevelType w:val="hybridMultilevel"/>
    <w:tmpl w:val="AF70CBBE"/>
    <w:lvl w:ilvl="0" w:tplc="80FE1F92">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B95706"/>
    <w:multiLevelType w:val="hybridMultilevel"/>
    <w:tmpl w:val="C33C5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867CA9"/>
    <w:multiLevelType w:val="multilevel"/>
    <w:tmpl w:val="120243C8"/>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7" w15:restartNumberingAfterBreak="0">
    <w:nsid w:val="21A74341"/>
    <w:multiLevelType w:val="hybridMultilevel"/>
    <w:tmpl w:val="C64C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777B70"/>
    <w:multiLevelType w:val="hybridMultilevel"/>
    <w:tmpl w:val="A9803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923F8"/>
    <w:multiLevelType w:val="hybridMultilevel"/>
    <w:tmpl w:val="8F484D0A"/>
    <w:lvl w:ilvl="0" w:tplc="8B244A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5E1647"/>
    <w:multiLevelType w:val="hybridMultilevel"/>
    <w:tmpl w:val="ED5A236C"/>
    <w:lvl w:ilvl="0" w:tplc="201AEE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0D2F32"/>
    <w:multiLevelType w:val="hybridMultilevel"/>
    <w:tmpl w:val="48F43602"/>
    <w:lvl w:ilvl="0" w:tplc="FFFFFFFF">
      <w:start w:val="1"/>
      <w:numFmt w:val="decimal"/>
      <w:lvlText w:val="%1."/>
      <w:lvlJc w:val="left"/>
      <w:pPr>
        <w:ind w:left="720" w:hanging="360"/>
      </w:pPr>
      <w:rPr>
        <w:rFonts w:ascii="Arial" w:hAnsi="Arial" w:cs="Aria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894D7E"/>
    <w:multiLevelType w:val="hybridMultilevel"/>
    <w:tmpl w:val="48F43602"/>
    <w:lvl w:ilvl="0" w:tplc="BB901B00">
      <w:start w:val="1"/>
      <w:numFmt w:val="decimal"/>
      <w:lvlText w:val="%1."/>
      <w:lvlJc w:val="left"/>
      <w:pPr>
        <w:ind w:left="720" w:hanging="360"/>
      </w:pPr>
      <w:rPr>
        <w:rFonts w:ascii="Arial" w:hAnsi="Arial" w:cs="Arial"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F69E25E"/>
    <w:multiLevelType w:val="hybridMultilevel"/>
    <w:tmpl w:val="FFFFFFFF"/>
    <w:lvl w:ilvl="0" w:tplc="2B606C02">
      <w:start w:val="3"/>
      <w:numFmt w:val="decimal"/>
      <w:lvlText w:val="%1."/>
      <w:lvlJc w:val="left"/>
      <w:pPr>
        <w:ind w:left="3479" w:hanging="360"/>
      </w:pPr>
    </w:lvl>
    <w:lvl w:ilvl="1" w:tplc="F4E0FCB4">
      <w:start w:val="1"/>
      <w:numFmt w:val="lowerLetter"/>
      <w:lvlText w:val="%2."/>
      <w:lvlJc w:val="left"/>
      <w:pPr>
        <w:ind w:left="4199" w:hanging="360"/>
      </w:pPr>
    </w:lvl>
    <w:lvl w:ilvl="2" w:tplc="3ADC6DB8">
      <w:start w:val="1"/>
      <w:numFmt w:val="lowerRoman"/>
      <w:lvlText w:val="%3."/>
      <w:lvlJc w:val="right"/>
      <w:pPr>
        <w:ind w:left="4919" w:hanging="180"/>
      </w:pPr>
    </w:lvl>
    <w:lvl w:ilvl="3" w:tplc="BCBC0C4A">
      <w:start w:val="1"/>
      <w:numFmt w:val="decimal"/>
      <w:lvlText w:val="%4."/>
      <w:lvlJc w:val="left"/>
      <w:pPr>
        <w:ind w:left="3054" w:hanging="360"/>
      </w:pPr>
    </w:lvl>
    <w:lvl w:ilvl="4" w:tplc="C29E98EA">
      <w:start w:val="1"/>
      <w:numFmt w:val="lowerLetter"/>
      <w:lvlText w:val="%5."/>
      <w:lvlJc w:val="left"/>
      <w:pPr>
        <w:ind w:left="6359" w:hanging="360"/>
      </w:pPr>
    </w:lvl>
    <w:lvl w:ilvl="5" w:tplc="B1CA0432">
      <w:start w:val="1"/>
      <w:numFmt w:val="lowerRoman"/>
      <w:lvlText w:val="%6."/>
      <w:lvlJc w:val="right"/>
      <w:pPr>
        <w:ind w:left="7079" w:hanging="180"/>
      </w:pPr>
    </w:lvl>
    <w:lvl w:ilvl="6" w:tplc="6A78E10E">
      <w:start w:val="1"/>
      <w:numFmt w:val="decimal"/>
      <w:lvlText w:val="%7."/>
      <w:lvlJc w:val="left"/>
      <w:pPr>
        <w:ind w:left="7799" w:hanging="360"/>
      </w:pPr>
    </w:lvl>
    <w:lvl w:ilvl="7" w:tplc="764A860C">
      <w:start w:val="1"/>
      <w:numFmt w:val="lowerLetter"/>
      <w:lvlText w:val="%8."/>
      <w:lvlJc w:val="left"/>
      <w:pPr>
        <w:ind w:left="8519" w:hanging="360"/>
      </w:pPr>
    </w:lvl>
    <w:lvl w:ilvl="8" w:tplc="02B89ACC">
      <w:start w:val="1"/>
      <w:numFmt w:val="lowerRoman"/>
      <w:lvlText w:val="%9."/>
      <w:lvlJc w:val="right"/>
      <w:pPr>
        <w:ind w:left="9239" w:hanging="180"/>
      </w:pPr>
    </w:lvl>
  </w:abstractNum>
  <w:abstractNum w:abstractNumId="14" w15:restartNumberingAfterBreak="0">
    <w:nsid w:val="526F383E"/>
    <w:multiLevelType w:val="hybridMultilevel"/>
    <w:tmpl w:val="BEA42A6C"/>
    <w:lvl w:ilvl="0" w:tplc="F11C69B2">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97ABF7"/>
    <w:multiLevelType w:val="hybridMultilevel"/>
    <w:tmpl w:val="FFFFFFFF"/>
    <w:lvl w:ilvl="0" w:tplc="FF527C66">
      <w:start w:val="2"/>
      <w:numFmt w:val="decimal"/>
      <w:lvlText w:val="%1."/>
      <w:lvlJc w:val="left"/>
      <w:pPr>
        <w:ind w:left="-720" w:hanging="360"/>
      </w:pPr>
    </w:lvl>
    <w:lvl w:ilvl="1" w:tplc="D51C1D58">
      <w:start w:val="1"/>
      <w:numFmt w:val="lowerLetter"/>
      <w:lvlText w:val="%2."/>
      <w:lvlJc w:val="left"/>
      <w:pPr>
        <w:ind w:left="0" w:hanging="360"/>
      </w:pPr>
    </w:lvl>
    <w:lvl w:ilvl="2" w:tplc="11962C48">
      <w:start w:val="1"/>
      <w:numFmt w:val="lowerRoman"/>
      <w:lvlText w:val="%3."/>
      <w:lvlJc w:val="right"/>
      <w:pPr>
        <w:ind w:left="720" w:hanging="180"/>
      </w:pPr>
    </w:lvl>
    <w:lvl w:ilvl="3" w:tplc="5420C20C">
      <w:start w:val="1"/>
      <w:numFmt w:val="decimal"/>
      <w:lvlText w:val="%4."/>
      <w:lvlJc w:val="left"/>
      <w:pPr>
        <w:ind w:left="1440" w:hanging="360"/>
      </w:pPr>
    </w:lvl>
    <w:lvl w:ilvl="4" w:tplc="EE7E151C">
      <w:start w:val="1"/>
      <w:numFmt w:val="lowerLetter"/>
      <w:lvlText w:val="%5."/>
      <w:lvlJc w:val="left"/>
      <w:pPr>
        <w:ind w:left="2160" w:hanging="360"/>
      </w:pPr>
    </w:lvl>
    <w:lvl w:ilvl="5" w:tplc="18164792">
      <w:start w:val="1"/>
      <w:numFmt w:val="lowerRoman"/>
      <w:lvlText w:val="%6."/>
      <w:lvlJc w:val="right"/>
      <w:pPr>
        <w:ind w:left="2880" w:hanging="180"/>
      </w:pPr>
    </w:lvl>
    <w:lvl w:ilvl="6" w:tplc="213EA22C">
      <w:start w:val="1"/>
      <w:numFmt w:val="decimal"/>
      <w:lvlText w:val="%7."/>
      <w:lvlJc w:val="left"/>
      <w:pPr>
        <w:ind w:left="3600" w:hanging="360"/>
      </w:pPr>
    </w:lvl>
    <w:lvl w:ilvl="7" w:tplc="DBFAB7C4">
      <w:start w:val="1"/>
      <w:numFmt w:val="lowerLetter"/>
      <w:lvlText w:val="%8."/>
      <w:lvlJc w:val="left"/>
      <w:pPr>
        <w:ind w:left="4320" w:hanging="360"/>
      </w:pPr>
    </w:lvl>
    <w:lvl w:ilvl="8" w:tplc="716CC4E0">
      <w:start w:val="1"/>
      <w:numFmt w:val="lowerRoman"/>
      <w:lvlText w:val="%9."/>
      <w:lvlJc w:val="right"/>
      <w:pPr>
        <w:ind w:left="5040" w:hanging="180"/>
      </w:pPr>
    </w:lvl>
  </w:abstractNum>
  <w:abstractNum w:abstractNumId="16" w15:restartNumberingAfterBreak="0">
    <w:nsid w:val="55A737D3"/>
    <w:multiLevelType w:val="hybridMultilevel"/>
    <w:tmpl w:val="801074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6A53D27"/>
    <w:multiLevelType w:val="multilevel"/>
    <w:tmpl w:val="120243C8"/>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5853390B"/>
    <w:multiLevelType w:val="hybridMultilevel"/>
    <w:tmpl w:val="10167892"/>
    <w:lvl w:ilvl="0" w:tplc="1B9A4A9A">
      <w:start w:val="1"/>
      <w:numFmt w:val="decimal"/>
      <w:lvlText w:val="%1."/>
      <w:lvlJc w:val="left"/>
      <w:pPr>
        <w:ind w:left="720" w:hanging="360"/>
      </w:pPr>
      <w:rPr>
        <w:rFonts w:hint="default"/>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2E778D6"/>
    <w:multiLevelType w:val="hybridMultilevel"/>
    <w:tmpl w:val="55C2645A"/>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B403332"/>
    <w:multiLevelType w:val="hybridMultilevel"/>
    <w:tmpl w:val="BEA42A6C"/>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8051DF5"/>
    <w:multiLevelType w:val="hybridMultilevel"/>
    <w:tmpl w:val="C91CE690"/>
    <w:lvl w:ilvl="0" w:tplc="BD446766">
      <w:start w:val="1"/>
      <w:numFmt w:val="lowerLetter"/>
      <w:lvlText w:val="%1)"/>
      <w:lvlJc w:val="left"/>
      <w:pPr>
        <w:ind w:left="720" w:hanging="360"/>
      </w:pPr>
      <w:rPr>
        <w:rFonts w:ascii="Arial" w:hAnsi="Arial" w:cs="Arial" w:hint="default"/>
        <w:i w:val="0"/>
        <w:i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D242A89"/>
    <w:multiLevelType w:val="multilevel"/>
    <w:tmpl w:val="6B82D6CA"/>
    <w:lvl w:ilvl="0">
      <w:start w:val="1"/>
      <w:numFmt w:val="decimal"/>
      <w:lvlText w:val="%1)"/>
      <w:lvlJc w:val="left"/>
      <w:pPr>
        <w:ind w:left="340" w:hanging="340"/>
      </w:pPr>
      <w:rPr>
        <w:rFonts w:hint="default"/>
        <w:b w:val="0"/>
        <w:bCs/>
        <w:color w:val="auto"/>
        <w:sz w:val="24"/>
      </w:rPr>
    </w:lvl>
    <w:lvl w:ilvl="1">
      <w:start w:val="1"/>
      <w:numFmt w:val="lowerLetter"/>
      <w:lvlText w:val="%2."/>
      <w:lvlJc w:val="left"/>
      <w:pPr>
        <w:ind w:left="680" w:hanging="340"/>
      </w:pPr>
      <w:rPr>
        <w:rFonts w:hint="default"/>
        <w:i w:val="0"/>
        <w:iCs w:val="0"/>
        <w:sz w:val="24"/>
      </w:rPr>
    </w:lvl>
    <w:lvl w:ilvl="2">
      <w:start w:val="1"/>
      <w:numFmt w:val="lowerLetter"/>
      <w:lvlText w:val="%3)"/>
      <w:lvlJc w:val="left"/>
      <w:pPr>
        <w:ind w:left="1040" w:hanging="360"/>
      </w:pPr>
    </w:lvl>
    <w:lvl w:ilvl="3">
      <w:start w:val="1"/>
      <w:numFmt w:val="lowerRoman"/>
      <w:lvlText w:val="%4."/>
      <w:lvlJc w:val="right"/>
      <w:pPr>
        <w:ind w:left="1380" w:hanging="360"/>
      </w:pPr>
    </w:lvl>
    <w:lvl w:ilvl="4">
      <w:start w:val="1"/>
      <w:numFmt w:val="lowerRoman"/>
      <w:lvlText w:val="%5."/>
      <w:lvlJc w:val="right"/>
      <w:pPr>
        <w:ind w:left="1720" w:hanging="360"/>
      </w:p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485321631">
    <w:abstractNumId w:val="1"/>
  </w:num>
  <w:num w:numId="2" w16cid:durableId="1753313540">
    <w:abstractNumId w:val="22"/>
  </w:num>
  <w:num w:numId="3" w16cid:durableId="1150899877">
    <w:abstractNumId w:val="4"/>
  </w:num>
  <w:num w:numId="4" w16cid:durableId="1148745845">
    <w:abstractNumId w:val="6"/>
    <w:lvlOverride w:ilvl="0">
      <w:lvl w:ilvl="0">
        <w:start w:val="1"/>
        <w:numFmt w:val="decimal"/>
        <w:lvlText w:val="%1)"/>
        <w:lvlJc w:val="left"/>
        <w:pPr>
          <w:ind w:left="3600" w:hanging="340"/>
        </w:pPr>
        <w:rPr>
          <w:rFonts w:hint="default"/>
          <w:b w:val="0"/>
          <w:bCs/>
          <w:i w:val="0"/>
          <w:iCs/>
          <w:sz w:val="24"/>
        </w:rPr>
      </w:lvl>
    </w:lvlOverride>
    <w:lvlOverride w:ilvl="1">
      <w:lvl w:ilvl="1">
        <w:start w:val="1"/>
        <w:numFmt w:val="lowerLetter"/>
        <w:lvlText w:val="%2."/>
        <w:lvlJc w:val="left"/>
        <w:pPr>
          <w:ind w:left="680" w:hanging="340"/>
        </w:pPr>
        <w:rPr>
          <w:rFonts w:hint="default"/>
          <w:i w:val="0"/>
          <w:iCs w:val="0"/>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5" w16cid:durableId="890530982">
    <w:abstractNumId w:val="17"/>
  </w:num>
  <w:num w:numId="6" w16cid:durableId="1845628194">
    <w:abstractNumId w:val="21"/>
  </w:num>
  <w:num w:numId="7" w16cid:durableId="1857186583">
    <w:abstractNumId w:val="19"/>
  </w:num>
  <w:num w:numId="8" w16cid:durableId="108086278">
    <w:abstractNumId w:val="5"/>
  </w:num>
  <w:num w:numId="9" w16cid:durableId="2105959138">
    <w:abstractNumId w:val="16"/>
  </w:num>
  <w:num w:numId="10" w16cid:durableId="984549248">
    <w:abstractNumId w:val="14"/>
  </w:num>
  <w:num w:numId="11" w16cid:durableId="60373156">
    <w:abstractNumId w:val="15"/>
  </w:num>
  <w:num w:numId="12" w16cid:durableId="822547360">
    <w:abstractNumId w:val="13"/>
  </w:num>
  <w:num w:numId="13" w16cid:durableId="1209805124">
    <w:abstractNumId w:val="20"/>
  </w:num>
  <w:num w:numId="14" w16cid:durableId="1672247340">
    <w:abstractNumId w:val="2"/>
  </w:num>
  <w:num w:numId="15" w16cid:durableId="1737046865">
    <w:abstractNumId w:val="12"/>
  </w:num>
  <w:num w:numId="16" w16cid:durableId="47653677">
    <w:abstractNumId w:val="18"/>
  </w:num>
  <w:num w:numId="17" w16cid:durableId="1526287675">
    <w:abstractNumId w:val="11"/>
  </w:num>
  <w:num w:numId="18" w16cid:durableId="594245051">
    <w:abstractNumId w:val="9"/>
  </w:num>
  <w:num w:numId="19" w16cid:durableId="425462047">
    <w:abstractNumId w:val="0"/>
  </w:num>
  <w:num w:numId="20" w16cid:durableId="671029502">
    <w:abstractNumId w:val="10"/>
  </w:num>
  <w:num w:numId="21" w16cid:durableId="1210920393">
    <w:abstractNumId w:val="3"/>
  </w:num>
  <w:num w:numId="22" w16cid:durableId="1720468812">
    <w:abstractNumId w:val="8"/>
  </w:num>
  <w:num w:numId="23" w16cid:durableId="1026757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2ACE"/>
    <w:rsid w:val="00003CB1"/>
    <w:rsid w:val="000317D8"/>
    <w:rsid w:val="0004140D"/>
    <w:rsid w:val="00044E69"/>
    <w:rsid w:val="00065B0D"/>
    <w:rsid w:val="00066063"/>
    <w:rsid w:val="00067DA4"/>
    <w:rsid w:val="00080A44"/>
    <w:rsid w:val="0008262C"/>
    <w:rsid w:val="000A1001"/>
    <w:rsid w:val="000A7CE2"/>
    <w:rsid w:val="000C250A"/>
    <w:rsid w:val="000D192F"/>
    <w:rsid w:val="000D4096"/>
    <w:rsid w:val="000D7F33"/>
    <w:rsid w:val="000E1E31"/>
    <w:rsid w:val="000E6C32"/>
    <w:rsid w:val="000F4294"/>
    <w:rsid w:val="0010297A"/>
    <w:rsid w:val="001035FC"/>
    <w:rsid w:val="001211F0"/>
    <w:rsid w:val="001270C4"/>
    <w:rsid w:val="0014128F"/>
    <w:rsid w:val="00163562"/>
    <w:rsid w:val="00167FA3"/>
    <w:rsid w:val="00177C39"/>
    <w:rsid w:val="00180A13"/>
    <w:rsid w:val="001B4060"/>
    <w:rsid w:val="001C5E20"/>
    <w:rsid w:val="001E0502"/>
    <w:rsid w:val="001E1B33"/>
    <w:rsid w:val="00210A5A"/>
    <w:rsid w:val="00211D92"/>
    <w:rsid w:val="002162F4"/>
    <w:rsid w:val="002168AC"/>
    <w:rsid w:val="00227FC5"/>
    <w:rsid w:val="00234FD4"/>
    <w:rsid w:val="00241719"/>
    <w:rsid w:val="00241B2C"/>
    <w:rsid w:val="00263821"/>
    <w:rsid w:val="00264C33"/>
    <w:rsid w:val="00266908"/>
    <w:rsid w:val="00266CB8"/>
    <w:rsid w:val="0027174E"/>
    <w:rsid w:val="00297F9C"/>
    <w:rsid w:val="00297FBA"/>
    <w:rsid w:val="002E4C14"/>
    <w:rsid w:val="002E6DC6"/>
    <w:rsid w:val="002F3C1B"/>
    <w:rsid w:val="00300FA4"/>
    <w:rsid w:val="003015C6"/>
    <w:rsid w:val="00305639"/>
    <w:rsid w:val="00310C5B"/>
    <w:rsid w:val="00312430"/>
    <w:rsid w:val="00316B31"/>
    <w:rsid w:val="00320646"/>
    <w:rsid w:val="00331595"/>
    <w:rsid w:val="0033543B"/>
    <w:rsid w:val="003357C1"/>
    <w:rsid w:val="00346C40"/>
    <w:rsid w:val="0036640C"/>
    <w:rsid w:val="00376695"/>
    <w:rsid w:val="003812E1"/>
    <w:rsid w:val="003A159F"/>
    <w:rsid w:val="003B09DC"/>
    <w:rsid w:val="003B1115"/>
    <w:rsid w:val="003B4F70"/>
    <w:rsid w:val="003B4F8C"/>
    <w:rsid w:val="003F030B"/>
    <w:rsid w:val="004002C7"/>
    <w:rsid w:val="00404980"/>
    <w:rsid w:val="00415B99"/>
    <w:rsid w:val="00447BF1"/>
    <w:rsid w:val="00451D67"/>
    <w:rsid w:val="00457BD9"/>
    <w:rsid w:val="004601F9"/>
    <w:rsid w:val="004625DC"/>
    <w:rsid w:val="00466629"/>
    <w:rsid w:val="00480EB8"/>
    <w:rsid w:val="00494175"/>
    <w:rsid w:val="004A2C06"/>
    <w:rsid w:val="004A3755"/>
    <w:rsid w:val="004A3C31"/>
    <w:rsid w:val="004B061C"/>
    <w:rsid w:val="004B18C5"/>
    <w:rsid w:val="004D3155"/>
    <w:rsid w:val="004E7FB7"/>
    <w:rsid w:val="00507BEB"/>
    <w:rsid w:val="00512851"/>
    <w:rsid w:val="005202AC"/>
    <w:rsid w:val="0055568D"/>
    <w:rsid w:val="00557AE0"/>
    <w:rsid w:val="005610B4"/>
    <w:rsid w:val="0056136E"/>
    <w:rsid w:val="00570BB6"/>
    <w:rsid w:val="005770D5"/>
    <w:rsid w:val="00584D96"/>
    <w:rsid w:val="005A0277"/>
    <w:rsid w:val="005B0897"/>
    <w:rsid w:val="005C3ADF"/>
    <w:rsid w:val="005C3B15"/>
    <w:rsid w:val="005E74AF"/>
    <w:rsid w:val="005F12DB"/>
    <w:rsid w:val="00600393"/>
    <w:rsid w:val="00615325"/>
    <w:rsid w:val="00622B9D"/>
    <w:rsid w:val="006302A8"/>
    <w:rsid w:val="0064278B"/>
    <w:rsid w:val="006630AB"/>
    <w:rsid w:val="00663329"/>
    <w:rsid w:val="006638CA"/>
    <w:rsid w:val="006726A1"/>
    <w:rsid w:val="006801DB"/>
    <w:rsid w:val="006922F1"/>
    <w:rsid w:val="006A187F"/>
    <w:rsid w:val="006A7FDB"/>
    <w:rsid w:val="006E743B"/>
    <w:rsid w:val="006E77B4"/>
    <w:rsid w:val="006F2DAD"/>
    <w:rsid w:val="006F4142"/>
    <w:rsid w:val="00700858"/>
    <w:rsid w:val="007027F4"/>
    <w:rsid w:val="0071342B"/>
    <w:rsid w:val="00763534"/>
    <w:rsid w:val="0076479A"/>
    <w:rsid w:val="0077371C"/>
    <w:rsid w:val="007A2E3C"/>
    <w:rsid w:val="007A75C0"/>
    <w:rsid w:val="007B5FF4"/>
    <w:rsid w:val="007B670A"/>
    <w:rsid w:val="007C1F13"/>
    <w:rsid w:val="007C4A6C"/>
    <w:rsid w:val="007C63AB"/>
    <w:rsid w:val="007E5B1F"/>
    <w:rsid w:val="007F04FB"/>
    <w:rsid w:val="007F5EF3"/>
    <w:rsid w:val="00810494"/>
    <w:rsid w:val="0083229F"/>
    <w:rsid w:val="00841F0C"/>
    <w:rsid w:val="00843464"/>
    <w:rsid w:val="00845088"/>
    <w:rsid w:val="00845FF9"/>
    <w:rsid w:val="008512EC"/>
    <w:rsid w:val="00861FF3"/>
    <w:rsid w:val="0086468A"/>
    <w:rsid w:val="008812E0"/>
    <w:rsid w:val="00891B66"/>
    <w:rsid w:val="008A4D21"/>
    <w:rsid w:val="008A57BA"/>
    <w:rsid w:val="008A6AFC"/>
    <w:rsid w:val="008B3998"/>
    <w:rsid w:val="008C5D85"/>
    <w:rsid w:val="008C648A"/>
    <w:rsid w:val="008D60A9"/>
    <w:rsid w:val="008E3B8C"/>
    <w:rsid w:val="008E6134"/>
    <w:rsid w:val="00903207"/>
    <w:rsid w:val="0090710F"/>
    <w:rsid w:val="00913043"/>
    <w:rsid w:val="00913A83"/>
    <w:rsid w:val="009203C3"/>
    <w:rsid w:val="009424A5"/>
    <w:rsid w:val="00943394"/>
    <w:rsid w:val="00950749"/>
    <w:rsid w:val="009568DA"/>
    <w:rsid w:val="009616DF"/>
    <w:rsid w:val="009619A9"/>
    <w:rsid w:val="0096211D"/>
    <w:rsid w:val="009640F3"/>
    <w:rsid w:val="00966E47"/>
    <w:rsid w:val="009676A2"/>
    <w:rsid w:val="009704E7"/>
    <w:rsid w:val="0097538F"/>
    <w:rsid w:val="00980AA3"/>
    <w:rsid w:val="009829B3"/>
    <w:rsid w:val="009970F1"/>
    <w:rsid w:val="009B2F47"/>
    <w:rsid w:val="009B505E"/>
    <w:rsid w:val="009C0FB6"/>
    <w:rsid w:val="009C1EA8"/>
    <w:rsid w:val="009C312B"/>
    <w:rsid w:val="009D17CD"/>
    <w:rsid w:val="009D3C49"/>
    <w:rsid w:val="009E0822"/>
    <w:rsid w:val="009E1F11"/>
    <w:rsid w:val="009F3939"/>
    <w:rsid w:val="00A52883"/>
    <w:rsid w:val="00A52EB0"/>
    <w:rsid w:val="00A536CA"/>
    <w:rsid w:val="00A53E70"/>
    <w:rsid w:val="00A568A2"/>
    <w:rsid w:val="00A578C2"/>
    <w:rsid w:val="00A8650A"/>
    <w:rsid w:val="00A87CCE"/>
    <w:rsid w:val="00A93589"/>
    <w:rsid w:val="00A94D6F"/>
    <w:rsid w:val="00AA6225"/>
    <w:rsid w:val="00AB15B8"/>
    <w:rsid w:val="00AD26E4"/>
    <w:rsid w:val="00AD4230"/>
    <w:rsid w:val="00AD5602"/>
    <w:rsid w:val="00AE1E44"/>
    <w:rsid w:val="00AE379A"/>
    <w:rsid w:val="00AF4818"/>
    <w:rsid w:val="00B07CF1"/>
    <w:rsid w:val="00B10812"/>
    <w:rsid w:val="00B1783F"/>
    <w:rsid w:val="00B256A2"/>
    <w:rsid w:val="00B30247"/>
    <w:rsid w:val="00B42CEC"/>
    <w:rsid w:val="00B5093D"/>
    <w:rsid w:val="00B514CF"/>
    <w:rsid w:val="00B63CF5"/>
    <w:rsid w:val="00B64BBF"/>
    <w:rsid w:val="00B71E14"/>
    <w:rsid w:val="00B73B18"/>
    <w:rsid w:val="00B762E0"/>
    <w:rsid w:val="00B81CC5"/>
    <w:rsid w:val="00BA0A16"/>
    <w:rsid w:val="00BA46F5"/>
    <w:rsid w:val="00BC76FC"/>
    <w:rsid w:val="00C05E8E"/>
    <w:rsid w:val="00C46BE1"/>
    <w:rsid w:val="00C47E4B"/>
    <w:rsid w:val="00C57A11"/>
    <w:rsid w:val="00C60771"/>
    <w:rsid w:val="00C65440"/>
    <w:rsid w:val="00C67E56"/>
    <w:rsid w:val="00C720F0"/>
    <w:rsid w:val="00C746AF"/>
    <w:rsid w:val="00C869CC"/>
    <w:rsid w:val="00C90C96"/>
    <w:rsid w:val="00C96823"/>
    <w:rsid w:val="00CA0A19"/>
    <w:rsid w:val="00CA5386"/>
    <w:rsid w:val="00CB25A7"/>
    <w:rsid w:val="00CB2D76"/>
    <w:rsid w:val="00CC58CE"/>
    <w:rsid w:val="00CE1888"/>
    <w:rsid w:val="00CF2AB7"/>
    <w:rsid w:val="00CF7263"/>
    <w:rsid w:val="00CF76B1"/>
    <w:rsid w:val="00CF7941"/>
    <w:rsid w:val="00D06E39"/>
    <w:rsid w:val="00D111D0"/>
    <w:rsid w:val="00D22A93"/>
    <w:rsid w:val="00D272D4"/>
    <w:rsid w:val="00D3475C"/>
    <w:rsid w:val="00D42B20"/>
    <w:rsid w:val="00D54A85"/>
    <w:rsid w:val="00D6107B"/>
    <w:rsid w:val="00D66685"/>
    <w:rsid w:val="00D667A6"/>
    <w:rsid w:val="00D714D6"/>
    <w:rsid w:val="00D73742"/>
    <w:rsid w:val="00D8207B"/>
    <w:rsid w:val="00D866F8"/>
    <w:rsid w:val="00D93696"/>
    <w:rsid w:val="00D951C1"/>
    <w:rsid w:val="00DB05D2"/>
    <w:rsid w:val="00DB2E6D"/>
    <w:rsid w:val="00DB30A6"/>
    <w:rsid w:val="00DB701C"/>
    <w:rsid w:val="00DD500B"/>
    <w:rsid w:val="00DD5279"/>
    <w:rsid w:val="00DD58D2"/>
    <w:rsid w:val="00DD724D"/>
    <w:rsid w:val="00DF181D"/>
    <w:rsid w:val="00DF2C55"/>
    <w:rsid w:val="00DF39D5"/>
    <w:rsid w:val="00E03D17"/>
    <w:rsid w:val="00E05D80"/>
    <w:rsid w:val="00E071F8"/>
    <w:rsid w:val="00E07B57"/>
    <w:rsid w:val="00E07F8D"/>
    <w:rsid w:val="00E103C9"/>
    <w:rsid w:val="00E125B0"/>
    <w:rsid w:val="00E26B3A"/>
    <w:rsid w:val="00E35804"/>
    <w:rsid w:val="00E36DC4"/>
    <w:rsid w:val="00E44CE0"/>
    <w:rsid w:val="00E468DD"/>
    <w:rsid w:val="00E475AA"/>
    <w:rsid w:val="00E63C3D"/>
    <w:rsid w:val="00E73C3B"/>
    <w:rsid w:val="00E90DF9"/>
    <w:rsid w:val="00E91349"/>
    <w:rsid w:val="00E9482B"/>
    <w:rsid w:val="00EA1570"/>
    <w:rsid w:val="00EA61F1"/>
    <w:rsid w:val="00EA692E"/>
    <w:rsid w:val="00EB2156"/>
    <w:rsid w:val="00EC3E3C"/>
    <w:rsid w:val="00ED7507"/>
    <w:rsid w:val="00EE17D3"/>
    <w:rsid w:val="00EF27DC"/>
    <w:rsid w:val="00EF778A"/>
    <w:rsid w:val="00F131E1"/>
    <w:rsid w:val="00F34CFF"/>
    <w:rsid w:val="00F3669C"/>
    <w:rsid w:val="00F43D8E"/>
    <w:rsid w:val="00F81A34"/>
    <w:rsid w:val="00F842CA"/>
    <w:rsid w:val="00F91869"/>
    <w:rsid w:val="00FA1C6A"/>
    <w:rsid w:val="00FA7473"/>
    <w:rsid w:val="00FD0B8F"/>
    <w:rsid w:val="00FD7124"/>
    <w:rsid w:val="00FE167F"/>
    <w:rsid w:val="00FE25A1"/>
    <w:rsid w:val="00FE3447"/>
    <w:rsid w:val="00FF11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6A1"/>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customStyle="1" w:styleId="Paragraphtext">
    <w:name w:val="Paragraph text"/>
    <w:basedOn w:val="Normal"/>
    <w:link w:val="ParagraphtextChar"/>
    <w:qFormat/>
    <w:rsid w:val="001035FC"/>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1035FC"/>
    <w:rPr>
      <w:rFonts w:ascii="Calibri" w:eastAsia="Calibri" w:hAnsi="Calibri" w:cs="Times New Roman"/>
      <w:color w:val="000000" w:themeColor="text1"/>
      <w:kern w:val="0"/>
      <w:sz w:val="24"/>
      <w14:ligatures w14:val="none"/>
    </w:rPr>
  </w:style>
  <w:style w:type="paragraph" w:customStyle="1" w:styleId="CS-Paragraphnumbering">
    <w:name w:val="CS - Paragraph numbering"/>
    <w:basedOn w:val="Normal"/>
    <w:rsid w:val="004B18C5"/>
    <w:pPr>
      <w:spacing w:after="120"/>
      <w:ind w:right="-45"/>
    </w:pPr>
    <w:rPr>
      <w:rFonts w:asciiTheme="minorHAnsi" w:eastAsiaTheme="minorHAnsi" w:hAnsiTheme="minorHAnsi" w:cstheme="minorBidi"/>
      <w:sz w:val="24"/>
      <w:szCs w:val="24"/>
    </w:rPr>
  </w:style>
  <w:style w:type="character" w:styleId="CommentReference">
    <w:name w:val="annotation reference"/>
    <w:basedOn w:val="DefaultParagraphFont"/>
    <w:uiPriority w:val="99"/>
    <w:semiHidden/>
    <w:unhideWhenUsed/>
    <w:rsid w:val="007027F4"/>
    <w:rPr>
      <w:sz w:val="16"/>
      <w:szCs w:val="16"/>
    </w:rPr>
  </w:style>
  <w:style w:type="paragraph" w:styleId="CommentText">
    <w:name w:val="annotation text"/>
    <w:basedOn w:val="Normal"/>
    <w:link w:val="CommentTextChar"/>
    <w:uiPriority w:val="99"/>
    <w:unhideWhenUsed/>
    <w:rsid w:val="007027F4"/>
    <w:pPr>
      <w:spacing w:line="240" w:lineRule="auto"/>
    </w:pPr>
    <w:rPr>
      <w:sz w:val="20"/>
      <w:szCs w:val="20"/>
    </w:rPr>
  </w:style>
  <w:style w:type="character" w:customStyle="1" w:styleId="CommentTextChar">
    <w:name w:val="Comment Text Char"/>
    <w:basedOn w:val="DefaultParagraphFont"/>
    <w:link w:val="CommentText"/>
    <w:uiPriority w:val="99"/>
    <w:rsid w:val="007027F4"/>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027F4"/>
    <w:rPr>
      <w:b/>
      <w:bCs/>
    </w:rPr>
  </w:style>
  <w:style w:type="character" w:customStyle="1" w:styleId="CommentSubjectChar">
    <w:name w:val="Comment Subject Char"/>
    <w:basedOn w:val="CommentTextChar"/>
    <w:link w:val="CommentSubject"/>
    <w:uiPriority w:val="99"/>
    <w:semiHidden/>
    <w:rsid w:val="007027F4"/>
    <w:rPr>
      <w:rFonts w:ascii="Calibri" w:eastAsia="Times New Roman" w:hAnsi="Calibri" w:cs="Times New Roman"/>
      <w:b/>
      <w:bCs/>
      <w:kern w:val="0"/>
      <w:sz w:val="20"/>
      <w:szCs w:val="20"/>
      <w14:ligatures w14:val="none"/>
    </w:rPr>
  </w:style>
  <w:style w:type="paragraph" w:styleId="Revision">
    <w:name w:val="Revision"/>
    <w:hidden/>
    <w:uiPriority w:val="99"/>
    <w:semiHidden/>
    <w:rsid w:val="00451D67"/>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unhideWhenUsed/>
    <w:rsid w:val="00451D67"/>
    <w:rPr>
      <w:color w:val="0563C1" w:themeColor="hyperlink"/>
      <w:u w:val="single"/>
    </w:rPr>
  </w:style>
  <w:style w:type="character" w:styleId="UnresolvedMention">
    <w:name w:val="Unresolved Mention"/>
    <w:basedOn w:val="DefaultParagraphFont"/>
    <w:uiPriority w:val="99"/>
    <w:semiHidden/>
    <w:unhideWhenUsed/>
    <w:rsid w:val="00451D67"/>
    <w:rPr>
      <w:color w:val="605E5C"/>
      <w:shd w:val="clear" w:color="auto" w:fill="E1DFDD"/>
    </w:rPr>
  </w:style>
  <w:style w:type="paragraph" w:styleId="Header">
    <w:name w:val="header"/>
    <w:basedOn w:val="Normal"/>
    <w:link w:val="HeaderChar"/>
    <w:uiPriority w:val="99"/>
    <w:unhideWhenUsed/>
    <w:rsid w:val="00EA6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92E"/>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918537">
      <w:bodyDiv w:val="1"/>
      <w:marLeft w:val="0"/>
      <w:marRight w:val="0"/>
      <w:marTop w:val="0"/>
      <w:marBottom w:val="0"/>
      <w:divBdr>
        <w:top w:val="none" w:sz="0" w:space="0" w:color="auto"/>
        <w:left w:val="none" w:sz="0" w:space="0" w:color="auto"/>
        <w:bottom w:val="none" w:sz="0" w:space="0" w:color="auto"/>
        <w:right w:val="none" w:sz="0" w:space="0" w:color="auto"/>
      </w:divBdr>
      <w:divsChild>
        <w:div w:id="1770276294">
          <w:marLeft w:val="0"/>
          <w:marRight w:val="0"/>
          <w:marTop w:val="0"/>
          <w:marBottom w:val="0"/>
          <w:divBdr>
            <w:top w:val="none" w:sz="0" w:space="0" w:color="auto"/>
            <w:left w:val="none" w:sz="0" w:space="0" w:color="auto"/>
            <w:bottom w:val="none" w:sz="0" w:space="0" w:color="auto"/>
            <w:right w:val="none" w:sz="0" w:space="0" w:color="auto"/>
          </w:divBdr>
        </w:div>
      </w:divsChild>
    </w:div>
    <w:div w:id="1405642358">
      <w:bodyDiv w:val="1"/>
      <w:marLeft w:val="0"/>
      <w:marRight w:val="0"/>
      <w:marTop w:val="0"/>
      <w:marBottom w:val="0"/>
      <w:divBdr>
        <w:top w:val="none" w:sz="0" w:space="0" w:color="auto"/>
        <w:left w:val="none" w:sz="0" w:space="0" w:color="auto"/>
        <w:bottom w:val="none" w:sz="0" w:space="0" w:color="auto"/>
        <w:right w:val="none" w:sz="0" w:space="0" w:color="auto"/>
      </w:divBdr>
    </w:div>
    <w:div w:id="1857306387">
      <w:bodyDiv w:val="1"/>
      <w:marLeft w:val="0"/>
      <w:marRight w:val="0"/>
      <w:marTop w:val="0"/>
      <w:marBottom w:val="0"/>
      <w:divBdr>
        <w:top w:val="none" w:sz="0" w:space="0" w:color="auto"/>
        <w:left w:val="none" w:sz="0" w:space="0" w:color="auto"/>
        <w:bottom w:val="none" w:sz="0" w:space="0" w:color="auto"/>
        <w:right w:val="none" w:sz="0" w:space="0" w:color="auto"/>
      </w:divBdr>
      <w:divsChild>
        <w:div w:id="945845309">
          <w:marLeft w:val="0"/>
          <w:marRight w:val="0"/>
          <w:marTop w:val="0"/>
          <w:marBottom w:val="0"/>
          <w:divBdr>
            <w:top w:val="none" w:sz="0" w:space="0" w:color="auto"/>
            <w:left w:val="none" w:sz="0" w:space="0" w:color="auto"/>
            <w:bottom w:val="none" w:sz="0" w:space="0" w:color="auto"/>
            <w:right w:val="none" w:sz="0" w:space="0" w:color="auto"/>
          </w:divBdr>
        </w:div>
      </w:divsChild>
    </w:div>
    <w:div w:id="202809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act.gov.au/View/es/db_49108/20050407-57119/html/db_491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0C2AFA-BE69-4B43-97B9-C1A2F842E8F5}">
  <ds:schemaRefs>
    <ds:schemaRef ds:uri="http://schemas.openxmlformats.org/officeDocument/2006/bibliography"/>
  </ds:schemaRefs>
</ds:datastoreItem>
</file>

<file path=customXml/itemProps3.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4.xml><?xml version="1.0" encoding="utf-8"?>
<ds:datastoreItem xmlns:ds="http://schemas.openxmlformats.org/officeDocument/2006/customXml" ds:itemID="{7CAC796F-3294-4BAA-B35D-B93603CC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9085</Words>
  <Characters>46890</Characters>
  <Application>Microsoft Office Word</Application>
  <DocSecurity>0</DocSecurity>
  <Lines>885</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2025-09-04T01:59:00Z</dcterms:created>
  <dcterms:modified xsi:type="dcterms:W3CDTF">2025-09-04T01:59:00Z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