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3A28" w14:textId="77777777" w:rsidR="00B2563B" w:rsidRDefault="00B2563B" w:rsidP="00B2563B">
      <w:pPr>
        <w:pBdr>
          <w:top w:val="nil"/>
          <w:left w:val="nil"/>
          <w:bottom w:val="nil"/>
          <w:right w:val="nil"/>
          <w:between w:val="nil"/>
          <w:bar w:val="nil"/>
        </w:pBdr>
        <w:spacing w:before="120"/>
        <w:rPr>
          <w:rFonts w:eastAsia="Times New Roman"/>
          <w:bdr w:val="nil"/>
        </w:rPr>
      </w:pPr>
      <w:bookmarkStart w:id="0" w:name="_Toc44738651_2"/>
      <w:smartTag w:uri="urn:schemas-microsoft-com:office:smarttags" w:element="place">
        <w:smartTag w:uri="urn:schemas-microsoft-com:office:smarttags" w:element="State">
          <w:r>
            <w:rPr>
              <w:rFonts w:eastAsia="Times New Roman"/>
              <w:bdr w:val="nil"/>
            </w:rPr>
            <w:t>Australian Capital Territory</w:t>
          </w:r>
        </w:smartTag>
      </w:smartTag>
    </w:p>
    <w:p w14:paraId="1B2CF8AF" w14:textId="77777777" w:rsidR="00B2563B" w:rsidRDefault="00B2563B" w:rsidP="00B2563B">
      <w:pPr>
        <w:pStyle w:val="Billname"/>
        <w:pBdr>
          <w:top w:val="nil"/>
          <w:left w:val="nil"/>
          <w:bottom w:val="nil"/>
          <w:right w:val="nil"/>
          <w:between w:val="nil"/>
          <w:bar w:val="nil"/>
        </w:pBdr>
        <w:spacing w:before="700" w:after="0"/>
        <w:rPr>
          <w:rFonts w:eastAsia="Times New Roman"/>
          <w:bdr w:val="nil"/>
        </w:rPr>
      </w:pPr>
      <w:r>
        <w:rPr>
          <w:rFonts w:eastAsia="Times New Roman"/>
          <w:bdr w:val="nil"/>
        </w:rPr>
        <w:t xml:space="preserve">Gaming Machine (Fees) </w:t>
      </w:r>
      <w:r w:rsidRPr="00854772">
        <w:rPr>
          <w:rFonts w:eastAsia="Times New Roman"/>
          <w:bdr w:val="nil"/>
        </w:rPr>
        <w:t xml:space="preserve">Determination </w:t>
      </w:r>
      <w:r>
        <w:rPr>
          <w:rFonts w:eastAsia="Times New Roman"/>
          <w:bdr w:val="nil"/>
        </w:rPr>
        <w:t xml:space="preserve">2025 </w:t>
      </w:r>
    </w:p>
    <w:p w14:paraId="274D17A2" w14:textId="2E17D1B2" w:rsidR="00B2563B" w:rsidRDefault="00B2563B" w:rsidP="00B2563B">
      <w:pPr>
        <w:pBdr>
          <w:top w:val="nil"/>
          <w:left w:val="nil"/>
          <w:bottom w:val="nil"/>
          <w:right w:val="nil"/>
          <w:between w:val="nil"/>
          <w:bar w:val="nil"/>
        </w:pBdr>
        <w:spacing w:before="240" w:after="60"/>
        <w:jc w:val="both"/>
        <w:rPr>
          <w:rFonts w:eastAsia="Times New Roman"/>
          <w:b/>
          <w:bCs/>
          <w:bdr w:val="nil"/>
          <w:vertAlign w:val="superscript"/>
        </w:rPr>
      </w:pPr>
      <w:r>
        <w:rPr>
          <w:rFonts w:eastAsia="Times New Roman"/>
          <w:b/>
          <w:bCs/>
          <w:bdr w:val="nil"/>
        </w:rPr>
        <w:t>Disallowable Instrument DI2025-</w:t>
      </w:r>
      <w:r w:rsidR="001A092C">
        <w:rPr>
          <w:rFonts w:eastAsia="Times New Roman"/>
          <w:b/>
          <w:bCs/>
          <w:bdr w:val="nil"/>
        </w:rPr>
        <w:t>106</w:t>
      </w:r>
    </w:p>
    <w:p w14:paraId="53907552" w14:textId="77777777" w:rsidR="00B2563B" w:rsidRDefault="00B2563B" w:rsidP="00B2563B">
      <w:pPr>
        <w:pStyle w:val="madeunder"/>
        <w:pBdr>
          <w:top w:val="nil"/>
          <w:left w:val="nil"/>
          <w:bottom w:val="nil"/>
          <w:right w:val="nil"/>
          <w:between w:val="nil"/>
          <w:bar w:val="nil"/>
        </w:pBdr>
        <w:spacing w:before="240" w:after="120"/>
        <w:rPr>
          <w:rFonts w:ascii="Times New Roman" w:eastAsia="Times New Roman" w:hAnsi="Times New Roman" w:cs="Times New Roman"/>
          <w:bdr w:val="nil"/>
        </w:rPr>
      </w:pPr>
      <w:r>
        <w:rPr>
          <w:rFonts w:ascii="Times New Roman" w:eastAsia="Times New Roman" w:hAnsi="Times New Roman" w:cs="Times New Roman"/>
          <w:bdr w:val="nil"/>
        </w:rPr>
        <w:t xml:space="preserve">made under the  </w:t>
      </w:r>
    </w:p>
    <w:p w14:paraId="67F1B1F7" w14:textId="77777777" w:rsidR="00B2563B" w:rsidRPr="00D86025" w:rsidRDefault="00B2563B" w:rsidP="00B2563B">
      <w:pPr>
        <w:pStyle w:val="CoverActName"/>
        <w:pBdr>
          <w:top w:val="nil"/>
          <w:left w:val="nil"/>
          <w:bottom w:val="nil"/>
          <w:right w:val="nil"/>
          <w:between w:val="nil"/>
          <w:bar w:val="nil"/>
        </w:pBdr>
        <w:rPr>
          <w:rFonts w:eastAsia="Times New Roman"/>
          <w:bdr w:val="nil"/>
        </w:rPr>
      </w:pPr>
      <w:r w:rsidRPr="00D86025">
        <w:rPr>
          <w:rFonts w:eastAsia="Times New Roman"/>
          <w:sz w:val="20"/>
          <w:szCs w:val="20"/>
          <w:bdr w:val="nil"/>
        </w:rPr>
        <w:t>Gaming Machine Act 2004, section 177 (Determination of fees)</w:t>
      </w:r>
    </w:p>
    <w:p w14:paraId="3E452F24" w14:textId="77777777" w:rsidR="00B2563B" w:rsidRDefault="00B2563B" w:rsidP="00B2563B">
      <w:pPr>
        <w:pStyle w:val="N-line3"/>
        <w:pBdr>
          <w:top w:val="nil"/>
          <w:left w:val="nil"/>
          <w:bottom w:val="nil"/>
          <w:right w:val="nil"/>
          <w:between w:val="nil"/>
          <w:bar w:val="nil"/>
        </w:pBdr>
        <w:rPr>
          <w:rFonts w:ascii="Times New Roman" w:eastAsia="Times New Roman" w:hAnsi="Times New Roman" w:cs="Times New Roman"/>
          <w:bdr w:val="nil"/>
        </w:rPr>
      </w:pPr>
    </w:p>
    <w:p w14:paraId="7F2E4CD2"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2E45FED7" w14:textId="77777777" w:rsidR="00B2563B" w:rsidRPr="00B2563B" w:rsidRDefault="00B2563B" w:rsidP="00B2563B">
      <w:pPr>
        <w:pStyle w:val="Heading3"/>
        <w:keepLines w:val="0"/>
        <w:pBdr>
          <w:top w:val="nil"/>
          <w:left w:val="nil"/>
          <w:bottom w:val="nil"/>
          <w:right w:val="nil"/>
          <w:between w:val="nil"/>
          <w:bar w:val="nil"/>
        </w:pBdr>
        <w:spacing w:before="0" w:after="0"/>
        <w:jc w:val="both"/>
        <w:rPr>
          <w:rFonts w:eastAsia="Times New Roman" w:cs="Arial"/>
          <w:b/>
          <w:bCs/>
          <w:color w:val="auto"/>
          <w:bdr w:val="nil"/>
        </w:rPr>
      </w:pPr>
      <w:r w:rsidRPr="00B2563B">
        <w:rPr>
          <w:rFonts w:eastAsia="Times New Roman" w:cs="Arial"/>
          <w:b/>
          <w:bCs/>
          <w:color w:val="auto"/>
          <w:bdr w:val="nil"/>
        </w:rPr>
        <w:t>EXPLANATORY STATEMENT</w:t>
      </w:r>
    </w:p>
    <w:p w14:paraId="4E4E3CF8"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2A85DF25" w14:textId="77777777" w:rsidR="00B2563B" w:rsidRDefault="00B2563B" w:rsidP="00B2563B">
      <w:pPr>
        <w:pStyle w:val="N-line3"/>
        <w:pBdr>
          <w:top w:val="single" w:sz="12" w:space="1" w:color="auto"/>
          <w:left w:val="nil"/>
          <w:bottom w:val="nil"/>
          <w:right w:val="nil"/>
          <w:between w:val="nil"/>
          <w:bar w:val="nil"/>
        </w:pBdr>
        <w:rPr>
          <w:rFonts w:ascii="Times New Roman" w:eastAsia="Times New Roman" w:hAnsi="Times New Roman" w:cs="Times New Roman"/>
          <w:bdr w:val="nil"/>
        </w:rPr>
      </w:pPr>
    </w:p>
    <w:p w14:paraId="6CCE5B3E"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r>
        <w:rPr>
          <w:rFonts w:ascii="Times New Roman" w:eastAsia="Times New Roman" w:hAnsi="Times New Roman" w:cs="Times New Roman"/>
          <w:bdr w:val="nil"/>
        </w:rPr>
        <w:t xml:space="preserve">The </w:t>
      </w:r>
      <w:r>
        <w:rPr>
          <w:rFonts w:ascii="Times New Roman" w:eastAsia="Times New Roman" w:hAnsi="Times New Roman" w:cs="Times New Roman"/>
          <w:i/>
          <w:iCs/>
          <w:bdr w:val="nil"/>
        </w:rPr>
        <w:t xml:space="preserve">Gaming Machine Act 2004 </w:t>
      </w:r>
      <w:r>
        <w:rPr>
          <w:rFonts w:ascii="Times New Roman" w:eastAsia="Times New Roman" w:hAnsi="Times New Roman" w:cs="Times New Roman"/>
          <w:bdr w:val="nil"/>
        </w:rPr>
        <w:t>(the Act)</w:t>
      </w:r>
      <w:r>
        <w:rPr>
          <w:rFonts w:ascii="Times New Roman" w:eastAsia="Times New Roman" w:hAnsi="Times New Roman" w:cs="Times New Roman"/>
          <w:i/>
          <w:iCs/>
          <w:bdr w:val="nil"/>
        </w:rPr>
        <w:t xml:space="preserve"> </w:t>
      </w:r>
      <w:r>
        <w:rPr>
          <w:rFonts w:ascii="Times New Roman" w:eastAsia="Times New Roman" w:hAnsi="Times New Roman" w:cs="Times New Roman"/>
          <w:bdr w:val="nil"/>
        </w:rPr>
        <w:t>regulates the operation of gaming machines in the Territory.</w:t>
      </w:r>
    </w:p>
    <w:p w14:paraId="438F3A55"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68BD9C6D" w14:textId="77777777" w:rsidR="00B2563B" w:rsidRPr="007231A3"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r>
        <w:rPr>
          <w:rFonts w:ascii="Times New Roman" w:eastAsia="Times New Roman" w:hAnsi="Times New Roman" w:cs="Times New Roman"/>
          <w:bdr w:val="nil"/>
        </w:rPr>
        <w:t>This instrument revokes the previous determination of fees made by Disallowable Instrument DI2024-161.</w:t>
      </w:r>
    </w:p>
    <w:p w14:paraId="4D2701B9"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6C7A0745"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r>
        <w:rPr>
          <w:rFonts w:ascii="Times New Roman" w:eastAsia="Times New Roman" w:hAnsi="Times New Roman" w:cs="Times New Roman"/>
          <w:bdr w:val="nil"/>
        </w:rPr>
        <w:t>Section 177 of the Act provides that the Minister may determine fees for the Act. This instrument provides for fees in relation to administrative tasks performed under the Act, including applications and notifications for approvals, licences, authorisation certificates, storage permits, permits for linked jackpot arrangements and amendments to those licences, certificates, schedules and permits issued by the ACT Gambling and Racing Commission.</w:t>
      </w:r>
    </w:p>
    <w:p w14:paraId="2075E5F1"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66031C66" w14:textId="77777777" w:rsidR="00B2563B" w:rsidRPr="005D3134" w:rsidRDefault="00B2563B" w:rsidP="00B2563B">
      <w:pPr>
        <w:pBdr>
          <w:top w:val="nil"/>
          <w:left w:val="nil"/>
          <w:bottom w:val="nil"/>
          <w:right w:val="nil"/>
          <w:between w:val="nil"/>
          <w:bar w:val="nil"/>
        </w:pBdr>
        <w:jc w:val="both"/>
        <w:rPr>
          <w:rFonts w:ascii="Calibri" w:eastAsia="Times New Roman" w:hAnsi="Calibri" w:cs="Calibri"/>
          <w:color w:val="000000"/>
          <w:sz w:val="22"/>
          <w:szCs w:val="22"/>
          <w:bdr w:val="nil"/>
          <w:lang w:eastAsia="en-AU"/>
        </w:rPr>
      </w:pPr>
      <w:r w:rsidRPr="00E3769F">
        <w:rPr>
          <w:rFonts w:ascii="Times New Roman" w:eastAsia="Times New Roman" w:hAnsi="Times New Roman" w:cs="Times New Roman"/>
          <w:szCs w:val="20"/>
          <w:bdr w:val="nil"/>
        </w:rPr>
        <w:t xml:space="preserve">The new determination sets the fees that will apply </w:t>
      </w:r>
      <w:r>
        <w:rPr>
          <w:rFonts w:ascii="Times New Roman" w:eastAsia="Times New Roman" w:hAnsi="Times New Roman" w:cs="Times New Roman"/>
          <w:szCs w:val="20"/>
          <w:bdr w:val="nil"/>
        </w:rPr>
        <w:t>beginning on</w:t>
      </w:r>
      <w:r w:rsidRPr="00E3769F">
        <w:rPr>
          <w:rFonts w:ascii="Times New Roman" w:eastAsia="Times New Roman" w:hAnsi="Times New Roman" w:cs="Times New Roman"/>
          <w:szCs w:val="20"/>
          <w:bdr w:val="nil"/>
        </w:rPr>
        <w:t xml:space="preserve"> </w:t>
      </w:r>
      <w:r w:rsidRPr="00523192">
        <w:rPr>
          <w:rFonts w:ascii="Times New Roman" w:eastAsia="Times New Roman" w:hAnsi="Times New Roman" w:cs="Times New Roman"/>
          <w:bdr w:val="nil"/>
        </w:rPr>
        <w:t>1 July 2025</w:t>
      </w:r>
      <w:r>
        <w:rPr>
          <w:rFonts w:ascii="Calibri" w:eastAsia="Times New Roman" w:hAnsi="Calibri" w:cs="Calibri"/>
          <w:color w:val="000000"/>
          <w:sz w:val="22"/>
          <w:szCs w:val="22"/>
          <w:bdr w:val="nil"/>
          <w:lang w:eastAsia="en-AU"/>
        </w:rPr>
        <w:t xml:space="preserve"> </w:t>
      </w:r>
      <w:r w:rsidRPr="00E3769F">
        <w:rPr>
          <w:rFonts w:ascii="Times New Roman" w:eastAsia="Times New Roman" w:hAnsi="Times New Roman" w:cs="Times New Roman"/>
          <w:szCs w:val="20"/>
          <w:bdr w:val="nil"/>
        </w:rPr>
        <w:t xml:space="preserve">and repeals the </w:t>
      </w:r>
      <w:r w:rsidRPr="00A362A3">
        <w:rPr>
          <w:rFonts w:ascii="Times New Roman" w:eastAsia="Times New Roman" w:hAnsi="Times New Roman" w:cs="Times New Roman"/>
          <w:i/>
          <w:iCs/>
          <w:bdr w:val="nil"/>
        </w:rPr>
        <w:t>Gaming Machine</w:t>
      </w:r>
      <w:r w:rsidRPr="00A362A3">
        <w:rPr>
          <w:rFonts w:ascii="Times New Roman" w:eastAsia="Times New Roman" w:hAnsi="Times New Roman" w:cs="Times New Roman"/>
          <w:i/>
          <w:iCs/>
          <w:szCs w:val="20"/>
          <w:bdr w:val="nil"/>
        </w:rPr>
        <w:t xml:space="preserve"> (Fees) Determination </w:t>
      </w:r>
      <w:r>
        <w:rPr>
          <w:rFonts w:ascii="Times New Roman" w:eastAsia="Times New Roman" w:hAnsi="Times New Roman" w:cs="Times New Roman"/>
          <w:i/>
          <w:iCs/>
          <w:szCs w:val="20"/>
          <w:bdr w:val="nil"/>
        </w:rPr>
        <w:t xml:space="preserve">2024 </w:t>
      </w:r>
      <w:r>
        <w:rPr>
          <w:rFonts w:ascii="Times New Roman" w:eastAsia="Times New Roman" w:hAnsi="Times New Roman" w:cs="Times New Roman"/>
          <w:bdr w:val="nil"/>
        </w:rPr>
        <w:t>DI2024-161</w:t>
      </w:r>
      <w:r w:rsidRPr="00E3769F">
        <w:rPr>
          <w:rFonts w:ascii="Times New Roman" w:eastAsia="Times New Roman" w:hAnsi="Times New Roman" w:cs="Times New Roman"/>
          <w:szCs w:val="20"/>
          <w:bdr w:val="nil"/>
        </w:rPr>
        <w:t xml:space="preserve">. </w:t>
      </w:r>
      <w:bookmarkStart w:id="1" w:name="_Hlk161322878_0"/>
      <w:r>
        <w:rPr>
          <w:rFonts w:ascii="Times New Roman" w:eastAsia="SimSun" w:hAnsi="Times New Roman" w:cs="Times New Roman"/>
          <w:bdr w:val="nil"/>
        </w:rPr>
        <w:t>Fees in the 2025 - 2026 financial year have been generally increased from fees in the previous financial year by</w:t>
      </w:r>
      <w:bookmarkEnd w:id="1"/>
      <w:r>
        <w:rPr>
          <w:rFonts w:ascii="Times New Roman" w:eastAsia="SimSun" w:hAnsi="Times New Roman" w:cs="Times New Roman"/>
          <w:bdr w:val="nil"/>
        </w:rPr>
        <w:t xml:space="preserve"> </w:t>
      </w:r>
      <w:r w:rsidRPr="00E3769F">
        <w:rPr>
          <w:rFonts w:ascii="Times New Roman" w:eastAsia="Times New Roman" w:hAnsi="Times New Roman" w:cs="Times New Roman"/>
          <w:szCs w:val="20"/>
          <w:bdr w:val="nil"/>
        </w:rPr>
        <w:t xml:space="preserve">the Wages Price Index (WPI) of </w:t>
      </w:r>
      <w:r>
        <w:rPr>
          <w:rFonts w:ascii="Times New Roman" w:eastAsia="Times New Roman" w:hAnsi="Times New Roman" w:cs="Times New Roman"/>
          <w:bdr w:val="nil"/>
        </w:rPr>
        <w:t>3.25%</w:t>
      </w:r>
      <w:r w:rsidRPr="00E3769F">
        <w:rPr>
          <w:rFonts w:ascii="Times New Roman" w:eastAsia="Times New Roman" w:hAnsi="Times New Roman" w:cs="Times New Roman"/>
          <w:szCs w:val="20"/>
          <w:bdr w:val="nil"/>
        </w:rPr>
        <w:t xml:space="preserve"> </w:t>
      </w:r>
      <w:bookmarkStart w:id="2" w:name="_Hlk161323232"/>
      <w:r>
        <w:rPr>
          <w:rFonts w:ascii="Times New Roman" w:eastAsia="SimSun" w:hAnsi="Times New Roman" w:cs="Times New Roman"/>
          <w:bdr w:val="nil"/>
        </w:rPr>
        <w:t>plus an additional 0.35%, rounded down to the nearest dollar. Some smaller value fees may be rounded up to the nearest dollar.</w:t>
      </w:r>
      <w:bookmarkEnd w:id="2"/>
      <w:r>
        <w:rPr>
          <w:rFonts w:ascii="Times New Roman" w:eastAsia="SimSun" w:hAnsi="Times New Roman" w:cs="Times New Roman"/>
          <w:bdr w:val="nil"/>
        </w:rPr>
        <w:t xml:space="preserve"> </w:t>
      </w:r>
      <w:r w:rsidRPr="000F5574">
        <w:rPr>
          <w:rFonts w:ascii="Times New Roman" w:eastAsia="SimSun" w:hAnsi="Times New Roman" w:cs="Times New Roman"/>
          <w:bdr w:val="nil"/>
        </w:rPr>
        <w:t>This approach also aligns with the</w:t>
      </w:r>
      <w:r>
        <w:rPr>
          <w:rFonts w:ascii="Times New Roman" w:eastAsia="SimSun" w:hAnsi="Times New Roman" w:cs="Times New Roman"/>
          <w:bdr w:val="nil"/>
        </w:rPr>
        <w:t xml:space="preserve"> </w:t>
      </w:r>
      <w:r w:rsidRPr="000F5574">
        <w:rPr>
          <w:rFonts w:ascii="Times New Roman" w:eastAsia="SimSun" w:hAnsi="Times New Roman" w:cs="Times New Roman"/>
          <w:i/>
          <w:iCs/>
          <w:bdr w:val="nil"/>
        </w:rPr>
        <w:t>Fees and Charges Policy and Guidelines 2025 - 2026</w:t>
      </w:r>
      <w:r>
        <w:rPr>
          <w:rFonts w:ascii="Times New Roman" w:eastAsia="SimSun" w:hAnsi="Times New Roman" w:cs="Times New Roman"/>
          <w:bdr w:val="nil"/>
        </w:rPr>
        <w:t>.</w:t>
      </w:r>
    </w:p>
    <w:p w14:paraId="20656AB2" w14:textId="77777777" w:rsidR="00B2563B" w:rsidRPr="001A566D"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bookmarkEnd w:id="0"/>
    <w:p w14:paraId="6DBAE8E2" w14:textId="77777777" w:rsidR="00B2563B" w:rsidRPr="006C502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r w:rsidRPr="006C502B">
        <w:rPr>
          <w:rFonts w:ascii="Times New Roman" w:eastAsia="Times New Roman" w:hAnsi="Times New Roman" w:cs="Times New Roman"/>
          <w:bdr w:val="nil"/>
        </w:rPr>
        <w:t>The Attachment to this Explanatory Statement notes the fees previously determined to enable comparison.</w:t>
      </w:r>
    </w:p>
    <w:p w14:paraId="3685051D"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2821E94D" w14:textId="77777777" w:rsidR="00B2563B" w:rsidRDefault="00B2563B" w:rsidP="00B2563B">
      <w:pPr>
        <w:pBdr>
          <w:top w:val="nil"/>
          <w:left w:val="nil"/>
          <w:bottom w:val="nil"/>
          <w:right w:val="nil"/>
          <w:between w:val="nil"/>
          <w:bar w:val="nil"/>
        </w:pBdr>
        <w:rPr>
          <w:rFonts w:ascii="Times New Roman" w:eastAsia="Times New Roman" w:hAnsi="Times New Roman" w:cs="Times New Roman"/>
          <w:color w:val="000000"/>
          <w:bdr w:val="nil"/>
          <w:lang w:eastAsia="en-AU"/>
        </w:rPr>
      </w:pPr>
      <w:r>
        <w:rPr>
          <w:rFonts w:ascii="Times New Roman" w:eastAsia="Times New Roman" w:hAnsi="Times New Roman" w:cs="Times New Roman"/>
          <w:color w:val="000000"/>
          <w:bdr w:val="nil"/>
          <w:lang w:eastAsia="en-AU"/>
        </w:rPr>
        <w:br w:type="page"/>
      </w:r>
    </w:p>
    <w:p w14:paraId="37FFF88E" w14:textId="77777777" w:rsidR="00B2563B" w:rsidRDefault="00B2563B" w:rsidP="00B2563B">
      <w:pPr>
        <w:pStyle w:val="Heading2"/>
        <w:pBdr>
          <w:top w:val="nil"/>
          <w:left w:val="nil"/>
          <w:bottom w:val="nil"/>
          <w:right w:val="nil"/>
          <w:between w:val="nil"/>
          <w:bar w:val="nil"/>
        </w:pBdr>
        <w:spacing w:before="120"/>
        <w:rPr>
          <w:szCs w:val="24"/>
          <w:bdr w:val="nil"/>
        </w:rPr>
        <w:sectPr w:rsidR="00B2563B" w:rsidSect="00B2563B">
          <w:headerReference w:type="even" r:id="rId7"/>
          <w:headerReference w:type="default" r:id="rId8"/>
          <w:footerReference w:type="even" r:id="rId9"/>
          <w:footerReference w:type="default" r:id="rId10"/>
          <w:headerReference w:type="first" r:id="rId11"/>
          <w:footerReference w:type="first" r:id="rId12"/>
          <w:pgSz w:w="11907" w:h="16840" w:code="9"/>
          <w:pgMar w:top="907" w:right="1797" w:bottom="1276" w:left="1797" w:header="720" w:footer="720" w:gutter="0"/>
          <w:paperSrc w:first="264" w:other="264"/>
          <w:cols w:space="720"/>
          <w:docGrid w:linePitch="326"/>
        </w:sectPr>
      </w:pPr>
    </w:p>
    <w:tbl>
      <w:tblPr>
        <w:tblpPr w:leftFromText="180" w:rightFromText="180" w:vertAnchor="text" w:tblpXSpec="center" w:tblpY="1"/>
        <w:tblOverlap w:val="never"/>
        <w:tblW w:w="1017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68"/>
        <w:gridCol w:w="5507"/>
        <w:gridCol w:w="1700"/>
        <w:gridCol w:w="1700"/>
      </w:tblGrid>
      <w:tr w:rsidR="00B2563B" w14:paraId="2A9106BE" w14:textId="77777777" w:rsidTr="00FD731A">
        <w:trPr>
          <w:trHeight w:val="368"/>
          <w:tblHeader/>
        </w:trPr>
        <w:tc>
          <w:tcPr>
            <w:tcW w:w="1268" w:type="dxa"/>
            <w:tcBorders>
              <w:top w:val="nil"/>
              <w:left w:val="nil"/>
              <w:bottom w:val="single" w:sz="12" w:space="0" w:color="auto"/>
              <w:right w:val="nil"/>
            </w:tcBorders>
            <w:hideMark/>
          </w:tcPr>
          <w:p w14:paraId="71EF214C" w14:textId="77777777" w:rsidR="00B2563B" w:rsidRPr="00B2563B" w:rsidRDefault="00B2563B" w:rsidP="00FD731A">
            <w:pPr>
              <w:pStyle w:val="Heading2"/>
              <w:pBdr>
                <w:top w:val="nil"/>
                <w:left w:val="nil"/>
                <w:bottom w:val="nil"/>
                <w:right w:val="nil"/>
                <w:between w:val="nil"/>
                <w:bar w:val="nil"/>
              </w:pBdr>
              <w:spacing w:before="120"/>
              <w:rPr>
                <w:rFonts w:ascii="Times New Roman" w:eastAsia="Times New Roman" w:hAnsi="Times New Roman" w:cs="Times New Roman"/>
                <w:b/>
                <w:bCs/>
                <w:color w:val="auto"/>
                <w:sz w:val="24"/>
                <w:szCs w:val="24"/>
                <w:bdr w:val="nil"/>
              </w:rPr>
            </w:pPr>
            <w:r w:rsidRPr="00B2563B">
              <w:rPr>
                <w:rFonts w:ascii="Times New Roman" w:eastAsia="Times New Roman" w:hAnsi="Times New Roman" w:cs="Times New Roman"/>
                <w:b/>
                <w:bCs/>
                <w:color w:val="auto"/>
                <w:sz w:val="24"/>
                <w:szCs w:val="24"/>
                <w:bdr w:val="nil"/>
              </w:rPr>
              <w:lastRenderedPageBreak/>
              <w:t>Column 1</w:t>
            </w:r>
          </w:p>
        </w:tc>
        <w:tc>
          <w:tcPr>
            <w:tcW w:w="5507" w:type="dxa"/>
            <w:tcBorders>
              <w:top w:val="nil"/>
              <w:left w:val="nil"/>
              <w:bottom w:val="single" w:sz="12" w:space="0" w:color="auto"/>
              <w:right w:val="nil"/>
            </w:tcBorders>
            <w:hideMark/>
          </w:tcPr>
          <w:p w14:paraId="7DDD45E9" w14:textId="77777777" w:rsidR="00B2563B" w:rsidRPr="00F4413E" w:rsidRDefault="00B2563B" w:rsidP="00FD731A">
            <w:pPr>
              <w:pBdr>
                <w:top w:val="nil"/>
                <w:left w:val="nil"/>
                <w:bottom w:val="nil"/>
                <w:right w:val="nil"/>
                <w:between w:val="nil"/>
                <w:bar w:val="nil"/>
              </w:pBdr>
              <w:spacing w:before="120"/>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Column 2</w:t>
            </w:r>
          </w:p>
        </w:tc>
        <w:tc>
          <w:tcPr>
            <w:tcW w:w="1700" w:type="dxa"/>
            <w:tcBorders>
              <w:top w:val="nil"/>
              <w:left w:val="nil"/>
              <w:bottom w:val="single" w:sz="12" w:space="0" w:color="auto"/>
              <w:right w:val="nil"/>
            </w:tcBorders>
          </w:tcPr>
          <w:p w14:paraId="2CCFEBAA" w14:textId="77777777" w:rsidR="00B2563B" w:rsidRPr="00F4413E" w:rsidRDefault="00B2563B" w:rsidP="00FD731A">
            <w:pPr>
              <w:pBdr>
                <w:top w:val="nil"/>
                <w:left w:val="nil"/>
                <w:bottom w:val="nil"/>
                <w:right w:val="nil"/>
                <w:between w:val="nil"/>
                <w:bar w:val="nil"/>
              </w:pBdr>
              <w:spacing w:before="120"/>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Column 3</w:t>
            </w:r>
          </w:p>
        </w:tc>
        <w:tc>
          <w:tcPr>
            <w:tcW w:w="1700" w:type="dxa"/>
            <w:tcBorders>
              <w:top w:val="nil"/>
              <w:left w:val="nil"/>
              <w:bottom w:val="single" w:sz="12" w:space="0" w:color="auto"/>
              <w:right w:val="nil"/>
            </w:tcBorders>
            <w:hideMark/>
          </w:tcPr>
          <w:p w14:paraId="3F90A183" w14:textId="77777777" w:rsidR="00B2563B" w:rsidRPr="00F4413E" w:rsidRDefault="00B2563B" w:rsidP="00FD731A">
            <w:pPr>
              <w:pBdr>
                <w:top w:val="nil"/>
                <w:left w:val="nil"/>
                <w:bottom w:val="nil"/>
                <w:right w:val="nil"/>
                <w:between w:val="nil"/>
                <w:bar w:val="nil"/>
              </w:pBdr>
              <w:spacing w:before="120"/>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Column 4</w:t>
            </w:r>
          </w:p>
        </w:tc>
      </w:tr>
      <w:tr w:rsidR="00B2563B" w14:paraId="626144FD" w14:textId="77777777" w:rsidTr="00FD731A">
        <w:trPr>
          <w:trHeight w:val="878"/>
          <w:tblHeader/>
        </w:trPr>
        <w:tc>
          <w:tcPr>
            <w:tcW w:w="1268" w:type="dxa"/>
            <w:tcBorders>
              <w:top w:val="single" w:sz="12" w:space="0" w:color="auto"/>
              <w:left w:val="nil"/>
              <w:bottom w:val="single" w:sz="12" w:space="0" w:color="auto"/>
              <w:right w:val="nil"/>
            </w:tcBorders>
            <w:hideMark/>
          </w:tcPr>
          <w:p w14:paraId="18BC6CEF" w14:textId="77777777" w:rsidR="00B2563B" w:rsidRPr="00B2563B" w:rsidRDefault="00B2563B" w:rsidP="00B2563B">
            <w:pPr>
              <w:pStyle w:val="Heading2"/>
              <w:pBdr>
                <w:top w:val="nil"/>
                <w:left w:val="nil"/>
                <w:bottom w:val="nil"/>
                <w:right w:val="nil"/>
                <w:between w:val="nil"/>
                <w:bar w:val="nil"/>
              </w:pBdr>
              <w:spacing w:before="0" w:after="0"/>
              <w:rPr>
                <w:rFonts w:ascii="Times New Roman" w:eastAsia="Times New Roman" w:hAnsi="Times New Roman" w:cs="Times New Roman"/>
                <w:b/>
                <w:bCs/>
                <w:color w:val="auto"/>
                <w:sz w:val="24"/>
                <w:szCs w:val="24"/>
                <w:bdr w:val="nil"/>
              </w:rPr>
            </w:pPr>
            <w:r w:rsidRPr="00B2563B">
              <w:rPr>
                <w:rFonts w:ascii="Times New Roman" w:eastAsia="Times New Roman" w:hAnsi="Times New Roman" w:cs="Times New Roman"/>
                <w:b/>
                <w:bCs/>
                <w:color w:val="auto"/>
                <w:sz w:val="24"/>
                <w:szCs w:val="24"/>
                <w:bdr w:val="nil"/>
              </w:rPr>
              <w:t>Relevant Section of Act</w:t>
            </w:r>
          </w:p>
        </w:tc>
        <w:tc>
          <w:tcPr>
            <w:tcW w:w="5507" w:type="dxa"/>
            <w:tcBorders>
              <w:top w:val="single" w:sz="12" w:space="0" w:color="auto"/>
              <w:left w:val="nil"/>
              <w:bottom w:val="single" w:sz="12" w:space="0" w:color="auto"/>
              <w:right w:val="nil"/>
            </w:tcBorders>
            <w:hideMark/>
          </w:tcPr>
          <w:p w14:paraId="0FABD25C"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Description of Matter for which Fee is Payable</w:t>
            </w:r>
          </w:p>
        </w:tc>
        <w:tc>
          <w:tcPr>
            <w:tcW w:w="1700" w:type="dxa"/>
            <w:tcBorders>
              <w:top w:val="single" w:sz="12" w:space="0" w:color="auto"/>
              <w:left w:val="nil"/>
              <w:bottom w:val="single" w:sz="12" w:space="0" w:color="auto"/>
              <w:right w:val="nil"/>
            </w:tcBorders>
          </w:tcPr>
          <w:p w14:paraId="4DB1DC7A"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Previous Fee</w:t>
            </w:r>
          </w:p>
          <w:p w14:paraId="3B6411FB"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(GST exempt)</w:t>
            </w:r>
          </w:p>
        </w:tc>
        <w:tc>
          <w:tcPr>
            <w:tcW w:w="1700" w:type="dxa"/>
            <w:tcBorders>
              <w:top w:val="single" w:sz="12" w:space="0" w:color="auto"/>
              <w:left w:val="nil"/>
              <w:bottom w:val="single" w:sz="12" w:space="0" w:color="auto"/>
              <w:right w:val="nil"/>
            </w:tcBorders>
            <w:hideMark/>
          </w:tcPr>
          <w:p w14:paraId="0912A5F9"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 xml:space="preserve">Fee payable on and after </w:t>
            </w:r>
          </w:p>
          <w:p w14:paraId="2B76087E" w14:textId="77777777" w:rsidR="00B2563B" w:rsidRPr="00F4413E" w:rsidRDefault="00B2563B" w:rsidP="00FD731A">
            <w:pPr>
              <w:pBdr>
                <w:top w:val="nil"/>
                <w:left w:val="nil"/>
                <w:bottom w:val="nil"/>
                <w:right w:val="nil"/>
                <w:between w:val="nil"/>
                <w:bar w:val="nil"/>
              </w:pBdr>
              <w:ind w:left="34" w:hanging="34"/>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 xml:space="preserve">1 July 2025 </w:t>
            </w:r>
          </w:p>
          <w:p w14:paraId="6A3084BD" w14:textId="77777777" w:rsidR="00B2563B" w:rsidRPr="00F4413E" w:rsidRDefault="00B2563B" w:rsidP="00FD731A">
            <w:pPr>
              <w:pBdr>
                <w:top w:val="nil"/>
                <w:left w:val="nil"/>
                <w:bottom w:val="nil"/>
                <w:right w:val="nil"/>
                <w:between w:val="nil"/>
                <w:bar w:val="nil"/>
              </w:pBdr>
              <w:ind w:left="34" w:hanging="34"/>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(GST exempt)</w:t>
            </w:r>
          </w:p>
        </w:tc>
      </w:tr>
      <w:tr w:rsidR="00B2563B" w14:paraId="38B0C00B" w14:textId="77777777" w:rsidTr="00FD731A">
        <w:tc>
          <w:tcPr>
            <w:tcW w:w="1268" w:type="dxa"/>
            <w:tcBorders>
              <w:top w:val="single" w:sz="12" w:space="0" w:color="auto"/>
              <w:left w:val="nil"/>
              <w:bottom w:val="single" w:sz="4" w:space="0" w:color="auto"/>
              <w:right w:val="nil"/>
            </w:tcBorders>
            <w:hideMark/>
          </w:tcPr>
          <w:p w14:paraId="48A0813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15</w:t>
            </w:r>
          </w:p>
        </w:tc>
        <w:tc>
          <w:tcPr>
            <w:tcW w:w="5507" w:type="dxa"/>
            <w:tcBorders>
              <w:top w:val="single" w:sz="12" w:space="0" w:color="auto"/>
              <w:left w:val="nil"/>
              <w:bottom w:val="single" w:sz="4" w:space="0" w:color="auto"/>
              <w:right w:val="nil"/>
            </w:tcBorders>
          </w:tcPr>
          <w:p w14:paraId="50890220"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Class C gaming machine licence</w:t>
            </w:r>
          </w:p>
          <w:p w14:paraId="332370D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12" w:space="0" w:color="auto"/>
              <w:left w:val="nil"/>
              <w:bottom w:val="single" w:sz="4" w:space="0" w:color="auto"/>
              <w:right w:val="nil"/>
            </w:tcBorders>
          </w:tcPr>
          <w:p w14:paraId="71AD0BE5"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$1,372.00</w:t>
            </w:r>
          </w:p>
        </w:tc>
        <w:tc>
          <w:tcPr>
            <w:tcW w:w="1700" w:type="dxa"/>
            <w:tcBorders>
              <w:top w:val="single" w:sz="12" w:space="0" w:color="auto"/>
              <w:left w:val="nil"/>
              <w:bottom w:val="single" w:sz="4" w:space="0" w:color="auto"/>
              <w:right w:val="nil"/>
            </w:tcBorders>
            <w:hideMark/>
          </w:tcPr>
          <w:p w14:paraId="16AE52F2"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$1,421.00</w:t>
            </w:r>
          </w:p>
        </w:tc>
      </w:tr>
      <w:tr w:rsidR="00B2563B" w14:paraId="54122428" w14:textId="77777777" w:rsidTr="00FD731A">
        <w:tc>
          <w:tcPr>
            <w:tcW w:w="1268" w:type="dxa"/>
            <w:tcBorders>
              <w:top w:val="single" w:sz="4" w:space="0" w:color="auto"/>
              <w:left w:val="nil"/>
              <w:bottom w:val="single" w:sz="4" w:space="0" w:color="auto"/>
              <w:right w:val="nil"/>
            </w:tcBorders>
            <w:hideMark/>
          </w:tcPr>
          <w:p w14:paraId="6FC42D5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21</w:t>
            </w:r>
          </w:p>
        </w:tc>
        <w:tc>
          <w:tcPr>
            <w:tcW w:w="5507" w:type="dxa"/>
            <w:tcBorders>
              <w:top w:val="single" w:sz="4" w:space="0" w:color="auto"/>
              <w:left w:val="nil"/>
              <w:bottom w:val="single" w:sz="4" w:space="0" w:color="auto"/>
              <w:right w:val="nil"/>
            </w:tcBorders>
            <w:hideMark/>
          </w:tcPr>
          <w:p w14:paraId="540BC65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Application for authorisation certificate for Class C gaming machines (an </w:t>
            </w:r>
            <w:r>
              <w:rPr>
                <w:rFonts w:ascii="Times New Roman" w:eastAsia="Times New Roman" w:hAnsi="Times New Roman" w:cs="Times New Roman"/>
                <w:b/>
                <w:bCs/>
                <w:i/>
                <w:iCs/>
                <w:bdr w:val="nil"/>
              </w:rPr>
              <w:t>authorisation certificate</w:t>
            </w:r>
            <w:r>
              <w:rPr>
                <w:rFonts w:ascii="Times New Roman" w:eastAsia="Times New Roman" w:hAnsi="Times New Roman" w:cs="Times New Roman"/>
                <w:bdr w:val="nil"/>
              </w:rPr>
              <w:t xml:space="preserve"> </w:t>
            </w:r>
            <w:r>
              <w:rPr>
                <w:rFonts w:ascii="Times New Roman" w:eastAsia="Times New Roman" w:hAnsi="Times New Roman" w:cs="Times New Roman"/>
                <w:b/>
                <w:bCs/>
                <w:i/>
                <w:iCs/>
                <w:bdr w:val="nil"/>
              </w:rPr>
              <w:t>application</w:t>
            </w:r>
            <w:r>
              <w:rPr>
                <w:rFonts w:ascii="Times New Roman" w:eastAsia="Times New Roman" w:hAnsi="Times New Roman" w:cs="Times New Roman"/>
                <w:bdr w:val="nil"/>
              </w:rPr>
              <w:t>).</w:t>
            </w:r>
          </w:p>
        </w:tc>
        <w:tc>
          <w:tcPr>
            <w:tcW w:w="1700" w:type="dxa"/>
            <w:tcBorders>
              <w:top w:val="single" w:sz="4" w:space="0" w:color="auto"/>
              <w:left w:val="nil"/>
              <w:bottom w:val="single" w:sz="4" w:space="0" w:color="auto"/>
              <w:right w:val="nil"/>
            </w:tcBorders>
          </w:tcPr>
          <w:p w14:paraId="62C57EF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$1,372.00</w:t>
            </w:r>
          </w:p>
        </w:tc>
        <w:tc>
          <w:tcPr>
            <w:tcW w:w="1700" w:type="dxa"/>
            <w:tcBorders>
              <w:top w:val="single" w:sz="4" w:space="0" w:color="auto"/>
              <w:left w:val="nil"/>
              <w:bottom w:val="single" w:sz="4" w:space="0" w:color="auto"/>
              <w:right w:val="nil"/>
            </w:tcBorders>
            <w:hideMark/>
          </w:tcPr>
          <w:p w14:paraId="4DA5289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$1,421.00</w:t>
            </w:r>
          </w:p>
        </w:tc>
      </w:tr>
      <w:tr w:rsidR="00B2563B" w14:paraId="43AF34AC" w14:textId="77777777" w:rsidTr="00FD731A">
        <w:tc>
          <w:tcPr>
            <w:tcW w:w="1268" w:type="dxa"/>
            <w:tcBorders>
              <w:top w:val="single" w:sz="4" w:space="0" w:color="auto"/>
              <w:left w:val="nil"/>
              <w:bottom w:val="single" w:sz="4" w:space="0" w:color="auto"/>
              <w:right w:val="nil"/>
            </w:tcBorders>
            <w:hideMark/>
          </w:tcPr>
          <w:p w14:paraId="5701F86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28</w:t>
            </w:r>
          </w:p>
        </w:tc>
        <w:tc>
          <w:tcPr>
            <w:tcW w:w="5507" w:type="dxa"/>
            <w:tcBorders>
              <w:top w:val="single" w:sz="4" w:space="0" w:color="auto"/>
              <w:left w:val="nil"/>
              <w:bottom w:val="single" w:sz="4" w:space="0" w:color="auto"/>
              <w:right w:val="nil"/>
            </w:tcBorders>
          </w:tcPr>
          <w:p w14:paraId="01A4955E"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gaming machine licence and authorisation certificate for Class B gaming machines</w:t>
            </w:r>
          </w:p>
          <w:p w14:paraId="2202DEDD"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 </w:t>
            </w:r>
            <w:r>
              <w:rPr>
                <w:rFonts w:ascii="Times New Roman" w:eastAsia="Times New Roman" w:hAnsi="Times New Roman" w:cs="Times New Roman"/>
                <w:b/>
                <w:i/>
                <w:bdr w:val="nil"/>
              </w:rPr>
              <w:t>class B licence and authorisation certificate application</w:t>
            </w:r>
            <w:r>
              <w:rPr>
                <w:rFonts w:ascii="Times New Roman" w:eastAsia="Times New Roman" w:hAnsi="Times New Roman" w:cs="Times New Roman"/>
                <w:bdr w:val="nil"/>
              </w:rPr>
              <w:t>)</w:t>
            </w:r>
          </w:p>
          <w:p w14:paraId="632C821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3D87FF2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$1,497.00</w:t>
            </w:r>
          </w:p>
        </w:tc>
        <w:tc>
          <w:tcPr>
            <w:tcW w:w="1700" w:type="dxa"/>
            <w:tcBorders>
              <w:top w:val="single" w:sz="4" w:space="0" w:color="auto"/>
              <w:left w:val="nil"/>
              <w:bottom w:val="single" w:sz="4" w:space="0" w:color="auto"/>
              <w:right w:val="nil"/>
            </w:tcBorders>
            <w:hideMark/>
          </w:tcPr>
          <w:p w14:paraId="2554DD0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$1,550.00</w:t>
            </w:r>
          </w:p>
        </w:tc>
      </w:tr>
      <w:tr w:rsidR="00B2563B" w14:paraId="248C3F06" w14:textId="77777777" w:rsidTr="00FD731A">
        <w:tc>
          <w:tcPr>
            <w:tcW w:w="1268" w:type="dxa"/>
            <w:tcBorders>
              <w:top w:val="single" w:sz="4" w:space="0" w:color="auto"/>
              <w:left w:val="nil"/>
              <w:bottom w:val="single" w:sz="4" w:space="0" w:color="auto"/>
              <w:right w:val="nil"/>
            </w:tcBorders>
            <w:hideMark/>
          </w:tcPr>
          <w:p w14:paraId="33848500"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31</w:t>
            </w:r>
          </w:p>
        </w:tc>
        <w:tc>
          <w:tcPr>
            <w:tcW w:w="5507" w:type="dxa"/>
            <w:tcBorders>
              <w:top w:val="single" w:sz="4" w:space="0" w:color="auto"/>
              <w:left w:val="nil"/>
              <w:bottom w:val="single" w:sz="4" w:space="0" w:color="auto"/>
              <w:right w:val="nil"/>
            </w:tcBorders>
          </w:tcPr>
          <w:p w14:paraId="7DEF14A8"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minor licence amendment</w:t>
            </w:r>
          </w:p>
          <w:p w14:paraId="57F8720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 </w:t>
            </w:r>
            <w:r>
              <w:rPr>
                <w:rFonts w:ascii="Times New Roman" w:eastAsia="Times New Roman" w:hAnsi="Times New Roman" w:cs="Times New Roman"/>
                <w:b/>
                <w:i/>
                <w:bdr w:val="nil"/>
              </w:rPr>
              <w:t>minor licence amendment application</w:t>
            </w:r>
            <w:r>
              <w:rPr>
                <w:rFonts w:ascii="Times New Roman" w:eastAsia="Times New Roman" w:hAnsi="Times New Roman" w:cs="Times New Roman"/>
                <w:bdr w:val="nil"/>
              </w:rPr>
              <w:t>)</w:t>
            </w:r>
          </w:p>
          <w:p w14:paraId="713C7B3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384F0D86"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$91.00</w:t>
            </w:r>
          </w:p>
          <w:p w14:paraId="4BC697EF"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1CBF85E4"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$94.00</w:t>
            </w:r>
          </w:p>
          <w:p w14:paraId="7A803C0A"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184F3759" w14:textId="77777777" w:rsidTr="00FD731A">
        <w:trPr>
          <w:trHeight w:val="1451"/>
        </w:trPr>
        <w:tc>
          <w:tcPr>
            <w:tcW w:w="1268" w:type="dxa"/>
            <w:tcBorders>
              <w:top w:val="single" w:sz="4" w:space="0" w:color="auto"/>
              <w:left w:val="nil"/>
              <w:bottom w:val="nil"/>
              <w:right w:val="nil"/>
            </w:tcBorders>
          </w:tcPr>
          <w:p w14:paraId="335A9888"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33</w:t>
            </w:r>
          </w:p>
          <w:p w14:paraId="359A5A98"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7D92541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71B1764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(1)(a)</w:t>
            </w:r>
          </w:p>
        </w:tc>
        <w:tc>
          <w:tcPr>
            <w:tcW w:w="5507" w:type="dxa"/>
            <w:tcBorders>
              <w:top w:val="single" w:sz="4" w:space="0" w:color="auto"/>
              <w:left w:val="nil"/>
              <w:bottom w:val="nil"/>
              <w:right w:val="nil"/>
            </w:tcBorders>
          </w:tcPr>
          <w:p w14:paraId="4014A11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authorisation certificate amendment</w:t>
            </w:r>
          </w:p>
          <w:p w14:paraId="7275F5CE"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(an </w:t>
            </w:r>
            <w:r>
              <w:rPr>
                <w:rFonts w:ascii="Times New Roman" w:eastAsia="Times New Roman" w:hAnsi="Times New Roman" w:cs="Times New Roman"/>
                <w:b/>
                <w:i/>
                <w:bdr w:val="nil"/>
              </w:rPr>
              <w:t>authorisation certificate amendment application</w:t>
            </w:r>
            <w:r>
              <w:rPr>
                <w:rFonts w:ascii="Times New Roman" w:eastAsia="Times New Roman" w:hAnsi="Times New Roman" w:cs="Times New Roman"/>
                <w:bdr w:val="nil"/>
              </w:rPr>
              <w:t>):</w:t>
            </w:r>
          </w:p>
          <w:p w14:paraId="3263CDF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
                <w:i/>
                <w:bdr w:val="nil"/>
              </w:rPr>
            </w:pPr>
          </w:p>
          <w:p w14:paraId="39E1F09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 </w:t>
            </w:r>
            <w:r>
              <w:rPr>
                <w:rFonts w:ascii="Times New Roman" w:eastAsia="Times New Roman" w:hAnsi="Times New Roman" w:cs="Times New Roman"/>
                <w:b/>
                <w:i/>
                <w:bdr w:val="nil"/>
              </w:rPr>
              <w:t>gaming area amendment</w:t>
            </w:r>
          </w:p>
          <w:p w14:paraId="2BD8E6D2"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nil"/>
              <w:right w:val="nil"/>
            </w:tcBorders>
            <w:vAlign w:val="bottom"/>
          </w:tcPr>
          <w:p w14:paraId="3B1BBEB6"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32701D57"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1222688D"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$371.00</w:t>
            </w:r>
          </w:p>
          <w:p w14:paraId="4D11A9CF"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nil"/>
              <w:right w:val="nil"/>
            </w:tcBorders>
            <w:vAlign w:val="bottom"/>
          </w:tcPr>
          <w:p w14:paraId="39AC5A11"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24081F49"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66A4F694"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$384.00</w:t>
            </w:r>
          </w:p>
          <w:p w14:paraId="61947B68"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367CBD7B" w14:textId="77777777" w:rsidTr="00FD731A">
        <w:tc>
          <w:tcPr>
            <w:tcW w:w="1268" w:type="dxa"/>
            <w:tcBorders>
              <w:top w:val="nil"/>
              <w:left w:val="nil"/>
              <w:bottom w:val="nil"/>
              <w:right w:val="nil"/>
            </w:tcBorders>
            <w:hideMark/>
          </w:tcPr>
          <w:p w14:paraId="320B20C2"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(1)(b)</w:t>
            </w:r>
          </w:p>
        </w:tc>
        <w:tc>
          <w:tcPr>
            <w:tcW w:w="5507" w:type="dxa"/>
            <w:tcBorders>
              <w:top w:val="nil"/>
              <w:left w:val="nil"/>
              <w:bottom w:val="nil"/>
              <w:right w:val="nil"/>
            </w:tcBorders>
            <w:hideMark/>
          </w:tcPr>
          <w:p w14:paraId="6FF47AA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 </w:t>
            </w:r>
            <w:r>
              <w:rPr>
                <w:rFonts w:ascii="Times New Roman" w:eastAsia="Times New Roman" w:hAnsi="Times New Roman" w:cs="Times New Roman"/>
                <w:b/>
                <w:i/>
                <w:bdr w:val="nil"/>
              </w:rPr>
              <w:t>premises relocation amendment</w:t>
            </w:r>
            <w:r>
              <w:rPr>
                <w:rFonts w:ascii="Times New Roman" w:eastAsia="Times New Roman" w:hAnsi="Times New Roman" w:cs="Times New Roman"/>
                <w:bdr w:val="nil"/>
              </w:rPr>
              <w:t xml:space="preserve"> – </w:t>
            </w:r>
          </w:p>
          <w:p w14:paraId="11116F9F" w14:textId="77777777" w:rsidR="00B2563B" w:rsidRDefault="00B2563B" w:rsidP="00FD731A">
            <w:pPr>
              <w:pBdr>
                <w:top w:val="nil"/>
                <w:left w:val="nil"/>
                <w:bottom w:val="nil"/>
                <w:right w:val="nil"/>
                <w:between w:val="nil"/>
                <w:bar w:val="nil"/>
              </w:pBdr>
              <w:tabs>
                <w:tab w:val="left" w:pos="439"/>
              </w:tabs>
              <w:rPr>
                <w:rFonts w:ascii="Times New Roman" w:eastAsia="Times New Roman" w:hAnsi="Times New Roman" w:cs="Times New Roman"/>
                <w:bdr w:val="nil"/>
              </w:rPr>
            </w:pPr>
            <w:r>
              <w:rPr>
                <w:rFonts w:ascii="Times New Roman" w:eastAsia="Times New Roman" w:hAnsi="Times New Roman" w:cs="Times New Roman"/>
                <w:bdr w:val="nil"/>
              </w:rPr>
              <w:tab/>
              <w:t>new suburb</w:t>
            </w:r>
          </w:p>
        </w:tc>
        <w:tc>
          <w:tcPr>
            <w:tcW w:w="1700" w:type="dxa"/>
            <w:tcBorders>
              <w:top w:val="nil"/>
              <w:left w:val="nil"/>
              <w:bottom w:val="nil"/>
              <w:right w:val="nil"/>
            </w:tcBorders>
            <w:vAlign w:val="bottom"/>
          </w:tcPr>
          <w:p w14:paraId="64F3E76C"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7C021111"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$1,372</w:t>
            </w:r>
            <w:r w:rsidRPr="00F4413E">
              <w:rPr>
                <w:rFonts w:ascii="Times New Roman" w:eastAsia="Times New Roman" w:hAnsi="Times New Roman" w:cs="Times New Roman"/>
                <w:color w:val="000000"/>
                <w:bdr w:val="nil"/>
                <w:lang w:eastAsia="en-AU"/>
              </w:rPr>
              <w:t>.00</w:t>
            </w:r>
          </w:p>
          <w:p w14:paraId="7655BC86"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nil"/>
              <w:left w:val="nil"/>
              <w:bottom w:val="nil"/>
              <w:right w:val="nil"/>
            </w:tcBorders>
            <w:vAlign w:val="bottom"/>
          </w:tcPr>
          <w:p w14:paraId="522E4A8D"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54EEF663"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$1,421</w:t>
            </w:r>
            <w:r w:rsidRPr="00F4413E">
              <w:rPr>
                <w:rFonts w:ascii="Times New Roman" w:eastAsia="Times New Roman" w:hAnsi="Times New Roman" w:cs="Times New Roman"/>
                <w:color w:val="000000"/>
                <w:bdr w:val="nil"/>
                <w:lang w:eastAsia="en-AU"/>
              </w:rPr>
              <w:t>.00</w:t>
            </w:r>
          </w:p>
          <w:p w14:paraId="6E6F14C5"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411646F8" w14:textId="77777777" w:rsidTr="00FD731A">
        <w:tc>
          <w:tcPr>
            <w:tcW w:w="1268" w:type="dxa"/>
            <w:tcBorders>
              <w:top w:val="nil"/>
              <w:left w:val="nil"/>
              <w:bottom w:val="nil"/>
              <w:right w:val="nil"/>
            </w:tcBorders>
          </w:tcPr>
          <w:p w14:paraId="6A7DF185"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5507" w:type="dxa"/>
            <w:tcBorders>
              <w:top w:val="nil"/>
              <w:left w:val="nil"/>
              <w:bottom w:val="nil"/>
              <w:right w:val="nil"/>
            </w:tcBorders>
            <w:hideMark/>
          </w:tcPr>
          <w:p w14:paraId="7CA77359" w14:textId="77777777" w:rsidR="00B2563B" w:rsidRDefault="00B2563B" w:rsidP="00FD731A">
            <w:pPr>
              <w:pBdr>
                <w:top w:val="nil"/>
                <w:left w:val="nil"/>
                <w:bottom w:val="nil"/>
                <w:right w:val="nil"/>
                <w:between w:val="nil"/>
                <w:bar w:val="nil"/>
              </w:pBdr>
              <w:ind w:left="439"/>
              <w:rPr>
                <w:rFonts w:ascii="Times New Roman" w:eastAsia="Times New Roman" w:hAnsi="Times New Roman" w:cs="Times New Roman"/>
                <w:bdr w:val="nil"/>
              </w:rPr>
            </w:pPr>
            <w:r>
              <w:rPr>
                <w:rFonts w:ascii="Times New Roman" w:eastAsia="Times New Roman" w:hAnsi="Times New Roman" w:cs="Times New Roman"/>
                <w:bdr w:val="nil"/>
              </w:rPr>
              <w:t>same suburb</w:t>
            </w:r>
          </w:p>
        </w:tc>
        <w:tc>
          <w:tcPr>
            <w:tcW w:w="1700" w:type="dxa"/>
            <w:tcBorders>
              <w:top w:val="nil"/>
              <w:left w:val="nil"/>
              <w:bottom w:val="nil"/>
              <w:right w:val="nil"/>
            </w:tcBorders>
          </w:tcPr>
          <w:p w14:paraId="3F011D16"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$371</w:t>
            </w:r>
            <w:r w:rsidRPr="00F4413E">
              <w:rPr>
                <w:rFonts w:ascii="Times New Roman" w:eastAsia="Times New Roman" w:hAnsi="Times New Roman" w:cs="Times New Roman"/>
                <w:color w:val="000000"/>
                <w:bdr w:val="nil"/>
                <w:lang w:eastAsia="en-AU"/>
              </w:rPr>
              <w:t>.00</w:t>
            </w:r>
          </w:p>
        </w:tc>
        <w:tc>
          <w:tcPr>
            <w:tcW w:w="1700" w:type="dxa"/>
            <w:tcBorders>
              <w:top w:val="nil"/>
              <w:left w:val="nil"/>
              <w:bottom w:val="nil"/>
              <w:right w:val="nil"/>
            </w:tcBorders>
            <w:hideMark/>
          </w:tcPr>
          <w:p w14:paraId="28C5A34B"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$384</w:t>
            </w:r>
            <w:r w:rsidRPr="00F4413E">
              <w:rPr>
                <w:rFonts w:ascii="Times New Roman" w:eastAsia="Times New Roman" w:hAnsi="Times New Roman" w:cs="Times New Roman"/>
                <w:color w:val="000000"/>
                <w:bdr w:val="nil"/>
                <w:lang w:eastAsia="en-AU"/>
              </w:rPr>
              <w:t>.00</w:t>
            </w:r>
          </w:p>
        </w:tc>
      </w:tr>
      <w:tr w:rsidR="00B2563B" w14:paraId="74212977" w14:textId="77777777" w:rsidTr="00FD731A">
        <w:tc>
          <w:tcPr>
            <w:tcW w:w="1268" w:type="dxa"/>
            <w:tcBorders>
              <w:top w:val="nil"/>
              <w:left w:val="nil"/>
              <w:bottom w:val="single" w:sz="4" w:space="0" w:color="auto"/>
              <w:right w:val="nil"/>
            </w:tcBorders>
            <w:hideMark/>
          </w:tcPr>
          <w:p w14:paraId="0EAD5FF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(1)(c)</w:t>
            </w:r>
          </w:p>
        </w:tc>
        <w:tc>
          <w:tcPr>
            <w:tcW w:w="5507" w:type="dxa"/>
            <w:tcBorders>
              <w:top w:val="nil"/>
              <w:left w:val="nil"/>
              <w:bottom w:val="single" w:sz="4" w:space="0" w:color="auto"/>
              <w:right w:val="nil"/>
            </w:tcBorders>
          </w:tcPr>
          <w:p w14:paraId="2C46CE8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
                <w:i/>
                <w:bdr w:val="nil"/>
              </w:rPr>
            </w:pPr>
            <w:r>
              <w:rPr>
                <w:rFonts w:ascii="Times New Roman" w:eastAsia="Times New Roman" w:hAnsi="Times New Roman" w:cs="Times New Roman"/>
                <w:bdr w:val="nil"/>
              </w:rPr>
              <w:t xml:space="preserve">an </w:t>
            </w:r>
            <w:r>
              <w:rPr>
                <w:rFonts w:ascii="Times New Roman" w:eastAsia="Times New Roman" w:hAnsi="Times New Roman" w:cs="Times New Roman"/>
                <w:b/>
                <w:i/>
                <w:bdr w:val="nil"/>
              </w:rPr>
              <w:t>increase maximum amendment</w:t>
            </w:r>
          </w:p>
          <w:p w14:paraId="336E2EC5" w14:textId="77777777" w:rsidR="00B2563B" w:rsidRDefault="00B2563B" w:rsidP="00FD731A">
            <w:pPr>
              <w:pBdr>
                <w:top w:val="nil"/>
                <w:left w:val="nil"/>
                <w:bottom w:val="nil"/>
                <w:right w:val="nil"/>
                <w:between w:val="nil"/>
                <w:bar w:val="nil"/>
              </w:pBdr>
              <w:rPr>
                <w:rFonts w:ascii="Times New Roman" w:eastAsia="Times New Roman" w:hAnsi="Times New Roman" w:cs="Times New Roman"/>
                <w:b/>
                <w:i/>
                <w:bdr w:val="nil"/>
              </w:rPr>
            </w:pPr>
          </w:p>
        </w:tc>
        <w:tc>
          <w:tcPr>
            <w:tcW w:w="1700" w:type="dxa"/>
            <w:tcBorders>
              <w:top w:val="nil"/>
              <w:left w:val="nil"/>
              <w:bottom w:val="single" w:sz="4" w:space="0" w:color="auto"/>
              <w:right w:val="nil"/>
            </w:tcBorders>
          </w:tcPr>
          <w:p w14:paraId="2504FC9B"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$1,247</w:t>
            </w:r>
            <w:r w:rsidRPr="00F4413E">
              <w:rPr>
                <w:rFonts w:ascii="Times New Roman" w:eastAsia="Times New Roman" w:hAnsi="Times New Roman" w:cs="Times New Roman"/>
                <w:color w:val="000000"/>
                <w:bdr w:val="nil"/>
              </w:rPr>
              <w:t>.00</w:t>
            </w:r>
          </w:p>
          <w:p w14:paraId="4B5B9342"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nil"/>
              <w:left w:val="nil"/>
              <w:bottom w:val="single" w:sz="4" w:space="0" w:color="auto"/>
              <w:right w:val="nil"/>
            </w:tcBorders>
          </w:tcPr>
          <w:p w14:paraId="132D39B9"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$1,291</w:t>
            </w:r>
            <w:r w:rsidRPr="00F4413E">
              <w:rPr>
                <w:rFonts w:ascii="Times New Roman" w:eastAsia="Times New Roman" w:hAnsi="Times New Roman" w:cs="Times New Roman"/>
                <w:color w:val="000000"/>
                <w:bdr w:val="nil"/>
              </w:rPr>
              <w:t>.00</w:t>
            </w:r>
          </w:p>
          <w:p w14:paraId="490C3384"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6382B5B0" w14:textId="77777777" w:rsidTr="00FD731A">
        <w:tc>
          <w:tcPr>
            <w:tcW w:w="1268" w:type="dxa"/>
            <w:tcBorders>
              <w:top w:val="single" w:sz="4" w:space="0" w:color="auto"/>
              <w:left w:val="nil"/>
              <w:bottom w:val="single" w:sz="4" w:space="0" w:color="auto"/>
              <w:right w:val="nil"/>
            </w:tcBorders>
            <w:hideMark/>
          </w:tcPr>
          <w:p w14:paraId="3740A44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37B</w:t>
            </w:r>
          </w:p>
        </w:tc>
        <w:tc>
          <w:tcPr>
            <w:tcW w:w="5507" w:type="dxa"/>
            <w:tcBorders>
              <w:top w:val="single" w:sz="4" w:space="0" w:color="auto"/>
              <w:left w:val="nil"/>
              <w:bottom w:val="single" w:sz="4" w:space="0" w:color="auto"/>
              <w:right w:val="nil"/>
            </w:tcBorders>
          </w:tcPr>
          <w:p w14:paraId="45EA2C5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Cs/>
                <w:iCs/>
                <w:bdr w:val="nil"/>
              </w:rPr>
            </w:pPr>
            <w:r>
              <w:rPr>
                <w:rFonts w:ascii="Times New Roman" w:eastAsia="Times New Roman" w:hAnsi="Times New Roman" w:cs="Times New Roman"/>
                <w:bdr w:val="nil"/>
              </w:rPr>
              <w:t xml:space="preserve">Notification for a </w:t>
            </w:r>
            <w:r>
              <w:rPr>
                <w:rFonts w:ascii="Times New Roman" w:eastAsia="Times New Roman" w:hAnsi="Times New Roman" w:cs="Times New Roman"/>
                <w:b/>
                <w:i/>
                <w:bdr w:val="nil"/>
              </w:rPr>
              <w:t xml:space="preserve">technical amendment </w:t>
            </w:r>
            <w:r>
              <w:rPr>
                <w:rFonts w:ascii="Times New Roman" w:eastAsia="Times New Roman" w:hAnsi="Times New Roman" w:cs="Times New Roman"/>
                <w:bCs/>
                <w:iCs/>
                <w:bdr w:val="nil"/>
              </w:rPr>
              <w:t>of an authorisation certificate</w:t>
            </w:r>
          </w:p>
          <w:p w14:paraId="43B4514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779E45A3"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$42</w:t>
            </w:r>
            <w:r w:rsidRPr="00F4413E">
              <w:rPr>
                <w:rFonts w:ascii="Times New Roman" w:eastAsia="Times New Roman" w:hAnsi="Times New Roman" w:cs="Times New Roman"/>
                <w:color w:val="000000"/>
                <w:bdr w:val="nil"/>
              </w:rPr>
              <w:t xml:space="preserve">.00 </w:t>
            </w:r>
          </w:p>
          <w:p w14:paraId="0DE2774D"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44078CD4"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per machine</w:t>
            </w:r>
          </w:p>
          <w:p w14:paraId="70B28245"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0B3C886E"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$43</w:t>
            </w:r>
            <w:r w:rsidRPr="00F4413E">
              <w:rPr>
                <w:rFonts w:ascii="Times New Roman" w:eastAsia="Times New Roman" w:hAnsi="Times New Roman" w:cs="Times New Roman"/>
                <w:color w:val="000000"/>
                <w:bdr w:val="nil"/>
              </w:rPr>
              <w:t xml:space="preserve">.00 </w:t>
            </w:r>
          </w:p>
          <w:p w14:paraId="2C4AA513"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46AB9DD2"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per machine</w:t>
            </w:r>
          </w:p>
          <w:p w14:paraId="40D26BEA"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0ACE8EC8" w14:textId="77777777" w:rsidTr="00FD731A">
        <w:tc>
          <w:tcPr>
            <w:tcW w:w="1268" w:type="dxa"/>
            <w:tcBorders>
              <w:top w:val="single" w:sz="4" w:space="0" w:color="auto"/>
              <w:left w:val="nil"/>
              <w:bottom w:val="single" w:sz="4" w:space="0" w:color="auto"/>
              <w:right w:val="nil"/>
            </w:tcBorders>
            <w:hideMark/>
          </w:tcPr>
          <w:p w14:paraId="28811E4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37E</w:t>
            </w:r>
          </w:p>
        </w:tc>
        <w:tc>
          <w:tcPr>
            <w:tcW w:w="5507" w:type="dxa"/>
            <w:tcBorders>
              <w:top w:val="single" w:sz="4" w:space="0" w:color="auto"/>
              <w:left w:val="nil"/>
              <w:bottom w:val="single" w:sz="4" w:space="0" w:color="auto"/>
              <w:right w:val="nil"/>
            </w:tcBorders>
          </w:tcPr>
          <w:p w14:paraId="7C73F8A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Notification of transfer of an authorisation certificate to another licensee</w:t>
            </w:r>
          </w:p>
          <w:p w14:paraId="08176E4C"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05EF19AD"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$622</w:t>
            </w:r>
            <w:r w:rsidRPr="00F4413E">
              <w:rPr>
                <w:rFonts w:ascii="Times New Roman" w:eastAsia="Times New Roman" w:hAnsi="Times New Roman" w:cs="Times New Roman"/>
                <w:color w:val="000000"/>
                <w:bdr w:val="nil"/>
                <w:lang w:eastAsia="en-AU"/>
              </w:rPr>
              <w:t>.00</w:t>
            </w:r>
          </w:p>
        </w:tc>
        <w:tc>
          <w:tcPr>
            <w:tcW w:w="1700" w:type="dxa"/>
            <w:tcBorders>
              <w:top w:val="single" w:sz="4" w:space="0" w:color="auto"/>
              <w:left w:val="nil"/>
              <w:bottom w:val="single" w:sz="4" w:space="0" w:color="auto"/>
              <w:right w:val="nil"/>
            </w:tcBorders>
            <w:hideMark/>
          </w:tcPr>
          <w:p w14:paraId="40B8C0F0" w14:textId="77777777" w:rsidR="00B2563B" w:rsidRPr="00F4413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$644</w:t>
            </w:r>
            <w:r w:rsidRPr="00F4413E">
              <w:rPr>
                <w:rFonts w:ascii="Times New Roman" w:eastAsia="Times New Roman" w:hAnsi="Times New Roman" w:cs="Times New Roman"/>
                <w:color w:val="000000"/>
                <w:bdr w:val="nil"/>
                <w:lang w:eastAsia="en-AU"/>
              </w:rPr>
              <w:t>.00</w:t>
            </w:r>
          </w:p>
        </w:tc>
      </w:tr>
    </w:tbl>
    <w:p w14:paraId="31484F19" w14:textId="77777777" w:rsidR="00B2563B" w:rsidRDefault="00B2563B" w:rsidP="00B2563B">
      <w:pPr>
        <w:pBdr>
          <w:top w:val="nil"/>
          <w:left w:val="nil"/>
          <w:bottom w:val="nil"/>
          <w:right w:val="nil"/>
          <w:between w:val="nil"/>
          <w:bar w:val="nil"/>
        </w:pBdr>
        <w:tabs>
          <w:tab w:val="left" w:pos="557"/>
          <w:tab w:val="left" w:pos="1826"/>
          <w:tab w:val="left" w:pos="7338"/>
        </w:tabs>
        <w:ind w:left="-712"/>
        <w:rPr>
          <w:rFonts w:ascii="Times New Roman" w:eastAsia="Times New Roman" w:hAnsi="Times New Roman" w:cs="Times New Roman"/>
          <w:bdr w:val="nil"/>
        </w:rPr>
      </w:pPr>
      <w:r>
        <w:rPr>
          <w:rFonts w:ascii="Times New Roman" w:eastAsia="Times New Roman" w:hAnsi="Times New Roman" w:cs="Times New Roman"/>
          <w:bdr w:val="nil"/>
        </w:rPr>
        <w:br w:type="textWrapping" w:clear="all"/>
      </w:r>
    </w:p>
    <w:p w14:paraId="3E0F2DA7" w14:textId="77777777" w:rsidR="00B2563B" w:rsidRDefault="00B2563B" w:rsidP="00B2563B">
      <w:pPr>
        <w:pBdr>
          <w:top w:val="nil"/>
          <w:left w:val="nil"/>
          <w:bottom w:val="nil"/>
          <w:right w:val="nil"/>
          <w:between w:val="nil"/>
          <w:bar w:val="nil"/>
        </w:pBdr>
        <w:rPr>
          <w:rFonts w:ascii="Times New Roman" w:eastAsia="Times New Roman" w:hAnsi="Times New Roman" w:cs="Times New Roman"/>
          <w:bdr w:val="nil"/>
        </w:rPr>
        <w:sectPr w:rsidR="00B2563B" w:rsidSect="00B2563B">
          <w:headerReference w:type="default" r:id="rId13"/>
          <w:pgSz w:w="11907" w:h="16840"/>
          <w:pgMar w:top="907" w:right="1797" w:bottom="1276" w:left="1797" w:header="720" w:footer="720" w:gutter="0"/>
          <w:paperSrc w:first="264" w:other="264"/>
          <w:cols w:space="720"/>
          <w:docGrid w:linePitch="326"/>
        </w:sectPr>
      </w:pPr>
    </w:p>
    <w:tbl>
      <w:tblPr>
        <w:tblW w:w="1017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68"/>
        <w:gridCol w:w="5507"/>
        <w:gridCol w:w="1700"/>
        <w:gridCol w:w="1700"/>
      </w:tblGrid>
      <w:tr w:rsidR="00B2563B" w14:paraId="524CF85C" w14:textId="77777777" w:rsidTr="00FD731A">
        <w:trPr>
          <w:trHeight w:val="368"/>
          <w:tblHeader/>
          <w:jc w:val="center"/>
        </w:trPr>
        <w:tc>
          <w:tcPr>
            <w:tcW w:w="1268" w:type="dxa"/>
            <w:tcBorders>
              <w:top w:val="nil"/>
              <w:left w:val="nil"/>
              <w:bottom w:val="single" w:sz="12" w:space="0" w:color="auto"/>
              <w:right w:val="nil"/>
            </w:tcBorders>
            <w:hideMark/>
          </w:tcPr>
          <w:p w14:paraId="675722A7" w14:textId="77777777" w:rsidR="00B2563B" w:rsidRPr="00B2563B" w:rsidRDefault="00B2563B" w:rsidP="00FD731A">
            <w:pPr>
              <w:pStyle w:val="Heading2"/>
              <w:pBdr>
                <w:top w:val="nil"/>
                <w:left w:val="nil"/>
                <w:bottom w:val="nil"/>
                <w:right w:val="nil"/>
                <w:between w:val="nil"/>
                <w:bar w:val="nil"/>
              </w:pBdr>
              <w:spacing w:before="120"/>
              <w:rPr>
                <w:rFonts w:ascii="Times New Roman" w:eastAsia="Times New Roman" w:hAnsi="Times New Roman" w:cs="Times New Roman"/>
                <w:b/>
                <w:bCs/>
                <w:color w:val="auto"/>
                <w:sz w:val="24"/>
                <w:szCs w:val="24"/>
                <w:bdr w:val="nil"/>
              </w:rPr>
            </w:pPr>
            <w:r w:rsidRPr="00B2563B">
              <w:rPr>
                <w:rFonts w:ascii="Times New Roman" w:eastAsia="Times New Roman" w:hAnsi="Times New Roman" w:cs="Times New Roman"/>
                <w:b/>
                <w:bCs/>
                <w:color w:val="auto"/>
                <w:sz w:val="24"/>
                <w:szCs w:val="24"/>
                <w:bdr w:val="nil"/>
              </w:rPr>
              <w:lastRenderedPageBreak/>
              <w:t>Column 1</w:t>
            </w:r>
          </w:p>
        </w:tc>
        <w:tc>
          <w:tcPr>
            <w:tcW w:w="5507" w:type="dxa"/>
            <w:tcBorders>
              <w:top w:val="nil"/>
              <w:left w:val="nil"/>
              <w:bottom w:val="single" w:sz="12" w:space="0" w:color="auto"/>
              <w:right w:val="nil"/>
            </w:tcBorders>
            <w:hideMark/>
          </w:tcPr>
          <w:p w14:paraId="14D94959" w14:textId="77777777" w:rsidR="00B2563B" w:rsidRPr="00A9538E" w:rsidRDefault="00B2563B" w:rsidP="00FD731A">
            <w:pPr>
              <w:pBdr>
                <w:top w:val="nil"/>
                <w:left w:val="nil"/>
                <w:bottom w:val="nil"/>
                <w:right w:val="nil"/>
                <w:between w:val="nil"/>
                <w:bar w:val="nil"/>
              </w:pBdr>
              <w:spacing w:before="120"/>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Column 2</w:t>
            </w:r>
          </w:p>
        </w:tc>
        <w:tc>
          <w:tcPr>
            <w:tcW w:w="1700" w:type="dxa"/>
            <w:tcBorders>
              <w:top w:val="nil"/>
              <w:left w:val="nil"/>
              <w:bottom w:val="single" w:sz="12" w:space="0" w:color="auto"/>
              <w:right w:val="nil"/>
            </w:tcBorders>
          </w:tcPr>
          <w:p w14:paraId="6EDF854A" w14:textId="77777777" w:rsidR="00B2563B" w:rsidRPr="00A9538E" w:rsidRDefault="00B2563B" w:rsidP="00FD731A">
            <w:pPr>
              <w:pBdr>
                <w:top w:val="nil"/>
                <w:left w:val="nil"/>
                <w:bottom w:val="nil"/>
                <w:right w:val="nil"/>
                <w:between w:val="nil"/>
                <w:bar w:val="nil"/>
              </w:pBdr>
              <w:spacing w:before="120"/>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Column 3</w:t>
            </w:r>
          </w:p>
        </w:tc>
        <w:tc>
          <w:tcPr>
            <w:tcW w:w="1700" w:type="dxa"/>
            <w:tcBorders>
              <w:top w:val="nil"/>
              <w:left w:val="nil"/>
              <w:bottom w:val="single" w:sz="12" w:space="0" w:color="auto"/>
              <w:right w:val="nil"/>
            </w:tcBorders>
            <w:hideMark/>
          </w:tcPr>
          <w:p w14:paraId="10095D4C" w14:textId="77777777" w:rsidR="00B2563B" w:rsidRPr="00A9538E" w:rsidRDefault="00B2563B" w:rsidP="00FD731A">
            <w:pPr>
              <w:pBdr>
                <w:top w:val="nil"/>
                <w:left w:val="nil"/>
                <w:bottom w:val="nil"/>
                <w:right w:val="nil"/>
                <w:between w:val="nil"/>
                <w:bar w:val="nil"/>
              </w:pBdr>
              <w:spacing w:before="120"/>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Column 4</w:t>
            </w:r>
          </w:p>
        </w:tc>
      </w:tr>
      <w:tr w:rsidR="00B2563B" w14:paraId="3D1B1B68" w14:textId="77777777" w:rsidTr="00FD731A">
        <w:trPr>
          <w:trHeight w:val="878"/>
          <w:tblHeader/>
          <w:jc w:val="center"/>
        </w:trPr>
        <w:tc>
          <w:tcPr>
            <w:tcW w:w="1268" w:type="dxa"/>
            <w:tcBorders>
              <w:top w:val="single" w:sz="12" w:space="0" w:color="auto"/>
              <w:left w:val="nil"/>
              <w:bottom w:val="single" w:sz="12" w:space="0" w:color="auto"/>
              <w:right w:val="nil"/>
            </w:tcBorders>
            <w:hideMark/>
          </w:tcPr>
          <w:p w14:paraId="6DE0D3C3" w14:textId="77777777" w:rsidR="00B2563B" w:rsidRPr="00B2563B" w:rsidRDefault="00B2563B" w:rsidP="00B2563B">
            <w:pPr>
              <w:pStyle w:val="Heading2"/>
              <w:pBdr>
                <w:top w:val="nil"/>
                <w:left w:val="nil"/>
                <w:bottom w:val="nil"/>
                <w:right w:val="nil"/>
                <w:between w:val="nil"/>
                <w:bar w:val="nil"/>
              </w:pBdr>
              <w:spacing w:before="0" w:after="0"/>
              <w:rPr>
                <w:rFonts w:ascii="Times New Roman" w:eastAsia="Times New Roman" w:hAnsi="Times New Roman" w:cs="Times New Roman"/>
                <w:b/>
                <w:bCs/>
                <w:color w:val="auto"/>
                <w:sz w:val="24"/>
                <w:szCs w:val="24"/>
                <w:bdr w:val="nil"/>
              </w:rPr>
            </w:pPr>
            <w:r w:rsidRPr="00B2563B">
              <w:rPr>
                <w:rFonts w:ascii="Times New Roman" w:eastAsia="Times New Roman" w:hAnsi="Times New Roman" w:cs="Times New Roman"/>
                <w:b/>
                <w:bCs/>
                <w:color w:val="auto"/>
                <w:sz w:val="24"/>
                <w:szCs w:val="24"/>
                <w:bdr w:val="nil"/>
              </w:rPr>
              <w:t>Relevant Section of Act</w:t>
            </w:r>
          </w:p>
        </w:tc>
        <w:tc>
          <w:tcPr>
            <w:tcW w:w="5507" w:type="dxa"/>
            <w:tcBorders>
              <w:top w:val="single" w:sz="12" w:space="0" w:color="auto"/>
              <w:left w:val="nil"/>
              <w:bottom w:val="single" w:sz="12" w:space="0" w:color="auto"/>
              <w:right w:val="nil"/>
            </w:tcBorders>
            <w:hideMark/>
          </w:tcPr>
          <w:p w14:paraId="6528C0B8"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Description of Matter for which Fee is Payable</w:t>
            </w:r>
          </w:p>
        </w:tc>
        <w:tc>
          <w:tcPr>
            <w:tcW w:w="1700" w:type="dxa"/>
            <w:tcBorders>
              <w:top w:val="single" w:sz="12" w:space="0" w:color="auto"/>
              <w:left w:val="nil"/>
              <w:bottom w:val="single" w:sz="12" w:space="0" w:color="auto"/>
              <w:right w:val="nil"/>
            </w:tcBorders>
          </w:tcPr>
          <w:p w14:paraId="67764DCD"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Previous Fee</w:t>
            </w:r>
          </w:p>
          <w:p w14:paraId="40938E16"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(GST exempt)</w:t>
            </w:r>
          </w:p>
        </w:tc>
        <w:tc>
          <w:tcPr>
            <w:tcW w:w="1700" w:type="dxa"/>
            <w:tcBorders>
              <w:top w:val="single" w:sz="12" w:space="0" w:color="auto"/>
              <w:left w:val="nil"/>
              <w:bottom w:val="single" w:sz="12" w:space="0" w:color="auto"/>
              <w:right w:val="nil"/>
            </w:tcBorders>
            <w:hideMark/>
          </w:tcPr>
          <w:p w14:paraId="77BEA8F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 xml:space="preserve">Fee payable on and after </w:t>
            </w:r>
          </w:p>
          <w:p w14:paraId="68644CA4" w14:textId="77777777" w:rsidR="00B2563B" w:rsidRPr="00A9538E" w:rsidRDefault="00B2563B" w:rsidP="00FD731A">
            <w:pPr>
              <w:pBdr>
                <w:top w:val="nil"/>
                <w:left w:val="nil"/>
                <w:bottom w:val="nil"/>
                <w:right w:val="nil"/>
                <w:between w:val="nil"/>
                <w:bar w:val="nil"/>
              </w:pBdr>
              <w:ind w:left="34" w:hanging="34"/>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 xml:space="preserve">1 July 2025 </w:t>
            </w:r>
          </w:p>
          <w:p w14:paraId="6ADD0BD0" w14:textId="77777777" w:rsidR="00B2563B" w:rsidRPr="00A9538E" w:rsidRDefault="00B2563B" w:rsidP="00FD731A">
            <w:pPr>
              <w:pBdr>
                <w:top w:val="nil"/>
                <w:left w:val="nil"/>
                <w:bottom w:val="nil"/>
                <w:right w:val="nil"/>
                <w:between w:val="nil"/>
                <w:bar w:val="nil"/>
              </w:pBdr>
              <w:ind w:left="34" w:hanging="34"/>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(GST exempt)</w:t>
            </w:r>
          </w:p>
        </w:tc>
      </w:tr>
      <w:tr w:rsidR="00B2563B" w14:paraId="76155EFA" w14:textId="77777777" w:rsidTr="00FD731A">
        <w:trPr>
          <w:jc w:val="center"/>
        </w:trPr>
        <w:tc>
          <w:tcPr>
            <w:tcW w:w="1268" w:type="dxa"/>
            <w:tcBorders>
              <w:top w:val="single" w:sz="4" w:space="0" w:color="auto"/>
              <w:left w:val="nil"/>
              <w:bottom w:val="single" w:sz="4" w:space="0" w:color="auto"/>
              <w:right w:val="nil"/>
            </w:tcBorders>
            <w:hideMark/>
          </w:tcPr>
          <w:p w14:paraId="53F72D8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69</w:t>
            </w:r>
          </w:p>
        </w:tc>
        <w:tc>
          <w:tcPr>
            <w:tcW w:w="5507" w:type="dxa"/>
            <w:tcBorders>
              <w:top w:val="single" w:sz="4" w:space="0" w:color="auto"/>
              <w:left w:val="nil"/>
              <w:bottom w:val="single" w:sz="4" w:space="0" w:color="auto"/>
              <w:right w:val="nil"/>
            </w:tcBorders>
          </w:tcPr>
          <w:p w14:paraId="4C9AC8E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the approval of a gaming machine or peripheral equipment for a gaming machine</w:t>
            </w:r>
          </w:p>
          <w:p w14:paraId="691ACBA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44033E7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$546</w:t>
            </w:r>
            <w:r w:rsidRPr="00A9538E">
              <w:rPr>
                <w:rFonts w:ascii="Times New Roman" w:eastAsia="Times New Roman" w:hAnsi="Times New Roman" w:cs="Times New Roman"/>
                <w:color w:val="000000"/>
                <w:bdr w:val="nil"/>
              </w:rPr>
              <w:t>.00</w:t>
            </w:r>
          </w:p>
          <w:p w14:paraId="4B809760"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1F3C1B8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$565</w:t>
            </w:r>
            <w:r w:rsidRPr="00A9538E">
              <w:rPr>
                <w:rFonts w:ascii="Times New Roman" w:eastAsia="Times New Roman" w:hAnsi="Times New Roman" w:cs="Times New Roman"/>
                <w:color w:val="000000"/>
                <w:bdr w:val="nil"/>
              </w:rPr>
              <w:t>.00</w:t>
            </w:r>
          </w:p>
          <w:p w14:paraId="5FF9328E"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051DFA14" w14:textId="77777777" w:rsidTr="00FD731A">
        <w:trPr>
          <w:trHeight w:val="497"/>
          <w:jc w:val="center"/>
        </w:trPr>
        <w:tc>
          <w:tcPr>
            <w:tcW w:w="1268" w:type="dxa"/>
            <w:tcBorders>
              <w:top w:val="single" w:sz="4" w:space="0" w:color="auto"/>
              <w:left w:val="nil"/>
              <w:bottom w:val="nil"/>
              <w:right w:val="nil"/>
            </w:tcBorders>
            <w:hideMark/>
          </w:tcPr>
          <w:p w14:paraId="2CE9A48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72</w:t>
            </w:r>
          </w:p>
        </w:tc>
        <w:tc>
          <w:tcPr>
            <w:tcW w:w="5507" w:type="dxa"/>
            <w:tcBorders>
              <w:top w:val="single" w:sz="4" w:space="0" w:color="auto"/>
              <w:left w:val="nil"/>
              <w:bottom w:val="nil"/>
              <w:right w:val="nil"/>
            </w:tcBorders>
            <w:hideMark/>
          </w:tcPr>
          <w:p w14:paraId="1A5933F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Application for approval of a corporation as a supplier </w:t>
            </w:r>
          </w:p>
        </w:tc>
        <w:tc>
          <w:tcPr>
            <w:tcW w:w="1700" w:type="dxa"/>
            <w:tcBorders>
              <w:top w:val="single" w:sz="4" w:space="0" w:color="auto"/>
              <w:left w:val="nil"/>
              <w:bottom w:val="nil"/>
              <w:right w:val="nil"/>
            </w:tcBorders>
          </w:tcPr>
          <w:p w14:paraId="6B2C8185"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$884</w:t>
            </w:r>
            <w:r w:rsidRPr="00A9538E">
              <w:rPr>
                <w:rFonts w:ascii="Times New Roman" w:eastAsia="Times New Roman" w:hAnsi="Times New Roman" w:cs="Times New Roman"/>
                <w:color w:val="000000"/>
                <w:bdr w:val="nil"/>
                <w:lang w:eastAsia="en-AU"/>
              </w:rPr>
              <w:t>.00</w:t>
            </w:r>
          </w:p>
          <w:p w14:paraId="2571BAE3"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nil"/>
              <w:right w:val="nil"/>
            </w:tcBorders>
          </w:tcPr>
          <w:p w14:paraId="171B5BC7"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$915</w:t>
            </w:r>
            <w:r w:rsidRPr="00A9538E">
              <w:rPr>
                <w:rFonts w:ascii="Times New Roman" w:eastAsia="Times New Roman" w:hAnsi="Times New Roman" w:cs="Times New Roman"/>
                <w:color w:val="000000"/>
                <w:bdr w:val="nil"/>
                <w:lang w:eastAsia="en-AU"/>
              </w:rPr>
              <w:t>.00</w:t>
            </w:r>
          </w:p>
          <w:p w14:paraId="0F9C957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06BE4107" w14:textId="77777777" w:rsidTr="00FD731A">
        <w:trPr>
          <w:jc w:val="center"/>
        </w:trPr>
        <w:tc>
          <w:tcPr>
            <w:tcW w:w="1268" w:type="dxa"/>
            <w:tcBorders>
              <w:top w:val="single" w:sz="4" w:space="0" w:color="auto"/>
              <w:left w:val="nil"/>
              <w:bottom w:val="single" w:sz="4" w:space="0" w:color="auto"/>
              <w:right w:val="nil"/>
            </w:tcBorders>
            <w:hideMark/>
          </w:tcPr>
          <w:p w14:paraId="6A0F8590"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73</w:t>
            </w:r>
          </w:p>
        </w:tc>
        <w:tc>
          <w:tcPr>
            <w:tcW w:w="5507" w:type="dxa"/>
            <w:tcBorders>
              <w:top w:val="single" w:sz="4" w:space="0" w:color="auto"/>
              <w:left w:val="nil"/>
              <w:bottom w:val="single" w:sz="4" w:space="0" w:color="auto"/>
              <w:right w:val="nil"/>
            </w:tcBorders>
          </w:tcPr>
          <w:p w14:paraId="7083DD45"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Issue a replacement copy of an approved supplier’s certificate</w:t>
            </w:r>
          </w:p>
          <w:p w14:paraId="0DCC98D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7D10B58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$89</w:t>
            </w:r>
            <w:r w:rsidRPr="00A9538E">
              <w:rPr>
                <w:rFonts w:ascii="Times New Roman" w:eastAsia="Times New Roman" w:hAnsi="Times New Roman" w:cs="Times New Roman"/>
                <w:color w:val="000000"/>
                <w:bdr w:val="nil"/>
                <w:lang w:eastAsia="en-AU"/>
              </w:rPr>
              <w:t>.00</w:t>
            </w:r>
          </w:p>
        </w:tc>
        <w:tc>
          <w:tcPr>
            <w:tcW w:w="1700" w:type="dxa"/>
            <w:tcBorders>
              <w:top w:val="single" w:sz="4" w:space="0" w:color="auto"/>
              <w:left w:val="nil"/>
              <w:bottom w:val="single" w:sz="4" w:space="0" w:color="auto"/>
              <w:right w:val="nil"/>
            </w:tcBorders>
            <w:hideMark/>
          </w:tcPr>
          <w:p w14:paraId="051160E1"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$92</w:t>
            </w:r>
            <w:r w:rsidRPr="00A9538E">
              <w:rPr>
                <w:rFonts w:ascii="Times New Roman" w:eastAsia="Times New Roman" w:hAnsi="Times New Roman" w:cs="Times New Roman"/>
                <w:color w:val="000000"/>
                <w:bdr w:val="nil"/>
                <w:lang w:eastAsia="en-AU"/>
              </w:rPr>
              <w:t>.00</w:t>
            </w:r>
          </w:p>
        </w:tc>
      </w:tr>
      <w:tr w:rsidR="00B2563B" w14:paraId="1C457588" w14:textId="77777777" w:rsidTr="00FD731A">
        <w:trPr>
          <w:jc w:val="center"/>
        </w:trPr>
        <w:tc>
          <w:tcPr>
            <w:tcW w:w="1268" w:type="dxa"/>
            <w:tcBorders>
              <w:top w:val="single" w:sz="4" w:space="0" w:color="auto"/>
              <w:left w:val="nil"/>
              <w:bottom w:val="single" w:sz="4" w:space="0" w:color="auto"/>
              <w:right w:val="nil"/>
            </w:tcBorders>
            <w:hideMark/>
          </w:tcPr>
          <w:p w14:paraId="4BD1603D"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74</w:t>
            </w:r>
          </w:p>
        </w:tc>
        <w:tc>
          <w:tcPr>
            <w:tcW w:w="5507" w:type="dxa"/>
            <w:tcBorders>
              <w:top w:val="single" w:sz="4" w:space="0" w:color="auto"/>
              <w:left w:val="nil"/>
              <w:bottom w:val="single" w:sz="4" w:space="0" w:color="auto"/>
              <w:right w:val="nil"/>
            </w:tcBorders>
          </w:tcPr>
          <w:p w14:paraId="3A65F4EE"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as a technician</w:t>
            </w:r>
          </w:p>
          <w:p w14:paraId="74721018"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56E06D6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$175</w:t>
            </w:r>
            <w:r w:rsidRPr="00A9538E">
              <w:rPr>
                <w:rFonts w:ascii="Times New Roman" w:eastAsia="Times New Roman" w:hAnsi="Times New Roman" w:cs="Times New Roman"/>
                <w:color w:val="000000"/>
                <w:bdr w:val="nil"/>
              </w:rPr>
              <w:t>.00</w:t>
            </w:r>
          </w:p>
          <w:p w14:paraId="7AD26FB8"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7614DB7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$181</w:t>
            </w:r>
            <w:r w:rsidRPr="00A9538E">
              <w:rPr>
                <w:rFonts w:ascii="Times New Roman" w:eastAsia="Times New Roman" w:hAnsi="Times New Roman" w:cs="Times New Roman"/>
                <w:color w:val="000000"/>
                <w:bdr w:val="nil"/>
              </w:rPr>
              <w:t>.00</w:t>
            </w:r>
          </w:p>
          <w:p w14:paraId="1934DE6B"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677F1A7A" w14:textId="77777777" w:rsidTr="00FD731A">
        <w:trPr>
          <w:jc w:val="center"/>
        </w:trPr>
        <w:tc>
          <w:tcPr>
            <w:tcW w:w="1268" w:type="dxa"/>
            <w:tcBorders>
              <w:top w:val="single" w:sz="4" w:space="0" w:color="auto"/>
              <w:left w:val="nil"/>
              <w:bottom w:val="single" w:sz="4" w:space="0" w:color="auto"/>
              <w:right w:val="nil"/>
            </w:tcBorders>
            <w:hideMark/>
          </w:tcPr>
          <w:p w14:paraId="2FBAA0E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78</w:t>
            </w:r>
          </w:p>
        </w:tc>
        <w:tc>
          <w:tcPr>
            <w:tcW w:w="5507" w:type="dxa"/>
            <w:tcBorders>
              <w:top w:val="single" w:sz="4" w:space="0" w:color="auto"/>
              <w:left w:val="nil"/>
              <w:bottom w:val="single" w:sz="4" w:space="0" w:color="auto"/>
              <w:right w:val="nil"/>
            </w:tcBorders>
          </w:tcPr>
          <w:p w14:paraId="25BB5DC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transfer of a technician from one supplier to another</w:t>
            </w:r>
          </w:p>
          <w:p w14:paraId="2008E340"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1002C6D3"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$70</w:t>
            </w:r>
            <w:r w:rsidRPr="00A9538E">
              <w:rPr>
                <w:rFonts w:ascii="Times New Roman" w:eastAsia="Times New Roman" w:hAnsi="Times New Roman" w:cs="Times New Roman"/>
                <w:color w:val="000000"/>
                <w:bdr w:val="nil"/>
                <w:lang w:eastAsia="en-AU"/>
              </w:rPr>
              <w:t>.00</w:t>
            </w:r>
          </w:p>
        </w:tc>
        <w:tc>
          <w:tcPr>
            <w:tcW w:w="1700" w:type="dxa"/>
            <w:tcBorders>
              <w:top w:val="single" w:sz="4" w:space="0" w:color="auto"/>
              <w:left w:val="nil"/>
              <w:bottom w:val="single" w:sz="4" w:space="0" w:color="auto"/>
              <w:right w:val="nil"/>
            </w:tcBorders>
            <w:hideMark/>
          </w:tcPr>
          <w:p w14:paraId="5592457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$72</w:t>
            </w:r>
            <w:r w:rsidRPr="00A9538E">
              <w:rPr>
                <w:rFonts w:ascii="Times New Roman" w:eastAsia="Times New Roman" w:hAnsi="Times New Roman" w:cs="Times New Roman"/>
                <w:color w:val="000000"/>
                <w:bdr w:val="nil"/>
                <w:lang w:eastAsia="en-AU"/>
              </w:rPr>
              <w:t>.00</w:t>
            </w:r>
          </w:p>
        </w:tc>
      </w:tr>
      <w:tr w:rsidR="00B2563B" w14:paraId="2B9294A8" w14:textId="77777777" w:rsidTr="00FD731A">
        <w:trPr>
          <w:jc w:val="center"/>
        </w:trPr>
        <w:tc>
          <w:tcPr>
            <w:tcW w:w="1268" w:type="dxa"/>
            <w:tcBorders>
              <w:top w:val="single" w:sz="4" w:space="0" w:color="auto"/>
              <w:left w:val="nil"/>
              <w:bottom w:val="single" w:sz="4" w:space="0" w:color="auto"/>
              <w:right w:val="nil"/>
            </w:tcBorders>
            <w:hideMark/>
          </w:tcPr>
          <w:p w14:paraId="1227A20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81</w:t>
            </w:r>
          </w:p>
        </w:tc>
        <w:tc>
          <w:tcPr>
            <w:tcW w:w="5507" w:type="dxa"/>
            <w:tcBorders>
              <w:top w:val="single" w:sz="4" w:space="0" w:color="auto"/>
              <w:left w:val="nil"/>
              <w:bottom w:val="single" w:sz="4" w:space="0" w:color="auto"/>
              <w:right w:val="nil"/>
            </w:tcBorders>
          </w:tcPr>
          <w:p w14:paraId="157F82A5"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Issue a replacement copy of a technician’s identity card or certificate</w:t>
            </w:r>
          </w:p>
          <w:p w14:paraId="57C3ABD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08A41DEB"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$70</w:t>
            </w:r>
            <w:r w:rsidRPr="00A9538E">
              <w:rPr>
                <w:rFonts w:ascii="Times New Roman" w:eastAsia="Times New Roman" w:hAnsi="Times New Roman" w:cs="Times New Roman"/>
                <w:color w:val="000000"/>
                <w:bdr w:val="nil"/>
                <w:lang w:eastAsia="en-AU"/>
              </w:rPr>
              <w:t>.00</w:t>
            </w:r>
          </w:p>
        </w:tc>
        <w:tc>
          <w:tcPr>
            <w:tcW w:w="1700" w:type="dxa"/>
            <w:tcBorders>
              <w:top w:val="single" w:sz="4" w:space="0" w:color="auto"/>
              <w:left w:val="nil"/>
              <w:bottom w:val="single" w:sz="4" w:space="0" w:color="auto"/>
              <w:right w:val="nil"/>
            </w:tcBorders>
            <w:hideMark/>
          </w:tcPr>
          <w:p w14:paraId="1B1C6670"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$72</w:t>
            </w:r>
            <w:r w:rsidRPr="00A9538E">
              <w:rPr>
                <w:rFonts w:ascii="Times New Roman" w:eastAsia="Times New Roman" w:hAnsi="Times New Roman" w:cs="Times New Roman"/>
                <w:color w:val="000000"/>
                <w:bdr w:val="nil"/>
                <w:lang w:eastAsia="en-AU"/>
              </w:rPr>
              <w:t>.00</w:t>
            </w:r>
          </w:p>
        </w:tc>
      </w:tr>
      <w:tr w:rsidR="00B2563B" w14:paraId="0C8FBBF9" w14:textId="77777777" w:rsidTr="00FD731A">
        <w:trPr>
          <w:jc w:val="center"/>
        </w:trPr>
        <w:tc>
          <w:tcPr>
            <w:tcW w:w="1268" w:type="dxa"/>
            <w:tcBorders>
              <w:top w:val="single" w:sz="4" w:space="0" w:color="auto"/>
              <w:left w:val="nil"/>
              <w:bottom w:val="single" w:sz="4" w:space="0" w:color="auto"/>
              <w:right w:val="nil"/>
            </w:tcBorders>
            <w:hideMark/>
          </w:tcPr>
          <w:p w14:paraId="315DACD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84</w:t>
            </w:r>
          </w:p>
        </w:tc>
        <w:tc>
          <w:tcPr>
            <w:tcW w:w="5507" w:type="dxa"/>
            <w:tcBorders>
              <w:top w:val="single" w:sz="4" w:space="0" w:color="auto"/>
              <w:left w:val="nil"/>
              <w:bottom w:val="single" w:sz="4" w:space="0" w:color="auto"/>
              <w:right w:val="nil"/>
            </w:tcBorders>
          </w:tcPr>
          <w:p w14:paraId="71BBF28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renewal of a technician’s approval</w:t>
            </w:r>
          </w:p>
          <w:p w14:paraId="52549AC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12C3C8A6"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$175</w:t>
            </w:r>
            <w:r w:rsidRPr="00A9538E">
              <w:rPr>
                <w:rFonts w:ascii="Times New Roman" w:eastAsia="Times New Roman" w:hAnsi="Times New Roman" w:cs="Times New Roman"/>
                <w:color w:val="000000"/>
                <w:bdr w:val="nil"/>
                <w:lang w:eastAsia="en-AU"/>
              </w:rPr>
              <w:t>.00</w:t>
            </w:r>
          </w:p>
        </w:tc>
        <w:tc>
          <w:tcPr>
            <w:tcW w:w="1700" w:type="dxa"/>
            <w:tcBorders>
              <w:top w:val="single" w:sz="4" w:space="0" w:color="auto"/>
              <w:left w:val="nil"/>
              <w:bottom w:val="single" w:sz="4" w:space="0" w:color="auto"/>
              <w:right w:val="nil"/>
            </w:tcBorders>
            <w:hideMark/>
          </w:tcPr>
          <w:p w14:paraId="7BF54CC9"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$181</w:t>
            </w:r>
            <w:r w:rsidRPr="00A9538E">
              <w:rPr>
                <w:rFonts w:ascii="Times New Roman" w:eastAsia="Times New Roman" w:hAnsi="Times New Roman" w:cs="Times New Roman"/>
                <w:color w:val="000000"/>
                <w:bdr w:val="nil"/>
                <w:lang w:eastAsia="en-AU"/>
              </w:rPr>
              <w:t>.00</w:t>
            </w:r>
          </w:p>
        </w:tc>
      </w:tr>
      <w:tr w:rsidR="00B2563B" w14:paraId="6AC14785" w14:textId="77777777" w:rsidTr="00FD731A">
        <w:trPr>
          <w:jc w:val="center"/>
        </w:trPr>
        <w:tc>
          <w:tcPr>
            <w:tcW w:w="1268" w:type="dxa"/>
            <w:tcBorders>
              <w:top w:val="single" w:sz="4" w:space="0" w:color="auto"/>
              <w:left w:val="nil"/>
              <w:bottom w:val="nil"/>
              <w:right w:val="nil"/>
            </w:tcBorders>
            <w:hideMark/>
          </w:tcPr>
          <w:p w14:paraId="012B0A2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99</w:t>
            </w:r>
          </w:p>
        </w:tc>
        <w:tc>
          <w:tcPr>
            <w:tcW w:w="5507" w:type="dxa"/>
            <w:tcBorders>
              <w:top w:val="single" w:sz="4" w:space="0" w:color="auto"/>
              <w:left w:val="nil"/>
              <w:bottom w:val="nil"/>
              <w:right w:val="nil"/>
            </w:tcBorders>
          </w:tcPr>
          <w:p w14:paraId="6B31A467"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Notification for the acquisition of:</w:t>
            </w:r>
          </w:p>
          <w:p w14:paraId="6A7CF7A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5734DCBD"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 an authorisation for a gaming machine (including gaming machines if traded) </w:t>
            </w:r>
          </w:p>
          <w:p w14:paraId="2205252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nil"/>
              <w:right w:val="nil"/>
            </w:tcBorders>
          </w:tcPr>
          <w:p w14:paraId="3A6F8251"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62E730E5"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$147</w:t>
            </w:r>
            <w:r w:rsidRPr="00A9538E">
              <w:rPr>
                <w:rFonts w:ascii="Times New Roman" w:eastAsia="Times New Roman" w:hAnsi="Times New Roman" w:cs="Times New Roman"/>
                <w:color w:val="000000"/>
                <w:bdr w:val="nil"/>
                <w:lang w:eastAsia="en-AU"/>
              </w:rPr>
              <w:t>.00</w:t>
            </w:r>
          </w:p>
          <w:p w14:paraId="5A4BA85E"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for four or less</w:t>
            </w:r>
          </w:p>
          <w:p w14:paraId="2386FC8F"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nil"/>
              <w:right w:val="nil"/>
            </w:tcBorders>
          </w:tcPr>
          <w:p w14:paraId="0C93CEB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1D6D46D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$152</w:t>
            </w:r>
            <w:r w:rsidRPr="00A9538E">
              <w:rPr>
                <w:rFonts w:ascii="Times New Roman" w:eastAsia="Times New Roman" w:hAnsi="Times New Roman" w:cs="Times New Roman"/>
                <w:color w:val="000000"/>
                <w:bdr w:val="nil"/>
                <w:lang w:eastAsia="en-AU"/>
              </w:rPr>
              <w:t>.00</w:t>
            </w:r>
          </w:p>
          <w:p w14:paraId="0443D7E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for four or less</w:t>
            </w:r>
          </w:p>
          <w:p w14:paraId="39BEE0C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185EFBB2" w14:textId="77777777" w:rsidTr="00FD731A">
        <w:trPr>
          <w:jc w:val="center"/>
        </w:trPr>
        <w:tc>
          <w:tcPr>
            <w:tcW w:w="1268" w:type="dxa"/>
            <w:tcBorders>
              <w:top w:val="nil"/>
              <w:left w:val="nil"/>
              <w:bottom w:val="single" w:sz="4" w:space="0" w:color="auto"/>
              <w:right w:val="nil"/>
            </w:tcBorders>
          </w:tcPr>
          <w:p w14:paraId="13E1996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5507" w:type="dxa"/>
            <w:tcBorders>
              <w:top w:val="nil"/>
              <w:left w:val="nil"/>
              <w:bottom w:val="single" w:sz="4" w:space="0" w:color="auto"/>
              <w:right w:val="nil"/>
            </w:tcBorders>
            <w:hideMark/>
          </w:tcPr>
          <w:p w14:paraId="50C5CC78"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(b) a gaming machine</w:t>
            </w:r>
          </w:p>
        </w:tc>
        <w:tc>
          <w:tcPr>
            <w:tcW w:w="1700" w:type="dxa"/>
            <w:tcBorders>
              <w:top w:val="nil"/>
              <w:left w:val="nil"/>
              <w:bottom w:val="single" w:sz="4" w:space="0" w:color="auto"/>
              <w:right w:val="nil"/>
            </w:tcBorders>
          </w:tcPr>
          <w:p w14:paraId="4F41F434"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$42</w:t>
            </w:r>
            <w:r w:rsidRPr="00A9538E">
              <w:rPr>
                <w:rFonts w:ascii="Times New Roman" w:eastAsia="Times New Roman" w:hAnsi="Times New Roman" w:cs="Times New Roman"/>
                <w:color w:val="000000"/>
                <w:bdr w:val="nil"/>
                <w:lang w:eastAsia="en-AU"/>
              </w:rPr>
              <w:t>.00</w:t>
            </w:r>
          </w:p>
          <w:p w14:paraId="30425C36"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p w14:paraId="7CD85DF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nil"/>
              <w:left w:val="nil"/>
              <w:bottom w:val="single" w:sz="4" w:space="0" w:color="auto"/>
              <w:right w:val="nil"/>
            </w:tcBorders>
          </w:tcPr>
          <w:p w14:paraId="139A4246"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$43</w:t>
            </w:r>
            <w:r w:rsidRPr="00A9538E">
              <w:rPr>
                <w:rFonts w:ascii="Times New Roman" w:eastAsia="Times New Roman" w:hAnsi="Times New Roman" w:cs="Times New Roman"/>
                <w:color w:val="000000"/>
                <w:bdr w:val="nil"/>
                <w:lang w:eastAsia="en-AU"/>
              </w:rPr>
              <w:t>.00</w:t>
            </w:r>
          </w:p>
          <w:p w14:paraId="1FED340D"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p w14:paraId="69F2882C"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14DC86BF" w14:textId="77777777" w:rsidTr="00FD731A">
        <w:trPr>
          <w:jc w:val="center"/>
        </w:trPr>
        <w:tc>
          <w:tcPr>
            <w:tcW w:w="1268" w:type="dxa"/>
            <w:tcBorders>
              <w:top w:val="single" w:sz="4" w:space="0" w:color="auto"/>
              <w:left w:val="nil"/>
              <w:bottom w:val="single" w:sz="4" w:space="0" w:color="auto"/>
              <w:right w:val="nil"/>
            </w:tcBorders>
            <w:hideMark/>
          </w:tcPr>
          <w:p w14:paraId="0EEA8AD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107</w:t>
            </w:r>
          </w:p>
        </w:tc>
        <w:tc>
          <w:tcPr>
            <w:tcW w:w="5507" w:type="dxa"/>
            <w:tcBorders>
              <w:top w:val="single" w:sz="4" w:space="0" w:color="auto"/>
              <w:left w:val="nil"/>
              <w:bottom w:val="single" w:sz="4" w:space="0" w:color="auto"/>
              <w:right w:val="nil"/>
            </w:tcBorders>
          </w:tcPr>
          <w:p w14:paraId="56DE511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repossess a gaming machine</w:t>
            </w:r>
          </w:p>
          <w:p w14:paraId="29DAF060"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4F444BBF"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$42</w:t>
            </w:r>
            <w:r w:rsidRPr="00A9538E">
              <w:rPr>
                <w:rFonts w:ascii="Times New Roman" w:eastAsia="Times New Roman" w:hAnsi="Times New Roman" w:cs="Times New Roman"/>
                <w:color w:val="000000"/>
                <w:bdr w:val="nil"/>
                <w:lang w:eastAsia="en-AU"/>
              </w:rPr>
              <w:t>.00</w:t>
            </w:r>
          </w:p>
          <w:p w14:paraId="0A1AB30F"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tc>
        <w:tc>
          <w:tcPr>
            <w:tcW w:w="1700" w:type="dxa"/>
            <w:tcBorders>
              <w:top w:val="single" w:sz="4" w:space="0" w:color="auto"/>
              <w:left w:val="nil"/>
              <w:bottom w:val="single" w:sz="4" w:space="0" w:color="auto"/>
              <w:right w:val="nil"/>
            </w:tcBorders>
            <w:hideMark/>
          </w:tcPr>
          <w:p w14:paraId="3D5403AB"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$43</w:t>
            </w:r>
            <w:r w:rsidRPr="00A9538E">
              <w:rPr>
                <w:rFonts w:ascii="Times New Roman" w:eastAsia="Times New Roman" w:hAnsi="Times New Roman" w:cs="Times New Roman"/>
                <w:color w:val="000000"/>
                <w:bdr w:val="nil"/>
                <w:lang w:eastAsia="en-AU"/>
              </w:rPr>
              <w:t>.00</w:t>
            </w:r>
          </w:p>
          <w:p w14:paraId="5B1D79F5"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tc>
      </w:tr>
      <w:tr w:rsidR="00B2563B" w14:paraId="3A8239C0" w14:textId="77777777" w:rsidTr="00FD731A">
        <w:trPr>
          <w:jc w:val="center"/>
        </w:trPr>
        <w:tc>
          <w:tcPr>
            <w:tcW w:w="1268" w:type="dxa"/>
            <w:tcBorders>
              <w:top w:val="single" w:sz="4" w:space="0" w:color="auto"/>
              <w:left w:val="nil"/>
              <w:bottom w:val="single" w:sz="4" w:space="0" w:color="auto"/>
              <w:right w:val="nil"/>
            </w:tcBorders>
            <w:hideMark/>
          </w:tcPr>
          <w:p w14:paraId="6B29FF9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112</w:t>
            </w:r>
          </w:p>
        </w:tc>
        <w:tc>
          <w:tcPr>
            <w:tcW w:w="5507" w:type="dxa"/>
            <w:tcBorders>
              <w:top w:val="single" w:sz="4" w:space="0" w:color="auto"/>
              <w:left w:val="nil"/>
              <w:bottom w:val="single" w:sz="4" w:space="0" w:color="auto"/>
              <w:right w:val="nil"/>
            </w:tcBorders>
          </w:tcPr>
          <w:p w14:paraId="453F1228"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dispose of a gaming machine</w:t>
            </w:r>
          </w:p>
          <w:p w14:paraId="1FA85B5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tcBorders>
              <w:top w:val="single" w:sz="4" w:space="0" w:color="auto"/>
              <w:left w:val="nil"/>
              <w:bottom w:val="single" w:sz="4" w:space="0" w:color="auto"/>
              <w:right w:val="nil"/>
            </w:tcBorders>
          </w:tcPr>
          <w:p w14:paraId="18C47458"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$42</w:t>
            </w:r>
            <w:r w:rsidRPr="00A9538E">
              <w:rPr>
                <w:rFonts w:ascii="Times New Roman" w:eastAsia="Times New Roman" w:hAnsi="Times New Roman" w:cs="Times New Roman"/>
                <w:color w:val="000000"/>
                <w:bdr w:val="nil"/>
                <w:lang w:eastAsia="en-AU"/>
              </w:rPr>
              <w:t>.00</w:t>
            </w:r>
          </w:p>
          <w:p w14:paraId="43B00ABE"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tc>
        <w:tc>
          <w:tcPr>
            <w:tcW w:w="1700" w:type="dxa"/>
            <w:tcBorders>
              <w:top w:val="single" w:sz="4" w:space="0" w:color="auto"/>
              <w:left w:val="nil"/>
              <w:bottom w:val="single" w:sz="4" w:space="0" w:color="auto"/>
              <w:right w:val="nil"/>
            </w:tcBorders>
            <w:hideMark/>
          </w:tcPr>
          <w:p w14:paraId="5398EC65"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$43</w:t>
            </w:r>
            <w:r w:rsidRPr="00A9538E">
              <w:rPr>
                <w:rFonts w:ascii="Times New Roman" w:eastAsia="Times New Roman" w:hAnsi="Times New Roman" w:cs="Times New Roman"/>
                <w:color w:val="000000"/>
                <w:bdr w:val="nil"/>
                <w:lang w:eastAsia="en-AU"/>
              </w:rPr>
              <w:t>.00</w:t>
            </w:r>
          </w:p>
          <w:p w14:paraId="2CB1C293"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tc>
      </w:tr>
    </w:tbl>
    <w:p w14:paraId="30EE4501" w14:textId="77777777" w:rsidR="00B2563B" w:rsidRDefault="00B2563B" w:rsidP="00B2563B">
      <w:pPr>
        <w:pBdr>
          <w:top w:val="nil"/>
          <w:left w:val="nil"/>
          <w:bottom w:val="nil"/>
          <w:right w:val="nil"/>
          <w:between w:val="nil"/>
          <w:bar w:val="nil"/>
        </w:pBdr>
        <w:rPr>
          <w:rFonts w:ascii="Times New Roman" w:eastAsia="Times New Roman" w:hAnsi="Times New Roman" w:cs="Times New Roman"/>
          <w:bdr w:val="nil"/>
        </w:rPr>
        <w:sectPr w:rsidR="00B2563B" w:rsidSect="00B2563B">
          <w:headerReference w:type="default" r:id="rId14"/>
          <w:pgSz w:w="11907" w:h="16840"/>
          <w:pgMar w:top="907" w:right="1797" w:bottom="1276" w:left="1797" w:header="720" w:footer="720" w:gutter="0"/>
          <w:paperSrc w:first="264" w:other="264"/>
          <w:cols w:space="720"/>
        </w:sectPr>
      </w:pPr>
    </w:p>
    <w:tbl>
      <w:tblPr>
        <w:tblW w:w="10206"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5529"/>
        <w:gridCol w:w="1701"/>
        <w:gridCol w:w="1701"/>
      </w:tblGrid>
      <w:tr w:rsidR="00B2563B" w14:paraId="32AACC42" w14:textId="77777777" w:rsidTr="00FD731A">
        <w:trPr>
          <w:jc w:val="center"/>
        </w:trPr>
        <w:tc>
          <w:tcPr>
            <w:tcW w:w="1275" w:type="dxa"/>
            <w:tcBorders>
              <w:top w:val="nil"/>
              <w:left w:val="nil"/>
              <w:bottom w:val="single" w:sz="12" w:space="0" w:color="auto"/>
              <w:right w:val="nil"/>
            </w:tcBorders>
            <w:hideMark/>
          </w:tcPr>
          <w:p w14:paraId="3FDA116D" w14:textId="77777777" w:rsidR="00B2563B" w:rsidRPr="00A9538E" w:rsidRDefault="00B2563B" w:rsidP="00FD731A">
            <w:pPr>
              <w:pBdr>
                <w:top w:val="nil"/>
                <w:left w:val="nil"/>
                <w:bottom w:val="nil"/>
                <w:right w:val="nil"/>
                <w:between w:val="nil"/>
                <w:bar w:val="nil"/>
              </w:pBdr>
              <w:spacing w:before="120"/>
              <w:rPr>
                <w:rFonts w:ascii="Times New Roman" w:eastAsia="Times New Roman" w:hAnsi="Times New Roman" w:cs="Times New Roman"/>
                <w:b/>
                <w:bdr w:val="nil"/>
              </w:rPr>
            </w:pPr>
            <w:r w:rsidRPr="00A9538E">
              <w:rPr>
                <w:rFonts w:ascii="Times New Roman" w:eastAsia="Times New Roman" w:hAnsi="Times New Roman" w:cs="Times New Roman"/>
                <w:b/>
                <w:bdr w:val="nil"/>
              </w:rPr>
              <w:lastRenderedPageBreak/>
              <w:t>Column 1</w:t>
            </w:r>
          </w:p>
        </w:tc>
        <w:tc>
          <w:tcPr>
            <w:tcW w:w="5529" w:type="dxa"/>
            <w:tcBorders>
              <w:top w:val="nil"/>
              <w:left w:val="nil"/>
              <w:bottom w:val="single" w:sz="12" w:space="0" w:color="auto"/>
              <w:right w:val="nil"/>
            </w:tcBorders>
            <w:hideMark/>
          </w:tcPr>
          <w:p w14:paraId="2BDB692D" w14:textId="77777777" w:rsidR="00B2563B" w:rsidRPr="00A9538E" w:rsidRDefault="00B2563B" w:rsidP="00FD731A">
            <w:pPr>
              <w:pBdr>
                <w:top w:val="nil"/>
                <w:left w:val="nil"/>
                <w:bottom w:val="nil"/>
                <w:right w:val="nil"/>
                <w:between w:val="nil"/>
                <w:bar w:val="nil"/>
              </w:pBdr>
              <w:spacing w:before="120"/>
              <w:rPr>
                <w:rFonts w:ascii="Times New Roman" w:eastAsia="Times New Roman" w:hAnsi="Times New Roman" w:cs="Times New Roman"/>
                <w:b/>
                <w:bdr w:val="nil"/>
              </w:rPr>
            </w:pPr>
            <w:r w:rsidRPr="00A9538E">
              <w:rPr>
                <w:rFonts w:ascii="Times New Roman" w:eastAsia="Times New Roman" w:hAnsi="Times New Roman" w:cs="Times New Roman"/>
                <w:b/>
                <w:bdr w:val="nil"/>
              </w:rPr>
              <w:t>Column 2</w:t>
            </w:r>
          </w:p>
        </w:tc>
        <w:tc>
          <w:tcPr>
            <w:tcW w:w="1701" w:type="dxa"/>
            <w:tcBorders>
              <w:top w:val="nil"/>
              <w:left w:val="nil"/>
              <w:bottom w:val="single" w:sz="12" w:space="0" w:color="auto"/>
              <w:right w:val="nil"/>
            </w:tcBorders>
          </w:tcPr>
          <w:p w14:paraId="1B5EB060" w14:textId="77777777" w:rsidR="00B2563B" w:rsidRPr="00A9538E" w:rsidRDefault="00B2563B" w:rsidP="00FD731A">
            <w:pPr>
              <w:pBdr>
                <w:top w:val="nil"/>
                <w:left w:val="nil"/>
                <w:bottom w:val="nil"/>
                <w:right w:val="nil"/>
                <w:between w:val="nil"/>
                <w:bar w:val="nil"/>
              </w:pBdr>
              <w:spacing w:before="120"/>
              <w:rPr>
                <w:rFonts w:ascii="Times New Roman" w:eastAsia="Times New Roman" w:hAnsi="Times New Roman" w:cs="Times New Roman"/>
                <w:b/>
                <w:bdr w:val="nil"/>
              </w:rPr>
            </w:pPr>
            <w:r w:rsidRPr="00A9538E">
              <w:rPr>
                <w:rFonts w:ascii="Times New Roman" w:eastAsia="Times New Roman" w:hAnsi="Times New Roman" w:cs="Times New Roman"/>
                <w:b/>
                <w:bdr w:val="nil"/>
              </w:rPr>
              <w:t>Column 3</w:t>
            </w:r>
          </w:p>
        </w:tc>
        <w:tc>
          <w:tcPr>
            <w:tcW w:w="1701" w:type="dxa"/>
            <w:tcBorders>
              <w:top w:val="nil"/>
              <w:left w:val="nil"/>
              <w:bottom w:val="single" w:sz="12" w:space="0" w:color="auto"/>
              <w:right w:val="nil"/>
            </w:tcBorders>
            <w:hideMark/>
          </w:tcPr>
          <w:p w14:paraId="1AA1223A" w14:textId="77777777" w:rsidR="00B2563B" w:rsidRPr="00A9538E" w:rsidRDefault="00B2563B" w:rsidP="00FD731A">
            <w:pPr>
              <w:pBdr>
                <w:top w:val="nil"/>
                <w:left w:val="nil"/>
                <w:bottom w:val="nil"/>
                <w:right w:val="nil"/>
                <w:between w:val="nil"/>
                <w:bar w:val="nil"/>
              </w:pBdr>
              <w:spacing w:before="120"/>
              <w:rPr>
                <w:rFonts w:ascii="Times New Roman" w:eastAsia="Times New Roman" w:hAnsi="Times New Roman" w:cs="Times New Roman"/>
                <w:b/>
                <w:bdr w:val="nil"/>
              </w:rPr>
            </w:pPr>
            <w:r w:rsidRPr="00A9538E">
              <w:rPr>
                <w:rFonts w:ascii="Times New Roman" w:eastAsia="Times New Roman" w:hAnsi="Times New Roman" w:cs="Times New Roman"/>
                <w:b/>
                <w:bdr w:val="nil"/>
              </w:rPr>
              <w:t>Column 4</w:t>
            </w:r>
          </w:p>
        </w:tc>
      </w:tr>
      <w:tr w:rsidR="00B2563B" w14:paraId="7946FF78" w14:textId="77777777" w:rsidTr="00FD731A">
        <w:trPr>
          <w:jc w:val="center"/>
        </w:trPr>
        <w:tc>
          <w:tcPr>
            <w:tcW w:w="1275" w:type="dxa"/>
            <w:tcBorders>
              <w:top w:val="single" w:sz="12" w:space="0" w:color="auto"/>
              <w:left w:val="nil"/>
              <w:bottom w:val="single" w:sz="12" w:space="0" w:color="auto"/>
              <w:right w:val="nil"/>
            </w:tcBorders>
            <w:hideMark/>
          </w:tcPr>
          <w:p w14:paraId="5D6ADADD"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
                <w:bdr w:val="nil"/>
              </w:rPr>
            </w:pPr>
            <w:r w:rsidRPr="00A9538E">
              <w:rPr>
                <w:rFonts w:ascii="Times New Roman" w:eastAsia="Times New Roman" w:hAnsi="Times New Roman" w:cs="Times New Roman"/>
                <w:b/>
                <w:bdr w:val="nil"/>
              </w:rPr>
              <w:t>Relevant Section of Act</w:t>
            </w:r>
          </w:p>
        </w:tc>
        <w:tc>
          <w:tcPr>
            <w:tcW w:w="5529" w:type="dxa"/>
            <w:tcBorders>
              <w:top w:val="single" w:sz="12" w:space="0" w:color="auto"/>
              <w:left w:val="nil"/>
              <w:bottom w:val="single" w:sz="12" w:space="0" w:color="auto"/>
              <w:right w:val="nil"/>
            </w:tcBorders>
            <w:hideMark/>
          </w:tcPr>
          <w:p w14:paraId="675B36C9"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
                <w:bdr w:val="nil"/>
              </w:rPr>
            </w:pPr>
            <w:r w:rsidRPr="00A9538E">
              <w:rPr>
                <w:rFonts w:ascii="Times New Roman" w:eastAsia="Times New Roman" w:hAnsi="Times New Roman" w:cs="Times New Roman"/>
                <w:b/>
                <w:bdr w:val="nil"/>
              </w:rPr>
              <w:t>Description of Matter for which Fee is Payable</w:t>
            </w:r>
          </w:p>
        </w:tc>
        <w:tc>
          <w:tcPr>
            <w:tcW w:w="1701" w:type="dxa"/>
            <w:tcBorders>
              <w:top w:val="single" w:sz="12" w:space="0" w:color="auto"/>
              <w:left w:val="nil"/>
              <w:bottom w:val="single" w:sz="12" w:space="0" w:color="auto"/>
              <w:right w:val="nil"/>
            </w:tcBorders>
          </w:tcPr>
          <w:p w14:paraId="3151A971"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Previous Fee</w:t>
            </w:r>
          </w:p>
          <w:p w14:paraId="24DE2786"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
                <w:bdr w:val="nil"/>
              </w:rPr>
            </w:pPr>
            <w:r w:rsidRPr="00A9538E">
              <w:rPr>
                <w:rFonts w:ascii="Times New Roman" w:eastAsia="Times New Roman" w:hAnsi="Times New Roman" w:cs="Times New Roman"/>
                <w:b/>
                <w:bCs/>
                <w:bdr w:val="nil"/>
              </w:rPr>
              <w:t>(GST exempt)</w:t>
            </w:r>
          </w:p>
        </w:tc>
        <w:tc>
          <w:tcPr>
            <w:tcW w:w="1701" w:type="dxa"/>
            <w:tcBorders>
              <w:top w:val="single" w:sz="12" w:space="0" w:color="auto"/>
              <w:left w:val="nil"/>
              <w:bottom w:val="single" w:sz="12" w:space="0" w:color="auto"/>
              <w:right w:val="nil"/>
            </w:tcBorders>
            <w:hideMark/>
          </w:tcPr>
          <w:p w14:paraId="799F007D"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 xml:space="preserve">Fee payable on and after </w:t>
            </w:r>
          </w:p>
          <w:p w14:paraId="63E2C02E" w14:textId="77777777" w:rsidR="00B2563B" w:rsidRPr="00A9538E" w:rsidRDefault="00B2563B" w:rsidP="00FD731A">
            <w:pPr>
              <w:pBdr>
                <w:top w:val="nil"/>
                <w:left w:val="nil"/>
                <w:bottom w:val="nil"/>
                <w:right w:val="nil"/>
                <w:between w:val="nil"/>
                <w:bar w:val="nil"/>
              </w:pBdr>
              <w:ind w:left="34" w:hanging="34"/>
              <w:rPr>
                <w:rFonts w:ascii="Times New Roman" w:eastAsia="Times New Roman" w:hAnsi="Times New Roman" w:cs="Times New Roman"/>
                <w:b/>
                <w:bCs/>
                <w:bdr w:val="nil"/>
              </w:rPr>
            </w:pPr>
            <w:r w:rsidRPr="00A9538E">
              <w:rPr>
                <w:rFonts w:ascii="Times New Roman" w:eastAsia="Times New Roman" w:hAnsi="Times New Roman" w:cs="Times New Roman"/>
                <w:b/>
                <w:bCs/>
                <w:bdr w:val="nil"/>
              </w:rPr>
              <w:t xml:space="preserve">1 July 2025 </w:t>
            </w:r>
          </w:p>
          <w:p w14:paraId="0CF39FD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
                <w:bdr w:val="nil"/>
              </w:rPr>
            </w:pPr>
            <w:r w:rsidRPr="00A9538E">
              <w:rPr>
                <w:rFonts w:ascii="Times New Roman" w:eastAsia="Times New Roman" w:hAnsi="Times New Roman" w:cs="Times New Roman"/>
                <w:b/>
                <w:bCs/>
                <w:bdr w:val="nil"/>
              </w:rPr>
              <w:t>(GST exempt)</w:t>
            </w:r>
          </w:p>
        </w:tc>
      </w:tr>
      <w:tr w:rsidR="00B2563B" w14:paraId="0E653CE5" w14:textId="77777777" w:rsidTr="00FD731A">
        <w:trPr>
          <w:jc w:val="center"/>
        </w:trPr>
        <w:tc>
          <w:tcPr>
            <w:tcW w:w="1275" w:type="dxa"/>
            <w:tcBorders>
              <w:top w:val="single" w:sz="4" w:space="0" w:color="auto"/>
              <w:left w:val="nil"/>
              <w:bottom w:val="single" w:sz="4" w:space="0" w:color="auto"/>
              <w:right w:val="nil"/>
            </w:tcBorders>
            <w:hideMark/>
          </w:tcPr>
          <w:p w14:paraId="33C3AA0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113A</w:t>
            </w:r>
          </w:p>
        </w:tc>
        <w:tc>
          <w:tcPr>
            <w:tcW w:w="5529" w:type="dxa"/>
            <w:tcBorders>
              <w:top w:val="single" w:sz="4" w:space="0" w:color="auto"/>
              <w:left w:val="nil"/>
              <w:bottom w:val="single" w:sz="4" w:space="0" w:color="auto"/>
              <w:right w:val="nil"/>
            </w:tcBorders>
            <w:hideMark/>
          </w:tcPr>
          <w:p w14:paraId="745EF67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Notification – Disposal of gaming machines</w:t>
            </w:r>
          </w:p>
        </w:tc>
        <w:tc>
          <w:tcPr>
            <w:tcW w:w="1701" w:type="dxa"/>
            <w:tcBorders>
              <w:top w:val="single" w:sz="4" w:space="0" w:color="auto"/>
              <w:left w:val="nil"/>
              <w:bottom w:val="single" w:sz="4" w:space="0" w:color="auto"/>
              <w:right w:val="nil"/>
            </w:tcBorders>
          </w:tcPr>
          <w:p w14:paraId="7A21C283"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$42</w:t>
            </w:r>
            <w:r w:rsidRPr="00A9538E">
              <w:rPr>
                <w:rFonts w:ascii="Times New Roman" w:eastAsia="Times New Roman" w:hAnsi="Times New Roman" w:cs="Times New Roman"/>
                <w:color w:val="000000"/>
                <w:bdr w:val="nil"/>
              </w:rPr>
              <w:t>.00</w:t>
            </w:r>
          </w:p>
          <w:p w14:paraId="7C301DE3"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p w14:paraId="5CF788DF"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1F4AB326"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$43</w:t>
            </w:r>
            <w:r w:rsidRPr="00A9538E">
              <w:rPr>
                <w:rFonts w:ascii="Times New Roman" w:eastAsia="Times New Roman" w:hAnsi="Times New Roman" w:cs="Times New Roman"/>
                <w:color w:val="000000"/>
                <w:bdr w:val="nil"/>
              </w:rPr>
              <w:t>.00</w:t>
            </w:r>
          </w:p>
          <w:p w14:paraId="0FC76E0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p w14:paraId="70D3F4D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2B334322" w14:textId="77777777" w:rsidTr="00FD731A">
        <w:trPr>
          <w:jc w:val="center"/>
        </w:trPr>
        <w:tc>
          <w:tcPr>
            <w:tcW w:w="1275" w:type="dxa"/>
            <w:tcBorders>
              <w:top w:val="single" w:sz="4" w:space="0" w:color="auto"/>
              <w:left w:val="nil"/>
              <w:bottom w:val="single" w:sz="4" w:space="0" w:color="auto"/>
              <w:right w:val="nil"/>
            </w:tcBorders>
            <w:hideMark/>
          </w:tcPr>
          <w:p w14:paraId="5CDDCDA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127O</w:t>
            </w:r>
          </w:p>
        </w:tc>
        <w:tc>
          <w:tcPr>
            <w:tcW w:w="5529" w:type="dxa"/>
            <w:tcBorders>
              <w:top w:val="single" w:sz="4" w:space="0" w:color="auto"/>
              <w:left w:val="nil"/>
              <w:bottom w:val="single" w:sz="4" w:space="0" w:color="auto"/>
              <w:right w:val="nil"/>
            </w:tcBorders>
          </w:tcPr>
          <w:p w14:paraId="442806F7"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storage permit to store one or more gaming machines</w:t>
            </w:r>
          </w:p>
          <w:p w14:paraId="4EA01682"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6E8C5ED4"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$371</w:t>
            </w:r>
            <w:r w:rsidRPr="00A9538E">
              <w:rPr>
                <w:rFonts w:ascii="Times New Roman" w:eastAsia="Times New Roman" w:hAnsi="Times New Roman" w:cs="Times New Roman"/>
                <w:color w:val="000000"/>
                <w:bdr w:val="nil"/>
                <w:lang w:eastAsia="en-AU"/>
              </w:rPr>
              <w:t>.00</w:t>
            </w:r>
          </w:p>
        </w:tc>
        <w:tc>
          <w:tcPr>
            <w:tcW w:w="1701" w:type="dxa"/>
            <w:tcBorders>
              <w:top w:val="single" w:sz="4" w:space="0" w:color="auto"/>
              <w:left w:val="nil"/>
              <w:bottom w:val="single" w:sz="4" w:space="0" w:color="auto"/>
              <w:right w:val="nil"/>
            </w:tcBorders>
            <w:hideMark/>
          </w:tcPr>
          <w:p w14:paraId="1A1ED08C"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$384</w:t>
            </w:r>
            <w:r w:rsidRPr="00A9538E">
              <w:rPr>
                <w:rFonts w:ascii="Times New Roman" w:eastAsia="Times New Roman" w:hAnsi="Times New Roman" w:cs="Times New Roman"/>
                <w:color w:val="000000"/>
                <w:bdr w:val="nil"/>
                <w:lang w:eastAsia="en-AU"/>
              </w:rPr>
              <w:t>.00</w:t>
            </w:r>
          </w:p>
        </w:tc>
      </w:tr>
      <w:tr w:rsidR="00B2563B" w14:paraId="365AE867" w14:textId="77777777" w:rsidTr="00FD731A">
        <w:trPr>
          <w:jc w:val="center"/>
        </w:trPr>
        <w:tc>
          <w:tcPr>
            <w:tcW w:w="1275" w:type="dxa"/>
            <w:tcBorders>
              <w:top w:val="single" w:sz="4" w:space="0" w:color="auto"/>
              <w:left w:val="nil"/>
              <w:bottom w:val="single" w:sz="4" w:space="0" w:color="auto"/>
              <w:right w:val="nil"/>
            </w:tcBorders>
            <w:hideMark/>
          </w:tcPr>
          <w:p w14:paraId="68A332A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127V</w:t>
            </w:r>
          </w:p>
        </w:tc>
        <w:tc>
          <w:tcPr>
            <w:tcW w:w="5529" w:type="dxa"/>
            <w:tcBorders>
              <w:top w:val="single" w:sz="4" w:space="0" w:color="auto"/>
              <w:left w:val="nil"/>
              <w:bottom w:val="single" w:sz="4" w:space="0" w:color="auto"/>
              <w:right w:val="nil"/>
            </w:tcBorders>
          </w:tcPr>
          <w:p w14:paraId="57DA756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extend a storage permit for a general purpose</w:t>
            </w:r>
          </w:p>
          <w:p w14:paraId="72D6B04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3134A487"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$122</w:t>
            </w:r>
            <w:r w:rsidRPr="00A9538E">
              <w:rPr>
                <w:rFonts w:ascii="Times New Roman" w:eastAsia="Times New Roman" w:hAnsi="Times New Roman" w:cs="Times New Roman"/>
                <w:color w:val="000000"/>
                <w:bdr w:val="nil"/>
                <w:lang w:eastAsia="en-AU"/>
              </w:rPr>
              <w:t>.00</w:t>
            </w:r>
          </w:p>
        </w:tc>
        <w:tc>
          <w:tcPr>
            <w:tcW w:w="1701" w:type="dxa"/>
            <w:tcBorders>
              <w:top w:val="single" w:sz="4" w:space="0" w:color="auto"/>
              <w:left w:val="nil"/>
              <w:bottom w:val="single" w:sz="4" w:space="0" w:color="auto"/>
              <w:right w:val="nil"/>
            </w:tcBorders>
            <w:hideMark/>
          </w:tcPr>
          <w:p w14:paraId="4B988CB5"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$126</w:t>
            </w:r>
            <w:r w:rsidRPr="00A9538E">
              <w:rPr>
                <w:rFonts w:ascii="Times New Roman" w:eastAsia="Times New Roman" w:hAnsi="Times New Roman" w:cs="Times New Roman"/>
                <w:color w:val="000000"/>
                <w:bdr w:val="nil"/>
                <w:lang w:eastAsia="en-AU"/>
              </w:rPr>
              <w:t>.00</w:t>
            </w:r>
          </w:p>
        </w:tc>
      </w:tr>
      <w:tr w:rsidR="00B2563B" w14:paraId="0D8DCADD" w14:textId="77777777" w:rsidTr="00FD731A">
        <w:trPr>
          <w:jc w:val="center"/>
        </w:trPr>
        <w:tc>
          <w:tcPr>
            <w:tcW w:w="1275" w:type="dxa"/>
            <w:tcBorders>
              <w:top w:val="single" w:sz="4" w:space="0" w:color="auto"/>
              <w:left w:val="nil"/>
              <w:bottom w:val="single" w:sz="4" w:space="0" w:color="auto"/>
              <w:right w:val="nil"/>
            </w:tcBorders>
            <w:hideMark/>
          </w:tcPr>
          <w:p w14:paraId="5892796E"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127X</w:t>
            </w:r>
          </w:p>
        </w:tc>
        <w:tc>
          <w:tcPr>
            <w:tcW w:w="5529" w:type="dxa"/>
            <w:tcBorders>
              <w:top w:val="single" w:sz="4" w:space="0" w:color="auto"/>
              <w:left w:val="nil"/>
              <w:bottom w:val="single" w:sz="4" w:space="0" w:color="auto"/>
              <w:right w:val="nil"/>
            </w:tcBorders>
          </w:tcPr>
          <w:p w14:paraId="06494BC7"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Notification to dispose of a stored or quarantined gaming machine or remove a gaming machine from storage</w:t>
            </w:r>
          </w:p>
          <w:p w14:paraId="44ECCA77"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4B200169"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$122</w:t>
            </w:r>
            <w:r w:rsidRPr="00A9538E">
              <w:rPr>
                <w:rFonts w:ascii="Times New Roman" w:eastAsia="Times New Roman" w:hAnsi="Times New Roman" w:cs="Times New Roman"/>
                <w:color w:val="000000"/>
                <w:bdr w:val="nil"/>
                <w:lang w:eastAsia="en-AU"/>
              </w:rPr>
              <w:t>.00</w:t>
            </w:r>
          </w:p>
        </w:tc>
        <w:tc>
          <w:tcPr>
            <w:tcW w:w="1701" w:type="dxa"/>
            <w:tcBorders>
              <w:top w:val="single" w:sz="4" w:space="0" w:color="auto"/>
              <w:left w:val="nil"/>
              <w:bottom w:val="single" w:sz="4" w:space="0" w:color="auto"/>
              <w:right w:val="nil"/>
            </w:tcBorders>
            <w:hideMark/>
          </w:tcPr>
          <w:p w14:paraId="25E2EC3E"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$126</w:t>
            </w:r>
            <w:r w:rsidRPr="00A9538E">
              <w:rPr>
                <w:rFonts w:ascii="Times New Roman" w:eastAsia="Times New Roman" w:hAnsi="Times New Roman" w:cs="Times New Roman"/>
                <w:color w:val="000000"/>
                <w:bdr w:val="nil"/>
                <w:lang w:eastAsia="en-AU"/>
              </w:rPr>
              <w:t>.00</w:t>
            </w:r>
          </w:p>
        </w:tc>
      </w:tr>
      <w:tr w:rsidR="00B2563B" w14:paraId="750714FF" w14:textId="77777777" w:rsidTr="00FD731A">
        <w:trPr>
          <w:jc w:val="center"/>
        </w:trPr>
        <w:tc>
          <w:tcPr>
            <w:tcW w:w="1275" w:type="dxa"/>
            <w:tcBorders>
              <w:top w:val="single" w:sz="4" w:space="0" w:color="auto"/>
              <w:left w:val="nil"/>
              <w:bottom w:val="single" w:sz="4" w:space="0" w:color="auto"/>
              <w:right w:val="nil"/>
            </w:tcBorders>
            <w:hideMark/>
          </w:tcPr>
          <w:p w14:paraId="13AC269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127ZB(2)</w:t>
            </w:r>
          </w:p>
        </w:tc>
        <w:tc>
          <w:tcPr>
            <w:tcW w:w="5529" w:type="dxa"/>
            <w:tcBorders>
              <w:top w:val="single" w:sz="4" w:space="0" w:color="auto"/>
              <w:left w:val="nil"/>
              <w:bottom w:val="single" w:sz="4" w:space="0" w:color="auto"/>
              <w:right w:val="nil"/>
            </w:tcBorders>
          </w:tcPr>
          <w:p w14:paraId="4E50A84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Notification of the requirement to amend or issue a storage permit and, if required, issue a storage permit for an interim purpose for gaming machines</w:t>
            </w:r>
          </w:p>
          <w:p w14:paraId="07545B3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4A3C72B9"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$559</w:t>
            </w:r>
            <w:r w:rsidRPr="00A9538E">
              <w:rPr>
                <w:rFonts w:ascii="Times New Roman" w:eastAsia="Times New Roman" w:hAnsi="Times New Roman" w:cs="Times New Roman"/>
                <w:color w:val="000000"/>
                <w:bdr w:val="nil"/>
                <w:lang w:eastAsia="en-AU"/>
              </w:rPr>
              <w:t>.00</w:t>
            </w:r>
          </w:p>
        </w:tc>
        <w:tc>
          <w:tcPr>
            <w:tcW w:w="1701" w:type="dxa"/>
            <w:tcBorders>
              <w:top w:val="single" w:sz="4" w:space="0" w:color="auto"/>
              <w:left w:val="nil"/>
              <w:bottom w:val="single" w:sz="4" w:space="0" w:color="auto"/>
              <w:right w:val="nil"/>
            </w:tcBorders>
            <w:hideMark/>
          </w:tcPr>
          <w:p w14:paraId="0C09F4F5"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$579</w:t>
            </w:r>
            <w:r w:rsidRPr="00A9538E">
              <w:rPr>
                <w:rFonts w:ascii="Times New Roman" w:eastAsia="Times New Roman" w:hAnsi="Times New Roman" w:cs="Times New Roman"/>
                <w:color w:val="000000"/>
                <w:bdr w:val="nil"/>
                <w:lang w:eastAsia="en-AU"/>
              </w:rPr>
              <w:t>.00</w:t>
            </w:r>
          </w:p>
        </w:tc>
      </w:tr>
      <w:tr w:rsidR="00B2563B" w14:paraId="39DF66EF" w14:textId="77777777" w:rsidTr="00FD731A">
        <w:trPr>
          <w:jc w:val="center"/>
        </w:trPr>
        <w:tc>
          <w:tcPr>
            <w:tcW w:w="1275" w:type="dxa"/>
            <w:tcBorders>
              <w:top w:val="single" w:sz="4" w:space="0" w:color="auto"/>
              <w:left w:val="nil"/>
              <w:bottom w:val="single" w:sz="4" w:space="0" w:color="auto"/>
              <w:right w:val="nil"/>
            </w:tcBorders>
            <w:hideMark/>
          </w:tcPr>
          <w:p w14:paraId="2BBD6B1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127ZE</w:t>
            </w:r>
          </w:p>
        </w:tc>
        <w:tc>
          <w:tcPr>
            <w:tcW w:w="5529" w:type="dxa"/>
            <w:tcBorders>
              <w:top w:val="single" w:sz="4" w:space="0" w:color="auto"/>
              <w:left w:val="nil"/>
              <w:bottom w:val="single" w:sz="4" w:space="0" w:color="auto"/>
              <w:right w:val="nil"/>
            </w:tcBorders>
          </w:tcPr>
          <w:p w14:paraId="1CC2B70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Inspection of gaming machines held under a storage permit</w:t>
            </w:r>
          </w:p>
          <w:p w14:paraId="74F3BD8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45BA391C"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$371</w:t>
            </w:r>
            <w:r w:rsidRPr="00A9538E">
              <w:rPr>
                <w:rFonts w:ascii="Times New Roman" w:eastAsia="Times New Roman" w:hAnsi="Times New Roman" w:cs="Times New Roman"/>
                <w:color w:val="000000"/>
                <w:bdr w:val="nil"/>
              </w:rPr>
              <w:t>.00</w:t>
            </w:r>
          </w:p>
        </w:tc>
        <w:tc>
          <w:tcPr>
            <w:tcW w:w="1701" w:type="dxa"/>
            <w:tcBorders>
              <w:top w:val="single" w:sz="4" w:space="0" w:color="auto"/>
              <w:left w:val="nil"/>
              <w:bottom w:val="single" w:sz="4" w:space="0" w:color="auto"/>
              <w:right w:val="nil"/>
            </w:tcBorders>
            <w:hideMark/>
          </w:tcPr>
          <w:p w14:paraId="142DBE04"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color w:val="000000"/>
                <w:bdr w:val="nil"/>
              </w:rPr>
            </w:pPr>
            <w:r w:rsidRPr="00A9538E">
              <w:rPr>
                <w:rFonts w:ascii="Times New Roman" w:eastAsia="Times New Roman" w:hAnsi="Times New Roman" w:cs="Times New Roman"/>
                <w:bdr w:val="nil"/>
              </w:rPr>
              <w:t>$384</w:t>
            </w:r>
            <w:r w:rsidRPr="00A9538E">
              <w:rPr>
                <w:rFonts w:ascii="Times New Roman" w:eastAsia="Times New Roman" w:hAnsi="Times New Roman" w:cs="Times New Roman"/>
                <w:color w:val="000000"/>
                <w:bdr w:val="nil"/>
              </w:rPr>
              <w:t>.00</w:t>
            </w:r>
          </w:p>
        </w:tc>
      </w:tr>
      <w:tr w:rsidR="00B2563B" w14:paraId="624DEABA" w14:textId="77777777" w:rsidTr="00FD731A">
        <w:trPr>
          <w:jc w:val="center"/>
        </w:trPr>
        <w:tc>
          <w:tcPr>
            <w:tcW w:w="1275" w:type="dxa"/>
            <w:tcBorders>
              <w:top w:val="single" w:sz="4" w:space="0" w:color="auto"/>
              <w:left w:val="nil"/>
              <w:bottom w:val="single" w:sz="4" w:space="0" w:color="auto"/>
              <w:right w:val="nil"/>
            </w:tcBorders>
            <w:hideMark/>
          </w:tcPr>
          <w:p w14:paraId="4A7CC39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134</w:t>
            </w:r>
          </w:p>
        </w:tc>
        <w:tc>
          <w:tcPr>
            <w:tcW w:w="5529" w:type="dxa"/>
            <w:tcBorders>
              <w:top w:val="single" w:sz="4" w:space="0" w:color="auto"/>
              <w:left w:val="nil"/>
              <w:bottom w:val="single" w:sz="4" w:space="0" w:color="auto"/>
              <w:right w:val="nil"/>
            </w:tcBorders>
          </w:tcPr>
          <w:p w14:paraId="2F68D08D"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operate a single-user approval linked jackpot arrangement</w:t>
            </w:r>
          </w:p>
          <w:p w14:paraId="6315706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48856486"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$175</w:t>
            </w:r>
            <w:r w:rsidRPr="00A9538E">
              <w:rPr>
                <w:rFonts w:ascii="Times New Roman" w:eastAsia="Times New Roman" w:hAnsi="Times New Roman" w:cs="Times New Roman"/>
                <w:color w:val="000000"/>
                <w:bdr w:val="nil"/>
                <w:lang w:eastAsia="en-AU"/>
              </w:rPr>
              <w:t>.00</w:t>
            </w:r>
          </w:p>
        </w:tc>
        <w:tc>
          <w:tcPr>
            <w:tcW w:w="1701" w:type="dxa"/>
            <w:tcBorders>
              <w:top w:val="single" w:sz="4" w:space="0" w:color="auto"/>
              <w:left w:val="nil"/>
              <w:bottom w:val="single" w:sz="4" w:space="0" w:color="auto"/>
              <w:right w:val="nil"/>
            </w:tcBorders>
            <w:hideMark/>
          </w:tcPr>
          <w:p w14:paraId="406E4B5C"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$181</w:t>
            </w:r>
            <w:r w:rsidRPr="00A9538E">
              <w:rPr>
                <w:rFonts w:ascii="Times New Roman" w:eastAsia="Times New Roman" w:hAnsi="Times New Roman" w:cs="Times New Roman"/>
                <w:color w:val="000000"/>
                <w:bdr w:val="nil"/>
                <w:lang w:eastAsia="en-AU"/>
              </w:rPr>
              <w:t>.00</w:t>
            </w:r>
          </w:p>
        </w:tc>
      </w:tr>
      <w:tr w:rsidR="00B2563B" w14:paraId="523C623E" w14:textId="77777777" w:rsidTr="00FD731A">
        <w:trPr>
          <w:jc w:val="center"/>
        </w:trPr>
        <w:tc>
          <w:tcPr>
            <w:tcW w:w="1275" w:type="dxa"/>
            <w:tcBorders>
              <w:top w:val="single" w:sz="4" w:space="0" w:color="auto"/>
              <w:left w:val="nil"/>
              <w:bottom w:val="single" w:sz="4" w:space="0" w:color="auto"/>
              <w:right w:val="nil"/>
            </w:tcBorders>
            <w:hideMark/>
          </w:tcPr>
          <w:p w14:paraId="6232C765"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135</w:t>
            </w:r>
          </w:p>
        </w:tc>
        <w:tc>
          <w:tcPr>
            <w:tcW w:w="5529" w:type="dxa"/>
            <w:tcBorders>
              <w:top w:val="single" w:sz="4" w:space="0" w:color="auto"/>
              <w:left w:val="nil"/>
              <w:bottom w:val="single" w:sz="4" w:space="0" w:color="auto"/>
              <w:right w:val="nil"/>
            </w:tcBorders>
          </w:tcPr>
          <w:p w14:paraId="51186820"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operate a multi-user permit linked jackpot arrangement</w:t>
            </w:r>
          </w:p>
          <w:p w14:paraId="305F65D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56D20D18"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$3,635</w:t>
            </w:r>
            <w:r w:rsidRPr="00A9538E">
              <w:rPr>
                <w:rFonts w:ascii="Times New Roman" w:eastAsia="Times New Roman" w:hAnsi="Times New Roman" w:cs="Times New Roman"/>
                <w:color w:val="000000"/>
                <w:bdr w:val="nil"/>
                <w:lang w:eastAsia="en-AU"/>
              </w:rPr>
              <w:t>.00</w:t>
            </w:r>
          </w:p>
        </w:tc>
        <w:tc>
          <w:tcPr>
            <w:tcW w:w="1701" w:type="dxa"/>
            <w:tcBorders>
              <w:top w:val="single" w:sz="4" w:space="0" w:color="auto"/>
              <w:left w:val="nil"/>
              <w:bottom w:val="single" w:sz="4" w:space="0" w:color="auto"/>
              <w:right w:val="nil"/>
            </w:tcBorders>
            <w:hideMark/>
          </w:tcPr>
          <w:p w14:paraId="534D2975"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$3,765</w:t>
            </w:r>
            <w:r w:rsidRPr="00A9538E">
              <w:rPr>
                <w:rFonts w:ascii="Times New Roman" w:eastAsia="Times New Roman" w:hAnsi="Times New Roman" w:cs="Times New Roman"/>
                <w:color w:val="000000"/>
                <w:bdr w:val="nil"/>
                <w:lang w:eastAsia="en-AU"/>
              </w:rPr>
              <w:t>.00</w:t>
            </w:r>
          </w:p>
        </w:tc>
      </w:tr>
      <w:tr w:rsidR="00B2563B" w14:paraId="66C5612E" w14:textId="77777777" w:rsidTr="00FD731A">
        <w:trPr>
          <w:jc w:val="center"/>
        </w:trPr>
        <w:tc>
          <w:tcPr>
            <w:tcW w:w="1275" w:type="dxa"/>
            <w:tcBorders>
              <w:top w:val="single" w:sz="4" w:space="0" w:color="auto"/>
              <w:left w:val="nil"/>
              <w:bottom w:val="single" w:sz="4" w:space="0" w:color="auto"/>
              <w:right w:val="nil"/>
            </w:tcBorders>
            <w:hideMark/>
          </w:tcPr>
          <w:p w14:paraId="7191BE3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139</w:t>
            </w:r>
          </w:p>
        </w:tc>
        <w:tc>
          <w:tcPr>
            <w:tcW w:w="5529" w:type="dxa"/>
            <w:tcBorders>
              <w:top w:val="single" w:sz="4" w:space="0" w:color="auto"/>
              <w:left w:val="nil"/>
              <w:bottom w:val="single" w:sz="4" w:space="0" w:color="auto"/>
              <w:right w:val="nil"/>
            </w:tcBorders>
          </w:tcPr>
          <w:p w14:paraId="7F3B07B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amendment to the multi-user permit</w:t>
            </w:r>
          </w:p>
          <w:p w14:paraId="16A3D91D"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26CCFB16"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$910</w:t>
            </w:r>
            <w:r w:rsidRPr="00A9538E">
              <w:rPr>
                <w:rFonts w:ascii="Times New Roman" w:eastAsia="Times New Roman" w:hAnsi="Times New Roman" w:cs="Times New Roman"/>
                <w:color w:val="000000"/>
                <w:bdr w:val="nil"/>
                <w:lang w:eastAsia="en-AU"/>
              </w:rPr>
              <w:t>.00</w:t>
            </w:r>
          </w:p>
        </w:tc>
        <w:tc>
          <w:tcPr>
            <w:tcW w:w="1701" w:type="dxa"/>
            <w:tcBorders>
              <w:top w:val="single" w:sz="4" w:space="0" w:color="auto"/>
              <w:left w:val="nil"/>
              <w:bottom w:val="single" w:sz="4" w:space="0" w:color="auto"/>
              <w:right w:val="nil"/>
            </w:tcBorders>
            <w:hideMark/>
          </w:tcPr>
          <w:p w14:paraId="20C954C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$942</w:t>
            </w:r>
            <w:r w:rsidRPr="00A9538E">
              <w:rPr>
                <w:rFonts w:ascii="Times New Roman" w:eastAsia="Times New Roman" w:hAnsi="Times New Roman" w:cs="Times New Roman"/>
                <w:color w:val="000000"/>
                <w:bdr w:val="nil"/>
                <w:lang w:eastAsia="en-AU"/>
              </w:rPr>
              <w:t>.00</w:t>
            </w:r>
          </w:p>
        </w:tc>
      </w:tr>
      <w:tr w:rsidR="00B2563B" w14:paraId="681230F4" w14:textId="77777777" w:rsidTr="00FD731A">
        <w:trPr>
          <w:jc w:val="center"/>
        </w:trPr>
        <w:tc>
          <w:tcPr>
            <w:tcW w:w="1275" w:type="dxa"/>
            <w:tcBorders>
              <w:top w:val="single" w:sz="4" w:space="0" w:color="auto"/>
              <w:left w:val="nil"/>
              <w:bottom w:val="single" w:sz="4" w:space="0" w:color="auto"/>
              <w:right w:val="nil"/>
            </w:tcBorders>
            <w:hideMark/>
          </w:tcPr>
          <w:p w14:paraId="3D2DFF3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140</w:t>
            </w:r>
          </w:p>
        </w:tc>
        <w:tc>
          <w:tcPr>
            <w:tcW w:w="5529" w:type="dxa"/>
            <w:tcBorders>
              <w:top w:val="single" w:sz="4" w:space="0" w:color="auto"/>
              <w:left w:val="nil"/>
              <w:bottom w:val="single" w:sz="4" w:space="0" w:color="auto"/>
              <w:right w:val="nil"/>
            </w:tcBorders>
          </w:tcPr>
          <w:p w14:paraId="28A4FB8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an amendment to the financial or operational aspects of a linked-jackpot arrangement of a multi-user permit</w:t>
            </w:r>
          </w:p>
          <w:p w14:paraId="5C536C3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076BA74B"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$910</w:t>
            </w:r>
            <w:r w:rsidRPr="00A9538E">
              <w:rPr>
                <w:rFonts w:ascii="Times New Roman" w:eastAsia="Times New Roman" w:hAnsi="Times New Roman" w:cs="Times New Roman"/>
                <w:color w:val="000000"/>
                <w:bdr w:val="nil"/>
                <w:lang w:eastAsia="en-AU"/>
              </w:rPr>
              <w:t>.00</w:t>
            </w:r>
          </w:p>
        </w:tc>
        <w:tc>
          <w:tcPr>
            <w:tcW w:w="1701" w:type="dxa"/>
            <w:tcBorders>
              <w:top w:val="single" w:sz="4" w:space="0" w:color="auto"/>
              <w:left w:val="nil"/>
              <w:bottom w:val="single" w:sz="4" w:space="0" w:color="auto"/>
              <w:right w:val="nil"/>
            </w:tcBorders>
            <w:hideMark/>
          </w:tcPr>
          <w:p w14:paraId="47FDA0E4"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$942</w:t>
            </w:r>
            <w:r w:rsidRPr="00A9538E">
              <w:rPr>
                <w:rFonts w:ascii="Times New Roman" w:eastAsia="Times New Roman" w:hAnsi="Times New Roman" w:cs="Times New Roman"/>
                <w:color w:val="000000"/>
                <w:bdr w:val="nil"/>
                <w:lang w:eastAsia="en-AU"/>
              </w:rPr>
              <w:t>.00</w:t>
            </w:r>
          </w:p>
        </w:tc>
      </w:tr>
      <w:tr w:rsidR="00B2563B" w14:paraId="3D85A647" w14:textId="77777777" w:rsidTr="00FD731A">
        <w:trPr>
          <w:jc w:val="center"/>
        </w:trPr>
        <w:tc>
          <w:tcPr>
            <w:tcW w:w="1275" w:type="dxa"/>
            <w:tcBorders>
              <w:top w:val="single" w:sz="4" w:space="0" w:color="auto"/>
              <w:left w:val="nil"/>
              <w:bottom w:val="single" w:sz="4" w:space="0" w:color="auto"/>
              <w:right w:val="nil"/>
            </w:tcBorders>
            <w:hideMark/>
          </w:tcPr>
          <w:p w14:paraId="1CECF09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141</w:t>
            </w:r>
          </w:p>
        </w:tc>
        <w:tc>
          <w:tcPr>
            <w:tcW w:w="5529" w:type="dxa"/>
            <w:tcBorders>
              <w:top w:val="single" w:sz="4" w:space="0" w:color="auto"/>
              <w:left w:val="nil"/>
              <w:bottom w:val="single" w:sz="4" w:space="0" w:color="auto"/>
              <w:right w:val="nil"/>
            </w:tcBorders>
          </w:tcPr>
          <w:p w14:paraId="48D66C3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the transfer of a multi-user permit</w:t>
            </w:r>
          </w:p>
          <w:p w14:paraId="6501EC3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tcBorders>
              <w:top w:val="single" w:sz="4" w:space="0" w:color="auto"/>
              <w:left w:val="nil"/>
              <w:bottom w:val="single" w:sz="4" w:space="0" w:color="auto"/>
              <w:right w:val="nil"/>
            </w:tcBorders>
          </w:tcPr>
          <w:p w14:paraId="15CF03D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$884</w:t>
            </w:r>
            <w:r w:rsidRPr="00A9538E">
              <w:rPr>
                <w:rFonts w:ascii="Times New Roman" w:eastAsia="Times New Roman" w:hAnsi="Times New Roman" w:cs="Times New Roman"/>
                <w:color w:val="000000"/>
                <w:bdr w:val="nil"/>
                <w:lang w:eastAsia="en-AU"/>
              </w:rPr>
              <w:t>.00</w:t>
            </w:r>
          </w:p>
        </w:tc>
        <w:tc>
          <w:tcPr>
            <w:tcW w:w="1701" w:type="dxa"/>
            <w:tcBorders>
              <w:top w:val="single" w:sz="4" w:space="0" w:color="auto"/>
              <w:left w:val="nil"/>
              <w:bottom w:val="single" w:sz="4" w:space="0" w:color="auto"/>
              <w:right w:val="nil"/>
            </w:tcBorders>
            <w:hideMark/>
          </w:tcPr>
          <w:p w14:paraId="41D257F8"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$915</w:t>
            </w:r>
            <w:r w:rsidRPr="00A9538E">
              <w:rPr>
                <w:rFonts w:ascii="Times New Roman" w:eastAsia="Times New Roman" w:hAnsi="Times New Roman" w:cs="Times New Roman"/>
                <w:color w:val="000000"/>
                <w:bdr w:val="nil"/>
                <w:lang w:eastAsia="en-AU"/>
              </w:rPr>
              <w:t>.00</w:t>
            </w:r>
          </w:p>
        </w:tc>
      </w:tr>
    </w:tbl>
    <w:p w14:paraId="2E0FFEC7" w14:textId="77777777" w:rsidR="00DC3982" w:rsidRPr="00B2563B" w:rsidRDefault="00DC3982" w:rsidP="00B2563B"/>
    <w:sectPr w:rsidR="00DC3982" w:rsidRPr="00B2563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8B16" w14:textId="77777777" w:rsidR="002A7528" w:rsidRDefault="002A7528" w:rsidP="002A7528">
      <w:r>
        <w:separator/>
      </w:r>
    </w:p>
  </w:endnote>
  <w:endnote w:type="continuationSeparator" w:id="0">
    <w:p w14:paraId="4FD0D132" w14:textId="77777777" w:rsidR="002A7528" w:rsidRDefault="002A7528"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8C62" w14:textId="77777777" w:rsidR="009908CF" w:rsidRDefault="00990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8350" w14:textId="1F0D5E9E" w:rsidR="009908CF" w:rsidRPr="009908CF" w:rsidRDefault="009908CF" w:rsidP="009908CF">
    <w:pPr>
      <w:pStyle w:val="Footer"/>
      <w:jc w:val="center"/>
      <w:rPr>
        <w:sz w:val="14"/>
      </w:rPr>
    </w:pPr>
    <w:r w:rsidRPr="009908CF">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1DF8" w14:textId="77777777" w:rsidR="00B2563B" w:rsidRPr="00DC6649" w:rsidRDefault="00B2563B" w:rsidP="00DC6649">
    <w:pPr>
      <w:pStyle w:val="Footer"/>
      <w:pBdr>
        <w:top w:val="nil"/>
        <w:left w:val="nil"/>
        <w:bottom w:val="nil"/>
        <w:right w:val="nil"/>
        <w:between w:val="nil"/>
        <w:bar w:val="nil"/>
      </w:pBdr>
      <w:jc w:val="center"/>
      <w:rPr>
        <w:rFonts w:eastAsia="Times New Roman"/>
        <w:sz w:val="14"/>
        <w:bdr w:val="nil"/>
      </w:rPr>
    </w:pPr>
    <w:r w:rsidRPr="00DC6649">
      <w:rPr>
        <w:rFonts w:eastAsia="Times New Roman"/>
        <w:sz w:val="14"/>
        <w:bdr w:val="ni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B2563B" w:rsidRDefault="00B2563B">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5EF3A2F9" w:rsidR="00B2563B" w:rsidRPr="009908CF" w:rsidRDefault="009908CF" w:rsidP="009908CF">
    <w:pPr>
      <w:pStyle w:val="Footer"/>
      <w:pBdr>
        <w:top w:val="nil"/>
        <w:left w:val="nil"/>
        <w:bottom w:val="nil"/>
        <w:right w:val="nil"/>
        <w:between w:val="nil"/>
        <w:bar w:val="nil"/>
      </w:pBdr>
      <w:jc w:val="center"/>
      <w:rPr>
        <w:rFonts w:eastAsia="Times New Roman"/>
        <w:sz w:val="14"/>
        <w:szCs w:val="20"/>
        <w:bdr w:val="nil"/>
      </w:rPr>
    </w:pPr>
    <w:r w:rsidRPr="009908CF">
      <w:rPr>
        <w:rFonts w:eastAsia="Times New Roman"/>
        <w:sz w:val="14"/>
        <w:szCs w:val="20"/>
        <w:bdr w:val="ni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B2563B" w:rsidRDefault="00B2563B">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8BB7" w14:textId="77777777" w:rsidR="002A7528" w:rsidRDefault="002A7528" w:rsidP="002A7528">
      <w:r>
        <w:separator/>
      </w:r>
    </w:p>
  </w:footnote>
  <w:footnote w:type="continuationSeparator" w:id="0">
    <w:p w14:paraId="0DBB3B84" w14:textId="77777777" w:rsidR="002A7528" w:rsidRDefault="002A7528"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1C39" w14:textId="77777777" w:rsidR="009908CF" w:rsidRDefault="00990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52D0" w14:textId="77777777" w:rsidR="00B2563B" w:rsidRPr="00C86544" w:rsidRDefault="00B2563B" w:rsidP="00C86544">
    <w:pPr>
      <w:pBdr>
        <w:top w:val="nil"/>
        <w:left w:val="nil"/>
        <w:bottom w:val="nil"/>
        <w:right w:val="nil"/>
        <w:between w:val="nil"/>
        <w:bar w:val="nil"/>
      </w:pBdr>
      <w:jc w:val="center"/>
      <w:rPr>
        <w:rFonts w:ascii="Times New Roman" w:eastAsia="Times New Roman" w:hAnsi="Times New Roman" w:cs="Times New Roman"/>
        <w:b/>
        <w:bCs/>
        <w:sz w:val="22"/>
        <w:szCs w:val="22"/>
        <w:bdr w:val="nil"/>
      </w:rPr>
    </w:pPr>
  </w:p>
  <w:p w14:paraId="6427C223" w14:textId="77777777" w:rsidR="00B2563B" w:rsidRPr="002A04D9" w:rsidRDefault="00B2563B">
    <w:pPr>
      <w:pStyle w:val="Header"/>
      <w:pBdr>
        <w:top w:val="nil"/>
        <w:left w:val="nil"/>
        <w:bottom w:val="nil"/>
        <w:right w:val="nil"/>
        <w:between w:val="nil"/>
        <w:bar w:val="nil"/>
      </w:pBdr>
      <w:rPr>
        <w:rFonts w:ascii="Times New Roman" w:eastAsia="Times New Roman" w:hAnsi="Times New Roman" w:cs="Times New Roman"/>
        <w:sz w:val="22"/>
        <w:szCs w:val="22"/>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3919" w14:textId="77777777" w:rsidR="00B2563B" w:rsidRPr="002A04D9" w:rsidRDefault="00B2563B" w:rsidP="000E44A4">
    <w:pPr>
      <w:pBdr>
        <w:top w:val="nil"/>
        <w:left w:val="nil"/>
        <w:bottom w:val="nil"/>
        <w:right w:val="nil"/>
        <w:between w:val="nil"/>
        <w:bar w:val="nil"/>
      </w:pBdr>
      <w:jc w:val="center"/>
      <w:rPr>
        <w:rFonts w:ascii="Times New Roman" w:eastAsia="Times New Roman" w:hAnsi="Times New Roman" w:cs="Times New Roman"/>
        <w:b/>
        <w:bCs/>
        <w:sz w:val="22"/>
        <w:szCs w:val="22"/>
        <w:bdr w:val="nil"/>
      </w:rPr>
    </w:pPr>
    <w:r w:rsidRPr="002A04D9">
      <w:rPr>
        <w:rFonts w:ascii="Times New Roman" w:eastAsia="Times New Roman" w:hAnsi="Times New Roman" w:cs="Times New Roman"/>
        <w:b/>
        <w:bCs/>
        <w:sz w:val="22"/>
        <w:szCs w:val="22"/>
        <w:bdr w:val="nil"/>
      </w:rPr>
      <w:t>This is page 3 of 3 pages to the Schedule to the</w:t>
    </w:r>
  </w:p>
  <w:p w14:paraId="631E4CB8" w14:textId="77777777" w:rsidR="00B2563B" w:rsidRPr="002A04D9" w:rsidRDefault="00B2563B" w:rsidP="000E44A4">
    <w:pPr>
      <w:pBdr>
        <w:top w:val="nil"/>
        <w:left w:val="nil"/>
        <w:bottom w:val="nil"/>
        <w:right w:val="nil"/>
        <w:between w:val="nil"/>
        <w:bar w:val="nil"/>
      </w:pBdr>
      <w:jc w:val="center"/>
      <w:rPr>
        <w:rFonts w:ascii="Times New Roman" w:eastAsia="Times New Roman" w:hAnsi="Times New Roman" w:cs="Times New Roman"/>
        <w:b/>
        <w:bCs/>
        <w:i/>
        <w:sz w:val="22"/>
        <w:szCs w:val="22"/>
        <w:bdr w:val="nil"/>
      </w:rPr>
    </w:pPr>
    <w:r w:rsidRPr="002A04D9">
      <w:rPr>
        <w:rFonts w:ascii="Times New Roman" w:eastAsia="Times New Roman" w:hAnsi="Times New Roman" w:cs="Times New Roman"/>
        <w:b/>
        <w:bCs/>
        <w:i/>
        <w:sz w:val="22"/>
        <w:szCs w:val="22"/>
        <w:bdr w:val="nil"/>
      </w:rPr>
      <w:t>Gaming M</w:t>
    </w:r>
    <w:r>
      <w:rPr>
        <w:rFonts w:ascii="Times New Roman" w:eastAsia="Times New Roman" w:hAnsi="Times New Roman" w:cs="Times New Roman"/>
        <w:b/>
        <w:bCs/>
        <w:i/>
        <w:sz w:val="22"/>
        <w:szCs w:val="22"/>
        <w:bdr w:val="nil"/>
      </w:rPr>
      <w:t>achine (Fees) Determination 2025</w:t>
    </w:r>
  </w:p>
  <w:p w14:paraId="1C722A7A" w14:textId="77777777" w:rsidR="00B2563B" w:rsidRPr="002A04D9" w:rsidRDefault="00B2563B" w:rsidP="00D2429D">
    <w:pPr>
      <w:pBdr>
        <w:top w:val="nil"/>
        <w:left w:val="nil"/>
        <w:bottom w:val="nil"/>
        <w:right w:val="nil"/>
        <w:between w:val="nil"/>
        <w:bar w:val="nil"/>
      </w:pBdr>
      <w:rPr>
        <w:rFonts w:ascii="Times New Roman" w:eastAsia="Times New Roman" w:hAnsi="Times New Roman" w:cs="Times New Roman"/>
        <w:b/>
        <w:bCs/>
        <w:sz w:val="22"/>
        <w:szCs w:val="22"/>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39FD" w14:textId="77777777" w:rsidR="00B2563B" w:rsidRDefault="00B2563B" w:rsidP="002E6898">
    <w:pPr>
      <w:pBdr>
        <w:top w:val="nil"/>
        <w:left w:val="nil"/>
        <w:bottom w:val="nil"/>
        <w:right w:val="nil"/>
        <w:between w:val="nil"/>
        <w:bar w:val="nil"/>
      </w:pBdr>
      <w:jc w:val="cente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This is page 1 of 3 pages to the Explanatory Statement to the</w:t>
    </w:r>
  </w:p>
  <w:p w14:paraId="536861D2" w14:textId="77777777" w:rsidR="00B2563B" w:rsidRDefault="00B2563B" w:rsidP="002E6898">
    <w:pPr>
      <w:pStyle w:val="Header"/>
      <w:pBdr>
        <w:top w:val="nil"/>
        <w:left w:val="nil"/>
        <w:bottom w:val="nil"/>
        <w:right w:val="nil"/>
        <w:between w:val="nil"/>
        <w:bar w:val="nil"/>
      </w:pBdr>
      <w:jc w:val="center"/>
      <w:rPr>
        <w:rFonts w:ascii="Times New Roman" w:eastAsia="Times New Roman" w:hAnsi="Times New Roman" w:cs="Times New Roman"/>
        <w:bdr w:val="nil"/>
      </w:rPr>
    </w:pPr>
    <w:r>
      <w:rPr>
        <w:rFonts w:ascii="Times New Roman" w:eastAsia="Times New Roman" w:hAnsi="Times New Roman" w:cs="Times New Roman"/>
        <w:b/>
        <w:bCs/>
        <w:i/>
        <w:sz w:val="22"/>
        <w:szCs w:val="22"/>
        <w:bdr w:val="nil"/>
      </w:rPr>
      <w:t>Gaming Machine (Fees) Determination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8914" w14:textId="77777777" w:rsidR="00B2563B" w:rsidRDefault="00B2563B" w:rsidP="002E6898">
    <w:pPr>
      <w:pBdr>
        <w:top w:val="nil"/>
        <w:left w:val="nil"/>
        <w:bottom w:val="nil"/>
        <w:right w:val="nil"/>
        <w:between w:val="nil"/>
        <w:bar w:val="nil"/>
      </w:pBdr>
      <w:jc w:val="cente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This is page 2 of 3 pages to the Explanatory Statement to the</w:t>
    </w:r>
  </w:p>
  <w:p w14:paraId="2A95B94E" w14:textId="77777777" w:rsidR="00B2563B" w:rsidRDefault="00B2563B" w:rsidP="002E6898">
    <w:pPr>
      <w:pStyle w:val="Header"/>
      <w:pBdr>
        <w:top w:val="nil"/>
        <w:left w:val="nil"/>
        <w:bottom w:val="nil"/>
        <w:right w:val="nil"/>
        <w:between w:val="nil"/>
        <w:bar w:val="nil"/>
      </w:pBdr>
      <w:jc w:val="center"/>
      <w:rPr>
        <w:rFonts w:ascii="Times New Roman" w:eastAsia="Times New Roman" w:hAnsi="Times New Roman" w:cs="Times New Roman"/>
        <w:bdr w:val="nil"/>
      </w:rPr>
    </w:pPr>
    <w:r>
      <w:rPr>
        <w:rFonts w:ascii="Times New Roman" w:eastAsia="Times New Roman" w:hAnsi="Times New Roman" w:cs="Times New Roman"/>
        <w:b/>
        <w:bCs/>
        <w:i/>
        <w:sz w:val="22"/>
        <w:szCs w:val="22"/>
        <w:bdr w:val="nil"/>
      </w:rPr>
      <w:t>Gaming Machine (Fees) Determination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B2563B" w:rsidRDefault="00B2563B">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7408" w14:textId="77777777" w:rsidR="00B2563B" w:rsidRDefault="00B2563B" w:rsidP="00B2563B">
    <w:pPr>
      <w:pBdr>
        <w:top w:val="nil"/>
        <w:left w:val="nil"/>
        <w:bottom w:val="nil"/>
        <w:right w:val="nil"/>
        <w:between w:val="nil"/>
        <w:bar w:val="nil"/>
      </w:pBdr>
      <w:jc w:val="cente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This is page 3 of 3 pages to the Explanatory Statement to the</w:t>
    </w:r>
  </w:p>
  <w:p w14:paraId="79E655AF" w14:textId="77777777" w:rsidR="00B2563B" w:rsidRDefault="00B2563B" w:rsidP="00B2563B">
    <w:pPr>
      <w:pStyle w:val="Header"/>
      <w:pBdr>
        <w:top w:val="nil"/>
        <w:left w:val="nil"/>
        <w:bottom w:val="nil"/>
        <w:right w:val="nil"/>
        <w:between w:val="nil"/>
        <w:bar w:val="nil"/>
      </w:pBdr>
      <w:jc w:val="center"/>
      <w:rPr>
        <w:rFonts w:ascii="Times New Roman" w:eastAsia="Times New Roman" w:hAnsi="Times New Roman" w:cs="Times New Roman"/>
        <w:bdr w:val="nil"/>
      </w:rPr>
    </w:pPr>
    <w:r>
      <w:rPr>
        <w:rFonts w:ascii="Times New Roman" w:eastAsia="Times New Roman" w:hAnsi="Times New Roman" w:cs="Times New Roman"/>
        <w:b/>
        <w:bCs/>
        <w:i/>
        <w:sz w:val="22"/>
        <w:szCs w:val="22"/>
        <w:bdr w:val="nil"/>
      </w:rPr>
      <w:t>Gaming Machine (Fees) Determination 2025</w:t>
    </w:r>
  </w:p>
  <w:p w14:paraId="334688F0" w14:textId="26A0B9AF" w:rsidR="00B2563B" w:rsidRPr="00B2563B" w:rsidRDefault="00B2563B" w:rsidP="00B256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B2563B" w:rsidRDefault="00B2563B">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1A092C"/>
    <w:rsid w:val="002A7528"/>
    <w:rsid w:val="0032110C"/>
    <w:rsid w:val="003B12B1"/>
    <w:rsid w:val="004639C3"/>
    <w:rsid w:val="006918B2"/>
    <w:rsid w:val="00732565"/>
    <w:rsid w:val="00740E1F"/>
    <w:rsid w:val="008E1D47"/>
    <w:rsid w:val="00954238"/>
    <w:rsid w:val="00976103"/>
    <w:rsid w:val="009908CF"/>
    <w:rsid w:val="00A3135D"/>
    <w:rsid w:val="00A40D70"/>
    <w:rsid w:val="00A43FE0"/>
    <w:rsid w:val="00A74911"/>
    <w:rsid w:val="00AA56A6"/>
    <w:rsid w:val="00AB3C6D"/>
    <w:rsid w:val="00AD0097"/>
    <w:rsid w:val="00B2563B"/>
    <w:rsid w:val="00C32CA4"/>
    <w:rsid w:val="00CE1295"/>
    <w:rsid w:val="00DC3982"/>
    <w:rsid w:val="00ED490F"/>
    <w:rsid w:val="00F03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4363</Characters>
  <Application>Microsoft Office Word</Application>
  <DocSecurity>0</DocSecurity>
  <Lines>314</Lines>
  <Paragraphs>189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2025-06-25T00:06:00Z</dcterms:created>
  <dcterms:modified xsi:type="dcterms:W3CDTF">2025-06-25T00:06:00Z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