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3158"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2025</w:t>
      </w:r>
    </w:p>
    <w:p w14:paraId="392CCF17"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07118232"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5BC6DAA"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68C7E0C2"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57064FB0"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282BEB48"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37EDE28D"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THE LEGISLATIVE ASSEMBLY FOR THE</w:t>
      </w:r>
    </w:p>
    <w:p w14:paraId="3C191A4F"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AUSTRALIAN CAPITAL TERRITORY</w:t>
      </w:r>
    </w:p>
    <w:p w14:paraId="2A130F6F"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3843DAC9"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1E2D131C"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242D497"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ELEVENTH ASSEMBLY</w:t>
      </w:r>
    </w:p>
    <w:p w14:paraId="18E28045"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45FA19F"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23C82056"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F8D5956"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CA906C3"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B7574D3"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640FCAF2" w14:textId="0DAF1F79" w:rsidR="0091341D" w:rsidRPr="0091341D" w:rsidRDefault="0091341D" w:rsidP="0091341D">
      <w:pPr>
        <w:pStyle w:val="NormalWeb"/>
        <w:shd w:val="clear" w:color="auto" w:fill="FFFFFF"/>
        <w:spacing w:before="0" w:beforeAutospacing="0" w:after="0" w:afterAutospacing="0" w:line="259" w:lineRule="atLeast"/>
        <w:jc w:val="center"/>
        <w:rPr>
          <w:rFonts w:ascii="Arial" w:hAnsi="Arial" w:cs="Arial"/>
          <w:b/>
          <w:bCs/>
          <w:color w:val="000000"/>
        </w:rPr>
      </w:pPr>
      <w:r w:rsidRPr="0091341D">
        <w:rPr>
          <w:rFonts w:ascii="Arial" w:hAnsi="Arial" w:cs="Arial"/>
          <w:b/>
          <w:bCs/>
          <w:color w:val="000000"/>
        </w:rPr>
        <w:t>Civil Law (Wrongs)</w:t>
      </w:r>
      <w:r w:rsidR="00260CD0">
        <w:rPr>
          <w:rFonts w:ascii="Arial" w:hAnsi="Arial" w:cs="Arial"/>
          <w:b/>
          <w:bCs/>
          <w:color w:val="000000"/>
        </w:rPr>
        <w:t xml:space="preserve"> (Organisational Child Abuse Liability)</w:t>
      </w:r>
      <w:r w:rsidRPr="0091341D">
        <w:rPr>
          <w:rFonts w:ascii="Arial" w:hAnsi="Arial" w:cs="Arial"/>
          <w:b/>
          <w:bCs/>
          <w:color w:val="000000"/>
        </w:rPr>
        <w:t xml:space="preserve"> Amendment Bill 2025</w:t>
      </w:r>
    </w:p>
    <w:p w14:paraId="4CE98F56"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372CC5E3"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BB061AB"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EXPLANATORY STATEMENT</w:t>
      </w:r>
    </w:p>
    <w:p w14:paraId="128E7239"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DC0B73D"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6542AAC0"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499D70E0"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38001525"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6380920"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5EC304EA"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AA05B3F" w14:textId="77777777" w:rsidR="0091341D" w:rsidRDefault="0091341D" w:rsidP="0091341D">
      <w:pPr>
        <w:pStyle w:val="NormalWeb"/>
        <w:shd w:val="clear" w:color="auto" w:fill="FFFFFF"/>
        <w:spacing w:before="0" w:beforeAutospacing="0" w:after="0" w:afterAutospacing="0" w:line="259" w:lineRule="atLeast"/>
        <w:jc w:val="center"/>
        <w:rPr>
          <w:rFonts w:ascii="Calibri" w:hAnsi="Calibri" w:cs="Calibri"/>
          <w:color w:val="000000"/>
        </w:rPr>
      </w:pPr>
      <w:r>
        <w:rPr>
          <w:rFonts w:ascii="Arial" w:hAnsi="Arial" w:cs="Arial"/>
          <w:b/>
          <w:bCs/>
          <w:color w:val="000000"/>
        </w:rPr>
        <w:t> </w:t>
      </w:r>
    </w:p>
    <w:p w14:paraId="74D982B5" w14:textId="77777777" w:rsidR="0091341D" w:rsidRDefault="0091341D" w:rsidP="0091341D">
      <w:pPr>
        <w:pStyle w:val="NormalWeb"/>
        <w:shd w:val="clear" w:color="auto" w:fill="FFFFFF"/>
        <w:spacing w:before="0" w:beforeAutospacing="0" w:after="0" w:afterAutospacing="0" w:line="259" w:lineRule="atLeast"/>
        <w:jc w:val="center"/>
        <w:rPr>
          <w:rFonts w:ascii="Arial" w:hAnsi="Arial" w:cs="Arial"/>
          <w:b/>
          <w:bCs/>
          <w:color w:val="000000"/>
        </w:rPr>
      </w:pPr>
      <w:r>
        <w:rPr>
          <w:rFonts w:ascii="Arial" w:hAnsi="Arial" w:cs="Arial"/>
          <w:b/>
          <w:bCs/>
          <w:color w:val="000000"/>
        </w:rPr>
        <w:t> </w:t>
      </w:r>
    </w:p>
    <w:p w14:paraId="56AA8603"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52DF10FA"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26462DCA"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4DAC4B66"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46BA589F"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2C43986E"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5CD064C5"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1894B3E3"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0F1AD41E"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57297237" w14:textId="77777777" w:rsidR="00C84B50" w:rsidRDefault="00C84B50" w:rsidP="0091341D">
      <w:pPr>
        <w:pStyle w:val="NormalWeb"/>
        <w:shd w:val="clear" w:color="auto" w:fill="FFFFFF"/>
        <w:spacing w:before="0" w:beforeAutospacing="0" w:after="0" w:afterAutospacing="0" w:line="259" w:lineRule="atLeast"/>
        <w:jc w:val="center"/>
        <w:rPr>
          <w:rFonts w:ascii="Arial" w:hAnsi="Arial" w:cs="Arial"/>
          <w:b/>
          <w:bCs/>
          <w:color w:val="000000"/>
        </w:rPr>
      </w:pPr>
    </w:p>
    <w:p w14:paraId="2AB79E2B" w14:textId="77777777" w:rsidR="00C84B50" w:rsidRDefault="00C84B50" w:rsidP="0091341D">
      <w:pPr>
        <w:pStyle w:val="NormalWeb"/>
        <w:shd w:val="clear" w:color="auto" w:fill="FFFFFF"/>
        <w:spacing w:before="0" w:beforeAutospacing="0" w:after="0" w:afterAutospacing="0" w:line="259" w:lineRule="atLeast"/>
        <w:jc w:val="center"/>
        <w:rPr>
          <w:rFonts w:ascii="Calibri" w:hAnsi="Calibri" w:cs="Calibri"/>
          <w:color w:val="000000"/>
        </w:rPr>
      </w:pPr>
    </w:p>
    <w:p w14:paraId="57785FA6" w14:textId="77777777" w:rsidR="0091341D" w:rsidRDefault="0091341D" w:rsidP="0091341D">
      <w:pPr>
        <w:pStyle w:val="NormalWeb"/>
        <w:shd w:val="clear" w:color="auto" w:fill="FFFFFF"/>
        <w:spacing w:before="0" w:beforeAutospacing="0" w:after="0" w:afterAutospacing="0" w:line="259" w:lineRule="atLeast"/>
        <w:ind w:right="686"/>
        <w:jc w:val="right"/>
        <w:rPr>
          <w:rFonts w:ascii="Calibri" w:hAnsi="Calibri" w:cs="Calibri"/>
          <w:color w:val="000000"/>
        </w:rPr>
      </w:pPr>
      <w:r>
        <w:rPr>
          <w:rFonts w:ascii="Arial" w:hAnsi="Arial" w:cs="Arial"/>
          <w:b/>
          <w:bCs/>
          <w:color w:val="000000"/>
        </w:rPr>
        <w:t>Presented by</w:t>
      </w:r>
    </w:p>
    <w:p w14:paraId="3FFA53EC" w14:textId="6DA366EB" w:rsidR="0091341D" w:rsidRDefault="0091341D" w:rsidP="0091341D">
      <w:pPr>
        <w:pStyle w:val="NormalWeb"/>
        <w:shd w:val="clear" w:color="auto" w:fill="FFFFFF"/>
        <w:spacing w:before="0" w:beforeAutospacing="0" w:after="0" w:afterAutospacing="0" w:line="259" w:lineRule="atLeast"/>
        <w:ind w:right="686"/>
        <w:jc w:val="right"/>
        <w:rPr>
          <w:rFonts w:ascii="Calibri" w:hAnsi="Calibri" w:cs="Calibri"/>
          <w:color w:val="000000"/>
        </w:rPr>
      </w:pPr>
      <w:r>
        <w:rPr>
          <w:rFonts w:ascii="Arial" w:hAnsi="Arial" w:cs="Arial"/>
          <w:b/>
          <w:bCs/>
          <w:color w:val="000000"/>
        </w:rPr>
        <w:t>Mr Shane Rattenbury MLA</w:t>
      </w:r>
    </w:p>
    <w:p w14:paraId="01725ECD" w14:textId="3E3B4C90" w:rsidR="0091341D" w:rsidRDefault="0091341D" w:rsidP="0091341D">
      <w:pPr>
        <w:pStyle w:val="NormalWeb"/>
        <w:shd w:val="clear" w:color="auto" w:fill="FFFFFF"/>
        <w:spacing w:before="0" w:beforeAutospacing="0" w:after="0" w:afterAutospacing="0" w:line="259" w:lineRule="atLeast"/>
        <w:ind w:right="686"/>
        <w:jc w:val="right"/>
        <w:rPr>
          <w:rFonts w:ascii="Calibri" w:hAnsi="Calibri" w:cs="Calibri"/>
          <w:color w:val="000000"/>
        </w:rPr>
      </w:pPr>
      <w:r>
        <w:rPr>
          <w:rFonts w:ascii="Arial" w:hAnsi="Arial" w:cs="Arial"/>
          <w:b/>
          <w:bCs/>
          <w:color w:val="000000"/>
        </w:rPr>
        <w:t>Leader of the ACT Greens</w:t>
      </w:r>
    </w:p>
    <w:p w14:paraId="1BAB9EB0" w14:textId="2F663208" w:rsidR="0091341D" w:rsidRDefault="0091341D" w:rsidP="0091341D">
      <w:pPr>
        <w:pStyle w:val="NormalWeb"/>
        <w:shd w:val="clear" w:color="auto" w:fill="FFFFFF"/>
        <w:spacing w:before="0" w:beforeAutospacing="0" w:after="0" w:afterAutospacing="0" w:line="259" w:lineRule="atLeast"/>
        <w:ind w:right="686"/>
        <w:jc w:val="right"/>
        <w:rPr>
          <w:rFonts w:ascii="Calibri" w:hAnsi="Calibri" w:cs="Calibri"/>
          <w:color w:val="000000"/>
        </w:rPr>
      </w:pPr>
      <w:r>
        <w:rPr>
          <w:rFonts w:ascii="Arial" w:hAnsi="Arial" w:cs="Arial"/>
          <w:b/>
          <w:bCs/>
          <w:color w:val="000000"/>
        </w:rPr>
        <w:t>June 2025</w:t>
      </w:r>
    </w:p>
    <w:p w14:paraId="2976CDF9" w14:textId="77777777" w:rsidR="0091341D" w:rsidRDefault="0091341D" w:rsidP="0091341D">
      <w:pPr>
        <w:jc w:val="center"/>
        <w:rPr>
          <w:b/>
          <w:bCs/>
        </w:rPr>
      </w:pPr>
    </w:p>
    <w:p w14:paraId="421610A7" w14:textId="77777777" w:rsidR="00C84B50" w:rsidRDefault="00C84B50">
      <w:pPr>
        <w:rPr>
          <w:b/>
          <w:bCs/>
        </w:rPr>
      </w:pPr>
    </w:p>
    <w:p w14:paraId="561E1576" w14:textId="68B35022" w:rsidR="0091341D" w:rsidRPr="0091341D" w:rsidRDefault="0091341D">
      <w:pPr>
        <w:rPr>
          <w:u w:val="single"/>
        </w:rPr>
      </w:pPr>
      <w:r w:rsidRPr="0091341D">
        <w:rPr>
          <w:u w:val="single"/>
        </w:rPr>
        <w:lastRenderedPageBreak/>
        <w:t xml:space="preserve">Introduction </w:t>
      </w:r>
    </w:p>
    <w:p w14:paraId="2AED72BF" w14:textId="3DEA435D" w:rsidR="0091341D" w:rsidRDefault="0091341D">
      <w:r>
        <w:t>This explanatory statement relates to the Civil Law (Wrongs)</w:t>
      </w:r>
      <w:r w:rsidR="004B2250">
        <w:t xml:space="preserve"> (Organisational Child Abuse Liability)</w:t>
      </w:r>
      <w:r>
        <w:t xml:space="preserve"> Amendment Bill 2025 as presented to the Legislative Assembly. It has been prepared in order to assist the reader of the bill and to help inform debate on it. It does not form part of the bill and has not been endorsed by the Assembly.</w:t>
      </w:r>
    </w:p>
    <w:p w14:paraId="68F40FAE" w14:textId="4145EAE5" w:rsidR="0091341D" w:rsidRDefault="0091341D">
      <w: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0B7A71B4" w14:textId="066167E1" w:rsidR="0091341D" w:rsidRPr="0052363F" w:rsidRDefault="0091341D">
      <w:pPr>
        <w:rPr>
          <w:u w:val="single"/>
        </w:rPr>
      </w:pPr>
      <w:r w:rsidRPr="0052363F">
        <w:rPr>
          <w:u w:val="single"/>
        </w:rPr>
        <w:t>The overview</w:t>
      </w:r>
    </w:p>
    <w:p w14:paraId="306DC441" w14:textId="77777777" w:rsidR="0091341D" w:rsidRPr="0052363F" w:rsidRDefault="0091341D" w:rsidP="0091341D">
      <w:pPr>
        <w:pStyle w:val="ListParagraph"/>
        <w:numPr>
          <w:ilvl w:val="0"/>
          <w:numId w:val="1"/>
        </w:numPr>
        <w:rPr>
          <w:u w:val="single"/>
        </w:rPr>
      </w:pPr>
      <w:r w:rsidRPr="0052363F">
        <w:rPr>
          <w:u w:val="single"/>
        </w:rPr>
        <w:t xml:space="preserve">A statement of the purpose of the bill and its intended effect </w:t>
      </w:r>
    </w:p>
    <w:p w14:paraId="33C8F916" w14:textId="01A8DD26" w:rsidR="005C5AF5" w:rsidRDefault="0052363F" w:rsidP="00B465CE">
      <w:r>
        <w:t>The</w:t>
      </w:r>
      <w:r>
        <w:rPr>
          <w:b/>
          <w:bCs/>
        </w:rPr>
        <w:t xml:space="preserve"> </w:t>
      </w:r>
      <w:r>
        <w:t>Bill is intended as a legislative response to the High Court of Australia’s judgement in Bird v DP (a pseudonym) [2024] HCA 41 delivered on 13 November 2024</w:t>
      </w:r>
      <w:r w:rsidR="0054729C">
        <w:t>.</w:t>
      </w:r>
      <w:r w:rsidR="00B465CE" w:rsidRPr="00B465CE">
        <w:t xml:space="preserve"> </w:t>
      </w:r>
      <w:r w:rsidR="00B465CE">
        <w:t>In Bird v DP, by a unanimous decision, the High Court ruled that, despite the recommendations of the Royal Commission</w:t>
      </w:r>
      <w:r w:rsidR="00EC69E2">
        <w:t xml:space="preserve"> into </w:t>
      </w:r>
      <w:r w:rsidR="00297FEF">
        <w:t>Institutional</w:t>
      </w:r>
      <w:r w:rsidR="00EC69E2">
        <w:t xml:space="preserve"> Responses to Child Sexual Abuse</w:t>
      </w:r>
      <w:r w:rsidR="00B465CE">
        <w:t xml:space="preserve"> that survivors have a vehicle to establish institutional liability for wrongs committed against them as children, these recommendations did not pave the way for a broadening of the common law doctrine of vicarious liability to apply to relationships which are not strictly between an employer and employee, such as that of a Catholic priest and a child parishioner. </w:t>
      </w:r>
    </w:p>
    <w:p w14:paraId="7BE117AF" w14:textId="21C839BC" w:rsidR="00B465CE" w:rsidRDefault="00B465CE" w:rsidP="00B465CE">
      <w:r>
        <w:t xml:space="preserve">However, Gageler CJ, Gordon J, Edelman J, Steward J and Beech-Jones J ruled at [63] that </w:t>
      </w:r>
      <w:r w:rsidR="004271AC">
        <w:t>‘</w:t>
      </w:r>
      <w:r>
        <w:t>…the issue is squarely in the hands of the legislatures</w:t>
      </w:r>
      <w:r w:rsidR="004271AC">
        <w:t>’,</w:t>
      </w:r>
      <w:r>
        <w:t xml:space="preserve"> and at [67] that: </w:t>
      </w:r>
      <w:r w:rsidR="004271AC">
        <w:t>‘</w:t>
      </w:r>
      <w:r>
        <w:t>Reformulation of the law of vicarious liability is properly the province of the legislature.</w:t>
      </w:r>
      <w:r w:rsidR="004271AC">
        <w:t>’</w:t>
      </w:r>
    </w:p>
    <w:p w14:paraId="2F34E711" w14:textId="078052F3" w:rsidR="004A5803" w:rsidRDefault="00B465CE" w:rsidP="00B465CE">
      <w:r>
        <w:t xml:space="preserve">In her dissenting judgment, Gleeson J stated at [73] that: </w:t>
      </w:r>
      <w:r w:rsidR="004271AC">
        <w:t>‘</w:t>
      </w:r>
      <w:r>
        <w:t>In 2015, the Royal Commission into Institutional Responses to Child Sexual Abuse anticipated that Australian courts, too, would recognise and impose liability on institutions for criminal acts of their members or employees that cause harm to children, in the absence of legislative action.</w:t>
      </w:r>
      <w:r w:rsidR="004271AC">
        <w:t>’</w:t>
      </w:r>
      <w:r>
        <w:t xml:space="preserve"> Her Honour later expressed concern at [76] that: </w:t>
      </w:r>
      <w:r w:rsidR="004271AC">
        <w:t>‘</w:t>
      </w:r>
      <w:r>
        <w:t>Without vicarious liability being an available cause of action for such historical abuse, the point of removing those limitation periods is significantly diminished…</w:t>
      </w:r>
      <w:r w:rsidR="004271AC">
        <w:t>’</w:t>
      </w:r>
      <w:r>
        <w:t xml:space="preserve"> </w:t>
      </w:r>
    </w:p>
    <w:p w14:paraId="07797D40" w14:textId="4A8F1901" w:rsidR="00B5542A" w:rsidRDefault="00E517B1" w:rsidP="00B5542A">
      <w:r>
        <w:t xml:space="preserve">Given the High Court </w:t>
      </w:r>
      <w:r w:rsidR="00E42AA9">
        <w:t xml:space="preserve">seems to have </w:t>
      </w:r>
      <w:r w:rsidR="00840C0B">
        <w:t>r</w:t>
      </w:r>
      <w:r w:rsidR="00B37015">
        <w:t xml:space="preserve">uled out </w:t>
      </w:r>
      <w:r w:rsidR="00B465CE">
        <w:t>expansion of vicarious liability through common law,</w:t>
      </w:r>
      <w:r w:rsidR="00E50F9B">
        <w:t xml:space="preserve"> this Bill</w:t>
      </w:r>
      <w:r w:rsidR="00E42AA9">
        <w:t xml:space="preserve"> is required to </w:t>
      </w:r>
      <w:r w:rsidR="004465F0">
        <w:t>ensure survivors who were abused by people associated with organisation</w:t>
      </w:r>
      <w:r w:rsidR="004B2250">
        <w:t>s</w:t>
      </w:r>
      <w:r w:rsidR="004465F0">
        <w:t xml:space="preserve"> or in positions akin to employment </w:t>
      </w:r>
      <w:r w:rsidR="00236587">
        <w:t>are able to access justice</w:t>
      </w:r>
      <w:r w:rsidR="00E42AA9">
        <w:t>.</w:t>
      </w:r>
      <w:r w:rsidR="00770B61">
        <w:t xml:space="preserve"> </w:t>
      </w:r>
      <w:r w:rsidR="004B2250">
        <w:t>It is necessary because</w:t>
      </w:r>
      <w:r w:rsidR="641EF629">
        <w:t>,</w:t>
      </w:r>
      <w:r w:rsidR="004B2250">
        <w:t xml:space="preserve"> without it, </w:t>
      </w:r>
      <w:r w:rsidR="006E12BA">
        <w:t>institutions</w:t>
      </w:r>
      <w:r w:rsidR="004B2250">
        <w:t xml:space="preserve"> that have had children abused in their care can avoid responsibility</w:t>
      </w:r>
      <w:r w:rsidR="00FE37D0">
        <w:t xml:space="preserve"> for the actions of those they effectively employed. </w:t>
      </w:r>
      <w:r w:rsidR="00955621">
        <w:t>Without this Bill, there is an unjust asymmetry between</w:t>
      </w:r>
      <w:r w:rsidR="5F276421">
        <w:t>,</w:t>
      </w:r>
      <w:r w:rsidR="00955621">
        <w:t xml:space="preserve"> for example, a child abused by a teacher in a classroom in a religious school and a child abused in the same school but by the priest in the sacristy instead. </w:t>
      </w:r>
    </w:p>
    <w:p w14:paraId="5BED12DD" w14:textId="36D8FDE7" w:rsidR="00B5542A" w:rsidRDefault="00B5542A" w:rsidP="00B5542A">
      <w:r>
        <w:t xml:space="preserve">The Bill expands the definition of ‘employee’ to include an individual who is akin to an employee of the organisation or who is associated with the organisation. Individuals are akin to employees if they carry out </w:t>
      </w:r>
      <w:r w:rsidR="0083588D">
        <w:t>activities</w:t>
      </w:r>
      <w:r>
        <w:t xml:space="preserve"> that are ordinary part of the activities carried on by the organisation, and for the benefit of the organisation. An individual who is associated with an organisation includes an office holder, officer, owner, volunteer or contractor of the organisation and includes in the case of religious institutions, a religious leader such as a priest or a minister, or member of the personnel of the organisation whether or not the individual is ordained. </w:t>
      </w:r>
    </w:p>
    <w:p w14:paraId="66440BA2" w14:textId="30F97E87" w:rsidR="00955621" w:rsidRDefault="00955621" w:rsidP="00B37015"/>
    <w:p w14:paraId="7292306E" w14:textId="63966109" w:rsidR="009F1A03" w:rsidRDefault="00955621" w:rsidP="00B5542A">
      <w:pPr>
        <w:pStyle w:val="NormalWeb"/>
        <w:shd w:val="clear" w:color="auto" w:fill="FFFFFF"/>
        <w:spacing w:before="0" w:beforeAutospacing="0" w:after="200" w:afterAutospacing="0" w:line="276" w:lineRule="atLeast"/>
        <w:jc w:val="both"/>
        <w:rPr>
          <w:rFonts w:asciiTheme="minorHAnsi" w:eastAsiaTheme="minorHAnsi" w:hAnsiTheme="minorHAnsi" w:cstheme="minorBidi"/>
          <w:kern w:val="2"/>
          <w:sz w:val="22"/>
          <w:szCs w:val="22"/>
          <w:lang w:eastAsia="en-US"/>
          <w14:ligatures w14:val="standardContextual"/>
        </w:rPr>
      </w:pPr>
      <w:r w:rsidRPr="00B5542A">
        <w:rPr>
          <w:rFonts w:asciiTheme="minorHAnsi" w:eastAsiaTheme="minorHAnsi" w:hAnsiTheme="minorHAnsi" w:cstheme="minorBidi"/>
          <w:kern w:val="2"/>
          <w:sz w:val="22"/>
          <w:szCs w:val="22"/>
          <w:lang w:eastAsia="en-US"/>
          <w14:ligatures w14:val="standardContextual"/>
        </w:rPr>
        <w:lastRenderedPageBreak/>
        <w:t>The devastating, lifelong impact of abuse in childhood</w:t>
      </w:r>
      <w:r w:rsidR="004E37FA">
        <w:rPr>
          <w:rFonts w:asciiTheme="minorHAnsi" w:eastAsiaTheme="minorHAnsi" w:hAnsiTheme="minorHAnsi" w:cstheme="minorBidi"/>
          <w:kern w:val="2"/>
          <w:sz w:val="22"/>
          <w:szCs w:val="22"/>
          <w:lang w:eastAsia="en-US"/>
          <w14:ligatures w14:val="standardContextual"/>
        </w:rPr>
        <w:t xml:space="preserve"> and </w:t>
      </w:r>
      <w:r w:rsidR="00ED04BA">
        <w:rPr>
          <w:rFonts w:asciiTheme="minorHAnsi" w:eastAsiaTheme="minorHAnsi" w:hAnsiTheme="minorHAnsi" w:cstheme="minorBidi"/>
          <w:kern w:val="2"/>
          <w:sz w:val="22"/>
          <w:szCs w:val="22"/>
          <w:lang w:eastAsia="en-US"/>
          <w14:ligatures w14:val="standardContextual"/>
        </w:rPr>
        <w:t>the multi-generational harm it ca</w:t>
      </w:r>
      <w:r w:rsidR="000970AF">
        <w:rPr>
          <w:rFonts w:asciiTheme="minorHAnsi" w:eastAsiaTheme="minorHAnsi" w:hAnsiTheme="minorHAnsi" w:cstheme="minorBidi"/>
          <w:kern w:val="2"/>
          <w:sz w:val="22"/>
          <w:szCs w:val="22"/>
          <w:lang w:eastAsia="en-US"/>
          <w14:ligatures w14:val="standardContextual"/>
        </w:rPr>
        <w:t>uses</w:t>
      </w:r>
      <w:r w:rsidRPr="00B5542A">
        <w:rPr>
          <w:rFonts w:asciiTheme="minorHAnsi" w:eastAsiaTheme="minorHAnsi" w:hAnsiTheme="minorHAnsi" w:cstheme="minorBidi"/>
          <w:kern w:val="2"/>
          <w:sz w:val="22"/>
          <w:szCs w:val="22"/>
          <w:lang w:eastAsia="en-US"/>
          <w14:ligatures w14:val="standardContextual"/>
        </w:rPr>
        <w:t xml:space="preserve"> cannot be </w:t>
      </w:r>
      <w:r w:rsidR="005564A0">
        <w:rPr>
          <w:rFonts w:asciiTheme="minorHAnsi" w:eastAsiaTheme="minorHAnsi" w:hAnsiTheme="minorHAnsi" w:cstheme="minorBidi"/>
          <w:kern w:val="2"/>
          <w:sz w:val="22"/>
          <w:szCs w:val="22"/>
          <w:lang w:eastAsia="en-US"/>
          <w14:ligatures w14:val="standardContextual"/>
        </w:rPr>
        <w:t>ove</w:t>
      </w:r>
      <w:r w:rsidRPr="00B5542A">
        <w:rPr>
          <w:rFonts w:asciiTheme="minorHAnsi" w:eastAsiaTheme="minorHAnsi" w:hAnsiTheme="minorHAnsi" w:cstheme="minorBidi"/>
          <w:kern w:val="2"/>
          <w:sz w:val="22"/>
          <w:szCs w:val="22"/>
          <w:lang w:eastAsia="en-US"/>
          <w14:ligatures w14:val="standardContextual"/>
        </w:rPr>
        <w:t>rstated and nor can the willingness of large institutions to</w:t>
      </w:r>
      <w:r w:rsidR="00D729FD" w:rsidRPr="00B5542A">
        <w:rPr>
          <w:rFonts w:asciiTheme="minorHAnsi" w:eastAsiaTheme="minorHAnsi" w:hAnsiTheme="minorHAnsi" w:cstheme="minorBidi"/>
          <w:kern w:val="2"/>
          <w:sz w:val="22"/>
          <w:szCs w:val="22"/>
          <w:lang w:eastAsia="en-US"/>
          <w14:ligatures w14:val="standardContextual"/>
        </w:rPr>
        <w:t xml:space="preserve"> use every loophole to</w:t>
      </w:r>
      <w:r w:rsidRPr="00B5542A">
        <w:rPr>
          <w:rFonts w:asciiTheme="minorHAnsi" w:eastAsiaTheme="minorHAnsi" w:hAnsiTheme="minorHAnsi" w:cstheme="minorBidi"/>
          <w:kern w:val="2"/>
          <w:sz w:val="22"/>
          <w:szCs w:val="22"/>
          <w:lang w:eastAsia="en-US"/>
          <w14:ligatures w14:val="standardContextual"/>
        </w:rPr>
        <w:t xml:space="preserve"> </w:t>
      </w:r>
      <w:r w:rsidR="00D729FD" w:rsidRPr="00B5542A">
        <w:rPr>
          <w:rFonts w:asciiTheme="minorHAnsi" w:eastAsiaTheme="minorHAnsi" w:hAnsiTheme="minorHAnsi" w:cstheme="minorBidi"/>
          <w:kern w:val="2"/>
          <w:sz w:val="22"/>
          <w:szCs w:val="22"/>
          <w:lang w:eastAsia="en-US"/>
          <w14:ligatures w14:val="standardContextual"/>
        </w:rPr>
        <w:t>evade</w:t>
      </w:r>
      <w:r w:rsidRPr="00B5542A">
        <w:rPr>
          <w:rFonts w:asciiTheme="minorHAnsi" w:eastAsiaTheme="minorHAnsi" w:hAnsiTheme="minorHAnsi" w:cstheme="minorBidi"/>
          <w:kern w:val="2"/>
          <w:sz w:val="22"/>
          <w:szCs w:val="22"/>
          <w:lang w:eastAsia="en-US"/>
          <w14:ligatures w14:val="standardContextual"/>
        </w:rPr>
        <w:t xml:space="preserve"> responsibility for</w:t>
      </w:r>
      <w:r w:rsidR="00B5542A">
        <w:rPr>
          <w:rFonts w:asciiTheme="minorHAnsi" w:eastAsiaTheme="minorHAnsi" w:hAnsiTheme="minorHAnsi" w:cstheme="minorBidi"/>
          <w:kern w:val="2"/>
          <w:sz w:val="22"/>
          <w:szCs w:val="22"/>
          <w:lang w:eastAsia="en-US"/>
          <w14:ligatures w14:val="standardContextual"/>
        </w:rPr>
        <w:t xml:space="preserve"> </w:t>
      </w:r>
      <w:r w:rsidRPr="00B5542A">
        <w:rPr>
          <w:rFonts w:asciiTheme="minorHAnsi" w:eastAsiaTheme="minorHAnsi" w:hAnsiTheme="minorHAnsi" w:cstheme="minorBidi"/>
          <w:kern w:val="2"/>
          <w:sz w:val="22"/>
          <w:szCs w:val="22"/>
          <w:lang w:eastAsia="en-US"/>
          <w14:ligatures w14:val="standardContextual"/>
        </w:rPr>
        <w:t xml:space="preserve">it. </w:t>
      </w:r>
      <w:r w:rsidR="0095025B" w:rsidRPr="00B5542A">
        <w:rPr>
          <w:rFonts w:asciiTheme="minorHAnsi" w:eastAsiaTheme="minorHAnsi" w:hAnsiTheme="minorHAnsi" w:cstheme="minorBidi"/>
          <w:kern w:val="2"/>
          <w:sz w:val="22"/>
          <w:szCs w:val="22"/>
          <w:lang w:eastAsia="en-US"/>
          <w14:ligatures w14:val="standardContextual"/>
        </w:rPr>
        <w:t xml:space="preserve">The purpose of the Bill is to ensure that </w:t>
      </w:r>
      <w:r w:rsidR="00840E36" w:rsidRPr="00B5542A">
        <w:rPr>
          <w:rFonts w:asciiTheme="minorHAnsi" w:eastAsiaTheme="minorHAnsi" w:hAnsiTheme="minorHAnsi" w:cstheme="minorBidi"/>
          <w:kern w:val="2"/>
          <w:sz w:val="22"/>
          <w:szCs w:val="22"/>
          <w:lang w:eastAsia="en-US"/>
          <w14:ligatures w14:val="standardContextual"/>
        </w:rPr>
        <w:t xml:space="preserve">the organisations who harboured </w:t>
      </w:r>
      <w:r w:rsidR="0095025B" w:rsidRPr="00B5542A">
        <w:rPr>
          <w:rFonts w:asciiTheme="minorHAnsi" w:eastAsiaTheme="minorHAnsi" w:hAnsiTheme="minorHAnsi" w:cstheme="minorBidi"/>
          <w:kern w:val="2"/>
          <w:sz w:val="22"/>
          <w:szCs w:val="22"/>
          <w:lang w:eastAsia="en-US"/>
          <w14:ligatures w14:val="standardContextual"/>
        </w:rPr>
        <w:t xml:space="preserve">individuals who </w:t>
      </w:r>
      <w:r w:rsidR="00E26565" w:rsidRPr="00B5542A">
        <w:rPr>
          <w:rFonts w:asciiTheme="minorHAnsi" w:eastAsiaTheme="minorHAnsi" w:hAnsiTheme="minorHAnsi" w:cstheme="minorBidi"/>
          <w:kern w:val="2"/>
          <w:sz w:val="22"/>
          <w:szCs w:val="22"/>
          <w:lang w:eastAsia="en-US"/>
          <w14:ligatures w14:val="standardContextual"/>
        </w:rPr>
        <w:t xml:space="preserve">were akin to employees or associated with the organisation when they abused children </w:t>
      </w:r>
      <w:r w:rsidR="00703113" w:rsidRPr="00B5542A">
        <w:rPr>
          <w:rFonts w:asciiTheme="minorHAnsi" w:eastAsiaTheme="minorHAnsi" w:hAnsiTheme="minorHAnsi" w:cstheme="minorBidi"/>
          <w:kern w:val="2"/>
          <w:sz w:val="22"/>
          <w:szCs w:val="22"/>
          <w:lang w:eastAsia="en-US"/>
          <w14:ligatures w14:val="standardContextual"/>
        </w:rPr>
        <w:t xml:space="preserve">can </w:t>
      </w:r>
      <w:r w:rsidR="00840E36" w:rsidRPr="00B5542A">
        <w:rPr>
          <w:rFonts w:asciiTheme="minorHAnsi" w:eastAsiaTheme="minorHAnsi" w:hAnsiTheme="minorHAnsi" w:cstheme="minorBidi"/>
          <w:kern w:val="2"/>
          <w:sz w:val="22"/>
          <w:szCs w:val="22"/>
          <w:lang w:eastAsia="en-US"/>
          <w14:ligatures w14:val="standardContextual"/>
        </w:rPr>
        <w:t>be held vicariously liable for the abuse.</w:t>
      </w:r>
      <w:r w:rsidR="00703113" w:rsidRPr="00B5542A">
        <w:rPr>
          <w:rFonts w:asciiTheme="minorHAnsi" w:eastAsiaTheme="minorHAnsi" w:hAnsiTheme="minorHAnsi" w:cstheme="minorBidi"/>
          <w:kern w:val="2"/>
          <w:sz w:val="22"/>
          <w:szCs w:val="22"/>
          <w:lang w:eastAsia="en-US"/>
          <w14:ligatures w14:val="standardContextual"/>
        </w:rPr>
        <w:t xml:space="preserve"> It is intended to provide clarity around those who fall into these categories</w:t>
      </w:r>
      <w:r w:rsidR="0015393D" w:rsidRPr="00B5542A">
        <w:rPr>
          <w:rFonts w:asciiTheme="minorHAnsi" w:eastAsiaTheme="minorHAnsi" w:hAnsiTheme="minorHAnsi" w:cstheme="minorBidi"/>
          <w:kern w:val="2"/>
          <w:sz w:val="22"/>
          <w:szCs w:val="22"/>
          <w:lang w:eastAsia="en-US"/>
          <w14:ligatures w14:val="standardContextual"/>
        </w:rPr>
        <w:t>,</w:t>
      </w:r>
      <w:r w:rsidR="002A663D" w:rsidRPr="00B5542A">
        <w:rPr>
          <w:rFonts w:asciiTheme="minorHAnsi" w:eastAsiaTheme="minorHAnsi" w:hAnsiTheme="minorHAnsi" w:cstheme="minorBidi"/>
          <w:kern w:val="2"/>
          <w:sz w:val="22"/>
          <w:szCs w:val="22"/>
          <w:lang w:eastAsia="en-US"/>
          <w14:ligatures w14:val="standardContextual"/>
        </w:rPr>
        <w:t xml:space="preserve"> operate</w:t>
      </w:r>
      <w:r w:rsidR="003F01BB" w:rsidRPr="00B5542A">
        <w:rPr>
          <w:rFonts w:asciiTheme="minorHAnsi" w:eastAsiaTheme="minorHAnsi" w:hAnsiTheme="minorHAnsi" w:cstheme="minorBidi"/>
          <w:kern w:val="2"/>
          <w:sz w:val="22"/>
          <w:szCs w:val="22"/>
          <w:lang w:eastAsia="en-US"/>
          <w14:ligatures w14:val="standardContextual"/>
        </w:rPr>
        <w:t xml:space="preserve"> to </w:t>
      </w:r>
      <w:r w:rsidR="00432DE6" w:rsidRPr="00B5542A">
        <w:rPr>
          <w:rFonts w:asciiTheme="minorHAnsi" w:eastAsiaTheme="minorHAnsi" w:hAnsiTheme="minorHAnsi" w:cstheme="minorBidi"/>
          <w:kern w:val="2"/>
          <w:sz w:val="22"/>
          <w:szCs w:val="22"/>
          <w:lang w:eastAsia="en-US"/>
          <w14:ligatures w14:val="standardContextual"/>
        </w:rPr>
        <w:t>broaden the</w:t>
      </w:r>
      <w:r w:rsidR="002A663D" w:rsidRPr="00B5542A">
        <w:rPr>
          <w:rFonts w:asciiTheme="minorHAnsi" w:eastAsiaTheme="minorHAnsi" w:hAnsiTheme="minorHAnsi" w:cstheme="minorBidi"/>
          <w:kern w:val="2"/>
          <w:sz w:val="22"/>
          <w:szCs w:val="22"/>
          <w:lang w:eastAsia="en-US"/>
          <w14:ligatures w14:val="standardContextual"/>
        </w:rPr>
        <w:t xml:space="preserve"> common law</w:t>
      </w:r>
      <w:r w:rsidR="00432DE6" w:rsidRPr="00B5542A">
        <w:rPr>
          <w:rFonts w:asciiTheme="minorHAnsi" w:eastAsiaTheme="minorHAnsi" w:hAnsiTheme="minorHAnsi" w:cstheme="minorBidi"/>
          <w:kern w:val="2"/>
          <w:sz w:val="22"/>
          <w:szCs w:val="22"/>
          <w:lang w:eastAsia="en-US"/>
          <w14:ligatures w14:val="standardContextual"/>
        </w:rPr>
        <w:t xml:space="preserve"> doctrine of </w:t>
      </w:r>
      <w:r w:rsidR="002A663D" w:rsidRPr="00B5542A">
        <w:rPr>
          <w:rFonts w:asciiTheme="minorHAnsi" w:eastAsiaTheme="minorHAnsi" w:hAnsiTheme="minorHAnsi" w:cstheme="minorBidi"/>
          <w:kern w:val="2"/>
          <w:sz w:val="22"/>
          <w:szCs w:val="22"/>
          <w:lang w:eastAsia="en-US"/>
          <w14:ligatures w14:val="standardContextual"/>
        </w:rPr>
        <w:t xml:space="preserve">vicarious </w:t>
      </w:r>
      <w:r w:rsidR="00805E93" w:rsidRPr="00B5542A">
        <w:rPr>
          <w:rFonts w:asciiTheme="minorHAnsi" w:eastAsiaTheme="minorHAnsi" w:hAnsiTheme="minorHAnsi" w:cstheme="minorBidi"/>
          <w:kern w:val="2"/>
          <w:sz w:val="22"/>
          <w:szCs w:val="22"/>
          <w:lang w:eastAsia="en-US"/>
          <w14:ligatures w14:val="standardContextual"/>
        </w:rPr>
        <w:t>liability</w:t>
      </w:r>
      <w:r w:rsidR="002A663D" w:rsidRPr="00B5542A">
        <w:rPr>
          <w:rFonts w:asciiTheme="minorHAnsi" w:eastAsiaTheme="minorHAnsi" w:hAnsiTheme="minorHAnsi" w:cstheme="minorBidi"/>
          <w:kern w:val="2"/>
          <w:sz w:val="22"/>
          <w:szCs w:val="22"/>
          <w:lang w:eastAsia="en-US"/>
          <w14:ligatures w14:val="standardContextual"/>
        </w:rPr>
        <w:t xml:space="preserve"> </w:t>
      </w:r>
      <w:r w:rsidR="00805E93" w:rsidRPr="00B5542A">
        <w:rPr>
          <w:rFonts w:asciiTheme="minorHAnsi" w:eastAsiaTheme="minorHAnsi" w:hAnsiTheme="minorHAnsi" w:cstheme="minorBidi"/>
          <w:kern w:val="2"/>
          <w:sz w:val="22"/>
          <w:szCs w:val="22"/>
          <w:lang w:eastAsia="en-US"/>
          <w14:ligatures w14:val="standardContextual"/>
        </w:rPr>
        <w:t>to apply to relationships which are not strictly between an employer and employee</w:t>
      </w:r>
      <w:r w:rsidR="0015393D" w:rsidRPr="00B5542A">
        <w:rPr>
          <w:rFonts w:asciiTheme="minorHAnsi" w:eastAsiaTheme="minorHAnsi" w:hAnsiTheme="minorHAnsi" w:cstheme="minorBidi"/>
          <w:kern w:val="2"/>
          <w:sz w:val="22"/>
          <w:szCs w:val="22"/>
          <w:lang w:eastAsia="en-US"/>
          <w14:ligatures w14:val="standardContextual"/>
        </w:rPr>
        <w:t xml:space="preserve">, </w:t>
      </w:r>
      <w:r w:rsidR="00101033">
        <w:rPr>
          <w:rFonts w:asciiTheme="minorHAnsi" w:eastAsiaTheme="minorHAnsi" w:hAnsiTheme="minorHAnsi" w:cstheme="minorBidi"/>
          <w:kern w:val="2"/>
          <w:sz w:val="22"/>
          <w:szCs w:val="22"/>
          <w:lang w:eastAsia="en-US"/>
          <w14:ligatures w14:val="standardContextual"/>
        </w:rPr>
        <w:t xml:space="preserve">create equity between survivors </w:t>
      </w:r>
      <w:r w:rsidR="0015393D" w:rsidRPr="00B5542A">
        <w:rPr>
          <w:rFonts w:asciiTheme="minorHAnsi" w:eastAsiaTheme="minorHAnsi" w:hAnsiTheme="minorHAnsi" w:cstheme="minorBidi"/>
          <w:kern w:val="2"/>
          <w:sz w:val="22"/>
          <w:szCs w:val="22"/>
          <w:lang w:eastAsia="en-US"/>
          <w14:ligatures w14:val="standardContextual"/>
        </w:rPr>
        <w:t>and</w:t>
      </w:r>
      <w:r w:rsidR="00B5542A" w:rsidRPr="00A966E7">
        <w:rPr>
          <w:rFonts w:asciiTheme="minorHAnsi" w:eastAsiaTheme="minorHAnsi" w:hAnsiTheme="minorHAnsi" w:cstheme="minorBidi"/>
          <w:kern w:val="2"/>
          <w:sz w:val="22"/>
          <w:szCs w:val="22"/>
          <w:lang w:eastAsia="en-US"/>
          <w14:ligatures w14:val="standardContextual"/>
        </w:rPr>
        <w:t> result in greater rights for survivors</w:t>
      </w:r>
      <w:r w:rsidR="009F1A03">
        <w:rPr>
          <w:rFonts w:asciiTheme="minorHAnsi" w:eastAsiaTheme="minorHAnsi" w:hAnsiTheme="minorHAnsi" w:cstheme="minorBidi"/>
          <w:kern w:val="2"/>
          <w:sz w:val="22"/>
          <w:szCs w:val="22"/>
          <w:lang w:eastAsia="en-US"/>
          <w14:ligatures w14:val="standardContextual"/>
        </w:rPr>
        <w:t>.</w:t>
      </w:r>
    </w:p>
    <w:p w14:paraId="60AA9471" w14:textId="768C1755" w:rsidR="00DA650E" w:rsidRDefault="00555842" w:rsidP="00B37015">
      <w:pPr>
        <w:rPr>
          <w:u w:val="single"/>
        </w:rPr>
      </w:pPr>
      <w:r>
        <w:rPr>
          <w:u w:val="single"/>
        </w:rPr>
        <w:t>Human rights i</w:t>
      </w:r>
      <w:r w:rsidR="00FF39B6">
        <w:rPr>
          <w:u w:val="single"/>
        </w:rPr>
        <w:t>ssues</w:t>
      </w:r>
    </w:p>
    <w:p w14:paraId="7CDCB6C7" w14:textId="42080003" w:rsidR="00FF39B6" w:rsidRPr="00B46D52" w:rsidRDefault="007426BC" w:rsidP="00B37015">
      <w:pPr>
        <w:rPr>
          <w:rFonts w:eastAsia="Times New Roman"/>
        </w:rPr>
      </w:pPr>
      <w:r w:rsidRPr="00B46D52">
        <w:rPr>
          <w:rFonts w:eastAsia="Times New Roman"/>
        </w:rPr>
        <w:t>Child abuse violates children’s most basic rights including </w:t>
      </w:r>
      <w:bookmarkStart w:id="0" w:name="_Hlk102468785"/>
      <w:r w:rsidRPr="00B46D52">
        <w:rPr>
          <w:rFonts w:eastAsia="Times New Roman"/>
        </w:rPr>
        <w:t>the right to protection of family an</w:t>
      </w:r>
      <w:r w:rsidR="00EA4645" w:rsidRPr="00B46D52">
        <w:rPr>
          <w:rFonts w:eastAsia="Times New Roman"/>
        </w:rPr>
        <w:t xml:space="preserve">d </w:t>
      </w:r>
      <w:r w:rsidRPr="00B46D52">
        <w:rPr>
          <w:rFonts w:eastAsia="Times New Roman"/>
        </w:rPr>
        <w:t>children</w:t>
      </w:r>
      <w:bookmarkEnd w:id="0"/>
      <w:r w:rsidR="00EA4645" w:rsidRPr="00B46D52">
        <w:rPr>
          <w:rFonts w:eastAsia="Times New Roman"/>
        </w:rPr>
        <w:t>.</w:t>
      </w:r>
      <w:r w:rsidR="00B46D52" w:rsidRPr="00B46D52">
        <w:rPr>
          <w:rFonts w:eastAsia="Times New Roman"/>
        </w:rPr>
        <w:t xml:space="preserve"> </w:t>
      </w:r>
      <w:r w:rsidR="00FF39B6" w:rsidRPr="00B46D52">
        <w:rPr>
          <w:rFonts w:eastAsia="Times New Roman"/>
        </w:rPr>
        <w:t xml:space="preserve">Section 11 of the Human Rights Act </w:t>
      </w:r>
      <w:r w:rsidR="007E2737" w:rsidRPr="00B46D52">
        <w:rPr>
          <w:rFonts w:eastAsia="Times New Roman"/>
        </w:rPr>
        <w:t xml:space="preserve">2004 </w:t>
      </w:r>
      <w:r w:rsidR="009A74AA" w:rsidRPr="00B46D52">
        <w:rPr>
          <w:rFonts w:eastAsia="Times New Roman"/>
        </w:rPr>
        <w:t>sets out</w:t>
      </w:r>
      <w:r w:rsidR="007E2737" w:rsidRPr="00B46D52">
        <w:rPr>
          <w:rFonts w:eastAsia="Times New Roman"/>
        </w:rPr>
        <w:t xml:space="preserve"> </w:t>
      </w:r>
      <w:r w:rsidR="009C6426" w:rsidRPr="00B46D52">
        <w:rPr>
          <w:rFonts w:eastAsia="Times New Roman"/>
        </w:rPr>
        <w:t xml:space="preserve">the right of the family and children to be protected. </w:t>
      </w:r>
      <w:r w:rsidR="003F3DB5" w:rsidRPr="00B46D52">
        <w:rPr>
          <w:rFonts w:eastAsia="Times New Roman"/>
        </w:rPr>
        <w:t xml:space="preserve">It </w:t>
      </w:r>
      <w:r w:rsidR="009A74AA" w:rsidRPr="00B46D52">
        <w:rPr>
          <w:rFonts w:eastAsia="Times New Roman"/>
        </w:rPr>
        <w:t>identifies that at s 11</w:t>
      </w:r>
      <w:r w:rsidR="003F3DB5" w:rsidRPr="00B46D52">
        <w:rPr>
          <w:rFonts w:eastAsia="Times New Roman"/>
        </w:rPr>
        <w:t xml:space="preserve">(1) </w:t>
      </w:r>
      <w:r w:rsidR="00865655" w:rsidRPr="00B46D52">
        <w:rPr>
          <w:rFonts w:eastAsia="Times New Roman"/>
        </w:rPr>
        <w:t>‘</w:t>
      </w:r>
      <w:r w:rsidR="003F3DB5" w:rsidRPr="00B46D52">
        <w:rPr>
          <w:rFonts w:eastAsia="Times New Roman"/>
        </w:rPr>
        <w:t>The family is the natural and basic group of society and is entitled to be protected by</w:t>
      </w:r>
      <w:r w:rsidR="00526F67" w:rsidRPr="00B46D52">
        <w:rPr>
          <w:rFonts w:eastAsia="Times New Roman"/>
        </w:rPr>
        <w:t xml:space="preserve"> society</w:t>
      </w:r>
      <w:r w:rsidR="00865655" w:rsidRPr="00B46D52">
        <w:rPr>
          <w:rFonts w:eastAsia="Times New Roman"/>
        </w:rPr>
        <w:t>’</w:t>
      </w:r>
      <w:r w:rsidR="009A74AA" w:rsidRPr="00B46D52">
        <w:rPr>
          <w:rFonts w:eastAsia="Times New Roman"/>
        </w:rPr>
        <w:t xml:space="preserve"> and at</w:t>
      </w:r>
      <w:r w:rsidR="00526F67" w:rsidRPr="00B46D52">
        <w:rPr>
          <w:rFonts w:eastAsia="Times New Roman"/>
        </w:rPr>
        <w:t xml:space="preserve"> </w:t>
      </w:r>
      <w:r w:rsidR="009A74AA" w:rsidRPr="00B46D52">
        <w:rPr>
          <w:rFonts w:eastAsia="Times New Roman"/>
        </w:rPr>
        <w:t>s 11</w:t>
      </w:r>
      <w:r w:rsidR="00526F67" w:rsidRPr="00B46D52">
        <w:rPr>
          <w:rFonts w:eastAsia="Times New Roman"/>
        </w:rPr>
        <w:t xml:space="preserve">(2) </w:t>
      </w:r>
      <w:r w:rsidR="00865655" w:rsidRPr="00B46D52">
        <w:rPr>
          <w:rFonts w:eastAsia="Times New Roman"/>
        </w:rPr>
        <w:t>‘</w:t>
      </w:r>
      <w:r w:rsidR="00526F67" w:rsidRPr="00B46D52">
        <w:rPr>
          <w:rFonts w:eastAsia="Times New Roman"/>
        </w:rPr>
        <w:t>Every child has the right to the protection needed by the child because of being a child, without distinction or discrimination of any kind</w:t>
      </w:r>
      <w:r w:rsidR="00865655" w:rsidRPr="00B46D52">
        <w:rPr>
          <w:rFonts w:eastAsia="Times New Roman"/>
        </w:rPr>
        <w:t>’</w:t>
      </w:r>
      <w:r w:rsidR="00526F67" w:rsidRPr="00B46D52">
        <w:rPr>
          <w:rFonts w:eastAsia="Times New Roman"/>
        </w:rPr>
        <w:t xml:space="preserve">. </w:t>
      </w:r>
    </w:p>
    <w:p w14:paraId="236CA6C9" w14:textId="3FD3C36E" w:rsidR="00DA650E" w:rsidRPr="001D714C" w:rsidRDefault="00495A25" w:rsidP="00B37015">
      <w:r w:rsidRPr="00B46D52">
        <w:rPr>
          <w:rFonts w:eastAsia="Times New Roman"/>
        </w:rPr>
        <w:t>This Bill</w:t>
      </w:r>
      <w:r w:rsidR="004D08C6" w:rsidRPr="00B46D52">
        <w:rPr>
          <w:rFonts w:eastAsia="Times New Roman"/>
        </w:rPr>
        <w:t xml:space="preserve"> holds organisations</w:t>
      </w:r>
      <w:r w:rsidR="00D11BF3" w:rsidRPr="00B46D52">
        <w:rPr>
          <w:rFonts w:eastAsia="Times New Roman"/>
        </w:rPr>
        <w:t xml:space="preserve"> vicariously liable for the abuse of children by people </w:t>
      </w:r>
      <w:r w:rsidR="00016556" w:rsidRPr="00B46D52">
        <w:rPr>
          <w:rFonts w:eastAsia="Times New Roman"/>
        </w:rPr>
        <w:t>akin to an employee of the organisation</w:t>
      </w:r>
      <w:r w:rsidR="00F73A81" w:rsidRPr="00B46D52">
        <w:rPr>
          <w:rFonts w:eastAsia="Times New Roman"/>
        </w:rPr>
        <w:t xml:space="preserve"> or </w:t>
      </w:r>
      <w:r w:rsidR="00016556" w:rsidRPr="00B46D52">
        <w:rPr>
          <w:rFonts w:eastAsia="Times New Roman"/>
        </w:rPr>
        <w:t>associated with the organisation</w:t>
      </w:r>
      <w:r w:rsidR="00F73A81" w:rsidRPr="00B46D52">
        <w:rPr>
          <w:rFonts w:eastAsia="Times New Roman"/>
        </w:rPr>
        <w:t>.</w:t>
      </w:r>
      <w:r w:rsidR="00B50E21" w:rsidRPr="00B46D52">
        <w:rPr>
          <w:rFonts w:eastAsia="Times New Roman"/>
        </w:rPr>
        <w:t xml:space="preserve"> The Bill recognises that children are especially vulnerable to abuse and need to be afforded the strongest possible protection, particula</w:t>
      </w:r>
      <w:r w:rsidR="00B50E21">
        <w:t>rly by those entrusted with their care.</w:t>
      </w:r>
      <w:r w:rsidR="009A1012">
        <w:t xml:space="preserve"> This Bill also recognises the need to r</w:t>
      </w:r>
      <w:r w:rsidR="00D77756">
        <w:t>emedy</w:t>
      </w:r>
      <w:r w:rsidR="009A1012">
        <w:t xml:space="preserve"> limitations in </w:t>
      </w:r>
      <w:r w:rsidR="00A23259">
        <w:t xml:space="preserve">existing law </w:t>
      </w:r>
      <w:r w:rsidR="00D77756">
        <w:t>(</w:t>
      </w:r>
      <w:r w:rsidR="00A23259">
        <w:t>particularly as a result of Bird v DP</w:t>
      </w:r>
      <w:r w:rsidR="00D77756">
        <w:t xml:space="preserve">) </w:t>
      </w:r>
      <w:r w:rsidR="00A23259">
        <w:t>and the difficulties plai</w:t>
      </w:r>
      <w:r w:rsidR="00D77756">
        <w:t xml:space="preserve">ntiffs face when </w:t>
      </w:r>
      <w:r w:rsidR="00865655">
        <w:t xml:space="preserve">holding organisations to account for </w:t>
      </w:r>
      <w:r w:rsidR="006338BA">
        <w:t>child abuse committed by</w:t>
      </w:r>
      <w:r w:rsidR="00B05A21">
        <w:t xml:space="preserve"> people acting in roles akin to employment or who were associated with the organisation. </w:t>
      </w:r>
      <w:r w:rsidR="000407E3">
        <w:t xml:space="preserve">The Bill supports the right of protection of children under </w:t>
      </w:r>
      <w:r w:rsidR="001D714C">
        <w:t xml:space="preserve">a 11(2) of the Human Rights Act. </w:t>
      </w:r>
    </w:p>
    <w:p w14:paraId="2CFDA815" w14:textId="0B0D9729" w:rsidR="008215FF" w:rsidRPr="00B5542A" w:rsidRDefault="00B5542A" w:rsidP="00B37015">
      <w:pPr>
        <w:rPr>
          <w:u w:val="single"/>
        </w:rPr>
      </w:pPr>
      <w:r w:rsidRPr="00B5542A">
        <w:rPr>
          <w:u w:val="single"/>
        </w:rPr>
        <w:t>C</w:t>
      </w:r>
      <w:r w:rsidR="008215FF" w:rsidRPr="00B5542A">
        <w:rPr>
          <w:u w:val="single"/>
        </w:rPr>
        <w:t xml:space="preserve">lause by clause </w:t>
      </w:r>
    </w:p>
    <w:p w14:paraId="017F3426" w14:textId="5A9CD49E" w:rsidR="00FD063A" w:rsidRPr="00FD063A" w:rsidRDefault="005B1D18" w:rsidP="00D536EE">
      <w:pPr>
        <w:spacing w:after="0" w:line="240" w:lineRule="auto"/>
        <w:rPr>
          <w:u w:val="single"/>
        </w:rPr>
      </w:pPr>
      <w:r>
        <w:rPr>
          <w:u w:val="single"/>
        </w:rPr>
        <w:t xml:space="preserve">Clause </w:t>
      </w:r>
      <w:r w:rsidR="00FD063A" w:rsidRPr="00FD063A">
        <w:rPr>
          <w:u w:val="single"/>
        </w:rPr>
        <w:t>1</w:t>
      </w:r>
      <w:r>
        <w:rPr>
          <w:u w:val="single"/>
        </w:rPr>
        <w:t xml:space="preserve"> -</w:t>
      </w:r>
      <w:r w:rsidR="00FD063A" w:rsidRPr="00FD063A">
        <w:rPr>
          <w:u w:val="single"/>
        </w:rPr>
        <w:t xml:space="preserve"> Name of Act</w:t>
      </w:r>
    </w:p>
    <w:p w14:paraId="0DB7A474" w14:textId="77777777" w:rsidR="00FD063A" w:rsidRDefault="00FD063A" w:rsidP="00D536EE">
      <w:pPr>
        <w:spacing w:after="0" w:line="240" w:lineRule="auto"/>
      </w:pPr>
      <w:r>
        <w:t xml:space="preserve">This Act is the Civil Law (Wrongs) (Organisational Child Abuse Liability) Amendment Act 2025. </w:t>
      </w:r>
    </w:p>
    <w:p w14:paraId="2327607B" w14:textId="77777777" w:rsidR="00FD063A" w:rsidRDefault="00FD063A" w:rsidP="00D536EE">
      <w:pPr>
        <w:spacing w:after="0" w:line="240" w:lineRule="auto"/>
      </w:pPr>
    </w:p>
    <w:p w14:paraId="61720278" w14:textId="7F7858E5" w:rsidR="00FD063A" w:rsidRPr="00FD063A" w:rsidRDefault="005B1D18" w:rsidP="00D536EE">
      <w:pPr>
        <w:spacing w:after="0" w:line="240" w:lineRule="auto"/>
        <w:rPr>
          <w:u w:val="single"/>
        </w:rPr>
      </w:pPr>
      <w:r>
        <w:rPr>
          <w:u w:val="single"/>
        </w:rPr>
        <w:t xml:space="preserve">Clause </w:t>
      </w:r>
      <w:r w:rsidR="00FD063A" w:rsidRPr="00FD063A">
        <w:rPr>
          <w:u w:val="single"/>
        </w:rPr>
        <w:t xml:space="preserve">2 </w:t>
      </w:r>
      <w:r>
        <w:rPr>
          <w:u w:val="single"/>
        </w:rPr>
        <w:t xml:space="preserve">- </w:t>
      </w:r>
      <w:r w:rsidR="00FD063A" w:rsidRPr="00FD063A">
        <w:rPr>
          <w:u w:val="single"/>
        </w:rPr>
        <w:t xml:space="preserve">Commencement </w:t>
      </w:r>
    </w:p>
    <w:p w14:paraId="17886DA3" w14:textId="36D18680" w:rsidR="00FD063A" w:rsidRDefault="00FD063A" w:rsidP="00D536EE">
      <w:pPr>
        <w:spacing w:after="0" w:line="240" w:lineRule="auto"/>
      </w:pPr>
      <w:r>
        <w:t xml:space="preserve">This Act commences on the day after its notification day. </w:t>
      </w:r>
    </w:p>
    <w:p w14:paraId="0244F298" w14:textId="77777777" w:rsidR="00FD063A" w:rsidRDefault="00FD063A" w:rsidP="00D536EE">
      <w:pPr>
        <w:spacing w:after="0" w:line="240" w:lineRule="auto"/>
      </w:pPr>
    </w:p>
    <w:p w14:paraId="36877481" w14:textId="168B47AB" w:rsidR="00FD063A" w:rsidRPr="00FD063A" w:rsidRDefault="005B1D18" w:rsidP="00D536EE">
      <w:pPr>
        <w:spacing w:after="0" w:line="240" w:lineRule="auto"/>
        <w:rPr>
          <w:u w:val="single"/>
        </w:rPr>
      </w:pPr>
      <w:r>
        <w:rPr>
          <w:u w:val="single"/>
        </w:rPr>
        <w:t xml:space="preserve">Clause </w:t>
      </w:r>
      <w:r w:rsidR="00FD063A" w:rsidRPr="00FD063A">
        <w:rPr>
          <w:u w:val="single"/>
        </w:rPr>
        <w:t xml:space="preserve">3 </w:t>
      </w:r>
      <w:r>
        <w:rPr>
          <w:u w:val="single"/>
        </w:rPr>
        <w:t xml:space="preserve">- </w:t>
      </w:r>
      <w:r w:rsidR="00FD063A" w:rsidRPr="00FD063A">
        <w:rPr>
          <w:u w:val="single"/>
        </w:rPr>
        <w:t xml:space="preserve">Legislation amended </w:t>
      </w:r>
    </w:p>
    <w:p w14:paraId="78600D6C" w14:textId="77777777" w:rsidR="00FD063A" w:rsidRDefault="00FD063A" w:rsidP="00D536EE">
      <w:pPr>
        <w:spacing w:after="0" w:line="240" w:lineRule="auto"/>
      </w:pPr>
      <w:r>
        <w:t xml:space="preserve">This Act amends the Civil Law (Wrongs) Act 2002. </w:t>
      </w:r>
    </w:p>
    <w:p w14:paraId="66DDA33A" w14:textId="77777777" w:rsidR="00FD063A" w:rsidRDefault="00FD063A" w:rsidP="00D536EE">
      <w:pPr>
        <w:spacing w:after="0" w:line="240" w:lineRule="auto"/>
      </w:pPr>
    </w:p>
    <w:p w14:paraId="43693493" w14:textId="725E62F6" w:rsidR="00E46796" w:rsidRPr="00E46796" w:rsidRDefault="005B1D18" w:rsidP="00D536EE">
      <w:pPr>
        <w:spacing w:after="0" w:line="240" w:lineRule="auto"/>
        <w:rPr>
          <w:u w:val="single"/>
        </w:rPr>
      </w:pPr>
      <w:r>
        <w:rPr>
          <w:u w:val="single"/>
        </w:rPr>
        <w:t xml:space="preserve">Clause </w:t>
      </w:r>
      <w:r w:rsidR="00FD063A" w:rsidRPr="00E46796">
        <w:rPr>
          <w:u w:val="single"/>
        </w:rPr>
        <w:t xml:space="preserve">4 </w:t>
      </w:r>
      <w:r>
        <w:rPr>
          <w:u w:val="single"/>
        </w:rPr>
        <w:t xml:space="preserve">- </w:t>
      </w:r>
      <w:r w:rsidR="00FD063A" w:rsidRPr="00E46796">
        <w:rPr>
          <w:u w:val="single"/>
        </w:rPr>
        <w:t xml:space="preserve">New </w:t>
      </w:r>
      <w:r>
        <w:rPr>
          <w:u w:val="single"/>
        </w:rPr>
        <w:t>P</w:t>
      </w:r>
      <w:r w:rsidR="00FD063A" w:rsidRPr="00E46796">
        <w:rPr>
          <w:u w:val="single"/>
        </w:rPr>
        <w:t xml:space="preserve">art 8A.1A </w:t>
      </w:r>
    </w:p>
    <w:p w14:paraId="0BB22FD8" w14:textId="26833DAE" w:rsidR="00E46796" w:rsidRDefault="00DC74FA" w:rsidP="00D536EE">
      <w:pPr>
        <w:spacing w:after="0" w:line="240" w:lineRule="auto"/>
      </w:pPr>
      <w:r>
        <w:t xml:space="preserve">This clause </w:t>
      </w:r>
      <w:r w:rsidR="00FD063A">
        <w:t>insert</w:t>
      </w:r>
      <w:r>
        <w:t>s a new</w:t>
      </w:r>
      <w:r w:rsidR="00FD063A">
        <w:t xml:space="preserve"> Part 8A.1A </w:t>
      </w:r>
      <w:r>
        <w:t xml:space="preserve">- </w:t>
      </w:r>
      <w:r w:rsidR="00FD063A">
        <w:t>Liability of organisations</w:t>
      </w:r>
      <w:r>
        <w:t>.</w:t>
      </w:r>
    </w:p>
    <w:p w14:paraId="79E0B04F" w14:textId="38299E6C" w:rsidR="002E5C64" w:rsidRDefault="002E5C64" w:rsidP="00D536EE">
      <w:pPr>
        <w:spacing w:after="0" w:line="240" w:lineRule="auto"/>
      </w:pPr>
    </w:p>
    <w:p w14:paraId="66B454AE" w14:textId="3D61507E" w:rsidR="00861B82" w:rsidRDefault="00BB4536" w:rsidP="00323E6F">
      <w:pPr>
        <w:spacing w:after="0" w:line="240" w:lineRule="auto"/>
      </w:pPr>
      <w:r>
        <w:t>T</w:t>
      </w:r>
      <w:r w:rsidR="002E5C64">
        <w:t>h</w:t>
      </w:r>
      <w:r w:rsidR="00323E6F">
        <w:t xml:space="preserve">ese </w:t>
      </w:r>
      <w:r w:rsidR="00C677C6">
        <w:t>additions</w:t>
      </w:r>
      <w:r w:rsidR="00530538">
        <w:t xml:space="preserve"> </w:t>
      </w:r>
      <w:r w:rsidR="00AC448D">
        <w:t xml:space="preserve">fall </w:t>
      </w:r>
      <w:r w:rsidR="002E5C64">
        <w:t xml:space="preserve">into </w:t>
      </w:r>
      <w:r>
        <w:t>Chapter 8.</w:t>
      </w:r>
      <w:r w:rsidR="00FD24EA" w:rsidRPr="00FD24EA">
        <w:t xml:space="preserve"> </w:t>
      </w:r>
      <w:r w:rsidR="00FD24EA">
        <w:t xml:space="preserve">The definition of </w:t>
      </w:r>
      <w:r w:rsidR="004271AC">
        <w:t>‘</w:t>
      </w:r>
      <w:r w:rsidR="00FD24EA">
        <w:t>child abus</w:t>
      </w:r>
      <w:r w:rsidR="00540EB8">
        <w:t>e</w:t>
      </w:r>
      <w:r w:rsidR="00FD24EA">
        <w:t>" in s 114AA</w:t>
      </w:r>
      <w:r>
        <w:t xml:space="preserve"> means that </w:t>
      </w:r>
      <w:r w:rsidR="00E74A05">
        <w:t xml:space="preserve">the </w:t>
      </w:r>
      <w:r w:rsidR="00C677C6">
        <w:t>Act</w:t>
      </w:r>
      <w:r w:rsidR="00E74A05">
        <w:t xml:space="preserve"> applies to all forms of child abuse </w:t>
      </w:r>
      <w:r w:rsidR="00D919A0">
        <w:t>which includes</w:t>
      </w:r>
      <w:r w:rsidR="00E74A05">
        <w:t xml:space="preserve"> physical and sexual abuse. </w:t>
      </w:r>
    </w:p>
    <w:p w14:paraId="36029775" w14:textId="77777777" w:rsidR="00861B82" w:rsidRDefault="00861B82" w:rsidP="00323E6F">
      <w:pPr>
        <w:spacing w:after="0" w:line="240" w:lineRule="auto"/>
      </w:pPr>
    </w:p>
    <w:p w14:paraId="2794EBE8" w14:textId="45DCF5D2" w:rsidR="00016ED7" w:rsidRDefault="003D7B33" w:rsidP="00323E6F">
      <w:pPr>
        <w:spacing w:after="0" w:line="240" w:lineRule="auto"/>
      </w:pPr>
      <w:r>
        <w:t xml:space="preserve">The </w:t>
      </w:r>
      <w:r w:rsidR="00530538">
        <w:t xml:space="preserve">amendments </w:t>
      </w:r>
      <w:r w:rsidR="003A5FDD">
        <w:t>cover</w:t>
      </w:r>
      <w:r w:rsidR="007C470A">
        <w:t xml:space="preserve"> historical child abuse</w:t>
      </w:r>
      <w:r w:rsidR="00D21A40">
        <w:t>,</w:t>
      </w:r>
      <w:r w:rsidR="00530538">
        <w:t xml:space="preserve"> civil proceedings started af</w:t>
      </w:r>
      <w:r w:rsidR="00C773BD">
        <w:t>ter the commencement of the amending Act</w:t>
      </w:r>
      <w:r w:rsidR="00323E6F">
        <w:t xml:space="preserve"> </w:t>
      </w:r>
      <w:r w:rsidR="008B10A0">
        <w:t>a</w:t>
      </w:r>
      <w:r w:rsidR="00DC74FA">
        <w:t>nd proceedings that have not yet finished at the time of the commencement of the amending Act</w:t>
      </w:r>
      <w:r w:rsidR="008B10A0">
        <w:t xml:space="preserve">. This is </w:t>
      </w:r>
      <w:r w:rsidR="00F923DE">
        <w:t>because s114BA applies</w:t>
      </w:r>
      <w:r w:rsidR="00D9552B">
        <w:t xml:space="preserve"> which sets out that</w:t>
      </w:r>
      <w:r w:rsidR="008B10A0">
        <w:t xml:space="preserve"> ‘This chapter applies in relation to child abuse or alleged child abuse of a person who is the subject of a child abuse claim, regardless of when the abuse or the alleged abuse happened.’</w:t>
      </w:r>
      <w:r w:rsidR="00861B82">
        <w:t xml:space="preserve"> </w:t>
      </w:r>
      <w:r w:rsidR="00D9552B">
        <w:t>For clarity, the A</w:t>
      </w:r>
      <w:r w:rsidR="00343E82">
        <w:t>ct</w:t>
      </w:r>
      <w:r w:rsidR="00861B82">
        <w:t xml:space="preserve"> is intended to operate retrospectively.</w:t>
      </w:r>
      <w:r w:rsidR="002B242A">
        <w:t xml:space="preserve"> </w:t>
      </w:r>
    </w:p>
    <w:p w14:paraId="59480107" w14:textId="67AB2411" w:rsidR="00420BB4" w:rsidRDefault="00420BB4" w:rsidP="00323E6F">
      <w:pPr>
        <w:spacing w:after="0" w:line="240" w:lineRule="auto"/>
      </w:pPr>
    </w:p>
    <w:p w14:paraId="27421533" w14:textId="052954D5" w:rsidR="00041253" w:rsidRDefault="00256124" w:rsidP="00323E6F">
      <w:pPr>
        <w:spacing w:after="0" w:line="240" w:lineRule="auto"/>
      </w:pPr>
      <w:r>
        <w:lastRenderedPageBreak/>
        <w:t>There are three d</w:t>
      </w:r>
      <w:r w:rsidR="00041253">
        <w:t xml:space="preserve">efinitions </w:t>
      </w:r>
      <w:r w:rsidR="00747C56">
        <w:t xml:space="preserve">for the new Part 8A.1A </w:t>
      </w:r>
      <w:r>
        <w:t xml:space="preserve">which </w:t>
      </w:r>
      <w:r w:rsidR="00041253">
        <w:t xml:space="preserve">are set out in new s 114BB. </w:t>
      </w:r>
      <w:r w:rsidR="00747C56">
        <w:t>Firs</w:t>
      </w:r>
      <w:r w:rsidR="00343E82">
        <w:t>tly</w:t>
      </w:r>
      <w:r w:rsidR="00376C35">
        <w:t>,</w:t>
      </w:r>
      <w:r w:rsidR="00B45778">
        <w:t xml:space="preserve"> to define</w:t>
      </w:r>
      <w:r w:rsidR="00343E82">
        <w:t xml:space="preserve"> </w:t>
      </w:r>
      <w:r w:rsidR="004271AC">
        <w:t>‘</w:t>
      </w:r>
      <w:r w:rsidR="004271AC" w:rsidRPr="00CE54AF">
        <w:rPr>
          <w:i/>
          <w:iCs/>
        </w:rPr>
        <w:t>employee</w:t>
      </w:r>
      <w:r w:rsidR="00944759">
        <w:t xml:space="preserve"> of </w:t>
      </w:r>
      <w:r w:rsidR="00CE54AF">
        <w:t xml:space="preserve">an organisation’ </w:t>
      </w:r>
      <w:r w:rsidR="00B45778">
        <w:t xml:space="preserve">the reader is referred to s 114BC. This will be covered in detail </w:t>
      </w:r>
      <w:r w:rsidR="00281690">
        <w:t>below.</w:t>
      </w:r>
      <w:r w:rsidR="00B45778">
        <w:t xml:space="preserve"> Secondly, </w:t>
      </w:r>
      <w:r w:rsidR="00010046">
        <w:t>‘</w:t>
      </w:r>
      <w:r w:rsidR="00B45778" w:rsidRPr="00010046">
        <w:rPr>
          <w:i/>
          <w:iCs/>
        </w:rPr>
        <w:t>organisation</w:t>
      </w:r>
      <w:r w:rsidR="00376C35">
        <w:t xml:space="preserve">’ is defined non-exhaustively as it ‘includes’ </w:t>
      </w:r>
      <w:r w:rsidR="0043690E">
        <w:t>an administrative unit, a territory authority and an unincorporated body</w:t>
      </w:r>
      <w:r w:rsidR="00116D32">
        <w:t xml:space="preserve">. </w:t>
      </w:r>
      <w:r w:rsidR="0056746E">
        <w:t>It should not be limited to those</w:t>
      </w:r>
      <w:r w:rsidR="00116BB1">
        <w:t xml:space="preserve"> entities</w:t>
      </w:r>
      <w:r w:rsidR="0056746E">
        <w:t xml:space="preserve"> </w:t>
      </w:r>
      <w:r w:rsidR="001E11CE">
        <w:t>identified</w:t>
      </w:r>
      <w:r w:rsidR="000839B8">
        <w:t>.</w:t>
      </w:r>
      <w:r w:rsidR="001E11CE">
        <w:t xml:space="preserve"> </w:t>
      </w:r>
      <w:r w:rsidR="00116D32">
        <w:t>The third and final definition of the Act is</w:t>
      </w:r>
      <w:r w:rsidR="0043690E">
        <w:t xml:space="preserve"> </w:t>
      </w:r>
      <w:r w:rsidR="00116D32">
        <w:t>‘</w:t>
      </w:r>
      <w:r w:rsidR="0043690E" w:rsidRPr="00010046">
        <w:rPr>
          <w:i/>
          <w:iCs/>
        </w:rPr>
        <w:t>responsible</w:t>
      </w:r>
      <w:r w:rsidR="00E645D8">
        <w:t>,</w:t>
      </w:r>
      <w:r w:rsidR="0043690E">
        <w:t xml:space="preserve"> for a child</w:t>
      </w:r>
      <w:r w:rsidR="00E645D8">
        <w:t xml:space="preserve">’ which </w:t>
      </w:r>
      <w:r w:rsidR="000839B8">
        <w:t xml:space="preserve">refers </w:t>
      </w:r>
      <w:r w:rsidR="00E645D8">
        <w:t xml:space="preserve">the reader to new section 114BD, which will also be covered in detail </w:t>
      </w:r>
      <w:r w:rsidR="00A32D4F">
        <w:t>below</w:t>
      </w:r>
      <w:r w:rsidR="00E645D8">
        <w:t>.</w:t>
      </w:r>
    </w:p>
    <w:p w14:paraId="6C4415EE" w14:textId="77777777" w:rsidR="008A2B42" w:rsidRDefault="008A2B42" w:rsidP="00323E6F">
      <w:pPr>
        <w:spacing w:after="0" w:line="240" w:lineRule="auto"/>
      </w:pPr>
    </w:p>
    <w:p w14:paraId="1AC73EB8" w14:textId="77777777" w:rsidR="00B43048" w:rsidRDefault="00005DA9" w:rsidP="00D536EE">
      <w:pPr>
        <w:spacing w:after="0" w:line="240" w:lineRule="auto"/>
      </w:pPr>
      <w:r>
        <w:t>The meaning of ‘employee</w:t>
      </w:r>
      <w:r w:rsidR="00413C9D">
        <w:t xml:space="preserve">’ </w:t>
      </w:r>
      <w:r w:rsidR="005618AE">
        <w:t>for Part 8A.1A</w:t>
      </w:r>
      <w:r>
        <w:t xml:space="preserve"> is set out in s 114BC.</w:t>
      </w:r>
      <w:r w:rsidR="00413C9D">
        <w:t xml:space="preserve"> </w:t>
      </w:r>
      <w:r w:rsidR="00275AC7">
        <w:t>An employee of an organisation includes an individual who</w:t>
      </w:r>
      <w:r w:rsidR="00A22AF2" w:rsidRPr="00A22AF2">
        <w:t xml:space="preserve"> is akin to an employee of the organisation</w:t>
      </w:r>
      <w:r w:rsidR="00DF4017">
        <w:t xml:space="preserve">. </w:t>
      </w:r>
      <w:r w:rsidR="00856E6D">
        <w:t xml:space="preserve">As set out in s 114BC(2) </w:t>
      </w:r>
      <w:r w:rsidR="00DD4EA2">
        <w:t>a person is akin to an employee of an organisation if the individual carries out activities that are (a) part of the ordinary activities carried out by the organisation and (b) for the benefit of the organisation.</w:t>
      </w:r>
      <w:r w:rsidR="00F661CC">
        <w:t xml:space="preserve"> </w:t>
      </w:r>
    </w:p>
    <w:p w14:paraId="563721BC" w14:textId="77777777" w:rsidR="00B43048" w:rsidRDefault="00B43048" w:rsidP="00D536EE">
      <w:pPr>
        <w:spacing w:after="0" w:line="240" w:lineRule="auto"/>
      </w:pPr>
    </w:p>
    <w:p w14:paraId="5216D108" w14:textId="200EF8B2" w:rsidR="00413C9D" w:rsidRDefault="00F31031" w:rsidP="00D536EE">
      <w:pPr>
        <w:spacing w:after="0" w:line="240" w:lineRule="auto"/>
      </w:pPr>
      <w:r>
        <w:t>S 114BC</w:t>
      </w:r>
      <w:r w:rsidR="00F661CC">
        <w:t xml:space="preserve">(1) </w:t>
      </w:r>
      <w:r w:rsidR="00413C9D">
        <w:t xml:space="preserve">is not exhaustive because it </w:t>
      </w:r>
      <w:r w:rsidR="00413C9D" w:rsidRPr="04A7A528">
        <w:rPr>
          <w:i/>
          <w:iCs/>
        </w:rPr>
        <w:t xml:space="preserve">includes </w:t>
      </w:r>
      <w:r w:rsidR="00413C9D">
        <w:t>rather than limits</w:t>
      </w:r>
      <w:r w:rsidR="00275AC7">
        <w:t xml:space="preserve">. </w:t>
      </w:r>
      <w:r w:rsidR="008720F1">
        <w:t xml:space="preserve">‘Activities’ </w:t>
      </w:r>
      <w:r w:rsidR="00B43048">
        <w:t xml:space="preserve">has a wider meaning than for example the word ‘business’ and </w:t>
      </w:r>
      <w:r w:rsidR="008720F1">
        <w:t xml:space="preserve">should be </w:t>
      </w:r>
      <w:r w:rsidR="00110005">
        <w:t>interpreted broadly</w:t>
      </w:r>
      <w:r w:rsidR="002D426C">
        <w:t>. T</w:t>
      </w:r>
      <w:r w:rsidR="006D3473">
        <w:t xml:space="preserve">he word is not ‘business’ </w:t>
      </w:r>
      <w:r w:rsidR="00FF11F7">
        <w:t>as that</w:t>
      </w:r>
      <w:r w:rsidR="006D3473">
        <w:t xml:space="preserve"> </w:t>
      </w:r>
      <w:r w:rsidR="00C52234">
        <w:t>may carry profit connotations which does not suit all of the institutions s11</w:t>
      </w:r>
      <w:r w:rsidR="63001C13">
        <w:t>4</w:t>
      </w:r>
      <w:r w:rsidR="00C52234">
        <w:t>BC should cover such as sporting institutions, Scouts and the like.</w:t>
      </w:r>
      <w:r w:rsidR="007479D4">
        <w:t xml:space="preserve"> It is not ‘duties’ which suggests action required by one’s position or occupation</w:t>
      </w:r>
      <w:r w:rsidR="00311ECF">
        <w:t xml:space="preserve">, office, </w:t>
      </w:r>
      <w:r w:rsidR="002D20DC">
        <w:t xml:space="preserve">or </w:t>
      </w:r>
      <w:r w:rsidR="00311ECF">
        <w:t>function</w:t>
      </w:r>
      <w:r w:rsidR="002D20DC">
        <w:t xml:space="preserve"> like the duties of a soldier</w:t>
      </w:r>
      <w:r w:rsidR="00FF11F7">
        <w:t xml:space="preserve"> or a clergyman. </w:t>
      </w:r>
      <w:r w:rsidR="00CD430D">
        <w:t xml:space="preserve">The certain formalities of particular roles is already captured by the plain and ordinary meaning of ‘employee’ and the purpose of this section is to include people </w:t>
      </w:r>
      <w:r w:rsidR="007F3BA9">
        <w:t>in, for example, volunteer roles.</w:t>
      </w:r>
      <w:r w:rsidR="004871AF">
        <w:t xml:space="preserve"> </w:t>
      </w:r>
      <w:r w:rsidR="00DF252C">
        <w:t>‘</w:t>
      </w:r>
      <w:r w:rsidR="004871AF">
        <w:t>A</w:t>
      </w:r>
      <w:r w:rsidR="00DF252C">
        <w:t>ctivities’ is more inclusive to th</w:t>
      </w:r>
      <w:r w:rsidR="00627725">
        <w:t>e</w:t>
      </w:r>
      <w:r w:rsidR="00DF252C">
        <w:t xml:space="preserve"> institutions that will be </w:t>
      </w:r>
      <w:r w:rsidR="00627725">
        <w:t>covered</w:t>
      </w:r>
      <w:r w:rsidR="00DF252C">
        <w:t xml:space="preserve"> by these provisions.</w:t>
      </w:r>
    </w:p>
    <w:p w14:paraId="2D2F7359" w14:textId="77777777" w:rsidR="00982AF5" w:rsidRDefault="00982AF5" w:rsidP="00D536EE">
      <w:pPr>
        <w:spacing w:after="0" w:line="240" w:lineRule="auto"/>
      </w:pPr>
    </w:p>
    <w:p w14:paraId="29CC9096" w14:textId="31AF6C16" w:rsidR="00115843" w:rsidRDefault="00F77CA2" w:rsidP="00115843">
      <w:pPr>
        <w:spacing w:after="0" w:line="240" w:lineRule="auto"/>
      </w:pPr>
      <w:r>
        <w:t>A</w:t>
      </w:r>
      <w:r w:rsidR="00161146">
        <w:t>n employee of an organisation includes an individual who is associated with the organisation (</w:t>
      </w:r>
      <w:r>
        <w:t>s 114BC(1</w:t>
      </w:r>
      <w:r w:rsidR="00B21376">
        <w:t>)(</w:t>
      </w:r>
      <w:r>
        <w:t>b)</w:t>
      </w:r>
      <w:r w:rsidR="00B21376">
        <w:t>)</w:t>
      </w:r>
      <w:r>
        <w:t>.</w:t>
      </w:r>
      <w:r w:rsidR="00FE78EF">
        <w:t xml:space="preserve"> This is </w:t>
      </w:r>
      <w:r w:rsidR="00D773AE">
        <w:t>laid out in</w:t>
      </w:r>
      <w:r w:rsidR="00FE78EF">
        <w:t xml:space="preserve"> </w:t>
      </w:r>
      <w:r>
        <w:t>s 114BC</w:t>
      </w:r>
      <w:r w:rsidR="00566DF7">
        <w:t>(3)</w:t>
      </w:r>
      <w:r w:rsidR="00D773AE">
        <w:t xml:space="preserve"> where</w:t>
      </w:r>
      <w:r w:rsidR="00566DF7">
        <w:t xml:space="preserve"> </w:t>
      </w:r>
      <w:r w:rsidR="00E50046">
        <w:t xml:space="preserve">an individual associated with an organisation </w:t>
      </w:r>
      <w:r w:rsidR="00566DF7">
        <w:t>includes</w:t>
      </w:r>
      <w:r w:rsidR="006D2D0A">
        <w:t xml:space="preserve"> </w:t>
      </w:r>
      <w:r w:rsidR="00E50046">
        <w:t>(a) an office holder, officer, owner, volunteer or contractor of the organisation</w:t>
      </w:r>
      <w:r w:rsidR="00115843">
        <w:t>. In relation to the inclusion of contractors, it is noted there is a difference between an ‘independent contractor’ (who is properly excluded from vicarious liability for the reasons articulated by both the majority judgment and by Gleeson J) and a (small ‘c’) ‘contractor’ who may fit the definition of an ‘employee’ either directly or by being in a position ‘akin’ to an employee by virtue of having the characteristics of such individuals in this relationship (for example, by being under the control of the employer/organisation, their work being sufficiently integrated into the work of the employer/organisation), and other characteristics for example subservience and dependence (see generally the judgment of Gleeson J in Bird).</w:t>
      </w:r>
    </w:p>
    <w:p w14:paraId="2194323A" w14:textId="77777777" w:rsidR="006D2D0A" w:rsidRDefault="006D2D0A" w:rsidP="00982AF5">
      <w:pPr>
        <w:spacing w:after="0" w:line="240" w:lineRule="auto"/>
      </w:pPr>
    </w:p>
    <w:p w14:paraId="4B95FCF9" w14:textId="31B68EE9" w:rsidR="003A0E37" w:rsidRDefault="00115843" w:rsidP="00C35B92">
      <w:pPr>
        <w:spacing w:after="0" w:line="240" w:lineRule="auto"/>
      </w:pPr>
      <w:r>
        <w:t>An employee of an organisation</w:t>
      </w:r>
      <w:r w:rsidR="0022169A">
        <w:t xml:space="preserve"> also</w:t>
      </w:r>
      <w:r>
        <w:t xml:space="preserve"> includes an individual who is associated with the organisation</w:t>
      </w:r>
      <w:r w:rsidR="00C35B92">
        <w:t>,</w:t>
      </w:r>
      <w:r w:rsidR="0022169A">
        <w:t xml:space="preserve"> if the organisation is a religious organisation—a religious leader, such as a priest or minister, or other member of the personnel of the organisation, whether or not the individual is ordained</w:t>
      </w:r>
      <w:r>
        <w:t xml:space="preserve"> </w:t>
      </w:r>
      <w:r w:rsidR="00C35B92">
        <w:t>(</w:t>
      </w:r>
      <w:r>
        <w:t>s 114BC(3)</w:t>
      </w:r>
      <w:r w:rsidR="0022169A">
        <w:t>(b)</w:t>
      </w:r>
      <w:r w:rsidR="00C35B92">
        <w:t>). I</w:t>
      </w:r>
      <w:r w:rsidR="003A0E37">
        <w:t>t is reasonable to say generally that:</w:t>
      </w:r>
    </w:p>
    <w:p w14:paraId="5416BF49" w14:textId="77777777" w:rsidR="003A0E37" w:rsidRDefault="003A0E37" w:rsidP="003A0E37">
      <w:pPr>
        <w:pStyle w:val="ListParagraph"/>
        <w:numPr>
          <w:ilvl w:val="0"/>
          <w:numId w:val="8"/>
        </w:numPr>
        <w:spacing w:after="0" w:line="240" w:lineRule="auto"/>
        <w:ind w:left="720"/>
        <w:contextualSpacing w:val="0"/>
        <w:rPr>
          <w:rFonts w:eastAsia="Times New Roman"/>
        </w:rPr>
      </w:pPr>
      <w:r>
        <w:rPr>
          <w:rFonts w:eastAsia="Times New Roman"/>
        </w:rPr>
        <w:t>Ordained individuals are those who have been formally or officially appointed as a member of the clergy, usually through a recognised ceremony. This category includes people like bishops, priests, and deacons.</w:t>
      </w:r>
    </w:p>
    <w:p w14:paraId="751349FF" w14:textId="0713E180" w:rsidR="00C662C3" w:rsidRPr="008E6942" w:rsidRDefault="003A0E37" w:rsidP="008E6942">
      <w:pPr>
        <w:pStyle w:val="ListParagraph"/>
        <w:numPr>
          <w:ilvl w:val="0"/>
          <w:numId w:val="8"/>
        </w:numPr>
        <w:spacing w:after="0" w:line="240" w:lineRule="auto"/>
        <w:ind w:left="720"/>
        <w:contextualSpacing w:val="0"/>
        <w:rPr>
          <w:rFonts w:eastAsia="Times New Roman"/>
        </w:rPr>
      </w:pPr>
      <w:r>
        <w:rPr>
          <w:rFonts w:eastAsia="Times New Roman"/>
        </w:rPr>
        <w:t xml:space="preserve">Non-ordained individuals </w:t>
      </w:r>
      <w:r w:rsidR="00684E77">
        <w:rPr>
          <w:rFonts w:eastAsia="Times New Roman"/>
        </w:rPr>
        <w:t>can</w:t>
      </w:r>
      <w:r>
        <w:rPr>
          <w:rFonts w:eastAsia="Times New Roman"/>
        </w:rPr>
        <w:t xml:space="preserve"> nevertheless occupy positions of influence, relational power</w:t>
      </w:r>
      <w:r w:rsidR="00684E77">
        <w:rPr>
          <w:rFonts w:eastAsia="Times New Roman"/>
        </w:rPr>
        <w:t xml:space="preserve"> and </w:t>
      </w:r>
      <w:r>
        <w:rPr>
          <w:rFonts w:eastAsia="Times New Roman"/>
        </w:rPr>
        <w:t>status</w:t>
      </w:r>
      <w:r w:rsidR="008E6942">
        <w:rPr>
          <w:rFonts w:eastAsia="Times New Roman"/>
        </w:rPr>
        <w:t xml:space="preserve">. As lay women or lay men they </w:t>
      </w:r>
      <w:r w:rsidRPr="008E6942">
        <w:rPr>
          <w:rFonts w:eastAsia="Times New Roman"/>
        </w:rPr>
        <w:t xml:space="preserve">perform </w:t>
      </w:r>
      <w:r w:rsidR="008E6942">
        <w:rPr>
          <w:rFonts w:eastAsia="Times New Roman"/>
        </w:rPr>
        <w:t>activities</w:t>
      </w:r>
      <w:r w:rsidRPr="008E6942">
        <w:rPr>
          <w:rFonts w:eastAsia="Times New Roman"/>
        </w:rPr>
        <w:t xml:space="preserve"> or have powers in the institution. These include for example, non-ordained preachers, ministers, readers, chaplains, pastors, and </w:t>
      </w:r>
      <w:r w:rsidR="008E6942">
        <w:rPr>
          <w:rFonts w:eastAsia="Times New Roman"/>
        </w:rPr>
        <w:t xml:space="preserve">a </w:t>
      </w:r>
      <w:r w:rsidRPr="008E6942">
        <w:rPr>
          <w:rFonts w:eastAsia="Times New Roman"/>
        </w:rPr>
        <w:t>myriad other leaders, officials or office-bearers.</w:t>
      </w:r>
    </w:p>
    <w:p w14:paraId="5E4DF76D" w14:textId="77777777" w:rsidR="00C662C3" w:rsidRDefault="00C662C3" w:rsidP="00C662C3">
      <w:pPr>
        <w:spacing w:after="0" w:line="240" w:lineRule="auto"/>
        <w:rPr>
          <w:rFonts w:eastAsia="Times New Roman"/>
        </w:rPr>
      </w:pPr>
    </w:p>
    <w:p w14:paraId="7A9B9217" w14:textId="10C77F2B" w:rsidR="00C662C3" w:rsidRPr="00C662C3" w:rsidRDefault="009354C7" w:rsidP="00C662C3">
      <w:pPr>
        <w:spacing w:after="0" w:line="240" w:lineRule="auto"/>
        <w:rPr>
          <w:rFonts w:eastAsia="Times New Roman"/>
        </w:rPr>
      </w:pPr>
      <w:r>
        <w:rPr>
          <w:rFonts w:eastAsia="Times New Roman"/>
        </w:rPr>
        <w:t>The appropriate</w:t>
      </w:r>
      <w:r w:rsidR="00C662C3" w:rsidRPr="00C662C3">
        <w:rPr>
          <w:rFonts w:eastAsia="Times New Roman"/>
        </w:rPr>
        <w:t xml:space="preserve"> purpose of using the concept of </w:t>
      </w:r>
      <w:r>
        <w:rPr>
          <w:rFonts w:eastAsia="Times New Roman"/>
        </w:rPr>
        <w:t>‘</w:t>
      </w:r>
      <w:r w:rsidR="00C662C3" w:rsidRPr="00C662C3">
        <w:rPr>
          <w:rFonts w:eastAsia="Times New Roman"/>
        </w:rPr>
        <w:t>member of the personnel</w:t>
      </w:r>
      <w:r>
        <w:rPr>
          <w:rFonts w:eastAsia="Times New Roman"/>
        </w:rPr>
        <w:t xml:space="preserve">’ </w:t>
      </w:r>
      <w:r w:rsidR="00C662C3" w:rsidRPr="00C662C3">
        <w:rPr>
          <w:rFonts w:eastAsia="Times New Roman"/>
        </w:rPr>
        <w:t xml:space="preserve">is to include within the scope of </w:t>
      </w:r>
      <w:r>
        <w:rPr>
          <w:rFonts w:eastAsia="Times New Roman"/>
        </w:rPr>
        <w:t>‘</w:t>
      </w:r>
      <w:r w:rsidR="00C662C3" w:rsidRPr="00C662C3">
        <w:rPr>
          <w:rFonts w:eastAsia="Times New Roman"/>
        </w:rPr>
        <w:t>employee</w:t>
      </w:r>
      <w:r>
        <w:rPr>
          <w:rFonts w:eastAsia="Times New Roman"/>
        </w:rPr>
        <w:t>’</w:t>
      </w:r>
      <w:r w:rsidR="00C662C3" w:rsidRPr="00C662C3">
        <w:rPr>
          <w:rFonts w:eastAsia="Times New Roman"/>
        </w:rPr>
        <w:t xml:space="preserve"> all those in positions of sufficient relational and</w:t>
      </w:r>
      <w:r w:rsidR="00AC41F2">
        <w:rPr>
          <w:rFonts w:eastAsia="Times New Roman"/>
        </w:rPr>
        <w:t>/</w:t>
      </w:r>
      <w:r w:rsidR="00C662C3" w:rsidRPr="00C662C3">
        <w:rPr>
          <w:rFonts w:eastAsia="Times New Roman"/>
        </w:rPr>
        <w:t>or institutional power and influence who by virtue of this status have the additional capacity to inflict abuse and should fall within the scope of the organisation’s vicarious liability.</w:t>
      </w:r>
    </w:p>
    <w:p w14:paraId="55660565" w14:textId="77777777" w:rsidR="00E31B0B" w:rsidRDefault="00E31B0B" w:rsidP="00982AF5">
      <w:pPr>
        <w:spacing w:after="0" w:line="240" w:lineRule="auto"/>
        <w:rPr>
          <w:rFonts w:eastAsia="Times New Roman"/>
        </w:rPr>
      </w:pPr>
    </w:p>
    <w:p w14:paraId="4F1A4FFE" w14:textId="5FA0D2B8" w:rsidR="007038EE" w:rsidRDefault="00E31B0B" w:rsidP="00982AF5">
      <w:pPr>
        <w:spacing w:after="0" w:line="240" w:lineRule="auto"/>
        <w:rPr>
          <w:rFonts w:eastAsia="Times New Roman"/>
        </w:rPr>
      </w:pPr>
      <w:r>
        <w:rPr>
          <w:rFonts w:eastAsia="Times New Roman"/>
        </w:rPr>
        <w:t>114BC(3)</w:t>
      </w:r>
      <w:r w:rsidR="00895C0E">
        <w:rPr>
          <w:rFonts w:eastAsia="Times New Roman"/>
        </w:rPr>
        <w:t xml:space="preserve">(a) and (b) </w:t>
      </w:r>
      <w:r w:rsidR="008F12F2">
        <w:rPr>
          <w14:ligatures w14:val="none"/>
        </w:rPr>
        <w:t xml:space="preserve">should be interpreted appropriately broadly to avoid the capacity for unduly constrained interpretation and challenges. </w:t>
      </w:r>
      <w:r w:rsidR="00D930C3">
        <w:rPr>
          <w:rFonts w:eastAsia="Times New Roman"/>
        </w:rPr>
        <w:t>It</w:t>
      </w:r>
      <w:r w:rsidR="00A3699A" w:rsidRPr="0086718B">
        <w:rPr>
          <w:rFonts w:eastAsia="Times New Roman"/>
        </w:rPr>
        <w:t xml:space="preserve"> has been drafted to ‘include’ and not limit individuals who are associated with the organisation if the organisation is a religious </w:t>
      </w:r>
      <w:r w:rsidR="009F6776" w:rsidRPr="0086718B">
        <w:rPr>
          <w:rFonts w:eastAsia="Times New Roman"/>
        </w:rPr>
        <w:t xml:space="preserve">organisation. </w:t>
      </w:r>
    </w:p>
    <w:p w14:paraId="03755CA7" w14:textId="77777777" w:rsidR="007038EE" w:rsidRDefault="007038EE" w:rsidP="00982AF5">
      <w:pPr>
        <w:spacing w:after="0" w:line="240" w:lineRule="auto"/>
        <w:rPr>
          <w:rFonts w:eastAsia="Times New Roman"/>
        </w:rPr>
      </w:pPr>
    </w:p>
    <w:p w14:paraId="7930C2BD" w14:textId="3F7B97A5" w:rsidR="00982AF5" w:rsidRPr="0086718B" w:rsidRDefault="0086718B" w:rsidP="00982AF5">
      <w:pPr>
        <w:spacing w:after="0" w:line="240" w:lineRule="auto"/>
        <w:rPr>
          <w:rFonts w:eastAsia="Times New Roman"/>
        </w:rPr>
      </w:pPr>
      <w:r w:rsidRPr="0086718B">
        <w:rPr>
          <w:rFonts w:eastAsia="Times New Roman"/>
        </w:rPr>
        <w:t xml:space="preserve">Under </w:t>
      </w:r>
      <w:r w:rsidR="009F6776" w:rsidRPr="0086718B">
        <w:rPr>
          <w:rFonts w:eastAsia="Times New Roman"/>
        </w:rPr>
        <w:t>s 114BC(3)(c)</w:t>
      </w:r>
      <w:r w:rsidRPr="0086718B">
        <w:rPr>
          <w:rFonts w:eastAsia="Times New Roman"/>
        </w:rPr>
        <w:t xml:space="preserve"> </w:t>
      </w:r>
      <w:r w:rsidR="007038EE">
        <w:rPr>
          <w:rFonts w:eastAsia="Times New Roman"/>
        </w:rPr>
        <w:t xml:space="preserve">an employee of an organisation </w:t>
      </w:r>
      <w:r w:rsidR="00566DF7" w:rsidRPr="0086718B">
        <w:rPr>
          <w:rFonts w:eastAsia="Times New Roman"/>
        </w:rPr>
        <w:t>also includes</w:t>
      </w:r>
      <w:r w:rsidR="00E50046" w:rsidRPr="0086718B">
        <w:rPr>
          <w:rFonts w:eastAsia="Times New Roman"/>
        </w:rPr>
        <w:t xml:space="preserve"> an individual, or an individual belonging to a class of individuals, prescribed by regulation. </w:t>
      </w:r>
    </w:p>
    <w:p w14:paraId="28195D52" w14:textId="77777777" w:rsidR="00D930C3" w:rsidRDefault="00D930C3" w:rsidP="00982AF5">
      <w:pPr>
        <w:spacing w:after="0" w:line="240" w:lineRule="auto"/>
        <w:rPr>
          <w:rFonts w:eastAsia="Times New Roman"/>
        </w:rPr>
      </w:pPr>
    </w:p>
    <w:p w14:paraId="0DE53F53" w14:textId="056FABAA" w:rsidR="00982AF5" w:rsidRPr="00DD498C" w:rsidRDefault="00C95088" w:rsidP="00982AF5">
      <w:pPr>
        <w:spacing w:after="0" w:line="240" w:lineRule="auto"/>
        <w:rPr>
          <w:rFonts w:eastAsia="Times New Roman"/>
        </w:rPr>
      </w:pPr>
      <w:r w:rsidRPr="00DD498C">
        <w:rPr>
          <w:rFonts w:eastAsia="Times New Roman"/>
        </w:rPr>
        <w:t>Section</w:t>
      </w:r>
      <w:r w:rsidR="00382965" w:rsidRPr="00DD498C">
        <w:rPr>
          <w:rFonts w:eastAsia="Times New Roman"/>
        </w:rPr>
        <w:t xml:space="preserve"> 114BC</w:t>
      </w:r>
      <w:r w:rsidR="00E50046" w:rsidRPr="00DD498C">
        <w:rPr>
          <w:rFonts w:eastAsia="Times New Roman"/>
        </w:rPr>
        <w:t xml:space="preserve">(4) </w:t>
      </w:r>
      <w:r w:rsidR="00B27C30" w:rsidRPr="00DD498C">
        <w:rPr>
          <w:rFonts w:eastAsia="Times New Roman"/>
        </w:rPr>
        <w:t>sets out that for new Part 8A.1A, an</w:t>
      </w:r>
      <w:r w:rsidR="00E50046" w:rsidRPr="00DD498C">
        <w:rPr>
          <w:rFonts w:eastAsia="Times New Roman"/>
        </w:rPr>
        <w:t xml:space="preserve"> individual who is associated with an organisation to which the exercise of care, supervision or authority over a child has been delegated, in whole or in part, is also taken to be an individual associated with the organisation from which the exercise of care, supervision or authority was delegated. </w:t>
      </w:r>
    </w:p>
    <w:p w14:paraId="427CA148" w14:textId="77777777" w:rsidR="00145CBB" w:rsidRDefault="00145CBB" w:rsidP="00982AF5">
      <w:pPr>
        <w:spacing w:after="0" w:line="240" w:lineRule="auto"/>
        <w:rPr>
          <w:highlight w:val="yellow"/>
        </w:rPr>
      </w:pPr>
    </w:p>
    <w:p w14:paraId="258DB07E" w14:textId="1D81797F" w:rsidR="00982AF5" w:rsidRPr="00CB22CD" w:rsidRDefault="00CB22CD" w:rsidP="00982AF5">
      <w:pPr>
        <w:spacing w:after="0" w:line="240" w:lineRule="auto"/>
      </w:pPr>
      <w:r w:rsidRPr="00CB22CD">
        <w:t>S</w:t>
      </w:r>
      <w:r w:rsidR="00DD498C" w:rsidRPr="00CB22CD">
        <w:t>ection 114BC(5)</w:t>
      </w:r>
      <w:r w:rsidR="00E50046" w:rsidRPr="00CB22CD">
        <w:t xml:space="preserve"> </w:t>
      </w:r>
      <w:r w:rsidR="00DD498C" w:rsidRPr="00CB22CD">
        <w:t xml:space="preserve">observes that </w:t>
      </w:r>
      <w:r w:rsidRPr="00CB22CD">
        <w:t xml:space="preserve">a </w:t>
      </w:r>
      <w:r w:rsidR="00E50046" w:rsidRPr="00CB22CD">
        <w:t xml:space="preserve">regulation may prescribe circumstances in which an individual is akin to an employee or not akin to an employee. </w:t>
      </w:r>
    </w:p>
    <w:p w14:paraId="0D54DCAB" w14:textId="77777777" w:rsidR="00982AF5" w:rsidRDefault="00982AF5" w:rsidP="00982AF5">
      <w:pPr>
        <w:spacing w:after="0" w:line="240" w:lineRule="auto"/>
      </w:pPr>
    </w:p>
    <w:p w14:paraId="0614D552" w14:textId="05EB8EDB" w:rsidR="00526E34" w:rsidRDefault="00825B00" w:rsidP="00526E34">
      <w:pPr>
        <w:spacing w:after="0" w:line="240" w:lineRule="auto"/>
      </w:pPr>
      <w:r>
        <w:t xml:space="preserve">S </w:t>
      </w:r>
      <w:r w:rsidR="00E50046">
        <w:t xml:space="preserve">114BD </w:t>
      </w:r>
      <w:r>
        <w:t>sets out o</w:t>
      </w:r>
      <w:r w:rsidR="00E50046">
        <w:t xml:space="preserve">rganisations that are responsible for </w:t>
      </w:r>
      <w:r>
        <w:t xml:space="preserve">the </w:t>
      </w:r>
      <w:r w:rsidR="00E50046">
        <w:t>child</w:t>
      </w:r>
      <w:r>
        <w:t xml:space="preserve">. Firstly, </w:t>
      </w:r>
      <w:r w:rsidR="00E50046">
        <w:t xml:space="preserve">(1) An organisation is responsible for a child if it, including any part of it, exercises care, supervision or authority over the child. </w:t>
      </w:r>
      <w:r w:rsidR="005500E5">
        <w:t xml:space="preserve">Furthermore, </w:t>
      </w:r>
      <w:r>
        <w:t xml:space="preserve">under </w:t>
      </w:r>
      <w:r w:rsidR="00AF16EC">
        <w:t xml:space="preserve">(2) </w:t>
      </w:r>
      <w:r w:rsidR="00E50046">
        <w:t>If an organisation, including any part of it, delegates the exercise of care, supervision or authority over the child to another organisation, in whole or in part, each organisation is responsible for the child.</w:t>
      </w:r>
    </w:p>
    <w:p w14:paraId="29A90221" w14:textId="77777777" w:rsidR="00526E34" w:rsidRDefault="00526E34" w:rsidP="00526E34">
      <w:pPr>
        <w:spacing w:after="0" w:line="240" w:lineRule="auto"/>
      </w:pPr>
    </w:p>
    <w:p w14:paraId="08C46BD0" w14:textId="7300706B" w:rsidR="0045486B" w:rsidRDefault="00CD3A65" w:rsidP="00526E34">
      <w:pPr>
        <w:spacing w:after="0" w:line="240" w:lineRule="auto"/>
      </w:pPr>
      <w:r>
        <w:t xml:space="preserve">S </w:t>
      </w:r>
      <w:r w:rsidR="00E50046">
        <w:t>114BE</w:t>
      </w:r>
      <w:r w:rsidR="00AF6562">
        <w:t xml:space="preserve"> establishes </w:t>
      </w:r>
      <w:r w:rsidR="00CD3F55">
        <w:t>the conditions under which an o</w:t>
      </w:r>
      <w:r w:rsidR="00E50046">
        <w:t>rganisation</w:t>
      </w:r>
      <w:r w:rsidR="00CD3F55">
        <w:t xml:space="preserve"> will be </w:t>
      </w:r>
      <w:r w:rsidR="00E50046">
        <w:t>vicariously liable for child abuse perpetrated by employees</w:t>
      </w:r>
      <w:r w:rsidR="00CD3F55">
        <w:t>, being a</w:t>
      </w:r>
      <w:r w:rsidR="00E50046">
        <w:t>n organisation that is responsible for a child is vicariously liable for</w:t>
      </w:r>
      <w:r w:rsidR="0045486B">
        <w:t xml:space="preserve"> </w:t>
      </w:r>
      <w:r w:rsidR="00E50046">
        <w:t>child abuse perpetrated against the child by an employee of the</w:t>
      </w:r>
      <w:r w:rsidR="0045486B">
        <w:t xml:space="preserve"> </w:t>
      </w:r>
      <w:r w:rsidR="00E50046">
        <w:t xml:space="preserve">organisation if— </w:t>
      </w:r>
    </w:p>
    <w:p w14:paraId="4DE6EA34" w14:textId="77777777" w:rsidR="00CD3F55" w:rsidRDefault="00E50046" w:rsidP="00526E34">
      <w:pPr>
        <w:spacing w:after="0" w:line="240" w:lineRule="auto"/>
      </w:pPr>
      <w:r>
        <w:t xml:space="preserve">(a) the apparent performance by the employee of a role in which the organisation placed the employee supplies the occasion for the perpetration of the child abuse by the employee; and </w:t>
      </w:r>
    </w:p>
    <w:p w14:paraId="629B54EC" w14:textId="61066894" w:rsidR="0045486B" w:rsidRDefault="00E50046" w:rsidP="00526E34">
      <w:pPr>
        <w:spacing w:after="0" w:line="240" w:lineRule="auto"/>
      </w:pPr>
      <w:r>
        <w:t xml:space="preserve">(b) the employee takes advantage of the occasion to perpetrate the child abuse.  </w:t>
      </w:r>
    </w:p>
    <w:p w14:paraId="3DFEA73E" w14:textId="77777777" w:rsidR="00CD3F55" w:rsidRDefault="00CD3F55" w:rsidP="00526E34">
      <w:pPr>
        <w:spacing w:after="0" w:line="240" w:lineRule="auto"/>
      </w:pPr>
    </w:p>
    <w:p w14:paraId="12292999" w14:textId="5B73C951" w:rsidR="00FF3CB6" w:rsidRDefault="00CD3A65" w:rsidP="00526E34">
      <w:pPr>
        <w:spacing w:after="0" w:line="240" w:lineRule="auto"/>
      </w:pPr>
      <w:r w:rsidRPr="007C271F">
        <w:t>S 11</w:t>
      </w:r>
      <w:r w:rsidR="007C271F" w:rsidRPr="007C271F">
        <w:t>4</w:t>
      </w:r>
      <w:r w:rsidRPr="007C271F">
        <w:t xml:space="preserve">BE (2) </w:t>
      </w:r>
      <w:r w:rsidR="0042451C" w:rsidRPr="007C271F">
        <w:t>s</w:t>
      </w:r>
      <w:r w:rsidR="0042451C">
        <w:t xml:space="preserve">ets out that in </w:t>
      </w:r>
      <w:r w:rsidR="00E50046">
        <w:t xml:space="preserve">determining whether the apparent performance by the employee of a role in which the organisation placed the employee </w:t>
      </w:r>
      <w:r w:rsidR="000A0CF8">
        <w:t>created</w:t>
      </w:r>
      <w:r w:rsidR="00E50046">
        <w:t xml:space="preserve"> the </w:t>
      </w:r>
      <w:r w:rsidR="000A0CF8">
        <w:t xml:space="preserve">opportunity for the child abuse to occur, the court </w:t>
      </w:r>
      <w:r w:rsidR="00B7069E">
        <w:t xml:space="preserve">must </w:t>
      </w:r>
      <w:r w:rsidR="000A0CF8">
        <w:t>consider</w:t>
      </w:r>
      <w:r w:rsidR="00E50046">
        <w:t xml:space="preserve"> whether the organisation placed the employee in a position in which the employee has one or more of the following:</w:t>
      </w:r>
    </w:p>
    <w:p w14:paraId="025A664A" w14:textId="4CB7481F" w:rsidR="0045486B" w:rsidRDefault="00E50046" w:rsidP="00526E34">
      <w:pPr>
        <w:spacing w:after="0" w:line="240" w:lineRule="auto"/>
      </w:pPr>
      <w:r>
        <w:t xml:space="preserve">(a) authority, power or control over the child; </w:t>
      </w:r>
    </w:p>
    <w:p w14:paraId="1014355E" w14:textId="27FDBFE4" w:rsidR="0045486B" w:rsidRDefault="00E50046" w:rsidP="00526E34">
      <w:pPr>
        <w:spacing w:after="0" w:line="240" w:lineRule="auto"/>
      </w:pPr>
      <w:r>
        <w:t xml:space="preserve">(b) the trust of the child;  </w:t>
      </w:r>
    </w:p>
    <w:p w14:paraId="3975FAB2" w14:textId="7EFECD3A" w:rsidR="007C6609" w:rsidRDefault="00E50046" w:rsidP="00526E34">
      <w:pPr>
        <w:spacing w:after="0" w:line="240" w:lineRule="auto"/>
      </w:pPr>
      <w:r>
        <w:t>(c) the ability to achieve intimacy with the child.</w:t>
      </w:r>
    </w:p>
    <w:p w14:paraId="7A721964" w14:textId="77777777" w:rsidR="006C6C14" w:rsidRDefault="006C6C14" w:rsidP="00D536EE">
      <w:pPr>
        <w:spacing w:after="0" w:line="240" w:lineRule="auto"/>
      </w:pPr>
    </w:p>
    <w:p w14:paraId="2B83AD2C" w14:textId="0DE63D25" w:rsidR="005B1D18" w:rsidRPr="005B1D18" w:rsidRDefault="007C271F" w:rsidP="007C271F">
      <w:pPr>
        <w:spacing w:after="0" w:line="240" w:lineRule="auto"/>
      </w:pPr>
      <w:r>
        <w:t>The following section identifies that t</w:t>
      </w:r>
      <w:r w:rsidR="007C6609">
        <w:t>his section does not affect, and is in addition to, the common law in relation to vicarious liability</w:t>
      </w:r>
      <w:r>
        <w:t xml:space="preserve"> (s 114BE</w:t>
      </w:r>
      <w:r w:rsidR="00D35895">
        <w:t>(3)).</w:t>
      </w:r>
    </w:p>
    <w:p w14:paraId="7A6AB432" w14:textId="02F78C96" w:rsidR="00EF6DE5" w:rsidRDefault="00EF6DE5" w:rsidP="00EF6DE5">
      <w:pPr>
        <w:spacing w:after="0" w:line="240" w:lineRule="auto"/>
        <w:rPr>
          <w:rFonts w:eastAsia="Times New Roman"/>
          <w14:ligatures w14:val="none"/>
        </w:rPr>
      </w:pPr>
    </w:p>
    <w:p w14:paraId="2C91604A" w14:textId="60E4B30A" w:rsidR="005B1D18" w:rsidRPr="008875AB" w:rsidRDefault="005B1D18" w:rsidP="00EF6DE5">
      <w:pPr>
        <w:spacing w:after="0" w:line="240" w:lineRule="auto"/>
        <w:rPr>
          <w:rFonts w:eastAsia="Times New Roman"/>
          <w:u w:val="single"/>
          <w14:ligatures w14:val="none"/>
        </w:rPr>
      </w:pPr>
      <w:r w:rsidRPr="008875AB">
        <w:rPr>
          <w:rFonts w:eastAsia="Times New Roman"/>
          <w:u w:val="single"/>
          <w14:ligatures w14:val="none"/>
        </w:rPr>
        <w:t xml:space="preserve">Clause 5 </w:t>
      </w:r>
      <w:r w:rsidR="006D35CA" w:rsidRPr="008875AB">
        <w:rPr>
          <w:rFonts w:eastAsia="Times New Roman"/>
          <w:u w:val="single"/>
          <w14:ligatures w14:val="none"/>
        </w:rPr>
        <w:t>–</w:t>
      </w:r>
      <w:r w:rsidRPr="008875AB">
        <w:rPr>
          <w:rFonts w:eastAsia="Times New Roman"/>
          <w:u w:val="single"/>
          <w14:ligatures w14:val="none"/>
        </w:rPr>
        <w:t xml:space="preserve"> </w:t>
      </w:r>
      <w:r w:rsidR="006D35CA" w:rsidRPr="008875AB">
        <w:rPr>
          <w:rFonts w:eastAsia="Times New Roman"/>
          <w:u w:val="single"/>
          <w14:ligatures w14:val="none"/>
        </w:rPr>
        <w:t>Definitions in Part 8A.3 – section 114J (1)</w:t>
      </w:r>
      <w:r w:rsidR="00C56466" w:rsidRPr="008875AB">
        <w:rPr>
          <w:rFonts w:eastAsia="Times New Roman"/>
          <w:u w:val="single"/>
          <w14:ligatures w14:val="none"/>
        </w:rPr>
        <w:t xml:space="preserve"> </w:t>
      </w:r>
    </w:p>
    <w:p w14:paraId="294CED25" w14:textId="2C9357F0" w:rsidR="00AD6B54" w:rsidRDefault="00C56466" w:rsidP="00EF6DE5">
      <w:pPr>
        <w:spacing w:after="0" w:line="240" w:lineRule="auto"/>
        <w:rPr>
          <w:rFonts w:eastAsia="Times New Roman"/>
          <w14:ligatures w14:val="none"/>
        </w:rPr>
      </w:pPr>
      <w:r>
        <w:rPr>
          <w:rFonts w:eastAsia="Times New Roman"/>
          <w14:ligatures w14:val="none"/>
        </w:rPr>
        <w:t xml:space="preserve">This clause inserts a new definition into </w:t>
      </w:r>
      <w:r w:rsidR="005812FB">
        <w:rPr>
          <w:rFonts w:eastAsia="Times New Roman"/>
          <w14:ligatures w14:val="none"/>
        </w:rPr>
        <w:t>s 114J(1)</w:t>
      </w:r>
      <w:r>
        <w:rPr>
          <w:rFonts w:eastAsia="Times New Roman"/>
          <w14:ligatures w14:val="none"/>
        </w:rPr>
        <w:t xml:space="preserve"> of ‘abuse settlement agreement’ by adding a new paragraph b(iii)</w:t>
      </w:r>
      <w:r w:rsidR="0061779C">
        <w:rPr>
          <w:rFonts w:eastAsia="Times New Roman"/>
          <w14:ligatures w14:val="none"/>
        </w:rPr>
        <w:t xml:space="preserve">. This has the impact that </w:t>
      </w:r>
      <w:r w:rsidR="005812FB">
        <w:rPr>
          <w:rFonts w:eastAsia="Times New Roman"/>
          <w14:ligatures w14:val="none"/>
        </w:rPr>
        <w:t xml:space="preserve">‘abuse settlement agreement’ </w:t>
      </w:r>
      <w:r w:rsidR="00AD6B54">
        <w:rPr>
          <w:rFonts w:eastAsia="Times New Roman"/>
          <w14:ligatures w14:val="none"/>
        </w:rPr>
        <w:t xml:space="preserve">now also includes an agreement </w:t>
      </w:r>
      <w:r w:rsidR="00AD6B54">
        <w:rPr>
          <w:color w:val="000000"/>
          <w:shd w:val="clear" w:color="auto" w:fill="FFFFFF"/>
        </w:rPr>
        <w:t>‘that settles a child abuse claim and prevents the exercise of an action on a cause of action to which the </w:t>
      </w:r>
      <w:hyperlink r:id="rId11" w:tooltip="A1985-66" w:history="1">
        <w:r w:rsidR="00AD6B54">
          <w:rPr>
            <w:rStyle w:val="charcithyperlinkital"/>
            <w:i/>
            <w:iCs/>
            <w:color w:val="0000FF"/>
            <w:shd w:val="clear" w:color="auto" w:fill="FFFFFF"/>
          </w:rPr>
          <w:t>Limitation Act 1985</w:t>
        </w:r>
      </w:hyperlink>
      <w:r w:rsidR="00AD6B54">
        <w:rPr>
          <w:color w:val="000000"/>
          <w:shd w:val="clear" w:color="auto" w:fill="FFFFFF"/>
        </w:rPr>
        <w:t>, section 21C (Personal injury resulting from child abuse) applies’ and</w:t>
      </w:r>
      <w:r w:rsidR="008875AB">
        <w:rPr>
          <w:rFonts w:eastAsia="Times New Roman"/>
          <w14:ligatures w14:val="none"/>
        </w:rPr>
        <w:t xml:space="preserve"> ‘happened before the commencement of part 8A.1A, and the child abuse claim involved child abuse by a person who would have been an employee of an organisation if that part had been in force when the agreement was made.’</w:t>
      </w:r>
      <w:r w:rsidR="001B1805">
        <w:rPr>
          <w:rFonts w:eastAsia="Times New Roman"/>
          <w14:ligatures w14:val="none"/>
        </w:rPr>
        <w:t xml:space="preserve"> </w:t>
      </w:r>
    </w:p>
    <w:p w14:paraId="32AE352C" w14:textId="77777777" w:rsidR="00AD6B54" w:rsidRDefault="00AD6B54" w:rsidP="00EF6DE5">
      <w:pPr>
        <w:spacing w:after="0" w:line="240" w:lineRule="auto"/>
        <w:rPr>
          <w:rFonts w:eastAsia="Times New Roman"/>
          <w14:ligatures w14:val="none"/>
        </w:rPr>
      </w:pPr>
    </w:p>
    <w:p w14:paraId="0EF0073E" w14:textId="14910FB4" w:rsidR="00D35895" w:rsidRDefault="00D35895" w:rsidP="00EF6DE5">
      <w:pPr>
        <w:spacing w:after="0" w:line="240" w:lineRule="auto"/>
        <w:rPr>
          <w:rFonts w:eastAsia="Times New Roman"/>
          <w14:ligatures w14:val="none"/>
        </w:rPr>
      </w:pPr>
      <w:r>
        <w:rPr>
          <w:rFonts w:eastAsia="Times New Roman"/>
          <w14:ligatures w14:val="none"/>
        </w:rPr>
        <w:lastRenderedPageBreak/>
        <w:t xml:space="preserve">This </w:t>
      </w:r>
      <w:r w:rsidR="00AD5D1A">
        <w:rPr>
          <w:rFonts w:eastAsia="Times New Roman"/>
          <w14:ligatures w14:val="none"/>
        </w:rPr>
        <w:t>inclusion is</w:t>
      </w:r>
      <w:r>
        <w:rPr>
          <w:rFonts w:eastAsia="Times New Roman"/>
          <w14:ligatures w14:val="none"/>
        </w:rPr>
        <w:t xml:space="preserve"> intended to ensure that survivors who </w:t>
      </w:r>
      <w:r w:rsidR="000C41ED">
        <w:rPr>
          <w:rFonts w:eastAsia="Times New Roman"/>
          <w14:ligatures w14:val="none"/>
        </w:rPr>
        <w:t>were abused as children before the new vicarious liability legislation came into force and entered into unjust settlements are able to apply to the court to have those unjust settlements set aside.</w:t>
      </w:r>
      <w:r w:rsidR="001B1805">
        <w:rPr>
          <w:rFonts w:eastAsia="Times New Roman"/>
          <w14:ligatures w14:val="none"/>
        </w:rPr>
        <w:t xml:space="preserve"> This will mean they then have the capacity to seek a fair settlement.</w:t>
      </w:r>
      <w:r w:rsidR="000C41ED">
        <w:rPr>
          <w:rFonts w:eastAsia="Times New Roman"/>
          <w14:ligatures w14:val="none"/>
        </w:rPr>
        <w:t xml:space="preserve"> This will create parity between different cohorts of survivors and ensure that survivors who were abused as children before the commencement of the Act and </w:t>
      </w:r>
      <w:r w:rsidR="001B1805">
        <w:rPr>
          <w:rFonts w:eastAsia="Times New Roman"/>
          <w14:ligatures w14:val="none"/>
        </w:rPr>
        <w:t>entered</w:t>
      </w:r>
      <w:r w:rsidR="000C41ED">
        <w:rPr>
          <w:rFonts w:eastAsia="Times New Roman"/>
          <w14:ligatures w14:val="none"/>
        </w:rPr>
        <w:t xml:space="preserve"> unjust settlements are able to access justice.</w:t>
      </w:r>
    </w:p>
    <w:p w14:paraId="0D526C5B" w14:textId="77777777" w:rsidR="001B1805" w:rsidRDefault="001B1805" w:rsidP="00EF6DE5">
      <w:pPr>
        <w:spacing w:after="0" w:line="240" w:lineRule="auto"/>
        <w:rPr>
          <w:rFonts w:eastAsia="Times New Roman"/>
          <w14:ligatures w14:val="none"/>
        </w:rPr>
      </w:pPr>
    </w:p>
    <w:p w14:paraId="496403BE" w14:textId="087BB81A" w:rsidR="000533B1" w:rsidRPr="00E95D52" w:rsidRDefault="000533B1" w:rsidP="00EF6DE5">
      <w:pPr>
        <w:spacing w:after="0" w:line="240" w:lineRule="auto"/>
        <w:rPr>
          <w:u w:val="single"/>
        </w:rPr>
      </w:pPr>
      <w:r w:rsidRPr="00E95D52">
        <w:rPr>
          <w:u w:val="single"/>
        </w:rPr>
        <w:t>Clause 6 – New chapter 21</w:t>
      </w:r>
    </w:p>
    <w:p w14:paraId="16CA3A3C" w14:textId="1F539A4B" w:rsidR="000533B1" w:rsidRDefault="000533B1" w:rsidP="00EF6DE5">
      <w:pPr>
        <w:spacing w:after="0" w:line="240" w:lineRule="auto"/>
      </w:pPr>
      <w:r>
        <w:t xml:space="preserve">This clause inserts a new chapter 21 </w:t>
      </w:r>
      <w:r w:rsidR="00D117B0">
        <w:t>which is a transitional provision. It sets out that Part 8A.1A applies to proceedings commenced but not finally decided before the day</w:t>
      </w:r>
      <w:r w:rsidR="00F32361">
        <w:t xml:space="preserve"> section 4 of</w:t>
      </w:r>
      <w:r w:rsidR="00D117B0">
        <w:t xml:space="preserve"> the Act commences.</w:t>
      </w:r>
      <w:r w:rsidR="008378D1">
        <w:t xml:space="preserve"> The new chapter 21 expires three years after it commences.</w:t>
      </w:r>
    </w:p>
    <w:p w14:paraId="00312240" w14:textId="77777777" w:rsidR="00E50946" w:rsidRPr="00EF6DE5" w:rsidRDefault="00E50946" w:rsidP="00EF6DE5">
      <w:pPr>
        <w:spacing w:after="0" w:line="240" w:lineRule="auto"/>
        <w:rPr>
          <w:rFonts w:eastAsia="Times New Roman"/>
          <w14:ligatures w14:val="none"/>
        </w:rPr>
      </w:pPr>
    </w:p>
    <w:p w14:paraId="19CD1B62" w14:textId="59D8ED7D" w:rsidR="008378D1" w:rsidRPr="008378D1" w:rsidRDefault="008378D1" w:rsidP="00D729FD">
      <w:pPr>
        <w:pStyle w:val="NormalWeb"/>
        <w:shd w:val="clear" w:color="auto" w:fill="FFFFFF"/>
        <w:spacing w:before="0" w:beforeAutospacing="0" w:after="200" w:afterAutospacing="0" w:line="276" w:lineRule="atLeast"/>
        <w:jc w:val="both"/>
        <w:rPr>
          <w:rFonts w:asciiTheme="minorHAnsi" w:eastAsiaTheme="minorHAnsi" w:hAnsiTheme="minorHAnsi" w:cstheme="minorBidi"/>
          <w:kern w:val="2"/>
          <w:sz w:val="22"/>
          <w:szCs w:val="22"/>
          <w:u w:val="single"/>
          <w:lang w:eastAsia="en-US"/>
          <w14:ligatures w14:val="standardContextual"/>
        </w:rPr>
      </w:pPr>
      <w:r w:rsidRPr="008378D1">
        <w:rPr>
          <w:rFonts w:asciiTheme="minorHAnsi" w:eastAsiaTheme="minorHAnsi" w:hAnsiTheme="minorHAnsi" w:cstheme="minorBidi"/>
          <w:kern w:val="2"/>
          <w:sz w:val="22"/>
          <w:szCs w:val="22"/>
          <w:u w:val="single"/>
          <w:lang w:eastAsia="en-US"/>
          <w14:ligatures w14:val="standardContextual"/>
        </w:rPr>
        <w:t xml:space="preserve">Clause </w:t>
      </w:r>
      <w:r w:rsidR="0054010B" w:rsidRPr="008378D1">
        <w:rPr>
          <w:rFonts w:asciiTheme="minorHAnsi" w:eastAsiaTheme="minorHAnsi" w:hAnsiTheme="minorHAnsi" w:cstheme="minorBidi"/>
          <w:kern w:val="2"/>
          <w:sz w:val="22"/>
          <w:szCs w:val="22"/>
          <w:u w:val="single"/>
          <w:lang w:eastAsia="en-US"/>
          <w14:ligatures w14:val="standardContextual"/>
        </w:rPr>
        <w:t>7</w:t>
      </w:r>
      <w:r w:rsidRPr="008378D1">
        <w:rPr>
          <w:rFonts w:asciiTheme="minorHAnsi" w:eastAsiaTheme="minorHAnsi" w:hAnsiTheme="minorHAnsi" w:cstheme="minorBidi"/>
          <w:kern w:val="2"/>
          <w:sz w:val="22"/>
          <w:szCs w:val="22"/>
          <w:u w:val="single"/>
          <w:lang w:eastAsia="en-US"/>
          <w14:ligatures w14:val="standardContextual"/>
        </w:rPr>
        <w:t xml:space="preserve"> – Definitions</w:t>
      </w:r>
    </w:p>
    <w:p w14:paraId="2606A801" w14:textId="60C251E8" w:rsidR="00CC4FCA" w:rsidRDefault="0054010B" w:rsidP="00D729FD">
      <w:pPr>
        <w:pStyle w:val="NormalWeb"/>
        <w:shd w:val="clear" w:color="auto" w:fill="FFFFFF"/>
        <w:spacing w:before="0" w:beforeAutospacing="0" w:after="200" w:afterAutospacing="0" w:line="276" w:lineRule="atLeast"/>
        <w:jc w:val="both"/>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 This clause inserts three new definitions, being ‘employee</w:t>
      </w:r>
      <w:r w:rsidR="00A67F9B">
        <w:rPr>
          <w:rFonts w:asciiTheme="minorHAnsi" w:eastAsiaTheme="minorHAnsi" w:hAnsiTheme="minorHAnsi" w:cstheme="minorBidi"/>
          <w:kern w:val="2"/>
          <w:sz w:val="22"/>
          <w:szCs w:val="22"/>
          <w:lang w:eastAsia="en-US"/>
          <w14:ligatures w14:val="standardContextual"/>
        </w:rPr>
        <w:t>, of an organisation</w:t>
      </w:r>
      <w:r>
        <w:rPr>
          <w:rFonts w:asciiTheme="minorHAnsi" w:eastAsiaTheme="minorHAnsi" w:hAnsiTheme="minorHAnsi" w:cstheme="minorBidi"/>
          <w:kern w:val="2"/>
          <w:sz w:val="22"/>
          <w:szCs w:val="22"/>
          <w:lang w:eastAsia="en-US"/>
          <w14:ligatures w14:val="standardContextual"/>
        </w:rPr>
        <w:t>’, ‘organisation’ and ‘responsible</w:t>
      </w:r>
      <w:r w:rsidR="00A67F9B">
        <w:rPr>
          <w:rFonts w:asciiTheme="minorHAnsi" w:eastAsiaTheme="minorHAnsi" w:hAnsiTheme="minorHAnsi" w:cstheme="minorBidi"/>
          <w:kern w:val="2"/>
          <w:sz w:val="22"/>
          <w:szCs w:val="22"/>
          <w:lang w:eastAsia="en-US"/>
          <w14:ligatures w14:val="standardContextual"/>
        </w:rPr>
        <w:t>, for a child</w:t>
      </w:r>
      <w:r>
        <w:rPr>
          <w:rFonts w:asciiTheme="minorHAnsi" w:eastAsiaTheme="minorHAnsi" w:hAnsiTheme="minorHAnsi" w:cstheme="minorBidi"/>
          <w:kern w:val="2"/>
          <w:sz w:val="22"/>
          <w:szCs w:val="22"/>
          <w:lang w:eastAsia="en-US"/>
          <w14:ligatures w14:val="standardContextual"/>
        </w:rPr>
        <w:t>’</w:t>
      </w:r>
      <w:r w:rsidR="00CB4A9B">
        <w:rPr>
          <w:rFonts w:asciiTheme="minorHAnsi" w:eastAsiaTheme="minorHAnsi" w:hAnsiTheme="minorHAnsi" w:cstheme="minorBidi"/>
          <w:kern w:val="2"/>
          <w:sz w:val="22"/>
          <w:szCs w:val="22"/>
          <w:lang w:eastAsia="en-US"/>
          <w14:ligatures w14:val="standardContextual"/>
        </w:rPr>
        <w:t xml:space="preserve"> which were expanded upon in </w:t>
      </w:r>
      <w:r w:rsidR="00E00BC7">
        <w:rPr>
          <w:rFonts w:asciiTheme="minorHAnsi" w:eastAsiaTheme="minorHAnsi" w:hAnsiTheme="minorHAnsi" w:cstheme="minorBidi"/>
          <w:kern w:val="2"/>
          <w:sz w:val="22"/>
          <w:szCs w:val="22"/>
          <w:lang w:eastAsia="en-US"/>
          <w14:ligatures w14:val="standardContextual"/>
        </w:rPr>
        <w:t>clause 4 above.</w:t>
      </w:r>
    </w:p>
    <w:p w14:paraId="75B436BD" w14:textId="274EE590" w:rsidR="00CC4FCA" w:rsidRPr="00D729FD" w:rsidRDefault="00CC4FCA" w:rsidP="00D729FD">
      <w:pPr>
        <w:pStyle w:val="NormalWeb"/>
        <w:shd w:val="clear" w:color="auto" w:fill="FFFFFF"/>
        <w:spacing w:before="0" w:beforeAutospacing="0" w:after="200" w:afterAutospacing="0" w:line="276" w:lineRule="atLeast"/>
        <w:jc w:val="both"/>
        <w:rPr>
          <w:rFonts w:asciiTheme="minorHAnsi" w:eastAsiaTheme="minorHAnsi" w:hAnsiTheme="minorHAnsi" w:cstheme="minorBidi"/>
          <w:kern w:val="2"/>
          <w:sz w:val="22"/>
          <w:szCs w:val="22"/>
          <w:lang w:eastAsia="en-US"/>
          <w14:ligatures w14:val="standardContextual"/>
        </w:rPr>
      </w:pPr>
    </w:p>
    <w:sectPr w:rsidR="00CC4FCA" w:rsidRPr="00D729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A75B" w14:textId="77777777" w:rsidR="00CE23C3" w:rsidRDefault="00CE23C3" w:rsidP="00CC4FCA">
      <w:pPr>
        <w:spacing w:after="0" w:line="240" w:lineRule="auto"/>
      </w:pPr>
      <w:r>
        <w:separator/>
      </w:r>
    </w:p>
  </w:endnote>
  <w:endnote w:type="continuationSeparator" w:id="0">
    <w:p w14:paraId="78757219" w14:textId="77777777" w:rsidR="00CE23C3" w:rsidRDefault="00CE23C3" w:rsidP="00CC4FCA">
      <w:pPr>
        <w:spacing w:after="0" w:line="240" w:lineRule="auto"/>
      </w:pPr>
      <w:r>
        <w:continuationSeparator/>
      </w:r>
    </w:p>
  </w:endnote>
  <w:endnote w:type="continuationNotice" w:id="1">
    <w:p w14:paraId="42C55467" w14:textId="77777777" w:rsidR="00CE23C3" w:rsidRDefault="00CE2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7E5A" w14:textId="77777777" w:rsidR="00934BD0" w:rsidRDefault="0093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CDF8" w14:textId="523A2DED" w:rsidR="00CC4FCA" w:rsidRPr="00934BD0" w:rsidRDefault="00934BD0" w:rsidP="00934BD0">
    <w:pPr>
      <w:pStyle w:val="Footer"/>
      <w:jc w:val="center"/>
      <w:rPr>
        <w:rFonts w:ascii="Arial" w:hAnsi="Arial" w:cs="Arial"/>
        <w:sz w:val="14"/>
      </w:rPr>
    </w:pPr>
    <w:r w:rsidRPr="00934BD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291D" w14:textId="77777777" w:rsidR="00934BD0" w:rsidRDefault="0093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5FAF" w14:textId="77777777" w:rsidR="00CE23C3" w:rsidRDefault="00CE23C3" w:rsidP="00CC4FCA">
      <w:pPr>
        <w:spacing w:after="0" w:line="240" w:lineRule="auto"/>
      </w:pPr>
      <w:r>
        <w:separator/>
      </w:r>
    </w:p>
  </w:footnote>
  <w:footnote w:type="continuationSeparator" w:id="0">
    <w:p w14:paraId="1C5BD3DD" w14:textId="77777777" w:rsidR="00CE23C3" w:rsidRDefault="00CE23C3" w:rsidP="00CC4FCA">
      <w:pPr>
        <w:spacing w:after="0" w:line="240" w:lineRule="auto"/>
      </w:pPr>
      <w:r>
        <w:continuationSeparator/>
      </w:r>
    </w:p>
  </w:footnote>
  <w:footnote w:type="continuationNotice" w:id="1">
    <w:p w14:paraId="45EAE909" w14:textId="77777777" w:rsidR="00CE23C3" w:rsidRDefault="00CE2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77C2" w14:textId="77777777" w:rsidR="00934BD0" w:rsidRDefault="00934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964" w14:textId="77777777" w:rsidR="00934BD0" w:rsidRDefault="00934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0F71" w14:textId="77777777" w:rsidR="00934BD0" w:rsidRDefault="0093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07"/>
    <w:multiLevelType w:val="hybridMultilevel"/>
    <w:tmpl w:val="FE1AD4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044E4B2B"/>
    <w:multiLevelType w:val="hybridMultilevel"/>
    <w:tmpl w:val="05AA98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375129B"/>
    <w:multiLevelType w:val="hybridMultilevel"/>
    <w:tmpl w:val="1DBACD68"/>
    <w:lvl w:ilvl="0" w:tplc="83E45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625705"/>
    <w:multiLevelType w:val="hybridMultilevel"/>
    <w:tmpl w:val="032AAD00"/>
    <w:lvl w:ilvl="0" w:tplc="6B749A32">
      <w:start w:val="1"/>
      <w:numFmt w:val="lowerLetter"/>
      <w:lvlText w:val="(%1)"/>
      <w:lvlJc w:val="left"/>
      <w:pPr>
        <w:ind w:left="1800" w:hanging="360"/>
      </w:pPr>
      <w:rPr>
        <w:rFonts w:ascii="Aptos" w:eastAsia="Times New Roman" w:hAnsi="Aptos" w:cs="Apto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53F6C5A"/>
    <w:multiLevelType w:val="hybridMultilevel"/>
    <w:tmpl w:val="0628AD9A"/>
    <w:lvl w:ilvl="0" w:tplc="A22E66E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371F3F"/>
    <w:multiLevelType w:val="hybridMultilevel"/>
    <w:tmpl w:val="EE086D44"/>
    <w:lvl w:ilvl="0" w:tplc="B6962B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253B5F"/>
    <w:multiLevelType w:val="hybridMultilevel"/>
    <w:tmpl w:val="1D083C5E"/>
    <w:lvl w:ilvl="0" w:tplc="0C09000F">
      <w:start w:val="1"/>
      <w:numFmt w:val="decimal"/>
      <w:lvlText w:val="%1."/>
      <w:lvlJc w:val="left"/>
      <w:pPr>
        <w:ind w:left="720" w:hanging="360"/>
      </w:pPr>
    </w:lvl>
    <w:lvl w:ilvl="1" w:tplc="5D04FBB4">
      <w:start w:val="1"/>
      <w:numFmt w:val="decimal"/>
      <w:lvlText w:val="%2."/>
      <w:lvlJc w:val="left"/>
      <w:pPr>
        <w:ind w:left="1440" w:hanging="360"/>
      </w:pPr>
      <w:rPr>
        <w:rFonts w:ascii="Aptos" w:eastAsiaTheme="minorHAnsi" w:hAnsi="Aptos" w:cs="Aptos"/>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6AD40C65"/>
    <w:multiLevelType w:val="multilevel"/>
    <w:tmpl w:val="559E1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7265026">
    <w:abstractNumId w:val="5"/>
  </w:num>
  <w:num w:numId="2" w16cid:durableId="1534343586">
    <w:abstractNumId w:val="2"/>
  </w:num>
  <w:num w:numId="3" w16cid:durableId="1854874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815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251691">
    <w:abstractNumId w:val="0"/>
  </w:num>
  <w:num w:numId="6" w16cid:durableId="1209293569">
    <w:abstractNumId w:val="0"/>
  </w:num>
  <w:num w:numId="7" w16cid:durableId="991370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5677027">
    <w:abstractNumId w:val="0"/>
  </w:num>
  <w:num w:numId="9" w16cid:durableId="1516110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950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1D"/>
    <w:rsid w:val="000028B0"/>
    <w:rsid w:val="00005DA9"/>
    <w:rsid w:val="00010046"/>
    <w:rsid w:val="00014C89"/>
    <w:rsid w:val="00016556"/>
    <w:rsid w:val="00016ED7"/>
    <w:rsid w:val="0002764C"/>
    <w:rsid w:val="00030FEF"/>
    <w:rsid w:val="0003177D"/>
    <w:rsid w:val="000407E3"/>
    <w:rsid w:val="00041253"/>
    <w:rsid w:val="000517B8"/>
    <w:rsid w:val="000533B1"/>
    <w:rsid w:val="000546E5"/>
    <w:rsid w:val="00060731"/>
    <w:rsid w:val="000644AC"/>
    <w:rsid w:val="000839B8"/>
    <w:rsid w:val="00085A3F"/>
    <w:rsid w:val="00094E7E"/>
    <w:rsid w:val="000970AF"/>
    <w:rsid w:val="000A0CF8"/>
    <w:rsid w:val="000A15E0"/>
    <w:rsid w:val="000A4FB4"/>
    <w:rsid w:val="000C41ED"/>
    <w:rsid w:val="000D1C6A"/>
    <w:rsid w:val="000D329B"/>
    <w:rsid w:val="000D553C"/>
    <w:rsid w:val="000F22AB"/>
    <w:rsid w:val="00101033"/>
    <w:rsid w:val="00103DB5"/>
    <w:rsid w:val="001048C0"/>
    <w:rsid w:val="00110005"/>
    <w:rsid w:val="00111414"/>
    <w:rsid w:val="001124D1"/>
    <w:rsid w:val="00115843"/>
    <w:rsid w:val="0011640F"/>
    <w:rsid w:val="00116BB1"/>
    <w:rsid w:val="00116D32"/>
    <w:rsid w:val="00124AF6"/>
    <w:rsid w:val="00130AF0"/>
    <w:rsid w:val="00135223"/>
    <w:rsid w:val="00145CBB"/>
    <w:rsid w:val="0015393D"/>
    <w:rsid w:val="00153DDB"/>
    <w:rsid w:val="00156E7F"/>
    <w:rsid w:val="00160D9A"/>
    <w:rsid w:val="00161146"/>
    <w:rsid w:val="001661DB"/>
    <w:rsid w:val="00170259"/>
    <w:rsid w:val="001709B5"/>
    <w:rsid w:val="0019731E"/>
    <w:rsid w:val="001A4CAF"/>
    <w:rsid w:val="001B1805"/>
    <w:rsid w:val="001B4DE9"/>
    <w:rsid w:val="001B5419"/>
    <w:rsid w:val="001C2ABE"/>
    <w:rsid w:val="001C63DE"/>
    <w:rsid w:val="001D390D"/>
    <w:rsid w:val="001D714C"/>
    <w:rsid w:val="001E11CE"/>
    <w:rsid w:val="00210568"/>
    <w:rsid w:val="002174CA"/>
    <w:rsid w:val="0022169A"/>
    <w:rsid w:val="002268B5"/>
    <w:rsid w:val="00236587"/>
    <w:rsid w:val="00256124"/>
    <w:rsid w:val="00257113"/>
    <w:rsid w:val="00260CD0"/>
    <w:rsid w:val="00267036"/>
    <w:rsid w:val="00273967"/>
    <w:rsid w:val="00275AC7"/>
    <w:rsid w:val="002761DB"/>
    <w:rsid w:val="0027768A"/>
    <w:rsid w:val="00281690"/>
    <w:rsid w:val="00297FEF"/>
    <w:rsid w:val="002A663D"/>
    <w:rsid w:val="002B242A"/>
    <w:rsid w:val="002D20DC"/>
    <w:rsid w:val="002D426C"/>
    <w:rsid w:val="002D4802"/>
    <w:rsid w:val="002E040A"/>
    <w:rsid w:val="002E5C64"/>
    <w:rsid w:val="002F2173"/>
    <w:rsid w:val="00311ECF"/>
    <w:rsid w:val="003125AA"/>
    <w:rsid w:val="00323E6F"/>
    <w:rsid w:val="00334C8D"/>
    <w:rsid w:val="00343E82"/>
    <w:rsid w:val="00356EC5"/>
    <w:rsid w:val="003732BF"/>
    <w:rsid w:val="00375063"/>
    <w:rsid w:val="00376C35"/>
    <w:rsid w:val="00382965"/>
    <w:rsid w:val="00397B32"/>
    <w:rsid w:val="003A0E37"/>
    <w:rsid w:val="003A5FDD"/>
    <w:rsid w:val="003D7B33"/>
    <w:rsid w:val="003F01BB"/>
    <w:rsid w:val="003F3DB5"/>
    <w:rsid w:val="00411C36"/>
    <w:rsid w:val="00413C9D"/>
    <w:rsid w:val="00420BB4"/>
    <w:rsid w:val="00424431"/>
    <w:rsid w:val="0042451C"/>
    <w:rsid w:val="004271AC"/>
    <w:rsid w:val="00432DE6"/>
    <w:rsid w:val="0043690E"/>
    <w:rsid w:val="00436F72"/>
    <w:rsid w:val="004465F0"/>
    <w:rsid w:val="0045486B"/>
    <w:rsid w:val="004609CA"/>
    <w:rsid w:val="004754A7"/>
    <w:rsid w:val="004871AF"/>
    <w:rsid w:val="00495A25"/>
    <w:rsid w:val="00495EA0"/>
    <w:rsid w:val="004974B8"/>
    <w:rsid w:val="004A454F"/>
    <w:rsid w:val="004A5803"/>
    <w:rsid w:val="004A6515"/>
    <w:rsid w:val="004B2250"/>
    <w:rsid w:val="004C6DB6"/>
    <w:rsid w:val="004D08C6"/>
    <w:rsid w:val="004E1C4E"/>
    <w:rsid w:val="004E37FA"/>
    <w:rsid w:val="00507A6A"/>
    <w:rsid w:val="00521DE5"/>
    <w:rsid w:val="0052363F"/>
    <w:rsid w:val="00525115"/>
    <w:rsid w:val="00526E34"/>
    <w:rsid w:val="00526F67"/>
    <w:rsid w:val="00530538"/>
    <w:rsid w:val="0054010B"/>
    <w:rsid w:val="00540EB8"/>
    <w:rsid w:val="0054729C"/>
    <w:rsid w:val="005500E5"/>
    <w:rsid w:val="00555842"/>
    <w:rsid w:val="005564A0"/>
    <w:rsid w:val="00557393"/>
    <w:rsid w:val="005618AE"/>
    <w:rsid w:val="00566DC1"/>
    <w:rsid w:val="00566DF7"/>
    <w:rsid w:val="0056746E"/>
    <w:rsid w:val="005812FB"/>
    <w:rsid w:val="005B1D18"/>
    <w:rsid w:val="005B3E1E"/>
    <w:rsid w:val="005C1BB2"/>
    <w:rsid w:val="005C5AF5"/>
    <w:rsid w:val="005D0AF9"/>
    <w:rsid w:val="005E31D6"/>
    <w:rsid w:val="005E3F9A"/>
    <w:rsid w:val="00610470"/>
    <w:rsid w:val="0061524F"/>
    <w:rsid w:val="0061779C"/>
    <w:rsid w:val="006227E6"/>
    <w:rsid w:val="00622BBD"/>
    <w:rsid w:val="00627725"/>
    <w:rsid w:val="006338BA"/>
    <w:rsid w:val="00656964"/>
    <w:rsid w:val="00684E77"/>
    <w:rsid w:val="00691234"/>
    <w:rsid w:val="00693709"/>
    <w:rsid w:val="0069592B"/>
    <w:rsid w:val="006976D3"/>
    <w:rsid w:val="006A3276"/>
    <w:rsid w:val="006C06D0"/>
    <w:rsid w:val="006C6C14"/>
    <w:rsid w:val="006C6D46"/>
    <w:rsid w:val="006D1F91"/>
    <w:rsid w:val="006D2D0A"/>
    <w:rsid w:val="006D3473"/>
    <w:rsid w:val="006D35CA"/>
    <w:rsid w:val="006E12BA"/>
    <w:rsid w:val="00703113"/>
    <w:rsid w:val="007038EE"/>
    <w:rsid w:val="0070583C"/>
    <w:rsid w:val="007121BB"/>
    <w:rsid w:val="007339FA"/>
    <w:rsid w:val="00737D68"/>
    <w:rsid w:val="007426BC"/>
    <w:rsid w:val="007479D4"/>
    <w:rsid w:val="00747C56"/>
    <w:rsid w:val="00750657"/>
    <w:rsid w:val="007528E7"/>
    <w:rsid w:val="007563A5"/>
    <w:rsid w:val="00756BBC"/>
    <w:rsid w:val="00757529"/>
    <w:rsid w:val="00757AF0"/>
    <w:rsid w:val="00764AE6"/>
    <w:rsid w:val="00770B61"/>
    <w:rsid w:val="00772A88"/>
    <w:rsid w:val="00780049"/>
    <w:rsid w:val="0079270E"/>
    <w:rsid w:val="007A41FB"/>
    <w:rsid w:val="007A5685"/>
    <w:rsid w:val="007C271F"/>
    <w:rsid w:val="007C470A"/>
    <w:rsid w:val="007C6609"/>
    <w:rsid w:val="007D0B9B"/>
    <w:rsid w:val="007D7071"/>
    <w:rsid w:val="007E2737"/>
    <w:rsid w:val="007E27B3"/>
    <w:rsid w:val="007E3688"/>
    <w:rsid w:val="007E4BC0"/>
    <w:rsid w:val="007F3BA9"/>
    <w:rsid w:val="007F7F54"/>
    <w:rsid w:val="00805E93"/>
    <w:rsid w:val="0081729D"/>
    <w:rsid w:val="008215FF"/>
    <w:rsid w:val="00825B00"/>
    <w:rsid w:val="00826495"/>
    <w:rsid w:val="008270B6"/>
    <w:rsid w:val="00833730"/>
    <w:rsid w:val="0083588D"/>
    <w:rsid w:val="008378D1"/>
    <w:rsid w:val="00840C0B"/>
    <w:rsid w:val="00840E36"/>
    <w:rsid w:val="00856E6D"/>
    <w:rsid w:val="00860361"/>
    <w:rsid w:val="00861B82"/>
    <w:rsid w:val="00865655"/>
    <w:rsid w:val="0086718B"/>
    <w:rsid w:val="00870991"/>
    <w:rsid w:val="008720F1"/>
    <w:rsid w:val="00883A35"/>
    <w:rsid w:val="008875AB"/>
    <w:rsid w:val="00894E3A"/>
    <w:rsid w:val="00895C0E"/>
    <w:rsid w:val="0089693C"/>
    <w:rsid w:val="008A2B42"/>
    <w:rsid w:val="008B10A0"/>
    <w:rsid w:val="008B3BC0"/>
    <w:rsid w:val="008C323C"/>
    <w:rsid w:val="008E410E"/>
    <w:rsid w:val="008E6942"/>
    <w:rsid w:val="008F12F2"/>
    <w:rsid w:val="008F265B"/>
    <w:rsid w:val="008F5A11"/>
    <w:rsid w:val="008F63CD"/>
    <w:rsid w:val="008F6FB6"/>
    <w:rsid w:val="009060AE"/>
    <w:rsid w:val="009127C7"/>
    <w:rsid w:val="0091341D"/>
    <w:rsid w:val="009269B8"/>
    <w:rsid w:val="009304E3"/>
    <w:rsid w:val="00934BD0"/>
    <w:rsid w:val="009354C7"/>
    <w:rsid w:val="009404EC"/>
    <w:rsid w:val="00943970"/>
    <w:rsid w:val="00944759"/>
    <w:rsid w:val="00946E5D"/>
    <w:rsid w:val="0095025B"/>
    <w:rsid w:val="00955621"/>
    <w:rsid w:val="00956034"/>
    <w:rsid w:val="00982AF5"/>
    <w:rsid w:val="009966D8"/>
    <w:rsid w:val="009A1012"/>
    <w:rsid w:val="009A74AA"/>
    <w:rsid w:val="009C6426"/>
    <w:rsid w:val="009C676C"/>
    <w:rsid w:val="009C6AC0"/>
    <w:rsid w:val="009F1A03"/>
    <w:rsid w:val="009F3600"/>
    <w:rsid w:val="009F6776"/>
    <w:rsid w:val="009F7640"/>
    <w:rsid w:val="00A10D1B"/>
    <w:rsid w:val="00A22AF2"/>
    <w:rsid w:val="00A23259"/>
    <w:rsid w:val="00A23410"/>
    <w:rsid w:val="00A243CF"/>
    <w:rsid w:val="00A243F9"/>
    <w:rsid w:val="00A27306"/>
    <w:rsid w:val="00A3135D"/>
    <w:rsid w:val="00A32D4F"/>
    <w:rsid w:val="00A3699A"/>
    <w:rsid w:val="00A62ED2"/>
    <w:rsid w:val="00A67F9B"/>
    <w:rsid w:val="00A91835"/>
    <w:rsid w:val="00A966E7"/>
    <w:rsid w:val="00AA1B4A"/>
    <w:rsid w:val="00AC41F2"/>
    <w:rsid w:val="00AC448D"/>
    <w:rsid w:val="00AD5D1A"/>
    <w:rsid w:val="00AD5EEF"/>
    <w:rsid w:val="00AD6B54"/>
    <w:rsid w:val="00AF16EC"/>
    <w:rsid w:val="00AF2C78"/>
    <w:rsid w:val="00AF6562"/>
    <w:rsid w:val="00B05A21"/>
    <w:rsid w:val="00B10EA6"/>
    <w:rsid w:val="00B14D4D"/>
    <w:rsid w:val="00B16672"/>
    <w:rsid w:val="00B20A86"/>
    <w:rsid w:val="00B21376"/>
    <w:rsid w:val="00B27C30"/>
    <w:rsid w:val="00B358BA"/>
    <w:rsid w:val="00B36E04"/>
    <w:rsid w:val="00B37015"/>
    <w:rsid w:val="00B43048"/>
    <w:rsid w:val="00B44BBC"/>
    <w:rsid w:val="00B45778"/>
    <w:rsid w:val="00B465CE"/>
    <w:rsid w:val="00B46D52"/>
    <w:rsid w:val="00B50E21"/>
    <w:rsid w:val="00B53FBC"/>
    <w:rsid w:val="00B54BCE"/>
    <w:rsid w:val="00B5542A"/>
    <w:rsid w:val="00B701AF"/>
    <w:rsid w:val="00B7069E"/>
    <w:rsid w:val="00B77CE6"/>
    <w:rsid w:val="00BB4536"/>
    <w:rsid w:val="00BC4E6C"/>
    <w:rsid w:val="00BD1B55"/>
    <w:rsid w:val="00BE5384"/>
    <w:rsid w:val="00BF0603"/>
    <w:rsid w:val="00BF6183"/>
    <w:rsid w:val="00BF6B8F"/>
    <w:rsid w:val="00C10177"/>
    <w:rsid w:val="00C35B92"/>
    <w:rsid w:val="00C52234"/>
    <w:rsid w:val="00C56466"/>
    <w:rsid w:val="00C662C3"/>
    <w:rsid w:val="00C677C6"/>
    <w:rsid w:val="00C773BD"/>
    <w:rsid w:val="00C84B50"/>
    <w:rsid w:val="00C904DD"/>
    <w:rsid w:val="00C905E7"/>
    <w:rsid w:val="00C95088"/>
    <w:rsid w:val="00CA6604"/>
    <w:rsid w:val="00CB22CD"/>
    <w:rsid w:val="00CB4A9B"/>
    <w:rsid w:val="00CC4FCA"/>
    <w:rsid w:val="00CD3A65"/>
    <w:rsid w:val="00CD3F55"/>
    <w:rsid w:val="00CD430D"/>
    <w:rsid w:val="00CE23C3"/>
    <w:rsid w:val="00CE54AF"/>
    <w:rsid w:val="00CF5AFA"/>
    <w:rsid w:val="00D04FF4"/>
    <w:rsid w:val="00D10C84"/>
    <w:rsid w:val="00D117B0"/>
    <w:rsid w:val="00D11BF3"/>
    <w:rsid w:val="00D21A40"/>
    <w:rsid w:val="00D22BE7"/>
    <w:rsid w:val="00D33A88"/>
    <w:rsid w:val="00D35895"/>
    <w:rsid w:val="00D3763F"/>
    <w:rsid w:val="00D41F29"/>
    <w:rsid w:val="00D42E15"/>
    <w:rsid w:val="00D51F40"/>
    <w:rsid w:val="00D536EE"/>
    <w:rsid w:val="00D729FD"/>
    <w:rsid w:val="00D73128"/>
    <w:rsid w:val="00D773AE"/>
    <w:rsid w:val="00D77756"/>
    <w:rsid w:val="00D91587"/>
    <w:rsid w:val="00D919A0"/>
    <w:rsid w:val="00D930C3"/>
    <w:rsid w:val="00D9552B"/>
    <w:rsid w:val="00DA650E"/>
    <w:rsid w:val="00DA7F86"/>
    <w:rsid w:val="00DB515E"/>
    <w:rsid w:val="00DC74FA"/>
    <w:rsid w:val="00DD498C"/>
    <w:rsid w:val="00DD4EA2"/>
    <w:rsid w:val="00DE4B34"/>
    <w:rsid w:val="00DF17C2"/>
    <w:rsid w:val="00DF252C"/>
    <w:rsid w:val="00DF4017"/>
    <w:rsid w:val="00E00BC7"/>
    <w:rsid w:val="00E01C20"/>
    <w:rsid w:val="00E0611A"/>
    <w:rsid w:val="00E07942"/>
    <w:rsid w:val="00E145A4"/>
    <w:rsid w:val="00E26565"/>
    <w:rsid w:val="00E31B0B"/>
    <w:rsid w:val="00E328B2"/>
    <w:rsid w:val="00E37B15"/>
    <w:rsid w:val="00E42AA9"/>
    <w:rsid w:val="00E442C8"/>
    <w:rsid w:val="00E46796"/>
    <w:rsid w:val="00E50046"/>
    <w:rsid w:val="00E50946"/>
    <w:rsid w:val="00E50F9B"/>
    <w:rsid w:val="00E517B1"/>
    <w:rsid w:val="00E5767F"/>
    <w:rsid w:val="00E645D8"/>
    <w:rsid w:val="00E64771"/>
    <w:rsid w:val="00E66181"/>
    <w:rsid w:val="00E74A05"/>
    <w:rsid w:val="00E95D52"/>
    <w:rsid w:val="00E96659"/>
    <w:rsid w:val="00EA4645"/>
    <w:rsid w:val="00EB79AD"/>
    <w:rsid w:val="00EC0A7F"/>
    <w:rsid w:val="00EC69E2"/>
    <w:rsid w:val="00ED04BA"/>
    <w:rsid w:val="00EE1188"/>
    <w:rsid w:val="00EE240B"/>
    <w:rsid w:val="00EF2A48"/>
    <w:rsid w:val="00EF6DBF"/>
    <w:rsid w:val="00EF6DE5"/>
    <w:rsid w:val="00F01A8D"/>
    <w:rsid w:val="00F21796"/>
    <w:rsid w:val="00F31031"/>
    <w:rsid w:val="00F32361"/>
    <w:rsid w:val="00F4055D"/>
    <w:rsid w:val="00F407A5"/>
    <w:rsid w:val="00F42E98"/>
    <w:rsid w:val="00F661CC"/>
    <w:rsid w:val="00F7171E"/>
    <w:rsid w:val="00F73A81"/>
    <w:rsid w:val="00F73B38"/>
    <w:rsid w:val="00F75A07"/>
    <w:rsid w:val="00F77CA2"/>
    <w:rsid w:val="00F923DE"/>
    <w:rsid w:val="00FC11AD"/>
    <w:rsid w:val="00FC3B15"/>
    <w:rsid w:val="00FD063A"/>
    <w:rsid w:val="00FD24EA"/>
    <w:rsid w:val="00FE3299"/>
    <w:rsid w:val="00FE37D0"/>
    <w:rsid w:val="00FE56F7"/>
    <w:rsid w:val="00FE78EF"/>
    <w:rsid w:val="00FF0F51"/>
    <w:rsid w:val="00FF11F7"/>
    <w:rsid w:val="00FF39B6"/>
    <w:rsid w:val="00FF3CB6"/>
    <w:rsid w:val="04A7A528"/>
    <w:rsid w:val="2A2CEE54"/>
    <w:rsid w:val="5F276421"/>
    <w:rsid w:val="6052014A"/>
    <w:rsid w:val="63001C13"/>
    <w:rsid w:val="641EF629"/>
    <w:rsid w:val="7D9E5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BA45"/>
  <w15:chartTrackingRefBased/>
  <w15:docId w15:val="{0AF11525-5C92-45DA-9D1D-BB75E753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41D"/>
    <w:rPr>
      <w:rFonts w:eastAsiaTheme="majorEastAsia" w:cstheme="majorBidi"/>
      <w:color w:val="272727" w:themeColor="text1" w:themeTint="D8"/>
    </w:rPr>
  </w:style>
  <w:style w:type="paragraph" w:styleId="Title">
    <w:name w:val="Title"/>
    <w:basedOn w:val="Normal"/>
    <w:next w:val="Normal"/>
    <w:link w:val="TitleChar"/>
    <w:uiPriority w:val="10"/>
    <w:qFormat/>
    <w:rsid w:val="0091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41D"/>
    <w:pPr>
      <w:spacing w:before="160"/>
      <w:jc w:val="center"/>
    </w:pPr>
    <w:rPr>
      <w:i/>
      <w:iCs/>
      <w:color w:val="404040" w:themeColor="text1" w:themeTint="BF"/>
    </w:rPr>
  </w:style>
  <w:style w:type="character" w:customStyle="1" w:styleId="QuoteChar">
    <w:name w:val="Quote Char"/>
    <w:basedOn w:val="DefaultParagraphFont"/>
    <w:link w:val="Quote"/>
    <w:uiPriority w:val="29"/>
    <w:rsid w:val="0091341D"/>
    <w:rPr>
      <w:i/>
      <w:iCs/>
      <w:color w:val="404040" w:themeColor="text1" w:themeTint="BF"/>
    </w:rPr>
  </w:style>
  <w:style w:type="paragraph" w:styleId="ListParagraph">
    <w:name w:val="List Paragraph"/>
    <w:basedOn w:val="Normal"/>
    <w:uiPriority w:val="34"/>
    <w:qFormat/>
    <w:rsid w:val="0091341D"/>
    <w:pPr>
      <w:ind w:left="720"/>
      <w:contextualSpacing/>
    </w:pPr>
  </w:style>
  <w:style w:type="character" w:styleId="IntenseEmphasis">
    <w:name w:val="Intense Emphasis"/>
    <w:basedOn w:val="DefaultParagraphFont"/>
    <w:uiPriority w:val="21"/>
    <w:qFormat/>
    <w:rsid w:val="0091341D"/>
    <w:rPr>
      <w:i/>
      <w:iCs/>
      <w:color w:val="0F4761" w:themeColor="accent1" w:themeShade="BF"/>
    </w:rPr>
  </w:style>
  <w:style w:type="paragraph" w:styleId="IntenseQuote">
    <w:name w:val="Intense Quote"/>
    <w:basedOn w:val="Normal"/>
    <w:next w:val="Normal"/>
    <w:link w:val="IntenseQuoteChar"/>
    <w:uiPriority w:val="30"/>
    <w:qFormat/>
    <w:rsid w:val="00913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41D"/>
    <w:rPr>
      <w:i/>
      <w:iCs/>
      <w:color w:val="0F4761" w:themeColor="accent1" w:themeShade="BF"/>
    </w:rPr>
  </w:style>
  <w:style w:type="character" w:styleId="IntenseReference">
    <w:name w:val="Intense Reference"/>
    <w:basedOn w:val="DefaultParagraphFont"/>
    <w:uiPriority w:val="32"/>
    <w:qFormat/>
    <w:rsid w:val="0091341D"/>
    <w:rPr>
      <w:b/>
      <w:bCs/>
      <w:smallCaps/>
      <w:color w:val="0F4761" w:themeColor="accent1" w:themeShade="BF"/>
      <w:spacing w:val="5"/>
    </w:rPr>
  </w:style>
  <w:style w:type="paragraph" w:styleId="NormalWeb">
    <w:name w:val="Normal (Web)"/>
    <w:basedOn w:val="Normal"/>
    <w:uiPriority w:val="99"/>
    <w:unhideWhenUsed/>
    <w:rsid w:val="0091341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52363F"/>
    <w:rPr>
      <w:sz w:val="16"/>
      <w:szCs w:val="16"/>
    </w:rPr>
  </w:style>
  <w:style w:type="paragraph" w:styleId="CommentText">
    <w:name w:val="annotation text"/>
    <w:basedOn w:val="Normal"/>
    <w:link w:val="CommentTextChar"/>
    <w:uiPriority w:val="99"/>
    <w:unhideWhenUsed/>
    <w:rsid w:val="0052363F"/>
    <w:pPr>
      <w:spacing w:line="240" w:lineRule="auto"/>
    </w:pPr>
    <w:rPr>
      <w:sz w:val="20"/>
      <w:szCs w:val="20"/>
    </w:rPr>
  </w:style>
  <w:style w:type="character" w:customStyle="1" w:styleId="CommentTextChar">
    <w:name w:val="Comment Text Char"/>
    <w:basedOn w:val="DefaultParagraphFont"/>
    <w:link w:val="CommentText"/>
    <w:uiPriority w:val="99"/>
    <w:rsid w:val="0052363F"/>
    <w:rPr>
      <w:sz w:val="20"/>
      <w:szCs w:val="20"/>
    </w:rPr>
  </w:style>
  <w:style w:type="paragraph" w:styleId="CommentSubject">
    <w:name w:val="annotation subject"/>
    <w:basedOn w:val="CommentText"/>
    <w:next w:val="CommentText"/>
    <w:link w:val="CommentSubjectChar"/>
    <w:uiPriority w:val="99"/>
    <w:semiHidden/>
    <w:unhideWhenUsed/>
    <w:rsid w:val="0052363F"/>
    <w:rPr>
      <w:b/>
      <w:bCs/>
    </w:rPr>
  </w:style>
  <w:style w:type="character" w:customStyle="1" w:styleId="CommentSubjectChar">
    <w:name w:val="Comment Subject Char"/>
    <w:basedOn w:val="CommentTextChar"/>
    <w:link w:val="CommentSubject"/>
    <w:uiPriority w:val="99"/>
    <w:semiHidden/>
    <w:rsid w:val="0052363F"/>
    <w:rPr>
      <w:b/>
      <w:bCs/>
      <w:sz w:val="20"/>
      <w:szCs w:val="20"/>
    </w:rPr>
  </w:style>
  <w:style w:type="character" w:styleId="Hyperlink">
    <w:name w:val="Hyperlink"/>
    <w:basedOn w:val="DefaultParagraphFont"/>
    <w:uiPriority w:val="99"/>
    <w:unhideWhenUsed/>
    <w:rsid w:val="0052363F"/>
    <w:rPr>
      <w:color w:val="467886" w:themeColor="hyperlink"/>
      <w:u w:val="single"/>
    </w:rPr>
  </w:style>
  <w:style w:type="character" w:styleId="UnresolvedMention">
    <w:name w:val="Unresolved Mention"/>
    <w:basedOn w:val="DefaultParagraphFont"/>
    <w:uiPriority w:val="99"/>
    <w:semiHidden/>
    <w:unhideWhenUsed/>
    <w:rsid w:val="0052363F"/>
    <w:rPr>
      <w:color w:val="605E5C"/>
      <w:shd w:val="clear" w:color="auto" w:fill="E1DFDD"/>
    </w:rPr>
  </w:style>
  <w:style w:type="character" w:customStyle="1" w:styleId="white-space-pre">
    <w:name w:val="white-space-pre"/>
    <w:basedOn w:val="DefaultParagraphFont"/>
    <w:rsid w:val="004B2250"/>
  </w:style>
  <w:style w:type="paragraph" w:customStyle="1" w:styleId="ah5sec">
    <w:name w:val="ah5sec"/>
    <w:basedOn w:val="Normal"/>
    <w:rsid w:val="00FF39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sectno">
    <w:name w:val="charsectno"/>
    <w:basedOn w:val="DefaultParagraphFont"/>
    <w:rsid w:val="00FF39B6"/>
  </w:style>
  <w:style w:type="paragraph" w:customStyle="1" w:styleId="anote">
    <w:name w:val="anote"/>
    <w:basedOn w:val="Normal"/>
    <w:rsid w:val="00FF39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itals">
    <w:name w:val="charitals"/>
    <w:basedOn w:val="DefaultParagraphFont"/>
    <w:rsid w:val="00FF39B6"/>
  </w:style>
  <w:style w:type="paragraph" w:customStyle="1" w:styleId="amain">
    <w:name w:val="amain"/>
    <w:basedOn w:val="Normal"/>
    <w:rsid w:val="00FF39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examhead">
    <w:name w:val="aexamhead"/>
    <w:basedOn w:val="Normal"/>
    <w:rsid w:val="00FF39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exam">
    <w:name w:val="aexam"/>
    <w:basedOn w:val="Normal"/>
    <w:rsid w:val="00FF39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693709"/>
    <w:rPr>
      <w:i/>
      <w:iCs/>
    </w:rPr>
  </w:style>
  <w:style w:type="paragraph" w:customStyle="1" w:styleId="amainreturn">
    <w:name w:val="amainreturn"/>
    <w:basedOn w:val="Normal"/>
    <w:rsid w:val="00124AF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CC4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CA"/>
  </w:style>
  <w:style w:type="paragraph" w:styleId="Footer">
    <w:name w:val="footer"/>
    <w:basedOn w:val="Normal"/>
    <w:link w:val="FooterChar"/>
    <w:uiPriority w:val="99"/>
    <w:unhideWhenUsed/>
    <w:rsid w:val="00CC4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CA"/>
  </w:style>
  <w:style w:type="paragraph" w:customStyle="1" w:styleId="normal-p">
    <w:name w:val="normal-p"/>
    <w:basedOn w:val="Normal"/>
    <w:rsid w:val="00CA660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h">
    <w:name w:val="normal-h"/>
    <w:basedOn w:val="DefaultParagraphFont"/>
    <w:rsid w:val="00CA6604"/>
  </w:style>
  <w:style w:type="character" w:customStyle="1" w:styleId="normalitalicschar-h">
    <w:name w:val="normalitalicschar-h"/>
    <w:basedOn w:val="DefaultParagraphFont"/>
    <w:rsid w:val="00CA6604"/>
  </w:style>
  <w:style w:type="paragraph" w:customStyle="1" w:styleId="smallat1-p">
    <w:name w:val="smallat1-p"/>
    <w:basedOn w:val="Normal"/>
    <w:rsid w:val="00CA660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mallat1-h">
    <w:name w:val="smallat1-h"/>
    <w:basedOn w:val="DefaultParagraphFont"/>
    <w:rsid w:val="00CA6604"/>
  </w:style>
  <w:style w:type="paragraph" w:styleId="FootnoteText">
    <w:name w:val="footnote text"/>
    <w:basedOn w:val="Normal"/>
    <w:link w:val="FootnoteTextChar"/>
    <w:uiPriority w:val="99"/>
    <w:semiHidden/>
    <w:unhideWhenUsed/>
    <w:rsid w:val="00094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E7E"/>
    <w:rPr>
      <w:sz w:val="20"/>
      <w:szCs w:val="20"/>
    </w:rPr>
  </w:style>
  <w:style w:type="character" w:styleId="FootnoteReference">
    <w:name w:val="footnote reference"/>
    <w:basedOn w:val="DefaultParagraphFont"/>
    <w:uiPriority w:val="99"/>
    <w:semiHidden/>
    <w:unhideWhenUsed/>
    <w:rsid w:val="00094E7E"/>
    <w:rPr>
      <w:vertAlign w:val="superscript"/>
    </w:rPr>
  </w:style>
  <w:style w:type="character" w:customStyle="1" w:styleId="charcithyperlinkital">
    <w:name w:val="charcithyperlinkital"/>
    <w:basedOn w:val="DefaultParagraphFont"/>
    <w:rsid w:val="00AD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572">
      <w:bodyDiv w:val="1"/>
      <w:marLeft w:val="0"/>
      <w:marRight w:val="0"/>
      <w:marTop w:val="0"/>
      <w:marBottom w:val="0"/>
      <w:divBdr>
        <w:top w:val="none" w:sz="0" w:space="0" w:color="auto"/>
        <w:left w:val="none" w:sz="0" w:space="0" w:color="auto"/>
        <w:bottom w:val="none" w:sz="0" w:space="0" w:color="auto"/>
        <w:right w:val="none" w:sz="0" w:space="0" w:color="auto"/>
      </w:divBdr>
    </w:div>
    <w:div w:id="231743219">
      <w:bodyDiv w:val="1"/>
      <w:marLeft w:val="0"/>
      <w:marRight w:val="0"/>
      <w:marTop w:val="0"/>
      <w:marBottom w:val="0"/>
      <w:divBdr>
        <w:top w:val="none" w:sz="0" w:space="0" w:color="auto"/>
        <w:left w:val="none" w:sz="0" w:space="0" w:color="auto"/>
        <w:bottom w:val="none" w:sz="0" w:space="0" w:color="auto"/>
        <w:right w:val="none" w:sz="0" w:space="0" w:color="auto"/>
      </w:divBdr>
    </w:div>
    <w:div w:id="258366521">
      <w:bodyDiv w:val="1"/>
      <w:marLeft w:val="0"/>
      <w:marRight w:val="0"/>
      <w:marTop w:val="0"/>
      <w:marBottom w:val="0"/>
      <w:divBdr>
        <w:top w:val="none" w:sz="0" w:space="0" w:color="auto"/>
        <w:left w:val="none" w:sz="0" w:space="0" w:color="auto"/>
        <w:bottom w:val="none" w:sz="0" w:space="0" w:color="auto"/>
        <w:right w:val="none" w:sz="0" w:space="0" w:color="auto"/>
      </w:divBdr>
    </w:div>
    <w:div w:id="428817974">
      <w:bodyDiv w:val="1"/>
      <w:marLeft w:val="0"/>
      <w:marRight w:val="0"/>
      <w:marTop w:val="0"/>
      <w:marBottom w:val="0"/>
      <w:divBdr>
        <w:top w:val="none" w:sz="0" w:space="0" w:color="auto"/>
        <w:left w:val="none" w:sz="0" w:space="0" w:color="auto"/>
        <w:bottom w:val="none" w:sz="0" w:space="0" w:color="auto"/>
        <w:right w:val="none" w:sz="0" w:space="0" w:color="auto"/>
      </w:divBdr>
    </w:div>
    <w:div w:id="696927607">
      <w:bodyDiv w:val="1"/>
      <w:marLeft w:val="0"/>
      <w:marRight w:val="0"/>
      <w:marTop w:val="0"/>
      <w:marBottom w:val="0"/>
      <w:divBdr>
        <w:top w:val="none" w:sz="0" w:space="0" w:color="auto"/>
        <w:left w:val="none" w:sz="0" w:space="0" w:color="auto"/>
        <w:bottom w:val="none" w:sz="0" w:space="0" w:color="auto"/>
        <w:right w:val="none" w:sz="0" w:space="0" w:color="auto"/>
      </w:divBdr>
    </w:div>
    <w:div w:id="844514653">
      <w:bodyDiv w:val="1"/>
      <w:marLeft w:val="0"/>
      <w:marRight w:val="0"/>
      <w:marTop w:val="0"/>
      <w:marBottom w:val="0"/>
      <w:divBdr>
        <w:top w:val="none" w:sz="0" w:space="0" w:color="auto"/>
        <w:left w:val="none" w:sz="0" w:space="0" w:color="auto"/>
        <w:bottom w:val="none" w:sz="0" w:space="0" w:color="auto"/>
        <w:right w:val="none" w:sz="0" w:space="0" w:color="auto"/>
      </w:divBdr>
    </w:div>
    <w:div w:id="937323725">
      <w:bodyDiv w:val="1"/>
      <w:marLeft w:val="0"/>
      <w:marRight w:val="0"/>
      <w:marTop w:val="0"/>
      <w:marBottom w:val="0"/>
      <w:divBdr>
        <w:top w:val="none" w:sz="0" w:space="0" w:color="auto"/>
        <w:left w:val="none" w:sz="0" w:space="0" w:color="auto"/>
        <w:bottom w:val="none" w:sz="0" w:space="0" w:color="auto"/>
        <w:right w:val="none" w:sz="0" w:space="0" w:color="auto"/>
      </w:divBdr>
    </w:div>
    <w:div w:id="1043867616">
      <w:bodyDiv w:val="1"/>
      <w:marLeft w:val="0"/>
      <w:marRight w:val="0"/>
      <w:marTop w:val="0"/>
      <w:marBottom w:val="0"/>
      <w:divBdr>
        <w:top w:val="none" w:sz="0" w:space="0" w:color="auto"/>
        <w:left w:val="none" w:sz="0" w:space="0" w:color="auto"/>
        <w:bottom w:val="none" w:sz="0" w:space="0" w:color="auto"/>
        <w:right w:val="none" w:sz="0" w:space="0" w:color="auto"/>
      </w:divBdr>
    </w:div>
    <w:div w:id="1335063685">
      <w:bodyDiv w:val="1"/>
      <w:marLeft w:val="0"/>
      <w:marRight w:val="0"/>
      <w:marTop w:val="0"/>
      <w:marBottom w:val="0"/>
      <w:divBdr>
        <w:top w:val="none" w:sz="0" w:space="0" w:color="auto"/>
        <w:left w:val="none" w:sz="0" w:space="0" w:color="auto"/>
        <w:bottom w:val="none" w:sz="0" w:space="0" w:color="auto"/>
        <w:right w:val="none" w:sz="0" w:space="0" w:color="auto"/>
      </w:divBdr>
    </w:div>
    <w:div w:id="1547179954">
      <w:bodyDiv w:val="1"/>
      <w:marLeft w:val="0"/>
      <w:marRight w:val="0"/>
      <w:marTop w:val="0"/>
      <w:marBottom w:val="0"/>
      <w:divBdr>
        <w:top w:val="none" w:sz="0" w:space="0" w:color="auto"/>
        <w:left w:val="none" w:sz="0" w:space="0" w:color="auto"/>
        <w:bottom w:val="none" w:sz="0" w:space="0" w:color="auto"/>
        <w:right w:val="none" w:sz="0" w:space="0" w:color="auto"/>
      </w:divBdr>
    </w:div>
    <w:div w:id="1554459106">
      <w:bodyDiv w:val="1"/>
      <w:marLeft w:val="0"/>
      <w:marRight w:val="0"/>
      <w:marTop w:val="0"/>
      <w:marBottom w:val="0"/>
      <w:divBdr>
        <w:top w:val="none" w:sz="0" w:space="0" w:color="auto"/>
        <w:left w:val="none" w:sz="0" w:space="0" w:color="auto"/>
        <w:bottom w:val="none" w:sz="0" w:space="0" w:color="auto"/>
        <w:right w:val="none" w:sz="0" w:space="0" w:color="auto"/>
      </w:divBdr>
    </w:div>
    <w:div w:id="1599633166">
      <w:bodyDiv w:val="1"/>
      <w:marLeft w:val="0"/>
      <w:marRight w:val="0"/>
      <w:marTop w:val="0"/>
      <w:marBottom w:val="0"/>
      <w:divBdr>
        <w:top w:val="none" w:sz="0" w:space="0" w:color="auto"/>
        <w:left w:val="none" w:sz="0" w:space="0" w:color="auto"/>
        <w:bottom w:val="none" w:sz="0" w:space="0" w:color="auto"/>
        <w:right w:val="none" w:sz="0" w:space="0" w:color="auto"/>
      </w:divBdr>
    </w:div>
    <w:div w:id="1695884173">
      <w:bodyDiv w:val="1"/>
      <w:marLeft w:val="0"/>
      <w:marRight w:val="0"/>
      <w:marTop w:val="0"/>
      <w:marBottom w:val="0"/>
      <w:divBdr>
        <w:top w:val="none" w:sz="0" w:space="0" w:color="auto"/>
        <w:left w:val="none" w:sz="0" w:space="0" w:color="auto"/>
        <w:bottom w:val="none" w:sz="0" w:space="0" w:color="auto"/>
        <w:right w:val="none" w:sz="0" w:space="0" w:color="auto"/>
      </w:divBdr>
    </w:div>
    <w:div w:id="1775897671">
      <w:bodyDiv w:val="1"/>
      <w:marLeft w:val="0"/>
      <w:marRight w:val="0"/>
      <w:marTop w:val="0"/>
      <w:marBottom w:val="0"/>
      <w:divBdr>
        <w:top w:val="none" w:sz="0" w:space="0" w:color="auto"/>
        <w:left w:val="none" w:sz="0" w:space="0" w:color="auto"/>
        <w:bottom w:val="none" w:sz="0" w:space="0" w:color="auto"/>
        <w:right w:val="none" w:sz="0" w:space="0" w:color="auto"/>
      </w:divBdr>
    </w:div>
    <w:div w:id="20392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act.gov.au/a/1985-6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4D68442B-E707-4FA8-9DAE-4EA39DC948AD}">
  <ds:schemaRefs>
    <ds:schemaRef ds:uri="http://schemas.openxmlformats.org/officeDocument/2006/bibliography"/>
  </ds:schemaRefs>
</ds:datastoreItem>
</file>

<file path=customXml/itemProps2.xml><?xml version="1.0" encoding="utf-8"?>
<ds:datastoreItem xmlns:ds="http://schemas.openxmlformats.org/officeDocument/2006/customXml" ds:itemID="{8ED83F46-62FD-47EA-808B-159727539313}">
  <ds:schemaRefs>
    <ds:schemaRef ds:uri="http://schemas.microsoft.com/sharepoint/v3/contenttype/forms"/>
  </ds:schemaRefs>
</ds:datastoreItem>
</file>

<file path=customXml/itemProps3.xml><?xml version="1.0" encoding="utf-8"?>
<ds:datastoreItem xmlns:ds="http://schemas.openxmlformats.org/officeDocument/2006/customXml" ds:itemID="{47359371-E5D2-4523-9818-1D30A7D8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34419-F844-4984-A3E4-6C1F63016F9C}">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2464</Words>
  <Characters>12728</Characters>
  <Application>Microsoft Office Word</Application>
  <DocSecurity>0</DocSecurity>
  <Lines>254</Lines>
  <Paragraphs>63</Paragraphs>
  <ScaleCrop>false</ScaleCrop>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2025-06-25T00:31:00Z</dcterms:created>
  <dcterms:modified xsi:type="dcterms:W3CDTF">2025-06-25T00:31:00Z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2025-06-25T00:31:22Z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7ba5159b-a48c-4667-b886-8e341d82fa54</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