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F9B" w14:textId="51AA7074" w:rsidR="00E90DF9" w:rsidRPr="008C3B92" w:rsidRDefault="00E90DF9" w:rsidP="00E90DF9">
      <w:pPr>
        <w:spacing w:after="0"/>
        <w:rPr>
          <w:rFonts w:ascii="Arial" w:hAnsi="Arial" w:cs="Arial"/>
          <w:b/>
          <w:bCs/>
          <w:sz w:val="24"/>
          <w:szCs w:val="24"/>
        </w:rPr>
      </w:pPr>
    </w:p>
    <w:p w14:paraId="5C6C9ECA" w14:textId="595637F8"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D66685">
        <w:rPr>
          <w:rFonts w:ascii="Arial" w:hAnsi="Arial" w:cs="Arial"/>
          <w:b/>
          <w:bCs/>
          <w:sz w:val="24"/>
          <w:szCs w:val="24"/>
        </w:rPr>
        <w:t>5</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4095B364" w:rsidR="00E90DF9" w:rsidRPr="00BB387E" w:rsidRDefault="009E0822" w:rsidP="00E90DF9">
      <w:pPr>
        <w:spacing w:after="0"/>
        <w:jc w:val="center"/>
        <w:rPr>
          <w:rFonts w:ascii="Arial" w:hAnsi="Arial" w:cs="Arial"/>
          <w:b/>
          <w:sz w:val="24"/>
          <w:szCs w:val="24"/>
        </w:rPr>
      </w:pPr>
      <w:r>
        <w:rPr>
          <w:rFonts w:ascii="Arial" w:hAnsi="Arial" w:cs="Arial"/>
          <w:b/>
          <w:sz w:val="24"/>
          <w:szCs w:val="24"/>
        </w:rPr>
        <w:t>ELEV</w:t>
      </w:r>
      <w:r w:rsidR="00E90DF9">
        <w:rPr>
          <w:rFonts w:ascii="Arial" w:hAnsi="Arial" w:cs="Arial"/>
          <w:b/>
          <w:sz w:val="24"/>
          <w:szCs w:val="24"/>
        </w:rPr>
        <w:t>ENTH 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BB387E" w:rsidRDefault="00E90DF9" w:rsidP="00E90DF9">
      <w:pPr>
        <w:spacing w:after="0"/>
        <w:jc w:val="center"/>
        <w:rPr>
          <w:rFonts w:ascii="Arial" w:hAnsi="Arial" w:cs="Arial"/>
          <w:b/>
          <w:sz w:val="24"/>
          <w:szCs w:val="24"/>
        </w:rPr>
      </w:pPr>
    </w:p>
    <w:p w14:paraId="62527870" w14:textId="77777777" w:rsidR="00E90DF9" w:rsidRPr="00BB387E" w:rsidRDefault="00E90DF9" w:rsidP="00E90DF9">
      <w:pPr>
        <w:spacing w:after="0"/>
        <w:jc w:val="center"/>
        <w:rPr>
          <w:rFonts w:ascii="Arial" w:hAnsi="Arial" w:cs="Arial"/>
          <w:b/>
          <w:sz w:val="24"/>
          <w:szCs w:val="24"/>
        </w:rPr>
      </w:pPr>
    </w:p>
    <w:p w14:paraId="10E34864" w14:textId="77777777" w:rsidR="00E90DF9" w:rsidRPr="00BB387E" w:rsidRDefault="00E90DF9" w:rsidP="00E90DF9">
      <w:pPr>
        <w:spacing w:after="0"/>
        <w:jc w:val="center"/>
        <w:rPr>
          <w:rFonts w:ascii="Arial" w:hAnsi="Arial" w:cs="Arial"/>
          <w:b/>
          <w:sz w:val="24"/>
          <w:szCs w:val="24"/>
        </w:rPr>
      </w:pPr>
    </w:p>
    <w:p w14:paraId="7A5CE6C9" w14:textId="77777777" w:rsidR="00E90DF9" w:rsidRPr="00043898" w:rsidRDefault="00E90DF9" w:rsidP="00E90DF9">
      <w:pPr>
        <w:spacing w:after="0"/>
        <w:jc w:val="center"/>
        <w:rPr>
          <w:rFonts w:ascii="Arial" w:hAnsi="Arial" w:cs="Arial"/>
          <w:b/>
          <w:sz w:val="24"/>
          <w:szCs w:val="24"/>
        </w:rPr>
      </w:pPr>
    </w:p>
    <w:p w14:paraId="590EB1A4" w14:textId="761492D8" w:rsidR="00E90DF9" w:rsidRPr="00043898" w:rsidRDefault="00043898" w:rsidP="00E90DF9">
      <w:pPr>
        <w:spacing w:after="0"/>
        <w:jc w:val="center"/>
        <w:rPr>
          <w:rFonts w:ascii="Arial" w:hAnsi="Arial" w:cs="Arial"/>
          <w:b/>
          <w:bCs/>
          <w:sz w:val="24"/>
          <w:szCs w:val="24"/>
        </w:rPr>
      </w:pPr>
      <w:r w:rsidRPr="00043898">
        <w:rPr>
          <w:rFonts w:ascii="Arial" w:hAnsi="Arial" w:cs="Arial"/>
          <w:b/>
          <w:bCs/>
          <w:sz w:val="24"/>
          <w:szCs w:val="24"/>
        </w:rPr>
        <w:t>CIVIL LAW (WRONGS) (ORGANISATIONAL CHILD ABUSE LIABILITY) AMENDMENT BILL 2025</w:t>
      </w:r>
    </w:p>
    <w:p w14:paraId="23C1CDE7" w14:textId="77777777" w:rsidR="00E90DF9" w:rsidRPr="00043898" w:rsidRDefault="00E90DF9" w:rsidP="00E90DF9">
      <w:pPr>
        <w:spacing w:after="0"/>
        <w:jc w:val="center"/>
        <w:rPr>
          <w:rFonts w:ascii="Arial" w:hAnsi="Arial" w:cs="Arial"/>
          <w:b/>
          <w:bCs/>
          <w:sz w:val="24"/>
          <w:szCs w:val="24"/>
        </w:rPr>
      </w:pPr>
    </w:p>
    <w:p w14:paraId="1BE97576" w14:textId="3F1EF900" w:rsidR="00E90DF9" w:rsidRPr="00043898" w:rsidRDefault="00133825" w:rsidP="00133825">
      <w:pPr>
        <w:spacing w:after="0"/>
        <w:jc w:val="center"/>
        <w:rPr>
          <w:rFonts w:ascii="Arial" w:hAnsi="Arial" w:cs="Arial"/>
          <w:b/>
          <w:bCs/>
          <w:sz w:val="24"/>
          <w:szCs w:val="24"/>
        </w:rPr>
      </w:pPr>
      <w:r w:rsidRPr="00043898">
        <w:rPr>
          <w:rFonts w:ascii="Arial" w:hAnsi="Arial" w:cs="Arial"/>
          <w:b/>
          <w:bCs/>
          <w:sz w:val="24"/>
          <w:szCs w:val="24"/>
        </w:rPr>
        <w:t>GOVERNMENT AMENDMENTS</w:t>
      </w:r>
    </w:p>
    <w:p w14:paraId="664BEC68" w14:textId="10B49D34" w:rsidR="00E90DF9" w:rsidRPr="00043898" w:rsidRDefault="00133825" w:rsidP="00E90DF9">
      <w:pPr>
        <w:spacing w:after="0"/>
        <w:jc w:val="center"/>
        <w:rPr>
          <w:rFonts w:ascii="Arial" w:hAnsi="Arial" w:cs="Arial"/>
          <w:b/>
          <w:bCs/>
          <w:sz w:val="24"/>
          <w:szCs w:val="24"/>
        </w:rPr>
      </w:pPr>
      <w:r w:rsidRPr="00043898">
        <w:rPr>
          <w:rFonts w:ascii="Arial" w:hAnsi="Arial" w:cs="Arial"/>
          <w:b/>
          <w:bCs/>
          <w:sz w:val="24"/>
          <w:szCs w:val="24"/>
        </w:rPr>
        <w:t xml:space="preserve">SUPPLEMENTARY </w:t>
      </w:r>
      <w:r w:rsidR="00E90DF9" w:rsidRPr="00043898">
        <w:rPr>
          <w:rFonts w:ascii="Arial" w:hAnsi="Arial" w:cs="Arial"/>
          <w:b/>
          <w:bCs/>
          <w:sz w:val="24"/>
          <w:szCs w:val="24"/>
        </w:rPr>
        <w:t xml:space="preserve">EXPLANATORY STATEMENT </w:t>
      </w:r>
    </w:p>
    <w:p w14:paraId="25C71D31" w14:textId="77777777" w:rsidR="00E90DF9" w:rsidRPr="00043898" w:rsidRDefault="00E90DF9" w:rsidP="00E90DF9">
      <w:pPr>
        <w:spacing w:after="0"/>
        <w:jc w:val="center"/>
        <w:rPr>
          <w:rFonts w:ascii="Arial" w:hAnsi="Arial" w:cs="Arial"/>
          <w:b/>
          <w:sz w:val="24"/>
          <w:szCs w:val="24"/>
        </w:rPr>
      </w:pPr>
    </w:p>
    <w:p w14:paraId="6759B622" w14:textId="77777777" w:rsidR="00133825" w:rsidRPr="00043898" w:rsidRDefault="00133825" w:rsidP="00E90DF9">
      <w:pPr>
        <w:spacing w:after="0"/>
        <w:jc w:val="center"/>
        <w:rPr>
          <w:rFonts w:ascii="Arial" w:hAnsi="Arial" w:cs="Arial"/>
          <w:b/>
          <w:sz w:val="24"/>
          <w:szCs w:val="24"/>
        </w:rPr>
      </w:pPr>
    </w:p>
    <w:p w14:paraId="4B0A17A5" w14:textId="77777777" w:rsidR="00133825" w:rsidRPr="00043898" w:rsidRDefault="00133825" w:rsidP="00E90DF9">
      <w:pPr>
        <w:spacing w:after="0"/>
        <w:jc w:val="center"/>
        <w:rPr>
          <w:rFonts w:ascii="Arial" w:hAnsi="Arial" w:cs="Arial"/>
          <w:b/>
          <w:sz w:val="24"/>
          <w:szCs w:val="24"/>
        </w:rPr>
      </w:pPr>
    </w:p>
    <w:p w14:paraId="14562BA4" w14:textId="77777777" w:rsidR="00133825" w:rsidRPr="00043898" w:rsidRDefault="00133825" w:rsidP="00E90DF9">
      <w:pPr>
        <w:spacing w:after="0"/>
        <w:jc w:val="center"/>
        <w:rPr>
          <w:rFonts w:ascii="Arial" w:hAnsi="Arial" w:cs="Arial"/>
          <w:b/>
          <w:sz w:val="24"/>
          <w:szCs w:val="24"/>
        </w:rPr>
      </w:pPr>
    </w:p>
    <w:p w14:paraId="3B7A8E87" w14:textId="77777777" w:rsidR="00E90DF9" w:rsidRPr="00043898" w:rsidRDefault="00E90DF9" w:rsidP="00E90DF9">
      <w:pPr>
        <w:spacing w:after="0"/>
        <w:jc w:val="center"/>
        <w:rPr>
          <w:rFonts w:ascii="Arial" w:hAnsi="Arial" w:cs="Arial"/>
          <w:b/>
          <w:sz w:val="24"/>
          <w:szCs w:val="24"/>
        </w:rPr>
      </w:pPr>
    </w:p>
    <w:p w14:paraId="67BAB751" w14:textId="77777777" w:rsidR="00E90DF9" w:rsidRPr="00043898" w:rsidRDefault="00E90DF9" w:rsidP="00E90DF9">
      <w:pPr>
        <w:spacing w:after="0"/>
        <w:jc w:val="center"/>
        <w:rPr>
          <w:rFonts w:ascii="Arial" w:hAnsi="Arial" w:cs="Arial"/>
          <w:b/>
          <w:sz w:val="24"/>
          <w:szCs w:val="24"/>
        </w:rPr>
      </w:pPr>
    </w:p>
    <w:p w14:paraId="3D25356F" w14:textId="77777777" w:rsidR="00E90DF9" w:rsidRPr="00043898" w:rsidRDefault="00E90DF9" w:rsidP="00E90DF9">
      <w:pPr>
        <w:spacing w:after="0"/>
        <w:jc w:val="center"/>
        <w:rPr>
          <w:rFonts w:ascii="Arial" w:hAnsi="Arial" w:cs="Arial"/>
          <w:b/>
          <w:sz w:val="24"/>
          <w:szCs w:val="24"/>
        </w:rPr>
      </w:pPr>
    </w:p>
    <w:p w14:paraId="5A9A0527" w14:textId="77777777" w:rsidR="00E90DF9" w:rsidRPr="00043898" w:rsidRDefault="00E90DF9" w:rsidP="00E90DF9">
      <w:pPr>
        <w:spacing w:after="0"/>
        <w:jc w:val="center"/>
        <w:rPr>
          <w:rFonts w:ascii="Arial" w:hAnsi="Arial" w:cs="Arial"/>
          <w:b/>
          <w:sz w:val="24"/>
          <w:szCs w:val="24"/>
        </w:rPr>
      </w:pPr>
    </w:p>
    <w:p w14:paraId="4CDC9EA3" w14:textId="77777777" w:rsidR="00E90DF9" w:rsidRPr="00043898" w:rsidRDefault="00E90DF9" w:rsidP="00E90DF9">
      <w:pPr>
        <w:spacing w:after="0"/>
        <w:jc w:val="center"/>
        <w:rPr>
          <w:rFonts w:ascii="Arial" w:hAnsi="Arial" w:cs="Arial"/>
          <w:b/>
          <w:sz w:val="24"/>
          <w:szCs w:val="24"/>
        </w:rPr>
      </w:pPr>
    </w:p>
    <w:p w14:paraId="01179C4F" w14:textId="77777777" w:rsidR="00E90DF9" w:rsidRPr="00043898" w:rsidRDefault="00E90DF9" w:rsidP="00E90DF9">
      <w:pPr>
        <w:keepNext/>
        <w:widowControl w:val="0"/>
        <w:spacing w:after="0"/>
        <w:jc w:val="center"/>
        <w:outlineLvl w:val="7"/>
        <w:rPr>
          <w:rFonts w:ascii="Arial" w:hAnsi="Arial" w:cs="Arial"/>
          <w:b/>
          <w:bCs/>
          <w:sz w:val="24"/>
          <w:szCs w:val="24"/>
        </w:rPr>
      </w:pPr>
    </w:p>
    <w:p w14:paraId="63FA2BF3" w14:textId="77777777" w:rsidR="00B9385E" w:rsidRPr="00043898" w:rsidRDefault="00B9385E" w:rsidP="00E90DF9">
      <w:pPr>
        <w:keepNext/>
        <w:widowControl w:val="0"/>
        <w:spacing w:after="0"/>
        <w:jc w:val="center"/>
        <w:outlineLvl w:val="7"/>
        <w:rPr>
          <w:rFonts w:ascii="Arial" w:hAnsi="Arial" w:cs="Arial"/>
          <w:b/>
          <w:bCs/>
          <w:sz w:val="24"/>
          <w:szCs w:val="24"/>
        </w:rPr>
      </w:pPr>
    </w:p>
    <w:p w14:paraId="158291B5" w14:textId="77777777" w:rsidR="00B9385E" w:rsidRPr="00043898" w:rsidRDefault="00B9385E" w:rsidP="00E90DF9">
      <w:pPr>
        <w:keepNext/>
        <w:widowControl w:val="0"/>
        <w:spacing w:after="0"/>
        <w:jc w:val="center"/>
        <w:outlineLvl w:val="7"/>
        <w:rPr>
          <w:rFonts w:ascii="Arial" w:hAnsi="Arial" w:cs="Arial"/>
          <w:b/>
          <w:bCs/>
          <w:sz w:val="24"/>
          <w:szCs w:val="24"/>
        </w:rPr>
      </w:pPr>
    </w:p>
    <w:p w14:paraId="5C2D898C" w14:textId="77777777" w:rsidR="00B9385E" w:rsidRPr="00043898" w:rsidRDefault="00B9385E" w:rsidP="00E90DF9">
      <w:pPr>
        <w:keepNext/>
        <w:widowControl w:val="0"/>
        <w:spacing w:after="0"/>
        <w:jc w:val="center"/>
        <w:outlineLvl w:val="7"/>
        <w:rPr>
          <w:rFonts w:ascii="Arial" w:hAnsi="Arial" w:cs="Arial"/>
          <w:b/>
          <w:bCs/>
          <w:sz w:val="24"/>
          <w:szCs w:val="24"/>
        </w:rPr>
      </w:pPr>
    </w:p>
    <w:p w14:paraId="3547463A" w14:textId="77777777" w:rsidR="00B9385E" w:rsidRPr="00043898" w:rsidRDefault="00B9385E" w:rsidP="00E90DF9">
      <w:pPr>
        <w:keepNext/>
        <w:widowControl w:val="0"/>
        <w:spacing w:after="0"/>
        <w:jc w:val="center"/>
        <w:outlineLvl w:val="7"/>
        <w:rPr>
          <w:rFonts w:ascii="Arial" w:hAnsi="Arial" w:cs="Arial"/>
          <w:b/>
          <w:bCs/>
          <w:sz w:val="24"/>
          <w:szCs w:val="24"/>
        </w:rPr>
      </w:pPr>
    </w:p>
    <w:p w14:paraId="461523AD" w14:textId="77777777" w:rsidR="00E90DF9" w:rsidRPr="00043898" w:rsidRDefault="00E90DF9" w:rsidP="00E90DF9">
      <w:pPr>
        <w:keepNext/>
        <w:widowControl w:val="0"/>
        <w:spacing w:after="0"/>
        <w:ind w:right="686"/>
        <w:jc w:val="right"/>
        <w:outlineLvl w:val="7"/>
        <w:rPr>
          <w:rFonts w:ascii="Arial" w:hAnsi="Arial" w:cs="Arial"/>
          <w:b/>
          <w:bCs/>
          <w:sz w:val="24"/>
          <w:szCs w:val="24"/>
        </w:rPr>
      </w:pPr>
      <w:r w:rsidRPr="00043898">
        <w:rPr>
          <w:rFonts w:ascii="Arial" w:hAnsi="Arial" w:cs="Arial"/>
          <w:b/>
          <w:bCs/>
          <w:sz w:val="24"/>
          <w:szCs w:val="24"/>
        </w:rPr>
        <w:t>Presented by</w:t>
      </w:r>
    </w:p>
    <w:p w14:paraId="340671F6" w14:textId="357C3304" w:rsidR="00E90DF9" w:rsidRPr="00043898" w:rsidRDefault="00043898" w:rsidP="00E90DF9">
      <w:pPr>
        <w:spacing w:after="0"/>
        <w:ind w:right="686"/>
        <w:jc w:val="right"/>
        <w:rPr>
          <w:rFonts w:ascii="Arial" w:hAnsi="Arial" w:cs="Arial"/>
          <w:b/>
          <w:bCs/>
          <w:sz w:val="24"/>
          <w:szCs w:val="24"/>
        </w:rPr>
      </w:pPr>
      <w:r w:rsidRPr="00043898">
        <w:rPr>
          <w:rFonts w:ascii="Arial" w:hAnsi="Arial" w:cs="Arial"/>
          <w:b/>
          <w:bCs/>
          <w:sz w:val="24"/>
          <w:szCs w:val="24"/>
        </w:rPr>
        <w:t>TARA CHEYNE</w:t>
      </w:r>
      <w:r w:rsidR="00E90DF9" w:rsidRPr="00043898">
        <w:rPr>
          <w:rFonts w:ascii="Arial" w:hAnsi="Arial" w:cs="Arial"/>
          <w:b/>
          <w:bCs/>
          <w:sz w:val="24"/>
          <w:szCs w:val="24"/>
        </w:rPr>
        <w:t xml:space="preserve"> MLA</w:t>
      </w:r>
    </w:p>
    <w:p w14:paraId="2B65FA14" w14:textId="4FB2B090" w:rsidR="00E90DF9" w:rsidRPr="00043898" w:rsidRDefault="00043898" w:rsidP="00E90DF9">
      <w:pPr>
        <w:spacing w:after="0"/>
        <w:ind w:right="686"/>
        <w:jc w:val="right"/>
        <w:rPr>
          <w:rFonts w:ascii="Arial" w:hAnsi="Arial" w:cs="Arial"/>
          <w:b/>
          <w:bCs/>
          <w:sz w:val="24"/>
          <w:szCs w:val="24"/>
        </w:rPr>
      </w:pPr>
      <w:r w:rsidRPr="00043898">
        <w:rPr>
          <w:rFonts w:ascii="Arial" w:hAnsi="Arial" w:cs="Arial"/>
          <w:b/>
          <w:bCs/>
          <w:sz w:val="24"/>
          <w:szCs w:val="24"/>
        </w:rPr>
        <w:t>ATTORNEY-GENERAL</w:t>
      </w:r>
    </w:p>
    <w:p w14:paraId="722CCE31" w14:textId="7520827F" w:rsidR="00E90DF9" w:rsidRDefault="00043898" w:rsidP="00E90DF9">
      <w:pPr>
        <w:spacing w:after="0"/>
        <w:ind w:right="686"/>
        <w:jc w:val="right"/>
        <w:rPr>
          <w:rFonts w:ascii="Arial" w:hAnsi="Arial" w:cs="Arial"/>
          <w:b/>
          <w:bCs/>
          <w:sz w:val="24"/>
          <w:szCs w:val="24"/>
        </w:rPr>
      </w:pPr>
      <w:r w:rsidRPr="005F3BE0">
        <w:rPr>
          <w:rFonts w:ascii="Arial" w:hAnsi="Arial" w:cs="Arial"/>
          <w:b/>
          <w:bCs/>
          <w:sz w:val="24"/>
          <w:szCs w:val="24"/>
        </w:rPr>
        <w:t>OCTOBER</w:t>
      </w:r>
      <w:r w:rsidRPr="00043898">
        <w:rPr>
          <w:rFonts w:ascii="Arial" w:hAnsi="Arial" w:cs="Arial"/>
          <w:b/>
          <w:bCs/>
          <w:sz w:val="24"/>
          <w:szCs w:val="24"/>
        </w:rPr>
        <w:t xml:space="preserve"> </w:t>
      </w:r>
      <w:r w:rsidR="00E90DF9" w:rsidRPr="00043898">
        <w:rPr>
          <w:rFonts w:ascii="Arial" w:hAnsi="Arial" w:cs="Arial"/>
          <w:b/>
          <w:bCs/>
          <w:sz w:val="24"/>
          <w:szCs w:val="24"/>
        </w:rPr>
        <w:t>202</w:t>
      </w:r>
      <w:r w:rsidR="00D66685" w:rsidRPr="00043898">
        <w:rPr>
          <w:rFonts w:ascii="Arial" w:hAnsi="Arial" w:cs="Arial"/>
          <w:b/>
          <w:bCs/>
          <w:sz w:val="24"/>
          <w:szCs w:val="24"/>
        </w:rPr>
        <w:t>5</w:t>
      </w:r>
    </w:p>
    <w:p w14:paraId="34D17D6F" w14:textId="77777777" w:rsidR="00344EAC" w:rsidRPr="00043898" w:rsidRDefault="00344EAC" w:rsidP="00E90DF9">
      <w:pPr>
        <w:spacing w:after="0"/>
        <w:ind w:right="686"/>
        <w:jc w:val="right"/>
        <w:rPr>
          <w:rFonts w:ascii="Arial" w:hAnsi="Arial" w:cs="Arial"/>
          <w:b/>
          <w:bCs/>
          <w:sz w:val="24"/>
          <w:szCs w:val="24"/>
        </w:rPr>
      </w:pPr>
    </w:p>
    <w:p w14:paraId="764EA7E1" w14:textId="3F41ACE8" w:rsidR="00E90DF9" w:rsidRPr="008C3B92" w:rsidRDefault="00687352" w:rsidP="00E90DF9">
      <w:pPr>
        <w:spacing w:after="0" w:line="240" w:lineRule="auto"/>
        <w:rPr>
          <w:rFonts w:ascii="Arial" w:hAnsi="Arial" w:cs="Arial"/>
          <w:b/>
          <w:bCs/>
          <w:sz w:val="24"/>
          <w:szCs w:val="24"/>
          <w:u w:val="single"/>
        </w:rPr>
        <w:sectPr w:rsidR="00E90DF9" w:rsidRPr="008C3B92" w:rsidSect="00DC5912">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9" w:footer="675" w:gutter="0"/>
          <w:pgNumType w:start="1"/>
          <w:cols w:space="708"/>
          <w:docGrid w:linePitch="360"/>
        </w:sectPr>
      </w:pPr>
      <w:sdt>
        <w:sdtPr>
          <w:rPr>
            <w:rFonts w:ascii="Arial" w:hAnsi="Arial" w:cs="Arial"/>
            <w:b/>
            <w:bCs/>
            <w:sz w:val="24"/>
            <w:szCs w:val="24"/>
            <w:u w:val="single"/>
          </w:rPr>
          <w:id w:val="-1423633877"/>
          <w:docPartObj>
            <w:docPartGallery w:val="Watermarks"/>
          </w:docPartObj>
        </w:sdtPr>
        <w:sdtEndPr/>
        <w:sdtContent>
          <w:r w:rsidR="00A07436" w:rsidRPr="00A07436">
            <w:rPr>
              <w:rFonts w:ascii="Arial" w:hAnsi="Arial" w:cs="Arial"/>
              <w:b/>
              <w:bCs/>
              <w:noProof/>
              <w:sz w:val="24"/>
              <w:szCs w:val="24"/>
              <w:u w:val="single"/>
            </w:rPr>
            <mc:AlternateContent>
              <mc:Choice Requires="wps">
                <w:drawing>
                  <wp:anchor distT="0" distB="0" distL="114300" distR="114300" simplePos="0" relativeHeight="251659264" behindDoc="1" locked="0" layoutInCell="0" allowOverlap="1" wp14:anchorId="0FD6D2E6" wp14:editId="571E4108">
                    <wp:simplePos x="0" y="0"/>
                    <wp:positionH relativeFrom="margin">
                      <wp:align>center</wp:align>
                    </wp:positionH>
                    <wp:positionV relativeFrom="margin">
                      <wp:align>center</wp:align>
                    </wp:positionV>
                    <wp:extent cx="5943600" cy="2971800"/>
                    <wp:effectExtent l="0" t="0" r="0" b="0"/>
                    <wp:wrapNone/>
                    <wp:docPr id="9385466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3600" cy="2971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FD55C0" w14:textId="4D5FFA9A" w:rsidR="00A07436" w:rsidRPr="00A07436" w:rsidRDefault="00A07436" w:rsidP="00A07436">
                                <w:pPr>
                                  <w:jc w:val="center"/>
                                  <w:rPr>
                                    <w:rFonts w:eastAsia="Calibri" w:cs="Calibri"/>
                                    <w:color w:val="C0C0C0"/>
                                    <w:sz w:val="36"/>
                                    <w:szCs w:val="36"/>
                                    <w14:textFill>
                                      <w14:solidFill>
                                        <w14:srgbClr w14:val="C0C0C0">
                                          <w14:alpha w14:val="50000"/>
                                        </w14:srgbClr>
                                      </w14:solidFill>
                                    </w14:textFill>
                                  </w:rPr>
                                </w:pPr>
                                <w:r w:rsidRPr="00A07436">
                                  <w:rPr>
                                    <w:rFonts w:eastAsia="Calibri" w:cs="Calibri"/>
                                    <w:color w:val="C0C0C0"/>
                                    <w:sz w:val="36"/>
                                    <w:szCs w:val="36"/>
                                    <w14:textFill>
                                      <w14:solidFill>
                                        <w14:srgbClr w14:val="C0C0C0">
                                          <w14:alpha w14:val="50000"/>
                                        </w14:srgbClr>
                                      </w14:solidFill>
                                    </w14:textFill>
                                  </w:rPr>
                                  <w:t>THIS PAGE IS INTENTIONALLY LEFT BLANK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D6D2E6" id="_x0000_t202" coordsize="21600,21600" o:spt="202" path="m,l,21600r21600,l21600,xe">
                    <v:stroke joinstyle="miter"/>
                    <v:path gradientshapeok="t" o:connecttype="rect"/>
                  </v:shapetype>
                  <v:shape id="Text Box 1" o:spid="_x0000_s1026" type="#_x0000_t202" style="position:absolute;margin-left:0;margin-top:0;width:468pt;height:234pt;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" o:allowincell="f" filled="f" stroked="f">
                    <v:stroke joinstyle="round"/>
                    <o:lock v:ext="edit" shapetype="t"/>
                    <v:textbox style="mso-fit-shape-to-text:t">
                      <w:txbxContent>
                        <w:p w14:paraId="6DFD55C0" w14:textId="4D5FFA9A" w:rsidR="00A07436" w:rsidRPr="00A07436" w:rsidRDefault="00A07436" w:rsidP="00A07436">
                          <w:pPr>
                            <w:jc w:val="center"/>
                            <w:rPr>
                              <w:rFonts w:eastAsia="Calibri" w:cs="Calibri"/>
                              <w:color w:val="C0C0C0"/>
                              <w:sz w:val="36"/>
                              <w:szCs w:val="36"/>
                              <w14:textFill>
                                <w14:solidFill>
                                  <w14:srgbClr w14:val="C0C0C0">
                                    <w14:alpha w14:val="50000"/>
                                  </w14:srgbClr>
                                </w14:solidFill>
                              </w14:textFill>
                            </w:rPr>
                          </w:pPr>
                          <w:r w:rsidRPr="00A07436">
                            <w:rPr>
                              <w:rFonts w:eastAsia="Calibri" w:cs="Calibri"/>
                              <w:color w:val="C0C0C0"/>
                              <w:sz w:val="36"/>
                              <w:szCs w:val="36"/>
                              <w14:textFill>
                                <w14:solidFill>
                                  <w14:srgbClr w14:val="C0C0C0">
                                    <w14:alpha w14:val="50000"/>
                                  </w14:srgbClr>
                                </w14:solidFill>
                              </w14:textFill>
                            </w:rPr>
                            <w:t>THIS PAGE IS INTENTIONALLY LEFT BLANK</w:t>
                          </w:r>
                        </w:p>
                      </w:txbxContent>
                    </v:textbox>
                    <w10:wrap anchorx="margin" anchory="margin"/>
                  </v:shape>
                </w:pict>
              </mc:Fallback>
            </mc:AlternateContent>
          </w:r>
        </w:sdtContent>
      </w:sdt>
      <w:r w:rsidR="00E90DF9" w:rsidRPr="008C3B92">
        <w:rPr>
          <w:rFonts w:ascii="Arial" w:hAnsi="Arial" w:cs="Arial"/>
          <w:b/>
          <w:bCs/>
          <w:sz w:val="24"/>
          <w:szCs w:val="24"/>
          <w:u w:val="single"/>
        </w:rPr>
        <w:br w:type="page"/>
      </w:r>
    </w:p>
    <w:p w14:paraId="428B67D0" w14:textId="5C6A7389" w:rsidR="00E90DF9" w:rsidRPr="00BB387E" w:rsidRDefault="00043898" w:rsidP="00E90DF9">
      <w:pPr>
        <w:pStyle w:val="Heading1"/>
        <w:jc w:val="center"/>
      </w:pPr>
      <w:r>
        <w:lastRenderedPageBreak/>
        <w:t>CIVIL LAW (WRONGS) (ORGANISATIONAL CHILD ABUSE LIABILITY) AMENDMENT BILL 2025</w:t>
      </w:r>
    </w:p>
    <w:p w14:paraId="791A60D0" w14:textId="77777777" w:rsidR="00E90DF9" w:rsidRDefault="00E90DF9" w:rsidP="00E90DF9">
      <w:pPr>
        <w:spacing w:after="0"/>
        <w:contextualSpacing/>
        <w:rPr>
          <w:rFonts w:ascii="Arial" w:hAnsi="Arial" w:cs="Arial"/>
          <w:bCs/>
          <w:sz w:val="24"/>
          <w:szCs w:val="24"/>
        </w:rPr>
      </w:pPr>
    </w:p>
    <w:p w14:paraId="7123346C" w14:textId="7CBF71B8" w:rsidR="00D95BA9" w:rsidRPr="00D95BA9" w:rsidRDefault="004F41A5" w:rsidP="00D95BA9">
      <w:pPr>
        <w:spacing w:after="0"/>
        <w:rPr>
          <w:rFonts w:ascii="Arial" w:hAnsi="Arial" w:cs="Arial"/>
          <w:bCs/>
          <w:sz w:val="24"/>
          <w:szCs w:val="24"/>
        </w:rPr>
      </w:pPr>
      <w:r w:rsidRPr="004F41A5">
        <w:rPr>
          <w:rFonts w:ascii="Arial" w:hAnsi="Arial" w:cs="Arial"/>
          <w:bCs/>
          <w:sz w:val="24"/>
          <w:szCs w:val="24"/>
        </w:rPr>
        <w:t xml:space="preserve">This Supplementary Explanatory Statement relates to the </w:t>
      </w:r>
      <w:r w:rsidR="00911F0D">
        <w:rPr>
          <w:rFonts w:ascii="Arial" w:hAnsi="Arial" w:cs="Arial"/>
          <w:bCs/>
          <w:sz w:val="24"/>
          <w:szCs w:val="24"/>
        </w:rPr>
        <w:t>Civil Law (Wrongs) (Organisational Child Abuse Liability) Amendment Bill 2025</w:t>
      </w:r>
      <w:r w:rsidRPr="004F41A5">
        <w:rPr>
          <w:rFonts w:ascii="Arial" w:hAnsi="Arial" w:cs="Arial"/>
          <w:bCs/>
          <w:sz w:val="24"/>
          <w:szCs w:val="24"/>
        </w:rPr>
        <w:t xml:space="preserve"> (the Bill) – Government Amendments</w:t>
      </w:r>
      <w:r w:rsidR="00C32590">
        <w:rPr>
          <w:rFonts w:ascii="Arial" w:hAnsi="Arial" w:cs="Arial"/>
          <w:bCs/>
          <w:sz w:val="24"/>
          <w:szCs w:val="24"/>
        </w:rPr>
        <w:t xml:space="preserve">. </w:t>
      </w:r>
      <w:r w:rsidR="00D95BA9" w:rsidRPr="00D95BA9">
        <w:rPr>
          <w:rFonts w:ascii="Arial" w:hAnsi="Arial" w:cs="Arial"/>
          <w:bCs/>
          <w:sz w:val="24"/>
          <w:szCs w:val="24"/>
        </w:rPr>
        <w:t xml:space="preserve">It has been prepared to assist the reader of the bill and to help inform debate. It does not form part of the bill and has not been endorsed by the Legislative Assembly. </w:t>
      </w:r>
    </w:p>
    <w:p w14:paraId="266B7B2E" w14:textId="79E3E0BA" w:rsidR="00E90DF9" w:rsidRDefault="00E90DF9" w:rsidP="00E90DF9">
      <w:pPr>
        <w:pStyle w:val="Heading2"/>
      </w:pPr>
      <w:r>
        <w:t xml:space="preserve">OVERVIEW OF </w:t>
      </w:r>
      <w:r w:rsidR="002658A0">
        <w:t>GOVERNMENT AMENDMENTS</w:t>
      </w:r>
    </w:p>
    <w:p w14:paraId="04615AD2" w14:textId="6AF1775A" w:rsidR="00E90DF9" w:rsidRDefault="00CA248B" w:rsidP="00E90DF9">
      <w:pPr>
        <w:spacing w:after="120"/>
        <w:ind w:right="-45"/>
        <w:rPr>
          <w:rFonts w:ascii="Arial" w:hAnsi="Arial" w:cs="Arial"/>
          <w:iCs/>
          <w:sz w:val="24"/>
          <w:szCs w:val="24"/>
        </w:rPr>
      </w:pPr>
      <w:r w:rsidRPr="00CA248B">
        <w:rPr>
          <w:rFonts w:ascii="Arial" w:hAnsi="Arial" w:cs="Arial"/>
          <w:iCs/>
          <w:sz w:val="24"/>
          <w:szCs w:val="24"/>
        </w:rPr>
        <w:t>The Government proposes amendments to the Civil Law (Wrongs) (Organisational Child Abuse Liability) Amendment Bill 2025</w:t>
      </w:r>
      <w:r w:rsidR="00C32590">
        <w:rPr>
          <w:rFonts w:ascii="Arial" w:hAnsi="Arial" w:cs="Arial"/>
          <w:iCs/>
          <w:sz w:val="24"/>
          <w:szCs w:val="24"/>
        </w:rPr>
        <w:t xml:space="preserve">, presented to the ACT Legislative Assembly by Mr Rattenbury MLA on </w:t>
      </w:r>
      <w:r w:rsidR="00400490">
        <w:rPr>
          <w:rFonts w:ascii="Arial" w:hAnsi="Arial" w:cs="Arial"/>
          <w:iCs/>
          <w:sz w:val="24"/>
          <w:szCs w:val="24"/>
        </w:rPr>
        <w:t>25 June 2025.</w:t>
      </w:r>
    </w:p>
    <w:p w14:paraId="662895AF" w14:textId="7D910005" w:rsidR="00CA248B" w:rsidRDefault="003741D9" w:rsidP="00E90DF9">
      <w:pPr>
        <w:spacing w:after="120"/>
        <w:ind w:right="-45"/>
        <w:rPr>
          <w:rFonts w:ascii="Arial" w:hAnsi="Arial" w:cs="Arial"/>
          <w:iCs/>
          <w:sz w:val="24"/>
          <w:szCs w:val="24"/>
        </w:rPr>
      </w:pPr>
      <w:r>
        <w:rPr>
          <w:rFonts w:ascii="Arial" w:hAnsi="Arial" w:cs="Arial"/>
          <w:iCs/>
          <w:sz w:val="24"/>
          <w:szCs w:val="24"/>
        </w:rPr>
        <w:t>The Bill</w:t>
      </w:r>
      <w:r w:rsidR="00855CCD" w:rsidRPr="00855CCD">
        <w:rPr>
          <w:rFonts w:ascii="Arial" w:hAnsi="Arial" w:cs="Arial"/>
          <w:iCs/>
          <w:sz w:val="24"/>
          <w:szCs w:val="24"/>
        </w:rPr>
        <w:t xml:space="preserve"> </w:t>
      </w:r>
      <w:r w:rsidR="00855CCD">
        <w:rPr>
          <w:rFonts w:ascii="Arial" w:hAnsi="Arial" w:cs="Arial"/>
          <w:iCs/>
          <w:sz w:val="24"/>
          <w:szCs w:val="24"/>
        </w:rPr>
        <w:t xml:space="preserve">which was intended as a legislative response to the High Court’s decision in </w:t>
      </w:r>
      <w:r w:rsidR="00855CCD">
        <w:rPr>
          <w:rFonts w:ascii="Arial" w:hAnsi="Arial" w:cs="Arial"/>
          <w:bCs/>
          <w:i/>
          <w:iCs/>
          <w:sz w:val="24"/>
          <w:szCs w:val="24"/>
        </w:rPr>
        <w:t xml:space="preserve">Bird v DP (a pseudonym) </w:t>
      </w:r>
      <w:r w:rsidR="00855CCD">
        <w:rPr>
          <w:rFonts w:ascii="Arial" w:hAnsi="Arial" w:cs="Arial"/>
          <w:bCs/>
          <w:sz w:val="24"/>
          <w:szCs w:val="24"/>
        </w:rPr>
        <w:t>[2024] HCA 41,</w:t>
      </w:r>
      <w:r>
        <w:rPr>
          <w:rFonts w:ascii="Arial" w:hAnsi="Arial" w:cs="Arial"/>
          <w:iCs/>
          <w:sz w:val="24"/>
          <w:szCs w:val="24"/>
        </w:rPr>
        <w:t xml:space="preserve"> proposes to extend organisational vicarious liability for child abuse perpetrated by </w:t>
      </w:r>
      <w:r w:rsidR="004568D8">
        <w:rPr>
          <w:rFonts w:ascii="Arial" w:hAnsi="Arial" w:cs="Arial"/>
          <w:iCs/>
          <w:sz w:val="24"/>
          <w:szCs w:val="24"/>
        </w:rPr>
        <w:t>both individuals ‘akin to an employee’ and individuals ‘associated with an organisation’.</w:t>
      </w:r>
      <w:r w:rsidR="008C3D82">
        <w:rPr>
          <w:rFonts w:ascii="Arial" w:hAnsi="Arial" w:cs="Arial"/>
          <w:bCs/>
          <w:sz w:val="24"/>
          <w:szCs w:val="24"/>
        </w:rPr>
        <w:t xml:space="preserve"> </w:t>
      </w:r>
    </w:p>
    <w:p w14:paraId="3C82FA84" w14:textId="6A2CB4C1" w:rsidR="0006141E" w:rsidRDefault="0006141E" w:rsidP="00E90DF9">
      <w:pPr>
        <w:spacing w:after="120"/>
        <w:ind w:right="-45"/>
        <w:rPr>
          <w:rFonts w:ascii="Arial" w:hAnsi="Arial" w:cs="Arial"/>
          <w:iCs/>
          <w:sz w:val="24"/>
          <w:szCs w:val="24"/>
        </w:rPr>
      </w:pPr>
      <w:r>
        <w:rPr>
          <w:rFonts w:ascii="Arial" w:hAnsi="Arial" w:cs="Arial"/>
          <w:iCs/>
          <w:sz w:val="24"/>
          <w:szCs w:val="24"/>
        </w:rPr>
        <w:t xml:space="preserve">The </w:t>
      </w:r>
      <w:r w:rsidR="00A35445">
        <w:rPr>
          <w:rFonts w:ascii="Arial" w:hAnsi="Arial" w:cs="Arial"/>
          <w:iCs/>
          <w:sz w:val="24"/>
          <w:szCs w:val="24"/>
        </w:rPr>
        <w:t xml:space="preserve">Government </w:t>
      </w:r>
      <w:r>
        <w:rPr>
          <w:rFonts w:ascii="Arial" w:hAnsi="Arial" w:cs="Arial"/>
          <w:iCs/>
          <w:sz w:val="24"/>
          <w:szCs w:val="24"/>
        </w:rPr>
        <w:t xml:space="preserve">amendments omit proposed section 114BC of the Bill and substitute a new section </w:t>
      </w:r>
      <w:r w:rsidR="00A25AE9">
        <w:rPr>
          <w:rFonts w:ascii="Arial" w:hAnsi="Arial" w:cs="Arial"/>
          <w:iCs/>
          <w:sz w:val="24"/>
          <w:szCs w:val="24"/>
        </w:rPr>
        <w:t>providing for the meaning of ‘employee’. Employees, for the purposes o</w:t>
      </w:r>
      <w:r w:rsidR="00A23397">
        <w:rPr>
          <w:rFonts w:ascii="Arial" w:hAnsi="Arial" w:cs="Arial"/>
          <w:iCs/>
          <w:sz w:val="24"/>
          <w:szCs w:val="24"/>
        </w:rPr>
        <w:t>f</w:t>
      </w:r>
      <w:r w:rsidR="00A25AE9">
        <w:rPr>
          <w:rFonts w:ascii="Arial" w:hAnsi="Arial" w:cs="Arial"/>
          <w:iCs/>
          <w:sz w:val="24"/>
          <w:szCs w:val="24"/>
        </w:rPr>
        <w:t xml:space="preserve"> vicarious liability </w:t>
      </w:r>
      <w:r w:rsidR="0059133C">
        <w:rPr>
          <w:rFonts w:ascii="Arial" w:hAnsi="Arial" w:cs="Arial"/>
          <w:iCs/>
          <w:sz w:val="24"/>
          <w:szCs w:val="24"/>
        </w:rPr>
        <w:t xml:space="preserve">of organisations </w:t>
      </w:r>
      <w:r w:rsidR="00A25AE9">
        <w:rPr>
          <w:rFonts w:ascii="Arial" w:hAnsi="Arial" w:cs="Arial"/>
          <w:iCs/>
          <w:sz w:val="24"/>
          <w:szCs w:val="24"/>
        </w:rPr>
        <w:t xml:space="preserve">for child abuse, will be defined </w:t>
      </w:r>
      <w:r w:rsidR="00186946">
        <w:rPr>
          <w:rFonts w:ascii="Arial" w:hAnsi="Arial" w:cs="Arial"/>
          <w:iCs/>
          <w:sz w:val="24"/>
          <w:szCs w:val="24"/>
        </w:rPr>
        <w:t xml:space="preserve">to include </w:t>
      </w:r>
      <w:r w:rsidR="00A25AE9">
        <w:rPr>
          <w:rFonts w:ascii="Arial" w:hAnsi="Arial" w:cs="Arial"/>
          <w:iCs/>
          <w:sz w:val="24"/>
          <w:szCs w:val="24"/>
        </w:rPr>
        <w:t xml:space="preserve">individuals ‘akin to an employee’. </w:t>
      </w:r>
    </w:p>
    <w:p w14:paraId="16EAB9E9" w14:textId="0CFCA910" w:rsidR="00B70F49" w:rsidRPr="00B70F49" w:rsidRDefault="00B70F49" w:rsidP="00E90DF9">
      <w:pPr>
        <w:spacing w:after="120"/>
        <w:ind w:right="-45"/>
        <w:rPr>
          <w:rFonts w:ascii="Arial" w:hAnsi="Arial" w:cs="Arial"/>
          <w:bCs/>
          <w:sz w:val="24"/>
          <w:szCs w:val="24"/>
        </w:rPr>
      </w:pPr>
      <w:r>
        <w:rPr>
          <w:rFonts w:ascii="Arial" w:hAnsi="Arial" w:cs="Arial"/>
          <w:bCs/>
          <w:sz w:val="24"/>
          <w:szCs w:val="24"/>
        </w:rPr>
        <w:t xml:space="preserve">This approach aligns the ACT law on the class of persons whose actions organisations would be vicariously liable for </w:t>
      </w:r>
      <w:r w:rsidR="005F3BE0">
        <w:rPr>
          <w:rFonts w:ascii="Arial" w:hAnsi="Arial" w:cs="Arial"/>
          <w:bCs/>
          <w:sz w:val="24"/>
          <w:szCs w:val="24"/>
        </w:rPr>
        <w:t xml:space="preserve">child abuse </w:t>
      </w:r>
      <w:r>
        <w:rPr>
          <w:rFonts w:ascii="Arial" w:hAnsi="Arial" w:cs="Arial"/>
          <w:bCs/>
          <w:sz w:val="24"/>
          <w:szCs w:val="24"/>
        </w:rPr>
        <w:t xml:space="preserve">with other Australian jurisdictions which have legislated </w:t>
      </w:r>
      <w:r w:rsidR="00FB5A44">
        <w:rPr>
          <w:rFonts w:ascii="Arial" w:hAnsi="Arial" w:cs="Arial"/>
          <w:bCs/>
          <w:sz w:val="24"/>
          <w:szCs w:val="24"/>
        </w:rPr>
        <w:t xml:space="preserve">for </w:t>
      </w:r>
      <w:r>
        <w:rPr>
          <w:rFonts w:ascii="Arial" w:hAnsi="Arial" w:cs="Arial"/>
          <w:bCs/>
          <w:sz w:val="24"/>
          <w:szCs w:val="24"/>
        </w:rPr>
        <w:t>organisational vicarious liability for child abuse (New South Wales, South Australia, the Northern Territory and Tasmania).</w:t>
      </w:r>
    </w:p>
    <w:p w14:paraId="64EFB97D" w14:textId="79BECB38" w:rsidR="00376032" w:rsidRDefault="00C11C5C" w:rsidP="00E90DF9">
      <w:pPr>
        <w:spacing w:after="120"/>
        <w:ind w:right="-45"/>
        <w:rPr>
          <w:rFonts w:ascii="Arial" w:hAnsi="Arial" w:cs="Arial"/>
          <w:bCs/>
          <w:sz w:val="24"/>
          <w:szCs w:val="24"/>
        </w:rPr>
      </w:pPr>
      <w:r>
        <w:rPr>
          <w:rFonts w:ascii="Arial" w:hAnsi="Arial" w:cs="Arial"/>
          <w:iCs/>
          <w:sz w:val="24"/>
          <w:szCs w:val="24"/>
        </w:rPr>
        <w:t xml:space="preserve">The High Court’s decision in </w:t>
      </w:r>
      <w:r>
        <w:rPr>
          <w:rFonts w:ascii="Arial" w:hAnsi="Arial" w:cs="Arial"/>
          <w:bCs/>
          <w:i/>
          <w:iCs/>
          <w:sz w:val="24"/>
          <w:szCs w:val="24"/>
        </w:rPr>
        <w:t xml:space="preserve">Bird v DP (a pseudonym) </w:t>
      </w:r>
      <w:r>
        <w:rPr>
          <w:rFonts w:ascii="Arial" w:hAnsi="Arial" w:cs="Arial"/>
          <w:bCs/>
          <w:sz w:val="24"/>
          <w:szCs w:val="24"/>
        </w:rPr>
        <w:t>[2024] HCA 41 considered whether, under the common law of Australia</w:t>
      </w:r>
      <w:r w:rsidR="00404365">
        <w:rPr>
          <w:rFonts w:ascii="Arial" w:hAnsi="Arial" w:cs="Arial"/>
          <w:bCs/>
          <w:sz w:val="24"/>
          <w:szCs w:val="24"/>
        </w:rPr>
        <w:t xml:space="preserve">, </w:t>
      </w:r>
      <w:r>
        <w:rPr>
          <w:rFonts w:ascii="Arial" w:hAnsi="Arial" w:cs="Arial"/>
          <w:bCs/>
          <w:sz w:val="24"/>
          <w:szCs w:val="24"/>
        </w:rPr>
        <w:t xml:space="preserve">vicarious liability applies – or should be extended – to a relationship </w:t>
      </w:r>
      <w:r w:rsidR="00404365">
        <w:rPr>
          <w:rFonts w:ascii="Arial" w:hAnsi="Arial" w:cs="Arial"/>
          <w:bCs/>
          <w:sz w:val="24"/>
          <w:szCs w:val="24"/>
        </w:rPr>
        <w:t xml:space="preserve">between a wrongdoer and a defendant </w:t>
      </w:r>
      <w:r w:rsidR="00AF4557">
        <w:rPr>
          <w:rFonts w:ascii="Arial" w:hAnsi="Arial" w:cs="Arial"/>
          <w:bCs/>
          <w:sz w:val="24"/>
          <w:szCs w:val="24"/>
        </w:rPr>
        <w:t xml:space="preserve">that is </w:t>
      </w:r>
      <w:r>
        <w:rPr>
          <w:rFonts w:ascii="Arial" w:hAnsi="Arial" w:cs="Arial"/>
          <w:bCs/>
          <w:sz w:val="24"/>
          <w:szCs w:val="24"/>
        </w:rPr>
        <w:t>akin to employment. It found that</w:t>
      </w:r>
      <w:r w:rsidR="0059133C">
        <w:rPr>
          <w:rFonts w:ascii="Arial" w:hAnsi="Arial" w:cs="Arial"/>
          <w:bCs/>
          <w:sz w:val="24"/>
          <w:szCs w:val="24"/>
        </w:rPr>
        <w:t>,</w:t>
      </w:r>
      <w:r>
        <w:rPr>
          <w:rFonts w:ascii="Arial" w:hAnsi="Arial" w:cs="Arial"/>
          <w:bCs/>
          <w:sz w:val="24"/>
          <w:szCs w:val="24"/>
        </w:rPr>
        <w:t xml:space="preserve"> at common law,</w:t>
      </w:r>
      <w:r w:rsidR="00475BED">
        <w:rPr>
          <w:rFonts w:ascii="Arial" w:hAnsi="Arial" w:cs="Arial"/>
          <w:bCs/>
          <w:sz w:val="24"/>
          <w:szCs w:val="24"/>
        </w:rPr>
        <w:t xml:space="preserve"> v</w:t>
      </w:r>
      <w:r>
        <w:rPr>
          <w:rFonts w:ascii="Arial" w:hAnsi="Arial" w:cs="Arial"/>
          <w:bCs/>
          <w:sz w:val="24"/>
          <w:szCs w:val="24"/>
        </w:rPr>
        <w:t xml:space="preserve">icarious liability does not apply in these circumstances. </w:t>
      </w:r>
      <w:r w:rsidR="00B70F49">
        <w:rPr>
          <w:rFonts w:ascii="Arial" w:hAnsi="Arial" w:cs="Arial"/>
          <w:bCs/>
          <w:sz w:val="24"/>
          <w:szCs w:val="24"/>
        </w:rPr>
        <w:t>The amendments are intended to respond to the High Court’s decision</w:t>
      </w:r>
      <w:r w:rsidR="009618C8">
        <w:rPr>
          <w:rFonts w:ascii="Arial" w:hAnsi="Arial" w:cs="Arial"/>
          <w:bCs/>
          <w:sz w:val="24"/>
          <w:szCs w:val="24"/>
        </w:rPr>
        <w:t xml:space="preserve"> and enable the courts to undertake an assessment as to whether an individual meets the</w:t>
      </w:r>
      <w:r w:rsidR="005D1820">
        <w:rPr>
          <w:rFonts w:ascii="Arial" w:hAnsi="Arial" w:cs="Arial"/>
          <w:bCs/>
          <w:sz w:val="24"/>
          <w:szCs w:val="24"/>
        </w:rPr>
        <w:t xml:space="preserve"> statutory test, which will be considered on a case-by-case basis with reference to the circumstances of the relationship between the wrongdoer and the organisation.</w:t>
      </w:r>
    </w:p>
    <w:p w14:paraId="0D3ACD48" w14:textId="24CC1045" w:rsidR="00C11C5C" w:rsidRDefault="003B748D" w:rsidP="00E90DF9">
      <w:pPr>
        <w:spacing w:after="120"/>
        <w:ind w:right="-45"/>
        <w:rPr>
          <w:rFonts w:ascii="Arial" w:hAnsi="Arial" w:cs="Arial"/>
          <w:bCs/>
          <w:sz w:val="24"/>
          <w:szCs w:val="24"/>
        </w:rPr>
      </w:pPr>
      <w:r>
        <w:rPr>
          <w:rFonts w:ascii="Arial" w:hAnsi="Arial" w:cs="Arial"/>
          <w:bCs/>
          <w:sz w:val="24"/>
          <w:szCs w:val="24"/>
        </w:rPr>
        <w:t xml:space="preserve">This approach balances the extension of organisational liability </w:t>
      </w:r>
      <w:r w:rsidR="0054235C">
        <w:rPr>
          <w:rFonts w:ascii="Arial" w:hAnsi="Arial" w:cs="Arial"/>
          <w:bCs/>
          <w:sz w:val="24"/>
          <w:szCs w:val="24"/>
        </w:rPr>
        <w:t xml:space="preserve">and accountability for institutional child abuse with the need </w:t>
      </w:r>
      <w:r w:rsidR="0085605A">
        <w:rPr>
          <w:rFonts w:ascii="Arial" w:hAnsi="Arial" w:cs="Arial"/>
          <w:bCs/>
          <w:sz w:val="24"/>
          <w:szCs w:val="24"/>
        </w:rPr>
        <w:t xml:space="preserve">for the careful consideration of the circumstances of the relationship between the perpetrator of abuse and the organisation before </w:t>
      </w:r>
      <w:r w:rsidR="005C162C">
        <w:rPr>
          <w:rFonts w:ascii="Arial" w:hAnsi="Arial" w:cs="Arial"/>
          <w:bCs/>
          <w:sz w:val="24"/>
          <w:szCs w:val="24"/>
        </w:rPr>
        <w:t>vicarious</w:t>
      </w:r>
      <w:r w:rsidR="0085605A">
        <w:rPr>
          <w:rFonts w:ascii="Arial" w:hAnsi="Arial" w:cs="Arial"/>
          <w:bCs/>
          <w:sz w:val="24"/>
          <w:szCs w:val="24"/>
        </w:rPr>
        <w:t xml:space="preserve"> liability is attributed to the organisation</w:t>
      </w:r>
      <w:r w:rsidR="00496940">
        <w:rPr>
          <w:rFonts w:ascii="Arial" w:hAnsi="Arial" w:cs="Arial"/>
          <w:bCs/>
          <w:sz w:val="24"/>
          <w:szCs w:val="24"/>
        </w:rPr>
        <w:t>.</w:t>
      </w:r>
    </w:p>
    <w:p w14:paraId="2C91DD06" w14:textId="14DAE249" w:rsidR="007E4751" w:rsidRDefault="007E4751" w:rsidP="00E90DF9">
      <w:pPr>
        <w:spacing w:after="120"/>
        <w:ind w:right="-45"/>
        <w:rPr>
          <w:rFonts w:ascii="Arial" w:hAnsi="Arial" w:cs="Arial"/>
          <w:bCs/>
          <w:sz w:val="24"/>
          <w:szCs w:val="24"/>
        </w:rPr>
      </w:pPr>
      <w:r>
        <w:rPr>
          <w:rFonts w:ascii="Arial" w:hAnsi="Arial" w:cs="Arial"/>
          <w:bCs/>
          <w:sz w:val="24"/>
          <w:szCs w:val="24"/>
        </w:rPr>
        <w:t xml:space="preserve">The amendments are not intended to exclude religious leaders, such as priests or ministers, or other members of the personnel of religious organisations, whether or not they are ordained, from the meaning of ‘employee’. Where such an individual </w:t>
      </w:r>
      <w:r>
        <w:rPr>
          <w:rFonts w:ascii="Arial" w:hAnsi="Arial" w:cs="Arial"/>
          <w:bCs/>
          <w:sz w:val="24"/>
          <w:szCs w:val="24"/>
        </w:rPr>
        <w:lastRenderedPageBreak/>
        <w:t>carries out activities that are a part of the ordinary activities carried out by the organisation and for the benefit of the organisation, it is intended that they will be ‘akin to an employee’ of the organisation under s 114BC (2) of the Bill.</w:t>
      </w:r>
    </w:p>
    <w:p w14:paraId="31E238DD" w14:textId="7E49153B" w:rsidR="0062217D" w:rsidRPr="00CA248B" w:rsidRDefault="004A7272" w:rsidP="00E90DF9">
      <w:pPr>
        <w:spacing w:after="120"/>
        <w:ind w:right="-45"/>
        <w:rPr>
          <w:rFonts w:ascii="Arial" w:hAnsi="Arial" w:cs="Arial"/>
          <w:iCs/>
          <w:sz w:val="24"/>
          <w:szCs w:val="24"/>
        </w:rPr>
      </w:pPr>
      <w:r>
        <w:rPr>
          <w:rFonts w:ascii="Arial" w:hAnsi="Arial" w:cs="Arial"/>
          <w:bCs/>
          <w:sz w:val="24"/>
          <w:szCs w:val="24"/>
        </w:rPr>
        <w:t xml:space="preserve">Finally, </w:t>
      </w:r>
      <w:r>
        <w:rPr>
          <w:rFonts w:ascii="Arial" w:hAnsi="Arial" w:cs="Arial"/>
          <w:iCs/>
          <w:sz w:val="24"/>
          <w:szCs w:val="24"/>
        </w:rPr>
        <w:t xml:space="preserve">the amendments provide for a regulation making power </w:t>
      </w:r>
      <w:r w:rsidR="00C12672">
        <w:rPr>
          <w:rFonts w:ascii="Arial" w:hAnsi="Arial" w:cs="Arial"/>
          <w:iCs/>
          <w:sz w:val="24"/>
          <w:szCs w:val="24"/>
        </w:rPr>
        <w:t>to prescribe</w:t>
      </w:r>
      <w:r>
        <w:rPr>
          <w:rFonts w:ascii="Arial" w:hAnsi="Arial" w:cs="Arial"/>
          <w:iCs/>
          <w:sz w:val="24"/>
          <w:szCs w:val="24"/>
        </w:rPr>
        <w:t xml:space="preserve"> </w:t>
      </w:r>
      <w:r w:rsidR="004E5163">
        <w:rPr>
          <w:rFonts w:ascii="Arial" w:hAnsi="Arial" w:cs="Arial"/>
          <w:iCs/>
          <w:sz w:val="24"/>
          <w:szCs w:val="24"/>
        </w:rPr>
        <w:t>circumstances whe</w:t>
      </w:r>
      <w:r w:rsidR="00C12672">
        <w:rPr>
          <w:rFonts w:ascii="Arial" w:hAnsi="Arial" w:cs="Arial"/>
          <w:iCs/>
          <w:sz w:val="24"/>
          <w:szCs w:val="24"/>
        </w:rPr>
        <w:t>re</w:t>
      </w:r>
      <w:r w:rsidR="004E5163">
        <w:rPr>
          <w:rFonts w:ascii="Arial" w:hAnsi="Arial" w:cs="Arial"/>
          <w:iCs/>
          <w:sz w:val="24"/>
          <w:szCs w:val="24"/>
        </w:rPr>
        <w:t xml:space="preserve"> an</w:t>
      </w:r>
      <w:r>
        <w:rPr>
          <w:rFonts w:ascii="Arial" w:hAnsi="Arial" w:cs="Arial"/>
          <w:iCs/>
          <w:sz w:val="24"/>
          <w:szCs w:val="24"/>
        </w:rPr>
        <w:t xml:space="preserve"> individual is or is not akin to an employee.</w:t>
      </w:r>
      <w:r w:rsidR="00F01238">
        <w:rPr>
          <w:rFonts w:ascii="Arial" w:hAnsi="Arial" w:cs="Arial"/>
          <w:iCs/>
          <w:sz w:val="24"/>
          <w:szCs w:val="24"/>
        </w:rPr>
        <w:t xml:space="preserve"> This provides the means t</w:t>
      </w:r>
      <w:r w:rsidR="00942F6B">
        <w:rPr>
          <w:rFonts w:ascii="Arial" w:hAnsi="Arial" w:cs="Arial"/>
          <w:iCs/>
          <w:sz w:val="24"/>
          <w:szCs w:val="24"/>
        </w:rPr>
        <w:t xml:space="preserve">o provide further clarity, </w:t>
      </w:r>
      <w:r w:rsidR="00836301">
        <w:rPr>
          <w:rFonts w:ascii="Arial" w:hAnsi="Arial" w:cs="Arial"/>
          <w:iCs/>
          <w:sz w:val="24"/>
          <w:szCs w:val="24"/>
        </w:rPr>
        <w:t>if required</w:t>
      </w:r>
      <w:r w:rsidR="00C12672">
        <w:rPr>
          <w:rFonts w:ascii="Arial" w:hAnsi="Arial" w:cs="Arial"/>
          <w:iCs/>
          <w:sz w:val="24"/>
          <w:szCs w:val="24"/>
        </w:rPr>
        <w:t>,</w:t>
      </w:r>
      <w:r w:rsidR="00A77445">
        <w:rPr>
          <w:rFonts w:ascii="Arial" w:hAnsi="Arial" w:cs="Arial"/>
          <w:iCs/>
          <w:sz w:val="24"/>
          <w:szCs w:val="24"/>
        </w:rPr>
        <w:t xml:space="preserve"> </w:t>
      </w:r>
      <w:r w:rsidR="00C12672">
        <w:rPr>
          <w:rFonts w:ascii="Arial" w:hAnsi="Arial" w:cs="Arial"/>
          <w:iCs/>
          <w:sz w:val="24"/>
          <w:szCs w:val="24"/>
        </w:rPr>
        <w:t xml:space="preserve">on the definitional scope of an employee, </w:t>
      </w:r>
      <w:r w:rsidR="00A77445">
        <w:rPr>
          <w:rFonts w:ascii="Arial" w:hAnsi="Arial" w:cs="Arial"/>
          <w:iCs/>
          <w:sz w:val="24"/>
          <w:szCs w:val="24"/>
        </w:rPr>
        <w:t xml:space="preserve">and to respond to </w:t>
      </w:r>
      <w:r w:rsidR="00C12672">
        <w:rPr>
          <w:rFonts w:ascii="Arial" w:hAnsi="Arial" w:cs="Arial"/>
          <w:iCs/>
          <w:sz w:val="24"/>
          <w:szCs w:val="24"/>
        </w:rPr>
        <w:t xml:space="preserve">legislative and common law </w:t>
      </w:r>
      <w:r w:rsidR="00A77445">
        <w:rPr>
          <w:rFonts w:ascii="Arial" w:hAnsi="Arial" w:cs="Arial"/>
          <w:iCs/>
          <w:sz w:val="24"/>
          <w:szCs w:val="24"/>
        </w:rPr>
        <w:t>developments</w:t>
      </w:r>
      <w:r w:rsidR="00EC2169">
        <w:rPr>
          <w:rFonts w:ascii="Arial" w:hAnsi="Arial" w:cs="Arial"/>
          <w:iCs/>
          <w:sz w:val="24"/>
          <w:szCs w:val="24"/>
        </w:rPr>
        <w:t xml:space="preserve"> in Australia.</w:t>
      </w:r>
    </w:p>
    <w:p w14:paraId="340EF287" w14:textId="63B7324E" w:rsidR="00523EAC" w:rsidRDefault="00E90DF9" w:rsidP="00640B12">
      <w:pPr>
        <w:keepNext/>
        <w:rPr>
          <w:rFonts w:ascii="Arial" w:hAnsi="Arial" w:cs="Arial"/>
          <w:b/>
          <w:sz w:val="24"/>
          <w:szCs w:val="24"/>
        </w:rPr>
      </w:pPr>
      <w:r w:rsidRPr="00AC59DF">
        <w:rPr>
          <w:rFonts w:ascii="Arial" w:hAnsi="Arial" w:cs="Arial"/>
          <w:b/>
          <w:sz w:val="24"/>
          <w:szCs w:val="24"/>
        </w:rPr>
        <w:t>CONSULTATION ON THE PROPOSED APPROACH</w:t>
      </w:r>
    </w:p>
    <w:p w14:paraId="723F5CBD" w14:textId="022AF067" w:rsidR="00523EAC" w:rsidRDefault="00523EAC" w:rsidP="00640B12">
      <w:pPr>
        <w:keepNext/>
        <w:rPr>
          <w:rFonts w:ascii="Arial" w:hAnsi="Arial" w:cs="Arial"/>
          <w:bCs/>
          <w:sz w:val="24"/>
          <w:szCs w:val="24"/>
        </w:rPr>
      </w:pPr>
      <w:r w:rsidRPr="00523EAC">
        <w:rPr>
          <w:rFonts w:ascii="Arial" w:hAnsi="Arial" w:cs="Arial"/>
          <w:bCs/>
          <w:sz w:val="24"/>
          <w:szCs w:val="24"/>
        </w:rPr>
        <w:t xml:space="preserve">The </w:t>
      </w:r>
      <w:r>
        <w:rPr>
          <w:rFonts w:ascii="Arial" w:hAnsi="Arial" w:cs="Arial"/>
          <w:bCs/>
          <w:sz w:val="24"/>
          <w:szCs w:val="24"/>
        </w:rPr>
        <w:t xml:space="preserve">Standing Committee on Legal Affairs conducted an inquiry into the Civil Law (Wrongs) (Organisational Child Abuse Liability) Amendment Bill 2025. </w:t>
      </w:r>
      <w:r w:rsidR="00102EE0">
        <w:rPr>
          <w:rFonts w:ascii="Arial" w:hAnsi="Arial" w:cs="Arial"/>
          <w:bCs/>
          <w:sz w:val="24"/>
          <w:szCs w:val="24"/>
        </w:rPr>
        <w:t xml:space="preserve">The Committee’s final report observed </w:t>
      </w:r>
      <w:r w:rsidR="00ED7038">
        <w:rPr>
          <w:rFonts w:ascii="Arial" w:hAnsi="Arial" w:cs="Arial"/>
          <w:bCs/>
          <w:sz w:val="24"/>
          <w:szCs w:val="24"/>
        </w:rPr>
        <w:t xml:space="preserve">that the scope of the bill, particularly the definitions of ‘akin to employment’ and individuals ‘associated with an organisation’ is a contested space, even among those who support expanding vicarious liability. The Committee </w:t>
      </w:r>
      <w:r w:rsidR="00102EE0">
        <w:rPr>
          <w:rFonts w:ascii="Arial" w:hAnsi="Arial" w:cs="Arial"/>
          <w:bCs/>
          <w:sz w:val="24"/>
          <w:szCs w:val="24"/>
        </w:rPr>
        <w:t>noted</w:t>
      </w:r>
      <w:r w:rsidR="00ED7038">
        <w:rPr>
          <w:rFonts w:ascii="Arial" w:hAnsi="Arial" w:cs="Arial"/>
          <w:bCs/>
          <w:sz w:val="24"/>
          <w:szCs w:val="24"/>
        </w:rPr>
        <w:t xml:space="preserve"> that </w:t>
      </w:r>
      <w:r w:rsidR="00102EE0">
        <w:rPr>
          <w:rFonts w:ascii="Arial" w:hAnsi="Arial" w:cs="Arial"/>
          <w:bCs/>
          <w:sz w:val="24"/>
          <w:szCs w:val="24"/>
        </w:rPr>
        <w:t xml:space="preserve">the scope of the definition is a policy question for the </w:t>
      </w:r>
      <w:r w:rsidR="005F3BE0">
        <w:rPr>
          <w:rFonts w:ascii="Arial" w:hAnsi="Arial" w:cs="Arial"/>
          <w:bCs/>
          <w:sz w:val="24"/>
          <w:szCs w:val="24"/>
        </w:rPr>
        <w:t xml:space="preserve">Legislative </w:t>
      </w:r>
      <w:r w:rsidR="00102EE0">
        <w:rPr>
          <w:rFonts w:ascii="Arial" w:hAnsi="Arial" w:cs="Arial"/>
          <w:bCs/>
          <w:sz w:val="24"/>
          <w:szCs w:val="24"/>
        </w:rPr>
        <w:t>Assembly to consider.</w:t>
      </w:r>
    </w:p>
    <w:p w14:paraId="49F5CD48" w14:textId="65E66836" w:rsidR="00523EAC" w:rsidRPr="00523EAC" w:rsidRDefault="00523EAC" w:rsidP="00E90DF9">
      <w:pPr>
        <w:rPr>
          <w:rFonts w:ascii="Arial" w:hAnsi="Arial" w:cs="Arial"/>
          <w:bCs/>
          <w:sz w:val="24"/>
          <w:szCs w:val="24"/>
        </w:rPr>
      </w:pPr>
      <w:r>
        <w:rPr>
          <w:rFonts w:ascii="Arial" w:hAnsi="Arial" w:cs="Arial"/>
          <w:bCs/>
          <w:sz w:val="24"/>
          <w:szCs w:val="24"/>
        </w:rPr>
        <w:t xml:space="preserve">The Attorney-General has engaged with her counterparts </w:t>
      </w:r>
      <w:r w:rsidR="00F6122F">
        <w:rPr>
          <w:rFonts w:ascii="Arial" w:hAnsi="Arial" w:cs="Arial"/>
          <w:bCs/>
          <w:sz w:val="24"/>
          <w:szCs w:val="24"/>
        </w:rPr>
        <w:t xml:space="preserve">through the Standing Council of Attorneys-General </w:t>
      </w:r>
      <w:r>
        <w:rPr>
          <w:rFonts w:ascii="Arial" w:hAnsi="Arial" w:cs="Arial"/>
          <w:bCs/>
          <w:sz w:val="24"/>
          <w:szCs w:val="24"/>
        </w:rPr>
        <w:t xml:space="preserve">to discuss potential </w:t>
      </w:r>
      <w:r w:rsidR="00F6122F">
        <w:rPr>
          <w:rFonts w:ascii="Arial" w:hAnsi="Arial" w:cs="Arial"/>
          <w:bCs/>
          <w:sz w:val="24"/>
          <w:szCs w:val="24"/>
        </w:rPr>
        <w:t>reform options in response</w:t>
      </w:r>
      <w:r>
        <w:rPr>
          <w:rFonts w:ascii="Arial" w:hAnsi="Arial" w:cs="Arial"/>
          <w:bCs/>
          <w:sz w:val="24"/>
          <w:szCs w:val="24"/>
        </w:rPr>
        <w:t xml:space="preserve"> to the </w:t>
      </w:r>
      <w:r>
        <w:rPr>
          <w:rFonts w:ascii="Arial" w:hAnsi="Arial" w:cs="Arial"/>
          <w:bCs/>
          <w:i/>
          <w:iCs/>
          <w:sz w:val="24"/>
          <w:szCs w:val="24"/>
        </w:rPr>
        <w:t>Bird v DP</w:t>
      </w:r>
      <w:r w:rsidR="00F6122F">
        <w:rPr>
          <w:rFonts w:ascii="Arial" w:hAnsi="Arial" w:cs="Arial"/>
          <w:bCs/>
          <w:i/>
          <w:iCs/>
          <w:sz w:val="24"/>
          <w:szCs w:val="24"/>
        </w:rPr>
        <w:t xml:space="preserve"> (a pseudonym) </w:t>
      </w:r>
      <w:r w:rsidR="00F6122F">
        <w:rPr>
          <w:rFonts w:ascii="Arial" w:hAnsi="Arial" w:cs="Arial"/>
          <w:bCs/>
          <w:sz w:val="24"/>
          <w:szCs w:val="24"/>
        </w:rPr>
        <w:t>[2024] HCA 41</w:t>
      </w:r>
      <w:r>
        <w:rPr>
          <w:rFonts w:ascii="Arial" w:hAnsi="Arial" w:cs="Arial"/>
          <w:bCs/>
          <w:sz w:val="24"/>
          <w:szCs w:val="24"/>
        </w:rPr>
        <w:t xml:space="preserve"> decision</w:t>
      </w:r>
      <w:r w:rsidR="00F6122F">
        <w:rPr>
          <w:rFonts w:ascii="Arial" w:hAnsi="Arial" w:cs="Arial"/>
          <w:bCs/>
          <w:sz w:val="24"/>
          <w:szCs w:val="24"/>
        </w:rPr>
        <w:t>.</w:t>
      </w:r>
    </w:p>
    <w:p w14:paraId="23CB6687" w14:textId="0B517A49" w:rsidR="00CF76B1" w:rsidRPr="005B0897" w:rsidRDefault="00CF76B1" w:rsidP="00127EDD">
      <w:pPr>
        <w:keepNext/>
        <w:rPr>
          <w:rFonts w:ascii="Arial" w:hAnsi="Arial" w:cs="Arial"/>
          <w:b/>
          <w:sz w:val="24"/>
          <w:szCs w:val="24"/>
        </w:rPr>
      </w:pPr>
      <w:r w:rsidRPr="005B0897">
        <w:rPr>
          <w:rFonts w:ascii="Arial" w:hAnsi="Arial" w:cs="Arial"/>
          <w:b/>
          <w:sz w:val="24"/>
          <w:szCs w:val="24"/>
        </w:rPr>
        <w:t>CLIMATE IMPACT</w:t>
      </w:r>
    </w:p>
    <w:p w14:paraId="265A2B2A" w14:textId="12A07EF5" w:rsidR="00A53E70" w:rsidRPr="00911F0D" w:rsidRDefault="00911F0D" w:rsidP="00127EDD">
      <w:pPr>
        <w:keepNext/>
        <w:rPr>
          <w:rFonts w:ascii="Arial" w:hAnsi="Arial" w:cs="Arial"/>
          <w:iCs/>
          <w:sz w:val="24"/>
          <w:szCs w:val="24"/>
        </w:rPr>
      </w:pPr>
      <w:r w:rsidRPr="00911F0D">
        <w:rPr>
          <w:rFonts w:ascii="Arial" w:hAnsi="Arial" w:cs="Arial"/>
          <w:iCs/>
          <w:sz w:val="24"/>
          <w:szCs w:val="24"/>
        </w:rPr>
        <w:t>Nil.</w:t>
      </w:r>
    </w:p>
    <w:p w14:paraId="1E002791" w14:textId="13B1C834" w:rsidR="00E90DF9" w:rsidRDefault="00E90DF9" w:rsidP="00E90DF9">
      <w:pPr>
        <w:pStyle w:val="Heading2"/>
      </w:pPr>
      <w:r>
        <w:t xml:space="preserve">CONSISTENCY WITH </w:t>
      </w:r>
      <w:r w:rsidRPr="008C225D">
        <w:t>HUMAN RIGHTS</w:t>
      </w:r>
    </w:p>
    <w:p w14:paraId="46CD7EB3" w14:textId="22455786" w:rsidR="00E64ABE" w:rsidRPr="00414921" w:rsidRDefault="00E90DF9" w:rsidP="00E90DF9">
      <w:pPr>
        <w:rPr>
          <w:rFonts w:ascii="Arial" w:hAnsi="Arial" w:cs="Arial"/>
          <w:b/>
          <w:bCs/>
          <w:iCs/>
          <w:sz w:val="24"/>
          <w:szCs w:val="24"/>
        </w:rPr>
      </w:pPr>
      <w:r w:rsidRPr="00414921">
        <w:rPr>
          <w:rFonts w:ascii="Arial" w:hAnsi="Arial" w:cs="Arial"/>
          <w:b/>
          <w:bCs/>
          <w:iCs/>
          <w:sz w:val="24"/>
          <w:szCs w:val="24"/>
        </w:rPr>
        <w:t>Rights engaged</w:t>
      </w:r>
    </w:p>
    <w:p w14:paraId="774721D1" w14:textId="77777777" w:rsidR="00E90DF9" w:rsidRPr="00BC3EF0" w:rsidRDefault="00E90DF9" w:rsidP="00E90DF9">
      <w:pPr>
        <w:rPr>
          <w:rFonts w:ascii="Arial" w:hAnsi="Arial" w:cs="Arial"/>
          <w:b/>
          <w:bCs/>
          <w:i/>
          <w:sz w:val="24"/>
          <w:szCs w:val="24"/>
        </w:rPr>
      </w:pPr>
      <w:r w:rsidRPr="00BC3EF0">
        <w:rPr>
          <w:rFonts w:ascii="Arial" w:hAnsi="Arial" w:cs="Arial"/>
          <w:b/>
          <w:bCs/>
          <w:i/>
          <w:sz w:val="24"/>
          <w:szCs w:val="24"/>
        </w:rPr>
        <w:t>Rights Promoted</w:t>
      </w:r>
    </w:p>
    <w:p w14:paraId="0EF57870" w14:textId="04F582C9" w:rsidR="00FE6C83" w:rsidRPr="0019341B" w:rsidRDefault="0019341B" w:rsidP="00E90DF9">
      <w:pPr>
        <w:rPr>
          <w:rFonts w:ascii="Arial" w:hAnsi="Arial" w:cs="Arial"/>
          <w:iCs/>
          <w:sz w:val="24"/>
          <w:szCs w:val="24"/>
        </w:rPr>
      </w:pPr>
      <w:r>
        <w:rPr>
          <w:rFonts w:ascii="Arial" w:hAnsi="Arial" w:cs="Arial"/>
          <w:iCs/>
          <w:sz w:val="24"/>
          <w:szCs w:val="24"/>
        </w:rPr>
        <w:t xml:space="preserve">The amendments promote children’s rights to protection (section 11, </w:t>
      </w:r>
      <w:r>
        <w:rPr>
          <w:rFonts w:ascii="Arial" w:hAnsi="Arial" w:cs="Arial"/>
          <w:i/>
          <w:sz w:val="24"/>
          <w:szCs w:val="24"/>
        </w:rPr>
        <w:t>Human Rights Act 2004</w:t>
      </w:r>
      <w:r>
        <w:rPr>
          <w:rFonts w:ascii="Arial" w:hAnsi="Arial" w:cs="Arial"/>
          <w:iCs/>
          <w:sz w:val="24"/>
          <w:szCs w:val="24"/>
        </w:rPr>
        <w:t>). The Bill, as amended, will extend organisational vicarious liability for child abuse perpetrated by individuals who are akin to employees of the organisation. The establishment of this liability will enable vicarious liability claims to be made against organisations for historical matters and confirms the responsibility that organisations have to safeguard children in their care from abuse.</w:t>
      </w:r>
    </w:p>
    <w:p w14:paraId="54FE1438" w14:textId="29391C0A" w:rsidR="00E90DF9" w:rsidRDefault="00E90DF9" w:rsidP="00E90DF9">
      <w:pPr>
        <w:rPr>
          <w:rFonts w:ascii="Arial" w:hAnsi="Arial" w:cs="Arial"/>
          <w:b/>
          <w:bCs/>
          <w:i/>
          <w:sz w:val="24"/>
          <w:szCs w:val="24"/>
        </w:rPr>
      </w:pPr>
      <w:r w:rsidRPr="00BC3EF0">
        <w:rPr>
          <w:rFonts w:ascii="Arial" w:hAnsi="Arial" w:cs="Arial"/>
          <w:b/>
          <w:bCs/>
          <w:i/>
          <w:sz w:val="24"/>
          <w:szCs w:val="24"/>
        </w:rPr>
        <w:t>Rights Limited</w:t>
      </w:r>
    </w:p>
    <w:p w14:paraId="576BBAC9" w14:textId="48E8E9B2" w:rsidR="006F10BE" w:rsidRPr="006F10BE" w:rsidRDefault="006F10BE" w:rsidP="00E90DF9">
      <w:pPr>
        <w:rPr>
          <w:rFonts w:ascii="Arial" w:hAnsi="Arial" w:cs="Arial"/>
          <w:iCs/>
          <w:sz w:val="24"/>
          <w:szCs w:val="24"/>
        </w:rPr>
      </w:pPr>
      <w:r w:rsidRPr="006F10BE">
        <w:rPr>
          <w:rFonts w:ascii="Arial" w:hAnsi="Arial" w:cs="Arial"/>
          <w:iCs/>
          <w:sz w:val="24"/>
          <w:szCs w:val="24"/>
        </w:rPr>
        <w:t>The am</w:t>
      </w:r>
      <w:r>
        <w:rPr>
          <w:rFonts w:ascii="Arial" w:hAnsi="Arial" w:cs="Arial"/>
          <w:iCs/>
          <w:sz w:val="24"/>
          <w:szCs w:val="24"/>
        </w:rPr>
        <w:t xml:space="preserve">endments </w:t>
      </w:r>
      <w:r w:rsidR="00AA056E">
        <w:rPr>
          <w:rFonts w:ascii="Arial" w:hAnsi="Arial" w:cs="Arial"/>
          <w:iCs/>
          <w:sz w:val="24"/>
          <w:szCs w:val="24"/>
        </w:rPr>
        <w:t>may</w:t>
      </w:r>
      <w:r>
        <w:rPr>
          <w:rFonts w:ascii="Arial" w:hAnsi="Arial" w:cs="Arial"/>
          <w:iCs/>
          <w:sz w:val="24"/>
          <w:szCs w:val="24"/>
        </w:rPr>
        <w:t xml:space="preserve"> affect natural persons </w:t>
      </w:r>
      <w:r w:rsidR="00AA056E">
        <w:rPr>
          <w:rFonts w:ascii="Arial" w:hAnsi="Arial" w:cs="Arial"/>
          <w:iCs/>
          <w:sz w:val="24"/>
          <w:szCs w:val="24"/>
        </w:rPr>
        <w:t>who are members of commi</w:t>
      </w:r>
      <w:r>
        <w:rPr>
          <w:rFonts w:ascii="Arial" w:hAnsi="Arial" w:cs="Arial"/>
          <w:iCs/>
          <w:sz w:val="24"/>
          <w:szCs w:val="24"/>
        </w:rPr>
        <w:t>ttees o</w:t>
      </w:r>
      <w:r w:rsidR="00AA056E">
        <w:rPr>
          <w:rFonts w:ascii="Arial" w:hAnsi="Arial" w:cs="Arial"/>
          <w:iCs/>
          <w:sz w:val="24"/>
          <w:szCs w:val="24"/>
        </w:rPr>
        <w:t xml:space="preserve">f </w:t>
      </w:r>
      <w:r>
        <w:rPr>
          <w:rFonts w:ascii="Arial" w:hAnsi="Arial" w:cs="Arial"/>
          <w:iCs/>
          <w:sz w:val="24"/>
          <w:szCs w:val="24"/>
        </w:rPr>
        <w:t>unincorporated organisations. The imposition of liability on these natural persons does not give rise to human rights limitations.</w:t>
      </w:r>
    </w:p>
    <w:p w14:paraId="15420702" w14:textId="6EA1B08A" w:rsidR="00E90DF9" w:rsidRDefault="00E90DF9" w:rsidP="00A51FDB">
      <w:pPr>
        <w:pStyle w:val="Heading2"/>
        <w:pageBreakBefore/>
        <w:spacing w:before="240" w:after="240"/>
      </w:pPr>
      <w:r w:rsidRPr="008C225D">
        <w:lastRenderedPageBreak/>
        <w:t>CLAUSE NOTES</w:t>
      </w:r>
    </w:p>
    <w:p w14:paraId="116BAEA8" w14:textId="550A98AB" w:rsidR="00A51FDB" w:rsidRDefault="00A51FDB" w:rsidP="00A51FDB">
      <w:pPr>
        <w:rPr>
          <w:rFonts w:ascii="Arial" w:hAnsi="Arial" w:cs="Arial"/>
          <w:b/>
          <w:bCs/>
          <w:sz w:val="24"/>
          <w:szCs w:val="24"/>
        </w:rPr>
      </w:pPr>
      <w:r w:rsidRPr="00A51FDB">
        <w:rPr>
          <w:rFonts w:ascii="Arial" w:hAnsi="Arial" w:cs="Arial"/>
          <w:b/>
          <w:bCs/>
          <w:sz w:val="24"/>
          <w:szCs w:val="24"/>
        </w:rPr>
        <w:t>1</w:t>
      </w:r>
      <w:r w:rsidR="005F3BE0">
        <w:rPr>
          <w:rFonts w:ascii="Arial" w:hAnsi="Arial" w:cs="Arial"/>
          <w:b/>
          <w:bCs/>
          <w:sz w:val="24"/>
          <w:szCs w:val="24"/>
        </w:rPr>
        <w:br/>
      </w:r>
      <w:r w:rsidR="00500DB3">
        <w:rPr>
          <w:rFonts w:ascii="Arial" w:hAnsi="Arial" w:cs="Arial"/>
          <w:b/>
          <w:bCs/>
          <w:sz w:val="24"/>
          <w:szCs w:val="24"/>
        </w:rPr>
        <w:t>Clause 4</w:t>
      </w:r>
      <w:r w:rsidR="005F3BE0">
        <w:rPr>
          <w:rFonts w:ascii="Arial" w:hAnsi="Arial" w:cs="Arial"/>
          <w:b/>
          <w:bCs/>
          <w:sz w:val="24"/>
          <w:szCs w:val="24"/>
        </w:rPr>
        <w:br/>
      </w:r>
      <w:r>
        <w:rPr>
          <w:rFonts w:ascii="Arial" w:hAnsi="Arial" w:cs="Arial"/>
          <w:b/>
          <w:bCs/>
          <w:sz w:val="24"/>
          <w:szCs w:val="24"/>
        </w:rPr>
        <w:t>Proposed new section 114BC</w:t>
      </w:r>
      <w:r w:rsidR="005F3BE0">
        <w:rPr>
          <w:rFonts w:ascii="Arial" w:hAnsi="Arial" w:cs="Arial"/>
          <w:b/>
          <w:bCs/>
          <w:sz w:val="24"/>
          <w:szCs w:val="24"/>
        </w:rPr>
        <w:br/>
      </w:r>
      <w:r>
        <w:rPr>
          <w:rFonts w:ascii="Arial" w:hAnsi="Arial" w:cs="Arial"/>
          <w:b/>
          <w:bCs/>
          <w:sz w:val="24"/>
          <w:szCs w:val="24"/>
        </w:rPr>
        <w:t xml:space="preserve">Page 3, line </w:t>
      </w:r>
      <w:r w:rsidR="00500DB3">
        <w:rPr>
          <w:rFonts w:ascii="Arial" w:hAnsi="Arial" w:cs="Arial"/>
          <w:b/>
          <w:bCs/>
          <w:sz w:val="24"/>
          <w:szCs w:val="24"/>
        </w:rPr>
        <w:t>1</w:t>
      </w:r>
      <w:r>
        <w:rPr>
          <w:rFonts w:ascii="Arial" w:hAnsi="Arial" w:cs="Arial"/>
          <w:b/>
          <w:bCs/>
          <w:sz w:val="24"/>
          <w:szCs w:val="24"/>
        </w:rPr>
        <w:t xml:space="preserve"> – </w:t>
      </w:r>
    </w:p>
    <w:p w14:paraId="4A5F3A45" w14:textId="30A2E83C" w:rsidR="00A51FDB" w:rsidRPr="005F3BE0" w:rsidRDefault="00A51FDB" w:rsidP="00A51FDB">
      <w:pPr>
        <w:rPr>
          <w:rFonts w:ascii="Arial" w:hAnsi="Arial" w:cs="Arial"/>
          <w:sz w:val="24"/>
          <w:szCs w:val="24"/>
        </w:rPr>
      </w:pPr>
      <w:r w:rsidRPr="00A51FDB">
        <w:rPr>
          <w:rFonts w:ascii="Arial" w:hAnsi="Arial" w:cs="Arial"/>
          <w:sz w:val="24"/>
          <w:szCs w:val="24"/>
        </w:rPr>
        <w:t xml:space="preserve">This clause </w:t>
      </w:r>
      <w:r w:rsidR="005F3BE0">
        <w:rPr>
          <w:rFonts w:ascii="Arial" w:hAnsi="Arial" w:cs="Arial"/>
          <w:sz w:val="24"/>
          <w:szCs w:val="24"/>
        </w:rPr>
        <w:t xml:space="preserve">omits proposed new section 114BC and </w:t>
      </w:r>
      <w:r w:rsidRPr="00A51FDB">
        <w:rPr>
          <w:rFonts w:ascii="Arial" w:hAnsi="Arial" w:cs="Arial"/>
          <w:sz w:val="24"/>
          <w:szCs w:val="24"/>
        </w:rPr>
        <w:t xml:space="preserve">substitutes </w:t>
      </w:r>
      <w:r w:rsidR="00C7476F">
        <w:rPr>
          <w:rFonts w:ascii="Arial" w:hAnsi="Arial" w:cs="Arial"/>
          <w:sz w:val="24"/>
          <w:szCs w:val="24"/>
        </w:rPr>
        <w:t xml:space="preserve">a new section </w:t>
      </w:r>
      <w:r w:rsidR="005F3BE0">
        <w:rPr>
          <w:rFonts w:ascii="Arial" w:hAnsi="Arial" w:cs="Arial"/>
          <w:sz w:val="24"/>
          <w:szCs w:val="24"/>
        </w:rPr>
        <w:t xml:space="preserve">providing for the meaning of </w:t>
      </w:r>
      <w:r w:rsidR="005F3BE0">
        <w:rPr>
          <w:rFonts w:ascii="Arial" w:hAnsi="Arial" w:cs="Arial"/>
          <w:i/>
          <w:iCs/>
          <w:sz w:val="24"/>
          <w:szCs w:val="24"/>
        </w:rPr>
        <w:t>employee</w:t>
      </w:r>
      <w:r w:rsidR="005F3BE0">
        <w:rPr>
          <w:rFonts w:ascii="Arial" w:hAnsi="Arial" w:cs="Arial"/>
          <w:sz w:val="24"/>
          <w:szCs w:val="24"/>
        </w:rPr>
        <w:t>.</w:t>
      </w:r>
    </w:p>
    <w:p w14:paraId="71C33BF0" w14:textId="4FF6AA8A" w:rsidR="00CF511B" w:rsidRPr="00CF511B" w:rsidRDefault="00C847C6" w:rsidP="00CF511B">
      <w:pPr>
        <w:rPr>
          <w:rFonts w:ascii="Arial" w:hAnsi="Arial" w:cs="Arial"/>
          <w:sz w:val="24"/>
          <w:szCs w:val="24"/>
        </w:rPr>
      </w:pPr>
      <w:r>
        <w:rPr>
          <w:rFonts w:ascii="Arial" w:hAnsi="Arial" w:cs="Arial"/>
          <w:sz w:val="24"/>
          <w:szCs w:val="24"/>
        </w:rPr>
        <w:t xml:space="preserve">The new section provides </w:t>
      </w:r>
      <w:r w:rsidR="00CF511B">
        <w:rPr>
          <w:rFonts w:ascii="Arial" w:hAnsi="Arial" w:cs="Arial"/>
          <w:sz w:val="24"/>
          <w:szCs w:val="24"/>
        </w:rPr>
        <w:t xml:space="preserve">that </w:t>
      </w:r>
      <w:r w:rsidR="00965FFC">
        <w:rPr>
          <w:rFonts w:ascii="Arial" w:hAnsi="Arial" w:cs="Arial"/>
          <w:sz w:val="24"/>
          <w:szCs w:val="24"/>
        </w:rPr>
        <w:t>an employee of an organisation</w:t>
      </w:r>
      <w:r w:rsidR="005D044F">
        <w:rPr>
          <w:rFonts w:ascii="Arial" w:hAnsi="Arial" w:cs="Arial"/>
          <w:sz w:val="24"/>
          <w:szCs w:val="24"/>
        </w:rPr>
        <w:t>,</w:t>
      </w:r>
      <w:r w:rsidR="00CF511B">
        <w:rPr>
          <w:rFonts w:ascii="Arial" w:hAnsi="Arial" w:cs="Arial"/>
          <w:sz w:val="24"/>
          <w:szCs w:val="24"/>
        </w:rPr>
        <w:t xml:space="preserve"> </w:t>
      </w:r>
      <w:r w:rsidR="00CF511B">
        <w:rPr>
          <w:rFonts w:ascii="Arial" w:hAnsi="Arial" w:cs="Arial"/>
          <w:iCs/>
          <w:sz w:val="24"/>
          <w:szCs w:val="24"/>
        </w:rPr>
        <w:t xml:space="preserve">for the purpose of </w:t>
      </w:r>
      <w:r w:rsidR="005F3BE0">
        <w:rPr>
          <w:rFonts w:ascii="Arial" w:hAnsi="Arial" w:cs="Arial"/>
          <w:iCs/>
          <w:sz w:val="24"/>
          <w:szCs w:val="24"/>
        </w:rPr>
        <w:t>the proposed new part 8A.1A regarding</w:t>
      </w:r>
      <w:r w:rsidR="00CF511B">
        <w:rPr>
          <w:rFonts w:ascii="Arial" w:hAnsi="Arial" w:cs="Arial"/>
          <w:iCs/>
          <w:sz w:val="24"/>
          <w:szCs w:val="24"/>
        </w:rPr>
        <w:t xml:space="preserve"> liability </w:t>
      </w:r>
      <w:r w:rsidR="005F3BE0">
        <w:rPr>
          <w:rFonts w:ascii="Arial" w:hAnsi="Arial" w:cs="Arial"/>
          <w:iCs/>
          <w:sz w:val="24"/>
          <w:szCs w:val="24"/>
        </w:rPr>
        <w:t>of organisations</w:t>
      </w:r>
      <w:r w:rsidR="00CF511B">
        <w:rPr>
          <w:rFonts w:ascii="Arial" w:hAnsi="Arial" w:cs="Arial"/>
          <w:iCs/>
          <w:sz w:val="24"/>
          <w:szCs w:val="24"/>
        </w:rPr>
        <w:t>, include</w:t>
      </w:r>
      <w:r w:rsidR="00965FFC">
        <w:rPr>
          <w:rFonts w:ascii="Arial" w:hAnsi="Arial" w:cs="Arial"/>
          <w:iCs/>
          <w:sz w:val="24"/>
          <w:szCs w:val="24"/>
        </w:rPr>
        <w:t>s</w:t>
      </w:r>
      <w:r w:rsidR="00CF511B">
        <w:rPr>
          <w:rFonts w:ascii="Arial" w:hAnsi="Arial" w:cs="Arial"/>
          <w:iCs/>
          <w:sz w:val="24"/>
          <w:szCs w:val="24"/>
        </w:rPr>
        <w:t xml:space="preserve"> </w:t>
      </w:r>
      <w:r w:rsidR="00965FFC">
        <w:rPr>
          <w:rFonts w:ascii="Arial" w:hAnsi="Arial" w:cs="Arial"/>
          <w:iCs/>
          <w:sz w:val="24"/>
          <w:szCs w:val="24"/>
        </w:rPr>
        <w:t xml:space="preserve">an individual </w:t>
      </w:r>
      <w:r w:rsidR="00CF511B">
        <w:rPr>
          <w:rFonts w:ascii="Arial" w:hAnsi="Arial" w:cs="Arial"/>
          <w:iCs/>
          <w:sz w:val="24"/>
          <w:szCs w:val="24"/>
        </w:rPr>
        <w:t>akin to an employee</w:t>
      </w:r>
      <w:r w:rsidR="005F3BE0">
        <w:rPr>
          <w:rFonts w:ascii="Arial" w:hAnsi="Arial" w:cs="Arial"/>
          <w:iCs/>
          <w:sz w:val="24"/>
          <w:szCs w:val="24"/>
        </w:rPr>
        <w:t xml:space="preserve"> of the organisation.</w:t>
      </w:r>
    </w:p>
    <w:p w14:paraId="64F952C1" w14:textId="09B7AB98" w:rsidR="00ED3218" w:rsidRDefault="00C847C6" w:rsidP="00A51FDB">
      <w:pPr>
        <w:rPr>
          <w:rFonts w:ascii="Arial" w:hAnsi="Arial" w:cs="Arial"/>
          <w:sz w:val="24"/>
          <w:szCs w:val="24"/>
        </w:rPr>
      </w:pPr>
      <w:r>
        <w:rPr>
          <w:rFonts w:ascii="Arial" w:hAnsi="Arial" w:cs="Arial"/>
          <w:sz w:val="24"/>
          <w:szCs w:val="24"/>
        </w:rPr>
        <w:t>This amendment provides that an</w:t>
      </w:r>
      <w:r w:rsidR="00B21E7A">
        <w:rPr>
          <w:rFonts w:ascii="Arial" w:hAnsi="Arial" w:cs="Arial"/>
          <w:sz w:val="24"/>
          <w:szCs w:val="24"/>
        </w:rPr>
        <w:t xml:space="preserve"> individual </w:t>
      </w:r>
      <w:r w:rsidR="005F3BE0">
        <w:rPr>
          <w:rFonts w:ascii="Arial" w:hAnsi="Arial" w:cs="Arial"/>
          <w:sz w:val="24"/>
          <w:szCs w:val="24"/>
        </w:rPr>
        <w:t>is</w:t>
      </w:r>
      <w:r w:rsidR="00B21E7A">
        <w:rPr>
          <w:rFonts w:ascii="Arial" w:hAnsi="Arial" w:cs="Arial"/>
          <w:sz w:val="24"/>
          <w:szCs w:val="24"/>
        </w:rPr>
        <w:t xml:space="preserve"> akin to an employee</w:t>
      </w:r>
      <w:r w:rsidR="005F3BE0">
        <w:rPr>
          <w:rFonts w:ascii="Arial" w:hAnsi="Arial" w:cs="Arial"/>
          <w:sz w:val="24"/>
          <w:szCs w:val="24"/>
        </w:rPr>
        <w:t xml:space="preserve"> of an organisation</w:t>
      </w:r>
      <w:r w:rsidR="00B21E7A">
        <w:rPr>
          <w:rFonts w:ascii="Arial" w:hAnsi="Arial" w:cs="Arial"/>
          <w:sz w:val="24"/>
          <w:szCs w:val="24"/>
        </w:rPr>
        <w:t xml:space="preserve"> if the individual carries out </w:t>
      </w:r>
      <w:r w:rsidR="00822EC0">
        <w:rPr>
          <w:rFonts w:ascii="Arial" w:hAnsi="Arial" w:cs="Arial"/>
          <w:sz w:val="24"/>
          <w:szCs w:val="24"/>
        </w:rPr>
        <w:t xml:space="preserve">activities that are part of the </w:t>
      </w:r>
      <w:r w:rsidR="00B21E7A">
        <w:rPr>
          <w:rFonts w:ascii="Arial" w:hAnsi="Arial" w:cs="Arial"/>
          <w:sz w:val="24"/>
          <w:szCs w:val="24"/>
        </w:rPr>
        <w:t>ordinary activities</w:t>
      </w:r>
      <w:r w:rsidR="00822EC0">
        <w:rPr>
          <w:rFonts w:ascii="Arial" w:hAnsi="Arial" w:cs="Arial"/>
          <w:sz w:val="24"/>
          <w:szCs w:val="24"/>
        </w:rPr>
        <w:t xml:space="preserve"> carried out by the organisation and</w:t>
      </w:r>
      <w:r w:rsidR="00B21E7A">
        <w:rPr>
          <w:rFonts w:ascii="Arial" w:hAnsi="Arial" w:cs="Arial"/>
          <w:sz w:val="24"/>
          <w:szCs w:val="24"/>
        </w:rPr>
        <w:t xml:space="preserve"> for the benefit of the organisation</w:t>
      </w:r>
      <w:r w:rsidR="00822EC0">
        <w:rPr>
          <w:rFonts w:ascii="Arial" w:hAnsi="Arial" w:cs="Arial"/>
          <w:sz w:val="24"/>
          <w:szCs w:val="24"/>
        </w:rPr>
        <w:t>,</w:t>
      </w:r>
      <w:r w:rsidR="00B21E7A">
        <w:rPr>
          <w:rFonts w:ascii="Arial" w:hAnsi="Arial" w:cs="Arial"/>
          <w:sz w:val="24"/>
          <w:szCs w:val="24"/>
        </w:rPr>
        <w:t xml:space="preserve"> or </w:t>
      </w:r>
      <w:r w:rsidR="00822EC0">
        <w:rPr>
          <w:rFonts w:ascii="Arial" w:hAnsi="Arial" w:cs="Arial"/>
          <w:sz w:val="24"/>
          <w:szCs w:val="24"/>
        </w:rPr>
        <w:t xml:space="preserve">if </w:t>
      </w:r>
      <w:r w:rsidR="00B21E7A">
        <w:rPr>
          <w:rFonts w:ascii="Arial" w:hAnsi="Arial" w:cs="Arial"/>
          <w:sz w:val="24"/>
          <w:szCs w:val="24"/>
        </w:rPr>
        <w:t>a circumstance prescribed by regulation applies to the individual.</w:t>
      </w:r>
    </w:p>
    <w:p w14:paraId="5E08E44B" w14:textId="29E50C05" w:rsidR="00B21E7A" w:rsidRDefault="005F3BE0" w:rsidP="00A51FDB">
      <w:pPr>
        <w:rPr>
          <w:rFonts w:ascii="Arial" w:hAnsi="Arial" w:cs="Arial"/>
          <w:sz w:val="24"/>
          <w:szCs w:val="24"/>
        </w:rPr>
      </w:pPr>
      <w:r>
        <w:rPr>
          <w:rFonts w:ascii="Arial" w:hAnsi="Arial" w:cs="Arial"/>
          <w:sz w:val="24"/>
          <w:szCs w:val="24"/>
        </w:rPr>
        <w:t>A</w:t>
      </w:r>
      <w:r w:rsidR="00B21E7A">
        <w:rPr>
          <w:rFonts w:ascii="Arial" w:hAnsi="Arial" w:cs="Arial"/>
          <w:sz w:val="24"/>
          <w:szCs w:val="24"/>
        </w:rPr>
        <w:t xml:space="preserve"> regulation under </w:t>
      </w:r>
      <w:r w:rsidR="00822EC0">
        <w:rPr>
          <w:rFonts w:ascii="Arial" w:hAnsi="Arial" w:cs="Arial"/>
          <w:sz w:val="24"/>
          <w:szCs w:val="24"/>
        </w:rPr>
        <w:t>sub</w:t>
      </w:r>
      <w:r w:rsidR="00B21E7A">
        <w:rPr>
          <w:rFonts w:ascii="Arial" w:hAnsi="Arial" w:cs="Arial"/>
          <w:sz w:val="24"/>
          <w:szCs w:val="24"/>
        </w:rPr>
        <w:t>section 2 (b) may also prescribe circumstances in which an individual is not akin to an employee.</w:t>
      </w:r>
    </w:p>
    <w:p w14:paraId="22D67773" w14:textId="77777777" w:rsidR="00E90DF9" w:rsidRPr="004923C1" w:rsidRDefault="00E90DF9" w:rsidP="00E90DF9">
      <w:pPr>
        <w:rPr>
          <w:rFonts w:ascii="Arial" w:hAnsi="Arial" w:cs="Arial"/>
          <w:sz w:val="24"/>
          <w:szCs w:val="24"/>
        </w:rPr>
      </w:pPr>
    </w:p>
    <w:p w14:paraId="35174E41" w14:textId="77777777" w:rsidR="00B10812" w:rsidRDefault="00B10812"/>
    <w:sectPr w:rsidR="00B10812" w:rsidSect="00F41A2F">
      <w:footerReference w:type="default" r:id="rId17"/>
      <w:footerReference w:type="first" r:id="rId18"/>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3780B" w14:textId="77777777" w:rsidR="00BE03F4" w:rsidRDefault="00BE03F4" w:rsidP="00E90DF9">
      <w:pPr>
        <w:spacing w:after="0" w:line="240" w:lineRule="auto"/>
      </w:pPr>
      <w:r>
        <w:separator/>
      </w:r>
    </w:p>
  </w:endnote>
  <w:endnote w:type="continuationSeparator" w:id="0">
    <w:p w14:paraId="04B02173" w14:textId="77777777" w:rsidR="00BE03F4" w:rsidRDefault="00BE03F4"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DCBAF" w14:textId="77777777" w:rsidR="00FA1F87" w:rsidRDefault="00FA1F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3FD22" w14:textId="325BCAC6" w:rsidR="004061DE" w:rsidRPr="00FA1F87" w:rsidRDefault="00FA1F87" w:rsidP="00FA1F87">
    <w:pPr>
      <w:pStyle w:val="Footer"/>
      <w:jc w:val="center"/>
      <w:rPr>
        <w:rFonts w:cs="Arial"/>
        <w:sz w:val="14"/>
      </w:rPr>
    </w:pPr>
    <w:r w:rsidRPr="00FA1F8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5B3" w14:textId="77777777" w:rsidR="00E90DF9" w:rsidRDefault="00E90DF9">
    <w:pPr>
      <w:pStyle w:val="Footer"/>
      <w:jc w:val="right"/>
    </w:pPr>
  </w:p>
  <w:p w14:paraId="7B511C0F" w14:textId="77777777" w:rsidR="00E90DF9" w:rsidRPr="00DC5912" w:rsidRDefault="00E90DF9"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77777777" w:rsidR="00E90DF9" w:rsidRDefault="00E90DF9"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1D1AE14B" w14:textId="494CD341" w:rsidR="00F02E75" w:rsidRPr="00FA1F87" w:rsidRDefault="00FA1F87" w:rsidP="00FA1F87">
    <w:pPr>
      <w:pStyle w:val="Footer"/>
      <w:spacing w:before="60" w:line="240" w:lineRule="auto"/>
      <w:jc w:val="center"/>
      <w:rPr>
        <w:rFonts w:cs="Arial"/>
        <w:sz w:val="14"/>
      </w:rPr>
    </w:pPr>
    <w:r w:rsidRPr="00FA1F87">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70F5A7DD" w14:textId="067ECB60" w:rsidR="00F02E75" w:rsidRPr="00FA1F87" w:rsidRDefault="00FA1F87" w:rsidP="00FA1F87">
    <w:pPr>
      <w:pStyle w:val="Footer"/>
      <w:jc w:val="center"/>
      <w:rPr>
        <w:rFonts w:cs="Arial"/>
        <w:sz w:val="14"/>
      </w:rPr>
    </w:pPr>
    <w:r w:rsidRPr="00FA1F87">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F1517" w14:textId="77777777" w:rsidR="00BE03F4" w:rsidRDefault="00BE03F4" w:rsidP="00E90DF9">
      <w:pPr>
        <w:spacing w:after="0" w:line="240" w:lineRule="auto"/>
      </w:pPr>
      <w:r>
        <w:separator/>
      </w:r>
    </w:p>
  </w:footnote>
  <w:footnote w:type="continuationSeparator" w:id="0">
    <w:p w14:paraId="4849395E" w14:textId="77777777" w:rsidR="00BE03F4" w:rsidRDefault="00BE03F4" w:rsidP="00E90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CD52" w14:textId="77777777" w:rsidR="00FA1F87" w:rsidRDefault="00FA1F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48FC" w14:textId="7FF9D932" w:rsidR="004061DE" w:rsidRPr="00F02E75" w:rsidRDefault="004061DE" w:rsidP="00F02E75">
    <w:pPr>
      <w:pStyle w:val="Header"/>
      <w:jc w:val="center"/>
      <w:rPr>
        <w:b/>
        <w:bCs/>
        <w:color w:val="FF0000"/>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236EB" w14:textId="77777777" w:rsidR="004061DE" w:rsidRDefault="004061DE" w:rsidP="00F02E7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451029E6"/>
    <w:multiLevelType w:val="hybridMultilevel"/>
    <w:tmpl w:val="CB16B204"/>
    <w:lvl w:ilvl="0" w:tplc="A01E187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5321631">
    <w:abstractNumId w:val="0"/>
  </w:num>
  <w:num w:numId="2" w16cid:durableId="1870533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13A1B"/>
    <w:rsid w:val="000321EF"/>
    <w:rsid w:val="00043898"/>
    <w:rsid w:val="00054A78"/>
    <w:rsid w:val="0006141E"/>
    <w:rsid w:val="00093C9B"/>
    <w:rsid w:val="000C2785"/>
    <w:rsid w:val="00101FE5"/>
    <w:rsid w:val="00102EE0"/>
    <w:rsid w:val="00122D22"/>
    <w:rsid w:val="001248FD"/>
    <w:rsid w:val="00127EDD"/>
    <w:rsid w:val="00133825"/>
    <w:rsid w:val="00156916"/>
    <w:rsid w:val="0018406A"/>
    <w:rsid w:val="00186946"/>
    <w:rsid w:val="0019341B"/>
    <w:rsid w:val="002162F4"/>
    <w:rsid w:val="002658A0"/>
    <w:rsid w:val="002D0E1D"/>
    <w:rsid w:val="00344EAC"/>
    <w:rsid w:val="003741D9"/>
    <w:rsid w:val="00376032"/>
    <w:rsid w:val="00376695"/>
    <w:rsid w:val="003812E1"/>
    <w:rsid w:val="003A6767"/>
    <w:rsid w:val="003B1115"/>
    <w:rsid w:val="003B748D"/>
    <w:rsid w:val="003C5111"/>
    <w:rsid w:val="00400490"/>
    <w:rsid w:val="00404365"/>
    <w:rsid w:val="004061DE"/>
    <w:rsid w:val="004568D8"/>
    <w:rsid w:val="004627E0"/>
    <w:rsid w:val="004678D6"/>
    <w:rsid w:val="00475BED"/>
    <w:rsid w:val="00496940"/>
    <w:rsid w:val="004A7272"/>
    <w:rsid w:val="004A7B05"/>
    <w:rsid w:val="004B1953"/>
    <w:rsid w:val="004C7E78"/>
    <w:rsid w:val="004E5163"/>
    <w:rsid w:val="004F41A5"/>
    <w:rsid w:val="00500DB3"/>
    <w:rsid w:val="00523EAC"/>
    <w:rsid w:val="0054235C"/>
    <w:rsid w:val="00584D96"/>
    <w:rsid w:val="0059133C"/>
    <w:rsid w:val="005B0897"/>
    <w:rsid w:val="005C162C"/>
    <w:rsid w:val="005D044F"/>
    <w:rsid w:val="005D1820"/>
    <w:rsid w:val="005D2D84"/>
    <w:rsid w:val="005E74AF"/>
    <w:rsid w:val="005F3BE0"/>
    <w:rsid w:val="0062217D"/>
    <w:rsid w:val="00623665"/>
    <w:rsid w:val="006310F1"/>
    <w:rsid w:val="00640B12"/>
    <w:rsid w:val="00667D7A"/>
    <w:rsid w:val="00671EB6"/>
    <w:rsid w:val="00687352"/>
    <w:rsid w:val="00687CE3"/>
    <w:rsid w:val="006F10BE"/>
    <w:rsid w:val="00771FA9"/>
    <w:rsid w:val="007A6056"/>
    <w:rsid w:val="007C4314"/>
    <w:rsid w:val="007E4751"/>
    <w:rsid w:val="00810494"/>
    <w:rsid w:val="00822EC0"/>
    <w:rsid w:val="00836301"/>
    <w:rsid w:val="00853E87"/>
    <w:rsid w:val="00855CCD"/>
    <w:rsid w:val="0085605A"/>
    <w:rsid w:val="008B239A"/>
    <w:rsid w:val="008C3D82"/>
    <w:rsid w:val="008C648A"/>
    <w:rsid w:val="008E7E53"/>
    <w:rsid w:val="00911F0D"/>
    <w:rsid w:val="00942F6B"/>
    <w:rsid w:val="009618C8"/>
    <w:rsid w:val="00965FFC"/>
    <w:rsid w:val="009A28BE"/>
    <w:rsid w:val="009E0822"/>
    <w:rsid w:val="009F5A3A"/>
    <w:rsid w:val="00A07436"/>
    <w:rsid w:val="00A23397"/>
    <w:rsid w:val="00A25AE9"/>
    <w:rsid w:val="00A33BE4"/>
    <w:rsid w:val="00A35445"/>
    <w:rsid w:val="00A51FDB"/>
    <w:rsid w:val="00A53E70"/>
    <w:rsid w:val="00A568A2"/>
    <w:rsid w:val="00A77445"/>
    <w:rsid w:val="00AA056E"/>
    <w:rsid w:val="00AC0663"/>
    <w:rsid w:val="00AF4557"/>
    <w:rsid w:val="00B10812"/>
    <w:rsid w:val="00B21B09"/>
    <w:rsid w:val="00B21E7A"/>
    <w:rsid w:val="00B420CD"/>
    <w:rsid w:val="00B469D0"/>
    <w:rsid w:val="00B70F49"/>
    <w:rsid w:val="00B9385E"/>
    <w:rsid w:val="00BA0A16"/>
    <w:rsid w:val="00BE03F4"/>
    <w:rsid w:val="00C11C5C"/>
    <w:rsid w:val="00C12672"/>
    <w:rsid w:val="00C32590"/>
    <w:rsid w:val="00C50B69"/>
    <w:rsid w:val="00C5357F"/>
    <w:rsid w:val="00C647A6"/>
    <w:rsid w:val="00C7476F"/>
    <w:rsid w:val="00C847C6"/>
    <w:rsid w:val="00C93D77"/>
    <w:rsid w:val="00CA248B"/>
    <w:rsid w:val="00CF0947"/>
    <w:rsid w:val="00CF511B"/>
    <w:rsid w:val="00CF76B1"/>
    <w:rsid w:val="00D033E5"/>
    <w:rsid w:val="00D66685"/>
    <w:rsid w:val="00D95BA9"/>
    <w:rsid w:val="00DD7B96"/>
    <w:rsid w:val="00E01A17"/>
    <w:rsid w:val="00E07B57"/>
    <w:rsid w:val="00E33445"/>
    <w:rsid w:val="00E64ABE"/>
    <w:rsid w:val="00E90DF9"/>
    <w:rsid w:val="00EB07F3"/>
    <w:rsid w:val="00EC2169"/>
    <w:rsid w:val="00ED3218"/>
    <w:rsid w:val="00ED7038"/>
    <w:rsid w:val="00EF2F19"/>
    <w:rsid w:val="00F01238"/>
    <w:rsid w:val="00F02E75"/>
    <w:rsid w:val="00F46D5C"/>
    <w:rsid w:val="00F6122F"/>
    <w:rsid w:val="00F71BD8"/>
    <w:rsid w:val="00FA1F87"/>
    <w:rsid w:val="00FB5A44"/>
    <w:rsid w:val="00FC3779"/>
    <w:rsid w:val="00FE6C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Header">
    <w:name w:val="header"/>
    <w:basedOn w:val="Normal"/>
    <w:link w:val="HeaderChar"/>
    <w:uiPriority w:val="99"/>
    <w:unhideWhenUsed/>
    <w:rsid w:val="004061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1DE"/>
    <w:rPr>
      <w:rFonts w:ascii="Calibri" w:eastAsia="Times New Roman" w:hAnsi="Calibri" w:cs="Times New Roman"/>
      <w:kern w:val="0"/>
      <w14:ligatures w14:val="none"/>
    </w:rPr>
  </w:style>
  <w:style w:type="character" w:styleId="CommentReference">
    <w:name w:val="annotation reference"/>
    <w:basedOn w:val="DefaultParagraphFont"/>
    <w:uiPriority w:val="99"/>
    <w:semiHidden/>
    <w:unhideWhenUsed/>
    <w:rsid w:val="000321EF"/>
    <w:rPr>
      <w:sz w:val="16"/>
      <w:szCs w:val="16"/>
    </w:rPr>
  </w:style>
  <w:style w:type="paragraph" w:styleId="CommentText">
    <w:name w:val="annotation text"/>
    <w:basedOn w:val="Normal"/>
    <w:link w:val="CommentTextChar"/>
    <w:uiPriority w:val="99"/>
    <w:unhideWhenUsed/>
    <w:rsid w:val="000321EF"/>
    <w:pPr>
      <w:spacing w:line="240" w:lineRule="auto"/>
    </w:pPr>
    <w:rPr>
      <w:sz w:val="20"/>
      <w:szCs w:val="20"/>
    </w:rPr>
  </w:style>
  <w:style w:type="character" w:customStyle="1" w:styleId="CommentTextChar">
    <w:name w:val="Comment Text Char"/>
    <w:basedOn w:val="DefaultParagraphFont"/>
    <w:link w:val="CommentText"/>
    <w:uiPriority w:val="99"/>
    <w:rsid w:val="000321EF"/>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321EF"/>
    <w:rPr>
      <w:b/>
      <w:bCs/>
    </w:rPr>
  </w:style>
  <w:style w:type="character" w:customStyle="1" w:styleId="CommentSubjectChar">
    <w:name w:val="Comment Subject Char"/>
    <w:basedOn w:val="CommentTextChar"/>
    <w:link w:val="CommentSubject"/>
    <w:uiPriority w:val="99"/>
    <w:semiHidden/>
    <w:rsid w:val="000321EF"/>
    <w:rPr>
      <w:rFonts w:ascii="Calibri" w:eastAsia="Times New Roman" w:hAnsi="Calibri" w:cs="Times New Roman"/>
      <w:b/>
      <w:bCs/>
      <w:kern w:val="0"/>
      <w:sz w:val="20"/>
      <w:szCs w:val="20"/>
      <w14:ligatures w14:val="none"/>
    </w:rPr>
  </w:style>
  <w:style w:type="paragraph" w:styleId="Revision">
    <w:name w:val="Revision"/>
    <w:hidden/>
    <w:uiPriority w:val="99"/>
    <w:semiHidden/>
    <w:rsid w:val="00FB5A44"/>
    <w:pPr>
      <w:spacing w:after="0" w:line="240" w:lineRule="auto"/>
    </w:pPr>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916686">
      <w:bodyDiv w:val="1"/>
      <w:marLeft w:val="0"/>
      <w:marRight w:val="0"/>
      <w:marTop w:val="0"/>
      <w:marBottom w:val="0"/>
      <w:divBdr>
        <w:top w:val="none" w:sz="0" w:space="0" w:color="auto"/>
        <w:left w:val="none" w:sz="0" w:space="0" w:color="auto"/>
        <w:bottom w:val="none" w:sz="0" w:space="0" w:color="auto"/>
        <w:right w:val="none" w:sz="0" w:space="0" w:color="auto"/>
      </w:divBdr>
    </w:div>
    <w:div w:id="105342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4" ma:contentTypeDescription="Create a new document." ma:contentTypeScope="" ma:versionID="c051a65f20065e760c9fd2d177eb4733">
  <xsd:schema xmlns:xsd="http://www.w3.org/2001/XMLSchema" xmlns:xs="http://www.w3.org/2001/XMLSchema" xmlns:p="http://schemas.microsoft.com/office/2006/metadata/properties" xmlns:ns2="fcb0175e-1ff8-4098-9e77-63d02dd12665" targetNamespace="http://schemas.microsoft.com/office/2006/metadata/properties" ma:root="true" ma:fieldsID="ad40af5ffaee15b0de234ae4a6c03703"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92CD23-B350-4812-BB24-B587E767E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354351-64C3-4C26-B6E8-83F76921D397}">
  <ds:schemaRefs>
    <ds:schemaRef ds:uri="http://schemas.openxmlformats.org/officeDocument/2006/bibliography"/>
  </ds:schemaRefs>
</ds:datastoreItem>
</file>

<file path=customXml/itemProps3.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4.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906</Words>
  <Characters>5091</Characters>
  <Application>Microsoft Office Word</Application>
  <DocSecurity>0</DocSecurity>
  <Lines>136</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2025-10-17T02:37:00Z</dcterms:created>
  <dcterms:modified xsi:type="dcterms:W3CDTF">2025-10-17T02:37:00Z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MSIP_Label_69af8531-eb46-4968-8cb3-105d2f5ea87e_Enabled">
    <vt:lpwstr>true</vt:lpwstr>
  </property>
  <property fmtid="{D5CDD505-2E9C-101B-9397-08002B2CF9AE}" pid="4" name="MSIP_Label_69af8531-eb46-4968-8cb3-105d2f5ea87e_SetDate">
    <vt:lpwstr>2024-11-14T22:43:05Z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afbfd6bc-6100-4152-8de1-284222bffaef</vt:lpwstr>
  </property>
  <property fmtid="{D5CDD505-2E9C-101B-9397-08002B2CF9AE}" pid="9" name="MSIP_Label_69af8531-eb46-4968-8cb3-105d2f5ea87e_ContentBits">
    <vt:lpwstr>0</vt:lpwstr>
  </property>
</Properties>
</file>