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4C428" w14:textId="6E90ABA7" w:rsidR="00650C17" w:rsidRPr="00DE4306" w:rsidRDefault="00650C17" w:rsidP="00650C17">
      <w:pPr>
        <w:jc w:val="center"/>
        <w:rPr>
          <w:b/>
          <w:bCs/>
        </w:rPr>
      </w:pPr>
      <w:r w:rsidRPr="00DE4306">
        <w:rPr>
          <w:b/>
          <w:bCs/>
        </w:rPr>
        <w:t>202</w:t>
      </w:r>
      <w:r>
        <w:rPr>
          <w:b/>
          <w:bCs/>
        </w:rPr>
        <w:t>5</w:t>
      </w:r>
    </w:p>
    <w:p w14:paraId="0D0608DA" w14:textId="77777777" w:rsidR="00650C17" w:rsidRPr="00DE4306" w:rsidRDefault="00650C17" w:rsidP="00650C17">
      <w:pPr>
        <w:jc w:val="center"/>
        <w:rPr>
          <w:b/>
          <w:bCs/>
        </w:rPr>
      </w:pPr>
    </w:p>
    <w:p w14:paraId="3B8E5043" w14:textId="77777777" w:rsidR="00650C17" w:rsidRPr="00DE4306" w:rsidRDefault="00650C17" w:rsidP="00650C17">
      <w:pPr>
        <w:jc w:val="center"/>
        <w:rPr>
          <w:b/>
          <w:bCs/>
        </w:rPr>
      </w:pPr>
      <w:r w:rsidRPr="00DE4306">
        <w:rPr>
          <w:b/>
          <w:bCs/>
        </w:rPr>
        <w:t>LEGISTLATIVE ASSEMBLY FOR THE AUSTRALIAN CAPITAL TERRITORY</w:t>
      </w:r>
    </w:p>
    <w:p w14:paraId="5DA9F59A" w14:textId="77777777" w:rsidR="00650C17" w:rsidRPr="00DE4306" w:rsidRDefault="00650C17" w:rsidP="00650C17">
      <w:pPr>
        <w:jc w:val="center"/>
        <w:rPr>
          <w:b/>
          <w:bCs/>
        </w:rPr>
      </w:pPr>
    </w:p>
    <w:p w14:paraId="5C3FF7ED" w14:textId="77777777" w:rsidR="00650C17" w:rsidRPr="00DE4306" w:rsidRDefault="00650C17" w:rsidP="00650C17">
      <w:pPr>
        <w:jc w:val="center"/>
        <w:rPr>
          <w:b/>
          <w:bCs/>
        </w:rPr>
      </w:pPr>
    </w:p>
    <w:p w14:paraId="1D1716EB" w14:textId="77777777" w:rsidR="00650C17" w:rsidRPr="00DE4306" w:rsidRDefault="00650C17" w:rsidP="00650C17">
      <w:pPr>
        <w:jc w:val="center"/>
        <w:rPr>
          <w:b/>
          <w:bCs/>
        </w:rPr>
      </w:pPr>
    </w:p>
    <w:p w14:paraId="19D6E45B" w14:textId="77777777" w:rsidR="00650C17" w:rsidRPr="00DE4306" w:rsidRDefault="00650C17" w:rsidP="00650C17">
      <w:pPr>
        <w:jc w:val="center"/>
        <w:rPr>
          <w:b/>
          <w:bCs/>
        </w:rPr>
      </w:pPr>
    </w:p>
    <w:p w14:paraId="64032643" w14:textId="77777777" w:rsidR="00650C17" w:rsidRPr="00DE4306" w:rsidRDefault="00650C17" w:rsidP="00650C17">
      <w:pPr>
        <w:jc w:val="center"/>
        <w:rPr>
          <w:b/>
          <w:bCs/>
        </w:rPr>
      </w:pPr>
    </w:p>
    <w:p w14:paraId="67DFC2D0" w14:textId="197830B3" w:rsidR="00650C17" w:rsidRPr="00DE4306" w:rsidRDefault="00650C17" w:rsidP="00650C17">
      <w:pPr>
        <w:jc w:val="center"/>
        <w:rPr>
          <w:b/>
          <w:bCs/>
        </w:rPr>
      </w:pPr>
      <w:r w:rsidRPr="00DE4306">
        <w:rPr>
          <w:b/>
          <w:bCs/>
        </w:rPr>
        <w:t xml:space="preserve">EXPLANATORY STATEMENT </w:t>
      </w:r>
      <w:r w:rsidR="002F1272">
        <w:rPr>
          <w:b/>
          <w:bCs/>
        </w:rPr>
        <w:t>AND HUMAN RIGHTS COMPATABILITY STATEMENT</w:t>
      </w:r>
    </w:p>
    <w:p w14:paraId="0E4183AD" w14:textId="1D37CD78" w:rsidR="00650C17" w:rsidRPr="00DE4306" w:rsidRDefault="002F1272" w:rsidP="00650C17">
      <w:pPr>
        <w:jc w:val="center"/>
        <w:rPr>
          <w:b/>
          <w:bCs/>
        </w:rPr>
      </w:pPr>
      <w:r>
        <w:rPr>
          <w:b/>
          <w:bCs/>
        </w:rPr>
        <w:t>TERRITORY RECORDS (EXECUTIVE RECORDS)</w:t>
      </w:r>
      <w:r w:rsidR="00650C17" w:rsidRPr="00DE4306">
        <w:rPr>
          <w:b/>
          <w:bCs/>
        </w:rPr>
        <w:t xml:space="preserve"> AMENDMENT BILL 202</w:t>
      </w:r>
      <w:r>
        <w:rPr>
          <w:b/>
          <w:bCs/>
        </w:rPr>
        <w:t>5</w:t>
      </w:r>
    </w:p>
    <w:p w14:paraId="00D73384" w14:textId="77777777" w:rsidR="00650C17" w:rsidRDefault="00650C17" w:rsidP="00650C17"/>
    <w:p w14:paraId="5AE00C2C" w14:textId="77777777" w:rsidR="00650C17" w:rsidRDefault="00650C17" w:rsidP="00650C17"/>
    <w:p w14:paraId="603FCDD1" w14:textId="77777777" w:rsidR="00650C17" w:rsidRDefault="00650C17" w:rsidP="00650C17"/>
    <w:p w14:paraId="0AC7AFDC" w14:textId="77777777" w:rsidR="00650C17" w:rsidRDefault="00650C17" w:rsidP="00650C17"/>
    <w:p w14:paraId="29B231BD" w14:textId="1B0CD3C8" w:rsidR="00650C17" w:rsidRDefault="00650C17" w:rsidP="00650C17">
      <w:r>
        <w:t>This explanatory statement relate</w:t>
      </w:r>
      <w:r w:rsidR="00FC2F01">
        <w:t>s</w:t>
      </w:r>
      <w:r>
        <w:t xml:space="preserve"> to </w:t>
      </w:r>
      <w:r w:rsidR="00FC2F01">
        <w:t xml:space="preserve">the Territory Records (Executive Records) </w:t>
      </w:r>
      <w:r>
        <w:t>Amendment Bill 202</w:t>
      </w:r>
      <w:r w:rsidR="00FC2F01">
        <w:t>5</w:t>
      </w:r>
      <w:r>
        <w:t xml:space="preserve"> (the Bill).  It has been prepared in order to assist the reader of the Amendments and to help inform debate on </w:t>
      </w:r>
      <w:r w:rsidR="005D66AC">
        <w:t>the bill</w:t>
      </w:r>
      <w:r>
        <w:t xml:space="preserve">.  It does not form a part of the bill and has not been endorsed by the </w:t>
      </w:r>
      <w:r w:rsidR="005D66AC">
        <w:t>A</w:t>
      </w:r>
      <w:r>
        <w:t>ssembly.</w:t>
      </w:r>
    </w:p>
    <w:p w14:paraId="342AD695" w14:textId="77777777" w:rsidR="00650C17" w:rsidRDefault="00650C17" w:rsidP="00650C17"/>
    <w:p w14:paraId="50F42758" w14:textId="77777777" w:rsidR="003A48D3" w:rsidRDefault="003A48D3" w:rsidP="00650C17"/>
    <w:p w14:paraId="3D2F3B72" w14:textId="77777777" w:rsidR="003A48D3" w:rsidRDefault="003A48D3" w:rsidP="00650C17"/>
    <w:p w14:paraId="536B1CEA" w14:textId="77777777" w:rsidR="003A48D3" w:rsidRDefault="003A48D3" w:rsidP="00650C17"/>
    <w:p w14:paraId="10F65EE9" w14:textId="77777777" w:rsidR="003A48D3" w:rsidRDefault="003A48D3" w:rsidP="00650C17"/>
    <w:p w14:paraId="63EF87B3" w14:textId="77777777" w:rsidR="003A48D3" w:rsidRDefault="003A48D3" w:rsidP="00650C17"/>
    <w:p w14:paraId="6A76F16F" w14:textId="77777777" w:rsidR="00650C17" w:rsidRDefault="00650C17" w:rsidP="00650C17"/>
    <w:p w14:paraId="70193152" w14:textId="77777777" w:rsidR="00650C17" w:rsidRDefault="00650C17" w:rsidP="00650C17"/>
    <w:p w14:paraId="11861C9D" w14:textId="34DCF915" w:rsidR="00650C17" w:rsidRDefault="00650C17" w:rsidP="00650C17"/>
    <w:p w14:paraId="61047665" w14:textId="77777777" w:rsidR="00650C17" w:rsidRDefault="00650C17" w:rsidP="00650C17">
      <w:pPr>
        <w:jc w:val="right"/>
      </w:pPr>
    </w:p>
    <w:p w14:paraId="033EE5D9" w14:textId="1C4C6EED" w:rsidR="00650C17" w:rsidRDefault="00650C17" w:rsidP="00650C17">
      <w:pPr>
        <w:jc w:val="right"/>
      </w:pPr>
    </w:p>
    <w:p w14:paraId="1F04718D" w14:textId="1C445C89" w:rsidR="00650C17" w:rsidRDefault="00650C17" w:rsidP="00650C17">
      <w:pPr>
        <w:jc w:val="right"/>
        <w:rPr>
          <w:highlight w:val="yellow"/>
        </w:rPr>
      </w:pPr>
      <w:r w:rsidRPr="00E03DBB">
        <w:t>Andrew Braddock</w:t>
      </w:r>
      <w:r w:rsidR="00144642">
        <w:t xml:space="preserve"> MLA</w:t>
      </w:r>
      <w:r w:rsidRPr="6958D4C2">
        <w:rPr>
          <w:highlight w:val="yellow"/>
        </w:rPr>
        <w:t xml:space="preserve"> </w:t>
      </w:r>
    </w:p>
    <w:p w14:paraId="0884FF27" w14:textId="059EC6F2" w:rsidR="00650C17" w:rsidRDefault="00B142CA" w:rsidP="00650C17">
      <w:pPr>
        <w:jc w:val="right"/>
      </w:pPr>
      <w:r>
        <w:t>June</w:t>
      </w:r>
      <w:r w:rsidR="00A9510F">
        <w:t xml:space="preserve"> </w:t>
      </w:r>
      <w:r w:rsidR="00650C17">
        <w:t>202</w:t>
      </w:r>
      <w:r w:rsidR="0081279D">
        <w:t>5</w:t>
      </w:r>
    </w:p>
    <w:p w14:paraId="713D25E0" w14:textId="77777777" w:rsidR="00650C17" w:rsidRDefault="00650C17" w:rsidP="00650C17">
      <w:r>
        <w:br w:type="page"/>
      </w:r>
    </w:p>
    <w:p w14:paraId="51E2F0BE" w14:textId="75F9C630" w:rsidR="00650C17" w:rsidRDefault="00131A64" w:rsidP="00650C17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lastRenderedPageBreak/>
        <w:t>OVERVIEW OF THE BILL</w:t>
      </w:r>
    </w:p>
    <w:p w14:paraId="18E96B83" w14:textId="1815951A" w:rsidR="005E46D7" w:rsidRDefault="005E46D7" w:rsidP="00650C1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This bill </w:t>
      </w:r>
      <w:r w:rsidR="00F837E8">
        <w:rPr>
          <w:rFonts w:ascii="Calibri" w:eastAsia="Calibri" w:hAnsi="Calibri" w:cs="Calibri"/>
        </w:rPr>
        <w:t xml:space="preserve">legislates </w:t>
      </w:r>
      <w:r>
        <w:rPr>
          <w:rFonts w:ascii="Calibri" w:eastAsia="Calibri" w:hAnsi="Calibri" w:cs="Calibri"/>
        </w:rPr>
        <w:t xml:space="preserve">a </w:t>
      </w:r>
      <w:r w:rsidR="00F837E8">
        <w:rPr>
          <w:rFonts w:ascii="Calibri" w:eastAsia="Calibri" w:hAnsi="Calibri" w:cs="Calibri"/>
        </w:rPr>
        <w:t xml:space="preserve">statutory timeframe for the processing of </w:t>
      </w:r>
      <w:r w:rsidR="00E5313C">
        <w:rPr>
          <w:rFonts w:ascii="Calibri" w:eastAsia="Calibri" w:hAnsi="Calibri" w:cs="Calibri"/>
        </w:rPr>
        <w:t>requests for accessible executive records</w:t>
      </w:r>
      <w:r w:rsidR="00414531">
        <w:rPr>
          <w:rFonts w:ascii="Calibri" w:eastAsia="Calibri" w:hAnsi="Calibri" w:cs="Calibri"/>
        </w:rPr>
        <w:t xml:space="preserve">, and sets </w:t>
      </w:r>
      <w:r w:rsidR="00D719DF">
        <w:rPr>
          <w:rFonts w:ascii="Calibri" w:eastAsia="Calibri" w:hAnsi="Calibri" w:cs="Calibri"/>
        </w:rPr>
        <w:t xml:space="preserve">a </w:t>
      </w:r>
      <w:r w:rsidR="0078465C">
        <w:rPr>
          <w:rFonts w:ascii="Calibri" w:eastAsia="Calibri" w:hAnsi="Calibri" w:cs="Calibri"/>
        </w:rPr>
        <w:t xml:space="preserve">new </w:t>
      </w:r>
      <w:r w:rsidR="000865B5">
        <w:rPr>
          <w:rFonts w:ascii="Calibri" w:eastAsia="Calibri" w:hAnsi="Calibri" w:cs="Calibri"/>
        </w:rPr>
        <w:t xml:space="preserve">mechanism for appealing decisions </w:t>
      </w:r>
      <w:r w:rsidR="00D719DF">
        <w:rPr>
          <w:rFonts w:ascii="Calibri" w:eastAsia="Calibri" w:hAnsi="Calibri" w:cs="Calibri"/>
        </w:rPr>
        <w:t>concerning</w:t>
      </w:r>
      <w:r w:rsidR="000865B5">
        <w:rPr>
          <w:rFonts w:ascii="Calibri" w:eastAsia="Calibri" w:hAnsi="Calibri" w:cs="Calibri"/>
        </w:rPr>
        <w:t xml:space="preserve"> access to executive records</w:t>
      </w:r>
      <w:r w:rsidR="00E5313C">
        <w:rPr>
          <w:rFonts w:ascii="Calibri" w:eastAsia="Calibri" w:hAnsi="Calibri" w:cs="Calibri"/>
        </w:rPr>
        <w:t xml:space="preserve"> </w:t>
      </w:r>
      <w:r w:rsidR="001D29CE">
        <w:rPr>
          <w:rFonts w:ascii="Calibri" w:eastAsia="Calibri" w:hAnsi="Calibri" w:cs="Calibri"/>
        </w:rPr>
        <w:t xml:space="preserve">under the </w:t>
      </w:r>
      <w:r w:rsidR="001D29CE" w:rsidRPr="001D29CE">
        <w:rPr>
          <w:rFonts w:ascii="Calibri" w:eastAsia="Calibri" w:hAnsi="Calibri" w:cs="Calibri"/>
          <w:i/>
          <w:iCs/>
        </w:rPr>
        <w:t>Territory Records Act 2002</w:t>
      </w:r>
      <w:r w:rsidR="001D29CE">
        <w:rPr>
          <w:rFonts w:ascii="Calibri" w:eastAsia="Calibri" w:hAnsi="Calibri" w:cs="Calibri"/>
        </w:rPr>
        <w:t>.  Accessible executive records are those executive records (commonly referred to as cabinet documents) that are more than ten years old</w:t>
      </w:r>
      <w:r w:rsidR="00CF0F5C">
        <w:rPr>
          <w:rFonts w:ascii="Calibri" w:eastAsia="Calibri" w:hAnsi="Calibri" w:cs="Calibri"/>
        </w:rPr>
        <w:t xml:space="preserve">, and are identified as having become accessible on a list published each Canberra Day </w:t>
      </w:r>
      <w:r w:rsidR="00AB04EF">
        <w:rPr>
          <w:rFonts w:ascii="Calibri" w:eastAsia="Calibri" w:hAnsi="Calibri" w:cs="Calibri"/>
        </w:rPr>
        <w:t>–</w:t>
      </w:r>
      <w:r w:rsidR="00CF0F5C">
        <w:rPr>
          <w:rFonts w:ascii="Calibri" w:eastAsia="Calibri" w:hAnsi="Calibri" w:cs="Calibri"/>
        </w:rPr>
        <w:t xml:space="preserve"> </w:t>
      </w:r>
      <w:r w:rsidR="00AB04EF">
        <w:rPr>
          <w:rFonts w:ascii="Calibri" w:eastAsia="Calibri" w:hAnsi="Calibri" w:cs="Calibri"/>
        </w:rPr>
        <w:t>the second Monday in March.</w:t>
      </w:r>
    </w:p>
    <w:p w14:paraId="23C33389" w14:textId="485537A7" w:rsidR="00072070" w:rsidRDefault="001420BF" w:rsidP="00650C1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This Bill establish</w:t>
      </w:r>
      <w:r w:rsidR="00C23C47">
        <w:rPr>
          <w:rFonts w:ascii="Calibri" w:eastAsia="Calibri" w:hAnsi="Calibri" w:cs="Calibri"/>
        </w:rPr>
        <w:t>es</w:t>
      </w:r>
      <w:r w:rsidR="00166A61">
        <w:rPr>
          <w:rFonts w:ascii="Calibri" w:eastAsia="Calibri" w:hAnsi="Calibri" w:cs="Calibri"/>
        </w:rPr>
        <w:t xml:space="preserve"> a timeframe and mechanisms </w:t>
      </w:r>
      <w:r w:rsidR="008632B1">
        <w:rPr>
          <w:rFonts w:ascii="Calibri" w:eastAsia="Calibri" w:hAnsi="Calibri" w:cs="Calibri"/>
        </w:rPr>
        <w:t xml:space="preserve">similar to what is currently in effect under the </w:t>
      </w:r>
      <w:r w:rsidR="008632B1" w:rsidRPr="008E1B87">
        <w:rPr>
          <w:rFonts w:ascii="Calibri" w:eastAsia="Calibri" w:hAnsi="Calibri" w:cs="Calibri"/>
          <w:i/>
          <w:iCs/>
        </w:rPr>
        <w:t>Free</w:t>
      </w:r>
      <w:r w:rsidR="00166A61" w:rsidRPr="008E1B87">
        <w:rPr>
          <w:rFonts w:ascii="Calibri" w:eastAsia="Calibri" w:hAnsi="Calibri" w:cs="Calibri"/>
          <w:i/>
          <w:iCs/>
        </w:rPr>
        <w:t>dom of Information A</w:t>
      </w:r>
      <w:r w:rsidR="008632B1" w:rsidRPr="008E1B87">
        <w:rPr>
          <w:rFonts w:ascii="Calibri" w:eastAsia="Calibri" w:hAnsi="Calibri" w:cs="Calibri"/>
          <w:i/>
          <w:iCs/>
        </w:rPr>
        <w:t>ct</w:t>
      </w:r>
      <w:r w:rsidR="00C23C47" w:rsidRPr="008E1B87">
        <w:rPr>
          <w:rFonts w:ascii="Calibri" w:eastAsia="Calibri" w:hAnsi="Calibri" w:cs="Calibri"/>
          <w:i/>
          <w:iCs/>
        </w:rPr>
        <w:t xml:space="preserve"> 2016</w:t>
      </w:r>
      <w:r w:rsidR="008632B1">
        <w:rPr>
          <w:rFonts w:ascii="Calibri" w:eastAsia="Calibri" w:hAnsi="Calibri" w:cs="Calibri"/>
        </w:rPr>
        <w:t xml:space="preserve">. </w:t>
      </w:r>
      <w:r w:rsidR="00AB04EF" w:rsidRPr="3A4892F2">
        <w:rPr>
          <w:rFonts w:ascii="Calibri" w:eastAsia="Calibri" w:hAnsi="Calibri" w:cs="Calibri"/>
        </w:rPr>
        <w:t>A 30 working</w:t>
      </w:r>
      <w:r w:rsidR="1ED9356B" w:rsidRPr="32157D2A">
        <w:rPr>
          <w:rFonts w:ascii="Calibri" w:eastAsia="Calibri" w:hAnsi="Calibri" w:cs="Calibri"/>
        </w:rPr>
        <w:t>-</w:t>
      </w:r>
      <w:r w:rsidR="00AB04EF" w:rsidRPr="3A4892F2">
        <w:rPr>
          <w:rFonts w:ascii="Calibri" w:eastAsia="Calibri" w:hAnsi="Calibri" w:cs="Calibri"/>
        </w:rPr>
        <w:t xml:space="preserve">day limit is placed on </w:t>
      </w:r>
      <w:r w:rsidR="00442009" w:rsidRPr="3A4892F2">
        <w:rPr>
          <w:rFonts w:ascii="Calibri" w:eastAsia="Calibri" w:hAnsi="Calibri" w:cs="Calibri"/>
        </w:rPr>
        <w:t xml:space="preserve">the time permitted for </w:t>
      </w:r>
      <w:r w:rsidR="0077364F" w:rsidRPr="3A4892F2">
        <w:rPr>
          <w:rFonts w:ascii="Calibri" w:eastAsia="Calibri" w:hAnsi="Calibri" w:cs="Calibri"/>
        </w:rPr>
        <w:t>the princip</w:t>
      </w:r>
      <w:r w:rsidR="003F1F23" w:rsidRPr="3A4892F2">
        <w:rPr>
          <w:rFonts w:ascii="Calibri" w:eastAsia="Calibri" w:hAnsi="Calibri" w:cs="Calibri"/>
        </w:rPr>
        <w:t>a</w:t>
      </w:r>
      <w:r w:rsidR="0077364F" w:rsidRPr="3A4892F2">
        <w:rPr>
          <w:rFonts w:ascii="Calibri" w:eastAsia="Calibri" w:hAnsi="Calibri" w:cs="Calibri"/>
        </w:rPr>
        <w:t>l officer</w:t>
      </w:r>
      <w:r w:rsidR="00D24E9C" w:rsidRPr="3A4892F2">
        <w:rPr>
          <w:rFonts w:ascii="Calibri" w:eastAsia="Calibri" w:hAnsi="Calibri" w:cs="Calibri"/>
        </w:rPr>
        <w:t xml:space="preserve"> to grant access to a document</w:t>
      </w:r>
      <w:r w:rsidR="002C3DAE" w:rsidRPr="3A4892F2">
        <w:rPr>
          <w:rFonts w:ascii="Calibri" w:eastAsia="Calibri" w:hAnsi="Calibri" w:cs="Calibri"/>
        </w:rPr>
        <w:t xml:space="preserve">, which includes the time </w:t>
      </w:r>
      <w:r w:rsidR="008B15D2" w:rsidRPr="3A4892F2">
        <w:rPr>
          <w:rFonts w:ascii="Calibri" w:eastAsia="Calibri" w:hAnsi="Calibri" w:cs="Calibri"/>
        </w:rPr>
        <w:t>to consider whether a release restraint determination should be made</w:t>
      </w:r>
      <w:r w:rsidR="000778C8" w:rsidRPr="3A4892F2">
        <w:rPr>
          <w:rFonts w:ascii="Calibri" w:eastAsia="Calibri" w:hAnsi="Calibri" w:cs="Calibri"/>
        </w:rPr>
        <w:t>.</w:t>
      </w:r>
      <w:r w:rsidR="0032388B" w:rsidRPr="3A4892F2">
        <w:rPr>
          <w:rFonts w:ascii="Calibri" w:eastAsia="Calibri" w:hAnsi="Calibri" w:cs="Calibri"/>
        </w:rPr>
        <w:t xml:space="preserve">  </w:t>
      </w:r>
      <w:r w:rsidR="0004278E" w:rsidRPr="3A4892F2">
        <w:rPr>
          <w:rFonts w:ascii="Calibri" w:eastAsia="Calibri" w:hAnsi="Calibri" w:cs="Calibri"/>
        </w:rPr>
        <w:t xml:space="preserve">This </w:t>
      </w:r>
      <w:r w:rsidR="004005E4" w:rsidRPr="3A4892F2">
        <w:rPr>
          <w:rFonts w:ascii="Calibri" w:eastAsia="Calibri" w:hAnsi="Calibri" w:cs="Calibri"/>
        </w:rPr>
        <w:t xml:space="preserve">period </w:t>
      </w:r>
      <w:r w:rsidR="0004278E" w:rsidRPr="3A4892F2">
        <w:rPr>
          <w:rFonts w:ascii="Calibri" w:eastAsia="Calibri" w:hAnsi="Calibri" w:cs="Calibri"/>
        </w:rPr>
        <w:t xml:space="preserve">may be extended </w:t>
      </w:r>
      <w:r w:rsidR="004005E4" w:rsidRPr="3A4892F2">
        <w:rPr>
          <w:rFonts w:ascii="Calibri" w:eastAsia="Calibri" w:hAnsi="Calibri" w:cs="Calibri"/>
        </w:rPr>
        <w:t xml:space="preserve">where agreed to by the requester, or </w:t>
      </w:r>
      <w:r w:rsidR="000609E8" w:rsidRPr="3A4892F2">
        <w:rPr>
          <w:rFonts w:ascii="Calibri" w:eastAsia="Calibri" w:hAnsi="Calibri" w:cs="Calibri"/>
        </w:rPr>
        <w:t xml:space="preserve">by the </w:t>
      </w:r>
      <w:r w:rsidR="002E1006">
        <w:rPr>
          <w:rFonts w:ascii="Calibri" w:eastAsia="Calibri" w:hAnsi="Calibri" w:cs="Calibri"/>
        </w:rPr>
        <w:t xml:space="preserve">ACT </w:t>
      </w:r>
      <w:r w:rsidR="000609E8" w:rsidRPr="3A4892F2">
        <w:rPr>
          <w:rFonts w:ascii="Calibri" w:eastAsia="Calibri" w:hAnsi="Calibri" w:cs="Calibri"/>
        </w:rPr>
        <w:t xml:space="preserve">Ombudsman if the </w:t>
      </w:r>
      <w:r w:rsidR="002E1006">
        <w:rPr>
          <w:rFonts w:ascii="Calibri" w:eastAsia="Calibri" w:hAnsi="Calibri" w:cs="Calibri"/>
        </w:rPr>
        <w:t xml:space="preserve">ACT </w:t>
      </w:r>
      <w:r w:rsidR="000609E8" w:rsidRPr="3A4892F2">
        <w:rPr>
          <w:rFonts w:ascii="Calibri" w:eastAsia="Calibri" w:hAnsi="Calibri" w:cs="Calibri"/>
        </w:rPr>
        <w:t>Ombudsman agrees that the extension is reasonable in the circumstances</w:t>
      </w:r>
      <w:r w:rsidR="008F2FEB" w:rsidRPr="3A4892F2">
        <w:rPr>
          <w:rFonts w:ascii="Calibri" w:eastAsia="Calibri" w:hAnsi="Calibri" w:cs="Calibri"/>
        </w:rPr>
        <w:t>, or where Christmas shutdown days occur</w:t>
      </w:r>
      <w:r w:rsidR="000609E8" w:rsidRPr="3A4892F2">
        <w:rPr>
          <w:rFonts w:ascii="Calibri" w:eastAsia="Calibri" w:hAnsi="Calibri" w:cs="Calibri"/>
        </w:rPr>
        <w:t>.</w:t>
      </w:r>
      <w:r w:rsidR="00A040D7" w:rsidRPr="3A4892F2">
        <w:rPr>
          <w:rFonts w:ascii="Calibri" w:eastAsia="Calibri" w:hAnsi="Calibri" w:cs="Calibri"/>
        </w:rPr>
        <w:t xml:space="preserve">  </w:t>
      </w:r>
      <w:r w:rsidR="00A52745" w:rsidRPr="3A4892F2">
        <w:rPr>
          <w:rFonts w:ascii="Calibri" w:eastAsia="Calibri" w:hAnsi="Calibri" w:cs="Calibri"/>
        </w:rPr>
        <w:t xml:space="preserve">It allows for </w:t>
      </w:r>
      <w:r w:rsidR="00951EC0" w:rsidRPr="3A4892F2">
        <w:rPr>
          <w:rFonts w:ascii="Calibri" w:eastAsia="Calibri" w:hAnsi="Calibri" w:cs="Calibri"/>
        </w:rPr>
        <w:t xml:space="preserve">a reasonable </w:t>
      </w:r>
      <w:r w:rsidR="00155B25" w:rsidRPr="3A4892F2">
        <w:rPr>
          <w:rFonts w:ascii="Calibri" w:eastAsia="Calibri" w:hAnsi="Calibri" w:cs="Calibri"/>
        </w:rPr>
        <w:t>delay to large requests which would constitute</w:t>
      </w:r>
      <w:r w:rsidR="00EC6D12" w:rsidRPr="3A4892F2">
        <w:rPr>
          <w:rFonts w:ascii="Calibri" w:eastAsia="Calibri" w:hAnsi="Calibri" w:cs="Calibri"/>
        </w:rPr>
        <w:t xml:space="preserve"> an unreasonable and substantial diversion of resources without consequently impacting </w:t>
      </w:r>
      <w:r w:rsidR="00951EC0" w:rsidRPr="3A4892F2">
        <w:rPr>
          <w:rFonts w:ascii="Calibri" w:eastAsia="Calibri" w:hAnsi="Calibri" w:cs="Calibri"/>
        </w:rPr>
        <w:t>the timeliness of requests by other requesters being met.</w:t>
      </w:r>
      <w:r w:rsidR="00CF5FDB" w:rsidRPr="3A4892F2">
        <w:rPr>
          <w:rFonts w:ascii="Calibri" w:eastAsia="Calibri" w:hAnsi="Calibri" w:cs="Calibri"/>
        </w:rPr>
        <w:t xml:space="preserve"> These extension provisions allow for flexibility in resource management and therefore support compatibility with section 65 of the </w:t>
      </w:r>
      <w:r w:rsidR="00CF5FDB" w:rsidRPr="3A4892F2">
        <w:rPr>
          <w:rFonts w:ascii="Calibri" w:eastAsia="Calibri" w:hAnsi="Calibri" w:cs="Calibri"/>
          <w:i/>
          <w:iCs/>
        </w:rPr>
        <w:t>ACT Self-Government Act 1988</w:t>
      </w:r>
      <w:r w:rsidR="00CF5FDB" w:rsidRPr="3A4892F2">
        <w:rPr>
          <w:rFonts w:ascii="Calibri" w:eastAsia="Calibri" w:hAnsi="Calibri" w:cs="Calibri"/>
        </w:rPr>
        <w:t xml:space="preserve">.  </w:t>
      </w:r>
    </w:p>
    <w:p w14:paraId="291FADD4" w14:textId="00798B3D" w:rsidR="00544002" w:rsidRDefault="00072070" w:rsidP="00650C17">
      <w:pPr>
        <w:rPr>
          <w:rFonts w:ascii="Calibri" w:eastAsia="Calibri" w:hAnsi="Calibri" w:cs="Calibri"/>
        </w:rPr>
      </w:pPr>
      <w:r w:rsidRPr="3A4892F2">
        <w:rPr>
          <w:rFonts w:ascii="Calibri" w:eastAsia="Calibri" w:hAnsi="Calibri" w:cs="Calibri"/>
        </w:rPr>
        <w:t xml:space="preserve">If a decision is not made </w:t>
      </w:r>
      <w:r w:rsidR="00132248" w:rsidRPr="3A4892F2">
        <w:rPr>
          <w:rFonts w:ascii="Calibri" w:eastAsia="Calibri" w:hAnsi="Calibri" w:cs="Calibri"/>
        </w:rPr>
        <w:t>by the princip</w:t>
      </w:r>
      <w:r w:rsidR="003F1F23" w:rsidRPr="3A4892F2">
        <w:rPr>
          <w:rFonts w:ascii="Calibri" w:eastAsia="Calibri" w:hAnsi="Calibri" w:cs="Calibri"/>
        </w:rPr>
        <w:t>a</w:t>
      </w:r>
      <w:r w:rsidR="00132248" w:rsidRPr="3A4892F2">
        <w:rPr>
          <w:rFonts w:ascii="Calibri" w:eastAsia="Calibri" w:hAnsi="Calibri" w:cs="Calibri"/>
        </w:rPr>
        <w:t xml:space="preserve">l officer </w:t>
      </w:r>
      <w:r w:rsidRPr="3A4892F2">
        <w:rPr>
          <w:rFonts w:ascii="Calibri" w:eastAsia="Calibri" w:hAnsi="Calibri" w:cs="Calibri"/>
        </w:rPr>
        <w:t xml:space="preserve">within the </w:t>
      </w:r>
      <w:r w:rsidR="00CB7C8A">
        <w:rPr>
          <w:rFonts w:ascii="Calibri" w:eastAsia="Calibri" w:hAnsi="Calibri" w:cs="Calibri"/>
        </w:rPr>
        <w:t xml:space="preserve">time </w:t>
      </w:r>
      <w:r w:rsidRPr="3A4892F2">
        <w:rPr>
          <w:rFonts w:ascii="Calibri" w:eastAsia="Calibri" w:hAnsi="Calibri" w:cs="Calibri"/>
        </w:rPr>
        <w:t>limit,</w:t>
      </w:r>
      <w:r w:rsidR="00CF5FDB" w:rsidRPr="3A4892F2">
        <w:rPr>
          <w:rFonts w:ascii="Calibri" w:eastAsia="Calibri" w:hAnsi="Calibri" w:cs="Calibri"/>
        </w:rPr>
        <w:t xml:space="preserve"> including any agreed extensions,</w:t>
      </w:r>
      <w:r w:rsidRPr="3A4892F2">
        <w:rPr>
          <w:rFonts w:ascii="Calibri" w:eastAsia="Calibri" w:hAnsi="Calibri" w:cs="Calibri"/>
        </w:rPr>
        <w:t xml:space="preserve"> </w:t>
      </w:r>
      <w:r w:rsidR="001555BC" w:rsidRPr="3A4892F2">
        <w:rPr>
          <w:rFonts w:ascii="Calibri" w:eastAsia="Calibri" w:hAnsi="Calibri" w:cs="Calibri"/>
        </w:rPr>
        <w:t>the applicable records are</w:t>
      </w:r>
      <w:r w:rsidRPr="3A4892F2">
        <w:rPr>
          <w:rFonts w:ascii="Calibri" w:eastAsia="Calibri" w:hAnsi="Calibri" w:cs="Calibri"/>
        </w:rPr>
        <w:t xml:space="preserve"> deemed to have been fully restrained under a release</w:t>
      </w:r>
      <w:r w:rsidR="001555BC" w:rsidRPr="3A4892F2">
        <w:rPr>
          <w:rFonts w:ascii="Calibri" w:eastAsia="Calibri" w:hAnsi="Calibri" w:cs="Calibri"/>
        </w:rPr>
        <w:t xml:space="preserve"> restraint determination.</w:t>
      </w:r>
      <w:r w:rsidR="00132248" w:rsidRPr="3A4892F2">
        <w:rPr>
          <w:rFonts w:ascii="Calibri" w:eastAsia="Calibri" w:hAnsi="Calibri" w:cs="Calibri"/>
        </w:rPr>
        <w:t xml:space="preserve">  This allows </w:t>
      </w:r>
      <w:r w:rsidR="00EA4F8D" w:rsidRPr="3A4892F2">
        <w:rPr>
          <w:rFonts w:ascii="Calibri" w:eastAsia="Calibri" w:hAnsi="Calibri" w:cs="Calibri"/>
        </w:rPr>
        <w:t xml:space="preserve">for </w:t>
      </w:r>
      <w:r w:rsidR="00132248" w:rsidRPr="3A4892F2">
        <w:rPr>
          <w:rFonts w:ascii="Calibri" w:eastAsia="Calibri" w:hAnsi="Calibri" w:cs="Calibri"/>
        </w:rPr>
        <w:t xml:space="preserve">the </w:t>
      </w:r>
      <w:r w:rsidR="00EA4F8D" w:rsidRPr="3A4892F2">
        <w:rPr>
          <w:rFonts w:ascii="Calibri" w:eastAsia="Calibri" w:hAnsi="Calibri" w:cs="Calibri"/>
        </w:rPr>
        <w:t xml:space="preserve">deemed </w:t>
      </w:r>
      <w:r w:rsidR="00132248" w:rsidRPr="3A4892F2">
        <w:rPr>
          <w:rFonts w:ascii="Calibri" w:eastAsia="Calibri" w:hAnsi="Calibri" w:cs="Calibri"/>
        </w:rPr>
        <w:t xml:space="preserve">decision to be appealed to the </w:t>
      </w:r>
      <w:r w:rsidR="002E1006">
        <w:rPr>
          <w:rFonts w:ascii="Calibri" w:eastAsia="Calibri" w:hAnsi="Calibri" w:cs="Calibri"/>
        </w:rPr>
        <w:t xml:space="preserve">ACT </w:t>
      </w:r>
      <w:r w:rsidR="00132248" w:rsidRPr="3A4892F2">
        <w:rPr>
          <w:rFonts w:ascii="Calibri" w:eastAsia="Calibri" w:hAnsi="Calibri" w:cs="Calibri"/>
        </w:rPr>
        <w:t>Ombudsman</w:t>
      </w:r>
      <w:r w:rsidR="00160906" w:rsidRPr="3A4892F2">
        <w:rPr>
          <w:rFonts w:ascii="Calibri" w:eastAsia="Calibri" w:hAnsi="Calibri" w:cs="Calibri"/>
        </w:rPr>
        <w:t xml:space="preserve"> by the requester</w:t>
      </w:r>
      <w:r w:rsidR="00590A91" w:rsidRPr="3A4892F2">
        <w:rPr>
          <w:rFonts w:ascii="Calibri" w:eastAsia="Calibri" w:hAnsi="Calibri" w:cs="Calibri"/>
        </w:rPr>
        <w:t xml:space="preserve"> without prejudicing </w:t>
      </w:r>
      <w:r w:rsidR="004D3EA3" w:rsidRPr="3A4892F2">
        <w:rPr>
          <w:rFonts w:ascii="Calibri" w:eastAsia="Calibri" w:hAnsi="Calibri" w:cs="Calibri"/>
        </w:rPr>
        <w:t>any information that should genuinely require redaction</w:t>
      </w:r>
      <w:r w:rsidR="00DA3E6D" w:rsidRPr="3A4892F2">
        <w:rPr>
          <w:rFonts w:ascii="Calibri" w:eastAsia="Calibri" w:hAnsi="Calibri" w:cs="Calibri"/>
        </w:rPr>
        <w:t xml:space="preserve"> </w:t>
      </w:r>
      <w:r w:rsidR="00111F31" w:rsidRPr="3A4892F2">
        <w:rPr>
          <w:rFonts w:ascii="Calibri" w:eastAsia="Calibri" w:hAnsi="Calibri" w:cs="Calibri"/>
        </w:rPr>
        <w:t>under the Act</w:t>
      </w:r>
      <w:r w:rsidR="00EA4F8D" w:rsidRPr="3A4892F2">
        <w:rPr>
          <w:rFonts w:ascii="Calibri" w:eastAsia="Calibri" w:hAnsi="Calibri" w:cs="Calibri"/>
        </w:rPr>
        <w:t>.</w:t>
      </w:r>
      <w:r w:rsidR="00160906" w:rsidRPr="3A4892F2">
        <w:rPr>
          <w:rFonts w:ascii="Calibri" w:eastAsia="Calibri" w:hAnsi="Calibri" w:cs="Calibri"/>
        </w:rPr>
        <w:t xml:space="preserve">  </w:t>
      </w:r>
      <w:r w:rsidR="0039101C" w:rsidRPr="3A4892F2">
        <w:rPr>
          <w:rFonts w:ascii="Calibri" w:eastAsia="Calibri" w:hAnsi="Calibri" w:cs="Calibri"/>
        </w:rPr>
        <w:t xml:space="preserve">Any </w:t>
      </w:r>
      <w:r w:rsidR="009532A3" w:rsidRPr="3A4892F2">
        <w:rPr>
          <w:rFonts w:ascii="Calibri" w:eastAsia="Calibri" w:hAnsi="Calibri" w:cs="Calibri"/>
        </w:rPr>
        <w:t xml:space="preserve">full or partial release restraint </w:t>
      </w:r>
      <w:r w:rsidR="00016786" w:rsidRPr="3A4892F2">
        <w:rPr>
          <w:rFonts w:ascii="Calibri" w:eastAsia="Calibri" w:hAnsi="Calibri" w:cs="Calibri"/>
        </w:rPr>
        <w:t xml:space="preserve">decision made by the principal </w:t>
      </w:r>
      <w:r w:rsidR="008573D4" w:rsidRPr="3A4892F2">
        <w:rPr>
          <w:rFonts w:ascii="Calibri" w:eastAsia="Calibri" w:hAnsi="Calibri" w:cs="Calibri"/>
        </w:rPr>
        <w:t xml:space="preserve">officer that the requester is not satisfied with can be </w:t>
      </w:r>
      <w:r w:rsidR="00485F8C" w:rsidRPr="3A4892F2">
        <w:rPr>
          <w:rFonts w:ascii="Calibri" w:eastAsia="Calibri" w:hAnsi="Calibri" w:cs="Calibri"/>
        </w:rPr>
        <w:t xml:space="preserve">similarly appealed.  </w:t>
      </w:r>
      <w:r w:rsidR="00160906" w:rsidRPr="3A4892F2">
        <w:rPr>
          <w:rFonts w:ascii="Calibri" w:eastAsia="Calibri" w:hAnsi="Calibri" w:cs="Calibri"/>
        </w:rPr>
        <w:t xml:space="preserve">The </w:t>
      </w:r>
      <w:r w:rsidR="002E1006">
        <w:rPr>
          <w:rFonts w:ascii="Calibri" w:eastAsia="Calibri" w:hAnsi="Calibri" w:cs="Calibri"/>
        </w:rPr>
        <w:t xml:space="preserve">ACT </w:t>
      </w:r>
      <w:r w:rsidR="00160906" w:rsidRPr="3A4892F2">
        <w:rPr>
          <w:rFonts w:ascii="Calibri" w:eastAsia="Calibri" w:hAnsi="Calibri" w:cs="Calibri"/>
        </w:rPr>
        <w:t>Ombudsman is then empowered to review the decision</w:t>
      </w:r>
      <w:r w:rsidR="009319A6" w:rsidRPr="3A4892F2">
        <w:rPr>
          <w:rFonts w:ascii="Calibri" w:eastAsia="Calibri" w:hAnsi="Calibri" w:cs="Calibri"/>
        </w:rPr>
        <w:t>, as made or deemed,</w:t>
      </w:r>
      <w:r w:rsidR="00160906" w:rsidRPr="3A4892F2">
        <w:rPr>
          <w:rFonts w:ascii="Calibri" w:eastAsia="Calibri" w:hAnsi="Calibri" w:cs="Calibri"/>
        </w:rPr>
        <w:t xml:space="preserve"> instead of the current practice of allowing for an internal review</w:t>
      </w:r>
      <w:r w:rsidR="0038138C" w:rsidRPr="3A4892F2">
        <w:rPr>
          <w:rFonts w:ascii="Calibri" w:eastAsia="Calibri" w:hAnsi="Calibri" w:cs="Calibri"/>
        </w:rPr>
        <w:t xml:space="preserve"> by alternative officers within </w:t>
      </w:r>
      <w:r w:rsidR="00D317C2">
        <w:rPr>
          <w:rFonts w:ascii="Calibri" w:eastAsia="Calibri" w:hAnsi="Calibri" w:cs="Calibri"/>
        </w:rPr>
        <w:t xml:space="preserve">the </w:t>
      </w:r>
      <w:r w:rsidR="0038138C" w:rsidRPr="3A4892F2">
        <w:rPr>
          <w:rFonts w:ascii="Calibri" w:eastAsia="Calibri" w:hAnsi="Calibri" w:cs="Calibri"/>
        </w:rPr>
        <w:t>C</w:t>
      </w:r>
      <w:r w:rsidR="00B72CDC">
        <w:rPr>
          <w:rFonts w:ascii="Calibri" w:eastAsia="Calibri" w:hAnsi="Calibri" w:cs="Calibri"/>
        </w:rPr>
        <w:t>hief Minister, Treasury</w:t>
      </w:r>
      <w:r w:rsidR="00E3686D">
        <w:rPr>
          <w:rFonts w:ascii="Calibri" w:eastAsia="Calibri" w:hAnsi="Calibri" w:cs="Calibri"/>
        </w:rPr>
        <w:t xml:space="preserve"> and</w:t>
      </w:r>
      <w:r w:rsidR="00B72CDC">
        <w:rPr>
          <w:rFonts w:ascii="Calibri" w:eastAsia="Calibri" w:hAnsi="Calibri" w:cs="Calibri"/>
        </w:rPr>
        <w:t xml:space="preserve"> Econom</w:t>
      </w:r>
      <w:r w:rsidR="00FE2CD5">
        <w:rPr>
          <w:rFonts w:ascii="Calibri" w:eastAsia="Calibri" w:hAnsi="Calibri" w:cs="Calibri"/>
        </w:rPr>
        <w:t>ic Development Directorate</w:t>
      </w:r>
      <w:r w:rsidR="0038138C" w:rsidRPr="3A4892F2">
        <w:rPr>
          <w:rFonts w:ascii="Calibri" w:eastAsia="Calibri" w:hAnsi="Calibri" w:cs="Calibri"/>
        </w:rPr>
        <w:t>.</w:t>
      </w:r>
      <w:r w:rsidR="00407796" w:rsidRPr="3A4892F2">
        <w:rPr>
          <w:rFonts w:ascii="Calibri" w:eastAsia="Calibri" w:hAnsi="Calibri" w:cs="Calibri"/>
        </w:rPr>
        <w:t xml:space="preserve">  </w:t>
      </w:r>
      <w:r w:rsidR="00EF44E4" w:rsidRPr="3A4892F2">
        <w:rPr>
          <w:rFonts w:ascii="Calibri" w:eastAsia="Calibri" w:hAnsi="Calibri" w:cs="Calibri"/>
        </w:rPr>
        <w:t xml:space="preserve">Appeals on </w:t>
      </w:r>
      <w:r w:rsidR="002E1006">
        <w:rPr>
          <w:rFonts w:ascii="Calibri" w:eastAsia="Calibri" w:hAnsi="Calibri" w:cs="Calibri"/>
        </w:rPr>
        <w:t xml:space="preserve">ACT </w:t>
      </w:r>
      <w:r w:rsidR="00EF44E4" w:rsidRPr="3A4892F2">
        <w:rPr>
          <w:rFonts w:ascii="Calibri" w:eastAsia="Calibri" w:hAnsi="Calibri" w:cs="Calibri"/>
        </w:rPr>
        <w:t>Ombudsman reviews can be made to ACAT.</w:t>
      </w:r>
    </w:p>
    <w:p w14:paraId="256A5F93" w14:textId="5D376EC6" w:rsidR="00544002" w:rsidRPr="005E46D7" w:rsidRDefault="00544002" w:rsidP="00650C1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Consequential amendments are made</w:t>
      </w:r>
      <w:r w:rsidR="00EF44E4">
        <w:rPr>
          <w:rFonts w:ascii="Calibri" w:eastAsia="Calibri" w:hAnsi="Calibri" w:cs="Calibri"/>
        </w:rPr>
        <w:t xml:space="preserve"> to the </w:t>
      </w:r>
      <w:r w:rsidR="00EF44E4" w:rsidRPr="009F72EF">
        <w:rPr>
          <w:rFonts w:ascii="Calibri" w:eastAsia="Calibri" w:hAnsi="Calibri" w:cs="Calibri"/>
          <w:i/>
          <w:iCs/>
        </w:rPr>
        <w:t>Ombudsman Act 1989</w:t>
      </w:r>
      <w:r w:rsidR="00EF44E4">
        <w:rPr>
          <w:rFonts w:ascii="Calibri" w:eastAsia="Calibri" w:hAnsi="Calibri" w:cs="Calibri"/>
        </w:rPr>
        <w:t xml:space="preserve"> for consistency with </w:t>
      </w:r>
      <w:r w:rsidR="009F72EF">
        <w:rPr>
          <w:rFonts w:ascii="Calibri" w:eastAsia="Calibri" w:hAnsi="Calibri" w:cs="Calibri"/>
        </w:rPr>
        <w:t xml:space="preserve">their new functions under the </w:t>
      </w:r>
      <w:r w:rsidR="009F72EF" w:rsidRPr="009F72EF">
        <w:rPr>
          <w:rFonts w:ascii="Calibri" w:eastAsia="Calibri" w:hAnsi="Calibri" w:cs="Calibri"/>
          <w:i/>
          <w:iCs/>
        </w:rPr>
        <w:t>Territory Records Act 2002</w:t>
      </w:r>
      <w:r w:rsidR="009F72EF">
        <w:rPr>
          <w:rFonts w:ascii="Calibri" w:eastAsia="Calibri" w:hAnsi="Calibri" w:cs="Calibri"/>
        </w:rPr>
        <w:t>.</w:t>
      </w:r>
    </w:p>
    <w:p w14:paraId="3ECCB98A" w14:textId="7C53F0C1" w:rsidR="00A011BF" w:rsidRPr="00A06A6B" w:rsidRDefault="005E4A82" w:rsidP="00650C17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CONSULATION ON THE APPROACH</w:t>
      </w:r>
    </w:p>
    <w:p w14:paraId="7EAC00F1" w14:textId="77777777" w:rsidR="002B17B7" w:rsidRDefault="00541D87" w:rsidP="00A9339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 exposure draft of this bill was tabled in the Assembly and published on the Legislation Register on </w:t>
      </w:r>
      <w:r w:rsidR="00BE2363">
        <w:rPr>
          <w:rFonts w:ascii="Calibri" w:eastAsia="Calibri" w:hAnsi="Calibri" w:cs="Calibri"/>
        </w:rPr>
        <w:t>9 April 2025</w:t>
      </w:r>
      <w:r w:rsidR="00641F42">
        <w:rPr>
          <w:rFonts w:ascii="Calibri" w:eastAsia="Calibri" w:hAnsi="Calibri" w:cs="Calibri"/>
        </w:rPr>
        <w:t>, and was open for consultation until 25 May 2025</w:t>
      </w:r>
      <w:r w:rsidR="00BE2363">
        <w:rPr>
          <w:rFonts w:ascii="Calibri" w:eastAsia="Calibri" w:hAnsi="Calibri" w:cs="Calibri"/>
        </w:rPr>
        <w:t>.</w:t>
      </w:r>
      <w:r w:rsidR="00641F42">
        <w:rPr>
          <w:rStyle w:val="FootnoteReference"/>
          <w:rFonts w:ascii="Calibri" w:eastAsia="Calibri" w:hAnsi="Calibri" w:cs="Calibri"/>
        </w:rPr>
        <w:footnoteReference w:id="2"/>
      </w:r>
      <w:r w:rsidR="00641F42">
        <w:rPr>
          <w:rFonts w:ascii="Calibri" w:eastAsia="Calibri" w:hAnsi="Calibri" w:cs="Calibri"/>
        </w:rPr>
        <w:t xml:space="preserve"> </w:t>
      </w:r>
    </w:p>
    <w:p w14:paraId="4FE87FCE" w14:textId="552BA1E0" w:rsidR="005E249A" w:rsidRDefault="002F5A27" w:rsidP="00A9339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Advice</w:t>
      </w:r>
      <w:r w:rsidR="005E249A">
        <w:rPr>
          <w:rFonts w:ascii="Calibri" w:eastAsia="Calibri" w:hAnsi="Calibri" w:cs="Calibri"/>
        </w:rPr>
        <w:t xml:space="preserve"> was received from the Human Rights Commission, </w:t>
      </w:r>
      <w:r w:rsidR="001B06FE">
        <w:rPr>
          <w:rFonts w:ascii="Calibri" w:eastAsia="Calibri" w:hAnsi="Calibri" w:cs="Calibri"/>
        </w:rPr>
        <w:t xml:space="preserve">which was incorporated </w:t>
      </w:r>
      <w:r w:rsidR="00814908">
        <w:rPr>
          <w:rFonts w:ascii="Calibri" w:eastAsia="Calibri" w:hAnsi="Calibri" w:cs="Calibri"/>
        </w:rPr>
        <w:t>to improve the</w:t>
      </w:r>
      <w:r w:rsidR="001B06FE">
        <w:rPr>
          <w:rFonts w:ascii="Calibri" w:eastAsia="Calibri" w:hAnsi="Calibri" w:cs="Calibri"/>
        </w:rPr>
        <w:t xml:space="preserve"> human rights compatibility statement </w:t>
      </w:r>
      <w:r w:rsidR="00795A10">
        <w:rPr>
          <w:rFonts w:ascii="Calibri" w:eastAsia="Calibri" w:hAnsi="Calibri" w:cs="Calibri"/>
        </w:rPr>
        <w:t xml:space="preserve">from the version included with the exposure draft.  </w:t>
      </w:r>
      <w:r w:rsidR="00B62588">
        <w:rPr>
          <w:rFonts w:ascii="Calibri" w:eastAsia="Calibri" w:hAnsi="Calibri" w:cs="Calibri"/>
        </w:rPr>
        <w:t xml:space="preserve">This advice has been published by the </w:t>
      </w:r>
      <w:r w:rsidR="006D313D">
        <w:rPr>
          <w:rFonts w:ascii="Calibri" w:eastAsia="Calibri" w:hAnsi="Calibri" w:cs="Calibri"/>
        </w:rPr>
        <w:t>Commission on its website.</w:t>
      </w:r>
      <w:r w:rsidR="00B62588">
        <w:rPr>
          <w:rStyle w:val="FootnoteReference"/>
          <w:rFonts w:ascii="Calibri" w:eastAsia="Calibri" w:hAnsi="Calibri" w:cs="Calibri"/>
        </w:rPr>
        <w:footnoteReference w:id="3"/>
      </w:r>
    </w:p>
    <w:p w14:paraId="426450C7" w14:textId="67E5794B" w:rsidR="006D313D" w:rsidRDefault="0082578F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Specific feedback was </w:t>
      </w:r>
      <w:r w:rsidR="002F5A27">
        <w:rPr>
          <w:rFonts w:ascii="Calibri" w:eastAsia="Calibri" w:hAnsi="Calibri" w:cs="Calibri"/>
        </w:rPr>
        <w:t xml:space="preserve">also </w:t>
      </w:r>
      <w:r>
        <w:rPr>
          <w:rFonts w:ascii="Calibri" w:eastAsia="Calibri" w:hAnsi="Calibri" w:cs="Calibri"/>
        </w:rPr>
        <w:t xml:space="preserve">received from the ACT Ombudsman, which was incorporated to provide for more flexible </w:t>
      </w:r>
      <w:r w:rsidR="00CF0850">
        <w:rPr>
          <w:rFonts w:ascii="Calibri" w:eastAsia="Calibri" w:hAnsi="Calibri" w:cs="Calibri"/>
        </w:rPr>
        <w:t xml:space="preserve">and workable </w:t>
      </w:r>
      <w:r>
        <w:rPr>
          <w:rFonts w:ascii="Calibri" w:eastAsia="Calibri" w:hAnsi="Calibri" w:cs="Calibri"/>
        </w:rPr>
        <w:t xml:space="preserve">timelines for </w:t>
      </w:r>
      <w:r w:rsidR="00A4161A"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>mbudsman reviews, and the addition of a new section to ensure that the participants of any review at ACAT are the applicant and the principal officer</w:t>
      </w:r>
      <w:r w:rsidR="00A4161A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and not </w:t>
      </w:r>
      <w:r w:rsidR="00475102">
        <w:rPr>
          <w:rFonts w:ascii="Calibri" w:eastAsia="Calibri" w:hAnsi="Calibri" w:cs="Calibri"/>
        </w:rPr>
        <w:t xml:space="preserve">the </w:t>
      </w:r>
      <w:r w:rsidR="00A4161A">
        <w:rPr>
          <w:rFonts w:ascii="Calibri" w:eastAsia="Calibri" w:hAnsi="Calibri" w:cs="Calibri"/>
        </w:rPr>
        <w:t xml:space="preserve">ACT </w:t>
      </w:r>
      <w:r w:rsidR="00475102">
        <w:rPr>
          <w:rFonts w:ascii="Calibri" w:eastAsia="Calibri" w:hAnsi="Calibri" w:cs="Calibri"/>
        </w:rPr>
        <w:t>Ombudsman</w:t>
      </w:r>
      <w:r>
        <w:rPr>
          <w:rFonts w:ascii="Calibri" w:eastAsia="Calibri" w:hAnsi="Calibri" w:cs="Calibri"/>
        </w:rPr>
        <w:t>.</w:t>
      </w:r>
    </w:p>
    <w:p w14:paraId="4BD81C6C" w14:textId="77777777" w:rsidR="00FC5D9D" w:rsidRDefault="00FC5D9D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br w:type="page"/>
      </w:r>
    </w:p>
    <w:p w14:paraId="1B00FB3A" w14:textId="358F0C50" w:rsidR="007713F9" w:rsidRDefault="00131A64" w:rsidP="00650C17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lastRenderedPageBreak/>
        <w:t>HUMAN RIGHTS COMPATABILITY</w:t>
      </w:r>
    </w:p>
    <w:p w14:paraId="569D9EB9" w14:textId="36B59D84" w:rsidR="00246429" w:rsidRDefault="00A07ADB" w:rsidP="00650C1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This </w:t>
      </w:r>
      <w:r w:rsidR="005A22FD">
        <w:rPr>
          <w:rFonts w:ascii="Calibri" w:eastAsia="Calibri" w:hAnsi="Calibri" w:cs="Calibri"/>
        </w:rPr>
        <w:t xml:space="preserve">bill is not a Significant Bill.  </w:t>
      </w:r>
      <w:r w:rsidR="005A22FD" w:rsidRPr="005A22FD">
        <w:rPr>
          <w:rFonts w:ascii="Calibri" w:eastAsia="Calibri" w:hAnsi="Calibri" w:cs="Calibri"/>
        </w:rPr>
        <w:t xml:space="preserve">Significant Bills are bills that have been assessed as likely to have significant engagement of human rights and require more detailed reasoning in relation to compatibility with the </w:t>
      </w:r>
      <w:r w:rsidR="005A22FD" w:rsidRPr="00C457D6">
        <w:rPr>
          <w:rFonts w:ascii="Calibri" w:eastAsia="Calibri" w:hAnsi="Calibri" w:cs="Calibri"/>
          <w:i/>
          <w:iCs/>
        </w:rPr>
        <w:t>Human Rights Act 2004</w:t>
      </w:r>
      <w:r w:rsidR="005A22FD" w:rsidRPr="005A22FD">
        <w:rPr>
          <w:rFonts w:ascii="Calibri" w:eastAsia="Calibri" w:hAnsi="Calibri" w:cs="Calibri"/>
        </w:rPr>
        <w:t>.</w:t>
      </w:r>
    </w:p>
    <w:p w14:paraId="440CD8D3" w14:textId="78B39BC0" w:rsidR="00D20EA6" w:rsidRPr="00B17B69" w:rsidRDefault="00D20EA6" w:rsidP="00650C1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That said, it is worth acknowledging that the underlying provisions </w:t>
      </w:r>
      <w:r w:rsidR="006769FF">
        <w:rPr>
          <w:rFonts w:ascii="Calibri" w:eastAsia="Calibri" w:hAnsi="Calibri" w:cs="Calibri"/>
        </w:rPr>
        <w:t xml:space="preserve">concerning the release of executive documents were </w:t>
      </w:r>
      <w:r w:rsidR="003A1D5D">
        <w:rPr>
          <w:rFonts w:ascii="Calibri" w:eastAsia="Calibri" w:hAnsi="Calibri" w:cs="Calibri"/>
        </w:rPr>
        <w:t xml:space="preserve">first </w:t>
      </w:r>
      <w:r w:rsidR="006769FF">
        <w:rPr>
          <w:rFonts w:ascii="Calibri" w:eastAsia="Calibri" w:hAnsi="Calibri" w:cs="Calibri"/>
        </w:rPr>
        <w:t xml:space="preserve">introduced in the </w:t>
      </w:r>
      <w:r w:rsidR="006769FF">
        <w:rPr>
          <w:rFonts w:ascii="Calibri" w:eastAsia="Calibri" w:hAnsi="Calibri" w:cs="Calibri"/>
          <w:i/>
          <w:iCs/>
        </w:rPr>
        <w:t>Executive Documents Release Act 200</w:t>
      </w:r>
      <w:r w:rsidR="00D41E86">
        <w:rPr>
          <w:rFonts w:ascii="Calibri" w:eastAsia="Calibri" w:hAnsi="Calibri" w:cs="Calibri"/>
          <w:i/>
          <w:iCs/>
        </w:rPr>
        <w:t>1</w:t>
      </w:r>
      <w:r w:rsidR="003A1D5D">
        <w:rPr>
          <w:rFonts w:ascii="Calibri" w:eastAsia="Calibri" w:hAnsi="Calibri" w:cs="Calibri"/>
        </w:rPr>
        <w:t xml:space="preserve">, and their </w:t>
      </w:r>
      <w:r w:rsidR="00B17B69">
        <w:rPr>
          <w:rFonts w:ascii="Calibri" w:eastAsia="Calibri" w:hAnsi="Calibri" w:cs="Calibri"/>
        </w:rPr>
        <w:t xml:space="preserve">provisions were </w:t>
      </w:r>
      <w:r w:rsidR="003A1D5D">
        <w:rPr>
          <w:rFonts w:ascii="Calibri" w:eastAsia="Calibri" w:hAnsi="Calibri" w:cs="Calibri"/>
        </w:rPr>
        <w:t>incorporat</w:t>
      </w:r>
      <w:r w:rsidR="00B17B69">
        <w:rPr>
          <w:rFonts w:ascii="Calibri" w:eastAsia="Calibri" w:hAnsi="Calibri" w:cs="Calibri"/>
        </w:rPr>
        <w:t>ed</w:t>
      </w:r>
      <w:r w:rsidR="003A1D5D">
        <w:rPr>
          <w:rFonts w:ascii="Calibri" w:eastAsia="Calibri" w:hAnsi="Calibri" w:cs="Calibri"/>
        </w:rPr>
        <w:t xml:space="preserve"> into the </w:t>
      </w:r>
      <w:r w:rsidR="003A1D5D">
        <w:rPr>
          <w:rFonts w:ascii="Calibri" w:eastAsia="Calibri" w:hAnsi="Calibri" w:cs="Calibri"/>
          <w:i/>
          <w:iCs/>
        </w:rPr>
        <w:t>Territory Records Act</w:t>
      </w:r>
      <w:r w:rsidR="00D95931">
        <w:rPr>
          <w:rFonts w:ascii="Calibri" w:eastAsia="Calibri" w:hAnsi="Calibri" w:cs="Calibri"/>
          <w:i/>
          <w:iCs/>
        </w:rPr>
        <w:t xml:space="preserve"> 2002</w:t>
      </w:r>
      <w:r w:rsidR="003A1D5D">
        <w:rPr>
          <w:rFonts w:ascii="Calibri" w:eastAsia="Calibri" w:hAnsi="Calibri" w:cs="Calibri"/>
          <w:i/>
          <w:iCs/>
        </w:rPr>
        <w:t xml:space="preserve"> </w:t>
      </w:r>
      <w:r w:rsidR="00B17B69">
        <w:rPr>
          <w:rFonts w:ascii="Calibri" w:eastAsia="Calibri" w:hAnsi="Calibri" w:cs="Calibri"/>
        </w:rPr>
        <w:t xml:space="preserve">as part of the </w:t>
      </w:r>
      <w:r w:rsidR="00B17B69">
        <w:rPr>
          <w:rFonts w:ascii="Calibri" w:eastAsia="Calibri" w:hAnsi="Calibri" w:cs="Calibri"/>
          <w:i/>
          <w:iCs/>
        </w:rPr>
        <w:t xml:space="preserve">Territory Records Amendment Bill 2010.  </w:t>
      </w:r>
      <w:r w:rsidR="00B17B69">
        <w:rPr>
          <w:rFonts w:ascii="Calibri" w:eastAsia="Calibri" w:hAnsi="Calibri" w:cs="Calibri"/>
        </w:rPr>
        <w:t xml:space="preserve">Neither bill </w:t>
      </w:r>
      <w:r w:rsidR="00962F85">
        <w:rPr>
          <w:rFonts w:ascii="Calibri" w:eastAsia="Calibri" w:hAnsi="Calibri" w:cs="Calibri"/>
        </w:rPr>
        <w:t xml:space="preserve">offered </w:t>
      </w:r>
      <w:r w:rsidR="00B17B69">
        <w:rPr>
          <w:rFonts w:ascii="Calibri" w:eastAsia="Calibri" w:hAnsi="Calibri" w:cs="Calibri"/>
        </w:rPr>
        <w:t>a detailed Human Rights compatibility analysis of the</w:t>
      </w:r>
      <w:r w:rsidR="001033F8">
        <w:rPr>
          <w:rFonts w:ascii="Calibri" w:eastAsia="Calibri" w:hAnsi="Calibri" w:cs="Calibri"/>
        </w:rPr>
        <w:t xml:space="preserve"> executive records scheme</w:t>
      </w:r>
      <w:r w:rsidR="00C41F00">
        <w:rPr>
          <w:rFonts w:ascii="Calibri" w:eastAsia="Calibri" w:hAnsi="Calibri" w:cs="Calibri"/>
        </w:rPr>
        <w:t xml:space="preserve"> as a whole</w:t>
      </w:r>
      <w:r w:rsidR="001033F8">
        <w:rPr>
          <w:rFonts w:ascii="Calibri" w:eastAsia="Calibri" w:hAnsi="Calibri" w:cs="Calibri"/>
        </w:rPr>
        <w:t>.</w:t>
      </w:r>
    </w:p>
    <w:p w14:paraId="730FF74D" w14:textId="77777777" w:rsidR="00C457D6" w:rsidRPr="00131A64" w:rsidRDefault="00C457D6">
      <w:pPr>
        <w:rPr>
          <w:rFonts w:ascii="Calibri" w:eastAsia="Calibri" w:hAnsi="Calibri" w:cs="Calibri"/>
          <w:b/>
          <w:bCs/>
        </w:rPr>
      </w:pPr>
      <w:r w:rsidRPr="00131A64">
        <w:rPr>
          <w:rFonts w:ascii="Calibri" w:eastAsia="Calibri" w:hAnsi="Calibri" w:cs="Calibri"/>
          <w:b/>
          <w:bCs/>
        </w:rPr>
        <w:t>Rights Engaged</w:t>
      </w:r>
    </w:p>
    <w:p w14:paraId="6D459475" w14:textId="77777777" w:rsidR="00A068A0" w:rsidRDefault="00A068A0">
      <w:pPr>
        <w:rPr>
          <w:rFonts w:ascii="Calibri" w:eastAsia="Calibri" w:hAnsi="Calibri" w:cs="Calibri"/>
        </w:rPr>
      </w:pPr>
      <w:r w:rsidRPr="00A068A0">
        <w:rPr>
          <w:rFonts w:ascii="Calibri" w:eastAsia="Calibri" w:hAnsi="Calibri" w:cs="Calibri"/>
        </w:rPr>
        <w:t xml:space="preserve">The Bill engages the following rights under the </w:t>
      </w:r>
      <w:r w:rsidRPr="00A068A0">
        <w:rPr>
          <w:rFonts w:ascii="Calibri" w:eastAsia="Calibri" w:hAnsi="Calibri" w:cs="Calibri"/>
          <w:i/>
          <w:iCs/>
        </w:rPr>
        <w:t>Human Rights Act 2004</w:t>
      </w:r>
      <w:r w:rsidRPr="00A068A0">
        <w:rPr>
          <w:rFonts w:ascii="Calibri" w:eastAsia="Calibri" w:hAnsi="Calibri" w:cs="Calibri"/>
        </w:rPr>
        <w:t>:</w:t>
      </w:r>
    </w:p>
    <w:p w14:paraId="0EEDC033" w14:textId="441ECAE2" w:rsidR="00A068A0" w:rsidRDefault="00900DE2" w:rsidP="00A068A0">
      <w:pPr>
        <w:numPr>
          <w:ilvl w:val="0"/>
          <w:numId w:val="2"/>
        </w:numPr>
        <w:rPr>
          <w:rFonts w:ascii="Calibri" w:eastAsia="Calibri" w:hAnsi="Calibri" w:cs="Calibri"/>
        </w:rPr>
      </w:pPr>
      <w:r w:rsidRPr="00900DE2">
        <w:rPr>
          <w:rFonts w:ascii="Calibri" w:eastAsia="Calibri" w:hAnsi="Calibri" w:cs="Calibri"/>
        </w:rPr>
        <w:t>Right to privacy and reputation (section 12) (promoted and limited)</w:t>
      </w:r>
    </w:p>
    <w:p w14:paraId="6D899CEB" w14:textId="54F99D26" w:rsidR="00D4036C" w:rsidRDefault="00D4036C" w:rsidP="00A068A0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Freedom of expression (section 16) (promoted</w:t>
      </w:r>
      <w:r w:rsidR="00BC0BE8">
        <w:rPr>
          <w:rFonts w:ascii="Calibri" w:eastAsia="Calibri" w:hAnsi="Calibri" w:cs="Calibri"/>
        </w:rPr>
        <w:t xml:space="preserve"> and limited</w:t>
      </w:r>
      <w:r>
        <w:rPr>
          <w:rFonts w:ascii="Calibri" w:eastAsia="Calibri" w:hAnsi="Calibri" w:cs="Calibri"/>
        </w:rPr>
        <w:t>)</w:t>
      </w:r>
    </w:p>
    <w:p w14:paraId="04EB6CD3" w14:textId="6A895D53" w:rsidR="00B65372" w:rsidRDefault="00B65372" w:rsidP="00A068A0">
      <w:pPr>
        <w:numPr>
          <w:ilvl w:val="0"/>
          <w:numId w:val="2"/>
        </w:numPr>
        <w:rPr>
          <w:rFonts w:ascii="Calibri" w:eastAsia="Calibri" w:hAnsi="Calibri" w:cs="Calibri"/>
        </w:rPr>
      </w:pPr>
      <w:r w:rsidRPr="00B65372">
        <w:rPr>
          <w:rFonts w:ascii="Calibri" w:eastAsia="Calibri" w:hAnsi="Calibri" w:cs="Calibri"/>
        </w:rPr>
        <w:t>Taking part in public life</w:t>
      </w:r>
      <w:r>
        <w:rPr>
          <w:rFonts w:ascii="Calibri" w:eastAsia="Calibri" w:hAnsi="Calibri" w:cs="Calibri"/>
        </w:rPr>
        <w:t xml:space="preserve"> </w:t>
      </w:r>
      <w:r w:rsidR="006C17FA">
        <w:rPr>
          <w:rFonts w:ascii="Calibri" w:eastAsia="Calibri" w:hAnsi="Calibri" w:cs="Calibri"/>
        </w:rPr>
        <w:t>(section 17) (promoted)</w:t>
      </w:r>
    </w:p>
    <w:p w14:paraId="1DC2A545" w14:textId="7C0044A5" w:rsidR="00131A64" w:rsidRPr="002A49B5" w:rsidRDefault="00FF4DEB" w:rsidP="00317F17">
      <w:pPr>
        <w:rPr>
          <w:rFonts w:ascii="Calibri" w:eastAsia="Calibri" w:hAnsi="Calibri" w:cs="Calibri"/>
          <w:b/>
          <w:bCs/>
        </w:rPr>
      </w:pPr>
      <w:r w:rsidRPr="002A49B5">
        <w:rPr>
          <w:rFonts w:ascii="Calibri" w:eastAsia="Calibri" w:hAnsi="Calibri" w:cs="Calibri"/>
          <w:b/>
          <w:bCs/>
        </w:rPr>
        <w:t>The n</w:t>
      </w:r>
      <w:r w:rsidR="002A598F" w:rsidRPr="002A49B5">
        <w:rPr>
          <w:rFonts w:ascii="Calibri" w:eastAsia="Calibri" w:hAnsi="Calibri" w:cs="Calibri"/>
          <w:b/>
          <w:bCs/>
        </w:rPr>
        <w:t>ature of the right</w:t>
      </w:r>
      <w:r w:rsidR="00937436" w:rsidRPr="002A49B5">
        <w:rPr>
          <w:rFonts w:ascii="Calibri" w:eastAsia="Calibri" w:hAnsi="Calibri" w:cs="Calibri"/>
          <w:b/>
          <w:bCs/>
        </w:rPr>
        <w:t>s</w:t>
      </w:r>
      <w:r w:rsidR="00F87722" w:rsidRPr="002A49B5">
        <w:rPr>
          <w:rFonts w:ascii="Calibri" w:eastAsia="Calibri" w:hAnsi="Calibri" w:cs="Calibri"/>
          <w:b/>
          <w:bCs/>
        </w:rPr>
        <w:t xml:space="preserve"> </w:t>
      </w:r>
      <w:r w:rsidRPr="002A49B5">
        <w:rPr>
          <w:rFonts w:ascii="Calibri" w:eastAsia="Calibri" w:hAnsi="Calibri" w:cs="Calibri"/>
          <w:b/>
          <w:bCs/>
        </w:rPr>
        <w:t xml:space="preserve">affected </w:t>
      </w:r>
      <w:r w:rsidR="00F87722" w:rsidRPr="002A49B5">
        <w:rPr>
          <w:rFonts w:ascii="Calibri" w:eastAsia="Calibri" w:hAnsi="Calibri" w:cs="Calibri"/>
          <w:b/>
          <w:bCs/>
        </w:rPr>
        <w:t>(s28(2)(a))</w:t>
      </w:r>
    </w:p>
    <w:p w14:paraId="1BC1E490" w14:textId="32A9C81C" w:rsidR="00FC749D" w:rsidRDefault="00286044" w:rsidP="00317F1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</w:t>
      </w:r>
      <w:r w:rsidR="00FA1602">
        <w:rPr>
          <w:rFonts w:ascii="Calibri" w:eastAsia="Calibri" w:hAnsi="Calibri" w:cs="Calibri"/>
        </w:rPr>
        <w:t>xecutive records</w:t>
      </w:r>
      <w:r w:rsidR="0043108A">
        <w:rPr>
          <w:rFonts w:ascii="Calibri" w:eastAsia="Calibri" w:hAnsi="Calibri" w:cs="Calibri"/>
        </w:rPr>
        <w:t xml:space="preserve">, notably cabinet documents, are traditionally kept confidential to facilitate </w:t>
      </w:r>
      <w:r w:rsidR="005376CE">
        <w:rPr>
          <w:rFonts w:ascii="Calibri" w:eastAsia="Calibri" w:hAnsi="Calibri" w:cs="Calibri"/>
        </w:rPr>
        <w:t>frank and fearless deliberation within cabinet</w:t>
      </w:r>
      <w:r w:rsidR="00D849F6">
        <w:rPr>
          <w:rFonts w:ascii="Calibri" w:eastAsia="Calibri" w:hAnsi="Calibri" w:cs="Calibri"/>
        </w:rPr>
        <w:t xml:space="preserve"> without the </w:t>
      </w:r>
      <w:r w:rsidR="00166E6F">
        <w:rPr>
          <w:rFonts w:ascii="Calibri" w:eastAsia="Calibri" w:hAnsi="Calibri" w:cs="Calibri"/>
        </w:rPr>
        <w:t xml:space="preserve">elevated </w:t>
      </w:r>
      <w:r w:rsidR="00D849F6">
        <w:rPr>
          <w:rFonts w:ascii="Calibri" w:eastAsia="Calibri" w:hAnsi="Calibri" w:cs="Calibri"/>
        </w:rPr>
        <w:t xml:space="preserve">risk of political consequences for a member of the executive who </w:t>
      </w:r>
      <w:r w:rsidR="00166E6F">
        <w:rPr>
          <w:rFonts w:ascii="Calibri" w:eastAsia="Calibri" w:hAnsi="Calibri" w:cs="Calibri"/>
        </w:rPr>
        <w:t xml:space="preserve">might </w:t>
      </w:r>
      <w:r w:rsidR="00D849F6">
        <w:rPr>
          <w:rFonts w:ascii="Calibri" w:eastAsia="Calibri" w:hAnsi="Calibri" w:cs="Calibri"/>
        </w:rPr>
        <w:t>change their mind</w:t>
      </w:r>
      <w:r w:rsidR="00166E6F">
        <w:rPr>
          <w:rFonts w:ascii="Calibri" w:eastAsia="Calibri" w:hAnsi="Calibri" w:cs="Calibri"/>
        </w:rPr>
        <w:t xml:space="preserve"> or compromise </w:t>
      </w:r>
      <w:r w:rsidR="000C6B3F">
        <w:rPr>
          <w:rFonts w:ascii="Calibri" w:eastAsia="Calibri" w:hAnsi="Calibri" w:cs="Calibri"/>
        </w:rPr>
        <w:t xml:space="preserve">on </w:t>
      </w:r>
      <w:r w:rsidR="00166E6F">
        <w:rPr>
          <w:rFonts w:ascii="Calibri" w:eastAsia="Calibri" w:hAnsi="Calibri" w:cs="Calibri"/>
        </w:rPr>
        <w:t>a priority</w:t>
      </w:r>
      <w:r w:rsidR="00D849F6">
        <w:rPr>
          <w:rFonts w:ascii="Calibri" w:eastAsia="Calibri" w:hAnsi="Calibri" w:cs="Calibri"/>
        </w:rPr>
        <w:t>.</w:t>
      </w:r>
      <w:r w:rsidR="00774CFA">
        <w:rPr>
          <w:rFonts w:ascii="Calibri" w:eastAsia="Calibri" w:hAnsi="Calibri" w:cs="Calibri"/>
        </w:rPr>
        <w:t xml:space="preserve">  </w:t>
      </w:r>
      <w:r w:rsidR="008A2AE5">
        <w:rPr>
          <w:rFonts w:ascii="Calibri" w:eastAsia="Calibri" w:hAnsi="Calibri" w:cs="Calibri"/>
        </w:rPr>
        <w:t xml:space="preserve">This pertains not just to members of the executive, but also parts of government and non-government organisations who put proposals before </w:t>
      </w:r>
      <w:r w:rsidR="008545C3">
        <w:rPr>
          <w:rFonts w:ascii="Calibri" w:eastAsia="Calibri" w:hAnsi="Calibri" w:cs="Calibri"/>
        </w:rPr>
        <w:t>cabinet that may or may not be agreed to by cabinet.</w:t>
      </w:r>
      <w:r w:rsidR="00FE34DC">
        <w:rPr>
          <w:rFonts w:ascii="Calibri" w:eastAsia="Calibri" w:hAnsi="Calibri" w:cs="Calibri"/>
        </w:rPr>
        <w:t xml:space="preserve">  This is commonly known as ‘cabinet confidentiality’.</w:t>
      </w:r>
    </w:p>
    <w:p w14:paraId="65AFAFFB" w14:textId="4C86E394" w:rsidR="0095650F" w:rsidRDefault="00FD1CFB" w:rsidP="00317F17">
      <w:pPr>
        <w:rPr>
          <w:rFonts w:ascii="Calibri" w:eastAsia="Calibri" w:hAnsi="Calibri" w:cs="Calibri"/>
        </w:rPr>
      </w:pPr>
      <w:r w:rsidRPr="3A4892F2">
        <w:rPr>
          <w:rFonts w:ascii="Calibri" w:eastAsia="Calibri" w:hAnsi="Calibri" w:cs="Calibri"/>
        </w:rPr>
        <w:t>In this context, the</w:t>
      </w:r>
      <w:r w:rsidR="00774CFA" w:rsidRPr="3A4892F2">
        <w:rPr>
          <w:rFonts w:ascii="Calibri" w:eastAsia="Calibri" w:hAnsi="Calibri" w:cs="Calibri"/>
        </w:rPr>
        <w:t xml:space="preserve"> protection of privacy </w:t>
      </w:r>
      <w:r w:rsidR="00FE73C4" w:rsidRPr="3A4892F2">
        <w:rPr>
          <w:rFonts w:ascii="Calibri" w:eastAsia="Calibri" w:hAnsi="Calibri" w:cs="Calibri"/>
        </w:rPr>
        <w:t xml:space="preserve">(s12) </w:t>
      </w:r>
      <w:r w:rsidR="00032470" w:rsidRPr="3A4892F2">
        <w:rPr>
          <w:rFonts w:ascii="Calibri" w:eastAsia="Calibri" w:hAnsi="Calibri" w:cs="Calibri"/>
        </w:rPr>
        <w:t>is frequently taken as a means to protect reputations</w:t>
      </w:r>
      <w:r w:rsidR="00FE73C4" w:rsidRPr="3A4892F2">
        <w:rPr>
          <w:rFonts w:ascii="Calibri" w:eastAsia="Calibri" w:hAnsi="Calibri" w:cs="Calibri"/>
        </w:rPr>
        <w:t xml:space="preserve"> (s12)</w:t>
      </w:r>
      <w:r w:rsidR="00FC749D" w:rsidRPr="3A4892F2">
        <w:rPr>
          <w:rFonts w:ascii="Calibri" w:eastAsia="Calibri" w:hAnsi="Calibri" w:cs="Calibri"/>
        </w:rPr>
        <w:t xml:space="preserve">, because </w:t>
      </w:r>
      <w:r w:rsidR="00A01AC8" w:rsidRPr="3A4892F2">
        <w:rPr>
          <w:rFonts w:ascii="Calibri" w:eastAsia="Calibri" w:hAnsi="Calibri" w:cs="Calibri"/>
        </w:rPr>
        <w:t xml:space="preserve">of the broadly-accepted conclusion that </w:t>
      </w:r>
      <w:r w:rsidR="00FC749D" w:rsidRPr="3A4892F2">
        <w:rPr>
          <w:rFonts w:ascii="Calibri" w:eastAsia="Calibri" w:hAnsi="Calibri" w:cs="Calibri"/>
        </w:rPr>
        <w:t xml:space="preserve">public judgements should be based </w:t>
      </w:r>
      <w:r w:rsidR="00B2177E" w:rsidRPr="3A4892F2">
        <w:rPr>
          <w:rFonts w:ascii="Calibri" w:eastAsia="Calibri" w:hAnsi="Calibri" w:cs="Calibri"/>
        </w:rPr>
        <w:t xml:space="preserve">primarily </w:t>
      </w:r>
      <w:r w:rsidR="00FC749D" w:rsidRPr="3A4892F2">
        <w:rPr>
          <w:rFonts w:ascii="Calibri" w:eastAsia="Calibri" w:hAnsi="Calibri" w:cs="Calibri"/>
        </w:rPr>
        <w:t xml:space="preserve">on </w:t>
      </w:r>
      <w:r w:rsidR="00B2177E" w:rsidRPr="3A4892F2">
        <w:rPr>
          <w:rFonts w:ascii="Calibri" w:eastAsia="Calibri" w:hAnsi="Calibri" w:cs="Calibri"/>
        </w:rPr>
        <w:t xml:space="preserve">considered </w:t>
      </w:r>
      <w:r w:rsidR="00FC749D" w:rsidRPr="3A4892F2">
        <w:rPr>
          <w:rFonts w:ascii="Calibri" w:eastAsia="Calibri" w:hAnsi="Calibri" w:cs="Calibri"/>
        </w:rPr>
        <w:t>decisions</w:t>
      </w:r>
      <w:r w:rsidR="00032470" w:rsidRPr="3A4892F2">
        <w:rPr>
          <w:rFonts w:ascii="Calibri" w:eastAsia="Calibri" w:hAnsi="Calibri" w:cs="Calibri"/>
        </w:rPr>
        <w:t>.</w:t>
      </w:r>
      <w:r w:rsidR="008545C3" w:rsidRPr="3A4892F2">
        <w:rPr>
          <w:rFonts w:ascii="Calibri" w:eastAsia="Calibri" w:hAnsi="Calibri" w:cs="Calibri"/>
        </w:rPr>
        <w:t xml:space="preserve">  </w:t>
      </w:r>
      <w:r w:rsidR="00F1321A" w:rsidRPr="3A4892F2">
        <w:rPr>
          <w:rFonts w:ascii="Calibri" w:eastAsia="Calibri" w:hAnsi="Calibri" w:cs="Calibri"/>
        </w:rPr>
        <w:t xml:space="preserve">In the </w:t>
      </w:r>
      <w:r w:rsidR="009603EB" w:rsidRPr="3A4892F2">
        <w:rPr>
          <w:rFonts w:ascii="Calibri" w:eastAsia="Calibri" w:hAnsi="Calibri" w:cs="Calibri"/>
        </w:rPr>
        <w:t xml:space="preserve">hotly-contested </w:t>
      </w:r>
      <w:r w:rsidR="00F1321A" w:rsidRPr="3A4892F2">
        <w:rPr>
          <w:rFonts w:ascii="Calibri" w:eastAsia="Calibri" w:hAnsi="Calibri" w:cs="Calibri"/>
        </w:rPr>
        <w:t>arena of public opinion, a Minister who changes their mind</w:t>
      </w:r>
      <w:r w:rsidR="009603EB" w:rsidRPr="3A4892F2">
        <w:rPr>
          <w:rFonts w:ascii="Calibri" w:eastAsia="Calibri" w:hAnsi="Calibri" w:cs="Calibri"/>
        </w:rPr>
        <w:t xml:space="preserve"> in the course of submissions </w:t>
      </w:r>
      <w:r w:rsidR="00254579" w:rsidRPr="3A4892F2">
        <w:rPr>
          <w:rFonts w:ascii="Calibri" w:eastAsia="Calibri" w:hAnsi="Calibri" w:cs="Calibri"/>
        </w:rPr>
        <w:t>may find their reputation tarnished if they can be portrayed as ‘indecisive’ or ‘compromising’</w:t>
      </w:r>
      <w:r w:rsidR="00A01AC8" w:rsidRPr="3A4892F2">
        <w:rPr>
          <w:rFonts w:ascii="Calibri" w:eastAsia="Calibri" w:hAnsi="Calibri" w:cs="Calibri"/>
        </w:rPr>
        <w:t xml:space="preserve"> as examples of </w:t>
      </w:r>
      <w:r w:rsidR="00C516B7" w:rsidRPr="3A4892F2">
        <w:rPr>
          <w:rFonts w:ascii="Calibri" w:eastAsia="Calibri" w:hAnsi="Calibri" w:cs="Calibri"/>
        </w:rPr>
        <w:t xml:space="preserve">possibly </w:t>
      </w:r>
      <w:r w:rsidR="00A01AC8" w:rsidRPr="3A4892F2">
        <w:rPr>
          <w:rFonts w:ascii="Calibri" w:eastAsia="Calibri" w:hAnsi="Calibri" w:cs="Calibri"/>
        </w:rPr>
        <w:t>‘</w:t>
      </w:r>
      <w:r w:rsidR="00C516B7" w:rsidRPr="3A4892F2">
        <w:rPr>
          <w:rFonts w:ascii="Calibri" w:eastAsia="Calibri" w:hAnsi="Calibri" w:cs="Calibri"/>
        </w:rPr>
        <w:t>weak</w:t>
      </w:r>
      <w:r w:rsidR="00A01AC8" w:rsidRPr="3A4892F2">
        <w:rPr>
          <w:rFonts w:ascii="Calibri" w:eastAsia="Calibri" w:hAnsi="Calibri" w:cs="Calibri"/>
        </w:rPr>
        <w:t>’ political traits</w:t>
      </w:r>
      <w:r w:rsidR="00C516B7" w:rsidRPr="3A4892F2">
        <w:rPr>
          <w:rFonts w:ascii="Calibri" w:eastAsia="Calibri" w:hAnsi="Calibri" w:cs="Calibri"/>
        </w:rPr>
        <w:t xml:space="preserve">.  By corollary, a Minister who loses an argument </w:t>
      </w:r>
      <w:r w:rsidR="00E806A2" w:rsidRPr="3A4892F2">
        <w:rPr>
          <w:rFonts w:ascii="Calibri" w:eastAsia="Calibri" w:hAnsi="Calibri" w:cs="Calibri"/>
        </w:rPr>
        <w:t xml:space="preserve">inside Cabinet may struggle to express their internal opposition </w:t>
      </w:r>
      <w:r w:rsidR="0060286C" w:rsidRPr="3A4892F2">
        <w:rPr>
          <w:rFonts w:ascii="Calibri" w:eastAsia="Calibri" w:hAnsi="Calibri" w:cs="Calibri"/>
        </w:rPr>
        <w:t xml:space="preserve">to a proposal </w:t>
      </w:r>
      <w:r w:rsidR="00E806A2" w:rsidRPr="3A4892F2">
        <w:rPr>
          <w:rFonts w:ascii="Calibri" w:eastAsia="Calibri" w:hAnsi="Calibri" w:cs="Calibri"/>
        </w:rPr>
        <w:t>readily</w:t>
      </w:r>
      <w:r w:rsidR="0060286C" w:rsidRPr="3A4892F2">
        <w:rPr>
          <w:rFonts w:ascii="Calibri" w:eastAsia="Calibri" w:hAnsi="Calibri" w:cs="Calibri"/>
        </w:rPr>
        <w:t xml:space="preserve"> and suffer reputational damages within their party.</w:t>
      </w:r>
    </w:p>
    <w:p w14:paraId="20B578E6" w14:textId="1B9E716A" w:rsidR="00F87722" w:rsidRDefault="005E19E3" w:rsidP="00317F17">
      <w:pPr>
        <w:rPr>
          <w:rFonts w:ascii="Calibri" w:eastAsia="Calibri" w:hAnsi="Calibri" w:cs="Calibri"/>
        </w:rPr>
      </w:pPr>
      <w:r w:rsidRPr="3A4892F2">
        <w:rPr>
          <w:rFonts w:ascii="Calibri" w:eastAsia="Calibri" w:hAnsi="Calibri" w:cs="Calibri"/>
        </w:rPr>
        <w:t xml:space="preserve">Cabinet confidentiality </w:t>
      </w:r>
      <w:r w:rsidR="001F4AD2" w:rsidRPr="3A4892F2">
        <w:rPr>
          <w:rFonts w:ascii="Calibri" w:eastAsia="Calibri" w:hAnsi="Calibri" w:cs="Calibri"/>
        </w:rPr>
        <w:t>therefore constrains the freedom of expression</w:t>
      </w:r>
      <w:r w:rsidR="005E0D4B" w:rsidRPr="3A4892F2">
        <w:rPr>
          <w:rFonts w:ascii="Calibri" w:eastAsia="Calibri" w:hAnsi="Calibri" w:cs="Calibri"/>
        </w:rPr>
        <w:t xml:space="preserve"> (s16)</w:t>
      </w:r>
      <w:r w:rsidR="001F4AD2" w:rsidRPr="3A4892F2">
        <w:rPr>
          <w:rFonts w:ascii="Calibri" w:eastAsia="Calibri" w:hAnsi="Calibri" w:cs="Calibri"/>
        </w:rPr>
        <w:t xml:space="preserve"> of </w:t>
      </w:r>
      <w:r w:rsidR="002F4E42" w:rsidRPr="3A4892F2">
        <w:rPr>
          <w:rFonts w:ascii="Calibri" w:eastAsia="Calibri" w:hAnsi="Calibri" w:cs="Calibri"/>
        </w:rPr>
        <w:t>individual members of the executive</w:t>
      </w:r>
      <w:r w:rsidR="001F4AD2" w:rsidRPr="3A4892F2">
        <w:rPr>
          <w:rFonts w:ascii="Calibri" w:eastAsia="Calibri" w:hAnsi="Calibri" w:cs="Calibri"/>
        </w:rPr>
        <w:t xml:space="preserve">.  </w:t>
      </w:r>
      <w:r w:rsidR="008545C3" w:rsidRPr="3A4892F2">
        <w:rPr>
          <w:rFonts w:ascii="Calibri" w:eastAsia="Calibri" w:hAnsi="Calibri" w:cs="Calibri"/>
        </w:rPr>
        <w:t>The release of executive documents</w:t>
      </w:r>
      <w:r w:rsidR="00EC3D42" w:rsidRPr="3A4892F2">
        <w:rPr>
          <w:rFonts w:ascii="Calibri" w:eastAsia="Calibri" w:hAnsi="Calibri" w:cs="Calibri"/>
        </w:rPr>
        <w:t xml:space="preserve"> necessarily unburdens that confidentiality</w:t>
      </w:r>
      <w:r w:rsidR="005E0D4B" w:rsidRPr="3A4892F2">
        <w:rPr>
          <w:rFonts w:ascii="Calibri" w:eastAsia="Calibri" w:hAnsi="Calibri" w:cs="Calibri"/>
        </w:rPr>
        <w:t xml:space="preserve"> and</w:t>
      </w:r>
      <w:r w:rsidR="00491C34" w:rsidRPr="3A4892F2">
        <w:rPr>
          <w:rFonts w:ascii="Calibri" w:eastAsia="Calibri" w:hAnsi="Calibri" w:cs="Calibri"/>
        </w:rPr>
        <w:t xml:space="preserve"> freedom of expression, but </w:t>
      </w:r>
      <w:r w:rsidR="00EC3D42" w:rsidRPr="3A4892F2">
        <w:rPr>
          <w:rFonts w:ascii="Calibri" w:eastAsia="Calibri" w:hAnsi="Calibri" w:cs="Calibri"/>
        </w:rPr>
        <w:t xml:space="preserve">can have </w:t>
      </w:r>
      <w:r w:rsidR="005D07A5" w:rsidRPr="3A4892F2">
        <w:rPr>
          <w:rFonts w:ascii="Calibri" w:eastAsia="Calibri" w:hAnsi="Calibri" w:cs="Calibri"/>
        </w:rPr>
        <w:t xml:space="preserve">correlating </w:t>
      </w:r>
      <w:r w:rsidR="00EC3D42" w:rsidRPr="3A4892F2">
        <w:rPr>
          <w:rFonts w:ascii="Calibri" w:eastAsia="Calibri" w:hAnsi="Calibri" w:cs="Calibri"/>
        </w:rPr>
        <w:t>consequences for reputations.</w:t>
      </w:r>
      <w:r w:rsidR="00E4345B" w:rsidRPr="3A4892F2">
        <w:rPr>
          <w:rFonts w:ascii="Calibri" w:eastAsia="Calibri" w:hAnsi="Calibri" w:cs="Calibri"/>
        </w:rPr>
        <w:t xml:space="preserve">  In doing so, it enhances the broader public’s ability to take part in public life (s17)</w:t>
      </w:r>
      <w:r w:rsidR="005D07A5" w:rsidRPr="3A4892F2">
        <w:rPr>
          <w:rFonts w:ascii="Calibri" w:eastAsia="Calibri" w:hAnsi="Calibri" w:cs="Calibri"/>
        </w:rPr>
        <w:t xml:space="preserve">, but the </w:t>
      </w:r>
      <w:r w:rsidR="00B46C8A" w:rsidRPr="3A4892F2">
        <w:rPr>
          <w:rFonts w:ascii="Calibri" w:eastAsia="Calibri" w:hAnsi="Calibri" w:cs="Calibri"/>
        </w:rPr>
        <w:t xml:space="preserve">ten year </w:t>
      </w:r>
      <w:r w:rsidR="005D07A5" w:rsidRPr="3A4892F2">
        <w:rPr>
          <w:rFonts w:ascii="Calibri" w:eastAsia="Calibri" w:hAnsi="Calibri" w:cs="Calibri"/>
        </w:rPr>
        <w:t xml:space="preserve">delay in </w:t>
      </w:r>
      <w:r w:rsidR="00B46C8A" w:rsidRPr="3A4892F2">
        <w:rPr>
          <w:rFonts w:ascii="Calibri" w:eastAsia="Calibri" w:hAnsi="Calibri" w:cs="Calibri"/>
        </w:rPr>
        <w:t xml:space="preserve">the release of records does this in a way that is intended to </w:t>
      </w:r>
      <w:r w:rsidR="00DA4E34" w:rsidRPr="3A4892F2">
        <w:rPr>
          <w:rFonts w:ascii="Calibri" w:eastAsia="Calibri" w:hAnsi="Calibri" w:cs="Calibri"/>
        </w:rPr>
        <w:t xml:space="preserve">support </w:t>
      </w:r>
      <w:r w:rsidR="00B46C8A" w:rsidRPr="3A4892F2">
        <w:rPr>
          <w:rFonts w:ascii="Calibri" w:eastAsia="Calibri" w:hAnsi="Calibri" w:cs="Calibri"/>
        </w:rPr>
        <w:t xml:space="preserve">sensible retrospection rather than </w:t>
      </w:r>
      <w:r w:rsidR="00DA4E34" w:rsidRPr="3A4892F2">
        <w:rPr>
          <w:rFonts w:ascii="Calibri" w:eastAsia="Calibri" w:hAnsi="Calibri" w:cs="Calibri"/>
        </w:rPr>
        <w:t>revelatory outrage</w:t>
      </w:r>
      <w:r w:rsidR="00E4345B" w:rsidRPr="3A4892F2">
        <w:rPr>
          <w:rFonts w:ascii="Calibri" w:eastAsia="Calibri" w:hAnsi="Calibri" w:cs="Calibri"/>
        </w:rPr>
        <w:t>.</w:t>
      </w:r>
    </w:p>
    <w:p w14:paraId="72102B4D" w14:textId="7D890A40" w:rsidR="00EF645B" w:rsidRDefault="00903B43" w:rsidP="00317F1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Separate to this is the well-understood need to protect private and personal information</w:t>
      </w:r>
      <w:r w:rsidR="00E4345B">
        <w:rPr>
          <w:rFonts w:ascii="Calibri" w:eastAsia="Calibri" w:hAnsi="Calibri" w:cs="Calibri"/>
        </w:rPr>
        <w:t xml:space="preserve"> (</w:t>
      </w:r>
      <w:r w:rsidR="000B59C6">
        <w:rPr>
          <w:rFonts w:ascii="Calibri" w:eastAsia="Calibri" w:hAnsi="Calibri" w:cs="Calibri"/>
        </w:rPr>
        <w:t>s12)</w:t>
      </w:r>
      <w:r>
        <w:rPr>
          <w:rFonts w:ascii="Calibri" w:eastAsia="Calibri" w:hAnsi="Calibri" w:cs="Calibri"/>
        </w:rPr>
        <w:t xml:space="preserve">, including </w:t>
      </w:r>
      <w:r w:rsidR="00726486">
        <w:rPr>
          <w:rFonts w:ascii="Calibri" w:eastAsia="Calibri" w:hAnsi="Calibri" w:cs="Calibri"/>
        </w:rPr>
        <w:t>email addresses and contact phone numbers</w:t>
      </w:r>
      <w:r w:rsidR="004056B7">
        <w:rPr>
          <w:rFonts w:ascii="Calibri" w:eastAsia="Calibri" w:hAnsi="Calibri" w:cs="Calibri"/>
        </w:rPr>
        <w:t xml:space="preserve">, for which their owners have a right to see </w:t>
      </w:r>
      <w:r w:rsidR="009B5225">
        <w:rPr>
          <w:rFonts w:ascii="Calibri" w:eastAsia="Calibri" w:hAnsi="Calibri" w:cs="Calibri"/>
        </w:rPr>
        <w:t xml:space="preserve">this information </w:t>
      </w:r>
      <w:r w:rsidR="004056B7">
        <w:rPr>
          <w:rFonts w:ascii="Calibri" w:eastAsia="Calibri" w:hAnsi="Calibri" w:cs="Calibri"/>
        </w:rPr>
        <w:t>not shared with the general public unnecessarily.</w:t>
      </w:r>
    </w:p>
    <w:p w14:paraId="0775FB82" w14:textId="4B0B0CCE" w:rsidR="000B59C6" w:rsidRDefault="000B59C6" w:rsidP="00317F1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These are all elements of the existing executive record release scheme.  </w:t>
      </w:r>
      <w:r w:rsidR="00DA2372">
        <w:rPr>
          <w:rFonts w:ascii="Calibri" w:eastAsia="Calibri" w:hAnsi="Calibri" w:cs="Calibri"/>
        </w:rPr>
        <w:t xml:space="preserve">The remaining compatibility analysis here will focus </w:t>
      </w:r>
      <w:r w:rsidR="00DA4E34">
        <w:rPr>
          <w:rFonts w:ascii="Calibri" w:eastAsia="Calibri" w:hAnsi="Calibri" w:cs="Calibri"/>
        </w:rPr>
        <w:t xml:space="preserve">specifically </w:t>
      </w:r>
      <w:r w:rsidR="00DA2372">
        <w:rPr>
          <w:rFonts w:ascii="Calibri" w:eastAsia="Calibri" w:hAnsi="Calibri" w:cs="Calibri"/>
        </w:rPr>
        <w:t xml:space="preserve">on how they are </w:t>
      </w:r>
      <w:r w:rsidR="00DA2372" w:rsidRPr="002A49B5">
        <w:rPr>
          <w:rFonts w:ascii="Calibri" w:eastAsia="Calibri" w:hAnsi="Calibri" w:cs="Calibri"/>
          <w:u w:val="single"/>
        </w:rPr>
        <w:t>varied</w:t>
      </w:r>
      <w:r w:rsidR="00DA2372">
        <w:rPr>
          <w:rFonts w:ascii="Calibri" w:eastAsia="Calibri" w:hAnsi="Calibri" w:cs="Calibri"/>
        </w:rPr>
        <w:t xml:space="preserve"> by the bill.</w:t>
      </w:r>
    </w:p>
    <w:p w14:paraId="277C7083" w14:textId="77777777" w:rsidR="00A743CD" w:rsidRDefault="00A743CD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br w:type="page"/>
      </w:r>
    </w:p>
    <w:p w14:paraId="01FA6F17" w14:textId="38E0E9F7" w:rsidR="007A293D" w:rsidRPr="002A49B5" w:rsidRDefault="007A293D" w:rsidP="00317F17">
      <w:pPr>
        <w:rPr>
          <w:rFonts w:ascii="Calibri" w:eastAsia="Calibri" w:hAnsi="Calibri" w:cs="Calibri"/>
          <w:b/>
          <w:bCs/>
        </w:rPr>
      </w:pPr>
      <w:r w:rsidRPr="002A49B5">
        <w:rPr>
          <w:rFonts w:ascii="Calibri" w:eastAsia="Calibri" w:hAnsi="Calibri" w:cs="Calibri"/>
          <w:b/>
          <w:bCs/>
        </w:rPr>
        <w:lastRenderedPageBreak/>
        <w:t>How the right</w:t>
      </w:r>
      <w:r w:rsidR="000B59C6" w:rsidRPr="002A49B5">
        <w:rPr>
          <w:rFonts w:ascii="Calibri" w:eastAsia="Calibri" w:hAnsi="Calibri" w:cs="Calibri"/>
          <w:b/>
          <w:bCs/>
        </w:rPr>
        <w:t>s</w:t>
      </w:r>
      <w:r w:rsidRPr="002A49B5">
        <w:rPr>
          <w:rFonts w:ascii="Calibri" w:eastAsia="Calibri" w:hAnsi="Calibri" w:cs="Calibri"/>
          <w:b/>
          <w:bCs/>
        </w:rPr>
        <w:t xml:space="preserve"> </w:t>
      </w:r>
      <w:r w:rsidR="000B59C6" w:rsidRPr="002A49B5">
        <w:rPr>
          <w:rFonts w:ascii="Calibri" w:eastAsia="Calibri" w:hAnsi="Calibri" w:cs="Calibri"/>
          <w:b/>
          <w:bCs/>
        </w:rPr>
        <w:t>are</w:t>
      </w:r>
      <w:r w:rsidRPr="002A49B5">
        <w:rPr>
          <w:rFonts w:ascii="Calibri" w:eastAsia="Calibri" w:hAnsi="Calibri" w:cs="Calibri"/>
          <w:b/>
          <w:bCs/>
        </w:rPr>
        <w:t xml:space="preserve"> promoted</w:t>
      </w:r>
    </w:p>
    <w:p w14:paraId="66393AC7" w14:textId="6DAF97DB" w:rsidR="00126878" w:rsidRDefault="00607FF3" w:rsidP="00317F1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bill provides for releases </w:t>
      </w:r>
      <w:r w:rsidR="00B37D96">
        <w:rPr>
          <w:rFonts w:ascii="Calibri" w:eastAsia="Calibri" w:hAnsi="Calibri" w:cs="Calibri"/>
        </w:rPr>
        <w:t xml:space="preserve">of information </w:t>
      </w:r>
      <w:r>
        <w:rPr>
          <w:rFonts w:ascii="Calibri" w:eastAsia="Calibri" w:hAnsi="Calibri" w:cs="Calibri"/>
        </w:rPr>
        <w:t xml:space="preserve">to be made in a significantly </w:t>
      </w:r>
      <w:r w:rsidR="00657BC2">
        <w:rPr>
          <w:rFonts w:ascii="Calibri" w:eastAsia="Calibri" w:hAnsi="Calibri" w:cs="Calibri"/>
        </w:rPr>
        <w:t>timelier</w:t>
      </w:r>
      <w:r>
        <w:rPr>
          <w:rFonts w:ascii="Calibri" w:eastAsia="Calibri" w:hAnsi="Calibri" w:cs="Calibri"/>
        </w:rPr>
        <w:t xml:space="preserve"> manner</w:t>
      </w:r>
      <w:r w:rsidR="00F57CFD">
        <w:rPr>
          <w:rFonts w:ascii="Calibri" w:eastAsia="Calibri" w:hAnsi="Calibri" w:cs="Calibri"/>
        </w:rPr>
        <w:t>, so that someone wishing to evidence their reputation</w:t>
      </w:r>
      <w:r w:rsidR="00505873">
        <w:rPr>
          <w:rFonts w:ascii="Calibri" w:eastAsia="Calibri" w:hAnsi="Calibri" w:cs="Calibri"/>
        </w:rPr>
        <w:t xml:space="preserve"> </w:t>
      </w:r>
      <w:r w:rsidR="00FE57F5">
        <w:rPr>
          <w:rFonts w:ascii="Calibri" w:eastAsia="Calibri" w:hAnsi="Calibri" w:cs="Calibri"/>
        </w:rPr>
        <w:t xml:space="preserve">with respect to historical events </w:t>
      </w:r>
      <w:r w:rsidR="00F57CFD">
        <w:rPr>
          <w:rFonts w:ascii="Calibri" w:eastAsia="Calibri" w:hAnsi="Calibri" w:cs="Calibri"/>
        </w:rPr>
        <w:t xml:space="preserve">can do so within </w:t>
      </w:r>
      <w:r w:rsidR="001F0231">
        <w:rPr>
          <w:rFonts w:ascii="Calibri" w:eastAsia="Calibri" w:hAnsi="Calibri" w:cs="Calibri"/>
        </w:rPr>
        <w:t xml:space="preserve">the space of a few months, which is within the bounds of public debate on an issue, rather than needing to wait </w:t>
      </w:r>
      <w:r w:rsidR="00126878">
        <w:rPr>
          <w:rFonts w:ascii="Calibri" w:eastAsia="Calibri" w:hAnsi="Calibri" w:cs="Calibri"/>
        </w:rPr>
        <w:t xml:space="preserve">for up to </w:t>
      </w:r>
      <w:r w:rsidR="001F0231">
        <w:rPr>
          <w:rFonts w:ascii="Calibri" w:eastAsia="Calibri" w:hAnsi="Calibri" w:cs="Calibri"/>
        </w:rPr>
        <w:t>a year.</w:t>
      </w:r>
      <w:r w:rsidR="00F16FAE">
        <w:rPr>
          <w:rFonts w:ascii="Calibri" w:eastAsia="Calibri" w:hAnsi="Calibri" w:cs="Calibri"/>
        </w:rPr>
        <w:t xml:space="preserve">  </w:t>
      </w:r>
      <w:r w:rsidR="00505873">
        <w:rPr>
          <w:rFonts w:ascii="Calibri" w:eastAsia="Calibri" w:hAnsi="Calibri" w:cs="Calibri"/>
        </w:rPr>
        <w:t xml:space="preserve">The ability </w:t>
      </w:r>
      <w:r w:rsidR="002B6D7B">
        <w:rPr>
          <w:rFonts w:ascii="Calibri" w:eastAsia="Calibri" w:hAnsi="Calibri" w:cs="Calibri"/>
        </w:rPr>
        <w:t xml:space="preserve">to </w:t>
      </w:r>
      <w:r w:rsidR="00505873">
        <w:rPr>
          <w:rFonts w:ascii="Calibri" w:eastAsia="Calibri" w:hAnsi="Calibri" w:cs="Calibri"/>
        </w:rPr>
        <w:t xml:space="preserve">take part in public life </w:t>
      </w:r>
      <w:r w:rsidR="00BC0BE8">
        <w:rPr>
          <w:rFonts w:ascii="Calibri" w:eastAsia="Calibri" w:hAnsi="Calibri" w:cs="Calibri"/>
        </w:rPr>
        <w:t>(s17)</w:t>
      </w:r>
      <w:r w:rsidR="007570A9">
        <w:rPr>
          <w:rFonts w:ascii="Calibri" w:eastAsia="Calibri" w:hAnsi="Calibri" w:cs="Calibri"/>
        </w:rPr>
        <w:t xml:space="preserve"> and have the freedom of expression (s16)</w:t>
      </w:r>
      <w:r w:rsidR="00BC0BE8">
        <w:rPr>
          <w:rFonts w:ascii="Calibri" w:eastAsia="Calibri" w:hAnsi="Calibri" w:cs="Calibri"/>
        </w:rPr>
        <w:t xml:space="preserve"> </w:t>
      </w:r>
      <w:r w:rsidR="00505873">
        <w:rPr>
          <w:rFonts w:ascii="Calibri" w:eastAsia="Calibri" w:hAnsi="Calibri" w:cs="Calibri"/>
        </w:rPr>
        <w:t>is thereby enhanced</w:t>
      </w:r>
      <w:r w:rsidR="007570A9">
        <w:rPr>
          <w:rFonts w:ascii="Calibri" w:eastAsia="Calibri" w:hAnsi="Calibri" w:cs="Calibri"/>
        </w:rPr>
        <w:t xml:space="preserve"> and promoted</w:t>
      </w:r>
      <w:r w:rsidR="00505873">
        <w:rPr>
          <w:rFonts w:ascii="Calibri" w:eastAsia="Calibri" w:hAnsi="Calibri" w:cs="Calibri"/>
        </w:rPr>
        <w:t>.</w:t>
      </w:r>
    </w:p>
    <w:p w14:paraId="0D8A3D6C" w14:textId="20727D22" w:rsidR="00607FF3" w:rsidRPr="007A293D" w:rsidRDefault="00657BC2" w:rsidP="00317F1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bill also provides for avenues of appeal on release restraint decisions through the </w:t>
      </w:r>
      <w:r w:rsidR="00A4161A">
        <w:rPr>
          <w:rFonts w:ascii="Calibri" w:eastAsia="Calibri" w:hAnsi="Calibri" w:cs="Calibri"/>
        </w:rPr>
        <w:t xml:space="preserve">ACT </w:t>
      </w:r>
      <w:r>
        <w:rPr>
          <w:rFonts w:ascii="Calibri" w:eastAsia="Calibri" w:hAnsi="Calibri" w:cs="Calibri"/>
        </w:rPr>
        <w:t xml:space="preserve">Ombudsman, which will improve confidence </w:t>
      </w:r>
      <w:r w:rsidR="00D65D83">
        <w:rPr>
          <w:rFonts w:ascii="Calibri" w:eastAsia="Calibri" w:hAnsi="Calibri" w:cs="Calibri"/>
        </w:rPr>
        <w:t>that any release restraint decisions are made for a legitimate purpose and without political interference.</w:t>
      </w:r>
      <w:r w:rsidR="00825739">
        <w:rPr>
          <w:rFonts w:ascii="Calibri" w:eastAsia="Calibri" w:hAnsi="Calibri" w:cs="Calibri"/>
        </w:rPr>
        <w:t xml:space="preserve">  </w:t>
      </w:r>
      <w:r w:rsidR="007F7EB5">
        <w:rPr>
          <w:rFonts w:ascii="Calibri" w:eastAsia="Calibri" w:hAnsi="Calibri" w:cs="Calibri"/>
        </w:rPr>
        <w:t xml:space="preserve">If a decision is not made within the new statutory timeframe, a full release restraint decision is presumed, thereby protecting privacy </w:t>
      </w:r>
      <w:r w:rsidR="000D163C">
        <w:rPr>
          <w:rFonts w:ascii="Calibri" w:eastAsia="Calibri" w:hAnsi="Calibri" w:cs="Calibri"/>
        </w:rPr>
        <w:t>(</w:t>
      </w:r>
      <w:r w:rsidR="0028130F">
        <w:rPr>
          <w:rFonts w:ascii="Calibri" w:eastAsia="Calibri" w:hAnsi="Calibri" w:cs="Calibri"/>
        </w:rPr>
        <w:t xml:space="preserve">s12) </w:t>
      </w:r>
      <w:r w:rsidR="007F7EB5">
        <w:rPr>
          <w:rFonts w:ascii="Calibri" w:eastAsia="Calibri" w:hAnsi="Calibri" w:cs="Calibri"/>
        </w:rPr>
        <w:t>by default pending any further review by the ACT Ombudsman.</w:t>
      </w:r>
      <w:r w:rsidR="0028130F">
        <w:rPr>
          <w:rFonts w:ascii="Calibri" w:eastAsia="Calibri" w:hAnsi="Calibri" w:cs="Calibri"/>
        </w:rPr>
        <w:t xml:space="preserve">  </w:t>
      </w:r>
    </w:p>
    <w:p w14:paraId="1CF3D887" w14:textId="77777777" w:rsidR="0076422F" w:rsidRPr="0045620B" w:rsidRDefault="0076422F" w:rsidP="0076422F">
      <w:pPr>
        <w:rPr>
          <w:rFonts w:ascii="Calibri" w:eastAsia="Calibri" w:hAnsi="Calibri" w:cs="Calibri"/>
          <w:b/>
          <w:bCs/>
        </w:rPr>
      </w:pPr>
      <w:r w:rsidRPr="0045620B">
        <w:rPr>
          <w:rFonts w:ascii="Calibri" w:eastAsia="Calibri" w:hAnsi="Calibri" w:cs="Calibri"/>
          <w:b/>
          <w:bCs/>
        </w:rPr>
        <w:t>The importance of the purpose of the limitation (s28(2)(b))</w:t>
      </w:r>
    </w:p>
    <w:p w14:paraId="51C684F0" w14:textId="075646DC" w:rsidR="0076422F" w:rsidRDefault="0076422F" w:rsidP="0076422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 ombudsman review process ensures public confidence in the decisions being made by government, by ensuring that there is an appeal mechanism outside of </w:t>
      </w:r>
      <w:r w:rsidR="00264CD3">
        <w:rPr>
          <w:rFonts w:ascii="Calibri" w:eastAsia="Calibri" w:hAnsi="Calibri" w:cs="Calibri"/>
        </w:rPr>
        <w:t>the ACT Government</w:t>
      </w:r>
      <w:r>
        <w:rPr>
          <w:rFonts w:ascii="Calibri" w:eastAsia="Calibri" w:hAnsi="Calibri" w:cs="Calibri"/>
        </w:rPr>
        <w:t xml:space="preserve">.  </w:t>
      </w:r>
      <w:r w:rsidR="003C3CBD">
        <w:rPr>
          <w:rFonts w:ascii="Calibri" w:eastAsia="Calibri" w:hAnsi="Calibri" w:cs="Calibri"/>
        </w:rPr>
        <w:t xml:space="preserve">This </w:t>
      </w:r>
      <w:r w:rsidR="00B83D4A">
        <w:rPr>
          <w:rFonts w:ascii="Calibri" w:eastAsia="Calibri" w:hAnsi="Calibri" w:cs="Calibri"/>
        </w:rPr>
        <w:t>provides the Canberra community greater assurance</w:t>
      </w:r>
      <w:r w:rsidR="000F36EA">
        <w:rPr>
          <w:rFonts w:ascii="Calibri" w:eastAsia="Calibri" w:hAnsi="Calibri" w:cs="Calibri"/>
        </w:rPr>
        <w:t xml:space="preserve"> that reviews are </w:t>
      </w:r>
      <w:r w:rsidR="00C06E04">
        <w:rPr>
          <w:rFonts w:ascii="Calibri" w:eastAsia="Calibri" w:hAnsi="Calibri" w:cs="Calibri"/>
        </w:rPr>
        <w:t>being undertaken by a</w:t>
      </w:r>
      <w:r w:rsidR="00B11705">
        <w:rPr>
          <w:rFonts w:ascii="Calibri" w:eastAsia="Calibri" w:hAnsi="Calibri" w:cs="Calibri"/>
        </w:rPr>
        <w:t>n independent and</w:t>
      </w:r>
      <w:r w:rsidR="00C06E04">
        <w:rPr>
          <w:rFonts w:ascii="Calibri" w:eastAsia="Calibri" w:hAnsi="Calibri" w:cs="Calibri"/>
        </w:rPr>
        <w:t xml:space="preserve"> neutral adjudicator not subject </w:t>
      </w:r>
      <w:r w:rsidR="00042221">
        <w:rPr>
          <w:rFonts w:ascii="Calibri" w:eastAsia="Calibri" w:hAnsi="Calibri" w:cs="Calibri"/>
        </w:rPr>
        <w:t xml:space="preserve">to the same </w:t>
      </w:r>
      <w:r w:rsidR="006B6587">
        <w:rPr>
          <w:rFonts w:ascii="Calibri" w:eastAsia="Calibri" w:hAnsi="Calibri" w:cs="Calibri"/>
        </w:rPr>
        <w:t xml:space="preserve">cultural </w:t>
      </w:r>
      <w:r w:rsidR="00CE2292">
        <w:rPr>
          <w:rFonts w:ascii="Calibri" w:eastAsia="Calibri" w:hAnsi="Calibri" w:cs="Calibri"/>
        </w:rPr>
        <w:t>operating environment</w:t>
      </w:r>
      <w:r w:rsidR="00EC40C7">
        <w:rPr>
          <w:rFonts w:ascii="Calibri" w:eastAsia="Calibri" w:hAnsi="Calibri" w:cs="Calibri"/>
        </w:rPr>
        <w:t xml:space="preserve"> and political pressures as the </w:t>
      </w:r>
      <w:r w:rsidR="00EB262B">
        <w:rPr>
          <w:rFonts w:ascii="Calibri" w:eastAsia="Calibri" w:hAnsi="Calibri" w:cs="Calibri"/>
        </w:rPr>
        <w:t>principal officer</w:t>
      </w:r>
      <w:r w:rsidR="00E9720F">
        <w:rPr>
          <w:rFonts w:ascii="Calibri" w:eastAsia="Calibri" w:hAnsi="Calibri" w:cs="Calibri"/>
        </w:rPr>
        <w:t xml:space="preserve"> who made the original decision.</w:t>
      </w:r>
    </w:p>
    <w:p w14:paraId="3FCA409F" w14:textId="5BC3CAAC" w:rsidR="00124D01" w:rsidRDefault="002B60F5" w:rsidP="0076422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limitation on freedom of expression </w:t>
      </w:r>
      <w:r w:rsidR="00313A32">
        <w:rPr>
          <w:rFonts w:ascii="Calibri" w:eastAsia="Calibri" w:hAnsi="Calibri" w:cs="Calibri"/>
        </w:rPr>
        <w:t xml:space="preserve">(s16) </w:t>
      </w:r>
      <w:r>
        <w:rPr>
          <w:rFonts w:ascii="Calibri" w:eastAsia="Calibri" w:hAnsi="Calibri" w:cs="Calibri"/>
        </w:rPr>
        <w:t xml:space="preserve">is a necessary </w:t>
      </w:r>
      <w:r w:rsidR="00313A32">
        <w:rPr>
          <w:rFonts w:ascii="Calibri" w:eastAsia="Calibri" w:hAnsi="Calibri" w:cs="Calibri"/>
        </w:rPr>
        <w:t xml:space="preserve">choice in </w:t>
      </w:r>
      <w:r>
        <w:rPr>
          <w:rFonts w:ascii="Calibri" w:eastAsia="Calibri" w:hAnsi="Calibri" w:cs="Calibri"/>
        </w:rPr>
        <w:t>balanc</w:t>
      </w:r>
      <w:r w:rsidR="00313A32">
        <w:rPr>
          <w:rFonts w:ascii="Calibri" w:eastAsia="Calibri" w:hAnsi="Calibri" w:cs="Calibri"/>
        </w:rPr>
        <w:t>ing it</w:t>
      </w:r>
      <w:r>
        <w:rPr>
          <w:rFonts w:ascii="Calibri" w:eastAsia="Calibri" w:hAnsi="Calibri" w:cs="Calibri"/>
        </w:rPr>
        <w:t xml:space="preserve"> against the promotion of </w:t>
      </w:r>
      <w:r w:rsidR="00313A32">
        <w:rPr>
          <w:rFonts w:ascii="Calibri" w:eastAsia="Calibri" w:hAnsi="Calibri" w:cs="Calibri"/>
        </w:rPr>
        <w:t>the right to privacy</w:t>
      </w:r>
      <w:r w:rsidR="0092547D">
        <w:rPr>
          <w:rFonts w:ascii="Calibri" w:eastAsia="Calibri" w:hAnsi="Calibri" w:cs="Calibri"/>
        </w:rPr>
        <w:t xml:space="preserve"> (s12)</w:t>
      </w:r>
      <w:r w:rsidR="00313A32">
        <w:rPr>
          <w:rFonts w:ascii="Calibri" w:eastAsia="Calibri" w:hAnsi="Calibri" w:cs="Calibri"/>
        </w:rPr>
        <w:t>.</w:t>
      </w:r>
      <w:r w:rsidR="00114CC4">
        <w:rPr>
          <w:rFonts w:ascii="Calibri" w:eastAsia="Calibri" w:hAnsi="Calibri" w:cs="Calibri"/>
        </w:rPr>
        <w:t xml:space="preserve"> Promoting one of these rights necessarily produces a risk that the other becomes limited.</w:t>
      </w:r>
    </w:p>
    <w:p w14:paraId="1CC4EED9" w14:textId="77777777" w:rsidR="00C30EA2" w:rsidRPr="007A1FCE" w:rsidRDefault="00C30EA2" w:rsidP="00C30EA2">
      <w:pPr>
        <w:rPr>
          <w:rFonts w:ascii="Calibri" w:eastAsia="Calibri" w:hAnsi="Calibri" w:cs="Calibri"/>
          <w:b/>
          <w:bCs/>
        </w:rPr>
      </w:pPr>
      <w:r w:rsidRPr="007A1FCE">
        <w:rPr>
          <w:rFonts w:ascii="Calibri" w:eastAsia="Calibri" w:hAnsi="Calibri" w:cs="Calibri"/>
          <w:b/>
          <w:bCs/>
        </w:rPr>
        <w:t>The nature and extent of the limitation (s28(2)(c))</w:t>
      </w:r>
    </w:p>
    <w:p w14:paraId="4992CF94" w14:textId="3B8835C0" w:rsidR="00030104" w:rsidRDefault="00337E1E" w:rsidP="00C30E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</w:t>
      </w:r>
      <w:r w:rsidR="00493653">
        <w:rPr>
          <w:rFonts w:ascii="Calibri" w:eastAsia="Calibri" w:hAnsi="Calibri" w:cs="Calibri"/>
        </w:rPr>
        <w:t xml:space="preserve">introduction of an </w:t>
      </w:r>
      <w:r w:rsidR="00E85A10">
        <w:rPr>
          <w:rFonts w:ascii="Calibri" w:eastAsia="Calibri" w:hAnsi="Calibri" w:cs="Calibri"/>
        </w:rPr>
        <w:t>o</w:t>
      </w:r>
      <w:r w:rsidR="00493653">
        <w:rPr>
          <w:rFonts w:ascii="Calibri" w:eastAsia="Calibri" w:hAnsi="Calibri" w:cs="Calibri"/>
        </w:rPr>
        <w:t>mbudsman review process exposes the information with possible implications for privacy</w:t>
      </w:r>
      <w:r w:rsidR="003716DB">
        <w:rPr>
          <w:rFonts w:ascii="Calibri" w:eastAsia="Calibri" w:hAnsi="Calibri" w:cs="Calibri"/>
        </w:rPr>
        <w:t xml:space="preserve"> (s12)</w:t>
      </w:r>
      <w:r w:rsidR="00E85A10">
        <w:rPr>
          <w:rFonts w:ascii="Calibri" w:eastAsia="Calibri" w:hAnsi="Calibri" w:cs="Calibri"/>
        </w:rPr>
        <w:t xml:space="preserve"> to a new additional actor:  The ACT Ombudsman.</w:t>
      </w:r>
    </w:p>
    <w:p w14:paraId="5F97E592" w14:textId="43F71723" w:rsidR="00ED3EE5" w:rsidRDefault="00ED3EE5" w:rsidP="00C30E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release restraint decision may also inherently limit freedom of expression (s16), and specifically the freedom to receive information, particularly where an overwhelmed processing system precipitates deemed </w:t>
      </w:r>
      <w:r w:rsidR="00DA29F5">
        <w:rPr>
          <w:rFonts w:ascii="Calibri" w:eastAsia="Calibri" w:hAnsi="Calibri" w:cs="Calibri"/>
        </w:rPr>
        <w:t xml:space="preserve">release </w:t>
      </w:r>
      <w:r>
        <w:rPr>
          <w:rFonts w:ascii="Calibri" w:eastAsia="Calibri" w:hAnsi="Calibri" w:cs="Calibri"/>
        </w:rPr>
        <w:t>restraint decisions despite the best intentions and efforts of public servants.</w:t>
      </w:r>
      <w:r w:rsidR="008F3DA5">
        <w:rPr>
          <w:rFonts w:ascii="Calibri" w:eastAsia="Calibri" w:hAnsi="Calibri" w:cs="Calibri"/>
        </w:rPr>
        <w:t xml:space="preserve">  This arises as a consequence of the bill’s decision to prioritise</w:t>
      </w:r>
      <w:r w:rsidR="00FB5A81">
        <w:rPr>
          <w:rFonts w:ascii="Calibri" w:eastAsia="Calibri" w:hAnsi="Calibri" w:cs="Calibri"/>
        </w:rPr>
        <w:t xml:space="preserve"> promotion of the right to privacy (s12)</w:t>
      </w:r>
      <w:r w:rsidR="00361063">
        <w:rPr>
          <w:rFonts w:ascii="Calibri" w:eastAsia="Calibri" w:hAnsi="Calibri" w:cs="Calibri"/>
        </w:rPr>
        <w:t>.</w:t>
      </w:r>
      <w:r w:rsidR="00903DB6">
        <w:rPr>
          <w:rFonts w:ascii="Calibri" w:eastAsia="Calibri" w:hAnsi="Calibri" w:cs="Calibri"/>
        </w:rPr>
        <w:t xml:space="preserve">  </w:t>
      </w:r>
      <w:r w:rsidR="00797CAE">
        <w:rPr>
          <w:rFonts w:ascii="Calibri" w:eastAsia="Calibri" w:hAnsi="Calibri" w:cs="Calibri"/>
        </w:rPr>
        <w:t>However, t</w:t>
      </w:r>
      <w:r w:rsidR="00903DB6">
        <w:rPr>
          <w:rFonts w:ascii="Calibri" w:eastAsia="Calibri" w:hAnsi="Calibri" w:cs="Calibri"/>
        </w:rPr>
        <w:t xml:space="preserve">he limitation </w:t>
      </w:r>
      <w:r w:rsidR="00797CAE">
        <w:rPr>
          <w:rFonts w:ascii="Calibri" w:eastAsia="Calibri" w:hAnsi="Calibri" w:cs="Calibri"/>
        </w:rPr>
        <w:t xml:space="preserve">only truly manifests where </w:t>
      </w:r>
      <w:r w:rsidR="00EA2208">
        <w:rPr>
          <w:rFonts w:ascii="Calibri" w:eastAsia="Calibri" w:hAnsi="Calibri" w:cs="Calibri"/>
        </w:rPr>
        <w:t xml:space="preserve">processing systems </w:t>
      </w:r>
      <w:r w:rsidR="001C00BB">
        <w:rPr>
          <w:rFonts w:ascii="Calibri" w:eastAsia="Calibri" w:hAnsi="Calibri" w:cs="Calibri"/>
        </w:rPr>
        <w:t xml:space="preserve">in the public service </w:t>
      </w:r>
      <w:r w:rsidR="00EA2208">
        <w:rPr>
          <w:rFonts w:ascii="Calibri" w:eastAsia="Calibri" w:hAnsi="Calibri" w:cs="Calibri"/>
        </w:rPr>
        <w:t xml:space="preserve">become overloaded </w:t>
      </w:r>
      <w:r w:rsidR="001C00BB">
        <w:rPr>
          <w:rFonts w:ascii="Calibri" w:eastAsia="Calibri" w:hAnsi="Calibri" w:cs="Calibri"/>
        </w:rPr>
        <w:t xml:space="preserve">to produce a pattern of </w:t>
      </w:r>
      <w:r w:rsidR="001C00BB" w:rsidRPr="001C00BB">
        <w:rPr>
          <w:rFonts w:ascii="Calibri" w:eastAsia="Calibri" w:hAnsi="Calibri" w:cs="Calibri"/>
          <w:i/>
          <w:iCs/>
        </w:rPr>
        <w:t>de facto</w:t>
      </w:r>
      <w:r w:rsidR="001C00BB">
        <w:rPr>
          <w:rFonts w:ascii="Calibri" w:eastAsia="Calibri" w:hAnsi="Calibri" w:cs="Calibri"/>
        </w:rPr>
        <w:t xml:space="preserve"> deemed refusals.</w:t>
      </w:r>
      <w:r w:rsidR="000A691C">
        <w:rPr>
          <w:rFonts w:ascii="Calibri" w:eastAsia="Calibri" w:hAnsi="Calibri" w:cs="Calibri"/>
        </w:rPr>
        <w:t xml:space="preserve">  The bill has incorporated a range of criteria to allow for extensions to processing times, specifically including in circumstances involving a high volume of information </w:t>
      </w:r>
      <w:r w:rsidR="006B0375">
        <w:rPr>
          <w:rFonts w:ascii="Calibri" w:eastAsia="Calibri" w:hAnsi="Calibri" w:cs="Calibri"/>
        </w:rPr>
        <w:t>or other exceptional circumstances.  It is envisaged that deemed refusals should be exceedingly rare</w:t>
      </w:r>
      <w:r w:rsidR="00A324A4">
        <w:rPr>
          <w:rFonts w:ascii="Calibri" w:eastAsia="Calibri" w:hAnsi="Calibri" w:cs="Calibri"/>
        </w:rPr>
        <w:t>.</w:t>
      </w:r>
      <w:r w:rsidR="007F14A8">
        <w:rPr>
          <w:rFonts w:ascii="Calibri" w:eastAsia="Calibri" w:hAnsi="Calibri" w:cs="Calibri"/>
        </w:rPr>
        <w:t xml:space="preserve">  </w:t>
      </w:r>
    </w:p>
    <w:p w14:paraId="4452E60D" w14:textId="77777777" w:rsidR="002F1FA8" w:rsidRPr="008813BA" w:rsidRDefault="002F1FA8" w:rsidP="002F1FA8">
      <w:pPr>
        <w:rPr>
          <w:rFonts w:ascii="Calibri" w:eastAsia="Calibri" w:hAnsi="Calibri" w:cs="Calibri"/>
          <w:b/>
          <w:bCs/>
        </w:rPr>
      </w:pPr>
      <w:r w:rsidRPr="008813BA">
        <w:rPr>
          <w:rFonts w:ascii="Calibri" w:eastAsia="Calibri" w:hAnsi="Calibri" w:cs="Calibri"/>
          <w:b/>
          <w:bCs/>
        </w:rPr>
        <w:t>The relationship between the limitation and its purpose (s28(2)(d))</w:t>
      </w:r>
    </w:p>
    <w:p w14:paraId="3B506384" w14:textId="56A47E58" w:rsidR="002F1FA8" w:rsidRDefault="002F1FA8" w:rsidP="002F1FA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Allowing the </w:t>
      </w:r>
      <w:r w:rsidR="00F464C7">
        <w:rPr>
          <w:rFonts w:ascii="Calibri" w:eastAsia="Calibri" w:hAnsi="Calibri" w:cs="Calibri"/>
        </w:rPr>
        <w:t xml:space="preserve">ACT </w:t>
      </w:r>
      <w:r>
        <w:rPr>
          <w:rFonts w:ascii="Calibri" w:eastAsia="Calibri" w:hAnsi="Calibri" w:cs="Calibri"/>
        </w:rPr>
        <w:t xml:space="preserve">Ombudsman to access the accessible executive records which potentially contain private and confidential information </w:t>
      </w:r>
      <w:r w:rsidR="00DB1297">
        <w:rPr>
          <w:rFonts w:ascii="Calibri" w:eastAsia="Calibri" w:hAnsi="Calibri" w:cs="Calibri"/>
        </w:rPr>
        <w:t xml:space="preserve">(s12) </w:t>
      </w:r>
      <w:r>
        <w:rPr>
          <w:rFonts w:ascii="Calibri" w:eastAsia="Calibri" w:hAnsi="Calibri" w:cs="Calibri"/>
        </w:rPr>
        <w:t>is necessary for them to execute their review functions.</w:t>
      </w:r>
    </w:p>
    <w:p w14:paraId="5F00237D" w14:textId="37A59685" w:rsidR="00DB1297" w:rsidRDefault="00D76098" w:rsidP="002F1FA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risk of limitations on the right to freedom of expression (</w:t>
      </w:r>
      <w:r w:rsidR="00E73121">
        <w:rPr>
          <w:rFonts w:ascii="Calibri" w:eastAsia="Calibri" w:hAnsi="Calibri" w:cs="Calibri"/>
        </w:rPr>
        <w:t>s16) is a necessary and unavoidable consequence of the decision to prioritise the protection of the private and confidential information (s12) in the release process.</w:t>
      </w:r>
    </w:p>
    <w:p w14:paraId="37A12BDC" w14:textId="77777777" w:rsidR="00A743CD" w:rsidRDefault="00A743CD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br w:type="page"/>
      </w:r>
    </w:p>
    <w:p w14:paraId="28D98BBF" w14:textId="6BF52BE0" w:rsidR="00F715B8" w:rsidRPr="008813BA" w:rsidRDefault="00F715B8" w:rsidP="00F715B8">
      <w:pPr>
        <w:rPr>
          <w:rFonts w:ascii="Calibri" w:eastAsia="Calibri" w:hAnsi="Calibri" w:cs="Calibri"/>
          <w:b/>
          <w:bCs/>
        </w:rPr>
      </w:pPr>
      <w:r w:rsidRPr="3A4892F2">
        <w:rPr>
          <w:rFonts w:ascii="Calibri" w:eastAsia="Calibri" w:hAnsi="Calibri" w:cs="Calibri"/>
          <w:b/>
          <w:bCs/>
        </w:rPr>
        <w:lastRenderedPageBreak/>
        <w:t>Any less restrictive means reasonably available to achieve the purpose the limitation seeks to achieve (s28(2)(e))</w:t>
      </w:r>
    </w:p>
    <w:p w14:paraId="3880BAE7" w14:textId="4EB612E4" w:rsidR="007A293D" w:rsidRDefault="00F715B8" w:rsidP="3A4892F2">
      <w:pPr>
        <w:rPr>
          <w:rFonts w:ascii="Calibri" w:eastAsia="Calibri" w:hAnsi="Calibri" w:cs="Calibri"/>
        </w:rPr>
      </w:pPr>
      <w:r w:rsidRPr="3A4892F2">
        <w:rPr>
          <w:rFonts w:ascii="Calibri" w:eastAsia="Calibri" w:hAnsi="Calibri" w:cs="Calibri"/>
        </w:rPr>
        <w:t xml:space="preserve">The ACT Ombudsman is a trusted Officer of the Assembly, who has statutory obligations to review decisions made in the public interest and protect private and personal information </w:t>
      </w:r>
      <w:r w:rsidR="0048368C">
        <w:rPr>
          <w:rFonts w:ascii="Calibri" w:eastAsia="Calibri" w:hAnsi="Calibri" w:cs="Calibri"/>
        </w:rPr>
        <w:t xml:space="preserve">(s12) </w:t>
      </w:r>
      <w:r w:rsidRPr="3A4892F2">
        <w:rPr>
          <w:rFonts w:ascii="Calibri" w:eastAsia="Calibri" w:hAnsi="Calibri" w:cs="Calibri"/>
        </w:rPr>
        <w:t>while doing so</w:t>
      </w:r>
      <w:r w:rsidR="00FD6AA3">
        <w:rPr>
          <w:rFonts w:ascii="Calibri" w:eastAsia="Calibri" w:hAnsi="Calibri" w:cs="Calibri"/>
        </w:rPr>
        <w:t>, consistent with the Human Rights Act</w:t>
      </w:r>
      <w:r w:rsidRPr="3A4892F2">
        <w:rPr>
          <w:rFonts w:ascii="Calibri" w:eastAsia="Calibri" w:hAnsi="Calibri" w:cs="Calibri"/>
        </w:rPr>
        <w:t xml:space="preserve">.  This is the least restrictive means of ensuring reviews can occur with probity and integrity.  Engaging the ACT Ombudsman also limits the need for additional </w:t>
      </w:r>
      <w:r w:rsidR="00F464C7">
        <w:rPr>
          <w:rFonts w:ascii="Calibri" w:eastAsia="Calibri" w:hAnsi="Calibri" w:cs="Calibri"/>
        </w:rPr>
        <w:t xml:space="preserve">ACT Government </w:t>
      </w:r>
      <w:r w:rsidRPr="3A4892F2">
        <w:rPr>
          <w:rFonts w:ascii="Calibri" w:eastAsia="Calibri" w:hAnsi="Calibri" w:cs="Calibri"/>
        </w:rPr>
        <w:t>officers to review private and confidential information</w:t>
      </w:r>
      <w:r w:rsidR="008535FE">
        <w:rPr>
          <w:rFonts w:ascii="Calibri" w:eastAsia="Calibri" w:hAnsi="Calibri" w:cs="Calibri"/>
        </w:rPr>
        <w:t xml:space="preserve"> through internal reviews</w:t>
      </w:r>
      <w:r w:rsidRPr="3A4892F2">
        <w:rPr>
          <w:rFonts w:ascii="Calibri" w:eastAsia="Calibri" w:hAnsi="Calibri" w:cs="Calibri"/>
        </w:rPr>
        <w:t>.</w:t>
      </w:r>
    </w:p>
    <w:p w14:paraId="0FBCFD3B" w14:textId="085ED368" w:rsidR="00CF3D17" w:rsidRPr="002F1FA8" w:rsidRDefault="00CF3D17" w:rsidP="3A4892F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limitation on the right to </w:t>
      </w:r>
      <w:r w:rsidR="00250D8B">
        <w:rPr>
          <w:rFonts w:ascii="Calibri" w:eastAsia="Calibri" w:hAnsi="Calibri" w:cs="Calibri"/>
        </w:rPr>
        <w:t xml:space="preserve">freedom of expression </w:t>
      </w:r>
      <w:r w:rsidR="0048368C">
        <w:rPr>
          <w:rFonts w:ascii="Calibri" w:eastAsia="Calibri" w:hAnsi="Calibri" w:cs="Calibri"/>
        </w:rPr>
        <w:t xml:space="preserve">(s16) </w:t>
      </w:r>
      <w:r w:rsidR="00250D8B">
        <w:rPr>
          <w:rFonts w:ascii="Calibri" w:eastAsia="Calibri" w:hAnsi="Calibri" w:cs="Calibri"/>
        </w:rPr>
        <w:t xml:space="preserve">is expected to be extremely rare.  In order to manifest, it would likely require deliberate under-resourcing </w:t>
      </w:r>
      <w:r w:rsidR="00444138">
        <w:rPr>
          <w:rFonts w:ascii="Calibri" w:eastAsia="Calibri" w:hAnsi="Calibri" w:cs="Calibri"/>
        </w:rPr>
        <w:t>of the record release scheme by the ACT Government.</w:t>
      </w:r>
      <w:r w:rsidR="0048368C">
        <w:rPr>
          <w:rFonts w:ascii="Calibri" w:eastAsia="Calibri" w:hAnsi="Calibri" w:cs="Calibri"/>
        </w:rPr>
        <w:t xml:space="preserve">  To abolish the risk of this right being limited would require introducing </w:t>
      </w:r>
      <w:r w:rsidR="0085478A">
        <w:rPr>
          <w:rFonts w:ascii="Calibri" w:eastAsia="Calibri" w:hAnsi="Calibri" w:cs="Calibri"/>
        </w:rPr>
        <w:t xml:space="preserve">risks that private and confidential information </w:t>
      </w:r>
      <w:r w:rsidR="00A743CD">
        <w:rPr>
          <w:rFonts w:ascii="Calibri" w:eastAsia="Calibri" w:hAnsi="Calibri" w:cs="Calibri"/>
        </w:rPr>
        <w:t xml:space="preserve">(s12) </w:t>
      </w:r>
      <w:r w:rsidR="0085478A">
        <w:rPr>
          <w:rFonts w:ascii="Calibri" w:eastAsia="Calibri" w:hAnsi="Calibri" w:cs="Calibri"/>
        </w:rPr>
        <w:t xml:space="preserve">be exposed in automatic </w:t>
      </w:r>
      <w:r w:rsidR="00A743CD">
        <w:rPr>
          <w:rFonts w:ascii="Calibri" w:eastAsia="Calibri" w:hAnsi="Calibri" w:cs="Calibri"/>
        </w:rPr>
        <w:t xml:space="preserve">and unmanaged releases, which is considered to be a much more substantial risk.  </w:t>
      </w:r>
    </w:p>
    <w:p w14:paraId="218AEC56" w14:textId="3D1C5796" w:rsidR="00246429" w:rsidRDefault="00246429">
      <w:pPr>
        <w:rPr>
          <w:rFonts w:ascii="Calibri" w:eastAsia="Calibri" w:hAnsi="Calibri" w:cs="Calibri"/>
        </w:rPr>
      </w:pPr>
    </w:p>
    <w:p w14:paraId="0EED1D0C" w14:textId="615B7076" w:rsidR="00455BC6" w:rsidRDefault="00455BC6" w:rsidP="00455BC6">
      <w:pPr>
        <w:rPr>
          <w:b/>
          <w:bCs/>
        </w:rPr>
      </w:pPr>
      <w:r>
        <w:rPr>
          <w:b/>
          <w:bCs/>
        </w:rPr>
        <w:t xml:space="preserve">CLIMATE </w:t>
      </w:r>
      <w:r w:rsidR="00855C1B">
        <w:rPr>
          <w:b/>
          <w:bCs/>
        </w:rPr>
        <w:t>IMPACT</w:t>
      </w:r>
    </w:p>
    <w:p w14:paraId="379C0BD8" w14:textId="4AB3418A" w:rsidR="00B94A1D" w:rsidRDefault="00455BC6" w:rsidP="00650C17">
      <w:pPr>
        <w:rPr>
          <w:b/>
          <w:bCs/>
        </w:rPr>
      </w:pPr>
      <w:r w:rsidRPr="00455BC6">
        <w:t>Th</w:t>
      </w:r>
      <w:r>
        <w:t>is bill has no direct implications</w:t>
      </w:r>
      <w:r w:rsidR="00ED4315">
        <w:t xml:space="preserve"> for climate change</w:t>
      </w:r>
      <w:r>
        <w:t>.</w:t>
      </w:r>
      <w:r w:rsidR="00262D5D">
        <w:t xml:space="preserve">  However, improved accessibility of accessible executive records may enhance the quality of decisions being made</w:t>
      </w:r>
      <w:r w:rsidR="0060100B">
        <w:t xml:space="preserve"> by the legislature relating to climate change over time.</w:t>
      </w:r>
    </w:p>
    <w:p w14:paraId="446838A3" w14:textId="77777777" w:rsidR="00B94A1D" w:rsidRDefault="00B94A1D" w:rsidP="00650C17">
      <w:pPr>
        <w:rPr>
          <w:b/>
          <w:bCs/>
        </w:rPr>
      </w:pPr>
    </w:p>
    <w:p w14:paraId="6FBCE8D7" w14:textId="77777777" w:rsidR="00B94A1D" w:rsidRDefault="00B94A1D" w:rsidP="00650C17">
      <w:pPr>
        <w:rPr>
          <w:b/>
          <w:bCs/>
        </w:rPr>
      </w:pPr>
    </w:p>
    <w:p w14:paraId="5ABE535D" w14:textId="6D51A1E6" w:rsidR="007713F9" w:rsidRDefault="00246429" w:rsidP="00650C17">
      <w:pPr>
        <w:rPr>
          <w:b/>
          <w:bCs/>
        </w:rPr>
      </w:pPr>
      <w:r w:rsidRPr="00246429">
        <w:rPr>
          <w:b/>
          <w:bCs/>
        </w:rPr>
        <w:t>CLAUSE NOTES</w:t>
      </w:r>
    </w:p>
    <w:p w14:paraId="23AF81C6" w14:textId="5A76526C" w:rsidR="008458EF" w:rsidRDefault="008458EF" w:rsidP="00650C17">
      <w:pPr>
        <w:rPr>
          <w:b/>
          <w:bCs/>
        </w:rPr>
      </w:pPr>
      <w:r>
        <w:rPr>
          <w:b/>
          <w:bCs/>
        </w:rPr>
        <w:t>Clause 1 – Name of the Act</w:t>
      </w:r>
    </w:p>
    <w:p w14:paraId="5595B83A" w14:textId="140F2D7C" w:rsidR="008458EF" w:rsidRDefault="00496ECC" w:rsidP="00650C17">
      <w:r>
        <w:t xml:space="preserve">This identifies the bill, once it is prospectively passed, as being the </w:t>
      </w:r>
      <w:r w:rsidR="00DB521D" w:rsidRPr="00DB521D">
        <w:rPr>
          <w:i/>
          <w:iCs/>
        </w:rPr>
        <w:t>Territory Records (Executive Records) Amendment Act 2025</w:t>
      </w:r>
      <w:r w:rsidR="00DB521D">
        <w:t>.</w:t>
      </w:r>
    </w:p>
    <w:p w14:paraId="246ABFA9" w14:textId="673E06EA" w:rsidR="00DB521D" w:rsidRDefault="00DB521D" w:rsidP="00650C17">
      <w:pPr>
        <w:rPr>
          <w:b/>
          <w:bCs/>
        </w:rPr>
      </w:pPr>
      <w:r>
        <w:rPr>
          <w:b/>
          <w:bCs/>
        </w:rPr>
        <w:t xml:space="preserve">Clause 2 – Commencement </w:t>
      </w:r>
    </w:p>
    <w:p w14:paraId="6F888AF0" w14:textId="50F4AD7C" w:rsidR="00DB521D" w:rsidRDefault="00DB521D" w:rsidP="00650C17">
      <w:r>
        <w:t>The commencement date is set to coincide with Canberra Day, on the 9</w:t>
      </w:r>
      <w:r w:rsidRPr="00DB521D">
        <w:rPr>
          <w:vertAlign w:val="superscript"/>
        </w:rPr>
        <w:t>th</w:t>
      </w:r>
      <w:r>
        <w:t xml:space="preserve"> of March 2026</w:t>
      </w:r>
      <w:r w:rsidR="004C06C9">
        <w:t xml:space="preserve">, on which the </w:t>
      </w:r>
      <w:r w:rsidR="006603BF">
        <w:t xml:space="preserve">next </w:t>
      </w:r>
      <w:r w:rsidR="004C06C9">
        <w:t>lists of accessible executive records are to be made available to the public</w:t>
      </w:r>
      <w:r>
        <w:t>.</w:t>
      </w:r>
    </w:p>
    <w:p w14:paraId="3C31ACA9" w14:textId="52D05378" w:rsidR="004C06C9" w:rsidRPr="00547248" w:rsidRDefault="00547248" w:rsidP="00650C17">
      <w:pPr>
        <w:rPr>
          <w:b/>
          <w:bCs/>
        </w:rPr>
      </w:pPr>
      <w:r w:rsidRPr="00547248">
        <w:rPr>
          <w:b/>
          <w:bCs/>
        </w:rPr>
        <w:t>Clause 3 – Legislation Amended</w:t>
      </w:r>
    </w:p>
    <w:p w14:paraId="491D3C1E" w14:textId="1D8BC898" w:rsidR="00547248" w:rsidRDefault="00547248" w:rsidP="00650C17">
      <w:r>
        <w:t xml:space="preserve">The bill will primarily amend the </w:t>
      </w:r>
      <w:r w:rsidRPr="00547248">
        <w:rPr>
          <w:i/>
          <w:iCs/>
        </w:rPr>
        <w:t>Territory Records Act 2002</w:t>
      </w:r>
      <w:r>
        <w:t xml:space="preserve">, with </w:t>
      </w:r>
      <w:r w:rsidR="0079448E">
        <w:t xml:space="preserve">consequential amendments to the </w:t>
      </w:r>
      <w:r w:rsidR="0079448E">
        <w:rPr>
          <w:i/>
          <w:iCs/>
        </w:rPr>
        <w:t>Ombudsman Act 1989</w:t>
      </w:r>
      <w:r w:rsidR="0079448E">
        <w:t>.</w:t>
      </w:r>
    </w:p>
    <w:p w14:paraId="5A6922FF" w14:textId="582D4BFD" w:rsidR="0079448E" w:rsidRDefault="0079448E" w:rsidP="00650C17">
      <w:pPr>
        <w:rPr>
          <w:b/>
          <w:bCs/>
        </w:rPr>
      </w:pPr>
      <w:r>
        <w:rPr>
          <w:b/>
          <w:bCs/>
        </w:rPr>
        <w:t xml:space="preserve">Clause </w:t>
      </w:r>
      <w:r w:rsidR="005404A8">
        <w:rPr>
          <w:b/>
          <w:bCs/>
        </w:rPr>
        <w:t xml:space="preserve">4 </w:t>
      </w:r>
      <w:r w:rsidR="00325C87">
        <w:rPr>
          <w:b/>
          <w:bCs/>
        </w:rPr>
        <w:t>–</w:t>
      </w:r>
      <w:r w:rsidR="005404A8">
        <w:rPr>
          <w:b/>
          <w:bCs/>
        </w:rPr>
        <w:t xml:space="preserve"> </w:t>
      </w:r>
      <w:r w:rsidR="00325C87">
        <w:rPr>
          <w:b/>
          <w:bCs/>
        </w:rPr>
        <w:t>Definitions</w:t>
      </w:r>
    </w:p>
    <w:p w14:paraId="4F3D303A" w14:textId="12B855D3" w:rsidR="00325C87" w:rsidRDefault="00D83221" w:rsidP="00650C17">
      <w:r>
        <w:t xml:space="preserve">This omits the definitions of </w:t>
      </w:r>
      <w:r w:rsidRPr="00D83221">
        <w:rPr>
          <w:i/>
          <w:iCs/>
        </w:rPr>
        <w:t>internally reviewable determination</w:t>
      </w:r>
      <w:r w:rsidRPr="00D83221">
        <w:t xml:space="preserve"> and </w:t>
      </w:r>
      <w:r w:rsidRPr="00D83221">
        <w:rPr>
          <w:i/>
          <w:iCs/>
        </w:rPr>
        <w:t>internal reviewer</w:t>
      </w:r>
      <w:r>
        <w:t>, because they are no longer relevant</w:t>
      </w:r>
      <w:r w:rsidR="00FA13DA">
        <w:t xml:space="preserve">. </w:t>
      </w:r>
      <w:r w:rsidR="006A61BF">
        <w:t xml:space="preserve"> </w:t>
      </w:r>
      <w:r w:rsidR="00FA13DA">
        <w:t>T</w:t>
      </w:r>
      <w:r w:rsidR="006A61BF">
        <w:t>he process for internal review is being substituted with a process for review by the Ombudsman.</w:t>
      </w:r>
    </w:p>
    <w:p w14:paraId="60020D55" w14:textId="17D02D16" w:rsidR="006A61BF" w:rsidRPr="00EB2EF2" w:rsidRDefault="006A61BF" w:rsidP="00650C17">
      <w:pPr>
        <w:rPr>
          <w:b/>
          <w:bCs/>
        </w:rPr>
      </w:pPr>
      <w:r w:rsidRPr="00EB2EF2">
        <w:rPr>
          <w:b/>
          <w:bCs/>
        </w:rPr>
        <w:t>Clause</w:t>
      </w:r>
      <w:r w:rsidR="00A03815" w:rsidRPr="00EB2EF2">
        <w:rPr>
          <w:b/>
          <w:bCs/>
        </w:rPr>
        <w:t>s</w:t>
      </w:r>
      <w:r w:rsidRPr="00EB2EF2">
        <w:rPr>
          <w:b/>
          <w:bCs/>
        </w:rPr>
        <w:t xml:space="preserve"> 5 </w:t>
      </w:r>
      <w:r w:rsidR="00A03815" w:rsidRPr="00EB2EF2">
        <w:rPr>
          <w:b/>
          <w:bCs/>
        </w:rPr>
        <w:t>&amp; 6 –</w:t>
      </w:r>
      <w:r w:rsidRPr="00EB2EF2">
        <w:rPr>
          <w:b/>
          <w:bCs/>
        </w:rPr>
        <w:t xml:space="preserve"> </w:t>
      </w:r>
      <w:r w:rsidR="00A03815" w:rsidRPr="00EB2EF2">
        <w:rPr>
          <w:b/>
          <w:bCs/>
        </w:rPr>
        <w:t xml:space="preserve">Imposing a 30 working day </w:t>
      </w:r>
      <w:r w:rsidR="00EB2EF2" w:rsidRPr="00EB2EF2">
        <w:rPr>
          <w:b/>
          <w:bCs/>
        </w:rPr>
        <w:t>statutory deadline</w:t>
      </w:r>
    </w:p>
    <w:p w14:paraId="45EACB79" w14:textId="4E952167" w:rsidR="00EB2EF2" w:rsidRDefault="00EB2EF2" w:rsidP="00650C17">
      <w:r>
        <w:t xml:space="preserve">This omits, in 31E(2) and 31F, all instances of “after receiving the request” and substitutes “, </w:t>
      </w:r>
      <w:r w:rsidR="00A7386B" w:rsidRPr="00A7386B">
        <w:t>but not later than 30 working days, after the day the officer receives the request</w:t>
      </w:r>
      <w:r w:rsidR="00A7386B">
        <w:t xml:space="preserve">”.  This preserves the requirement that </w:t>
      </w:r>
      <w:r w:rsidR="00072FAE">
        <w:t xml:space="preserve">the principal officer </w:t>
      </w:r>
      <w:r w:rsidR="00617C39">
        <w:t>must act o</w:t>
      </w:r>
      <w:r w:rsidR="002823FD">
        <w:t>n</w:t>
      </w:r>
      <w:r w:rsidR="00617C39">
        <w:t xml:space="preserve"> the request for access as soon as practical, while adding a requirement to do so within 30 working days.</w:t>
      </w:r>
    </w:p>
    <w:p w14:paraId="2257F3DA" w14:textId="3E2939BD" w:rsidR="003749DF" w:rsidRPr="00EC1F3C" w:rsidRDefault="006A6129" w:rsidP="00650C17">
      <w:pPr>
        <w:rPr>
          <w:b/>
          <w:bCs/>
        </w:rPr>
      </w:pPr>
      <w:r w:rsidRPr="00EC1F3C">
        <w:rPr>
          <w:b/>
          <w:bCs/>
        </w:rPr>
        <w:lastRenderedPageBreak/>
        <w:t xml:space="preserve">Clause 7 – Extensions of Time </w:t>
      </w:r>
      <w:r w:rsidR="00EC1F3C" w:rsidRPr="00EC1F3C">
        <w:rPr>
          <w:b/>
          <w:bCs/>
        </w:rPr>
        <w:t>and deemed restraint</w:t>
      </w:r>
    </w:p>
    <w:p w14:paraId="587A6F68" w14:textId="381872B1" w:rsidR="00EC1F3C" w:rsidRDefault="00EC1F3C" w:rsidP="00650C17">
      <w:r>
        <w:t>This adds new sections 31FA and 31FB.</w:t>
      </w:r>
    </w:p>
    <w:p w14:paraId="4F51CEA3" w14:textId="70DF63E0" w:rsidR="00F217F4" w:rsidRDefault="003D39DB" w:rsidP="00650C17">
      <w:r>
        <w:t xml:space="preserve">31FA allows the principal officer to seek approval from the </w:t>
      </w:r>
      <w:r w:rsidR="006E46A7">
        <w:t xml:space="preserve">ACT </w:t>
      </w:r>
      <w:r w:rsidR="00786621">
        <w:t xml:space="preserve">Ombudsman for an extension of time where the Ombudsman agrees such an extension is reasonable in the circumstances.  Examples </w:t>
      </w:r>
      <w:r w:rsidR="00D95A51">
        <w:t xml:space="preserve">are provided, specifically to cover concerns about voluminous requests that would become an unreasonable </w:t>
      </w:r>
      <w:r w:rsidR="005F6D5D">
        <w:t xml:space="preserve">and substantial </w:t>
      </w:r>
      <w:r w:rsidR="00D95A51">
        <w:t xml:space="preserve">diversion of </w:t>
      </w:r>
      <w:r w:rsidR="005F6D5D">
        <w:t>resources.</w:t>
      </w:r>
      <w:r w:rsidR="00C27653">
        <w:t xml:space="preserve">  </w:t>
      </w:r>
    </w:p>
    <w:p w14:paraId="6BF12379" w14:textId="1508B086" w:rsidR="008D13C3" w:rsidRDefault="008D13C3" w:rsidP="00650C17">
      <w:r>
        <w:t>31FB</w:t>
      </w:r>
      <w:r w:rsidR="00F26D18">
        <w:t xml:space="preserve"> ensure</w:t>
      </w:r>
      <w:r w:rsidR="00B13A7B">
        <w:t>s</w:t>
      </w:r>
      <w:r w:rsidR="00F26D18">
        <w:t xml:space="preserve"> that a failure to give access to an accessible record within the 30 working</w:t>
      </w:r>
      <w:r w:rsidR="00030D52">
        <w:t>-</w:t>
      </w:r>
      <w:r w:rsidR="004C005F">
        <w:t xml:space="preserve">day time frame, or as otherwise extended by the </w:t>
      </w:r>
      <w:r w:rsidR="006E46A7">
        <w:t xml:space="preserve">ACT </w:t>
      </w:r>
      <w:r w:rsidR="004C005F">
        <w:t>Ombudsman, becomes a decision to fully restrain the document</w:t>
      </w:r>
      <w:r w:rsidR="00A7485C">
        <w:t>.</w:t>
      </w:r>
      <w:r w:rsidR="004C005F">
        <w:t xml:space="preserve"> </w:t>
      </w:r>
      <w:r w:rsidR="00A7485C">
        <w:t xml:space="preserve">This </w:t>
      </w:r>
      <w:r w:rsidR="003551A0">
        <w:t xml:space="preserve">decision can still </w:t>
      </w:r>
      <w:r w:rsidR="004C005F">
        <w:t>be appealed</w:t>
      </w:r>
      <w:r w:rsidR="00882FFE">
        <w:t xml:space="preserve"> </w:t>
      </w:r>
      <w:r w:rsidR="00E41556">
        <w:t xml:space="preserve">to the </w:t>
      </w:r>
      <w:r w:rsidR="00561A59">
        <w:t xml:space="preserve">ACT </w:t>
      </w:r>
      <w:r w:rsidR="00E41556">
        <w:t xml:space="preserve">Ombudsman </w:t>
      </w:r>
      <w:r w:rsidR="00882FFE">
        <w:t>by the requester.</w:t>
      </w:r>
    </w:p>
    <w:p w14:paraId="08144E8E" w14:textId="31A7E807" w:rsidR="003D39DB" w:rsidRDefault="00882FFE" w:rsidP="00650C17">
      <w:pPr>
        <w:rPr>
          <w:b/>
          <w:bCs/>
        </w:rPr>
      </w:pPr>
      <w:r>
        <w:rPr>
          <w:b/>
          <w:bCs/>
        </w:rPr>
        <w:t>Clause 8 – New functions of Ombudsman</w:t>
      </w:r>
    </w:p>
    <w:p w14:paraId="03E1C58F" w14:textId="6969A832" w:rsidR="00D61C4E" w:rsidRDefault="00E41556" w:rsidP="00650C17">
      <w:r>
        <w:t xml:space="preserve">This inserts a new </w:t>
      </w:r>
      <w:r w:rsidR="0030533B">
        <w:t xml:space="preserve">section 31HA, which outlines the functions of the </w:t>
      </w:r>
      <w:r w:rsidR="006E46A7">
        <w:t>ACT O</w:t>
      </w:r>
      <w:r w:rsidR="0030533B">
        <w:t>mbudsman for this Act, covering the granting of extensions of time and the review of restraint determinations.</w:t>
      </w:r>
    </w:p>
    <w:p w14:paraId="4445BB96" w14:textId="1B897DEA" w:rsidR="008D0E89" w:rsidRDefault="008D0E89" w:rsidP="00650C17">
      <w:r>
        <w:rPr>
          <w:b/>
          <w:bCs/>
        </w:rPr>
        <w:t xml:space="preserve">Clauses 9 &amp; 10 </w:t>
      </w:r>
      <w:r w:rsidR="001C335A">
        <w:rPr>
          <w:b/>
          <w:bCs/>
        </w:rPr>
        <w:t>–</w:t>
      </w:r>
      <w:r>
        <w:rPr>
          <w:b/>
          <w:bCs/>
        </w:rPr>
        <w:t xml:space="preserve"> </w:t>
      </w:r>
      <w:r w:rsidR="001C335A">
        <w:rPr>
          <w:b/>
          <w:bCs/>
        </w:rPr>
        <w:t>Ombudsman review notices</w:t>
      </w:r>
    </w:p>
    <w:p w14:paraId="77ADCA1E" w14:textId="635CC4D7" w:rsidR="001C335A" w:rsidRDefault="00B33321" w:rsidP="00650C17">
      <w:r>
        <w:t xml:space="preserve">This </w:t>
      </w:r>
      <w:r w:rsidR="00BA1BBD">
        <w:t>establishes</w:t>
      </w:r>
      <w:r>
        <w:t xml:space="preserve"> the requirement</w:t>
      </w:r>
      <w:r w:rsidR="00CA2750">
        <w:t>, in the event of a release restraint determination being made,</w:t>
      </w:r>
      <w:r>
        <w:t xml:space="preserve"> to give notice</w:t>
      </w:r>
      <w:r w:rsidR="00776B55">
        <w:t xml:space="preserve"> of the requestor’s ability to seek an </w:t>
      </w:r>
      <w:r w:rsidR="006E46A7">
        <w:t>o</w:t>
      </w:r>
      <w:r w:rsidR="00BA1BBD">
        <w:t xml:space="preserve">mbudsman </w:t>
      </w:r>
      <w:r w:rsidR="00776B55">
        <w:t>review</w:t>
      </w:r>
      <w:r w:rsidR="00BA1BBD">
        <w:t>, in place of an internal review.</w:t>
      </w:r>
    </w:p>
    <w:p w14:paraId="5EC6A045" w14:textId="0B8BEC5C" w:rsidR="00172C8C" w:rsidRDefault="00172C8C" w:rsidP="00650C17">
      <w:r>
        <w:rPr>
          <w:b/>
          <w:bCs/>
        </w:rPr>
        <w:t xml:space="preserve">Clause 11 – Ombudsman </w:t>
      </w:r>
      <w:r w:rsidR="0080042D">
        <w:rPr>
          <w:b/>
          <w:bCs/>
        </w:rPr>
        <w:t xml:space="preserve">and ACAT </w:t>
      </w:r>
      <w:r>
        <w:rPr>
          <w:b/>
          <w:bCs/>
        </w:rPr>
        <w:t>review scheme</w:t>
      </w:r>
    </w:p>
    <w:p w14:paraId="2CD03E49" w14:textId="3389B5D0" w:rsidR="00172C8C" w:rsidRDefault="00172C8C" w:rsidP="00650C17">
      <w:r>
        <w:t>This replaces the current internal review scheme with an ombudsman review scheme.</w:t>
      </w:r>
      <w:r w:rsidR="009C4709">
        <w:t xml:space="preserve">  </w:t>
      </w:r>
      <w:r w:rsidR="003365A2">
        <w:t xml:space="preserve">An application for </w:t>
      </w:r>
      <w:r w:rsidR="006603BF">
        <w:t>o</w:t>
      </w:r>
      <w:r w:rsidR="003365A2">
        <w:t>mbudsman review of a release restraint determination must be made within 28 days</w:t>
      </w:r>
      <w:r w:rsidR="00B14C18">
        <w:t xml:space="preserve">, setting out the grounds of the review.  By default, the </w:t>
      </w:r>
      <w:r w:rsidR="00483309">
        <w:t xml:space="preserve">ACT </w:t>
      </w:r>
      <w:r w:rsidR="00B14C18">
        <w:t xml:space="preserve">Ombudsman then has </w:t>
      </w:r>
      <w:r w:rsidR="003D1862">
        <w:t>15 days to conduct the review</w:t>
      </w:r>
      <w:r w:rsidR="00527598">
        <w:t>. However,</w:t>
      </w:r>
      <w:r w:rsidR="003D1862">
        <w:t xml:space="preserve"> this may be extended by </w:t>
      </w:r>
      <w:r w:rsidR="00721600">
        <w:t>any period agreed to by the applica</w:t>
      </w:r>
      <w:r w:rsidR="00BA265D">
        <w:t>nt</w:t>
      </w:r>
      <w:r w:rsidR="00721600">
        <w:t xml:space="preserve">, or otherwise </w:t>
      </w:r>
      <w:r w:rsidR="00527598">
        <w:t xml:space="preserve">up to </w:t>
      </w:r>
      <w:r w:rsidR="003D1862">
        <w:t>an additional 15 days</w:t>
      </w:r>
      <w:r w:rsidR="00721600">
        <w:t xml:space="preserve"> </w:t>
      </w:r>
      <w:r w:rsidR="00CF38FC">
        <w:t xml:space="preserve">where the </w:t>
      </w:r>
      <w:r w:rsidR="00483309">
        <w:t xml:space="preserve">ACT </w:t>
      </w:r>
      <w:r w:rsidR="00CF38FC">
        <w:t xml:space="preserve">Ombudsman identifies </w:t>
      </w:r>
      <w:r w:rsidR="00721600">
        <w:t xml:space="preserve">circumstances involving a large </w:t>
      </w:r>
      <w:r w:rsidR="00527598">
        <w:t>volume of information, a complex review, or other exceptional circumstances.</w:t>
      </w:r>
      <w:r w:rsidR="00703A4E">
        <w:t xml:space="preserve">  </w:t>
      </w:r>
    </w:p>
    <w:p w14:paraId="64270B62" w14:textId="77777777" w:rsidR="00B10CB3" w:rsidRDefault="00703A4E" w:rsidP="00650C17">
      <w:r>
        <w:t xml:space="preserve">As with the assumptions for a deemed restraint under clause 7, </w:t>
      </w:r>
      <w:r w:rsidR="00834C7D">
        <w:t xml:space="preserve">an expiry of time results in the release </w:t>
      </w:r>
      <w:r w:rsidR="00FA728B">
        <w:t>restraint</w:t>
      </w:r>
      <w:r w:rsidR="00834C7D">
        <w:t xml:space="preserve"> </w:t>
      </w:r>
      <w:r w:rsidR="00FA728B">
        <w:t xml:space="preserve">decision being confirmed by default, rather than overturned.  </w:t>
      </w:r>
    </w:p>
    <w:p w14:paraId="0FA7D919" w14:textId="75C6C4A4" w:rsidR="00FA728B" w:rsidRDefault="00B10CB3" w:rsidP="00650C17">
      <w:r>
        <w:t xml:space="preserve">Any decision made by the </w:t>
      </w:r>
      <w:r w:rsidR="00483309">
        <w:t xml:space="preserve">ACT </w:t>
      </w:r>
      <w:r>
        <w:t>Ombudsman, including one</w:t>
      </w:r>
      <w:r w:rsidR="005736A3">
        <w:t xml:space="preserve"> deemed to have been made due to an expiry of time, can </w:t>
      </w:r>
      <w:r w:rsidR="00FA728B">
        <w:t>be appealed to ACAT.</w:t>
      </w:r>
      <w:r w:rsidR="005736A3">
        <w:t xml:space="preserve">  </w:t>
      </w:r>
      <w:r w:rsidR="00BB035B">
        <w:t xml:space="preserve">31MA provides clarity that the participants in any review at ACAT are the applicant and the principal officer responsible for the original release restraint determination, and not the </w:t>
      </w:r>
      <w:r w:rsidR="00483309">
        <w:t xml:space="preserve">ACT </w:t>
      </w:r>
      <w:r w:rsidR="00904999">
        <w:t>Ombudsman.</w:t>
      </w:r>
    </w:p>
    <w:p w14:paraId="6CADCF32" w14:textId="6B7508AE" w:rsidR="005F5697" w:rsidRDefault="005F5697" w:rsidP="00650C17">
      <w:pPr>
        <w:rPr>
          <w:b/>
          <w:bCs/>
        </w:rPr>
      </w:pPr>
      <w:r>
        <w:rPr>
          <w:b/>
          <w:bCs/>
        </w:rPr>
        <w:t>Clause 12 – Dictionary</w:t>
      </w:r>
    </w:p>
    <w:p w14:paraId="392E0EE9" w14:textId="46552EDC" w:rsidR="005F5697" w:rsidRDefault="005F5697" w:rsidP="00650C17">
      <w:r>
        <w:t>The dictionary</w:t>
      </w:r>
      <w:r w:rsidR="00C74E61">
        <w:t xml:space="preserve">’s note 2 is updated to include terms new terms drawn from the </w:t>
      </w:r>
      <w:r w:rsidR="00C74E61" w:rsidRPr="00C74E61">
        <w:rPr>
          <w:i/>
          <w:iCs/>
        </w:rPr>
        <w:t>Legislation Act</w:t>
      </w:r>
      <w:r w:rsidR="00C74E61">
        <w:t xml:space="preserve"> dictionary.</w:t>
      </w:r>
      <w:r>
        <w:t xml:space="preserve"> </w:t>
      </w:r>
    </w:p>
    <w:p w14:paraId="33591049" w14:textId="05DB9E3D" w:rsidR="00C74E61" w:rsidRDefault="0036689E" w:rsidP="00650C17">
      <w:r>
        <w:rPr>
          <w:b/>
          <w:bCs/>
        </w:rPr>
        <w:t>Schedule 1 – Consequential Amendments</w:t>
      </w:r>
    </w:p>
    <w:p w14:paraId="5149AE69" w14:textId="7E84DE6C" w:rsidR="0036689E" w:rsidRPr="0036689E" w:rsidRDefault="00956D71" w:rsidP="00650C17">
      <w:r>
        <w:t>N</w:t>
      </w:r>
      <w:r w:rsidR="0036689E">
        <w:t>ew section</w:t>
      </w:r>
      <w:r>
        <w:t>s</w:t>
      </w:r>
      <w:r w:rsidR="0036689E">
        <w:t xml:space="preserve"> 4C(da) </w:t>
      </w:r>
      <w:r>
        <w:t>and 5(3)(a)(iii) are</w:t>
      </w:r>
      <w:r w:rsidR="0036689E">
        <w:t xml:space="preserve"> added to reflect the new role given to the ACT Ombudsman under the </w:t>
      </w:r>
      <w:r w:rsidR="0036689E" w:rsidRPr="00956D71">
        <w:rPr>
          <w:i/>
          <w:iCs/>
        </w:rPr>
        <w:t>Territory Records Act 2002</w:t>
      </w:r>
      <w:r>
        <w:t>.</w:t>
      </w:r>
    </w:p>
    <w:sectPr w:rsidR="0036689E" w:rsidRPr="003668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684B9" w14:textId="77777777" w:rsidR="00083551" w:rsidRDefault="00083551" w:rsidP="00FB4927">
      <w:pPr>
        <w:spacing w:after="0" w:line="240" w:lineRule="auto"/>
      </w:pPr>
      <w:r>
        <w:separator/>
      </w:r>
    </w:p>
  </w:endnote>
  <w:endnote w:type="continuationSeparator" w:id="0">
    <w:p w14:paraId="550B6D3B" w14:textId="77777777" w:rsidR="00083551" w:rsidRDefault="00083551" w:rsidP="00FB4927">
      <w:pPr>
        <w:spacing w:after="0" w:line="240" w:lineRule="auto"/>
      </w:pPr>
      <w:r>
        <w:continuationSeparator/>
      </w:r>
    </w:p>
  </w:endnote>
  <w:endnote w:type="continuationNotice" w:id="1">
    <w:p w14:paraId="328DB2A8" w14:textId="77777777" w:rsidR="00083551" w:rsidRDefault="000835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53F91" w14:textId="77777777" w:rsidR="00FB4927" w:rsidRDefault="00FB49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235E" w14:textId="4DA0CF88" w:rsidR="00FB4927" w:rsidRPr="00E33430" w:rsidRDefault="00E33430" w:rsidP="00E33430">
    <w:pPr>
      <w:pStyle w:val="Footer"/>
      <w:jc w:val="center"/>
      <w:rPr>
        <w:rFonts w:ascii="Arial" w:hAnsi="Arial" w:cs="Arial"/>
        <w:sz w:val="14"/>
      </w:rPr>
    </w:pPr>
    <w:r w:rsidRPr="00E3343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BEDF" w14:textId="77777777" w:rsidR="00FB4927" w:rsidRDefault="00FB49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C399D" w14:textId="77777777" w:rsidR="00083551" w:rsidRDefault="00083551" w:rsidP="00FB4927">
      <w:pPr>
        <w:spacing w:after="0" w:line="240" w:lineRule="auto"/>
      </w:pPr>
      <w:r>
        <w:separator/>
      </w:r>
    </w:p>
  </w:footnote>
  <w:footnote w:type="continuationSeparator" w:id="0">
    <w:p w14:paraId="46EC0B3C" w14:textId="77777777" w:rsidR="00083551" w:rsidRDefault="00083551" w:rsidP="00FB4927">
      <w:pPr>
        <w:spacing w:after="0" w:line="240" w:lineRule="auto"/>
      </w:pPr>
      <w:r>
        <w:continuationSeparator/>
      </w:r>
    </w:p>
  </w:footnote>
  <w:footnote w:type="continuationNotice" w:id="1">
    <w:p w14:paraId="55C8BB89" w14:textId="77777777" w:rsidR="00083551" w:rsidRDefault="00083551">
      <w:pPr>
        <w:spacing w:after="0" w:line="240" w:lineRule="auto"/>
      </w:pPr>
    </w:p>
  </w:footnote>
  <w:footnote w:id="2">
    <w:p w14:paraId="4EA32AF6" w14:textId="53F41C6E" w:rsidR="00641F42" w:rsidRDefault="00641F4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C13DB7">
          <w:rPr>
            <w:rStyle w:val="Hyperlink"/>
          </w:rPr>
          <w:t>https://www.legislation.act.gov.au/ed/db_72347/</w:t>
        </w:r>
      </w:hyperlink>
      <w:r>
        <w:t xml:space="preserve"> </w:t>
      </w:r>
    </w:p>
  </w:footnote>
  <w:footnote w:id="3">
    <w:p w14:paraId="28193B50" w14:textId="44F2D293" w:rsidR="00B62588" w:rsidRDefault="00B6258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C13DB7">
          <w:rPr>
            <w:rStyle w:val="Hyperlink"/>
          </w:rPr>
          <w:t>https://www.hrc.act.gov.au/__data/assets/pdf_file/0010/2844442/Advice-to-Andrew-Braddock-MLA_Territory-Records-Executive-Records-Amendment-Bill-2025.pdf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4E40" w14:textId="77777777" w:rsidR="00FB4927" w:rsidRDefault="00FB49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B4998" w14:textId="0CA9A89E" w:rsidR="00FB4927" w:rsidRDefault="00FB49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FA10" w14:textId="77777777" w:rsidR="00FB4927" w:rsidRDefault="00FB49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B43D6"/>
    <w:multiLevelType w:val="hybridMultilevel"/>
    <w:tmpl w:val="6A5A5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32A0A"/>
    <w:multiLevelType w:val="hybridMultilevel"/>
    <w:tmpl w:val="0F62A5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969832">
    <w:abstractNumId w:val="1"/>
  </w:num>
  <w:num w:numId="2" w16cid:durableId="763234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30"/>
    <w:rsid w:val="00007081"/>
    <w:rsid w:val="0000785D"/>
    <w:rsid w:val="000149CA"/>
    <w:rsid w:val="00016786"/>
    <w:rsid w:val="000241A4"/>
    <w:rsid w:val="00030104"/>
    <w:rsid w:val="00030D52"/>
    <w:rsid w:val="00032470"/>
    <w:rsid w:val="00041834"/>
    <w:rsid w:val="00042221"/>
    <w:rsid w:val="0004278E"/>
    <w:rsid w:val="00043DD9"/>
    <w:rsid w:val="000442E2"/>
    <w:rsid w:val="0004450D"/>
    <w:rsid w:val="000517CD"/>
    <w:rsid w:val="000609E8"/>
    <w:rsid w:val="000642C4"/>
    <w:rsid w:val="00065E60"/>
    <w:rsid w:val="00072070"/>
    <w:rsid w:val="00072FAE"/>
    <w:rsid w:val="000778C8"/>
    <w:rsid w:val="00083551"/>
    <w:rsid w:val="000865B5"/>
    <w:rsid w:val="00087C1C"/>
    <w:rsid w:val="0009465C"/>
    <w:rsid w:val="0009790B"/>
    <w:rsid w:val="00097B58"/>
    <w:rsid w:val="000A691C"/>
    <w:rsid w:val="000B0F09"/>
    <w:rsid w:val="000B59C6"/>
    <w:rsid w:val="000C3226"/>
    <w:rsid w:val="000C64BC"/>
    <w:rsid w:val="000C6B3F"/>
    <w:rsid w:val="000D163C"/>
    <w:rsid w:val="000D25E7"/>
    <w:rsid w:val="000E1AEF"/>
    <w:rsid w:val="000F0879"/>
    <w:rsid w:val="000F36EA"/>
    <w:rsid w:val="000F5745"/>
    <w:rsid w:val="000F57A1"/>
    <w:rsid w:val="00101F93"/>
    <w:rsid w:val="001033F8"/>
    <w:rsid w:val="00106BEF"/>
    <w:rsid w:val="00111F31"/>
    <w:rsid w:val="00114CC4"/>
    <w:rsid w:val="00122FB0"/>
    <w:rsid w:val="00124D01"/>
    <w:rsid w:val="00126878"/>
    <w:rsid w:val="00131A64"/>
    <w:rsid w:val="00132248"/>
    <w:rsid w:val="001420BF"/>
    <w:rsid w:val="00143E44"/>
    <w:rsid w:val="00144642"/>
    <w:rsid w:val="00147E6B"/>
    <w:rsid w:val="001555BC"/>
    <w:rsid w:val="00155B25"/>
    <w:rsid w:val="00160906"/>
    <w:rsid w:val="00166A61"/>
    <w:rsid w:val="00166E6F"/>
    <w:rsid w:val="00171BA1"/>
    <w:rsid w:val="00172306"/>
    <w:rsid w:val="00172C8C"/>
    <w:rsid w:val="00176A72"/>
    <w:rsid w:val="001859AF"/>
    <w:rsid w:val="00192CEB"/>
    <w:rsid w:val="001A0C36"/>
    <w:rsid w:val="001A328D"/>
    <w:rsid w:val="001B06FE"/>
    <w:rsid w:val="001C00BB"/>
    <w:rsid w:val="001C335A"/>
    <w:rsid w:val="001C519E"/>
    <w:rsid w:val="001D03C1"/>
    <w:rsid w:val="001D29CE"/>
    <w:rsid w:val="001D62D5"/>
    <w:rsid w:val="001D66A5"/>
    <w:rsid w:val="001F0231"/>
    <w:rsid w:val="001F0E94"/>
    <w:rsid w:val="001F283C"/>
    <w:rsid w:val="001F4944"/>
    <w:rsid w:val="001F4AD2"/>
    <w:rsid w:val="0021127B"/>
    <w:rsid w:val="00212923"/>
    <w:rsid w:val="002342A7"/>
    <w:rsid w:val="0024509C"/>
    <w:rsid w:val="00246429"/>
    <w:rsid w:val="00247B61"/>
    <w:rsid w:val="00250D8B"/>
    <w:rsid w:val="00254579"/>
    <w:rsid w:val="00256A31"/>
    <w:rsid w:val="00262D5D"/>
    <w:rsid w:val="00264CD3"/>
    <w:rsid w:val="00264E09"/>
    <w:rsid w:val="0028130F"/>
    <w:rsid w:val="002823FD"/>
    <w:rsid w:val="00286044"/>
    <w:rsid w:val="00290081"/>
    <w:rsid w:val="00290317"/>
    <w:rsid w:val="002A49B5"/>
    <w:rsid w:val="002A598F"/>
    <w:rsid w:val="002B17B7"/>
    <w:rsid w:val="002B2140"/>
    <w:rsid w:val="002B270C"/>
    <w:rsid w:val="002B60F5"/>
    <w:rsid w:val="002B6D7B"/>
    <w:rsid w:val="002C3DAE"/>
    <w:rsid w:val="002D0BE1"/>
    <w:rsid w:val="002D19EC"/>
    <w:rsid w:val="002D5847"/>
    <w:rsid w:val="002E1006"/>
    <w:rsid w:val="002F04D1"/>
    <w:rsid w:val="002F1272"/>
    <w:rsid w:val="002F1FA8"/>
    <w:rsid w:val="002F4E42"/>
    <w:rsid w:val="002F5A27"/>
    <w:rsid w:val="00300C61"/>
    <w:rsid w:val="0030533B"/>
    <w:rsid w:val="00305850"/>
    <w:rsid w:val="00313A32"/>
    <w:rsid w:val="00317F17"/>
    <w:rsid w:val="0032388B"/>
    <w:rsid w:val="00325C87"/>
    <w:rsid w:val="003304EA"/>
    <w:rsid w:val="003317AF"/>
    <w:rsid w:val="00333A79"/>
    <w:rsid w:val="003365A2"/>
    <w:rsid w:val="00337E1E"/>
    <w:rsid w:val="00350938"/>
    <w:rsid w:val="003551A0"/>
    <w:rsid w:val="003555B4"/>
    <w:rsid w:val="00361063"/>
    <w:rsid w:val="0036689E"/>
    <w:rsid w:val="00371607"/>
    <w:rsid w:val="003716DB"/>
    <w:rsid w:val="003749DF"/>
    <w:rsid w:val="003778BC"/>
    <w:rsid w:val="0038138C"/>
    <w:rsid w:val="00381739"/>
    <w:rsid w:val="003901D2"/>
    <w:rsid w:val="0039101C"/>
    <w:rsid w:val="003A0586"/>
    <w:rsid w:val="003A1D5D"/>
    <w:rsid w:val="003A48D3"/>
    <w:rsid w:val="003A4FC1"/>
    <w:rsid w:val="003B2E9C"/>
    <w:rsid w:val="003C3CBD"/>
    <w:rsid w:val="003D1747"/>
    <w:rsid w:val="003D1862"/>
    <w:rsid w:val="003D39DB"/>
    <w:rsid w:val="003E2323"/>
    <w:rsid w:val="003E2A53"/>
    <w:rsid w:val="003E7BF1"/>
    <w:rsid w:val="003F1F23"/>
    <w:rsid w:val="003F341D"/>
    <w:rsid w:val="004005E4"/>
    <w:rsid w:val="00401619"/>
    <w:rsid w:val="00401FDC"/>
    <w:rsid w:val="00403A68"/>
    <w:rsid w:val="004056B7"/>
    <w:rsid w:val="00405892"/>
    <w:rsid w:val="00407796"/>
    <w:rsid w:val="00407821"/>
    <w:rsid w:val="00414531"/>
    <w:rsid w:val="0043108A"/>
    <w:rsid w:val="00442009"/>
    <w:rsid w:val="00444138"/>
    <w:rsid w:val="00455BC6"/>
    <w:rsid w:val="0045620B"/>
    <w:rsid w:val="004670E2"/>
    <w:rsid w:val="00474674"/>
    <w:rsid w:val="00475102"/>
    <w:rsid w:val="004755B4"/>
    <w:rsid w:val="0047612D"/>
    <w:rsid w:val="00483309"/>
    <w:rsid w:val="0048368C"/>
    <w:rsid w:val="004857E2"/>
    <w:rsid w:val="00485F8C"/>
    <w:rsid w:val="00491C34"/>
    <w:rsid w:val="0049242D"/>
    <w:rsid w:val="00492F5B"/>
    <w:rsid w:val="00493653"/>
    <w:rsid w:val="00496ECC"/>
    <w:rsid w:val="004A4E4E"/>
    <w:rsid w:val="004B2D60"/>
    <w:rsid w:val="004B525B"/>
    <w:rsid w:val="004B65CF"/>
    <w:rsid w:val="004C005F"/>
    <w:rsid w:val="004C06C9"/>
    <w:rsid w:val="004D0CD9"/>
    <w:rsid w:val="004D3EA3"/>
    <w:rsid w:val="004D54F0"/>
    <w:rsid w:val="004E795B"/>
    <w:rsid w:val="004E7AEC"/>
    <w:rsid w:val="004F6B24"/>
    <w:rsid w:val="00500288"/>
    <w:rsid w:val="005023D7"/>
    <w:rsid w:val="00502FA0"/>
    <w:rsid w:val="00505873"/>
    <w:rsid w:val="00510895"/>
    <w:rsid w:val="0051278B"/>
    <w:rsid w:val="00527598"/>
    <w:rsid w:val="00537336"/>
    <w:rsid w:val="005376CE"/>
    <w:rsid w:val="005404A8"/>
    <w:rsid w:val="00541D87"/>
    <w:rsid w:val="00544002"/>
    <w:rsid w:val="00546F4D"/>
    <w:rsid w:val="00547248"/>
    <w:rsid w:val="0055427F"/>
    <w:rsid w:val="005553C4"/>
    <w:rsid w:val="00561A59"/>
    <w:rsid w:val="00565B40"/>
    <w:rsid w:val="005736A3"/>
    <w:rsid w:val="005768E1"/>
    <w:rsid w:val="00580872"/>
    <w:rsid w:val="00590A91"/>
    <w:rsid w:val="005A22FD"/>
    <w:rsid w:val="005B18F3"/>
    <w:rsid w:val="005D07A5"/>
    <w:rsid w:val="005D1EDB"/>
    <w:rsid w:val="005D350F"/>
    <w:rsid w:val="005D66AC"/>
    <w:rsid w:val="005E062D"/>
    <w:rsid w:val="005E0D4B"/>
    <w:rsid w:val="005E19E3"/>
    <w:rsid w:val="005E1F0C"/>
    <w:rsid w:val="005E249A"/>
    <w:rsid w:val="005E3063"/>
    <w:rsid w:val="005E46D7"/>
    <w:rsid w:val="005E4A82"/>
    <w:rsid w:val="005F4D15"/>
    <w:rsid w:val="005F5697"/>
    <w:rsid w:val="005F6D5D"/>
    <w:rsid w:val="0060100B"/>
    <w:rsid w:val="0060286C"/>
    <w:rsid w:val="00605E8D"/>
    <w:rsid w:val="00606C94"/>
    <w:rsid w:val="00607FF3"/>
    <w:rsid w:val="006128EE"/>
    <w:rsid w:val="00617C39"/>
    <w:rsid w:val="00641F42"/>
    <w:rsid w:val="00650C17"/>
    <w:rsid w:val="00657BC2"/>
    <w:rsid w:val="006603BF"/>
    <w:rsid w:val="00664FE8"/>
    <w:rsid w:val="006722A3"/>
    <w:rsid w:val="00672848"/>
    <w:rsid w:val="0067683B"/>
    <w:rsid w:val="006769FF"/>
    <w:rsid w:val="006846CD"/>
    <w:rsid w:val="00685743"/>
    <w:rsid w:val="006939C0"/>
    <w:rsid w:val="00694B27"/>
    <w:rsid w:val="00694DB4"/>
    <w:rsid w:val="00695C53"/>
    <w:rsid w:val="006A31EB"/>
    <w:rsid w:val="006A6129"/>
    <w:rsid w:val="006A61BF"/>
    <w:rsid w:val="006B0375"/>
    <w:rsid w:val="006B33C7"/>
    <w:rsid w:val="006B3CFD"/>
    <w:rsid w:val="006B6587"/>
    <w:rsid w:val="006C17FA"/>
    <w:rsid w:val="006C65BE"/>
    <w:rsid w:val="006D313D"/>
    <w:rsid w:val="006D40D7"/>
    <w:rsid w:val="006E46A7"/>
    <w:rsid w:val="006E7973"/>
    <w:rsid w:val="006F30B2"/>
    <w:rsid w:val="00703A4E"/>
    <w:rsid w:val="00721600"/>
    <w:rsid w:val="00726486"/>
    <w:rsid w:val="0074356E"/>
    <w:rsid w:val="00744D15"/>
    <w:rsid w:val="00750593"/>
    <w:rsid w:val="0075634A"/>
    <w:rsid w:val="007570A9"/>
    <w:rsid w:val="00763108"/>
    <w:rsid w:val="0076422F"/>
    <w:rsid w:val="00767E2B"/>
    <w:rsid w:val="007713F9"/>
    <w:rsid w:val="0077364F"/>
    <w:rsid w:val="00774CFA"/>
    <w:rsid w:val="00776B55"/>
    <w:rsid w:val="007812BD"/>
    <w:rsid w:val="007823BE"/>
    <w:rsid w:val="00783312"/>
    <w:rsid w:val="0078465C"/>
    <w:rsid w:val="00786621"/>
    <w:rsid w:val="0079044F"/>
    <w:rsid w:val="00792FD0"/>
    <w:rsid w:val="0079448E"/>
    <w:rsid w:val="00795A10"/>
    <w:rsid w:val="00797CAE"/>
    <w:rsid w:val="007A00EC"/>
    <w:rsid w:val="007A1FCE"/>
    <w:rsid w:val="007A293D"/>
    <w:rsid w:val="007B477A"/>
    <w:rsid w:val="007B4C70"/>
    <w:rsid w:val="007D3307"/>
    <w:rsid w:val="007E224A"/>
    <w:rsid w:val="007E526B"/>
    <w:rsid w:val="007E7D9E"/>
    <w:rsid w:val="007F14A8"/>
    <w:rsid w:val="007F5A39"/>
    <w:rsid w:val="007F7EB5"/>
    <w:rsid w:val="0080042D"/>
    <w:rsid w:val="0081279D"/>
    <w:rsid w:val="00814908"/>
    <w:rsid w:val="00822877"/>
    <w:rsid w:val="00824EB5"/>
    <w:rsid w:val="00825739"/>
    <w:rsid w:val="0082578F"/>
    <w:rsid w:val="00834C7D"/>
    <w:rsid w:val="00845038"/>
    <w:rsid w:val="008458EF"/>
    <w:rsid w:val="008535FE"/>
    <w:rsid w:val="008545C3"/>
    <w:rsid w:val="0085478A"/>
    <w:rsid w:val="00855C1B"/>
    <w:rsid w:val="008573D4"/>
    <w:rsid w:val="0086053A"/>
    <w:rsid w:val="008632B1"/>
    <w:rsid w:val="00876B02"/>
    <w:rsid w:val="00881114"/>
    <w:rsid w:val="008813BA"/>
    <w:rsid w:val="00882FFE"/>
    <w:rsid w:val="0088502F"/>
    <w:rsid w:val="00885310"/>
    <w:rsid w:val="00895F0F"/>
    <w:rsid w:val="008961B5"/>
    <w:rsid w:val="008A2AE5"/>
    <w:rsid w:val="008B15D2"/>
    <w:rsid w:val="008C20DE"/>
    <w:rsid w:val="008C407B"/>
    <w:rsid w:val="008C54AB"/>
    <w:rsid w:val="008D0E89"/>
    <w:rsid w:val="008D13C3"/>
    <w:rsid w:val="008D43F9"/>
    <w:rsid w:val="008E1B87"/>
    <w:rsid w:val="008E2530"/>
    <w:rsid w:val="008F0625"/>
    <w:rsid w:val="008F2FEB"/>
    <w:rsid w:val="008F382C"/>
    <w:rsid w:val="008F3DA5"/>
    <w:rsid w:val="008F3DD4"/>
    <w:rsid w:val="008F5832"/>
    <w:rsid w:val="00900DE2"/>
    <w:rsid w:val="00902EBC"/>
    <w:rsid w:val="00903B43"/>
    <w:rsid w:val="00903DB6"/>
    <w:rsid w:val="00904999"/>
    <w:rsid w:val="009117F6"/>
    <w:rsid w:val="0092547D"/>
    <w:rsid w:val="009254B9"/>
    <w:rsid w:val="009319A6"/>
    <w:rsid w:val="00937436"/>
    <w:rsid w:val="00947090"/>
    <w:rsid w:val="00947229"/>
    <w:rsid w:val="00951EC0"/>
    <w:rsid w:val="00952146"/>
    <w:rsid w:val="009532A3"/>
    <w:rsid w:val="0095650F"/>
    <w:rsid w:val="00956D71"/>
    <w:rsid w:val="00957419"/>
    <w:rsid w:val="009603EB"/>
    <w:rsid w:val="0096041D"/>
    <w:rsid w:val="00962F85"/>
    <w:rsid w:val="009633ED"/>
    <w:rsid w:val="00976C19"/>
    <w:rsid w:val="009861AA"/>
    <w:rsid w:val="009B0B16"/>
    <w:rsid w:val="009B359C"/>
    <w:rsid w:val="009B3FB8"/>
    <w:rsid w:val="009B5225"/>
    <w:rsid w:val="009B631A"/>
    <w:rsid w:val="009C4709"/>
    <w:rsid w:val="009D468B"/>
    <w:rsid w:val="009E7504"/>
    <w:rsid w:val="009E7973"/>
    <w:rsid w:val="009F179F"/>
    <w:rsid w:val="009F251B"/>
    <w:rsid w:val="009F4184"/>
    <w:rsid w:val="009F5BF2"/>
    <w:rsid w:val="009F72EF"/>
    <w:rsid w:val="00A011BF"/>
    <w:rsid w:val="00A01AC8"/>
    <w:rsid w:val="00A03815"/>
    <w:rsid w:val="00A040D7"/>
    <w:rsid w:val="00A05611"/>
    <w:rsid w:val="00A068A0"/>
    <w:rsid w:val="00A06A6B"/>
    <w:rsid w:val="00A07ADB"/>
    <w:rsid w:val="00A11B62"/>
    <w:rsid w:val="00A21A92"/>
    <w:rsid w:val="00A22085"/>
    <w:rsid w:val="00A221F5"/>
    <w:rsid w:val="00A269D4"/>
    <w:rsid w:val="00A27029"/>
    <w:rsid w:val="00A3135D"/>
    <w:rsid w:val="00A324A4"/>
    <w:rsid w:val="00A328C7"/>
    <w:rsid w:val="00A4161A"/>
    <w:rsid w:val="00A519DE"/>
    <w:rsid w:val="00A52745"/>
    <w:rsid w:val="00A56DD5"/>
    <w:rsid w:val="00A611F3"/>
    <w:rsid w:val="00A7385B"/>
    <w:rsid w:val="00A7386B"/>
    <w:rsid w:val="00A743CD"/>
    <w:rsid w:val="00A7485C"/>
    <w:rsid w:val="00A77A30"/>
    <w:rsid w:val="00A93398"/>
    <w:rsid w:val="00A9510F"/>
    <w:rsid w:val="00A97A00"/>
    <w:rsid w:val="00AA6086"/>
    <w:rsid w:val="00AB04EF"/>
    <w:rsid w:val="00AD3348"/>
    <w:rsid w:val="00AD34C0"/>
    <w:rsid w:val="00AD5497"/>
    <w:rsid w:val="00AE46DB"/>
    <w:rsid w:val="00AE65B2"/>
    <w:rsid w:val="00AF0355"/>
    <w:rsid w:val="00AF7D59"/>
    <w:rsid w:val="00B00FA6"/>
    <w:rsid w:val="00B07612"/>
    <w:rsid w:val="00B10CB3"/>
    <w:rsid w:val="00B11705"/>
    <w:rsid w:val="00B126B9"/>
    <w:rsid w:val="00B13A7B"/>
    <w:rsid w:val="00B142CA"/>
    <w:rsid w:val="00B14C18"/>
    <w:rsid w:val="00B17B69"/>
    <w:rsid w:val="00B2090D"/>
    <w:rsid w:val="00B2177E"/>
    <w:rsid w:val="00B33321"/>
    <w:rsid w:val="00B36676"/>
    <w:rsid w:val="00B37D96"/>
    <w:rsid w:val="00B4370F"/>
    <w:rsid w:val="00B452C9"/>
    <w:rsid w:val="00B46C8A"/>
    <w:rsid w:val="00B51115"/>
    <w:rsid w:val="00B57B53"/>
    <w:rsid w:val="00B60AC5"/>
    <w:rsid w:val="00B61B25"/>
    <w:rsid w:val="00B62588"/>
    <w:rsid w:val="00B62DCB"/>
    <w:rsid w:val="00B643BB"/>
    <w:rsid w:val="00B65372"/>
    <w:rsid w:val="00B678A3"/>
    <w:rsid w:val="00B72CDC"/>
    <w:rsid w:val="00B83D4A"/>
    <w:rsid w:val="00B91CAE"/>
    <w:rsid w:val="00B94A1D"/>
    <w:rsid w:val="00BA1BBD"/>
    <w:rsid w:val="00BA265D"/>
    <w:rsid w:val="00BB035B"/>
    <w:rsid w:val="00BB0EC2"/>
    <w:rsid w:val="00BC081C"/>
    <w:rsid w:val="00BC0BE8"/>
    <w:rsid w:val="00BC22D8"/>
    <w:rsid w:val="00BC308B"/>
    <w:rsid w:val="00BE0D1C"/>
    <w:rsid w:val="00BE2363"/>
    <w:rsid w:val="00BE75C9"/>
    <w:rsid w:val="00C059B9"/>
    <w:rsid w:val="00C06E04"/>
    <w:rsid w:val="00C101A2"/>
    <w:rsid w:val="00C12C7E"/>
    <w:rsid w:val="00C23C47"/>
    <w:rsid w:val="00C27653"/>
    <w:rsid w:val="00C30EA2"/>
    <w:rsid w:val="00C319EB"/>
    <w:rsid w:val="00C41F00"/>
    <w:rsid w:val="00C4469F"/>
    <w:rsid w:val="00C457D6"/>
    <w:rsid w:val="00C516B7"/>
    <w:rsid w:val="00C5676C"/>
    <w:rsid w:val="00C74E61"/>
    <w:rsid w:val="00C9354C"/>
    <w:rsid w:val="00C93968"/>
    <w:rsid w:val="00C93998"/>
    <w:rsid w:val="00C93BF6"/>
    <w:rsid w:val="00CA0085"/>
    <w:rsid w:val="00CA2750"/>
    <w:rsid w:val="00CA4370"/>
    <w:rsid w:val="00CA579A"/>
    <w:rsid w:val="00CB0F72"/>
    <w:rsid w:val="00CB7C8A"/>
    <w:rsid w:val="00CC7519"/>
    <w:rsid w:val="00CD418A"/>
    <w:rsid w:val="00CE09B8"/>
    <w:rsid w:val="00CE1E17"/>
    <w:rsid w:val="00CE2292"/>
    <w:rsid w:val="00CE2CF6"/>
    <w:rsid w:val="00CE3D9A"/>
    <w:rsid w:val="00CE555F"/>
    <w:rsid w:val="00CF0850"/>
    <w:rsid w:val="00CF0F5C"/>
    <w:rsid w:val="00CF362A"/>
    <w:rsid w:val="00CF38FC"/>
    <w:rsid w:val="00CF3D17"/>
    <w:rsid w:val="00CF5FDB"/>
    <w:rsid w:val="00D16EA6"/>
    <w:rsid w:val="00D20EA6"/>
    <w:rsid w:val="00D24E9C"/>
    <w:rsid w:val="00D251A1"/>
    <w:rsid w:val="00D25729"/>
    <w:rsid w:val="00D317C2"/>
    <w:rsid w:val="00D33F3B"/>
    <w:rsid w:val="00D4036C"/>
    <w:rsid w:val="00D41E86"/>
    <w:rsid w:val="00D435C3"/>
    <w:rsid w:val="00D52F68"/>
    <w:rsid w:val="00D543CA"/>
    <w:rsid w:val="00D54B5A"/>
    <w:rsid w:val="00D61C4E"/>
    <w:rsid w:val="00D65D83"/>
    <w:rsid w:val="00D66FF1"/>
    <w:rsid w:val="00D70D41"/>
    <w:rsid w:val="00D719DF"/>
    <w:rsid w:val="00D74480"/>
    <w:rsid w:val="00D76098"/>
    <w:rsid w:val="00D83221"/>
    <w:rsid w:val="00D849F6"/>
    <w:rsid w:val="00D95931"/>
    <w:rsid w:val="00D95A51"/>
    <w:rsid w:val="00DA2372"/>
    <w:rsid w:val="00DA29F5"/>
    <w:rsid w:val="00DA3E6D"/>
    <w:rsid w:val="00DA489E"/>
    <w:rsid w:val="00DA4E34"/>
    <w:rsid w:val="00DB0AD6"/>
    <w:rsid w:val="00DB1297"/>
    <w:rsid w:val="00DB3916"/>
    <w:rsid w:val="00DB521D"/>
    <w:rsid w:val="00DB761B"/>
    <w:rsid w:val="00DC57F5"/>
    <w:rsid w:val="00DE21C0"/>
    <w:rsid w:val="00DF1C99"/>
    <w:rsid w:val="00E076D4"/>
    <w:rsid w:val="00E1115F"/>
    <w:rsid w:val="00E17B48"/>
    <w:rsid w:val="00E26C27"/>
    <w:rsid w:val="00E309D9"/>
    <w:rsid w:val="00E33430"/>
    <w:rsid w:val="00E3686D"/>
    <w:rsid w:val="00E41556"/>
    <w:rsid w:val="00E4345B"/>
    <w:rsid w:val="00E435F2"/>
    <w:rsid w:val="00E5037C"/>
    <w:rsid w:val="00E5313C"/>
    <w:rsid w:val="00E5493B"/>
    <w:rsid w:val="00E64EF7"/>
    <w:rsid w:val="00E6706F"/>
    <w:rsid w:val="00E73121"/>
    <w:rsid w:val="00E75770"/>
    <w:rsid w:val="00E806A2"/>
    <w:rsid w:val="00E82459"/>
    <w:rsid w:val="00E85A10"/>
    <w:rsid w:val="00E862D1"/>
    <w:rsid w:val="00E8649A"/>
    <w:rsid w:val="00E86C87"/>
    <w:rsid w:val="00E90EAC"/>
    <w:rsid w:val="00E9720F"/>
    <w:rsid w:val="00EA1409"/>
    <w:rsid w:val="00EA2208"/>
    <w:rsid w:val="00EA4F8D"/>
    <w:rsid w:val="00EB262B"/>
    <w:rsid w:val="00EB2EF2"/>
    <w:rsid w:val="00EC1955"/>
    <w:rsid w:val="00EC1F3C"/>
    <w:rsid w:val="00EC2FE8"/>
    <w:rsid w:val="00EC3D42"/>
    <w:rsid w:val="00EC40C7"/>
    <w:rsid w:val="00EC5E65"/>
    <w:rsid w:val="00EC5F73"/>
    <w:rsid w:val="00EC6D12"/>
    <w:rsid w:val="00EC74A1"/>
    <w:rsid w:val="00ED3EE5"/>
    <w:rsid w:val="00ED4315"/>
    <w:rsid w:val="00ED4CB3"/>
    <w:rsid w:val="00EE0EA4"/>
    <w:rsid w:val="00EF44E4"/>
    <w:rsid w:val="00EF645B"/>
    <w:rsid w:val="00EF697B"/>
    <w:rsid w:val="00F009D7"/>
    <w:rsid w:val="00F125F0"/>
    <w:rsid w:val="00F1321A"/>
    <w:rsid w:val="00F16FAE"/>
    <w:rsid w:val="00F20CEF"/>
    <w:rsid w:val="00F217F4"/>
    <w:rsid w:val="00F26D18"/>
    <w:rsid w:val="00F27ABB"/>
    <w:rsid w:val="00F33575"/>
    <w:rsid w:val="00F339FE"/>
    <w:rsid w:val="00F44969"/>
    <w:rsid w:val="00F464C7"/>
    <w:rsid w:val="00F57CFD"/>
    <w:rsid w:val="00F65C44"/>
    <w:rsid w:val="00F670D6"/>
    <w:rsid w:val="00F715B8"/>
    <w:rsid w:val="00F73233"/>
    <w:rsid w:val="00F767C2"/>
    <w:rsid w:val="00F837E8"/>
    <w:rsid w:val="00F8531E"/>
    <w:rsid w:val="00F87722"/>
    <w:rsid w:val="00FA0318"/>
    <w:rsid w:val="00FA13DA"/>
    <w:rsid w:val="00FA1602"/>
    <w:rsid w:val="00FA728B"/>
    <w:rsid w:val="00FB4927"/>
    <w:rsid w:val="00FB5A81"/>
    <w:rsid w:val="00FC2F01"/>
    <w:rsid w:val="00FC5D9D"/>
    <w:rsid w:val="00FC749D"/>
    <w:rsid w:val="00FD1CFB"/>
    <w:rsid w:val="00FD69D9"/>
    <w:rsid w:val="00FD6AA3"/>
    <w:rsid w:val="00FE148F"/>
    <w:rsid w:val="00FE2CD5"/>
    <w:rsid w:val="00FE34DC"/>
    <w:rsid w:val="00FE57F5"/>
    <w:rsid w:val="00FE73C4"/>
    <w:rsid w:val="00FF4DEB"/>
    <w:rsid w:val="00FF799A"/>
    <w:rsid w:val="0A234D24"/>
    <w:rsid w:val="18B4CF00"/>
    <w:rsid w:val="1BAAFAA8"/>
    <w:rsid w:val="1D6E9053"/>
    <w:rsid w:val="1ED9356B"/>
    <w:rsid w:val="2CA66620"/>
    <w:rsid w:val="2F09DECB"/>
    <w:rsid w:val="32157D2A"/>
    <w:rsid w:val="33298F7B"/>
    <w:rsid w:val="389842F1"/>
    <w:rsid w:val="399D2A9F"/>
    <w:rsid w:val="3A4892F2"/>
    <w:rsid w:val="3B723E86"/>
    <w:rsid w:val="3BDAEB81"/>
    <w:rsid w:val="3F19AEDC"/>
    <w:rsid w:val="40933479"/>
    <w:rsid w:val="491B7437"/>
    <w:rsid w:val="4AFB6182"/>
    <w:rsid w:val="51D20DEA"/>
    <w:rsid w:val="54172C8C"/>
    <w:rsid w:val="55C60D07"/>
    <w:rsid w:val="5D760249"/>
    <w:rsid w:val="60095CD2"/>
    <w:rsid w:val="691934CB"/>
    <w:rsid w:val="6ABABD10"/>
    <w:rsid w:val="6F8128D5"/>
    <w:rsid w:val="7249DA5F"/>
    <w:rsid w:val="7382D13E"/>
    <w:rsid w:val="7FA18754"/>
    <w:rsid w:val="7FF9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908692"/>
  <w15:chartTrackingRefBased/>
  <w15:docId w15:val="{405722E8-19FA-440A-829A-F96DA01A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17"/>
  </w:style>
  <w:style w:type="paragraph" w:styleId="Heading1">
    <w:name w:val="heading 1"/>
    <w:basedOn w:val="Normal"/>
    <w:next w:val="Normal"/>
    <w:link w:val="Heading1Char"/>
    <w:uiPriority w:val="9"/>
    <w:qFormat/>
    <w:rsid w:val="00A77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A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A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A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A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A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A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A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A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A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A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A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A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A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A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A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A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A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A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A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A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A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A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49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927"/>
  </w:style>
  <w:style w:type="paragraph" w:styleId="Footer">
    <w:name w:val="footer"/>
    <w:basedOn w:val="Normal"/>
    <w:link w:val="FooterChar"/>
    <w:uiPriority w:val="99"/>
    <w:unhideWhenUsed/>
    <w:rsid w:val="00FB49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927"/>
  </w:style>
  <w:style w:type="paragraph" w:styleId="FootnoteText">
    <w:name w:val="footnote text"/>
    <w:basedOn w:val="Normal"/>
    <w:link w:val="FootnoteTextChar"/>
    <w:uiPriority w:val="99"/>
    <w:semiHidden/>
    <w:unhideWhenUsed/>
    <w:rsid w:val="009B35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35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359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757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5770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11B6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F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F2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D431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hrc.act.gov.au/__data/assets/pdf_file/0010/2844442/Advice-to-Andrew-Braddock-MLA_Territory-Records-Executive-Records-Amendment-Bill-2025.pdf" TargetMode="External"/><Relationship Id="rId1" Type="http://schemas.openxmlformats.org/officeDocument/2006/relationships/hyperlink" Target="https://www.legislation.act.gov.au/ed/db_7234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77c74b-77b5-4c97-882d-eead2a707f23">
      <Terms xmlns="http://schemas.microsoft.com/office/infopath/2007/PartnerControls"/>
    </lcf76f155ced4ddcb4097134ff3c332f>
    <TaxCatchAll xmlns="616ae013-c81a-4123-829f-3af5763c278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50AB19D8A2541A827C2ACB192F326" ma:contentTypeVersion="18" ma:contentTypeDescription="Create a new document." ma:contentTypeScope="" ma:versionID="57a30c2f835ddf02382a4107e4550e65">
  <xsd:schema xmlns:xsd="http://www.w3.org/2001/XMLSchema" xmlns:xs="http://www.w3.org/2001/XMLSchema" xmlns:p="http://schemas.microsoft.com/office/2006/metadata/properties" xmlns:ns2="d477c74b-77b5-4c97-882d-eead2a707f23" xmlns:ns3="616ae013-c81a-4123-829f-3af5763c278b" targetNamespace="http://schemas.microsoft.com/office/2006/metadata/properties" ma:root="true" ma:fieldsID="ef28443cf7107644ecffd4b3e848f3b5" ns2:_="" ns3:_="">
    <xsd:import namespace="d477c74b-77b5-4c97-882d-eead2a707f23"/>
    <xsd:import namespace="616ae013-c81a-4123-829f-3af5763c2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7c74b-77b5-4c97-882d-eead2a707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ae013-c81a-4123-829f-3af5763c278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14cb1a5-55c0-4e5f-b536-3ecc419bdcde}" ma:internalName="TaxCatchAll" ma:showField="CatchAllData" ma:web="616ae013-c81a-4123-829f-3af5763c27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9168C7-ED48-4BE9-8B83-8ABD70BF9D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57F8C9-8D29-4D1B-8E35-5E25F69A2B6F}">
  <ds:schemaRefs>
    <ds:schemaRef ds:uri="http://schemas.microsoft.com/office/2006/metadata/properties"/>
    <ds:schemaRef ds:uri="http://schemas.microsoft.com/office/infopath/2007/PartnerControls"/>
    <ds:schemaRef ds:uri="d477c74b-77b5-4c97-882d-eead2a707f23"/>
    <ds:schemaRef ds:uri="616ae013-c81a-4123-829f-3af5763c278b"/>
  </ds:schemaRefs>
</ds:datastoreItem>
</file>

<file path=customXml/itemProps3.xml><?xml version="1.0" encoding="utf-8"?>
<ds:datastoreItem xmlns:ds="http://schemas.openxmlformats.org/officeDocument/2006/customXml" ds:itemID="{2BA066CB-CCB0-4651-A7AF-D161016F5A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1A82EB-D955-432A-B7EE-F9727E764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7c74b-77b5-4c97-882d-eead2a707f23"/>
    <ds:schemaRef ds:uri="616ae013-c81a-4123-829f-3af5763c2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2337</Words>
  <Characters>12721</Characters>
  <Application>Microsoft Office Word</Application>
  <DocSecurity>0</DocSecurity>
  <Lines>223</Lines>
  <Paragraphs>74</Paragraphs>
  <ScaleCrop>false</ScaleCrop>
  <Company/>
  <LinksUpToDate>false</LinksUpToDate>
  <CharactersWithSpaces>15055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5</cp:revision>
  <cp:lastPrinted>2025-06-18T19:10:00Z</cp:lastPrinted>
  <dcterms:created xsi:type="dcterms:W3CDTF">2025-06-25T23:27:00Z</dcterms:created>
  <dcterms:modified xsi:type="dcterms:W3CDTF">2025-06-25T23:27:00Z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0x01010016F50AB19D8A2541A827C2ACB192F326</vt:lpwstr>
  </property>
  <property fmtid="{D5CDD505-2E9C-101B-9397-08002B2CF9AE}" pid="3" name="MediaServiceImageTags">
    <vt:lpwstr/>
  </property>
  <property fmtid="{D5CDD505-2E9C-101B-9397-08002B2CF9AE}" pid="4" name="MSIP_Label_69af8531-eb46-4968-8cb3-105d2f5ea87e_Enabled">
    <vt:lpwstr>true</vt:lpwstr>
  </property>
  <property fmtid="{D5CDD505-2E9C-101B-9397-08002B2CF9AE}" pid="5" name="MSIP_Label_69af8531-eb46-4968-8cb3-105d2f5ea87e_SetDate">
    <vt:lpwstr>2025-06-25T23:27:46Z</vt:lpwstr>
  </property>
  <property fmtid="{D5CDD505-2E9C-101B-9397-08002B2CF9AE}" pid="6" name="MSIP_Label_69af8531-eb46-4968-8cb3-105d2f5ea87e_Method">
    <vt:lpwstr>Standard</vt:lpwstr>
  </property>
  <property fmtid="{D5CDD505-2E9C-101B-9397-08002B2CF9AE}" pid="7" name="MSIP_Label_69af8531-eb46-4968-8cb3-105d2f5ea87e_Name">
    <vt:lpwstr>Official - No Marking</vt:lpwstr>
  </property>
  <property fmtid="{D5CDD505-2E9C-101B-9397-08002B2CF9AE}" pid="8" name="MSIP_Label_69af8531-eb46-4968-8cb3-105d2f5ea87e_SiteId">
    <vt:lpwstr>b46c1908-0334-4236-b978-585ee88e4199</vt:lpwstr>
  </property>
  <property fmtid="{D5CDD505-2E9C-101B-9397-08002B2CF9AE}" pid="9" name="MSIP_Label_69af8531-eb46-4968-8cb3-105d2f5ea87e_ActionId">
    <vt:lpwstr>9c8d9ca7-490e-44a5-8388-741c9baeb47a</vt:lpwstr>
  </property>
  <property fmtid="{D5CDD505-2E9C-101B-9397-08002B2CF9AE}" pid="10" name="MSIP_Label_69af8531-eb46-4968-8cb3-105d2f5ea87e_ContentBits">
    <vt:lpwstr>0</vt:lpwstr>
  </property>
  <property fmtid="{D5CDD505-2E9C-101B-9397-08002B2CF9AE}" pid="11" name="MSIP_Label_69af8531-eb46-4968-8cb3-105d2f5ea87e_Tag">
    <vt:lpwstr>10, 3, 0, 1</vt:lpwstr>
  </property>
</Properties>
</file>