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4939AF72" w:rsidR="00C17FAB" w:rsidRDefault="008871AF">
      <w:pPr>
        <w:pStyle w:val="Billname"/>
        <w:spacing w:before="700"/>
      </w:pPr>
      <w:bookmarkStart w:id="1" w:name="_Hlk84336450"/>
      <w:r>
        <w:t>Motor Accident Injuries</w:t>
      </w:r>
      <w:r w:rsidR="00FD75CE">
        <w:t xml:space="preserve"> (</w:t>
      </w:r>
      <w:r w:rsidR="00B72B51">
        <w:t>Defined Benefit</w:t>
      </w:r>
      <w:r w:rsidR="008772D2">
        <w:t>s</w:t>
      </w:r>
      <w:r w:rsidR="00B72B51">
        <w:t xml:space="preserve"> Application</w:t>
      </w:r>
      <w:r w:rsidR="00FD75CE">
        <w:t xml:space="preserve">) </w:t>
      </w:r>
      <w:r>
        <w:t>Guidelines</w:t>
      </w:r>
      <w:r w:rsidR="00FD75CE">
        <w:t xml:space="preserve"> </w:t>
      </w:r>
      <w:r>
        <w:t>20</w:t>
      </w:r>
      <w:r w:rsidR="00E731BF">
        <w:t>2</w:t>
      </w:r>
      <w:r w:rsidR="00803B62">
        <w:t>5</w:t>
      </w:r>
      <w:r w:rsidR="00FD75CE">
        <w:t xml:space="preserve"> </w:t>
      </w:r>
    </w:p>
    <w:p w14:paraId="1BB58125" w14:textId="591C5C20"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w:t>
      </w:r>
      <w:bookmarkEnd w:id="1"/>
      <w:r w:rsidR="00803B62">
        <w:rPr>
          <w:rFonts w:ascii="Arial" w:hAnsi="Arial" w:cs="Arial"/>
          <w:b/>
          <w:bCs/>
        </w:rPr>
        <w:t>5</w:t>
      </w:r>
      <w:r w:rsidR="00D35089">
        <w:rPr>
          <w:rFonts w:ascii="Arial" w:hAnsi="Arial" w:cs="Arial"/>
          <w:b/>
          <w:bCs/>
        </w:rPr>
        <w:t>-</w:t>
      </w:r>
      <w:r w:rsidR="00D77E9D">
        <w:rPr>
          <w:rFonts w:ascii="Arial" w:hAnsi="Arial" w:cs="Arial"/>
          <w:b/>
          <w:bCs/>
        </w:rPr>
        <w:t>159</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4AF20DF7" w:rsidR="00EA7E10" w:rsidRPr="00FA5A57"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7CFBEC30" w14:textId="77777777" w:rsidR="004C7090" w:rsidRDefault="004C7090" w:rsidP="004C7090">
      <w:pPr>
        <w:rPr>
          <w:rFonts w:cs="Arial"/>
          <w:szCs w:val="24"/>
        </w:rPr>
      </w:pPr>
    </w:p>
    <w:p w14:paraId="24C92B37" w14:textId="05F0C9C8" w:rsidR="004C7090" w:rsidRPr="004C7090" w:rsidRDefault="004C7090" w:rsidP="004C7090">
      <w:pPr>
        <w:rPr>
          <w:rFonts w:asciiTheme="minorHAnsi" w:hAnsiTheme="minorHAnsi" w:cstheme="minorHAnsi"/>
          <w:szCs w:val="24"/>
        </w:rPr>
      </w:pPr>
      <w:r w:rsidRPr="004C7090">
        <w:rPr>
          <w:rFonts w:asciiTheme="minorHAnsi" w:hAnsiTheme="minorHAnsi" w:cstheme="minorHAnsi"/>
          <w:szCs w:val="24"/>
        </w:rPr>
        <w:t xml:space="preserve">The guidelines </w:t>
      </w:r>
      <w:r w:rsidR="00803B62">
        <w:rPr>
          <w:rFonts w:asciiTheme="minorHAnsi" w:hAnsiTheme="minorHAnsi" w:cstheme="minorHAnsi"/>
          <w:szCs w:val="24"/>
        </w:rPr>
        <w:t>set out requirements for</w:t>
      </w:r>
      <w:r w:rsidRPr="004C7090">
        <w:rPr>
          <w:rFonts w:asciiTheme="minorHAnsi" w:hAnsiTheme="minorHAnsi" w:cstheme="minorHAnsi"/>
          <w:szCs w:val="24"/>
        </w:rPr>
        <w:t xml:space="preserve"> making and handling applications for defined benefits under part</w:t>
      </w:r>
      <w:r w:rsidR="007913AB">
        <w:rPr>
          <w:rFonts w:asciiTheme="minorHAnsi" w:hAnsiTheme="minorHAnsi" w:cstheme="minorHAnsi"/>
          <w:szCs w:val="24"/>
        </w:rPr>
        <w:t>s</w:t>
      </w:r>
      <w:r w:rsidRPr="004C7090">
        <w:rPr>
          <w:rFonts w:asciiTheme="minorHAnsi" w:hAnsiTheme="minorHAnsi" w:cstheme="minorHAnsi"/>
          <w:szCs w:val="24"/>
        </w:rPr>
        <w:t xml:space="preserve"> 2.3, 2.7 and 2.8 of the MAI Act. This includes guidelines about an insurer providing information and support to applicants for defined benefits, accepting applications and administering payments for treatment and care, income replacement and funeral and death benefits.</w:t>
      </w:r>
    </w:p>
    <w:p w14:paraId="374DDC33" w14:textId="41055B62" w:rsidR="0019501B" w:rsidRPr="00FA5A57" w:rsidRDefault="0019501B" w:rsidP="00EA7E10">
      <w:pPr>
        <w:rPr>
          <w:rFonts w:asciiTheme="minorHAnsi" w:hAnsiTheme="minorHAnsi" w:cstheme="minorHAnsi"/>
          <w:szCs w:val="24"/>
        </w:rPr>
      </w:pPr>
    </w:p>
    <w:p w14:paraId="1A9840DA" w14:textId="1F91FBD0" w:rsidR="00803B62" w:rsidRDefault="00654267" w:rsidP="007F7BCC">
      <w:pPr>
        <w:pStyle w:val="BodyText"/>
        <w:spacing w:before="1"/>
        <w:ind w:right="420"/>
        <w:rPr>
          <w:rFonts w:asciiTheme="minorHAnsi" w:hAnsiTheme="minorHAnsi" w:cstheme="minorHAnsi"/>
        </w:rPr>
      </w:pPr>
      <w:r w:rsidRPr="00FA5A57">
        <w:rPr>
          <w:rFonts w:asciiTheme="minorHAnsi" w:hAnsiTheme="minorHAnsi" w:cstheme="minorHAnsi"/>
        </w:rPr>
        <w:t>The</w:t>
      </w:r>
      <w:r w:rsidR="00E16B90">
        <w:rPr>
          <w:rFonts w:asciiTheme="minorHAnsi" w:hAnsiTheme="minorHAnsi" w:cstheme="minorHAnsi"/>
        </w:rPr>
        <w:t xml:space="preserve"> </w:t>
      </w:r>
      <w:r w:rsidR="0002279D">
        <w:rPr>
          <w:rFonts w:asciiTheme="minorHAnsi" w:hAnsiTheme="minorHAnsi" w:cstheme="minorHAnsi"/>
        </w:rPr>
        <w:t>preamble to the guidelines has been updated to clarify that the guidelines are a legislative requirement.</w:t>
      </w:r>
      <w:r w:rsidR="00142974">
        <w:rPr>
          <w:rFonts w:asciiTheme="minorHAnsi" w:hAnsiTheme="minorHAnsi" w:cstheme="minorHAnsi"/>
        </w:rPr>
        <w:t xml:space="preserve">  The guidelines have also been updated to </w:t>
      </w:r>
      <w:r w:rsidR="00BE1611">
        <w:rPr>
          <w:rFonts w:asciiTheme="minorHAnsi" w:hAnsiTheme="minorHAnsi" w:cstheme="minorHAnsi"/>
        </w:rPr>
        <w:t>provid</w:t>
      </w:r>
      <w:r w:rsidR="00142974">
        <w:rPr>
          <w:rFonts w:asciiTheme="minorHAnsi" w:hAnsiTheme="minorHAnsi" w:cstheme="minorHAnsi"/>
        </w:rPr>
        <w:t>e consistency with application form requirements</w:t>
      </w:r>
      <w:r w:rsidR="00F52D59">
        <w:rPr>
          <w:rFonts w:asciiTheme="minorHAnsi" w:hAnsiTheme="minorHAnsi" w:cstheme="minorHAnsi"/>
        </w:rPr>
        <w:t>, including consents, authorisations and declarations.</w:t>
      </w:r>
    </w:p>
    <w:p w14:paraId="652C22CE" w14:textId="444E2BBD" w:rsidR="007F7BCC" w:rsidRDefault="00967D12" w:rsidP="007F7BCC">
      <w:pPr>
        <w:pStyle w:val="BodyText"/>
        <w:spacing w:before="1"/>
        <w:ind w:right="420"/>
        <w:rPr>
          <w:rFonts w:asciiTheme="minorHAnsi" w:hAnsiTheme="minorHAnsi" w:cstheme="minorHAnsi"/>
        </w:rPr>
      </w:pPr>
      <w:r>
        <w:rPr>
          <w:rFonts w:asciiTheme="minorHAnsi" w:hAnsiTheme="minorHAnsi" w:cstheme="minorHAnsi"/>
        </w:rPr>
        <w:t>A</w:t>
      </w:r>
      <w:r w:rsidR="0035651F">
        <w:rPr>
          <w:rFonts w:asciiTheme="minorHAnsi" w:hAnsiTheme="minorHAnsi" w:cstheme="minorHAnsi"/>
        </w:rPr>
        <w:t xml:space="preserve"> new </w:t>
      </w:r>
      <w:r w:rsidR="00107853">
        <w:rPr>
          <w:rFonts w:asciiTheme="minorHAnsi" w:hAnsiTheme="minorHAnsi" w:cstheme="minorHAnsi"/>
        </w:rPr>
        <w:t xml:space="preserve">section </w:t>
      </w:r>
      <w:r w:rsidR="00BE1611">
        <w:rPr>
          <w:rFonts w:asciiTheme="minorHAnsi" w:hAnsiTheme="minorHAnsi" w:cstheme="minorHAnsi"/>
        </w:rPr>
        <w:t xml:space="preserve">has been added to </w:t>
      </w:r>
      <w:r w:rsidR="008B37B3">
        <w:rPr>
          <w:rFonts w:asciiTheme="minorHAnsi" w:hAnsiTheme="minorHAnsi" w:cstheme="minorHAnsi"/>
        </w:rPr>
        <w:t>make provision</w:t>
      </w:r>
      <w:r w:rsidR="0002279D" w:rsidRPr="0002279D">
        <w:rPr>
          <w:rFonts w:asciiTheme="minorHAnsi" w:hAnsiTheme="minorHAnsi" w:cstheme="minorHAnsi"/>
        </w:rPr>
        <w:t xml:space="preserve"> for matters an insurer must consider in deciding to administratively close a defined benefits personal injuries application, the procedure to be followed by the insurer before an application is closed and information to be given to an applicant about closing an application.</w:t>
      </w:r>
      <w:r w:rsidR="00BE1611">
        <w:rPr>
          <w:rFonts w:asciiTheme="minorHAnsi" w:hAnsiTheme="minorHAnsi" w:cstheme="minorHAnsi"/>
        </w:rPr>
        <w:t xml:space="preserve"> Administrative closure does not end entitlements to defined benefits. If there is no activity on an application, or the injured person does not require anything and no longer requires contact by the insurer, it can be appropriate to make the application inactive. An injured person can reactivate</w:t>
      </w:r>
      <w:r w:rsidR="007913AB">
        <w:rPr>
          <w:rFonts w:asciiTheme="minorHAnsi" w:hAnsiTheme="minorHAnsi" w:cstheme="minorHAnsi"/>
        </w:rPr>
        <w:t xml:space="preserve"> an application</w:t>
      </w:r>
      <w:r w:rsidR="00BE1611">
        <w:rPr>
          <w:rFonts w:asciiTheme="minorHAnsi" w:hAnsiTheme="minorHAnsi" w:cstheme="minorHAnsi"/>
        </w:rPr>
        <w:t xml:space="preserve"> if they identify a need for further benefits. </w:t>
      </w:r>
    </w:p>
    <w:p w14:paraId="1B17550F" w14:textId="518BB744" w:rsidR="00506057" w:rsidRDefault="00506057" w:rsidP="00506057">
      <w:pPr>
        <w:pStyle w:val="BodyText"/>
        <w:spacing w:before="1"/>
        <w:ind w:right="420"/>
        <w:rPr>
          <w:rFonts w:asciiTheme="minorHAnsi" w:hAnsiTheme="minorHAnsi" w:cstheme="minorHAnsi"/>
        </w:rPr>
      </w:pPr>
      <w:r w:rsidRPr="00506057">
        <w:rPr>
          <w:rFonts w:asciiTheme="minorHAnsi" w:hAnsiTheme="minorHAnsi" w:cstheme="minorHAnsi"/>
        </w:rPr>
        <w:t>The 202</w:t>
      </w:r>
      <w:r>
        <w:rPr>
          <w:rFonts w:asciiTheme="minorHAnsi" w:hAnsiTheme="minorHAnsi" w:cstheme="minorHAnsi"/>
        </w:rPr>
        <w:t>1</w:t>
      </w:r>
      <w:r w:rsidRPr="00506057">
        <w:rPr>
          <w:rFonts w:asciiTheme="minorHAnsi" w:hAnsiTheme="minorHAnsi" w:cstheme="minorHAnsi"/>
        </w:rPr>
        <w:t xml:space="preserve"> guidelines will be revoked on the commencement of the new guidelines. </w:t>
      </w:r>
    </w:p>
    <w:p w14:paraId="31C88856" w14:textId="21FE9607" w:rsidR="00822469" w:rsidRDefault="00822469" w:rsidP="00506057">
      <w:pPr>
        <w:pStyle w:val="BodyText"/>
        <w:spacing w:before="1"/>
        <w:ind w:right="420"/>
        <w:rPr>
          <w:rFonts w:asciiTheme="minorHAnsi" w:hAnsiTheme="minorHAnsi" w:cstheme="minorHAnsi"/>
          <w:i/>
          <w:iCs/>
        </w:rPr>
      </w:pPr>
      <w:r>
        <w:rPr>
          <w:rFonts w:asciiTheme="minorHAnsi" w:hAnsiTheme="minorHAnsi" w:cstheme="minorHAnsi"/>
          <w:i/>
          <w:iCs/>
        </w:rPr>
        <w:t>Human rights</w:t>
      </w:r>
    </w:p>
    <w:p w14:paraId="741C09B9" w14:textId="2A574C93" w:rsidR="00822469" w:rsidRDefault="00822469" w:rsidP="00822469">
      <w:pPr>
        <w:rPr>
          <w:rFonts w:asciiTheme="minorHAnsi" w:hAnsiTheme="minorHAnsi" w:cstheme="minorHAnsi"/>
          <w:szCs w:val="24"/>
        </w:rPr>
      </w:pPr>
      <w:r>
        <w:rPr>
          <w:rFonts w:asciiTheme="minorHAnsi" w:hAnsiTheme="minorHAnsi" w:cstheme="minorHAnsi"/>
          <w:szCs w:val="24"/>
        </w:rPr>
        <w:t xml:space="preserve">Noting that the guidelines have previously been made, during the development of the guidelines the right to privacy (section 12, </w:t>
      </w:r>
      <w:r>
        <w:rPr>
          <w:rFonts w:asciiTheme="minorHAnsi" w:hAnsiTheme="minorHAnsi" w:cstheme="minorHAnsi"/>
          <w:i/>
          <w:iCs/>
          <w:szCs w:val="24"/>
        </w:rPr>
        <w:t>Human Rights Act 2004</w:t>
      </w:r>
      <w:r>
        <w:rPr>
          <w:rFonts w:asciiTheme="minorHAnsi" w:hAnsiTheme="minorHAnsi" w:cstheme="minorHAnsi"/>
          <w:szCs w:val="24"/>
        </w:rPr>
        <w:t xml:space="preserve">) was again </w:t>
      </w:r>
      <w:r>
        <w:rPr>
          <w:rFonts w:asciiTheme="minorHAnsi" w:hAnsiTheme="minorHAnsi" w:cstheme="minorHAnsi"/>
          <w:szCs w:val="24"/>
        </w:rPr>
        <w:lastRenderedPageBreak/>
        <w:t xml:space="preserve">considered. Personal information and health information needs to be provided to commence a defined benefits application, and these guidelines give effect to the type of information that is collected for the forms that are made by the MAI Commission. </w:t>
      </w:r>
    </w:p>
    <w:p w14:paraId="79D79191" w14:textId="77777777" w:rsidR="00822469" w:rsidRDefault="00822469" w:rsidP="00822469">
      <w:pPr>
        <w:rPr>
          <w:rFonts w:asciiTheme="minorHAnsi" w:hAnsiTheme="minorHAnsi" w:cstheme="minorHAnsi"/>
          <w:szCs w:val="24"/>
        </w:rPr>
      </w:pPr>
    </w:p>
    <w:p w14:paraId="1EA1A9E2" w14:textId="1549D478" w:rsidR="00822469" w:rsidRDefault="00822469" w:rsidP="00822469">
      <w:pPr>
        <w:rPr>
          <w:rFonts w:asciiTheme="minorHAnsi" w:hAnsiTheme="minorHAnsi" w:cstheme="minorHAnsi"/>
          <w:szCs w:val="24"/>
        </w:rPr>
      </w:pPr>
      <w:r>
        <w:rPr>
          <w:rFonts w:asciiTheme="minorHAnsi" w:hAnsiTheme="minorHAnsi" w:cstheme="minorHAnsi"/>
          <w:szCs w:val="24"/>
        </w:rPr>
        <w:t xml:space="preserve">The additional section, administrative closure, is also directed at protecting the right to privacy, by outlining a process an insurer is to follow if a person no longer wants contact with an insurer on their defined benefits application. </w:t>
      </w:r>
    </w:p>
    <w:p w14:paraId="175F1B65" w14:textId="77777777" w:rsidR="00822469" w:rsidRDefault="00822469" w:rsidP="00822469">
      <w:pPr>
        <w:rPr>
          <w:rFonts w:asciiTheme="minorHAnsi" w:hAnsiTheme="minorHAnsi" w:cstheme="minorHAnsi"/>
          <w:szCs w:val="24"/>
        </w:rPr>
      </w:pPr>
    </w:p>
    <w:p w14:paraId="14FE35D8" w14:textId="780283AA" w:rsidR="00506057" w:rsidRPr="00506057" w:rsidRDefault="00506057" w:rsidP="00506057">
      <w:pPr>
        <w:pStyle w:val="BodyText"/>
        <w:spacing w:before="1"/>
        <w:ind w:right="420"/>
        <w:rPr>
          <w:rFonts w:asciiTheme="minorHAnsi" w:hAnsiTheme="minorHAnsi" w:cstheme="minorHAnsi"/>
          <w:i/>
          <w:iCs/>
        </w:rPr>
      </w:pPr>
      <w:r w:rsidRPr="00506057">
        <w:rPr>
          <w:rFonts w:asciiTheme="minorHAnsi" w:hAnsiTheme="minorHAnsi" w:cstheme="minorHAnsi"/>
          <w:i/>
          <w:iCs/>
        </w:rPr>
        <w:t>Consultation on the proposed approach</w:t>
      </w:r>
    </w:p>
    <w:p w14:paraId="77646C0B" w14:textId="77777777" w:rsidR="00506057" w:rsidRPr="00506057" w:rsidRDefault="00506057" w:rsidP="00506057">
      <w:pPr>
        <w:pStyle w:val="BodyText"/>
        <w:spacing w:before="1"/>
        <w:ind w:right="420"/>
        <w:rPr>
          <w:rFonts w:asciiTheme="minorHAnsi" w:hAnsiTheme="minorHAnsi" w:cstheme="minorHAnsi"/>
        </w:rPr>
      </w:pPr>
      <w:r w:rsidRPr="00506057">
        <w:rPr>
          <w:rFonts w:asciiTheme="minorHAnsi" w:hAnsiTheme="minorHAnsi" w:cstheme="minorHAnsi"/>
        </w:rPr>
        <w:t>Consultation was undertaken with relevant stakeholders in updating the guidelines.  Comments were incorporated where appropriate.</w:t>
      </w:r>
    </w:p>
    <w:sectPr w:rsidR="00506057" w:rsidRPr="00506057"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5123" w14:textId="77777777" w:rsidR="00D76DE2" w:rsidRDefault="00D76DE2" w:rsidP="00C17FAB">
      <w:r>
        <w:separator/>
      </w:r>
    </w:p>
  </w:endnote>
  <w:endnote w:type="continuationSeparator" w:id="0">
    <w:p w14:paraId="1F46AB71" w14:textId="77777777" w:rsidR="00D76DE2" w:rsidRDefault="00D76DE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E1B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136B" w14:textId="57A0672B" w:rsidR="00DA3B00" w:rsidRPr="0009365A" w:rsidRDefault="0009365A" w:rsidP="0009365A">
    <w:pPr>
      <w:pStyle w:val="Footer"/>
      <w:jc w:val="center"/>
      <w:rPr>
        <w:rFonts w:cs="Arial"/>
        <w:sz w:val="14"/>
      </w:rPr>
    </w:pPr>
    <w:r w:rsidRPr="0009365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63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565A" w14:textId="77777777" w:rsidR="00D76DE2" w:rsidRDefault="00D76DE2" w:rsidP="00C17FAB">
      <w:r>
        <w:separator/>
      </w:r>
    </w:p>
  </w:footnote>
  <w:footnote w:type="continuationSeparator" w:id="0">
    <w:p w14:paraId="30F1AD7B" w14:textId="77777777" w:rsidR="00D76DE2" w:rsidRDefault="00D76DE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061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4A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8CF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6E1031"/>
    <w:multiLevelType w:val="hybridMultilevel"/>
    <w:tmpl w:val="6F0698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9371036">
    <w:abstractNumId w:val="2"/>
  </w:num>
  <w:num w:numId="2" w16cid:durableId="1157920033">
    <w:abstractNumId w:val="0"/>
  </w:num>
  <w:num w:numId="3" w16cid:durableId="1929196032">
    <w:abstractNumId w:val="3"/>
  </w:num>
  <w:num w:numId="4" w16cid:durableId="91249003">
    <w:abstractNumId w:val="9"/>
  </w:num>
  <w:num w:numId="5" w16cid:durableId="273907236">
    <w:abstractNumId w:val="12"/>
  </w:num>
  <w:num w:numId="6" w16cid:durableId="461116258">
    <w:abstractNumId w:val="1"/>
  </w:num>
  <w:num w:numId="7" w16cid:durableId="1967007983">
    <w:abstractNumId w:val="6"/>
  </w:num>
  <w:num w:numId="8" w16cid:durableId="1035933785">
    <w:abstractNumId w:val="8"/>
  </w:num>
  <w:num w:numId="9" w16cid:durableId="617687234">
    <w:abstractNumId w:val="13"/>
  </w:num>
  <w:num w:numId="10" w16cid:durableId="1261259449">
    <w:abstractNumId w:val="7"/>
  </w:num>
  <w:num w:numId="11" w16cid:durableId="12389921">
    <w:abstractNumId w:val="4"/>
  </w:num>
  <w:num w:numId="12" w16cid:durableId="375392590">
    <w:abstractNumId w:val="5"/>
  </w:num>
  <w:num w:numId="13" w16cid:durableId="307789091">
    <w:abstractNumId w:val="11"/>
  </w:num>
  <w:num w:numId="14" w16cid:durableId="1383673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279D"/>
    <w:rsid w:val="00057AD7"/>
    <w:rsid w:val="0009365A"/>
    <w:rsid w:val="000E11C4"/>
    <w:rsid w:val="001055F7"/>
    <w:rsid w:val="00107853"/>
    <w:rsid w:val="00142974"/>
    <w:rsid w:val="0019501B"/>
    <w:rsid w:val="001C4BC6"/>
    <w:rsid w:val="001E0C2A"/>
    <w:rsid w:val="002014ED"/>
    <w:rsid w:val="00267737"/>
    <w:rsid w:val="002A5EBE"/>
    <w:rsid w:val="002A7E7F"/>
    <w:rsid w:val="002D7C60"/>
    <w:rsid w:val="002E5A94"/>
    <w:rsid w:val="00311A97"/>
    <w:rsid w:val="0035651F"/>
    <w:rsid w:val="00362EC9"/>
    <w:rsid w:val="00411600"/>
    <w:rsid w:val="00426408"/>
    <w:rsid w:val="0043572B"/>
    <w:rsid w:val="0049032A"/>
    <w:rsid w:val="004C7090"/>
    <w:rsid w:val="004C722A"/>
    <w:rsid w:val="004D7E2C"/>
    <w:rsid w:val="004E1D37"/>
    <w:rsid w:val="004F056B"/>
    <w:rsid w:val="004F26A0"/>
    <w:rsid w:val="00506057"/>
    <w:rsid w:val="0055315D"/>
    <w:rsid w:val="00555611"/>
    <w:rsid w:val="005705E8"/>
    <w:rsid w:val="00654267"/>
    <w:rsid w:val="00674003"/>
    <w:rsid w:val="006B69AB"/>
    <w:rsid w:val="007346AC"/>
    <w:rsid w:val="007913AB"/>
    <w:rsid w:val="007D7927"/>
    <w:rsid w:val="007F7BCC"/>
    <w:rsid w:val="00803B62"/>
    <w:rsid w:val="00810384"/>
    <w:rsid w:val="00822469"/>
    <w:rsid w:val="00827C9F"/>
    <w:rsid w:val="008772D2"/>
    <w:rsid w:val="008871AF"/>
    <w:rsid w:val="008B37B3"/>
    <w:rsid w:val="008E528C"/>
    <w:rsid w:val="009239C2"/>
    <w:rsid w:val="009508A5"/>
    <w:rsid w:val="00967D12"/>
    <w:rsid w:val="00A208B5"/>
    <w:rsid w:val="00A3135D"/>
    <w:rsid w:val="00A3183C"/>
    <w:rsid w:val="00A35337"/>
    <w:rsid w:val="00A70D62"/>
    <w:rsid w:val="00AA11A8"/>
    <w:rsid w:val="00AB42ED"/>
    <w:rsid w:val="00AC2C15"/>
    <w:rsid w:val="00B06826"/>
    <w:rsid w:val="00B520FF"/>
    <w:rsid w:val="00B72B51"/>
    <w:rsid w:val="00BA7632"/>
    <w:rsid w:val="00BB1D78"/>
    <w:rsid w:val="00BE1611"/>
    <w:rsid w:val="00BE7A68"/>
    <w:rsid w:val="00BF48A0"/>
    <w:rsid w:val="00C17FAB"/>
    <w:rsid w:val="00CB3D13"/>
    <w:rsid w:val="00CE599C"/>
    <w:rsid w:val="00D35089"/>
    <w:rsid w:val="00D7173A"/>
    <w:rsid w:val="00D76DE2"/>
    <w:rsid w:val="00D77E9D"/>
    <w:rsid w:val="00D94B50"/>
    <w:rsid w:val="00DA3B00"/>
    <w:rsid w:val="00DB02EB"/>
    <w:rsid w:val="00DB1304"/>
    <w:rsid w:val="00E16B90"/>
    <w:rsid w:val="00E6184B"/>
    <w:rsid w:val="00E71A4A"/>
    <w:rsid w:val="00E731BF"/>
    <w:rsid w:val="00E90C2D"/>
    <w:rsid w:val="00EA7E10"/>
    <w:rsid w:val="00EF32CA"/>
    <w:rsid w:val="00F52D59"/>
    <w:rsid w:val="00F5616B"/>
    <w:rsid w:val="00FA5A57"/>
    <w:rsid w:val="00FC045C"/>
    <w:rsid w:val="00FD75CE"/>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2025-06-30T04:22:00Z</dcterms:created>
  <dcterms:modified xsi:type="dcterms:W3CDTF">2025-06-30T04:22:00Z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2025-04-07T04:57:07Z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6f92cd6d-b61f-4ad6-8308-eeeea877c002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