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546" w14:textId="77777777" w:rsidR="00012E60" w:rsidRDefault="00012E60">
      <w:pPr>
        <w:spacing w:before="120"/>
        <w:rPr>
          <w:rFonts w:ascii="Arial" w:hAnsi="Arial" w:cs="Arial"/>
        </w:rPr>
      </w:pPr>
      <w:bookmarkStart w:id="0" w:name="_Toc44738651"/>
    </w:p>
    <w:p w14:paraId="5E0FF3B6" w14:textId="65498372" w:rsidR="005D70F1" w:rsidRDefault="005D70F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40FCCF" w14:textId="77777777" w:rsidR="006C4293" w:rsidRPr="008B1004" w:rsidRDefault="006C4293" w:rsidP="009A0C95">
      <w:pPr>
        <w:pStyle w:val="Billname"/>
        <w:spacing w:before="700"/>
        <w:jc w:val="both"/>
      </w:pPr>
      <w:r w:rsidRPr="002D439E">
        <w:t xml:space="preserve">Taxation </w:t>
      </w:r>
      <w:r w:rsidRPr="006D404A">
        <w:t>Administration (Payroll Tax GP Wages Exemption Scheme) Determination</w:t>
      </w:r>
      <w:r w:rsidRPr="008B1004">
        <w:t xml:space="preserve"> </w:t>
      </w:r>
      <w:r>
        <w:t>2025</w:t>
      </w:r>
    </w:p>
    <w:p w14:paraId="752F5AB3" w14:textId="42D80B35" w:rsidR="006C4293" w:rsidRPr="008B1004" w:rsidRDefault="006C4293" w:rsidP="009A0C95">
      <w:pPr>
        <w:spacing w:before="340"/>
        <w:jc w:val="both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>Disallowable instrument DI</w:t>
      </w:r>
      <w:r w:rsidRPr="008B1004">
        <w:rPr>
          <w:rFonts w:ascii="Arial" w:hAnsi="Arial" w:cs="Arial"/>
          <w:b/>
          <w:bCs/>
          <w:iCs/>
        </w:rPr>
        <w:t>202</w:t>
      </w:r>
      <w:r>
        <w:rPr>
          <w:rFonts w:ascii="Arial" w:hAnsi="Arial" w:cs="Arial"/>
          <w:b/>
          <w:bCs/>
          <w:iCs/>
        </w:rPr>
        <w:t>5</w:t>
      </w:r>
      <w:r w:rsidRPr="008B1004">
        <w:rPr>
          <w:rFonts w:ascii="Arial" w:hAnsi="Arial" w:cs="Arial"/>
          <w:b/>
          <w:bCs/>
        </w:rPr>
        <w:t>–</w:t>
      </w:r>
      <w:r w:rsidR="000B15FF">
        <w:rPr>
          <w:rFonts w:ascii="Arial" w:hAnsi="Arial" w:cs="Arial"/>
          <w:b/>
          <w:bCs/>
        </w:rPr>
        <w:t>162</w:t>
      </w:r>
    </w:p>
    <w:p w14:paraId="3EB4992A" w14:textId="77777777" w:rsidR="005D70F1" w:rsidRDefault="005D70F1" w:rsidP="009A0C95">
      <w:pPr>
        <w:spacing w:before="240" w:after="60"/>
        <w:jc w:val="both"/>
      </w:pPr>
      <w:r>
        <w:t xml:space="preserve">made under the  </w:t>
      </w:r>
    </w:p>
    <w:p w14:paraId="3164A737" w14:textId="098F9770" w:rsidR="005D70F1" w:rsidRDefault="00EB460C" w:rsidP="009A0C95">
      <w:pPr>
        <w:pStyle w:val="CoverActName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 w:rsidR="003D5717">
        <w:rPr>
          <w:rFonts w:cs="Arial"/>
          <w:sz w:val="20"/>
        </w:rPr>
        <w:t>s</w:t>
      </w:r>
      <w:r>
        <w:rPr>
          <w:rFonts w:cs="Arial"/>
          <w:sz w:val="20"/>
        </w:rPr>
        <w:t xml:space="preserve"> </w:t>
      </w:r>
      <w:r w:rsidR="00015713" w:rsidRPr="008071CE">
        <w:rPr>
          <w:rFonts w:cs="Arial"/>
          <w:sz w:val="20"/>
        </w:rPr>
        <w:t>13</w:t>
      </w:r>
      <w:r w:rsidR="00CC4A5C">
        <w:rPr>
          <w:rFonts w:cs="Arial"/>
          <w:sz w:val="20"/>
        </w:rPr>
        <w:t xml:space="preserve">7E (Exemption scheme) </w:t>
      </w:r>
    </w:p>
    <w:p w14:paraId="7D6FC357" w14:textId="77777777" w:rsidR="005D70F1" w:rsidRDefault="005D70F1" w:rsidP="009A0C95">
      <w:pPr>
        <w:spacing w:before="360"/>
        <w:ind w:right="565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A5E30E" w14:textId="77777777" w:rsidR="005D70F1" w:rsidRDefault="005D70F1">
      <w:pPr>
        <w:pStyle w:val="N-line3"/>
        <w:pBdr>
          <w:bottom w:val="none" w:sz="0" w:space="0" w:color="auto"/>
        </w:pBdr>
      </w:pPr>
    </w:p>
    <w:p w14:paraId="4E04731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A6326AC" w14:textId="77777777" w:rsidR="00720767" w:rsidRDefault="00720767" w:rsidP="008B14DD">
      <w:pPr>
        <w:jc w:val="both"/>
      </w:pPr>
    </w:p>
    <w:p w14:paraId="4E54E877" w14:textId="63C3676A" w:rsidR="00FF3F0D" w:rsidRDefault="00720767" w:rsidP="008B14DD">
      <w:pPr>
        <w:jc w:val="both"/>
        <w:rPr>
          <w:color w:val="000000"/>
          <w:shd w:val="clear" w:color="auto" w:fill="FFFFFF"/>
        </w:rPr>
      </w:pPr>
      <w:r>
        <w:t xml:space="preserve">Section 137E of the </w:t>
      </w:r>
      <w:r w:rsidRPr="00AE5368">
        <w:rPr>
          <w:i/>
          <w:iCs/>
        </w:rPr>
        <w:t>Taxation Administration Act 1999</w:t>
      </w:r>
      <w:r>
        <w:t xml:space="preserve"> (TA Act) allows for the Minister to </w:t>
      </w:r>
      <w:r>
        <w:rPr>
          <w:color w:val="000000"/>
          <w:shd w:val="clear" w:color="auto" w:fill="FFFFFF"/>
        </w:rPr>
        <w:t>determine a scheme to exempt a person who is required to pay tax under a tax law from the requirement to pay the tax.</w:t>
      </w:r>
    </w:p>
    <w:p w14:paraId="79316AFD" w14:textId="77777777" w:rsidR="00C3127A" w:rsidRDefault="00C3127A" w:rsidP="008B14DD">
      <w:pPr>
        <w:jc w:val="both"/>
        <w:rPr>
          <w:color w:val="000000"/>
          <w:shd w:val="clear" w:color="auto" w:fill="FFFFFF"/>
        </w:rPr>
      </w:pPr>
    </w:p>
    <w:p w14:paraId="427D3BC0" w14:textId="00846268" w:rsidR="00C3127A" w:rsidRDefault="00C3127A" w:rsidP="008B14D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Pr="005E6B06">
        <w:rPr>
          <w:i/>
          <w:iCs/>
          <w:color w:val="000000"/>
          <w:shd w:val="clear" w:color="auto" w:fill="FFFFFF"/>
        </w:rPr>
        <w:t>Taxation Administration (Payroll Tax GP Wages Exemption</w:t>
      </w:r>
      <w:r w:rsidR="006C30E0" w:rsidRPr="005E6B06">
        <w:rPr>
          <w:i/>
          <w:iCs/>
          <w:color w:val="000000"/>
          <w:shd w:val="clear" w:color="auto" w:fill="FFFFFF"/>
        </w:rPr>
        <w:t xml:space="preserve"> Scheme) Determination 2025</w:t>
      </w:r>
      <w:r w:rsidR="006C30E0">
        <w:rPr>
          <w:color w:val="000000"/>
          <w:shd w:val="clear" w:color="auto" w:fill="FFFFFF"/>
        </w:rPr>
        <w:t xml:space="preserve"> </w:t>
      </w:r>
      <w:r w:rsidR="005E6B06">
        <w:rPr>
          <w:color w:val="000000"/>
          <w:shd w:val="clear" w:color="auto" w:fill="FFFFFF"/>
        </w:rPr>
        <w:t xml:space="preserve">(the Determination) provides an exemption </w:t>
      </w:r>
      <w:r w:rsidR="009A0C95">
        <w:rPr>
          <w:color w:val="000000"/>
          <w:shd w:val="clear" w:color="auto" w:fill="FFFFFF"/>
        </w:rPr>
        <w:t xml:space="preserve">to a person (an employer) </w:t>
      </w:r>
      <w:r w:rsidR="005E6B06">
        <w:rPr>
          <w:color w:val="000000"/>
          <w:shd w:val="clear" w:color="auto" w:fill="FFFFFF"/>
        </w:rPr>
        <w:t xml:space="preserve">from </w:t>
      </w:r>
      <w:r w:rsidR="000260A2">
        <w:rPr>
          <w:color w:val="000000"/>
          <w:shd w:val="clear" w:color="auto" w:fill="FFFFFF"/>
        </w:rPr>
        <w:t xml:space="preserve">the requirement to pay </w:t>
      </w:r>
      <w:r w:rsidR="0002283C">
        <w:rPr>
          <w:color w:val="000000"/>
          <w:shd w:val="clear" w:color="auto" w:fill="FFFFFF"/>
        </w:rPr>
        <w:t xml:space="preserve">some </w:t>
      </w:r>
      <w:r w:rsidR="005E6B06">
        <w:rPr>
          <w:color w:val="000000"/>
          <w:shd w:val="clear" w:color="auto" w:fill="FFFFFF"/>
        </w:rPr>
        <w:t xml:space="preserve">payroll tax under the </w:t>
      </w:r>
      <w:r w:rsidR="005E6B06">
        <w:rPr>
          <w:i/>
          <w:iCs/>
          <w:color w:val="000000"/>
          <w:shd w:val="clear" w:color="auto" w:fill="FFFFFF"/>
        </w:rPr>
        <w:t>Payroll Tax Act 2011</w:t>
      </w:r>
      <w:r w:rsidR="005E6B06">
        <w:rPr>
          <w:color w:val="000000"/>
          <w:shd w:val="clear" w:color="auto" w:fill="FFFFFF"/>
        </w:rPr>
        <w:t xml:space="preserve">. </w:t>
      </w:r>
    </w:p>
    <w:p w14:paraId="3CF7A9A5" w14:textId="77777777" w:rsidR="005E6B06" w:rsidRDefault="005E6B06" w:rsidP="008B14DD">
      <w:pPr>
        <w:jc w:val="both"/>
        <w:rPr>
          <w:color w:val="000000"/>
          <w:shd w:val="clear" w:color="auto" w:fill="FFFFFF"/>
        </w:rPr>
      </w:pPr>
    </w:p>
    <w:p w14:paraId="50FEB42A" w14:textId="383FF486" w:rsidR="005E6B06" w:rsidRDefault="008C616F" w:rsidP="008B14DD">
      <w:pPr>
        <w:jc w:val="both"/>
      </w:pPr>
      <w:r>
        <w:rPr>
          <w:color w:val="000000"/>
          <w:shd w:val="clear" w:color="auto" w:fill="FFFFFF"/>
        </w:rPr>
        <w:t xml:space="preserve">An </w:t>
      </w:r>
      <w:r w:rsidR="00F73712">
        <w:rPr>
          <w:color w:val="000000"/>
          <w:shd w:val="clear" w:color="auto" w:fill="FFFFFF"/>
        </w:rPr>
        <w:t xml:space="preserve">employer </w:t>
      </w:r>
      <w:r w:rsidR="00F70CEF">
        <w:rPr>
          <w:color w:val="000000"/>
          <w:shd w:val="clear" w:color="auto" w:fill="FFFFFF"/>
        </w:rPr>
        <w:t xml:space="preserve">that is </w:t>
      </w:r>
      <w:r w:rsidRPr="006216F6">
        <w:rPr>
          <w:color w:val="000000"/>
          <w:shd w:val="clear" w:color="auto" w:fill="FFFFFF"/>
        </w:rPr>
        <w:t>a designated medical practice</w:t>
      </w:r>
      <w:r>
        <w:rPr>
          <w:color w:val="000000"/>
          <w:shd w:val="clear" w:color="auto" w:fill="FFFFFF"/>
        </w:rPr>
        <w:t xml:space="preserve"> is exempt from </w:t>
      </w:r>
      <w:r w:rsidR="00691798">
        <w:rPr>
          <w:color w:val="000000"/>
          <w:shd w:val="clear" w:color="auto" w:fill="FFFFFF"/>
        </w:rPr>
        <w:t xml:space="preserve">the requirement to pay </w:t>
      </w:r>
      <w:r>
        <w:rPr>
          <w:color w:val="000000"/>
          <w:shd w:val="clear" w:color="auto" w:fill="FFFFFF"/>
        </w:rPr>
        <w:t xml:space="preserve">payroll tax in relation to wages paid or payable, to a </w:t>
      </w:r>
      <w:r w:rsidR="006216F6" w:rsidRPr="006216F6">
        <w:rPr>
          <w:color w:val="000000"/>
          <w:shd w:val="clear" w:color="auto" w:fill="FFFFFF"/>
        </w:rPr>
        <w:t>general practitioner</w:t>
      </w:r>
      <w:r w:rsidR="00691798">
        <w:rPr>
          <w:color w:val="000000"/>
          <w:shd w:val="clear" w:color="auto" w:fill="FFFFFF"/>
        </w:rPr>
        <w:t xml:space="preserve"> </w:t>
      </w:r>
      <w:r w:rsidR="00E57604">
        <w:rPr>
          <w:color w:val="000000"/>
          <w:shd w:val="clear" w:color="auto" w:fill="FFFFFF"/>
        </w:rPr>
        <w:t xml:space="preserve">for </w:t>
      </w:r>
      <w:r w:rsidR="00F2598A">
        <w:rPr>
          <w:color w:val="000000"/>
          <w:shd w:val="clear" w:color="auto" w:fill="FFFFFF"/>
        </w:rPr>
        <w:t>a</w:t>
      </w:r>
      <w:r w:rsidR="00DA4B1D">
        <w:rPr>
          <w:color w:val="000000"/>
          <w:shd w:val="clear" w:color="auto" w:fill="FFFFFF"/>
        </w:rPr>
        <w:t>n</w:t>
      </w:r>
      <w:r w:rsidR="00F2598A">
        <w:rPr>
          <w:color w:val="000000"/>
          <w:shd w:val="clear" w:color="auto" w:fill="FFFFFF"/>
        </w:rPr>
        <w:t xml:space="preserve"> </w:t>
      </w:r>
      <w:r w:rsidR="00DA4B1D">
        <w:rPr>
          <w:color w:val="000000"/>
          <w:shd w:val="clear" w:color="auto" w:fill="FFFFFF"/>
        </w:rPr>
        <w:t>exempt medical</w:t>
      </w:r>
      <w:r w:rsidR="00F2598A">
        <w:rPr>
          <w:color w:val="000000"/>
          <w:shd w:val="clear" w:color="auto" w:fill="FFFFFF"/>
        </w:rPr>
        <w:t xml:space="preserve"> service. A</w:t>
      </w:r>
      <w:r w:rsidR="00DA4B1D">
        <w:rPr>
          <w:color w:val="000000"/>
          <w:shd w:val="clear" w:color="auto" w:fill="FFFFFF"/>
        </w:rPr>
        <w:t>n</w:t>
      </w:r>
      <w:r w:rsidR="00F2598A">
        <w:rPr>
          <w:color w:val="000000"/>
          <w:shd w:val="clear" w:color="auto" w:fill="FFFFFF"/>
        </w:rPr>
        <w:t xml:space="preserve"> </w:t>
      </w:r>
      <w:r w:rsidR="00D1132D">
        <w:rPr>
          <w:color w:val="000000"/>
          <w:shd w:val="clear" w:color="auto" w:fill="FFFFFF"/>
        </w:rPr>
        <w:t>exempt medical</w:t>
      </w:r>
      <w:r w:rsidR="00F2598A">
        <w:rPr>
          <w:color w:val="000000"/>
          <w:shd w:val="clear" w:color="auto" w:fill="FFFFFF"/>
        </w:rPr>
        <w:t xml:space="preserve"> service includes medical services provided by a general practitioner that </w:t>
      </w:r>
      <w:r w:rsidR="00FD4C88">
        <w:rPr>
          <w:color w:val="000000"/>
          <w:shd w:val="clear" w:color="auto" w:fill="FFFFFF"/>
        </w:rPr>
        <w:t>are:</w:t>
      </w:r>
      <w:r w:rsidR="00F2598A">
        <w:rPr>
          <w:color w:val="000000"/>
          <w:shd w:val="clear" w:color="auto" w:fill="FFFFFF"/>
        </w:rPr>
        <w:t xml:space="preserve"> bulk-billed or </w:t>
      </w:r>
      <w:r w:rsidR="00930F66">
        <w:rPr>
          <w:color w:val="000000"/>
          <w:shd w:val="clear" w:color="auto" w:fill="FFFFFF"/>
        </w:rPr>
        <w:t xml:space="preserve">delivered </w:t>
      </w:r>
      <w:r w:rsidR="00F2598A">
        <w:rPr>
          <w:color w:val="000000"/>
          <w:shd w:val="clear" w:color="auto" w:fill="FFFFFF"/>
        </w:rPr>
        <w:t xml:space="preserve">under Part V of the </w:t>
      </w:r>
      <w:r w:rsidR="00F2598A">
        <w:rPr>
          <w:i/>
          <w:iCs/>
          <w:color w:val="000000"/>
          <w:shd w:val="clear" w:color="auto" w:fill="FFFFFF"/>
        </w:rPr>
        <w:t xml:space="preserve">Veterans’ </w:t>
      </w:r>
      <w:r w:rsidR="00BC2C42">
        <w:rPr>
          <w:i/>
          <w:iCs/>
          <w:color w:val="000000"/>
          <w:shd w:val="clear" w:color="auto" w:fill="FFFFFF"/>
        </w:rPr>
        <w:t>Entitlements</w:t>
      </w:r>
      <w:r w:rsidR="00F2598A">
        <w:rPr>
          <w:i/>
          <w:iCs/>
          <w:color w:val="000000"/>
          <w:shd w:val="clear" w:color="auto" w:fill="FFFFFF"/>
        </w:rPr>
        <w:t xml:space="preserve"> Act 1986 </w:t>
      </w:r>
      <w:r w:rsidR="00F2598A">
        <w:rPr>
          <w:color w:val="000000"/>
          <w:shd w:val="clear" w:color="auto" w:fill="FFFFFF"/>
        </w:rPr>
        <w:t xml:space="preserve">(Cwlth) or under the </w:t>
      </w:r>
      <w:r w:rsidR="00F2598A">
        <w:rPr>
          <w:i/>
          <w:iCs/>
          <w:color w:val="000000"/>
          <w:shd w:val="clear" w:color="auto" w:fill="FFFFFF"/>
        </w:rPr>
        <w:t>Workers Compensation Act 1951</w:t>
      </w:r>
      <w:r w:rsidR="00F2598A">
        <w:rPr>
          <w:color w:val="000000"/>
          <w:shd w:val="clear" w:color="auto" w:fill="FFFFFF"/>
        </w:rPr>
        <w:t xml:space="preserve">. </w:t>
      </w:r>
      <w:r w:rsidR="00691798">
        <w:rPr>
          <w:color w:val="000000"/>
          <w:shd w:val="clear" w:color="auto" w:fill="FFFFFF"/>
        </w:rPr>
        <w:t xml:space="preserve"> </w:t>
      </w:r>
    </w:p>
    <w:p w14:paraId="283421BC" w14:textId="77777777" w:rsidR="008D59CB" w:rsidRDefault="008D59CB" w:rsidP="008B14DD">
      <w:pPr>
        <w:jc w:val="both"/>
        <w:rPr>
          <w:rFonts w:eastAsiaTheme="minorHAnsi"/>
        </w:rPr>
      </w:pPr>
    </w:p>
    <w:p w14:paraId="7B5534A2" w14:textId="17643D68" w:rsidR="003648E0" w:rsidRPr="00930F66" w:rsidRDefault="008537EA" w:rsidP="008B14DD">
      <w:pPr>
        <w:jc w:val="both"/>
        <w:rPr>
          <w:rFonts w:eastAsiaTheme="minorHAnsi"/>
        </w:rPr>
      </w:pPr>
      <w:r>
        <w:rPr>
          <w:rFonts w:eastAsiaTheme="minorHAnsi"/>
        </w:rPr>
        <w:t>The exemption is intended to support medical practices which bulk</w:t>
      </w:r>
      <w:r w:rsidR="008B14DD">
        <w:rPr>
          <w:rFonts w:eastAsiaTheme="minorHAnsi"/>
        </w:rPr>
        <w:t>-</w:t>
      </w:r>
      <w:r>
        <w:rPr>
          <w:rFonts w:eastAsiaTheme="minorHAnsi"/>
        </w:rPr>
        <w:t>bill their services</w:t>
      </w:r>
      <w:r w:rsidR="00BA30B7">
        <w:rPr>
          <w:rFonts w:eastAsiaTheme="minorHAnsi"/>
        </w:rPr>
        <w:t xml:space="preserve">. This support is exempting medical practices from the requirement to pay payroll tax on the wages it pays to </w:t>
      </w:r>
      <w:r w:rsidR="000260A2">
        <w:rPr>
          <w:rFonts w:eastAsiaTheme="minorHAnsi"/>
        </w:rPr>
        <w:t xml:space="preserve">general practitioners </w:t>
      </w:r>
      <w:r w:rsidR="00BA30B7">
        <w:rPr>
          <w:rFonts w:eastAsiaTheme="minorHAnsi"/>
        </w:rPr>
        <w:t xml:space="preserve">that are attributable to </w:t>
      </w:r>
      <w:r w:rsidR="00194187">
        <w:rPr>
          <w:rFonts w:eastAsiaTheme="minorHAnsi"/>
        </w:rPr>
        <w:t xml:space="preserve">an exempt medical </w:t>
      </w:r>
      <w:r w:rsidR="00BA30B7">
        <w:rPr>
          <w:rFonts w:eastAsiaTheme="minorHAnsi"/>
        </w:rPr>
        <w:t>service.</w:t>
      </w:r>
      <w:r>
        <w:rPr>
          <w:rFonts w:eastAsiaTheme="minorHAnsi"/>
        </w:rPr>
        <w:t xml:space="preserve"> </w:t>
      </w:r>
      <w:r w:rsidR="00930F66">
        <w:rPr>
          <w:rFonts w:eastAsiaTheme="minorHAnsi"/>
        </w:rPr>
        <w:t xml:space="preserve">Wages include payments under relevant contracts deemed to be wages under section 35 of the </w:t>
      </w:r>
      <w:r w:rsidR="00930F66">
        <w:rPr>
          <w:rFonts w:eastAsiaTheme="minorHAnsi"/>
          <w:i/>
          <w:iCs/>
        </w:rPr>
        <w:t>Payroll Tax Act 2011</w:t>
      </w:r>
      <w:r w:rsidR="00930F66">
        <w:rPr>
          <w:rFonts w:eastAsiaTheme="minorHAnsi"/>
        </w:rPr>
        <w:t xml:space="preserve">. </w:t>
      </w:r>
    </w:p>
    <w:p w14:paraId="48BF15B6" w14:textId="77777777" w:rsidR="003648E0" w:rsidRDefault="003648E0" w:rsidP="008B14DD">
      <w:pPr>
        <w:jc w:val="both"/>
        <w:rPr>
          <w:rFonts w:eastAsiaTheme="minorHAnsi"/>
        </w:rPr>
      </w:pPr>
    </w:p>
    <w:p w14:paraId="43573D17" w14:textId="2E1DCFF1" w:rsidR="00FD4C88" w:rsidRDefault="00FD4C88" w:rsidP="008B14DD">
      <w:pPr>
        <w:jc w:val="both"/>
        <w:rPr>
          <w:rFonts w:eastAsiaTheme="minorHAnsi"/>
        </w:rPr>
      </w:pPr>
      <w:r>
        <w:rPr>
          <w:rFonts w:eastAsiaTheme="minorHAnsi"/>
        </w:rPr>
        <w:t xml:space="preserve">The exemption does not extend to any medical services that are paid upfront by the patient and then partially reimbursed by Medicare. </w:t>
      </w:r>
    </w:p>
    <w:p w14:paraId="15D937EE" w14:textId="77777777" w:rsidR="00FD4C88" w:rsidRDefault="00FD4C88" w:rsidP="008B14DD">
      <w:pPr>
        <w:jc w:val="both"/>
        <w:rPr>
          <w:rFonts w:eastAsiaTheme="minorHAnsi"/>
        </w:rPr>
      </w:pPr>
    </w:p>
    <w:p w14:paraId="37E6851E" w14:textId="3A186632" w:rsidR="005C64EE" w:rsidRDefault="005E6B06" w:rsidP="008B14D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Commencement and operation </w:t>
      </w:r>
      <w:r w:rsidR="00CC4A5C">
        <w:rPr>
          <w:rFonts w:ascii="Arial" w:hAnsi="Arial" w:cs="Arial"/>
          <w:b/>
          <w:sz w:val="26"/>
          <w:szCs w:val="26"/>
        </w:rPr>
        <w:t xml:space="preserve"> </w:t>
      </w:r>
    </w:p>
    <w:p w14:paraId="77ECE41E" w14:textId="77777777" w:rsidR="005E6B06" w:rsidRDefault="005E6B06" w:rsidP="008B14DD">
      <w:pPr>
        <w:jc w:val="both"/>
        <w:rPr>
          <w:rFonts w:ascii="Arial" w:hAnsi="Arial" w:cs="Arial"/>
          <w:b/>
          <w:sz w:val="26"/>
          <w:szCs w:val="26"/>
        </w:rPr>
      </w:pPr>
    </w:p>
    <w:p w14:paraId="227D83A7" w14:textId="7E525DF6" w:rsidR="005061EC" w:rsidRDefault="005061EC" w:rsidP="008B14DD">
      <w:pPr>
        <w:jc w:val="both"/>
      </w:pPr>
      <w:r>
        <w:t>The Determination commences on 1 July 2025</w:t>
      </w:r>
      <w:r w:rsidR="006A65D6">
        <w:t xml:space="preserve"> and </w:t>
      </w:r>
      <w:r w:rsidR="006D404A">
        <w:t>exempts</w:t>
      </w:r>
      <w:r w:rsidR="006A65D6">
        <w:t xml:space="preserve"> </w:t>
      </w:r>
      <w:r w:rsidR="00F73712">
        <w:t xml:space="preserve">an employer from </w:t>
      </w:r>
      <w:r w:rsidR="008C616F">
        <w:t xml:space="preserve">payroll tax </w:t>
      </w:r>
      <w:r w:rsidR="00F73712">
        <w:t xml:space="preserve">arising from </w:t>
      </w:r>
      <w:r w:rsidR="006A65D6">
        <w:t xml:space="preserve">general </w:t>
      </w:r>
      <w:r w:rsidR="006D404A">
        <w:t>practitioners’</w:t>
      </w:r>
      <w:r w:rsidR="006A65D6">
        <w:t xml:space="preserve"> wages earned</w:t>
      </w:r>
      <w:r w:rsidR="00DF38C8">
        <w:t xml:space="preserve"> for </w:t>
      </w:r>
      <w:r w:rsidR="00DA4B1D">
        <w:t>exempt medical</w:t>
      </w:r>
      <w:r w:rsidR="00DF38C8">
        <w:t xml:space="preserve"> services</w:t>
      </w:r>
      <w:r w:rsidR="008B14DD">
        <w:t>.</w:t>
      </w:r>
      <w:r w:rsidR="006A65D6">
        <w:t xml:space="preserve"> The </w:t>
      </w:r>
      <w:r w:rsidR="006A65D6">
        <w:lastRenderedPageBreak/>
        <w:t xml:space="preserve">exemption provided in the Determination builds on the temporary </w:t>
      </w:r>
      <w:r w:rsidR="008E6080">
        <w:t xml:space="preserve">payroll tax </w:t>
      </w:r>
      <w:r w:rsidR="006A65D6">
        <w:t xml:space="preserve">amnesty for general practitioners that was in place until 30 June 2025. </w:t>
      </w:r>
    </w:p>
    <w:p w14:paraId="6E97582B" w14:textId="77777777" w:rsidR="00ED52E5" w:rsidRDefault="00ED52E5" w:rsidP="008B14DD">
      <w:pPr>
        <w:jc w:val="both"/>
      </w:pPr>
    </w:p>
    <w:p w14:paraId="0CA37744" w14:textId="1AEE99DF" w:rsidR="00ED52E5" w:rsidRDefault="00ED52E5" w:rsidP="008B14DD">
      <w:pPr>
        <w:jc w:val="both"/>
      </w:pPr>
      <w:r>
        <w:t xml:space="preserve">The Determination does not apply to wages paid or payable to general practitioners prior to 1 July 2025. </w:t>
      </w:r>
    </w:p>
    <w:p w14:paraId="0E075A36" w14:textId="77777777" w:rsidR="005061EC" w:rsidRDefault="005061EC" w:rsidP="008B14DD">
      <w:pPr>
        <w:jc w:val="both"/>
        <w:rPr>
          <w:rFonts w:ascii="Arial" w:hAnsi="Arial" w:cs="Arial"/>
          <w:b/>
          <w:sz w:val="26"/>
          <w:szCs w:val="26"/>
        </w:rPr>
      </w:pPr>
    </w:p>
    <w:p w14:paraId="25B7FCAF" w14:textId="1209F3ED" w:rsidR="006216F6" w:rsidRPr="00F44C41" w:rsidRDefault="006216F6" w:rsidP="008B14D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Details of the determination</w:t>
      </w:r>
    </w:p>
    <w:p w14:paraId="738059A4" w14:textId="292D7087" w:rsidR="006216F6" w:rsidRPr="00E95A0C" w:rsidRDefault="006216F6" w:rsidP="008B14DD">
      <w:pPr>
        <w:jc w:val="both"/>
      </w:pPr>
      <w:r w:rsidRPr="00E95A0C">
        <w:t>The Determination sets out, for the purposes of the exemption</w:t>
      </w:r>
      <w:r w:rsidR="008C616F" w:rsidRPr="00E95A0C">
        <w:t xml:space="preserve"> scheme</w:t>
      </w:r>
      <w:r w:rsidRPr="00E95A0C">
        <w:t xml:space="preserve">: </w:t>
      </w:r>
    </w:p>
    <w:p w14:paraId="23968302" w14:textId="33EF06B1" w:rsidR="006216F6" w:rsidRPr="008A2873" w:rsidRDefault="00E95A0C" w:rsidP="008B14DD">
      <w:pPr>
        <w:pStyle w:val="ListParagraph"/>
        <w:numPr>
          <w:ilvl w:val="0"/>
          <w:numId w:val="27"/>
        </w:numPr>
        <w:jc w:val="both"/>
      </w:pPr>
      <w:r w:rsidRPr="008A2873">
        <w:t>definitions</w:t>
      </w:r>
      <w:r w:rsidR="00ED52E5" w:rsidRPr="008A2873">
        <w:t xml:space="preserve"> (section </w:t>
      </w:r>
      <w:r w:rsidR="00FD6428" w:rsidRPr="008A2873">
        <w:t>3</w:t>
      </w:r>
      <w:r w:rsidR="00ED52E5" w:rsidRPr="008A2873">
        <w:t xml:space="preserve">); </w:t>
      </w:r>
    </w:p>
    <w:p w14:paraId="5E495126" w14:textId="77777777" w:rsidR="0023611D" w:rsidRDefault="00E95A0C" w:rsidP="008B14DD">
      <w:pPr>
        <w:pStyle w:val="ListParagraph"/>
        <w:numPr>
          <w:ilvl w:val="0"/>
          <w:numId w:val="27"/>
        </w:numPr>
        <w:jc w:val="both"/>
      </w:pPr>
      <w:r w:rsidRPr="008A2873">
        <w:t xml:space="preserve">meaning of </w:t>
      </w:r>
      <w:r w:rsidR="00D1132D">
        <w:t>exempt medical service</w:t>
      </w:r>
      <w:r w:rsidR="00ED52E5" w:rsidRPr="008A2873">
        <w:t xml:space="preserve"> (section </w:t>
      </w:r>
      <w:r w:rsidR="00FD6428" w:rsidRPr="008A2873">
        <w:t>4</w:t>
      </w:r>
      <w:r w:rsidR="00ED52E5" w:rsidRPr="008A2873">
        <w:t xml:space="preserve">); </w:t>
      </w:r>
    </w:p>
    <w:p w14:paraId="4EFB4841" w14:textId="0290297A" w:rsidR="00ED52E5" w:rsidRPr="008A2873" w:rsidRDefault="0023611D" w:rsidP="008B14DD">
      <w:pPr>
        <w:pStyle w:val="ListParagraph"/>
        <w:numPr>
          <w:ilvl w:val="0"/>
          <w:numId w:val="27"/>
        </w:numPr>
        <w:jc w:val="both"/>
      </w:pPr>
      <w:r>
        <w:t xml:space="preserve">meaning of exempt GP wages (section 4); </w:t>
      </w:r>
      <w:r w:rsidR="00ED52E5" w:rsidRPr="008A2873">
        <w:t xml:space="preserve">and </w:t>
      </w:r>
    </w:p>
    <w:p w14:paraId="3BF31468" w14:textId="3E7FE015" w:rsidR="00ED52E5" w:rsidRPr="008A2873" w:rsidRDefault="00E95A0C" w:rsidP="008B14DD">
      <w:pPr>
        <w:pStyle w:val="ListParagraph"/>
        <w:numPr>
          <w:ilvl w:val="0"/>
          <w:numId w:val="27"/>
        </w:numPr>
        <w:jc w:val="both"/>
      </w:pPr>
      <w:r w:rsidRPr="008A2873">
        <w:t>the exemption</w:t>
      </w:r>
      <w:r w:rsidR="00ED52E5" w:rsidRPr="008A2873">
        <w:t xml:space="preserve"> (section </w:t>
      </w:r>
      <w:r w:rsidR="00FD6428" w:rsidRPr="008A2873">
        <w:t>5</w:t>
      </w:r>
      <w:r w:rsidR="00ED52E5" w:rsidRPr="008A2873">
        <w:t xml:space="preserve">). </w:t>
      </w:r>
    </w:p>
    <w:p w14:paraId="6ADD8119" w14:textId="77777777" w:rsidR="00C8200C" w:rsidRDefault="00C8200C" w:rsidP="008B14DD">
      <w:pPr>
        <w:jc w:val="both"/>
        <w:rPr>
          <w:highlight w:val="yellow"/>
        </w:rPr>
      </w:pPr>
    </w:p>
    <w:p w14:paraId="2A1A6116" w14:textId="3141C788" w:rsidR="00E95A0C" w:rsidRDefault="00E95A0C" w:rsidP="008B14DD">
      <w:pPr>
        <w:jc w:val="both"/>
      </w:pPr>
      <w:r w:rsidRPr="008A2873">
        <w:t xml:space="preserve">The </w:t>
      </w:r>
      <w:r>
        <w:t xml:space="preserve">Determination includes extensive referencing to the relevant Commonwealth legislation </w:t>
      </w:r>
      <w:r w:rsidR="00F26244">
        <w:t xml:space="preserve">for the definitions of medical terms. For example, the meaning of a general practitioner, bulk-billed, and general medical services table. The </w:t>
      </w:r>
      <w:r w:rsidR="00F70578">
        <w:t>Determination adopts the definition of these terms as outlined in the Commonwealth legislation, such as</w:t>
      </w:r>
      <w:r w:rsidR="00B1182E">
        <w:t xml:space="preserve"> in </w:t>
      </w:r>
      <w:r w:rsidR="00F70578">
        <w:t xml:space="preserve">the </w:t>
      </w:r>
      <w:r w:rsidR="00F70578">
        <w:rPr>
          <w:i/>
          <w:iCs/>
        </w:rPr>
        <w:t xml:space="preserve">Health Insurance Act 1973 </w:t>
      </w:r>
      <w:r w:rsidR="00F70578">
        <w:t xml:space="preserve">(Cwlth). </w:t>
      </w:r>
    </w:p>
    <w:p w14:paraId="5107FB80" w14:textId="77777777" w:rsidR="008537EA" w:rsidRDefault="008537EA" w:rsidP="008B14DD">
      <w:pPr>
        <w:jc w:val="both"/>
      </w:pPr>
    </w:p>
    <w:p w14:paraId="2B0FAD24" w14:textId="33DBECCF" w:rsidR="008537EA" w:rsidRDefault="00D1132D" w:rsidP="008B14DD">
      <w:pPr>
        <w:jc w:val="both"/>
      </w:pPr>
      <w:r>
        <w:rPr>
          <w:i/>
          <w:iCs/>
        </w:rPr>
        <w:t>Exempt medical service</w:t>
      </w:r>
      <w:r w:rsidR="008537EA">
        <w:t xml:space="preserve"> is a unique term for the Determination </w:t>
      </w:r>
      <w:r w:rsidR="00036C24">
        <w:t>for</w:t>
      </w:r>
      <w:r w:rsidR="008537EA">
        <w:t xml:space="preserve"> the definition of medical services provided by a general practitioner that are</w:t>
      </w:r>
      <w:r w:rsidR="00036C24">
        <w:t xml:space="preserve"> either: </w:t>
      </w:r>
    </w:p>
    <w:p w14:paraId="327C1A21" w14:textId="0B4ADC7C" w:rsidR="00036C24" w:rsidRDefault="00036C24" w:rsidP="008B14DD">
      <w:pPr>
        <w:pStyle w:val="ListParagraph"/>
        <w:numPr>
          <w:ilvl w:val="0"/>
          <w:numId w:val="28"/>
        </w:numPr>
        <w:jc w:val="both"/>
      </w:pPr>
      <w:r>
        <w:t xml:space="preserve">bulk billed; or </w:t>
      </w:r>
    </w:p>
    <w:p w14:paraId="6A641DE8" w14:textId="28E92D03" w:rsidR="00036C24" w:rsidRDefault="00930F66" w:rsidP="008B14DD">
      <w:pPr>
        <w:pStyle w:val="ListParagraph"/>
        <w:numPr>
          <w:ilvl w:val="0"/>
          <w:numId w:val="28"/>
        </w:numPr>
        <w:jc w:val="both"/>
      </w:pPr>
      <w:r>
        <w:t xml:space="preserve">delivered </w:t>
      </w:r>
      <w:r w:rsidR="00036C24">
        <w:t xml:space="preserve">under Part V of the </w:t>
      </w:r>
      <w:r w:rsidR="00036C24">
        <w:rPr>
          <w:i/>
          <w:iCs/>
        </w:rPr>
        <w:t xml:space="preserve">Veterans’ Entitlements Act 1986 </w:t>
      </w:r>
      <w:r w:rsidR="00036C24">
        <w:t xml:space="preserve">(Cwlth); or </w:t>
      </w:r>
    </w:p>
    <w:p w14:paraId="67FBF62A" w14:textId="0F5161C4" w:rsidR="00036C24" w:rsidRPr="00F70578" w:rsidRDefault="00531A9D" w:rsidP="008B14DD">
      <w:pPr>
        <w:pStyle w:val="ListParagraph"/>
        <w:numPr>
          <w:ilvl w:val="0"/>
          <w:numId w:val="28"/>
        </w:numPr>
        <w:jc w:val="both"/>
      </w:pPr>
      <w:r>
        <w:t xml:space="preserve">delivered </w:t>
      </w:r>
      <w:r w:rsidR="00036C24">
        <w:t xml:space="preserve">under the </w:t>
      </w:r>
      <w:r w:rsidR="00036C24">
        <w:rPr>
          <w:i/>
          <w:iCs/>
        </w:rPr>
        <w:t>Workers Compensation Act 1951</w:t>
      </w:r>
      <w:r w:rsidR="00036C24">
        <w:t xml:space="preserve">. </w:t>
      </w:r>
    </w:p>
    <w:p w14:paraId="1177CADA" w14:textId="77777777" w:rsidR="00F26244" w:rsidRPr="008A2873" w:rsidRDefault="00F26244" w:rsidP="008B14DD">
      <w:pPr>
        <w:jc w:val="both"/>
      </w:pPr>
    </w:p>
    <w:p w14:paraId="130270BD" w14:textId="35737D35" w:rsidR="00E95A0C" w:rsidRDefault="00345316" w:rsidP="008B14DD">
      <w:pPr>
        <w:jc w:val="both"/>
      </w:pPr>
      <w:r w:rsidRPr="008A2873">
        <w:t>A designated</w:t>
      </w:r>
      <w:r>
        <w:t xml:space="preserve"> medical practice </w:t>
      </w:r>
      <w:r w:rsidR="00CB5A70">
        <w:t>engages a general practitioner who provides a</w:t>
      </w:r>
      <w:r w:rsidR="00DA4B1D">
        <w:t>n</w:t>
      </w:r>
      <w:r w:rsidR="00CB5A70">
        <w:t xml:space="preserve"> </w:t>
      </w:r>
      <w:r w:rsidR="00DA4B1D">
        <w:t>exempt medical</w:t>
      </w:r>
      <w:r w:rsidR="00CB5A70">
        <w:t xml:space="preserve"> service. General practitioner has the same meaning as in the </w:t>
      </w:r>
      <w:r w:rsidR="00CB5A70">
        <w:rPr>
          <w:i/>
          <w:iCs/>
        </w:rPr>
        <w:t xml:space="preserve">Health Insurance Act 1973 </w:t>
      </w:r>
      <w:r w:rsidR="00CB5A70">
        <w:t>(Cwlth)</w:t>
      </w:r>
      <w:r w:rsidR="00BB075E">
        <w:t xml:space="preserve"> which will include medical practitioners who are registered under the Health Practitioner Regulation National Law in the speciality of general practice, trainee </w:t>
      </w:r>
      <w:r w:rsidR="000260A2">
        <w:t>general practitioners</w:t>
      </w:r>
      <w:r w:rsidR="00531A9D">
        <w:t>,</w:t>
      </w:r>
      <w:r w:rsidR="000260A2">
        <w:t xml:space="preserve"> </w:t>
      </w:r>
      <w:r w:rsidR="00BB075E">
        <w:t xml:space="preserve">etc. </w:t>
      </w:r>
    </w:p>
    <w:p w14:paraId="47C8B7C4" w14:textId="63B72890" w:rsidR="00BB075E" w:rsidRDefault="00BB075E" w:rsidP="008B14DD">
      <w:pPr>
        <w:jc w:val="both"/>
      </w:pPr>
    </w:p>
    <w:p w14:paraId="6D079D6F" w14:textId="74EC4030" w:rsidR="00BB075E" w:rsidRDefault="00BB075E" w:rsidP="008B14DD">
      <w:pPr>
        <w:jc w:val="both"/>
      </w:pPr>
      <w:r>
        <w:t xml:space="preserve">Employers that are a designated medical practice are exempt from the requirement to pay payroll tax under the Act in relation to </w:t>
      </w:r>
      <w:r w:rsidR="0023611D">
        <w:t xml:space="preserve">exempt </w:t>
      </w:r>
      <w:r>
        <w:t xml:space="preserve">GP wages. </w:t>
      </w:r>
      <w:r w:rsidR="0023611D">
        <w:t xml:space="preserve">Exempt </w:t>
      </w:r>
      <w:r>
        <w:t xml:space="preserve">GP wages is defined </w:t>
      </w:r>
      <w:r w:rsidR="008C6846">
        <w:t>as wages paid or payable by the designated medical practice to a general practitioner that are attributable to a</w:t>
      </w:r>
      <w:r w:rsidR="00DA4B1D">
        <w:t>n</w:t>
      </w:r>
      <w:r w:rsidR="008C6846">
        <w:t xml:space="preserve"> </w:t>
      </w:r>
      <w:r w:rsidR="00DA4B1D">
        <w:t>exempt medical</w:t>
      </w:r>
      <w:r w:rsidR="008C6846">
        <w:t xml:space="preserve"> service. </w:t>
      </w:r>
    </w:p>
    <w:p w14:paraId="2B013431" w14:textId="00F97C40" w:rsidR="00BC2C42" w:rsidRPr="00C8200C" w:rsidRDefault="00BC2C42" w:rsidP="008B14DD">
      <w:pPr>
        <w:jc w:val="both"/>
        <w:rPr>
          <w:highlight w:val="yellow"/>
        </w:rPr>
      </w:pPr>
    </w:p>
    <w:p w14:paraId="68CBA645" w14:textId="40378F35" w:rsidR="008C6846" w:rsidRDefault="008C6846" w:rsidP="008B14DD">
      <w:pPr>
        <w:jc w:val="both"/>
      </w:pPr>
      <w:r>
        <w:t xml:space="preserve">Medical service is defined with reference to the general medical services table which has the same meaning as in the </w:t>
      </w:r>
      <w:r w:rsidRPr="00914205">
        <w:rPr>
          <w:i/>
          <w:iCs/>
        </w:rPr>
        <w:t>Health Insurance Act 1973</w:t>
      </w:r>
      <w:r>
        <w:t xml:space="preserve"> (Cwlth). </w:t>
      </w:r>
      <w:r w:rsidR="00CF7242">
        <w:t xml:space="preserve">Bulk-billed has the same meaning as in the </w:t>
      </w:r>
      <w:r w:rsidR="00CF7242">
        <w:rPr>
          <w:i/>
          <w:iCs/>
        </w:rPr>
        <w:t xml:space="preserve">Health Insurance (General Medical Services Table) Regulations 2021 </w:t>
      </w:r>
      <w:r w:rsidR="00CF7242">
        <w:t xml:space="preserve">(Cwlth). </w:t>
      </w:r>
      <w:r w:rsidR="008A1078">
        <w:t xml:space="preserve">Medicare items are also defined with reference to the general medical services table </w:t>
      </w:r>
      <w:r w:rsidR="00CF7242">
        <w:t xml:space="preserve">and included with bulk-billed. </w:t>
      </w:r>
    </w:p>
    <w:p w14:paraId="608AD514" w14:textId="77777777" w:rsidR="008A1078" w:rsidRDefault="008A1078" w:rsidP="008B14DD">
      <w:pPr>
        <w:jc w:val="both"/>
      </w:pPr>
    </w:p>
    <w:p w14:paraId="321B91C4" w14:textId="7F69FFDF" w:rsidR="009D2D0D" w:rsidRDefault="00CF7242" w:rsidP="008B14DD">
      <w:pPr>
        <w:jc w:val="both"/>
      </w:pPr>
      <w:r>
        <w:t>The policy intention is to replicate the GP exemption available in both Victoria and South Australia</w:t>
      </w:r>
      <w:r w:rsidR="000260A2">
        <w:t>,</w:t>
      </w:r>
      <w:r>
        <w:t xml:space="preserve"> which expands the concept of the equivalent term of ‘</w:t>
      </w:r>
      <w:r w:rsidR="00DA4B1D">
        <w:t>exempt medical</w:t>
      </w:r>
      <w:r>
        <w:t xml:space="preserve"> service’ to include payments to Veterans and under their relevant workers compensation schemes. </w:t>
      </w:r>
    </w:p>
    <w:p w14:paraId="38950ED5" w14:textId="26675AF0" w:rsidR="0023611D" w:rsidRDefault="0023611D">
      <w:r>
        <w:br w:type="page"/>
      </w:r>
    </w:p>
    <w:p w14:paraId="1D4F49B9" w14:textId="05D1EDA5" w:rsidR="00B55485" w:rsidRPr="00F44C41" w:rsidRDefault="00B55485" w:rsidP="008B14D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The Exemption</w:t>
      </w:r>
    </w:p>
    <w:p w14:paraId="11640D3D" w14:textId="77777777" w:rsidR="00B55485" w:rsidRDefault="00B55485" w:rsidP="008B14DD">
      <w:pPr>
        <w:jc w:val="both"/>
      </w:pPr>
    </w:p>
    <w:p w14:paraId="103856E7" w14:textId="05AB22D6" w:rsidR="00AD618A" w:rsidRDefault="00AD618A" w:rsidP="008B14DD">
      <w:pPr>
        <w:jc w:val="both"/>
      </w:pPr>
      <w:r>
        <w:t xml:space="preserve">A designated medical practice is exempt from the liability to pay payroll tax if the GP excluded total </w:t>
      </w:r>
      <w:r w:rsidR="009D2D0D">
        <w:t xml:space="preserve">wages for the financial year is less than the annual threshold amount or annual threshold amount as determined under </w:t>
      </w:r>
      <w:r w:rsidR="009D2D0D" w:rsidRPr="008A2873">
        <w:rPr>
          <w:i/>
          <w:iCs/>
        </w:rPr>
        <w:t>Taxation Administration Act 1999</w:t>
      </w:r>
      <w:r w:rsidR="009D2D0D" w:rsidRPr="009D2D0D">
        <w:t>,</w:t>
      </w:r>
      <w:r w:rsidR="009D2D0D">
        <w:t xml:space="preserve"> section 139. </w:t>
      </w:r>
    </w:p>
    <w:p w14:paraId="6240D417" w14:textId="2C677450" w:rsidR="006E6D9B" w:rsidRDefault="006E6D9B" w:rsidP="008B14DD">
      <w:pPr>
        <w:jc w:val="both"/>
      </w:pPr>
    </w:p>
    <w:p w14:paraId="1B65915A" w14:textId="275CBDA5" w:rsidR="008A1078" w:rsidRDefault="00BA30B7" w:rsidP="008B14DD">
      <w:pPr>
        <w:jc w:val="both"/>
      </w:pPr>
      <w:r>
        <w:t xml:space="preserve">A </w:t>
      </w:r>
      <w:r w:rsidR="006E6D9B">
        <w:t xml:space="preserve">designated medical practice is exempt from the requirement to pay the annual surcharge rate or monthly surcharge rate if GP excluded total wages are </w:t>
      </w:r>
      <w:r w:rsidR="00DF38C8">
        <w:t xml:space="preserve">below the amounts as determined under </w:t>
      </w:r>
      <w:r w:rsidR="00DF38C8" w:rsidRPr="007A17ED">
        <w:rPr>
          <w:i/>
          <w:iCs/>
        </w:rPr>
        <w:t>Taxation Administration Act 1999</w:t>
      </w:r>
      <w:r w:rsidR="00DF38C8" w:rsidRPr="009D2D0D">
        <w:t>,</w:t>
      </w:r>
      <w:r w:rsidR="00DF38C8">
        <w:t xml:space="preserve"> section 139. </w:t>
      </w:r>
    </w:p>
    <w:p w14:paraId="48760E1D" w14:textId="77777777" w:rsidR="00B55485" w:rsidRDefault="00B55485" w:rsidP="008B14DD">
      <w:pPr>
        <w:jc w:val="both"/>
      </w:pPr>
    </w:p>
    <w:p w14:paraId="4E49714E" w14:textId="650B9FD2" w:rsidR="002B56F5" w:rsidRDefault="00B55485" w:rsidP="008B14DD">
      <w:pPr>
        <w:jc w:val="both"/>
      </w:pPr>
      <w:r>
        <w:t xml:space="preserve">The provisions focus </w:t>
      </w:r>
      <w:r w:rsidR="00053198">
        <w:t xml:space="preserve">specifically </w:t>
      </w:r>
      <w:r>
        <w:t>on excluding</w:t>
      </w:r>
      <w:r w:rsidR="00B1182E">
        <w:t xml:space="preserve"> </w:t>
      </w:r>
      <w:r w:rsidR="0023611D">
        <w:t xml:space="preserve">exempt </w:t>
      </w:r>
      <w:r>
        <w:t>GP wages</w:t>
      </w:r>
      <w:r w:rsidR="00053198">
        <w:t xml:space="preserve"> as defined in the Determination</w:t>
      </w:r>
      <w:r>
        <w:t xml:space="preserve"> from </w:t>
      </w:r>
      <w:r w:rsidR="002B56F5">
        <w:t xml:space="preserve">an employer’s (and </w:t>
      </w:r>
      <w:r w:rsidR="008D7E62">
        <w:t>its group’s) taxable and total wages</w:t>
      </w:r>
      <w:r w:rsidR="002B56F5">
        <w:t xml:space="preserve"> for the </w:t>
      </w:r>
      <w:r w:rsidR="008D7E62">
        <w:t xml:space="preserve">purpose of calculating </w:t>
      </w:r>
      <w:r w:rsidR="002B56F5">
        <w:t>ACT payroll tax.</w:t>
      </w:r>
    </w:p>
    <w:p w14:paraId="14D5BEF0" w14:textId="77777777" w:rsidR="002B56F5" w:rsidRDefault="002B56F5" w:rsidP="008B14DD">
      <w:pPr>
        <w:jc w:val="both"/>
      </w:pPr>
    </w:p>
    <w:p w14:paraId="06DD59FB" w14:textId="77777777" w:rsidR="00CC4A5C" w:rsidRDefault="00CC4A5C" w:rsidP="008B14DD">
      <w:pPr>
        <w:keepNext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Human Rights Act 2004</w:t>
      </w:r>
    </w:p>
    <w:p w14:paraId="74D1AD86" w14:textId="77777777" w:rsidR="00CC4A5C" w:rsidRDefault="00CC4A5C" w:rsidP="008B14DD">
      <w:pPr>
        <w:jc w:val="both"/>
        <w:rPr>
          <w:rFonts w:ascii="Arial" w:hAnsi="Arial" w:cs="Arial"/>
          <w:b/>
          <w:sz w:val="26"/>
          <w:szCs w:val="26"/>
        </w:rPr>
      </w:pPr>
    </w:p>
    <w:p w14:paraId="6D0A51EC" w14:textId="5AA34CFD" w:rsidR="006D404A" w:rsidRDefault="006D404A" w:rsidP="008B14DD">
      <w:pPr>
        <w:jc w:val="both"/>
      </w:pPr>
      <w:r>
        <w:t xml:space="preserve">In accordance with section 137E (4) of the </w:t>
      </w:r>
      <w:r>
        <w:rPr>
          <w:i/>
          <w:iCs/>
        </w:rPr>
        <w:t>Taxation Administration Act 1999</w:t>
      </w:r>
      <w:r>
        <w:t>, the Determination includes a statement about whether the scheme is consistent with human rights.</w:t>
      </w:r>
    </w:p>
    <w:p w14:paraId="76B4390C" w14:textId="199D2CDB" w:rsidR="006D404A" w:rsidRDefault="006D404A" w:rsidP="008B14DD">
      <w:pPr>
        <w:jc w:val="both"/>
      </w:pPr>
    </w:p>
    <w:p w14:paraId="09A80D57" w14:textId="6718F86D" w:rsidR="00DF38C8" w:rsidRDefault="006D404A" w:rsidP="008B14DD">
      <w:pPr>
        <w:jc w:val="both"/>
      </w:pPr>
      <w:r>
        <w:t xml:space="preserve">This instrument provides an exemption </w:t>
      </w:r>
      <w:r w:rsidR="00DF38C8">
        <w:t xml:space="preserve">from a liability to pay payroll tax for designated medical practices who engage general practitioners that are </w:t>
      </w:r>
      <w:r w:rsidR="00743FCE">
        <w:t xml:space="preserve">an </w:t>
      </w:r>
      <w:r w:rsidR="00755FF2">
        <w:t>exempt medical service</w:t>
      </w:r>
      <w:r w:rsidR="00DF38C8">
        <w:t xml:space="preserve">. </w:t>
      </w:r>
    </w:p>
    <w:p w14:paraId="5CE04775" w14:textId="3A83168A" w:rsidR="006D404A" w:rsidRDefault="006D404A" w:rsidP="008B14DD">
      <w:pPr>
        <w:jc w:val="both"/>
      </w:pPr>
    </w:p>
    <w:p w14:paraId="0D12E6C3" w14:textId="232244B9" w:rsidR="00720767" w:rsidRDefault="006D404A" w:rsidP="008B14DD">
      <w:pPr>
        <w:jc w:val="both"/>
      </w:pPr>
      <w:r w:rsidRPr="00D50F41">
        <w:t>The ACT Human Rights Commission has been consulted.</w:t>
      </w:r>
    </w:p>
    <w:sectPr w:rsidR="00720767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B32D" w14:textId="77777777" w:rsidR="00B07F03" w:rsidRDefault="00B07F03">
      <w:r>
        <w:separator/>
      </w:r>
    </w:p>
  </w:endnote>
  <w:endnote w:type="continuationSeparator" w:id="0">
    <w:p w14:paraId="22F1F6CB" w14:textId="77777777" w:rsidR="00B07F03" w:rsidRDefault="00B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B49D" w14:textId="77777777" w:rsidR="00AB632E" w:rsidRDefault="00AB6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D5CB" w14:textId="57204FC2" w:rsidR="00480221" w:rsidRPr="00AB632E" w:rsidRDefault="00AB632E" w:rsidP="00AB632E">
    <w:pPr>
      <w:pStyle w:val="Footer"/>
      <w:jc w:val="center"/>
      <w:rPr>
        <w:rFonts w:cs="Arial"/>
        <w:sz w:val="14"/>
      </w:rPr>
    </w:pPr>
    <w:r w:rsidRPr="00AB632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DB8" w14:textId="77777777" w:rsidR="00AB632E" w:rsidRDefault="00AB6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414C" w14:textId="77777777" w:rsidR="00B07F03" w:rsidRDefault="00B07F03">
      <w:r>
        <w:separator/>
      </w:r>
    </w:p>
  </w:footnote>
  <w:footnote w:type="continuationSeparator" w:id="0">
    <w:p w14:paraId="5FDA7467" w14:textId="77777777" w:rsidR="00B07F03" w:rsidRDefault="00B0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4D7A" w14:textId="77777777" w:rsidR="00AB632E" w:rsidRDefault="00AB6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7CEB" w14:textId="77777777" w:rsidR="00AB632E" w:rsidRDefault="00AB6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5A14" w14:textId="77777777" w:rsidR="00AB632E" w:rsidRDefault="00AB6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3D345B"/>
    <w:multiLevelType w:val="hybridMultilevel"/>
    <w:tmpl w:val="8D3EE71E"/>
    <w:lvl w:ilvl="0" w:tplc="8626DDA8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3C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DD14CBD"/>
    <w:multiLevelType w:val="hybridMultilevel"/>
    <w:tmpl w:val="B504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B07E2"/>
    <w:multiLevelType w:val="hybridMultilevel"/>
    <w:tmpl w:val="2140E16E"/>
    <w:lvl w:ilvl="0" w:tplc="098EE762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60581B"/>
    <w:multiLevelType w:val="hybridMultilevel"/>
    <w:tmpl w:val="2CFAD568"/>
    <w:lvl w:ilvl="0" w:tplc="1B5CF25A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214C"/>
    <w:multiLevelType w:val="hybridMultilevel"/>
    <w:tmpl w:val="57143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54EE"/>
    <w:multiLevelType w:val="hybridMultilevel"/>
    <w:tmpl w:val="075E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5913555"/>
    <w:multiLevelType w:val="hybridMultilevel"/>
    <w:tmpl w:val="8D5223B0"/>
    <w:lvl w:ilvl="0" w:tplc="641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F527338"/>
    <w:multiLevelType w:val="hybridMultilevel"/>
    <w:tmpl w:val="CD56F51A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5600"/>
    <w:multiLevelType w:val="hybridMultilevel"/>
    <w:tmpl w:val="2E50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D1448"/>
    <w:multiLevelType w:val="hybridMultilevel"/>
    <w:tmpl w:val="23608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13E8"/>
    <w:multiLevelType w:val="hybridMultilevel"/>
    <w:tmpl w:val="9BEEA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F35E7"/>
    <w:multiLevelType w:val="multilevel"/>
    <w:tmpl w:val="2CB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62CA262A"/>
    <w:multiLevelType w:val="hybridMultilevel"/>
    <w:tmpl w:val="193C668C"/>
    <w:lvl w:ilvl="0" w:tplc="500A2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4D6C"/>
    <w:multiLevelType w:val="hybridMultilevel"/>
    <w:tmpl w:val="EB8AD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40DE0"/>
    <w:multiLevelType w:val="hybridMultilevel"/>
    <w:tmpl w:val="CC9AC6FA"/>
    <w:lvl w:ilvl="0" w:tplc="F1C84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E4DA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E2C2198"/>
    <w:multiLevelType w:val="hybridMultilevel"/>
    <w:tmpl w:val="F5D8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6440E"/>
    <w:multiLevelType w:val="hybridMultilevel"/>
    <w:tmpl w:val="11044406"/>
    <w:lvl w:ilvl="0" w:tplc="24E846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49971">
    <w:abstractNumId w:val="4"/>
  </w:num>
  <w:num w:numId="2" w16cid:durableId="1902206662">
    <w:abstractNumId w:val="0"/>
  </w:num>
  <w:num w:numId="3" w16cid:durableId="1136796719">
    <w:abstractNumId w:val="6"/>
  </w:num>
  <w:num w:numId="4" w16cid:durableId="1088309015">
    <w:abstractNumId w:val="14"/>
  </w:num>
  <w:num w:numId="5" w16cid:durableId="1312367986">
    <w:abstractNumId w:val="26"/>
  </w:num>
  <w:num w:numId="6" w16cid:durableId="1592549705">
    <w:abstractNumId w:val="3"/>
  </w:num>
  <w:num w:numId="7" w16cid:durableId="1566800463">
    <w:abstractNumId w:val="11"/>
  </w:num>
  <w:num w:numId="8" w16cid:durableId="736124436">
    <w:abstractNumId w:val="13"/>
  </w:num>
  <w:num w:numId="9" w16cid:durableId="910120307">
    <w:abstractNumId w:val="5"/>
  </w:num>
  <w:num w:numId="10" w16cid:durableId="212621230">
    <w:abstractNumId w:val="21"/>
  </w:num>
  <w:num w:numId="11" w16cid:durableId="129323906">
    <w:abstractNumId w:val="18"/>
  </w:num>
  <w:num w:numId="12" w16cid:durableId="790855209">
    <w:abstractNumId w:val="7"/>
  </w:num>
  <w:num w:numId="13" w16cid:durableId="161967485">
    <w:abstractNumId w:val="25"/>
  </w:num>
  <w:num w:numId="14" w16cid:durableId="834952452">
    <w:abstractNumId w:val="2"/>
  </w:num>
  <w:num w:numId="15" w16cid:durableId="1403327842">
    <w:abstractNumId w:val="10"/>
  </w:num>
  <w:num w:numId="16" w16cid:durableId="296034109">
    <w:abstractNumId w:val="27"/>
  </w:num>
  <w:num w:numId="17" w16cid:durableId="1226181982">
    <w:abstractNumId w:val="17"/>
  </w:num>
  <w:num w:numId="18" w16cid:durableId="1327785247">
    <w:abstractNumId w:val="19"/>
  </w:num>
  <w:num w:numId="19" w16cid:durableId="38287270">
    <w:abstractNumId w:val="1"/>
  </w:num>
  <w:num w:numId="20" w16cid:durableId="1885406945">
    <w:abstractNumId w:val="16"/>
  </w:num>
  <w:num w:numId="21" w16cid:durableId="381635482">
    <w:abstractNumId w:val="24"/>
  </w:num>
  <w:num w:numId="22" w16cid:durableId="1888906918">
    <w:abstractNumId w:val="28"/>
  </w:num>
  <w:num w:numId="23" w16cid:durableId="530264233">
    <w:abstractNumId w:val="9"/>
  </w:num>
  <w:num w:numId="24" w16cid:durableId="604969411">
    <w:abstractNumId w:val="15"/>
  </w:num>
  <w:num w:numId="25" w16cid:durableId="1175848153">
    <w:abstractNumId w:val="8"/>
  </w:num>
  <w:num w:numId="26" w16cid:durableId="1955672740">
    <w:abstractNumId w:val="20"/>
  </w:num>
  <w:num w:numId="27" w16cid:durableId="374427381">
    <w:abstractNumId w:val="23"/>
  </w:num>
  <w:num w:numId="28" w16cid:durableId="725950209">
    <w:abstractNumId w:val="22"/>
  </w:num>
  <w:num w:numId="29" w16cid:durableId="182012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026F"/>
    <w:rsid w:val="000003A2"/>
    <w:rsid w:val="0000132C"/>
    <w:rsid w:val="00001F9E"/>
    <w:rsid w:val="00010513"/>
    <w:rsid w:val="00010C58"/>
    <w:rsid w:val="00012E60"/>
    <w:rsid w:val="00015713"/>
    <w:rsid w:val="00016023"/>
    <w:rsid w:val="0001776D"/>
    <w:rsid w:val="0002003B"/>
    <w:rsid w:val="00020F86"/>
    <w:rsid w:val="00021445"/>
    <w:rsid w:val="0002283C"/>
    <w:rsid w:val="000260A2"/>
    <w:rsid w:val="00027CE7"/>
    <w:rsid w:val="00031BDC"/>
    <w:rsid w:val="0003237C"/>
    <w:rsid w:val="000341B5"/>
    <w:rsid w:val="0003630E"/>
    <w:rsid w:val="00036C24"/>
    <w:rsid w:val="00041BC5"/>
    <w:rsid w:val="00043265"/>
    <w:rsid w:val="00046F8A"/>
    <w:rsid w:val="00047EDF"/>
    <w:rsid w:val="00053198"/>
    <w:rsid w:val="000552FA"/>
    <w:rsid w:val="00055EB0"/>
    <w:rsid w:val="000715CB"/>
    <w:rsid w:val="00071F00"/>
    <w:rsid w:val="0007271C"/>
    <w:rsid w:val="00073440"/>
    <w:rsid w:val="00081CA7"/>
    <w:rsid w:val="00081DF5"/>
    <w:rsid w:val="00081EAB"/>
    <w:rsid w:val="00083237"/>
    <w:rsid w:val="000843E4"/>
    <w:rsid w:val="00084553"/>
    <w:rsid w:val="00087703"/>
    <w:rsid w:val="00091E5A"/>
    <w:rsid w:val="00092B51"/>
    <w:rsid w:val="00093172"/>
    <w:rsid w:val="000A0EC2"/>
    <w:rsid w:val="000B15FF"/>
    <w:rsid w:val="000B2B21"/>
    <w:rsid w:val="000B5894"/>
    <w:rsid w:val="000C1050"/>
    <w:rsid w:val="000C183A"/>
    <w:rsid w:val="000C5146"/>
    <w:rsid w:val="000C5F25"/>
    <w:rsid w:val="000D3A86"/>
    <w:rsid w:val="000F0E2A"/>
    <w:rsid w:val="000F38B8"/>
    <w:rsid w:val="001013D1"/>
    <w:rsid w:val="00104AB5"/>
    <w:rsid w:val="00112312"/>
    <w:rsid w:val="00117BDD"/>
    <w:rsid w:val="00125113"/>
    <w:rsid w:val="00127894"/>
    <w:rsid w:val="00133C4C"/>
    <w:rsid w:val="0013734E"/>
    <w:rsid w:val="00143744"/>
    <w:rsid w:val="001460DF"/>
    <w:rsid w:val="001529C2"/>
    <w:rsid w:val="001533F4"/>
    <w:rsid w:val="001570EB"/>
    <w:rsid w:val="00160FF7"/>
    <w:rsid w:val="00162E21"/>
    <w:rsid w:val="001659A2"/>
    <w:rsid w:val="00170015"/>
    <w:rsid w:val="001737AF"/>
    <w:rsid w:val="00177FE4"/>
    <w:rsid w:val="00181A1C"/>
    <w:rsid w:val="001842E0"/>
    <w:rsid w:val="00184665"/>
    <w:rsid w:val="001866CC"/>
    <w:rsid w:val="00194187"/>
    <w:rsid w:val="00195FA1"/>
    <w:rsid w:val="00197020"/>
    <w:rsid w:val="00197B63"/>
    <w:rsid w:val="001A0ADE"/>
    <w:rsid w:val="001A23DC"/>
    <w:rsid w:val="001A6534"/>
    <w:rsid w:val="001A6800"/>
    <w:rsid w:val="001A773D"/>
    <w:rsid w:val="001B59B2"/>
    <w:rsid w:val="001C249D"/>
    <w:rsid w:val="001C5686"/>
    <w:rsid w:val="001C5EAD"/>
    <w:rsid w:val="001C6915"/>
    <w:rsid w:val="001C716F"/>
    <w:rsid w:val="001D2184"/>
    <w:rsid w:val="001D31ED"/>
    <w:rsid w:val="001D3D73"/>
    <w:rsid w:val="001D6DE7"/>
    <w:rsid w:val="001E3D2D"/>
    <w:rsid w:val="001E6C23"/>
    <w:rsid w:val="001F1F9A"/>
    <w:rsid w:val="001F3298"/>
    <w:rsid w:val="001F56D4"/>
    <w:rsid w:val="001F63EC"/>
    <w:rsid w:val="002022D8"/>
    <w:rsid w:val="00211BE2"/>
    <w:rsid w:val="0021279A"/>
    <w:rsid w:val="00217E47"/>
    <w:rsid w:val="00220028"/>
    <w:rsid w:val="00221691"/>
    <w:rsid w:val="0022254E"/>
    <w:rsid w:val="0022498A"/>
    <w:rsid w:val="00233836"/>
    <w:rsid w:val="00233CF3"/>
    <w:rsid w:val="00235291"/>
    <w:rsid w:val="00235825"/>
    <w:rsid w:val="0023611D"/>
    <w:rsid w:val="00237826"/>
    <w:rsid w:val="0024204A"/>
    <w:rsid w:val="002421A1"/>
    <w:rsid w:val="002423EF"/>
    <w:rsid w:val="00242488"/>
    <w:rsid w:val="002518D7"/>
    <w:rsid w:val="00252748"/>
    <w:rsid w:val="002541D3"/>
    <w:rsid w:val="002564DE"/>
    <w:rsid w:val="00275B52"/>
    <w:rsid w:val="002816CC"/>
    <w:rsid w:val="002828D5"/>
    <w:rsid w:val="0028292B"/>
    <w:rsid w:val="002832DE"/>
    <w:rsid w:val="00286979"/>
    <w:rsid w:val="00290C35"/>
    <w:rsid w:val="00292AE1"/>
    <w:rsid w:val="002A609D"/>
    <w:rsid w:val="002B56F5"/>
    <w:rsid w:val="002B6096"/>
    <w:rsid w:val="002C036F"/>
    <w:rsid w:val="002C10B2"/>
    <w:rsid w:val="002C728D"/>
    <w:rsid w:val="002D10FF"/>
    <w:rsid w:val="002D6931"/>
    <w:rsid w:val="002E23CF"/>
    <w:rsid w:val="002E51F1"/>
    <w:rsid w:val="002E5DD2"/>
    <w:rsid w:val="002F4384"/>
    <w:rsid w:val="003031E1"/>
    <w:rsid w:val="00307B74"/>
    <w:rsid w:val="003101A0"/>
    <w:rsid w:val="003143D2"/>
    <w:rsid w:val="00314724"/>
    <w:rsid w:val="003148FB"/>
    <w:rsid w:val="00314AF0"/>
    <w:rsid w:val="003170E2"/>
    <w:rsid w:val="00321EC3"/>
    <w:rsid w:val="00324CB6"/>
    <w:rsid w:val="0033378F"/>
    <w:rsid w:val="0033454A"/>
    <w:rsid w:val="00336C6F"/>
    <w:rsid w:val="003415FD"/>
    <w:rsid w:val="0034365E"/>
    <w:rsid w:val="00344BE5"/>
    <w:rsid w:val="00345316"/>
    <w:rsid w:val="003573C5"/>
    <w:rsid w:val="0036425C"/>
    <w:rsid w:val="003648E0"/>
    <w:rsid w:val="00365E4A"/>
    <w:rsid w:val="0037075D"/>
    <w:rsid w:val="00376798"/>
    <w:rsid w:val="003808E3"/>
    <w:rsid w:val="00380BFF"/>
    <w:rsid w:val="00382522"/>
    <w:rsid w:val="00390519"/>
    <w:rsid w:val="003944EF"/>
    <w:rsid w:val="003946B4"/>
    <w:rsid w:val="00396D64"/>
    <w:rsid w:val="003A49BE"/>
    <w:rsid w:val="003A5919"/>
    <w:rsid w:val="003B2059"/>
    <w:rsid w:val="003B2544"/>
    <w:rsid w:val="003B2D20"/>
    <w:rsid w:val="003C1C8E"/>
    <w:rsid w:val="003C24D1"/>
    <w:rsid w:val="003D4909"/>
    <w:rsid w:val="003D5717"/>
    <w:rsid w:val="003E151C"/>
    <w:rsid w:val="003E55BE"/>
    <w:rsid w:val="003E68EE"/>
    <w:rsid w:val="003F25A2"/>
    <w:rsid w:val="003F2671"/>
    <w:rsid w:val="003F6177"/>
    <w:rsid w:val="003F69DD"/>
    <w:rsid w:val="00401F5F"/>
    <w:rsid w:val="00411018"/>
    <w:rsid w:val="00411F5A"/>
    <w:rsid w:val="00415521"/>
    <w:rsid w:val="004167E9"/>
    <w:rsid w:val="00424A9E"/>
    <w:rsid w:val="00424FED"/>
    <w:rsid w:val="0042518B"/>
    <w:rsid w:val="0042761A"/>
    <w:rsid w:val="00430151"/>
    <w:rsid w:val="00430507"/>
    <w:rsid w:val="00432A7C"/>
    <w:rsid w:val="0043357C"/>
    <w:rsid w:val="004367CF"/>
    <w:rsid w:val="004408AD"/>
    <w:rsid w:val="004429AF"/>
    <w:rsid w:val="00446DDD"/>
    <w:rsid w:val="00447E90"/>
    <w:rsid w:val="0045169B"/>
    <w:rsid w:val="00452DB6"/>
    <w:rsid w:val="00454973"/>
    <w:rsid w:val="00457661"/>
    <w:rsid w:val="00466BFC"/>
    <w:rsid w:val="00471C05"/>
    <w:rsid w:val="0047541C"/>
    <w:rsid w:val="00476206"/>
    <w:rsid w:val="00476614"/>
    <w:rsid w:val="00480221"/>
    <w:rsid w:val="0048504C"/>
    <w:rsid w:val="00485E1D"/>
    <w:rsid w:val="00490163"/>
    <w:rsid w:val="004924E9"/>
    <w:rsid w:val="004939FA"/>
    <w:rsid w:val="004958BF"/>
    <w:rsid w:val="004A719A"/>
    <w:rsid w:val="004B0AC9"/>
    <w:rsid w:val="004B5651"/>
    <w:rsid w:val="004B66E6"/>
    <w:rsid w:val="004C0842"/>
    <w:rsid w:val="004C4333"/>
    <w:rsid w:val="004C4A40"/>
    <w:rsid w:val="004C53B7"/>
    <w:rsid w:val="004C78BC"/>
    <w:rsid w:val="004E2DBC"/>
    <w:rsid w:val="004E544A"/>
    <w:rsid w:val="004F0374"/>
    <w:rsid w:val="004F3B84"/>
    <w:rsid w:val="004F3C1C"/>
    <w:rsid w:val="004F3D11"/>
    <w:rsid w:val="005061EC"/>
    <w:rsid w:val="005104D6"/>
    <w:rsid w:val="00511B62"/>
    <w:rsid w:val="0052639C"/>
    <w:rsid w:val="005276F1"/>
    <w:rsid w:val="0053158D"/>
    <w:rsid w:val="00531A9D"/>
    <w:rsid w:val="00535BF4"/>
    <w:rsid w:val="00536CFB"/>
    <w:rsid w:val="00544385"/>
    <w:rsid w:val="00544729"/>
    <w:rsid w:val="00553898"/>
    <w:rsid w:val="00553CE6"/>
    <w:rsid w:val="00557CA6"/>
    <w:rsid w:val="00557EA2"/>
    <w:rsid w:val="00563470"/>
    <w:rsid w:val="005648A2"/>
    <w:rsid w:val="00565168"/>
    <w:rsid w:val="005675E6"/>
    <w:rsid w:val="00572315"/>
    <w:rsid w:val="005759AF"/>
    <w:rsid w:val="005833A1"/>
    <w:rsid w:val="0058482F"/>
    <w:rsid w:val="005877E7"/>
    <w:rsid w:val="005923D4"/>
    <w:rsid w:val="00592409"/>
    <w:rsid w:val="00594DC0"/>
    <w:rsid w:val="00597914"/>
    <w:rsid w:val="00597EC2"/>
    <w:rsid w:val="005A2F3D"/>
    <w:rsid w:val="005A42F6"/>
    <w:rsid w:val="005B3607"/>
    <w:rsid w:val="005C4F31"/>
    <w:rsid w:val="005C5ABD"/>
    <w:rsid w:val="005C64EE"/>
    <w:rsid w:val="005C6581"/>
    <w:rsid w:val="005D70F1"/>
    <w:rsid w:val="005E098D"/>
    <w:rsid w:val="005E1C70"/>
    <w:rsid w:val="005E43C1"/>
    <w:rsid w:val="005E6B06"/>
    <w:rsid w:val="005E7FF4"/>
    <w:rsid w:val="005F3755"/>
    <w:rsid w:val="005F597E"/>
    <w:rsid w:val="006008A8"/>
    <w:rsid w:val="0061038C"/>
    <w:rsid w:val="00610BEA"/>
    <w:rsid w:val="00615425"/>
    <w:rsid w:val="006216F6"/>
    <w:rsid w:val="00622670"/>
    <w:rsid w:val="006227CB"/>
    <w:rsid w:val="00623B18"/>
    <w:rsid w:val="00625061"/>
    <w:rsid w:val="0062671D"/>
    <w:rsid w:val="00626A08"/>
    <w:rsid w:val="0063087D"/>
    <w:rsid w:val="00632D74"/>
    <w:rsid w:val="006359AA"/>
    <w:rsid w:val="00637481"/>
    <w:rsid w:val="0063782C"/>
    <w:rsid w:val="006423B6"/>
    <w:rsid w:val="00644E63"/>
    <w:rsid w:val="006463CF"/>
    <w:rsid w:val="00651331"/>
    <w:rsid w:val="00655C96"/>
    <w:rsid w:val="00655FD4"/>
    <w:rsid w:val="006619AA"/>
    <w:rsid w:val="0066239F"/>
    <w:rsid w:val="00664489"/>
    <w:rsid w:val="006650B4"/>
    <w:rsid w:val="00666DCA"/>
    <w:rsid w:val="00670FE9"/>
    <w:rsid w:val="00671F9A"/>
    <w:rsid w:val="006725D9"/>
    <w:rsid w:val="00674852"/>
    <w:rsid w:val="006753FB"/>
    <w:rsid w:val="00682893"/>
    <w:rsid w:val="006829B3"/>
    <w:rsid w:val="00683AD4"/>
    <w:rsid w:val="00691798"/>
    <w:rsid w:val="006929F8"/>
    <w:rsid w:val="0069507C"/>
    <w:rsid w:val="00695179"/>
    <w:rsid w:val="006A45B1"/>
    <w:rsid w:val="006A65D6"/>
    <w:rsid w:val="006B3FAF"/>
    <w:rsid w:val="006B61FD"/>
    <w:rsid w:val="006C178D"/>
    <w:rsid w:val="006C25D4"/>
    <w:rsid w:val="006C30E0"/>
    <w:rsid w:val="006C4293"/>
    <w:rsid w:val="006C51AA"/>
    <w:rsid w:val="006D003A"/>
    <w:rsid w:val="006D404A"/>
    <w:rsid w:val="006E0E62"/>
    <w:rsid w:val="006E1B95"/>
    <w:rsid w:val="006E1F6D"/>
    <w:rsid w:val="006E1FE1"/>
    <w:rsid w:val="006E52C4"/>
    <w:rsid w:val="006E6D9B"/>
    <w:rsid w:val="006F047C"/>
    <w:rsid w:val="00700F42"/>
    <w:rsid w:val="00702388"/>
    <w:rsid w:val="007030C3"/>
    <w:rsid w:val="00704196"/>
    <w:rsid w:val="00707D6A"/>
    <w:rsid w:val="00710A87"/>
    <w:rsid w:val="007136F5"/>
    <w:rsid w:val="007141C0"/>
    <w:rsid w:val="00720767"/>
    <w:rsid w:val="00720F3B"/>
    <w:rsid w:val="00725F6A"/>
    <w:rsid w:val="007276F9"/>
    <w:rsid w:val="007354FD"/>
    <w:rsid w:val="00736BBB"/>
    <w:rsid w:val="00743FCE"/>
    <w:rsid w:val="00750085"/>
    <w:rsid w:val="0075065A"/>
    <w:rsid w:val="00754A71"/>
    <w:rsid w:val="00755721"/>
    <w:rsid w:val="00755FF2"/>
    <w:rsid w:val="0076763A"/>
    <w:rsid w:val="00775277"/>
    <w:rsid w:val="00780032"/>
    <w:rsid w:val="00782AAC"/>
    <w:rsid w:val="0078326B"/>
    <w:rsid w:val="00783603"/>
    <w:rsid w:val="007868C2"/>
    <w:rsid w:val="00793D8F"/>
    <w:rsid w:val="00795D3D"/>
    <w:rsid w:val="007A15B5"/>
    <w:rsid w:val="007A17AE"/>
    <w:rsid w:val="007A526B"/>
    <w:rsid w:val="007A7D7D"/>
    <w:rsid w:val="007B5C81"/>
    <w:rsid w:val="007B785B"/>
    <w:rsid w:val="007C2BF5"/>
    <w:rsid w:val="007C6577"/>
    <w:rsid w:val="007C7035"/>
    <w:rsid w:val="007D1C64"/>
    <w:rsid w:val="007D70FB"/>
    <w:rsid w:val="007D767A"/>
    <w:rsid w:val="007E3D04"/>
    <w:rsid w:val="007E5DE6"/>
    <w:rsid w:val="007E7B2C"/>
    <w:rsid w:val="007F03F5"/>
    <w:rsid w:val="007F2FEC"/>
    <w:rsid w:val="007F65B1"/>
    <w:rsid w:val="00801C02"/>
    <w:rsid w:val="008020EC"/>
    <w:rsid w:val="00805515"/>
    <w:rsid w:val="00805C04"/>
    <w:rsid w:val="008071CE"/>
    <w:rsid w:val="00816F98"/>
    <w:rsid w:val="00820952"/>
    <w:rsid w:val="00820FC7"/>
    <w:rsid w:val="008215FE"/>
    <w:rsid w:val="00822662"/>
    <w:rsid w:val="00824ABD"/>
    <w:rsid w:val="00825FD4"/>
    <w:rsid w:val="00833E28"/>
    <w:rsid w:val="00834CB8"/>
    <w:rsid w:val="00841F92"/>
    <w:rsid w:val="008439D0"/>
    <w:rsid w:val="00845D84"/>
    <w:rsid w:val="008537EA"/>
    <w:rsid w:val="00860244"/>
    <w:rsid w:val="008602C8"/>
    <w:rsid w:val="00860403"/>
    <w:rsid w:val="00861A34"/>
    <w:rsid w:val="0086473D"/>
    <w:rsid w:val="00865571"/>
    <w:rsid w:val="008706CF"/>
    <w:rsid w:val="00870CD6"/>
    <w:rsid w:val="00874E3D"/>
    <w:rsid w:val="0087740C"/>
    <w:rsid w:val="008847BF"/>
    <w:rsid w:val="00885E24"/>
    <w:rsid w:val="00887536"/>
    <w:rsid w:val="00891788"/>
    <w:rsid w:val="00893A36"/>
    <w:rsid w:val="00894845"/>
    <w:rsid w:val="00895963"/>
    <w:rsid w:val="008977AE"/>
    <w:rsid w:val="008A1078"/>
    <w:rsid w:val="008A2873"/>
    <w:rsid w:val="008A2D73"/>
    <w:rsid w:val="008A3981"/>
    <w:rsid w:val="008A464E"/>
    <w:rsid w:val="008A6077"/>
    <w:rsid w:val="008A68F4"/>
    <w:rsid w:val="008A7410"/>
    <w:rsid w:val="008B14DD"/>
    <w:rsid w:val="008B1C8A"/>
    <w:rsid w:val="008B365C"/>
    <w:rsid w:val="008B7787"/>
    <w:rsid w:val="008B7EE9"/>
    <w:rsid w:val="008C0E36"/>
    <w:rsid w:val="008C4CEA"/>
    <w:rsid w:val="008C5342"/>
    <w:rsid w:val="008C616F"/>
    <w:rsid w:val="008C6846"/>
    <w:rsid w:val="008D04CB"/>
    <w:rsid w:val="008D11D3"/>
    <w:rsid w:val="008D59CB"/>
    <w:rsid w:val="008D7815"/>
    <w:rsid w:val="008D7E62"/>
    <w:rsid w:val="008E3CEB"/>
    <w:rsid w:val="008E6080"/>
    <w:rsid w:val="008F4F71"/>
    <w:rsid w:val="008F5371"/>
    <w:rsid w:val="00900E6E"/>
    <w:rsid w:val="009058BA"/>
    <w:rsid w:val="00907585"/>
    <w:rsid w:val="00913C43"/>
    <w:rsid w:val="009252A4"/>
    <w:rsid w:val="00930F66"/>
    <w:rsid w:val="00931F64"/>
    <w:rsid w:val="0093273D"/>
    <w:rsid w:val="009331F9"/>
    <w:rsid w:val="00934C0D"/>
    <w:rsid w:val="00936F9E"/>
    <w:rsid w:val="0094192A"/>
    <w:rsid w:val="00944FBD"/>
    <w:rsid w:val="009545AF"/>
    <w:rsid w:val="00954609"/>
    <w:rsid w:val="00961A07"/>
    <w:rsid w:val="00965AED"/>
    <w:rsid w:val="00966207"/>
    <w:rsid w:val="00967574"/>
    <w:rsid w:val="00970883"/>
    <w:rsid w:val="00977681"/>
    <w:rsid w:val="00980C4D"/>
    <w:rsid w:val="0098194C"/>
    <w:rsid w:val="009831C2"/>
    <w:rsid w:val="00985DD4"/>
    <w:rsid w:val="00986170"/>
    <w:rsid w:val="00990F91"/>
    <w:rsid w:val="00991F1E"/>
    <w:rsid w:val="009A0C95"/>
    <w:rsid w:val="009A1DF4"/>
    <w:rsid w:val="009A2400"/>
    <w:rsid w:val="009A352A"/>
    <w:rsid w:val="009A3DAB"/>
    <w:rsid w:val="009A4108"/>
    <w:rsid w:val="009A60B7"/>
    <w:rsid w:val="009A6127"/>
    <w:rsid w:val="009B4B0F"/>
    <w:rsid w:val="009C4E0C"/>
    <w:rsid w:val="009C550F"/>
    <w:rsid w:val="009D2D0D"/>
    <w:rsid w:val="009D3FDF"/>
    <w:rsid w:val="009D4361"/>
    <w:rsid w:val="009D772B"/>
    <w:rsid w:val="009E066E"/>
    <w:rsid w:val="009E492D"/>
    <w:rsid w:val="009E65D9"/>
    <w:rsid w:val="009F01B7"/>
    <w:rsid w:val="009F7E33"/>
    <w:rsid w:val="00A0007B"/>
    <w:rsid w:val="00A04CF1"/>
    <w:rsid w:val="00A0507B"/>
    <w:rsid w:val="00A05DD3"/>
    <w:rsid w:val="00A073B5"/>
    <w:rsid w:val="00A07916"/>
    <w:rsid w:val="00A10B87"/>
    <w:rsid w:val="00A13171"/>
    <w:rsid w:val="00A15876"/>
    <w:rsid w:val="00A21390"/>
    <w:rsid w:val="00A2341D"/>
    <w:rsid w:val="00A2628E"/>
    <w:rsid w:val="00A275FE"/>
    <w:rsid w:val="00A30E54"/>
    <w:rsid w:val="00A320DD"/>
    <w:rsid w:val="00A335E2"/>
    <w:rsid w:val="00A35337"/>
    <w:rsid w:val="00A40A52"/>
    <w:rsid w:val="00A433BE"/>
    <w:rsid w:val="00A46DEB"/>
    <w:rsid w:val="00A539FE"/>
    <w:rsid w:val="00A55AA8"/>
    <w:rsid w:val="00A61F7C"/>
    <w:rsid w:val="00A71B62"/>
    <w:rsid w:val="00A742D1"/>
    <w:rsid w:val="00A74B57"/>
    <w:rsid w:val="00A8317A"/>
    <w:rsid w:val="00A919C1"/>
    <w:rsid w:val="00AA1C85"/>
    <w:rsid w:val="00AB4266"/>
    <w:rsid w:val="00AB5A08"/>
    <w:rsid w:val="00AB632E"/>
    <w:rsid w:val="00AC2098"/>
    <w:rsid w:val="00AC3EEF"/>
    <w:rsid w:val="00AC514D"/>
    <w:rsid w:val="00AC6511"/>
    <w:rsid w:val="00AD0295"/>
    <w:rsid w:val="00AD1418"/>
    <w:rsid w:val="00AD2319"/>
    <w:rsid w:val="00AD618A"/>
    <w:rsid w:val="00AE2061"/>
    <w:rsid w:val="00AE276F"/>
    <w:rsid w:val="00AE5777"/>
    <w:rsid w:val="00AE7E48"/>
    <w:rsid w:val="00AF2B52"/>
    <w:rsid w:val="00AF5353"/>
    <w:rsid w:val="00B06F7C"/>
    <w:rsid w:val="00B07F03"/>
    <w:rsid w:val="00B1067A"/>
    <w:rsid w:val="00B1182E"/>
    <w:rsid w:val="00B137C0"/>
    <w:rsid w:val="00B2287C"/>
    <w:rsid w:val="00B30DB2"/>
    <w:rsid w:val="00B3663A"/>
    <w:rsid w:val="00B40B3A"/>
    <w:rsid w:val="00B54842"/>
    <w:rsid w:val="00B551D5"/>
    <w:rsid w:val="00B55485"/>
    <w:rsid w:val="00B671CE"/>
    <w:rsid w:val="00B74DC0"/>
    <w:rsid w:val="00B810E6"/>
    <w:rsid w:val="00B8375B"/>
    <w:rsid w:val="00B8486A"/>
    <w:rsid w:val="00B849C4"/>
    <w:rsid w:val="00B964C3"/>
    <w:rsid w:val="00BA2C78"/>
    <w:rsid w:val="00BA30B7"/>
    <w:rsid w:val="00BA4D26"/>
    <w:rsid w:val="00BB075E"/>
    <w:rsid w:val="00BC1011"/>
    <w:rsid w:val="00BC1954"/>
    <w:rsid w:val="00BC2C42"/>
    <w:rsid w:val="00BD0BB5"/>
    <w:rsid w:val="00BD1413"/>
    <w:rsid w:val="00BE5F51"/>
    <w:rsid w:val="00BE7988"/>
    <w:rsid w:val="00C00F17"/>
    <w:rsid w:val="00C0397B"/>
    <w:rsid w:val="00C03DEB"/>
    <w:rsid w:val="00C06A8D"/>
    <w:rsid w:val="00C07FE4"/>
    <w:rsid w:val="00C168F5"/>
    <w:rsid w:val="00C207D4"/>
    <w:rsid w:val="00C21B11"/>
    <w:rsid w:val="00C21B1A"/>
    <w:rsid w:val="00C2548A"/>
    <w:rsid w:val="00C2767E"/>
    <w:rsid w:val="00C3127A"/>
    <w:rsid w:val="00C357B4"/>
    <w:rsid w:val="00C36C86"/>
    <w:rsid w:val="00C37042"/>
    <w:rsid w:val="00C37233"/>
    <w:rsid w:val="00C40073"/>
    <w:rsid w:val="00C4252F"/>
    <w:rsid w:val="00C4330C"/>
    <w:rsid w:val="00C44737"/>
    <w:rsid w:val="00C4575C"/>
    <w:rsid w:val="00C469D8"/>
    <w:rsid w:val="00C52F82"/>
    <w:rsid w:val="00C6284E"/>
    <w:rsid w:val="00C66E2A"/>
    <w:rsid w:val="00C70221"/>
    <w:rsid w:val="00C8200C"/>
    <w:rsid w:val="00C82495"/>
    <w:rsid w:val="00C83D87"/>
    <w:rsid w:val="00C87908"/>
    <w:rsid w:val="00CA1C3F"/>
    <w:rsid w:val="00CA5323"/>
    <w:rsid w:val="00CB0B4E"/>
    <w:rsid w:val="00CB2BE9"/>
    <w:rsid w:val="00CB5A70"/>
    <w:rsid w:val="00CB60CA"/>
    <w:rsid w:val="00CC1244"/>
    <w:rsid w:val="00CC1F17"/>
    <w:rsid w:val="00CC4A5C"/>
    <w:rsid w:val="00CC4CB6"/>
    <w:rsid w:val="00CC76BD"/>
    <w:rsid w:val="00CD35F9"/>
    <w:rsid w:val="00CD3CA3"/>
    <w:rsid w:val="00CD4AFA"/>
    <w:rsid w:val="00CE4899"/>
    <w:rsid w:val="00CE73CF"/>
    <w:rsid w:val="00CF0F89"/>
    <w:rsid w:val="00CF1641"/>
    <w:rsid w:val="00CF7242"/>
    <w:rsid w:val="00D065E6"/>
    <w:rsid w:val="00D1132D"/>
    <w:rsid w:val="00D15877"/>
    <w:rsid w:val="00D15E5B"/>
    <w:rsid w:val="00D16C62"/>
    <w:rsid w:val="00D2391E"/>
    <w:rsid w:val="00D2591D"/>
    <w:rsid w:val="00D26A88"/>
    <w:rsid w:val="00D33A63"/>
    <w:rsid w:val="00D34C58"/>
    <w:rsid w:val="00D35248"/>
    <w:rsid w:val="00D46FD7"/>
    <w:rsid w:val="00D50F41"/>
    <w:rsid w:val="00D51F77"/>
    <w:rsid w:val="00D53BD9"/>
    <w:rsid w:val="00D70CA0"/>
    <w:rsid w:val="00D71843"/>
    <w:rsid w:val="00D73AC1"/>
    <w:rsid w:val="00D82A08"/>
    <w:rsid w:val="00D82C8F"/>
    <w:rsid w:val="00D85AC6"/>
    <w:rsid w:val="00D96EC4"/>
    <w:rsid w:val="00D96ECB"/>
    <w:rsid w:val="00D97FA9"/>
    <w:rsid w:val="00DA1245"/>
    <w:rsid w:val="00DA4B1D"/>
    <w:rsid w:val="00DA6CBE"/>
    <w:rsid w:val="00DA798C"/>
    <w:rsid w:val="00DD6C12"/>
    <w:rsid w:val="00DE01B7"/>
    <w:rsid w:val="00DE30A5"/>
    <w:rsid w:val="00DE3BD4"/>
    <w:rsid w:val="00DE70DC"/>
    <w:rsid w:val="00DF38C8"/>
    <w:rsid w:val="00DF5A48"/>
    <w:rsid w:val="00E03FE4"/>
    <w:rsid w:val="00E13BEA"/>
    <w:rsid w:val="00E143C0"/>
    <w:rsid w:val="00E1644F"/>
    <w:rsid w:val="00E2131B"/>
    <w:rsid w:val="00E32E89"/>
    <w:rsid w:val="00E338E3"/>
    <w:rsid w:val="00E33A69"/>
    <w:rsid w:val="00E357F6"/>
    <w:rsid w:val="00E3677A"/>
    <w:rsid w:val="00E409FC"/>
    <w:rsid w:val="00E4756B"/>
    <w:rsid w:val="00E510E5"/>
    <w:rsid w:val="00E57604"/>
    <w:rsid w:val="00E615CB"/>
    <w:rsid w:val="00E74CB4"/>
    <w:rsid w:val="00E76102"/>
    <w:rsid w:val="00E831C8"/>
    <w:rsid w:val="00E909BF"/>
    <w:rsid w:val="00E95A0C"/>
    <w:rsid w:val="00EA4203"/>
    <w:rsid w:val="00EB03A7"/>
    <w:rsid w:val="00EB1F99"/>
    <w:rsid w:val="00EB2D2F"/>
    <w:rsid w:val="00EB460C"/>
    <w:rsid w:val="00EB7039"/>
    <w:rsid w:val="00EC0510"/>
    <w:rsid w:val="00EC125B"/>
    <w:rsid w:val="00EC61F6"/>
    <w:rsid w:val="00ED19E2"/>
    <w:rsid w:val="00ED3D53"/>
    <w:rsid w:val="00ED52E5"/>
    <w:rsid w:val="00ED5917"/>
    <w:rsid w:val="00EE10B9"/>
    <w:rsid w:val="00EE3C40"/>
    <w:rsid w:val="00EE62B4"/>
    <w:rsid w:val="00EF6BAC"/>
    <w:rsid w:val="00F124AC"/>
    <w:rsid w:val="00F136D8"/>
    <w:rsid w:val="00F13B40"/>
    <w:rsid w:val="00F17F51"/>
    <w:rsid w:val="00F20C7D"/>
    <w:rsid w:val="00F23A6C"/>
    <w:rsid w:val="00F2598A"/>
    <w:rsid w:val="00F26244"/>
    <w:rsid w:val="00F32946"/>
    <w:rsid w:val="00F43246"/>
    <w:rsid w:val="00F44C41"/>
    <w:rsid w:val="00F46DE4"/>
    <w:rsid w:val="00F472B4"/>
    <w:rsid w:val="00F50328"/>
    <w:rsid w:val="00F50A11"/>
    <w:rsid w:val="00F5152F"/>
    <w:rsid w:val="00F54A89"/>
    <w:rsid w:val="00F5506B"/>
    <w:rsid w:val="00F5667D"/>
    <w:rsid w:val="00F62620"/>
    <w:rsid w:val="00F6527A"/>
    <w:rsid w:val="00F70578"/>
    <w:rsid w:val="00F70CEF"/>
    <w:rsid w:val="00F73712"/>
    <w:rsid w:val="00F76F78"/>
    <w:rsid w:val="00F77D38"/>
    <w:rsid w:val="00F84401"/>
    <w:rsid w:val="00F87CBD"/>
    <w:rsid w:val="00F93432"/>
    <w:rsid w:val="00F961C0"/>
    <w:rsid w:val="00F96354"/>
    <w:rsid w:val="00FA722B"/>
    <w:rsid w:val="00FB0E7F"/>
    <w:rsid w:val="00FB3D44"/>
    <w:rsid w:val="00FB44D8"/>
    <w:rsid w:val="00FC3818"/>
    <w:rsid w:val="00FC7B2C"/>
    <w:rsid w:val="00FD13E7"/>
    <w:rsid w:val="00FD449E"/>
    <w:rsid w:val="00FD4C88"/>
    <w:rsid w:val="00FD5482"/>
    <w:rsid w:val="00FD5B56"/>
    <w:rsid w:val="00FD6428"/>
    <w:rsid w:val="00FE4693"/>
    <w:rsid w:val="00FE67D1"/>
    <w:rsid w:val="00FF0696"/>
    <w:rsid w:val="00FF38C0"/>
    <w:rsid w:val="00FF3BF6"/>
    <w:rsid w:val="00FF3F0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F3622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48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B7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7B7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7B7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B7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65E6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065E6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65E6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065E6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07B7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065E6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07B7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07B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07B7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07B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07B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07B74"/>
    <w:pPr>
      <w:tabs>
        <w:tab w:val="left" w:pos="2880"/>
      </w:tabs>
    </w:pPr>
  </w:style>
  <w:style w:type="paragraph" w:customStyle="1" w:styleId="Apara">
    <w:name w:val="A para"/>
    <w:basedOn w:val="Normal"/>
    <w:rsid w:val="00307B7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07B7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07B7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07B7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07B7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07B7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07B74"/>
    <w:rPr>
      <w:rFonts w:cs="Times New Roman"/>
    </w:rPr>
  </w:style>
  <w:style w:type="paragraph" w:customStyle="1" w:styleId="CoverInForce">
    <w:name w:val="CoverInForc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07B7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07B7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07B74"/>
    <w:rPr>
      <w:rFonts w:cs="Times New Roman"/>
    </w:rPr>
  </w:style>
  <w:style w:type="paragraph" w:customStyle="1" w:styleId="Aparabullet">
    <w:name w:val="A para bullet"/>
    <w:basedOn w:val="Normal"/>
    <w:rsid w:val="00307B7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07B74"/>
  </w:style>
  <w:style w:type="paragraph" w:styleId="TOC2">
    <w:name w:val="toc 2"/>
    <w:basedOn w:val="Normal"/>
    <w:next w:val="Normal"/>
    <w:autoRedefine/>
    <w:uiPriority w:val="39"/>
    <w:semiHidden/>
    <w:rsid w:val="00307B7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07B7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07B7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07B7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07B7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07B7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07B7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07B74"/>
    <w:pPr>
      <w:ind w:left="1920"/>
    </w:pPr>
  </w:style>
  <w:style w:type="character" w:styleId="Hyperlink">
    <w:name w:val="Hyperlink"/>
    <w:basedOn w:val="DefaultParagraphFont"/>
    <w:uiPriority w:val="99"/>
    <w:rsid w:val="00307B7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07B7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07B7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07B7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07B7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07B7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07B7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07B7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65E6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07B7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07B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776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D065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65E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065E6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3D5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5717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782AAC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4C53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33798-54B4-4762-8593-EBA661ECC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8FF45-F3F7-4EC9-8A05-268C02F67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63E5A-0F15-477F-9689-E8F187B90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97111-0B27-4726-A840-C75B14851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4679</Characters>
  <Application>Microsoft Office Word</Application>
  <DocSecurity>0</DocSecurity>
  <Lines>114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5</cp:revision>
  <cp:lastPrinted>2022-03-03T23:31:00Z</cp:lastPrinted>
  <dcterms:created xsi:type="dcterms:W3CDTF">2025-06-30T05:36:00Z</dcterms:created>
  <dcterms:modified xsi:type="dcterms:W3CDTF">2025-07-18T03:06:00Z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1211139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2024-06-04T06:33:49Z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f30f0c71-d9ea-4759-8f5e-47f9f156d663</vt:lpwstr>
  </property>
  <property fmtid="{D5CDD505-2E9C-101B-9397-08002B2CF9AE}" pid="12" name="MSIP_Label_69af8531-eb46-4968-8cb3-105d2f5ea87e_ContentBits">
    <vt:lpwstr>0</vt:lpwstr>
  </property>
</Properties>
</file>