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199B5" w14:textId="77777777" w:rsidR="006815C9" w:rsidRDefault="006815C9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45691410" w14:textId="1AEC2692" w:rsidR="6C4EFDBC" w:rsidRDefault="6C4EFDBC" w:rsidP="176582D0">
      <w:pPr>
        <w:pStyle w:val="Billname"/>
        <w:spacing w:before="700"/>
        <w:rPr>
          <w:bCs/>
          <w:szCs w:val="40"/>
        </w:rPr>
      </w:pPr>
      <w:r w:rsidRPr="176582D0">
        <w:rPr>
          <w:bCs/>
          <w:szCs w:val="40"/>
        </w:rPr>
        <w:t xml:space="preserve">Children and Young People Amendment Regulation 2025 (No </w:t>
      </w:r>
      <w:r w:rsidR="00D82F98">
        <w:rPr>
          <w:bCs/>
          <w:szCs w:val="40"/>
        </w:rPr>
        <w:t>1</w:t>
      </w:r>
      <w:r w:rsidRPr="176582D0">
        <w:rPr>
          <w:bCs/>
          <w:szCs w:val="40"/>
        </w:rPr>
        <w:t>)</w:t>
      </w:r>
    </w:p>
    <w:p w14:paraId="2D3F0353" w14:textId="4BC699D9" w:rsidR="006815C9" w:rsidRDefault="00F5371D" w:rsidP="00091D34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Subordinate law</w:t>
      </w:r>
      <w:bookmarkStart w:id="1" w:name="LawNo"/>
      <w:r w:rsidR="00D0156C" w:rsidRPr="00D0156C">
        <w:rPr>
          <w:rFonts w:ascii="Arial" w:hAnsi="Arial" w:cs="Arial"/>
          <w:b/>
          <w:bCs/>
          <w:color w:val="000000"/>
          <w:shd w:val="clear" w:color="auto" w:fill="FFFFFF"/>
        </w:rPr>
        <w:t xml:space="preserve"> </w:t>
      </w:r>
      <w:bookmarkEnd w:id="1"/>
      <w:r w:rsidR="00560CAF" w:rsidRPr="00560CAF">
        <w:rPr>
          <w:rFonts w:ascii="Arial" w:hAnsi="Arial" w:cs="Arial"/>
          <w:b/>
          <w:bCs/>
        </w:rPr>
        <w:t>SL2025</w:t>
      </w:r>
      <w:r w:rsidR="009E4494">
        <w:rPr>
          <w:rFonts w:ascii="Arial" w:hAnsi="Arial" w:cs="Arial"/>
          <w:b/>
          <w:bCs/>
        </w:rPr>
        <w:t>-13</w:t>
      </w:r>
    </w:p>
    <w:p w14:paraId="656F5F7E" w14:textId="77777777" w:rsidR="006815C9" w:rsidRDefault="006815C9" w:rsidP="00091D34">
      <w:pPr>
        <w:pStyle w:val="madeunder"/>
        <w:spacing w:before="300" w:after="0"/>
      </w:pPr>
      <w:r>
        <w:t xml:space="preserve">made under the  </w:t>
      </w:r>
    </w:p>
    <w:p w14:paraId="7CAF4487" w14:textId="738D8ED8" w:rsidR="006815C9" w:rsidRDefault="00415122" w:rsidP="00091D34">
      <w:pPr>
        <w:pStyle w:val="CoverActName"/>
        <w:spacing w:before="320" w:after="0"/>
        <w:rPr>
          <w:rFonts w:cs="Arial"/>
          <w:sz w:val="20"/>
        </w:rPr>
      </w:pPr>
      <w:r w:rsidRPr="00415122">
        <w:rPr>
          <w:rFonts w:cs="Arial"/>
          <w:sz w:val="20"/>
        </w:rPr>
        <w:t>Children and Young People Act 2008</w:t>
      </w:r>
      <w:r w:rsidR="006815C9">
        <w:rPr>
          <w:rFonts w:cs="Arial"/>
          <w:sz w:val="20"/>
        </w:rPr>
        <w:t xml:space="preserve">, </w:t>
      </w:r>
      <w:r w:rsidRPr="00D0156C">
        <w:rPr>
          <w:rFonts w:cs="Arial"/>
          <w:sz w:val="20"/>
        </w:rPr>
        <w:t xml:space="preserve">s 888 </w:t>
      </w:r>
      <w:r w:rsidR="004E3A5E">
        <w:rPr>
          <w:rFonts w:cs="Arial"/>
          <w:sz w:val="20"/>
        </w:rPr>
        <w:t>(</w:t>
      </w:r>
      <w:r w:rsidRPr="00D0156C">
        <w:rPr>
          <w:rFonts w:cs="Arial"/>
          <w:sz w:val="20"/>
        </w:rPr>
        <w:t>Regulation-making power</w:t>
      </w:r>
      <w:r w:rsidR="004E3A5E">
        <w:rPr>
          <w:rFonts w:cs="Arial"/>
          <w:sz w:val="20"/>
        </w:rPr>
        <w:t>)</w:t>
      </w:r>
      <w:r w:rsidR="00D3049E" w:rsidRPr="00D3049E">
        <w:rPr>
          <w:rFonts w:ascii="Calibri" w:hAnsi="Calibri" w:cs="Calibri"/>
        </w:rPr>
        <w:t xml:space="preserve"> </w:t>
      </w:r>
    </w:p>
    <w:p w14:paraId="6AE4F47D" w14:textId="77777777" w:rsidR="006815C9" w:rsidRDefault="006815C9">
      <w:pPr>
        <w:spacing w:before="360"/>
        <w:ind w:right="565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EXPLANATORY STATEMENT</w:t>
      </w:r>
    </w:p>
    <w:p w14:paraId="6C844C94" w14:textId="77777777" w:rsidR="006815C9" w:rsidRDefault="006815C9">
      <w:pPr>
        <w:pStyle w:val="N-line3"/>
        <w:pBdr>
          <w:bottom w:val="none" w:sz="0" w:space="0" w:color="auto"/>
        </w:pBdr>
      </w:pPr>
    </w:p>
    <w:p w14:paraId="2A7ABCA2" w14:textId="77777777" w:rsidR="006815C9" w:rsidRDefault="006815C9">
      <w:pPr>
        <w:pStyle w:val="N-line3"/>
        <w:pBdr>
          <w:top w:val="single" w:sz="12" w:space="1" w:color="auto"/>
          <w:bottom w:val="none" w:sz="0" w:space="0" w:color="auto"/>
        </w:pBdr>
      </w:pPr>
    </w:p>
    <w:bookmarkEnd w:id="0"/>
    <w:p w14:paraId="1E7F19EF" w14:textId="70906C7A" w:rsidR="000237D0" w:rsidRDefault="000237D0" w:rsidP="000237D0">
      <w:pPr>
        <w:spacing w:line="360" w:lineRule="auto"/>
      </w:pPr>
      <w:r w:rsidRPr="00FE2EA8">
        <w:t xml:space="preserve">This explanatory statement relates to the </w:t>
      </w:r>
      <w:r w:rsidR="002B7C28" w:rsidRPr="004C5BB6">
        <w:rPr>
          <w:i/>
        </w:rPr>
        <w:t xml:space="preserve">Children and Young People Amendment Regulation 2025 </w:t>
      </w:r>
      <w:r w:rsidR="002B7C28" w:rsidRPr="0072097E">
        <w:rPr>
          <w:i/>
        </w:rPr>
        <w:t>(</w:t>
      </w:r>
      <w:r w:rsidR="002B7C28" w:rsidRPr="00AC5343">
        <w:rPr>
          <w:i/>
        </w:rPr>
        <w:t xml:space="preserve">No </w:t>
      </w:r>
      <w:r w:rsidR="00D82F98">
        <w:rPr>
          <w:i/>
        </w:rPr>
        <w:t>1</w:t>
      </w:r>
      <w:r w:rsidR="002B7C28" w:rsidRPr="00AC5343">
        <w:rPr>
          <w:i/>
          <w:iCs/>
        </w:rPr>
        <w:t>)</w:t>
      </w:r>
      <w:r w:rsidR="6CC4B67E" w:rsidRPr="56B0BC77">
        <w:rPr>
          <w:i/>
          <w:iCs/>
        </w:rPr>
        <w:t xml:space="preserve"> </w:t>
      </w:r>
      <w:r w:rsidR="6CC4B67E" w:rsidRPr="56B0BC77">
        <w:t>(Amendment Regulation)</w:t>
      </w:r>
      <w:r>
        <w:t>.</w:t>
      </w:r>
      <w:r w:rsidRPr="00FE2EA8">
        <w:t xml:space="preserve"> It has been prepared in order to assist the reader of the </w:t>
      </w:r>
      <w:r w:rsidR="0CF9B78A">
        <w:t xml:space="preserve">Amendment </w:t>
      </w:r>
      <w:r>
        <w:t>Regulatio</w:t>
      </w:r>
      <w:r w:rsidR="6EDCFB42">
        <w:t>n</w:t>
      </w:r>
      <w:r>
        <w:t>.</w:t>
      </w:r>
      <w:r w:rsidRPr="00FE2EA8">
        <w:t xml:space="preserve"> It does not form part of the </w:t>
      </w:r>
      <w:r w:rsidR="788C7B30">
        <w:t xml:space="preserve">Amendment </w:t>
      </w:r>
      <w:r w:rsidR="00461489">
        <w:t>Regulation</w:t>
      </w:r>
      <w:r w:rsidRPr="00FE2EA8">
        <w:t xml:space="preserve"> and has not been endorsed by the Assembly.  </w:t>
      </w:r>
    </w:p>
    <w:p w14:paraId="0D12B39A" w14:textId="3B3CBBCC" w:rsidR="000237D0" w:rsidRDefault="000237D0" w:rsidP="000237D0">
      <w:pPr>
        <w:spacing w:line="360" w:lineRule="auto"/>
      </w:pPr>
      <w:r w:rsidRPr="00FE2EA8">
        <w:t xml:space="preserve">The Statement must be read in conjunction with the </w:t>
      </w:r>
      <w:r w:rsidR="41F84191">
        <w:t xml:space="preserve">Amendment </w:t>
      </w:r>
      <w:r>
        <w:t>Regulation.</w:t>
      </w:r>
      <w:r w:rsidRPr="00FE2EA8">
        <w:t xml:space="preserve"> It is not, and is not meant to be, a comprehensive description of the </w:t>
      </w:r>
      <w:r w:rsidR="1A216ABF">
        <w:t>Amendment</w:t>
      </w:r>
      <w:r>
        <w:t xml:space="preserve"> Regulation</w:t>
      </w:r>
      <w:r w:rsidRPr="00FE2EA8">
        <w:t>. What is said about a provision is not to be taken as an authoritative guide to the meaning of a provision, this being a task for the courts.</w:t>
      </w:r>
    </w:p>
    <w:p w14:paraId="67ABA2AD" w14:textId="77777777" w:rsidR="00E5463E" w:rsidRDefault="00E5463E" w:rsidP="000237D0">
      <w:pPr>
        <w:spacing w:line="360" w:lineRule="auto"/>
      </w:pPr>
    </w:p>
    <w:p w14:paraId="3031F24D" w14:textId="77777777" w:rsidR="00E5463E" w:rsidRPr="001258D6" w:rsidRDefault="00E5463E" w:rsidP="00E5463E">
      <w:pPr>
        <w:spacing w:line="360" w:lineRule="auto"/>
        <w:rPr>
          <w:b/>
          <w:bCs/>
        </w:rPr>
      </w:pPr>
      <w:r w:rsidRPr="001258D6">
        <w:rPr>
          <w:b/>
          <w:bCs/>
        </w:rPr>
        <w:t xml:space="preserve">BACKGROUND </w:t>
      </w:r>
    </w:p>
    <w:p w14:paraId="107CA1FC" w14:textId="003188AA" w:rsidR="00C90A6F" w:rsidRDefault="2F338AFF" w:rsidP="00925868">
      <w:pPr>
        <w:spacing w:line="360" w:lineRule="auto"/>
      </w:pPr>
      <w:r>
        <w:t xml:space="preserve">As one of the Territory’s most comprehensive and complex laws, the </w:t>
      </w:r>
      <w:r w:rsidR="5291CFB8" w:rsidRPr="2388706F">
        <w:rPr>
          <w:i/>
          <w:iCs/>
        </w:rPr>
        <w:t>Children and Young People Act 2008 </w:t>
      </w:r>
      <w:r w:rsidR="5291CFB8">
        <w:t>(the CYP Act)</w:t>
      </w:r>
      <w:r>
        <w:t xml:space="preserve"> has been instrumental in </w:t>
      </w:r>
      <w:r w:rsidR="71748401">
        <w:t>p</w:t>
      </w:r>
      <w:r>
        <w:t>r</w:t>
      </w:r>
      <w:r w:rsidR="71748401">
        <w:t>otecting the wellbeing of</w:t>
      </w:r>
      <w:r>
        <w:t xml:space="preserve"> child</w:t>
      </w:r>
      <w:r w:rsidR="02C94ED3">
        <w:t>ren</w:t>
      </w:r>
      <w:r>
        <w:t xml:space="preserve"> and you</w:t>
      </w:r>
      <w:r w:rsidR="2FC1A973">
        <w:t>ng peopl</w:t>
      </w:r>
      <w:r>
        <w:t>e.</w:t>
      </w:r>
      <w:r w:rsidR="1F649CCB">
        <w:t xml:space="preserve"> </w:t>
      </w:r>
    </w:p>
    <w:p w14:paraId="02E0EA1B" w14:textId="433E1CCF" w:rsidR="2388706F" w:rsidRDefault="2388706F" w:rsidP="2388706F">
      <w:pPr>
        <w:spacing w:line="360" w:lineRule="auto"/>
      </w:pPr>
    </w:p>
    <w:p w14:paraId="13C22730" w14:textId="67F263B4" w:rsidR="00D3049E" w:rsidRDefault="00E5463E" w:rsidP="00925868">
      <w:pPr>
        <w:spacing w:line="360" w:lineRule="auto"/>
      </w:pPr>
      <w:r>
        <w:t>The</w:t>
      </w:r>
      <w:r w:rsidR="003864DC" w:rsidRPr="2FBCDA66">
        <w:rPr>
          <w:i/>
          <w:iCs/>
        </w:rPr>
        <w:t xml:space="preserve"> Children and Young People Amendment Act 2024 (No 2)</w:t>
      </w:r>
      <w:r w:rsidR="008251E0" w:rsidRPr="2FBCDA66">
        <w:rPr>
          <w:i/>
          <w:iCs/>
        </w:rPr>
        <w:t xml:space="preserve"> </w:t>
      </w:r>
      <w:r w:rsidR="008251E0">
        <w:t>(</w:t>
      </w:r>
      <w:r w:rsidR="008A5CEC">
        <w:t xml:space="preserve">the </w:t>
      </w:r>
      <w:r w:rsidR="008251E0">
        <w:t>Amendment Act)</w:t>
      </w:r>
      <w:r w:rsidRPr="2FBCDA66">
        <w:rPr>
          <w:i/>
          <w:iCs/>
        </w:rPr>
        <w:t xml:space="preserve"> </w:t>
      </w:r>
      <w:r w:rsidR="026DF859">
        <w:t>introduced</w:t>
      </w:r>
      <w:r w:rsidR="007B4A04">
        <w:t xml:space="preserve"> a merits review </w:t>
      </w:r>
      <w:r w:rsidR="05D5E840">
        <w:t>process</w:t>
      </w:r>
      <w:r w:rsidR="6B73B84A">
        <w:t xml:space="preserve"> for child protection decisions</w:t>
      </w:r>
      <w:r w:rsidR="031B8219">
        <w:t xml:space="preserve"> which will commence on 1 July 2025</w:t>
      </w:r>
      <w:r w:rsidR="007B4A04">
        <w:t>.</w:t>
      </w:r>
      <w:r>
        <w:t xml:space="preserve"> </w:t>
      </w:r>
      <w:r w:rsidR="27DF8169">
        <w:t xml:space="preserve">The introduction of </w:t>
      </w:r>
      <w:r w:rsidR="00497963">
        <w:t>an</w:t>
      </w:r>
      <w:r w:rsidR="27DF8169">
        <w:t xml:space="preserve"> internal and external merit review process into legislation supports greater accountability, transparency, equity and responsiveness in decision-making for children and young people in the care of the Director-General. </w:t>
      </w:r>
      <w:r w:rsidR="00D52897">
        <w:t xml:space="preserve">The decisions eligible for review are </w:t>
      </w:r>
      <w:r w:rsidR="754120CF">
        <w:t>set out</w:t>
      </w:r>
      <w:r w:rsidR="00D52897">
        <w:t xml:space="preserve"> in Schedule 1 of the </w:t>
      </w:r>
      <w:r w:rsidR="00D52897" w:rsidRPr="2FBCDA66">
        <w:rPr>
          <w:i/>
          <w:iCs/>
        </w:rPr>
        <w:t>Children and Young People Regulation 2009</w:t>
      </w:r>
      <w:r w:rsidR="00D52897">
        <w:t xml:space="preserve"> (the Regulation).  </w:t>
      </w:r>
      <w:r w:rsidR="000418FE">
        <w:t xml:space="preserve"> </w:t>
      </w:r>
    </w:p>
    <w:p w14:paraId="24DA1B41" w14:textId="75DDEBF5" w:rsidR="314C3A18" w:rsidRDefault="000A77FA" w:rsidP="009E1CCB">
      <w:pPr>
        <w:spacing w:line="360" w:lineRule="auto"/>
        <w:ind w:right="-198"/>
      </w:pPr>
      <w:r>
        <w:lastRenderedPageBreak/>
        <w:t xml:space="preserve">During implementation of the </w:t>
      </w:r>
      <w:r w:rsidRPr="51D94BA5">
        <w:rPr>
          <w:i/>
          <w:iCs/>
        </w:rPr>
        <w:t xml:space="preserve">Children and Young People Amendment Act 2024 (No 2), </w:t>
      </w:r>
      <w:r>
        <w:t>concerns were raised that the list of decision</w:t>
      </w:r>
      <w:r w:rsidR="3FA1958E">
        <w:t>s</w:t>
      </w:r>
      <w:r>
        <w:t xml:space="preserve"> </w:t>
      </w:r>
      <w:r w:rsidR="3A057A88">
        <w:t xml:space="preserve">eligible for review under the Regulation was broader </w:t>
      </w:r>
      <w:r>
        <w:t>than was originally intended</w:t>
      </w:r>
      <w:r w:rsidR="0EF4E72B">
        <w:t xml:space="preserve">. </w:t>
      </w:r>
      <w:r w:rsidR="314C3A18">
        <w:t>The Amendment Regulation supports the operationalisation of an effective merits review process as intended and agreed on with key stakeholders, carers and service providers.</w:t>
      </w:r>
    </w:p>
    <w:p w14:paraId="03F48E30" w14:textId="77777777" w:rsidR="000418FE" w:rsidRPr="000418FE" w:rsidRDefault="000418FE" w:rsidP="00925868">
      <w:pPr>
        <w:spacing w:line="360" w:lineRule="auto"/>
      </w:pPr>
    </w:p>
    <w:p w14:paraId="291F9A5F" w14:textId="6E76B287" w:rsidR="00C30C14" w:rsidRPr="000A77FA" w:rsidRDefault="000418FE" w:rsidP="001B742D">
      <w:pPr>
        <w:spacing w:line="360" w:lineRule="auto"/>
        <w:rPr>
          <w:b/>
          <w:bCs/>
        </w:rPr>
      </w:pPr>
      <w:r w:rsidRPr="154B2190">
        <w:rPr>
          <w:b/>
          <w:bCs/>
        </w:rPr>
        <w:t xml:space="preserve">OVERVIEW OF THE </w:t>
      </w:r>
      <w:r w:rsidR="5236E571" w:rsidRPr="154B2190">
        <w:rPr>
          <w:b/>
          <w:bCs/>
        </w:rPr>
        <w:t xml:space="preserve">AMENDMENT </w:t>
      </w:r>
      <w:r w:rsidRPr="154B2190">
        <w:rPr>
          <w:b/>
          <w:bCs/>
        </w:rPr>
        <w:t xml:space="preserve">REGULATION </w:t>
      </w:r>
    </w:p>
    <w:p w14:paraId="10E9B3B6" w14:textId="4D941CF5" w:rsidR="154B2190" w:rsidRDefault="154B2190" w:rsidP="154B2190">
      <w:pPr>
        <w:spacing w:line="360" w:lineRule="auto"/>
      </w:pPr>
    </w:p>
    <w:p w14:paraId="726BC7B8" w14:textId="74597E73" w:rsidR="001B742D" w:rsidRDefault="0CCBB685" w:rsidP="001B742D">
      <w:pPr>
        <w:spacing w:line="360" w:lineRule="auto"/>
      </w:pPr>
      <w:r>
        <w:t>T</w:t>
      </w:r>
      <w:r w:rsidR="5B497241">
        <w:t xml:space="preserve">he Amendment Regulation </w:t>
      </w:r>
      <w:r w:rsidR="6C3F66DA">
        <w:t>will achieve</w:t>
      </w:r>
      <w:r w:rsidR="5B497241">
        <w:t xml:space="preserve"> the original intent of the merits review process by </w:t>
      </w:r>
      <w:r w:rsidR="05D1A79F">
        <w:t xml:space="preserve">clarifying that reviewable decisions are those </w:t>
      </w:r>
      <w:r w:rsidR="5B497241">
        <w:t>that are of an important and long-term nature and may alter the life course of a child or young person</w:t>
      </w:r>
      <w:r w:rsidR="0333384F">
        <w:t>. It was not intended that</w:t>
      </w:r>
      <w:r w:rsidR="5B497241">
        <w:t xml:space="preserve"> daily or routine decisions regarding children and young people</w:t>
      </w:r>
      <w:r w:rsidR="0400CE69">
        <w:t xml:space="preserve"> would be subject to the merit review process</w:t>
      </w:r>
      <w:r w:rsidR="5B497241">
        <w:t xml:space="preserve">. </w:t>
      </w:r>
      <w:r w:rsidR="00497963">
        <w:t>The Amendment Act</w:t>
      </w:r>
      <w:r w:rsidR="00DD0F63">
        <w:t xml:space="preserve"> </w:t>
      </w:r>
      <w:r w:rsidR="00497963">
        <w:t>achieves</w:t>
      </w:r>
      <w:r w:rsidR="00DD0F63">
        <w:t xml:space="preserve"> the objectives of the merit review scheme </w:t>
      </w:r>
      <w:r w:rsidR="00497963">
        <w:t>by</w:t>
      </w:r>
      <w:r w:rsidR="00965E6B">
        <w:t xml:space="preserve"> ensuring that</w:t>
      </w:r>
      <w:r w:rsidR="00DD0F63">
        <w:t xml:space="preserve"> </w:t>
      </w:r>
      <w:r w:rsidR="00A95804">
        <w:t xml:space="preserve">certain </w:t>
      </w:r>
      <w:r w:rsidR="00CF7BC8">
        <w:t xml:space="preserve">administrative </w:t>
      </w:r>
      <w:r w:rsidR="00A95804">
        <w:t>decisions made under the CYP Act by the Director-General can</w:t>
      </w:r>
      <w:r w:rsidR="00102FDE">
        <w:t xml:space="preserve"> </w:t>
      </w:r>
      <w:r w:rsidR="0041713B">
        <w:t xml:space="preserve">be </w:t>
      </w:r>
      <w:r w:rsidR="00EE207C">
        <w:t xml:space="preserve">thoroughly </w:t>
      </w:r>
      <w:r w:rsidR="00231292">
        <w:t xml:space="preserve">re-evaluated by </w:t>
      </w:r>
      <w:r w:rsidR="0069254C">
        <w:t>CYF and</w:t>
      </w:r>
      <w:r w:rsidR="0082239D">
        <w:t>/or</w:t>
      </w:r>
      <w:r w:rsidR="0069254C">
        <w:t xml:space="preserve"> the ACT Civil and Administrative Tribunal (ACAT)</w:t>
      </w:r>
      <w:r w:rsidR="00F47DA7">
        <w:t>.</w:t>
      </w:r>
    </w:p>
    <w:p w14:paraId="2BD9DE6C" w14:textId="77777777" w:rsidR="001B742D" w:rsidRDefault="001B742D" w:rsidP="001B742D">
      <w:pPr>
        <w:spacing w:line="360" w:lineRule="auto"/>
      </w:pPr>
    </w:p>
    <w:p w14:paraId="740979C2" w14:textId="7FAA1EC8" w:rsidR="003E701A" w:rsidRDefault="001B742D" w:rsidP="001B742D">
      <w:pPr>
        <w:spacing w:line="360" w:lineRule="auto"/>
      </w:pPr>
      <w:r>
        <w:t xml:space="preserve">The Amendment Regulation </w:t>
      </w:r>
      <w:r w:rsidR="009E4EF5">
        <w:t xml:space="preserve">inserts a new definition of a </w:t>
      </w:r>
      <w:r>
        <w:t xml:space="preserve">‘long-term decision’ in relation to a child or young person. </w:t>
      </w:r>
      <w:r w:rsidR="000D51B3">
        <w:t xml:space="preserve">This </w:t>
      </w:r>
      <w:r w:rsidR="00497963">
        <w:t>is defined as a decision that</w:t>
      </w:r>
      <w:r w:rsidR="00AA6763">
        <w:t xml:space="preserve"> is likely to have implications for the child or young person’s </w:t>
      </w:r>
      <w:r w:rsidR="007A6B69">
        <w:t>long-term</w:t>
      </w:r>
      <w:r w:rsidR="00AA6763">
        <w:t xml:space="preserve"> wellbeing</w:t>
      </w:r>
      <w:r w:rsidR="008D7350">
        <w:t xml:space="preserve">, including their physical, emotional and psychological wellbeing. </w:t>
      </w:r>
    </w:p>
    <w:p w14:paraId="376500A1" w14:textId="77777777" w:rsidR="00522663" w:rsidRDefault="00522663" w:rsidP="001B742D">
      <w:pPr>
        <w:spacing w:line="360" w:lineRule="auto"/>
      </w:pPr>
    </w:p>
    <w:p w14:paraId="410E4105" w14:textId="77777777" w:rsidR="009E1CCB" w:rsidRDefault="00C873AE" w:rsidP="001B4C9F">
      <w:pPr>
        <w:spacing w:line="360" w:lineRule="auto"/>
      </w:pPr>
      <w:r>
        <w:t xml:space="preserve">The definition </w:t>
      </w:r>
      <w:r w:rsidR="00497963">
        <w:t xml:space="preserve">of ‘long term decision’ </w:t>
      </w:r>
      <w:r w:rsidR="00460B2D">
        <w:t>excludes decisions that are routine in nature or of temporary effect</w:t>
      </w:r>
      <w:r w:rsidR="00F601AD">
        <w:t xml:space="preserve">. This is to exclude from merits review decisions that are minor or </w:t>
      </w:r>
      <w:r w:rsidR="000A1170">
        <w:t>day to day decisions</w:t>
      </w:r>
      <w:r w:rsidR="00042A2A">
        <w:t xml:space="preserve"> whose inclusion would </w:t>
      </w:r>
      <w:r w:rsidR="00710B8C">
        <w:t xml:space="preserve">impact the </w:t>
      </w:r>
      <w:r w:rsidR="005F6D75">
        <w:t xml:space="preserve">ability of </w:t>
      </w:r>
      <w:r w:rsidR="006F1CDD">
        <w:t xml:space="preserve">children and young people, their carers and others to </w:t>
      </w:r>
      <w:r w:rsidR="00C30C14">
        <w:t xml:space="preserve">live their lives uninterrupted by bureaucratic processes. </w:t>
      </w:r>
      <w:r w:rsidR="00497963">
        <w:t>It also excludes decisions such as</w:t>
      </w:r>
      <w:r w:rsidR="002F1314">
        <w:t xml:space="preserve"> one-off changes to activities or events, cancelling contact due to temporary illness, the giving of over-the-counter medication, routine medical appointments or minor medical treatment. </w:t>
      </w:r>
    </w:p>
    <w:p w14:paraId="0C1D46AA" w14:textId="77777777" w:rsidR="009E1CCB" w:rsidRDefault="009E1CCB" w:rsidP="001B4C9F">
      <w:pPr>
        <w:spacing w:line="360" w:lineRule="auto"/>
      </w:pPr>
    </w:p>
    <w:p w14:paraId="00A3FBBC" w14:textId="5AE130E2" w:rsidR="001B4C9F" w:rsidRPr="001B4C9F" w:rsidRDefault="002F1314" w:rsidP="001B4C9F">
      <w:pPr>
        <w:spacing w:line="360" w:lineRule="auto"/>
      </w:pPr>
      <w:r>
        <w:t xml:space="preserve">To assist with accessibility, usage and understanding, further clarification is provided by a ‘note’ identifying examples of what may be routine decisions and are therefore may not be a ‘long-term decision’. </w:t>
      </w:r>
      <w:r w:rsidR="001B4C9F">
        <w:t xml:space="preserve">Including these </w:t>
      </w:r>
      <w:r w:rsidR="001B4C9F" w:rsidRPr="001B4C9F">
        <w:t xml:space="preserve">routine decisions </w:t>
      </w:r>
      <w:r w:rsidR="001B4C9F">
        <w:t xml:space="preserve">in merits review </w:t>
      </w:r>
      <w:r w:rsidR="001B4C9F" w:rsidRPr="001B4C9F">
        <w:lastRenderedPageBreak/>
        <w:t>would be cumbersome and impractical, introducing unnecessary delays and confusion into processes meant to support children’s wellbeing and best interest.</w:t>
      </w:r>
    </w:p>
    <w:p w14:paraId="467FB69C" w14:textId="2572DF2A" w:rsidR="002F1314" w:rsidRPr="001B4C9F" w:rsidRDefault="002F1314" w:rsidP="001B4C9F">
      <w:pPr>
        <w:spacing w:line="360" w:lineRule="auto"/>
      </w:pPr>
    </w:p>
    <w:p w14:paraId="3EAE7B3C" w14:textId="4F1B1CDD" w:rsidR="00FD090B" w:rsidRDefault="001B4C9F" w:rsidP="001B4C9F">
      <w:pPr>
        <w:spacing w:line="360" w:lineRule="auto"/>
      </w:pPr>
      <w:r w:rsidRPr="001B4C9F">
        <w:t>However</w:t>
      </w:r>
      <w:r>
        <w:t>, where a minor or temporary</w:t>
      </w:r>
      <w:r w:rsidRPr="001B4C9F">
        <w:t xml:space="preserve"> decision</w:t>
      </w:r>
      <w:r>
        <w:t xml:space="preserve"> </w:t>
      </w:r>
      <w:r w:rsidR="00F7534F">
        <w:t xml:space="preserve">becomes </w:t>
      </w:r>
      <w:r w:rsidR="00497963">
        <w:t>part of a repeated pattern</w:t>
      </w:r>
      <w:r w:rsidR="002A517C">
        <w:t xml:space="preserve">, those decision </w:t>
      </w:r>
      <w:r w:rsidR="005D1D68">
        <w:t xml:space="preserve">may </w:t>
      </w:r>
      <w:r w:rsidR="002A517C">
        <w:t xml:space="preserve">become ‘long-term decisions’ as they will have </w:t>
      </w:r>
      <w:r w:rsidR="002A517C" w:rsidRPr="001B4C9F">
        <w:t xml:space="preserve">significant, lasting effects </w:t>
      </w:r>
      <w:r w:rsidR="002A517C">
        <w:t xml:space="preserve">and they will become eligible for review. For example, where contact </w:t>
      </w:r>
      <w:r w:rsidR="00FA60E5">
        <w:t xml:space="preserve">is </w:t>
      </w:r>
      <w:r w:rsidR="009F4559">
        <w:t xml:space="preserve">consistently cancelled or </w:t>
      </w:r>
      <w:r w:rsidR="00FA60E5">
        <w:t xml:space="preserve">rearranged such that the contact arrangements </w:t>
      </w:r>
      <w:r w:rsidR="00850D04">
        <w:t xml:space="preserve">outlined in the Care Plan </w:t>
      </w:r>
      <w:r w:rsidR="00FA60E5">
        <w:t xml:space="preserve">are </w:t>
      </w:r>
      <w:r w:rsidR="00850D04">
        <w:t>not being followed,</w:t>
      </w:r>
      <w:r w:rsidR="0047393B">
        <w:t xml:space="preserve"> </w:t>
      </w:r>
      <w:r w:rsidR="00477BBE">
        <w:t xml:space="preserve">this </w:t>
      </w:r>
      <w:r w:rsidR="00227C17">
        <w:t xml:space="preserve">becomes a long-term decision as </w:t>
      </w:r>
      <w:r w:rsidR="0036461B">
        <w:t xml:space="preserve">it is </w:t>
      </w:r>
      <w:r w:rsidR="009E1CCB">
        <w:t xml:space="preserve">in effect </w:t>
      </w:r>
      <w:r w:rsidR="0036461B">
        <w:t xml:space="preserve">changing the </w:t>
      </w:r>
      <w:r w:rsidR="00BE56BB">
        <w:t>long-term</w:t>
      </w:r>
      <w:r w:rsidR="0036461B">
        <w:t xml:space="preserve"> </w:t>
      </w:r>
      <w:r w:rsidR="00F2217B">
        <w:t xml:space="preserve">contact arrangements and should be reviewable. </w:t>
      </w:r>
      <w:r w:rsidR="005D1D68">
        <w:t>Another example might be</w:t>
      </w:r>
      <w:r w:rsidR="00F2217B">
        <w:t xml:space="preserve"> where</w:t>
      </w:r>
      <w:r w:rsidR="00AC5343">
        <w:t xml:space="preserve"> a</w:t>
      </w:r>
      <w:r w:rsidR="00F2217B">
        <w:t xml:space="preserve"> </w:t>
      </w:r>
      <w:r w:rsidR="00417833">
        <w:t xml:space="preserve">child </w:t>
      </w:r>
      <w:r w:rsidR="00F2217B">
        <w:t>remains</w:t>
      </w:r>
      <w:r w:rsidR="00417833">
        <w:t xml:space="preserve"> in </w:t>
      </w:r>
      <w:r w:rsidR="002F3D72">
        <w:t>a</w:t>
      </w:r>
      <w:r w:rsidR="009E1CCB">
        <w:t>n</w:t>
      </w:r>
      <w:r w:rsidR="00F2217B">
        <w:t xml:space="preserve"> ‘interim’ or ‘emergency’ </w:t>
      </w:r>
      <w:r w:rsidR="00B64FBC">
        <w:t xml:space="preserve">placement </w:t>
      </w:r>
      <w:r w:rsidR="00F2217B">
        <w:t xml:space="preserve">following a placement breakdown </w:t>
      </w:r>
      <w:r w:rsidR="002F3D72">
        <w:t>for a</w:t>
      </w:r>
      <w:r w:rsidR="00EE1DD2">
        <w:t xml:space="preserve"> longer period than intended</w:t>
      </w:r>
      <w:r w:rsidR="00F2217B" w:rsidRPr="00AC5343">
        <w:t>, th</w:t>
      </w:r>
      <w:r w:rsidR="00AC5343" w:rsidRPr="00AC5343">
        <w:t>is should be considered as</w:t>
      </w:r>
      <w:r w:rsidR="00F2217B" w:rsidRPr="00AC5343">
        <w:t xml:space="preserve"> a placement decision that has </w:t>
      </w:r>
      <w:r w:rsidR="005D1D68" w:rsidRPr="00AC5343">
        <w:t>ongoing</w:t>
      </w:r>
      <w:r w:rsidR="00F2217B" w:rsidRPr="00AC5343">
        <w:t xml:space="preserve"> implications for that child </w:t>
      </w:r>
      <w:r w:rsidR="00AC5343" w:rsidRPr="00AC5343">
        <w:t xml:space="preserve">and </w:t>
      </w:r>
      <w:r w:rsidR="00F2217B" w:rsidRPr="00AC5343">
        <w:t>should be reviewable</w:t>
      </w:r>
      <w:r w:rsidR="00FA60E5" w:rsidRPr="00AC5343">
        <w:t>.</w:t>
      </w:r>
      <w:r w:rsidR="00764932">
        <w:t xml:space="preserve"> </w:t>
      </w:r>
      <w:r w:rsidR="005D1D68">
        <w:t>Where a repeated temporary or daily decisions becomes a long-term decision</w:t>
      </w:r>
      <w:r w:rsidR="00F2217B">
        <w:t xml:space="preserve"> will differ de</w:t>
      </w:r>
      <w:r w:rsidR="006D7BDC">
        <w:t xml:space="preserve">pending on </w:t>
      </w:r>
      <w:r w:rsidR="000D14AD">
        <w:t>each individual child or young person and the family’s circumstance</w:t>
      </w:r>
      <w:r w:rsidR="005D1D68">
        <w:t xml:space="preserve"> and the context of the decision</w:t>
      </w:r>
      <w:r w:rsidR="000D14AD">
        <w:t xml:space="preserve">. </w:t>
      </w:r>
      <w:r w:rsidR="00205395">
        <w:t>Whether a</w:t>
      </w:r>
      <w:r w:rsidRPr="001B4C9F">
        <w:t xml:space="preserve"> decision</w:t>
      </w:r>
      <w:r w:rsidR="00205395">
        <w:t xml:space="preserve"> </w:t>
      </w:r>
      <w:r w:rsidR="00FD090B">
        <w:t>is</w:t>
      </w:r>
      <w:r w:rsidR="00205395">
        <w:t xml:space="preserve"> reviewable</w:t>
      </w:r>
      <w:r w:rsidR="003C7312">
        <w:t xml:space="preserve">, should </w:t>
      </w:r>
      <w:r w:rsidR="000D14AD">
        <w:t xml:space="preserve">ultimately </w:t>
      </w:r>
      <w:r w:rsidR="003C7312">
        <w:t xml:space="preserve">be determined by </w:t>
      </w:r>
      <w:r w:rsidR="00FB046B">
        <w:t>the</w:t>
      </w:r>
      <w:r w:rsidR="003C7312">
        <w:t xml:space="preserve"> nature of the decision</w:t>
      </w:r>
      <w:r w:rsidR="003638F3">
        <w:t xml:space="preserve"> and its </w:t>
      </w:r>
      <w:r w:rsidR="00FB046B">
        <w:t>impact</w:t>
      </w:r>
      <w:r w:rsidRPr="001B4C9F">
        <w:t xml:space="preserve"> </w:t>
      </w:r>
      <w:r w:rsidR="003638F3">
        <w:t xml:space="preserve">on </w:t>
      </w:r>
      <w:r w:rsidR="00257DEB">
        <w:t>a</w:t>
      </w:r>
      <w:r w:rsidRPr="001B4C9F">
        <w:t xml:space="preserve"> child</w:t>
      </w:r>
      <w:r w:rsidR="003638F3">
        <w:t xml:space="preserve"> or young person’s</w:t>
      </w:r>
      <w:r w:rsidRPr="001B4C9F">
        <w:t xml:space="preserve"> long-term wellbeing.</w:t>
      </w:r>
    </w:p>
    <w:p w14:paraId="07C42417" w14:textId="2E3FCCFC" w:rsidR="00F601AD" w:rsidRDefault="00F601AD" w:rsidP="001B742D">
      <w:pPr>
        <w:spacing w:line="360" w:lineRule="auto"/>
      </w:pPr>
    </w:p>
    <w:p w14:paraId="178D3F39" w14:textId="260213DA" w:rsidR="003E701A" w:rsidRDefault="00F601AD" w:rsidP="001B742D">
      <w:pPr>
        <w:spacing w:line="360" w:lineRule="auto"/>
      </w:pPr>
      <w:r>
        <w:t xml:space="preserve">The definition </w:t>
      </w:r>
      <w:r w:rsidR="005D1D68">
        <w:t xml:space="preserve">of </w:t>
      </w:r>
      <w:r w:rsidR="009E1CCB">
        <w:t>long-term</w:t>
      </w:r>
      <w:r w:rsidR="005D1D68">
        <w:t xml:space="preserve"> decision </w:t>
      </w:r>
      <w:r>
        <w:t xml:space="preserve">also excludes decisions </w:t>
      </w:r>
      <w:r w:rsidR="006F3829">
        <w:t xml:space="preserve">that have been or can be reviewed by another entity. </w:t>
      </w:r>
      <w:r w:rsidR="004A0664">
        <w:t xml:space="preserve">This is to exclude </w:t>
      </w:r>
      <w:r w:rsidR="004F2D95">
        <w:t>those decisions that already have a</w:t>
      </w:r>
      <w:r w:rsidR="00D97C8B">
        <w:t>n external</w:t>
      </w:r>
      <w:r w:rsidR="004F2D95">
        <w:t xml:space="preserve"> review process </w:t>
      </w:r>
      <w:r w:rsidR="00352DB4">
        <w:t xml:space="preserve">through </w:t>
      </w:r>
      <w:r w:rsidR="002D4ECF">
        <w:t xml:space="preserve">an alternative pathway, such as a panel process </w:t>
      </w:r>
      <w:r w:rsidR="0012772D">
        <w:t xml:space="preserve">for a health decision </w:t>
      </w:r>
      <w:r w:rsidR="002D4ECF">
        <w:t xml:space="preserve">or a </w:t>
      </w:r>
      <w:r w:rsidR="004A2E08">
        <w:t xml:space="preserve">review under the Drug Use Standards. </w:t>
      </w:r>
      <w:r w:rsidR="00442269">
        <w:t xml:space="preserve">This is to ensure that </w:t>
      </w:r>
      <w:r w:rsidR="004666EE">
        <w:t>decisions that have already been finalised</w:t>
      </w:r>
      <w:r w:rsidR="001D23D4">
        <w:t xml:space="preserve"> through a review process</w:t>
      </w:r>
      <w:r w:rsidR="004666EE">
        <w:t xml:space="preserve">, for example a decision about health treatment for a young person cannot be </w:t>
      </w:r>
      <w:r w:rsidR="002D6C5B">
        <w:t xml:space="preserve">continually re-opened. </w:t>
      </w:r>
      <w:r w:rsidR="005D1D68">
        <w:t xml:space="preserve">It also ensures that decisions are reviewed by the most appropriate entity, such as an expert panel. </w:t>
      </w:r>
    </w:p>
    <w:p w14:paraId="2B26D1C0" w14:textId="77777777" w:rsidR="001B742D" w:rsidRDefault="001B742D" w:rsidP="001B742D">
      <w:pPr>
        <w:spacing w:line="360" w:lineRule="auto"/>
      </w:pPr>
    </w:p>
    <w:p w14:paraId="72CC7B84" w14:textId="5FED9FA3" w:rsidR="005F7807" w:rsidRPr="005F7807" w:rsidRDefault="001B742D" w:rsidP="005F7807">
      <w:pPr>
        <w:spacing w:line="360" w:lineRule="auto"/>
      </w:pPr>
      <w:r>
        <w:t xml:space="preserve">Further guidance is provided </w:t>
      </w:r>
      <w:r w:rsidR="00D619E9">
        <w:t>for what could be a</w:t>
      </w:r>
      <w:r>
        <w:t xml:space="preserve"> ‘long-term decision’ in relation to </w:t>
      </w:r>
      <w:r w:rsidR="00D619E9">
        <w:t>decisions about</w:t>
      </w:r>
      <w:r>
        <w:t xml:space="preserve"> culture, education and religion. </w:t>
      </w:r>
      <w:r w:rsidR="009409BB">
        <w:t>This c</w:t>
      </w:r>
      <w:r w:rsidR="005F7807" w:rsidRPr="005F7807">
        <w:t xml:space="preserve">larifies what is included in a significant and </w:t>
      </w:r>
      <w:r w:rsidR="00C51C1E" w:rsidRPr="005F7807">
        <w:t>long-term</w:t>
      </w:r>
      <w:r w:rsidR="005F7807" w:rsidRPr="005F7807">
        <w:t xml:space="preserve"> decision regarding </w:t>
      </w:r>
      <w:r w:rsidR="005F7807">
        <w:t>c</w:t>
      </w:r>
      <w:r w:rsidR="001F00C6">
        <w:t xml:space="preserve">ulture, </w:t>
      </w:r>
      <w:r w:rsidR="005F7807" w:rsidRPr="005F7807">
        <w:t xml:space="preserve">education, </w:t>
      </w:r>
      <w:r w:rsidR="001F00C6">
        <w:t xml:space="preserve">and </w:t>
      </w:r>
      <w:r w:rsidR="005F7807" w:rsidRPr="005F7807">
        <w:t>religion, without limiting what might be considered significant.</w:t>
      </w:r>
    </w:p>
    <w:p w14:paraId="1F162F5B" w14:textId="7DF1B8E4" w:rsidR="007F4115" w:rsidRDefault="007F4115" w:rsidP="001B742D">
      <w:pPr>
        <w:spacing w:line="360" w:lineRule="auto"/>
      </w:pPr>
    </w:p>
    <w:p w14:paraId="46E0FF41" w14:textId="77777777" w:rsidR="009E1CCB" w:rsidRDefault="009E1CCB" w:rsidP="001B742D">
      <w:pPr>
        <w:spacing w:line="360" w:lineRule="auto"/>
      </w:pPr>
    </w:p>
    <w:p w14:paraId="51B679A8" w14:textId="77777777" w:rsidR="009E1CCB" w:rsidRDefault="009E1CCB" w:rsidP="001B742D">
      <w:pPr>
        <w:spacing w:line="360" w:lineRule="auto"/>
      </w:pPr>
    </w:p>
    <w:p w14:paraId="3757F5A6" w14:textId="59461328" w:rsidR="007F4115" w:rsidRPr="0001014B" w:rsidRDefault="007F4115" w:rsidP="001B742D">
      <w:pPr>
        <w:spacing w:line="360" w:lineRule="auto"/>
        <w:rPr>
          <w:i/>
          <w:iCs/>
        </w:rPr>
      </w:pPr>
      <w:r w:rsidRPr="0001014B">
        <w:rPr>
          <w:i/>
          <w:iCs/>
        </w:rPr>
        <w:lastRenderedPageBreak/>
        <w:t>Culture</w:t>
      </w:r>
    </w:p>
    <w:p w14:paraId="61A29317" w14:textId="7A717402" w:rsidR="00BE5943" w:rsidRDefault="003301CF" w:rsidP="001B742D">
      <w:pPr>
        <w:spacing w:line="360" w:lineRule="auto"/>
      </w:pPr>
      <w:r>
        <w:t xml:space="preserve">A significant </w:t>
      </w:r>
      <w:r w:rsidR="00D63051">
        <w:t xml:space="preserve">cultural </w:t>
      </w:r>
      <w:r w:rsidR="00FF31B8">
        <w:t xml:space="preserve">decision </w:t>
      </w:r>
      <w:r w:rsidR="00953352">
        <w:t xml:space="preserve">is </w:t>
      </w:r>
      <w:r w:rsidR="00336B86">
        <w:t xml:space="preserve">defined as a ‘long-term decision’ </w:t>
      </w:r>
      <w:r w:rsidR="00D55B7F">
        <w:t>and includes</w:t>
      </w:r>
      <w:r w:rsidR="004676C6">
        <w:t xml:space="preserve"> </w:t>
      </w:r>
      <w:r w:rsidR="006108B1">
        <w:t>decisions</w:t>
      </w:r>
      <w:r w:rsidR="00427C98">
        <w:t xml:space="preserve"> about </w:t>
      </w:r>
      <w:r w:rsidR="002E4EAF" w:rsidRPr="002E4EAF">
        <w:t xml:space="preserve">child or young person regularly participating in </w:t>
      </w:r>
      <w:r w:rsidR="006B3763">
        <w:t xml:space="preserve">cultural </w:t>
      </w:r>
      <w:r w:rsidR="002E4EAF" w:rsidRPr="002E4EAF">
        <w:t xml:space="preserve">activities </w:t>
      </w:r>
      <w:r w:rsidR="001F2B85">
        <w:t>or education</w:t>
      </w:r>
      <w:r w:rsidR="006B3763">
        <w:t>.</w:t>
      </w:r>
      <w:r w:rsidR="004970CD">
        <w:t xml:space="preserve"> </w:t>
      </w:r>
      <w:r w:rsidR="0001014B" w:rsidRPr="00AC5343">
        <w:t>The</w:t>
      </w:r>
      <w:r w:rsidR="00AC5343" w:rsidRPr="00AC5343">
        <w:t xml:space="preserve"> definition of significant cultural decision is </w:t>
      </w:r>
      <w:r w:rsidR="00BE5819" w:rsidRPr="00AC5343">
        <w:t>open-ended,</w:t>
      </w:r>
      <w:r w:rsidR="000A6789" w:rsidRPr="00AC5343">
        <w:t xml:space="preserve"> and does not exclude </w:t>
      </w:r>
      <w:r w:rsidR="00FC6B82" w:rsidRPr="00AC5343">
        <w:t xml:space="preserve">other </w:t>
      </w:r>
      <w:r w:rsidR="00636385" w:rsidRPr="00AC5343">
        <w:t>cultural decisions</w:t>
      </w:r>
      <w:r w:rsidR="00AC5343" w:rsidRPr="00AC5343">
        <w:t xml:space="preserve"> from being significant</w:t>
      </w:r>
      <w:r w:rsidR="00AC5343">
        <w:t xml:space="preserve"> </w:t>
      </w:r>
      <w:r w:rsidR="00E2185D">
        <w:t>d</w:t>
      </w:r>
      <w:r w:rsidR="00DA2F0D">
        <w:t xml:space="preserve">ecisions </w:t>
      </w:r>
      <w:r w:rsidR="00984E28">
        <w:t xml:space="preserve">in relation to significant cultural decisions (Item 9 in </w:t>
      </w:r>
      <w:r w:rsidR="00CE76A7">
        <w:t>Schedule 1</w:t>
      </w:r>
      <w:r w:rsidR="00984E28">
        <w:t xml:space="preserve">) or </w:t>
      </w:r>
      <w:r w:rsidR="003E28AD">
        <w:t xml:space="preserve">implementation of a cultural </w:t>
      </w:r>
      <w:r w:rsidR="00CE76A7">
        <w:t xml:space="preserve">plan (Item 14 in Schedule 1) </w:t>
      </w:r>
      <w:r w:rsidR="00DA2F0D">
        <w:t xml:space="preserve">that would </w:t>
      </w:r>
      <w:r w:rsidR="00351129">
        <w:t xml:space="preserve">be not considered long-term decisions </w:t>
      </w:r>
      <w:r w:rsidR="00AC5343">
        <w:t>may include</w:t>
      </w:r>
      <w:r w:rsidR="00351129">
        <w:t xml:space="preserve"> </w:t>
      </w:r>
      <w:r w:rsidR="00006BF2">
        <w:t xml:space="preserve">a </w:t>
      </w:r>
      <w:r w:rsidR="00636385">
        <w:t>one-off change</w:t>
      </w:r>
      <w:r w:rsidR="00B73F6E">
        <w:t xml:space="preserve"> to </w:t>
      </w:r>
      <w:r w:rsidR="00F157C7">
        <w:t xml:space="preserve">participating in </w:t>
      </w:r>
      <w:r w:rsidR="00DF2A24">
        <w:t xml:space="preserve">cultural activities due to illness or </w:t>
      </w:r>
      <w:r w:rsidR="00FD021F">
        <w:t>other person</w:t>
      </w:r>
      <w:r w:rsidR="00F157C7">
        <w:t>al</w:t>
      </w:r>
      <w:r w:rsidR="00FD021F">
        <w:t xml:space="preserve"> circumstances</w:t>
      </w:r>
      <w:r w:rsidR="00F157C7">
        <w:t xml:space="preserve">. </w:t>
      </w:r>
      <w:r w:rsidR="002941B5">
        <w:t xml:space="preserve">A decision to not support </w:t>
      </w:r>
      <w:r w:rsidR="00FD084E">
        <w:t xml:space="preserve">a child or young person </w:t>
      </w:r>
      <w:r w:rsidR="00AD3818">
        <w:t>participating in a cultural activity</w:t>
      </w:r>
      <w:r w:rsidR="00B97D27">
        <w:t>, even a one-</w:t>
      </w:r>
      <w:r w:rsidR="00FD084E">
        <w:t>off event, would be considered a long-term decision</w:t>
      </w:r>
      <w:r w:rsidR="005D1D68">
        <w:t xml:space="preserve"> depending on </w:t>
      </w:r>
      <w:r w:rsidR="00A45E2A">
        <w:t xml:space="preserve">the impact and implications for the child or young person’s connection to their culture. </w:t>
      </w:r>
    </w:p>
    <w:p w14:paraId="592AA572" w14:textId="77777777" w:rsidR="0001014B" w:rsidRDefault="0001014B" w:rsidP="001B742D">
      <w:pPr>
        <w:spacing w:line="360" w:lineRule="auto"/>
      </w:pPr>
    </w:p>
    <w:p w14:paraId="0A3BD3D7" w14:textId="2CFFED54" w:rsidR="007F4115" w:rsidRDefault="007F4115" w:rsidP="001B742D">
      <w:pPr>
        <w:spacing w:line="360" w:lineRule="auto"/>
      </w:pPr>
      <w:r w:rsidRPr="00A45E2A">
        <w:rPr>
          <w:i/>
          <w:iCs/>
        </w:rPr>
        <w:t>Religion</w:t>
      </w:r>
    </w:p>
    <w:p w14:paraId="51AEEF15" w14:textId="404E06CA" w:rsidR="00A45E2A" w:rsidRPr="00A45E2A" w:rsidRDefault="00A45E2A" w:rsidP="001B742D">
      <w:pPr>
        <w:spacing w:line="360" w:lineRule="auto"/>
      </w:pPr>
      <w:r>
        <w:t xml:space="preserve">A significant religious </w:t>
      </w:r>
      <w:r w:rsidR="00B9048F">
        <w:t xml:space="preserve">decision </w:t>
      </w:r>
      <w:r w:rsidR="00D9038C">
        <w:t>is defined as a ‘long-term decision</w:t>
      </w:r>
      <w:r w:rsidR="0010465F">
        <w:t xml:space="preserve">’ </w:t>
      </w:r>
      <w:r w:rsidR="00E3416A">
        <w:t xml:space="preserve">and includes a </w:t>
      </w:r>
      <w:r w:rsidR="007F2BD1">
        <w:t xml:space="preserve">decision about a child being initiated into a particular religion or a child or young </w:t>
      </w:r>
      <w:r w:rsidR="000B7C15">
        <w:t>person</w:t>
      </w:r>
      <w:r w:rsidR="007F2BD1">
        <w:t xml:space="preserve"> in </w:t>
      </w:r>
      <w:r w:rsidR="00A60475">
        <w:t xml:space="preserve">religious services </w:t>
      </w:r>
      <w:r w:rsidR="007F05CB">
        <w:t>or activities or religious education.</w:t>
      </w:r>
      <w:r w:rsidR="00590104">
        <w:t xml:space="preserve"> </w:t>
      </w:r>
      <w:r w:rsidR="004F2C91">
        <w:t xml:space="preserve">Decisions that will not have a significant impact on a child or young person’s wellbeing </w:t>
      </w:r>
      <w:r w:rsidR="00B03DAB">
        <w:t xml:space="preserve">such as one-off </w:t>
      </w:r>
      <w:r w:rsidR="00D00D89">
        <w:t xml:space="preserve">attendance at a religious </w:t>
      </w:r>
      <w:r w:rsidR="004D6373">
        <w:t>event</w:t>
      </w:r>
      <w:r w:rsidR="00C81DD4">
        <w:t xml:space="preserve"> will not be considered a long-term decision and will not be reviewable. </w:t>
      </w:r>
    </w:p>
    <w:p w14:paraId="4EE0CBC7" w14:textId="59C6EA40" w:rsidR="007F4115" w:rsidRDefault="007F4115" w:rsidP="001B742D">
      <w:pPr>
        <w:spacing w:line="360" w:lineRule="auto"/>
      </w:pPr>
    </w:p>
    <w:p w14:paraId="29F717D3" w14:textId="5E49D5B9" w:rsidR="007F4115" w:rsidRPr="0001014B" w:rsidRDefault="007F4115" w:rsidP="001B742D">
      <w:pPr>
        <w:spacing w:line="360" w:lineRule="auto"/>
        <w:rPr>
          <w:i/>
          <w:iCs/>
        </w:rPr>
      </w:pPr>
      <w:r w:rsidRPr="0001014B">
        <w:rPr>
          <w:i/>
          <w:iCs/>
        </w:rPr>
        <w:t>Education</w:t>
      </w:r>
    </w:p>
    <w:p w14:paraId="2BB31516" w14:textId="3F1C2149" w:rsidR="000607D6" w:rsidRDefault="623C4E31" w:rsidP="001B742D">
      <w:pPr>
        <w:spacing w:line="360" w:lineRule="auto"/>
      </w:pPr>
      <w:r>
        <w:t xml:space="preserve">A significant education decision means a </w:t>
      </w:r>
      <w:r w:rsidR="0072097E">
        <w:t>‘</w:t>
      </w:r>
      <w:r>
        <w:t>long-term decision</w:t>
      </w:r>
      <w:r w:rsidR="0072097E">
        <w:t>’</w:t>
      </w:r>
      <w:r>
        <w:t xml:space="preserve"> about the education of the child or young person. It includes </w:t>
      </w:r>
      <w:r w:rsidR="3F30667C">
        <w:t>significant</w:t>
      </w:r>
      <w:r>
        <w:t xml:space="preserve"> decisions likely to impact a child o</w:t>
      </w:r>
      <w:r w:rsidR="2D6098D8">
        <w:t>r</w:t>
      </w:r>
      <w:r>
        <w:t xml:space="preserve"> young person’s wellbeing such as </w:t>
      </w:r>
      <w:r w:rsidR="4A6F3417">
        <w:t>a permanent change to their school</w:t>
      </w:r>
      <w:r w:rsidR="58484439">
        <w:t xml:space="preserve"> or educational institution,</w:t>
      </w:r>
      <w:r w:rsidR="4A6F3417">
        <w:t xml:space="preserve"> such as leaving or </w:t>
      </w:r>
      <w:r w:rsidR="4198FA4A">
        <w:t>changing</w:t>
      </w:r>
      <w:r w:rsidR="4A6F3417">
        <w:t xml:space="preserve"> s</w:t>
      </w:r>
      <w:r w:rsidR="0262491D">
        <w:t xml:space="preserve">chools. </w:t>
      </w:r>
      <w:r>
        <w:t xml:space="preserve"> </w:t>
      </w:r>
      <w:r w:rsidR="5DA70779">
        <w:t xml:space="preserve">A range of decisions </w:t>
      </w:r>
      <w:r w:rsidR="6BA8976D">
        <w:t>are often</w:t>
      </w:r>
      <w:r w:rsidR="5DA70779">
        <w:t xml:space="preserve"> required to support a child's experience in an educational setting</w:t>
      </w:r>
      <w:r w:rsidR="12CEA74F">
        <w:t>,</w:t>
      </w:r>
      <w:r w:rsidR="5DA70779">
        <w:t xml:space="preserve"> many of these decisions will be routine or temporary in nature, </w:t>
      </w:r>
      <w:r w:rsidR="345DD70F">
        <w:t>such as the provision of lunches and uniforms, deciding on appropriate transport for a child to and from school</w:t>
      </w:r>
      <w:r w:rsidR="0072097E">
        <w:t>, or</w:t>
      </w:r>
      <w:r w:rsidR="345DD70F">
        <w:t xml:space="preserve"> determining after school activities. These decisions are</w:t>
      </w:r>
      <w:r w:rsidR="5A5BA791">
        <w:t xml:space="preserve"> not </w:t>
      </w:r>
      <w:r w:rsidR="002C54AC">
        <w:t xml:space="preserve">likely to be </w:t>
      </w:r>
      <w:r w:rsidR="5A5BA791">
        <w:t>considered long</w:t>
      </w:r>
      <w:r w:rsidR="62F494CD">
        <w:t>-</w:t>
      </w:r>
      <w:r w:rsidR="5A5BA791">
        <w:t>term decisions</w:t>
      </w:r>
      <w:r w:rsidR="002C54AC">
        <w:t>, unless they affect the young person’s wellbeing in the long term</w:t>
      </w:r>
      <w:r w:rsidR="5A5BA791">
        <w:t xml:space="preserve">. </w:t>
      </w:r>
    </w:p>
    <w:p w14:paraId="5C440A59" w14:textId="06D28AC0" w:rsidR="000607D6" w:rsidRDefault="000607D6" w:rsidP="001B742D">
      <w:pPr>
        <w:spacing w:line="360" w:lineRule="auto"/>
      </w:pPr>
    </w:p>
    <w:p w14:paraId="6D0DF07E" w14:textId="77777777" w:rsidR="0072097E" w:rsidRDefault="0072097E" w:rsidP="001B742D">
      <w:pPr>
        <w:spacing w:line="360" w:lineRule="auto"/>
      </w:pPr>
    </w:p>
    <w:p w14:paraId="2B965243" w14:textId="77777777" w:rsidR="0072097E" w:rsidRDefault="0072097E" w:rsidP="001B742D">
      <w:pPr>
        <w:spacing w:line="360" w:lineRule="auto"/>
      </w:pPr>
    </w:p>
    <w:p w14:paraId="6A18BC62" w14:textId="3AF9C8A7" w:rsidR="00067AA2" w:rsidRPr="00067AA2" w:rsidRDefault="00067AA2" w:rsidP="001B742D">
      <w:pPr>
        <w:spacing w:line="360" w:lineRule="auto"/>
        <w:rPr>
          <w:i/>
          <w:iCs/>
        </w:rPr>
      </w:pPr>
      <w:r w:rsidRPr="00067AA2">
        <w:rPr>
          <w:i/>
          <w:iCs/>
        </w:rPr>
        <w:lastRenderedPageBreak/>
        <w:t>Prescribed persons</w:t>
      </w:r>
    </w:p>
    <w:p w14:paraId="4FC5827A" w14:textId="6AAF69B0" w:rsidR="000607D6" w:rsidRDefault="00466FD0" w:rsidP="001B742D">
      <w:pPr>
        <w:spacing w:line="360" w:lineRule="auto"/>
      </w:pPr>
      <w:r>
        <w:t xml:space="preserve">Minor clarifying </w:t>
      </w:r>
      <w:r w:rsidR="00D4752B">
        <w:t xml:space="preserve">updates </w:t>
      </w:r>
      <w:r w:rsidR="00C96B9E">
        <w:t xml:space="preserve">have been made to the </w:t>
      </w:r>
      <w:r w:rsidR="00A73BC3">
        <w:t xml:space="preserve">prescribed persons </w:t>
      </w:r>
      <w:r w:rsidR="0072097E">
        <w:t xml:space="preserve">that are to be </w:t>
      </w:r>
      <w:r w:rsidR="00F96EDF">
        <w:t xml:space="preserve">notified of reviewable decisions. </w:t>
      </w:r>
      <w:r w:rsidR="00AC1A8C">
        <w:t xml:space="preserve">This has removed </w:t>
      </w:r>
      <w:r w:rsidR="002672B8">
        <w:t>children and young people</w:t>
      </w:r>
      <w:r w:rsidR="007F4115">
        <w:t xml:space="preserve"> from decisions about </w:t>
      </w:r>
      <w:r w:rsidR="00F37211">
        <w:t>services t</w:t>
      </w:r>
      <w:r w:rsidR="00F83445">
        <w:t xml:space="preserve">o support a parent </w:t>
      </w:r>
      <w:r w:rsidR="0017333B">
        <w:t>achieve</w:t>
      </w:r>
      <w:r w:rsidR="00F83445">
        <w:t xml:space="preserve"> restoration </w:t>
      </w:r>
      <w:r w:rsidR="0017333B">
        <w:t>of their child or young person</w:t>
      </w:r>
      <w:r w:rsidR="00A1551E">
        <w:t xml:space="preserve"> (Item 1 in Schedule 1</w:t>
      </w:r>
      <w:r w:rsidR="00EF7F1B">
        <w:t>) and</w:t>
      </w:r>
      <w:r w:rsidR="00A1551E">
        <w:t xml:space="preserve"> has removed persons with daily care responsibility </w:t>
      </w:r>
      <w:r w:rsidR="00530EAF">
        <w:t xml:space="preserve">from decisions about drug use testing and supervision direction (Items 5 and 8 in Schedule 1). This is </w:t>
      </w:r>
      <w:bookmarkStart w:id="2" w:name="_Hlk201927475"/>
      <w:r w:rsidR="00530EAF">
        <w:t xml:space="preserve">to protect information </w:t>
      </w:r>
      <w:r w:rsidR="00067AA2">
        <w:t>that is primarily about</w:t>
      </w:r>
      <w:r w:rsidR="00530EAF">
        <w:t xml:space="preserve"> parents from </w:t>
      </w:r>
      <w:r w:rsidR="00067AA2">
        <w:t xml:space="preserve">being made known to </w:t>
      </w:r>
      <w:r w:rsidR="001F28E2">
        <w:t xml:space="preserve">other people </w:t>
      </w:r>
      <w:r w:rsidR="00067AA2">
        <w:t>such as</w:t>
      </w:r>
      <w:r w:rsidR="001F28E2">
        <w:t xml:space="preserve"> </w:t>
      </w:r>
      <w:r w:rsidR="00FE2894">
        <w:t>children and carers</w:t>
      </w:r>
      <w:bookmarkEnd w:id="2"/>
      <w:r w:rsidR="00067AA2">
        <w:t xml:space="preserve">. </w:t>
      </w:r>
      <w:bookmarkStart w:id="3" w:name="_Hlk201927586"/>
      <w:r w:rsidR="00067AA2">
        <w:t>It will also better</w:t>
      </w:r>
      <w:r w:rsidR="00C55834">
        <w:t xml:space="preserve"> </w:t>
      </w:r>
      <w:r w:rsidR="00F70544">
        <w:t xml:space="preserve">limit internal review notices to </w:t>
      </w:r>
      <w:r w:rsidR="00067AA2">
        <w:t xml:space="preserve">the </w:t>
      </w:r>
      <w:r w:rsidR="0081075D">
        <w:t xml:space="preserve">people directed impacted by </w:t>
      </w:r>
      <w:r w:rsidR="00067AA2">
        <w:t xml:space="preserve">these </w:t>
      </w:r>
      <w:r w:rsidR="0081075D">
        <w:t>decisions</w:t>
      </w:r>
      <w:bookmarkEnd w:id="3"/>
      <w:r w:rsidR="00FE2894">
        <w:t xml:space="preserve">. </w:t>
      </w:r>
      <w:r w:rsidR="00D85BA7">
        <w:t xml:space="preserve">Parents will still be able to </w:t>
      </w:r>
      <w:r w:rsidR="00C55834">
        <w:t>seek reviews of these decisions that directly impact them</w:t>
      </w:r>
      <w:r w:rsidR="0081075D">
        <w:t xml:space="preserve">. </w:t>
      </w:r>
    </w:p>
    <w:p w14:paraId="1E2D9F58" w14:textId="77777777" w:rsidR="001B742D" w:rsidRDefault="001B742D" w:rsidP="001B742D">
      <w:pPr>
        <w:spacing w:line="360" w:lineRule="auto"/>
      </w:pPr>
    </w:p>
    <w:p w14:paraId="7C1E7D0A" w14:textId="7C82DEB3" w:rsidR="001D436B" w:rsidRDefault="001B742D" w:rsidP="7803DE71">
      <w:pPr>
        <w:spacing w:line="360" w:lineRule="auto"/>
      </w:pPr>
      <w:r>
        <w:t xml:space="preserve">These enhancements aim to support a practical, efficient and operational scheme that does not create unnecessary burden on carers and service providers, enables affected people to seek timely internal and/or external review and ensures that reviewers including the </w:t>
      </w:r>
      <w:r w:rsidR="0069254C">
        <w:t>ACAT</w:t>
      </w:r>
      <w:r>
        <w:t xml:space="preserve"> can achieve the intended objectives of the merits review scheme.</w:t>
      </w:r>
    </w:p>
    <w:p w14:paraId="32548D2D" w14:textId="77777777" w:rsidR="001D436B" w:rsidRDefault="001D436B" w:rsidP="7803DE71">
      <w:pPr>
        <w:spacing w:line="360" w:lineRule="auto"/>
      </w:pPr>
    </w:p>
    <w:p w14:paraId="473802B8" w14:textId="6B9C182C" w:rsidR="00E82AC4" w:rsidRPr="00162CC6" w:rsidRDefault="00415545" w:rsidP="00162CC6">
      <w:pPr>
        <w:spacing w:before="240" w:line="360" w:lineRule="auto"/>
        <w:rPr>
          <w:b/>
          <w:bCs/>
        </w:rPr>
      </w:pPr>
      <w:r w:rsidRPr="00484452">
        <w:rPr>
          <w:b/>
          <w:bCs/>
        </w:rPr>
        <w:t>CONSIST</w:t>
      </w:r>
      <w:r w:rsidR="00662E40">
        <w:rPr>
          <w:b/>
          <w:bCs/>
        </w:rPr>
        <w:t>E</w:t>
      </w:r>
      <w:r w:rsidRPr="00484452">
        <w:rPr>
          <w:b/>
          <w:bCs/>
        </w:rPr>
        <w:t xml:space="preserve">NCY WITH HUMAN RIGHTS </w:t>
      </w:r>
      <w:r>
        <w:br/>
      </w:r>
      <w:r w:rsidRPr="00484452">
        <w:t xml:space="preserve">During the development of </w:t>
      </w:r>
      <w:r>
        <w:t>th</w:t>
      </w:r>
      <w:r w:rsidR="59465518">
        <w:t>e Amendment Regulation</w:t>
      </w:r>
      <w:r w:rsidRPr="00484452">
        <w:t xml:space="preserve">, due regard was given to its effect in relation to compatibility with human rights as set out in the </w:t>
      </w:r>
      <w:r w:rsidRPr="00415545">
        <w:rPr>
          <w:i/>
          <w:iCs/>
        </w:rPr>
        <w:t>Human Rights Act 2004</w:t>
      </w:r>
      <w:r w:rsidRPr="00484452">
        <w:t>.</w:t>
      </w:r>
      <w:r w:rsidR="00162CC6">
        <w:rPr>
          <w:b/>
          <w:bCs/>
        </w:rPr>
        <w:t xml:space="preserve"> </w:t>
      </w:r>
      <w:r w:rsidR="00E0575D">
        <w:t xml:space="preserve">A merits review process </w:t>
      </w:r>
      <w:r w:rsidR="00556498">
        <w:t>in relation to</w:t>
      </w:r>
      <w:r w:rsidR="00E0575D">
        <w:t xml:space="preserve"> the</w:t>
      </w:r>
      <w:r w:rsidR="00556498">
        <w:t xml:space="preserve"> </w:t>
      </w:r>
      <w:r w:rsidR="00E0575D">
        <w:t>decisions</w:t>
      </w:r>
      <w:r w:rsidR="00556498">
        <w:t xml:space="preserve"> specified</w:t>
      </w:r>
      <w:r w:rsidR="00E0575D">
        <w:t xml:space="preserve"> in the </w:t>
      </w:r>
      <w:r w:rsidR="707A7F2B">
        <w:t xml:space="preserve">Amendment </w:t>
      </w:r>
      <w:r w:rsidR="00E0575D">
        <w:t>Regulation</w:t>
      </w:r>
      <w:r w:rsidR="00556498">
        <w:t xml:space="preserve"> </w:t>
      </w:r>
      <w:r w:rsidR="0DF1F511">
        <w:t>is</w:t>
      </w:r>
      <w:r w:rsidR="00556498">
        <w:t xml:space="preserve"> likely to</w:t>
      </w:r>
      <w:r w:rsidR="00E82AC4" w:rsidRPr="00E82AC4">
        <w:t xml:space="preserve"> </w:t>
      </w:r>
      <w:r w:rsidR="6E7ED467">
        <w:t xml:space="preserve">both </w:t>
      </w:r>
      <w:r w:rsidR="00E82AC4" w:rsidRPr="00E82AC4">
        <w:t>promote</w:t>
      </w:r>
      <w:r w:rsidR="00E82AC4" w:rsidRPr="176582D0">
        <w:rPr>
          <w:i/>
        </w:rPr>
        <w:t xml:space="preserve"> </w:t>
      </w:r>
      <w:r w:rsidR="00E82AC4" w:rsidRPr="00E82AC4">
        <w:t xml:space="preserve">and </w:t>
      </w:r>
      <w:r w:rsidR="6E7ED467" w:rsidRPr="176582D0">
        <w:t>minimise the</w:t>
      </w:r>
      <w:r w:rsidR="00E82AC4" w:rsidRPr="00E82AC4">
        <w:t xml:space="preserve"> limitations on </w:t>
      </w:r>
      <w:r w:rsidR="00576A57">
        <w:t>human rights under the</w:t>
      </w:r>
      <w:r w:rsidR="00E82AC4" w:rsidRPr="00E82AC4">
        <w:t xml:space="preserve"> </w:t>
      </w:r>
      <w:r w:rsidR="00576A57" w:rsidRPr="00415545">
        <w:rPr>
          <w:i/>
          <w:iCs/>
        </w:rPr>
        <w:t>Human Rights Act 2004</w:t>
      </w:r>
      <w:r w:rsidR="00576A57" w:rsidRPr="176582D0">
        <w:rPr>
          <w:i/>
        </w:rPr>
        <w:t>.</w:t>
      </w:r>
    </w:p>
    <w:p w14:paraId="075978E7" w14:textId="5025CD7B" w:rsidR="00720968" w:rsidRPr="004E6AE2" w:rsidRDefault="00E82AC4" w:rsidP="00E82AC4">
      <w:pPr>
        <w:spacing w:line="360" w:lineRule="auto"/>
        <w:rPr>
          <w:b/>
          <w:bCs/>
        </w:rPr>
      </w:pPr>
      <w:r w:rsidRPr="00E82AC4">
        <w:rPr>
          <w:b/>
          <w:bCs/>
        </w:rPr>
        <w:t> </w:t>
      </w:r>
    </w:p>
    <w:p w14:paraId="3074BEAD" w14:textId="3BD8DD46" w:rsidR="00E82AC4" w:rsidRPr="00E82AC4" w:rsidRDefault="00E82AC4" w:rsidP="00E82AC4">
      <w:pPr>
        <w:spacing w:line="360" w:lineRule="auto"/>
        <w:rPr>
          <w:b/>
          <w:bCs/>
        </w:rPr>
      </w:pPr>
      <w:r w:rsidRPr="00E82AC4">
        <w:rPr>
          <w:b/>
          <w:bCs/>
        </w:rPr>
        <w:t>Rights Limited </w:t>
      </w:r>
      <w:r w:rsidR="768C6066" w:rsidRPr="3645582F">
        <w:rPr>
          <w:b/>
          <w:bCs/>
        </w:rPr>
        <w:t>and Promoted</w:t>
      </w:r>
      <w:r w:rsidR="768C6066" w:rsidRPr="3BC69AFA">
        <w:rPr>
          <w:b/>
          <w:bCs/>
        </w:rPr>
        <w:t xml:space="preserve"> </w:t>
      </w:r>
    </w:p>
    <w:p w14:paraId="441A09FB" w14:textId="75C8D868" w:rsidR="29A41BCD" w:rsidRDefault="29A41BCD" w:rsidP="176582D0">
      <w:pPr>
        <w:pStyle w:val="ListParagraph"/>
        <w:numPr>
          <w:ilvl w:val="0"/>
          <w:numId w:val="21"/>
        </w:numPr>
        <w:spacing w:before="140" w:line="360" w:lineRule="auto"/>
      </w:pPr>
      <w:r>
        <w:t xml:space="preserve">Section 11 – Protection of the family and </w:t>
      </w:r>
      <w:r w:rsidRPr="176582D0">
        <w:rPr>
          <w:rFonts w:eastAsia="Arial"/>
        </w:rPr>
        <w:t>children</w:t>
      </w:r>
    </w:p>
    <w:p w14:paraId="6F98E601" w14:textId="0C5B39DB" w:rsidR="29A41BCD" w:rsidRDefault="29A41BCD" w:rsidP="00BF6CCA">
      <w:pPr>
        <w:shd w:val="clear" w:color="auto" w:fill="FFFFFF" w:themeFill="background1"/>
        <w:spacing w:before="140" w:line="360" w:lineRule="auto"/>
        <w:jc w:val="both"/>
        <w:rPr>
          <w:color w:val="000000" w:themeColor="text1"/>
        </w:rPr>
      </w:pPr>
      <w:r w:rsidRPr="65D9CDE6">
        <w:rPr>
          <w:color w:val="000000" w:themeColor="text1"/>
        </w:rPr>
        <w:t>The family is the natural and basic group unit of society and is entitled to be protected by society.</w:t>
      </w:r>
      <w:r w:rsidR="00504974" w:rsidRPr="65D9CDE6">
        <w:rPr>
          <w:color w:val="000000" w:themeColor="text1"/>
        </w:rPr>
        <w:t xml:space="preserve"> This right is balanced by the right that every child has</w:t>
      </w:r>
      <w:r w:rsidRPr="65D9CDE6">
        <w:rPr>
          <w:color w:val="000000" w:themeColor="text1"/>
        </w:rPr>
        <w:t xml:space="preserve"> the protection needed by the child because of being a child, without distinction or discrimination of any kind.</w:t>
      </w:r>
      <w:r w:rsidR="28488AAF" w:rsidRPr="65D9CDE6">
        <w:rPr>
          <w:color w:val="000000" w:themeColor="text1"/>
        </w:rPr>
        <w:t xml:space="preserve"> The CYP</w:t>
      </w:r>
      <w:r w:rsidR="13F14103" w:rsidRPr="4580A56F">
        <w:rPr>
          <w:color w:val="000000" w:themeColor="text1"/>
        </w:rPr>
        <w:t xml:space="preserve"> </w:t>
      </w:r>
      <w:r w:rsidR="4C525FE8" w:rsidRPr="4580A56F">
        <w:rPr>
          <w:color w:val="000000" w:themeColor="text1"/>
        </w:rPr>
        <w:t>Act</w:t>
      </w:r>
      <w:r w:rsidR="28488AAF" w:rsidRPr="65D9CDE6">
        <w:rPr>
          <w:color w:val="000000" w:themeColor="text1"/>
        </w:rPr>
        <w:t xml:space="preserve"> gives the </w:t>
      </w:r>
      <w:r w:rsidR="79124018" w:rsidRPr="65D9CDE6">
        <w:rPr>
          <w:color w:val="000000" w:themeColor="text1"/>
        </w:rPr>
        <w:t>authority to protect children in situations where there a</w:t>
      </w:r>
      <w:r w:rsidR="0E2367D3" w:rsidRPr="65D9CDE6">
        <w:rPr>
          <w:color w:val="000000" w:themeColor="text1"/>
        </w:rPr>
        <w:t xml:space="preserve">re concerns about their wellbeing </w:t>
      </w:r>
      <w:r w:rsidR="4CD2A6CA" w:rsidRPr="65D9CDE6">
        <w:rPr>
          <w:color w:val="000000" w:themeColor="text1"/>
        </w:rPr>
        <w:t>whilst ensuring</w:t>
      </w:r>
      <w:r w:rsidR="0E2367D3" w:rsidRPr="65D9CDE6">
        <w:rPr>
          <w:color w:val="000000" w:themeColor="text1"/>
        </w:rPr>
        <w:t xml:space="preserve"> any actions are the minimal necessary to protect both the child or young person, and the family. </w:t>
      </w:r>
    </w:p>
    <w:p w14:paraId="5122DDF0" w14:textId="09F40652" w:rsidR="0E2367D3" w:rsidRDefault="0E2367D3" w:rsidP="00BF6CCA">
      <w:pPr>
        <w:shd w:val="clear" w:color="auto" w:fill="FFFFFF" w:themeFill="background1"/>
        <w:spacing w:before="140" w:line="360" w:lineRule="auto"/>
        <w:jc w:val="both"/>
        <w:rPr>
          <w:color w:val="000000" w:themeColor="text1"/>
        </w:rPr>
      </w:pPr>
      <w:r w:rsidRPr="5602A451">
        <w:rPr>
          <w:color w:val="000000" w:themeColor="text1"/>
        </w:rPr>
        <w:t>The Amendment Act</w:t>
      </w:r>
      <w:r w:rsidR="515E038B" w:rsidRPr="5602A451">
        <w:rPr>
          <w:color w:val="000000" w:themeColor="text1"/>
        </w:rPr>
        <w:t xml:space="preserve"> introduces a merits review process to promote the accountability and transparency of decisions under the CYP Act</w:t>
      </w:r>
      <w:r w:rsidR="44DF57DC" w:rsidRPr="5602A451">
        <w:rPr>
          <w:color w:val="000000" w:themeColor="text1"/>
        </w:rPr>
        <w:t xml:space="preserve"> and ensures that they decisions strike </w:t>
      </w:r>
      <w:r w:rsidR="44DF57DC" w:rsidRPr="5602A451">
        <w:rPr>
          <w:color w:val="000000" w:themeColor="text1"/>
        </w:rPr>
        <w:lastRenderedPageBreak/>
        <w:t xml:space="preserve">the right balance between protection of children and young person whilst maintaining the </w:t>
      </w:r>
      <w:r w:rsidR="61B17C1D" w:rsidRPr="5602A451">
        <w:rPr>
          <w:color w:val="000000" w:themeColor="text1"/>
        </w:rPr>
        <w:t xml:space="preserve">protection of the family. </w:t>
      </w:r>
    </w:p>
    <w:p w14:paraId="67AF5BB4" w14:textId="68D10538" w:rsidR="4960D6BE" w:rsidRDefault="61B17C1D" w:rsidP="1C64E01A">
      <w:pPr>
        <w:shd w:val="clear" w:color="auto" w:fill="FFFFFF" w:themeFill="background1"/>
        <w:spacing w:before="140" w:line="360" w:lineRule="auto"/>
        <w:jc w:val="both"/>
        <w:rPr>
          <w:color w:val="000000" w:themeColor="text1"/>
        </w:rPr>
      </w:pPr>
      <w:r w:rsidRPr="381DA7A6">
        <w:rPr>
          <w:color w:val="000000" w:themeColor="text1"/>
        </w:rPr>
        <w:t>The Amendment Regulation</w:t>
      </w:r>
      <w:r w:rsidR="0A96CE71" w:rsidRPr="381DA7A6">
        <w:rPr>
          <w:color w:val="000000" w:themeColor="text1"/>
        </w:rPr>
        <w:t xml:space="preserve"> clarifies that reviewable decisions are those that are long</w:t>
      </w:r>
      <w:r w:rsidR="0072097E">
        <w:rPr>
          <w:color w:val="000000" w:themeColor="text1"/>
        </w:rPr>
        <w:t>-</w:t>
      </w:r>
      <w:r w:rsidR="0A96CE71" w:rsidRPr="381DA7A6">
        <w:rPr>
          <w:color w:val="000000" w:themeColor="text1"/>
        </w:rPr>
        <w:t xml:space="preserve">term and will have or are </w:t>
      </w:r>
      <w:r w:rsidR="0A96CE71" w:rsidRPr="3587BD9E">
        <w:rPr>
          <w:color w:val="000000" w:themeColor="text1"/>
        </w:rPr>
        <w:t>like</w:t>
      </w:r>
      <w:r w:rsidR="48149762" w:rsidRPr="3587BD9E">
        <w:rPr>
          <w:color w:val="000000" w:themeColor="text1"/>
        </w:rPr>
        <w:t>l</w:t>
      </w:r>
      <w:r w:rsidR="0A96CE71" w:rsidRPr="3587BD9E">
        <w:rPr>
          <w:color w:val="000000" w:themeColor="text1"/>
        </w:rPr>
        <w:t>y</w:t>
      </w:r>
      <w:r w:rsidR="0A96CE71" w:rsidRPr="381DA7A6">
        <w:rPr>
          <w:color w:val="000000" w:themeColor="text1"/>
        </w:rPr>
        <w:t xml:space="preserve"> to </w:t>
      </w:r>
      <w:r w:rsidR="0A96CE71" w:rsidRPr="3587BD9E">
        <w:rPr>
          <w:color w:val="000000" w:themeColor="text1"/>
        </w:rPr>
        <w:t>ha</w:t>
      </w:r>
      <w:r w:rsidR="03DCC7C9" w:rsidRPr="3587BD9E">
        <w:rPr>
          <w:color w:val="000000" w:themeColor="text1"/>
        </w:rPr>
        <w:t>v</w:t>
      </w:r>
      <w:r w:rsidR="0A96CE71" w:rsidRPr="3587BD9E">
        <w:rPr>
          <w:color w:val="000000" w:themeColor="text1"/>
        </w:rPr>
        <w:t>e</w:t>
      </w:r>
      <w:r w:rsidR="0A96CE71" w:rsidRPr="381DA7A6">
        <w:rPr>
          <w:color w:val="000000" w:themeColor="text1"/>
        </w:rPr>
        <w:t xml:space="preserve"> a </w:t>
      </w:r>
      <w:r w:rsidR="0A96CE71" w:rsidRPr="3587BD9E">
        <w:rPr>
          <w:color w:val="000000" w:themeColor="text1"/>
        </w:rPr>
        <w:t>sign</w:t>
      </w:r>
      <w:r w:rsidR="3372F953" w:rsidRPr="3587BD9E">
        <w:rPr>
          <w:color w:val="000000" w:themeColor="text1"/>
        </w:rPr>
        <w:t>i</w:t>
      </w:r>
      <w:r w:rsidR="0A96CE71" w:rsidRPr="3587BD9E">
        <w:rPr>
          <w:color w:val="000000" w:themeColor="text1"/>
        </w:rPr>
        <w:t>ficant</w:t>
      </w:r>
      <w:r w:rsidR="0A96CE71" w:rsidRPr="381DA7A6">
        <w:rPr>
          <w:color w:val="000000" w:themeColor="text1"/>
        </w:rPr>
        <w:t xml:space="preserve"> impact on the wellbeing of the child or young person. </w:t>
      </w:r>
      <w:r w:rsidR="0A96CE71" w:rsidRPr="72CBC352">
        <w:rPr>
          <w:color w:val="000000" w:themeColor="text1"/>
        </w:rPr>
        <w:t xml:space="preserve">This will usually </w:t>
      </w:r>
      <w:r w:rsidR="0A96CE71" w:rsidRPr="3587BD9E">
        <w:rPr>
          <w:color w:val="000000" w:themeColor="text1"/>
        </w:rPr>
        <w:t>excl</w:t>
      </w:r>
      <w:r w:rsidR="6A77FC34" w:rsidRPr="3587BD9E">
        <w:rPr>
          <w:color w:val="000000" w:themeColor="text1"/>
        </w:rPr>
        <w:t>u</w:t>
      </w:r>
      <w:r w:rsidR="0A96CE71" w:rsidRPr="3587BD9E">
        <w:rPr>
          <w:color w:val="000000" w:themeColor="text1"/>
        </w:rPr>
        <w:t>de</w:t>
      </w:r>
      <w:r w:rsidR="0A96CE71" w:rsidRPr="72CBC352">
        <w:rPr>
          <w:color w:val="000000" w:themeColor="text1"/>
        </w:rPr>
        <w:t xml:space="preserve"> decisions that are routine or</w:t>
      </w:r>
      <w:r w:rsidR="1F9EAE45" w:rsidRPr="72CBC352">
        <w:rPr>
          <w:color w:val="000000" w:themeColor="text1"/>
        </w:rPr>
        <w:t xml:space="preserve"> temporary which will ensure that </w:t>
      </w:r>
      <w:r w:rsidR="1F9EAE45" w:rsidRPr="3587BD9E">
        <w:rPr>
          <w:color w:val="000000" w:themeColor="text1"/>
        </w:rPr>
        <w:t xml:space="preserve">decisions about </w:t>
      </w:r>
      <w:r w:rsidR="1F9EAE45" w:rsidRPr="72CBC352">
        <w:rPr>
          <w:color w:val="000000" w:themeColor="text1"/>
        </w:rPr>
        <w:t xml:space="preserve">the </w:t>
      </w:r>
      <w:r w:rsidR="1F9EAE45" w:rsidRPr="3587BD9E">
        <w:rPr>
          <w:color w:val="000000" w:themeColor="text1"/>
        </w:rPr>
        <w:t xml:space="preserve">everyday care of children and young people can </w:t>
      </w:r>
      <w:r w:rsidR="755DBE53" w:rsidRPr="6CE52504">
        <w:rPr>
          <w:color w:val="000000" w:themeColor="text1"/>
        </w:rPr>
        <w:t xml:space="preserve">be </w:t>
      </w:r>
      <w:r w:rsidR="755DBE53" w:rsidRPr="2A1A5BE1">
        <w:rPr>
          <w:color w:val="000000" w:themeColor="text1"/>
        </w:rPr>
        <w:t>made.</w:t>
      </w:r>
      <w:r w:rsidRPr="381DA7A6">
        <w:rPr>
          <w:color w:val="000000" w:themeColor="text1"/>
        </w:rPr>
        <w:t xml:space="preserve"> </w:t>
      </w:r>
      <w:r w:rsidR="44FFBF8D" w:rsidRPr="4B58ABB3">
        <w:rPr>
          <w:color w:val="000000" w:themeColor="text1"/>
        </w:rPr>
        <w:t xml:space="preserve">For example, isolated decisions </w:t>
      </w:r>
      <w:r w:rsidR="44FFBF8D" w:rsidRPr="3C2EBBEF">
        <w:rPr>
          <w:color w:val="000000" w:themeColor="text1"/>
        </w:rPr>
        <w:t xml:space="preserve">that </w:t>
      </w:r>
      <w:r w:rsidR="3BC9215E" w:rsidRPr="226CE2FD">
        <w:rPr>
          <w:color w:val="000000" w:themeColor="text1"/>
        </w:rPr>
        <w:t>are</w:t>
      </w:r>
      <w:r w:rsidR="44FFBF8D" w:rsidRPr="3C2EBBEF">
        <w:rPr>
          <w:color w:val="000000" w:themeColor="text1"/>
        </w:rPr>
        <w:t xml:space="preserve"> short</w:t>
      </w:r>
      <w:r w:rsidR="0EB5B8B6" w:rsidRPr="226CE2FD">
        <w:rPr>
          <w:color w:val="000000" w:themeColor="text1"/>
        </w:rPr>
        <w:t>-</w:t>
      </w:r>
      <w:r w:rsidR="44FFBF8D" w:rsidRPr="3C2EBBEF">
        <w:rPr>
          <w:color w:val="000000" w:themeColor="text1"/>
        </w:rPr>
        <w:t>term in nature, such as the one</w:t>
      </w:r>
      <w:r w:rsidR="6B66F0FF" w:rsidRPr="226CE2FD">
        <w:rPr>
          <w:color w:val="000000" w:themeColor="text1"/>
        </w:rPr>
        <w:t>-</w:t>
      </w:r>
      <w:r w:rsidR="44FFBF8D" w:rsidRPr="3C2EBBEF">
        <w:rPr>
          <w:color w:val="000000" w:themeColor="text1"/>
        </w:rPr>
        <w:t xml:space="preserve">off </w:t>
      </w:r>
      <w:r w:rsidR="350A2263" w:rsidRPr="226CE2FD">
        <w:rPr>
          <w:color w:val="000000" w:themeColor="text1"/>
        </w:rPr>
        <w:t>cancelation</w:t>
      </w:r>
      <w:r w:rsidR="44FFBF8D" w:rsidRPr="3C2EBBEF">
        <w:rPr>
          <w:color w:val="000000" w:themeColor="text1"/>
        </w:rPr>
        <w:t xml:space="preserve"> of a </w:t>
      </w:r>
      <w:r w:rsidR="44FFBF8D" w:rsidRPr="226CE2FD">
        <w:rPr>
          <w:color w:val="000000" w:themeColor="text1"/>
        </w:rPr>
        <w:t>contact</w:t>
      </w:r>
      <w:r w:rsidR="12187209" w:rsidRPr="226CE2FD">
        <w:rPr>
          <w:color w:val="000000" w:themeColor="text1"/>
        </w:rPr>
        <w:t xml:space="preserve"> </w:t>
      </w:r>
      <w:r w:rsidR="44FFBF8D" w:rsidRPr="226CE2FD">
        <w:rPr>
          <w:color w:val="000000" w:themeColor="text1"/>
        </w:rPr>
        <w:t>visit</w:t>
      </w:r>
      <w:r w:rsidR="44FFBF8D" w:rsidRPr="3C2EBBEF">
        <w:rPr>
          <w:color w:val="000000" w:themeColor="text1"/>
        </w:rPr>
        <w:t xml:space="preserve"> due to a </w:t>
      </w:r>
      <w:r w:rsidR="63E8BE53" w:rsidRPr="142D5C47">
        <w:rPr>
          <w:color w:val="000000" w:themeColor="text1"/>
        </w:rPr>
        <w:t>child's</w:t>
      </w:r>
      <w:r w:rsidR="44FFBF8D" w:rsidRPr="226CE2FD">
        <w:rPr>
          <w:color w:val="000000" w:themeColor="text1"/>
        </w:rPr>
        <w:t xml:space="preserve"> illne</w:t>
      </w:r>
      <w:r w:rsidR="3F975AC0" w:rsidRPr="226CE2FD">
        <w:rPr>
          <w:color w:val="000000" w:themeColor="text1"/>
        </w:rPr>
        <w:t xml:space="preserve">ss, </w:t>
      </w:r>
      <w:r w:rsidR="29988203" w:rsidRPr="142D5C47">
        <w:rPr>
          <w:color w:val="000000" w:themeColor="text1"/>
        </w:rPr>
        <w:t xml:space="preserve">would not be a </w:t>
      </w:r>
      <w:r w:rsidR="29988203" w:rsidRPr="5D7E1D20">
        <w:rPr>
          <w:color w:val="000000" w:themeColor="text1"/>
        </w:rPr>
        <w:t xml:space="preserve">reviewable decision. </w:t>
      </w:r>
      <w:r w:rsidR="29988203" w:rsidRPr="3AE12064">
        <w:rPr>
          <w:color w:val="000000" w:themeColor="text1"/>
        </w:rPr>
        <w:t>This is because the decision is</w:t>
      </w:r>
      <w:r w:rsidR="0D47B5AD">
        <w:t xml:space="preserve"> not likely to have implications for the child’s long-term wellbeing</w:t>
      </w:r>
      <w:r w:rsidR="00162CC6">
        <w:t>, and would not be an impact on the rights of the family</w:t>
      </w:r>
      <w:r w:rsidR="0D47B5AD">
        <w:t>.</w:t>
      </w:r>
      <w:r w:rsidR="29988203">
        <w:t xml:space="preserve"> </w:t>
      </w:r>
      <w:r w:rsidR="0D47B5AD">
        <w:t xml:space="preserve">Whereas a </w:t>
      </w:r>
      <w:r w:rsidR="055BB9DB">
        <w:t>decision to restrict family contact for an ongoing period of time w</w:t>
      </w:r>
      <w:r w:rsidR="36F3BBE1">
        <w:t>ould</w:t>
      </w:r>
      <w:r w:rsidR="78736007">
        <w:t xml:space="preserve"> be</w:t>
      </w:r>
      <w:r w:rsidR="02431682">
        <w:t xml:space="preserve"> a revi</w:t>
      </w:r>
      <w:r w:rsidR="5DF69C57">
        <w:t>ewable</w:t>
      </w:r>
      <w:r w:rsidR="02431682">
        <w:t xml:space="preserve"> decision</w:t>
      </w:r>
      <w:r w:rsidR="3645AD3E">
        <w:t>, providing an avenue to promote the</w:t>
      </w:r>
      <w:r w:rsidR="02431682">
        <w:t xml:space="preserve"> </w:t>
      </w:r>
      <w:r w:rsidR="3645AD3E">
        <w:t xml:space="preserve">right to protection of family and children. </w:t>
      </w:r>
    </w:p>
    <w:p w14:paraId="3EA45EA0" w14:textId="39F0080A" w:rsidR="7F701592" w:rsidRDefault="7F701592" w:rsidP="7F701592">
      <w:pPr>
        <w:shd w:val="clear" w:color="auto" w:fill="FFFFFF" w:themeFill="background1"/>
        <w:spacing w:before="140" w:line="360" w:lineRule="auto"/>
        <w:jc w:val="both"/>
      </w:pPr>
    </w:p>
    <w:p w14:paraId="25178A3F" w14:textId="77777777" w:rsidR="7D1309FC" w:rsidRDefault="55B9E5B0" w:rsidP="176582D0">
      <w:pPr>
        <w:spacing w:line="360" w:lineRule="auto"/>
        <w:rPr>
          <w:b/>
          <w:bCs/>
        </w:rPr>
      </w:pPr>
      <w:r w:rsidRPr="176582D0">
        <w:rPr>
          <w:b/>
          <w:bCs/>
        </w:rPr>
        <w:t>Rights Promoted</w:t>
      </w:r>
    </w:p>
    <w:p w14:paraId="1F0DB118" w14:textId="0426CA15" w:rsidR="7D1309FC" w:rsidRPr="00162CC6" w:rsidRDefault="55B9E5B0" w:rsidP="176582D0">
      <w:pPr>
        <w:numPr>
          <w:ilvl w:val="0"/>
          <w:numId w:val="13"/>
        </w:numPr>
        <w:spacing w:line="360" w:lineRule="auto"/>
      </w:pPr>
      <w:r w:rsidRPr="00162CC6">
        <w:t xml:space="preserve">Section 21 – Right to a fair trial  </w:t>
      </w:r>
    </w:p>
    <w:p w14:paraId="003C9C70" w14:textId="13B0E17C" w:rsidR="7D1309FC" w:rsidRDefault="7D1309FC" w:rsidP="176582D0">
      <w:pPr>
        <w:spacing w:line="360" w:lineRule="auto"/>
        <w:rPr>
          <w:b/>
          <w:bCs/>
        </w:rPr>
      </w:pPr>
    </w:p>
    <w:p w14:paraId="29688247" w14:textId="76510F3A" w:rsidR="7D1309FC" w:rsidRDefault="55B9E5B0" w:rsidP="176582D0">
      <w:pPr>
        <w:spacing w:line="360" w:lineRule="auto"/>
        <w:rPr>
          <w:color w:val="000000" w:themeColor="text1"/>
        </w:rPr>
      </w:pPr>
      <w:r w:rsidRPr="176582D0">
        <w:rPr>
          <w:color w:val="000000" w:themeColor="text1"/>
        </w:rPr>
        <w:t>Section 21 provides that ‘everyone has the right to have their rights and obligations recognised by law, decided by a competent, independent and impartial court or tribunal after a fair and public hearing’.</w:t>
      </w:r>
    </w:p>
    <w:p w14:paraId="1BB32B1C" w14:textId="7C3BA151" w:rsidR="7D1309FC" w:rsidRDefault="7D1309FC" w:rsidP="176582D0">
      <w:pPr>
        <w:spacing w:line="360" w:lineRule="auto"/>
        <w:rPr>
          <w:color w:val="000000" w:themeColor="text1"/>
        </w:rPr>
      </w:pPr>
    </w:p>
    <w:p w14:paraId="6272D935" w14:textId="35C22C55" w:rsidR="7D1309FC" w:rsidRDefault="55B9E5B0" w:rsidP="176582D0">
      <w:pPr>
        <w:spacing w:line="360" w:lineRule="auto"/>
      </w:pPr>
      <w:r w:rsidRPr="00162CC6">
        <w:t xml:space="preserve">The Amendment Act introduces a merits review process that supports the protection </w:t>
      </w:r>
      <w:r w:rsidR="049058D6" w:rsidRPr="00162CC6">
        <w:t xml:space="preserve">and </w:t>
      </w:r>
      <w:r w:rsidR="0D70580E" w:rsidRPr="00162CC6">
        <w:t>scrutiny</w:t>
      </w:r>
      <w:r w:rsidRPr="00162CC6">
        <w:t xml:space="preserve"> of decisions concerning family and children. The introduction of a merits</w:t>
      </w:r>
      <w:r>
        <w:t xml:space="preserve"> review process enhances accountability and transparency of decision making under the Children and Young People Act 2008. This ensures that </w:t>
      </w:r>
      <w:r w:rsidR="125F35F4">
        <w:t xml:space="preserve">those affected by </w:t>
      </w:r>
      <w:r>
        <w:t xml:space="preserve">decisions made to protect young people </w:t>
      </w:r>
      <w:r w:rsidR="00162CC6">
        <w:t>are transparent and accountable. This will enhance decision-making under the CYP Act as there is a scheme to ensure that decisions are independent and impartial and the rights of those affected are given due recognition and consideration.</w:t>
      </w:r>
    </w:p>
    <w:p w14:paraId="46C7D516" w14:textId="36A2BB7A" w:rsidR="7D1309FC" w:rsidRDefault="7D1309FC" w:rsidP="7D1309FC">
      <w:pPr>
        <w:spacing w:line="360" w:lineRule="auto"/>
        <w:rPr>
          <w:b/>
          <w:bCs/>
        </w:rPr>
      </w:pPr>
    </w:p>
    <w:p w14:paraId="417C96E6" w14:textId="638A7A5E" w:rsidR="004E6AE2" w:rsidRPr="00162CC6" w:rsidRDefault="00E82AC4" w:rsidP="00E82AC4">
      <w:pPr>
        <w:numPr>
          <w:ilvl w:val="0"/>
          <w:numId w:val="14"/>
        </w:numPr>
        <w:spacing w:line="360" w:lineRule="auto"/>
      </w:pPr>
      <w:r w:rsidRPr="00162CC6">
        <w:t>Section 12 – Privacy and reputation</w:t>
      </w:r>
    </w:p>
    <w:p w14:paraId="3F49E1AD" w14:textId="2078133F" w:rsidR="002A1946" w:rsidRPr="0053445E" w:rsidRDefault="002A1946" w:rsidP="002A1946">
      <w:pPr>
        <w:spacing w:line="360" w:lineRule="auto"/>
      </w:pPr>
      <w:r>
        <w:t>The</w:t>
      </w:r>
      <w:r w:rsidR="7CBAD7C5">
        <w:t xml:space="preserve"> </w:t>
      </w:r>
      <w:r w:rsidR="00363E1C">
        <w:t>Re</w:t>
      </w:r>
      <w:r>
        <w:t>gulation outlines decision</w:t>
      </w:r>
      <w:r w:rsidR="00363E1C">
        <w:t>s</w:t>
      </w:r>
      <w:r>
        <w:t xml:space="preserve"> that will be eligible for a merits review</w:t>
      </w:r>
      <w:r w:rsidR="6CE72006">
        <w:t xml:space="preserve"> from 1</w:t>
      </w:r>
      <w:r w:rsidR="0072097E">
        <w:t> </w:t>
      </w:r>
      <w:r w:rsidR="6CE72006">
        <w:t>July</w:t>
      </w:r>
      <w:r w:rsidR="0072097E">
        <w:t> </w:t>
      </w:r>
      <w:r w:rsidR="6CE72006">
        <w:t>2025</w:t>
      </w:r>
      <w:r>
        <w:t>. The</w:t>
      </w:r>
      <w:r w:rsidR="7A60E2BC">
        <w:t xml:space="preserve"> merits review</w:t>
      </w:r>
      <w:r w:rsidR="00A878DA">
        <w:t xml:space="preserve"> process </w:t>
      </w:r>
      <w:r w:rsidR="7448B9C0">
        <w:t xml:space="preserve">allows the reconsideration of </w:t>
      </w:r>
      <w:r>
        <w:t>decisions </w:t>
      </w:r>
      <w:r w:rsidR="64D3EC63">
        <w:t xml:space="preserve">set out in Part 1.2 and 1.3 of the Regulations </w:t>
      </w:r>
      <w:r w:rsidRPr="00162CC6">
        <w:t>made by </w:t>
      </w:r>
      <w:r w:rsidR="32E3D3A4" w:rsidRPr="00162CC6">
        <w:t>the Director</w:t>
      </w:r>
      <w:r w:rsidR="001409CB" w:rsidRPr="00162CC6">
        <w:t>-</w:t>
      </w:r>
      <w:r w:rsidR="32E3D3A4" w:rsidRPr="00162CC6">
        <w:t>General or Delegate</w:t>
      </w:r>
      <w:r w:rsidR="008B0795" w:rsidRPr="00162CC6">
        <w:t>.</w:t>
      </w:r>
      <w:r w:rsidR="008B0795">
        <w:t xml:space="preserve"> </w:t>
      </w:r>
      <w:r w:rsidR="5ED22510">
        <w:t xml:space="preserve">The requirement at section 635B of the Amendment Act requires internal decision review </w:t>
      </w:r>
      <w:r w:rsidR="5ED22510">
        <w:lastRenderedPageBreak/>
        <w:t>notices to be provided</w:t>
      </w:r>
      <w:r w:rsidR="00A878DA">
        <w:t xml:space="preserve"> </w:t>
      </w:r>
      <w:r w:rsidR="00602938">
        <w:t xml:space="preserve">to affected people </w:t>
      </w:r>
      <w:r w:rsidR="068A19F3">
        <w:t>when a reviewable decision is made</w:t>
      </w:r>
      <w:r w:rsidR="7A219BC6">
        <w:t xml:space="preserve">. </w:t>
      </w:r>
      <w:r w:rsidR="149036F7">
        <w:t>A</w:t>
      </w:r>
      <w:r w:rsidR="7A219BC6">
        <w:t xml:space="preserve">ffected people for a particular decision </w:t>
      </w:r>
      <w:r w:rsidR="00162CC6">
        <w:t>is</w:t>
      </w:r>
      <w:r w:rsidR="7A219BC6">
        <w:t xml:space="preserve"> set out in Part 1.2 and 1.3 of the</w:t>
      </w:r>
      <w:r w:rsidR="5D38B0B5">
        <w:t xml:space="preserve"> Regulations. This includes</w:t>
      </w:r>
      <w:r w:rsidR="7A219BC6">
        <w:t xml:space="preserve"> </w:t>
      </w:r>
      <w:r w:rsidR="00A878DA">
        <w:t xml:space="preserve">at least one person. </w:t>
      </w:r>
    </w:p>
    <w:p w14:paraId="2D4345EB" w14:textId="77777777" w:rsidR="00363E1C" w:rsidRPr="0053445E" w:rsidRDefault="00363E1C" w:rsidP="002A1946">
      <w:pPr>
        <w:spacing w:line="360" w:lineRule="auto"/>
      </w:pPr>
    </w:p>
    <w:p w14:paraId="25138249" w14:textId="49D1222B" w:rsidR="00415545" w:rsidRDefault="00162CC6" w:rsidP="56B0BC77">
      <w:pPr>
        <w:spacing w:line="360" w:lineRule="auto"/>
      </w:pPr>
      <w:r>
        <w:t xml:space="preserve">Issuing of notices of reviewable decisions to affected people does impact on </w:t>
      </w:r>
      <w:r w:rsidR="002A1946">
        <w:t>the right to privacy and reputation</w:t>
      </w:r>
      <w:r w:rsidR="00394206">
        <w:t xml:space="preserve">. </w:t>
      </w:r>
      <w:r w:rsidR="002A1946">
        <w:t>This disclosure</w:t>
      </w:r>
      <w:r w:rsidR="00610DC8">
        <w:t xml:space="preserve"> is part of the process to ensure transparency </w:t>
      </w:r>
      <w:r w:rsidR="00D22475">
        <w:t xml:space="preserve">and accountability in decision making </w:t>
      </w:r>
      <w:r w:rsidR="002A1946">
        <w:t>but it also means that private details, which individuals may prefer to keep confidential, are shared with all parties involved in the review process.</w:t>
      </w:r>
      <w:r w:rsidR="0053445E">
        <w:t xml:space="preserve"> </w:t>
      </w:r>
    </w:p>
    <w:p w14:paraId="2677E06A" w14:textId="77777777" w:rsidR="0072097E" w:rsidRDefault="0072097E" w:rsidP="56B0BC77">
      <w:pPr>
        <w:spacing w:line="360" w:lineRule="auto"/>
      </w:pPr>
    </w:p>
    <w:p w14:paraId="5EBD053A" w14:textId="39871E8B" w:rsidR="00415545" w:rsidRDefault="5E0EBBFF" w:rsidP="00415545">
      <w:pPr>
        <w:spacing w:line="360" w:lineRule="auto"/>
      </w:pPr>
      <w:r>
        <w:t>The Amendment Regulation clarifies that reviewable decisions as those which are long</w:t>
      </w:r>
      <w:r w:rsidR="0072097E">
        <w:t>-</w:t>
      </w:r>
      <w:r>
        <w:t>term and significant decisions, and does not include dail</w:t>
      </w:r>
      <w:r w:rsidR="591DC9BD">
        <w:t xml:space="preserve">y, routine or temporary decisions. The Amendment Regulation reduces the number of notices that are likely to be issued and better protects the privacy and reputation of </w:t>
      </w:r>
      <w:r w:rsidR="3400FBCE">
        <w:t xml:space="preserve">individuals affected by the decision to those situations where the decisions are likely to have a </w:t>
      </w:r>
      <w:r w:rsidR="1C01A0BB">
        <w:t>significant</w:t>
      </w:r>
      <w:r w:rsidR="3400FBCE">
        <w:t xml:space="preserve"> impact on the future, long term wellbeing of the child or young person.</w:t>
      </w:r>
    </w:p>
    <w:p w14:paraId="3E6E7B1C" w14:textId="3BC25C20" w:rsidR="002A1946" w:rsidRDefault="002A1946" w:rsidP="00415545">
      <w:pPr>
        <w:spacing w:line="360" w:lineRule="auto"/>
      </w:pPr>
      <w:r>
        <w:rPr>
          <w:b/>
          <w:bCs/>
        </w:rPr>
        <w:t xml:space="preserve"> </w:t>
      </w:r>
    </w:p>
    <w:p w14:paraId="147E75D6" w14:textId="15835B55" w:rsidR="00415545" w:rsidRPr="001E0742" w:rsidRDefault="00415545" w:rsidP="00415545">
      <w:pPr>
        <w:spacing w:line="360" w:lineRule="auto"/>
      </w:pPr>
      <w:r w:rsidRPr="001E0742">
        <w:rPr>
          <w:b/>
          <w:bCs/>
        </w:rPr>
        <w:t>REGULATORY IMPACT STATEMENT</w:t>
      </w:r>
    </w:p>
    <w:p w14:paraId="527B5E92" w14:textId="33930FD4" w:rsidR="00415545" w:rsidRPr="001E0742" w:rsidRDefault="00415545" w:rsidP="00415545">
      <w:pPr>
        <w:spacing w:line="360" w:lineRule="auto"/>
      </w:pPr>
      <w:r w:rsidRPr="001E0742">
        <w:t>A regulatory impact statement is not required as the </w:t>
      </w:r>
      <w:r w:rsidR="6EBE3010">
        <w:t>Amendment R</w:t>
      </w:r>
      <w:r>
        <w:t>egulation</w:t>
      </w:r>
      <w:r w:rsidRPr="001E0742">
        <w:t xml:space="preserve"> does not impose any appreciable costs on the community, or part of a community under section 34 (1) of the </w:t>
      </w:r>
      <w:r w:rsidRPr="001E0742">
        <w:rPr>
          <w:i/>
          <w:iCs/>
        </w:rPr>
        <w:t>Legislation Act 2001</w:t>
      </w:r>
      <w:r w:rsidRPr="001E0742">
        <w:t>.</w:t>
      </w:r>
    </w:p>
    <w:p w14:paraId="16A27550" w14:textId="0FAB9F5A" w:rsidR="00415545" w:rsidRDefault="00415545" w:rsidP="00AC5343">
      <w:pPr>
        <w:spacing w:line="360" w:lineRule="auto"/>
      </w:pPr>
      <w:r w:rsidRPr="001E0742">
        <w:rPr>
          <w:b/>
          <w:bCs/>
        </w:rPr>
        <w:t> </w:t>
      </w:r>
    </w:p>
    <w:p w14:paraId="717B2C97" w14:textId="76A69D98" w:rsidR="00415545" w:rsidRDefault="00415545" w:rsidP="00415545">
      <w:pPr>
        <w:rPr>
          <w:b/>
          <w:highlight w:val="yellow"/>
        </w:rPr>
      </w:pPr>
      <w:r w:rsidRPr="00690EED">
        <w:rPr>
          <w:b/>
          <w:bCs/>
        </w:rPr>
        <w:t>CLAUSE NOTES</w:t>
      </w:r>
      <w:r w:rsidR="005C51A3">
        <w:rPr>
          <w:b/>
          <w:bCs/>
        </w:rPr>
        <w:t xml:space="preserve"> </w:t>
      </w:r>
    </w:p>
    <w:p w14:paraId="1D6A9558" w14:textId="45ACA24A" w:rsidR="00415545" w:rsidRDefault="00415545" w:rsidP="00415545"/>
    <w:p w14:paraId="1CF00772" w14:textId="6B1B4CE6" w:rsidR="00415545" w:rsidRPr="00BF1BCE" w:rsidRDefault="00415545" w:rsidP="00415545">
      <w:r w:rsidRPr="00BF1BCE">
        <w:rPr>
          <w:b/>
          <w:bCs/>
        </w:rPr>
        <w:t>Clause 1</w:t>
      </w:r>
      <w:r w:rsidR="00BC58CF">
        <w:t xml:space="preserve"> – </w:t>
      </w:r>
      <w:r w:rsidRPr="00BF1BCE">
        <w:rPr>
          <w:b/>
          <w:bCs/>
        </w:rPr>
        <w:t>Name of regulation</w:t>
      </w:r>
    </w:p>
    <w:p w14:paraId="3F5A55EA" w14:textId="2709C01E" w:rsidR="00415545" w:rsidRDefault="00415545" w:rsidP="00415545">
      <w:pPr>
        <w:rPr>
          <w:i/>
          <w:iCs/>
        </w:rPr>
      </w:pPr>
      <w:r w:rsidRPr="00BF1BCE">
        <w:t>Clause 1 names the </w:t>
      </w:r>
      <w:r w:rsidR="00132F9E">
        <w:t>r</w:t>
      </w:r>
      <w:r>
        <w:t>egulation</w:t>
      </w:r>
      <w:r w:rsidRPr="00BF1BCE">
        <w:t> as</w:t>
      </w:r>
      <w:r w:rsidRPr="176582D0">
        <w:rPr>
          <w:b/>
          <w:i/>
        </w:rPr>
        <w:t xml:space="preserve"> </w:t>
      </w:r>
      <w:r w:rsidR="54848EDD" w:rsidRPr="176582D0">
        <w:rPr>
          <w:i/>
          <w:iCs/>
        </w:rPr>
        <w:t>Children and Young People Amendment</w:t>
      </w:r>
      <w:r w:rsidRPr="00BF1BCE">
        <w:rPr>
          <w:i/>
          <w:iCs/>
        </w:rPr>
        <w:t xml:space="preserve"> Regulation 2025 </w:t>
      </w:r>
      <w:r w:rsidRPr="00E00E1E">
        <w:rPr>
          <w:i/>
        </w:rPr>
        <w:t xml:space="preserve">(No </w:t>
      </w:r>
      <w:r w:rsidR="00132F9E" w:rsidRPr="00E00E1E">
        <w:rPr>
          <w:i/>
        </w:rPr>
        <w:t>1</w:t>
      </w:r>
      <w:r w:rsidRPr="00E00E1E">
        <w:rPr>
          <w:i/>
        </w:rPr>
        <w:t>).</w:t>
      </w:r>
    </w:p>
    <w:p w14:paraId="079EC003" w14:textId="77777777" w:rsidR="00415545" w:rsidRPr="00BF1BCE" w:rsidRDefault="00415545" w:rsidP="00415545"/>
    <w:p w14:paraId="7038E9EF" w14:textId="4478DFDA" w:rsidR="00415545" w:rsidRPr="00BF1BCE" w:rsidRDefault="00415545" w:rsidP="00415545">
      <w:r w:rsidRPr="00BF1BCE">
        <w:rPr>
          <w:b/>
          <w:bCs/>
        </w:rPr>
        <w:t>Clause 2</w:t>
      </w:r>
      <w:r w:rsidR="00E00E1E">
        <w:t xml:space="preserve"> – </w:t>
      </w:r>
      <w:r w:rsidRPr="00BF1BCE">
        <w:rPr>
          <w:b/>
          <w:bCs/>
        </w:rPr>
        <w:t>Commencement</w:t>
      </w:r>
    </w:p>
    <w:p w14:paraId="52737487" w14:textId="7DD91267" w:rsidR="00415545" w:rsidRDefault="00415545" w:rsidP="00415545">
      <w:r w:rsidRPr="00BF1BCE">
        <w:t xml:space="preserve">Clause 2 provides for the commencement of the Regulation on the </w:t>
      </w:r>
      <w:r w:rsidR="2769F962">
        <w:t xml:space="preserve">later of: </w:t>
      </w:r>
      <w:r w:rsidR="6860B835">
        <w:t xml:space="preserve">commencement of the </w:t>
      </w:r>
      <w:r w:rsidR="6860B835" w:rsidRPr="00B22E29">
        <w:rPr>
          <w:i/>
        </w:rPr>
        <w:t>Children and Young People Amendment Act 2004 (No 2)</w:t>
      </w:r>
      <w:r w:rsidR="6860B835">
        <w:t>, part 3; or</w:t>
      </w:r>
      <w:r w:rsidR="48D78D1C">
        <w:t xml:space="preserve">, </w:t>
      </w:r>
      <w:r>
        <w:t xml:space="preserve">the </w:t>
      </w:r>
      <w:r w:rsidRPr="00BF1BCE">
        <w:t>day after its notification day.</w:t>
      </w:r>
    </w:p>
    <w:p w14:paraId="324A3EE1" w14:textId="77777777" w:rsidR="00415545" w:rsidRPr="00BF1BCE" w:rsidRDefault="00415545" w:rsidP="00415545"/>
    <w:p w14:paraId="655AFD6D" w14:textId="395515FF" w:rsidR="00415545" w:rsidRPr="00753EAC" w:rsidRDefault="00415545" w:rsidP="00415545">
      <w:pPr>
        <w:rPr>
          <w:b/>
          <w:bCs/>
        </w:rPr>
      </w:pPr>
      <w:r w:rsidRPr="64C31FC1">
        <w:rPr>
          <w:b/>
          <w:bCs/>
        </w:rPr>
        <w:t xml:space="preserve">Clause 3 </w:t>
      </w:r>
      <w:r w:rsidR="00E00E1E">
        <w:rPr>
          <w:b/>
          <w:bCs/>
        </w:rPr>
        <w:t xml:space="preserve">– </w:t>
      </w:r>
      <w:r w:rsidR="15CA6DE2" w:rsidRPr="64C31FC1">
        <w:rPr>
          <w:b/>
          <w:bCs/>
          <w:szCs w:val="24"/>
        </w:rPr>
        <w:t>Legislation amended</w:t>
      </w:r>
    </w:p>
    <w:p w14:paraId="6733262E" w14:textId="10DADBB4" w:rsidR="226528F8" w:rsidRDefault="226528F8" w:rsidP="151C4BB5">
      <w:pPr>
        <w:rPr>
          <w:b/>
          <w:bCs/>
        </w:rPr>
      </w:pPr>
      <w:r>
        <w:t xml:space="preserve">This clause </w:t>
      </w:r>
      <w:r w:rsidR="6A2FF0AC">
        <w:t xml:space="preserve">states </w:t>
      </w:r>
      <w:r>
        <w:t xml:space="preserve">that the legislation </w:t>
      </w:r>
      <w:r w:rsidR="3D637793">
        <w:t>being</w:t>
      </w:r>
      <w:r>
        <w:t xml:space="preserve"> </w:t>
      </w:r>
      <w:r w:rsidR="55B49DDB">
        <w:t>amended</w:t>
      </w:r>
      <w:r>
        <w:t xml:space="preserve"> is the </w:t>
      </w:r>
      <w:r w:rsidRPr="64C31FC1">
        <w:rPr>
          <w:i/>
          <w:iCs/>
          <w:szCs w:val="24"/>
        </w:rPr>
        <w:t>Children and Young People Regulation 2009.</w:t>
      </w:r>
    </w:p>
    <w:p w14:paraId="502FF83C" w14:textId="77777777" w:rsidR="00415545" w:rsidRDefault="00415545" w:rsidP="00415545">
      <w:pPr>
        <w:rPr>
          <w:b/>
          <w:bCs/>
        </w:rPr>
      </w:pPr>
    </w:p>
    <w:p w14:paraId="14874834" w14:textId="719ABD7B" w:rsidR="7CADFC93" w:rsidRDefault="7CADFC93" w:rsidP="4EAB7537">
      <w:pPr>
        <w:rPr>
          <w:b/>
        </w:rPr>
      </w:pPr>
      <w:r w:rsidRPr="4EAB7537">
        <w:rPr>
          <w:b/>
          <w:bCs/>
        </w:rPr>
        <w:t xml:space="preserve">Clause 4 </w:t>
      </w:r>
      <w:r w:rsidR="00370A17">
        <w:rPr>
          <w:b/>
          <w:bCs/>
        </w:rPr>
        <w:t xml:space="preserve">– </w:t>
      </w:r>
      <w:r w:rsidR="6B98594E" w:rsidRPr="7D1698CD">
        <w:rPr>
          <w:b/>
        </w:rPr>
        <w:t>Schedule 1, part 1.1, new definitions</w:t>
      </w:r>
    </w:p>
    <w:p w14:paraId="0023B467" w14:textId="6E496C97" w:rsidR="4EAB7537" w:rsidRDefault="108C864F" w:rsidP="5602A451">
      <w:r>
        <w:lastRenderedPageBreak/>
        <w:t xml:space="preserve">This clause adds the following definitions to </w:t>
      </w:r>
      <w:r w:rsidR="00705AB9">
        <w:t>P</w:t>
      </w:r>
      <w:r>
        <w:t>art 1.1 of</w:t>
      </w:r>
      <w:r w:rsidR="00705AB9">
        <w:t xml:space="preserve"> S</w:t>
      </w:r>
      <w:r>
        <w:t>chedule 1 o</w:t>
      </w:r>
      <w:r w:rsidR="09DC85B1">
        <w:t>f</w:t>
      </w:r>
      <w:r>
        <w:t xml:space="preserve"> the </w:t>
      </w:r>
      <w:r w:rsidR="7897C2E9">
        <w:t>R</w:t>
      </w:r>
      <w:r>
        <w:t>egulation</w:t>
      </w:r>
      <w:r w:rsidR="3A2F420E">
        <w:t xml:space="preserve"> to provide clarification and assist understanding of the concepts outline in the</w:t>
      </w:r>
      <w:r w:rsidR="3A2F420E" w:rsidRPr="6404AE37">
        <w:rPr>
          <w:i/>
        </w:rPr>
        <w:t xml:space="preserve"> </w:t>
      </w:r>
      <w:r w:rsidR="3A2F420E" w:rsidRPr="6404AE37">
        <w:rPr>
          <w:i/>
          <w:iCs/>
        </w:rPr>
        <w:t>Children and Young People Regulation 2009</w:t>
      </w:r>
      <w:r>
        <w:t>:</w:t>
      </w:r>
    </w:p>
    <w:p w14:paraId="093A9CBB" w14:textId="17B6A4FA" w:rsidR="0D3D8256" w:rsidRDefault="0D3D8256" w:rsidP="2149B638">
      <w:pPr>
        <w:spacing w:line="259" w:lineRule="auto"/>
      </w:pPr>
    </w:p>
    <w:p w14:paraId="3FE73F5A" w14:textId="225A51F1" w:rsidR="0D3D8256" w:rsidRDefault="19BBF076" w:rsidP="4ECD4C7F">
      <w:pPr>
        <w:spacing w:line="259" w:lineRule="auto"/>
      </w:pPr>
      <w:r w:rsidRPr="4ECD4C7F">
        <w:rPr>
          <w:u w:val="single"/>
        </w:rPr>
        <w:t>Definition 1</w:t>
      </w:r>
    </w:p>
    <w:p w14:paraId="00D59BAC" w14:textId="4250C383" w:rsidR="0D3D8256" w:rsidRDefault="0AC5E87F" w:rsidP="5A99AF24">
      <w:pPr>
        <w:spacing w:line="259" w:lineRule="auto"/>
        <w:ind w:firstLine="720"/>
      </w:pPr>
      <w:r w:rsidRPr="6FE9B5C4">
        <w:rPr>
          <w:szCs w:val="24"/>
        </w:rPr>
        <w:t>Long</w:t>
      </w:r>
      <w:r w:rsidR="494A9E87">
        <w:t>-term decision, in relation to a child or young person</w:t>
      </w:r>
      <w:r w:rsidRPr="5A99AF24">
        <w:rPr>
          <w:szCs w:val="24"/>
        </w:rPr>
        <w:t xml:space="preserve">— </w:t>
      </w:r>
    </w:p>
    <w:p w14:paraId="35AAD1CB" w14:textId="4A92DF20" w:rsidR="0D3D8256" w:rsidRDefault="0AC5E87F" w:rsidP="5A99AF24">
      <w:pPr>
        <w:spacing w:line="259" w:lineRule="auto"/>
        <w:ind w:firstLine="720"/>
      </w:pPr>
      <w:r w:rsidRPr="5A99AF24">
        <w:rPr>
          <w:szCs w:val="24"/>
        </w:rPr>
        <w:t>(a)</w:t>
      </w:r>
      <w:r w:rsidR="457A5A21">
        <w:t xml:space="preserve"> means</w:t>
      </w:r>
      <w:r w:rsidR="22317CD1">
        <w:t xml:space="preserve"> a decision that will or is likely to have implications for the </w:t>
      </w:r>
      <w:r w:rsidRPr="5A99AF24">
        <w:rPr>
          <w:szCs w:val="24"/>
        </w:rPr>
        <w:t>child’s</w:t>
      </w:r>
      <w:r w:rsidR="22317CD1">
        <w:t xml:space="preserve"> </w:t>
      </w:r>
      <w:r>
        <w:tab/>
      </w:r>
      <w:r w:rsidR="22317CD1">
        <w:t>or young person’s long-term wellbeing; but</w:t>
      </w:r>
    </w:p>
    <w:p w14:paraId="763828E4" w14:textId="32465F69" w:rsidR="0D3D8256" w:rsidRDefault="22317CD1" w:rsidP="5A99AF24">
      <w:pPr>
        <w:spacing w:line="259" w:lineRule="auto"/>
        <w:ind w:firstLine="720"/>
      </w:pPr>
      <w:r>
        <w:t>(b) does not include</w:t>
      </w:r>
      <w:r w:rsidR="0AC5E87F" w:rsidRPr="5A99AF24">
        <w:rPr>
          <w:szCs w:val="24"/>
        </w:rPr>
        <w:t xml:space="preserve">— </w:t>
      </w:r>
    </w:p>
    <w:p w14:paraId="1E4A45A7" w14:textId="35AC9C3E" w:rsidR="0D3D8256" w:rsidRDefault="0AC5E87F" w:rsidP="5A99AF24">
      <w:pPr>
        <w:spacing w:line="259" w:lineRule="auto"/>
        <w:ind w:firstLine="720"/>
      </w:pPr>
      <w:r w:rsidRPr="5A99AF24">
        <w:rPr>
          <w:szCs w:val="24"/>
        </w:rPr>
        <w:t>(i)</w:t>
      </w:r>
      <w:r w:rsidR="22317CD1">
        <w:t xml:space="preserve"> a decision that is routine in nature or of temporary effect</w:t>
      </w:r>
      <w:r w:rsidRPr="5A99AF24">
        <w:rPr>
          <w:szCs w:val="24"/>
        </w:rPr>
        <w:t xml:space="preserve">; or </w:t>
      </w:r>
    </w:p>
    <w:p w14:paraId="7B2B9143" w14:textId="5751772B" w:rsidR="0D3D8256" w:rsidRDefault="0AC5E87F" w:rsidP="5A99AF24">
      <w:pPr>
        <w:spacing w:line="259" w:lineRule="auto"/>
        <w:ind w:firstLine="720"/>
        <w:rPr>
          <w:szCs w:val="24"/>
        </w:rPr>
      </w:pPr>
      <w:r w:rsidRPr="5A99AF24">
        <w:rPr>
          <w:szCs w:val="24"/>
        </w:rPr>
        <w:t>(ii) a decision that has been reviewed, or is reviewable, by another entity</w:t>
      </w:r>
      <w:r w:rsidR="22317CD1">
        <w:t>.</w:t>
      </w:r>
    </w:p>
    <w:p w14:paraId="75BC98A6" w14:textId="22905939" w:rsidR="0887499E" w:rsidRDefault="0887499E" w:rsidP="0887499E">
      <w:pPr>
        <w:rPr>
          <w:u w:val="single"/>
        </w:rPr>
      </w:pPr>
    </w:p>
    <w:p w14:paraId="7C5D0863" w14:textId="2E1646A2" w:rsidR="7A1F1985" w:rsidRDefault="7A1F1985" w:rsidP="40690257">
      <w:pPr>
        <w:rPr>
          <w:szCs w:val="24"/>
        </w:rPr>
      </w:pPr>
      <w:r w:rsidRPr="40690257">
        <w:rPr>
          <w:szCs w:val="24"/>
          <w:u w:val="single"/>
        </w:rPr>
        <w:t xml:space="preserve">Note </w:t>
      </w:r>
    </w:p>
    <w:p w14:paraId="5DF5E77D" w14:textId="37A96071" w:rsidR="7A1F1985" w:rsidRDefault="7A1F1985" w:rsidP="40690257">
      <w:pPr>
        <w:rPr>
          <w:szCs w:val="24"/>
        </w:rPr>
      </w:pPr>
      <w:r w:rsidRPr="40690257">
        <w:rPr>
          <w:szCs w:val="24"/>
        </w:rPr>
        <w:t>The definition includes a note providing examples to assist the reader’s understanding:</w:t>
      </w:r>
    </w:p>
    <w:p w14:paraId="16A19D4C" w14:textId="5CE75525" w:rsidR="7A1F1985" w:rsidRDefault="7A1F1985" w:rsidP="40690257">
      <w:pPr>
        <w:ind w:firstLine="720"/>
      </w:pPr>
      <w:r w:rsidRPr="40690257">
        <w:rPr>
          <w:szCs w:val="24"/>
        </w:rPr>
        <w:t xml:space="preserve">Examples—par (b) </w:t>
      </w:r>
    </w:p>
    <w:p w14:paraId="2B80828C" w14:textId="1DCBBE08" w:rsidR="7A1F1985" w:rsidRDefault="7A1F1985" w:rsidP="40690257">
      <w:pPr>
        <w:pStyle w:val="ListParagraph"/>
        <w:numPr>
          <w:ilvl w:val="0"/>
          <w:numId w:val="17"/>
        </w:numPr>
        <w:rPr>
          <w:szCs w:val="24"/>
        </w:rPr>
      </w:pPr>
      <w:r w:rsidRPr="40690257">
        <w:rPr>
          <w:szCs w:val="24"/>
        </w:rPr>
        <w:t xml:space="preserve">Arrangements for the temporary care of the child or young person </w:t>
      </w:r>
    </w:p>
    <w:p w14:paraId="2CAFBB68" w14:textId="31AB493A" w:rsidR="7A1F1985" w:rsidRDefault="7A1F1985" w:rsidP="40690257">
      <w:pPr>
        <w:pStyle w:val="ListParagraph"/>
        <w:numPr>
          <w:ilvl w:val="0"/>
          <w:numId w:val="17"/>
        </w:numPr>
        <w:rPr>
          <w:szCs w:val="24"/>
        </w:rPr>
      </w:pPr>
      <w:r w:rsidRPr="40690257">
        <w:rPr>
          <w:szCs w:val="24"/>
        </w:rPr>
        <w:t xml:space="preserve">Decision that child or young person not attend an event due to temporary illness </w:t>
      </w:r>
    </w:p>
    <w:p w14:paraId="611703BF" w14:textId="7DE4AFF8" w:rsidR="7A1F1985" w:rsidRDefault="7A1F1985" w:rsidP="40690257">
      <w:pPr>
        <w:pStyle w:val="ListParagraph"/>
        <w:numPr>
          <w:ilvl w:val="0"/>
          <w:numId w:val="17"/>
        </w:numPr>
        <w:rPr>
          <w:szCs w:val="24"/>
        </w:rPr>
      </w:pPr>
      <w:r w:rsidRPr="40690257">
        <w:rPr>
          <w:szCs w:val="24"/>
        </w:rPr>
        <w:t xml:space="preserve">Taking child or young person to routine GP or dental appointments </w:t>
      </w:r>
    </w:p>
    <w:p w14:paraId="2CEA529C" w14:textId="7D1DE2D3" w:rsidR="7A1F1985" w:rsidRDefault="7A1F1985" w:rsidP="40690257">
      <w:pPr>
        <w:pStyle w:val="ListParagraph"/>
        <w:numPr>
          <w:ilvl w:val="0"/>
          <w:numId w:val="17"/>
        </w:numPr>
        <w:rPr>
          <w:szCs w:val="24"/>
        </w:rPr>
      </w:pPr>
      <w:r w:rsidRPr="40690257">
        <w:rPr>
          <w:szCs w:val="24"/>
        </w:rPr>
        <w:t>Administering over-the-counter medication for a temporary illness or prescribed medication</w:t>
      </w:r>
    </w:p>
    <w:p w14:paraId="57CCD46A" w14:textId="58330812" w:rsidR="4EAB7537" w:rsidRDefault="4EAB7537" w:rsidP="000CA47A">
      <w:pPr>
        <w:rPr>
          <w:highlight w:val="yellow"/>
        </w:rPr>
      </w:pPr>
    </w:p>
    <w:p w14:paraId="4AF2AF4A" w14:textId="5CDFE5C4" w:rsidR="083AFA7A" w:rsidRDefault="083AFA7A" w:rsidP="40690257">
      <w:pPr>
        <w:rPr>
          <w:u w:val="single"/>
        </w:rPr>
      </w:pPr>
      <w:r w:rsidRPr="40690257">
        <w:rPr>
          <w:u w:val="single"/>
        </w:rPr>
        <w:t>Definition 2</w:t>
      </w:r>
    </w:p>
    <w:p w14:paraId="08E5B2D3" w14:textId="5E860102" w:rsidR="6B326A68" w:rsidRDefault="6B326A68" w:rsidP="0887499E">
      <w:pPr>
        <w:ind w:firstLine="720"/>
      </w:pPr>
      <w:r w:rsidRPr="1294F418">
        <w:rPr>
          <w:szCs w:val="24"/>
        </w:rPr>
        <w:t>Significant</w:t>
      </w:r>
      <w:r w:rsidRPr="0887499E">
        <w:rPr>
          <w:szCs w:val="24"/>
        </w:rPr>
        <w:t xml:space="preserve"> cultural decision, in relation to a child or young person— </w:t>
      </w:r>
    </w:p>
    <w:p w14:paraId="69EEFA13" w14:textId="630B85E7" w:rsidR="6B326A68" w:rsidRDefault="6B326A68" w:rsidP="0887499E">
      <w:pPr>
        <w:ind w:firstLine="720"/>
      </w:pPr>
      <w:r w:rsidRPr="0887499E">
        <w:rPr>
          <w:szCs w:val="24"/>
        </w:rPr>
        <w:t xml:space="preserve">(a) means a long-term decision about a child or young person’s cultural </w:t>
      </w:r>
      <w:r>
        <w:tab/>
      </w:r>
      <w:r>
        <w:tab/>
      </w:r>
      <w:r w:rsidRPr="0887499E">
        <w:rPr>
          <w:szCs w:val="24"/>
        </w:rPr>
        <w:t xml:space="preserve">identity; and </w:t>
      </w:r>
    </w:p>
    <w:p w14:paraId="3F6871D5" w14:textId="7E93ACB6" w:rsidR="01251BF7" w:rsidRDefault="6B326A68" w:rsidP="0070381A">
      <w:pPr>
        <w:ind w:firstLine="720"/>
      </w:pPr>
      <w:r>
        <w:t>(b) includes a decision that would result in either or both of the following:</w:t>
      </w:r>
    </w:p>
    <w:p w14:paraId="07BB46C5" w14:textId="0255D043" w:rsidR="40690257" w:rsidRDefault="6B326A68" w:rsidP="0070381A">
      <w:pPr>
        <w:ind w:left="720"/>
      </w:pPr>
      <w:r w:rsidRPr="076BE1C8">
        <w:rPr>
          <w:szCs w:val="24"/>
        </w:rPr>
        <w:t xml:space="preserve">(i) the child or young person regularly participating in activities for the purpose of observing a particular cultural group; </w:t>
      </w:r>
    </w:p>
    <w:p w14:paraId="1E29C45C" w14:textId="31233D7C" w:rsidR="40690257" w:rsidRDefault="6B326A68" w:rsidP="0070381A">
      <w:pPr>
        <w:ind w:left="720"/>
      </w:pPr>
      <w:r w:rsidRPr="076BE1C8">
        <w:rPr>
          <w:szCs w:val="24"/>
        </w:rPr>
        <w:t>(ii) in</w:t>
      </w:r>
      <w:r w:rsidR="689F7C51" w:rsidRPr="076BE1C8">
        <w:rPr>
          <w:szCs w:val="24"/>
        </w:rPr>
        <w:t xml:space="preserve"> the child or young person regularly participating in education </w:t>
      </w:r>
      <w:r w:rsidRPr="076BE1C8">
        <w:rPr>
          <w:szCs w:val="24"/>
        </w:rPr>
        <w:t>associated with</w:t>
      </w:r>
      <w:r w:rsidR="689F7C51" w:rsidRPr="076BE1C8">
        <w:rPr>
          <w:szCs w:val="24"/>
        </w:rPr>
        <w:t xml:space="preserve"> a particular cultural group.</w:t>
      </w:r>
    </w:p>
    <w:p w14:paraId="23FD2045" w14:textId="50770F05" w:rsidR="01251BF7" w:rsidRDefault="01251BF7" w:rsidP="01251BF7">
      <w:pPr>
        <w:ind w:left="720"/>
        <w:rPr>
          <w:szCs w:val="24"/>
        </w:rPr>
      </w:pPr>
    </w:p>
    <w:p w14:paraId="4DE019B3" w14:textId="00589C37" w:rsidR="4EAB7537" w:rsidRDefault="63FC3EA7" w:rsidP="40690257">
      <w:pPr>
        <w:rPr>
          <w:u w:val="single"/>
        </w:rPr>
      </w:pPr>
      <w:r w:rsidRPr="40690257">
        <w:rPr>
          <w:u w:val="single"/>
        </w:rPr>
        <w:t xml:space="preserve">Definition 3 </w:t>
      </w:r>
    </w:p>
    <w:p w14:paraId="26CAFA28" w14:textId="0388EAF8" w:rsidR="54EE1ACA" w:rsidRDefault="54EE1ACA" w:rsidP="1D9A423A">
      <w:pPr>
        <w:ind w:firstLine="720"/>
      </w:pPr>
      <w:r w:rsidRPr="29807A04">
        <w:rPr>
          <w:szCs w:val="24"/>
        </w:rPr>
        <w:t>S</w:t>
      </w:r>
      <w:r>
        <w:t>ignificant</w:t>
      </w:r>
      <w:r w:rsidRPr="1D9A423A">
        <w:rPr>
          <w:szCs w:val="24"/>
        </w:rPr>
        <w:t xml:space="preserve"> education decision, in relation to a child or young person— </w:t>
      </w:r>
    </w:p>
    <w:p w14:paraId="66221E1E" w14:textId="51567F43" w:rsidR="54EE1ACA" w:rsidRDefault="54EE1ACA" w:rsidP="1D9A423A">
      <w:pPr>
        <w:ind w:firstLine="720"/>
      </w:pPr>
      <w:r w:rsidRPr="1D9A423A">
        <w:rPr>
          <w:szCs w:val="24"/>
        </w:rPr>
        <w:t xml:space="preserve">(a) means a long-term decision about the education of the child or young </w:t>
      </w:r>
      <w:r>
        <w:tab/>
      </w:r>
      <w:r>
        <w:tab/>
      </w:r>
      <w:r w:rsidRPr="1D9A423A">
        <w:rPr>
          <w:szCs w:val="24"/>
        </w:rPr>
        <w:t xml:space="preserve">person; and </w:t>
      </w:r>
    </w:p>
    <w:p w14:paraId="6BCDB273" w14:textId="477C8A76" w:rsidR="54EE1ACA" w:rsidRDefault="54EE1ACA" w:rsidP="1D9A423A">
      <w:pPr>
        <w:ind w:firstLine="720"/>
      </w:pPr>
      <w:r w:rsidRPr="1D9A423A">
        <w:rPr>
          <w:szCs w:val="24"/>
        </w:rPr>
        <w:t xml:space="preserve">(b) includes a decision to do any of the following: </w:t>
      </w:r>
    </w:p>
    <w:p w14:paraId="3714B4EA" w14:textId="5E6CD9BB" w:rsidR="54EE1ACA" w:rsidRDefault="54EE1ACA" w:rsidP="1D9A423A">
      <w:pPr>
        <w:ind w:firstLine="720"/>
      </w:pPr>
      <w:r w:rsidRPr="1D9A423A">
        <w:rPr>
          <w:szCs w:val="24"/>
        </w:rPr>
        <w:t xml:space="preserve">(i) enrol, or change the enrolment of, the child or young person in a school, </w:t>
      </w:r>
      <w:r>
        <w:tab/>
      </w:r>
      <w:r w:rsidRPr="1D9A423A">
        <w:rPr>
          <w:szCs w:val="24"/>
        </w:rPr>
        <w:t xml:space="preserve">training program or apprenticeship; </w:t>
      </w:r>
    </w:p>
    <w:p w14:paraId="5B00BE90" w14:textId="0774920B" w:rsidR="54EE1ACA" w:rsidRDefault="54EE1ACA" w:rsidP="1D9A423A">
      <w:pPr>
        <w:ind w:firstLine="720"/>
      </w:pPr>
      <w:r w:rsidRPr="1D9A423A">
        <w:rPr>
          <w:szCs w:val="24"/>
        </w:rPr>
        <w:t xml:space="preserve">(ii) register the child or young person for home education under the Education </w:t>
      </w:r>
      <w:r>
        <w:tab/>
      </w:r>
      <w:r w:rsidRPr="1D9A423A">
        <w:rPr>
          <w:szCs w:val="24"/>
        </w:rPr>
        <w:t xml:space="preserve">Act 2004, part 5.1; </w:t>
      </w:r>
    </w:p>
    <w:p w14:paraId="755F530F" w14:textId="36E7580B" w:rsidR="54EE1ACA" w:rsidRDefault="54EE1ACA" w:rsidP="1D9A423A">
      <w:pPr>
        <w:ind w:firstLine="720"/>
      </w:pPr>
      <w:r w:rsidRPr="1D9A423A">
        <w:rPr>
          <w:szCs w:val="24"/>
        </w:rPr>
        <w:t xml:space="preserve">(iii) apply for an exemption certificate for the child or young person under the </w:t>
      </w:r>
      <w:r>
        <w:tab/>
      </w:r>
      <w:r w:rsidRPr="1D9A423A">
        <w:rPr>
          <w:szCs w:val="24"/>
        </w:rPr>
        <w:t>Education Act 2004, part 2.3.</w:t>
      </w:r>
    </w:p>
    <w:p w14:paraId="7B5BE5DA" w14:textId="67B9D234" w:rsidR="00415545" w:rsidRDefault="00415545" w:rsidP="40690257">
      <w:pPr>
        <w:ind w:firstLine="720"/>
        <w:rPr>
          <w:szCs w:val="24"/>
        </w:rPr>
      </w:pPr>
    </w:p>
    <w:p w14:paraId="6CF4668C" w14:textId="5020AEF1" w:rsidR="00415545" w:rsidRDefault="63FC3EA7" w:rsidP="40690257">
      <w:pPr>
        <w:rPr>
          <w:szCs w:val="24"/>
          <w:u w:val="single"/>
        </w:rPr>
      </w:pPr>
      <w:r w:rsidRPr="40690257">
        <w:rPr>
          <w:szCs w:val="24"/>
          <w:u w:val="single"/>
        </w:rPr>
        <w:t xml:space="preserve">Definition </w:t>
      </w:r>
      <w:r w:rsidR="12E3DF73" w:rsidRPr="40690257">
        <w:rPr>
          <w:szCs w:val="24"/>
          <w:u w:val="single"/>
        </w:rPr>
        <w:t>4</w:t>
      </w:r>
    </w:p>
    <w:p w14:paraId="01F34B58" w14:textId="4361A630" w:rsidR="7D73BB0D" w:rsidRDefault="7D73BB0D" w:rsidP="29807A04">
      <w:pPr>
        <w:ind w:firstLine="720"/>
      </w:pPr>
      <w:r w:rsidRPr="29807A04">
        <w:rPr>
          <w:szCs w:val="24"/>
        </w:rPr>
        <w:t xml:space="preserve">Significant religious decision, in relation to a child or young person— </w:t>
      </w:r>
    </w:p>
    <w:p w14:paraId="21BA551C" w14:textId="1C936BC1" w:rsidR="7D73BB0D" w:rsidRDefault="7D73BB0D" w:rsidP="29807A04">
      <w:pPr>
        <w:ind w:firstLine="720"/>
      </w:pPr>
      <w:r w:rsidRPr="29807A04">
        <w:rPr>
          <w:szCs w:val="24"/>
        </w:rPr>
        <w:t xml:space="preserve">(a) means a long-term decision about the religion of a child or young person; </w:t>
      </w:r>
      <w:r>
        <w:tab/>
      </w:r>
      <w:r w:rsidRPr="29807A04">
        <w:rPr>
          <w:szCs w:val="24"/>
        </w:rPr>
        <w:t xml:space="preserve">and </w:t>
      </w:r>
    </w:p>
    <w:p w14:paraId="32E901F4" w14:textId="45B90C0E" w:rsidR="7D73BB0D" w:rsidRDefault="7D73BB0D" w:rsidP="6C7A3C9C">
      <w:pPr>
        <w:ind w:firstLine="720"/>
        <w:rPr>
          <w:szCs w:val="24"/>
        </w:rPr>
      </w:pPr>
      <w:r w:rsidRPr="29807A04">
        <w:rPr>
          <w:szCs w:val="24"/>
        </w:rPr>
        <w:t xml:space="preserve">(b) includes a decision that would result in any of the following: </w:t>
      </w:r>
    </w:p>
    <w:p w14:paraId="350F2151" w14:textId="011F37C2" w:rsidR="7D73BB0D" w:rsidRDefault="7D73BB0D" w:rsidP="6C7A3C9C">
      <w:pPr>
        <w:ind w:firstLine="720"/>
        <w:rPr>
          <w:szCs w:val="24"/>
        </w:rPr>
      </w:pPr>
      <w:r w:rsidRPr="29807A04">
        <w:rPr>
          <w:szCs w:val="24"/>
        </w:rPr>
        <w:t xml:space="preserve">(i) the child or young person being initiated into a particular religion; </w:t>
      </w:r>
    </w:p>
    <w:p w14:paraId="593FFC32" w14:textId="7018F89F" w:rsidR="7D73BB0D" w:rsidRDefault="7D73BB0D" w:rsidP="29807A04">
      <w:pPr>
        <w:ind w:firstLine="720"/>
      </w:pPr>
      <w:r w:rsidRPr="29807A04">
        <w:rPr>
          <w:szCs w:val="24"/>
        </w:rPr>
        <w:lastRenderedPageBreak/>
        <w:t xml:space="preserve">(ii) the child or young person regularly participating in activities for the </w:t>
      </w:r>
      <w:r>
        <w:tab/>
      </w:r>
      <w:r>
        <w:tab/>
      </w:r>
      <w:r w:rsidRPr="29807A04">
        <w:rPr>
          <w:szCs w:val="24"/>
        </w:rPr>
        <w:t>purpose of observing a particular religion;</w:t>
      </w:r>
    </w:p>
    <w:p w14:paraId="71F53391" w14:textId="6364BE5D" w:rsidR="00415545" w:rsidRDefault="7D73BB0D" w:rsidP="40690257">
      <w:pPr>
        <w:ind w:firstLine="720"/>
      </w:pPr>
      <w:r>
        <w:t>(iii)</w:t>
      </w:r>
      <w:r w:rsidR="5E2C26F2">
        <w:t xml:space="preserve"> the child or young person regularly participating in education </w:t>
      </w:r>
      <w:r>
        <w:t xml:space="preserve">associated </w:t>
      </w:r>
      <w:r>
        <w:tab/>
        <w:t>with</w:t>
      </w:r>
      <w:r w:rsidR="5E2C26F2">
        <w:t xml:space="preserve"> a particular religion. </w:t>
      </w:r>
    </w:p>
    <w:p w14:paraId="48AB7213" w14:textId="2E1646A2" w:rsidR="00415545" w:rsidRDefault="71F84C39" w:rsidP="40690257">
      <w:pPr>
        <w:rPr>
          <w:szCs w:val="24"/>
        </w:rPr>
      </w:pPr>
      <w:r w:rsidRPr="40690257">
        <w:rPr>
          <w:szCs w:val="24"/>
          <w:u w:val="single"/>
        </w:rPr>
        <w:t xml:space="preserve">Note </w:t>
      </w:r>
    </w:p>
    <w:p w14:paraId="544457E7" w14:textId="37A96071" w:rsidR="00415545" w:rsidRDefault="1CB0E989" w:rsidP="40690257">
      <w:pPr>
        <w:rPr>
          <w:szCs w:val="24"/>
        </w:rPr>
      </w:pPr>
      <w:r w:rsidRPr="40690257">
        <w:rPr>
          <w:szCs w:val="24"/>
        </w:rPr>
        <w:t>The definition includes</w:t>
      </w:r>
      <w:r w:rsidR="460DF7FD" w:rsidRPr="40690257">
        <w:rPr>
          <w:szCs w:val="24"/>
        </w:rPr>
        <w:t xml:space="preserve"> a note providing examples to assist the reader’s understanding:</w:t>
      </w:r>
    </w:p>
    <w:p w14:paraId="2F9F0D2A" w14:textId="6C003918" w:rsidR="00415545" w:rsidRDefault="5E2C26F2" w:rsidP="40690257">
      <w:pPr>
        <w:rPr>
          <w:szCs w:val="24"/>
        </w:rPr>
      </w:pPr>
      <w:r w:rsidRPr="40690257">
        <w:rPr>
          <w:szCs w:val="24"/>
        </w:rPr>
        <w:t xml:space="preserve">Example—par (a) </w:t>
      </w:r>
    </w:p>
    <w:p w14:paraId="5F9C35F8" w14:textId="719D5815" w:rsidR="00415545" w:rsidRDefault="5E2C26F2" w:rsidP="40690257">
      <w:pPr>
        <w:rPr>
          <w:szCs w:val="24"/>
        </w:rPr>
      </w:pPr>
      <w:r w:rsidRPr="40690257">
        <w:rPr>
          <w:szCs w:val="24"/>
        </w:rPr>
        <w:t xml:space="preserve">baptism </w:t>
      </w:r>
    </w:p>
    <w:p w14:paraId="6C5CDD59" w14:textId="41FCC802" w:rsidR="00415545" w:rsidRDefault="5E2C26F2" w:rsidP="40690257">
      <w:pPr>
        <w:rPr>
          <w:szCs w:val="24"/>
        </w:rPr>
      </w:pPr>
      <w:r w:rsidRPr="40690257">
        <w:rPr>
          <w:szCs w:val="24"/>
        </w:rPr>
        <w:t xml:space="preserve">Examples—par (b) </w:t>
      </w:r>
    </w:p>
    <w:p w14:paraId="4C26666F" w14:textId="2D5B7974" w:rsidR="00415545" w:rsidRDefault="5E2C26F2" w:rsidP="40690257">
      <w:pPr>
        <w:rPr>
          <w:szCs w:val="24"/>
        </w:rPr>
      </w:pPr>
      <w:r w:rsidRPr="40690257">
        <w:rPr>
          <w:szCs w:val="24"/>
        </w:rPr>
        <w:t>attending church services, following religious dietary practices</w:t>
      </w:r>
    </w:p>
    <w:p w14:paraId="2BE96666" w14:textId="2DFEC749" w:rsidR="00415545" w:rsidRDefault="00415545" w:rsidP="40690257">
      <w:pPr>
        <w:rPr>
          <w:szCs w:val="24"/>
        </w:rPr>
      </w:pPr>
    </w:p>
    <w:p w14:paraId="009B3028" w14:textId="5F133E9F" w:rsidR="00415545" w:rsidRDefault="77A89F72" w:rsidP="00415545">
      <w:pPr>
        <w:rPr>
          <w:b/>
        </w:rPr>
      </w:pPr>
      <w:r w:rsidRPr="40690257">
        <w:rPr>
          <w:b/>
          <w:bCs/>
        </w:rPr>
        <w:t xml:space="preserve">Clause 5 </w:t>
      </w:r>
      <w:r w:rsidR="00A938C9">
        <w:rPr>
          <w:b/>
          <w:bCs/>
        </w:rPr>
        <w:t xml:space="preserve">– </w:t>
      </w:r>
      <w:r w:rsidRPr="40690257">
        <w:rPr>
          <w:b/>
          <w:bCs/>
        </w:rPr>
        <w:t>Schedule 1, part 1.2</w:t>
      </w:r>
    </w:p>
    <w:p w14:paraId="17A1C55C" w14:textId="6C36D67B" w:rsidR="4AF5BEC3" w:rsidRDefault="4AF5BEC3" w:rsidP="40690257">
      <w:pPr>
        <w:rPr>
          <w:color w:val="000000" w:themeColor="text1"/>
        </w:rPr>
      </w:pPr>
      <w:r w:rsidRPr="37315D4E">
        <w:rPr>
          <w:color w:val="000000" w:themeColor="text1"/>
        </w:rPr>
        <w:t>Schedule 1</w:t>
      </w:r>
      <w:r w:rsidR="48011B08" w:rsidRPr="37315D4E">
        <w:rPr>
          <w:color w:val="000000" w:themeColor="text1"/>
        </w:rPr>
        <w:t>, Part 1.2</w:t>
      </w:r>
      <w:r w:rsidRPr="37315D4E">
        <w:rPr>
          <w:color w:val="000000" w:themeColor="text1"/>
        </w:rPr>
        <w:t xml:space="preserve"> of the </w:t>
      </w:r>
      <w:r w:rsidR="23FF5746" w:rsidRPr="40690257">
        <w:rPr>
          <w:i/>
          <w:iCs/>
        </w:rPr>
        <w:t>Children and Young People Regulation 2009</w:t>
      </w:r>
      <w:r w:rsidRPr="37315D4E">
        <w:rPr>
          <w:color w:val="000000" w:themeColor="text1"/>
        </w:rPr>
        <w:t xml:space="preserve"> contains </w:t>
      </w:r>
      <w:r w:rsidR="1C244B53" w:rsidRPr="37315D4E">
        <w:rPr>
          <w:color w:val="000000" w:themeColor="text1"/>
        </w:rPr>
        <w:t xml:space="preserve">a </w:t>
      </w:r>
      <w:r w:rsidRPr="37315D4E">
        <w:rPr>
          <w:color w:val="000000" w:themeColor="text1"/>
        </w:rPr>
        <w:t>table</w:t>
      </w:r>
      <w:r w:rsidR="1EBE8457" w:rsidRPr="37315D4E">
        <w:rPr>
          <w:color w:val="000000" w:themeColor="text1"/>
        </w:rPr>
        <w:t xml:space="preserve"> </w:t>
      </w:r>
      <w:r w:rsidRPr="37315D4E">
        <w:rPr>
          <w:color w:val="000000" w:themeColor="text1"/>
        </w:rPr>
        <w:t xml:space="preserve">setting out </w:t>
      </w:r>
      <w:r w:rsidR="0C0D7489" w:rsidRPr="20BC1EED">
        <w:rPr>
          <w:color w:val="000000" w:themeColor="text1"/>
        </w:rPr>
        <w:t xml:space="preserve">an item number (column 1) </w:t>
      </w:r>
      <w:r w:rsidR="3BA2F38A" w:rsidRPr="37315D4E">
        <w:rPr>
          <w:color w:val="000000" w:themeColor="text1"/>
        </w:rPr>
        <w:t>the function</w:t>
      </w:r>
      <w:r w:rsidR="402D9AE1" w:rsidRPr="37315D4E">
        <w:rPr>
          <w:color w:val="000000" w:themeColor="text1"/>
        </w:rPr>
        <w:t xml:space="preserve"> (column 2)</w:t>
      </w:r>
      <w:r w:rsidR="3BA2F38A" w:rsidRPr="37315D4E">
        <w:rPr>
          <w:color w:val="000000" w:themeColor="text1"/>
        </w:rPr>
        <w:t>, decision</w:t>
      </w:r>
      <w:r w:rsidR="13F1DEAF" w:rsidRPr="37315D4E">
        <w:rPr>
          <w:color w:val="000000" w:themeColor="text1"/>
        </w:rPr>
        <w:t xml:space="preserve"> (column 3)</w:t>
      </w:r>
      <w:r w:rsidR="3BA2F38A" w:rsidRPr="37315D4E">
        <w:rPr>
          <w:color w:val="000000" w:themeColor="text1"/>
        </w:rPr>
        <w:t xml:space="preserve"> and prescribed p</w:t>
      </w:r>
      <w:r w:rsidR="6D8FC922" w:rsidRPr="37315D4E">
        <w:rPr>
          <w:color w:val="000000" w:themeColor="text1"/>
        </w:rPr>
        <w:t>ersons</w:t>
      </w:r>
      <w:r w:rsidR="3BA2F38A" w:rsidRPr="37315D4E">
        <w:rPr>
          <w:color w:val="000000" w:themeColor="text1"/>
        </w:rPr>
        <w:t xml:space="preserve"> </w:t>
      </w:r>
      <w:r w:rsidR="7CB26045" w:rsidRPr="37315D4E">
        <w:rPr>
          <w:color w:val="000000" w:themeColor="text1"/>
        </w:rPr>
        <w:t xml:space="preserve">(column 4) </w:t>
      </w:r>
      <w:r w:rsidR="3BA2F38A" w:rsidRPr="37315D4E">
        <w:rPr>
          <w:color w:val="000000" w:themeColor="text1"/>
        </w:rPr>
        <w:t>associated</w:t>
      </w:r>
      <w:r w:rsidR="4887508A" w:rsidRPr="37315D4E">
        <w:rPr>
          <w:color w:val="000000" w:themeColor="text1"/>
        </w:rPr>
        <w:t xml:space="preserve"> </w:t>
      </w:r>
      <w:r w:rsidR="3BA2F38A" w:rsidRPr="37315D4E">
        <w:rPr>
          <w:color w:val="000000" w:themeColor="text1"/>
        </w:rPr>
        <w:t>with care and protection decisions</w:t>
      </w:r>
      <w:r w:rsidR="595FBD5B" w:rsidRPr="20BC1EED">
        <w:rPr>
          <w:color w:val="000000" w:themeColor="text1"/>
        </w:rPr>
        <w:t xml:space="preserve">. </w:t>
      </w:r>
    </w:p>
    <w:p w14:paraId="655E2606" w14:textId="4652D439" w:rsidR="4AF5BEC3" w:rsidRDefault="595FBD5B" w:rsidP="40690257">
      <w:r w:rsidRPr="37315D4E">
        <w:rPr>
          <w:color w:val="000000" w:themeColor="text1"/>
          <w:szCs w:val="24"/>
        </w:rPr>
        <w:t>T</w:t>
      </w:r>
      <w:r>
        <w:t>o clarify the meaning of the listed decisions</w:t>
      </w:r>
      <w:r w:rsidR="009F3752">
        <w:t xml:space="preserve"> and prescribed persons, this table </w:t>
      </w:r>
      <w:r w:rsidR="009E4BFD">
        <w:t xml:space="preserve">is substituted in </w:t>
      </w:r>
      <w:r w:rsidR="008F4AB5">
        <w:t xml:space="preserve">whole </w:t>
      </w:r>
      <w:r w:rsidR="000D1E43">
        <w:t xml:space="preserve">in </w:t>
      </w:r>
      <w:r w:rsidR="009E4BFD">
        <w:t>the Amended Regulation</w:t>
      </w:r>
      <w:r>
        <w:t xml:space="preserve">. </w:t>
      </w:r>
    </w:p>
    <w:p w14:paraId="18837866" w14:textId="3E6D892E" w:rsidR="4AF5BEC3" w:rsidRDefault="00F841B9" w:rsidP="40690257">
      <w:r>
        <w:t>In effect, th</w:t>
      </w:r>
      <w:r w:rsidR="008F4AB5">
        <w:t xml:space="preserve">e </w:t>
      </w:r>
      <w:r w:rsidR="595FBD5B">
        <w:t xml:space="preserve">clause inserts the following terms: </w:t>
      </w:r>
    </w:p>
    <w:p w14:paraId="1C3B7407" w14:textId="27536D2E" w:rsidR="40690257" w:rsidRDefault="40690257"/>
    <w:p w14:paraId="7335E55E" w14:textId="2476CA35" w:rsidR="4E88BBC7" w:rsidRDefault="4E88BBC7" w:rsidP="40690257">
      <w:pPr>
        <w:pStyle w:val="ListParagraph"/>
        <w:numPr>
          <w:ilvl w:val="0"/>
          <w:numId w:val="16"/>
        </w:numPr>
      </w:pPr>
      <w:r>
        <w:t>‘</w:t>
      </w:r>
      <w:r w:rsidR="17B62A7C">
        <w:t>L</w:t>
      </w:r>
      <w:r>
        <w:t xml:space="preserve">ong-term’ into column 3 of </w:t>
      </w:r>
      <w:r w:rsidR="0CF7C220">
        <w:t>item numbers</w:t>
      </w:r>
      <w:r>
        <w:t xml:space="preserve"> 1, 7 and </w:t>
      </w:r>
      <w:r w:rsidR="5B7BD8EE">
        <w:t>14.</w:t>
      </w:r>
    </w:p>
    <w:p w14:paraId="468F8352" w14:textId="46D8BE67" w:rsidR="0070381A" w:rsidRDefault="0070381A" w:rsidP="40690257">
      <w:pPr>
        <w:pStyle w:val="ListParagraph"/>
        <w:numPr>
          <w:ilvl w:val="0"/>
          <w:numId w:val="16"/>
        </w:numPr>
      </w:pPr>
      <w:r>
        <w:t>‘Long-term’ o</w:t>
      </w:r>
      <w:r w:rsidR="00170739">
        <w:t>r</w:t>
      </w:r>
      <w:r>
        <w:t xml:space="preserve"> ‘significant’ </w:t>
      </w:r>
      <w:r w:rsidR="00170739">
        <w:t>into column</w:t>
      </w:r>
      <w:r w:rsidR="008F073C">
        <w:t xml:space="preserve"> 3 of item</w:t>
      </w:r>
      <w:r w:rsidR="00170739">
        <w:t xml:space="preserve"> </w:t>
      </w:r>
      <w:r w:rsidR="008F073C">
        <w:t xml:space="preserve">number </w:t>
      </w:r>
      <w:r w:rsidR="00705AB9">
        <w:t>2</w:t>
      </w:r>
      <w:r w:rsidR="00ED7619">
        <w:t>,</w:t>
      </w:r>
      <w:r w:rsidR="00705AB9">
        <w:t xml:space="preserve"> </w:t>
      </w:r>
      <w:r w:rsidR="00ED7619">
        <w:t>3,</w:t>
      </w:r>
      <w:r w:rsidR="00705AB9">
        <w:t xml:space="preserve"> </w:t>
      </w:r>
      <w:r w:rsidR="00ED7619">
        <w:t>4,</w:t>
      </w:r>
      <w:r w:rsidR="00705AB9">
        <w:t xml:space="preserve"> </w:t>
      </w:r>
      <w:r w:rsidR="00ED7619">
        <w:t>6</w:t>
      </w:r>
      <w:r w:rsidR="00705AB9">
        <w:t>, 7</w:t>
      </w:r>
      <w:r w:rsidR="00ED7619">
        <w:t xml:space="preserve"> and 15</w:t>
      </w:r>
    </w:p>
    <w:p w14:paraId="1879ADC3" w14:textId="47FDA5DC" w:rsidR="7803DE71" w:rsidRDefault="4DC7529A" w:rsidP="04BE4212">
      <w:pPr>
        <w:pStyle w:val="ListParagraph"/>
        <w:numPr>
          <w:ilvl w:val="0"/>
          <w:numId w:val="16"/>
        </w:numPr>
      </w:pPr>
      <w:r>
        <w:t>‘</w:t>
      </w:r>
      <w:r w:rsidR="4C0CAB74">
        <w:t>S</w:t>
      </w:r>
      <w:r>
        <w:t>ignificant cultural decision’</w:t>
      </w:r>
      <w:r w:rsidR="6183CD0B">
        <w:t xml:space="preserve"> into column 3</w:t>
      </w:r>
      <w:r w:rsidR="2B7B3A5F">
        <w:t xml:space="preserve"> of </w:t>
      </w:r>
      <w:r w:rsidR="1F653F10">
        <w:t>item number</w:t>
      </w:r>
      <w:r w:rsidR="706D3204">
        <w:t xml:space="preserve"> 9</w:t>
      </w:r>
      <w:r w:rsidR="51E1C516">
        <w:t>.</w:t>
      </w:r>
    </w:p>
    <w:p w14:paraId="2C50114B" w14:textId="250A01EB" w:rsidR="40690257" w:rsidRDefault="5E28DEDE" w:rsidP="04BE4212">
      <w:pPr>
        <w:pStyle w:val="ListParagraph"/>
        <w:numPr>
          <w:ilvl w:val="0"/>
          <w:numId w:val="16"/>
        </w:numPr>
      </w:pPr>
      <w:r>
        <w:t>‘</w:t>
      </w:r>
      <w:r w:rsidR="077A452F">
        <w:t>S</w:t>
      </w:r>
      <w:r w:rsidR="49F62DEC">
        <w:t>ignificant education decision</w:t>
      </w:r>
      <w:r>
        <w:t xml:space="preserve">’ into column 3 of </w:t>
      </w:r>
      <w:r w:rsidR="47DF74E5">
        <w:t>item number</w:t>
      </w:r>
      <w:r w:rsidR="54495C93">
        <w:t xml:space="preserve"> 10</w:t>
      </w:r>
    </w:p>
    <w:p w14:paraId="46573261" w14:textId="2C3EAC22" w:rsidR="14CB87C6" w:rsidRDefault="14CB87C6" w:rsidP="4A9FAC05">
      <w:pPr>
        <w:pStyle w:val="ListParagraph"/>
        <w:numPr>
          <w:ilvl w:val="0"/>
          <w:numId w:val="16"/>
        </w:numPr>
      </w:pPr>
      <w:r w:rsidRPr="4A9FAC05">
        <w:t xml:space="preserve">‘Significant health decision’ into </w:t>
      </w:r>
      <w:r w:rsidRPr="2BA9F562">
        <w:t>column</w:t>
      </w:r>
      <w:r w:rsidRPr="4A9FAC05">
        <w:t xml:space="preserve"> 3 of </w:t>
      </w:r>
      <w:r w:rsidR="4CE0908A">
        <w:t>item number</w:t>
      </w:r>
      <w:r w:rsidRPr="4A9FAC05">
        <w:t xml:space="preserve"> </w:t>
      </w:r>
      <w:r w:rsidRPr="2BA9F562">
        <w:t>11.</w:t>
      </w:r>
    </w:p>
    <w:p w14:paraId="65F5DA79" w14:textId="5E8A49A4" w:rsidR="14CB87C6" w:rsidRDefault="14CB87C6" w:rsidP="2BA9F562">
      <w:pPr>
        <w:pStyle w:val="ListParagraph"/>
        <w:numPr>
          <w:ilvl w:val="0"/>
          <w:numId w:val="16"/>
        </w:numPr>
      </w:pPr>
      <w:r w:rsidRPr="2BA9F562">
        <w:t>‘Significant religious decision’</w:t>
      </w:r>
      <w:r w:rsidRPr="1226684B">
        <w:t xml:space="preserve"> into column 3 of </w:t>
      </w:r>
      <w:r w:rsidR="48FBCB6E">
        <w:t>item number</w:t>
      </w:r>
      <w:r w:rsidRPr="1226684B">
        <w:t xml:space="preserve"> 12</w:t>
      </w:r>
    </w:p>
    <w:p w14:paraId="0403CB6C" w14:textId="463BCAAC" w:rsidR="3F5FD6D3" w:rsidRDefault="3F5FD6D3" w:rsidP="3F5FD6D3">
      <w:pPr>
        <w:rPr>
          <w:color w:val="000000" w:themeColor="text1"/>
        </w:rPr>
      </w:pPr>
    </w:p>
    <w:p w14:paraId="0DF3A109" w14:textId="4E0F6259" w:rsidR="47E42870" w:rsidRDefault="47E42870">
      <w:r>
        <w:t xml:space="preserve">In effect, the clause omits the following terms: </w:t>
      </w:r>
    </w:p>
    <w:p w14:paraId="7AD1285A" w14:textId="6E40E40C" w:rsidR="071554C6" w:rsidRDefault="071554C6" w:rsidP="54FB13B3">
      <w:pPr>
        <w:pStyle w:val="ListParagraph"/>
        <w:numPr>
          <w:ilvl w:val="0"/>
          <w:numId w:val="22"/>
        </w:numPr>
        <w:rPr>
          <w:color w:val="000000" w:themeColor="text1"/>
        </w:rPr>
      </w:pPr>
      <w:r w:rsidRPr="54FB13B3">
        <w:rPr>
          <w:color w:val="000000" w:themeColor="text1"/>
        </w:rPr>
        <w:t>‘</w:t>
      </w:r>
      <w:r w:rsidR="5762F0AC" w:rsidRPr="7D13677E">
        <w:rPr>
          <w:color w:val="000000" w:themeColor="text1"/>
        </w:rPr>
        <w:t>C</w:t>
      </w:r>
      <w:r w:rsidRPr="7D13677E">
        <w:rPr>
          <w:color w:val="000000" w:themeColor="text1"/>
        </w:rPr>
        <w:t>hild</w:t>
      </w:r>
      <w:r w:rsidRPr="54FB13B3">
        <w:rPr>
          <w:color w:val="000000" w:themeColor="text1"/>
        </w:rPr>
        <w:t xml:space="preserve"> or young person’ from item 1. </w:t>
      </w:r>
    </w:p>
    <w:p w14:paraId="7BD2193B" w14:textId="1668AC8F" w:rsidR="54FB13B3" w:rsidRDefault="2F2FAE39" w:rsidP="0D5C8CD5">
      <w:pPr>
        <w:pStyle w:val="ListParagraph"/>
        <w:numPr>
          <w:ilvl w:val="0"/>
          <w:numId w:val="22"/>
        </w:numPr>
        <w:spacing w:line="259" w:lineRule="auto"/>
        <w:rPr>
          <w:color w:val="000000" w:themeColor="text1"/>
        </w:rPr>
      </w:pPr>
      <w:r w:rsidRPr="0D5C8CD5">
        <w:rPr>
          <w:color w:val="000000" w:themeColor="text1"/>
        </w:rPr>
        <w:t>‘</w:t>
      </w:r>
      <w:r w:rsidR="0A746D23" w:rsidRPr="7D13677E">
        <w:rPr>
          <w:color w:val="000000" w:themeColor="text1"/>
        </w:rPr>
        <w:t>P</w:t>
      </w:r>
      <w:r w:rsidR="70335918" w:rsidRPr="7D13677E">
        <w:rPr>
          <w:color w:val="000000" w:themeColor="text1"/>
        </w:rPr>
        <w:t>erson</w:t>
      </w:r>
      <w:r w:rsidR="70335918" w:rsidRPr="0D5C8CD5">
        <w:rPr>
          <w:color w:val="000000" w:themeColor="text1"/>
        </w:rPr>
        <w:t xml:space="preserve"> with daily care responsibility for parent’s child or young person</w:t>
      </w:r>
      <w:r w:rsidR="6536D4DF" w:rsidRPr="0D5C8CD5">
        <w:rPr>
          <w:color w:val="000000" w:themeColor="text1"/>
        </w:rPr>
        <w:t xml:space="preserve">’ from item 5. </w:t>
      </w:r>
    </w:p>
    <w:p w14:paraId="32BCCF1F" w14:textId="6464A500" w:rsidR="1A760416" w:rsidRDefault="667C87C3" w:rsidP="0D5C8CD5">
      <w:pPr>
        <w:pStyle w:val="ListParagraph"/>
        <w:numPr>
          <w:ilvl w:val="0"/>
          <w:numId w:val="22"/>
        </w:numPr>
        <w:spacing w:line="259" w:lineRule="auto"/>
        <w:rPr>
          <w:color w:val="000000" w:themeColor="text1"/>
        </w:rPr>
      </w:pPr>
      <w:r w:rsidRPr="7D13677E">
        <w:rPr>
          <w:color w:val="000000" w:themeColor="text1"/>
        </w:rPr>
        <w:t>‘</w:t>
      </w:r>
      <w:r w:rsidRPr="274FF070">
        <w:rPr>
          <w:color w:val="000000" w:themeColor="text1"/>
        </w:rPr>
        <w:t>Person</w:t>
      </w:r>
      <w:r w:rsidRPr="7D13677E">
        <w:rPr>
          <w:color w:val="000000" w:themeColor="text1"/>
        </w:rPr>
        <w:t xml:space="preserve"> with daily care responsibility for child or young person’ from item 8.</w:t>
      </w:r>
    </w:p>
    <w:p w14:paraId="20EB3C5B" w14:textId="6E620A40" w:rsidR="40690257" w:rsidRDefault="40690257" w:rsidP="274FF070">
      <w:pPr>
        <w:pStyle w:val="ListParagraph"/>
        <w:spacing w:line="259" w:lineRule="auto"/>
        <w:rPr>
          <w:color w:val="000000" w:themeColor="text1"/>
        </w:rPr>
      </w:pPr>
    </w:p>
    <w:p w14:paraId="26DA9832" w14:textId="2E693948" w:rsidR="2C812B08" w:rsidRDefault="2C812B08" w:rsidP="40690257">
      <w:pPr>
        <w:rPr>
          <w:b/>
          <w:bCs/>
        </w:rPr>
      </w:pPr>
      <w:r w:rsidRPr="40690257">
        <w:rPr>
          <w:b/>
          <w:bCs/>
        </w:rPr>
        <w:t xml:space="preserve">Clause 6 </w:t>
      </w:r>
      <w:r w:rsidR="001D2031">
        <w:rPr>
          <w:b/>
          <w:bCs/>
        </w:rPr>
        <w:t xml:space="preserve">– </w:t>
      </w:r>
      <w:r w:rsidRPr="40690257">
        <w:rPr>
          <w:b/>
          <w:bCs/>
          <w:szCs w:val="24"/>
        </w:rPr>
        <w:t>Dictionary, new definitions</w:t>
      </w:r>
    </w:p>
    <w:p w14:paraId="5C931A23" w14:textId="62B5D665" w:rsidR="00415545" w:rsidRDefault="2C812B08" w:rsidP="00415545">
      <w:r>
        <w:t xml:space="preserve">The following definitions have </w:t>
      </w:r>
      <w:r w:rsidR="0D81265A">
        <w:t xml:space="preserve">consequentially </w:t>
      </w:r>
      <w:r>
        <w:t>been inserted into the Diction</w:t>
      </w:r>
      <w:r w:rsidR="0EFA5A61">
        <w:t>ar</w:t>
      </w:r>
      <w:r>
        <w:t>y to add consistency</w:t>
      </w:r>
      <w:r w:rsidR="00CB6D82">
        <w:t>.</w:t>
      </w:r>
      <w:r>
        <w:t xml:space="preserve"> </w:t>
      </w:r>
    </w:p>
    <w:p w14:paraId="41A357DC" w14:textId="77777777" w:rsidR="006815C9" w:rsidRDefault="006815C9"/>
    <w:p w14:paraId="337D5245" w14:textId="6F89C1BC" w:rsidR="2C812B08" w:rsidRDefault="2C812B08" w:rsidP="40690257">
      <w:pPr>
        <w:rPr>
          <w:u w:val="single"/>
        </w:rPr>
      </w:pPr>
      <w:r w:rsidRPr="40690257">
        <w:rPr>
          <w:u w:val="single"/>
        </w:rPr>
        <w:t>Definition 1</w:t>
      </w:r>
    </w:p>
    <w:p w14:paraId="48D48218" w14:textId="126D6051" w:rsidR="2C812B08" w:rsidRDefault="2C812B08" w:rsidP="40690257">
      <w:pPr>
        <w:ind w:firstLine="720"/>
      </w:pPr>
      <w:r w:rsidRPr="40690257">
        <w:rPr>
          <w:szCs w:val="24"/>
        </w:rPr>
        <w:t xml:space="preserve">Long-term decision, in relation to a child or young person, for schedule 1 </w:t>
      </w:r>
      <w:r>
        <w:tab/>
      </w:r>
      <w:r>
        <w:tab/>
      </w:r>
      <w:r w:rsidRPr="40690257">
        <w:rPr>
          <w:szCs w:val="24"/>
        </w:rPr>
        <w:t xml:space="preserve">(Internally reviewable decisions—care and protection)— see schedule 1, </w:t>
      </w:r>
      <w:r>
        <w:tab/>
      </w:r>
      <w:r>
        <w:tab/>
      </w:r>
      <w:r w:rsidRPr="40690257">
        <w:rPr>
          <w:szCs w:val="24"/>
        </w:rPr>
        <w:t>section 1.1</w:t>
      </w:r>
    </w:p>
    <w:p w14:paraId="45A61136" w14:textId="18B91FAC" w:rsidR="40690257" w:rsidRDefault="40690257" w:rsidP="40690257">
      <w:pPr>
        <w:ind w:firstLine="720"/>
        <w:rPr>
          <w:szCs w:val="24"/>
        </w:rPr>
      </w:pPr>
    </w:p>
    <w:p w14:paraId="00AAF357" w14:textId="745828FE" w:rsidR="2C812B08" w:rsidRDefault="2C812B08" w:rsidP="40690257">
      <w:pPr>
        <w:rPr>
          <w:szCs w:val="24"/>
          <w:u w:val="single"/>
        </w:rPr>
      </w:pPr>
      <w:r w:rsidRPr="40690257">
        <w:rPr>
          <w:szCs w:val="24"/>
          <w:u w:val="single"/>
        </w:rPr>
        <w:t>Definition 2</w:t>
      </w:r>
    </w:p>
    <w:p w14:paraId="7C2A0B12" w14:textId="4C05FAC4" w:rsidR="2C812B08" w:rsidRDefault="2C812B08" w:rsidP="40690257">
      <w:pPr>
        <w:ind w:firstLine="720"/>
      </w:pPr>
      <w:r w:rsidRPr="40690257">
        <w:rPr>
          <w:szCs w:val="24"/>
        </w:rPr>
        <w:t xml:space="preserve">Significant cultural decision in relation to a child or young person, for </w:t>
      </w:r>
      <w:r>
        <w:tab/>
      </w:r>
      <w:r>
        <w:tab/>
      </w:r>
      <w:r w:rsidRPr="40690257">
        <w:rPr>
          <w:szCs w:val="24"/>
        </w:rPr>
        <w:t xml:space="preserve">schedule 1 (Internally reviewable decisions—care and protection)—see </w:t>
      </w:r>
      <w:r>
        <w:tab/>
      </w:r>
      <w:r>
        <w:tab/>
      </w:r>
      <w:r w:rsidRPr="40690257">
        <w:rPr>
          <w:szCs w:val="24"/>
        </w:rPr>
        <w:t>schedule 1, section 1.1.</w:t>
      </w:r>
    </w:p>
    <w:p w14:paraId="2B072CC4" w14:textId="2D221F8E" w:rsidR="40690257" w:rsidRDefault="40690257" w:rsidP="40690257">
      <w:pPr>
        <w:ind w:firstLine="720"/>
        <w:rPr>
          <w:szCs w:val="24"/>
        </w:rPr>
      </w:pPr>
    </w:p>
    <w:p w14:paraId="2B315043" w14:textId="77777777" w:rsidR="0072097E" w:rsidRDefault="0072097E" w:rsidP="40690257">
      <w:pPr>
        <w:ind w:firstLine="720"/>
        <w:rPr>
          <w:szCs w:val="24"/>
        </w:rPr>
      </w:pPr>
    </w:p>
    <w:p w14:paraId="05BD4917" w14:textId="77777777" w:rsidR="0072097E" w:rsidRDefault="0072097E" w:rsidP="40690257">
      <w:pPr>
        <w:ind w:firstLine="720"/>
        <w:rPr>
          <w:szCs w:val="24"/>
        </w:rPr>
      </w:pPr>
    </w:p>
    <w:p w14:paraId="4A9D8F75" w14:textId="77777777" w:rsidR="0072097E" w:rsidRDefault="0072097E" w:rsidP="40690257">
      <w:pPr>
        <w:ind w:firstLine="720"/>
        <w:rPr>
          <w:szCs w:val="24"/>
        </w:rPr>
      </w:pPr>
    </w:p>
    <w:p w14:paraId="17721AEF" w14:textId="5605D2A6" w:rsidR="2C812B08" w:rsidRDefault="2C812B08" w:rsidP="40690257">
      <w:pPr>
        <w:rPr>
          <w:szCs w:val="24"/>
          <w:u w:val="single"/>
        </w:rPr>
      </w:pPr>
      <w:r w:rsidRPr="40690257">
        <w:rPr>
          <w:szCs w:val="24"/>
          <w:u w:val="single"/>
        </w:rPr>
        <w:lastRenderedPageBreak/>
        <w:t>Definition 3</w:t>
      </w:r>
    </w:p>
    <w:p w14:paraId="5BF66AFA" w14:textId="1F94903F" w:rsidR="2C812B08" w:rsidRDefault="2C812B08" w:rsidP="40690257">
      <w:pPr>
        <w:ind w:firstLine="720"/>
      </w:pPr>
      <w:r w:rsidRPr="40690257">
        <w:rPr>
          <w:szCs w:val="24"/>
        </w:rPr>
        <w:t xml:space="preserve">Significant education decision, in relation to a child or young person, in </w:t>
      </w:r>
      <w:r>
        <w:tab/>
      </w:r>
      <w:r>
        <w:tab/>
      </w:r>
      <w:r w:rsidRPr="40690257">
        <w:rPr>
          <w:szCs w:val="24"/>
        </w:rPr>
        <w:t xml:space="preserve">relation to a child or young person, for schedule 1 (Internally reviewable </w:t>
      </w:r>
      <w:r>
        <w:tab/>
      </w:r>
      <w:r>
        <w:tab/>
      </w:r>
      <w:r w:rsidRPr="40690257">
        <w:rPr>
          <w:szCs w:val="24"/>
        </w:rPr>
        <w:t xml:space="preserve">decisions—care and protection)—see schedule 1, section 1.1. </w:t>
      </w:r>
    </w:p>
    <w:p w14:paraId="7FD50D4E" w14:textId="6EE6E282" w:rsidR="40690257" w:rsidRDefault="40690257" w:rsidP="40690257">
      <w:pPr>
        <w:ind w:firstLine="720"/>
      </w:pPr>
    </w:p>
    <w:p w14:paraId="6BED9574" w14:textId="7583DEC5" w:rsidR="2C812B08" w:rsidRDefault="2C812B08" w:rsidP="40690257">
      <w:pPr>
        <w:rPr>
          <w:szCs w:val="24"/>
          <w:u w:val="single"/>
        </w:rPr>
      </w:pPr>
      <w:r w:rsidRPr="40690257">
        <w:rPr>
          <w:szCs w:val="24"/>
          <w:u w:val="single"/>
        </w:rPr>
        <w:t>Definition 5</w:t>
      </w:r>
    </w:p>
    <w:p w14:paraId="62E13BFE" w14:textId="0B20B47D" w:rsidR="006815C9" w:rsidRDefault="2C812B08" w:rsidP="40690257">
      <w:pPr>
        <w:ind w:firstLine="720"/>
      </w:pPr>
      <w:r w:rsidRPr="40690257">
        <w:rPr>
          <w:szCs w:val="24"/>
        </w:rPr>
        <w:t xml:space="preserve">Significant religious decision, in relation to a child or young person, in </w:t>
      </w:r>
      <w:r>
        <w:tab/>
      </w:r>
      <w:r>
        <w:tab/>
      </w:r>
      <w:r w:rsidRPr="40690257">
        <w:rPr>
          <w:szCs w:val="24"/>
        </w:rPr>
        <w:t xml:space="preserve">relation to a child or young person, for schedule 1 (Internally reviewable </w:t>
      </w:r>
      <w:r>
        <w:tab/>
      </w:r>
      <w:r>
        <w:tab/>
      </w:r>
      <w:r w:rsidRPr="40690257">
        <w:rPr>
          <w:szCs w:val="24"/>
        </w:rPr>
        <w:t>decisions—care and protection)—see schedule 1, section 1.1.</w:t>
      </w:r>
    </w:p>
    <w:sectPr w:rsidR="006815C9" w:rsidSect="00AC534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800" w:bottom="851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28FD73" w14:textId="77777777" w:rsidR="00B43D10" w:rsidRDefault="00B43D10" w:rsidP="006815C9">
      <w:r>
        <w:separator/>
      </w:r>
    </w:p>
  </w:endnote>
  <w:endnote w:type="continuationSeparator" w:id="0">
    <w:p w14:paraId="165E372E" w14:textId="77777777" w:rsidR="00B43D10" w:rsidRDefault="00B43D10" w:rsidP="006815C9">
      <w:r>
        <w:continuationSeparator/>
      </w:r>
    </w:p>
  </w:endnote>
  <w:endnote w:type="continuationNotice" w:id="1">
    <w:p w14:paraId="049AE47B" w14:textId="77777777" w:rsidR="00B43D10" w:rsidRDefault="00B43D1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94338" w14:textId="77777777" w:rsidR="00091D34" w:rsidRDefault="00091D3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7281C" w14:textId="0935AFF9" w:rsidR="00091D34" w:rsidRPr="00B43196" w:rsidRDefault="00B43196" w:rsidP="00B43196">
    <w:pPr>
      <w:pStyle w:val="Footer"/>
      <w:jc w:val="center"/>
      <w:rPr>
        <w:rFonts w:cs="Arial"/>
        <w:sz w:val="14"/>
      </w:rPr>
    </w:pPr>
    <w:r w:rsidRPr="00B43196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D2E42" w14:textId="77777777" w:rsidR="00091D34" w:rsidRDefault="00091D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C65C54" w14:textId="77777777" w:rsidR="00B43D10" w:rsidRDefault="00B43D10" w:rsidP="006815C9">
      <w:r>
        <w:separator/>
      </w:r>
    </w:p>
  </w:footnote>
  <w:footnote w:type="continuationSeparator" w:id="0">
    <w:p w14:paraId="195498B7" w14:textId="77777777" w:rsidR="00B43D10" w:rsidRDefault="00B43D10" w:rsidP="006815C9">
      <w:r>
        <w:continuationSeparator/>
      </w:r>
    </w:p>
  </w:footnote>
  <w:footnote w:type="continuationNotice" w:id="1">
    <w:p w14:paraId="2EE50DF3" w14:textId="77777777" w:rsidR="00B43D10" w:rsidRDefault="00B43D1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C3ABA" w14:textId="77777777" w:rsidR="00091D34" w:rsidRDefault="00091D3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548AD" w14:textId="3C848144" w:rsidR="00091D34" w:rsidRDefault="00091D3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5B8ED" w14:textId="77777777" w:rsidR="00091D34" w:rsidRDefault="00091D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DAE096"/>
    <w:multiLevelType w:val="hybridMultilevel"/>
    <w:tmpl w:val="FFFFFFFF"/>
    <w:lvl w:ilvl="0" w:tplc="A014CB8E">
      <w:start w:val="1"/>
      <w:numFmt w:val="lowerLetter"/>
      <w:lvlText w:val="%1."/>
      <w:lvlJc w:val="left"/>
      <w:pPr>
        <w:ind w:left="720" w:hanging="360"/>
      </w:pPr>
    </w:lvl>
    <w:lvl w:ilvl="1" w:tplc="9D9E3EFC">
      <w:start w:val="1"/>
      <w:numFmt w:val="lowerLetter"/>
      <w:lvlText w:val="%2."/>
      <w:lvlJc w:val="left"/>
      <w:pPr>
        <w:ind w:left="1440" w:hanging="360"/>
      </w:pPr>
    </w:lvl>
    <w:lvl w:ilvl="2" w:tplc="A2D08964">
      <w:start w:val="1"/>
      <w:numFmt w:val="lowerRoman"/>
      <w:lvlText w:val="%3."/>
      <w:lvlJc w:val="right"/>
      <w:pPr>
        <w:ind w:left="2160" w:hanging="180"/>
      </w:pPr>
    </w:lvl>
    <w:lvl w:ilvl="3" w:tplc="46C8E1D2">
      <w:start w:val="1"/>
      <w:numFmt w:val="decimal"/>
      <w:lvlText w:val="%4."/>
      <w:lvlJc w:val="left"/>
      <w:pPr>
        <w:ind w:left="2880" w:hanging="360"/>
      </w:pPr>
    </w:lvl>
    <w:lvl w:ilvl="4" w:tplc="F19EE700">
      <w:start w:val="1"/>
      <w:numFmt w:val="lowerLetter"/>
      <w:lvlText w:val="%5."/>
      <w:lvlJc w:val="left"/>
      <w:pPr>
        <w:ind w:left="3600" w:hanging="360"/>
      </w:pPr>
    </w:lvl>
    <w:lvl w:ilvl="5" w:tplc="6D8E3CC2">
      <w:start w:val="1"/>
      <w:numFmt w:val="lowerRoman"/>
      <w:lvlText w:val="%6."/>
      <w:lvlJc w:val="right"/>
      <w:pPr>
        <w:ind w:left="4320" w:hanging="180"/>
      </w:pPr>
    </w:lvl>
    <w:lvl w:ilvl="6" w:tplc="6E10F786">
      <w:start w:val="1"/>
      <w:numFmt w:val="decimal"/>
      <w:lvlText w:val="%7."/>
      <w:lvlJc w:val="left"/>
      <w:pPr>
        <w:ind w:left="5040" w:hanging="360"/>
      </w:pPr>
    </w:lvl>
    <w:lvl w:ilvl="7" w:tplc="97AAED82">
      <w:start w:val="1"/>
      <w:numFmt w:val="lowerLetter"/>
      <w:lvlText w:val="%8."/>
      <w:lvlJc w:val="left"/>
      <w:pPr>
        <w:ind w:left="5760" w:hanging="360"/>
      </w:pPr>
    </w:lvl>
    <w:lvl w:ilvl="8" w:tplc="51348F6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4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16B26B0"/>
    <w:multiLevelType w:val="hybridMultilevel"/>
    <w:tmpl w:val="FFFFFFFF"/>
    <w:lvl w:ilvl="0" w:tplc="8E0266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E91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7A51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88DC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2A5A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C437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A8E9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985B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AC57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693292"/>
    <w:multiLevelType w:val="multilevel"/>
    <w:tmpl w:val="8AA0C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77343F6"/>
    <w:multiLevelType w:val="hybridMultilevel"/>
    <w:tmpl w:val="1292D6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F97FE4"/>
    <w:multiLevelType w:val="hybridMultilevel"/>
    <w:tmpl w:val="FFFFFFFF"/>
    <w:lvl w:ilvl="0" w:tplc="9724AB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B49C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526D8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8A41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9690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5EAD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261C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3EA7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A622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AD12F3"/>
    <w:multiLevelType w:val="hybridMultilevel"/>
    <w:tmpl w:val="B23E818A"/>
    <w:lvl w:ilvl="0" w:tplc="FE70A79A">
      <w:start w:val="1"/>
      <w:numFmt w:val="lowerLetter"/>
      <w:lvlText w:val="%1."/>
      <w:lvlJc w:val="left"/>
      <w:pPr>
        <w:ind w:left="720" w:hanging="360"/>
      </w:pPr>
    </w:lvl>
    <w:lvl w:ilvl="1" w:tplc="5A222302">
      <w:start w:val="1"/>
      <w:numFmt w:val="lowerLetter"/>
      <w:lvlText w:val="%2."/>
      <w:lvlJc w:val="left"/>
      <w:pPr>
        <w:ind w:left="1440" w:hanging="360"/>
      </w:pPr>
    </w:lvl>
    <w:lvl w:ilvl="2" w:tplc="47CCD420">
      <w:start w:val="1"/>
      <w:numFmt w:val="lowerRoman"/>
      <w:lvlText w:val="%3."/>
      <w:lvlJc w:val="right"/>
      <w:pPr>
        <w:ind w:left="2160" w:hanging="180"/>
      </w:pPr>
    </w:lvl>
    <w:lvl w:ilvl="3" w:tplc="9190EE16">
      <w:start w:val="1"/>
      <w:numFmt w:val="decimal"/>
      <w:lvlText w:val="%4."/>
      <w:lvlJc w:val="left"/>
      <w:pPr>
        <w:ind w:left="2880" w:hanging="360"/>
      </w:pPr>
    </w:lvl>
    <w:lvl w:ilvl="4" w:tplc="8640AED4">
      <w:start w:val="1"/>
      <w:numFmt w:val="lowerLetter"/>
      <w:lvlText w:val="%5."/>
      <w:lvlJc w:val="left"/>
      <w:pPr>
        <w:ind w:left="3600" w:hanging="360"/>
      </w:pPr>
    </w:lvl>
    <w:lvl w:ilvl="5" w:tplc="A3C08EFA">
      <w:start w:val="1"/>
      <w:numFmt w:val="lowerRoman"/>
      <w:lvlText w:val="%6."/>
      <w:lvlJc w:val="right"/>
      <w:pPr>
        <w:ind w:left="4320" w:hanging="180"/>
      </w:pPr>
    </w:lvl>
    <w:lvl w:ilvl="6" w:tplc="AD422F38">
      <w:start w:val="1"/>
      <w:numFmt w:val="decimal"/>
      <w:lvlText w:val="%7."/>
      <w:lvlJc w:val="left"/>
      <w:pPr>
        <w:ind w:left="5040" w:hanging="360"/>
      </w:pPr>
    </w:lvl>
    <w:lvl w:ilvl="7" w:tplc="EF9E3606">
      <w:start w:val="1"/>
      <w:numFmt w:val="lowerLetter"/>
      <w:lvlText w:val="%8."/>
      <w:lvlJc w:val="left"/>
      <w:pPr>
        <w:ind w:left="5760" w:hanging="360"/>
      </w:pPr>
    </w:lvl>
    <w:lvl w:ilvl="8" w:tplc="DBF02A54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5872B8"/>
    <w:multiLevelType w:val="hybridMultilevel"/>
    <w:tmpl w:val="05281470"/>
    <w:lvl w:ilvl="0" w:tplc="6B68F2D6">
      <w:start w:val="1"/>
      <w:numFmt w:val="decimal"/>
      <w:pStyle w:val="CS-Paragraphnumbering"/>
      <w:lvlText w:val="%1."/>
      <w:lvlJc w:val="left"/>
      <w:pPr>
        <w:ind w:left="360" w:hanging="360"/>
      </w:pPr>
      <w:rPr>
        <w:rFonts w:ascii="Calibri" w:hAnsi="Calibri" w:cs="Calibri" w:hint="default"/>
        <w:b w:val="0"/>
        <w:bCs w:val="0"/>
        <w:sz w:val="24"/>
        <w:szCs w:val="24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12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13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14" w15:restartNumberingAfterBreak="0">
    <w:nsid w:val="3DE36739"/>
    <w:multiLevelType w:val="multilevel"/>
    <w:tmpl w:val="A2D8C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E1270C1"/>
    <w:multiLevelType w:val="hybridMultilevel"/>
    <w:tmpl w:val="FFFFFFFF"/>
    <w:lvl w:ilvl="0" w:tplc="AF6C60F8">
      <w:start w:val="1"/>
      <w:numFmt w:val="lowerLetter"/>
      <w:lvlText w:val="%1."/>
      <w:lvlJc w:val="left"/>
      <w:pPr>
        <w:ind w:left="720" w:hanging="360"/>
      </w:pPr>
    </w:lvl>
    <w:lvl w:ilvl="1" w:tplc="8B3E5954">
      <w:start w:val="1"/>
      <w:numFmt w:val="lowerLetter"/>
      <w:lvlText w:val="%2."/>
      <w:lvlJc w:val="left"/>
      <w:pPr>
        <w:ind w:left="1440" w:hanging="360"/>
      </w:pPr>
    </w:lvl>
    <w:lvl w:ilvl="2" w:tplc="5FACACBE">
      <w:start w:val="1"/>
      <w:numFmt w:val="lowerRoman"/>
      <w:lvlText w:val="%3."/>
      <w:lvlJc w:val="right"/>
      <w:pPr>
        <w:ind w:left="2160" w:hanging="180"/>
      </w:pPr>
    </w:lvl>
    <w:lvl w:ilvl="3" w:tplc="6F7EA9EC">
      <w:start w:val="1"/>
      <w:numFmt w:val="decimal"/>
      <w:lvlText w:val="%4."/>
      <w:lvlJc w:val="left"/>
      <w:pPr>
        <w:ind w:left="2880" w:hanging="360"/>
      </w:pPr>
    </w:lvl>
    <w:lvl w:ilvl="4" w:tplc="763AFF76">
      <w:start w:val="1"/>
      <w:numFmt w:val="lowerLetter"/>
      <w:lvlText w:val="%5."/>
      <w:lvlJc w:val="left"/>
      <w:pPr>
        <w:ind w:left="3600" w:hanging="360"/>
      </w:pPr>
    </w:lvl>
    <w:lvl w:ilvl="5" w:tplc="F7541DB8">
      <w:start w:val="1"/>
      <w:numFmt w:val="lowerRoman"/>
      <w:lvlText w:val="%6."/>
      <w:lvlJc w:val="right"/>
      <w:pPr>
        <w:ind w:left="4320" w:hanging="180"/>
      </w:pPr>
    </w:lvl>
    <w:lvl w:ilvl="6" w:tplc="A08A67BC">
      <w:start w:val="1"/>
      <w:numFmt w:val="decimal"/>
      <w:lvlText w:val="%7."/>
      <w:lvlJc w:val="left"/>
      <w:pPr>
        <w:ind w:left="5040" w:hanging="360"/>
      </w:pPr>
    </w:lvl>
    <w:lvl w:ilvl="7" w:tplc="35DA7794">
      <w:start w:val="1"/>
      <w:numFmt w:val="lowerLetter"/>
      <w:lvlText w:val="%8."/>
      <w:lvlJc w:val="left"/>
      <w:pPr>
        <w:ind w:left="5760" w:hanging="360"/>
      </w:pPr>
    </w:lvl>
    <w:lvl w:ilvl="8" w:tplc="09460274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090990"/>
    <w:multiLevelType w:val="multilevel"/>
    <w:tmpl w:val="00368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FA2C772"/>
    <w:multiLevelType w:val="hybridMultilevel"/>
    <w:tmpl w:val="FFFFFFFF"/>
    <w:lvl w:ilvl="0" w:tplc="539CFD8C">
      <w:start w:val="1"/>
      <w:numFmt w:val="lowerLetter"/>
      <w:lvlText w:val="%1."/>
      <w:lvlJc w:val="left"/>
      <w:pPr>
        <w:ind w:left="720" w:hanging="360"/>
      </w:pPr>
    </w:lvl>
    <w:lvl w:ilvl="1" w:tplc="887C98EE">
      <w:start w:val="1"/>
      <w:numFmt w:val="lowerLetter"/>
      <w:lvlText w:val="%2."/>
      <w:lvlJc w:val="left"/>
      <w:pPr>
        <w:ind w:left="1440" w:hanging="360"/>
      </w:pPr>
    </w:lvl>
    <w:lvl w:ilvl="2" w:tplc="5566AB20">
      <w:start w:val="1"/>
      <w:numFmt w:val="lowerRoman"/>
      <w:lvlText w:val="%3."/>
      <w:lvlJc w:val="right"/>
      <w:pPr>
        <w:ind w:left="2160" w:hanging="180"/>
      </w:pPr>
    </w:lvl>
    <w:lvl w:ilvl="3" w:tplc="7EC4890C">
      <w:start w:val="1"/>
      <w:numFmt w:val="decimal"/>
      <w:lvlText w:val="%4."/>
      <w:lvlJc w:val="left"/>
      <w:pPr>
        <w:ind w:left="2880" w:hanging="360"/>
      </w:pPr>
    </w:lvl>
    <w:lvl w:ilvl="4" w:tplc="1FEE43CA">
      <w:start w:val="1"/>
      <w:numFmt w:val="lowerLetter"/>
      <w:lvlText w:val="%5."/>
      <w:lvlJc w:val="left"/>
      <w:pPr>
        <w:ind w:left="3600" w:hanging="360"/>
      </w:pPr>
    </w:lvl>
    <w:lvl w:ilvl="5" w:tplc="131203C0">
      <w:start w:val="1"/>
      <w:numFmt w:val="lowerRoman"/>
      <w:lvlText w:val="%6."/>
      <w:lvlJc w:val="right"/>
      <w:pPr>
        <w:ind w:left="4320" w:hanging="180"/>
      </w:pPr>
    </w:lvl>
    <w:lvl w:ilvl="6" w:tplc="3A2860B4">
      <w:start w:val="1"/>
      <w:numFmt w:val="decimal"/>
      <w:lvlText w:val="%7."/>
      <w:lvlJc w:val="left"/>
      <w:pPr>
        <w:ind w:left="5040" w:hanging="360"/>
      </w:pPr>
    </w:lvl>
    <w:lvl w:ilvl="7" w:tplc="692AE2E4">
      <w:start w:val="1"/>
      <w:numFmt w:val="lowerLetter"/>
      <w:lvlText w:val="%8."/>
      <w:lvlJc w:val="left"/>
      <w:pPr>
        <w:ind w:left="5760" w:hanging="360"/>
      </w:pPr>
    </w:lvl>
    <w:lvl w:ilvl="8" w:tplc="DCE24EA6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3454CF"/>
    <w:multiLevelType w:val="multilevel"/>
    <w:tmpl w:val="B3E87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9" w15:restartNumberingAfterBreak="0">
    <w:nsid w:val="6BEA5097"/>
    <w:multiLevelType w:val="hybridMultilevel"/>
    <w:tmpl w:val="65F293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752134F4"/>
    <w:multiLevelType w:val="hybridMultilevel"/>
    <w:tmpl w:val="950ECB58"/>
    <w:lvl w:ilvl="0" w:tplc="DE48FE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979E14"/>
    <w:multiLevelType w:val="hybridMultilevel"/>
    <w:tmpl w:val="FE3A88DC"/>
    <w:lvl w:ilvl="0" w:tplc="FA7C0C24">
      <w:start w:val="1"/>
      <w:numFmt w:val="decimal"/>
      <w:lvlText w:val="%1."/>
      <w:lvlJc w:val="left"/>
      <w:pPr>
        <w:ind w:left="1080" w:hanging="360"/>
      </w:pPr>
    </w:lvl>
    <w:lvl w:ilvl="1" w:tplc="47225106">
      <w:start w:val="1"/>
      <w:numFmt w:val="lowerLetter"/>
      <w:lvlText w:val="%2."/>
      <w:lvlJc w:val="left"/>
      <w:pPr>
        <w:ind w:left="1800" w:hanging="360"/>
      </w:pPr>
    </w:lvl>
    <w:lvl w:ilvl="2" w:tplc="B1AEFBE6">
      <w:start w:val="1"/>
      <w:numFmt w:val="lowerRoman"/>
      <w:lvlText w:val="%3."/>
      <w:lvlJc w:val="right"/>
      <w:pPr>
        <w:ind w:left="2520" w:hanging="180"/>
      </w:pPr>
    </w:lvl>
    <w:lvl w:ilvl="3" w:tplc="72B272C8">
      <w:start w:val="1"/>
      <w:numFmt w:val="decimal"/>
      <w:lvlText w:val="%4."/>
      <w:lvlJc w:val="left"/>
      <w:pPr>
        <w:ind w:left="3240" w:hanging="360"/>
      </w:pPr>
    </w:lvl>
    <w:lvl w:ilvl="4" w:tplc="C07CD9D8">
      <w:start w:val="1"/>
      <w:numFmt w:val="lowerLetter"/>
      <w:lvlText w:val="%5."/>
      <w:lvlJc w:val="left"/>
      <w:pPr>
        <w:ind w:left="3960" w:hanging="360"/>
      </w:pPr>
    </w:lvl>
    <w:lvl w:ilvl="5" w:tplc="F238EB16">
      <w:start w:val="1"/>
      <w:numFmt w:val="lowerRoman"/>
      <w:lvlText w:val="%6."/>
      <w:lvlJc w:val="right"/>
      <w:pPr>
        <w:ind w:left="4680" w:hanging="180"/>
      </w:pPr>
    </w:lvl>
    <w:lvl w:ilvl="6" w:tplc="446C530A">
      <w:start w:val="1"/>
      <w:numFmt w:val="decimal"/>
      <w:lvlText w:val="%7."/>
      <w:lvlJc w:val="left"/>
      <w:pPr>
        <w:ind w:left="5400" w:hanging="360"/>
      </w:pPr>
    </w:lvl>
    <w:lvl w:ilvl="7" w:tplc="2A44B5A2">
      <w:start w:val="1"/>
      <w:numFmt w:val="lowerLetter"/>
      <w:lvlText w:val="%8."/>
      <w:lvlJc w:val="left"/>
      <w:pPr>
        <w:ind w:left="6120" w:hanging="360"/>
      </w:pPr>
    </w:lvl>
    <w:lvl w:ilvl="8" w:tplc="BE32FED0">
      <w:start w:val="1"/>
      <w:numFmt w:val="lowerRoman"/>
      <w:lvlText w:val="%9."/>
      <w:lvlJc w:val="right"/>
      <w:pPr>
        <w:ind w:left="6840" w:hanging="180"/>
      </w:pPr>
    </w:lvl>
  </w:abstractNum>
  <w:num w:numId="1" w16cid:durableId="1571114835">
    <w:abstractNumId w:val="3"/>
  </w:num>
  <w:num w:numId="2" w16cid:durableId="626787924">
    <w:abstractNumId w:val="0"/>
  </w:num>
  <w:num w:numId="3" w16cid:durableId="695617135">
    <w:abstractNumId w:val="4"/>
  </w:num>
  <w:num w:numId="4" w16cid:durableId="1161845371">
    <w:abstractNumId w:val="13"/>
  </w:num>
  <w:num w:numId="5" w16cid:durableId="293995740">
    <w:abstractNumId w:val="20"/>
  </w:num>
  <w:num w:numId="6" w16cid:durableId="1093671385">
    <w:abstractNumId w:val="1"/>
  </w:num>
  <w:num w:numId="7" w16cid:durableId="747308867">
    <w:abstractNumId w:val="11"/>
  </w:num>
  <w:num w:numId="8" w16cid:durableId="1344818558">
    <w:abstractNumId w:val="12"/>
  </w:num>
  <w:num w:numId="9" w16cid:durableId="920141342">
    <w:abstractNumId w:val="18"/>
  </w:num>
  <w:num w:numId="10" w16cid:durableId="667371541">
    <w:abstractNumId w:val="10"/>
  </w:num>
  <w:num w:numId="11" w16cid:durableId="1125855400">
    <w:abstractNumId w:val="19"/>
  </w:num>
  <w:num w:numId="12" w16cid:durableId="1994018634">
    <w:abstractNumId w:val="16"/>
  </w:num>
  <w:num w:numId="13" w16cid:durableId="23752529">
    <w:abstractNumId w:val="6"/>
  </w:num>
  <w:num w:numId="14" w16cid:durableId="1042167908">
    <w:abstractNumId w:val="14"/>
  </w:num>
  <w:num w:numId="15" w16cid:durableId="540941913">
    <w:abstractNumId w:val="21"/>
  </w:num>
  <w:num w:numId="16" w16cid:durableId="37364290">
    <w:abstractNumId w:val="9"/>
  </w:num>
  <w:num w:numId="17" w16cid:durableId="349571337">
    <w:abstractNumId w:val="22"/>
  </w:num>
  <w:num w:numId="18" w16cid:durableId="1510490259">
    <w:abstractNumId w:val="17"/>
  </w:num>
  <w:num w:numId="19" w16cid:durableId="1066302982">
    <w:abstractNumId w:val="15"/>
  </w:num>
  <w:num w:numId="20" w16cid:durableId="356781455">
    <w:abstractNumId w:val="5"/>
  </w:num>
  <w:num w:numId="21" w16cid:durableId="354962623">
    <w:abstractNumId w:val="8"/>
  </w:num>
  <w:num w:numId="22" w16cid:durableId="1134175969">
    <w:abstractNumId w:val="2"/>
  </w:num>
  <w:num w:numId="23" w16cid:durableId="11321308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71D"/>
    <w:rsid w:val="000019B5"/>
    <w:rsid w:val="0000236F"/>
    <w:rsid w:val="0000443E"/>
    <w:rsid w:val="00005621"/>
    <w:rsid w:val="000060BF"/>
    <w:rsid w:val="0000679B"/>
    <w:rsid w:val="000068F9"/>
    <w:rsid w:val="00006BF2"/>
    <w:rsid w:val="0001014B"/>
    <w:rsid w:val="0001178C"/>
    <w:rsid w:val="000127DA"/>
    <w:rsid w:val="00013594"/>
    <w:rsid w:val="00013861"/>
    <w:rsid w:val="000237D0"/>
    <w:rsid w:val="00025E7F"/>
    <w:rsid w:val="00026871"/>
    <w:rsid w:val="0002798C"/>
    <w:rsid w:val="00031051"/>
    <w:rsid w:val="0003196C"/>
    <w:rsid w:val="00035BCC"/>
    <w:rsid w:val="00035E3F"/>
    <w:rsid w:val="0003737B"/>
    <w:rsid w:val="00040E22"/>
    <w:rsid w:val="0004175B"/>
    <w:rsid w:val="000418FE"/>
    <w:rsid w:val="00042357"/>
    <w:rsid w:val="000428BA"/>
    <w:rsid w:val="00042A2A"/>
    <w:rsid w:val="00042AB9"/>
    <w:rsid w:val="00043550"/>
    <w:rsid w:val="00044D30"/>
    <w:rsid w:val="00045256"/>
    <w:rsid w:val="00052A19"/>
    <w:rsid w:val="00054E58"/>
    <w:rsid w:val="00056561"/>
    <w:rsid w:val="000607D6"/>
    <w:rsid w:val="000618D1"/>
    <w:rsid w:val="000621EB"/>
    <w:rsid w:val="00067AA2"/>
    <w:rsid w:val="00067EF1"/>
    <w:rsid w:val="00070FDF"/>
    <w:rsid w:val="00072681"/>
    <w:rsid w:val="00072B51"/>
    <w:rsid w:val="000766DE"/>
    <w:rsid w:val="00077AE6"/>
    <w:rsid w:val="0008167C"/>
    <w:rsid w:val="0008307E"/>
    <w:rsid w:val="00083220"/>
    <w:rsid w:val="00084C1A"/>
    <w:rsid w:val="00085C4C"/>
    <w:rsid w:val="00086E58"/>
    <w:rsid w:val="00087579"/>
    <w:rsid w:val="00091D34"/>
    <w:rsid w:val="00093038"/>
    <w:rsid w:val="00095B87"/>
    <w:rsid w:val="000978E4"/>
    <w:rsid w:val="00097ABE"/>
    <w:rsid w:val="000A02F7"/>
    <w:rsid w:val="000A0D1F"/>
    <w:rsid w:val="000A1170"/>
    <w:rsid w:val="000A17D6"/>
    <w:rsid w:val="000A2D52"/>
    <w:rsid w:val="000A2FF5"/>
    <w:rsid w:val="000A33C3"/>
    <w:rsid w:val="000A432F"/>
    <w:rsid w:val="000A4C9F"/>
    <w:rsid w:val="000A620E"/>
    <w:rsid w:val="000A66C3"/>
    <w:rsid w:val="000A6789"/>
    <w:rsid w:val="000A76A9"/>
    <w:rsid w:val="000A77FA"/>
    <w:rsid w:val="000B0590"/>
    <w:rsid w:val="000B08C7"/>
    <w:rsid w:val="000B0CA1"/>
    <w:rsid w:val="000B3527"/>
    <w:rsid w:val="000B51B5"/>
    <w:rsid w:val="000B61E6"/>
    <w:rsid w:val="000B6AEF"/>
    <w:rsid w:val="000B758B"/>
    <w:rsid w:val="000B7C15"/>
    <w:rsid w:val="000C0E3C"/>
    <w:rsid w:val="000C0E79"/>
    <w:rsid w:val="000C20A6"/>
    <w:rsid w:val="000C25D7"/>
    <w:rsid w:val="000C31BE"/>
    <w:rsid w:val="000C3DD9"/>
    <w:rsid w:val="000C4944"/>
    <w:rsid w:val="000CA47A"/>
    <w:rsid w:val="000D0A59"/>
    <w:rsid w:val="000D14AD"/>
    <w:rsid w:val="000D1E43"/>
    <w:rsid w:val="000D51B3"/>
    <w:rsid w:val="000D628B"/>
    <w:rsid w:val="000D6FBB"/>
    <w:rsid w:val="000E0EDA"/>
    <w:rsid w:val="000E24F2"/>
    <w:rsid w:val="000E2A0C"/>
    <w:rsid w:val="000E2ECE"/>
    <w:rsid w:val="000E57FF"/>
    <w:rsid w:val="000E5E29"/>
    <w:rsid w:val="000E6EE7"/>
    <w:rsid w:val="000E7482"/>
    <w:rsid w:val="000F2D24"/>
    <w:rsid w:val="000F344A"/>
    <w:rsid w:val="000F4D92"/>
    <w:rsid w:val="000F51F2"/>
    <w:rsid w:val="000F6B68"/>
    <w:rsid w:val="000F71D3"/>
    <w:rsid w:val="000F7CF7"/>
    <w:rsid w:val="00100829"/>
    <w:rsid w:val="001010CC"/>
    <w:rsid w:val="0010167A"/>
    <w:rsid w:val="00102CF3"/>
    <w:rsid w:val="00102FDE"/>
    <w:rsid w:val="001033F2"/>
    <w:rsid w:val="0010465F"/>
    <w:rsid w:val="00104E83"/>
    <w:rsid w:val="001067F5"/>
    <w:rsid w:val="001111BE"/>
    <w:rsid w:val="0011455A"/>
    <w:rsid w:val="00114F73"/>
    <w:rsid w:val="0011639C"/>
    <w:rsid w:val="00116EF8"/>
    <w:rsid w:val="001170A0"/>
    <w:rsid w:val="00123C86"/>
    <w:rsid w:val="0012458F"/>
    <w:rsid w:val="0012472A"/>
    <w:rsid w:val="00124B0D"/>
    <w:rsid w:val="0012544F"/>
    <w:rsid w:val="0012772D"/>
    <w:rsid w:val="00127BC3"/>
    <w:rsid w:val="00132F9E"/>
    <w:rsid w:val="0013366E"/>
    <w:rsid w:val="00133D91"/>
    <w:rsid w:val="00135A11"/>
    <w:rsid w:val="0014088C"/>
    <w:rsid w:val="001409CB"/>
    <w:rsid w:val="00143885"/>
    <w:rsid w:val="0015115D"/>
    <w:rsid w:val="001531A2"/>
    <w:rsid w:val="0015483F"/>
    <w:rsid w:val="00157505"/>
    <w:rsid w:val="0015757F"/>
    <w:rsid w:val="001615A4"/>
    <w:rsid w:val="00161CA9"/>
    <w:rsid w:val="00162CC6"/>
    <w:rsid w:val="0016601F"/>
    <w:rsid w:val="0016638F"/>
    <w:rsid w:val="0016731C"/>
    <w:rsid w:val="001704DC"/>
    <w:rsid w:val="00170739"/>
    <w:rsid w:val="001720C7"/>
    <w:rsid w:val="00172C57"/>
    <w:rsid w:val="0017333B"/>
    <w:rsid w:val="00174110"/>
    <w:rsid w:val="00180049"/>
    <w:rsid w:val="00180F43"/>
    <w:rsid w:val="00182D81"/>
    <w:rsid w:val="00184EF6"/>
    <w:rsid w:val="00185E4B"/>
    <w:rsid w:val="00186418"/>
    <w:rsid w:val="00196000"/>
    <w:rsid w:val="00197E6F"/>
    <w:rsid w:val="001A1EDE"/>
    <w:rsid w:val="001A2067"/>
    <w:rsid w:val="001A3B12"/>
    <w:rsid w:val="001A3BC7"/>
    <w:rsid w:val="001A50C1"/>
    <w:rsid w:val="001A5A36"/>
    <w:rsid w:val="001A5BA5"/>
    <w:rsid w:val="001A66C4"/>
    <w:rsid w:val="001A778B"/>
    <w:rsid w:val="001B0262"/>
    <w:rsid w:val="001B0945"/>
    <w:rsid w:val="001B0CCE"/>
    <w:rsid w:val="001B4282"/>
    <w:rsid w:val="001B42E5"/>
    <w:rsid w:val="001B4C9F"/>
    <w:rsid w:val="001B742D"/>
    <w:rsid w:val="001B7D3D"/>
    <w:rsid w:val="001C0D17"/>
    <w:rsid w:val="001C2339"/>
    <w:rsid w:val="001C4DA8"/>
    <w:rsid w:val="001C4F37"/>
    <w:rsid w:val="001C5A3D"/>
    <w:rsid w:val="001C5B3A"/>
    <w:rsid w:val="001C6E7C"/>
    <w:rsid w:val="001D08F7"/>
    <w:rsid w:val="001D0F4D"/>
    <w:rsid w:val="001D1F7E"/>
    <w:rsid w:val="001D2031"/>
    <w:rsid w:val="001D23D4"/>
    <w:rsid w:val="001D2452"/>
    <w:rsid w:val="001D29F0"/>
    <w:rsid w:val="001D436B"/>
    <w:rsid w:val="001D52E7"/>
    <w:rsid w:val="001D60B7"/>
    <w:rsid w:val="001D75B5"/>
    <w:rsid w:val="001E04B6"/>
    <w:rsid w:val="001E3389"/>
    <w:rsid w:val="001E4584"/>
    <w:rsid w:val="001E4AB6"/>
    <w:rsid w:val="001E4CCD"/>
    <w:rsid w:val="001E5EA0"/>
    <w:rsid w:val="001E6F5C"/>
    <w:rsid w:val="001E77D4"/>
    <w:rsid w:val="001F00C6"/>
    <w:rsid w:val="001F166F"/>
    <w:rsid w:val="001F28E2"/>
    <w:rsid w:val="001F2B85"/>
    <w:rsid w:val="001F4E72"/>
    <w:rsid w:val="001F5B1D"/>
    <w:rsid w:val="001F6262"/>
    <w:rsid w:val="001F631B"/>
    <w:rsid w:val="001F633B"/>
    <w:rsid w:val="001F63D1"/>
    <w:rsid w:val="001F6B6D"/>
    <w:rsid w:val="001F745A"/>
    <w:rsid w:val="0020002B"/>
    <w:rsid w:val="00203EA5"/>
    <w:rsid w:val="00205395"/>
    <w:rsid w:val="00206AF8"/>
    <w:rsid w:val="00210F74"/>
    <w:rsid w:val="00211DEE"/>
    <w:rsid w:val="00213523"/>
    <w:rsid w:val="00213F74"/>
    <w:rsid w:val="002151A4"/>
    <w:rsid w:val="00217741"/>
    <w:rsid w:val="00217AB3"/>
    <w:rsid w:val="0022005A"/>
    <w:rsid w:val="0022089B"/>
    <w:rsid w:val="00223124"/>
    <w:rsid w:val="00223B3D"/>
    <w:rsid w:val="0022522E"/>
    <w:rsid w:val="00226A43"/>
    <w:rsid w:val="00227C17"/>
    <w:rsid w:val="00231292"/>
    <w:rsid w:val="00231B69"/>
    <w:rsid w:val="00235D32"/>
    <w:rsid w:val="002371B9"/>
    <w:rsid w:val="00237B22"/>
    <w:rsid w:val="0024032F"/>
    <w:rsid w:val="00240B6D"/>
    <w:rsid w:val="00241061"/>
    <w:rsid w:val="00245940"/>
    <w:rsid w:val="00247ADA"/>
    <w:rsid w:val="0025141E"/>
    <w:rsid w:val="0025278F"/>
    <w:rsid w:val="00252AFE"/>
    <w:rsid w:val="00255980"/>
    <w:rsid w:val="00257CF6"/>
    <w:rsid w:val="00257DEB"/>
    <w:rsid w:val="002672B8"/>
    <w:rsid w:val="002679E9"/>
    <w:rsid w:val="00270F19"/>
    <w:rsid w:val="00271023"/>
    <w:rsid w:val="002724F1"/>
    <w:rsid w:val="00273212"/>
    <w:rsid w:val="002747A6"/>
    <w:rsid w:val="00274D35"/>
    <w:rsid w:val="00274D74"/>
    <w:rsid w:val="0027638E"/>
    <w:rsid w:val="00277A2C"/>
    <w:rsid w:val="002808CB"/>
    <w:rsid w:val="00281056"/>
    <w:rsid w:val="0028222F"/>
    <w:rsid w:val="00286371"/>
    <w:rsid w:val="00286B6D"/>
    <w:rsid w:val="0028784D"/>
    <w:rsid w:val="00287AD4"/>
    <w:rsid w:val="002902F5"/>
    <w:rsid w:val="002904FA"/>
    <w:rsid w:val="00293278"/>
    <w:rsid w:val="002941B5"/>
    <w:rsid w:val="00297AA7"/>
    <w:rsid w:val="002A0D4F"/>
    <w:rsid w:val="002A0EDD"/>
    <w:rsid w:val="002A1946"/>
    <w:rsid w:val="002A26F9"/>
    <w:rsid w:val="002A2A0B"/>
    <w:rsid w:val="002A30FC"/>
    <w:rsid w:val="002A4345"/>
    <w:rsid w:val="002A517C"/>
    <w:rsid w:val="002A579F"/>
    <w:rsid w:val="002A6DC3"/>
    <w:rsid w:val="002A70FD"/>
    <w:rsid w:val="002A796B"/>
    <w:rsid w:val="002B093B"/>
    <w:rsid w:val="002B1334"/>
    <w:rsid w:val="002B2EAC"/>
    <w:rsid w:val="002B3ED0"/>
    <w:rsid w:val="002B6D52"/>
    <w:rsid w:val="002B7C28"/>
    <w:rsid w:val="002C0098"/>
    <w:rsid w:val="002C1B1C"/>
    <w:rsid w:val="002C23C4"/>
    <w:rsid w:val="002C3C03"/>
    <w:rsid w:val="002C54AC"/>
    <w:rsid w:val="002D35A9"/>
    <w:rsid w:val="002D4ECF"/>
    <w:rsid w:val="002D61AA"/>
    <w:rsid w:val="002D6887"/>
    <w:rsid w:val="002D6C5B"/>
    <w:rsid w:val="002E138C"/>
    <w:rsid w:val="002E4EAF"/>
    <w:rsid w:val="002E7378"/>
    <w:rsid w:val="002E73A8"/>
    <w:rsid w:val="002F00C3"/>
    <w:rsid w:val="002F0ACA"/>
    <w:rsid w:val="002F1314"/>
    <w:rsid w:val="002F2646"/>
    <w:rsid w:val="002F3560"/>
    <w:rsid w:val="002F3D72"/>
    <w:rsid w:val="002F5DC6"/>
    <w:rsid w:val="002F7320"/>
    <w:rsid w:val="00301143"/>
    <w:rsid w:val="003033B7"/>
    <w:rsid w:val="00305876"/>
    <w:rsid w:val="003062BF"/>
    <w:rsid w:val="003132F3"/>
    <w:rsid w:val="003158B1"/>
    <w:rsid w:val="00315A46"/>
    <w:rsid w:val="003173D3"/>
    <w:rsid w:val="003179FA"/>
    <w:rsid w:val="00320410"/>
    <w:rsid w:val="00320441"/>
    <w:rsid w:val="00320E4F"/>
    <w:rsid w:val="00323E93"/>
    <w:rsid w:val="00327329"/>
    <w:rsid w:val="003301CF"/>
    <w:rsid w:val="00330AE3"/>
    <w:rsid w:val="00332A63"/>
    <w:rsid w:val="0033300E"/>
    <w:rsid w:val="00333EF0"/>
    <w:rsid w:val="00336B86"/>
    <w:rsid w:val="00337589"/>
    <w:rsid w:val="00341861"/>
    <w:rsid w:val="0034290C"/>
    <w:rsid w:val="00342E8B"/>
    <w:rsid w:val="00346E4A"/>
    <w:rsid w:val="00347B49"/>
    <w:rsid w:val="00351129"/>
    <w:rsid w:val="00352A46"/>
    <w:rsid w:val="00352DB4"/>
    <w:rsid w:val="003534B6"/>
    <w:rsid w:val="003545A0"/>
    <w:rsid w:val="00356DE0"/>
    <w:rsid w:val="00357282"/>
    <w:rsid w:val="00357374"/>
    <w:rsid w:val="00357EE2"/>
    <w:rsid w:val="003638F3"/>
    <w:rsid w:val="00363E1C"/>
    <w:rsid w:val="0036461B"/>
    <w:rsid w:val="0036562F"/>
    <w:rsid w:val="00366EFB"/>
    <w:rsid w:val="00370A17"/>
    <w:rsid w:val="003735B8"/>
    <w:rsid w:val="003749B8"/>
    <w:rsid w:val="003767DC"/>
    <w:rsid w:val="00382A15"/>
    <w:rsid w:val="00384D60"/>
    <w:rsid w:val="003864DC"/>
    <w:rsid w:val="00386C3A"/>
    <w:rsid w:val="00392941"/>
    <w:rsid w:val="00392E3F"/>
    <w:rsid w:val="00393AC2"/>
    <w:rsid w:val="00394206"/>
    <w:rsid w:val="00394DA1"/>
    <w:rsid w:val="003964E2"/>
    <w:rsid w:val="00396F1D"/>
    <w:rsid w:val="0039797D"/>
    <w:rsid w:val="003A0076"/>
    <w:rsid w:val="003A0C50"/>
    <w:rsid w:val="003A2BFF"/>
    <w:rsid w:val="003A2D99"/>
    <w:rsid w:val="003A317A"/>
    <w:rsid w:val="003A3B3C"/>
    <w:rsid w:val="003A4F1D"/>
    <w:rsid w:val="003A5AF2"/>
    <w:rsid w:val="003A5D87"/>
    <w:rsid w:val="003A6029"/>
    <w:rsid w:val="003A6331"/>
    <w:rsid w:val="003B1453"/>
    <w:rsid w:val="003B15A3"/>
    <w:rsid w:val="003B1999"/>
    <w:rsid w:val="003B205B"/>
    <w:rsid w:val="003B2F95"/>
    <w:rsid w:val="003B3D04"/>
    <w:rsid w:val="003B597A"/>
    <w:rsid w:val="003C190F"/>
    <w:rsid w:val="003C207E"/>
    <w:rsid w:val="003C5FE1"/>
    <w:rsid w:val="003C7312"/>
    <w:rsid w:val="003C75D3"/>
    <w:rsid w:val="003D203B"/>
    <w:rsid w:val="003D3CFB"/>
    <w:rsid w:val="003D466A"/>
    <w:rsid w:val="003D76E2"/>
    <w:rsid w:val="003E0AA7"/>
    <w:rsid w:val="003E10F1"/>
    <w:rsid w:val="003E2668"/>
    <w:rsid w:val="003E273C"/>
    <w:rsid w:val="003E28AD"/>
    <w:rsid w:val="003E5FBF"/>
    <w:rsid w:val="003E701A"/>
    <w:rsid w:val="003E79FB"/>
    <w:rsid w:val="003F2B58"/>
    <w:rsid w:val="003F76E5"/>
    <w:rsid w:val="00402601"/>
    <w:rsid w:val="00406FCB"/>
    <w:rsid w:val="00415122"/>
    <w:rsid w:val="00415545"/>
    <w:rsid w:val="0041557C"/>
    <w:rsid w:val="0041713B"/>
    <w:rsid w:val="00417833"/>
    <w:rsid w:val="004178DE"/>
    <w:rsid w:val="0042080E"/>
    <w:rsid w:val="00427C98"/>
    <w:rsid w:val="004312DD"/>
    <w:rsid w:val="00434B12"/>
    <w:rsid w:val="00437AB2"/>
    <w:rsid w:val="00441E6D"/>
    <w:rsid w:val="00442269"/>
    <w:rsid w:val="00443A3E"/>
    <w:rsid w:val="0044664E"/>
    <w:rsid w:val="004472F7"/>
    <w:rsid w:val="00453607"/>
    <w:rsid w:val="00454F6F"/>
    <w:rsid w:val="004564CD"/>
    <w:rsid w:val="0046082A"/>
    <w:rsid w:val="00460B2D"/>
    <w:rsid w:val="00461489"/>
    <w:rsid w:val="004617DD"/>
    <w:rsid w:val="00462870"/>
    <w:rsid w:val="00463652"/>
    <w:rsid w:val="00463CB7"/>
    <w:rsid w:val="00463FC4"/>
    <w:rsid w:val="00464A8F"/>
    <w:rsid w:val="004666EE"/>
    <w:rsid w:val="00466FD0"/>
    <w:rsid w:val="004676C6"/>
    <w:rsid w:val="00470E9E"/>
    <w:rsid w:val="0047393B"/>
    <w:rsid w:val="004761E3"/>
    <w:rsid w:val="00477843"/>
    <w:rsid w:val="00477BBE"/>
    <w:rsid w:val="00480283"/>
    <w:rsid w:val="00480F96"/>
    <w:rsid w:val="004814BC"/>
    <w:rsid w:val="004824CA"/>
    <w:rsid w:val="004825F9"/>
    <w:rsid w:val="004836B8"/>
    <w:rsid w:val="00483A25"/>
    <w:rsid w:val="004847C6"/>
    <w:rsid w:val="00485183"/>
    <w:rsid w:val="00485587"/>
    <w:rsid w:val="00486A37"/>
    <w:rsid w:val="00490736"/>
    <w:rsid w:val="00492AF1"/>
    <w:rsid w:val="0049348B"/>
    <w:rsid w:val="004970CD"/>
    <w:rsid w:val="00497963"/>
    <w:rsid w:val="004A0664"/>
    <w:rsid w:val="004A092F"/>
    <w:rsid w:val="004A2E08"/>
    <w:rsid w:val="004A61B2"/>
    <w:rsid w:val="004B0B28"/>
    <w:rsid w:val="004B0B2B"/>
    <w:rsid w:val="004B0B4B"/>
    <w:rsid w:val="004B29F8"/>
    <w:rsid w:val="004B4243"/>
    <w:rsid w:val="004B4F0A"/>
    <w:rsid w:val="004B5602"/>
    <w:rsid w:val="004C13CF"/>
    <w:rsid w:val="004C4FD8"/>
    <w:rsid w:val="004C5524"/>
    <w:rsid w:val="004C5BB6"/>
    <w:rsid w:val="004C755A"/>
    <w:rsid w:val="004C7C37"/>
    <w:rsid w:val="004D1653"/>
    <w:rsid w:val="004D2C64"/>
    <w:rsid w:val="004D3A26"/>
    <w:rsid w:val="004D4544"/>
    <w:rsid w:val="004D4ADD"/>
    <w:rsid w:val="004D5374"/>
    <w:rsid w:val="004D6373"/>
    <w:rsid w:val="004D7BD5"/>
    <w:rsid w:val="004E04E9"/>
    <w:rsid w:val="004E12B7"/>
    <w:rsid w:val="004E1D6A"/>
    <w:rsid w:val="004E3001"/>
    <w:rsid w:val="004E386F"/>
    <w:rsid w:val="004E3A5E"/>
    <w:rsid w:val="004E3E62"/>
    <w:rsid w:val="004E6AE2"/>
    <w:rsid w:val="004F020F"/>
    <w:rsid w:val="004F169B"/>
    <w:rsid w:val="004F1A39"/>
    <w:rsid w:val="004F2C91"/>
    <w:rsid w:val="004F2D95"/>
    <w:rsid w:val="004F2F4B"/>
    <w:rsid w:val="004F344A"/>
    <w:rsid w:val="004F4AF2"/>
    <w:rsid w:val="004F70E0"/>
    <w:rsid w:val="00504974"/>
    <w:rsid w:val="00507C44"/>
    <w:rsid w:val="0051674F"/>
    <w:rsid w:val="00522663"/>
    <w:rsid w:val="0053011E"/>
    <w:rsid w:val="00530EAF"/>
    <w:rsid w:val="005324A1"/>
    <w:rsid w:val="0053445E"/>
    <w:rsid w:val="00535B75"/>
    <w:rsid w:val="00536081"/>
    <w:rsid w:val="00536B94"/>
    <w:rsid w:val="00540EAF"/>
    <w:rsid w:val="00541214"/>
    <w:rsid w:val="0054205D"/>
    <w:rsid w:val="0054207C"/>
    <w:rsid w:val="005428F8"/>
    <w:rsid w:val="00543F59"/>
    <w:rsid w:val="0054747A"/>
    <w:rsid w:val="0054787D"/>
    <w:rsid w:val="0055391A"/>
    <w:rsid w:val="00554FCB"/>
    <w:rsid w:val="00556498"/>
    <w:rsid w:val="0055792C"/>
    <w:rsid w:val="00560CAF"/>
    <w:rsid w:val="0056157B"/>
    <w:rsid w:val="00561C24"/>
    <w:rsid w:val="005627B2"/>
    <w:rsid w:val="00570168"/>
    <w:rsid w:val="005705B6"/>
    <w:rsid w:val="005721CE"/>
    <w:rsid w:val="005734A0"/>
    <w:rsid w:val="00575A39"/>
    <w:rsid w:val="00576A57"/>
    <w:rsid w:val="00576FB0"/>
    <w:rsid w:val="00577D1A"/>
    <w:rsid w:val="00582AC9"/>
    <w:rsid w:val="00584F57"/>
    <w:rsid w:val="0058566B"/>
    <w:rsid w:val="00585D2E"/>
    <w:rsid w:val="00585FA9"/>
    <w:rsid w:val="0058749A"/>
    <w:rsid w:val="00590104"/>
    <w:rsid w:val="0059564C"/>
    <w:rsid w:val="00595A7D"/>
    <w:rsid w:val="00596163"/>
    <w:rsid w:val="00596CC0"/>
    <w:rsid w:val="005A0E3F"/>
    <w:rsid w:val="005A158E"/>
    <w:rsid w:val="005A4B81"/>
    <w:rsid w:val="005A503A"/>
    <w:rsid w:val="005B4A00"/>
    <w:rsid w:val="005B6107"/>
    <w:rsid w:val="005B6297"/>
    <w:rsid w:val="005B7124"/>
    <w:rsid w:val="005C03BB"/>
    <w:rsid w:val="005C10F1"/>
    <w:rsid w:val="005C1F22"/>
    <w:rsid w:val="005C2A58"/>
    <w:rsid w:val="005C2D09"/>
    <w:rsid w:val="005C51A3"/>
    <w:rsid w:val="005D1CFB"/>
    <w:rsid w:val="005D1D68"/>
    <w:rsid w:val="005D3F97"/>
    <w:rsid w:val="005D4DA9"/>
    <w:rsid w:val="005D6264"/>
    <w:rsid w:val="005D6A8D"/>
    <w:rsid w:val="005E464C"/>
    <w:rsid w:val="005E5192"/>
    <w:rsid w:val="005E77B5"/>
    <w:rsid w:val="005F1531"/>
    <w:rsid w:val="005F1EAC"/>
    <w:rsid w:val="005F2707"/>
    <w:rsid w:val="005F6D75"/>
    <w:rsid w:val="005F7807"/>
    <w:rsid w:val="00602938"/>
    <w:rsid w:val="00603129"/>
    <w:rsid w:val="006037E6"/>
    <w:rsid w:val="00603F23"/>
    <w:rsid w:val="00606D91"/>
    <w:rsid w:val="006074A3"/>
    <w:rsid w:val="006076A6"/>
    <w:rsid w:val="006108B1"/>
    <w:rsid w:val="00610DC8"/>
    <w:rsid w:val="00614BC4"/>
    <w:rsid w:val="00617255"/>
    <w:rsid w:val="00617B14"/>
    <w:rsid w:val="00617B36"/>
    <w:rsid w:val="00620282"/>
    <w:rsid w:val="006207B5"/>
    <w:rsid w:val="00620AEA"/>
    <w:rsid w:val="00623B6C"/>
    <w:rsid w:val="006258BB"/>
    <w:rsid w:val="00626C8A"/>
    <w:rsid w:val="00626F68"/>
    <w:rsid w:val="0062726C"/>
    <w:rsid w:val="0063000B"/>
    <w:rsid w:val="006304A5"/>
    <w:rsid w:val="006310C0"/>
    <w:rsid w:val="0063381A"/>
    <w:rsid w:val="00636385"/>
    <w:rsid w:val="006366CE"/>
    <w:rsid w:val="0063693D"/>
    <w:rsid w:val="006416C1"/>
    <w:rsid w:val="00641705"/>
    <w:rsid w:val="00643F68"/>
    <w:rsid w:val="00644426"/>
    <w:rsid w:val="00644EC5"/>
    <w:rsid w:val="00646597"/>
    <w:rsid w:val="00646F46"/>
    <w:rsid w:val="006507D9"/>
    <w:rsid w:val="0065788A"/>
    <w:rsid w:val="00662DA3"/>
    <w:rsid w:val="00662E40"/>
    <w:rsid w:val="006662D4"/>
    <w:rsid w:val="006667A5"/>
    <w:rsid w:val="00666D31"/>
    <w:rsid w:val="0066715E"/>
    <w:rsid w:val="006712E5"/>
    <w:rsid w:val="00671608"/>
    <w:rsid w:val="0067259B"/>
    <w:rsid w:val="0067399F"/>
    <w:rsid w:val="00674152"/>
    <w:rsid w:val="00675E0A"/>
    <w:rsid w:val="006761B8"/>
    <w:rsid w:val="006762AD"/>
    <w:rsid w:val="006815C9"/>
    <w:rsid w:val="00684D60"/>
    <w:rsid w:val="00685799"/>
    <w:rsid w:val="0068715A"/>
    <w:rsid w:val="0069254C"/>
    <w:rsid w:val="006943ED"/>
    <w:rsid w:val="00694465"/>
    <w:rsid w:val="00697668"/>
    <w:rsid w:val="00697C5E"/>
    <w:rsid w:val="006A0A26"/>
    <w:rsid w:val="006A1AFD"/>
    <w:rsid w:val="006A220C"/>
    <w:rsid w:val="006A370A"/>
    <w:rsid w:val="006A5155"/>
    <w:rsid w:val="006A63AC"/>
    <w:rsid w:val="006B05DD"/>
    <w:rsid w:val="006B2653"/>
    <w:rsid w:val="006B3763"/>
    <w:rsid w:val="006B4277"/>
    <w:rsid w:val="006B433B"/>
    <w:rsid w:val="006B4FB9"/>
    <w:rsid w:val="006B57B3"/>
    <w:rsid w:val="006C66B6"/>
    <w:rsid w:val="006D1D4F"/>
    <w:rsid w:val="006D279B"/>
    <w:rsid w:val="006D45B8"/>
    <w:rsid w:val="006D514E"/>
    <w:rsid w:val="006D69DD"/>
    <w:rsid w:val="006D7BDC"/>
    <w:rsid w:val="006E18E0"/>
    <w:rsid w:val="006E1EA4"/>
    <w:rsid w:val="006E3BE1"/>
    <w:rsid w:val="006E5FE7"/>
    <w:rsid w:val="006E7046"/>
    <w:rsid w:val="006F1CDD"/>
    <w:rsid w:val="006F3829"/>
    <w:rsid w:val="006F4C58"/>
    <w:rsid w:val="006F6A6A"/>
    <w:rsid w:val="006F6CBA"/>
    <w:rsid w:val="00702A4C"/>
    <w:rsid w:val="0070381A"/>
    <w:rsid w:val="00704C6D"/>
    <w:rsid w:val="00705AB9"/>
    <w:rsid w:val="00706ACD"/>
    <w:rsid w:val="00706F8E"/>
    <w:rsid w:val="007107F9"/>
    <w:rsid w:val="00710B8C"/>
    <w:rsid w:val="00715546"/>
    <w:rsid w:val="007162E4"/>
    <w:rsid w:val="0071762D"/>
    <w:rsid w:val="00717C79"/>
    <w:rsid w:val="007205A1"/>
    <w:rsid w:val="00720968"/>
    <w:rsid w:val="0072097E"/>
    <w:rsid w:val="00721EEA"/>
    <w:rsid w:val="007224CE"/>
    <w:rsid w:val="00722757"/>
    <w:rsid w:val="00726154"/>
    <w:rsid w:val="00727FE9"/>
    <w:rsid w:val="0073383F"/>
    <w:rsid w:val="00734AE0"/>
    <w:rsid w:val="007350E4"/>
    <w:rsid w:val="00736776"/>
    <w:rsid w:val="007373A1"/>
    <w:rsid w:val="007413CF"/>
    <w:rsid w:val="00742912"/>
    <w:rsid w:val="00744138"/>
    <w:rsid w:val="00744993"/>
    <w:rsid w:val="007451BC"/>
    <w:rsid w:val="00745335"/>
    <w:rsid w:val="007463CB"/>
    <w:rsid w:val="00746E4C"/>
    <w:rsid w:val="007517CD"/>
    <w:rsid w:val="00751C63"/>
    <w:rsid w:val="00753444"/>
    <w:rsid w:val="0075712C"/>
    <w:rsid w:val="00757993"/>
    <w:rsid w:val="00760EB7"/>
    <w:rsid w:val="00760FDC"/>
    <w:rsid w:val="007621CB"/>
    <w:rsid w:val="0076336B"/>
    <w:rsid w:val="007645F8"/>
    <w:rsid w:val="00764932"/>
    <w:rsid w:val="0076706B"/>
    <w:rsid w:val="007702C8"/>
    <w:rsid w:val="007722DD"/>
    <w:rsid w:val="00773A6F"/>
    <w:rsid w:val="0077479C"/>
    <w:rsid w:val="00774B29"/>
    <w:rsid w:val="00776042"/>
    <w:rsid w:val="007769C9"/>
    <w:rsid w:val="00777241"/>
    <w:rsid w:val="00777AB9"/>
    <w:rsid w:val="00786D77"/>
    <w:rsid w:val="0078781E"/>
    <w:rsid w:val="00790BC2"/>
    <w:rsid w:val="00791ECF"/>
    <w:rsid w:val="007925E5"/>
    <w:rsid w:val="00796AB6"/>
    <w:rsid w:val="00796C7B"/>
    <w:rsid w:val="0079753E"/>
    <w:rsid w:val="007A0ACE"/>
    <w:rsid w:val="007A3043"/>
    <w:rsid w:val="007A3089"/>
    <w:rsid w:val="007A3DA9"/>
    <w:rsid w:val="007A5EEF"/>
    <w:rsid w:val="007A6B69"/>
    <w:rsid w:val="007A6E75"/>
    <w:rsid w:val="007B1D02"/>
    <w:rsid w:val="007B1D7F"/>
    <w:rsid w:val="007B3A04"/>
    <w:rsid w:val="007B4A04"/>
    <w:rsid w:val="007B6586"/>
    <w:rsid w:val="007C13FF"/>
    <w:rsid w:val="007C2A76"/>
    <w:rsid w:val="007C30C1"/>
    <w:rsid w:val="007C5FA6"/>
    <w:rsid w:val="007D18CB"/>
    <w:rsid w:val="007D23F1"/>
    <w:rsid w:val="007D4592"/>
    <w:rsid w:val="007D46FF"/>
    <w:rsid w:val="007D538B"/>
    <w:rsid w:val="007D5400"/>
    <w:rsid w:val="007D5E5A"/>
    <w:rsid w:val="007D7E88"/>
    <w:rsid w:val="007E174D"/>
    <w:rsid w:val="007E1872"/>
    <w:rsid w:val="007E3CA3"/>
    <w:rsid w:val="007E49E1"/>
    <w:rsid w:val="007E50A0"/>
    <w:rsid w:val="007E5CE6"/>
    <w:rsid w:val="007F05CB"/>
    <w:rsid w:val="007F1085"/>
    <w:rsid w:val="007F25C5"/>
    <w:rsid w:val="007F2BD1"/>
    <w:rsid w:val="007F32C7"/>
    <w:rsid w:val="007F4115"/>
    <w:rsid w:val="007F4D03"/>
    <w:rsid w:val="007F7994"/>
    <w:rsid w:val="00801AB3"/>
    <w:rsid w:val="008048E7"/>
    <w:rsid w:val="00805E12"/>
    <w:rsid w:val="00807BE1"/>
    <w:rsid w:val="00810323"/>
    <w:rsid w:val="0081075D"/>
    <w:rsid w:val="008125F5"/>
    <w:rsid w:val="00812DF0"/>
    <w:rsid w:val="00815491"/>
    <w:rsid w:val="00816CAE"/>
    <w:rsid w:val="00820990"/>
    <w:rsid w:val="00820E1E"/>
    <w:rsid w:val="008214FE"/>
    <w:rsid w:val="00822267"/>
    <w:rsid w:val="0082239D"/>
    <w:rsid w:val="00824720"/>
    <w:rsid w:val="008251E0"/>
    <w:rsid w:val="0082714D"/>
    <w:rsid w:val="0082785C"/>
    <w:rsid w:val="008307D9"/>
    <w:rsid w:val="00834036"/>
    <w:rsid w:val="00841C94"/>
    <w:rsid w:val="008428F2"/>
    <w:rsid w:val="0084437F"/>
    <w:rsid w:val="00844BDF"/>
    <w:rsid w:val="00845448"/>
    <w:rsid w:val="008462B4"/>
    <w:rsid w:val="00847AFB"/>
    <w:rsid w:val="0085052F"/>
    <w:rsid w:val="00850D04"/>
    <w:rsid w:val="008511EC"/>
    <w:rsid w:val="00851829"/>
    <w:rsid w:val="00852575"/>
    <w:rsid w:val="00854C5D"/>
    <w:rsid w:val="00860588"/>
    <w:rsid w:val="00860996"/>
    <w:rsid w:val="00864347"/>
    <w:rsid w:val="00864C1A"/>
    <w:rsid w:val="008666E9"/>
    <w:rsid w:val="00871C47"/>
    <w:rsid w:val="008752EF"/>
    <w:rsid w:val="0087558A"/>
    <w:rsid w:val="00876B44"/>
    <w:rsid w:val="00877D81"/>
    <w:rsid w:val="00880EF3"/>
    <w:rsid w:val="00884619"/>
    <w:rsid w:val="0088668D"/>
    <w:rsid w:val="008902C0"/>
    <w:rsid w:val="00891991"/>
    <w:rsid w:val="0089303A"/>
    <w:rsid w:val="00893F87"/>
    <w:rsid w:val="00894AB6"/>
    <w:rsid w:val="00894F5D"/>
    <w:rsid w:val="008954DA"/>
    <w:rsid w:val="00895D39"/>
    <w:rsid w:val="008960B8"/>
    <w:rsid w:val="00897250"/>
    <w:rsid w:val="008A03D2"/>
    <w:rsid w:val="008A26EB"/>
    <w:rsid w:val="008A3B09"/>
    <w:rsid w:val="008A4AF7"/>
    <w:rsid w:val="008A5CEC"/>
    <w:rsid w:val="008A605A"/>
    <w:rsid w:val="008A6D81"/>
    <w:rsid w:val="008A731F"/>
    <w:rsid w:val="008B0795"/>
    <w:rsid w:val="008B11AE"/>
    <w:rsid w:val="008B15ED"/>
    <w:rsid w:val="008B4403"/>
    <w:rsid w:val="008B5C9D"/>
    <w:rsid w:val="008B7613"/>
    <w:rsid w:val="008C474F"/>
    <w:rsid w:val="008D1181"/>
    <w:rsid w:val="008D3F2B"/>
    <w:rsid w:val="008D6646"/>
    <w:rsid w:val="008D7350"/>
    <w:rsid w:val="008D7D32"/>
    <w:rsid w:val="008E0054"/>
    <w:rsid w:val="008E08F5"/>
    <w:rsid w:val="008E34FB"/>
    <w:rsid w:val="008E5D5C"/>
    <w:rsid w:val="008E5E19"/>
    <w:rsid w:val="008E7019"/>
    <w:rsid w:val="008F073C"/>
    <w:rsid w:val="008F11B3"/>
    <w:rsid w:val="008F409A"/>
    <w:rsid w:val="008F4AB5"/>
    <w:rsid w:val="008F4B2A"/>
    <w:rsid w:val="008F7F59"/>
    <w:rsid w:val="00914504"/>
    <w:rsid w:val="009222F4"/>
    <w:rsid w:val="00925868"/>
    <w:rsid w:val="00932A49"/>
    <w:rsid w:val="00932E7A"/>
    <w:rsid w:val="00935A7B"/>
    <w:rsid w:val="00936556"/>
    <w:rsid w:val="00936F65"/>
    <w:rsid w:val="00940647"/>
    <w:rsid w:val="009409BB"/>
    <w:rsid w:val="0094361F"/>
    <w:rsid w:val="00946960"/>
    <w:rsid w:val="00947B6C"/>
    <w:rsid w:val="00947C17"/>
    <w:rsid w:val="00951461"/>
    <w:rsid w:val="009520DD"/>
    <w:rsid w:val="00953352"/>
    <w:rsid w:val="00960319"/>
    <w:rsid w:val="0096130C"/>
    <w:rsid w:val="00962E23"/>
    <w:rsid w:val="009642B1"/>
    <w:rsid w:val="00964A51"/>
    <w:rsid w:val="00965E6B"/>
    <w:rsid w:val="00965E78"/>
    <w:rsid w:val="00967D0E"/>
    <w:rsid w:val="009713F8"/>
    <w:rsid w:val="00971E95"/>
    <w:rsid w:val="00974016"/>
    <w:rsid w:val="00977D82"/>
    <w:rsid w:val="00977F44"/>
    <w:rsid w:val="00977F98"/>
    <w:rsid w:val="00980CAB"/>
    <w:rsid w:val="0098401C"/>
    <w:rsid w:val="00984E28"/>
    <w:rsid w:val="0098629D"/>
    <w:rsid w:val="0099142F"/>
    <w:rsid w:val="009943B4"/>
    <w:rsid w:val="00994F1A"/>
    <w:rsid w:val="009960F8"/>
    <w:rsid w:val="00996A04"/>
    <w:rsid w:val="00997056"/>
    <w:rsid w:val="00997911"/>
    <w:rsid w:val="009A2658"/>
    <w:rsid w:val="009A2F70"/>
    <w:rsid w:val="009A45B7"/>
    <w:rsid w:val="009A4757"/>
    <w:rsid w:val="009A7A29"/>
    <w:rsid w:val="009B0471"/>
    <w:rsid w:val="009B0798"/>
    <w:rsid w:val="009B09C1"/>
    <w:rsid w:val="009B1B1D"/>
    <w:rsid w:val="009B3291"/>
    <w:rsid w:val="009B4ED1"/>
    <w:rsid w:val="009B5C04"/>
    <w:rsid w:val="009B6227"/>
    <w:rsid w:val="009B780F"/>
    <w:rsid w:val="009C554A"/>
    <w:rsid w:val="009C5867"/>
    <w:rsid w:val="009D1DEA"/>
    <w:rsid w:val="009D4B6B"/>
    <w:rsid w:val="009D5459"/>
    <w:rsid w:val="009E1CCB"/>
    <w:rsid w:val="009E23E2"/>
    <w:rsid w:val="009E354E"/>
    <w:rsid w:val="009E4494"/>
    <w:rsid w:val="009E4BFD"/>
    <w:rsid w:val="009E4EF5"/>
    <w:rsid w:val="009E5380"/>
    <w:rsid w:val="009E5774"/>
    <w:rsid w:val="009F0384"/>
    <w:rsid w:val="009F0DD2"/>
    <w:rsid w:val="009F3752"/>
    <w:rsid w:val="009F4559"/>
    <w:rsid w:val="00A002E0"/>
    <w:rsid w:val="00A0368D"/>
    <w:rsid w:val="00A04BA7"/>
    <w:rsid w:val="00A06D6C"/>
    <w:rsid w:val="00A12708"/>
    <w:rsid w:val="00A12BD3"/>
    <w:rsid w:val="00A12EB9"/>
    <w:rsid w:val="00A130F4"/>
    <w:rsid w:val="00A13A81"/>
    <w:rsid w:val="00A13F47"/>
    <w:rsid w:val="00A14422"/>
    <w:rsid w:val="00A14A80"/>
    <w:rsid w:val="00A1551E"/>
    <w:rsid w:val="00A17EB7"/>
    <w:rsid w:val="00A207F9"/>
    <w:rsid w:val="00A20F5F"/>
    <w:rsid w:val="00A22B36"/>
    <w:rsid w:val="00A23111"/>
    <w:rsid w:val="00A2316D"/>
    <w:rsid w:val="00A23F97"/>
    <w:rsid w:val="00A254DC"/>
    <w:rsid w:val="00A2694F"/>
    <w:rsid w:val="00A33AB3"/>
    <w:rsid w:val="00A34DB7"/>
    <w:rsid w:val="00A353D7"/>
    <w:rsid w:val="00A4061F"/>
    <w:rsid w:val="00A41649"/>
    <w:rsid w:val="00A45E2A"/>
    <w:rsid w:val="00A4794B"/>
    <w:rsid w:val="00A50A63"/>
    <w:rsid w:val="00A521DC"/>
    <w:rsid w:val="00A54B67"/>
    <w:rsid w:val="00A55CC9"/>
    <w:rsid w:val="00A57CCC"/>
    <w:rsid w:val="00A60475"/>
    <w:rsid w:val="00A62273"/>
    <w:rsid w:val="00A622FE"/>
    <w:rsid w:val="00A63C4B"/>
    <w:rsid w:val="00A66CA3"/>
    <w:rsid w:val="00A71D96"/>
    <w:rsid w:val="00A73056"/>
    <w:rsid w:val="00A73796"/>
    <w:rsid w:val="00A73BC3"/>
    <w:rsid w:val="00A74DD5"/>
    <w:rsid w:val="00A76888"/>
    <w:rsid w:val="00A806E3"/>
    <w:rsid w:val="00A8075E"/>
    <w:rsid w:val="00A80965"/>
    <w:rsid w:val="00A81D84"/>
    <w:rsid w:val="00A82B20"/>
    <w:rsid w:val="00A832D8"/>
    <w:rsid w:val="00A86242"/>
    <w:rsid w:val="00A86382"/>
    <w:rsid w:val="00A870F6"/>
    <w:rsid w:val="00A878DA"/>
    <w:rsid w:val="00A87B9D"/>
    <w:rsid w:val="00A920B8"/>
    <w:rsid w:val="00A924B1"/>
    <w:rsid w:val="00A938C9"/>
    <w:rsid w:val="00A94005"/>
    <w:rsid w:val="00A951ED"/>
    <w:rsid w:val="00A95804"/>
    <w:rsid w:val="00AA22DF"/>
    <w:rsid w:val="00AA2968"/>
    <w:rsid w:val="00AA37F2"/>
    <w:rsid w:val="00AA3D69"/>
    <w:rsid w:val="00AA6656"/>
    <w:rsid w:val="00AA6763"/>
    <w:rsid w:val="00AB10AD"/>
    <w:rsid w:val="00AB2241"/>
    <w:rsid w:val="00AB366A"/>
    <w:rsid w:val="00AB46D6"/>
    <w:rsid w:val="00AB5DD8"/>
    <w:rsid w:val="00AB6D4B"/>
    <w:rsid w:val="00AB7B79"/>
    <w:rsid w:val="00AB7E89"/>
    <w:rsid w:val="00AC12B2"/>
    <w:rsid w:val="00AC14E8"/>
    <w:rsid w:val="00AC1A8C"/>
    <w:rsid w:val="00AC2707"/>
    <w:rsid w:val="00AC2DFD"/>
    <w:rsid w:val="00AC3090"/>
    <w:rsid w:val="00AC33B6"/>
    <w:rsid w:val="00AC34BD"/>
    <w:rsid w:val="00AC46B2"/>
    <w:rsid w:val="00AC5343"/>
    <w:rsid w:val="00AC6DA6"/>
    <w:rsid w:val="00AD0C6D"/>
    <w:rsid w:val="00AD0F15"/>
    <w:rsid w:val="00AD18CA"/>
    <w:rsid w:val="00AD3818"/>
    <w:rsid w:val="00AD54B4"/>
    <w:rsid w:val="00AD57F1"/>
    <w:rsid w:val="00AD6A47"/>
    <w:rsid w:val="00AE05B5"/>
    <w:rsid w:val="00AE1E62"/>
    <w:rsid w:val="00AE6F46"/>
    <w:rsid w:val="00AE7BDD"/>
    <w:rsid w:val="00AF0BC6"/>
    <w:rsid w:val="00AF0DDE"/>
    <w:rsid w:val="00AF4354"/>
    <w:rsid w:val="00AF43E8"/>
    <w:rsid w:val="00AF45FC"/>
    <w:rsid w:val="00AF5314"/>
    <w:rsid w:val="00AF62B5"/>
    <w:rsid w:val="00AF6982"/>
    <w:rsid w:val="00B00491"/>
    <w:rsid w:val="00B0105A"/>
    <w:rsid w:val="00B03DAB"/>
    <w:rsid w:val="00B04787"/>
    <w:rsid w:val="00B109DD"/>
    <w:rsid w:val="00B130FB"/>
    <w:rsid w:val="00B148D2"/>
    <w:rsid w:val="00B1669A"/>
    <w:rsid w:val="00B2080F"/>
    <w:rsid w:val="00B22E29"/>
    <w:rsid w:val="00B23931"/>
    <w:rsid w:val="00B23A6F"/>
    <w:rsid w:val="00B278C9"/>
    <w:rsid w:val="00B358FF"/>
    <w:rsid w:val="00B37207"/>
    <w:rsid w:val="00B40171"/>
    <w:rsid w:val="00B4102F"/>
    <w:rsid w:val="00B42674"/>
    <w:rsid w:val="00B4317A"/>
    <w:rsid w:val="00B43196"/>
    <w:rsid w:val="00B43D10"/>
    <w:rsid w:val="00B43E94"/>
    <w:rsid w:val="00B45D2A"/>
    <w:rsid w:val="00B45E3F"/>
    <w:rsid w:val="00B460EB"/>
    <w:rsid w:val="00B50869"/>
    <w:rsid w:val="00B56879"/>
    <w:rsid w:val="00B57E60"/>
    <w:rsid w:val="00B6026F"/>
    <w:rsid w:val="00B62FA0"/>
    <w:rsid w:val="00B6356B"/>
    <w:rsid w:val="00B64FBC"/>
    <w:rsid w:val="00B65FA2"/>
    <w:rsid w:val="00B6744E"/>
    <w:rsid w:val="00B67D54"/>
    <w:rsid w:val="00B704AB"/>
    <w:rsid w:val="00B72B08"/>
    <w:rsid w:val="00B7382A"/>
    <w:rsid w:val="00B73F6E"/>
    <w:rsid w:val="00B778B3"/>
    <w:rsid w:val="00B8297E"/>
    <w:rsid w:val="00B8497D"/>
    <w:rsid w:val="00B86F73"/>
    <w:rsid w:val="00B9048F"/>
    <w:rsid w:val="00B91131"/>
    <w:rsid w:val="00B91216"/>
    <w:rsid w:val="00B91265"/>
    <w:rsid w:val="00B9297B"/>
    <w:rsid w:val="00B94E23"/>
    <w:rsid w:val="00B951A4"/>
    <w:rsid w:val="00B95324"/>
    <w:rsid w:val="00B96C3C"/>
    <w:rsid w:val="00B96DA3"/>
    <w:rsid w:val="00B97D27"/>
    <w:rsid w:val="00B97FB1"/>
    <w:rsid w:val="00BA138F"/>
    <w:rsid w:val="00BA1E97"/>
    <w:rsid w:val="00BA528F"/>
    <w:rsid w:val="00BA56A6"/>
    <w:rsid w:val="00BA6D08"/>
    <w:rsid w:val="00BB259A"/>
    <w:rsid w:val="00BB2A6F"/>
    <w:rsid w:val="00BB2F95"/>
    <w:rsid w:val="00BB4280"/>
    <w:rsid w:val="00BB5674"/>
    <w:rsid w:val="00BB588F"/>
    <w:rsid w:val="00BB7328"/>
    <w:rsid w:val="00BB7EE5"/>
    <w:rsid w:val="00BC01BA"/>
    <w:rsid w:val="00BC1957"/>
    <w:rsid w:val="00BC54C6"/>
    <w:rsid w:val="00BC58CF"/>
    <w:rsid w:val="00BC77F8"/>
    <w:rsid w:val="00BC7C66"/>
    <w:rsid w:val="00BD06B5"/>
    <w:rsid w:val="00BD2AAD"/>
    <w:rsid w:val="00BD356F"/>
    <w:rsid w:val="00BD3814"/>
    <w:rsid w:val="00BD687F"/>
    <w:rsid w:val="00BD70BB"/>
    <w:rsid w:val="00BD7733"/>
    <w:rsid w:val="00BD7949"/>
    <w:rsid w:val="00BE0A9E"/>
    <w:rsid w:val="00BE3D45"/>
    <w:rsid w:val="00BE56BB"/>
    <w:rsid w:val="00BE5819"/>
    <w:rsid w:val="00BE5943"/>
    <w:rsid w:val="00BE6659"/>
    <w:rsid w:val="00BE6DDD"/>
    <w:rsid w:val="00BE764C"/>
    <w:rsid w:val="00BE7A30"/>
    <w:rsid w:val="00BF3D54"/>
    <w:rsid w:val="00BF5387"/>
    <w:rsid w:val="00BF5B9A"/>
    <w:rsid w:val="00BF6CCA"/>
    <w:rsid w:val="00BF725C"/>
    <w:rsid w:val="00BF7983"/>
    <w:rsid w:val="00C02723"/>
    <w:rsid w:val="00C04C18"/>
    <w:rsid w:val="00C073CB"/>
    <w:rsid w:val="00C10620"/>
    <w:rsid w:val="00C10816"/>
    <w:rsid w:val="00C10BBD"/>
    <w:rsid w:val="00C146BB"/>
    <w:rsid w:val="00C1618B"/>
    <w:rsid w:val="00C16B9D"/>
    <w:rsid w:val="00C172C9"/>
    <w:rsid w:val="00C23571"/>
    <w:rsid w:val="00C24078"/>
    <w:rsid w:val="00C25607"/>
    <w:rsid w:val="00C25F39"/>
    <w:rsid w:val="00C30C14"/>
    <w:rsid w:val="00C33903"/>
    <w:rsid w:val="00C33EFB"/>
    <w:rsid w:val="00C3474A"/>
    <w:rsid w:val="00C3556A"/>
    <w:rsid w:val="00C37A50"/>
    <w:rsid w:val="00C42D56"/>
    <w:rsid w:val="00C43DD9"/>
    <w:rsid w:val="00C4505C"/>
    <w:rsid w:val="00C45386"/>
    <w:rsid w:val="00C45B0C"/>
    <w:rsid w:val="00C46186"/>
    <w:rsid w:val="00C468A2"/>
    <w:rsid w:val="00C51C1E"/>
    <w:rsid w:val="00C53326"/>
    <w:rsid w:val="00C54401"/>
    <w:rsid w:val="00C55834"/>
    <w:rsid w:val="00C56DD2"/>
    <w:rsid w:val="00C601F0"/>
    <w:rsid w:val="00C6094A"/>
    <w:rsid w:val="00C61075"/>
    <w:rsid w:val="00C6528C"/>
    <w:rsid w:val="00C66534"/>
    <w:rsid w:val="00C67A51"/>
    <w:rsid w:val="00C70EFB"/>
    <w:rsid w:val="00C71C48"/>
    <w:rsid w:val="00C72E75"/>
    <w:rsid w:val="00C7320B"/>
    <w:rsid w:val="00C7428A"/>
    <w:rsid w:val="00C74925"/>
    <w:rsid w:val="00C81DD4"/>
    <w:rsid w:val="00C825B2"/>
    <w:rsid w:val="00C828AB"/>
    <w:rsid w:val="00C83150"/>
    <w:rsid w:val="00C8520F"/>
    <w:rsid w:val="00C862DF"/>
    <w:rsid w:val="00C86A02"/>
    <w:rsid w:val="00C873AE"/>
    <w:rsid w:val="00C879AA"/>
    <w:rsid w:val="00C90A6F"/>
    <w:rsid w:val="00C91254"/>
    <w:rsid w:val="00C92944"/>
    <w:rsid w:val="00C92FAB"/>
    <w:rsid w:val="00C95495"/>
    <w:rsid w:val="00C96B9E"/>
    <w:rsid w:val="00CA1765"/>
    <w:rsid w:val="00CA399C"/>
    <w:rsid w:val="00CA498B"/>
    <w:rsid w:val="00CA4A24"/>
    <w:rsid w:val="00CA526E"/>
    <w:rsid w:val="00CA56B3"/>
    <w:rsid w:val="00CA5C39"/>
    <w:rsid w:val="00CA69F9"/>
    <w:rsid w:val="00CA6E99"/>
    <w:rsid w:val="00CB0BBD"/>
    <w:rsid w:val="00CB1141"/>
    <w:rsid w:val="00CB6D82"/>
    <w:rsid w:val="00CB77DA"/>
    <w:rsid w:val="00CC0317"/>
    <w:rsid w:val="00CC05D1"/>
    <w:rsid w:val="00CC12AC"/>
    <w:rsid w:val="00CC1C80"/>
    <w:rsid w:val="00CC29DD"/>
    <w:rsid w:val="00CC321F"/>
    <w:rsid w:val="00CC3C80"/>
    <w:rsid w:val="00CC6635"/>
    <w:rsid w:val="00CD0445"/>
    <w:rsid w:val="00CD05CB"/>
    <w:rsid w:val="00CD17F6"/>
    <w:rsid w:val="00CD3746"/>
    <w:rsid w:val="00CD381C"/>
    <w:rsid w:val="00CD4B10"/>
    <w:rsid w:val="00CE0A93"/>
    <w:rsid w:val="00CE1013"/>
    <w:rsid w:val="00CE76A7"/>
    <w:rsid w:val="00CF2332"/>
    <w:rsid w:val="00CF3F1A"/>
    <w:rsid w:val="00CF7BC8"/>
    <w:rsid w:val="00D00D89"/>
    <w:rsid w:val="00D00E9C"/>
    <w:rsid w:val="00D01022"/>
    <w:rsid w:val="00D0156C"/>
    <w:rsid w:val="00D04713"/>
    <w:rsid w:val="00D0581E"/>
    <w:rsid w:val="00D066ED"/>
    <w:rsid w:val="00D07347"/>
    <w:rsid w:val="00D077FD"/>
    <w:rsid w:val="00D1142E"/>
    <w:rsid w:val="00D14048"/>
    <w:rsid w:val="00D146E6"/>
    <w:rsid w:val="00D21C6A"/>
    <w:rsid w:val="00D22475"/>
    <w:rsid w:val="00D22F08"/>
    <w:rsid w:val="00D23FD8"/>
    <w:rsid w:val="00D3049E"/>
    <w:rsid w:val="00D3298E"/>
    <w:rsid w:val="00D3398B"/>
    <w:rsid w:val="00D34863"/>
    <w:rsid w:val="00D34CDA"/>
    <w:rsid w:val="00D34E1E"/>
    <w:rsid w:val="00D36784"/>
    <w:rsid w:val="00D42B06"/>
    <w:rsid w:val="00D44484"/>
    <w:rsid w:val="00D46554"/>
    <w:rsid w:val="00D466FD"/>
    <w:rsid w:val="00D46FD2"/>
    <w:rsid w:val="00D4752B"/>
    <w:rsid w:val="00D47E9F"/>
    <w:rsid w:val="00D50DDA"/>
    <w:rsid w:val="00D51233"/>
    <w:rsid w:val="00D52897"/>
    <w:rsid w:val="00D528AB"/>
    <w:rsid w:val="00D551FB"/>
    <w:rsid w:val="00D555C4"/>
    <w:rsid w:val="00D55B7F"/>
    <w:rsid w:val="00D5750E"/>
    <w:rsid w:val="00D60ED6"/>
    <w:rsid w:val="00D619E9"/>
    <w:rsid w:val="00D63051"/>
    <w:rsid w:val="00D63E64"/>
    <w:rsid w:val="00D65B9D"/>
    <w:rsid w:val="00D702A3"/>
    <w:rsid w:val="00D7082C"/>
    <w:rsid w:val="00D72804"/>
    <w:rsid w:val="00D7562E"/>
    <w:rsid w:val="00D77ED7"/>
    <w:rsid w:val="00D8172B"/>
    <w:rsid w:val="00D82F98"/>
    <w:rsid w:val="00D82FAA"/>
    <w:rsid w:val="00D85BA7"/>
    <w:rsid w:val="00D85E4B"/>
    <w:rsid w:val="00D87053"/>
    <w:rsid w:val="00D8708D"/>
    <w:rsid w:val="00D9038C"/>
    <w:rsid w:val="00D90B7B"/>
    <w:rsid w:val="00D91D02"/>
    <w:rsid w:val="00D9215C"/>
    <w:rsid w:val="00D9357E"/>
    <w:rsid w:val="00D97C8B"/>
    <w:rsid w:val="00DA2261"/>
    <w:rsid w:val="00DA2B3E"/>
    <w:rsid w:val="00DA2F0D"/>
    <w:rsid w:val="00DA6CE7"/>
    <w:rsid w:val="00DA6DB0"/>
    <w:rsid w:val="00DB0D8A"/>
    <w:rsid w:val="00DB32F0"/>
    <w:rsid w:val="00DB606A"/>
    <w:rsid w:val="00DC0B04"/>
    <w:rsid w:val="00DC211B"/>
    <w:rsid w:val="00DC3403"/>
    <w:rsid w:val="00DC3935"/>
    <w:rsid w:val="00DC3ABD"/>
    <w:rsid w:val="00DC40C0"/>
    <w:rsid w:val="00DD0986"/>
    <w:rsid w:val="00DD0DAF"/>
    <w:rsid w:val="00DD0F63"/>
    <w:rsid w:val="00DD1FB3"/>
    <w:rsid w:val="00DD3CBA"/>
    <w:rsid w:val="00DD41A4"/>
    <w:rsid w:val="00DD459B"/>
    <w:rsid w:val="00DD535D"/>
    <w:rsid w:val="00DD67E6"/>
    <w:rsid w:val="00DD6DDA"/>
    <w:rsid w:val="00DD7BF4"/>
    <w:rsid w:val="00DE0FC8"/>
    <w:rsid w:val="00DE11D9"/>
    <w:rsid w:val="00DE13CF"/>
    <w:rsid w:val="00DE4935"/>
    <w:rsid w:val="00DE52F3"/>
    <w:rsid w:val="00DF13E1"/>
    <w:rsid w:val="00DF19B7"/>
    <w:rsid w:val="00DF2A24"/>
    <w:rsid w:val="00DF3F6C"/>
    <w:rsid w:val="00DF4681"/>
    <w:rsid w:val="00DF68A1"/>
    <w:rsid w:val="00E0088F"/>
    <w:rsid w:val="00E00E1E"/>
    <w:rsid w:val="00E00F27"/>
    <w:rsid w:val="00E01D57"/>
    <w:rsid w:val="00E05013"/>
    <w:rsid w:val="00E0575D"/>
    <w:rsid w:val="00E05F03"/>
    <w:rsid w:val="00E07E3E"/>
    <w:rsid w:val="00E116DD"/>
    <w:rsid w:val="00E11CA7"/>
    <w:rsid w:val="00E12D65"/>
    <w:rsid w:val="00E13F9D"/>
    <w:rsid w:val="00E14332"/>
    <w:rsid w:val="00E171E3"/>
    <w:rsid w:val="00E17CDE"/>
    <w:rsid w:val="00E21768"/>
    <w:rsid w:val="00E2183C"/>
    <w:rsid w:val="00E2185D"/>
    <w:rsid w:val="00E2330D"/>
    <w:rsid w:val="00E242D0"/>
    <w:rsid w:val="00E2525D"/>
    <w:rsid w:val="00E2656B"/>
    <w:rsid w:val="00E3019A"/>
    <w:rsid w:val="00E32399"/>
    <w:rsid w:val="00E3416A"/>
    <w:rsid w:val="00E354FE"/>
    <w:rsid w:val="00E35A1A"/>
    <w:rsid w:val="00E35B65"/>
    <w:rsid w:val="00E36FA2"/>
    <w:rsid w:val="00E36FC4"/>
    <w:rsid w:val="00E4066D"/>
    <w:rsid w:val="00E4267C"/>
    <w:rsid w:val="00E42F66"/>
    <w:rsid w:val="00E43244"/>
    <w:rsid w:val="00E45EEC"/>
    <w:rsid w:val="00E5056B"/>
    <w:rsid w:val="00E5232E"/>
    <w:rsid w:val="00E5463E"/>
    <w:rsid w:val="00E54775"/>
    <w:rsid w:val="00E547C4"/>
    <w:rsid w:val="00E54F1C"/>
    <w:rsid w:val="00E5669B"/>
    <w:rsid w:val="00E6331D"/>
    <w:rsid w:val="00E65392"/>
    <w:rsid w:val="00E6797D"/>
    <w:rsid w:val="00E67FEB"/>
    <w:rsid w:val="00E70071"/>
    <w:rsid w:val="00E70EB4"/>
    <w:rsid w:val="00E719D7"/>
    <w:rsid w:val="00E76CE8"/>
    <w:rsid w:val="00E80AFD"/>
    <w:rsid w:val="00E82AC4"/>
    <w:rsid w:val="00E82BEC"/>
    <w:rsid w:val="00E83ADB"/>
    <w:rsid w:val="00E84936"/>
    <w:rsid w:val="00E86DDB"/>
    <w:rsid w:val="00E94E30"/>
    <w:rsid w:val="00E95291"/>
    <w:rsid w:val="00E96004"/>
    <w:rsid w:val="00E963D1"/>
    <w:rsid w:val="00EA09D6"/>
    <w:rsid w:val="00EA5E3A"/>
    <w:rsid w:val="00EA69E8"/>
    <w:rsid w:val="00EA7DCC"/>
    <w:rsid w:val="00EB543F"/>
    <w:rsid w:val="00EC0300"/>
    <w:rsid w:val="00EC4316"/>
    <w:rsid w:val="00ED03E7"/>
    <w:rsid w:val="00ED06A4"/>
    <w:rsid w:val="00ED1A08"/>
    <w:rsid w:val="00ED4219"/>
    <w:rsid w:val="00ED4DA7"/>
    <w:rsid w:val="00ED606F"/>
    <w:rsid w:val="00ED6274"/>
    <w:rsid w:val="00ED6351"/>
    <w:rsid w:val="00ED7619"/>
    <w:rsid w:val="00EE1DD2"/>
    <w:rsid w:val="00EE207C"/>
    <w:rsid w:val="00EE44C8"/>
    <w:rsid w:val="00EE574E"/>
    <w:rsid w:val="00EE682F"/>
    <w:rsid w:val="00EE787E"/>
    <w:rsid w:val="00EF051C"/>
    <w:rsid w:val="00EF0D1F"/>
    <w:rsid w:val="00EF0D7E"/>
    <w:rsid w:val="00EF7DBA"/>
    <w:rsid w:val="00EF7F1B"/>
    <w:rsid w:val="00F001E6"/>
    <w:rsid w:val="00F0096C"/>
    <w:rsid w:val="00F04A7E"/>
    <w:rsid w:val="00F058D5"/>
    <w:rsid w:val="00F108DC"/>
    <w:rsid w:val="00F119E9"/>
    <w:rsid w:val="00F12581"/>
    <w:rsid w:val="00F157C7"/>
    <w:rsid w:val="00F15A03"/>
    <w:rsid w:val="00F15AE3"/>
    <w:rsid w:val="00F167EC"/>
    <w:rsid w:val="00F20F17"/>
    <w:rsid w:val="00F2217B"/>
    <w:rsid w:val="00F223BC"/>
    <w:rsid w:val="00F26A5E"/>
    <w:rsid w:val="00F26D89"/>
    <w:rsid w:val="00F2751A"/>
    <w:rsid w:val="00F27EC7"/>
    <w:rsid w:val="00F30BC9"/>
    <w:rsid w:val="00F31BE9"/>
    <w:rsid w:val="00F34400"/>
    <w:rsid w:val="00F36D41"/>
    <w:rsid w:val="00F36F2A"/>
    <w:rsid w:val="00F37211"/>
    <w:rsid w:val="00F43CE0"/>
    <w:rsid w:val="00F43D6B"/>
    <w:rsid w:val="00F4453D"/>
    <w:rsid w:val="00F464F2"/>
    <w:rsid w:val="00F47DA7"/>
    <w:rsid w:val="00F5371D"/>
    <w:rsid w:val="00F537F8"/>
    <w:rsid w:val="00F568AA"/>
    <w:rsid w:val="00F56AC7"/>
    <w:rsid w:val="00F5751A"/>
    <w:rsid w:val="00F601AD"/>
    <w:rsid w:val="00F60A3C"/>
    <w:rsid w:val="00F61309"/>
    <w:rsid w:val="00F61795"/>
    <w:rsid w:val="00F661C1"/>
    <w:rsid w:val="00F70544"/>
    <w:rsid w:val="00F713BC"/>
    <w:rsid w:val="00F71808"/>
    <w:rsid w:val="00F723E7"/>
    <w:rsid w:val="00F7455C"/>
    <w:rsid w:val="00F7534F"/>
    <w:rsid w:val="00F75E9B"/>
    <w:rsid w:val="00F83381"/>
    <w:rsid w:val="00F83445"/>
    <w:rsid w:val="00F841B9"/>
    <w:rsid w:val="00F857EE"/>
    <w:rsid w:val="00F8784C"/>
    <w:rsid w:val="00F905D2"/>
    <w:rsid w:val="00F905F9"/>
    <w:rsid w:val="00F9258C"/>
    <w:rsid w:val="00F94076"/>
    <w:rsid w:val="00F95522"/>
    <w:rsid w:val="00F9636A"/>
    <w:rsid w:val="00F963A4"/>
    <w:rsid w:val="00F968F5"/>
    <w:rsid w:val="00F96EDF"/>
    <w:rsid w:val="00F974E3"/>
    <w:rsid w:val="00FA015B"/>
    <w:rsid w:val="00FA0EEC"/>
    <w:rsid w:val="00FA10CD"/>
    <w:rsid w:val="00FA2CAE"/>
    <w:rsid w:val="00FA3454"/>
    <w:rsid w:val="00FA4971"/>
    <w:rsid w:val="00FA60E5"/>
    <w:rsid w:val="00FA699A"/>
    <w:rsid w:val="00FA712B"/>
    <w:rsid w:val="00FA74BB"/>
    <w:rsid w:val="00FB046B"/>
    <w:rsid w:val="00FB1271"/>
    <w:rsid w:val="00FB1384"/>
    <w:rsid w:val="00FB1A6F"/>
    <w:rsid w:val="00FB20BB"/>
    <w:rsid w:val="00FB23BE"/>
    <w:rsid w:val="00FB256A"/>
    <w:rsid w:val="00FB5CAD"/>
    <w:rsid w:val="00FB6A54"/>
    <w:rsid w:val="00FC16E9"/>
    <w:rsid w:val="00FC2B1E"/>
    <w:rsid w:val="00FC2D0D"/>
    <w:rsid w:val="00FC3E04"/>
    <w:rsid w:val="00FC3FE0"/>
    <w:rsid w:val="00FC4FB5"/>
    <w:rsid w:val="00FC5FBF"/>
    <w:rsid w:val="00FC6B82"/>
    <w:rsid w:val="00FD021F"/>
    <w:rsid w:val="00FD084E"/>
    <w:rsid w:val="00FD090B"/>
    <w:rsid w:val="00FD2B7E"/>
    <w:rsid w:val="00FD7CE3"/>
    <w:rsid w:val="00FE2515"/>
    <w:rsid w:val="00FE2894"/>
    <w:rsid w:val="00FE3124"/>
    <w:rsid w:val="00FE417A"/>
    <w:rsid w:val="00FE5C4C"/>
    <w:rsid w:val="00FE685A"/>
    <w:rsid w:val="00FF31B8"/>
    <w:rsid w:val="00FF3878"/>
    <w:rsid w:val="00FF462C"/>
    <w:rsid w:val="00FF4910"/>
    <w:rsid w:val="00FF6A71"/>
    <w:rsid w:val="01251BF7"/>
    <w:rsid w:val="022229C4"/>
    <w:rsid w:val="02431682"/>
    <w:rsid w:val="0262491D"/>
    <w:rsid w:val="026DF859"/>
    <w:rsid w:val="02C94ED3"/>
    <w:rsid w:val="0313DE81"/>
    <w:rsid w:val="031B8219"/>
    <w:rsid w:val="0333384F"/>
    <w:rsid w:val="03DCC7C9"/>
    <w:rsid w:val="03EA3B04"/>
    <w:rsid w:val="0400CE69"/>
    <w:rsid w:val="049058D6"/>
    <w:rsid w:val="04B9937F"/>
    <w:rsid w:val="04BE4212"/>
    <w:rsid w:val="055460BF"/>
    <w:rsid w:val="055BB9DB"/>
    <w:rsid w:val="05D1A79F"/>
    <w:rsid w:val="05D5E840"/>
    <w:rsid w:val="05EAC35D"/>
    <w:rsid w:val="06203A6B"/>
    <w:rsid w:val="068A19F3"/>
    <w:rsid w:val="06A1E857"/>
    <w:rsid w:val="071554C6"/>
    <w:rsid w:val="076BE1C8"/>
    <w:rsid w:val="077A452F"/>
    <w:rsid w:val="0837BF0B"/>
    <w:rsid w:val="083AFA7A"/>
    <w:rsid w:val="087A530B"/>
    <w:rsid w:val="08858655"/>
    <w:rsid w:val="0887499E"/>
    <w:rsid w:val="0909932D"/>
    <w:rsid w:val="0913C9FC"/>
    <w:rsid w:val="09687324"/>
    <w:rsid w:val="09DC85B1"/>
    <w:rsid w:val="09EBE218"/>
    <w:rsid w:val="0A0D405E"/>
    <w:rsid w:val="0A16E500"/>
    <w:rsid w:val="0A6FEEAF"/>
    <w:rsid w:val="0A746D23"/>
    <w:rsid w:val="0A88139D"/>
    <w:rsid w:val="0A96CE71"/>
    <w:rsid w:val="0AB99FA0"/>
    <w:rsid w:val="0AC5E87F"/>
    <w:rsid w:val="0B0393FC"/>
    <w:rsid w:val="0BBB6D1A"/>
    <w:rsid w:val="0BCE6539"/>
    <w:rsid w:val="0BF4F231"/>
    <w:rsid w:val="0C0D7489"/>
    <w:rsid w:val="0C525F86"/>
    <w:rsid w:val="0CCBB685"/>
    <w:rsid w:val="0CF7C220"/>
    <w:rsid w:val="0CF9B78A"/>
    <w:rsid w:val="0D3D8256"/>
    <w:rsid w:val="0D47B5AD"/>
    <w:rsid w:val="0D5C8CD5"/>
    <w:rsid w:val="0D70580E"/>
    <w:rsid w:val="0D81265A"/>
    <w:rsid w:val="0DF1F511"/>
    <w:rsid w:val="0E2367D3"/>
    <w:rsid w:val="0EB5B8B6"/>
    <w:rsid w:val="0EF4E72B"/>
    <w:rsid w:val="0EFA5A61"/>
    <w:rsid w:val="0F65A64B"/>
    <w:rsid w:val="0F6DFB5E"/>
    <w:rsid w:val="10296831"/>
    <w:rsid w:val="108C864F"/>
    <w:rsid w:val="109263EF"/>
    <w:rsid w:val="10AA991D"/>
    <w:rsid w:val="11CBFBCF"/>
    <w:rsid w:val="12187209"/>
    <w:rsid w:val="1226684B"/>
    <w:rsid w:val="125DA1B1"/>
    <w:rsid w:val="125F35F4"/>
    <w:rsid w:val="1294F418"/>
    <w:rsid w:val="12BC9591"/>
    <w:rsid w:val="12CEA74F"/>
    <w:rsid w:val="12E3DF73"/>
    <w:rsid w:val="1364A14E"/>
    <w:rsid w:val="1372ED89"/>
    <w:rsid w:val="13BF0B49"/>
    <w:rsid w:val="13BF8AC9"/>
    <w:rsid w:val="13D56731"/>
    <w:rsid w:val="13DBD774"/>
    <w:rsid w:val="13F14103"/>
    <w:rsid w:val="13F1DEAF"/>
    <w:rsid w:val="13F5F132"/>
    <w:rsid w:val="142D5C47"/>
    <w:rsid w:val="149036F7"/>
    <w:rsid w:val="14A87951"/>
    <w:rsid w:val="14CB87C6"/>
    <w:rsid w:val="14CD6F6A"/>
    <w:rsid w:val="151C4BB5"/>
    <w:rsid w:val="154B2190"/>
    <w:rsid w:val="15789E4D"/>
    <w:rsid w:val="15CA6DE2"/>
    <w:rsid w:val="166D7551"/>
    <w:rsid w:val="176582D0"/>
    <w:rsid w:val="17B62A7C"/>
    <w:rsid w:val="18335C19"/>
    <w:rsid w:val="183D3852"/>
    <w:rsid w:val="188BDA3C"/>
    <w:rsid w:val="18BAA866"/>
    <w:rsid w:val="19763ECE"/>
    <w:rsid w:val="197BC4B4"/>
    <w:rsid w:val="19BBF076"/>
    <w:rsid w:val="1A216ABF"/>
    <w:rsid w:val="1A760416"/>
    <w:rsid w:val="1ABE2660"/>
    <w:rsid w:val="1C01A0BB"/>
    <w:rsid w:val="1C244B53"/>
    <w:rsid w:val="1C64E01A"/>
    <w:rsid w:val="1CB0E989"/>
    <w:rsid w:val="1D06B40E"/>
    <w:rsid w:val="1D1C4FFB"/>
    <w:rsid w:val="1D8343FC"/>
    <w:rsid w:val="1D9A423A"/>
    <w:rsid w:val="1DCF60DA"/>
    <w:rsid w:val="1E9AC057"/>
    <w:rsid w:val="1EBE8457"/>
    <w:rsid w:val="1ED97803"/>
    <w:rsid w:val="1F592905"/>
    <w:rsid w:val="1F649CCB"/>
    <w:rsid w:val="1F653F10"/>
    <w:rsid w:val="1F9EAE45"/>
    <w:rsid w:val="20BC1EED"/>
    <w:rsid w:val="2149B638"/>
    <w:rsid w:val="215674A0"/>
    <w:rsid w:val="22317CD1"/>
    <w:rsid w:val="2234CBFF"/>
    <w:rsid w:val="226528F8"/>
    <w:rsid w:val="226CE2FD"/>
    <w:rsid w:val="23069E87"/>
    <w:rsid w:val="2388706F"/>
    <w:rsid w:val="23FF5746"/>
    <w:rsid w:val="252C8348"/>
    <w:rsid w:val="2574E992"/>
    <w:rsid w:val="2576CE9F"/>
    <w:rsid w:val="25ED3ABE"/>
    <w:rsid w:val="26758901"/>
    <w:rsid w:val="274FF070"/>
    <w:rsid w:val="2769F962"/>
    <w:rsid w:val="279BA5CB"/>
    <w:rsid w:val="27DF8169"/>
    <w:rsid w:val="28488AAF"/>
    <w:rsid w:val="29807A04"/>
    <w:rsid w:val="29988203"/>
    <w:rsid w:val="29A41BCD"/>
    <w:rsid w:val="29D3DBD6"/>
    <w:rsid w:val="2A1A5BE1"/>
    <w:rsid w:val="2B7B3A5F"/>
    <w:rsid w:val="2BA9F562"/>
    <w:rsid w:val="2BDD2501"/>
    <w:rsid w:val="2C47D6A5"/>
    <w:rsid w:val="2C812B08"/>
    <w:rsid w:val="2D4C10F4"/>
    <w:rsid w:val="2D6098D8"/>
    <w:rsid w:val="2D7A030F"/>
    <w:rsid w:val="2D8770BC"/>
    <w:rsid w:val="2DFBED17"/>
    <w:rsid w:val="2E3AB16D"/>
    <w:rsid w:val="2E3E4B0A"/>
    <w:rsid w:val="2ED96A24"/>
    <w:rsid w:val="2F2FAE39"/>
    <w:rsid w:val="2F338AFF"/>
    <w:rsid w:val="2FBCDA66"/>
    <w:rsid w:val="2FC1A973"/>
    <w:rsid w:val="30079E2C"/>
    <w:rsid w:val="30543641"/>
    <w:rsid w:val="30ACF4C5"/>
    <w:rsid w:val="30F4173B"/>
    <w:rsid w:val="31163ED5"/>
    <w:rsid w:val="314C3A18"/>
    <w:rsid w:val="324592B2"/>
    <w:rsid w:val="32E3D3A4"/>
    <w:rsid w:val="32E3E7EA"/>
    <w:rsid w:val="335FF063"/>
    <w:rsid w:val="3372F953"/>
    <w:rsid w:val="33962253"/>
    <w:rsid w:val="3400FBCE"/>
    <w:rsid w:val="345DD70F"/>
    <w:rsid w:val="3462C438"/>
    <w:rsid w:val="34D7E8C4"/>
    <w:rsid w:val="350A2263"/>
    <w:rsid w:val="3587BD9E"/>
    <w:rsid w:val="35E85C8C"/>
    <w:rsid w:val="35F7653B"/>
    <w:rsid w:val="3645582F"/>
    <w:rsid w:val="3645AD3E"/>
    <w:rsid w:val="36F3BBE1"/>
    <w:rsid w:val="36FE0520"/>
    <w:rsid w:val="37315D4E"/>
    <w:rsid w:val="381DA7A6"/>
    <w:rsid w:val="38701A1E"/>
    <w:rsid w:val="3912BD1C"/>
    <w:rsid w:val="39222C5E"/>
    <w:rsid w:val="39F2627B"/>
    <w:rsid w:val="3A00F66B"/>
    <w:rsid w:val="3A057A88"/>
    <w:rsid w:val="3A2F420E"/>
    <w:rsid w:val="3A63C329"/>
    <w:rsid w:val="3A7CDEA6"/>
    <w:rsid w:val="3AE12064"/>
    <w:rsid w:val="3AE479B3"/>
    <w:rsid w:val="3B216B92"/>
    <w:rsid w:val="3B231A5D"/>
    <w:rsid w:val="3B52E845"/>
    <w:rsid w:val="3BA2F38A"/>
    <w:rsid w:val="3BC69AFA"/>
    <w:rsid w:val="3BC9215E"/>
    <w:rsid w:val="3C2501EF"/>
    <w:rsid w:val="3C2EBBEF"/>
    <w:rsid w:val="3C72BADC"/>
    <w:rsid w:val="3CEC7549"/>
    <w:rsid w:val="3D2C4C70"/>
    <w:rsid w:val="3D637793"/>
    <w:rsid w:val="3EF323A2"/>
    <w:rsid w:val="3F30667C"/>
    <w:rsid w:val="3F5FD6D3"/>
    <w:rsid w:val="3F975AC0"/>
    <w:rsid w:val="3F9CAC56"/>
    <w:rsid w:val="3FA1958E"/>
    <w:rsid w:val="3FDAD9D0"/>
    <w:rsid w:val="402D9AE1"/>
    <w:rsid w:val="40690257"/>
    <w:rsid w:val="40F53CBC"/>
    <w:rsid w:val="4149F27B"/>
    <w:rsid w:val="418B14D0"/>
    <w:rsid w:val="4198FA4A"/>
    <w:rsid w:val="41F84191"/>
    <w:rsid w:val="4212A5A2"/>
    <w:rsid w:val="422DCEE4"/>
    <w:rsid w:val="4273DDEB"/>
    <w:rsid w:val="432F4B67"/>
    <w:rsid w:val="43BC0B14"/>
    <w:rsid w:val="444D817A"/>
    <w:rsid w:val="444DDE1D"/>
    <w:rsid w:val="445C1D62"/>
    <w:rsid w:val="44795B87"/>
    <w:rsid w:val="44B9E203"/>
    <w:rsid w:val="44DF57DC"/>
    <w:rsid w:val="44FDF847"/>
    <w:rsid w:val="44FFBF8D"/>
    <w:rsid w:val="451D7F59"/>
    <w:rsid w:val="453F08E4"/>
    <w:rsid w:val="457A5A21"/>
    <w:rsid w:val="4580A56F"/>
    <w:rsid w:val="460DF7FD"/>
    <w:rsid w:val="464A4522"/>
    <w:rsid w:val="46A6154D"/>
    <w:rsid w:val="47050C81"/>
    <w:rsid w:val="47650B8D"/>
    <w:rsid w:val="47DF74E5"/>
    <w:rsid w:val="47E42870"/>
    <w:rsid w:val="48011B08"/>
    <w:rsid w:val="48149762"/>
    <w:rsid w:val="482F6A39"/>
    <w:rsid w:val="486BF276"/>
    <w:rsid w:val="4887508A"/>
    <w:rsid w:val="48D78D1C"/>
    <w:rsid w:val="48DE949F"/>
    <w:rsid w:val="48F63D08"/>
    <w:rsid w:val="48FBCB6E"/>
    <w:rsid w:val="494A9E87"/>
    <w:rsid w:val="4960D6BE"/>
    <w:rsid w:val="49F62DEC"/>
    <w:rsid w:val="4A6F3417"/>
    <w:rsid w:val="4A776A0C"/>
    <w:rsid w:val="4A857321"/>
    <w:rsid w:val="4A9FAC05"/>
    <w:rsid w:val="4AF5BEC3"/>
    <w:rsid w:val="4B58ABB3"/>
    <w:rsid w:val="4B6EAD70"/>
    <w:rsid w:val="4BBE7F59"/>
    <w:rsid w:val="4C0CAB74"/>
    <w:rsid w:val="4C2AF13E"/>
    <w:rsid w:val="4C2CCCF9"/>
    <w:rsid w:val="4C525FE8"/>
    <w:rsid w:val="4CCDDAD4"/>
    <w:rsid w:val="4CD2A6CA"/>
    <w:rsid w:val="4CE0908A"/>
    <w:rsid w:val="4D17D905"/>
    <w:rsid w:val="4DADBAB4"/>
    <w:rsid w:val="4DC7529A"/>
    <w:rsid w:val="4DDF8A7E"/>
    <w:rsid w:val="4E88BBC7"/>
    <w:rsid w:val="4EAB7537"/>
    <w:rsid w:val="4EBACDCD"/>
    <w:rsid w:val="4ECD4C7F"/>
    <w:rsid w:val="4F02CD78"/>
    <w:rsid w:val="4F508EF0"/>
    <w:rsid w:val="4F7BC4DD"/>
    <w:rsid w:val="4F7C5A8C"/>
    <w:rsid w:val="4FBBA694"/>
    <w:rsid w:val="50EBE7BA"/>
    <w:rsid w:val="515E038B"/>
    <w:rsid w:val="519D44A9"/>
    <w:rsid w:val="51D94BA5"/>
    <w:rsid w:val="51E1C516"/>
    <w:rsid w:val="5236E571"/>
    <w:rsid w:val="52469E20"/>
    <w:rsid w:val="52768C77"/>
    <w:rsid w:val="5291CFB8"/>
    <w:rsid w:val="5353ABF8"/>
    <w:rsid w:val="53CF9E2F"/>
    <w:rsid w:val="54495C93"/>
    <w:rsid w:val="544F5C3E"/>
    <w:rsid w:val="54848EDD"/>
    <w:rsid w:val="54EE1ACA"/>
    <w:rsid w:val="54FB13B3"/>
    <w:rsid w:val="550CA272"/>
    <w:rsid w:val="55B49DDB"/>
    <w:rsid w:val="55B9E5B0"/>
    <w:rsid w:val="5602A451"/>
    <w:rsid w:val="56B0BC77"/>
    <w:rsid w:val="56B24ED9"/>
    <w:rsid w:val="575B2FDE"/>
    <w:rsid w:val="5762F0AC"/>
    <w:rsid w:val="57A7DB1A"/>
    <w:rsid w:val="58484439"/>
    <w:rsid w:val="58A47336"/>
    <w:rsid w:val="58E203AA"/>
    <w:rsid w:val="58F200FC"/>
    <w:rsid w:val="591DC9BD"/>
    <w:rsid w:val="59237E30"/>
    <w:rsid w:val="59465518"/>
    <w:rsid w:val="5957490C"/>
    <w:rsid w:val="595FBD5B"/>
    <w:rsid w:val="5990A64C"/>
    <w:rsid w:val="5A4D1B06"/>
    <w:rsid w:val="5A56D013"/>
    <w:rsid w:val="5A5BA791"/>
    <w:rsid w:val="5A99AF24"/>
    <w:rsid w:val="5AB86F77"/>
    <w:rsid w:val="5B497241"/>
    <w:rsid w:val="5B7BD8EE"/>
    <w:rsid w:val="5BD2E06E"/>
    <w:rsid w:val="5BFD5DD0"/>
    <w:rsid w:val="5C24E37F"/>
    <w:rsid w:val="5CCB7A28"/>
    <w:rsid w:val="5CDDD3D5"/>
    <w:rsid w:val="5D191F97"/>
    <w:rsid w:val="5D38B0B5"/>
    <w:rsid w:val="5D5139D5"/>
    <w:rsid w:val="5D7E1D20"/>
    <w:rsid w:val="5DA70779"/>
    <w:rsid w:val="5DF69C57"/>
    <w:rsid w:val="5E0EBBFF"/>
    <w:rsid w:val="5E28DEDE"/>
    <w:rsid w:val="5E2C26F2"/>
    <w:rsid w:val="5E8BECED"/>
    <w:rsid w:val="5ED22510"/>
    <w:rsid w:val="5EEE0AD4"/>
    <w:rsid w:val="5F477307"/>
    <w:rsid w:val="5FAEA067"/>
    <w:rsid w:val="5FC995B6"/>
    <w:rsid w:val="6183CD0B"/>
    <w:rsid w:val="61B17C1D"/>
    <w:rsid w:val="61DE33B6"/>
    <w:rsid w:val="623C4E31"/>
    <w:rsid w:val="62C8130F"/>
    <w:rsid w:val="62F494CD"/>
    <w:rsid w:val="6359B48A"/>
    <w:rsid w:val="63E8BE53"/>
    <w:rsid w:val="63FC3EA7"/>
    <w:rsid w:val="6404AE37"/>
    <w:rsid w:val="643231CC"/>
    <w:rsid w:val="648FF451"/>
    <w:rsid w:val="64C31FC1"/>
    <w:rsid w:val="64D3EC63"/>
    <w:rsid w:val="6536D4DF"/>
    <w:rsid w:val="65D9CDE6"/>
    <w:rsid w:val="66082E22"/>
    <w:rsid w:val="667C87C3"/>
    <w:rsid w:val="66F64AB7"/>
    <w:rsid w:val="675B809A"/>
    <w:rsid w:val="67F65416"/>
    <w:rsid w:val="6817C4B3"/>
    <w:rsid w:val="685A27B2"/>
    <w:rsid w:val="6860B835"/>
    <w:rsid w:val="689F7C51"/>
    <w:rsid w:val="68E58A0E"/>
    <w:rsid w:val="6A259DFB"/>
    <w:rsid w:val="6A2FF0AC"/>
    <w:rsid w:val="6A48979B"/>
    <w:rsid w:val="6A4E586C"/>
    <w:rsid w:val="6A77FC34"/>
    <w:rsid w:val="6B326A68"/>
    <w:rsid w:val="6B624925"/>
    <w:rsid w:val="6B66F0FF"/>
    <w:rsid w:val="6B73B84A"/>
    <w:rsid w:val="6B8447E1"/>
    <w:rsid w:val="6B98594E"/>
    <w:rsid w:val="6B989DE1"/>
    <w:rsid w:val="6BA8976D"/>
    <w:rsid w:val="6BDE7B13"/>
    <w:rsid w:val="6C3F66DA"/>
    <w:rsid w:val="6C4EFDBC"/>
    <w:rsid w:val="6C64EDAB"/>
    <w:rsid w:val="6C7A3C9C"/>
    <w:rsid w:val="6C9BA9B2"/>
    <w:rsid w:val="6CB68FA0"/>
    <w:rsid w:val="6CC4B67E"/>
    <w:rsid w:val="6CE52504"/>
    <w:rsid w:val="6CE72006"/>
    <w:rsid w:val="6D34A7A2"/>
    <w:rsid w:val="6D8FC922"/>
    <w:rsid w:val="6DE5CF8B"/>
    <w:rsid w:val="6E7ED467"/>
    <w:rsid w:val="6EBE3010"/>
    <w:rsid w:val="6EC241EB"/>
    <w:rsid w:val="6EC517EF"/>
    <w:rsid w:val="6EDCFB42"/>
    <w:rsid w:val="6EEC32A1"/>
    <w:rsid w:val="6FE9B5C4"/>
    <w:rsid w:val="7009C14B"/>
    <w:rsid w:val="70335918"/>
    <w:rsid w:val="7049BCB9"/>
    <w:rsid w:val="706D3204"/>
    <w:rsid w:val="707A7F2B"/>
    <w:rsid w:val="70E73632"/>
    <w:rsid w:val="71748401"/>
    <w:rsid w:val="71E95515"/>
    <w:rsid w:val="71F84C39"/>
    <w:rsid w:val="72CBC352"/>
    <w:rsid w:val="72F2ABB0"/>
    <w:rsid w:val="731D18A4"/>
    <w:rsid w:val="7322851F"/>
    <w:rsid w:val="736EE70C"/>
    <w:rsid w:val="7377BB69"/>
    <w:rsid w:val="7397362B"/>
    <w:rsid w:val="742CF533"/>
    <w:rsid w:val="7448B9C0"/>
    <w:rsid w:val="74D6ACAF"/>
    <w:rsid w:val="754120CF"/>
    <w:rsid w:val="755DBE53"/>
    <w:rsid w:val="7567F663"/>
    <w:rsid w:val="7572251D"/>
    <w:rsid w:val="763EB5E5"/>
    <w:rsid w:val="76529207"/>
    <w:rsid w:val="768C6066"/>
    <w:rsid w:val="76A4FCAA"/>
    <w:rsid w:val="7728C3DB"/>
    <w:rsid w:val="7762A86A"/>
    <w:rsid w:val="779E90AF"/>
    <w:rsid w:val="77A89F72"/>
    <w:rsid w:val="77CC98A3"/>
    <w:rsid w:val="7803DE71"/>
    <w:rsid w:val="78736007"/>
    <w:rsid w:val="788C7B30"/>
    <w:rsid w:val="7897C2E9"/>
    <w:rsid w:val="78AA92CE"/>
    <w:rsid w:val="79124018"/>
    <w:rsid w:val="79EC5765"/>
    <w:rsid w:val="7A1F1985"/>
    <w:rsid w:val="7A219BC6"/>
    <w:rsid w:val="7A60E2BC"/>
    <w:rsid w:val="7B2636D5"/>
    <w:rsid w:val="7B5B8811"/>
    <w:rsid w:val="7CADFC93"/>
    <w:rsid w:val="7CB26045"/>
    <w:rsid w:val="7CBAD7C5"/>
    <w:rsid w:val="7CE5A37E"/>
    <w:rsid w:val="7D033C51"/>
    <w:rsid w:val="7D1309FC"/>
    <w:rsid w:val="7D13677E"/>
    <w:rsid w:val="7D1698CD"/>
    <w:rsid w:val="7D73BB0D"/>
    <w:rsid w:val="7E056C09"/>
    <w:rsid w:val="7E90CEEA"/>
    <w:rsid w:val="7ECA3436"/>
    <w:rsid w:val="7F701592"/>
    <w:rsid w:val="7F7701CA"/>
    <w:rsid w:val="7F9E9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A5032D0"/>
  <w15:docId w15:val="{6CC944DB-C6A3-42E8-B899-A4773DC16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618B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C1618B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C1618B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link w:val="Heading3Char"/>
    <w:uiPriority w:val="9"/>
    <w:qFormat/>
    <w:rsid w:val="00C1618B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qFormat/>
    <w:rsid w:val="00C1618B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paragraph" w:styleId="Heading5">
    <w:name w:val="heading 5"/>
    <w:basedOn w:val="Normal"/>
    <w:link w:val="Heading5Char"/>
    <w:uiPriority w:val="9"/>
    <w:qFormat/>
    <w:rsid w:val="00E82AC4"/>
    <w:pPr>
      <w:spacing w:before="100" w:beforeAutospacing="1" w:after="100" w:afterAutospacing="1"/>
      <w:outlineLvl w:val="4"/>
    </w:pPr>
    <w:rPr>
      <w:b/>
      <w:bCs/>
      <w:sz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C1618B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C1618B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C1618B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C1618B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C1618B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C1618B"/>
    <w:pPr>
      <w:spacing w:before="180" w:after="60"/>
      <w:jc w:val="both"/>
    </w:pPr>
  </w:style>
  <w:style w:type="paragraph" w:customStyle="1" w:styleId="CoverActName">
    <w:name w:val="CoverActName"/>
    <w:basedOn w:val="Normal"/>
    <w:rsid w:val="00C1618B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C1618B"/>
    <w:pPr>
      <w:tabs>
        <w:tab w:val="left" w:pos="2880"/>
      </w:tabs>
    </w:pPr>
  </w:style>
  <w:style w:type="paragraph" w:customStyle="1" w:styleId="Apara">
    <w:name w:val="A para"/>
    <w:basedOn w:val="Normal"/>
    <w:rsid w:val="00C1618B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C1618B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C1618B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C1618B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C1618B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C1618B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C1618B"/>
  </w:style>
  <w:style w:type="paragraph" w:customStyle="1" w:styleId="CoverInForce">
    <w:name w:val="CoverInForce"/>
    <w:basedOn w:val="Normal"/>
    <w:rsid w:val="00C1618B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C1618B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C1618B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C1618B"/>
  </w:style>
  <w:style w:type="paragraph" w:customStyle="1" w:styleId="Aparabullet">
    <w:name w:val="A para bullet"/>
    <w:basedOn w:val="Normal"/>
    <w:rsid w:val="00C1618B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C1618B"/>
  </w:style>
  <w:style w:type="paragraph" w:styleId="TOC2">
    <w:name w:val="toc 2"/>
    <w:basedOn w:val="Normal"/>
    <w:next w:val="Normal"/>
    <w:autoRedefine/>
    <w:semiHidden/>
    <w:rsid w:val="00C1618B"/>
    <w:pPr>
      <w:ind w:left="240"/>
    </w:pPr>
  </w:style>
  <w:style w:type="paragraph" w:styleId="TOC3">
    <w:name w:val="toc 3"/>
    <w:basedOn w:val="Normal"/>
    <w:next w:val="Normal"/>
    <w:autoRedefine/>
    <w:semiHidden/>
    <w:rsid w:val="00C1618B"/>
    <w:pPr>
      <w:ind w:left="480"/>
    </w:pPr>
  </w:style>
  <w:style w:type="paragraph" w:styleId="TOC4">
    <w:name w:val="toc 4"/>
    <w:basedOn w:val="Normal"/>
    <w:next w:val="Normal"/>
    <w:autoRedefine/>
    <w:semiHidden/>
    <w:rsid w:val="00C1618B"/>
    <w:pPr>
      <w:ind w:left="720"/>
    </w:pPr>
  </w:style>
  <w:style w:type="paragraph" w:styleId="TOC5">
    <w:name w:val="toc 5"/>
    <w:basedOn w:val="Normal"/>
    <w:next w:val="Normal"/>
    <w:autoRedefine/>
    <w:semiHidden/>
    <w:rsid w:val="00C1618B"/>
    <w:pPr>
      <w:ind w:left="960"/>
    </w:pPr>
  </w:style>
  <w:style w:type="paragraph" w:styleId="TOC6">
    <w:name w:val="toc 6"/>
    <w:basedOn w:val="Normal"/>
    <w:next w:val="Normal"/>
    <w:autoRedefine/>
    <w:semiHidden/>
    <w:rsid w:val="00C1618B"/>
    <w:pPr>
      <w:ind w:left="1200"/>
    </w:pPr>
  </w:style>
  <w:style w:type="paragraph" w:styleId="TOC7">
    <w:name w:val="toc 7"/>
    <w:basedOn w:val="Normal"/>
    <w:next w:val="Normal"/>
    <w:autoRedefine/>
    <w:semiHidden/>
    <w:rsid w:val="00C1618B"/>
    <w:pPr>
      <w:ind w:left="1440"/>
    </w:pPr>
  </w:style>
  <w:style w:type="paragraph" w:styleId="TOC8">
    <w:name w:val="toc 8"/>
    <w:basedOn w:val="Normal"/>
    <w:next w:val="Normal"/>
    <w:autoRedefine/>
    <w:semiHidden/>
    <w:rsid w:val="00C1618B"/>
    <w:pPr>
      <w:ind w:left="1680"/>
    </w:pPr>
  </w:style>
  <w:style w:type="paragraph" w:styleId="TOC9">
    <w:name w:val="toc 9"/>
    <w:basedOn w:val="Normal"/>
    <w:next w:val="Normal"/>
    <w:autoRedefine/>
    <w:semiHidden/>
    <w:rsid w:val="00C1618B"/>
    <w:pPr>
      <w:ind w:left="1920"/>
    </w:pPr>
  </w:style>
  <w:style w:type="character" w:styleId="Hyperlink">
    <w:name w:val="Hyperlink"/>
    <w:basedOn w:val="DefaultParagraphFont"/>
    <w:semiHidden/>
    <w:rsid w:val="00C1618B"/>
    <w:rPr>
      <w:color w:val="0000FF"/>
      <w:u w:val="single"/>
    </w:rPr>
  </w:style>
  <w:style w:type="paragraph" w:styleId="BodyTextIndent">
    <w:name w:val="Body Text Indent"/>
    <w:basedOn w:val="Normal"/>
    <w:semiHidden/>
    <w:rsid w:val="00C1618B"/>
    <w:pPr>
      <w:spacing w:before="120" w:after="60"/>
      <w:ind w:left="709"/>
    </w:pPr>
  </w:style>
  <w:style w:type="paragraph" w:customStyle="1" w:styleId="Minister">
    <w:name w:val="Minister"/>
    <w:basedOn w:val="Normal"/>
    <w:rsid w:val="00C1618B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C1618B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C1618B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C1618B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C1618B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C1618B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C1618B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C1618B"/>
  </w:style>
  <w:style w:type="character" w:styleId="UnresolvedMention">
    <w:name w:val="Unresolved Mention"/>
    <w:basedOn w:val="DefaultParagraphFont"/>
    <w:uiPriority w:val="99"/>
    <w:semiHidden/>
    <w:unhideWhenUsed/>
    <w:rsid w:val="00415122"/>
    <w:rPr>
      <w:color w:val="605E5C"/>
      <w:shd w:val="clear" w:color="auto" w:fill="E1DFDD"/>
    </w:rPr>
  </w:style>
  <w:style w:type="paragraph" w:customStyle="1" w:styleId="CS-Paragraphnumbering">
    <w:name w:val="CS - Paragraph numbering"/>
    <w:basedOn w:val="Normal"/>
    <w:rsid w:val="00415545"/>
    <w:pPr>
      <w:numPr>
        <w:numId w:val="10"/>
      </w:numPr>
      <w:spacing w:after="120" w:line="276" w:lineRule="auto"/>
      <w:ind w:right="-45"/>
    </w:pPr>
    <w:rPr>
      <w:rFonts w:asciiTheme="minorHAnsi" w:eastAsiaTheme="minorHAnsi" w:hAnsiTheme="minorHAnsi" w:cstheme="minorBidi"/>
      <w:szCs w:val="24"/>
    </w:rPr>
  </w:style>
  <w:style w:type="paragraph" w:styleId="ListParagraph">
    <w:name w:val="List Paragraph"/>
    <w:basedOn w:val="Normal"/>
    <w:uiPriority w:val="34"/>
    <w:qFormat/>
    <w:rsid w:val="00415545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rsid w:val="00E82AC4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E82AC4"/>
    <w:rPr>
      <w:rFonts w:ascii="Arial" w:hAnsi="Arial" w:cs="Arial"/>
      <w:i/>
      <w:iCs/>
      <w:sz w:val="16"/>
      <w:szCs w:val="1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E82AC4"/>
    <w:rPr>
      <w:i/>
      <w:iCs/>
      <w:sz w:val="22"/>
      <w:szCs w:val="22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E82AC4"/>
    <w:rPr>
      <w:i/>
      <w:iCs/>
      <w:sz w:val="22"/>
      <w:szCs w:val="22"/>
      <w:lang w:eastAsia="en-US"/>
    </w:rPr>
  </w:style>
  <w:style w:type="paragraph" w:customStyle="1" w:styleId="msonormal0">
    <w:name w:val="msonormal"/>
    <w:basedOn w:val="Normal"/>
    <w:rsid w:val="00E82AC4"/>
    <w:pPr>
      <w:spacing w:before="100" w:beforeAutospacing="1" w:after="100" w:afterAutospacing="1"/>
    </w:pPr>
    <w:rPr>
      <w:szCs w:val="24"/>
      <w:lang w:eastAsia="en-AU"/>
    </w:rPr>
  </w:style>
  <w:style w:type="paragraph" w:customStyle="1" w:styleId="bodytext">
    <w:name w:val="bodytext"/>
    <w:basedOn w:val="Normal"/>
    <w:rsid w:val="00E82AC4"/>
    <w:pPr>
      <w:spacing w:before="100" w:beforeAutospacing="1" w:after="100" w:afterAutospacing="1"/>
    </w:pPr>
    <w:rPr>
      <w:szCs w:val="24"/>
      <w:lang w:eastAsia="en-AU"/>
    </w:rPr>
  </w:style>
  <w:style w:type="paragraph" w:customStyle="1" w:styleId="listparagraph0">
    <w:name w:val="listparagraph"/>
    <w:basedOn w:val="Normal"/>
    <w:rsid w:val="00E82AC4"/>
    <w:pPr>
      <w:spacing w:before="100" w:beforeAutospacing="1" w:after="100" w:afterAutospacing="1"/>
    </w:pPr>
    <w:rPr>
      <w:szCs w:val="24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E82AC4"/>
    <w:pPr>
      <w:spacing w:before="100" w:beforeAutospacing="1" w:after="100" w:afterAutospacing="1"/>
    </w:pPr>
    <w:rPr>
      <w:szCs w:val="24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127B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27BC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27BC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7B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7BC3"/>
    <w:rPr>
      <w:b/>
      <w:bCs/>
      <w:lang w:eastAsia="en-US"/>
    </w:rPr>
  </w:style>
  <w:style w:type="paragraph" w:styleId="Revision">
    <w:name w:val="Revision"/>
    <w:hidden/>
    <w:uiPriority w:val="99"/>
    <w:semiHidden/>
    <w:rsid w:val="0072097E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1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5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1BC4F2-41F7-45D4-A6C4-030F065A1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3033</Words>
  <Characters>16202</Characters>
  <Application>Microsoft Office Word</Application>
  <DocSecurity>0</DocSecurity>
  <Lines>347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19214</CharactersWithSpaces>
  <SharedDoc>false</SharedDoc>
  <HLinks>
    <vt:vector size="12" baseType="variant">
      <vt:variant>
        <vt:i4>2752537</vt:i4>
      </vt:variant>
      <vt:variant>
        <vt:i4>3</vt:i4>
      </vt:variant>
      <vt:variant>
        <vt:i4>0</vt:i4>
      </vt:variant>
      <vt:variant>
        <vt:i4>5</vt:i4>
      </vt:variant>
      <vt:variant>
        <vt:lpwstr>mailto:Taryn.Morrison@act.gov.au</vt:lpwstr>
      </vt:variant>
      <vt:variant>
        <vt:lpwstr/>
      </vt:variant>
      <vt:variant>
        <vt:i4>1638457</vt:i4>
      </vt:variant>
      <vt:variant>
        <vt:i4>0</vt:i4>
      </vt:variant>
      <vt:variant>
        <vt:i4>0</vt:i4>
      </vt:variant>
      <vt:variant>
        <vt:i4>5</vt:i4>
      </vt:variant>
      <vt:variant>
        <vt:lpwstr>mailto:Anne.Macduff@act.gov.au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2</cp:keywords>
  <dc:description/>
  <cp:lastModifiedBy>PCODCS</cp:lastModifiedBy>
  <cp:revision>4</cp:revision>
  <cp:lastPrinted>2006-04-01T16:28:00Z</cp:lastPrinted>
  <dcterms:created xsi:type="dcterms:W3CDTF">2025-07-03T05:28:00Z</dcterms:created>
  <dcterms:modified xsi:type="dcterms:W3CDTF">2025-07-03T05:28:00Z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2025-06-25T00:34:36Z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2411001f-45da-4318-bd2b-265e4335c33a</vt:lpwstr>
  </property>
  <property fmtid="{D5CDD505-2E9C-101B-9397-08002B2CF9AE}" pid="8" name="MSIP_Label_69af8531-eb46-4968-8cb3-105d2f5ea87e_ContentBits">
    <vt:lpwstr>0</vt:lpwstr>
  </property>
  <property fmtid="{D5CDD505-2E9C-101B-9397-08002B2CF9AE}" pid="9" name="MSIP_Label_69af8531-eb46-4968-8cb3-105d2f5ea87e_Tag">
    <vt:lpwstr>10, 3, 0, 1</vt:lpwstr>
  </property>
  <property fmtid="{D5CDD505-2E9C-101B-9397-08002B2CF9AE}" pid="10" name="CHECKEDOUTFROMJMS">
    <vt:lpwstr/>
  </property>
  <property fmtid="{D5CDD505-2E9C-101B-9397-08002B2CF9AE}" pid="11" name="DMSID">
    <vt:lpwstr>14364978</vt:lpwstr>
  </property>
  <property fmtid="{D5CDD505-2E9C-101B-9397-08002B2CF9AE}" pid="12" name="JMSREQUIREDCHECKIN">
    <vt:lpwstr/>
  </property>
</Properties>
</file>