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10ACB" w14:textId="34155B49" w:rsidR="006A5F06" w:rsidRPr="00256E45" w:rsidRDefault="006A5F06" w:rsidP="006A5F06">
      <w:pPr>
        <w:autoSpaceDE w:val="0"/>
        <w:autoSpaceDN w:val="0"/>
        <w:adjustRightInd w:val="0"/>
        <w:jc w:val="center"/>
        <w:rPr>
          <w:rFonts w:cs="Arial"/>
          <w:b/>
          <w:bCs/>
          <w:szCs w:val="24"/>
        </w:rPr>
      </w:pPr>
      <w:r w:rsidRPr="00256E45">
        <w:rPr>
          <w:rFonts w:cs="Arial"/>
          <w:b/>
          <w:bCs/>
          <w:szCs w:val="24"/>
        </w:rPr>
        <w:t>20</w:t>
      </w:r>
      <w:r w:rsidR="00D71116" w:rsidRPr="00256E45">
        <w:rPr>
          <w:rFonts w:cs="Arial"/>
          <w:b/>
          <w:bCs/>
          <w:szCs w:val="24"/>
        </w:rPr>
        <w:t>2</w:t>
      </w:r>
      <w:r w:rsidR="00D918E8" w:rsidRPr="00256E45">
        <w:rPr>
          <w:rFonts w:cs="Arial"/>
          <w:b/>
          <w:bCs/>
          <w:szCs w:val="24"/>
        </w:rPr>
        <w:t>5</w:t>
      </w:r>
    </w:p>
    <w:p w14:paraId="4997D30E" w14:textId="77777777" w:rsidR="006A5F06" w:rsidRPr="00256E45" w:rsidRDefault="006A5F06" w:rsidP="006A5F06">
      <w:pPr>
        <w:autoSpaceDE w:val="0"/>
        <w:autoSpaceDN w:val="0"/>
        <w:adjustRightInd w:val="0"/>
        <w:jc w:val="center"/>
        <w:rPr>
          <w:rFonts w:cs="Arial"/>
          <w:b/>
          <w:bCs/>
          <w:szCs w:val="24"/>
        </w:rPr>
      </w:pPr>
    </w:p>
    <w:p w14:paraId="60889A99" w14:textId="77777777" w:rsidR="006A5F06" w:rsidRPr="00256E45" w:rsidRDefault="006A5F06" w:rsidP="006A5F06">
      <w:pPr>
        <w:autoSpaceDE w:val="0"/>
        <w:autoSpaceDN w:val="0"/>
        <w:adjustRightInd w:val="0"/>
        <w:jc w:val="center"/>
        <w:rPr>
          <w:rFonts w:cs="Arial"/>
          <w:b/>
          <w:bCs/>
          <w:szCs w:val="24"/>
        </w:rPr>
      </w:pPr>
    </w:p>
    <w:p w14:paraId="739FC99A" w14:textId="77777777" w:rsidR="006A5F06" w:rsidRPr="00256E45" w:rsidRDefault="006A5F06" w:rsidP="006A5F06">
      <w:pPr>
        <w:autoSpaceDE w:val="0"/>
        <w:autoSpaceDN w:val="0"/>
        <w:adjustRightInd w:val="0"/>
        <w:jc w:val="center"/>
        <w:rPr>
          <w:rFonts w:cs="Arial"/>
          <w:b/>
          <w:bCs/>
          <w:szCs w:val="24"/>
        </w:rPr>
      </w:pPr>
    </w:p>
    <w:p w14:paraId="540619F9" w14:textId="77777777" w:rsidR="006A5F06" w:rsidRPr="00256E45" w:rsidRDefault="006A5F06" w:rsidP="006A5F06">
      <w:pPr>
        <w:autoSpaceDE w:val="0"/>
        <w:autoSpaceDN w:val="0"/>
        <w:adjustRightInd w:val="0"/>
        <w:jc w:val="center"/>
        <w:rPr>
          <w:rFonts w:cs="Arial"/>
          <w:b/>
          <w:bCs/>
          <w:szCs w:val="24"/>
        </w:rPr>
      </w:pPr>
    </w:p>
    <w:p w14:paraId="091F3735" w14:textId="77777777" w:rsidR="006A5F06" w:rsidRPr="00256E45" w:rsidRDefault="006A5F06" w:rsidP="006A5F06">
      <w:pPr>
        <w:jc w:val="center"/>
        <w:rPr>
          <w:rFonts w:cs="Arial"/>
          <w:b/>
          <w:bCs/>
          <w:szCs w:val="24"/>
        </w:rPr>
      </w:pPr>
      <w:r w:rsidRPr="00256E45">
        <w:rPr>
          <w:rFonts w:cs="Arial"/>
          <w:b/>
          <w:bCs/>
          <w:szCs w:val="24"/>
        </w:rPr>
        <w:t>THE LEGISLATIVE ASSEMBLY FOR THE</w:t>
      </w:r>
    </w:p>
    <w:p w14:paraId="0D95A640" w14:textId="77777777" w:rsidR="006A5F06" w:rsidRPr="00256E45" w:rsidRDefault="006A5F06" w:rsidP="006A5F06">
      <w:pPr>
        <w:jc w:val="center"/>
        <w:rPr>
          <w:rFonts w:cs="Arial"/>
          <w:b/>
          <w:bCs/>
          <w:szCs w:val="24"/>
        </w:rPr>
      </w:pPr>
    </w:p>
    <w:p w14:paraId="4117AF5B" w14:textId="77777777" w:rsidR="006A5F06" w:rsidRPr="00256E45" w:rsidRDefault="006A5F06" w:rsidP="006A5F06">
      <w:pPr>
        <w:autoSpaceDE w:val="0"/>
        <w:autoSpaceDN w:val="0"/>
        <w:adjustRightInd w:val="0"/>
        <w:jc w:val="center"/>
        <w:rPr>
          <w:rFonts w:cs="Arial"/>
          <w:b/>
          <w:bCs/>
          <w:szCs w:val="24"/>
        </w:rPr>
      </w:pPr>
      <w:r w:rsidRPr="00256E45">
        <w:rPr>
          <w:rFonts w:cs="Arial"/>
          <w:b/>
          <w:bCs/>
          <w:szCs w:val="24"/>
        </w:rPr>
        <w:t>AUSTRALIAN CAPITAL TERRITORY</w:t>
      </w:r>
    </w:p>
    <w:p w14:paraId="44AF0230" w14:textId="77777777" w:rsidR="006A5F06" w:rsidRPr="00256E45" w:rsidRDefault="006A5F06" w:rsidP="006A5F06">
      <w:pPr>
        <w:autoSpaceDE w:val="0"/>
        <w:autoSpaceDN w:val="0"/>
        <w:adjustRightInd w:val="0"/>
        <w:jc w:val="center"/>
        <w:rPr>
          <w:rFonts w:cs="Arial"/>
          <w:b/>
          <w:bCs/>
          <w:szCs w:val="24"/>
        </w:rPr>
      </w:pPr>
    </w:p>
    <w:p w14:paraId="08F3B3E6" w14:textId="77777777" w:rsidR="006A5F06" w:rsidRPr="00256E45" w:rsidRDefault="006A5F06" w:rsidP="006A5F06">
      <w:pPr>
        <w:autoSpaceDE w:val="0"/>
        <w:autoSpaceDN w:val="0"/>
        <w:adjustRightInd w:val="0"/>
        <w:jc w:val="center"/>
        <w:rPr>
          <w:rFonts w:cs="Arial"/>
          <w:b/>
          <w:bCs/>
          <w:szCs w:val="24"/>
        </w:rPr>
      </w:pPr>
    </w:p>
    <w:p w14:paraId="08492479" w14:textId="77777777" w:rsidR="006A5F06" w:rsidRPr="00256E45" w:rsidRDefault="006A5F06" w:rsidP="006A5F06">
      <w:pPr>
        <w:autoSpaceDE w:val="0"/>
        <w:autoSpaceDN w:val="0"/>
        <w:adjustRightInd w:val="0"/>
        <w:jc w:val="center"/>
        <w:rPr>
          <w:rFonts w:cs="Arial"/>
          <w:b/>
          <w:bCs/>
          <w:szCs w:val="24"/>
        </w:rPr>
      </w:pPr>
    </w:p>
    <w:p w14:paraId="7908E5FC" w14:textId="77777777" w:rsidR="006A5F06" w:rsidRPr="00256E45" w:rsidRDefault="006A5F06" w:rsidP="006A5F06">
      <w:pPr>
        <w:autoSpaceDE w:val="0"/>
        <w:autoSpaceDN w:val="0"/>
        <w:adjustRightInd w:val="0"/>
        <w:rPr>
          <w:rFonts w:cs="Arial"/>
          <w:b/>
          <w:bCs/>
          <w:szCs w:val="24"/>
        </w:rPr>
      </w:pPr>
    </w:p>
    <w:p w14:paraId="656BDEF1" w14:textId="77777777" w:rsidR="006A5F06" w:rsidRPr="00256E45" w:rsidRDefault="006A5F06" w:rsidP="006A5F06">
      <w:pPr>
        <w:autoSpaceDE w:val="0"/>
        <w:autoSpaceDN w:val="0"/>
        <w:adjustRightInd w:val="0"/>
        <w:rPr>
          <w:rFonts w:cs="Arial"/>
          <w:b/>
          <w:bCs/>
          <w:szCs w:val="24"/>
        </w:rPr>
      </w:pPr>
    </w:p>
    <w:p w14:paraId="7654C10D" w14:textId="77777777" w:rsidR="006A5F06" w:rsidRPr="00256E45" w:rsidRDefault="006A5F06" w:rsidP="006A5F06">
      <w:pPr>
        <w:autoSpaceDE w:val="0"/>
        <w:autoSpaceDN w:val="0"/>
        <w:adjustRightInd w:val="0"/>
        <w:rPr>
          <w:rFonts w:cs="Arial"/>
          <w:b/>
          <w:bCs/>
          <w:szCs w:val="24"/>
        </w:rPr>
      </w:pPr>
    </w:p>
    <w:p w14:paraId="2C7F1971" w14:textId="6C3B0441" w:rsidR="006A5F06" w:rsidRPr="00256E45" w:rsidRDefault="00D918E8" w:rsidP="006A5F06">
      <w:pPr>
        <w:autoSpaceDE w:val="0"/>
        <w:autoSpaceDN w:val="0"/>
        <w:adjustRightInd w:val="0"/>
        <w:spacing w:after="240" w:line="276" w:lineRule="auto"/>
        <w:jc w:val="center"/>
        <w:rPr>
          <w:rFonts w:cs="Arial"/>
          <w:b/>
          <w:bCs/>
          <w:szCs w:val="24"/>
        </w:rPr>
      </w:pPr>
      <w:r w:rsidRPr="00256E45">
        <w:rPr>
          <w:rFonts w:cs="Arial"/>
          <w:b/>
          <w:bCs/>
          <w:szCs w:val="24"/>
        </w:rPr>
        <w:t>PERSONAL VIOLENCE</w:t>
      </w:r>
      <w:r w:rsidR="006A5F06" w:rsidRPr="00256E45">
        <w:rPr>
          <w:rFonts w:cs="Arial"/>
          <w:b/>
          <w:bCs/>
          <w:szCs w:val="24"/>
        </w:rPr>
        <w:t xml:space="preserve"> </w:t>
      </w:r>
      <w:r w:rsidR="003A19A6" w:rsidRPr="00256E45">
        <w:rPr>
          <w:rFonts w:cs="Arial"/>
          <w:b/>
          <w:bCs/>
          <w:szCs w:val="24"/>
        </w:rPr>
        <w:t>(</w:t>
      </w:r>
      <w:r w:rsidRPr="00256E45">
        <w:rPr>
          <w:rFonts w:cs="Arial"/>
          <w:b/>
          <w:bCs/>
          <w:szCs w:val="24"/>
        </w:rPr>
        <w:t>TRANSITIONAL PROVISIONS</w:t>
      </w:r>
      <w:r w:rsidR="003A19A6" w:rsidRPr="00256E45">
        <w:rPr>
          <w:rFonts w:cs="Arial"/>
          <w:b/>
          <w:bCs/>
          <w:szCs w:val="24"/>
        </w:rPr>
        <w:t>)</w:t>
      </w:r>
      <w:r w:rsidR="006A5F06" w:rsidRPr="00256E45">
        <w:rPr>
          <w:rFonts w:cs="Arial"/>
          <w:b/>
          <w:bCs/>
          <w:szCs w:val="24"/>
        </w:rPr>
        <w:t xml:space="preserve"> </w:t>
      </w:r>
    </w:p>
    <w:p w14:paraId="22FFD87F" w14:textId="35FC8622" w:rsidR="006A5F06" w:rsidRPr="00256E45" w:rsidRDefault="006A5F06" w:rsidP="006A5F06">
      <w:pPr>
        <w:autoSpaceDE w:val="0"/>
        <w:autoSpaceDN w:val="0"/>
        <w:adjustRightInd w:val="0"/>
        <w:spacing w:after="240" w:line="276" w:lineRule="auto"/>
        <w:jc w:val="center"/>
        <w:rPr>
          <w:rFonts w:cs="Arial"/>
          <w:b/>
          <w:bCs/>
          <w:szCs w:val="24"/>
        </w:rPr>
      </w:pPr>
      <w:r w:rsidRPr="00256E45">
        <w:rPr>
          <w:rFonts w:cs="Arial"/>
          <w:b/>
          <w:bCs/>
          <w:szCs w:val="24"/>
        </w:rPr>
        <w:t>REGULATION 20</w:t>
      </w:r>
      <w:r w:rsidR="00D71116" w:rsidRPr="00256E45">
        <w:rPr>
          <w:rFonts w:cs="Arial"/>
          <w:b/>
          <w:bCs/>
          <w:szCs w:val="24"/>
        </w:rPr>
        <w:t>2</w:t>
      </w:r>
      <w:r w:rsidR="00D918E8" w:rsidRPr="00256E45">
        <w:rPr>
          <w:rFonts w:cs="Arial"/>
          <w:b/>
          <w:bCs/>
          <w:szCs w:val="24"/>
        </w:rPr>
        <w:t>5</w:t>
      </w:r>
    </w:p>
    <w:p w14:paraId="4C214ED0" w14:textId="1AC8F934" w:rsidR="006A5F06" w:rsidRPr="00256E45" w:rsidRDefault="003020EE" w:rsidP="006A5F06">
      <w:pPr>
        <w:autoSpaceDE w:val="0"/>
        <w:autoSpaceDN w:val="0"/>
        <w:adjustRightInd w:val="0"/>
        <w:spacing w:after="240" w:line="276" w:lineRule="auto"/>
        <w:jc w:val="center"/>
        <w:rPr>
          <w:rFonts w:cs="Arial"/>
          <w:b/>
          <w:bCs/>
          <w:szCs w:val="24"/>
        </w:rPr>
      </w:pPr>
      <w:r w:rsidRPr="00256E45">
        <w:rPr>
          <w:rFonts w:cs="Arial"/>
          <w:b/>
          <w:bCs/>
          <w:szCs w:val="24"/>
        </w:rPr>
        <w:t>SL202</w:t>
      </w:r>
      <w:r w:rsidR="00D918E8" w:rsidRPr="00256E45">
        <w:rPr>
          <w:rFonts w:cs="Arial"/>
          <w:b/>
          <w:bCs/>
          <w:szCs w:val="24"/>
        </w:rPr>
        <w:t>5</w:t>
      </w:r>
      <w:r w:rsidRPr="00256E45">
        <w:rPr>
          <w:rFonts w:cs="Arial"/>
          <w:b/>
          <w:bCs/>
          <w:szCs w:val="24"/>
        </w:rPr>
        <w:t>-</w:t>
      </w:r>
      <w:r w:rsidR="00D27154" w:rsidRPr="00256E45">
        <w:rPr>
          <w:rFonts w:cs="Arial"/>
          <w:b/>
          <w:bCs/>
          <w:szCs w:val="24"/>
        </w:rPr>
        <w:t>12</w:t>
      </w:r>
    </w:p>
    <w:p w14:paraId="34D950C3" w14:textId="77777777" w:rsidR="006A5F06" w:rsidRPr="00256E45" w:rsidRDefault="006A5F06" w:rsidP="006A5F06">
      <w:pPr>
        <w:autoSpaceDE w:val="0"/>
        <w:autoSpaceDN w:val="0"/>
        <w:adjustRightInd w:val="0"/>
        <w:spacing w:after="240" w:line="276" w:lineRule="auto"/>
        <w:jc w:val="center"/>
        <w:rPr>
          <w:rFonts w:cs="Arial"/>
          <w:b/>
          <w:bCs/>
          <w:szCs w:val="24"/>
        </w:rPr>
      </w:pPr>
    </w:p>
    <w:p w14:paraId="0FFC2275" w14:textId="77777777" w:rsidR="006A5F06" w:rsidRPr="00256E45" w:rsidRDefault="006A5F06" w:rsidP="006A5F06">
      <w:pPr>
        <w:autoSpaceDE w:val="0"/>
        <w:autoSpaceDN w:val="0"/>
        <w:adjustRightInd w:val="0"/>
        <w:spacing w:after="240" w:line="276" w:lineRule="auto"/>
        <w:jc w:val="center"/>
        <w:rPr>
          <w:rFonts w:cs="Arial"/>
          <w:b/>
          <w:bCs/>
          <w:szCs w:val="24"/>
        </w:rPr>
      </w:pPr>
    </w:p>
    <w:p w14:paraId="56C29F45" w14:textId="77777777" w:rsidR="006A5F06" w:rsidRPr="00256E45" w:rsidRDefault="006A5F06" w:rsidP="006A5F06">
      <w:pPr>
        <w:autoSpaceDE w:val="0"/>
        <w:autoSpaceDN w:val="0"/>
        <w:adjustRightInd w:val="0"/>
        <w:spacing w:after="240" w:line="276" w:lineRule="auto"/>
        <w:jc w:val="center"/>
        <w:rPr>
          <w:rFonts w:cs="Arial"/>
          <w:b/>
          <w:bCs/>
          <w:szCs w:val="24"/>
        </w:rPr>
      </w:pPr>
    </w:p>
    <w:p w14:paraId="0364FFD3" w14:textId="023EE6CE" w:rsidR="006A5F06" w:rsidRPr="00256E45" w:rsidRDefault="00266EEA" w:rsidP="006A5F06">
      <w:pPr>
        <w:autoSpaceDE w:val="0"/>
        <w:autoSpaceDN w:val="0"/>
        <w:adjustRightInd w:val="0"/>
        <w:spacing w:after="240" w:line="276" w:lineRule="auto"/>
        <w:jc w:val="center"/>
        <w:rPr>
          <w:rFonts w:cs="Arial"/>
          <w:b/>
          <w:bCs/>
          <w:szCs w:val="24"/>
        </w:rPr>
      </w:pPr>
      <w:r w:rsidRPr="00256E45">
        <w:rPr>
          <w:rFonts w:cs="Arial"/>
          <w:b/>
          <w:bCs/>
          <w:szCs w:val="24"/>
        </w:rPr>
        <w:t xml:space="preserve">REVISED </w:t>
      </w:r>
      <w:r w:rsidR="006A5F06" w:rsidRPr="00256E45">
        <w:rPr>
          <w:rFonts w:cs="Arial"/>
          <w:b/>
          <w:bCs/>
          <w:szCs w:val="24"/>
        </w:rPr>
        <w:t>EXPLANATORY STATEMENT</w:t>
      </w:r>
    </w:p>
    <w:p w14:paraId="54B6E864" w14:textId="77777777" w:rsidR="006A5F06" w:rsidRPr="00256E45" w:rsidRDefault="006A5F06" w:rsidP="006A5F06">
      <w:pPr>
        <w:autoSpaceDE w:val="0"/>
        <w:autoSpaceDN w:val="0"/>
        <w:adjustRightInd w:val="0"/>
        <w:spacing w:after="240" w:line="276" w:lineRule="auto"/>
        <w:jc w:val="center"/>
        <w:rPr>
          <w:rFonts w:cs="Arial"/>
          <w:b/>
          <w:bCs/>
          <w:szCs w:val="24"/>
        </w:rPr>
      </w:pPr>
    </w:p>
    <w:p w14:paraId="07FE1AA6" w14:textId="77777777" w:rsidR="006A5F06" w:rsidRPr="00256E45" w:rsidRDefault="006A5F06" w:rsidP="006A5F06">
      <w:pPr>
        <w:autoSpaceDE w:val="0"/>
        <w:autoSpaceDN w:val="0"/>
        <w:adjustRightInd w:val="0"/>
        <w:spacing w:after="240" w:line="276" w:lineRule="auto"/>
        <w:jc w:val="center"/>
        <w:rPr>
          <w:rFonts w:cs="Arial"/>
          <w:b/>
          <w:bCs/>
          <w:szCs w:val="24"/>
        </w:rPr>
      </w:pPr>
    </w:p>
    <w:p w14:paraId="3A510F5F" w14:textId="77777777" w:rsidR="006A5F06" w:rsidRPr="00256E45" w:rsidRDefault="006A5F06" w:rsidP="006A5F06">
      <w:pPr>
        <w:autoSpaceDE w:val="0"/>
        <w:autoSpaceDN w:val="0"/>
        <w:adjustRightInd w:val="0"/>
        <w:jc w:val="center"/>
        <w:rPr>
          <w:rFonts w:cs="Arial"/>
          <w:b/>
          <w:bCs/>
          <w:szCs w:val="24"/>
        </w:rPr>
      </w:pPr>
    </w:p>
    <w:p w14:paraId="52C78AC6" w14:textId="77777777" w:rsidR="006A5F06" w:rsidRPr="00256E45" w:rsidRDefault="006A5F06" w:rsidP="006A5F06">
      <w:pPr>
        <w:autoSpaceDE w:val="0"/>
        <w:autoSpaceDN w:val="0"/>
        <w:adjustRightInd w:val="0"/>
        <w:jc w:val="center"/>
        <w:rPr>
          <w:rFonts w:cs="Arial"/>
          <w:b/>
          <w:bCs/>
          <w:szCs w:val="24"/>
        </w:rPr>
      </w:pPr>
    </w:p>
    <w:p w14:paraId="4C23B0E9" w14:textId="77777777" w:rsidR="006A5F06" w:rsidRPr="00256E45" w:rsidRDefault="006A5F06" w:rsidP="006A5F06">
      <w:pPr>
        <w:autoSpaceDE w:val="0"/>
        <w:autoSpaceDN w:val="0"/>
        <w:adjustRightInd w:val="0"/>
        <w:jc w:val="center"/>
        <w:rPr>
          <w:rFonts w:cs="Arial"/>
          <w:b/>
          <w:bCs/>
          <w:szCs w:val="24"/>
        </w:rPr>
      </w:pPr>
    </w:p>
    <w:p w14:paraId="1046B277" w14:textId="77777777" w:rsidR="006A5F06" w:rsidRPr="00256E45" w:rsidRDefault="006A5F06" w:rsidP="006A5F06">
      <w:pPr>
        <w:autoSpaceDE w:val="0"/>
        <w:autoSpaceDN w:val="0"/>
        <w:adjustRightInd w:val="0"/>
        <w:jc w:val="center"/>
        <w:rPr>
          <w:rFonts w:cs="Arial"/>
          <w:b/>
          <w:bCs/>
          <w:szCs w:val="24"/>
        </w:rPr>
      </w:pPr>
    </w:p>
    <w:p w14:paraId="03392E37" w14:textId="77777777" w:rsidR="006A5F06" w:rsidRPr="00256E45" w:rsidRDefault="006A5F06" w:rsidP="006A5F06">
      <w:pPr>
        <w:autoSpaceDE w:val="0"/>
        <w:autoSpaceDN w:val="0"/>
        <w:adjustRightInd w:val="0"/>
        <w:jc w:val="center"/>
        <w:rPr>
          <w:rFonts w:cs="Arial"/>
          <w:b/>
          <w:bCs/>
          <w:szCs w:val="24"/>
        </w:rPr>
      </w:pPr>
    </w:p>
    <w:p w14:paraId="43AEA32F" w14:textId="77777777" w:rsidR="006A5F06" w:rsidRPr="00256E45" w:rsidRDefault="006A5F06" w:rsidP="006A5F06">
      <w:pPr>
        <w:autoSpaceDE w:val="0"/>
        <w:autoSpaceDN w:val="0"/>
        <w:adjustRightInd w:val="0"/>
        <w:jc w:val="center"/>
        <w:rPr>
          <w:rFonts w:cs="Arial"/>
          <w:b/>
          <w:bCs/>
          <w:szCs w:val="24"/>
        </w:rPr>
      </w:pPr>
    </w:p>
    <w:p w14:paraId="1DB72C8D" w14:textId="77777777" w:rsidR="006A5F06" w:rsidRPr="00256E45" w:rsidRDefault="006A5F06" w:rsidP="006A5F06">
      <w:pPr>
        <w:autoSpaceDE w:val="0"/>
        <w:autoSpaceDN w:val="0"/>
        <w:adjustRightInd w:val="0"/>
        <w:jc w:val="center"/>
        <w:rPr>
          <w:rFonts w:cs="Arial"/>
          <w:b/>
          <w:bCs/>
          <w:szCs w:val="24"/>
        </w:rPr>
      </w:pPr>
    </w:p>
    <w:p w14:paraId="1734EBFA" w14:textId="77777777" w:rsidR="006A5F06" w:rsidRPr="00256E45" w:rsidRDefault="006A5F06" w:rsidP="006A5F06">
      <w:pPr>
        <w:autoSpaceDE w:val="0"/>
        <w:autoSpaceDN w:val="0"/>
        <w:adjustRightInd w:val="0"/>
        <w:jc w:val="center"/>
        <w:rPr>
          <w:rFonts w:cs="Arial"/>
          <w:b/>
          <w:bCs/>
          <w:szCs w:val="24"/>
        </w:rPr>
      </w:pPr>
    </w:p>
    <w:p w14:paraId="644D859F" w14:textId="77777777" w:rsidR="006A5F06" w:rsidRPr="00256E45" w:rsidRDefault="006A5F06" w:rsidP="006A5F06">
      <w:pPr>
        <w:autoSpaceDE w:val="0"/>
        <w:autoSpaceDN w:val="0"/>
        <w:adjustRightInd w:val="0"/>
        <w:jc w:val="center"/>
        <w:rPr>
          <w:rFonts w:cs="Arial"/>
          <w:b/>
          <w:bCs/>
          <w:szCs w:val="24"/>
        </w:rPr>
      </w:pPr>
    </w:p>
    <w:p w14:paraId="0D0C209F" w14:textId="77777777" w:rsidR="006A5F06" w:rsidRPr="00256E45" w:rsidRDefault="006A5F06" w:rsidP="006A5F06">
      <w:pPr>
        <w:autoSpaceDE w:val="0"/>
        <w:autoSpaceDN w:val="0"/>
        <w:adjustRightInd w:val="0"/>
        <w:jc w:val="center"/>
        <w:rPr>
          <w:rFonts w:cs="Arial"/>
          <w:b/>
          <w:bCs/>
          <w:szCs w:val="24"/>
        </w:rPr>
      </w:pPr>
    </w:p>
    <w:p w14:paraId="254C30E8" w14:textId="77777777" w:rsidR="006A5F06" w:rsidRPr="00256E45" w:rsidRDefault="006A5F06" w:rsidP="006A5F06">
      <w:pPr>
        <w:jc w:val="right"/>
        <w:rPr>
          <w:rFonts w:cs="Arial"/>
          <w:b/>
          <w:szCs w:val="24"/>
        </w:rPr>
      </w:pPr>
      <w:r w:rsidRPr="00256E45">
        <w:rPr>
          <w:rFonts w:cs="Arial"/>
          <w:b/>
          <w:szCs w:val="24"/>
        </w:rPr>
        <w:t>Presented by</w:t>
      </w:r>
    </w:p>
    <w:p w14:paraId="76FCF025" w14:textId="723C9D02" w:rsidR="006A5F06" w:rsidRPr="00256E45" w:rsidRDefault="00D918E8" w:rsidP="006A5F06">
      <w:pPr>
        <w:jc w:val="right"/>
        <w:rPr>
          <w:rFonts w:cs="Arial"/>
          <w:b/>
          <w:szCs w:val="24"/>
        </w:rPr>
      </w:pPr>
      <w:r w:rsidRPr="00256E45">
        <w:rPr>
          <w:rFonts w:cs="Arial"/>
          <w:b/>
          <w:szCs w:val="24"/>
        </w:rPr>
        <w:t>Tara Cheyne</w:t>
      </w:r>
      <w:r w:rsidR="006A5F06" w:rsidRPr="00256E45">
        <w:rPr>
          <w:rFonts w:cs="Arial"/>
          <w:b/>
          <w:szCs w:val="24"/>
        </w:rPr>
        <w:t xml:space="preserve"> MLA</w:t>
      </w:r>
    </w:p>
    <w:p w14:paraId="6095C0AA" w14:textId="77777777" w:rsidR="006A5F06" w:rsidRPr="00256E45" w:rsidRDefault="006A5F06" w:rsidP="006A5F06">
      <w:pPr>
        <w:jc w:val="right"/>
        <w:rPr>
          <w:rFonts w:cs="Arial"/>
          <w:b/>
          <w:szCs w:val="24"/>
        </w:rPr>
        <w:sectPr w:rsidR="006A5F06" w:rsidRPr="00256E45" w:rsidSect="00FD7B12">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pPr>
      <w:r w:rsidRPr="00256E45">
        <w:rPr>
          <w:rFonts w:cs="Arial"/>
          <w:b/>
          <w:szCs w:val="24"/>
        </w:rPr>
        <w:t>Attorney-General</w:t>
      </w:r>
    </w:p>
    <w:p w14:paraId="6C0D1219" w14:textId="18512164" w:rsidR="006A5F06" w:rsidRPr="00256E45" w:rsidRDefault="00D918E8" w:rsidP="006A5F06">
      <w:pPr>
        <w:jc w:val="center"/>
        <w:rPr>
          <w:rFonts w:cs="Arial"/>
          <w:b/>
          <w:szCs w:val="24"/>
        </w:rPr>
      </w:pPr>
      <w:r w:rsidRPr="00256E45">
        <w:rPr>
          <w:rFonts w:cs="Arial"/>
          <w:b/>
          <w:szCs w:val="24"/>
        </w:rPr>
        <w:lastRenderedPageBreak/>
        <w:t>Personal Violence (Transitional Provisions)</w:t>
      </w:r>
      <w:r w:rsidR="006A5F06" w:rsidRPr="00256E45">
        <w:rPr>
          <w:rFonts w:cs="Arial"/>
          <w:b/>
          <w:szCs w:val="24"/>
        </w:rPr>
        <w:t> Regulation 20</w:t>
      </w:r>
      <w:r w:rsidR="00D71116" w:rsidRPr="00256E45">
        <w:rPr>
          <w:rFonts w:cs="Arial"/>
          <w:b/>
          <w:szCs w:val="24"/>
        </w:rPr>
        <w:t>2</w:t>
      </w:r>
      <w:r w:rsidRPr="00256E45">
        <w:rPr>
          <w:rFonts w:cs="Arial"/>
          <w:b/>
          <w:szCs w:val="24"/>
        </w:rPr>
        <w:t>5</w:t>
      </w:r>
    </w:p>
    <w:p w14:paraId="4C7C28D7" w14:textId="77777777" w:rsidR="006A5F06" w:rsidRPr="00256E45" w:rsidRDefault="006A5F06" w:rsidP="006A5F06">
      <w:pPr>
        <w:rPr>
          <w:rFonts w:cs="Arial"/>
          <w:szCs w:val="24"/>
        </w:rPr>
      </w:pPr>
    </w:p>
    <w:p w14:paraId="52379F57" w14:textId="77777777" w:rsidR="006A5F06" w:rsidRPr="00256E45" w:rsidRDefault="006A5F06" w:rsidP="006A5F06">
      <w:pPr>
        <w:rPr>
          <w:rFonts w:cs="Arial"/>
          <w:szCs w:val="24"/>
        </w:rPr>
      </w:pPr>
    </w:p>
    <w:p w14:paraId="3AE8A146" w14:textId="3F33BC31" w:rsidR="006A5F06" w:rsidRPr="00256E45" w:rsidRDefault="00D918E8" w:rsidP="00723F11">
      <w:pPr>
        <w:jc w:val="center"/>
        <w:rPr>
          <w:rFonts w:cs="Arial"/>
          <w:b/>
          <w:szCs w:val="24"/>
        </w:rPr>
      </w:pPr>
      <w:r w:rsidRPr="00256E45">
        <w:rPr>
          <w:rFonts w:cs="Arial"/>
          <w:b/>
          <w:szCs w:val="24"/>
        </w:rPr>
        <w:t>OVERVIEW</w:t>
      </w:r>
    </w:p>
    <w:p w14:paraId="097FDE03" w14:textId="77777777" w:rsidR="006A5F06" w:rsidRPr="00256E45" w:rsidRDefault="006A5F06" w:rsidP="00461D6D">
      <w:pPr>
        <w:rPr>
          <w:rFonts w:cs="Arial"/>
          <w:szCs w:val="24"/>
        </w:rPr>
      </w:pPr>
    </w:p>
    <w:p w14:paraId="066F8811" w14:textId="3DB8EAED" w:rsidR="00D918E8" w:rsidRPr="00256E45" w:rsidRDefault="00D918E8" w:rsidP="00461D6D">
      <w:pPr>
        <w:jc w:val="both"/>
        <w:rPr>
          <w:rFonts w:cs="Arial"/>
          <w:szCs w:val="24"/>
        </w:rPr>
      </w:pPr>
      <w:r w:rsidRPr="00256E45">
        <w:rPr>
          <w:rFonts w:cs="Arial"/>
          <w:szCs w:val="24"/>
        </w:rPr>
        <w:t xml:space="preserve">The policy objective of the </w:t>
      </w:r>
      <w:r w:rsidRPr="00256E45">
        <w:rPr>
          <w:rFonts w:cs="Arial"/>
          <w:i/>
          <w:iCs/>
          <w:szCs w:val="24"/>
        </w:rPr>
        <w:t>Justice (Age of Criminal Responsibility) Legislation Amendment Act 2023</w:t>
      </w:r>
      <w:r w:rsidRPr="00256E45">
        <w:rPr>
          <w:rFonts w:cs="Arial"/>
          <w:szCs w:val="24"/>
        </w:rPr>
        <w:t xml:space="preserve"> (the Amendment Act) is to raise the minimum age of criminal responsibility (MACR) in the ACT from 10 to 14 years, to ensure that children under the age of 14 years, except for those aged 12 and 13 years who commit certain exceptionally serious and intentionally violent offences, cannot be held criminally responsible.</w:t>
      </w:r>
    </w:p>
    <w:p w14:paraId="10C13ACF" w14:textId="77777777" w:rsidR="00D918E8" w:rsidRPr="00256E45" w:rsidRDefault="00D918E8" w:rsidP="00461D6D">
      <w:pPr>
        <w:jc w:val="both"/>
        <w:rPr>
          <w:rFonts w:cs="Arial"/>
          <w:szCs w:val="24"/>
        </w:rPr>
      </w:pPr>
    </w:p>
    <w:p w14:paraId="0E3E5AC6" w14:textId="74C308F6" w:rsidR="00737608" w:rsidRPr="004F2D60" w:rsidRDefault="00D918E8" w:rsidP="00737608">
      <w:pPr>
        <w:jc w:val="both"/>
        <w:rPr>
          <w:rFonts w:cs="Arial"/>
          <w:iCs/>
          <w:szCs w:val="24"/>
        </w:rPr>
      </w:pPr>
      <w:r w:rsidRPr="00256E45">
        <w:rPr>
          <w:rFonts w:cs="Arial"/>
          <w:iCs/>
          <w:szCs w:val="24"/>
        </w:rPr>
        <w:t xml:space="preserve">Part 8 of the Amendment Act amended the </w:t>
      </w:r>
      <w:r w:rsidRPr="00256E45">
        <w:rPr>
          <w:rFonts w:cs="Arial"/>
          <w:i/>
          <w:szCs w:val="24"/>
        </w:rPr>
        <w:t xml:space="preserve">Personal Violence Act 2016 </w:t>
      </w:r>
      <w:r w:rsidRPr="00256E45">
        <w:rPr>
          <w:rFonts w:cs="Arial"/>
          <w:iCs/>
          <w:szCs w:val="24"/>
        </w:rPr>
        <w:t xml:space="preserve">(the PV Act) to reflect the change in the MACR and provide that a person under the MACR cannot be a </w:t>
      </w:r>
      <w:r w:rsidRPr="004F2D60">
        <w:rPr>
          <w:rFonts w:cs="Arial"/>
          <w:iCs/>
          <w:szCs w:val="24"/>
        </w:rPr>
        <w:t xml:space="preserve">respondent to an application for a protection order. </w:t>
      </w:r>
      <w:r w:rsidR="00737608" w:rsidRPr="004F2D60">
        <w:rPr>
          <w:rFonts w:cs="Arial"/>
          <w:iCs/>
          <w:szCs w:val="24"/>
        </w:rPr>
        <w:t>It was intended that any orders in place for children and young people under the MACR would no longer be enforceable once the MACR is raised, noting that a child under the MACR cannot be held criminally responsible for the offence of breaching a protection order.</w:t>
      </w:r>
      <w:r w:rsidR="00737608" w:rsidRPr="004F2D60">
        <w:rPr>
          <w:rFonts w:cs="Arial"/>
        </w:rPr>
        <w:t xml:space="preserve"> Accordingly, it is not appropriate for such orders to be made against children under the MACR.</w:t>
      </w:r>
    </w:p>
    <w:p w14:paraId="119EF63B" w14:textId="77777777" w:rsidR="00D918E8" w:rsidRPr="004F2D60" w:rsidRDefault="00D918E8" w:rsidP="00461D6D">
      <w:pPr>
        <w:jc w:val="both"/>
        <w:rPr>
          <w:rFonts w:cs="Arial"/>
          <w:iCs/>
          <w:szCs w:val="24"/>
        </w:rPr>
      </w:pPr>
    </w:p>
    <w:p w14:paraId="50E5BC00" w14:textId="4D6E2DF9" w:rsidR="00461D6D" w:rsidRPr="004F2D60" w:rsidRDefault="00D918E8" w:rsidP="00461D6D">
      <w:pPr>
        <w:pStyle w:val="CS-Paragraphnumbering"/>
        <w:numPr>
          <w:ilvl w:val="0"/>
          <w:numId w:val="0"/>
        </w:numPr>
        <w:spacing w:after="0" w:line="240" w:lineRule="auto"/>
        <w:jc w:val="both"/>
        <w:rPr>
          <w:rFonts w:ascii="Arial" w:hAnsi="Arial" w:cs="Arial"/>
        </w:rPr>
      </w:pPr>
      <w:r w:rsidRPr="004F2D60">
        <w:rPr>
          <w:rFonts w:ascii="Arial" w:hAnsi="Arial" w:cs="Arial"/>
        </w:rPr>
        <w:t>Sections 1</w:t>
      </w:r>
      <w:r w:rsidR="00A31870" w:rsidRPr="004F2D60">
        <w:rPr>
          <w:rFonts w:ascii="Arial" w:hAnsi="Arial" w:cs="Arial"/>
        </w:rPr>
        <w:t>20</w:t>
      </w:r>
      <w:r w:rsidRPr="004F2D60">
        <w:rPr>
          <w:rFonts w:ascii="Arial" w:hAnsi="Arial" w:cs="Arial"/>
        </w:rPr>
        <w:t xml:space="preserve"> and 1</w:t>
      </w:r>
      <w:r w:rsidR="00A31870" w:rsidRPr="004F2D60">
        <w:rPr>
          <w:rFonts w:ascii="Arial" w:hAnsi="Arial" w:cs="Arial"/>
        </w:rPr>
        <w:t>21</w:t>
      </w:r>
      <w:r w:rsidRPr="004F2D60">
        <w:rPr>
          <w:rFonts w:ascii="Arial" w:hAnsi="Arial" w:cs="Arial"/>
        </w:rPr>
        <w:t xml:space="preserve"> of the Amendment Act introduced transitional provisions to the PV Act for when the MACR was raised to 12 and 14, respectively. Section 1</w:t>
      </w:r>
      <w:r w:rsidR="00A31870" w:rsidRPr="004F2D60">
        <w:rPr>
          <w:rFonts w:ascii="Arial" w:hAnsi="Arial" w:cs="Arial"/>
        </w:rPr>
        <w:t>20</w:t>
      </w:r>
      <w:r w:rsidRPr="004F2D60">
        <w:rPr>
          <w:rFonts w:ascii="Arial" w:hAnsi="Arial" w:cs="Arial"/>
        </w:rPr>
        <w:t xml:space="preserve"> introduced Part 23 to the PV Act to provide that law enforcement action carried out by a police officer in a proceeding for a protection order against a child respondent is to end, applications for protection orders against child respondents are discontinued and cease to have effect</w:t>
      </w:r>
      <w:r w:rsidR="00B900FD" w:rsidRPr="004F2D60">
        <w:rPr>
          <w:rFonts w:ascii="Arial" w:hAnsi="Arial" w:cs="Arial"/>
        </w:rPr>
        <w:t xml:space="preserve">. </w:t>
      </w:r>
      <w:r w:rsidRPr="004F2D60">
        <w:rPr>
          <w:rFonts w:ascii="Arial" w:hAnsi="Arial" w:cs="Arial"/>
        </w:rPr>
        <w:t>This commenced on 22 November 2023 when the MACR was raised to 12</w:t>
      </w:r>
      <w:r w:rsidR="00737608" w:rsidRPr="004F2D60">
        <w:rPr>
          <w:rFonts w:ascii="Arial" w:hAnsi="Arial" w:cs="Arial"/>
        </w:rPr>
        <w:t>.</w:t>
      </w:r>
    </w:p>
    <w:p w14:paraId="31F23BCA" w14:textId="77777777" w:rsidR="00D918E8" w:rsidRPr="004F2D60" w:rsidRDefault="00D918E8" w:rsidP="00461D6D">
      <w:pPr>
        <w:pStyle w:val="CS-Paragraphnumbering"/>
        <w:numPr>
          <w:ilvl w:val="0"/>
          <w:numId w:val="0"/>
        </w:numPr>
        <w:spacing w:after="0" w:line="240" w:lineRule="auto"/>
        <w:jc w:val="both"/>
        <w:rPr>
          <w:rFonts w:ascii="Arial" w:hAnsi="Arial" w:cs="Arial"/>
        </w:rPr>
      </w:pPr>
    </w:p>
    <w:p w14:paraId="5FEBDFA7" w14:textId="2539416B" w:rsidR="00D918E8" w:rsidRPr="004F2D60" w:rsidRDefault="00D918E8" w:rsidP="00461D6D">
      <w:pPr>
        <w:pStyle w:val="CS-Paragraphnumbering"/>
        <w:numPr>
          <w:ilvl w:val="0"/>
          <w:numId w:val="0"/>
        </w:numPr>
        <w:spacing w:after="0" w:line="240" w:lineRule="auto"/>
        <w:jc w:val="both"/>
        <w:rPr>
          <w:rFonts w:ascii="Arial" w:hAnsi="Arial" w:cs="Arial"/>
        </w:rPr>
      </w:pPr>
      <w:r w:rsidRPr="004F2D60">
        <w:rPr>
          <w:rFonts w:ascii="Arial" w:hAnsi="Arial" w:cs="Arial"/>
        </w:rPr>
        <w:t>Section 12</w:t>
      </w:r>
      <w:r w:rsidR="00A31870" w:rsidRPr="004F2D60">
        <w:rPr>
          <w:rFonts w:ascii="Arial" w:hAnsi="Arial" w:cs="Arial"/>
        </w:rPr>
        <w:t>1</w:t>
      </w:r>
      <w:r w:rsidRPr="004F2D60">
        <w:rPr>
          <w:rFonts w:ascii="Arial" w:hAnsi="Arial" w:cs="Arial"/>
        </w:rPr>
        <w:t xml:space="preserve"> introduced new Part 24 of the PV Act, largely replicating new Part 23, but with a later commencement date of 1 July 2025 to align with the date the MACR was raised to 14.</w:t>
      </w:r>
    </w:p>
    <w:p w14:paraId="6FDACB16" w14:textId="77777777" w:rsidR="00B900FD" w:rsidRPr="004F2D60" w:rsidRDefault="00B900FD" w:rsidP="00461D6D">
      <w:pPr>
        <w:pStyle w:val="CS-Paragraphnumbering"/>
        <w:numPr>
          <w:ilvl w:val="0"/>
          <w:numId w:val="0"/>
        </w:numPr>
        <w:spacing w:after="0" w:line="240" w:lineRule="auto"/>
        <w:jc w:val="both"/>
        <w:rPr>
          <w:rFonts w:ascii="Arial" w:hAnsi="Arial" w:cs="Arial"/>
        </w:rPr>
      </w:pPr>
    </w:p>
    <w:p w14:paraId="2A5235F3" w14:textId="78E75D21" w:rsidR="00B900FD" w:rsidRPr="004F2D60" w:rsidRDefault="00737608" w:rsidP="00461D6D">
      <w:pPr>
        <w:pStyle w:val="CS-Paragraphnumbering"/>
        <w:numPr>
          <w:ilvl w:val="0"/>
          <w:numId w:val="0"/>
        </w:numPr>
        <w:spacing w:after="0" w:line="240" w:lineRule="auto"/>
        <w:jc w:val="both"/>
        <w:rPr>
          <w:rFonts w:ascii="Arial" w:hAnsi="Arial" w:cs="Arial"/>
        </w:rPr>
      </w:pPr>
      <w:r w:rsidRPr="004F2D60">
        <w:rPr>
          <w:rFonts w:ascii="Arial" w:hAnsi="Arial" w:cs="Arial"/>
        </w:rPr>
        <w:t>The following issues</w:t>
      </w:r>
      <w:r w:rsidR="00B900FD" w:rsidRPr="004F2D60">
        <w:rPr>
          <w:rFonts w:ascii="Arial" w:hAnsi="Arial" w:cs="Arial"/>
        </w:rPr>
        <w:t xml:space="preserve"> have been identified in relation to the drafting of provisions in sections 1</w:t>
      </w:r>
      <w:r w:rsidRPr="004F2D60">
        <w:rPr>
          <w:rFonts w:ascii="Arial" w:hAnsi="Arial" w:cs="Arial"/>
        </w:rPr>
        <w:t>20</w:t>
      </w:r>
      <w:r w:rsidR="00B900FD" w:rsidRPr="004F2D60">
        <w:rPr>
          <w:rFonts w:ascii="Arial" w:hAnsi="Arial" w:cs="Arial"/>
        </w:rPr>
        <w:t xml:space="preserve"> and 12</w:t>
      </w:r>
      <w:r w:rsidRPr="004F2D60">
        <w:rPr>
          <w:rFonts w:ascii="Arial" w:hAnsi="Arial" w:cs="Arial"/>
        </w:rPr>
        <w:t>1</w:t>
      </w:r>
      <w:r w:rsidR="00B900FD" w:rsidRPr="004F2D60">
        <w:rPr>
          <w:rFonts w:ascii="Arial" w:hAnsi="Arial" w:cs="Arial"/>
        </w:rPr>
        <w:t xml:space="preserve"> </w:t>
      </w:r>
      <w:r w:rsidRPr="004F2D60">
        <w:rPr>
          <w:rFonts w:ascii="Arial" w:hAnsi="Arial" w:cs="Arial"/>
        </w:rPr>
        <w:t>of the Amendment Act which mean the policy intent of the Amendment Act cannot be fully realised:</w:t>
      </w:r>
    </w:p>
    <w:p w14:paraId="0ACC5C77" w14:textId="19A179F6" w:rsidR="00B900FD" w:rsidRPr="004F2D60" w:rsidRDefault="00B900FD" w:rsidP="00B900FD">
      <w:pPr>
        <w:pStyle w:val="CS-Paragraphnumbering"/>
        <w:numPr>
          <w:ilvl w:val="0"/>
          <w:numId w:val="10"/>
        </w:numPr>
        <w:spacing w:after="0" w:line="240" w:lineRule="auto"/>
        <w:jc w:val="both"/>
        <w:rPr>
          <w:rFonts w:ascii="Arial" w:hAnsi="Arial" w:cs="Arial"/>
        </w:rPr>
      </w:pPr>
      <w:r w:rsidRPr="004F2D60">
        <w:rPr>
          <w:rFonts w:ascii="Arial" w:hAnsi="Arial" w:cs="Arial"/>
        </w:rPr>
        <w:t>The definition of child respondent at section 121 of the Amendment Act (section 22</w:t>
      </w:r>
      <w:r w:rsidR="00396B8D" w:rsidRPr="004F2D60">
        <w:rPr>
          <w:rFonts w:ascii="Arial" w:hAnsi="Arial" w:cs="Arial"/>
        </w:rPr>
        <w:t>0</w:t>
      </w:r>
      <w:r w:rsidRPr="004F2D60">
        <w:rPr>
          <w:rFonts w:ascii="Arial" w:hAnsi="Arial" w:cs="Arial"/>
        </w:rPr>
        <w:t>(b) of the PV Act) uses the term ‘family violence order’ rather than ‘protection order’</w:t>
      </w:r>
      <w:r w:rsidR="005E46BF" w:rsidRPr="004F2D60">
        <w:rPr>
          <w:rFonts w:ascii="Arial" w:hAnsi="Arial" w:cs="Arial"/>
        </w:rPr>
        <w:t>, unintentionally limiting the scope of Part 24 of the PV Act.</w:t>
      </w:r>
    </w:p>
    <w:p w14:paraId="1D6F06DC" w14:textId="213F4797" w:rsidR="00B900FD" w:rsidRPr="00256E45" w:rsidRDefault="00B900FD" w:rsidP="00B900FD">
      <w:pPr>
        <w:pStyle w:val="CS-Paragraphnumbering"/>
        <w:numPr>
          <w:ilvl w:val="0"/>
          <w:numId w:val="10"/>
        </w:numPr>
        <w:spacing w:after="0" w:line="240" w:lineRule="auto"/>
        <w:jc w:val="both"/>
        <w:rPr>
          <w:rFonts w:ascii="Arial" w:hAnsi="Arial" w:cs="Arial"/>
        </w:rPr>
      </w:pPr>
      <w:r w:rsidRPr="004F2D60">
        <w:rPr>
          <w:rFonts w:ascii="Arial" w:hAnsi="Arial" w:cs="Arial"/>
        </w:rPr>
        <w:t>The definition of ‘registered order’ at section</w:t>
      </w:r>
      <w:r w:rsidR="00737608" w:rsidRPr="004F2D60">
        <w:rPr>
          <w:rFonts w:ascii="Arial" w:hAnsi="Arial" w:cs="Arial"/>
        </w:rPr>
        <w:t>s 120 and</w:t>
      </w:r>
      <w:r w:rsidRPr="004F2D60">
        <w:rPr>
          <w:rFonts w:ascii="Arial" w:hAnsi="Arial" w:cs="Arial"/>
        </w:rPr>
        <w:t xml:space="preserve"> 121 of the Amendment Act (section 215(</w:t>
      </w:r>
      <w:r w:rsidR="00535AAD" w:rsidRPr="004F2D60">
        <w:rPr>
          <w:rFonts w:ascii="Arial" w:hAnsi="Arial" w:cs="Arial"/>
        </w:rPr>
        <w:t>5</w:t>
      </w:r>
      <w:r w:rsidRPr="004F2D60">
        <w:rPr>
          <w:rFonts w:ascii="Arial" w:hAnsi="Arial" w:cs="Arial"/>
        </w:rPr>
        <w:t>) and section 225(</w:t>
      </w:r>
      <w:r w:rsidR="00535AAD" w:rsidRPr="004F2D60">
        <w:rPr>
          <w:rFonts w:ascii="Arial" w:hAnsi="Arial" w:cs="Arial"/>
        </w:rPr>
        <w:t>5</w:t>
      </w:r>
      <w:r w:rsidRPr="004F2D60">
        <w:rPr>
          <w:rFonts w:ascii="Arial" w:hAnsi="Arial" w:cs="Arial"/>
        </w:rPr>
        <w:t>) of the PV Act) does not include a protection order made under the PV Act by an ACT Court. This means protection orders made locally were not automatically revoked when the MACR was raised to 12 and to 14 years old</w:t>
      </w:r>
      <w:r w:rsidR="005E46BF" w:rsidRPr="004F2D60">
        <w:rPr>
          <w:rFonts w:ascii="Arial" w:hAnsi="Arial" w:cs="Arial"/>
        </w:rPr>
        <w:t xml:space="preserve"> upon the commencement of these section</w:t>
      </w:r>
      <w:r w:rsidR="00737608" w:rsidRPr="004F2D60">
        <w:rPr>
          <w:rFonts w:ascii="Arial" w:hAnsi="Arial" w:cs="Arial"/>
        </w:rPr>
        <w:t>s</w:t>
      </w:r>
      <w:r w:rsidRPr="004F2D60">
        <w:rPr>
          <w:rFonts w:ascii="Arial" w:hAnsi="Arial" w:cs="Arial"/>
        </w:rPr>
        <w:t>, although protection orders made in another jurisdiction</w:t>
      </w:r>
      <w:r w:rsidRPr="00256E45">
        <w:rPr>
          <w:rFonts w:ascii="Arial" w:hAnsi="Arial" w:cs="Arial"/>
        </w:rPr>
        <w:t xml:space="preserve"> and registered in the ACT were revoked.</w:t>
      </w:r>
      <w:r w:rsidR="005E46BF" w:rsidRPr="00256E45">
        <w:rPr>
          <w:rFonts w:ascii="Arial" w:hAnsi="Arial" w:cs="Arial"/>
        </w:rPr>
        <w:t xml:space="preserve"> This creates an inconsistency which should be resolved.</w:t>
      </w:r>
    </w:p>
    <w:p w14:paraId="7C333FA9" w14:textId="77777777" w:rsidR="00D918E8" w:rsidRPr="00256E45" w:rsidRDefault="00D918E8" w:rsidP="00461D6D">
      <w:pPr>
        <w:pStyle w:val="CS-Paragraphnumbering"/>
        <w:numPr>
          <w:ilvl w:val="0"/>
          <w:numId w:val="0"/>
        </w:numPr>
        <w:spacing w:after="0" w:line="240" w:lineRule="auto"/>
        <w:jc w:val="both"/>
        <w:rPr>
          <w:rFonts w:ascii="Arial" w:hAnsi="Arial" w:cs="Arial"/>
        </w:rPr>
      </w:pPr>
    </w:p>
    <w:p w14:paraId="12AB2A25" w14:textId="77777777" w:rsidR="00737608" w:rsidRPr="00256E45" w:rsidRDefault="00737608" w:rsidP="00737608">
      <w:pPr>
        <w:pStyle w:val="CS-Paragraphnumbering"/>
        <w:numPr>
          <w:ilvl w:val="0"/>
          <w:numId w:val="0"/>
        </w:numPr>
        <w:spacing w:after="0" w:line="240" w:lineRule="auto"/>
        <w:jc w:val="both"/>
        <w:rPr>
          <w:rFonts w:ascii="Arial" w:hAnsi="Arial" w:cs="Arial"/>
        </w:rPr>
      </w:pPr>
      <w:r w:rsidRPr="00256E45">
        <w:rPr>
          <w:rFonts w:ascii="Arial" w:hAnsi="Arial" w:cs="Arial"/>
        </w:rPr>
        <w:t xml:space="preserve">These issues limit the intended scope of the amendments to the PV Act in relation to the raising of the MACR to 12 and 14 years, by providing that some children under the MACR are still subject to the protection order scheme under the PV Act. </w:t>
      </w:r>
    </w:p>
    <w:p w14:paraId="5796F7EC" w14:textId="77777777" w:rsidR="00B900FD" w:rsidRPr="00256E45" w:rsidRDefault="00B900FD" w:rsidP="00461D6D">
      <w:pPr>
        <w:pStyle w:val="CS-Paragraphnumbering"/>
        <w:numPr>
          <w:ilvl w:val="0"/>
          <w:numId w:val="0"/>
        </w:numPr>
        <w:spacing w:after="0" w:line="240" w:lineRule="auto"/>
        <w:jc w:val="both"/>
        <w:rPr>
          <w:rFonts w:ascii="Arial" w:hAnsi="Arial" w:cs="Arial"/>
        </w:rPr>
      </w:pPr>
    </w:p>
    <w:p w14:paraId="2A9EF5F1" w14:textId="6C52FCDC" w:rsidR="00B900FD" w:rsidRPr="00256E45" w:rsidRDefault="00B900FD" w:rsidP="00461D6D">
      <w:pPr>
        <w:pStyle w:val="CS-Paragraphnumbering"/>
        <w:numPr>
          <w:ilvl w:val="0"/>
          <w:numId w:val="0"/>
        </w:numPr>
        <w:spacing w:after="0" w:line="240" w:lineRule="auto"/>
        <w:jc w:val="both"/>
        <w:rPr>
          <w:rFonts w:ascii="Arial" w:hAnsi="Arial" w:cs="Arial"/>
        </w:rPr>
      </w:pPr>
      <w:r w:rsidRPr="00256E45">
        <w:rPr>
          <w:rFonts w:ascii="Arial" w:hAnsi="Arial" w:cs="Arial"/>
        </w:rPr>
        <w:lastRenderedPageBreak/>
        <w:t>This Regulation introduces amendments to address these issues. Sections 211 and 221 of the PV Act, provide that a regulation may modify Part 23 and Part 24, respectively, to make provision in relation to anything that is not adequately or appropriately dealt with, in the Executive’s opinion.</w:t>
      </w:r>
    </w:p>
    <w:p w14:paraId="3844DAED" w14:textId="77777777" w:rsidR="00B900FD" w:rsidRPr="00256E45" w:rsidRDefault="00B900FD" w:rsidP="00461D6D">
      <w:pPr>
        <w:jc w:val="both"/>
        <w:rPr>
          <w:rFonts w:cs="Arial"/>
          <w:szCs w:val="24"/>
        </w:rPr>
      </w:pPr>
    </w:p>
    <w:p w14:paraId="1FFB7279" w14:textId="3039D1F2" w:rsidR="00B900FD" w:rsidRPr="00256E45" w:rsidRDefault="00B900FD" w:rsidP="00461D6D">
      <w:pPr>
        <w:jc w:val="both"/>
        <w:rPr>
          <w:rFonts w:cs="Arial"/>
          <w:szCs w:val="24"/>
        </w:rPr>
      </w:pPr>
      <w:r w:rsidRPr="00256E45">
        <w:rPr>
          <w:rFonts w:cs="Arial"/>
          <w:szCs w:val="24"/>
        </w:rPr>
        <w:t>Schedule 1 cl 1.1</w:t>
      </w:r>
      <w:r w:rsidR="005E46BF" w:rsidRPr="00256E45">
        <w:rPr>
          <w:rFonts w:cs="Arial"/>
          <w:szCs w:val="24"/>
        </w:rPr>
        <w:t xml:space="preserve"> introduces a new provision to Part 23 of the PV Act to provide that a protection order made against a child respondent (as defined under section 210 of the PV Act) is revoked on the commencement day. This resolves the inconsistency in the automatic revocation of registered protection orders and local protection orders.</w:t>
      </w:r>
    </w:p>
    <w:p w14:paraId="26E7C121" w14:textId="77777777" w:rsidR="005E46BF" w:rsidRPr="00256E45" w:rsidRDefault="005E46BF" w:rsidP="00461D6D">
      <w:pPr>
        <w:jc w:val="both"/>
        <w:rPr>
          <w:rFonts w:cs="Arial"/>
          <w:szCs w:val="24"/>
        </w:rPr>
      </w:pPr>
    </w:p>
    <w:p w14:paraId="33C99D48" w14:textId="4DA1FD23" w:rsidR="005E46BF" w:rsidRPr="00256E45" w:rsidRDefault="005E46BF" w:rsidP="00461D6D">
      <w:pPr>
        <w:jc w:val="both"/>
        <w:rPr>
          <w:rFonts w:cs="Arial"/>
          <w:szCs w:val="24"/>
        </w:rPr>
      </w:pPr>
      <w:r w:rsidRPr="00256E45">
        <w:rPr>
          <w:rFonts w:cs="Arial"/>
          <w:szCs w:val="24"/>
        </w:rPr>
        <w:t>Under section 2(1) of the Regulation, section 3 and schedule 1 have a retrospective commencement and are taken to have commenced on the commencement of section 120 of the Amendment Act, being 22 November 2023. This ensures that any child respondent who was 12 years old when a local protection order was made against them, and who was subject to the protection order between November 2023 and the notification of this Regulation is not unfairly impacted by the delayed revocation of the protection order. Rather, the protection order will be taken to have been revoked when the MACR was raised to 12 in November 2023, as originally intended and consistent with the revocation of registered orders.</w:t>
      </w:r>
    </w:p>
    <w:p w14:paraId="580C4568" w14:textId="77777777" w:rsidR="00B900FD" w:rsidRPr="00256E45" w:rsidRDefault="00B900FD" w:rsidP="00461D6D">
      <w:pPr>
        <w:jc w:val="both"/>
        <w:rPr>
          <w:rFonts w:cs="Arial"/>
          <w:szCs w:val="24"/>
        </w:rPr>
      </w:pPr>
    </w:p>
    <w:p w14:paraId="457F6488" w14:textId="50E7F8B9" w:rsidR="00B900FD" w:rsidRPr="00256E45" w:rsidRDefault="00B900FD" w:rsidP="00461D6D">
      <w:pPr>
        <w:jc w:val="both"/>
        <w:rPr>
          <w:rFonts w:cs="Arial"/>
          <w:szCs w:val="24"/>
        </w:rPr>
      </w:pPr>
      <w:r w:rsidRPr="00256E45">
        <w:rPr>
          <w:rFonts w:cs="Arial"/>
          <w:szCs w:val="24"/>
        </w:rPr>
        <w:t>Schedule 2 cl 2.1 amends the definition of ‘child respondent’ in section 220 of the PV Act to provide that a child respondent means</w:t>
      </w:r>
    </w:p>
    <w:p w14:paraId="3E655DC2" w14:textId="77777777" w:rsidR="00B900FD" w:rsidRPr="00256E45" w:rsidRDefault="00B900FD" w:rsidP="00B900FD">
      <w:pPr>
        <w:ind w:left="720"/>
        <w:jc w:val="both"/>
        <w:rPr>
          <w:rFonts w:cs="Arial"/>
          <w:szCs w:val="24"/>
        </w:rPr>
      </w:pPr>
      <w:r w:rsidRPr="00256E45">
        <w:rPr>
          <w:rFonts w:cs="Arial"/>
          <w:szCs w:val="24"/>
        </w:rPr>
        <w:t>a.</w:t>
      </w:r>
      <w:r w:rsidRPr="00256E45">
        <w:rPr>
          <w:rFonts w:cs="Arial"/>
          <w:szCs w:val="24"/>
        </w:rPr>
        <w:tab/>
        <w:t>a child who is under 14 years old and a respondent in a proceeding for a protection order; or</w:t>
      </w:r>
    </w:p>
    <w:p w14:paraId="48F6AE4D" w14:textId="3B1B8F48" w:rsidR="00E73E6C" w:rsidRPr="00256E45" w:rsidRDefault="00B900FD" w:rsidP="00B900FD">
      <w:pPr>
        <w:ind w:left="720"/>
        <w:jc w:val="both"/>
        <w:rPr>
          <w:rFonts w:cs="Arial"/>
          <w:szCs w:val="24"/>
        </w:rPr>
      </w:pPr>
      <w:r w:rsidRPr="00256E45">
        <w:rPr>
          <w:rFonts w:cs="Arial"/>
          <w:szCs w:val="24"/>
        </w:rPr>
        <w:t>b.</w:t>
      </w:r>
      <w:r w:rsidRPr="00256E45">
        <w:rPr>
          <w:rFonts w:cs="Arial"/>
          <w:szCs w:val="24"/>
        </w:rPr>
        <w:tab/>
        <w:t>a child against whom a protection order was made when the child was under 14 years old.</w:t>
      </w:r>
      <w:r w:rsidR="00162E23" w:rsidRPr="00256E45">
        <w:rPr>
          <w:rFonts w:cs="Arial"/>
          <w:szCs w:val="24"/>
        </w:rPr>
        <w:t xml:space="preserve"> </w:t>
      </w:r>
    </w:p>
    <w:p w14:paraId="16ADA5BC" w14:textId="77777777" w:rsidR="00B900FD" w:rsidRPr="00256E45" w:rsidRDefault="00B900FD" w:rsidP="00B900FD">
      <w:pPr>
        <w:jc w:val="both"/>
        <w:rPr>
          <w:rFonts w:cs="Arial"/>
          <w:szCs w:val="24"/>
        </w:rPr>
      </w:pPr>
    </w:p>
    <w:p w14:paraId="292AAC3D" w14:textId="782FB5CE" w:rsidR="00B900FD" w:rsidRPr="00256E45" w:rsidRDefault="00B900FD" w:rsidP="00B900FD">
      <w:pPr>
        <w:jc w:val="both"/>
        <w:rPr>
          <w:rFonts w:cs="Arial"/>
          <w:szCs w:val="24"/>
        </w:rPr>
      </w:pPr>
      <w:r w:rsidRPr="00256E45">
        <w:rPr>
          <w:rFonts w:cs="Arial"/>
          <w:szCs w:val="24"/>
        </w:rPr>
        <w:t>This ensures that Part 24 of the PV Act applies to a child respondent who was under 14 years old when a protection order was made, and is not limited to a child respondent to a family violence order. This aligns with the definition of a child respondent at section 210(b) of the PV Act.</w:t>
      </w:r>
    </w:p>
    <w:p w14:paraId="2247F84B" w14:textId="77777777" w:rsidR="0006639A" w:rsidRPr="00256E45" w:rsidRDefault="0006639A" w:rsidP="00B900FD">
      <w:pPr>
        <w:jc w:val="both"/>
        <w:rPr>
          <w:rFonts w:cs="Arial"/>
          <w:szCs w:val="24"/>
        </w:rPr>
      </w:pPr>
    </w:p>
    <w:p w14:paraId="75E646DD" w14:textId="31F4B5B5" w:rsidR="0006639A" w:rsidRPr="00256E45" w:rsidRDefault="0006639A" w:rsidP="0006639A">
      <w:pPr>
        <w:jc w:val="both"/>
        <w:rPr>
          <w:rFonts w:cs="Arial"/>
          <w:szCs w:val="24"/>
        </w:rPr>
      </w:pPr>
      <w:r w:rsidRPr="00256E45">
        <w:rPr>
          <w:rFonts w:cs="Arial"/>
          <w:szCs w:val="24"/>
        </w:rPr>
        <w:t>Schedule 2 cl 2.2 replicates Schedule 1 cl 1.1 to provide that a protection order made against a child respondent (as defined under s 220 of the PV Act) is revoked on the commencement day.</w:t>
      </w:r>
    </w:p>
    <w:p w14:paraId="16AF8063" w14:textId="77777777" w:rsidR="0006639A" w:rsidRPr="00256E45" w:rsidRDefault="0006639A" w:rsidP="0006639A">
      <w:pPr>
        <w:jc w:val="both"/>
        <w:rPr>
          <w:rFonts w:cs="Arial"/>
          <w:szCs w:val="24"/>
        </w:rPr>
      </w:pPr>
    </w:p>
    <w:p w14:paraId="39C40916" w14:textId="32E7C91C" w:rsidR="00B900FD" w:rsidRPr="00256E45" w:rsidRDefault="00B900FD" w:rsidP="00B900FD">
      <w:pPr>
        <w:jc w:val="both"/>
        <w:rPr>
          <w:rFonts w:cs="Arial"/>
          <w:szCs w:val="24"/>
        </w:rPr>
      </w:pPr>
      <w:r w:rsidRPr="00256E45">
        <w:rPr>
          <w:rFonts w:cs="Arial"/>
          <w:szCs w:val="24"/>
        </w:rPr>
        <w:t>Under section 2(2) of the Regulation, section 4 and schedule 2 ha</w:t>
      </w:r>
      <w:r w:rsidR="005E46BF" w:rsidRPr="00256E45">
        <w:rPr>
          <w:rFonts w:cs="Arial"/>
          <w:szCs w:val="24"/>
        </w:rPr>
        <w:t xml:space="preserve">ve </w:t>
      </w:r>
      <w:r w:rsidRPr="00256E45">
        <w:rPr>
          <w:rFonts w:cs="Arial"/>
          <w:szCs w:val="24"/>
        </w:rPr>
        <w:t xml:space="preserve">a retrospective commencement and </w:t>
      </w:r>
      <w:r w:rsidR="005E46BF" w:rsidRPr="00256E45">
        <w:rPr>
          <w:rFonts w:cs="Arial"/>
          <w:szCs w:val="24"/>
        </w:rPr>
        <w:t>are</w:t>
      </w:r>
      <w:r w:rsidRPr="00256E45">
        <w:rPr>
          <w:rFonts w:cs="Arial"/>
          <w:szCs w:val="24"/>
        </w:rPr>
        <w:t xml:space="preserve"> taken to have commenced on the commencement of section 121 of the Amendment Act, being 1 July 2025. This ensures there is no delay to the resolution of these issues, which would negatively impact child respondents and create uncertainty for parties to a protection order</w:t>
      </w:r>
      <w:r w:rsidR="00723F11" w:rsidRPr="00256E45">
        <w:t>.</w:t>
      </w:r>
      <w:r w:rsidR="00737608" w:rsidRPr="00256E45">
        <w:t xml:space="preserve"> As above, this also ensure</w:t>
      </w:r>
      <w:r w:rsidR="0094000B" w:rsidRPr="00256E45">
        <w:t>s</w:t>
      </w:r>
      <w:r w:rsidR="00737608" w:rsidRPr="00256E45">
        <w:t xml:space="preserve"> that any child respondent who was 14 years old when a local protection order was made against them is not unfairly impacted by the delayed revocation of the protection order</w:t>
      </w:r>
      <w:r w:rsidR="00D05520" w:rsidRPr="00256E45">
        <w:t>.</w:t>
      </w:r>
      <w:r w:rsidR="00737608" w:rsidRPr="00256E45">
        <w:t xml:space="preserve"> </w:t>
      </w:r>
      <w:r w:rsidR="00D05520" w:rsidRPr="00256E45">
        <w:t>T</w:t>
      </w:r>
      <w:r w:rsidR="00737608" w:rsidRPr="00256E45">
        <w:t>he protection order will be taken to have been revoked when the MACR was raised to 14 on 1 July 2025 as originally intended and consistent with the revocation of registered orders.</w:t>
      </w:r>
    </w:p>
    <w:p w14:paraId="3A89A13B" w14:textId="77777777" w:rsidR="00E73E6C" w:rsidRPr="00256E45" w:rsidRDefault="00E73E6C" w:rsidP="00461D6D">
      <w:pPr>
        <w:jc w:val="both"/>
        <w:rPr>
          <w:rFonts w:cs="Arial"/>
          <w:szCs w:val="24"/>
        </w:rPr>
      </w:pPr>
    </w:p>
    <w:p w14:paraId="4CFB256E" w14:textId="77777777" w:rsidR="007661D6" w:rsidRPr="00256E45" w:rsidRDefault="007661D6" w:rsidP="00461D6D">
      <w:pPr>
        <w:autoSpaceDE w:val="0"/>
        <w:autoSpaceDN w:val="0"/>
        <w:adjustRightInd w:val="0"/>
        <w:jc w:val="both"/>
        <w:rPr>
          <w:rFonts w:cs="Arial"/>
          <w:b/>
          <w:bCs/>
          <w:szCs w:val="24"/>
          <w:lang w:eastAsia="en-AU"/>
        </w:rPr>
      </w:pPr>
      <w:r w:rsidRPr="00256E45">
        <w:rPr>
          <w:rFonts w:cs="Arial"/>
          <w:b/>
          <w:bCs/>
          <w:szCs w:val="24"/>
          <w:lang w:eastAsia="en-AU"/>
        </w:rPr>
        <w:t>Impact on Human Rights</w:t>
      </w:r>
    </w:p>
    <w:p w14:paraId="76CD8EBE" w14:textId="77777777" w:rsidR="00B900FD" w:rsidRPr="00256E45" w:rsidRDefault="00B900FD" w:rsidP="00461D6D">
      <w:pPr>
        <w:autoSpaceDE w:val="0"/>
        <w:autoSpaceDN w:val="0"/>
        <w:adjustRightInd w:val="0"/>
        <w:jc w:val="both"/>
        <w:rPr>
          <w:rFonts w:cs="Arial"/>
          <w:b/>
          <w:bCs/>
          <w:i/>
          <w:iCs/>
          <w:szCs w:val="24"/>
          <w:lang w:eastAsia="en-AU"/>
        </w:rPr>
      </w:pPr>
    </w:p>
    <w:p w14:paraId="234AF7DC" w14:textId="13531EB4" w:rsidR="00B900FD" w:rsidRPr="00256E45" w:rsidRDefault="00B900FD" w:rsidP="00461D6D">
      <w:pPr>
        <w:autoSpaceDE w:val="0"/>
        <w:autoSpaceDN w:val="0"/>
        <w:adjustRightInd w:val="0"/>
        <w:jc w:val="both"/>
        <w:rPr>
          <w:rFonts w:cs="Arial"/>
          <w:b/>
          <w:bCs/>
          <w:i/>
          <w:iCs/>
          <w:szCs w:val="24"/>
          <w:lang w:eastAsia="en-AU"/>
        </w:rPr>
      </w:pPr>
      <w:r w:rsidRPr="00256E45">
        <w:rPr>
          <w:rFonts w:cs="Arial"/>
          <w:b/>
          <w:bCs/>
          <w:i/>
          <w:iCs/>
          <w:szCs w:val="24"/>
          <w:lang w:eastAsia="en-AU"/>
        </w:rPr>
        <w:t>Rights promoted</w:t>
      </w:r>
    </w:p>
    <w:p w14:paraId="59D7D45C" w14:textId="77777777" w:rsidR="00AB6D0F" w:rsidRPr="00256E45" w:rsidRDefault="00AB6D0F" w:rsidP="00461D6D">
      <w:pPr>
        <w:autoSpaceDE w:val="0"/>
        <w:autoSpaceDN w:val="0"/>
        <w:adjustRightInd w:val="0"/>
        <w:jc w:val="both"/>
        <w:rPr>
          <w:rFonts w:cs="Arial"/>
          <w:szCs w:val="24"/>
          <w:lang w:eastAsia="en-AU"/>
        </w:rPr>
      </w:pPr>
    </w:p>
    <w:p w14:paraId="5678665D" w14:textId="2B513979" w:rsidR="00B900FD" w:rsidRPr="00256E45" w:rsidRDefault="00B900FD" w:rsidP="00B900FD">
      <w:pPr>
        <w:autoSpaceDE w:val="0"/>
        <w:autoSpaceDN w:val="0"/>
        <w:adjustRightInd w:val="0"/>
        <w:jc w:val="both"/>
        <w:rPr>
          <w:rFonts w:cs="Arial"/>
          <w:szCs w:val="24"/>
          <w:lang w:eastAsia="en-AU"/>
        </w:rPr>
      </w:pPr>
      <w:r w:rsidRPr="00256E45">
        <w:rPr>
          <w:rFonts w:cs="Arial"/>
          <w:szCs w:val="24"/>
          <w:lang w:eastAsia="en-AU"/>
        </w:rPr>
        <w:t>The Regulation will promote the rights of children (section 11(2) of the HR Act) as children and young people under the raised MACR will not be engaged in the justice system or subject to a protection order as a response to harmful behaviour. The amendments support the right of children and young people to the protections they require because of their age. The amendments recognise that a child or young person is highly vulnerable and does not possess fully developed physical or mental capacity when compared to an adult. Their involvement in the justice system is particularly harmful due to their age, with long term impacts on their health, wellbeing and life outcomes. </w:t>
      </w:r>
    </w:p>
    <w:p w14:paraId="21357255" w14:textId="77777777" w:rsidR="00B900FD" w:rsidRPr="00256E45" w:rsidRDefault="00B900FD" w:rsidP="00B900FD">
      <w:pPr>
        <w:autoSpaceDE w:val="0"/>
        <w:autoSpaceDN w:val="0"/>
        <w:adjustRightInd w:val="0"/>
        <w:jc w:val="both"/>
        <w:rPr>
          <w:rFonts w:cs="Arial"/>
          <w:szCs w:val="24"/>
          <w:lang w:eastAsia="en-AU"/>
        </w:rPr>
      </w:pPr>
    </w:p>
    <w:p w14:paraId="553A4BA1" w14:textId="3FD6745F" w:rsidR="00B900FD" w:rsidRPr="00256E45" w:rsidRDefault="00B900FD" w:rsidP="00B900FD">
      <w:pPr>
        <w:autoSpaceDE w:val="0"/>
        <w:autoSpaceDN w:val="0"/>
        <w:adjustRightInd w:val="0"/>
        <w:jc w:val="both"/>
        <w:rPr>
          <w:rFonts w:cs="Arial"/>
          <w:szCs w:val="24"/>
          <w:lang w:eastAsia="en-AU"/>
        </w:rPr>
      </w:pPr>
      <w:r w:rsidRPr="00256E45">
        <w:rPr>
          <w:rFonts w:cs="Arial"/>
          <w:szCs w:val="24"/>
          <w:lang w:eastAsia="en-AU"/>
        </w:rPr>
        <w:t>The retrospective commencement of section 3 and schedule 1</w:t>
      </w:r>
      <w:r w:rsidR="000A3887" w:rsidRPr="00256E45">
        <w:rPr>
          <w:rFonts w:cs="Arial"/>
          <w:szCs w:val="24"/>
          <w:lang w:eastAsia="en-AU"/>
        </w:rPr>
        <w:t xml:space="preserve">, and section 4 and schedule 2 </w:t>
      </w:r>
      <w:r w:rsidRPr="00256E45">
        <w:rPr>
          <w:rFonts w:cs="Arial"/>
          <w:szCs w:val="24"/>
          <w:lang w:eastAsia="en-AU"/>
        </w:rPr>
        <w:t>of the Regulation will also ensure that any child respondent to a protection order which was intended to have been revoked upon the commencement of Part 23 and the raising of the MACR to 12 years old on 22 November 2023</w:t>
      </w:r>
      <w:r w:rsidR="000A3887" w:rsidRPr="00256E45">
        <w:rPr>
          <w:rFonts w:cs="Arial"/>
          <w:szCs w:val="24"/>
          <w:lang w:eastAsia="en-AU"/>
        </w:rPr>
        <w:t>, or the commencement of Part 24 and the raising of the MACR to 14 years old on 1 July 2025,</w:t>
      </w:r>
      <w:r w:rsidRPr="00256E45">
        <w:rPr>
          <w:rFonts w:cs="Arial"/>
          <w:szCs w:val="24"/>
          <w:lang w:eastAsia="en-AU"/>
        </w:rPr>
        <w:t xml:space="preserve"> will have been taken to have been revoked when the MACR was raised. This will redress any ongoing impact of this for any child </w:t>
      </w:r>
      <w:r w:rsidR="00723F11" w:rsidRPr="00256E45">
        <w:rPr>
          <w:rFonts w:cs="Arial"/>
          <w:szCs w:val="24"/>
          <w:lang w:eastAsia="en-AU"/>
        </w:rPr>
        <w:t>unintentionally</w:t>
      </w:r>
      <w:r w:rsidRPr="00256E45">
        <w:rPr>
          <w:rFonts w:cs="Arial"/>
          <w:szCs w:val="24"/>
          <w:lang w:eastAsia="en-AU"/>
        </w:rPr>
        <w:t xml:space="preserve"> impacted by th</w:t>
      </w:r>
      <w:r w:rsidR="000A3887" w:rsidRPr="00256E45">
        <w:rPr>
          <w:rFonts w:cs="Arial"/>
          <w:szCs w:val="24"/>
          <w:lang w:eastAsia="en-AU"/>
        </w:rPr>
        <w:t>e</w:t>
      </w:r>
      <w:r w:rsidRPr="00256E45">
        <w:rPr>
          <w:rFonts w:cs="Arial"/>
          <w:szCs w:val="24"/>
          <w:lang w:eastAsia="en-AU"/>
        </w:rPr>
        <w:t>s</w:t>
      </w:r>
      <w:r w:rsidR="000A3887" w:rsidRPr="00256E45">
        <w:rPr>
          <w:rFonts w:cs="Arial"/>
          <w:szCs w:val="24"/>
          <w:lang w:eastAsia="en-AU"/>
        </w:rPr>
        <w:t>e</w:t>
      </w:r>
      <w:r w:rsidRPr="00256E45">
        <w:rPr>
          <w:rFonts w:cs="Arial"/>
          <w:szCs w:val="24"/>
          <w:lang w:eastAsia="en-AU"/>
        </w:rPr>
        <w:t xml:space="preserve"> error</w:t>
      </w:r>
      <w:r w:rsidR="000A3887" w:rsidRPr="00256E45">
        <w:rPr>
          <w:rFonts w:cs="Arial"/>
          <w:szCs w:val="24"/>
          <w:lang w:eastAsia="en-AU"/>
        </w:rPr>
        <w:t>s</w:t>
      </w:r>
      <w:r w:rsidRPr="00256E45">
        <w:rPr>
          <w:rFonts w:cs="Arial"/>
          <w:szCs w:val="24"/>
          <w:lang w:eastAsia="en-AU"/>
        </w:rPr>
        <w:t>.</w:t>
      </w:r>
    </w:p>
    <w:p w14:paraId="446A9ABE" w14:textId="77777777" w:rsidR="009C3D5B" w:rsidRPr="00256E45" w:rsidRDefault="009C3D5B" w:rsidP="00461D6D">
      <w:pPr>
        <w:autoSpaceDE w:val="0"/>
        <w:autoSpaceDN w:val="0"/>
        <w:adjustRightInd w:val="0"/>
        <w:jc w:val="both"/>
        <w:rPr>
          <w:rFonts w:cs="Arial"/>
          <w:szCs w:val="24"/>
          <w:lang w:eastAsia="en-AU"/>
        </w:rPr>
      </w:pPr>
    </w:p>
    <w:p w14:paraId="79C0DB0A" w14:textId="6572421F" w:rsidR="007661D6" w:rsidRPr="00256E45" w:rsidRDefault="00B900FD" w:rsidP="00461D6D">
      <w:pPr>
        <w:autoSpaceDE w:val="0"/>
        <w:autoSpaceDN w:val="0"/>
        <w:adjustRightInd w:val="0"/>
        <w:jc w:val="both"/>
        <w:rPr>
          <w:rFonts w:cs="Arial"/>
          <w:b/>
          <w:bCs/>
          <w:i/>
          <w:iCs/>
          <w:szCs w:val="24"/>
          <w:lang w:eastAsia="en-AU"/>
        </w:rPr>
      </w:pPr>
      <w:r w:rsidRPr="00256E45">
        <w:rPr>
          <w:rFonts w:cs="Arial"/>
          <w:b/>
          <w:bCs/>
          <w:i/>
          <w:iCs/>
          <w:szCs w:val="24"/>
          <w:lang w:eastAsia="en-AU"/>
        </w:rPr>
        <w:t>Rights limited</w:t>
      </w:r>
    </w:p>
    <w:p w14:paraId="4D86D4A3" w14:textId="77777777" w:rsidR="00B900FD" w:rsidRPr="00256E45" w:rsidRDefault="00B900FD" w:rsidP="00461D6D">
      <w:pPr>
        <w:autoSpaceDE w:val="0"/>
        <w:autoSpaceDN w:val="0"/>
        <w:adjustRightInd w:val="0"/>
        <w:jc w:val="both"/>
        <w:rPr>
          <w:rFonts w:cs="Arial"/>
          <w:szCs w:val="24"/>
          <w:lang w:eastAsia="en-AU"/>
        </w:rPr>
      </w:pPr>
    </w:p>
    <w:p w14:paraId="1BBB26CF" w14:textId="77777777" w:rsidR="00723F11" w:rsidRPr="00256E45" w:rsidRDefault="00723F11" w:rsidP="00723F11">
      <w:pPr>
        <w:numPr>
          <w:ilvl w:val="0"/>
          <w:numId w:val="11"/>
        </w:numPr>
        <w:autoSpaceDE w:val="0"/>
        <w:autoSpaceDN w:val="0"/>
        <w:adjustRightInd w:val="0"/>
        <w:jc w:val="both"/>
        <w:rPr>
          <w:rFonts w:cs="Arial"/>
          <w:b/>
          <w:bCs/>
          <w:i/>
          <w:iCs/>
          <w:szCs w:val="24"/>
          <w:lang w:eastAsia="en-AU"/>
        </w:rPr>
      </w:pPr>
      <w:r w:rsidRPr="00256E45">
        <w:rPr>
          <w:rFonts w:cs="Arial"/>
          <w:b/>
          <w:bCs/>
          <w:i/>
          <w:iCs/>
          <w:szCs w:val="24"/>
          <w:lang w:eastAsia="en-AU"/>
        </w:rPr>
        <w:t>Nature of the right and the limitation (ss 28(2)(a) and (c))</w:t>
      </w:r>
    </w:p>
    <w:p w14:paraId="03634267" w14:textId="77777777" w:rsidR="00723F11" w:rsidRPr="00256E45" w:rsidRDefault="00723F11" w:rsidP="00461D6D">
      <w:pPr>
        <w:autoSpaceDE w:val="0"/>
        <w:autoSpaceDN w:val="0"/>
        <w:adjustRightInd w:val="0"/>
        <w:jc w:val="both"/>
        <w:rPr>
          <w:rFonts w:cs="Arial"/>
          <w:szCs w:val="24"/>
          <w:lang w:eastAsia="en-AU"/>
        </w:rPr>
      </w:pPr>
    </w:p>
    <w:p w14:paraId="15FB2418" w14:textId="77777777" w:rsidR="00D43CE5" w:rsidRPr="00256E45" w:rsidRDefault="00D43CE5" w:rsidP="00D43CE5">
      <w:pPr>
        <w:autoSpaceDE w:val="0"/>
        <w:autoSpaceDN w:val="0"/>
        <w:adjustRightInd w:val="0"/>
        <w:jc w:val="both"/>
        <w:rPr>
          <w:rFonts w:cs="Arial"/>
          <w:szCs w:val="24"/>
          <w:lang w:eastAsia="en-AU"/>
        </w:rPr>
      </w:pPr>
      <w:r w:rsidRPr="00256E45">
        <w:rPr>
          <w:rFonts w:cs="Arial"/>
          <w:szCs w:val="24"/>
          <w:lang w:eastAsia="en-AU"/>
        </w:rPr>
        <w:t xml:space="preserve">These amendments may limit the right to security for applicants and protected persons in protection order matters. The right to security of person (section 18 of the HR Act) requires the government to provide reasonable measures to protect a person’s physical security. Expanding the definition of ‘child respondent’ and providing that protection orders made against a child respondent are to be revoked mean persons who feel at risk from the behaviour of a child or young person under the MACR can no longer apply for or rely on a protection order as a mechanism for safety. </w:t>
      </w:r>
    </w:p>
    <w:p w14:paraId="4D58EFC3" w14:textId="77777777" w:rsidR="00723F11" w:rsidRPr="00256E45" w:rsidRDefault="00723F11" w:rsidP="00461D6D">
      <w:pPr>
        <w:autoSpaceDE w:val="0"/>
        <w:autoSpaceDN w:val="0"/>
        <w:adjustRightInd w:val="0"/>
        <w:jc w:val="both"/>
        <w:rPr>
          <w:rFonts w:cs="Arial"/>
          <w:szCs w:val="24"/>
          <w:lang w:eastAsia="en-AU"/>
        </w:rPr>
      </w:pPr>
    </w:p>
    <w:p w14:paraId="5B22D781" w14:textId="15D653CB" w:rsidR="005E46BF" w:rsidRPr="00256E45" w:rsidRDefault="00723F11" w:rsidP="00461D6D">
      <w:pPr>
        <w:autoSpaceDE w:val="0"/>
        <w:autoSpaceDN w:val="0"/>
        <w:adjustRightInd w:val="0"/>
        <w:jc w:val="both"/>
        <w:rPr>
          <w:rFonts w:cs="Arial"/>
          <w:szCs w:val="24"/>
          <w:lang w:eastAsia="en-AU"/>
        </w:rPr>
      </w:pPr>
      <w:r w:rsidRPr="00256E45">
        <w:rPr>
          <w:rFonts w:cs="Arial"/>
          <w:szCs w:val="24"/>
          <w:lang w:eastAsia="en-AU"/>
        </w:rPr>
        <w:t>Importantly, the retrospective commencement of the</w:t>
      </w:r>
      <w:r w:rsidR="005B522D" w:rsidRPr="00256E45">
        <w:rPr>
          <w:rFonts w:cs="Arial"/>
          <w:szCs w:val="24"/>
          <w:lang w:eastAsia="en-AU"/>
        </w:rPr>
        <w:t xml:space="preserve"> section 3 and schedule 1, and section 4 and schedule 2 of the</w:t>
      </w:r>
      <w:r w:rsidRPr="00256E45">
        <w:rPr>
          <w:rFonts w:cs="Arial"/>
          <w:szCs w:val="24"/>
          <w:lang w:eastAsia="en-AU"/>
        </w:rPr>
        <w:t xml:space="preserve"> Regulation is not anticipated to impact or limit this right for protected persons. Although protection orders against a child respondent are to be revoked under sch</w:t>
      </w:r>
      <w:r w:rsidR="005B522D" w:rsidRPr="00256E45">
        <w:rPr>
          <w:rFonts w:cs="Arial"/>
          <w:szCs w:val="24"/>
          <w:lang w:eastAsia="en-AU"/>
        </w:rPr>
        <w:t>edule</w:t>
      </w:r>
      <w:r w:rsidRPr="00256E45">
        <w:rPr>
          <w:rFonts w:cs="Arial"/>
          <w:szCs w:val="24"/>
          <w:lang w:eastAsia="en-AU"/>
        </w:rPr>
        <w:t xml:space="preserve"> 1 cl</w:t>
      </w:r>
      <w:r w:rsidR="005B522D" w:rsidRPr="00256E45">
        <w:rPr>
          <w:rFonts w:cs="Arial"/>
          <w:szCs w:val="24"/>
          <w:lang w:eastAsia="en-AU"/>
        </w:rPr>
        <w:t>ause</w:t>
      </w:r>
      <w:r w:rsidRPr="00256E45">
        <w:rPr>
          <w:rFonts w:cs="Arial"/>
          <w:szCs w:val="24"/>
          <w:lang w:eastAsia="en-AU"/>
        </w:rPr>
        <w:t xml:space="preserve"> 1.1 and sch</w:t>
      </w:r>
      <w:r w:rsidR="005B522D" w:rsidRPr="00256E45">
        <w:rPr>
          <w:rFonts w:cs="Arial"/>
          <w:szCs w:val="24"/>
          <w:lang w:eastAsia="en-AU"/>
        </w:rPr>
        <w:t>edule</w:t>
      </w:r>
      <w:r w:rsidRPr="00256E45">
        <w:rPr>
          <w:rFonts w:cs="Arial"/>
          <w:szCs w:val="24"/>
          <w:lang w:eastAsia="en-AU"/>
        </w:rPr>
        <w:t xml:space="preserve"> 2 cl</w:t>
      </w:r>
      <w:r w:rsidR="005B522D" w:rsidRPr="00256E45">
        <w:rPr>
          <w:rFonts w:cs="Arial"/>
          <w:szCs w:val="24"/>
          <w:lang w:eastAsia="en-AU"/>
        </w:rPr>
        <w:t>ause</w:t>
      </w:r>
      <w:r w:rsidRPr="00256E45">
        <w:rPr>
          <w:rFonts w:cs="Arial"/>
          <w:szCs w:val="24"/>
          <w:lang w:eastAsia="en-AU"/>
        </w:rPr>
        <w:t xml:space="preserve"> 2.2, these protection orders could not be enforced or amended under the transitional provisions in Part 23 and Part 24 to the PV Act which already commenced when the MACR was raised to 12 and 14 years old</w:t>
      </w:r>
      <w:r w:rsidR="008B29C5" w:rsidRPr="00256E45">
        <w:rPr>
          <w:rFonts w:cs="Arial"/>
          <w:szCs w:val="24"/>
          <w:lang w:eastAsia="en-AU"/>
        </w:rPr>
        <w:t xml:space="preserve"> and have been in force since 22 November 2023 and 1 July 2025</w:t>
      </w:r>
      <w:r w:rsidR="005B522D" w:rsidRPr="00256E45">
        <w:rPr>
          <w:rFonts w:cs="Arial"/>
          <w:szCs w:val="24"/>
          <w:lang w:eastAsia="en-AU"/>
        </w:rPr>
        <w:t xml:space="preserve">, respectively. </w:t>
      </w:r>
      <w:r w:rsidR="00D43CE5" w:rsidRPr="00256E45">
        <w:rPr>
          <w:rFonts w:cs="Arial"/>
          <w:szCs w:val="24"/>
          <w:lang w:eastAsia="en-AU"/>
        </w:rPr>
        <w:t>Therefore, protected persons were unable to rely on these protection orders in any case.</w:t>
      </w:r>
    </w:p>
    <w:p w14:paraId="530ED334" w14:textId="77777777" w:rsidR="00723F11" w:rsidRPr="00256E45" w:rsidRDefault="00723F11" w:rsidP="00723F11">
      <w:pPr>
        <w:autoSpaceDE w:val="0"/>
        <w:autoSpaceDN w:val="0"/>
        <w:adjustRightInd w:val="0"/>
        <w:ind w:left="720"/>
        <w:jc w:val="both"/>
        <w:rPr>
          <w:rFonts w:cs="Arial"/>
          <w:b/>
          <w:bCs/>
          <w:i/>
          <w:iCs/>
          <w:szCs w:val="24"/>
          <w:lang w:eastAsia="en-AU"/>
        </w:rPr>
      </w:pPr>
    </w:p>
    <w:p w14:paraId="6C49957E" w14:textId="280141F3" w:rsidR="005E46BF" w:rsidRPr="00256E45" w:rsidRDefault="00723F11" w:rsidP="00723F11">
      <w:pPr>
        <w:numPr>
          <w:ilvl w:val="0"/>
          <w:numId w:val="11"/>
        </w:numPr>
        <w:autoSpaceDE w:val="0"/>
        <w:autoSpaceDN w:val="0"/>
        <w:adjustRightInd w:val="0"/>
        <w:jc w:val="both"/>
        <w:rPr>
          <w:rFonts w:cs="Arial"/>
          <w:b/>
          <w:bCs/>
          <w:i/>
          <w:iCs/>
          <w:szCs w:val="24"/>
          <w:lang w:eastAsia="en-AU"/>
        </w:rPr>
      </w:pPr>
      <w:r w:rsidRPr="00256E45">
        <w:rPr>
          <w:rFonts w:cs="Arial"/>
          <w:b/>
          <w:bCs/>
          <w:i/>
          <w:iCs/>
          <w:szCs w:val="24"/>
          <w:lang w:eastAsia="en-AU"/>
        </w:rPr>
        <w:t>Legitimate purposes (28(2)(b)) and rational connection between the limitation and the purpose (s28(2)(d))</w:t>
      </w:r>
    </w:p>
    <w:p w14:paraId="11A85D9B" w14:textId="77777777" w:rsidR="00723F11" w:rsidRPr="00256E45" w:rsidRDefault="00723F11" w:rsidP="00723F11">
      <w:pPr>
        <w:autoSpaceDE w:val="0"/>
        <w:autoSpaceDN w:val="0"/>
        <w:adjustRightInd w:val="0"/>
        <w:ind w:left="720"/>
        <w:jc w:val="both"/>
        <w:rPr>
          <w:rFonts w:cs="Arial"/>
          <w:b/>
          <w:bCs/>
          <w:i/>
          <w:iCs/>
          <w:szCs w:val="24"/>
          <w:lang w:eastAsia="en-AU"/>
        </w:rPr>
      </w:pPr>
    </w:p>
    <w:p w14:paraId="41108440" w14:textId="77777777" w:rsidR="00F85450" w:rsidRPr="00256E45" w:rsidRDefault="00F85450" w:rsidP="00F85450">
      <w:pPr>
        <w:autoSpaceDE w:val="0"/>
        <w:autoSpaceDN w:val="0"/>
        <w:adjustRightInd w:val="0"/>
        <w:jc w:val="both"/>
        <w:rPr>
          <w:rFonts w:cs="Arial"/>
          <w:szCs w:val="24"/>
          <w:lang w:eastAsia="en-AU"/>
        </w:rPr>
      </w:pPr>
      <w:r w:rsidRPr="00256E45">
        <w:rPr>
          <w:rFonts w:cs="Arial"/>
          <w:szCs w:val="24"/>
          <w:lang w:eastAsia="en-AU"/>
        </w:rPr>
        <w:t xml:space="preserve">These amendments are necessary to achieve the policy intent of raising the MACR to enable a better response to the complex needs of children and young people who engage in harmful behaviours. This will likely result in fewer children and young people becoming involved in the justice system and improved safety for the community. </w:t>
      </w:r>
    </w:p>
    <w:p w14:paraId="40A1A5BC" w14:textId="77777777" w:rsidR="00723F11" w:rsidRPr="00256E45" w:rsidRDefault="00723F11" w:rsidP="00461D6D">
      <w:pPr>
        <w:autoSpaceDE w:val="0"/>
        <w:autoSpaceDN w:val="0"/>
        <w:adjustRightInd w:val="0"/>
        <w:jc w:val="both"/>
        <w:rPr>
          <w:rFonts w:cs="Arial"/>
          <w:szCs w:val="24"/>
          <w:lang w:eastAsia="en-AU"/>
        </w:rPr>
      </w:pPr>
    </w:p>
    <w:p w14:paraId="4011B177" w14:textId="2E8928BD" w:rsidR="00723F11" w:rsidRPr="00256E45" w:rsidRDefault="00723F11" w:rsidP="00723F11">
      <w:pPr>
        <w:numPr>
          <w:ilvl w:val="0"/>
          <w:numId w:val="11"/>
        </w:numPr>
        <w:autoSpaceDE w:val="0"/>
        <w:autoSpaceDN w:val="0"/>
        <w:adjustRightInd w:val="0"/>
        <w:jc w:val="both"/>
        <w:rPr>
          <w:rFonts w:cs="Arial"/>
          <w:szCs w:val="24"/>
          <w:lang w:eastAsia="en-AU"/>
        </w:rPr>
      </w:pPr>
      <w:r w:rsidRPr="00256E45">
        <w:rPr>
          <w:rFonts w:cs="Arial"/>
          <w:b/>
          <w:bCs/>
          <w:i/>
          <w:iCs/>
          <w:szCs w:val="24"/>
          <w:lang w:eastAsia="en-AU"/>
        </w:rPr>
        <w:lastRenderedPageBreak/>
        <w:t>Proportionality (s28(2)(e))</w:t>
      </w:r>
    </w:p>
    <w:p w14:paraId="19FE658D" w14:textId="77777777" w:rsidR="005E46BF" w:rsidRPr="00256E45" w:rsidRDefault="005E46BF" w:rsidP="00461D6D">
      <w:pPr>
        <w:autoSpaceDE w:val="0"/>
        <w:autoSpaceDN w:val="0"/>
        <w:adjustRightInd w:val="0"/>
        <w:jc w:val="both"/>
        <w:rPr>
          <w:rFonts w:cs="Arial"/>
          <w:szCs w:val="24"/>
          <w:lang w:eastAsia="en-AU"/>
        </w:rPr>
      </w:pPr>
    </w:p>
    <w:p w14:paraId="1B51C06B" w14:textId="77777777" w:rsidR="005E46BF" w:rsidRPr="00256E45" w:rsidRDefault="005E46BF" w:rsidP="00461D6D">
      <w:pPr>
        <w:autoSpaceDE w:val="0"/>
        <w:autoSpaceDN w:val="0"/>
        <w:adjustRightInd w:val="0"/>
        <w:jc w:val="both"/>
        <w:rPr>
          <w:rFonts w:cs="Arial"/>
          <w:szCs w:val="24"/>
          <w:lang w:eastAsia="en-AU"/>
        </w:rPr>
      </w:pPr>
      <w:r w:rsidRPr="00256E45">
        <w:rPr>
          <w:rFonts w:cs="Arial"/>
          <w:szCs w:val="24"/>
          <w:lang w:eastAsia="en-AU"/>
        </w:rPr>
        <w:t xml:space="preserve">The limitation on a person’s right to security is the least restrictive method of achieving the policy goal of raising the MACR to an appropriate age and ensuring the PV Act and protection order scheme operates consistently with this intention. </w:t>
      </w:r>
    </w:p>
    <w:p w14:paraId="48002161" w14:textId="77777777" w:rsidR="005E46BF" w:rsidRPr="00256E45" w:rsidRDefault="005E46BF" w:rsidP="00461D6D">
      <w:pPr>
        <w:autoSpaceDE w:val="0"/>
        <w:autoSpaceDN w:val="0"/>
        <w:adjustRightInd w:val="0"/>
        <w:jc w:val="both"/>
        <w:rPr>
          <w:rFonts w:cs="Arial"/>
          <w:szCs w:val="24"/>
          <w:lang w:eastAsia="en-AU"/>
        </w:rPr>
      </w:pPr>
    </w:p>
    <w:p w14:paraId="279D9BBC" w14:textId="77777777" w:rsidR="00E360DC" w:rsidRPr="00256E45" w:rsidRDefault="00E360DC" w:rsidP="00E360DC">
      <w:pPr>
        <w:autoSpaceDE w:val="0"/>
        <w:autoSpaceDN w:val="0"/>
        <w:adjustRightInd w:val="0"/>
        <w:jc w:val="both"/>
        <w:rPr>
          <w:rFonts w:cs="Arial"/>
          <w:szCs w:val="24"/>
          <w:lang w:eastAsia="en-AU"/>
        </w:rPr>
      </w:pPr>
      <w:r w:rsidRPr="00256E45">
        <w:rPr>
          <w:rFonts w:cs="Arial"/>
          <w:szCs w:val="24"/>
          <w:lang w:eastAsia="en-AU"/>
        </w:rPr>
        <w:t>The rights of victims in relation to the justice system can no longer be given effect to in the same way because there will no longer be a justice response to the harmful behaviour of children and young people under 14 for most offences. The response to this cohort is so that these children and young people will receive intensive support and therapy to address harmful behaviours through the framework of support introduced in the Amendment Act. This has the aim of reducing such behaviour and ultimately keeping our community safer.</w:t>
      </w:r>
    </w:p>
    <w:p w14:paraId="4A91D7C2" w14:textId="4C9B2ECC" w:rsidR="000F0A9E" w:rsidRPr="00256E45" w:rsidRDefault="000F0A9E" w:rsidP="00461D6D">
      <w:pPr>
        <w:autoSpaceDE w:val="0"/>
        <w:autoSpaceDN w:val="0"/>
        <w:adjustRightInd w:val="0"/>
        <w:jc w:val="both"/>
        <w:rPr>
          <w:rFonts w:cs="Arial"/>
          <w:szCs w:val="24"/>
          <w:lang w:eastAsia="en-AU"/>
        </w:rPr>
      </w:pPr>
    </w:p>
    <w:p w14:paraId="3BDC56D2" w14:textId="2FDFDC48" w:rsidR="00D727E7" w:rsidRPr="00256E45" w:rsidRDefault="005E46BF" w:rsidP="00461D6D">
      <w:pPr>
        <w:autoSpaceDE w:val="0"/>
        <w:autoSpaceDN w:val="0"/>
        <w:adjustRightInd w:val="0"/>
        <w:jc w:val="both"/>
        <w:rPr>
          <w:rFonts w:cs="Arial"/>
          <w:szCs w:val="24"/>
          <w:lang w:eastAsia="en-AU"/>
        </w:rPr>
      </w:pPr>
      <w:r w:rsidRPr="00256E45">
        <w:rPr>
          <w:rFonts w:cs="Arial"/>
          <w:szCs w:val="24"/>
          <w:lang w:eastAsia="en-AU"/>
        </w:rPr>
        <w:t xml:space="preserve">It </w:t>
      </w:r>
      <w:r w:rsidR="00D727E7" w:rsidRPr="00256E45">
        <w:rPr>
          <w:rFonts w:cs="Arial"/>
          <w:szCs w:val="24"/>
          <w:lang w:eastAsia="en-AU"/>
        </w:rPr>
        <w:t>would be inappropriate and inconsistent to enable protection orders to be taken out and enforced against a respondent who is aged under the MACR</w:t>
      </w:r>
      <w:r w:rsidRPr="00256E45">
        <w:rPr>
          <w:rFonts w:cs="Arial"/>
          <w:szCs w:val="24"/>
          <w:lang w:eastAsia="en-AU"/>
        </w:rPr>
        <w:t xml:space="preserve"> </w:t>
      </w:r>
      <w:r w:rsidR="00D727E7" w:rsidRPr="00256E45">
        <w:rPr>
          <w:rFonts w:cs="Arial"/>
          <w:szCs w:val="24"/>
          <w:lang w:eastAsia="en-AU"/>
        </w:rPr>
        <w:t xml:space="preserve">or was at the time the order was made, </w:t>
      </w:r>
      <w:r w:rsidRPr="00256E45">
        <w:rPr>
          <w:rFonts w:cs="Arial"/>
          <w:szCs w:val="24"/>
          <w:lang w:eastAsia="en-AU"/>
        </w:rPr>
        <w:t>given they cannot be held criminally responsible for a breach.</w:t>
      </w:r>
      <w:r w:rsidR="00D727E7" w:rsidRPr="00256E45">
        <w:rPr>
          <w:rFonts w:cs="Arial"/>
          <w:szCs w:val="24"/>
          <w:lang w:eastAsia="en-AU"/>
        </w:rPr>
        <w:t xml:space="preserve"> </w:t>
      </w:r>
    </w:p>
    <w:p w14:paraId="62E67E64" w14:textId="77777777" w:rsidR="00D727E7" w:rsidRPr="00256E45" w:rsidRDefault="00D727E7" w:rsidP="00461D6D">
      <w:pPr>
        <w:autoSpaceDE w:val="0"/>
        <w:autoSpaceDN w:val="0"/>
        <w:adjustRightInd w:val="0"/>
        <w:jc w:val="both"/>
        <w:rPr>
          <w:rFonts w:cs="Arial"/>
          <w:szCs w:val="24"/>
          <w:lang w:eastAsia="en-AU"/>
        </w:rPr>
      </w:pPr>
    </w:p>
    <w:p w14:paraId="2EDD5F22" w14:textId="77777777" w:rsidR="00D727E7" w:rsidRPr="00256E45" w:rsidRDefault="00D727E7" w:rsidP="00D727E7">
      <w:pPr>
        <w:autoSpaceDE w:val="0"/>
        <w:autoSpaceDN w:val="0"/>
        <w:adjustRightInd w:val="0"/>
        <w:jc w:val="both"/>
        <w:rPr>
          <w:rFonts w:cs="Arial"/>
          <w:szCs w:val="24"/>
          <w:lang w:eastAsia="en-AU"/>
        </w:rPr>
      </w:pPr>
      <w:r w:rsidRPr="00256E45">
        <w:rPr>
          <w:rFonts w:cs="Arial"/>
          <w:szCs w:val="24"/>
          <w:lang w:eastAsia="en-AU"/>
        </w:rPr>
        <w:t>Additionally, the amendment by regulation is a safeguard as regulations are subject to examination by the Legislative Assembly.</w:t>
      </w:r>
    </w:p>
    <w:p w14:paraId="37CFFB74" w14:textId="77777777" w:rsidR="00723F11" w:rsidRPr="00256E45" w:rsidRDefault="00723F11" w:rsidP="00D727E7">
      <w:pPr>
        <w:autoSpaceDE w:val="0"/>
        <w:autoSpaceDN w:val="0"/>
        <w:adjustRightInd w:val="0"/>
        <w:jc w:val="both"/>
        <w:rPr>
          <w:rFonts w:cs="Arial"/>
          <w:szCs w:val="24"/>
          <w:lang w:eastAsia="en-AU"/>
        </w:rPr>
      </w:pPr>
    </w:p>
    <w:p w14:paraId="33DE72FF" w14:textId="0EFB89EA" w:rsidR="005E46BF" w:rsidRPr="00256E45" w:rsidRDefault="00D727E7" w:rsidP="00461D6D">
      <w:pPr>
        <w:autoSpaceDE w:val="0"/>
        <w:autoSpaceDN w:val="0"/>
        <w:adjustRightInd w:val="0"/>
        <w:jc w:val="both"/>
        <w:rPr>
          <w:rFonts w:cs="Arial"/>
          <w:szCs w:val="24"/>
          <w:lang w:eastAsia="en-AU"/>
        </w:rPr>
      </w:pPr>
      <w:r w:rsidRPr="00256E45">
        <w:rPr>
          <w:rFonts w:cs="Arial"/>
          <w:szCs w:val="24"/>
          <w:lang w:eastAsia="en-AU"/>
        </w:rPr>
        <w:t>On balance and considering the factors listed in section 28 of the HR Act, the limitation to the rights of security of the person are balanced and proportionate to achieve the legitimate aim.</w:t>
      </w:r>
    </w:p>
    <w:p w14:paraId="4DC19E1F" w14:textId="77777777" w:rsidR="006E7953" w:rsidRPr="00256E45" w:rsidRDefault="006E7953" w:rsidP="00461D6D">
      <w:pPr>
        <w:autoSpaceDE w:val="0"/>
        <w:autoSpaceDN w:val="0"/>
        <w:adjustRightInd w:val="0"/>
        <w:jc w:val="both"/>
        <w:rPr>
          <w:rFonts w:cs="Arial"/>
          <w:szCs w:val="24"/>
          <w:lang w:eastAsia="en-AU"/>
        </w:rPr>
      </w:pPr>
    </w:p>
    <w:p w14:paraId="17DBFCA2" w14:textId="77777777" w:rsidR="001D2FE6" w:rsidRPr="00256E45" w:rsidRDefault="001D2FE6" w:rsidP="00461D6D">
      <w:pPr>
        <w:autoSpaceDE w:val="0"/>
        <w:autoSpaceDN w:val="0"/>
        <w:adjustRightInd w:val="0"/>
        <w:jc w:val="both"/>
        <w:rPr>
          <w:rFonts w:cs="Arial"/>
          <w:b/>
          <w:szCs w:val="24"/>
        </w:rPr>
      </w:pPr>
    </w:p>
    <w:p w14:paraId="6D777F82" w14:textId="77777777" w:rsidR="006A5F06" w:rsidRPr="00256E45" w:rsidRDefault="006A5F06" w:rsidP="00D918E8">
      <w:pPr>
        <w:autoSpaceDE w:val="0"/>
        <w:autoSpaceDN w:val="0"/>
        <w:adjustRightInd w:val="0"/>
        <w:rPr>
          <w:rFonts w:cs="Arial"/>
          <w:szCs w:val="24"/>
          <w:lang w:eastAsia="en-AU"/>
        </w:rPr>
      </w:pPr>
      <w:r w:rsidRPr="00256E45">
        <w:rPr>
          <w:rFonts w:cs="Arial"/>
          <w:b/>
          <w:szCs w:val="24"/>
        </w:rPr>
        <w:t>Detail</w:t>
      </w:r>
    </w:p>
    <w:p w14:paraId="1C6381F5" w14:textId="77777777" w:rsidR="006A5F06" w:rsidRPr="00256E45" w:rsidRDefault="006A5F06" w:rsidP="00461D6D">
      <w:pPr>
        <w:jc w:val="both"/>
        <w:rPr>
          <w:rFonts w:cs="Arial"/>
          <w:szCs w:val="24"/>
        </w:rPr>
      </w:pPr>
    </w:p>
    <w:p w14:paraId="307D64DA" w14:textId="77777777" w:rsidR="006A5F06" w:rsidRPr="00256E45" w:rsidRDefault="00B02F11" w:rsidP="00461D6D">
      <w:pPr>
        <w:jc w:val="both"/>
        <w:rPr>
          <w:rFonts w:cs="Arial"/>
          <w:b/>
          <w:szCs w:val="24"/>
        </w:rPr>
      </w:pPr>
      <w:r w:rsidRPr="00256E45">
        <w:rPr>
          <w:rFonts w:cs="Arial"/>
          <w:b/>
          <w:szCs w:val="24"/>
        </w:rPr>
        <w:t>Clause 1 – Name of regulation</w:t>
      </w:r>
    </w:p>
    <w:p w14:paraId="27394438" w14:textId="77777777" w:rsidR="008B0CBB" w:rsidRPr="00256E45" w:rsidRDefault="008B0CBB" w:rsidP="00461D6D">
      <w:pPr>
        <w:jc w:val="both"/>
        <w:rPr>
          <w:rFonts w:cs="Arial"/>
          <w:b/>
          <w:szCs w:val="24"/>
        </w:rPr>
      </w:pPr>
    </w:p>
    <w:p w14:paraId="5592D8A9" w14:textId="590D1765" w:rsidR="006A5F06" w:rsidRPr="00256E45" w:rsidRDefault="006A5F06" w:rsidP="00461D6D">
      <w:pPr>
        <w:jc w:val="both"/>
        <w:rPr>
          <w:rFonts w:cs="Arial"/>
          <w:szCs w:val="24"/>
        </w:rPr>
      </w:pPr>
      <w:r w:rsidRPr="00256E45">
        <w:rPr>
          <w:rFonts w:cs="Arial"/>
          <w:szCs w:val="24"/>
        </w:rPr>
        <w:t>This clau</w:t>
      </w:r>
      <w:r w:rsidR="00793B68" w:rsidRPr="00256E45">
        <w:rPr>
          <w:rFonts w:cs="Arial"/>
          <w:szCs w:val="24"/>
        </w:rPr>
        <w:t>se establishes the name of the R</w:t>
      </w:r>
      <w:r w:rsidRPr="00256E45">
        <w:rPr>
          <w:rFonts w:cs="Arial"/>
          <w:szCs w:val="24"/>
        </w:rPr>
        <w:t xml:space="preserve">egulation as </w:t>
      </w:r>
      <w:r w:rsidR="00D918E8" w:rsidRPr="00256E45">
        <w:rPr>
          <w:rFonts w:cs="Arial"/>
          <w:i/>
          <w:szCs w:val="24"/>
        </w:rPr>
        <w:t>Personal Violence (Transitional Provisions) Regulation 2025</w:t>
      </w:r>
      <w:r w:rsidR="00793B68" w:rsidRPr="00256E45">
        <w:rPr>
          <w:rFonts w:cs="Arial"/>
          <w:szCs w:val="24"/>
        </w:rPr>
        <w:t>.</w:t>
      </w:r>
    </w:p>
    <w:p w14:paraId="7D8EA096" w14:textId="77777777" w:rsidR="006A5F06" w:rsidRPr="00256E45" w:rsidRDefault="006A5F06" w:rsidP="00461D6D">
      <w:pPr>
        <w:jc w:val="both"/>
        <w:rPr>
          <w:rFonts w:cs="Arial"/>
          <w:b/>
          <w:szCs w:val="24"/>
        </w:rPr>
      </w:pPr>
    </w:p>
    <w:p w14:paraId="63B3887C" w14:textId="77777777" w:rsidR="006A5F06" w:rsidRPr="00256E45" w:rsidRDefault="00B02F11" w:rsidP="00461D6D">
      <w:pPr>
        <w:jc w:val="both"/>
        <w:rPr>
          <w:rFonts w:cs="Arial"/>
          <w:b/>
          <w:szCs w:val="24"/>
        </w:rPr>
      </w:pPr>
      <w:r w:rsidRPr="00256E45">
        <w:rPr>
          <w:rFonts w:cs="Arial"/>
          <w:b/>
          <w:szCs w:val="24"/>
        </w:rPr>
        <w:t xml:space="preserve">Clause 2 – </w:t>
      </w:r>
      <w:r w:rsidR="006A5F06" w:rsidRPr="00256E45">
        <w:rPr>
          <w:rFonts w:cs="Arial"/>
          <w:b/>
          <w:szCs w:val="24"/>
        </w:rPr>
        <w:t xml:space="preserve">Commencement </w:t>
      </w:r>
    </w:p>
    <w:p w14:paraId="629DC6A2" w14:textId="77777777" w:rsidR="008B0CBB" w:rsidRPr="00256E45" w:rsidRDefault="008B0CBB" w:rsidP="00461D6D">
      <w:pPr>
        <w:jc w:val="both"/>
        <w:rPr>
          <w:rFonts w:cs="Arial"/>
          <w:b/>
          <w:szCs w:val="24"/>
        </w:rPr>
      </w:pPr>
    </w:p>
    <w:p w14:paraId="7987EFC2" w14:textId="3C468DE8" w:rsidR="006A5F06" w:rsidRPr="00256E45" w:rsidRDefault="006A5F06" w:rsidP="00461D6D">
      <w:pPr>
        <w:jc w:val="both"/>
        <w:rPr>
          <w:rFonts w:cs="Arial"/>
          <w:szCs w:val="24"/>
        </w:rPr>
      </w:pPr>
      <w:r w:rsidRPr="00256E45">
        <w:rPr>
          <w:rFonts w:cs="Arial"/>
          <w:szCs w:val="24"/>
        </w:rPr>
        <w:t xml:space="preserve">This is a formal provision specifying when the </w:t>
      </w:r>
      <w:r w:rsidR="00FC459E" w:rsidRPr="00256E45">
        <w:rPr>
          <w:rFonts w:cs="Arial"/>
          <w:szCs w:val="24"/>
        </w:rPr>
        <w:t>R</w:t>
      </w:r>
      <w:r w:rsidRPr="00256E45">
        <w:rPr>
          <w:rFonts w:cs="Arial"/>
          <w:szCs w:val="24"/>
        </w:rPr>
        <w:t>egulation will commence.</w:t>
      </w:r>
    </w:p>
    <w:p w14:paraId="293892F8" w14:textId="77777777" w:rsidR="00723F11" w:rsidRPr="00256E45" w:rsidRDefault="00723F11" w:rsidP="00461D6D">
      <w:pPr>
        <w:jc w:val="both"/>
        <w:rPr>
          <w:rFonts w:cs="Arial"/>
          <w:szCs w:val="24"/>
        </w:rPr>
      </w:pPr>
    </w:p>
    <w:p w14:paraId="7727E552" w14:textId="6A3DF7B0" w:rsidR="00723F11" w:rsidRPr="00256E45" w:rsidRDefault="00723F11" w:rsidP="00461D6D">
      <w:pPr>
        <w:jc w:val="both"/>
        <w:rPr>
          <w:rFonts w:cs="Arial"/>
          <w:szCs w:val="24"/>
        </w:rPr>
      </w:pPr>
      <w:r w:rsidRPr="00256E45">
        <w:rPr>
          <w:rFonts w:cs="Arial"/>
          <w:szCs w:val="24"/>
        </w:rPr>
        <w:t>Section 3 and schedule 1 of the Regulation are taken to have commenced on the commencement of section 120 of the Amendment Act, being 22 November 2023, to align with the date the MACR was raised to 12.</w:t>
      </w:r>
    </w:p>
    <w:p w14:paraId="420F97DB" w14:textId="77777777" w:rsidR="00723F11" w:rsidRPr="00256E45" w:rsidRDefault="00723F11" w:rsidP="00461D6D">
      <w:pPr>
        <w:jc w:val="both"/>
        <w:rPr>
          <w:rFonts w:cs="Arial"/>
          <w:szCs w:val="24"/>
        </w:rPr>
      </w:pPr>
    </w:p>
    <w:p w14:paraId="5BB2EE6E" w14:textId="126D3423" w:rsidR="00723F11" w:rsidRPr="00256E45" w:rsidRDefault="00723F11" w:rsidP="00461D6D">
      <w:pPr>
        <w:jc w:val="both"/>
        <w:rPr>
          <w:rFonts w:cs="Arial"/>
          <w:szCs w:val="24"/>
        </w:rPr>
      </w:pPr>
      <w:r w:rsidRPr="00256E45">
        <w:rPr>
          <w:rFonts w:cs="Arial"/>
          <w:szCs w:val="24"/>
        </w:rPr>
        <w:t>Section 4 and schedule 2 of the Regulation are taken to have commenced on the commencement of section 121 of the Amendment Act, being 1 July 2025, to align with the date the MACR was raised to 14.</w:t>
      </w:r>
    </w:p>
    <w:p w14:paraId="6F05E933" w14:textId="77777777" w:rsidR="006A5F06" w:rsidRPr="00256E45" w:rsidRDefault="006A5F06" w:rsidP="00461D6D">
      <w:pPr>
        <w:jc w:val="both"/>
        <w:rPr>
          <w:rFonts w:cs="Arial"/>
          <w:b/>
          <w:szCs w:val="24"/>
        </w:rPr>
      </w:pPr>
    </w:p>
    <w:p w14:paraId="1B839F8E" w14:textId="238CD78A" w:rsidR="00723F11" w:rsidRPr="00256E45" w:rsidRDefault="00B02F11" w:rsidP="00461D6D">
      <w:pPr>
        <w:jc w:val="both"/>
        <w:rPr>
          <w:rFonts w:cs="Arial"/>
          <w:b/>
          <w:szCs w:val="24"/>
        </w:rPr>
      </w:pPr>
      <w:r w:rsidRPr="00256E45">
        <w:rPr>
          <w:rFonts w:cs="Arial"/>
          <w:b/>
          <w:szCs w:val="24"/>
        </w:rPr>
        <w:t xml:space="preserve">Clause 3 – </w:t>
      </w:r>
      <w:r w:rsidR="00723F11" w:rsidRPr="00256E45">
        <w:rPr>
          <w:rFonts w:cs="Arial"/>
          <w:b/>
          <w:szCs w:val="24"/>
        </w:rPr>
        <w:t>Modification of Act, pt 23—Act, s 211 (2)</w:t>
      </w:r>
    </w:p>
    <w:p w14:paraId="1DC2EA5B" w14:textId="77777777" w:rsidR="008B0CBB" w:rsidRPr="00256E45" w:rsidRDefault="008B0CBB" w:rsidP="00461D6D">
      <w:pPr>
        <w:jc w:val="both"/>
        <w:rPr>
          <w:rFonts w:cs="Arial"/>
          <w:b/>
          <w:szCs w:val="24"/>
        </w:rPr>
      </w:pPr>
    </w:p>
    <w:p w14:paraId="5DCC892B" w14:textId="71BB09C7" w:rsidR="006A5F06" w:rsidRPr="00256E45" w:rsidRDefault="00723F11" w:rsidP="00461D6D">
      <w:pPr>
        <w:jc w:val="both"/>
        <w:rPr>
          <w:rFonts w:cs="Arial"/>
          <w:szCs w:val="24"/>
        </w:rPr>
      </w:pPr>
      <w:r w:rsidRPr="00256E45">
        <w:rPr>
          <w:rFonts w:cs="Arial"/>
          <w:szCs w:val="24"/>
        </w:rPr>
        <w:t>Schedule 1 of this Regulation modifies Part 23 of the PV Act</w:t>
      </w:r>
      <w:r w:rsidR="00FC459E" w:rsidRPr="00256E45">
        <w:rPr>
          <w:rFonts w:cs="Arial"/>
          <w:szCs w:val="24"/>
        </w:rPr>
        <w:t>.</w:t>
      </w:r>
      <w:r w:rsidR="006A5F06" w:rsidRPr="00256E45">
        <w:rPr>
          <w:rFonts w:cs="Arial"/>
          <w:szCs w:val="24"/>
        </w:rPr>
        <w:t xml:space="preserve"> </w:t>
      </w:r>
    </w:p>
    <w:p w14:paraId="0AB7152F" w14:textId="77777777" w:rsidR="006A5F06" w:rsidRPr="00256E45" w:rsidRDefault="006A5F06" w:rsidP="00461D6D">
      <w:pPr>
        <w:jc w:val="both"/>
        <w:rPr>
          <w:rFonts w:cs="Arial"/>
          <w:b/>
          <w:szCs w:val="24"/>
        </w:rPr>
      </w:pPr>
    </w:p>
    <w:p w14:paraId="2CB46865" w14:textId="0B682564" w:rsidR="006A5F06" w:rsidRPr="00256E45" w:rsidRDefault="00B02F11" w:rsidP="00461D6D">
      <w:pPr>
        <w:jc w:val="both"/>
        <w:rPr>
          <w:rFonts w:cs="Arial"/>
          <w:b/>
          <w:szCs w:val="24"/>
        </w:rPr>
      </w:pPr>
      <w:r w:rsidRPr="00256E45">
        <w:rPr>
          <w:rFonts w:cs="Arial"/>
          <w:b/>
          <w:szCs w:val="24"/>
        </w:rPr>
        <w:t>Clause 4 –</w:t>
      </w:r>
      <w:r w:rsidR="00B307A0" w:rsidRPr="00256E45">
        <w:rPr>
          <w:rFonts w:cs="Arial"/>
          <w:b/>
          <w:szCs w:val="24"/>
        </w:rPr>
        <w:t xml:space="preserve"> </w:t>
      </w:r>
      <w:r w:rsidR="00723F11" w:rsidRPr="00256E45">
        <w:rPr>
          <w:rFonts w:cs="Arial"/>
          <w:b/>
          <w:szCs w:val="24"/>
        </w:rPr>
        <w:t>Modification of Act, pt 24—Act, s 221 (2)</w:t>
      </w:r>
    </w:p>
    <w:p w14:paraId="372592BC" w14:textId="77777777" w:rsidR="008B0CBB" w:rsidRPr="00256E45" w:rsidRDefault="008B0CBB" w:rsidP="00461D6D">
      <w:pPr>
        <w:jc w:val="both"/>
        <w:rPr>
          <w:rFonts w:cs="Arial"/>
          <w:b/>
          <w:szCs w:val="24"/>
        </w:rPr>
      </w:pPr>
    </w:p>
    <w:p w14:paraId="1DD7AA07" w14:textId="2B9C3225" w:rsidR="00D918E8" w:rsidRPr="00256E45" w:rsidRDefault="00723F11" w:rsidP="006C6CCF">
      <w:pPr>
        <w:rPr>
          <w:rFonts w:cs="Arial"/>
          <w:szCs w:val="24"/>
        </w:rPr>
      </w:pPr>
      <w:r w:rsidRPr="00256E45">
        <w:rPr>
          <w:rFonts w:cs="Arial"/>
          <w:szCs w:val="24"/>
        </w:rPr>
        <w:t>Schedule 2 of this Regulation modifies Part 24 of the PV Act.</w:t>
      </w:r>
    </w:p>
    <w:p w14:paraId="070BF867" w14:textId="77777777" w:rsidR="00723F11" w:rsidRPr="00256E45" w:rsidRDefault="00723F11" w:rsidP="006C6CCF">
      <w:pPr>
        <w:rPr>
          <w:rFonts w:cs="Arial"/>
          <w:szCs w:val="24"/>
        </w:rPr>
      </w:pPr>
    </w:p>
    <w:p w14:paraId="05122810" w14:textId="67CE68A8" w:rsidR="00723F11" w:rsidRPr="00256E45" w:rsidRDefault="00723F11" w:rsidP="006C6CCF">
      <w:pPr>
        <w:rPr>
          <w:rFonts w:cs="Arial"/>
          <w:b/>
          <w:bCs/>
          <w:szCs w:val="24"/>
        </w:rPr>
      </w:pPr>
      <w:r w:rsidRPr="00256E45">
        <w:rPr>
          <w:rFonts w:cs="Arial"/>
          <w:b/>
          <w:bCs/>
          <w:szCs w:val="24"/>
        </w:rPr>
        <w:t>Clause 5 – Expiry</w:t>
      </w:r>
    </w:p>
    <w:p w14:paraId="0782DC41" w14:textId="77777777" w:rsidR="008B0CBB" w:rsidRPr="00256E45" w:rsidRDefault="008B0CBB" w:rsidP="006C6CCF">
      <w:pPr>
        <w:rPr>
          <w:rFonts w:cs="Arial"/>
          <w:b/>
          <w:bCs/>
          <w:szCs w:val="24"/>
        </w:rPr>
      </w:pPr>
    </w:p>
    <w:p w14:paraId="1BFBAD2E" w14:textId="441E1DFE" w:rsidR="00723F11" w:rsidRPr="00256E45" w:rsidRDefault="00723F11" w:rsidP="006C6CCF">
      <w:pPr>
        <w:rPr>
          <w:rFonts w:cs="Arial"/>
          <w:szCs w:val="24"/>
        </w:rPr>
      </w:pPr>
      <w:r w:rsidRPr="00256E45">
        <w:rPr>
          <w:rFonts w:cs="Arial"/>
          <w:szCs w:val="24"/>
        </w:rPr>
        <w:t>This clause provides that the Regulation expires on the day Part 24 of the PV Act expires, except for section 3, schedule 1 and section 5(2) which expire on the day Part 23 of the PV Act expires.</w:t>
      </w:r>
    </w:p>
    <w:p w14:paraId="38E458C2" w14:textId="77777777" w:rsidR="00723F11" w:rsidRPr="00256E45" w:rsidRDefault="00723F11" w:rsidP="006C6CCF">
      <w:pPr>
        <w:rPr>
          <w:rFonts w:cs="Arial"/>
          <w:szCs w:val="24"/>
        </w:rPr>
      </w:pPr>
    </w:p>
    <w:p w14:paraId="76CD26B3" w14:textId="7491E499" w:rsidR="00D918E8" w:rsidRPr="00256E45" w:rsidRDefault="00D918E8" w:rsidP="006C6CCF">
      <w:pPr>
        <w:rPr>
          <w:rFonts w:cs="Arial"/>
          <w:b/>
          <w:bCs/>
          <w:szCs w:val="24"/>
        </w:rPr>
      </w:pPr>
      <w:r w:rsidRPr="00256E45">
        <w:rPr>
          <w:rFonts w:cs="Arial"/>
          <w:b/>
          <w:bCs/>
          <w:szCs w:val="24"/>
        </w:rPr>
        <w:t>Schedule 1 – Modification of Act – Part 23</w:t>
      </w:r>
    </w:p>
    <w:p w14:paraId="6A92EAC5" w14:textId="77777777" w:rsidR="008B0CBB" w:rsidRPr="00256E45" w:rsidRDefault="008B0CBB" w:rsidP="006C6CCF">
      <w:pPr>
        <w:rPr>
          <w:rFonts w:cs="Arial"/>
          <w:b/>
          <w:bCs/>
          <w:szCs w:val="24"/>
        </w:rPr>
      </w:pPr>
    </w:p>
    <w:p w14:paraId="1648B261" w14:textId="77777777" w:rsidR="00723F11" w:rsidRPr="00256E45" w:rsidRDefault="00723F11" w:rsidP="00461D6D">
      <w:pPr>
        <w:rPr>
          <w:rFonts w:cs="Arial"/>
          <w:b/>
          <w:bCs/>
          <w:szCs w:val="24"/>
        </w:rPr>
      </w:pPr>
      <w:r w:rsidRPr="00256E45">
        <w:rPr>
          <w:rFonts w:cs="Arial"/>
          <w:b/>
          <w:bCs/>
          <w:szCs w:val="24"/>
        </w:rPr>
        <w:t>Clause 1.1</w:t>
      </w:r>
    </w:p>
    <w:p w14:paraId="01B5F66B" w14:textId="77777777" w:rsidR="008B0CBB" w:rsidRPr="00256E45" w:rsidRDefault="008B0CBB" w:rsidP="00461D6D">
      <w:pPr>
        <w:rPr>
          <w:rFonts w:cs="Arial"/>
          <w:b/>
          <w:bCs/>
          <w:szCs w:val="24"/>
        </w:rPr>
      </w:pPr>
    </w:p>
    <w:p w14:paraId="5E2175E2" w14:textId="008BA7D9" w:rsidR="00723F11" w:rsidRPr="00256E45" w:rsidRDefault="00723F11" w:rsidP="00461D6D">
      <w:pPr>
        <w:rPr>
          <w:rFonts w:cs="Arial"/>
          <w:szCs w:val="24"/>
        </w:rPr>
      </w:pPr>
      <w:r w:rsidRPr="00256E45">
        <w:rPr>
          <w:rFonts w:cs="Arial"/>
          <w:szCs w:val="24"/>
        </w:rPr>
        <w:t xml:space="preserve">This clause inserts a new subsection to section 215 of the PV Act to provide that a protection order made against a child respondent is revoked on the commencement day, being 22 November 2023 through the operation of clause 2 of this Regulation. </w:t>
      </w:r>
    </w:p>
    <w:p w14:paraId="5194803D" w14:textId="77777777" w:rsidR="00723F11" w:rsidRPr="00256E45" w:rsidRDefault="00723F11" w:rsidP="00461D6D">
      <w:pPr>
        <w:rPr>
          <w:rFonts w:cs="Arial"/>
          <w:szCs w:val="24"/>
        </w:rPr>
      </w:pPr>
    </w:p>
    <w:p w14:paraId="02BD3949" w14:textId="44B43CFD" w:rsidR="00072DDD" w:rsidRPr="00256E45" w:rsidRDefault="00723F11" w:rsidP="00461D6D">
      <w:pPr>
        <w:rPr>
          <w:rFonts w:cs="Arial"/>
          <w:szCs w:val="24"/>
        </w:rPr>
      </w:pPr>
      <w:r w:rsidRPr="00256E45">
        <w:rPr>
          <w:rFonts w:cs="Arial"/>
          <w:szCs w:val="24"/>
        </w:rPr>
        <w:t>A protection order is defined in the dictionary of the PV Act. A child respondent is defined under section 210 of the PV Act.</w:t>
      </w:r>
    </w:p>
    <w:p w14:paraId="304B5181" w14:textId="77777777" w:rsidR="00072DDD" w:rsidRPr="00256E45" w:rsidRDefault="00072DDD" w:rsidP="00461D6D">
      <w:pPr>
        <w:rPr>
          <w:rFonts w:cs="Arial"/>
          <w:szCs w:val="24"/>
        </w:rPr>
      </w:pPr>
    </w:p>
    <w:p w14:paraId="6745F01F" w14:textId="7AD48AAE" w:rsidR="00723F11" w:rsidRPr="00256E45" w:rsidRDefault="00723F11" w:rsidP="00723F11">
      <w:pPr>
        <w:rPr>
          <w:rFonts w:cs="Arial"/>
          <w:b/>
          <w:bCs/>
          <w:szCs w:val="24"/>
        </w:rPr>
      </w:pPr>
      <w:r w:rsidRPr="00256E45">
        <w:rPr>
          <w:rFonts w:cs="Arial"/>
          <w:b/>
          <w:bCs/>
          <w:szCs w:val="24"/>
        </w:rPr>
        <w:t>Schedule 2 – Modification of Act – Part 24</w:t>
      </w:r>
    </w:p>
    <w:p w14:paraId="6F78EAD1" w14:textId="77777777" w:rsidR="008B0CBB" w:rsidRPr="00256E45" w:rsidRDefault="008B0CBB" w:rsidP="00723F11">
      <w:pPr>
        <w:rPr>
          <w:rFonts w:cs="Arial"/>
          <w:b/>
          <w:bCs/>
          <w:szCs w:val="24"/>
        </w:rPr>
      </w:pPr>
    </w:p>
    <w:p w14:paraId="7C65C510" w14:textId="739F623D" w:rsidR="00723F11" w:rsidRPr="00256E45" w:rsidRDefault="00723F11" w:rsidP="00461D6D">
      <w:pPr>
        <w:rPr>
          <w:rFonts w:cs="Arial"/>
          <w:b/>
          <w:bCs/>
          <w:szCs w:val="24"/>
        </w:rPr>
      </w:pPr>
      <w:r w:rsidRPr="00256E45">
        <w:rPr>
          <w:rFonts w:cs="Arial"/>
          <w:b/>
          <w:bCs/>
          <w:szCs w:val="24"/>
        </w:rPr>
        <w:t>Clause 2.1</w:t>
      </w:r>
    </w:p>
    <w:p w14:paraId="6C77056C" w14:textId="77777777" w:rsidR="008B0CBB" w:rsidRPr="00256E45" w:rsidRDefault="008B0CBB" w:rsidP="00461D6D">
      <w:pPr>
        <w:rPr>
          <w:rFonts w:cs="Arial"/>
          <w:b/>
          <w:bCs/>
          <w:szCs w:val="24"/>
        </w:rPr>
      </w:pPr>
    </w:p>
    <w:p w14:paraId="1116D8E8" w14:textId="3730A7AC" w:rsidR="00723F11" w:rsidRPr="00256E45" w:rsidRDefault="00723F11" w:rsidP="00461D6D">
      <w:pPr>
        <w:rPr>
          <w:rFonts w:cs="Arial"/>
          <w:szCs w:val="24"/>
        </w:rPr>
      </w:pPr>
      <w:r w:rsidRPr="00256E45">
        <w:rPr>
          <w:rFonts w:cs="Arial"/>
          <w:szCs w:val="24"/>
        </w:rPr>
        <w:t>This clause amends the definition of child respondent at section 220(b) of the PV Act to substitute the term ‘family violence order’ for ‘protection order’. A protection order is defined in the dictionary of the PV Act.</w:t>
      </w:r>
    </w:p>
    <w:p w14:paraId="77293AC4" w14:textId="77777777" w:rsidR="00723F11" w:rsidRPr="00256E45" w:rsidRDefault="00723F11" w:rsidP="00461D6D">
      <w:pPr>
        <w:rPr>
          <w:rFonts w:cs="Arial"/>
          <w:szCs w:val="24"/>
        </w:rPr>
      </w:pPr>
    </w:p>
    <w:p w14:paraId="4A1628E6" w14:textId="348BEDA9" w:rsidR="00723F11" w:rsidRPr="00256E45" w:rsidRDefault="00723F11" w:rsidP="00461D6D">
      <w:pPr>
        <w:rPr>
          <w:rFonts w:cs="Arial"/>
          <w:szCs w:val="24"/>
        </w:rPr>
      </w:pPr>
      <w:r w:rsidRPr="00256E45">
        <w:rPr>
          <w:rFonts w:cs="Arial"/>
          <w:szCs w:val="24"/>
        </w:rPr>
        <w:t>This aligns with the terms used in the definition of child respondent at section 210(b) of the PV Act.</w:t>
      </w:r>
    </w:p>
    <w:p w14:paraId="6980D074" w14:textId="77777777" w:rsidR="00723F11" w:rsidRPr="00256E45" w:rsidRDefault="00723F11" w:rsidP="00461D6D">
      <w:pPr>
        <w:rPr>
          <w:rFonts w:cs="Arial"/>
          <w:szCs w:val="24"/>
        </w:rPr>
      </w:pPr>
    </w:p>
    <w:p w14:paraId="5F9630FE" w14:textId="7386F060" w:rsidR="00723F11" w:rsidRPr="00256E45" w:rsidRDefault="00723F11" w:rsidP="00461D6D">
      <w:pPr>
        <w:rPr>
          <w:rFonts w:cs="Arial"/>
          <w:b/>
          <w:bCs/>
          <w:szCs w:val="24"/>
        </w:rPr>
      </w:pPr>
      <w:r w:rsidRPr="00256E45">
        <w:rPr>
          <w:rFonts w:cs="Arial"/>
          <w:b/>
          <w:bCs/>
          <w:szCs w:val="24"/>
        </w:rPr>
        <w:t>Clause 2.2</w:t>
      </w:r>
    </w:p>
    <w:p w14:paraId="0C8DBDBF" w14:textId="77777777" w:rsidR="008B0CBB" w:rsidRPr="00256E45" w:rsidRDefault="008B0CBB" w:rsidP="00461D6D">
      <w:pPr>
        <w:rPr>
          <w:rFonts w:cs="Arial"/>
          <w:b/>
          <w:bCs/>
          <w:szCs w:val="24"/>
        </w:rPr>
      </w:pPr>
    </w:p>
    <w:p w14:paraId="5E77C4A4" w14:textId="41B60DA1" w:rsidR="00723F11" w:rsidRPr="00256E45" w:rsidRDefault="00723F11" w:rsidP="00723F11">
      <w:pPr>
        <w:rPr>
          <w:rFonts w:cs="Arial"/>
          <w:szCs w:val="24"/>
        </w:rPr>
      </w:pPr>
      <w:r w:rsidRPr="00256E45">
        <w:rPr>
          <w:rFonts w:cs="Arial"/>
          <w:szCs w:val="24"/>
        </w:rPr>
        <w:t xml:space="preserve">This clause inserts a new subsection to section 225 of the PV Act to provide that a protection order made against a child respondent is revoked on the commencement day, being 1 July 2025 through the operation of clause 2 of this Regulation. </w:t>
      </w:r>
    </w:p>
    <w:p w14:paraId="33BF9F3F" w14:textId="77777777" w:rsidR="00723F11" w:rsidRPr="00256E45" w:rsidRDefault="00723F11" w:rsidP="00723F11">
      <w:pPr>
        <w:rPr>
          <w:rFonts w:cs="Arial"/>
          <w:szCs w:val="24"/>
        </w:rPr>
      </w:pPr>
    </w:p>
    <w:p w14:paraId="594CFB4B" w14:textId="76F86E33" w:rsidR="00723F11" w:rsidRPr="00461D6D" w:rsidRDefault="00723F11" w:rsidP="00723F11">
      <w:pPr>
        <w:rPr>
          <w:rFonts w:cs="Arial"/>
          <w:szCs w:val="24"/>
        </w:rPr>
      </w:pPr>
      <w:r w:rsidRPr="00256E45">
        <w:rPr>
          <w:rFonts w:cs="Arial"/>
          <w:szCs w:val="24"/>
        </w:rPr>
        <w:t>A protection order is defined in the dictionary of the PV Act. A child respondent is defined under section 220 of the PV Act.</w:t>
      </w:r>
    </w:p>
    <w:p w14:paraId="0E3CD6DF" w14:textId="77777777" w:rsidR="00723F11" w:rsidRPr="00723F11" w:rsidRDefault="00723F11" w:rsidP="00461D6D">
      <w:pPr>
        <w:rPr>
          <w:rFonts w:cs="Arial"/>
          <w:b/>
          <w:bCs/>
          <w:szCs w:val="24"/>
        </w:rPr>
      </w:pPr>
    </w:p>
    <w:sectPr w:rsidR="00723F11" w:rsidRPr="00723F11" w:rsidSect="00FD7B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2BF2C2" w14:textId="77777777" w:rsidR="00271541" w:rsidRDefault="00271541" w:rsidP="000B02D7">
      <w:r>
        <w:separator/>
      </w:r>
    </w:p>
  </w:endnote>
  <w:endnote w:type="continuationSeparator" w:id="0">
    <w:p w14:paraId="25BA19C0" w14:textId="77777777" w:rsidR="00271541" w:rsidRDefault="00271541" w:rsidP="000B02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296BF" w14:textId="77777777" w:rsidR="00194E83" w:rsidRDefault="00194E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0A807" w14:textId="77777777" w:rsidR="0044073E" w:rsidRDefault="0044073E">
    <w:pPr>
      <w:pStyle w:val="Footer"/>
      <w:jc w:val="right"/>
    </w:pPr>
    <w:r>
      <w:fldChar w:fldCharType="begin"/>
    </w:r>
    <w:r>
      <w:instrText xml:space="preserve"> PAGE   \* MERGEFORMAT </w:instrText>
    </w:r>
    <w:r>
      <w:fldChar w:fldCharType="separate"/>
    </w:r>
    <w:r w:rsidR="00C147FA">
      <w:rPr>
        <w:noProof/>
      </w:rPr>
      <w:t>4</w:t>
    </w:r>
    <w:r>
      <w:fldChar w:fldCharType="end"/>
    </w:r>
  </w:p>
  <w:p w14:paraId="0C0AD117" w14:textId="01A6DFC2" w:rsidR="0044073E" w:rsidRPr="0038178C" w:rsidRDefault="0038178C" w:rsidP="0038178C">
    <w:pPr>
      <w:pStyle w:val="Footer"/>
      <w:jc w:val="center"/>
      <w:rPr>
        <w:rFonts w:cs="Arial"/>
        <w:sz w:val="14"/>
      </w:rPr>
    </w:pPr>
    <w:r w:rsidRPr="0038178C">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6028D" w14:textId="77777777" w:rsidR="00194E83" w:rsidRDefault="00194E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399054" w14:textId="77777777" w:rsidR="00271541" w:rsidRDefault="00271541" w:rsidP="000B02D7">
      <w:r>
        <w:separator/>
      </w:r>
    </w:p>
  </w:footnote>
  <w:footnote w:type="continuationSeparator" w:id="0">
    <w:p w14:paraId="2BAE74EF" w14:textId="77777777" w:rsidR="00271541" w:rsidRDefault="00271541" w:rsidP="000B02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85D53" w14:textId="77777777" w:rsidR="00194E83" w:rsidRDefault="00194E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1F9F8" w14:textId="77777777" w:rsidR="00194E83" w:rsidRDefault="00194E8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76626" w14:textId="77777777" w:rsidR="00194E83" w:rsidRDefault="00194E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46287"/>
    <w:multiLevelType w:val="hybridMultilevel"/>
    <w:tmpl w:val="217E3C36"/>
    <w:lvl w:ilvl="0" w:tplc="23C8F98C">
      <w:start w:val="112"/>
      <w:numFmt w:val="bullet"/>
      <w:lvlText w:val="-"/>
      <w:lvlJc w:val="left"/>
      <w:pPr>
        <w:ind w:left="720" w:hanging="360"/>
      </w:pPr>
      <w:rPr>
        <w:rFonts w:ascii="Arial" w:eastAsia="Calibr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7514347"/>
    <w:multiLevelType w:val="hybridMultilevel"/>
    <w:tmpl w:val="0CF8D7A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09E0258"/>
    <w:multiLevelType w:val="multilevel"/>
    <w:tmpl w:val="0B7CD690"/>
    <w:lvl w:ilvl="0">
      <w:start w:val="1"/>
      <w:numFmt w:val="decimal"/>
      <w:lvlText w:val="%1."/>
      <w:lvlJc w:val="left"/>
      <w:pPr>
        <w:tabs>
          <w:tab w:val="num" w:pos="720"/>
        </w:tabs>
        <w:ind w:left="720" w:hanging="360"/>
      </w:pPr>
      <w:rPr>
        <w:b/>
        <w:bCs/>
        <w:i/>
        <w:i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68C0773"/>
    <w:multiLevelType w:val="hybridMultilevel"/>
    <w:tmpl w:val="0CF8D7AC"/>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335872B8"/>
    <w:multiLevelType w:val="hybridMultilevel"/>
    <w:tmpl w:val="DD5CAD62"/>
    <w:lvl w:ilvl="0" w:tplc="6DBAF65E">
      <w:start w:val="1"/>
      <w:numFmt w:val="decimal"/>
      <w:pStyle w:val="CS-Paragraphnumbering"/>
      <w:lvlText w:val="%1."/>
      <w:lvlJc w:val="left"/>
      <w:pPr>
        <w:ind w:left="720" w:hanging="360"/>
      </w:pPr>
      <w:rPr>
        <w:sz w:val="24"/>
        <w:szCs w:val="24"/>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56B77B2"/>
    <w:multiLevelType w:val="hybridMultilevel"/>
    <w:tmpl w:val="421CBD96"/>
    <w:lvl w:ilvl="0" w:tplc="BE3EC3B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DA8234A"/>
    <w:multiLevelType w:val="hybridMultilevel"/>
    <w:tmpl w:val="F0EC3C6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44010BCA"/>
    <w:multiLevelType w:val="multilevel"/>
    <w:tmpl w:val="0FF4596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9EB7D4E"/>
    <w:multiLevelType w:val="hybridMultilevel"/>
    <w:tmpl w:val="2C807B4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5EB33EC8"/>
    <w:multiLevelType w:val="hybridMultilevel"/>
    <w:tmpl w:val="A7145278"/>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69A52A91"/>
    <w:multiLevelType w:val="hybridMultilevel"/>
    <w:tmpl w:val="4B0EC6F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783D1117"/>
    <w:multiLevelType w:val="hybridMultilevel"/>
    <w:tmpl w:val="8EF49C32"/>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num w:numId="1" w16cid:durableId="1435205285">
    <w:abstractNumId w:val="4"/>
  </w:num>
  <w:num w:numId="2" w16cid:durableId="1415400117">
    <w:abstractNumId w:val="3"/>
  </w:num>
  <w:num w:numId="3" w16cid:durableId="1031228326">
    <w:abstractNumId w:val="1"/>
  </w:num>
  <w:num w:numId="4" w16cid:durableId="1895967554">
    <w:abstractNumId w:val="11"/>
  </w:num>
  <w:num w:numId="5" w16cid:durableId="913202589">
    <w:abstractNumId w:val="5"/>
  </w:num>
  <w:num w:numId="6" w16cid:durableId="2110807940">
    <w:abstractNumId w:val="0"/>
  </w:num>
  <w:num w:numId="7" w16cid:durableId="1334646169">
    <w:abstractNumId w:val="9"/>
  </w:num>
  <w:num w:numId="8" w16cid:durableId="842817828">
    <w:abstractNumId w:val="10"/>
  </w:num>
  <w:num w:numId="9" w16cid:durableId="580675430">
    <w:abstractNumId w:val="4"/>
  </w:num>
  <w:num w:numId="10" w16cid:durableId="1683975132">
    <w:abstractNumId w:val="8"/>
  </w:num>
  <w:num w:numId="11" w16cid:durableId="1036008305">
    <w:abstractNumId w:val="2"/>
  </w:num>
  <w:num w:numId="12" w16cid:durableId="1808819693">
    <w:abstractNumId w:val="7"/>
  </w:num>
  <w:num w:numId="13" w16cid:durableId="124756760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F06"/>
    <w:rsid w:val="0002489E"/>
    <w:rsid w:val="00025861"/>
    <w:rsid w:val="0002724F"/>
    <w:rsid w:val="00061362"/>
    <w:rsid w:val="00066113"/>
    <w:rsid w:val="0006639A"/>
    <w:rsid w:val="00072DDD"/>
    <w:rsid w:val="000756C0"/>
    <w:rsid w:val="00083ABB"/>
    <w:rsid w:val="000945E9"/>
    <w:rsid w:val="000A3887"/>
    <w:rsid w:val="000A4120"/>
    <w:rsid w:val="000B02D7"/>
    <w:rsid w:val="000B79AE"/>
    <w:rsid w:val="000B7ABF"/>
    <w:rsid w:val="000B7DA0"/>
    <w:rsid w:val="000C0A4A"/>
    <w:rsid w:val="000C5866"/>
    <w:rsid w:val="000F0A9E"/>
    <w:rsid w:val="000F39C8"/>
    <w:rsid w:val="0011448A"/>
    <w:rsid w:val="00117BE1"/>
    <w:rsid w:val="00141E08"/>
    <w:rsid w:val="00162E23"/>
    <w:rsid w:val="00175A16"/>
    <w:rsid w:val="00177DB4"/>
    <w:rsid w:val="00190AA4"/>
    <w:rsid w:val="001926E4"/>
    <w:rsid w:val="00194E83"/>
    <w:rsid w:val="001962E3"/>
    <w:rsid w:val="001D2FE6"/>
    <w:rsid w:val="001F21AA"/>
    <w:rsid w:val="00200C75"/>
    <w:rsid w:val="00207835"/>
    <w:rsid w:val="00231FD3"/>
    <w:rsid w:val="002356E0"/>
    <w:rsid w:val="00256E45"/>
    <w:rsid w:val="00266EEA"/>
    <w:rsid w:val="00271541"/>
    <w:rsid w:val="00280858"/>
    <w:rsid w:val="002A476D"/>
    <w:rsid w:val="002B1224"/>
    <w:rsid w:val="002B5F2C"/>
    <w:rsid w:val="003020EE"/>
    <w:rsid w:val="0031414C"/>
    <w:rsid w:val="003151DF"/>
    <w:rsid w:val="00321FB4"/>
    <w:rsid w:val="00324371"/>
    <w:rsid w:val="0038178C"/>
    <w:rsid w:val="0038597A"/>
    <w:rsid w:val="00396B8D"/>
    <w:rsid w:val="0039746F"/>
    <w:rsid w:val="003A19A6"/>
    <w:rsid w:val="003B02F7"/>
    <w:rsid w:val="003C1187"/>
    <w:rsid w:val="003F2660"/>
    <w:rsid w:val="00402C4E"/>
    <w:rsid w:val="004272B5"/>
    <w:rsid w:val="0044073E"/>
    <w:rsid w:val="004470A0"/>
    <w:rsid w:val="0045231D"/>
    <w:rsid w:val="0045625F"/>
    <w:rsid w:val="00461D6D"/>
    <w:rsid w:val="004720CD"/>
    <w:rsid w:val="00483943"/>
    <w:rsid w:val="00486BC8"/>
    <w:rsid w:val="004B09F6"/>
    <w:rsid w:val="004D5EDF"/>
    <w:rsid w:val="004E23C6"/>
    <w:rsid w:val="004E6A13"/>
    <w:rsid w:val="004F2D60"/>
    <w:rsid w:val="0050534A"/>
    <w:rsid w:val="00510054"/>
    <w:rsid w:val="005125BF"/>
    <w:rsid w:val="00517694"/>
    <w:rsid w:val="00526B3D"/>
    <w:rsid w:val="00533AD7"/>
    <w:rsid w:val="00535AAD"/>
    <w:rsid w:val="00567F57"/>
    <w:rsid w:val="005B305B"/>
    <w:rsid w:val="005B522D"/>
    <w:rsid w:val="005B7668"/>
    <w:rsid w:val="005E46BF"/>
    <w:rsid w:val="005E78F4"/>
    <w:rsid w:val="00607939"/>
    <w:rsid w:val="00611C0A"/>
    <w:rsid w:val="0065408B"/>
    <w:rsid w:val="006603FB"/>
    <w:rsid w:val="00660D0B"/>
    <w:rsid w:val="00670131"/>
    <w:rsid w:val="006820FF"/>
    <w:rsid w:val="006A5F06"/>
    <w:rsid w:val="006C20E8"/>
    <w:rsid w:val="006C6CCF"/>
    <w:rsid w:val="006E7953"/>
    <w:rsid w:val="006F641C"/>
    <w:rsid w:val="00716751"/>
    <w:rsid w:val="00723F11"/>
    <w:rsid w:val="00731395"/>
    <w:rsid w:val="00737608"/>
    <w:rsid w:val="00742F1C"/>
    <w:rsid w:val="007661D6"/>
    <w:rsid w:val="00783C07"/>
    <w:rsid w:val="0078607E"/>
    <w:rsid w:val="00791AF3"/>
    <w:rsid w:val="00793B68"/>
    <w:rsid w:val="00795FF8"/>
    <w:rsid w:val="007A238C"/>
    <w:rsid w:val="007A282F"/>
    <w:rsid w:val="007E751B"/>
    <w:rsid w:val="00800775"/>
    <w:rsid w:val="008153C7"/>
    <w:rsid w:val="00815AE3"/>
    <w:rsid w:val="00830577"/>
    <w:rsid w:val="00857E47"/>
    <w:rsid w:val="00890749"/>
    <w:rsid w:val="00891EBF"/>
    <w:rsid w:val="008B0CBB"/>
    <w:rsid w:val="008B29C5"/>
    <w:rsid w:val="0090050A"/>
    <w:rsid w:val="00906376"/>
    <w:rsid w:val="00906EE0"/>
    <w:rsid w:val="00911649"/>
    <w:rsid w:val="00923209"/>
    <w:rsid w:val="0094000B"/>
    <w:rsid w:val="009637CF"/>
    <w:rsid w:val="00973363"/>
    <w:rsid w:val="00975D81"/>
    <w:rsid w:val="00990438"/>
    <w:rsid w:val="009B445C"/>
    <w:rsid w:val="009C3D5B"/>
    <w:rsid w:val="009C7795"/>
    <w:rsid w:val="009F0608"/>
    <w:rsid w:val="009F74BB"/>
    <w:rsid w:val="00A27BC4"/>
    <w:rsid w:val="00A31870"/>
    <w:rsid w:val="00A34247"/>
    <w:rsid w:val="00A4171D"/>
    <w:rsid w:val="00A46F45"/>
    <w:rsid w:val="00A60BEC"/>
    <w:rsid w:val="00A66910"/>
    <w:rsid w:val="00A80308"/>
    <w:rsid w:val="00A95CA4"/>
    <w:rsid w:val="00AB1FBF"/>
    <w:rsid w:val="00AB54AE"/>
    <w:rsid w:val="00AB6D0F"/>
    <w:rsid w:val="00AB788B"/>
    <w:rsid w:val="00AC40D0"/>
    <w:rsid w:val="00AD3EA4"/>
    <w:rsid w:val="00AE74C0"/>
    <w:rsid w:val="00B02F11"/>
    <w:rsid w:val="00B05BD3"/>
    <w:rsid w:val="00B20B2F"/>
    <w:rsid w:val="00B307A0"/>
    <w:rsid w:val="00B573B1"/>
    <w:rsid w:val="00B76C9E"/>
    <w:rsid w:val="00B900FD"/>
    <w:rsid w:val="00B94F0B"/>
    <w:rsid w:val="00BB3A2D"/>
    <w:rsid w:val="00BC3CE9"/>
    <w:rsid w:val="00BD25A0"/>
    <w:rsid w:val="00C03B22"/>
    <w:rsid w:val="00C147FA"/>
    <w:rsid w:val="00C16E43"/>
    <w:rsid w:val="00C22D34"/>
    <w:rsid w:val="00C306FA"/>
    <w:rsid w:val="00C40949"/>
    <w:rsid w:val="00C45B52"/>
    <w:rsid w:val="00C57156"/>
    <w:rsid w:val="00C709C6"/>
    <w:rsid w:val="00C846AC"/>
    <w:rsid w:val="00C869D4"/>
    <w:rsid w:val="00CC5604"/>
    <w:rsid w:val="00CD53D3"/>
    <w:rsid w:val="00D008E9"/>
    <w:rsid w:val="00D05520"/>
    <w:rsid w:val="00D1409D"/>
    <w:rsid w:val="00D27154"/>
    <w:rsid w:val="00D36B23"/>
    <w:rsid w:val="00D42B24"/>
    <w:rsid w:val="00D43CE5"/>
    <w:rsid w:val="00D53862"/>
    <w:rsid w:val="00D65467"/>
    <w:rsid w:val="00D71116"/>
    <w:rsid w:val="00D727E7"/>
    <w:rsid w:val="00D85294"/>
    <w:rsid w:val="00D918E8"/>
    <w:rsid w:val="00D95393"/>
    <w:rsid w:val="00DA4AC7"/>
    <w:rsid w:val="00DB0D55"/>
    <w:rsid w:val="00DC47E2"/>
    <w:rsid w:val="00E25852"/>
    <w:rsid w:val="00E3170D"/>
    <w:rsid w:val="00E360DC"/>
    <w:rsid w:val="00E3777E"/>
    <w:rsid w:val="00E73E6C"/>
    <w:rsid w:val="00EA631A"/>
    <w:rsid w:val="00EC1091"/>
    <w:rsid w:val="00EE0F13"/>
    <w:rsid w:val="00F038FF"/>
    <w:rsid w:val="00F20AF3"/>
    <w:rsid w:val="00F46B75"/>
    <w:rsid w:val="00F51139"/>
    <w:rsid w:val="00F579F2"/>
    <w:rsid w:val="00F72AF5"/>
    <w:rsid w:val="00F84398"/>
    <w:rsid w:val="00F85450"/>
    <w:rsid w:val="00FC1237"/>
    <w:rsid w:val="00FC459E"/>
    <w:rsid w:val="00FD1FBB"/>
    <w:rsid w:val="00FD7B1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C651B"/>
  <w15:chartTrackingRefBased/>
  <w15:docId w15:val="{CC9AE325-3813-41B0-9949-17EF7AAC9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5F06"/>
    <w:rPr>
      <w:rFonts w:ascii="Arial" w:hAnsi="Arial"/>
      <w:sz w:val="24"/>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945E9"/>
    <w:rPr>
      <w:rFonts w:ascii="Tahoma" w:hAnsi="Tahoma" w:cs="Tahoma"/>
      <w:sz w:val="16"/>
      <w:szCs w:val="16"/>
    </w:rPr>
  </w:style>
  <w:style w:type="character" w:customStyle="1" w:styleId="BalloonTextChar">
    <w:name w:val="Balloon Text Char"/>
    <w:link w:val="BalloonText"/>
    <w:uiPriority w:val="99"/>
    <w:semiHidden/>
    <w:rsid w:val="000945E9"/>
    <w:rPr>
      <w:rFonts w:ascii="Tahoma" w:hAnsi="Tahoma" w:cs="Tahoma"/>
      <w:sz w:val="16"/>
      <w:szCs w:val="16"/>
      <w:lang w:eastAsia="en-US"/>
    </w:rPr>
  </w:style>
  <w:style w:type="paragraph" w:styleId="Header">
    <w:name w:val="header"/>
    <w:basedOn w:val="Normal"/>
    <w:link w:val="HeaderChar"/>
    <w:uiPriority w:val="99"/>
    <w:unhideWhenUsed/>
    <w:rsid w:val="0044073E"/>
    <w:pPr>
      <w:tabs>
        <w:tab w:val="center" w:pos="4513"/>
        <w:tab w:val="right" w:pos="9026"/>
      </w:tabs>
    </w:pPr>
  </w:style>
  <w:style w:type="character" w:customStyle="1" w:styleId="HeaderChar">
    <w:name w:val="Header Char"/>
    <w:link w:val="Header"/>
    <w:uiPriority w:val="99"/>
    <w:rsid w:val="0044073E"/>
    <w:rPr>
      <w:rFonts w:ascii="Arial" w:hAnsi="Arial"/>
      <w:sz w:val="24"/>
      <w:szCs w:val="22"/>
      <w:lang w:eastAsia="en-US"/>
    </w:rPr>
  </w:style>
  <w:style w:type="paragraph" w:styleId="Footer">
    <w:name w:val="footer"/>
    <w:basedOn w:val="Normal"/>
    <w:link w:val="FooterChar"/>
    <w:uiPriority w:val="99"/>
    <w:unhideWhenUsed/>
    <w:rsid w:val="0044073E"/>
    <w:pPr>
      <w:tabs>
        <w:tab w:val="center" w:pos="4513"/>
        <w:tab w:val="right" w:pos="9026"/>
      </w:tabs>
    </w:pPr>
  </w:style>
  <w:style w:type="character" w:customStyle="1" w:styleId="FooterChar">
    <w:name w:val="Footer Char"/>
    <w:link w:val="Footer"/>
    <w:uiPriority w:val="99"/>
    <w:rsid w:val="0044073E"/>
    <w:rPr>
      <w:rFonts w:ascii="Arial" w:hAnsi="Arial"/>
      <w:sz w:val="24"/>
      <w:szCs w:val="22"/>
      <w:lang w:eastAsia="en-US"/>
    </w:rPr>
  </w:style>
  <w:style w:type="character" w:styleId="CommentReference">
    <w:name w:val="annotation reference"/>
    <w:uiPriority w:val="99"/>
    <w:semiHidden/>
    <w:unhideWhenUsed/>
    <w:rsid w:val="00D95393"/>
    <w:rPr>
      <w:sz w:val="16"/>
      <w:szCs w:val="16"/>
    </w:rPr>
  </w:style>
  <w:style w:type="paragraph" w:styleId="CommentText">
    <w:name w:val="annotation text"/>
    <w:basedOn w:val="Normal"/>
    <w:link w:val="CommentTextChar"/>
    <w:uiPriority w:val="99"/>
    <w:unhideWhenUsed/>
    <w:rsid w:val="00D95393"/>
    <w:rPr>
      <w:sz w:val="20"/>
      <w:szCs w:val="20"/>
    </w:rPr>
  </w:style>
  <w:style w:type="character" w:customStyle="1" w:styleId="CommentTextChar">
    <w:name w:val="Comment Text Char"/>
    <w:link w:val="CommentText"/>
    <w:uiPriority w:val="99"/>
    <w:rsid w:val="00D95393"/>
    <w:rPr>
      <w:rFonts w:ascii="Arial" w:hAnsi="Arial"/>
      <w:lang w:eastAsia="en-US"/>
    </w:rPr>
  </w:style>
  <w:style w:type="paragraph" w:styleId="CommentSubject">
    <w:name w:val="annotation subject"/>
    <w:basedOn w:val="CommentText"/>
    <w:next w:val="CommentText"/>
    <w:link w:val="CommentSubjectChar"/>
    <w:uiPriority w:val="99"/>
    <w:semiHidden/>
    <w:unhideWhenUsed/>
    <w:rsid w:val="00D95393"/>
    <w:rPr>
      <w:b/>
      <w:bCs/>
    </w:rPr>
  </w:style>
  <w:style w:type="character" w:customStyle="1" w:styleId="CommentSubjectChar">
    <w:name w:val="Comment Subject Char"/>
    <w:link w:val="CommentSubject"/>
    <w:uiPriority w:val="99"/>
    <w:semiHidden/>
    <w:rsid w:val="00D95393"/>
    <w:rPr>
      <w:rFonts w:ascii="Arial" w:hAnsi="Arial"/>
      <w:b/>
      <w:bCs/>
      <w:lang w:eastAsia="en-US"/>
    </w:rPr>
  </w:style>
  <w:style w:type="paragraph" w:styleId="ListParagraph">
    <w:name w:val="List Paragraph"/>
    <w:basedOn w:val="Normal"/>
    <w:uiPriority w:val="34"/>
    <w:qFormat/>
    <w:rsid w:val="00660D0B"/>
    <w:pPr>
      <w:ind w:left="720"/>
    </w:pPr>
    <w:rPr>
      <w:rFonts w:ascii="Times New Roman" w:hAnsi="Times New Roman"/>
      <w:szCs w:val="24"/>
      <w:lang w:eastAsia="en-AU"/>
    </w:rPr>
  </w:style>
  <w:style w:type="paragraph" w:customStyle="1" w:styleId="CS-Paragraphnumbering">
    <w:name w:val="CS - Paragraph numbering"/>
    <w:basedOn w:val="Normal"/>
    <w:rsid w:val="00D71116"/>
    <w:pPr>
      <w:numPr>
        <w:numId w:val="1"/>
      </w:numPr>
      <w:spacing w:after="120" w:line="276" w:lineRule="auto"/>
      <w:ind w:right="-45"/>
    </w:pPr>
    <w:rPr>
      <w:rFonts w:ascii="Calibri" w:hAnsi="Calibri"/>
      <w:szCs w:val="24"/>
    </w:rPr>
  </w:style>
  <w:style w:type="paragraph" w:styleId="Revision">
    <w:name w:val="Revision"/>
    <w:hidden/>
    <w:uiPriority w:val="99"/>
    <w:semiHidden/>
    <w:rsid w:val="00E25852"/>
    <w:rPr>
      <w:rFonts w:ascii="Arial" w:hAnsi="Arial"/>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645812">
      <w:bodyDiv w:val="1"/>
      <w:marLeft w:val="0"/>
      <w:marRight w:val="0"/>
      <w:marTop w:val="0"/>
      <w:marBottom w:val="0"/>
      <w:divBdr>
        <w:top w:val="none" w:sz="0" w:space="0" w:color="auto"/>
        <w:left w:val="none" w:sz="0" w:space="0" w:color="auto"/>
        <w:bottom w:val="none" w:sz="0" w:space="0" w:color="auto"/>
        <w:right w:val="none" w:sz="0" w:space="0" w:color="auto"/>
      </w:divBdr>
    </w:div>
    <w:div w:id="292752197">
      <w:bodyDiv w:val="1"/>
      <w:marLeft w:val="0"/>
      <w:marRight w:val="0"/>
      <w:marTop w:val="0"/>
      <w:marBottom w:val="0"/>
      <w:divBdr>
        <w:top w:val="none" w:sz="0" w:space="0" w:color="auto"/>
        <w:left w:val="none" w:sz="0" w:space="0" w:color="auto"/>
        <w:bottom w:val="none" w:sz="0" w:space="0" w:color="auto"/>
        <w:right w:val="none" w:sz="0" w:space="0" w:color="auto"/>
      </w:divBdr>
    </w:div>
    <w:div w:id="590510340">
      <w:bodyDiv w:val="1"/>
      <w:marLeft w:val="0"/>
      <w:marRight w:val="0"/>
      <w:marTop w:val="0"/>
      <w:marBottom w:val="0"/>
      <w:divBdr>
        <w:top w:val="none" w:sz="0" w:space="0" w:color="auto"/>
        <w:left w:val="none" w:sz="0" w:space="0" w:color="auto"/>
        <w:bottom w:val="none" w:sz="0" w:space="0" w:color="auto"/>
        <w:right w:val="none" w:sz="0" w:space="0" w:color="auto"/>
      </w:divBdr>
    </w:div>
    <w:div w:id="602306301">
      <w:bodyDiv w:val="1"/>
      <w:marLeft w:val="0"/>
      <w:marRight w:val="0"/>
      <w:marTop w:val="0"/>
      <w:marBottom w:val="0"/>
      <w:divBdr>
        <w:top w:val="none" w:sz="0" w:space="0" w:color="auto"/>
        <w:left w:val="none" w:sz="0" w:space="0" w:color="auto"/>
        <w:bottom w:val="none" w:sz="0" w:space="0" w:color="auto"/>
        <w:right w:val="none" w:sz="0" w:space="0" w:color="auto"/>
      </w:divBdr>
    </w:div>
    <w:div w:id="754934343">
      <w:bodyDiv w:val="1"/>
      <w:marLeft w:val="0"/>
      <w:marRight w:val="0"/>
      <w:marTop w:val="0"/>
      <w:marBottom w:val="0"/>
      <w:divBdr>
        <w:top w:val="none" w:sz="0" w:space="0" w:color="auto"/>
        <w:left w:val="none" w:sz="0" w:space="0" w:color="auto"/>
        <w:bottom w:val="none" w:sz="0" w:space="0" w:color="auto"/>
        <w:right w:val="none" w:sz="0" w:space="0" w:color="auto"/>
      </w:divBdr>
    </w:div>
    <w:div w:id="862599216">
      <w:bodyDiv w:val="1"/>
      <w:marLeft w:val="0"/>
      <w:marRight w:val="0"/>
      <w:marTop w:val="0"/>
      <w:marBottom w:val="0"/>
      <w:divBdr>
        <w:top w:val="none" w:sz="0" w:space="0" w:color="auto"/>
        <w:left w:val="none" w:sz="0" w:space="0" w:color="auto"/>
        <w:bottom w:val="none" w:sz="0" w:space="0" w:color="auto"/>
        <w:right w:val="none" w:sz="0" w:space="0" w:color="auto"/>
      </w:divBdr>
    </w:div>
    <w:div w:id="1506819196">
      <w:bodyDiv w:val="1"/>
      <w:marLeft w:val="0"/>
      <w:marRight w:val="0"/>
      <w:marTop w:val="0"/>
      <w:marBottom w:val="0"/>
      <w:divBdr>
        <w:top w:val="none" w:sz="0" w:space="0" w:color="auto"/>
        <w:left w:val="none" w:sz="0" w:space="0" w:color="auto"/>
        <w:bottom w:val="none" w:sz="0" w:space="0" w:color="auto"/>
        <w:right w:val="none" w:sz="0" w:space="0" w:color="auto"/>
      </w:divBdr>
    </w:div>
    <w:div w:id="2145610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45CB6F-9EA6-4479-8D15-9EDA2B6D8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2194</Words>
  <Characters>10597</Characters>
  <Application>Microsoft Office Word</Application>
  <DocSecurity>0</DocSecurity>
  <Lines>276</Lines>
  <Paragraphs>69</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12740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Kirsten bannister</dc:creator>
  <cp:keywords>2</cp:keywords>
  <cp:lastModifiedBy>PCODCS</cp:lastModifiedBy>
  <cp:revision>4</cp:revision>
  <dcterms:created xsi:type="dcterms:W3CDTF">2025-07-10T05:53:00Z</dcterms:created>
  <dcterms:modified xsi:type="dcterms:W3CDTF">2025-07-10T05:53:00Z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2024-06-07T00:25:01Z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3f023c78-6f05-401e-b6ee-b45b1d1e21fa</vt:lpwstr>
  </property>
  <property fmtid="{D5CDD505-2E9C-101B-9397-08002B2CF9AE}" pid="8" name="MSIP_Label_69af8531-eb46-4968-8cb3-105d2f5ea87e_ContentBits">
    <vt:lpwstr>0</vt:lpwstr>
  </property>
  <property fmtid="{D5CDD505-2E9C-101B-9397-08002B2CF9AE}" pid="9" name="DMSID">
    <vt:lpwstr>14392615</vt:lpwstr>
  </property>
  <property fmtid="{D5CDD505-2E9C-101B-9397-08002B2CF9AE}" pid="10" name="CHECKEDOUTFROMJMS">
    <vt:lpwstr/>
  </property>
  <property fmtid="{D5CDD505-2E9C-101B-9397-08002B2CF9AE}" pid="11" name="JMSREQUIREDCHECKIN">
    <vt:lpwstr/>
  </property>
</Properties>
</file>