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C536" w14:textId="77777777" w:rsidR="001E19E2" w:rsidRDefault="001E19E2" w:rsidP="001E19E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2A6BE7" w14:textId="77777777" w:rsidR="001E19E2" w:rsidRDefault="001E19E2" w:rsidP="001E19E2">
      <w:pPr>
        <w:pStyle w:val="Billname"/>
        <w:spacing w:before="700"/>
      </w:pPr>
      <w:r>
        <w:t xml:space="preserve">Utilities (Water and Sewerage Capital Contribution Code) Determination 2025 </w:t>
      </w:r>
    </w:p>
    <w:p w14:paraId="1F7A5B1B" w14:textId="4614BC3D" w:rsidR="001E19E2" w:rsidRDefault="001E19E2" w:rsidP="001E19E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395F77">
        <w:rPr>
          <w:rFonts w:ascii="Arial" w:hAnsi="Arial" w:cs="Arial"/>
          <w:b/>
          <w:bCs/>
        </w:rPr>
        <w:t>244</w:t>
      </w:r>
    </w:p>
    <w:p w14:paraId="3405DAA6" w14:textId="77777777" w:rsidR="001E19E2" w:rsidRDefault="001E19E2" w:rsidP="001E19E2">
      <w:pPr>
        <w:pStyle w:val="madeunder"/>
        <w:spacing w:before="300" w:after="0"/>
      </w:pPr>
      <w:r>
        <w:t xml:space="preserve">made under the  </w:t>
      </w:r>
    </w:p>
    <w:p w14:paraId="5FA1E2DA" w14:textId="77777777" w:rsidR="001E19E2" w:rsidRDefault="001E19E2" w:rsidP="001E19E2">
      <w:pPr>
        <w:pStyle w:val="CoverActName"/>
        <w:spacing w:before="320" w:after="0"/>
        <w:rPr>
          <w:rFonts w:cs="Arial"/>
          <w:sz w:val="20"/>
        </w:rPr>
      </w:pPr>
      <w:r w:rsidRPr="00777823">
        <w:rPr>
          <w:rFonts w:cs="Arial"/>
          <w:sz w:val="20"/>
        </w:rPr>
        <w:t>Utilities Act 2000, section 58 (Approved codes), section 59 (Determined codes) and section 62 (Notification and disallowance of codes etc)</w:t>
      </w:r>
    </w:p>
    <w:p w14:paraId="6088A926" w14:textId="2E4F0584" w:rsidR="001E19E2" w:rsidRDefault="001E19E2" w:rsidP="00327F94">
      <w:pPr>
        <w:tabs>
          <w:tab w:val="left" w:pos="4542"/>
        </w:tabs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  <w:r w:rsidR="00327F94">
        <w:rPr>
          <w:rFonts w:ascii="Arial" w:hAnsi="Arial" w:cs="Arial"/>
          <w:b/>
          <w:bCs/>
          <w:sz w:val="28"/>
          <w:szCs w:val="28"/>
        </w:rPr>
        <w:tab/>
      </w:r>
    </w:p>
    <w:p w14:paraId="75CDFC7B" w14:textId="77777777" w:rsidR="001E19E2" w:rsidRDefault="001E19E2" w:rsidP="001E19E2">
      <w:pPr>
        <w:pStyle w:val="N-line3"/>
        <w:pBdr>
          <w:bottom w:val="none" w:sz="0" w:space="0" w:color="auto"/>
        </w:pBdr>
      </w:pPr>
    </w:p>
    <w:p w14:paraId="7A5BE72D" w14:textId="77777777" w:rsidR="001E19E2" w:rsidRDefault="001E19E2" w:rsidP="001E19E2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2C0AA27" w14:textId="77777777" w:rsidR="001E19E2" w:rsidRPr="003C05FA" w:rsidRDefault="001E19E2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 w:rsidRPr="003C05FA">
        <w:rPr>
          <w:rFonts w:ascii="Times New Roman" w:hAnsi="Times New Roman"/>
          <w:b w:val="0"/>
          <w:bCs/>
          <w:szCs w:val="24"/>
        </w:rPr>
        <w:t xml:space="preserve">The </w:t>
      </w:r>
      <w:r w:rsidRPr="003C05FA">
        <w:rPr>
          <w:rFonts w:ascii="Times New Roman" w:hAnsi="Times New Roman"/>
          <w:b w:val="0"/>
          <w:bCs/>
          <w:i/>
          <w:iCs/>
          <w:szCs w:val="24"/>
        </w:rPr>
        <w:t>Utilities (Water and Sewerage Capital Contribution Code) Determination 2025</w:t>
      </w:r>
      <w:r w:rsidRPr="003C05FA">
        <w:rPr>
          <w:rFonts w:ascii="Times New Roman" w:hAnsi="Times New Roman"/>
          <w:b w:val="0"/>
          <w:bCs/>
          <w:szCs w:val="24"/>
        </w:rPr>
        <w:t xml:space="preserve"> (Code) is an industry code determined by the Independent Competition and Regulatory Commission (Commission) under Part 4 of the </w:t>
      </w:r>
      <w:r w:rsidRPr="003C05FA">
        <w:rPr>
          <w:rFonts w:ascii="Times New Roman" w:hAnsi="Times New Roman"/>
          <w:b w:val="0"/>
          <w:bCs/>
          <w:i/>
          <w:iCs/>
          <w:szCs w:val="24"/>
        </w:rPr>
        <w:t>Utilities Act 2000</w:t>
      </w:r>
      <w:r w:rsidRPr="003C05FA">
        <w:rPr>
          <w:rFonts w:ascii="Times New Roman" w:hAnsi="Times New Roman"/>
          <w:b w:val="0"/>
          <w:bCs/>
          <w:szCs w:val="24"/>
        </w:rPr>
        <w:t xml:space="preserve"> (Utilities Act). </w:t>
      </w:r>
    </w:p>
    <w:p w14:paraId="6AF3A58A" w14:textId="320970B9" w:rsidR="00E768A5" w:rsidRDefault="001E19E2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 w:rsidRPr="003C05FA">
        <w:rPr>
          <w:rFonts w:ascii="Times New Roman" w:hAnsi="Times New Roman"/>
          <w:b w:val="0"/>
          <w:bCs/>
          <w:szCs w:val="24"/>
        </w:rPr>
        <w:t xml:space="preserve">Section 101 </w:t>
      </w:r>
      <w:bookmarkStart w:id="1" w:name="_Hlk205459878"/>
      <w:r w:rsidRPr="003C05FA">
        <w:rPr>
          <w:rFonts w:ascii="Times New Roman" w:hAnsi="Times New Roman"/>
          <w:b w:val="0"/>
          <w:bCs/>
          <w:szCs w:val="24"/>
        </w:rPr>
        <w:t>of the Utilities Act</w:t>
      </w:r>
      <w:bookmarkEnd w:id="1"/>
      <w:r w:rsidRPr="003C05FA">
        <w:rPr>
          <w:rFonts w:ascii="Times New Roman" w:hAnsi="Times New Roman"/>
          <w:b w:val="0"/>
          <w:bCs/>
          <w:szCs w:val="24"/>
        </w:rPr>
        <w:t xml:space="preserve"> allows for the imposition of a capital contribution charge, payable by customers of a utility. Such a charge must be in accordance with a relevant industry code and is for the purpose of raising a contribution from eligible developments towards the expansion and maintenance of capacity in water and sewerage networks in the Territory.</w:t>
      </w:r>
    </w:p>
    <w:p w14:paraId="2482750D" w14:textId="6866F496" w:rsidR="00E768A5" w:rsidRDefault="00E768A5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The Commission conducted a review of the </w:t>
      </w:r>
      <w:r w:rsidRPr="00B867D6">
        <w:rPr>
          <w:rFonts w:ascii="Times New Roman" w:hAnsi="Times New Roman"/>
          <w:b w:val="0"/>
          <w:bCs/>
          <w:i/>
          <w:iCs/>
          <w:szCs w:val="24"/>
        </w:rPr>
        <w:t>Utilities (Water and Sewerage Capital Contribution Code) Approval 2017</w:t>
      </w:r>
      <w:r>
        <w:rPr>
          <w:rFonts w:ascii="Times New Roman" w:hAnsi="Times New Roman"/>
          <w:b w:val="0"/>
          <w:bCs/>
          <w:szCs w:val="24"/>
        </w:rPr>
        <w:t xml:space="preserve"> [DI2017-291]. </w:t>
      </w:r>
      <w:r w:rsidR="001902B9">
        <w:rPr>
          <w:rFonts w:ascii="Times New Roman" w:hAnsi="Times New Roman"/>
          <w:b w:val="0"/>
          <w:bCs/>
          <w:szCs w:val="24"/>
        </w:rPr>
        <w:t>In its review, the Commission sought to:</w:t>
      </w:r>
    </w:p>
    <w:p w14:paraId="36681024" w14:textId="64711EC2" w:rsidR="00E768A5" w:rsidRDefault="00E768A5" w:rsidP="00E768A5">
      <w:pPr>
        <w:pStyle w:val="CoverActName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critically evaluate the current design and administration of the </w:t>
      </w:r>
      <w:r w:rsidR="0007578C">
        <w:rPr>
          <w:rFonts w:ascii="Times New Roman" w:hAnsi="Times New Roman"/>
          <w:b w:val="0"/>
          <w:bCs/>
          <w:szCs w:val="24"/>
        </w:rPr>
        <w:t>C</w:t>
      </w:r>
      <w:r>
        <w:rPr>
          <w:rFonts w:ascii="Times New Roman" w:hAnsi="Times New Roman"/>
          <w:b w:val="0"/>
          <w:bCs/>
          <w:szCs w:val="24"/>
        </w:rPr>
        <w:t>ode</w:t>
      </w:r>
    </w:p>
    <w:p w14:paraId="43445A98" w14:textId="630CE583" w:rsidR="00E768A5" w:rsidRDefault="00E768A5" w:rsidP="00E768A5">
      <w:pPr>
        <w:pStyle w:val="CoverActName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consider improvements to the functioning of the Code</w:t>
      </w:r>
    </w:p>
    <w:p w14:paraId="46A00AA0" w14:textId="29EA1BA1" w:rsidR="00E768A5" w:rsidRDefault="00E768A5" w:rsidP="00E768A5">
      <w:pPr>
        <w:pStyle w:val="CoverActName"/>
        <w:numPr>
          <w:ilvl w:val="0"/>
          <w:numId w:val="11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promote </w:t>
      </w:r>
      <w:r w:rsidR="001902B9">
        <w:rPr>
          <w:rFonts w:ascii="Times New Roman" w:hAnsi="Times New Roman"/>
          <w:b w:val="0"/>
          <w:bCs/>
          <w:szCs w:val="24"/>
        </w:rPr>
        <w:t xml:space="preserve">an </w:t>
      </w:r>
      <w:r>
        <w:rPr>
          <w:rFonts w:ascii="Times New Roman" w:hAnsi="Times New Roman"/>
          <w:b w:val="0"/>
          <w:bCs/>
          <w:szCs w:val="24"/>
        </w:rPr>
        <w:t>implementation that is consistent with policy intent.</w:t>
      </w:r>
    </w:p>
    <w:p w14:paraId="2736144C" w14:textId="7C93E05B" w:rsidR="003D417C" w:rsidRPr="005443DD" w:rsidRDefault="003D417C" w:rsidP="003D417C">
      <w:pPr>
        <w:pStyle w:val="CoverActName"/>
        <w:spacing w:before="240" w:after="0"/>
        <w:rPr>
          <w:rFonts w:ascii="Times New Roman" w:hAnsi="Times New Roman"/>
          <w:szCs w:val="24"/>
        </w:rPr>
      </w:pPr>
      <w:r w:rsidRPr="005443DD">
        <w:rPr>
          <w:rFonts w:ascii="Times New Roman" w:hAnsi="Times New Roman"/>
          <w:szCs w:val="24"/>
        </w:rPr>
        <w:t>Summary of changes</w:t>
      </w:r>
    </w:p>
    <w:p w14:paraId="60B5760F" w14:textId="0D016A92" w:rsidR="003D417C" w:rsidRDefault="00E768A5" w:rsidP="003D417C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After finalising its review, t</w:t>
      </w:r>
      <w:r w:rsidR="003D417C">
        <w:rPr>
          <w:rFonts w:ascii="Times New Roman" w:hAnsi="Times New Roman"/>
          <w:b w:val="0"/>
          <w:bCs/>
          <w:szCs w:val="24"/>
        </w:rPr>
        <w:t xml:space="preserve">he </w:t>
      </w:r>
      <w:r w:rsidR="0007578C">
        <w:rPr>
          <w:rFonts w:ascii="Times New Roman" w:hAnsi="Times New Roman"/>
          <w:b w:val="0"/>
          <w:bCs/>
          <w:szCs w:val="24"/>
        </w:rPr>
        <w:t>C</w:t>
      </w:r>
      <w:r w:rsidR="003D417C">
        <w:rPr>
          <w:rFonts w:ascii="Times New Roman" w:hAnsi="Times New Roman"/>
          <w:b w:val="0"/>
          <w:bCs/>
          <w:szCs w:val="24"/>
        </w:rPr>
        <w:t>ommission has introduced several changes:</w:t>
      </w:r>
    </w:p>
    <w:p w14:paraId="2C7EFE1C" w14:textId="5AA8AC41" w:rsidR="003D417C" w:rsidRDefault="003D417C" w:rsidP="003D417C">
      <w:pPr>
        <w:pStyle w:val="CoverActName"/>
        <w:numPr>
          <w:ilvl w:val="0"/>
          <w:numId w:val="10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a cap to the net increase in Equivalent Population (EP) to reduce the capital contribution charges for </w:t>
      </w:r>
      <w:r w:rsidR="0007578C">
        <w:rPr>
          <w:rFonts w:ascii="Times New Roman" w:hAnsi="Times New Roman"/>
          <w:b w:val="0"/>
          <w:bCs/>
          <w:szCs w:val="24"/>
        </w:rPr>
        <w:t xml:space="preserve">small </w:t>
      </w:r>
      <w:r>
        <w:rPr>
          <w:rFonts w:ascii="Times New Roman" w:hAnsi="Times New Roman"/>
          <w:b w:val="0"/>
          <w:bCs/>
          <w:szCs w:val="24"/>
        </w:rPr>
        <w:t>secondary dwellings on bigger blocks.</w:t>
      </w:r>
    </w:p>
    <w:p w14:paraId="1EE737CA" w14:textId="51563C1F" w:rsidR="003D417C" w:rsidRDefault="003D417C" w:rsidP="003D417C">
      <w:pPr>
        <w:pStyle w:val="CoverActName"/>
        <w:numPr>
          <w:ilvl w:val="0"/>
          <w:numId w:val="10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a mandate for Icon Water to publish its methodology for determining EP multipliers</w:t>
      </w:r>
      <w:r w:rsidR="004112ED">
        <w:rPr>
          <w:rFonts w:ascii="Times New Roman" w:hAnsi="Times New Roman"/>
          <w:b w:val="0"/>
          <w:bCs/>
          <w:szCs w:val="24"/>
        </w:rPr>
        <w:t>, explanation of its administrative processes and timeframes, and new guidance materials to assist developers understand the practical application of capital contributions</w:t>
      </w:r>
      <w:r>
        <w:rPr>
          <w:rFonts w:ascii="Times New Roman" w:hAnsi="Times New Roman"/>
          <w:b w:val="0"/>
          <w:bCs/>
          <w:szCs w:val="24"/>
        </w:rPr>
        <w:t>.</w:t>
      </w:r>
    </w:p>
    <w:p w14:paraId="2753FC07" w14:textId="5DE2E78A" w:rsidR="003D417C" w:rsidRDefault="003D417C" w:rsidP="003D417C">
      <w:pPr>
        <w:pStyle w:val="CoverActName"/>
        <w:numPr>
          <w:ilvl w:val="0"/>
          <w:numId w:val="10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a mandate for Icon Water to undertake a periodic review of its EP multipliers </w:t>
      </w:r>
      <w:r w:rsidR="0007578C">
        <w:rPr>
          <w:rFonts w:ascii="Times New Roman" w:hAnsi="Times New Roman"/>
          <w:b w:val="0"/>
          <w:bCs/>
          <w:szCs w:val="24"/>
        </w:rPr>
        <w:t>in alignment with the regulatory cycles.</w:t>
      </w:r>
    </w:p>
    <w:p w14:paraId="5BF8627F" w14:textId="1A09A47F" w:rsidR="003D417C" w:rsidRDefault="00D82A51" w:rsidP="003D417C">
      <w:pPr>
        <w:pStyle w:val="CoverActName"/>
        <w:numPr>
          <w:ilvl w:val="0"/>
          <w:numId w:val="10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lastRenderedPageBreak/>
        <w:t>a</w:t>
      </w:r>
      <w:r w:rsidR="00E768A5">
        <w:rPr>
          <w:rFonts w:ascii="Times New Roman" w:hAnsi="Times New Roman"/>
          <w:b w:val="0"/>
          <w:bCs/>
          <w:szCs w:val="24"/>
        </w:rPr>
        <w:t xml:space="preserve"> </w:t>
      </w:r>
      <w:r w:rsidR="003D417C">
        <w:rPr>
          <w:rFonts w:ascii="Times New Roman" w:hAnsi="Times New Roman"/>
          <w:b w:val="0"/>
          <w:bCs/>
          <w:szCs w:val="24"/>
        </w:rPr>
        <w:t xml:space="preserve">precinct charge </w:t>
      </w:r>
      <w:r>
        <w:rPr>
          <w:rFonts w:ascii="Times New Roman" w:hAnsi="Times New Roman"/>
          <w:b w:val="0"/>
          <w:bCs/>
          <w:szCs w:val="24"/>
        </w:rPr>
        <w:t>set by the Commission</w:t>
      </w:r>
      <w:r w:rsidR="00DA0040">
        <w:rPr>
          <w:rFonts w:ascii="Times New Roman" w:hAnsi="Times New Roman"/>
          <w:b w:val="0"/>
          <w:bCs/>
          <w:szCs w:val="24"/>
        </w:rPr>
        <w:t xml:space="preserve"> at the start of a regulatory period and fixed for the duration of that period</w:t>
      </w:r>
      <w:r>
        <w:rPr>
          <w:rFonts w:ascii="Times New Roman" w:hAnsi="Times New Roman"/>
          <w:b w:val="0"/>
          <w:bCs/>
          <w:szCs w:val="24"/>
        </w:rPr>
        <w:t xml:space="preserve">, </w:t>
      </w:r>
      <w:r w:rsidR="00E768A5">
        <w:rPr>
          <w:rFonts w:ascii="Times New Roman" w:hAnsi="Times New Roman"/>
          <w:b w:val="0"/>
          <w:bCs/>
          <w:szCs w:val="24"/>
        </w:rPr>
        <w:t xml:space="preserve">commencing </w:t>
      </w:r>
      <w:r>
        <w:rPr>
          <w:rFonts w:ascii="Times New Roman" w:hAnsi="Times New Roman"/>
          <w:b w:val="0"/>
          <w:bCs/>
          <w:szCs w:val="24"/>
        </w:rPr>
        <w:t>from</w:t>
      </w:r>
      <w:r w:rsidR="003D417C">
        <w:rPr>
          <w:rFonts w:ascii="Times New Roman" w:hAnsi="Times New Roman"/>
          <w:b w:val="0"/>
          <w:bCs/>
          <w:szCs w:val="24"/>
        </w:rPr>
        <w:t xml:space="preserve"> the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="0007578C">
        <w:rPr>
          <w:rFonts w:ascii="Times New Roman" w:hAnsi="Times New Roman"/>
          <w:b w:val="0"/>
          <w:bCs/>
          <w:szCs w:val="24"/>
        </w:rPr>
        <w:t>2028</w:t>
      </w:r>
      <w:r w:rsidR="003D417C">
        <w:rPr>
          <w:rFonts w:ascii="Times New Roman" w:hAnsi="Times New Roman"/>
          <w:b w:val="0"/>
          <w:bCs/>
          <w:szCs w:val="24"/>
        </w:rPr>
        <w:t xml:space="preserve"> regulatory period</w:t>
      </w:r>
      <w:r>
        <w:rPr>
          <w:rFonts w:ascii="Times New Roman" w:hAnsi="Times New Roman"/>
          <w:b w:val="0"/>
          <w:bCs/>
          <w:szCs w:val="24"/>
        </w:rPr>
        <w:t>.</w:t>
      </w:r>
    </w:p>
    <w:p w14:paraId="224A6991" w14:textId="59F1B709" w:rsidR="003D417C" w:rsidRPr="003D417C" w:rsidRDefault="003D417C" w:rsidP="003D417C">
      <w:pPr>
        <w:pStyle w:val="CoverActName"/>
        <w:numPr>
          <w:ilvl w:val="0"/>
          <w:numId w:val="10"/>
        </w:numPr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transitional arrangements for Icon Water to implement </w:t>
      </w:r>
      <w:r w:rsidR="001902B9">
        <w:rPr>
          <w:rFonts w:ascii="Times New Roman" w:hAnsi="Times New Roman"/>
          <w:b w:val="0"/>
          <w:bCs/>
          <w:szCs w:val="24"/>
        </w:rPr>
        <w:t xml:space="preserve">the </w:t>
      </w:r>
      <w:r>
        <w:rPr>
          <w:rFonts w:ascii="Times New Roman" w:hAnsi="Times New Roman"/>
          <w:b w:val="0"/>
          <w:bCs/>
          <w:szCs w:val="24"/>
        </w:rPr>
        <w:t>required changes. This allows Icon Water time to develop its methodology and guidance material.</w:t>
      </w:r>
    </w:p>
    <w:p w14:paraId="706D0DC4" w14:textId="329F95BA" w:rsidR="003D417C" w:rsidRPr="003C05FA" w:rsidRDefault="003D417C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For the reasons provided above, </w:t>
      </w:r>
      <w:r w:rsidR="00E768A5">
        <w:rPr>
          <w:rFonts w:ascii="Times New Roman" w:hAnsi="Times New Roman"/>
          <w:b w:val="0"/>
          <w:bCs/>
          <w:szCs w:val="24"/>
        </w:rPr>
        <w:t xml:space="preserve">and as discussed in more detail </w:t>
      </w:r>
      <w:r>
        <w:rPr>
          <w:rFonts w:ascii="Times New Roman" w:hAnsi="Times New Roman"/>
          <w:b w:val="0"/>
          <w:bCs/>
          <w:szCs w:val="24"/>
        </w:rPr>
        <w:t>in the Commission’s</w:t>
      </w:r>
      <w:r w:rsidR="00E768A5">
        <w:rPr>
          <w:rFonts w:ascii="Times New Roman" w:hAnsi="Times New Roman"/>
          <w:b w:val="0"/>
          <w:bCs/>
          <w:szCs w:val="24"/>
        </w:rPr>
        <w:t xml:space="preserve"> issues paper, </w:t>
      </w:r>
      <w:r>
        <w:rPr>
          <w:rFonts w:ascii="Times New Roman" w:hAnsi="Times New Roman"/>
          <w:b w:val="0"/>
          <w:bCs/>
          <w:szCs w:val="24"/>
        </w:rPr>
        <w:t>draft report</w:t>
      </w:r>
      <w:r w:rsidR="00E768A5">
        <w:rPr>
          <w:rFonts w:ascii="Times New Roman" w:hAnsi="Times New Roman"/>
          <w:b w:val="0"/>
          <w:bCs/>
          <w:szCs w:val="24"/>
        </w:rPr>
        <w:t>,</w:t>
      </w:r>
      <w:r>
        <w:rPr>
          <w:rFonts w:ascii="Times New Roman" w:hAnsi="Times New Roman"/>
          <w:b w:val="0"/>
          <w:bCs/>
          <w:szCs w:val="24"/>
        </w:rPr>
        <w:t xml:space="preserve"> and final report, the Commission is satisfied that it is necessary and convenient to determine the </w:t>
      </w:r>
      <w:r w:rsidR="00E768A5">
        <w:rPr>
          <w:rFonts w:ascii="Times New Roman" w:hAnsi="Times New Roman"/>
          <w:b w:val="0"/>
          <w:bCs/>
          <w:szCs w:val="24"/>
        </w:rPr>
        <w:t xml:space="preserve">new </w:t>
      </w:r>
      <w:r w:rsidR="0007578C">
        <w:rPr>
          <w:rFonts w:ascii="Times New Roman" w:hAnsi="Times New Roman"/>
          <w:b w:val="0"/>
          <w:bCs/>
          <w:szCs w:val="24"/>
        </w:rPr>
        <w:t>C</w:t>
      </w:r>
      <w:r>
        <w:rPr>
          <w:rFonts w:ascii="Times New Roman" w:hAnsi="Times New Roman"/>
          <w:b w:val="0"/>
          <w:bCs/>
          <w:szCs w:val="24"/>
        </w:rPr>
        <w:t>ode.</w:t>
      </w:r>
      <w:r w:rsidR="00AF0A46" w:rsidRPr="00AF0A46">
        <w:rPr>
          <w:rFonts w:ascii="Times New Roman" w:hAnsi="Times New Roman"/>
          <w:b w:val="0"/>
          <w:bCs/>
          <w:szCs w:val="24"/>
        </w:rPr>
        <w:t xml:space="preserve"> </w:t>
      </w:r>
      <w:r w:rsidR="00157DD5">
        <w:rPr>
          <w:rFonts w:ascii="Times New Roman" w:hAnsi="Times New Roman"/>
          <w:b w:val="0"/>
          <w:bCs/>
          <w:szCs w:val="24"/>
        </w:rPr>
        <w:t>The</w:t>
      </w:r>
      <w:r w:rsidR="00AF0A46">
        <w:rPr>
          <w:rFonts w:ascii="Times New Roman" w:hAnsi="Times New Roman"/>
          <w:b w:val="0"/>
          <w:bCs/>
          <w:szCs w:val="24"/>
        </w:rPr>
        <w:t xml:space="preserve"> Commission is satisfied that the Code is not inconsistent in material respects with another industry code or a technical code. </w:t>
      </w:r>
    </w:p>
    <w:p w14:paraId="1FAFF494" w14:textId="77777777" w:rsidR="001E19E2" w:rsidRPr="003C05FA" w:rsidRDefault="001E19E2" w:rsidP="001E19E2">
      <w:pPr>
        <w:pStyle w:val="CoverActName"/>
        <w:spacing w:before="240" w:after="0"/>
        <w:rPr>
          <w:rFonts w:ascii="Times New Roman" w:hAnsi="Times New Roman"/>
          <w:szCs w:val="24"/>
        </w:rPr>
      </w:pPr>
      <w:r w:rsidRPr="003C05FA">
        <w:rPr>
          <w:rFonts w:ascii="Times New Roman" w:hAnsi="Times New Roman"/>
          <w:szCs w:val="24"/>
        </w:rPr>
        <w:t>Consultation on the new Code</w:t>
      </w:r>
    </w:p>
    <w:p w14:paraId="3C469EDE" w14:textId="77777777" w:rsidR="001E19E2" w:rsidRPr="003C05FA" w:rsidRDefault="001E19E2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 w:rsidRPr="003C05FA">
        <w:rPr>
          <w:rFonts w:ascii="Times New Roman" w:hAnsi="Times New Roman"/>
          <w:b w:val="0"/>
          <w:bCs/>
          <w:szCs w:val="24"/>
        </w:rPr>
        <w:t>On 5 November 2024, the Commission published an issues paper for public comment. Submissions on the issues paper closed 14 February 2025. Three submissions were received.</w:t>
      </w:r>
    </w:p>
    <w:p w14:paraId="7C4980F6" w14:textId="77777777" w:rsidR="001E19E2" w:rsidRDefault="001E19E2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 w:rsidRPr="003C05FA">
        <w:rPr>
          <w:rFonts w:ascii="Times New Roman" w:hAnsi="Times New Roman"/>
          <w:b w:val="0"/>
          <w:bCs/>
          <w:szCs w:val="24"/>
        </w:rPr>
        <w:t>On 30 June 2025, the Commission published its draft code and report for comment. Submissions closed 30 July 2025. Three submissions were received.</w:t>
      </w:r>
    </w:p>
    <w:p w14:paraId="44C5EA5A" w14:textId="5694FD99" w:rsidR="00B34B09" w:rsidRPr="003C05FA" w:rsidRDefault="00B34B09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Section 59 of the Utilities Act requires that the </w:t>
      </w:r>
      <w:r w:rsidR="00F86EE9">
        <w:rPr>
          <w:rFonts w:ascii="Times New Roman" w:hAnsi="Times New Roman"/>
          <w:b w:val="0"/>
          <w:bCs/>
          <w:szCs w:val="24"/>
        </w:rPr>
        <w:t>C</w:t>
      </w:r>
      <w:r>
        <w:rPr>
          <w:rFonts w:ascii="Times New Roman" w:hAnsi="Times New Roman"/>
          <w:b w:val="0"/>
          <w:bCs/>
          <w:szCs w:val="24"/>
        </w:rPr>
        <w:t xml:space="preserve">ommission consult with the Minister (Treasurer) and the Minister responsible for the </w:t>
      </w:r>
      <w:r w:rsidRPr="00B34B09">
        <w:rPr>
          <w:rFonts w:ascii="Times New Roman" w:hAnsi="Times New Roman"/>
          <w:b w:val="0"/>
          <w:bCs/>
          <w:i/>
          <w:iCs/>
          <w:szCs w:val="24"/>
        </w:rPr>
        <w:t>Utilities (Technical Regulation) Act 2014</w:t>
      </w:r>
      <w:r>
        <w:rPr>
          <w:rFonts w:ascii="Times New Roman" w:hAnsi="Times New Roman"/>
          <w:b w:val="0"/>
          <w:bCs/>
          <w:szCs w:val="24"/>
        </w:rPr>
        <w:t xml:space="preserve">. The </w:t>
      </w:r>
      <w:r w:rsidR="00F86EE9">
        <w:rPr>
          <w:rFonts w:ascii="Times New Roman" w:hAnsi="Times New Roman"/>
          <w:b w:val="0"/>
          <w:bCs/>
          <w:szCs w:val="24"/>
        </w:rPr>
        <w:t>C</w:t>
      </w:r>
      <w:r>
        <w:rPr>
          <w:rFonts w:ascii="Times New Roman" w:hAnsi="Times New Roman"/>
          <w:b w:val="0"/>
          <w:bCs/>
          <w:szCs w:val="24"/>
        </w:rPr>
        <w:t xml:space="preserve">ommission provided copies of the issues paper, draft report and draft code </w:t>
      </w:r>
      <w:r w:rsidR="007B7626">
        <w:rPr>
          <w:rFonts w:ascii="Times New Roman" w:hAnsi="Times New Roman"/>
          <w:b w:val="0"/>
          <w:bCs/>
          <w:szCs w:val="24"/>
        </w:rPr>
        <w:t xml:space="preserve">to the ministers </w:t>
      </w:r>
      <w:r>
        <w:rPr>
          <w:rFonts w:ascii="Times New Roman" w:hAnsi="Times New Roman"/>
          <w:b w:val="0"/>
          <w:bCs/>
          <w:szCs w:val="24"/>
        </w:rPr>
        <w:t>and invited comments prior to determining the code.</w:t>
      </w:r>
    </w:p>
    <w:p w14:paraId="2AE56729" w14:textId="2D3106BC" w:rsidR="001E19E2" w:rsidRDefault="001E19E2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 w:rsidRPr="003C05FA">
        <w:rPr>
          <w:rFonts w:ascii="Times New Roman" w:hAnsi="Times New Roman"/>
          <w:b w:val="0"/>
          <w:bCs/>
          <w:szCs w:val="24"/>
        </w:rPr>
        <w:t xml:space="preserve">The final code and report incorporate the submissions received. The reports, codes and submissions can be read on the Commission’s website </w:t>
      </w:r>
      <w:hyperlink r:id="rId8" w:history="1">
        <w:r w:rsidRPr="003C05FA">
          <w:rPr>
            <w:rStyle w:val="Hyperlink"/>
            <w:rFonts w:ascii="Times New Roman" w:hAnsi="Times New Roman"/>
            <w:b w:val="0"/>
            <w:bCs/>
            <w:szCs w:val="24"/>
          </w:rPr>
          <w:t>www.icrc.act.gov.au</w:t>
        </w:r>
      </w:hyperlink>
      <w:r w:rsidRPr="003C05FA">
        <w:rPr>
          <w:rFonts w:ascii="Times New Roman" w:hAnsi="Times New Roman"/>
          <w:b w:val="0"/>
          <w:bCs/>
          <w:szCs w:val="24"/>
        </w:rPr>
        <w:t xml:space="preserve">. </w:t>
      </w:r>
    </w:p>
    <w:p w14:paraId="38E8C282" w14:textId="08440674" w:rsidR="005443DD" w:rsidRPr="005443DD" w:rsidRDefault="005443DD" w:rsidP="001E19E2">
      <w:pPr>
        <w:pStyle w:val="CoverActName"/>
        <w:spacing w:before="120" w:after="0"/>
        <w:rPr>
          <w:rFonts w:ascii="Times New Roman" w:hAnsi="Times New Roman"/>
          <w:szCs w:val="24"/>
        </w:rPr>
      </w:pPr>
      <w:r w:rsidRPr="005443DD">
        <w:rPr>
          <w:rFonts w:ascii="Times New Roman" w:hAnsi="Times New Roman"/>
          <w:szCs w:val="24"/>
        </w:rPr>
        <w:t>Revocation</w:t>
      </w:r>
    </w:p>
    <w:p w14:paraId="4C3D67F8" w14:textId="7BF62A70" w:rsidR="005443DD" w:rsidRPr="003C05FA" w:rsidRDefault="00B65ECB" w:rsidP="001E19E2">
      <w:pPr>
        <w:pStyle w:val="CoverActName"/>
        <w:spacing w:before="120" w:after="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The </w:t>
      </w:r>
      <w:r w:rsidR="00B867D6">
        <w:rPr>
          <w:rFonts w:ascii="Times New Roman" w:hAnsi="Times New Roman"/>
          <w:b w:val="0"/>
          <w:bCs/>
          <w:szCs w:val="24"/>
        </w:rPr>
        <w:t xml:space="preserve">determination revokes the </w:t>
      </w:r>
      <w:r w:rsidR="00B867D6" w:rsidRPr="00B867D6">
        <w:rPr>
          <w:rFonts w:ascii="Times New Roman" w:hAnsi="Times New Roman"/>
          <w:b w:val="0"/>
          <w:bCs/>
          <w:i/>
          <w:iCs/>
          <w:szCs w:val="24"/>
        </w:rPr>
        <w:t>Utilities (Water and Sewerage Capital Contribution Code) Approval 2017</w:t>
      </w:r>
      <w:r w:rsidR="00B867D6">
        <w:rPr>
          <w:rFonts w:ascii="Times New Roman" w:hAnsi="Times New Roman"/>
          <w:b w:val="0"/>
          <w:bCs/>
          <w:szCs w:val="24"/>
        </w:rPr>
        <w:t xml:space="preserve"> [DI2017-291] </w:t>
      </w:r>
      <w:r>
        <w:rPr>
          <w:rFonts w:ascii="Times New Roman" w:hAnsi="Times New Roman"/>
          <w:b w:val="0"/>
          <w:bCs/>
          <w:szCs w:val="24"/>
        </w:rPr>
        <w:t xml:space="preserve">due to numerous changes </w:t>
      </w:r>
      <w:r w:rsidR="00B90252">
        <w:rPr>
          <w:rFonts w:ascii="Times New Roman" w:hAnsi="Times New Roman"/>
          <w:b w:val="0"/>
          <w:bCs/>
          <w:szCs w:val="24"/>
        </w:rPr>
        <w:t xml:space="preserve">implemented </w:t>
      </w:r>
      <w:r>
        <w:rPr>
          <w:rFonts w:ascii="Times New Roman" w:hAnsi="Times New Roman"/>
          <w:b w:val="0"/>
          <w:bCs/>
          <w:szCs w:val="24"/>
        </w:rPr>
        <w:t xml:space="preserve">in the drafting process </w:t>
      </w:r>
      <w:r w:rsidR="00B90252">
        <w:rPr>
          <w:rFonts w:ascii="Times New Roman" w:hAnsi="Times New Roman"/>
          <w:b w:val="0"/>
          <w:bCs/>
          <w:szCs w:val="24"/>
        </w:rPr>
        <w:t>to</w:t>
      </w:r>
      <w:r>
        <w:rPr>
          <w:rFonts w:ascii="Times New Roman" w:hAnsi="Times New Roman"/>
          <w:b w:val="0"/>
          <w:bCs/>
          <w:szCs w:val="24"/>
        </w:rPr>
        <w:t xml:space="preserve"> improve the accessibility of the </w:t>
      </w:r>
      <w:r w:rsidR="0066100A">
        <w:rPr>
          <w:rFonts w:ascii="Times New Roman" w:hAnsi="Times New Roman"/>
          <w:b w:val="0"/>
          <w:bCs/>
          <w:szCs w:val="24"/>
        </w:rPr>
        <w:t>instrument</w:t>
      </w:r>
      <w:r>
        <w:rPr>
          <w:rFonts w:ascii="Times New Roman" w:hAnsi="Times New Roman"/>
          <w:b w:val="0"/>
          <w:bCs/>
          <w:szCs w:val="24"/>
        </w:rPr>
        <w:t xml:space="preserve"> using plain language and more clearly defined terms. </w:t>
      </w:r>
      <w:r w:rsidR="007B7626">
        <w:rPr>
          <w:rFonts w:ascii="Times New Roman" w:hAnsi="Times New Roman"/>
          <w:b w:val="0"/>
          <w:bCs/>
          <w:szCs w:val="24"/>
        </w:rPr>
        <w:t>To avoid interpretive errors, t</w:t>
      </w:r>
      <w:r>
        <w:rPr>
          <w:rFonts w:ascii="Times New Roman" w:hAnsi="Times New Roman"/>
          <w:b w:val="0"/>
          <w:bCs/>
          <w:szCs w:val="24"/>
        </w:rPr>
        <w:t xml:space="preserve">he </w:t>
      </w:r>
      <w:r w:rsidR="00F86EE9">
        <w:rPr>
          <w:rFonts w:ascii="Times New Roman" w:hAnsi="Times New Roman"/>
          <w:b w:val="0"/>
          <w:bCs/>
          <w:szCs w:val="24"/>
        </w:rPr>
        <w:t>C</w:t>
      </w:r>
      <w:r>
        <w:rPr>
          <w:rFonts w:ascii="Times New Roman" w:hAnsi="Times New Roman"/>
          <w:b w:val="0"/>
          <w:bCs/>
          <w:szCs w:val="24"/>
        </w:rPr>
        <w:t xml:space="preserve">ommission </w:t>
      </w:r>
      <w:r w:rsidR="00B90252">
        <w:rPr>
          <w:rFonts w:ascii="Times New Roman" w:hAnsi="Times New Roman"/>
          <w:b w:val="0"/>
          <w:bCs/>
          <w:szCs w:val="24"/>
        </w:rPr>
        <w:t xml:space="preserve">decided to </w:t>
      </w:r>
      <w:r w:rsidR="00B867D6">
        <w:rPr>
          <w:rFonts w:ascii="Times New Roman" w:hAnsi="Times New Roman"/>
          <w:b w:val="0"/>
          <w:bCs/>
          <w:szCs w:val="24"/>
        </w:rPr>
        <w:t>revoke the</w:t>
      </w:r>
      <w:r w:rsidR="00B90252">
        <w:rPr>
          <w:rFonts w:ascii="Times New Roman" w:hAnsi="Times New Roman"/>
          <w:b w:val="0"/>
          <w:bCs/>
          <w:szCs w:val="24"/>
        </w:rPr>
        <w:t xml:space="preserve"> </w:t>
      </w:r>
      <w:r w:rsidR="00B867D6">
        <w:rPr>
          <w:rFonts w:ascii="Times New Roman" w:hAnsi="Times New Roman"/>
          <w:b w:val="0"/>
          <w:bCs/>
          <w:szCs w:val="24"/>
        </w:rPr>
        <w:t xml:space="preserve">rather than </w:t>
      </w:r>
      <w:r w:rsidR="00B90252">
        <w:rPr>
          <w:rFonts w:ascii="Times New Roman" w:hAnsi="Times New Roman"/>
          <w:b w:val="0"/>
          <w:bCs/>
          <w:szCs w:val="24"/>
        </w:rPr>
        <w:t>amend</w:t>
      </w:r>
      <w:r w:rsidR="00B867D6">
        <w:rPr>
          <w:rFonts w:ascii="Times New Roman" w:hAnsi="Times New Roman"/>
          <w:b w:val="0"/>
          <w:bCs/>
          <w:szCs w:val="24"/>
        </w:rPr>
        <w:t xml:space="preserve"> </w:t>
      </w:r>
      <w:r w:rsidR="00B90252">
        <w:rPr>
          <w:rFonts w:ascii="Times New Roman" w:hAnsi="Times New Roman"/>
          <w:b w:val="0"/>
          <w:bCs/>
          <w:szCs w:val="24"/>
        </w:rPr>
        <w:t>the instrument</w:t>
      </w:r>
      <w:r w:rsidR="007B7626">
        <w:rPr>
          <w:rFonts w:ascii="Times New Roman" w:hAnsi="Times New Roman"/>
          <w:b w:val="0"/>
          <w:bCs/>
          <w:szCs w:val="24"/>
        </w:rPr>
        <w:t>.</w:t>
      </w:r>
    </w:p>
    <w:p w14:paraId="3DB36B3C" w14:textId="77777777" w:rsidR="001E19E2" w:rsidRPr="003C05FA" w:rsidRDefault="001E19E2" w:rsidP="001E19E2">
      <w:pPr>
        <w:pStyle w:val="CoverActName"/>
        <w:spacing w:before="240" w:after="0"/>
        <w:rPr>
          <w:rFonts w:ascii="Times New Roman" w:hAnsi="Times New Roman"/>
          <w:szCs w:val="24"/>
        </w:rPr>
      </w:pPr>
      <w:r w:rsidRPr="003C05FA">
        <w:rPr>
          <w:rFonts w:ascii="Times New Roman" w:hAnsi="Times New Roman"/>
          <w:szCs w:val="24"/>
        </w:rPr>
        <w:t>Regulatory impact statement</w:t>
      </w:r>
    </w:p>
    <w:p w14:paraId="2725A062" w14:textId="77777777" w:rsidR="001E19E2" w:rsidRPr="003C05FA" w:rsidRDefault="001E19E2" w:rsidP="001E19E2">
      <w:pPr>
        <w:pStyle w:val="madeunder"/>
        <w:spacing w:before="120" w:after="0"/>
        <w:rPr>
          <w:szCs w:val="24"/>
        </w:rPr>
      </w:pPr>
      <w:r w:rsidRPr="003C05FA">
        <w:rPr>
          <w:szCs w:val="24"/>
        </w:rPr>
        <w:t xml:space="preserve">This amendment of the territory law does not fundamentally affect the law’s application or operation. Therefore, a regulatory impact statement is not needed per section 36(1)(e) of the </w:t>
      </w:r>
      <w:r w:rsidRPr="003C05FA">
        <w:rPr>
          <w:i/>
          <w:iCs/>
          <w:szCs w:val="24"/>
        </w:rPr>
        <w:t>Legislation Act 2001</w:t>
      </w:r>
      <w:r w:rsidRPr="003C05FA">
        <w:rPr>
          <w:szCs w:val="24"/>
        </w:rPr>
        <w:t xml:space="preserve"> (ACT).</w:t>
      </w:r>
    </w:p>
    <w:p w14:paraId="6986A34B" w14:textId="77777777" w:rsidR="001E19E2" w:rsidRPr="003C05FA" w:rsidRDefault="001E19E2" w:rsidP="001E19E2">
      <w:pPr>
        <w:pStyle w:val="CoverActName"/>
        <w:spacing w:before="240" w:after="0"/>
        <w:rPr>
          <w:rFonts w:ascii="Times New Roman" w:hAnsi="Times New Roman"/>
          <w:szCs w:val="24"/>
        </w:rPr>
      </w:pPr>
      <w:r w:rsidRPr="003C05FA">
        <w:rPr>
          <w:rFonts w:ascii="Times New Roman" w:hAnsi="Times New Roman"/>
          <w:szCs w:val="24"/>
        </w:rPr>
        <w:t>Human rights</w:t>
      </w:r>
    </w:p>
    <w:p w14:paraId="6D337053" w14:textId="77777777" w:rsidR="001E19E2" w:rsidRPr="003C05FA" w:rsidRDefault="001E19E2" w:rsidP="001E19E2">
      <w:pPr>
        <w:pStyle w:val="madeunder"/>
        <w:spacing w:before="120" w:after="0"/>
        <w:rPr>
          <w:szCs w:val="24"/>
        </w:rPr>
      </w:pPr>
      <w:r w:rsidRPr="003C05FA">
        <w:rPr>
          <w:szCs w:val="24"/>
        </w:rPr>
        <w:t>There are no human rights implications arising from this instrument. The instrument does not engage any rights under the </w:t>
      </w:r>
      <w:r w:rsidRPr="003C05FA">
        <w:rPr>
          <w:i/>
          <w:iCs/>
          <w:szCs w:val="24"/>
        </w:rPr>
        <w:t>Human Rights Act 2004</w:t>
      </w:r>
      <w:r w:rsidRPr="003C05FA">
        <w:rPr>
          <w:szCs w:val="24"/>
        </w:rPr>
        <w:t> (ACT).</w:t>
      </w:r>
    </w:p>
    <w:p w14:paraId="178C0EF5" w14:textId="098903FE" w:rsidR="00FF5674" w:rsidRPr="00A72C0C" w:rsidRDefault="00FF5674" w:rsidP="00D40ECE">
      <w:pPr>
        <w:pStyle w:val="madeunder"/>
        <w:spacing w:before="320" w:after="0"/>
        <w:rPr>
          <w:rFonts w:ascii="Arial" w:hAnsi="Arial" w:cs="Arial"/>
          <w:sz w:val="20"/>
        </w:rPr>
      </w:pPr>
    </w:p>
    <w:sectPr w:rsidR="00FF5674" w:rsidRPr="00A72C0C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8191" w14:textId="77777777" w:rsidR="00CF5A3E" w:rsidRDefault="00CF5A3E" w:rsidP="00C17FAB">
      <w:r>
        <w:separator/>
      </w:r>
    </w:p>
  </w:endnote>
  <w:endnote w:type="continuationSeparator" w:id="0">
    <w:p w14:paraId="37F2D858" w14:textId="77777777" w:rsidR="00CF5A3E" w:rsidRDefault="00CF5A3E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4025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0015" w14:textId="3ECA10AB" w:rsidR="00DA3B00" w:rsidRPr="00B60281" w:rsidRDefault="00B60281" w:rsidP="00B60281">
    <w:pPr>
      <w:pStyle w:val="Footer"/>
      <w:jc w:val="center"/>
      <w:rPr>
        <w:rFonts w:cs="Arial"/>
        <w:sz w:val="14"/>
      </w:rPr>
    </w:pPr>
    <w:r w:rsidRPr="00B602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EE74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4A1A" w14:textId="77777777" w:rsidR="00CF5A3E" w:rsidRDefault="00CF5A3E" w:rsidP="00C17FAB">
      <w:r>
        <w:separator/>
      </w:r>
    </w:p>
  </w:footnote>
  <w:footnote w:type="continuationSeparator" w:id="0">
    <w:p w14:paraId="59E5C5F9" w14:textId="77777777" w:rsidR="00CF5A3E" w:rsidRDefault="00CF5A3E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567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3A8C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3858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3456C1"/>
    <w:multiLevelType w:val="hybridMultilevel"/>
    <w:tmpl w:val="DE864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AB32CB3"/>
    <w:multiLevelType w:val="hybridMultilevel"/>
    <w:tmpl w:val="2C16D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6883928">
    <w:abstractNumId w:val="2"/>
  </w:num>
  <w:num w:numId="2" w16cid:durableId="750661484">
    <w:abstractNumId w:val="0"/>
  </w:num>
  <w:num w:numId="3" w16cid:durableId="1546484921">
    <w:abstractNumId w:val="3"/>
  </w:num>
  <w:num w:numId="4" w16cid:durableId="1778022812">
    <w:abstractNumId w:val="7"/>
  </w:num>
  <w:num w:numId="5" w16cid:durableId="1022824087">
    <w:abstractNumId w:val="9"/>
  </w:num>
  <w:num w:numId="6" w16cid:durableId="61222003">
    <w:abstractNumId w:val="1"/>
  </w:num>
  <w:num w:numId="7" w16cid:durableId="459033327">
    <w:abstractNumId w:val="5"/>
  </w:num>
  <w:num w:numId="8" w16cid:durableId="816841835">
    <w:abstractNumId w:val="6"/>
  </w:num>
  <w:num w:numId="9" w16cid:durableId="587809046">
    <w:abstractNumId w:val="10"/>
  </w:num>
  <w:num w:numId="10" w16cid:durableId="1929073506">
    <w:abstractNumId w:val="4"/>
  </w:num>
  <w:num w:numId="11" w16cid:durableId="251936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7578C"/>
    <w:rsid w:val="00101C96"/>
    <w:rsid w:val="00157DD5"/>
    <w:rsid w:val="001902B9"/>
    <w:rsid w:val="001E19E2"/>
    <w:rsid w:val="001F4868"/>
    <w:rsid w:val="002153C1"/>
    <w:rsid w:val="00237CE5"/>
    <w:rsid w:val="002D7C60"/>
    <w:rsid w:val="002F0DF1"/>
    <w:rsid w:val="002F5FC5"/>
    <w:rsid w:val="00306F10"/>
    <w:rsid w:val="00327F94"/>
    <w:rsid w:val="003644FE"/>
    <w:rsid w:val="00395F77"/>
    <w:rsid w:val="003D417C"/>
    <w:rsid w:val="003E0B04"/>
    <w:rsid w:val="004112ED"/>
    <w:rsid w:val="00420F4F"/>
    <w:rsid w:val="00477853"/>
    <w:rsid w:val="00484651"/>
    <w:rsid w:val="004B5432"/>
    <w:rsid w:val="004F2658"/>
    <w:rsid w:val="005443DD"/>
    <w:rsid w:val="00573503"/>
    <w:rsid w:val="00583091"/>
    <w:rsid w:val="005D18F4"/>
    <w:rsid w:val="0066100A"/>
    <w:rsid w:val="00682726"/>
    <w:rsid w:val="0072611B"/>
    <w:rsid w:val="007346AC"/>
    <w:rsid w:val="007B7626"/>
    <w:rsid w:val="00810B0B"/>
    <w:rsid w:val="00895151"/>
    <w:rsid w:val="009508A5"/>
    <w:rsid w:val="009D33F4"/>
    <w:rsid w:val="00A72C0C"/>
    <w:rsid w:val="00A958CF"/>
    <w:rsid w:val="00AF0A46"/>
    <w:rsid w:val="00B34B09"/>
    <w:rsid w:val="00B60281"/>
    <w:rsid w:val="00B65ECB"/>
    <w:rsid w:val="00B867D6"/>
    <w:rsid w:val="00B90252"/>
    <w:rsid w:val="00B941BF"/>
    <w:rsid w:val="00BA5A3D"/>
    <w:rsid w:val="00C17FAB"/>
    <w:rsid w:val="00C3218F"/>
    <w:rsid w:val="00C4451A"/>
    <w:rsid w:val="00C81885"/>
    <w:rsid w:val="00CB326E"/>
    <w:rsid w:val="00CC6A86"/>
    <w:rsid w:val="00CE599C"/>
    <w:rsid w:val="00CF5A3E"/>
    <w:rsid w:val="00D14952"/>
    <w:rsid w:val="00D40ECE"/>
    <w:rsid w:val="00D45A21"/>
    <w:rsid w:val="00D45F03"/>
    <w:rsid w:val="00D54A95"/>
    <w:rsid w:val="00D82A51"/>
    <w:rsid w:val="00DA0040"/>
    <w:rsid w:val="00DA3B00"/>
    <w:rsid w:val="00DC4DEF"/>
    <w:rsid w:val="00DC5BE5"/>
    <w:rsid w:val="00DD6418"/>
    <w:rsid w:val="00E1364E"/>
    <w:rsid w:val="00E768A5"/>
    <w:rsid w:val="00E95EBD"/>
    <w:rsid w:val="00F86EE9"/>
    <w:rsid w:val="00FA5A19"/>
    <w:rsid w:val="00FB27B4"/>
    <w:rsid w:val="00FD75CE"/>
    <w:rsid w:val="00FE6F6F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700E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UnresolvedMention">
    <w:name w:val="Unresolved Mention"/>
    <w:basedOn w:val="DefaultParagraphFont"/>
    <w:uiPriority w:val="99"/>
    <w:semiHidden/>
    <w:unhideWhenUsed/>
    <w:rsid w:val="00D40E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1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1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18F"/>
    <w:rPr>
      <w:b/>
      <w:bCs/>
      <w:lang w:eastAsia="en-US"/>
    </w:rPr>
  </w:style>
  <w:style w:type="paragraph" w:styleId="Revision">
    <w:name w:val="Revision"/>
    <w:hidden/>
    <w:uiPriority w:val="99"/>
    <w:semiHidden/>
    <w:rsid w:val="00C3218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c.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A56035980</value>
    </field>
    <field name="Objective-Title">
      <value order="0">Water and Sewerage Capital Contribution Code Explanatory Statement</value>
    </field>
    <field name="Objective-Description">
      <value order="0"/>
    </field>
    <field name="Objective-CreationStamp">
      <value order="0">2025-08-07T02:02:32Z</value>
    </field>
    <field name="Objective-IsApproved">
      <value order="0">false</value>
    </field>
    <field name="Objective-IsPublished">
      <value order="0">true</value>
    </field>
    <field name="Objective-DatePublished">
      <value order="0">2025-08-22T04:31:45Z</value>
    </field>
    <field name="Objective-ModificationStamp">
      <value order="0">2025-08-22T04:31:45Z</value>
    </field>
    <field name="Objective-Owner">
      <value order="0">Christopher Adkins</value>
    </field>
    <field name="Objective-Path">
      <value order="0">Whole of ACT Government:ICRC - Independent Competition and Regulatory Commission:05. UTILITIES &amp; INFRASTRUCTURE REGULATION:Industry Codes:Water and Sewerage Capital Contributions Code:2024 Capital Contributions Code Review:02. Reports:Final report</value>
    </field>
    <field name="Objective-Parent">
      <value order="0">Final report</value>
    </field>
    <field name="Objective-State">
      <value order="0">Published</value>
    </field>
    <field name="Objective-VersionId">
      <value order="0">vA72142767</value>
    </field>
    <field name="Objective-Version">
      <value order="0">15.0</value>
    </field>
    <field name="Objective-VersionNumber">
      <value order="0">16</value>
    </field>
    <field name="Objective-VersionComment">
      <value order="0"/>
    </field>
    <field name="Objective-FileNumber">
      <value order="0">1-2019/26860</value>
    </field>
    <field name="Objective-Classification">
      <value order="0">In Confidence (green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3579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2025-08-29T03:32:00Z</dcterms:created>
  <dcterms:modified xsi:type="dcterms:W3CDTF">2025-08-29T03:32:00Z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2025-08-07T02:02:19Z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289d7456-77c6-4a11-9be1-e8a9cee5689a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A56035980</vt:lpwstr>
  </property>
  <property fmtid="{D5CDD505-2E9C-101B-9397-08002B2CF9AE}" pid="11" name="Objective-Title">
    <vt:lpwstr>Water and Sewerage Capital Contribution Code Explanatory Statement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2025-08-07T02:02:32Z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2025-08-22T04:31:45Z</vt:filetime>
  </property>
  <property fmtid="{D5CDD505-2E9C-101B-9397-08002B2CF9AE}" pid="17" name="Objective-ModificationStamp">
    <vt:filetime>2025-08-22T04:31:45Z</vt:filetime>
  </property>
  <property fmtid="{D5CDD505-2E9C-101B-9397-08002B2CF9AE}" pid="18" name="Objective-Owner">
    <vt:lpwstr>Christopher Adkins</vt:lpwstr>
  </property>
  <property fmtid="{D5CDD505-2E9C-101B-9397-08002B2CF9AE}" pid="19" name="Objective-Path">
    <vt:lpwstr>Whole of ACT Government:ICRC - Independent Competition and Regulatory Commission:05. UTILITIES &amp; INFRASTRUCTURE REGULATION:Industry Codes:Water and Sewerage Capital Contributions Code:2024 Capital Contributions Code Review:02. Reports:Final report</vt:lpwstr>
  </property>
  <property fmtid="{D5CDD505-2E9C-101B-9397-08002B2CF9AE}" pid="20" name="Objective-Parent">
    <vt:lpwstr>Final report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vA72142767</vt:lpwstr>
  </property>
  <property fmtid="{D5CDD505-2E9C-101B-9397-08002B2CF9AE}" pid="23" name="Objective-Version">
    <vt:lpwstr>15.0</vt:lpwstr>
  </property>
  <property fmtid="{D5CDD505-2E9C-101B-9397-08002B2CF9AE}" pid="24" name="Objective-VersionNumber">
    <vt:r8>16</vt:r8>
  </property>
  <property fmtid="{D5CDD505-2E9C-101B-9397-08002B2CF9AE}" pid="25" name="Objective-VersionComment">
    <vt:lpwstr/>
  </property>
  <property fmtid="{D5CDD505-2E9C-101B-9397-08002B2CF9AE}" pid="26" name="Objective-FileNumber">
    <vt:lpwstr>1-2019/26860</vt:lpwstr>
  </property>
  <property fmtid="{D5CDD505-2E9C-101B-9397-08002B2CF9AE}" pid="27" name="Objective-Classification">
    <vt:lpwstr>In Confidence (green file cover)</vt:lpwstr>
  </property>
  <property fmtid="{D5CDD505-2E9C-101B-9397-08002B2CF9AE}" pid="28" name="Objective-Caveats">
    <vt:lpwstr/>
  </property>
  <property fmtid="{D5CDD505-2E9C-101B-9397-08002B2CF9AE}" pid="29" name="Objective-Owner Agency">
    <vt:lpwstr>ICRC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