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ED5D" w14:textId="77777777" w:rsidR="003B5BC3" w:rsidRPr="00476F3E" w:rsidRDefault="003B5BC3" w:rsidP="003B5BC3">
      <w:pPr>
        <w:spacing w:before="120"/>
        <w:rPr>
          <w:rFonts w:ascii="Arial" w:hAnsi="Arial" w:cs="Arial"/>
        </w:rPr>
      </w:pPr>
      <w:bookmarkStart w:id="0" w:name="_Toc44738651"/>
      <w:smartTag w:uri="urn:schemas-microsoft-com:office:smarttags" w:element="State">
        <w:smartTag w:uri="urn:schemas-microsoft-com:office:smarttags" w:element="place">
          <w:r w:rsidRPr="00476F3E">
            <w:rPr>
              <w:rFonts w:ascii="Arial" w:hAnsi="Arial" w:cs="Arial"/>
            </w:rPr>
            <w:t>Australian Capital Territory</w:t>
          </w:r>
        </w:smartTag>
      </w:smartTag>
    </w:p>
    <w:p w14:paraId="27A8CF98" w14:textId="77777777" w:rsidR="003B5BC3" w:rsidRPr="00476F3E" w:rsidRDefault="00BA334A" w:rsidP="003B5BC3">
      <w:pPr>
        <w:pStyle w:val="Billname"/>
        <w:spacing w:before="700"/>
      </w:pPr>
      <w:r w:rsidRPr="00476F3E">
        <w:t>Electricity Safety (</w:t>
      </w:r>
      <w:r w:rsidR="00E15F19" w:rsidRPr="00476F3E">
        <w:t xml:space="preserve">Light Rail </w:t>
      </w:r>
      <w:r w:rsidR="00910BD8" w:rsidRPr="00476F3E">
        <w:t>Regulated Utility</w:t>
      </w:r>
      <w:r w:rsidR="00AA0A1B">
        <w:t xml:space="preserve"> – Stage 2A</w:t>
      </w:r>
      <w:r w:rsidR="00A660BD">
        <w:t>)</w:t>
      </w:r>
      <w:r w:rsidR="00E15F19" w:rsidRPr="00476F3E">
        <w:t xml:space="preserve"> Exemption 202</w:t>
      </w:r>
      <w:r w:rsidR="00AA0A1B">
        <w:t>5</w:t>
      </w:r>
      <w:r w:rsidR="00E15F19" w:rsidRPr="00476F3E">
        <w:t xml:space="preserve"> </w:t>
      </w:r>
    </w:p>
    <w:p w14:paraId="1230C6A6" w14:textId="77777777" w:rsidR="003B5BC3" w:rsidRPr="00476F3E" w:rsidRDefault="003B5BC3" w:rsidP="00E860A1">
      <w:pPr>
        <w:spacing w:before="340"/>
        <w:rPr>
          <w:rFonts w:ascii="Arial" w:hAnsi="Arial" w:cs="Arial"/>
          <w:b/>
          <w:bCs/>
          <w:vertAlign w:val="superscript"/>
        </w:rPr>
      </w:pPr>
      <w:r w:rsidRPr="00476F3E">
        <w:rPr>
          <w:rFonts w:ascii="Arial" w:hAnsi="Arial" w:cs="Arial"/>
          <w:b/>
          <w:bCs/>
        </w:rPr>
        <w:t>Disallowable Instrument DI20</w:t>
      </w:r>
      <w:r w:rsidR="00E15F19" w:rsidRPr="00476F3E">
        <w:rPr>
          <w:rFonts w:ascii="Arial" w:hAnsi="Arial" w:cs="Arial"/>
          <w:b/>
          <w:bCs/>
        </w:rPr>
        <w:t>2</w:t>
      </w:r>
      <w:r w:rsidR="00AA0A1B">
        <w:rPr>
          <w:rFonts w:ascii="Arial" w:hAnsi="Arial" w:cs="Arial"/>
          <w:b/>
          <w:bCs/>
        </w:rPr>
        <w:t>5</w:t>
      </w:r>
      <w:r w:rsidRPr="00476F3E">
        <w:rPr>
          <w:rFonts w:ascii="Arial" w:hAnsi="Arial" w:cs="Arial"/>
          <w:b/>
          <w:bCs/>
        </w:rPr>
        <w:t>–</w:t>
      </w:r>
      <w:r w:rsidR="00615EE2">
        <w:rPr>
          <w:rFonts w:ascii="Arial" w:hAnsi="Arial" w:cs="Arial"/>
          <w:b/>
          <w:bCs/>
        </w:rPr>
        <w:t>245</w:t>
      </w:r>
    </w:p>
    <w:p w14:paraId="74418C44" w14:textId="77777777" w:rsidR="003B5BC3" w:rsidRPr="00476F3E" w:rsidRDefault="003B5BC3" w:rsidP="00E860A1">
      <w:pPr>
        <w:pStyle w:val="madeunder"/>
        <w:spacing w:before="300" w:after="0"/>
      </w:pPr>
      <w:r w:rsidRPr="00476F3E">
        <w:t xml:space="preserve">made under the </w:t>
      </w:r>
    </w:p>
    <w:p w14:paraId="11AF153A" w14:textId="77777777" w:rsidR="00E15F19" w:rsidRPr="00156FCB" w:rsidRDefault="00E15F19" w:rsidP="00E860A1">
      <w:pPr>
        <w:spacing w:before="320"/>
        <w:rPr>
          <w:rFonts w:ascii="Arial" w:hAnsi="Arial" w:cs="Arial"/>
          <w:b/>
          <w:bCs/>
          <w:sz w:val="20"/>
        </w:rPr>
      </w:pPr>
      <w:r w:rsidRPr="00156FCB">
        <w:rPr>
          <w:rFonts w:ascii="Arial" w:hAnsi="Arial" w:cs="Arial"/>
          <w:b/>
          <w:bCs/>
          <w:i/>
          <w:iCs/>
          <w:sz w:val="20"/>
        </w:rPr>
        <w:t>Electricity Safety Act 1971</w:t>
      </w:r>
      <w:r w:rsidRPr="00156FCB">
        <w:rPr>
          <w:rFonts w:ascii="Arial" w:hAnsi="Arial" w:cs="Arial"/>
          <w:b/>
          <w:bCs/>
          <w:sz w:val="20"/>
        </w:rPr>
        <w:t>, s 62B (</w:t>
      </w:r>
      <w:r w:rsidR="00BA334A" w:rsidRPr="00156FCB">
        <w:rPr>
          <w:rFonts w:ascii="Arial" w:hAnsi="Arial" w:cs="Arial"/>
          <w:b/>
          <w:bCs/>
          <w:sz w:val="20"/>
        </w:rPr>
        <w:t>Minister may exempt regulated utility</w:t>
      </w:r>
      <w:r w:rsidRPr="00156FCB">
        <w:rPr>
          <w:rFonts w:ascii="Arial" w:hAnsi="Arial" w:cs="Arial"/>
          <w:b/>
          <w:bCs/>
          <w:sz w:val="20"/>
        </w:rPr>
        <w:t xml:space="preserve">) </w:t>
      </w:r>
    </w:p>
    <w:p w14:paraId="04CE03C0" w14:textId="77777777" w:rsidR="003B5BC3" w:rsidRPr="00156FCB" w:rsidRDefault="003B5BC3" w:rsidP="00E860A1">
      <w:pPr>
        <w:spacing w:before="360"/>
        <w:rPr>
          <w:rFonts w:ascii="Arial" w:hAnsi="Arial" w:cs="Arial"/>
          <w:b/>
          <w:bCs/>
          <w:sz w:val="28"/>
          <w:szCs w:val="22"/>
        </w:rPr>
      </w:pPr>
      <w:r w:rsidRPr="00156FCB">
        <w:rPr>
          <w:rFonts w:ascii="Arial" w:hAnsi="Arial" w:cs="Arial"/>
          <w:b/>
          <w:bCs/>
          <w:sz w:val="28"/>
          <w:szCs w:val="22"/>
        </w:rPr>
        <w:t>EXPLANATORY STATEMENT</w:t>
      </w:r>
    </w:p>
    <w:p w14:paraId="6E72A0A2" w14:textId="77777777" w:rsidR="003B5BC3" w:rsidRPr="00476F3E" w:rsidRDefault="003B5BC3" w:rsidP="003B5BC3">
      <w:pPr>
        <w:pStyle w:val="N-line3"/>
        <w:pBdr>
          <w:bottom w:val="none" w:sz="0" w:space="0" w:color="auto"/>
        </w:pBdr>
      </w:pPr>
    </w:p>
    <w:p w14:paraId="3E89566C" w14:textId="77777777" w:rsidR="003B5BC3" w:rsidRPr="00476F3E" w:rsidRDefault="003B5BC3" w:rsidP="003B5BC3">
      <w:pPr>
        <w:pStyle w:val="N-line3"/>
        <w:pBdr>
          <w:top w:val="single" w:sz="12" w:space="1" w:color="auto"/>
          <w:bottom w:val="none" w:sz="0" w:space="0" w:color="auto"/>
        </w:pBdr>
      </w:pPr>
    </w:p>
    <w:bookmarkEnd w:id="0"/>
    <w:p w14:paraId="35C5328B" w14:textId="77777777" w:rsidR="001804E8" w:rsidRPr="00476F3E" w:rsidRDefault="001804E8" w:rsidP="00E14F1A">
      <w:r w:rsidRPr="00476F3E">
        <w:t xml:space="preserve">This explanatory statement relates to the </w:t>
      </w:r>
      <w:r w:rsidR="00BA334A" w:rsidRPr="00476F3E">
        <w:rPr>
          <w:i/>
          <w:iCs/>
        </w:rPr>
        <w:t>Electricity Safety (</w:t>
      </w:r>
      <w:r w:rsidR="008E59E7" w:rsidRPr="00476F3E">
        <w:rPr>
          <w:i/>
          <w:iCs/>
        </w:rPr>
        <w:t xml:space="preserve">Light Rail </w:t>
      </w:r>
      <w:r w:rsidR="00910BD8" w:rsidRPr="00476F3E">
        <w:rPr>
          <w:i/>
          <w:iCs/>
        </w:rPr>
        <w:t>Regulated Utility</w:t>
      </w:r>
      <w:r w:rsidR="00AA0A1B">
        <w:rPr>
          <w:i/>
          <w:iCs/>
        </w:rPr>
        <w:t xml:space="preserve"> – Stage 2A</w:t>
      </w:r>
      <w:r w:rsidR="00BA334A" w:rsidRPr="00476F3E">
        <w:rPr>
          <w:i/>
          <w:iCs/>
        </w:rPr>
        <w:t>)</w:t>
      </w:r>
      <w:r w:rsidR="008E59E7" w:rsidRPr="00476F3E">
        <w:rPr>
          <w:i/>
          <w:iCs/>
        </w:rPr>
        <w:t xml:space="preserve"> Exemption 202</w:t>
      </w:r>
      <w:r w:rsidR="00AA0A1B">
        <w:rPr>
          <w:i/>
          <w:iCs/>
        </w:rPr>
        <w:t>5</w:t>
      </w:r>
      <w:r w:rsidR="008E59E7" w:rsidRPr="00476F3E">
        <w:t xml:space="preserve"> </w:t>
      </w:r>
      <w:r w:rsidR="00AA0A1B">
        <w:t xml:space="preserve">(the instrument) </w:t>
      </w:r>
      <w:r w:rsidR="00156FCB" w:rsidRPr="00284040">
        <w:rPr>
          <w:snapToGrid w:val="0"/>
        </w:rPr>
        <w:t>as presented to the Legislative Assembl</w:t>
      </w:r>
      <w:r w:rsidR="00156FCB">
        <w:rPr>
          <w:snapToGrid w:val="0"/>
        </w:rPr>
        <w:t>y.</w:t>
      </w:r>
      <w:r w:rsidR="008E59E7" w:rsidRPr="00476F3E">
        <w:t xml:space="preserve"> It has been prepared to assist the reader of the </w:t>
      </w:r>
      <w:r w:rsidR="00156FCB">
        <w:t xml:space="preserve">disallowable </w:t>
      </w:r>
      <w:r w:rsidR="008E59E7" w:rsidRPr="00476F3E">
        <w:t>instrument. It does not form part of the instrument and has not been endorsed by the Assembly. Th</w:t>
      </w:r>
      <w:r w:rsidR="00156FCB">
        <w:t xml:space="preserve">is </w:t>
      </w:r>
      <w:r w:rsidR="003362BF">
        <w:t>e</w:t>
      </w:r>
      <w:r w:rsidR="00156FCB">
        <w:t>xplanatory</w:t>
      </w:r>
      <w:r w:rsidR="008E59E7" w:rsidRPr="00476F3E">
        <w:t xml:space="preserve"> </w:t>
      </w:r>
      <w:r w:rsidR="003362BF">
        <w:t>s</w:t>
      </w:r>
      <w:r w:rsidR="008E59E7" w:rsidRPr="00476F3E">
        <w:t xml:space="preserve">tatement must be read in conjunction with the instrument. </w:t>
      </w:r>
      <w:r w:rsidR="003362BF" w:rsidRPr="003362BF">
        <w:t xml:space="preserve">It is not, and is not meant to be, a comprehensive description of the instrument. </w:t>
      </w:r>
    </w:p>
    <w:p w14:paraId="6930D902" w14:textId="77777777" w:rsidR="00156FCB" w:rsidRDefault="00156FCB" w:rsidP="00E14F1A"/>
    <w:p w14:paraId="12020BC1" w14:textId="77777777" w:rsidR="00156FCB" w:rsidRPr="00284040" w:rsidRDefault="00156FCB" w:rsidP="00E14F1A">
      <w:pPr>
        <w:pStyle w:val="NoSpacing"/>
        <w:spacing w:after="200"/>
        <w:rPr>
          <w:rFonts w:ascii="Times New Roman" w:hAnsi="Times New Roman"/>
          <w:b/>
          <w:sz w:val="28"/>
          <w:szCs w:val="28"/>
        </w:rPr>
      </w:pPr>
      <w:r w:rsidRPr="00284040">
        <w:rPr>
          <w:rFonts w:ascii="Times New Roman" w:hAnsi="Times New Roman"/>
          <w:b/>
          <w:sz w:val="28"/>
          <w:szCs w:val="28"/>
        </w:rPr>
        <w:t>Background</w:t>
      </w:r>
    </w:p>
    <w:p w14:paraId="73899F69" w14:textId="77777777" w:rsidR="003362BF" w:rsidRPr="00476F3E" w:rsidRDefault="00156FCB" w:rsidP="00AA0A1B">
      <w:pPr>
        <w:spacing w:after="120"/>
      </w:pPr>
      <w:r w:rsidRPr="00284040">
        <w:rPr>
          <w:snapToGrid w:val="0"/>
        </w:rPr>
        <w:t xml:space="preserve">This instrument is made under the </w:t>
      </w:r>
      <w:r w:rsidRPr="00476F3E">
        <w:rPr>
          <w:i/>
          <w:iCs/>
        </w:rPr>
        <w:t>Electricity Safety Act 1971</w:t>
      </w:r>
      <w:r w:rsidRPr="00476F3E">
        <w:t xml:space="preserve"> </w:t>
      </w:r>
      <w:r w:rsidRPr="00284040">
        <w:rPr>
          <w:snapToGrid w:val="0"/>
        </w:rPr>
        <w:t>(</w:t>
      </w:r>
      <w:r w:rsidR="003362BF">
        <w:rPr>
          <w:snapToGrid w:val="0"/>
        </w:rPr>
        <w:t xml:space="preserve">ES </w:t>
      </w:r>
      <w:r w:rsidRPr="00284040">
        <w:rPr>
          <w:snapToGrid w:val="0"/>
        </w:rPr>
        <w:t xml:space="preserve">Act). </w:t>
      </w:r>
      <w:r w:rsidR="003362BF">
        <w:rPr>
          <w:snapToGrid w:val="0"/>
        </w:rPr>
        <w:t>Section 62B of the</w:t>
      </w:r>
      <w:r w:rsidRPr="00284040">
        <w:rPr>
          <w:snapToGrid w:val="0"/>
        </w:rPr>
        <w:t xml:space="preserve"> </w:t>
      </w:r>
      <w:r w:rsidR="003362BF">
        <w:rPr>
          <w:snapToGrid w:val="0"/>
        </w:rPr>
        <w:t xml:space="preserve">ES </w:t>
      </w:r>
      <w:r w:rsidRPr="00284040">
        <w:rPr>
          <w:snapToGrid w:val="0"/>
        </w:rPr>
        <w:t xml:space="preserve">Act </w:t>
      </w:r>
      <w:r w:rsidR="003362BF">
        <w:t>allows</w:t>
      </w:r>
      <w:r w:rsidR="003362BF" w:rsidRPr="00476F3E">
        <w:t xml:space="preserve"> the Minister </w:t>
      </w:r>
      <w:r w:rsidR="003362BF">
        <w:t>t</w:t>
      </w:r>
      <w:r w:rsidR="003362BF" w:rsidRPr="00476F3E">
        <w:t xml:space="preserve">o exempt a regulated utility from the </w:t>
      </w:r>
      <w:r w:rsidR="003362BF">
        <w:t xml:space="preserve">ES Act </w:t>
      </w:r>
      <w:r w:rsidR="003362BF" w:rsidRPr="00476F3E">
        <w:t xml:space="preserve">by disallowable instrument </w:t>
      </w:r>
      <w:r w:rsidR="003362BF">
        <w:t>if</w:t>
      </w:r>
      <w:r w:rsidR="003362BF" w:rsidRPr="00476F3E">
        <w:t xml:space="preserve"> the Minister is reasonably satisfied that – </w:t>
      </w:r>
    </w:p>
    <w:p w14:paraId="01B5771C" w14:textId="77777777" w:rsidR="003362BF" w:rsidRPr="00476F3E" w:rsidRDefault="003362BF" w:rsidP="00AA0A1B">
      <w:pPr>
        <w:pStyle w:val="ListParagraph"/>
        <w:numPr>
          <w:ilvl w:val="0"/>
          <w:numId w:val="9"/>
        </w:numPr>
        <w:spacing w:after="120"/>
        <w:contextualSpacing w:val="0"/>
      </w:pPr>
      <w:r w:rsidRPr="00476F3E">
        <w:t>the regulated utility is adequately regulated under another territory or Commonwealth law; and</w:t>
      </w:r>
    </w:p>
    <w:p w14:paraId="29A7194E" w14:textId="77777777" w:rsidR="003362BF" w:rsidRPr="00476F3E" w:rsidRDefault="003362BF" w:rsidP="00E14F1A">
      <w:pPr>
        <w:pStyle w:val="ListParagraph"/>
        <w:numPr>
          <w:ilvl w:val="0"/>
          <w:numId w:val="9"/>
        </w:numPr>
      </w:pPr>
      <w:r w:rsidRPr="00476F3E">
        <w:t xml:space="preserve">the exemption does not increase the risk to public safety. </w:t>
      </w:r>
    </w:p>
    <w:p w14:paraId="0A829EA8" w14:textId="77777777" w:rsidR="003362BF" w:rsidRDefault="003362BF" w:rsidP="00E14F1A">
      <w:pPr>
        <w:pStyle w:val="ESText"/>
        <w:spacing w:before="0" w:beforeAutospacing="0" w:after="0" w:afterAutospacing="0"/>
        <w:rPr>
          <w:snapToGrid w:val="0"/>
        </w:rPr>
      </w:pPr>
    </w:p>
    <w:p w14:paraId="500D4AED" w14:textId="77777777" w:rsidR="003362BF" w:rsidRDefault="003362BF" w:rsidP="00E14F1A">
      <w:pPr>
        <w:pStyle w:val="ESText"/>
        <w:spacing w:before="0" w:beforeAutospacing="0" w:after="0" w:afterAutospacing="0"/>
        <w:rPr>
          <w:snapToGrid w:val="0"/>
          <w:color w:val="000000" w:themeColor="text1"/>
        </w:rPr>
      </w:pPr>
      <w:r>
        <w:rPr>
          <w:snapToGrid w:val="0"/>
        </w:rPr>
        <w:t xml:space="preserve">A regulated utility is defined under Section </w:t>
      </w:r>
      <w:r w:rsidR="000F21A2">
        <w:rPr>
          <w:snapToGrid w:val="0"/>
        </w:rPr>
        <w:t>8</w:t>
      </w:r>
      <w:r>
        <w:rPr>
          <w:snapToGrid w:val="0"/>
        </w:rPr>
        <w:t xml:space="preserve"> of the </w:t>
      </w:r>
      <w:r w:rsidR="000F21A2">
        <w:rPr>
          <w:i/>
          <w:iCs/>
          <w:snapToGrid w:val="0"/>
        </w:rPr>
        <w:t xml:space="preserve">Utilities </w:t>
      </w:r>
      <w:r w:rsidR="000F21A2" w:rsidRPr="000F21A2">
        <w:rPr>
          <w:i/>
          <w:iCs/>
          <w:snapToGrid w:val="0"/>
          <w:color w:val="000000" w:themeColor="text1"/>
        </w:rPr>
        <w:t>(Technical Regulation) Act 2014</w:t>
      </w:r>
      <w:r w:rsidR="000F21A2" w:rsidRPr="000F21A2">
        <w:rPr>
          <w:snapToGrid w:val="0"/>
          <w:color w:val="000000" w:themeColor="text1"/>
        </w:rPr>
        <w:t xml:space="preserve"> (UTR Act)</w:t>
      </w:r>
      <w:r w:rsidR="000F21A2">
        <w:rPr>
          <w:snapToGrid w:val="0"/>
          <w:color w:val="000000" w:themeColor="text1"/>
        </w:rPr>
        <w:t xml:space="preserve">. </w:t>
      </w:r>
    </w:p>
    <w:p w14:paraId="29005345" w14:textId="77777777" w:rsidR="005645B0" w:rsidRDefault="005645B0" w:rsidP="00E14F1A">
      <w:pPr>
        <w:pStyle w:val="ESText"/>
        <w:spacing w:before="0" w:beforeAutospacing="0" w:after="0" w:afterAutospacing="0"/>
        <w:rPr>
          <w:snapToGrid w:val="0"/>
          <w:color w:val="000000" w:themeColor="text1"/>
        </w:rPr>
      </w:pPr>
    </w:p>
    <w:p w14:paraId="0C874A7F" w14:textId="77777777" w:rsidR="00156FCB" w:rsidRDefault="005645B0" w:rsidP="00E14F1A">
      <w:pPr>
        <w:pStyle w:val="ESText"/>
        <w:spacing w:before="0" w:beforeAutospacing="0" w:after="0" w:afterAutospacing="0"/>
        <w:rPr>
          <w:snapToGrid w:val="0"/>
        </w:rPr>
      </w:pPr>
      <w:r>
        <w:rPr>
          <w:snapToGrid w:val="0"/>
          <w:color w:val="000000" w:themeColor="text1"/>
        </w:rPr>
        <w:t>A regulated utility service is defined under Section 9 of the UTR Act.</w:t>
      </w:r>
      <w:r w:rsidR="00772276">
        <w:rPr>
          <w:snapToGrid w:val="0"/>
          <w:color w:val="000000" w:themeColor="text1"/>
        </w:rPr>
        <w:t xml:space="preserve"> </w:t>
      </w:r>
      <w:r w:rsidR="00BA07FC">
        <w:rPr>
          <w:snapToGrid w:val="0"/>
          <w:color w:val="000000" w:themeColor="text1"/>
        </w:rPr>
        <w:t xml:space="preserve">A regulation may prescribe a regulated utility service for the UTR Act under </w:t>
      </w:r>
      <w:r w:rsidR="00AA0A1B">
        <w:rPr>
          <w:snapToGrid w:val="0"/>
          <w:color w:val="000000" w:themeColor="text1"/>
        </w:rPr>
        <w:t>s</w:t>
      </w:r>
      <w:r w:rsidR="00772276">
        <w:rPr>
          <w:snapToGrid w:val="0"/>
          <w:color w:val="000000" w:themeColor="text1"/>
        </w:rPr>
        <w:t xml:space="preserve">ection </w:t>
      </w:r>
      <w:r w:rsidR="00AA0A1B">
        <w:rPr>
          <w:snapToGrid w:val="0"/>
          <w:color w:val="000000" w:themeColor="text1"/>
        </w:rPr>
        <w:t>10</w:t>
      </w:r>
      <w:r w:rsidR="00772276">
        <w:rPr>
          <w:snapToGrid w:val="0"/>
          <w:color w:val="000000" w:themeColor="text1"/>
        </w:rPr>
        <w:t xml:space="preserve"> of the UTR Act </w:t>
      </w:r>
      <w:r w:rsidR="00BA07FC" w:rsidRPr="00BA07FC">
        <w:rPr>
          <w:snapToGrid w:val="0"/>
          <w:color w:val="000000" w:themeColor="text1"/>
        </w:rPr>
        <w:t>if the Minister is satisfied on reasonable grounds that the service includes infrastructure for the provision of electricity, gas, another form of</w:t>
      </w:r>
      <w:r w:rsidR="00DC3879">
        <w:rPr>
          <w:snapToGrid w:val="0"/>
          <w:color w:val="000000" w:themeColor="text1"/>
        </w:rPr>
        <w:t xml:space="preserve"> </w:t>
      </w:r>
      <w:r w:rsidR="00BA07FC" w:rsidRPr="00BA07FC">
        <w:rPr>
          <w:snapToGrid w:val="0"/>
          <w:color w:val="000000" w:themeColor="text1"/>
        </w:rPr>
        <w:t>energy, water or sewerage.</w:t>
      </w:r>
      <w:r w:rsidR="00772276">
        <w:rPr>
          <w:snapToGrid w:val="0"/>
          <w:color w:val="000000" w:themeColor="text1"/>
        </w:rPr>
        <w:t xml:space="preserve"> </w:t>
      </w:r>
      <w:r w:rsidR="00BA07FC">
        <w:t>T</w:t>
      </w:r>
      <w:r w:rsidR="00BA07FC" w:rsidRPr="00476F3E">
        <w:t xml:space="preserve">he </w:t>
      </w:r>
      <w:r w:rsidR="00BA07FC" w:rsidRPr="00476F3E">
        <w:rPr>
          <w:i/>
          <w:iCs/>
        </w:rPr>
        <w:t>Utilities (Technical Regulation) (Light Rail—Regulated Utility Service) Regulation 2016</w:t>
      </w:r>
      <w:r w:rsidR="00BA07FC">
        <w:rPr>
          <w:snapToGrid w:val="0"/>
        </w:rPr>
        <w:t xml:space="preserve"> p</w:t>
      </w:r>
      <w:r w:rsidR="00BA07FC">
        <w:rPr>
          <w:snapToGrid w:val="0"/>
          <w:color w:val="000000" w:themeColor="text1"/>
        </w:rPr>
        <w:t xml:space="preserve">rescribes the </w:t>
      </w:r>
      <w:r w:rsidR="00BA07FC" w:rsidRPr="00BA07FC">
        <w:rPr>
          <w:snapToGrid w:val="0"/>
          <w:color w:val="000000" w:themeColor="text1"/>
        </w:rPr>
        <w:t>supply of electricity from a light rail network is a regulated utility service</w:t>
      </w:r>
      <w:r w:rsidR="00BA07FC">
        <w:rPr>
          <w:snapToGrid w:val="0"/>
          <w:color w:val="000000" w:themeColor="text1"/>
        </w:rPr>
        <w:t xml:space="preserve">. </w:t>
      </w:r>
    </w:p>
    <w:p w14:paraId="3D41A81A" w14:textId="77777777" w:rsidR="00BA07FC" w:rsidRPr="00BA07FC" w:rsidRDefault="00BA07FC" w:rsidP="00E14F1A">
      <w:pPr>
        <w:pStyle w:val="ESText"/>
        <w:spacing w:before="0" w:beforeAutospacing="0" w:after="0" w:afterAutospacing="0"/>
        <w:rPr>
          <w:snapToGrid w:val="0"/>
        </w:rPr>
      </w:pPr>
    </w:p>
    <w:p w14:paraId="1ADACF9B" w14:textId="77777777" w:rsidR="00156FCB" w:rsidRPr="000F21A2" w:rsidRDefault="00156FCB" w:rsidP="00E14F1A">
      <w:pPr>
        <w:pStyle w:val="ESText"/>
        <w:rPr>
          <w:snapToGrid w:val="0"/>
          <w:color w:val="000000" w:themeColor="text1"/>
        </w:rPr>
      </w:pPr>
      <w:r w:rsidRPr="000F21A2">
        <w:rPr>
          <w:snapToGrid w:val="0"/>
          <w:color w:val="000000" w:themeColor="text1"/>
        </w:rPr>
        <w:t xml:space="preserve">The purpose of the instrument is to </w:t>
      </w:r>
      <w:bookmarkStart w:id="1" w:name="_Hlk74823373"/>
      <w:r w:rsidR="000F21A2">
        <w:rPr>
          <w:snapToGrid w:val="0"/>
          <w:color w:val="000000" w:themeColor="text1"/>
        </w:rPr>
        <w:t xml:space="preserve">exempt </w:t>
      </w:r>
      <w:r w:rsidR="00EE2592" w:rsidRPr="00EE2592">
        <w:rPr>
          <w:snapToGrid w:val="0"/>
          <w:color w:val="000000" w:themeColor="text1"/>
        </w:rPr>
        <w:t xml:space="preserve">John Holland Pty Ltd </w:t>
      </w:r>
      <w:r w:rsidR="000F21A2">
        <w:rPr>
          <w:snapToGrid w:val="0"/>
          <w:color w:val="000000" w:themeColor="text1"/>
        </w:rPr>
        <w:t xml:space="preserve">(the regulated utility) </w:t>
      </w:r>
      <w:r w:rsidR="000F21A2" w:rsidRPr="005A7D8A">
        <w:t>from the requirement</w:t>
      </w:r>
      <w:r w:rsidR="000F21A2">
        <w:t>s</w:t>
      </w:r>
      <w:r w:rsidR="000F21A2" w:rsidRPr="005A7D8A">
        <w:t xml:space="preserve"> of the</w:t>
      </w:r>
      <w:r w:rsidR="005645B0">
        <w:t xml:space="preserve"> ES Act</w:t>
      </w:r>
      <w:r w:rsidR="000F21A2">
        <w:t xml:space="preserve"> in relation to the design and construction of the supply of electricity from a light rail network (</w:t>
      </w:r>
      <w:r w:rsidR="000F21A2" w:rsidRPr="000F21A2">
        <w:t>the regulated utility service</w:t>
      </w:r>
      <w:r w:rsidR="000F21A2">
        <w:t>).</w:t>
      </w:r>
      <w:bookmarkEnd w:id="1"/>
    </w:p>
    <w:p w14:paraId="575B1ED6" w14:textId="77777777" w:rsidR="003362BF" w:rsidRPr="003362BF" w:rsidRDefault="003362BF" w:rsidP="00E14F1A">
      <w:pPr>
        <w:pStyle w:val="NoSpacing"/>
        <w:spacing w:after="200"/>
        <w:rPr>
          <w:rFonts w:ascii="Times New Roman" w:hAnsi="Times New Roman"/>
          <w:b/>
          <w:sz w:val="28"/>
          <w:szCs w:val="28"/>
        </w:rPr>
      </w:pPr>
      <w:r w:rsidRPr="00284040">
        <w:rPr>
          <w:rFonts w:ascii="Times New Roman" w:hAnsi="Times New Roman"/>
          <w:b/>
          <w:sz w:val="28"/>
          <w:szCs w:val="28"/>
        </w:rPr>
        <w:lastRenderedPageBreak/>
        <w:t>Overview</w:t>
      </w:r>
    </w:p>
    <w:p w14:paraId="5DBAD40D" w14:textId="77777777" w:rsidR="000F21A2" w:rsidRPr="000F21A2" w:rsidRDefault="000F21A2" w:rsidP="00E14F1A">
      <w:pPr>
        <w:rPr>
          <w:u w:val="single"/>
        </w:rPr>
      </w:pPr>
      <w:r w:rsidRPr="000F21A2">
        <w:rPr>
          <w:u w:val="single"/>
        </w:rPr>
        <w:t xml:space="preserve">ES Act Exemption Considerations </w:t>
      </w:r>
    </w:p>
    <w:p w14:paraId="6365EE88" w14:textId="77777777" w:rsidR="000F21A2" w:rsidRDefault="000F21A2" w:rsidP="00E14F1A"/>
    <w:p w14:paraId="587CC241" w14:textId="77777777" w:rsidR="00B242CE" w:rsidRPr="00476F3E" w:rsidRDefault="00B242CE" w:rsidP="00E14F1A">
      <w:r w:rsidRPr="00476F3E">
        <w:t>The construction of stage 1 of the Canberra light rail network during 2018 and 2019</w:t>
      </w:r>
    </w:p>
    <w:p w14:paraId="45351234" w14:textId="77777777" w:rsidR="00B242CE" w:rsidRPr="00E14F1A" w:rsidRDefault="00B242CE" w:rsidP="00E14F1A">
      <w:pPr>
        <w:rPr>
          <w:i/>
          <w:iCs/>
        </w:rPr>
      </w:pPr>
      <w:r w:rsidRPr="00476F3E">
        <w:t>identified aspects of the electrical work to which the</w:t>
      </w:r>
      <w:r w:rsidRPr="000F21A2">
        <w:t xml:space="preserve"> </w:t>
      </w:r>
      <w:r w:rsidR="000F21A2" w:rsidRPr="000F21A2">
        <w:t>ES Act</w:t>
      </w:r>
      <w:r w:rsidRPr="00476F3E">
        <w:t xml:space="preserve"> still</w:t>
      </w:r>
      <w:r w:rsidR="00E14F1A">
        <w:t xml:space="preserve"> </w:t>
      </w:r>
      <w:r w:rsidRPr="00476F3E">
        <w:t xml:space="preserve">applied in addition to requirements under the </w:t>
      </w:r>
      <w:r w:rsidR="00AA0A1B" w:rsidRPr="006B147D">
        <w:t>UTR Act</w:t>
      </w:r>
      <w:r w:rsidRPr="00476F3E">
        <w:t xml:space="preserve">. This duplication was not intended when the </w:t>
      </w:r>
      <w:r w:rsidRPr="00476F3E">
        <w:rPr>
          <w:i/>
          <w:iCs/>
        </w:rPr>
        <w:t>Utilities (Technical Regulation</w:t>
      </w:r>
      <w:r w:rsidR="00E14F1A">
        <w:rPr>
          <w:i/>
          <w:iCs/>
        </w:rPr>
        <w:t xml:space="preserve">) (Light Rail – Regulated </w:t>
      </w:r>
      <w:r w:rsidRPr="00476F3E">
        <w:rPr>
          <w:i/>
          <w:iCs/>
        </w:rPr>
        <w:t>Utility Service) Regulation 2016</w:t>
      </w:r>
      <w:r w:rsidRPr="00476F3E">
        <w:t xml:space="preserve"> was introduced. Additionally, by operation of sections 11, 84 and 85 of the </w:t>
      </w:r>
      <w:r w:rsidRPr="00476F3E">
        <w:rPr>
          <w:i/>
          <w:iCs/>
        </w:rPr>
        <w:t>Construction Occupations (Licensing) Act 2004</w:t>
      </w:r>
      <w:r w:rsidRPr="00476F3E">
        <w:t>, electrical wiring work was required to be undertaken by a licensed electrician.</w:t>
      </w:r>
    </w:p>
    <w:p w14:paraId="20081F85" w14:textId="77777777" w:rsidR="00B242CE" w:rsidRPr="00476F3E" w:rsidRDefault="00B242CE" w:rsidP="00E14F1A"/>
    <w:p w14:paraId="72AE07DB" w14:textId="77777777" w:rsidR="0072605D" w:rsidRPr="00476F3E" w:rsidRDefault="00EF5616" w:rsidP="00E14F1A">
      <w:pPr>
        <w:rPr>
          <w:i/>
          <w:iCs/>
        </w:rPr>
      </w:pPr>
      <w:r w:rsidRPr="00476F3E">
        <w:t>D</w:t>
      </w:r>
      <w:r w:rsidR="00902140" w:rsidRPr="00476F3E">
        <w:t xml:space="preserve">elivery </w:t>
      </w:r>
      <w:r w:rsidR="0072605D" w:rsidRPr="00476F3E">
        <w:t xml:space="preserve">of </w:t>
      </w:r>
      <w:r w:rsidR="00902140" w:rsidRPr="00476F3E">
        <w:t xml:space="preserve">the light rail </w:t>
      </w:r>
      <w:r w:rsidR="00B242CE" w:rsidRPr="00476F3E">
        <w:t xml:space="preserve">stage </w:t>
      </w:r>
      <w:r w:rsidRPr="00476F3E">
        <w:t xml:space="preserve">1 </w:t>
      </w:r>
      <w:r w:rsidR="00902140" w:rsidRPr="00476F3E">
        <w:t xml:space="preserve">project </w:t>
      </w:r>
      <w:r w:rsidRPr="00476F3E">
        <w:t>determined</w:t>
      </w:r>
      <w:r w:rsidR="00B242CE" w:rsidRPr="00476F3E">
        <w:t xml:space="preserve"> that electrical </w:t>
      </w:r>
      <w:r w:rsidR="00902140" w:rsidRPr="00476F3E">
        <w:t xml:space="preserve">infrastructure </w:t>
      </w:r>
      <w:r w:rsidR="00C73B7B">
        <w:t>associated</w:t>
      </w:r>
      <w:r w:rsidR="00902140" w:rsidRPr="00476F3E">
        <w:t xml:space="preserve"> with </w:t>
      </w:r>
      <w:r w:rsidR="00B242CE" w:rsidRPr="00476F3E">
        <w:t xml:space="preserve">the project was of a </w:t>
      </w:r>
      <w:r w:rsidR="0072605D" w:rsidRPr="00476F3E">
        <w:t>unique</w:t>
      </w:r>
      <w:r w:rsidR="00902140" w:rsidRPr="00476F3E">
        <w:t>, purpose-built,</w:t>
      </w:r>
      <w:r w:rsidR="0072605D" w:rsidRPr="00476F3E">
        <w:t xml:space="preserve"> and large-scale nature</w:t>
      </w:r>
      <w:r w:rsidR="003E13E9" w:rsidRPr="00476F3E">
        <w:t>.</w:t>
      </w:r>
      <w:r w:rsidR="00B242CE" w:rsidRPr="00476F3E">
        <w:t xml:space="preserve"> </w:t>
      </w:r>
      <w:r w:rsidR="00902140" w:rsidRPr="00476F3E">
        <w:t>The electrical wiring work requirements of the</w:t>
      </w:r>
      <w:r w:rsidR="00AA0A1B">
        <w:t xml:space="preserve"> ES Act</w:t>
      </w:r>
      <w:r w:rsidR="00902140" w:rsidRPr="00476F3E">
        <w:rPr>
          <w:i/>
          <w:iCs/>
        </w:rPr>
        <w:t xml:space="preserve"> </w:t>
      </w:r>
      <w:r w:rsidR="00902140" w:rsidRPr="00476F3E">
        <w:t xml:space="preserve">such as inspection, testing and verification, which are undertaken after completion of the electrical works, did not </w:t>
      </w:r>
      <w:r w:rsidR="0072605D" w:rsidRPr="00476F3E">
        <w:t xml:space="preserve">align </w:t>
      </w:r>
      <w:r w:rsidR="00902140" w:rsidRPr="00476F3E">
        <w:t xml:space="preserve">with the light rail project. These requirements are generally </w:t>
      </w:r>
      <w:r w:rsidRPr="00476F3E">
        <w:t xml:space="preserve">more </w:t>
      </w:r>
      <w:r w:rsidR="00902140" w:rsidRPr="00476F3E">
        <w:t xml:space="preserve">suitable and applied </w:t>
      </w:r>
      <w:r w:rsidR="00B242CE" w:rsidRPr="00476F3E">
        <w:t>to</w:t>
      </w:r>
      <w:r w:rsidR="001645FD" w:rsidRPr="00476F3E">
        <w:t xml:space="preserve"> commercial and residential construction</w:t>
      </w:r>
      <w:r w:rsidR="001645FD" w:rsidRPr="00476F3E">
        <w:rPr>
          <w:i/>
          <w:iCs/>
        </w:rPr>
        <w:t>.</w:t>
      </w:r>
      <w:r w:rsidR="00A72CF8" w:rsidRPr="00476F3E">
        <w:rPr>
          <w:i/>
          <w:iCs/>
        </w:rPr>
        <w:t xml:space="preserve"> </w:t>
      </w:r>
    </w:p>
    <w:p w14:paraId="197054E5" w14:textId="77777777" w:rsidR="000F44BA" w:rsidRPr="00476F3E" w:rsidRDefault="000F44BA" w:rsidP="00E14F1A">
      <w:pPr>
        <w:rPr>
          <w:i/>
          <w:iCs/>
        </w:rPr>
      </w:pPr>
    </w:p>
    <w:p w14:paraId="0575A43F" w14:textId="77777777" w:rsidR="000F21A2" w:rsidRPr="00476F3E" w:rsidRDefault="00B242CE" w:rsidP="00E860A1">
      <w:pPr>
        <w:spacing w:after="120"/>
      </w:pPr>
      <w:r w:rsidRPr="00476F3E">
        <w:t xml:space="preserve">To </w:t>
      </w:r>
      <w:r w:rsidR="00BA334A" w:rsidRPr="00476F3E">
        <w:t>reduce regulatory burden</w:t>
      </w:r>
      <w:r w:rsidRPr="00476F3E">
        <w:t>, t</w:t>
      </w:r>
      <w:r w:rsidR="000F44BA" w:rsidRPr="00476F3E">
        <w:t>he</w:t>
      </w:r>
      <w:r w:rsidR="00AA0A1B">
        <w:t xml:space="preserve"> ES Act</w:t>
      </w:r>
      <w:r w:rsidR="000F44BA" w:rsidRPr="00476F3E">
        <w:t xml:space="preserve"> was</w:t>
      </w:r>
      <w:r w:rsidRPr="00476F3E">
        <w:t xml:space="preserve"> </w:t>
      </w:r>
      <w:r w:rsidR="000F44BA" w:rsidRPr="00476F3E">
        <w:t xml:space="preserve">amended </w:t>
      </w:r>
      <w:r w:rsidRPr="00476F3E">
        <w:t xml:space="preserve">to include a </w:t>
      </w:r>
      <w:r w:rsidR="000F44BA" w:rsidRPr="00476F3E">
        <w:t>new section 62B</w:t>
      </w:r>
      <w:r w:rsidR="000F21A2">
        <w:t xml:space="preserve"> which allows</w:t>
      </w:r>
      <w:r w:rsidR="000F21A2" w:rsidRPr="00476F3E">
        <w:t xml:space="preserve"> the Minister </w:t>
      </w:r>
      <w:r w:rsidR="000F21A2">
        <w:t>t</w:t>
      </w:r>
      <w:r w:rsidR="000F21A2" w:rsidRPr="00476F3E">
        <w:t xml:space="preserve">o exempt a regulated utility from the </w:t>
      </w:r>
      <w:r w:rsidR="000F21A2">
        <w:t xml:space="preserve">ES Act </w:t>
      </w:r>
      <w:r w:rsidR="000F21A2" w:rsidRPr="00476F3E">
        <w:t xml:space="preserve">by disallowable instrument </w:t>
      </w:r>
      <w:r w:rsidR="000F21A2">
        <w:t>if</w:t>
      </w:r>
      <w:r w:rsidR="000F21A2" w:rsidRPr="00476F3E">
        <w:t xml:space="preserve"> the Minister is reasonably satisfied that – </w:t>
      </w:r>
    </w:p>
    <w:p w14:paraId="0D2AAA34" w14:textId="77777777" w:rsidR="000F21A2" w:rsidRPr="00476F3E" w:rsidRDefault="000F21A2" w:rsidP="00E860A1">
      <w:pPr>
        <w:pStyle w:val="ListParagraph"/>
        <w:numPr>
          <w:ilvl w:val="0"/>
          <w:numId w:val="11"/>
        </w:numPr>
        <w:spacing w:after="120"/>
        <w:contextualSpacing w:val="0"/>
      </w:pPr>
      <w:r w:rsidRPr="00476F3E">
        <w:t>the regulated utility is adequately regulated under another territory or Commonwealth law; and</w:t>
      </w:r>
    </w:p>
    <w:p w14:paraId="38D051E6" w14:textId="77777777" w:rsidR="000F21A2" w:rsidRPr="00476F3E" w:rsidRDefault="000F21A2" w:rsidP="00E14F1A">
      <w:pPr>
        <w:pStyle w:val="ListParagraph"/>
        <w:numPr>
          <w:ilvl w:val="0"/>
          <w:numId w:val="11"/>
        </w:numPr>
      </w:pPr>
      <w:r w:rsidRPr="00476F3E">
        <w:t xml:space="preserve">the exemption does not increase the risk to public safety. </w:t>
      </w:r>
    </w:p>
    <w:p w14:paraId="2AE2C98F" w14:textId="77777777" w:rsidR="00B242CE" w:rsidRPr="00476F3E" w:rsidRDefault="00B242CE" w:rsidP="00E14F1A"/>
    <w:p w14:paraId="595B4718" w14:textId="77777777" w:rsidR="000F21A2" w:rsidRDefault="000F21A2" w:rsidP="00E14F1A">
      <w:pPr>
        <w:rPr>
          <w:u w:val="single"/>
        </w:rPr>
      </w:pPr>
      <w:r>
        <w:rPr>
          <w:u w:val="single"/>
        </w:rPr>
        <w:t>UTR Act Adequate Regulatory Regime</w:t>
      </w:r>
    </w:p>
    <w:p w14:paraId="1DC33CE3" w14:textId="77777777" w:rsidR="000F21A2" w:rsidRPr="000F21A2" w:rsidRDefault="000F21A2" w:rsidP="00E14F1A">
      <w:pPr>
        <w:rPr>
          <w:u w:val="single"/>
        </w:rPr>
      </w:pPr>
    </w:p>
    <w:p w14:paraId="660389C8" w14:textId="77777777" w:rsidR="00BA07FC" w:rsidRDefault="000F21A2" w:rsidP="00E14F1A">
      <w:pPr>
        <w:pStyle w:val="ESText"/>
        <w:spacing w:before="0" w:beforeAutospacing="0" w:after="0" w:afterAutospacing="0"/>
        <w:rPr>
          <w:snapToGrid w:val="0"/>
          <w:color w:val="000000" w:themeColor="text1"/>
        </w:rPr>
      </w:pPr>
      <w:r w:rsidRPr="000F21A2">
        <w:rPr>
          <w:snapToGrid w:val="0"/>
          <w:color w:val="000000" w:themeColor="text1"/>
        </w:rPr>
        <w:t xml:space="preserve">The UTR Act provides a technical regulatory framework for regulated utilities in the Australian Capital Territory. </w:t>
      </w:r>
    </w:p>
    <w:p w14:paraId="30C9BC23" w14:textId="77777777" w:rsidR="00BA07FC" w:rsidRDefault="00BA07FC" w:rsidP="00E14F1A">
      <w:pPr>
        <w:pStyle w:val="ESText"/>
        <w:spacing w:before="0" w:beforeAutospacing="0" w:after="0" w:afterAutospacing="0"/>
        <w:rPr>
          <w:snapToGrid w:val="0"/>
          <w:color w:val="000000" w:themeColor="text1"/>
        </w:rPr>
      </w:pPr>
    </w:p>
    <w:p w14:paraId="46435591" w14:textId="77777777" w:rsidR="00BA07FC" w:rsidRPr="00611AFD" w:rsidRDefault="00611AFD" w:rsidP="00E14F1A">
      <w:r>
        <w:rPr>
          <w:szCs w:val="24"/>
        </w:rPr>
        <w:t>The regulated utility is</w:t>
      </w:r>
      <w:r w:rsidR="00BA07FC">
        <w:rPr>
          <w:szCs w:val="24"/>
        </w:rPr>
        <w:t xml:space="preserve"> required to comply with the requirements of the UTR Act </w:t>
      </w:r>
      <w:r>
        <w:rPr>
          <w:szCs w:val="24"/>
        </w:rPr>
        <w:t>regarding the</w:t>
      </w:r>
      <w:r w:rsidR="00BA07FC" w:rsidRPr="00476F3E">
        <w:rPr>
          <w:szCs w:val="24"/>
        </w:rPr>
        <w:t xml:space="preserve"> </w:t>
      </w:r>
      <w:r>
        <w:rPr>
          <w:szCs w:val="24"/>
        </w:rPr>
        <w:t xml:space="preserve">design and construction of the </w:t>
      </w:r>
      <w:r w:rsidR="00BA07FC" w:rsidRPr="00476F3E">
        <w:rPr>
          <w:szCs w:val="24"/>
        </w:rPr>
        <w:t>regulated utility service as prescribe</w:t>
      </w:r>
      <w:r w:rsidR="00BA07FC">
        <w:rPr>
          <w:szCs w:val="24"/>
        </w:rPr>
        <w:t>d</w:t>
      </w:r>
      <w:r w:rsidR="00BA07FC" w:rsidRPr="00476F3E">
        <w:rPr>
          <w:szCs w:val="24"/>
        </w:rPr>
        <w:t xml:space="preserve"> by the </w:t>
      </w:r>
      <w:r w:rsidR="00BA07FC" w:rsidRPr="00476F3E">
        <w:rPr>
          <w:i/>
          <w:iCs/>
          <w:szCs w:val="24"/>
        </w:rPr>
        <w:t>Utilities (Technical Regulation) (Light Rail—Regulated Utility Service) Regulation 2016</w:t>
      </w:r>
      <w:r w:rsidR="00BA07FC">
        <w:rPr>
          <w:i/>
          <w:iCs/>
          <w:szCs w:val="24"/>
        </w:rPr>
        <w:t>.</w:t>
      </w:r>
      <w:r w:rsidR="00BA07FC" w:rsidRPr="00476F3E">
        <w:rPr>
          <w:szCs w:val="24"/>
        </w:rPr>
        <w:t xml:space="preserve"> </w:t>
      </w:r>
    </w:p>
    <w:p w14:paraId="20368720" w14:textId="77777777" w:rsidR="008E59E7" w:rsidRPr="00476F3E" w:rsidRDefault="008E59E7" w:rsidP="00E14F1A"/>
    <w:p w14:paraId="66EA9C3B" w14:textId="77777777" w:rsidR="005F00D5" w:rsidRPr="00476F3E" w:rsidRDefault="00F34CE0" w:rsidP="00E14F1A">
      <w:r w:rsidRPr="00476F3E">
        <w:t>The</w:t>
      </w:r>
      <w:r w:rsidR="00AA0A1B">
        <w:t xml:space="preserve"> UTR Act</w:t>
      </w:r>
      <w:r w:rsidRPr="00476F3E">
        <w:rPr>
          <w:rFonts w:ascii="Arial" w:hAnsi="Arial" w:cs="Arial"/>
          <w:color w:val="000000"/>
          <w:shd w:val="clear" w:color="auto" w:fill="FFFFFF"/>
        </w:rPr>
        <w:t xml:space="preserve"> </w:t>
      </w:r>
      <w:r w:rsidRPr="00476F3E">
        <w:t>provides a more</w:t>
      </w:r>
      <w:r w:rsidR="005F00D5" w:rsidRPr="00476F3E">
        <w:t xml:space="preserve"> robust and appropriate </w:t>
      </w:r>
      <w:r w:rsidRPr="00476F3E">
        <w:t xml:space="preserve">regulatory framework for </w:t>
      </w:r>
      <w:r w:rsidR="00C72090" w:rsidRPr="00476F3E">
        <w:t xml:space="preserve">regulating </w:t>
      </w:r>
      <w:r w:rsidR="003E13E9" w:rsidRPr="00476F3E">
        <w:t xml:space="preserve">the light rail </w:t>
      </w:r>
      <w:r w:rsidR="003140EE" w:rsidRPr="00476F3E">
        <w:t xml:space="preserve">utility’s </w:t>
      </w:r>
      <w:r w:rsidR="00C72090" w:rsidRPr="00476F3E">
        <w:t xml:space="preserve">electrical </w:t>
      </w:r>
      <w:r w:rsidR="00CC1A83" w:rsidRPr="00476F3E">
        <w:t>infrastructure</w:t>
      </w:r>
      <w:r w:rsidR="005F00D5" w:rsidRPr="00476F3E">
        <w:t xml:space="preserve">. </w:t>
      </w:r>
      <w:r w:rsidR="005C1597" w:rsidRPr="00476F3E">
        <w:t xml:space="preserve">This is </w:t>
      </w:r>
      <w:r w:rsidR="000F44BA" w:rsidRPr="00476F3E">
        <w:t>achieved</w:t>
      </w:r>
      <w:r w:rsidR="005C1597" w:rsidRPr="00476F3E">
        <w:t xml:space="preserve"> t</w:t>
      </w:r>
      <w:r w:rsidRPr="00476F3E">
        <w:t>h</w:t>
      </w:r>
      <w:r w:rsidR="005F00D5" w:rsidRPr="00476F3E">
        <w:t>r</w:t>
      </w:r>
      <w:r w:rsidRPr="00476F3E">
        <w:t xml:space="preserve">ough the application of an </w:t>
      </w:r>
      <w:r w:rsidR="003E13E9" w:rsidRPr="00476F3E">
        <w:t>o</w:t>
      </w:r>
      <w:r w:rsidRPr="00476F3E">
        <w:t xml:space="preserve">perating </w:t>
      </w:r>
      <w:r w:rsidR="003E13E9" w:rsidRPr="00476F3E">
        <w:t>c</w:t>
      </w:r>
      <w:r w:rsidR="005F00D5" w:rsidRPr="00476F3E">
        <w:t>ertificate</w:t>
      </w:r>
      <w:r w:rsidRPr="00476F3E">
        <w:t xml:space="preserve"> </w:t>
      </w:r>
      <w:r w:rsidR="005F00D5" w:rsidRPr="00476F3E">
        <w:t xml:space="preserve">regime </w:t>
      </w:r>
      <w:r w:rsidRPr="00476F3E">
        <w:t xml:space="preserve">and </w:t>
      </w:r>
      <w:r w:rsidR="005F00D5" w:rsidRPr="00476F3E">
        <w:t>t</w:t>
      </w:r>
      <w:r w:rsidRPr="00476F3E">
        <w:t>hree technical codes</w:t>
      </w:r>
      <w:r w:rsidR="003E13E9" w:rsidRPr="00476F3E">
        <w:t>:</w:t>
      </w:r>
      <w:r w:rsidR="005C1597" w:rsidRPr="00476F3E">
        <w:t xml:space="preserve"> </w:t>
      </w:r>
    </w:p>
    <w:p w14:paraId="517879D2" w14:textId="77777777" w:rsidR="00130321" w:rsidRPr="00476F3E" w:rsidRDefault="00130321" w:rsidP="00E14F1A">
      <w:pPr>
        <w:pStyle w:val="ListParagraph"/>
        <w:numPr>
          <w:ilvl w:val="0"/>
          <w:numId w:val="10"/>
        </w:numPr>
        <w:kinsoku w:val="0"/>
        <w:overflowPunct w:val="0"/>
        <w:autoSpaceDE w:val="0"/>
        <w:autoSpaceDN w:val="0"/>
        <w:adjustRightInd w:val="0"/>
        <w:spacing w:before="120" w:after="120"/>
        <w:ind w:left="993" w:hanging="284"/>
        <w:contextualSpacing w:val="0"/>
        <w:outlineLvl w:val="0"/>
        <w:rPr>
          <w:i/>
          <w:iCs/>
          <w:szCs w:val="24"/>
        </w:rPr>
      </w:pPr>
      <w:bookmarkStart w:id="2" w:name="_Hlk146894255"/>
      <w:r w:rsidRPr="00476F3E">
        <w:rPr>
          <w:i/>
          <w:iCs/>
          <w:szCs w:val="24"/>
        </w:rPr>
        <w:t>Utilities (Technical Regulation) (Light Rail Regulated Utility (Electrical) Network Code) Approval 2021</w:t>
      </w:r>
    </w:p>
    <w:p w14:paraId="15E646D5" w14:textId="77777777" w:rsidR="00130321" w:rsidRPr="00476F3E" w:rsidRDefault="00130321" w:rsidP="00E14F1A">
      <w:pPr>
        <w:pStyle w:val="ListParagraph"/>
        <w:numPr>
          <w:ilvl w:val="0"/>
          <w:numId w:val="10"/>
        </w:numPr>
        <w:kinsoku w:val="0"/>
        <w:overflowPunct w:val="0"/>
        <w:autoSpaceDE w:val="0"/>
        <w:autoSpaceDN w:val="0"/>
        <w:adjustRightInd w:val="0"/>
        <w:spacing w:before="120" w:after="120"/>
        <w:ind w:left="993" w:hanging="284"/>
        <w:contextualSpacing w:val="0"/>
        <w:outlineLvl w:val="0"/>
        <w:rPr>
          <w:i/>
          <w:iCs/>
          <w:szCs w:val="24"/>
        </w:rPr>
      </w:pPr>
      <w:r w:rsidRPr="00476F3E">
        <w:rPr>
          <w:i/>
          <w:iCs/>
          <w:szCs w:val="24"/>
        </w:rPr>
        <w:t>Utilities (Technical Regulation) (Light Rail Regulated Utility (Electrical) Network Boundary Code) Approval 202</w:t>
      </w:r>
      <w:r w:rsidR="00AA0A1B">
        <w:rPr>
          <w:i/>
          <w:iCs/>
          <w:szCs w:val="24"/>
        </w:rPr>
        <w:t>4</w:t>
      </w:r>
    </w:p>
    <w:p w14:paraId="3E380F2E" w14:textId="77777777" w:rsidR="00130321" w:rsidRPr="00476F3E" w:rsidRDefault="00130321" w:rsidP="00E14F1A">
      <w:pPr>
        <w:pStyle w:val="ListParagraph"/>
        <w:numPr>
          <w:ilvl w:val="0"/>
          <w:numId w:val="10"/>
        </w:numPr>
        <w:kinsoku w:val="0"/>
        <w:overflowPunct w:val="0"/>
        <w:autoSpaceDE w:val="0"/>
        <w:autoSpaceDN w:val="0"/>
        <w:adjustRightInd w:val="0"/>
        <w:spacing w:before="120" w:after="120"/>
        <w:ind w:left="993" w:hanging="284"/>
        <w:contextualSpacing w:val="0"/>
        <w:outlineLvl w:val="0"/>
        <w:rPr>
          <w:i/>
          <w:iCs/>
          <w:szCs w:val="24"/>
        </w:rPr>
      </w:pPr>
      <w:r w:rsidRPr="00476F3E">
        <w:rPr>
          <w:i/>
          <w:iCs/>
          <w:szCs w:val="24"/>
        </w:rPr>
        <w:t>Utilities (Technical Regulation) (Regulated Utility Coordination Code) Approval 2021</w:t>
      </w:r>
    </w:p>
    <w:bookmarkEnd w:id="2"/>
    <w:p w14:paraId="07AB1B3A" w14:textId="77777777" w:rsidR="003E13E9" w:rsidRPr="00476F3E" w:rsidRDefault="003E13E9" w:rsidP="00E14F1A">
      <w:r w:rsidRPr="00476F3E">
        <w:t xml:space="preserve">These codes set out technical and operational requirements, including independent certification requirements, throughout the design, construction, testing and commissioning, augmentation, or expansion of the light rail network. </w:t>
      </w:r>
    </w:p>
    <w:p w14:paraId="4A40266F" w14:textId="77777777" w:rsidR="003E13E9" w:rsidRPr="00476F3E" w:rsidRDefault="003E13E9" w:rsidP="00E14F1A"/>
    <w:p w14:paraId="1A0F4A2A" w14:textId="77777777" w:rsidR="00611AFD" w:rsidRPr="00476F3E" w:rsidRDefault="00C0106C" w:rsidP="00E14F1A">
      <w:r w:rsidRPr="00476F3E">
        <w:t>Under section 43 of the</w:t>
      </w:r>
      <w:r w:rsidR="00611AFD">
        <w:t xml:space="preserve"> UTR Act,</w:t>
      </w:r>
      <w:r w:rsidRPr="00476F3E">
        <w:t xml:space="preserve"> an unlicensed regulated utility is required to apply to the Technical Regulator for an operating certificate</w:t>
      </w:r>
      <w:r w:rsidR="00611AFD">
        <w:t xml:space="preserve"> for the design and construction of the regulated utility service. </w:t>
      </w:r>
    </w:p>
    <w:p w14:paraId="579CFEEE" w14:textId="77777777" w:rsidR="003E13E9" w:rsidRPr="00476F3E" w:rsidRDefault="003E13E9" w:rsidP="00E14F1A">
      <w:pPr>
        <w:rPr>
          <w:szCs w:val="24"/>
        </w:rPr>
      </w:pPr>
    </w:p>
    <w:p w14:paraId="3CECC9DA" w14:textId="77777777" w:rsidR="00C0106C" w:rsidRPr="00476F3E" w:rsidRDefault="007D51EC" w:rsidP="00E14F1A">
      <w:r w:rsidRPr="00476F3E">
        <w:t>I</w:t>
      </w:r>
      <w:r w:rsidR="001645FD" w:rsidRPr="00476F3E">
        <w:t>ndependent certification is to be performed by an Independent Electrical Certifier</w:t>
      </w:r>
      <w:r w:rsidR="003E13E9" w:rsidRPr="00476F3E">
        <w:t xml:space="preserve"> to </w:t>
      </w:r>
      <w:r w:rsidR="001645FD" w:rsidRPr="00476F3E">
        <w:t>ensur</w:t>
      </w:r>
      <w:r w:rsidR="003E13E9" w:rsidRPr="00476F3E">
        <w:t>e</w:t>
      </w:r>
      <w:r w:rsidR="001645FD" w:rsidRPr="00476F3E">
        <w:t xml:space="preserve"> </w:t>
      </w:r>
      <w:r w:rsidR="003140EE" w:rsidRPr="00476F3E">
        <w:t xml:space="preserve">the </w:t>
      </w:r>
      <w:r w:rsidR="00611AFD">
        <w:t>regulated utility service</w:t>
      </w:r>
      <w:r w:rsidR="003140EE" w:rsidRPr="00476F3E">
        <w:t xml:space="preserve"> </w:t>
      </w:r>
      <w:r w:rsidR="00611AFD">
        <w:t>is</w:t>
      </w:r>
      <w:r w:rsidR="003140EE" w:rsidRPr="00476F3E">
        <w:t xml:space="preserve"> </w:t>
      </w:r>
      <w:r w:rsidR="001645FD" w:rsidRPr="00476F3E">
        <w:t>complian</w:t>
      </w:r>
      <w:r w:rsidR="003140EE" w:rsidRPr="00476F3E">
        <w:t>t</w:t>
      </w:r>
      <w:r w:rsidR="001645FD" w:rsidRPr="00476F3E">
        <w:t xml:space="preserve"> with the </w:t>
      </w:r>
      <w:r w:rsidR="003140EE" w:rsidRPr="00476F3E">
        <w:t xml:space="preserve">approved </w:t>
      </w:r>
      <w:r w:rsidR="001645FD" w:rsidRPr="00476F3E">
        <w:t>design and applicable legislation.</w:t>
      </w:r>
      <w:r w:rsidR="005C1597" w:rsidRPr="00476F3E">
        <w:t xml:space="preserve"> </w:t>
      </w:r>
      <w:r w:rsidR="001645FD" w:rsidRPr="00476F3E">
        <w:t xml:space="preserve">The independent certification arrangement under the </w:t>
      </w:r>
      <w:r w:rsidR="003E13E9" w:rsidRPr="00476F3E">
        <w:t>c</w:t>
      </w:r>
      <w:r w:rsidR="001645FD" w:rsidRPr="00476F3E">
        <w:t>ode</w:t>
      </w:r>
      <w:r w:rsidR="003E13E9" w:rsidRPr="00476F3E">
        <w:t>s</w:t>
      </w:r>
      <w:r w:rsidR="001645FD" w:rsidRPr="00476F3E">
        <w:t xml:space="preserve"> enables </w:t>
      </w:r>
      <w:r w:rsidR="003140EE" w:rsidRPr="00476F3E">
        <w:t xml:space="preserve">ongoing and </w:t>
      </w:r>
      <w:r w:rsidR="001645FD" w:rsidRPr="00476F3E">
        <w:t>increased level of oversight</w:t>
      </w:r>
      <w:r w:rsidR="003140EE" w:rsidRPr="00476F3E">
        <w:t xml:space="preserve"> during the construction phase of the </w:t>
      </w:r>
      <w:r w:rsidR="00A813D3">
        <w:t>regulated utility service</w:t>
      </w:r>
      <w:r w:rsidR="003140EE" w:rsidRPr="00476F3E">
        <w:t xml:space="preserve">, </w:t>
      </w:r>
      <w:r w:rsidR="00AC3D76" w:rsidRPr="00476F3E">
        <w:t>including</w:t>
      </w:r>
      <w:r w:rsidR="003140EE" w:rsidRPr="00476F3E">
        <w:t xml:space="preserve"> testing and commissioning phases</w:t>
      </w:r>
      <w:r w:rsidR="001645FD" w:rsidRPr="00476F3E">
        <w:t xml:space="preserve">, ensuring the </w:t>
      </w:r>
      <w:r w:rsidR="00A813D3">
        <w:t>regulated utility service</w:t>
      </w:r>
      <w:r w:rsidR="00A813D3" w:rsidRPr="00476F3E">
        <w:t xml:space="preserve"> </w:t>
      </w:r>
      <w:r w:rsidR="003140EE" w:rsidRPr="00476F3E">
        <w:t>is compliant and safely delivered</w:t>
      </w:r>
      <w:r w:rsidR="00AC3D76" w:rsidRPr="00476F3E">
        <w:t>.</w:t>
      </w:r>
    </w:p>
    <w:p w14:paraId="63087E6B" w14:textId="77777777" w:rsidR="00C0106C" w:rsidRPr="00476F3E" w:rsidRDefault="00C0106C" w:rsidP="00E14F1A"/>
    <w:p w14:paraId="57E6C0FC" w14:textId="77777777" w:rsidR="00752669" w:rsidRDefault="005C1597" w:rsidP="00E14F1A">
      <w:r w:rsidRPr="00476F3E">
        <w:t>In addition, the codes clearly establish a requirement for one (or more) Electrical Supervisor</w:t>
      </w:r>
      <w:r w:rsidR="007D51EC" w:rsidRPr="00476F3E">
        <w:t>(</w:t>
      </w:r>
      <w:r w:rsidRPr="00476F3E">
        <w:t>s</w:t>
      </w:r>
      <w:r w:rsidR="007D51EC" w:rsidRPr="00476F3E">
        <w:t>)</w:t>
      </w:r>
      <w:r w:rsidRPr="00476F3E">
        <w:t xml:space="preserve"> to be appointed who hold an ‘unrestricted’ electrician licence under the </w:t>
      </w:r>
      <w:r w:rsidRPr="00476F3E">
        <w:rPr>
          <w:i/>
          <w:iCs/>
        </w:rPr>
        <w:t>Construction Occupations (Licensing) Act 2004</w:t>
      </w:r>
      <w:r w:rsidRPr="00476F3E">
        <w:t>.</w:t>
      </w:r>
    </w:p>
    <w:p w14:paraId="4A8675E3" w14:textId="77777777" w:rsidR="000F21A2" w:rsidRDefault="000F21A2" w:rsidP="00E14F1A"/>
    <w:p w14:paraId="23656659" w14:textId="77777777" w:rsidR="00A813D3" w:rsidRPr="00476F3E" w:rsidRDefault="00A813D3" w:rsidP="00E14F1A">
      <w:r w:rsidRPr="00A813D3">
        <w:t xml:space="preserve">Exempting </w:t>
      </w:r>
      <w:r w:rsidRPr="00A813D3">
        <w:rPr>
          <w:szCs w:val="24"/>
        </w:rPr>
        <w:t>the</w:t>
      </w:r>
      <w:r w:rsidRPr="00A813D3">
        <w:t xml:space="preserve"> regulated </w:t>
      </w:r>
      <w:r w:rsidRPr="00A813D3">
        <w:rPr>
          <w:szCs w:val="24"/>
        </w:rPr>
        <w:t>utility</w:t>
      </w:r>
      <w:r w:rsidRPr="00A813D3">
        <w:t xml:space="preserve"> responsible for </w:t>
      </w:r>
      <w:r w:rsidRPr="00A813D3">
        <w:rPr>
          <w:szCs w:val="24"/>
        </w:rPr>
        <w:t>the design and construction of the regulated utility service</w:t>
      </w:r>
      <w:r w:rsidRPr="00A813D3">
        <w:t xml:space="preserve"> from the ES Act will not impose any additional risks to public safety. The UTR Act and applicable technical codes ensure there is no regulatory gap by establishing clear requirements around the safety of electrical wiring work on electrical infrastructure.</w:t>
      </w:r>
    </w:p>
    <w:p w14:paraId="041438DB" w14:textId="77777777" w:rsidR="000F21A2" w:rsidRDefault="000F21A2" w:rsidP="00E14F1A"/>
    <w:p w14:paraId="16D5D8D7" w14:textId="77777777" w:rsidR="00A813D3" w:rsidRPr="00284040" w:rsidRDefault="00A813D3" w:rsidP="00E14F1A">
      <w:pPr>
        <w:tabs>
          <w:tab w:val="left" w:pos="3495"/>
        </w:tabs>
        <w:rPr>
          <w:b/>
          <w:sz w:val="28"/>
          <w:szCs w:val="28"/>
        </w:rPr>
      </w:pPr>
      <w:r w:rsidRPr="00284040">
        <w:rPr>
          <w:b/>
          <w:sz w:val="28"/>
          <w:szCs w:val="28"/>
        </w:rPr>
        <w:t xml:space="preserve">Regulatory Impact Statement </w:t>
      </w:r>
    </w:p>
    <w:p w14:paraId="24EC7B30" w14:textId="77777777" w:rsidR="00A813D3" w:rsidRDefault="00A813D3" w:rsidP="00E14F1A">
      <w:pPr>
        <w:autoSpaceDE w:val="0"/>
        <w:autoSpaceDN w:val="0"/>
        <w:adjustRightInd w:val="0"/>
        <w:rPr>
          <w:szCs w:val="24"/>
        </w:rPr>
      </w:pPr>
    </w:p>
    <w:p w14:paraId="1F3E9411" w14:textId="77777777" w:rsidR="00A813D3" w:rsidRDefault="00A813D3" w:rsidP="00E14F1A">
      <w:pPr>
        <w:autoSpaceDE w:val="0"/>
        <w:autoSpaceDN w:val="0"/>
        <w:adjustRightInd w:val="0"/>
        <w:rPr>
          <w:szCs w:val="24"/>
        </w:rPr>
      </w:pPr>
      <w:r w:rsidRPr="00284040">
        <w:rPr>
          <w:szCs w:val="24"/>
        </w:rPr>
        <w:t xml:space="preserve">A Regulatory Impact Statement for the instrument is not required in accordance with section 34(1) of the </w:t>
      </w:r>
      <w:r w:rsidRPr="00284040">
        <w:rPr>
          <w:i/>
          <w:szCs w:val="24"/>
        </w:rPr>
        <w:t xml:space="preserve">Legislation Act 2001, </w:t>
      </w:r>
      <w:r w:rsidRPr="00284040">
        <w:rPr>
          <w:szCs w:val="24"/>
        </w:rPr>
        <w:t xml:space="preserve">as the </w:t>
      </w:r>
      <w:r>
        <w:rPr>
          <w:szCs w:val="24"/>
        </w:rPr>
        <w:t xml:space="preserve">instrument </w:t>
      </w:r>
      <w:r w:rsidRPr="00284040">
        <w:rPr>
          <w:szCs w:val="24"/>
        </w:rPr>
        <w:t xml:space="preserve">is not likely to impose appreciable costs on the community, or part of the community. Further, a Regulatory Impact Statement is unnecessary in accordance with section 36(1)(b) of the </w:t>
      </w:r>
      <w:r w:rsidRPr="00284040">
        <w:rPr>
          <w:i/>
          <w:szCs w:val="24"/>
        </w:rPr>
        <w:t>Legislation Act 2001</w:t>
      </w:r>
      <w:r>
        <w:rPr>
          <w:iCs/>
          <w:szCs w:val="24"/>
        </w:rPr>
        <w:t xml:space="preserve"> </w:t>
      </w:r>
      <w:bookmarkStart w:id="3" w:name="_Hlk161146907"/>
      <w:r>
        <w:rPr>
          <w:iCs/>
          <w:szCs w:val="24"/>
        </w:rPr>
        <w:t>as this instrument does not adversely affect a person’s rights or impose liabilities on a person</w:t>
      </w:r>
      <w:bookmarkEnd w:id="3"/>
      <w:r w:rsidRPr="00284040">
        <w:rPr>
          <w:szCs w:val="24"/>
        </w:rPr>
        <w:t>.</w:t>
      </w:r>
    </w:p>
    <w:p w14:paraId="3EC3096C" w14:textId="77777777" w:rsidR="00A813D3" w:rsidRPr="00284040" w:rsidRDefault="00A813D3" w:rsidP="00E14F1A">
      <w:pPr>
        <w:autoSpaceDE w:val="0"/>
        <w:autoSpaceDN w:val="0"/>
        <w:adjustRightInd w:val="0"/>
        <w:rPr>
          <w:szCs w:val="24"/>
        </w:rPr>
      </w:pPr>
    </w:p>
    <w:p w14:paraId="5B4D4561" w14:textId="77777777" w:rsidR="00A813D3" w:rsidRPr="00284040" w:rsidRDefault="00A813D3" w:rsidP="00E14F1A">
      <w:pPr>
        <w:tabs>
          <w:tab w:val="left" w:pos="3495"/>
        </w:tabs>
        <w:rPr>
          <w:b/>
          <w:sz w:val="28"/>
          <w:szCs w:val="28"/>
        </w:rPr>
      </w:pPr>
      <w:r w:rsidRPr="00284040">
        <w:rPr>
          <w:b/>
          <w:sz w:val="28"/>
          <w:szCs w:val="28"/>
        </w:rPr>
        <w:t xml:space="preserve">Human </w:t>
      </w:r>
      <w:r>
        <w:rPr>
          <w:b/>
          <w:sz w:val="28"/>
          <w:szCs w:val="28"/>
        </w:rPr>
        <w:t>R</w:t>
      </w:r>
      <w:r w:rsidRPr="00284040">
        <w:rPr>
          <w:b/>
          <w:sz w:val="28"/>
          <w:szCs w:val="28"/>
        </w:rPr>
        <w:t>ights and Scrutiny of Committee Terms of Reference</w:t>
      </w:r>
    </w:p>
    <w:p w14:paraId="3E6B8F94" w14:textId="77777777" w:rsidR="00A813D3" w:rsidRDefault="00A813D3" w:rsidP="00E14F1A">
      <w:pPr>
        <w:rPr>
          <w:snapToGrid w:val="0"/>
          <w:szCs w:val="24"/>
        </w:rPr>
      </w:pPr>
    </w:p>
    <w:p w14:paraId="3F6FE57A" w14:textId="77777777" w:rsidR="00A813D3" w:rsidRPr="00284040" w:rsidRDefault="00A813D3" w:rsidP="00E14F1A">
      <w:pPr>
        <w:rPr>
          <w:snapToGrid w:val="0"/>
          <w:szCs w:val="24"/>
        </w:rPr>
      </w:pPr>
      <w:r w:rsidRPr="00284040">
        <w:rPr>
          <w:snapToGrid w:val="0"/>
          <w:szCs w:val="24"/>
        </w:rPr>
        <w:t xml:space="preserve">The instrument does not engage or limit any person’s human rights. </w:t>
      </w:r>
    </w:p>
    <w:p w14:paraId="42C34273" w14:textId="77777777" w:rsidR="00A813D3" w:rsidRPr="00284040" w:rsidRDefault="00A813D3" w:rsidP="00E14F1A">
      <w:pPr>
        <w:spacing w:after="120"/>
        <w:rPr>
          <w:snapToGrid w:val="0"/>
          <w:szCs w:val="24"/>
        </w:rPr>
      </w:pPr>
      <w:r w:rsidRPr="00284040">
        <w:rPr>
          <w:snapToGrid w:val="0"/>
          <w:szCs w:val="24"/>
        </w:rPr>
        <w:t xml:space="preserve">The instrument is consistent with the Legislative Assembly’s </w:t>
      </w:r>
      <w:r w:rsidRPr="00A813D3">
        <w:rPr>
          <w:snapToGrid w:val="0"/>
          <w:szCs w:val="24"/>
        </w:rPr>
        <w:t xml:space="preserve">Standing Committee of Justice and Community Safety (Legislative Scrutiny Role) </w:t>
      </w:r>
      <w:r>
        <w:rPr>
          <w:snapToGrid w:val="0"/>
          <w:szCs w:val="24"/>
        </w:rPr>
        <w:t xml:space="preserve">Committee’s Guide and </w:t>
      </w:r>
      <w:r w:rsidRPr="00284040">
        <w:rPr>
          <w:snapToGrid w:val="0"/>
          <w:szCs w:val="24"/>
        </w:rPr>
        <w:t>Terms of Reference.</w:t>
      </w:r>
      <w:r>
        <w:rPr>
          <w:snapToGrid w:val="0"/>
          <w:szCs w:val="24"/>
        </w:rPr>
        <w:t xml:space="preserve"> </w:t>
      </w:r>
      <w:r w:rsidRPr="00A813D3">
        <w:rPr>
          <w:snapToGrid w:val="0"/>
          <w:szCs w:val="24"/>
        </w:rPr>
        <w:t>In this case, no human rights are impacted.</w:t>
      </w:r>
      <w:r w:rsidRPr="00284040">
        <w:rPr>
          <w:snapToGrid w:val="0"/>
          <w:szCs w:val="24"/>
        </w:rPr>
        <w:t xml:space="preserve"> In particular, the instrument:</w:t>
      </w:r>
    </w:p>
    <w:p w14:paraId="57D91A68" w14:textId="77777777" w:rsidR="00A813D3" w:rsidRPr="00284040" w:rsidRDefault="00A813D3" w:rsidP="00E14F1A">
      <w:pPr>
        <w:pStyle w:val="ListParagraph"/>
        <w:numPr>
          <w:ilvl w:val="0"/>
          <w:numId w:val="12"/>
        </w:numPr>
        <w:contextualSpacing w:val="0"/>
        <w:rPr>
          <w:snapToGrid w:val="0"/>
          <w:szCs w:val="24"/>
        </w:rPr>
      </w:pPr>
      <w:r w:rsidRPr="00284040">
        <w:rPr>
          <w:snapToGrid w:val="0"/>
          <w:szCs w:val="24"/>
        </w:rPr>
        <w:t xml:space="preserve">is made under a ministerial power found in the </w:t>
      </w:r>
      <w:proofErr w:type="gramStart"/>
      <w:r w:rsidRPr="00284040">
        <w:rPr>
          <w:snapToGrid w:val="0"/>
          <w:szCs w:val="24"/>
        </w:rPr>
        <w:t>Act;</w:t>
      </w:r>
      <w:proofErr w:type="gramEnd"/>
    </w:p>
    <w:p w14:paraId="3ED6DF73" w14:textId="77777777" w:rsidR="00A813D3" w:rsidRPr="00284040" w:rsidRDefault="00A813D3" w:rsidP="00E14F1A">
      <w:pPr>
        <w:pStyle w:val="ListParagraph"/>
        <w:numPr>
          <w:ilvl w:val="0"/>
          <w:numId w:val="12"/>
        </w:numPr>
        <w:contextualSpacing w:val="0"/>
        <w:rPr>
          <w:snapToGrid w:val="0"/>
          <w:szCs w:val="24"/>
        </w:rPr>
      </w:pPr>
      <w:r w:rsidRPr="00284040">
        <w:rPr>
          <w:snapToGrid w:val="0"/>
          <w:szCs w:val="24"/>
        </w:rPr>
        <w:t xml:space="preserve">is in accordance with the general objects of the Act under which the instrument is </w:t>
      </w:r>
      <w:proofErr w:type="gramStart"/>
      <w:r w:rsidRPr="00284040">
        <w:rPr>
          <w:snapToGrid w:val="0"/>
          <w:szCs w:val="24"/>
        </w:rPr>
        <w:t>made;</w:t>
      </w:r>
      <w:proofErr w:type="gramEnd"/>
      <w:r w:rsidRPr="00284040">
        <w:rPr>
          <w:snapToGrid w:val="0"/>
          <w:szCs w:val="24"/>
        </w:rPr>
        <w:t xml:space="preserve"> </w:t>
      </w:r>
    </w:p>
    <w:p w14:paraId="5447062F" w14:textId="77777777" w:rsidR="00A813D3" w:rsidRPr="00284040" w:rsidRDefault="00A813D3" w:rsidP="00E14F1A">
      <w:pPr>
        <w:pStyle w:val="ListParagraph"/>
        <w:numPr>
          <w:ilvl w:val="0"/>
          <w:numId w:val="12"/>
        </w:numPr>
        <w:contextualSpacing w:val="0"/>
        <w:rPr>
          <w:snapToGrid w:val="0"/>
          <w:szCs w:val="24"/>
        </w:rPr>
      </w:pPr>
      <w:r w:rsidRPr="00284040">
        <w:rPr>
          <w:snapToGrid w:val="0"/>
          <w:szCs w:val="24"/>
        </w:rPr>
        <w:t>does not unduly trespass on rights previously established by law; and</w:t>
      </w:r>
    </w:p>
    <w:p w14:paraId="43C516E2" w14:textId="77777777" w:rsidR="00A813D3" w:rsidRPr="00D962E7" w:rsidRDefault="00A813D3" w:rsidP="00E14F1A">
      <w:pPr>
        <w:pStyle w:val="ListParagraph"/>
        <w:numPr>
          <w:ilvl w:val="0"/>
          <w:numId w:val="12"/>
        </w:numPr>
        <w:contextualSpacing w:val="0"/>
        <w:rPr>
          <w:snapToGrid w:val="0"/>
          <w:szCs w:val="24"/>
        </w:rPr>
      </w:pPr>
      <w:r w:rsidRPr="00D962E7">
        <w:rPr>
          <w:snapToGrid w:val="0"/>
          <w:szCs w:val="24"/>
        </w:rPr>
        <w:t xml:space="preserve">does not make rights, liberties and/or obligations unduly dependent upon non-reviewable decisions.   </w:t>
      </w:r>
    </w:p>
    <w:p w14:paraId="7B0BC5D2" w14:textId="77777777" w:rsidR="00FA1F61" w:rsidRPr="00476F3E" w:rsidRDefault="00FA1F61" w:rsidP="00E14F1A"/>
    <w:p w14:paraId="0DB114CF" w14:textId="77777777" w:rsidR="003B5BC3" w:rsidRPr="003B5BC3" w:rsidRDefault="003B5BC3" w:rsidP="00E14F1A"/>
    <w:sectPr w:rsidR="003B5BC3" w:rsidRPr="003B5BC3" w:rsidSect="0070450F">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32AF" w14:textId="77777777" w:rsidR="009770BA" w:rsidRDefault="009770BA">
      <w:r>
        <w:separator/>
      </w:r>
    </w:p>
  </w:endnote>
  <w:endnote w:type="continuationSeparator" w:id="0">
    <w:p w14:paraId="6E1CF1FB" w14:textId="77777777" w:rsidR="009770BA" w:rsidRDefault="0097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40A9" w14:textId="77777777" w:rsidR="00362CD6" w:rsidRDefault="00362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1895" w14:textId="77777777" w:rsidR="00C407FF" w:rsidRPr="005A06E8" w:rsidRDefault="005A06E8" w:rsidP="005A06E8">
    <w:pPr>
      <w:pStyle w:val="Footer"/>
      <w:jc w:val="center"/>
      <w:rPr>
        <w:rFonts w:cs="Arial"/>
        <w:sz w:val="14"/>
      </w:rPr>
    </w:pPr>
    <w:r w:rsidRPr="005A06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EC5C" w14:textId="77777777" w:rsidR="00362CD6" w:rsidRDefault="00362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3C09" w14:textId="77777777" w:rsidR="009770BA" w:rsidRDefault="009770BA">
      <w:r>
        <w:separator/>
      </w:r>
    </w:p>
  </w:footnote>
  <w:footnote w:type="continuationSeparator" w:id="0">
    <w:p w14:paraId="36E669B1" w14:textId="77777777" w:rsidR="009770BA" w:rsidRDefault="0097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E279" w14:textId="77777777" w:rsidR="00362CD6" w:rsidRDefault="00362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5CC8" w14:textId="77777777" w:rsidR="00945D6C" w:rsidRPr="00DA0351" w:rsidRDefault="00945D6C" w:rsidP="004566DE">
    <w:pPr>
      <w:spacing w:before="120" w:after="120"/>
      <w:jc w:val="right"/>
      <w:rPr>
        <w:rFonts w:ascii="Calibri" w:hAnsi="Calibri" w:cs="Calibri"/>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B258" w14:textId="77777777" w:rsidR="00362CD6" w:rsidRDefault="0036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8A3"/>
    <w:multiLevelType w:val="hybridMultilevel"/>
    <w:tmpl w:val="FFFFFFFF"/>
    <w:lvl w:ilvl="0" w:tplc="6B5062CC">
      <w:start w:val="1"/>
      <w:numFmt w:val="lowerRoman"/>
      <w:lvlText w:val="%1."/>
      <w:lvlJc w:val="right"/>
      <w:pPr>
        <w:ind w:left="2149" w:hanging="360"/>
      </w:pPr>
      <w:rPr>
        <w:rFonts w:cs="Times New Roman"/>
        <w:i w:val="0"/>
        <w:iCs w:val="0"/>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1" w15:restartNumberingAfterBreak="0">
    <w:nsid w:val="0E976F9F"/>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4964D56"/>
    <w:multiLevelType w:val="hybridMultilevel"/>
    <w:tmpl w:val="FFFFFFFF"/>
    <w:lvl w:ilvl="0" w:tplc="6AE68F4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0E504EF"/>
    <w:multiLevelType w:val="hybridMultilevel"/>
    <w:tmpl w:val="FFFFFFFF"/>
    <w:lvl w:ilvl="0" w:tplc="CBD43798">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8560C76"/>
    <w:multiLevelType w:val="hybridMultilevel"/>
    <w:tmpl w:val="FFFFFFFF"/>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C9C74E9"/>
    <w:multiLevelType w:val="hybridMultilevel"/>
    <w:tmpl w:val="FFFFFFFF"/>
    <w:lvl w:ilvl="0" w:tplc="0C09001B">
      <w:start w:val="1"/>
      <w:numFmt w:val="lowerRoman"/>
      <w:lvlText w:val="%1."/>
      <w:lvlJc w:val="right"/>
      <w:pPr>
        <w:ind w:left="2160" w:hanging="360"/>
      </w:pPr>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6" w15:restartNumberingAfterBreak="0">
    <w:nsid w:val="4F594BB2"/>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774506C"/>
    <w:multiLevelType w:val="hybridMultilevel"/>
    <w:tmpl w:val="FFFFFFFF"/>
    <w:lvl w:ilvl="0" w:tplc="0C090015">
      <w:start w:val="1"/>
      <w:numFmt w:val="upp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5D95728D"/>
    <w:multiLevelType w:val="multilevel"/>
    <w:tmpl w:val="FFFFFFFF"/>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644"/>
        </w:tabs>
        <w:ind w:left="644"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79A3B63"/>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8A00C6A"/>
    <w:multiLevelType w:val="hybridMultilevel"/>
    <w:tmpl w:val="FFFFFFFF"/>
    <w:lvl w:ilvl="0" w:tplc="0C090017">
      <w:start w:val="1"/>
      <w:numFmt w:val="lowerLetter"/>
      <w:lvlText w:val="%1)"/>
      <w:lvlJc w:val="left"/>
      <w:pPr>
        <w:ind w:left="1440" w:hanging="360"/>
      </w:pPr>
      <w:rPr>
        <w:rFonts w:cs="Times New Roman"/>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1" w15:restartNumberingAfterBreak="0">
    <w:nsid w:val="75C8527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2909387">
    <w:abstractNumId w:val="3"/>
  </w:num>
  <w:num w:numId="2" w16cid:durableId="1882207131">
    <w:abstractNumId w:val="8"/>
  </w:num>
  <w:num w:numId="3" w16cid:durableId="193035089">
    <w:abstractNumId w:val="6"/>
  </w:num>
  <w:num w:numId="4" w16cid:durableId="665672828">
    <w:abstractNumId w:val="10"/>
  </w:num>
  <w:num w:numId="5" w16cid:durableId="1364552733">
    <w:abstractNumId w:val="7"/>
  </w:num>
  <w:num w:numId="6" w16cid:durableId="1673991789">
    <w:abstractNumId w:val="4"/>
  </w:num>
  <w:num w:numId="7" w16cid:durableId="6030416">
    <w:abstractNumId w:val="1"/>
  </w:num>
  <w:num w:numId="8" w16cid:durableId="294989944">
    <w:abstractNumId w:val="5"/>
  </w:num>
  <w:num w:numId="9" w16cid:durableId="586229005">
    <w:abstractNumId w:val="2"/>
  </w:num>
  <w:num w:numId="10" w16cid:durableId="291643738">
    <w:abstractNumId w:val="0"/>
  </w:num>
  <w:num w:numId="11" w16cid:durableId="1092971487">
    <w:abstractNumId w:val="9"/>
  </w:num>
  <w:num w:numId="12" w16cid:durableId="478503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5BC3"/>
    <w:rsid w:val="00042AF0"/>
    <w:rsid w:val="00044A56"/>
    <w:rsid w:val="00062D43"/>
    <w:rsid w:val="00063261"/>
    <w:rsid w:val="000A750C"/>
    <w:rsid w:val="000C644E"/>
    <w:rsid w:val="000D357D"/>
    <w:rsid w:val="000F21A2"/>
    <w:rsid w:val="000F44BA"/>
    <w:rsid w:val="00103D2F"/>
    <w:rsid w:val="00130321"/>
    <w:rsid w:val="001400B1"/>
    <w:rsid w:val="00142C73"/>
    <w:rsid w:val="0015629F"/>
    <w:rsid w:val="00156FCB"/>
    <w:rsid w:val="001645FD"/>
    <w:rsid w:val="001658DE"/>
    <w:rsid w:val="00172A18"/>
    <w:rsid w:val="001804E8"/>
    <w:rsid w:val="00193D0B"/>
    <w:rsid w:val="00194FCA"/>
    <w:rsid w:val="001B5AEC"/>
    <w:rsid w:val="001C3ECD"/>
    <w:rsid w:val="001E35B7"/>
    <w:rsid w:val="0020602F"/>
    <w:rsid w:val="00223224"/>
    <w:rsid w:val="00224617"/>
    <w:rsid w:val="00243407"/>
    <w:rsid w:val="002522AF"/>
    <w:rsid w:val="0025645A"/>
    <w:rsid w:val="002677C1"/>
    <w:rsid w:val="00271CAF"/>
    <w:rsid w:val="00281C3D"/>
    <w:rsid w:val="00282BEE"/>
    <w:rsid w:val="00284040"/>
    <w:rsid w:val="00284E74"/>
    <w:rsid w:val="00292F03"/>
    <w:rsid w:val="002A3365"/>
    <w:rsid w:val="002B142D"/>
    <w:rsid w:val="002C0EE9"/>
    <w:rsid w:val="002C1AE4"/>
    <w:rsid w:val="002C2B88"/>
    <w:rsid w:val="002D6174"/>
    <w:rsid w:val="002E2D88"/>
    <w:rsid w:val="002F0B85"/>
    <w:rsid w:val="0030705E"/>
    <w:rsid w:val="003124BE"/>
    <w:rsid w:val="003140EE"/>
    <w:rsid w:val="003322F5"/>
    <w:rsid w:val="003362BF"/>
    <w:rsid w:val="00337B8A"/>
    <w:rsid w:val="003454A3"/>
    <w:rsid w:val="00362CD6"/>
    <w:rsid w:val="003816FC"/>
    <w:rsid w:val="00384C2F"/>
    <w:rsid w:val="0039668A"/>
    <w:rsid w:val="00397554"/>
    <w:rsid w:val="003B5BC3"/>
    <w:rsid w:val="003C44DA"/>
    <w:rsid w:val="003C6FC7"/>
    <w:rsid w:val="003D421E"/>
    <w:rsid w:val="003E13E9"/>
    <w:rsid w:val="003E4003"/>
    <w:rsid w:val="003E60AD"/>
    <w:rsid w:val="00403258"/>
    <w:rsid w:val="00405AF2"/>
    <w:rsid w:val="0040674E"/>
    <w:rsid w:val="00455420"/>
    <w:rsid w:val="004566DE"/>
    <w:rsid w:val="00476F3E"/>
    <w:rsid w:val="00480B68"/>
    <w:rsid w:val="004963D1"/>
    <w:rsid w:val="004A2434"/>
    <w:rsid w:val="004A3D3B"/>
    <w:rsid w:val="004C1946"/>
    <w:rsid w:val="004C3642"/>
    <w:rsid w:val="00517470"/>
    <w:rsid w:val="00527177"/>
    <w:rsid w:val="005323BA"/>
    <w:rsid w:val="00546F8D"/>
    <w:rsid w:val="0055256B"/>
    <w:rsid w:val="005645B0"/>
    <w:rsid w:val="005862E0"/>
    <w:rsid w:val="005A06E8"/>
    <w:rsid w:val="005A7D8A"/>
    <w:rsid w:val="005B4447"/>
    <w:rsid w:val="005C1597"/>
    <w:rsid w:val="005E2C90"/>
    <w:rsid w:val="005F00D5"/>
    <w:rsid w:val="005F21E1"/>
    <w:rsid w:val="005F341B"/>
    <w:rsid w:val="005F773E"/>
    <w:rsid w:val="005F7FCF"/>
    <w:rsid w:val="006041F6"/>
    <w:rsid w:val="00611AFD"/>
    <w:rsid w:val="00614027"/>
    <w:rsid w:val="00615EE2"/>
    <w:rsid w:val="00632810"/>
    <w:rsid w:val="00632B3B"/>
    <w:rsid w:val="00637BBF"/>
    <w:rsid w:val="00651BBC"/>
    <w:rsid w:val="006745ED"/>
    <w:rsid w:val="006810BB"/>
    <w:rsid w:val="0069053D"/>
    <w:rsid w:val="006B147D"/>
    <w:rsid w:val="006B437E"/>
    <w:rsid w:val="006C269F"/>
    <w:rsid w:val="006E219F"/>
    <w:rsid w:val="006F3FD0"/>
    <w:rsid w:val="006F5D49"/>
    <w:rsid w:val="006F5F61"/>
    <w:rsid w:val="0070450F"/>
    <w:rsid w:val="00711CBB"/>
    <w:rsid w:val="007226D0"/>
    <w:rsid w:val="0072605D"/>
    <w:rsid w:val="00747E8F"/>
    <w:rsid w:val="00752669"/>
    <w:rsid w:val="0076273C"/>
    <w:rsid w:val="007700D3"/>
    <w:rsid w:val="00772276"/>
    <w:rsid w:val="007A70B1"/>
    <w:rsid w:val="007B3AFA"/>
    <w:rsid w:val="007C1170"/>
    <w:rsid w:val="007D51EC"/>
    <w:rsid w:val="007F471F"/>
    <w:rsid w:val="0081715D"/>
    <w:rsid w:val="0082141D"/>
    <w:rsid w:val="00826D13"/>
    <w:rsid w:val="00834778"/>
    <w:rsid w:val="00840A8B"/>
    <w:rsid w:val="00874C83"/>
    <w:rsid w:val="00881EFB"/>
    <w:rsid w:val="008E59E7"/>
    <w:rsid w:val="008F0413"/>
    <w:rsid w:val="008F0550"/>
    <w:rsid w:val="008F5DD4"/>
    <w:rsid w:val="00902140"/>
    <w:rsid w:val="00910BD8"/>
    <w:rsid w:val="009275D6"/>
    <w:rsid w:val="009337A9"/>
    <w:rsid w:val="00945D6C"/>
    <w:rsid w:val="009620AF"/>
    <w:rsid w:val="009748FD"/>
    <w:rsid w:val="009770BA"/>
    <w:rsid w:val="00981C58"/>
    <w:rsid w:val="00983737"/>
    <w:rsid w:val="00987C2D"/>
    <w:rsid w:val="0099283B"/>
    <w:rsid w:val="00994DD4"/>
    <w:rsid w:val="009A139C"/>
    <w:rsid w:val="009B59E4"/>
    <w:rsid w:val="009C336C"/>
    <w:rsid w:val="009C56F9"/>
    <w:rsid w:val="00A16000"/>
    <w:rsid w:val="00A25796"/>
    <w:rsid w:val="00A26882"/>
    <w:rsid w:val="00A30385"/>
    <w:rsid w:val="00A3373F"/>
    <w:rsid w:val="00A40006"/>
    <w:rsid w:val="00A46393"/>
    <w:rsid w:val="00A660BD"/>
    <w:rsid w:val="00A7000C"/>
    <w:rsid w:val="00A72CF8"/>
    <w:rsid w:val="00A813D3"/>
    <w:rsid w:val="00AA0A1B"/>
    <w:rsid w:val="00AC3D76"/>
    <w:rsid w:val="00AC5C5B"/>
    <w:rsid w:val="00AD4C9B"/>
    <w:rsid w:val="00AE18CA"/>
    <w:rsid w:val="00AE2D5E"/>
    <w:rsid w:val="00AE3A2C"/>
    <w:rsid w:val="00B00B8F"/>
    <w:rsid w:val="00B11083"/>
    <w:rsid w:val="00B2285A"/>
    <w:rsid w:val="00B242CE"/>
    <w:rsid w:val="00B37BE1"/>
    <w:rsid w:val="00B6190D"/>
    <w:rsid w:val="00B709FC"/>
    <w:rsid w:val="00B721BB"/>
    <w:rsid w:val="00B95FE4"/>
    <w:rsid w:val="00BA0351"/>
    <w:rsid w:val="00BA07FC"/>
    <w:rsid w:val="00BA334A"/>
    <w:rsid w:val="00BC541D"/>
    <w:rsid w:val="00BD2091"/>
    <w:rsid w:val="00BF4492"/>
    <w:rsid w:val="00C0106C"/>
    <w:rsid w:val="00C036A0"/>
    <w:rsid w:val="00C0708A"/>
    <w:rsid w:val="00C3136F"/>
    <w:rsid w:val="00C33C52"/>
    <w:rsid w:val="00C407FF"/>
    <w:rsid w:val="00C478CD"/>
    <w:rsid w:val="00C5416D"/>
    <w:rsid w:val="00C60831"/>
    <w:rsid w:val="00C65CAC"/>
    <w:rsid w:val="00C72090"/>
    <w:rsid w:val="00C73B7B"/>
    <w:rsid w:val="00C877B4"/>
    <w:rsid w:val="00C958DA"/>
    <w:rsid w:val="00CB48C9"/>
    <w:rsid w:val="00CB77E9"/>
    <w:rsid w:val="00CC1A83"/>
    <w:rsid w:val="00CD68E6"/>
    <w:rsid w:val="00CD7A7A"/>
    <w:rsid w:val="00CE4490"/>
    <w:rsid w:val="00CE7BFD"/>
    <w:rsid w:val="00D26774"/>
    <w:rsid w:val="00D5480E"/>
    <w:rsid w:val="00D81817"/>
    <w:rsid w:val="00D925D2"/>
    <w:rsid w:val="00D962E7"/>
    <w:rsid w:val="00DA0351"/>
    <w:rsid w:val="00DA497E"/>
    <w:rsid w:val="00DB1EFA"/>
    <w:rsid w:val="00DC3879"/>
    <w:rsid w:val="00DD5A5D"/>
    <w:rsid w:val="00DE16FB"/>
    <w:rsid w:val="00DE66B4"/>
    <w:rsid w:val="00DE6EE8"/>
    <w:rsid w:val="00E07305"/>
    <w:rsid w:val="00E14F1A"/>
    <w:rsid w:val="00E15F19"/>
    <w:rsid w:val="00E30F35"/>
    <w:rsid w:val="00E41ED5"/>
    <w:rsid w:val="00E437EA"/>
    <w:rsid w:val="00E860A1"/>
    <w:rsid w:val="00EE2592"/>
    <w:rsid w:val="00EE2D3F"/>
    <w:rsid w:val="00EF5616"/>
    <w:rsid w:val="00F135BD"/>
    <w:rsid w:val="00F15372"/>
    <w:rsid w:val="00F34CE0"/>
    <w:rsid w:val="00F66F19"/>
    <w:rsid w:val="00F8396B"/>
    <w:rsid w:val="00F8616D"/>
    <w:rsid w:val="00F86A22"/>
    <w:rsid w:val="00F9459A"/>
    <w:rsid w:val="00F97154"/>
    <w:rsid w:val="00FA1F61"/>
    <w:rsid w:val="00FB0C42"/>
    <w:rsid w:val="00FC2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8C32A20"/>
  <w14:defaultImageDpi w14:val="0"/>
  <w15:docId w15:val="{1A243D27-91C0-430B-9023-7DF416DA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C3"/>
    <w:rPr>
      <w:rFonts w:ascii="Times New Roman" w:hAnsi="Times New Roman" w:cs="Times New Roman"/>
      <w:sz w:val="24"/>
      <w:lang w:eastAsia="en-US"/>
    </w:rPr>
  </w:style>
  <w:style w:type="paragraph" w:styleId="Heading1">
    <w:name w:val="heading 1"/>
    <w:basedOn w:val="Normal"/>
    <w:next w:val="Normal"/>
    <w:link w:val="Heading1Char"/>
    <w:autoRedefine/>
    <w:uiPriority w:val="9"/>
    <w:qFormat/>
    <w:rsid w:val="003D421E"/>
    <w:pPr>
      <w:keepNext/>
      <w:keepLines/>
      <w:spacing w:before="480"/>
      <w:outlineLvl w:val="0"/>
    </w:pPr>
    <w:rPr>
      <w:rFonts w:ascii="Calibri" w:hAnsi="Calibri"/>
      <w:b/>
      <w:bCs/>
      <w:color w:val="365F91"/>
      <w:sz w:val="28"/>
      <w:szCs w:val="28"/>
    </w:rPr>
  </w:style>
  <w:style w:type="paragraph" w:styleId="Heading2">
    <w:name w:val="heading 2"/>
    <w:basedOn w:val="Normal"/>
    <w:next w:val="Normal"/>
    <w:link w:val="Heading2Char"/>
    <w:autoRedefine/>
    <w:uiPriority w:val="9"/>
    <w:unhideWhenUsed/>
    <w:qFormat/>
    <w:rsid w:val="00A7000C"/>
    <w:pPr>
      <w:keepNext/>
      <w:spacing w:before="240" w:after="60"/>
      <w:outlineLvl w:val="1"/>
    </w:pPr>
    <w:rPr>
      <w:b/>
      <w:bCs/>
      <w:i/>
      <w:iCs/>
      <w:sz w:val="28"/>
      <w:szCs w:val="28"/>
    </w:rPr>
  </w:style>
  <w:style w:type="paragraph" w:styleId="Heading3">
    <w:name w:val="heading 3"/>
    <w:basedOn w:val="Normal"/>
    <w:next w:val="Normal"/>
    <w:link w:val="Heading3Char"/>
    <w:autoRedefine/>
    <w:uiPriority w:val="9"/>
    <w:semiHidden/>
    <w:unhideWhenUsed/>
    <w:qFormat/>
    <w:rsid w:val="00A7000C"/>
    <w:pPr>
      <w:keepNext/>
      <w:spacing w:before="240"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421E"/>
    <w:rPr>
      <w:rFonts w:ascii="Calibri" w:hAnsi="Calibri" w:cs="Times New Roman"/>
      <w:b/>
      <w:bCs/>
      <w:color w:val="365F91"/>
      <w:sz w:val="28"/>
      <w:szCs w:val="28"/>
    </w:rPr>
  </w:style>
  <w:style w:type="character" w:customStyle="1" w:styleId="Heading2Char">
    <w:name w:val="Heading 2 Char"/>
    <w:basedOn w:val="DefaultParagraphFont"/>
    <w:link w:val="Heading2"/>
    <w:uiPriority w:val="9"/>
    <w:locked/>
    <w:rsid w:val="00A7000C"/>
    <w:rPr>
      <w:rFonts w:ascii="Calibri" w:hAnsi="Calibr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7000C"/>
    <w:rPr>
      <w:rFonts w:ascii="Calibri" w:hAnsi="Calibri" w:cs="Times New Roman"/>
      <w:b/>
      <w:bCs/>
      <w:sz w:val="26"/>
      <w:szCs w:val="26"/>
      <w:lang w:val="x-none" w:eastAsia="en-US"/>
    </w:rPr>
  </w:style>
  <w:style w:type="paragraph" w:styleId="Title">
    <w:name w:val="Title"/>
    <w:basedOn w:val="Normal"/>
    <w:next w:val="Normal"/>
    <w:link w:val="TitleChar"/>
    <w:autoRedefine/>
    <w:uiPriority w:val="10"/>
    <w:qFormat/>
    <w:rsid w:val="00A7000C"/>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locked/>
    <w:rsid w:val="00A7000C"/>
    <w:rPr>
      <w:rFonts w:ascii="Calibri" w:hAnsi="Calibri" w:cs="Times New Roman"/>
      <w:b/>
      <w:bCs/>
      <w:kern w:val="28"/>
      <w:sz w:val="32"/>
      <w:szCs w:val="32"/>
      <w:lang w:val="x-none" w:eastAsia="en-US"/>
    </w:rPr>
  </w:style>
  <w:style w:type="paragraph" w:styleId="TOC1">
    <w:name w:val="toc 1"/>
    <w:basedOn w:val="Normal"/>
    <w:next w:val="Normal"/>
    <w:autoRedefine/>
    <w:uiPriority w:val="39"/>
    <w:unhideWhenUsed/>
    <w:rsid w:val="00711CBB"/>
  </w:style>
  <w:style w:type="paragraph" w:styleId="Footer">
    <w:name w:val="footer"/>
    <w:basedOn w:val="Normal"/>
    <w:link w:val="FooterChar"/>
    <w:uiPriority w:val="99"/>
    <w:rsid w:val="003B5B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3B5BC3"/>
    <w:rPr>
      <w:rFonts w:ascii="Arial" w:hAnsi="Arial" w:cs="Times New Roman"/>
      <w:sz w:val="20"/>
      <w:szCs w:val="20"/>
    </w:rPr>
  </w:style>
  <w:style w:type="paragraph" w:customStyle="1" w:styleId="Billname">
    <w:name w:val="Billname"/>
    <w:basedOn w:val="Normal"/>
    <w:uiPriority w:val="99"/>
    <w:rsid w:val="003B5BC3"/>
    <w:pPr>
      <w:tabs>
        <w:tab w:val="left" w:pos="2400"/>
        <w:tab w:val="left" w:pos="2880"/>
      </w:tabs>
      <w:spacing w:before="1220" w:after="100"/>
    </w:pPr>
    <w:rPr>
      <w:rFonts w:ascii="Arial" w:hAnsi="Arial"/>
      <w:b/>
      <w:sz w:val="40"/>
    </w:rPr>
  </w:style>
  <w:style w:type="paragraph" w:customStyle="1" w:styleId="N-line3">
    <w:name w:val="N-line3"/>
    <w:basedOn w:val="Normal"/>
    <w:next w:val="Normal"/>
    <w:uiPriority w:val="99"/>
    <w:rsid w:val="003B5BC3"/>
    <w:pPr>
      <w:pBdr>
        <w:bottom w:val="single" w:sz="12" w:space="1" w:color="auto"/>
      </w:pBdr>
      <w:jc w:val="both"/>
    </w:pPr>
  </w:style>
  <w:style w:type="paragraph" w:customStyle="1" w:styleId="madeunder">
    <w:name w:val="made under"/>
    <w:basedOn w:val="Normal"/>
    <w:uiPriority w:val="99"/>
    <w:rsid w:val="003B5BC3"/>
    <w:pPr>
      <w:spacing w:before="180" w:after="60"/>
      <w:jc w:val="both"/>
    </w:pPr>
  </w:style>
  <w:style w:type="paragraph" w:customStyle="1" w:styleId="CoverActName">
    <w:name w:val="CoverActName"/>
    <w:basedOn w:val="Normal"/>
    <w:uiPriority w:val="99"/>
    <w:rsid w:val="003B5BC3"/>
    <w:pPr>
      <w:tabs>
        <w:tab w:val="left" w:pos="2600"/>
      </w:tabs>
      <w:spacing w:before="200" w:after="60"/>
      <w:jc w:val="both"/>
    </w:pPr>
    <w:rPr>
      <w:rFonts w:ascii="Arial" w:hAnsi="Arial"/>
      <w:b/>
    </w:rPr>
  </w:style>
  <w:style w:type="paragraph" w:styleId="Header">
    <w:name w:val="header"/>
    <w:basedOn w:val="Normal"/>
    <w:link w:val="HeaderChar"/>
    <w:uiPriority w:val="99"/>
    <w:rsid w:val="003B5BC3"/>
    <w:pPr>
      <w:tabs>
        <w:tab w:val="left" w:pos="2880"/>
        <w:tab w:val="center" w:pos="4153"/>
        <w:tab w:val="right" w:pos="8306"/>
      </w:tabs>
    </w:pPr>
  </w:style>
  <w:style w:type="character" w:customStyle="1" w:styleId="HeaderChar">
    <w:name w:val="Header Char"/>
    <w:basedOn w:val="DefaultParagraphFont"/>
    <w:link w:val="Header"/>
    <w:uiPriority w:val="99"/>
    <w:locked/>
    <w:rsid w:val="003B5B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A3D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D3B"/>
    <w:rPr>
      <w:rFonts w:ascii="Tahoma" w:hAnsi="Tahoma" w:cs="Tahoma"/>
      <w:sz w:val="16"/>
      <w:szCs w:val="16"/>
      <w:lang w:val="x-none" w:eastAsia="en-US"/>
    </w:rPr>
  </w:style>
  <w:style w:type="paragraph" w:styleId="ListParagraph">
    <w:name w:val="List Paragraph"/>
    <w:basedOn w:val="Normal"/>
    <w:link w:val="ListParagraphChar"/>
    <w:uiPriority w:val="34"/>
    <w:qFormat/>
    <w:rsid w:val="00614027"/>
    <w:pPr>
      <w:ind w:left="720"/>
      <w:contextualSpacing/>
    </w:pPr>
  </w:style>
  <w:style w:type="paragraph" w:styleId="BodyText">
    <w:name w:val="Body Text"/>
    <w:basedOn w:val="Normal"/>
    <w:link w:val="BodyTextChar"/>
    <w:uiPriority w:val="99"/>
    <w:rsid w:val="00EE2D3F"/>
    <w:pPr>
      <w:spacing w:after="120"/>
    </w:pPr>
  </w:style>
  <w:style w:type="character" w:customStyle="1" w:styleId="BodyTextChar">
    <w:name w:val="Body Text Char"/>
    <w:basedOn w:val="DefaultParagraphFont"/>
    <w:link w:val="BodyText"/>
    <w:uiPriority w:val="99"/>
    <w:locked/>
    <w:rsid w:val="00EE2D3F"/>
    <w:rPr>
      <w:rFonts w:ascii="Times New Roman" w:hAnsi="Times New Roman" w:cs="Times New Roman"/>
      <w:sz w:val="24"/>
      <w:lang w:val="x-none" w:eastAsia="en-US"/>
    </w:rPr>
  </w:style>
  <w:style w:type="paragraph" w:styleId="Revision">
    <w:name w:val="Revision"/>
    <w:hidden/>
    <w:uiPriority w:val="99"/>
    <w:semiHidden/>
    <w:rsid w:val="00C72090"/>
    <w:rPr>
      <w:rFonts w:ascii="Times New Roman" w:hAnsi="Times New Roman" w:cs="Times New Roman"/>
      <w:sz w:val="24"/>
      <w:lang w:eastAsia="en-US"/>
    </w:rPr>
  </w:style>
  <w:style w:type="character" w:styleId="CommentReference">
    <w:name w:val="annotation reference"/>
    <w:basedOn w:val="DefaultParagraphFont"/>
    <w:uiPriority w:val="99"/>
    <w:rsid w:val="00CC1A83"/>
    <w:rPr>
      <w:rFonts w:cs="Times New Roman"/>
      <w:sz w:val="16"/>
      <w:szCs w:val="16"/>
    </w:rPr>
  </w:style>
  <w:style w:type="paragraph" w:styleId="CommentText">
    <w:name w:val="annotation text"/>
    <w:basedOn w:val="Normal"/>
    <w:link w:val="CommentTextChar"/>
    <w:uiPriority w:val="99"/>
    <w:rsid w:val="00CC1A83"/>
    <w:rPr>
      <w:sz w:val="20"/>
    </w:rPr>
  </w:style>
  <w:style w:type="character" w:customStyle="1" w:styleId="CommentTextChar">
    <w:name w:val="Comment Text Char"/>
    <w:basedOn w:val="DefaultParagraphFont"/>
    <w:link w:val="CommentText"/>
    <w:uiPriority w:val="99"/>
    <w:rsid w:val="00CC1A83"/>
    <w:rPr>
      <w:rFonts w:ascii="Times New Roman" w:hAnsi="Times New Roman" w:cs="Times New Roman"/>
      <w:lang w:val="x-none" w:eastAsia="en-US"/>
    </w:rPr>
  </w:style>
  <w:style w:type="paragraph" w:styleId="CommentSubject">
    <w:name w:val="annotation subject"/>
    <w:basedOn w:val="CommentText"/>
    <w:next w:val="CommentText"/>
    <w:link w:val="CommentSubjectChar"/>
    <w:uiPriority w:val="99"/>
    <w:rsid w:val="00CC1A83"/>
    <w:rPr>
      <w:b/>
      <w:bCs/>
    </w:rPr>
  </w:style>
  <w:style w:type="character" w:customStyle="1" w:styleId="CommentSubjectChar">
    <w:name w:val="Comment Subject Char"/>
    <w:basedOn w:val="CommentTextChar"/>
    <w:link w:val="CommentSubject"/>
    <w:uiPriority w:val="99"/>
    <w:rsid w:val="00CC1A83"/>
    <w:rPr>
      <w:rFonts w:ascii="Times New Roman" w:hAnsi="Times New Roman" w:cs="Times New Roman"/>
      <w:b/>
      <w:bCs/>
      <w:lang w:val="x-none" w:eastAsia="en-US"/>
    </w:rPr>
  </w:style>
  <w:style w:type="paragraph" w:styleId="NoSpacing">
    <w:name w:val="No Spacing"/>
    <w:uiPriority w:val="1"/>
    <w:qFormat/>
    <w:rsid w:val="00156FCB"/>
    <w:rPr>
      <w:rFonts w:asciiTheme="minorHAnsi" w:hAnsiTheme="minorHAnsi" w:cs="Times New Roman"/>
      <w:sz w:val="22"/>
      <w:szCs w:val="22"/>
      <w:lang w:eastAsia="en-US"/>
    </w:rPr>
  </w:style>
  <w:style w:type="paragraph" w:customStyle="1" w:styleId="ESText">
    <w:name w:val="ES Text"/>
    <w:basedOn w:val="Normal"/>
    <w:qFormat/>
    <w:rsid w:val="00156FCB"/>
    <w:pPr>
      <w:spacing w:before="100" w:beforeAutospacing="1" w:after="100" w:afterAutospacing="1"/>
      <w:contextualSpacing/>
    </w:pPr>
    <w:rPr>
      <w:szCs w:val="24"/>
    </w:rPr>
  </w:style>
  <w:style w:type="character" w:customStyle="1" w:styleId="ListParagraphChar">
    <w:name w:val="List Paragraph Char"/>
    <w:link w:val="ListParagraph"/>
    <w:uiPriority w:val="34"/>
    <w:locked/>
    <w:rsid w:val="00A813D3"/>
    <w:rPr>
      <w:rFonts w:ascii="Times New Roman" w:hAnsi="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68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BB44-B251-4558-92CE-B71BD33D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6112</Characters>
  <Application>Microsoft Office Word</Application>
  <DocSecurity>0</DocSecurity>
  <Lines>160</Lines>
  <Paragraphs>92</Paragraphs>
  <ScaleCrop>false</ScaleCrop>
  <Company>ACT Government</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2</cp:revision>
  <cp:lastPrinted>2012-06-22T05:40:00Z</cp:lastPrinted>
  <dcterms:created xsi:type="dcterms:W3CDTF">2025-09-02T04:45:00Z</dcterms:created>
  <dcterms:modified xsi:type="dcterms:W3CDTF">2025-09-02T04:45:00Z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A7410922</vt:lpwstr>
  </property>
  <property fmtid="{D5CDD505-2E9C-101B-9397-08002B2CF9AE}" pid="4" name="Objective-Title">
    <vt:lpwstr>Attachment C - Essential Energy exemption ES</vt:lpwstr>
  </property>
  <property fmtid="{D5CDD505-2E9C-101B-9397-08002B2CF9AE}" pid="5" name="Objective-Comment">
    <vt:lpwstr/>
  </property>
  <property fmtid="{D5CDD505-2E9C-101B-9397-08002B2CF9AE}" pid="6" name="Objective-CreationStamp">
    <vt:filetime>2012-05-26T14:00:00Z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2012-05-26T14:00:00Z</vt:filetime>
  </property>
  <property fmtid="{D5CDD505-2E9C-101B-9397-08002B2CF9AE}" pid="10" name="Objective-ModificationStamp">
    <vt:filetime>2012-05-26T14:00:00Z</vt:filetime>
  </property>
  <property fmtid="{D5CDD505-2E9C-101B-9397-08002B2CF9AE}" pid="11" name="Objective-Owner">
    <vt:lpwstr>Sean Das</vt:lpwstr>
  </property>
  <property fmtid="{D5CDD505-2E9C-101B-9397-08002B2CF9AE}" pid="12" name="Objective-Path">
    <vt:lpwstr>Whole of ACT Government:ESDD:CORRESPONDENCE - Ministerials and Chief Ministerials:ESDD - MINISTERIAL FILES 2012:Policy:P - Information Briefs:12/13599 - Tasmania NECF Approval amd Misc Exemptions:</vt:lpwstr>
  </property>
  <property fmtid="{D5CDD505-2E9C-101B-9397-08002B2CF9AE}" pid="13" name="Objective-Parent">
    <vt:lpwstr>12/13599 - Tasmania NECF Approval amd Misc Exemptions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1-2012/13599</vt:lpwstr>
  </property>
  <property fmtid="{D5CDD505-2E9C-101B-9397-08002B2CF9AE}" pid="19" name="Objective-Classification">
    <vt:lpwstr>Not classified</vt:lpwstr>
  </property>
  <property fmtid="{D5CDD505-2E9C-101B-9397-08002B2CF9AE}" pid="20" name="Objective-Caveats">
    <vt:lpwstr/>
  </property>
  <property fmtid="{D5CDD505-2E9C-101B-9397-08002B2CF9AE}" pid="21" name="Objective-Owner Agency [system]">
    <vt:lpwstr>OCSE</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Add Place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ies>
</file>