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601FAA">
      <w:pPr>
        <w:spacing w:after="0"/>
        <w:rPr>
          <w:rFonts w:ascii="Arial" w:hAnsi="Arial" w:cs="Arial"/>
          <w:b/>
          <w:bCs/>
          <w:sz w:val="24"/>
          <w:szCs w:val="24"/>
        </w:rPr>
      </w:pPr>
      <w:bookmarkStart w:id="0" w:name="_Hlk202965864"/>
    </w:p>
    <w:p w14:paraId="5C6C9ECA" w14:textId="595637F8" w:rsidR="00E90DF9" w:rsidRPr="00BB387E" w:rsidRDefault="00E90DF9" w:rsidP="00601FAA">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601FAA">
      <w:pPr>
        <w:spacing w:after="0"/>
        <w:jc w:val="center"/>
        <w:rPr>
          <w:rFonts w:ascii="Arial" w:hAnsi="Arial" w:cs="Arial"/>
          <w:b/>
          <w:sz w:val="24"/>
          <w:szCs w:val="24"/>
        </w:rPr>
      </w:pPr>
    </w:p>
    <w:p w14:paraId="06167890" w14:textId="77777777" w:rsidR="00E90DF9" w:rsidRPr="00BB387E" w:rsidRDefault="00E90DF9" w:rsidP="00601FAA">
      <w:pPr>
        <w:spacing w:after="0"/>
        <w:jc w:val="center"/>
        <w:rPr>
          <w:rFonts w:ascii="Arial" w:hAnsi="Arial" w:cs="Arial"/>
          <w:b/>
          <w:sz w:val="24"/>
          <w:szCs w:val="24"/>
        </w:rPr>
      </w:pPr>
    </w:p>
    <w:p w14:paraId="271BD407" w14:textId="77777777" w:rsidR="00E90DF9" w:rsidRPr="00BB387E" w:rsidRDefault="00E90DF9" w:rsidP="00601FAA">
      <w:pPr>
        <w:spacing w:after="0"/>
        <w:jc w:val="center"/>
        <w:rPr>
          <w:rFonts w:ascii="Arial" w:hAnsi="Arial" w:cs="Arial"/>
          <w:b/>
          <w:sz w:val="24"/>
          <w:szCs w:val="24"/>
        </w:rPr>
      </w:pPr>
    </w:p>
    <w:p w14:paraId="71A1CE5B" w14:textId="77777777" w:rsidR="00E90DF9" w:rsidRPr="00BB387E" w:rsidRDefault="00E90DF9" w:rsidP="00601FAA">
      <w:pPr>
        <w:spacing w:after="0"/>
        <w:jc w:val="center"/>
        <w:rPr>
          <w:rFonts w:ascii="Arial" w:hAnsi="Arial" w:cs="Arial"/>
          <w:b/>
          <w:sz w:val="24"/>
          <w:szCs w:val="24"/>
        </w:rPr>
      </w:pPr>
    </w:p>
    <w:p w14:paraId="677673A4" w14:textId="77777777" w:rsidR="00E90DF9" w:rsidRPr="00BB387E" w:rsidRDefault="00E90DF9" w:rsidP="00601FAA">
      <w:pPr>
        <w:spacing w:after="0"/>
        <w:jc w:val="center"/>
        <w:rPr>
          <w:rFonts w:ascii="Arial" w:hAnsi="Arial" w:cs="Arial"/>
          <w:b/>
          <w:bCs/>
          <w:sz w:val="24"/>
          <w:szCs w:val="24"/>
        </w:rPr>
      </w:pPr>
    </w:p>
    <w:p w14:paraId="463F3AB6" w14:textId="77777777" w:rsidR="00E90DF9" w:rsidRPr="00BB387E" w:rsidRDefault="00E90DF9" w:rsidP="00601FAA">
      <w:pPr>
        <w:spacing w:after="0"/>
        <w:jc w:val="center"/>
        <w:rPr>
          <w:rFonts w:ascii="Arial" w:hAnsi="Arial" w:cs="Arial"/>
          <w:b/>
          <w:bCs/>
          <w:sz w:val="24"/>
          <w:szCs w:val="24"/>
        </w:rPr>
      </w:pPr>
    </w:p>
    <w:p w14:paraId="02BC33AF" w14:textId="77777777" w:rsidR="00E90DF9" w:rsidRPr="00BB387E" w:rsidRDefault="00E90DF9" w:rsidP="00601FAA">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601FAA">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533F1D" w:rsidRDefault="00E90DF9" w:rsidP="00601FAA">
      <w:pPr>
        <w:spacing w:after="0"/>
        <w:jc w:val="center"/>
        <w:rPr>
          <w:rFonts w:ascii="Arial" w:hAnsi="Arial" w:cs="Arial"/>
          <w:b/>
          <w:sz w:val="24"/>
          <w:szCs w:val="24"/>
        </w:rPr>
      </w:pPr>
    </w:p>
    <w:p w14:paraId="5FABE90A" w14:textId="77777777" w:rsidR="00E90DF9" w:rsidRPr="00533F1D" w:rsidRDefault="00E90DF9" w:rsidP="00601FAA">
      <w:pPr>
        <w:spacing w:after="0"/>
        <w:jc w:val="center"/>
        <w:rPr>
          <w:rFonts w:ascii="Arial" w:hAnsi="Arial" w:cs="Arial"/>
          <w:b/>
          <w:sz w:val="24"/>
          <w:szCs w:val="24"/>
        </w:rPr>
      </w:pPr>
    </w:p>
    <w:p w14:paraId="6118207D" w14:textId="77777777" w:rsidR="00E90DF9" w:rsidRPr="00533F1D" w:rsidRDefault="00E90DF9" w:rsidP="00601FAA">
      <w:pPr>
        <w:spacing w:after="0"/>
        <w:jc w:val="center"/>
        <w:rPr>
          <w:rFonts w:ascii="Arial" w:hAnsi="Arial" w:cs="Arial"/>
          <w:b/>
          <w:sz w:val="24"/>
          <w:szCs w:val="24"/>
        </w:rPr>
      </w:pPr>
    </w:p>
    <w:p w14:paraId="75A33EE9" w14:textId="4095B364" w:rsidR="00E90DF9" w:rsidRPr="00533F1D" w:rsidRDefault="009E0822" w:rsidP="00601FAA">
      <w:pPr>
        <w:spacing w:after="0"/>
        <w:jc w:val="center"/>
        <w:rPr>
          <w:rFonts w:ascii="Arial" w:hAnsi="Arial" w:cs="Arial"/>
          <w:b/>
          <w:sz w:val="24"/>
          <w:szCs w:val="24"/>
        </w:rPr>
      </w:pPr>
      <w:r w:rsidRPr="00533F1D">
        <w:rPr>
          <w:rFonts w:ascii="Arial" w:hAnsi="Arial" w:cs="Arial"/>
          <w:b/>
          <w:sz w:val="24"/>
          <w:szCs w:val="24"/>
        </w:rPr>
        <w:t>ELEV</w:t>
      </w:r>
      <w:r w:rsidR="00E90DF9" w:rsidRPr="00533F1D">
        <w:rPr>
          <w:rFonts w:ascii="Arial" w:hAnsi="Arial" w:cs="Arial"/>
          <w:b/>
          <w:sz w:val="24"/>
          <w:szCs w:val="24"/>
        </w:rPr>
        <w:t>ENTH ASSEMBLY</w:t>
      </w:r>
    </w:p>
    <w:p w14:paraId="12B1793E" w14:textId="77777777" w:rsidR="00E90DF9" w:rsidRPr="00533F1D" w:rsidRDefault="00E90DF9" w:rsidP="00601FAA">
      <w:pPr>
        <w:spacing w:after="0"/>
        <w:jc w:val="center"/>
        <w:rPr>
          <w:rFonts w:ascii="Arial" w:hAnsi="Arial" w:cs="Arial"/>
          <w:b/>
          <w:sz w:val="24"/>
          <w:szCs w:val="24"/>
        </w:rPr>
      </w:pPr>
    </w:p>
    <w:p w14:paraId="3D84F818" w14:textId="77777777" w:rsidR="00E90DF9" w:rsidRPr="00533F1D" w:rsidRDefault="00E90DF9" w:rsidP="00601FAA">
      <w:pPr>
        <w:spacing w:after="0"/>
        <w:jc w:val="center"/>
        <w:rPr>
          <w:rFonts w:ascii="Arial" w:hAnsi="Arial" w:cs="Arial"/>
          <w:b/>
          <w:sz w:val="24"/>
          <w:szCs w:val="24"/>
        </w:rPr>
      </w:pPr>
    </w:p>
    <w:p w14:paraId="312E8FE1" w14:textId="77777777" w:rsidR="00E90DF9" w:rsidRPr="00533F1D" w:rsidRDefault="00E90DF9" w:rsidP="00601FAA">
      <w:pPr>
        <w:spacing w:after="0"/>
        <w:jc w:val="center"/>
        <w:rPr>
          <w:rFonts w:ascii="Arial" w:hAnsi="Arial" w:cs="Arial"/>
          <w:b/>
          <w:sz w:val="24"/>
          <w:szCs w:val="24"/>
        </w:rPr>
      </w:pPr>
    </w:p>
    <w:p w14:paraId="62527870" w14:textId="77777777" w:rsidR="00E90DF9" w:rsidRPr="00533F1D" w:rsidRDefault="00E90DF9" w:rsidP="00601FAA">
      <w:pPr>
        <w:spacing w:after="0"/>
        <w:jc w:val="center"/>
        <w:rPr>
          <w:rFonts w:ascii="Arial" w:hAnsi="Arial" w:cs="Arial"/>
          <w:b/>
          <w:sz w:val="24"/>
          <w:szCs w:val="24"/>
        </w:rPr>
      </w:pPr>
    </w:p>
    <w:p w14:paraId="10E34864" w14:textId="77777777" w:rsidR="00E90DF9" w:rsidRPr="00533F1D" w:rsidRDefault="00E90DF9" w:rsidP="00601FAA">
      <w:pPr>
        <w:spacing w:after="0"/>
        <w:jc w:val="center"/>
        <w:rPr>
          <w:rFonts w:ascii="Arial" w:hAnsi="Arial" w:cs="Arial"/>
          <w:b/>
          <w:sz w:val="24"/>
          <w:szCs w:val="24"/>
        </w:rPr>
      </w:pPr>
    </w:p>
    <w:p w14:paraId="7A5CE6C9" w14:textId="77777777" w:rsidR="00E90DF9" w:rsidRPr="00533F1D" w:rsidRDefault="00E90DF9" w:rsidP="00601FAA">
      <w:pPr>
        <w:spacing w:after="0"/>
        <w:jc w:val="center"/>
        <w:rPr>
          <w:rFonts w:ascii="Arial" w:hAnsi="Arial" w:cs="Arial"/>
          <w:b/>
          <w:sz w:val="24"/>
          <w:szCs w:val="24"/>
        </w:rPr>
      </w:pPr>
    </w:p>
    <w:p w14:paraId="590EB1A4" w14:textId="5479E41E" w:rsidR="00E90DF9" w:rsidRPr="00533F1D" w:rsidRDefault="00F40456" w:rsidP="00601FAA">
      <w:pPr>
        <w:spacing w:after="0"/>
        <w:jc w:val="center"/>
        <w:rPr>
          <w:rFonts w:ascii="Arial" w:hAnsi="Arial" w:cs="Arial"/>
          <w:b/>
          <w:bCs/>
          <w:sz w:val="24"/>
          <w:szCs w:val="24"/>
        </w:rPr>
      </w:pPr>
      <w:bookmarkStart w:id="1" w:name="_Hlk201141156"/>
      <w:r w:rsidRPr="00533F1D">
        <w:rPr>
          <w:rFonts w:ascii="Arial" w:hAnsi="Arial" w:cs="Arial"/>
          <w:b/>
          <w:bCs/>
          <w:sz w:val="24"/>
          <w:szCs w:val="24"/>
        </w:rPr>
        <w:t>HEALTH LEGISLATION AMENDMENT BILL</w:t>
      </w:r>
      <w:r w:rsidR="00F032EE">
        <w:rPr>
          <w:rFonts w:ascii="Arial" w:hAnsi="Arial" w:cs="Arial"/>
          <w:b/>
          <w:bCs/>
          <w:sz w:val="24"/>
          <w:szCs w:val="24"/>
        </w:rPr>
        <w:t xml:space="preserve"> </w:t>
      </w:r>
      <w:r w:rsidR="00F032EE" w:rsidRPr="00533F1D">
        <w:rPr>
          <w:rFonts w:ascii="Arial" w:hAnsi="Arial" w:cs="Arial"/>
          <w:b/>
          <w:bCs/>
          <w:sz w:val="24"/>
          <w:szCs w:val="24"/>
        </w:rPr>
        <w:t>2025</w:t>
      </w:r>
      <w:r w:rsidR="00F032EE">
        <w:rPr>
          <w:rFonts w:ascii="Arial" w:hAnsi="Arial" w:cs="Arial"/>
          <w:b/>
          <w:bCs/>
          <w:sz w:val="24"/>
          <w:szCs w:val="24"/>
        </w:rPr>
        <w:t xml:space="preserve"> (NO 2)</w:t>
      </w:r>
    </w:p>
    <w:bookmarkEnd w:id="1"/>
    <w:p w14:paraId="23C1CDE7" w14:textId="77777777" w:rsidR="00E90DF9" w:rsidRPr="00533F1D" w:rsidRDefault="00E90DF9" w:rsidP="00601FAA">
      <w:pPr>
        <w:spacing w:after="0"/>
        <w:jc w:val="center"/>
        <w:rPr>
          <w:rFonts w:ascii="Arial" w:hAnsi="Arial" w:cs="Arial"/>
          <w:b/>
          <w:bCs/>
          <w:sz w:val="24"/>
          <w:szCs w:val="24"/>
        </w:rPr>
      </w:pPr>
    </w:p>
    <w:p w14:paraId="5D04CAEB" w14:textId="77777777" w:rsidR="00E90DF9" w:rsidRPr="00533F1D" w:rsidRDefault="00E90DF9" w:rsidP="00601FAA">
      <w:pPr>
        <w:spacing w:after="0"/>
        <w:jc w:val="center"/>
        <w:rPr>
          <w:rFonts w:ascii="Arial" w:hAnsi="Arial" w:cs="Arial"/>
          <w:b/>
          <w:sz w:val="24"/>
          <w:szCs w:val="24"/>
        </w:rPr>
      </w:pPr>
    </w:p>
    <w:p w14:paraId="1BE97576" w14:textId="5282FF9F" w:rsidR="00E90DF9" w:rsidRPr="00533F1D" w:rsidRDefault="00E90DF9" w:rsidP="00601FAA">
      <w:pPr>
        <w:spacing w:after="0"/>
        <w:jc w:val="center"/>
        <w:rPr>
          <w:rFonts w:ascii="Arial" w:hAnsi="Arial" w:cs="Arial"/>
          <w:i/>
          <w:iCs/>
          <w:sz w:val="24"/>
          <w:szCs w:val="24"/>
        </w:rPr>
      </w:pPr>
    </w:p>
    <w:p w14:paraId="664BEC68" w14:textId="0DB42E5C" w:rsidR="00E90DF9" w:rsidRPr="00533F1D" w:rsidRDefault="00E90DF9" w:rsidP="00601FAA">
      <w:pPr>
        <w:spacing w:after="0"/>
        <w:jc w:val="center"/>
        <w:rPr>
          <w:rFonts w:ascii="Arial" w:hAnsi="Arial" w:cs="Arial"/>
          <w:b/>
          <w:bCs/>
          <w:sz w:val="24"/>
          <w:szCs w:val="24"/>
        </w:rPr>
      </w:pPr>
      <w:r w:rsidRPr="00533F1D">
        <w:rPr>
          <w:rFonts w:ascii="Arial" w:hAnsi="Arial" w:cs="Arial"/>
          <w:b/>
          <w:bCs/>
          <w:sz w:val="24"/>
          <w:szCs w:val="24"/>
        </w:rPr>
        <w:t xml:space="preserve">EXPLANATORY STATEMENT </w:t>
      </w:r>
    </w:p>
    <w:p w14:paraId="09B948FF" w14:textId="77777777" w:rsidR="00E90DF9" w:rsidRPr="00533F1D" w:rsidRDefault="00E90DF9" w:rsidP="00601FAA">
      <w:pPr>
        <w:spacing w:after="0"/>
        <w:jc w:val="center"/>
        <w:rPr>
          <w:rFonts w:ascii="Arial" w:hAnsi="Arial" w:cs="Arial"/>
          <w:b/>
          <w:bCs/>
          <w:sz w:val="24"/>
          <w:szCs w:val="24"/>
        </w:rPr>
      </w:pPr>
      <w:r w:rsidRPr="00533F1D">
        <w:rPr>
          <w:rFonts w:ascii="Arial" w:hAnsi="Arial" w:cs="Arial"/>
          <w:b/>
          <w:bCs/>
          <w:sz w:val="24"/>
          <w:szCs w:val="24"/>
        </w:rPr>
        <w:t>and</w:t>
      </w:r>
    </w:p>
    <w:p w14:paraId="243211BD" w14:textId="77777777" w:rsidR="00E90DF9" w:rsidRPr="00533F1D" w:rsidRDefault="00E90DF9" w:rsidP="00601FAA">
      <w:pPr>
        <w:spacing w:after="0"/>
        <w:jc w:val="center"/>
        <w:rPr>
          <w:rFonts w:ascii="Arial" w:hAnsi="Arial" w:cs="Arial"/>
          <w:b/>
          <w:bCs/>
          <w:sz w:val="24"/>
          <w:szCs w:val="24"/>
        </w:rPr>
      </w:pPr>
      <w:r w:rsidRPr="00533F1D">
        <w:rPr>
          <w:rFonts w:ascii="Arial" w:hAnsi="Arial" w:cs="Arial"/>
          <w:b/>
          <w:bCs/>
          <w:sz w:val="24"/>
          <w:szCs w:val="24"/>
        </w:rPr>
        <w:t xml:space="preserve"> HUMAN RIGHTS COMPATIBILITY STATEMENT</w:t>
      </w:r>
    </w:p>
    <w:p w14:paraId="2FDF54DB" w14:textId="77777777" w:rsidR="00E90DF9" w:rsidRPr="00533F1D" w:rsidRDefault="00E90DF9" w:rsidP="00601FAA">
      <w:pPr>
        <w:spacing w:after="0"/>
        <w:jc w:val="center"/>
        <w:rPr>
          <w:rFonts w:ascii="Arial" w:hAnsi="Arial" w:cs="Arial"/>
          <w:b/>
          <w:sz w:val="24"/>
          <w:szCs w:val="24"/>
        </w:rPr>
      </w:pPr>
      <w:r w:rsidRPr="00533F1D">
        <w:rPr>
          <w:rFonts w:ascii="Arial" w:hAnsi="Arial" w:cs="Arial"/>
          <w:b/>
          <w:bCs/>
          <w:sz w:val="24"/>
          <w:szCs w:val="24"/>
        </w:rPr>
        <w:t>(</w:t>
      </w:r>
      <w:r w:rsidRPr="00533F1D">
        <w:rPr>
          <w:rFonts w:ascii="Arial" w:hAnsi="Arial" w:cs="Arial"/>
          <w:b/>
          <w:bCs/>
          <w:i/>
          <w:iCs/>
          <w:sz w:val="24"/>
          <w:szCs w:val="24"/>
        </w:rPr>
        <w:t>Human Rights Act 2004</w:t>
      </w:r>
      <w:r w:rsidRPr="00533F1D">
        <w:rPr>
          <w:rFonts w:ascii="Arial" w:hAnsi="Arial" w:cs="Arial"/>
          <w:b/>
          <w:bCs/>
          <w:sz w:val="24"/>
          <w:szCs w:val="24"/>
        </w:rPr>
        <w:t>, s 37)</w:t>
      </w:r>
    </w:p>
    <w:p w14:paraId="25C71D31" w14:textId="77777777" w:rsidR="00E90DF9" w:rsidRPr="00533F1D" w:rsidRDefault="00E90DF9" w:rsidP="00601FAA">
      <w:pPr>
        <w:spacing w:after="0"/>
        <w:jc w:val="center"/>
        <w:rPr>
          <w:rFonts w:ascii="Arial" w:hAnsi="Arial" w:cs="Arial"/>
          <w:b/>
          <w:sz w:val="24"/>
          <w:szCs w:val="24"/>
        </w:rPr>
      </w:pPr>
    </w:p>
    <w:p w14:paraId="62B7AD27" w14:textId="77777777" w:rsidR="00E90DF9" w:rsidRPr="00533F1D" w:rsidRDefault="00E90DF9" w:rsidP="00601FAA">
      <w:pPr>
        <w:spacing w:after="0"/>
        <w:jc w:val="center"/>
        <w:rPr>
          <w:rFonts w:ascii="Arial" w:hAnsi="Arial" w:cs="Arial"/>
          <w:b/>
          <w:sz w:val="24"/>
          <w:szCs w:val="24"/>
        </w:rPr>
      </w:pPr>
    </w:p>
    <w:p w14:paraId="3B7A8E87" w14:textId="77777777" w:rsidR="00E90DF9" w:rsidRPr="00533F1D" w:rsidRDefault="00E90DF9" w:rsidP="00601FAA">
      <w:pPr>
        <w:spacing w:after="0"/>
        <w:jc w:val="center"/>
        <w:rPr>
          <w:rFonts w:ascii="Arial" w:hAnsi="Arial" w:cs="Arial"/>
          <w:b/>
          <w:sz w:val="24"/>
          <w:szCs w:val="24"/>
        </w:rPr>
      </w:pPr>
    </w:p>
    <w:p w14:paraId="67BAB751" w14:textId="77777777" w:rsidR="00E90DF9" w:rsidRPr="00533F1D" w:rsidRDefault="00E90DF9" w:rsidP="00601FAA">
      <w:pPr>
        <w:spacing w:after="0"/>
        <w:jc w:val="center"/>
        <w:rPr>
          <w:rFonts w:ascii="Arial" w:hAnsi="Arial" w:cs="Arial"/>
          <w:b/>
          <w:sz w:val="24"/>
          <w:szCs w:val="24"/>
        </w:rPr>
      </w:pPr>
    </w:p>
    <w:p w14:paraId="3D25356F" w14:textId="77777777" w:rsidR="00E90DF9" w:rsidRPr="00533F1D" w:rsidRDefault="00E90DF9" w:rsidP="00601FAA">
      <w:pPr>
        <w:spacing w:after="0"/>
        <w:jc w:val="center"/>
        <w:rPr>
          <w:rFonts w:ascii="Arial" w:hAnsi="Arial" w:cs="Arial"/>
          <w:b/>
          <w:sz w:val="24"/>
          <w:szCs w:val="24"/>
        </w:rPr>
      </w:pPr>
    </w:p>
    <w:p w14:paraId="5A9A0527" w14:textId="77777777" w:rsidR="00E90DF9" w:rsidRPr="00533F1D" w:rsidRDefault="00E90DF9" w:rsidP="00601FAA">
      <w:pPr>
        <w:spacing w:after="0"/>
        <w:jc w:val="center"/>
        <w:rPr>
          <w:rFonts w:ascii="Arial" w:hAnsi="Arial" w:cs="Arial"/>
          <w:b/>
          <w:sz w:val="24"/>
          <w:szCs w:val="24"/>
        </w:rPr>
      </w:pPr>
    </w:p>
    <w:p w14:paraId="4CDC9EA3" w14:textId="77777777" w:rsidR="00E90DF9" w:rsidRPr="00533F1D" w:rsidRDefault="00E90DF9" w:rsidP="00601FAA">
      <w:pPr>
        <w:spacing w:after="0"/>
        <w:jc w:val="center"/>
        <w:rPr>
          <w:rFonts w:ascii="Arial" w:hAnsi="Arial" w:cs="Arial"/>
          <w:b/>
          <w:sz w:val="24"/>
          <w:szCs w:val="24"/>
        </w:rPr>
      </w:pPr>
    </w:p>
    <w:p w14:paraId="01179C4F" w14:textId="77777777" w:rsidR="00E90DF9" w:rsidRPr="00533F1D" w:rsidRDefault="00E90DF9" w:rsidP="00601FAA">
      <w:pPr>
        <w:keepNext/>
        <w:widowControl w:val="0"/>
        <w:spacing w:after="0"/>
        <w:jc w:val="center"/>
        <w:outlineLvl w:val="7"/>
        <w:rPr>
          <w:rFonts w:ascii="Arial" w:hAnsi="Arial" w:cs="Arial"/>
          <w:b/>
          <w:bCs/>
          <w:sz w:val="24"/>
          <w:szCs w:val="24"/>
        </w:rPr>
      </w:pPr>
    </w:p>
    <w:p w14:paraId="63FA2BF3" w14:textId="77777777" w:rsidR="00B9385E" w:rsidRPr="00533F1D" w:rsidRDefault="00B9385E" w:rsidP="00601FAA">
      <w:pPr>
        <w:keepNext/>
        <w:widowControl w:val="0"/>
        <w:spacing w:after="0"/>
        <w:jc w:val="center"/>
        <w:outlineLvl w:val="7"/>
        <w:rPr>
          <w:rFonts w:ascii="Arial" w:hAnsi="Arial" w:cs="Arial"/>
          <w:b/>
          <w:bCs/>
          <w:sz w:val="24"/>
          <w:szCs w:val="24"/>
        </w:rPr>
      </w:pPr>
    </w:p>
    <w:p w14:paraId="158291B5" w14:textId="77777777" w:rsidR="00B9385E" w:rsidRPr="00533F1D" w:rsidRDefault="00B9385E" w:rsidP="00601FAA">
      <w:pPr>
        <w:keepNext/>
        <w:widowControl w:val="0"/>
        <w:spacing w:after="0"/>
        <w:jc w:val="center"/>
        <w:outlineLvl w:val="7"/>
        <w:rPr>
          <w:rFonts w:ascii="Arial" w:hAnsi="Arial" w:cs="Arial"/>
          <w:b/>
          <w:bCs/>
          <w:sz w:val="24"/>
          <w:szCs w:val="24"/>
        </w:rPr>
      </w:pPr>
    </w:p>
    <w:p w14:paraId="5C2D898C" w14:textId="77777777" w:rsidR="00B9385E" w:rsidRPr="00533F1D" w:rsidRDefault="00B9385E" w:rsidP="00601FAA">
      <w:pPr>
        <w:keepNext/>
        <w:widowControl w:val="0"/>
        <w:spacing w:after="0"/>
        <w:jc w:val="center"/>
        <w:outlineLvl w:val="7"/>
        <w:rPr>
          <w:rFonts w:ascii="Arial" w:hAnsi="Arial" w:cs="Arial"/>
          <w:b/>
          <w:bCs/>
          <w:sz w:val="24"/>
          <w:szCs w:val="24"/>
        </w:rPr>
      </w:pPr>
    </w:p>
    <w:p w14:paraId="3547463A" w14:textId="77777777" w:rsidR="00B9385E" w:rsidRPr="00533F1D" w:rsidRDefault="00B9385E" w:rsidP="00601FAA">
      <w:pPr>
        <w:keepNext/>
        <w:widowControl w:val="0"/>
        <w:spacing w:after="0"/>
        <w:jc w:val="center"/>
        <w:outlineLvl w:val="7"/>
        <w:rPr>
          <w:rFonts w:ascii="Arial" w:hAnsi="Arial" w:cs="Arial"/>
          <w:b/>
          <w:bCs/>
          <w:sz w:val="24"/>
          <w:szCs w:val="24"/>
        </w:rPr>
      </w:pPr>
    </w:p>
    <w:p w14:paraId="461523AD" w14:textId="77777777" w:rsidR="00E90DF9" w:rsidRPr="00533F1D" w:rsidRDefault="00E90DF9" w:rsidP="00601FAA">
      <w:pPr>
        <w:keepNext/>
        <w:widowControl w:val="0"/>
        <w:spacing w:after="0"/>
        <w:ind w:right="686"/>
        <w:jc w:val="right"/>
        <w:outlineLvl w:val="7"/>
        <w:rPr>
          <w:rFonts w:ascii="Arial" w:hAnsi="Arial" w:cs="Arial"/>
          <w:b/>
          <w:bCs/>
          <w:sz w:val="24"/>
          <w:szCs w:val="24"/>
        </w:rPr>
      </w:pPr>
      <w:r w:rsidRPr="00533F1D">
        <w:rPr>
          <w:rFonts w:ascii="Arial" w:hAnsi="Arial" w:cs="Arial"/>
          <w:b/>
          <w:bCs/>
          <w:sz w:val="24"/>
          <w:szCs w:val="24"/>
        </w:rPr>
        <w:t>Presented by</w:t>
      </w:r>
    </w:p>
    <w:p w14:paraId="4C25E071" w14:textId="180F8A11" w:rsidR="00F40456" w:rsidRPr="00533F1D" w:rsidRDefault="00F40456" w:rsidP="00601FAA">
      <w:pPr>
        <w:spacing w:after="0"/>
        <w:ind w:right="686"/>
        <w:jc w:val="right"/>
        <w:rPr>
          <w:rFonts w:ascii="Arial" w:hAnsi="Arial" w:cs="Arial"/>
          <w:b/>
          <w:bCs/>
          <w:sz w:val="24"/>
          <w:szCs w:val="24"/>
        </w:rPr>
      </w:pPr>
      <w:r w:rsidRPr="00533F1D">
        <w:rPr>
          <w:rFonts w:ascii="Arial" w:hAnsi="Arial" w:cs="Arial"/>
          <w:b/>
          <w:bCs/>
          <w:sz w:val="24"/>
          <w:szCs w:val="24"/>
        </w:rPr>
        <w:t>RACHEL STEPHEN-SMITH MLA</w:t>
      </w:r>
    </w:p>
    <w:p w14:paraId="64201B67" w14:textId="5037E2F5" w:rsidR="00F40456" w:rsidRPr="00533F1D" w:rsidRDefault="00D276F4" w:rsidP="00601FAA">
      <w:pPr>
        <w:spacing w:after="0"/>
        <w:ind w:right="686"/>
        <w:jc w:val="right"/>
        <w:rPr>
          <w:rFonts w:ascii="Arial" w:hAnsi="Arial" w:cs="Arial"/>
          <w:b/>
          <w:bCs/>
          <w:sz w:val="24"/>
          <w:szCs w:val="24"/>
        </w:rPr>
      </w:pPr>
      <w:r>
        <w:rPr>
          <w:rFonts w:ascii="Arial" w:hAnsi="Arial" w:cs="Arial"/>
          <w:b/>
          <w:bCs/>
          <w:sz w:val="24"/>
          <w:szCs w:val="24"/>
        </w:rPr>
        <w:t>Minister for Health</w:t>
      </w:r>
    </w:p>
    <w:p w14:paraId="722CCE31" w14:textId="7FBDA62D" w:rsidR="00E90DF9" w:rsidRPr="00533F1D" w:rsidRDefault="000A3576" w:rsidP="00601FAA">
      <w:pPr>
        <w:spacing w:after="0"/>
        <w:ind w:right="686"/>
        <w:jc w:val="right"/>
        <w:rPr>
          <w:rFonts w:ascii="Arial" w:hAnsi="Arial" w:cs="Arial"/>
          <w:b/>
          <w:bCs/>
          <w:sz w:val="24"/>
          <w:szCs w:val="24"/>
        </w:rPr>
      </w:pPr>
      <w:r>
        <w:rPr>
          <w:rFonts w:ascii="Arial" w:hAnsi="Arial" w:cs="Arial"/>
          <w:b/>
          <w:bCs/>
          <w:sz w:val="24"/>
          <w:szCs w:val="24"/>
        </w:rPr>
        <w:t>September</w:t>
      </w:r>
      <w:r w:rsidR="00E90DF9" w:rsidRPr="00533F1D">
        <w:rPr>
          <w:rFonts w:ascii="Arial" w:hAnsi="Arial" w:cs="Arial"/>
          <w:b/>
          <w:bCs/>
          <w:sz w:val="24"/>
          <w:szCs w:val="24"/>
        </w:rPr>
        <w:t xml:space="preserve"> 202</w:t>
      </w:r>
      <w:r w:rsidR="00D66685" w:rsidRPr="00533F1D">
        <w:rPr>
          <w:rFonts w:ascii="Arial" w:hAnsi="Arial" w:cs="Arial"/>
          <w:b/>
          <w:bCs/>
          <w:sz w:val="24"/>
          <w:szCs w:val="24"/>
        </w:rPr>
        <w:t>5</w:t>
      </w:r>
    </w:p>
    <w:p w14:paraId="764EA7E1" w14:textId="3F41ACE8" w:rsidR="00E90DF9" w:rsidRPr="008C3B92" w:rsidRDefault="000C6F83" w:rsidP="00601FAA">
      <w:pPr>
        <w:spacing w:after="0" w:line="240" w:lineRule="auto"/>
        <w:rPr>
          <w:rFonts w:ascii="Arial" w:hAnsi="Arial" w:cs="Arial"/>
          <w:b/>
          <w:bCs/>
          <w:sz w:val="24"/>
          <w:szCs w:val="24"/>
          <w:u w:val="single"/>
        </w:rPr>
        <w:sectPr w:rsidR="00E90DF9" w:rsidRPr="008C3B92" w:rsidSect="00074CC2">
          <w:headerReference w:type="default" r:id="rId12"/>
          <w:footerReference w:type="default" r:id="rId13"/>
          <w:footerReference w:type="first" r:id="rId14"/>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2C901A79" w:rsidR="00E90DF9" w:rsidRPr="00BB387E" w:rsidRDefault="00F40456" w:rsidP="00601FAA">
      <w:pPr>
        <w:pStyle w:val="Heading1"/>
        <w:jc w:val="center"/>
      </w:pPr>
      <w:r w:rsidRPr="00F40456">
        <w:lastRenderedPageBreak/>
        <w:t>HEALTH LEGISLATION AMENDMENT BILL 202</w:t>
      </w:r>
      <w:r>
        <w:t>5</w:t>
      </w:r>
      <w:r w:rsidR="00F032EE">
        <w:t xml:space="preserve"> (NO 2)</w:t>
      </w:r>
    </w:p>
    <w:p w14:paraId="791A60D0" w14:textId="77777777" w:rsidR="00E90DF9" w:rsidRDefault="00E90DF9" w:rsidP="00E246CF">
      <w:pPr>
        <w:spacing w:after="0" w:line="283" w:lineRule="auto"/>
        <w:rPr>
          <w:rFonts w:ascii="Arial" w:hAnsi="Arial" w:cs="Arial"/>
          <w:bCs/>
          <w:sz w:val="24"/>
          <w:szCs w:val="24"/>
        </w:rPr>
      </w:pPr>
    </w:p>
    <w:p w14:paraId="04010BFE" w14:textId="1D1052B1" w:rsidR="00E90DF9" w:rsidRPr="00E246CF" w:rsidRDefault="00E90DF9" w:rsidP="00E246CF">
      <w:pPr>
        <w:spacing w:after="0" w:line="283" w:lineRule="auto"/>
        <w:rPr>
          <w:rFonts w:ascii="Arial" w:hAnsi="Arial" w:cs="Arial"/>
          <w:bCs/>
        </w:rPr>
      </w:pPr>
      <w:r w:rsidRPr="00E246CF">
        <w:rPr>
          <w:rFonts w:ascii="Arial" w:hAnsi="Arial" w:cs="Arial"/>
          <w:bCs/>
        </w:rPr>
        <w:t xml:space="preserve">The Bill </w:t>
      </w:r>
      <w:r w:rsidRPr="00E246CF">
        <w:rPr>
          <w:rFonts w:ascii="Arial" w:hAnsi="Arial" w:cs="Arial"/>
          <w:b/>
        </w:rPr>
        <w:t>is</w:t>
      </w:r>
      <w:r w:rsidRPr="00E246CF">
        <w:rPr>
          <w:rFonts w:ascii="Arial" w:hAnsi="Arial" w:cs="Arial"/>
          <w:bCs/>
        </w:rPr>
        <w:t xml:space="preserve"> </w:t>
      </w:r>
      <w:r w:rsidRPr="00E246CF">
        <w:rPr>
          <w:rFonts w:ascii="Arial" w:hAnsi="Arial" w:cs="Arial"/>
          <w:b/>
        </w:rPr>
        <w:t>not</w:t>
      </w:r>
      <w:r w:rsidRPr="00E246CF">
        <w:rPr>
          <w:rFonts w:ascii="Arial" w:hAnsi="Arial" w:cs="Arial"/>
          <w:bCs/>
        </w:rPr>
        <w:t xml:space="preserve"> a Significant Bill. Significant Bills are bills that have been assessed as likely to have significant engagement of human rights and require more detailed reasoning in relation to compatibility with the </w:t>
      </w:r>
      <w:r w:rsidRPr="00E246CF">
        <w:rPr>
          <w:rFonts w:ascii="Arial" w:hAnsi="Arial" w:cs="Arial"/>
          <w:bCs/>
          <w:i/>
          <w:iCs/>
        </w:rPr>
        <w:t>Human Rights Act 2004</w:t>
      </w:r>
      <w:r w:rsidRPr="00E246CF">
        <w:rPr>
          <w:rFonts w:ascii="Arial" w:hAnsi="Arial" w:cs="Arial"/>
          <w:bCs/>
        </w:rPr>
        <w:t>.</w:t>
      </w:r>
    </w:p>
    <w:p w14:paraId="4F3DF94D" w14:textId="77777777" w:rsidR="00721082" w:rsidRPr="00E246CF" w:rsidRDefault="00721082" w:rsidP="00E246CF">
      <w:pPr>
        <w:spacing w:after="0" w:line="283" w:lineRule="auto"/>
        <w:rPr>
          <w:rFonts w:ascii="Arial" w:hAnsi="Arial" w:cs="Arial"/>
          <w:bCs/>
        </w:rPr>
      </w:pPr>
    </w:p>
    <w:p w14:paraId="5287C61A" w14:textId="2F545E36" w:rsidR="00721082" w:rsidRPr="00E246CF" w:rsidRDefault="00721082" w:rsidP="00E246CF">
      <w:pPr>
        <w:spacing w:after="0" w:line="283" w:lineRule="auto"/>
        <w:jc w:val="both"/>
        <w:rPr>
          <w:rFonts w:ascii="Arial" w:hAnsi="Arial" w:cs="Arial"/>
          <w:bCs/>
        </w:rPr>
      </w:pPr>
      <w:r w:rsidRPr="00E246CF">
        <w:rPr>
          <w:rFonts w:ascii="Arial" w:hAnsi="Arial" w:cs="Arial"/>
          <w:bCs/>
        </w:rPr>
        <w:t>This explanatory statement relates to the </w:t>
      </w:r>
      <w:r w:rsidRPr="00E246CF">
        <w:rPr>
          <w:rFonts w:ascii="Arial" w:hAnsi="Arial" w:cs="Arial"/>
          <w:bCs/>
          <w:i/>
          <w:iCs/>
        </w:rPr>
        <w:t>Health Legislation Amendment Bill 2025</w:t>
      </w:r>
      <w:r w:rsidRPr="00E246CF">
        <w:rPr>
          <w:rFonts w:ascii="Arial" w:hAnsi="Arial" w:cs="Arial"/>
          <w:bCs/>
        </w:rPr>
        <w:t xml:space="preserve"> </w:t>
      </w:r>
      <w:r w:rsidR="00F032EE" w:rsidRPr="00E246CF">
        <w:rPr>
          <w:rFonts w:ascii="Arial" w:hAnsi="Arial" w:cs="Arial"/>
          <w:bCs/>
        </w:rPr>
        <w:t xml:space="preserve">(No 2) </w:t>
      </w:r>
      <w:r w:rsidRPr="00E246CF">
        <w:rPr>
          <w:rFonts w:ascii="Arial" w:hAnsi="Arial" w:cs="Arial"/>
          <w:bCs/>
        </w:rPr>
        <w:t>(</w:t>
      </w:r>
      <w:r w:rsidRPr="00E246CF">
        <w:rPr>
          <w:rFonts w:ascii="Arial" w:hAnsi="Arial" w:cs="Arial"/>
          <w:b/>
        </w:rPr>
        <w:t>Bill</w:t>
      </w:r>
      <w:r w:rsidRPr="00E246CF">
        <w:rPr>
          <w:rFonts w:ascii="Arial" w:hAnsi="Arial" w:cs="Arial"/>
          <w:bCs/>
        </w:rPr>
        <w:t>)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E246CF" w:rsidRDefault="00E90DF9" w:rsidP="00E246CF">
      <w:pPr>
        <w:spacing w:after="0" w:line="283" w:lineRule="auto"/>
        <w:rPr>
          <w:rFonts w:ascii="Arial" w:hAnsi="Arial" w:cs="Arial"/>
          <w:bCs/>
          <w:highlight w:val="yellow"/>
        </w:rPr>
      </w:pPr>
    </w:p>
    <w:p w14:paraId="266B7B2E" w14:textId="1A67A3C1" w:rsidR="00E90DF9" w:rsidRPr="00E246CF" w:rsidRDefault="00E90DF9" w:rsidP="00E246CF">
      <w:pPr>
        <w:pStyle w:val="Heading2"/>
        <w:spacing w:line="283" w:lineRule="auto"/>
        <w:rPr>
          <w:sz w:val="22"/>
          <w:szCs w:val="22"/>
        </w:rPr>
      </w:pPr>
      <w:r w:rsidRPr="00E246CF">
        <w:rPr>
          <w:sz w:val="22"/>
          <w:szCs w:val="22"/>
        </w:rPr>
        <w:t>OVERVIEW OF THE BILL</w:t>
      </w:r>
      <w:r w:rsidR="008845E6">
        <w:rPr>
          <w:sz w:val="22"/>
          <w:szCs w:val="22"/>
        </w:rPr>
        <w:t xml:space="preserve"> AND CONSULTATION</w:t>
      </w:r>
    </w:p>
    <w:p w14:paraId="629587C6" w14:textId="062E6D3D" w:rsidR="00721082" w:rsidRPr="00E246CF" w:rsidRDefault="00721082" w:rsidP="00E246CF">
      <w:pPr>
        <w:spacing w:after="0" w:line="283" w:lineRule="auto"/>
        <w:jc w:val="both"/>
        <w:rPr>
          <w:rFonts w:ascii="Arial" w:hAnsi="Arial" w:cs="Arial"/>
          <w:iCs/>
        </w:rPr>
      </w:pPr>
      <w:r w:rsidRPr="00E246CF">
        <w:rPr>
          <w:rFonts w:ascii="Arial" w:hAnsi="Arial" w:cs="Arial"/>
          <w:iCs/>
        </w:rPr>
        <w:t>The Bill is an omnibus bill which amends a range of legislation under the portfolio</w:t>
      </w:r>
      <w:r w:rsidR="0023265E">
        <w:rPr>
          <w:rFonts w:ascii="Arial" w:hAnsi="Arial" w:cs="Arial"/>
          <w:iCs/>
        </w:rPr>
        <w:t xml:space="preserve"> of the Minister for Health</w:t>
      </w:r>
      <w:r w:rsidRPr="00E246CF">
        <w:rPr>
          <w:rFonts w:ascii="Arial" w:hAnsi="Arial" w:cs="Arial"/>
          <w:iCs/>
        </w:rPr>
        <w:t xml:space="preserve"> to support the efficient and effective functioning of the ACT health system. It seeks to </w:t>
      </w:r>
      <w:r w:rsidRPr="00E246CF">
        <w:rPr>
          <w:rFonts w:ascii="Arial" w:hAnsi="Arial" w:cs="Arial"/>
          <w:bCs/>
        </w:rPr>
        <w:t>address</w:t>
      </w:r>
      <w:r w:rsidRPr="00E246CF">
        <w:rPr>
          <w:rFonts w:ascii="Arial" w:hAnsi="Arial" w:cs="Arial"/>
          <w:iCs/>
        </w:rPr>
        <w:t xml:space="preserve"> minor or technical issues that have been raised by stakeholders or that have been identified by the Health</w:t>
      </w:r>
      <w:r w:rsidR="00F032EE" w:rsidRPr="00E246CF">
        <w:rPr>
          <w:rFonts w:ascii="Arial" w:hAnsi="Arial" w:cs="Arial"/>
          <w:iCs/>
        </w:rPr>
        <w:t xml:space="preserve"> and Community Services</w:t>
      </w:r>
      <w:r w:rsidRPr="00E246CF">
        <w:rPr>
          <w:rFonts w:ascii="Arial" w:hAnsi="Arial" w:cs="Arial"/>
          <w:iCs/>
        </w:rPr>
        <w:t xml:space="preserve"> Directorate. The Bill amends the following legislation and subordinate legislation: </w:t>
      </w:r>
    </w:p>
    <w:p w14:paraId="3AFD0303" w14:textId="19D89EC3" w:rsidR="00371F33" w:rsidRPr="00E246CF" w:rsidRDefault="00371F33" w:rsidP="00A03B3E">
      <w:pPr>
        <w:pStyle w:val="ListParagraph"/>
        <w:numPr>
          <w:ilvl w:val="0"/>
          <w:numId w:val="2"/>
        </w:numPr>
        <w:spacing w:before="240" w:line="283" w:lineRule="auto"/>
        <w:jc w:val="both"/>
        <w:rPr>
          <w:rFonts w:ascii="Arial" w:hAnsi="Arial" w:cs="Arial"/>
          <w:i/>
        </w:rPr>
      </w:pPr>
      <w:r w:rsidRPr="00E246CF">
        <w:rPr>
          <w:rFonts w:ascii="Arial" w:hAnsi="Arial" w:cs="Arial"/>
          <w:i/>
        </w:rPr>
        <w:t>Health Act 1993</w:t>
      </w:r>
      <w:r w:rsidR="00601FAA">
        <w:rPr>
          <w:rFonts w:ascii="Arial" w:hAnsi="Arial" w:cs="Arial"/>
          <w:i/>
        </w:rPr>
        <w:t xml:space="preserve"> (</w:t>
      </w:r>
      <w:r w:rsidR="00601FAA" w:rsidRPr="00E246CF">
        <w:rPr>
          <w:rFonts w:ascii="Arial" w:hAnsi="Arial" w:cs="Arial"/>
          <w:b/>
          <w:bCs/>
          <w:iCs/>
        </w:rPr>
        <w:t>Health Act</w:t>
      </w:r>
      <w:r w:rsidR="00601FAA">
        <w:rPr>
          <w:rFonts w:ascii="Arial" w:hAnsi="Arial" w:cs="Arial"/>
          <w:i/>
        </w:rPr>
        <w:t>)</w:t>
      </w:r>
    </w:p>
    <w:p w14:paraId="5FB308AF" w14:textId="3A9DCB03" w:rsidR="00721082" w:rsidRPr="00E246CF" w:rsidRDefault="00371F33" w:rsidP="00E246CF">
      <w:pPr>
        <w:pStyle w:val="ListParagraph"/>
        <w:numPr>
          <w:ilvl w:val="0"/>
          <w:numId w:val="2"/>
        </w:numPr>
        <w:spacing w:line="283" w:lineRule="auto"/>
        <w:jc w:val="both"/>
        <w:rPr>
          <w:rFonts w:ascii="Arial" w:hAnsi="Arial" w:cs="Arial"/>
          <w:i/>
        </w:rPr>
      </w:pPr>
      <w:r w:rsidRPr="00E246CF">
        <w:rPr>
          <w:rFonts w:ascii="Arial" w:hAnsi="Arial" w:cs="Arial"/>
          <w:i/>
        </w:rPr>
        <w:t>Health Professionals (Special Events Exemption</w:t>
      </w:r>
      <w:r w:rsidR="00A853A7">
        <w:rPr>
          <w:rFonts w:ascii="Arial" w:hAnsi="Arial" w:cs="Arial"/>
          <w:i/>
        </w:rPr>
        <w:t>s</w:t>
      </w:r>
      <w:r w:rsidRPr="00E246CF">
        <w:rPr>
          <w:rFonts w:ascii="Arial" w:hAnsi="Arial" w:cs="Arial"/>
          <w:i/>
        </w:rPr>
        <w:t>) Act 2000</w:t>
      </w:r>
      <w:r w:rsidR="00601FAA">
        <w:rPr>
          <w:rFonts w:ascii="Arial" w:hAnsi="Arial" w:cs="Arial"/>
          <w:i/>
        </w:rPr>
        <w:t xml:space="preserve"> </w:t>
      </w:r>
      <w:r w:rsidR="00601FAA">
        <w:rPr>
          <w:rFonts w:ascii="Arial" w:hAnsi="Arial" w:cs="Arial"/>
          <w:iCs/>
        </w:rPr>
        <w:t>(</w:t>
      </w:r>
      <w:r w:rsidR="00601FAA" w:rsidRPr="00E246CF">
        <w:rPr>
          <w:rFonts w:ascii="Arial" w:hAnsi="Arial" w:cs="Arial"/>
          <w:b/>
          <w:bCs/>
          <w:iCs/>
        </w:rPr>
        <w:t>Special Events Act</w:t>
      </w:r>
      <w:r w:rsidR="00601FAA">
        <w:rPr>
          <w:rFonts w:ascii="Arial" w:hAnsi="Arial" w:cs="Arial"/>
          <w:iCs/>
        </w:rPr>
        <w:t>)</w:t>
      </w:r>
    </w:p>
    <w:p w14:paraId="1E09E752" w14:textId="77777777" w:rsidR="00A03B3E" w:rsidRPr="00E246CF" w:rsidRDefault="00A03B3E" w:rsidP="00A03B3E">
      <w:pPr>
        <w:pStyle w:val="ListParagraph"/>
        <w:numPr>
          <w:ilvl w:val="0"/>
          <w:numId w:val="2"/>
        </w:numPr>
        <w:spacing w:line="283" w:lineRule="auto"/>
        <w:jc w:val="both"/>
        <w:rPr>
          <w:rFonts w:ascii="Arial" w:hAnsi="Arial" w:cs="Arial"/>
          <w:i/>
        </w:rPr>
      </w:pPr>
      <w:r w:rsidRPr="00E246CF">
        <w:rPr>
          <w:rFonts w:ascii="Arial" w:hAnsi="Arial" w:cs="Arial"/>
          <w:i/>
        </w:rPr>
        <w:t xml:space="preserve">Medicines, Poisons and Therapeutic Goods Act 2008 </w:t>
      </w:r>
      <w:r>
        <w:rPr>
          <w:rFonts w:ascii="Arial" w:hAnsi="Arial" w:cs="Arial"/>
          <w:iCs/>
        </w:rPr>
        <w:t>(</w:t>
      </w:r>
      <w:r w:rsidRPr="00E246CF">
        <w:rPr>
          <w:rFonts w:ascii="Arial" w:hAnsi="Arial" w:cs="Arial"/>
          <w:b/>
          <w:bCs/>
          <w:iCs/>
        </w:rPr>
        <w:t>M</w:t>
      </w:r>
      <w:r>
        <w:rPr>
          <w:rFonts w:ascii="Arial" w:hAnsi="Arial" w:cs="Arial"/>
          <w:b/>
          <w:bCs/>
          <w:iCs/>
        </w:rPr>
        <w:t>PTG</w:t>
      </w:r>
      <w:r w:rsidRPr="00E246CF">
        <w:rPr>
          <w:rFonts w:ascii="Arial" w:hAnsi="Arial" w:cs="Arial"/>
          <w:b/>
          <w:bCs/>
          <w:iCs/>
        </w:rPr>
        <w:t xml:space="preserve"> Act</w:t>
      </w:r>
      <w:r>
        <w:rPr>
          <w:rFonts w:ascii="Arial" w:hAnsi="Arial" w:cs="Arial"/>
          <w:iCs/>
        </w:rPr>
        <w:t>)</w:t>
      </w:r>
    </w:p>
    <w:p w14:paraId="52A5879D" w14:textId="77777777" w:rsidR="00A03B3E" w:rsidRPr="00A03B3E" w:rsidRDefault="00A03B3E" w:rsidP="00A03B3E">
      <w:pPr>
        <w:pStyle w:val="ListParagraph"/>
        <w:numPr>
          <w:ilvl w:val="0"/>
          <w:numId w:val="2"/>
        </w:numPr>
        <w:spacing w:line="283" w:lineRule="auto"/>
        <w:jc w:val="both"/>
        <w:rPr>
          <w:rFonts w:ascii="Arial" w:hAnsi="Arial" w:cs="Arial"/>
          <w:i/>
        </w:rPr>
      </w:pPr>
      <w:r w:rsidRPr="00E246CF">
        <w:rPr>
          <w:rFonts w:ascii="Arial" w:hAnsi="Arial" w:cs="Arial"/>
          <w:i/>
        </w:rPr>
        <w:t>Medicines, Poisons and Therapeutic Goods Regulation 2008</w:t>
      </w:r>
      <w:r>
        <w:rPr>
          <w:rFonts w:ascii="Arial" w:hAnsi="Arial" w:cs="Arial"/>
          <w:i/>
        </w:rPr>
        <w:t xml:space="preserve"> </w:t>
      </w:r>
      <w:r>
        <w:rPr>
          <w:rFonts w:ascii="Arial" w:hAnsi="Arial" w:cs="Arial"/>
          <w:iCs/>
        </w:rPr>
        <w:t>(</w:t>
      </w:r>
      <w:r w:rsidRPr="00E246CF">
        <w:rPr>
          <w:rFonts w:ascii="Arial" w:hAnsi="Arial" w:cs="Arial"/>
          <w:b/>
          <w:bCs/>
          <w:iCs/>
        </w:rPr>
        <w:t>M</w:t>
      </w:r>
      <w:r>
        <w:rPr>
          <w:rFonts w:ascii="Arial" w:hAnsi="Arial" w:cs="Arial"/>
          <w:b/>
          <w:bCs/>
          <w:iCs/>
        </w:rPr>
        <w:t>PTG</w:t>
      </w:r>
      <w:r w:rsidRPr="00E246CF">
        <w:rPr>
          <w:rFonts w:ascii="Arial" w:hAnsi="Arial" w:cs="Arial"/>
          <w:b/>
          <w:bCs/>
          <w:iCs/>
        </w:rPr>
        <w:t xml:space="preserve"> Reg</w:t>
      </w:r>
      <w:r>
        <w:rPr>
          <w:rFonts w:ascii="Arial" w:hAnsi="Arial" w:cs="Arial"/>
          <w:iCs/>
        </w:rPr>
        <w:t>)</w:t>
      </w:r>
    </w:p>
    <w:p w14:paraId="2A33BDED" w14:textId="6607C1DF" w:rsidR="00A03B3E" w:rsidRPr="00A03B3E" w:rsidRDefault="00A03B3E" w:rsidP="00A03B3E">
      <w:pPr>
        <w:pStyle w:val="ListParagraph"/>
        <w:numPr>
          <w:ilvl w:val="0"/>
          <w:numId w:val="2"/>
        </w:numPr>
        <w:spacing w:line="283" w:lineRule="auto"/>
        <w:jc w:val="both"/>
        <w:rPr>
          <w:rFonts w:ascii="Arial" w:hAnsi="Arial" w:cs="Arial"/>
          <w:i/>
        </w:rPr>
      </w:pPr>
      <w:r w:rsidRPr="00A03B3E">
        <w:rPr>
          <w:rFonts w:ascii="Arial" w:hAnsi="Arial" w:cs="Arial"/>
          <w:i/>
        </w:rPr>
        <w:t>Voluntary Assisted Dying Act 2024 (</w:t>
      </w:r>
      <w:r w:rsidRPr="00A03B3E">
        <w:rPr>
          <w:rFonts w:ascii="Arial" w:hAnsi="Arial" w:cs="Arial"/>
          <w:b/>
          <w:bCs/>
          <w:iCs/>
        </w:rPr>
        <w:t>Voluntary Assisted Dying Act</w:t>
      </w:r>
      <w:r w:rsidRPr="00A03B3E">
        <w:rPr>
          <w:rFonts w:ascii="Arial" w:hAnsi="Arial" w:cs="Arial"/>
          <w:i/>
        </w:rPr>
        <w:t xml:space="preserve">) </w:t>
      </w:r>
    </w:p>
    <w:p w14:paraId="0916E333" w14:textId="77777777" w:rsidR="00721082" w:rsidRDefault="00721082" w:rsidP="00E246CF">
      <w:pPr>
        <w:spacing w:after="0" w:line="283" w:lineRule="auto"/>
        <w:jc w:val="both"/>
        <w:rPr>
          <w:rFonts w:ascii="Arial" w:hAnsi="Arial" w:cs="Arial"/>
          <w:iCs/>
        </w:rPr>
      </w:pPr>
    </w:p>
    <w:p w14:paraId="74EDD631" w14:textId="3AD80D39" w:rsidR="00985D70" w:rsidRPr="00815242" w:rsidRDefault="00985D70" w:rsidP="00E246CF">
      <w:pPr>
        <w:spacing w:after="0" w:line="283" w:lineRule="auto"/>
        <w:jc w:val="both"/>
        <w:rPr>
          <w:rFonts w:ascii="Arial" w:hAnsi="Arial" w:cs="Arial"/>
          <w:iCs/>
        </w:rPr>
      </w:pPr>
      <w:r w:rsidRPr="00815242">
        <w:rPr>
          <w:rFonts w:ascii="Arial" w:hAnsi="Arial" w:cs="Arial"/>
          <w:iCs/>
        </w:rPr>
        <w:t xml:space="preserve">The amendments in the Bill were developed in targeted consultation within Government. </w:t>
      </w:r>
      <w:r w:rsidR="00C17117">
        <w:rPr>
          <w:rFonts w:ascii="Arial" w:hAnsi="Arial" w:cs="Arial"/>
          <w:iCs/>
        </w:rPr>
        <w:t xml:space="preserve">Business units primarily within the Health and Community Services Directorate were consulted as relevant to their work. </w:t>
      </w:r>
      <w:r w:rsidRPr="00815242">
        <w:rPr>
          <w:rFonts w:ascii="Arial" w:hAnsi="Arial" w:cs="Arial"/>
          <w:iCs/>
        </w:rPr>
        <w:t>In some cases, minor and technical amendments were identified by the Government agency that administers or operates under the relevant Act, or by the Parliamentary Counsel’s Office (PCO).</w:t>
      </w:r>
    </w:p>
    <w:p w14:paraId="7DAC6488" w14:textId="77777777" w:rsidR="00985D70" w:rsidRPr="00E246CF" w:rsidRDefault="00985D70" w:rsidP="00E246CF">
      <w:pPr>
        <w:spacing w:after="0" w:line="283" w:lineRule="auto"/>
        <w:jc w:val="both"/>
        <w:rPr>
          <w:rFonts w:ascii="Arial" w:hAnsi="Arial" w:cs="Arial"/>
          <w:iCs/>
        </w:rPr>
      </w:pPr>
    </w:p>
    <w:p w14:paraId="1176DB2F" w14:textId="3D089441" w:rsidR="00371F33" w:rsidRPr="00E246CF" w:rsidRDefault="009A4B08" w:rsidP="00E246CF">
      <w:pPr>
        <w:spacing w:line="283" w:lineRule="auto"/>
        <w:jc w:val="both"/>
        <w:rPr>
          <w:rFonts w:ascii="Arial" w:hAnsi="Arial" w:cs="Arial"/>
          <w:i/>
        </w:rPr>
      </w:pPr>
      <w:bookmarkStart w:id="2" w:name="_Hlk162517594"/>
      <w:r w:rsidRPr="00E246CF">
        <w:rPr>
          <w:rFonts w:ascii="Arial" w:hAnsi="Arial" w:cs="Arial"/>
          <w:i/>
        </w:rPr>
        <w:t>Health Act</w:t>
      </w:r>
      <w:r w:rsidR="00915D2F">
        <w:rPr>
          <w:rFonts w:ascii="Arial" w:hAnsi="Arial" w:cs="Arial"/>
          <w:i/>
        </w:rPr>
        <w:t xml:space="preserve"> – Protected Areas</w:t>
      </w:r>
    </w:p>
    <w:p w14:paraId="7ABD37EA" w14:textId="48C3A469" w:rsidR="00915D2F" w:rsidRDefault="00915D2F" w:rsidP="00E246CF">
      <w:pPr>
        <w:spacing w:line="283" w:lineRule="auto"/>
        <w:jc w:val="both"/>
        <w:rPr>
          <w:rFonts w:ascii="Arial" w:hAnsi="Arial" w:cs="Arial"/>
          <w:iCs/>
        </w:rPr>
      </w:pPr>
      <w:bookmarkStart w:id="3" w:name="_Hlk201796085"/>
      <w:r w:rsidRPr="00915D2F">
        <w:rPr>
          <w:rFonts w:ascii="Arial" w:hAnsi="Arial" w:cs="Arial"/>
          <w:iCs/>
        </w:rPr>
        <w:t>The proposed amendment relates to the Minister’s obligation</w:t>
      </w:r>
      <w:r>
        <w:rPr>
          <w:rFonts w:ascii="Arial" w:hAnsi="Arial" w:cs="Arial"/>
          <w:iCs/>
        </w:rPr>
        <w:t xml:space="preserve"> under section 86 of the Health Act</w:t>
      </w:r>
      <w:r w:rsidRPr="00915D2F">
        <w:rPr>
          <w:rFonts w:ascii="Arial" w:hAnsi="Arial" w:cs="Arial"/>
          <w:iCs/>
        </w:rPr>
        <w:t xml:space="preserve"> to declare a set area</w:t>
      </w:r>
      <w:r>
        <w:rPr>
          <w:rFonts w:ascii="Arial" w:hAnsi="Arial" w:cs="Arial"/>
          <w:iCs/>
        </w:rPr>
        <w:t xml:space="preserve"> </w:t>
      </w:r>
      <w:r w:rsidRPr="00915D2F">
        <w:rPr>
          <w:rFonts w:ascii="Arial" w:hAnsi="Arial" w:cs="Arial"/>
          <w:iCs/>
        </w:rPr>
        <w:t>(a ‘protected area’) around facilities where surgical abortions are undertaken (such</w:t>
      </w:r>
      <w:r>
        <w:rPr>
          <w:rFonts w:ascii="Arial" w:hAnsi="Arial" w:cs="Arial"/>
          <w:iCs/>
        </w:rPr>
        <w:t xml:space="preserve"> </w:t>
      </w:r>
      <w:r w:rsidRPr="00915D2F">
        <w:rPr>
          <w:rFonts w:ascii="Arial" w:hAnsi="Arial" w:cs="Arial"/>
          <w:iCs/>
        </w:rPr>
        <w:t>as in a hospital or abortion clinic)</w:t>
      </w:r>
      <w:r w:rsidR="000B5B84">
        <w:rPr>
          <w:rFonts w:ascii="Arial" w:hAnsi="Arial" w:cs="Arial"/>
          <w:iCs/>
        </w:rPr>
        <w:t>. Once a declaration is made</w:t>
      </w:r>
      <w:r w:rsidRPr="00915D2F">
        <w:rPr>
          <w:rFonts w:ascii="Arial" w:hAnsi="Arial" w:cs="Arial"/>
          <w:iCs/>
        </w:rPr>
        <w:t>, certain harassing</w:t>
      </w:r>
      <w:r>
        <w:rPr>
          <w:rFonts w:ascii="Arial" w:hAnsi="Arial" w:cs="Arial"/>
          <w:iCs/>
        </w:rPr>
        <w:t xml:space="preserve"> </w:t>
      </w:r>
      <w:r w:rsidRPr="00915D2F">
        <w:rPr>
          <w:rFonts w:ascii="Arial" w:hAnsi="Arial" w:cs="Arial"/>
          <w:iCs/>
        </w:rPr>
        <w:t>or interfering behaviour is prohibited</w:t>
      </w:r>
      <w:r w:rsidR="000B5B84">
        <w:rPr>
          <w:rFonts w:ascii="Arial" w:hAnsi="Arial" w:cs="Arial"/>
          <w:iCs/>
        </w:rPr>
        <w:t xml:space="preserve"> within the set area</w:t>
      </w:r>
      <w:r w:rsidRPr="00915D2F">
        <w:rPr>
          <w:rFonts w:ascii="Arial" w:hAnsi="Arial" w:cs="Arial"/>
          <w:iCs/>
        </w:rPr>
        <w:t>.</w:t>
      </w:r>
      <w:r w:rsidR="002512E8">
        <w:rPr>
          <w:rFonts w:ascii="Arial" w:hAnsi="Arial" w:cs="Arial"/>
          <w:iCs/>
        </w:rPr>
        <w:t xml:space="preserve"> </w:t>
      </w:r>
      <w:r w:rsidR="00473D70" w:rsidRPr="00473D70">
        <w:rPr>
          <w:rFonts w:ascii="Arial" w:hAnsi="Arial" w:cs="Arial"/>
          <w:iCs/>
        </w:rPr>
        <w:t xml:space="preserve">Declaring </w:t>
      </w:r>
      <w:r w:rsidR="00A853A7">
        <w:rPr>
          <w:rFonts w:ascii="Arial" w:hAnsi="Arial" w:cs="Arial"/>
          <w:iCs/>
        </w:rPr>
        <w:t xml:space="preserve">a </w:t>
      </w:r>
      <w:r w:rsidR="00473D70" w:rsidRPr="00473D70">
        <w:rPr>
          <w:rFonts w:ascii="Arial" w:hAnsi="Arial" w:cs="Arial"/>
          <w:iCs/>
        </w:rPr>
        <w:t>protected are</w:t>
      </w:r>
      <w:r w:rsidR="000B5B84">
        <w:rPr>
          <w:rFonts w:ascii="Arial" w:hAnsi="Arial" w:cs="Arial"/>
          <w:iCs/>
        </w:rPr>
        <w:t xml:space="preserve">a </w:t>
      </w:r>
      <w:r w:rsidR="00473D70" w:rsidRPr="00473D70">
        <w:rPr>
          <w:rFonts w:ascii="Arial" w:hAnsi="Arial" w:cs="Arial"/>
          <w:iCs/>
        </w:rPr>
        <w:t>ensures the unimpeded access of individuals seeking abortion services</w:t>
      </w:r>
      <w:r w:rsidR="004C41C3">
        <w:rPr>
          <w:rFonts w:ascii="Arial" w:hAnsi="Arial" w:cs="Arial"/>
          <w:iCs/>
        </w:rPr>
        <w:t xml:space="preserve"> to the facility </w:t>
      </w:r>
      <w:r w:rsidR="000B5B84">
        <w:rPr>
          <w:rFonts w:ascii="Arial" w:hAnsi="Arial" w:cs="Arial"/>
          <w:iCs/>
        </w:rPr>
        <w:t>and upholds that individual’s right to privacy</w:t>
      </w:r>
      <w:r w:rsidR="00473D70" w:rsidRPr="00473D70">
        <w:rPr>
          <w:rFonts w:ascii="Arial" w:hAnsi="Arial" w:cs="Arial"/>
          <w:iCs/>
        </w:rPr>
        <w:t>.</w:t>
      </w:r>
    </w:p>
    <w:p w14:paraId="17013105" w14:textId="77777777" w:rsidR="00494E56" w:rsidRDefault="2262B3C0" w:rsidP="3C2C6793">
      <w:pPr>
        <w:spacing w:line="283" w:lineRule="auto"/>
        <w:jc w:val="both"/>
        <w:rPr>
          <w:rFonts w:ascii="Arial" w:hAnsi="Arial" w:cs="Arial"/>
        </w:rPr>
      </w:pPr>
      <w:r w:rsidRPr="3C2C6793">
        <w:rPr>
          <w:rFonts w:ascii="Arial" w:hAnsi="Arial" w:cs="Arial"/>
        </w:rPr>
        <w:t>It has been recently identified that on the</w:t>
      </w:r>
      <w:r w:rsidR="00A853A7">
        <w:rPr>
          <w:rFonts w:ascii="Arial" w:hAnsi="Arial" w:cs="Arial"/>
        </w:rPr>
        <w:t xml:space="preserve"> current</w:t>
      </w:r>
      <w:r w:rsidRPr="3C2C6793">
        <w:rPr>
          <w:rFonts w:ascii="Arial" w:hAnsi="Arial" w:cs="Arial"/>
        </w:rPr>
        <w:t xml:space="preserve"> drafting of section 86 of the Health </w:t>
      </w:r>
      <w:proofErr w:type="gramStart"/>
      <w:r w:rsidRPr="3C2C6793">
        <w:rPr>
          <w:rFonts w:ascii="Arial" w:hAnsi="Arial" w:cs="Arial"/>
        </w:rPr>
        <w:t>Act</w:t>
      </w:r>
      <w:r w:rsidR="00A853A7">
        <w:rPr>
          <w:rFonts w:ascii="Arial" w:hAnsi="Arial" w:cs="Arial"/>
        </w:rPr>
        <w:t>,</w:t>
      </w:r>
      <w:proofErr w:type="gramEnd"/>
      <w:r w:rsidR="4B151BB2" w:rsidRPr="3C2C6793">
        <w:rPr>
          <w:rFonts w:ascii="Arial" w:hAnsi="Arial" w:cs="Arial"/>
        </w:rPr>
        <w:t xml:space="preserve"> the Minister must declare a protected area around every medical facility approved to carry out surgical abortions (irrespective of whether </w:t>
      </w:r>
      <w:r w:rsidR="1448E9CA" w:rsidRPr="3C2C6793">
        <w:rPr>
          <w:rFonts w:ascii="Arial" w:hAnsi="Arial" w:cs="Arial"/>
        </w:rPr>
        <w:t>a protected area</w:t>
      </w:r>
      <w:r w:rsidR="4B151BB2" w:rsidRPr="3C2C6793">
        <w:rPr>
          <w:rFonts w:ascii="Arial" w:hAnsi="Arial" w:cs="Arial"/>
        </w:rPr>
        <w:t xml:space="preserve"> was requested by the facility). This does not reflect current practice, where a protected area is only declared upon request from the facility. </w:t>
      </w:r>
    </w:p>
    <w:p w14:paraId="056B9AA3" w14:textId="69CDCB67" w:rsidR="00915D2F" w:rsidRDefault="4B151BB2" w:rsidP="3C2C6793">
      <w:pPr>
        <w:spacing w:line="283" w:lineRule="auto"/>
        <w:jc w:val="both"/>
        <w:rPr>
          <w:rFonts w:ascii="Arial" w:hAnsi="Arial" w:cs="Arial"/>
        </w:rPr>
      </w:pPr>
      <w:r w:rsidRPr="3C2C6793">
        <w:rPr>
          <w:rFonts w:ascii="Arial" w:hAnsi="Arial" w:cs="Arial"/>
        </w:rPr>
        <w:lastRenderedPageBreak/>
        <w:t xml:space="preserve">There are currently five ‘approved medical facilities’, but out of the five facilities, only one of the facilities (Marie Stopes International) </w:t>
      </w:r>
      <w:r w:rsidR="28517AB8" w:rsidRPr="3C2C6793">
        <w:rPr>
          <w:rFonts w:ascii="Arial" w:hAnsi="Arial" w:cs="Arial"/>
        </w:rPr>
        <w:t xml:space="preserve">currently </w:t>
      </w:r>
      <w:r w:rsidRPr="3C2C6793">
        <w:rPr>
          <w:rFonts w:ascii="Arial" w:hAnsi="Arial" w:cs="Arial"/>
        </w:rPr>
        <w:t xml:space="preserve">has a protected area. </w:t>
      </w:r>
    </w:p>
    <w:p w14:paraId="1EBC0F7E" w14:textId="6B2065A5" w:rsidR="00E75549" w:rsidRDefault="00494E56" w:rsidP="00E246CF">
      <w:pPr>
        <w:spacing w:line="283" w:lineRule="auto"/>
        <w:jc w:val="both"/>
        <w:rPr>
          <w:rFonts w:ascii="Arial" w:hAnsi="Arial" w:cs="Arial"/>
          <w:iCs/>
        </w:rPr>
      </w:pPr>
      <w:r>
        <w:rPr>
          <w:rFonts w:ascii="Arial" w:hAnsi="Arial" w:cs="Arial"/>
        </w:rPr>
        <w:t xml:space="preserve">The balance of facilities are all private and public hospitals which are authorised to provide </w:t>
      </w:r>
      <w:r w:rsidR="002903BD">
        <w:rPr>
          <w:rFonts w:ascii="Arial" w:hAnsi="Arial" w:cs="Arial"/>
        </w:rPr>
        <w:t xml:space="preserve">surgical </w:t>
      </w:r>
      <w:r>
        <w:rPr>
          <w:rFonts w:ascii="Arial" w:hAnsi="Arial" w:cs="Arial"/>
        </w:rPr>
        <w:t xml:space="preserve">abortions but only do so as a small part of their broader services. </w:t>
      </w:r>
      <w:r w:rsidR="00E75549">
        <w:rPr>
          <w:rFonts w:ascii="Arial" w:hAnsi="Arial" w:cs="Arial"/>
          <w:iCs/>
        </w:rPr>
        <w:t>For</w:t>
      </w:r>
      <w:r>
        <w:rPr>
          <w:rFonts w:ascii="Arial" w:hAnsi="Arial" w:cs="Arial"/>
          <w:iCs/>
        </w:rPr>
        <w:t xml:space="preserve"> these</w:t>
      </w:r>
      <w:r w:rsidR="00E75549">
        <w:rPr>
          <w:rFonts w:ascii="Arial" w:hAnsi="Arial" w:cs="Arial"/>
          <w:iCs/>
        </w:rPr>
        <w:t xml:space="preserve"> facilities</w:t>
      </w:r>
      <w:r>
        <w:rPr>
          <w:rFonts w:ascii="Arial" w:hAnsi="Arial" w:cs="Arial"/>
          <w:iCs/>
        </w:rPr>
        <w:t xml:space="preserve">, </w:t>
      </w:r>
      <w:r w:rsidR="00E75549">
        <w:rPr>
          <w:rFonts w:ascii="Arial" w:hAnsi="Arial" w:cs="Arial"/>
          <w:iCs/>
        </w:rPr>
        <w:t xml:space="preserve">a protected area is unlikely to be needed. </w:t>
      </w:r>
      <w:r>
        <w:rPr>
          <w:rFonts w:ascii="Arial" w:hAnsi="Arial" w:cs="Arial"/>
          <w:iCs/>
        </w:rPr>
        <w:t>A</w:t>
      </w:r>
      <w:r w:rsidR="00E75549">
        <w:rPr>
          <w:rFonts w:ascii="Arial" w:hAnsi="Arial" w:cs="Arial"/>
          <w:iCs/>
        </w:rPr>
        <w:t xml:space="preserve"> protester seeking to prevent or discourage people accessing abortion services </w:t>
      </w:r>
      <w:r w:rsidR="00E75549" w:rsidRPr="00915D2F">
        <w:rPr>
          <w:rFonts w:ascii="Arial" w:hAnsi="Arial" w:cs="Arial"/>
          <w:iCs/>
        </w:rPr>
        <w:t xml:space="preserve">would not be able </w:t>
      </w:r>
      <w:r w:rsidR="00E75549">
        <w:rPr>
          <w:rFonts w:ascii="Arial" w:hAnsi="Arial" w:cs="Arial"/>
          <w:iCs/>
        </w:rPr>
        <w:t xml:space="preserve">to identify which individuals entering or exiting the hospital are doing so with the purpose of accessing abortion services. </w:t>
      </w:r>
    </w:p>
    <w:p w14:paraId="02232968" w14:textId="167584D3" w:rsidR="00915D2F" w:rsidRDefault="00880DDD" w:rsidP="00E246CF">
      <w:pPr>
        <w:spacing w:line="283" w:lineRule="auto"/>
        <w:jc w:val="both"/>
        <w:rPr>
          <w:rFonts w:ascii="Arial" w:hAnsi="Arial" w:cs="Arial"/>
          <w:iCs/>
        </w:rPr>
      </w:pPr>
      <w:r>
        <w:rPr>
          <w:rFonts w:ascii="Arial" w:hAnsi="Arial" w:cs="Arial"/>
          <w:iCs/>
        </w:rPr>
        <w:t>For such facilities i</w:t>
      </w:r>
      <w:r w:rsidR="00EF4A6E">
        <w:rPr>
          <w:rFonts w:ascii="Arial" w:hAnsi="Arial" w:cs="Arial"/>
          <w:iCs/>
        </w:rPr>
        <w:t>t</w:t>
      </w:r>
      <w:r w:rsidR="00EC3EF0" w:rsidRPr="00EC3EF0">
        <w:rPr>
          <w:rFonts w:ascii="Arial" w:hAnsi="Arial" w:cs="Arial"/>
          <w:iCs/>
        </w:rPr>
        <w:t xml:space="preserve"> </w:t>
      </w:r>
      <w:r w:rsidR="00E246CF">
        <w:rPr>
          <w:rFonts w:ascii="Arial" w:hAnsi="Arial" w:cs="Arial"/>
          <w:iCs/>
        </w:rPr>
        <w:t>would</w:t>
      </w:r>
      <w:r w:rsidR="00EC3EF0" w:rsidRPr="00EC3EF0">
        <w:rPr>
          <w:rFonts w:ascii="Arial" w:hAnsi="Arial" w:cs="Arial"/>
          <w:iCs/>
        </w:rPr>
        <w:t xml:space="preserve"> be problematic to declare a protected area </w:t>
      </w:r>
      <w:r w:rsidR="00EF4A6E">
        <w:rPr>
          <w:rFonts w:ascii="Arial" w:hAnsi="Arial" w:cs="Arial"/>
          <w:iCs/>
        </w:rPr>
        <w:t>without a clear need to do so</w:t>
      </w:r>
      <w:r w:rsidR="00EC3EF0" w:rsidRPr="00EC3EF0">
        <w:rPr>
          <w:rFonts w:ascii="Arial" w:hAnsi="Arial" w:cs="Arial"/>
          <w:iCs/>
        </w:rPr>
        <w:t xml:space="preserve">. The behaviours </w:t>
      </w:r>
      <w:r w:rsidR="00C6255D">
        <w:rPr>
          <w:rFonts w:ascii="Arial" w:hAnsi="Arial" w:cs="Arial"/>
          <w:iCs/>
        </w:rPr>
        <w:t>that</w:t>
      </w:r>
      <w:r w:rsidR="00C6255D" w:rsidRPr="00EC3EF0">
        <w:rPr>
          <w:rFonts w:ascii="Arial" w:hAnsi="Arial" w:cs="Arial"/>
          <w:iCs/>
        </w:rPr>
        <w:t xml:space="preserve"> </w:t>
      </w:r>
      <w:r w:rsidR="00EC3EF0" w:rsidRPr="00EC3EF0">
        <w:rPr>
          <w:rFonts w:ascii="Arial" w:hAnsi="Arial" w:cs="Arial"/>
          <w:iCs/>
        </w:rPr>
        <w:t>are prohibited in a</w:t>
      </w:r>
      <w:r w:rsidR="00EC3EF0">
        <w:rPr>
          <w:rFonts w:ascii="Arial" w:hAnsi="Arial" w:cs="Arial"/>
          <w:iCs/>
        </w:rPr>
        <w:t xml:space="preserve"> </w:t>
      </w:r>
      <w:r w:rsidR="00EC3EF0" w:rsidRPr="00EC3EF0">
        <w:rPr>
          <w:rFonts w:ascii="Arial" w:hAnsi="Arial" w:cs="Arial"/>
          <w:iCs/>
        </w:rPr>
        <w:t>protected area are broadly defined and include protest behaviour which is designed</w:t>
      </w:r>
      <w:r w:rsidR="00EC3EF0">
        <w:rPr>
          <w:rFonts w:ascii="Arial" w:hAnsi="Arial" w:cs="Arial"/>
          <w:iCs/>
        </w:rPr>
        <w:t xml:space="preserve"> </w:t>
      </w:r>
      <w:r w:rsidR="00EC3EF0" w:rsidRPr="00EC3EF0">
        <w:rPr>
          <w:rFonts w:ascii="Arial" w:hAnsi="Arial" w:cs="Arial"/>
          <w:iCs/>
        </w:rPr>
        <w:t>to stop a person entering a facility (without requiring the protest behaviour to be</w:t>
      </w:r>
      <w:r w:rsidR="00EC3EF0">
        <w:rPr>
          <w:rFonts w:ascii="Arial" w:hAnsi="Arial" w:cs="Arial"/>
          <w:iCs/>
        </w:rPr>
        <w:t xml:space="preserve"> </w:t>
      </w:r>
      <w:r w:rsidR="00EC3EF0" w:rsidRPr="00EC3EF0">
        <w:rPr>
          <w:rFonts w:ascii="Arial" w:hAnsi="Arial" w:cs="Arial"/>
          <w:iCs/>
        </w:rPr>
        <w:t xml:space="preserve">linked to abortion services). </w:t>
      </w:r>
      <w:r w:rsidR="00E75549">
        <w:rPr>
          <w:rFonts w:ascii="Arial" w:hAnsi="Arial" w:cs="Arial"/>
          <w:iCs/>
        </w:rPr>
        <w:t>Therefore, f</w:t>
      </w:r>
      <w:r w:rsidR="00EC3EF0" w:rsidRPr="00EC3EF0">
        <w:rPr>
          <w:rFonts w:ascii="Arial" w:hAnsi="Arial" w:cs="Arial"/>
          <w:iCs/>
        </w:rPr>
        <w:t>or those facilities where there is not a clear link</w:t>
      </w:r>
      <w:r w:rsidR="00EC3EF0">
        <w:rPr>
          <w:rFonts w:ascii="Arial" w:hAnsi="Arial" w:cs="Arial"/>
          <w:iCs/>
        </w:rPr>
        <w:t xml:space="preserve"> </w:t>
      </w:r>
      <w:r w:rsidR="00EC3EF0" w:rsidRPr="00EC3EF0">
        <w:rPr>
          <w:rFonts w:ascii="Arial" w:hAnsi="Arial" w:cs="Arial"/>
          <w:iCs/>
        </w:rPr>
        <w:t>between accessing the facility and the provision of abortion services, the effect of a</w:t>
      </w:r>
      <w:r w:rsidR="00EC3EF0">
        <w:rPr>
          <w:rFonts w:ascii="Arial" w:hAnsi="Arial" w:cs="Arial"/>
          <w:iCs/>
        </w:rPr>
        <w:t xml:space="preserve"> </w:t>
      </w:r>
      <w:r w:rsidR="00EC3EF0" w:rsidRPr="00EC3EF0">
        <w:rPr>
          <w:rFonts w:ascii="Arial" w:hAnsi="Arial" w:cs="Arial"/>
          <w:iCs/>
        </w:rPr>
        <w:t>protected area could be broader than intended. In these circumstances a protected</w:t>
      </w:r>
      <w:r w:rsidR="00EC3EF0">
        <w:rPr>
          <w:rFonts w:ascii="Arial" w:hAnsi="Arial" w:cs="Arial"/>
          <w:iCs/>
        </w:rPr>
        <w:t xml:space="preserve"> </w:t>
      </w:r>
      <w:r w:rsidR="00EC3EF0" w:rsidRPr="00EC3EF0">
        <w:rPr>
          <w:rFonts w:ascii="Arial" w:hAnsi="Arial" w:cs="Arial"/>
          <w:iCs/>
        </w:rPr>
        <w:t>area would appear to prohibit any protest behaviour which was intended to stop a</w:t>
      </w:r>
      <w:r w:rsidR="00EC3EF0">
        <w:rPr>
          <w:rFonts w:ascii="Arial" w:hAnsi="Arial" w:cs="Arial"/>
          <w:iCs/>
        </w:rPr>
        <w:t xml:space="preserve"> </w:t>
      </w:r>
      <w:r w:rsidR="00EC3EF0" w:rsidRPr="00EC3EF0">
        <w:rPr>
          <w:rFonts w:ascii="Arial" w:hAnsi="Arial" w:cs="Arial"/>
          <w:iCs/>
        </w:rPr>
        <w:t xml:space="preserve">person entering a facility – </w:t>
      </w:r>
      <w:proofErr w:type="gramStart"/>
      <w:r w:rsidR="00EC3EF0" w:rsidRPr="00EC3EF0">
        <w:rPr>
          <w:rFonts w:ascii="Arial" w:hAnsi="Arial" w:cs="Arial"/>
          <w:iCs/>
        </w:rPr>
        <w:t>whether or not</w:t>
      </w:r>
      <w:proofErr w:type="gramEnd"/>
      <w:r w:rsidR="00EC3EF0" w:rsidRPr="00EC3EF0">
        <w:rPr>
          <w:rFonts w:ascii="Arial" w:hAnsi="Arial" w:cs="Arial"/>
          <w:iCs/>
        </w:rPr>
        <w:t xml:space="preserve"> that protest behaviour was linked to</w:t>
      </w:r>
      <w:r w:rsidR="00EC3EF0">
        <w:rPr>
          <w:rFonts w:ascii="Arial" w:hAnsi="Arial" w:cs="Arial"/>
          <w:iCs/>
        </w:rPr>
        <w:t xml:space="preserve"> </w:t>
      </w:r>
      <w:r w:rsidR="00EC3EF0" w:rsidRPr="00EC3EF0">
        <w:rPr>
          <w:rFonts w:ascii="Arial" w:hAnsi="Arial" w:cs="Arial"/>
          <w:iCs/>
        </w:rPr>
        <w:t>abortion services.</w:t>
      </w:r>
    </w:p>
    <w:p w14:paraId="14D71288" w14:textId="342D8829" w:rsidR="006C39B9" w:rsidRDefault="006C39B9" w:rsidP="00E246CF">
      <w:pPr>
        <w:spacing w:line="283" w:lineRule="auto"/>
        <w:jc w:val="both"/>
        <w:rPr>
          <w:rFonts w:ascii="Arial" w:hAnsi="Arial" w:cs="Arial"/>
          <w:iCs/>
        </w:rPr>
      </w:pPr>
      <w:r w:rsidRPr="006C39B9">
        <w:rPr>
          <w:rFonts w:ascii="Arial" w:hAnsi="Arial" w:cs="Arial"/>
          <w:iCs/>
        </w:rPr>
        <w:t>The proposed amendment would legally clarify the Minister’s obligation, so that the</w:t>
      </w:r>
      <w:r>
        <w:rPr>
          <w:rFonts w:ascii="Arial" w:hAnsi="Arial" w:cs="Arial"/>
          <w:iCs/>
        </w:rPr>
        <w:t xml:space="preserve"> </w:t>
      </w:r>
      <w:r w:rsidRPr="006C39B9">
        <w:rPr>
          <w:rFonts w:ascii="Arial" w:hAnsi="Arial" w:cs="Arial"/>
          <w:iCs/>
        </w:rPr>
        <w:t>Minister</w:t>
      </w:r>
      <w:r w:rsidR="008845E6">
        <w:rPr>
          <w:rFonts w:ascii="Arial" w:hAnsi="Arial" w:cs="Arial"/>
          <w:iCs/>
        </w:rPr>
        <w:t xml:space="preserve">’s obligation to declare </w:t>
      </w:r>
      <w:r w:rsidRPr="006C39B9">
        <w:rPr>
          <w:rFonts w:ascii="Arial" w:hAnsi="Arial" w:cs="Arial"/>
          <w:iCs/>
        </w:rPr>
        <w:t xml:space="preserve">a protected area </w:t>
      </w:r>
      <w:r w:rsidR="008845E6">
        <w:rPr>
          <w:rFonts w:ascii="Arial" w:hAnsi="Arial" w:cs="Arial"/>
          <w:iCs/>
        </w:rPr>
        <w:t xml:space="preserve">is only triggered where there is a request for that protection made by a person responsible for the management of the facility. Where such a request is made, </w:t>
      </w:r>
      <w:r w:rsidR="00EC3EF0">
        <w:rPr>
          <w:rFonts w:ascii="Arial" w:hAnsi="Arial" w:cs="Arial"/>
          <w:iCs/>
        </w:rPr>
        <w:t xml:space="preserve">to ensure that </w:t>
      </w:r>
      <w:r w:rsidR="00E246CF">
        <w:rPr>
          <w:rFonts w:ascii="Arial" w:hAnsi="Arial" w:cs="Arial"/>
          <w:iCs/>
        </w:rPr>
        <w:t>people</w:t>
      </w:r>
      <w:r w:rsidR="00EC3EF0">
        <w:rPr>
          <w:rFonts w:ascii="Arial" w:hAnsi="Arial" w:cs="Arial"/>
          <w:iCs/>
        </w:rPr>
        <w:t xml:space="preserve"> accessing abortion services can continue to do so without interference or harassment, the</w:t>
      </w:r>
      <w:r w:rsidR="008845E6">
        <w:rPr>
          <w:rFonts w:ascii="Arial" w:hAnsi="Arial" w:cs="Arial"/>
          <w:iCs/>
        </w:rPr>
        <w:t xml:space="preserve"> Minister must declare a protected area. </w:t>
      </w:r>
      <w:r>
        <w:rPr>
          <w:rFonts w:ascii="Arial" w:hAnsi="Arial" w:cs="Arial"/>
          <w:iCs/>
        </w:rPr>
        <w:t xml:space="preserve">The proposed amendment will also clarify that </w:t>
      </w:r>
      <w:r w:rsidR="0045789B">
        <w:rPr>
          <w:rFonts w:ascii="Arial" w:hAnsi="Arial" w:cs="Arial"/>
          <w:iCs/>
        </w:rPr>
        <w:t>the</w:t>
      </w:r>
      <w:r>
        <w:rPr>
          <w:rFonts w:ascii="Arial" w:hAnsi="Arial" w:cs="Arial"/>
          <w:iCs/>
        </w:rPr>
        <w:t xml:space="preserve"> Minister </w:t>
      </w:r>
      <w:r w:rsidR="00EC3EF0">
        <w:rPr>
          <w:rFonts w:ascii="Arial" w:hAnsi="Arial" w:cs="Arial"/>
          <w:iCs/>
        </w:rPr>
        <w:t xml:space="preserve">may </w:t>
      </w:r>
      <w:r>
        <w:rPr>
          <w:rFonts w:ascii="Arial" w:hAnsi="Arial" w:cs="Arial"/>
          <w:iCs/>
        </w:rPr>
        <w:t xml:space="preserve">declare a </w:t>
      </w:r>
      <w:r w:rsidR="00D63CF7">
        <w:rPr>
          <w:rFonts w:ascii="Arial" w:hAnsi="Arial" w:cs="Arial"/>
          <w:iCs/>
        </w:rPr>
        <w:t xml:space="preserve">part of a facility </w:t>
      </w:r>
      <w:r w:rsidR="004706D1">
        <w:rPr>
          <w:rFonts w:ascii="Arial" w:hAnsi="Arial" w:cs="Arial"/>
          <w:iCs/>
        </w:rPr>
        <w:t>to be an approved medical facility.</w:t>
      </w:r>
      <w:r w:rsidR="008845E6">
        <w:rPr>
          <w:rFonts w:ascii="Arial" w:hAnsi="Arial" w:cs="Arial"/>
          <w:iCs/>
        </w:rPr>
        <w:t xml:space="preserve"> This will allow the authorisation of an approved medical facility, and its consequential protected area, to be </w:t>
      </w:r>
      <w:r w:rsidR="00E246CF">
        <w:rPr>
          <w:rFonts w:ascii="Arial" w:hAnsi="Arial" w:cs="Arial"/>
          <w:iCs/>
        </w:rPr>
        <w:t xml:space="preserve">able to be </w:t>
      </w:r>
      <w:r w:rsidR="008845E6">
        <w:rPr>
          <w:rFonts w:ascii="Arial" w:hAnsi="Arial" w:cs="Arial"/>
          <w:iCs/>
        </w:rPr>
        <w:t>better targeted for large</w:t>
      </w:r>
      <w:r w:rsidR="00EC3EF0">
        <w:rPr>
          <w:rFonts w:ascii="Arial" w:hAnsi="Arial" w:cs="Arial"/>
          <w:iCs/>
        </w:rPr>
        <w:t xml:space="preserve"> medical</w:t>
      </w:r>
      <w:r w:rsidR="008845E6">
        <w:rPr>
          <w:rFonts w:ascii="Arial" w:hAnsi="Arial" w:cs="Arial"/>
          <w:iCs/>
        </w:rPr>
        <w:t xml:space="preserve"> facilities (such as the Canberra Hospital).</w:t>
      </w:r>
    </w:p>
    <w:p w14:paraId="4A5BE115" w14:textId="77777777" w:rsidR="00940A8E" w:rsidRPr="00E246CF" w:rsidRDefault="00940A8E" w:rsidP="00940A8E">
      <w:pPr>
        <w:spacing w:before="240" w:line="283" w:lineRule="auto"/>
        <w:jc w:val="both"/>
        <w:rPr>
          <w:rFonts w:ascii="Arial" w:hAnsi="Arial" w:cs="Arial"/>
          <w:i/>
        </w:rPr>
      </w:pPr>
      <w:r w:rsidRPr="00E246CF">
        <w:rPr>
          <w:rFonts w:ascii="Arial" w:hAnsi="Arial" w:cs="Arial"/>
          <w:i/>
        </w:rPr>
        <w:t xml:space="preserve">Special Events </w:t>
      </w:r>
      <w:r>
        <w:rPr>
          <w:rFonts w:ascii="Arial" w:hAnsi="Arial" w:cs="Arial"/>
          <w:i/>
        </w:rPr>
        <w:t>Act</w:t>
      </w:r>
    </w:p>
    <w:p w14:paraId="3DFDEC82" w14:textId="66A1682A" w:rsidR="00940A8E" w:rsidRPr="00940A8E" w:rsidRDefault="00940A8E" w:rsidP="00E246CF">
      <w:pPr>
        <w:spacing w:line="283" w:lineRule="auto"/>
        <w:jc w:val="both"/>
        <w:rPr>
          <w:rFonts w:ascii="Arial" w:hAnsi="Arial" w:cs="Arial"/>
          <w:i/>
        </w:rPr>
      </w:pPr>
      <w:r w:rsidRPr="00E246CF">
        <w:rPr>
          <w:rFonts w:ascii="Arial" w:hAnsi="Arial" w:cs="Arial"/>
          <w:iCs/>
        </w:rPr>
        <w:t xml:space="preserve">The amendment to the </w:t>
      </w:r>
      <w:r>
        <w:rPr>
          <w:rFonts w:ascii="Arial" w:hAnsi="Arial" w:cs="Arial"/>
          <w:iCs/>
        </w:rPr>
        <w:t>Special Events Act will correct an out-of-date reference to repealed law. The amendment</w:t>
      </w:r>
      <w:r w:rsidRPr="00E246CF">
        <w:rPr>
          <w:rFonts w:ascii="Arial" w:hAnsi="Arial" w:cs="Arial"/>
          <w:iCs/>
        </w:rPr>
        <w:t xml:space="preserve"> substitutes a reference to the now repealed </w:t>
      </w:r>
      <w:r w:rsidRPr="00E246CF">
        <w:rPr>
          <w:rFonts w:ascii="Arial" w:hAnsi="Arial" w:cs="Arial"/>
          <w:i/>
        </w:rPr>
        <w:t>Skin Penetration Procedures Act 1994</w:t>
      </w:r>
      <w:r w:rsidRPr="00E246CF">
        <w:rPr>
          <w:rFonts w:ascii="Arial" w:hAnsi="Arial" w:cs="Arial"/>
          <w:iCs/>
        </w:rPr>
        <w:t xml:space="preserve"> with a reference to Part 3 of the </w:t>
      </w:r>
      <w:r w:rsidRPr="00E246CF">
        <w:rPr>
          <w:rFonts w:ascii="Arial" w:hAnsi="Arial" w:cs="Arial"/>
          <w:i/>
        </w:rPr>
        <w:t>Public Health Act 1997</w:t>
      </w:r>
      <w:r w:rsidRPr="00E246CF">
        <w:rPr>
          <w:rFonts w:ascii="Arial" w:hAnsi="Arial" w:cs="Arial"/>
          <w:iCs/>
        </w:rPr>
        <w:t xml:space="preserve">, to achieve </w:t>
      </w:r>
      <w:r>
        <w:rPr>
          <w:rFonts w:ascii="Arial" w:hAnsi="Arial" w:cs="Arial"/>
          <w:iCs/>
        </w:rPr>
        <w:t>substantially the same policy intent</w:t>
      </w:r>
      <w:r w:rsidRPr="00E246CF">
        <w:rPr>
          <w:rFonts w:ascii="Arial" w:hAnsi="Arial" w:cs="Arial"/>
          <w:iCs/>
        </w:rPr>
        <w:t>, using legislation that is currently in force.</w:t>
      </w:r>
    </w:p>
    <w:p w14:paraId="2F72C42B" w14:textId="77777777" w:rsidR="00A03B3E" w:rsidRPr="00E246CF" w:rsidRDefault="00A03B3E" w:rsidP="00A03B3E">
      <w:pPr>
        <w:spacing w:line="283" w:lineRule="auto"/>
        <w:jc w:val="both"/>
        <w:rPr>
          <w:rFonts w:ascii="Arial" w:hAnsi="Arial" w:cs="Arial"/>
          <w:i/>
        </w:rPr>
      </w:pPr>
      <w:bookmarkStart w:id="4" w:name="_Hlk201796161"/>
      <w:bookmarkEnd w:id="3"/>
      <w:r w:rsidRPr="00E246CF">
        <w:rPr>
          <w:rFonts w:ascii="Arial" w:hAnsi="Arial" w:cs="Arial"/>
          <w:i/>
        </w:rPr>
        <w:t>Medicines, Poisons and Therapeutic Goods scheme</w:t>
      </w:r>
    </w:p>
    <w:p w14:paraId="60DC8022" w14:textId="77777777" w:rsidR="00A03B3E" w:rsidRDefault="00A03B3E" w:rsidP="00A03B3E">
      <w:pPr>
        <w:spacing w:line="283" w:lineRule="auto"/>
        <w:jc w:val="both"/>
        <w:rPr>
          <w:rFonts w:ascii="Arial" w:hAnsi="Arial" w:cs="Arial"/>
          <w:iCs/>
        </w:rPr>
      </w:pPr>
      <w:r>
        <w:rPr>
          <w:rFonts w:ascii="Arial" w:hAnsi="Arial" w:cs="Arial"/>
          <w:iCs/>
        </w:rPr>
        <w:t xml:space="preserve">The Bill makes various minor </w:t>
      </w:r>
      <w:r w:rsidRPr="00E246CF">
        <w:rPr>
          <w:rFonts w:ascii="Arial" w:hAnsi="Arial" w:cs="Arial"/>
          <w:iCs/>
        </w:rPr>
        <w:t>amendments to the MPTG Act and the MPTG Reg</w:t>
      </w:r>
      <w:r w:rsidRPr="00E246CF">
        <w:rPr>
          <w:rFonts w:ascii="Arial" w:hAnsi="Arial" w:cs="Arial"/>
          <w:i/>
        </w:rPr>
        <w:t xml:space="preserve"> </w:t>
      </w:r>
      <w:r>
        <w:rPr>
          <w:rFonts w:ascii="Arial" w:hAnsi="Arial" w:cs="Arial"/>
          <w:iCs/>
        </w:rPr>
        <w:t xml:space="preserve">intended to correct outdated references and improve the clarity and operation of the laws. </w:t>
      </w:r>
    </w:p>
    <w:p w14:paraId="062C8261" w14:textId="77777777" w:rsidR="00A03B3E" w:rsidRDefault="00A03B3E" w:rsidP="00A03B3E">
      <w:pPr>
        <w:spacing w:line="283" w:lineRule="auto"/>
        <w:jc w:val="both"/>
        <w:rPr>
          <w:rFonts w:ascii="Arial" w:hAnsi="Arial" w:cs="Arial"/>
          <w:iCs/>
        </w:rPr>
      </w:pPr>
      <w:r w:rsidRPr="008A5918">
        <w:rPr>
          <w:rFonts w:ascii="Arial" w:hAnsi="Arial" w:cs="Arial"/>
          <w:iCs/>
        </w:rPr>
        <w:t xml:space="preserve">The amendments set out in the Bill will also ensure that </w:t>
      </w:r>
      <w:bookmarkStart w:id="5" w:name="_Hlk202966979"/>
      <w:r w:rsidRPr="008A5918">
        <w:rPr>
          <w:rFonts w:ascii="Arial" w:hAnsi="Arial" w:cs="Arial"/>
          <w:iCs/>
        </w:rPr>
        <w:t>all hospital facilities operated by the Territory (rather than only the Canberra Hospital)</w:t>
      </w:r>
      <w:bookmarkEnd w:id="5"/>
      <w:r w:rsidRPr="008A5918">
        <w:rPr>
          <w:rFonts w:ascii="Arial" w:hAnsi="Arial" w:cs="Arial"/>
          <w:iCs/>
        </w:rPr>
        <w:t>, are treated as recognised research institutions (see clause 9) under section 20 of the MPTG Act. The Bill will also ensure that appropriately qualified people employed in any hospital operated by the Territory (including North Canberra Hospital, University of Canberra Hospital, and Clare Holland House) have the same scope of authority to deal with medicines under Part 9.4 and Part 9.5 of the MPTG Reg as employees at Canberra Hospital. The current MPTG Reg has differing requirements between Canberra Hospital, and other hospitals operated by the Territory.</w:t>
      </w:r>
    </w:p>
    <w:p w14:paraId="6C7EDAF4" w14:textId="6EB715AB" w:rsidR="00E33C6E" w:rsidRPr="00E246CF" w:rsidRDefault="00F3237D" w:rsidP="00426B1A">
      <w:pPr>
        <w:keepNext/>
        <w:spacing w:line="283" w:lineRule="auto"/>
        <w:jc w:val="both"/>
        <w:rPr>
          <w:rFonts w:ascii="Arial" w:hAnsi="Arial" w:cs="Arial"/>
          <w:iCs/>
        </w:rPr>
      </w:pPr>
      <w:r w:rsidRPr="00E33C6E">
        <w:rPr>
          <w:rFonts w:ascii="Arial" w:hAnsi="Arial" w:cs="Arial"/>
          <w:i/>
        </w:rPr>
        <w:lastRenderedPageBreak/>
        <w:t xml:space="preserve">Definitions relating to the Aged Care Act </w:t>
      </w:r>
      <w:r w:rsidR="00734C30" w:rsidRPr="00426B1A">
        <w:rPr>
          <w:rFonts w:ascii="Arial" w:hAnsi="Arial" w:cs="Arial"/>
          <w:i/>
        </w:rPr>
        <w:t>2024</w:t>
      </w:r>
      <w:r w:rsidRPr="00E33C6E">
        <w:rPr>
          <w:rFonts w:ascii="Arial" w:hAnsi="Arial" w:cs="Arial"/>
          <w:i/>
        </w:rPr>
        <w:t xml:space="preserve"> (Cwlth)</w:t>
      </w:r>
    </w:p>
    <w:p w14:paraId="2F7299DE" w14:textId="00C7272D" w:rsidR="00554B2C" w:rsidRPr="00E246CF" w:rsidRDefault="00554B2C" w:rsidP="00554B2C">
      <w:pPr>
        <w:spacing w:line="283" w:lineRule="auto"/>
        <w:jc w:val="both"/>
        <w:rPr>
          <w:rFonts w:ascii="Arial" w:hAnsi="Arial" w:cs="Arial"/>
          <w:iCs/>
        </w:rPr>
      </w:pPr>
      <w:r w:rsidRPr="00601FAA">
        <w:rPr>
          <w:rFonts w:ascii="Arial" w:hAnsi="Arial" w:cs="Arial"/>
          <w:iCs/>
        </w:rPr>
        <w:t>The Bill makes minor</w:t>
      </w:r>
      <w:r w:rsidRPr="00E246CF">
        <w:rPr>
          <w:rFonts w:ascii="Arial" w:hAnsi="Arial" w:cs="Arial"/>
          <w:iCs/>
        </w:rPr>
        <w:t xml:space="preserve"> amendments to the Voluntary Assisted Dying Act</w:t>
      </w:r>
      <w:r w:rsidRPr="00601FAA">
        <w:rPr>
          <w:rFonts w:ascii="Arial" w:hAnsi="Arial" w:cs="Arial"/>
          <w:iCs/>
        </w:rPr>
        <w:t xml:space="preserve"> </w:t>
      </w:r>
      <w:r w:rsidRPr="00E246CF">
        <w:rPr>
          <w:rFonts w:ascii="Arial" w:hAnsi="Arial" w:cs="Arial"/>
          <w:iCs/>
        </w:rPr>
        <w:t xml:space="preserve">and the </w:t>
      </w:r>
      <w:r w:rsidRPr="00601FAA">
        <w:rPr>
          <w:rFonts w:ascii="Arial" w:hAnsi="Arial" w:cs="Arial"/>
          <w:iCs/>
        </w:rPr>
        <w:t>M</w:t>
      </w:r>
      <w:r>
        <w:rPr>
          <w:rFonts w:ascii="Arial" w:hAnsi="Arial" w:cs="Arial"/>
          <w:iCs/>
        </w:rPr>
        <w:t>PTG</w:t>
      </w:r>
      <w:r w:rsidRPr="00E246CF">
        <w:rPr>
          <w:rFonts w:ascii="Arial" w:hAnsi="Arial" w:cs="Arial"/>
          <w:iCs/>
        </w:rPr>
        <w:t xml:space="preserve"> </w:t>
      </w:r>
      <w:r w:rsidRPr="00601FAA">
        <w:rPr>
          <w:rFonts w:ascii="Arial" w:hAnsi="Arial" w:cs="Arial"/>
          <w:iCs/>
        </w:rPr>
        <w:t xml:space="preserve">Act </w:t>
      </w:r>
      <w:r w:rsidRPr="00E246CF">
        <w:rPr>
          <w:rFonts w:ascii="Arial" w:hAnsi="Arial" w:cs="Arial"/>
          <w:iCs/>
        </w:rPr>
        <w:t>w</w:t>
      </w:r>
      <w:r w:rsidRPr="00601FAA">
        <w:rPr>
          <w:rFonts w:ascii="Arial" w:hAnsi="Arial" w:cs="Arial"/>
          <w:iCs/>
        </w:rPr>
        <w:t>hich</w:t>
      </w:r>
      <w:r>
        <w:rPr>
          <w:rFonts w:ascii="Arial" w:hAnsi="Arial" w:cs="Arial"/>
          <w:iCs/>
        </w:rPr>
        <w:t xml:space="preserve"> update definitions in those Acts to align with</w:t>
      </w:r>
      <w:r w:rsidRPr="00E246CF">
        <w:rPr>
          <w:rFonts w:ascii="Arial" w:hAnsi="Arial" w:cs="Arial"/>
          <w:iCs/>
        </w:rPr>
        <w:t xml:space="preserve"> the introduction of the Commonwealth’s </w:t>
      </w:r>
      <w:r w:rsidRPr="00E246CF">
        <w:rPr>
          <w:rFonts w:ascii="Arial" w:hAnsi="Arial" w:cs="Arial"/>
          <w:i/>
        </w:rPr>
        <w:t>Aged Care Act 2024</w:t>
      </w:r>
      <w:r w:rsidRPr="00E246CF">
        <w:rPr>
          <w:rFonts w:ascii="Arial" w:hAnsi="Arial" w:cs="Arial"/>
          <w:iCs/>
        </w:rPr>
        <w:t>.</w:t>
      </w:r>
      <w:r>
        <w:rPr>
          <w:rFonts w:ascii="Arial" w:hAnsi="Arial" w:cs="Arial"/>
          <w:iCs/>
        </w:rPr>
        <w:t xml:space="preserve"> Current d</w:t>
      </w:r>
      <w:r w:rsidRPr="00E246CF">
        <w:rPr>
          <w:rFonts w:ascii="Arial" w:hAnsi="Arial" w:cs="Arial"/>
          <w:iCs/>
        </w:rPr>
        <w:t xml:space="preserve">efinitions </w:t>
      </w:r>
      <w:r w:rsidRPr="00F355A5">
        <w:rPr>
          <w:rFonts w:ascii="Arial" w:hAnsi="Arial" w:cs="Arial"/>
          <w:iCs/>
        </w:rPr>
        <w:t xml:space="preserve">of ‘residential aged care facility’, ‘facility’, ‘resident’, and ‘residential care’ </w:t>
      </w:r>
      <w:r w:rsidRPr="00E246CF">
        <w:rPr>
          <w:rFonts w:ascii="Arial" w:hAnsi="Arial" w:cs="Arial"/>
          <w:iCs/>
        </w:rPr>
        <w:t xml:space="preserve">in the </w:t>
      </w:r>
      <w:r>
        <w:rPr>
          <w:rFonts w:ascii="Arial" w:hAnsi="Arial" w:cs="Arial"/>
          <w:iCs/>
        </w:rPr>
        <w:t>Voluntary Assisted Dying Act and the MPTG Act</w:t>
      </w:r>
      <w:r w:rsidRPr="00E246CF">
        <w:rPr>
          <w:rFonts w:ascii="Arial" w:hAnsi="Arial" w:cs="Arial"/>
          <w:iCs/>
        </w:rPr>
        <w:t xml:space="preserve"> were </w:t>
      </w:r>
      <w:r>
        <w:rPr>
          <w:rFonts w:ascii="Arial" w:hAnsi="Arial" w:cs="Arial"/>
          <w:iCs/>
        </w:rPr>
        <w:t>tied to</w:t>
      </w:r>
      <w:r w:rsidRPr="00E246CF">
        <w:rPr>
          <w:rFonts w:ascii="Arial" w:hAnsi="Arial" w:cs="Arial"/>
          <w:iCs/>
        </w:rPr>
        <w:t xml:space="preserve"> </w:t>
      </w:r>
      <w:r>
        <w:rPr>
          <w:rFonts w:ascii="Arial" w:hAnsi="Arial" w:cs="Arial"/>
          <w:iCs/>
        </w:rPr>
        <w:t xml:space="preserve">definitions in </w:t>
      </w:r>
      <w:r w:rsidRPr="00E246CF">
        <w:rPr>
          <w:rFonts w:ascii="Arial" w:hAnsi="Arial" w:cs="Arial"/>
          <w:iCs/>
        </w:rPr>
        <w:t xml:space="preserve">the Commonwealth’s </w:t>
      </w:r>
      <w:r w:rsidRPr="00E246CF">
        <w:rPr>
          <w:rFonts w:ascii="Arial" w:hAnsi="Arial" w:cs="Arial"/>
          <w:i/>
        </w:rPr>
        <w:t>Aged Care Act 1997</w:t>
      </w:r>
      <w:r w:rsidRPr="00E246CF">
        <w:rPr>
          <w:rFonts w:ascii="Arial" w:hAnsi="Arial" w:cs="Arial"/>
          <w:iCs/>
        </w:rPr>
        <w:t xml:space="preserve">. References to </w:t>
      </w:r>
      <w:r>
        <w:rPr>
          <w:rFonts w:ascii="Arial" w:hAnsi="Arial" w:cs="Arial"/>
          <w:iCs/>
        </w:rPr>
        <w:t xml:space="preserve">defined terms in the old Commonwealth </w:t>
      </w:r>
      <w:r w:rsidRPr="00E246CF">
        <w:rPr>
          <w:rFonts w:ascii="Arial" w:hAnsi="Arial" w:cs="Arial"/>
          <w:i/>
        </w:rPr>
        <w:t>Aged Care Act 1997</w:t>
      </w:r>
      <w:r>
        <w:rPr>
          <w:rFonts w:ascii="Arial" w:hAnsi="Arial" w:cs="Arial"/>
          <w:i/>
        </w:rPr>
        <w:t xml:space="preserve"> </w:t>
      </w:r>
      <w:r w:rsidRPr="00E246CF">
        <w:rPr>
          <w:rFonts w:ascii="Arial" w:hAnsi="Arial" w:cs="Arial"/>
          <w:iCs/>
        </w:rPr>
        <w:t xml:space="preserve">have been replaced with wording aligned with the new Commonwealth </w:t>
      </w:r>
      <w:r w:rsidRPr="00E246CF">
        <w:rPr>
          <w:rFonts w:ascii="Arial" w:hAnsi="Arial" w:cs="Arial"/>
          <w:i/>
        </w:rPr>
        <w:t>Aged Care Act 2024</w:t>
      </w:r>
      <w:r w:rsidRPr="00E246CF">
        <w:rPr>
          <w:rFonts w:ascii="Arial" w:hAnsi="Arial" w:cs="Arial"/>
          <w:iCs/>
        </w:rPr>
        <w:t>.</w:t>
      </w:r>
    </w:p>
    <w:p w14:paraId="25E25807" w14:textId="488FEB88" w:rsidR="00F60018" w:rsidRPr="00E246CF" w:rsidRDefault="00F60018" w:rsidP="00E246CF">
      <w:pPr>
        <w:keepNext/>
        <w:spacing w:line="283" w:lineRule="auto"/>
        <w:jc w:val="both"/>
        <w:rPr>
          <w:rFonts w:ascii="Arial" w:hAnsi="Arial" w:cs="Arial"/>
          <w:i/>
        </w:rPr>
      </w:pPr>
      <w:r w:rsidRPr="00E246CF">
        <w:rPr>
          <w:rFonts w:ascii="Arial" w:hAnsi="Arial" w:cs="Arial"/>
          <w:i/>
        </w:rPr>
        <w:t xml:space="preserve">Voluntary Assisted Dying Act </w:t>
      </w:r>
    </w:p>
    <w:bookmarkEnd w:id="4"/>
    <w:p w14:paraId="792A2AA9" w14:textId="7336AC1B" w:rsidR="00F60018" w:rsidRPr="00E246CF" w:rsidRDefault="008845E6" w:rsidP="00E246CF">
      <w:pPr>
        <w:spacing w:before="240" w:line="283" w:lineRule="auto"/>
        <w:jc w:val="both"/>
        <w:rPr>
          <w:rFonts w:ascii="Arial" w:hAnsi="Arial" w:cs="Arial"/>
          <w:iCs/>
        </w:rPr>
      </w:pPr>
      <w:r w:rsidRPr="0052297C">
        <w:rPr>
          <w:rFonts w:ascii="Arial" w:hAnsi="Arial" w:cs="Arial"/>
          <w:iCs/>
        </w:rPr>
        <w:t>The proposed a</w:t>
      </w:r>
      <w:r w:rsidR="00F60018" w:rsidRPr="00E246CF">
        <w:rPr>
          <w:rFonts w:ascii="Arial" w:hAnsi="Arial" w:cs="Arial"/>
          <w:iCs/>
        </w:rPr>
        <w:t>mendment</w:t>
      </w:r>
      <w:r w:rsidR="00F963B5" w:rsidRPr="00E246CF">
        <w:rPr>
          <w:rFonts w:ascii="Arial" w:hAnsi="Arial" w:cs="Arial"/>
          <w:iCs/>
        </w:rPr>
        <w:t>s</w:t>
      </w:r>
      <w:r w:rsidR="00F60018" w:rsidRPr="00E246CF">
        <w:rPr>
          <w:rFonts w:ascii="Arial" w:hAnsi="Arial" w:cs="Arial"/>
          <w:iCs/>
        </w:rPr>
        <w:t xml:space="preserve"> to the Voluntary Assisted Dying Act</w:t>
      </w:r>
      <w:r w:rsidRPr="0052297C">
        <w:rPr>
          <w:rFonts w:ascii="Arial" w:hAnsi="Arial" w:cs="Arial"/>
          <w:iCs/>
        </w:rPr>
        <w:t xml:space="preserve"> make technical corrections to improve the clarity of the drafting of some provisions and </w:t>
      </w:r>
      <w:r w:rsidR="00916283" w:rsidRPr="00E246CF">
        <w:rPr>
          <w:rFonts w:ascii="Arial" w:hAnsi="Arial" w:cs="Arial"/>
          <w:iCs/>
        </w:rPr>
        <w:t>enhance</w:t>
      </w:r>
      <w:r w:rsidRPr="0052297C">
        <w:rPr>
          <w:rFonts w:ascii="Arial" w:hAnsi="Arial" w:cs="Arial"/>
          <w:iCs/>
        </w:rPr>
        <w:t xml:space="preserve"> consistency between the provisions. </w:t>
      </w:r>
      <w:r w:rsidR="00985D70" w:rsidRPr="0052297C">
        <w:rPr>
          <w:rFonts w:ascii="Arial" w:hAnsi="Arial" w:cs="Arial"/>
          <w:iCs/>
        </w:rPr>
        <w:t xml:space="preserve">These amendments </w:t>
      </w:r>
      <w:r w:rsidR="0052297C" w:rsidRPr="0052297C">
        <w:rPr>
          <w:rFonts w:ascii="Arial" w:hAnsi="Arial" w:cs="Arial"/>
          <w:iCs/>
        </w:rPr>
        <w:t xml:space="preserve">proposed by the Bill </w:t>
      </w:r>
      <w:r w:rsidR="00985D70" w:rsidRPr="0052297C">
        <w:rPr>
          <w:rFonts w:ascii="Arial" w:hAnsi="Arial" w:cs="Arial"/>
          <w:iCs/>
        </w:rPr>
        <w:t>are as follows:</w:t>
      </w:r>
    </w:p>
    <w:p w14:paraId="04C01758" w14:textId="137581F2" w:rsidR="00916283" w:rsidRPr="00E246CF" w:rsidRDefault="00BD6AC4" w:rsidP="009B6016">
      <w:pPr>
        <w:pStyle w:val="ListParagraph"/>
        <w:numPr>
          <w:ilvl w:val="1"/>
          <w:numId w:val="6"/>
        </w:numPr>
        <w:spacing w:before="240" w:line="283" w:lineRule="auto"/>
        <w:ind w:left="714" w:hanging="357"/>
        <w:jc w:val="both"/>
        <w:rPr>
          <w:rFonts w:ascii="Arial" w:hAnsi="Arial" w:cs="Arial"/>
        </w:rPr>
      </w:pPr>
      <w:r>
        <w:rPr>
          <w:rFonts w:ascii="Arial" w:hAnsi="Arial" w:cs="Arial"/>
          <w:iCs/>
        </w:rPr>
        <w:t xml:space="preserve">Section 36 relates to the preparation and notification of a final assessment report by the co-ordinating practitioner. </w:t>
      </w:r>
      <w:r w:rsidR="00916283" w:rsidRPr="00E246CF">
        <w:rPr>
          <w:rFonts w:ascii="Arial" w:hAnsi="Arial" w:cs="Arial"/>
        </w:rPr>
        <w:t xml:space="preserve">Under section 36(2), the coordinating practitioner is only required to prepare a final assessment report and give the report to the board if they decide the individual meets the final assessment requirements. </w:t>
      </w:r>
      <w:r w:rsidR="00985D70" w:rsidRPr="00E246CF">
        <w:rPr>
          <w:rFonts w:ascii="Arial" w:hAnsi="Arial" w:cs="Arial"/>
        </w:rPr>
        <w:t xml:space="preserve">This is inconsistent with reporting obligations for the first assessment report (see section </w:t>
      </w:r>
      <w:r w:rsidR="0052297C">
        <w:rPr>
          <w:rFonts w:ascii="Arial" w:hAnsi="Arial" w:cs="Arial"/>
        </w:rPr>
        <w:t>18)</w:t>
      </w:r>
      <w:r w:rsidR="00985D70" w:rsidRPr="00E246CF">
        <w:rPr>
          <w:rFonts w:ascii="Arial" w:hAnsi="Arial" w:cs="Arial"/>
        </w:rPr>
        <w:t>, and the consulting assessment report</w:t>
      </w:r>
      <w:r w:rsidR="0052297C">
        <w:rPr>
          <w:rFonts w:ascii="Arial" w:hAnsi="Arial" w:cs="Arial"/>
        </w:rPr>
        <w:t xml:space="preserve"> (see section 25)</w:t>
      </w:r>
      <w:r w:rsidR="00985D70" w:rsidRPr="00E246CF">
        <w:rPr>
          <w:rFonts w:ascii="Arial" w:hAnsi="Arial" w:cs="Arial"/>
        </w:rPr>
        <w:t xml:space="preserve">. </w:t>
      </w:r>
      <w:r w:rsidR="005A6794">
        <w:rPr>
          <w:rFonts w:ascii="Arial" w:hAnsi="Arial" w:cs="Arial"/>
        </w:rPr>
        <w:t xml:space="preserve">This is also inconsistent with the policy intent </w:t>
      </w:r>
      <w:r w:rsidR="005A6794" w:rsidRPr="00E33C6E">
        <w:rPr>
          <w:rFonts w:ascii="Arial" w:hAnsi="Arial" w:cs="Arial"/>
        </w:rPr>
        <w:t xml:space="preserve">for </w:t>
      </w:r>
      <w:r w:rsidR="00E33C6E" w:rsidRPr="00426B1A">
        <w:rPr>
          <w:rFonts w:ascii="Arial" w:hAnsi="Arial" w:cs="Arial"/>
        </w:rPr>
        <w:t>section</w:t>
      </w:r>
      <w:r w:rsidR="00E33C6E" w:rsidRPr="00E33C6E">
        <w:rPr>
          <w:rFonts w:ascii="Arial" w:hAnsi="Arial" w:cs="Arial"/>
        </w:rPr>
        <w:t xml:space="preserve"> </w:t>
      </w:r>
      <w:r w:rsidR="005A6794" w:rsidRPr="00E33C6E">
        <w:rPr>
          <w:rFonts w:ascii="Arial" w:hAnsi="Arial" w:cs="Arial"/>
        </w:rPr>
        <w:t>36</w:t>
      </w:r>
      <w:r w:rsidR="005A6794">
        <w:rPr>
          <w:rFonts w:ascii="Arial" w:hAnsi="Arial" w:cs="Arial"/>
        </w:rPr>
        <w:t xml:space="preserve"> set out in the</w:t>
      </w:r>
      <w:r w:rsidR="00E33C6E">
        <w:rPr>
          <w:rFonts w:ascii="Arial" w:hAnsi="Arial" w:cs="Arial"/>
        </w:rPr>
        <w:t xml:space="preserve"> original</w:t>
      </w:r>
      <w:r w:rsidR="005A6794">
        <w:rPr>
          <w:rFonts w:ascii="Arial" w:hAnsi="Arial" w:cs="Arial"/>
        </w:rPr>
        <w:t xml:space="preserve"> explanatory statement</w:t>
      </w:r>
      <w:r w:rsidR="009B6016">
        <w:rPr>
          <w:rFonts w:ascii="Arial" w:hAnsi="Arial" w:cs="Arial"/>
        </w:rPr>
        <w:t>, which contemplates that a final assessment report will be completed after every final assessment</w:t>
      </w:r>
      <w:r w:rsidR="005A6794">
        <w:rPr>
          <w:rFonts w:ascii="Arial" w:hAnsi="Arial" w:cs="Arial"/>
        </w:rPr>
        <w:t xml:space="preserve">. </w:t>
      </w:r>
      <w:r w:rsidR="0052297C">
        <w:rPr>
          <w:rFonts w:ascii="Arial" w:hAnsi="Arial" w:cs="Arial"/>
        </w:rPr>
        <w:t>T</w:t>
      </w:r>
      <w:r w:rsidR="00985D70" w:rsidRPr="00E246CF">
        <w:rPr>
          <w:rFonts w:ascii="Arial" w:hAnsi="Arial" w:cs="Arial"/>
        </w:rPr>
        <w:t xml:space="preserve">he Bill will </w:t>
      </w:r>
      <w:r w:rsidR="0052297C">
        <w:rPr>
          <w:rFonts w:ascii="Arial" w:hAnsi="Arial" w:cs="Arial"/>
        </w:rPr>
        <w:t xml:space="preserve">address this inconsistency and </w:t>
      </w:r>
      <w:r w:rsidR="00985D70" w:rsidRPr="00E246CF">
        <w:rPr>
          <w:rFonts w:ascii="Arial" w:hAnsi="Arial" w:cs="Arial"/>
        </w:rPr>
        <w:t>amend this reporting obligation so that</w:t>
      </w:r>
      <w:r w:rsidR="00916283" w:rsidRPr="00E246CF">
        <w:rPr>
          <w:rFonts w:ascii="Arial" w:hAnsi="Arial" w:cs="Arial"/>
        </w:rPr>
        <w:t xml:space="preserve"> a final assessment report is required to be prepared after the coordinating practitioner makes their decision on the final assessment (irrespective of the outcome of the </w:t>
      </w:r>
      <w:r w:rsidR="00EF4510">
        <w:rPr>
          <w:rFonts w:ascii="Arial" w:hAnsi="Arial" w:cs="Arial"/>
        </w:rPr>
        <w:t xml:space="preserve">decision and </w:t>
      </w:r>
      <w:proofErr w:type="gramStart"/>
      <w:r w:rsidR="00EF4510" w:rsidRPr="00EF4510">
        <w:rPr>
          <w:rFonts w:ascii="Arial" w:hAnsi="Arial" w:cs="Arial"/>
        </w:rPr>
        <w:t>whether or not</w:t>
      </w:r>
      <w:proofErr w:type="gramEnd"/>
      <w:r w:rsidR="00EF4510" w:rsidRPr="00EF4510">
        <w:rPr>
          <w:rFonts w:ascii="Arial" w:hAnsi="Arial" w:cs="Arial"/>
        </w:rPr>
        <w:t xml:space="preserve"> the individual meets the final assessment requirements</w:t>
      </w:r>
      <w:r w:rsidR="00916283" w:rsidRPr="00E246CF">
        <w:rPr>
          <w:rFonts w:ascii="Arial" w:hAnsi="Arial" w:cs="Arial"/>
        </w:rPr>
        <w:t xml:space="preserve">).   </w:t>
      </w:r>
    </w:p>
    <w:p w14:paraId="529C77C8" w14:textId="716C319C" w:rsidR="00985D70" w:rsidRDefault="00BD6AC4" w:rsidP="009B6016">
      <w:pPr>
        <w:pStyle w:val="ListParagraph"/>
        <w:numPr>
          <w:ilvl w:val="1"/>
          <w:numId w:val="6"/>
        </w:numPr>
        <w:spacing w:before="240" w:line="283" w:lineRule="auto"/>
        <w:ind w:left="714" w:hanging="357"/>
        <w:jc w:val="both"/>
        <w:rPr>
          <w:rFonts w:ascii="Arial" w:hAnsi="Arial" w:cs="Arial"/>
        </w:rPr>
      </w:pPr>
      <w:r>
        <w:rPr>
          <w:rFonts w:ascii="Arial" w:hAnsi="Arial" w:cs="Arial"/>
        </w:rPr>
        <w:t xml:space="preserve">Section 38 relates to transfer of coordinating practitioner functions and section 47 relates to the transfer of administering practitioner functions. </w:t>
      </w:r>
      <w:r w:rsidR="00985D70" w:rsidRPr="0052297C">
        <w:rPr>
          <w:rFonts w:ascii="Arial" w:hAnsi="Arial" w:cs="Arial"/>
        </w:rPr>
        <w:t xml:space="preserve">Sections 38 and </w:t>
      </w:r>
      <w:r w:rsidR="0052297C" w:rsidRPr="0052297C">
        <w:rPr>
          <w:rFonts w:ascii="Arial" w:hAnsi="Arial" w:cs="Arial"/>
        </w:rPr>
        <w:t>47 will be amended</w:t>
      </w:r>
      <w:r w:rsidR="00E246CF">
        <w:rPr>
          <w:rFonts w:ascii="Arial" w:hAnsi="Arial" w:cs="Arial"/>
        </w:rPr>
        <w:t xml:space="preserve"> </w:t>
      </w:r>
      <w:r w:rsidR="0052297C" w:rsidRPr="0052297C">
        <w:rPr>
          <w:rFonts w:ascii="Arial" w:hAnsi="Arial" w:cs="Arial"/>
        </w:rPr>
        <w:t>t</w:t>
      </w:r>
      <w:r w:rsidR="00985D70" w:rsidRPr="0052297C">
        <w:rPr>
          <w:rFonts w:ascii="Arial" w:hAnsi="Arial" w:cs="Arial"/>
        </w:rPr>
        <w:t xml:space="preserve">o require the new practitioner to record </w:t>
      </w:r>
      <w:r>
        <w:rPr>
          <w:rFonts w:ascii="Arial" w:hAnsi="Arial" w:cs="Arial"/>
        </w:rPr>
        <w:t xml:space="preserve">their acceptance of their functions </w:t>
      </w:r>
      <w:r w:rsidR="00985D70" w:rsidRPr="0052297C">
        <w:rPr>
          <w:rFonts w:ascii="Arial" w:hAnsi="Arial" w:cs="Arial"/>
        </w:rPr>
        <w:t xml:space="preserve">in </w:t>
      </w:r>
      <w:r>
        <w:rPr>
          <w:rFonts w:ascii="Arial" w:hAnsi="Arial" w:cs="Arial"/>
        </w:rPr>
        <w:t>the</w:t>
      </w:r>
      <w:r w:rsidR="00985D70" w:rsidRPr="0052297C">
        <w:rPr>
          <w:rFonts w:ascii="Arial" w:hAnsi="Arial" w:cs="Arial"/>
        </w:rPr>
        <w:t xml:space="preserve"> individual’s health record</w:t>
      </w:r>
      <w:r>
        <w:rPr>
          <w:rFonts w:ascii="Arial" w:hAnsi="Arial" w:cs="Arial"/>
        </w:rPr>
        <w:t xml:space="preserve">. This amendment will </w:t>
      </w:r>
      <w:r w:rsidR="0052297C">
        <w:rPr>
          <w:rFonts w:ascii="Arial" w:hAnsi="Arial" w:cs="Arial"/>
        </w:rPr>
        <w:t xml:space="preserve">promote consistency with </w:t>
      </w:r>
      <w:r w:rsidR="00985D70" w:rsidRPr="0052297C">
        <w:rPr>
          <w:rFonts w:ascii="Arial" w:hAnsi="Arial" w:cs="Arial"/>
        </w:rPr>
        <w:t>other comparable sections</w:t>
      </w:r>
      <w:r>
        <w:rPr>
          <w:rFonts w:ascii="Arial" w:hAnsi="Arial" w:cs="Arial"/>
        </w:rPr>
        <w:t xml:space="preserve">, </w:t>
      </w:r>
      <w:r w:rsidR="00985D70" w:rsidRPr="0052297C">
        <w:rPr>
          <w:rFonts w:ascii="Arial" w:hAnsi="Arial" w:cs="Arial"/>
        </w:rPr>
        <w:t>such as section</w:t>
      </w:r>
      <w:r w:rsidR="0052297C">
        <w:rPr>
          <w:rFonts w:ascii="Arial" w:hAnsi="Arial" w:cs="Arial"/>
        </w:rPr>
        <w:t>s 15, 21 and</w:t>
      </w:r>
      <w:r w:rsidR="00985D70" w:rsidRPr="0052297C">
        <w:rPr>
          <w:rFonts w:ascii="Arial" w:hAnsi="Arial" w:cs="Arial"/>
        </w:rPr>
        <w:t xml:space="preserve"> 37</w:t>
      </w:r>
      <w:r w:rsidR="0052297C">
        <w:rPr>
          <w:rFonts w:ascii="Arial" w:hAnsi="Arial" w:cs="Arial"/>
        </w:rPr>
        <w:t xml:space="preserve">, which each require </w:t>
      </w:r>
      <w:r>
        <w:rPr>
          <w:rFonts w:ascii="Arial" w:hAnsi="Arial" w:cs="Arial"/>
        </w:rPr>
        <w:t>the acceptance of key roles in</w:t>
      </w:r>
      <w:r w:rsidR="0052297C">
        <w:rPr>
          <w:rFonts w:ascii="Arial" w:hAnsi="Arial" w:cs="Arial"/>
        </w:rPr>
        <w:t xml:space="preserve"> the voluntary assisted dying process to be recorded in the individual’s health record</w:t>
      </w:r>
      <w:r w:rsidR="00985D70" w:rsidRPr="0052297C">
        <w:rPr>
          <w:rFonts w:ascii="Arial" w:hAnsi="Arial" w:cs="Arial"/>
        </w:rPr>
        <w:t>.</w:t>
      </w:r>
    </w:p>
    <w:p w14:paraId="3CB9754E" w14:textId="50A173F3" w:rsidR="00D20207" w:rsidRPr="0052297C" w:rsidRDefault="00D20207" w:rsidP="009B6016">
      <w:pPr>
        <w:pStyle w:val="ListParagraph"/>
        <w:numPr>
          <w:ilvl w:val="1"/>
          <w:numId w:val="6"/>
        </w:numPr>
        <w:spacing w:before="240" w:line="283" w:lineRule="auto"/>
        <w:ind w:left="714" w:hanging="357"/>
        <w:jc w:val="both"/>
        <w:rPr>
          <w:rFonts w:ascii="Arial" w:hAnsi="Arial" w:cs="Arial"/>
        </w:rPr>
      </w:pPr>
      <w:r>
        <w:rPr>
          <w:rFonts w:ascii="Arial" w:hAnsi="Arial" w:cs="Arial"/>
        </w:rPr>
        <w:t xml:space="preserve">Section 41 relates to the application of Division 4.1 of the Voluntary Assisted Dying Act. The updated wording of section 41 is a consequential amendment based on the changes made to section 36, </w:t>
      </w:r>
      <w:r w:rsidR="00A570BA">
        <w:rPr>
          <w:rFonts w:ascii="Arial" w:hAnsi="Arial" w:cs="Arial"/>
        </w:rPr>
        <w:t>to ensure</w:t>
      </w:r>
      <w:r>
        <w:rPr>
          <w:rFonts w:ascii="Arial" w:hAnsi="Arial" w:cs="Arial"/>
        </w:rPr>
        <w:t xml:space="preserve"> that the intended application of section 41 remains the same</w:t>
      </w:r>
      <w:r w:rsidR="00AA349A">
        <w:rPr>
          <w:rFonts w:ascii="Arial" w:hAnsi="Arial" w:cs="Arial"/>
        </w:rPr>
        <w:t xml:space="preserve"> (that is, Division</w:t>
      </w:r>
      <w:r w:rsidR="00A570BA">
        <w:rPr>
          <w:rFonts w:ascii="Arial" w:hAnsi="Arial" w:cs="Arial"/>
        </w:rPr>
        <w:t xml:space="preserve"> 4.1</w:t>
      </w:r>
      <w:r w:rsidR="00AA349A">
        <w:rPr>
          <w:rFonts w:ascii="Arial" w:hAnsi="Arial" w:cs="Arial"/>
        </w:rPr>
        <w:t xml:space="preserve"> only applies where</w:t>
      </w:r>
      <w:r w:rsidR="00AA349A" w:rsidRPr="00AA349A">
        <w:rPr>
          <w:rFonts w:ascii="Arial" w:hAnsi="Arial" w:cs="Arial"/>
        </w:rPr>
        <w:t xml:space="preserve"> an individual’s coordinating practitioner has</w:t>
      </w:r>
      <w:r w:rsidR="00AA349A">
        <w:rPr>
          <w:rFonts w:ascii="Arial" w:hAnsi="Arial" w:cs="Arial"/>
        </w:rPr>
        <w:t xml:space="preserve"> </w:t>
      </w:r>
      <w:r w:rsidR="00AA349A" w:rsidRPr="00AA349A">
        <w:rPr>
          <w:rFonts w:ascii="Arial" w:hAnsi="Arial" w:cs="Arial"/>
        </w:rPr>
        <w:t>decided that the individual meets the final assessment requirements</w:t>
      </w:r>
      <w:r w:rsidR="00A570BA">
        <w:rPr>
          <w:rFonts w:ascii="Arial" w:hAnsi="Arial" w:cs="Arial"/>
        </w:rPr>
        <w:t xml:space="preserve"> and has prepared a final assessment report</w:t>
      </w:r>
      <w:r w:rsidR="00AA349A">
        <w:rPr>
          <w:rFonts w:ascii="Arial" w:hAnsi="Arial" w:cs="Arial"/>
        </w:rPr>
        <w:t>)</w:t>
      </w:r>
      <w:r>
        <w:rPr>
          <w:rFonts w:ascii="Arial" w:hAnsi="Arial" w:cs="Arial"/>
        </w:rPr>
        <w:t>.</w:t>
      </w:r>
    </w:p>
    <w:p w14:paraId="6B6C3FFA" w14:textId="3C7DF511" w:rsidR="00985D70" w:rsidRPr="0052297C" w:rsidRDefault="00985D70" w:rsidP="00E246CF">
      <w:pPr>
        <w:pStyle w:val="ListParagraph"/>
        <w:numPr>
          <w:ilvl w:val="0"/>
          <w:numId w:val="6"/>
        </w:numPr>
        <w:spacing w:before="240" w:line="283" w:lineRule="auto"/>
        <w:ind w:left="714" w:hanging="357"/>
        <w:jc w:val="both"/>
        <w:rPr>
          <w:rFonts w:ascii="Arial" w:hAnsi="Arial" w:cs="Arial"/>
        </w:rPr>
      </w:pPr>
      <w:r w:rsidRPr="0052297C">
        <w:rPr>
          <w:rFonts w:ascii="Arial" w:hAnsi="Arial" w:cs="Arial"/>
        </w:rPr>
        <w:t>Section 67</w:t>
      </w:r>
      <w:r w:rsidR="0052297C">
        <w:rPr>
          <w:rFonts w:ascii="Arial" w:hAnsi="Arial" w:cs="Arial"/>
        </w:rPr>
        <w:t xml:space="preserve"> relat</w:t>
      </w:r>
      <w:r w:rsidR="002B3C43">
        <w:rPr>
          <w:rFonts w:ascii="Arial" w:hAnsi="Arial" w:cs="Arial"/>
        </w:rPr>
        <w:t xml:space="preserve">es to authority for the substance to pass from an original contact person to the individual or a new contact person, where the individual has changed their contact person. Where this happens, paragraph </w:t>
      </w:r>
      <w:r w:rsidRPr="0052297C">
        <w:rPr>
          <w:rFonts w:ascii="Arial" w:hAnsi="Arial" w:cs="Arial"/>
        </w:rPr>
        <w:t xml:space="preserve">(5) </w:t>
      </w:r>
      <w:r w:rsidR="0052297C">
        <w:rPr>
          <w:rFonts w:ascii="Arial" w:hAnsi="Arial" w:cs="Arial"/>
        </w:rPr>
        <w:t>currently requires that w</w:t>
      </w:r>
      <w:r w:rsidRPr="0052297C">
        <w:rPr>
          <w:rFonts w:ascii="Arial" w:hAnsi="Arial" w:cs="Arial"/>
        </w:rPr>
        <w:t xml:space="preserve">ithin </w:t>
      </w:r>
      <w:r w:rsidR="004768B4">
        <w:rPr>
          <w:rFonts w:ascii="Arial" w:hAnsi="Arial" w:cs="Arial"/>
        </w:rPr>
        <w:t xml:space="preserve">four </w:t>
      </w:r>
      <w:r w:rsidR="00A67008">
        <w:rPr>
          <w:rFonts w:ascii="Arial" w:hAnsi="Arial" w:cs="Arial"/>
        </w:rPr>
        <w:t>business</w:t>
      </w:r>
      <w:r w:rsidRPr="0052297C">
        <w:rPr>
          <w:rFonts w:ascii="Arial" w:hAnsi="Arial" w:cs="Arial"/>
        </w:rPr>
        <w:t xml:space="preserve"> days after the original contact person gives the substance to another person </w:t>
      </w:r>
      <w:r w:rsidR="0052297C">
        <w:rPr>
          <w:rFonts w:ascii="Arial" w:hAnsi="Arial" w:cs="Arial"/>
        </w:rPr>
        <w:lastRenderedPageBreak/>
        <w:t>(</w:t>
      </w:r>
      <w:r w:rsidR="00A54F52">
        <w:rPr>
          <w:rFonts w:ascii="Arial" w:hAnsi="Arial" w:cs="Arial"/>
        </w:rPr>
        <w:t>that is</w:t>
      </w:r>
      <w:r w:rsidRPr="0052297C">
        <w:rPr>
          <w:rFonts w:ascii="Arial" w:hAnsi="Arial" w:cs="Arial"/>
        </w:rPr>
        <w:t>, the individual or the new contact person</w:t>
      </w:r>
      <w:r w:rsidR="002B3C43">
        <w:rPr>
          <w:rFonts w:ascii="Arial" w:hAnsi="Arial" w:cs="Arial"/>
        </w:rPr>
        <w:t>)</w:t>
      </w:r>
      <w:r w:rsidRPr="0052297C">
        <w:rPr>
          <w:rFonts w:ascii="Arial" w:hAnsi="Arial" w:cs="Arial"/>
        </w:rPr>
        <w:t xml:space="preserve"> the original contact person must tell the board they have given the substance to </w:t>
      </w:r>
      <w:r w:rsidR="00AA349A">
        <w:rPr>
          <w:rFonts w:ascii="Arial" w:hAnsi="Arial" w:cs="Arial"/>
        </w:rPr>
        <w:t>‘</w:t>
      </w:r>
      <w:r w:rsidRPr="0052297C">
        <w:rPr>
          <w:rFonts w:ascii="Arial" w:hAnsi="Arial" w:cs="Arial"/>
        </w:rPr>
        <w:t>the new contact person</w:t>
      </w:r>
      <w:r w:rsidR="00AA349A">
        <w:rPr>
          <w:rFonts w:ascii="Arial" w:hAnsi="Arial" w:cs="Arial"/>
        </w:rPr>
        <w:t>’</w:t>
      </w:r>
      <w:r w:rsidR="002B3C43">
        <w:rPr>
          <w:rFonts w:ascii="Arial" w:hAnsi="Arial" w:cs="Arial"/>
        </w:rPr>
        <w:t>. This is an error</w:t>
      </w:r>
      <w:r w:rsidR="002E0FE5">
        <w:rPr>
          <w:rFonts w:ascii="Arial" w:hAnsi="Arial" w:cs="Arial"/>
        </w:rPr>
        <w:t>,</w:t>
      </w:r>
      <w:r w:rsidR="002B3C43">
        <w:rPr>
          <w:rFonts w:ascii="Arial" w:hAnsi="Arial" w:cs="Arial"/>
        </w:rPr>
        <w:t xml:space="preserve"> as the substance </w:t>
      </w:r>
      <w:r w:rsidR="002E0FE5">
        <w:rPr>
          <w:rFonts w:ascii="Arial" w:hAnsi="Arial" w:cs="Arial"/>
        </w:rPr>
        <w:t xml:space="preserve">may </w:t>
      </w:r>
      <w:r w:rsidR="002B3C43">
        <w:rPr>
          <w:rFonts w:ascii="Arial" w:hAnsi="Arial" w:cs="Arial"/>
        </w:rPr>
        <w:t>also be given to the individual.</w:t>
      </w:r>
      <w:r w:rsidRPr="0052297C">
        <w:rPr>
          <w:rFonts w:ascii="Arial" w:hAnsi="Arial" w:cs="Arial"/>
        </w:rPr>
        <w:t xml:space="preserve"> </w:t>
      </w:r>
      <w:r w:rsidR="002B3C43">
        <w:rPr>
          <w:rFonts w:ascii="Arial" w:hAnsi="Arial" w:cs="Arial"/>
        </w:rPr>
        <w:t xml:space="preserve">The Bill will correct this error. </w:t>
      </w:r>
    </w:p>
    <w:p w14:paraId="7974EB35" w14:textId="00E05282" w:rsidR="00985D70" w:rsidRPr="00E246CF" w:rsidRDefault="00985D70" w:rsidP="00E246CF">
      <w:pPr>
        <w:pStyle w:val="ListParagraph"/>
        <w:numPr>
          <w:ilvl w:val="1"/>
          <w:numId w:val="6"/>
        </w:numPr>
        <w:spacing w:before="240" w:line="283" w:lineRule="auto"/>
        <w:ind w:left="714" w:hanging="357"/>
        <w:jc w:val="both"/>
        <w:rPr>
          <w:rFonts w:ascii="Arial" w:hAnsi="Arial" w:cs="Arial"/>
        </w:rPr>
      </w:pPr>
      <w:r w:rsidRPr="0052297C">
        <w:rPr>
          <w:rFonts w:ascii="Arial" w:hAnsi="Arial" w:cs="Arial"/>
        </w:rPr>
        <w:t xml:space="preserve">Under section 78(2), the appointed contact person of an individual who dies must notify the individual’s coordinating practitioner if the individual dies of any cause, within </w:t>
      </w:r>
      <w:r w:rsidR="004768B4">
        <w:rPr>
          <w:rFonts w:ascii="Arial" w:hAnsi="Arial" w:cs="Arial"/>
        </w:rPr>
        <w:t>two</w:t>
      </w:r>
      <w:r w:rsidR="004768B4" w:rsidRPr="0052297C">
        <w:rPr>
          <w:rFonts w:ascii="Arial" w:hAnsi="Arial" w:cs="Arial"/>
        </w:rPr>
        <w:t xml:space="preserve"> </w:t>
      </w:r>
      <w:r w:rsidRPr="0052297C">
        <w:rPr>
          <w:rFonts w:ascii="Arial" w:hAnsi="Arial" w:cs="Arial"/>
        </w:rPr>
        <w:t xml:space="preserve">business days of becoming aware of an individual’s death. The Bill will amend this to </w:t>
      </w:r>
      <w:r w:rsidR="004768B4">
        <w:rPr>
          <w:rFonts w:ascii="Arial" w:hAnsi="Arial" w:cs="Arial"/>
        </w:rPr>
        <w:t>four</w:t>
      </w:r>
      <w:r w:rsidR="004768B4" w:rsidRPr="0052297C">
        <w:rPr>
          <w:rFonts w:ascii="Arial" w:hAnsi="Arial" w:cs="Arial"/>
        </w:rPr>
        <w:t xml:space="preserve"> </w:t>
      </w:r>
      <w:r w:rsidRPr="0052297C">
        <w:rPr>
          <w:rFonts w:ascii="Arial" w:hAnsi="Arial" w:cs="Arial"/>
        </w:rPr>
        <w:t xml:space="preserve">business days, to align with the other notification requirements under the </w:t>
      </w:r>
      <w:r w:rsidR="00037293">
        <w:rPr>
          <w:rFonts w:ascii="Arial" w:hAnsi="Arial" w:cs="Arial"/>
        </w:rPr>
        <w:t>V</w:t>
      </w:r>
      <w:r w:rsidR="003D2D78">
        <w:rPr>
          <w:rFonts w:ascii="Arial" w:hAnsi="Arial" w:cs="Arial"/>
        </w:rPr>
        <w:t>oluntary Assisted Dying</w:t>
      </w:r>
      <w:r w:rsidR="00037293">
        <w:rPr>
          <w:rFonts w:ascii="Arial" w:hAnsi="Arial" w:cs="Arial"/>
        </w:rPr>
        <w:t xml:space="preserve"> </w:t>
      </w:r>
      <w:r w:rsidRPr="0052297C">
        <w:rPr>
          <w:rFonts w:ascii="Arial" w:hAnsi="Arial" w:cs="Arial"/>
        </w:rPr>
        <w:t>Act</w:t>
      </w:r>
      <w:r w:rsidR="00A67008">
        <w:rPr>
          <w:rFonts w:ascii="Arial" w:hAnsi="Arial" w:cs="Arial"/>
        </w:rPr>
        <w:t>.</w:t>
      </w:r>
    </w:p>
    <w:p w14:paraId="7C16AC45" w14:textId="34F1A77E" w:rsidR="00FB3930" w:rsidRPr="00FB3930" w:rsidRDefault="00BD6AC4" w:rsidP="00E246CF">
      <w:pPr>
        <w:pStyle w:val="ListParagraph"/>
        <w:numPr>
          <w:ilvl w:val="1"/>
          <w:numId w:val="6"/>
        </w:numPr>
        <w:spacing w:before="240" w:line="283" w:lineRule="auto"/>
        <w:ind w:left="714" w:hanging="357"/>
        <w:jc w:val="both"/>
        <w:rPr>
          <w:rFonts w:ascii="Arial" w:hAnsi="Arial" w:cs="Arial"/>
        </w:rPr>
      </w:pPr>
      <w:r>
        <w:rPr>
          <w:rFonts w:ascii="Arial" w:hAnsi="Arial" w:cs="Arial"/>
        </w:rPr>
        <w:t xml:space="preserve">Section 155 relates to the requirements </w:t>
      </w:r>
      <w:r w:rsidR="00A54F52">
        <w:rPr>
          <w:rFonts w:ascii="Arial" w:hAnsi="Arial" w:cs="Arial"/>
        </w:rPr>
        <w:t xml:space="preserve">for </w:t>
      </w:r>
      <w:r>
        <w:rPr>
          <w:rFonts w:ascii="Arial" w:hAnsi="Arial" w:cs="Arial"/>
        </w:rPr>
        <w:t xml:space="preserve">health professionals when raising voluntary assisted dying. The current drafting of section 155 contains an ambiguity around whether a doctor </w:t>
      </w:r>
      <w:r w:rsidR="00FB3930">
        <w:rPr>
          <w:rFonts w:ascii="Arial" w:hAnsi="Arial" w:cs="Arial"/>
        </w:rPr>
        <w:t xml:space="preserve">or nurse who does not have relevant experience to discuss treatment options may raise voluntary assisted dying. Consistently with the original policy intent, the </w:t>
      </w:r>
      <w:bookmarkStart w:id="6" w:name="_Hlk201796235"/>
      <w:r w:rsidR="002B3C43" w:rsidRPr="00FB3930">
        <w:rPr>
          <w:rFonts w:ascii="Arial" w:hAnsi="Arial" w:cs="Arial"/>
        </w:rPr>
        <w:t>Bill</w:t>
      </w:r>
      <w:r w:rsidR="00FB3930" w:rsidRPr="00FB3930">
        <w:rPr>
          <w:rFonts w:ascii="Arial" w:hAnsi="Arial" w:cs="Arial"/>
        </w:rPr>
        <w:t xml:space="preserve"> will amend </w:t>
      </w:r>
      <w:r w:rsidR="00916283" w:rsidRPr="00E246CF">
        <w:rPr>
          <w:rFonts w:ascii="Arial" w:hAnsi="Arial" w:cs="Arial"/>
        </w:rPr>
        <w:t>section 155</w:t>
      </w:r>
      <w:r w:rsidR="003A7310" w:rsidRPr="00E246CF">
        <w:rPr>
          <w:rFonts w:ascii="Arial" w:hAnsi="Arial" w:cs="Arial"/>
        </w:rPr>
        <w:t xml:space="preserve"> of the Act </w:t>
      </w:r>
      <w:r w:rsidR="002B3C43" w:rsidRPr="00FB3930">
        <w:rPr>
          <w:rFonts w:ascii="Arial" w:hAnsi="Arial" w:cs="Arial"/>
        </w:rPr>
        <w:t xml:space="preserve">to </w:t>
      </w:r>
      <w:r w:rsidR="00FB3930" w:rsidRPr="00FB3930">
        <w:rPr>
          <w:rFonts w:ascii="Arial" w:hAnsi="Arial" w:cs="Arial"/>
        </w:rPr>
        <w:t xml:space="preserve">put beyond doubt that </w:t>
      </w:r>
      <w:r w:rsidR="00916283" w:rsidRPr="00E246CF">
        <w:rPr>
          <w:rFonts w:ascii="Arial" w:hAnsi="Arial" w:cs="Arial"/>
        </w:rPr>
        <w:t>a doctor or nurse practitioner who does not have the relevant expertise</w:t>
      </w:r>
      <w:r w:rsidR="002B3C43" w:rsidRPr="00FB3930">
        <w:rPr>
          <w:rFonts w:ascii="Arial" w:hAnsi="Arial" w:cs="Arial"/>
        </w:rPr>
        <w:t xml:space="preserve"> to discuss the full range of options with </w:t>
      </w:r>
      <w:r w:rsidR="00A54F52">
        <w:rPr>
          <w:rFonts w:ascii="Arial" w:hAnsi="Arial" w:cs="Arial"/>
        </w:rPr>
        <w:t>an individual</w:t>
      </w:r>
      <w:r w:rsidR="00A54F52" w:rsidRPr="00E246CF">
        <w:rPr>
          <w:rFonts w:ascii="Arial" w:hAnsi="Arial" w:cs="Arial"/>
        </w:rPr>
        <w:t xml:space="preserve"> </w:t>
      </w:r>
      <w:r w:rsidR="00916283" w:rsidRPr="00E246CF">
        <w:rPr>
          <w:rFonts w:ascii="Arial" w:hAnsi="Arial" w:cs="Arial"/>
        </w:rPr>
        <w:t xml:space="preserve">can </w:t>
      </w:r>
      <w:r w:rsidR="002E0FE5">
        <w:rPr>
          <w:rFonts w:ascii="Arial" w:hAnsi="Arial" w:cs="Arial"/>
        </w:rPr>
        <w:t>s</w:t>
      </w:r>
      <w:r w:rsidR="00FB3930" w:rsidRPr="00FB3930">
        <w:rPr>
          <w:rFonts w:ascii="Arial" w:hAnsi="Arial" w:cs="Arial"/>
        </w:rPr>
        <w:t xml:space="preserve">till </w:t>
      </w:r>
      <w:r w:rsidR="00916283" w:rsidRPr="00E246CF">
        <w:rPr>
          <w:rFonts w:ascii="Arial" w:hAnsi="Arial" w:cs="Arial"/>
        </w:rPr>
        <w:t xml:space="preserve">raise </w:t>
      </w:r>
      <w:r w:rsidR="003A7310" w:rsidRPr="00E246CF">
        <w:rPr>
          <w:rFonts w:ascii="Arial" w:hAnsi="Arial" w:cs="Arial"/>
        </w:rPr>
        <w:t>voluntary assisted dying</w:t>
      </w:r>
      <w:r w:rsidR="00FB3930" w:rsidRPr="00FB3930">
        <w:rPr>
          <w:rFonts w:ascii="Arial" w:hAnsi="Arial" w:cs="Arial"/>
        </w:rPr>
        <w:t xml:space="preserve">, so long as they do so consistently with </w:t>
      </w:r>
      <w:r w:rsidR="00916283" w:rsidRPr="00E246CF">
        <w:rPr>
          <w:rFonts w:ascii="Arial" w:hAnsi="Arial" w:cs="Arial"/>
        </w:rPr>
        <w:t>subsection (2)</w:t>
      </w:r>
      <w:r w:rsidR="00FB3930" w:rsidRPr="00FB3930">
        <w:rPr>
          <w:rFonts w:ascii="Arial" w:hAnsi="Arial" w:cs="Arial"/>
        </w:rPr>
        <w:t>. That is</w:t>
      </w:r>
      <w:r w:rsidR="00A54F52">
        <w:rPr>
          <w:rFonts w:ascii="Arial" w:hAnsi="Arial" w:cs="Arial"/>
        </w:rPr>
        <w:t>,</w:t>
      </w:r>
      <w:r w:rsidR="00FB3930" w:rsidRPr="00FB3930">
        <w:rPr>
          <w:rFonts w:ascii="Arial" w:hAnsi="Arial" w:cs="Arial"/>
        </w:rPr>
        <w:t xml:space="preserve"> a nurse or doctor without the experience to appropriately discuss treatment or palliative care options may still raise voluntary assisted dying if they take reasonable steps to ensure the individual knows that treatment and palliative care options are available to the individual and</w:t>
      </w:r>
      <w:r w:rsidR="00FB3930">
        <w:rPr>
          <w:rFonts w:ascii="Arial" w:hAnsi="Arial" w:cs="Arial"/>
        </w:rPr>
        <w:t xml:space="preserve"> that </w:t>
      </w:r>
      <w:r w:rsidR="00FB3930" w:rsidRPr="00FB3930">
        <w:rPr>
          <w:rFonts w:ascii="Arial" w:hAnsi="Arial" w:cs="Arial"/>
        </w:rPr>
        <w:t>the individual should discuss the options with their treating doctor</w:t>
      </w:r>
      <w:r w:rsidR="00FB3930">
        <w:rPr>
          <w:rFonts w:ascii="Arial" w:hAnsi="Arial" w:cs="Arial"/>
        </w:rPr>
        <w:t xml:space="preserve">. </w:t>
      </w:r>
    </w:p>
    <w:bookmarkEnd w:id="2"/>
    <w:bookmarkEnd w:id="6"/>
    <w:p w14:paraId="23CB6687" w14:textId="0B517A49" w:rsidR="00CF76B1" w:rsidRPr="00E246CF" w:rsidRDefault="00CF76B1" w:rsidP="00A03B3E">
      <w:pPr>
        <w:spacing w:before="240" w:line="283" w:lineRule="auto"/>
        <w:rPr>
          <w:rFonts w:ascii="Arial" w:hAnsi="Arial" w:cs="Arial"/>
          <w:b/>
        </w:rPr>
      </w:pPr>
      <w:r w:rsidRPr="00E246CF">
        <w:rPr>
          <w:rFonts w:ascii="Arial" w:hAnsi="Arial" w:cs="Arial"/>
          <w:b/>
        </w:rPr>
        <w:t>CLIMATE IMPACT</w:t>
      </w:r>
    </w:p>
    <w:p w14:paraId="46E806D8" w14:textId="6D41EB47" w:rsidR="00BD42E0" w:rsidRPr="00E246CF" w:rsidRDefault="00BD42E0" w:rsidP="00E246CF">
      <w:pPr>
        <w:spacing w:line="283" w:lineRule="auto"/>
        <w:jc w:val="both"/>
        <w:rPr>
          <w:rFonts w:ascii="Arial" w:hAnsi="Arial" w:cs="Arial"/>
          <w:iCs/>
        </w:rPr>
      </w:pPr>
      <w:r w:rsidRPr="00E246CF">
        <w:rPr>
          <w:rFonts w:ascii="Arial" w:hAnsi="Arial" w:cs="Arial"/>
          <w:iCs/>
        </w:rPr>
        <w:t>The amendments in the Bill are of a minor and technical nature, and do not substantively change the policy intent of any of the legislation being amended</w:t>
      </w:r>
      <w:r w:rsidR="00AA349A">
        <w:rPr>
          <w:rFonts w:ascii="Arial" w:hAnsi="Arial" w:cs="Arial"/>
          <w:iCs/>
        </w:rPr>
        <w:t>.</w:t>
      </w:r>
      <w:r w:rsidRPr="00E246CF">
        <w:rPr>
          <w:rFonts w:ascii="Arial" w:hAnsi="Arial" w:cs="Arial"/>
          <w:iCs/>
        </w:rPr>
        <w:t xml:space="preserve"> </w:t>
      </w:r>
      <w:r w:rsidR="00AA349A">
        <w:rPr>
          <w:rFonts w:ascii="Arial" w:hAnsi="Arial" w:cs="Arial"/>
          <w:iCs/>
        </w:rPr>
        <w:t>As such,</w:t>
      </w:r>
      <w:r w:rsidR="00AA349A" w:rsidRPr="00E246CF">
        <w:rPr>
          <w:rFonts w:ascii="Arial" w:hAnsi="Arial" w:cs="Arial"/>
          <w:iCs/>
        </w:rPr>
        <w:t xml:space="preserve"> </w:t>
      </w:r>
      <w:r w:rsidRPr="00E246CF">
        <w:rPr>
          <w:rFonts w:ascii="Arial" w:hAnsi="Arial" w:cs="Arial"/>
          <w:iCs/>
        </w:rPr>
        <w:t>no climate impacts are anticipated under the Bill.</w:t>
      </w:r>
    </w:p>
    <w:p w14:paraId="1E002791" w14:textId="13B1C834" w:rsidR="00E90DF9" w:rsidRPr="00E246CF" w:rsidRDefault="00E90DF9" w:rsidP="00E246CF">
      <w:pPr>
        <w:pStyle w:val="Heading2"/>
        <w:spacing w:line="283" w:lineRule="auto"/>
        <w:rPr>
          <w:sz w:val="22"/>
          <w:szCs w:val="22"/>
        </w:rPr>
      </w:pPr>
      <w:r w:rsidRPr="00E246CF">
        <w:rPr>
          <w:sz w:val="22"/>
          <w:szCs w:val="22"/>
        </w:rPr>
        <w:t>CONSISTENCY WITH HUMAN RIGHTS</w:t>
      </w:r>
    </w:p>
    <w:p w14:paraId="3AA827AB" w14:textId="15F7F534" w:rsidR="00E90DF9" w:rsidRPr="00E246CF" w:rsidRDefault="00E90DF9" w:rsidP="00E246CF">
      <w:pPr>
        <w:spacing w:line="283" w:lineRule="auto"/>
        <w:jc w:val="both"/>
        <w:rPr>
          <w:rFonts w:ascii="Arial" w:hAnsi="Arial" w:cs="Arial"/>
          <w:iCs/>
        </w:rPr>
      </w:pPr>
      <w:r w:rsidRPr="00E246CF">
        <w:rPr>
          <w:rFonts w:ascii="Arial" w:hAnsi="Arial" w:cs="Arial"/>
          <w:b/>
          <w:bCs/>
          <w:iCs/>
        </w:rPr>
        <w:t>Rights engaged</w:t>
      </w:r>
    </w:p>
    <w:p w14:paraId="5983A960" w14:textId="77777777" w:rsidR="00BD42E0" w:rsidRPr="00E246CF" w:rsidRDefault="00BD42E0" w:rsidP="00E246CF">
      <w:pPr>
        <w:spacing w:line="283" w:lineRule="auto"/>
        <w:jc w:val="both"/>
        <w:rPr>
          <w:rFonts w:ascii="Arial" w:hAnsi="Arial" w:cs="Arial"/>
          <w:iCs/>
        </w:rPr>
      </w:pPr>
      <w:r w:rsidRPr="00E246CF">
        <w:rPr>
          <w:rFonts w:ascii="Arial" w:hAnsi="Arial" w:cs="Arial"/>
          <w:iCs/>
        </w:rPr>
        <w:t>The Bill engages the following rights under the </w:t>
      </w:r>
      <w:r w:rsidRPr="00E246CF">
        <w:rPr>
          <w:rFonts w:ascii="Arial" w:hAnsi="Arial" w:cs="Arial"/>
          <w:i/>
        </w:rPr>
        <w:t>Human Rights Act 2004</w:t>
      </w:r>
      <w:r w:rsidRPr="00E246CF">
        <w:rPr>
          <w:rFonts w:ascii="Arial" w:hAnsi="Arial" w:cs="Arial"/>
          <w:iCs/>
        </w:rPr>
        <w:t xml:space="preserve"> (Human Rights Act):</w:t>
      </w:r>
    </w:p>
    <w:p w14:paraId="2B05B1C0" w14:textId="56C38223" w:rsidR="00BD42E0" w:rsidRPr="00E246CF" w:rsidRDefault="00BD42E0" w:rsidP="00E246CF">
      <w:pPr>
        <w:pStyle w:val="ListParagraph"/>
        <w:numPr>
          <w:ilvl w:val="0"/>
          <w:numId w:val="3"/>
        </w:numPr>
        <w:tabs>
          <w:tab w:val="num" w:pos="720"/>
        </w:tabs>
        <w:spacing w:line="283" w:lineRule="auto"/>
        <w:jc w:val="both"/>
        <w:rPr>
          <w:rFonts w:ascii="Arial" w:hAnsi="Arial" w:cs="Arial"/>
          <w:iCs/>
        </w:rPr>
      </w:pPr>
      <w:bookmarkStart w:id="7" w:name="_Hlk201796363"/>
      <w:r w:rsidRPr="00E246CF">
        <w:rPr>
          <w:rFonts w:ascii="Arial" w:hAnsi="Arial" w:cs="Arial"/>
          <w:iCs/>
        </w:rPr>
        <w:t>Section 12 – Privacy and reputation (</w:t>
      </w:r>
      <w:r w:rsidR="00C43C55" w:rsidRPr="00E246CF">
        <w:rPr>
          <w:rFonts w:ascii="Arial" w:hAnsi="Arial" w:cs="Arial"/>
          <w:i/>
        </w:rPr>
        <w:t>limited</w:t>
      </w:r>
      <w:r w:rsidRPr="00E246CF">
        <w:rPr>
          <w:rFonts w:ascii="Arial" w:hAnsi="Arial" w:cs="Arial"/>
          <w:iCs/>
        </w:rPr>
        <w:t>)</w:t>
      </w:r>
    </w:p>
    <w:p w14:paraId="21BC13A8" w14:textId="420CD364" w:rsidR="000906CC" w:rsidRPr="00E246CF" w:rsidRDefault="000906CC" w:rsidP="000906CC">
      <w:pPr>
        <w:pStyle w:val="ListParagraph"/>
        <w:numPr>
          <w:ilvl w:val="0"/>
          <w:numId w:val="3"/>
        </w:numPr>
        <w:tabs>
          <w:tab w:val="num" w:pos="720"/>
        </w:tabs>
        <w:spacing w:line="283" w:lineRule="auto"/>
        <w:jc w:val="both"/>
        <w:rPr>
          <w:rFonts w:ascii="Arial" w:hAnsi="Arial" w:cs="Arial"/>
          <w:iCs/>
        </w:rPr>
      </w:pPr>
      <w:r>
        <w:rPr>
          <w:rFonts w:ascii="Arial" w:hAnsi="Arial" w:cs="Arial"/>
          <w:iCs/>
        </w:rPr>
        <w:t xml:space="preserve">Section 13 – Right to freedom of movement </w:t>
      </w:r>
      <w:r>
        <w:rPr>
          <w:rFonts w:ascii="Arial" w:hAnsi="Arial" w:cs="Arial"/>
          <w:i/>
        </w:rPr>
        <w:t xml:space="preserve">(promoted) </w:t>
      </w:r>
    </w:p>
    <w:p w14:paraId="2F39072C" w14:textId="14B38E5B" w:rsidR="00C43C55" w:rsidRPr="00E246CF" w:rsidRDefault="00C43C55" w:rsidP="00E246CF">
      <w:pPr>
        <w:pStyle w:val="ListParagraph"/>
        <w:numPr>
          <w:ilvl w:val="0"/>
          <w:numId w:val="3"/>
        </w:numPr>
        <w:tabs>
          <w:tab w:val="num" w:pos="720"/>
        </w:tabs>
        <w:spacing w:line="283" w:lineRule="auto"/>
        <w:jc w:val="both"/>
        <w:rPr>
          <w:rFonts w:ascii="Arial" w:hAnsi="Arial" w:cs="Arial"/>
          <w:iCs/>
        </w:rPr>
      </w:pPr>
      <w:r w:rsidRPr="00E246CF">
        <w:rPr>
          <w:rFonts w:ascii="Arial" w:hAnsi="Arial" w:cs="Arial"/>
          <w:iCs/>
        </w:rPr>
        <w:t>Section 14 – Right to freedom of thought, conscience, religion and belief (</w:t>
      </w:r>
      <w:r w:rsidRPr="00E246CF">
        <w:rPr>
          <w:rFonts w:ascii="Arial" w:hAnsi="Arial" w:cs="Arial"/>
          <w:i/>
        </w:rPr>
        <w:t>promoted</w:t>
      </w:r>
      <w:r w:rsidRPr="00E246CF">
        <w:rPr>
          <w:rFonts w:ascii="Arial" w:hAnsi="Arial" w:cs="Arial"/>
          <w:iCs/>
        </w:rPr>
        <w:t>)</w:t>
      </w:r>
    </w:p>
    <w:p w14:paraId="39D4F495" w14:textId="105E9D08" w:rsidR="00C43C55" w:rsidRPr="00E246CF" w:rsidRDefault="00C43C55" w:rsidP="00E246CF">
      <w:pPr>
        <w:pStyle w:val="ListParagraph"/>
        <w:numPr>
          <w:ilvl w:val="0"/>
          <w:numId w:val="3"/>
        </w:numPr>
        <w:tabs>
          <w:tab w:val="num" w:pos="720"/>
        </w:tabs>
        <w:spacing w:line="283" w:lineRule="auto"/>
        <w:jc w:val="both"/>
        <w:rPr>
          <w:rFonts w:ascii="Arial" w:hAnsi="Arial" w:cs="Arial"/>
          <w:iCs/>
        </w:rPr>
      </w:pPr>
      <w:r w:rsidRPr="00E246CF">
        <w:rPr>
          <w:rFonts w:ascii="Arial" w:hAnsi="Arial" w:cs="Arial"/>
          <w:iCs/>
        </w:rPr>
        <w:t>Section 15 – Right to peaceful assembly and freedom of association (</w:t>
      </w:r>
      <w:r w:rsidRPr="00E246CF">
        <w:rPr>
          <w:rFonts w:ascii="Arial" w:hAnsi="Arial" w:cs="Arial"/>
          <w:i/>
        </w:rPr>
        <w:t>promoted</w:t>
      </w:r>
      <w:r w:rsidRPr="00E246CF">
        <w:rPr>
          <w:rFonts w:ascii="Arial" w:hAnsi="Arial" w:cs="Arial"/>
          <w:iCs/>
        </w:rPr>
        <w:t>)</w:t>
      </w:r>
    </w:p>
    <w:p w14:paraId="1480DF7B" w14:textId="3A91B704" w:rsidR="00BD42E0" w:rsidRDefault="00BD42E0" w:rsidP="00E246CF">
      <w:pPr>
        <w:pStyle w:val="ListParagraph"/>
        <w:numPr>
          <w:ilvl w:val="0"/>
          <w:numId w:val="3"/>
        </w:numPr>
        <w:tabs>
          <w:tab w:val="num" w:pos="720"/>
        </w:tabs>
        <w:spacing w:line="283" w:lineRule="auto"/>
        <w:jc w:val="both"/>
        <w:rPr>
          <w:rFonts w:ascii="Arial" w:hAnsi="Arial" w:cs="Arial"/>
          <w:iCs/>
        </w:rPr>
      </w:pPr>
      <w:r w:rsidRPr="00E246CF">
        <w:rPr>
          <w:rFonts w:ascii="Arial" w:hAnsi="Arial" w:cs="Arial"/>
          <w:iCs/>
        </w:rPr>
        <w:t>Section 16 – Right to freedom of expression (</w:t>
      </w:r>
      <w:r w:rsidR="00910AFC" w:rsidRPr="00E246CF">
        <w:rPr>
          <w:rFonts w:ascii="Arial" w:hAnsi="Arial" w:cs="Arial"/>
          <w:i/>
        </w:rPr>
        <w:t>promoted</w:t>
      </w:r>
      <w:r w:rsidRPr="00E246CF">
        <w:rPr>
          <w:rFonts w:ascii="Arial" w:hAnsi="Arial" w:cs="Arial"/>
          <w:iCs/>
        </w:rPr>
        <w:t>)</w:t>
      </w:r>
    </w:p>
    <w:p w14:paraId="6DFE2F1A" w14:textId="77777777" w:rsidR="00A570BA" w:rsidRPr="00E246CF" w:rsidRDefault="00A570BA" w:rsidP="00426B1A">
      <w:pPr>
        <w:pStyle w:val="ListParagraph"/>
        <w:spacing w:line="283" w:lineRule="auto"/>
        <w:jc w:val="both"/>
        <w:rPr>
          <w:rFonts w:ascii="Arial" w:hAnsi="Arial" w:cs="Arial"/>
          <w:iCs/>
        </w:rPr>
      </w:pPr>
    </w:p>
    <w:bookmarkEnd w:id="7"/>
    <w:p w14:paraId="638A6F57" w14:textId="77777777" w:rsidR="004C41C3" w:rsidRPr="00E246CF" w:rsidRDefault="004C41C3" w:rsidP="004C41C3">
      <w:pPr>
        <w:spacing w:line="283" w:lineRule="auto"/>
        <w:jc w:val="both"/>
        <w:rPr>
          <w:rFonts w:ascii="Arial" w:hAnsi="Arial" w:cs="Arial"/>
          <w:i/>
        </w:rPr>
      </w:pPr>
      <w:r w:rsidRPr="00E246CF">
        <w:rPr>
          <w:rFonts w:ascii="Arial" w:hAnsi="Arial" w:cs="Arial"/>
          <w:i/>
        </w:rPr>
        <w:t xml:space="preserve">Health Act </w:t>
      </w:r>
      <w:r>
        <w:rPr>
          <w:rFonts w:ascii="Arial" w:hAnsi="Arial" w:cs="Arial"/>
          <w:i/>
        </w:rPr>
        <w:t xml:space="preserve">– </w:t>
      </w:r>
      <w:r w:rsidRPr="00E246CF">
        <w:rPr>
          <w:rFonts w:ascii="Arial" w:hAnsi="Arial" w:cs="Arial"/>
          <w:i/>
        </w:rPr>
        <w:t>Protected Area</w:t>
      </w:r>
      <w:r>
        <w:rPr>
          <w:rFonts w:ascii="Arial" w:hAnsi="Arial" w:cs="Arial"/>
          <w:i/>
        </w:rPr>
        <w:t>s</w:t>
      </w:r>
    </w:p>
    <w:p w14:paraId="50DE3E29" w14:textId="75D515C7" w:rsidR="004C41C3" w:rsidRPr="00E246CF" w:rsidRDefault="004C41C3" w:rsidP="004C41C3">
      <w:pPr>
        <w:spacing w:line="283" w:lineRule="auto"/>
        <w:jc w:val="both"/>
        <w:rPr>
          <w:rFonts w:ascii="Arial" w:hAnsi="Arial" w:cs="Arial"/>
          <w:iCs/>
        </w:rPr>
      </w:pPr>
      <w:r>
        <w:rPr>
          <w:rFonts w:ascii="Arial" w:hAnsi="Arial" w:cs="Arial"/>
          <w:iCs/>
        </w:rPr>
        <w:t>Although this amendment addresses a technical issue with the Act and reflects the current operationalisation of the Act</w:t>
      </w:r>
      <w:r w:rsidR="003C1021">
        <w:rPr>
          <w:rFonts w:ascii="Arial" w:hAnsi="Arial" w:cs="Arial"/>
          <w:iCs/>
        </w:rPr>
        <w:t>. As</w:t>
      </w:r>
      <w:r>
        <w:rPr>
          <w:rFonts w:ascii="Arial" w:hAnsi="Arial" w:cs="Arial"/>
          <w:iCs/>
        </w:rPr>
        <w:t xml:space="preserve"> the changes relate to protected areas around approved medical facilities where surgical abortions are undertaken, the </w:t>
      </w:r>
      <w:r w:rsidRPr="00E246CF">
        <w:rPr>
          <w:rFonts w:ascii="Arial" w:hAnsi="Arial" w:cs="Arial"/>
          <w:iCs/>
        </w:rPr>
        <w:t xml:space="preserve">amendment </w:t>
      </w:r>
      <w:r>
        <w:rPr>
          <w:rFonts w:ascii="Arial" w:hAnsi="Arial" w:cs="Arial"/>
          <w:iCs/>
        </w:rPr>
        <w:t>may</w:t>
      </w:r>
      <w:r w:rsidRPr="00E246CF">
        <w:rPr>
          <w:rFonts w:ascii="Arial" w:hAnsi="Arial" w:cs="Arial"/>
          <w:iCs/>
        </w:rPr>
        <w:t xml:space="preserve"> engage the rights to freedom of </w:t>
      </w:r>
      <w:r>
        <w:rPr>
          <w:rFonts w:ascii="Arial" w:hAnsi="Arial" w:cs="Arial"/>
          <w:iCs/>
        </w:rPr>
        <w:t>movement</w:t>
      </w:r>
      <w:r w:rsidRPr="00E246CF">
        <w:rPr>
          <w:rFonts w:ascii="Arial" w:hAnsi="Arial" w:cs="Arial"/>
          <w:iCs/>
        </w:rPr>
        <w:t>; freedom of thought, conscience, religion and belief</w:t>
      </w:r>
      <w:r>
        <w:rPr>
          <w:rFonts w:ascii="Arial" w:hAnsi="Arial" w:cs="Arial"/>
          <w:iCs/>
        </w:rPr>
        <w:t>;</w:t>
      </w:r>
      <w:r w:rsidRPr="00E246CF">
        <w:rPr>
          <w:rFonts w:ascii="Arial" w:hAnsi="Arial" w:cs="Arial"/>
          <w:iCs/>
        </w:rPr>
        <w:t xml:space="preserve"> peaceful assembly and freedom of association; freedom of expression</w:t>
      </w:r>
      <w:r>
        <w:rPr>
          <w:rFonts w:ascii="Arial" w:hAnsi="Arial" w:cs="Arial"/>
          <w:iCs/>
        </w:rPr>
        <w:t>;</w:t>
      </w:r>
      <w:r w:rsidRPr="00E246CF">
        <w:rPr>
          <w:rFonts w:ascii="Arial" w:hAnsi="Arial" w:cs="Arial"/>
          <w:iCs/>
        </w:rPr>
        <w:t xml:space="preserve"> and the right to privacy and reputation.</w:t>
      </w:r>
    </w:p>
    <w:p w14:paraId="556D23A5" w14:textId="77777777" w:rsidR="004C41C3" w:rsidRPr="00E246CF" w:rsidRDefault="004C41C3" w:rsidP="004C41C3">
      <w:pPr>
        <w:keepNext/>
        <w:spacing w:line="283" w:lineRule="auto"/>
        <w:jc w:val="both"/>
        <w:rPr>
          <w:rFonts w:ascii="Arial" w:hAnsi="Arial" w:cs="Arial"/>
          <w:i/>
        </w:rPr>
      </w:pPr>
      <w:r w:rsidRPr="00E246CF">
        <w:rPr>
          <w:rFonts w:ascii="Arial" w:hAnsi="Arial" w:cs="Arial"/>
          <w:i/>
        </w:rPr>
        <w:lastRenderedPageBreak/>
        <w:t>Special Events Act</w:t>
      </w:r>
    </w:p>
    <w:p w14:paraId="56FD4B9B" w14:textId="77777777" w:rsidR="004C41C3" w:rsidRPr="00741218" w:rsidRDefault="004C41C3" w:rsidP="004C41C3">
      <w:pPr>
        <w:spacing w:line="283" w:lineRule="auto"/>
        <w:jc w:val="both"/>
        <w:rPr>
          <w:rFonts w:ascii="Arial" w:hAnsi="Arial" w:cs="Arial"/>
          <w:iCs/>
        </w:rPr>
      </w:pPr>
      <w:r w:rsidRPr="00741218">
        <w:rPr>
          <w:rFonts w:ascii="Arial" w:hAnsi="Arial" w:cs="Arial"/>
          <w:iCs/>
        </w:rPr>
        <w:t xml:space="preserve">The amendment to the Special Events Act does not engage human rights. </w:t>
      </w:r>
    </w:p>
    <w:p w14:paraId="56ADA15B" w14:textId="3DAC99C8" w:rsidR="00766637" w:rsidRPr="00E246CF" w:rsidRDefault="00766637" w:rsidP="00E246CF">
      <w:pPr>
        <w:spacing w:line="283" w:lineRule="auto"/>
        <w:jc w:val="both"/>
        <w:rPr>
          <w:rFonts w:ascii="Arial" w:hAnsi="Arial" w:cs="Arial"/>
          <w:i/>
        </w:rPr>
      </w:pPr>
      <w:r w:rsidRPr="00E246CF">
        <w:rPr>
          <w:rFonts w:ascii="Arial" w:hAnsi="Arial" w:cs="Arial"/>
          <w:i/>
        </w:rPr>
        <w:t>Medicines, Poisons and Therapeutic Goods scheme</w:t>
      </w:r>
    </w:p>
    <w:p w14:paraId="5797FA1A" w14:textId="6811B9C7" w:rsidR="000D4307" w:rsidRPr="00E246CF" w:rsidRDefault="00766637" w:rsidP="00E246CF">
      <w:pPr>
        <w:spacing w:line="283" w:lineRule="auto"/>
        <w:jc w:val="both"/>
        <w:rPr>
          <w:rFonts w:ascii="Arial" w:hAnsi="Arial" w:cs="Arial"/>
          <w:iCs/>
        </w:rPr>
      </w:pPr>
      <w:r w:rsidRPr="00E246CF">
        <w:rPr>
          <w:rFonts w:ascii="Arial" w:hAnsi="Arial" w:cs="Arial"/>
          <w:iCs/>
        </w:rPr>
        <w:t>The minor amendments to the</w:t>
      </w:r>
      <w:r w:rsidR="00642AF9">
        <w:rPr>
          <w:rFonts w:ascii="Arial" w:hAnsi="Arial" w:cs="Arial"/>
          <w:i/>
        </w:rPr>
        <w:t xml:space="preserve"> </w:t>
      </w:r>
      <w:r w:rsidR="00642AF9">
        <w:rPr>
          <w:rFonts w:ascii="Arial" w:hAnsi="Arial" w:cs="Arial"/>
          <w:iCs/>
        </w:rPr>
        <w:t>MPTG Act</w:t>
      </w:r>
      <w:r w:rsidRPr="00E246CF">
        <w:rPr>
          <w:rFonts w:ascii="Arial" w:hAnsi="Arial" w:cs="Arial"/>
          <w:i/>
        </w:rPr>
        <w:t xml:space="preserve"> </w:t>
      </w:r>
      <w:r w:rsidRPr="00E246CF">
        <w:rPr>
          <w:rFonts w:ascii="Arial" w:hAnsi="Arial" w:cs="Arial"/>
          <w:iCs/>
        </w:rPr>
        <w:t xml:space="preserve">and </w:t>
      </w:r>
      <w:r w:rsidR="00642AF9">
        <w:rPr>
          <w:rFonts w:ascii="Arial" w:hAnsi="Arial" w:cs="Arial"/>
          <w:iCs/>
        </w:rPr>
        <w:t>MPTG Reg</w:t>
      </w:r>
      <w:r w:rsidRPr="00E246CF">
        <w:rPr>
          <w:rFonts w:ascii="Arial" w:hAnsi="Arial" w:cs="Arial"/>
          <w:i/>
        </w:rPr>
        <w:t xml:space="preserve"> </w:t>
      </w:r>
      <w:r w:rsidR="000D4307" w:rsidRPr="00E246CF">
        <w:rPr>
          <w:rFonts w:ascii="Arial" w:hAnsi="Arial" w:cs="Arial"/>
          <w:iCs/>
        </w:rPr>
        <w:t>do not engage human rights.</w:t>
      </w:r>
    </w:p>
    <w:p w14:paraId="6795C390" w14:textId="77777777" w:rsidR="00AA349A" w:rsidRPr="00E246CF" w:rsidRDefault="00AA349A" w:rsidP="00AA349A">
      <w:pPr>
        <w:spacing w:before="240" w:line="283" w:lineRule="auto"/>
        <w:jc w:val="both"/>
        <w:rPr>
          <w:rFonts w:ascii="Arial" w:hAnsi="Arial" w:cs="Arial"/>
          <w:i/>
        </w:rPr>
      </w:pPr>
      <w:r w:rsidRPr="00E246CF">
        <w:rPr>
          <w:rFonts w:ascii="Arial" w:hAnsi="Arial" w:cs="Arial"/>
          <w:i/>
        </w:rPr>
        <w:t>Definitions of ‘residential care’ and ‘residential aged care facility’</w:t>
      </w:r>
    </w:p>
    <w:p w14:paraId="777C64FE" w14:textId="77777777" w:rsidR="00AA349A" w:rsidRPr="00E246CF" w:rsidRDefault="00AA349A" w:rsidP="00AA349A">
      <w:pPr>
        <w:spacing w:line="283" w:lineRule="auto"/>
        <w:jc w:val="both"/>
        <w:rPr>
          <w:rFonts w:ascii="Arial" w:hAnsi="Arial" w:cs="Arial"/>
          <w:iCs/>
        </w:rPr>
      </w:pPr>
      <w:r w:rsidRPr="00E246CF">
        <w:rPr>
          <w:rFonts w:ascii="Arial" w:hAnsi="Arial" w:cs="Arial"/>
          <w:iCs/>
        </w:rPr>
        <w:t xml:space="preserve">The minor amendments to the Voluntary Assisted Dying Act and the </w:t>
      </w:r>
      <w:r>
        <w:rPr>
          <w:rFonts w:ascii="Arial" w:hAnsi="Arial" w:cs="Arial"/>
          <w:iCs/>
        </w:rPr>
        <w:t xml:space="preserve">MPTG Act </w:t>
      </w:r>
      <w:r w:rsidRPr="00E246CF">
        <w:rPr>
          <w:rFonts w:ascii="Arial" w:hAnsi="Arial" w:cs="Arial"/>
          <w:iCs/>
        </w:rPr>
        <w:t xml:space="preserve">to update definitions </w:t>
      </w:r>
      <w:r w:rsidRPr="00A05EA7">
        <w:rPr>
          <w:rFonts w:ascii="Arial" w:hAnsi="Arial" w:cs="Arial"/>
          <w:iCs/>
        </w:rPr>
        <w:t>of ‘residential aged care facility’, ‘facility’, ‘resident’, and ‘residential care’</w:t>
      </w:r>
      <w:r>
        <w:rPr>
          <w:rFonts w:ascii="Arial" w:hAnsi="Arial" w:cs="Arial"/>
          <w:iCs/>
        </w:rPr>
        <w:t xml:space="preserve"> </w:t>
      </w:r>
      <w:r w:rsidRPr="00E246CF">
        <w:rPr>
          <w:rFonts w:ascii="Arial" w:hAnsi="Arial" w:cs="Arial"/>
          <w:iCs/>
        </w:rPr>
        <w:t>do not engage human rights.</w:t>
      </w:r>
    </w:p>
    <w:p w14:paraId="0542691F" w14:textId="1DDDF78F" w:rsidR="00766637" w:rsidRPr="00E246CF" w:rsidRDefault="00766637" w:rsidP="002E0FE5">
      <w:pPr>
        <w:keepNext/>
        <w:spacing w:line="283" w:lineRule="auto"/>
        <w:jc w:val="both"/>
        <w:rPr>
          <w:rFonts w:ascii="Arial" w:hAnsi="Arial" w:cs="Arial"/>
          <w:b/>
          <w:bCs/>
          <w:i/>
        </w:rPr>
      </w:pPr>
      <w:r w:rsidRPr="00E246CF">
        <w:rPr>
          <w:rFonts w:ascii="Arial" w:hAnsi="Arial" w:cs="Arial"/>
          <w:i/>
        </w:rPr>
        <w:t>Voluntary Assisted Dying Act</w:t>
      </w:r>
    </w:p>
    <w:p w14:paraId="5FC7798A" w14:textId="61D0DE10" w:rsidR="00766637" w:rsidRPr="00E246CF" w:rsidRDefault="00766637" w:rsidP="00E246CF">
      <w:pPr>
        <w:spacing w:line="283" w:lineRule="auto"/>
        <w:jc w:val="both"/>
        <w:rPr>
          <w:rFonts w:ascii="Arial" w:hAnsi="Arial" w:cs="Arial"/>
          <w:iCs/>
        </w:rPr>
      </w:pPr>
      <w:r w:rsidRPr="00E246CF">
        <w:rPr>
          <w:rFonts w:ascii="Arial" w:hAnsi="Arial" w:cs="Arial"/>
          <w:iCs/>
        </w:rPr>
        <w:t>The</w:t>
      </w:r>
      <w:r w:rsidR="00910AFC" w:rsidRPr="00E246CF">
        <w:rPr>
          <w:rFonts w:ascii="Arial" w:hAnsi="Arial" w:cs="Arial"/>
          <w:iCs/>
        </w:rPr>
        <w:t xml:space="preserve"> other</w:t>
      </w:r>
      <w:r w:rsidRPr="00E246CF">
        <w:rPr>
          <w:rFonts w:ascii="Arial" w:hAnsi="Arial" w:cs="Arial"/>
          <w:iCs/>
        </w:rPr>
        <w:t xml:space="preserve"> amendment</w:t>
      </w:r>
      <w:r w:rsidR="00910AFC" w:rsidRPr="00E246CF">
        <w:rPr>
          <w:rFonts w:ascii="Arial" w:hAnsi="Arial" w:cs="Arial"/>
          <w:iCs/>
        </w:rPr>
        <w:t>s</w:t>
      </w:r>
      <w:r w:rsidRPr="00E246CF">
        <w:rPr>
          <w:rFonts w:ascii="Arial" w:hAnsi="Arial" w:cs="Arial"/>
          <w:iCs/>
        </w:rPr>
        <w:t xml:space="preserve"> to the Voluntary Assisted Dying Act </w:t>
      </w:r>
      <w:r w:rsidR="00642AF9">
        <w:rPr>
          <w:rFonts w:ascii="Arial" w:hAnsi="Arial" w:cs="Arial"/>
          <w:iCs/>
        </w:rPr>
        <w:t xml:space="preserve">are all minor and technical, </w:t>
      </w:r>
      <w:r w:rsidR="001F4B62">
        <w:rPr>
          <w:rFonts w:ascii="Arial" w:hAnsi="Arial" w:cs="Arial"/>
          <w:iCs/>
        </w:rPr>
        <w:t>an</w:t>
      </w:r>
      <w:r w:rsidR="00607F2E">
        <w:rPr>
          <w:rFonts w:ascii="Arial" w:hAnsi="Arial" w:cs="Arial"/>
          <w:iCs/>
        </w:rPr>
        <w:t xml:space="preserve">d </w:t>
      </w:r>
      <w:r w:rsidR="009B6016">
        <w:rPr>
          <w:rFonts w:ascii="Arial" w:hAnsi="Arial" w:cs="Arial"/>
          <w:iCs/>
        </w:rPr>
        <w:t>do</w:t>
      </w:r>
      <w:r w:rsidR="00607F2E">
        <w:rPr>
          <w:rFonts w:ascii="Arial" w:hAnsi="Arial" w:cs="Arial"/>
          <w:iCs/>
        </w:rPr>
        <w:t xml:space="preserve"> not substantively change the policy inten</w:t>
      </w:r>
      <w:r w:rsidR="00F709E1">
        <w:rPr>
          <w:rFonts w:ascii="Arial" w:hAnsi="Arial" w:cs="Arial"/>
          <w:iCs/>
        </w:rPr>
        <w:t>t</w:t>
      </w:r>
      <w:r w:rsidR="00607F2E">
        <w:rPr>
          <w:rFonts w:ascii="Arial" w:hAnsi="Arial" w:cs="Arial"/>
          <w:iCs/>
        </w:rPr>
        <w:t xml:space="preserve"> of the Act</w:t>
      </w:r>
      <w:r w:rsidR="00B237A9">
        <w:rPr>
          <w:rFonts w:ascii="Arial" w:hAnsi="Arial" w:cs="Arial"/>
          <w:iCs/>
        </w:rPr>
        <w:t xml:space="preserve"> and t</w:t>
      </w:r>
      <w:r w:rsidR="00607F2E">
        <w:rPr>
          <w:rFonts w:ascii="Arial" w:hAnsi="Arial" w:cs="Arial"/>
          <w:iCs/>
        </w:rPr>
        <w:t xml:space="preserve">herefore </w:t>
      </w:r>
      <w:r w:rsidR="001F4B62">
        <w:rPr>
          <w:rFonts w:ascii="Arial" w:hAnsi="Arial" w:cs="Arial"/>
          <w:iCs/>
        </w:rPr>
        <w:t>do not engage with human rights</w:t>
      </w:r>
      <w:r w:rsidR="00910AFC" w:rsidRPr="00E246CF">
        <w:rPr>
          <w:rFonts w:ascii="Arial" w:hAnsi="Arial" w:cs="Arial"/>
          <w:iCs/>
        </w:rPr>
        <w:t>.</w:t>
      </w:r>
    </w:p>
    <w:p w14:paraId="774721D1" w14:textId="165FC5EC" w:rsidR="00E90DF9" w:rsidRPr="000C6F83" w:rsidRDefault="00E90DF9" w:rsidP="00E246CF">
      <w:pPr>
        <w:keepNext/>
        <w:spacing w:line="283" w:lineRule="auto"/>
        <w:jc w:val="both"/>
        <w:rPr>
          <w:rFonts w:ascii="Arial" w:hAnsi="Arial" w:cs="Arial"/>
          <w:iCs/>
        </w:rPr>
      </w:pPr>
      <w:r w:rsidRPr="00E246CF">
        <w:rPr>
          <w:rFonts w:ascii="Arial" w:hAnsi="Arial" w:cs="Arial"/>
          <w:b/>
          <w:bCs/>
          <w:iCs/>
        </w:rPr>
        <w:t>Rights Promoted</w:t>
      </w:r>
    </w:p>
    <w:p w14:paraId="483B77C5" w14:textId="7083BA76" w:rsidR="00910AFC" w:rsidRPr="00E246CF" w:rsidRDefault="00BD42E0" w:rsidP="00E246CF">
      <w:pPr>
        <w:keepNext/>
        <w:spacing w:line="283" w:lineRule="auto"/>
        <w:rPr>
          <w:rFonts w:ascii="Arial" w:hAnsi="Arial" w:cs="Arial"/>
          <w:i/>
        </w:rPr>
      </w:pPr>
      <w:bookmarkStart w:id="8" w:name="_Hlk162512487"/>
      <w:r w:rsidRPr="00E246CF">
        <w:rPr>
          <w:rFonts w:ascii="Arial" w:hAnsi="Arial" w:cs="Arial"/>
          <w:i/>
        </w:rPr>
        <w:t>Health Act 199</w:t>
      </w:r>
      <w:r w:rsidR="00910AFC" w:rsidRPr="00E246CF">
        <w:rPr>
          <w:rFonts w:ascii="Arial" w:hAnsi="Arial" w:cs="Arial"/>
          <w:i/>
        </w:rPr>
        <w:t>3</w:t>
      </w:r>
      <w:bookmarkEnd w:id="8"/>
    </w:p>
    <w:p w14:paraId="3CCED59D" w14:textId="2C2D7BCF" w:rsidR="00B933C5" w:rsidRPr="00E246CF" w:rsidRDefault="00B933C5" w:rsidP="00E246CF">
      <w:pPr>
        <w:keepNext/>
        <w:spacing w:line="283" w:lineRule="auto"/>
        <w:rPr>
          <w:rFonts w:ascii="Arial" w:hAnsi="Arial" w:cs="Arial"/>
          <w:i/>
          <w:u w:val="single"/>
        </w:rPr>
      </w:pPr>
      <w:r w:rsidRPr="00E246CF">
        <w:rPr>
          <w:rFonts w:ascii="Arial" w:hAnsi="Arial" w:cs="Arial"/>
          <w:iCs/>
          <w:u w:val="single"/>
        </w:rPr>
        <w:t>Section 13 – Right to freedom of movement</w:t>
      </w:r>
    </w:p>
    <w:p w14:paraId="6C0F82EB" w14:textId="3E41B4BD" w:rsidR="000906CC" w:rsidRPr="00AB1DB8" w:rsidRDefault="000906CC" w:rsidP="000906CC">
      <w:pPr>
        <w:keepNext/>
        <w:spacing w:line="283" w:lineRule="auto"/>
        <w:rPr>
          <w:rFonts w:ascii="Arial" w:hAnsi="Arial" w:cs="Arial"/>
          <w:iCs/>
          <w:u w:val="single"/>
        </w:rPr>
      </w:pPr>
      <w:r>
        <w:rPr>
          <w:rFonts w:ascii="Arial" w:hAnsi="Arial" w:cs="Arial"/>
          <w:iCs/>
          <w:u w:val="single"/>
        </w:rPr>
        <w:t>Section 14 – Right to freedom of thought, conscience, religion and belief</w:t>
      </w:r>
    </w:p>
    <w:p w14:paraId="5B841036" w14:textId="7CF96C68" w:rsidR="00C43C55" w:rsidRPr="00E246CF" w:rsidRDefault="00C43C55" w:rsidP="00E246CF">
      <w:pPr>
        <w:keepNext/>
        <w:spacing w:line="283" w:lineRule="auto"/>
        <w:rPr>
          <w:rFonts w:ascii="Arial" w:hAnsi="Arial" w:cs="Arial"/>
          <w:iCs/>
          <w:u w:val="single"/>
        </w:rPr>
      </w:pPr>
      <w:r w:rsidRPr="00E246CF">
        <w:rPr>
          <w:rFonts w:ascii="Arial" w:hAnsi="Arial" w:cs="Arial"/>
          <w:iCs/>
          <w:u w:val="single"/>
        </w:rPr>
        <w:t>Section 15 – Right to peaceful assembly and freedom of association</w:t>
      </w:r>
    </w:p>
    <w:p w14:paraId="71865892" w14:textId="2999E993" w:rsidR="00C43C55" w:rsidRPr="00E246CF" w:rsidRDefault="00910AFC" w:rsidP="00E246CF">
      <w:pPr>
        <w:keepNext/>
        <w:spacing w:line="283" w:lineRule="auto"/>
        <w:rPr>
          <w:rFonts w:ascii="Arial" w:hAnsi="Arial" w:cs="Arial"/>
          <w:iCs/>
          <w:u w:val="single"/>
        </w:rPr>
      </w:pPr>
      <w:r w:rsidRPr="00E246CF">
        <w:rPr>
          <w:rFonts w:ascii="Arial" w:hAnsi="Arial" w:cs="Arial"/>
          <w:iCs/>
          <w:u w:val="single"/>
        </w:rPr>
        <w:t xml:space="preserve">Section 16 – Right to freedom of expression </w:t>
      </w:r>
    </w:p>
    <w:p w14:paraId="4EDAC136" w14:textId="55881410" w:rsidR="00B933C5" w:rsidRDefault="00B933C5" w:rsidP="00E246CF">
      <w:pPr>
        <w:spacing w:line="283" w:lineRule="auto"/>
        <w:jc w:val="both"/>
        <w:rPr>
          <w:rFonts w:ascii="Arial" w:hAnsi="Arial" w:cs="Arial"/>
          <w:iCs/>
        </w:rPr>
      </w:pPr>
      <w:r>
        <w:rPr>
          <w:rFonts w:ascii="Arial" w:hAnsi="Arial" w:cs="Arial"/>
          <w:iCs/>
        </w:rPr>
        <w:t xml:space="preserve">The Human Rights Act contains </w:t>
      </w:r>
      <w:proofErr w:type="gramStart"/>
      <w:r>
        <w:rPr>
          <w:rFonts w:ascii="Arial" w:hAnsi="Arial" w:cs="Arial"/>
          <w:iCs/>
        </w:rPr>
        <w:t>a number of</w:t>
      </w:r>
      <w:proofErr w:type="gramEnd"/>
      <w:r>
        <w:rPr>
          <w:rFonts w:ascii="Arial" w:hAnsi="Arial" w:cs="Arial"/>
          <w:iCs/>
        </w:rPr>
        <w:t xml:space="preserve"> rights connected with the right to freely protest and express </w:t>
      </w:r>
      <w:r w:rsidR="005B0A0A">
        <w:rPr>
          <w:rFonts w:ascii="Arial" w:hAnsi="Arial" w:cs="Arial"/>
          <w:iCs/>
        </w:rPr>
        <w:t>views and beliefs</w:t>
      </w:r>
      <w:r>
        <w:rPr>
          <w:rFonts w:ascii="Arial" w:hAnsi="Arial" w:cs="Arial"/>
          <w:iCs/>
        </w:rPr>
        <w:t>. These include:</w:t>
      </w:r>
    </w:p>
    <w:p w14:paraId="6E52B844" w14:textId="410B5671" w:rsidR="00B933C5" w:rsidRPr="00E246CF" w:rsidRDefault="00B933C5" w:rsidP="00E246CF">
      <w:pPr>
        <w:pStyle w:val="ListParagraph"/>
        <w:numPr>
          <w:ilvl w:val="0"/>
          <w:numId w:val="7"/>
        </w:numPr>
        <w:spacing w:before="240" w:line="283" w:lineRule="auto"/>
        <w:jc w:val="both"/>
        <w:rPr>
          <w:rFonts w:ascii="Arial" w:hAnsi="Arial" w:cs="Arial"/>
          <w:iCs/>
        </w:rPr>
      </w:pPr>
      <w:r w:rsidRPr="00E246CF">
        <w:rPr>
          <w:rFonts w:ascii="Arial" w:hAnsi="Arial" w:cs="Arial"/>
          <w:iCs/>
        </w:rPr>
        <w:t xml:space="preserve">Section 13 of the Human Rights Act </w:t>
      </w:r>
      <w:r w:rsidR="002E0FE5">
        <w:rPr>
          <w:rFonts w:ascii="Arial" w:hAnsi="Arial" w:cs="Arial"/>
          <w:iCs/>
        </w:rPr>
        <w:t xml:space="preserve">which </w:t>
      </w:r>
      <w:r w:rsidRPr="00E246CF">
        <w:rPr>
          <w:rFonts w:ascii="Arial" w:hAnsi="Arial" w:cs="Arial"/>
          <w:iCs/>
        </w:rPr>
        <w:t xml:space="preserve">provides that everyone has the right to move freely within the ACT and requires that procedural barriers should not be imposed arbitrarily on the free movement of people to and from public spaces or within those spaces. </w:t>
      </w:r>
    </w:p>
    <w:p w14:paraId="270535DF" w14:textId="2CA3CE83" w:rsidR="000906CC" w:rsidRPr="00E246CF" w:rsidRDefault="000906CC" w:rsidP="000906CC">
      <w:pPr>
        <w:pStyle w:val="ListParagraph"/>
        <w:numPr>
          <w:ilvl w:val="0"/>
          <w:numId w:val="7"/>
        </w:numPr>
        <w:spacing w:before="240" w:line="283" w:lineRule="auto"/>
        <w:jc w:val="both"/>
        <w:rPr>
          <w:rFonts w:ascii="Arial" w:hAnsi="Arial" w:cs="Arial"/>
          <w:iCs/>
        </w:rPr>
      </w:pPr>
      <w:r>
        <w:rPr>
          <w:rFonts w:ascii="Arial" w:hAnsi="Arial" w:cs="Arial"/>
          <w:iCs/>
        </w:rPr>
        <w:t>Section 14 of the Human Rights Act which provides tha</w:t>
      </w:r>
      <w:r w:rsidR="00131766">
        <w:rPr>
          <w:rFonts w:ascii="Arial" w:hAnsi="Arial" w:cs="Arial"/>
          <w:iCs/>
        </w:rPr>
        <w:t xml:space="preserve">t </w:t>
      </w:r>
      <w:r w:rsidR="006944F2">
        <w:rPr>
          <w:rFonts w:ascii="Arial" w:hAnsi="Arial" w:cs="Arial"/>
          <w:iCs/>
        </w:rPr>
        <w:t>everyone</w:t>
      </w:r>
      <w:r w:rsidR="00EF4510" w:rsidRPr="00EF4510">
        <w:rPr>
          <w:rFonts w:ascii="Arial" w:hAnsi="Arial" w:cs="Arial"/>
        </w:rPr>
        <w:t xml:space="preserve"> has the right to freedom of thought, conscience and religion. </w:t>
      </w:r>
      <w:r w:rsidR="00EF4510">
        <w:rPr>
          <w:rFonts w:ascii="Arial" w:hAnsi="Arial" w:cs="Arial"/>
        </w:rPr>
        <w:t>It states that all persons have the freedom</w:t>
      </w:r>
      <w:r w:rsidR="00EF4510" w:rsidRPr="00EF4510">
        <w:rPr>
          <w:rFonts w:cs="Times New Roman"/>
          <w:lang w:eastAsia="en-US"/>
        </w:rPr>
        <w:t xml:space="preserve"> </w:t>
      </w:r>
      <w:r w:rsidR="00EF4510" w:rsidRPr="00EF4510">
        <w:rPr>
          <w:rFonts w:ascii="Arial" w:hAnsi="Arial" w:cs="Arial"/>
        </w:rPr>
        <w:t xml:space="preserve">to have or to adopt a religion or belief of </w:t>
      </w:r>
      <w:r w:rsidR="00EF4510">
        <w:rPr>
          <w:rFonts w:ascii="Arial" w:hAnsi="Arial" w:cs="Arial"/>
        </w:rPr>
        <w:t xml:space="preserve">their own choosing and </w:t>
      </w:r>
      <w:r w:rsidR="000A3576">
        <w:rPr>
          <w:rFonts w:ascii="Arial" w:hAnsi="Arial" w:cs="Arial"/>
        </w:rPr>
        <w:t xml:space="preserve">have the freedom </w:t>
      </w:r>
      <w:r w:rsidR="00EF4510">
        <w:rPr>
          <w:rFonts w:ascii="Arial" w:hAnsi="Arial" w:cs="Arial"/>
        </w:rPr>
        <w:t>to demonstrat</w:t>
      </w:r>
      <w:r w:rsidR="000A3576">
        <w:rPr>
          <w:rFonts w:ascii="Arial" w:hAnsi="Arial" w:cs="Arial"/>
        </w:rPr>
        <w:t>e their religion</w:t>
      </w:r>
      <w:r w:rsidR="00EF4510" w:rsidRPr="00EF4510">
        <w:rPr>
          <w:rFonts w:ascii="Arial" w:hAnsi="Arial" w:cs="Arial"/>
        </w:rPr>
        <w:t xml:space="preserve"> or belief in worship, observance, practice and teaching</w:t>
      </w:r>
      <w:r w:rsidR="000A3576">
        <w:rPr>
          <w:rFonts w:ascii="Arial" w:hAnsi="Arial" w:cs="Arial"/>
        </w:rPr>
        <w:t xml:space="preserve">, whether in public or private. It also states that no one </w:t>
      </w:r>
      <w:r w:rsidR="000A3576" w:rsidRPr="000A3576">
        <w:rPr>
          <w:rFonts w:ascii="Arial" w:hAnsi="Arial" w:cs="Arial"/>
        </w:rPr>
        <w:t xml:space="preserve">may be coerced in a way that would limit </w:t>
      </w:r>
      <w:r w:rsidR="000A3576">
        <w:rPr>
          <w:rFonts w:ascii="Arial" w:hAnsi="Arial" w:cs="Arial"/>
        </w:rPr>
        <w:t>their</w:t>
      </w:r>
      <w:r w:rsidR="000A3576" w:rsidRPr="000A3576">
        <w:rPr>
          <w:rFonts w:ascii="Arial" w:hAnsi="Arial" w:cs="Arial"/>
        </w:rPr>
        <w:t xml:space="preserve"> freedom to have or adopt a religion or belief in worship, observance, practice or teaching</w:t>
      </w:r>
      <w:r w:rsidR="000A3576">
        <w:rPr>
          <w:rFonts w:ascii="Arial" w:hAnsi="Arial" w:cs="Arial"/>
        </w:rPr>
        <w:t>.</w:t>
      </w:r>
    </w:p>
    <w:p w14:paraId="64D8C8F1" w14:textId="202AC7FA" w:rsidR="008177B3" w:rsidRPr="00E246CF" w:rsidRDefault="00B933C5" w:rsidP="00E246CF">
      <w:pPr>
        <w:pStyle w:val="ListParagraph"/>
        <w:numPr>
          <w:ilvl w:val="0"/>
          <w:numId w:val="7"/>
        </w:numPr>
        <w:spacing w:before="240" w:line="283" w:lineRule="auto"/>
        <w:jc w:val="both"/>
        <w:rPr>
          <w:rFonts w:ascii="Arial" w:hAnsi="Arial" w:cs="Arial"/>
          <w:iCs/>
        </w:rPr>
      </w:pPr>
      <w:r w:rsidRPr="00E246CF">
        <w:rPr>
          <w:rFonts w:ascii="Arial" w:hAnsi="Arial" w:cs="Arial"/>
          <w:iCs/>
        </w:rPr>
        <w:t>S</w:t>
      </w:r>
      <w:r w:rsidR="008177B3" w:rsidRPr="00E246CF">
        <w:rPr>
          <w:rFonts w:ascii="Arial" w:hAnsi="Arial" w:cs="Arial"/>
          <w:iCs/>
        </w:rPr>
        <w:t xml:space="preserve">ection 15 of the Human Rights Act </w:t>
      </w:r>
      <w:r w:rsidR="002E0FE5">
        <w:rPr>
          <w:rFonts w:ascii="Arial" w:hAnsi="Arial" w:cs="Arial"/>
          <w:iCs/>
        </w:rPr>
        <w:t xml:space="preserve">which </w:t>
      </w:r>
      <w:r w:rsidR="008177B3" w:rsidRPr="00E246CF">
        <w:rPr>
          <w:rFonts w:ascii="Arial" w:hAnsi="Arial" w:cs="Arial"/>
          <w:iCs/>
        </w:rPr>
        <w:t xml:space="preserve">outlines the right to peaceful assembly and freedom of association. It states that all persons have the right </w:t>
      </w:r>
      <w:r w:rsidR="00AD7934" w:rsidRPr="00E246CF">
        <w:rPr>
          <w:rFonts w:ascii="Arial" w:hAnsi="Arial" w:cs="Arial"/>
          <w:iCs/>
        </w:rPr>
        <w:t>of peaceful assembly and the right to freedom of association.</w:t>
      </w:r>
      <w:r w:rsidR="00401116" w:rsidRPr="00E246CF">
        <w:rPr>
          <w:rFonts w:ascii="Arial" w:hAnsi="Arial" w:cs="Arial"/>
          <w:iCs/>
        </w:rPr>
        <w:t xml:space="preserve"> </w:t>
      </w:r>
      <w:r w:rsidR="00A72B19" w:rsidRPr="00E246CF">
        <w:rPr>
          <w:rFonts w:ascii="Arial" w:hAnsi="Arial" w:cs="Arial"/>
          <w:iCs/>
        </w:rPr>
        <w:t xml:space="preserve"> </w:t>
      </w:r>
    </w:p>
    <w:p w14:paraId="063D8AAC" w14:textId="0904827E" w:rsidR="009A4B08" w:rsidRPr="00E246CF" w:rsidRDefault="00910AFC" w:rsidP="00E246CF">
      <w:pPr>
        <w:pStyle w:val="ListParagraph"/>
        <w:numPr>
          <w:ilvl w:val="0"/>
          <w:numId w:val="7"/>
        </w:numPr>
        <w:spacing w:before="240" w:line="283" w:lineRule="auto"/>
        <w:jc w:val="both"/>
        <w:rPr>
          <w:rFonts w:ascii="Arial" w:hAnsi="Arial" w:cs="Arial"/>
          <w:iCs/>
        </w:rPr>
      </w:pPr>
      <w:r w:rsidRPr="00E246CF">
        <w:rPr>
          <w:rFonts w:ascii="Arial" w:hAnsi="Arial" w:cs="Arial"/>
          <w:iCs/>
        </w:rPr>
        <w:lastRenderedPageBreak/>
        <w:t xml:space="preserve">Section 16 of the Human Rights Act </w:t>
      </w:r>
      <w:r w:rsidR="002E0FE5">
        <w:rPr>
          <w:rFonts w:ascii="Arial" w:hAnsi="Arial" w:cs="Arial"/>
          <w:iCs/>
        </w:rPr>
        <w:t xml:space="preserve">which </w:t>
      </w:r>
      <w:r w:rsidRPr="00E246CF">
        <w:rPr>
          <w:rFonts w:ascii="Arial" w:hAnsi="Arial" w:cs="Arial"/>
          <w:iCs/>
        </w:rPr>
        <w:t xml:space="preserve">outlines the right to freedom of expression. It states that all persons have the right to hold opinions without interference, and the right to freedom of expression, which includes the freedom to seek, receive and impart information and ideas of all kinds, regardless of borders, whether orally, in writing or in print, by way of art, or in another way chosen by them. </w:t>
      </w:r>
    </w:p>
    <w:p w14:paraId="3C0AC19A" w14:textId="35DEB398" w:rsidR="001C5810" w:rsidRPr="00E246CF" w:rsidRDefault="00910AFC" w:rsidP="00E246CF">
      <w:pPr>
        <w:spacing w:before="240" w:line="283" w:lineRule="auto"/>
        <w:jc w:val="both"/>
        <w:rPr>
          <w:rFonts w:ascii="Arial" w:hAnsi="Arial" w:cs="Arial"/>
          <w:iCs/>
        </w:rPr>
      </w:pPr>
      <w:r w:rsidRPr="00E246CF">
        <w:rPr>
          <w:rFonts w:ascii="Arial" w:hAnsi="Arial" w:cs="Arial"/>
          <w:iCs/>
        </w:rPr>
        <w:t>This Bill promotes the</w:t>
      </w:r>
      <w:r w:rsidR="00766551">
        <w:rPr>
          <w:rFonts w:ascii="Arial" w:hAnsi="Arial" w:cs="Arial"/>
          <w:iCs/>
        </w:rPr>
        <w:t xml:space="preserve">se rights by ensuring that the declaration of protected areas </w:t>
      </w:r>
      <w:r w:rsidR="002E0FE5">
        <w:rPr>
          <w:rFonts w:ascii="Arial" w:hAnsi="Arial" w:cs="Arial"/>
          <w:iCs/>
        </w:rPr>
        <w:t>(</w:t>
      </w:r>
      <w:r w:rsidR="00766551">
        <w:rPr>
          <w:rFonts w:ascii="Arial" w:hAnsi="Arial" w:cs="Arial"/>
          <w:iCs/>
        </w:rPr>
        <w:t>which limit</w:t>
      </w:r>
      <w:r w:rsidR="005B0A0A">
        <w:rPr>
          <w:rFonts w:ascii="Arial" w:hAnsi="Arial" w:cs="Arial"/>
          <w:iCs/>
        </w:rPr>
        <w:t xml:space="preserve"> protest activities and therefore</w:t>
      </w:r>
      <w:r w:rsidR="00766551">
        <w:rPr>
          <w:rFonts w:ascii="Arial" w:hAnsi="Arial" w:cs="Arial"/>
          <w:iCs/>
        </w:rPr>
        <w:t xml:space="preserve"> each of these rights</w:t>
      </w:r>
      <w:r w:rsidR="002E0FE5">
        <w:rPr>
          <w:rFonts w:ascii="Arial" w:hAnsi="Arial" w:cs="Arial"/>
          <w:iCs/>
        </w:rPr>
        <w:t>)</w:t>
      </w:r>
      <w:r w:rsidR="00766551">
        <w:rPr>
          <w:rFonts w:ascii="Arial" w:hAnsi="Arial" w:cs="Arial"/>
          <w:iCs/>
        </w:rPr>
        <w:t xml:space="preserve"> are more carefully targeted to the needs of a particular facility. This will ensure that the rights of a person to protest outside of a medical facility (about matters which are not connected with access to abortion services) are not unduly hindered. </w:t>
      </w:r>
    </w:p>
    <w:p w14:paraId="44A2B1BA" w14:textId="53E80979" w:rsidR="005B0A0A" w:rsidRPr="00E246CF" w:rsidRDefault="00374F87" w:rsidP="00E246CF">
      <w:pPr>
        <w:spacing w:line="283" w:lineRule="auto"/>
        <w:jc w:val="both"/>
        <w:rPr>
          <w:rFonts w:ascii="Arial" w:hAnsi="Arial" w:cs="Arial"/>
          <w:iCs/>
        </w:rPr>
      </w:pPr>
      <w:r>
        <w:rPr>
          <w:rFonts w:ascii="Arial" w:hAnsi="Arial" w:cs="Arial"/>
          <w:iCs/>
        </w:rPr>
        <w:t>Because t</w:t>
      </w:r>
      <w:r w:rsidRPr="00EC3EF0">
        <w:rPr>
          <w:rFonts w:ascii="Arial" w:hAnsi="Arial" w:cs="Arial"/>
          <w:iCs/>
        </w:rPr>
        <w:t>he behaviours which are prohibited in a</w:t>
      </w:r>
      <w:r>
        <w:rPr>
          <w:rFonts w:ascii="Arial" w:hAnsi="Arial" w:cs="Arial"/>
          <w:iCs/>
        </w:rPr>
        <w:t xml:space="preserve"> </w:t>
      </w:r>
      <w:r w:rsidRPr="00EC3EF0">
        <w:rPr>
          <w:rFonts w:ascii="Arial" w:hAnsi="Arial" w:cs="Arial"/>
          <w:iCs/>
        </w:rPr>
        <w:t>protected area are broadly defined and include protest behaviour which is designed</w:t>
      </w:r>
      <w:r>
        <w:rPr>
          <w:rFonts w:ascii="Arial" w:hAnsi="Arial" w:cs="Arial"/>
          <w:iCs/>
        </w:rPr>
        <w:t xml:space="preserve"> </w:t>
      </w:r>
      <w:r w:rsidRPr="00EC3EF0">
        <w:rPr>
          <w:rFonts w:ascii="Arial" w:hAnsi="Arial" w:cs="Arial"/>
          <w:iCs/>
        </w:rPr>
        <w:t>to stop a person entering a facility (without requiring the protest behaviour to be</w:t>
      </w:r>
      <w:r>
        <w:rPr>
          <w:rFonts w:ascii="Arial" w:hAnsi="Arial" w:cs="Arial"/>
          <w:iCs/>
        </w:rPr>
        <w:t xml:space="preserve"> </w:t>
      </w:r>
      <w:r w:rsidRPr="00EC3EF0">
        <w:rPr>
          <w:rFonts w:ascii="Arial" w:hAnsi="Arial" w:cs="Arial"/>
          <w:iCs/>
        </w:rPr>
        <w:t>linked to abortion services)</w:t>
      </w:r>
      <w:r>
        <w:rPr>
          <w:rFonts w:ascii="Arial" w:hAnsi="Arial" w:cs="Arial"/>
          <w:iCs/>
        </w:rPr>
        <w:t>, declaring a protected area has the potential to limit a range of protest activities. For example, a protected area around the Canberra Hospital could have the effect of limiting protests outside that facility about other matters</w:t>
      </w:r>
      <w:r w:rsidR="002E0FE5">
        <w:rPr>
          <w:rFonts w:ascii="Arial" w:hAnsi="Arial" w:cs="Arial"/>
          <w:iCs/>
        </w:rPr>
        <w:t xml:space="preserve"> (such as protests relating to </w:t>
      </w:r>
      <w:r w:rsidR="003C1021">
        <w:rPr>
          <w:rFonts w:ascii="Arial" w:hAnsi="Arial" w:cs="Arial"/>
          <w:iCs/>
        </w:rPr>
        <w:t>industrial matters</w:t>
      </w:r>
      <w:r w:rsidR="002E0FE5">
        <w:rPr>
          <w:rFonts w:ascii="Arial" w:hAnsi="Arial" w:cs="Arial"/>
          <w:iCs/>
        </w:rPr>
        <w:t xml:space="preserve"> or health care service delivery)</w:t>
      </w:r>
      <w:r>
        <w:rPr>
          <w:rFonts w:ascii="Arial" w:hAnsi="Arial" w:cs="Arial"/>
          <w:iCs/>
        </w:rPr>
        <w:t xml:space="preserve">. </w:t>
      </w:r>
    </w:p>
    <w:p w14:paraId="36230D9C" w14:textId="23EC4290" w:rsidR="00910AFC" w:rsidRPr="00E246CF" w:rsidRDefault="001C5810" w:rsidP="00E246CF">
      <w:pPr>
        <w:spacing w:line="283" w:lineRule="auto"/>
        <w:jc w:val="both"/>
        <w:rPr>
          <w:rFonts w:ascii="Arial" w:hAnsi="Arial" w:cs="Arial"/>
          <w:iCs/>
        </w:rPr>
      </w:pPr>
      <w:r w:rsidRPr="00E246CF">
        <w:rPr>
          <w:rFonts w:ascii="Arial" w:hAnsi="Arial" w:cs="Arial"/>
          <w:iCs/>
        </w:rPr>
        <w:t xml:space="preserve">This Bill will promote the rights to freedom </w:t>
      </w:r>
      <w:r w:rsidR="00B237A9">
        <w:rPr>
          <w:rFonts w:ascii="Arial" w:hAnsi="Arial" w:cs="Arial"/>
          <w:iCs/>
        </w:rPr>
        <w:t xml:space="preserve">of </w:t>
      </w:r>
      <w:r w:rsidR="005B0A0A">
        <w:rPr>
          <w:rFonts w:ascii="Arial" w:hAnsi="Arial" w:cs="Arial"/>
          <w:iCs/>
        </w:rPr>
        <w:t>movement</w:t>
      </w:r>
      <w:r w:rsidRPr="00E246CF">
        <w:rPr>
          <w:rFonts w:ascii="Arial" w:hAnsi="Arial" w:cs="Arial"/>
          <w:iCs/>
        </w:rPr>
        <w:t xml:space="preserve">; </w:t>
      </w:r>
      <w:r w:rsidR="00741218" w:rsidRPr="00EF4510">
        <w:rPr>
          <w:rFonts w:ascii="Arial" w:hAnsi="Arial" w:cs="Arial"/>
        </w:rPr>
        <w:t>freedom of thought, conscience</w:t>
      </w:r>
      <w:r w:rsidR="00741218">
        <w:rPr>
          <w:rFonts w:ascii="Arial" w:hAnsi="Arial" w:cs="Arial"/>
        </w:rPr>
        <w:t xml:space="preserve">, </w:t>
      </w:r>
      <w:r w:rsidR="00741218" w:rsidRPr="00EF4510">
        <w:rPr>
          <w:rFonts w:ascii="Arial" w:hAnsi="Arial" w:cs="Arial"/>
        </w:rPr>
        <w:t>religion</w:t>
      </w:r>
      <w:r w:rsidR="00741218" w:rsidRPr="00E246CF">
        <w:rPr>
          <w:rFonts w:ascii="Arial" w:hAnsi="Arial" w:cs="Arial"/>
          <w:iCs/>
        </w:rPr>
        <w:t xml:space="preserve"> </w:t>
      </w:r>
      <w:r w:rsidR="00741218">
        <w:rPr>
          <w:rFonts w:ascii="Arial" w:hAnsi="Arial" w:cs="Arial"/>
          <w:iCs/>
        </w:rPr>
        <w:t xml:space="preserve">and belief; </w:t>
      </w:r>
      <w:r w:rsidRPr="00E246CF">
        <w:rPr>
          <w:rFonts w:ascii="Arial" w:hAnsi="Arial" w:cs="Arial"/>
          <w:iCs/>
        </w:rPr>
        <w:t xml:space="preserve">peaceful assembly and freedom of association; and freedom of expression; by amending the </w:t>
      </w:r>
      <w:r w:rsidR="009A4B08" w:rsidRPr="00E246CF">
        <w:rPr>
          <w:rFonts w:ascii="Arial" w:hAnsi="Arial" w:cs="Arial"/>
          <w:iCs/>
        </w:rPr>
        <w:t>Minister</w:t>
      </w:r>
      <w:r w:rsidRPr="00E246CF">
        <w:rPr>
          <w:rFonts w:ascii="Arial" w:hAnsi="Arial" w:cs="Arial"/>
          <w:iCs/>
        </w:rPr>
        <w:t xml:space="preserve">’s obligation to </w:t>
      </w:r>
      <w:r w:rsidR="009A4B08" w:rsidRPr="00E246CF">
        <w:rPr>
          <w:rFonts w:ascii="Arial" w:hAnsi="Arial" w:cs="Arial"/>
          <w:iCs/>
        </w:rPr>
        <w:t>declar</w:t>
      </w:r>
      <w:r w:rsidRPr="00E246CF">
        <w:rPr>
          <w:rFonts w:ascii="Arial" w:hAnsi="Arial" w:cs="Arial"/>
          <w:iCs/>
        </w:rPr>
        <w:t xml:space="preserve">e </w:t>
      </w:r>
      <w:r w:rsidR="009A4B08" w:rsidRPr="00E246CF">
        <w:rPr>
          <w:rFonts w:ascii="Arial" w:hAnsi="Arial" w:cs="Arial"/>
          <w:iCs/>
        </w:rPr>
        <w:t xml:space="preserve">a protected area around </w:t>
      </w:r>
      <w:r w:rsidRPr="00E246CF">
        <w:rPr>
          <w:rFonts w:ascii="Arial" w:hAnsi="Arial" w:cs="Arial"/>
          <w:iCs/>
        </w:rPr>
        <w:t>an approved medical facility</w:t>
      </w:r>
      <w:r w:rsidR="006A1E5C" w:rsidRPr="00E246CF">
        <w:rPr>
          <w:rFonts w:ascii="Arial" w:hAnsi="Arial" w:cs="Arial"/>
          <w:iCs/>
        </w:rPr>
        <w:t>,</w:t>
      </w:r>
      <w:r w:rsidRPr="00E246CF">
        <w:rPr>
          <w:rFonts w:ascii="Arial" w:hAnsi="Arial" w:cs="Arial"/>
          <w:iCs/>
        </w:rPr>
        <w:t xml:space="preserve"> </w:t>
      </w:r>
      <w:r w:rsidR="006A1E5C" w:rsidRPr="00E246CF">
        <w:rPr>
          <w:rFonts w:ascii="Arial" w:hAnsi="Arial" w:cs="Arial"/>
          <w:iCs/>
        </w:rPr>
        <w:t>so that they only need to make such a declaration upon application by a person on behalf of an approved medical facility.</w:t>
      </w:r>
      <w:r w:rsidR="005B0A0A">
        <w:rPr>
          <w:rFonts w:ascii="Arial" w:hAnsi="Arial" w:cs="Arial"/>
          <w:iCs/>
        </w:rPr>
        <w:t xml:space="preserve"> It will also </w:t>
      </w:r>
      <w:r w:rsidR="002E0FE5">
        <w:rPr>
          <w:rFonts w:ascii="Arial" w:hAnsi="Arial" w:cs="Arial"/>
          <w:iCs/>
        </w:rPr>
        <w:t xml:space="preserve">allow </w:t>
      </w:r>
      <w:r w:rsidR="005B0A0A">
        <w:rPr>
          <w:rFonts w:ascii="Arial" w:hAnsi="Arial" w:cs="Arial"/>
          <w:iCs/>
        </w:rPr>
        <w:t xml:space="preserve">a facility to be defined more narrowly </w:t>
      </w:r>
      <w:r w:rsidR="002E0FE5">
        <w:rPr>
          <w:rFonts w:ascii="Arial" w:hAnsi="Arial" w:cs="Arial"/>
          <w:iCs/>
        </w:rPr>
        <w:t>– that is</w:t>
      </w:r>
      <w:r w:rsidR="00B237A9">
        <w:rPr>
          <w:rFonts w:ascii="Arial" w:hAnsi="Arial" w:cs="Arial"/>
          <w:iCs/>
        </w:rPr>
        <w:t>,</w:t>
      </w:r>
      <w:r w:rsidR="002E0FE5">
        <w:rPr>
          <w:rFonts w:ascii="Arial" w:hAnsi="Arial" w:cs="Arial"/>
          <w:iCs/>
        </w:rPr>
        <w:t xml:space="preserve"> part of a </w:t>
      </w:r>
      <w:r w:rsidR="005B0A0A">
        <w:rPr>
          <w:rFonts w:ascii="Arial" w:hAnsi="Arial" w:cs="Arial"/>
          <w:iCs/>
        </w:rPr>
        <w:t>facility</w:t>
      </w:r>
      <w:r w:rsidR="002E0FE5">
        <w:rPr>
          <w:rFonts w:ascii="Arial" w:hAnsi="Arial" w:cs="Arial"/>
          <w:iCs/>
        </w:rPr>
        <w:t xml:space="preserve"> can be declared an approved medical facility </w:t>
      </w:r>
      <w:r w:rsidR="00B237A9">
        <w:rPr>
          <w:rFonts w:ascii="Arial" w:hAnsi="Arial" w:cs="Arial"/>
          <w:iCs/>
        </w:rPr>
        <w:t>–</w:t>
      </w:r>
      <w:r w:rsidR="005B0A0A">
        <w:rPr>
          <w:rFonts w:ascii="Arial" w:hAnsi="Arial" w:cs="Arial"/>
          <w:iCs/>
        </w:rPr>
        <w:t xml:space="preserve"> which will also allow protected areas around facilities to be better targeted. Together</w:t>
      </w:r>
      <w:r w:rsidR="00B237A9">
        <w:rPr>
          <w:rFonts w:ascii="Arial" w:hAnsi="Arial" w:cs="Arial"/>
          <w:iCs/>
        </w:rPr>
        <w:t>,</w:t>
      </w:r>
      <w:r w:rsidR="005B0A0A">
        <w:rPr>
          <w:rFonts w:ascii="Arial" w:hAnsi="Arial" w:cs="Arial"/>
          <w:iCs/>
        </w:rPr>
        <w:t xml:space="preserve"> these reforms will allow people responsible for the management of a facility to consider whether a protected area becomes necessary for the people accessing that facility, and prevent a mandatory obligation to declare unduly large, or unnecessary protected areas. </w:t>
      </w:r>
    </w:p>
    <w:p w14:paraId="54FE1438" w14:textId="29391C0A" w:rsidR="00E90DF9" w:rsidRPr="00E246CF" w:rsidRDefault="00E90DF9" w:rsidP="00E246CF">
      <w:pPr>
        <w:keepNext/>
        <w:spacing w:line="283" w:lineRule="auto"/>
        <w:rPr>
          <w:rFonts w:ascii="Arial" w:hAnsi="Arial" w:cs="Arial"/>
          <w:b/>
          <w:bCs/>
          <w:i/>
        </w:rPr>
      </w:pPr>
      <w:r w:rsidRPr="00E246CF">
        <w:rPr>
          <w:rFonts w:ascii="Arial" w:hAnsi="Arial" w:cs="Arial"/>
          <w:b/>
          <w:bCs/>
          <w:i/>
        </w:rPr>
        <w:t>Rights Limited</w:t>
      </w:r>
    </w:p>
    <w:p w14:paraId="502C4B5A" w14:textId="77777777" w:rsidR="0083272F" w:rsidRPr="00E246CF" w:rsidRDefault="0083272F" w:rsidP="00E246CF">
      <w:pPr>
        <w:keepNext/>
        <w:spacing w:line="283" w:lineRule="auto"/>
        <w:rPr>
          <w:rFonts w:ascii="Arial" w:hAnsi="Arial" w:cs="Arial"/>
          <w:i/>
        </w:rPr>
      </w:pPr>
      <w:r w:rsidRPr="00E246CF">
        <w:rPr>
          <w:rFonts w:ascii="Arial" w:hAnsi="Arial" w:cs="Arial"/>
          <w:i/>
        </w:rPr>
        <w:t>Health Act 1993</w:t>
      </w:r>
    </w:p>
    <w:p w14:paraId="4E538B32" w14:textId="530D4176" w:rsidR="0083272F" w:rsidRPr="00E246CF" w:rsidRDefault="0083272F" w:rsidP="00E246CF">
      <w:pPr>
        <w:keepNext/>
        <w:spacing w:line="283" w:lineRule="auto"/>
        <w:rPr>
          <w:rFonts w:ascii="Arial" w:hAnsi="Arial" w:cs="Arial"/>
          <w:iCs/>
          <w:u w:val="single"/>
        </w:rPr>
      </w:pPr>
      <w:r w:rsidRPr="00E246CF">
        <w:rPr>
          <w:rFonts w:ascii="Arial" w:hAnsi="Arial" w:cs="Arial"/>
          <w:iCs/>
          <w:u w:val="single"/>
        </w:rPr>
        <w:t>Section 12 – Right to privacy and reputation</w:t>
      </w:r>
    </w:p>
    <w:p w14:paraId="39978987" w14:textId="77777777" w:rsidR="00E90DF9" w:rsidRPr="00E246CF" w:rsidRDefault="00E90DF9" w:rsidP="00E246CF">
      <w:pPr>
        <w:pStyle w:val="ListParagraph"/>
        <w:keepNext/>
        <w:numPr>
          <w:ilvl w:val="0"/>
          <w:numId w:val="1"/>
        </w:numPr>
        <w:spacing w:line="283" w:lineRule="auto"/>
        <w:rPr>
          <w:rFonts w:ascii="Arial" w:hAnsi="Arial" w:cs="Arial"/>
          <w:b/>
          <w:bCs/>
          <w:i/>
        </w:rPr>
      </w:pPr>
      <w:r w:rsidRPr="00E246CF">
        <w:rPr>
          <w:rFonts w:ascii="Arial" w:hAnsi="Arial" w:cs="Arial"/>
          <w:b/>
          <w:bCs/>
          <w:i/>
        </w:rPr>
        <w:t>Nature of the right and the limitation (s28(a) and (c))</w:t>
      </w:r>
    </w:p>
    <w:p w14:paraId="0583DAB6" w14:textId="77777777" w:rsidR="00E90DF9" w:rsidRPr="000C6F83" w:rsidRDefault="00E90DF9" w:rsidP="00E246CF">
      <w:pPr>
        <w:pStyle w:val="ListParagraph"/>
        <w:keepNext/>
        <w:spacing w:line="283" w:lineRule="auto"/>
        <w:ind w:left="360"/>
        <w:rPr>
          <w:rFonts w:ascii="Arial" w:hAnsi="Arial" w:cs="Arial"/>
          <w:i/>
        </w:rPr>
      </w:pPr>
    </w:p>
    <w:p w14:paraId="2FA14E84" w14:textId="77777777" w:rsidR="00241F31" w:rsidRPr="00E246CF" w:rsidRDefault="00241F31" w:rsidP="00E246CF">
      <w:pPr>
        <w:pStyle w:val="ListParagraph"/>
        <w:spacing w:line="283" w:lineRule="auto"/>
        <w:ind w:left="0"/>
        <w:jc w:val="both"/>
        <w:rPr>
          <w:rFonts w:ascii="Arial" w:hAnsi="Arial" w:cs="Arial"/>
          <w:iCs/>
        </w:rPr>
      </w:pPr>
      <w:r w:rsidRPr="00E246CF">
        <w:rPr>
          <w:rFonts w:ascii="Arial" w:hAnsi="Arial" w:cs="Arial"/>
          <w:iCs/>
        </w:rPr>
        <w:t xml:space="preserve">Section 12 of the Human Rights Act outlines the right to privacy and reputation. It states that all persons have the right not to have their privacy, family, home or correspondence interfered with unlawfully or arbitrarily, and not to have their reputation unlawfully attacked. </w:t>
      </w:r>
    </w:p>
    <w:p w14:paraId="78034823" w14:textId="77777777" w:rsidR="00241F31" w:rsidRPr="00E246CF" w:rsidRDefault="00241F31" w:rsidP="00E246CF">
      <w:pPr>
        <w:pStyle w:val="ListParagraph"/>
        <w:spacing w:line="283" w:lineRule="auto"/>
        <w:ind w:left="0"/>
        <w:jc w:val="both"/>
        <w:rPr>
          <w:rFonts w:ascii="Arial" w:hAnsi="Arial" w:cs="Arial"/>
          <w:iCs/>
        </w:rPr>
      </w:pPr>
    </w:p>
    <w:p w14:paraId="5A09708B" w14:textId="4FB487BC" w:rsidR="00376B97" w:rsidRDefault="001F4B62" w:rsidP="00E246CF">
      <w:pPr>
        <w:pStyle w:val="ListParagraph"/>
        <w:spacing w:line="283" w:lineRule="auto"/>
        <w:ind w:left="0"/>
        <w:jc w:val="both"/>
        <w:rPr>
          <w:rFonts w:ascii="Arial" w:hAnsi="Arial" w:cs="Arial"/>
          <w:iCs/>
        </w:rPr>
      </w:pPr>
      <w:r>
        <w:rPr>
          <w:rFonts w:ascii="Arial" w:hAnsi="Arial" w:cs="Arial"/>
          <w:iCs/>
        </w:rPr>
        <w:t>Although the Bill will continue to require that the Minister declare a protected area around any</w:t>
      </w:r>
      <w:r w:rsidR="00741218">
        <w:rPr>
          <w:rFonts w:ascii="Arial" w:hAnsi="Arial" w:cs="Arial"/>
          <w:iCs/>
        </w:rPr>
        <w:t xml:space="preserve"> </w:t>
      </w:r>
      <w:r w:rsidR="00741218" w:rsidRPr="00741218">
        <w:rPr>
          <w:rFonts w:ascii="Arial" w:hAnsi="Arial" w:cs="Arial"/>
          <w:iCs/>
        </w:rPr>
        <w:t xml:space="preserve">medical facility approved to carry out surgical abortions </w:t>
      </w:r>
      <w:r>
        <w:rPr>
          <w:rFonts w:ascii="Arial" w:hAnsi="Arial" w:cs="Arial"/>
          <w:iCs/>
        </w:rPr>
        <w:t xml:space="preserve">which requests that protection, the Bill will not mandate a protected area around every </w:t>
      </w:r>
      <w:r w:rsidR="00741218">
        <w:rPr>
          <w:rFonts w:ascii="Arial" w:hAnsi="Arial" w:cs="Arial"/>
          <w:iCs/>
        </w:rPr>
        <w:t xml:space="preserve">approved medical </w:t>
      </w:r>
      <w:r>
        <w:rPr>
          <w:rFonts w:ascii="Arial" w:hAnsi="Arial" w:cs="Arial"/>
          <w:iCs/>
        </w:rPr>
        <w:t xml:space="preserve">facility. As it will no longer be required to declare a mandatory protected area around every approved medical facility, the </w:t>
      </w:r>
      <w:r w:rsidR="00241F31" w:rsidRPr="00E246CF">
        <w:rPr>
          <w:rFonts w:ascii="Arial" w:hAnsi="Arial" w:cs="Arial"/>
          <w:iCs/>
        </w:rPr>
        <w:t xml:space="preserve">Bill </w:t>
      </w:r>
      <w:r w:rsidR="000906CC">
        <w:rPr>
          <w:rFonts w:ascii="Arial" w:hAnsi="Arial" w:cs="Arial"/>
          <w:iCs/>
        </w:rPr>
        <w:t xml:space="preserve">may </w:t>
      </w:r>
      <w:r>
        <w:rPr>
          <w:rFonts w:ascii="Arial" w:hAnsi="Arial" w:cs="Arial"/>
          <w:iCs/>
        </w:rPr>
        <w:t xml:space="preserve">engage with the </w:t>
      </w:r>
      <w:r w:rsidR="00241F31" w:rsidRPr="00E246CF">
        <w:rPr>
          <w:rFonts w:ascii="Arial" w:hAnsi="Arial" w:cs="Arial"/>
          <w:iCs/>
        </w:rPr>
        <w:t>right to privacy and reputation for healthcare consumers who may access abortion services</w:t>
      </w:r>
      <w:r w:rsidR="00376B97">
        <w:rPr>
          <w:rFonts w:ascii="Arial" w:hAnsi="Arial" w:cs="Arial"/>
          <w:iCs/>
        </w:rPr>
        <w:t>.</w:t>
      </w:r>
      <w:r w:rsidR="008A6450">
        <w:rPr>
          <w:rFonts w:ascii="Arial" w:hAnsi="Arial" w:cs="Arial"/>
          <w:iCs/>
        </w:rPr>
        <w:t xml:space="preserve"> An individual’s right to privacy may be limited to the </w:t>
      </w:r>
      <w:r w:rsidR="008A6450" w:rsidRPr="000F4B7D">
        <w:rPr>
          <w:rFonts w:ascii="Arial" w:hAnsi="Arial" w:cs="Arial"/>
          <w:iCs/>
        </w:rPr>
        <w:t xml:space="preserve">extent that anti-abortion behaviour may occur within 50 metres of any point of an approved medical facility, </w:t>
      </w:r>
      <w:r w:rsidR="008A6450" w:rsidRPr="000F4B7D">
        <w:rPr>
          <w:rFonts w:ascii="Arial" w:hAnsi="Arial" w:cs="Arial"/>
          <w:iCs/>
        </w:rPr>
        <w:lastRenderedPageBreak/>
        <w:t>where an application has not been made by a person on behalf of such a facility to have the Minister declare a protected area around it.</w:t>
      </w:r>
    </w:p>
    <w:p w14:paraId="6D75091D" w14:textId="7693B77E" w:rsidR="00241F31" w:rsidRPr="000C6F83" w:rsidRDefault="00376B97" w:rsidP="00E246CF">
      <w:pPr>
        <w:pStyle w:val="ListParagraph"/>
        <w:spacing w:before="240" w:line="283" w:lineRule="auto"/>
        <w:ind w:left="0"/>
        <w:jc w:val="both"/>
        <w:rPr>
          <w:rFonts w:ascii="Arial" w:hAnsi="Arial" w:cs="Arial"/>
          <w:iCs/>
        </w:rPr>
      </w:pPr>
      <w:r>
        <w:rPr>
          <w:rFonts w:ascii="Arial" w:hAnsi="Arial" w:cs="Arial"/>
          <w:iCs/>
        </w:rPr>
        <w:t xml:space="preserve">It is noted however that this </w:t>
      </w:r>
      <w:r w:rsidR="000906CC">
        <w:rPr>
          <w:rFonts w:ascii="Arial" w:hAnsi="Arial" w:cs="Arial"/>
          <w:iCs/>
        </w:rPr>
        <w:t xml:space="preserve">limitation </w:t>
      </w:r>
      <w:r>
        <w:rPr>
          <w:rFonts w:ascii="Arial" w:hAnsi="Arial" w:cs="Arial"/>
          <w:iCs/>
        </w:rPr>
        <w:t xml:space="preserve">is </w:t>
      </w:r>
      <w:r w:rsidR="000906CC">
        <w:rPr>
          <w:rFonts w:ascii="Arial" w:hAnsi="Arial" w:cs="Arial"/>
          <w:iCs/>
        </w:rPr>
        <w:t>unlikely to eventuate</w:t>
      </w:r>
      <w:r>
        <w:rPr>
          <w:rFonts w:ascii="Arial" w:hAnsi="Arial" w:cs="Arial"/>
          <w:iCs/>
        </w:rPr>
        <w:t>, as the privacy benefit of a protected area is inherently linked with the ability for protest activity to target and identify individuals seeking to access abortion services.</w:t>
      </w:r>
      <w:r w:rsidR="008A6450">
        <w:rPr>
          <w:rFonts w:ascii="Arial" w:hAnsi="Arial" w:cs="Arial"/>
          <w:iCs/>
        </w:rPr>
        <w:t xml:space="preserve"> This risk is not relevant to every facility, particularly those</w:t>
      </w:r>
      <w:r w:rsidR="00494E56">
        <w:rPr>
          <w:rFonts w:ascii="Arial" w:hAnsi="Arial" w:cs="Arial"/>
          <w:iCs/>
        </w:rPr>
        <w:t xml:space="preserve"> </w:t>
      </w:r>
      <w:r w:rsidR="008A6450">
        <w:rPr>
          <w:rFonts w:ascii="Arial" w:hAnsi="Arial" w:cs="Arial"/>
          <w:iCs/>
        </w:rPr>
        <w:t>wh</w:t>
      </w:r>
      <w:r w:rsidR="00494E56">
        <w:rPr>
          <w:rFonts w:ascii="Arial" w:hAnsi="Arial" w:cs="Arial"/>
          <w:iCs/>
        </w:rPr>
        <w:t>ich</w:t>
      </w:r>
      <w:r w:rsidR="008A6450">
        <w:rPr>
          <w:rFonts w:ascii="Arial" w:hAnsi="Arial" w:cs="Arial"/>
          <w:iCs/>
        </w:rPr>
        <w:t xml:space="preserve"> provide abortions only as a small part of </w:t>
      </w:r>
      <w:r w:rsidR="00B237A9">
        <w:rPr>
          <w:rFonts w:ascii="Arial" w:hAnsi="Arial" w:cs="Arial"/>
          <w:iCs/>
        </w:rPr>
        <w:t xml:space="preserve">a </w:t>
      </w:r>
      <w:r w:rsidR="008A6450">
        <w:rPr>
          <w:rFonts w:ascii="Arial" w:hAnsi="Arial" w:cs="Arial"/>
          <w:iCs/>
        </w:rPr>
        <w:t xml:space="preserve">broad and diverse </w:t>
      </w:r>
      <w:r w:rsidR="00B237A9">
        <w:rPr>
          <w:rFonts w:ascii="Arial" w:hAnsi="Arial" w:cs="Arial"/>
          <w:iCs/>
        </w:rPr>
        <w:t xml:space="preserve">range of </w:t>
      </w:r>
      <w:r w:rsidR="008A6450">
        <w:rPr>
          <w:rFonts w:ascii="Arial" w:hAnsi="Arial" w:cs="Arial"/>
          <w:iCs/>
        </w:rPr>
        <w:t>services</w:t>
      </w:r>
      <w:r w:rsidR="00494E56">
        <w:rPr>
          <w:rFonts w:ascii="Arial" w:hAnsi="Arial" w:cs="Arial"/>
          <w:iCs/>
        </w:rPr>
        <w:t xml:space="preserve"> (such as the four facilities currently authorised to provide surgical abortions which do </w:t>
      </w:r>
      <w:r w:rsidR="00494E56" w:rsidRPr="000C6F83">
        <w:rPr>
          <w:rFonts w:ascii="Arial" w:hAnsi="Arial" w:cs="Arial"/>
          <w:iCs/>
        </w:rPr>
        <w:t>not have a declared protected area)</w:t>
      </w:r>
      <w:r w:rsidR="008A6450" w:rsidRPr="000C6F83">
        <w:rPr>
          <w:rFonts w:ascii="Arial" w:hAnsi="Arial" w:cs="Arial"/>
          <w:iCs/>
        </w:rPr>
        <w:t>.</w:t>
      </w:r>
    </w:p>
    <w:p w14:paraId="38DB061E" w14:textId="77777777" w:rsidR="00E90DF9" w:rsidRPr="000C6F83" w:rsidRDefault="00E90DF9" w:rsidP="00E246CF">
      <w:pPr>
        <w:pStyle w:val="ListParagraph"/>
        <w:spacing w:line="283" w:lineRule="auto"/>
        <w:ind w:left="360"/>
        <w:jc w:val="both"/>
        <w:rPr>
          <w:rFonts w:ascii="Arial" w:hAnsi="Arial" w:cs="Arial"/>
          <w:i/>
        </w:rPr>
      </w:pPr>
    </w:p>
    <w:p w14:paraId="45867F3F" w14:textId="77777777" w:rsidR="00E90DF9" w:rsidRPr="000C6F83" w:rsidRDefault="00E90DF9" w:rsidP="00E246CF">
      <w:pPr>
        <w:pStyle w:val="ListParagraph"/>
        <w:numPr>
          <w:ilvl w:val="0"/>
          <w:numId w:val="1"/>
        </w:numPr>
        <w:spacing w:line="283" w:lineRule="auto"/>
        <w:jc w:val="both"/>
        <w:rPr>
          <w:rFonts w:ascii="Arial" w:hAnsi="Arial" w:cs="Arial"/>
          <w:b/>
          <w:bCs/>
          <w:i/>
        </w:rPr>
      </w:pPr>
      <w:r w:rsidRPr="000C6F83">
        <w:rPr>
          <w:rFonts w:ascii="Arial" w:hAnsi="Arial" w:cs="Arial"/>
          <w:b/>
          <w:bCs/>
          <w:i/>
        </w:rPr>
        <w:t>Legitimate purpose (s28(b))</w:t>
      </w:r>
    </w:p>
    <w:p w14:paraId="53CC5F44" w14:textId="77777777" w:rsidR="00E90DF9" w:rsidRPr="000C6F83" w:rsidRDefault="00E90DF9" w:rsidP="00E246CF">
      <w:pPr>
        <w:pStyle w:val="ListParagraph"/>
        <w:spacing w:line="283" w:lineRule="auto"/>
        <w:ind w:left="360"/>
        <w:jc w:val="both"/>
        <w:rPr>
          <w:rFonts w:ascii="Arial" w:hAnsi="Arial" w:cs="Arial"/>
          <w:i/>
        </w:rPr>
      </w:pPr>
    </w:p>
    <w:p w14:paraId="51346B7D" w14:textId="4BCA6A65" w:rsidR="00E90DF9" w:rsidRPr="000C6F83" w:rsidRDefault="00843E16" w:rsidP="00E246CF">
      <w:pPr>
        <w:pStyle w:val="ListParagraph"/>
        <w:spacing w:line="283" w:lineRule="auto"/>
        <w:ind w:left="0"/>
        <w:jc w:val="both"/>
        <w:rPr>
          <w:rFonts w:ascii="Arial" w:hAnsi="Arial" w:cs="Arial"/>
          <w:iCs/>
        </w:rPr>
      </w:pPr>
      <w:r w:rsidRPr="000C6F83">
        <w:rPr>
          <w:rFonts w:ascii="Arial" w:hAnsi="Arial" w:cs="Arial"/>
          <w:iCs/>
        </w:rPr>
        <w:t xml:space="preserve">The amendment has a legitimate purpose, as it will promote the rights to freedom </w:t>
      </w:r>
      <w:r w:rsidR="00B237A9" w:rsidRPr="000C6F83">
        <w:rPr>
          <w:rFonts w:ascii="Arial" w:hAnsi="Arial" w:cs="Arial"/>
          <w:iCs/>
        </w:rPr>
        <w:t xml:space="preserve">of </w:t>
      </w:r>
      <w:r w:rsidR="008A6450" w:rsidRPr="000C6F83">
        <w:rPr>
          <w:rFonts w:ascii="Arial" w:hAnsi="Arial" w:cs="Arial"/>
          <w:iCs/>
        </w:rPr>
        <w:t>movement</w:t>
      </w:r>
      <w:r w:rsidRPr="000C6F83">
        <w:rPr>
          <w:rFonts w:ascii="Arial" w:hAnsi="Arial" w:cs="Arial"/>
          <w:iCs/>
        </w:rPr>
        <w:t xml:space="preserve">; </w:t>
      </w:r>
      <w:r w:rsidR="000906CC" w:rsidRPr="000C6F83">
        <w:rPr>
          <w:rFonts w:ascii="Arial" w:hAnsi="Arial" w:cs="Arial"/>
          <w:iCs/>
        </w:rPr>
        <w:t xml:space="preserve">freedom of thought, conscience, religion and belief; </w:t>
      </w:r>
      <w:r w:rsidRPr="000C6F83">
        <w:rPr>
          <w:rFonts w:ascii="Arial" w:hAnsi="Arial" w:cs="Arial"/>
          <w:iCs/>
        </w:rPr>
        <w:t xml:space="preserve">peaceful assembly and freedom of association; and freedom of expression; </w:t>
      </w:r>
      <w:r w:rsidR="008A6450" w:rsidRPr="000C6F83">
        <w:rPr>
          <w:rFonts w:ascii="Arial" w:hAnsi="Arial" w:cs="Arial"/>
          <w:iCs/>
        </w:rPr>
        <w:t xml:space="preserve">to ensure that protest rights (including </w:t>
      </w:r>
      <w:r w:rsidRPr="000C6F83">
        <w:rPr>
          <w:rFonts w:ascii="Arial" w:hAnsi="Arial" w:cs="Arial"/>
          <w:iCs/>
        </w:rPr>
        <w:t>for</w:t>
      </w:r>
      <w:r w:rsidR="00B237A9" w:rsidRPr="000C6F83">
        <w:rPr>
          <w:rFonts w:ascii="Arial" w:hAnsi="Arial" w:cs="Arial"/>
          <w:iCs/>
        </w:rPr>
        <w:t xml:space="preserve"> the</w:t>
      </w:r>
      <w:r w:rsidRPr="000C6F83">
        <w:rPr>
          <w:rFonts w:ascii="Arial" w:hAnsi="Arial" w:cs="Arial"/>
          <w:iCs/>
        </w:rPr>
        <w:t xml:space="preserve"> healthcare work</w:t>
      </w:r>
      <w:r w:rsidR="008A6450" w:rsidRPr="000C6F83">
        <w:rPr>
          <w:rFonts w:ascii="Arial" w:hAnsi="Arial" w:cs="Arial"/>
          <w:iCs/>
        </w:rPr>
        <w:t>force</w:t>
      </w:r>
      <w:r w:rsidRPr="000C6F83">
        <w:rPr>
          <w:rFonts w:ascii="Arial" w:hAnsi="Arial" w:cs="Arial"/>
          <w:iCs/>
        </w:rPr>
        <w:t xml:space="preserve"> and members of the broader community</w:t>
      </w:r>
      <w:r w:rsidR="008A6450" w:rsidRPr="000C6F83">
        <w:rPr>
          <w:rFonts w:ascii="Arial" w:hAnsi="Arial" w:cs="Arial"/>
          <w:iCs/>
        </w:rPr>
        <w:t>)</w:t>
      </w:r>
      <w:r w:rsidRPr="000C6F83">
        <w:rPr>
          <w:rFonts w:ascii="Arial" w:hAnsi="Arial" w:cs="Arial"/>
          <w:iCs/>
        </w:rPr>
        <w:t xml:space="preserve"> </w:t>
      </w:r>
      <w:r w:rsidR="008A6450" w:rsidRPr="000C6F83">
        <w:rPr>
          <w:rFonts w:ascii="Arial" w:hAnsi="Arial" w:cs="Arial"/>
          <w:iCs/>
        </w:rPr>
        <w:t xml:space="preserve">outside of medical facilities are not unduly limited. </w:t>
      </w:r>
    </w:p>
    <w:p w14:paraId="26516128" w14:textId="77777777" w:rsidR="00843E16" w:rsidRPr="000C6F83" w:rsidRDefault="00843E16" w:rsidP="00E246CF">
      <w:pPr>
        <w:pStyle w:val="ListParagraph"/>
        <w:spacing w:line="283" w:lineRule="auto"/>
        <w:ind w:left="360"/>
        <w:jc w:val="both"/>
        <w:rPr>
          <w:rFonts w:ascii="Arial" w:hAnsi="Arial" w:cs="Arial"/>
          <w:i/>
        </w:rPr>
      </w:pPr>
    </w:p>
    <w:p w14:paraId="630C85B5" w14:textId="77777777" w:rsidR="00E90DF9" w:rsidRPr="000C6F83" w:rsidRDefault="00E90DF9" w:rsidP="00426B1A">
      <w:pPr>
        <w:pStyle w:val="ListParagraph"/>
        <w:keepNext/>
        <w:numPr>
          <w:ilvl w:val="0"/>
          <w:numId w:val="1"/>
        </w:numPr>
        <w:spacing w:line="283" w:lineRule="auto"/>
        <w:ind w:left="357" w:hanging="357"/>
        <w:jc w:val="both"/>
        <w:rPr>
          <w:rFonts w:ascii="Arial" w:hAnsi="Arial" w:cs="Arial"/>
          <w:b/>
          <w:bCs/>
          <w:i/>
        </w:rPr>
      </w:pPr>
      <w:r w:rsidRPr="000C6F83">
        <w:rPr>
          <w:rFonts w:ascii="Arial" w:hAnsi="Arial" w:cs="Arial"/>
          <w:b/>
          <w:bCs/>
          <w:i/>
        </w:rPr>
        <w:t>Rational connection between the limitation and the purpose (s28(d))</w:t>
      </w:r>
    </w:p>
    <w:p w14:paraId="72724EC9" w14:textId="77777777" w:rsidR="00E90DF9" w:rsidRPr="000C6F83" w:rsidRDefault="00E90DF9" w:rsidP="00E246CF">
      <w:pPr>
        <w:pStyle w:val="ListParagraph"/>
        <w:spacing w:line="283" w:lineRule="auto"/>
        <w:ind w:left="360"/>
        <w:jc w:val="both"/>
        <w:rPr>
          <w:rFonts w:ascii="Arial" w:hAnsi="Arial" w:cs="Arial"/>
          <w:i/>
        </w:rPr>
      </w:pPr>
    </w:p>
    <w:p w14:paraId="184CC409" w14:textId="74BE48B6" w:rsidR="00843E16" w:rsidRPr="000C6F83" w:rsidRDefault="00843E16" w:rsidP="00E246CF">
      <w:pPr>
        <w:pStyle w:val="ListParagraph"/>
        <w:spacing w:line="283" w:lineRule="auto"/>
        <w:ind w:left="0"/>
        <w:jc w:val="both"/>
        <w:rPr>
          <w:rFonts w:ascii="Arial" w:hAnsi="Arial" w:cs="Arial"/>
          <w:i/>
        </w:rPr>
      </w:pPr>
      <w:r w:rsidRPr="000C6F83">
        <w:rPr>
          <w:rFonts w:ascii="Arial" w:hAnsi="Arial" w:cs="Arial"/>
          <w:iCs/>
        </w:rPr>
        <w:t xml:space="preserve">There is a rational connection between amending the Minister’s obligation to declare a protected area around approved medical facilities and the legitimate purpose of promoting rights </w:t>
      </w:r>
      <w:r w:rsidR="000906CC" w:rsidRPr="000C6F83">
        <w:rPr>
          <w:rFonts w:ascii="Arial" w:hAnsi="Arial" w:cs="Arial"/>
          <w:iCs/>
        </w:rPr>
        <w:t>relating to protest</w:t>
      </w:r>
      <w:r w:rsidRPr="000C6F83">
        <w:rPr>
          <w:rFonts w:ascii="Arial" w:hAnsi="Arial" w:cs="Arial"/>
          <w:iCs/>
        </w:rPr>
        <w:t xml:space="preserve">. The connection is that the Minister only being required to declare a protected area where an application has been made for one by an approved medical facility will </w:t>
      </w:r>
      <w:r w:rsidR="008A6450" w:rsidRPr="000C6F83">
        <w:rPr>
          <w:rFonts w:ascii="Arial" w:hAnsi="Arial" w:cs="Arial"/>
          <w:iCs/>
        </w:rPr>
        <w:t xml:space="preserve">help to ensure that protected areas are only made where the facility requires one. This will in turn ensure that </w:t>
      </w:r>
      <w:r w:rsidRPr="000C6F83">
        <w:rPr>
          <w:rFonts w:ascii="Arial" w:hAnsi="Arial" w:cs="Arial"/>
          <w:iCs/>
        </w:rPr>
        <w:t xml:space="preserve">the scope for members of the community to assemble and express their views </w:t>
      </w:r>
      <w:r w:rsidR="006D04A9" w:rsidRPr="000C6F83">
        <w:rPr>
          <w:rFonts w:ascii="Arial" w:hAnsi="Arial" w:cs="Arial"/>
          <w:iCs/>
        </w:rPr>
        <w:t>in closer proximity to an approved medical facility</w:t>
      </w:r>
      <w:r w:rsidR="008A6450" w:rsidRPr="000C6F83">
        <w:rPr>
          <w:rFonts w:ascii="Arial" w:hAnsi="Arial" w:cs="Arial"/>
          <w:iCs/>
        </w:rPr>
        <w:t xml:space="preserve"> is not unduly restricted. </w:t>
      </w:r>
    </w:p>
    <w:p w14:paraId="1980ADC1" w14:textId="77777777" w:rsidR="00843E16" w:rsidRPr="000C6F83" w:rsidRDefault="00843E16" w:rsidP="00E246CF">
      <w:pPr>
        <w:pStyle w:val="ListParagraph"/>
        <w:spacing w:line="283" w:lineRule="auto"/>
        <w:ind w:left="360"/>
        <w:rPr>
          <w:rFonts w:ascii="Arial" w:hAnsi="Arial" w:cs="Arial"/>
          <w:i/>
        </w:rPr>
      </w:pPr>
    </w:p>
    <w:p w14:paraId="30AEBBAB" w14:textId="77777777" w:rsidR="00E90DF9" w:rsidRPr="00E246CF" w:rsidRDefault="00E90DF9" w:rsidP="00E246CF">
      <w:pPr>
        <w:pStyle w:val="ListParagraph"/>
        <w:numPr>
          <w:ilvl w:val="0"/>
          <w:numId w:val="1"/>
        </w:numPr>
        <w:spacing w:line="283" w:lineRule="auto"/>
        <w:rPr>
          <w:rFonts w:ascii="Arial" w:hAnsi="Arial" w:cs="Arial"/>
          <w:b/>
          <w:bCs/>
          <w:i/>
        </w:rPr>
      </w:pPr>
      <w:r w:rsidRPr="00E246CF">
        <w:rPr>
          <w:rFonts w:ascii="Arial" w:hAnsi="Arial" w:cs="Arial"/>
          <w:b/>
          <w:bCs/>
          <w:i/>
        </w:rPr>
        <w:t>Proportionality (s28 (e))</w:t>
      </w:r>
    </w:p>
    <w:p w14:paraId="3A624D3D" w14:textId="77777777" w:rsidR="00E90DF9" w:rsidRPr="00E246CF" w:rsidRDefault="00E90DF9" w:rsidP="00E246CF">
      <w:pPr>
        <w:pStyle w:val="ListParagraph"/>
        <w:spacing w:line="283" w:lineRule="auto"/>
        <w:ind w:left="360"/>
        <w:rPr>
          <w:rFonts w:ascii="Arial" w:hAnsi="Arial" w:cs="Arial"/>
          <w:b/>
          <w:bCs/>
          <w:i/>
        </w:rPr>
      </w:pPr>
    </w:p>
    <w:p w14:paraId="4CB728FF" w14:textId="4DCA2743" w:rsidR="00313891" w:rsidRPr="00E246CF" w:rsidRDefault="008A6450" w:rsidP="00E246CF">
      <w:pPr>
        <w:pStyle w:val="ListParagraph"/>
        <w:spacing w:line="283" w:lineRule="auto"/>
        <w:ind w:left="0"/>
        <w:jc w:val="both"/>
        <w:rPr>
          <w:rFonts w:ascii="Arial" w:hAnsi="Arial" w:cs="Arial"/>
          <w:iCs/>
        </w:rPr>
      </w:pPr>
      <w:r>
        <w:rPr>
          <w:rFonts w:ascii="Arial" w:hAnsi="Arial" w:cs="Arial"/>
          <w:iCs/>
        </w:rPr>
        <w:t xml:space="preserve">To the extent that this right </w:t>
      </w:r>
      <w:r w:rsidR="000906CC">
        <w:rPr>
          <w:rFonts w:ascii="Arial" w:hAnsi="Arial" w:cs="Arial"/>
          <w:iCs/>
        </w:rPr>
        <w:t>may</w:t>
      </w:r>
      <w:r>
        <w:rPr>
          <w:rFonts w:ascii="Arial" w:hAnsi="Arial" w:cs="Arial"/>
          <w:iCs/>
        </w:rPr>
        <w:t xml:space="preserve"> be limited, the </w:t>
      </w:r>
      <w:r w:rsidR="006D04A9" w:rsidRPr="00E246CF">
        <w:rPr>
          <w:rFonts w:ascii="Arial" w:hAnsi="Arial" w:cs="Arial"/>
          <w:iCs/>
        </w:rPr>
        <w:t xml:space="preserve">limitation is </w:t>
      </w:r>
      <w:r>
        <w:rPr>
          <w:rFonts w:ascii="Arial" w:hAnsi="Arial" w:cs="Arial"/>
          <w:iCs/>
        </w:rPr>
        <w:t>r</w:t>
      </w:r>
      <w:r w:rsidR="006D04A9" w:rsidRPr="00E246CF">
        <w:rPr>
          <w:rFonts w:ascii="Arial" w:hAnsi="Arial" w:cs="Arial"/>
          <w:iCs/>
        </w:rPr>
        <w:t>easonable and proportionate in the circumstances.</w:t>
      </w:r>
    </w:p>
    <w:p w14:paraId="5CAA5A45" w14:textId="77777777" w:rsidR="00313891" w:rsidRPr="00E246CF" w:rsidRDefault="00313891" w:rsidP="00E246CF">
      <w:pPr>
        <w:pStyle w:val="ListParagraph"/>
        <w:spacing w:line="283" w:lineRule="auto"/>
        <w:ind w:left="0"/>
        <w:jc w:val="both"/>
        <w:rPr>
          <w:rFonts w:ascii="Arial" w:hAnsi="Arial" w:cs="Arial"/>
          <w:iCs/>
        </w:rPr>
      </w:pPr>
    </w:p>
    <w:p w14:paraId="5E4BECB8" w14:textId="1BF354A9" w:rsidR="008A6450" w:rsidRPr="007820CB" w:rsidRDefault="00231AC1" w:rsidP="00E246CF">
      <w:pPr>
        <w:pStyle w:val="ListParagraph"/>
        <w:spacing w:line="283" w:lineRule="auto"/>
        <w:ind w:left="0"/>
        <w:jc w:val="both"/>
        <w:rPr>
          <w:rFonts w:ascii="Arial" w:hAnsi="Arial" w:cs="Arial"/>
          <w:iCs/>
        </w:rPr>
      </w:pPr>
      <w:r w:rsidRPr="00E246CF">
        <w:rPr>
          <w:rFonts w:ascii="Arial" w:hAnsi="Arial" w:cs="Arial"/>
          <w:iCs/>
        </w:rPr>
        <w:t xml:space="preserve">The current wording of the Act creates a broad obligation for the Minister to declare a protected area of no less than 50 metres around all points of an approved medical facility, including in circumstances where the facility </w:t>
      </w:r>
      <w:r w:rsidR="00693CF2" w:rsidRPr="00E246CF">
        <w:rPr>
          <w:rFonts w:ascii="Arial" w:hAnsi="Arial" w:cs="Arial"/>
          <w:iCs/>
        </w:rPr>
        <w:t>may have many visitors regularly accessing</w:t>
      </w:r>
      <w:r w:rsidRPr="00E246CF">
        <w:rPr>
          <w:rFonts w:ascii="Arial" w:hAnsi="Arial" w:cs="Arial"/>
          <w:iCs/>
        </w:rPr>
        <w:t xml:space="preserve"> </w:t>
      </w:r>
      <w:r w:rsidR="00693CF2" w:rsidRPr="00E246CF">
        <w:rPr>
          <w:rFonts w:ascii="Arial" w:hAnsi="Arial" w:cs="Arial"/>
          <w:iCs/>
        </w:rPr>
        <w:t xml:space="preserve">a </w:t>
      </w:r>
      <w:r w:rsidRPr="00E246CF">
        <w:rPr>
          <w:rFonts w:ascii="Arial" w:hAnsi="Arial" w:cs="Arial"/>
          <w:iCs/>
        </w:rPr>
        <w:t xml:space="preserve">wide range of </w:t>
      </w:r>
      <w:r w:rsidR="00693CF2" w:rsidRPr="00E246CF">
        <w:rPr>
          <w:rFonts w:ascii="Arial" w:hAnsi="Arial" w:cs="Arial"/>
          <w:iCs/>
        </w:rPr>
        <w:t xml:space="preserve">other </w:t>
      </w:r>
      <w:r w:rsidRPr="00E246CF">
        <w:rPr>
          <w:rFonts w:ascii="Arial" w:hAnsi="Arial" w:cs="Arial"/>
          <w:iCs/>
        </w:rPr>
        <w:t>healthcare services</w:t>
      </w:r>
      <w:r w:rsidR="00693CF2" w:rsidRPr="00E246CF">
        <w:rPr>
          <w:rFonts w:ascii="Arial" w:hAnsi="Arial" w:cs="Arial"/>
          <w:iCs/>
        </w:rPr>
        <w:t xml:space="preserve"> besides abortion entering and exiting through various entry ways</w:t>
      </w:r>
      <w:r w:rsidRPr="00E246CF">
        <w:rPr>
          <w:rFonts w:ascii="Arial" w:hAnsi="Arial" w:cs="Arial"/>
          <w:iCs/>
        </w:rPr>
        <w:t xml:space="preserve"> and/or may otherwise not deem it necessary in practice. </w:t>
      </w:r>
      <w:r w:rsidR="00E33F1C" w:rsidRPr="007820CB">
        <w:rPr>
          <w:rFonts w:ascii="Arial" w:hAnsi="Arial" w:cs="Arial"/>
          <w:iCs/>
        </w:rPr>
        <w:t xml:space="preserve">For large facilities, such as hospitals, if a protected area was declared, it would be extensive and would unduly burden the rights to freedom </w:t>
      </w:r>
      <w:r w:rsidR="00B237A9">
        <w:rPr>
          <w:rFonts w:ascii="Arial" w:hAnsi="Arial" w:cs="Arial"/>
          <w:iCs/>
        </w:rPr>
        <w:t xml:space="preserve">of </w:t>
      </w:r>
      <w:r w:rsidR="00E33F1C" w:rsidRPr="007820CB">
        <w:rPr>
          <w:rFonts w:ascii="Arial" w:hAnsi="Arial" w:cs="Arial"/>
          <w:iCs/>
        </w:rPr>
        <w:t xml:space="preserve">movement; </w:t>
      </w:r>
      <w:r w:rsidR="0058410C" w:rsidRPr="00131766">
        <w:rPr>
          <w:rFonts w:ascii="Arial" w:hAnsi="Arial" w:cs="Arial"/>
          <w:iCs/>
        </w:rPr>
        <w:t>freedom of thought, conscience, religion and belief;</w:t>
      </w:r>
      <w:r w:rsidR="0058410C">
        <w:rPr>
          <w:rFonts w:ascii="Arial" w:hAnsi="Arial" w:cs="Arial"/>
          <w:iCs/>
        </w:rPr>
        <w:t xml:space="preserve"> </w:t>
      </w:r>
      <w:r w:rsidR="00E33F1C" w:rsidRPr="007820CB">
        <w:rPr>
          <w:rFonts w:ascii="Arial" w:hAnsi="Arial" w:cs="Arial"/>
          <w:iCs/>
        </w:rPr>
        <w:t>peaceful assembly and freedom of association; and freedom of expression</w:t>
      </w:r>
      <w:r w:rsidR="006B1BA3">
        <w:rPr>
          <w:rFonts w:ascii="Arial" w:hAnsi="Arial" w:cs="Arial"/>
          <w:iCs/>
        </w:rPr>
        <w:t xml:space="preserve"> within those areas</w:t>
      </w:r>
      <w:r w:rsidR="00E33F1C" w:rsidRPr="007820CB">
        <w:rPr>
          <w:rFonts w:ascii="Arial" w:hAnsi="Arial" w:cs="Arial"/>
          <w:iCs/>
        </w:rPr>
        <w:t>.</w:t>
      </w:r>
    </w:p>
    <w:p w14:paraId="7637011F" w14:textId="6103A2D8" w:rsidR="006D04A9" w:rsidRPr="00E246CF" w:rsidRDefault="00231AC1" w:rsidP="00E246CF">
      <w:pPr>
        <w:pStyle w:val="ListParagraph"/>
        <w:spacing w:before="240" w:line="283" w:lineRule="auto"/>
        <w:ind w:left="0"/>
        <w:jc w:val="both"/>
        <w:rPr>
          <w:rFonts w:ascii="Arial" w:hAnsi="Arial" w:cs="Arial"/>
          <w:iCs/>
        </w:rPr>
      </w:pPr>
      <w:r w:rsidRPr="00E246CF">
        <w:rPr>
          <w:rFonts w:ascii="Arial" w:hAnsi="Arial" w:cs="Arial"/>
          <w:iCs/>
        </w:rPr>
        <w:t xml:space="preserve">Currently, only one out of </w:t>
      </w:r>
      <w:r w:rsidR="009B6016">
        <w:rPr>
          <w:rFonts w:ascii="Arial" w:hAnsi="Arial" w:cs="Arial"/>
          <w:iCs/>
        </w:rPr>
        <w:t>five</w:t>
      </w:r>
      <w:r w:rsidRPr="00E246CF">
        <w:rPr>
          <w:rFonts w:ascii="Arial" w:hAnsi="Arial" w:cs="Arial"/>
          <w:iCs/>
        </w:rPr>
        <w:t xml:space="preserve"> </w:t>
      </w:r>
      <w:r w:rsidR="00E33F1C" w:rsidRPr="00E246CF">
        <w:rPr>
          <w:rFonts w:ascii="Arial" w:hAnsi="Arial" w:cs="Arial"/>
          <w:iCs/>
        </w:rPr>
        <w:t xml:space="preserve">approved medical </w:t>
      </w:r>
      <w:r w:rsidRPr="00E246CF">
        <w:rPr>
          <w:rFonts w:ascii="Arial" w:hAnsi="Arial" w:cs="Arial"/>
          <w:iCs/>
        </w:rPr>
        <w:t xml:space="preserve">facilities have a protected area formally declared. </w:t>
      </w:r>
      <w:r w:rsidR="00DD0E8B">
        <w:rPr>
          <w:rFonts w:ascii="Arial" w:hAnsi="Arial" w:cs="Arial"/>
          <w:iCs/>
        </w:rPr>
        <w:t>S</w:t>
      </w:r>
      <w:r w:rsidRPr="00E246CF">
        <w:rPr>
          <w:rFonts w:ascii="Arial" w:hAnsi="Arial" w:cs="Arial"/>
          <w:iCs/>
        </w:rPr>
        <w:t>ince the provision took effect in early 2016, no issues have been raised</w:t>
      </w:r>
      <w:r w:rsidR="00E33F1C" w:rsidRPr="00E246CF">
        <w:rPr>
          <w:rFonts w:ascii="Arial" w:hAnsi="Arial" w:cs="Arial"/>
          <w:iCs/>
        </w:rPr>
        <w:t xml:space="preserve"> in relation to protest activities at the facilities for which there is not currently a protected area. </w:t>
      </w:r>
    </w:p>
    <w:p w14:paraId="2C8FF6A6" w14:textId="77777777" w:rsidR="006D04A9" w:rsidRPr="00E246CF" w:rsidRDefault="006D04A9" w:rsidP="00E246CF">
      <w:pPr>
        <w:pStyle w:val="ListParagraph"/>
        <w:spacing w:line="283" w:lineRule="auto"/>
        <w:ind w:left="0"/>
        <w:jc w:val="both"/>
        <w:rPr>
          <w:rFonts w:ascii="Arial" w:hAnsi="Arial" w:cs="Arial"/>
          <w:iCs/>
        </w:rPr>
      </w:pPr>
    </w:p>
    <w:p w14:paraId="0CA193D8" w14:textId="3EDC5404" w:rsidR="00D5693E" w:rsidRPr="00E246CF" w:rsidRDefault="00607F2E" w:rsidP="00E246CF">
      <w:pPr>
        <w:pStyle w:val="ListParagraph"/>
        <w:spacing w:line="283" w:lineRule="auto"/>
        <w:ind w:left="0"/>
        <w:jc w:val="both"/>
        <w:rPr>
          <w:rFonts w:ascii="Arial" w:hAnsi="Arial" w:cs="Arial"/>
          <w:iCs/>
        </w:rPr>
      </w:pPr>
      <w:r w:rsidRPr="007820CB">
        <w:rPr>
          <w:rFonts w:ascii="Arial" w:hAnsi="Arial" w:cs="Arial"/>
          <w:iCs/>
        </w:rPr>
        <w:lastRenderedPageBreak/>
        <w:t xml:space="preserve">The amendment has been carefully targeted to ensure the key safeguards </w:t>
      </w:r>
      <w:r w:rsidR="00AD2A8B">
        <w:rPr>
          <w:rFonts w:ascii="Arial" w:hAnsi="Arial" w:cs="Arial"/>
          <w:iCs/>
        </w:rPr>
        <w:t xml:space="preserve">of the Act </w:t>
      </w:r>
      <w:r w:rsidRPr="007820CB">
        <w:rPr>
          <w:rFonts w:ascii="Arial" w:hAnsi="Arial" w:cs="Arial"/>
          <w:iCs/>
        </w:rPr>
        <w:t xml:space="preserve">to </w:t>
      </w:r>
      <w:r w:rsidR="005A6794" w:rsidRPr="007820CB">
        <w:rPr>
          <w:rFonts w:ascii="Arial" w:hAnsi="Arial" w:cs="Arial"/>
          <w:iCs/>
        </w:rPr>
        <w:t xml:space="preserve">the </w:t>
      </w:r>
      <w:r w:rsidRPr="007820CB">
        <w:rPr>
          <w:rFonts w:ascii="Arial" w:hAnsi="Arial" w:cs="Arial"/>
          <w:iCs/>
        </w:rPr>
        <w:t xml:space="preserve">privacy </w:t>
      </w:r>
      <w:r w:rsidR="005A6794" w:rsidRPr="007820CB">
        <w:rPr>
          <w:rFonts w:ascii="Arial" w:hAnsi="Arial" w:cs="Arial"/>
          <w:iCs/>
        </w:rPr>
        <w:t xml:space="preserve">of those seeking to access abortion services </w:t>
      </w:r>
      <w:r w:rsidRPr="007820CB">
        <w:rPr>
          <w:rFonts w:ascii="Arial" w:hAnsi="Arial" w:cs="Arial"/>
          <w:iCs/>
        </w:rPr>
        <w:t xml:space="preserve">are retained. </w:t>
      </w:r>
      <w:r w:rsidR="005A6794" w:rsidRPr="007820CB">
        <w:rPr>
          <w:rFonts w:ascii="Arial" w:hAnsi="Arial" w:cs="Arial"/>
          <w:iCs/>
        </w:rPr>
        <w:t xml:space="preserve">The </w:t>
      </w:r>
      <w:r w:rsidR="00AD2A8B">
        <w:rPr>
          <w:rFonts w:ascii="Arial" w:hAnsi="Arial" w:cs="Arial"/>
          <w:iCs/>
        </w:rPr>
        <w:t xml:space="preserve">primary </w:t>
      </w:r>
      <w:r w:rsidR="00693CF2" w:rsidRPr="00E246CF">
        <w:rPr>
          <w:rFonts w:ascii="Arial" w:hAnsi="Arial" w:cs="Arial"/>
          <w:iCs/>
        </w:rPr>
        <w:t>s</w:t>
      </w:r>
      <w:r w:rsidR="006D04A9" w:rsidRPr="00E246CF">
        <w:rPr>
          <w:rFonts w:ascii="Arial" w:hAnsi="Arial" w:cs="Arial"/>
          <w:iCs/>
        </w:rPr>
        <w:t xml:space="preserve">afeguard </w:t>
      </w:r>
      <w:r w:rsidR="005A6794" w:rsidRPr="007820CB">
        <w:rPr>
          <w:rFonts w:ascii="Arial" w:hAnsi="Arial" w:cs="Arial"/>
          <w:iCs/>
        </w:rPr>
        <w:t xml:space="preserve">is that the Minister is still required to </w:t>
      </w:r>
      <w:r w:rsidR="006B1BA3">
        <w:rPr>
          <w:rFonts w:ascii="Arial" w:hAnsi="Arial" w:cs="Arial"/>
          <w:iCs/>
        </w:rPr>
        <w:t>declare</w:t>
      </w:r>
      <w:r w:rsidR="005A6794" w:rsidRPr="007820CB">
        <w:rPr>
          <w:rFonts w:ascii="Arial" w:hAnsi="Arial" w:cs="Arial"/>
          <w:iCs/>
        </w:rPr>
        <w:t xml:space="preserve"> a protected area around an approved medical facility, if that has been requested by a person responsible for the facility. This means that </w:t>
      </w:r>
      <w:r w:rsidR="007820CB" w:rsidRPr="007820CB">
        <w:rPr>
          <w:rFonts w:ascii="Arial" w:hAnsi="Arial" w:cs="Arial"/>
          <w:iCs/>
        </w:rPr>
        <w:t xml:space="preserve">every </w:t>
      </w:r>
      <w:r w:rsidR="00AD2A8B">
        <w:rPr>
          <w:rFonts w:ascii="Arial" w:hAnsi="Arial" w:cs="Arial"/>
          <w:iCs/>
        </w:rPr>
        <w:t xml:space="preserve">approved medical </w:t>
      </w:r>
      <w:r w:rsidR="007820CB" w:rsidRPr="007820CB">
        <w:rPr>
          <w:rFonts w:ascii="Arial" w:hAnsi="Arial" w:cs="Arial"/>
          <w:iCs/>
        </w:rPr>
        <w:t xml:space="preserve">facility </w:t>
      </w:r>
      <w:r w:rsidR="00AD2A8B">
        <w:rPr>
          <w:rFonts w:ascii="Arial" w:hAnsi="Arial" w:cs="Arial"/>
          <w:iCs/>
        </w:rPr>
        <w:t>will have</w:t>
      </w:r>
      <w:r w:rsidR="007820CB" w:rsidRPr="007820CB">
        <w:rPr>
          <w:rFonts w:ascii="Arial" w:hAnsi="Arial" w:cs="Arial"/>
          <w:iCs/>
        </w:rPr>
        <w:t xml:space="preserve"> a clear right and process to achieve the relevant protection. Further,</w:t>
      </w:r>
      <w:r w:rsidR="00533F1D" w:rsidRPr="00E246CF">
        <w:rPr>
          <w:rFonts w:ascii="Arial" w:hAnsi="Arial" w:cs="Arial"/>
          <w:iCs/>
        </w:rPr>
        <w:t xml:space="preserve"> </w:t>
      </w:r>
      <w:r w:rsidR="007820CB" w:rsidRPr="007820CB">
        <w:rPr>
          <w:rFonts w:ascii="Arial" w:hAnsi="Arial" w:cs="Arial"/>
          <w:iCs/>
        </w:rPr>
        <w:t xml:space="preserve">the protections in relation to the </w:t>
      </w:r>
      <w:r w:rsidR="00533F1D" w:rsidRPr="00E246CF">
        <w:rPr>
          <w:rFonts w:ascii="Arial" w:hAnsi="Arial" w:cs="Arial"/>
          <w:iCs/>
        </w:rPr>
        <w:t>Minister</w:t>
      </w:r>
      <w:r w:rsidR="007820CB" w:rsidRPr="007820CB">
        <w:rPr>
          <w:rFonts w:ascii="Arial" w:hAnsi="Arial" w:cs="Arial"/>
          <w:iCs/>
        </w:rPr>
        <w:t xml:space="preserve">’s authority to </w:t>
      </w:r>
      <w:r w:rsidR="00533F1D" w:rsidRPr="00E246CF">
        <w:rPr>
          <w:rFonts w:ascii="Arial" w:hAnsi="Arial" w:cs="Arial"/>
          <w:iCs/>
        </w:rPr>
        <w:t>declare an area around a place where an abortifacient is prescribed, supplied or administered to be a protected area (section 86(2))</w:t>
      </w:r>
      <w:r w:rsidR="007820CB" w:rsidRPr="007820CB">
        <w:rPr>
          <w:rFonts w:ascii="Arial" w:hAnsi="Arial" w:cs="Arial"/>
          <w:iCs/>
        </w:rPr>
        <w:t xml:space="preserve"> will continue unamended</w:t>
      </w:r>
      <w:r w:rsidR="00533F1D" w:rsidRPr="00E246CF">
        <w:rPr>
          <w:rFonts w:ascii="Arial" w:hAnsi="Arial" w:cs="Arial"/>
          <w:iCs/>
        </w:rPr>
        <w:t>.</w:t>
      </w:r>
    </w:p>
    <w:p w14:paraId="0F257902" w14:textId="77777777" w:rsidR="00313891" w:rsidRPr="00E246CF" w:rsidRDefault="00313891" w:rsidP="00E246CF">
      <w:pPr>
        <w:pStyle w:val="ListParagraph"/>
        <w:spacing w:line="283" w:lineRule="auto"/>
        <w:ind w:left="0"/>
        <w:jc w:val="both"/>
        <w:rPr>
          <w:rFonts w:ascii="Arial" w:hAnsi="Arial" w:cs="Arial"/>
          <w:iCs/>
        </w:rPr>
      </w:pPr>
    </w:p>
    <w:p w14:paraId="58F3155D" w14:textId="638B354C" w:rsidR="000A3576" w:rsidRDefault="0027759A" w:rsidP="00DB4390">
      <w:pPr>
        <w:pStyle w:val="ListParagraph"/>
        <w:spacing w:line="283" w:lineRule="auto"/>
        <w:ind w:left="0"/>
        <w:jc w:val="both"/>
        <w:rPr>
          <w:rFonts w:ascii="Arial" w:hAnsi="Arial" w:cs="Arial"/>
          <w:iCs/>
        </w:rPr>
      </w:pPr>
      <w:r w:rsidRPr="00E246CF">
        <w:rPr>
          <w:rFonts w:ascii="Arial" w:hAnsi="Arial" w:cs="Arial"/>
          <w:iCs/>
        </w:rPr>
        <w:t>In adjusting the Minister’s obligation to declare a protected area to only be upon application from a</w:t>
      </w:r>
      <w:r w:rsidR="006B1BA3">
        <w:rPr>
          <w:rFonts w:ascii="Arial" w:hAnsi="Arial" w:cs="Arial"/>
          <w:iCs/>
        </w:rPr>
        <w:t xml:space="preserve"> person responsible for a</w:t>
      </w:r>
      <w:r w:rsidRPr="00E246CF">
        <w:rPr>
          <w:rFonts w:ascii="Arial" w:hAnsi="Arial" w:cs="Arial"/>
          <w:iCs/>
        </w:rPr>
        <w:t>n approved medical facility, while also retaining the key safeguard</w:t>
      </w:r>
      <w:r w:rsidR="00533F1D" w:rsidRPr="00E246CF">
        <w:rPr>
          <w:rFonts w:ascii="Arial" w:hAnsi="Arial" w:cs="Arial"/>
          <w:iCs/>
        </w:rPr>
        <w:t>s</w:t>
      </w:r>
      <w:r w:rsidRPr="00E246CF">
        <w:rPr>
          <w:rFonts w:ascii="Arial" w:hAnsi="Arial" w:cs="Arial"/>
          <w:iCs/>
        </w:rPr>
        <w:t xml:space="preserve"> </w:t>
      </w:r>
      <w:r w:rsidR="00AD2A8B">
        <w:rPr>
          <w:rFonts w:ascii="Arial" w:hAnsi="Arial" w:cs="Arial"/>
          <w:iCs/>
        </w:rPr>
        <w:t>of the Act</w:t>
      </w:r>
      <w:r w:rsidRPr="00E246CF">
        <w:rPr>
          <w:rFonts w:ascii="Arial" w:hAnsi="Arial" w:cs="Arial"/>
          <w:iCs/>
        </w:rPr>
        <w:t xml:space="preserve">, the amendment </w:t>
      </w:r>
      <w:r w:rsidR="007820CB" w:rsidRPr="007820CB">
        <w:rPr>
          <w:rFonts w:ascii="Arial" w:hAnsi="Arial" w:cs="Arial"/>
          <w:iCs/>
        </w:rPr>
        <w:t xml:space="preserve">will ensure that there continues to be no </w:t>
      </w:r>
      <w:r w:rsidRPr="00E246CF">
        <w:rPr>
          <w:rFonts w:ascii="Arial" w:hAnsi="Arial" w:cs="Arial"/>
          <w:iCs/>
        </w:rPr>
        <w:t>arbitrary limitation on the right to privacy and reputation for those accessing abortion services.</w:t>
      </w:r>
      <w:bookmarkStart w:id="9" w:name="OLE_LINK1"/>
    </w:p>
    <w:p w14:paraId="71864CAE" w14:textId="3F27846E" w:rsidR="00E90DF9" w:rsidRPr="00DB4390" w:rsidRDefault="00E90DF9" w:rsidP="00DB4390">
      <w:pPr>
        <w:pStyle w:val="ListParagraph"/>
        <w:spacing w:line="283" w:lineRule="auto"/>
        <w:ind w:left="0"/>
        <w:jc w:val="both"/>
        <w:rPr>
          <w:rFonts w:ascii="Arial" w:hAnsi="Arial" w:cs="Arial"/>
          <w:iCs/>
        </w:rPr>
      </w:pPr>
    </w:p>
    <w:p w14:paraId="66BEC609" w14:textId="6A103771" w:rsidR="00E90DF9" w:rsidRPr="00E246CF" w:rsidRDefault="000A3576" w:rsidP="00601FAA">
      <w:pPr>
        <w:pStyle w:val="Heading2"/>
        <w:ind w:left="-108"/>
        <w:jc w:val="center"/>
        <w:rPr>
          <w:rFonts w:asciiTheme="minorHAnsi" w:hAnsiTheme="minorHAnsi" w:cs="Arial"/>
          <w:b w:val="0"/>
          <w:bCs/>
          <w:i/>
          <w:iCs/>
          <w:sz w:val="22"/>
          <w:szCs w:val="22"/>
        </w:rPr>
      </w:pPr>
      <w:r>
        <w:rPr>
          <w:rFonts w:asciiTheme="minorHAnsi" w:hAnsiTheme="minorHAnsi" w:cs="Arial"/>
          <w:b w:val="0"/>
          <w:sz w:val="22"/>
          <w:szCs w:val="22"/>
          <w:lang w:eastAsia="en-AU"/>
        </w:rPr>
        <w:br w:type="column"/>
      </w:r>
      <w:r w:rsidR="00F40456" w:rsidRPr="00E246CF">
        <w:rPr>
          <w:rFonts w:asciiTheme="minorHAnsi" w:hAnsiTheme="minorHAnsi" w:cs="Arial"/>
          <w:b w:val="0"/>
          <w:sz w:val="22"/>
          <w:szCs w:val="22"/>
          <w:lang w:eastAsia="en-AU"/>
        </w:rPr>
        <w:lastRenderedPageBreak/>
        <w:t>HEALTH LEGISLATION AMENDMENT BILL NO. 2 2025</w:t>
      </w:r>
    </w:p>
    <w:bookmarkEnd w:id="9"/>
    <w:p w14:paraId="3FC035F1" w14:textId="77777777" w:rsidR="00E90DF9" w:rsidRPr="00E246CF" w:rsidRDefault="00E90DF9" w:rsidP="00601FAA">
      <w:pPr>
        <w:pStyle w:val="Heading4"/>
        <w:ind w:left="-108"/>
        <w:jc w:val="center"/>
        <w:rPr>
          <w:rFonts w:asciiTheme="minorHAnsi" w:hAnsiTheme="minorHAnsi"/>
        </w:rPr>
      </w:pPr>
      <w:r w:rsidRPr="00E246CF">
        <w:rPr>
          <w:rFonts w:asciiTheme="minorHAnsi" w:hAnsiTheme="minorHAnsi"/>
        </w:rPr>
        <w:t>Human Rights Act 2004 - Compatibility Statement</w:t>
      </w:r>
    </w:p>
    <w:p w14:paraId="4BE2285B" w14:textId="77777777" w:rsidR="00E90DF9" w:rsidRPr="0023265E" w:rsidRDefault="00E90DF9" w:rsidP="00601FAA"/>
    <w:p w14:paraId="3E3301AD" w14:textId="77777777" w:rsidR="00E90DF9" w:rsidRPr="0023265E" w:rsidRDefault="00E90DF9" w:rsidP="00601FAA"/>
    <w:p w14:paraId="45D422CA" w14:textId="23605813" w:rsidR="00E90DF9" w:rsidRPr="0023265E" w:rsidRDefault="00E90DF9" w:rsidP="00601FAA">
      <w:r w:rsidRPr="0023265E">
        <w:rPr>
          <w:rFonts w:asciiTheme="minorHAnsi" w:hAnsiTheme="minorHAnsi"/>
        </w:rPr>
        <w:t xml:space="preserve">In accordance with section 37 of the </w:t>
      </w:r>
      <w:r w:rsidRPr="0023265E">
        <w:rPr>
          <w:rFonts w:asciiTheme="minorHAnsi" w:hAnsiTheme="minorHAnsi"/>
          <w:i/>
          <w:iCs/>
        </w:rPr>
        <w:t>Human Rights Act 2004</w:t>
      </w:r>
      <w:r w:rsidRPr="0023265E">
        <w:rPr>
          <w:rFonts w:asciiTheme="minorHAnsi" w:hAnsiTheme="minorHAnsi"/>
        </w:rPr>
        <w:t xml:space="preserve"> I have examined the</w:t>
      </w:r>
      <w:r w:rsidRPr="0023265E">
        <w:rPr>
          <w:rFonts w:asciiTheme="minorHAnsi" w:hAnsiTheme="minorHAnsi"/>
          <w:b/>
        </w:rPr>
        <w:t xml:space="preserve"> </w:t>
      </w:r>
      <w:r w:rsidR="00682784" w:rsidRPr="0023265E">
        <w:rPr>
          <w:rFonts w:asciiTheme="minorHAnsi" w:hAnsiTheme="minorHAnsi"/>
          <w:b/>
        </w:rPr>
        <w:t xml:space="preserve">Health Legislation Amendment Bill </w:t>
      </w:r>
      <w:r w:rsidR="00F40456" w:rsidRPr="0023265E">
        <w:rPr>
          <w:rFonts w:asciiTheme="minorHAnsi" w:hAnsiTheme="minorHAnsi"/>
          <w:b/>
        </w:rPr>
        <w:t>2025</w:t>
      </w:r>
      <w:r w:rsidR="00682784" w:rsidRPr="0023265E">
        <w:rPr>
          <w:rFonts w:asciiTheme="minorHAnsi" w:hAnsiTheme="minorHAnsi"/>
          <w:b/>
        </w:rPr>
        <w:t xml:space="preserve"> (No 2)</w:t>
      </w:r>
      <w:r w:rsidRPr="0023265E">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sidRPr="00426B1A">
        <w:rPr>
          <w:rFonts w:asciiTheme="minorHAnsi" w:hAnsiTheme="minorHAnsi"/>
          <w:b/>
        </w:rPr>
        <w:t xml:space="preserve"> is</w:t>
      </w:r>
      <w:r w:rsidRPr="0023265E">
        <w:rPr>
          <w:rFonts w:asciiTheme="minorHAnsi" w:hAnsiTheme="minorHAnsi"/>
        </w:rPr>
        <w:t xml:space="preserve"> consistent with the </w:t>
      </w:r>
      <w:r w:rsidRPr="0023265E">
        <w:rPr>
          <w:rFonts w:asciiTheme="minorHAnsi" w:hAnsiTheme="minorHAnsi"/>
          <w:i/>
          <w:iCs/>
        </w:rPr>
        <w:t>Human Rights Act 2004.</w:t>
      </w:r>
    </w:p>
    <w:p w14:paraId="76476A29" w14:textId="77777777" w:rsidR="00E90DF9" w:rsidRPr="0023265E" w:rsidRDefault="00E90DF9" w:rsidP="00601FAA">
      <w:pPr>
        <w:rPr>
          <w:rFonts w:asciiTheme="minorHAnsi" w:hAnsiTheme="minorHAnsi" w:cstheme="minorHAnsi"/>
        </w:rPr>
      </w:pPr>
    </w:p>
    <w:p w14:paraId="2CC08B60" w14:textId="77777777" w:rsidR="00E90DF9" w:rsidRPr="0023265E" w:rsidRDefault="00E90DF9" w:rsidP="00601FAA">
      <w:pPr>
        <w:rPr>
          <w:rFonts w:asciiTheme="minorHAnsi" w:hAnsiTheme="minorHAnsi" w:cstheme="minorHAnsi"/>
        </w:rPr>
      </w:pPr>
    </w:p>
    <w:p w14:paraId="71AFABAD" w14:textId="77777777" w:rsidR="00E90DF9" w:rsidRPr="0023265E" w:rsidRDefault="00E90DF9" w:rsidP="00601FAA">
      <w:pPr>
        <w:rPr>
          <w:rFonts w:asciiTheme="minorHAnsi" w:hAnsiTheme="minorHAnsi" w:cstheme="minorHAnsi"/>
        </w:rPr>
      </w:pPr>
      <w:r w:rsidRPr="0023265E">
        <w:rPr>
          <w:rFonts w:asciiTheme="minorHAnsi" w:hAnsiTheme="minorHAnsi" w:cstheme="minorHAnsi"/>
        </w:rPr>
        <w:t>………………………………………………….</w:t>
      </w:r>
    </w:p>
    <w:p w14:paraId="7B5A08D3" w14:textId="3B96021E" w:rsidR="00E90DF9" w:rsidRPr="0023265E" w:rsidRDefault="00376695" w:rsidP="00601FAA">
      <w:pPr>
        <w:rPr>
          <w:rFonts w:asciiTheme="minorHAnsi" w:hAnsiTheme="minorHAnsi" w:cstheme="minorHAnsi"/>
        </w:rPr>
      </w:pPr>
      <w:r w:rsidRPr="0023265E">
        <w:rPr>
          <w:rFonts w:asciiTheme="minorHAnsi" w:hAnsiTheme="minorHAnsi" w:cstheme="minorHAnsi"/>
        </w:rPr>
        <w:t>Tara Cheyne</w:t>
      </w:r>
      <w:r w:rsidR="00E90DF9" w:rsidRPr="0023265E">
        <w:rPr>
          <w:rFonts w:asciiTheme="minorHAnsi" w:hAnsiTheme="minorHAnsi" w:cstheme="minorHAnsi"/>
        </w:rPr>
        <w:t xml:space="preserve"> MLA</w:t>
      </w:r>
      <w:r w:rsidR="00E90DF9" w:rsidRPr="0023265E">
        <w:rPr>
          <w:rFonts w:asciiTheme="minorHAnsi" w:hAnsiTheme="minorHAnsi" w:cstheme="minorHAnsi"/>
        </w:rPr>
        <w:br/>
        <w:t>Attorney-General</w:t>
      </w:r>
    </w:p>
    <w:p w14:paraId="481185F5" w14:textId="77777777" w:rsidR="00E90DF9" w:rsidRPr="00E246CF" w:rsidRDefault="00E90DF9" w:rsidP="00601FAA">
      <w:pPr>
        <w:spacing w:before="200"/>
        <w:rPr>
          <w:rFonts w:ascii="Arial" w:hAnsi="Arial" w:cs="Arial"/>
        </w:rPr>
      </w:pPr>
    </w:p>
    <w:p w14:paraId="634CD2DB" w14:textId="77777777" w:rsidR="00E90DF9" w:rsidRPr="00E246CF" w:rsidRDefault="00E90DF9" w:rsidP="00601FAA">
      <w:pPr>
        <w:pStyle w:val="Heading2"/>
        <w:pageBreakBefore/>
        <w:spacing w:before="240" w:after="240"/>
        <w:rPr>
          <w:sz w:val="22"/>
          <w:szCs w:val="22"/>
        </w:rPr>
      </w:pPr>
      <w:r w:rsidRPr="000A3576">
        <w:rPr>
          <w:sz w:val="22"/>
          <w:szCs w:val="22"/>
        </w:rPr>
        <w:lastRenderedPageBreak/>
        <w:t>CLAUSE NOTES</w:t>
      </w:r>
    </w:p>
    <w:p w14:paraId="4F1F2433" w14:textId="77777777" w:rsidR="00FA455F" w:rsidRPr="00E246CF" w:rsidRDefault="00FA455F" w:rsidP="00601FAA">
      <w:pPr>
        <w:pStyle w:val="Heading3"/>
        <w:rPr>
          <w:sz w:val="22"/>
          <w:szCs w:val="22"/>
        </w:rPr>
      </w:pPr>
    </w:p>
    <w:p w14:paraId="6B92D272" w14:textId="2839DEA5" w:rsidR="00FA455F" w:rsidRPr="00E246CF" w:rsidRDefault="00FA455F" w:rsidP="00601FAA">
      <w:pPr>
        <w:pStyle w:val="Heading3"/>
        <w:rPr>
          <w:sz w:val="22"/>
          <w:szCs w:val="22"/>
        </w:rPr>
      </w:pPr>
      <w:r w:rsidRPr="00E246CF">
        <w:rPr>
          <w:sz w:val="22"/>
          <w:szCs w:val="22"/>
        </w:rPr>
        <w:t>Part 1</w:t>
      </w:r>
      <w:r w:rsidRPr="00E246CF">
        <w:rPr>
          <w:sz w:val="22"/>
          <w:szCs w:val="22"/>
        </w:rPr>
        <w:tab/>
      </w:r>
      <w:r w:rsidRPr="00E246CF">
        <w:rPr>
          <w:sz w:val="22"/>
          <w:szCs w:val="22"/>
        </w:rPr>
        <w:tab/>
        <w:t>Preliminary</w:t>
      </w:r>
    </w:p>
    <w:p w14:paraId="21139D56" w14:textId="77777777" w:rsidR="00E90DF9" w:rsidRPr="00E246CF" w:rsidRDefault="00E90DF9" w:rsidP="00601FAA">
      <w:pPr>
        <w:pStyle w:val="Heading3"/>
        <w:rPr>
          <w:sz w:val="22"/>
          <w:szCs w:val="22"/>
        </w:rPr>
      </w:pPr>
      <w:r w:rsidRPr="00E246CF">
        <w:rPr>
          <w:sz w:val="22"/>
          <w:szCs w:val="22"/>
        </w:rPr>
        <w:t>Clause 1</w:t>
      </w:r>
      <w:r w:rsidRPr="00E246CF">
        <w:rPr>
          <w:sz w:val="22"/>
          <w:szCs w:val="22"/>
        </w:rPr>
        <w:tab/>
        <w:t>Name of Act</w:t>
      </w:r>
    </w:p>
    <w:p w14:paraId="7F71FC4A" w14:textId="476E1D31" w:rsidR="00FA455F" w:rsidRPr="00E246CF" w:rsidRDefault="00FA455F" w:rsidP="00601FAA">
      <w:pPr>
        <w:keepNext/>
        <w:keepLines/>
        <w:rPr>
          <w:rFonts w:ascii="Arial" w:hAnsi="Arial" w:cs="Arial"/>
          <w:iCs/>
        </w:rPr>
      </w:pPr>
      <w:r w:rsidRPr="00E246CF">
        <w:rPr>
          <w:rFonts w:ascii="Arial" w:hAnsi="Arial" w:cs="Arial"/>
          <w:iCs/>
        </w:rPr>
        <w:t xml:space="preserve">This is a technical clause and provides that the title of the Act will be the </w:t>
      </w:r>
      <w:r w:rsidRPr="00E246CF">
        <w:rPr>
          <w:rFonts w:ascii="Arial" w:hAnsi="Arial" w:cs="Arial"/>
          <w:i/>
        </w:rPr>
        <w:t>Health Legislation Amendment Act 2025</w:t>
      </w:r>
      <w:r w:rsidR="00682784" w:rsidRPr="00E246CF">
        <w:rPr>
          <w:rFonts w:ascii="Arial" w:hAnsi="Arial" w:cs="Arial"/>
          <w:i/>
        </w:rPr>
        <w:t xml:space="preserve"> (No 2)</w:t>
      </w:r>
      <w:r w:rsidRPr="00E246CF">
        <w:rPr>
          <w:rFonts w:ascii="Arial" w:hAnsi="Arial" w:cs="Arial"/>
          <w:iCs/>
        </w:rPr>
        <w:t xml:space="preserve"> (the </w:t>
      </w:r>
      <w:r w:rsidRPr="00E246CF">
        <w:rPr>
          <w:rFonts w:ascii="Arial" w:hAnsi="Arial" w:cs="Arial"/>
          <w:b/>
          <w:bCs/>
          <w:iCs/>
        </w:rPr>
        <w:t>Act</w:t>
      </w:r>
      <w:r w:rsidRPr="00E246CF">
        <w:rPr>
          <w:rFonts w:ascii="Arial" w:hAnsi="Arial" w:cs="Arial"/>
          <w:iCs/>
        </w:rPr>
        <w:t>).</w:t>
      </w:r>
    </w:p>
    <w:p w14:paraId="359AEE42" w14:textId="13B33B3D" w:rsidR="00FA455F" w:rsidRPr="00E246CF" w:rsidRDefault="00E90DF9" w:rsidP="00601FAA">
      <w:pPr>
        <w:pStyle w:val="Heading3"/>
        <w:rPr>
          <w:sz w:val="22"/>
          <w:szCs w:val="22"/>
        </w:rPr>
      </w:pPr>
      <w:r w:rsidRPr="00E246CF">
        <w:rPr>
          <w:sz w:val="22"/>
          <w:szCs w:val="22"/>
        </w:rPr>
        <w:t>Clause 2</w:t>
      </w:r>
      <w:r w:rsidRPr="00E246CF">
        <w:rPr>
          <w:sz w:val="22"/>
          <w:szCs w:val="22"/>
        </w:rPr>
        <w:tab/>
        <w:t>Commencement</w:t>
      </w:r>
    </w:p>
    <w:p w14:paraId="00EE8AC3" w14:textId="30D75384" w:rsidR="00FA455F" w:rsidRDefault="00FA455F" w:rsidP="00601FAA">
      <w:pPr>
        <w:keepNext/>
        <w:keepLines/>
        <w:rPr>
          <w:rFonts w:ascii="Arial" w:hAnsi="Arial" w:cs="Arial"/>
          <w:iCs/>
        </w:rPr>
      </w:pPr>
      <w:r w:rsidRPr="00E246CF">
        <w:rPr>
          <w:rFonts w:ascii="Arial" w:hAnsi="Arial" w:cs="Arial"/>
          <w:iCs/>
        </w:rPr>
        <w:t xml:space="preserve">This clause provides for the commencement of </w:t>
      </w:r>
      <w:r w:rsidR="00BC440B">
        <w:rPr>
          <w:rFonts w:ascii="Arial" w:hAnsi="Arial" w:cs="Arial"/>
          <w:iCs/>
        </w:rPr>
        <w:t xml:space="preserve">different </w:t>
      </w:r>
      <w:r w:rsidRPr="00E246CF">
        <w:rPr>
          <w:rFonts w:ascii="Arial" w:hAnsi="Arial" w:cs="Arial"/>
          <w:iCs/>
        </w:rPr>
        <w:t>provisions in the Act.</w:t>
      </w:r>
    </w:p>
    <w:p w14:paraId="01B73270" w14:textId="5BAACD9A" w:rsidR="007F191F" w:rsidRDefault="007F191F" w:rsidP="0F1E288B">
      <w:pPr>
        <w:keepNext/>
        <w:keepLines/>
        <w:rPr>
          <w:rFonts w:ascii="Arial" w:hAnsi="Arial" w:cs="Arial"/>
        </w:rPr>
      </w:pPr>
      <w:r w:rsidRPr="0F1E288B">
        <w:rPr>
          <w:rFonts w:ascii="Arial" w:hAnsi="Arial" w:cs="Arial"/>
        </w:rPr>
        <w:t>The naming and commencement provisions automatic</w:t>
      </w:r>
      <w:r w:rsidR="001A503A" w:rsidRPr="0F1E288B">
        <w:rPr>
          <w:rFonts w:ascii="Arial" w:hAnsi="Arial" w:cs="Arial"/>
        </w:rPr>
        <w:t>ally</w:t>
      </w:r>
      <w:r w:rsidRPr="0F1E288B">
        <w:rPr>
          <w:rFonts w:ascii="Arial" w:hAnsi="Arial" w:cs="Arial"/>
        </w:rPr>
        <w:t xml:space="preserve"> commence on notification day</w:t>
      </w:r>
      <w:r w:rsidR="0045789B" w:rsidRPr="0F1E288B">
        <w:rPr>
          <w:rFonts w:ascii="Arial" w:hAnsi="Arial" w:cs="Arial"/>
        </w:rPr>
        <w:t xml:space="preserve"> of the Act</w:t>
      </w:r>
      <w:r w:rsidRPr="0F1E288B">
        <w:rPr>
          <w:rFonts w:ascii="Arial" w:hAnsi="Arial" w:cs="Arial"/>
        </w:rPr>
        <w:t xml:space="preserve"> (see </w:t>
      </w:r>
      <w:r w:rsidRPr="0F1E288B">
        <w:rPr>
          <w:rFonts w:ascii="Arial" w:hAnsi="Arial" w:cs="Arial"/>
          <w:i/>
          <w:iCs/>
        </w:rPr>
        <w:t>Legislation Act</w:t>
      </w:r>
      <w:r w:rsidR="001A503A" w:rsidRPr="0F1E288B">
        <w:rPr>
          <w:rFonts w:ascii="Arial" w:hAnsi="Arial" w:cs="Arial"/>
          <w:i/>
          <w:iCs/>
        </w:rPr>
        <w:t xml:space="preserve"> 2001</w:t>
      </w:r>
      <w:r w:rsidRPr="0F1E288B">
        <w:rPr>
          <w:rFonts w:ascii="Arial" w:hAnsi="Arial" w:cs="Arial"/>
        </w:rPr>
        <w:t>, s 75 (1)).</w:t>
      </w:r>
    </w:p>
    <w:p w14:paraId="6E6F837A" w14:textId="2F1446F5" w:rsidR="00BC440B" w:rsidRPr="00E246CF" w:rsidRDefault="00BC440B" w:rsidP="00601FAA">
      <w:pPr>
        <w:keepNext/>
        <w:keepLines/>
        <w:rPr>
          <w:rFonts w:ascii="Arial" w:hAnsi="Arial" w:cs="Arial"/>
          <w:iCs/>
        </w:rPr>
      </w:pPr>
      <w:r w:rsidRPr="00BC440B">
        <w:rPr>
          <w:rFonts w:ascii="Arial" w:hAnsi="Arial" w:cs="Arial"/>
          <w:iCs/>
        </w:rPr>
        <w:t xml:space="preserve">The </w:t>
      </w:r>
      <w:r w:rsidR="001A503A">
        <w:rPr>
          <w:rFonts w:ascii="Arial" w:hAnsi="Arial" w:cs="Arial"/>
          <w:iCs/>
        </w:rPr>
        <w:t xml:space="preserve">remaining </w:t>
      </w:r>
      <w:r w:rsidRPr="00BC440B">
        <w:rPr>
          <w:rFonts w:ascii="Arial" w:hAnsi="Arial" w:cs="Arial"/>
          <w:iCs/>
        </w:rPr>
        <w:t xml:space="preserve">provisions in the Act, except for those outlined below, commence on </w:t>
      </w:r>
      <w:r>
        <w:rPr>
          <w:rFonts w:ascii="Arial" w:hAnsi="Arial" w:cs="Arial"/>
          <w:iCs/>
        </w:rPr>
        <w:t>the 14th</w:t>
      </w:r>
      <w:r w:rsidRPr="00BC440B">
        <w:rPr>
          <w:rFonts w:ascii="Arial" w:hAnsi="Arial" w:cs="Arial"/>
          <w:iCs/>
        </w:rPr>
        <w:t xml:space="preserve"> day after the Act’s notification day.</w:t>
      </w:r>
    </w:p>
    <w:p w14:paraId="073EA0EE" w14:textId="6E8895F9" w:rsidR="007F191F" w:rsidRPr="00B01B25" w:rsidRDefault="00BC440B" w:rsidP="007F191F">
      <w:pPr>
        <w:keepNext/>
        <w:keepLines/>
        <w:rPr>
          <w:rFonts w:ascii="Arial" w:hAnsi="Arial" w:cs="Arial"/>
          <w:iCs/>
        </w:rPr>
      </w:pPr>
      <w:r>
        <w:rPr>
          <w:rFonts w:ascii="Arial" w:hAnsi="Arial" w:cs="Arial"/>
          <w:iCs/>
        </w:rPr>
        <w:t>Sections</w:t>
      </w:r>
      <w:r w:rsidR="007F191F" w:rsidRPr="007F191F">
        <w:rPr>
          <w:rFonts w:ascii="Arial" w:hAnsi="Arial" w:cs="Arial"/>
          <w:iCs/>
        </w:rPr>
        <w:t xml:space="preserve"> 11 </w:t>
      </w:r>
      <w:r w:rsidR="007F191F" w:rsidRPr="00B01B25">
        <w:rPr>
          <w:rFonts w:ascii="Arial" w:hAnsi="Arial" w:cs="Arial"/>
          <w:iCs/>
        </w:rPr>
        <w:t xml:space="preserve">and </w:t>
      </w:r>
      <w:r w:rsidR="00FD3779" w:rsidRPr="00426B1A">
        <w:rPr>
          <w:rFonts w:ascii="Arial" w:hAnsi="Arial" w:cs="Arial"/>
          <w:iCs/>
        </w:rPr>
        <w:t>44 to 46</w:t>
      </w:r>
      <w:r w:rsidR="007F191F" w:rsidRPr="00B01B25">
        <w:rPr>
          <w:rFonts w:ascii="Arial" w:hAnsi="Arial" w:cs="Arial"/>
          <w:iCs/>
        </w:rPr>
        <w:t xml:space="preserve"> </w:t>
      </w:r>
      <w:r w:rsidRPr="00B01B25">
        <w:rPr>
          <w:rFonts w:ascii="Arial" w:hAnsi="Arial" w:cs="Arial"/>
          <w:iCs/>
        </w:rPr>
        <w:t>of</w:t>
      </w:r>
      <w:r w:rsidR="007F191F" w:rsidRPr="00B01B25">
        <w:rPr>
          <w:rFonts w:ascii="Arial" w:hAnsi="Arial" w:cs="Arial"/>
          <w:iCs/>
        </w:rPr>
        <w:t xml:space="preserve"> the Act commence on the later of—</w:t>
      </w:r>
    </w:p>
    <w:p w14:paraId="08B0782C" w14:textId="77777777" w:rsidR="007F191F" w:rsidRPr="00B01B25" w:rsidRDefault="007F191F" w:rsidP="00786D6F">
      <w:pPr>
        <w:keepNext/>
        <w:keepLines/>
        <w:ind w:left="720"/>
        <w:rPr>
          <w:rFonts w:ascii="Arial" w:hAnsi="Arial" w:cs="Arial"/>
          <w:iCs/>
        </w:rPr>
      </w:pPr>
      <w:r w:rsidRPr="00B01B25">
        <w:rPr>
          <w:rFonts w:ascii="Arial" w:hAnsi="Arial" w:cs="Arial"/>
          <w:iCs/>
        </w:rPr>
        <w:t>(a) the 14th day after this Act’s notification day; and</w:t>
      </w:r>
    </w:p>
    <w:p w14:paraId="479D8C57" w14:textId="45D1CC9D" w:rsidR="007F191F" w:rsidRPr="00B01B25" w:rsidRDefault="007F191F" w:rsidP="00786D6F">
      <w:pPr>
        <w:keepNext/>
        <w:keepLines/>
        <w:ind w:left="720"/>
        <w:rPr>
          <w:rFonts w:ascii="Arial" w:hAnsi="Arial" w:cs="Arial"/>
          <w:iCs/>
        </w:rPr>
      </w:pPr>
      <w:r w:rsidRPr="00B01B25">
        <w:rPr>
          <w:rFonts w:ascii="Arial" w:hAnsi="Arial" w:cs="Arial"/>
          <w:iCs/>
        </w:rPr>
        <w:t xml:space="preserve">(b) the commencement of the </w:t>
      </w:r>
      <w:r w:rsidRPr="00B01B25">
        <w:rPr>
          <w:rFonts w:ascii="Arial" w:hAnsi="Arial" w:cs="Arial"/>
          <w:i/>
        </w:rPr>
        <w:t>Aged Care Act 2024</w:t>
      </w:r>
      <w:r w:rsidRPr="00B01B25">
        <w:rPr>
          <w:rFonts w:ascii="Arial" w:hAnsi="Arial" w:cs="Arial"/>
          <w:iCs/>
        </w:rPr>
        <w:t xml:space="preserve"> (Cwlth)</w:t>
      </w:r>
      <w:r w:rsidR="00FD3779" w:rsidRPr="00B01B25">
        <w:rPr>
          <w:rFonts w:ascii="Arial" w:hAnsi="Arial" w:cs="Arial"/>
          <w:iCs/>
        </w:rPr>
        <w:t>, section 10</w:t>
      </w:r>
      <w:r w:rsidRPr="00B01B25">
        <w:rPr>
          <w:rFonts w:ascii="Arial" w:hAnsi="Arial" w:cs="Arial"/>
          <w:iCs/>
        </w:rPr>
        <w:t>.</w:t>
      </w:r>
    </w:p>
    <w:p w14:paraId="021DD2A1" w14:textId="704D4827" w:rsidR="007F191F" w:rsidRPr="007F191F" w:rsidRDefault="007F191F" w:rsidP="007F191F">
      <w:pPr>
        <w:keepNext/>
        <w:keepLines/>
        <w:rPr>
          <w:rFonts w:ascii="Arial" w:hAnsi="Arial" w:cs="Arial"/>
          <w:iCs/>
        </w:rPr>
      </w:pPr>
      <w:r w:rsidRPr="00B01B25">
        <w:rPr>
          <w:rFonts w:ascii="Arial" w:hAnsi="Arial" w:cs="Arial"/>
          <w:iCs/>
        </w:rPr>
        <w:t xml:space="preserve">Part 6 </w:t>
      </w:r>
      <w:r w:rsidR="00BC440B" w:rsidRPr="00B01B25">
        <w:rPr>
          <w:rFonts w:ascii="Arial" w:hAnsi="Arial" w:cs="Arial"/>
          <w:iCs/>
        </w:rPr>
        <w:t>of</w:t>
      </w:r>
      <w:r w:rsidRPr="00B01B25">
        <w:rPr>
          <w:rFonts w:ascii="Arial" w:hAnsi="Arial" w:cs="Arial"/>
          <w:iCs/>
        </w:rPr>
        <w:t xml:space="preserve"> the Act </w:t>
      </w:r>
      <w:r w:rsidR="00B01B25" w:rsidRPr="00B01B25">
        <w:rPr>
          <w:rFonts w:ascii="Arial" w:hAnsi="Arial" w:cs="Arial"/>
          <w:iCs/>
        </w:rPr>
        <w:t xml:space="preserve">(other than sections 44 to 46) </w:t>
      </w:r>
      <w:r w:rsidRPr="00B01B25">
        <w:rPr>
          <w:rFonts w:ascii="Arial" w:hAnsi="Arial" w:cs="Arial"/>
          <w:iCs/>
        </w:rPr>
        <w:t>commences</w:t>
      </w:r>
      <w:r w:rsidRPr="007F191F">
        <w:rPr>
          <w:rFonts w:ascii="Arial" w:hAnsi="Arial" w:cs="Arial"/>
          <w:iCs/>
        </w:rPr>
        <w:t xml:space="preserve"> on the later of—</w:t>
      </w:r>
    </w:p>
    <w:p w14:paraId="4D2628FA" w14:textId="6C626CE1" w:rsidR="007F191F" w:rsidRPr="007F191F" w:rsidRDefault="007F191F" w:rsidP="00786D6F">
      <w:pPr>
        <w:keepNext/>
        <w:keepLines/>
        <w:ind w:left="720"/>
        <w:rPr>
          <w:rFonts w:ascii="Arial" w:hAnsi="Arial" w:cs="Arial"/>
          <w:iCs/>
        </w:rPr>
      </w:pPr>
      <w:r w:rsidRPr="007F191F">
        <w:rPr>
          <w:rFonts w:ascii="Arial" w:hAnsi="Arial" w:cs="Arial"/>
          <w:iCs/>
        </w:rPr>
        <w:t>(a) the day after this Act’s notification day; and</w:t>
      </w:r>
    </w:p>
    <w:p w14:paraId="0D9953BE" w14:textId="16041960" w:rsidR="007F191F" w:rsidRPr="007F191F" w:rsidRDefault="007F191F" w:rsidP="00786D6F">
      <w:pPr>
        <w:keepNext/>
        <w:keepLines/>
        <w:ind w:left="720"/>
        <w:rPr>
          <w:rFonts w:ascii="Arial" w:hAnsi="Arial" w:cs="Arial"/>
          <w:iCs/>
        </w:rPr>
      </w:pPr>
      <w:r w:rsidRPr="007F191F">
        <w:rPr>
          <w:rFonts w:ascii="Arial" w:hAnsi="Arial" w:cs="Arial"/>
          <w:iCs/>
        </w:rPr>
        <w:t xml:space="preserve">(b) the commencement of the </w:t>
      </w:r>
      <w:r w:rsidRPr="00BC440B">
        <w:rPr>
          <w:rFonts w:ascii="Arial" w:hAnsi="Arial" w:cs="Arial"/>
          <w:i/>
        </w:rPr>
        <w:t>Voluntary Assisted Dying Act 2024</w:t>
      </w:r>
      <w:r w:rsidRPr="007F191F">
        <w:rPr>
          <w:rFonts w:ascii="Arial" w:hAnsi="Arial" w:cs="Arial"/>
          <w:iCs/>
        </w:rPr>
        <w:t>, section 3.</w:t>
      </w:r>
    </w:p>
    <w:p w14:paraId="2FEC044B" w14:textId="512F72AB" w:rsidR="00F40456" w:rsidRPr="00E246CF" w:rsidRDefault="00E90DF9" w:rsidP="00601FAA">
      <w:pPr>
        <w:pStyle w:val="Heading3"/>
        <w:rPr>
          <w:sz w:val="22"/>
          <w:szCs w:val="22"/>
        </w:rPr>
      </w:pPr>
      <w:r w:rsidRPr="00E246CF">
        <w:rPr>
          <w:sz w:val="22"/>
          <w:szCs w:val="22"/>
        </w:rPr>
        <w:t>Clause 3</w:t>
      </w:r>
      <w:r w:rsidRPr="00E246CF">
        <w:rPr>
          <w:sz w:val="22"/>
          <w:szCs w:val="22"/>
        </w:rPr>
        <w:tab/>
        <w:t>Legislation amended</w:t>
      </w:r>
    </w:p>
    <w:p w14:paraId="11941242" w14:textId="77777777" w:rsidR="00FA455F" w:rsidRPr="00E246CF" w:rsidRDefault="00FA455F" w:rsidP="00601FAA">
      <w:pPr>
        <w:keepNext/>
        <w:keepLines/>
        <w:rPr>
          <w:rFonts w:ascii="Arial" w:hAnsi="Arial" w:cs="Arial"/>
          <w:iCs/>
        </w:rPr>
      </w:pPr>
      <w:r w:rsidRPr="00E246CF">
        <w:rPr>
          <w:rFonts w:ascii="Arial" w:hAnsi="Arial" w:cs="Arial"/>
          <w:iCs/>
        </w:rPr>
        <w:t>This is a formal clause identifying that the Act amends the following legislation:</w:t>
      </w:r>
    </w:p>
    <w:p w14:paraId="5032BF33" w14:textId="2F14C5E9" w:rsidR="00371F33" w:rsidRPr="00E246CF" w:rsidRDefault="00371F33" w:rsidP="00601FAA">
      <w:pPr>
        <w:keepNext/>
        <w:keepLines/>
        <w:numPr>
          <w:ilvl w:val="0"/>
          <w:numId w:val="2"/>
        </w:numPr>
        <w:rPr>
          <w:rFonts w:ascii="Arial" w:hAnsi="Arial" w:cs="Arial"/>
          <w:i/>
          <w:iCs/>
        </w:rPr>
      </w:pPr>
      <w:r w:rsidRPr="00E246CF">
        <w:rPr>
          <w:rFonts w:ascii="Arial" w:hAnsi="Arial" w:cs="Arial"/>
          <w:i/>
          <w:iCs/>
        </w:rPr>
        <w:t>Health Act 1993</w:t>
      </w:r>
    </w:p>
    <w:p w14:paraId="695173F1" w14:textId="3172C20F" w:rsidR="00FA455F" w:rsidRDefault="00371F33" w:rsidP="00601FAA">
      <w:pPr>
        <w:keepNext/>
        <w:keepLines/>
        <w:numPr>
          <w:ilvl w:val="0"/>
          <w:numId w:val="2"/>
        </w:numPr>
        <w:rPr>
          <w:rFonts w:ascii="Arial" w:hAnsi="Arial" w:cs="Arial"/>
          <w:i/>
          <w:iCs/>
        </w:rPr>
      </w:pPr>
      <w:r w:rsidRPr="00E246CF">
        <w:rPr>
          <w:rFonts w:ascii="Arial" w:hAnsi="Arial" w:cs="Arial"/>
          <w:i/>
          <w:iCs/>
        </w:rPr>
        <w:t>Health Professionals (Special Events Exemption</w:t>
      </w:r>
      <w:r w:rsidR="00B01B25">
        <w:rPr>
          <w:rFonts w:ascii="Arial" w:hAnsi="Arial" w:cs="Arial"/>
          <w:i/>
          <w:iCs/>
        </w:rPr>
        <w:t>s</w:t>
      </w:r>
      <w:r w:rsidRPr="00E246CF">
        <w:rPr>
          <w:rFonts w:ascii="Arial" w:hAnsi="Arial" w:cs="Arial"/>
          <w:i/>
          <w:iCs/>
        </w:rPr>
        <w:t>) Act 2000</w:t>
      </w:r>
    </w:p>
    <w:p w14:paraId="069393A8" w14:textId="759FBECE" w:rsidR="007F191F" w:rsidRPr="00E246CF" w:rsidRDefault="7005B95E" w:rsidP="3C2C6793">
      <w:pPr>
        <w:keepNext/>
        <w:keepLines/>
        <w:numPr>
          <w:ilvl w:val="0"/>
          <w:numId w:val="2"/>
        </w:numPr>
        <w:rPr>
          <w:rFonts w:ascii="Arial" w:hAnsi="Arial" w:cs="Arial"/>
          <w:b/>
          <w:bCs/>
        </w:rPr>
      </w:pPr>
      <w:r w:rsidRPr="3C2C6793">
        <w:rPr>
          <w:rFonts w:ascii="Arial" w:hAnsi="Arial" w:cs="Arial"/>
          <w:i/>
          <w:iCs/>
        </w:rPr>
        <w:t xml:space="preserve">Medicines, Poisons and Therapeutic Goods Act 2008 </w:t>
      </w:r>
    </w:p>
    <w:p w14:paraId="6694476E" w14:textId="13CA1FAC" w:rsidR="007F191F" w:rsidRPr="00E246CF" w:rsidRDefault="7005B95E" w:rsidP="3C2C6793">
      <w:pPr>
        <w:keepNext/>
        <w:keepLines/>
        <w:numPr>
          <w:ilvl w:val="0"/>
          <w:numId w:val="2"/>
        </w:numPr>
        <w:rPr>
          <w:rFonts w:ascii="Arial" w:hAnsi="Arial" w:cs="Arial"/>
          <w:b/>
          <w:bCs/>
        </w:rPr>
      </w:pPr>
      <w:r w:rsidRPr="3C2C6793">
        <w:rPr>
          <w:rFonts w:ascii="Arial" w:hAnsi="Arial" w:cs="Arial"/>
          <w:i/>
          <w:iCs/>
        </w:rPr>
        <w:t>Medicines, Poisons and Therapeutic Goods Regulation 2008</w:t>
      </w:r>
      <w:r w:rsidR="363E8106" w:rsidRPr="3C2C6793">
        <w:rPr>
          <w:rFonts w:ascii="Arial" w:hAnsi="Arial" w:cs="Arial"/>
          <w:i/>
          <w:iCs/>
        </w:rPr>
        <w:t xml:space="preserve"> </w:t>
      </w:r>
    </w:p>
    <w:p w14:paraId="7E173A24" w14:textId="001148EE" w:rsidR="007F191F" w:rsidRPr="00E246CF" w:rsidRDefault="007F191F" w:rsidP="007F191F">
      <w:pPr>
        <w:keepNext/>
        <w:keepLines/>
        <w:numPr>
          <w:ilvl w:val="0"/>
          <w:numId w:val="2"/>
        </w:numPr>
        <w:rPr>
          <w:rFonts w:ascii="Arial" w:hAnsi="Arial" w:cs="Arial"/>
          <w:i/>
          <w:iCs/>
        </w:rPr>
      </w:pPr>
      <w:r w:rsidRPr="00E246CF">
        <w:rPr>
          <w:rFonts w:ascii="Arial" w:hAnsi="Arial" w:cs="Arial"/>
          <w:i/>
          <w:iCs/>
        </w:rPr>
        <w:t>Voluntary Assisted Dying Act 2024</w:t>
      </w:r>
      <w:r w:rsidR="001A503A">
        <w:rPr>
          <w:rFonts w:ascii="Arial" w:hAnsi="Arial" w:cs="Arial"/>
          <w:i/>
          <w:iCs/>
        </w:rPr>
        <w:t>.</w:t>
      </w:r>
      <w:r w:rsidRPr="00E246CF">
        <w:rPr>
          <w:rFonts w:ascii="Arial" w:hAnsi="Arial" w:cs="Arial"/>
          <w:i/>
          <w:iCs/>
        </w:rPr>
        <w:t xml:space="preserve"> </w:t>
      </w:r>
    </w:p>
    <w:p w14:paraId="1A51DCE9" w14:textId="20C628C8" w:rsidR="00C73F88" w:rsidRPr="00EA24E7" w:rsidRDefault="00C73F88" w:rsidP="00C73F88">
      <w:pPr>
        <w:pStyle w:val="Heading3"/>
        <w:rPr>
          <w:rFonts w:cs="Arial"/>
          <w:sz w:val="22"/>
          <w:szCs w:val="22"/>
        </w:rPr>
      </w:pPr>
      <w:r w:rsidRPr="00EA24E7">
        <w:rPr>
          <w:rFonts w:cs="Arial"/>
          <w:sz w:val="22"/>
          <w:szCs w:val="22"/>
        </w:rPr>
        <w:t>Part 2</w:t>
      </w:r>
      <w:r w:rsidRPr="00EA24E7">
        <w:rPr>
          <w:rFonts w:cs="Arial"/>
          <w:sz w:val="22"/>
          <w:szCs w:val="22"/>
        </w:rPr>
        <w:tab/>
      </w:r>
      <w:r w:rsidRPr="00EA24E7">
        <w:rPr>
          <w:rFonts w:cs="Arial"/>
          <w:sz w:val="22"/>
          <w:szCs w:val="22"/>
        </w:rPr>
        <w:tab/>
        <w:t>Health Act 1993</w:t>
      </w:r>
    </w:p>
    <w:p w14:paraId="7C38A6D4" w14:textId="2883BD15" w:rsidR="00BC440B" w:rsidRPr="00BC440B" w:rsidRDefault="00C73F88" w:rsidP="00BC440B">
      <w:pPr>
        <w:pStyle w:val="Heading3"/>
        <w:rPr>
          <w:rFonts w:cs="Arial"/>
          <w:i/>
          <w:iCs/>
          <w:sz w:val="22"/>
          <w:szCs w:val="22"/>
        </w:rPr>
      </w:pPr>
      <w:r w:rsidRPr="00EA24E7">
        <w:rPr>
          <w:rFonts w:cs="Arial"/>
          <w:sz w:val="22"/>
          <w:szCs w:val="22"/>
        </w:rPr>
        <w:t>Clause 4</w:t>
      </w:r>
      <w:r w:rsidRPr="00EA24E7">
        <w:rPr>
          <w:rFonts w:cs="Arial"/>
          <w:sz w:val="22"/>
          <w:szCs w:val="22"/>
        </w:rPr>
        <w:tab/>
        <w:t>Definitions—pt 6</w:t>
      </w:r>
      <w:r w:rsidR="00BC440B">
        <w:rPr>
          <w:rFonts w:cs="Arial"/>
          <w:sz w:val="22"/>
          <w:szCs w:val="22"/>
        </w:rPr>
        <w:br/>
      </w:r>
      <w:r w:rsidR="00BC440B">
        <w:rPr>
          <w:rFonts w:cs="Arial"/>
          <w:sz w:val="22"/>
          <w:szCs w:val="22"/>
        </w:rPr>
        <w:tab/>
      </w:r>
      <w:r w:rsidR="00BC440B">
        <w:rPr>
          <w:rFonts w:cs="Arial"/>
          <w:sz w:val="22"/>
          <w:szCs w:val="22"/>
        </w:rPr>
        <w:tab/>
        <w:t>Section 80</w:t>
      </w:r>
      <w:r w:rsidR="000C3F4F">
        <w:rPr>
          <w:rFonts w:cs="Arial"/>
          <w:sz w:val="22"/>
          <w:szCs w:val="22"/>
        </w:rPr>
        <w:t xml:space="preserve"> </w:t>
      </w:r>
      <w:r w:rsidR="00BC440B">
        <w:rPr>
          <w:rFonts w:cs="Arial"/>
          <w:sz w:val="22"/>
          <w:szCs w:val="22"/>
        </w:rPr>
        <w:t xml:space="preserve">(1), definition of </w:t>
      </w:r>
      <w:r w:rsidR="00BC440B">
        <w:rPr>
          <w:rFonts w:cs="Arial"/>
          <w:i/>
          <w:iCs/>
          <w:sz w:val="22"/>
          <w:szCs w:val="22"/>
        </w:rPr>
        <w:t>approved medical facility</w:t>
      </w:r>
    </w:p>
    <w:p w14:paraId="49B4A23F" w14:textId="17238779" w:rsidR="00C73F88" w:rsidRPr="00786D6F" w:rsidRDefault="00C73F88" w:rsidP="00426B1A">
      <w:pPr>
        <w:pStyle w:val="Heading3"/>
        <w:spacing w:line="276" w:lineRule="auto"/>
        <w:rPr>
          <w:rFonts w:cs="Arial"/>
          <w:b w:val="0"/>
          <w:bCs/>
          <w:sz w:val="22"/>
          <w:szCs w:val="22"/>
        </w:rPr>
      </w:pPr>
      <w:r w:rsidRPr="00EA24E7">
        <w:rPr>
          <w:rFonts w:cs="Arial"/>
          <w:b w:val="0"/>
          <w:bCs/>
          <w:sz w:val="22"/>
          <w:szCs w:val="22"/>
        </w:rPr>
        <w:t xml:space="preserve">This clause </w:t>
      </w:r>
      <w:r w:rsidR="00BB59B7">
        <w:rPr>
          <w:rFonts w:cs="Arial"/>
          <w:b w:val="0"/>
          <w:bCs/>
          <w:sz w:val="22"/>
          <w:szCs w:val="22"/>
        </w:rPr>
        <w:t xml:space="preserve">amends </w:t>
      </w:r>
      <w:r w:rsidR="00DA16E7">
        <w:rPr>
          <w:rFonts w:cs="Arial"/>
          <w:b w:val="0"/>
          <w:bCs/>
          <w:sz w:val="22"/>
          <w:szCs w:val="22"/>
        </w:rPr>
        <w:t>s</w:t>
      </w:r>
      <w:r w:rsidRPr="00786D6F">
        <w:rPr>
          <w:rFonts w:cs="Arial"/>
          <w:b w:val="0"/>
          <w:bCs/>
          <w:sz w:val="22"/>
          <w:szCs w:val="22"/>
        </w:rPr>
        <w:t>ection 80 (1)</w:t>
      </w:r>
      <w:r w:rsidR="00BB59B7">
        <w:rPr>
          <w:rFonts w:cs="Arial"/>
          <w:b w:val="0"/>
          <w:bCs/>
          <w:sz w:val="22"/>
          <w:szCs w:val="22"/>
        </w:rPr>
        <w:t xml:space="preserve"> the</w:t>
      </w:r>
      <w:r w:rsidRPr="00786D6F">
        <w:rPr>
          <w:rFonts w:cs="Arial"/>
          <w:b w:val="0"/>
          <w:bCs/>
          <w:sz w:val="22"/>
          <w:szCs w:val="22"/>
        </w:rPr>
        <w:t xml:space="preserve"> definition of </w:t>
      </w:r>
      <w:r w:rsidR="0045789B">
        <w:rPr>
          <w:rFonts w:cs="Arial"/>
          <w:b w:val="0"/>
          <w:bCs/>
          <w:sz w:val="22"/>
          <w:szCs w:val="22"/>
        </w:rPr>
        <w:t>‘</w:t>
      </w:r>
      <w:r w:rsidRPr="00786D6F">
        <w:rPr>
          <w:rFonts w:cs="Arial"/>
          <w:b w:val="0"/>
          <w:bCs/>
          <w:sz w:val="22"/>
          <w:szCs w:val="22"/>
        </w:rPr>
        <w:t>approved medical facility</w:t>
      </w:r>
      <w:r w:rsidR="0045789B">
        <w:rPr>
          <w:rFonts w:cs="Arial"/>
          <w:b w:val="0"/>
          <w:bCs/>
          <w:sz w:val="22"/>
          <w:szCs w:val="22"/>
        </w:rPr>
        <w:t>’</w:t>
      </w:r>
      <w:r w:rsidR="007F191F">
        <w:rPr>
          <w:rFonts w:cs="Arial"/>
          <w:b w:val="0"/>
          <w:bCs/>
          <w:sz w:val="22"/>
          <w:szCs w:val="22"/>
        </w:rPr>
        <w:t xml:space="preserve"> to clarify that part of a medical facility can </w:t>
      </w:r>
      <w:r w:rsidR="00BB59B7">
        <w:rPr>
          <w:rFonts w:cs="Arial"/>
          <w:b w:val="0"/>
          <w:bCs/>
          <w:sz w:val="22"/>
          <w:szCs w:val="22"/>
        </w:rPr>
        <w:t xml:space="preserve">also </w:t>
      </w:r>
      <w:r w:rsidR="00932821">
        <w:rPr>
          <w:rFonts w:cs="Arial"/>
          <w:b w:val="0"/>
          <w:bCs/>
          <w:sz w:val="22"/>
          <w:szCs w:val="22"/>
        </w:rPr>
        <w:t>constitute</w:t>
      </w:r>
      <w:r w:rsidR="007F191F">
        <w:rPr>
          <w:rFonts w:cs="Arial"/>
          <w:b w:val="0"/>
          <w:bCs/>
          <w:sz w:val="22"/>
          <w:szCs w:val="22"/>
        </w:rPr>
        <w:t xml:space="preserve"> an approved medical facility.</w:t>
      </w:r>
    </w:p>
    <w:p w14:paraId="5D0BC260" w14:textId="08EE6AD8" w:rsidR="000C3F4F" w:rsidRPr="000C3F4F" w:rsidRDefault="00C73F88" w:rsidP="000C3F4F">
      <w:pPr>
        <w:pStyle w:val="Heading3"/>
        <w:rPr>
          <w:rFonts w:cs="Arial"/>
          <w:sz w:val="22"/>
          <w:szCs w:val="22"/>
        </w:rPr>
      </w:pPr>
      <w:r w:rsidRPr="00EA24E7">
        <w:rPr>
          <w:rFonts w:cs="Arial"/>
          <w:sz w:val="22"/>
          <w:szCs w:val="22"/>
        </w:rPr>
        <w:lastRenderedPageBreak/>
        <w:t xml:space="preserve">Clause 5 </w:t>
      </w:r>
      <w:r w:rsidR="00DA16E7">
        <w:rPr>
          <w:rFonts w:cs="Arial"/>
          <w:sz w:val="22"/>
          <w:szCs w:val="22"/>
        </w:rPr>
        <w:tab/>
      </w:r>
      <w:r w:rsidRPr="00EA24E7">
        <w:rPr>
          <w:rFonts w:cs="Arial"/>
          <w:sz w:val="22"/>
          <w:szCs w:val="22"/>
        </w:rPr>
        <w:t>Declaration of protected area</w:t>
      </w:r>
      <w:r w:rsidR="000C3F4F">
        <w:rPr>
          <w:rFonts w:cs="Arial"/>
          <w:sz w:val="22"/>
          <w:szCs w:val="22"/>
        </w:rPr>
        <w:br/>
      </w:r>
      <w:r w:rsidR="000C3F4F">
        <w:rPr>
          <w:rFonts w:cs="Arial"/>
          <w:sz w:val="22"/>
          <w:szCs w:val="22"/>
        </w:rPr>
        <w:tab/>
      </w:r>
      <w:r w:rsidR="000C3F4F">
        <w:rPr>
          <w:rFonts w:cs="Arial"/>
          <w:sz w:val="22"/>
          <w:szCs w:val="22"/>
        </w:rPr>
        <w:tab/>
        <w:t>Section 86 (1)</w:t>
      </w:r>
    </w:p>
    <w:p w14:paraId="39703155" w14:textId="25EE9BC4" w:rsidR="00C73F88" w:rsidRPr="00786D6F" w:rsidRDefault="00C73F88" w:rsidP="00426B1A">
      <w:pPr>
        <w:pStyle w:val="Heading3"/>
        <w:spacing w:line="276" w:lineRule="auto"/>
        <w:rPr>
          <w:rFonts w:cs="Arial"/>
          <w:b w:val="0"/>
          <w:bCs/>
          <w:sz w:val="22"/>
          <w:szCs w:val="22"/>
        </w:rPr>
      </w:pPr>
      <w:r w:rsidRPr="00786D6F">
        <w:rPr>
          <w:rFonts w:cs="Arial"/>
          <w:b w:val="0"/>
          <w:bCs/>
          <w:sz w:val="22"/>
          <w:szCs w:val="22"/>
        </w:rPr>
        <w:t xml:space="preserve">This clause </w:t>
      </w:r>
      <w:r w:rsidR="00BB59B7">
        <w:rPr>
          <w:rFonts w:cs="Arial"/>
          <w:b w:val="0"/>
          <w:bCs/>
          <w:sz w:val="22"/>
          <w:szCs w:val="22"/>
        </w:rPr>
        <w:t>substitutes</w:t>
      </w:r>
      <w:r w:rsidR="00932821">
        <w:rPr>
          <w:rFonts w:cs="Arial"/>
          <w:b w:val="0"/>
          <w:bCs/>
          <w:sz w:val="22"/>
          <w:szCs w:val="22"/>
        </w:rPr>
        <w:t xml:space="preserve"> </w:t>
      </w:r>
      <w:r w:rsidR="00DA16E7">
        <w:rPr>
          <w:rFonts w:cs="Arial"/>
          <w:b w:val="0"/>
          <w:bCs/>
          <w:sz w:val="22"/>
          <w:szCs w:val="22"/>
        </w:rPr>
        <w:t>s</w:t>
      </w:r>
      <w:r w:rsidRPr="00786D6F">
        <w:rPr>
          <w:rFonts w:cs="Arial"/>
          <w:b w:val="0"/>
          <w:bCs/>
          <w:sz w:val="22"/>
          <w:szCs w:val="22"/>
        </w:rPr>
        <w:t>ection 86 (1)</w:t>
      </w:r>
      <w:r w:rsidR="00932821">
        <w:rPr>
          <w:rFonts w:cs="Arial"/>
          <w:b w:val="0"/>
          <w:bCs/>
          <w:sz w:val="22"/>
          <w:szCs w:val="22"/>
        </w:rPr>
        <w:t xml:space="preserve"> to clarify that the Minister is obliged to declare a protected area around an approved medical facility, upon </w:t>
      </w:r>
      <w:r w:rsidR="00932821" w:rsidRPr="00932821">
        <w:rPr>
          <w:rFonts w:cs="Arial"/>
          <w:b w:val="0"/>
          <w:bCs/>
          <w:sz w:val="22"/>
          <w:szCs w:val="22"/>
        </w:rPr>
        <w:t xml:space="preserve">application by a person responsible for the management of </w:t>
      </w:r>
      <w:r w:rsidR="00932821">
        <w:rPr>
          <w:rFonts w:cs="Arial"/>
          <w:b w:val="0"/>
          <w:bCs/>
          <w:sz w:val="22"/>
          <w:szCs w:val="22"/>
        </w:rPr>
        <w:t>the</w:t>
      </w:r>
      <w:r w:rsidR="00932821" w:rsidRPr="00932821">
        <w:rPr>
          <w:rFonts w:cs="Arial"/>
          <w:b w:val="0"/>
          <w:bCs/>
          <w:sz w:val="22"/>
          <w:szCs w:val="22"/>
        </w:rPr>
        <w:t xml:space="preserve"> facility</w:t>
      </w:r>
      <w:r w:rsidR="00932821">
        <w:rPr>
          <w:rFonts w:cs="Arial"/>
          <w:b w:val="0"/>
          <w:bCs/>
          <w:sz w:val="22"/>
          <w:szCs w:val="22"/>
        </w:rPr>
        <w:t>.</w:t>
      </w:r>
    </w:p>
    <w:p w14:paraId="782335F6" w14:textId="0708E285" w:rsidR="00C73F88" w:rsidRPr="00786D6F" w:rsidRDefault="00C73F88" w:rsidP="00C73F88">
      <w:pPr>
        <w:rPr>
          <w:rFonts w:ascii="Arial" w:hAnsi="Arial" w:cs="Arial"/>
          <w:b/>
          <w:bCs/>
        </w:rPr>
      </w:pPr>
      <w:r w:rsidRPr="00786D6F">
        <w:rPr>
          <w:rFonts w:ascii="Arial" w:hAnsi="Arial" w:cs="Arial"/>
          <w:b/>
          <w:bCs/>
        </w:rPr>
        <w:t xml:space="preserve">Part 3 </w:t>
      </w:r>
      <w:r w:rsidR="00993D72">
        <w:rPr>
          <w:rFonts w:ascii="Arial" w:hAnsi="Arial" w:cs="Arial"/>
          <w:b/>
          <w:bCs/>
        </w:rPr>
        <w:tab/>
      </w:r>
      <w:r w:rsidR="00993D72">
        <w:rPr>
          <w:rFonts w:ascii="Arial" w:hAnsi="Arial" w:cs="Arial"/>
          <w:b/>
          <w:bCs/>
        </w:rPr>
        <w:tab/>
      </w:r>
      <w:r w:rsidRPr="00786D6F">
        <w:rPr>
          <w:rFonts w:ascii="Arial" w:hAnsi="Arial" w:cs="Arial"/>
          <w:b/>
          <w:bCs/>
        </w:rPr>
        <w:t>Health Professionals (Special Events Exemption) Act 2000</w:t>
      </w:r>
    </w:p>
    <w:p w14:paraId="60150B10" w14:textId="05671762" w:rsidR="000C3F4F" w:rsidRPr="00786D6F" w:rsidRDefault="00C73F88" w:rsidP="00C73F88">
      <w:pPr>
        <w:rPr>
          <w:rFonts w:ascii="Arial" w:hAnsi="Arial" w:cs="Arial"/>
          <w:b/>
          <w:bCs/>
        </w:rPr>
      </w:pPr>
      <w:r w:rsidRPr="00786D6F">
        <w:rPr>
          <w:rFonts w:ascii="Arial" w:hAnsi="Arial" w:cs="Arial"/>
          <w:b/>
          <w:bCs/>
        </w:rPr>
        <w:t xml:space="preserve">Clause 6 </w:t>
      </w:r>
      <w:r w:rsidR="00993D72">
        <w:rPr>
          <w:rFonts w:ascii="Arial" w:hAnsi="Arial" w:cs="Arial"/>
          <w:b/>
          <w:bCs/>
        </w:rPr>
        <w:tab/>
      </w:r>
      <w:r w:rsidRPr="00786D6F">
        <w:rPr>
          <w:rFonts w:ascii="Arial" w:hAnsi="Arial" w:cs="Arial"/>
          <w:b/>
          <w:bCs/>
        </w:rPr>
        <w:t>Exemptions relating to offences</w:t>
      </w:r>
      <w:r w:rsidR="000C3F4F">
        <w:rPr>
          <w:rFonts w:ascii="Arial" w:hAnsi="Arial" w:cs="Arial"/>
          <w:b/>
          <w:bCs/>
        </w:rPr>
        <w:br/>
      </w:r>
      <w:r w:rsidR="000C3F4F">
        <w:rPr>
          <w:rFonts w:ascii="Arial" w:hAnsi="Arial" w:cs="Arial"/>
          <w:b/>
          <w:bCs/>
        </w:rPr>
        <w:tab/>
      </w:r>
      <w:r w:rsidR="000C3F4F">
        <w:rPr>
          <w:rFonts w:ascii="Arial" w:hAnsi="Arial" w:cs="Arial"/>
          <w:b/>
          <w:bCs/>
        </w:rPr>
        <w:tab/>
        <w:t>Section 11 (1)</w:t>
      </w:r>
    </w:p>
    <w:p w14:paraId="006A6846" w14:textId="05883E4C" w:rsidR="00C73F88" w:rsidRPr="000C3F4F" w:rsidRDefault="00EA24E7" w:rsidP="00C73F88">
      <w:pPr>
        <w:rPr>
          <w:rFonts w:ascii="Arial" w:hAnsi="Arial" w:cs="Arial"/>
          <w:b/>
          <w:bCs/>
          <w:i/>
          <w:iCs/>
        </w:rPr>
      </w:pPr>
      <w:r w:rsidRPr="00786D6F">
        <w:rPr>
          <w:rFonts w:ascii="Arial" w:hAnsi="Arial" w:cs="Arial"/>
        </w:rPr>
        <w:t xml:space="preserve">This clause </w:t>
      </w:r>
      <w:r w:rsidR="00932821">
        <w:rPr>
          <w:rFonts w:ascii="Arial" w:hAnsi="Arial" w:cs="Arial"/>
        </w:rPr>
        <w:t xml:space="preserve">amends </w:t>
      </w:r>
      <w:r w:rsidR="00DA16E7">
        <w:rPr>
          <w:rFonts w:ascii="Arial" w:hAnsi="Arial" w:cs="Arial"/>
        </w:rPr>
        <w:t>s</w:t>
      </w:r>
      <w:r w:rsidR="00C73F88" w:rsidRPr="00EA24E7">
        <w:rPr>
          <w:rFonts w:ascii="Arial" w:hAnsi="Arial" w:cs="Arial"/>
        </w:rPr>
        <w:t>ection 11 (1)</w:t>
      </w:r>
      <w:r w:rsidR="004D3F18">
        <w:rPr>
          <w:rFonts w:ascii="Arial" w:hAnsi="Arial" w:cs="Arial"/>
          <w:b/>
          <w:bCs/>
        </w:rPr>
        <w:t xml:space="preserve"> </w:t>
      </w:r>
      <w:r w:rsidR="00932821" w:rsidRPr="00786D6F">
        <w:rPr>
          <w:rFonts w:ascii="Arial" w:hAnsi="Arial" w:cs="Arial"/>
        </w:rPr>
        <w:t>t</w:t>
      </w:r>
      <w:r w:rsidR="00932821">
        <w:rPr>
          <w:rFonts w:ascii="Arial" w:hAnsi="Arial" w:cs="Arial"/>
        </w:rPr>
        <w:t xml:space="preserve">o </w:t>
      </w:r>
      <w:r w:rsidR="000C3F4F">
        <w:rPr>
          <w:rFonts w:ascii="Arial" w:hAnsi="Arial" w:cs="Arial"/>
        </w:rPr>
        <w:t>replace the reference to the</w:t>
      </w:r>
      <w:r w:rsidR="001B2CAF">
        <w:rPr>
          <w:rFonts w:ascii="Arial" w:hAnsi="Arial" w:cs="Arial"/>
        </w:rPr>
        <w:t xml:space="preserve"> now repealed</w:t>
      </w:r>
      <w:r w:rsidR="000C3F4F">
        <w:rPr>
          <w:rFonts w:ascii="Arial" w:hAnsi="Arial" w:cs="Arial"/>
        </w:rPr>
        <w:t xml:space="preserve"> </w:t>
      </w:r>
      <w:r w:rsidR="000C3F4F" w:rsidRPr="000C3F4F">
        <w:rPr>
          <w:rFonts w:ascii="Arial" w:hAnsi="Arial" w:cs="Arial"/>
          <w:i/>
          <w:iCs/>
        </w:rPr>
        <w:t>Skin Penetration Procedures Act 1994</w:t>
      </w:r>
      <w:r w:rsidR="000C3F4F">
        <w:rPr>
          <w:rFonts w:ascii="Arial" w:hAnsi="Arial" w:cs="Arial"/>
        </w:rPr>
        <w:t xml:space="preserve"> and substitute this with </w:t>
      </w:r>
      <w:r w:rsidR="00E10D26">
        <w:rPr>
          <w:rFonts w:ascii="Arial" w:hAnsi="Arial" w:cs="Arial"/>
        </w:rPr>
        <w:t>reference to</w:t>
      </w:r>
      <w:r w:rsidR="00131766">
        <w:rPr>
          <w:rFonts w:ascii="Arial" w:hAnsi="Arial" w:cs="Arial"/>
        </w:rPr>
        <w:t xml:space="preserve"> appropriate</w:t>
      </w:r>
      <w:r w:rsidR="00E10D26">
        <w:rPr>
          <w:rFonts w:ascii="Arial" w:hAnsi="Arial" w:cs="Arial"/>
        </w:rPr>
        <w:t xml:space="preserve"> </w:t>
      </w:r>
      <w:r w:rsidR="00E10D26" w:rsidRPr="001B2CAF">
        <w:rPr>
          <w:rFonts w:ascii="Arial" w:hAnsi="Arial" w:cs="Arial"/>
        </w:rPr>
        <w:t xml:space="preserve">legislation </w:t>
      </w:r>
      <w:r w:rsidR="00E10D26">
        <w:rPr>
          <w:rFonts w:ascii="Arial" w:hAnsi="Arial" w:cs="Arial"/>
        </w:rPr>
        <w:t>that is c</w:t>
      </w:r>
      <w:r w:rsidR="00E10D26" w:rsidRPr="001B2CAF">
        <w:rPr>
          <w:rFonts w:ascii="Arial" w:hAnsi="Arial" w:cs="Arial"/>
        </w:rPr>
        <w:t>urrently in force</w:t>
      </w:r>
      <w:r w:rsidR="00E10D26">
        <w:rPr>
          <w:rFonts w:ascii="Arial" w:hAnsi="Arial" w:cs="Arial"/>
        </w:rPr>
        <w:t xml:space="preserve"> – </w:t>
      </w:r>
      <w:r w:rsidR="000C3F4F">
        <w:rPr>
          <w:rFonts w:ascii="Arial" w:hAnsi="Arial" w:cs="Arial"/>
        </w:rPr>
        <w:t xml:space="preserve">the </w:t>
      </w:r>
      <w:r w:rsidR="000C3F4F" w:rsidRPr="000C3F4F">
        <w:rPr>
          <w:rFonts w:ascii="Arial" w:hAnsi="Arial" w:cs="Arial"/>
          <w:i/>
          <w:iCs/>
        </w:rPr>
        <w:t>Public Health Act 1997</w:t>
      </w:r>
      <w:r w:rsidR="000C3F4F" w:rsidRPr="000C3F4F">
        <w:rPr>
          <w:rFonts w:ascii="Arial" w:hAnsi="Arial" w:cs="Arial"/>
        </w:rPr>
        <w:t>, part 3</w:t>
      </w:r>
      <w:r w:rsidR="0045789B">
        <w:rPr>
          <w:rFonts w:ascii="Arial" w:hAnsi="Arial" w:cs="Arial"/>
        </w:rPr>
        <w:t>.</w:t>
      </w:r>
    </w:p>
    <w:p w14:paraId="31426F79" w14:textId="7EEC11C8" w:rsidR="000C3F4F" w:rsidRDefault="000C3F4F" w:rsidP="000C3F4F">
      <w:pPr>
        <w:ind w:left="1440" w:hanging="1440"/>
        <w:rPr>
          <w:rFonts w:ascii="Arial" w:hAnsi="Arial" w:cs="Arial"/>
          <w:b/>
          <w:bCs/>
        </w:rPr>
      </w:pPr>
      <w:r>
        <w:rPr>
          <w:rFonts w:ascii="Arial" w:hAnsi="Arial" w:cs="Arial"/>
          <w:b/>
          <w:bCs/>
        </w:rPr>
        <w:t>Part 4</w:t>
      </w:r>
      <w:r>
        <w:rPr>
          <w:rFonts w:ascii="Arial" w:hAnsi="Arial" w:cs="Arial"/>
          <w:b/>
          <w:bCs/>
        </w:rPr>
        <w:tab/>
        <w:t>Medicines, Poisons and Therapeutic Goods Act 2008</w:t>
      </w:r>
    </w:p>
    <w:p w14:paraId="7C734947" w14:textId="5BC1B4D0" w:rsidR="000C3F4F" w:rsidRPr="00786D6F" w:rsidRDefault="00C73F88" w:rsidP="000C3F4F">
      <w:pPr>
        <w:ind w:left="1440" w:hanging="1440"/>
        <w:rPr>
          <w:rFonts w:ascii="Arial" w:hAnsi="Arial" w:cs="Arial"/>
          <w:b/>
          <w:bCs/>
        </w:rPr>
      </w:pPr>
      <w:r w:rsidRPr="00786D6F">
        <w:rPr>
          <w:rFonts w:ascii="Arial" w:hAnsi="Arial" w:cs="Arial"/>
          <w:b/>
          <w:bCs/>
        </w:rPr>
        <w:t xml:space="preserve">Clause 7 </w:t>
      </w:r>
      <w:r w:rsidR="00993D72">
        <w:rPr>
          <w:rFonts w:ascii="Arial" w:hAnsi="Arial" w:cs="Arial"/>
          <w:b/>
          <w:bCs/>
        </w:rPr>
        <w:tab/>
      </w:r>
      <w:r w:rsidRPr="00786D6F">
        <w:rPr>
          <w:rFonts w:ascii="Arial" w:hAnsi="Arial" w:cs="Arial"/>
          <w:b/>
          <w:bCs/>
        </w:rPr>
        <w:t>Interpretation provisions in medicines and poisons standard—application to Act</w:t>
      </w:r>
      <w:r w:rsidR="000C3F4F">
        <w:rPr>
          <w:rFonts w:ascii="Arial" w:hAnsi="Arial" w:cs="Arial"/>
          <w:b/>
          <w:bCs/>
        </w:rPr>
        <w:br/>
        <w:t>Section 16 (1)</w:t>
      </w:r>
    </w:p>
    <w:p w14:paraId="71F864D3" w14:textId="05EB9855" w:rsidR="00577F97" w:rsidRPr="00EA24E7" w:rsidRDefault="00EA24E7" w:rsidP="00577F97">
      <w:pPr>
        <w:rPr>
          <w:rFonts w:ascii="Arial" w:hAnsi="Arial" w:cs="Arial"/>
        </w:rPr>
      </w:pPr>
      <w:r w:rsidRPr="00786D6F">
        <w:rPr>
          <w:rFonts w:ascii="Arial" w:hAnsi="Arial" w:cs="Arial"/>
        </w:rPr>
        <w:t xml:space="preserve">This </w:t>
      </w:r>
      <w:r w:rsidRPr="00EA24E7">
        <w:rPr>
          <w:rFonts w:ascii="Arial" w:hAnsi="Arial" w:cs="Arial"/>
        </w:rPr>
        <w:t xml:space="preserve">clause </w:t>
      </w:r>
      <w:r w:rsidR="000C3F4F">
        <w:rPr>
          <w:rFonts w:ascii="Arial" w:hAnsi="Arial" w:cs="Arial"/>
        </w:rPr>
        <w:t xml:space="preserve">amends </w:t>
      </w:r>
      <w:r w:rsidR="00993D72">
        <w:rPr>
          <w:rFonts w:ascii="Arial" w:hAnsi="Arial" w:cs="Arial"/>
        </w:rPr>
        <w:t>s</w:t>
      </w:r>
      <w:r w:rsidR="00C73F88" w:rsidRPr="00EA24E7">
        <w:rPr>
          <w:rFonts w:ascii="Arial" w:hAnsi="Arial" w:cs="Arial"/>
        </w:rPr>
        <w:t xml:space="preserve">ection 16 (1) </w:t>
      </w:r>
      <w:r w:rsidR="000C3F4F">
        <w:rPr>
          <w:rFonts w:ascii="Arial" w:hAnsi="Arial" w:cs="Arial"/>
        </w:rPr>
        <w:t xml:space="preserve">to remove the wording </w:t>
      </w:r>
      <w:r w:rsidR="00E10D26">
        <w:rPr>
          <w:rFonts w:ascii="Arial" w:hAnsi="Arial" w:cs="Arial"/>
        </w:rPr>
        <w:t>‘</w:t>
      </w:r>
      <w:r w:rsidR="000C3F4F">
        <w:rPr>
          <w:rFonts w:ascii="Arial" w:hAnsi="Arial" w:cs="Arial"/>
        </w:rPr>
        <w:t xml:space="preserve">(other than the definition of </w:t>
      </w:r>
      <w:r w:rsidR="000C3F4F">
        <w:rPr>
          <w:rFonts w:ascii="Arial" w:hAnsi="Arial" w:cs="Arial"/>
          <w:b/>
          <w:bCs/>
          <w:i/>
          <w:iCs/>
        </w:rPr>
        <w:t>poison</w:t>
      </w:r>
      <w:r w:rsidR="000C3F4F">
        <w:rPr>
          <w:rFonts w:ascii="Arial" w:hAnsi="Arial" w:cs="Arial"/>
        </w:rPr>
        <w:t>)</w:t>
      </w:r>
      <w:r w:rsidR="00E10D26">
        <w:rPr>
          <w:rFonts w:ascii="Arial" w:hAnsi="Arial" w:cs="Arial"/>
        </w:rPr>
        <w:t>’</w:t>
      </w:r>
      <w:r w:rsidR="009E7830" w:rsidRPr="009E7830">
        <w:rPr>
          <w:rFonts w:ascii="Arial" w:hAnsi="Arial" w:cs="Arial"/>
          <w:iCs/>
        </w:rPr>
        <w:t xml:space="preserve"> </w:t>
      </w:r>
      <w:r w:rsidR="009E7830">
        <w:rPr>
          <w:rFonts w:ascii="Arial" w:hAnsi="Arial" w:cs="Arial"/>
          <w:iCs/>
        </w:rPr>
        <w:t xml:space="preserve">to </w:t>
      </w:r>
      <w:r w:rsidR="00577F97">
        <w:rPr>
          <w:rFonts w:ascii="Arial" w:hAnsi="Arial" w:cs="Arial"/>
          <w:iCs/>
        </w:rPr>
        <w:t xml:space="preserve">update and </w:t>
      </w:r>
      <w:r w:rsidR="009E7830">
        <w:rPr>
          <w:rFonts w:ascii="Arial" w:hAnsi="Arial" w:cs="Arial"/>
          <w:iCs/>
        </w:rPr>
        <w:t xml:space="preserve">correct </w:t>
      </w:r>
      <w:r w:rsidR="00577F97">
        <w:rPr>
          <w:rFonts w:ascii="Arial" w:hAnsi="Arial" w:cs="Arial"/>
          <w:iCs/>
        </w:rPr>
        <w:t xml:space="preserve">an </w:t>
      </w:r>
      <w:r w:rsidR="009E7830">
        <w:rPr>
          <w:rFonts w:ascii="Arial" w:hAnsi="Arial" w:cs="Arial"/>
          <w:iCs/>
        </w:rPr>
        <w:t xml:space="preserve">outdated </w:t>
      </w:r>
      <w:r w:rsidR="00F80D58">
        <w:rPr>
          <w:rFonts w:ascii="Arial" w:hAnsi="Arial" w:cs="Arial"/>
          <w:iCs/>
        </w:rPr>
        <w:t>cross-</w:t>
      </w:r>
      <w:r w:rsidR="00577F97">
        <w:rPr>
          <w:rFonts w:ascii="Arial" w:hAnsi="Arial" w:cs="Arial"/>
          <w:iCs/>
        </w:rPr>
        <w:t xml:space="preserve">reference </w:t>
      </w:r>
      <w:r w:rsidR="00577F97">
        <w:rPr>
          <w:rFonts w:ascii="Arial" w:hAnsi="Arial" w:cs="Arial"/>
        </w:rPr>
        <w:t>between</w:t>
      </w:r>
      <w:r w:rsidR="00577F97" w:rsidRPr="000C3F4F">
        <w:rPr>
          <w:rFonts w:ascii="Arial" w:hAnsi="Arial" w:cs="Arial"/>
        </w:rPr>
        <w:t xml:space="preserve"> the </w:t>
      </w:r>
      <w:r w:rsidR="00E10D26">
        <w:rPr>
          <w:rFonts w:ascii="Arial" w:hAnsi="Arial" w:cs="Arial"/>
        </w:rPr>
        <w:t>MPTG Act</w:t>
      </w:r>
      <w:r w:rsidR="00577F97">
        <w:rPr>
          <w:rFonts w:ascii="Arial" w:hAnsi="Arial" w:cs="Arial"/>
        </w:rPr>
        <w:t xml:space="preserve"> and the medicines and poisons standard.</w:t>
      </w:r>
      <w:r w:rsidR="00152387">
        <w:rPr>
          <w:rFonts w:ascii="Arial" w:hAnsi="Arial" w:cs="Arial"/>
        </w:rPr>
        <w:t xml:space="preserve"> </w:t>
      </w:r>
    </w:p>
    <w:p w14:paraId="0AEFAFDC" w14:textId="6140DF4C" w:rsidR="00C73F88" w:rsidRDefault="00C73F88" w:rsidP="00C73F88">
      <w:pPr>
        <w:rPr>
          <w:rFonts w:ascii="Arial" w:hAnsi="Arial" w:cs="Arial"/>
          <w:b/>
          <w:bCs/>
        </w:rPr>
      </w:pPr>
      <w:r w:rsidRPr="00786D6F">
        <w:rPr>
          <w:rFonts w:ascii="Arial" w:hAnsi="Arial" w:cs="Arial"/>
          <w:b/>
          <w:bCs/>
        </w:rPr>
        <w:t xml:space="preserve">Clause 8 </w:t>
      </w:r>
      <w:r w:rsidR="00993D72">
        <w:rPr>
          <w:rFonts w:ascii="Arial" w:hAnsi="Arial" w:cs="Arial"/>
          <w:b/>
          <w:bCs/>
        </w:rPr>
        <w:tab/>
      </w:r>
      <w:r w:rsidRPr="00786D6F">
        <w:rPr>
          <w:rFonts w:ascii="Arial" w:hAnsi="Arial" w:cs="Arial"/>
          <w:b/>
          <w:bCs/>
        </w:rPr>
        <w:t>Section 16 (1), note</w:t>
      </w:r>
    </w:p>
    <w:p w14:paraId="686FCDE5" w14:textId="0526161B" w:rsidR="00993D72" w:rsidRPr="00786D6F" w:rsidRDefault="00993D72" w:rsidP="00C73F88">
      <w:pPr>
        <w:rPr>
          <w:rFonts w:ascii="Arial" w:hAnsi="Arial" w:cs="Arial"/>
          <w:b/>
          <w:bCs/>
        </w:rPr>
      </w:pPr>
      <w:r w:rsidRPr="009510D6">
        <w:rPr>
          <w:rFonts w:ascii="Arial" w:hAnsi="Arial" w:cs="Arial"/>
        </w:rPr>
        <w:t xml:space="preserve">This </w:t>
      </w:r>
      <w:r w:rsidRPr="00993D72">
        <w:rPr>
          <w:rFonts w:ascii="Arial" w:hAnsi="Arial" w:cs="Arial"/>
        </w:rPr>
        <w:t xml:space="preserve">clause </w:t>
      </w:r>
      <w:r w:rsidR="009E7830">
        <w:rPr>
          <w:rFonts w:ascii="Arial" w:hAnsi="Arial" w:cs="Arial"/>
        </w:rPr>
        <w:t xml:space="preserve">removes the note in section 16 (1) as it </w:t>
      </w:r>
      <w:r w:rsidR="00E10D26">
        <w:rPr>
          <w:rFonts w:ascii="Arial" w:hAnsi="Arial" w:cs="Arial"/>
        </w:rPr>
        <w:t>is</w:t>
      </w:r>
      <w:r w:rsidR="009E7830">
        <w:rPr>
          <w:rFonts w:ascii="Arial" w:hAnsi="Arial" w:cs="Arial"/>
        </w:rPr>
        <w:t xml:space="preserve"> redundant due to the</w:t>
      </w:r>
      <w:r w:rsidR="00E10D26">
        <w:rPr>
          <w:rFonts w:ascii="Arial" w:hAnsi="Arial" w:cs="Arial"/>
        </w:rPr>
        <w:t xml:space="preserve"> amendment made </w:t>
      </w:r>
      <w:r w:rsidR="009E7830">
        <w:rPr>
          <w:rFonts w:ascii="Arial" w:hAnsi="Arial" w:cs="Arial"/>
        </w:rPr>
        <w:t>in clause 7.</w:t>
      </w:r>
    </w:p>
    <w:p w14:paraId="283A4824" w14:textId="7471F595" w:rsidR="00C73F88" w:rsidRPr="00786D6F" w:rsidRDefault="00C73F88" w:rsidP="009E7830">
      <w:pPr>
        <w:ind w:left="1440" w:hanging="1440"/>
        <w:rPr>
          <w:rFonts w:ascii="Arial" w:hAnsi="Arial" w:cs="Arial"/>
          <w:b/>
          <w:bCs/>
        </w:rPr>
      </w:pPr>
      <w:r w:rsidRPr="00786D6F">
        <w:rPr>
          <w:rFonts w:ascii="Arial" w:hAnsi="Arial" w:cs="Arial"/>
          <w:b/>
          <w:bCs/>
        </w:rPr>
        <w:t xml:space="preserve">Clause 9 </w:t>
      </w:r>
      <w:r w:rsidR="00993D72">
        <w:rPr>
          <w:rFonts w:ascii="Arial" w:hAnsi="Arial" w:cs="Arial"/>
          <w:b/>
          <w:bCs/>
        </w:rPr>
        <w:tab/>
      </w:r>
      <w:r w:rsidRPr="00786D6F">
        <w:rPr>
          <w:rFonts w:ascii="Arial" w:hAnsi="Arial" w:cs="Arial"/>
          <w:b/>
          <w:bCs/>
        </w:rPr>
        <w:t xml:space="preserve">When </w:t>
      </w:r>
      <w:r w:rsidRPr="00BE19EC">
        <w:rPr>
          <w:rFonts w:ascii="Arial" w:hAnsi="Arial" w:cs="Arial"/>
          <w:b/>
          <w:bCs/>
          <w:i/>
          <w:iCs/>
        </w:rPr>
        <w:t>authorised</w:t>
      </w:r>
      <w:r w:rsidRPr="00786D6F">
        <w:rPr>
          <w:rFonts w:ascii="Arial" w:hAnsi="Arial" w:cs="Arial"/>
          <w:b/>
          <w:bCs/>
        </w:rPr>
        <w:t xml:space="preserve"> to deal with regulated substances</w:t>
      </w:r>
      <w:r w:rsidR="009E7830">
        <w:rPr>
          <w:rFonts w:ascii="Arial" w:hAnsi="Arial" w:cs="Arial"/>
          <w:b/>
          <w:bCs/>
        </w:rPr>
        <w:br/>
      </w:r>
      <w:r w:rsidR="009E7830" w:rsidRPr="009E7830">
        <w:rPr>
          <w:rFonts w:ascii="Arial" w:hAnsi="Arial" w:cs="Arial"/>
          <w:b/>
          <w:bCs/>
        </w:rPr>
        <w:t xml:space="preserve">Section 20 (5), definition of </w:t>
      </w:r>
      <w:r w:rsidR="009E7830" w:rsidRPr="009E7830">
        <w:rPr>
          <w:rFonts w:ascii="Arial" w:hAnsi="Arial" w:cs="Arial"/>
          <w:b/>
          <w:bCs/>
          <w:i/>
          <w:iCs/>
        </w:rPr>
        <w:t>recognised research institution</w:t>
      </w:r>
      <w:r w:rsidR="009E7830">
        <w:rPr>
          <w:rFonts w:ascii="Arial" w:hAnsi="Arial" w:cs="Arial"/>
          <w:b/>
          <w:bCs/>
        </w:rPr>
        <w:t>, paragraph (c)</w:t>
      </w:r>
    </w:p>
    <w:p w14:paraId="777C9EBE" w14:textId="7B4283B0" w:rsidR="00C73F88" w:rsidRPr="00EA24E7" w:rsidRDefault="5CE1B4F2" w:rsidP="00C73F88">
      <w:pPr>
        <w:rPr>
          <w:rFonts w:ascii="Arial" w:hAnsi="Arial" w:cs="Arial"/>
        </w:rPr>
      </w:pPr>
      <w:r w:rsidRPr="3C2C6793">
        <w:rPr>
          <w:rFonts w:ascii="Arial" w:hAnsi="Arial" w:cs="Arial"/>
        </w:rPr>
        <w:t xml:space="preserve">This clause </w:t>
      </w:r>
      <w:r w:rsidR="5F4D422F" w:rsidRPr="3C2C6793">
        <w:rPr>
          <w:rFonts w:ascii="Arial" w:hAnsi="Arial" w:cs="Arial"/>
        </w:rPr>
        <w:t xml:space="preserve">amends </w:t>
      </w:r>
      <w:r w:rsidR="28F3A24E" w:rsidRPr="3C2C6793">
        <w:rPr>
          <w:rFonts w:ascii="Arial" w:hAnsi="Arial" w:cs="Arial"/>
        </w:rPr>
        <w:t>s</w:t>
      </w:r>
      <w:r w:rsidR="1EBA4592" w:rsidRPr="3C2C6793">
        <w:rPr>
          <w:rFonts w:ascii="Arial" w:hAnsi="Arial" w:cs="Arial"/>
        </w:rPr>
        <w:t>ection 20 (5)</w:t>
      </w:r>
      <w:r w:rsidR="6AD7C117" w:rsidRPr="3C2C6793">
        <w:rPr>
          <w:rFonts w:ascii="Arial" w:hAnsi="Arial" w:cs="Arial"/>
        </w:rPr>
        <w:t xml:space="preserve"> to insert ‘a hospital operated by the Territory’ within the list of recognised research institutions</w:t>
      </w:r>
      <w:r w:rsidR="11868631" w:rsidRPr="3C2C6793">
        <w:rPr>
          <w:rFonts w:ascii="Arial" w:hAnsi="Arial" w:cs="Arial"/>
        </w:rPr>
        <w:t xml:space="preserve"> under this provision</w:t>
      </w:r>
      <w:r w:rsidR="6AD7C117" w:rsidRPr="3C2C6793">
        <w:rPr>
          <w:rFonts w:ascii="Arial" w:hAnsi="Arial" w:cs="Arial"/>
        </w:rPr>
        <w:t xml:space="preserve">, </w:t>
      </w:r>
      <w:r w:rsidR="07E0806F" w:rsidRPr="3C2C6793">
        <w:rPr>
          <w:rFonts w:ascii="Arial" w:hAnsi="Arial" w:cs="Arial"/>
        </w:rPr>
        <w:t>to</w:t>
      </w:r>
      <w:r w:rsidR="6AD7C117" w:rsidRPr="3C2C6793">
        <w:rPr>
          <w:rFonts w:ascii="Arial" w:hAnsi="Arial" w:cs="Arial"/>
        </w:rPr>
        <w:t xml:space="preserve"> ensure that all hospital facilities operated by the Territory are treated as </w:t>
      </w:r>
      <w:r w:rsidR="11868631" w:rsidRPr="3C2C6793">
        <w:rPr>
          <w:rFonts w:ascii="Arial" w:hAnsi="Arial" w:cs="Arial"/>
        </w:rPr>
        <w:t>‘</w:t>
      </w:r>
      <w:r w:rsidR="6AD7C117" w:rsidRPr="3C2C6793">
        <w:rPr>
          <w:rFonts w:ascii="Arial" w:hAnsi="Arial" w:cs="Arial"/>
        </w:rPr>
        <w:t>recognised research institutions</w:t>
      </w:r>
      <w:r w:rsidR="11868631" w:rsidRPr="3C2C6793">
        <w:rPr>
          <w:rFonts w:ascii="Arial" w:hAnsi="Arial" w:cs="Arial"/>
        </w:rPr>
        <w:t>’</w:t>
      </w:r>
      <w:r w:rsidR="6AD7C117" w:rsidRPr="3C2C6793">
        <w:rPr>
          <w:rFonts w:ascii="Arial" w:hAnsi="Arial" w:cs="Arial"/>
        </w:rPr>
        <w:t xml:space="preserve"> under section 20 of the MPTG Act</w:t>
      </w:r>
      <w:r w:rsidR="59B1806F" w:rsidRPr="3C2C6793">
        <w:rPr>
          <w:rFonts w:ascii="Arial" w:hAnsi="Arial" w:cs="Arial"/>
        </w:rPr>
        <w:t xml:space="preserve">. The amendment replaces the existing inclusion of only Canberra Hospital within the list of recognised research institutions. </w:t>
      </w:r>
    </w:p>
    <w:p w14:paraId="02E2DDF5" w14:textId="4081401F" w:rsidR="00C73F88" w:rsidRDefault="1EBA4592" w:rsidP="3C2C6793">
      <w:pPr>
        <w:keepNext/>
        <w:rPr>
          <w:rFonts w:ascii="Arial" w:hAnsi="Arial" w:cs="Arial"/>
          <w:b/>
          <w:bCs/>
        </w:rPr>
      </w:pPr>
      <w:r w:rsidRPr="3C2C6793">
        <w:rPr>
          <w:rFonts w:ascii="Arial" w:hAnsi="Arial" w:cs="Arial"/>
          <w:b/>
          <w:bCs/>
        </w:rPr>
        <w:t xml:space="preserve">Clause 10 </w:t>
      </w:r>
      <w:r w:rsidR="00C73F88">
        <w:tab/>
      </w:r>
      <w:r w:rsidRPr="3C2C6793">
        <w:rPr>
          <w:rFonts w:ascii="Arial" w:hAnsi="Arial" w:cs="Arial"/>
          <w:b/>
          <w:bCs/>
        </w:rPr>
        <w:t xml:space="preserve">Section 69 (1), definition of </w:t>
      </w:r>
      <w:r w:rsidRPr="3C2C6793">
        <w:rPr>
          <w:rFonts w:ascii="Arial" w:hAnsi="Arial" w:cs="Arial"/>
          <w:b/>
          <w:bCs/>
          <w:i/>
          <w:iCs/>
        </w:rPr>
        <w:t>manufacturer’s pack</w:t>
      </w:r>
      <w:r w:rsidRPr="3C2C6793">
        <w:rPr>
          <w:rFonts w:ascii="Arial" w:hAnsi="Arial" w:cs="Arial"/>
          <w:b/>
          <w:bCs/>
        </w:rPr>
        <w:t>, note etc</w:t>
      </w:r>
    </w:p>
    <w:p w14:paraId="37C29C8C" w14:textId="4930C5A1" w:rsidR="00993D72" w:rsidRPr="00786D6F" w:rsidRDefault="28F3A24E" w:rsidP="3C2C6793">
      <w:pPr>
        <w:keepNext/>
        <w:rPr>
          <w:rFonts w:ascii="Arial" w:hAnsi="Arial" w:cs="Arial"/>
          <w:b/>
          <w:bCs/>
        </w:rPr>
      </w:pPr>
      <w:r w:rsidRPr="3C2C6793">
        <w:rPr>
          <w:rFonts w:ascii="Arial" w:hAnsi="Arial" w:cs="Arial"/>
        </w:rPr>
        <w:t xml:space="preserve">This clause </w:t>
      </w:r>
      <w:r w:rsidR="07E0806F" w:rsidRPr="3C2C6793">
        <w:rPr>
          <w:rFonts w:ascii="Arial" w:hAnsi="Arial" w:cs="Arial"/>
        </w:rPr>
        <w:t>removes notes within section 69 (1), section 71 (1) to (3), section 73 and the note contained in the heading to division 4.3.</w:t>
      </w:r>
      <w:r w:rsidR="11868631" w:rsidRPr="3C2C6793">
        <w:rPr>
          <w:rFonts w:ascii="Arial" w:hAnsi="Arial" w:cs="Arial"/>
        </w:rPr>
        <w:t xml:space="preserve">6 to </w:t>
      </w:r>
      <w:r w:rsidR="69BD47CB" w:rsidRPr="3C2C6793">
        <w:rPr>
          <w:rFonts w:ascii="Arial" w:hAnsi="Arial" w:cs="Arial"/>
        </w:rPr>
        <w:t>remove superfluous references to the</w:t>
      </w:r>
      <w:r w:rsidR="11868631" w:rsidRPr="3C2C6793">
        <w:rPr>
          <w:rFonts w:ascii="Arial" w:hAnsi="Arial" w:cs="Arial"/>
        </w:rPr>
        <w:t xml:space="preserve"> medicines and poisons standard</w:t>
      </w:r>
      <w:r w:rsidR="67F591C0" w:rsidRPr="3C2C6793">
        <w:rPr>
          <w:rFonts w:ascii="Arial" w:hAnsi="Arial" w:cs="Arial"/>
        </w:rPr>
        <w:t xml:space="preserve">, </w:t>
      </w:r>
      <w:proofErr w:type="gramStart"/>
      <w:r w:rsidR="67F591C0" w:rsidRPr="3C2C6793">
        <w:rPr>
          <w:rFonts w:ascii="Arial" w:hAnsi="Arial" w:cs="Arial"/>
        </w:rPr>
        <w:t>in light of</w:t>
      </w:r>
      <w:proofErr w:type="gramEnd"/>
      <w:r w:rsidR="67F591C0" w:rsidRPr="3C2C6793">
        <w:rPr>
          <w:rFonts w:ascii="Arial" w:hAnsi="Arial" w:cs="Arial"/>
        </w:rPr>
        <w:t xml:space="preserve"> section 16 of the MPTG Act.</w:t>
      </w:r>
    </w:p>
    <w:p w14:paraId="5469A817" w14:textId="017C1C7A" w:rsidR="00C73F88" w:rsidRDefault="00C73F88" w:rsidP="00C73F88">
      <w:pPr>
        <w:rPr>
          <w:rFonts w:ascii="Arial" w:hAnsi="Arial" w:cs="Arial"/>
          <w:b/>
          <w:bCs/>
        </w:rPr>
      </w:pPr>
      <w:r w:rsidRPr="00786D6F">
        <w:rPr>
          <w:rFonts w:ascii="Arial" w:hAnsi="Arial" w:cs="Arial"/>
          <w:b/>
          <w:bCs/>
        </w:rPr>
        <w:t xml:space="preserve">Clause 11 </w:t>
      </w:r>
      <w:r w:rsidR="00993D72">
        <w:rPr>
          <w:rFonts w:ascii="Arial" w:hAnsi="Arial" w:cs="Arial"/>
          <w:b/>
          <w:bCs/>
        </w:rPr>
        <w:tab/>
      </w:r>
      <w:r w:rsidRPr="00786D6F">
        <w:rPr>
          <w:rFonts w:ascii="Arial" w:hAnsi="Arial" w:cs="Arial"/>
          <w:b/>
          <w:bCs/>
        </w:rPr>
        <w:t xml:space="preserve">Dictionary, definition of </w:t>
      </w:r>
      <w:r w:rsidRPr="00F67152">
        <w:rPr>
          <w:rFonts w:ascii="Arial" w:hAnsi="Arial" w:cs="Arial"/>
          <w:b/>
          <w:bCs/>
          <w:i/>
          <w:iCs/>
        </w:rPr>
        <w:t>residential aged care facility</w:t>
      </w:r>
    </w:p>
    <w:p w14:paraId="293BDA1B" w14:textId="69675BE4" w:rsidR="00993D72" w:rsidRPr="00786D6F" w:rsidRDefault="00993D72" w:rsidP="00C73F88">
      <w:pPr>
        <w:rPr>
          <w:rFonts w:ascii="Arial" w:hAnsi="Arial" w:cs="Arial"/>
          <w:b/>
          <w:bCs/>
        </w:rPr>
      </w:pPr>
      <w:r w:rsidRPr="009510D6">
        <w:rPr>
          <w:rFonts w:ascii="Arial" w:hAnsi="Arial" w:cs="Arial"/>
        </w:rPr>
        <w:t xml:space="preserve">This </w:t>
      </w:r>
      <w:r w:rsidRPr="00993D72">
        <w:rPr>
          <w:rFonts w:ascii="Arial" w:hAnsi="Arial" w:cs="Arial"/>
        </w:rPr>
        <w:t>clause</w:t>
      </w:r>
      <w:r w:rsidR="00F67152">
        <w:rPr>
          <w:rFonts w:ascii="Arial" w:hAnsi="Arial" w:cs="Arial"/>
        </w:rPr>
        <w:t xml:space="preserve"> </w:t>
      </w:r>
      <w:r w:rsidR="00326AA2">
        <w:rPr>
          <w:rFonts w:ascii="Arial" w:hAnsi="Arial" w:cs="Arial"/>
        </w:rPr>
        <w:t>replaces</w:t>
      </w:r>
      <w:r w:rsidR="00F67152">
        <w:rPr>
          <w:rFonts w:ascii="Arial" w:hAnsi="Arial" w:cs="Arial"/>
        </w:rPr>
        <w:t xml:space="preserve"> the definition of </w:t>
      </w:r>
      <w:r w:rsidR="004C09F0">
        <w:rPr>
          <w:rFonts w:ascii="Arial" w:hAnsi="Arial" w:cs="Arial"/>
        </w:rPr>
        <w:t>‘</w:t>
      </w:r>
      <w:r w:rsidR="00A95B93">
        <w:rPr>
          <w:rFonts w:ascii="Arial" w:hAnsi="Arial" w:cs="Arial"/>
        </w:rPr>
        <w:t>residential aged care facility</w:t>
      </w:r>
      <w:r w:rsidR="004C09F0">
        <w:rPr>
          <w:rFonts w:ascii="Arial" w:hAnsi="Arial" w:cs="Arial"/>
        </w:rPr>
        <w:t>’</w:t>
      </w:r>
      <w:r w:rsidR="00A95B93">
        <w:rPr>
          <w:rFonts w:ascii="Arial" w:hAnsi="Arial" w:cs="Arial"/>
        </w:rPr>
        <w:t xml:space="preserve"> in the dictionary </w:t>
      </w:r>
      <w:r w:rsidR="00A95B93">
        <w:rPr>
          <w:rFonts w:ascii="Arial" w:hAnsi="Arial" w:cs="Arial"/>
          <w:iCs/>
        </w:rPr>
        <w:t>to align with</w:t>
      </w:r>
      <w:r w:rsidR="00A95B93" w:rsidRPr="00E246CF">
        <w:rPr>
          <w:rFonts w:ascii="Arial" w:hAnsi="Arial" w:cs="Arial"/>
          <w:iCs/>
        </w:rPr>
        <w:t xml:space="preserve"> the </w:t>
      </w:r>
      <w:r w:rsidR="004C09F0">
        <w:rPr>
          <w:rFonts w:ascii="Arial" w:hAnsi="Arial" w:cs="Arial"/>
          <w:iCs/>
        </w:rPr>
        <w:t>new</w:t>
      </w:r>
      <w:r w:rsidR="00A95B93" w:rsidRPr="00E246CF">
        <w:rPr>
          <w:rFonts w:ascii="Arial" w:hAnsi="Arial" w:cs="Arial"/>
          <w:iCs/>
        </w:rPr>
        <w:t xml:space="preserve"> </w:t>
      </w:r>
      <w:r w:rsidR="00A95B93" w:rsidRPr="00E246CF">
        <w:rPr>
          <w:rFonts w:ascii="Arial" w:hAnsi="Arial" w:cs="Arial"/>
          <w:i/>
        </w:rPr>
        <w:t>Aged Care Act 2024</w:t>
      </w:r>
      <w:r w:rsidR="004C09F0">
        <w:rPr>
          <w:rFonts w:ascii="Arial" w:hAnsi="Arial" w:cs="Arial"/>
          <w:iCs/>
        </w:rPr>
        <w:t xml:space="preserve"> (Cwlth).</w:t>
      </w:r>
    </w:p>
    <w:p w14:paraId="7C4A7F11" w14:textId="7B0B1713" w:rsidR="00C73F88" w:rsidRPr="00786D6F" w:rsidRDefault="00C73F88" w:rsidP="00426B1A">
      <w:pPr>
        <w:keepNext/>
        <w:rPr>
          <w:rFonts w:ascii="Arial" w:hAnsi="Arial" w:cs="Arial"/>
          <w:b/>
          <w:bCs/>
        </w:rPr>
      </w:pPr>
      <w:r w:rsidRPr="00786D6F">
        <w:rPr>
          <w:rFonts w:ascii="Arial" w:hAnsi="Arial" w:cs="Arial"/>
          <w:b/>
          <w:bCs/>
        </w:rPr>
        <w:lastRenderedPageBreak/>
        <w:t>Part 5</w:t>
      </w:r>
      <w:r w:rsidR="00993D72">
        <w:rPr>
          <w:rFonts w:ascii="Arial" w:hAnsi="Arial" w:cs="Arial"/>
          <w:b/>
          <w:bCs/>
        </w:rPr>
        <w:tab/>
      </w:r>
      <w:r w:rsidR="00993D72">
        <w:rPr>
          <w:rFonts w:ascii="Arial" w:hAnsi="Arial" w:cs="Arial"/>
          <w:b/>
          <w:bCs/>
        </w:rPr>
        <w:tab/>
      </w:r>
      <w:r w:rsidRPr="00786D6F">
        <w:rPr>
          <w:rFonts w:ascii="Arial" w:hAnsi="Arial" w:cs="Arial"/>
          <w:b/>
          <w:bCs/>
        </w:rPr>
        <w:t>Medicines, Poisons and Therapeutic Goods Regulation 2008</w:t>
      </w:r>
    </w:p>
    <w:p w14:paraId="15A76F8A" w14:textId="7976113B" w:rsidR="00C73F88" w:rsidRPr="00786D6F" w:rsidRDefault="00C73F88" w:rsidP="00A95B93">
      <w:pPr>
        <w:ind w:left="1440" w:hanging="1440"/>
        <w:rPr>
          <w:rFonts w:ascii="Arial" w:hAnsi="Arial" w:cs="Arial"/>
          <w:b/>
          <w:bCs/>
        </w:rPr>
      </w:pPr>
      <w:r w:rsidRPr="00786D6F">
        <w:rPr>
          <w:rFonts w:ascii="Arial" w:hAnsi="Arial" w:cs="Arial"/>
          <w:b/>
          <w:bCs/>
        </w:rPr>
        <w:t xml:space="preserve">Clause 12 </w:t>
      </w:r>
      <w:r w:rsidR="00993D72">
        <w:rPr>
          <w:rFonts w:ascii="Arial" w:hAnsi="Arial" w:cs="Arial"/>
          <w:b/>
          <w:bCs/>
        </w:rPr>
        <w:tab/>
      </w:r>
      <w:r w:rsidRPr="00786D6F">
        <w:rPr>
          <w:rFonts w:ascii="Arial" w:hAnsi="Arial" w:cs="Arial"/>
          <w:b/>
          <w:bCs/>
        </w:rPr>
        <w:t>Overview of things to which medicines and poisons standard does not</w:t>
      </w:r>
      <w:r w:rsidR="00EA24E7" w:rsidRPr="00EA24E7">
        <w:rPr>
          <w:rFonts w:ascii="Arial" w:hAnsi="Arial" w:cs="Arial"/>
          <w:b/>
          <w:bCs/>
        </w:rPr>
        <w:t xml:space="preserve"> </w:t>
      </w:r>
      <w:r w:rsidRPr="00786D6F">
        <w:rPr>
          <w:rFonts w:ascii="Arial" w:hAnsi="Arial" w:cs="Arial"/>
          <w:b/>
          <w:bCs/>
        </w:rPr>
        <w:t>apply</w:t>
      </w:r>
      <w:r w:rsidR="00A95B93">
        <w:rPr>
          <w:rFonts w:ascii="Arial" w:hAnsi="Arial" w:cs="Arial"/>
          <w:b/>
          <w:bCs/>
        </w:rPr>
        <w:br/>
        <w:t>Section 6 (2) (a)</w:t>
      </w:r>
    </w:p>
    <w:p w14:paraId="536EC637" w14:textId="21183DCB" w:rsidR="00C73F88" w:rsidRPr="00EA24E7" w:rsidRDefault="00EA24E7" w:rsidP="00C73F88">
      <w:pPr>
        <w:rPr>
          <w:rFonts w:ascii="Arial" w:hAnsi="Arial" w:cs="Arial"/>
        </w:rPr>
      </w:pPr>
      <w:r w:rsidRPr="00786D6F">
        <w:rPr>
          <w:rFonts w:ascii="Arial" w:hAnsi="Arial" w:cs="Arial"/>
        </w:rPr>
        <w:t xml:space="preserve">This </w:t>
      </w:r>
      <w:r w:rsidRPr="00EA24E7">
        <w:rPr>
          <w:rFonts w:ascii="Arial" w:hAnsi="Arial" w:cs="Arial"/>
        </w:rPr>
        <w:t xml:space="preserve">clause </w:t>
      </w:r>
      <w:r w:rsidR="00A95B93">
        <w:rPr>
          <w:rFonts w:ascii="Arial" w:hAnsi="Arial" w:cs="Arial"/>
        </w:rPr>
        <w:t xml:space="preserve">amends </w:t>
      </w:r>
      <w:r w:rsidR="00993D72">
        <w:rPr>
          <w:rFonts w:ascii="Arial" w:hAnsi="Arial" w:cs="Arial"/>
        </w:rPr>
        <w:t>se</w:t>
      </w:r>
      <w:r w:rsidR="00C73F88" w:rsidRPr="00EA24E7">
        <w:rPr>
          <w:rFonts w:ascii="Arial" w:hAnsi="Arial" w:cs="Arial"/>
        </w:rPr>
        <w:t>ction 6 (2) (a)</w:t>
      </w:r>
      <w:r w:rsidR="000C3F4F" w:rsidRPr="000C3F4F">
        <w:t xml:space="preserve"> </w:t>
      </w:r>
      <w:r w:rsidR="00326AA2">
        <w:rPr>
          <w:rFonts w:ascii="Arial" w:hAnsi="Arial" w:cs="Arial"/>
        </w:rPr>
        <w:t>to update and correct a</w:t>
      </w:r>
      <w:r w:rsidR="000C3F4F" w:rsidRPr="000C3F4F">
        <w:rPr>
          <w:rFonts w:ascii="Arial" w:hAnsi="Arial" w:cs="Arial"/>
        </w:rPr>
        <w:t xml:space="preserve"> cross-reference </w:t>
      </w:r>
      <w:r w:rsidR="00326AA2">
        <w:rPr>
          <w:rFonts w:ascii="Arial" w:hAnsi="Arial" w:cs="Arial"/>
        </w:rPr>
        <w:t>between</w:t>
      </w:r>
      <w:r w:rsidR="000C3F4F" w:rsidRPr="000C3F4F">
        <w:rPr>
          <w:rFonts w:ascii="Arial" w:hAnsi="Arial" w:cs="Arial"/>
        </w:rPr>
        <w:t xml:space="preserve"> the </w:t>
      </w:r>
      <w:r w:rsidR="00E10D26">
        <w:rPr>
          <w:rFonts w:ascii="Arial" w:hAnsi="Arial" w:cs="Arial"/>
        </w:rPr>
        <w:t>MPTG Reg</w:t>
      </w:r>
      <w:r w:rsidR="00326AA2">
        <w:rPr>
          <w:rFonts w:ascii="Arial" w:hAnsi="Arial" w:cs="Arial"/>
        </w:rPr>
        <w:t xml:space="preserve"> and the medicines and poisons standard</w:t>
      </w:r>
      <w:r w:rsidR="00F44566">
        <w:rPr>
          <w:rFonts w:ascii="Arial" w:hAnsi="Arial" w:cs="Arial"/>
        </w:rPr>
        <w:t>.</w:t>
      </w:r>
    </w:p>
    <w:p w14:paraId="5BB717F3" w14:textId="741CC067" w:rsidR="00C73F88" w:rsidRDefault="00C73F88" w:rsidP="00C73F88">
      <w:pPr>
        <w:rPr>
          <w:rFonts w:ascii="Arial" w:hAnsi="Arial" w:cs="Arial"/>
          <w:b/>
          <w:bCs/>
        </w:rPr>
      </w:pPr>
      <w:r w:rsidRPr="00786D6F">
        <w:rPr>
          <w:rFonts w:ascii="Arial" w:hAnsi="Arial" w:cs="Arial"/>
          <w:b/>
          <w:bCs/>
        </w:rPr>
        <w:t xml:space="preserve">Clause 13 </w:t>
      </w:r>
      <w:r w:rsidR="00993D72">
        <w:rPr>
          <w:rFonts w:ascii="Arial" w:hAnsi="Arial" w:cs="Arial"/>
          <w:b/>
          <w:bCs/>
        </w:rPr>
        <w:tab/>
      </w:r>
      <w:r w:rsidRPr="00786D6F">
        <w:rPr>
          <w:rFonts w:ascii="Arial" w:hAnsi="Arial" w:cs="Arial"/>
          <w:b/>
          <w:bCs/>
        </w:rPr>
        <w:t>Section 6 (2) (b)</w:t>
      </w:r>
    </w:p>
    <w:p w14:paraId="1055ED19" w14:textId="360B5F7F" w:rsidR="00326AA2" w:rsidRPr="00EA24E7" w:rsidRDefault="00326AA2" w:rsidP="00326AA2">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b</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r>
        <w:rPr>
          <w:rFonts w:ascii="Arial" w:hAnsi="Arial" w:cs="Arial"/>
        </w:rPr>
        <w:t>.</w:t>
      </w:r>
    </w:p>
    <w:p w14:paraId="1A1EBBAB" w14:textId="7EBF88F5" w:rsidR="00C73F88" w:rsidRDefault="00C73F88" w:rsidP="00C73F88">
      <w:pPr>
        <w:rPr>
          <w:rFonts w:ascii="Arial" w:hAnsi="Arial" w:cs="Arial"/>
          <w:b/>
          <w:bCs/>
        </w:rPr>
      </w:pPr>
      <w:r w:rsidRPr="00786D6F">
        <w:rPr>
          <w:rFonts w:ascii="Arial" w:hAnsi="Arial" w:cs="Arial"/>
          <w:b/>
          <w:bCs/>
        </w:rPr>
        <w:t xml:space="preserve">Clause 14 </w:t>
      </w:r>
      <w:r w:rsidR="00993D72">
        <w:rPr>
          <w:rFonts w:ascii="Arial" w:hAnsi="Arial" w:cs="Arial"/>
          <w:b/>
          <w:bCs/>
        </w:rPr>
        <w:tab/>
      </w:r>
      <w:r w:rsidRPr="00786D6F">
        <w:rPr>
          <w:rFonts w:ascii="Arial" w:hAnsi="Arial" w:cs="Arial"/>
          <w:b/>
          <w:bCs/>
        </w:rPr>
        <w:t>Section 6 (2) (c)</w:t>
      </w:r>
    </w:p>
    <w:p w14:paraId="3CC2D3B5" w14:textId="6D5B55D6" w:rsidR="00326AA2" w:rsidRPr="00EA24E7" w:rsidRDefault="00326AA2" w:rsidP="00326AA2">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c</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2812424D" w14:textId="3815DA24" w:rsidR="00C73F88" w:rsidRDefault="00C73F88" w:rsidP="00C73F88">
      <w:pPr>
        <w:rPr>
          <w:rFonts w:ascii="Arial" w:hAnsi="Arial" w:cs="Arial"/>
          <w:b/>
          <w:bCs/>
        </w:rPr>
      </w:pPr>
      <w:r w:rsidRPr="00786D6F">
        <w:rPr>
          <w:rFonts w:ascii="Arial" w:hAnsi="Arial" w:cs="Arial"/>
          <w:b/>
          <w:bCs/>
        </w:rPr>
        <w:t xml:space="preserve">Clause 15 </w:t>
      </w:r>
      <w:r w:rsidR="00993D72">
        <w:rPr>
          <w:rFonts w:ascii="Arial" w:hAnsi="Arial" w:cs="Arial"/>
          <w:b/>
          <w:bCs/>
        </w:rPr>
        <w:tab/>
      </w:r>
      <w:r w:rsidRPr="00786D6F">
        <w:rPr>
          <w:rFonts w:ascii="Arial" w:hAnsi="Arial" w:cs="Arial"/>
          <w:b/>
          <w:bCs/>
        </w:rPr>
        <w:t>Section 6 (2) (d)</w:t>
      </w:r>
    </w:p>
    <w:p w14:paraId="029B8C6F" w14:textId="63F8F69D" w:rsidR="00E10D26" w:rsidRPr="00EA24E7" w:rsidRDefault="00326AA2" w:rsidP="00E10D26">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d</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5F8639C5" w14:textId="24672C08" w:rsidR="00C73F88" w:rsidRDefault="00C73F88" w:rsidP="00C73F88">
      <w:pPr>
        <w:rPr>
          <w:rFonts w:ascii="Arial" w:hAnsi="Arial" w:cs="Arial"/>
          <w:b/>
          <w:bCs/>
        </w:rPr>
      </w:pPr>
      <w:r w:rsidRPr="00786D6F">
        <w:rPr>
          <w:rFonts w:ascii="Arial" w:hAnsi="Arial" w:cs="Arial"/>
          <w:b/>
          <w:bCs/>
        </w:rPr>
        <w:t xml:space="preserve">Clause 16 </w:t>
      </w:r>
      <w:r w:rsidR="00993D72">
        <w:rPr>
          <w:rFonts w:ascii="Arial" w:hAnsi="Arial" w:cs="Arial"/>
          <w:b/>
          <w:bCs/>
        </w:rPr>
        <w:tab/>
      </w:r>
      <w:r w:rsidRPr="00786D6F">
        <w:rPr>
          <w:rFonts w:ascii="Arial" w:hAnsi="Arial" w:cs="Arial"/>
          <w:b/>
          <w:bCs/>
        </w:rPr>
        <w:t>Section 6 (2) (e)</w:t>
      </w:r>
    </w:p>
    <w:p w14:paraId="5F16C4DE" w14:textId="77777777" w:rsidR="00E10D26" w:rsidRPr="00EA24E7" w:rsidRDefault="00326AA2" w:rsidP="00E10D26">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e</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1FB7FA2" w14:textId="2B3A1C8E" w:rsidR="00326AA2" w:rsidRPr="00786D6F" w:rsidRDefault="00C73F88" w:rsidP="00C73F88">
      <w:pPr>
        <w:rPr>
          <w:rFonts w:ascii="Arial" w:hAnsi="Arial" w:cs="Arial"/>
          <w:b/>
          <w:bCs/>
        </w:rPr>
      </w:pPr>
      <w:r w:rsidRPr="00DE7B3C">
        <w:rPr>
          <w:rFonts w:ascii="Arial" w:hAnsi="Arial" w:cs="Arial"/>
          <w:b/>
          <w:bCs/>
        </w:rPr>
        <w:t xml:space="preserve">Clause 17 </w:t>
      </w:r>
      <w:r w:rsidR="00993D72" w:rsidRPr="00DE7B3C">
        <w:rPr>
          <w:rFonts w:ascii="Arial" w:hAnsi="Arial" w:cs="Arial"/>
          <w:b/>
          <w:bCs/>
        </w:rPr>
        <w:tab/>
      </w:r>
      <w:r w:rsidRPr="00DE7B3C">
        <w:rPr>
          <w:rFonts w:ascii="Arial" w:hAnsi="Arial" w:cs="Arial"/>
          <w:b/>
          <w:bCs/>
        </w:rPr>
        <w:t>General overview of authorisations for medicines</w:t>
      </w:r>
      <w:r w:rsidR="00326AA2" w:rsidRPr="00DE7B3C">
        <w:rPr>
          <w:rFonts w:ascii="Arial" w:hAnsi="Arial" w:cs="Arial"/>
          <w:b/>
          <w:bCs/>
        </w:rPr>
        <w:br/>
      </w:r>
      <w:r w:rsidR="00326AA2" w:rsidRPr="00DE7B3C">
        <w:rPr>
          <w:rFonts w:ascii="Arial" w:hAnsi="Arial" w:cs="Arial"/>
          <w:b/>
          <w:bCs/>
        </w:rPr>
        <w:tab/>
      </w:r>
      <w:r w:rsidR="00326AA2" w:rsidRPr="00DE7B3C">
        <w:rPr>
          <w:rFonts w:ascii="Arial" w:hAnsi="Arial" w:cs="Arial"/>
          <w:b/>
          <w:bCs/>
        </w:rPr>
        <w:tab/>
        <w:t>Section 10 (3), note</w:t>
      </w:r>
      <w:r w:rsidR="002C6B74" w:rsidRPr="00DE7B3C">
        <w:rPr>
          <w:rFonts w:ascii="Arial" w:hAnsi="Arial" w:cs="Arial"/>
          <w:b/>
          <w:bCs/>
        </w:rPr>
        <w:t>, 1</w:t>
      </w:r>
      <w:r w:rsidR="002C6B74" w:rsidRPr="00426B1A">
        <w:rPr>
          <w:rFonts w:ascii="Arial" w:hAnsi="Arial" w:cs="Arial"/>
          <w:b/>
          <w:bCs/>
          <w:vertAlign w:val="superscript"/>
        </w:rPr>
        <w:t>st</w:t>
      </w:r>
      <w:r w:rsidR="002C6B74" w:rsidRPr="00DE7B3C">
        <w:rPr>
          <w:rFonts w:ascii="Arial" w:hAnsi="Arial" w:cs="Arial"/>
          <w:b/>
          <w:bCs/>
        </w:rPr>
        <w:t xml:space="preserve"> dot point</w:t>
      </w:r>
    </w:p>
    <w:p w14:paraId="6579CFC7" w14:textId="68F0F737" w:rsidR="00C73F88" w:rsidRPr="00EA24E7" w:rsidRDefault="00EA24E7" w:rsidP="00C73F88">
      <w:pPr>
        <w:rPr>
          <w:rFonts w:ascii="Arial" w:hAnsi="Arial" w:cs="Arial"/>
        </w:rPr>
      </w:pPr>
      <w:r w:rsidRPr="00786D6F">
        <w:rPr>
          <w:rFonts w:ascii="Arial" w:hAnsi="Arial" w:cs="Arial"/>
        </w:rPr>
        <w:t xml:space="preserve">This </w:t>
      </w:r>
      <w:r w:rsidRPr="00EA24E7">
        <w:rPr>
          <w:rFonts w:ascii="Arial" w:hAnsi="Arial" w:cs="Arial"/>
        </w:rPr>
        <w:t xml:space="preserve">clause </w:t>
      </w:r>
      <w:r w:rsidR="00577F97">
        <w:rPr>
          <w:rFonts w:ascii="Arial" w:hAnsi="Arial" w:cs="Arial"/>
        </w:rPr>
        <w:t xml:space="preserve">removes the note from </w:t>
      </w:r>
      <w:r w:rsidR="00993D72">
        <w:rPr>
          <w:rFonts w:ascii="Arial" w:hAnsi="Arial" w:cs="Arial"/>
        </w:rPr>
        <w:t>s</w:t>
      </w:r>
      <w:r w:rsidR="00C73F88" w:rsidRPr="00EA24E7">
        <w:rPr>
          <w:rFonts w:ascii="Arial" w:hAnsi="Arial" w:cs="Arial"/>
        </w:rPr>
        <w:t>ection 10 (3)</w:t>
      </w:r>
      <w:r w:rsidR="00577F97">
        <w:rPr>
          <w:rFonts w:ascii="Arial" w:hAnsi="Arial" w:cs="Arial"/>
        </w:rPr>
        <w:t xml:space="preserve"> to update and correct</w:t>
      </w:r>
      <w:r w:rsidR="00577F97" w:rsidRPr="000C3F4F">
        <w:rPr>
          <w:rFonts w:ascii="Arial" w:hAnsi="Arial" w:cs="Arial"/>
        </w:rPr>
        <w:t xml:space="preserve"> </w:t>
      </w:r>
      <w:r w:rsidR="00577F97">
        <w:rPr>
          <w:rFonts w:ascii="Arial" w:hAnsi="Arial" w:cs="Arial"/>
        </w:rPr>
        <w:t xml:space="preserve">a </w:t>
      </w:r>
      <w:r w:rsidR="00577F97"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0048FA56" w14:textId="69C4E5B1" w:rsidR="00EA24E7" w:rsidRDefault="00EA24E7" w:rsidP="00EA24E7">
      <w:pPr>
        <w:rPr>
          <w:rFonts w:ascii="Arial" w:hAnsi="Arial" w:cs="Arial"/>
          <w:b/>
          <w:bCs/>
        </w:rPr>
      </w:pPr>
      <w:r w:rsidRPr="00A45C3A">
        <w:rPr>
          <w:rFonts w:ascii="Arial" w:hAnsi="Arial" w:cs="Arial"/>
          <w:b/>
          <w:bCs/>
        </w:rPr>
        <w:t xml:space="preserve">Clause </w:t>
      </w:r>
      <w:r w:rsidR="002C6B74" w:rsidRPr="00426B1A">
        <w:rPr>
          <w:rFonts w:ascii="Arial" w:hAnsi="Arial" w:cs="Arial"/>
          <w:b/>
          <w:bCs/>
        </w:rPr>
        <w:t>1</w:t>
      </w:r>
      <w:r w:rsidRPr="00A45C3A">
        <w:rPr>
          <w:rFonts w:ascii="Arial" w:hAnsi="Arial" w:cs="Arial"/>
          <w:b/>
          <w:bCs/>
        </w:rPr>
        <w:t xml:space="preserve">8 </w:t>
      </w:r>
      <w:r w:rsidR="00993D72" w:rsidRPr="00A45C3A">
        <w:rPr>
          <w:rFonts w:ascii="Arial" w:hAnsi="Arial" w:cs="Arial"/>
          <w:b/>
          <w:bCs/>
        </w:rPr>
        <w:tab/>
      </w:r>
      <w:r w:rsidRPr="00A45C3A">
        <w:rPr>
          <w:rFonts w:ascii="Arial" w:hAnsi="Arial" w:cs="Arial"/>
          <w:b/>
          <w:bCs/>
        </w:rPr>
        <w:t>Sections 430</w:t>
      </w:r>
      <w:r w:rsidR="00A45C3A" w:rsidRPr="00426B1A">
        <w:rPr>
          <w:rFonts w:ascii="Arial" w:hAnsi="Arial" w:cs="Arial"/>
          <w:b/>
          <w:bCs/>
        </w:rPr>
        <w:t xml:space="preserve">, 431, 440 and </w:t>
      </w:r>
      <w:r w:rsidRPr="00A45C3A">
        <w:rPr>
          <w:rFonts w:ascii="Arial" w:hAnsi="Arial" w:cs="Arial"/>
          <w:b/>
          <w:bCs/>
        </w:rPr>
        <w:t>441</w:t>
      </w:r>
    </w:p>
    <w:p w14:paraId="0CF58FAB" w14:textId="41ACA78B" w:rsidR="002F5F4F" w:rsidRPr="002F5F4F" w:rsidRDefault="397DAF54" w:rsidP="3C2C6793">
      <w:pPr>
        <w:spacing w:line="283" w:lineRule="auto"/>
        <w:jc w:val="both"/>
        <w:rPr>
          <w:rFonts w:ascii="Arial" w:hAnsi="Arial" w:cs="Arial"/>
        </w:rPr>
      </w:pPr>
      <w:r w:rsidRPr="3C2C6793">
        <w:rPr>
          <w:rFonts w:ascii="Arial" w:hAnsi="Arial" w:cs="Arial"/>
        </w:rPr>
        <w:t>This clause amends sections 430</w:t>
      </w:r>
      <w:r w:rsidR="00A45C3A">
        <w:rPr>
          <w:rFonts w:ascii="Arial" w:hAnsi="Arial" w:cs="Arial"/>
        </w:rPr>
        <w:t xml:space="preserve">, 431, 440 and </w:t>
      </w:r>
      <w:r w:rsidRPr="3C2C6793">
        <w:rPr>
          <w:rFonts w:ascii="Arial" w:hAnsi="Arial" w:cs="Arial"/>
        </w:rPr>
        <w:t xml:space="preserve">441 to </w:t>
      </w:r>
      <w:r w:rsidR="11868631" w:rsidRPr="3C2C6793">
        <w:rPr>
          <w:rFonts w:ascii="Arial" w:hAnsi="Arial" w:cs="Arial"/>
        </w:rPr>
        <w:t>substitute</w:t>
      </w:r>
      <w:r w:rsidRPr="3C2C6793">
        <w:rPr>
          <w:rFonts w:ascii="Arial" w:hAnsi="Arial" w:cs="Arial"/>
        </w:rPr>
        <w:t xml:space="preserve"> all references to ‘</w:t>
      </w:r>
      <w:r w:rsidR="7FF76B7F" w:rsidRPr="3C2C6793">
        <w:rPr>
          <w:rFonts w:ascii="Arial" w:hAnsi="Arial" w:cs="Arial"/>
        </w:rPr>
        <w:t xml:space="preserve">the </w:t>
      </w:r>
      <w:r w:rsidRPr="3C2C6793">
        <w:rPr>
          <w:rFonts w:ascii="Arial" w:hAnsi="Arial" w:cs="Arial"/>
        </w:rPr>
        <w:t xml:space="preserve">Canberra Hospital’ and </w:t>
      </w:r>
      <w:r w:rsidR="11868631" w:rsidRPr="3C2C6793">
        <w:rPr>
          <w:rFonts w:ascii="Arial" w:hAnsi="Arial" w:cs="Arial"/>
        </w:rPr>
        <w:t>replace</w:t>
      </w:r>
      <w:r w:rsidRPr="3C2C6793">
        <w:rPr>
          <w:rFonts w:ascii="Arial" w:hAnsi="Arial" w:cs="Arial"/>
        </w:rPr>
        <w:t xml:space="preserve"> th</w:t>
      </w:r>
      <w:r w:rsidR="4FC586E1" w:rsidRPr="3C2C6793">
        <w:rPr>
          <w:rFonts w:ascii="Arial" w:hAnsi="Arial" w:cs="Arial"/>
        </w:rPr>
        <w:t>o</w:t>
      </w:r>
      <w:r w:rsidRPr="3C2C6793">
        <w:rPr>
          <w:rFonts w:ascii="Arial" w:hAnsi="Arial" w:cs="Arial"/>
        </w:rPr>
        <w:t>s</w:t>
      </w:r>
      <w:r w:rsidR="4FC586E1" w:rsidRPr="3C2C6793">
        <w:rPr>
          <w:rFonts w:ascii="Arial" w:hAnsi="Arial" w:cs="Arial"/>
        </w:rPr>
        <w:t>e</w:t>
      </w:r>
      <w:r w:rsidRPr="3C2C6793">
        <w:rPr>
          <w:rFonts w:ascii="Arial" w:hAnsi="Arial" w:cs="Arial"/>
        </w:rPr>
        <w:t xml:space="preserve"> with ‘a hospital operated by the Territory’</w:t>
      </w:r>
      <w:r w:rsidR="08C96C83" w:rsidRPr="3C2C6793">
        <w:rPr>
          <w:rFonts w:ascii="Arial" w:hAnsi="Arial" w:cs="Arial"/>
        </w:rPr>
        <w:t xml:space="preserve"> </w:t>
      </w:r>
      <w:r w:rsidR="133BC336" w:rsidRPr="3C2C6793">
        <w:rPr>
          <w:rFonts w:ascii="Arial" w:hAnsi="Arial" w:cs="Arial"/>
        </w:rPr>
        <w:t xml:space="preserve">to ensure that appropriately qualified people employed in any hospital operated by the Territory (including North Canberra Hospital, University of Canberra Hospital, and Clare Holland House) have the same scope of authority to deal with medicines under Part 9.4 and Part 9.5 of the MPTG Reg as employees at Canberra Hospital. </w:t>
      </w:r>
      <w:r w:rsidR="53E61B6D" w:rsidRPr="3C2C6793">
        <w:rPr>
          <w:rFonts w:ascii="Arial" w:hAnsi="Arial" w:cs="Arial"/>
        </w:rPr>
        <w:t>T</w:t>
      </w:r>
      <w:r w:rsidR="11868631" w:rsidRPr="3C2C6793">
        <w:rPr>
          <w:rFonts w:ascii="Arial" w:hAnsi="Arial" w:cs="Arial"/>
        </w:rPr>
        <w:t>his</w:t>
      </w:r>
      <w:r w:rsidR="08C96C83" w:rsidRPr="3C2C6793">
        <w:rPr>
          <w:rFonts w:ascii="Arial" w:hAnsi="Arial" w:cs="Arial"/>
        </w:rPr>
        <w:t xml:space="preserve"> align</w:t>
      </w:r>
      <w:r w:rsidR="11868631" w:rsidRPr="3C2C6793">
        <w:rPr>
          <w:rFonts w:ascii="Arial" w:hAnsi="Arial" w:cs="Arial"/>
        </w:rPr>
        <w:t>s</w:t>
      </w:r>
      <w:r w:rsidR="08C96C83" w:rsidRPr="3C2C6793">
        <w:rPr>
          <w:rFonts w:ascii="Arial" w:hAnsi="Arial" w:cs="Arial"/>
        </w:rPr>
        <w:t xml:space="preserve"> with </w:t>
      </w:r>
      <w:r w:rsidR="11868631" w:rsidRPr="3C2C6793">
        <w:rPr>
          <w:rFonts w:ascii="Arial" w:hAnsi="Arial" w:cs="Arial"/>
        </w:rPr>
        <w:t xml:space="preserve">the </w:t>
      </w:r>
      <w:r w:rsidR="08C96C83" w:rsidRPr="3C2C6793">
        <w:rPr>
          <w:rFonts w:ascii="Arial" w:hAnsi="Arial" w:cs="Arial"/>
        </w:rPr>
        <w:t>amendment made in clause 9.</w:t>
      </w:r>
    </w:p>
    <w:p w14:paraId="60A4605C" w14:textId="17A45D16" w:rsidR="00EA24E7" w:rsidRPr="00EA24E7" w:rsidRDefault="00EA24E7" w:rsidP="002A327D">
      <w:pPr>
        <w:ind w:left="1440" w:hanging="1440"/>
        <w:rPr>
          <w:rFonts w:ascii="Arial" w:hAnsi="Arial" w:cs="Arial"/>
          <w:b/>
          <w:bCs/>
        </w:rPr>
      </w:pPr>
      <w:r w:rsidRPr="00EA24E7">
        <w:rPr>
          <w:rFonts w:ascii="Arial" w:hAnsi="Arial" w:cs="Arial"/>
          <w:b/>
          <w:bCs/>
        </w:rPr>
        <w:t xml:space="preserve">Clause </w:t>
      </w:r>
      <w:r w:rsidR="002C6B74">
        <w:rPr>
          <w:rFonts w:ascii="Arial" w:hAnsi="Arial" w:cs="Arial"/>
          <w:b/>
          <w:bCs/>
        </w:rPr>
        <w:t>1</w:t>
      </w:r>
      <w:r w:rsidRPr="00EA24E7">
        <w:rPr>
          <w:rFonts w:ascii="Arial" w:hAnsi="Arial" w:cs="Arial"/>
          <w:b/>
          <w:bCs/>
        </w:rPr>
        <w:t xml:space="preserve">9 </w:t>
      </w:r>
      <w:r w:rsidR="00993D72">
        <w:rPr>
          <w:rFonts w:ascii="Arial" w:hAnsi="Arial" w:cs="Arial"/>
          <w:b/>
          <w:bCs/>
        </w:rPr>
        <w:tab/>
      </w:r>
      <w:r w:rsidRPr="00EA24E7">
        <w:rPr>
          <w:rFonts w:ascii="Arial" w:hAnsi="Arial" w:cs="Arial"/>
          <w:b/>
          <w:bCs/>
        </w:rPr>
        <w:t>Packaging of supplied manufacturer’s packs of medicines—Act, s 59 (1) (c) (i) and (2) (c) (i)</w:t>
      </w:r>
      <w:r w:rsidR="002A327D">
        <w:rPr>
          <w:rFonts w:ascii="Arial" w:hAnsi="Arial" w:cs="Arial"/>
          <w:b/>
          <w:bCs/>
        </w:rPr>
        <w:br/>
        <w:t>Section 501 (a)</w:t>
      </w:r>
    </w:p>
    <w:p w14:paraId="1D118D72" w14:textId="09CC4E89" w:rsidR="00EA24E7" w:rsidRPr="00786D6F" w:rsidRDefault="00EA24E7" w:rsidP="00EA24E7">
      <w:pPr>
        <w:rPr>
          <w:rFonts w:ascii="Arial" w:hAnsi="Arial" w:cs="Arial"/>
        </w:rPr>
      </w:pPr>
      <w:r w:rsidRPr="00786D6F">
        <w:rPr>
          <w:rFonts w:ascii="Arial" w:hAnsi="Arial" w:cs="Arial"/>
        </w:rPr>
        <w:t xml:space="preserve">This </w:t>
      </w:r>
      <w:r w:rsidRPr="00EA24E7">
        <w:rPr>
          <w:rFonts w:ascii="Arial" w:hAnsi="Arial" w:cs="Arial"/>
        </w:rPr>
        <w:t xml:space="preserve">clause </w:t>
      </w:r>
      <w:r w:rsidR="002A327D">
        <w:rPr>
          <w:rFonts w:ascii="Arial" w:hAnsi="Arial" w:cs="Arial"/>
        </w:rPr>
        <w:t xml:space="preserve">amends </w:t>
      </w:r>
      <w:r w:rsidR="00993D72">
        <w:rPr>
          <w:rFonts w:ascii="Arial" w:hAnsi="Arial" w:cs="Arial"/>
        </w:rPr>
        <w:t>s</w:t>
      </w:r>
      <w:r w:rsidRPr="00786D6F">
        <w:rPr>
          <w:rFonts w:ascii="Arial" w:hAnsi="Arial" w:cs="Arial"/>
        </w:rPr>
        <w:t>ection 501 (a)</w:t>
      </w:r>
      <w:r w:rsidR="002A327D" w:rsidRPr="002A327D">
        <w:rPr>
          <w:rFonts w:ascii="Arial" w:hAnsi="Arial" w:cs="Arial"/>
        </w:rPr>
        <w:t xml:space="preserve"> </w:t>
      </w:r>
      <w:r w:rsidR="002A327D">
        <w:rPr>
          <w:rFonts w:ascii="Arial" w:hAnsi="Arial" w:cs="Arial"/>
        </w:rPr>
        <w:t>to update and correct</w:t>
      </w:r>
      <w:r w:rsidR="00000FD0">
        <w:rPr>
          <w:rFonts w:ascii="Arial" w:hAnsi="Arial" w:cs="Arial"/>
        </w:rPr>
        <w:t xml:space="preserve"> a</w:t>
      </w:r>
      <w:r w:rsidR="002A327D">
        <w:rPr>
          <w:rFonts w:ascii="Arial" w:hAnsi="Arial" w:cs="Arial"/>
        </w:rPr>
        <w:t xml:space="preserve"> </w:t>
      </w:r>
      <w:r w:rsidR="002A327D"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5C18736C" w14:textId="1793C373" w:rsidR="00EA24E7" w:rsidRPr="00EA24E7" w:rsidRDefault="00EA24E7" w:rsidP="002A327D">
      <w:pPr>
        <w:ind w:left="1440" w:hanging="1440"/>
        <w:rPr>
          <w:rFonts w:ascii="Arial" w:hAnsi="Arial" w:cs="Arial"/>
          <w:b/>
          <w:bCs/>
        </w:rPr>
      </w:pPr>
      <w:r w:rsidRPr="00EA24E7">
        <w:rPr>
          <w:rFonts w:ascii="Arial" w:hAnsi="Arial" w:cs="Arial"/>
          <w:b/>
          <w:bCs/>
        </w:rPr>
        <w:lastRenderedPageBreak/>
        <w:t xml:space="preserve">Clause </w:t>
      </w:r>
      <w:r w:rsidR="002C6B74">
        <w:rPr>
          <w:rFonts w:ascii="Arial" w:hAnsi="Arial" w:cs="Arial"/>
          <w:b/>
          <w:bCs/>
        </w:rPr>
        <w:t>2</w:t>
      </w:r>
      <w:r w:rsidRPr="00EA24E7">
        <w:rPr>
          <w:rFonts w:ascii="Arial" w:hAnsi="Arial" w:cs="Arial"/>
          <w:b/>
          <w:bCs/>
        </w:rPr>
        <w:t xml:space="preserve">0 </w:t>
      </w:r>
      <w:r w:rsidR="00993D72">
        <w:rPr>
          <w:rFonts w:ascii="Arial" w:hAnsi="Arial" w:cs="Arial"/>
          <w:b/>
          <w:bCs/>
        </w:rPr>
        <w:tab/>
      </w:r>
      <w:r w:rsidRPr="00EA24E7">
        <w:rPr>
          <w:rFonts w:ascii="Arial" w:hAnsi="Arial" w:cs="Arial"/>
          <w:b/>
          <w:bCs/>
        </w:rPr>
        <w:t>Labelling of supplied manufacturer’s packs of medicines—Act, s 60 (1) (c) (i) and (2) (c) (i)</w:t>
      </w:r>
      <w:r w:rsidR="002A327D">
        <w:rPr>
          <w:rFonts w:ascii="Arial" w:hAnsi="Arial" w:cs="Arial"/>
          <w:b/>
          <w:bCs/>
        </w:rPr>
        <w:br/>
        <w:t>Section 502 (2) (a)</w:t>
      </w:r>
    </w:p>
    <w:p w14:paraId="3110CDC0" w14:textId="21642336" w:rsidR="00EA24E7" w:rsidRPr="00786D6F" w:rsidRDefault="00EA24E7" w:rsidP="00EA24E7">
      <w:pPr>
        <w:rPr>
          <w:rFonts w:ascii="Arial" w:hAnsi="Arial" w:cs="Arial"/>
        </w:rPr>
      </w:pPr>
      <w:r w:rsidRPr="00786D6F">
        <w:rPr>
          <w:rFonts w:ascii="Arial" w:hAnsi="Arial" w:cs="Arial"/>
        </w:rPr>
        <w:t xml:space="preserve">This </w:t>
      </w:r>
      <w:r w:rsidR="002A327D">
        <w:rPr>
          <w:rFonts w:ascii="Arial" w:hAnsi="Arial" w:cs="Arial"/>
        </w:rPr>
        <w:t xml:space="preserve">clause amends section 502 (2) (a) </w:t>
      </w:r>
      <w:r w:rsidR="007C309A">
        <w:rPr>
          <w:rFonts w:ascii="Arial" w:hAnsi="Arial" w:cs="Arial"/>
        </w:rPr>
        <w:t xml:space="preserve">to update and correct </w:t>
      </w:r>
      <w:r w:rsidR="00000FD0">
        <w:rPr>
          <w:rFonts w:ascii="Arial" w:hAnsi="Arial" w:cs="Arial"/>
        </w:rPr>
        <w:t xml:space="preserve">a </w:t>
      </w:r>
      <w:r w:rsidR="007C309A" w:rsidRPr="000C3F4F">
        <w:rPr>
          <w:rFonts w:ascii="Arial" w:hAnsi="Arial" w:cs="Arial"/>
        </w:rPr>
        <w:t>cross-reference</w:t>
      </w:r>
      <w:r w:rsidR="00000FD0">
        <w:rPr>
          <w:rFonts w:ascii="Arial" w:hAnsi="Arial" w:cs="Arial"/>
        </w:rPr>
        <w:t xml:space="preserv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CE35931" w14:textId="1ABDDDEF" w:rsidR="007C309A" w:rsidRPr="00EA24E7" w:rsidRDefault="00EA24E7" w:rsidP="007C309A">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1 </w:t>
      </w:r>
      <w:r w:rsidR="00993D72">
        <w:rPr>
          <w:rFonts w:ascii="Arial" w:hAnsi="Arial" w:cs="Arial"/>
          <w:b/>
          <w:bCs/>
        </w:rPr>
        <w:tab/>
      </w:r>
      <w:r w:rsidRPr="00EA24E7">
        <w:rPr>
          <w:rFonts w:ascii="Arial" w:hAnsi="Arial" w:cs="Arial"/>
          <w:b/>
          <w:bCs/>
        </w:rPr>
        <w:t>Packaging of supplied manufacturer’s packs of low and moderate harm poisons—Act, s 59 (1) (c) (i) and (2) (c) (i)</w:t>
      </w:r>
      <w:r w:rsidR="007C309A">
        <w:rPr>
          <w:rFonts w:ascii="Arial" w:hAnsi="Arial" w:cs="Arial"/>
          <w:b/>
          <w:bCs/>
        </w:rPr>
        <w:br/>
        <w:t>Section 665 (1) (a)</w:t>
      </w:r>
    </w:p>
    <w:p w14:paraId="6B7B6DD5" w14:textId="3E4C5130" w:rsidR="00EA24E7" w:rsidRPr="00786D6F" w:rsidRDefault="00EA24E7" w:rsidP="00EA24E7">
      <w:pPr>
        <w:rPr>
          <w:rFonts w:ascii="Arial" w:hAnsi="Arial" w:cs="Arial"/>
        </w:rPr>
      </w:pPr>
      <w:r w:rsidRPr="00786D6F">
        <w:rPr>
          <w:rFonts w:ascii="Arial" w:hAnsi="Arial" w:cs="Arial"/>
        </w:rPr>
        <w:t xml:space="preserve">This </w:t>
      </w:r>
      <w:r w:rsidRPr="00EA24E7">
        <w:rPr>
          <w:rFonts w:ascii="Arial" w:hAnsi="Arial" w:cs="Arial"/>
        </w:rPr>
        <w:t>clause</w:t>
      </w:r>
      <w:r w:rsidR="007C309A">
        <w:rPr>
          <w:rFonts w:ascii="Arial" w:hAnsi="Arial" w:cs="Arial"/>
        </w:rPr>
        <w:t xml:space="preserve"> amends</w:t>
      </w:r>
      <w:r w:rsidRPr="00EA24E7">
        <w:rPr>
          <w:rFonts w:ascii="Arial" w:hAnsi="Arial" w:cs="Arial"/>
        </w:rPr>
        <w:t xml:space="preserve"> </w:t>
      </w:r>
      <w:r w:rsidR="00993D72">
        <w:rPr>
          <w:rFonts w:ascii="Arial" w:hAnsi="Arial" w:cs="Arial"/>
        </w:rPr>
        <w:t>s</w:t>
      </w:r>
      <w:r w:rsidRPr="00786D6F">
        <w:rPr>
          <w:rFonts w:ascii="Arial" w:hAnsi="Arial" w:cs="Arial"/>
        </w:rPr>
        <w:t>ection 665 (1) (a</w:t>
      </w:r>
      <w:r w:rsidR="007C309A">
        <w:rPr>
          <w:rFonts w:ascii="Arial" w:hAnsi="Arial" w:cs="Arial"/>
        </w:rPr>
        <w:t xml:space="preserve">) to update and correct </w:t>
      </w:r>
      <w:r w:rsidR="00000FD0">
        <w:rPr>
          <w:rFonts w:ascii="Arial" w:hAnsi="Arial" w:cs="Arial"/>
        </w:rPr>
        <w:t xml:space="preserve">a </w:t>
      </w:r>
      <w:r w:rsidR="007C309A"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ACF446C" w14:textId="00F7D46C" w:rsidR="00EA24E7" w:rsidRPr="00EA24E7" w:rsidRDefault="00EA24E7" w:rsidP="007C309A">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2 </w:t>
      </w:r>
      <w:r w:rsidR="00993D72">
        <w:rPr>
          <w:rFonts w:ascii="Arial" w:hAnsi="Arial" w:cs="Arial"/>
          <w:b/>
          <w:bCs/>
        </w:rPr>
        <w:tab/>
      </w:r>
      <w:r w:rsidRPr="00EA24E7">
        <w:rPr>
          <w:rFonts w:ascii="Arial" w:hAnsi="Arial" w:cs="Arial"/>
          <w:b/>
          <w:bCs/>
        </w:rPr>
        <w:t>Labelling of supplied manufacturer’s packs of low and moderate harm poisons—Act, s 60 (1) (c) (i) and (2) (c) (i)</w:t>
      </w:r>
      <w:r w:rsidR="007C309A">
        <w:rPr>
          <w:rFonts w:ascii="Arial" w:hAnsi="Arial" w:cs="Arial"/>
          <w:b/>
          <w:bCs/>
        </w:rPr>
        <w:br/>
        <w:t>Section 666 (a)</w:t>
      </w:r>
    </w:p>
    <w:p w14:paraId="7C80E588" w14:textId="297E9349" w:rsidR="00EA24E7" w:rsidRPr="00786D6F" w:rsidRDefault="00EA24E7" w:rsidP="00EA24E7">
      <w:pPr>
        <w:rPr>
          <w:rFonts w:ascii="Arial" w:hAnsi="Arial" w:cs="Arial"/>
        </w:rPr>
      </w:pPr>
      <w:r w:rsidRPr="00786D6F">
        <w:rPr>
          <w:rFonts w:ascii="Arial" w:hAnsi="Arial" w:cs="Arial"/>
        </w:rPr>
        <w:t xml:space="preserve">This </w:t>
      </w:r>
      <w:r w:rsidRPr="00993D72">
        <w:rPr>
          <w:rFonts w:ascii="Arial" w:hAnsi="Arial" w:cs="Arial"/>
        </w:rPr>
        <w:t xml:space="preserve">clause </w:t>
      </w:r>
      <w:r w:rsidR="007C309A">
        <w:rPr>
          <w:rFonts w:ascii="Arial" w:hAnsi="Arial" w:cs="Arial"/>
        </w:rPr>
        <w:t xml:space="preserve">amends </w:t>
      </w:r>
      <w:r w:rsidR="00993D72" w:rsidRPr="00993D72">
        <w:rPr>
          <w:rFonts w:ascii="Arial" w:hAnsi="Arial" w:cs="Arial"/>
        </w:rPr>
        <w:t>s</w:t>
      </w:r>
      <w:r w:rsidRPr="00786D6F">
        <w:rPr>
          <w:rFonts w:ascii="Arial" w:hAnsi="Arial" w:cs="Arial"/>
        </w:rPr>
        <w:t>ection 666 (a)</w:t>
      </w:r>
      <w:r w:rsidR="007C309A">
        <w:rPr>
          <w:rFonts w:ascii="Arial" w:hAnsi="Arial" w:cs="Arial"/>
        </w:rPr>
        <w:t xml:space="preserve"> to update and correct </w:t>
      </w:r>
      <w:r w:rsidR="00352634">
        <w:rPr>
          <w:rFonts w:ascii="Arial" w:hAnsi="Arial" w:cs="Arial"/>
        </w:rPr>
        <w:t xml:space="preserve">a </w:t>
      </w:r>
      <w:r w:rsidR="007C309A" w:rsidRPr="000C3F4F">
        <w:rPr>
          <w:rFonts w:ascii="Arial" w:hAnsi="Arial" w:cs="Arial"/>
        </w:rPr>
        <w:t>cross-reference</w:t>
      </w:r>
      <w:r w:rsidR="00C923F9">
        <w:rPr>
          <w:rFonts w:ascii="Arial" w:hAnsi="Arial" w:cs="Arial"/>
        </w:rPr>
        <w:t xml:space="preserv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7F28DCF" w14:textId="3E9CE85C" w:rsidR="00EA24E7" w:rsidRPr="00EA24E7" w:rsidRDefault="00EA24E7" w:rsidP="00EA24E7">
      <w:pPr>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3 </w:t>
      </w:r>
      <w:r w:rsidR="00993D72">
        <w:rPr>
          <w:rFonts w:ascii="Arial" w:hAnsi="Arial" w:cs="Arial"/>
          <w:b/>
          <w:bCs/>
        </w:rPr>
        <w:tab/>
      </w:r>
      <w:r w:rsidRPr="00EA24E7">
        <w:rPr>
          <w:rFonts w:ascii="Arial" w:hAnsi="Arial" w:cs="Arial"/>
          <w:b/>
          <w:bCs/>
        </w:rPr>
        <w:t>General overview of authorisations for dangerous poisons</w:t>
      </w:r>
      <w:r w:rsidR="007C309A">
        <w:rPr>
          <w:rFonts w:ascii="Arial" w:hAnsi="Arial" w:cs="Arial"/>
          <w:b/>
          <w:bCs/>
        </w:rPr>
        <w:br/>
      </w:r>
      <w:r w:rsidR="007C309A">
        <w:rPr>
          <w:rFonts w:ascii="Arial" w:hAnsi="Arial" w:cs="Arial"/>
          <w:b/>
          <w:bCs/>
        </w:rPr>
        <w:tab/>
      </w:r>
      <w:r w:rsidR="007C309A">
        <w:rPr>
          <w:rFonts w:ascii="Arial" w:hAnsi="Arial" w:cs="Arial"/>
          <w:b/>
          <w:bCs/>
        </w:rPr>
        <w:tab/>
        <w:t>Section 670 (3), note</w:t>
      </w:r>
      <w:r w:rsidR="0033779C">
        <w:rPr>
          <w:rFonts w:ascii="Arial" w:hAnsi="Arial" w:cs="Arial"/>
          <w:b/>
          <w:bCs/>
        </w:rPr>
        <w:t>, 1</w:t>
      </w:r>
      <w:r w:rsidR="0033779C" w:rsidRPr="00426B1A">
        <w:rPr>
          <w:rFonts w:ascii="Arial" w:hAnsi="Arial" w:cs="Arial"/>
          <w:b/>
          <w:bCs/>
          <w:vertAlign w:val="superscript"/>
        </w:rPr>
        <w:t>st</w:t>
      </w:r>
      <w:r w:rsidR="0033779C">
        <w:rPr>
          <w:rFonts w:ascii="Arial" w:hAnsi="Arial" w:cs="Arial"/>
          <w:b/>
          <w:bCs/>
        </w:rPr>
        <w:t xml:space="preserve"> dot point</w:t>
      </w:r>
    </w:p>
    <w:p w14:paraId="2F3744B2" w14:textId="40EAED2B"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 xml:space="preserve">clause </w:t>
      </w:r>
      <w:r w:rsidR="007C309A">
        <w:rPr>
          <w:rFonts w:ascii="Arial" w:hAnsi="Arial" w:cs="Arial"/>
        </w:rPr>
        <w:t xml:space="preserve">amends </w:t>
      </w:r>
      <w:r w:rsidR="00E66BAA">
        <w:rPr>
          <w:rFonts w:ascii="Arial" w:hAnsi="Arial" w:cs="Arial"/>
        </w:rPr>
        <w:t xml:space="preserve">the note under </w:t>
      </w:r>
      <w:r w:rsidRPr="00993D72">
        <w:rPr>
          <w:rFonts w:ascii="Arial" w:hAnsi="Arial" w:cs="Arial"/>
        </w:rPr>
        <w:t>s</w:t>
      </w:r>
      <w:r w:rsidRPr="009510D6">
        <w:rPr>
          <w:rFonts w:ascii="Arial" w:hAnsi="Arial" w:cs="Arial"/>
        </w:rPr>
        <w:t xml:space="preserve">ection </w:t>
      </w:r>
      <w:r w:rsidR="00EA24E7" w:rsidRPr="00786D6F">
        <w:rPr>
          <w:rFonts w:ascii="Arial" w:hAnsi="Arial" w:cs="Arial"/>
        </w:rPr>
        <w:t>670 (3)</w:t>
      </w:r>
      <w:r w:rsidR="007C309A">
        <w:rPr>
          <w:rFonts w:ascii="Arial" w:hAnsi="Arial" w:cs="Arial"/>
        </w:rPr>
        <w:t xml:space="preserve"> to update and correct</w:t>
      </w:r>
      <w:r w:rsidR="007C309A" w:rsidRPr="000C3F4F">
        <w:rPr>
          <w:rFonts w:ascii="Arial" w:hAnsi="Arial" w:cs="Arial"/>
        </w:rPr>
        <w:t xml:space="preserve"> </w:t>
      </w:r>
      <w:r w:rsidR="007C309A">
        <w:rPr>
          <w:rFonts w:ascii="Arial" w:hAnsi="Arial" w:cs="Arial"/>
        </w:rPr>
        <w:t xml:space="preserve">a </w:t>
      </w:r>
      <w:r w:rsidR="007C309A"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23D356E" w14:textId="248AE2F2" w:rsidR="00EA24E7" w:rsidRPr="00EA24E7" w:rsidRDefault="00EA24E7" w:rsidP="001664C0">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4 </w:t>
      </w:r>
      <w:r w:rsidR="00993D72">
        <w:rPr>
          <w:rFonts w:ascii="Arial" w:hAnsi="Arial" w:cs="Arial"/>
          <w:b/>
          <w:bCs/>
        </w:rPr>
        <w:tab/>
      </w:r>
      <w:r w:rsidRPr="00EA24E7">
        <w:rPr>
          <w:rFonts w:ascii="Arial" w:hAnsi="Arial" w:cs="Arial"/>
          <w:b/>
          <w:bCs/>
        </w:rPr>
        <w:t xml:space="preserve">Authorisation conditions for dangerous poisons </w:t>
      </w:r>
      <w:proofErr w:type="gramStart"/>
      <w:r w:rsidRPr="00EA24E7">
        <w:rPr>
          <w:rFonts w:ascii="Arial" w:hAnsi="Arial" w:cs="Arial"/>
          <w:b/>
          <w:bCs/>
        </w:rPr>
        <w:t>suppliers</w:t>
      </w:r>
      <w:proofErr w:type="gramEnd"/>
      <w:r w:rsidRPr="00EA24E7">
        <w:rPr>
          <w:rFonts w:ascii="Arial" w:hAnsi="Arial" w:cs="Arial"/>
          <w:b/>
          <w:bCs/>
        </w:rPr>
        <w:t xml:space="preserve"> licences—Act, s 44 (1) (b) and (2) (b)</w:t>
      </w:r>
      <w:r w:rsidR="001664C0">
        <w:rPr>
          <w:rFonts w:ascii="Arial" w:hAnsi="Arial" w:cs="Arial"/>
          <w:b/>
          <w:bCs/>
        </w:rPr>
        <w:br/>
        <w:t>Section 686 (d)</w:t>
      </w:r>
      <w:r w:rsidR="0033779C">
        <w:rPr>
          <w:rFonts w:ascii="Arial" w:hAnsi="Arial" w:cs="Arial"/>
          <w:b/>
          <w:bCs/>
        </w:rPr>
        <w:t xml:space="preserve"> and note</w:t>
      </w:r>
    </w:p>
    <w:p w14:paraId="3137A6B0" w14:textId="4527C255" w:rsidR="00EA24E7" w:rsidRPr="00E10D26" w:rsidRDefault="00993D72" w:rsidP="00EA24E7">
      <w:pPr>
        <w:rPr>
          <w:rFonts w:ascii="Arial" w:hAnsi="Arial" w:cs="Arial"/>
          <w:b/>
          <w:bCs/>
        </w:rPr>
      </w:pPr>
      <w:r w:rsidRPr="009510D6">
        <w:rPr>
          <w:rFonts w:ascii="Arial" w:hAnsi="Arial" w:cs="Arial"/>
        </w:rPr>
        <w:t xml:space="preserve">This </w:t>
      </w:r>
      <w:r w:rsidRPr="00993D72">
        <w:rPr>
          <w:rFonts w:ascii="Arial" w:hAnsi="Arial" w:cs="Arial"/>
        </w:rPr>
        <w:t xml:space="preserve">clause </w:t>
      </w:r>
      <w:r w:rsidR="001664C0">
        <w:rPr>
          <w:rFonts w:ascii="Arial" w:hAnsi="Arial" w:cs="Arial"/>
        </w:rPr>
        <w:t xml:space="preserve">amends </w:t>
      </w:r>
      <w:r w:rsidRPr="00993D72">
        <w:rPr>
          <w:rFonts w:ascii="Arial" w:hAnsi="Arial" w:cs="Arial"/>
        </w:rPr>
        <w:t>s</w:t>
      </w:r>
      <w:r w:rsidRPr="009510D6">
        <w:rPr>
          <w:rFonts w:ascii="Arial" w:hAnsi="Arial" w:cs="Arial"/>
        </w:rPr>
        <w:t xml:space="preserve">ection </w:t>
      </w:r>
      <w:r w:rsidR="00EA24E7" w:rsidRPr="00786D6F">
        <w:rPr>
          <w:rFonts w:ascii="Arial" w:hAnsi="Arial" w:cs="Arial"/>
        </w:rPr>
        <w:t>686 (d)</w:t>
      </w:r>
      <w:r w:rsidR="001664C0" w:rsidRPr="001664C0">
        <w:rPr>
          <w:rFonts w:ascii="Arial" w:hAnsi="Arial" w:cs="Arial"/>
        </w:rPr>
        <w:t xml:space="preserve"> </w:t>
      </w:r>
      <w:r w:rsidR="001664C0">
        <w:rPr>
          <w:rFonts w:ascii="Arial" w:hAnsi="Arial" w:cs="Arial"/>
        </w:rPr>
        <w:t xml:space="preserve">by removing the </w:t>
      </w:r>
      <w:r w:rsidR="001D560E">
        <w:rPr>
          <w:rFonts w:ascii="Arial" w:hAnsi="Arial" w:cs="Arial"/>
        </w:rPr>
        <w:t>note and updating the wording of the provision generally</w:t>
      </w:r>
      <w:r w:rsidR="001664C0">
        <w:rPr>
          <w:rFonts w:ascii="Arial" w:hAnsi="Arial" w:cs="Arial"/>
        </w:rPr>
        <w:t xml:space="preserve"> to </w:t>
      </w:r>
      <w:proofErr w:type="gramStart"/>
      <w:r w:rsidR="001664C0">
        <w:rPr>
          <w:rFonts w:ascii="Arial" w:hAnsi="Arial" w:cs="Arial"/>
        </w:rPr>
        <w:t xml:space="preserve">update  </w:t>
      </w:r>
      <w:r w:rsidR="001664C0" w:rsidRPr="000C3F4F">
        <w:rPr>
          <w:rFonts w:ascii="Arial" w:hAnsi="Arial" w:cs="Arial"/>
        </w:rPr>
        <w:t>cross</w:t>
      </w:r>
      <w:proofErr w:type="gramEnd"/>
      <w:r w:rsidR="001664C0" w:rsidRPr="000C3F4F">
        <w:rPr>
          <w:rFonts w:ascii="Arial" w:hAnsi="Arial" w:cs="Arial"/>
        </w:rPr>
        <w:t>-reference</w:t>
      </w:r>
      <w:r w:rsidR="001D560E">
        <w:rPr>
          <w:rFonts w:ascii="Arial" w:hAnsi="Arial" w:cs="Arial"/>
        </w:rPr>
        <w:t>s</w:t>
      </w:r>
      <w:r w:rsidR="001664C0" w:rsidRPr="000C3F4F">
        <w:rPr>
          <w:rFonts w:ascii="Arial" w:hAnsi="Arial" w:cs="Arial"/>
        </w:rPr>
        <w:t xml:space="preserv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3F026CCD" w14:textId="215714C4" w:rsidR="00EA24E7" w:rsidRPr="00EA24E7" w:rsidRDefault="00EA24E7" w:rsidP="00EA24E7">
      <w:pPr>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5 </w:t>
      </w:r>
      <w:r w:rsidR="00993D72">
        <w:rPr>
          <w:rFonts w:ascii="Arial" w:hAnsi="Arial" w:cs="Arial"/>
          <w:b/>
          <w:bCs/>
        </w:rPr>
        <w:tab/>
      </w:r>
      <w:r w:rsidRPr="00EA24E7">
        <w:rPr>
          <w:rFonts w:ascii="Arial" w:hAnsi="Arial" w:cs="Arial"/>
          <w:b/>
          <w:bCs/>
        </w:rPr>
        <w:t>Recording supply of dangerous poisons</w:t>
      </w:r>
      <w:r w:rsidR="00DD2981">
        <w:rPr>
          <w:rFonts w:ascii="Arial" w:hAnsi="Arial" w:cs="Arial"/>
          <w:b/>
          <w:bCs/>
        </w:rPr>
        <w:br/>
      </w:r>
      <w:r w:rsidR="00DD2981">
        <w:rPr>
          <w:rFonts w:ascii="Arial" w:hAnsi="Arial" w:cs="Arial"/>
          <w:b/>
          <w:bCs/>
        </w:rPr>
        <w:tab/>
      </w:r>
      <w:r w:rsidR="00DD2981">
        <w:rPr>
          <w:rFonts w:ascii="Arial" w:hAnsi="Arial" w:cs="Arial"/>
          <w:b/>
          <w:bCs/>
        </w:rPr>
        <w:tab/>
        <w:t>Section 722</w:t>
      </w:r>
    </w:p>
    <w:p w14:paraId="5B14DD85" w14:textId="522ED334"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 xml:space="preserve">clause </w:t>
      </w:r>
      <w:r w:rsidR="00DD2981">
        <w:rPr>
          <w:rFonts w:ascii="Arial" w:hAnsi="Arial" w:cs="Arial"/>
        </w:rPr>
        <w:t xml:space="preserve">amends section 722 to update and correct </w:t>
      </w:r>
      <w:r w:rsidR="00340387">
        <w:rPr>
          <w:rFonts w:ascii="Arial" w:hAnsi="Arial" w:cs="Arial"/>
        </w:rPr>
        <w:t xml:space="preserve">a </w:t>
      </w:r>
      <w:r w:rsidR="00DD2981"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2501917E" w14:textId="24C46D89" w:rsidR="00EA24E7" w:rsidRPr="00EA24E7" w:rsidRDefault="00EA24E7" w:rsidP="00DD2981">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6 </w:t>
      </w:r>
      <w:r w:rsidR="00993D72">
        <w:rPr>
          <w:rFonts w:ascii="Arial" w:hAnsi="Arial" w:cs="Arial"/>
          <w:b/>
          <w:bCs/>
        </w:rPr>
        <w:tab/>
      </w:r>
      <w:r w:rsidRPr="00EA24E7">
        <w:rPr>
          <w:rFonts w:ascii="Arial" w:hAnsi="Arial" w:cs="Arial"/>
          <w:b/>
          <w:bCs/>
        </w:rPr>
        <w:t>Packaging of supplied manufacturer’s packs of dangerous poisons—Act, s 59 (1) (c) (i) and (2) (c) (i)</w:t>
      </w:r>
      <w:r w:rsidR="00DD2981">
        <w:rPr>
          <w:rFonts w:ascii="Arial" w:hAnsi="Arial" w:cs="Arial"/>
          <w:b/>
          <w:bCs/>
        </w:rPr>
        <w:br/>
        <w:t>Section 731 (a)</w:t>
      </w:r>
    </w:p>
    <w:p w14:paraId="48375C53" w14:textId="7D4B25AA"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clause</w:t>
      </w:r>
      <w:r w:rsidR="00DD2981">
        <w:rPr>
          <w:rFonts w:ascii="Arial" w:hAnsi="Arial" w:cs="Arial"/>
        </w:rPr>
        <w:t xml:space="preserve"> amends</w:t>
      </w:r>
      <w:r w:rsidRPr="00993D72">
        <w:rPr>
          <w:rFonts w:ascii="Arial" w:hAnsi="Arial" w:cs="Arial"/>
        </w:rPr>
        <w:t xml:space="preserve"> s</w:t>
      </w:r>
      <w:r w:rsidRPr="009510D6">
        <w:rPr>
          <w:rFonts w:ascii="Arial" w:hAnsi="Arial" w:cs="Arial"/>
        </w:rPr>
        <w:t xml:space="preserve">ection </w:t>
      </w:r>
      <w:r w:rsidR="00EA24E7" w:rsidRPr="00786D6F">
        <w:rPr>
          <w:rFonts w:ascii="Arial" w:hAnsi="Arial" w:cs="Arial"/>
        </w:rPr>
        <w:t>731 (a)</w:t>
      </w:r>
      <w:r w:rsidR="00DD2981" w:rsidRPr="00DD2981">
        <w:rPr>
          <w:rFonts w:ascii="Arial" w:hAnsi="Arial" w:cs="Arial"/>
        </w:rPr>
        <w:t xml:space="preserve"> </w:t>
      </w:r>
      <w:r w:rsidR="00DD2981">
        <w:rPr>
          <w:rFonts w:ascii="Arial" w:hAnsi="Arial" w:cs="Arial"/>
        </w:rPr>
        <w:t xml:space="preserve">to update and correct </w:t>
      </w:r>
      <w:r w:rsidR="006C02FE">
        <w:rPr>
          <w:rFonts w:ascii="Arial" w:hAnsi="Arial" w:cs="Arial"/>
        </w:rPr>
        <w:t xml:space="preserve">a </w:t>
      </w:r>
      <w:r w:rsidR="00DD2981"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6A98C313" w14:textId="1EAADB71" w:rsidR="00EA24E7" w:rsidRPr="00EA24E7" w:rsidRDefault="00EA24E7" w:rsidP="00426B1A">
      <w:pPr>
        <w:keepNext/>
        <w:ind w:left="1440" w:hanging="1440"/>
        <w:rPr>
          <w:rFonts w:ascii="Arial" w:hAnsi="Arial" w:cs="Arial"/>
          <w:b/>
          <w:bCs/>
        </w:rPr>
      </w:pPr>
      <w:r w:rsidRPr="00EA24E7">
        <w:rPr>
          <w:rFonts w:ascii="Arial" w:hAnsi="Arial" w:cs="Arial"/>
          <w:b/>
          <w:bCs/>
        </w:rPr>
        <w:lastRenderedPageBreak/>
        <w:t xml:space="preserve">Clause </w:t>
      </w:r>
      <w:r w:rsidR="0033779C">
        <w:rPr>
          <w:rFonts w:ascii="Arial" w:hAnsi="Arial" w:cs="Arial"/>
          <w:b/>
          <w:bCs/>
        </w:rPr>
        <w:t>2</w:t>
      </w:r>
      <w:r w:rsidRPr="00EA24E7">
        <w:rPr>
          <w:rFonts w:ascii="Arial" w:hAnsi="Arial" w:cs="Arial"/>
          <w:b/>
          <w:bCs/>
        </w:rPr>
        <w:t xml:space="preserve">7 </w:t>
      </w:r>
      <w:r w:rsidR="00993D72">
        <w:rPr>
          <w:rFonts w:ascii="Arial" w:hAnsi="Arial" w:cs="Arial"/>
          <w:b/>
          <w:bCs/>
        </w:rPr>
        <w:tab/>
      </w:r>
      <w:r w:rsidRPr="00EA24E7">
        <w:rPr>
          <w:rFonts w:ascii="Arial" w:hAnsi="Arial" w:cs="Arial"/>
          <w:b/>
          <w:bCs/>
        </w:rPr>
        <w:t>Labelling of supplied manufacturer’s packs of dangerous poisons—Act, s 60 (1) (c) (i) and (2) (c) (i)</w:t>
      </w:r>
      <w:r w:rsidR="00DD2981">
        <w:rPr>
          <w:rFonts w:ascii="Arial" w:hAnsi="Arial" w:cs="Arial"/>
          <w:b/>
          <w:bCs/>
        </w:rPr>
        <w:br/>
        <w:t>Section 732 (a)</w:t>
      </w:r>
    </w:p>
    <w:p w14:paraId="01808D6B" w14:textId="669428BC"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clause</w:t>
      </w:r>
      <w:r w:rsidR="00DD2981">
        <w:rPr>
          <w:rFonts w:ascii="Arial" w:hAnsi="Arial" w:cs="Arial"/>
        </w:rPr>
        <w:t xml:space="preserve"> amends</w:t>
      </w:r>
      <w:r w:rsidRPr="00993D72">
        <w:rPr>
          <w:rFonts w:ascii="Arial" w:hAnsi="Arial" w:cs="Arial"/>
        </w:rPr>
        <w:t xml:space="preserve"> s</w:t>
      </w:r>
      <w:r w:rsidRPr="009510D6">
        <w:rPr>
          <w:rFonts w:ascii="Arial" w:hAnsi="Arial" w:cs="Arial"/>
        </w:rPr>
        <w:t xml:space="preserve">ection </w:t>
      </w:r>
      <w:r w:rsidR="00EA24E7" w:rsidRPr="00786D6F">
        <w:rPr>
          <w:rFonts w:ascii="Arial" w:hAnsi="Arial" w:cs="Arial"/>
        </w:rPr>
        <w:t xml:space="preserve">732 (a) </w:t>
      </w:r>
      <w:r w:rsidR="00DD2981">
        <w:rPr>
          <w:rFonts w:ascii="Arial" w:hAnsi="Arial" w:cs="Arial"/>
        </w:rPr>
        <w:t xml:space="preserve">to update and correct </w:t>
      </w:r>
      <w:r w:rsidR="009C01C6">
        <w:rPr>
          <w:rFonts w:ascii="Arial" w:hAnsi="Arial" w:cs="Arial"/>
        </w:rPr>
        <w:t xml:space="preserve">a </w:t>
      </w:r>
      <w:r w:rsidR="00DD2981" w:rsidRPr="000C3F4F">
        <w:rPr>
          <w:rFonts w:ascii="Arial" w:hAnsi="Arial" w:cs="Arial"/>
        </w:rPr>
        <w:t xml:space="preserve">cross-reference </w:t>
      </w:r>
      <w:r w:rsidR="003E4BF9">
        <w:rPr>
          <w:rFonts w:ascii="Arial" w:hAnsi="Arial" w:cs="Arial"/>
        </w:rPr>
        <w:t>between</w:t>
      </w:r>
      <w:r w:rsidR="003E4BF9" w:rsidRPr="000C3F4F">
        <w:rPr>
          <w:rFonts w:ascii="Arial" w:hAnsi="Arial" w:cs="Arial"/>
        </w:rPr>
        <w:t xml:space="preserve"> the </w:t>
      </w:r>
      <w:r w:rsidR="003E4BF9">
        <w:rPr>
          <w:rFonts w:ascii="Arial" w:hAnsi="Arial" w:cs="Arial"/>
        </w:rPr>
        <w:t>MPTG Reg and the medicines and poisons standard.</w:t>
      </w:r>
    </w:p>
    <w:p w14:paraId="3BBDE95C" w14:textId="70E1B28D" w:rsidR="00EA24E7" w:rsidRPr="00EA24E7" w:rsidRDefault="00EA24E7" w:rsidP="00EA24E7">
      <w:pPr>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8 </w:t>
      </w:r>
      <w:r w:rsidR="00993D72">
        <w:rPr>
          <w:rFonts w:ascii="Arial" w:hAnsi="Arial" w:cs="Arial"/>
          <w:b/>
          <w:bCs/>
        </w:rPr>
        <w:tab/>
      </w:r>
      <w:r w:rsidRPr="00EA24E7">
        <w:rPr>
          <w:rFonts w:ascii="Arial" w:hAnsi="Arial" w:cs="Arial"/>
          <w:b/>
          <w:bCs/>
        </w:rPr>
        <w:t>Storage of dangerous poisons—Act, s 6</w:t>
      </w:r>
      <w:r w:rsidR="008648B9">
        <w:rPr>
          <w:rFonts w:ascii="Arial" w:hAnsi="Arial" w:cs="Arial"/>
          <w:b/>
          <w:bCs/>
        </w:rPr>
        <w:t>1 (b)</w:t>
      </w:r>
      <w:r w:rsidRPr="00EA24E7">
        <w:rPr>
          <w:rFonts w:ascii="Arial" w:hAnsi="Arial" w:cs="Arial"/>
          <w:b/>
          <w:bCs/>
        </w:rPr>
        <w:t xml:space="preserve"> and (c)</w:t>
      </w:r>
      <w:r w:rsidR="00DD2981">
        <w:rPr>
          <w:rFonts w:ascii="Arial" w:hAnsi="Arial" w:cs="Arial"/>
          <w:b/>
          <w:bCs/>
        </w:rPr>
        <w:br/>
      </w:r>
      <w:r w:rsidR="00DD2981">
        <w:rPr>
          <w:rFonts w:ascii="Arial" w:hAnsi="Arial" w:cs="Arial"/>
          <w:b/>
          <w:bCs/>
        </w:rPr>
        <w:tab/>
      </w:r>
      <w:r w:rsidR="00DD2981">
        <w:rPr>
          <w:rFonts w:ascii="Arial" w:hAnsi="Arial" w:cs="Arial"/>
          <w:b/>
          <w:bCs/>
        </w:rPr>
        <w:tab/>
        <w:t>Section 735 (2)</w:t>
      </w:r>
    </w:p>
    <w:p w14:paraId="7FAE3DB2" w14:textId="10930E7C"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 xml:space="preserve">clause </w:t>
      </w:r>
      <w:r w:rsidR="00DD2981">
        <w:rPr>
          <w:rFonts w:ascii="Arial" w:hAnsi="Arial" w:cs="Arial"/>
        </w:rPr>
        <w:t xml:space="preserve">amends </w:t>
      </w:r>
      <w:r w:rsidRPr="00993D72">
        <w:rPr>
          <w:rFonts w:ascii="Arial" w:hAnsi="Arial" w:cs="Arial"/>
        </w:rPr>
        <w:t>s</w:t>
      </w:r>
      <w:r w:rsidRPr="009510D6">
        <w:rPr>
          <w:rFonts w:ascii="Arial" w:hAnsi="Arial" w:cs="Arial"/>
        </w:rPr>
        <w:t xml:space="preserve">ection </w:t>
      </w:r>
      <w:r w:rsidR="00EA24E7" w:rsidRPr="00786D6F">
        <w:rPr>
          <w:rFonts w:ascii="Arial" w:hAnsi="Arial" w:cs="Arial"/>
        </w:rPr>
        <w:t xml:space="preserve">735 (2) </w:t>
      </w:r>
      <w:r w:rsidR="00DD2981">
        <w:rPr>
          <w:rFonts w:ascii="Arial" w:hAnsi="Arial" w:cs="Arial"/>
        </w:rPr>
        <w:t xml:space="preserve">to update and correct </w:t>
      </w:r>
      <w:r w:rsidR="006618ED">
        <w:rPr>
          <w:rFonts w:ascii="Arial" w:hAnsi="Arial" w:cs="Arial"/>
        </w:rPr>
        <w:t xml:space="preserve">a </w:t>
      </w:r>
      <w:r w:rsidR="00DD2981" w:rsidRPr="000C3F4F">
        <w:rPr>
          <w:rFonts w:ascii="Arial" w:hAnsi="Arial" w:cs="Arial"/>
        </w:rPr>
        <w:t xml:space="preserve">cross-reference </w:t>
      </w:r>
      <w:r w:rsidR="003E4BF9">
        <w:rPr>
          <w:rFonts w:ascii="Arial" w:hAnsi="Arial" w:cs="Arial"/>
        </w:rPr>
        <w:t>between</w:t>
      </w:r>
      <w:r w:rsidR="003E4BF9" w:rsidRPr="000C3F4F">
        <w:rPr>
          <w:rFonts w:ascii="Arial" w:hAnsi="Arial" w:cs="Arial"/>
        </w:rPr>
        <w:t xml:space="preserve"> the </w:t>
      </w:r>
      <w:r w:rsidR="003E4BF9">
        <w:rPr>
          <w:rFonts w:ascii="Arial" w:hAnsi="Arial" w:cs="Arial"/>
        </w:rPr>
        <w:t>MPTG Reg and the medicines and poisons standard.</w:t>
      </w:r>
    </w:p>
    <w:p w14:paraId="5A81C1B6" w14:textId="1D8BCE59" w:rsidR="00EA24E7" w:rsidRDefault="5CE1B4F2" w:rsidP="00EA24E7">
      <w:pPr>
        <w:rPr>
          <w:rFonts w:ascii="Arial" w:hAnsi="Arial" w:cs="Arial"/>
          <w:b/>
          <w:bCs/>
        </w:rPr>
      </w:pPr>
      <w:r w:rsidRPr="3C2C6793">
        <w:rPr>
          <w:rFonts w:ascii="Arial" w:hAnsi="Arial" w:cs="Arial"/>
          <w:b/>
          <w:bCs/>
        </w:rPr>
        <w:t xml:space="preserve">Clause </w:t>
      </w:r>
      <w:r w:rsidR="00DE7B3C">
        <w:rPr>
          <w:rFonts w:ascii="Arial" w:hAnsi="Arial" w:cs="Arial"/>
          <w:b/>
          <w:bCs/>
        </w:rPr>
        <w:t>2</w:t>
      </w:r>
      <w:r w:rsidRPr="3C2C6793">
        <w:rPr>
          <w:rFonts w:ascii="Arial" w:hAnsi="Arial" w:cs="Arial"/>
          <w:b/>
          <w:bCs/>
        </w:rPr>
        <w:t xml:space="preserve">9 </w:t>
      </w:r>
      <w:r w:rsidR="00EA24E7">
        <w:tab/>
      </w:r>
      <w:r w:rsidRPr="3C2C6793">
        <w:rPr>
          <w:rFonts w:ascii="Arial" w:hAnsi="Arial" w:cs="Arial"/>
          <w:b/>
          <w:bCs/>
        </w:rPr>
        <w:t>Section 751 heading</w:t>
      </w:r>
    </w:p>
    <w:p w14:paraId="197EFF8B" w14:textId="52C40E78" w:rsidR="00993D72" w:rsidRPr="00EA24E7" w:rsidRDefault="28F3A24E" w:rsidP="3C2C6793">
      <w:pPr>
        <w:rPr>
          <w:rFonts w:ascii="Arial" w:hAnsi="Arial" w:cs="Arial"/>
        </w:rPr>
      </w:pPr>
      <w:r w:rsidRPr="3C2C6793">
        <w:rPr>
          <w:rFonts w:ascii="Arial" w:hAnsi="Arial" w:cs="Arial"/>
        </w:rPr>
        <w:t xml:space="preserve">This clause </w:t>
      </w:r>
      <w:r w:rsidR="429C2906" w:rsidRPr="3C2C6793">
        <w:rPr>
          <w:rFonts w:ascii="Arial" w:hAnsi="Arial" w:cs="Arial"/>
        </w:rPr>
        <w:t>replaces</w:t>
      </w:r>
      <w:r w:rsidR="78C95839" w:rsidRPr="3C2C6793">
        <w:rPr>
          <w:rFonts w:ascii="Arial" w:hAnsi="Arial" w:cs="Arial"/>
        </w:rPr>
        <w:t xml:space="preserve"> the existing heading</w:t>
      </w:r>
      <w:r w:rsidR="429C2906" w:rsidRPr="3C2C6793">
        <w:rPr>
          <w:rFonts w:ascii="Arial" w:hAnsi="Arial" w:cs="Arial"/>
        </w:rPr>
        <w:t xml:space="preserve"> of section 751</w:t>
      </w:r>
      <w:r w:rsidR="78C95839" w:rsidRPr="3C2C6793">
        <w:rPr>
          <w:rFonts w:ascii="Arial" w:hAnsi="Arial" w:cs="Arial"/>
        </w:rPr>
        <w:t xml:space="preserve"> with </w:t>
      </w:r>
      <w:r w:rsidR="429C2906" w:rsidRPr="3C2C6793">
        <w:rPr>
          <w:rFonts w:ascii="Arial" w:hAnsi="Arial" w:cs="Arial"/>
        </w:rPr>
        <w:t>‘</w:t>
      </w:r>
      <w:r w:rsidR="78C95839" w:rsidRPr="3C2C6793">
        <w:rPr>
          <w:rFonts w:ascii="Arial" w:hAnsi="Arial" w:cs="Arial"/>
        </w:rPr>
        <w:t>Manufacture, supply and use of first group paints for certain purposes—Act, s 71 (1)</w:t>
      </w:r>
      <w:r w:rsidR="2B243FAD" w:rsidRPr="3C2C6793">
        <w:rPr>
          <w:rFonts w:ascii="Arial" w:hAnsi="Arial" w:cs="Arial"/>
        </w:rPr>
        <w:t>’</w:t>
      </w:r>
      <w:r w:rsidR="78C95839" w:rsidRPr="3C2C6793">
        <w:rPr>
          <w:rFonts w:ascii="Arial" w:hAnsi="Arial" w:cs="Arial"/>
        </w:rPr>
        <w:t xml:space="preserve"> </w:t>
      </w:r>
      <w:r w:rsidR="2C849E39" w:rsidRPr="3C2C6793">
        <w:rPr>
          <w:rFonts w:ascii="Arial" w:hAnsi="Arial" w:cs="Arial"/>
        </w:rPr>
        <w:t>to align with</w:t>
      </w:r>
      <w:r w:rsidR="6AD876CD" w:rsidRPr="3C2C6793">
        <w:rPr>
          <w:rFonts w:ascii="Arial" w:hAnsi="Arial" w:cs="Arial"/>
        </w:rPr>
        <w:t xml:space="preserve"> the amendments made at clause 40 and clause 41. </w:t>
      </w:r>
    </w:p>
    <w:p w14:paraId="3EF13A42" w14:textId="17780161" w:rsidR="00EA24E7" w:rsidRDefault="00EA24E7" w:rsidP="00EA24E7">
      <w:pPr>
        <w:rPr>
          <w:rFonts w:ascii="Arial" w:hAnsi="Arial" w:cs="Arial"/>
          <w:b/>
          <w:bCs/>
        </w:rPr>
      </w:pPr>
      <w:r w:rsidRPr="00EA24E7">
        <w:rPr>
          <w:rFonts w:ascii="Arial" w:hAnsi="Arial" w:cs="Arial"/>
          <w:b/>
          <w:bCs/>
        </w:rPr>
        <w:t xml:space="preserve">Clause </w:t>
      </w:r>
      <w:r w:rsidR="00DE7B3C">
        <w:rPr>
          <w:rFonts w:ascii="Arial" w:hAnsi="Arial" w:cs="Arial"/>
          <w:b/>
          <w:bCs/>
        </w:rPr>
        <w:t>3</w:t>
      </w:r>
      <w:r w:rsidRPr="00EA24E7">
        <w:rPr>
          <w:rFonts w:ascii="Arial" w:hAnsi="Arial" w:cs="Arial"/>
          <w:b/>
          <w:bCs/>
        </w:rPr>
        <w:t xml:space="preserve">0 </w:t>
      </w:r>
      <w:r w:rsidR="00993D72">
        <w:rPr>
          <w:rFonts w:ascii="Arial" w:hAnsi="Arial" w:cs="Arial"/>
          <w:b/>
          <w:bCs/>
        </w:rPr>
        <w:tab/>
      </w:r>
      <w:r w:rsidRPr="00EA24E7">
        <w:rPr>
          <w:rFonts w:ascii="Arial" w:hAnsi="Arial" w:cs="Arial"/>
          <w:b/>
          <w:bCs/>
        </w:rPr>
        <w:t>Section 751 (2)</w:t>
      </w:r>
    </w:p>
    <w:p w14:paraId="6B02385D" w14:textId="750839D2" w:rsidR="00993D72" w:rsidRPr="00EA24E7" w:rsidRDefault="28F3A24E" w:rsidP="3C2C6793">
      <w:pPr>
        <w:rPr>
          <w:rFonts w:ascii="Arial" w:hAnsi="Arial" w:cs="Arial"/>
        </w:rPr>
      </w:pPr>
      <w:r w:rsidRPr="3C2C6793">
        <w:rPr>
          <w:rFonts w:ascii="Arial" w:hAnsi="Arial" w:cs="Arial"/>
        </w:rPr>
        <w:t>This clause</w:t>
      </w:r>
      <w:r w:rsidR="78C95839" w:rsidRPr="3C2C6793">
        <w:rPr>
          <w:rFonts w:ascii="Arial" w:hAnsi="Arial" w:cs="Arial"/>
        </w:rPr>
        <w:t xml:space="preserve"> </w:t>
      </w:r>
      <w:r w:rsidR="00FD3779">
        <w:rPr>
          <w:rFonts w:ascii="Arial" w:hAnsi="Arial" w:cs="Arial"/>
        </w:rPr>
        <w:t>omits</w:t>
      </w:r>
      <w:r w:rsidR="00FD3779" w:rsidRPr="3C2C6793">
        <w:rPr>
          <w:rFonts w:ascii="Arial" w:hAnsi="Arial" w:cs="Arial"/>
        </w:rPr>
        <w:t xml:space="preserve"> </w:t>
      </w:r>
      <w:r w:rsidRPr="3C2C6793">
        <w:rPr>
          <w:rFonts w:ascii="Arial" w:hAnsi="Arial" w:cs="Arial"/>
        </w:rPr>
        <w:t>section</w:t>
      </w:r>
      <w:r w:rsidR="78C95839" w:rsidRPr="3C2C6793">
        <w:rPr>
          <w:rFonts w:ascii="Arial" w:hAnsi="Arial" w:cs="Arial"/>
        </w:rPr>
        <w:t xml:space="preserve"> 751 (2)</w:t>
      </w:r>
      <w:r w:rsidR="00FD3779">
        <w:rPr>
          <w:rFonts w:ascii="Arial" w:hAnsi="Arial" w:cs="Arial"/>
        </w:rPr>
        <w:t>, in line with changes made under clause 31 of this Act.</w:t>
      </w:r>
    </w:p>
    <w:p w14:paraId="7282EB54" w14:textId="579F295F" w:rsidR="00EA24E7" w:rsidRDefault="00EA24E7" w:rsidP="00EA24E7">
      <w:pPr>
        <w:rPr>
          <w:rFonts w:ascii="Arial" w:hAnsi="Arial" w:cs="Arial"/>
          <w:b/>
          <w:bCs/>
        </w:rPr>
      </w:pPr>
      <w:r w:rsidRPr="00EA24E7">
        <w:rPr>
          <w:rFonts w:ascii="Arial" w:hAnsi="Arial" w:cs="Arial"/>
          <w:b/>
          <w:bCs/>
        </w:rPr>
        <w:t xml:space="preserve">Clause </w:t>
      </w:r>
      <w:r w:rsidR="00DE7B3C">
        <w:rPr>
          <w:rFonts w:ascii="Arial" w:hAnsi="Arial" w:cs="Arial"/>
          <w:b/>
          <w:bCs/>
        </w:rPr>
        <w:t>3</w:t>
      </w:r>
      <w:r w:rsidRPr="00EA24E7">
        <w:rPr>
          <w:rFonts w:ascii="Arial" w:hAnsi="Arial" w:cs="Arial"/>
          <w:b/>
          <w:bCs/>
        </w:rPr>
        <w:t>1</w:t>
      </w:r>
      <w:r w:rsidRPr="00EA24E7">
        <w:rPr>
          <w:rFonts w:ascii="Arial" w:hAnsi="Arial" w:cs="Arial"/>
          <w:b/>
          <w:bCs/>
        </w:rPr>
        <w:tab/>
        <w:t xml:space="preserve"> Section 752</w:t>
      </w:r>
    </w:p>
    <w:p w14:paraId="337CA00C" w14:textId="5F33A19B" w:rsidR="00FD3779" w:rsidRPr="00EA24E7" w:rsidRDefault="28F3A24E" w:rsidP="00FD3779">
      <w:pPr>
        <w:rPr>
          <w:rFonts w:ascii="Arial" w:hAnsi="Arial" w:cs="Arial"/>
        </w:rPr>
      </w:pPr>
      <w:r w:rsidRPr="3C2C6793">
        <w:rPr>
          <w:rFonts w:ascii="Arial" w:hAnsi="Arial" w:cs="Arial"/>
        </w:rPr>
        <w:t>This clause</w:t>
      </w:r>
      <w:r w:rsidR="00FD3779">
        <w:rPr>
          <w:rFonts w:ascii="Arial" w:hAnsi="Arial" w:cs="Arial"/>
        </w:rPr>
        <w:t xml:space="preserve"> inserts</w:t>
      </w:r>
      <w:r w:rsidRPr="3C2C6793">
        <w:rPr>
          <w:rFonts w:ascii="Arial" w:hAnsi="Arial" w:cs="Arial"/>
        </w:rPr>
        <w:t xml:space="preserve"> </w:t>
      </w:r>
      <w:r w:rsidR="00FD3779" w:rsidRPr="3C2C6793">
        <w:rPr>
          <w:rFonts w:ascii="Arial" w:hAnsi="Arial" w:cs="Arial"/>
        </w:rPr>
        <w:t xml:space="preserve">a new provision section 751A to update and correct a cross-reference between the MPTG Reg and the medicines and poisons standard. The new provision adopts general wording to identify the relevant requirement within the medicines and poisons standard, to avoid the need for pinpoint referencing which can change frequently over time.  </w:t>
      </w:r>
    </w:p>
    <w:p w14:paraId="1FB378E6" w14:textId="1002F390" w:rsidR="00993D72" w:rsidRPr="00786D6F" w:rsidRDefault="00FD3779" w:rsidP="3C2C6793">
      <w:pPr>
        <w:rPr>
          <w:rFonts w:ascii="Arial" w:hAnsi="Arial" w:cs="Arial"/>
        </w:rPr>
      </w:pPr>
      <w:r>
        <w:rPr>
          <w:rFonts w:ascii="Arial" w:hAnsi="Arial" w:cs="Arial"/>
        </w:rPr>
        <w:t xml:space="preserve">This clause also </w:t>
      </w:r>
      <w:r w:rsidR="78C95839" w:rsidRPr="3C2C6793">
        <w:rPr>
          <w:rFonts w:ascii="Arial" w:hAnsi="Arial" w:cs="Arial"/>
        </w:rPr>
        <w:t xml:space="preserve">amends section 752 by substituting the current wording with wording to </w:t>
      </w:r>
      <w:r w:rsidR="5B2DEA8D" w:rsidRPr="3C2C6793">
        <w:rPr>
          <w:rFonts w:ascii="Arial" w:hAnsi="Arial" w:cs="Arial"/>
        </w:rPr>
        <w:t xml:space="preserve">update and correct </w:t>
      </w:r>
      <w:r w:rsidR="78C95839" w:rsidRPr="3C2C6793">
        <w:rPr>
          <w:rFonts w:ascii="Arial" w:hAnsi="Arial" w:cs="Arial"/>
        </w:rPr>
        <w:t xml:space="preserve">a cross-reference between the </w:t>
      </w:r>
      <w:r w:rsidR="1A81C93B" w:rsidRPr="3C2C6793">
        <w:rPr>
          <w:rFonts w:ascii="Arial" w:hAnsi="Arial" w:cs="Arial"/>
        </w:rPr>
        <w:t xml:space="preserve">MPTG Reg </w:t>
      </w:r>
      <w:r w:rsidR="78C95839" w:rsidRPr="3C2C6793">
        <w:rPr>
          <w:rFonts w:ascii="Arial" w:hAnsi="Arial" w:cs="Arial"/>
        </w:rPr>
        <w:t>and the medicines and poisons standard.</w:t>
      </w:r>
      <w:r w:rsidR="4218113C" w:rsidRPr="3C2C6793">
        <w:rPr>
          <w:rFonts w:ascii="Arial" w:hAnsi="Arial" w:cs="Arial"/>
        </w:rPr>
        <w:t xml:space="preserve"> The new provision adopts general wording to identify the relevant requirement within the medicines and poisons standard, to avoid the need for pinpoint referencing which can change frequently over time.</w:t>
      </w:r>
    </w:p>
    <w:p w14:paraId="39864851" w14:textId="5C468AD1" w:rsidR="00DA16E7" w:rsidRPr="00786D6F" w:rsidRDefault="00DA16E7" w:rsidP="00D57E43">
      <w:pPr>
        <w:ind w:left="1440" w:hanging="1440"/>
        <w:rPr>
          <w:rFonts w:ascii="Arial" w:hAnsi="Arial" w:cs="Arial"/>
          <w:b/>
          <w:bCs/>
        </w:rPr>
      </w:pPr>
      <w:r w:rsidRPr="00786D6F">
        <w:rPr>
          <w:rFonts w:ascii="Arial" w:hAnsi="Arial" w:cs="Arial"/>
          <w:b/>
          <w:bCs/>
        </w:rPr>
        <w:t xml:space="preserve">Clause </w:t>
      </w:r>
      <w:r w:rsidR="00DE7B3C">
        <w:rPr>
          <w:rFonts w:ascii="Arial" w:hAnsi="Arial" w:cs="Arial"/>
          <w:b/>
          <w:bCs/>
        </w:rPr>
        <w:t>3</w:t>
      </w:r>
      <w:r w:rsidRPr="00786D6F">
        <w:rPr>
          <w:rFonts w:ascii="Arial" w:hAnsi="Arial" w:cs="Arial"/>
          <w:b/>
          <w:bCs/>
        </w:rPr>
        <w:t xml:space="preserve">2 </w:t>
      </w:r>
      <w:r w:rsidR="00993D72">
        <w:rPr>
          <w:rFonts w:ascii="Arial" w:hAnsi="Arial" w:cs="Arial"/>
          <w:b/>
          <w:bCs/>
        </w:rPr>
        <w:tab/>
      </w:r>
      <w:r w:rsidRPr="00786D6F">
        <w:rPr>
          <w:rFonts w:ascii="Arial" w:hAnsi="Arial" w:cs="Arial"/>
          <w:b/>
          <w:bCs/>
        </w:rPr>
        <w:t>Manufacture, supply and use of paints containing pesticides—Act, s 73 (b)</w:t>
      </w:r>
      <w:r w:rsidR="00D57E43">
        <w:rPr>
          <w:rFonts w:ascii="Arial" w:hAnsi="Arial" w:cs="Arial"/>
          <w:b/>
          <w:bCs/>
        </w:rPr>
        <w:br/>
        <w:t>Section 753 (1)</w:t>
      </w:r>
    </w:p>
    <w:p w14:paraId="6F911EF8" w14:textId="194853E9" w:rsidR="00DA16E7" w:rsidRPr="00D57E43" w:rsidRDefault="28F3A24E" w:rsidP="3C2C6793">
      <w:pPr>
        <w:rPr>
          <w:rFonts w:ascii="Arial" w:hAnsi="Arial" w:cs="Arial"/>
        </w:rPr>
      </w:pPr>
      <w:r w:rsidRPr="3C2C6793">
        <w:rPr>
          <w:rFonts w:ascii="Arial" w:hAnsi="Arial" w:cs="Arial"/>
        </w:rPr>
        <w:t xml:space="preserve">This clause </w:t>
      </w:r>
      <w:r w:rsidR="78C95839" w:rsidRPr="3C2C6793">
        <w:rPr>
          <w:rFonts w:ascii="Arial" w:hAnsi="Arial" w:cs="Arial"/>
        </w:rPr>
        <w:t xml:space="preserve">amends section </w:t>
      </w:r>
      <w:r w:rsidR="2BFCEB47" w:rsidRPr="3C2C6793">
        <w:rPr>
          <w:rFonts w:ascii="Arial" w:hAnsi="Arial" w:cs="Arial"/>
        </w:rPr>
        <w:t>753 (1)</w:t>
      </w:r>
      <w:r w:rsidR="78C95839" w:rsidRPr="3C2C6793">
        <w:rPr>
          <w:rFonts w:ascii="Arial" w:hAnsi="Arial" w:cs="Arial"/>
        </w:rPr>
        <w:t xml:space="preserve"> by substituting the current wording with wording to </w:t>
      </w:r>
      <w:r w:rsidR="4D6A9C44" w:rsidRPr="3C2C6793">
        <w:rPr>
          <w:rFonts w:ascii="Arial" w:hAnsi="Arial" w:cs="Arial"/>
        </w:rPr>
        <w:t>update and correct</w:t>
      </w:r>
      <w:r w:rsidR="78C95839" w:rsidRPr="3C2C6793">
        <w:rPr>
          <w:rFonts w:ascii="Arial" w:hAnsi="Arial" w:cs="Arial"/>
        </w:rPr>
        <w:t xml:space="preserve"> a cross-reference </w:t>
      </w:r>
      <w:r w:rsidR="1A81C93B" w:rsidRPr="3C2C6793">
        <w:rPr>
          <w:rFonts w:ascii="Arial" w:hAnsi="Arial" w:cs="Arial"/>
        </w:rPr>
        <w:t>between the MPTG Reg and the medicines and poisons standard</w:t>
      </w:r>
      <w:r w:rsidR="78C95839" w:rsidRPr="3C2C6793">
        <w:rPr>
          <w:rFonts w:ascii="Arial" w:hAnsi="Arial" w:cs="Arial"/>
        </w:rPr>
        <w:t>.</w:t>
      </w:r>
      <w:r w:rsidR="362BB1DB" w:rsidRPr="3C2C6793">
        <w:rPr>
          <w:rFonts w:ascii="Arial" w:hAnsi="Arial" w:cs="Arial"/>
        </w:rPr>
        <w:t xml:space="preserve"> The new provision adopts general wording to identify the relevant requirement within the medicines and poisons standard, to avoid the need for pinpoint referencing which can change frequently over time.</w:t>
      </w:r>
    </w:p>
    <w:p w14:paraId="2D5DFE3D" w14:textId="06C7DF46" w:rsidR="00DA16E7" w:rsidRDefault="00DA16E7" w:rsidP="00DA16E7">
      <w:pPr>
        <w:rPr>
          <w:rFonts w:ascii="Arial" w:hAnsi="Arial" w:cs="Arial"/>
          <w:b/>
          <w:bCs/>
        </w:rPr>
      </w:pPr>
      <w:r w:rsidRPr="00786D6F">
        <w:rPr>
          <w:rFonts w:ascii="Arial" w:hAnsi="Arial" w:cs="Arial"/>
          <w:b/>
          <w:bCs/>
        </w:rPr>
        <w:t xml:space="preserve">Clause </w:t>
      </w:r>
      <w:r w:rsidR="00DE7B3C">
        <w:rPr>
          <w:rFonts w:ascii="Arial" w:hAnsi="Arial" w:cs="Arial"/>
          <w:b/>
          <w:bCs/>
        </w:rPr>
        <w:t>3</w:t>
      </w:r>
      <w:r w:rsidRPr="00786D6F">
        <w:rPr>
          <w:rFonts w:ascii="Arial" w:hAnsi="Arial" w:cs="Arial"/>
          <w:b/>
          <w:bCs/>
        </w:rPr>
        <w:t xml:space="preserve">3 </w:t>
      </w:r>
      <w:r w:rsidR="00993D72">
        <w:rPr>
          <w:rFonts w:ascii="Arial" w:hAnsi="Arial" w:cs="Arial"/>
          <w:b/>
          <w:bCs/>
        </w:rPr>
        <w:tab/>
      </w:r>
      <w:r w:rsidRPr="00786D6F">
        <w:rPr>
          <w:rFonts w:ascii="Arial" w:hAnsi="Arial" w:cs="Arial"/>
          <w:b/>
          <w:bCs/>
        </w:rPr>
        <w:t>Section 862</w:t>
      </w:r>
    </w:p>
    <w:p w14:paraId="46624071" w14:textId="3CCD3ACD" w:rsidR="00993D72" w:rsidRPr="00786D6F" w:rsidRDefault="28F3A24E" w:rsidP="3C2C6793">
      <w:pPr>
        <w:rPr>
          <w:rFonts w:ascii="Arial" w:hAnsi="Arial" w:cs="Arial"/>
        </w:rPr>
      </w:pPr>
      <w:r w:rsidRPr="3C2C6793">
        <w:rPr>
          <w:rFonts w:ascii="Arial" w:hAnsi="Arial" w:cs="Arial"/>
        </w:rPr>
        <w:t xml:space="preserve">This clause </w:t>
      </w:r>
      <w:r w:rsidR="78C95839" w:rsidRPr="3C2C6793">
        <w:rPr>
          <w:rFonts w:ascii="Arial" w:hAnsi="Arial" w:cs="Arial"/>
        </w:rPr>
        <w:t xml:space="preserve">amends </w:t>
      </w:r>
      <w:r w:rsidRPr="3C2C6793">
        <w:rPr>
          <w:rFonts w:ascii="Arial" w:hAnsi="Arial" w:cs="Arial"/>
        </w:rPr>
        <w:t>section</w:t>
      </w:r>
      <w:r w:rsidR="78C95839" w:rsidRPr="3C2C6793">
        <w:rPr>
          <w:rFonts w:ascii="Arial" w:hAnsi="Arial" w:cs="Arial"/>
        </w:rPr>
        <w:t xml:space="preserve"> 862 by substituting </w:t>
      </w:r>
      <w:r w:rsidR="513DF1DF" w:rsidRPr="3C2C6793">
        <w:rPr>
          <w:rFonts w:ascii="Arial" w:hAnsi="Arial" w:cs="Arial"/>
        </w:rPr>
        <w:t>the current wording</w:t>
      </w:r>
      <w:r w:rsidR="1A81C93B" w:rsidRPr="3C2C6793">
        <w:rPr>
          <w:rFonts w:ascii="Arial" w:hAnsi="Arial" w:cs="Arial"/>
        </w:rPr>
        <w:t xml:space="preserve"> </w:t>
      </w:r>
      <w:r w:rsidR="513DF1DF" w:rsidRPr="3C2C6793">
        <w:rPr>
          <w:rFonts w:ascii="Arial" w:hAnsi="Arial" w:cs="Arial"/>
        </w:rPr>
        <w:t xml:space="preserve">with wording to update and correct a cross-reference </w:t>
      </w:r>
      <w:r w:rsidR="1A81C93B" w:rsidRPr="3C2C6793">
        <w:rPr>
          <w:rFonts w:ascii="Arial" w:hAnsi="Arial" w:cs="Arial"/>
        </w:rPr>
        <w:t>between the MPTG Reg and the medicines and poisons standard.</w:t>
      </w:r>
      <w:r w:rsidR="299CF364" w:rsidRPr="3C2C6793">
        <w:rPr>
          <w:rFonts w:ascii="Arial" w:hAnsi="Arial" w:cs="Arial"/>
        </w:rPr>
        <w:t xml:space="preserve"> The new provision adopts general wording to identify the relevant requirement within the medicines and poisons standard, to avoid the need for pinpoint referencing which can change frequently over time.</w:t>
      </w:r>
    </w:p>
    <w:p w14:paraId="3B2784A3" w14:textId="613178A6" w:rsidR="00DA16E7" w:rsidRPr="002C6B74" w:rsidRDefault="00DA16E7" w:rsidP="00DA16E7">
      <w:pPr>
        <w:rPr>
          <w:rFonts w:ascii="Arial" w:hAnsi="Arial" w:cs="Arial"/>
          <w:b/>
          <w:bCs/>
        </w:rPr>
      </w:pPr>
      <w:r w:rsidRPr="00786D6F">
        <w:rPr>
          <w:rFonts w:ascii="Arial" w:hAnsi="Arial" w:cs="Arial"/>
          <w:b/>
          <w:bCs/>
        </w:rPr>
        <w:lastRenderedPageBreak/>
        <w:t xml:space="preserve">Clause </w:t>
      </w:r>
      <w:r w:rsidR="002C6B74">
        <w:rPr>
          <w:rFonts w:ascii="Arial" w:hAnsi="Arial" w:cs="Arial"/>
          <w:b/>
          <w:bCs/>
        </w:rPr>
        <w:t>3</w:t>
      </w:r>
      <w:r w:rsidRPr="00786D6F">
        <w:rPr>
          <w:rFonts w:ascii="Arial" w:hAnsi="Arial" w:cs="Arial"/>
          <w:b/>
          <w:bCs/>
        </w:rPr>
        <w:t xml:space="preserve">4 </w:t>
      </w:r>
      <w:r w:rsidR="00993D72">
        <w:rPr>
          <w:rFonts w:ascii="Arial" w:hAnsi="Arial" w:cs="Arial"/>
          <w:b/>
          <w:bCs/>
        </w:rPr>
        <w:tab/>
      </w:r>
      <w:r w:rsidRPr="00786D6F">
        <w:rPr>
          <w:rFonts w:ascii="Arial" w:hAnsi="Arial" w:cs="Arial"/>
          <w:b/>
          <w:bCs/>
        </w:rPr>
        <w:t xml:space="preserve">Dictionary, definition of </w:t>
      </w:r>
      <w:r w:rsidRPr="00317960">
        <w:rPr>
          <w:rFonts w:ascii="Arial" w:hAnsi="Arial" w:cs="Arial"/>
          <w:b/>
          <w:bCs/>
          <w:i/>
          <w:iCs/>
        </w:rPr>
        <w:t>primary pack</w:t>
      </w:r>
      <w:r w:rsidR="002C6B74">
        <w:rPr>
          <w:rFonts w:ascii="Arial" w:hAnsi="Arial" w:cs="Arial"/>
          <w:b/>
          <w:bCs/>
          <w:i/>
          <w:iCs/>
        </w:rPr>
        <w:t xml:space="preserve"> </w:t>
      </w:r>
      <w:r w:rsidR="002C6B74">
        <w:rPr>
          <w:rFonts w:ascii="Arial" w:hAnsi="Arial" w:cs="Arial"/>
          <w:b/>
          <w:bCs/>
        </w:rPr>
        <w:t>and note</w:t>
      </w:r>
    </w:p>
    <w:p w14:paraId="267F3BC4" w14:textId="1A526362" w:rsidR="00AF4554" w:rsidRDefault="00AF4554" w:rsidP="00AF4554">
      <w:pPr>
        <w:rPr>
          <w:rFonts w:ascii="Arial" w:hAnsi="Arial" w:cs="Arial"/>
        </w:rPr>
      </w:pPr>
      <w:r w:rsidRPr="009510D6">
        <w:rPr>
          <w:rFonts w:ascii="Arial" w:hAnsi="Arial" w:cs="Arial"/>
        </w:rPr>
        <w:t xml:space="preserve">This </w:t>
      </w:r>
      <w:r w:rsidRPr="00993D72">
        <w:rPr>
          <w:rFonts w:ascii="Arial" w:hAnsi="Arial" w:cs="Arial"/>
        </w:rPr>
        <w:t xml:space="preserve">clause </w:t>
      </w:r>
      <w:r>
        <w:rPr>
          <w:rFonts w:ascii="Arial" w:hAnsi="Arial" w:cs="Arial"/>
        </w:rPr>
        <w:t>amends the dictionary of the</w:t>
      </w:r>
      <w:r w:rsidRPr="00AF4554">
        <w:rPr>
          <w:rFonts w:ascii="Arial" w:hAnsi="Arial" w:cs="Arial"/>
        </w:rPr>
        <w:t xml:space="preserve"> </w:t>
      </w:r>
      <w:r w:rsidR="003E4BF9">
        <w:rPr>
          <w:rFonts w:ascii="Arial" w:hAnsi="Arial" w:cs="Arial"/>
        </w:rPr>
        <w:t>MPTG Reg</w:t>
      </w:r>
      <w:r>
        <w:rPr>
          <w:rFonts w:ascii="Arial" w:hAnsi="Arial" w:cs="Arial"/>
        </w:rPr>
        <w:t xml:space="preserve"> by removing the definition of ‘primary pack’</w:t>
      </w:r>
      <w:r w:rsidR="004A2C50">
        <w:rPr>
          <w:rFonts w:ascii="Arial" w:hAnsi="Arial" w:cs="Arial"/>
        </w:rPr>
        <w:t xml:space="preserve">, </w:t>
      </w:r>
      <w:r w:rsidR="001B22ED">
        <w:rPr>
          <w:rFonts w:ascii="Arial" w:hAnsi="Arial" w:cs="Arial"/>
        </w:rPr>
        <w:t>considering</w:t>
      </w:r>
      <w:r w:rsidR="004A2C50">
        <w:rPr>
          <w:rFonts w:ascii="Arial" w:hAnsi="Arial" w:cs="Arial"/>
        </w:rPr>
        <w:t xml:space="preserve"> section 16 of the </w:t>
      </w:r>
      <w:r w:rsidR="003E4BF9">
        <w:rPr>
          <w:rFonts w:ascii="Arial" w:hAnsi="Arial" w:cs="Arial"/>
        </w:rPr>
        <w:t xml:space="preserve">MPTG </w:t>
      </w:r>
      <w:r w:rsidR="004A2C50">
        <w:rPr>
          <w:rFonts w:ascii="Arial" w:hAnsi="Arial" w:cs="Arial"/>
        </w:rPr>
        <w:t>Act</w:t>
      </w:r>
      <w:r w:rsidR="003E4BF9">
        <w:rPr>
          <w:rFonts w:ascii="Arial" w:hAnsi="Arial" w:cs="Arial"/>
        </w:rPr>
        <w:t>.</w:t>
      </w:r>
    </w:p>
    <w:p w14:paraId="10F5ED5C" w14:textId="494D57F2" w:rsidR="002C6B74" w:rsidRDefault="002C6B74" w:rsidP="00AF4554">
      <w:pPr>
        <w:rPr>
          <w:rFonts w:ascii="Arial" w:hAnsi="Arial" w:cs="Arial"/>
          <w:b/>
          <w:bCs/>
        </w:rPr>
      </w:pPr>
      <w:r w:rsidRPr="00426B1A">
        <w:rPr>
          <w:rFonts w:ascii="Arial" w:hAnsi="Arial" w:cs="Arial"/>
          <w:b/>
          <w:bCs/>
        </w:rPr>
        <w:t>Clause 35</w:t>
      </w:r>
      <w:r w:rsidR="00B656DA" w:rsidRPr="00426B1A">
        <w:rPr>
          <w:rFonts w:ascii="Arial" w:hAnsi="Arial" w:cs="Arial"/>
          <w:b/>
          <w:bCs/>
        </w:rPr>
        <w:tab/>
        <w:t>Further amendments, notes</w:t>
      </w:r>
    </w:p>
    <w:p w14:paraId="4928D7E1" w14:textId="31DE56D9" w:rsidR="00762CC6" w:rsidRDefault="00762CC6" w:rsidP="00762CC6">
      <w:pPr>
        <w:rPr>
          <w:rFonts w:ascii="Arial" w:hAnsi="Arial" w:cs="Arial"/>
        </w:rPr>
      </w:pPr>
      <w:r w:rsidRPr="3C2C6793">
        <w:rPr>
          <w:rFonts w:ascii="Arial" w:hAnsi="Arial" w:cs="Arial"/>
        </w:rPr>
        <w:t xml:space="preserve">This clause removes the notes </w:t>
      </w:r>
      <w:r>
        <w:rPr>
          <w:rFonts w:ascii="Arial" w:hAnsi="Arial" w:cs="Arial"/>
        </w:rPr>
        <w:t xml:space="preserve">within </w:t>
      </w:r>
      <w:r w:rsidRPr="00762CC6">
        <w:rPr>
          <w:rFonts w:ascii="Arial" w:hAnsi="Arial" w:cs="Arial"/>
        </w:rPr>
        <w:t xml:space="preserve">section 72 (e), section 76 (f), section 78 (f), section 123 (f), </w:t>
      </w:r>
      <w:r w:rsidRPr="002C554B">
        <w:rPr>
          <w:rFonts w:ascii="Arial" w:hAnsi="Arial" w:cs="Arial"/>
        </w:rPr>
        <w:t xml:space="preserve">section 125 (h), section 132 (a), section </w:t>
      </w:r>
      <w:r w:rsidRPr="00DE7B3C">
        <w:rPr>
          <w:rFonts w:ascii="Arial" w:hAnsi="Arial" w:cs="Arial"/>
        </w:rPr>
        <w:t xml:space="preserve">141 (2) (a), section 161 (d), section 162 (b), section 253 (e), section 256 (e), section 751 (1) (d), and dictionary, definition of </w:t>
      </w:r>
      <w:r w:rsidRPr="00426B1A">
        <w:rPr>
          <w:rFonts w:ascii="Arial" w:hAnsi="Arial" w:cs="Arial"/>
          <w:b/>
          <w:bCs/>
          <w:i/>
          <w:iCs/>
        </w:rPr>
        <w:t>manufacturer’s pack</w:t>
      </w:r>
      <w:r w:rsidR="002C554B" w:rsidRPr="00DE7B3C">
        <w:rPr>
          <w:rFonts w:ascii="Arial" w:hAnsi="Arial" w:cs="Arial"/>
        </w:rPr>
        <w:t xml:space="preserve"> </w:t>
      </w:r>
      <w:r w:rsidRPr="00DE7B3C">
        <w:rPr>
          <w:rFonts w:ascii="Arial" w:hAnsi="Arial" w:cs="Arial"/>
        </w:rPr>
        <w:t>to remove superfluous and outdated cross-references between the MPTG Reg and the medicines and poisons standard.</w:t>
      </w:r>
    </w:p>
    <w:p w14:paraId="67418F12" w14:textId="7E6A2378" w:rsidR="002C6B74" w:rsidRDefault="002C6B74" w:rsidP="00AF4554">
      <w:pPr>
        <w:rPr>
          <w:rFonts w:ascii="Arial" w:hAnsi="Arial" w:cs="Arial"/>
          <w:b/>
          <w:bCs/>
        </w:rPr>
      </w:pPr>
      <w:r w:rsidRPr="00426B1A">
        <w:rPr>
          <w:rFonts w:ascii="Arial" w:hAnsi="Arial" w:cs="Arial"/>
          <w:b/>
          <w:bCs/>
        </w:rPr>
        <w:t>Clause 36</w:t>
      </w:r>
      <w:r w:rsidR="00B656DA" w:rsidRPr="00426B1A">
        <w:rPr>
          <w:rFonts w:ascii="Arial" w:hAnsi="Arial" w:cs="Arial"/>
          <w:b/>
          <w:bCs/>
        </w:rPr>
        <w:tab/>
        <w:t xml:space="preserve">Further amendments, mentions of </w:t>
      </w:r>
      <w:r w:rsidR="00B656DA" w:rsidRPr="00426B1A">
        <w:rPr>
          <w:rFonts w:ascii="Arial" w:hAnsi="Arial" w:cs="Arial"/>
          <w:b/>
          <w:bCs/>
          <w:i/>
          <w:iCs/>
        </w:rPr>
        <w:t>(Drugs required to be labelled with a sedation warning)</w:t>
      </w:r>
    </w:p>
    <w:p w14:paraId="75182FAC" w14:textId="4DBEF9DE" w:rsidR="00762CC6" w:rsidRDefault="00762CC6" w:rsidP="00684F84">
      <w:pPr>
        <w:rPr>
          <w:rFonts w:ascii="Arial" w:hAnsi="Arial" w:cs="Arial"/>
        </w:rPr>
      </w:pPr>
      <w:r>
        <w:rPr>
          <w:rFonts w:ascii="Arial" w:hAnsi="Arial" w:cs="Arial"/>
        </w:rPr>
        <w:t xml:space="preserve">This clause amends </w:t>
      </w:r>
      <w:r w:rsidRPr="00762CC6">
        <w:rPr>
          <w:rFonts w:ascii="Arial" w:hAnsi="Arial" w:cs="Arial"/>
        </w:rPr>
        <w:t xml:space="preserve">section </w:t>
      </w:r>
      <w:r w:rsidRPr="00684F84">
        <w:rPr>
          <w:rFonts w:ascii="Arial" w:hAnsi="Arial" w:cs="Arial"/>
        </w:rPr>
        <w:t>123 (m), section 152 (f), section 161 (g), section 253 (h) and section 256 (i) by removing the wording ‘(Drugs required to be labelled with a sedation warning)’ to update and correct</w:t>
      </w:r>
      <w:r>
        <w:rPr>
          <w:rFonts w:ascii="Arial" w:hAnsi="Arial" w:cs="Arial"/>
        </w:rPr>
        <w:t xml:space="preserve"> </w:t>
      </w:r>
      <w:r w:rsidRPr="000C3F4F">
        <w:rPr>
          <w:rFonts w:ascii="Arial" w:hAnsi="Arial" w:cs="Arial"/>
        </w:rPr>
        <w:t>cross-reference</w:t>
      </w:r>
      <w:r w:rsidR="00684F84">
        <w:rPr>
          <w:rFonts w:ascii="Arial" w:hAnsi="Arial" w:cs="Arial"/>
        </w:rPr>
        <w:t>s</w:t>
      </w:r>
      <w:r w:rsidRPr="000C3F4F">
        <w:rPr>
          <w:rFonts w:ascii="Arial" w:hAnsi="Arial" w:cs="Arial"/>
        </w:rPr>
        <w:t xml:space="preserve"> </w:t>
      </w:r>
      <w:r>
        <w:rPr>
          <w:rFonts w:ascii="Arial" w:hAnsi="Arial" w:cs="Arial"/>
        </w:rPr>
        <w:t>between</w:t>
      </w:r>
      <w:r w:rsidRPr="000C3F4F">
        <w:rPr>
          <w:rFonts w:ascii="Arial" w:hAnsi="Arial" w:cs="Arial"/>
        </w:rPr>
        <w:t xml:space="preserve"> the </w:t>
      </w:r>
      <w:r>
        <w:rPr>
          <w:rFonts w:ascii="Arial" w:hAnsi="Arial" w:cs="Arial"/>
        </w:rPr>
        <w:t>MPTG Reg and the medicines and poisons standard.</w:t>
      </w:r>
    </w:p>
    <w:p w14:paraId="76183FFF" w14:textId="1837404D" w:rsidR="00DA16E7" w:rsidRPr="00786D6F" w:rsidRDefault="00DA16E7" w:rsidP="00DA16E7">
      <w:pPr>
        <w:rPr>
          <w:rFonts w:ascii="Arial" w:hAnsi="Arial" w:cs="Arial"/>
          <w:b/>
          <w:bCs/>
        </w:rPr>
      </w:pPr>
      <w:r w:rsidRPr="00786D6F">
        <w:rPr>
          <w:rFonts w:ascii="Arial" w:hAnsi="Arial" w:cs="Arial"/>
          <w:b/>
          <w:bCs/>
        </w:rPr>
        <w:t xml:space="preserve">Part 6 </w:t>
      </w:r>
      <w:r w:rsidR="00993D72">
        <w:rPr>
          <w:rFonts w:ascii="Arial" w:hAnsi="Arial" w:cs="Arial"/>
          <w:b/>
          <w:bCs/>
        </w:rPr>
        <w:tab/>
      </w:r>
      <w:r w:rsidR="00993D72">
        <w:rPr>
          <w:rFonts w:ascii="Arial" w:hAnsi="Arial" w:cs="Arial"/>
          <w:b/>
          <w:bCs/>
        </w:rPr>
        <w:tab/>
      </w:r>
      <w:r w:rsidRPr="00786D6F">
        <w:rPr>
          <w:rFonts w:ascii="Arial" w:hAnsi="Arial" w:cs="Arial"/>
          <w:b/>
          <w:bCs/>
        </w:rPr>
        <w:t>Voluntary Assisted Dying Act 2024</w:t>
      </w:r>
    </w:p>
    <w:p w14:paraId="3C56D7A8" w14:textId="41EE5810" w:rsidR="00B656DA" w:rsidRDefault="00DA16E7" w:rsidP="00426B1A">
      <w:pPr>
        <w:spacing w:after="0"/>
        <w:rPr>
          <w:rFonts w:ascii="Arial" w:hAnsi="Arial" w:cs="Arial"/>
          <w:b/>
          <w:bCs/>
        </w:rPr>
      </w:pPr>
      <w:r w:rsidRPr="00786D6F">
        <w:rPr>
          <w:rFonts w:ascii="Arial" w:hAnsi="Arial" w:cs="Arial"/>
          <w:b/>
          <w:bCs/>
        </w:rPr>
        <w:t xml:space="preserve">Clause </w:t>
      </w:r>
      <w:r w:rsidR="00B656DA">
        <w:rPr>
          <w:rFonts w:ascii="Arial" w:hAnsi="Arial" w:cs="Arial"/>
          <w:b/>
          <w:bCs/>
        </w:rPr>
        <w:t>37</w:t>
      </w:r>
      <w:r w:rsidRPr="00786D6F">
        <w:rPr>
          <w:rFonts w:ascii="Arial" w:hAnsi="Arial" w:cs="Arial"/>
          <w:b/>
          <w:bCs/>
        </w:rPr>
        <w:t xml:space="preserve"> </w:t>
      </w:r>
      <w:r w:rsidR="00993D72">
        <w:rPr>
          <w:rFonts w:ascii="Arial" w:hAnsi="Arial" w:cs="Arial"/>
          <w:b/>
          <w:bCs/>
        </w:rPr>
        <w:tab/>
      </w:r>
      <w:r w:rsidRPr="00786D6F">
        <w:rPr>
          <w:rFonts w:ascii="Arial" w:hAnsi="Arial" w:cs="Arial"/>
          <w:b/>
          <w:bCs/>
        </w:rPr>
        <w:t>Notifying individual and board about outcome of final assessment</w:t>
      </w:r>
    </w:p>
    <w:p w14:paraId="712FF2B3" w14:textId="6A3B3194" w:rsidR="00B656DA" w:rsidRPr="00786D6F" w:rsidRDefault="00B656DA" w:rsidP="00426B1A">
      <w:pPr>
        <w:ind w:left="720" w:firstLine="720"/>
        <w:rPr>
          <w:rFonts w:ascii="Arial" w:hAnsi="Arial" w:cs="Arial"/>
          <w:b/>
          <w:bCs/>
        </w:rPr>
      </w:pPr>
      <w:r>
        <w:rPr>
          <w:rFonts w:ascii="Arial" w:hAnsi="Arial" w:cs="Arial"/>
          <w:b/>
          <w:bCs/>
        </w:rPr>
        <w:t>Section 36 (2)</w:t>
      </w:r>
    </w:p>
    <w:p w14:paraId="360D8DA7" w14:textId="347FBBE7" w:rsidR="00DA16E7" w:rsidRPr="00DA16E7" w:rsidRDefault="28F3A24E" w:rsidP="00234886">
      <w:pPr>
        <w:rPr>
          <w:rFonts w:ascii="Arial" w:hAnsi="Arial" w:cs="Arial"/>
        </w:rPr>
      </w:pPr>
      <w:r w:rsidRPr="3C2C6793">
        <w:rPr>
          <w:rFonts w:ascii="Arial" w:hAnsi="Arial" w:cs="Arial"/>
        </w:rPr>
        <w:t>This clause</w:t>
      </w:r>
      <w:r w:rsidR="47D2759C" w:rsidRPr="3C2C6793">
        <w:rPr>
          <w:rFonts w:ascii="Arial" w:hAnsi="Arial" w:cs="Arial"/>
        </w:rPr>
        <w:t xml:space="preserve"> amends</w:t>
      </w:r>
      <w:r w:rsidRPr="3C2C6793">
        <w:rPr>
          <w:rFonts w:ascii="Arial" w:hAnsi="Arial" w:cs="Arial"/>
        </w:rPr>
        <w:t xml:space="preserve"> section </w:t>
      </w:r>
      <w:r w:rsidR="2BFCEB47" w:rsidRPr="3C2C6793">
        <w:rPr>
          <w:rFonts w:ascii="Arial" w:hAnsi="Arial" w:cs="Arial"/>
        </w:rPr>
        <w:t>36 (2)</w:t>
      </w:r>
      <w:r w:rsidR="47D2759C" w:rsidRPr="3C2C6793">
        <w:rPr>
          <w:rFonts w:ascii="Arial" w:hAnsi="Arial" w:cs="Arial"/>
        </w:rPr>
        <w:t xml:space="preserve"> by substituting the existing wording and replacing it with wording </w:t>
      </w:r>
      <w:r w:rsidR="34B0FC7F" w:rsidRPr="3C2C6793">
        <w:rPr>
          <w:rFonts w:ascii="Arial" w:hAnsi="Arial" w:cs="Arial"/>
        </w:rPr>
        <w:t xml:space="preserve">to correct inconsistent reporting obligations and to align reporting obligations </w:t>
      </w:r>
      <w:r w:rsidR="1A81C93B" w:rsidRPr="3C2C6793">
        <w:rPr>
          <w:rFonts w:ascii="Arial" w:hAnsi="Arial" w:cs="Arial"/>
        </w:rPr>
        <w:t xml:space="preserve">with </w:t>
      </w:r>
      <w:r w:rsidR="34B0FC7F" w:rsidRPr="3C2C6793">
        <w:rPr>
          <w:rFonts w:ascii="Arial" w:hAnsi="Arial" w:cs="Arial"/>
        </w:rPr>
        <w:t xml:space="preserve">other parts of the </w:t>
      </w:r>
      <w:r w:rsidR="05B924B4" w:rsidRPr="3C2C6793">
        <w:rPr>
          <w:rFonts w:ascii="Arial" w:hAnsi="Arial" w:cs="Arial"/>
        </w:rPr>
        <w:t>Voluntary Assisted Dying Act</w:t>
      </w:r>
      <w:r w:rsidR="34B0FC7F" w:rsidRPr="3C2C6793">
        <w:rPr>
          <w:rFonts w:ascii="Arial" w:hAnsi="Arial" w:cs="Arial"/>
        </w:rPr>
        <w:t xml:space="preserve">. The amendment of this clause </w:t>
      </w:r>
      <w:r w:rsidR="4AB006B8" w:rsidRPr="3C2C6793">
        <w:rPr>
          <w:rFonts w:ascii="Arial" w:hAnsi="Arial" w:cs="Arial"/>
        </w:rPr>
        <w:t>clarifies</w:t>
      </w:r>
      <w:r w:rsidR="34B0FC7F" w:rsidRPr="3C2C6793">
        <w:rPr>
          <w:rFonts w:ascii="Arial" w:hAnsi="Arial" w:cs="Arial"/>
        </w:rPr>
        <w:t xml:space="preserve"> that a final assessment report is required to be prepared by the coordinating practitioner after the practitioner makes their decision on the final assessment (irrespective of the outcome of the practitioner’s decision).</w:t>
      </w:r>
    </w:p>
    <w:p w14:paraId="41000042" w14:textId="6FB53CE5" w:rsidR="00DA16E7" w:rsidRDefault="00DA16E7" w:rsidP="00DA16E7">
      <w:pPr>
        <w:rPr>
          <w:rFonts w:ascii="Arial" w:hAnsi="Arial" w:cs="Arial"/>
          <w:b/>
          <w:bCs/>
        </w:rPr>
      </w:pPr>
      <w:r w:rsidRPr="00786D6F">
        <w:rPr>
          <w:rFonts w:ascii="Arial" w:hAnsi="Arial" w:cs="Arial"/>
          <w:b/>
          <w:bCs/>
        </w:rPr>
        <w:t xml:space="preserve">Clause </w:t>
      </w:r>
      <w:r w:rsidR="00B656DA">
        <w:rPr>
          <w:rFonts w:ascii="Arial" w:hAnsi="Arial" w:cs="Arial"/>
          <w:b/>
          <w:bCs/>
        </w:rPr>
        <w:t>38</w:t>
      </w:r>
      <w:r w:rsidRPr="00786D6F">
        <w:rPr>
          <w:rFonts w:ascii="Arial" w:hAnsi="Arial" w:cs="Arial"/>
          <w:b/>
          <w:bCs/>
        </w:rPr>
        <w:t xml:space="preserve"> </w:t>
      </w:r>
      <w:r w:rsidR="00993D72">
        <w:rPr>
          <w:rFonts w:ascii="Arial" w:hAnsi="Arial" w:cs="Arial"/>
          <w:b/>
          <w:bCs/>
        </w:rPr>
        <w:tab/>
      </w:r>
      <w:r w:rsidRPr="00786D6F">
        <w:rPr>
          <w:rFonts w:ascii="Arial" w:hAnsi="Arial" w:cs="Arial"/>
          <w:b/>
          <w:bCs/>
        </w:rPr>
        <w:t>Section 36 (4) (</w:t>
      </w:r>
      <w:r w:rsidR="003E4BF9">
        <w:rPr>
          <w:rFonts w:ascii="Arial" w:hAnsi="Arial" w:cs="Arial"/>
          <w:b/>
          <w:bCs/>
        </w:rPr>
        <w:t>a</w:t>
      </w:r>
      <w:r w:rsidRPr="00786D6F">
        <w:rPr>
          <w:rFonts w:ascii="Arial" w:hAnsi="Arial" w:cs="Arial"/>
          <w:b/>
          <w:bCs/>
        </w:rPr>
        <w:t>)</w:t>
      </w:r>
    </w:p>
    <w:p w14:paraId="543BB357" w14:textId="16EE0A4A" w:rsidR="00993D72" w:rsidRPr="00786D6F" w:rsidRDefault="00993D72" w:rsidP="00DA16E7">
      <w:pPr>
        <w:rPr>
          <w:rFonts w:ascii="Arial" w:hAnsi="Arial" w:cs="Arial"/>
          <w:b/>
          <w:bCs/>
        </w:rPr>
      </w:pPr>
      <w:r w:rsidRPr="003E4BF9">
        <w:rPr>
          <w:rFonts w:ascii="Arial" w:hAnsi="Arial" w:cs="Arial"/>
        </w:rPr>
        <w:t xml:space="preserve">This clause </w:t>
      </w:r>
      <w:r w:rsidR="003E4BF9">
        <w:rPr>
          <w:rFonts w:ascii="Arial" w:hAnsi="Arial" w:cs="Arial"/>
        </w:rPr>
        <w:t>amends section 36 (4) (a)</w:t>
      </w:r>
      <w:r w:rsidR="00551F6C">
        <w:rPr>
          <w:rFonts w:ascii="Arial" w:hAnsi="Arial" w:cs="Arial"/>
        </w:rPr>
        <w:t xml:space="preserve"> by substituting the word ‘that’ and replacing it </w:t>
      </w:r>
      <w:r w:rsidR="00961CA4">
        <w:rPr>
          <w:rFonts w:ascii="Arial" w:hAnsi="Arial" w:cs="Arial"/>
        </w:rPr>
        <w:t xml:space="preserve">with </w:t>
      </w:r>
      <w:r w:rsidR="00551F6C">
        <w:rPr>
          <w:rFonts w:ascii="Arial" w:hAnsi="Arial" w:cs="Arial"/>
        </w:rPr>
        <w:t xml:space="preserve">‘whether’ to </w:t>
      </w:r>
      <w:r w:rsidR="00961CA4">
        <w:rPr>
          <w:rFonts w:ascii="Arial" w:hAnsi="Arial" w:cs="Arial"/>
        </w:rPr>
        <w:t>align</w:t>
      </w:r>
      <w:r w:rsidR="00551F6C">
        <w:rPr>
          <w:rFonts w:ascii="Arial" w:hAnsi="Arial" w:cs="Arial"/>
        </w:rPr>
        <w:t xml:space="preserve"> this requirement and ensure consistency with the amendment made in clause </w:t>
      </w:r>
      <w:r w:rsidR="00280249">
        <w:rPr>
          <w:rFonts w:ascii="Arial" w:hAnsi="Arial" w:cs="Arial"/>
        </w:rPr>
        <w:t>37</w:t>
      </w:r>
      <w:r w:rsidR="00551F6C">
        <w:rPr>
          <w:rFonts w:ascii="Arial" w:hAnsi="Arial" w:cs="Arial"/>
        </w:rPr>
        <w:t>.</w:t>
      </w:r>
      <w:r w:rsidR="00961CA4">
        <w:rPr>
          <w:rFonts w:ascii="Arial" w:hAnsi="Arial" w:cs="Arial"/>
        </w:rPr>
        <w:t xml:space="preserve"> </w:t>
      </w:r>
    </w:p>
    <w:p w14:paraId="3816AD7B" w14:textId="450D7E57" w:rsidR="00DA16E7" w:rsidRPr="00786D6F" w:rsidRDefault="00DA16E7" w:rsidP="00DA16E7">
      <w:pPr>
        <w:rPr>
          <w:rFonts w:ascii="Arial" w:hAnsi="Arial" w:cs="Arial"/>
          <w:b/>
          <w:bCs/>
        </w:rPr>
      </w:pPr>
      <w:r w:rsidRPr="00786D6F">
        <w:rPr>
          <w:rFonts w:ascii="Arial" w:hAnsi="Arial" w:cs="Arial"/>
          <w:b/>
          <w:bCs/>
        </w:rPr>
        <w:t xml:space="preserve">Clause </w:t>
      </w:r>
      <w:r w:rsidR="00B656DA">
        <w:rPr>
          <w:rFonts w:ascii="Arial" w:hAnsi="Arial" w:cs="Arial"/>
          <w:b/>
          <w:bCs/>
        </w:rPr>
        <w:t>39</w:t>
      </w:r>
      <w:r w:rsidRPr="00786D6F">
        <w:rPr>
          <w:rFonts w:ascii="Arial" w:hAnsi="Arial" w:cs="Arial"/>
          <w:b/>
          <w:bCs/>
        </w:rPr>
        <w:t xml:space="preserve"> </w:t>
      </w:r>
      <w:r w:rsidR="00993D72">
        <w:rPr>
          <w:rFonts w:ascii="Arial" w:hAnsi="Arial" w:cs="Arial"/>
          <w:b/>
          <w:bCs/>
        </w:rPr>
        <w:tab/>
      </w:r>
      <w:r w:rsidRPr="00786D6F">
        <w:rPr>
          <w:rFonts w:ascii="Arial" w:hAnsi="Arial" w:cs="Arial"/>
          <w:b/>
          <w:bCs/>
        </w:rPr>
        <w:t>Transfer request made by individual</w:t>
      </w:r>
      <w:r w:rsidR="00A601CB">
        <w:rPr>
          <w:rFonts w:ascii="Arial" w:hAnsi="Arial" w:cs="Arial"/>
          <w:b/>
          <w:bCs/>
        </w:rPr>
        <w:br/>
      </w:r>
      <w:r w:rsidR="00A601CB">
        <w:rPr>
          <w:rFonts w:ascii="Arial" w:hAnsi="Arial" w:cs="Arial"/>
          <w:b/>
          <w:bCs/>
        </w:rPr>
        <w:tab/>
      </w:r>
      <w:r w:rsidR="00A601CB">
        <w:rPr>
          <w:rFonts w:ascii="Arial" w:hAnsi="Arial" w:cs="Arial"/>
          <w:b/>
          <w:bCs/>
        </w:rPr>
        <w:tab/>
        <w:t>New section 38 (5) (aa)</w:t>
      </w:r>
    </w:p>
    <w:p w14:paraId="590A28CA" w14:textId="17232D90"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 xml:space="preserve">clause </w:t>
      </w:r>
      <w:r w:rsidR="00A601CB">
        <w:rPr>
          <w:rFonts w:ascii="Arial" w:hAnsi="Arial" w:cs="Arial"/>
        </w:rPr>
        <w:t>inserts a new</w:t>
      </w:r>
      <w:r w:rsidR="00DA16E7" w:rsidRPr="00DA16E7">
        <w:rPr>
          <w:rFonts w:ascii="Arial" w:hAnsi="Arial" w:cs="Arial"/>
        </w:rPr>
        <w:t xml:space="preserve"> </w:t>
      </w:r>
      <w:r w:rsidR="00A601CB">
        <w:rPr>
          <w:rFonts w:ascii="Arial" w:hAnsi="Arial" w:cs="Arial"/>
        </w:rPr>
        <w:t xml:space="preserve">provision </w:t>
      </w:r>
      <w:r w:rsidR="00DA16E7" w:rsidRPr="00DA16E7">
        <w:rPr>
          <w:rFonts w:ascii="Arial" w:hAnsi="Arial" w:cs="Arial"/>
        </w:rPr>
        <w:t>section 38 (5) (aa)</w:t>
      </w:r>
      <w:r w:rsidR="00A601CB">
        <w:rPr>
          <w:rFonts w:ascii="Arial" w:hAnsi="Arial" w:cs="Arial"/>
        </w:rPr>
        <w:t xml:space="preserve"> as a minor update to clarify </w:t>
      </w:r>
      <w:r w:rsidR="00A67008">
        <w:rPr>
          <w:rFonts w:ascii="Arial" w:hAnsi="Arial" w:cs="Arial"/>
        </w:rPr>
        <w:t xml:space="preserve">and ensure consistency with </w:t>
      </w:r>
      <w:r w:rsidR="000D0AA5">
        <w:rPr>
          <w:rFonts w:ascii="Arial" w:hAnsi="Arial" w:cs="Arial"/>
        </w:rPr>
        <w:t xml:space="preserve">other </w:t>
      </w:r>
      <w:r w:rsidR="00A601CB">
        <w:rPr>
          <w:rFonts w:ascii="Arial" w:hAnsi="Arial" w:cs="Arial"/>
        </w:rPr>
        <w:t>reporting obligations</w:t>
      </w:r>
      <w:r w:rsidR="00551F6C">
        <w:rPr>
          <w:rFonts w:ascii="Arial" w:hAnsi="Arial" w:cs="Arial"/>
        </w:rPr>
        <w:t xml:space="preserve"> in </w:t>
      </w:r>
      <w:r w:rsidR="00551F6C" w:rsidRPr="0045789B">
        <w:rPr>
          <w:rFonts w:ascii="Arial" w:hAnsi="Arial" w:cs="Arial"/>
        </w:rPr>
        <w:t xml:space="preserve">the </w:t>
      </w:r>
      <w:r w:rsidR="00551F6C" w:rsidRPr="0045789B">
        <w:rPr>
          <w:rFonts w:ascii="Arial" w:hAnsi="Arial" w:cs="Arial"/>
          <w:iCs/>
        </w:rPr>
        <w:t>Voluntary Assisted Dying Act</w:t>
      </w:r>
      <w:r w:rsidR="00551F6C">
        <w:rPr>
          <w:rFonts w:ascii="Arial" w:hAnsi="Arial" w:cs="Arial"/>
          <w:iCs/>
        </w:rPr>
        <w:t>.</w:t>
      </w:r>
    </w:p>
    <w:p w14:paraId="690569CD" w14:textId="56A26AA4" w:rsidR="00B656DA" w:rsidRPr="00786D6F" w:rsidRDefault="00B656DA" w:rsidP="00B656DA">
      <w:pPr>
        <w:rPr>
          <w:rFonts w:ascii="Arial" w:hAnsi="Arial" w:cs="Arial"/>
          <w:b/>
          <w:bCs/>
        </w:rPr>
      </w:pPr>
      <w:r w:rsidRPr="00786D6F">
        <w:rPr>
          <w:rFonts w:ascii="Arial" w:hAnsi="Arial" w:cs="Arial"/>
          <w:b/>
          <w:bCs/>
        </w:rPr>
        <w:t xml:space="preserve">Clause </w:t>
      </w:r>
      <w:r>
        <w:rPr>
          <w:rFonts w:ascii="Arial" w:hAnsi="Arial" w:cs="Arial"/>
          <w:b/>
          <w:bCs/>
        </w:rPr>
        <w:t>40</w:t>
      </w:r>
      <w:r w:rsidRPr="00786D6F">
        <w:rPr>
          <w:rFonts w:ascii="Arial" w:hAnsi="Arial" w:cs="Arial"/>
          <w:b/>
          <w:bCs/>
        </w:rPr>
        <w:t xml:space="preserve"> </w:t>
      </w:r>
      <w:r>
        <w:rPr>
          <w:rFonts w:ascii="Arial" w:hAnsi="Arial" w:cs="Arial"/>
          <w:b/>
          <w:bCs/>
        </w:rPr>
        <w:tab/>
      </w:r>
      <w:r w:rsidRPr="00B656DA">
        <w:rPr>
          <w:rFonts w:ascii="Arial" w:hAnsi="Arial" w:cs="Arial"/>
          <w:b/>
          <w:bCs/>
        </w:rPr>
        <w:t>Application—div 4.1</w:t>
      </w:r>
      <w:r>
        <w:rPr>
          <w:rFonts w:ascii="Arial" w:hAnsi="Arial" w:cs="Arial"/>
          <w:b/>
          <w:bCs/>
        </w:rPr>
        <w:br/>
      </w:r>
      <w:r>
        <w:rPr>
          <w:rFonts w:ascii="Arial" w:hAnsi="Arial" w:cs="Arial"/>
          <w:b/>
          <w:bCs/>
        </w:rPr>
        <w:tab/>
      </w:r>
      <w:r>
        <w:rPr>
          <w:rFonts w:ascii="Arial" w:hAnsi="Arial" w:cs="Arial"/>
          <w:b/>
          <w:bCs/>
        </w:rPr>
        <w:tab/>
        <w:t>Section 41</w:t>
      </w:r>
    </w:p>
    <w:p w14:paraId="69A01312" w14:textId="40132835" w:rsidR="00B656DA" w:rsidRPr="00DA16E7" w:rsidRDefault="00280249" w:rsidP="00B656DA">
      <w:pPr>
        <w:rPr>
          <w:rFonts w:ascii="Arial" w:hAnsi="Arial" w:cs="Arial"/>
        </w:rPr>
      </w:pPr>
      <w:r>
        <w:rPr>
          <w:rFonts w:ascii="Arial" w:hAnsi="Arial" w:cs="Arial"/>
          <w:iCs/>
        </w:rPr>
        <w:t xml:space="preserve">This clause is a consequential amendment based on the changes made to section 36. </w:t>
      </w:r>
      <w:r w:rsidR="00B656DA" w:rsidRPr="009510D6">
        <w:rPr>
          <w:rFonts w:ascii="Arial" w:hAnsi="Arial" w:cs="Arial"/>
        </w:rPr>
        <w:t xml:space="preserve">This </w:t>
      </w:r>
      <w:r w:rsidR="00B656DA" w:rsidRPr="00993D72">
        <w:rPr>
          <w:rFonts w:ascii="Arial" w:hAnsi="Arial" w:cs="Arial"/>
        </w:rPr>
        <w:t xml:space="preserve">clause </w:t>
      </w:r>
      <w:r w:rsidR="00B656DA">
        <w:rPr>
          <w:rFonts w:ascii="Arial" w:hAnsi="Arial" w:cs="Arial"/>
        </w:rPr>
        <w:t xml:space="preserve">substitutes section 41 to insert new wording, to </w:t>
      </w:r>
      <w:r w:rsidR="00A570BA">
        <w:rPr>
          <w:rFonts w:ascii="Arial" w:hAnsi="Arial" w:cs="Arial"/>
        </w:rPr>
        <w:t>ensure</w:t>
      </w:r>
      <w:r w:rsidR="00B656DA">
        <w:rPr>
          <w:rFonts w:ascii="Arial" w:hAnsi="Arial" w:cs="Arial"/>
        </w:rPr>
        <w:t xml:space="preserve"> that the </w:t>
      </w:r>
      <w:r w:rsidR="008648B9">
        <w:rPr>
          <w:rFonts w:ascii="Arial" w:hAnsi="Arial" w:cs="Arial"/>
        </w:rPr>
        <w:t xml:space="preserve">intended </w:t>
      </w:r>
      <w:r w:rsidR="00B656DA">
        <w:rPr>
          <w:rFonts w:ascii="Arial" w:hAnsi="Arial" w:cs="Arial"/>
        </w:rPr>
        <w:t xml:space="preserve">application of </w:t>
      </w:r>
      <w:r w:rsidR="008648B9">
        <w:rPr>
          <w:rFonts w:ascii="Arial" w:hAnsi="Arial" w:cs="Arial"/>
        </w:rPr>
        <w:t xml:space="preserve">section 41 </w:t>
      </w:r>
      <w:r w:rsidR="00B656DA">
        <w:rPr>
          <w:rFonts w:ascii="Arial" w:hAnsi="Arial" w:cs="Arial"/>
        </w:rPr>
        <w:t xml:space="preserve">remains the same despite the changes made </w:t>
      </w:r>
      <w:r w:rsidR="007F6306">
        <w:rPr>
          <w:rFonts w:ascii="Arial" w:hAnsi="Arial" w:cs="Arial"/>
        </w:rPr>
        <w:t>at</w:t>
      </w:r>
      <w:r w:rsidR="00B656DA">
        <w:rPr>
          <w:rFonts w:ascii="Arial" w:hAnsi="Arial" w:cs="Arial"/>
        </w:rPr>
        <w:t xml:space="preserve"> clauses 37 and 38</w:t>
      </w:r>
      <w:r w:rsidR="007F6AEB">
        <w:rPr>
          <w:rFonts w:ascii="Arial" w:hAnsi="Arial" w:cs="Arial"/>
        </w:rPr>
        <w:t xml:space="preserve"> of this </w:t>
      </w:r>
      <w:r>
        <w:rPr>
          <w:rFonts w:ascii="Arial" w:hAnsi="Arial" w:cs="Arial"/>
        </w:rPr>
        <w:t>Bill</w:t>
      </w:r>
      <w:r w:rsidR="00B656DA">
        <w:rPr>
          <w:rFonts w:ascii="Arial" w:hAnsi="Arial" w:cs="Arial"/>
          <w:iCs/>
        </w:rPr>
        <w:t>.</w:t>
      </w:r>
      <w:r w:rsidR="00A570BA">
        <w:rPr>
          <w:rFonts w:ascii="Arial" w:hAnsi="Arial" w:cs="Arial"/>
          <w:iCs/>
        </w:rPr>
        <w:t xml:space="preserve"> </w:t>
      </w:r>
    </w:p>
    <w:p w14:paraId="2330EC7B" w14:textId="56DE8038" w:rsidR="00DA16E7" w:rsidRPr="00786D6F" w:rsidRDefault="00DA16E7" w:rsidP="00B656DA">
      <w:pPr>
        <w:ind w:left="1440" w:hanging="1440"/>
        <w:rPr>
          <w:rFonts w:ascii="Arial" w:hAnsi="Arial" w:cs="Arial"/>
          <w:b/>
          <w:bCs/>
        </w:rPr>
      </w:pPr>
      <w:r w:rsidRPr="00786D6F">
        <w:rPr>
          <w:rFonts w:ascii="Arial" w:hAnsi="Arial" w:cs="Arial"/>
          <w:b/>
          <w:bCs/>
        </w:rPr>
        <w:lastRenderedPageBreak/>
        <w:t>Clause 4</w:t>
      </w:r>
      <w:r w:rsidR="007F6AEB">
        <w:rPr>
          <w:rFonts w:ascii="Arial" w:hAnsi="Arial" w:cs="Arial"/>
          <w:b/>
          <w:bCs/>
        </w:rPr>
        <w:t>1</w:t>
      </w:r>
      <w:r w:rsidRPr="00786D6F">
        <w:rPr>
          <w:rFonts w:ascii="Arial" w:hAnsi="Arial" w:cs="Arial"/>
          <w:b/>
          <w:bCs/>
        </w:rPr>
        <w:t xml:space="preserve"> </w:t>
      </w:r>
      <w:r w:rsidR="00993D72">
        <w:rPr>
          <w:rFonts w:ascii="Arial" w:hAnsi="Arial" w:cs="Arial"/>
          <w:b/>
          <w:bCs/>
        </w:rPr>
        <w:tab/>
      </w:r>
      <w:r w:rsidRPr="00786D6F">
        <w:rPr>
          <w:rFonts w:ascii="Arial" w:hAnsi="Arial" w:cs="Arial"/>
          <w:b/>
          <w:bCs/>
        </w:rPr>
        <w:t>Transfer of administering practitioner functions—transfer request made by individual</w:t>
      </w:r>
      <w:r w:rsidR="00A601CB">
        <w:rPr>
          <w:rFonts w:ascii="Arial" w:hAnsi="Arial" w:cs="Arial"/>
          <w:b/>
          <w:bCs/>
        </w:rPr>
        <w:br/>
        <w:t>New section 47 (5) (ba)</w:t>
      </w:r>
    </w:p>
    <w:p w14:paraId="26ECF70A" w14:textId="76BCDDB4"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 xml:space="preserve">clause </w:t>
      </w:r>
      <w:r w:rsidR="00A601CB">
        <w:rPr>
          <w:rFonts w:ascii="Arial" w:hAnsi="Arial" w:cs="Arial"/>
        </w:rPr>
        <w:t>inserts a new</w:t>
      </w:r>
      <w:r w:rsidR="00A601CB" w:rsidRPr="00DA16E7">
        <w:rPr>
          <w:rFonts w:ascii="Arial" w:hAnsi="Arial" w:cs="Arial"/>
        </w:rPr>
        <w:t xml:space="preserve"> </w:t>
      </w:r>
      <w:r w:rsidR="00A601CB">
        <w:rPr>
          <w:rFonts w:ascii="Arial" w:hAnsi="Arial" w:cs="Arial"/>
        </w:rPr>
        <w:t xml:space="preserve">provision </w:t>
      </w:r>
      <w:r w:rsidR="00A601CB" w:rsidRPr="00DA16E7">
        <w:rPr>
          <w:rFonts w:ascii="Arial" w:hAnsi="Arial" w:cs="Arial"/>
        </w:rPr>
        <w:t xml:space="preserve">section </w:t>
      </w:r>
      <w:r w:rsidR="00A601CB">
        <w:rPr>
          <w:rFonts w:ascii="Arial" w:hAnsi="Arial" w:cs="Arial"/>
        </w:rPr>
        <w:t>47</w:t>
      </w:r>
      <w:r w:rsidR="00A601CB" w:rsidRPr="00DA16E7">
        <w:rPr>
          <w:rFonts w:ascii="Arial" w:hAnsi="Arial" w:cs="Arial"/>
        </w:rPr>
        <w:t xml:space="preserve"> (5) (</w:t>
      </w:r>
      <w:r w:rsidR="00A601CB">
        <w:rPr>
          <w:rFonts w:ascii="Arial" w:hAnsi="Arial" w:cs="Arial"/>
        </w:rPr>
        <w:t>ba</w:t>
      </w:r>
      <w:r w:rsidR="00A601CB" w:rsidRPr="00DA16E7">
        <w:rPr>
          <w:rFonts w:ascii="Arial" w:hAnsi="Arial" w:cs="Arial"/>
        </w:rPr>
        <w:t>)</w:t>
      </w:r>
      <w:r w:rsidR="00A601CB">
        <w:rPr>
          <w:rFonts w:ascii="Arial" w:hAnsi="Arial" w:cs="Arial"/>
        </w:rPr>
        <w:t xml:space="preserve"> as a minor update to </w:t>
      </w:r>
      <w:r w:rsidR="00A67008">
        <w:rPr>
          <w:rFonts w:ascii="Arial" w:hAnsi="Arial" w:cs="Arial"/>
        </w:rPr>
        <w:t xml:space="preserve">clarify and ensure consistency with </w:t>
      </w:r>
      <w:r w:rsidR="000D0AA5">
        <w:rPr>
          <w:rFonts w:ascii="Arial" w:hAnsi="Arial" w:cs="Arial"/>
        </w:rPr>
        <w:t xml:space="preserve">other </w:t>
      </w:r>
      <w:r w:rsidR="00A67008">
        <w:rPr>
          <w:rFonts w:ascii="Arial" w:hAnsi="Arial" w:cs="Arial"/>
        </w:rPr>
        <w:t xml:space="preserve">reporting obligations in </w:t>
      </w:r>
      <w:r w:rsidR="00A67008" w:rsidRPr="0045789B">
        <w:rPr>
          <w:rFonts w:ascii="Arial" w:hAnsi="Arial" w:cs="Arial"/>
        </w:rPr>
        <w:t xml:space="preserve">the </w:t>
      </w:r>
      <w:r w:rsidR="00A67008" w:rsidRPr="0045789B">
        <w:rPr>
          <w:rFonts w:ascii="Arial" w:hAnsi="Arial" w:cs="Arial"/>
          <w:iCs/>
        </w:rPr>
        <w:t>Voluntary Assisted Dying Act</w:t>
      </w:r>
      <w:r w:rsidR="00A67008">
        <w:rPr>
          <w:rFonts w:ascii="Arial" w:hAnsi="Arial" w:cs="Arial"/>
          <w:iCs/>
        </w:rPr>
        <w:t>.</w:t>
      </w:r>
    </w:p>
    <w:p w14:paraId="6D439C42" w14:textId="30E9B74A" w:rsidR="00A601CB" w:rsidRPr="00786D6F" w:rsidRDefault="00DA16E7" w:rsidP="00A601CB">
      <w:pPr>
        <w:ind w:left="1440" w:hanging="1440"/>
        <w:rPr>
          <w:rFonts w:ascii="Arial" w:hAnsi="Arial" w:cs="Arial"/>
          <w:b/>
          <w:bCs/>
        </w:rPr>
      </w:pPr>
      <w:r w:rsidRPr="00786D6F">
        <w:rPr>
          <w:rFonts w:ascii="Arial" w:hAnsi="Arial" w:cs="Arial"/>
          <w:b/>
          <w:bCs/>
        </w:rPr>
        <w:t xml:space="preserve">Clause </w:t>
      </w:r>
      <w:r w:rsidR="007F6AEB">
        <w:rPr>
          <w:rFonts w:ascii="Arial" w:hAnsi="Arial" w:cs="Arial"/>
          <w:b/>
          <w:bCs/>
        </w:rPr>
        <w:t>42</w:t>
      </w:r>
      <w:r w:rsidRPr="00786D6F">
        <w:rPr>
          <w:rFonts w:ascii="Arial" w:hAnsi="Arial" w:cs="Arial"/>
          <w:b/>
          <w:bCs/>
        </w:rPr>
        <w:t xml:space="preserve"> </w:t>
      </w:r>
      <w:r w:rsidR="00993D72">
        <w:rPr>
          <w:rFonts w:ascii="Arial" w:hAnsi="Arial" w:cs="Arial"/>
          <w:b/>
          <w:bCs/>
        </w:rPr>
        <w:tab/>
      </w:r>
      <w:r w:rsidRPr="00786D6F">
        <w:rPr>
          <w:rFonts w:ascii="Arial" w:hAnsi="Arial" w:cs="Arial"/>
          <w:b/>
          <w:bCs/>
        </w:rPr>
        <w:t>Giving, receiving and possessing approved substances—change in contact person</w:t>
      </w:r>
      <w:r w:rsidR="00A601CB">
        <w:rPr>
          <w:rFonts w:ascii="Arial" w:hAnsi="Arial" w:cs="Arial"/>
          <w:b/>
          <w:bCs/>
        </w:rPr>
        <w:br/>
        <w:t>Section 67 (5) (a) and (b) (ii)</w:t>
      </w:r>
    </w:p>
    <w:p w14:paraId="75209DCB" w14:textId="7E017577" w:rsidR="00DA16E7" w:rsidRPr="0045789B" w:rsidRDefault="28F3A24E" w:rsidP="00DA16E7">
      <w:pPr>
        <w:rPr>
          <w:rFonts w:ascii="Arial" w:hAnsi="Arial" w:cs="Arial"/>
        </w:rPr>
      </w:pPr>
      <w:r w:rsidRPr="3C2C6793">
        <w:rPr>
          <w:rFonts w:ascii="Arial" w:hAnsi="Arial" w:cs="Arial"/>
        </w:rPr>
        <w:t xml:space="preserve">This clause </w:t>
      </w:r>
      <w:r w:rsidR="7F7ED87D" w:rsidRPr="3C2C6793">
        <w:rPr>
          <w:rFonts w:ascii="Arial" w:hAnsi="Arial" w:cs="Arial"/>
        </w:rPr>
        <w:t xml:space="preserve">amends </w:t>
      </w:r>
      <w:r w:rsidRPr="3C2C6793">
        <w:rPr>
          <w:rFonts w:ascii="Arial" w:hAnsi="Arial" w:cs="Arial"/>
        </w:rPr>
        <w:t xml:space="preserve">section </w:t>
      </w:r>
      <w:r w:rsidR="2BFCEB47" w:rsidRPr="3C2C6793">
        <w:rPr>
          <w:rFonts w:ascii="Arial" w:hAnsi="Arial" w:cs="Arial"/>
        </w:rPr>
        <w:t>67 (5) (a) and (b) (ii)</w:t>
      </w:r>
      <w:r w:rsidR="7F7ED87D" w:rsidRPr="3C2C6793">
        <w:rPr>
          <w:rFonts w:ascii="Arial" w:hAnsi="Arial" w:cs="Arial"/>
        </w:rPr>
        <w:t xml:space="preserve"> by inserting the words ‘the individual or’ after the words ‘given the substance to’ to correct a technical error </w:t>
      </w:r>
      <w:r w:rsidR="7EE67235" w:rsidRPr="3C2C6793">
        <w:rPr>
          <w:rFonts w:ascii="Arial" w:hAnsi="Arial" w:cs="Arial"/>
        </w:rPr>
        <w:t xml:space="preserve">and ensure the </w:t>
      </w:r>
      <w:r w:rsidR="103828EE" w:rsidRPr="3C2C6793">
        <w:rPr>
          <w:rFonts w:ascii="Arial" w:hAnsi="Arial" w:cs="Arial"/>
        </w:rPr>
        <w:t>notification</w:t>
      </w:r>
      <w:r w:rsidR="7F7ED87D" w:rsidRPr="3C2C6793">
        <w:rPr>
          <w:rFonts w:ascii="Arial" w:hAnsi="Arial" w:cs="Arial"/>
        </w:rPr>
        <w:t xml:space="preserve"> obligations under </w:t>
      </w:r>
      <w:r w:rsidR="05B924B4" w:rsidRPr="3C2C6793">
        <w:rPr>
          <w:rFonts w:ascii="Arial" w:hAnsi="Arial" w:cs="Arial"/>
        </w:rPr>
        <w:t>the Voluntary Assisted Dying Act</w:t>
      </w:r>
      <w:r w:rsidR="78C8B1DB" w:rsidRPr="3C2C6793">
        <w:rPr>
          <w:rFonts w:ascii="Arial" w:hAnsi="Arial" w:cs="Arial"/>
        </w:rPr>
        <w:t xml:space="preserve"> are clear and unambiguous</w:t>
      </w:r>
      <w:r w:rsidR="7F7ED87D" w:rsidRPr="3C2C6793">
        <w:rPr>
          <w:rFonts w:ascii="Arial" w:hAnsi="Arial" w:cs="Arial"/>
        </w:rPr>
        <w:t>.</w:t>
      </w:r>
    </w:p>
    <w:p w14:paraId="7F525B8B" w14:textId="11296EA6" w:rsidR="00DA16E7" w:rsidRPr="00786D6F"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43</w:t>
      </w:r>
      <w:r w:rsidRPr="00786D6F">
        <w:rPr>
          <w:rFonts w:ascii="Arial" w:hAnsi="Arial" w:cs="Arial"/>
          <w:b/>
          <w:bCs/>
        </w:rPr>
        <w:t xml:space="preserve"> </w:t>
      </w:r>
      <w:r w:rsidR="00993D72">
        <w:rPr>
          <w:rFonts w:ascii="Arial" w:hAnsi="Arial" w:cs="Arial"/>
          <w:b/>
          <w:bCs/>
        </w:rPr>
        <w:tab/>
      </w:r>
      <w:r w:rsidRPr="00786D6F">
        <w:rPr>
          <w:rFonts w:ascii="Arial" w:hAnsi="Arial" w:cs="Arial"/>
          <w:b/>
          <w:bCs/>
        </w:rPr>
        <w:t>Contact person to tell coordinating practitioner about death</w:t>
      </w:r>
      <w:r w:rsidR="00B9387D">
        <w:rPr>
          <w:rFonts w:ascii="Arial" w:hAnsi="Arial" w:cs="Arial"/>
          <w:b/>
          <w:bCs/>
        </w:rPr>
        <w:br/>
      </w:r>
      <w:r w:rsidR="00B9387D">
        <w:rPr>
          <w:rFonts w:ascii="Arial" w:hAnsi="Arial" w:cs="Arial"/>
          <w:b/>
          <w:bCs/>
        </w:rPr>
        <w:tab/>
      </w:r>
      <w:r w:rsidR="00B9387D">
        <w:rPr>
          <w:rFonts w:ascii="Arial" w:hAnsi="Arial" w:cs="Arial"/>
          <w:b/>
          <w:bCs/>
        </w:rPr>
        <w:tab/>
        <w:t>Section 78 (2)</w:t>
      </w:r>
    </w:p>
    <w:p w14:paraId="158EEBCB" w14:textId="4D9BCBC9"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 xml:space="preserve">clause </w:t>
      </w:r>
      <w:r w:rsidR="00B9387D">
        <w:rPr>
          <w:rFonts w:ascii="Arial" w:hAnsi="Arial" w:cs="Arial"/>
        </w:rPr>
        <w:t xml:space="preserve">amends </w:t>
      </w:r>
      <w:r w:rsidRPr="00993D72">
        <w:rPr>
          <w:rFonts w:ascii="Arial" w:hAnsi="Arial" w:cs="Arial"/>
        </w:rPr>
        <w:t>s</w:t>
      </w:r>
      <w:r w:rsidRPr="009510D6">
        <w:rPr>
          <w:rFonts w:ascii="Arial" w:hAnsi="Arial" w:cs="Arial"/>
        </w:rPr>
        <w:t xml:space="preserve">ection </w:t>
      </w:r>
      <w:r w:rsidR="00DA16E7" w:rsidRPr="00DA16E7">
        <w:rPr>
          <w:rFonts w:ascii="Arial" w:hAnsi="Arial" w:cs="Arial"/>
        </w:rPr>
        <w:t>78 (2)</w:t>
      </w:r>
      <w:r w:rsidR="00B9387D">
        <w:rPr>
          <w:rFonts w:ascii="Arial" w:hAnsi="Arial" w:cs="Arial"/>
        </w:rPr>
        <w:t xml:space="preserve"> by substituting the words ‘2 business days’ and replacing it with ‘4 business days’ to </w:t>
      </w:r>
      <w:r w:rsidR="00A67008">
        <w:rPr>
          <w:rFonts w:ascii="Arial" w:hAnsi="Arial" w:cs="Arial"/>
        </w:rPr>
        <w:t>align</w:t>
      </w:r>
      <w:r w:rsidR="00B9387D" w:rsidRPr="00B9387D">
        <w:rPr>
          <w:rFonts w:ascii="Arial" w:hAnsi="Arial" w:cs="Arial"/>
        </w:rPr>
        <w:t xml:space="preserve"> </w:t>
      </w:r>
      <w:r w:rsidR="00A67008">
        <w:rPr>
          <w:rFonts w:ascii="Arial" w:hAnsi="Arial" w:cs="Arial"/>
        </w:rPr>
        <w:t>with</w:t>
      </w:r>
      <w:r w:rsidR="00B9387D" w:rsidRPr="00B9387D">
        <w:rPr>
          <w:rFonts w:ascii="Arial" w:hAnsi="Arial" w:cs="Arial"/>
        </w:rPr>
        <w:t xml:space="preserve"> most other</w:t>
      </w:r>
      <w:r w:rsidR="00961CA4">
        <w:rPr>
          <w:rFonts w:ascii="Arial" w:hAnsi="Arial" w:cs="Arial"/>
        </w:rPr>
        <w:t xml:space="preserve"> notification</w:t>
      </w:r>
      <w:r w:rsidR="00B9387D" w:rsidRPr="00B9387D">
        <w:rPr>
          <w:rFonts w:ascii="Arial" w:hAnsi="Arial" w:cs="Arial"/>
        </w:rPr>
        <w:t xml:space="preserve"> requirements throughout </w:t>
      </w:r>
      <w:r w:rsidR="00A67008" w:rsidRPr="0045789B">
        <w:rPr>
          <w:rFonts w:ascii="Arial" w:hAnsi="Arial" w:cs="Arial"/>
        </w:rPr>
        <w:t xml:space="preserve">the </w:t>
      </w:r>
      <w:r w:rsidR="00A67008" w:rsidRPr="0045789B">
        <w:rPr>
          <w:rFonts w:ascii="Arial" w:hAnsi="Arial" w:cs="Arial"/>
          <w:iCs/>
        </w:rPr>
        <w:t>Voluntary Assisted Dying Act</w:t>
      </w:r>
      <w:r w:rsidR="00A67008">
        <w:rPr>
          <w:rFonts w:ascii="Arial" w:hAnsi="Arial" w:cs="Arial"/>
          <w:iCs/>
        </w:rPr>
        <w:t>.</w:t>
      </w:r>
    </w:p>
    <w:p w14:paraId="26F88DCF" w14:textId="7D8684D5" w:rsidR="00DA16E7" w:rsidRPr="00786D6F"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44</w:t>
      </w:r>
      <w:r w:rsidRPr="00786D6F">
        <w:rPr>
          <w:rFonts w:ascii="Arial" w:hAnsi="Arial" w:cs="Arial"/>
          <w:b/>
          <w:bCs/>
        </w:rPr>
        <w:t xml:space="preserve"> </w:t>
      </w:r>
      <w:r w:rsidR="00993D72">
        <w:rPr>
          <w:rFonts w:ascii="Arial" w:hAnsi="Arial" w:cs="Arial"/>
          <w:b/>
          <w:bCs/>
        </w:rPr>
        <w:tab/>
      </w:r>
      <w:r w:rsidRPr="00786D6F">
        <w:rPr>
          <w:rFonts w:ascii="Arial" w:hAnsi="Arial" w:cs="Arial"/>
          <w:b/>
          <w:bCs/>
        </w:rPr>
        <w:t>Definitions—pt 7</w:t>
      </w:r>
      <w:r w:rsidR="001B2CAF">
        <w:rPr>
          <w:rFonts w:ascii="Arial" w:hAnsi="Arial" w:cs="Arial"/>
          <w:b/>
          <w:bCs/>
        </w:rPr>
        <w:br/>
      </w:r>
      <w:r w:rsidR="001B2CAF">
        <w:rPr>
          <w:rFonts w:ascii="Arial" w:hAnsi="Arial" w:cs="Arial"/>
          <w:b/>
          <w:bCs/>
        </w:rPr>
        <w:tab/>
      </w:r>
      <w:r w:rsidR="001B2CAF">
        <w:rPr>
          <w:rFonts w:ascii="Arial" w:hAnsi="Arial" w:cs="Arial"/>
          <w:b/>
          <w:bCs/>
        </w:rPr>
        <w:tab/>
      </w:r>
      <w:r w:rsidR="001B2CAF" w:rsidRPr="001B2CAF">
        <w:rPr>
          <w:rFonts w:ascii="Arial" w:hAnsi="Arial" w:cs="Arial"/>
          <w:b/>
          <w:bCs/>
        </w:rPr>
        <w:t xml:space="preserve">Section 101 (1), definition of </w:t>
      </w:r>
      <w:r w:rsidR="001B2CAF" w:rsidRPr="001B2CAF">
        <w:rPr>
          <w:rFonts w:ascii="Arial" w:hAnsi="Arial" w:cs="Arial"/>
          <w:b/>
          <w:bCs/>
          <w:i/>
          <w:iCs/>
        </w:rPr>
        <w:t>facility</w:t>
      </w:r>
      <w:r w:rsidR="001B2CAF" w:rsidRPr="001B2CAF">
        <w:rPr>
          <w:rFonts w:ascii="Arial" w:hAnsi="Arial" w:cs="Arial"/>
          <w:b/>
          <w:bCs/>
        </w:rPr>
        <w:t>, paragraph (d)</w:t>
      </w:r>
    </w:p>
    <w:p w14:paraId="2865077B" w14:textId="38F7403F" w:rsidR="00DA16E7" w:rsidRPr="001B2CAF" w:rsidRDefault="28F3A24E" w:rsidP="00DA16E7">
      <w:pPr>
        <w:rPr>
          <w:rFonts w:ascii="Arial" w:hAnsi="Arial" w:cs="Arial"/>
        </w:rPr>
      </w:pPr>
      <w:r w:rsidRPr="3C2C6793">
        <w:rPr>
          <w:rFonts w:ascii="Arial" w:hAnsi="Arial" w:cs="Arial"/>
        </w:rPr>
        <w:t xml:space="preserve">This clause </w:t>
      </w:r>
      <w:r w:rsidR="251EB164" w:rsidRPr="3C2C6793">
        <w:rPr>
          <w:rFonts w:ascii="Arial" w:hAnsi="Arial" w:cs="Arial"/>
        </w:rPr>
        <w:t xml:space="preserve">amends </w:t>
      </w:r>
      <w:r w:rsidRPr="3C2C6793">
        <w:rPr>
          <w:rFonts w:ascii="Arial" w:hAnsi="Arial" w:cs="Arial"/>
        </w:rPr>
        <w:t xml:space="preserve">section </w:t>
      </w:r>
      <w:r w:rsidR="2BFCEB47" w:rsidRPr="3C2C6793">
        <w:rPr>
          <w:rFonts w:ascii="Arial" w:hAnsi="Arial" w:cs="Arial"/>
        </w:rPr>
        <w:t>101 (1</w:t>
      </w:r>
      <w:r w:rsidR="251EB164" w:rsidRPr="3C2C6793">
        <w:rPr>
          <w:rFonts w:ascii="Arial" w:hAnsi="Arial" w:cs="Arial"/>
        </w:rPr>
        <w:t xml:space="preserve">) by substituting the words in paragraph (d) ‘a residential aged care facility’ under the definition of ‘facility’ and </w:t>
      </w:r>
      <w:r w:rsidR="008A1E87" w:rsidRPr="3C2C6793">
        <w:rPr>
          <w:rFonts w:ascii="Arial" w:hAnsi="Arial" w:cs="Arial"/>
        </w:rPr>
        <w:t xml:space="preserve">inserting a reference to the </w:t>
      </w:r>
      <w:r w:rsidR="103828EE" w:rsidRPr="3C2C6793">
        <w:rPr>
          <w:rFonts w:ascii="Arial" w:hAnsi="Arial" w:cs="Arial"/>
        </w:rPr>
        <w:t xml:space="preserve">new </w:t>
      </w:r>
      <w:r w:rsidR="251EB164" w:rsidRPr="3C2C6793">
        <w:rPr>
          <w:rFonts w:ascii="Arial" w:hAnsi="Arial" w:cs="Arial"/>
          <w:i/>
          <w:iCs/>
        </w:rPr>
        <w:t>Aged Care Act 2024</w:t>
      </w:r>
      <w:r w:rsidR="008A1E87" w:rsidRPr="3C2C6793">
        <w:rPr>
          <w:rFonts w:ascii="Arial" w:hAnsi="Arial" w:cs="Arial"/>
        </w:rPr>
        <w:t xml:space="preserve"> </w:t>
      </w:r>
      <w:r w:rsidR="4B0D2DD2" w:rsidRPr="3C2C6793">
        <w:rPr>
          <w:rFonts w:ascii="Arial" w:hAnsi="Arial" w:cs="Arial"/>
        </w:rPr>
        <w:t>(C</w:t>
      </w:r>
      <w:r w:rsidR="103828EE" w:rsidRPr="3C2C6793">
        <w:rPr>
          <w:rFonts w:ascii="Arial" w:hAnsi="Arial" w:cs="Arial"/>
        </w:rPr>
        <w:t>wl</w:t>
      </w:r>
      <w:r w:rsidR="4B0D2DD2" w:rsidRPr="3C2C6793">
        <w:rPr>
          <w:rFonts w:ascii="Arial" w:hAnsi="Arial" w:cs="Arial"/>
        </w:rPr>
        <w:t xml:space="preserve">th) </w:t>
      </w:r>
      <w:r w:rsidR="008A1E87" w:rsidRPr="3C2C6793">
        <w:rPr>
          <w:rFonts w:ascii="Arial" w:hAnsi="Arial" w:cs="Arial"/>
        </w:rPr>
        <w:t>to</w:t>
      </w:r>
      <w:r w:rsidR="7C023789" w:rsidRPr="3C2C6793">
        <w:rPr>
          <w:rFonts w:ascii="Arial" w:hAnsi="Arial" w:cs="Arial"/>
        </w:rPr>
        <w:t xml:space="preserve"> </w:t>
      </w:r>
      <w:r w:rsidR="37541D5A" w:rsidRPr="3C2C6793">
        <w:rPr>
          <w:rFonts w:ascii="Arial" w:hAnsi="Arial" w:cs="Arial"/>
        </w:rPr>
        <w:t xml:space="preserve">align </w:t>
      </w:r>
      <w:r w:rsidR="6CA1D1BA" w:rsidRPr="3C2C6793">
        <w:rPr>
          <w:rFonts w:ascii="Arial" w:hAnsi="Arial" w:cs="Arial"/>
        </w:rPr>
        <w:t xml:space="preserve">with the change at </w:t>
      </w:r>
      <w:r w:rsidR="7897A734" w:rsidRPr="3C2C6793">
        <w:rPr>
          <w:rFonts w:ascii="Arial" w:hAnsi="Arial" w:cs="Arial"/>
        </w:rPr>
        <w:t>clause 54.</w:t>
      </w:r>
    </w:p>
    <w:p w14:paraId="46DCC5E3" w14:textId="2CA2D7DD" w:rsidR="00DA16E7"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45</w:t>
      </w:r>
      <w:r w:rsidRPr="00786D6F">
        <w:rPr>
          <w:rFonts w:ascii="Arial" w:hAnsi="Arial" w:cs="Arial"/>
          <w:b/>
          <w:bCs/>
        </w:rPr>
        <w:t xml:space="preserve"> </w:t>
      </w:r>
      <w:r w:rsidR="00993D72">
        <w:rPr>
          <w:rFonts w:ascii="Arial" w:hAnsi="Arial" w:cs="Arial"/>
          <w:b/>
          <w:bCs/>
        </w:rPr>
        <w:tab/>
      </w:r>
      <w:r w:rsidRPr="00786D6F">
        <w:rPr>
          <w:rFonts w:ascii="Arial" w:hAnsi="Arial" w:cs="Arial"/>
          <w:b/>
          <w:bCs/>
        </w:rPr>
        <w:t xml:space="preserve">Section 101 (1), definition of </w:t>
      </w:r>
      <w:r w:rsidRPr="00827C38">
        <w:rPr>
          <w:rFonts w:ascii="Arial" w:hAnsi="Arial" w:cs="Arial"/>
          <w:b/>
          <w:bCs/>
          <w:i/>
          <w:iCs/>
        </w:rPr>
        <w:t>resident</w:t>
      </w:r>
      <w:r w:rsidRPr="00786D6F">
        <w:rPr>
          <w:rFonts w:ascii="Arial" w:hAnsi="Arial" w:cs="Arial"/>
          <w:b/>
          <w:bCs/>
        </w:rPr>
        <w:t>, example</w:t>
      </w:r>
    </w:p>
    <w:p w14:paraId="5457E63D" w14:textId="41F4E929" w:rsidR="00993D72" w:rsidRPr="00827C38" w:rsidRDefault="28F3A24E" w:rsidP="00DA16E7">
      <w:pPr>
        <w:rPr>
          <w:rFonts w:ascii="Arial" w:hAnsi="Arial" w:cs="Arial"/>
        </w:rPr>
      </w:pPr>
      <w:r w:rsidRPr="3C2C6793">
        <w:rPr>
          <w:rFonts w:ascii="Arial" w:hAnsi="Arial" w:cs="Arial"/>
        </w:rPr>
        <w:t xml:space="preserve">This clause </w:t>
      </w:r>
      <w:r w:rsidR="4B0D2DD2" w:rsidRPr="3C2C6793">
        <w:rPr>
          <w:rFonts w:ascii="Arial" w:hAnsi="Arial" w:cs="Arial"/>
        </w:rPr>
        <w:t>amends section 101 (1) by substituting the wording of ‘residential aged care facility’ used in the example contained in this provision with ‘residential care home’ to reflect updated terminology used in the</w:t>
      </w:r>
      <w:r w:rsidR="7C023789" w:rsidRPr="3C2C6793">
        <w:rPr>
          <w:rFonts w:ascii="Arial" w:hAnsi="Arial" w:cs="Arial"/>
        </w:rPr>
        <w:t xml:space="preserve"> </w:t>
      </w:r>
      <w:r w:rsidR="103828EE" w:rsidRPr="3C2C6793">
        <w:rPr>
          <w:rFonts w:ascii="Arial" w:hAnsi="Arial" w:cs="Arial"/>
        </w:rPr>
        <w:t>new</w:t>
      </w:r>
      <w:r w:rsidR="4B0D2DD2" w:rsidRPr="3C2C6793">
        <w:rPr>
          <w:rFonts w:ascii="Arial" w:hAnsi="Arial" w:cs="Arial"/>
        </w:rPr>
        <w:t xml:space="preserve"> </w:t>
      </w:r>
      <w:r w:rsidR="4B0D2DD2" w:rsidRPr="3C2C6793">
        <w:rPr>
          <w:rFonts w:ascii="Arial" w:hAnsi="Arial" w:cs="Arial"/>
          <w:i/>
          <w:iCs/>
        </w:rPr>
        <w:t>Aged Care Act 2024</w:t>
      </w:r>
      <w:r w:rsidR="4B0D2DD2" w:rsidRPr="3C2C6793">
        <w:rPr>
          <w:rFonts w:ascii="Arial" w:hAnsi="Arial" w:cs="Arial"/>
        </w:rPr>
        <w:t xml:space="preserve"> (C</w:t>
      </w:r>
      <w:r w:rsidR="103828EE" w:rsidRPr="3C2C6793">
        <w:rPr>
          <w:rFonts w:ascii="Arial" w:hAnsi="Arial" w:cs="Arial"/>
        </w:rPr>
        <w:t>wl</w:t>
      </w:r>
      <w:r w:rsidR="4B0D2DD2" w:rsidRPr="3C2C6793">
        <w:rPr>
          <w:rFonts w:ascii="Arial" w:hAnsi="Arial" w:cs="Arial"/>
        </w:rPr>
        <w:t>th)</w:t>
      </w:r>
      <w:r w:rsidR="6EE33021" w:rsidRPr="3C2C6793">
        <w:rPr>
          <w:rFonts w:ascii="Arial" w:hAnsi="Arial" w:cs="Arial"/>
        </w:rPr>
        <w:t xml:space="preserve"> and to align with the change at clause 54.</w:t>
      </w:r>
    </w:p>
    <w:p w14:paraId="0A4B46FD" w14:textId="7E40161E" w:rsidR="00DA16E7" w:rsidRDefault="00DA16E7" w:rsidP="00827C38">
      <w:pPr>
        <w:ind w:left="1440" w:hanging="1440"/>
        <w:rPr>
          <w:rFonts w:ascii="Arial" w:hAnsi="Arial" w:cs="Arial"/>
          <w:b/>
          <w:bCs/>
        </w:rPr>
      </w:pPr>
      <w:r w:rsidRPr="00786D6F">
        <w:rPr>
          <w:rFonts w:ascii="Arial" w:hAnsi="Arial" w:cs="Arial"/>
          <w:b/>
          <w:bCs/>
        </w:rPr>
        <w:t xml:space="preserve">Clause </w:t>
      </w:r>
      <w:r w:rsidR="007F6AEB">
        <w:rPr>
          <w:rFonts w:ascii="Arial" w:hAnsi="Arial" w:cs="Arial"/>
          <w:b/>
          <w:bCs/>
        </w:rPr>
        <w:t>46</w:t>
      </w:r>
      <w:r w:rsidRPr="00786D6F">
        <w:rPr>
          <w:rFonts w:ascii="Arial" w:hAnsi="Arial" w:cs="Arial"/>
          <w:b/>
          <w:bCs/>
        </w:rPr>
        <w:t xml:space="preserve"> </w:t>
      </w:r>
      <w:r w:rsidR="00993D72">
        <w:rPr>
          <w:rFonts w:ascii="Arial" w:hAnsi="Arial" w:cs="Arial"/>
          <w:b/>
          <w:bCs/>
        </w:rPr>
        <w:tab/>
      </w:r>
      <w:r w:rsidRPr="00786D6F">
        <w:rPr>
          <w:rFonts w:ascii="Arial" w:hAnsi="Arial" w:cs="Arial"/>
          <w:b/>
          <w:bCs/>
        </w:rPr>
        <w:t xml:space="preserve">Section 101 (2), definitions of </w:t>
      </w:r>
      <w:r w:rsidRPr="00827C38">
        <w:rPr>
          <w:rFonts w:ascii="Arial" w:hAnsi="Arial" w:cs="Arial"/>
          <w:b/>
          <w:bCs/>
          <w:i/>
          <w:iCs/>
        </w:rPr>
        <w:t>residential aged care facility</w:t>
      </w:r>
      <w:r w:rsidRPr="00786D6F">
        <w:rPr>
          <w:rFonts w:ascii="Arial" w:hAnsi="Arial" w:cs="Arial"/>
          <w:b/>
          <w:bCs/>
        </w:rPr>
        <w:t xml:space="preserve"> and </w:t>
      </w:r>
      <w:r w:rsidRPr="00827C38">
        <w:rPr>
          <w:rFonts w:ascii="Arial" w:hAnsi="Arial" w:cs="Arial"/>
          <w:b/>
          <w:bCs/>
          <w:i/>
          <w:iCs/>
        </w:rPr>
        <w:t>residential care</w:t>
      </w:r>
    </w:p>
    <w:p w14:paraId="47263A3A" w14:textId="72B5863F" w:rsidR="00993D72" w:rsidRPr="00786D6F" w:rsidRDefault="28F3A24E" w:rsidP="00DA16E7">
      <w:pPr>
        <w:rPr>
          <w:rFonts w:ascii="Arial" w:hAnsi="Arial" w:cs="Arial"/>
          <w:b/>
          <w:bCs/>
        </w:rPr>
      </w:pPr>
      <w:r w:rsidRPr="3C2C6793">
        <w:rPr>
          <w:rFonts w:ascii="Arial" w:hAnsi="Arial" w:cs="Arial"/>
        </w:rPr>
        <w:t xml:space="preserve">This clause </w:t>
      </w:r>
      <w:r w:rsidR="6FEFC333" w:rsidRPr="3C2C6793">
        <w:rPr>
          <w:rFonts w:ascii="Arial" w:hAnsi="Arial" w:cs="Arial"/>
        </w:rPr>
        <w:t xml:space="preserve">amends section 101 (2) by removing ‘residential aged care facility’ and ‘residential care’ as defined terms used in part </w:t>
      </w:r>
      <w:r w:rsidR="3F6AB54F" w:rsidRPr="3C2C6793">
        <w:rPr>
          <w:rFonts w:ascii="Arial" w:hAnsi="Arial" w:cs="Arial"/>
        </w:rPr>
        <w:t xml:space="preserve">7 of the </w:t>
      </w:r>
      <w:r w:rsidR="05B924B4" w:rsidRPr="3C2C6793">
        <w:rPr>
          <w:rFonts w:ascii="Arial" w:hAnsi="Arial" w:cs="Arial"/>
        </w:rPr>
        <w:t xml:space="preserve">Voluntary Assisted Dying Act </w:t>
      </w:r>
      <w:r w:rsidR="3F6AB54F" w:rsidRPr="3C2C6793">
        <w:rPr>
          <w:rFonts w:ascii="Arial" w:hAnsi="Arial" w:cs="Arial"/>
        </w:rPr>
        <w:t>to</w:t>
      </w:r>
      <w:r w:rsidR="64832555" w:rsidRPr="3C2C6793">
        <w:rPr>
          <w:rFonts w:ascii="Arial" w:hAnsi="Arial" w:cs="Arial"/>
        </w:rPr>
        <w:t xml:space="preserve"> remove outdated references to the </w:t>
      </w:r>
      <w:r w:rsidR="64832555" w:rsidRPr="3C2C6793">
        <w:rPr>
          <w:rFonts w:ascii="Arial" w:hAnsi="Arial" w:cs="Arial"/>
          <w:i/>
          <w:iCs/>
        </w:rPr>
        <w:t>Aged Care Act 1</w:t>
      </w:r>
      <w:r w:rsidR="621422B1" w:rsidRPr="3C2C6793">
        <w:rPr>
          <w:rFonts w:ascii="Arial" w:hAnsi="Arial" w:cs="Arial"/>
          <w:i/>
          <w:iCs/>
        </w:rPr>
        <w:t xml:space="preserve">997 </w:t>
      </w:r>
      <w:r w:rsidR="621422B1" w:rsidRPr="3C2C6793">
        <w:rPr>
          <w:rFonts w:ascii="Arial" w:hAnsi="Arial" w:cs="Arial"/>
        </w:rPr>
        <w:t xml:space="preserve">(Cwlth) and replace with associated references to the </w:t>
      </w:r>
      <w:r w:rsidR="3F6AB54F" w:rsidRPr="3C2C6793">
        <w:rPr>
          <w:rFonts w:ascii="Arial" w:hAnsi="Arial" w:cs="Arial"/>
          <w:i/>
          <w:iCs/>
        </w:rPr>
        <w:t>Aged Care Act 2024</w:t>
      </w:r>
      <w:r w:rsidR="3F6AB54F" w:rsidRPr="3C2C6793">
        <w:rPr>
          <w:rFonts w:ascii="Arial" w:hAnsi="Arial" w:cs="Arial"/>
        </w:rPr>
        <w:t xml:space="preserve"> (</w:t>
      </w:r>
      <w:r w:rsidR="103828EE" w:rsidRPr="3C2C6793">
        <w:rPr>
          <w:rFonts w:ascii="Arial" w:hAnsi="Arial" w:cs="Arial"/>
        </w:rPr>
        <w:t>Cwlth</w:t>
      </w:r>
      <w:r w:rsidR="3F6AB54F" w:rsidRPr="3C2C6793">
        <w:rPr>
          <w:rFonts w:ascii="Arial" w:hAnsi="Arial" w:cs="Arial"/>
        </w:rPr>
        <w:t>).</w:t>
      </w:r>
    </w:p>
    <w:p w14:paraId="611ECBF0" w14:textId="7B9D7F1F" w:rsidR="00DA16E7" w:rsidRPr="00786D6F" w:rsidRDefault="00DA16E7" w:rsidP="00184BAB">
      <w:pPr>
        <w:ind w:left="1440" w:hanging="1440"/>
        <w:rPr>
          <w:rFonts w:ascii="Arial" w:hAnsi="Arial" w:cs="Arial"/>
          <w:b/>
          <w:bCs/>
        </w:rPr>
      </w:pPr>
      <w:r w:rsidRPr="00786D6F">
        <w:rPr>
          <w:rFonts w:ascii="Arial" w:hAnsi="Arial" w:cs="Arial"/>
          <w:b/>
          <w:bCs/>
        </w:rPr>
        <w:t xml:space="preserve">Clause </w:t>
      </w:r>
      <w:r w:rsidR="007F6AEB">
        <w:rPr>
          <w:rFonts w:ascii="Arial" w:hAnsi="Arial" w:cs="Arial"/>
          <w:b/>
          <w:bCs/>
        </w:rPr>
        <w:t>47</w:t>
      </w:r>
      <w:r w:rsidRPr="00786D6F">
        <w:rPr>
          <w:rFonts w:ascii="Arial" w:hAnsi="Arial" w:cs="Arial"/>
          <w:b/>
          <w:bCs/>
        </w:rPr>
        <w:t xml:space="preserve"> </w:t>
      </w:r>
      <w:r w:rsidR="00993D72">
        <w:rPr>
          <w:rFonts w:ascii="Arial" w:hAnsi="Arial" w:cs="Arial"/>
          <w:b/>
          <w:bCs/>
        </w:rPr>
        <w:tab/>
      </w:r>
      <w:r w:rsidRPr="00786D6F">
        <w:rPr>
          <w:rFonts w:ascii="Arial" w:hAnsi="Arial" w:cs="Arial"/>
          <w:b/>
          <w:bCs/>
        </w:rPr>
        <w:t>Requirements for health professionals when raising voluntary assisted</w:t>
      </w:r>
      <w:r w:rsidRPr="00DA16E7">
        <w:rPr>
          <w:rFonts w:ascii="Arial" w:hAnsi="Arial" w:cs="Arial"/>
          <w:b/>
          <w:bCs/>
        </w:rPr>
        <w:t xml:space="preserve"> </w:t>
      </w:r>
      <w:r w:rsidRPr="00786D6F">
        <w:rPr>
          <w:rFonts w:ascii="Arial" w:hAnsi="Arial" w:cs="Arial"/>
          <w:b/>
          <w:bCs/>
        </w:rPr>
        <w:t xml:space="preserve">dying as an </w:t>
      </w:r>
      <w:proofErr w:type="gramStart"/>
      <w:r w:rsidRPr="00786D6F">
        <w:rPr>
          <w:rFonts w:ascii="Arial" w:hAnsi="Arial" w:cs="Arial"/>
          <w:b/>
          <w:bCs/>
        </w:rPr>
        <w:t>end of life</w:t>
      </w:r>
      <w:proofErr w:type="gramEnd"/>
      <w:r w:rsidRPr="00786D6F">
        <w:rPr>
          <w:rFonts w:ascii="Arial" w:hAnsi="Arial" w:cs="Arial"/>
          <w:b/>
          <w:bCs/>
        </w:rPr>
        <w:t xml:space="preserve"> choice</w:t>
      </w:r>
      <w:r w:rsidR="00184BAB">
        <w:rPr>
          <w:rFonts w:ascii="Arial" w:hAnsi="Arial" w:cs="Arial"/>
          <w:b/>
          <w:bCs/>
        </w:rPr>
        <w:br/>
        <w:t>Section 155 (1)</w:t>
      </w:r>
    </w:p>
    <w:p w14:paraId="75829F16" w14:textId="4762E5B6"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clause</w:t>
      </w:r>
      <w:r w:rsidR="00C66068">
        <w:rPr>
          <w:rFonts w:ascii="Arial" w:hAnsi="Arial" w:cs="Arial"/>
        </w:rPr>
        <w:t xml:space="preserve"> amends</w:t>
      </w:r>
      <w:r w:rsidRPr="00993D72">
        <w:rPr>
          <w:rFonts w:ascii="Arial" w:hAnsi="Arial" w:cs="Arial"/>
        </w:rPr>
        <w:t xml:space="preserve"> s</w:t>
      </w:r>
      <w:r w:rsidRPr="009510D6">
        <w:rPr>
          <w:rFonts w:ascii="Arial" w:hAnsi="Arial" w:cs="Arial"/>
        </w:rPr>
        <w:t xml:space="preserve">ection </w:t>
      </w:r>
      <w:r w:rsidR="00DA16E7" w:rsidRPr="00DA16E7">
        <w:rPr>
          <w:rFonts w:ascii="Arial" w:hAnsi="Arial" w:cs="Arial"/>
        </w:rPr>
        <w:t>155</w:t>
      </w:r>
      <w:r w:rsidR="00C66068">
        <w:rPr>
          <w:rFonts w:ascii="Arial" w:hAnsi="Arial" w:cs="Arial"/>
        </w:rPr>
        <w:t xml:space="preserve"> (1) by inserting the words ‘</w:t>
      </w:r>
      <w:r w:rsidR="00C66068" w:rsidRPr="00C66068">
        <w:rPr>
          <w:rFonts w:ascii="Arial" w:hAnsi="Arial" w:cs="Arial"/>
        </w:rPr>
        <w:t>with the necessary expertise</w:t>
      </w:r>
      <w:r w:rsidR="00C66068">
        <w:rPr>
          <w:rFonts w:ascii="Arial" w:hAnsi="Arial" w:cs="Arial"/>
        </w:rPr>
        <w:t xml:space="preserve">’ after the words ‘a </w:t>
      </w:r>
      <w:r w:rsidR="00C66068" w:rsidRPr="00C66068">
        <w:rPr>
          <w:rFonts w:ascii="Arial" w:hAnsi="Arial" w:cs="Arial"/>
        </w:rPr>
        <w:t>doctor or nurse practitioner</w:t>
      </w:r>
      <w:r w:rsidR="00C66068">
        <w:rPr>
          <w:rFonts w:ascii="Arial" w:hAnsi="Arial" w:cs="Arial"/>
        </w:rPr>
        <w:t>’ to</w:t>
      </w:r>
      <w:r w:rsidR="00EE5E55">
        <w:rPr>
          <w:rFonts w:ascii="Arial" w:hAnsi="Arial" w:cs="Arial"/>
        </w:rPr>
        <w:t xml:space="preserve"> clarify</w:t>
      </w:r>
      <w:r w:rsidR="00C66068">
        <w:rPr>
          <w:rFonts w:ascii="Arial" w:hAnsi="Arial" w:cs="Arial"/>
        </w:rPr>
        <w:t xml:space="preserve"> </w:t>
      </w:r>
      <w:r w:rsidR="00EE5E55" w:rsidRPr="00EE5E55">
        <w:rPr>
          <w:rFonts w:ascii="Arial" w:hAnsi="Arial" w:cs="Arial"/>
        </w:rPr>
        <w:t xml:space="preserve">that a doctor or nurse who does not have relevant experience to discuss the full range of treatment options with an individual </w:t>
      </w:r>
      <w:r w:rsidR="00EE5E55" w:rsidRPr="00EE5E55">
        <w:rPr>
          <w:rFonts w:ascii="Arial" w:hAnsi="Arial" w:cs="Arial"/>
        </w:rPr>
        <w:lastRenderedPageBreak/>
        <w:t xml:space="preserve">may still raise voluntary assisted dying, so long as they do so consistently with the requirements for other relevant health professionals subject to </w:t>
      </w:r>
      <w:r w:rsidR="00EE5E55">
        <w:rPr>
          <w:rFonts w:ascii="Arial" w:hAnsi="Arial" w:cs="Arial"/>
        </w:rPr>
        <w:t>section 155</w:t>
      </w:r>
      <w:r w:rsidR="00EE5E55" w:rsidRPr="00EE5E55">
        <w:rPr>
          <w:rFonts w:ascii="Arial" w:hAnsi="Arial" w:cs="Arial"/>
        </w:rPr>
        <w:t xml:space="preserve"> (2)</w:t>
      </w:r>
      <w:r w:rsidR="00A67008">
        <w:rPr>
          <w:rFonts w:ascii="Arial" w:hAnsi="Arial" w:cs="Arial"/>
          <w:iCs/>
        </w:rPr>
        <w:t>.</w:t>
      </w:r>
    </w:p>
    <w:p w14:paraId="2F1DF439" w14:textId="6422BCC6" w:rsidR="00DA16E7"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48</w:t>
      </w:r>
      <w:r w:rsidRPr="00786D6F">
        <w:rPr>
          <w:rFonts w:ascii="Arial" w:hAnsi="Arial" w:cs="Arial"/>
          <w:b/>
          <w:bCs/>
        </w:rPr>
        <w:t xml:space="preserve"> </w:t>
      </w:r>
      <w:r w:rsidR="00993D72">
        <w:rPr>
          <w:rFonts w:ascii="Arial" w:hAnsi="Arial" w:cs="Arial"/>
          <w:b/>
          <w:bCs/>
        </w:rPr>
        <w:tab/>
      </w:r>
      <w:r w:rsidRPr="00786D6F">
        <w:rPr>
          <w:rFonts w:ascii="Arial" w:hAnsi="Arial" w:cs="Arial"/>
          <w:b/>
          <w:bCs/>
        </w:rPr>
        <w:t>Section 155 (1) (b)</w:t>
      </w:r>
    </w:p>
    <w:p w14:paraId="57F05FDB" w14:textId="44272EA0" w:rsidR="00993D72" w:rsidRPr="00C66068" w:rsidRDefault="28F3A24E" w:rsidP="00DA16E7">
      <w:pPr>
        <w:rPr>
          <w:rFonts w:ascii="Arial" w:hAnsi="Arial" w:cs="Arial"/>
        </w:rPr>
      </w:pPr>
      <w:r w:rsidRPr="3C2C6793">
        <w:rPr>
          <w:rFonts w:ascii="Arial" w:hAnsi="Arial" w:cs="Arial"/>
        </w:rPr>
        <w:t xml:space="preserve">This clause </w:t>
      </w:r>
      <w:r w:rsidR="5C8693CC" w:rsidRPr="3C2C6793">
        <w:rPr>
          <w:rFonts w:ascii="Arial" w:hAnsi="Arial" w:cs="Arial"/>
        </w:rPr>
        <w:t>removes</w:t>
      </w:r>
      <w:r w:rsidR="47D2759C" w:rsidRPr="3C2C6793">
        <w:rPr>
          <w:rFonts w:ascii="Arial" w:hAnsi="Arial" w:cs="Arial"/>
        </w:rPr>
        <w:t xml:space="preserve"> section 155 (1) (b) to account for the changes made in clause 55 and 57 </w:t>
      </w:r>
      <w:r w:rsidR="7C023789" w:rsidRPr="3C2C6793">
        <w:rPr>
          <w:rFonts w:ascii="Arial" w:hAnsi="Arial" w:cs="Arial"/>
        </w:rPr>
        <w:t>and</w:t>
      </w:r>
      <w:r w:rsidR="47D2759C" w:rsidRPr="3C2C6793">
        <w:rPr>
          <w:rFonts w:ascii="Arial" w:hAnsi="Arial" w:cs="Arial"/>
        </w:rPr>
        <w:t xml:space="preserve"> improve the overall operation and clarity of section 155.</w:t>
      </w:r>
    </w:p>
    <w:p w14:paraId="5DF89E08" w14:textId="23B0E327" w:rsidR="00C73F88"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49</w:t>
      </w:r>
      <w:r w:rsidRPr="00786D6F">
        <w:rPr>
          <w:rFonts w:ascii="Arial" w:hAnsi="Arial" w:cs="Arial"/>
          <w:b/>
          <w:bCs/>
        </w:rPr>
        <w:t xml:space="preserve"> </w:t>
      </w:r>
      <w:r w:rsidR="00993D72">
        <w:rPr>
          <w:rFonts w:ascii="Arial" w:hAnsi="Arial" w:cs="Arial"/>
          <w:b/>
          <w:bCs/>
        </w:rPr>
        <w:tab/>
      </w:r>
      <w:r w:rsidRPr="00786D6F">
        <w:rPr>
          <w:rFonts w:ascii="Arial" w:hAnsi="Arial" w:cs="Arial"/>
          <w:b/>
          <w:bCs/>
        </w:rPr>
        <w:t>Section 155 (3)</w:t>
      </w:r>
    </w:p>
    <w:p w14:paraId="7AE1369D" w14:textId="57FDBDD1" w:rsidR="00993D72" w:rsidRPr="000906CC" w:rsidRDefault="00993D72" w:rsidP="00786D6F">
      <w:pPr>
        <w:rPr>
          <w:rFonts w:cs="Arial"/>
          <w:bCs/>
        </w:rPr>
      </w:pPr>
      <w:r w:rsidRPr="009510D6">
        <w:rPr>
          <w:rFonts w:ascii="Arial" w:hAnsi="Arial" w:cs="Arial"/>
        </w:rPr>
        <w:t xml:space="preserve">This </w:t>
      </w:r>
      <w:r w:rsidRPr="00993D72">
        <w:rPr>
          <w:rFonts w:ascii="Arial" w:hAnsi="Arial" w:cs="Arial"/>
        </w:rPr>
        <w:t xml:space="preserve">clause </w:t>
      </w:r>
      <w:r w:rsidR="00C66068">
        <w:rPr>
          <w:rFonts w:ascii="Arial" w:hAnsi="Arial" w:cs="Arial"/>
        </w:rPr>
        <w:t xml:space="preserve">amends section 155 (3) by substituting the current defined term of ‘relevant health professional’ </w:t>
      </w:r>
      <w:r w:rsidR="00A67008">
        <w:rPr>
          <w:rFonts w:ascii="Arial" w:hAnsi="Arial" w:cs="Arial"/>
        </w:rPr>
        <w:t xml:space="preserve">and replacing this </w:t>
      </w:r>
      <w:r w:rsidR="00C66068">
        <w:rPr>
          <w:rFonts w:ascii="Arial" w:hAnsi="Arial" w:cs="Arial"/>
        </w:rPr>
        <w:t>with a revised definition of ‘relevant health professional’ and introducing the defined term of ‘necessary expertise’ to improve the overall operation and clari</w:t>
      </w:r>
      <w:r w:rsidR="00A67008">
        <w:rPr>
          <w:rFonts w:ascii="Arial" w:hAnsi="Arial" w:cs="Arial"/>
        </w:rPr>
        <w:t>t</w:t>
      </w:r>
      <w:r w:rsidR="00C66068">
        <w:rPr>
          <w:rFonts w:ascii="Arial" w:hAnsi="Arial" w:cs="Arial"/>
        </w:rPr>
        <w:t>y of section 155.</w:t>
      </w:r>
      <w:r w:rsidR="000F06DF">
        <w:rPr>
          <w:rFonts w:ascii="Arial" w:hAnsi="Arial" w:cs="Arial"/>
        </w:rPr>
        <w:t xml:space="preserve"> </w:t>
      </w:r>
    </w:p>
    <w:bookmarkEnd w:id="0"/>
    <w:p w14:paraId="35174E41" w14:textId="77777777" w:rsidR="00B10812" w:rsidRPr="00B55CAD" w:rsidRDefault="00B10812" w:rsidP="00601FAA">
      <w:pPr>
        <w:rPr>
          <w:rFonts w:ascii="Arial" w:hAnsi="Arial" w:cs="Arial"/>
        </w:rPr>
      </w:pPr>
    </w:p>
    <w:sectPr w:rsidR="00B10812" w:rsidRPr="00B55CAD" w:rsidSect="00074CC2">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72F6" w14:textId="77777777" w:rsidR="004F15F6" w:rsidRDefault="004F15F6" w:rsidP="00E90DF9">
      <w:pPr>
        <w:spacing w:after="0" w:line="240" w:lineRule="auto"/>
      </w:pPr>
      <w:r>
        <w:separator/>
      </w:r>
    </w:p>
  </w:endnote>
  <w:endnote w:type="continuationSeparator" w:id="0">
    <w:p w14:paraId="28876CFD" w14:textId="77777777" w:rsidR="004F15F6" w:rsidRDefault="004F15F6" w:rsidP="00E90DF9">
      <w:pPr>
        <w:spacing w:after="0" w:line="240" w:lineRule="auto"/>
      </w:pPr>
      <w:r>
        <w:continuationSeparator/>
      </w:r>
    </w:p>
  </w:endnote>
  <w:endnote w:type="continuationNotice" w:id="1">
    <w:p w14:paraId="65B08506" w14:textId="77777777" w:rsidR="004F15F6" w:rsidRDefault="004F1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FA2" w14:textId="40F9728A" w:rsidR="00AD17C5" w:rsidRPr="000C6F83" w:rsidRDefault="00F42C6B" w:rsidP="000C6F83">
    <w:pPr>
      <w:pStyle w:val="Footer"/>
      <w:jc w:val="center"/>
      <w:rPr>
        <w:rFonts w:cs="Arial"/>
        <w:sz w:val="14"/>
      </w:rPr>
    </w:pPr>
    <w:r w:rsidRPr="000C6F8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074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1A574719" w:rsidR="00E90DF9" w:rsidRDefault="00E90DF9" w:rsidP="00074CC2">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C4AF90F" w14:textId="03416CA6" w:rsidR="00F42C6B" w:rsidRPr="000C6F83" w:rsidRDefault="00F42C6B" w:rsidP="000C6F83">
    <w:pPr>
      <w:pStyle w:val="Footer"/>
      <w:spacing w:before="60" w:line="240" w:lineRule="auto"/>
      <w:jc w:val="center"/>
      <w:rPr>
        <w:rFonts w:cs="Arial"/>
        <w:sz w:val="14"/>
      </w:rPr>
    </w:pPr>
    <w:r w:rsidRPr="000C6F8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0B17EDFC"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DCBC3DF" w14:textId="7D26006C" w:rsidR="00F42C6B" w:rsidRPr="000C6F83" w:rsidRDefault="00F42C6B" w:rsidP="000C6F83">
    <w:pPr>
      <w:pStyle w:val="Footer"/>
      <w:jc w:val="center"/>
      <w:rPr>
        <w:rFonts w:cs="Arial"/>
        <w:sz w:val="14"/>
      </w:rPr>
    </w:pPr>
    <w:r w:rsidRPr="000C6F8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4719" w14:textId="77777777" w:rsidR="004F15F6" w:rsidRDefault="004F15F6" w:rsidP="00E90DF9">
      <w:pPr>
        <w:spacing w:after="0" w:line="240" w:lineRule="auto"/>
      </w:pPr>
      <w:r>
        <w:separator/>
      </w:r>
    </w:p>
  </w:footnote>
  <w:footnote w:type="continuationSeparator" w:id="0">
    <w:p w14:paraId="24F7AF25" w14:textId="77777777" w:rsidR="004F15F6" w:rsidRDefault="004F15F6" w:rsidP="00E90DF9">
      <w:pPr>
        <w:spacing w:after="0" w:line="240" w:lineRule="auto"/>
      </w:pPr>
      <w:r>
        <w:continuationSeparator/>
      </w:r>
    </w:p>
  </w:footnote>
  <w:footnote w:type="continuationNotice" w:id="1">
    <w:p w14:paraId="1E6FDF57" w14:textId="77777777" w:rsidR="004F15F6" w:rsidRDefault="004F1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7F80" w14:textId="5407263C" w:rsidR="00AD17C5" w:rsidRPr="000C6F83" w:rsidRDefault="00AD17C5" w:rsidP="00AD17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B9E"/>
    <w:multiLevelType w:val="multilevel"/>
    <w:tmpl w:val="0C50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F69470B"/>
    <w:multiLevelType w:val="hybridMultilevel"/>
    <w:tmpl w:val="8D848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C3394E"/>
    <w:multiLevelType w:val="hybridMultilevel"/>
    <w:tmpl w:val="B508747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8E707A"/>
    <w:multiLevelType w:val="hybridMultilevel"/>
    <w:tmpl w:val="B580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9C7D35"/>
    <w:multiLevelType w:val="hybridMultilevel"/>
    <w:tmpl w:val="3BEC1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A67C84"/>
    <w:multiLevelType w:val="hybridMultilevel"/>
    <w:tmpl w:val="2A8C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1"/>
  </w:num>
  <w:num w:numId="2" w16cid:durableId="1421411116">
    <w:abstractNumId w:val="2"/>
  </w:num>
  <w:num w:numId="3" w16cid:durableId="81145194">
    <w:abstractNumId w:val="6"/>
  </w:num>
  <w:num w:numId="4" w16cid:durableId="611979126">
    <w:abstractNumId w:val="0"/>
  </w:num>
  <w:num w:numId="5" w16cid:durableId="263999882">
    <w:abstractNumId w:val="5"/>
  </w:num>
  <w:num w:numId="6" w16cid:durableId="831799018">
    <w:abstractNumId w:val="3"/>
  </w:num>
  <w:num w:numId="7" w16cid:durableId="391119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FD0"/>
    <w:rsid w:val="00023841"/>
    <w:rsid w:val="0002503D"/>
    <w:rsid w:val="00025C74"/>
    <w:rsid w:val="000316A8"/>
    <w:rsid w:val="000361BF"/>
    <w:rsid w:val="00037293"/>
    <w:rsid w:val="00055993"/>
    <w:rsid w:val="00055A6E"/>
    <w:rsid w:val="00060034"/>
    <w:rsid w:val="00074CC2"/>
    <w:rsid w:val="0007546E"/>
    <w:rsid w:val="000827EF"/>
    <w:rsid w:val="00083464"/>
    <w:rsid w:val="00085D94"/>
    <w:rsid w:val="00086603"/>
    <w:rsid w:val="000906CC"/>
    <w:rsid w:val="0009655B"/>
    <w:rsid w:val="00097C38"/>
    <w:rsid w:val="000A3576"/>
    <w:rsid w:val="000A5822"/>
    <w:rsid w:val="000A716F"/>
    <w:rsid w:val="000B01F7"/>
    <w:rsid w:val="000B026C"/>
    <w:rsid w:val="000B0281"/>
    <w:rsid w:val="000B5B84"/>
    <w:rsid w:val="000C24B7"/>
    <w:rsid w:val="000C3F4F"/>
    <w:rsid w:val="000C6F83"/>
    <w:rsid w:val="000D03CA"/>
    <w:rsid w:val="000D0AA5"/>
    <w:rsid w:val="000D18E3"/>
    <w:rsid w:val="000D4307"/>
    <w:rsid w:val="000E0E94"/>
    <w:rsid w:val="000E763A"/>
    <w:rsid w:val="000F06DF"/>
    <w:rsid w:val="00107DDE"/>
    <w:rsid w:val="00110B83"/>
    <w:rsid w:val="00121BAF"/>
    <w:rsid w:val="00122F68"/>
    <w:rsid w:val="00131612"/>
    <w:rsid w:val="00131766"/>
    <w:rsid w:val="00145944"/>
    <w:rsid w:val="00147F59"/>
    <w:rsid w:val="00152387"/>
    <w:rsid w:val="00160755"/>
    <w:rsid w:val="001628B1"/>
    <w:rsid w:val="00163BDA"/>
    <w:rsid w:val="001664C0"/>
    <w:rsid w:val="00166FDA"/>
    <w:rsid w:val="00184BAB"/>
    <w:rsid w:val="0018585C"/>
    <w:rsid w:val="001862F5"/>
    <w:rsid w:val="00191FBD"/>
    <w:rsid w:val="001A1012"/>
    <w:rsid w:val="001A4257"/>
    <w:rsid w:val="001A503A"/>
    <w:rsid w:val="001B2127"/>
    <w:rsid w:val="001B22ED"/>
    <w:rsid w:val="001B2CAF"/>
    <w:rsid w:val="001C5810"/>
    <w:rsid w:val="001C5A17"/>
    <w:rsid w:val="001D1A10"/>
    <w:rsid w:val="001D560E"/>
    <w:rsid w:val="001E28A1"/>
    <w:rsid w:val="001F4070"/>
    <w:rsid w:val="001F4B62"/>
    <w:rsid w:val="001F5018"/>
    <w:rsid w:val="00214494"/>
    <w:rsid w:val="002162F4"/>
    <w:rsid w:val="0021717E"/>
    <w:rsid w:val="002208A5"/>
    <w:rsid w:val="00226D0C"/>
    <w:rsid w:val="00231AC1"/>
    <w:rsid w:val="002323B1"/>
    <w:rsid w:val="0023265E"/>
    <w:rsid w:val="00234886"/>
    <w:rsid w:val="0023540F"/>
    <w:rsid w:val="00241F31"/>
    <w:rsid w:val="0024207A"/>
    <w:rsid w:val="002512E8"/>
    <w:rsid w:val="00262AAE"/>
    <w:rsid w:val="0027175A"/>
    <w:rsid w:val="0027759A"/>
    <w:rsid w:val="00280249"/>
    <w:rsid w:val="00282B7C"/>
    <w:rsid w:val="0028351D"/>
    <w:rsid w:val="002855EE"/>
    <w:rsid w:val="002903BD"/>
    <w:rsid w:val="00290C3A"/>
    <w:rsid w:val="00293040"/>
    <w:rsid w:val="00297B1C"/>
    <w:rsid w:val="002A327D"/>
    <w:rsid w:val="002B3C43"/>
    <w:rsid w:val="002B3F75"/>
    <w:rsid w:val="002C3B88"/>
    <w:rsid w:val="002C554B"/>
    <w:rsid w:val="002C67B2"/>
    <w:rsid w:val="002C6B74"/>
    <w:rsid w:val="002C7E2C"/>
    <w:rsid w:val="002D0ECD"/>
    <w:rsid w:val="002D132A"/>
    <w:rsid w:val="002E0FE5"/>
    <w:rsid w:val="002F5F4F"/>
    <w:rsid w:val="002F61AF"/>
    <w:rsid w:val="0030318E"/>
    <w:rsid w:val="00304931"/>
    <w:rsid w:val="0031094F"/>
    <w:rsid w:val="00313891"/>
    <w:rsid w:val="00315E94"/>
    <w:rsid w:val="00317960"/>
    <w:rsid w:val="00320B8D"/>
    <w:rsid w:val="003217C2"/>
    <w:rsid w:val="00326AA2"/>
    <w:rsid w:val="0033489F"/>
    <w:rsid w:val="0033779C"/>
    <w:rsid w:val="00340387"/>
    <w:rsid w:val="00352634"/>
    <w:rsid w:val="003622B3"/>
    <w:rsid w:val="003628D1"/>
    <w:rsid w:val="00362BAE"/>
    <w:rsid w:val="00364AFE"/>
    <w:rsid w:val="003678DA"/>
    <w:rsid w:val="00371F33"/>
    <w:rsid w:val="0037433E"/>
    <w:rsid w:val="00374F87"/>
    <w:rsid w:val="00376695"/>
    <w:rsid w:val="00376B97"/>
    <w:rsid w:val="00380A4D"/>
    <w:rsid w:val="003812E1"/>
    <w:rsid w:val="003825AB"/>
    <w:rsid w:val="00396136"/>
    <w:rsid w:val="003A7310"/>
    <w:rsid w:val="003B1115"/>
    <w:rsid w:val="003B5708"/>
    <w:rsid w:val="003C05B6"/>
    <w:rsid w:val="003C07DF"/>
    <w:rsid w:val="003C0FA3"/>
    <w:rsid w:val="003C1021"/>
    <w:rsid w:val="003C47FC"/>
    <w:rsid w:val="003D2D78"/>
    <w:rsid w:val="003D6DA0"/>
    <w:rsid w:val="003D78D2"/>
    <w:rsid w:val="003D7C17"/>
    <w:rsid w:val="003E4BF9"/>
    <w:rsid w:val="003F01D6"/>
    <w:rsid w:val="003F0734"/>
    <w:rsid w:val="00401116"/>
    <w:rsid w:val="004061DE"/>
    <w:rsid w:val="00406973"/>
    <w:rsid w:val="004176CE"/>
    <w:rsid w:val="00420BA2"/>
    <w:rsid w:val="0042355D"/>
    <w:rsid w:val="00426B1A"/>
    <w:rsid w:val="004366B6"/>
    <w:rsid w:val="004370C1"/>
    <w:rsid w:val="004442E2"/>
    <w:rsid w:val="00446EE6"/>
    <w:rsid w:val="0045789B"/>
    <w:rsid w:val="004706D1"/>
    <w:rsid w:val="00471317"/>
    <w:rsid w:val="00473894"/>
    <w:rsid w:val="00473D70"/>
    <w:rsid w:val="004768B4"/>
    <w:rsid w:val="0048167D"/>
    <w:rsid w:val="00481918"/>
    <w:rsid w:val="00494E56"/>
    <w:rsid w:val="00497A39"/>
    <w:rsid w:val="004A06DF"/>
    <w:rsid w:val="004A109F"/>
    <w:rsid w:val="004A2C50"/>
    <w:rsid w:val="004A3DC3"/>
    <w:rsid w:val="004A6B64"/>
    <w:rsid w:val="004B104B"/>
    <w:rsid w:val="004B725A"/>
    <w:rsid w:val="004C09F0"/>
    <w:rsid w:val="004C3E9C"/>
    <w:rsid w:val="004C41C3"/>
    <w:rsid w:val="004D0E50"/>
    <w:rsid w:val="004D3F18"/>
    <w:rsid w:val="004E001B"/>
    <w:rsid w:val="004E1B90"/>
    <w:rsid w:val="004E22BB"/>
    <w:rsid w:val="004F15F6"/>
    <w:rsid w:val="004F56C9"/>
    <w:rsid w:val="00520B0A"/>
    <w:rsid w:val="0052297C"/>
    <w:rsid w:val="005276E3"/>
    <w:rsid w:val="00533F1D"/>
    <w:rsid w:val="005376F1"/>
    <w:rsid w:val="00551F6C"/>
    <w:rsid w:val="00554B2C"/>
    <w:rsid w:val="00561B6C"/>
    <w:rsid w:val="00570C79"/>
    <w:rsid w:val="00570FE7"/>
    <w:rsid w:val="00577D7E"/>
    <w:rsid w:val="00577F97"/>
    <w:rsid w:val="0058410C"/>
    <w:rsid w:val="00584D96"/>
    <w:rsid w:val="00591F63"/>
    <w:rsid w:val="005966ED"/>
    <w:rsid w:val="005A6493"/>
    <w:rsid w:val="005A6794"/>
    <w:rsid w:val="005A6DDC"/>
    <w:rsid w:val="005B0897"/>
    <w:rsid w:val="005B0A0A"/>
    <w:rsid w:val="005B68A9"/>
    <w:rsid w:val="005C0127"/>
    <w:rsid w:val="005C1863"/>
    <w:rsid w:val="005C33EE"/>
    <w:rsid w:val="005C4476"/>
    <w:rsid w:val="005C7E71"/>
    <w:rsid w:val="005D3659"/>
    <w:rsid w:val="005D53A1"/>
    <w:rsid w:val="005E150F"/>
    <w:rsid w:val="005E74AF"/>
    <w:rsid w:val="00601FAA"/>
    <w:rsid w:val="00607F2E"/>
    <w:rsid w:val="00623C5F"/>
    <w:rsid w:val="00625702"/>
    <w:rsid w:val="00625ED4"/>
    <w:rsid w:val="0064172C"/>
    <w:rsid w:val="00642904"/>
    <w:rsid w:val="00642AF9"/>
    <w:rsid w:val="00646969"/>
    <w:rsid w:val="00656C44"/>
    <w:rsid w:val="006618ED"/>
    <w:rsid w:val="00664504"/>
    <w:rsid w:val="0066510A"/>
    <w:rsid w:val="0067673D"/>
    <w:rsid w:val="006818ED"/>
    <w:rsid w:val="00682784"/>
    <w:rsid w:val="00684F84"/>
    <w:rsid w:val="00693CF2"/>
    <w:rsid w:val="00693FA6"/>
    <w:rsid w:val="006944F2"/>
    <w:rsid w:val="006A187F"/>
    <w:rsid w:val="006A1E5C"/>
    <w:rsid w:val="006A2D95"/>
    <w:rsid w:val="006B1BA3"/>
    <w:rsid w:val="006B33ED"/>
    <w:rsid w:val="006B631C"/>
    <w:rsid w:val="006C02FE"/>
    <w:rsid w:val="006C0E3B"/>
    <w:rsid w:val="006C198B"/>
    <w:rsid w:val="006C2224"/>
    <w:rsid w:val="006C39B9"/>
    <w:rsid w:val="006C5213"/>
    <w:rsid w:val="006D04A9"/>
    <w:rsid w:val="006D0DE3"/>
    <w:rsid w:val="006E32F5"/>
    <w:rsid w:val="006E48D3"/>
    <w:rsid w:val="006E519C"/>
    <w:rsid w:val="006F273F"/>
    <w:rsid w:val="007010DE"/>
    <w:rsid w:val="00704090"/>
    <w:rsid w:val="00707707"/>
    <w:rsid w:val="00710295"/>
    <w:rsid w:val="00721082"/>
    <w:rsid w:val="0072379A"/>
    <w:rsid w:val="00724962"/>
    <w:rsid w:val="00725B7F"/>
    <w:rsid w:val="00734C30"/>
    <w:rsid w:val="00741218"/>
    <w:rsid w:val="00742702"/>
    <w:rsid w:val="00745343"/>
    <w:rsid w:val="00752E80"/>
    <w:rsid w:val="0075D2B0"/>
    <w:rsid w:val="00762CC6"/>
    <w:rsid w:val="00766551"/>
    <w:rsid w:val="00766637"/>
    <w:rsid w:val="0076723B"/>
    <w:rsid w:val="00780D60"/>
    <w:rsid w:val="007820CB"/>
    <w:rsid w:val="00784895"/>
    <w:rsid w:val="00786D6F"/>
    <w:rsid w:val="007A008D"/>
    <w:rsid w:val="007A6056"/>
    <w:rsid w:val="007B22EC"/>
    <w:rsid w:val="007C309A"/>
    <w:rsid w:val="007D078F"/>
    <w:rsid w:val="007D430A"/>
    <w:rsid w:val="007D4DE3"/>
    <w:rsid w:val="007F191F"/>
    <w:rsid w:val="007F1CD1"/>
    <w:rsid w:val="007F244E"/>
    <w:rsid w:val="007F2A4C"/>
    <w:rsid w:val="007F6306"/>
    <w:rsid w:val="007F6AEB"/>
    <w:rsid w:val="00800CAA"/>
    <w:rsid w:val="00801CB5"/>
    <w:rsid w:val="00810494"/>
    <w:rsid w:val="00810ADA"/>
    <w:rsid w:val="008177B3"/>
    <w:rsid w:val="00827C38"/>
    <w:rsid w:val="00830034"/>
    <w:rsid w:val="0083071F"/>
    <w:rsid w:val="0083272F"/>
    <w:rsid w:val="00843E16"/>
    <w:rsid w:val="0085380C"/>
    <w:rsid w:val="008550FE"/>
    <w:rsid w:val="00857AA6"/>
    <w:rsid w:val="008644BF"/>
    <w:rsid w:val="008648B9"/>
    <w:rsid w:val="008726C6"/>
    <w:rsid w:val="008776C3"/>
    <w:rsid w:val="00880DDD"/>
    <w:rsid w:val="008845E6"/>
    <w:rsid w:val="008A1E87"/>
    <w:rsid w:val="008A3683"/>
    <w:rsid w:val="008A3F98"/>
    <w:rsid w:val="008A5918"/>
    <w:rsid w:val="008A6450"/>
    <w:rsid w:val="008A71FE"/>
    <w:rsid w:val="008B1517"/>
    <w:rsid w:val="008C648A"/>
    <w:rsid w:val="008C75B5"/>
    <w:rsid w:val="008D1E03"/>
    <w:rsid w:val="008E6671"/>
    <w:rsid w:val="008E7E4E"/>
    <w:rsid w:val="008F3FAD"/>
    <w:rsid w:val="008F482A"/>
    <w:rsid w:val="008F743D"/>
    <w:rsid w:val="00900D29"/>
    <w:rsid w:val="00901CC4"/>
    <w:rsid w:val="0090776F"/>
    <w:rsid w:val="00910AFC"/>
    <w:rsid w:val="00915D2F"/>
    <w:rsid w:val="00916283"/>
    <w:rsid w:val="00922995"/>
    <w:rsid w:val="00932821"/>
    <w:rsid w:val="00940A8E"/>
    <w:rsid w:val="0094287D"/>
    <w:rsid w:val="009429A0"/>
    <w:rsid w:val="00945182"/>
    <w:rsid w:val="00945959"/>
    <w:rsid w:val="0095579C"/>
    <w:rsid w:val="00957E18"/>
    <w:rsid w:val="00961CA4"/>
    <w:rsid w:val="009764DB"/>
    <w:rsid w:val="00980234"/>
    <w:rsid w:val="0098348B"/>
    <w:rsid w:val="00985D70"/>
    <w:rsid w:val="00993D72"/>
    <w:rsid w:val="009A4B08"/>
    <w:rsid w:val="009B3E4B"/>
    <w:rsid w:val="009B6016"/>
    <w:rsid w:val="009C01C6"/>
    <w:rsid w:val="009D3677"/>
    <w:rsid w:val="009E0822"/>
    <w:rsid w:val="009E6A50"/>
    <w:rsid w:val="009E7830"/>
    <w:rsid w:val="009F2F65"/>
    <w:rsid w:val="009F40A1"/>
    <w:rsid w:val="00A03B3E"/>
    <w:rsid w:val="00A05EA7"/>
    <w:rsid w:val="00A07436"/>
    <w:rsid w:val="00A15563"/>
    <w:rsid w:val="00A25834"/>
    <w:rsid w:val="00A27B7E"/>
    <w:rsid w:val="00A31FD6"/>
    <w:rsid w:val="00A3359C"/>
    <w:rsid w:val="00A4294A"/>
    <w:rsid w:val="00A43E1C"/>
    <w:rsid w:val="00A45C3A"/>
    <w:rsid w:val="00A53E70"/>
    <w:rsid w:val="00A54F52"/>
    <w:rsid w:val="00A568A2"/>
    <w:rsid w:val="00A570BA"/>
    <w:rsid w:val="00A601CB"/>
    <w:rsid w:val="00A66702"/>
    <w:rsid w:val="00A67008"/>
    <w:rsid w:val="00A72B19"/>
    <w:rsid w:val="00A74B5D"/>
    <w:rsid w:val="00A8019D"/>
    <w:rsid w:val="00A812A3"/>
    <w:rsid w:val="00A853A7"/>
    <w:rsid w:val="00A95B93"/>
    <w:rsid w:val="00AA3484"/>
    <w:rsid w:val="00AA349A"/>
    <w:rsid w:val="00AB38BE"/>
    <w:rsid w:val="00AB5D5F"/>
    <w:rsid w:val="00AB6A72"/>
    <w:rsid w:val="00AC24ED"/>
    <w:rsid w:val="00AC7B50"/>
    <w:rsid w:val="00AD17C5"/>
    <w:rsid w:val="00AD2A8B"/>
    <w:rsid w:val="00AD7934"/>
    <w:rsid w:val="00AE027E"/>
    <w:rsid w:val="00AE14A7"/>
    <w:rsid w:val="00AF0698"/>
    <w:rsid w:val="00AF4554"/>
    <w:rsid w:val="00AF4DF8"/>
    <w:rsid w:val="00AF6180"/>
    <w:rsid w:val="00B01B25"/>
    <w:rsid w:val="00B10812"/>
    <w:rsid w:val="00B1236D"/>
    <w:rsid w:val="00B21A3B"/>
    <w:rsid w:val="00B22A32"/>
    <w:rsid w:val="00B237A9"/>
    <w:rsid w:val="00B41B4D"/>
    <w:rsid w:val="00B55CAD"/>
    <w:rsid w:val="00B5642F"/>
    <w:rsid w:val="00B6426A"/>
    <w:rsid w:val="00B656DA"/>
    <w:rsid w:val="00B66540"/>
    <w:rsid w:val="00B82C84"/>
    <w:rsid w:val="00B86D50"/>
    <w:rsid w:val="00B933C5"/>
    <w:rsid w:val="00B9385E"/>
    <w:rsid w:val="00B9387D"/>
    <w:rsid w:val="00BA0A16"/>
    <w:rsid w:val="00BA0DF1"/>
    <w:rsid w:val="00BB59B7"/>
    <w:rsid w:val="00BC440B"/>
    <w:rsid w:val="00BD268D"/>
    <w:rsid w:val="00BD389D"/>
    <w:rsid w:val="00BD42E0"/>
    <w:rsid w:val="00BD6AC4"/>
    <w:rsid w:val="00BE19EC"/>
    <w:rsid w:val="00BF269C"/>
    <w:rsid w:val="00BF787F"/>
    <w:rsid w:val="00C069B1"/>
    <w:rsid w:val="00C124FB"/>
    <w:rsid w:val="00C17117"/>
    <w:rsid w:val="00C1770D"/>
    <w:rsid w:val="00C32E9F"/>
    <w:rsid w:val="00C34FE6"/>
    <w:rsid w:val="00C357F9"/>
    <w:rsid w:val="00C43C55"/>
    <w:rsid w:val="00C46790"/>
    <w:rsid w:val="00C5357F"/>
    <w:rsid w:val="00C6255D"/>
    <w:rsid w:val="00C642B4"/>
    <w:rsid w:val="00C647A6"/>
    <w:rsid w:val="00C66068"/>
    <w:rsid w:val="00C708A2"/>
    <w:rsid w:val="00C73F88"/>
    <w:rsid w:val="00C8049B"/>
    <w:rsid w:val="00C923F9"/>
    <w:rsid w:val="00C93088"/>
    <w:rsid w:val="00C942C7"/>
    <w:rsid w:val="00C95438"/>
    <w:rsid w:val="00CA04F7"/>
    <w:rsid w:val="00CB01BA"/>
    <w:rsid w:val="00CB643F"/>
    <w:rsid w:val="00CB6AB0"/>
    <w:rsid w:val="00CF0227"/>
    <w:rsid w:val="00CF43C6"/>
    <w:rsid w:val="00CF76B1"/>
    <w:rsid w:val="00D076E8"/>
    <w:rsid w:val="00D12051"/>
    <w:rsid w:val="00D2007D"/>
    <w:rsid w:val="00D20207"/>
    <w:rsid w:val="00D20CC9"/>
    <w:rsid w:val="00D276F4"/>
    <w:rsid w:val="00D30620"/>
    <w:rsid w:val="00D34443"/>
    <w:rsid w:val="00D3796D"/>
    <w:rsid w:val="00D531C1"/>
    <w:rsid w:val="00D5693E"/>
    <w:rsid w:val="00D57E43"/>
    <w:rsid w:val="00D63CF7"/>
    <w:rsid w:val="00D6480B"/>
    <w:rsid w:val="00D64C2D"/>
    <w:rsid w:val="00D66685"/>
    <w:rsid w:val="00D718C9"/>
    <w:rsid w:val="00D742B4"/>
    <w:rsid w:val="00D770E0"/>
    <w:rsid w:val="00D80BAB"/>
    <w:rsid w:val="00D87CD8"/>
    <w:rsid w:val="00D94491"/>
    <w:rsid w:val="00DA00FC"/>
    <w:rsid w:val="00DA16E7"/>
    <w:rsid w:val="00DA3C7D"/>
    <w:rsid w:val="00DB4390"/>
    <w:rsid w:val="00DD0E8B"/>
    <w:rsid w:val="00DD2981"/>
    <w:rsid w:val="00DE32B4"/>
    <w:rsid w:val="00DE7B3C"/>
    <w:rsid w:val="00DF52C3"/>
    <w:rsid w:val="00DF54A2"/>
    <w:rsid w:val="00E07B57"/>
    <w:rsid w:val="00E10D26"/>
    <w:rsid w:val="00E1751D"/>
    <w:rsid w:val="00E246CF"/>
    <w:rsid w:val="00E30276"/>
    <w:rsid w:val="00E33C6E"/>
    <w:rsid w:val="00E33F1C"/>
    <w:rsid w:val="00E37E9E"/>
    <w:rsid w:val="00E457C6"/>
    <w:rsid w:val="00E46485"/>
    <w:rsid w:val="00E4656E"/>
    <w:rsid w:val="00E6252F"/>
    <w:rsid w:val="00E63360"/>
    <w:rsid w:val="00E639E8"/>
    <w:rsid w:val="00E66BAA"/>
    <w:rsid w:val="00E73608"/>
    <w:rsid w:val="00E75549"/>
    <w:rsid w:val="00E80358"/>
    <w:rsid w:val="00E80B88"/>
    <w:rsid w:val="00E815D1"/>
    <w:rsid w:val="00E8468F"/>
    <w:rsid w:val="00E90DF9"/>
    <w:rsid w:val="00EA0DC2"/>
    <w:rsid w:val="00EA1753"/>
    <w:rsid w:val="00EA24E7"/>
    <w:rsid w:val="00EB314D"/>
    <w:rsid w:val="00EC3EF0"/>
    <w:rsid w:val="00EC525E"/>
    <w:rsid w:val="00EC6782"/>
    <w:rsid w:val="00ED1093"/>
    <w:rsid w:val="00ED5E9E"/>
    <w:rsid w:val="00EE5CC5"/>
    <w:rsid w:val="00EE5E55"/>
    <w:rsid w:val="00EE7833"/>
    <w:rsid w:val="00EF4510"/>
    <w:rsid w:val="00EF4A6E"/>
    <w:rsid w:val="00F00061"/>
    <w:rsid w:val="00F00775"/>
    <w:rsid w:val="00F032EE"/>
    <w:rsid w:val="00F04D48"/>
    <w:rsid w:val="00F138D4"/>
    <w:rsid w:val="00F17684"/>
    <w:rsid w:val="00F23A19"/>
    <w:rsid w:val="00F26BDD"/>
    <w:rsid w:val="00F26CC4"/>
    <w:rsid w:val="00F3237D"/>
    <w:rsid w:val="00F3279E"/>
    <w:rsid w:val="00F33962"/>
    <w:rsid w:val="00F355A5"/>
    <w:rsid w:val="00F355F4"/>
    <w:rsid w:val="00F368D1"/>
    <w:rsid w:val="00F37A72"/>
    <w:rsid w:val="00F40456"/>
    <w:rsid w:val="00F42BE1"/>
    <w:rsid w:val="00F42C6B"/>
    <w:rsid w:val="00F43A16"/>
    <w:rsid w:val="00F44566"/>
    <w:rsid w:val="00F44E93"/>
    <w:rsid w:val="00F45A07"/>
    <w:rsid w:val="00F60018"/>
    <w:rsid w:val="00F62B20"/>
    <w:rsid w:val="00F67152"/>
    <w:rsid w:val="00F70859"/>
    <w:rsid w:val="00F709E1"/>
    <w:rsid w:val="00F77815"/>
    <w:rsid w:val="00F779EB"/>
    <w:rsid w:val="00F80A0F"/>
    <w:rsid w:val="00F80D58"/>
    <w:rsid w:val="00F92D1A"/>
    <w:rsid w:val="00F963B5"/>
    <w:rsid w:val="00FA455F"/>
    <w:rsid w:val="00FB3930"/>
    <w:rsid w:val="00FC522F"/>
    <w:rsid w:val="00FD3779"/>
    <w:rsid w:val="00FD79B5"/>
    <w:rsid w:val="00FE6C83"/>
    <w:rsid w:val="00FE75F2"/>
    <w:rsid w:val="00FF3450"/>
    <w:rsid w:val="015921D7"/>
    <w:rsid w:val="05616A70"/>
    <w:rsid w:val="05B924B4"/>
    <w:rsid w:val="07E0806F"/>
    <w:rsid w:val="0875BB4D"/>
    <w:rsid w:val="08C96C83"/>
    <w:rsid w:val="0C933BDD"/>
    <w:rsid w:val="0CB27EC9"/>
    <w:rsid w:val="0E436F2E"/>
    <w:rsid w:val="0EA72C26"/>
    <w:rsid w:val="0F1E288B"/>
    <w:rsid w:val="103828EE"/>
    <w:rsid w:val="11868631"/>
    <w:rsid w:val="133BC336"/>
    <w:rsid w:val="133D35DB"/>
    <w:rsid w:val="1448E9CA"/>
    <w:rsid w:val="17034D44"/>
    <w:rsid w:val="1A81C93B"/>
    <w:rsid w:val="1C0493F5"/>
    <w:rsid w:val="1EBA4592"/>
    <w:rsid w:val="20683F3F"/>
    <w:rsid w:val="2262B3C0"/>
    <w:rsid w:val="22C2816A"/>
    <w:rsid w:val="251EB164"/>
    <w:rsid w:val="27CA6290"/>
    <w:rsid w:val="28517AB8"/>
    <w:rsid w:val="28F3A24E"/>
    <w:rsid w:val="29760DEB"/>
    <w:rsid w:val="299CF364"/>
    <w:rsid w:val="2AB5C1E0"/>
    <w:rsid w:val="2B243FAD"/>
    <w:rsid w:val="2BFCEB47"/>
    <w:rsid w:val="2C849E39"/>
    <w:rsid w:val="2EEE4C08"/>
    <w:rsid w:val="3033065F"/>
    <w:rsid w:val="3227F3E5"/>
    <w:rsid w:val="32D68669"/>
    <w:rsid w:val="346A7E1F"/>
    <w:rsid w:val="34B0FC7F"/>
    <w:rsid w:val="362BB1DB"/>
    <w:rsid w:val="363E8106"/>
    <w:rsid w:val="367B4716"/>
    <w:rsid w:val="37541D5A"/>
    <w:rsid w:val="3819676D"/>
    <w:rsid w:val="38440F15"/>
    <w:rsid w:val="387AE600"/>
    <w:rsid w:val="397DAF54"/>
    <w:rsid w:val="3C2C6793"/>
    <w:rsid w:val="3CA0D505"/>
    <w:rsid w:val="3F6628C7"/>
    <w:rsid w:val="3F6AB54F"/>
    <w:rsid w:val="40E29A57"/>
    <w:rsid w:val="414DC6BB"/>
    <w:rsid w:val="4218113C"/>
    <w:rsid w:val="4249DDBE"/>
    <w:rsid w:val="429961E8"/>
    <w:rsid w:val="429C2906"/>
    <w:rsid w:val="42EC4EF4"/>
    <w:rsid w:val="47D2759C"/>
    <w:rsid w:val="4A400271"/>
    <w:rsid w:val="4AB006B8"/>
    <w:rsid w:val="4B0D2DD2"/>
    <w:rsid w:val="4B151BB2"/>
    <w:rsid w:val="4D6A9C44"/>
    <w:rsid w:val="4E9AF51A"/>
    <w:rsid w:val="4FC586E1"/>
    <w:rsid w:val="4FEE37D4"/>
    <w:rsid w:val="513DF1DF"/>
    <w:rsid w:val="5207DF3A"/>
    <w:rsid w:val="53E61B6D"/>
    <w:rsid w:val="553599AD"/>
    <w:rsid w:val="59B1806F"/>
    <w:rsid w:val="5B2DEA8D"/>
    <w:rsid w:val="5B487539"/>
    <w:rsid w:val="5BD40E7C"/>
    <w:rsid w:val="5C8693CC"/>
    <w:rsid w:val="5CE1B4F2"/>
    <w:rsid w:val="5CF5F2CF"/>
    <w:rsid w:val="5D431C47"/>
    <w:rsid w:val="5DDE1E6D"/>
    <w:rsid w:val="5F4D422F"/>
    <w:rsid w:val="5F9F0524"/>
    <w:rsid w:val="6188D53E"/>
    <w:rsid w:val="621422B1"/>
    <w:rsid w:val="62B498A1"/>
    <w:rsid w:val="640382EF"/>
    <w:rsid w:val="64832555"/>
    <w:rsid w:val="67F591C0"/>
    <w:rsid w:val="6905D2DE"/>
    <w:rsid w:val="69BD47CB"/>
    <w:rsid w:val="6AD7C117"/>
    <w:rsid w:val="6AD876CD"/>
    <w:rsid w:val="6BAA39EE"/>
    <w:rsid w:val="6C3C3B53"/>
    <w:rsid w:val="6CA1D1BA"/>
    <w:rsid w:val="6EC145E9"/>
    <w:rsid w:val="6EE33021"/>
    <w:rsid w:val="6FEFC333"/>
    <w:rsid w:val="7005B95E"/>
    <w:rsid w:val="72DA990F"/>
    <w:rsid w:val="739772AA"/>
    <w:rsid w:val="77188B5B"/>
    <w:rsid w:val="785809E5"/>
    <w:rsid w:val="7897A734"/>
    <w:rsid w:val="78C8B1DB"/>
    <w:rsid w:val="78C95839"/>
    <w:rsid w:val="7ADBBBA0"/>
    <w:rsid w:val="7C023789"/>
    <w:rsid w:val="7D7F0796"/>
    <w:rsid w:val="7EE67235"/>
    <w:rsid w:val="7F7ED87D"/>
    <w:rsid w:val="7F9C06E7"/>
    <w:rsid w:val="7FF76B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A3C406E2-D039-465E-BBF6-E85180C1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F40456"/>
    <w:rPr>
      <w:sz w:val="16"/>
      <w:szCs w:val="16"/>
    </w:rPr>
  </w:style>
  <w:style w:type="paragraph" w:styleId="CommentText">
    <w:name w:val="annotation text"/>
    <w:basedOn w:val="Normal"/>
    <w:link w:val="CommentTextChar"/>
    <w:uiPriority w:val="99"/>
    <w:unhideWhenUsed/>
    <w:rsid w:val="00F40456"/>
    <w:pPr>
      <w:spacing w:line="240" w:lineRule="auto"/>
    </w:pPr>
    <w:rPr>
      <w:sz w:val="20"/>
      <w:szCs w:val="20"/>
    </w:rPr>
  </w:style>
  <w:style w:type="character" w:customStyle="1" w:styleId="CommentTextChar">
    <w:name w:val="Comment Text Char"/>
    <w:basedOn w:val="DefaultParagraphFont"/>
    <w:link w:val="CommentText"/>
    <w:uiPriority w:val="99"/>
    <w:rsid w:val="00F40456"/>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0456"/>
    <w:rPr>
      <w:b/>
      <w:bCs/>
    </w:rPr>
  </w:style>
  <w:style w:type="character" w:customStyle="1" w:styleId="CommentSubjectChar">
    <w:name w:val="Comment Subject Char"/>
    <w:basedOn w:val="CommentTextChar"/>
    <w:link w:val="CommentSubject"/>
    <w:uiPriority w:val="99"/>
    <w:semiHidden/>
    <w:rsid w:val="00F40456"/>
    <w:rPr>
      <w:rFonts w:ascii="Calibri" w:eastAsia="Times New Roman" w:hAnsi="Calibri" w:cs="Times New Roman"/>
      <w:b/>
      <w:bCs/>
      <w:kern w:val="0"/>
      <w:sz w:val="20"/>
      <w:szCs w:val="20"/>
      <w14:ligatures w14:val="none"/>
    </w:rPr>
  </w:style>
  <w:style w:type="paragraph" w:styleId="Revision">
    <w:name w:val="Revision"/>
    <w:hidden/>
    <w:uiPriority w:val="99"/>
    <w:semiHidden/>
    <w:rsid w:val="00721082"/>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BD42E0"/>
    <w:rPr>
      <w:color w:val="0563C1" w:themeColor="hyperlink"/>
      <w:u w:val="single"/>
    </w:rPr>
  </w:style>
  <w:style w:type="character" w:styleId="UnresolvedMention">
    <w:name w:val="Unresolved Mention"/>
    <w:basedOn w:val="DefaultParagraphFont"/>
    <w:uiPriority w:val="99"/>
    <w:semiHidden/>
    <w:unhideWhenUsed/>
    <w:rsid w:val="00BD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204">
      <w:bodyDiv w:val="1"/>
      <w:marLeft w:val="0"/>
      <w:marRight w:val="0"/>
      <w:marTop w:val="0"/>
      <w:marBottom w:val="0"/>
      <w:divBdr>
        <w:top w:val="none" w:sz="0" w:space="0" w:color="auto"/>
        <w:left w:val="none" w:sz="0" w:space="0" w:color="auto"/>
        <w:bottom w:val="none" w:sz="0" w:space="0" w:color="auto"/>
        <w:right w:val="none" w:sz="0" w:space="0" w:color="auto"/>
      </w:divBdr>
    </w:div>
    <w:div w:id="29458321">
      <w:bodyDiv w:val="1"/>
      <w:marLeft w:val="0"/>
      <w:marRight w:val="0"/>
      <w:marTop w:val="0"/>
      <w:marBottom w:val="0"/>
      <w:divBdr>
        <w:top w:val="none" w:sz="0" w:space="0" w:color="auto"/>
        <w:left w:val="none" w:sz="0" w:space="0" w:color="auto"/>
        <w:bottom w:val="none" w:sz="0" w:space="0" w:color="auto"/>
        <w:right w:val="none" w:sz="0" w:space="0" w:color="auto"/>
      </w:divBdr>
      <w:divsChild>
        <w:div w:id="618806116">
          <w:marLeft w:val="0"/>
          <w:marRight w:val="0"/>
          <w:marTop w:val="0"/>
          <w:marBottom w:val="0"/>
          <w:divBdr>
            <w:top w:val="none" w:sz="0" w:space="0" w:color="auto"/>
            <w:left w:val="none" w:sz="0" w:space="0" w:color="auto"/>
            <w:bottom w:val="none" w:sz="0" w:space="0" w:color="auto"/>
            <w:right w:val="none" w:sz="0" w:space="0" w:color="auto"/>
          </w:divBdr>
        </w:div>
        <w:div w:id="1379664860">
          <w:marLeft w:val="0"/>
          <w:marRight w:val="0"/>
          <w:marTop w:val="0"/>
          <w:marBottom w:val="0"/>
          <w:divBdr>
            <w:top w:val="none" w:sz="0" w:space="0" w:color="auto"/>
            <w:left w:val="none" w:sz="0" w:space="0" w:color="auto"/>
            <w:bottom w:val="none" w:sz="0" w:space="0" w:color="auto"/>
            <w:right w:val="none" w:sz="0" w:space="0" w:color="auto"/>
          </w:divBdr>
        </w:div>
      </w:divsChild>
    </w:div>
    <w:div w:id="1173493268">
      <w:bodyDiv w:val="1"/>
      <w:marLeft w:val="0"/>
      <w:marRight w:val="0"/>
      <w:marTop w:val="0"/>
      <w:marBottom w:val="0"/>
      <w:divBdr>
        <w:top w:val="none" w:sz="0" w:space="0" w:color="auto"/>
        <w:left w:val="none" w:sz="0" w:space="0" w:color="auto"/>
        <w:bottom w:val="none" w:sz="0" w:space="0" w:color="auto"/>
        <w:right w:val="none" w:sz="0" w:space="0" w:color="auto"/>
      </w:divBdr>
    </w:div>
    <w:div w:id="1247232303">
      <w:bodyDiv w:val="1"/>
      <w:marLeft w:val="0"/>
      <w:marRight w:val="0"/>
      <w:marTop w:val="0"/>
      <w:marBottom w:val="0"/>
      <w:divBdr>
        <w:top w:val="none" w:sz="0" w:space="0" w:color="auto"/>
        <w:left w:val="none" w:sz="0" w:space="0" w:color="auto"/>
        <w:bottom w:val="none" w:sz="0" w:space="0" w:color="auto"/>
        <w:right w:val="none" w:sz="0" w:space="0" w:color="auto"/>
      </w:divBdr>
    </w:div>
    <w:div w:id="1390571117">
      <w:bodyDiv w:val="1"/>
      <w:marLeft w:val="0"/>
      <w:marRight w:val="0"/>
      <w:marTop w:val="0"/>
      <w:marBottom w:val="0"/>
      <w:divBdr>
        <w:top w:val="none" w:sz="0" w:space="0" w:color="auto"/>
        <w:left w:val="none" w:sz="0" w:space="0" w:color="auto"/>
        <w:bottom w:val="none" w:sz="0" w:space="0" w:color="auto"/>
        <w:right w:val="none" w:sz="0" w:space="0" w:color="auto"/>
      </w:divBdr>
    </w:div>
    <w:div w:id="1847937717">
      <w:bodyDiv w:val="1"/>
      <w:marLeft w:val="0"/>
      <w:marRight w:val="0"/>
      <w:marTop w:val="0"/>
      <w:marBottom w:val="0"/>
      <w:divBdr>
        <w:top w:val="none" w:sz="0" w:space="0" w:color="auto"/>
        <w:left w:val="none" w:sz="0" w:space="0" w:color="auto"/>
        <w:bottom w:val="none" w:sz="0" w:space="0" w:color="auto"/>
        <w:right w:val="none" w:sz="0" w:space="0" w:color="auto"/>
      </w:divBdr>
    </w:div>
    <w:div w:id="1854412001">
      <w:bodyDiv w:val="1"/>
      <w:marLeft w:val="0"/>
      <w:marRight w:val="0"/>
      <w:marTop w:val="0"/>
      <w:marBottom w:val="0"/>
      <w:divBdr>
        <w:top w:val="none" w:sz="0" w:space="0" w:color="auto"/>
        <w:left w:val="none" w:sz="0" w:space="0" w:color="auto"/>
        <w:bottom w:val="none" w:sz="0" w:space="0" w:color="auto"/>
        <w:right w:val="none" w:sz="0" w:space="0" w:color="auto"/>
      </w:divBdr>
    </w:div>
    <w:div w:id="1920871014">
      <w:bodyDiv w:val="1"/>
      <w:marLeft w:val="0"/>
      <w:marRight w:val="0"/>
      <w:marTop w:val="0"/>
      <w:marBottom w:val="0"/>
      <w:divBdr>
        <w:top w:val="none" w:sz="0" w:space="0" w:color="auto"/>
        <w:left w:val="none" w:sz="0" w:space="0" w:color="auto"/>
        <w:bottom w:val="none" w:sz="0" w:space="0" w:color="auto"/>
        <w:right w:val="none" w:sz="0" w:space="0" w:color="auto"/>
      </w:divBdr>
      <w:divsChild>
        <w:div w:id="1579746664">
          <w:marLeft w:val="0"/>
          <w:marRight w:val="0"/>
          <w:marTop w:val="0"/>
          <w:marBottom w:val="0"/>
          <w:divBdr>
            <w:top w:val="none" w:sz="0" w:space="0" w:color="auto"/>
            <w:left w:val="none" w:sz="0" w:space="0" w:color="auto"/>
            <w:bottom w:val="none" w:sz="0" w:space="0" w:color="auto"/>
            <w:right w:val="none" w:sz="0" w:space="0" w:color="auto"/>
          </w:divBdr>
        </w:div>
        <w:div w:id="181359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A57047792</value>
    </field>
    <field name="Objective-Title">
      <value order="0">Explanatory Statement - cleared by Minister in track</value>
    </field>
    <field name="Objective-Description">
      <value order="0"/>
    </field>
    <field name="Objective-CreationStamp">
      <value order="0">2025-09-01T23:14:02Z</value>
    </field>
    <field name="Objective-IsApproved">
      <value order="0">false</value>
    </field>
    <field name="Objective-IsPublished">
      <value order="0">true</value>
    </field>
    <field name="Objective-DatePublished">
      <value order="0">2025-09-02T00:02:08Z</value>
    </field>
    <field name="Objective-ModificationStamp">
      <value order="0">2025-09-02T00:02:09Z</value>
    </field>
    <field name="Objective-Owner">
      <value order="0">Hayley Warne</value>
    </field>
    <field name="Objective-Path">
      <value order="0">Whole of ACT Government:ACTHD - ACT Health:GROUP: Office of the Director General (ODG):OFFICE: Office of the Director General (ODG):UNIT: Ministerial and Government Services:02. Assembly:2025 - ACTHD Legislation - MAGS:With MO for Approval:GBC2025/0000446 - Presentation pack - Health Legislation Amendment Bill 2025 (No 2) - Minister for Health:Cleared ES</value>
    </field>
    <field name="Objective-Parent">
      <value order="0">Cleared ES</value>
    </field>
    <field name="Objective-State">
      <value order="0">Published</value>
    </field>
    <field name="Objective-VersionId">
      <value order="0">vA72434656</value>
    </field>
    <field name="Objective-Version">
      <value order="0">2.0</value>
    </field>
    <field name="Objective-VersionNumber">
      <value order="0">2</value>
    </field>
    <field name="Objective-VersionComment">
      <value order="0"/>
    </field>
    <field name="Objective-FileNumber">
      <value order="0">1-2025/0005430</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33f5e55-cadb-4826-8fc4-b2ce97d8ca31">
      <Terms xmlns="http://schemas.microsoft.com/office/infopath/2007/PartnerControls"/>
    </lcf76f155ced4ddcb4097134ff3c332f>
    <TaxCatchAll xmlns="fe3245dd-150d-4f6c-9b7c-bdae642a7cd9" xsi:nil="true"/>
    <_Flow_SignoffStatus xmlns="e33f5e55-cadb-4826-8fc4-b2ce97d8ca31" xsi:nil="true"/>
  </documentManagement>
</p:properties>
</file>

<file path=customXml/itemProps1.xml><?xml version="1.0" encoding="utf-8"?>
<ds:datastoreItem xmlns:ds="http://schemas.openxmlformats.org/officeDocument/2006/customXml" ds:itemID="{6D966CF1-A76C-4CC0-8A43-00BE5D18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e33f5e55-cadb-4826-8fc4-b2ce97d8ca31"/>
    <ds:schemaRef ds:uri="fe3245dd-150d-4f6c-9b7c-bdae642a7cd9"/>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19</Pages>
  <Words>6146</Words>
  <Characters>32451</Characters>
  <Application>Microsoft Office Word</Application>
  <DocSecurity>0</DocSecurity>
  <Lines>624</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6</cp:revision>
  <dcterms:created xsi:type="dcterms:W3CDTF">2025-09-02T23:07:00Z</dcterms:created>
  <dcterms:modified xsi:type="dcterms:W3CDTF">2025-09-04T04:42:00Z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0x010100B13937BA513E924EBAC346C11769DC65</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Id">
    <vt:lpwstr>A57047792</vt:lpwstr>
  </property>
  <property fmtid="{D5CDD505-2E9C-101B-9397-08002B2CF9AE}" pid="11" name="Objective-Title">
    <vt:lpwstr>Explanatory Statement - cleared by Minister in track</vt:lpwstr>
  </property>
  <property fmtid="{D5CDD505-2E9C-101B-9397-08002B2CF9AE}" pid="12" name="Objective-Description">
    <vt:lpwstr/>
  </property>
  <property fmtid="{D5CDD505-2E9C-101B-9397-08002B2CF9AE}" pid="13" name="Objective-CreationStamp">
    <vt:filetime>2025-09-01T23:14:02Z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2025-09-02T00:02:08Z</vt:filetime>
  </property>
  <property fmtid="{D5CDD505-2E9C-101B-9397-08002B2CF9AE}" pid="17" name="Objective-ModificationStamp">
    <vt:filetime>2025-09-02T00:02:09Z</vt:filetime>
  </property>
  <property fmtid="{D5CDD505-2E9C-101B-9397-08002B2CF9AE}" pid="18" name="Objective-Owner">
    <vt:lpwstr>Hayley Warne</vt:lpwstr>
  </property>
  <property fmtid="{D5CDD505-2E9C-101B-9397-08002B2CF9AE}" pid="19" name="Objective-Path">
    <vt:lpwstr>Whole of ACT Government:ACTHD - ACT Health:GROUP: Office of the Director General (ODG):OFFICE: Office of the Director General (ODG):UNIT: Ministerial and Government Services:02. Assembly:2025 - ACTHD Legislation - MAGS:With MO for Approval:GBC2025/0000446 - Presentation pack - Health Legislation Amendment Bill 2025 (No 2) - Minister for Health:Cleared ES</vt:lpwstr>
  </property>
  <property fmtid="{D5CDD505-2E9C-101B-9397-08002B2CF9AE}" pid="20" name="Objective-Parent">
    <vt:lpwstr>Cleared ES</vt:lpwstr>
  </property>
  <property fmtid="{D5CDD505-2E9C-101B-9397-08002B2CF9AE}" pid="21" name="Objective-State">
    <vt:lpwstr>Published</vt:lpwstr>
  </property>
  <property fmtid="{D5CDD505-2E9C-101B-9397-08002B2CF9AE}" pid="22" name="Objective-VersionId">
    <vt:lpwstr>vA72434656</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1-2025/0005430</vt:lpwstr>
  </property>
  <property fmtid="{D5CDD505-2E9C-101B-9397-08002B2CF9AE}" pid="27" name="Objective-Classification">
    <vt:lpwstr>Unclassified (beige file cover)</vt:lpwstr>
  </property>
  <property fmtid="{D5CDD505-2E9C-101B-9397-08002B2CF9AE}" pid="28" name="Objective-Caveats">
    <vt:lpwstr/>
  </property>
  <property fmtid="{D5CDD505-2E9C-101B-9397-08002B2CF9AE}" pid="29" name="Objective-Owner Agency">
    <vt:lpwstr>ACTHD - ACT Health Directorate</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y fmtid="{D5CDD505-2E9C-101B-9397-08002B2CF9AE}" pid="47" name="MediaServiceImageTags">
    <vt:lpwstr/>
  </property>
  <property fmtid="{D5CDD505-2E9C-101B-9397-08002B2CF9AE}" pid="48" name="Objective-OM Author">
    <vt:lpwstr/>
  </property>
  <property fmtid="{D5CDD505-2E9C-101B-9397-08002B2CF9AE}" pid="49" name="Objective-OM Author Organisation">
    <vt:lpwstr/>
  </property>
  <property fmtid="{D5CDD505-2E9C-101B-9397-08002B2CF9AE}" pid="50" name="Objective-OM Author Type">
    <vt:lpwstr/>
  </property>
  <property fmtid="{D5CDD505-2E9C-101B-9397-08002B2CF9AE}" pid="51" name="Objective-OM Date Received">
    <vt:lpwstr/>
  </property>
  <property fmtid="{D5CDD505-2E9C-101B-9397-08002B2CF9AE}" pid="52" name="Objective-OM Date of Document">
    <vt:lpwstr/>
  </property>
  <property fmtid="{D5CDD505-2E9C-101B-9397-08002B2CF9AE}" pid="53" name="Objective-OM External Reference">
    <vt:lpwstr/>
  </property>
  <property fmtid="{D5CDD505-2E9C-101B-9397-08002B2CF9AE}" pid="54" name="Objective-OM Reference">
    <vt:lpwstr/>
  </property>
  <property fmtid="{D5CDD505-2E9C-101B-9397-08002B2CF9AE}" pid="55" name="Objective-OM Topic">
    <vt:lpwstr/>
  </property>
  <property fmtid="{D5CDD505-2E9C-101B-9397-08002B2CF9AE}" pid="56" name="Objective-Suburb">
    <vt:lpwstr/>
  </property>
</Properties>
</file>