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6F3E" w14:textId="7B929C9C" w:rsidR="00C17FAB" w:rsidRDefault="00C17FAB">
      <w:pPr>
        <w:spacing w:before="120"/>
        <w:rPr>
          <w:rFonts w:ascii="Arial" w:hAnsi="Arial" w:cs="Arial"/>
        </w:rPr>
      </w:pPr>
      <w:bookmarkStart w:id="0" w:name="_Toc44738651"/>
      <w:r>
        <w:rPr>
          <w:rFonts w:ascii="Arial" w:hAnsi="Arial" w:cs="Arial"/>
        </w:rPr>
        <w:t>Australian Capital Territory</w:t>
      </w:r>
    </w:p>
    <w:p w14:paraId="32A7A6CB" w14:textId="01A24C60" w:rsidR="00C17FAB" w:rsidRDefault="006559C6">
      <w:pPr>
        <w:pStyle w:val="Billname"/>
        <w:spacing w:before="700"/>
      </w:pPr>
      <w:r w:rsidRPr="006B5FB7">
        <w:t>Property Developers</w:t>
      </w:r>
      <w:r w:rsidR="00FD75CE" w:rsidRPr="006B5FB7">
        <w:t xml:space="preserve"> </w:t>
      </w:r>
      <w:r w:rsidR="00CA3B1F" w:rsidRPr="006B5FB7">
        <w:t>(</w:t>
      </w:r>
      <w:r w:rsidR="006B5FB7" w:rsidRPr="00F82AC4">
        <w:t xml:space="preserve">Relevant Property Developer) </w:t>
      </w:r>
      <w:r w:rsidR="00D74CDF" w:rsidRPr="006B5FB7">
        <w:t>Code of Practice</w:t>
      </w:r>
      <w:r w:rsidR="00FD75CE" w:rsidRPr="006B5FB7">
        <w:t xml:space="preserve"> </w:t>
      </w:r>
      <w:r w:rsidR="00D74CDF" w:rsidRPr="006B5FB7">
        <w:t>202</w:t>
      </w:r>
      <w:r w:rsidR="0011257A" w:rsidRPr="006B5FB7">
        <w:t>5</w:t>
      </w:r>
    </w:p>
    <w:p w14:paraId="64B68A98" w14:textId="22826D2F" w:rsidR="00C17FAB" w:rsidRDefault="002D7C60" w:rsidP="00DA3B00">
      <w:pPr>
        <w:spacing w:before="340"/>
        <w:rPr>
          <w:rFonts w:ascii="Arial" w:hAnsi="Arial" w:cs="Arial"/>
          <w:b/>
          <w:bCs/>
        </w:rPr>
      </w:pPr>
      <w:r>
        <w:rPr>
          <w:rFonts w:ascii="Arial" w:hAnsi="Arial" w:cs="Arial"/>
          <w:b/>
          <w:bCs/>
        </w:rPr>
        <w:t>Disallowable instrument DI</w:t>
      </w:r>
      <w:r w:rsidR="00D74CDF">
        <w:rPr>
          <w:rFonts w:ascii="Arial" w:hAnsi="Arial" w:cs="Arial"/>
          <w:b/>
          <w:bCs/>
        </w:rPr>
        <w:t>202</w:t>
      </w:r>
      <w:r w:rsidR="006559C6">
        <w:rPr>
          <w:rFonts w:ascii="Arial" w:hAnsi="Arial" w:cs="Arial"/>
          <w:b/>
          <w:bCs/>
        </w:rPr>
        <w:t>5</w:t>
      </w:r>
      <w:r w:rsidR="00C17FAB">
        <w:rPr>
          <w:rFonts w:ascii="Arial" w:hAnsi="Arial" w:cs="Arial"/>
          <w:b/>
          <w:bCs/>
        </w:rPr>
        <w:t>–</w:t>
      </w:r>
      <w:r w:rsidR="007C6C99">
        <w:rPr>
          <w:rFonts w:ascii="Arial" w:hAnsi="Arial" w:cs="Arial"/>
          <w:b/>
          <w:bCs/>
        </w:rPr>
        <w:t>248</w:t>
      </w:r>
    </w:p>
    <w:p w14:paraId="49EFC2AF" w14:textId="77777777" w:rsidR="00C17FAB" w:rsidRDefault="00C17FAB" w:rsidP="00DA3B00">
      <w:pPr>
        <w:pStyle w:val="madeunder"/>
        <w:spacing w:before="300" w:after="0"/>
      </w:pPr>
      <w:r>
        <w:t xml:space="preserve">made under the  </w:t>
      </w:r>
    </w:p>
    <w:p w14:paraId="777A1562" w14:textId="62A6ACD5" w:rsidR="00D74CDF" w:rsidRPr="004455B3" w:rsidRDefault="006559C6" w:rsidP="00D74CDF">
      <w:pPr>
        <w:pStyle w:val="CoverActName"/>
        <w:spacing w:before="320" w:after="0"/>
        <w:jc w:val="left"/>
        <w:rPr>
          <w:i/>
          <w:iCs/>
          <w:sz w:val="20"/>
          <w:vertAlign w:val="superscript"/>
        </w:rPr>
      </w:pPr>
      <w:r>
        <w:rPr>
          <w:iCs/>
          <w:sz w:val="20"/>
        </w:rPr>
        <w:t>Property Developers</w:t>
      </w:r>
      <w:r w:rsidR="00D74CDF">
        <w:rPr>
          <w:iCs/>
          <w:sz w:val="20"/>
        </w:rPr>
        <w:t xml:space="preserve"> Act 202</w:t>
      </w:r>
      <w:r>
        <w:rPr>
          <w:iCs/>
          <w:sz w:val="20"/>
        </w:rPr>
        <w:t>4</w:t>
      </w:r>
      <w:r w:rsidR="00D74CDF">
        <w:rPr>
          <w:iCs/>
          <w:sz w:val="20"/>
        </w:rPr>
        <w:t xml:space="preserve">, s </w:t>
      </w:r>
      <w:r w:rsidR="006F1DA3">
        <w:rPr>
          <w:iCs/>
          <w:sz w:val="20"/>
        </w:rPr>
        <w:t>117</w:t>
      </w:r>
      <w:r w:rsidR="00D74CDF">
        <w:rPr>
          <w:iCs/>
          <w:sz w:val="20"/>
        </w:rPr>
        <w:t xml:space="preserve"> (Codes of practice)</w:t>
      </w:r>
    </w:p>
    <w:p w14:paraId="11E7B53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11F31E2" w14:textId="77777777" w:rsidR="00C17FAB" w:rsidRDefault="00C17FAB">
      <w:pPr>
        <w:pStyle w:val="N-line3"/>
        <w:pBdr>
          <w:bottom w:val="none" w:sz="0" w:space="0" w:color="auto"/>
        </w:pBdr>
      </w:pPr>
    </w:p>
    <w:p w14:paraId="24C9621A" w14:textId="77777777" w:rsidR="00C17FAB" w:rsidRDefault="00C17FAB">
      <w:pPr>
        <w:pStyle w:val="N-line3"/>
        <w:pBdr>
          <w:top w:val="single" w:sz="12" w:space="1" w:color="auto"/>
          <w:bottom w:val="none" w:sz="0" w:space="0" w:color="auto"/>
        </w:pBdr>
      </w:pPr>
    </w:p>
    <w:bookmarkEnd w:id="0"/>
    <w:p w14:paraId="62DCAAC0" w14:textId="051C6B33" w:rsidR="00D74CDF" w:rsidRDefault="00D74CDF" w:rsidP="00D74CDF">
      <w:pPr>
        <w:pStyle w:val="longtitle"/>
        <w:shd w:val="clear" w:color="auto" w:fill="FFFFFF"/>
        <w:spacing w:before="0" w:beforeAutospacing="0" w:after="0" w:afterAutospacing="0"/>
        <w:rPr>
          <w:color w:val="000000"/>
        </w:rPr>
      </w:pPr>
      <w:r>
        <w:rPr>
          <w:color w:val="000000"/>
        </w:rPr>
        <w:t>This explanatory statement relates to the</w:t>
      </w:r>
      <w:r w:rsidR="007C25FB">
        <w:rPr>
          <w:color w:val="000000"/>
        </w:rPr>
        <w:t xml:space="preserve"> </w:t>
      </w:r>
      <w:r w:rsidR="006559C6" w:rsidRPr="00DC2471">
        <w:rPr>
          <w:i/>
          <w:iCs/>
          <w:color w:val="000000"/>
        </w:rPr>
        <w:t>Property Developers</w:t>
      </w:r>
      <w:r w:rsidRPr="00DC2471">
        <w:rPr>
          <w:i/>
          <w:iCs/>
          <w:color w:val="000000"/>
        </w:rPr>
        <w:t xml:space="preserve"> </w:t>
      </w:r>
      <w:r w:rsidR="00532C82" w:rsidRPr="00DC2471">
        <w:rPr>
          <w:i/>
          <w:iCs/>
          <w:color w:val="000000"/>
        </w:rPr>
        <w:t>(</w:t>
      </w:r>
      <w:r w:rsidR="006B5FB7" w:rsidRPr="00F82AC4">
        <w:rPr>
          <w:i/>
          <w:iCs/>
          <w:color w:val="000000"/>
        </w:rPr>
        <w:t xml:space="preserve">Relevant Property Developer) </w:t>
      </w:r>
      <w:r w:rsidRPr="00DC2471">
        <w:rPr>
          <w:i/>
          <w:iCs/>
          <w:color w:val="000000"/>
        </w:rPr>
        <w:t>Code of Practice</w:t>
      </w:r>
      <w:r w:rsidR="002B1B77" w:rsidRPr="00DC2471">
        <w:rPr>
          <w:i/>
          <w:iCs/>
          <w:color w:val="000000"/>
        </w:rPr>
        <w:t xml:space="preserve"> </w:t>
      </w:r>
      <w:r w:rsidRPr="00DC2471">
        <w:rPr>
          <w:i/>
          <w:iCs/>
          <w:color w:val="000000"/>
        </w:rPr>
        <w:t>202</w:t>
      </w:r>
      <w:r w:rsidR="0011257A" w:rsidRPr="00DC2471">
        <w:rPr>
          <w:i/>
          <w:iCs/>
          <w:color w:val="000000"/>
        </w:rPr>
        <w:t>5</w:t>
      </w:r>
      <w:r w:rsidR="007C25FB">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p>
    <w:p w14:paraId="468F81CF" w14:textId="406041DA" w:rsidR="00D74CDF" w:rsidRDefault="00D74CDF" w:rsidP="00D74CDF">
      <w:pPr>
        <w:pStyle w:val="longtitle"/>
        <w:shd w:val="clear" w:color="auto" w:fill="FFFFFF"/>
        <w:spacing w:before="0" w:beforeAutospacing="0" w:after="0" w:afterAutospacing="0"/>
        <w:rPr>
          <w:color w:val="000000"/>
        </w:rPr>
      </w:pPr>
    </w:p>
    <w:p w14:paraId="0A73B7EC" w14:textId="55914678" w:rsidR="00D74CDF" w:rsidRDefault="00D74CDF" w:rsidP="00D74CDF">
      <w:pPr>
        <w:pStyle w:val="longtitle"/>
        <w:shd w:val="clear" w:color="auto" w:fill="FFFFFF"/>
        <w:spacing w:before="0" w:beforeAutospacing="0" w:after="0" w:afterAutospacing="0"/>
        <w:rPr>
          <w:color w:val="000000"/>
        </w:rPr>
      </w:pPr>
      <w:r>
        <w:rPr>
          <w:color w:val="000000"/>
        </w:rPr>
        <w:t>Th</w:t>
      </w:r>
      <w:r w:rsidR="00836BB8">
        <w:rPr>
          <w:color w:val="000000"/>
        </w:rPr>
        <w:t xml:space="preserve">is </w:t>
      </w:r>
      <w:r w:rsidR="0005320C">
        <w:rPr>
          <w:color w:val="000000"/>
        </w:rPr>
        <w:t>s</w:t>
      </w:r>
      <w:r w:rsidR="004E2935">
        <w:rPr>
          <w:color w:val="000000"/>
        </w:rPr>
        <w:t>tatement</w:t>
      </w:r>
      <w:r>
        <w:rPr>
          <w:color w:val="000000"/>
        </w:rPr>
        <w:t xml:space="preserve"> must be read in conjunction with the instrument. It is not, and is not meant to be, a comprehensive description of the instrument. </w:t>
      </w:r>
      <w:r w:rsidR="004E2935">
        <w:rPr>
          <w:color w:val="000000"/>
        </w:rPr>
        <w:t>What is said about a provision is not to be taken an authoritative guide to the meaning of a provision, this being a task for the courts.</w:t>
      </w:r>
    </w:p>
    <w:p w14:paraId="1463846C" w14:textId="77777777" w:rsidR="00D74CDF" w:rsidRDefault="00D74CDF" w:rsidP="00D74CDF">
      <w:pPr>
        <w:pStyle w:val="longtitle"/>
        <w:shd w:val="clear" w:color="auto" w:fill="FFFFFF"/>
        <w:spacing w:before="0" w:beforeAutospacing="0" w:after="0" w:afterAutospacing="0"/>
        <w:rPr>
          <w:color w:val="000000"/>
        </w:rPr>
      </w:pPr>
    </w:p>
    <w:p w14:paraId="7D7D2564" w14:textId="054CC512" w:rsidR="00836BB8" w:rsidRPr="00836BB8" w:rsidRDefault="00836BB8" w:rsidP="00D74CDF">
      <w:pPr>
        <w:pStyle w:val="longtitle"/>
        <w:shd w:val="clear" w:color="auto" w:fill="FFFFFF"/>
        <w:spacing w:before="0" w:beforeAutospacing="0" w:after="0" w:afterAutospacing="0"/>
        <w:rPr>
          <w:b/>
          <w:bCs/>
          <w:color w:val="000000"/>
        </w:rPr>
      </w:pPr>
      <w:r w:rsidRPr="00836BB8">
        <w:rPr>
          <w:b/>
          <w:bCs/>
          <w:color w:val="000000"/>
        </w:rPr>
        <w:t>Background</w:t>
      </w:r>
    </w:p>
    <w:p w14:paraId="229188CB" w14:textId="77777777" w:rsidR="00836BB8" w:rsidRDefault="00836BB8" w:rsidP="00D74CDF">
      <w:pPr>
        <w:pStyle w:val="longtitle"/>
        <w:shd w:val="clear" w:color="auto" w:fill="FFFFFF"/>
        <w:spacing w:before="0" w:beforeAutospacing="0" w:after="0" w:afterAutospacing="0"/>
        <w:rPr>
          <w:color w:val="000000"/>
        </w:rPr>
      </w:pPr>
    </w:p>
    <w:p w14:paraId="36618A81" w14:textId="689B4DAA" w:rsidR="00836BB8" w:rsidRPr="008A059D" w:rsidRDefault="00836BB8" w:rsidP="00D74CDF">
      <w:pPr>
        <w:pStyle w:val="longtitle"/>
        <w:shd w:val="clear" w:color="auto" w:fill="FFFFFF"/>
        <w:spacing w:before="0" w:beforeAutospacing="0" w:after="0" w:afterAutospacing="0"/>
        <w:rPr>
          <w:color w:val="000000"/>
          <w:shd w:val="clear" w:color="auto" w:fill="FFFFFF"/>
        </w:rPr>
      </w:pPr>
      <w:r>
        <w:rPr>
          <w:color w:val="000000"/>
        </w:rPr>
        <w:t xml:space="preserve">The </w:t>
      </w:r>
      <w:r>
        <w:rPr>
          <w:i/>
          <w:iCs/>
          <w:color w:val="000000"/>
        </w:rPr>
        <w:t xml:space="preserve">Property Developers Act 2024 </w:t>
      </w:r>
      <w:r>
        <w:rPr>
          <w:color w:val="000000"/>
        </w:rPr>
        <w:t xml:space="preserve">(the </w:t>
      </w:r>
      <w:r w:rsidRPr="00F82AC4">
        <w:rPr>
          <w:b/>
          <w:bCs/>
          <w:i/>
          <w:iCs/>
          <w:color w:val="000000"/>
        </w:rPr>
        <w:t>Act</w:t>
      </w:r>
      <w:r>
        <w:rPr>
          <w:color w:val="000000"/>
        </w:rPr>
        <w:t>)</w:t>
      </w:r>
      <w:r w:rsidR="008A059D">
        <w:rPr>
          <w:color w:val="000000"/>
        </w:rPr>
        <w:t xml:space="preserve"> </w:t>
      </w:r>
      <w:r w:rsidR="008A059D" w:rsidRPr="008A059D">
        <w:rPr>
          <w:color w:val="000000"/>
          <w:shd w:val="clear" w:color="auto" w:fill="FFFFFF"/>
        </w:rPr>
        <w:t>establishes a framework for licensing certain residential property developers, and a regulatory scheme to bring these property developers into the regulatory chain of accountability for building work they are involved in</w:t>
      </w:r>
      <w:r w:rsidR="008A059D">
        <w:rPr>
          <w:color w:val="000000"/>
          <w:shd w:val="clear" w:color="auto" w:fill="FFFFFF"/>
        </w:rPr>
        <w:t>.</w:t>
      </w:r>
    </w:p>
    <w:p w14:paraId="688596AA" w14:textId="77777777" w:rsidR="00836BB8" w:rsidRDefault="00836BB8" w:rsidP="00D74CDF">
      <w:pPr>
        <w:pStyle w:val="longtitle"/>
        <w:shd w:val="clear" w:color="auto" w:fill="FFFFFF"/>
        <w:spacing w:before="0" w:beforeAutospacing="0" w:after="0" w:afterAutospacing="0"/>
        <w:rPr>
          <w:color w:val="000000"/>
        </w:rPr>
      </w:pPr>
    </w:p>
    <w:p w14:paraId="0CD2B510" w14:textId="2203CD00" w:rsidR="008A059D" w:rsidRDefault="00D74CDF" w:rsidP="00D74CDF">
      <w:pPr>
        <w:pStyle w:val="longtitle"/>
        <w:shd w:val="clear" w:color="auto" w:fill="FFFFFF"/>
        <w:spacing w:before="0" w:beforeAutospacing="0" w:after="0" w:afterAutospacing="0"/>
        <w:rPr>
          <w:color w:val="000000"/>
          <w:shd w:val="clear" w:color="auto" w:fill="FFFFFF"/>
        </w:rPr>
      </w:pPr>
      <w:r w:rsidRPr="006F1DA3">
        <w:rPr>
          <w:color w:val="000000"/>
          <w:shd w:val="clear" w:color="auto" w:fill="FFFFFF"/>
        </w:rPr>
        <w:t>Section </w:t>
      </w:r>
      <w:r w:rsidR="006F1DA3">
        <w:rPr>
          <w:color w:val="000000"/>
          <w:shd w:val="clear" w:color="auto" w:fill="FFFFFF"/>
        </w:rPr>
        <w:t>117</w:t>
      </w:r>
      <w:r w:rsidR="00836BB8">
        <w:rPr>
          <w:color w:val="000000"/>
          <w:shd w:val="clear" w:color="auto" w:fill="FFFFFF"/>
        </w:rPr>
        <w:t xml:space="preserve"> </w:t>
      </w:r>
      <w:r>
        <w:rPr>
          <w:color w:val="000000"/>
          <w:shd w:val="clear" w:color="auto" w:fill="FFFFFF"/>
        </w:rPr>
        <w:t xml:space="preserve">of </w:t>
      </w:r>
      <w:r w:rsidRPr="00A24726">
        <w:rPr>
          <w:color w:val="000000"/>
          <w:shd w:val="clear" w:color="auto" w:fill="FFFFFF"/>
        </w:rPr>
        <w:t>the</w:t>
      </w:r>
      <w:r w:rsidR="00836BB8" w:rsidRPr="00A24726">
        <w:rPr>
          <w:color w:val="000000"/>
          <w:shd w:val="clear" w:color="auto" w:fill="FFFFFF"/>
        </w:rPr>
        <w:t xml:space="preserve"> </w:t>
      </w:r>
      <w:r w:rsidRPr="00A24726">
        <w:rPr>
          <w:color w:val="000000"/>
          <w:shd w:val="clear" w:color="auto" w:fill="FFFFFF"/>
        </w:rPr>
        <w:t>Act permits</w:t>
      </w:r>
      <w:r>
        <w:rPr>
          <w:color w:val="000000"/>
          <w:shd w:val="clear" w:color="auto" w:fill="FFFFFF"/>
        </w:rPr>
        <w:t xml:space="preserve"> the</w:t>
      </w:r>
      <w:r w:rsidR="00A4726B">
        <w:rPr>
          <w:color w:val="000000"/>
          <w:shd w:val="clear" w:color="auto" w:fill="FFFFFF"/>
        </w:rPr>
        <w:t xml:space="preserve"> Minister to</w:t>
      </w:r>
      <w:r>
        <w:rPr>
          <w:color w:val="000000"/>
          <w:shd w:val="clear" w:color="auto" w:fill="FFFFFF"/>
        </w:rPr>
        <w:t xml:space="preserve"> </w:t>
      </w:r>
      <w:r w:rsidR="00650AC2">
        <w:rPr>
          <w:color w:val="000000"/>
          <w:shd w:val="clear" w:color="auto" w:fill="FFFFFF"/>
        </w:rPr>
        <w:t xml:space="preserve">approve a code of practice for </w:t>
      </w:r>
      <w:r w:rsidR="00836BB8">
        <w:rPr>
          <w:color w:val="000000"/>
          <w:shd w:val="clear" w:color="auto" w:fill="FFFFFF"/>
        </w:rPr>
        <w:t xml:space="preserve">a relevant </w:t>
      </w:r>
      <w:r w:rsidR="006559C6">
        <w:rPr>
          <w:color w:val="000000"/>
          <w:shd w:val="clear" w:color="auto" w:fill="FFFFFF"/>
        </w:rPr>
        <w:t>property</w:t>
      </w:r>
      <w:r w:rsidR="00650AC2">
        <w:rPr>
          <w:color w:val="000000"/>
          <w:shd w:val="clear" w:color="auto" w:fill="FFFFFF"/>
        </w:rPr>
        <w:t xml:space="preserve"> </w:t>
      </w:r>
      <w:r w:rsidR="006559C6" w:rsidRPr="006F1DA3">
        <w:rPr>
          <w:color w:val="000000"/>
          <w:shd w:val="clear" w:color="auto" w:fill="FFFFFF"/>
        </w:rPr>
        <w:t>developer</w:t>
      </w:r>
      <w:r w:rsidRPr="006F1DA3">
        <w:rPr>
          <w:color w:val="000000"/>
          <w:shd w:val="clear" w:color="auto" w:fill="FFFFFF"/>
        </w:rPr>
        <w:t>.</w:t>
      </w:r>
      <w:r>
        <w:rPr>
          <w:color w:val="000000"/>
          <w:shd w:val="clear" w:color="auto" w:fill="FFFFFF"/>
        </w:rPr>
        <w:t xml:space="preserve"> </w:t>
      </w:r>
      <w:r w:rsidR="00C62884" w:rsidRPr="002539BF">
        <w:rPr>
          <w:color w:val="000000"/>
          <w:shd w:val="clear" w:color="auto" w:fill="FFFFFF"/>
        </w:rPr>
        <w:t xml:space="preserve">This </w:t>
      </w:r>
      <w:r w:rsidR="00836BB8">
        <w:rPr>
          <w:color w:val="000000"/>
          <w:shd w:val="clear" w:color="auto" w:fill="FFFFFF"/>
        </w:rPr>
        <w:t>c</w:t>
      </w:r>
      <w:r w:rsidR="00C62884" w:rsidRPr="002539BF">
        <w:rPr>
          <w:color w:val="000000"/>
          <w:shd w:val="clear" w:color="auto" w:fill="FFFFFF"/>
        </w:rPr>
        <w:t xml:space="preserve">ode of </w:t>
      </w:r>
      <w:r w:rsidR="00836BB8">
        <w:rPr>
          <w:color w:val="000000"/>
          <w:shd w:val="clear" w:color="auto" w:fill="FFFFFF"/>
        </w:rPr>
        <w:t>p</w:t>
      </w:r>
      <w:r w:rsidR="00C62884" w:rsidRPr="002539BF">
        <w:rPr>
          <w:color w:val="000000"/>
          <w:shd w:val="clear" w:color="auto" w:fill="FFFFFF"/>
        </w:rPr>
        <w:t xml:space="preserve">ractice </w:t>
      </w:r>
      <w:r w:rsidR="00865D3C">
        <w:rPr>
          <w:color w:val="000000"/>
          <w:shd w:val="clear" w:color="auto" w:fill="FFFFFF"/>
        </w:rPr>
        <w:t xml:space="preserve">(the </w:t>
      </w:r>
      <w:r w:rsidR="00865D3C" w:rsidRPr="00F82AC4">
        <w:rPr>
          <w:b/>
          <w:bCs/>
          <w:i/>
          <w:iCs/>
          <w:color w:val="000000"/>
          <w:shd w:val="clear" w:color="auto" w:fill="FFFFFF"/>
        </w:rPr>
        <w:t>Code</w:t>
      </w:r>
      <w:r w:rsidR="00865D3C">
        <w:rPr>
          <w:color w:val="000000"/>
          <w:shd w:val="clear" w:color="auto" w:fill="FFFFFF"/>
        </w:rPr>
        <w:t xml:space="preserve">) </w:t>
      </w:r>
      <w:r w:rsidR="00C62884" w:rsidRPr="002539BF">
        <w:rPr>
          <w:color w:val="000000"/>
          <w:shd w:val="clear" w:color="auto" w:fill="FFFFFF"/>
        </w:rPr>
        <w:t xml:space="preserve">for </w:t>
      </w:r>
      <w:r w:rsidR="00C43759">
        <w:rPr>
          <w:color w:val="000000"/>
          <w:shd w:val="clear" w:color="auto" w:fill="FFFFFF"/>
        </w:rPr>
        <w:t xml:space="preserve">relevant </w:t>
      </w:r>
      <w:r w:rsidR="006559C6">
        <w:rPr>
          <w:color w:val="000000"/>
          <w:shd w:val="clear" w:color="auto" w:fill="FFFFFF"/>
        </w:rPr>
        <w:t>property developers</w:t>
      </w:r>
      <w:r w:rsidR="00C62884">
        <w:rPr>
          <w:color w:val="000000"/>
          <w:shd w:val="clear" w:color="auto" w:fill="FFFFFF"/>
        </w:rPr>
        <w:t xml:space="preserve"> </w:t>
      </w:r>
      <w:r w:rsidR="00C62884" w:rsidRPr="002539BF">
        <w:rPr>
          <w:color w:val="000000"/>
          <w:shd w:val="clear" w:color="auto" w:fill="FFFFFF"/>
        </w:rPr>
        <w:t xml:space="preserve">is made </w:t>
      </w:r>
      <w:r w:rsidR="00C62884" w:rsidRPr="006F1DA3">
        <w:rPr>
          <w:color w:val="000000"/>
          <w:shd w:val="clear" w:color="auto" w:fill="FFFFFF"/>
        </w:rPr>
        <w:t xml:space="preserve">under section </w:t>
      </w:r>
      <w:r w:rsidR="006F1DA3" w:rsidRPr="006F1DA3">
        <w:rPr>
          <w:color w:val="000000"/>
          <w:shd w:val="clear" w:color="auto" w:fill="FFFFFF"/>
        </w:rPr>
        <w:t>117</w:t>
      </w:r>
      <w:r w:rsidR="00F82AC4">
        <w:rPr>
          <w:color w:val="000000"/>
          <w:shd w:val="clear" w:color="auto" w:fill="FFFFFF"/>
        </w:rPr>
        <w:t> </w:t>
      </w:r>
      <w:r w:rsidR="00C62884" w:rsidRPr="006F1DA3">
        <w:rPr>
          <w:color w:val="000000"/>
          <w:shd w:val="clear" w:color="auto" w:fill="FFFFFF"/>
        </w:rPr>
        <w:t>(1) of</w:t>
      </w:r>
      <w:r w:rsidR="00C62884" w:rsidRPr="002539BF">
        <w:rPr>
          <w:color w:val="000000"/>
          <w:shd w:val="clear" w:color="auto" w:fill="FFFFFF"/>
        </w:rPr>
        <w:t xml:space="preserve"> th</w:t>
      </w:r>
      <w:r w:rsidR="00C62884" w:rsidRPr="008A059D">
        <w:rPr>
          <w:color w:val="000000"/>
          <w:shd w:val="clear" w:color="auto" w:fill="FFFFFF"/>
        </w:rPr>
        <w:t>e Act.</w:t>
      </w:r>
    </w:p>
    <w:p w14:paraId="5C017C08" w14:textId="77777777" w:rsidR="008A059D" w:rsidRPr="008A059D" w:rsidRDefault="008A059D" w:rsidP="00D74CDF">
      <w:pPr>
        <w:pStyle w:val="longtitle"/>
        <w:shd w:val="clear" w:color="auto" w:fill="FFFFFF"/>
        <w:spacing w:before="0" w:beforeAutospacing="0" w:after="0" w:afterAutospacing="0"/>
        <w:rPr>
          <w:color w:val="000000"/>
          <w:shd w:val="clear" w:color="auto" w:fill="FFFFFF"/>
        </w:rPr>
      </w:pPr>
    </w:p>
    <w:p w14:paraId="67ACB7DC" w14:textId="73EA06A9" w:rsidR="008A059D" w:rsidRDefault="00D74CDF" w:rsidP="00D74CDF">
      <w:pPr>
        <w:pStyle w:val="longtitle"/>
        <w:shd w:val="clear" w:color="auto" w:fill="FFFFFF"/>
        <w:spacing w:before="0" w:beforeAutospacing="0" w:after="0" w:afterAutospacing="0"/>
        <w:rPr>
          <w:color w:val="000000"/>
          <w:shd w:val="clear" w:color="auto" w:fill="FFFFFF"/>
        </w:rPr>
      </w:pPr>
      <w:r w:rsidRPr="008A059D">
        <w:rPr>
          <w:color w:val="000000"/>
          <w:shd w:val="clear" w:color="auto" w:fill="FFFFFF"/>
        </w:rPr>
        <w:t xml:space="preserve">Under </w:t>
      </w:r>
      <w:r w:rsidR="008A059D">
        <w:rPr>
          <w:color w:val="000000"/>
          <w:shd w:val="clear" w:color="auto" w:fill="FFFFFF"/>
        </w:rPr>
        <w:t>section 117</w:t>
      </w:r>
      <w:r w:rsidR="00C43759">
        <w:rPr>
          <w:color w:val="000000"/>
          <w:shd w:val="clear" w:color="auto" w:fill="FFFFFF"/>
        </w:rPr>
        <w:t> </w:t>
      </w:r>
      <w:r w:rsidR="008A059D">
        <w:rPr>
          <w:color w:val="000000"/>
          <w:shd w:val="clear" w:color="auto" w:fill="FFFFFF"/>
        </w:rPr>
        <w:t xml:space="preserve">(3) of </w:t>
      </w:r>
      <w:r w:rsidRPr="008A059D">
        <w:rPr>
          <w:color w:val="000000"/>
          <w:shd w:val="clear" w:color="auto" w:fill="FFFFFF"/>
        </w:rPr>
        <w:t>the Act, a</w:t>
      </w:r>
      <w:r w:rsidR="00471253" w:rsidRPr="008A059D">
        <w:rPr>
          <w:color w:val="000000"/>
          <w:shd w:val="clear" w:color="auto" w:fill="FFFFFF"/>
        </w:rPr>
        <w:t xml:space="preserve"> licensed</w:t>
      </w:r>
      <w:r w:rsidRPr="008A059D">
        <w:rPr>
          <w:color w:val="000000"/>
          <w:shd w:val="clear" w:color="auto" w:fill="FFFFFF"/>
        </w:rPr>
        <w:t xml:space="preserve"> </w:t>
      </w:r>
      <w:r w:rsidR="006559C6" w:rsidRPr="008A059D">
        <w:rPr>
          <w:color w:val="000000"/>
          <w:shd w:val="clear" w:color="auto" w:fill="FFFFFF"/>
        </w:rPr>
        <w:t>property</w:t>
      </w:r>
      <w:r w:rsidRPr="008A059D">
        <w:rPr>
          <w:color w:val="000000"/>
          <w:shd w:val="clear" w:color="auto" w:fill="FFFFFF"/>
        </w:rPr>
        <w:t xml:space="preserve"> </w:t>
      </w:r>
      <w:r w:rsidR="006559C6" w:rsidRPr="008A059D">
        <w:rPr>
          <w:color w:val="000000"/>
          <w:shd w:val="clear" w:color="auto" w:fill="FFFFFF"/>
        </w:rPr>
        <w:t>developer</w:t>
      </w:r>
      <w:r w:rsidRPr="008A059D">
        <w:rPr>
          <w:color w:val="000000"/>
          <w:shd w:val="clear" w:color="auto" w:fill="FFFFFF"/>
        </w:rPr>
        <w:t xml:space="preserve"> is </w:t>
      </w:r>
      <w:r w:rsidR="008A059D">
        <w:rPr>
          <w:color w:val="000000"/>
          <w:shd w:val="clear" w:color="auto" w:fill="FFFFFF"/>
        </w:rPr>
        <w:t>required</w:t>
      </w:r>
      <w:r w:rsidR="00650AC2" w:rsidRPr="008A059D">
        <w:rPr>
          <w:color w:val="000000"/>
          <w:shd w:val="clear" w:color="auto" w:fill="FFFFFF"/>
        </w:rPr>
        <w:t xml:space="preserve"> to comply with </w:t>
      </w:r>
      <w:r w:rsidR="008A059D">
        <w:rPr>
          <w:color w:val="000000"/>
          <w:shd w:val="clear" w:color="auto" w:fill="FFFFFF"/>
        </w:rPr>
        <w:t xml:space="preserve">the Code. </w:t>
      </w:r>
      <w:r w:rsidR="009873D6">
        <w:rPr>
          <w:color w:val="000000"/>
          <w:shd w:val="clear" w:color="auto" w:fill="FFFFFF"/>
        </w:rPr>
        <w:t>Section</w:t>
      </w:r>
      <w:r w:rsidR="008A059D">
        <w:rPr>
          <w:color w:val="000000"/>
          <w:shd w:val="clear" w:color="auto" w:fill="FFFFFF"/>
        </w:rPr>
        <w:t> </w:t>
      </w:r>
      <w:r w:rsidR="009873D6">
        <w:rPr>
          <w:color w:val="000000"/>
          <w:shd w:val="clear" w:color="auto" w:fill="FFFFFF"/>
        </w:rPr>
        <w:t>117</w:t>
      </w:r>
      <w:r w:rsidR="00C43759">
        <w:rPr>
          <w:color w:val="000000"/>
          <w:shd w:val="clear" w:color="auto" w:fill="FFFFFF"/>
        </w:rPr>
        <w:t> </w:t>
      </w:r>
      <w:r w:rsidR="008A059D">
        <w:rPr>
          <w:color w:val="000000"/>
          <w:shd w:val="clear" w:color="auto" w:fill="FFFFFF"/>
        </w:rPr>
        <w:t>(1)</w:t>
      </w:r>
      <w:r w:rsidR="00C43759">
        <w:rPr>
          <w:color w:val="000000"/>
          <w:shd w:val="clear" w:color="auto" w:fill="FFFFFF"/>
        </w:rPr>
        <w:t> </w:t>
      </w:r>
      <w:r w:rsidR="008A059D">
        <w:rPr>
          <w:color w:val="000000"/>
          <w:shd w:val="clear" w:color="auto" w:fill="FFFFFF"/>
        </w:rPr>
        <w:t>(b)</w:t>
      </w:r>
      <w:r w:rsidR="009873D6">
        <w:rPr>
          <w:color w:val="000000"/>
          <w:shd w:val="clear" w:color="auto" w:fill="FFFFFF"/>
        </w:rPr>
        <w:t xml:space="preserve"> also allows for a regulation to be made to prescribe other property developers who must comply with </w:t>
      </w:r>
      <w:r w:rsidR="008A059D">
        <w:rPr>
          <w:color w:val="000000"/>
          <w:shd w:val="clear" w:color="auto" w:fill="FFFFFF"/>
        </w:rPr>
        <w:t>the C</w:t>
      </w:r>
      <w:r w:rsidR="009873D6">
        <w:rPr>
          <w:color w:val="000000"/>
          <w:shd w:val="clear" w:color="auto" w:fill="FFFFFF"/>
        </w:rPr>
        <w:t>ode.</w:t>
      </w:r>
    </w:p>
    <w:p w14:paraId="3F7F4D7B" w14:textId="77777777" w:rsidR="008A059D" w:rsidRDefault="008A059D" w:rsidP="00D74CDF">
      <w:pPr>
        <w:pStyle w:val="longtitle"/>
        <w:shd w:val="clear" w:color="auto" w:fill="FFFFFF"/>
        <w:spacing w:before="0" w:beforeAutospacing="0" w:after="0" w:afterAutospacing="0"/>
        <w:rPr>
          <w:color w:val="000000"/>
          <w:shd w:val="clear" w:color="auto" w:fill="FFFFFF"/>
        </w:rPr>
      </w:pPr>
    </w:p>
    <w:p w14:paraId="37F793C5" w14:textId="4AB4953E" w:rsidR="00FF0A5F" w:rsidRDefault="008A059D" w:rsidP="00D74CDF">
      <w:pPr>
        <w:pStyle w:val="longtitle"/>
        <w:shd w:val="clear" w:color="auto" w:fill="FFFFFF"/>
        <w:spacing w:before="0" w:beforeAutospacing="0" w:after="0" w:afterAutospacing="0"/>
      </w:pPr>
      <w:r w:rsidRPr="009D75B5">
        <w:rPr>
          <w:color w:val="000000"/>
          <w:shd w:val="clear" w:color="auto" w:fill="FFFFFF"/>
        </w:rPr>
        <w:t>F</w:t>
      </w:r>
      <w:r w:rsidR="00D14480" w:rsidRPr="009D75B5">
        <w:t>ailure to comply with th</w:t>
      </w:r>
      <w:r w:rsidR="00865D3C" w:rsidRPr="009D75B5">
        <w:t>e</w:t>
      </w:r>
      <w:r w:rsidR="00D14480" w:rsidRPr="009D75B5">
        <w:t xml:space="preserve"> Code is both ground</w:t>
      </w:r>
      <w:r w:rsidR="00865D3C" w:rsidRPr="009D75B5">
        <w:t>s</w:t>
      </w:r>
      <w:r w:rsidR="00D14480" w:rsidRPr="009D75B5">
        <w:t xml:space="preserve"> for </w:t>
      </w:r>
      <w:r w:rsidR="009D75B5" w:rsidRPr="009D75B5">
        <w:t>regulatory action (section</w:t>
      </w:r>
      <w:r w:rsidR="007C25FB">
        <w:t> </w:t>
      </w:r>
      <w:r w:rsidR="009D75B5" w:rsidRPr="009D75B5">
        <w:t>33)</w:t>
      </w:r>
      <w:r w:rsidR="00D14480" w:rsidRPr="009D75B5">
        <w:t xml:space="preserve"> and an offence (section</w:t>
      </w:r>
      <w:r w:rsidR="009D75B5" w:rsidRPr="009D75B5">
        <w:t> </w:t>
      </w:r>
      <w:r w:rsidR="006F1DA3" w:rsidRPr="009D75B5">
        <w:t>95</w:t>
      </w:r>
      <w:r w:rsidR="00D14480" w:rsidRPr="009D75B5">
        <w:t>).</w:t>
      </w:r>
    </w:p>
    <w:p w14:paraId="29E05151" w14:textId="77777777" w:rsidR="00FF0A5F" w:rsidRDefault="00FF0A5F" w:rsidP="00D74CDF">
      <w:pPr>
        <w:pStyle w:val="longtitle"/>
        <w:shd w:val="clear" w:color="auto" w:fill="FFFFFF"/>
        <w:spacing w:before="0" w:beforeAutospacing="0" w:after="0" w:afterAutospacing="0"/>
      </w:pPr>
    </w:p>
    <w:p w14:paraId="48DBD2BD" w14:textId="13CF20D4" w:rsidR="00D74CDF" w:rsidRDefault="00D74CDF" w:rsidP="00D74CDF">
      <w:pPr>
        <w:pStyle w:val="longtitle"/>
        <w:shd w:val="clear" w:color="auto" w:fill="FFFFFF"/>
        <w:spacing w:before="0" w:beforeAutospacing="0" w:after="0" w:afterAutospacing="0"/>
        <w:rPr>
          <w:color w:val="000000"/>
        </w:rPr>
      </w:pPr>
      <w:r w:rsidRPr="00D74CDF">
        <w:rPr>
          <w:color w:val="000000"/>
          <w:shd w:val="clear" w:color="auto" w:fill="FFFFFF"/>
        </w:rPr>
        <w:t xml:space="preserve">The </w:t>
      </w:r>
      <w:r w:rsidR="009D75B5">
        <w:rPr>
          <w:color w:val="000000"/>
          <w:shd w:val="clear" w:color="auto" w:fill="FFFFFF"/>
        </w:rPr>
        <w:t>C</w:t>
      </w:r>
      <w:r w:rsidR="00D8633D">
        <w:rPr>
          <w:color w:val="000000"/>
          <w:shd w:val="clear" w:color="auto" w:fill="FFFFFF"/>
        </w:rPr>
        <w:t xml:space="preserve">ode </w:t>
      </w:r>
      <w:r w:rsidR="00CC4816">
        <w:rPr>
          <w:color w:val="000000"/>
          <w:shd w:val="clear" w:color="auto" w:fill="FFFFFF"/>
        </w:rPr>
        <w:t xml:space="preserve">is </w:t>
      </w:r>
      <w:r w:rsidRPr="00D74CDF">
        <w:rPr>
          <w:color w:val="000000"/>
          <w:shd w:val="clear" w:color="auto" w:fill="FFFFFF"/>
        </w:rPr>
        <w:t>a disallowable instrument and must be presented to the Legislative Assembly within 6</w:t>
      </w:r>
      <w:r w:rsidR="007C25FB">
        <w:rPr>
          <w:color w:val="000000"/>
          <w:shd w:val="clear" w:color="auto" w:fill="FFFFFF"/>
        </w:rPr>
        <w:t> </w:t>
      </w:r>
      <w:r w:rsidRPr="00D74CDF">
        <w:rPr>
          <w:color w:val="000000"/>
          <w:shd w:val="clear" w:color="auto" w:fill="FFFFFF"/>
        </w:rPr>
        <w:t>sitting days after its notification pursuant to section</w:t>
      </w:r>
      <w:r w:rsidR="00CC4816">
        <w:rPr>
          <w:color w:val="000000"/>
          <w:shd w:val="clear" w:color="auto" w:fill="FFFFFF"/>
        </w:rPr>
        <w:t> </w:t>
      </w:r>
      <w:r w:rsidRPr="00D74CDF">
        <w:rPr>
          <w:color w:val="000000"/>
          <w:shd w:val="clear" w:color="auto" w:fill="FFFFFF"/>
        </w:rPr>
        <w:t>64 of the</w:t>
      </w:r>
      <w:r w:rsidR="00CC4816">
        <w:rPr>
          <w:color w:val="000000"/>
          <w:shd w:val="clear" w:color="auto" w:fill="FFFFFF"/>
        </w:rPr>
        <w:t xml:space="preserve"> </w:t>
      </w:r>
      <w:r w:rsidRPr="00D74CDF">
        <w:rPr>
          <w:i/>
          <w:iCs/>
          <w:color w:val="000000"/>
          <w:shd w:val="clear" w:color="auto" w:fill="FFFFFF"/>
        </w:rPr>
        <w:t>Legislation Act 2001</w:t>
      </w:r>
      <w:r w:rsidR="004E2935">
        <w:rPr>
          <w:color w:val="000000"/>
          <w:shd w:val="clear" w:color="auto" w:fill="FFFFFF"/>
        </w:rPr>
        <w:t xml:space="preserve"> (the </w:t>
      </w:r>
      <w:r w:rsidR="004E2935" w:rsidRPr="00F82AC4">
        <w:rPr>
          <w:b/>
          <w:bCs/>
          <w:i/>
          <w:iCs/>
          <w:color w:val="000000"/>
          <w:shd w:val="clear" w:color="auto" w:fill="FFFFFF"/>
        </w:rPr>
        <w:t>Legislation Act</w:t>
      </w:r>
      <w:r w:rsidR="004E2935">
        <w:rPr>
          <w:color w:val="000000"/>
          <w:shd w:val="clear" w:color="auto" w:fill="FFFFFF"/>
        </w:rPr>
        <w:t>)</w:t>
      </w:r>
      <w:r w:rsidRPr="00D74CDF">
        <w:rPr>
          <w:color w:val="000000"/>
          <w:shd w:val="clear" w:color="auto" w:fill="FFFFFF"/>
        </w:rPr>
        <w:t>.</w:t>
      </w:r>
    </w:p>
    <w:p w14:paraId="34307CA5" w14:textId="77777777" w:rsidR="00D74CDF" w:rsidRDefault="00D74CDF" w:rsidP="00D74CDF">
      <w:pPr>
        <w:rPr>
          <w:i/>
          <w:iCs/>
        </w:rPr>
      </w:pPr>
    </w:p>
    <w:p w14:paraId="07E36443" w14:textId="40A3AFAB" w:rsidR="00836BB8" w:rsidRPr="00A24726" w:rsidRDefault="00836BB8" w:rsidP="00D74CDF">
      <w:pPr>
        <w:rPr>
          <w:b/>
          <w:bCs/>
        </w:rPr>
      </w:pPr>
      <w:r w:rsidRPr="00A24726">
        <w:rPr>
          <w:b/>
          <w:bCs/>
        </w:rPr>
        <w:lastRenderedPageBreak/>
        <w:t>Overview</w:t>
      </w:r>
    </w:p>
    <w:p w14:paraId="00F70F4F" w14:textId="77777777" w:rsidR="00836BB8" w:rsidRDefault="00836BB8" w:rsidP="00D74CDF">
      <w:pPr>
        <w:rPr>
          <w:i/>
          <w:iCs/>
        </w:rPr>
      </w:pPr>
    </w:p>
    <w:p w14:paraId="7AA6969D" w14:textId="10E4C688" w:rsidR="00D059A4" w:rsidRDefault="00D74CDF" w:rsidP="00D14480">
      <w:pPr>
        <w:pStyle w:val="NormalWeb"/>
        <w:shd w:val="clear" w:color="auto" w:fill="FFFFFF"/>
        <w:spacing w:before="0" w:beforeAutospacing="0" w:after="0" w:afterAutospacing="0"/>
      </w:pPr>
      <w:r>
        <w:rPr>
          <w:color w:val="000000"/>
        </w:rPr>
        <w:t>The purpose of th</w:t>
      </w:r>
      <w:r w:rsidR="00D059A4">
        <w:rPr>
          <w:color w:val="000000"/>
        </w:rPr>
        <w:t>e Code</w:t>
      </w:r>
      <w:r>
        <w:rPr>
          <w:color w:val="000000"/>
        </w:rPr>
        <w:t xml:space="preserve"> is to</w:t>
      </w:r>
      <w:r w:rsidR="00D14480" w:rsidRPr="00D14480">
        <w:t xml:space="preserve"> </w:t>
      </w:r>
      <w:r w:rsidR="00D14480">
        <w:t xml:space="preserve">set </w:t>
      </w:r>
      <w:r w:rsidR="00D059A4">
        <w:t xml:space="preserve">the </w:t>
      </w:r>
      <w:r w:rsidR="00D14480">
        <w:t>standard of conduct for</w:t>
      </w:r>
      <w:r w:rsidR="00471253">
        <w:t xml:space="preserve"> </w:t>
      </w:r>
      <w:r w:rsidR="00C64C0B">
        <w:t xml:space="preserve">relevant </w:t>
      </w:r>
      <w:r w:rsidR="006559C6">
        <w:t>property</w:t>
      </w:r>
      <w:r w:rsidR="00D14480">
        <w:t xml:space="preserve"> </w:t>
      </w:r>
      <w:r w:rsidR="006559C6">
        <w:t>developers</w:t>
      </w:r>
      <w:r w:rsidR="00D14480">
        <w:t xml:space="preserve">. This supports the </w:t>
      </w:r>
      <w:r w:rsidR="00D14480" w:rsidRPr="00D059A4">
        <w:t xml:space="preserve">objects of the Act to </w:t>
      </w:r>
      <w:r w:rsidR="006F1DA3" w:rsidRPr="00D059A4">
        <w:t>protect the</w:t>
      </w:r>
      <w:r w:rsidR="006F1DA3">
        <w:t xml:space="preserve"> public by ensuring that residential development activities are undertaken by </w:t>
      </w:r>
      <w:r w:rsidR="00C64C0B">
        <w:t xml:space="preserve">relevant </w:t>
      </w:r>
      <w:r w:rsidR="006F1DA3">
        <w:t xml:space="preserve">property developers who are competent and </w:t>
      </w:r>
      <w:r w:rsidR="00D059A4">
        <w:t xml:space="preserve">have the capacity to undertake those activities, and to </w:t>
      </w:r>
      <w:r w:rsidR="006F1DA3">
        <w:t>promote public co</w:t>
      </w:r>
      <w:r w:rsidR="00D14480">
        <w:t xml:space="preserve">nfidence in the standard of </w:t>
      </w:r>
      <w:r w:rsidR="006F1DA3">
        <w:t xml:space="preserve">residential development </w:t>
      </w:r>
      <w:r w:rsidR="00D059A4">
        <w:t xml:space="preserve">activities undertaken by </w:t>
      </w:r>
      <w:r w:rsidR="00C64C0B">
        <w:t xml:space="preserve">relevant </w:t>
      </w:r>
      <w:r w:rsidR="00D059A4">
        <w:t>property developers.</w:t>
      </w:r>
    </w:p>
    <w:p w14:paraId="16F486A7" w14:textId="77777777" w:rsidR="00D059A4" w:rsidRDefault="00D059A4" w:rsidP="00D14480">
      <w:pPr>
        <w:pStyle w:val="NormalWeb"/>
        <w:shd w:val="clear" w:color="auto" w:fill="FFFFFF"/>
        <w:spacing w:before="0" w:beforeAutospacing="0" w:after="0" w:afterAutospacing="0"/>
      </w:pPr>
    </w:p>
    <w:p w14:paraId="5A96C228" w14:textId="0A6FA04F" w:rsidR="00D059A4" w:rsidRDefault="00D74CDF" w:rsidP="00D14480">
      <w:pPr>
        <w:pStyle w:val="NormalWeb"/>
        <w:shd w:val="clear" w:color="auto" w:fill="FFFFFF"/>
        <w:spacing w:before="0" w:beforeAutospacing="0" w:after="0" w:afterAutospacing="0"/>
        <w:rPr>
          <w:color w:val="000000"/>
        </w:rPr>
      </w:pPr>
      <w:r w:rsidRPr="00D14480">
        <w:rPr>
          <w:color w:val="000000"/>
        </w:rPr>
        <w:t>Th</w:t>
      </w:r>
      <w:r w:rsidR="00D059A4">
        <w:rPr>
          <w:color w:val="000000"/>
        </w:rPr>
        <w:t>e Code</w:t>
      </w:r>
      <w:r w:rsidR="00D14480" w:rsidRPr="00D14480">
        <w:rPr>
          <w:color w:val="000000"/>
        </w:rPr>
        <w:t xml:space="preserve"> sets out </w:t>
      </w:r>
      <w:r w:rsidR="00D059A4">
        <w:rPr>
          <w:color w:val="000000"/>
        </w:rPr>
        <w:t xml:space="preserve">the </w:t>
      </w:r>
      <w:r w:rsidR="00D14480" w:rsidRPr="00D14480">
        <w:rPr>
          <w:color w:val="000000"/>
        </w:rPr>
        <w:t xml:space="preserve">professional conduct obligations </w:t>
      </w:r>
      <w:r w:rsidR="00D059A4">
        <w:rPr>
          <w:color w:val="000000"/>
        </w:rPr>
        <w:t xml:space="preserve">for </w:t>
      </w:r>
      <w:r w:rsidR="00C64C0B">
        <w:rPr>
          <w:color w:val="000000"/>
        </w:rPr>
        <w:t xml:space="preserve">relevant </w:t>
      </w:r>
      <w:r w:rsidR="00D059A4">
        <w:rPr>
          <w:color w:val="000000"/>
        </w:rPr>
        <w:t>property developers, including complying with the law, acting in a professional manner, acting within licence requirements, and maintaining adequate resourcing and insurances.</w:t>
      </w:r>
    </w:p>
    <w:p w14:paraId="6A596423" w14:textId="77777777" w:rsidR="00D059A4" w:rsidRDefault="00D059A4" w:rsidP="00D14480">
      <w:pPr>
        <w:pStyle w:val="NormalWeb"/>
        <w:shd w:val="clear" w:color="auto" w:fill="FFFFFF"/>
        <w:spacing w:before="0" w:beforeAutospacing="0" w:after="0" w:afterAutospacing="0"/>
        <w:rPr>
          <w:color w:val="000000"/>
        </w:rPr>
      </w:pPr>
    </w:p>
    <w:p w14:paraId="6A899474" w14:textId="36924BFB" w:rsidR="00D059A4" w:rsidRDefault="00494AC1" w:rsidP="00D14480">
      <w:pPr>
        <w:pStyle w:val="NormalWeb"/>
        <w:shd w:val="clear" w:color="auto" w:fill="FFFFFF"/>
        <w:spacing w:before="0" w:beforeAutospacing="0" w:after="0" w:afterAutospacing="0"/>
        <w:rPr>
          <w:color w:val="000000"/>
        </w:rPr>
      </w:pPr>
      <w:r>
        <w:rPr>
          <w:color w:val="000000"/>
        </w:rPr>
        <w:t>Quality assurance, risk management, communication standards and managing conflicts of interest are covered in the Code.</w:t>
      </w:r>
      <w:r w:rsidR="007C25FB">
        <w:rPr>
          <w:color w:val="000000"/>
        </w:rPr>
        <w:t xml:space="preserve"> </w:t>
      </w:r>
      <w:r w:rsidR="00D059A4">
        <w:rPr>
          <w:color w:val="000000"/>
        </w:rPr>
        <w:t xml:space="preserve">It also includes obligations relating to </w:t>
      </w:r>
      <w:r>
        <w:rPr>
          <w:color w:val="000000"/>
        </w:rPr>
        <w:t>influence, benefits, confidentiality</w:t>
      </w:r>
      <w:r w:rsidR="007C25FB">
        <w:rPr>
          <w:color w:val="000000"/>
        </w:rPr>
        <w:t>,</w:t>
      </w:r>
      <w:r>
        <w:rPr>
          <w:color w:val="000000"/>
        </w:rPr>
        <w:t xml:space="preserve"> complaints management and record keeping.</w:t>
      </w:r>
    </w:p>
    <w:p w14:paraId="25461F08" w14:textId="77777777" w:rsidR="00DF4680" w:rsidRDefault="00DF4680" w:rsidP="00D14480">
      <w:pPr>
        <w:pStyle w:val="NormalWeb"/>
        <w:shd w:val="clear" w:color="auto" w:fill="FFFFFF"/>
        <w:spacing w:before="0" w:beforeAutospacing="0" w:after="0" w:afterAutospacing="0"/>
        <w:rPr>
          <w:color w:val="000000"/>
        </w:rPr>
      </w:pPr>
    </w:p>
    <w:p w14:paraId="2C7F00C5" w14:textId="0727A97F" w:rsidR="00DF4680" w:rsidRDefault="00DF4680" w:rsidP="00D14480">
      <w:pPr>
        <w:pStyle w:val="NormalWeb"/>
        <w:shd w:val="clear" w:color="auto" w:fill="FFFFFF"/>
        <w:spacing w:before="0" w:beforeAutospacing="0" w:after="0" w:afterAutospacing="0"/>
        <w:rPr>
          <w:color w:val="000000"/>
        </w:rPr>
      </w:pPr>
      <w:bookmarkStart w:id="1" w:name="_Hlk207723003"/>
      <w:r>
        <w:rPr>
          <w:color w:val="000000"/>
        </w:rPr>
        <w:t>The Code has a commencement date of 1 October 2026 to align with the commencement of the mandatory licensing requirements. Publishing the Code 12 months in advance will give relevant property developers an appropriate transition time to consider the obligations and implement any new processes.</w:t>
      </w:r>
      <w:bookmarkEnd w:id="1"/>
    </w:p>
    <w:p w14:paraId="192FEFB7" w14:textId="77777777" w:rsidR="00D059A4" w:rsidRDefault="00D059A4" w:rsidP="00D14480">
      <w:pPr>
        <w:pStyle w:val="NormalWeb"/>
        <w:shd w:val="clear" w:color="auto" w:fill="FFFFFF"/>
        <w:spacing w:before="0" w:beforeAutospacing="0" w:after="0" w:afterAutospacing="0"/>
        <w:rPr>
          <w:color w:val="000000"/>
        </w:rPr>
      </w:pPr>
    </w:p>
    <w:p w14:paraId="6B178974" w14:textId="7FC8D94C" w:rsidR="002B1B77" w:rsidRPr="00A24726" w:rsidRDefault="00836BB8">
      <w:pPr>
        <w:rPr>
          <w:b/>
          <w:bCs/>
          <w:color w:val="000000"/>
          <w:szCs w:val="24"/>
          <w:lang w:eastAsia="en-AU"/>
        </w:rPr>
      </w:pPr>
      <w:r w:rsidRPr="00A24726">
        <w:rPr>
          <w:b/>
          <w:bCs/>
          <w:color w:val="000000"/>
          <w:szCs w:val="24"/>
          <w:lang w:eastAsia="en-AU"/>
        </w:rPr>
        <w:t>Consultation</w:t>
      </w:r>
    </w:p>
    <w:p w14:paraId="323C0CE3" w14:textId="77777777" w:rsidR="00D74CDF" w:rsidRDefault="00D74CDF" w:rsidP="00D74CDF">
      <w:pPr>
        <w:pStyle w:val="NormalWeb"/>
        <w:shd w:val="clear" w:color="auto" w:fill="FFFFFF"/>
        <w:spacing w:before="0" w:beforeAutospacing="0" w:after="0" w:afterAutospacing="0"/>
        <w:rPr>
          <w:color w:val="000000"/>
        </w:rPr>
      </w:pPr>
    </w:p>
    <w:p w14:paraId="283639E4" w14:textId="0DA33D4D" w:rsidR="00D059A4" w:rsidRDefault="00D059A4" w:rsidP="00D74CDF">
      <w:pPr>
        <w:pStyle w:val="NormalWeb"/>
        <w:shd w:val="clear" w:color="auto" w:fill="FFFFFF"/>
        <w:spacing w:before="0" w:beforeAutospacing="0" w:after="0" w:afterAutospacing="0"/>
        <w:rPr>
          <w:color w:val="000000"/>
        </w:rPr>
      </w:pPr>
      <w:r>
        <w:rPr>
          <w:color w:val="000000"/>
        </w:rPr>
        <w:t>The Code was developed in close consultation with stakeholders</w:t>
      </w:r>
      <w:r w:rsidR="00494AC1">
        <w:rPr>
          <w:color w:val="000000"/>
        </w:rPr>
        <w:t xml:space="preserve"> across the property development sector</w:t>
      </w:r>
      <w:r w:rsidR="007C25FB">
        <w:rPr>
          <w:color w:val="000000"/>
        </w:rPr>
        <w:t xml:space="preserve"> through a series of workshops</w:t>
      </w:r>
      <w:r>
        <w:rPr>
          <w:color w:val="000000"/>
        </w:rPr>
        <w:t>. Detailed comments received from stakeholders were incorporated in the Code where possible.</w:t>
      </w:r>
    </w:p>
    <w:p w14:paraId="06B4E353" w14:textId="77777777" w:rsidR="00A24726" w:rsidRDefault="00A24726" w:rsidP="00D74CDF">
      <w:pPr>
        <w:pStyle w:val="NormalWeb"/>
        <w:shd w:val="clear" w:color="auto" w:fill="FFFFFF"/>
        <w:spacing w:before="0" w:beforeAutospacing="0" w:after="0" w:afterAutospacing="0"/>
        <w:rPr>
          <w:color w:val="000000"/>
        </w:rPr>
      </w:pPr>
    </w:p>
    <w:p w14:paraId="010117E9" w14:textId="77777777" w:rsidR="00D74CDF" w:rsidRPr="00B35275" w:rsidRDefault="00D74CDF" w:rsidP="00D74CDF">
      <w:pPr>
        <w:pStyle w:val="NormalWeb"/>
        <w:shd w:val="clear" w:color="auto" w:fill="FFFFFF"/>
        <w:spacing w:before="0" w:beforeAutospacing="0" w:after="0" w:afterAutospacing="0"/>
        <w:rPr>
          <w:b/>
          <w:bCs/>
          <w:color w:val="000000"/>
        </w:rPr>
      </w:pPr>
      <w:r w:rsidRPr="00B35275">
        <w:rPr>
          <w:b/>
          <w:bCs/>
          <w:color w:val="000000"/>
        </w:rPr>
        <w:t>Regulatory Impact Statement (RIS)</w:t>
      </w:r>
    </w:p>
    <w:p w14:paraId="77E607A7" w14:textId="77777777" w:rsidR="002072C1" w:rsidRPr="00182BCB" w:rsidRDefault="002072C1" w:rsidP="00D74CDF">
      <w:pPr>
        <w:pStyle w:val="NormalWeb"/>
        <w:shd w:val="clear" w:color="auto" w:fill="FFFFFF"/>
        <w:spacing w:before="0" w:beforeAutospacing="0" w:after="0" w:afterAutospacing="0"/>
      </w:pPr>
    </w:p>
    <w:p w14:paraId="21FF075C" w14:textId="72525DAB" w:rsidR="00D74CDF" w:rsidRPr="00182BCB" w:rsidRDefault="00D74CDF" w:rsidP="00D74CDF">
      <w:pPr>
        <w:pStyle w:val="NormalWeb"/>
        <w:shd w:val="clear" w:color="auto" w:fill="FFFFFF"/>
        <w:spacing w:before="0" w:beforeAutospacing="0" w:after="0" w:afterAutospacing="0"/>
      </w:pPr>
      <w:r w:rsidRPr="00182BCB">
        <w:t>Section</w:t>
      </w:r>
      <w:r w:rsidR="00A2509F" w:rsidRPr="00182BCB">
        <w:t> </w:t>
      </w:r>
      <w:r w:rsidRPr="00182BCB">
        <w:t>34 of the</w:t>
      </w:r>
      <w:r w:rsidR="00A2509F" w:rsidRPr="00182BCB">
        <w:t xml:space="preserve"> </w:t>
      </w:r>
      <w:r w:rsidRPr="00182BCB">
        <w:t>Legislation Act</w:t>
      </w:r>
      <w:r w:rsidR="00A2509F" w:rsidRPr="00182BCB">
        <w:t xml:space="preserve"> </w:t>
      </w:r>
      <w:r w:rsidRPr="00182BCB">
        <w:t xml:space="preserve">provides that if a proposed subordinate law or disallowable instrument (the </w:t>
      </w:r>
      <w:r w:rsidRPr="000060D2">
        <w:rPr>
          <w:b/>
          <w:bCs/>
          <w:i/>
          <w:iCs/>
        </w:rPr>
        <w:t>proposed law</w:t>
      </w:r>
      <w:r w:rsidRPr="00182BCB">
        <w:t>) is likely to impose appreciable costs on the community, or a part of the community, then, before the proposed law is made,</w:t>
      </w:r>
      <w:r w:rsidR="002072C1" w:rsidRPr="00182BCB">
        <w:t xml:space="preserve"> </w:t>
      </w:r>
      <w:r w:rsidRPr="00182BCB">
        <w:t>the Minister administering the authorising law must arrange for a</w:t>
      </w:r>
      <w:r w:rsidR="002072C1" w:rsidRPr="00182BCB">
        <w:t xml:space="preserve"> </w:t>
      </w:r>
      <w:r w:rsidRPr="00182BCB">
        <w:t>RIS</w:t>
      </w:r>
      <w:r w:rsidR="002072C1" w:rsidRPr="00182BCB">
        <w:t xml:space="preserve"> </w:t>
      </w:r>
      <w:r w:rsidRPr="00182BCB">
        <w:t>to be prepared for the proposed law.</w:t>
      </w:r>
    </w:p>
    <w:p w14:paraId="619B2085" w14:textId="77777777" w:rsidR="000060D2" w:rsidRDefault="000060D2" w:rsidP="00182BCB">
      <w:pPr>
        <w:pStyle w:val="NormalWeb"/>
        <w:shd w:val="clear" w:color="auto" w:fill="FFFFFF"/>
        <w:spacing w:before="0" w:beforeAutospacing="0" w:after="0" w:afterAutospacing="0"/>
      </w:pPr>
    </w:p>
    <w:p w14:paraId="1889957B" w14:textId="77777777" w:rsidR="000060D2" w:rsidRDefault="008C2EB9" w:rsidP="00182BCB">
      <w:pPr>
        <w:pStyle w:val="NormalWeb"/>
        <w:shd w:val="clear" w:color="auto" w:fill="FFFFFF"/>
        <w:spacing w:before="0" w:beforeAutospacing="0" w:after="0" w:afterAutospacing="0"/>
      </w:pPr>
      <w:r w:rsidRPr="008C2EB9">
        <w:t>A RIS is not required</w:t>
      </w:r>
      <w:r w:rsidR="00A2509F" w:rsidRPr="00182BCB">
        <w:t xml:space="preserve"> </w:t>
      </w:r>
      <w:r w:rsidRPr="008C2EB9">
        <w:t>in this instance</w:t>
      </w:r>
      <w:r w:rsidR="00A2509F" w:rsidRPr="00182BCB">
        <w:t xml:space="preserve"> </w:t>
      </w:r>
      <w:r w:rsidRPr="008C2EB9">
        <w:t>as this instrument</w:t>
      </w:r>
      <w:r w:rsidR="00A2509F" w:rsidRPr="00182BCB">
        <w:t xml:space="preserve"> </w:t>
      </w:r>
      <w:r w:rsidRPr="008C2EB9">
        <w:t>does not</w:t>
      </w:r>
      <w:r w:rsidR="00A2509F" w:rsidRPr="00182BCB">
        <w:t xml:space="preserve"> </w:t>
      </w:r>
      <w:r w:rsidRPr="008C2EB9">
        <w:t>impose appreciable costs on the community or part of the community.</w:t>
      </w:r>
      <w:r w:rsidR="00A2509F" w:rsidRPr="00182BCB">
        <w:t xml:space="preserve"> </w:t>
      </w:r>
      <w:r w:rsidRPr="008C2EB9">
        <w:t>The</w:t>
      </w:r>
      <w:r w:rsidR="00A2509F" w:rsidRPr="00182BCB">
        <w:t xml:space="preserve"> </w:t>
      </w:r>
      <w:r w:rsidRPr="008C2EB9">
        <w:t>Act</w:t>
      </w:r>
      <w:r w:rsidR="00A2509F" w:rsidRPr="00182BCB">
        <w:t xml:space="preserve"> </w:t>
      </w:r>
      <w:r w:rsidRPr="008C2EB9">
        <w:t xml:space="preserve">establishes the ACT’s </w:t>
      </w:r>
      <w:r w:rsidR="00A2509F" w:rsidRPr="00182BCB">
        <w:t xml:space="preserve">developer licensing and regulation </w:t>
      </w:r>
      <w:r w:rsidRPr="008C2EB9">
        <w:t>scheme, the requirement to be</w:t>
      </w:r>
      <w:r w:rsidR="00A2509F" w:rsidRPr="00182BCB">
        <w:t xml:space="preserve"> licensed</w:t>
      </w:r>
      <w:r w:rsidRPr="008C2EB9">
        <w:t xml:space="preserve"> and the obligations on </w:t>
      </w:r>
      <w:r w:rsidR="00A2509F" w:rsidRPr="00182BCB">
        <w:t>relevant property developers</w:t>
      </w:r>
      <w:r w:rsidRPr="008C2EB9">
        <w:t>.</w:t>
      </w:r>
    </w:p>
    <w:p w14:paraId="19940DA4" w14:textId="77777777" w:rsidR="000060D2" w:rsidRDefault="000060D2" w:rsidP="00182BCB">
      <w:pPr>
        <w:pStyle w:val="NormalWeb"/>
        <w:shd w:val="clear" w:color="auto" w:fill="FFFFFF"/>
        <w:spacing w:before="0" w:beforeAutospacing="0" w:after="0" w:afterAutospacing="0"/>
      </w:pPr>
    </w:p>
    <w:p w14:paraId="0D771238" w14:textId="713857FA" w:rsidR="008C2EB9" w:rsidRPr="008C2EB9" w:rsidRDefault="00A2509F" w:rsidP="00182BCB">
      <w:pPr>
        <w:pStyle w:val="NormalWeb"/>
        <w:shd w:val="clear" w:color="auto" w:fill="FFFFFF"/>
        <w:spacing w:before="0" w:beforeAutospacing="0" w:after="0" w:afterAutospacing="0"/>
        <w:rPr>
          <w:color w:val="000000"/>
        </w:rPr>
      </w:pPr>
      <w:r w:rsidRPr="00182BCB">
        <w:t xml:space="preserve">A regulatory impact and cost benefit analysis was considered by government as part of the policy approval for the Act. </w:t>
      </w:r>
      <w:r w:rsidR="008C2EB9" w:rsidRPr="008C2EB9">
        <w:t>This instrument</w:t>
      </w:r>
      <w:r w:rsidRPr="00182BCB">
        <w:t xml:space="preserve"> implements the </w:t>
      </w:r>
      <w:r w:rsidR="008C2EB9" w:rsidRPr="008C2EB9">
        <w:t>professional conduct obligations</w:t>
      </w:r>
      <w:r w:rsidRPr="00182BCB">
        <w:t xml:space="preserve"> for relevant property d</w:t>
      </w:r>
      <w:r>
        <w:rPr>
          <w:color w:val="000000"/>
        </w:rPr>
        <w:t>evelopers, which align with industry best practice.</w:t>
      </w:r>
    </w:p>
    <w:p w14:paraId="6189E4FD" w14:textId="77777777" w:rsidR="000060D2" w:rsidRDefault="000060D2" w:rsidP="00D74CDF">
      <w:pPr>
        <w:pStyle w:val="NormalWeb"/>
        <w:shd w:val="clear" w:color="auto" w:fill="FFFFFF"/>
        <w:spacing w:before="0" w:beforeAutospacing="0" w:after="0" w:afterAutospacing="0"/>
        <w:rPr>
          <w:b/>
          <w:bCs/>
          <w:color w:val="000000"/>
        </w:rPr>
      </w:pPr>
    </w:p>
    <w:p w14:paraId="329DA5E6" w14:textId="77777777" w:rsidR="00DF4680" w:rsidRDefault="00DF4680" w:rsidP="00D74CDF">
      <w:pPr>
        <w:pStyle w:val="NormalWeb"/>
        <w:shd w:val="clear" w:color="auto" w:fill="FFFFFF"/>
        <w:spacing w:before="0" w:beforeAutospacing="0" w:after="0" w:afterAutospacing="0"/>
        <w:rPr>
          <w:b/>
          <w:bCs/>
          <w:color w:val="000000"/>
        </w:rPr>
      </w:pPr>
    </w:p>
    <w:p w14:paraId="12487A2A" w14:textId="77777777" w:rsidR="00DF4680" w:rsidRDefault="00DF4680" w:rsidP="00D74CDF">
      <w:pPr>
        <w:pStyle w:val="NormalWeb"/>
        <w:shd w:val="clear" w:color="auto" w:fill="FFFFFF"/>
        <w:spacing w:before="0" w:beforeAutospacing="0" w:after="0" w:afterAutospacing="0"/>
        <w:rPr>
          <w:b/>
          <w:bCs/>
          <w:color w:val="000000"/>
        </w:rPr>
      </w:pPr>
    </w:p>
    <w:p w14:paraId="169236E4" w14:textId="77777777" w:rsidR="00DF4680" w:rsidRDefault="00DF4680" w:rsidP="00D74CDF">
      <w:pPr>
        <w:pStyle w:val="NormalWeb"/>
        <w:shd w:val="clear" w:color="auto" w:fill="FFFFFF"/>
        <w:spacing w:before="0" w:beforeAutospacing="0" w:after="0" w:afterAutospacing="0"/>
        <w:rPr>
          <w:b/>
          <w:bCs/>
          <w:color w:val="000000"/>
        </w:rPr>
      </w:pPr>
    </w:p>
    <w:p w14:paraId="0A4F4B60" w14:textId="77777777" w:rsidR="00DF4680" w:rsidRDefault="00DF4680" w:rsidP="00D74CDF">
      <w:pPr>
        <w:pStyle w:val="NormalWeb"/>
        <w:shd w:val="clear" w:color="auto" w:fill="FFFFFF"/>
        <w:spacing w:before="0" w:beforeAutospacing="0" w:after="0" w:afterAutospacing="0"/>
        <w:rPr>
          <w:b/>
          <w:bCs/>
          <w:color w:val="000000"/>
        </w:rPr>
      </w:pPr>
    </w:p>
    <w:p w14:paraId="1DB2F045" w14:textId="5E8AB504" w:rsidR="00D74CDF" w:rsidRDefault="004E2935" w:rsidP="00D74CDF">
      <w:pPr>
        <w:pStyle w:val="NormalWeb"/>
        <w:shd w:val="clear" w:color="auto" w:fill="FFFFFF"/>
        <w:spacing w:before="0" w:beforeAutospacing="0" w:after="0" w:afterAutospacing="0"/>
        <w:rPr>
          <w:b/>
          <w:bCs/>
          <w:color w:val="000000"/>
        </w:rPr>
      </w:pPr>
      <w:r>
        <w:rPr>
          <w:b/>
          <w:bCs/>
          <w:color w:val="000000"/>
        </w:rPr>
        <w:lastRenderedPageBreak/>
        <w:t xml:space="preserve">Consistency with </w:t>
      </w:r>
      <w:r w:rsidR="00D74CDF">
        <w:rPr>
          <w:b/>
          <w:bCs/>
          <w:color w:val="000000"/>
        </w:rPr>
        <w:t>Human Rights</w:t>
      </w:r>
    </w:p>
    <w:p w14:paraId="17045ABE" w14:textId="77777777" w:rsidR="002072C1" w:rsidRDefault="002072C1" w:rsidP="00D74CDF">
      <w:pPr>
        <w:pStyle w:val="NormalWeb"/>
        <w:shd w:val="clear" w:color="auto" w:fill="FFFFFF"/>
        <w:spacing w:before="0" w:beforeAutospacing="0" w:after="0" w:afterAutospacing="0"/>
        <w:rPr>
          <w:color w:val="000000"/>
        </w:rPr>
      </w:pPr>
    </w:p>
    <w:p w14:paraId="74B84F12" w14:textId="659E308C" w:rsidR="00D74CDF" w:rsidRDefault="00D74CDF" w:rsidP="00D74CDF">
      <w:pPr>
        <w:pStyle w:val="NormalWeb"/>
        <w:shd w:val="clear" w:color="auto" w:fill="FFFFFF"/>
        <w:spacing w:before="0" w:beforeAutospacing="0" w:after="0" w:afterAutospacing="0"/>
        <w:rPr>
          <w:color w:val="000000"/>
        </w:rPr>
      </w:pPr>
      <w:r>
        <w:rPr>
          <w:color w:val="000000"/>
        </w:rPr>
        <w:t xml:space="preserve">The Standing Committee on </w:t>
      </w:r>
      <w:r w:rsidR="004E2935">
        <w:rPr>
          <w:color w:val="000000"/>
        </w:rPr>
        <w:t>Legal Affairs</w:t>
      </w:r>
      <w:r>
        <w:rPr>
          <w:color w:val="000000"/>
        </w:rPr>
        <w:t xml:space="preserve"> (Legislative Scrutiny Role) </w:t>
      </w:r>
      <w:r w:rsidR="004E2935">
        <w:rPr>
          <w:color w:val="000000"/>
        </w:rPr>
        <w:t xml:space="preserve">(the </w:t>
      </w:r>
      <w:r w:rsidR="004E2935" w:rsidRPr="00F82AC4">
        <w:rPr>
          <w:b/>
          <w:bCs/>
          <w:i/>
          <w:iCs/>
          <w:color w:val="000000"/>
        </w:rPr>
        <w:t>Committee</w:t>
      </w:r>
      <w:r w:rsidR="004E2935">
        <w:rPr>
          <w:color w:val="000000"/>
        </w:rPr>
        <w:t xml:space="preserve">) </w:t>
      </w:r>
      <w:r>
        <w:rPr>
          <w:color w:val="000000"/>
        </w:rPr>
        <w:t>terms of reference require consideration of human rights impacts, among other matters.</w:t>
      </w:r>
    </w:p>
    <w:p w14:paraId="5DBE54BB" w14:textId="4E8032B5" w:rsidR="00D74CDF" w:rsidRDefault="00D74CDF" w:rsidP="00D74CDF">
      <w:pPr>
        <w:pStyle w:val="NormalWeb"/>
        <w:shd w:val="clear" w:color="auto" w:fill="FFFFFF"/>
        <w:spacing w:before="0" w:beforeAutospacing="0" w:after="0" w:afterAutospacing="0"/>
        <w:rPr>
          <w:color w:val="000000"/>
        </w:rPr>
      </w:pPr>
    </w:p>
    <w:p w14:paraId="69C5790D" w14:textId="21464664" w:rsidR="00D74CDF" w:rsidRDefault="00D74CDF" w:rsidP="00D74CDF">
      <w:pPr>
        <w:pStyle w:val="NormalWeb"/>
        <w:shd w:val="clear" w:color="auto" w:fill="FFFFFF"/>
        <w:spacing w:before="0" w:beforeAutospacing="0" w:after="0" w:afterAutospacing="0"/>
        <w:rPr>
          <w:color w:val="000000"/>
        </w:rPr>
      </w:pPr>
      <w:r>
        <w:rPr>
          <w:color w:val="000000"/>
        </w:rPr>
        <w:t>Section 27B</w:t>
      </w:r>
      <w:r w:rsidR="004E2935">
        <w:rPr>
          <w:color w:val="000000"/>
        </w:rPr>
        <w:t> </w:t>
      </w:r>
      <w:r>
        <w:rPr>
          <w:color w:val="000000"/>
        </w:rPr>
        <w:t>(1) of the</w:t>
      </w:r>
      <w:r w:rsidR="00A20EB8">
        <w:rPr>
          <w:color w:val="000000"/>
        </w:rPr>
        <w:t xml:space="preserve"> </w:t>
      </w:r>
      <w:r>
        <w:rPr>
          <w:i/>
          <w:iCs/>
          <w:color w:val="000000"/>
        </w:rPr>
        <w:t>Human Rights Act 2004</w:t>
      </w:r>
      <w:r w:rsidR="00A20EB8">
        <w:rPr>
          <w:i/>
          <w:iCs/>
          <w:color w:val="000000"/>
        </w:rPr>
        <w:t xml:space="preserve"> </w:t>
      </w:r>
      <w:r>
        <w:rPr>
          <w:color w:val="000000"/>
        </w:rPr>
        <w:t>(</w:t>
      </w:r>
      <w:r w:rsidR="003657AA" w:rsidRPr="00A20EB8">
        <w:rPr>
          <w:color w:val="000000"/>
        </w:rPr>
        <w:t xml:space="preserve">the </w:t>
      </w:r>
      <w:r w:rsidRPr="00F82AC4">
        <w:rPr>
          <w:b/>
          <w:bCs/>
          <w:i/>
          <w:iCs/>
          <w:color w:val="000000"/>
        </w:rPr>
        <w:t>HRA</w:t>
      </w:r>
      <w:r w:rsidRPr="00A20EB8">
        <w:rPr>
          <w:color w:val="000000"/>
        </w:rPr>
        <w:t>) expressly</w:t>
      </w:r>
      <w:r>
        <w:rPr>
          <w:color w:val="000000"/>
        </w:rPr>
        <w:t xml:space="preserve"> provides that the practice of a trade, occupation or profession may be regulated by law. Determining </w:t>
      </w:r>
      <w:r w:rsidR="00D14480">
        <w:rPr>
          <w:color w:val="000000"/>
        </w:rPr>
        <w:t>standards of conduct</w:t>
      </w:r>
      <w:r>
        <w:rPr>
          <w:color w:val="000000"/>
        </w:rPr>
        <w:t xml:space="preserve"> is common practice in occupational registration schemes.</w:t>
      </w:r>
    </w:p>
    <w:p w14:paraId="57C1CFDF" w14:textId="49D1683A" w:rsidR="00D74CDF" w:rsidRDefault="00D74CDF" w:rsidP="00D74CDF">
      <w:pPr>
        <w:pStyle w:val="NormalWeb"/>
        <w:shd w:val="clear" w:color="auto" w:fill="FFFFFF"/>
        <w:spacing w:before="0" w:beforeAutospacing="0" w:after="0" w:afterAutospacing="0"/>
        <w:rPr>
          <w:color w:val="000000"/>
        </w:rPr>
      </w:pPr>
    </w:p>
    <w:p w14:paraId="41508A49" w14:textId="5AF500CF" w:rsidR="00D74CDF" w:rsidRDefault="00D74CDF" w:rsidP="00D74CDF">
      <w:pPr>
        <w:pStyle w:val="NormalWeb"/>
        <w:shd w:val="clear" w:color="auto" w:fill="FFFFFF"/>
        <w:spacing w:before="0" w:beforeAutospacing="0" w:after="0" w:afterAutospacing="0"/>
        <w:rPr>
          <w:color w:val="000000"/>
        </w:rPr>
      </w:pPr>
      <w:r>
        <w:rPr>
          <w:color w:val="000000"/>
        </w:rPr>
        <w:t>A detailed human rights assessment is contained in the</w:t>
      </w:r>
      <w:r w:rsidR="00A20EB8">
        <w:rPr>
          <w:color w:val="000000"/>
        </w:rPr>
        <w:t xml:space="preserve"> </w:t>
      </w:r>
      <w:r w:rsidR="004E2935" w:rsidRPr="00F82AC4">
        <w:t>explanatory statement</w:t>
      </w:r>
      <w:r w:rsidR="00F63D61">
        <w:t xml:space="preserve"> </w:t>
      </w:r>
      <w:r>
        <w:rPr>
          <w:color w:val="000000"/>
        </w:rPr>
        <w:t>to the</w:t>
      </w:r>
      <w:r w:rsidR="00A20EB8">
        <w:rPr>
          <w:color w:val="000000"/>
        </w:rPr>
        <w:t xml:space="preserve"> </w:t>
      </w:r>
      <w:r w:rsidR="00F82AC4">
        <w:rPr>
          <w:color w:val="000000"/>
        </w:rPr>
        <w:t xml:space="preserve">Property Developers </w:t>
      </w:r>
      <w:r w:rsidR="00F63D61">
        <w:rPr>
          <w:color w:val="000000"/>
        </w:rPr>
        <w:t>Bill</w:t>
      </w:r>
      <w:r w:rsidR="00F82AC4">
        <w:rPr>
          <w:color w:val="000000"/>
        </w:rPr>
        <w:t xml:space="preserve"> 2023</w:t>
      </w:r>
      <w:r w:rsidR="006F1DA3" w:rsidRPr="006F1DA3">
        <w:rPr>
          <w:i/>
          <w:iCs/>
          <w:color w:val="000000"/>
        </w:rPr>
        <w:t>,</w:t>
      </w:r>
      <w:r w:rsidR="00A20EB8">
        <w:rPr>
          <w:i/>
          <w:iCs/>
          <w:color w:val="000000"/>
        </w:rPr>
        <w:t xml:space="preserve"> </w:t>
      </w:r>
      <w:r w:rsidRPr="006F1DA3">
        <w:rPr>
          <w:color w:val="000000"/>
        </w:rPr>
        <w:t>including consideration of the impact of the</w:t>
      </w:r>
      <w:r w:rsidR="00A20EB8">
        <w:rPr>
          <w:color w:val="000000"/>
        </w:rPr>
        <w:t xml:space="preserve"> </w:t>
      </w:r>
      <w:r w:rsidRPr="006F1DA3">
        <w:rPr>
          <w:color w:val="000000"/>
        </w:rPr>
        <w:t xml:space="preserve">introduction of a </w:t>
      </w:r>
      <w:r w:rsidR="00803730" w:rsidRPr="006F1DA3">
        <w:rPr>
          <w:color w:val="000000"/>
        </w:rPr>
        <w:t xml:space="preserve">property developers </w:t>
      </w:r>
      <w:r w:rsidR="006F1DA3" w:rsidRPr="006F1DA3">
        <w:rPr>
          <w:color w:val="000000"/>
        </w:rPr>
        <w:t>licensing</w:t>
      </w:r>
      <w:r w:rsidR="00A20EB8">
        <w:rPr>
          <w:color w:val="000000"/>
        </w:rPr>
        <w:t xml:space="preserve"> </w:t>
      </w:r>
      <w:r w:rsidRPr="006F1DA3">
        <w:rPr>
          <w:color w:val="000000"/>
        </w:rPr>
        <w:t>scheme</w:t>
      </w:r>
      <w:r w:rsidR="00A20EB8">
        <w:rPr>
          <w:color w:val="000000"/>
        </w:rPr>
        <w:t xml:space="preserve"> </w:t>
      </w:r>
      <w:r w:rsidRPr="006F1DA3">
        <w:rPr>
          <w:color w:val="000000"/>
        </w:rPr>
        <w:t>in the ACT</w:t>
      </w:r>
      <w:r w:rsidR="002B1B77" w:rsidRPr="006F1DA3">
        <w:rPr>
          <w:color w:val="000000"/>
        </w:rPr>
        <w:t xml:space="preserve"> on</w:t>
      </w:r>
      <w:r w:rsidR="002B1B77">
        <w:rPr>
          <w:color w:val="000000"/>
        </w:rPr>
        <w:t xml:space="preserve"> the right to work </w:t>
      </w:r>
      <w:r w:rsidR="00F03F99">
        <w:rPr>
          <w:color w:val="000000"/>
        </w:rPr>
        <w:t xml:space="preserve">under </w:t>
      </w:r>
      <w:r>
        <w:rPr>
          <w:color w:val="000000"/>
        </w:rPr>
        <w:t>section</w:t>
      </w:r>
      <w:r w:rsidR="003657AA">
        <w:rPr>
          <w:color w:val="000000"/>
        </w:rPr>
        <w:t> </w:t>
      </w:r>
      <w:r>
        <w:rPr>
          <w:color w:val="000000"/>
        </w:rPr>
        <w:t>27</w:t>
      </w:r>
      <w:r w:rsidRPr="00A20EB8">
        <w:rPr>
          <w:color w:val="000000"/>
        </w:rPr>
        <w:t xml:space="preserve">B of </w:t>
      </w:r>
      <w:r w:rsidRPr="007C25FB">
        <w:rPr>
          <w:color w:val="000000"/>
        </w:rPr>
        <w:t>the HRA.</w:t>
      </w:r>
    </w:p>
    <w:p w14:paraId="49D5D80D" w14:textId="501E1BCA" w:rsidR="00D74CDF" w:rsidRDefault="00D74CDF" w:rsidP="00D74CDF">
      <w:pPr>
        <w:pStyle w:val="NormalWeb"/>
        <w:shd w:val="clear" w:color="auto" w:fill="FFFFFF"/>
        <w:spacing w:before="0" w:beforeAutospacing="0" w:after="0" w:afterAutospacing="0"/>
        <w:rPr>
          <w:color w:val="000000"/>
        </w:rPr>
      </w:pPr>
    </w:p>
    <w:p w14:paraId="2BCE5A25" w14:textId="27D787C7" w:rsidR="00D74CDF" w:rsidRDefault="00D74CDF" w:rsidP="00D74CDF">
      <w:pPr>
        <w:pStyle w:val="NormalWeb"/>
        <w:shd w:val="clear" w:color="auto" w:fill="FFFFFF"/>
        <w:spacing w:before="0" w:beforeAutospacing="0" w:after="0" w:afterAutospacing="0"/>
        <w:rPr>
          <w:color w:val="000000"/>
          <w:shd w:val="clear" w:color="auto" w:fill="FFFFFF"/>
        </w:rPr>
      </w:pPr>
      <w:r>
        <w:rPr>
          <w:color w:val="000000"/>
          <w:shd w:val="clear" w:color="auto" w:fill="FFFFFF"/>
        </w:rPr>
        <w:t xml:space="preserve">Any engagement with or limitation on the right to work in section 27B of </w:t>
      </w:r>
      <w:r w:rsidRPr="007C25FB">
        <w:rPr>
          <w:color w:val="000000"/>
          <w:shd w:val="clear" w:color="auto" w:fill="FFFFFF"/>
        </w:rPr>
        <w:t>the HRA is</w:t>
      </w:r>
      <w:r>
        <w:rPr>
          <w:color w:val="000000"/>
          <w:shd w:val="clear" w:color="auto" w:fill="FFFFFF"/>
        </w:rPr>
        <w:t xml:space="preserve"> considered</w:t>
      </w:r>
      <w:r w:rsidR="00722B50">
        <w:rPr>
          <w:color w:val="000000"/>
          <w:shd w:val="clear" w:color="auto" w:fill="FFFFFF"/>
        </w:rPr>
        <w:t xml:space="preserve"> </w:t>
      </w:r>
      <w:r>
        <w:rPr>
          <w:color w:val="000000"/>
          <w:shd w:val="clear" w:color="auto" w:fill="FFFFFF"/>
        </w:rPr>
        <w:t>reasonable and justifiable.</w:t>
      </w:r>
    </w:p>
    <w:p w14:paraId="21A48BC1" w14:textId="5BF304C3" w:rsidR="00722B50" w:rsidRPr="00722B50" w:rsidRDefault="00722B50" w:rsidP="00722B50">
      <w:pPr>
        <w:pStyle w:val="NormalWeb"/>
        <w:rPr>
          <w:color w:val="000000"/>
          <w:shd w:val="clear" w:color="auto" w:fill="FFFFFF"/>
        </w:rPr>
      </w:pPr>
      <w:r w:rsidRPr="00722B50">
        <w:rPr>
          <w:color w:val="000000"/>
          <w:shd w:val="clear" w:color="auto" w:fill="FFFFFF"/>
        </w:rPr>
        <w:t>The</w:t>
      </w:r>
      <w:r>
        <w:rPr>
          <w:color w:val="000000"/>
          <w:shd w:val="clear" w:color="auto" w:fill="FFFFFF"/>
        </w:rPr>
        <w:t xml:space="preserve"> </w:t>
      </w:r>
      <w:r w:rsidRPr="00722B50">
        <w:rPr>
          <w:color w:val="000000"/>
          <w:shd w:val="clear" w:color="auto" w:fill="FFFFFF"/>
        </w:rPr>
        <w:t>instrument is consistent with the Committee</w:t>
      </w:r>
      <w:r w:rsidR="004E2935">
        <w:rPr>
          <w:color w:val="000000"/>
          <w:shd w:val="clear" w:color="auto" w:fill="FFFFFF"/>
        </w:rPr>
        <w:t>’s</w:t>
      </w:r>
      <w:r w:rsidRPr="00722B50">
        <w:rPr>
          <w:color w:val="000000"/>
          <w:shd w:val="clear" w:color="auto" w:fill="FFFFFF"/>
        </w:rPr>
        <w:t xml:space="preserve"> Terms of Reference. In particular, the instrument:</w:t>
      </w:r>
    </w:p>
    <w:p w14:paraId="409224E2" w14:textId="77777777" w:rsidR="00722B50" w:rsidRPr="00722B50" w:rsidRDefault="00722B50" w:rsidP="00722B50">
      <w:pPr>
        <w:pStyle w:val="NormalWeb"/>
        <w:numPr>
          <w:ilvl w:val="0"/>
          <w:numId w:val="10"/>
        </w:numPr>
        <w:rPr>
          <w:color w:val="000000"/>
          <w:shd w:val="clear" w:color="auto" w:fill="FFFFFF"/>
        </w:rPr>
      </w:pPr>
      <w:r w:rsidRPr="00722B50">
        <w:rPr>
          <w:color w:val="000000"/>
          <w:shd w:val="clear" w:color="auto" w:fill="FFFFFF"/>
        </w:rPr>
        <w:t>is made under a ministerial power found in the Act;</w:t>
      </w:r>
    </w:p>
    <w:p w14:paraId="419DCDAA" w14:textId="77777777" w:rsidR="00722B50" w:rsidRPr="00722B50" w:rsidRDefault="00722B50" w:rsidP="00722B50">
      <w:pPr>
        <w:pStyle w:val="NormalWeb"/>
        <w:numPr>
          <w:ilvl w:val="0"/>
          <w:numId w:val="10"/>
        </w:numPr>
        <w:rPr>
          <w:color w:val="000000"/>
          <w:shd w:val="clear" w:color="auto" w:fill="FFFFFF"/>
        </w:rPr>
      </w:pPr>
      <w:r w:rsidRPr="00722B50">
        <w:rPr>
          <w:color w:val="000000"/>
          <w:shd w:val="clear" w:color="auto" w:fill="FFFFFF"/>
        </w:rPr>
        <w:t>is in accordance with the general objects of the Act under which the instrument is made;</w:t>
      </w:r>
    </w:p>
    <w:p w14:paraId="5DE7CB3F" w14:textId="77777777" w:rsidR="00722B50" w:rsidRPr="00722B50" w:rsidRDefault="00722B50" w:rsidP="00722B50">
      <w:pPr>
        <w:pStyle w:val="NormalWeb"/>
        <w:numPr>
          <w:ilvl w:val="0"/>
          <w:numId w:val="10"/>
        </w:numPr>
        <w:rPr>
          <w:color w:val="000000"/>
          <w:shd w:val="clear" w:color="auto" w:fill="FFFFFF"/>
        </w:rPr>
      </w:pPr>
      <w:r w:rsidRPr="00722B50">
        <w:rPr>
          <w:color w:val="000000"/>
          <w:shd w:val="clear" w:color="auto" w:fill="FFFFFF"/>
        </w:rPr>
        <w:t>does not unduly trespass on rights previously established by law; and</w:t>
      </w:r>
    </w:p>
    <w:p w14:paraId="206D1D96" w14:textId="4EE8D855" w:rsidR="00722B50" w:rsidRPr="00722B50" w:rsidRDefault="00722B50" w:rsidP="000046BC">
      <w:pPr>
        <w:pStyle w:val="NormalWeb"/>
        <w:numPr>
          <w:ilvl w:val="0"/>
          <w:numId w:val="10"/>
        </w:numPr>
        <w:shd w:val="clear" w:color="auto" w:fill="FFFFFF"/>
        <w:rPr>
          <w:color w:val="000000"/>
          <w:shd w:val="clear" w:color="auto" w:fill="FFFFFF"/>
        </w:rPr>
      </w:pPr>
      <w:r w:rsidRPr="00F82AC4">
        <w:rPr>
          <w:color w:val="000000"/>
          <w:shd w:val="clear" w:color="auto" w:fill="FFFFFF"/>
        </w:rPr>
        <w:t>does not make rights, liberties and/or obligations unduly dependent upon non-reviewable decisions.</w:t>
      </w:r>
    </w:p>
    <w:sectPr w:rsidR="00722B50" w:rsidRPr="00722B50"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EDEB" w14:textId="77777777" w:rsidR="00E95A2B" w:rsidRDefault="00E95A2B" w:rsidP="00C17FAB">
      <w:r>
        <w:separator/>
      </w:r>
    </w:p>
  </w:endnote>
  <w:endnote w:type="continuationSeparator" w:id="0">
    <w:p w14:paraId="7F3FE2A3" w14:textId="77777777" w:rsidR="00E95A2B" w:rsidRDefault="00E95A2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B863" w14:textId="77777777" w:rsidR="00B0366F" w:rsidRDefault="00B03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9DEA" w14:textId="78C19467" w:rsidR="00DA3B00" w:rsidRPr="00B0366F" w:rsidRDefault="00B0366F" w:rsidP="00B0366F">
    <w:pPr>
      <w:pStyle w:val="Footer"/>
      <w:jc w:val="center"/>
      <w:rPr>
        <w:rFonts w:cs="Arial"/>
        <w:sz w:val="14"/>
      </w:rPr>
    </w:pPr>
    <w:r w:rsidRPr="00B0366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99D0" w14:textId="77777777" w:rsidR="00B0366F" w:rsidRDefault="00B0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1EAF" w14:textId="77777777" w:rsidR="00E95A2B" w:rsidRDefault="00E95A2B" w:rsidP="00C17FAB">
      <w:r>
        <w:separator/>
      </w:r>
    </w:p>
  </w:footnote>
  <w:footnote w:type="continuationSeparator" w:id="0">
    <w:p w14:paraId="298E271D" w14:textId="77777777" w:rsidR="00E95A2B" w:rsidRDefault="00E95A2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2248" w14:textId="77777777" w:rsidR="00B0366F" w:rsidRDefault="00B03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F335" w14:textId="77777777" w:rsidR="00B0366F" w:rsidRDefault="00B03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B428" w14:textId="77777777" w:rsidR="00B0366F" w:rsidRDefault="00B03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99B0A45"/>
    <w:multiLevelType w:val="multilevel"/>
    <w:tmpl w:val="6C4E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412237987">
    <w:abstractNumId w:val="2"/>
  </w:num>
  <w:num w:numId="2" w16cid:durableId="562062658">
    <w:abstractNumId w:val="0"/>
  </w:num>
  <w:num w:numId="3" w16cid:durableId="489372081">
    <w:abstractNumId w:val="3"/>
  </w:num>
  <w:num w:numId="4" w16cid:durableId="2042583446">
    <w:abstractNumId w:val="6"/>
  </w:num>
  <w:num w:numId="5" w16cid:durableId="1932736719">
    <w:abstractNumId w:val="7"/>
  </w:num>
  <w:num w:numId="6" w16cid:durableId="1986622176">
    <w:abstractNumId w:val="1"/>
  </w:num>
  <w:num w:numId="7" w16cid:durableId="1868828700">
    <w:abstractNumId w:val="4"/>
  </w:num>
  <w:num w:numId="8" w16cid:durableId="1972511258">
    <w:abstractNumId w:val="5"/>
  </w:num>
  <w:num w:numId="9" w16cid:durableId="1134328495">
    <w:abstractNumId w:val="9"/>
  </w:num>
  <w:num w:numId="10" w16cid:durableId="160124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60D2"/>
    <w:rsid w:val="0004571B"/>
    <w:rsid w:val="00050C5E"/>
    <w:rsid w:val="0005320C"/>
    <w:rsid w:val="00073630"/>
    <w:rsid w:val="000F0B9C"/>
    <w:rsid w:val="00107433"/>
    <w:rsid w:val="0011257A"/>
    <w:rsid w:val="00122BD1"/>
    <w:rsid w:val="00182BCB"/>
    <w:rsid w:val="00196FE6"/>
    <w:rsid w:val="001D0C56"/>
    <w:rsid w:val="001E54D1"/>
    <w:rsid w:val="002001ED"/>
    <w:rsid w:val="002072C1"/>
    <w:rsid w:val="00222251"/>
    <w:rsid w:val="00295EB6"/>
    <w:rsid w:val="002B1B77"/>
    <w:rsid w:val="002B7AF7"/>
    <w:rsid w:val="002D460F"/>
    <w:rsid w:val="002D7C60"/>
    <w:rsid w:val="002E585B"/>
    <w:rsid w:val="00364815"/>
    <w:rsid w:val="003657AA"/>
    <w:rsid w:val="00365907"/>
    <w:rsid w:val="003F5C75"/>
    <w:rsid w:val="00401081"/>
    <w:rsid w:val="00435262"/>
    <w:rsid w:val="00471253"/>
    <w:rsid w:val="00494AC1"/>
    <w:rsid w:val="004E2935"/>
    <w:rsid w:val="00524D35"/>
    <w:rsid w:val="00532C82"/>
    <w:rsid w:val="005A0570"/>
    <w:rsid w:val="00604E39"/>
    <w:rsid w:val="00630698"/>
    <w:rsid w:val="006313D5"/>
    <w:rsid w:val="00650AC2"/>
    <w:rsid w:val="006559C6"/>
    <w:rsid w:val="006A187F"/>
    <w:rsid w:val="006B3F91"/>
    <w:rsid w:val="006B5FB7"/>
    <w:rsid w:val="006C09A4"/>
    <w:rsid w:val="006F1DA3"/>
    <w:rsid w:val="0071169D"/>
    <w:rsid w:val="00714C24"/>
    <w:rsid w:val="00722B50"/>
    <w:rsid w:val="007346AC"/>
    <w:rsid w:val="007372C3"/>
    <w:rsid w:val="007B461B"/>
    <w:rsid w:val="007C25FB"/>
    <w:rsid w:val="007C6C99"/>
    <w:rsid w:val="007E0B3A"/>
    <w:rsid w:val="00803730"/>
    <w:rsid w:val="00803AB2"/>
    <w:rsid w:val="00836BB8"/>
    <w:rsid w:val="00837485"/>
    <w:rsid w:val="00865D3C"/>
    <w:rsid w:val="00876B43"/>
    <w:rsid w:val="008A059D"/>
    <w:rsid w:val="008C2967"/>
    <w:rsid w:val="008C2EB9"/>
    <w:rsid w:val="008C3981"/>
    <w:rsid w:val="008C5524"/>
    <w:rsid w:val="008D5CAB"/>
    <w:rsid w:val="008E3007"/>
    <w:rsid w:val="00900A97"/>
    <w:rsid w:val="00944EAB"/>
    <w:rsid w:val="009508A5"/>
    <w:rsid w:val="009873D6"/>
    <w:rsid w:val="009C0488"/>
    <w:rsid w:val="009D75B5"/>
    <w:rsid w:val="00A20EB8"/>
    <w:rsid w:val="00A20F33"/>
    <w:rsid w:val="00A24726"/>
    <w:rsid w:val="00A2509F"/>
    <w:rsid w:val="00A30F86"/>
    <w:rsid w:val="00A4080A"/>
    <w:rsid w:val="00A4726B"/>
    <w:rsid w:val="00A75D3D"/>
    <w:rsid w:val="00A85A0C"/>
    <w:rsid w:val="00AD0FCE"/>
    <w:rsid w:val="00AE3771"/>
    <w:rsid w:val="00B0366F"/>
    <w:rsid w:val="00B07D1C"/>
    <w:rsid w:val="00B3481B"/>
    <w:rsid w:val="00B35275"/>
    <w:rsid w:val="00BB1D80"/>
    <w:rsid w:val="00BB7C95"/>
    <w:rsid w:val="00C17FAB"/>
    <w:rsid w:val="00C34CC5"/>
    <w:rsid w:val="00C43759"/>
    <w:rsid w:val="00C47BCB"/>
    <w:rsid w:val="00C56D65"/>
    <w:rsid w:val="00C62884"/>
    <w:rsid w:val="00C64C0B"/>
    <w:rsid w:val="00CA3B1F"/>
    <w:rsid w:val="00CC4816"/>
    <w:rsid w:val="00CC7ABF"/>
    <w:rsid w:val="00CE28D0"/>
    <w:rsid w:val="00CE599C"/>
    <w:rsid w:val="00CE6AC2"/>
    <w:rsid w:val="00D05239"/>
    <w:rsid w:val="00D059A4"/>
    <w:rsid w:val="00D10D36"/>
    <w:rsid w:val="00D14480"/>
    <w:rsid w:val="00D36CCF"/>
    <w:rsid w:val="00D657F0"/>
    <w:rsid w:val="00D65E6B"/>
    <w:rsid w:val="00D74CDF"/>
    <w:rsid w:val="00D8417C"/>
    <w:rsid w:val="00D8633D"/>
    <w:rsid w:val="00D86411"/>
    <w:rsid w:val="00DA3B00"/>
    <w:rsid w:val="00DA7230"/>
    <w:rsid w:val="00DC2471"/>
    <w:rsid w:val="00DD540D"/>
    <w:rsid w:val="00DF4680"/>
    <w:rsid w:val="00E42026"/>
    <w:rsid w:val="00E82121"/>
    <w:rsid w:val="00E847FD"/>
    <w:rsid w:val="00E9485B"/>
    <w:rsid w:val="00E95A2B"/>
    <w:rsid w:val="00EB1134"/>
    <w:rsid w:val="00EC4D58"/>
    <w:rsid w:val="00EE42F2"/>
    <w:rsid w:val="00F03F99"/>
    <w:rsid w:val="00F131C5"/>
    <w:rsid w:val="00F63D61"/>
    <w:rsid w:val="00F82AC4"/>
    <w:rsid w:val="00FD75CE"/>
    <w:rsid w:val="00FE4F2C"/>
    <w:rsid w:val="00FF0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6D9F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longtitle">
    <w:name w:val="longtitle"/>
    <w:basedOn w:val="Normal"/>
    <w:rsid w:val="00D74CDF"/>
    <w:pPr>
      <w:spacing w:before="100" w:beforeAutospacing="1" w:after="100" w:afterAutospacing="1"/>
    </w:pPr>
    <w:rPr>
      <w:szCs w:val="24"/>
      <w:lang w:eastAsia="en-AU"/>
    </w:rPr>
  </w:style>
  <w:style w:type="paragraph" w:styleId="NormalWeb">
    <w:name w:val="Normal (Web)"/>
    <w:basedOn w:val="Normal"/>
    <w:uiPriority w:val="99"/>
    <w:unhideWhenUsed/>
    <w:rsid w:val="00D74CDF"/>
    <w:pPr>
      <w:spacing w:before="100" w:beforeAutospacing="1" w:after="100" w:afterAutospacing="1"/>
    </w:pPr>
    <w:rPr>
      <w:szCs w:val="24"/>
      <w:lang w:eastAsia="en-AU"/>
    </w:rPr>
  </w:style>
  <w:style w:type="character" w:customStyle="1" w:styleId="Hyperlink1">
    <w:name w:val="Hyperlink1"/>
    <w:basedOn w:val="DefaultParagraphFont"/>
    <w:rsid w:val="00D74CDF"/>
  </w:style>
  <w:style w:type="paragraph" w:styleId="Revision">
    <w:name w:val="Revision"/>
    <w:hidden/>
    <w:uiPriority w:val="99"/>
    <w:semiHidden/>
    <w:rsid w:val="00865D3C"/>
    <w:rPr>
      <w:sz w:val="24"/>
      <w:lang w:eastAsia="en-US"/>
    </w:rPr>
  </w:style>
  <w:style w:type="character" w:styleId="CommentReference">
    <w:name w:val="annotation reference"/>
    <w:basedOn w:val="DefaultParagraphFont"/>
    <w:uiPriority w:val="99"/>
    <w:unhideWhenUsed/>
    <w:rsid w:val="003657AA"/>
    <w:rPr>
      <w:sz w:val="16"/>
      <w:szCs w:val="16"/>
    </w:rPr>
  </w:style>
  <w:style w:type="paragraph" w:styleId="CommentText">
    <w:name w:val="annotation text"/>
    <w:basedOn w:val="Normal"/>
    <w:link w:val="CommentTextChar"/>
    <w:uiPriority w:val="99"/>
    <w:unhideWhenUsed/>
    <w:rsid w:val="003657AA"/>
    <w:rPr>
      <w:sz w:val="20"/>
    </w:rPr>
  </w:style>
  <w:style w:type="character" w:customStyle="1" w:styleId="CommentTextChar">
    <w:name w:val="Comment Text Char"/>
    <w:basedOn w:val="DefaultParagraphFont"/>
    <w:link w:val="CommentText"/>
    <w:uiPriority w:val="99"/>
    <w:rsid w:val="003657AA"/>
    <w:rPr>
      <w:lang w:eastAsia="en-US"/>
    </w:rPr>
  </w:style>
  <w:style w:type="paragraph" w:styleId="CommentSubject">
    <w:name w:val="annotation subject"/>
    <w:basedOn w:val="CommentText"/>
    <w:next w:val="CommentText"/>
    <w:link w:val="CommentSubjectChar"/>
    <w:uiPriority w:val="99"/>
    <w:semiHidden/>
    <w:unhideWhenUsed/>
    <w:rsid w:val="003657AA"/>
    <w:rPr>
      <w:b/>
      <w:bCs/>
    </w:rPr>
  </w:style>
  <w:style w:type="character" w:customStyle="1" w:styleId="CommentSubjectChar">
    <w:name w:val="Comment Subject Char"/>
    <w:basedOn w:val="CommentTextChar"/>
    <w:link w:val="CommentSubject"/>
    <w:uiPriority w:val="99"/>
    <w:semiHidden/>
    <w:rsid w:val="003657AA"/>
    <w:rPr>
      <w:b/>
      <w:bCs/>
      <w:lang w:eastAsia="en-US"/>
    </w:rPr>
  </w:style>
  <w:style w:type="character" w:styleId="UnresolvedMention">
    <w:name w:val="Unresolved Mention"/>
    <w:basedOn w:val="DefaultParagraphFont"/>
    <w:uiPriority w:val="99"/>
    <w:semiHidden/>
    <w:unhideWhenUsed/>
    <w:rsid w:val="00A2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7702">
      <w:bodyDiv w:val="1"/>
      <w:marLeft w:val="0"/>
      <w:marRight w:val="0"/>
      <w:marTop w:val="0"/>
      <w:marBottom w:val="0"/>
      <w:divBdr>
        <w:top w:val="none" w:sz="0" w:space="0" w:color="auto"/>
        <w:left w:val="none" w:sz="0" w:space="0" w:color="auto"/>
        <w:bottom w:val="none" w:sz="0" w:space="0" w:color="auto"/>
        <w:right w:val="none" w:sz="0" w:space="0" w:color="auto"/>
      </w:divBdr>
    </w:div>
    <w:div w:id="969625490">
      <w:bodyDiv w:val="1"/>
      <w:marLeft w:val="0"/>
      <w:marRight w:val="0"/>
      <w:marTop w:val="0"/>
      <w:marBottom w:val="0"/>
      <w:divBdr>
        <w:top w:val="none" w:sz="0" w:space="0" w:color="auto"/>
        <w:left w:val="none" w:sz="0" w:space="0" w:color="auto"/>
        <w:bottom w:val="none" w:sz="0" w:space="0" w:color="auto"/>
        <w:right w:val="none" w:sz="0" w:space="0" w:color="auto"/>
      </w:divBdr>
    </w:div>
    <w:div w:id="1170288472">
      <w:bodyDiv w:val="1"/>
      <w:marLeft w:val="0"/>
      <w:marRight w:val="0"/>
      <w:marTop w:val="0"/>
      <w:marBottom w:val="0"/>
      <w:divBdr>
        <w:top w:val="none" w:sz="0" w:space="0" w:color="auto"/>
        <w:left w:val="none" w:sz="0" w:space="0" w:color="auto"/>
        <w:bottom w:val="none" w:sz="0" w:space="0" w:color="auto"/>
        <w:right w:val="none" w:sz="0" w:space="0" w:color="auto"/>
      </w:divBdr>
    </w:div>
    <w:div w:id="1399284016">
      <w:bodyDiv w:val="1"/>
      <w:marLeft w:val="0"/>
      <w:marRight w:val="0"/>
      <w:marTop w:val="0"/>
      <w:marBottom w:val="0"/>
      <w:divBdr>
        <w:top w:val="none" w:sz="0" w:space="0" w:color="auto"/>
        <w:left w:val="none" w:sz="0" w:space="0" w:color="auto"/>
        <w:bottom w:val="none" w:sz="0" w:space="0" w:color="auto"/>
        <w:right w:val="none" w:sz="0" w:space="0" w:color="auto"/>
      </w:divBdr>
    </w:div>
    <w:div w:id="1747650783">
      <w:bodyDiv w:val="1"/>
      <w:marLeft w:val="0"/>
      <w:marRight w:val="0"/>
      <w:marTop w:val="0"/>
      <w:marBottom w:val="0"/>
      <w:divBdr>
        <w:top w:val="none" w:sz="0" w:space="0" w:color="auto"/>
        <w:left w:val="none" w:sz="0" w:space="0" w:color="auto"/>
        <w:bottom w:val="none" w:sz="0" w:space="0" w:color="auto"/>
        <w:right w:val="none" w:sz="0" w:space="0" w:color="auto"/>
      </w:divBdr>
    </w:div>
    <w:div w:id="192040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A52173873</value>
    </field>
    <field name="Objective-Title">
      <value order="0">Attach B - Explanatory Statement - Property Developers (Property Developers) Code of Practice 2025</value>
    </field>
    <field name="Objective-Description">
      <value order="0"/>
    </field>
    <field name="Objective-CreationStamp">
      <value order="0">2025-05-12T05:26:04Z</value>
    </field>
    <field name="Objective-IsApproved">
      <value order="0">false</value>
    </field>
    <field name="Objective-IsPublished">
      <value order="0">false</value>
    </field>
    <field name="Objective-DatePublished">
      <value order="0"/>
    </field>
    <field name="Objective-ModificationStamp">
      <value order="0">2025-09-05T05:10:02Z</value>
    </field>
    <field name="Objective-Owner">
      <value order="0">Helen Mcdonald</value>
    </field>
    <field name="Objective-Path">
      <value order="0">Whole of ACT Government:EPSDD - Environment Planning and Sustainable Development Directorate:07. Ministerial, Cabinet and Government Relations:06. Ministerials:2025 - Ministerial Briefs and Correspondence:Planning and Urban Policy:COMPLETED:25/0277593 Ministerial-Information Brief - Steel - Property Developers Code of Practice</value>
    </field>
    <field name="Objective-Parent">
      <value order="0">25/0277593 Ministerial-Information Brief - Steel - Property Developers Code of Practice</value>
    </field>
    <field name="Objective-State">
      <value order="0">Being Edited</value>
    </field>
    <field name="Objective-VersionId">
      <value order="0">vA72553315</value>
    </field>
    <field name="Objective-Version">
      <value order="0">19.1</value>
    </field>
    <field name="Objective-VersionNumber">
      <value order="0">24</value>
    </field>
    <field name="Objective-VersionComment">
      <value order="0"/>
    </field>
    <field name="Objective-FileNumber">
      <value order="0">1-2025/0277593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318C8D80-1853-4381-AD5C-A926DB19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4686</Characters>
  <Application>Microsoft Office Word</Application>
  <DocSecurity>0</DocSecurity>
  <Lines>116</Lines>
  <Paragraphs>35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2025-09-05T05:18:00Z</dcterms:created>
  <dcterms:modified xsi:type="dcterms:W3CDTF">2025-09-05T05:18:00Z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2024-08-20T05:01:52Z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c4cc0eaa-c576-4dbc-9af9-60b507f7ff40</vt:lpwstr>
  </property>
  <property fmtid="{D5CDD505-2E9C-101B-9397-08002B2CF9AE}" pid="8" name="MSIP_Label_69af8531-eb46-4968-8cb3-105d2f5ea87e_ContentBits">
    <vt:lpwstr>0</vt:lpwstr>
  </property>
  <property fmtid="{D5CDD505-2E9C-101B-9397-08002B2CF9AE}" pid="9" name="Objective-Id">
    <vt:lpwstr>A52173873</vt:lpwstr>
  </property>
  <property fmtid="{D5CDD505-2E9C-101B-9397-08002B2CF9AE}" pid="10" name="Objective-Title">
    <vt:lpwstr>Attach B - Explanatory Statement - Property Developers (Property Developers) Code of Practice 2025</vt:lpwstr>
  </property>
  <property fmtid="{D5CDD505-2E9C-101B-9397-08002B2CF9AE}" pid="11" name="Objective-Description">
    <vt:lpwstr/>
  </property>
  <property fmtid="{D5CDD505-2E9C-101B-9397-08002B2CF9AE}" pid="12" name="Objective-CreationStamp">
    <vt:filetime>2025-05-12T05:26:04Z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2025-09-05T05:10:24Z</vt:filetime>
  </property>
  <property fmtid="{D5CDD505-2E9C-101B-9397-08002B2CF9AE}" pid="16" name="Objective-ModificationStamp">
    <vt:filetime>2025-09-05T05:10:24Z</vt:filetime>
  </property>
  <property fmtid="{D5CDD505-2E9C-101B-9397-08002B2CF9AE}" pid="17" name="Objective-Owner">
    <vt:lpwstr>Helen Mcdonald</vt:lpwstr>
  </property>
  <property fmtid="{D5CDD505-2E9C-101B-9397-08002B2CF9AE}" pid="18" name="Objective-Path">
    <vt:lpwstr>Whole of ACT Government:EPSDD - Environment Planning and Sustainable Development Directorate:07. Ministerial, Cabinet and Government Relations:06. Ministerials:2025 - Ministerial Briefs and Correspondence:Planning and Urban Policy:COMPLETED:25/0277593 Ministerial-Information Brief - Steel - Property Developers Code of Practice:</vt:lpwstr>
  </property>
  <property fmtid="{D5CDD505-2E9C-101B-9397-08002B2CF9AE}" pid="19" name="Objective-Parent">
    <vt:lpwstr>25/0277593 Ministerial-Information Brief - Steel - Property Developers Code of Practice</vt:lpwstr>
  </property>
  <property fmtid="{D5CDD505-2E9C-101B-9397-08002B2CF9AE}" pid="20" name="Objective-State">
    <vt:lpwstr>Published</vt:lpwstr>
  </property>
  <property fmtid="{D5CDD505-2E9C-101B-9397-08002B2CF9AE}" pid="21" name="Objective-VersionId">
    <vt:lpwstr>vA72553315</vt:lpwstr>
  </property>
  <property fmtid="{D5CDD505-2E9C-101B-9397-08002B2CF9AE}" pid="22" name="Objective-Version">
    <vt:lpwstr>20.0</vt:lpwstr>
  </property>
  <property fmtid="{D5CDD505-2E9C-101B-9397-08002B2CF9AE}" pid="23" name="Objective-VersionNumber">
    <vt:r8>24</vt:r8>
  </property>
  <property fmtid="{D5CDD505-2E9C-101B-9397-08002B2CF9AE}" pid="24" name="Objective-VersionComment">
    <vt:lpwstr/>
  </property>
  <property fmtid="{D5CDD505-2E9C-101B-9397-08002B2CF9AE}" pid="25" name="Objective-FileNumber">
    <vt:lpwstr>1-2025/0277593</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ies>
</file>