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432427" w:rsidRDefault="00E90DF9" w:rsidP="00E90DF9">
      <w:pPr>
        <w:spacing w:after="0"/>
        <w:rPr>
          <w:rFonts w:cs="Arial"/>
          <w:b/>
          <w:i w:val="0"/>
        </w:rPr>
      </w:pPr>
    </w:p>
    <w:p w14:paraId="5C6C9ECA" w14:textId="5B182E04" w:rsidR="00E90DF9" w:rsidRPr="00432427" w:rsidRDefault="00E90DF9" w:rsidP="00E90DF9">
      <w:pPr>
        <w:spacing w:after="0"/>
        <w:jc w:val="center"/>
        <w:rPr>
          <w:rFonts w:cs="Arial"/>
          <w:b/>
          <w:i w:val="0"/>
        </w:rPr>
      </w:pPr>
      <w:r w:rsidRPr="00432427">
        <w:rPr>
          <w:rFonts w:cs="Arial"/>
          <w:b/>
          <w:i w:val="0"/>
        </w:rPr>
        <w:t>202</w:t>
      </w:r>
      <w:r w:rsidR="00911EB6" w:rsidRPr="00432427">
        <w:rPr>
          <w:rFonts w:cs="Arial"/>
          <w:b/>
          <w:i w:val="0"/>
        </w:rPr>
        <w:t>5</w:t>
      </w:r>
    </w:p>
    <w:p w14:paraId="4E149149" w14:textId="77777777" w:rsidR="00E90DF9" w:rsidRPr="00432427" w:rsidRDefault="00E90DF9" w:rsidP="00E90DF9">
      <w:pPr>
        <w:spacing w:after="0"/>
        <w:jc w:val="center"/>
        <w:rPr>
          <w:rFonts w:cs="Arial"/>
          <w:b/>
          <w:i w:val="0"/>
        </w:rPr>
      </w:pPr>
    </w:p>
    <w:p w14:paraId="06167890" w14:textId="77777777" w:rsidR="00E90DF9" w:rsidRPr="00432427" w:rsidRDefault="00E90DF9" w:rsidP="00E90DF9">
      <w:pPr>
        <w:spacing w:after="0"/>
        <w:jc w:val="center"/>
        <w:rPr>
          <w:rFonts w:cs="Arial"/>
          <w:b/>
          <w:i w:val="0"/>
        </w:rPr>
      </w:pPr>
    </w:p>
    <w:p w14:paraId="271BD407" w14:textId="453E1845" w:rsidR="00E90DF9" w:rsidRPr="00432427" w:rsidRDefault="00E90DF9" w:rsidP="00E90DF9">
      <w:pPr>
        <w:spacing w:after="0"/>
        <w:jc w:val="center"/>
        <w:rPr>
          <w:rFonts w:cs="Arial"/>
          <w:b/>
          <w:i w:val="0"/>
        </w:rPr>
      </w:pPr>
    </w:p>
    <w:p w14:paraId="71A1CE5B" w14:textId="77777777" w:rsidR="00E90DF9" w:rsidRPr="00432427" w:rsidRDefault="00E90DF9" w:rsidP="00E90DF9">
      <w:pPr>
        <w:spacing w:after="0"/>
        <w:jc w:val="center"/>
        <w:rPr>
          <w:rFonts w:cs="Arial"/>
          <w:b/>
          <w:i w:val="0"/>
        </w:rPr>
      </w:pPr>
    </w:p>
    <w:p w14:paraId="677673A4" w14:textId="77777777" w:rsidR="00E90DF9" w:rsidRPr="00432427" w:rsidRDefault="00E90DF9" w:rsidP="00E90DF9">
      <w:pPr>
        <w:spacing w:after="0"/>
        <w:jc w:val="center"/>
        <w:rPr>
          <w:rFonts w:cs="Arial"/>
          <w:b/>
          <w:i w:val="0"/>
        </w:rPr>
      </w:pPr>
    </w:p>
    <w:p w14:paraId="463F3AB6" w14:textId="77777777" w:rsidR="00E90DF9" w:rsidRPr="00432427" w:rsidRDefault="00E90DF9" w:rsidP="00E90DF9">
      <w:pPr>
        <w:spacing w:after="0"/>
        <w:jc w:val="center"/>
        <w:rPr>
          <w:rFonts w:cs="Arial"/>
          <w:b/>
          <w:i w:val="0"/>
        </w:rPr>
      </w:pPr>
    </w:p>
    <w:p w14:paraId="02BC33AF" w14:textId="77777777" w:rsidR="00E90DF9" w:rsidRPr="00432427" w:rsidRDefault="00E90DF9" w:rsidP="00E90DF9">
      <w:pPr>
        <w:spacing w:after="0"/>
        <w:jc w:val="center"/>
        <w:rPr>
          <w:rFonts w:cs="Arial"/>
          <w:b/>
          <w:i w:val="0"/>
        </w:rPr>
      </w:pPr>
      <w:r w:rsidRPr="00432427">
        <w:rPr>
          <w:rFonts w:cs="Arial"/>
          <w:b/>
          <w:i w:val="0"/>
        </w:rPr>
        <w:t>THE LEGISLATIVE ASSEMBLY FOR THE</w:t>
      </w:r>
    </w:p>
    <w:p w14:paraId="091772B4" w14:textId="77777777" w:rsidR="00E90DF9" w:rsidRPr="00432427" w:rsidRDefault="00E90DF9" w:rsidP="00E90DF9">
      <w:pPr>
        <w:spacing w:after="0"/>
        <w:jc w:val="center"/>
        <w:rPr>
          <w:rFonts w:cs="Arial"/>
          <w:b/>
          <w:i w:val="0"/>
        </w:rPr>
      </w:pPr>
      <w:r w:rsidRPr="00432427">
        <w:rPr>
          <w:rFonts w:cs="Arial"/>
          <w:b/>
          <w:i w:val="0"/>
        </w:rPr>
        <w:t>AUSTRALIAN CAPITAL TERRITORY</w:t>
      </w:r>
    </w:p>
    <w:p w14:paraId="63982AB9" w14:textId="77777777" w:rsidR="00E90DF9" w:rsidRPr="00432427" w:rsidRDefault="00E90DF9" w:rsidP="00E90DF9">
      <w:pPr>
        <w:spacing w:after="0"/>
        <w:jc w:val="center"/>
        <w:rPr>
          <w:rFonts w:cs="Arial"/>
          <w:b/>
          <w:i w:val="0"/>
        </w:rPr>
      </w:pPr>
    </w:p>
    <w:p w14:paraId="5FABE90A" w14:textId="77777777" w:rsidR="00E90DF9" w:rsidRPr="00432427" w:rsidRDefault="00E90DF9" w:rsidP="00E90DF9">
      <w:pPr>
        <w:spacing w:after="0"/>
        <w:jc w:val="center"/>
        <w:rPr>
          <w:rFonts w:cs="Arial"/>
          <w:b/>
          <w:i w:val="0"/>
        </w:rPr>
      </w:pPr>
    </w:p>
    <w:p w14:paraId="6118207D" w14:textId="77777777" w:rsidR="00E90DF9" w:rsidRPr="00432427" w:rsidRDefault="00E90DF9" w:rsidP="00E90DF9">
      <w:pPr>
        <w:spacing w:after="0"/>
        <w:jc w:val="center"/>
        <w:rPr>
          <w:rFonts w:cs="Arial"/>
          <w:b/>
          <w:i w:val="0"/>
        </w:rPr>
      </w:pPr>
    </w:p>
    <w:p w14:paraId="75A33EE9" w14:textId="4095B364" w:rsidR="00E90DF9" w:rsidRPr="00432427" w:rsidRDefault="009E0822" w:rsidP="00E90DF9">
      <w:pPr>
        <w:spacing w:after="0"/>
        <w:jc w:val="center"/>
        <w:rPr>
          <w:rFonts w:cs="Arial"/>
          <w:b/>
          <w:i w:val="0"/>
        </w:rPr>
      </w:pPr>
      <w:r w:rsidRPr="00432427">
        <w:rPr>
          <w:rFonts w:cs="Arial"/>
          <w:b/>
          <w:i w:val="0"/>
        </w:rPr>
        <w:t>ELEV</w:t>
      </w:r>
      <w:r w:rsidR="00E90DF9" w:rsidRPr="00432427">
        <w:rPr>
          <w:rFonts w:cs="Arial"/>
          <w:b/>
          <w:i w:val="0"/>
        </w:rPr>
        <w:t>ENTH ASSEMBLY</w:t>
      </w:r>
    </w:p>
    <w:p w14:paraId="12B1793E" w14:textId="77777777" w:rsidR="00E90DF9" w:rsidRPr="00432427" w:rsidRDefault="00E90DF9" w:rsidP="00E90DF9">
      <w:pPr>
        <w:spacing w:after="0"/>
        <w:jc w:val="center"/>
        <w:rPr>
          <w:rFonts w:cs="Arial"/>
          <w:b/>
          <w:i w:val="0"/>
        </w:rPr>
      </w:pPr>
    </w:p>
    <w:p w14:paraId="3D84F818" w14:textId="77777777" w:rsidR="00E90DF9" w:rsidRPr="00432427" w:rsidRDefault="00E90DF9" w:rsidP="00E90DF9">
      <w:pPr>
        <w:spacing w:after="0"/>
        <w:jc w:val="center"/>
        <w:rPr>
          <w:rFonts w:cs="Arial"/>
          <w:b/>
          <w:i w:val="0"/>
        </w:rPr>
      </w:pPr>
    </w:p>
    <w:p w14:paraId="312E8FE1" w14:textId="77777777" w:rsidR="00E90DF9" w:rsidRPr="00432427" w:rsidRDefault="00E90DF9" w:rsidP="00E90DF9">
      <w:pPr>
        <w:spacing w:after="0"/>
        <w:jc w:val="center"/>
        <w:rPr>
          <w:rFonts w:cs="Arial"/>
          <w:b/>
          <w:i w:val="0"/>
        </w:rPr>
      </w:pPr>
    </w:p>
    <w:p w14:paraId="62527870" w14:textId="77777777" w:rsidR="00E90DF9" w:rsidRPr="00432427" w:rsidRDefault="00E90DF9" w:rsidP="00E90DF9">
      <w:pPr>
        <w:spacing w:after="0"/>
        <w:jc w:val="center"/>
        <w:rPr>
          <w:rFonts w:cs="Arial"/>
          <w:b/>
          <w:i w:val="0"/>
        </w:rPr>
      </w:pPr>
    </w:p>
    <w:p w14:paraId="10E34864" w14:textId="77777777" w:rsidR="00E90DF9" w:rsidRPr="00432427" w:rsidRDefault="00E90DF9" w:rsidP="00E90DF9">
      <w:pPr>
        <w:spacing w:after="0"/>
        <w:jc w:val="center"/>
        <w:rPr>
          <w:rFonts w:cs="Arial"/>
          <w:b/>
          <w:i w:val="0"/>
        </w:rPr>
      </w:pPr>
    </w:p>
    <w:p w14:paraId="7A5CE6C9" w14:textId="77777777" w:rsidR="00E90DF9" w:rsidRPr="00432427" w:rsidRDefault="00E90DF9" w:rsidP="00E90DF9">
      <w:pPr>
        <w:spacing w:after="0"/>
        <w:jc w:val="center"/>
        <w:rPr>
          <w:rFonts w:cs="Arial"/>
          <w:b/>
          <w:i w:val="0"/>
        </w:rPr>
      </w:pPr>
    </w:p>
    <w:p w14:paraId="590EB1A4" w14:textId="35446E04" w:rsidR="00E90DF9" w:rsidRPr="00432427" w:rsidRDefault="007A1518" w:rsidP="00E90DF9">
      <w:pPr>
        <w:spacing w:after="0"/>
        <w:jc w:val="center"/>
        <w:rPr>
          <w:rFonts w:cs="Arial"/>
          <w:b/>
          <w:i w:val="0"/>
        </w:rPr>
      </w:pPr>
      <w:r w:rsidRPr="00432427">
        <w:rPr>
          <w:rFonts w:cs="Arial"/>
          <w:b/>
          <w:i w:val="0"/>
        </w:rPr>
        <w:t>WORKPLACE LEGI</w:t>
      </w:r>
      <w:r w:rsidR="002F2558" w:rsidRPr="00432427">
        <w:rPr>
          <w:rFonts w:cs="Arial"/>
          <w:b/>
          <w:i w:val="0"/>
        </w:rPr>
        <w:t>SLATION AMENDMENT BILL</w:t>
      </w:r>
      <w:r w:rsidR="007E64C8" w:rsidRPr="00432427">
        <w:rPr>
          <w:rFonts w:cs="Arial"/>
          <w:b/>
          <w:i w:val="0"/>
        </w:rPr>
        <w:t xml:space="preserve"> </w:t>
      </w:r>
      <w:r w:rsidR="002F2558" w:rsidRPr="00432427">
        <w:rPr>
          <w:rFonts w:cs="Arial"/>
          <w:b/>
          <w:i w:val="0"/>
        </w:rPr>
        <w:t>2025</w:t>
      </w:r>
      <w:r w:rsidR="00E07DF2" w:rsidRPr="00432427">
        <w:rPr>
          <w:rFonts w:cs="Arial"/>
          <w:b/>
          <w:i w:val="0"/>
        </w:rPr>
        <w:t xml:space="preserve"> (No 2)</w:t>
      </w:r>
    </w:p>
    <w:p w14:paraId="23C1CDE7" w14:textId="77777777" w:rsidR="00E90DF9" w:rsidRPr="00432427" w:rsidRDefault="00E90DF9" w:rsidP="00E90DF9">
      <w:pPr>
        <w:spacing w:after="0"/>
        <w:jc w:val="center"/>
        <w:rPr>
          <w:rFonts w:cs="Arial"/>
          <w:b/>
          <w:i w:val="0"/>
        </w:rPr>
      </w:pPr>
    </w:p>
    <w:p w14:paraId="5D04CAEB" w14:textId="77777777" w:rsidR="00E90DF9" w:rsidRDefault="00E90DF9" w:rsidP="00E90DF9">
      <w:pPr>
        <w:spacing w:after="0"/>
        <w:jc w:val="center"/>
        <w:rPr>
          <w:rFonts w:cs="Arial"/>
          <w:b/>
          <w:i w:val="0"/>
        </w:rPr>
      </w:pPr>
    </w:p>
    <w:p w14:paraId="679F2E93" w14:textId="77777777" w:rsidR="007E076C" w:rsidRDefault="007E076C" w:rsidP="00E90DF9">
      <w:pPr>
        <w:spacing w:after="0"/>
        <w:jc w:val="center"/>
        <w:rPr>
          <w:rFonts w:cs="Arial"/>
          <w:b/>
          <w:i w:val="0"/>
        </w:rPr>
      </w:pPr>
    </w:p>
    <w:p w14:paraId="02257122" w14:textId="77777777" w:rsidR="00050A82" w:rsidRPr="00432427" w:rsidRDefault="00050A82" w:rsidP="00E90DF9">
      <w:pPr>
        <w:spacing w:after="0"/>
        <w:jc w:val="center"/>
        <w:rPr>
          <w:rFonts w:cs="Arial"/>
          <w:b/>
          <w:i w:val="0"/>
        </w:rPr>
      </w:pPr>
    </w:p>
    <w:p w14:paraId="664BEC68" w14:textId="728679BD" w:rsidR="00E90DF9" w:rsidRPr="00432427" w:rsidRDefault="009908CD" w:rsidP="00E90DF9">
      <w:pPr>
        <w:spacing w:after="0"/>
        <w:jc w:val="center"/>
        <w:rPr>
          <w:rFonts w:cs="Arial"/>
          <w:b/>
          <w:i w:val="0"/>
        </w:rPr>
      </w:pPr>
      <w:r>
        <w:rPr>
          <w:rFonts w:cs="Arial"/>
          <w:b/>
          <w:i w:val="0"/>
        </w:rPr>
        <w:t xml:space="preserve">REVISED </w:t>
      </w:r>
      <w:r w:rsidR="00E90DF9" w:rsidRPr="00432427">
        <w:rPr>
          <w:rFonts w:cs="Arial"/>
          <w:b/>
          <w:i w:val="0"/>
        </w:rPr>
        <w:t xml:space="preserve">EXPLANATORY STATEMENT </w:t>
      </w:r>
    </w:p>
    <w:p w14:paraId="2FDF54DB" w14:textId="7CA044F9" w:rsidR="00E90DF9" w:rsidRDefault="00E90DF9" w:rsidP="00E90DF9">
      <w:pPr>
        <w:spacing w:after="0"/>
        <w:jc w:val="center"/>
        <w:rPr>
          <w:rFonts w:cs="Arial"/>
          <w:b/>
          <w:i w:val="0"/>
        </w:rPr>
      </w:pPr>
    </w:p>
    <w:p w14:paraId="295786F6" w14:textId="77777777" w:rsidR="007E076C" w:rsidRDefault="007E076C" w:rsidP="00E90DF9">
      <w:pPr>
        <w:spacing w:after="0"/>
        <w:jc w:val="center"/>
        <w:rPr>
          <w:rFonts w:cs="Arial"/>
          <w:b/>
          <w:i w:val="0"/>
        </w:rPr>
      </w:pPr>
    </w:p>
    <w:p w14:paraId="67767C25" w14:textId="77777777" w:rsidR="007E076C" w:rsidRPr="00432427" w:rsidRDefault="007E076C" w:rsidP="00E90DF9">
      <w:pPr>
        <w:spacing w:after="0"/>
        <w:jc w:val="center"/>
        <w:rPr>
          <w:rFonts w:cs="Arial"/>
          <w:b/>
          <w:i w:val="0"/>
        </w:rPr>
      </w:pPr>
    </w:p>
    <w:p w14:paraId="25C71D31" w14:textId="77777777" w:rsidR="00E90DF9" w:rsidRPr="00432427" w:rsidRDefault="00E90DF9" w:rsidP="00E90DF9">
      <w:pPr>
        <w:spacing w:after="0"/>
        <w:jc w:val="center"/>
        <w:rPr>
          <w:rFonts w:cs="Arial"/>
          <w:b/>
          <w:i w:val="0"/>
        </w:rPr>
      </w:pPr>
    </w:p>
    <w:p w14:paraId="62B7AD27" w14:textId="77777777" w:rsidR="00E90DF9" w:rsidRPr="00432427" w:rsidRDefault="00E90DF9" w:rsidP="00E90DF9">
      <w:pPr>
        <w:spacing w:after="0"/>
        <w:jc w:val="center"/>
        <w:rPr>
          <w:rFonts w:cs="Arial"/>
          <w:b/>
          <w:i w:val="0"/>
        </w:rPr>
      </w:pPr>
    </w:p>
    <w:p w14:paraId="3B7A8E87" w14:textId="77777777" w:rsidR="00E90DF9" w:rsidRPr="00432427" w:rsidRDefault="00E90DF9" w:rsidP="00E90DF9">
      <w:pPr>
        <w:spacing w:after="0"/>
        <w:jc w:val="center"/>
        <w:rPr>
          <w:rFonts w:cs="Arial"/>
          <w:b/>
          <w:i w:val="0"/>
        </w:rPr>
      </w:pPr>
    </w:p>
    <w:p w14:paraId="67BAB751" w14:textId="77777777" w:rsidR="00E90DF9" w:rsidRPr="00432427" w:rsidRDefault="00E90DF9" w:rsidP="00E90DF9">
      <w:pPr>
        <w:spacing w:after="0"/>
        <w:jc w:val="center"/>
        <w:rPr>
          <w:rFonts w:cs="Arial"/>
          <w:b/>
          <w:i w:val="0"/>
        </w:rPr>
      </w:pPr>
    </w:p>
    <w:p w14:paraId="3D25356F" w14:textId="77777777" w:rsidR="00E90DF9" w:rsidRPr="00432427" w:rsidRDefault="00E90DF9" w:rsidP="00E90DF9">
      <w:pPr>
        <w:spacing w:after="0"/>
        <w:jc w:val="center"/>
        <w:rPr>
          <w:rFonts w:cs="Arial"/>
          <w:b/>
          <w:i w:val="0"/>
        </w:rPr>
      </w:pPr>
    </w:p>
    <w:p w14:paraId="5A9A0527" w14:textId="77777777" w:rsidR="00E90DF9" w:rsidRPr="00432427" w:rsidRDefault="00E90DF9" w:rsidP="00E90DF9">
      <w:pPr>
        <w:spacing w:after="0"/>
        <w:jc w:val="center"/>
        <w:rPr>
          <w:rFonts w:cs="Arial"/>
          <w:b/>
          <w:i w:val="0"/>
        </w:rPr>
      </w:pPr>
    </w:p>
    <w:p w14:paraId="4CDC9EA3" w14:textId="77777777" w:rsidR="00E90DF9" w:rsidRPr="00432427" w:rsidRDefault="00E90DF9" w:rsidP="00E90DF9">
      <w:pPr>
        <w:spacing w:after="0"/>
        <w:jc w:val="center"/>
        <w:rPr>
          <w:rFonts w:cs="Arial"/>
          <w:b/>
          <w:i w:val="0"/>
        </w:rPr>
      </w:pPr>
    </w:p>
    <w:p w14:paraId="01179C4F" w14:textId="77777777" w:rsidR="00E90DF9" w:rsidRPr="00432427" w:rsidRDefault="00E90DF9" w:rsidP="00E90DF9">
      <w:pPr>
        <w:keepNext/>
        <w:widowControl w:val="0"/>
        <w:spacing w:after="0"/>
        <w:jc w:val="center"/>
        <w:outlineLvl w:val="7"/>
        <w:rPr>
          <w:rFonts w:cs="Arial"/>
          <w:b/>
          <w:i w:val="0"/>
        </w:rPr>
      </w:pPr>
    </w:p>
    <w:p w14:paraId="01D43C2C" w14:textId="77777777" w:rsidR="00E90DF9" w:rsidRPr="00432427" w:rsidRDefault="00E90DF9" w:rsidP="00E90DF9">
      <w:pPr>
        <w:keepNext/>
        <w:widowControl w:val="0"/>
        <w:spacing w:after="0"/>
        <w:jc w:val="center"/>
        <w:outlineLvl w:val="7"/>
        <w:rPr>
          <w:rFonts w:cs="Arial"/>
          <w:b/>
          <w:i w:val="0"/>
        </w:rPr>
      </w:pPr>
    </w:p>
    <w:p w14:paraId="461523AD" w14:textId="77777777" w:rsidR="00E90DF9" w:rsidRPr="00432427" w:rsidRDefault="00E90DF9" w:rsidP="00E90DF9">
      <w:pPr>
        <w:keepNext/>
        <w:widowControl w:val="0"/>
        <w:spacing w:after="0"/>
        <w:ind w:right="686"/>
        <w:jc w:val="right"/>
        <w:outlineLvl w:val="7"/>
        <w:rPr>
          <w:rFonts w:cs="Arial"/>
          <w:b/>
          <w:i w:val="0"/>
        </w:rPr>
      </w:pPr>
      <w:r w:rsidRPr="00432427">
        <w:rPr>
          <w:rFonts w:cs="Arial"/>
          <w:b/>
          <w:i w:val="0"/>
        </w:rPr>
        <w:t>Presented by</w:t>
      </w:r>
    </w:p>
    <w:p w14:paraId="340671F6" w14:textId="543EE440" w:rsidR="00E90DF9" w:rsidRPr="00432427" w:rsidRDefault="00F510F9" w:rsidP="00E90DF9">
      <w:pPr>
        <w:spacing w:after="0"/>
        <w:ind w:right="686"/>
        <w:jc w:val="right"/>
        <w:rPr>
          <w:rFonts w:cs="Arial"/>
          <w:b/>
          <w:i w:val="0"/>
        </w:rPr>
      </w:pPr>
      <w:r w:rsidRPr="00432427">
        <w:rPr>
          <w:rFonts w:cs="Arial"/>
          <w:b/>
          <w:i w:val="0"/>
        </w:rPr>
        <w:t>Michael Pettersson</w:t>
      </w:r>
      <w:r w:rsidR="00E90DF9" w:rsidRPr="00432427">
        <w:rPr>
          <w:rFonts w:cs="Arial"/>
          <w:b/>
          <w:i w:val="0"/>
        </w:rPr>
        <w:t xml:space="preserve"> MLA</w:t>
      </w:r>
    </w:p>
    <w:p w14:paraId="2B65FA14" w14:textId="6FD1D531" w:rsidR="00E90DF9" w:rsidRPr="00432427" w:rsidRDefault="00616A66" w:rsidP="00E90DF9">
      <w:pPr>
        <w:spacing w:after="0"/>
        <w:ind w:right="686"/>
        <w:jc w:val="right"/>
        <w:rPr>
          <w:rFonts w:cs="Arial"/>
          <w:b/>
          <w:i w:val="0"/>
        </w:rPr>
      </w:pPr>
      <w:r w:rsidRPr="00432427">
        <w:rPr>
          <w:rFonts w:cs="Arial"/>
          <w:b/>
          <w:i w:val="0"/>
        </w:rPr>
        <w:t xml:space="preserve">Minister </w:t>
      </w:r>
      <w:r w:rsidR="00586D8C" w:rsidRPr="00432427">
        <w:rPr>
          <w:rFonts w:cs="Arial"/>
          <w:b/>
          <w:i w:val="0"/>
        </w:rPr>
        <w:t>f</w:t>
      </w:r>
      <w:r w:rsidRPr="00432427">
        <w:rPr>
          <w:rFonts w:cs="Arial"/>
          <w:b/>
          <w:i w:val="0"/>
        </w:rPr>
        <w:t>or Skills, Training and Industrial Relations</w:t>
      </w:r>
    </w:p>
    <w:p w14:paraId="722CCE31" w14:textId="06C9FB07" w:rsidR="00E90DF9" w:rsidRPr="00432427" w:rsidRDefault="00616A66" w:rsidP="00E90DF9">
      <w:pPr>
        <w:spacing w:after="0"/>
        <w:ind w:right="686"/>
        <w:jc w:val="right"/>
        <w:rPr>
          <w:rFonts w:cs="Arial"/>
          <w:b/>
          <w:i w:val="0"/>
        </w:rPr>
      </w:pPr>
      <w:r w:rsidRPr="00432427">
        <w:rPr>
          <w:rFonts w:cs="Arial"/>
          <w:b/>
          <w:i w:val="0"/>
        </w:rPr>
        <w:t>September</w:t>
      </w:r>
      <w:r w:rsidR="00E90DF9" w:rsidRPr="00432427">
        <w:rPr>
          <w:rFonts w:cs="Arial"/>
          <w:b/>
          <w:i w:val="0"/>
        </w:rPr>
        <w:t xml:space="preserve"> 202</w:t>
      </w:r>
      <w:r w:rsidR="00AD0F76" w:rsidRPr="00432427">
        <w:rPr>
          <w:rFonts w:cs="Arial"/>
          <w:b/>
          <w:i w:val="0"/>
        </w:rPr>
        <w:t>5</w:t>
      </w:r>
    </w:p>
    <w:p w14:paraId="764EA7E1" w14:textId="77777777" w:rsidR="00E90DF9" w:rsidRPr="008C3B92" w:rsidRDefault="00E90DF9" w:rsidP="00E90DF9">
      <w:pPr>
        <w:spacing w:after="0" w:line="240" w:lineRule="auto"/>
        <w:rPr>
          <w:rFonts w:cs="Arial"/>
          <w:b/>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cs="Arial"/>
          <w:b/>
          <w:u w:val="single"/>
        </w:rPr>
        <w:br w:type="page"/>
      </w:r>
    </w:p>
    <w:p w14:paraId="1DBAD7DE" w14:textId="4EDC45C8" w:rsidR="00382A8A" w:rsidRPr="00432427" w:rsidRDefault="00382A8A" w:rsidP="00382A8A">
      <w:pPr>
        <w:spacing w:after="0"/>
        <w:jc w:val="center"/>
        <w:rPr>
          <w:rFonts w:cs="Arial"/>
          <w:b/>
          <w:i w:val="0"/>
        </w:rPr>
      </w:pPr>
      <w:r w:rsidRPr="00432427">
        <w:rPr>
          <w:rFonts w:cs="Arial"/>
          <w:b/>
          <w:i w:val="0"/>
        </w:rPr>
        <w:lastRenderedPageBreak/>
        <w:t>WORKPLACE LEGISLATION AMENDMENT BILL</w:t>
      </w:r>
      <w:r w:rsidR="006519E7" w:rsidRPr="00432427">
        <w:rPr>
          <w:rFonts w:cs="Arial"/>
          <w:b/>
          <w:i w:val="0"/>
        </w:rPr>
        <w:t xml:space="preserve"> </w:t>
      </w:r>
      <w:r w:rsidRPr="00432427">
        <w:rPr>
          <w:rFonts w:cs="Arial"/>
          <w:b/>
          <w:i w:val="0"/>
        </w:rPr>
        <w:t>2025</w:t>
      </w:r>
      <w:r w:rsidR="00E07DF2" w:rsidRPr="00432427">
        <w:rPr>
          <w:rFonts w:cs="Arial"/>
          <w:b/>
          <w:i w:val="0"/>
        </w:rPr>
        <w:t xml:space="preserve"> (No 2)</w:t>
      </w:r>
    </w:p>
    <w:p w14:paraId="791A60D0" w14:textId="77777777" w:rsidR="00E90DF9" w:rsidRPr="00432427" w:rsidRDefault="00E90DF9" w:rsidP="00E90DF9">
      <w:pPr>
        <w:spacing w:after="0"/>
        <w:contextualSpacing/>
        <w:rPr>
          <w:rFonts w:cs="Arial"/>
          <w:i w:val="0"/>
        </w:rPr>
      </w:pPr>
    </w:p>
    <w:p w14:paraId="07747D20" w14:textId="086FA9BB"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This </w:t>
      </w:r>
      <w:r w:rsidR="009908CD">
        <w:rPr>
          <w:rFonts w:cs="Arial"/>
          <w:i w:val="0"/>
        </w:rPr>
        <w:t xml:space="preserve">revised </w:t>
      </w:r>
      <w:r w:rsidRPr="00432427">
        <w:rPr>
          <w:rFonts w:cs="Arial"/>
          <w:i w:val="0"/>
        </w:rPr>
        <w:t xml:space="preserve">explanatory statement (the statement) relates to the </w:t>
      </w:r>
      <w:r w:rsidR="00977FE7" w:rsidRPr="00432427">
        <w:rPr>
          <w:rFonts w:cs="Arial"/>
          <w:i w:val="0"/>
        </w:rPr>
        <w:t>Workplace Legislation Amendment Bill 2025</w:t>
      </w:r>
      <w:r w:rsidR="00E07DF2" w:rsidRPr="00432427">
        <w:rPr>
          <w:rFonts w:cs="Arial"/>
          <w:i w:val="0"/>
        </w:rPr>
        <w:t xml:space="preserve"> (No 2)</w:t>
      </w:r>
      <w:r w:rsidR="00977FE7" w:rsidRPr="00432427">
        <w:rPr>
          <w:rFonts w:cs="Arial"/>
          <w:i w:val="0"/>
        </w:rPr>
        <w:t xml:space="preserve"> </w:t>
      </w:r>
      <w:r w:rsidRPr="00432427">
        <w:rPr>
          <w:rFonts w:cs="Arial"/>
          <w:i w:val="0"/>
        </w:rPr>
        <w:t>(the Bill)</w:t>
      </w:r>
      <w:r w:rsidR="009908CD">
        <w:rPr>
          <w:rFonts w:cs="Arial"/>
          <w:i w:val="0"/>
        </w:rPr>
        <w:t xml:space="preserve">. </w:t>
      </w:r>
      <w:r w:rsidR="009908CD" w:rsidRPr="009908CD">
        <w:rPr>
          <w:rFonts w:cs="Arial"/>
          <w:i w:val="0"/>
        </w:rPr>
        <w:t xml:space="preserve">This Explanatory Statement has been </w:t>
      </w:r>
      <w:r w:rsidR="00C12CF9">
        <w:rPr>
          <w:rFonts w:cs="Arial"/>
          <w:i w:val="0"/>
        </w:rPr>
        <w:t>revised</w:t>
      </w:r>
      <w:r w:rsidR="009908CD" w:rsidRPr="009908CD">
        <w:rPr>
          <w:rFonts w:cs="Arial"/>
          <w:i w:val="0"/>
        </w:rPr>
        <w:t xml:space="preserve"> for the Workplace Legislation Amendment Bill 2025 (No 2) following an Assembly motion agreed on 2</w:t>
      </w:r>
      <w:r w:rsidR="009908CD">
        <w:rPr>
          <w:rFonts w:cs="Arial"/>
          <w:i w:val="0"/>
        </w:rPr>
        <w:t> </w:t>
      </w:r>
      <w:r w:rsidR="009908CD" w:rsidRPr="009908CD">
        <w:rPr>
          <w:rFonts w:cs="Arial"/>
          <w:i w:val="0"/>
        </w:rPr>
        <w:t>September 2025 to divide the Workplace Legislation Amendment Bill 2025 (No 2) as presented</w:t>
      </w:r>
      <w:r w:rsidR="00710860" w:rsidRPr="00710860">
        <w:rPr>
          <w:rFonts w:cs="Arial"/>
          <w:i w:val="0"/>
        </w:rPr>
        <w:t xml:space="preserve"> </w:t>
      </w:r>
      <w:r w:rsidR="00710860">
        <w:rPr>
          <w:rFonts w:cs="Arial"/>
          <w:i w:val="0"/>
        </w:rPr>
        <w:t>in the ACT Legislative Assembly</w:t>
      </w:r>
      <w:r w:rsidR="009908CD" w:rsidRPr="009908CD">
        <w:rPr>
          <w:rFonts w:cs="Arial"/>
          <w:i w:val="0"/>
        </w:rPr>
        <w:t>.</w:t>
      </w:r>
      <w:r w:rsidR="009908CD">
        <w:rPr>
          <w:rFonts w:cs="Arial"/>
          <w:i w:val="0"/>
        </w:rPr>
        <w:t xml:space="preserve"> </w:t>
      </w:r>
      <w:r w:rsidR="003D24BE">
        <w:rPr>
          <w:rFonts w:cs="Arial"/>
          <w:i w:val="0"/>
        </w:rPr>
        <w:t xml:space="preserve">A human rights compatibility statement was provided with the </w:t>
      </w:r>
      <w:r w:rsidR="003D24BE" w:rsidRPr="00852313">
        <w:rPr>
          <w:rFonts w:cs="Arial"/>
          <w:i w:val="0"/>
        </w:rPr>
        <w:t>Workplace Legislation Amendment Bill 2025 (No 2) as presented</w:t>
      </w:r>
      <w:r w:rsidR="003D24BE">
        <w:rPr>
          <w:rFonts w:cs="Arial"/>
          <w:i w:val="0"/>
        </w:rPr>
        <w:t xml:space="preserve"> in the Legislative Assembly on 2</w:t>
      </w:r>
      <w:r w:rsidR="00916AED">
        <w:rPr>
          <w:rFonts w:cs="Arial"/>
          <w:i w:val="0"/>
        </w:rPr>
        <w:t> </w:t>
      </w:r>
      <w:r w:rsidR="003D24BE">
        <w:rPr>
          <w:rFonts w:cs="Arial"/>
          <w:i w:val="0"/>
        </w:rPr>
        <w:t xml:space="preserve">September 2025. </w:t>
      </w:r>
      <w:r w:rsidRPr="00432427">
        <w:rPr>
          <w:rFonts w:cs="Arial"/>
          <w:i w:val="0"/>
        </w:rPr>
        <w:t xml:space="preserve">It has been prepared to assist the reader. It does not form part of the </w:t>
      </w:r>
      <w:r w:rsidR="00E16E99" w:rsidRPr="00432427">
        <w:rPr>
          <w:rFonts w:cs="Arial"/>
          <w:i w:val="0"/>
        </w:rPr>
        <w:t>Bill and</w:t>
      </w:r>
      <w:r w:rsidR="004D3886" w:rsidRPr="00432427">
        <w:rPr>
          <w:rFonts w:cs="Arial"/>
          <w:i w:val="0"/>
        </w:rPr>
        <w:t xml:space="preserve"> </w:t>
      </w:r>
      <w:r w:rsidRPr="00432427">
        <w:rPr>
          <w:rFonts w:cs="Arial"/>
          <w:i w:val="0"/>
        </w:rPr>
        <w:t>has not been endorsed by the Assembly.</w:t>
      </w:r>
    </w:p>
    <w:p w14:paraId="1AF0F930" w14:textId="77777777" w:rsidR="00A45BB4" w:rsidRPr="00432427" w:rsidRDefault="00A45BB4" w:rsidP="00A45BB4">
      <w:pPr>
        <w:spacing w:before="100" w:beforeAutospacing="1" w:after="100" w:afterAutospacing="1"/>
        <w:contextualSpacing/>
        <w:rPr>
          <w:rFonts w:cs="Arial"/>
          <w:i w:val="0"/>
        </w:rPr>
      </w:pPr>
    </w:p>
    <w:p w14:paraId="299461A2" w14:textId="68B45F94" w:rsidR="00A45BB4" w:rsidRPr="00432427" w:rsidRDefault="00A45BB4" w:rsidP="00A45BB4">
      <w:pPr>
        <w:spacing w:before="100" w:beforeAutospacing="1" w:after="100" w:afterAutospacing="1"/>
        <w:contextualSpacing/>
        <w:rPr>
          <w:rFonts w:cs="Arial"/>
          <w:i w:val="0"/>
        </w:rPr>
      </w:pPr>
      <w:r w:rsidRPr="00432427">
        <w:rPr>
          <w:rFonts w:cs="Arial"/>
          <w:i w:val="0"/>
        </w:rPr>
        <w:t xml:space="preserve">The statement is to be read in conjunction with the Bill. It </w:t>
      </w:r>
      <w:r w:rsidR="00F56E08" w:rsidRPr="00432427">
        <w:rPr>
          <w:rFonts w:cs="Arial"/>
          <w:i w:val="0"/>
        </w:rPr>
        <w:t xml:space="preserve">is </w:t>
      </w:r>
      <w:r w:rsidRPr="00432427">
        <w:rPr>
          <w:rFonts w:cs="Arial"/>
          <w:i w:val="0"/>
        </w:rPr>
        <w:t xml:space="preserve">not intended to be a comprehensive </w:t>
      </w:r>
      <w:r w:rsidRPr="00432427">
        <w:rPr>
          <w:rFonts w:eastAsia="Arial" w:cs="Arial"/>
          <w:i w:val="0"/>
        </w:rPr>
        <w:t>description</w:t>
      </w:r>
      <w:r w:rsidRPr="00432427">
        <w:rPr>
          <w:rFonts w:cs="Arial"/>
          <w:i w:val="0"/>
        </w:rPr>
        <w:t xml:space="preserve"> of the Bill. What is said about a provision is not to be taken as providing a definitive interpretation of the meaning of a provision, this being a task for the courts.</w:t>
      </w:r>
    </w:p>
    <w:p w14:paraId="3C724A5C" w14:textId="77777777" w:rsidR="00A45BB4" w:rsidRPr="00432427" w:rsidRDefault="00A45BB4" w:rsidP="00A45BB4">
      <w:pPr>
        <w:spacing w:before="100" w:beforeAutospacing="1" w:after="100" w:afterAutospacing="1"/>
        <w:contextualSpacing/>
        <w:rPr>
          <w:rFonts w:cs="Arial"/>
          <w:i w:val="0"/>
        </w:rPr>
      </w:pPr>
    </w:p>
    <w:p w14:paraId="079B8258" w14:textId="03B807D6" w:rsidR="00A45BB4" w:rsidRPr="00432427" w:rsidRDefault="00A45BB4" w:rsidP="00A45BB4">
      <w:pPr>
        <w:spacing w:before="100" w:beforeAutospacing="1" w:after="100" w:afterAutospacing="1"/>
        <w:contextualSpacing/>
        <w:rPr>
          <w:rFonts w:cs="Arial"/>
          <w:i w:val="0"/>
        </w:rPr>
      </w:pPr>
      <w:r w:rsidRPr="00432427">
        <w:rPr>
          <w:rFonts w:cs="Arial"/>
          <w:i w:val="0"/>
        </w:rPr>
        <w:t>The Bill</w:t>
      </w:r>
      <w:r w:rsidR="008A62B9" w:rsidRPr="00432427">
        <w:rPr>
          <w:rFonts w:cs="Arial"/>
          <w:i w:val="0"/>
        </w:rPr>
        <w:t xml:space="preserve"> is</w:t>
      </w:r>
      <w:r w:rsidRPr="00432427">
        <w:rPr>
          <w:rFonts w:cs="Arial"/>
          <w:i w:val="0"/>
        </w:rPr>
        <w:t xml:space="preserve"> declared a Significant Bill. Significant Bills are bills that have been assessed as likely to have significant engagement of human rights and require more detailed reasoning in relation to compatibility with the </w:t>
      </w:r>
      <w:r w:rsidRPr="00DF622F">
        <w:rPr>
          <w:rFonts w:cs="Arial"/>
          <w:iCs w:val="0"/>
        </w:rPr>
        <w:t>Human Rights Act 2004</w:t>
      </w:r>
      <w:r w:rsidRPr="00432427">
        <w:rPr>
          <w:rFonts w:cs="Arial"/>
          <w:i w:val="0"/>
        </w:rPr>
        <w:t>.</w:t>
      </w:r>
    </w:p>
    <w:p w14:paraId="3735CFA3" w14:textId="77777777" w:rsidR="00E90DF9" w:rsidRPr="00432427" w:rsidRDefault="00E90DF9" w:rsidP="00E90DF9">
      <w:pPr>
        <w:spacing w:after="0"/>
        <w:rPr>
          <w:rFonts w:cs="Arial"/>
          <w:i w:val="0"/>
          <w:highlight w:val="yellow"/>
        </w:rPr>
      </w:pPr>
    </w:p>
    <w:p w14:paraId="4A7DFCB5" w14:textId="01C78B9F" w:rsidR="00C10076" w:rsidRPr="00432427" w:rsidRDefault="00E90DF9" w:rsidP="00C10076">
      <w:pPr>
        <w:pStyle w:val="Heading2"/>
        <w:rPr>
          <w:i w:val="0"/>
        </w:rPr>
      </w:pPr>
      <w:r w:rsidRPr="00432427">
        <w:rPr>
          <w:i w:val="0"/>
        </w:rPr>
        <w:t>OVERVIEW OF THE BILL</w:t>
      </w:r>
    </w:p>
    <w:p w14:paraId="4FEEC177" w14:textId="3DE35AB7" w:rsidR="00A25503" w:rsidRPr="00432427" w:rsidRDefault="00A25503" w:rsidP="063F40A7">
      <w:pPr>
        <w:rPr>
          <w:rFonts w:cs="Arial"/>
          <w:i w:val="0"/>
        </w:rPr>
      </w:pPr>
      <w:r w:rsidRPr="00432427">
        <w:rPr>
          <w:rFonts w:cs="Arial"/>
          <w:i w:val="0"/>
        </w:rPr>
        <w:t>The</w:t>
      </w:r>
      <w:r w:rsidR="00EA5E6A" w:rsidRPr="00432427">
        <w:rPr>
          <w:rFonts w:cs="Arial"/>
          <w:i w:val="0"/>
        </w:rPr>
        <w:t xml:space="preserve"> purpose of this</w:t>
      </w:r>
      <w:r w:rsidRPr="00432427">
        <w:rPr>
          <w:rFonts w:cs="Arial"/>
          <w:i w:val="0"/>
        </w:rPr>
        <w:t xml:space="preserve"> Bill</w:t>
      </w:r>
      <w:r w:rsidR="00EA5E6A" w:rsidRPr="00432427">
        <w:rPr>
          <w:rFonts w:cs="Arial"/>
          <w:i w:val="0"/>
        </w:rPr>
        <w:t xml:space="preserve"> is to</w:t>
      </w:r>
      <w:r w:rsidR="00FA7391" w:rsidRPr="00432427">
        <w:rPr>
          <w:rFonts w:cs="Arial"/>
          <w:i w:val="0"/>
        </w:rPr>
        <w:t xml:space="preserve"> introduce</w:t>
      </w:r>
      <w:r w:rsidR="00051C8D" w:rsidRPr="00432427">
        <w:rPr>
          <w:rFonts w:cs="Arial"/>
          <w:i w:val="0"/>
        </w:rPr>
        <w:t xml:space="preserve"> </w:t>
      </w:r>
      <w:r w:rsidRPr="00432427">
        <w:rPr>
          <w:rFonts w:cs="Arial"/>
          <w:i w:val="0"/>
        </w:rPr>
        <w:t>amend</w:t>
      </w:r>
      <w:r w:rsidR="00051C8D" w:rsidRPr="00432427">
        <w:rPr>
          <w:rFonts w:cs="Arial"/>
          <w:i w:val="0"/>
        </w:rPr>
        <w:t>ments to</w:t>
      </w:r>
      <w:r w:rsidRPr="00432427">
        <w:rPr>
          <w:rFonts w:cs="Arial"/>
          <w:i w:val="0"/>
        </w:rPr>
        <w:t xml:space="preserve"> the following legislation:</w:t>
      </w:r>
    </w:p>
    <w:p w14:paraId="749238E3" w14:textId="577F2398" w:rsidR="00AF1A63" w:rsidRPr="00B240A1" w:rsidRDefault="00BD207B" w:rsidP="00DF622F">
      <w:pPr>
        <w:pStyle w:val="ListParagraph"/>
        <w:numPr>
          <w:ilvl w:val="0"/>
          <w:numId w:val="42"/>
        </w:numPr>
        <w:spacing w:after="120" w:line="276" w:lineRule="auto"/>
        <w:rPr>
          <w:rFonts w:cs="Arial"/>
          <w:iCs w:val="0"/>
        </w:rPr>
      </w:pPr>
      <w:r w:rsidRPr="00B240A1">
        <w:rPr>
          <w:rFonts w:cs="Arial"/>
          <w:iCs w:val="0"/>
        </w:rPr>
        <w:t>Evidence (Miscellaneous Provisions) Act</w:t>
      </w:r>
      <w:r w:rsidR="00BB3C67" w:rsidRPr="00B240A1">
        <w:rPr>
          <w:rFonts w:cs="Arial"/>
          <w:iCs w:val="0"/>
        </w:rPr>
        <w:t xml:space="preserve"> 199</w:t>
      </w:r>
      <w:r w:rsidR="004775EC">
        <w:rPr>
          <w:rFonts w:cs="Arial"/>
          <w:iCs w:val="0"/>
        </w:rPr>
        <w:t>1</w:t>
      </w:r>
      <w:r w:rsidR="00C840E2" w:rsidRPr="00C840E2">
        <w:rPr>
          <w:rFonts w:cs="Arial"/>
          <w:i w:val="0"/>
        </w:rPr>
        <w:t>, and</w:t>
      </w:r>
    </w:p>
    <w:p w14:paraId="6FBDA677" w14:textId="6C5C5AEE" w:rsidR="00AF1A63" w:rsidRPr="00432427" w:rsidRDefault="005F01C1" w:rsidP="00C840E2">
      <w:pPr>
        <w:pStyle w:val="ListParagraph"/>
        <w:numPr>
          <w:ilvl w:val="0"/>
          <w:numId w:val="42"/>
        </w:numPr>
        <w:spacing w:after="120" w:line="276" w:lineRule="auto"/>
        <w:rPr>
          <w:rFonts w:cs="Arial"/>
          <w:i w:val="0"/>
        </w:rPr>
      </w:pPr>
      <w:r w:rsidRPr="00B240A1">
        <w:rPr>
          <w:rFonts w:cs="Arial"/>
          <w:iCs w:val="0"/>
        </w:rPr>
        <w:t>Workers Compensation Act 1951</w:t>
      </w:r>
      <w:r w:rsidR="00C840E2">
        <w:rPr>
          <w:rFonts w:cs="Arial"/>
          <w:i w:val="0"/>
        </w:rPr>
        <w:t>.</w:t>
      </w:r>
    </w:p>
    <w:p w14:paraId="63880D88" w14:textId="2182BF82" w:rsidR="007E2E2C" w:rsidRPr="00432427" w:rsidRDefault="00C840E2" w:rsidP="063F40A7">
      <w:pPr>
        <w:rPr>
          <w:rFonts w:cs="Arial"/>
          <w:b/>
          <w:i w:val="0"/>
        </w:rPr>
      </w:pPr>
      <w:r>
        <w:rPr>
          <w:rFonts w:cs="Arial"/>
          <w:b/>
          <w:i w:val="0"/>
        </w:rPr>
        <w:br/>
      </w:r>
      <w:r w:rsidR="007E2E2C" w:rsidRPr="00432427">
        <w:rPr>
          <w:rFonts w:cs="Arial"/>
          <w:b/>
          <w:i w:val="0"/>
        </w:rPr>
        <w:t>SUMMARY OF AMENDMENTS</w:t>
      </w:r>
    </w:p>
    <w:p w14:paraId="472314E1" w14:textId="0361749F" w:rsidR="00AF1A63" w:rsidRPr="00606E4E" w:rsidRDefault="003711E2" w:rsidP="063F40A7">
      <w:pPr>
        <w:rPr>
          <w:rFonts w:eastAsia="Calibri" w:cs="Arial"/>
          <w:b/>
          <w:i w:val="0"/>
        </w:rPr>
      </w:pPr>
      <w:r w:rsidRPr="00432427">
        <w:rPr>
          <w:rFonts w:cs="Arial"/>
          <w:b/>
          <w:i w:val="0"/>
        </w:rPr>
        <w:br/>
      </w:r>
      <w:r w:rsidR="00616A66" w:rsidRPr="00432427">
        <w:rPr>
          <w:rFonts w:cs="Arial"/>
          <w:b/>
          <w:i w:val="0"/>
        </w:rPr>
        <w:t xml:space="preserve">Amendments to the </w:t>
      </w:r>
      <w:r w:rsidR="00616A66" w:rsidRPr="00042B10">
        <w:rPr>
          <w:rFonts w:cs="Arial"/>
          <w:b/>
        </w:rPr>
        <w:t>Evidence (Miscellaneous Provisions) Act 1991</w:t>
      </w:r>
      <w:r w:rsidR="00606E4E">
        <w:rPr>
          <w:rFonts w:cs="Arial"/>
          <w:b/>
          <w:i w:val="0"/>
        </w:rPr>
        <w:br/>
      </w:r>
      <w:r w:rsidR="75563173" w:rsidRPr="00432427">
        <w:rPr>
          <w:rFonts w:cs="Arial"/>
          <w:i w:val="0"/>
        </w:rPr>
        <w:t xml:space="preserve">The </w:t>
      </w:r>
      <w:r w:rsidR="75563173" w:rsidRPr="00B240A1">
        <w:rPr>
          <w:rFonts w:cs="Arial"/>
          <w:iCs w:val="0"/>
        </w:rPr>
        <w:t>Evidence (Miscellaneous Provisions) Act 1991</w:t>
      </w:r>
      <w:r w:rsidR="75563173" w:rsidRPr="00432427">
        <w:rPr>
          <w:rFonts w:cs="Arial"/>
          <w:i w:val="0"/>
        </w:rPr>
        <w:t xml:space="preserve"> (EMP Act) sets out procedures to support the fair and effective presentation of evidence in court, particularly for vulnerable witnesses, by enabling </w:t>
      </w:r>
      <w:r w:rsidR="007E5E8A">
        <w:rPr>
          <w:rFonts w:cs="Arial"/>
          <w:i w:val="0"/>
        </w:rPr>
        <w:t xml:space="preserve">automatic </w:t>
      </w:r>
      <w:r w:rsidR="75563173" w:rsidRPr="00432427">
        <w:rPr>
          <w:rFonts w:cs="Arial"/>
          <w:i w:val="0"/>
        </w:rPr>
        <w:t>measures such as publication restrictions and protection of anonymity, audiovisual links, support persons, intermediaries, cross-examination restrictions, and other protections in sensitive cases such as sexual, violent and family violence proceedings.</w:t>
      </w:r>
      <w:r w:rsidR="75563173" w:rsidRPr="00432427">
        <w:rPr>
          <w:rFonts w:eastAsia="Calibri" w:cs="Calibri"/>
          <w:i w:val="0"/>
        </w:rPr>
        <w:t xml:space="preserve"> </w:t>
      </w:r>
    </w:p>
    <w:p w14:paraId="3BEE69C2" w14:textId="01DE2693" w:rsidR="00616A66" w:rsidRPr="00432427" w:rsidRDefault="3BA344A1" w:rsidP="00616A66">
      <w:pPr>
        <w:rPr>
          <w:rFonts w:cs="Arial"/>
          <w:i w:val="0"/>
        </w:rPr>
      </w:pPr>
      <w:r w:rsidRPr="00432427">
        <w:rPr>
          <w:rFonts w:cs="Arial"/>
          <w:i w:val="0"/>
        </w:rPr>
        <w:t xml:space="preserve">Such special measures and protections do not automatically apply in proceedings for </w:t>
      </w:r>
      <w:r w:rsidR="00EE272E">
        <w:rPr>
          <w:rFonts w:cs="Arial"/>
          <w:i w:val="0"/>
        </w:rPr>
        <w:t xml:space="preserve">work health and safety </w:t>
      </w:r>
      <w:r w:rsidR="00686BC6">
        <w:rPr>
          <w:rFonts w:cs="Arial"/>
          <w:i w:val="0"/>
        </w:rPr>
        <w:t xml:space="preserve">(WHS) </w:t>
      </w:r>
      <w:r w:rsidRPr="00432427">
        <w:rPr>
          <w:rFonts w:cs="Arial"/>
          <w:i w:val="0"/>
        </w:rPr>
        <w:t xml:space="preserve">offences against the </w:t>
      </w:r>
      <w:r w:rsidRPr="00C44861">
        <w:rPr>
          <w:rFonts w:cs="Arial"/>
          <w:iCs w:val="0"/>
        </w:rPr>
        <w:t>W</w:t>
      </w:r>
      <w:r w:rsidR="00510310" w:rsidRPr="00C44861">
        <w:rPr>
          <w:rFonts w:cs="Arial"/>
          <w:iCs w:val="0"/>
        </w:rPr>
        <w:t xml:space="preserve">ork </w:t>
      </w:r>
      <w:r w:rsidRPr="00C44861">
        <w:rPr>
          <w:rFonts w:cs="Arial"/>
          <w:iCs w:val="0"/>
        </w:rPr>
        <w:t>H</w:t>
      </w:r>
      <w:r w:rsidR="00510310" w:rsidRPr="00C44861">
        <w:rPr>
          <w:rFonts w:cs="Arial"/>
          <w:iCs w:val="0"/>
        </w:rPr>
        <w:t xml:space="preserve">ealth and </w:t>
      </w:r>
      <w:r w:rsidRPr="00C44861">
        <w:rPr>
          <w:rFonts w:cs="Arial"/>
          <w:iCs w:val="0"/>
        </w:rPr>
        <w:t>S</w:t>
      </w:r>
      <w:r w:rsidR="00510310" w:rsidRPr="00C44861">
        <w:rPr>
          <w:rFonts w:cs="Arial"/>
          <w:iCs w:val="0"/>
        </w:rPr>
        <w:t>afety</w:t>
      </w:r>
      <w:r w:rsidRPr="00C44861">
        <w:rPr>
          <w:rFonts w:cs="Arial"/>
          <w:iCs w:val="0"/>
        </w:rPr>
        <w:t xml:space="preserve"> Act</w:t>
      </w:r>
      <w:r w:rsidR="00510310" w:rsidRPr="00C44861">
        <w:rPr>
          <w:rFonts w:cs="Arial"/>
          <w:iCs w:val="0"/>
        </w:rPr>
        <w:t xml:space="preserve"> 2011</w:t>
      </w:r>
      <w:r w:rsidR="00D33876" w:rsidRPr="00432427">
        <w:rPr>
          <w:rFonts w:cs="Arial"/>
          <w:i w:val="0"/>
        </w:rPr>
        <w:t xml:space="preserve"> (</w:t>
      </w:r>
      <w:r w:rsidR="002C7E61" w:rsidRPr="00432427">
        <w:rPr>
          <w:rFonts w:cs="Arial"/>
          <w:i w:val="0"/>
        </w:rPr>
        <w:t>WHS Act)</w:t>
      </w:r>
      <w:r w:rsidRPr="00432427">
        <w:rPr>
          <w:rFonts w:cs="Arial"/>
          <w:i w:val="0"/>
        </w:rPr>
        <w:t xml:space="preserve"> involving suspected or alleged sexual assault or sexual harassment</w:t>
      </w:r>
      <w:r w:rsidR="00EA1F5E">
        <w:rPr>
          <w:rFonts w:cs="Arial"/>
          <w:i w:val="0"/>
        </w:rPr>
        <w:t xml:space="preserve"> in </w:t>
      </w:r>
      <w:r w:rsidR="00384AA4">
        <w:rPr>
          <w:rFonts w:cs="Arial"/>
          <w:i w:val="0"/>
        </w:rPr>
        <w:t>the workplace</w:t>
      </w:r>
      <w:r w:rsidRPr="00432427">
        <w:rPr>
          <w:rFonts w:cs="Arial"/>
          <w:i w:val="0"/>
        </w:rPr>
        <w:t xml:space="preserve">. </w:t>
      </w:r>
      <w:r w:rsidR="00281B17" w:rsidRPr="00432427">
        <w:rPr>
          <w:rFonts w:cs="Arial"/>
          <w:i w:val="0"/>
        </w:rPr>
        <w:t>R</w:t>
      </w:r>
      <w:r w:rsidR="00CF04C1" w:rsidRPr="00432427">
        <w:rPr>
          <w:rFonts w:cs="Arial"/>
          <w:i w:val="0"/>
        </w:rPr>
        <w:t xml:space="preserve">eliance </w:t>
      </w:r>
      <w:r w:rsidR="00384AA4">
        <w:rPr>
          <w:rFonts w:cs="Arial"/>
          <w:i w:val="0"/>
        </w:rPr>
        <w:t xml:space="preserve">in these matters </w:t>
      </w:r>
      <w:r w:rsidR="00CF04C1" w:rsidRPr="00432427">
        <w:rPr>
          <w:rFonts w:cs="Arial"/>
          <w:i w:val="0"/>
        </w:rPr>
        <w:t xml:space="preserve">is on separate applications being made to the </w:t>
      </w:r>
      <w:r w:rsidR="002F0422">
        <w:rPr>
          <w:rFonts w:cs="Arial"/>
          <w:i w:val="0"/>
        </w:rPr>
        <w:t>c</w:t>
      </w:r>
      <w:r w:rsidR="00CF04C1" w:rsidRPr="00432427">
        <w:rPr>
          <w:rFonts w:cs="Arial"/>
          <w:i w:val="0"/>
        </w:rPr>
        <w:t xml:space="preserve">ourt seeking the </w:t>
      </w:r>
      <w:r w:rsidR="005F6331" w:rsidRPr="00432427">
        <w:rPr>
          <w:rFonts w:cs="Arial"/>
          <w:i w:val="0"/>
        </w:rPr>
        <w:t>use</w:t>
      </w:r>
      <w:r w:rsidR="00CF04C1" w:rsidRPr="00432427">
        <w:rPr>
          <w:rFonts w:cs="Arial"/>
          <w:i w:val="0"/>
        </w:rPr>
        <w:t xml:space="preserve"> of these protections. </w:t>
      </w:r>
      <w:r w:rsidRPr="00432427">
        <w:rPr>
          <w:rFonts w:cs="Arial"/>
          <w:i w:val="0"/>
        </w:rPr>
        <w:t xml:space="preserve">This creates a </w:t>
      </w:r>
      <w:r w:rsidR="00F20501">
        <w:rPr>
          <w:rFonts w:cs="Arial"/>
          <w:i w:val="0"/>
        </w:rPr>
        <w:t>legal</w:t>
      </w:r>
      <w:r w:rsidR="00F20501" w:rsidRPr="00432427">
        <w:rPr>
          <w:rFonts w:cs="Arial"/>
          <w:i w:val="0"/>
        </w:rPr>
        <w:t xml:space="preserve"> </w:t>
      </w:r>
      <w:r w:rsidRPr="00432427">
        <w:rPr>
          <w:rFonts w:cs="Arial"/>
          <w:i w:val="0"/>
        </w:rPr>
        <w:t xml:space="preserve">discrepancy between the treatment of </w:t>
      </w:r>
      <w:r w:rsidR="00DF1FE4" w:rsidRPr="00432427">
        <w:rPr>
          <w:rFonts w:cs="Arial"/>
          <w:i w:val="0"/>
        </w:rPr>
        <w:t xml:space="preserve">victims in </w:t>
      </w:r>
      <w:r w:rsidRPr="00432427">
        <w:rPr>
          <w:rFonts w:cs="Arial"/>
          <w:i w:val="0"/>
        </w:rPr>
        <w:t>sexual offence</w:t>
      </w:r>
      <w:r w:rsidR="009F7B99" w:rsidRPr="00432427">
        <w:rPr>
          <w:rFonts w:cs="Arial"/>
          <w:i w:val="0"/>
        </w:rPr>
        <w:t>, violent</w:t>
      </w:r>
      <w:r w:rsidRPr="00432427">
        <w:rPr>
          <w:rFonts w:cs="Arial"/>
          <w:i w:val="0"/>
        </w:rPr>
        <w:t xml:space="preserve"> or family violence</w:t>
      </w:r>
      <w:r w:rsidR="009F7B99" w:rsidRPr="00432427">
        <w:rPr>
          <w:rFonts w:cs="Arial"/>
          <w:i w:val="0"/>
        </w:rPr>
        <w:t xml:space="preserve"> proceedings with victims in </w:t>
      </w:r>
      <w:r w:rsidRPr="00432427">
        <w:rPr>
          <w:rFonts w:cs="Arial"/>
          <w:i w:val="0"/>
        </w:rPr>
        <w:t>WHS proceedings</w:t>
      </w:r>
      <w:r w:rsidR="009F7B99" w:rsidRPr="00432427">
        <w:rPr>
          <w:rFonts w:cs="Arial"/>
          <w:i w:val="0"/>
        </w:rPr>
        <w:t xml:space="preserve">. </w:t>
      </w:r>
      <w:r w:rsidR="00561C3D" w:rsidRPr="00432427">
        <w:rPr>
          <w:rFonts w:cs="Arial"/>
          <w:i w:val="0"/>
        </w:rPr>
        <w:t>The</w:t>
      </w:r>
      <w:r w:rsidR="00CC2282" w:rsidRPr="00432427">
        <w:rPr>
          <w:rFonts w:cs="Arial"/>
          <w:i w:val="0"/>
        </w:rPr>
        <w:t xml:space="preserve"> protect</w:t>
      </w:r>
      <w:r w:rsidR="00B01C72" w:rsidRPr="00432427">
        <w:rPr>
          <w:rFonts w:cs="Arial"/>
          <w:i w:val="0"/>
        </w:rPr>
        <w:t>ion</w:t>
      </w:r>
      <w:r w:rsidR="00B32997" w:rsidRPr="00432427">
        <w:rPr>
          <w:rFonts w:cs="Arial"/>
          <w:i w:val="0"/>
        </w:rPr>
        <w:t>s</w:t>
      </w:r>
      <w:r w:rsidR="00CC2282" w:rsidRPr="00432427">
        <w:rPr>
          <w:rFonts w:cs="Arial"/>
          <w:i w:val="0"/>
        </w:rPr>
        <w:t xml:space="preserve"> afforded </w:t>
      </w:r>
      <w:r w:rsidR="00B01C72" w:rsidRPr="00432427">
        <w:rPr>
          <w:rFonts w:cs="Arial"/>
          <w:i w:val="0"/>
        </w:rPr>
        <w:t>to a complainant</w:t>
      </w:r>
      <w:r w:rsidR="00A249B0" w:rsidRPr="00432427">
        <w:rPr>
          <w:rFonts w:cs="Arial"/>
          <w:i w:val="0"/>
        </w:rPr>
        <w:t xml:space="preserve"> </w:t>
      </w:r>
      <w:r w:rsidR="00561C3D" w:rsidRPr="00432427">
        <w:rPr>
          <w:rFonts w:cs="Arial"/>
          <w:i w:val="0"/>
        </w:rPr>
        <w:t xml:space="preserve">in sexual, violent and family violence proceedings </w:t>
      </w:r>
      <w:r w:rsidR="0083281E">
        <w:rPr>
          <w:rFonts w:cs="Arial"/>
          <w:i w:val="0"/>
        </w:rPr>
        <w:t xml:space="preserve">would </w:t>
      </w:r>
      <w:r w:rsidR="00561C3D" w:rsidRPr="00432427">
        <w:rPr>
          <w:rFonts w:cs="Arial"/>
          <w:i w:val="0"/>
        </w:rPr>
        <w:t xml:space="preserve">be extended to </w:t>
      </w:r>
      <w:r w:rsidR="00C219EB">
        <w:rPr>
          <w:rFonts w:cs="Arial"/>
          <w:i w:val="0"/>
        </w:rPr>
        <w:t>similar complainants</w:t>
      </w:r>
      <w:r w:rsidR="00C219EB" w:rsidRPr="00432427">
        <w:rPr>
          <w:rFonts w:cs="Arial"/>
          <w:i w:val="0"/>
        </w:rPr>
        <w:t xml:space="preserve"> </w:t>
      </w:r>
      <w:r w:rsidR="000B2296">
        <w:rPr>
          <w:rFonts w:cs="Arial"/>
          <w:i w:val="0"/>
        </w:rPr>
        <w:t>in a</w:t>
      </w:r>
      <w:r w:rsidR="00561C3D" w:rsidRPr="00432427">
        <w:rPr>
          <w:rFonts w:cs="Arial"/>
          <w:i w:val="0"/>
        </w:rPr>
        <w:t xml:space="preserve"> </w:t>
      </w:r>
      <w:r w:rsidR="00C135D9" w:rsidRPr="00432427">
        <w:rPr>
          <w:rFonts w:cs="Arial"/>
          <w:i w:val="0"/>
        </w:rPr>
        <w:t xml:space="preserve">WHS </w:t>
      </w:r>
      <w:r w:rsidR="00561C3D" w:rsidRPr="00432427">
        <w:rPr>
          <w:rFonts w:cs="Arial"/>
          <w:i w:val="0"/>
        </w:rPr>
        <w:t>proceedings</w:t>
      </w:r>
      <w:r w:rsidR="00CA4837">
        <w:rPr>
          <w:rFonts w:cs="Arial"/>
          <w:i w:val="0"/>
        </w:rPr>
        <w:t>,</w:t>
      </w:r>
      <w:r w:rsidR="00561C3D" w:rsidRPr="00432427">
        <w:rPr>
          <w:rFonts w:cs="Arial"/>
          <w:i w:val="0"/>
        </w:rPr>
        <w:t xml:space="preserve"> where </w:t>
      </w:r>
      <w:r w:rsidR="000B2296">
        <w:rPr>
          <w:rFonts w:cs="Arial"/>
          <w:i w:val="0"/>
        </w:rPr>
        <w:t>the WHS breach</w:t>
      </w:r>
      <w:r w:rsidR="000B2296" w:rsidRPr="00432427">
        <w:rPr>
          <w:rFonts w:cs="Arial"/>
          <w:i w:val="0"/>
        </w:rPr>
        <w:t xml:space="preserve"> </w:t>
      </w:r>
      <w:r w:rsidR="00312E1A">
        <w:rPr>
          <w:rFonts w:cs="Arial"/>
          <w:i w:val="0"/>
        </w:rPr>
        <w:t xml:space="preserve">involves </w:t>
      </w:r>
      <w:r w:rsidR="00561C3D" w:rsidRPr="00432427">
        <w:rPr>
          <w:rFonts w:cs="Arial"/>
          <w:i w:val="0"/>
        </w:rPr>
        <w:t xml:space="preserve">an alleged or suspected sexual </w:t>
      </w:r>
      <w:r w:rsidR="00561C3D" w:rsidRPr="00432427">
        <w:rPr>
          <w:rFonts w:cs="Arial"/>
          <w:i w:val="0"/>
        </w:rPr>
        <w:lastRenderedPageBreak/>
        <w:t xml:space="preserve">assault or sexual harassment in the workplace. </w:t>
      </w:r>
      <w:r w:rsidR="006531D3">
        <w:rPr>
          <w:rFonts w:cs="Arial"/>
          <w:i w:val="0"/>
        </w:rPr>
        <w:t>Specifically, t</w:t>
      </w:r>
      <w:r w:rsidR="00561C3D" w:rsidRPr="00432427">
        <w:rPr>
          <w:rFonts w:cs="Arial"/>
          <w:i w:val="0"/>
        </w:rPr>
        <w:t>he protection</w:t>
      </w:r>
      <w:r w:rsidR="00050301">
        <w:rPr>
          <w:rFonts w:cs="Arial"/>
          <w:i w:val="0"/>
        </w:rPr>
        <w:t xml:space="preserve">s </w:t>
      </w:r>
      <w:r w:rsidR="007B1465">
        <w:rPr>
          <w:rFonts w:cs="Arial"/>
          <w:i w:val="0"/>
        </w:rPr>
        <w:t xml:space="preserve">in legal proceedings </w:t>
      </w:r>
      <w:r w:rsidR="00C73BF8">
        <w:rPr>
          <w:rFonts w:cs="Arial"/>
          <w:i w:val="0"/>
        </w:rPr>
        <w:t>extended by amendments in this Bill</w:t>
      </w:r>
      <w:r w:rsidR="00F20EBD">
        <w:rPr>
          <w:rFonts w:cs="Arial"/>
          <w:i w:val="0"/>
        </w:rPr>
        <w:t xml:space="preserve"> to a </w:t>
      </w:r>
      <w:r w:rsidR="0056401C">
        <w:rPr>
          <w:rFonts w:cs="Arial"/>
          <w:i w:val="0"/>
        </w:rPr>
        <w:t xml:space="preserve">complainant </w:t>
      </w:r>
      <w:r w:rsidR="00C73BF8">
        <w:rPr>
          <w:rFonts w:cs="Arial"/>
          <w:i w:val="0"/>
        </w:rPr>
        <w:t xml:space="preserve">in relation to a WHS proceeding </w:t>
      </w:r>
      <w:r w:rsidR="00195433">
        <w:rPr>
          <w:rFonts w:cs="Arial"/>
          <w:i w:val="0"/>
        </w:rPr>
        <w:t xml:space="preserve">will apply to </w:t>
      </w:r>
      <w:r w:rsidR="007604E8">
        <w:rPr>
          <w:rFonts w:cs="Arial"/>
          <w:i w:val="0"/>
        </w:rPr>
        <w:t xml:space="preserve">provide those protections </w:t>
      </w:r>
      <w:r w:rsidR="005716CB">
        <w:rPr>
          <w:rFonts w:cs="Arial"/>
          <w:i w:val="0"/>
        </w:rPr>
        <w:t xml:space="preserve">to the complainant from </w:t>
      </w:r>
      <w:r w:rsidR="00B940A4">
        <w:rPr>
          <w:rFonts w:cs="Arial"/>
          <w:i w:val="0"/>
        </w:rPr>
        <w:t xml:space="preserve">both </w:t>
      </w:r>
      <w:r w:rsidR="00561C3D" w:rsidRPr="00432427">
        <w:rPr>
          <w:rFonts w:cs="Arial"/>
          <w:i w:val="0"/>
        </w:rPr>
        <w:t xml:space="preserve">the person </w:t>
      </w:r>
      <w:r w:rsidR="00783C9D" w:rsidRPr="00432427">
        <w:rPr>
          <w:rFonts w:cs="Arial"/>
          <w:i w:val="0"/>
        </w:rPr>
        <w:t xml:space="preserve">who is alleged or was found to perpetrate the </w:t>
      </w:r>
      <w:r w:rsidR="00B006C5">
        <w:rPr>
          <w:rFonts w:cs="Arial"/>
          <w:i w:val="0"/>
        </w:rPr>
        <w:t xml:space="preserve">sexual </w:t>
      </w:r>
      <w:r w:rsidR="00783C9D" w:rsidRPr="00432427">
        <w:rPr>
          <w:rFonts w:cs="Arial"/>
          <w:i w:val="0"/>
        </w:rPr>
        <w:t>violence</w:t>
      </w:r>
      <w:r w:rsidR="00550DB4">
        <w:rPr>
          <w:rFonts w:cs="Arial"/>
          <w:i w:val="0"/>
        </w:rPr>
        <w:t xml:space="preserve"> and</w:t>
      </w:r>
      <w:r w:rsidR="00783C9D" w:rsidRPr="00432427">
        <w:rPr>
          <w:rFonts w:cs="Arial"/>
          <w:i w:val="0"/>
        </w:rPr>
        <w:t xml:space="preserve"> the duty holder </w:t>
      </w:r>
      <w:r w:rsidR="004357A9" w:rsidRPr="00432427">
        <w:rPr>
          <w:rFonts w:cs="Arial"/>
          <w:i w:val="0"/>
        </w:rPr>
        <w:t>who is</w:t>
      </w:r>
      <w:r w:rsidR="003545B3" w:rsidRPr="00432427">
        <w:rPr>
          <w:rFonts w:cs="Arial"/>
          <w:i w:val="0"/>
        </w:rPr>
        <w:t xml:space="preserve"> the </w:t>
      </w:r>
      <w:r w:rsidR="004357A9" w:rsidRPr="00432427">
        <w:rPr>
          <w:rFonts w:cs="Arial"/>
          <w:i w:val="0"/>
        </w:rPr>
        <w:t>defendant</w:t>
      </w:r>
      <w:r w:rsidR="003545B3" w:rsidRPr="00432427">
        <w:rPr>
          <w:rFonts w:cs="Arial"/>
          <w:i w:val="0"/>
        </w:rPr>
        <w:t xml:space="preserve"> within WHS proceedings</w:t>
      </w:r>
      <w:r w:rsidR="00B006C5">
        <w:rPr>
          <w:rFonts w:cs="Arial"/>
          <w:i w:val="0"/>
        </w:rPr>
        <w:t xml:space="preserve">, alleged to have failed </w:t>
      </w:r>
      <w:r w:rsidR="00471E56">
        <w:rPr>
          <w:rFonts w:cs="Arial"/>
          <w:i w:val="0"/>
        </w:rPr>
        <w:t xml:space="preserve">to </w:t>
      </w:r>
      <w:r w:rsidR="00B006C5">
        <w:rPr>
          <w:rFonts w:cs="Arial"/>
          <w:i w:val="0"/>
        </w:rPr>
        <w:t>uphold their duty</w:t>
      </w:r>
      <w:r w:rsidR="00A249B0" w:rsidRPr="00432427">
        <w:rPr>
          <w:rFonts w:cs="Arial"/>
          <w:i w:val="0"/>
        </w:rPr>
        <w:t xml:space="preserve">. </w:t>
      </w:r>
      <w:r w:rsidR="00B940A4">
        <w:rPr>
          <w:rFonts w:cs="Arial"/>
          <w:i w:val="0"/>
        </w:rPr>
        <w:t xml:space="preserve">This acknowledges the circumstances specific to a WHS proceeding </w:t>
      </w:r>
      <w:r w:rsidR="00550DB4">
        <w:rPr>
          <w:rFonts w:cs="Arial"/>
          <w:i w:val="0"/>
        </w:rPr>
        <w:t>where</w:t>
      </w:r>
      <w:r w:rsidR="00B940A4">
        <w:rPr>
          <w:rFonts w:cs="Arial"/>
          <w:i w:val="0"/>
        </w:rPr>
        <w:t xml:space="preserve"> the </w:t>
      </w:r>
      <w:r w:rsidR="00EA39E0">
        <w:rPr>
          <w:rFonts w:cs="Arial"/>
          <w:i w:val="0"/>
        </w:rPr>
        <w:t xml:space="preserve">perpetrator of the alleged or suspected violence and the WHS duty holder </w:t>
      </w:r>
      <w:r w:rsidR="00BC586F" w:rsidRPr="00432427">
        <w:rPr>
          <w:rFonts w:cs="Arial"/>
          <w:i w:val="0"/>
        </w:rPr>
        <w:t>may</w:t>
      </w:r>
      <w:r w:rsidR="00550DB4">
        <w:rPr>
          <w:rFonts w:cs="Arial"/>
          <w:i w:val="0"/>
        </w:rPr>
        <w:t>, and in fact are likely to</w:t>
      </w:r>
      <w:r w:rsidR="00BC586F" w:rsidRPr="00432427">
        <w:rPr>
          <w:rFonts w:cs="Arial"/>
          <w:i w:val="0"/>
        </w:rPr>
        <w:t xml:space="preserve"> not be the same person</w:t>
      </w:r>
      <w:r w:rsidR="0099081D">
        <w:rPr>
          <w:rFonts w:cs="Arial"/>
          <w:i w:val="0"/>
        </w:rPr>
        <w:t xml:space="preserve">. These protections are considered to be </w:t>
      </w:r>
      <w:r w:rsidR="00550DB4">
        <w:rPr>
          <w:rFonts w:cs="Arial"/>
          <w:i w:val="0"/>
        </w:rPr>
        <w:t>necessary</w:t>
      </w:r>
      <w:r w:rsidR="009A67A5" w:rsidRPr="00432427">
        <w:rPr>
          <w:rFonts w:cs="Arial"/>
          <w:i w:val="0"/>
        </w:rPr>
        <w:t xml:space="preserve"> noting </w:t>
      </w:r>
      <w:r w:rsidR="00BC586F" w:rsidRPr="00432427">
        <w:rPr>
          <w:rFonts w:cs="Arial"/>
          <w:i w:val="0"/>
        </w:rPr>
        <w:t>the power imbalance that exists between a</w:t>
      </w:r>
      <w:r w:rsidR="002919C2" w:rsidRPr="00432427">
        <w:rPr>
          <w:rFonts w:cs="Arial"/>
          <w:i w:val="0"/>
        </w:rPr>
        <w:t>n</w:t>
      </w:r>
      <w:r w:rsidR="00BC586F" w:rsidRPr="00432427">
        <w:rPr>
          <w:rFonts w:cs="Arial"/>
          <w:i w:val="0"/>
        </w:rPr>
        <w:t xml:space="preserve"> employee and </w:t>
      </w:r>
      <w:r w:rsidR="00334D3E">
        <w:rPr>
          <w:rFonts w:cs="Arial"/>
          <w:i w:val="0"/>
        </w:rPr>
        <w:t xml:space="preserve">a </w:t>
      </w:r>
      <w:r w:rsidR="00BC586F" w:rsidRPr="00432427">
        <w:rPr>
          <w:rFonts w:cs="Arial"/>
          <w:i w:val="0"/>
        </w:rPr>
        <w:t xml:space="preserve">duty holder. </w:t>
      </w:r>
    </w:p>
    <w:p w14:paraId="35EB1274" w14:textId="77777777" w:rsidR="00320C6E" w:rsidRDefault="3BA344A1" w:rsidP="00616A66">
      <w:pPr>
        <w:rPr>
          <w:rFonts w:cs="Arial"/>
          <w:i w:val="0"/>
        </w:rPr>
      </w:pPr>
      <w:r w:rsidRPr="00432427">
        <w:rPr>
          <w:rFonts w:cs="Arial"/>
          <w:i w:val="0"/>
        </w:rPr>
        <w:t>Feedback from the ACT regulator</w:t>
      </w:r>
      <w:r w:rsidR="00616A66" w:rsidRPr="00432427">
        <w:rPr>
          <w:rStyle w:val="FootnoteReference"/>
          <w:i w:val="0"/>
        </w:rPr>
        <w:footnoteReference w:id="2"/>
      </w:r>
      <w:r w:rsidRPr="00432427">
        <w:rPr>
          <w:rFonts w:cs="Arial"/>
          <w:i w:val="0"/>
        </w:rPr>
        <w:t xml:space="preserve"> has indicated that the lack of </w:t>
      </w:r>
      <w:r w:rsidR="00151655">
        <w:rPr>
          <w:rFonts w:cs="Arial"/>
          <w:i w:val="0"/>
        </w:rPr>
        <w:t xml:space="preserve">automatic </w:t>
      </w:r>
      <w:r w:rsidRPr="00432427">
        <w:rPr>
          <w:rFonts w:cs="Arial"/>
          <w:i w:val="0"/>
        </w:rPr>
        <w:t>protections afforded</w:t>
      </w:r>
      <w:r w:rsidR="00B006C5">
        <w:rPr>
          <w:rFonts w:cs="Arial"/>
          <w:i w:val="0"/>
        </w:rPr>
        <w:t xml:space="preserve"> to a victim inv</w:t>
      </w:r>
      <w:r w:rsidRPr="00432427">
        <w:rPr>
          <w:rFonts w:cs="Arial"/>
          <w:i w:val="0"/>
        </w:rPr>
        <w:t>olved</w:t>
      </w:r>
      <w:r w:rsidR="00B006C5">
        <w:rPr>
          <w:rFonts w:cs="Arial"/>
          <w:i w:val="0"/>
        </w:rPr>
        <w:t>, such as anonymity,</w:t>
      </w:r>
      <w:r w:rsidRPr="00432427">
        <w:rPr>
          <w:rFonts w:cs="Arial"/>
          <w:i w:val="0"/>
        </w:rPr>
        <w:t xml:space="preserve"> has affected </w:t>
      </w:r>
      <w:r w:rsidR="00B006C5">
        <w:rPr>
          <w:rFonts w:cs="Arial"/>
          <w:i w:val="0"/>
        </w:rPr>
        <w:t xml:space="preserve">the </w:t>
      </w:r>
      <w:r w:rsidRPr="00432427">
        <w:rPr>
          <w:rFonts w:cs="Arial"/>
          <w:i w:val="0"/>
        </w:rPr>
        <w:t>willingness</w:t>
      </w:r>
      <w:r w:rsidR="00B006C5">
        <w:rPr>
          <w:rFonts w:cs="Arial"/>
          <w:i w:val="0"/>
        </w:rPr>
        <w:t xml:space="preserve"> of these individuals from</w:t>
      </w:r>
      <w:r w:rsidRPr="00432427">
        <w:rPr>
          <w:rFonts w:cs="Arial"/>
          <w:i w:val="0"/>
        </w:rPr>
        <w:t xml:space="preserve"> report</w:t>
      </w:r>
      <w:r w:rsidR="00B006C5">
        <w:rPr>
          <w:rFonts w:cs="Arial"/>
          <w:i w:val="0"/>
        </w:rPr>
        <w:t>ing</w:t>
      </w:r>
      <w:r w:rsidRPr="00432427">
        <w:rPr>
          <w:rFonts w:cs="Arial"/>
          <w:i w:val="0"/>
        </w:rPr>
        <w:t xml:space="preserve"> and </w:t>
      </w:r>
      <w:r w:rsidR="00B006C5" w:rsidRPr="00432427">
        <w:rPr>
          <w:rFonts w:cs="Arial"/>
          <w:i w:val="0"/>
        </w:rPr>
        <w:t>p</w:t>
      </w:r>
      <w:r w:rsidR="00B006C5">
        <w:rPr>
          <w:rFonts w:cs="Arial"/>
          <w:i w:val="0"/>
        </w:rPr>
        <w:t xml:space="preserve">articipating in workplace proceedings where it relates to </w:t>
      </w:r>
      <w:r w:rsidRPr="00432427">
        <w:rPr>
          <w:rFonts w:cs="Arial"/>
          <w:i w:val="0"/>
        </w:rPr>
        <w:t xml:space="preserve">sexual assault and harassment. </w:t>
      </w:r>
    </w:p>
    <w:p w14:paraId="0CCD9FE9" w14:textId="02AC4BC2" w:rsidR="00AF1A63" w:rsidRPr="00432427" w:rsidRDefault="00320C6E" w:rsidP="00616A66">
      <w:pPr>
        <w:rPr>
          <w:rFonts w:cs="Arial"/>
          <w:i w:val="0"/>
        </w:rPr>
      </w:pPr>
      <w:r>
        <w:rPr>
          <w:rFonts w:cs="Arial"/>
          <w:i w:val="0"/>
        </w:rPr>
        <w:t xml:space="preserve">Amendments </w:t>
      </w:r>
      <w:r w:rsidR="00CF2242">
        <w:rPr>
          <w:rFonts w:cs="Arial"/>
          <w:i w:val="0"/>
        </w:rPr>
        <w:t xml:space="preserve">in this Bill </w:t>
      </w:r>
      <w:r>
        <w:rPr>
          <w:rFonts w:cs="Arial"/>
          <w:i w:val="0"/>
        </w:rPr>
        <w:t>to</w:t>
      </w:r>
      <w:r w:rsidR="00616A66" w:rsidRPr="00432427">
        <w:rPr>
          <w:rFonts w:cs="Arial"/>
          <w:i w:val="0"/>
        </w:rPr>
        <w:t xml:space="preserve"> the EMP Act</w:t>
      </w:r>
      <w:r w:rsidR="00510310" w:rsidRPr="00432427">
        <w:rPr>
          <w:rFonts w:cs="Arial"/>
          <w:i w:val="0"/>
        </w:rPr>
        <w:t xml:space="preserve"> to </w:t>
      </w:r>
      <w:r w:rsidR="3BA344A1" w:rsidRPr="00432427">
        <w:rPr>
          <w:rFonts w:cs="Arial"/>
          <w:i w:val="0"/>
        </w:rPr>
        <w:t xml:space="preserve">extend these protections to complainants in </w:t>
      </w:r>
      <w:r w:rsidR="00CF2242">
        <w:rPr>
          <w:rFonts w:cs="Arial"/>
          <w:i w:val="0"/>
        </w:rPr>
        <w:t xml:space="preserve">WHS </w:t>
      </w:r>
      <w:r w:rsidR="3BA344A1" w:rsidRPr="00432427">
        <w:rPr>
          <w:rFonts w:cs="Arial"/>
          <w:i w:val="0"/>
        </w:rPr>
        <w:t xml:space="preserve">proceedings </w:t>
      </w:r>
      <w:r w:rsidR="00B006C5">
        <w:rPr>
          <w:rFonts w:cs="Arial"/>
          <w:i w:val="0"/>
        </w:rPr>
        <w:t xml:space="preserve">within a workplace context aim to </w:t>
      </w:r>
      <w:r w:rsidR="3BA344A1" w:rsidRPr="00432427">
        <w:rPr>
          <w:rFonts w:cs="Arial"/>
          <w:i w:val="0"/>
        </w:rPr>
        <w:t xml:space="preserve">help to address these concerns, including encouragement of reporting of such unacceptable conduct. </w:t>
      </w:r>
    </w:p>
    <w:p w14:paraId="495624D4" w14:textId="26E30F98" w:rsidR="00B910EF" w:rsidRDefault="00AB12AD" w:rsidP="00616A66">
      <w:pPr>
        <w:rPr>
          <w:rFonts w:cs="Arial"/>
          <w:i w:val="0"/>
        </w:rPr>
      </w:pPr>
      <w:r>
        <w:rPr>
          <w:rFonts w:cs="Arial"/>
          <w:i w:val="0"/>
        </w:rPr>
        <w:t xml:space="preserve">In </w:t>
      </w:r>
      <w:r w:rsidR="00635C72">
        <w:rPr>
          <w:rFonts w:cs="Arial"/>
          <w:i w:val="0"/>
        </w:rPr>
        <w:t xml:space="preserve">defining </w:t>
      </w:r>
      <w:r w:rsidR="005C4263">
        <w:rPr>
          <w:rFonts w:cs="Arial"/>
          <w:i w:val="0"/>
        </w:rPr>
        <w:t>t</w:t>
      </w:r>
      <w:r w:rsidR="5B17B6D0" w:rsidRPr="00432427">
        <w:rPr>
          <w:rFonts w:cs="Arial"/>
          <w:i w:val="0"/>
        </w:rPr>
        <w:t xml:space="preserve">he scope of </w:t>
      </w:r>
      <w:r w:rsidR="63C09D18" w:rsidRPr="00432427">
        <w:rPr>
          <w:rFonts w:cs="Arial"/>
          <w:i w:val="0"/>
        </w:rPr>
        <w:t>“</w:t>
      </w:r>
      <w:r w:rsidR="0C2DB123" w:rsidRPr="00432427">
        <w:rPr>
          <w:rFonts w:cs="Arial"/>
          <w:i w:val="0"/>
        </w:rPr>
        <w:t xml:space="preserve">any </w:t>
      </w:r>
      <w:r w:rsidR="5B17B6D0" w:rsidRPr="00432427">
        <w:rPr>
          <w:rFonts w:cs="Arial"/>
          <w:i w:val="0"/>
        </w:rPr>
        <w:t>other act of a sexual</w:t>
      </w:r>
      <w:r w:rsidR="00347256">
        <w:rPr>
          <w:rFonts w:cs="Arial"/>
          <w:i w:val="0"/>
        </w:rPr>
        <w:t>ly</w:t>
      </w:r>
      <w:r w:rsidR="5B17B6D0" w:rsidRPr="00432427">
        <w:rPr>
          <w:rFonts w:cs="Arial"/>
          <w:i w:val="0"/>
        </w:rPr>
        <w:t xml:space="preserve"> offensive, intimidating or humiliating nature</w:t>
      </w:r>
      <w:r w:rsidR="75DE2DE2" w:rsidRPr="00432427">
        <w:rPr>
          <w:rFonts w:cs="Arial"/>
          <w:i w:val="0"/>
        </w:rPr>
        <w:t>”</w:t>
      </w:r>
      <w:r w:rsidR="5B17B6D0" w:rsidRPr="00432427">
        <w:rPr>
          <w:rFonts w:cs="Arial"/>
          <w:i w:val="0"/>
        </w:rPr>
        <w:t xml:space="preserve"> </w:t>
      </w:r>
      <w:r w:rsidR="00D56142">
        <w:rPr>
          <w:rFonts w:cs="Arial"/>
          <w:i w:val="0"/>
        </w:rPr>
        <w:t xml:space="preserve">this </w:t>
      </w:r>
      <w:r w:rsidR="5B17B6D0" w:rsidRPr="00432427">
        <w:rPr>
          <w:rFonts w:cs="Arial"/>
          <w:i w:val="0"/>
        </w:rPr>
        <w:t xml:space="preserve">is limited to </w:t>
      </w:r>
      <w:r w:rsidR="6B5F334B" w:rsidRPr="00432427">
        <w:rPr>
          <w:rFonts w:cs="Arial"/>
          <w:i w:val="0"/>
        </w:rPr>
        <w:t xml:space="preserve">one </w:t>
      </w:r>
      <w:r w:rsidR="1F797A7A" w:rsidRPr="00432427">
        <w:rPr>
          <w:rFonts w:cs="Arial"/>
          <w:i w:val="0"/>
        </w:rPr>
        <w:t>of</w:t>
      </w:r>
      <w:r w:rsidR="6B5F334B" w:rsidRPr="00432427">
        <w:rPr>
          <w:rFonts w:cs="Arial"/>
          <w:i w:val="0"/>
        </w:rPr>
        <w:t xml:space="preserve"> a sexual context. It is not intended that </w:t>
      </w:r>
      <w:r w:rsidR="565F09A9" w:rsidRPr="00432427">
        <w:rPr>
          <w:rFonts w:cs="Arial"/>
          <w:i w:val="0"/>
        </w:rPr>
        <w:t xml:space="preserve">any </w:t>
      </w:r>
      <w:r w:rsidR="6B5F334B" w:rsidRPr="00432427">
        <w:rPr>
          <w:rFonts w:cs="Arial"/>
          <w:i w:val="0"/>
        </w:rPr>
        <w:t xml:space="preserve">“intimidating” or “humiliating” act </w:t>
      </w:r>
      <w:r w:rsidR="0DA73782" w:rsidRPr="00432427">
        <w:rPr>
          <w:rFonts w:cs="Arial"/>
          <w:i w:val="0"/>
        </w:rPr>
        <w:t>be</w:t>
      </w:r>
      <w:r w:rsidR="6B5F334B" w:rsidRPr="00432427">
        <w:rPr>
          <w:rFonts w:cs="Arial"/>
          <w:i w:val="0"/>
        </w:rPr>
        <w:t xml:space="preserve"> </w:t>
      </w:r>
      <w:r w:rsidR="3BAAD7D6" w:rsidRPr="00432427">
        <w:rPr>
          <w:rFonts w:cs="Arial"/>
          <w:i w:val="0"/>
        </w:rPr>
        <w:t>applied in a broad sense, but rather the narrowed scope as intended by the amendment</w:t>
      </w:r>
      <w:r w:rsidR="00B8017B">
        <w:rPr>
          <w:rFonts w:cs="Arial"/>
          <w:i w:val="0"/>
        </w:rPr>
        <w:t xml:space="preserve">. </w:t>
      </w:r>
      <w:r w:rsidR="003F75FF">
        <w:rPr>
          <w:rFonts w:cs="Arial"/>
          <w:i w:val="0"/>
        </w:rPr>
        <w:t xml:space="preserve">For example, acts of a sexually offensive, sexually intimidating or sexually humiliating nature. </w:t>
      </w:r>
    </w:p>
    <w:p w14:paraId="40B31279" w14:textId="4DD4A78D" w:rsidR="009B7D31" w:rsidRDefault="3BA344A1" w:rsidP="3B862A17">
      <w:pPr>
        <w:rPr>
          <w:rFonts w:cs="Arial"/>
          <w:i w:val="0"/>
        </w:rPr>
      </w:pPr>
      <w:r w:rsidRPr="00432427">
        <w:rPr>
          <w:rFonts w:cs="Arial"/>
          <w:i w:val="0"/>
        </w:rPr>
        <w:t>This amendment w</w:t>
      </w:r>
      <w:r w:rsidR="00616A66" w:rsidRPr="00432427">
        <w:rPr>
          <w:rFonts w:cs="Arial"/>
          <w:i w:val="0"/>
        </w:rPr>
        <w:t>ill</w:t>
      </w:r>
      <w:r w:rsidRPr="00432427">
        <w:rPr>
          <w:rFonts w:cs="Arial"/>
          <w:i w:val="0"/>
        </w:rPr>
        <w:t xml:space="preserve"> also </w:t>
      </w:r>
      <w:r w:rsidR="00487735" w:rsidRPr="00432427">
        <w:rPr>
          <w:rFonts w:cs="Arial"/>
          <w:i w:val="0"/>
        </w:rPr>
        <w:t>assist</w:t>
      </w:r>
      <w:r w:rsidR="006A3AA7" w:rsidRPr="00432427">
        <w:rPr>
          <w:rFonts w:cs="Arial"/>
          <w:i w:val="0"/>
        </w:rPr>
        <w:t xml:space="preserve"> to</w:t>
      </w:r>
      <w:r w:rsidR="00487735" w:rsidRPr="00432427">
        <w:rPr>
          <w:rFonts w:cs="Arial"/>
          <w:i w:val="0"/>
        </w:rPr>
        <w:t xml:space="preserve"> </w:t>
      </w:r>
      <w:r w:rsidRPr="00432427">
        <w:rPr>
          <w:rFonts w:cs="Arial"/>
          <w:i w:val="0"/>
        </w:rPr>
        <w:t xml:space="preserve">address psychosocial hazards, further embedding the ACT Government’s commitment to ensuring workplaces proactively address and prevent such risks. The concern is that if protections for complainants in WHS sexual offence proceedings are not enhanced, the lack of support and additional special measures </w:t>
      </w:r>
      <w:r w:rsidR="00942412">
        <w:rPr>
          <w:rFonts w:cs="Arial"/>
          <w:i w:val="0"/>
        </w:rPr>
        <w:t>is likely to discourage the reporting of workplace issues to the regulator and</w:t>
      </w:r>
      <w:r w:rsidR="00942412" w:rsidRPr="00432427">
        <w:rPr>
          <w:rFonts w:cs="Arial"/>
          <w:i w:val="0"/>
        </w:rPr>
        <w:t xml:space="preserve"> </w:t>
      </w:r>
      <w:r w:rsidRPr="00432427">
        <w:rPr>
          <w:rFonts w:cs="Arial"/>
          <w:i w:val="0"/>
        </w:rPr>
        <w:t xml:space="preserve">continue to expose individuals to potential further unacceptable behaviour </w:t>
      </w:r>
      <w:r w:rsidR="00B910EF">
        <w:rPr>
          <w:rFonts w:cs="Arial"/>
          <w:i w:val="0"/>
        </w:rPr>
        <w:t>in the workplace</w:t>
      </w:r>
      <w:r w:rsidRPr="00432427">
        <w:rPr>
          <w:rFonts w:cs="Arial"/>
          <w:i w:val="0"/>
        </w:rPr>
        <w:t>.</w:t>
      </w:r>
    </w:p>
    <w:p w14:paraId="0831FFF0" w14:textId="77777777" w:rsidR="00D17E28" w:rsidRPr="007C23DB" w:rsidRDefault="00D17E28" w:rsidP="3B862A17">
      <w:pPr>
        <w:rPr>
          <w:rFonts w:cs="Arial"/>
          <w:i w:val="0"/>
        </w:rPr>
      </w:pPr>
    </w:p>
    <w:p w14:paraId="07AEE597" w14:textId="77777777" w:rsidR="00C840E2" w:rsidRDefault="00F95B45" w:rsidP="00E244C2">
      <w:pPr>
        <w:rPr>
          <w:rFonts w:cs="Arial"/>
          <w:b/>
          <w:i w:val="0"/>
        </w:rPr>
      </w:pPr>
      <w:r w:rsidRPr="00280D81">
        <w:rPr>
          <w:rFonts w:cs="Arial"/>
          <w:b/>
          <w:i w:val="0"/>
        </w:rPr>
        <w:t xml:space="preserve">Amendment to the </w:t>
      </w:r>
      <w:r w:rsidRPr="00042B10">
        <w:rPr>
          <w:rFonts w:cs="Arial"/>
          <w:b/>
        </w:rPr>
        <w:t>Workers Compensation Act 1951</w:t>
      </w:r>
      <w:r w:rsidR="00606E4E">
        <w:rPr>
          <w:rFonts w:cs="Arial"/>
          <w:b/>
          <w:i w:val="0"/>
        </w:rPr>
        <w:br/>
      </w:r>
      <w:r w:rsidR="00C10076" w:rsidRPr="00A379BE">
        <w:rPr>
          <w:rFonts w:cs="Arial"/>
          <w:i w:val="0"/>
        </w:rPr>
        <w:t xml:space="preserve">The </w:t>
      </w:r>
      <w:r w:rsidR="00C10076" w:rsidRPr="00B240A1">
        <w:rPr>
          <w:rFonts w:cs="Arial"/>
          <w:iCs w:val="0"/>
        </w:rPr>
        <w:t>Workers Compensation Act 1</w:t>
      </w:r>
      <w:r w:rsidR="00620F3F" w:rsidRPr="00B240A1">
        <w:rPr>
          <w:rFonts w:cs="Arial"/>
          <w:iCs w:val="0"/>
        </w:rPr>
        <w:t>9</w:t>
      </w:r>
      <w:r w:rsidR="00C10076" w:rsidRPr="00B240A1">
        <w:rPr>
          <w:rFonts w:cs="Arial"/>
          <w:iCs w:val="0"/>
        </w:rPr>
        <w:t>51</w:t>
      </w:r>
      <w:r w:rsidR="00620F3F" w:rsidRPr="00A379BE">
        <w:rPr>
          <w:rFonts w:cs="Arial"/>
          <w:i w:val="0"/>
        </w:rPr>
        <w:t xml:space="preserve"> (WC Act)</w:t>
      </w:r>
      <w:r w:rsidR="00C10076" w:rsidRPr="00A379BE">
        <w:rPr>
          <w:rFonts w:cs="Arial"/>
          <w:i w:val="0"/>
        </w:rPr>
        <w:t xml:space="preserve"> establishes the regulatory framework for the ACT’s private sector workers’ compensation scheme. The scheme </w:t>
      </w:r>
      <w:r w:rsidR="0026022C" w:rsidRPr="00A379BE">
        <w:rPr>
          <w:rFonts w:cs="Arial"/>
          <w:i w:val="0"/>
        </w:rPr>
        <w:t>provides for statutory workers’ compensation entitlements</w:t>
      </w:r>
      <w:r w:rsidR="00C10076" w:rsidRPr="00A379BE">
        <w:rPr>
          <w:rFonts w:cs="Arial"/>
          <w:i w:val="0"/>
        </w:rPr>
        <w:t xml:space="preserve"> and supports in the event of </w:t>
      </w:r>
      <w:r w:rsidR="002F7C9B" w:rsidRPr="00A379BE">
        <w:rPr>
          <w:rFonts w:cs="Arial"/>
          <w:i w:val="0"/>
        </w:rPr>
        <w:t xml:space="preserve">a </w:t>
      </w:r>
      <w:r w:rsidR="0026022C" w:rsidRPr="00A379BE">
        <w:rPr>
          <w:rFonts w:cs="Arial"/>
          <w:i w:val="0"/>
        </w:rPr>
        <w:t xml:space="preserve">work-related </w:t>
      </w:r>
      <w:r w:rsidR="00C10076" w:rsidRPr="00A379BE">
        <w:rPr>
          <w:rFonts w:cs="Arial"/>
          <w:i w:val="0"/>
        </w:rPr>
        <w:t>injury</w:t>
      </w:r>
      <w:r w:rsidR="001835AA" w:rsidRPr="00A379BE">
        <w:rPr>
          <w:rFonts w:cs="Arial"/>
          <w:i w:val="0"/>
        </w:rPr>
        <w:t>,</w:t>
      </w:r>
      <w:r w:rsidR="0026022C" w:rsidRPr="00A379BE">
        <w:rPr>
          <w:rFonts w:cs="Arial"/>
          <w:i w:val="0"/>
        </w:rPr>
        <w:t xml:space="preserve"> illness</w:t>
      </w:r>
      <w:r w:rsidR="001835AA" w:rsidRPr="00A379BE" w:rsidDel="001835AA">
        <w:rPr>
          <w:rFonts w:cs="Arial"/>
          <w:i w:val="0"/>
        </w:rPr>
        <w:t xml:space="preserve"> </w:t>
      </w:r>
      <w:r w:rsidR="001835AA" w:rsidRPr="00A379BE">
        <w:rPr>
          <w:rFonts w:cs="Arial"/>
          <w:i w:val="0"/>
        </w:rPr>
        <w:t>or death</w:t>
      </w:r>
      <w:r w:rsidR="002F7C9B" w:rsidRPr="00A379BE">
        <w:rPr>
          <w:rFonts w:cs="Arial"/>
          <w:i w:val="0"/>
        </w:rPr>
        <w:t xml:space="preserve">. </w:t>
      </w:r>
      <w:r w:rsidR="00BF0F45">
        <w:rPr>
          <w:rFonts w:cs="Arial"/>
          <w:i w:val="0"/>
        </w:rPr>
        <w:t>Specifically, t</w:t>
      </w:r>
      <w:r w:rsidR="002F7C9B" w:rsidRPr="00A379BE">
        <w:rPr>
          <w:rFonts w:cs="Arial"/>
          <w:i w:val="0"/>
        </w:rPr>
        <w:t xml:space="preserve">he WC Act </w:t>
      </w:r>
      <w:r w:rsidR="00270E2E">
        <w:rPr>
          <w:rFonts w:cs="Arial"/>
          <w:i w:val="0"/>
        </w:rPr>
        <w:t xml:space="preserve">provides for statutory compensation benefits </w:t>
      </w:r>
      <w:r w:rsidR="001E43AB">
        <w:rPr>
          <w:rFonts w:cs="Arial"/>
          <w:i w:val="0"/>
        </w:rPr>
        <w:t xml:space="preserve">to be paid to </w:t>
      </w:r>
      <w:r w:rsidR="00270E2E">
        <w:rPr>
          <w:rFonts w:cs="Arial"/>
          <w:i w:val="0"/>
        </w:rPr>
        <w:t xml:space="preserve">injured workers </w:t>
      </w:r>
      <w:r w:rsidR="001E43AB">
        <w:rPr>
          <w:rFonts w:cs="Arial"/>
          <w:i w:val="0"/>
        </w:rPr>
        <w:t xml:space="preserve">covering </w:t>
      </w:r>
      <w:r w:rsidR="00C10076" w:rsidRPr="00042F3B">
        <w:rPr>
          <w:rFonts w:cs="Arial"/>
          <w:i w:val="0"/>
        </w:rPr>
        <w:t>medical treatment, rehabilitation assistance</w:t>
      </w:r>
      <w:r w:rsidR="0026022C" w:rsidRPr="00042F3B">
        <w:rPr>
          <w:rFonts w:cs="Arial"/>
          <w:i w:val="0"/>
        </w:rPr>
        <w:t>,</w:t>
      </w:r>
      <w:r w:rsidR="00C10076" w:rsidRPr="00042F3B">
        <w:rPr>
          <w:rFonts w:cs="Arial"/>
          <w:i w:val="0"/>
        </w:rPr>
        <w:t xml:space="preserve"> financial compensation including weekly compensation and lump sum permanent impairment payments</w:t>
      </w:r>
      <w:r w:rsidR="001E43AB">
        <w:rPr>
          <w:rFonts w:cs="Arial"/>
          <w:i w:val="0"/>
        </w:rPr>
        <w:t xml:space="preserve"> to support their recovery and return to work</w:t>
      </w:r>
      <w:r w:rsidR="00C10076" w:rsidRPr="00042F3B">
        <w:rPr>
          <w:rFonts w:cs="Arial"/>
          <w:i w:val="0"/>
        </w:rPr>
        <w:t xml:space="preserve">. </w:t>
      </w:r>
    </w:p>
    <w:p w14:paraId="05CEE33C" w14:textId="77777777" w:rsidR="00566219" w:rsidRPr="00042B10" w:rsidRDefault="00566219" w:rsidP="00566219">
      <w:pPr>
        <w:rPr>
          <w:rFonts w:cs="Arial"/>
        </w:rPr>
      </w:pPr>
      <w:r w:rsidRPr="00042B10">
        <w:rPr>
          <w:rFonts w:cs="Arial"/>
        </w:rPr>
        <w:t xml:space="preserve">Amendments to the Default Insurance Fund </w:t>
      </w:r>
    </w:p>
    <w:p w14:paraId="4C11013A" w14:textId="61979758" w:rsidR="00B64AC6" w:rsidRPr="00C840E2" w:rsidRDefault="002938D7" w:rsidP="00E244C2">
      <w:pPr>
        <w:rPr>
          <w:rFonts w:cs="Arial"/>
          <w:b/>
          <w:i w:val="0"/>
        </w:rPr>
      </w:pPr>
      <w:r w:rsidRPr="006E4F46">
        <w:rPr>
          <w:rFonts w:cs="Arial"/>
          <w:i w:val="0"/>
        </w:rPr>
        <w:lastRenderedPageBreak/>
        <w:t>Th</w:t>
      </w:r>
      <w:r w:rsidR="00FB2517">
        <w:rPr>
          <w:rFonts w:cs="Arial"/>
          <w:i w:val="0"/>
        </w:rPr>
        <w:t>is</w:t>
      </w:r>
      <w:r w:rsidRPr="006E4F46">
        <w:rPr>
          <w:rFonts w:cs="Arial"/>
          <w:i w:val="0"/>
        </w:rPr>
        <w:t xml:space="preserve"> Bill </w:t>
      </w:r>
      <w:r w:rsidR="00D17E28">
        <w:rPr>
          <w:rFonts w:cs="Arial"/>
          <w:i w:val="0"/>
        </w:rPr>
        <w:t xml:space="preserve">will also </w:t>
      </w:r>
      <w:r w:rsidR="00C840E2">
        <w:rPr>
          <w:rFonts w:cs="Arial"/>
          <w:i w:val="0"/>
        </w:rPr>
        <w:t>make</w:t>
      </w:r>
      <w:r w:rsidR="00FB2517">
        <w:rPr>
          <w:rFonts w:cs="Arial"/>
          <w:i w:val="0"/>
        </w:rPr>
        <w:t xml:space="preserve"> amendments to </w:t>
      </w:r>
      <w:r w:rsidR="00C81A75" w:rsidRPr="006E4F46">
        <w:rPr>
          <w:rFonts w:cs="Arial"/>
          <w:i w:val="0"/>
        </w:rPr>
        <w:t>allow</w:t>
      </w:r>
      <w:r w:rsidR="00F420EB" w:rsidRPr="006E4F46">
        <w:rPr>
          <w:rFonts w:cs="Arial"/>
          <w:i w:val="0"/>
        </w:rPr>
        <w:t xml:space="preserve"> the Executive to determine individual or classes of employe</w:t>
      </w:r>
      <w:r w:rsidR="00846A26" w:rsidRPr="006E4F46">
        <w:rPr>
          <w:rFonts w:cs="Arial"/>
          <w:i w:val="0"/>
        </w:rPr>
        <w:t>rs/employees who are eligible</w:t>
      </w:r>
      <w:r w:rsidR="004136E7" w:rsidRPr="006E4F46">
        <w:rPr>
          <w:rFonts w:cs="Arial"/>
          <w:i w:val="0"/>
        </w:rPr>
        <w:t xml:space="preserve"> </w:t>
      </w:r>
      <w:r w:rsidR="00633494">
        <w:rPr>
          <w:rFonts w:cs="Arial"/>
          <w:i w:val="0"/>
        </w:rPr>
        <w:t>for</w:t>
      </w:r>
      <w:r w:rsidR="00B327A7">
        <w:rPr>
          <w:rFonts w:cs="Arial"/>
          <w:i w:val="0"/>
        </w:rPr>
        <w:t xml:space="preserve"> </w:t>
      </w:r>
      <w:r w:rsidR="00D84BB5">
        <w:rPr>
          <w:rFonts w:cs="Arial"/>
          <w:i w:val="0"/>
        </w:rPr>
        <w:t xml:space="preserve">a </w:t>
      </w:r>
      <w:r w:rsidR="002C6511">
        <w:rPr>
          <w:rFonts w:cs="Arial"/>
          <w:i w:val="0"/>
        </w:rPr>
        <w:t xml:space="preserve">non-commercial </w:t>
      </w:r>
      <w:r w:rsidR="004D38AA">
        <w:rPr>
          <w:rFonts w:cs="Arial"/>
          <w:i w:val="0"/>
        </w:rPr>
        <w:t xml:space="preserve">mechanism for accessing workers’ compensation </w:t>
      </w:r>
      <w:r w:rsidR="00846A26" w:rsidRPr="006E4F46">
        <w:rPr>
          <w:rFonts w:cs="Arial"/>
          <w:i w:val="0"/>
        </w:rPr>
        <w:t xml:space="preserve">through the making of a notifiable instrument. </w:t>
      </w:r>
      <w:r w:rsidR="009E2DB2">
        <w:rPr>
          <w:rFonts w:cs="Arial"/>
          <w:i w:val="0"/>
        </w:rPr>
        <w:t>In summary, an eligible employer</w:t>
      </w:r>
      <w:r w:rsidR="00C36CA3">
        <w:rPr>
          <w:rFonts w:cs="Arial"/>
          <w:i w:val="0"/>
        </w:rPr>
        <w:t>:</w:t>
      </w:r>
    </w:p>
    <w:p w14:paraId="6D17C0CE" w14:textId="69AB9575" w:rsidR="000F32C7" w:rsidRDefault="000F32C7" w:rsidP="00AA4F82">
      <w:pPr>
        <w:numPr>
          <w:ilvl w:val="1"/>
          <w:numId w:val="44"/>
        </w:numPr>
        <w:rPr>
          <w:rFonts w:cs="Arial"/>
          <w:i w:val="0"/>
        </w:rPr>
      </w:pPr>
      <w:r>
        <w:rPr>
          <w:rFonts w:cs="Arial"/>
          <w:i w:val="0"/>
        </w:rPr>
        <w:t>may make an application to be a prescribed employer where they employ prescribed workers</w:t>
      </w:r>
      <w:r w:rsidR="001E0F9E">
        <w:rPr>
          <w:rFonts w:cs="Arial"/>
          <w:i w:val="0"/>
        </w:rPr>
        <w:t xml:space="preserve"> for a determined period</w:t>
      </w:r>
    </w:p>
    <w:p w14:paraId="0DE5BB2E" w14:textId="3AF5193F" w:rsidR="00B64AC6" w:rsidRDefault="009E4970" w:rsidP="00AA4F82">
      <w:pPr>
        <w:numPr>
          <w:ilvl w:val="1"/>
          <w:numId w:val="44"/>
        </w:numPr>
        <w:rPr>
          <w:rFonts w:cs="Arial"/>
          <w:i w:val="0"/>
        </w:rPr>
      </w:pPr>
      <w:r>
        <w:rPr>
          <w:rFonts w:cs="Arial"/>
          <w:i w:val="0"/>
        </w:rPr>
        <w:t xml:space="preserve">if accepted as </w:t>
      </w:r>
      <w:r w:rsidR="009A3E70">
        <w:rPr>
          <w:rFonts w:cs="Arial"/>
          <w:i w:val="0"/>
        </w:rPr>
        <w:t xml:space="preserve">a prescribed </w:t>
      </w:r>
      <w:r w:rsidR="00B14E8B" w:rsidRPr="00DF622F">
        <w:rPr>
          <w:rFonts w:cs="Arial"/>
          <w:i w:val="0"/>
        </w:rPr>
        <w:t>employer</w:t>
      </w:r>
      <w:r>
        <w:rPr>
          <w:rFonts w:cs="Arial"/>
          <w:i w:val="0"/>
        </w:rPr>
        <w:t>,</w:t>
      </w:r>
      <w:r w:rsidR="00B14E8B" w:rsidRPr="00DF622F">
        <w:rPr>
          <w:rFonts w:cs="Arial"/>
          <w:i w:val="0"/>
        </w:rPr>
        <w:t xml:space="preserve"> would not otherwise be required to hold a</w:t>
      </w:r>
      <w:r w:rsidR="002912D0">
        <w:rPr>
          <w:rFonts w:cs="Arial"/>
          <w:i w:val="0"/>
        </w:rPr>
        <w:t xml:space="preserve"> compulsory</w:t>
      </w:r>
      <w:r w:rsidR="00B14E8B" w:rsidRPr="00DF622F">
        <w:rPr>
          <w:rFonts w:cs="Arial"/>
          <w:i w:val="0"/>
        </w:rPr>
        <w:t xml:space="preserve"> insurance policy, nor need to be a licensed self-insurer</w:t>
      </w:r>
      <w:r w:rsidR="009A3E70">
        <w:rPr>
          <w:rFonts w:cs="Arial"/>
          <w:i w:val="0"/>
        </w:rPr>
        <w:t xml:space="preserve"> </w:t>
      </w:r>
      <w:r w:rsidR="002912D0">
        <w:rPr>
          <w:rFonts w:cs="Arial"/>
          <w:i w:val="0"/>
        </w:rPr>
        <w:t xml:space="preserve">and as such, </w:t>
      </w:r>
      <w:r w:rsidR="009A3E70">
        <w:rPr>
          <w:rFonts w:cs="Arial"/>
          <w:i w:val="0"/>
        </w:rPr>
        <w:t>penalties will not apply from not holding a compulsory insurance policy</w:t>
      </w:r>
    </w:p>
    <w:p w14:paraId="47F0E074" w14:textId="77777777" w:rsidR="0020057E" w:rsidRDefault="00B64AC6" w:rsidP="00AA4F82">
      <w:pPr>
        <w:numPr>
          <w:ilvl w:val="1"/>
          <w:numId w:val="44"/>
        </w:numPr>
        <w:rPr>
          <w:rFonts w:cs="Arial"/>
          <w:i w:val="0"/>
        </w:rPr>
      </w:pPr>
      <w:r>
        <w:rPr>
          <w:rFonts w:cs="Arial"/>
          <w:i w:val="0"/>
        </w:rPr>
        <w:t xml:space="preserve">injured workers </w:t>
      </w:r>
      <w:r w:rsidR="00BF7258">
        <w:rPr>
          <w:rFonts w:cs="Arial"/>
          <w:i w:val="0"/>
        </w:rPr>
        <w:t xml:space="preserve">who are a prescribed worker </w:t>
      </w:r>
      <w:r w:rsidR="004103FE">
        <w:rPr>
          <w:rFonts w:cs="Arial"/>
          <w:i w:val="0"/>
        </w:rPr>
        <w:t xml:space="preserve">of a prescribed employer </w:t>
      </w:r>
      <w:r w:rsidR="002E0E46">
        <w:rPr>
          <w:rFonts w:cs="Arial"/>
          <w:i w:val="0"/>
        </w:rPr>
        <w:t>would receive</w:t>
      </w:r>
      <w:r w:rsidR="006A04F2">
        <w:rPr>
          <w:rFonts w:cs="Arial"/>
          <w:i w:val="0"/>
        </w:rPr>
        <w:t xml:space="preserve"> compensation payable under the WC Act </w:t>
      </w:r>
      <w:r w:rsidR="0020057E">
        <w:rPr>
          <w:rFonts w:cs="Arial"/>
          <w:i w:val="0"/>
        </w:rPr>
        <w:t>from</w:t>
      </w:r>
      <w:r w:rsidR="009D422B">
        <w:rPr>
          <w:rFonts w:cs="Arial"/>
          <w:i w:val="0"/>
        </w:rPr>
        <w:t xml:space="preserve"> the Default Insurance Fund </w:t>
      </w:r>
      <w:r w:rsidR="00571C94">
        <w:rPr>
          <w:rFonts w:cs="Arial"/>
          <w:i w:val="0"/>
        </w:rPr>
        <w:t>utilising the fund’s existing claims</w:t>
      </w:r>
      <w:r w:rsidR="0020057E">
        <w:rPr>
          <w:rFonts w:cs="Arial"/>
          <w:i w:val="0"/>
        </w:rPr>
        <w:t xml:space="preserve"> infrastructure</w:t>
      </w:r>
    </w:p>
    <w:p w14:paraId="52244246" w14:textId="456B662C" w:rsidR="000B4CE6" w:rsidRPr="00FC4A37" w:rsidRDefault="00A62C2C" w:rsidP="263A630A">
      <w:pPr>
        <w:numPr>
          <w:ilvl w:val="1"/>
          <w:numId w:val="44"/>
        </w:numPr>
        <w:rPr>
          <w:rFonts w:cs="Arial"/>
          <w:i w:val="0"/>
        </w:rPr>
      </w:pPr>
      <w:r>
        <w:rPr>
          <w:rFonts w:cs="Arial"/>
          <w:i w:val="0"/>
        </w:rPr>
        <w:t xml:space="preserve">the costs arising from these claims would be met from the Default Insurance Fund, which is primarily funded by </w:t>
      </w:r>
      <w:r w:rsidR="0061064D">
        <w:rPr>
          <w:rFonts w:cs="Arial"/>
          <w:i w:val="0"/>
        </w:rPr>
        <w:t>a</w:t>
      </w:r>
      <w:r>
        <w:rPr>
          <w:rFonts w:cs="Arial"/>
          <w:i w:val="0"/>
        </w:rPr>
        <w:t xml:space="preserve"> levy</w:t>
      </w:r>
      <w:r w:rsidR="00571C94">
        <w:rPr>
          <w:rFonts w:cs="Arial"/>
          <w:i w:val="0"/>
        </w:rPr>
        <w:t>.</w:t>
      </w:r>
    </w:p>
    <w:p w14:paraId="4CB15B0C" w14:textId="3C98EB94" w:rsidR="00020CCD" w:rsidRDefault="00B14E8B" w:rsidP="263A630A">
      <w:pPr>
        <w:rPr>
          <w:rFonts w:cs="Arial"/>
          <w:i w:val="0"/>
        </w:rPr>
      </w:pPr>
      <w:r w:rsidRPr="006E4F46">
        <w:rPr>
          <w:rFonts w:cs="Arial"/>
          <w:i w:val="0"/>
        </w:rPr>
        <w:t>The Bill includes provisions for</w:t>
      </w:r>
      <w:r w:rsidR="00CD78D2" w:rsidRPr="006E4F46">
        <w:rPr>
          <w:rFonts w:cs="Arial"/>
          <w:i w:val="0"/>
        </w:rPr>
        <w:t xml:space="preserve"> the determin</w:t>
      </w:r>
      <w:r w:rsidR="000B4CE6">
        <w:rPr>
          <w:rFonts w:cs="Arial"/>
          <w:i w:val="0"/>
        </w:rPr>
        <w:t>ation of</w:t>
      </w:r>
      <w:r w:rsidR="00CD78D2" w:rsidRPr="006E4F46">
        <w:rPr>
          <w:rFonts w:cs="Arial"/>
          <w:i w:val="0"/>
        </w:rPr>
        <w:t xml:space="preserve"> fee</w:t>
      </w:r>
      <w:r w:rsidR="00F11F1E" w:rsidRPr="006E4F46">
        <w:rPr>
          <w:rFonts w:cs="Arial"/>
          <w:i w:val="0"/>
        </w:rPr>
        <w:t xml:space="preserve"> </w:t>
      </w:r>
      <w:r w:rsidR="000B4CE6">
        <w:rPr>
          <w:rFonts w:cs="Arial"/>
          <w:i w:val="0"/>
        </w:rPr>
        <w:t>to apply to be</w:t>
      </w:r>
      <w:r w:rsidR="00E53107">
        <w:rPr>
          <w:rFonts w:cs="Arial"/>
          <w:i w:val="0"/>
        </w:rPr>
        <w:t xml:space="preserve">come a prescribed employer and information that must be provided with an application </w:t>
      </w:r>
      <w:r w:rsidR="00020CCD">
        <w:rPr>
          <w:rFonts w:cs="Arial"/>
          <w:i w:val="0"/>
        </w:rPr>
        <w:t xml:space="preserve">and </w:t>
      </w:r>
      <w:r w:rsidR="00F11F1E" w:rsidRPr="006E4F46">
        <w:rPr>
          <w:rFonts w:cs="Arial"/>
          <w:i w:val="0"/>
        </w:rPr>
        <w:t>would otherwise be required to be submitted to an insurer.</w:t>
      </w:r>
    </w:p>
    <w:p w14:paraId="5336786E" w14:textId="7F8BC7F8" w:rsidR="263A630A" w:rsidRPr="006E4F46" w:rsidRDefault="00020CCD" w:rsidP="263A630A">
      <w:pPr>
        <w:rPr>
          <w:rFonts w:cs="Arial"/>
          <w:i w:val="0"/>
        </w:rPr>
      </w:pPr>
      <w:r>
        <w:rPr>
          <w:rFonts w:cs="Arial"/>
          <w:i w:val="0"/>
        </w:rPr>
        <w:t xml:space="preserve">Relevantly, </w:t>
      </w:r>
      <w:r w:rsidR="00F42C90" w:rsidRPr="006E4F46">
        <w:rPr>
          <w:rFonts w:cs="Arial"/>
          <w:i w:val="0"/>
        </w:rPr>
        <w:t xml:space="preserve">the Default Insurance Fund levy </w:t>
      </w:r>
      <w:r w:rsidR="007A192F">
        <w:rPr>
          <w:rFonts w:cs="Arial"/>
          <w:i w:val="0"/>
        </w:rPr>
        <w:t>would</w:t>
      </w:r>
      <w:r w:rsidR="007A192F" w:rsidRPr="006E4F46">
        <w:rPr>
          <w:rFonts w:cs="Arial"/>
          <w:i w:val="0"/>
        </w:rPr>
        <w:t xml:space="preserve"> </w:t>
      </w:r>
      <w:r w:rsidR="00F42C90" w:rsidRPr="006E4F46">
        <w:rPr>
          <w:rFonts w:cs="Arial"/>
          <w:i w:val="0"/>
        </w:rPr>
        <w:t xml:space="preserve">be adjusted to account for the cost of covered claims, to the extent that costs exceed the amount paid by determined employers and cannot be absorbed by the Default Insurance Fund. </w:t>
      </w:r>
    </w:p>
    <w:p w14:paraId="25E5EC3A" w14:textId="14DA8DA4" w:rsidR="00E90DF9" w:rsidRPr="006E4F46" w:rsidRDefault="00E90DF9" w:rsidP="007B3123">
      <w:pPr>
        <w:spacing w:before="240" w:after="0"/>
        <w:rPr>
          <w:rFonts w:cs="Arial"/>
          <w:b/>
          <w:i w:val="0"/>
        </w:rPr>
      </w:pPr>
      <w:r w:rsidRPr="006E4F46">
        <w:rPr>
          <w:rFonts w:cs="Arial"/>
          <w:b/>
          <w:i w:val="0"/>
        </w:rPr>
        <w:t>CONSULTATION ON THE PROPOSED APPROACH</w:t>
      </w:r>
    </w:p>
    <w:p w14:paraId="6BC3941E" w14:textId="4673376F" w:rsidR="00116291" w:rsidRPr="006E4F46" w:rsidRDefault="0030760C" w:rsidP="007B3123">
      <w:pPr>
        <w:spacing w:before="100" w:beforeAutospacing="1" w:after="0"/>
        <w:rPr>
          <w:rFonts w:cs="Arial"/>
          <w:i w:val="0"/>
        </w:rPr>
      </w:pPr>
      <w:r w:rsidRPr="006E4F46">
        <w:rPr>
          <w:rFonts w:cs="Arial"/>
          <w:i w:val="0"/>
        </w:rPr>
        <w:t>Stakeholders consulted</w:t>
      </w:r>
      <w:r w:rsidR="00D46C17" w:rsidRPr="006E4F46">
        <w:rPr>
          <w:rFonts w:cs="Arial"/>
          <w:i w:val="0"/>
        </w:rPr>
        <w:t xml:space="preserve"> regarding the proposed amendments within this Bill</w:t>
      </w:r>
      <w:r w:rsidRPr="006E4F46">
        <w:rPr>
          <w:rFonts w:cs="Arial"/>
          <w:i w:val="0"/>
        </w:rPr>
        <w:t xml:space="preserve"> include the Chief Minister, Treasury and Economic Development Directorate</w:t>
      </w:r>
      <w:r w:rsidR="00EA1E3B" w:rsidRPr="006E4F46">
        <w:rPr>
          <w:rFonts w:cs="Arial"/>
          <w:i w:val="0"/>
        </w:rPr>
        <w:t>,</w:t>
      </w:r>
      <w:r w:rsidR="00A358BE" w:rsidRPr="006E4F46">
        <w:rPr>
          <w:rFonts w:cs="Arial"/>
          <w:i w:val="0"/>
        </w:rPr>
        <w:t xml:space="preserve"> the Justice and Community Safety Directorate</w:t>
      </w:r>
      <w:r w:rsidR="00FF2ADC" w:rsidRPr="006E4F46">
        <w:rPr>
          <w:rFonts w:cs="Arial"/>
          <w:i w:val="0"/>
        </w:rPr>
        <w:t>,</w:t>
      </w:r>
      <w:r w:rsidR="00EA1E3B" w:rsidRPr="006E4F46">
        <w:rPr>
          <w:rFonts w:cs="Arial"/>
          <w:i w:val="0"/>
        </w:rPr>
        <w:t xml:space="preserve"> </w:t>
      </w:r>
      <w:r w:rsidR="00CB6A3D" w:rsidRPr="006E4F46">
        <w:rPr>
          <w:rFonts w:cs="Arial"/>
          <w:i w:val="0"/>
        </w:rPr>
        <w:t xml:space="preserve">the WHS Commissioner, </w:t>
      </w:r>
      <w:r w:rsidR="00C7744B" w:rsidRPr="006E4F46">
        <w:rPr>
          <w:rFonts w:cs="Arial"/>
          <w:i w:val="0"/>
        </w:rPr>
        <w:t xml:space="preserve">WorkSafe </w:t>
      </w:r>
      <w:r w:rsidR="00EA1E3B" w:rsidRPr="006E4F46">
        <w:rPr>
          <w:rFonts w:cs="Arial"/>
          <w:i w:val="0"/>
        </w:rPr>
        <w:t>ACT</w:t>
      </w:r>
      <w:r w:rsidR="00FA707E">
        <w:rPr>
          <w:rFonts w:cs="Arial"/>
          <w:i w:val="0"/>
        </w:rPr>
        <w:t xml:space="preserve"> and the</w:t>
      </w:r>
      <w:r w:rsidR="00CB6A3D" w:rsidRPr="006E4F46">
        <w:rPr>
          <w:rFonts w:cs="Arial"/>
          <w:i w:val="0"/>
        </w:rPr>
        <w:t xml:space="preserve"> Work Health and Safety Council</w:t>
      </w:r>
      <w:r w:rsidR="008F7884">
        <w:rPr>
          <w:rFonts w:cs="Arial"/>
          <w:i w:val="0"/>
        </w:rPr>
        <w:t xml:space="preserve"> </w:t>
      </w:r>
      <w:r w:rsidR="008F7884" w:rsidRPr="006E4F46">
        <w:rPr>
          <w:rFonts w:cs="Arial"/>
          <w:i w:val="0"/>
        </w:rPr>
        <w:t>and broader affected industries and business</w:t>
      </w:r>
      <w:r w:rsidR="00FA707E">
        <w:rPr>
          <w:rFonts w:cs="Arial"/>
          <w:i w:val="0"/>
        </w:rPr>
        <w:t xml:space="preserve">. </w:t>
      </w:r>
      <w:r w:rsidR="00A358BE" w:rsidRPr="006E4F46">
        <w:rPr>
          <w:rFonts w:cs="Arial"/>
          <w:i w:val="0"/>
        </w:rPr>
        <w:t xml:space="preserve">ACT Government has also consulted with ACT </w:t>
      </w:r>
      <w:r w:rsidR="00CB6A3D" w:rsidRPr="006E4F46">
        <w:rPr>
          <w:rFonts w:cs="Arial"/>
          <w:i w:val="0"/>
        </w:rPr>
        <w:t xml:space="preserve">justice </w:t>
      </w:r>
      <w:r w:rsidR="00A358BE" w:rsidRPr="006E4F46">
        <w:rPr>
          <w:rFonts w:cs="Arial"/>
          <w:i w:val="0"/>
        </w:rPr>
        <w:t>stakeholders</w:t>
      </w:r>
      <w:r w:rsidR="00CB6A3D" w:rsidRPr="006E4F46">
        <w:rPr>
          <w:rFonts w:cs="Arial"/>
          <w:i w:val="0"/>
        </w:rPr>
        <w:t xml:space="preserve"> in </w:t>
      </w:r>
      <w:r w:rsidR="00A358BE" w:rsidRPr="006E4F46">
        <w:rPr>
          <w:rFonts w:cs="Arial"/>
          <w:i w:val="0"/>
        </w:rPr>
        <w:t xml:space="preserve">the development of </w:t>
      </w:r>
      <w:r w:rsidR="00CB6A3D" w:rsidRPr="006E4F46">
        <w:rPr>
          <w:rFonts w:cs="Arial"/>
          <w:i w:val="0"/>
        </w:rPr>
        <w:t>the amendments relating to the EMP Act.</w:t>
      </w:r>
    </w:p>
    <w:p w14:paraId="1B6FBF18" w14:textId="73219E52" w:rsidR="00545E9C" w:rsidRPr="006E4F46" w:rsidRDefault="00545E9C" w:rsidP="00545E9C">
      <w:pPr>
        <w:spacing w:before="240"/>
        <w:rPr>
          <w:rFonts w:cs="Arial"/>
          <w:b/>
          <w:i w:val="0"/>
        </w:rPr>
      </w:pPr>
      <w:r w:rsidRPr="006E4F46">
        <w:rPr>
          <w:rFonts w:cs="Arial"/>
          <w:b/>
          <w:i w:val="0"/>
        </w:rPr>
        <w:t>CLIMATE IMPACT</w:t>
      </w:r>
    </w:p>
    <w:p w14:paraId="719B41EB" w14:textId="52F5058C" w:rsidR="00116291" w:rsidRPr="005D45BC" w:rsidRDefault="00545E9C" w:rsidP="007B3123">
      <w:pPr>
        <w:spacing w:before="240"/>
        <w:rPr>
          <w:rFonts w:cs="Arial"/>
          <w:i w:val="0"/>
        </w:rPr>
      </w:pPr>
      <w:r w:rsidRPr="006E4F46">
        <w:rPr>
          <w:rFonts w:cs="Arial"/>
          <w:i w:val="0"/>
        </w:rPr>
        <w:t>This Bill will not have any climate impact.</w:t>
      </w:r>
    </w:p>
    <w:p w14:paraId="1E002791" w14:textId="49162521" w:rsidR="00E90DF9" w:rsidRPr="006E4F46" w:rsidRDefault="00E90DF9" w:rsidP="00BA62B4">
      <w:pPr>
        <w:pStyle w:val="Heading2"/>
        <w:spacing w:before="240"/>
        <w:rPr>
          <w:i w:val="0"/>
        </w:rPr>
      </w:pPr>
      <w:r w:rsidRPr="006E4F46">
        <w:rPr>
          <w:i w:val="0"/>
        </w:rPr>
        <w:t>CONSISTENCY WITH HUMAN RIGHTS</w:t>
      </w:r>
    </w:p>
    <w:p w14:paraId="757FF40A" w14:textId="1CE97734" w:rsidR="00116291" w:rsidRPr="006E4F46" w:rsidRDefault="00DA56EA" w:rsidP="00252448">
      <w:pPr>
        <w:spacing w:before="100" w:beforeAutospacing="1" w:after="100" w:afterAutospacing="1" w:line="240" w:lineRule="auto"/>
        <w:rPr>
          <w:rFonts w:cs="Arial"/>
          <w:i w:val="0"/>
        </w:rPr>
      </w:pPr>
      <w:r w:rsidRPr="006E4F46">
        <w:rPr>
          <w:rFonts w:cs="Arial"/>
          <w:i w:val="0"/>
        </w:rPr>
        <w:t xml:space="preserve">During the development of the Bill, due regard was given to its compatibility with human rights as set out in the </w:t>
      </w:r>
      <w:r w:rsidRPr="00F66F25">
        <w:rPr>
          <w:rFonts w:cs="Arial"/>
          <w:iCs w:val="0"/>
        </w:rPr>
        <w:t>Human Rights Act 2004</w:t>
      </w:r>
      <w:r w:rsidRPr="006E4F46">
        <w:rPr>
          <w:rFonts w:cs="Arial"/>
          <w:i w:val="0"/>
        </w:rPr>
        <w:t xml:space="preserve"> (the HR Act).</w:t>
      </w:r>
      <w:r w:rsidR="00F00088" w:rsidRPr="006E4F46">
        <w:rPr>
          <w:rFonts w:cs="Arial"/>
          <w:i w:val="0"/>
        </w:rPr>
        <w:t xml:space="preserve"> This Bill is consistent with human rights. </w:t>
      </w:r>
    </w:p>
    <w:p w14:paraId="3AA827AB" w14:textId="6C3CD9E4" w:rsidR="00E90DF9" w:rsidRPr="006E4F46" w:rsidRDefault="00E90DF9" w:rsidP="00163AFB">
      <w:pPr>
        <w:spacing w:line="240" w:lineRule="auto"/>
        <w:rPr>
          <w:rFonts w:cs="Arial"/>
          <w:b/>
          <w:i w:val="0"/>
        </w:rPr>
      </w:pPr>
      <w:r w:rsidRPr="006E4F46">
        <w:rPr>
          <w:rFonts w:cs="Arial"/>
          <w:b/>
          <w:i w:val="0"/>
        </w:rPr>
        <w:t>Rights engage</w:t>
      </w:r>
      <w:r w:rsidR="00367C33" w:rsidRPr="006E4F46">
        <w:rPr>
          <w:rFonts w:cs="Arial"/>
          <w:b/>
          <w:i w:val="0"/>
        </w:rPr>
        <w:t>d</w:t>
      </w:r>
    </w:p>
    <w:p w14:paraId="332E5E91" w14:textId="4BDA60A7" w:rsidR="006E3CFA" w:rsidRPr="006E4F46" w:rsidRDefault="00001827" w:rsidP="00163AFB">
      <w:pPr>
        <w:spacing w:line="240" w:lineRule="auto"/>
        <w:rPr>
          <w:rFonts w:cs="Arial"/>
          <w:i w:val="0"/>
        </w:rPr>
      </w:pPr>
      <w:r w:rsidRPr="006E4F46">
        <w:rPr>
          <w:rFonts w:cs="Arial"/>
          <w:i w:val="0"/>
        </w:rPr>
        <w:t>This Bill engages</w:t>
      </w:r>
      <w:r w:rsidR="00FE21EC" w:rsidRPr="006E4F46">
        <w:rPr>
          <w:rFonts w:cs="Arial"/>
          <w:i w:val="0"/>
        </w:rPr>
        <w:t xml:space="preserve"> </w:t>
      </w:r>
      <w:r w:rsidRPr="006E4F46">
        <w:rPr>
          <w:rFonts w:cs="Arial"/>
          <w:i w:val="0"/>
        </w:rPr>
        <w:t xml:space="preserve">the </w:t>
      </w:r>
      <w:r w:rsidR="00C972B2" w:rsidRPr="006E4F46">
        <w:rPr>
          <w:rFonts w:cs="Arial"/>
          <w:i w:val="0"/>
        </w:rPr>
        <w:t>following rights:</w:t>
      </w:r>
    </w:p>
    <w:p w14:paraId="3F298FEF" w14:textId="585FE56F" w:rsidR="005A2071" w:rsidRPr="0041256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8</w:t>
      </w:r>
      <w:r w:rsidR="00FA62DA">
        <w:rPr>
          <w:rFonts w:cs="Arial"/>
          <w:i w:val="0"/>
        </w:rPr>
        <w:tab/>
      </w:r>
      <w:r w:rsidRPr="006E4F46">
        <w:rPr>
          <w:rFonts w:cs="Arial"/>
          <w:i w:val="0"/>
        </w:rPr>
        <w:t>–</w:t>
      </w:r>
      <w:r w:rsidR="00FA62DA">
        <w:rPr>
          <w:rFonts w:cs="Arial"/>
          <w:i w:val="0"/>
        </w:rPr>
        <w:tab/>
      </w:r>
      <w:r w:rsidRPr="006E4F46">
        <w:rPr>
          <w:rFonts w:cs="Arial"/>
          <w:i w:val="0"/>
        </w:rPr>
        <w:t>Recognition and equality before the law</w:t>
      </w:r>
      <w:r w:rsidR="0074439B" w:rsidRPr="006E4F46">
        <w:rPr>
          <w:rFonts w:cs="Arial"/>
          <w:i w:val="0"/>
        </w:rPr>
        <w:t xml:space="preserve"> </w:t>
      </w:r>
      <w:r w:rsidR="0074439B" w:rsidRPr="00042B10">
        <w:rPr>
          <w:rFonts w:cs="Arial"/>
        </w:rPr>
        <w:t>(promoted)</w:t>
      </w:r>
    </w:p>
    <w:p w14:paraId="3883AB87" w14:textId="57EFA967" w:rsidR="005A2071" w:rsidRPr="006E4F46"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11</w:t>
      </w:r>
      <w:r w:rsidR="005D72F9">
        <w:rPr>
          <w:rFonts w:cs="Arial"/>
          <w:i w:val="0"/>
        </w:rPr>
        <w:tab/>
      </w:r>
      <w:r w:rsidRPr="006E4F46">
        <w:rPr>
          <w:rFonts w:cs="Arial"/>
          <w:i w:val="0"/>
        </w:rPr>
        <w:t>–</w:t>
      </w:r>
      <w:r w:rsidR="005D72F9">
        <w:rPr>
          <w:rFonts w:cs="Arial"/>
          <w:i w:val="0"/>
        </w:rPr>
        <w:tab/>
      </w:r>
      <w:r w:rsidRPr="006E4F46">
        <w:rPr>
          <w:rFonts w:cs="Arial"/>
          <w:i w:val="0"/>
        </w:rPr>
        <w:t xml:space="preserve">Protection of the family and children </w:t>
      </w:r>
      <w:r w:rsidR="003051EC" w:rsidRPr="00042B10">
        <w:rPr>
          <w:rFonts w:cs="Arial"/>
        </w:rPr>
        <w:t>(promoted)</w:t>
      </w:r>
    </w:p>
    <w:p w14:paraId="2E581C81" w14:textId="53115992" w:rsidR="005A2071" w:rsidRPr="006D24CE"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lastRenderedPageBreak/>
        <w:t>Section 12</w:t>
      </w:r>
      <w:r w:rsidR="005D72F9">
        <w:rPr>
          <w:rFonts w:cs="Arial"/>
          <w:i w:val="0"/>
        </w:rPr>
        <w:tab/>
      </w:r>
      <w:r w:rsidRPr="006E4F46">
        <w:rPr>
          <w:rFonts w:cs="Arial"/>
          <w:i w:val="0"/>
        </w:rPr>
        <w:t>–</w:t>
      </w:r>
      <w:r w:rsidR="005D72F9">
        <w:rPr>
          <w:rFonts w:cs="Arial"/>
          <w:i w:val="0"/>
        </w:rPr>
        <w:tab/>
      </w:r>
      <w:r w:rsidRPr="006E4F46">
        <w:rPr>
          <w:rFonts w:cs="Arial"/>
          <w:i w:val="0"/>
        </w:rPr>
        <w:t xml:space="preserve">Privacy and reputation </w:t>
      </w:r>
      <w:r w:rsidR="0074439B" w:rsidRPr="00042B10">
        <w:rPr>
          <w:rFonts w:cs="Arial"/>
        </w:rPr>
        <w:t>(promoted)</w:t>
      </w:r>
    </w:p>
    <w:p w14:paraId="59B1A287" w14:textId="0CA68F3E" w:rsidR="00964482" w:rsidRPr="006E4F46" w:rsidRDefault="00964482"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21</w:t>
      </w:r>
      <w:r w:rsidR="005D72F9">
        <w:rPr>
          <w:rFonts w:cs="Arial"/>
          <w:i w:val="0"/>
        </w:rPr>
        <w:tab/>
      </w:r>
      <w:r w:rsidRPr="006E4F46">
        <w:rPr>
          <w:rFonts w:cs="Arial"/>
          <w:i w:val="0"/>
        </w:rPr>
        <w:t>–</w:t>
      </w:r>
      <w:r w:rsidR="005D72F9">
        <w:rPr>
          <w:rFonts w:cs="Arial"/>
          <w:i w:val="0"/>
        </w:rPr>
        <w:tab/>
      </w:r>
      <w:r w:rsidRPr="006E4F46">
        <w:rPr>
          <w:rFonts w:cs="Arial"/>
          <w:i w:val="0"/>
        </w:rPr>
        <w:t>Right to a fair trial</w:t>
      </w:r>
      <w:r w:rsidR="003051EC" w:rsidRPr="006E4F46">
        <w:rPr>
          <w:rFonts w:cs="Arial"/>
          <w:i w:val="0"/>
        </w:rPr>
        <w:t xml:space="preserve"> </w:t>
      </w:r>
      <w:r w:rsidR="003051EC" w:rsidRPr="00042B10">
        <w:rPr>
          <w:rFonts w:cs="Arial"/>
        </w:rPr>
        <w:t>(limited)</w:t>
      </w:r>
    </w:p>
    <w:p w14:paraId="32BB6C99" w14:textId="4EC0CB88" w:rsidR="001E2BE1" w:rsidRPr="0041256E" w:rsidRDefault="001E2BE1" w:rsidP="00DF622F">
      <w:pPr>
        <w:pStyle w:val="ListParagraph"/>
        <w:numPr>
          <w:ilvl w:val="0"/>
          <w:numId w:val="10"/>
        </w:numPr>
        <w:tabs>
          <w:tab w:val="left" w:pos="2127"/>
          <w:tab w:val="left" w:pos="2410"/>
        </w:tabs>
        <w:spacing w:after="120" w:line="240" w:lineRule="auto"/>
        <w:ind w:left="714" w:hanging="357"/>
        <w:rPr>
          <w:rFonts w:cs="Arial"/>
          <w:i w:val="0"/>
        </w:rPr>
      </w:pPr>
      <w:r w:rsidRPr="006E4F46">
        <w:rPr>
          <w:rFonts w:cs="Arial"/>
          <w:i w:val="0"/>
        </w:rPr>
        <w:t>Section 22</w:t>
      </w:r>
      <w:r w:rsidR="005D72F9">
        <w:rPr>
          <w:rFonts w:cs="Arial"/>
          <w:i w:val="0"/>
        </w:rPr>
        <w:tab/>
      </w:r>
      <w:r w:rsidRPr="006E4F46">
        <w:rPr>
          <w:rFonts w:cs="Arial"/>
          <w:i w:val="0"/>
        </w:rPr>
        <w:t>–</w:t>
      </w:r>
      <w:r w:rsidR="005D72F9">
        <w:rPr>
          <w:rFonts w:cs="Arial"/>
          <w:i w:val="0"/>
        </w:rPr>
        <w:tab/>
      </w:r>
      <w:r w:rsidRPr="006E4F46">
        <w:rPr>
          <w:rFonts w:cs="Arial"/>
          <w:i w:val="0"/>
        </w:rPr>
        <w:t>Right in criminal proceedings</w:t>
      </w:r>
      <w:r w:rsidR="00E871AE" w:rsidRPr="006E4F46">
        <w:rPr>
          <w:rFonts w:cs="Arial"/>
          <w:i w:val="0"/>
        </w:rPr>
        <w:t xml:space="preserve"> </w:t>
      </w:r>
      <w:r w:rsidR="00E871AE" w:rsidRPr="00042B10">
        <w:rPr>
          <w:rFonts w:cs="Arial"/>
        </w:rPr>
        <w:t>(limited)</w:t>
      </w:r>
    </w:p>
    <w:p w14:paraId="29574153" w14:textId="05B30E5B" w:rsidR="002E769A" w:rsidRPr="00941E90" w:rsidRDefault="005A2071" w:rsidP="00DF622F">
      <w:pPr>
        <w:pStyle w:val="ListParagraph"/>
        <w:numPr>
          <w:ilvl w:val="0"/>
          <w:numId w:val="10"/>
        </w:numPr>
        <w:tabs>
          <w:tab w:val="left" w:pos="2127"/>
          <w:tab w:val="left" w:pos="2410"/>
        </w:tabs>
        <w:spacing w:after="120" w:line="240" w:lineRule="auto"/>
        <w:ind w:left="714" w:hanging="357"/>
        <w:jc w:val="both"/>
        <w:rPr>
          <w:rFonts w:cs="Arial"/>
          <w:i w:val="0"/>
        </w:rPr>
      </w:pPr>
      <w:r w:rsidRPr="006E4F46">
        <w:rPr>
          <w:rFonts w:cs="Arial"/>
          <w:i w:val="0"/>
        </w:rPr>
        <w:t>Section 27B</w:t>
      </w:r>
      <w:r w:rsidR="005D72F9">
        <w:rPr>
          <w:rFonts w:cs="Arial"/>
          <w:i w:val="0"/>
        </w:rPr>
        <w:tab/>
      </w:r>
      <w:r w:rsidRPr="006E4F46">
        <w:rPr>
          <w:rFonts w:cs="Arial"/>
          <w:i w:val="0"/>
        </w:rPr>
        <w:t>–</w:t>
      </w:r>
      <w:r w:rsidR="005D72F9">
        <w:rPr>
          <w:rFonts w:cs="Arial"/>
          <w:i w:val="0"/>
        </w:rPr>
        <w:tab/>
      </w:r>
      <w:r w:rsidRPr="006E4F46">
        <w:rPr>
          <w:rFonts w:cs="Arial"/>
          <w:i w:val="0"/>
        </w:rPr>
        <w:t xml:space="preserve">Right to work and other work-related rights </w:t>
      </w:r>
      <w:r w:rsidR="0074439B" w:rsidRPr="00042B10">
        <w:rPr>
          <w:rFonts w:cs="Arial"/>
        </w:rPr>
        <w:t>(promoted)</w:t>
      </w:r>
    </w:p>
    <w:p w14:paraId="7156674C" w14:textId="77777777" w:rsidR="008F7884" w:rsidRDefault="008F7884" w:rsidP="00F77209">
      <w:pPr>
        <w:spacing w:before="240"/>
        <w:contextualSpacing/>
        <w:jc w:val="both"/>
        <w:rPr>
          <w:rFonts w:cs="Arial"/>
          <w:b/>
          <w:i w:val="0"/>
          <w:iCs w:val="0"/>
        </w:rPr>
      </w:pPr>
    </w:p>
    <w:p w14:paraId="2D0407C5" w14:textId="52E68A59" w:rsidR="00F25D30" w:rsidRPr="00F77209" w:rsidRDefault="003051EC" w:rsidP="00F77209">
      <w:pPr>
        <w:spacing w:before="240"/>
        <w:contextualSpacing/>
        <w:jc w:val="both"/>
        <w:rPr>
          <w:rFonts w:cs="Arial"/>
          <w:b/>
          <w:i w:val="0"/>
          <w:iCs w:val="0"/>
        </w:rPr>
      </w:pPr>
      <w:r w:rsidRPr="00B31851">
        <w:rPr>
          <w:rFonts w:cs="Arial"/>
          <w:b/>
          <w:i w:val="0"/>
          <w:iCs w:val="0"/>
        </w:rPr>
        <w:t>Rights promoted</w:t>
      </w:r>
      <w:r w:rsidR="00CC0A5E" w:rsidRPr="00B31851">
        <w:rPr>
          <w:rFonts w:cs="Arial"/>
          <w:b/>
          <w:i w:val="0"/>
          <w:iCs w:val="0"/>
        </w:rPr>
        <w:t xml:space="preserve"> </w:t>
      </w:r>
    </w:p>
    <w:p w14:paraId="1581D436" w14:textId="77777777" w:rsidR="000671F4" w:rsidRDefault="0074439B" w:rsidP="007F55B5">
      <w:pPr>
        <w:spacing w:before="240"/>
        <w:rPr>
          <w:rFonts w:cs="Arial"/>
          <w:i w:val="0"/>
          <w:iCs w:val="0"/>
        </w:rPr>
      </w:pPr>
      <w:r w:rsidRPr="00B31851">
        <w:rPr>
          <w:rFonts w:cs="Arial"/>
          <w:i w:val="0"/>
          <w:iCs w:val="0"/>
          <w:u w:val="single"/>
        </w:rPr>
        <w:t xml:space="preserve">EMP Act amendments – </w:t>
      </w:r>
      <w:r w:rsidR="00BB3A94" w:rsidRPr="00B31851">
        <w:rPr>
          <w:rFonts w:cs="Arial"/>
          <w:i w:val="0"/>
          <w:iCs w:val="0"/>
          <w:u w:val="single"/>
        </w:rPr>
        <w:t>R</w:t>
      </w:r>
      <w:r w:rsidR="0077348F">
        <w:rPr>
          <w:rFonts w:cs="Arial"/>
          <w:i w:val="0"/>
          <w:iCs w:val="0"/>
          <w:u w:val="single"/>
        </w:rPr>
        <w:t>ight to r</w:t>
      </w:r>
      <w:r w:rsidR="00BB3A94" w:rsidRPr="00B31851">
        <w:rPr>
          <w:rFonts w:cs="Arial"/>
          <w:i w:val="0"/>
          <w:iCs w:val="0"/>
          <w:u w:val="single"/>
        </w:rPr>
        <w:t xml:space="preserve">ecognition and equality before the law </w:t>
      </w:r>
      <w:r w:rsidR="00484CEF">
        <w:rPr>
          <w:rFonts w:cs="Arial"/>
          <w:i w:val="0"/>
          <w:iCs w:val="0"/>
          <w:u w:val="single"/>
        </w:rPr>
        <w:br/>
      </w:r>
      <w:r w:rsidR="00B0543B" w:rsidRPr="00B31851">
        <w:rPr>
          <w:rFonts w:cs="Arial"/>
          <w:i w:val="0"/>
          <w:iCs w:val="0"/>
        </w:rPr>
        <w:t xml:space="preserve">The right to recognition and equality before the law provides that everyone is entitled to enjoy their rights without discrimination of any kind, and that everyone is equal before the law and entitled to the equal protection of the law without discrimination. </w:t>
      </w:r>
    </w:p>
    <w:p w14:paraId="25245D6A" w14:textId="73FB94A1" w:rsidR="00BB3A94" w:rsidRPr="00F77209" w:rsidRDefault="00BB3A94" w:rsidP="007F55B5">
      <w:pPr>
        <w:spacing w:before="240"/>
        <w:rPr>
          <w:rFonts w:cs="Arial"/>
          <w:i w:val="0"/>
          <w:iCs w:val="0"/>
          <w:u w:val="single"/>
        </w:rPr>
      </w:pPr>
      <w:r w:rsidRPr="00B31851">
        <w:rPr>
          <w:rFonts w:cs="Arial"/>
          <w:i w:val="0"/>
          <w:iCs w:val="0"/>
        </w:rPr>
        <w:t xml:space="preserve">Extending protections </w:t>
      </w:r>
      <w:r w:rsidR="008B7016" w:rsidRPr="00B31851">
        <w:rPr>
          <w:rFonts w:cs="Arial"/>
          <w:i w:val="0"/>
          <w:iCs w:val="0"/>
        </w:rPr>
        <w:t xml:space="preserve">under the EMP Act </w:t>
      </w:r>
      <w:r w:rsidRPr="00B31851">
        <w:rPr>
          <w:rFonts w:cs="Arial"/>
          <w:i w:val="0"/>
          <w:iCs w:val="0"/>
        </w:rPr>
        <w:t xml:space="preserve">to </w:t>
      </w:r>
      <w:r w:rsidR="00CB6A3D" w:rsidRPr="00B31851">
        <w:rPr>
          <w:rFonts w:cs="Arial"/>
          <w:i w:val="0"/>
          <w:iCs w:val="0"/>
        </w:rPr>
        <w:t>victim</w:t>
      </w:r>
      <w:r w:rsidR="0080064B">
        <w:rPr>
          <w:rFonts w:cs="Arial"/>
          <w:i w:val="0"/>
          <w:iCs w:val="0"/>
        </w:rPr>
        <w:t>s</w:t>
      </w:r>
      <w:r w:rsidR="00CB6A3D" w:rsidRPr="00B31851">
        <w:rPr>
          <w:rFonts w:cs="Arial"/>
          <w:i w:val="0"/>
          <w:iCs w:val="0"/>
        </w:rPr>
        <w:t xml:space="preserve"> of </w:t>
      </w:r>
      <w:r w:rsidR="0075483B" w:rsidRPr="00B31851">
        <w:rPr>
          <w:rFonts w:cs="Arial"/>
          <w:i w:val="0"/>
          <w:iCs w:val="0"/>
        </w:rPr>
        <w:t xml:space="preserve">alleged or suspected sexual assault or harassment within the context of </w:t>
      </w:r>
      <w:r w:rsidRPr="00B31851">
        <w:rPr>
          <w:rFonts w:cs="Arial"/>
          <w:i w:val="0"/>
          <w:iCs w:val="0"/>
        </w:rPr>
        <w:t xml:space="preserve">WHS proceedings ensures equal treatment </w:t>
      </w:r>
      <w:r w:rsidR="0075483B" w:rsidRPr="00B31851">
        <w:rPr>
          <w:rFonts w:cs="Arial"/>
          <w:i w:val="0"/>
          <w:iCs w:val="0"/>
        </w:rPr>
        <w:t xml:space="preserve">across </w:t>
      </w:r>
      <w:r w:rsidR="0000517B" w:rsidRPr="00B31851">
        <w:rPr>
          <w:rFonts w:cs="Arial"/>
          <w:i w:val="0"/>
          <w:iCs w:val="0"/>
        </w:rPr>
        <w:t>different proceeding types</w:t>
      </w:r>
      <w:r w:rsidRPr="00B31851">
        <w:rPr>
          <w:rFonts w:cs="Arial"/>
          <w:i w:val="0"/>
          <w:iCs w:val="0"/>
        </w:rPr>
        <w:t>.</w:t>
      </w:r>
    </w:p>
    <w:p w14:paraId="2C06CF80" w14:textId="30B6C880" w:rsidR="00D04241" w:rsidRPr="000671F4" w:rsidRDefault="0074439B" w:rsidP="007F55B5">
      <w:pPr>
        <w:spacing w:before="240"/>
        <w:rPr>
          <w:rFonts w:cs="Arial"/>
          <w:i w:val="0"/>
          <w:iCs w:val="0"/>
        </w:rPr>
      </w:pPr>
      <w:r w:rsidRPr="00B31851">
        <w:rPr>
          <w:rFonts w:cs="Arial"/>
          <w:i w:val="0"/>
          <w:iCs w:val="0"/>
          <w:u w:val="single"/>
        </w:rPr>
        <w:t xml:space="preserve">EMP Act amendments – </w:t>
      </w:r>
      <w:r w:rsidR="00FB3E8A" w:rsidRPr="00B31851">
        <w:rPr>
          <w:rFonts w:cs="Arial"/>
          <w:i w:val="0"/>
          <w:iCs w:val="0"/>
          <w:u w:val="single"/>
        </w:rPr>
        <w:t xml:space="preserve">Right to </w:t>
      </w:r>
      <w:r w:rsidR="005B179E" w:rsidRPr="00B31851">
        <w:rPr>
          <w:rFonts w:cs="Arial"/>
          <w:i w:val="0"/>
          <w:iCs w:val="0"/>
          <w:u w:val="single"/>
        </w:rPr>
        <w:t>p</w:t>
      </w:r>
      <w:r w:rsidR="00BB3A94" w:rsidRPr="00B31851">
        <w:rPr>
          <w:rFonts w:cs="Arial"/>
          <w:i w:val="0"/>
          <w:iCs w:val="0"/>
          <w:u w:val="single"/>
        </w:rPr>
        <w:t xml:space="preserve">rotection of </w:t>
      </w:r>
      <w:r w:rsidR="00D03B4D" w:rsidRPr="00B31851">
        <w:rPr>
          <w:rFonts w:cs="Arial"/>
          <w:i w:val="0"/>
          <w:iCs w:val="0"/>
          <w:u w:val="single"/>
        </w:rPr>
        <w:t>f</w:t>
      </w:r>
      <w:r w:rsidR="00BB3A94" w:rsidRPr="00B31851">
        <w:rPr>
          <w:rFonts w:cs="Arial"/>
          <w:i w:val="0"/>
          <w:iCs w:val="0"/>
          <w:u w:val="single"/>
        </w:rPr>
        <w:t xml:space="preserve">amilies and </w:t>
      </w:r>
      <w:r w:rsidR="00D03B4D" w:rsidRPr="00B31851">
        <w:rPr>
          <w:rFonts w:cs="Arial"/>
          <w:i w:val="0"/>
          <w:iCs w:val="0"/>
          <w:u w:val="single"/>
        </w:rPr>
        <w:t>c</w:t>
      </w:r>
      <w:r w:rsidR="00BB3A94" w:rsidRPr="00B31851">
        <w:rPr>
          <w:rFonts w:cs="Arial"/>
          <w:i w:val="0"/>
          <w:iCs w:val="0"/>
          <w:u w:val="single"/>
        </w:rPr>
        <w:t>hildren</w:t>
      </w:r>
      <w:r w:rsidR="00DF0344">
        <w:rPr>
          <w:rFonts w:cs="Arial"/>
          <w:i w:val="0"/>
          <w:iCs w:val="0"/>
          <w:u w:val="single"/>
        </w:rPr>
        <w:br/>
      </w:r>
      <w:r w:rsidR="00BC47FD" w:rsidRPr="00B31851">
        <w:rPr>
          <w:rFonts w:cs="Arial"/>
          <w:i w:val="0"/>
          <w:iCs w:val="0"/>
        </w:rPr>
        <w:t>In circumstances where</w:t>
      </w:r>
      <w:r w:rsidR="00BB3A94" w:rsidRPr="00B31851">
        <w:rPr>
          <w:rFonts w:cs="Arial"/>
          <w:i w:val="0"/>
          <w:iCs w:val="0"/>
        </w:rPr>
        <w:t xml:space="preserve"> WHS proceedings</w:t>
      </w:r>
      <w:r w:rsidR="00BC47FD" w:rsidRPr="00B31851">
        <w:rPr>
          <w:rFonts w:cs="Arial"/>
          <w:i w:val="0"/>
          <w:iCs w:val="0"/>
        </w:rPr>
        <w:t xml:space="preserve"> may</w:t>
      </w:r>
      <w:r w:rsidR="00BB3A94" w:rsidRPr="00B31851">
        <w:rPr>
          <w:rFonts w:cs="Arial"/>
          <w:i w:val="0"/>
          <w:iCs w:val="0"/>
        </w:rPr>
        <w:t xml:space="preserve"> involve minors or family-related contexts</w:t>
      </w:r>
      <w:r w:rsidR="00BC47FD" w:rsidRPr="00B31851">
        <w:rPr>
          <w:rFonts w:cs="Arial"/>
          <w:i w:val="0"/>
          <w:iCs w:val="0"/>
        </w:rPr>
        <w:t xml:space="preserve"> within the workplace</w:t>
      </w:r>
      <w:r w:rsidR="0048747E" w:rsidRPr="00B31851">
        <w:rPr>
          <w:rFonts w:cs="Arial"/>
          <w:i w:val="0"/>
          <w:iCs w:val="0"/>
        </w:rPr>
        <w:t xml:space="preserve"> (such as young workers or family-run businesses)</w:t>
      </w:r>
      <w:r w:rsidR="00BB3A94" w:rsidRPr="00B31851">
        <w:rPr>
          <w:rFonts w:cs="Arial"/>
          <w:i w:val="0"/>
          <w:iCs w:val="0"/>
        </w:rPr>
        <w:t>, the</w:t>
      </w:r>
      <w:r w:rsidR="00BC47FD" w:rsidRPr="00B31851">
        <w:rPr>
          <w:rFonts w:cs="Arial"/>
          <w:i w:val="0"/>
          <w:iCs w:val="0"/>
        </w:rPr>
        <w:t xml:space="preserve"> EMP</w:t>
      </w:r>
      <w:r w:rsidR="004A6CE4" w:rsidRPr="00B31851">
        <w:rPr>
          <w:rFonts w:cs="Arial"/>
          <w:i w:val="0"/>
          <w:iCs w:val="0"/>
        </w:rPr>
        <w:t xml:space="preserve"> Act</w:t>
      </w:r>
      <w:r w:rsidR="00BB3A94" w:rsidRPr="00B31851">
        <w:rPr>
          <w:rFonts w:cs="Arial"/>
          <w:i w:val="0"/>
          <w:iCs w:val="0"/>
        </w:rPr>
        <w:t xml:space="preserve"> amendment reinforce</w:t>
      </w:r>
      <w:r w:rsidR="00E93E7D" w:rsidRPr="00B31851">
        <w:rPr>
          <w:rFonts w:cs="Arial"/>
          <w:i w:val="0"/>
          <w:iCs w:val="0"/>
        </w:rPr>
        <w:t>s</w:t>
      </w:r>
      <w:r w:rsidR="00BB3A94" w:rsidRPr="00B31851">
        <w:rPr>
          <w:rFonts w:cs="Arial"/>
          <w:i w:val="0"/>
          <w:iCs w:val="0"/>
        </w:rPr>
        <w:t xml:space="preserve"> protections aligned with this right.</w:t>
      </w:r>
      <w:r w:rsidR="00E93E7D" w:rsidRPr="00B31851">
        <w:rPr>
          <w:rFonts w:cs="Arial"/>
          <w:i w:val="0"/>
          <w:iCs w:val="0"/>
        </w:rPr>
        <w:t xml:space="preserve"> </w:t>
      </w:r>
      <w:r w:rsidR="00CA3C8C" w:rsidRPr="00B31851">
        <w:rPr>
          <w:rFonts w:cs="Arial"/>
          <w:i w:val="0"/>
          <w:iCs w:val="0"/>
        </w:rPr>
        <w:t xml:space="preserve">By broadening the special protections afforded to complainants involved in </w:t>
      </w:r>
      <w:r w:rsidR="00E91DCC" w:rsidRPr="00B31851">
        <w:rPr>
          <w:rFonts w:cs="Arial"/>
          <w:i w:val="0"/>
          <w:iCs w:val="0"/>
        </w:rPr>
        <w:t>WHS</w:t>
      </w:r>
      <w:r w:rsidR="00CA3C8C" w:rsidRPr="00B31851">
        <w:rPr>
          <w:rFonts w:cs="Arial"/>
          <w:i w:val="0"/>
          <w:iCs w:val="0"/>
        </w:rPr>
        <w:t xml:space="preserve"> proceedings that include alleged or suspected sexual assault or harassment, the amendment promotes the right to protection of families and children. It provides critical safeguards for </w:t>
      </w:r>
      <w:r w:rsidR="00EA1B6D" w:rsidRPr="00B31851">
        <w:rPr>
          <w:rFonts w:cs="Arial"/>
          <w:i w:val="0"/>
          <w:iCs w:val="0"/>
        </w:rPr>
        <w:t xml:space="preserve">vulnerable workers including </w:t>
      </w:r>
      <w:r w:rsidR="00CA3C8C" w:rsidRPr="00B31851">
        <w:rPr>
          <w:rFonts w:cs="Arial"/>
          <w:i w:val="0"/>
          <w:iCs w:val="0"/>
        </w:rPr>
        <w:t>young workers</w:t>
      </w:r>
      <w:r w:rsidR="00EA1B6D" w:rsidRPr="00B31851">
        <w:rPr>
          <w:rFonts w:cs="Arial"/>
          <w:i w:val="0"/>
          <w:iCs w:val="0"/>
        </w:rPr>
        <w:t>, those who identify from a culturally and linguistic diverse background or others</w:t>
      </w:r>
      <w:r w:rsidR="00CA3C8C" w:rsidRPr="00B31851">
        <w:rPr>
          <w:rFonts w:cs="Arial"/>
          <w:i w:val="0"/>
          <w:iCs w:val="0"/>
        </w:rPr>
        <w:t xml:space="preserve"> who may be more </w:t>
      </w:r>
      <w:r w:rsidR="00EA1B6D" w:rsidRPr="00B31851">
        <w:rPr>
          <w:rFonts w:cs="Arial"/>
          <w:i w:val="0"/>
          <w:iCs w:val="0"/>
        </w:rPr>
        <w:t>susceptible</w:t>
      </w:r>
      <w:r w:rsidR="00B2643E" w:rsidRPr="00B31851">
        <w:rPr>
          <w:rFonts w:cs="Arial"/>
          <w:i w:val="0"/>
          <w:iCs w:val="0"/>
        </w:rPr>
        <w:t xml:space="preserve"> </w:t>
      </w:r>
      <w:r w:rsidR="00CA3C8C" w:rsidRPr="00B31851">
        <w:rPr>
          <w:rFonts w:cs="Arial"/>
          <w:i w:val="0"/>
          <w:iCs w:val="0"/>
        </w:rPr>
        <w:t>to coercion</w:t>
      </w:r>
      <w:r w:rsidR="00EA1B6D" w:rsidRPr="00B31851">
        <w:rPr>
          <w:rFonts w:cs="Arial"/>
          <w:i w:val="0"/>
          <w:iCs w:val="0"/>
        </w:rPr>
        <w:t xml:space="preserve">. </w:t>
      </w:r>
      <w:r w:rsidR="006275EE" w:rsidRPr="00B31851">
        <w:rPr>
          <w:rFonts w:cs="Arial"/>
          <w:i w:val="0"/>
          <w:iCs w:val="0"/>
        </w:rPr>
        <w:t xml:space="preserve">For example, </w:t>
      </w:r>
      <w:r w:rsidR="008871F7" w:rsidRPr="00B31851">
        <w:rPr>
          <w:rFonts w:cs="Arial"/>
          <w:i w:val="0"/>
          <w:iCs w:val="0"/>
        </w:rPr>
        <w:t>prohibition of pub</w:t>
      </w:r>
      <w:r w:rsidR="00874C67" w:rsidRPr="00B31851">
        <w:rPr>
          <w:rFonts w:cs="Arial"/>
          <w:i w:val="0"/>
          <w:iCs w:val="0"/>
        </w:rPr>
        <w:t>li</w:t>
      </w:r>
      <w:r w:rsidR="003A23A8" w:rsidRPr="00B31851">
        <w:rPr>
          <w:rFonts w:cs="Arial"/>
          <w:i w:val="0"/>
          <w:iCs w:val="0"/>
        </w:rPr>
        <w:t>cation of</w:t>
      </w:r>
      <w:r w:rsidR="008871F7" w:rsidRPr="00B31851">
        <w:rPr>
          <w:rFonts w:cs="Arial"/>
          <w:i w:val="0"/>
          <w:iCs w:val="0"/>
        </w:rPr>
        <w:t xml:space="preserve"> a </w:t>
      </w:r>
      <w:r w:rsidR="00B323DE" w:rsidRPr="00B31851">
        <w:rPr>
          <w:rFonts w:cs="Arial"/>
          <w:i w:val="0"/>
          <w:iCs w:val="0"/>
        </w:rPr>
        <w:t>complainant’s</w:t>
      </w:r>
      <w:r w:rsidR="008871F7" w:rsidRPr="00B31851">
        <w:rPr>
          <w:rFonts w:cs="Arial"/>
          <w:i w:val="0"/>
          <w:iCs w:val="0"/>
        </w:rPr>
        <w:t xml:space="preserve"> identity will </w:t>
      </w:r>
      <w:r w:rsidR="0077348F">
        <w:rPr>
          <w:rFonts w:cs="Arial"/>
          <w:i w:val="0"/>
          <w:iCs w:val="0"/>
        </w:rPr>
        <w:t>allow complainants to decide who they disclose the sexual assault or harassment to</w:t>
      </w:r>
      <w:r w:rsidR="00DA24DE" w:rsidRPr="00B31851">
        <w:rPr>
          <w:rFonts w:cs="Arial"/>
          <w:i w:val="0"/>
          <w:iCs w:val="0"/>
        </w:rPr>
        <w:t xml:space="preserve"> and reduce </w:t>
      </w:r>
      <w:r w:rsidR="00B323DE" w:rsidRPr="00B31851">
        <w:rPr>
          <w:rFonts w:cs="Arial"/>
          <w:i w:val="0"/>
          <w:iCs w:val="0"/>
        </w:rPr>
        <w:t xml:space="preserve">public </w:t>
      </w:r>
      <w:r w:rsidR="00DA24DE" w:rsidRPr="00B31851">
        <w:rPr>
          <w:rFonts w:cs="Arial"/>
          <w:i w:val="0"/>
          <w:iCs w:val="0"/>
        </w:rPr>
        <w:t>scrutiny</w:t>
      </w:r>
      <w:r w:rsidR="00E33B06">
        <w:rPr>
          <w:rFonts w:cs="Arial"/>
          <w:i w:val="0"/>
          <w:iCs w:val="0"/>
        </w:rPr>
        <w:t xml:space="preserve"> including further harassment, victimisation, and negative media attention</w:t>
      </w:r>
      <w:r w:rsidR="00DA24DE" w:rsidRPr="00B31851">
        <w:rPr>
          <w:rFonts w:cs="Arial"/>
          <w:i w:val="0"/>
          <w:iCs w:val="0"/>
        </w:rPr>
        <w:t xml:space="preserve"> or</w:t>
      </w:r>
      <w:r w:rsidR="005B0801">
        <w:rPr>
          <w:rFonts w:cs="Arial"/>
          <w:i w:val="0"/>
          <w:iCs w:val="0"/>
        </w:rPr>
        <w:t xml:space="preserve"> potential </w:t>
      </w:r>
      <w:r w:rsidR="00DA24DE" w:rsidRPr="00B31851">
        <w:rPr>
          <w:rFonts w:cs="Arial"/>
          <w:i w:val="0"/>
          <w:iCs w:val="0"/>
        </w:rPr>
        <w:t>fall out with fr</w:t>
      </w:r>
      <w:r w:rsidR="006E5723" w:rsidRPr="00B31851">
        <w:rPr>
          <w:rFonts w:cs="Arial"/>
          <w:i w:val="0"/>
          <w:iCs w:val="0"/>
        </w:rPr>
        <w:t xml:space="preserve">iends, family members or the </w:t>
      </w:r>
      <w:r w:rsidR="00874C67" w:rsidRPr="00B31851">
        <w:rPr>
          <w:rFonts w:cs="Arial"/>
          <w:i w:val="0"/>
          <w:iCs w:val="0"/>
        </w:rPr>
        <w:t xml:space="preserve">community. </w:t>
      </w:r>
      <w:r w:rsidR="00EA1B6D" w:rsidRPr="00B31851">
        <w:rPr>
          <w:rFonts w:cs="Arial"/>
          <w:i w:val="0"/>
          <w:iCs w:val="0"/>
        </w:rPr>
        <w:t xml:space="preserve">It </w:t>
      </w:r>
      <w:r w:rsidR="00CA3C8C" w:rsidRPr="00B31851">
        <w:rPr>
          <w:rFonts w:cs="Arial"/>
          <w:i w:val="0"/>
          <w:iCs w:val="0"/>
        </w:rPr>
        <w:t xml:space="preserve">supports family members in cases where workplace misconduct intersects with family </w:t>
      </w:r>
      <w:r w:rsidR="00E31EE1" w:rsidRPr="00B31851">
        <w:rPr>
          <w:rFonts w:cs="Arial"/>
          <w:i w:val="0"/>
          <w:iCs w:val="0"/>
        </w:rPr>
        <w:t>violence and</w:t>
      </w:r>
      <w:r w:rsidR="00CA3C8C" w:rsidRPr="00B31851">
        <w:rPr>
          <w:rFonts w:cs="Arial"/>
          <w:i w:val="0"/>
          <w:iCs w:val="0"/>
        </w:rPr>
        <w:t xml:space="preserve"> helps protect children who may be indirectly impacted when a parent or guardian experiences workplace sexual harm. </w:t>
      </w:r>
      <w:r w:rsidR="007C7AA1" w:rsidRPr="00B31851">
        <w:rPr>
          <w:rFonts w:cs="Arial"/>
          <w:i w:val="0"/>
          <w:iCs w:val="0"/>
        </w:rPr>
        <w:t xml:space="preserve">This </w:t>
      </w:r>
      <w:r w:rsidR="00D53990" w:rsidRPr="00B31851">
        <w:rPr>
          <w:rFonts w:cs="Arial"/>
          <w:i w:val="0"/>
          <w:iCs w:val="0"/>
        </w:rPr>
        <w:t xml:space="preserve">is achieved where the court </w:t>
      </w:r>
      <w:r w:rsidR="00B323DE" w:rsidRPr="00B31851">
        <w:rPr>
          <w:rFonts w:cs="Arial"/>
          <w:i w:val="0"/>
          <w:iCs w:val="0"/>
        </w:rPr>
        <w:t>can</w:t>
      </w:r>
      <w:r w:rsidR="00D53990" w:rsidRPr="00B31851">
        <w:rPr>
          <w:rFonts w:cs="Arial"/>
          <w:i w:val="0"/>
          <w:iCs w:val="0"/>
        </w:rPr>
        <w:t xml:space="preserve"> consider family dynamics in the context of a workplace.</w:t>
      </w:r>
      <w:r w:rsidR="00CA3C8C" w:rsidRPr="00B31851">
        <w:rPr>
          <w:rFonts w:cs="Arial"/>
          <w:i w:val="0"/>
          <w:iCs w:val="0"/>
        </w:rPr>
        <w:t xml:space="preserve"> These changes align with human rights principles by ensuring dignity, safety, and equal treatment under the law.</w:t>
      </w:r>
    </w:p>
    <w:p w14:paraId="1EE35172" w14:textId="2A5CAA98" w:rsidR="00BB3A94" w:rsidRPr="00E33B06" w:rsidRDefault="0074439B" w:rsidP="007F55B5">
      <w:pPr>
        <w:spacing w:before="240"/>
        <w:rPr>
          <w:rFonts w:cs="Arial"/>
          <w:i w:val="0"/>
          <w:iCs w:val="0"/>
        </w:rPr>
      </w:pPr>
      <w:r w:rsidRPr="00B31851">
        <w:rPr>
          <w:rFonts w:cs="Arial"/>
          <w:i w:val="0"/>
          <w:iCs w:val="0"/>
          <w:u w:val="single"/>
        </w:rPr>
        <w:t xml:space="preserve">EMP Act amendments – </w:t>
      </w:r>
      <w:r w:rsidR="00BB3A94" w:rsidRPr="00B31851">
        <w:rPr>
          <w:rFonts w:cs="Arial"/>
          <w:i w:val="0"/>
          <w:iCs w:val="0"/>
          <w:u w:val="single"/>
        </w:rPr>
        <w:t xml:space="preserve">Right to </w:t>
      </w:r>
      <w:r w:rsidR="001A1D41" w:rsidRPr="00B31851">
        <w:rPr>
          <w:rFonts w:cs="Arial"/>
          <w:i w:val="0"/>
          <w:iCs w:val="0"/>
          <w:u w:val="single"/>
        </w:rPr>
        <w:t>p</w:t>
      </w:r>
      <w:r w:rsidR="00BB3A94" w:rsidRPr="00B31851">
        <w:rPr>
          <w:rFonts w:cs="Arial"/>
          <w:i w:val="0"/>
          <w:iCs w:val="0"/>
          <w:u w:val="single"/>
        </w:rPr>
        <w:t xml:space="preserve">rivacy and </w:t>
      </w:r>
      <w:r w:rsidR="001A1D41" w:rsidRPr="00B31851">
        <w:rPr>
          <w:rFonts w:cs="Arial"/>
          <w:i w:val="0"/>
          <w:iCs w:val="0"/>
          <w:u w:val="single"/>
        </w:rPr>
        <w:t>r</w:t>
      </w:r>
      <w:r w:rsidR="00BB3A94" w:rsidRPr="00B31851">
        <w:rPr>
          <w:rFonts w:cs="Arial"/>
          <w:i w:val="0"/>
          <w:iCs w:val="0"/>
          <w:u w:val="single"/>
        </w:rPr>
        <w:t>eputation</w:t>
      </w:r>
      <w:r w:rsidR="00DF0344">
        <w:rPr>
          <w:rFonts w:cs="Arial"/>
          <w:i w:val="0"/>
          <w:iCs w:val="0"/>
          <w:u w:val="single"/>
        </w:rPr>
        <w:br/>
      </w:r>
      <w:r w:rsidR="00A732BD">
        <w:rPr>
          <w:rFonts w:cs="Arial"/>
          <w:i w:val="0"/>
          <w:iCs w:val="0"/>
        </w:rPr>
        <w:t xml:space="preserve">The right to privacy </w:t>
      </w:r>
      <w:r w:rsidR="00AB4FA7">
        <w:rPr>
          <w:rFonts w:cs="Arial"/>
          <w:i w:val="0"/>
          <w:iCs w:val="0"/>
        </w:rPr>
        <w:t xml:space="preserve">protects individuals from unlawful or arbitrary interference with privacy. The right to reputation protects personal honour and </w:t>
      </w:r>
      <w:r w:rsidR="00945E0C">
        <w:rPr>
          <w:rFonts w:cs="Arial"/>
          <w:i w:val="0"/>
          <w:iCs w:val="0"/>
        </w:rPr>
        <w:t>reputation and</w:t>
      </w:r>
      <w:r w:rsidR="00AB4FA7">
        <w:rPr>
          <w:rFonts w:cs="Arial"/>
          <w:i w:val="0"/>
          <w:iCs w:val="0"/>
        </w:rPr>
        <w:t xml:space="preserve"> imposes an obligation on government to provide adequate legislation to that end. </w:t>
      </w:r>
      <w:r w:rsidR="00BB3A94" w:rsidRPr="00B31851">
        <w:rPr>
          <w:rFonts w:cs="Arial"/>
          <w:i w:val="0"/>
          <w:iCs w:val="0"/>
        </w:rPr>
        <w:t xml:space="preserve">Provisions that restrict the publication of a </w:t>
      </w:r>
      <w:r w:rsidR="001201E0" w:rsidRPr="00B31851">
        <w:rPr>
          <w:rFonts w:cs="Arial"/>
          <w:i w:val="0"/>
          <w:iCs w:val="0"/>
        </w:rPr>
        <w:t>person’s</w:t>
      </w:r>
      <w:r w:rsidR="00BB3A94" w:rsidRPr="00B31851">
        <w:rPr>
          <w:rFonts w:cs="Arial"/>
          <w:i w:val="0"/>
          <w:iCs w:val="0"/>
        </w:rPr>
        <w:t xml:space="preserve"> identity or allow evidence to be given remotely </w:t>
      </w:r>
      <w:r w:rsidR="005A66B8" w:rsidRPr="00B31851">
        <w:rPr>
          <w:rFonts w:cs="Arial"/>
          <w:i w:val="0"/>
          <w:iCs w:val="0"/>
        </w:rPr>
        <w:t>can</w:t>
      </w:r>
      <w:r w:rsidR="00BB3A94" w:rsidRPr="00B31851">
        <w:rPr>
          <w:rFonts w:cs="Arial"/>
          <w:i w:val="0"/>
          <w:iCs w:val="0"/>
        </w:rPr>
        <w:t xml:space="preserve"> help </w:t>
      </w:r>
      <w:r w:rsidR="005A66B8" w:rsidRPr="00B31851">
        <w:rPr>
          <w:rFonts w:cs="Arial"/>
          <w:i w:val="0"/>
          <w:iCs w:val="0"/>
        </w:rPr>
        <w:t>to</w:t>
      </w:r>
      <w:r w:rsidR="00BB3A94" w:rsidRPr="00B31851">
        <w:rPr>
          <w:rFonts w:cs="Arial"/>
          <w:i w:val="0"/>
          <w:iCs w:val="0"/>
        </w:rPr>
        <w:t xml:space="preserve"> safeguard </w:t>
      </w:r>
      <w:r w:rsidR="005A66B8" w:rsidRPr="00B31851">
        <w:rPr>
          <w:rFonts w:cs="Arial"/>
          <w:i w:val="0"/>
          <w:iCs w:val="0"/>
        </w:rPr>
        <w:t xml:space="preserve">the </w:t>
      </w:r>
      <w:r w:rsidR="00BB3A94" w:rsidRPr="00B31851">
        <w:rPr>
          <w:rFonts w:cs="Arial"/>
          <w:i w:val="0"/>
          <w:iCs w:val="0"/>
        </w:rPr>
        <w:t>personal privacy</w:t>
      </w:r>
      <w:r w:rsidR="005A66B8" w:rsidRPr="00B31851">
        <w:rPr>
          <w:rFonts w:cs="Arial"/>
          <w:i w:val="0"/>
          <w:iCs w:val="0"/>
        </w:rPr>
        <w:t xml:space="preserve"> </w:t>
      </w:r>
      <w:r w:rsidR="00EB1116">
        <w:rPr>
          <w:rFonts w:cs="Arial"/>
          <w:i w:val="0"/>
          <w:iCs w:val="0"/>
        </w:rPr>
        <w:t xml:space="preserve">and reputation </w:t>
      </w:r>
      <w:r w:rsidR="005A66B8" w:rsidRPr="00B31851">
        <w:rPr>
          <w:rFonts w:cs="Arial"/>
          <w:i w:val="0"/>
          <w:iCs w:val="0"/>
        </w:rPr>
        <w:t>of complainants</w:t>
      </w:r>
      <w:r w:rsidR="00BB3A94" w:rsidRPr="00B31851">
        <w:rPr>
          <w:rFonts w:cs="Arial"/>
          <w:i w:val="0"/>
          <w:iCs w:val="0"/>
        </w:rPr>
        <w:t>,</w:t>
      </w:r>
      <w:r w:rsidR="00D856B7" w:rsidRPr="00B31851">
        <w:rPr>
          <w:rFonts w:cs="Arial"/>
          <w:i w:val="0"/>
          <w:iCs w:val="0"/>
        </w:rPr>
        <w:t xml:space="preserve"> the accused and witnesses. This is</w:t>
      </w:r>
      <w:r w:rsidR="00BB3A94" w:rsidRPr="00B31851">
        <w:rPr>
          <w:rFonts w:cs="Arial"/>
          <w:i w:val="0"/>
          <w:iCs w:val="0"/>
        </w:rPr>
        <w:t xml:space="preserve"> especially </w:t>
      </w:r>
      <w:r w:rsidR="00D856B7" w:rsidRPr="00B31851">
        <w:rPr>
          <w:rFonts w:cs="Arial"/>
          <w:i w:val="0"/>
          <w:iCs w:val="0"/>
        </w:rPr>
        <w:t>the case</w:t>
      </w:r>
      <w:r w:rsidR="00BB3A94" w:rsidRPr="00B31851">
        <w:rPr>
          <w:rFonts w:cs="Arial"/>
          <w:i w:val="0"/>
          <w:iCs w:val="0"/>
        </w:rPr>
        <w:t xml:space="preserve"> in sensitive WHS </w:t>
      </w:r>
      <w:r w:rsidR="004A6CE4" w:rsidRPr="00B31851">
        <w:rPr>
          <w:rFonts w:cs="Arial"/>
          <w:i w:val="0"/>
          <w:iCs w:val="0"/>
        </w:rPr>
        <w:t>proceedings</w:t>
      </w:r>
      <w:r w:rsidR="00BB3A94" w:rsidRPr="00B31851">
        <w:rPr>
          <w:rFonts w:cs="Arial"/>
          <w:i w:val="0"/>
          <w:iCs w:val="0"/>
        </w:rPr>
        <w:t xml:space="preserve"> involving </w:t>
      </w:r>
      <w:r w:rsidR="001201E0" w:rsidRPr="00B31851">
        <w:rPr>
          <w:rFonts w:cs="Arial"/>
          <w:i w:val="0"/>
          <w:iCs w:val="0"/>
        </w:rPr>
        <w:t xml:space="preserve">alleged </w:t>
      </w:r>
      <w:r w:rsidR="00BB3A94" w:rsidRPr="00B31851">
        <w:rPr>
          <w:rFonts w:cs="Arial"/>
          <w:i w:val="0"/>
          <w:iCs w:val="0"/>
        </w:rPr>
        <w:t xml:space="preserve">sexual </w:t>
      </w:r>
      <w:r w:rsidR="004A6CE4" w:rsidRPr="00B31851">
        <w:rPr>
          <w:rFonts w:cs="Arial"/>
          <w:i w:val="0"/>
          <w:iCs w:val="0"/>
        </w:rPr>
        <w:t xml:space="preserve">assault or </w:t>
      </w:r>
      <w:r w:rsidR="00BB3A94" w:rsidRPr="00B31851">
        <w:rPr>
          <w:rFonts w:cs="Arial"/>
          <w:i w:val="0"/>
          <w:iCs w:val="0"/>
        </w:rPr>
        <w:t>harassment</w:t>
      </w:r>
      <w:r w:rsidR="00D04241" w:rsidRPr="00B31851">
        <w:rPr>
          <w:rFonts w:cs="Arial"/>
          <w:i w:val="0"/>
          <w:iCs w:val="0"/>
        </w:rPr>
        <w:t xml:space="preserve">, </w:t>
      </w:r>
      <w:r w:rsidR="00753353" w:rsidRPr="00B31851">
        <w:rPr>
          <w:rFonts w:cs="Arial"/>
          <w:i w:val="0"/>
          <w:iCs w:val="0"/>
        </w:rPr>
        <w:t>which</w:t>
      </w:r>
      <w:r w:rsidR="00DE0F36" w:rsidRPr="00B31851">
        <w:rPr>
          <w:rFonts w:cs="Arial"/>
          <w:i w:val="0"/>
          <w:iCs w:val="0"/>
        </w:rPr>
        <w:t xml:space="preserve"> m</w:t>
      </w:r>
      <w:r w:rsidR="00753353" w:rsidRPr="00B31851">
        <w:rPr>
          <w:rFonts w:cs="Arial"/>
          <w:i w:val="0"/>
          <w:iCs w:val="0"/>
        </w:rPr>
        <w:t xml:space="preserve">ay attract significant media attention and where victims may be vulnerable to </w:t>
      </w:r>
      <w:r w:rsidR="00DE0F36" w:rsidRPr="00B31851">
        <w:rPr>
          <w:rFonts w:cs="Arial"/>
          <w:i w:val="0"/>
          <w:iCs w:val="0"/>
        </w:rPr>
        <w:t>harassment. This amendment therefore</w:t>
      </w:r>
      <w:r w:rsidR="00D04241" w:rsidRPr="00B31851">
        <w:rPr>
          <w:rFonts w:cs="Arial"/>
          <w:i w:val="0"/>
          <w:iCs w:val="0"/>
        </w:rPr>
        <w:t xml:space="preserve"> promote</w:t>
      </w:r>
      <w:r w:rsidR="00DE0F36" w:rsidRPr="00B31851">
        <w:rPr>
          <w:rFonts w:cs="Arial"/>
          <w:i w:val="0"/>
          <w:iCs w:val="0"/>
        </w:rPr>
        <w:t>s</w:t>
      </w:r>
      <w:r w:rsidR="00D04241" w:rsidRPr="00B31851">
        <w:rPr>
          <w:rFonts w:cs="Arial"/>
          <w:i w:val="0"/>
          <w:iCs w:val="0"/>
        </w:rPr>
        <w:t xml:space="preserve"> the </w:t>
      </w:r>
      <w:r w:rsidR="00E36E7B" w:rsidRPr="00B31851">
        <w:rPr>
          <w:rFonts w:cs="Arial"/>
          <w:i w:val="0"/>
          <w:iCs w:val="0"/>
        </w:rPr>
        <w:t>right</w:t>
      </w:r>
      <w:r w:rsidR="00D04241" w:rsidRPr="00B31851">
        <w:rPr>
          <w:rFonts w:cs="Arial"/>
          <w:i w:val="0"/>
          <w:iCs w:val="0"/>
        </w:rPr>
        <w:t xml:space="preserve"> to privacy</w:t>
      </w:r>
      <w:r w:rsidR="00E36E7B" w:rsidRPr="00B31851">
        <w:rPr>
          <w:rFonts w:cs="Arial"/>
          <w:i w:val="0"/>
          <w:iCs w:val="0"/>
        </w:rPr>
        <w:t>.</w:t>
      </w:r>
    </w:p>
    <w:p w14:paraId="6B40676E" w14:textId="1FCD84AE" w:rsidR="004C4746" w:rsidRPr="00DF0344" w:rsidRDefault="0074439B" w:rsidP="007F55B5">
      <w:pPr>
        <w:spacing w:before="240"/>
        <w:rPr>
          <w:rFonts w:cs="Arial"/>
          <w:i w:val="0"/>
          <w:iCs w:val="0"/>
          <w:u w:val="single"/>
        </w:rPr>
      </w:pPr>
      <w:r w:rsidRPr="00B31851">
        <w:rPr>
          <w:rFonts w:cs="Arial"/>
          <w:i w:val="0"/>
          <w:iCs w:val="0"/>
          <w:u w:val="single"/>
        </w:rPr>
        <w:lastRenderedPageBreak/>
        <w:t xml:space="preserve">EMP Act amendments – </w:t>
      </w:r>
      <w:r w:rsidR="00BB3A94" w:rsidRPr="00B31851">
        <w:rPr>
          <w:rFonts w:cs="Arial"/>
          <w:i w:val="0"/>
          <w:iCs w:val="0"/>
          <w:u w:val="single"/>
        </w:rPr>
        <w:t xml:space="preserve">Right to a </w:t>
      </w:r>
      <w:r w:rsidR="00D03B4D" w:rsidRPr="00B31851">
        <w:rPr>
          <w:rFonts w:cs="Arial"/>
          <w:i w:val="0"/>
          <w:iCs w:val="0"/>
          <w:u w:val="single"/>
        </w:rPr>
        <w:t>f</w:t>
      </w:r>
      <w:r w:rsidR="00BB3A94" w:rsidRPr="00B31851">
        <w:rPr>
          <w:rFonts w:cs="Arial"/>
          <w:i w:val="0"/>
          <w:iCs w:val="0"/>
          <w:u w:val="single"/>
        </w:rPr>
        <w:t xml:space="preserve">air </w:t>
      </w:r>
      <w:r w:rsidR="00D03B4D" w:rsidRPr="00B31851">
        <w:rPr>
          <w:rFonts w:cs="Arial"/>
          <w:i w:val="0"/>
          <w:iCs w:val="0"/>
          <w:u w:val="single"/>
        </w:rPr>
        <w:t>t</w:t>
      </w:r>
      <w:r w:rsidR="00BB3A94" w:rsidRPr="00B31851">
        <w:rPr>
          <w:rFonts w:cs="Arial"/>
          <w:i w:val="0"/>
          <w:iCs w:val="0"/>
          <w:u w:val="single"/>
        </w:rPr>
        <w:t>rial</w:t>
      </w:r>
      <w:r w:rsidR="00DF0344">
        <w:rPr>
          <w:rFonts w:cs="Arial"/>
          <w:i w:val="0"/>
          <w:iCs w:val="0"/>
          <w:u w:val="single"/>
        </w:rPr>
        <w:br/>
      </w:r>
      <w:r w:rsidR="00BB3A94" w:rsidRPr="00B31851">
        <w:rPr>
          <w:rFonts w:cs="Arial"/>
          <w:i w:val="0"/>
          <w:iCs w:val="0"/>
        </w:rPr>
        <w:t xml:space="preserve">The use of special measures </w:t>
      </w:r>
      <w:r w:rsidR="00E709A7" w:rsidRPr="00B31851">
        <w:rPr>
          <w:rFonts w:cs="Arial"/>
          <w:i w:val="0"/>
          <w:iCs w:val="0"/>
        </w:rPr>
        <w:t>such as closing the court</w:t>
      </w:r>
      <w:r w:rsidR="00BB3A94" w:rsidRPr="00B31851">
        <w:rPr>
          <w:rFonts w:cs="Arial"/>
          <w:i w:val="0"/>
          <w:iCs w:val="0"/>
        </w:rPr>
        <w:t xml:space="preserve"> and </w:t>
      </w:r>
      <w:r w:rsidR="00CF7019" w:rsidRPr="00B31851">
        <w:rPr>
          <w:rFonts w:cs="Arial"/>
          <w:i w:val="0"/>
          <w:iCs w:val="0"/>
        </w:rPr>
        <w:t xml:space="preserve">the provision of </w:t>
      </w:r>
      <w:r w:rsidR="00BB3A94" w:rsidRPr="00B31851">
        <w:rPr>
          <w:rFonts w:cs="Arial"/>
          <w:i w:val="0"/>
          <w:iCs w:val="0"/>
        </w:rPr>
        <w:t xml:space="preserve">support persons </w:t>
      </w:r>
      <w:r w:rsidR="00BE7C54">
        <w:rPr>
          <w:rFonts w:cs="Arial"/>
          <w:i w:val="0"/>
          <w:iCs w:val="0"/>
        </w:rPr>
        <w:t xml:space="preserve">will support the right to a fair trial by </w:t>
      </w:r>
      <w:r w:rsidR="00BB3A94" w:rsidRPr="00B31851">
        <w:rPr>
          <w:rFonts w:cs="Arial"/>
          <w:i w:val="0"/>
          <w:iCs w:val="0"/>
        </w:rPr>
        <w:t>protect</w:t>
      </w:r>
      <w:r w:rsidR="00BE7C54">
        <w:rPr>
          <w:rFonts w:cs="Arial"/>
          <w:i w:val="0"/>
          <w:iCs w:val="0"/>
        </w:rPr>
        <w:t>ing</w:t>
      </w:r>
      <w:r w:rsidR="00BB3A94" w:rsidRPr="00B31851">
        <w:rPr>
          <w:rFonts w:cs="Arial"/>
          <w:i w:val="0"/>
          <w:iCs w:val="0"/>
        </w:rPr>
        <w:t xml:space="preserve"> vulnerable witnesses and ensur</w:t>
      </w:r>
      <w:r w:rsidR="00BE7C54">
        <w:rPr>
          <w:rFonts w:cs="Arial"/>
          <w:i w:val="0"/>
          <w:iCs w:val="0"/>
        </w:rPr>
        <w:t>ing</w:t>
      </w:r>
      <w:r w:rsidR="00BB3A94" w:rsidRPr="00B31851">
        <w:rPr>
          <w:rFonts w:cs="Arial"/>
          <w:i w:val="0"/>
          <w:iCs w:val="0"/>
        </w:rPr>
        <w:t xml:space="preserve"> they can give evidence without fear or further traumatisation. </w:t>
      </w:r>
      <w:r w:rsidR="00BC126D" w:rsidRPr="00B31851">
        <w:rPr>
          <w:rFonts w:cs="Arial"/>
          <w:i w:val="0"/>
          <w:iCs w:val="0"/>
        </w:rPr>
        <w:t>Section 21</w:t>
      </w:r>
      <w:r w:rsidR="000D4528">
        <w:rPr>
          <w:rFonts w:cs="Arial"/>
          <w:i w:val="0"/>
          <w:iCs w:val="0"/>
        </w:rPr>
        <w:t xml:space="preserve"> </w:t>
      </w:r>
      <w:r w:rsidR="00BC126D" w:rsidRPr="00B31851">
        <w:rPr>
          <w:rFonts w:cs="Arial"/>
          <w:i w:val="0"/>
          <w:iCs w:val="0"/>
        </w:rPr>
        <w:t xml:space="preserve">(2) of </w:t>
      </w:r>
      <w:r w:rsidR="005748B4" w:rsidRPr="00B31851">
        <w:rPr>
          <w:rFonts w:cs="Arial"/>
          <w:i w:val="0"/>
          <w:iCs w:val="0"/>
        </w:rPr>
        <w:t>the</w:t>
      </w:r>
      <w:r w:rsidR="00BC126D" w:rsidRPr="00B31851">
        <w:rPr>
          <w:rFonts w:cs="Arial"/>
          <w:i w:val="0"/>
          <w:iCs w:val="0"/>
        </w:rPr>
        <w:t xml:space="preserve"> HR Act</w:t>
      </w:r>
      <w:r w:rsidR="005748B4" w:rsidRPr="00B31851">
        <w:rPr>
          <w:rFonts w:cs="Arial"/>
          <w:i w:val="0"/>
          <w:iCs w:val="0"/>
        </w:rPr>
        <w:t xml:space="preserve"> </w:t>
      </w:r>
      <w:r w:rsidR="00BE7C54">
        <w:rPr>
          <w:rFonts w:cs="Arial"/>
          <w:i w:val="0"/>
          <w:iCs w:val="0"/>
        </w:rPr>
        <w:t>permits the</w:t>
      </w:r>
      <w:r w:rsidR="005748B4" w:rsidRPr="00B31851">
        <w:rPr>
          <w:rFonts w:cs="Arial"/>
          <w:i w:val="0"/>
          <w:iCs w:val="0"/>
        </w:rPr>
        <w:t xml:space="preserve"> </w:t>
      </w:r>
      <w:r w:rsidR="00BE7C54">
        <w:rPr>
          <w:rFonts w:cs="Arial"/>
          <w:i w:val="0"/>
          <w:iCs w:val="0"/>
        </w:rPr>
        <w:t>exclusion of the press</w:t>
      </w:r>
      <w:r w:rsidR="00BE7C54" w:rsidRPr="00B31851">
        <w:rPr>
          <w:rFonts w:cs="Arial"/>
          <w:i w:val="0"/>
          <w:iCs w:val="0"/>
        </w:rPr>
        <w:t xml:space="preserve"> </w:t>
      </w:r>
      <w:r w:rsidR="005748B4" w:rsidRPr="00B31851">
        <w:rPr>
          <w:rFonts w:cs="Arial"/>
          <w:i w:val="0"/>
          <w:iCs w:val="0"/>
        </w:rPr>
        <w:t>and public from all or part of a trial</w:t>
      </w:r>
      <w:r w:rsidR="004C4746" w:rsidRPr="00B31851">
        <w:rPr>
          <w:rFonts w:cs="Arial"/>
          <w:i w:val="0"/>
          <w:iCs w:val="0"/>
        </w:rPr>
        <w:t>:</w:t>
      </w:r>
    </w:p>
    <w:p w14:paraId="3C066A70" w14:textId="05FCC6BD" w:rsidR="004C4746"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t</w:t>
      </w:r>
      <w:r w:rsidR="004C4746" w:rsidRPr="00B31851">
        <w:rPr>
          <w:rFonts w:cs="Arial"/>
          <w:i w:val="0"/>
          <w:iCs w:val="0"/>
        </w:rPr>
        <w:t>o protect morals</w:t>
      </w:r>
      <w:r w:rsidR="008B7059" w:rsidRPr="00B31851">
        <w:rPr>
          <w:rFonts w:cs="Arial"/>
          <w:i w:val="0"/>
          <w:iCs w:val="0"/>
        </w:rPr>
        <w:t>,</w:t>
      </w:r>
      <w:r w:rsidR="002E52AA" w:rsidRPr="00B31851">
        <w:rPr>
          <w:rFonts w:cs="Arial"/>
          <w:i w:val="0"/>
          <w:iCs w:val="0"/>
        </w:rPr>
        <w:t xml:space="preserve"> public order or national security in a democratic society</w:t>
      </w:r>
      <w:r w:rsidR="008B7059" w:rsidRPr="00B31851">
        <w:rPr>
          <w:rFonts w:cs="Arial"/>
          <w:i w:val="0"/>
          <w:iCs w:val="0"/>
        </w:rPr>
        <w:t>;</w:t>
      </w:r>
      <w:r w:rsidR="002E52AA" w:rsidRPr="00B31851">
        <w:rPr>
          <w:rFonts w:cs="Arial"/>
          <w:i w:val="0"/>
          <w:iCs w:val="0"/>
        </w:rPr>
        <w:t xml:space="preserve"> or</w:t>
      </w:r>
    </w:p>
    <w:p w14:paraId="1BB585D6" w14:textId="1ACA6A24"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 the interest of the private lives of the parties requires the exclusion</w:t>
      </w:r>
      <w:r w:rsidR="001713BD" w:rsidRPr="00B31851">
        <w:rPr>
          <w:rFonts w:cs="Arial"/>
          <w:i w:val="0"/>
          <w:iCs w:val="0"/>
        </w:rPr>
        <w:t>;</w:t>
      </w:r>
      <w:r w:rsidR="008B7059" w:rsidRPr="00B31851">
        <w:rPr>
          <w:rFonts w:cs="Arial"/>
          <w:i w:val="0"/>
          <w:iCs w:val="0"/>
        </w:rPr>
        <w:t xml:space="preserve"> or </w:t>
      </w:r>
    </w:p>
    <w:p w14:paraId="3D5AFDC4" w14:textId="192F57D1" w:rsidR="008B7059" w:rsidRPr="00B31851" w:rsidRDefault="00D2275C" w:rsidP="00511B1A">
      <w:pPr>
        <w:pStyle w:val="ListParagraph"/>
        <w:numPr>
          <w:ilvl w:val="0"/>
          <w:numId w:val="27"/>
        </w:numPr>
        <w:spacing w:after="120" w:line="240" w:lineRule="auto"/>
        <w:ind w:left="714" w:hanging="357"/>
        <w:rPr>
          <w:rFonts w:cs="Arial"/>
          <w:i w:val="0"/>
          <w:iCs w:val="0"/>
        </w:rPr>
      </w:pPr>
      <w:r w:rsidRPr="00B31851">
        <w:rPr>
          <w:rFonts w:cs="Arial"/>
          <w:i w:val="0"/>
          <w:iCs w:val="0"/>
        </w:rPr>
        <w:t>i</w:t>
      </w:r>
      <w:r w:rsidR="008B7059" w:rsidRPr="00B31851">
        <w:rPr>
          <w:rFonts w:cs="Arial"/>
          <w:i w:val="0"/>
          <w:iCs w:val="0"/>
        </w:rPr>
        <w:t>f</w:t>
      </w:r>
      <w:r w:rsidRPr="00B31851">
        <w:rPr>
          <w:rFonts w:cs="Arial"/>
          <w:i w:val="0"/>
          <w:iCs w:val="0"/>
        </w:rPr>
        <w:t>,</w:t>
      </w:r>
      <w:r w:rsidR="008B7059" w:rsidRPr="00B31851">
        <w:rPr>
          <w:rFonts w:cs="Arial"/>
          <w:i w:val="0"/>
          <w:iCs w:val="0"/>
        </w:rPr>
        <w:t xml:space="preserve"> and to the extent that</w:t>
      </w:r>
      <w:r w:rsidRPr="00B31851">
        <w:rPr>
          <w:rFonts w:cs="Arial"/>
          <w:i w:val="0"/>
          <w:iCs w:val="0"/>
        </w:rPr>
        <w:t>,</w:t>
      </w:r>
      <w:r w:rsidR="008B7059" w:rsidRPr="00B31851">
        <w:rPr>
          <w:rFonts w:cs="Arial"/>
          <w:i w:val="0"/>
          <w:iCs w:val="0"/>
        </w:rPr>
        <w:t xml:space="preserve"> the exclusion is strictly necessary</w:t>
      </w:r>
      <w:r w:rsidRPr="00B31851">
        <w:rPr>
          <w:rFonts w:cs="Arial"/>
          <w:i w:val="0"/>
          <w:iCs w:val="0"/>
        </w:rPr>
        <w:t>,</w:t>
      </w:r>
      <w:r w:rsidR="008B7059" w:rsidRPr="00B31851">
        <w:rPr>
          <w:rFonts w:cs="Arial"/>
          <w:i w:val="0"/>
          <w:iCs w:val="0"/>
        </w:rPr>
        <w:t xml:space="preserve"> in special circumstances of the case</w:t>
      </w:r>
      <w:r w:rsidRPr="00B31851">
        <w:rPr>
          <w:rFonts w:cs="Arial"/>
          <w:i w:val="0"/>
          <w:iCs w:val="0"/>
        </w:rPr>
        <w:t>,</w:t>
      </w:r>
      <w:r w:rsidR="008B7059" w:rsidRPr="00B31851">
        <w:rPr>
          <w:rFonts w:cs="Arial"/>
          <w:i w:val="0"/>
          <w:iCs w:val="0"/>
        </w:rPr>
        <w:t xml:space="preserve"> because the publicity would otherwise prejudice the interest of justice.</w:t>
      </w:r>
    </w:p>
    <w:p w14:paraId="34FE5197" w14:textId="6936FBB2" w:rsidR="00695104" w:rsidRPr="00F77209" w:rsidRDefault="0074439B" w:rsidP="00F77209">
      <w:pPr>
        <w:rPr>
          <w:rFonts w:cs="Arial"/>
          <w:i w:val="0"/>
          <w:iCs w:val="0"/>
          <w:u w:val="single"/>
        </w:rPr>
      </w:pPr>
      <w:r w:rsidRPr="00B31851">
        <w:rPr>
          <w:rFonts w:cs="Arial"/>
          <w:i w:val="0"/>
          <w:iCs w:val="0"/>
          <w:u w:val="single"/>
        </w:rPr>
        <w:t xml:space="preserve">WC Act amendments – </w:t>
      </w:r>
      <w:r w:rsidR="00367C33" w:rsidRPr="00B31851">
        <w:rPr>
          <w:rFonts w:cs="Arial"/>
          <w:i w:val="0"/>
          <w:iCs w:val="0"/>
          <w:u w:val="single"/>
        </w:rPr>
        <w:t>Right to work</w:t>
      </w:r>
      <w:r w:rsidR="001778B1" w:rsidRPr="00B31851">
        <w:rPr>
          <w:rFonts w:cs="Arial"/>
          <w:i w:val="0"/>
          <w:iCs w:val="0"/>
          <w:u w:val="single"/>
        </w:rPr>
        <w:t xml:space="preserve"> and other work-related rights</w:t>
      </w:r>
      <w:r w:rsidR="00F77209">
        <w:rPr>
          <w:rFonts w:cs="Arial"/>
          <w:i w:val="0"/>
          <w:iCs w:val="0"/>
          <w:u w:val="single"/>
        </w:rPr>
        <w:br/>
      </w:r>
      <w:r w:rsidR="0092597B" w:rsidRPr="00B31851">
        <w:rPr>
          <w:rFonts w:cs="Arial"/>
          <w:i w:val="0"/>
          <w:iCs w:val="0"/>
        </w:rPr>
        <w:t xml:space="preserve">The amendments to the Default </w:t>
      </w:r>
      <w:r w:rsidR="00A3283B" w:rsidRPr="00B31851">
        <w:rPr>
          <w:rFonts w:cs="Arial"/>
          <w:i w:val="0"/>
          <w:iCs w:val="0"/>
        </w:rPr>
        <w:t>Insurance Fund promot</w:t>
      </w:r>
      <w:r w:rsidR="00F77209">
        <w:rPr>
          <w:rFonts w:cs="Arial"/>
          <w:i w:val="0"/>
          <w:iCs w:val="0"/>
        </w:rPr>
        <w:t>es th</w:t>
      </w:r>
      <w:r w:rsidR="000671F4">
        <w:rPr>
          <w:rFonts w:cs="Arial"/>
          <w:i w:val="0"/>
          <w:iCs w:val="0"/>
        </w:rPr>
        <w:t>is</w:t>
      </w:r>
      <w:r w:rsidR="00F77209">
        <w:rPr>
          <w:rFonts w:cs="Arial"/>
          <w:i w:val="0"/>
          <w:iCs w:val="0"/>
        </w:rPr>
        <w:t xml:space="preserve"> right</w:t>
      </w:r>
      <w:r w:rsidR="00A3283B" w:rsidRPr="00B31851">
        <w:rPr>
          <w:rFonts w:cs="Arial"/>
          <w:i w:val="0"/>
          <w:iCs w:val="0"/>
        </w:rPr>
        <w:t xml:space="preserve"> by ensuring that determined individuals or classes of employers/employees</w:t>
      </w:r>
      <w:r w:rsidR="00944A62" w:rsidRPr="00B31851">
        <w:rPr>
          <w:rFonts w:cs="Arial"/>
          <w:i w:val="0"/>
          <w:iCs w:val="0"/>
        </w:rPr>
        <w:t xml:space="preserve"> will be covered for workers compensation cla</w:t>
      </w:r>
      <w:r w:rsidR="00F12985" w:rsidRPr="00B31851">
        <w:rPr>
          <w:rFonts w:cs="Arial"/>
          <w:i w:val="0"/>
          <w:iCs w:val="0"/>
        </w:rPr>
        <w:t xml:space="preserve">ims to be administered and paid using the claim management, funding and financial </w:t>
      </w:r>
      <w:r w:rsidR="00F76BFC" w:rsidRPr="00B31851">
        <w:rPr>
          <w:rFonts w:cs="Arial"/>
          <w:i w:val="0"/>
          <w:iCs w:val="0"/>
        </w:rPr>
        <w:t xml:space="preserve">infrastructure established for the Default Insurance Fund. </w:t>
      </w:r>
      <w:r w:rsidR="0098781A" w:rsidRPr="00B31851">
        <w:rPr>
          <w:rFonts w:cs="Arial"/>
          <w:i w:val="0"/>
          <w:iCs w:val="0"/>
        </w:rPr>
        <w:t xml:space="preserve">Meaning, under this arrangement, a worker will retain their rights in respect of workers’ compensation. </w:t>
      </w:r>
    </w:p>
    <w:p w14:paraId="68CAFFA6" w14:textId="77777777" w:rsidR="002A77E3" w:rsidRDefault="002A77E3" w:rsidP="00B65AE8">
      <w:pPr>
        <w:spacing w:after="0"/>
        <w:rPr>
          <w:rFonts w:cs="Arial"/>
          <w:b/>
          <w:i w:val="0"/>
          <w:iCs w:val="0"/>
        </w:rPr>
      </w:pPr>
    </w:p>
    <w:p w14:paraId="54FE1438" w14:textId="6B3A60C9" w:rsidR="00E90DF9" w:rsidRPr="00B31851" w:rsidRDefault="00E90DF9" w:rsidP="00B65AE8">
      <w:pPr>
        <w:spacing w:after="0"/>
        <w:rPr>
          <w:rFonts w:cs="Arial"/>
          <w:b/>
          <w:i w:val="0"/>
          <w:iCs w:val="0"/>
        </w:rPr>
      </w:pPr>
      <w:r w:rsidRPr="00B31851">
        <w:rPr>
          <w:rFonts w:cs="Arial"/>
          <w:b/>
          <w:i w:val="0"/>
          <w:iCs w:val="0"/>
        </w:rPr>
        <w:t>Rights Limited</w:t>
      </w:r>
    </w:p>
    <w:p w14:paraId="5BA38083" w14:textId="77777777" w:rsidR="004F2044" w:rsidRDefault="00777EC3" w:rsidP="004F2044">
      <w:pPr>
        <w:rPr>
          <w:rFonts w:cs="Arial"/>
          <w:i w:val="0"/>
          <w:iCs w:val="0"/>
          <w:u w:val="single"/>
        </w:rPr>
      </w:pPr>
      <w:bookmarkStart w:id="0" w:name="OLE_LINK1"/>
      <w:r>
        <w:rPr>
          <w:rFonts w:cs="Arial"/>
          <w:i w:val="0"/>
          <w:iCs w:val="0"/>
        </w:rPr>
        <w:t>This Bill engages and limits a range of human rights</w:t>
      </w:r>
      <w:r w:rsidR="00896A46">
        <w:rPr>
          <w:rFonts w:cs="Arial"/>
          <w:i w:val="0"/>
          <w:iCs w:val="0"/>
        </w:rPr>
        <w:t xml:space="preserve">. Each right that is limited is </w:t>
      </w:r>
      <w:r w:rsidR="002A1F09">
        <w:rPr>
          <w:rFonts w:cs="Arial"/>
          <w:i w:val="0"/>
          <w:iCs w:val="0"/>
        </w:rPr>
        <w:t xml:space="preserve">assessed below to ensure </w:t>
      </w:r>
      <w:r w:rsidR="00736529">
        <w:rPr>
          <w:rFonts w:cs="Arial"/>
          <w:i w:val="0"/>
          <w:iCs w:val="0"/>
        </w:rPr>
        <w:t>that it is based on evidence</w:t>
      </w:r>
      <w:r w:rsidR="006E0F9B">
        <w:rPr>
          <w:rFonts w:cs="Arial"/>
          <w:i w:val="0"/>
          <w:iCs w:val="0"/>
        </w:rPr>
        <w:t xml:space="preserve"> and is </w:t>
      </w:r>
      <w:r w:rsidR="00A45248">
        <w:rPr>
          <w:rFonts w:cs="Arial"/>
          <w:i w:val="0"/>
          <w:iCs w:val="0"/>
        </w:rPr>
        <w:t>reasonably proportionate to achieve a legitimate purpose.</w:t>
      </w:r>
    </w:p>
    <w:p w14:paraId="54ACD89C" w14:textId="5246A017" w:rsidR="49BA8111" w:rsidRPr="00B31851" w:rsidRDefault="006C5592" w:rsidP="004F2044">
      <w:pPr>
        <w:rPr>
          <w:rFonts w:cs="Arial"/>
          <w:i w:val="0"/>
          <w:iCs w:val="0"/>
          <w:u w:val="single"/>
        </w:rPr>
      </w:pPr>
      <w:r w:rsidRPr="00B31851">
        <w:rPr>
          <w:rFonts w:cs="Arial"/>
          <w:i w:val="0"/>
          <w:iCs w:val="0"/>
          <w:u w:val="single"/>
        </w:rPr>
        <w:br/>
      </w:r>
      <w:r w:rsidR="00EF1281" w:rsidRPr="00B31851">
        <w:rPr>
          <w:rFonts w:cs="Arial"/>
          <w:i w:val="0"/>
          <w:iCs w:val="0"/>
          <w:u w:val="single"/>
        </w:rPr>
        <w:t xml:space="preserve">EMP Act </w:t>
      </w:r>
      <w:r w:rsidR="004F2044">
        <w:rPr>
          <w:rFonts w:cs="Arial"/>
          <w:i w:val="0"/>
          <w:iCs w:val="0"/>
          <w:u w:val="single"/>
        </w:rPr>
        <w:t xml:space="preserve">- </w:t>
      </w:r>
      <w:r w:rsidR="000671F4">
        <w:rPr>
          <w:rFonts w:cs="Arial"/>
          <w:i w:val="0"/>
          <w:iCs w:val="0"/>
          <w:u w:val="single"/>
        </w:rPr>
        <w:t>R</w:t>
      </w:r>
      <w:r w:rsidR="00F74A4E" w:rsidRPr="00B31851">
        <w:rPr>
          <w:rFonts w:cs="Arial"/>
          <w:i w:val="0"/>
          <w:iCs w:val="0"/>
          <w:u w:val="single"/>
        </w:rPr>
        <w:t>ights in criminal proceedings</w:t>
      </w:r>
    </w:p>
    <w:p w14:paraId="159DEEFE" w14:textId="136D87CC" w:rsidR="00A479F3" w:rsidRPr="004F2044" w:rsidRDefault="00E2578B" w:rsidP="009E0DBA">
      <w:pPr>
        <w:pStyle w:val="ListParagraph"/>
        <w:numPr>
          <w:ilvl w:val="3"/>
          <w:numId w:val="12"/>
        </w:numPr>
        <w:ind w:left="0" w:firstLine="426"/>
        <w:rPr>
          <w:rFonts w:cs="Arial"/>
          <w:b/>
          <w:i w:val="0"/>
        </w:rPr>
      </w:pPr>
      <w:r w:rsidRPr="00A50DB6">
        <w:rPr>
          <w:rFonts w:cs="Arial"/>
          <w:b/>
        </w:rPr>
        <w:t>Nature of the right and the limitation (s28</w:t>
      </w:r>
      <w:r w:rsidR="00F605D7">
        <w:rPr>
          <w:rFonts w:cs="Arial"/>
          <w:b/>
        </w:rPr>
        <w:t>(2)</w:t>
      </w:r>
      <w:r w:rsidRPr="00A50DB6">
        <w:rPr>
          <w:rFonts w:cs="Arial"/>
          <w:b/>
        </w:rPr>
        <w:t>(a) and (c))</w:t>
      </w:r>
      <w:r w:rsidR="006636C6" w:rsidRPr="00A50DB6">
        <w:rPr>
          <w:rFonts w:cs="Arial"/>
          <w:i w:val="0"/>
          <w:iCs w:val="0"/>
        </w:rPr>
        <w:t>.</w:t>
      </w:r>
      <w:r w:rsidR="009F01D3">
        <w:rPr>
          <w:rFonts w:cs="Arial"/>
          <w:i w:val="0"/>
          <w:iCs w:val="0"/>
        </w:rPr>
        <w:t xml:space="preserve"> </w:t>
      </w:r>
    </w:p>
    <w:p w14:paraId="5E07236A" w14:textId="77777777" w:rsidR="008F7884" w:rsidRDefault="004F2044" w:rsidP="00FD11C3">
      <w:pPr>
        <w:rPr>
          <w:rFonts w:cs="Arial"/>
          <w:i w:val="0"/>
          <w:iCs w:val="0"/>
          <w:shd w:val="clear" w:color="auto" w:fill="FAFAFA"/>
        </w:rPr>
      </w:pPr>
      <w:r w:rsidRPr="00CD2219">
        <w:rPr>
          <w:rFonts w:cs="Arial"/>
          <w:i w:val="0"/>
          <w:iCs w:val="0"/>
          <w:shd w:val="clear" w:color="auto" w:fill="FAFAFA"/>
        </w:rPr>
        <w:t xml:space="preserve">This amendment expands the meaning of </w:t>
      </w:r>
      <w:r w:rsidRPr="005C7E1F">
        <w:rPr>
          <w:rFonts w:cs="Arial"/>
          <w:i w:val="0"/>
          <w:iCs w:val="0"/>
          <w:shd w:val="clear" w:color="auto" w:fill="FAFAFA"/>
        </w:rPr>
        <w:t xml:space="preserve">“sexual offence proceeding” </w:t>
      </w:r>
      <w:r w:rsidRPr="00CD2219">
        <w:rPr>
          <w:rFonts w:cs="Arial"/>
          <w:i w:val="0"/>
          <w:iCs w:val="0"/>
          <w:shd w:val="clear" w:color="auto" w:fill="FAFAFA"/>
        </w:rPr>
        <w:t>to include offences under the WHS Act that involve sexual assault incidents or any other act of a sexually offensive, intimidating or humiliating nature</w:t>
      </w:r>
      <w:r>
        <w:rPr>
          <w:rFonts w:cs="Arial"/>
          <w:i w:val="0"/>
          <w:iCs w:val="0"/>
          <w:shd w:val="clear" w:color="auto" w:fill="FAFAFA"/>
        </w:rPr>
        <w:t xml:space="preserve">. </w:t>
      </w:r>
    </w:p>
    <w:p w14:paraId="5FAF2C81" w14:textId="2266D507" w:rsidR="00FD11C3" w:rsidRPr="004F2044" w:rsidRDefault="004F2044" w:rsidP="00FD11C3">
      <w:pPr>
        <w:rPr>
          <w:rFonts w:cs="Arial"/>
          <w:i w:val="0"/>
          <w:iCs w:val="0"/>
          <w:shd w:val="clear" w:color="auto" w:fill="FAFAFA"/>
        </w:rPr>
      </w:pPr>
      <w:r w:rsidRPr="00AB3DFA">
        <w:rPr>
          <w:rFonts w:cs="Arial"/>
          <w:i w:val="0"/>
          <w:iCs w:val="0"/>
        </w:rPr>
        <w:t>Th</w:t>
      </w:r>
      <w:r>
        <w:rPr>
          <w:rFonts w:cs="Arial"/>
          <w:i w:val="0"/>
          <w:iCs w:val="0"/>
        </w:rPr>
        <w:t>is means that the</w:t>
      </w:r>
      <w:r w:rsidRPr="00AB3DFA">
        <w:rPr>
          <w:rFonts w:cs="Arial"/>
          <w:i w:val="0"/>
          <w:iCs w:val="0"/>
        </w:rPr>
        <w:t xml:space="preserve"> rights of </w:t>
      </w:r>
      <w:r>
        <w:rPr>
          <w:rFonts w:cs="Arial"/>
          <w:i w:val="0"/>
          <w:iCs w:val="0"/>
        </w:rPr>
        <w:t>an</w:t>
      </w:r>
      <w:r w:rsidRPr="00AB3DFA">
        <w:rPr>
          <w:rFonts w:cs="Arial"/>
          <w:i w:val="0"/>
          <w:iCs w:val="0"/>
        </w:rPr>
        <w:t xml:space="preserve"> accused in WHS proceedings involving alleged sexual misconduct</w:t>
      </w:r>
      <w:r>
        <w:rPr>
          <w:rFonts w:cs="Arial"/>
          <w:i w:val="0"/>
          <w:iCs w:val="0"/>
        </w:rPr>
        <w:t xml:space="preserve"> may be limited,</w:t>
      </w:r>
      <w:r w:rsidRPr="00AB3DFA">
        <w:rPr>
          <w:rFonts w:cs="Arial"/>
          <w:i w:val="0"/>
          <w:iCs w:val="0"/>
        </w:rPr>
        <w:t xml:space="preserve"> particularly the </w:t>
      </w:r>
      <w:r>
        <w:rPr>
          <w:rFonts w:cs="Arial"/>
          <w:i w:val="0"/>
          <w:iCs w:val="0"/>
        </w:rPr>
        <w:t>rights in criminal proceedings</w:t>
      </w:r>
      <w:r w:rsidRPr="00AB3DFA">
        <w:rPr>
          <w:rFonts w:cs="Arial"/>
          <w:i w:val="0"/>
          <w:iCs w:val="0"/>
        </w:rPr>
        <w:t>. These include restrictions on direct cross-examination by self-represented accused persons and limitations on the admissibility of certain types of evidence, such as sexual reputation or counselling communications.</w:t>
      </w:r>
      <w:r>
        <w:rPr>
          <w:rFonts w:cs="Arial"/>
          <w:i w:val="0"/>
          <w:iCs w:val="0"/>
        </w:rPr>
        <w:t xml:space="preserve"> </w:t>
      </w:r>
    </w:p>
    <w:p w14:paraId="3C29BA9F" w14:textId="7CFFBE10" w:rsidR="004F2044" w:rsidRPr="004F2044" w:rsidRDefault="00BB3E5A" w:rsidP="004F2044">
      <w:pPr>
        <w:pStyle w:val="ListParagraph"/>
        <w:numPr>
          <w:ilvl w:val="3"/>
          <w:numId w:val="12"/>
        </w:numPr>
        <w:ind w:left="0" w:firstLine="426"/>
        <w:rPr>
          <w:rFonts w:cs="Arial"/>
          <w:i w:val="0"/>
        </w:rPr>
      </w:pPr>
      <w:r w:rsidRPr="00F5157D">
        <w:rPr>
          <w:rFonts w:cs="Arial"/>
          <w:b/>
        </w:rPr>
        <w:t>Legitimate purpose (s28</w:t>
      </w:r>
      <w:r w:rsidR="00F605D7">
        <w:rPr>
          <w:rFonts w:cs="Arial"/>
          <w:b/>
        </w:rPr>
        <w:t>(2)</w:t>
      </w:r>
      <w:r w:rsidRPr="00F5157D">
        <w:rPr>
          <w:rFonts w:cs="Arial"/>
          <w:b/>
        </w:rPr>
        <w:t>(b))</w:t>
      </w:r>
      <w:r w:rsidR="001C0444">
        <w:rPr>
          <w:b/>
          <w:i w:val="0"/>
          <w:iCs w:val="0"/>
        </w:rPr>
        <w:br/>
      </w:r>
      <w:r w:rsidR="004F2044" w:rsidRPr="004F2044">
        <w:rPr>
          <w:rFonts w:eastAsiaTheme="minorEastAsia" w:cs="Arial"/>
          <w:i w:val="0"/>
          <w:iCs w:val="0"/>
        </w:rPr>
        <w:t>Extending</w:t>
      </w:r>
      <w:r w:rsidR="004F2044" w:rsidRPr="004F2044">
        <w:rPr>
          <w:rFonts w:eastAsiaTheme="minorEastAsia" w:cs="Arial"/>
          <w:i w:val="0"/>
        </w:rPr>
        <w:t xml:space="preserve"> special protections to complainants in WHS proceedings involving sexual misconduct</w:t>
      </w:r>
      <w:r w:rsidR="004F2044" w:rsidRPr="004F2044">
        <w:rPr>
          <w:rFonts w:eastAsiaTheme="minorEastAsia" w:cs="Arial"/>
          <w:i w:val="0"/>
          <w:iCs w:val="0"/>
        </w:rPr>
        <w:t xml:space="preserve">, </w:t>
      </w:r>
      <w:r w:rsidR="004F2044" w:rsidRPr="004F2044">
        <w:rPr>
          <w:rFonts w:eastAsiaTheme="minorEastAsia" w:cs="Arial"/>
          <w:i w:val="0"/>
        </w:rPr>
        <w:t>such as shielding witnesses from direct cross-examination or limiting the admissibility of certain evidence, will protect vulnerable witnesses from further trauma and ensure their meaningful participation in legal proceedings. These protections aim to uphold other human rights, such as the right to life and recognition and equality before the law.</w:t>
      </w:r>
    </w:p>
    <w:p w14:paraId="27E92A53" w14:textId="7A7874E2" w:rsidR="004F2044" w:rsidRDefault="004F2044" w:rsidP="004F2044">
      <w:pPr>
        <w:rPr>
          <w:rFonts w:cs="Arial"/>
          <w:i w:val="0"/>
          <w:iCs w:val="0"/>
        </w:rPr>
      </w:pPr>
      <w:r w:rsidRPr="00AB3DFA">
        <w:rPr>
          <w:rFonts w:cs="Arial"/>
          <w:i w:val="0"/>
          <w:iCs w:val="0"/>
        </w:rPr>
        <w:t xml:space="preserve">The </w:t>
      </w:r>
      <w:r>
        <w:rPr>
          <w:rFonts w:cs="Arial"/>
          <w:i w:val="0"/>
          <w:iCs w:val="0"/>
        </w:rPr>
        <w:t>intention</w:t>
      </w:r>
      <w:r w:rsidRPr="00AB3DFA">
        <w:rPr>
          <w:rFonts w:cs="Arial"/>
          <w:i w:val="0"/>
          <w:iCs w:val="0"/>
        </w:rPr>
        <w:t xml:space="preserve"> of the limitation is to protect vulnerable complainants </w:t>
      </w:r>
      <w:r>
        <w:rPr>
          <w:rFonts w:cs="Arial"/>
          <w:i w:val="0"/>
          <w:iCs w:val="0"/>
        </w:rPr>
        <w:t xml:space="preserve">specifically </w:t>
      </w:r>
      <w:r w:rsidRPr="00AB3DFA">
        <w:rPr>
          <w:rFonts w:cs="Arial"/>
          <w:i w:val="0"/>
          <w:iCs w:val="0"/>
        </w:rPr>
        <w:t xml:space="preserve">from re-traumatisation and intimidation, and to ensure their meaningful participation in legal proceedings. This is a pressing and substantial objective, particularly in the </w:t>
      </w:r>
      <w:r w:rsidRPr="00AB3DFA">
        <w:rPr>
          <w:rFonts w:cs="Arial"/>
          <w:i w:val="0"/>
          <w:iCs w:val="0"/>
        </w:rPr>
        <w:lastRenderedPageBreak/>
        <w:t xml:space="preserve">context of sexual misconduct allegations in the workplace, where power imbalances and fear of reprisal may deter reporting. </w:t>
      </w:r>
    </w:p>
    <w:p w14:paraId="37096D59" w14:textId="77777777" w:rsidR="004F2044" w:rsidRDefault="004F2044" w:rsidP="004F2044">
      <w:pPr>
        <w:rPr>
          <w:rFonts w:cs="Arial"/>
          <w:i w:val="0"/>
          <w:iCs w:val="0"/>
        </w:rPr>
      </w:pPr>
      <w:r>
        <w:rPr>
          <w:rFonts w:cs="Arial"/>
          <w:i w:val="0"/>
          <w:iCs w:val="0"/>
        </w:rPr>
        <w:t>The need for such changes has arisen from observations by the regulator that people are less likely to make a complaint if they are not guaranteed special protections such as anonymity during court proceedings. This reform was also pursued through a Private Member’s Bill in 2024</w:t>
      </w:r>
      <w:r>
        <w:rPr>
          <w:rStyle w:val="FootnoteReference"/>
          <w:i w:val="0"/>
          <w:iCs w:val="0"/>
        </w:rPr>
        <w:footnoteReference w:id="3"/>
      </w:r>
      <w:r>
        <w:rPr>
          <w:rFonts w:cs="Arial"/>
          <w:i w:val="0"/>
          <w:iCs w:val="0"/>
        </w:rPr>
        <w:t xml:space="preserve"> but lapsed due to caretaker conventions. The policy is also made in the backdrop of recommendations made through the Respect@Work: National Inquiry into Sexual Harassment in Australian Workplaces 2020</w:t>
      </w:r>
      <w:r>
        <w:rPr>
          <w:rFonts w:cs="Arial"/>
          <w:i w:val="0"/>
        </w:rPr>
        <w:t xml:space="preserve"> </w:t>
      </w:r>
      <w:r>
        <w:rPr>
          <w:rFonts w:cs="Arial"/>
          <w:i w:val="0"/>
          <w:iCs w:val="0"/>
        </w:rPr>
        <w:t>inquiry</w:t>
      </w:r>
      <w:r>
        <w:rPr>
          <w:rStyle w:val="FootnoteReference"/>
          <w:i w:val="0"/>
          <w:iCs w:val="0"/>
        </w:rPr>
        <w:footnoteReference w:id="4"/>
      </w:r>
      <w:r>
        <w:rPr>
          <w:rFonts w:cs="Arial"/>
          <w:i w:val="0"/>
        </w:rPr>
        <w:t>.</w:t>
      </w:r>
      <w:r>
        <w:rPr>
          <w:rFonts w:cs="Arial"/>
          <w:i w:val="0"/>
          <w:iCs w:val="0"/>
        </w:rPr>
        <w:t xml:space="preserve"> In particular, recommendation 39 seeks to provide better protection of victims of sexual harassment who are witnesses in civil proceedings. </w:t>
      </w:r>
    </w:p>
    <w:p w14:paraId="7FB4B5D6" w14:textId="77777777" w:rsidR="004F2044" w:rsidRPr="00B31851" w:rsidRDefault="004F2044" w:rsidP="004F2044">
      <w:pPr>
        <w:rPr>
          <w:rFonts w:cs="Arial"/>
          <w:i w:val="0"/>
          <w:iCs w:val="0"/>
        </w:rPr>
      </w:pPr>
      <w:r w:rsidRPr="00AB3DFA">
        <w:rPr>
          <w:rFonts w:cs="Arial"/>
          <w:i w:val="0"/>
          <w:iCs w:val="0"/>
        </w:rPr>
        <w:t xml:space="preserve">The protections also support broader public interests in promoting workplace safety, accountability, and access to justice. </w:t>
      </w:r>
      <w:r w:rsidRPr="00B31851">
        <w:rPr>
          <w:rFonts w:cs="Arial"/>
          <w:i w:val="0"/>
          <w:iCs w:val="0"/>
        </w:rPr>
        <w:t xml:space="preserve"> The amendment introduces targeted measures to support complainants, including:</w:t>
      </w:r>
    </w:p>
    <w:p w14:paraId="52B0D005" w14:textId="77777777" w:rsidR="004F2044" w:rsidRPr="00B31851" w:rsidRDefault="004F2044" w:rsidP="004F2044">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642944A1" w14:textId="77777777" w:rsidR="004F2044" w:rsidRPr="00B31851" w:rsidRDefault="004F2044" w:rsidP="004F2044">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1E3AB526" w14:textId="77777777" w:rsidR="004F2044" w:rsidRPr="00B31851" w:rsidRDefault="004F2044" w:rsidP="004F2044">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4D44326B" w14:textId="77777777" w:rsidR="004F2044" w:rsidRPr="00B31851" w:rsidRDefault="004F2044" w:rsidP="004F2044">
      <w:pPr>
        <w:numPr>
          <w:ilvl w:val="0"/>
          <w:numId w:val="30"/>
        </w:numPr>
        <w:ind w:left="714" w:hanging="357"/>
        <w:rPr>
          <w:rFonts w:cs="Arial"/>
          <w:i w:val="0"/>
          <w:iCs w:val="0"/>
        </w:rPr>
      </w:pPr>
      <w:r>
        <w:rPr>
          <w:rFonts w:cs="Arial"/>
          <w:i w:val="0"/>
          <w:iCs w:val="0"/>
        </w:rPr>
        <w:t>e</w:t>
      </w:r>
      <w:r w:rsidRPr="00B31851">
        <w:rPr>
          <w:rFonts w:cs="Arial"/>
          <w:i w:val="0"/>
          <w:iCs w:val="0"/>
        </w:rPr>
        <w:t>nabling closed court hearings and pre-trial evidence</w:t>
      </w:r>
    </w:p>
    <w:p w14:paraId="4C4F14E0" w14:textId="77777777" w:rsidR="004F2044" w:rsidRPr="00B31851" w:rsidRDefault="004F2044" w:rsidP="004F2044">
      <w:pPr>
        <w:numPr>
          <w:ilvl w:val="0"/>
          <w:numId w:val="30"/>
        </w:numPr>
        <w:ind w:left="714" w:hanging="357"/>
        <w:rPr>
          <w:rFonts w:cs="Arial"/>
          <w:i w:val="0"/>
          <w:iCs w:val="0"/>
        </w:rPr>
      </w:pPr>
      <w:r>
        <w:rPr>
          <w:rFonts w:cs="Arial"/>
          <w:i w:val="0"/>
          <w:iCs w:val="0"/>
        </w:rPr>
        <w:t>p</w:t>
      </w:r>
      <w:r w:rsidRPr="00B31851">
        <w:rPr>
          <w:rFonts w:cs="Arial"/>
          <w:i w:val="0"/>
          <w:iCs w:val="0"/>
        </w:rPr>
        <w:t>ermitting audiovisual testimony</w:t>
      </w:r>
    </w:p>
    <w:p w14:paraId="10E0C5B2" w14:textId="77777777" w:rsidR="004F2044" w:rsidRPr="00B31851" w:rsidRDefault="004F2044" w:rsidP="004F2044">
      <w:pPr>
        <w:numPr>
          <w:ilvl w:val="0"/>
          <w:numId w:val="30"/>
        </w:numPr>
        <w:ind w:left="714" w:hanging="357"/>
        <w:rPr>
          <w:rFonts w:cs="Arial"/>
          <w:i w:val="0"/>
          <w:iCs w:val="0"/>
        </w:rPr>
      </w:pPr>
      <w:r>
        <w:rPr>
          <w:rFonts w:cs="Arial"/>
          <w:i w:val="0"/>
          <w:iCs w:val="0"/>
        </w:rPr>
        <w:t>p</w:t>
      </w:r>
      <w:r w:rsidRPr="00B31851">
        <w:rPr>
          <w:rFonts w:cs="Arial"/>
          <w:i w:val="0"/>
          <w:iCs w:val="0"/>
        </w:rPr>
        <w:t>rohibiting publication of the complainant’s identity</w:t>
      </w:r>
    </w:p>
    <w:p w14:paraId="1A0CFBDB" w14:textId="77777777" w:rsidR="004F2044" w:rsidRPr="00B31851" w:rsidRDefault="004F2044" w:rsidP="004F2044">
      <w:pPr>
        <w:numPr>
          <w:ilvl w:val="0"/>
          <w:numId w:val="30"/>
        </w:numPr>
        <w:ind w:left="714" w:hanging="357"/>
        <w:rPr>
          <w:rFonts w:cs="Arial"/>
          <w:i w:val="0"/>
          <w:iCs w:val="0"/>
        </w:rPr>
      </w:pPr>
      <w:r>
        <w:rPr>
          <w:rFonts w:cs="Arial"/>
          <w:i w:val="0"/>
          <w:iCs w:val="0"/>
        </w:rPr>
        <w:t>r</w:t>
      </w:r>
      <w:r w:rsidRPr="00B31851">
        <w:rPr>
          <w:rFonts w:cs="Arial"/>
          <w:i w:val="0"/>
          <w:iCs w:val="0"/>
        </w:rPr>
        <w:t>ecognising family violence as relevant evidence</w:t>
      </w:r>
      <w:r>
        <w:rPr>
          <w:rFonts w:cs="Arial"/>
          <w:i w:val="0"/>
          <w:iCs w:val="0"/>
        </w:rPr>
        <w:t>, and</w:t>
      </w:r>
    </w:p>
    <w:p w14:paraId="7F26D141" w14:textId="77777777" w:rsidR="004F2044" w:rsidRPr="00B31851" w:rsidRDefault="004F2044" w:rsidP="004F2044">
      <w:pPr>
        <w:numPr>
          <w:ilvl w:val="0"/>
          <w:numId w:val="30"/>
        </w:numPr>
        <w:ind w:left="714" w:hanging="357"/>
        <w:rPr>
          <w:rFonts w:cs="Arial"/>
          <w:i w:val="0"/>
          <w:iCs w:val="0"/>
        </w:rPr>
      </w:pPr>
      <w:r>
        <w:rPr>
          <w:rFonts w:cs="Arial"/>
          <w:i w:val="0"/>
          <w:iCs w:val="0"/>
        </w:rPr>
        <w:t>e</w:t>
      </w:r>
      <w:r w:rsidRPr="00B31851">
        <w:rPr>
          <w:rFonts w:cs="Arial"/>
          <w:i w:val="0"/>
          <w:iCs w:val="0"/>
        </w:rPr>
        <w:t>xcluding sexual reputation evidence</w:t>
      </w:r>
      <w:r>
        <w:rPr>
          <w:rFonts w:cs="Arial"/>
          <w:i w:val="0"/>
          <w:iCs w:val="0"/>
        </w:rPr>
        <w:t>.</w:t>
      </w:r>
    </w:p>
    <w:p w14:paraId="3703709B" w14:textId="780502F3" w:rsidR="00A542FF" w:rsidRPr="00B31851" w:rsidRDefault="004F2044" w:rsidP="004F2044">
      <w:pPr>
        <w:rPr>
          <w:rFonts w:cs="Arial"/>
          <w:b/>
          <w:i w:val="0"/>
          <w:iCs w:val="0"/>
        </w:rPr>
      </w:pPr>
      <w:r w:rsidRPr="00B31851">
        <w:rPr>
          <w:rFonts w:cs="Arial"/>
          <w:i w:val="0"/>
          <w:iCs w:val="0"/>
        </w:rPr>
        <w:t>These measures are designed to reduce re-traumatisation, intimidation, and disengagement, while enhancing access to justice and the quality of evidence. By modifying traditional courtroom procedures, the amendment promotes fairness and encourages reporting of misconduct, supporting the broader public interest in workplace safety and accountability.</w:t>
      </w:r>
    </w:p>
    <w:p w14:paraId="2C82A847" w14:textId="2ED60BC8" w:rsidR="006C7307" w:rsidRPr="003B657D" w:rsidRDefault="00BB3E5A" w:rsidP="00E04A2F">
      <w:pPr>
        <w:pStyle w:val="ListParagraph"/>
        <w:numPr>
          <w:ilvl w:val="4"/>
          <w:numId w:val="21"/>
        </w:numPr>
        <w:ind w:left="851" w:hanging="425"/>
        <w:rPr>
          <w:rFonts w:cs="Arial"/>
          <w:b/>
        </w:rPr>
      </w:pPr>
      <w:r w:rsidRPr="00614581">
        <w:rPr>
          <w:rFonts w:cs="Arial"/>
          <w:b/>
        </w:rPr>
        <w:t>Rational connection between the limitation and the purpose (s28</w:t>
      </w:r>
      <w:r w:rsidR="00646188">
        <w:rPr>
          <w:rFonts w:cs="Arial"/>
          <w:b/>
        </w:rPr>
        <w:t>(2)</w:t>
      </w:r>
      <w:r w:rsidRPr="00614581">
        <w:rPr>
          <w:rFonts w:cs="Arial"/>
          <w:b/>
        </w:rPr>
        <w:t>(d))</w:t>
      </w:r>
    </w:p>
    <w:p w14:paraId="27B25233" w14:textId="77777777" w:rsidR="004F2044" w:rsidRPr="004F2044" w:rsidRDefault="004F2044" w:rsidP="004F2044">
      <w:pPr>
        <w:rPr>
          <w:rFonts w:cs="Arial"/>
          <w:i w:val="0"/>
          <w:iCs w:val="0"/>
        </w:rPr>
      </w:pPr>
      <w:r w:rsidRPr="004F2044">
        <w:rPr>
          <w:rFonts w:cs="Arial"/>
          <w:i w:val="0"/>
          <w:iCs w:val="0"/>
        </w:rPr>
        <w:t xml:space="preserve">The amendment introduces special protections for complainants in WHS proceedings involving alleged sexual misconduct, such as shielding them from direct cross-examination or limiting the admissibility of certain evidence. These measures mirror safeguards already available in criminal sexual offence matters, ensuring consistency and fairness across legal contexts. While these protections may limit certain rights of the accused, particularly those typically afforded in criminal proceedings, they are rationally connected to the objective of protecting vulnerable witnesses from trauma and enabling their meaningful participation in legal processes. Stakeholder feedback has revealed that victims are less likely to make a complaint if they cannot be guaranteed anonymity. </w:t>
      </w:r>
    </w:p>
    <w:p w14:paraId="7F084764" w14:textId="77777777" w:rsidR="004F2044" w:rsidRPr="004F2044" w:rsidRDefault="004F2044" w:rsidP="004F2044">
      <w:pPr>
        <w:rPr>
          <w:rFonts w:cs="Arial"/>
          <w:i w:val="0"/>
          <w:iCs w:val="0"/>
        </w:rPr>
      </w:pPr>
      <w:r w:rsidRPr="004F2044">
        <w:rPr>
          <w:rFonts w:cs="Arial"/>
          <w:i w:val="0"/>
          <w:iCs w:val="0"/>
        </w:rPr>
        <w:t xml:space="preserve">This connection is further supported by the EMP Act, which already contains provisions which afford special protections in sexual offence proceedings in other </w:t>
      </w:r>
      <w:r w:rsidRPr="004F2044">
        <w:rPr>
          <w:rFonts w:cs="Arial"/>
          <w:i w:val="0"/>
          <w:iCs w:val="0"/>
        </w:rPr>
        <w:lastRenderedPageBreak/>
        <w:t>areas such as family violence proceedings. These provisions have proven effective in supporting complainants through trauma-informed processes and ensuring procedural fairness. The amendment builds on this foundation by extending similar protections to WHS proceedings, thereby addressing a recognised gap in the current framework.</w:t>
      </w:r>
    </w:p>
    <w:p w14:paraId="12CB0E82" w14:textId="7BA7B180" w:rsidR="00157AF3" w:rsidRPr="004F2044" w:rsidRDefault="004F2044" w:rsidP="004F2044">
      <w:pPr>
        <w:rPr>
          <w:rFonts w:cs="Arial"/>
          <w:i w:val="0"/>
          <w:iCs w:val="0"/>
        </w:rPr>
      </w:pPr>
      <w:r w:rsidRPr="004F2044">
        <w:rPr>
          <w:rFonts w:cs="Arial"/>
          <w:i w:val="0"/>
          <w:iCs w:val="0"/>
        </w:rPr>
        <w:t>Consultation feedback from justice stakeholders also demonstrated strong support for the amendment, affirming that these special measures would enhance access to justice and workplace safety. The ACT’s Sexual and Gender-based harassment Code of Practice 2024</w:t>
      </w:r>
      <w:r>
        <w:rPr>
          <w:rStyle w:val="FootnoteReference"/>
          <w:i w:val="0"/>
          <w:iCs w:val="0"/>
        </w:rPr>
        <w:footnoteReference w:id="5"/>
      </w:r>
      <w:r w:rsidRPr="004F2044">
        <w:rPr>
          <w:rFonts w:cs="Arial"/>
          <w:i w:val="0"/>
          <w:iCs w:val="0"/>
        </w:rPr>
        <w:t>, issued under the WHS Act, reinforces this approach by recognising sexual harassment as a psychosocial hazard, placing it on equal footing with physical risks. This further aligns with WHS commitments to ensure ethical conduct, psychological safety, and inclusive workplace culture.</w:t>
      </w:r>
    </w:p>
    <w:p w14:paraId="0B43B8EE" w14:textId="55DCA8BF" w:rsidR="003F73A2" w:rsidRPr="003C68F9" w:rsidRDefault="00E04A2F" w:rsidP="003B657D">
      <w:pPr>
        <w:pStyle w:val="ListParagraph"/>
        <w:numPr>
          <w:ilvl w:val="4"/>
          <w:numId w:val="21"/>
        </w:numPr>
        <w:ind w:left="851" w:hanging="425"/>
        <w:rPr>
          <w:rFonts w:cs="Arial"/>
        </w:rPr>
      </w:pPr>
      <w:r w:rsidRPr="00F27811">
        <w:rPr>
          <w:rFonts w:cs="Arial"/>
          <w:b/>
        </w:rPr>
        <w:t xml:space="preserve">Proportionality </w:t>
      </w:r>
      <w:r w:rsidR="00646188">
        <w:rPr>
          <w:rFonts w:cs="Arial"/>
          <w:b/>
        </w:rPr>
        <w:t>(</w:t>
      </w:r>
      <w:r w:rsidRPr="00F27811">
        <w:rPr>
          <w:rFonts w:cs="Arial"/>
          <w:b/>
        </w:rPr>
        <w:t>s28</w:t>
      </w:r>
      <w:r w:rsidR="00F605D7">
        <w:rPr>
          <w:rFonts w:cs="Arial"/>
          <w:b/>
        </w:rPr>
        <w:t>(2)</w:t>
      </w:r>
      <w:r w:rsidRPr="00F27811">
        <w:rPr>
          <w:rFonts w:cs="Arial"/>
          <w:b/>
        </w:rPr>
        <w:t>(e)</w:t>
      </w:r>
      <w:r w:rsidR="00646188">
        <w:rPr>
          <w:rFonts w:cs="Arial"/>
          <w:b/>
        </w:rPr>
        <w:t>)</w:t>
      </w:r>
    </w:p>
    <w:p w14:paraId="3AAF62BD" w14:textId="77777777" w:rsidR="003C68F9" w:rsidRPr="00B31851" w:rsidRDefault="003C68F9" w:rsidP="003C68F9">
      <w:pPr>
        <w:rPr>
          <w:rFonts w:cs="Arial"/>
          <w:i w:val="0"/>
          <w:iCs w:val="0"/>
        </w:rPr>
      </w:pPr>
      <w:r w:rsidRPr="00B31851">
        <w:rPr>
          <w:rFonts w:cs="Arial"/>
          <w:i w:val="0"/>
          <w:iCs w:val="0"/>
        </w:rPr>
        <w:t xml:space="preserve">The purpose of the amendment </w:t>
      </w:r>
      <w:r>
        <w:rPr>
          <w:rFonts w:cs="Arial"/>
          <w:i w:val="0"/>
          <w:iCs w:val="0"/>
        </w:rPr>
        <w:t>which</w:t>
      </w:r>
      <w:r w:rsidRPr="00B31851">
        <w:rPr>
          <w:rFonts w:cs="Arial"/>
          <w:i w:val="0"/>
          <w:iCs w:val="0"/>
        </w:rPr>
        <w:t xml:space="preserve"> extend</w:t>
      </w:r>
      <w:r>
        <w:rPr>
          <w:rFonts w:cs="Arial"/>
          <w:i w:val="0"/>
          <w:iCs w:val="0"/>
        </w:rPr>
        <w:t>s</w:t>
      </w:r>
      <w:r w:rsidRPr="00B31851">
        <w:rPr>
          <w:rFonts w:cs="Arial"/>
          <w:i w:val="0"/>
          <w:iCs w:val="0"/>
        </w:rPr>
        <w:t xml:space="preserve"> special protections to complainants in WHS proceedings is proportionate to the potential limitations it places on rights in criminal proceedings. While these measures may restrict certain procedural rights of the accused, such as direct cross-examination or the admissibility of specific evidence, they are carefully targeted to address a legitimate and pressing concern: protecting vulnerable witnesses from re-traumatisation and enabling meaningful participation in legal processes.</w:t>
      </w:r>
      <w:r>
        <w:rPr>
          <w:rFonts w:cs="Arial"/>
          <w:i w:val="0"/>
          <w:iCs w:val="0"/>
        </w:rPr>
        <w:t xml:space="preserve"> </w:t>
      </w:r>
      <w:r w:rsidRPr="003A012B">
        <w:rPr>
          <w:rFonts w:eastAsiaTheme="minorEastAsia" w:cs="Arial"/>
          <w:i w:val="0"/>
        </w:rPr>
        <w:t xml:space="preserve">Although the measures may limit the accused’s right to equality before the law, they are designed to respond to the unique vulnerabilities of complainants in </w:t>
      </w:r>
      <w:r w:rsidRPr="00B31851">
        <w:rPr>
          <w:rFonts w:eastAsiaTheme="minorEastAsia" w:cs="Arial"/>
          <w:i w:val="0"/>
          <w:iCs w:val="0"/>
        </w:rPr>
        <w:t>sexual offence proceedings</w:t>
      </w:r>
      <w:r w:rsidRPr="003A012B">
        <w:rPr>
          <w:rFonts w:eastAsiaTheme="minorEastAsia" w:cs="Arial"/>
          <w:i w:val="0"/>
        </w:rPr>
        <w:t xml:space="preserve">, particularly in workplace contexts where power imbalances may exist. </w:t>
      </w:r>
    </w:p>
    <w:p w14:paraId="756BBD94" w14:textId="77777777" w:rsidR="003C68F9" w:rsidRPr="00B31851" w:rsidRDefault="003C68F9" w:rsidP="003C68F9">
      <w:pPr>
        <w:spacing w:before="240"/>
        <w:rPr>
          <w:rFonts w:cs="Arial"/>
          <w:i w:val="0"/>
          <w:iCs w:val="0"/>
        </w:rPr>
      </w:pPr>
      <w:r w:rsidRPr="00B31851">
        <w:rPr>
          <w:rFonts w:cs="Arial"/>
          <w:i w:val="0"/>
          <w:iCs w:val="0"/>
        </w:rPr>
        <w:t>Importantly, the core elements of a fair trial remain intact, and the measures are designed to balance the rights of both parties. As such, the limitations are not excessive and represent a proportionate response that upholds justice, dignity, and workplace safety.</w:t>
      </w:r>
    </w:p>
    <w:p w14:paraId="4154DD90" w14:textId="77777777" w:rsidR="003C68F9" w:rsidRPr="00B31851" w:rsidRDefault="003C68F9" w:rsidP="003C68F9">
      <w:pPr>
        <w:spacing w:before="240"/>
        <w:rPr>
          <w:rFonts w:cs="Arial"/>
          <w:i w:val="0"/>
          <w:iCs w:val="0"/>
        </w:rPr>
      </w:pPr>
      <w:r w:rsidRPr="00B31851">
        <w:rPr>
          <w:rFonts w:cs="Arial"/>
          <w:i w:val="0"/>
          <w:iCs w:val="0"/>
        </w:rPr>
        <w:t>The EMP Act amendments introduce special measures that apply only in WHS proceedings involving suspected sexual assault or harassment, and only where the court determines they are necessary</w:t>
      </w:r>
      <w:r>
        <w:rPr>
          <w:rFonts w:cs="Arial"/>
          <w:i w:val="0"/>
          <w:iCs w:val="0"/>
        </w:rPr>
        <w:t xml:space="preserve"> in the interests of justice</w:t>
      </w:r>
      <w:r w:rsidRPr="00B31851">
        <w:rPr>
          <w:rFonts w:cs="Arial"/>
          <w:i w:val="0"/>
          <w:iCs w:val="0"/>
        </w:rPr>
        <w:t>. These include:</w:t>
      </w:r>
    </w:p>
    <w:p w14:paraId="6FC4AE75" w14:textId="77777777" w:rsidR="003C68F9" w:rsidRPr="00B31851" w:rsidRDefault="003C68F9" w:rsidP="003C68F9">
      <w:pPr>
        <w:numPr>
          <w:ilvl w:val="0"/>
          <w:numId w:val="30"/>
        </w:numPr>
        <w:ind w:left="714" w:hanging="357"/>
        <w:rPr>
          <w:rFonts w:cs="Arial"/>
          <w:i w:val="0"/>
          <w:iCs w:val="0"/>
        </w:rPr>
      </w:pPr>
      <w:r>
        <w:rPr>
          <w:rFonts w:cs="Arial"/>
          <w:i w:val="0"/>
          <w:iCs w:val="0"/>
        </w:rPr>
        <w:t>s</w:t>
      </w:r>
      <w:r w:rsidRPr="00B31851">
        <w:rPr>
          <w:rFonts w:cs="Arial"/>
          <w:i w:val="0"/>
          <w:iCs w:val="0"/>
        </w:rPr>
        <w:t>creening the accused from the witness</w:t>
      </w:r>
    </w:p>
    <w:p w14:paraId="6765B3D7" w14:textId="77777777" w:rsidR="003C68F9" w:rsidRPr="00B31851" w:rsidRDefault="003C68F9" w:rsidP="003C68F9">
      <w:pPr>
        <w:numPr>
          <w:ilvl w:val="0"/>
          <w:numId w:val="30"/>
        </w:numPr>
        <w:ind w:left="714" w:hanging="357"/>
        <w:rPr>
          <w:rFonts w:cs="Arial"/>
          <w:i w:val="0"/>
          <w:iCs w:val="0"/>
        </w:rPr>
      </w:pPr>
      <w:r>
        <w:rPr>
          <w:rFonts w:cs="Arial"/>
          <w:i w:val="0"/>
          <w:iCs w:val="0"/>
        </w:rPr>
        <w:t>r</w:t>
      </w:r>
      <w:r w:rsidRPr="00B31851">
        <w:rPr>
          <w:rFonts w:cs="Arial"/>
          <w:i w:val="0"/>
          <w:iCs w:val="0"/>
        </w:rPr>
        <w:t>estricting direct cross-examination by self-represented accused persons</w:t>
      </w:r>
    </w:p>
    <w:p w14:paraId="43B12A54" w14:textId="77777777" w:rsidR="003C68F9" w:rsidRPr="00B31851" w:rsidRDefault="003C68F9" w:rsidP="003C68F9">
      <w:pPr>
        <w:numPr>
          <w:ilvl w:val="0"/>
          <w:numId w:val="30"/>
        </w:numPr>
        <w:ind w:left="714" w:hanging="357"/>
        <w:rPr>
          <w:rFonts w:cs="Arial"/>
          <w:i w:val="0"/>
          <w:iCs w:val="0"/>
        </w:rPr>
      </w:pPr>
      <w:r>
        <w:rPr>
          <w:rFonts w:cs="Arial"/>
          <w:i w:val="0"/>
          <w:iCs w:val="0"/>
        </w:rPr>
        <w:t>a</w:t>
      </w:r>
      <w:r w:rsidRPr="00B31851">
        <w:rPr>
          <w:rFonts w:cs="Arial"/>
          <w:i w:val="0"/>
          <w:iCs w:val="0"/>
        </w:rPr>
        <w:t>llowing support persons</w:t>
      </w:r>
    </w:p>
    <w:p w14:paraId="7EB1AF94" w14:textId="77777777" w:rsidR="003C68F9" w:rsidRPr="00B31851" w:rsidRDefault="003C68F9" w:rsidP="003C68F9">
      <w:pPr>
        <w:numPr>
          <w:ilvl w:val="0"/>
          <w:numId w:val="30"/>
        </w:numPr>
        <w:ind w:left="714" w:hanging="357"/>
        <w:rPr>
          <w:rFonts w:cs="Arial"/>
          <w:i w:val="0"/>
          <w:iCs w:val="0"/>
        </w:rPr>
      </w:pPr>
      <w:r>
        <w:rPr>
          <w:rFonts w:cs="Arial"/>
          <w:i w:val="0"/>
          <w:iCs w:val="0"/>
        </w:rPr>
        <w:t>c</w:t>
      </w:r>
      <w:r w:rsidRPr="00B31851">
        <w:rPr>
          <w:rFonts w:cs="Arial"/>
          <w:i w:val="0"/>
          <w:iCs w:val="0"/>
        </w:rPr>
        <w:t>losed court hearings and pre-trial evidence</w:t>
      </w:r>
    </w:p>
    <w:p w14:paraId="01A9C385" w14:textId="77777777" w:rsidR="003C68F9" w:rsidRPr="00B31851" w:rsidRDefault="003C68F9" w:rsidP="003C68F9">
      <w:pPr>
        <w:numPr>
          <w:ilvl w:val="0"/>
          <w:numId w:val="30"/>
        </w:numPr>
        <w:ind w:left="714" w:hanging="357"/>
        <w:rPr>
          <w:rFonts w:cs="Arial"/>
          <w:i w:val="0"/>
          <w:iCs w:val="0"/>
        </w:rPr>
      </w:pPr>
      <w:r>
        <w:rPr>
          <w:rFonts w:cs="Arial"/>
          <w:i w:val="0"/>
          <w:iCs w:val="0"/>
        </w:rPr>
        <w:t>a</w:t>
      </w:r>
      <w:r w:rsidRPr="00B31851">
        <w:rPr>
          <w:rFonts w:cs="Arial"/>
          <w:i w:val="0"/>
          <w:iCs w:val="0"/>
        </w:rPr>
        <w:t>udiovisual testimony</w:t>
      </w:r>
    </w:p>
    <w:p w14:paraId="68BE7771" w14:textId="77777777" w:rsidR="003C68F9" w:rsidRPr="00B31851" w:rsidRDefault="003C68F9" w:rsidP="003C68F9">
      <w:pPr>
        <w:numPr>
          <w:ilvl w:val="0"/>
          <w:numId w:val="30"/>
        </w:numPr>
        <w:ind w:left="714" w:hanging="357"/>
        <w:rPr>
          <w:rFonts w:cs="Arial"/>
          <w:i w:val="0"/>
          <w:iCs w:val="0"/>
        </w:rPr>
      </w:pPr>
      <w:r>
        <w:rPr>
          <w:rFonts w:cs="Arial"/>
          <w:i w:val="0"/>
          <w:iCs w:val="0"/>
        </w:rPr>
        <w:t>p</w:t>
      </w:r>
      <w:r w:rsidRPr="00B31851">
        <w:rPr>
          <w:rFonts w:cs="Arial"/>
          <w:i w:val="0"/>
          <w:iCs w:val="0"/>
        </w:rPr>
        <w:t>rohibition on publishing the complainant’s identity</w:t>
      </w:r>
    </w:p>
    <w:p w14:paraId="6DF917BF" w14:textId="77777777" w:rsidR="003C68F9" w:rsidRPr="00B31851" w:rsidRDefault="003C68F9" w:rsidP="003C68F9">
      <w:pPr>
        <w:numPr>
          <w:ilvl w:val="0"/>
          <w:numId w:val="30"/>
        </w:numPr>
        <w:ind w:left="714" w:hanging="357"/>
        <w:rPr>
          <w:rFonts w:cs="Arial"/>
          <w:i w:val="0"/>
          <w:iCs w:val="0"/>
        </w:rPr>
      </w:pPr>
      <w:r>
        <w:rPr>
          <w:rFonts w:cs="Arial"/>
          <w:i w:val="0"/>
          <w:iCs w:val="0"/>
        </w:rPr>
        <w:t>r</w:t>
      </w:r>
      <w:r w:rsidRPr="00B31851">
        <w:rPr>
          <w:rFonts w:cs="Arial"/>
          <w:i w:val="0"/>
          <w:iCs w:val="0"/>
        </w:rPr>
        <w:t>ecognition of family violence as relevant evidence</w:t>
      </w:r>
    </w:p>
    <w:p w14:paraId="0810DCB2" w14:textId="77777777" w:rsidR="003C68F9" w:rsidRPr="00B31851" w:rsidRDefault="003C68F9" w:rsidP="003C68F9">
      <w:pPr>
        <w:numPr>
          <w:ilvl w:val="0"/>
          <w:numId w:val="30"/>
        </w:numPr>
        <w:ind w:left="714" w:hanging="357"/>
        <w:rPr>
          <w:rFonts w:cs="Arial"/>
          <w:i w:val="0"/>
          <w:iCs w:val="0"/>
        </w:rPr>
      </w:pPr>
      <w:r>
        <w:rPr>
          <w:rFonts w:cs="Arial"/>
          <w:i w:val="0"/>
          <w:iCs w:val="0"/>
        </w:rPr>
        <w:t>e</w:t>
      </w:r>
      <w:r w:rsidRPr="00B31851">
        <w:rPr>
          <w:rFonts w:cs="Arial"/>
          <w:i w:val="0"/>
          <w:iCs w:val="0"/>
        </w:rPr>
        <w:t>xclusion of sexual reputation evidence</w:t>
      </w:r>
      <w:r>
        <w:rPr>
          <w:rFonts w:cs="Arial"/>
          <w:i w:val="0"/>
          <w:iCs w:val="0"/>
        </w:rPr>
        <w:t>, and</w:t>
      </w:r>
    </w:p>
    <w:p w14:paraId="09EF5822" w14:textId="77777777" w:rsidR="003C68F9" w:rsidRPr="00B31851" w:rsidRDefault="003C68F9" w:rsidP="003C68F9">
      <w:pPr>
        <w:numPr>
          <w:ilvl w:val="0"/>
          <w:numId w:val="30"/>
        </w:numPr>
        <w:ind w:left="714" w:hanging="357"/>
        <w:rPr>
          <w:rFonts w:cs="Arial"/>
          <w:i w:val="0"/>
          <w:iCs w:val="0"/>
        </w:rPr>
      </w:pPr>
      <w:r>
        <w:rPr>
          <w:rFonts w:cs="Arial"/>
          <w:i w:val="0"/>
          <w:iCs w:val="0"/>
        </w:rPr>
        <w:lastRenderedPageBreak/>
        <w:t>p</w:t>
      </w:r>
      <w:r w:rsidRPr="00B31851">
        <w:rPr>
          <w:rFonts w:cs="Arial"/>
          <w:i w:val="0"/>
          <w:iCs w:val="0"/>
        </w:rPr>
        <w:t>rotection of counselling communications</w:t>
      </w:r>
      <w:r>
        <w:rPr>
          <w:rFonts w:cs="Arial"/>
          <w:i w:val="0"/>
          <w:iCs w:val="0"/>
        </w:rPr>
        <w:t>.</w:t>
      </w:r>
    </w:p>
    <w:p w14:paraId="3E14BE0F" w14:textId="77777777" w:rsidR="003C68F9" w:rsidRDefault="003C68F9" w:rsidP="003C68F9">
      <w:pPr>
        <w:spacing w:before="240"/>
        <w:rPr>
          <w:rFonts w:cs="Arial"/>
          <w:i w:val="0"/>
          <w:iCs w:val="0"/>
        </w:rPr>
      </w:pPr>
      <w:r w:rsidRPr="00B31851">
        <w:rPr>
          <w:rFonts w:cs="Arial"/>
          <w:i w:val="0"/>
          <w:iCs w:val="0"/>
        </w:rPr>
        <w:t xml:space="preserve">These measures provide parity with protections available </w:t>
      </w:r>
      <w:r>
        <w:rPr>
          <w:rFonts w:cs="Arial"/>
          <w:i w:val="0"/>
          <w:iCs w:val="0"/>
        </w:rPr>
        <w:t xml:space="preserve">under EMP Act for </w:t>
      </w:r>
      <w:r w:rsidRPr="00B31851">
        <w:rPr>
          <w:rFonts w:cs="Arial"/>
          <w:i w:val="0"/>
          <w:iCs w:val="0"/>
        </w:rPr>
        <w:t xml:space="preserve">other </w:t>
      </w:r>
      <w:r>
        <w:rPr>
          <w:rFonts w:cs="Arial"/>
          <w:i w:val="0"/>
          <w:iCs w:val="0"/>
        </w:rPr>
        <w:t xml:space="preserve">proceedings involving </w:t>
      </w:r>
      <w:r w:rsidRPr="00B31851">
        <w:rPr>
          <w:rFonts w:cs="Arial"/>
          <w:i w:val="0"/>
          <w:iCs w:val="0"/>
        </w:rPr>
        <w:t xml:space="preserve">sexual </w:t>
      </w:r>
      <w:r>
        <w:rPr>
          <w:rFonts w:cs="Arial"/>
          <w:i w:val="0"/>
          <w:iCs w:val="0"/>
        </w:rPr>
        <w:t>offending, violent offences and family violence. They</w:t>
      </w:r>
      <w:r w:rsidRPr="00B31851">
        <w:rPr>
          <w:rFonts w:cs="Arial"/>
          <w:i w:val="0"/>
          <w:iCs w:val="0"/>
        </w:rPr>
        <w:t xml:space="preserve"> are tailored to the specific context of WHS cases</w:t>
      </w:r>
      <w:r>
        <w:rPr>
          <w:rFonts w:cs="Arial"/>
          <w:i w:val="0"/>
          <w:iCs w:val="0"/>
        </w:rPr>
        <w:t xml:space="preserve"> involving sexual assault and harassment</w:t>
      </w:r>
      <w:r w:rsidRPr="00B31851">
        <w:rPr>
          <w:rFonts w:cs="Arial"/>
          <w:i w:val="0"/>
          <w:iCs w:val="0"/>
        </w:rPr>
        <w:t>. They help create a safer and more supportive environment for complainants, uphold the integrity of proceedings, and reinforce accountability in workplace safety.</w:t>
      </w:r>
      <w:r w:rsidRPr="00AB3DFA">
        <w:rPr>
          <w:rFonts w:cs="Arial"/>
          <w:i w:val="0"/>
          <w:iCs w:val="0"/>
        </w:rPr>
        <w:t xml:space="preserve"> </w:t>
      </w:r>
      <w:r>
        <w:rPr>
          <w:rFonts w:cs="Arial"/>
          <w:i w:val="0"/>
          <w:iCs w:val="0"/>
        </w:rPr>
        <w:t xml:space="preserve">This also sends the message that sexual offences are unacceptable, and that victims are entitled to support to give evidence without fear or intimidation, retribution or re-traumatisation, regardless of where the offending took place. </w:t>
      </w:r>
    </w:p>
    <w:p w14:paraId="4F215DC5" w14:textId="1F5A8F21" w:rsidR="00FB2A60" w:rsidRPr="003C68F9" w:rsidRDefault="003C68F9" w:rsidP="00BF0AEB">
      <w:pPr>
        <w:rPr>
          <w:rFonts w:cs="Arial"/>
        </w:rPr>
      </w:pPr>
      <w:r w:rsidRPr="00AB3DFA">
        <w:rPr>
          <w:rFonts w:cs="Arial"/>
          <w:i w:val="0"/>
          <w:iCs w:val="0"/>
        </w:rPr>
        <w:t xml:space="preserve">However, </w:t>
      </w:r>
      <w:r>
        <w:rPr>
          <w:rFonts w:cs="Arial"/>
          <w:i w:val="0"/>
          <w:iCs w:val="0"/>
        </w:rPr>
        <w:t>the amendments do not remove rights in criminal proceedings but limit them</w:t>
      </w:r>
      <w:r w:rsidRPr="00AB3DFA">
        <w:rPr>
          <w:rFonts w:cs="Arial"/>
          <w:i w:val="0"/>
          <w:iCs w:val="0"/>
        </w:rPr>
        <w:t xml:space="preserve"> in a targeted way to protect the dignity, safety, and participation of vulnerable complainants. </w:t>
      </w:r>
      <w:r>
        <w:rPr>
          <w:rFonts w:cs="Arial"/>
          <w:i w:val="0"/>
          <w:iCs w:val="0"/>
        </w:rPr>
        <w:t>Other e</w:t>
      </w:r>
      <w:r w:rsidRPr="00AB3DFA">
        <w:rPr>
          <w:rFonts w:cs="Arial"/>
          <w:i w:val="0"/>
          <w:iCs w:val="0"/>
        </w:rPr>
        <w:t>lements of</w:t>
      </w:r>
      <w:r>
        <w:rPr>
          <w:rFonts w:cs="Arial"/>
          <w:i w:val="0"/>
          <w:iCs w:val="0"/>
        </w:rPr>
        <w:t xml:space="preserve"> rights in criminal proceedings and the right to a fair trial </w:t>
      </w:r>
      <w:r w:rsidRPr="00AB3DFA">
        <w:rPr>
          <w:rFonts w:cs="Arial"/>
          <w:i w:val="0"/>
          <w:iCs w:val="0"/>
        </w:rPr>
        <w:t xml:space="preserve">such as the right to be heard, to present a defence, and to have the matter determined by an impartial </w:t>
      </w:r>
      <w:r>
        <w:rPr>
          <w:rFonts w:cs="Arial"/>
          <w:i w:val="0"/>
          <w:iCs w:val="0"/>
        </w:rPr>
        <w:t xml:space="preserve">court </w:t>
      </w:r>
      <w:r w:rsidRPr="00AB3DFA">
        <w:rPr>
          <w:rFonts w:cs="Arial"/>
          <w:i w:val="0"/>
          <w:iCs w:val="0"/>
        </w:rPr>
        <w:t xml:space="preserve">remain </w:t>
      </w:r>
      <w:r>
        <w:rPr>
          <w:rFonts w:cs="Arial"/>
          <w:i w:val="0"/>
          <w:iCs w:val="0"/>
        </w:rPr>
        <w:t>unaffected by the amendment</w:t>
      </w:r>
      <w:r w:rsidRPr="00AB3DFA">
        <w:rPr>
          <w:rFonts w:cs="Arial"/>
          <w:i w:val="0"/>
          <w:iCs w:val="0"/>
        </w:rPr>
        <w:t>.</w:t>
      </w:r>
    </w:p>
    <w:p w14:paraId="08D01B61" w14:textId="368CB5A5" w:rsidR="000C27DC" w:rsidRPr="00B31851" w:rsidRDefault="00246DEB" w:rsidP="00BF0AEB">
      <w:pPr>
        <w:rPr>
          <w:rFonts w:cs="Arial"/>
          <w:i w:val="0"/>
          <w:iCs w:val="0"/>
          <w:u w:val="single"/>
        </w:rPr>
      </w:pPr>
      <w:r w:rsidRPr="00B31851">
        <w:rPr>
          <w:rFonts w:cs="Arial"/>
          <w:i w:val="0"/>
          <w:iCs w:val="0"/>
          <w:u w:val="single"/>
        </w:rPr>
        <w:t xml:space="preserve">EMP Act amendments – </w:t>
      </w:r>
      <w:r w:rsidR="00D03B4D" w:rsidRPr="00B31851">
        <w:rPr>
          <w:rFonts w:cs="Arial"/>
          <w:i w:val="0"/>
          <w:iCs w:val="0"/>
          <w:u w:val="single"/>
        </w:rPr>
        <w:t>Right to a f</w:t>
      </w:r>
      <w:r w:rsidR="00FD3562" w:rsidRPr="00B31851">
        <w:rPr>
          <w:rFonts w:cs="Arial"/>
          <w:i w:val="0"/>
          <w:iCs w:val="0"/>
          <w:u w:val="single"/>
        </w:rPr>
        <w:t>air trial</w:t>
      </w:r>
      <w:r w:rsidR="000C27DC" w:rsidRPr="00B31851">
        <w:rPr>
          <w:rFonts w:ascii="Aptos" w:eastAsiaTheme="minorHAnsi" w:hAnsi="Aptos" w:cs="Aptos"/>
          <w:i w:val="0"/>
          <w:iCs w:val="0"/>
          <w:u w:val="single"/>
        </w:rPr>
        <w:t xml:space="preserve"> </w:t>
      </w:r>
    </w:p>
    <w:p w14:paraId="5229BE95" w14:textId="257EBBB5" w:rsidR="00D71568" w:rsidRPr="001528A8" w:rsidRDefault="0088683E" w:rsidP="007F55B5">
      <w:pPr>
        <w:pStyle w:val="ListParagraph"/>
        <w:numPr>
          <w:ilvl w:val="0"/>
          <w:numId w:val="16"/>
        </w:numPr>
        <w:rPr>
          <w:rFonts w:cs="Arial"/>
          <w:b/>
        </w:rPr>
      </w:pPr>
      <w:r w:rsidRPr="001528A8">
        <w:rPr>
          <w:rFonts w:cs="Arial"/>
          <w:b/>
        </w:rPr>
        <w:t>Nature of the right and the limitation (s28</w:t>
      </w:r>
      <w:r w:rsidR="00F605D7">
        <w:rPr>
          <w:rFonts w:cs="Arial"/>
          <w:b/>
        </w:rPr>
        <w:t>(2)</w:t>
      </w:r>
      <w:r w:rsidRPr="001528A8">
        <w:rPr>
          <w:rFonts w:cs="Arial"/>
          <w:b/>
        </w:rPr>
        <w:t>(a) and (c))</w:t>
      </w:r>
    </w:p>
    <w:p w14:paraId="45A691BA" w14:textId="303FFFAD" w:rsidR="00621C27" w:rsidRPr="00B31851" w:rsidRDefault="00D71568" w:rsidP="60450B89">
      <w:pPr>
        <w:rPr>
          <w:rFonts w:cs="Arial"/>
          <w:i w:val="0"/>
          <w:iCs w:val="0"/>
        </w:rPr>
      </w:pPr>
      <w:r w:rsidRPr="60450B89">
        <w:rPr>
          <w:rFonts w:cs="Arial"/>
          <w:i w:val="0"/>
          <w:iCs w:val="0"/>
        </w:rPr>
        <w:t>The right to a fair trial is a cornerstone of civil and political rights, ensuring that individuals are treated with justice and procedural fairness in legal proceedings. However, under section 28(a) and (c) of the </w:t>
      </w:r>
      <w:r w:rsidR="00974D17" w:rsidRPr="60450B89">
        <w:rPr>
          <w:rFonts w:cs="Arial"/>
          <w:i w:val="0"/>
          <w:iCs w:val="0"/>
        </w:rPr>
        <w:t>HR</w:t>
      </w:r>
      <w:r w:rsidRPr="60450B89">
        <w:rPr>
          <w:rFonts w:cs="Arial"/>
          <w:i w:val="0"/>
          <w:iCs w:val="0"/>
        </w:rPr>
        <w:t xml:space="preserve"> Act, this right is not absolute and may be subject to reasonable limitations where necessary to achieve a legitimate objective. </w:t>
      </w:r>
      <w:r w:rsidR="006325EA" w:rsidRPr="60450B89">
        <w:rPr>
          <w:rFonts w:cs="Arial"/>
          <w:i w:val="0"/>
          <w:iCs w:val="0"/>
        </w:rPr>
        <w:t xml:space="preserve">The </w:t>
      </w:r>
      <w:r w:rsidR="002E1F60" w:rsidRPr="60450B89">
        <w:rPr>
          <w:rFonts w:cs="Arial"/>
          <w:i w:val="0"/>
          <w:iCs w:val="0"/>
        </w:rPr>
        <w:t xml:space="preserve">Bill amends the </w:t>
      </w:r>
      <w:r w:rsidR="006325EA" w:rsidRPr="60450B89">
        <w:rPr>
          <w:rFonts w:cs="Arial"/>
          <w:i w:val="0"/>
          <w:iCs w:val="0"/>
        </w:rPr>
        <w:t xml:space="preserve">definition </w:t>
      </w:r>
      <w:r w:rsidR="001528A8" w:rsidRPr="60450B89">
        <w:rPr>
          <w:rFonts w:cs="Arial"/>
          <w:i w:val="0"/>
          <w:iCs w:val="0"/>
        </w:rPr>
        <w:t>of</w:t>
      </w:r>
      <w:r w:rsidR="006325EA" w:rsidRPr="60450B89">
        <w:rPr>
          <w:rFonts w:cs="Arial"/>
          <w:i w:val="0"/>
          <w:iCs w:val="0"/>
        </w:rPr>
        <w:t xml:space="preserve"> </w:t>
      </w:r>
      <w:r w:rsidR="001528A8" w:rsidRPr="60450B89">
        <w:rPr>
          <w:rFonts w:cs="Arial"/>
          <w:i w:val="0"/>
          <w:iCs w:val="0"/>
        </w:rPr>
        <w:t>“</w:t>
      </w:r>
      <w:r w:rsidR="006325EA" w:rsidRPr="60450B89">
        <w:rPr>
          <w:rFonts w:cs="Arial"/>
          <w:i w:val="0"/>
          <w:iCs w:val="0"/>
        </w:rPr>
        <w:t>complainants</w:t>
      </w:r>
      <w:r w:rsidR="002E1F60" w:rsidRPr="60450B89">
        <w:rPr>
          <w:rFonts w:cs="Arial"/>
          <w:i w:val="0"/>
          <w:iCs w:val="0"/>
        </w:rPr>
        <w:t>”</w:t>
      </w:r>
      <w:r w:rsidR="006325EA" w:rsidRPr="60450B89">
        <w:rPr>
          <w:rFonts w:cs="Arial"/>
          <w:i w:val="0"/>
          <w:iCs w:val="0"/>
        </w:rPr>
        <w:t xml:space="preserve"> and </w:t>
      </w:r>
      <w:r w:rsidR="002E1F60" w:rsidRPr="60450B89">
        <w:rPr>
          <w:rFonts w:cs="Arial"/>
          <w:i w:val="0"/>
          <w:iCs w:val="0"/>
        </w:rPr>
        <w:t>broadens</w:t>
      </w:r>
      <w:r w:rsidR="006325EA" w:rsidRPr="60450B89">
        <w:rPr>
          <w:rFonts w:cs="Arial"/>
          <w:i w:val="0"/>
          <w:iCs w:val="0"/>
        </w:rPr>
        <w:t xml:space="preserve"> the scope of </w:t>
      </w:r>
      <w:r w:rsidR="002E1F60" w:rsidRPr="60450B89">
        <w:rPr>
          <w:rFonts w:cs="Arial"/>
          <w:i w:val="0"/>
          <w:iCs w:val="0"/>
        </w:rPr>
        <w:t>“</w:t>
      </w:r>
      <w:r w:rsidR="006325EA" w:rsidRPr="60450B89">
        <w:rPr>
          <w:rFonts w:cs="Arial"/>
          <w:i w:val="0"/>
          <w:iCs w:val="0"/>
        </w:rPr>
        <w:t>sexual offence proceedings</w:t>
      </w:r>
      <w:r w:rsidR="002E1F60" w:rsidRPr="60450B89">
        <w:rPr>
          <w:rFonts w:cs="Arial"/>
          <w:i w:val="0"/>
          <w:iCs w:val="0"/>
        </w:rPr>
        <w:t>”</w:t>
      </w:r>
      <w:r w:rsidR="006325EA" w:rsidRPr="60450B89">
        <w:rPr>
          <w:rFonts w:cs="Arial"/>
          <w:i w:val="0"/>
          <w:iCs w:val="0"/>
        </w:rPr>
        <w:t xml:space="preserve"> under the EMP Act. As a result, all special protections typically afforded in sexual offence matters</w:t>
      </w:r>
      <w:r w:rsidR="00666ED6" w:rsidRPr="60450B89">
        <w:rPr>
          <w:rFonts w:cs="Arial"/>
          <w:i w:val="0"/>
          <w:iCs w:val="0"/>
        </w:rPr>
        <w:t xml:space="preserve">, </w:t>
      </w:r>
      <w:r w:rsidR="006325EA" w:rsidRPr="60450B89">
        <w:rPr>
          <w:rFonts w:cs="Arial"/>
          <w:i w:val="0"/>
          <w:iCs w:val="0"/>
        </w:rPr>
        <w:t xml:space="preserve">such as </w:t>
      </w:r>
      <w:r w:rsidR="00345CDB" w:rsidRPr="60450B89">
        <w:rPr>
          <w:rFonts w:cs="Arial"/>
          <w:i w:val="0"/>
          <w:iCs w:val="0"/>
        </w:rPr>
        <w:t>but not limited to</w:t>
      </w:r>
      <w:r w:rsidR="006325EA" w:rsidRPr="60450B89">
        <w:rPr>
          <w:rFonts w:cs="Arial"/>
          <w:i w:val="0"/>
          <w:iCs w:val="0"/>
        </w:rPr>
        <w:t xml:space="preserve"> the use of alternative arrangements for giving evidence</w:t>
      </w:r>
      <w:r w:rsidR="00075575" w:rsidRPr="60450B89">
        <w:rPr>
          <w:rFonts w:cs="Arial"/>
          <w:i w:val="0"/>
          <w:iCs w:val="0"/>
        </w:rPr>
        <w:t xml:space="preserve"> and prohibition of information that would reasonably identity a person, </w:t>
      </w:r>
      <w:r w:rsidR="006325EA" w:rsidRPr="60450B89">
        <w:rPr>
          <w:rFonts w:cs="Arial"/>
          <w:i w:val="0"/>
          <w:iCs w:val="0"/>
        </w:rPr>
        <w:t xml:space="preserve">are now extended to proceedings under the </w:t>
      </w:r>
      <w:r w:rsidR="00075575" w:rsidRPr="60450B89">
        <w:rPr>
          <w:rFonts w:cs="Arial"/>
          <w:i w:val="0"/>
          <w:iCs w:val="0"/>
        </w:rPr>
        <w:t>WHS</w:t>
      </w:r>
      <w:r w:rsidR="006325EA" w:rsidRPr="60450B89">
        <w:rPr>
          <w:rFonts w:cs="Arial"/>
          <w:i w:val="0"/>
          <w:iCs w:val="0"/>
        </w:rPr>
        <w:t xml:space="preserve"> framework. While these measures aim to prevent further harm to vulnerable witnesses, their blanket application may limit the accused’s right to a fair trial by restricting traditional cross-examination methods and altering the standard procedures for presenting and testing evidence.</w:t>
      </w:r>
    </w:p>
    <w:p w14:paraId="41FB3F64" w14:textId="7CE60D62" w:rsidR="00945F0D" w:rsidRPr="00B31851" w:rsidRDefault="00F5712C" w:rsidP="00220427">
      <w:pPr>
        <w:spacing w:before="240"/>
        <w:rPr>
          <w:rFonts w:cs="Arial"/>
          <w:i w:val="0"/>
          <w:iCs w:val="0"/>
        </w:rPr>
      </w:pPr>
      <w:r>
        <w:rPr>
          <w:rFonts w:cs="Arial"/>
          <w:i w:val="0"/>
          <w:iCs w:val="0"/>
        </w:rPr>
        <w:t>Any</w:t>
      </w:r>
      <w:r w:rsidR="00D71568" w:rsidRPr="00B31851">
        <w:rPr>
          <w:rFonts w:cs="Arial"/>
          <w:i w:val="0"/>
          <w:iCs w:val="0"/>
        </w:rPr>
        <w:t xml:space="preserve"> limitation on the right to a fair trial</w:t>
      </w:r>
      <w:r w:rsidR="0032620F" w:rsidRPr="00B31851">
        <w:rPr>
          <w:rFonts w:cs="Arial"/>
          <w:i w:val="0"/>
          <w:iCs w:val="0"/>
        </w:rPr>
        <w:t xml:space="preserve"> including</w:t>
      </w:r>
      <w:r w:rsidR="00D71568" w:rsidRPr="00B31851">
        <w:rPr>
          <w:rFonts w:cs="Arial"/>
          <w:i w:val="0"/>
          <w:iCs w:val="0"/>
        </w:rPr>
        <w:t xml:space="preserve"> differentiated protections for complainants</w:t>
      </w:r>
      <w:r w:rsidR="0032620F" w:rsidRPr="00B31851">
        <w:rPr>
          <w:rFonts w:cs="Arial"/>
          <w:i w:val="0"/>
          <w:iCs w:val="0"/>
        </w:rPr>
        <w:t>, are</w:t>
      </w:r>
      <w:r w:rsidR="00D71568" w:rsidRPr="00B31851">
        <w:rPr>
          <w:rFonts w:cs="Arial"/>
          <w:i w:val="0"/>
          <w:iCs w:val="0"/>
        </w:rPr>
        <w:t xml:space="preserve"> narrowly applied and tailored to the specific nature of WHS proceedings. These limitations are designed to address vulnerability and power imbalances without undermining the overall fairness of the process.</w:t>
      </w:r>
      <w:r w:rsidR="00E93E17" w:rsidRPr="00B31851">
        <w:rPr>
          <w:rFonts w:cs="Arial"/>
          <w:i w:val="0"/>
          <w:iCs w:val="0"/>
        </w:rPr>
        <w:t xml:space="preserve"> </w:t>
      </w:r>
      <w:r w:rsidR="00254E3C" w:rsidRPr="00B31851">
        <w:rPr>
          <w:rFonts w:cs="Arial"/>
          <w:i w:val="0"/>
          <w:iCs w:val="0"/>
        </w:rPr>
        <w:t xml:space="preserve">All special protections provided to a complainant </w:t>
      </w:r>
      <w:r w:rsidR="00FF6A76" w:rsidRPr="00B31851">
        <w:rPr>
          <w:rFonts w:cs="Arial"/>
          <w:i w:val="0"/>
          <w:iCs w:val="0"/>
        </w:rPr>
        <w:t>in a sexual offence proceeding will be afforded to a complainant in a relevant WHS proceedings through the new definition.</w:t>
      </w:r>
      <w:r w:rsidR="00BB27CC" w:rsidRPr="00B31851">
        <w:rPr>
          <w:rFonts w:cs="Arial"/>
          <w:i w:val="0"/>
          <w:iCs w:val="0"/>
        </w:rPr>
        <w:t xml:space="preserve"> </w:t>
      </w:r>
      <w:r w:rsidR="00E82268" w:rsidRPr="00B31851">
        <w:rPr>
          <w:rFonts w:cs="Arial"/>
          <w:i w:val="0"/>
          <w:iCs w:val="0"/>
        </w:rPr>
        <w:t>These protections include those relating to a complainant within table 43.4 of the EMP Act.</w:t>
      </w:r>
    </w:p>
    <w:p w14:paraId="08BE5CDD" w14:textId="79A4CA8B" w:rsidR="007D7540" w:rsidRPr="00B31851" w:rsidRDefault="00CB5AAA" w:rsidP="00D71568">
      <w:pPr>
        <w:rPr>
          <w:rFonts w:cs="Arial"/>
          <w:i w:val="0"/>
          <w:iCs w:val="0"/>
        </w:rPr>
      </w:pPr>
      <w:r w:rsidRPr="00B31851">
        <w:rPr>
          <w:rFonts w:cs="Arial"/>
          <w:i w:val="0"/>
          <w:iCs w:val="0"/>
        </w:rPr>
        <w:t>Each special measure</w:t>
      </w:r>
      <w:r w:rsidR="002601CB" w:rsidRPr="00B31851">
        <w:rPr>
          <w:rFonts w:cs="Arial"/>
          <w:i w:val="0"/>
          <w:iCs w:val="0"/>
        </w:rPr>
        <w:t xml:space="preserve">/ </w:t>
      </w:r>
      <w:r w:rsidRPr="00B31851">
        <w:rPr>
          <w:rFonts w:cs="Arial"/>
          <w:i w:val="0"/>
          <w:iCs w:val="0"/>
        </w:rPr>
        <w:t>protection</w:t>
      </w:r>
      <w:r w:rsidR="00232BFF" w:rsidRPr="00B31851">
        <w:rPr>
          <w:rFonts w:cs="Arial"/>
          <w:i w:val="0"/>
          <w:iCs w:val="0"/>
        </w:rPr>
        <w:t xml:space="preserve"> afforded under this amendment</w:t>
      </w:r>
      <w:r w:rsidRPr="00B31851">
        <w:rPr>
          <w:rFonts w:cs="Arial"/>
          <w:i w:val="0"/>
          <w:iCs w:val="0"/>
        </w:rPr>
        <w:t xml:space="preserve"> </w:t>
      </w:r>
      <w:r w:rsidR="002601CB" w:rsidRPr="00B31851">
        <w:rPr>
          <w:rFonts w:cs="Arial"/>
          <w:i w:val="0"/>
          <w:iCs w:val="0"/>
        </w:rPr>
        <w:t xml:space="preserve">and </w:t>
      </w:r>
      <w:r w:rsidR="00232BFF" w:rsidRPr="00B31851">
        <w:rPr>
          <w:rFonts w:cs="Arial"/>
          <w:i w:val="0"/>
          <w:iCs w:val="0"/>
        </w:rPr>
        <w:t>the</w:t>
      </w:r>
      <w:r w:rsidR="002601CB" w:rsidRPr="00B31851">
        <w:rPr>
          <w:rFonts w:cs="Arial"/>
          <w:i w:val="0"/>
          <w:iCs w:val="0"/>
        </w:rPr>
        <w:t xml:space="preserve"> possible limitation </w:t>
      </w:r>
      <w:r w:rsidR="005642DC" w:rsidRPr="00B31851">
        <w:rPr>
          <w:rFonts w:cs="Arial"/>
          <w:i w:val="0"/>
          <w:iCs w:val="0"/>
        </w:rPr>
        <w:t xml:space="preserve">of rights </w:t>
      </w:r>
      <w:r w:rsidR="00283D23" w:rsidRPr="00B31851">
        <w:rPr>
          <w:rFonts w:cs="Arial"/>
          <w:i w:val="0"/>
          <w:iCs w:val="0"/>
        </w:rPr>
        <w:t>to a fair trial</w:t>
      </w:r>
      <w:r w:rsidR="005642DC" w:rsidRPr="00B31851">
        <w:rPr>
          <w:rFonts w:cs="Arial"/>
          <w:i w:val="0"/>
          <w:iCs w:val="0"/>
        </w:rPr>
        <w:t xml:space="preserve"> </w:t>
      </w:r>
      <w:r w:rsidR="00B16118" w:rsidRPr="00B31851">
        <w:rPr>
          <w:rFonts w:cs="Arial"/>
          <w:i w:val="0"/>
          <w:iCs w:val="0"/>
        </w:rPr>
        <w:t>impacted</w:t>
      </w:r>
      <w:r w:rsidR="005642DC" w:rsidRPr="00B31851">
        <w:rPr>
          <w:rFonts w:cs="Arial"/>
          <w:i w:val="0"/>
          <w:iCs w:val="0"/>
        </w:rPr>
        <w:t xml:space="preserve"> are assessed below:</w:t>
      </w:r>
    </w:p>
    <w:tbl>
      <w:tblPr>
        <w:tblStyle w:val="TableGrid"/>
        <w:tblW w:w="0" w:type="auto"/>
        <w:tblLook w:val="04A0" w:firstRow="1" w:lastRow="0" w:firstColumn="1" w:lastColumn="0" w:noHBand="0" w:noVBand="1"/>
      </w:tblPr>
      <w:tblGrid>
        <w:gridCol w:w="2405"/>
        <w:gridCol w:w="6611"/>
      </w:tblGrid>
      <w:tr w:rsidR="00B16118" w:rsidRPr="00B31851" w14:paraId="5EC37FCB" w14:textId="77777777" w:rsidTr="00BD5A3F">
        <w:tc>
          <w:tcPr>
            <w:tcW w:w="2405" w:type="dxa"/>
          </w:tcPr>
          <w:p w14:paraId="4F4D06AF" w14:textId="77777777" w:rsidR="00B16118" w:rsidRPr="00B31851" w:rsidRDefault="00B16118" w:rsidP="001957EA">
            <w:pPr>
              <w:rPr>
                <w:rFonts w:cs="Arial"/>
                <w:i w:val="0"/>
                <w:iCs w:val="0"/>
              </w:rPr>
            </w:pPr>
            <w:r w:rsidRPr="00B31851">
              <w:rPr>
                <w:rFonts w:cs="Arial"/>
                <w:i w:val="0"/>
                <w:iCs w:val="0"/>
              </w:rPr>
              <w:t>Accused person may be screened from witness in court</w:t>
            </w:r>
          </w:p>
        </w:tc>
        <w:tc>
          <w:tcPr>
            <w:tcW w:w="6611" w:type="dxa"/>
          </w:tcPr>
          <w:p w14:paraId="590638F2" w14:textId="375F2580" w:rsidR="00B16118" w:rsidRPr="00B31851" w:rsidRDefault="00DD5585">
            <w:pPr>
              <w:rPr>
                <w:rFonts w:cs="Arial"/>
                <w:i w:val="0"/>
                <w:iCs w:val="0"/>
              </w:rPr>
            </w:pPr>
            <w:r w:rsidRPr="00B31851">
              <w:rPr>
                <w:rFonts w:cs="Arial"/>
                <w:i w:val="0"/>
                <w:iCs w:val="0"/>
              </w:rPr>
              <w:t xml:space="preserve">Allowing the accused person to be screened from the witness in WHS proceedings involving alleged sexual misconduct may limit the right to a fair trial by altering the traditional courtroom setup, where the accused can see and be seen by the witness. This could be perceived as affecting </w:t>
            </w:r>
            <w:r w:rsidRPr="00B31851">
              <w:rPr>
                <w:rFonts w:cs="Arial"/>
                <w:i w:val="0"/>
                <w:iCs w:val="0"/>
              </w:rPr>
              <w:lastRenderedPageBreak/>
              <w:t xml:space="preserve">the accused’s ability to fully observe the witness’s demeanour or to participate in their defence. </w:t>
            </w:r>
          </w:p>
        </w:tc>
      </w:tr>
      <w:tr w:rsidR="00B16118" w:rsidRPr="00B31851" w14:paraId="38024B8B" w14:textId="77777777" w:rsidTr="00BD5A3F">
        <w:tc>
          <w:tcPr>
            <w:tcW w:w="2405" w:type="dxa"/>
          </w:tcPr>
          <w:p w14:paraId="0D0A6D75" w14:textId="77777777" w:rsidR="00B16118" w:rsidRPr="00B31851" w:rsidRDefault="00B16118">
            <w:pPr>
              <w:rPr>
                <w:rFonts w:cs="Arial"/>
                <w:i w:val="0"/>
                <w:iCs w:val="0"/>
              </w:rPr>
            </w:pPr>
            <w:r w:rsidRPr="00B31851">
              <w:rPr>
                <w:rFonts w:cs="Arial"/>
                <w:i w:val="0"/>
                <w:iCs w:val="0"/>
              </w:rPr>
              <w:lastRenderedPageBreak/>
              <w:t>No examination of witness by self-represented accused person</w:t>
            </w:r>
          </w:p>
        </w:tc>
        <w:tc>
          <w:tcPr>
            <w:tcW w:w="6611" w:type="dxa"/>
          </w:tcPr>
          <w:p w14:paraId="6415EBC2" w14:textId="77C79302" w:rsidR="00B16118" w:rsidRPr="00B31851" w:rsidRDefault="004078F8">
            <w:pPr>
              <w:rPr>
                <w:rFonts w:cs="Arial"/>
                <w:i w:val="0"/>
                <w:iCs w:val="0"/>
              </w:rPr>
            </w:pPr>
            <w:r w:rsidRPr="00B31851">
              <w:rPr>
                <w:rFonts w:cs="Arial"/>
                <w:i w:val="0"/>
                <w:iCs w:val="0"/>
              </w:rPr>
              <w:t xml:space="preserve">Prohibiting a self-represented accused person from directly cross-examining a witness in WHS proceedings involving alleged sexual misconduct may limit the right to a fair trial by restricting the accused’s ability to personally challenge the evidence. This could be seen as interfering with their control over their defence. </w:t>
            </w:r>
          </w:p>
        </w:tc>
      </w:tr>
      <w:tr w:rsidR="00B16118" w:rsidRPr="00B31851" w14:paraId="22B7ECCB" w14:textId="77777777" w:rsidTr="00BD5A3F">
        <w:tc>
          <w:tcPr>
            <w:tcW w:w="2405" w:type="dxa"/>
          </w:tcPr>
          <w:p w14:paraId="4B18D3B6" w14:textId="77777777" w:rsidR="00B16118" w:rsidRPr="00B31851" w:rsidRDefault="00B16118">
            <w:pPr>
              <w:rPr>
                <w:rFonts w:cs="Arial"/>
                <w:i w:val="0"/>
                <w:iCs w:val="0"/>
              </w:rPr>
            </w:pPr>
            <w:r w:rsidRPr="00B31851">
              <w:rPr>
                <w:rFonts w:cs="Arial"/>
                <w:i w:val="0"/>
                <w:iCs w:val="0"/>
              </w:rPr>
              <w:t>Witness may have support person in court</w:t>
            </w:r>
          </w:p>
        </w:tc>
        <w:tc>
          <w:tcPr>
            <w:tcW w:w="6611" w:type="dxa"/>
          </w:tcPr>
          <w:p w14:paraId="127EBA26" w14:textId="688D4CD4" w:rsidR="00B16118" w:rsidRPr="00B31851" w:rsidRDefault="00987FFA">
            <w:pPr>
              <w:rPr>
                <w:rFonts w:cs="Arial"/>
                <w:i w:val="0"/>
                <w:iCs w:val="0"/>
              </w:rPr>
            </w:pPr>
            <w:r w:rsidRPr="00B31851">
              <w:rPr>
                <w:rFonts w:cs="Arial"/>
                <w:i w:val="0"/>
                <w:iCs w:val="0"/>
              </w:rPr>
              <w:t>Limiting a witness in WHS proceedings to having a support person in court can impact the right to a fair trial if it creates an imbalance between parties, influences testimony, restricts cross-examination, or affects perceptions of impartiality. While support persons are intended to help vulnerable witnesses participate effectively, any restriction or unequal application of this allowance must be carefully managed to ensure both parties maintain equal footing and that the integrity of the evidence and proceedings is preserved</w:t>
            </w:r>
            <w:r w:rsidR="00AA6BE4" w:rsidRPr="00B31851">
              <w:rPr>
                <w:rFonts w:cs="Arial"/>
                <w:i w:val="0"/>
                <w:iCs w:val="0"/>
              </w:rPr>
              <w:t>.</w:t>
            </w:r>
          </w:p>
        </w:tc>
      </w:tr>
      <w:tr w:rsidR="00B16118" w:rsidRPr="00B31851" w14:paraId="1F91739F" w14:textId="77777777" w:rsidTr="00BD5A3F">
        <w:tc>
          <w:tcPr>
            <w:tcW w:w="2405" w:type="dxa"/>
          </w:tcPr>
          <w:p w14:paraId="0503E8F0" w14:textId="77777777" w:rsidR="00B16118" w:rsidRPr="00B31851" w:rsidRDefault="00B16118">
            <w:pPr>
              <w:rPr>
                <w:rFonts w:cs="Arial"/>
                <w:i w:val="0"/>
                <w:iCs w:val="0"/>
              </w:rPr>
            </w:pPr>
            <w:r w:rsidRPr="00B31851">
              <w:rPr>
                <w:rFonts w:cs="Arial"/>
                <w:i w:val="0"/>
                <w:iCs w:val="0"/>
              </w:rPr>
              <w:t>Evidence to be given in closed court</w:t>
            </w:r>
          </w:p>
        </w:tc>
        <w:tc>
          <w:tcPr>
            <w:tcW w:w="6611" w:type="dxa"/>
          </w:tcPr>
          <w:p w14:paraId="020BF3B7" w14:textId="57764027" w:rsidR="00B16118" w:rsidRPr="00B31851" w:rsidRDefault="00097F0E">
            <w:pPr>
              <w:rPr>
                <w:rFonts w:cs="Arial"/>
                <w:i w:val="0"/>
                <w:iCs w:val="0"/>
              </w:rPr>
            </w:pPr>
            <w:r w:rsidRPr="00B31851">
              <w:rPr>
                <w:rFonts w:cs="Arial"/>
                <w:i w:val="0"/>
                <w:iCs w:val="0"/>
              </w:rPr>
              <w:t xml:space="preserve">The limitation that evidence may be given in a closed court during WHS proceedings can impact the right to a fair trial by restricting public scrutiny and transparency, which are key elements of procedural fairness. While </w:t>
            </w:r>
            <w:r w:rsidR="002666CD" w:rsidRPr="00B31851">
              <w:rPr>
                <w:rFonts w:cs="Arial"/>
                <w:i w:val="0"/>
                <w:iCs w:val="0"/>
              </w:rPr>
              <w:t xml:space="preserve">it is </w:t>
            </w:r>
            <w:r w:rsidRPr="00B31851">
              <w:rPr>
                <w:rFonts w:cs="Arial"/>
                <w:i w:val="0"/>
                <w:iCs w:val="0"/>
              </w:rPr>
              <w:t>recognise</w:t>
            </w:r>
            <w:r w:rsidR="002666CD" w:rsidRPr="00B31851">
              <w:rPr>
                <w:rFonts w:cs="Arial"/>
                <w:i w:val="0"/>
                <w:iCs w:val="0"/>
              </w:rPr>
              <w:t>d</w:t>
            </w:r>
            <w:r w:rsidRPr="00B31851">
              <w:rPr>
                <w:rFonts w:cs="Arial"/>
                <w:i w:val="0"/>
                <w:iCs w:val="0"/>
              </w:rPr>
              <w:t xml:space="preserve"> that courts may exclude the public for reasons like protecting vulnerable witnesses, national security, or the interests of justice, such measures must be strictly necessary and proportionate.</w:t>
            </w:r>
            <w:r w:rsidRPr="00B31851">
              <w:rPr>
                <w:rFonts w:cs="Arial"/>
                <w:b/>
                <w:i w:val="0"/>
                <w:iCs w:val="0"/>
              </w:rPr>
              <w:t xml:space="preserve"> </w:t>
            </w:r>
            <w:r w:rsidRPr="00B31851">
              <w:rPr>
                <w:rFonts w:cs="Arial"/>
                <w:i w:val="0"/>
                <w:iCs w:val="0"/>
              </w:rPr>
              <w:t xml:space="preserve">Closing a court can undermine the principle of open justice, which ensures that justice is not only done but seen to be done. If not carefully justified, it may lead to perceptions of bias, limit accountability, and reduce trust in the legal process. </w:t>
            </w:r>
          </w:p>
        </w:tc>
      </w:tr>
      <w:tr w:rsidR="00B16118" w:rsidRPr="00B31851" w14:paraId="153610F4" w14:textId="77777777" w:rsidTr="00BD5A3F">
        <w:tc>
          <w:tcPr>
            <w:tcW w:w="2405" w:type="dxa"/>
          </w:tcPr>
          <w:p w14:paraId="2A0D60D3" w14:textId="77777777" w:rsidR="00B16118" w:rsidRPr="00B31851" w:rsidRDefault="00B16118">
            <w:pPr>
              <w:rPr>
                <w:rFonts w:cs="Arial"/>
                <w:i w:val="0"/>
                <w:iCs w:val="0"/>
              </w:rPr>
            </w:pPr>
            <w:r w:rsidRPr="00B31851">
              <w:rPr>
                <w:rFonts w:cs="Arial"/>
                <w:i w:val="0"/>
                <w:iCs w:val="0"/>
              </w:rPr>
              <w:t>Giving evidence at pre-trial hearing</w:t>
            </w:r>
          </w:p>
        </w:tc>
        <w:tc>
          <w:tcPr>
            <w:tcW w:w="6611" w:type="dxa"/>
          </w:tcPr>
          <w:p w14:paraId="5E4842C3" w14:textId="6A629196" w:rsidR="00B16118" w:rsidRPr="00B31851" w:rsidRDefault="000C3412">
            <w:pPr>
              <w:rPr>
                <w:rFonts w:cs="Arial"/>
                <w:i w:val="0"/>
                <w:iCs w:val="0"/>
              </w:rPr>
            </w:pPr>
            <w:r w:rsidRPr="00B31851">
              <w:rPr>
                <w:rFonts w:cs="Arial"/>
                <w:i w:val="0"/>
                <w:iCs w:val="0"/>
              </w:rPr>
              <w:t xml:space="preserve">Allowing witnesses to give evidence at a pre-trial hearing in WHS proceedings can impact the right to a fair trial if it compromises key protections such as the presumption of innocence, the right to silence, or the ability to fully test evidence. While pre-trial hearings are often used to streamline proceedings and reduce delays, they may place undue pressure on witnesses or the accused to disclose their case prematurely, potentially affecting trial strategy. If evidence is taken before the full trial context is established, it may be harder for the defence to challenge it effectively, especially if procedural safeguards (like cross-examination rights or access to full disclosure) are limited. </w:t>
            </w:r>
          </w:p>
        </w:tc>
      </w:tr>
      <w:tr w:rsidR="00B16118" w:rsidRPr="00B31851" w14:paraId="518B468E" w14:textId="77777777" w:rsidTr="00BD5A3F">
        <w:tc>
          <w:tcPr>
            <w:tcW w:w="2405" w:type="dxa"/>
          </w:tcPr>
          <w:p w14:paraId="56351983" w14:textId="741D0546" w:rsidR="00B16118" w:rsidRPr="00B31851" w:rsidRDefault="00B16118">
            <w:pPr>
              <w:rPr>
                <w:rFonts w:cs="Arial"/>
                <w:i w:val="0"/>
                <w:iCs w:val="0"/>
              </w:rPr>
            </w:pPr>
            <w:r w:rsidRPr="00B31851">
              <w:rPr>
                <w:rFonts w:cs="Arial"/>
                <w:i w:val="0"/>
                <w:iCs w:val="0"/>
              </w:rPr>
              <w:t>Giving evidence by audiovisual link</w:t>
            </w:r>
            <w:r w:rsidR="00061434" w:rsidRPr="00B31851">
              <w:rPr>
                <w:rFonts w:cs="Arial"/>
                <w:i w:val="0"/>
                <w:iCs w:val="0"/>
              </w:rPr>
              <w:t xml:space="preserve"> (AVL)</w:t>
            </w:r>
          </w:p>
        </w:tc>
        <w:tc>
          <w:tcPr>
            <w:tcW w:w="6611" w:type="dxa"/>
          </w:tcPr>
          <w:p w14:paraId="4E208B42" w14:textId="18A3EAE4" w:rsidR="00B16118" w:rsidRPr="00B31851" w:rsidRDefault="00061434">
            <w:pPr>
              <w:rPr>
                <w:rFonts w:cs="Arial"/>
                <w:i w:val="0"/>
                <w:iCs w:val="0"/>
              </w:rPr>
            </w:pPr>
            <w:r w:rsidRPr="00B31851">
              <w:rPr>
                <w:rFonts w:cs="Arial"/>
                <w:i w:val="0"/>
                <w:iCs w:val="0"/>
              </w:rPr>
              <w:t>Allowing witnesses to give evidence by AVL can affects the quality of testimony, the effectiveness of cross-examination, or the perception of credibility. While AVL is increasingly accepted</w:t>
            </w:r>
            <w:r w:rsidR="008A0AE9" w:rsidRPr="00B31851">
              <w:rPr>
                <w:rFonts w:cs="Arial"/>
                <w:i w:val="0"/>
                <w:iCs w:val="0"/>
              </w:rPr>
              <w:t xml:space="preserve">, </w:t>
            </w:r>
            <w:r w:rsidRPr="00B31851">
              <w:rPr>
                <w:rFonts w:cs="Arial"/>
                <w:i w:val="0"/>
                <w:iCs w:val="0"/>
              </w:rPr>
              <w:t>especially p</w:t>
            </w:r>
            <w:r w:rsidR="00E82268" w:rsidRPr="00B31851">
              <w:rPr>
                <w:rFonts w:cs="Arial"/>
                <w:i w:val="0"/>
                <w:iCs w:val="0"/>
              </w:rPr>
              <w:t>ost the Covid-19 pandemic</w:t>
            </w:r>
            <w:r w:rsidR="008A0AE9" w:rsidRPr="00B31851">
              <w:rPr>
                <w:rFonts w:cs="Arial"/>
                <w:i w:val="0"/>
                <w:iCs w:val="0"/>
              </w:rPr>
              <w:t xml:space="preserve">, </w:t>
            </w:r>
            <w:r w:rsidRPr="00B31851">
              <w:rPr>
                <w:rFonts w:cs="Arial"/>
                <w:i w:val="0"/>
                <w:iCs w:val="0"/>
              </w:rPr>
              <w:t xml:space="preserve">it does not replicate the full solemnity or dynamics of a courtroom. Technical issues, delays, or lack of access to documents </w:t>
            </w:r>
            <w:r w:rsidRPr="00B31851">
              <w:rPr>
                <w:rFonts w:cs="Arial"/>
                <w:i w:val="0"/>
                <w:iCs w:val="0"/>
              </w:rPr>
              <w:lastRenderedPageBreak/>
              <w:t>during AVL sessions can also hinder the defence’s ability to challenge evidence effectively. Moreover, if AVL is used without proper justification (e.g. the witness is not genuinely unavailable), it may unfairly disadvantage one party.</w:t>
            </w:r>
          </w:p>
        </w:tc>
      </w:tr>
      <w:tr w:rsidR="00B16118" w:rsidRPr="00B31851" w14:paraId="4E6C6E0B" w14:textId="77777777" w:rsidTr="00BD5A3F">
        <w:tc>
          <w:tcPr>
            <w:tcW w:w="2405" w:type="dxa"/>
          </w:tcPr>
          <w:p w14:paraId="671E9EC8" w14:textId="4BA53691" w:rsidR="00B16118" w:rsidRPr="00B31851" w:rsidRDefault="00B16118">
            <w:pPr>
              <w:rPr>
                <w:rFonts w:cs="Arial"/>
                <w:i w:val="0"/>
                <w:iCs w:val="0"/>
              </w:rPr>
            </w:pPr>
            <w:r w:rsidRPr="00B31851">
              <w:rPr>
                <w:rFonts w:cs="Arial"/>
                <w:i w:val="0"/>
                <w:iCs w:val="0"/>
              </w:rPr>
              <w:lastRenderedPageBreak/>
              <w:t>Prohibition of publication o</w:t>
            </w:r>
            <w:r w:rsidR="00284E77" w:rsidRPr="00B31851">
              <w:rPr>
                <w:rFonts w:cs="Arial"/>
                <w:i w:val="0"/>
                <w:iCs w:val="0"/>
              </w:rPr>
              <w:t>f</w:t>
            </w:r>
            <w:r w:rsidRPr="00B31851">
              <w:rPr>
                <w:rFonts w:cs="Arial"/>
                <w:i w:val="0"/>
                <w:iCs w:val="0"/>
              </w:rPr>
              <w:t xml:space="preserve"> </w:t>
            </w:r>
            <w:r w:rsidR="00681733" w:rsidRPr="00B31851">
              <w:rPr>
                <w:rFonts w:cs="Arial"/>
                <w:i w:val="0"/>
                <w:iCs w:val="0"/>
              </w:rPr>
              <w:t>complainants’</w:t>
            </w:r>
            <w:r w:rsidRPr="00B31851">
              <w:rPr>
                <w:rFonts w:cs="Arial"/>
                <w:i w:val="0"/>
                <w:iCs w:val="0"/>
              </w:rPr>
              <w:t xml:space="preserve"> identity </w:t>
            </w:r>
          </w:p>
        </w:tc>
        <w:tc>
          <w:tcPr>
            <w:tcW w:w="6611" w:type="dxa"/>
          </w:tcPr>
          <w:p w14:paraId="1CBE5FC3" w14:textId="6779A7CF" w:rsidR="00B16118" w:rsidRPr="00B31851" w:rsidRDefault="008F5E3F">
            <w:pPr>
              <w:rPr>
                <w:rFonts w:cs="Arial"/>
                <w:i w:val="0"/>
                <w:iCs w:val="0"/>
              </w:rPr>
            </w:pPr>
            <w:r w:rsidRPr="00B31851">
              <w:rPr>
                <w:rFonts w:cs="Arial"/>
                <w:i w:val="0"/>
                <w:iCs w:val="0"/>
              </w:rPr>
              <w:t>Prohibiting the publication of a complainant’s identity in WHS proceedings can limit the right to a fair trial by restricting the defence’s ability to investigate and gather evidence, especially if the identity is essential to verifying facts or locating witnesses. While such measures protect privacy and safety, they must be carefully balanced to ensure they do not compromise transparency, procedural fairness, or the accused’s ability to mount a full defence.</w:t>
            </w:r>
          </w:p>
        </w:tc>
      </w:tr>
      <w:tr w:rsidR="00B16118" w:rsidRPr="00B31851" w14:paraId="68F45CBC" w14:textId="77777777" w:rsidTr="00BD5A3F">
        <w:tc>
          <w:tcPr>
            <w:tcW w:w="2405" w:type="dxa"/>
          </w:tcPr>
          <w:p w14:paraId="30C66A4C" w14:textId="77777777" w:rsidR="00B16118" w:rsidRPr="00B31851" w:rsidRDefault="00B16118">
            <w:pPr>
              <w:rPr>
                <w:rFonts w:cs="Arial"/>
                <w:i w:val="0"/>
                <w:iCs w:val="0"/>
              </w:rPr>
            </w:pPr>
            <w:r w:rsidRPr="00B31851">
              <w:rPr>
                <w:rFonts w:cs="Arial"/>
                <w:i w:val="0"/>
                <w:iCs w:val="0"/>
              </w:rPr>
              <w:t xml:space="preserve">Evidence of family violence may be relevant evidence </w:t>
            </w:r>
          </w:p>
        </w:tc>
        <w:tc>
          <w:tcPr>
            <w:tcW w:w="6611" w:type="dxa"/>
          </w:tcPr>
          <w:p w14:paraId="46E8B855" w14:textId="6D809F37" w:rsidR="00B16118" w:rsidRPr="00B31851" w:rsidRDefault="0058400C">
            <w:pPr>
              <w:rPr>
                <w:rFonts w:cs="Arial"/>
                <w:i w:val="0"/>
                <w:iCs w:val="0"/>
              </w:rPr>
            </w:pPr>
            <w:r w:rsidRPr="00B31851">
              <w:rPr>
                <w:rFonts w:cs="Arial"/>
                <w:i w:val="0"/>
                <w:iCs w:val="0"/>
              </w:rPr>
              <w:t>Allowing evidence of family violence to be considered relevant in WHS proceedings can limit the right to a fair trial if it introduces prejudicial information that distracts from the specific facts of the case or unfairly influences perceptions of the accused. While such evidence may provide important context, it must be directly relevant and carefully managed to avoid undermining the presumption of innocence or procedural fairness.</w:t>
            </w:r>
          </w:p>
        </w:tc>
      </w:tr>
      <w:tr w:rsidR="00B16118" w:rsidRPr="00B31851" w14:paraId="238FF488" w14:textId="77777777" w:rsidTr="00BD5A3F">
        <w:tc>
          <w:tcPr>
            <w:tcW w:w="2405" w:type="dxa"/>
          </w:tcPr>
          <w:p w14:paraId="0196798F" w14:textId="77777777" w:rsidR="00B16118" w:rsidRPr="00B31851" w:rsidRDefault="00B16118">
            <w:pPr>
              <w:rPr>
                <w:rFonts w:cs="Arial"/>
                <w:i w:val="0"/>
                <w:iCs w:val="0"/>
              </w:rPr>
            </w:pPr>
            <w:r w:rsidRPr="00B31851">
              <w:rPr>
                <w:rFonts w:cs="Arial"/>
                <w:i w:val="0"/>
                <w:iCs w:val="0"/>
              </w:rPr>
              <w:t>Immunity of sexual reputation</w:t>
            </w:r>
          </w:p>
        </w:tc>
        <w:tc>
          <w:tcPr>
            <w:tcW w:w="6611" w:type="dxa"/>
          </w:tcPr>
          <w:p w14:paraId="04C20D96" w14:textId="63607696" w:rsidR="00B16118" w:rsidRPr="00B31851" w:rsidRDefault="000A5D99">
            <w:pPr>
              <w:rPr>
                <w:rFonts w:cs="Arial"/>
                <w:i w:val="0"/>
                <w:iCs w:val="0"/>
              </w:rPr>
            </w:pPr>
            <w:r w:rsidRPr="00B31851">
              <w:rPr>
                <w:rFonts w:cs="Arial"/>
                <w:i w:val="0"/>
                <w:iCs w:val="0"/>
              </w:rPr>
              <w:t>Prohibiting the use of a complainant’s sexual reputation as evidence in WHS proceedings can limit the right to a fair trial if it prevents the defence from presenting information that may be relevant to credibility or context. While this measure protects complainants from unfair character attacks, it must be carefully balanced to ensure it does not exclude evidence that is genuinely probative and necessary for a fair defence.</w:t>
            </w:r>
          </w:p>
        </w:tc>
      </w:tr>
    </w:tbl>
    <w:p w14:paraId="6F4ED7AA" w14:textId="73918297" w:rsidR="00D900B0" w:rsidRPr="00B31851" w:rsidRDefault="00D900B0" w:rsidP="00D71568">
      <w:pPr>
        <w:rPr>
          <w:rFonts w:cs="Arial"/>
          <w:i w:val="0"/>
          <w:iCs w:val="0"/>
        </w:rPr>
      </w:pPr>
    </w:p>
    <w:p w14:paraId="214F697B" w14:textId="25A7787D" w:rsidR="0088683E" w:rsidRPr="00201D33" w:rsidRDefault="0088683E" w:rsidP="007F55B5">
      <w:pPr>
        <w:pStyle w:val="ListParagraph"/>
        <w:numPr>
          <w:ilvl w:val="0"/>
          <w:numId w:val="16"/>
        </w:numPr>
        <w:rPr>
          <w:rFonts w:cs="Arial"/>
          <w:b/>
        </w:rPr>
      </w:pPr>
      <w:r w:rsidRPr="00201D33">
        <w:rPr>
          <w:rFonts w:cs="Arial"/>
          <w:b/>
        </w:rPr>
        <w:t>Legitimate purpose (s28</w:t>
      </w:r>
      <w:r w:rsidR="00AD08C9">
        <w:rPr>
          <w:rFonts w:cs="Arial"/>
          <w:b/>
        </w:rPr>
        <w:t>(2)</w:t>
      </w:r>
      <w:r w:rsidRPr="00201D33">
        <w:rPr>
          <w:rFonts w:cs="Arial"/>
          <w:b/>
        </w:rPr>
        <w:t>(b))</w:t>
      </w:r>
    </w:p>
    <w:p w14:paraId="531280DB" w14:textId="0B46A2ED" w:rsidR="007D0F67" w:rsidRPr="00B31851" w:rsidRDefault="00F5712C" w:rsidP="007B486C">
      <w:pPr>
        <w:rPr>
          <w:rFonts w:cs="Arial"/>
          <w:i w:val="0"/>
          <w:iCs w:val="0"/>
        </w:rPr>
      </w:pPr>
      <w:r>
        <w:rPr>
          <w:rFonts w:cs="Arial"/>
          <w:i w:val="0"/>
          <w:iCs w:val="0"/>
        </w:rPr>
        <w:t>Broadening</w:t>
      </w:r>
      <w:r w:rsidR="007D0F67" w:rsidRPr="00B31851">
        <w:rPr>
          <w:rFonts w:cs="Arial"/>
          <w:i w:val="0"/>
          <w:iCs w:val="0"/>
        </w:rPr>
        <w:t xml:space="preserve"> the protections to </w:t>
      </w:r>
      <w:r>
        <w:rPr>
          <w:rFonts w:cs="Arial"/>
          <w:i w:val="0"/>
          <w:iCs w:val="0"/>
        </w:rPr>
        <w:t>apply</w:t>
      </w:r>
      <w:r w:rsidR="001C14FE" w:rsidRPr="00B31851">
        <w:rPr>
          <w:rFonts w:cs="Arial"/>
          <w:i w:val="0"/>
          <w:iCs w:val="0"/>
        </w:rPr>
        <w:t xml:space="preserve"> in </w:t>
      </w:r>
      <w:r>
        <w:rPr>
          <w:rFonts w:cs="Arial"/>
          <w:i w:val="0"/>
          <w:iCs w:val="0"/>
        </w:rPr>
        <w:t>relevant WHS proceedings</w:t>
      </w:r>
      <w:r w:rsidR="001C14FE" w:rsidRPr="00B31851">
        <w:rPr>
          <w:rFonts w:cs="Arial"/>
          <w:i w:val="0"/>
          <w:iCs w:val="0"/>
        </w:rPr>
        <w:t xml:space="preserve"> </w:t>
      </w:r>
      <w:r w:rsidR="007D0F67" w:rsidRPr="00B31851">
        <w:rPr>
          <w:rFonts w:cs="Arial"/>
          <w:i w:val="0"/>
          <w:iCs w:val="0"/>
        </w:rPr>
        <w:t>are designed to protect vulnerable individuals, promote participation in the justice process, and address power imbalances in workplace settings. These measures aim to uphold the integrity of the proceedings and ensure that complainants can give evidence safely and effectively, which is a legitimate objective in a regulatory framework focused on workplace safety and accountability. While these limitations may affect aspects of the right to a fair trial, they are directed at achieving a necessary and proportionate balance between the rights of the accused and the broader public interest in safe and just workplaces.</w:t>
      </w:r>
    </w:p>
    <w:p w14:paraId="19EDE7F2" w14:textId="4D8E32F6" w:rsidR="007C4233" w:rsidRPr="000673CE" w:rsidRDefault="007C4233" w:rsidP="00BB5E81">
      <w:pPr>
        <w:rPr>
          <w:rFonts w:eastAsiaTheme="minorEastAsia" w:cs="Arial"/>
          <w:b/>
          <w:i w:val="0"/>
          <w:iCs w:val="0"/>
        </w:rPr>
      </w:pPr>
      <w:r w:rsidRPr="00B31851">
        <w:rPr>
          <w:rFonts w:cs="Arial"/>
          <w:i w:val="0"/>
          <w:iCs w:val="0"/>
        </w:rPr>
        <w:t xml:space="preserve">The amendment serves a legitimate purpose by enhancing protections for vulnerable complainants in WHS sexual offence proceedings. It responds to a pressing social concern namely, the underreporting of workplace sexual misconduct due to inadequate procedural safeguards and aims to prevent re-traumatisation during legal processes. By addressing psychosocial hazards in the workplace, the amendment aligns with broader WHS and human rights objectives. While it introduces differentiated procedural protections that may appear to limit equality for other parties </w:t>
      </w:r>
      <w:r w:rsidRPr="00B31851">
        <w:rPr>
          <w:rFonts w:cs="Arial"/>
          <w:i w:val="0"/>
          <w:iCs w:val="0"/>
        </w:rPr>
        <w:lastRenderedPageBreak/>
        <w:t>(such as accused persons or duty holders), these measures are necessary to address vulnerability and power imbalances, rather than to confer unfair advantage.</w:t>
      </w:r>
    </w:p>
    <w:p w14:paraId="6BE2579E" w14:textId="7DA59053" w:rsidR="00157AF3" w:rsidRPr="00B31851" w:rsidRDefault="001218A3" w:rsidP="003B657D">
      <w:pPr>
        <w:spacing w:before="240"/>
        <w:rPr>
          <w:rFonts w:cs="Arial"/>
          <w:i w:val="0"/>
          <w:iCs w:val="0"/>
        </w:rPr>
      </w:pPr>
      <w:r w:rsidRPr="00B31851">
        <w:rPr>
          <w:rFonts w:cs="Arial"/>
          <w:i w:val="0"/>
          <w:iCs w:val="0"/>
        </w:rPr>
        <w:t>It is recognised</w:t>
      </w:r>
      <w:r w:rsidR="00692A21" w:rsidRPr="00B31851">
        <w:rPr>
          <w:rFonts w:cs="Arial"/>
          <w:i w:val="0"/>
          <w:iCs w:val="0"/>
        </w:rPr>
        <w:t>,</w:t>
      </w:r>
      <w:r w:rsidRPr="00B31851">
        <w:rPr>
          <w:rFonts w:cs="Arial"/>
          <w:i w:val="0"/>
          <w:iCs w:val="0"/>
        </w:rPr>
        <w:t xml:space="preserve"> f</w:t>
      </w:r>
      <w:r w:rsidR="00074331" w:rsidRPr="00B31851">
        <w:rPr>
          <w:rFonts w:cs="Arial"/>
          <w:i w:val="0"/>
          <w:iCs w:val="0"/>
        </w:rPr>
        <w:t>or example</w:t>
      </w:r>
      <w:r w:rsidR="00692A21" w:rsidRPr="00B31851">
        <w:rPr>
          <w:rFonts w:cs="Arial"/>
          <w:i w:val="0"/>
          <w:iCs w:val="0"/>
        </w:rPr>
        <w:t>,</w:t>
      </w:r>
      <w:r w:rsidR="00074331" w:rsidRPr="00B31851">
        <w:rPr>
          <w:rFonts w:cs="Arial"/>
          <w:i w:val="0"/>
          <w:iCs w:val="0"/>
        </w:rPr>
        <w:t xml:space="preserve"> </w:t>
      </w:r>
      <w:r w:rsidRPr="00B31851">
        <w:rPr>
          <w:rFonts w:cs="Arial"/>
          <w:i w:val="0"/>
          <w:iCs w:val="0"/>
        </w:rPr>
        <w:t>that</w:t>
      </w:r>
      <w:r w:rsidR="00074331" w:rsidRPr="00B31851">
        <w:rPr>
          <w:rFonts w:cs="Arial"/>
          <w:i w:val="0"/>
          <w:iCs w:val="0"/>
        </w:rPr>
        <w:t xml:space="preserve"> a closed court may impact the right to </w:t>
      </w:r>
      <w:r w:rsidR="00692A21" w:rsidRPr="00B31851">
        <w:rPr>
          <w:rFonts w:cs="Arial"/>
          <w:i w:val="0"/>
          <w:iCs w:val="0"/>
        </w:rPr>
        <w:t xml:space="preserve">a </w:t>
      </w:r>
      <w:r w:rsidR="00074331" w:rsidRPr="00B31851">
        <w:rPr>
          <w:rFonts w:cs="Arial"/>
          <w:i w:val="0"/>
          <w:iCs w:val="0"/>
        </w:rPr>
        <w:t xml:space="preserve">fair trial because </w:t>
      </w:r>
      <w:r w:rsidR="00692A21" w:rsidRPr="00B31851">
        <w:rPr>
          <w:rFonts w:cs="Arial"/>
          <w:i w:val="0"/>
          <w:iCs w:val="0"/>
        </w:rPr>
        <w:t xml:space="preserve">it limits public scrutiny and transparency of proceedings, which are </w:t>
      </w:r>
      <w:r w:rsidR="000504CE" w:rsidRPr="00B31851">
        <w:rPr>
          <w:rFonts w:cs="Arial"/>
          <w:i w:val="0"/>
          <w:iCs w:val="0"/>
        </w:rPr>
        <w:t xml:space="preserve">generally </w:t>
      </w:r>
      <w:r w:rsidR="00692A21" w:rsidRPr="00B31851">
        <w:rPr>
          <w:rFonts w:cs="Arial"/>
          <w:i w:val="0"/>
          <w:iCs w:val="0"/>
        </w:rPr>
        <w:t>fundamental to ensuring accountability and procedural fairness. Similarly,</w:t>
      </w:r>
      <w:r w:rsidR="00074331" w:rsidRPr="00B31851">
        <w:rPr>
          <w:rFonts w:cs="Arial"/>
          <w:i w:val="0"/>
          <w:iCs w:val="0"/>
        </w:rPr>
        <w:t xml:space="preserve"> giving evidence </w:t>
      </w:r>
      <w:r w:rsidR="00692A21" w:rsidRPr="00B31851">
        <w:rPr>
          <w:rFonts w:cs="Arial"/>
          <w:i w:val="0"/>
          <w:iCs w:val="0"/>
        </w:rPr>
        <w:t xml:space="preserve">via </w:t>
      </w:r>
      <w:r w:rsidR="00074331" w:rsidRPr="00B31851">
        <w:rPr>
          <w:rFonts w:cs="Arial"/>
          <w:i w:val="0"/>
          <w:iCs w:val="0"/>
        </w:rPr>
        <w:t xml:space="preserve">AVL may </w:t>
      </w:r>
      <w:r w:rsidR="00692A21" w:rsidRPr="00B31851">
        <w:rPr>
          <w:rFonts w:cs="Arial"/>
          <w:i w:val="0"/>
          <w:iCs w:val="0"/>
        </w:rPr>
        <w:t>affect</w:t>
      </w:r>
      <w:r w:rsidR="00074331" w:rsidRPr="00B31851">
        <w:rPr>
          <w:rFonts w:cs="Arial"/>
          <w:i w:val="0"/>
          <w:iCs w:val="0"/>
        </w:rPr>
        <w:t xml:space="preserve"> the right to </w:t>
      </w:r>
      <w:r w:rsidR="00692A21" w:rsidRPr="00B31851">
        <w:rPr>
          <w:rFonts w:cs="Arial"/>
          <w:i w:val="0"/>
          <w:iCs w:val="0"/>
        </w:rPr>
        <w:t xml:space="preserve">a </w:t>
      </w:r>
      <w:r w:rsidR="00074331" w:rsidRPr="00B31851">
        <w:rPr>
          <w:rFonts w:cs="Arial"/>
          <w:i w:val="0"/>
          <w:iCs w:val="0"/>
        </w:rPr>
        <w:t xml:space="preserve">fair trial </w:t>
      </w:r>
      <w:r w:rsidR="00692A21" w:rsidRPr="00B31851">
        <w:rPr>
          <w:rFonts w:cs="Arial"/>
          <w:i w:val="0"/>
          <w:iCs w:val="0"/>
        </w:rPr>
        <w:t>by reducing the immediacy and effectiveness of cross-examination, and potentially influencing the perception of credibility</w:t>
      </w:r>
      <w:r w:rsidR="00C7571B" w:rsidRPr="00B31851">
        <w:rPr>
          <w:rFonts w:cs="Arial"/>
          <w:i w:val="0"/>
          <w:iCs w:val="0"/>
        </w:rPr>
        <w:t xml:space="preserve"> of a witness</w:t>
      </w:r>
      <w:r w:rsidR="00692A21" w:rsidRPr="00B31851">
        <w:rPr>
          <w:rFonts w:cs="Arial"/>
          <w:i w:val="0"/>
          <w:iCs w:val="0"/>
        </w:rPr>
        <w:t>. However,</w:t>
      </w:r>
      <w:r w:rsidR="00074331" w:rsidRPr="00B31851">
        <w:rPr>
          <w:rFonts w:cs="Arial"/>
          <w:i w:val="0"/>
          <w:iCs w:val="0"/>
        </w:rPr>
        <w:t xml:space="preserve"> each special requirement</w:t>
      </w:r>
      <w:r w:rsidR="000E3AEA" w:rsidRPr="00B31851">
        <w:rPr>
          <w:rFonts w:cs="Arial"/>
          <w:i w:val="0"/>
          <w:iCs w:val="0"/>
        </w:rPr>
        <w:t xml:space="preserve"> </w:t>
      </w:r>
      <w:r w:rsidR="00692A21" w:rsidRPr="00B31851">
        <w:rPr>
          <w:rFonts w:cs="Arial"/>
          <w:i w:val="0"/>
          <w:iCs w:val="0"/>
        </w:rPr>
        <w:t>such as</w:t>
      </w:r>
      <w:r w:rsidR="000E3AEA" w:rsidRPr="00B31851">
        <w:rPr>
          <w:rFonts w:cs="Arial"/>
          <w:i w:val="0"/>
          <w:iCs w:val="0"/>
        </w:rPr>
        <w:t xml:space="preserve"> use of</w:t>
      </w:r>
      <w:r w:rsidR="00692A21" w:rsidRPr="00B31851">
        <w:rPr>
          <w:rFonts w:cs="Arial"/>
          <w:i w:val="0"/>
          <w:iCs w:val="0"/>
        </w:rPr>
        <w:t xml:space="preserve"> closed courts, AVL testimony, and </w:t>
      </w:r>
      <w:r w:rsidR="000B4782" w:rsidRPr="00B31851">
        <w:rPr>
          <w:rFonts w:cs="Arial"/>
          <w:i w:val="0"/>
          <w:iCs w:val="0"/>
        </w:rPr>
        <w:t xml:space="preserve">ability to have a </w:t>
      </w:r>
      <w:r w:rsidR="00605355" w:rsidRPr="00B31851">
        <w:rPr>
          <w:rFonts w:cs="Arial"/>
          <w:i w:val="0"/>
          <w:iCs w:val="0"/>
        </w:rPr>
        <w:t>support person</w:t>
      </w:r>
      <w:r w:rsidR="000B4782" w:rsidRPr="00B31851">
        <w:rPr>
          <w:rFonts w:cs="Arial"/>
          <w:i w:val="0"/>
          <w:iCs w:val="0"/>
        </w:rPr>
        <w:t xml:space="preserve">, </w:t>
      </w:r>
      <w:r w:rsidR="00074331" w:rsidRPr="00B31851">
        <w:rPr>
          <w:rFonts w:cs="Arial"/>
          <w:i w:val="0"/>
          <w:iCs w:val="0"/>
        </w:rPr>
        <w:t xml:space="preserve">positively </w:t>
      </w:r>
      <w:r w:rsidR="00692A21" w:rsidRPr="00B31851">
        <w:rPr>
          <w:rFonts w:cs="Arial"/>
          <w:i w:val="0"/>
          <w:iCs w:val="0"/>
        </w:rPr>
        <w:t>impacts</w:t>
      </w:r>
      <w:r w:rsidR="00074331" w:rsidRPr="00B31851">
        <w:rPr>
          <w:rFonts w:cs="Arial"/>
          <w:i w:val="0"/>
          <w:iCs w:val="0"/>
        </w:rPr>
        <w:t xml:space="preserve"> the complainant</w:t>
      </w:r>
      <w:r w:rsidR="00692A21" w:rsidRPr="00B31851">
        <w:rPr>
          <w:rFonts w:cs="Arial"/>
          <w:i w:val="0"/>
          <w:iCs w:val="0"/>
        </w:rPr>
        <w:t xml:space="preserve"> by reducing trauma, protecting privacy, and creating a safer environment for participation. These measures are designed to support vulnerable individuals, particularly in sexual offence proceedings, by minimising re-traumatisation and enabling more confident and accurate testimony, thereby enhancing access to justice.</w:t>
      </w:r>
    </w:p>
    <w:p w14:paraId="5175339C" w14:textId="7CC59959" w:rsidR="007671EA" w:rsidRPr="00F5712C" w:rsidRDefault="0088683E" w:rsidP="003B657D">
      <w:pPr>
        <w:pStyle w:val="ListParagraph"/>
        <w:numPr>
          <w:ilvl w:val="0"/>
          <w:numId w:val="16"/>
        </w:numPr>
        <w:spacing w:before="240"/>
        <w:rPr>
          <w:rFonts w:cs="Arial"/>
          <w:b/>
        </w:rPr>
      </w:pPr>
      <w:r w:rsidRPr="00F5712C">
        <w:rPr>
          <w:rFonts w:cs="Arial"/>
          <w:b/>
        </w:rPr>
        <w:t>Rational connection between the limitation and the purpose (s28</w:t>
      </w:r>
      <w:r w:rsidR="00AD08C9">
        <w:rPr>
          <w:rFonts w:cs="Arial"/>
          <w:b/>
        </w:rPr>
        <w:t>(2)</w:t>
      </w:r>
      <w:r w:rsidRPr="00F5712C">
        <w:rPr>
          <w:rFonts w:cs="Arial"/>
          <w:b/>
        </w:rPr>
        <w:t>(d))</w:t>
      </w:r>
    </w:p>
    <w:p w14:paraId="4DE007AA" w14:textId="34B278CA" w:rsidR="004458CC" w:rsidRPr="00B31851" w:rsidRDefault="004458CC" w:rsidP="00BB5E81">
      <w:pPr>
        <w:rPr>
          <w:rFonts w:cs="Arial"/>
          <w:i w:val="0"/>
          <w:iCs w:val="0"/>
        </w:rPr>
      </w:pPr>
      <w:r w:rsidRPr="00B31851">
        <w:rPr>
          <w:rFonts w:cs="Arial"/>
          <w:i w:val="0"/>
          <w:iCs w:val="0"/>
        </w:rPr>
        <w:t>Extending protections akin to those already protected under the EMP Act to WHS proceedings, are rationally connected to the legitimate and pressing objective of ensuring that victim-survivors can give evidence without fear, re-traumatisation or intimidation. The amendments are necessary to uphold the fair administration of justice and protect the dignity of those involved.</w:t>
      </w:r>
    </w:p>
    <w:p w14:paraId="692B772E" w14:textId="33E1FF48" w:rsidR="00251837" w:rsidRPr="00B31851" w:rsidRDefault="00251837" w:rsidP="00BB5E81">
      <w:pPr>
        <w:rPr>
          <w:rFonts w:cs="Arial"/>
          <w:i w:val="0"/>
          <w:iCs w:val="0"/>
        </w:rPr>
      </w:pPr>
      <w:r w:rsidRPr="60450B89">
        <w:rPr>
          <w:rFonts w:cs="Arial"/>
          <w:i w:val="0"/>
          <w:iCs w:val="0"/>
        </w:rPr>
        <w:t xml:space="preserve">Enabling special protections </w:t>
      </w:r>
      <w:r w:rsidR="00F5712C" w:rsidRPr="60450B89">
        <w:rPr>
          <w:rFonts w:cs="Arial"/>
          <w:i w:val="0"/>
          <w:iCs w:val="0"/>
        </w:rPr>
        <w:t>to</w:t>
      </w:r>
      <w:r w:rsidRPr="60450B89">
        <w:rPr>
          <w:rFonts w:cs="Arial"/>
          <w:i w:val="0"/>
          <w:iCs w:val="0"/>
        </w:rPr>
        <w:t xml:space="preserve"> complainants in WHS proceedings involving sexual assault or harassment is likely to increase participation, help reduce </w:t>
      </w:r>
      <w:r w:rsidRPr="60450B89" w:rsidDel="00200583">
        <w:rPr>
          <w:rFonts w:cs="Arial"/>
          <w:i w:val="0"/>
          <w:iCs w:val="0"/>
        </w:rPr>
        <w:t>trauma</w:t>
      </w:r>
      <w:r w:rsidRPr="60450B89">
        <w:rPr>
          <w:rFonts w:cs="Arial"/>
          <w:i w:val="0"/>
          <w:iCs w:val="0"/>
        </w:rPr>
        <w:t xml:space="preserve"> and improve justice outcomes by creating a safer and more supportive environment for vulnerable individuals. The amendment aligns with trauma-informed legal practice and reinforces the ACT Government’s commitment to fostering safe and respectful workplaces, particularly in contexts where power imbalances may deter reporting. A National Survey undertaken in 2018 indicated that 33% of people who had been in the workforce in the previous five years said they had experienced workplace sexual harassment.</w:t>
      </w:r>
      <w:r w:rsidRPr="60450B89">
        <w:rPr>
          <w:rStyle w:val="FootnoteReference"/>
          <w:i w:val="0"/>
          <w:iCs w:val="0"/>
        </w:rPr>
        <w:footnoteReference w:id="6"/>
      </w:r>
      <w:r w:rsidRPr="60450B89">
        <w:rPr>
          <w:rFonts w:cs="Arial"/>
          <w:i w:val="0"/>
          <w:iCs w:val="0"/>
          <w:vertAlign w:val="superscript"/>
        </w:rPr>
        <w:t xml:space="preserve"> </w:t>
      </w:r>
      <w:r w:rsidRPr="60450B89">
        <w:rPr>
          <w:rFonts w:cs="Arial"/>
          <w:i w:val="0"/>
          <w:iCs w:val="0"/>
        </w:rPr>
        <w:t>However, the number of WHS proceedings dealing with alleged sexual misconduct does not reflect this percentage and have been nominal.</w:t>
      </w:r>
    </w:p>
    <w:p w14:paraId="0FDB4B2C" w14:textId="5CB4DFDD" w:rsidR="00157AF3" w:rsidRPr="00B31851" w:rsidRDefault="00871311" w:rsidP="00444C7E">
      <w:pPr>
        <w:rPr>
          <w:rFonts w:cs="Arial"/>
          <w:i w:val="0"/>
          <w:iCs w:val="0"/>
        </w:rPr>
      </w:pPr>
      <w:r w:rsidRPr="60450B89">
        <w:rPr>
          <w:rFonts w:cs="Arial"/>
          <w:i w:val="0"/>
          <w:iCs w:val="0"/>
        </w:rPr>
        <w:t>W</w:t>
      </w:r>
      <w:r w:rsidR="00CD5125" w:rsidRPr="60450B89">
        <w:rPr>
          <w:rFonts w:cs="Arial"/>
          <w:i w:val="0"/>
          <w:iCs w:val="0"/>
        </w:rPr>
        <w:t xml:space="preserve">ithout such protections, witnesses may be deterred from giving evidence, undermining both the integrity of the process and the pursuit of justice in sensitive WHS matters. </w:t>
      </w:r>
      <w:r w:rsidR="006B42BE" w:rsidRPr="60450B89">
        <w:rPr>
          <w:rFonts w:cs="Arial"/>
          <w:i w:val="0"/>
          <w:iCs w:val="0"/>
        </w:rPr>
        <w:t xml:space="preserve">Findings from </w:t>
      </w:r>
      <w:r w:rsidR="00872DE6" w:rsidRPr="60450B89">
        <w:rPr>
          <w:rFonts w:cs="Arial"/>
          <w:i w:val="0"/>
          <w:iCs w:val="0"/>
        </w:rPr>
        <w:t xml:space="preserve">a </w:t>
      </w:r>
      <w:r w:rsidR="006B42BE" w:rsidRPr="60450B89">
        <w:rPr>
          <w:rFonts w:cs="Arial"/>
          <w:i w:val="0"/>
          <w:iCs w:val="0"/>
        </w:rPr>
        <w:t>report</w:t>
      </w:r>
      <w:r w:rsidR="00872DE6" w:rsidRPr="60450B89">
        <w:rPr>
          <w:rFonts w:cs="Arial"/>
          <w:i w:val="0"/>
          <w:iCs w:val="0"/>
        </w:rPr>
        <w:t xml:space="preserve"> conducted by </w:t>
      </w:r>
      <w:r w:rsidR="006B42BE" w:rsidRPr="60450B89">
        <w:rPr>
          <w:rFonts w:cs="Arial"/>
          <w:i w:val="0"/>
          <w:iCs w:val="0"/>
        </w:rPr>
        <w:t xml:space="preserve">the </w:t>
      </w:r>
      <w:r w:rsidR="00872DE6" w:rsidRPr="60450B89">
        <w:rPr>
          <w:rFonts w:cs="Arial"/>
          <w:i w:val="0"/>
          <w:iCs w:val="0"/>
        </w:rPr>
        <w:t>Sexual Assault Prevention and Response Sterring Committee</w:t>
      </w:r>
      <w:r w:rsidR="00F5712C" w:rsidRPr="60450B89">
        <w:rPr>
          <w:rStyle w:val="FootnoteReference"/>
          <w:i w:val="0"/>
          <w:iCs w:val="0"/>
        </w:rPr>
        <w:footnoteReference w:id="7"/>
      </w:r>
      <w:r w:rsidR="006B42BE" w:rsidRPr="60450B89">
        <w:rPr>
          <w:rFonts w:cs="Arial"/>
          <w:i w:val="0"/>
          <w:iCs w:val="0"/>
        </w:rPr>
        <w:t xml:space="preserve"> illustrated that victim survivors reflected </w:t>
      </w:r>
      <w:r w:rsidR="005D4EAE" w:rsidRPr="60450B89">
        <w:rPr>
          <w:rFonts w:cs="Arial"/>
          <w:i w:val="0"/>
          <w:iCs w:val="0"/>
        </w:rPr>
        <w:t>on</w:t>
      </w:r>
      <w:r w:rsidR="006B42BE" w:rsidRPr="60450B89">
        <w:rPr>
          <w:rFonts w:cs="Arial"/>
          <w:i w:val="0"/>
          <w:iCs w:val="0"/>
        </w:rPr>
        <w:t xml:space="preserve"> </w:t>
      </w:r>
      <w:r w:rsidR="00422AF1" w:rsidRPr="60450B89">
        <w:rPr>
          <w:rFonts w:cs="Arial"/>
          <w:i w:val="0"/>
          <w:iCs w:val="0"/>
        </w:rPr>
        <w:t>their</w:t>
      </w:r>
      <w:r w:rsidR="006B42BE" w:rsidRPr="60450B89">
        <w:rPr>
          <w:rFonts w:cs="Arial"/>
          <w:i w:val="0"/>
          <w:iCs w:val="0"/>
        </w:rPr>
        <w:t xml:space="preserve"> interactions </w:t>
      </w:r>
      <w:r w:rsidR="00C77EDB" w:rsidRPr="60450B89">
        <w:rPr>
          <w:rFonts w:cs="Arial"/>
          <w:i w:val="0"/>
          <w:iCs w:val="0"/>
        </w:rPr>
        <w:t xml:space="preserve">with the </w:t>
      </w:r>
      <w:r w:rsidR="00422AF1" w:rsidRPr="60450B89">
        <w:rPr>
          <w:rFonts w:cs="Arial"/>
          <w:i w:val="0"/>
          <w:iCs w:val="0"/>
        </w:rPr>
        <w:t>justice</w:t>
      </w:r>
      <w:r w:rsidR="00C77EDB" w:rsidRPr="60450B89">
        <w:rPr>
          <w:rFonts w:cs="Arial"/>
          <w:i w:val="0"/>
          <w:iCs w:val="0"/>
        </w:rPr>
        <w:t xml:space="preserve"> system</w:t>
      </w:r>
      <w:r w:rsidR="006B42BE" w:rsidRPr="60450B89">
        <w:rPr>
          <w:rFonts w:cs="Arial"/>
          <w:i w:val="0"/>
          <w:iCs w:val="0"/>
        </w:rPr>
        <w:t xml:space="preserve"> </w:t>
      </w:r>
      <w:r w:rsidR="00422AF1" w:rsidRPr="60450B89">
        <w:rPr>
          <w:rFonts w:cs="Arial"/>
          <w:i w:val="0"/>
          <w:iCs w:val="0"/>
        </w:rPr>
        <w:t>which</w:t>
      </w:r>
      <w:r w:rsidR="006B42BE" w:rsidRPr="60450B89">
        <w:rPr>
          <w:rFonts w:cs="Arial"/>
          <w:i w:val="0"/>
          <w:iCs w:val="0"/>
        </w:rPr>
        <w:t xml:space="preserve"> almost deterred them from reporting and pursuing an investigation altogether. </w:t>
      </w:r>
      <w:r w:rsidR="00E14C34" w:rsidRPr="60450B89">
        <w:rPr>
          <w:rFonts w:cs="Arial"/>
          <w:i w:val="0"/>
          <w:iCs w:val="0"/>
        </w:rPr>
        <w:t>Further</w:t>
      </w:r>
      <w:r w:rsidR="006B42BE" w:rsidRPr="60450B89">
        <w:rPr>
          <w:rFonts w:cs="Arial"/>
          <w:i w:val="0"/>
          <w:iCs w:val="0"/>
        </w:rPr>
        <w:t xml:space="preserve">, victim survivors spoke of the need for specialist training on the nature of sexual violence and trauma-informed practice in responding to disclosures. The consultation found that many victim survivors </w:t>
      </w:r>
      <w:r w:rsidR="006B42BE" w:rsidRPr="60450B89">
        <w:rPr>
          <w:rFonts w:cs="Arial"/>
          <w:i w:val="0"/>
          <w:iCs w:val="0"/>
        </w:rPr>
        <w:lastRenderedPageBreak/>
        <w:t>experienced lengthy timeframes with police investigation and criminal prosecution and these delays compounded the trauma they had experienced.</w:t>
      </w:r>
    </w:p>
    <w:p w14:paraId="3DA8AFF0" w14:textId="6D3BBA2E" w:rsidR="003B657D" w:rsidRPr="003B657D" w:rsidRDefault="0088683E" w:rsidP="003B657D">
      <w:pPr>
        <w:pStyle w:val="ListParagraph"/>
        <w:numPr>
          <w:ilvl w:val="0"/>
          <w:numId w:val="16"/>
        </w:numPr>
        <w:spacing w:before="240"/>
        <w:rPr>
          <w:rFonts w:cs="Arial"/>
          <w:b/>
        </w:rPr>
      </w:pPr>
      <w:r w:rsidRPr="00210201">
        <w:rPr>
          <w:rFonts w:cs="Arial"/>
          <w:b/>
        </w:rPr>
        <w:t>Proportionality (s28</w:t>
      </w:r>
      <w:r w:rsidR="00AD08C9">
        <w:rPr>
          <w:rFonts w:cs="Arial"/>
          <w:b/>
        </w:rPr>
        <w:t>(2)</w:t>
      </w:r>
      <w:r w:rsidRPr="00210201">
        <w:rPr>
          <w:rFonts w:cs="Arial"/>
          <w:b/>
        </w:rPr>
        <w:t>(e))</w:t>
      </w:r>
    </w:p>
    <w:p w14:paraId="6D902552" w14:textId="4982E56F" w:rsidR="00D039CD" w:rsidRDefault="0016695A" w:rsidP="00BB5E81">
      <w:pPr>
        <w:rPr>
          <w:rFonts w:cs="Arial"/>
          <w:i w:val="0"/>
          <w:iCs w:val="0"/>
        </w:rPr>
      </w:pPr>
      <w:r w:rsidRPr="00B31851">
        <w:rPr>
          <w:rFonts w:cs="Arial"/>
          <w:i w:val="0"/>
          <w:iCs w:val="0"/>
        </w:rPr>
        <w:t>The inclusion of protections</w:t>
      </w:r>
      <w:r w:rsidR="00085C05" w:rsidRPr="00B31851">
        <w:rPr>
          <w:rFonts w:cs="Arial"/>
          <w:i w:val="0"/>
          <w:iCs w:val="0"/>
        </w:rPr>
        <w:t xml:space="preserve"> including</w:t>
      </w:r>
      <w:r w:rsidRPr="00B31851">
        <w:rPr>
          <w:rFonts w:cs="Arial"/>
          <w:i w:val="0"/>
          <w:iCs w:val="0"/>
        </w:rPr>
        <w:t xml:space="preserve"> screening the accused from the witness, prohibiting direct cross-examination by self-represented accused persons, allowing support persons, and enabling evidence to be given via AVL or in closed court</w:t>
      </w:r>
      <w:r w:rsidR="00085C05" w:rsidRPr="00B31851">
        <w:rPr>
          <w:rFonts w:cs="Arial"/>
          <w:i w:val="0"/>
          <w:iCs w:val="0"/>
        </w:rPr>
        <w:t xml:space="preserve">, </w:t>
      </w:r>
      <w:r w:rsidRPr="00B31851">
        <w:rPr>
          <w:rFonts w:cs="Arial"/>
          <w:i w:val="0"/>
          <w:iCs w:val="0"/>
        </w:rPr>
        <w:t xml:space="preserve">are designed to reduce trauma, address power imbalances, and support vulnerable complainants. Each measure is narrowly applied and tailored to the specific context of WHS proceedings, ensuring that the overall fairness of the process is preserved. While these provisions may alter traditional courtroom dynamics or limit certain defence strategies, they are balanced by safeguards that maintain procedural integrity, such as judicial oversight, the right to legal representation, and the ability to challenge evidence. </w:t>
      </w:r>
    </w:p>
    <w:p w14:paraId="3E66A9EC" w14:textId="77777777" w:rsidR="005A1FE6" w:rsidRPr="00B31851" w:rsidRDefault="005A1FE6" w:rsidP="00BB5E81">
      <w:pPr>
        <w:rPr>
          <w:rFonts w:cs="Arial"/>
          <w:i w:val="0"/>
          <w:iCs w:val="0"/>
        </w:rPr>
      </w:pPr>
      <w:r w:rsidRPr="00B31851">
        <w:rPr>
          <w:rFonts w:cs="Arial"/>
          <w:i w:val="0"/>
          <w:iCs w:val="0"/>
        </w:rPr>
        <w:t xml:space="preserve">The prohibition on publishing a complainant’s identity and the exclusion of sexual reputation evidence further protect privacy and dignity without unduly compromising the accused’s ability to mount a defence. The inclusion of family violence evidence is subject to judicial discretion, ensuring it does not unfairly prejudice the proceedings. </w:t>
      </w:r>
    </w:p>
    <w:p w14:paraId="1C3F3599" w14:textId="400BFF26" w:rsidR="00264D3A" w:rsidRPr="00B31851" w:rsidRDefault="00264D3A" w:rsidP="00BB5E81">
      <w:pPr>
        <w:rPr>
          <w:rFonts w:cs="Arial"/>
          <w:i w:val="0"/>
          <w:iCs w:val="0"/>
        </w:rPr>
      </w:pPr>
      <w:r w:rsidRPr="60450B89">
        <w:rPr>
          <w:rFonts w:cs="Arial"/>
          <w:i w:val="0"/>
          <w:iCs w:val="0"/>
        </w:rPr>
        <w:t>The EMP Act amendment introduces targeted procedural protections for complainants in WHS proceedings involving sexual assault or harassment, which are specifically designed to reduce trauma and encourage reporting. These protections are narrowly applied and do not alter the substantive rights or legal standing of other parties, such as the accused or duty holders. Given the sensitive nature of these proceedings and the well-documented barriers to reporting workplace sexual misconduct, the amendment represents a proportionate response to a serious and systemic issue. Such barriers include fear of repercussions, lack of trust in the reporting mechanisms, psychosocial hazards and trauma, privacy concerns and complexity of legal and procedural pathways</w:t>
      </w:r>
      <w:r w:rsidRPr="60450B89">
        <w:rPr>
          <w:rStyle w:val="FootnoteReference"/>
          <w:i w:val="0"/>
          <w:iCs w:val="0"/>
        </w:rPr>
        <w:footnoteReference w:id="8"/>
      </w:r>
      <w:r w:rsidR="00BF19D5">
        <w:rPr>
          <w:rFonts w:cs="Arial"/>
          <w:i w:val="0"/>
          <w:iCs w:val="0"/>
        </w:rPr>
        <w:t>.</w:t>
      </w:r>
      <w:r w:rsidRPr="60450B89">
        <w:rPr>
          <w:rFonts w:cs="Arial"/>
          <w:i w:val="0"/>
          <w:iCs w:val="0"/>
        </w:rPr>
        <w:t xml:space="preserve"> </w:t>
      </w:r>
    </w:p>
    <w:p w14:paraId="6389A707" w14:textId="2A92A9F5" w:rsidR="004A1C39" w:rsidRPr="00B31851" w:rsidRDefault="00AC0C68" w:rsidP="007614F4">
      <w:pPr>
        <w:rPr>
          <w:rFonts w:cs="Arial"/>
          <w:i w:val="0"/>
          <w:iCs w:val="0"/>
        </w:rPr>
      </w:pPr>
      <w:r w:rsidRPr="00B31851">
        <w:rPr>
          <w:rFonts w:cs="Arial"/>
          <w:i w:val="0"/>
          <w:iCs w:val="0"/>
        </w:rPr>
        <w:t>The</w:t>
      </w:r>
      <w:r w:rsidR="00264D3A" w:rsidRPr="00B31851">
        <w:rPr>
          <w:rFonts w:cs="Arial"/>
          <w:i w:val="0"/>
          <w:iCs w:val="0"/>
        </w:rPr>
        <w:t xml:space="preserve"> extent of the limitation is narrow and targeted. It applies specifically to WHS proceedings involving sensitive allegations of a sexual nature and does not undermine the fairness of the legal process. Instead, it enhances procedural equity by ensuring that complainants are not disadvantaged due to the nature of the forum in which their matter is heard. Therefore, the amendment is the least rights-restrictive means reasonably available to achieve its legitimate objective, while maintaining fairness and integrity in the legal process.</w:t>
      </w:r>
      <w:r w:rsidR="00CF00A5" w:rsidRPr="00B31851">
        <w:rPr>
          <w:rFonts w:cs="Arial"/>
          <w:i w:val="0"/>
          <w:iCs w:val="0"/>
        </w:rPr>
        <w:t xml:space="preserve"> Further, these court protections currently require an application to be made before they can be applied. The proposed amendments aim to remove that requirement, allowing the protections to be automatically applied in cases involving victim-survivors with similar experiences. This approach is proportionate and justified, as the protections are specifically tailored to the context of WHS proceedings involving suspected sexual assault or harassment, and judicial oversight ensures fairness is upheld.</w:t>
      </w:r>
    </w:p>
    <w:p w14:paraId="15BE600D" w14:textId="796BC0DE" w:rsidR="00326538" w:rsidRPr="00B31851" w:rsidRDefault="007A2A67" w:rsidP="007614F4">
      <w:pPr>
        <w:rPr>
          <w:rFonts w:cs="Arial"/>
          <w:i w:val="0"/>
          <w:iCs w:val="0"/>
        </w:rPr>
      </w:pPr>
      <w:r w:rsidRPr="00B31851">
        <w:rPr>
          <w:rFonts w:cs="Arial"/>
          <w:i w:val="0"/>
          <w:iCs w:val="0"/>
        </w:rPr>
        <w:t xml:space="preserve">This approach balances the rights of the accused with the need to maintain the dignity, safety, and participation of witnesses. The protections are also consistent with existing practices in other sensitive jurisdictions, such as family violence and sexual </w:t>
      </w:r>
      <w:r w:rsidRPr="00B31851">
        <w:rPr>
          <w:rFonts w:cs="Arial"/>
          <w:i w:val="0"/>
          <w:iCs w:val="0"/>
        </w:rPr>
        <w:lastRenderedPageBreak/>
        <w:t>offence proceedings, reinforcing their appropriateness and proportionality in the WHS context.</w:t>
      </w:r>
      <w:r w:rsidR="005C414D">
        <w:rPr>
          <w:rFonts w:cs="Arial"/>
          <w:i w:val="0"/>
          <w:iCs w:val="0"/>
        </w:rPr>
        <w:t xml:space="preserve"> </w:t>
      </w:r>
      <w:r w:rsidR="00EE1BCA" w:rsidRPr="00B31851">
        <w:rPr>
          <w:rFonts w:cs="Arial"/>
          <w:i w:val="0"/>
          <w:iCs w:val="0"/>
        </w:rPr>
        <w:t>Outlined below is the rationale as to why</w:t>
      </w:r>
      <w:r w:rsidR="00326538" w:rsidRPr="00B31851">
        <w:rPr>
          <w:rFonts w:cs="Arial"/>
          <w:i w:val="0"/>
          <w:iCs w:val="0"/>
        </w:rPr>
        <w:t xml:space="preserve"> the limitation is reasonable for each circumstance</w:t>
      </w:r>
      <w:r w:rsidR="00157AF3" w:rsidRPr="00B31851">
        <w:rPr>
          <w:rFonts w:cs="Arial"/>
          <w:i w:val="0"/>
          <w:iCs w:val="0"/>
        </w:rPr>
        <w:t xml:space="preserve"> and special measure afforded</w:t>
      </w:r>
      <w:r w:rsidR="0098748C">
        <w:rPr>
          <w:rFonts w:cs="Arial"/>
          <w:i w:val="0"/>
          <w:iCs w:val="0"/>
        </w:rPr>
        <w:t>.</w:t>
      </w:r>
    </w:p>
    <w:tbl>
      <w:tblPr>
        <w:tblStyle w:val="TableGrid"/>
        <w:tblW w:w="0" w:type="auto"/>
        <w:tblLook w:val="04A0" w:firstRow="1" w:lastRow="0" w:firstColumn="1" w:lastColumn="0" w:noHBand="0" w:noVBand="1"/>
      </w:tblPr>
      <w:tblGrid>
        <w:gridCol w:w="2263"/>
        <w:gridCol w:w="6753"/>
      </w:tblGrid>
      <w:tr w:rsidR="00326538" w:rsidRPr="00B31851" w14:paraId="17618371" w14:textId="77777777" w:rsidTr="007B6BFC">
        <w:tc>
          <w:tcPr>
            <w:tcW w:w="2263" w:type="dxa"/>
          </w:tcPr>
          <w:p w14:paraId="667DEDF4" w14:textId="5FEF70EC" w:rsidR="00326538" w:rsidRPr="00B31851" w:rsidRDefault="000318F5" w:rsidP="00226E83">
            <w:pPr>
              <w:spacing w:before="240"/>
              <w:rPr>
                <w:rFonts w:cs="Arial"/>
                <w:i w:val="0"/>
                <w:iCs w:val="0"/>
              </w:rPr>
            </w:pPr>
            <w:r w:rsidRPr="00B31851">
              <w:rPr>
                <w:rFonts w:cs="Arial"/>
                <w:i w:val="0"/>
                <w:iCs w:val="0"/>
              </w:rPr>
              <w:t>Accused person may be screened from witness in court</w:t>
            </w:r>
          </w:p>
        </w:tc>
        <w:tc>
          <w:tcPr>
            <w:tcW w:w="6753" w:type="dxa"/>
          </w:tcPr>
          <w:p w14:paraId="081E8F06" w14:textId="087768EA" w:rsidR="00326538" w:rsidRPr="00B31851" w:rsidRDefault="009B3532" w:rsidP="007614F4">
            <w:pPr>
              <w:rPr>
                <w:rFonts w:cs="Arial"/>
                <w:i w:val="0"/>
                <w:iCs w:val="0"/>
              </w:rPr>
            </w:pPr>
            <w:r w:rsidRPr="00B31851">
              <w:rPr>
                <w:rFonts w:cs="Arial"/>
                <w:i w:val="0"/>
                <w:iCs w:val="0"/>
              </w:rPr>
              <w:t>Facilitating</w:t>
            </w:r>
            <w:r w:rsidR="00254267" w:rsidRPr="00B31851">
              <w:rPr>
                <w:rFonts w:cs="Arial"/>
                <w:i w:val="0"/>
                <w:iCs w:val="0"/>
              </w:rPr>
              <w:t xml:space="preserve"> the accused to be screened from the witness in WHS proceedings involving alleged sexual misconduct is a proportionate limitation on the right to a fair trial. It protects vulnerable complainants from further trauma while preserving the accused’s core rights, including being present, hearing the evidence, and challenging it through legal representation. </w:t>
            </w:r>
            <w:r w:rsidR="00717AF6" w:rsidRPr="00B31851">
              <w:rPr>
                <w:rFonts w:cs="Arial"/>
                <w:i w:val="0"/>
                <w:iCs w:val="0"/>
              </w:rPr>
              <w:t>Judicial discretion ensures the</w:t>
            </w:r>
            <w:r w:rsidR="00254267" w:rsidRPr="00B31851">
              <w:rPr>
                <w:rFonts w:cs="Arial"/>
                <w:i w:val="0"/>
                <w:iCs w:val="0"/>
              </w:rPr>
              <w:t xml:space="preserve"> measure is applied only when necessary, ensuring it remains a justified and minimal interference with fair trial rights.</w:t>
            </w:r>
          </w:p>
        </w:tc>
      </w:tr>
      <w:tr w:rsidR="00326538" w:rsidRPr="00B31851" w14:paraId="39C5B1F1" w14:textId="77777777" w:rsidTr="007B6BFC">
        <w:tc>
          <w:tcPr>
            <w:tcW w:w="2263" w:type="dxa"/>
          </w:tcPr>
          <w:p w14:paraId="12FC4A9D" w14:textId="4765280D" w:rsidR="00326538" w:rsidRPr="00B31851" w:rsidRDefault="000318F5" w:rsidP="007614F4">
            <w:pPr>
              <w:rPr>
                <w:rFonts w:cs="Arial"/>
                <w:i w:val="0"/>
                <w:iCs w:val="0"/>
              </w:rPr>
            </w:pPr>
            <w:r w:rsidRPr="00B31851">
              <w:rPr>
                <w:rFonts w:cs="Arial"/>
                <w:i w:val="0"/>
                <w:iCs w:val="0"/>
              </w:rPr>
              <w:t>No examination of witness by self-represented accused person</w:t>
            </w:r>
          </w:p>
        </w:tc>
        <w:tc>
          <w:tcPr>
            <w:tcW w:w="6753" w:type="dxa"/>
          </w:tcPr>
          <w:p w14:paraId="73C7243A" w14:textId="35A51039" w:rsidR="00326538" w:rsidRPr="00B31851" w:rsidRDefault="00DC339C" w:rsidP="007614F4">
            <w:pPr>
              <w:rPr>
                <w:rFonts w:cs="Arial"/>
                <w:i w:val="0"/>
                <w:iCs w:val="0"/>
              </w:rPr>
            </w:pPr>
            <w:r w:rsidRPr="00B31851">
              <w:rPr>
                <w:rFonts w:cs="Arial"/>
                <w:i w:val="0"/>
                <w:iCs w:val="0"/>
              </w:rPr>
              <w:t>Prohibiting a self-represented accused person from directly cross-examining a witness in WHS proceedings involving alleged sexual misconduct is a proportionate limitation on the right to a fair trial. This restriction protects vulnerable witnesses from potential re-traumatisation or intimidation, while still allowing the accused to test the evidence through a court-appointed intermediary or legal representative. The measure preserves the fairness of the trial by ensuring the accused can challenge the evidence, while balancing the need to maintain the dignity and wellbeing of complainants in sensitive cases.</w:t>
            </w:r>
          </w:p>
        </w:tc>
      </w:tr>
      <w:tr w:rsidR="00326538" w:rsidRPr="00B31851" w14:paraId="75385B8B" w14:textId="77777777" w:rsidTr="007B6BFC">
        <w:tc>
          <w:tcPr>
            <w:tcW w:w="2263" w:type="dxa"/>
          </w:tcPr>
          <w:p w14:paraId="7048418A" w14:textId="79C32B73" w:rsidR="00326538" w:rsidRPr="00B31851" w:rsidRDefault="00DA42C4" w:rsidP="007614F4">
            <w:pPr>
              <w:rPr>
                <w:rFonts w:cs="Arial"/>
                <w:i w:val="0"/>
                <w:iCs w:val="0"/>
              </w:rPr>
            </w:pPr>
            <w:r w:rsidRPr="00B31851">
              <w:rPr>
                <w:rFonts w:cs="Arial"/>
                <w:i w:val="0"/>
                <w:iCs w:val="0"/>
              </w:rPr>
              <w:t>Witness may have support person in court</w:t>
            </w:r>
          </w:p>
        </w:tc>
        <w:tc>
          <w:tcPr>
            <w:tcW w:w="6753" w:type="dxa"/>
          </w:tcPr>
          <w:p w14:paraId="1F0746EB" w14:textId="0847A111" w:rsidR="00326538" w:rsidRPr="00B31851" w:rsidRDefault="00137053" w:rsidP="007614F4">
            <w:pPr>
              <w:rPr>
                <w:rFonts w:cs="Arial"/>
                <w:i w:val="0"/>
                <w:iCs w:val="0"/>
              </w:rPr>
            </w:pPr>
            <w:r w:rsidRPr="00B31851">
              <w:rPr>
                <w:rFonts w:cs="Arial"/>
                <w:i w:val="0"/>
                <w:iCs w:val="0"/>
              </w:rPr>
              <w:t>Allowing a witness to have a support person present in court during WHS proceedings involving alleged sexual misconduct is a proportionate limitation on the right to a fair trial. This measure helps reduce stress and trauma for vulnerable witnesses, promoting their ability to give clear and reliable evidence. It does not interfere with the accused’s ability to hear, challenge, or respond to the evidence, and therefore maintains the fairness of the proceedings while balancing the need to protect the wellbeing of complainants.</w:t>
            </w:r>
          </w:p>
        </w:tc>
      </w:tr>
      <w:tr w:rsidR="00326538" w:rsidRPr="00B31851" w14:paraId="034C86E2" w14:textId="77777777" w:rsidTr="007B6BFC">
        <w:tc>
          <w:tcPr>
            <w:tcW w:w="2263" w:type="dxa"/>
          </w:tcPr>
          <w:p w14:paraId="0E1CC9DA" w14:textId="61A623B3" w:rsidR="00326538" w:rsidRPr="00B31851" w:rsidRDefault="00DA42C4" w:rsidP="007614F4">
            <w:pPr>
              <w:rPr>
                <w:rFonts w:cs="Arial"/>
                <w:i w:val="0"/>
                <w:iCs w:val="0"/>
              </w:rPr>
            </w:pPr>
            <w:r w:rsidRPr="00B31851">
              <w:rPr>
                <w:rFonts w:cs="Arial"/>
                <w:i w:val="0"/>
                <w:iCs w:val="0"/>
              </w:rPr>
              <w:t>Evidence to be given in closed court</w:t>
            </w:r>
          </w:p>
        </w:tc>
        <w:tc>
          <w:tcPr>
            <w:tcW w:w="6753" w:type="dxa"/>
          </w:tcPr>
          <w:p w14:paraId="01786878" w14:textId="385DC483" w:rsidR="00326538" w:rsidRPr="00B31851" w:rsidRDefault="00630427" w:rsidP="007614F4">
            <w:pPr>
              <w:rPr>
                <w:rFonts w:cs="Arial"/>
                <w:i w:val="0"/>
                <w:iCs w:val="0"/>
              </w:rPr>
            </w:pPr>
            <w:r w:rsidRPr="00B31851">
              <w:rPr>
                <w:rFonts w:cs="Arial"/>
                <w:i w:val="0"/>
                <w:iCs w:val="0"/>
              </w:rPr>
              <w:t>Requiring evidence to be given in a closed court during WHS proceedings involving alleged sexual misconduct is a proportionate limitation on the right to a fair trial. This measure protects the privacy and emotional wellbeing of vulnerable witnesses, encouraging them to give clear and complete evidence. It does not restrict the accused’s ability to be present or to challenge the evidence, ensuring that the fairness of the trial is maintained while balancing the need for a safe and respectful environment.</w:t>
            </w:r>
          </w:p>
        </w:tc>
      </w:tr>
      <w:tr w:rsidR="00326538" w:rsidRPr="00B31851" w14:paraId="5926DEE1" w14:textId="77777777" w:rsidTr="007B6BFC">
        <w:tc>
          <w:tcPr>
            <w:tcW w:w="2263" w:type="dxa"/>
          </w:tcPr>
          <w:p w14:paraId="29DF43ED" w14:textId="3CE009A3" w:rsidR="00326538" w:rsidRPr="00B31851" w:rsidRDefault="003347C7" w:rsidP="007614F4">
            <w:pPr>
              <w:rPr>
                <w:rFonts w:cs="Arial"/>
                <w:i w:val="0"/>
                <w:iCs w:val="0"/>
              </w:rPr>
            </w:pPr>
            <w:r w:rsidRPr="00B31851">
              <w:rPr>
                <w:rFonts w:cs="Arial"/>
                <w:i w:val="0"/>
                <w:iCs w:val="0"/>
              </w:rPr>
              <w:t>Giving evidence at pre-trial hearing</w:t>
            </w:r>
          </w:p>
        </w:tc>
        <w:tc>
          <w:tcPr>
            <w:tcW w:w="6753" w:type="dxa"/>
          </w:tcPr>
          <w:p w14:paraId="753DA66F" w14:textId="026ADF37" w:rsidR="00326538" w:rsidRPr="00B31851" w:rsidRDefault="0060503A" w:rsidP="007614F4">
            <w:pPr>
              <w:rPr>
                <w:rFonts w:cs="Arial"/>
                <w:i w:val="0"/>
                <w:iCs w:val="0"/>
              </w:rPr>
            </w:pPr>
            <w:r w:rsidRPr="00B31851">
              <w:rPr>
                <w:rFonts w:cs="Arial"/>
                <w:i w:val="0"/>
                <w:iCs w:val="0"/>
              </w:rPr>
              <w:t xml:space="preserve">Facilitating this special measure is a proportionate limitation on the right to a fair trial. This measure helps assess the admissibility and relevance of sensitive evidence in a controlled setting, reducing the risk of unnecessary trauma to vulnerable witnesses during the main trial. It does not prevent the accused from participating in the hearing or challenging the evidence, ensuring procedural fairness is maintained </w:t>
            </w:r>
            <w:r w:rsidRPr="00B31851">
              <w:rPr>
                <w:rFonts w:cs="Arial"/>
                <w:i w:val="0"/>
                <w:iCs w:val="0"/>
              </w:rPr>
              <w:lastRenderedPageBreak/>
              <w:t>while supporting the integrity and efficiency of the trial process.</w:t>
            </w:r>
          </w:p>
        </w:tc>
      </w:tr>
      <w:tr w:rsidR="00326538" w14:paraId="018DD36F" w14:textId="77777777" w:rsidTr="007B6BFC">
        <w:tc>
          <w:tcPr>
            <w:tcW w:w="2263" w:type="dxa"/>
          </w:tcPr>
          <w:p w14:paraId="43414B35" w14:textId="73E4B8C1" w:rsidR="00326538" w:rsidRPr="00B31851" w:rsidRDefault="00A410E7" w:rsidP="007614F4">
            <w:pPr>
              <w:rPr>
                <w:rFonts w:cs="Arial"/>
                <w:i w:val="0"/>
                <w:iCs w:val="0"/>
              </w:rPr>
            </w:pPr>
            <w:r w:rsidRPr="00B31851">
              <w:rPr>
                <w:rFonts w:cs="Arial"/>
                <w:i w:val="0"/>
                <w:iCs w:val="0"/>
              </w:rPr>
              <w:lastRenderedPageBreak/>
              <w:t>Giving evidence by audiovisual link</w:t>
            </w:r>
          </w:p>
        </w:tc>
        <w:tc>
          <w:tcPr>
            <w:tcW w:w="6753" w:type="dxa"/>
          </w:tcPr>
          <w:p w14:paraId="3AEF188E" w14:textId="292A9FE4" w:rsidR="00326538" w:rsidRPr="00B31851" w:rsidRDefault="00852CB4" w:rsidP="007614F4">
            <w:pPr>
              <w:rPr>
                <w:rFonts w:cs="Arial"/>
                <w:i w:val="0"/>
                <w:iCs w:val="0"/>
              </w:rPr>
            </w:pPr>
            <w:r w:rsidRPr="00B31851">
              <w:rPr>
                <w:rFonts w:cs="Arial"/>
                <w:i w:val="0"/>
                <w:iCs w:val="0"/>
              </w:rPr>
              <w:t>This measure supports vulnerable witnesses by reducing the stress and potential trauma of appearing in person, while still enabling the accused to hear and challenge the evidence. It maintains the integrity of the trial process and ensures procedural fairness, while balancing the need to protect the wellbeing of complainants in sensitive cases.</w:t>
            </w:r>
            <w:r w:rsidR="0003628E" w:rsidRPr="00B31851">
              <w:rPr>
                <w:rFonts w:cs="Arial"/>
                <w:i w:val="0"/>
                <w:iCs w:val="0"/>
              </w:rPr>
              <w:t xml:space="preserve"> Therefore, allowing a witness to give evidence by audiovisual link in WHS proceedings involving alleged sexual misconduct is a proportionate limitation on the right to a fair trial.</w:t>
            </w:r>
          </w:p>
        </w:tc>
      </w:tr>
      <w:tr w:rsidR="007E323F" w14:paraId="36E4B1C2" w14:textId="77777777" w:rsidTr="007B6BFC">
        <w:tc>
          <w:tcPr>
            <w:tcW w:w="2263" w:type="dxa"/>
          </w:tcPr>
          <w:p w14:paraId="5FDD11A5" w14:textId="61A06E6C" w:rsidR="007E323F" w:rsidRPr="00B31851" w:rsidRDefault="007E323F" w:rsidP="007614F4">
            <w:pPr>
              <w:rPr>
                <w:rFonts w:cs="Arial"/>
                <w:i w:val="0"/>
                <w:iCs w:val="0"/>
              </w:rPr>
            </w:pPr>
            <w:r w:rsidRPr="00B31851">
              <w:rPr>
                <w:rFonts w:cs="Arial"/>
                <w:i w:val="0"/>
                <w:iCs w:val="0"/>
              </w:rPr>
              <w:t>Prohibition o</w:t>
            </w:r>
            <w:r w:rsidR="00677FB9" w:rsidRPr="00B31851">
              <w:rPr>
                <w:rFonts w:cs="Arial"/>
                <w:i w:val="0"/>
                <w:iCs w:val="0"/>
              </w:rPr>
              <w:t xml:space="preserve">f publication on </w:t>
            </w:r>
            <w:r w:rsidR="00BB5E81" w:rsidRPr="00B31851">
              <w:rPr>
                <w:rFonts w:cs="Arial"/>
                <w:i w:val="0"/>
                <w:iCs w:val="0"/>
              </w:rPr>
              <w:t>complainants’</w:t>
            </w:r>
            <w:r w:rsidR="00677FB9" w:rsidRPr="00B31851">
              <w:rPr>
                <w:rFonts w:cs="Arial"/>
                <w:i w:val="0"/>
                <w:iCs w:val="0"/>
              </w:rPr>
              <w:t xml:space="preserve"> identity </w:t>
            </w:r>
          </w:p>
        </w:tc>
        <w:tc>
          <w:tcPr>
            <w:tcW w:w="6753" w:type="dxa"/>
          </w:tcPr>
          <w:p w14:paraId="3EFACF04" w14:textId="57EACCA8" w:rsidR="007E323F" w:rsidRPr="00B31851" w:rsidRDefault="00331F81" w:rsidP="007614F4">
            <w:pPr>
              <w:rPr>
                <w:rFonts w:cs="Arial"/>
                <w:i w:val="0"/>
                <w:iCs w:val="0"/>
              </w:rPr>
            </w:pPr>
            <w:r w:rsidRPr="00B31851">
              <w:rPr>
                <w:rFonts w:cs="Arial"/>
                <w:i w:val="0"/>
                <w:iCs w:val="0"/>
              </w:rPr>
              <w:t>Prohibiting the publication of a complainant’s identity in WHS proceedings involving alleged sexual misconduct is a proportionate limitation on the right to a fair trial. This measure protects the privacy, dignity, and safety of vulnerable individuals, encouraging reporting and participation in legal processes without fear of public exposure or stigma. It does not interfere with the accused’s ability to access the evidence or challenge the complainant’s testimony, ensuring that the fairness of the trial is preserved. The restriction is narrowly focused and serves a legitimate objective, making it a justified and balanced limitation in sensitive proceedings.</w:t>
            </w:r>
          </w:p>
        </w:tc>
      </w:tr>
      <w:tr w:rsidR="007E323F" w14:paraId="73D2F36E" w14:textId="77777777" w:rsidTr="007B6BFC">
        <w:tc>
          <w:tcPr>
            <w:tcW w:w="2263" w:type="dxa"/>
          </w:tcPr>
          <w:p w14:paraId="70A65B56" w14:textId="39A016B0" w:rsidR="007E323F" w:rsidRPr="00B31851" w:rsidRDefault="00677FB9" w:rsidP="007614F4">
            <w:pPr>
              <w:rPr>
                <w:rFonts w:cs="Arial"/>
                <w:i w:val="0"/>
                <w:iCs w:val="0"/>
              </w:rPr>
            </w:pPr>
            <w:r w:rsidRPr="00B31851">
              <w:rPr>
                <w:rFonts w:cs="Arial"/>
                <w:i w:val="0"/>
                <w:iCs w:val="0"/>
              </w:rPr>
              <w:t xml:space="preserve">Evidence of family violence may be relevant evidence </w:t>
            </w:r>
          </w:p>
        </w:tc>
        <w:tc>
          <w:tcPr>
            <w:tcW w:w="6753" w:type="dxa"/>
          </w:tcPr>
          <w:p w14:paraId="390AF12C" w14:textId="0CE6E6D1" w:rsidR="007E323F" w:rsidRPr="00B31851" w:rsidRDefault="00A32429" w:rsidP="007614F4">
            <w:pPr>
              <w:rPr>
                <w:rFonts w:cs="Arial"/>
                <w:i w:val="0"/>
                <w:iCs w:val="0"/>
              </w:rPr>
            </w:pPr>
            <w:r w:rsidRPr="00B31851">
              <w:rPr>
                <w:rFonts w:cs="Arial"/>
                <w:i w:val="0"/>
                <w:iCs w:val="0"/>
              </w:rPr>
              <w:t>Recognising evidence of family violence as relevant in WHS proceedings involving alleged sexual misconduct is a proportionate limitation on the right to a fair trial. This measure allows the court to consider patterns of behaviour that may contextualise the alleged misconduct, supporting a fuller understanding of the circumstances without prejudicing the accused. It does not remove the accused’s right to challenge the evidence or receive a fair hearing, and its use is subject to judicial oversight to ensure relevance and fairness. This targeted approach balances the need to protect vulnerable complainants with the preservation of procedural justice.</w:t>
            </w:r>
          </w:p>
        </w:tc>
      </w:tr>
      <w:tr w:rsidR="00677FB9" w14:paraId="7F351FBE" w14:textId="77777777" w:rsidTr="007B6BFC">
        <w:tc>
          <w:tcPr>
            <w:tcW w:w="2263" w:type="dxa"/>
          </w:tcPr>
          <w:p w14:paraId="70EA51F8" w14:textId="1C89874A" w:rsidR="00677FB9" w:rsidRPr="00B31851" w:rsidRDefault="00677FB9" w:rsidP="007614F4">
            <w:pPr>
              <w:rPr>
                <w:rFonts w:cs="Arial"/>
                <w:i w:val="0"/>
                <w:iCs w:val="0"/>
              </w:rPr>
            </w:pPr>
            <w:r w:rsidRPr="00B31851">
              <w:rPr>
                <w:rFonts w:cs="Arial"/>
                <w:i w:val="0"/>
                <w:iCs w:val="0"/>
              </w:rPr>
              <w:t>Immunity of sexual reputation</w:t>
            </w:r>
          </w:p>
        </w:tc>
        <w:tc>
          <w:tcPr>
            <w:tcW w:w="6753" w:type="dxa"/>
          </w:tcPr>
          <w:p w14:paraId="68577BCC" w14:textId="6ABD8911" w:rsidR="00677FB9" w:rsidRPr="00B31851" w:rsidRDefault="00EB2309" w:rsidP="007614F4">
            <w:pPr>
              <w:rPr>
                <w:rFonts w:cs="Arial"/>
                <w:i w:val="0"/>
                <w:iCs w:val="0"/>
              </w:rPr>
            </w:pPr>
            <w:r w:rsidRPr="00B31851">
              <w:rPr>
                <w:rFonts w:cs="Arial"/>
                <w:i w:val="0"/>
                <w:iCs w:val="0"/>
              </w:rPr>
              <w:t>This measure prevents irrelevant and prejudicial information from undermining the credibility of the complainant or distracting from the core issues of the case. It supports the integrity of the proceedings and protects the dignity and privacy of the complainant, while still allowing the accused to challenge relevant evidence through fair and lawful means. The restriction is narrowly applied and subject to judicial discretion, ensuring a balanced approach that upholds both fairness and protection.</w:t>
            </w:r>
          </w:p>
        </w:tc>
      </w:tr>
    </w:tbl>
    <w:p w14:paraId="22F1409A" w14:textId="77777777" w:rsidR="005F21DB" w:rsidRDefault="005F21DB">
      <w:pPr>
        <w:rPr>
          <w:i w:val="0"/>
          <w:iCs w:val="0"/>
        </w:rPr>
      </w:pPr>
    </w:p>
    <w:bookmarkEnd w:id="0"/>
    <w:p w14:paraId="481185F5" w14:textId="69170915" w:rsidR="00E90DF9" w:rsidRPr="00C4559F" w:rsidRDefault="00E90DF9" w:rsidP="00C4559F">
      <w:pPr>
        <w:rPr>
          <w:i w:val="0"/>
          <w:iCs w:val="0"/>
        </w:rPr>
      </w:pPr>
    </w:p>
    <w:p w14:paraId="15420702" w14:textId="337AE40E" w:rsidR="00E90DF9" w:rsidRPr="007158FB" w:rsidRDefault="008D1719" w:rsidP="008D1719">
      <w:pPr>
        <w:keepNext/>
        <w:keepLines/>
        <w:pageBreakBefore/>
        <w:spacing w:before="240" w:after="240" w:line="240" w:lineRule="auto"/>
        <w:ind w:right="0"/>
        <w:outlineLvl w:val="1"/>
        <w:rPr>
          <w:rFonts w:eastAsiaTheme="majorEastAsia" w:cs="Arial"/>
          <w:b/>
          <w:i w:val="0"/>
          <w:iCs w:val="0"/>
          <w:kern w:val="0"/>
          <w14:ligatures w14:val="none"/>
        </w:rPr>
      </w:pPr>
      <w:r w:rsidRPr="008D1719">
        <w:rPr>
          <w:rFonts w:eastAsiaTheme="majorEastAsia" w:cs="Arial"/>
          <w:b/>
          <w:i w:val="0"/>
          <w:iCs w:val="0"/>
          <w:kern w:val="0"/>
          <w14:ligatures w14:val="none"/>
        </w:rPr>
        <w:lastRenderedPageBreak/>
        <w:t>CLAUSE NOTES</w:t>
      </w:r>
    </w:p>
    <w:p w14:paraId="7D00B1C5" w14:textId="1EB0CB94" w:rsidR="00E16E99" w:rsidRPr="007158FB" w:rsidRDefault="00E16E99" w:rsidP="00D30B9E">
      <w:pPr>
        <w:rPr>
          <w:rFonts w:cs="Arial"/>
          <w:b/>
          <w:bCs/>
          <w:i w:val="0"/>
          <w:iCs w:val="0"/>
        </w:rPr>
      </w:pPr>
      <w:r w:rsidRPr="007158FB">
        <w:rPr>
          <w:rFonts w:cs="Arial"/>
          <w:b/>
          <w:bCs/>
          <w:i w:val="0"/>
          <w:iCs w:val="0"/>
        </w:rPr>
        <w:t>Part 1</w:t>
      </w:r>
      <w:r w:rsidRPr="007158FB">
        <w:rPr>
          <w:rFonts w:cs="Arial"/>
          <w:b/>
          <w:bCs/>
          <w:i w:val="0"/>
          <w:iCs w:val="0"/>
        </w:rPr>
        <w:tab/>
      </w:r>
      <w:r w:rsidRPr="007158FB">
        <w:rPr>
          <w:rFonts w:cs="Arial"/>
          <w:b/>
          <w:bCs/>
          <w:i w:val="0"/>
          <w:iCs w:val="0"/>
        </w:rPr>
        <w:tab/>
        <w:t>Preliminary</w:t>
      </w:r>
    </w:p>
    <w:p w14:paraId="21139D56"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1</w:t>
      </w:r>
      <w:r w:rsidRPr="007158FB">
        <w:rPr>
          <w:rFonts w:eastAsiaTheme="majorEastAsia" w:cs="Arial"/>
          <w:b/>
          <w:i w:val="0"/>
          <w:iCs w:val="0"/>
          <w:kern w:val="0"/>
          <w14:ligatures w14:val="none"/>
        </w:rPr>
        <w:tab/>
        <w:t>Name of Act</w:t>
      </w:r>
    </w:p>
    <w:p w14:paraId="1FB0108A" w14:textId="4BD8A527" w:rsidR="00E16E99" w:rsidRPr="007158FB" w:rsidRDefault="00E16E99" w:rsidP="00D30B9E">
      <w:pPr>
        <w:rPr>
          <w:rFonts w:cs="Arial"/>
          <w:i w:val="0"/>
          <w:iCs w:val="0"/>
        </w:rPr>
      </w:pPr>
      <w:r w:rsidRPr="007158FB">
        <w:rPr>
          <w:rFonts w:cs="Arial"/>
          <w:i w:val="0"/>
          <w:iCs w:val="0"/>
        </w:rPr>
        <w:t>This clause provides the name of the Act</w:t>
      </w:r>
      <w:r w:rsidR="00303655" w:rsidRPr="007158FB">
        <w:rPr>
          <w:rFonts w:cs="Arial"/>
          <w:i w:val="0"/>
          <w:iCs w:val="0"/>
        </w:rPr>
        <w:t>,</w:t>
      </w:r>
      <w:r w:rsidRPr="007158FB">
        <w:rPr>
          <w:rFonts w:cs="Arial"/>
          <w:i w:val="0"/>
          <w:iCs w:val="0"/>
        </w:rPr>
        <w:t xml:space="preserve"> </w:t>
      </w:r>
      <w:r w:rsidR="00545233" w:rsidRPr="007158FB">
        <w:rPr>
          <w:rFonts w:cs="Arial"/>
          <w:i w:val="0"/>
          <w:iCs w:val="0"/>
        </w:rPr>
        <w:t>being</w:t>
      </w:r>
      <w:r w:rsidRPr="007158FB">
        <w:rPr>
          <w:rFonts w:cs="Arial"/>
          <w:i w:val="0"/>
          <w:iCs w:val="0"/>
        </w:rPr>
        <w:t xml:space="preserve"> the </w:t>
      </w:r>
      <w:r w:rsidRPr="007158FB">
        <w:rPr>
          <w:rFonts w:cs="Arial"/>
        </w:rPr>
        <w:t>Workplace Legislation Amendment Act 2025</w:t>
      </w:r>
      <w:r w:rsidR="00545233" w:rsidRPr="007158FB">
        <w:rPr>
          <w:rFonts w:cs="Arial"/>
        </w:rPr>
        <w:t xml:space="preserve"> (No 2)</w:t>
      </w:r>
      <w:r w:rsidRPr="007158FB">
        <w:rPr>
          <w:rFonts w:cs="Arial"/>
        </w:rPr>
        <w:t>.</w:t>
      </w:r>
    </w:p>
    <w:p w14:paraId="0887BC45" w14:textId="77777777" w:rsidR="00E90DF9" w:rsidRPr="007158FB"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2</w:t>
      </w:r>
      <w:r w:rsidRPr="007158FB">
        <w:rPr>
          <w:rFonts w:eastAsiaTheme="majorEastAsia" w:cs="Arial"/>
          <w:b/>
          <w:i w:val="0"/>
          <w:iCs w:val="0"/>
          <w:kern w:val="0"/>
          <w14:ligatures w14:val="none"/>
        </w:rPr>
        <w:tab/>
        <w:t>Commencement</w:t>
      </w:r>
    </w:p>
    <w:p w14:paraId="2342BF59" w14:textId="27481E29" w:rsidR="00030675" w:rsidRPr="00030675" w:rsidRDefault="00E16E99" w:rsidP="00030675">
      <w:pPr>
        <w:rPr>
          <w:rFonts w:cs="Arial"/>
          <w:i w:val="0"/>
          <w:iCs w:val="0"/>
        </w:rPr>
      </w:pPr>
      <w:r w:rsidRPr="007158FB">
        <w:rPr>
          <w:rFonts w:cs="Arial"/>
          <w:i w:val="0"/>
          <w:iCs w:val="0"/>
        </w:rPr>
        <w:t>This clause provides for commencement of the Act, noting that</w:t>
      </w:r>
      <w:r w:rsidR="00030675" w:rsidRPr="00030675">
        <w:rPr>
          <w:rFonts w:eastAsiaTheme="majorEastAsia" w:cs="Arial"/>
          <w:bCs/>
          <w:i w:val="0"/>
          <w:iCs w:val="0"/>
          <w:kern w:val="0"/>
          <w14:ligatures w14:val="none"/>
        </w:rPr>
        <w:t>:</w:t>
      </w:r>
    </w:p>
    <w:p w14:paraId="52B37426" w14:textId="510A15A1" w:rsidR="00030675" w:rsidRPr="00030675" w:rsidRDefault="00F147A6" w:rsidP="00030675">
      <w:pPr>
        <w:numPr>
          <w:ilvl w:val="0"/>
          <w:numId w:val="49"/>
        </w:numPr>
        <w:rPr>
          <w:rFonts w:eastAsiaTheme="majorEastAsia" w:cs="Arial"/>
          <w:bCs/>
          <w:i w:val="0"/>
          <w:iCs w:val="0"/>
          <w:kern w:val="0"/>
          <w14:ligatures w14:val="none"/>
        </w:rPr>
      </w:pPr>
      <w:r>
        <w:rPr>
          <w:rFonts w:eastAsiaTheme="majorEastAsia" w:cs="Arial"/>
          <w:bCs/>
          <w:i w:val="0"/>
          <w:iCs w:val="0"/>
          <w:kern w:val="0"/>
          <w14:ligatures w14:val="none"/>
        </w:rPr>
        <w:t xml:space="preserve">the Act (other than </w:t>
      </w:r>
      <w:r w:rsidR="004775EC">
        <w:rPr>
          <w:rFonts w:eastAsiaTheme="majorEastAsia" w:cs="Arial"/>
          <w:bCs/>
          <w:i w:val="0"/>
          <w:iCs w:val="0"/>
          <w:kern w:val="0"/>
          <w14:ligatures w14:val="none"/>
        </w:rPr>
        <w:t xml:space="preserve">Part </w:t>
      </w:r>
      <w:r>
        <w:rPr>
          <w:rFonts w:eastAsiaTheme="majorEastAsia" w:cs="Arial"/>
          <w:bCs/>
          <w:i w:val="0"/>
          <w:iCs w:val="0"/>
          <w:kern w:val="0"/>
          <w14:ligatures w14:val="none"/>
        </w:rPr>
        <w:t xml:space="preserve">2) </w:t>
      </w:r>
      <w:r w:rsidR="004775EC">
        <w:rPr>
          <w:rFonts w:eastAsiaTheme="majorEastAsia" w:cs="Arial"/>
          <w:bCs/>
          <w:i w:val="0"/>
          <w:iCs w:val="0"/>
          <w:kern w:val="0"/>
          <w14:ligatures w14:val="none"/>
        </w:rPr>
        <w:t>commences on the day after its notification day</w:t>
      </w:r>
      <w:r w:rsidR="00030675">
        <w:rPr>
          <w:rFonts w:eastAsiaTheme="majorEastAsia" w:cs="Arial"/>
          <w:bCs/>
          <w:i w:val="0"/>
          <w:iCs w:val="0"/>
          <w:kern w:val="0"/>
          <w14:ligatures w14:val="none"/>
        </w:rPr>
        <w:t>, and</w:t>
      </w:r>
    </w:p>
    <w:p w14:paraId="7DC3D687" w14:textId="0813C5A7" w:rsidR="001C1F1E" w:rsidRPr="00030675" w:rsidRDefault="00030675" w:rsidP="00030675">
      <w:pPr>
        <w:numPr>
          <w:ilvl w:val="0"/>
          <w:numId w:val="49"/>
        </w:numPr>
        <w:rPr>
          <w:rFonts w:eastAsiaTheme="majorEastAsia" w:cs="Arial"/>
          <w:bCs/>
          <w:i w:val="0"/>
          <w:iCs w:val="0"/>
          <w:kern w:val="0"/>
          <w14:ligatures w14:val="none"/>
        </w:rPr>
      </w:pPr>
      <w:r w:rsidRPr="00030675">
        <w:rPr>
          <w:rFonts w:eastAsiaTheme="majorEastAsia" w:cs="Arial"/>
          <w:bCs/>
          <w:i w:val="0"/>
          <w:iCs w:val="0"/>
          <w:kern w:val="0"/>
          <w14:ligatures w14:val="none"/>
        </w:rPr>
        <w:t xml:space="preserve">Part 2, which amends the </w:t>
      </w:r>
      <w:r w:rsidRPr="00030675">
        <w:rPr>
          <w:rFonts w:eastAsiaTheme="majorEastAsia" w:cs="Arial"/>
          <w:bCs/>
          <w:kern w:val="0"/>
          <w14:ligatures w14:val="none"/>
        </w:rPr>
        <w:t>Evidence (Miscellaneous Provisions) Act 1991</w:t>
      </w:r>
      <w:r w:rsidR="004775EC">
        <w:rPr>
          <w:rFonts w:eastAsiaTheme="majorEastAsia" w:cs="Arial"/>
          <w:bCs/>
          <w:i w:val="0"/>
          <w:iCs w:val="0"/>
          <w:kern w:val="0"/>
          <w14:ligatures w14:val="none"/>
        </w:rPr>
        <w:t xml:space="preserve"> commences </w:t>
      </w:r>
      <w:r w:rsidR="00F147A6">
        <w:rPr>
          <w:rFonts w:eastAsiaTheme="majorEastAsia" w:cs="Arial"/>
          <w:bCs/>
          <w:i w:val="0"/>
          <w:iCs w:val="0"/>
          <w:kern w:val="0"/>
          <w14:ligatures w14:val="none"/>
        </w:rPr>
        <w:t xml:space="preserve">on the </w:t>
      </w:r>
      <w:r>
        <w:rPr>
          <w:rFonts w:eastAsiaTheme="majorEastAsia" w:cs="Arial"/>
          <w:bCs/>
          <w:i w:val="0"/>
          <w:iCs w:val="0"/>
          <w:kern w:val="0"/>
          <w14:ligatures w14:val="none"/>
        </w:rPr>
        <w:t>7</w:t>
      </w:r>
      <w:r w:rsidR="00F147A6" w:rsidRPr="00F147A6">
        <w:rPr>
          <w:rFonts w:eastAsiaTheme="majorEastAsia" w:cs="Arial"/>
          <w:bCs/>
          <w:i w:val="0"/>
          <w:iCs w:val="0"/>
          <w:kern w:val="0"/>
          <w:vertAlign w:val="superscript"/>
          <w14:ligatures w14:val="none"/>
        </w:rPr>
        <w:t>th</w:t>
      </w:r>
      <w:r w:rsidR="00F147A6">
        <w:rPr>
          <w:rFonts w:eastAsiaTheme="majorEastAsia" w:cs="Arial"/>
          <w:bCs/>
          <w:i w:val="0"/>
          <w:iCs w:val="0"/>
          <w:kern w:val="0"/>
          <w14:ligatures w14:val="none"/>
        </w:rPr>
        <w:t xml:space="preserve"> </w:t>
      </w:r>
      <w:r w:rsidRPr="00030675">
        <w:rPr>
          <w:rFonts w:eastAsiaTheme="majorEastAsia" w:cs="Arial"/>
          <w:bCs/>
          <w:i w:val="0"/>
          <w:iCs w:val="0"/>
          <w:kern w:val="0"/>
          <w14:ligatures w14:val="none"/>
        </w:rPr>
        <w:t xml:space="preserve">day after </w:t>
      </w:r>
      <w:r w:rsidR="004775EC">
        <w:rPr>
          <w:rFonts w:eastAsiaTheme="majorEastAsia" w:cs="Arial"/>
          <w:bCs/>
          <w:i w:val="0"/>
          <w:iCs w:val="0"/>
          <w:kern w:val="0"/>
          <w14:ligatures w14:val="none"/>
        </w:rPr>
        <w:t xml:space="preserve">its </w:t>
      </w:r>
      <w:r w:rsidRPr="00030675">
        <w:rPr>
          <w:rFonts w:eastAsiaTheme="majorEastAsia" w:cs="Arial"/>
          <w:bCs/>
          <w:i w:val="0"/>
          <w:iCs w:val="0"/>
          <w:kern w:val="0"/>
          <w14:ligatures w14:val="none"/>
        </w:rPr>
        <w:t>notification</w:t>
      </w:r>
      <w:r w:rsidR="004775EC">
        <w:rPr>
          <w:rFonts w:eastAsiaTheme="majorEastAsia" w:cs="Arial"/>
          <w:bCs/>
          <w:i w:val="0"/>
          <w:iCs w:val="0"/>
          <w:kern w:val="0"/>
          <w14:ligatures w14:val="none"/>
        </w:rPr>
        <w:t xml:space="preserve"> day.</w:t>
      </w:r>
    </w:p>
    <w:p w14:paraId="5A4E563E" w14:textId="1623FD94" w:rsidR="00E90DF9" w:rsidRPr="00DF622F" w:rsidRDefault="00E90DF9" w:rsidP="00DF622F">
      <w:pPr>
        <w:ind w:left="720" w:hanging="720"/>
        <w:rPr>
          <w:rFonts w:eastAsiaTheme="majorEastAsia" w:cs="Arial"/>
          <w:b/>
          <w:i w:val="0"/>
          <w:iCs w:val="0"/>
          <w:kern w:val="0"/>
          <w14:ligatures w14:val="none"/>
        </w:rPr>
      </w:pPr>
      <w:r w:rsidRPr="007158FB">
        <w:rPr>
          <w:rFonts w:eastAsiaTheme="majorEastAsia" w:cs="Arial"/>
          <w:b/>
          <w:i w:val="0"/>
          <w:iCs w:val="0"/>
          <w:kern w:val="0"/>
          <w14:ligatures w14:val="none"/>
        </w:rPr>
        <w:t>Clause 3</w:t>
      </w:r>
      <w:r w:rsidRPr="007158FB">
        <w:rPr>
          <w:rFonts w:eastAsiaTheme="majorEastAsia" w:cs="Arial"/>
          <w:b/>
          <w:i w:val="0"/>
          <w:iCs w:val="0"/>
          <w:kern w:val="0"/>
          <w14:ligatures w14:val="none"/>
        </w:rPr>
        <w:tab/>
        <w:t>Legislation amended</w:t>
      </w:r>
    </w:p>
    <w:p w14:paraId="0A4F64B0" w14:textId="1547824E" w:rsidR="00E90DF9" w:rsidRPr="007158FB" w:rsidRDefault="00E16E99" w:rsidP="00D30B9E">
      <w:pPr>
        <w:rPr>
          <w:rFonts w:cs="Arial"/>
          <w:i w:val="0"/>
          <w:iCs w:val="0"/>
        </w:rPr>
      </w:pPr>
      <w:r w:rsidRPr="007158FB">
        <w:rPr>
          <w:rFonts w:cs="Arial"/>
          <w:i w:val="0"/>
          <w:iCs w:val="0"/>
        </w:rPr>
        <w:t xml:space="preserve">This clause </w:t>
      </w:r>
      <w:r w:rsidR="00303655" w:rsidRPr="007158FB">
        <w:rPr>
          <w:rFonts w:cs="Arial"/>
          <w:i w:val="0"/>
          <w:iCs w:val="0"/>
        </w:rPr>
        <w:t>lists the legislation which the Act amends including:</w:t>
      </w:r>
    </w:p>
    <w:p w14:paraId="6A1AD808" w14:textId="16E9D2AB" w:rsidR="00BE56C2" w:rsidRPr="007158FB" w:rsidRDefault="00BE56C2" w:rsidP="00D30B9E">
      <w:pPr>
        <w:pStyle w:val="ListParagraph"/>
        <w:numPr>
          <w:ilvl w:val="0"/>
          <w:numId w:val="3"/>
        </w:numPr>
        <w:spacing w:after="120"/>
        <w:rPr>
          <w:rFonts w:cs="Arial"/>
        </w:rPr>
      </w:pPr>
      <w:r w:rsidRPr="007158FB">
        <w:rPr>
          <w:rFonts w:cs="Arial"/>
        </w:rPr>
        <w:t>Evidence (Miscellaneous Provisions) Act 199</w:t>
      </w:r>
      <w:r w:rsidR="001724E9">
        <w:rPr>
          <w:rFonts w:cs="Arial"/>
        </w:rPr>
        <w:t>1</w:t>
      </w:r>
      <w:r w:rsidR="001C1F1E" w:rsidRPr="001C1F1E">
        <w:rPr>
          <w:rFonts w:cs="Arial"/>
          <w:i w:val="0"/>
          <w:iCs w:val="0"/>
        </w:rPr>
        <w:t>, and</w:t>
      </w:r>
    </w:p>
    <w:p w14:paraId="187C9A77" w14:textId="5CE3D53B" w:rsidR="00303655" w:rsidRPr="007158FB" w:rsidRDefault="00303655" w:rsidP="00D30B9E">
      <w:pPr>
        <w:pStyle w:val="ListParagraph"/>
        <w:numPr>
          <w:ilvl w:val="0"/>
          <w:numId w:val="3"/>
        </w:numPr>
        <w:spacing w:after="120"/>
        <w:rPr>
          <w:rFonts w:cs="Arial"/>
          <w:i w:val="0"/>
          <w:iCs w:val="0"/>
        </w:rPr>
      </w:pPr>
      <w:r w:rsidRPr="007158FB">
        <w:rPr>
          <w:rFonts w:cs="Arial"/>
        </w:rPr>
        <w:t>Workers Compensation Act 1951</w:t>
      </w:r>
      <w:r w:rsidR="001C1F1E">
        <w:rPr>
          <w:rFonts w:cs="Arial"/>
          <w:i w:val="0"/>
          <w:iCs w:val="0"/>
        </w:rPr>
        <w:t>.</w:t>
      </w:r>
    </w:p>
    <w:p w14:paraId="01ED8056" w14:textId="0DDEFFB4" w:rsidR="00C54436" w:rsidRPr="007158FB" w:rsidRDefault="00084495" w:rsidP="00F01A40">
      <w:pPr>
        <w:spacing w:before="240"/>
        <w:rPr>
          <w:rFonts w:cs="Arial"/>
          <w:b/>
          <w:bCs/>
          <w:i w:val="0"/>
          <w:iCs w:val="0"/>
        </w:rPr>
      </w:pPr>
      <w:r w:rsidRPr="007158FB">
        <w:rPr>
          <w:rFonts w:cs="Arial"/>
          <w:b/>
          <w:bCs/>
          <w:i w:val="0"/>
          <w:iCs w:val="0"/>
        </w:rPr>
        <w:t>Part</w:t>
      </w:r>
      <w:r w:rsidR="000B4366" w:rsidRPr="007158FB">
        <w:rPr>
          <w:rFonts w:cs="Arial"/>
          <w:b/>
          <w:bCs/>
          <w:i w:val="0"/>
          <w:iCs w:val="0"/>
        </w:rPr>
        <w:t xml:space="preserve"> </w:t>
      </w:r>
      <w:r w:rsidR="0059799C">
        <w:rPr>
          <w:rFonts w:cs="Arial"/>
          <w:b/>
          <w:bCs/>
          <w:i w:val="0"/>
          <w:iCs w:val="0"/>
        </w:rPr>
        <w:t>2</w:t>
      </w:r>
      <w:r w:rsidR="000B4366" w:rsidRPr="007158FB">
        <w:rPr>
          <w:rFonts w:cs="Arial"/>
          <w:b/>
          <w:bCs/>
          <w:i w:val="0"/>
          <w:iCs w:val="0"/>
        </w:rPr>
        <w:tab/>
      </w:r>
      <w:r w:rsidRPr="007158FB">
        <w:rPr>
          <w:rFonts w:cs="Arial"/>
          <w:b/>
          <w:bCs/>
          <w:i w:val="0"/>
          <w:iCs w:val="0"/>
        </w:rPr>
        <w:tab/>
      </w:r>
      <w:r w:rsidR="0057454F" w:rsidRPr="007158FB">
        <w:rPr>
          <w:rFonts w:cs="Arial"/>
          <w:b/>
          <w:bCs/>
          <w:i w:val="0"/>
          <w:iCs w:val="0"/>
        </w:rPr>
        <w:t xml:space="preserve">Evidence (Miscellaneous Provisions) Act </w:t>
      </w:r>
      <w:r w:rsidR="00C54436" w:rsidRPr="007158FB">
        <w:rPr>
          <w:rFonts w:cs="Arial"/>
          <w:b/>
          <w:bCs/>
          <w:i w:val="0"/>
          <w:iCs w:val="0"/>
        </w:rPr>
        <w:t>1991</w:t>
      </w:r>
    </w:p>
    <w:p w14:paraId="0F61191E" w14:textId="3AEB110E" w:rsidR="00C54436" w:rsidRPr="007158FB" w:rsidRDefault="00084495" w:rsidP="00D30B9E">
      <w:pPr>
        <w:ind w:left="720" w:hanging="720"/>
        <w:rPr>
          <w:rFonts w:cs="Arial"/>
          <w:b/>
          <w:bCs/>
          <w:i w:val="0"/>
          <w:iCs w:val="0"/>
        </w:rPr>
      </w:pPr>
      <w:r w:rsidRPr="007158FB">
        <w:rPr>
          <w:rFonts w:eastAsiaTheme="majorEastAsia" w:cs="Arial"/>
          <w:b/>
          <w:i w:val="0"/>
          <w:iCs w:val="0"/>
          <w:kern w:val="0"/>
          <w14:ligatures w14:val="none"/>
        </w:rPr>
        <w:t xml:space="preserve">Clause </w:t>
      </w:r>
      <w:r w:rsidR="00D93700">
        <w:rPr>
          <w:rFonts w:eastAsiaTheme="majorEastAsia" w:cs="Arial"/>
          <w:b/>
          <w:i w:val="0"/>
          <w:iCs w:val="0"/>
          <w:kern w:val="0"/>
          <w14:ligatures w14:val="none"/>
        </w:rPr>
        <w:t>4</w:t>
      </w:r>
      <w:r w:rsidRPr="007158FB">
        <w:rPr>
          <w:rFonts w:eastAsiaTheme="majorEastAsia" w:cs="Arial"/>
          <w:b/>
          <w:i w:val="0"/>
          <w:iCs w:val="0"/>
          <w:kern w:val="0"/>
          <w14:ligatures w14:val="none"/>
        </w:rPr>
        <w:tab/>
      </w:r>
      <w:r w:rsidR="00C54436" w:rsidRPr="007158FB">
        <w:rPr>
          <w:rFonts w:cs="Arial"/>
          <w:b/>
          <w:i w:val="0"/>
          <w:iCs w:val="0"/>
        </w:rPr>
        <w:t xml:space="preserve">Meaning of </w:t>
      </w:r>
      <w:r w:rsidR="00C54436" w:rsidRPr="007158FB">
        <w:rPr>
          <w:rFonts w:cs="Arial"/>
          <w:b/>
        </w:rPr>
        <w:t>sexual offence proceeding</w:t>
      </w:r>
      <w:r w:rsidR="00C54436" w:rsidRPr="007158FB">
        <w:rPr>
          <w:rFonts w:cs="Arial"/>
          <w:b/>
          <w:i w:val="0"/>
          <w:iCs w:val="0"/>
        </w:rPr>
        <w:t>–ch4</w:t>
      </w:r>
    </w:p>
    <w:p w14:paraId="08BA72FB" w14:textId="49C3146E" w:rsidR="00C54436" w:rsidRPr="007158FB" w:rsidRDefault="00C54436" w:rsidP="00D30B9E">
      <w:pPr>
        <w:ind w:left="1440"/>
        <w:rPr>
          <w:rFonts w:cs="Arial"/>
          <w:b/>
          <w:i w:val="0"/>
          <w:iCs w:val="0"/>
        </w:rPr>
      </w:pPr>
      <w:r w:rsidRPr="007158FB">
        <w:rPr>
          <w:rFonts w:cs="Arial"/>
          <w:b/>
          <w:i w:val="0"/>
          <w:iCs w:val="0"/>
        </w:rPr>
        <w:t xml:space="preserve">Section 41, definition of </w:t>
      </w:r>
      <w:r w:rsidRPr="007158FB">
        <w:rPr>
          <w:rFonts w:cs="Arial"/>
          <w:b/>
        </w:rPr>
        <w:t>sexual offence proceeding</w:t>
      </w:r>
      <w:r w:rsidRPr="007158FB">
        <w:rPr>
          <w:rFonts w:cs="Arial"/>
          <w:b/>
          <w:i w:val="0"/>
          <w:iCs w:val="0"/>
        </w:rPr>
        <w:t xml:space="preserve">, new paragraphs (d) </w:t>
      </w:r>
      <w:r w:rsidR="00F147A6">
        <w:rPr>
          <w:rFonts w:cs="Arial"/>
          <w:b/>
          <w:i w:val="0"/>
          <w:iCs w:val="0"/>
        </w:rPr>
        <w:t>and</w:t>
      </w:r>
      <w:r w:rsidRPr="007158FB">
        <w:rPr>
          <w:rFonts w:cs="Arial"/>
          <w:b/>
          <w:i w:val="0"/>
          <w:iCs w:val="0"/>
        </w:rPr>
        <w:t xml:space="preserve"> (e)</w:t>
      </w:r>
    </w:p>
    <w:p w14:paraId="717BAF34" w14:textId="732A0BB0" w:rsidR="00084495" w:rsidRPr="007158FB" w:rsidRDefault="00C54436" w:rsidP="00D30B9E">
      <w:pPr>
        <w:rPr>
          <w:rFonts w:cs="Arial"/>
          <w:i w:val="0"/>
          <w:iCs w:val="0"/>
        </w:rPr>
      </w:pPr>
      <w:r w:rsidRPr="007158FB">
        <w:rPr>
          <w:rFonts w:cs="Arial"/>
          <w:i w:val="0"/>
          <w:iCs w:val="0"/>
        </w:rPr>
        <w:t xml:space="preserve">This provision establishes the relevant offences against the </w:t>
      </w:r>
      <w:r w:rsidRPr="007158FB">
        <w:rPr>
          <w:rFonts w:cs="Arial"/>
        </w:rPr>
        <w:t>Work Health and Safety Act 2011</w:t>
      </w:r>
      <w:r w:rsidRPr="007158FB">
        <w:rPr>
          <w:rFonts w:cs="Arial"/>
          <w:i w:val="0"/>
          <w:iCs w:val="0"/>
        </w:rPr>
        <w:t xml:space="preserve"> that are captured under the meaning of a sexual offence proceeding. It also expands the definition of what constitutes a </w:t>
      </w:r>
      <w:r w:rsidR="00D30B9E" w:rsidRPr="007158FB">
        <w:rPr>
          <w:rFonts w:cs="Arial"/>
          <w:i w:val="0"/>
          <w:iCs w:val="0"/>
        </w:rPr>
        <w:t>“</w:t>
      </w:r>
      <w:r w:rsidRPr="007158FB">
        <w:rPr>
          <w:rFonts w:cs="Arial"/>
          <w:i w:val="0"/>
          <w:iCs w:val="0"/>
        </w:rPr>
        <w:t>sexual offence proceeding</w:t>
      </w:r>
      <w:r w:rsidR="00D30B9E" w:rsidRPr="007158FB">
        <w:rPr>
          <w:rFonts w:cs="Arial"/>
          <w:i w:val="0"/>
          <w:iCs w:val="0"/>
        </w:rPr>
        <w:t>”</w:t>
      </w:r>
      <w:r w:rsidRPr="007158FB">
        <w:rPr>
          <w:rFonts w:cs="Arial"/>
          <w:i w:val="0"/>
          <w:iCs w:val="0"/>
        </w:rPr>
        <w:t>.</w:t>
      </w:r>
    </w:p>
    <w:p w14:paraId="094631C1" w14:textId="21437FD4" w:rsidR="008D1719" w:rsidRPr="007158FB" w:rsidRDefault="008D1719" w:rsidP="00D30B9E">
      <w:pPr>
        <w:pStyle w:val="Heading3"/>
        <w:spacing w:before="0" w:after="120"/>
        <w:ind w:left="1440" w:hanging="1440"/>
        <w:rPr>
          <w:rFonts w:cs="Arial"/>
          <w:i w:val="0"/>
          <w:iCs w:val="0"/>
        </w:rPr>
      </w:pPr>
      <w:r w:rsidRPr="007158FB">
        <w:rPr>
          <w:rFonts w:cs="Arial"/>
          <w:i w:val="0"/>
          <w:iCs w:val="0"/>
          <w:kern w:val="0"/>
          <w14:ligatures w14:val="none"/>
        </w:rPr>
        <w:t xml:space="preserve">Clause </w:t>
      </w:r>
      <w:r w:rsidR="00D93700">
        <w:rPr>
          <w:rFonts w:cs="Arial"/>
          <w:i w:val="0"/>
          <w:iCs w:val="0"/>
          <w:kern w:val="0"/>
          <w14:ligatures w14:val="none"/>
        </w:rPr>
        <w:t>5</w:t>
      </w:r>
      <w:r w:rsidR="00C54436" w:rsidRPr="007158FB">
        <w:rPr>
          <w:rFonts w:cs="Arial"/>
          <w:i w:val="0"/>
          <w:iCs w:val="0"/>
          <w:kern w:val="0"/>
          <w14:ligatures w14:val="none"/>
        </w:rPr>
        <w:t xml:space="preserve"> </w:t>
      </w:r>
      <w:r w:rsidR="00C54436" w:rsidRPr="007158FB">
        <w:rPr>
          <w:rFonts w:cs="Arial"/>
          <w:i w:val="0"/>
          <w:iCs w:val="0"/>
          <w:kern w:val="0"/>
          <w14:ligatures w14:val="none"/>
        </w:rPr>
        <w:tab/>
      </w:r>
      <w:r w:rsidR="00C54436" w:rsidRPr="007158FB">
        <w:rPr>
          <w:rFonts w:cs="Arial"/>
          <w:i w:val="0"/>
          <w:iCs w:val="0"/>
        </w:rPr>
        <w:t>New section 41A</w:t>
      </w:r>
    </w:p>
    <w:p w14:paraId="506AA79E" w14:textId="0577829F" w:rsidR="00C54436" w:rsidRPr="00C54436" w:rsidRDefault="00C54436" w:rsidP="00D30B9E">
      <w:pPr>
        <w:rPr>
          <w:rFonts w:cs="Arial"/>
          <w:i w:val="0"/>
          <w:iCs w:val="0"/>
        </w:rPr>
      </w:pPr>
      <w:r w:rsidRPr="00C54436">
        <w:rPr>
          <w:rFonts w:cs="Arial"/>
          <w:i w:val="0"/>
          <w:iCs w:val="0"/>
        </w:rPr>
        <w:t xml:space="preserve">This provision clarifies how references to an </w:t>
      </w:r>
      <w:r w:rsidR="00D30B9E" w:rsidRPr="007158FB">
        <w:rPr>
          <w:rFonts w:cs="Arial"/>
          <w:i w:val="0"/>
          <w:iCs w:val="0"/>
        </w:rPr>
        <w:t>“</w:t>
      </w:r>
      <w:r w:rsidRPr="00C54436">
        <w:rPr>
          <w:rFonts w:cs="Arial"/>
          <w:i w:val="0"/>
          <w:iCs w:val="0"/>
        </w:rPr>
        <w:t>accused person</w:t>
      </w:r>
      <w:r w:rsidR="00D30B9E" w:rsidRPr="007158FB">
        <w:rPr>
          <w:rFonts w:cs="Arial"/>
          <w:i w:val="0"/>
          <w:iCs w:val="0"/>
        </w:rPr>
        <w:t>”</w:t>
      </w:r>
      <w:r w:rsidRPr="00C54436">
        <w:rPr>
          <w:rFonts w:cs="Arial"/>
          <w:i w:val="0"/>
          <w:iCs w:val="0"/>
        </w:rPr>
        <w:t xml:space="preserve"> apply in </w:t>
      </w:r>
      <w:r w:rsidR="007158FB" w:rsidRPr="007158FB">
        <w:rPr>
          <w:rFonts w:cs="Arial"/>
          <w:i w:val="0"/>
          <w:iCs w:val="0"/>
        </w:rPr>
        <w:t xml:space="preserve">workplace </w:t>
      </w:r>
      <w:r w:rsidRPr="00C54436">
        <w:rPr>
          <w:rFonts w:cs="Arial"/>
          <w:i w:val="0"/>
          <w:iCs w:val="0"/>
        </w:rPr>
        <w:t>proceedings involving sexual offences. If the duty holder is also the alleged perpetrator of alleged sexual misconduct, special protections for the complainant apply which mirror those in criminal sexual offence cases. The special protection</w:t>
      </w:r>
      <w:r w:rsidR="00F74763">
        <w:rPr>
          <w:rFonts w:cs="Arial"/>
          <w:i w:val="0"/>
          <w:iCs w:val="0"/>
        </w:rPr>
        <w:t>s</w:t>
      </w:r>
      <w:r w:rsidRPr="00C54436">
        <w:rPr>
          <w:rFonts w:cs="Arial"/>
          <w:i w:val="0"/>
          <w:iCs w:val="0"/>
        </w:rPr>
        <w:t xml:space="preserve"> include:</w:t>
      </w:r>
    </w:p>
    <w:p w14:paraId="26AD3144" w14:textId="77777777" w:rsidR="00C54436" w:rsidRPr="00C54436" w:rsidRDefault="00C54436" w:rsidP="00D30B9E">
      <w:pPr>
        <w:numPr>
          <w:ilvl w:val="0"/>
          <w:numId w:val="36"/>
        </w:numPr>
        <w:rPr>
          <w:rFonts w:cs="Arial"/>
          <w:i w:val="0"/>
          <w:iCs w:val="0"/>
        </w:rPr>
      </w:pPr>
      <w:r w:rsidRPr="00C54436">
        <w:rPr>
          <w:rFonts w:cs="Arial"/>
          <w:i w:val="0"/>
          <w:iCs w:val="0"/>
        </w:rPr>
        <w:t>section 47(1) – court may order for the accused person to be screened from the witness while giving evidence</w:t>
      </w:r>
    </w:p>
    <w:p w14:paraId="5D47C183" w14:textId="77777777" w:rsidR="00C54436" w:rsidRPr="00C54436" w:rsidRDefault="00C54436" w:rsidP="00D30B9E">
      <w:pPr>
        <w:numPr>
          <w:ilvl w:val="0"/>
          <w:numId w:val="36"/>
        </w:numPr>
        <w:rPr>
          <w:rFonts w:cs="Arial"/>
          <w:i w:val="0"/>
          <w:iCs w:val="0"/>
        </w:rPr>
      </w:pPr>
      <w:r w:rsidRPr="00C54436">
        <w:rPr>
          <w:rFonts w:cs="Arial"/>
          <w:i w:val="0"/>
          <w:iCs w:val="0"/>
        </w:rPr>
        <w:t>section 60(6)(a) and (b) – relates to the ability for a witness to give their evidence in a pre-trial hearing by AVL link</w:t>
      </w:r>
    </w:p>
    <w:p w14:paraId="24D7A731" w14:textId="77777777" w:rsidR="00C54436" w:rsidRPr="00C54436" w:rsidRDefault="00C54436" w:rsidP="00D30B9E">
      <w:pPr>
        <w:numPr>
          <w:ilvl w:val="0"/>
          <w:numId w:val="36"/>
        </w:numPr>
        <w:rPr>
          <w:rFonts w:cs="Arial"/>
          <w:i w:val="0"/>
          <w:iCs w:val="0"/>
        </w:rPr>
      </w:pPr>
      <w:r w:rsidRPr="00C54436">
        <w:rPr>
          <w:rFonts w:cs="Arial"/>
          <w:i w:val="0"/>
          <w:iCs w:val="0"/>
        </w:rPr>
        <w:t>section 68(5)(a) and (b) – giving evidence by AVL link and states that the accused person must not be at the external place where the witness is giving evidence and requires that the witness must not be able to see or hear the accused person during their testimony</w:t>
      </w:r>
    </w:p>
    <w:p w14:paraId="0035CC29" w14:textId="77777777" w:rsidR="00C54436" w:rsidRPr="00C54436" w:rsidRDefault="00C54436" w:rsidP="00D30B9E">
      <w:pPr>
        <w:numPr>
          <w:ilvl w:val="0"/>
          <w:numId w:val="36"/>
        </w:numPr>
        <w:rPr>
          <w:rFonts w:cs="Arial"/>
          <w:i w:val="0"/>
          <w:iCs w:val="0"/>
        </w:rPr>
      </w:pPr>
      <w:r w:rsidRPr="00C54436">
        <w:rPr>
          <w:rFonts w:cs="Arial"/>
          <w:i w:val="0"/>
          <w:iCs w:val="0"/>
        </w:rPr>
        <w:t>section 76(2) – general immunity of evidence of a complainant’s sexual activities, and</w:t>
      </w:r>
    </w:p>
    <w:p w14:paraId="2AE5EDB4" w14:textId="77777777" w:rsidR="00C54436" w:rsidRPr="00C54436" w:rsidRDefault="00C54436" w:rsidP="00D30B9E">
      <w:pPr>
        <w:numPr>
          <w:ilvl w:val="0"/>
          <w:numId w:val="36"/>
        </w:numPr>
        <w:rPr>
          <w:rFonts w:cs="Arial"/>
          <w:i w:val="0"/>
          <w:iCs w:val="0"/>
        </w:rPr>
      </w:pPr>
      <w:r w:rsidRPr="00C54436">
        <w:rPr>
          <w:rFonts w:cs="Arial"/>
          <w:i w:val="0"/>
          <w:iCs w:val="0"/>
        </w:rPr>
        <w:lastRenderedPageBreak/>
        <w:t>section 80C – specific directions regarding implied consent by a judge if there is a jury involved in the proceedings.</w:t>
      </w:r>
    </w:p>
    <w:p w14:paraId="6DAE3DA8" w14:textId="06217FB5" w:rsidR="00C54436" w:rsidRPr="007158FB" w:rsidRDefault="00C54436" w:rsidP="00D30B9E">
      <w:pPr>
        <w:rPr>
          <w:rFonts w:cs="Arial"/>
          <w:i w:val="0"/>
          <w:iCs w:val="0"/>
        </w:rPr>
      </w:pPr>
      <w:r w:rsidRPr="00C54436">
        <w:rPr>
          <w:rFonts w:cs="Arial"/>
          <w:i w:val="0"/>
          <w:iCs w:val="0"/>
        </w:rPr>
        <w:t>Even if the duty holder is not the alleged perpetrator, existing safeguards ensure complainants are protected from harm or traumatisation during proceedings.</w:t>
      </w:r>
      <w:r w:rsidRPr="00C54436">
        <w:rPr>
          <w:rFonts w:cs="Arial"/>
          <w:b/>
          <w:bCs/>
          <w:i w:val="0"/>
          <w:iCs w:val="0"/>
        </w:rPr>
        <w:t xml:space="preserve"> </w:t>
      </w:r>
    </w:p>
    <w:p w14:paraId="629D1AC1" w14:textId="4A5165FE" w:rsidR="008D1719" w:rsidRPr="007158FB" w:rsidRDefault="008D1719" w:rsidP="00D30B9E">
      <w:pPr>
        <w:pStyle w:val="Heading3"/>
        <w:spacing w:before="0" w:after="120"/>
        <w:ind w:left="1440" w:hanging="1440"/>
        <w:rPr>
          <w:rFonts w:cs="Arial"/>
          <w:kern w:val="0"/>
          <w14:ligatures w14:val="none"/>
        </w:rPr>
      </w:pPr>
      <w:r w:rsidRPr="007158FB">
        <w:rPr>
          <w:rFonts w:cs="Arial"/>
          <w:i w:val="0"/>
          <w:iCs w:val="0"/>
          <w:kern w:val="0"/>
          <w14:ligatures w14:val="none"/>
        </w:rPr>
        <w:t xml:space="preserve">Clause </w:t>
      </w:r>
      <w:r w:rsidR="00D93700">
        <w:rPr>
          <w:rFonts w:cs="Arial"/>
          <w:i w:val="0"/>
          <w:iCs w:val="0"/>
          <w:kern w:val="0"/>
          <w14:ligatures w14:val="none"/>
        </w:rPr>
        <w:t>6</w:t>
      </w:r>
      <w:r w:rsidR="00C54436" w:rsidRPr="007158FB">
        <w:rPr>
          <w:rFonts w:cs="Arial"/>
          <w:i w:val="0"/>
          <w:iCs w:val="0"/>
          <w:kern w:val="0"/>
          <w14:ligatures w14:val="none"/>
        </w:rPr>
        <w:tab/>
        <w:t xml:space="preserve">Section 42, definition of </w:t>
      </w:r>
      <w:r w:rsidR="00C54436" w:rsidRPr="007158FB">
        <w:rPr>
          <w:rFonts w:cs="Arial"/>
          <w:kern w:val="0"/>
          <w14:ligatures w14:val="none"/>
        </w:rPr>
        <w:t>complainant</w:t>
      </w:r>
    </w:p>
    <w:p w14:paraId="744B7ED0" w14:textId="77777777" w:rsidR="005D45BC" w:rsidRDefault="00C54436" w:rsidP="009751DC">
      <w:pPr>
        <w:rPr>
          <w:rFonts w:cs="Arial"/>
          <w:i w:val="0"/>
          <w:iCs w:val="0"/>
        </w:rPr>
      </w:pPr>
      <w:r w:rsidRPr="007158FB">
        <w:rPr>
          <w:rFonts w:cs="Arial"/>
          <w:i w:val="0"/>
          <w:iCs w:val="0"/>
        </w:rPr>
        <w:t xml:space="preserve">This provision substitutes the definition of </w:t>
      </w:r>
      <w:r w:rsidR="00D30B9E" w:rsidRPr="007158FB">
        <w:rPr>
          <w:rFonts w:cs="Arial"/>
          <w:i w:val="0"/>
          <w:iCs w:val="0"/>
        </w:rPr>
        <w:t>“</w:t>
      </w:r>
      <w:r w:rsidRPr="007158FB">
        <w:rPr>
          <w:rFonts w:cs="Arial"/>
          <w:i w:val="0"/>
          <w:iCs w:val="0"/>
        </w:rPr>
        <w:t>complainant</w:t>
      </w:r>
      <w:r w:rsidR="00D30B9E" w:rsidRPr="007158FB">
        <w:rPr>
          <w:rFonts w:cs="Arial"/>
          <w:i w:val="0"/>
          <w:iCs w:val="0"/>
        </w:rPr>
        <w:t>”</w:t>
      </w:r>
      <w:r w:rsidRPr="007158FB">
        <w:rPr>
          <w:rFonts w:cs="Arial"/>
          <w:i w:val="0"/>
          <w:iCs w:val="0"/>
        </w:rPr>
        <w:t xml:space="preserve"> to also include for the purposes of a sexual offence proceeding, a person against whom a sexual assault or an act of a sexually offensive, intimidating or humiliating nature is suspected or alleged, or has been found, to have been committed. This addition captures the intended policy of broadening special protections to complainants to those within the work, health and safety content. It is intended that the broadening of these provisions is only afforded to the victim/complainant of the conduct and not to other witnesses. </w:t>
      </w:r>
    </w:p>
    <w:p w14:paraId="3534996B" w14:textId="15934193" w:rsidR="009751DC" w:rsidRPr="00D93700" w:rsidRDefault="00D93700" w:rsidP="005D45BC">
      <w:pPr>
        <w:spacing w:before="240"/>
        <w:rPr>
          <w:rFonts w:cs="Arial"/>
          <w:i w:val="0"/>
          <w:iCs w:val="0"/>
        </w:rPr>
      </w:pPr>
      <w:r>
        <w:rPr>
          <w:rFonts w:cs="Arial"/>
          <w:b/>
          <w:bCs/>
          <w:i w:val="0"/>
          <w:iCs w:val="0"/>
        </w:rPr>
        <w:t>Part 3</w:t>
      </w:r>
      <w:r>
        <w:rPr>
          <w:rFonts w:cs="Arial"/>
          <w:b/>
          <w:bCs/>
          <w:i w:val="0"/>
          <w:iCs w:val="0"/>
        </w:rPr>
        <w:tab/>
      </w:r>
      <w:r w:rsidR="009751DC" w:rsidRPr="00DF622F">
        <w:rPr>
          <w:rFonts w:cs="Arial"/>
          <w:b/>
          <w:bCs/>
          <w:i w:val="0"/>
          <w:iCs w:val="0"/>
        </w:rPr>
        <w:tab/>
        <w:t>Workers Compensation Act 1951</w:t>
      </w:r>
    </w:p>
    <w:p w14:paraId="3DEE607C" w14:textId="4CFE7068" w:rsidR="009751DC" w:rsidRPr="00DF622F" w:rsidRDefault="0029682F" w:rsidP="009751DC">
      <w:pPr>
        <w:rPr>
          <w:rFonts w:cs="Arial"/>
          <w:b/>
          <w:bCs/>
          <w:i w:val="0"/>
          <w:iCs w:val="0"/>
        </w:rPr>
      </w:pPr>
      <w:r>
        <w:rPr>
          <w:rFonts w:cs="Arial"/>
          <w:b/>
          <w:bCs/>
          <w:i w:val="0"/>
          <w:iCs w:val="0"/>
        </w:rPr>
        <w:t>Clause 7</w:t>
      </w:r>
      <w:r w:rsidR="009751DC" w:rsidRPr="00DF622F">
        <w:rPr>
          <w:rFonts w:cs="Arial"/>
          <w:b/>
          <w:bCs/>
          <w:i w:val="0"/>
          <w:iCs w:val="0"/>
        </w:rPr>
        <w:tab/>
        <w:t>Section 145K</w:t>
      </w:r>
    </w:p>
    <w:p w14:paraId="7CF83AE0" w14:textId="77777777" w:rsidR="009751DC" w:rsidRPr="00DF622F" w:rsidRDefault="009751DC" w:rsidP="009751DC">
      <w:pPr>
        <w:rPr>
          <w:rFonts w:cs="Arial"/>
          <w:i w:val="0"/>
          <w:iCs w:val="0"/>
        </w:rPr>
      </w:pPr>
      <w:r w:rsidRPr="00DF622F">
        <w:rPr>
          <w:rFonts w:cs="Arial"/>
          <w:i w:val="0"/>
          <w:iCs w:val="0"/>
        </w:rPr>
        <w:t>This amendment provides that employers, other than those prescribed, must hold a self-insurer licence or maintain a compulsory insurance policy with a licensed insurer. Prescribed employers must also hold a self-insurer licence for non-prescribed workers unless covered by a compulsory insurance policy, ensuring all workers are appropriately insured.  </w:t>
      </w:r>
    </w:p>
    <w:p w14:paraId="01430806" w14:textId="77777777" w:rsidR="00F826DB" w:rsidRDefault="0029682F" w:rsidP="009751DC">
      <w:pPr>
        <w:rPr>
          <w:rFonts w:cs="Arial"/>
          <w:b/>
          <w:bCs/>
          <w:i w:val="0"/>
          <w:iCs w:val="0"/>
        </w:rPr>
      </w:pPr>
      <w:r>
        <w:rPr>
          <w:rFonts w:cs="Arial"/>
          <w:b/>
          <w:bCs/>
          <w:i w:val="0"/>
          <w:iCs w:val="0"/>
        </w:rPr>
        <w:t>Clause 8</w:t>
      </w:r>
      <w:r w:rsidR="009751DC" w:rsidRPr="00DF622F">
        <w:rPr>
          <w:rFonts w:cs="Arial"/>
          <w:b/>
          <w:bCs/>
          <w:i w:val="0"/>
          <w:iCs w:val="0"/>
        </w:rPr>
        <w:tab/>
      </w:r>
      <w:r w:rsidR="00F826DB">
        <w:rPr>
          <w:rFonts w:cs="Arial"/>
          <w:b/>
          <w:bCs/>
          <w:i w:val="0"/>
          <w:iCs w:val="0"/>
        </w:rPr>
        <w:t>Failing to hold a self-insurer licence</w:t>
      </w:r>
    </w:p>
    <w:p w14:paraId="59F7AEAA" w14:textId="5CD8B921" w:rsidR="009751DC" w:rsidRPr="00DF622F" w:rsidRDefault="009751DC" w:rsidP="00F826DB">
      <w:pPr>
        <w:ind w:left="720" w:firstLine="720"/>
        <w:rPr>
          <w:rFonts w:cs="Arial"/>
          <w:b/>
          <w:bCs/>
          <w:i w:val="0"/>
          <w:iCs w:val="0"/>
        </w:rPr>
      </w:pPr>
      <w:r w:rsidRPr="00DF622F">
        <w:rPr>
          <w:rFonts w:cs="Arial"/>
          <w:b/>
          <w:bCs/>
          <w:i w:val="0"/>
          <w:iCs w:val="0"/>
        </w:rPr>
        <w:t>Section 145S (1) (b)</w:t>
      </w:r>
    </w:p>
    <w:p w14:paraId="0DF4A360" w14:textId="77777777" w:rsidR="009751DC" w:rsidRPr="00DF622F" w:rsidRDefault="009751DC" w:rsidP="009751DC">
      <w:pPr>
        <w:rPr>
          <w:rFonts w:cs="Arial"/>
          <w:i w:val="0"/>
          <w:iCs w:val="0"/>
        </w:rPr>
      </w:pPr>
      <w:r w:rsidRPr="00DF622F">
        <w:rPr>
          <w:rFonts w:cs="Arial"/>
          <w:i w:val="0"/>
          <w:iCs w:val="0"/>
        </w:rPr>
        <w:t>This is a consequential amendment to provide for who commits an offence for failing to hold a self-insurer licence. This provision excludes a person if they hold a compulsory insurance policy with a licensed insurer or if they are a prescribed employer that employs only prescribed workers.  </w:t>
      </w:r>
    </w:p>
    <w:p w14:paraId="7D2C57C3" w14:textId="399C9755" w:rsidR="009751DC" w:rsidRPr="00DF622F" w:rsidRDefault="0029682F" w:rsidP="009751DC">
      <w:pPr>
        <w:rPr>
          <w:rFonts w:cs="Arial"/>
          <w:b/>
          <w:bCs/>
          <w:i w:val="0"/>
          <w:iCs w:val="0"/>
        </w:rPr>
      </w:pPr>
      <w:r>
        <w:rPr>
          <w:rFonts w:cs="Arial"/>
          <w:b/>
          <w:bCs/>
          <w:i w:val="0"/>
          <w:iCs w:val="0"/>
        </w:rPr>
        <w:t>Clause 9</w:t>
      </w:r>
      <w:r w:rsidR="009751DC" w:rsidRPr="00DF622F">
        <w:rPr>
          <w:rFonts w:cs="Arial"/>
          <w:b/>
          <w:bCs/>
          <w:i w:val="0"/>
          <w:iCs w:val="0"/>
        </w:rPr>
        <w:tab/>
        <w:t>Section 145S (1), note</w:t>
      </w:r>
    </w:p>
    <w:p w14:paraId="292FD565" w14:textId="77777777" w:rsidR="009751DC" w:rsidRPr="00DF622F" w:rsidRDefault="009751DC" w:rsidP="009751DC">
      <w:pPr>
        <w:rPr>
          <w:rFonts w:cs="Arial"/>
          <w:i w:val="0"/>
          <w:iCs w:val="0"/>
        </w:rPr>
      </w:pPr>
      <w:r w:rsidRPr="00DF622F">
        <w:rPr>
          <w:rFonts w:cs="Arial"/>
          <w:i w:val="0"/>
          <w:iCs w:val="0"/>
        </w:rPr>
        <w:t>This section note has been omitted. </w:t>
      </w:r>
    </w:p>
    <w:p w14:paraId="2B1A396B" w14:textId="67A06CD4" w:rsidR="009751DC" w:rsidRPr="00DF622F" w:rsidRDefault="0029682F" w:rsidP="0029682F">
      <w:pPr>
        <w:ind w:left="1440" w:hanging="1440"/>
        <w:rPr>
          <w:rFonts w:cs="Arial"/>
          <w:b/>
          <w:bCs/>
          <w:i w:val="0"/>
          <w:iCs w:val="0"/>
        </w:rPr>
      </w:pPr>
      <w:r>
        <w:rPr>
          <w:rFonts w:cs="Arial"/>
          <w:b/>
          <w:bCs/>
          <w:i w:val="0"/>
          <w:iCs w:val="0"/>
        </w:rPr>
        <w:t>Clause 10</w:t>
      </w:r>
      <w:r w:rsidR="009751DC" w:rsidRPr="00DF622F">
        <w:rPr>
          <w:rFonts w:cs="Arial"/>
          <w:b/>
          <w:bCs/>
          <w:i w:val="0"/>
          <w:iCs w:val="0"/>
        </w:rPr>
        <w:tab/>
      </w:r>
      <w:r>
        <w:rPr>
          <w:rFonts w:cs="Arial"/>
          <w:b/>
          <w:bCs/>
          <w:i w:val="0"/>
          <w:iCs w:val="0"/>
        </w:rPr>
        <w:t>Compulsory insurance–employers</w:t>
      </w:r>
      <w:r>
        <w:rPr>
          <w:rFonts w:cs="Arial"/>
          <w:b/>
          <w:bCs/>
          <w:i w:val="0"/>
          <w:iCs w:val="0"/>
        </w:rPr>
        <w:br/>
      </w:r>
      <w:r w:rsidR="009751DC" w:rsidRPr="00DF622F">
        <w:rPr>
          <w:rFonts w:cs="Arial"/>
          <w:b/>
          <w:bCs/>
          <w:i w:val="0"/>
          <w:iCs w:val="0"/>
        </w:rPr>
        <w:t>New Section 147 (2) (e)</w:t>
      </w:r>
    </w:p>
    <w:p w14:paraId="28197A6A" w14:textId="4346E867" w:rsidR="009751DC" w:rsidRPr="00DF622F" w:rsidRDefault="009751DC" w:rsidP="009751DC">
      <w:pPr>
        <w:rPr>
          <w:rFonts w:cs="Arial"/>
          <w:i w:val="0"/>
          <w:iCs w:val="0"/>
        </w:rPr>
      </w:pPr>
      <w:r w:rsidRPr="00DF622F">
        <w:rPr>
          <w:rFonts w:cs="Arial"/>
          <w:i w:val="0"/>
          <w:iCs w:val="0"/>
        </w:rPr>
        <w:t xml:space="preserve">This subsection excludes prescribed employers who employ only prescribed workers from this section that deals with employers who do not hold </w:t>
      </w:r>
      <w:r w:rsidR="00713F78">
        <w:rPr>
          <w:rFonts w:cs="Arial"/>
          <w:i w:val="0"/>
          <w:iCs w:val="0"/>
        </w:rPr>
        <w:t xml:space="preserve">a </w:t>
      </w:r>
      <w:r w:rsidRPr="00DF622F">
        <w:rPr>
          <w:rFonts w:cs="Arial"/>
          <w:i w:val="0"/>
          <w:iCs w:val="0"/>
        </w:rPr>
        <w:t>compulsory insurance policy issued by a licensed insurer.   </w:t>
      </w:r>
    </w:p>
    <w:p w14:paraId="747A055A" w14:textId="67884415" w:rsidR="009751DC" w:rsidRPr="00DF622F" w:rsidRDefault="0029682F" w:rsidP="0029682F">
      <w:pPr>
        <w:ind w:left="1440" w:hanging="1440"/>
        <w:rPr>
          <w:rFonts w:cs="Arial"/>
          <w:b/>
          <w:bCs/>
          <w:i w:val="0"/>
          <w:iCs w:val="0"/>
        </w:rPr>
      </w:pPr>
      <w:r>
        <w:rPr>
          <w:rFonts w:cs="Arial"/>
          <w:b/>
          <w:bCs/>
          <w:i w:val="0"/>
          <w:iCs w:val="0"/>
        </w:rPr>
        <w:t>Clause 11</w:t>
      </w:r>
      <w:r w:rsidR="009751DC" w:rsidRPr="00DF622F">
        <w:rPr>
          <w:rFonts w:cs="Arial"/>
          <w:b/>
          <w:bCs/>
          <w:i w:val="0"/>
          <w:iCs w:val="0"/>
        </w:rPr>
        <w:tab/>
      </w:r>
      <w:r>
        <w:rPr>
          <w:rFonts w:cs="Arial"/>
          <w:b/>
          <w:bCs/>
          <w:i w:val="0"/>
          <w:iCs w:val="0"/>
        </w:rPr>
        <w:t>Purpose of DI fund</w:t>
      </w:r>
      <w:r>
        <w:rPr>
          <w:rFonts w:cs="Arial"/>
          <w:b/>
          <w:bCs/>
          <w:i w:val="0"/>
          <w:iCs w:val="0"/>
        </w:rPr>
        <w:br/>
      </w:r>
      <w:r w:rsidR="009751DC" w:rsidRPr="00DF622F">
        <w:rPr>
          <w:rFonts w:cs="Arial"/>
          <w:b/>
          <w:bCs/>
          <w:i w:val="0"/>
          <w:iCs w:val="0"/>
        </w:rPr>
        <w:t>Section 166A (2) and note</w:t>
      </w:r>
    </w:p>
    <w:p w14:paraId="2DD9A58E" w14:textId="14B9DE11" w:rsidR="00493F9C" w:rsidRDefault="009751DC" w:rsidP="009751DC">
      <w:pPr>
        <w:rPr>
          <w:rFonts w:cs="Arial"/>
          <w:i w:val="0"/>
          <w:iCs w:val="0"/>
        </w:rPr>
      </w:pPr>
      <w:r w:rsidRPr="00DF622F">
        <w:rPr>
          <w:rFonts w:cs="Arial"/>
          <w:i w:val="0"/>
          <w:iCs w:val="0"/>
        </w:rPr>
        <w:t xml:space="preserve">This amendment provides that the DI Fund must meet the costs of compensation to an injured worker whose employer does not have compulsory insurance policy, and where the employer is a prescribed employer and the injured worker is a prescribed worker. </w:t>
      </w:r>
    </w:p>
    <w:p w14:paraId="26A6E306" w14:textId="02345CD2" w:rsidR="009751DC" w:rsidRPr="00DF622F" w:rsidRDefault="0029682F" w:rsidP="005D45BC">
      <w:pPr>
        <w:keepNext/>
        <w:rPr>
          <w:rFonts w:cs="Arial"/>
          <w:b/>
          <w:bCs/>
          <w:i w:val="0"/>
          <w:iCs w:val="0"/>
        </w:rPr>
      </w:pPr>
      <w:r>
        <w:rPr>
          <w:rFonts w:cs="Arial"/>
          <w:b/>
          <w:bCs/>
          <w:i w:val="0"/>
          <w:iCs w:val="0"/>
        </w:rPr>
        <w:lastRenderedPageBreak/>
        <w:t>Clause 12</w:t>
      </w:r>
      <w:r w:rsidR="009751DC" w:rsidRPr="00DF622F">
        <w:rPr>
          <w:rFonts w:cs="Arial"/>
          <w:b/>
          <w:bCs/>
          <w:i w:val="0"/>
          <w:iCs w:val="0"/>
        </w:rPr>
        <w:tab/>
        <w:t>Section 166A (4) and note</w:t>
      </w:r>
    </w:p>
    <w:p w14:paraId="6B6032BF" w14:textId="77777777" w:rsidR="009751DC" w:rsidRPr="00DF622F" w:rsidRDefault="009751DC" w:rsidP="009751DC">
      <w:pPr>
        <w:rPr>
          <w:rFonts w:cs="Arial"/>
          <w:i w:val="0"/>
          <w:iCs w:val="0"/>
        </w:rPr>
      </w:pPr>
      <w:r w:rsidRPr="00DF622F">
        <w:rPr>
          <w:rFonts w:cs="Arial"/>
          <w:i w:val="0"/>
          <w:iCs w:val="0"/>
        </w:rPr>
        <w:t>This amendment substitutes the existing provision providing for the requirement of the DI Fund to meet the cost of an employer’s liability that arises in relation to an injury or death of a worker by paying an amount that satisfies or discharges the liability to a person entitled to the amount in two circumstances, being:</w:t>
      </w:r>
    </w:p>
    <w:p w14:paraId="6487B3DC" w14:textId="77777777"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the employer of the worker does not have a compulsory insurance policy to cover the liability, or</w:t>
      </w:r>
    </w:p>
    <w:p w14:paraId="450BDD1B" w14:textId="62D67008" w:rsidR="009751DC" w:rsidRPr="00DF622F" w:rsidRDefault="009751DC" w:rsidP="0005402D">
      <w:pPr>
        <w:pStyle w:val="ListParagraph"/>
        <w:numPr>
          <w:ilvl w:val="0"/>
          <w:numId w:val="48"/>
        </w:numPr>
        <w:spacing w:before="120" w:after="120" w:line="240" w:lineRule="auto"/>
        <w:ind w:right="0"/>
        <w:rPr>
          <w:rFonts w:cs="Arial"/>
          <w:i w:val="0"/>
          <w:iCs w:val="0"/>
        </w:rPr>
      </w:pPr>
      <w:r w:rsidRPr="00DF622F">
        <w:rPr>
          <w:rFonts w:cs="Arial"/>
          <w:i w:val="0"/>
          <w:iCs w:val="0"/>
        </w:rPr>
        <w:t xml:space="preserve">the employer is a prescribed </w:t>
      </w:r>
      <w:r w:rsidR="00493F9C" w:rsidRPr="00DF622F">
        <w:rPr>
          <w:rFonts w:cs="Arial"/>
          <w:i w:val="0"/>
          <w:iCs w:val="0"/>
        </w:rPr>
        <w:t>employer,</w:t>
      </w:r>
      <w:r w:rsidRPr="00DF622F">
        <w:rPr>
          <w:rFonts w:cs="Arial"/>
          <w:i w:val="0"/>
          <w:iCs w:val="0"/>
        </w:rPr>
        <w:t xml:space="preserve"> and the worker is a prescribed worker.</w:t>
      </w:r>
    </w:p>
    <w:p w14:paraId="732E3B02" w14:textId="7FE71960" w:rsidR="009751DC" w:rsidRPr="00DF622F" w:rsidRDefault="00493F9C" w:rsidP="00493F9C">
      <w:pPr>
        <w:ind w:left="1440" w:hanging="1440"/>
        <w:rPr>
          <w:rFonts w:cs="Arial"/>
          <w:b/>
          <w:bCs/>
          <w:i w:val="0"/>
          <w:iCs w:val="0"/>
        </w:rPr>
      </w:pPr>
      <w:r>
        <w:rPr>
          <w:rFonts w:cs="Arial"/>
          <w:b/>
          <w:bCs/>
          <w:i w:val="0"/>
          <w:iCs w:val="0"/>
        </w:rPr>
        <w:t>Clause 13</w:t>
      </w:r>
      <w:r w:rsidR="009751DC" w:rsidRPr="00DF622F">
        <w:rPr>
          <w:rFonts w:cs="Arial"/>
          <w:b/>
          <w:bCs/>
          <w:i w:val="0"/>
          <w:iCs w:val="0"/>
        </w:rPr>
        <w:tab/>
        <w:t>New division 8.2.2A</w:t>
      </w:r>
    </w:p>
    <w:p w14:paraId="4F9AB2A3" w14:textId="77777777" w:rsidR="009751DC" w:rsidRPr="00DF622F" w:rsidRDefault="009751DC" w:rsidP="009751DC">
      <w:pPr>
        <w:rPr>
          <w:rFonts w:cs="Arial"/>
          <w:i w:val="0"/>
          <w:iCs w:val="0"/>
        </w:rPr>
      </w:pPr>
      <w:r w:rsidRPr="00DF622F">
        <w:rPr>
          <w:rFonts w:cs="Arial"/>
          <w:i w:val="0"/>
          <w:iCs w:val="0"/>
        </w:rPr>
        <w:t>This provision enables the Executive to determine the class of employers that may be a prescribed employer, the class of workers to be prescribed, the application process and conditions including the duration of time an employer may be a prescribed employer. The determination is a notifiable instrument, designed to facilitate transparency and administrative oversight. </w:t>
      </w:r>
    </w:p>
    <w:p w14:paraId="7CC3FB3E" w14:textId="77777777" w:rsidR="009751DC" w:rsidRPr="00DF622F" w:rsidRDefault="009751DC" w:rsidP="009751DC">
      <w:pPr>
        <w:rPr>
          <w:rFonts w:cs="Arial"/>
          <w:i w:val="0"/>
          <w:iCs w:val="0"/>
        </w:rPr>
      </w:pPr>
      <w:r w:rsidRPr="00DF622F">
        <w:rPr>
          <w:rFonts w:cs="Arial"/>
          <w:i w:val="0"/>
          <w:iCs w:val="0"/>
        </w:rPr>
        <w:t>This amendment allows the Executive to determine fees payable by prescribed employers for the administration of the DI fund. The determination is a disallowable instrument which ensures it is subject to oversight by members of the Legislative Assembly. </w:t>
      </w:r>
    </w:p>
    <w:p w14:paraId="058A662C" w14:textId="77777777" w:rsidR="009751DC" w:rsidRPr="00DF622F" w:rsidRDefault="009751DC" w:rsidP="009751DC">
      <w:pPr>
        <w:rPr>
          <w:rFonts w:cs="Arial"/>
          <w:i w:val="0"/>
          <w:iCs w:val="0"/>
        </w:rPr>
      </w:pPr>
      <w:r w:rsidRPr="00DF622F">
        <w:rPr>
          <w:rFonts w:cs="Arial"/>
          <w:i w:val="0"/>
          <w:iCs w:val="0"/>
        </w:rPr>
        <w:t>This provision allows an employer who employs prescribed workers to apply to the DI fund manager to become a prescribed employer for a specified period. The application must include an estimate of workforce and wages, along with any other information required by regulation. </w:t>
      </w:r>
    </w:p>
    <w:p w14:paraId="297E6826" w14:textId="71113FF3" w:rsidR="009751DC" w:rsidRPr="00DF622F" w:rsidRDefault="009751DC" w:rsidP="009751DC">
      <w:pPr>
        <w:rPr>
          <w:rFonts w:cs="Arial"/>
          <w:i w:val="0"/>
          <w:iCs w:val="0"/>
        </w:rPr>
      </w:pPr>
      <w:r w:rsidRPr="00DF622F">
        <w:rPr>
          <w:rFonts w:cs="Arial"/>
          <w:i w:val="0"/>
          <w:iCs w:val="0"/>
        </w:rPr>
        <w:t>This provision sets out the process for assessing applications to become a prescribed employer. The DI fund manager must approve applications where eligibility and required information are provided, may revoke prescribed status if conditions are breached, and must notify the employer in writing of any such decision. </w:t>
      </w:r>
    </w:p>
    <w:p w14:paraId="716E3C30" w14:textId="77777777" w:rsidR="009751DC" w:rsidRPr="00DF622F" w:rsidRDefault="009751DC" w:rsidP="009751DC">
      <w:pPr>
        <w:rPr>
          <w:rFonts w:cs="Arial"/>
          <w:i w:val="0"/>
          <w:iCs w:val="0"/>
        </w:rPr>
      </w:pPr>
      <w:r w:rsidRPr="00DF622F">
        <w:rPr>
          <w:rFonts w:cs="Arial"/>
          <w:i w:val="0"/>
          <w:iCs w:val="0"/>
        </w:rPr>
        <w:t>This provision provides transitional arrangements for employers approved as prescribed employers between the commencement date and the end of February 2026. It ensures that the provisions apply to those employers and their prescribed workers in relation to any injuries occurring from the commencement date onwards. </w:t>
      </w:r>
    </w:p>
    <w:p w14:paraId="2D07FB18" w14:textId="30999644" w:rsidR="009751DC" w:rsidRPr="00DF622F" w:rsidRDefault="003E65AC" w:rsidP="003E65AC">
      <w:pPr>
        <w:ind w:left="1440" w:hanging="1440"/>
        <w:rPr>
          <w:rFonts w:cs="Arial"/>
          <w:b/>
          <w:bCs/>
          <w:i w:val="0"/>
          <w:iCs w:val="0"/>
        </w:rPr>
      </w:pPr>
      <w:r>
        <w:rPr>
          <w:rFonts w:cs="Arial"/>
          <w:b/>
          <w:bCs/>
          <w:i w:val="0"/>
          <w:iCs w:val="0"/>
        </w:rPr>
        <w:t>Clause 14</w:t>
      </w:r>
      <w:r w:rsidR="009751DC" w:rsidRPr="00DF622F">
        <w:rPr>
          <w:rFonts w:cs="Arial"/>
          <w:b/>
          <w:bCs/>
          <w:i w:val="0"/>
          <w:iCs w:val="0"/>
        </w:rPr>
        <w:tab/>
      </w:r>
      <w:r>
        <w:rPr>
          <w:rFonts w:cs="Arial"/>
          <w:b/>
          <w:bCs/>
          <w:i w:val="0"/>
          <w:iCs w:val="0"/>
        </w:rPr>
        <w:t>Who may make a claim for payment</w:t>
      </w:r>
      <w:r>
        <w:rPr>
          <w:rFonts w:cs="Arial"/>
          <w:b/>
          <w:bCs/>
          <w:i w:val="0"/>
          <w:iCs w:val="0"/>
        </w:rPr>
        <w:br/>
      </w:r>
      <w:r w:rsidR="009751DC" w:rsidRPr="00DF622F">
        <w:rPr>
          <w:rFonts w:cs="Arial"/>
          <w:b/>
          <w:bCs/>
          <w:i w:val="0"/>
          <w:iCs w:val="0"/>
        </w:rPr>
        <w:t>Section 170 (3) (b)</w:t>
      </w:r>
    </w:p>
    <w:p w14:paraId="69D5A04A" w14:textId="2A0237C7" w:rsidR="00C556A9" w:rsidRPr="00BF19D5" w:rsidRDefault="00BF19D5" w:rsidP="009751DC">
      <w:pPr>
        <w:rPr>
          <w:rFonts w:cs="Arial"/>
          <w:i w:val="0"/>
          <w:iCs w:val="0"/>
        </w:rPr>
      </w:pPr>
      <w:r w:rsidRPr="00DF622F">
        <w:rPr>
          <w:rFonts w:cs="Arial"/>
          <w:i w:val="0"/>
          <w:iCs w:val="0"/>
        </w:rPr>
        <w:t xml:space="preserve">This amendment clarifies that an employer may be liable under section 170 of the </w:t>
      </w:r>
      <w:r w:rsidRPr="007979D5">
        <w:rPr>
          <w:rFonts w:cs="Arial"/>
        </w:rPr>
        <w:t>Workers Compensation Act 1951</w:t>
      </w:r>
      <w:r w:rsidRPr="00DF622F">
        <w:rPr>
          <w:rFonts w:cs="Arial"/>
          <w:i w:val="0"/>
          <w:iCs w:val="0"/>
        </w:rPr>
        <w:t xml:space="preserve"> if they do not hold a compulsory insurance policy for the injured worker, or if they are not a prescribed employer and the injured worker is not a prescribed worker.  </w:t>
      </w:r>
    </w:p>
    <w:p w14:paraId="6361963A" w14:textId="4C8A1F0A" w:rsidR="009751DC" w:rsidRPr="00DF622F" w:rsidRDefault="003E65AC" w:rsidP="009751DC">
      <w:pPr>
        <w:rPr>
          <w:rFonts w:cs="Arial"/>
          <w:b/>
          <w:bCs/>
          <w:i w:val="0"/>
          <w:iCs w:val="0"/>
        </w:rPr>
      </w:pPr>
      <w:r>
        <w:rPr>
          <w:rFonts w:cs="Arial"/>
          <w:b/>
          <w:bCs/>
          <w:i w:val="0"/>
          <w:iCs w:val="0"/>
        </w:rPr>
        <w:t>Clause 15</w:t>
      </w:r>
      <w:r w:rsidR="009751DC" w:rsidRPr="00DF622F">
        <w:rPr>
          <w:rFonts w:cs="Arial"/>
          <w:b/>
          <w:bCs/>
          <w:i w:val="0"/>
          <w:iCs w:val="0"/>
        </w:rPr>
        <w:tab/>
        <w:t>Dictionary, new definitions</w:t>
      </w:r>
    </w:p>
    <w:p w14:paraId="31CD12CD" w14:textId="77777777" w:rsidR="009751DC" w:rsidRPr="00DF622F" w:rsidRDefault="009751DC" w:rsidP="009751DC">
      <w:pPr>
        <w:rPr>
          <w:rFonts w:cs="Arial"/>
          <w:i w:val="0"/>
          <w:iCs w:val="0"/>
        </w:rPr>
      </w:pPr>
      <w:r w:rsidRPr="00DF622F">
        <w:rPr>
          <w:rFonts w:cs="Arial"/>
          <w:i w:val="0"/>
          <w:iCs w:val="0"/>
        </w:rPr>
        <w:t>This amendment provides definitions for “prescribed employer” and “prescribed worker”. </w:t>
      </w:r>
    </w:p>
    <w:p w14:paraId="01934733" w14:textId="0ACDC7F1" w:rsidR="002A2BFA" w:rsidRPr="007158FB" w:rsidRDefault="002A2BFA" w:rsidP="00102A2B">
      <w:pPr>
        <w:pStyle w:val="Heading3"/>
        <w:spacing w:before="0" w:after="120"/>
        <w:ind w:left="1440" w:hanging="1440"/>
        <w:rPr>
          <w:rFonts w:cs="Arial"/>
          <w:i w:val="0"/>
          <w:iCs w:val="0"/>
          <w:kern w:val="0"/>
          <w14:ligatures w14:val="none"/>
        </w:rPr>
      </w:pPr>
    </w:p>
    <w:sectPr w:rsidR="002A2BFA" w:rsidRPr="007158FB">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B245" w14:textId="77777777" w:rsidR="00E16841" w:rsidRDefault="00E16841" w:rsidP="00E90DF9">
      <w:pPr>
        <w:spacing w:after="0" w:line="240" w:lineRule="auto"/>
      </w:pPr>
      <w:r>
        <w:separator/>
      </w:r>
    </w:p>
  </w:endnote>
  <w:endnote w:type="continuationSeparator" w:id="0">
    <w:p w14:paraId="52A43D25" w14:textId="77777777" w:rsidR="00E16841" w:rsidRDefault="00E16841" w:rsidP="00E90DF9">
      <w:pPr>
        <w:spacing w:after="0" w:line="240" w:lineRule="auto"/>
      </w:pPr>
      <w:r>
        <w:continuationSeparator/>
      </w:r>
    </w:p>
  </w:endnote>
  <w:endnote w:type="continuationNotice" w:id="1">
    <w:p w14:paraId="553C753F" w14:textId="77777777" w:rsidR="00E16841" w:rsidRDefault="00E16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D415" w14:textId="77777777" w:rsidR="00BA69BB" w:rsidRDefault="00BA6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C0EC" w14:textId="2936DB9C" w:rsidR="00BA69BB" w:rsidRPr="00BA69BB" w:rsidRDefault="00BA69BB" w:rsidP="00BA69BB">
    <w:pPr>
      <w:pStyle w:val="Footer"/>
      <w:jc w:val="center"/>
      <w:rPr>
        <w:rFonts w:cs="Arial"/>
        <w:i w:val="0"/>
        <w:sz w:val="14"/>
      </w:rPr>
    </w:pPr>
    <w:r w:rsidRPr="00BA69BB">
      <w:rPr>
        <w:rFonts w:cs="Arial"/>
        <w:i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68F3B63C"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rPr>
        <w:i w:val="0"/>
        <w:iCs w:val="0"/>
      </w:rPr>
    </w:pPr>
    <w:r w:rsidRPr="00B65AE8">
      <w:rPr>
        <w:i w:val="0"/>
        <w:iCs w:val="0"/>
      </w:rPr>
      <w:fldChar w:fldCharType="begin"/>
    </w:r>
    <w:r w:rsidRPr="00B65AE8">
      <w:rPr>
        <w:i w:val="0"/>
        <w:iCs w:val="0"/>
      </w:rPr>
      <w:instrText xml:space="preserve"> PAGE   \* MERGEFORMAT </w:instrText>
    </w:r>
    <w:r w:rsidRPr="00B65AE8">
      <w:rPr>
        <w:i w:val="0"/>
        <w:iCs w:val="0"/>
      </w:rPr>
      <w:fldChar w:fldCharType="separate"/>
    </w:r>
    <w:r w:rsidRPr="00B65AE8">
      <w:rPr>
        <w:i w:val="0"/>
        <w:iCs w:val="0"/>
        <w:noProof/>
      </w:rPr>
      <w:t>4</w:t>
    </w:r>
    <w:r w:rsidRPr="00B65AE8">
      <w:rPr>
        <w:i w:val="0"/>
        <w:iCs w:val="0"/>
      </w:rPr>
      <w:fldChar w:fldCharType="end"/>
    </w:r>
  </w:p>
  <w:p w14:paraId="4A52ABCE" w14:textId="1DB633B7" w:rsidR="005D45BC" w:rsidRPr="00BA69BB" w:rsidRDefault="00BA69BB" w:rsidP="00BA69BB">
    <w:pPr>
      <w:pStyle w:val="Footer"/>
      <w:spacing w:before="240" w:after="0" w:line="240" w:lineRule="auto"/>
      <w:jc w:val="center"/>
      <w:rPr>
        <w:rFonts w:cs="Arial"/>
        <w:i w:val="0"/>
        <w:iCs w:val="0"/>
        <w:sz w:val="14"/>
        <w:szCs w:val="14"/>
      </w:rPr>
    </w:pPr>
    <w:r w:rsidRPr="00BA69BB">
      <w:rPr>
        <w:rFonts w:cs="Arial"/>
        <w:i w:val="0"/>
        <w:iCs w:val="0"/>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F6937">
      <w:fldChar w:fldCharType="begin"/>
    </w:r>
    <w:r w:rsidRPr="009F6937">
      <w:instrText xml:space="preserve"> PAGE   \* MERGEFORMAT </w:instrText>
    </w:r>
    <w:r w:rsidRPr="009F6937">
      <w:fldChar w:fldCharType="separate"/>
    </w:r>
    <w:r w:rsidRPr="009F6937">
      <w:rPr>
        <w:noProof/>
      </w:rPr>
      <w:t>1</w:t>
    </w:r>
    <w:r w:rsidRPr="009F6937">
      <w:fldChar w:fldCharType="end"/>
    </w:r>
  </w:p>
  <w:p w14:paraId="1605D687" w14:textId="7903B150" w:rsidR="00BA69BB" w:rsidRPr="00BA69BB" w:rsidRDefault="00BA69BB" w:rsidP="00BA69BB">
    <w:pPr>
      <w:pStyle w:val="Footer"/>
      <w:jc w:val="center"/>
      <w:rPr>
        <w:rFonts w:cs="Arial"/>
        <w:i w:val="0"/>
        <w:sz w:val="14"/>
      </w:rPr>
    </w:pPr>
    <w:r w:rsidRPr="00BA69BB">
      <w:rPr>
        <w:rFonts w:cs="Arial"/>
        <w:i w:val="0"/>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5278" w14:textId="77777777" w:rsidR="00E16841" w:rsidRDefault="00E16841" w:rsidP="00E90DF9">
      <w:pPr>
        <w:spacing w:after="0" w:line="240" w:lineRule="auto"/>
      </w:pPr>
      <w:r>
        <w:separator/>
      </w:r>
    </w:p>
  </w:footnote>
  <w:footnote w:type="continuationSeparator" w:id="0">
    <w:p w14:paraId="172F0863" w14:textId="77777777" w:rsidR="00E16841" w:rsidRDefault="00E16841" w:rsidP="00E90DF9">
      <w:pPr>
        <w:spacing w:after="0" w:line="240" w:lineRule="auto"/>
      </w:pPr>
      <w:r>
        <w:continuationSeparator/>
      </w:r>
    </w:p>
  </w:footnote>
  <w:footnote w:type="continuationNotice" w:id="1">
    <w:p w14:paraId="6E6C77AE" w14:textId="77777777" w:rsidR="00E16841" w:rsidRDefault="00E16841">
      <w:pPr>
        <w:spacing w:after="0" w:line="240" w:lineRule="auto"/>
      </w:pPr>
    </w:p>
  </w:footnote>
  <w:footnote w:id="2">
    <w:p w14:paraId="5C1FD76A" w14:textId="2085B980" w:rsidR="00616A66" w:rsidRPr="00F5712C" w:rsidRDefault="00616A66">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1">
        <w:r w:rsidRPr="00F5712C">
          <w:rPr>
            <w:rStyle w:val="Hyperlink"/>
            <w:rFonts w:ascii="Arial" w:eastAsia="Calibri" w:hAnsi="Arial" w:cs="Arial"/>
            <w:i w:val="0"/>
            <w:lang w:val="en-AU"/>
          </w:rPr>
          <w:t>Inquiry into the Appropriation Bill 2024-2025 and Appropriation (Office of the Legislative Assembly) Bill 2024-2025</w:t>
        </w:r>
      </w:hyperlink>
      <w:r w:rsidRPr="00F5712C">
        <w:rPr>
          <w:rFonts w:ascii="Arial" w:eastAsia="Calibri" w:hAnsi="Arial" w:cs="Arial"/>
          <w:i w:val="0"/>
          <w:lang w:val="en-AU"/>
        </w:rPr>
        <w:t>.</w:t>
      </w:r>
    </w:p>
  </w:footnote>
  <w:footnote w:id="3">
    <w:p w14:paraId="3D1EDE4D" w14:textId="77777777" w:rsidR="004F2044" w:rsidRPr="003F73A2" w:rsidRDefault="004F2044" w:rsidP="004F2044">
      <w:pPr>
        <w:pStyle w:val="FootnoteText"/>
        <w:rPr>
          <w:rFonts w:ascii="Arial" w:hAnsi="Arial" w:cs="Arial"/>
          <w:i w:val="0"/>
          <w:iCs w:val="0"/>
          <w:lang w:val="en-AU"/>
        </w:rPr>
      </w:pPr>
      <w:r w:rsidRPr="003F73A2">
        <w:rPr>
          <w:rStyle w:val="FootnoteReference"/>
          <w:rFonts w:ascii="Arial" w:hAnsi="Arial" w:cs="Arial"/>
          <w:i w:val="0"/>
          <w:iCs w:val="0"/>
        </w:rPr>
        <w:footnoteRef/>
      </w:r>
      <w:r w:rsidRPr="003F73A2">
        <w:rPr>
          <w:rFonts w:ascii="Arial" w:hAnsi="Arial" w:cs="Arial"/>
          <w:i w:val="0"/>
          <w:iCs w:val="0"/>
        </w:rPr>
        <w:t xml:space="preserve"> </w:t>
      </w:r>
      <w:hyperlink r:id="rId2" w:history="1">
        <w:r w:rsidRPr="000671F4">
          <w:rPr>
            <w:rStyle w:val="Hyperlink"/>
            <w:rFonts w:ascii="Arial" w:hAnsi="Arial" w:cs="Arial"/>
            <w:u w:val="none"/>
            <w:lang w:val="en-AU"/>
          </w:rPr>
          <w:t>Evidence (Miscellaneous Provisions) Amendment Bill 2024</w:t>
        </w:r>
      </w:hyperlink>
      <w:r w:rsidRPr="000671F4">
        <w:rPr>
          <w:rFonts w:ascii="Arial" w:hAnsi="Arial" w:cs="Arial"/>
          <w:i w:val="0"/>
          <w:iCs w:val="0"/>
        </w:rPr>
        <w:t>.</w:t>
      </w:r>
    </w:p>
  </w:footnote>
  <w:footnote w:id="4">
    <w:p w14:paraId="6442F6DA" w14:textId="77777777" w:rsidR="004F2044" w:rsidRPr="00941E90" w:rsidRDefault="004F2044" w:rsidP="004F2044">
      <w:pPr>
        <w:pStyle w:val="FootnoteText"/>
        <w:rPr>
          <w:rFonts w:ascii="Arial" w:hAnsi="Arial" w:cs="Arial"/>
          <w:i w:val="0"/>
          <w:lang w:val="en-AU"/>
        </w:rPr>
      </w:pPr>
      <w:r w:rsidRPr="00941E90">
        <w:rPr>
          <w:rStyle w:val="FootnoteReference"/>
          <w:rFonts w:ascii="Arial" w:hAnsi="Arial" w:cs="Arial"/>
          <w:i w:val="0"/>
        </w:rPr>
        <w:footnoteRef/>
      </w:r>
      <w:r w:rsidRPr="00941E90">
        <w:rPr>
          <w:rFonts w:ascii="Arial" w:hAnsi="Arial" w:cs="Arial"/>
          <w:i w:val="0"/>
        </w:rPr>
        <w:t xml:space="preserve"> </w:t>
      </w:r>
      <w:hyperlink r:id="rId3" w:history="1">
        <w:r w:rsidRPr="00941E90">
          <w:rPr>
            <w:rStyle w:val="Hyperlink"/>
            <w:rFonts w:ascii="Arial" w:hAnsi="Arial" w:cs="Arial"/>
            <w:i w:val="0"/>
            <w:u w:val="none"/>
            <w:lang w:val="en-AU"/>
          </w:rPr>
          <w:t>Respect@Work: Sexual Harassment National Inquiry Report (2020)</w:t>
        </w:r>
      </w:hyperlink>
      <w:r>
        <w:rPr>
          <w:rFonts w:ascii="Arial" w:hAnsi="Arial" w:cs="Arial"/>
          <w:i w:val="0"/>
        </w:rPr>
        <w:t>.</w:t>
      </w:r>
    </w:p>
  </w:footnote>
  <w:footnote w:id="5">
    <w:p w14:paraId="6B51642C" w14:textId="77777777" w:rsidR="004F2044" w:rsidRPr="00941E90" w:rsidRDefault="004F2044" w:rsidP="004F2044">
      <w:pPr>
        <w:pStyle w:val="FootnoteText"/>
        <w:rPr>
          <w:rFonts w:ascii="Arial" w:hAnsi="Arial" w:cs="Arial"/>
          <w:i w:val="0"/>
          <w:lang w:val="en-AU"/>
        </w:rPr>
      </w:pPr>
      <w:r w:rsidRPr="000671F4">
        <w:rPr>
          <w:rStyle w:val="FootnoteReference"/>
          <w:rFonts w:ascii="Arial" w:hAnsi="Arial" w:cs="Arial"/>
          <w:i w:val="0"/>
          <w:iCs w:val="0"/>
        </w:rPr>
        <w:footnoteRef/>
      </w:r>
      <w:r w:rsidRPr="00941E90">
        <w:rPr>
          <w:rFonts w:ascii="Arial" w:hAnsi="Arial" w:cs="Arial"/>
        </w:rPr>
        <w:t xml:space="preserve"> </w:t>
      </w:r>
      <w:hyperlink r:id="rId4" w:history="1">
        <w:r w:rsidRPr="000671F4">
          <w:rPr>
            <w:rStyle w:val="Hyperlink"/>
            <w:rFonts w:ascii="Arial" w:hAnsi="Arial" w:cs="Arial"/>
            <w:i w:val="0"/>
            <w:u w:val="none"/>
            <w:lang w:val="en-AU"/>
          </w:rPr>
          <w:t>Work Health and Safety (Sexual and Gender-Based Harassment Code of Practice) Approval 2024 | Notifiable instruments</w:t>
        </w:r>
      </w:hyperlink>
    </w:p>
  </w:footnote>
  <w:footnote w:id="6">
    <w:p w14:paraId="0704F16F" w14:textId="77777777" w:rsidR="00251837" w:rsidRPr="00F5712C" w:rsidRDefault="00251837" w:rsidP="00251837">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r w:rsidRPr="00F5712C">
        <w:rPr>
          <w:rFonts w:ascii="Arial" w:hAnsi="Arial" w:cs="Arial"/>
          <w:i w:val="0"/>
          <w:lang w:val="en-AU"/>
        </w:rPr>
        <w:t>Australian Human Rights Commission, Everyone’s Business: Fourth National Survey on Sexual Harassment in Australian Workplaces (2018) 26.</w:t>
      </w:r>
    </w:p>
  </w:footnote>
  <w:footnote w:id="7">
    <w:p w14:paraId="0E2F4858" w14:textId="304D1A94" w:rsidR="00F5712C" w:rsidRPr="00F5712C" w:rsidRDefault="00F5712C">
      <w:pPr>
        <w:pStyle w:val="FootnoteText"/>
        <w:rPr>
          <w:rFonts w:ascii="Arial" w:hAnsi="Arial" w:cs="Arial"/>
          <w:i w:val="0"/>
          <w:iCs w:val="0"/>
          <w:lang w:val="en-AU"/>
        </w:rPr>
      </w:pPr>
      <w:r w:rsidRPr="00F5712C">
        <w:rPr>
          <w:rStyle w:val="FootnoteReference"/>
          <w:rFonts w:ascii="Arial" w:hAnsi="Arial" w:cs="Arial"/>
          <w:i w:val="0"/>
          <w:iCs w:val="0"/>
        </w:rPr>
        <w:footnoteRef/>
      </w:r>
      <w:r w:rsidRPr="00F5712C">
        <w:rPr>
          <w:rFonts w:ascii="Arial" w:hAnsi="Arial" w:cs="Arial"/>
          <w:i w:val="0"/>
          <w:iCs w:val="0"/>
        </w:rPr>
        <w:t xml:space="preserve"> </w:t>
      </w:r>
      <w:hyperlink r:id="rId5" w:history="1">
        <w:r w:rsidRPr="00F5712C">
          <w:rPr>
            <w:rStyle w:val="Hyperlink"/>
            <w:rFonts w:ascii="Arial" w:hAnsi="Arial" w:cs="Arial"/>
            <w:i w:val="0"/>
            <w:iCs w:val="0"/>
          </w:rPr>
          <w:t>Listen, Take Action to Prevent, Believe and Heal – presented to the ACT Government by the Sexual Assault Prevention and Response Sterring Committee</w:t>
        </w:r>
      </w:hyperlink>
      <w:r w:rsidRPr="00F5712C">
        <w:rPr>
          <w:rFonts w:ascii="Arial" w:hAnsi="Arial" w:cs="Arial"/>
          <w:i w:val="0"/>
          <w:iCs w:val="0"/>
        </w:rPr>
        <w:t>.</w:t>
      </w:r>
    </w:p>
  </w:footnote>
  <w:footnote w:id="8">
    <w:p w14:paraId="27907E1E" w14:textId="75304C45" w:rsidR="00264D3A" w:rsidRPr="00F5712C" w:rsidRDefault="00264D3A" w:rsidP="00264D3A">
      <w:pPr>
        <w:pStyle w:val="FootnoteText"/>
        <w:rPr>
          <w:rFonts w:ascii="Arial" w:hAnsi="Arial" w:cs="Arial"/>
          <w:i w:val="0"/>
          <w:lang w:val="en-AU"/>
        </w:rPr>
      </w:pPr>
      <w:r w:rsidRPr="00F5712C">
        <w:rPr>
          <w:rStyle w:val="FootnoteReference"/>
          <w:rFonts w:ascii="Arial" w:hAnsi="Arial" w:cs="Arial"/>
          <w:i w:val="0"/>
        </w:rPr>
        <w:footnoteRef/>
      </w:r>
      <w:r w:rsidRPr="00F5712C">
        <w:rPr>
          <w:rFonts w:ascii="Arial" w:hAnsi="Arial" w:cs="Arial"/>
          <w:i w:val="0"/>
        </w:rPr>
        <w:t xml:space="preserve"> </w:t>
      </w:r>
      <w:hyperlink r:id="rId6" w:history="1">
        <w:r w:rsidRPr="00F5712C">
          <w:rPr>
            <w:rStyle w:val="Hyperlink"/>
            <w:rFonts w:ascii="Arial" w:hAnsi="Arial" w:cs="Arial"/>
            <w:i w:val="0"/>
            <w:lang w:val="en-AU"/>
          </w:rPr>
          <w:t>Workplace sexual assault - WorkSafe ACT</w:t>
        </w:r>
      </w:hyperlink>
      <w:r w:rsidR="00BB5E81">
        <w:rPr>
          <w:rFonts w:ascii="Arial" w:hAnsi="Arial" w:cs="Arial"/>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8F15" w14:textId="77777777" w:rsidR="00BA69BB" w:rsidRDefault="00BA6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1F28" w14:textId="77777777" w:rsidR="00BA69BB" w:rsidRDefault="00BA6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1DD9" w14:textId="77777777" w:rsidR="00BA69BB" w:rsidRDefault="00BA6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E1"/>
    <w:multiLevelType w:val="multilevel"/>
    <w:tmpl w:val="1FD69C1C"/>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3"/>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 w15:restartNumberingAfterBreak="0">
    <w:nsid w:val="02715BE0"/>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 w15:restartNumberingAfterBreak="0">
    <w:nsid w:val="03126747"/>
    <w:multiLevelType w:val="hybridMultilevel"/>
    <w:tmpl w:val="0250F1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07073"/>
    <w:multiLevelType w:val="hybridMultilevel"/>
    <w:tmpl w:val="2842B60E"/>
    <w:lvl w:ilvl="0" w:tplc="0C090001">
      <w:start w:val="1"/>
      <w:numFmt w:val="bullet"/>
      <w:lvlText w:val=""/>
      <w:lvlJc w:val="left"/>
      <w:pPr>
        <w:ind w:left="720" w:hanging="360"/>
      </w:pPr>
      <w:rPr>
        <w:rFonts w:ascii="Symbol" w:hAnsi="Symbol"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0F5DA6"/>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896161"/>
    <w:multiLevelType w:val="multilevel"/>
    <w:tmpl w:val="274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B47D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AF0C69"/>
    <w:multiLevelType w:val="hybridMultilevel"/>
    <w:tmpl w:val="8246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864E4E"/>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DC93B4"/>
    <w:multiLevelType w:val="hybridMultilevel"/>
    <w:tmpl w:val="23B68064"/>
    <w:lvl w:ilvl="0" w:tplc="E0105852">
      <w:start w:val="1"/>
      <w:numFmt w:val="lowerLetter"/>
      <w:lvlText w:val="%1)"/>
      <w:lvlJc w:val="left"/>
      <w:pPr>
        <w:ind w:left="720" w:hanging="360"/>
      </w:pPr>
      <w:rPr>
        <w:i w:val="0"/>
        <w:iCs w:val="0"/>
      </w:rPr>
    </w:lvl>
    <w:lvl w:ilvl="1" w:tplc="6A781914">
      <w:start w:val="1"/>
      <w:numFmt w:val="lowerLetter"/>
      <w:lvlText w:val="%2."/>
      <w:lvlJc w:val="left"/>
      <w:pPr>
        <w:ind w:left="1440" w:hanging="360"/>
      </w:pPr>
    </w:lvl>
    <w:lvl w:ilvl="2" w:tplc="8332A8B8">
      <w:start w:val="1"/>
      <w:numFmt w:val="lowerRoman"/>
      <w:lvlText w:val="%3."/>
      <w:lvlJc w:val="right"/>
      <w:pPr>
        <w:ind w:left="2160" w:hanging="180"/>
      </w:pPr>
    </w:lvl>
    <w:lvl w:ilvl="3" w:tplc="13BC79AE">
      <w:start w:val="1"/>
      <w:numFmt w:val="decimal"/>
      <w:lvlText w:val="%4."/>
      <w:lvlJc w:val="left"/>
      <w:pPr>
        <w:ind w:left="2880" w:hanging="360"/>
      </w:pPr>
    </w:lvl>
    <w:lvl w:ilvl="4" w:tplc="8A7896B6">
      <w:start w:val="1"/>
      <w:numFmt w:val="lowerLetter"/>
      <w:lvlText w:val="%5."/>
      <w:lvlJc w:val="left"/>
      <w:pPr>
        <w:ind w:left="3600" w:hanging="360"/>
      </w:pPr>
    </w:lvl>
    <w:lvl w:ilvl="5" w:tplc="3BA6CC9A">
      <w:start w:val="1"/>
      <w:numFmt w:val="lowerRoman"/>
      <w:lvlText w:val="%6."/>
      <w:lvlJc w:val="right"/>
      <w:pPr>
        <w:ind w:left="4320" w:hanging="180"/>
      </w:pPr>
    </w:lvl>
    <w:lvl w:ilvl="6" w:tplc="C9CE8CE2">
      <w:start w:val="1"/>
      <w:numFmt w:val="decimal"/>
      <w:lvlText w:val="%7."/>
      <w:lvlJc w:val="left"/>
      <w:pPr>
        <w:ind w:left="5040" w:hanging="360"/>
      </w:pPr>
    </w:lvl>
    <w:lvl w:ilvl="7" w:tplc="403496D6">
      <w:start w:val="1"/>
      <w:numFmt w:val="lowerLetter"/>
      <w:lvlText w:val="%8."/>
      <w:lvlJc w:val="left"/>
      <w:pPr>
        <w:ind w:left="5760" w:hanging="360"/>
      </w:pPr>
    </w:lvl>
    <w:lvl w:ilvl="8" w:tplc="38207AC0">
      <w:start w:val="1"/>
      <w:numFmt w:val="lowerRoman"/>
      <w:lvlText w:val="%9."/>
      <w:lvlJc w:val="right"/>
      <w:pPr>
        <w:ind w:left="6480" w:hanging="180"/>
      </w:pPr>
    </w:lvl>
  </w:abstractNum>
  <w:abstractNum w:abstractNumId="10" w15:restartNumberingAfterBreak="0">
    <w:nsid w:val="1765294D"/>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B73FD"/>
    <w:multiLevelType w:val="hybridMultilevel"/>
    <w:tmpl w:val="C9C8B60C"/>
    <w:lvl w:ilvl="0" w:tplc="9A12408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97A57"/>
    <w:multiLevelType w:val="hybridMultilevel"/>
    <w:tmpl w:val="3E363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63582F"/>
    <w:multiLevelType w:val="multilevel"/>
    <w:tmpl w:val="7AF8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71467B"/>
    <w:multiLevelType w:val="multilevel"/>
    <w:tmpl w:val="E4A2E0D4"/>
    <w:lvl w:ilvl="0">
      <w:start w:val="1"/>
      <w:numFmt w:val="bullet"/>
      <w:lvlText w:val=""/>
      <w:lvlJc w:val="left"/>
      <w:pPr>
        <w:ind w:left="340" w:hanging="340"/>
      </w:pPr>
      <w:rPr>
        <w:rFonts w:ascii="Symbol" w:hAnsi="Symbol"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2583097"/>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3B74993"/>
    <w:multiLevelType w:val="hybridMultilevel"/>
    <w:tmpl w:val="B2029F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AD27B3"/>
    <w:multiLevelType w:val="hybridMultilevel"/>
    <w:tmpl w:val="8B06D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D15D85"/>
    <w:multiLevelType w:val="multilevel"/>
    <w:tmpl w:val="50484150"/>
    <w:lvl w:ilvl="0">
      <w:start w:val="1"/>
      <w:numFmt w:val="decimal"/>
      <w:lvlText w:val="%1)"/>
      <w:lvlJc w:val="left"/>
      <w:pPr>
        <w:ind w:left="340" w:hanging="340"/>
      </w:pPr>
      <w:rPr>
        <w:rFonts w:hint="default"/>
        <w:b w:val="0"/>
        <w:bCs/>
        <w:i w:val="0"/>
        <w:iCs w:val="0"/>
        <w:sz w:val="24"/>
      </w:rPr>
    </w:lvl>
    <w:lvl w:ilvl="1">
      <w:start w:val="1"/>
      <w:numFmt w:val="lowerLetter"/>
      <w:lvlText w:val="%2)"/>
      <w:lvlJc w:val="left"/>
      <w:pPr>
        <w:ind w:left="720" w:hanging="360"/>
      </w:p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2715E5C"/>
    <w:multiLevelType w:val="hybridMultilevel"/>
    <w:tmpl w:val="FC108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0852A4"/>
    <w:multiLevelType w:val="hybridMultilevel"/>
    <w:tmpl w:val="60EA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63DE2"/>
    <w:multiLevelType w:val="multilevel"/>
    <w:tmpl w:val="886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105987"/>
    <w:multiLevelType w:val="hybridMultilevel"/>
    <w:tmpl w:val="64DA7B1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CA3B13"/>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4446AD"/>
    <w:multiLevelType w:val="multilevel"/>
    <w:tmpl w:val="E4BE0912"/>
    <w:lvl w:ilvl="0">
      <w:start w:val="1"/>
      <w:numFmt w:val="decimal"/>
      <w:lvlText w:val="%1)"/>
      <w:lvlJc w:val="left"/>
      <w:pPr>
        <w:ind w:left="340" w:hanging="340"/>
      </w:pPr>
      <w:rPr>
        <w:rFonts w:hint="default"/>
        <w:b w:val="0"/>
        <w:bCs/>
        <w:i w:val="0"/>
        <w:iCs w:val="0"/>
        <w:sz w:val="24"/>
      </w:rPr>
    </w:lvl>
    <w:lvl w:ilvl="1">
      <w:start w:val="4"/>
      <w:numFmt w:val="lowerLetter"/>
      <w:lvlText w:val="%2)"/>
      <w:lvlJc w:val="left"/>
      <w:pPr>
        <w:ind w:left="720" w:hanging="360"/>
      </w:pPr>
      <w:rPr>
        <w:rFonts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481E681A"/>
    <w:multiLevelType w:val="hybridMultilevel"/>
    <w:tmpl w:val="1B029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F16752"/>
    <w:multiLevelType w:val="hybridMultilevel"/>
    <w:tmpl w:val="1CDEC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306A48"/>
    <w:multiLevelType w:val="hybridMultilevel"/>
    <w:tmpl w:val="4C00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847E16"/>
    <w:multiLevelType w:val="hybridMultilevel"/>
    <w:tmpl w:val="CD8644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AB517A"/>
    <w:multiLevelType w:val="hybridMultilevel"/>
    <w:tmpl w:val="AAB8DD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3806AB"/>
    <w:multiLevelType w:val="hybridMultilevel"/>
    <w:tmpl w:val="19009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575A5622"/>
    <w:multiLevelType w:val="hybridMultilevel"/>
    <w:tmpl w:val="4EC09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9A0AE4"/>
    <w:multiLevelType w:val="hybridMultilevel"/>
    <w:tmpl w:val="33D2511C"/>
    <w:lvl w:ilvl="0" w:tplc="6D62D5C6">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A95261"/>
    <w:multiLevelType w:val="multilevel"/>
    <w:tmpl w:val="ABC408F8"/>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4" w15:restartNumberingAfterBreak="0">
    <w:nsid w:val="5F9511C9"/>
    <w:multiLevelType w:val="hybridMultilevel"/>
    <w:tmpl w:val="15CEC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5B3BF6"/>
    <w:multiLevelType w:val="multilevel"/>
    <w:tmpl w:val="3DA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6941D7"/>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FF4604"/>
    <w:multiLevelType w:val="multilevel"/>
    <w:tmpl w:val="A6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B72EA4"/>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b/>
        <w:bCs/>
        <w:i/>
        <w:iCs/>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6AE477C4"/>
    <w:multiLevelType w:val="hybridMultilevel"/>
    <w:tmpl w:val="E578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0B7BA4"/>
    <w:multiLevelType w:val="hybridMultilevel"/>
    <w:tmpl w:val="27D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252227"/>
    <w:multiLevelType w:val="hybridMultilevel"/>
    <w:tmpl w:val="E184380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2" w15:restartNumberingAfterBreak="0">
    <w:nsid w:val="71F636F0"/>
    <w:multiLevelType w:val="hybridMultilevel"/>
    <w:tmpl w:val="8E20E2F6"/>
    <w:lvl w:ilvl="0" w:tplc="7944AC5E">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29D532F"/>
    <w:multiLevelType w:val="hybridMultilevel"/>
    <w:tmpl w:val="33D2511C"/>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25434E"/>
    <w:multiLevelType w:val="multilevel"/>
    <w:tmpl w:val="7B3C5486"/>
    <w:lvl w:ilvl="0">
      <w:start w:val="1"/>
      <w:numFmt w:val="decimal"/>
      <w:lvlText w:val="%1)"/>
      <w:lvlJc w:val="left"/>
      <w:pPr>
        <w:ind w:left="340" w:hanging="340"/>
      </w:pPr>
      <w:rPr>
        <w:rFonts w:hint="default"/>
        <w:b w:val="0"/>
        <w:bCs/>
        <w:i w:val="0"/>
        <w:iCs w:val="0"/>
        <w:sz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5" w15:restartNumberingAfterBreak="0">
    <w:nsid w:val="7A667C57"/>
    <w:multiLevelType w:val="hybridMultilevel"/>
    <w:tmpl w:val="99560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AC62AA"/>
    <w:multiLevelType w:val="multilevel"/>
    <w:tmpl w:val="C0B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3FE2DF"/>
    <w:multiLevelType w:val="hybridMultilevel"/>
    <w:tmpl w:val="6A629CA0"/>
    <w:lvl w:ilvl="0" w:tplc="15CC883A">
      <w:start w:val="1"/>
      <w:numFmt w:val="decimal"/>
      <w:lvlText w:val="%1."/>
      <w:lvlJc w:val="left"/>
      <w:pPr>
        <w:ind w:left="720" w:hanging="360"/>
      </w:pPr>
    </w:lvl>
    <w:lvl w:ilvl="1" w:tplc="82FA4682">
      <w:start w:val="1"/>
      <w:numFmt w:val="lowerLetter"/>
      <w:lvlText w:val="%2."/>
      <w:lvlJc w:val="left"/>
      <w:pPr>
        <w:ind w:left="1440" w:hanging="360"/>
      </w:pPr>
    </w:lvl>
    <w:lvl w:ilvl="2" w:tplc="6D026D5A">
      <w:start w:val="1"/>
      <w:numFmt w:val="lowerRoman"/>
      <w:lvlText w:val="%3."/>
      <w:lvlJc w:val="right"/>
      <w:pPr>
        <w:ind w:left="2160" w:hanging="180"/>
      </w:pPr>
    </w:lvl>
    <w:lvl w:ilvl="3" w:tplc="121E65FE">
      <w:start w:val="1"/>
      <w:numFmt w:val="decimal"/>
      <w:lvlText w:val="%4."/>
      <w:lvlJc w:val="left"/>
      <w:pPr>
        <w:ind w:left="2880" w:hanging="360"/>
      </w:pPr>
      <w:rPr>
        <w:rFonts w:ascii="Arial" w:hAnsi="Arial" w:cs="Arial" w:hint="default"/>
        <w:b/>
        <w:bCs/>
        <w:i/>
        <w:iCs/>
        <w:sz w:val="24"/>
        <w:szCs w:val="24"/>
      </w:rPr>
    </w:lvl>
    <w:lvl w:ilvl="4" w:tplc="A0F0ADA2">
      <w:start w:val="1"/>
      <w:numFmt w:val="lowerLetter"/>
      <w:lvlText w:val="%5."/>
      <w:lvlJc w:val="left"/>
      <w:pPr>
        <w:ind w:left="3600" w:hanging="360"/>
      </w:pPr>
    </w:lvl>
    <w:lvl w:ilvl="5" w:tplc="AABA0FCC">
      <w:start w:val="1"/>
      <w:numFmt w:val="lowerRoman"/>
      <w:lvlText w:val="%6."/>
      <w:lvlJc w:val="right"/>
      <w:pPr>
        <w:ind w:left="4320" w:hanging="180"/>
      </w:pPr>
    </w:lvl>
    <w:lvl w:ilvl="6" w:tplc="4A90D03E">
      <w:start w:val="1"/>
      <w:numFmt w:val="decimal"/>
      <w:lvlText w:val="%7."/>
      <w:lvlJc w:val="left"/>
      <w:pPr>
        <w:ind w:left="5040" w:hanging="360"/>
      </w:pPr>
    </w:lvl>
    <w:lvl w:ilvl="7" w:tplc="8B721246">
      <w:start w:val="1"/>
      <w:numFmt w:val="lowerLetter"/>
      <w:lvlText w:val="%8."/>
      <w:lvlJc w:val="left"/>
      <w:pPr>
        <w:ind w:left="5760" w:hanging="360"/>
      </w:pPr>
    </w:lvl>
    <w:lvl w:ilvl="8" w:tplc="7728D352">
      <w:start w:val="1"/>
      <w:numFmt w:val="lowerRoman"/>
      <w:lvlText w:val="%9."/>
      <w:lvlJc w:val="right"/>
      <w:pPr>
        <w:ind w:left="6480" w:hanging="180"/>
      </w:pPr>
    </w:lvl>
  </w:abstractNum>
  <w:abstractNum w:abstractNumId="48" w15:restartNumberingAfterBreak="0">
    <w:nsid w:val="7E63638F"/>
    <w:multiLevelType w:val="multilevel"/>
    <w:tmpl w:val="4AD4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757861">
    <w:abstractNumId w:val="9"/>
  </w:num>
  <w:num w:numId="2" w16cid:durableId="2039040636">
    <w:abstractNumId w:val="22"/>
  </w:num>
  <w:num w:numId="3" w16cid:durableId="1743795284">
    <w:abstractNumId w:val="19"/>
  </w:num>
  <w:num w:numId="4" w16cid:durableId="1446463827">
    <w:abstractNumId w:val="15"/>
  </w:num>
  <w:num w:numId="5" w16cid:durableId="337461117">
    <w:abstractNumId w:val="18"/>
  </w:num>
  <w:num w:numId="6" w16cid:durableId="219247979">
    <w:abstractNumId w:val="38"/>
  </w:num>
  <w:num w:numId="7" w16cid:durableId="1478840301">
    <w:abstractNumId w:val="45"/>
  </w:num>
  <w:num w:numId="8" w16cid:durableId="2071686171">
    <w:abstractNumId w:val="11"/>
  </w:num>
  <w:num w:numId="9" w16cid:durableId="228393235">
    <w:abstractNumId w:val="32"/>
  </w:num>
  <w:num w:numId="10" w16cid:durableId="1730110821">
    <w:abstractNumId w:val="12"/>
  </w:num>
  <w:num w:numId="11" w16cid:durableId="1909264480">
    <w:abstractNumId w:val="43"/>
  </w:num>
  <w:num w:numId="12" w16cid:durableId="1090466560">
    <w:abstractNumId w:val="47"/>
  </w:num>
  <w:num w:numId="13" w16cid:durableId="1223256438">
    <w:abstractNumId w:val="31"/>
  </w:num>
  <w:num w:numId="14" w16cid:durableId="426123731">
    <w:abstractNumId w:val="28"/>
  </w:num>
  <w:num w:numId="15" w16cid:durableId="1483691632">
    <w:abstractNumId w:val="42"/>
  </w:num>
  <w:num w:numId="16" w16cid:durableId="2029942330">
    <w:abstractNumId w:val="4"/>
  </w:num>
  <w:num w:numId="17" w16cid:durableId="70468787">
    <w:abstractNumId w:val="23"/>
  </w:num>
  <w:num w:numId="18" w16cid:durableId="1683042784">
    <w:abstractNumId w:val="21"/>
  </w:num>
  <w:num w:numId="19" w16cid:durableId="1852378571">
    <w:abstractNumId w:val="6"/>
  </w:num>
  <w:num w:numId="20" w16cid:durableId="982546317">
    <w:abstractNumId w:val="8"/>
  </w:num>
  <w:num w:numId="21" w16cid:durableId="869999858">
    <w:abstractNumId w:val="0"/>
  </w:num>
  <w:num w:numId="22" w16cid:durableId="539050700">
    <w:abstractNumId w:val="24"/>
  </w:num>
  <w:num w:numId="23" w16cid:durableId="1994332364">
    <w:abstractNumId w:val="5"/>
  </w:num>
  <w:num w:numId="24" w16cid:durableId="810748650">
    <w:abstractNumId w:val="30"/>
  </w:num>
  <w:num w:numId="25" w16cid:durableId="283705474">
    <w:abstractNumId w:val="37"/>
  </w:num>
  <w:num w:numId="26" w16cid:durableId="1190484723">
    <w:abstractNumId w:val="34"/>
  </w:num>
  <w:num w:numId="27" w16cid:durableId="1584684272">
    <w:abstractNumId w:val="16"/>
  </w:num>
  <w:num w:numId="28" w16cid:durableId="786392057">
    <w:abstractNumId w:val="35"/>
  </w:num>
  <w:num w:numId="29" w16cid:durableId="971791631">
    <w:abstractNumId w:val="48"/>
  </w:num>
  <w:num w:numId="30" w16cid:durableId="313917536">
    <w:abstractNumId w:val="36"/>
  </w:num>
  <w:num w:numId="31" w16cid:durableId="356928300">
    <w:abstractNumId w:val="7"/>
  </w:num>
  <w:num w:numId="32" w16cid:durableId="2016417804">
    <w:abstractNumId w:val="25"/>
  </w:num>
  <w:num w:numId="33" w16cid:durableId="1467549904">
    <w:abstractNumId w:val="13"/>
  </w:num>
  <w:num w:numId="34" w16cid:durableId="1961951254">
    <w:abstractNumId w:val="39"/>
  </w:num>
  <w:num w:numId="35" w16cid:durableId="197819111">
    <w:abstractNumId w:val="26"/>
  </w:num>
  <w:num w:numId="36" w16cid:durableId="956444603">
    <w:abstractNumId w:val="10"/>
  </w:num>
  <w:num w:numId="37" w16cid:durableId="1955166245">
    <w:abstractNumId w:val="40"/>
  </w:num>
  <w:num w:numId="38" w16cid:durableId="1970477750">
    <w:abstractNumId w:val="44"/>
  </w:num>
  <w:num w:numId="39" w16cid:durableId="1455826310">
    <w:abstractNumId w:val="17"/>
  </w:num>
  <w:num w:numId="40" w16cid:durableId="1322931603">
    <w:abstractNumId w:val="20"/>
  </w:num>
  <w:num w:numId="41" w16cid:durableId="1132403728">
    <w:abstractNumId w:val="27"/>
  </w:num>
  <w:num w:numId="42" w16cid:durableId="947855859">
    <w:abstractNumId w:val="3"/>
  </w:num>
  <w:num w:numId="43" w16cid:durableId="1230339330">
    <w:abstractNumId w:val="2"/>
  </w:num>
  <w:num w:numId="44" w16cid:durableId="346980319">
    <w:abstractNumId w:val="33"/>
  </w:num>
  <w:num w:numId="45" w16cid:durableId="1927034401">
    <w:abstractNumId w:val="29"/>
  </w:num>
  <w:num w:numId="46" w16cid:durableId="1335106380">
    <w:abstractNumId w:val="41"/>
  </w:num>
  <w:num w:numId="47" w16cid:durableId="1849363394">
    <w:abstractNumId w:val="1"/>
  </w:num>
  <w:num w:numId="48" w16cid:durableId="523448782">
    <w:abstractNumId w:val="14"/>
  </w:num>
  <w:num w:numId="49" w16cid:durableId="431512972">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533"/>
    <w:rsid w:val="00000811"/>
    <w:rsid w:val="00000DDC"/>
    <w:rsid w:val="00001827"/>
    <w:rsid w:val="00001CDF"/>
    <w:rsid w:val="00002312"/>
    <w:rsid w:val="00002390"/>
    <w:rsid w:val="00002D8C"/>
    <w:rsid w:val="0000358B"/>
    <w:rsid w:val="000037BA"/>
    <w:rsid w:val="00003A7D"/>
    <w:rsid w:val="00003F72"/>
    <w:rsid w:val="0000458D"/>
    <w:rsid w:val="00004CD5"/>
    <w:rsid w:val="00004D2C"/>
    <w:rsid w:val="0000517B"/>
    <w:rsid w:val="000053A4"/>
    <w:rsid w:val="00005466"/>
    <w:rsid w:val="0000550C"/>
    <w:rsid w:val="00005577"/>
    <w:rsid w:val="00005B5A"/>
    <w:rsid w:val="000060D6"/>
    <w:rsid w:val="00006435"/>
    <w:rsid w:val="0000659D"/>
    <w:rsid w:val="00006866"/>
    <w:rsid w:val="00006A56"/>
    <w:rsid w:val="00006D80"/>
    <w:rsid w:val="0000701A"/>
    <w:rsid w:val="00007429"/>
    <w:rsid w:val="00007644"/>
    <w:rsid w:val="00007C39"/>
    <w:rsid w:val="00010696"/>
    <w:rsid w:val="00010D3C"/>
    <w:rsid w:val="0001106D"/>
    <w:rsid w:val="000110AA"/>
    <w:rsid w:val="0001259D"/>
    <w:rsid w:val="00012834"/>
    <w:rsid w:val="00012915"/>
    <w:rsid w:val="00012A28"/>
    <w:rsid w:val="00012BD8"/>
    <w:rsid w:val="0001312F"/>
    <w:rsid w:val="00013436"/>
    <w:rsid w:val="000148F4"/>
    <w:rsid w:val="00014F00"/>
    <w:rsid w:val="0001539F"/>
    <w:rsid w:val="0001554E"/>
    <w:rsid w:val="000155F6"/>
    <w:rsid w:val="00015B0F"/>
    <w:rsid w:val="00015E83"/>
    <w:rsid w:val="00016CF5"/>
    <w:rsid w:val="00017077"/>
    <w:rsid w:val="000177A2"/>
    <w:rsid w:val="00017AAD"/>
    <w:rsid w:val="00017F7A"/>
    <w:rsid w:val="00020B9D"/>
    <w:rsid w:val="00020CCD"/>
    <w:rsid w:val="000213E7"/>
    <w:rsid w:val="00021A57"/>
    <w:rsid w:val="00021DB6"/>
    <w:rsid w:val="00021EAE"/>
    <w:rsid w:val="0002278A"/>
    <w:rsid w:val="00022C31"/>
    <w:rsid w:val="000230B9"/>
    <w:rsid w:val="000235A8"/>
    <w:rsid w:val="000236A5"/>
    <w:rsid w:val="0002371B"/>
    <w:rsid w:val="00023871"/>
    <w:rsid w:val="00023C23"/>
    <w:rsid w:val="00023DE7"/>
    <w:rsid w:val="00025586"/>
    <w:rsid w:val="000258D0"/>
    <w:rsid w:val="00025A5B"/>
    <w:rsid w:val="00025B49"/>
    <w:rsid w:val="00026530"/>
    <w:rsid w:val="000272D2"/>
    <w:rsid w:val="00030222"/>
    <w:rsid w:val="00030648"/>
    <w:rsid w:val="00030675"/>
    <w:rsid w:val="00030E89"/>
    <w:rsid w:val="00031124"/>
    <w:rsid w:val="0003130B"/>
    <w:rsid w:val="000318F5"/>
    <w:rsid w:val="00031AE5"/>
    <w:rsid w:val="000321C5"/>
    <w:rsid w:val="000325C7"/>
    <w:rsid w:val="00032A5B"/>
    <w:rsid w:val="00032AEB"/>
    <w:rsid w:val="00032D11"/>
    <w:rsid w:val="00032DFF"/>
    <w:rsid w:val="00033099"/>
    <w:rsid w:val="000333D4"/>
    <w:rsid w:val="0003347B"/>
    <w:rsid w:val="000335CB"/>
    <w:rsid w:val="00033C63"/>
    <w:rsid w:val="00033FBF"/>
    <w:rsid w:val="0003448D"/>
    <w:rsid w:val="00034766"/>
    <w:rsid w:val="00034958"/>
    <w:rsid w:val="00034B1B"/>
    <w:rsid w:val="00034CF9"/>
    <w:rsid w:val="00035BCD"/>
    <w:rsid w:val="00035D35"/>
    <w:rsid w:val="0003628E"/>
    <w:rsid w:val="000366FB"/>
    <w:rsid w:val="0003676C"/>
    <w:rsid w:val="000368E5"/>
    <w:rsid w:val="00036E98"/>
    <w:rsid w:val="00036F3C"/>
    <w:rsid w:val="00036F84"/>
    <w:rsid w:val="000375DC"/>
    <w:rsid w:val="000379EB"/>
    <w:rsid w:val="00037C7A"/>
    <w:rsid w:val="00037D39"/>
    <w:rsid w:val="00040110"/>
    <w:rsid w:val="00040386"/>
    <w:rsid w:val="000406C0"/>
    <w:rsid w:val="00040A14"/>
    <w:rsid w:val="0004111D"/>
    <w:rsid w:val="000413BF"/>
    <w:rsid w:val="000420BF"/>
    <w:rsid w:val="00042217"/>
    <w:rsid w:val="0004229D"/>
    <w:rsid w:val="0004274B"/>
    <w:rsid w:val="0004284C"/>
    <w:rsid w:val="00042B10"/>
    <w:rsid w:val="00042F3B"/>
    <w:rsid w:val="00043A0F"/>
    <w:rsid w:val="00043B25"/>
    <w:rsid w:val="00044330"/>
    <w:rsid w:val="00044580"/>
    <w:rsid w:val="000447AB"/>
    <w:rsid w:val="0004494D"/>
    <w:rsid w:val="00044AEE"/>
    <w:rsid w:val="000453F5"/>
    <w:rsid w:val="000456D8"/>
    <w:rsid w:val="00045A68"/>
    <w:rsid w:val="00045BAD"/>
    <w:rsid w:val="00045DD8"/>
    <w:rsid w:val="000464E4"/>
    <w:rsid w:val="0004697C"/>
    <w:rsid w:val="00047433"/>
    <w:rsid w:val="00047554"/>
    <w:rsid w:val="00047B43"/>
    <w:rsid w:val="00050301"/>
    <w:rsid w:val="000504CE"/>
    <w:rsid w:val="00050544"/>
    <w:rsid w:val="000507C1"/>
    <w:rsid w:val="00050A19"/>
    <w:rsid w:val="00050A82"/>
    <w:rsid w:val="00050FC5"/>
    <w:rsid w:val="00051679"/>
    <w:rsid w:val="000517F9"/>
    <w:rsid w:val="00051AF6"/>
    <w:rsid w:val="00051C8D"/>
    <w:rsid w:val="00051D06"/>
    <w:rsid w:val="00051D54"/>
    <w:rsid w:val="000523AB"/>
    <w:rsid w:val="0005281B"/>
    <w:rsid w:val="00052D30"/>
    <w:rsid w:val="00053387"/>
    <w:rsid w:val="00053471"/>
    <w:rsid w:val="000534A5"/>
    <w:rsid w:val="00053B51"/>
    <w:rsid w:val="0005402D"/>
    <w:rsid w:val="00054139"/>
    <w:rsid w:val="00054C63"/>
    <w:rsid w:val="00054D38"/>
    <w:rsid w:val="00054FA2"/>
    <w:rsid w:val="00055012"/>
    <w:rsid w:val="00055270"/>
    <w:rsid w:val="00055494"/>
    <w:rsid w:val="00055E87"/>
    <w:rsid w:val="000560BF"/>
    <w:rsid w:val="00056411"/>
    <w:rsid w:val="000564D0"/>
    <w:rsid w:val="0005655F"/>
    <w:rsid w:val="000565DF"/>
    <w:rsid w:val="000566A1"/>
    <w:rsid w:val="000567C1"/>
    <w:rsid w:val="00056E7D"/>
    <w:rsid w:val="00056FA7"/>
    <w:rsid w:val="00057AF8"/>
    <w:rsid w:val="00060FB0"/>
    <w:rsid w:val="00061261"/>
    <w:rsid w:val="00061434"/>
    <w:rsid w:val="000616C3"/>
    <w:rsid w:val="00061776"/>
    <w:rsid w:val="00061BF7"/>
    <w:rsid w:val="00061F8B"/>
    <w:rsid w:val="0006200F"/>
    <w:rsid w:val="00062363"/>
    <w:rsid w:val="00062C35"/>
    <w:rsid w:val="00063292"/>
    <w:rsid w:val="00063631"/>
    <w:rsid w:val="00064592"/>
    <w:rsid w:val="00064CD0"/>
    <w:rsid w:val="00064FC0"/>
    <w:rsid w:val="00065235"/>
    <w:rsid w:val="00065435"/>
    <w:rsid w:val="0006572B"/>
    <w:rsid w:val="00065900"/>
    <w:rsid w:val="00065BA3"/>
    <w:rsid w:val="00065DD6"/>
    <w:rsid w:val="00065FE6"/>
    <w:rsid w:val="00066667"/>
    <w:rsid w:val="00066BAA"/>
    <w:rsid w:val="00066FEE"/>
    <w:rsid w:val="000671F4"/>
    <w:rsid w:val="000673CE"/>
    <w:rsid w:val="00067514"/>
    <w:rsid w:val="000677F9"/>
    <w:rsid w:val="00070210"/>
    <w:rsid w:val="00070FFB"/>
    <w:rsid w:val="000714B8"/>
    <w:rsid w:val="000714E1"/>
    <w:rsid w:val="0007160D"/>
    <w:rsid w:val="00071B62"/>
    <w:rsid w:val="00071C09"/>
    <w:rsid w:val="00071D28"/>
    <w:rsid w:val="00071E76"/>
    <w:rsid w:val="000721E7"/>
    <w:rsid w:val="00072441"/>
    <w:rsid w:val="00072940"/>
    <w:rsid w:val="00072E7A"/>
    <w:rsid w:val="00073416"/>
    <w:rsid w:val="00073467"/>
    <w:rsid w:val="000736FC"/>
    <w:rsid w:val="00073D76"/>
    <w:rsid w:val="00074331"/>
    <w:rsid w:val="0007499C"/>
    <w:rsid w:val="00074C7E"/>
    <w:rsid w:val="000750F4"/>
    <w:rsid w:val="00075575"/>
    <w:rsid w:val="00075820"/>
    <w:rsid w:val="0007594F"/>
    <w:rsid w:val="0007597F"/>
    <w:rsid w:val="00075A00"/>
    <w:rsid w:val="0007640D"/>
    <w:rsid w:val="0007661A"/>
    <w:rsid w:val="00077265"/>
    <w:rsid w:val="000778DF"/>
    <w:rsid w:val="00077E7B"/>
    <w:rsid w:val="0008076C"/>
    <w:rsid w:val="00081028"/>
    <w:rsid w:val="000818C3"/>
    <w:rsid w:val="00081BDE"/>
    <w:rsid w:val="00082C1C"/>
    <w:rsid w:val="000830D5"/>
    <w:rsid w:val="0008328D"/>
    <w:rsid w:val="0008345C"/>
    <w:rsid w:val="0008373F"/>
    <w:rsid w:val="00083971"/>
    <w:rsid w:val="00083BB8"/>
    <w:rsid w:val="00084495"/>
    <w:rsid w:val="00084BC4"/>
    <w:rsid w:val="00084CAA"/>
    <w:rsid w:val="0008555C"/>
    <w:rsid w:val="000856BC"/>
    <w:rsid w:val="0008595C"/>
    <w:rsid w:val="00085C05"/>
    <w:rsid w:val="00085EF8"/>
    <w:rsid w:val="0008729C"/>
    <w:rsid w:val="000872EA"/>
    <w:rsid w:val="00087780"/>
    <w:rsid w:val="0008784A"/>
    <w:rsid w:val="0008787D"/>
    <w:rsid w:val="00087A75"/>
    <w:rsid w:val="00087C00"/>
    <w:rsid w:val="00087DB3"/>
    <w:rsid w:val="00090EB7"/>
    <w:rsid w:val="00090F0E"/>
    <w:rsid w:val="00091015"/>
    <w:rsid w:val="000919A1"/>
    <w:rsid w:val="00091A1A"/>
    <w:rsid w:val="00091B9E"/>
    <w:rsid w:val="00091D3A"/>
    <w:rsid w:val="0009237E"/>
    <w:rsid w:val="000924B5"/>
    <w:rsid w:val="000924D1"/>
    <w:rsid w:val="000929C6"/>
    <w:rsid w:val="00092B2C"/>
    <w:rsid w:val="00092DA2"/>
    <w:rsid w:val="00093029"/>
    <w:rsid w:val="00093123"/>
    <w:rsid w:val="00095368"/>
    <w:rsid w:val="00095F47"/>
    <w:rsid w:val="000963B1"/>
    <w:rsid w:val="000964D1"/>
    <w:rsid w:val="00096709"/>
    <w:rsid w:val="00096B40"/>
    <w:rsid w:val="000971E9"/>
    <w:rsid w:val="00097515"/>
    <w:rsid w:val="0009785D"/>
    <w:rsid w:val="00097BBD"/>
    <w:rsid w:val="00097CDD"/>
    <w:rsid w:val="00097F0E"/>
    <w:rsid w:val="000A0021"/>
    <w:rsid w:val="000A00FF"/>
    <w:rsid w:val="000A03F0"/>
    <w:rsid w:val="000A0454"/>
    <w:rsid w:val="000A0DC8"/>
    <w:rsid w:val="000A0DE8"/>
    <w:rsid w:val="000A0F5A"/>
    <w:rsid w:val="000A1085"/>
    <w:rsid w:val="000A12E2"/>
    <w:rsid w:val="000A140E"/>
    <w:rsid w:val="000A153E"/>
    <w:rsid w:val="000A19A3"/>
    <w:rsid w:val="000A24F9"/>
    <w:rsid w:val="000A3134"/>
    <w:rsid w:val="000A35E7"/>
    <w:rsid w:val="000A39D3"/>
    <w:rsid w:val="000A3A3A"/>
    <w:rsid w:val="000A3B76"/>
    <w:rsid w:val="000A3D1D"/>
    <w:rsid w:val="000A3F78"/>
    <w:rsid w:val="000A48C1"/>
    <w:rsid w:val="000A4AE5"/>
    <w:rsid w:val="000A4E95"/>
    <w:rsid w:val="000A576D"/>
    <w:rsid w:val="000A58D4"/>
    <w:rsid w:val="000A5D99"/>
    <w:rsid w:val="000A60F5"/>
    <w:rsid w:val="000A64FA"/>
    <w:rsid w:val="000A6880"/>
    <w:rsid w:val="000A7081"/>
    <w:rsid w:val="000A7418"/>
    <w:rsid w:val="000A74F9"/>
    <w:rsid w:val="000A75F3"/>
    <w:rsid w:val="000A7731"/>
    <w:rsid w:val="000A7EF8"/>
    <w:rsid w:val="000B0805"/>
    <w:rsid w:val="000B08DF"/>
    <w:rsid w:val="000B0C40"/>
    <w:rsid w:val="000B100D"/>
    <w:rsid w:val="000B1091"/>
    <w:rsid w:val="000B1263"/>
    <w:rsid w:val="000B1531"/>
    <w:rsid w:val="000B18B2"/>
    <w:rsid w:val="000B1C52"/>
    <w:rsid w:val="000B2296"/>
    <w:rsid w:val="000B22C8"/>
    <w:rsid w:val="000B242B"/>
    <w:rsid w:val="000B2C70"/>
    <w:rsid w:val="000B2CAD"/>
    <w:rsid w:val="000B2D93"/>
    <w:rsid w:val="000B2DCC"/>
    <w:rsid w:val="000B317D"/>
    <w:rsid w:val="000B3508"/>
    <w:rsid w:val="000B367B"/>
    <w:rsid w:val="000B36F2"/>
    <w:rsid w:val="000B40D1"/>
    <w:rsid w:val="000B4366"/>
    <w:rsid w:val="000B461E"/>
    <w:rsid w:val="000B4782"/>
    <w:rsid w:val="000B488C"/>
    <w:rsid w:val="000B4CE6"/>
    <w:rsid w:val="000B57BA"/>
    <w:rsid w:val="000B5F10"/>
    <w:rsid w:val="000B65B0"/>
    <w:rsid w:val="000B65BF"/>
    <w:rsid w:val="000B6BFD"/>
    <w:rsid w:val="000B77B1"/>
    <w:rsid w:val="000B783D"/>
    <w:rsid w:val="000B7EB1"/>
    <w:rsid w:val="000C0678"/>
    <w:rsid w:val="000C0695"/>
    <w:rsid w:val="000C070E"/>
    <w:rsid w:val="000C12A2"/>
    <w:rsid w:val="000C1473"/>
    <w:rsid w:val="000C1772"/>
    <w:rsid w:val="000C1ACE"/>
    <w:rsid w:val="000C1B02"/>
    <w:rsid w:val="000C1B53"/>
    <w:rsid w:val="000C1DD9"/>
    <w:rsid w:val="000C2055"/>
    <w:rsid w:val="000C22BC"/>
    <w:rsid w:val="000C22F0"/>
    <w:rsid w:val="000C27DC"/>
    <w:rsid w:val="000C2893"/>
    <w:rsid w:val="000C2D88"/>
    <w:rsid w:val="000C3412"/>
    <w:rsid w:val="000C35F7"/>
    <w:rsid w:val="000C3EC4"/>
    <w:rsid w:val="000C4022"/>
    <w:rsid w:val="000C422A"/>
    <w:rsid w:val="000C4ADA"/>
    <w:rsid w:val="000C4C26"/>
    <w:rsid w:val="000C4E62"/>
    <w:rsid w:val="000C54E4"/>
    <w:rsid w:val="000C582C"/>
    <w:rsid w:val="000C59EB"/>
    <w:rsid w:val="000C615D"/>
    <w:rsid w:val="000C6379"/>
    <w:rsid w:val="000C6B63"/>
    <w:rsid w:val="000C6DE6"/>
    <w:rsid w:val="000C71BE"/>
    <w:rsid w:val="000C7550"/>
    <w:rsid w:val="000C7A8D"/>
    <w:rsid w:val="000C7F35"/>
    <w:rsid w:val="000D05D4"/>
    <w:rsid w:val="000D08E8"/>
    <w:rsid w:val="000D0B59"/>
    <w:rsid w:val="000D0FC9"/>
    <w:rsid w:val="000D12BA"/>
    <w:rsid w:val="000D174C"/>
    <w:rsid w:val="000D18AC"/>
    <w:rsid w:val="000D1B46"/>
    <w:rsid w:val="000D2397"/>
    <w:rsid w:val="000D2451"/>
    <w:rsid w:val="000D2624"/>
    <w:rsid w:val="000D2753"/>
    <w:rsid w:val="000D2931"/>
    <w:rsid w:val="000D2A8E"/>
    <w:rsid w:val="000D330B"/>
    <w:rsid w:val="000D34A5"/>
    <w:rsid w:val="000D34FF"/>
    <w:rsid w:val="000D3C00"/>
    <w:rsid w:val="000D4528"/>
    <w:rsid w:val="000D455A"/>
    <w:rsid w:val="000D4D38"/>
    <w:rsid w:val="000D568D"/>
    <w:rsid w:val="000D5F0C"/>
    <w:rsid w:val="000D606C"/>
    <w:rsid w:val="000D6883"/>
    <w:rsid w:val="000D6A42"/>
    <w:rsid w:val="000D6D21"/>
    <w:rsid w:val="000D6F24"/>
    <w:rsid w:val="000D7747"/>
    <w:rsid w:val="000D78A9"/>
    <w:rsid w:val="000E00F5"/>
    <w:rsid w:val="000E0177"/>
    <w:rsid w:val="000E031B"/>
    <w:rsid w:val="000E08C2"/>
    <w:rsid w:val="000E0F3C"/>
    <w:rsid w:val="000E1BB5"/>
    <w:rsid w:val="000E2327"/>
    <w:rsid w:val="000E24DC"/>
    <w:rsid w:val="000E263A"/>
    <w:rsid w:val="000E2F6C"/>
    <w:rsid w:val="000E3AEA"/>
    <w:rsid w:val="000E3C02"/>
    <w:rsid w:val="000E4247"/>
    <w:rsid w:val="000E448E"/>
    <w:rsid w:val="000E48FF"/>
    <w:rsid w:val="000E4C35"/>
    <w:rsid w:val="000E4DD1"/>
    <w:rsid w:val="000E4FEF"/>
    <w:rsid w:val="000E5CB2"/>
    <w:rsid w:val="000E6255"/>
    <w:rsid w:val="000E65BB"/>
    <w:rsid w:val="000E68F6"/>
    <w:rsid w:val="000E6981"/>
    <w:rsid w:val="000E73A7"/>
    <w:rsid w:val="000E76A4"/>
    <w:rsid w:val="000E7784"/>
    <w:rsid w:val="000E7B21"/>
    <w:rsid w:val="000F0325"/>
    <w:rsid w:val="000F0A9D"/>
    <w:rsid w:val="000F10F9"/>
    <w:rsid w:val="000F1ED2"/>
    <w:rsid w:val="000F21EA"/>
    <w:rsid w:val="000F28E6"/>
    <w:rsid w:val="000F2C7D"/>
    <w:rsid w:val="000F31A0"/>
    <w:rsid w:val="000F32C7"/>
    <w:rsid w:val="000F3442"/>
    <w:rsid w:val="000F3500"/>
    <w:rsid w:val="000F3564"/>
    <w:rsid w:val="000F3598"/>
    <w:rsid w:val="000F4475"/>
    <w:rsid w:val="000F4B3B"/>
    <w:rsid w:val="000F4C9C"/>
    <w:rsid w:val="000F4D48"/>
    <w:rsid w:val="000F4DB1"/>
    <w:rsid w:val="000F5177"/>
    <w:rsid w:val="000F5AFF"/>
    <w:rsid w:val="000F6407"/>
    <w:rsid w:val="000F68D2"/>
    <w:rsid w:val="000F6B81"/>
    <w:rsid w:val="000F6C20"/>
    <w:rsid w:val="000F707D"/>
    <w:rsid w:val="000F708F"/>
    <w:rsid w:val="000F755F"/>
    <w:rsid w:val="000F75B4"/>
    <w:rsid w:val="000F7853"/>
    <w:rsid w:val="000F7867"/>
    <w:rsid w:val="000F7A2D"/>
    <w:rsid w:val="000F7D2A"/>
    <w:rsid w:val="001001DC"/>
    <w:rsid w:val="001002CA"/>
    <w:rsid w:val="001002FB"/>
    <w:rsid w:val="00100599"/>
    <w:rsid w:val="00100E17"/>
    <w:rsid w:val="001016D2"/>
    <w:rsid w:val="00101723"/>
    <w:rsid w:val="00101A6D"/>
    <w:rsid w:val="00101E89"/>
    <w:rsid w:val="00101F24"/>
    <w:rsid w:val="00102339"/>
    <w:rsid w:val="00102595"/>
    <w:rsid w:val="00102801"/>
    <w:rsid w:val="00102A2B"/>
    <w:rsid w:val="001033C5"/>
    <w:rsid w:val="001038F5"/>
    <w:rsid w:val="00103D46"/>
    <w:rsid w:val="00103DF3"/>
    <w:rsid w:val="00104438"/>
    <w:rsid w:val="00104704"/>
    <w:rsid w:val="00104761"/>
    <w:rsid w:val="00104AC2"/>
    <w:rsid w:val="0010552E"/>
    <w:rsid w:val="00105618"/>
    <w:rsid w:val="00105EB8"/>
    <w:rsid w:val="00106492"/>
    <w:rsid w:val="0010657C"/>
    <w:rsid w:val="00106720"/>
    <w:rsid w:val="00106C17"/>
    <w:rsid w:val="00106DCD"/>
    <w:rsid w:val="00107F0D"/>
    <w:rsid w:val="00110086"/>
    <w:rsid w:val="001100CC"/>
    <w:rsid w:val="00110328"/>
    <w:rsid w:val="00110880"/>
    <w:rsid w:val="001108BF"/>
    <w:rsid w:val="00110A69"/>
    <w:rsid w:val="00111883"/>
    <w:rsid w:val="00111B16"/>
    <w:rsid w:val="0011204B"/>
    <w:rsid w:val="00112170"/>
    <w:rsid w:val="001127C1"/>
    <w:rsid w:val="00112859"/>
    <w:rsid w:val="001138B8"/>
    <w:rsid w:val="001138DC"/>
    <w:rsid w:val="00113937"/>
    <w:rsid w:val="00113F45"/>
    <w:rsid w:val="00114237"/>
    <w:rsid w:val="0011493F"/>
    <w:rsid w:val="00114D0B"/>
    <w:rsid w:val="00114E20"/>
    <w:rsid w:val="0011526C"/>
    <w:rsid w:val="0011581B"/>
    <w:rsid w:val="00115CC5"/>
    <w:rsid w:val="00115DAA"/>
    <w:rsid w:val="0011621C"/>
    <w:rsid w:val="00116291"/>
    <w:rsid w:val="00117360"/>
    <w:rsid w:val="00117828"/>
    <w:rsid w:val="00117A96"/>
    <w:rsid w:val="00117EC4"/>
    <w:rsid w:val="00120059"/>
    <w:rsid w:val="001201E0"/>
    <w:rsid w:val="00120B86"/>
    <w:rsid w:val="00120C20"/>
    <w:rsid w:val="00121375"/>
    <w:rsid w:val="001217A7"/>
    <w:rsid w:val="001218A3"/>
    <w:rsid w:val="001218FB"/>
    <w:rsid w:val="00121A2A"/>
    <w:rsid w:val="00121FF9"/>
    <w:rsid w:val="0012273F"/>
    <w:rsid w:val="001228E9"/>
    <w:rsid w:val="00123129"/>
    <w:rsid w:val="001231C5"/>
    <w:rsid w:val="00123D01"/>
    <w:rsid w:val="00123D7B"/>
    <w:rsid w:val="001241B9"/>
    <w:rsid w:val="001245A0"/>
    <w:rsid w:val="0012502C"/>
    <w:rsid w:val="00125127"/>
    <w:rsid w:val="0012561E"/>
    <w:rsid w:val="00125AF6"/>
    <w:rsid w:val="00126407"/>
    <w:rsid w:val="0012678C"/>
    <w:rsid w:val="00126CA8"/>
    <w:rsid w:val="00126D81"/>
    <w:rsid w:val="00126D8D"/>
    <w:rsid w:val="00127220"/>
    <w:rsid w:val="001275BF"/>
    <w:rsid w:val="001276D4"/>
    <w:rsid w:val="00127FAE"/>
    <w:rsid w:val="00130739"/>
    <w:rsid w:val="00130A49"/>
    <w:rsid w:val="0013100E"/>
    <w:rsid w:val="00131064"/>
    <w:rsid w:val="0013114B"/>
    <w:rsid w:val="00131537"/>
    <w:rsid w:val="001316E0"/>
    <w:rsid w:val="001329EF"/>
    <w:rsid w:val="00132AB1"/>
    <w:rsid w:val="00132C54"/>
    <w:rsid w:val="0013351F"/>
    <w:rsid w:val="00133B5C"/>
    <w:rsid w:val="00133BBC"/>
    <w:rsid w:val="00133DC9"/>
    <w:rsid w:val="00134116"/>
    <w:rsid w:val="00134240"/>
    <w:rsid w:val="00134439"/>
    <w:rsid w:val="00134498"/>
    <w:rsid w:val="00134E4C"/>
    <w:rsid w:val="001350C6"/>
    <w:rsid w:val="001351E0"/>
    <w:rsid w:val="001351FA"/>
    <w:rsid w:val="0013572B"/>
    <w:rsid w:val="00135DE7"/>
    <w:rsid w:val="00136345"/>
    <w:rsid w:val="00136737"/>
    <w:rsid w:val="00136902"/>
    <w:rsid w:val="00137053"/>
    <w:rsid w:val="00137433"/>
    <w:rsid w:val="001378E2"/>
    <w:rsid w:val="00137913"/>
    <w:rsid w:val="00137BD1"/>
    <w:rsid w:val="00137D29"/>
    <w:rsid w:val="0013928D"/>
    <w:rsid w:val="001401EA"/>
    <w:rsid w:val="00140200"/>
    <w:rsid w:val="00140698"/>
    <w:rsid w:val="001408E8"/>
    <w:rsid w:val="00140A00"/>
    <w:rsid w:val="001410F5"/>
    <w:rsid w:val="001429D9"/>
    <w:rsid w:val="00142C3C"/>
    <w:rsid w:val="00142E2F"/>
    <w:rsid w:val="001432FD"/>
    <w:rsid w:val="00143399"/>
    <w:rsid w:val="00143818"/>
    <w:rsid w:val="00143A67"/>
    <w:rsid w:val="00143F06"/>
    <w:rsid w:val="00144DB1"/>
    <w:rsid w:val="001456AE"/>
    <w:rsid w:val="00145BEF"/>
    <w:rsid w:val="00145D49"/>
    <w:rsid w:val="00146144"/>
    <w:rsid w:val="0014672B"/>
    <w:rsid w:val="001468FE"/>
    <w:rsid w:val="0014699E"/>
    <w:rsid w:val="00146C88"/>
    <w:rsid w:val="00147346"/>
    <w:rsid w:val="00147362"/>
    <w:rsid w:val="00147393"/>
    <w:rsid w:val="001476F4"/>
    <w:rsid w:val="0014770D"/>
    <w:rsid w:val="001477D9"/>
    <w:rsid w:val="00147829"/>
    <w:rsid w:val="00147A9B"/>
    <w:rsid w:val="00147E56"/>
    <w:rsid w:val="00147ECE"/>
    <w:rsid w:val="00150178"/>
    <w:rsid w:val="00150E4D"/>
    <w:rsid w:val="00151025"/>
    <w:rsid w:val="0015138B"/>
    <w:rsid w:val="001515D6"/>
    <w:rsid w:val="00151655"/>
    <w:rsid w:val="00151DE2"/>
    <w:rsid w:val="00151F40"/>
    <w:rsid w:val="00152190"/>
    <w:rsid w:val="001528A8"/>
    <w:rsid w:val="00153E5A"/>
    <w:rsid w:val="00154753"/>
    <w:rsid w:val="00154A8F"/>
    <w:rsid w:val="00155289"/>
    <w:rsid w:val="001553A0"/>
    <w:rsid w:val="00155C8F"/>
    <w:rsid w:val="00155C97"/>
    <w:rsid w:val="00155D7C"/>
    <w:rsid w:val="00155DF0"/>
    <w:rsid w:val="00155EF6"/>
    <w:rsid w:val="00156CEB"/>
    <w:rsid w:val="00156E91"/>
    <w:rsid w:val="00157348"/>
    <w:rsid w:val="0015756F"/>
    <w:rsid w:val="00157AF3"/>
    <w:rsid w:val="001602E5"/>
    <w:rsid w:val="0016040C"/>
    <w:rsid w:val="00160539"/>
    <w:rsid w:val="001605B1"/>
    <w:rsid w:val="001610F8"/>
    <w:rsid w:val="00161B7D"/>
    <w:rsid w:val="00161B96"/>
    <w:rsid w:val="00161CF8"/>
    <w:rsid w:val="00162049"/>
    <w:rsid w:val="00162111"/>
    <w:rsid w:val="001624DC"/>
    <w:rsid w:val="00162A36"/>
    <w:rsid w:val="00162F8F"/>
    <w:rsid w:val="00162FEC"/>
    <w:rsid w:val="00163AFB"/>
    <w:rsid w:val="00163E08"/>
    <w:rsid w:val="00163F52"/>
    <w:rsid w:val="00164411"/>
    <w:rsid w:val="00164479"/>
    <w:rsid w:val="00164766"/>
    <w:rsid w:val="00164F03"/>
    <w:rsid w:val="00165958"/>
    <w:rsid w:val="0016598E"/>
    <w:rsid w:val="00165A5E"/>
    <w:rsid w:val="00165F1D"/>
    <w:rsid w:val="00165F59"/>
    <w:rsid w:val="001660DE"/>
    <w:rsid w:val="0016673A"/>
    <w:rsid w:val="0016695A"/>
    <w:rsid w:val="001672EA"/>
    <w:rsid w:val="0016752A"/>
    <w:rsid w:val="00167717"/>
    <w:rsid w:val="001701F0"/>
    <w:rsid w:val="0017046F"/>
    <w:rsid w:val="00170627"/>
    <w:rsid w:val="00170B18"/>
    <w:rsid w:val="00170BFA"/>
    <w:rsid w:val="00170CC6"/>
    <w:rsid w:val="001710EB"/>
    <w:rsid w:val="001713BD"/>
    <w:rsid w:val="001718DF"/>
    <w:rsid w:val="00171AED"/>
    <w:rsid w:val="00171ECE"/>
    <w:rsid w:val="00172067"/>
    <w:rsid w:val="00172435"/>
    <w:rsid w:val="00172474"/>
    <w:rsid w:val="001724E9"/>
    <w:rsid w:val="001725BC"/>
    <w:rsid w:val="00172676"/>
    <w:rsid w:val="001726A6"/>
    <w:rsid w:val="0017274D"/>
    <w:rsid w:val="00172861"/>
    <w:rsid w:val="00172FAC"/>
    <w:rsid w:val="00173535"/>
    <w:rsid w:val="001737B8"/>
    <w:rsid w:val="0017382C"/>
    <w:rsid w:val="00173883"/>
    <w:rsid w:val="0017406A"/>
    <w:rsid w:val="001741B8"/>
    <w:rsid w:val="00174663"/>
    <w:rsid w:val="00174F8B"/>
    <w:rsid w:val="00175002"/>
    <w:rsid w:val="001751F2"/>
    <w:rsid w:val="00175751"/>
    <w:rsid w:val="001757E9"/>
    <w:rsid w:val="00175C5E"/>
    <w:rsid w:val="001761D2"/>
    <w:rsid w:val="00176608"/>
    <w:rsid w:val="001767AE"/>
    <w:rsid w:val="001778B1"/>
    <w:rsid w:val="0018060C"/>
    <w:rsid w:val="001809C2"/>
    <w:rsid w:val="00180C4F"/>
    <w:rsid w:val="00180CE5"/>
    <w:rsid w:val="00180DB3"/>
    <w:rsid w:val="00180E4B"/>
    <w:rsid w:val="001816C2"/>
    <w:rsid w:val="0018185B"/>
    <w:rsid w:val="00181C54"/>
    <w:rsid w:val="0018214E"/>
    <w:rsid w:val="0018219A"/>
    <w:rsid w:val="001821CA"/>
    <w:rsid w:val="00182BB1"/>
    <w:rsid w:val="00182EF3"/>
    <w:rsid w:val="001830BC"/>
    <w:rsid w:val="001831C7"/>
    <w:rsid w:val="001835AA"/>
    <w:rsid w:val="00183DB3"/>
    <w:rsid w:val="00183E05"/>
    <w:rsid w:val="0018502E"/>
    <w:rsid w:val="0018503B"/>
    <w:rsid w:val="0018558B"/>
    <w:rsid w:val="0018561B"/>
    <w:rsid w:val="00185788"/>
    <w:rsid w:val="00185D62"/>
    <w:rsid w:val="00185F82"/>
    <w:rsid w:val="001860B3"/>
    <w:rsid w:val="0018660C"/>
    <w:rsid w:val="00186F09"/>
    <w:rsid w:val="00186FEA"/>
    <w:rsid w:val="00187E94"/>
    <w:rsid w:val="001900AF"/>
    <w:rsid w:val="00190486"/>
    <w:rsid w:val="0019074D"/>
    <w:rsid w:val="00190ADF"/>
    <w:rsid w:val="0019102F"/>
    <w:rsid w:val="00191224"/>
    <w:rsid w:val="0019294D"/>
    <w:rsid w:val="00192A42"/>
    <w:rsid w:val="00192CAB"/>
    <w:rsid w:val="00192CE1"/>
    <w:rsid w:val="0019313E"/>
    <w:rsid w:val="00193722"/>
    <w:rsid w:val="00193E56"/>
    <w:rsid w:val="00193F00"/>
    <w:rsid w:val="00194356"/>
    <w:rsid w:val="00194CB2"/>
    <w:rsid w:val="00195433"/>
    <w:rsid w:val="00195761"/>
    <w:rsid w:val="001957EA"/>
    <w:rsid w:val="001958FC"/>
    <w:rsid w:val="0019596A"/>
    <w:rsid w:val="001959B3"/>
    <w:rsid w:val="00195C34"/>
    <w:rsid w:val="00195EE6"/>
    <w:rsid w:val="00196559"/>
    <w:rsid w:val="0019693D"/>
    <w:rsid w:val="00196AC2"/>
    <w:rsid w:val="00196F71"/>
    <w:rsid w:val="0019711C"/>
    <w:rsid w:val="00197B03"/>
    <w:rsid w:val="00197B5D"/>
    <w:rsid w:val="00197F0A"/>
    <w:rsid w:val="001A06C5"/>
    <w:rsid w:val="001A09D9"/>
    <w:rsid w:val="001A0AF7"/>
    <w:rsid w:val="001A0B35"/>
    <w:rsid w:val="001A0D82"/>
    <w:rsid w:val="001A1123"/>
    <w:rsid w:val="001A164B"/>
    <w:rsid w:val="001A16C2"/>
    <w:rsid w:val="001A1822"/>
    <w:rsid w:val="001A1AF9"/>
    <w:rsid w:val="001A1D41"/>
    <w:rsid w:val="001A249C"/>
    <w:rsid w:val="001A299A"/>
    <w:rsid w:val="001A365E"/>
    <w:rsid w:val="001A3E85"/>
    <w:rsid w:val="001A3F50"/>
    <w:rsid w:val="001A3FB2"/>
    <w:rsid w:val="001A4205"/>
    <w:rsid w:val="001A4E36"/>
    <w:rsid w:val="001A4F77"/>
    <w:rsid w:val="001A5589"/>
    <w:rsid w:val="001A55F3"/>
    <w:rsid w:val="001A58FE"/>
    <w:rsid w:val="001A5BB8"/>
    <w:rsid w:val="001A5DCB"/>
    <w:rsid w:val="001A5DD0"/>
    <w:rsid w:val="001A61AB"/>
    <w:rsid w:val="001A68B0"/>
    <w:rsid w:val="001A6A41"/>
    <w:rsid w:val="001A6F6F"/>
    <w:rsid w:val="001A7B9B"/>
    <w:rsid w:val="001B084B"/>
    <w:rsid w:val="001B0F8C"/>
    <w:rsid w:val="001B0F90"/>
    <w:rsid w:val="001B1167"/>
    <w:rsid w:val="001B168D"/>
    <w:rsid w:val="001B1887"/>
    <w:rsid w:val="001B1AEF"/>
    <w:rsid w:val="001B1CF0"/>
    <w:rsid w:val="001B1DEF"/>
    <w:rsid w:val="001B20A7"/>
    <w:rsid w:val="001B210C"/>
    <w:rsid w:val="001B248B"/>
    <w:rsid w:val="001B376D"/>
    <w:rsid w:val="001B376F"/>
    <w:rsid w:val="001B37CF"/>
    <w:rsid w:val="001B3AB9"/>
    <w:rsid w:val="001B3AD2"/>
    <w:rsid w:val="001B3B17"/>
    <w:rsid w:val="001B418A"/>
    <w:rsid w:val="001B4208"/>
    <w:rsid w:val="001B4688"/>
    <w:rsid w:val="001B46C4"/>
    <w:rsid w:val="001B46E3"/>
    <w:rsid w:val="001B48F4"/>
    <w:rsid w:val="001B51E4"/>
    <w:rsid w:val="001B5A6A"/>
    <w:rsid w:val="001B60DB"/>
    <w:rsid w:val="001B643C"/>
    <w:rsid w:val="001B662E"/>
    <w:rsid w:val="001B69D5"/>
    <w:rsid w:val="001B6A40"/>
    <w:rsid w:val="001B6A7E"/>
    <w:rsid w:val="001B6AC3"/>
    <w:rsid w:val="001B6B99"/>
    <w:rsid w:val="001B6DA9"/>
    <w:rsid w:val="001B72EE"/>
    <w:rsid w:val="001B74D1"/>
    <w:rsid w:val="001C0444"/>
    <w:rsid w:val="001C0926"/>
    <w:rsid w:val="001C112C"/>
    <w:rsid w:val="001C11B6"/>
    <w:rsid w:val="001C143D"/>
    <w:rsid w:val="001C14FE"/>
    <w:rsid w:val="001C1B08"/>
    <w:rsid w:val="001C1F1E"/>
    <w:rsid w:val="001C1F9C"/>
    <w:rsid w:val="001C226B"/>
    <w:rsid w:val="001C24DA"/>
    <w:rsid w:val="001C258C"/>
    <w:rsid w:val="001C2AA3"/>
    <w:rsid w:val="001C2DDB"/>
    <w:rsid w:val="001C39DC"/>
    <w:rsid w:val="001C3D0E"/>
    <w:rsid w:val="001C402E"/>
    <w:rsid w:val="001C40A8"/>
    <w:rsid w:val="001C483A"/>
    <w:rsid w:val="001C526C"/>
    <w:rsid w:val="001C52F6"/>
    <w:rsid w:val="001C57AA"/>
    <w:rsid w:val="001C5BF1"/>
    <w:rsid w:val="001C5E61"/>
    <w:rsid w:val="001C6066"/>
    <w:rsid w:val="001C62AA"/>
    <w:rsid w:val="001C6349"/>
    <w:rsid w:val="001C63BC"/>
    <w:rsid w:val="001C64C3"/>
    <w:rsid w:val="001C686D"/>
    <w:rsid w:val="001C688C"/>
    <w:rsid w:val="001C6E1E"/>
    <w:rsid w:val="001C73CF"/>
    <w:rsid w:val="001C7727"/>
    <w:rsid w:val="001C7C2A"/>
    <w:rsid w:val="001C7DD0"/>
    <w:rsid w:val="001C7FFC"/>
    <w:rsid w:val="001D030E"/>
    <w:rsid w:val="001D1382"/>
    <w:rsid w:val="001D1675"/>
    <w:rsid w:val="001D18F6"/>
    <w:rsid w:val="001D1EF9"/>
    <w:rsid w:val="001D1FAB"/>
    <w:rsid w:val="001D2372"/>
    <w:rsid w:val="001D250F"/>
    <w:rsid w:val="001D2873"/>
    <w:rsid w:val="001D2A35"/>
    <w:rsid w:val="001D3392"/>
    <w:rsid w:val="001D3741"/>
    <w:rsid w:val="001D447F"/>
    <w:rsid w:val="001D485D"/>
    <w:rsid w:val="001D5812"/>
    <w:rsid w:val="001D5958"/>
    <w:rsid w:val="001D5A87"/>
    <w:rsid w:val="001D5B33"/>
    <w:rsid w:val="001D5FA7"/>
    <w:rsid w:val="001D628B"/>
    <w:rsid w:val="001D656E"/>
    <w:rsid w:val="001D6772"/>
    <w:rsid w:val="001D7253"/>
    <w:rsid w:val="001D7458"/>
    <w:rsid w:val="001D7984"/>
    <w:rsid w:val="001D7F11"/>
    <w:rsid w:val="001E079B"/>
    <w:rsid w:val="001E0F9E"/>
    <w:rsid w:val="001E15D6"/>
    <w:rsid w:val="001E184A"/>
    <w:rsid w:val="001E1889"/>
    <w:rsid w:val="001E188D"/>
    <w:rsid w:val="001E2052"/>
    <w:rsid w:val="001E2138"/>
    <w:rsid w:val="001E264F"/>
    <w:rsid w:val="001E274D"/>
    <w:rsid w:val="001E2BE1"/>
    <w:rsid w:val="001E3017"/>
    <w:rsid w:val="001E3053"/>
    <w:rsid w:val="001E33E0"/>
    <w:rsid w:val="001E3F51"/>
    <w:rsid w:val="001E43AB"/>
    <w:rsid w:val="001E4732"/>
    <w:rsid w:val="001E610D"/>
    <w:rsid w:val="001E62EE"/>
    <w:rsid w:val="001E63CC"/>
    <w:rsid w:val="001E6486"/>
    <w:rsid w:val="001E65A2"/>
    <w:rsid w:val="001E67CE"/>
    <w:rsid w:val="001E6B6C"/>
    <w:rsid w:val="001E7D5C"/>
    <w:rsid w:val="001F0304"/>
    <w:rsid w:val="001F05D3"/>
    <w:rsid w:val="001F0608"/>
    <w:rsid w:val="001F07D8"/>
    <w:rsid w:val="001F090E"/>
    <w:rsid w:val="001F098D"/>
    <w:rsid w:val="001F0B26"/>
    <w:rsid w:val="001F0C4A"/>
    <w:rsid w:val="001F1025"/>
    <w:rsid w:val="001F1695"/>
    <w:rsid w:val="001F19AC"/>
    <w:rsid w:val="001F1DB5"/>
    <w:rsid w:val="001F29E1"/>
    <w:rsid w:val="001F2D24"/>
    <w:rsid w:val="001F2FD7"/>
    <w:rsid w:val="001F3186"/>
    <w:rsid w:val="001F3269"/>
    <w:rsid w:val="001F3A0D"/>
    <w:rsid w:val="001F3D33"/>
    <w:rsid w:val="001F42B9"/>
    <w:rsid w:val="001F44C2"/>
    <w:rsid w:val="001F475B"/>
    <w:rsid w:val="001F4BEF"/>
    <w:rsid w:val="001F4C14"/>
    <w:rsid w:val="001F4FEA"/>
    <w:rsid w:val="001F50AA"/>
    <w:rsid w:val="001F539A"/>
    <w:rsid w:val="001F54BA"/>
    <w:rsid w:val="001F57F9"/>
    <w:rsid w:val="001F5A15"/>
    <w:rsid w:val="001F5F07"/>
    <w:rsid w:val="001F64B0"/>
    <w:rsid w:val="001F6938"/>
    <w:rsid w:val="001F6A8A"/>
    <w:rsid w:val="001F6C69"/>
    <w:rsid w:val="001F710B"/>
    <w:rsid w:val="001F743F"/>
    <w:rsid w:val="001F7D0D"/>
    <w:rsid w:val="001F7DAC"/>
    <w:rsid w:val="001F7FAD"/>
    <w:rsid w:val="0020057E"/>
    <w:rsid w:val="00200583"/>
    <w:rsid w:val="00200A9E"/>
    <w:rsid w:val="00200B4B"/>
    <w:rsid w:val="0020131D"/>
    <w:rsid w:val="00201D33"/>
    <w:rsid w:val="00201EDF"/>
    <w:rsid w:val="00201F48"/>
    <w:rsid w:val="002023DF"/>
    <w:rsid w:val="00202CC1"/>
    <w:rsid w:val="00202DD6"/>
    <w:rsid w:val="002036FE"/>
    <w:rsid w:val="00203C13"/>
    <w:rsid w:val="00203CB8"/>
    <w:rsid w:val="00203CC9"/>
    <w:rsid w:val="00203D50"/>
    <w:rsid w:val="00203F35"/>
    <w:rsid w:val="002045D5"/>
    <w:rsid w:val="002047B2"/>
    <w:rsid w:val="002049D4"/>
    <w:rsid w:val="00204A15"/>
    <w:rsid w:val="00204F25"/>
    <w:rsid w:val="00205B33"/>
    <w:rsid w:val="002063D6"/>
    <w:rsid w:val="0020666C"/>
    <w:rsid w:val="00206E58"/>
    <w:rsid w:val="002078A0"/>
    <w:rsid w:val="00207B07"/>
    <w:rsid w:val="00207EA9"/>
    <w:rsid w:val="00210201"/>
    <w:rsid w:val="0021085F"/>
    <w:rsid w:val="00210B02"/>
    <w:rsid w:val="002112CA"/>
    <w:rsid w:val="00211444"/>
    <w:rsid w:val="0021193F"/>
    <w:rsid w:val="00212297"/>
    <w:rsid w:val="002126EE"/>
    <w:rsid w:val="00212B64"/>
    <w:rsid w:val="00213535"/>
    <w:rsid w:val="002139E2"/>
    <w:rsid w:val="00213CF5"/>
    <w:rsid w:val="00213DDD"/>
    <w:rsid w:val="002141F3"/>
    <w:rsid w:val="0021434B"/>
    <w:rsid w:val="0021444D"/>
    <w:rsid w:val="00214A8A"/>
    <w:rsid w:val="00214A9F"/>
    <w:rsid w:val="002151A8"/>
    <w:rsid w:val="002153C3"/>
    <w:rsid w:val="00215A21"/>
    <w:rsid w:val="00215CCA"/>
    <w:rsid w:val="00215F76"/>
    <w:rsid w:val="002162F4"/>
    <w:rsid w:val="0021665A"/>
    <w:rsid w:val="00217377"/>
    <w:rsid w:val="002176C8"/>
    <w:rsid w:val="00217778"/>
    <w:rsid w:val="00217781"/>
    <w:rsid w:val="00217AFC"/>
    <w:rsid w:val="00217D2D"/>
    <w:rsid w:val="00220427"/>
    <w:rsid w:val="0022064E"/>
    <w:rsid w:val="002209D5"/>
    <w:rsid w:val="0022146A"/>
    <w:rsid w:val="00221F1F"/>
    <w:rsid w:val="002221F1"/>
    <w:rsid w:val="00222D8D"/>
    <w:rsid w:val="00222F6C"/>
    <w:rsid w:val="00223E72"/>
    <w:rsid w:val="00224249"/>
    <w:rsid w:val="00224487"/>
    <w:rsid w:val="002245EC"/>
    <w:rsid w:val="002247B9"/>
    <w:rsid w:val="00224F39"/>
    <w:rsid w:val="00224F68"/>
    <w:rsid w:val="00225331"/>
    <w:rsid w:val="002254CC"/>
    <w:rsid w:val="00226308"/>
    <w:rsid w:val="00226936"/>
    <w:rsid w:val="00226AEE"/>
    <w:rsid w:val="00226E83"/>
    <w:rsid w:val="00227666"/>
    <w:rsid w:val="002277BA"/>
    <w:rsid w:val="0022790F"/>
    <w:rsid w:val="00227E9E"/>
    <w:rsid w:val="00227F59"/>
    <w:rsid w:val="00230D38"/>
    <w:rsid w:val="00231208"/>
    <w:rsid w:val="002318A8"/>
    <w:rsid w:val="00231902"/>
    <w:rsid w:val="00232173"/>
    <w:rsid w:val="002329B7"/>
    <w:rsid w:val="00232BFF"/>
    <w:rsid w:val="002334CC"/>
    <w:rsid w:val="002334FB"/>
    <w:rsid w:val="0023370F"/>
    <w:rsid w:val="00234414"/>
    <w:rsid w:val="00234795"/>
    <w:rsid w:val="00234CFA"/>
    <w:rsid w:val="00235272"/>
    <w:rsid w:val="002361F6"/>
    <w:rsid w:val="00236476"/>
    <w:rsid w:val="0023669F"/>
    <w:rsid w:val="00237069"/>
    <w:rsid w:val="00237108"/>
    <w:rsid w:val="00237A49"/>
    <w:rsid w:val="00240063"/>
    <w:rsid w:val="0024036C"/>
    <w:rsid w:val="00240669"/>
    <w:rsid w:val="002408CF"/>
    <w:rsid w:val="002409E1"/>
    <w:rsid w:val="00241087"/>
    <w:rsid w:val="002414B2"/>
    <w:rsid w:val="00241502"/>
    <w:rsid w:val="00241B47"/>
    <w:rsid w:val="002424CC"/>
    <w:rsid w:val="00242B1B"/>
    <w:rsid w:val="002435F5"/>
    <w:rsid w:val="0024370B"/>
    <w:rsid w:val="00243729"/>
    <w:rsid w:val="002437AD"/>
    <w:rsid w:val="002437CE"/>
    <w:rsid w:val="00243C79"/>
    <w:rsid w:val="00243D02"/>
    <w:rsid w:val="0024403A"/>
    <w:rsid w:val="00244254"/>
    <w:rsid w:val="002442C0"/>
    <w:rsid w:val="002447EA"/>
    <w:rsid w:val="00245219"/>
    <w:rsid w:val="0024556F"/>
    <w:rsid w:val="002455DB"/>
    <w:rsid w:val="00245633"/>
    <w:rsid w:val="00245E96"/>
    <w:rsid w:val="002463C2"/>
    <w:rsid w:val="002467F3"/>
    <w:rsid w:val="00246BF9"/>
    <w:rsid w:val="00246DEB"/>
    <w:rsid w:val="00247108"/>
    <w:rsid w:val="0024737F"/>
    <w:rsid w:val="0024744E"/>
    <w:rsid w:val="002503BF"/>
    <w:rsid w:val="002509E4"/>
    <w:rsid w:val="002513C4"/>
    <w:rsid w:val="002515BE"/>
    <w:rsid w:val="00251837"/>
    <w:rsid w:val="002518B3"/>
    <w:rsid w:val="00251AA3"/>
    <w:rsid w:val="00252448"/>
    <w:rsid w:val="00252661"/>
    <w:rsid w:val="00252827"/>
    <w:rsid w:val="0025295C"/>
    <w:rsid w:val="00252C32"/>
    <w:rsid w:val="0025310C"/>
    <w:rsid w:val="002534A5"/>
    <w:rsid w:val="0025352E"/>
    <w:rsid w:val="00253B40"/>
    <w:rsid w:val="00253BB3"/>
    <w:rsid w:val="00253E25"/>
    <w:rsid w:val="00254267"/>
    <w:rsid w:val="002544B3"/>
    <w:rsid w:val="002544DB"/>
    <w:rsid w:val="00254757"/>
    <w:rsid w:val="00254BFA"/>
    <w:rsid w:val="00254E3C"/>
    <w:rsid w:val="00254F05"/>
    <w:rsid w:val="00255299"/>
    <w:rsid w:val="0025553B"/>
    <w:rsid w:val="00255C80"/>
    <w:rsid w:val="00255D82"/>
    <w:rsid w:val="00255E96"/>
    <w:rsid w:val="002562F9"/>
    <w:rsid w:val="002564F2"/>
    <w:rsid w:val="0025695F"/>
    <w:rsid w:val="002573C8"/>
    <w:rsid w:val="002578EB"/>
    <w:rsid w:val="00257B79"/>
    <w:rsid w:val="00257C5A"/>
    <w:rsid w:val="002601CB"/>
    <w:rsid w:val="0026022C"/>
    <w:rsid w:val="00260C4A"/>
    <w:rsid w:val="00261F2C"/>
    <w:rsid w:val="0026231E"/>
    <w:rsid w:val="00262BE9"/>
    <w:rsid w:val="00262DD0"/>
    <w:rsid w:val="002630FC"/>
    <w:rsid w:val="00263C6B"/>
    <w:rsid w:val="00263E3F"/>
    <w:rsid w:val="00263EFB"/>
    <w:rsid w:val="002645C9"/>
    <w:rsid w:val="002649A8"/>
    <w:rsid w:val="00264D3A"/>
    <w:rsid w:val="002651ED"/>
    <w:rsid w:val="00265917"/>
    <w:rsid w:val="00265AF5"/>
    <w:rsid w:val="00265B53"/>
    <w:rsid w:val="00265C82"/>
    <w:rsid w:val="0026639A"/>
    <w:rsid w:val="00266591"/>
    <w:rsid w:val="002666CD"/>
    <w:rsid w:val="00266828"/>
    <w:rsid w:val="002672B6"/>
    <w:rsid w:val="00267A7D"/>
    <w:rsid w:val="00267D72"/>
    <w:rsid w:val="002705D0"/>
    <w:rsid w:val="00270B14"/>
    <w:rsid w:val="00270E2E"/>
    <w:rsid w:val="00270F3F"/>
    <w:rsid w:val="00271D53"/>
    <w:rsid w:val="0027253B"/>
    <w:rsid w:val="002725A1"/>
    <w:rsid w:val="00272654"/>
    <w:rsid w:val="002727C7"/>
    <w:rsid w:val="00272D9F"/>
    <w:rsid w:val="00272EA6"/>
    <w:rsid w:val="00273DA7"/>
    <w:rsid w:val="00274684"/>
    <w:rsid w:val="0027497A"/>
    <w:rsid w:val="00274C04"/>
    <w:rsid w:val="00274FFE"/>
    <w:rsid w:val="0027520F"/>
    <w:rsid w:val="002754F1"/>
    <w:rsid w:val="002757F5"/>
    <w:rsid w:val="00275C15"/>
    <w:rsid w:val="00275D62"/>
    <w:rsid w:val="00276847"/>
    <w:rsid w:val="00276E95"/>
    <w:rsid w:val="00277050"/>
    <w:rsid w:val="0027714E"/>
    <w:rsid w:val="00277CD1"/>
    <w:rsid w:val="00277EA0"/>
    <w:rsid w:val="00277F8B"/>
    <w:rsid w:val="002802A4"/>
    <w:rsid w:val="002805CB"/>
    <w:rsid w:val="0028093B"/>
    <w:rsid w:val="00280B0F"/>
    <w:rsid w:val="00280D81"/>
    <w:rsid w:val="0028138B"/>
    <w:rsid w:val="00281745"/>
    <w:rsid w:val="002819C2"/>
    <w:rsid w:val="00281B17"/>
    <w:rsid w:val="00281C56"/>
    <w:rsid w:val="00282B45"/>
    <w:rsid w:val="0028354F"/>
    <w:rsid w:val="00283643"/>
    <w:rsid w:val="00283736"/>
    <w:rsid w:val="00283842"/>
    <w:rsid w:val="00283B3A"/>
    <w:rsid w:val="00283D23"/>
    <w:rsid w:val="0028400E"/>
    <w:rsid w:val="002840E7"/>
    <w:rsid w:val="0028433F"/>
    <w:rsid w:val="002845C6"/>
    <w:rsid w:val="002846AB"/>
    <w:rsid w:val="00284A04"/>
    <w:rsid w:val="00284E77"/>
    <w:rsid w:val="00284E8B"/>
    <w:rsid w:val="002858C0"/>
    <w:rsid w:val="002859BA"/>
    <w:rsid w:val="0028684D"/>
    <w:rsid w:val="0028723C"/>
    <w:rsid w:val="00287B3F"/>
    <w:rsid w:val="00287ECC"/>
    <w:rsid w:val="00287F4A"/>
    <w:rsid w:val="00290257"/>
    <w:rsid w:val="00290386"/>
    <w:rsid w:val="00290A36"/>
    <w:rsid w:val="00290BE1"/>
    <w:rsid w:val="002912D0"/>
    <w:rsid w:val="002914FE"/>
    <w:rsid w:val="00291549"/>
    <w:rsid w:val="002919C2"/>
    <w:rsid w:val="00291C23"/>
    <w:rsid w:val="00291ED5"/>
    <w:rsid w:val="00292721"/>
    <w:rsid w:val="00292ECF"/>
    <w:rsid w:val="002932A2"/>
    <w:rsid w:val="002938D7"/>
    <w:rsid w:val="00293948"/>
    <w:rsid w:val="0029482F"/>
    <w:rsid w:val="002949D1"/>
    <w:rsid w:val="00294DD2"/>
    <w:rsid w:val="00295627"/>
    <w:rsid w:val="0029600D"/>
    <w:rsid w:val="0029682F"/>
    <w:rsid w:val="0029699F"/>
    <w:rsid w:val="002969C3"/>
    <w:rsid w:val="00296AD4"/>
    <w:rsid w:val="00296DD7"/>
    <w:rsid w:val="00296EF1"/>
    <w:rsid w:val="00296F94"/>
    <w:rsid w:val="002970C9"/>
    <w:rsid w:val="0029730F"/>
    <w:rsid w:val="00297352"/>
    <w:rsid w:val="00297855"/>
    <w:rsid w:val="00297B23"/>
    <w:rsid w:val="00297D80"/>
    <w:rsid w:val="002A05B3"/>
    <w:rsid w:val="002A0630"/>
    <w:rsid w:val="002A12D7"/>
    <w:rsid w:val="002A12EF"/>
    <w:rsid w:val="002A188C"/>
    <w:rsid w:val="002A1E87"/>
    <w:rsid w:val="002A1F09"/>
    <w:rsid w:val="002A24F4"/>
    <w:rsid w:val="002A291C"/>
    <w:rsid w:val="002A2B2B"/>
    <w:rsid w:val="002A2BD7"/>
    <w:rsid w:val="002A2BF5"/>
    <w:rsid w:val="002A2BFA"/>
    <w:rsid w:val="002A3371"/>
    <w:rsid w:val="002A35B5"/>
    <w:rsid w:val="002A35D2"/>
    <w:rsid w:val="002A379C"/>
    <w:rsid w:val="002A3A90"/>
    <w:rsid w:val="002A3C68"/>
    <w:rsid w:val="002A44EF"/>
    <w:rsid w:val="002A4513"/>
    <w:rsid w:val="002A4B7C"/>
    <w:rsid w:val="002A4BDA"/>
    <w:rsid w:val="002A50A3"/>
    <w:rsid w:val="002A50BF"/>
    <w:rsid w:val="002A53C4"/>
    <w:rsid w:val="002A5D25"/>
    <w:rsid w:val="002A61E7"/>
    <w:rsid w:val="002A636C"/>
    <w:rsid w:val="002A6514"/>
    <w:rsid w:val="002A6796"/>
    <w:rsid w:val="002A688D"/>
    <w:rsid w:val="002A6BA6"/>
    <w:rsid w:val="002A73CD"/>
    <w:rsid w:val="002A77BB"/>
    <w:rsid w:val="002A77E3"/>
    <w:rsid w:val="002A7C2A"/>
    <w:rsid w:val="002A7DB3"/>
    <w:rsid w:val="002A7FC8"/>
    <w:rsid w:val="002B009E"/>
    <w:rsid w:val="002B05CF"/>
    <w:rsid w:val="002B08FD"/>
    <w:rsid w:val="002B0D44"/>
    <w:rsid w:val="002B0EAC"/>
    <w:rsid w:val="002B14CB"/>
    <w:rsid w:val="002B1505"/>
    <w:rsid w:val="002B1777"/>
    <w:rsid w:val="002B1AF4"/>
    <w:rsid w:val="002B1C5B"/>
    <w:rsid w:val="002B1D2A"/>
    <w:rsid w:val="002B1D5F"/>
    <w:rsid w:val="002B1F14"/>
    <w:rsid w:val="002B204C"/>
    <w:rsid w:val="002B2253"/>
    <w:rsid w:val="002B2254"/>
    <w:rsid w:val="002B2702"/>
    <w:rsid w:val="002B2761"/>
    <w:rsid w:val="002B2AED"/>
    <w:rsid w:val="002B335E"/>
    <w:rsid w:val="002B382B"/>
    <w:rsid w:val="002B4405"/>
    <w:rsid w:val="002B487B"/>
    <w:rsid w:val="002B4E0C"/>
    <w:rsid w:val="002B4F19"/>
    <w:rsid w:val="002B5250"/>
    <w:rsid w:val="002B5452"/>
    <w:rsid w:val="002B5548"/>
    <w:rsid w:val="002B576A"/>
    <w:rsid w:val="002B5973"/>
    <w:rsid w:val="002B5E9F"/>
    <w:rsid w:val="002B626E"/>
    <w:rsid w:val="002B6568"/>
    <w:rsid w:val="002B6C00"/>
    <w:rsid w:val="002B736D"/>
    <w:rsid w:val="002B7445"/>
    <w:rsid w:val="002C09FF"/>
    <w:rsid w:val="002C0B0C"/>
    <w:rsid w:val="002C0C56"/>
    <w:rsid w:val="002C0DF0"/>
    <w:rsid w:val="002C0E9C"/>
    <w:rsid w:val="002C1972"/>
    <w:rsid w:val="002C1990"/>
    <w:rsid w:val="002C1CCD"/>
    <w:rsid w:val="002C1E73"/>
    <w:rsid w:val="002C2169"/>
    <w:rsid w:val="002C267E"/>
    <w:rsid w:val="002C26AE"/>
    <w:rsid w:val="002C27B9"/>
    <w:rsid w:val="002C2BC0"/>
    <w:rsid w:val="002C2DDD"/>
    <w:rsid w:val="002C2FBF"/>
    <w:rsid w:val="002C3975"/>
    <w:rsid w:val="002C3D1B"/>
    <w:rsid w:val="002C3FE9"/>
    <w:rsid w:val="002C402B"/>
    <w:rsid w:val="002C4466"/>
    <w:rsid w:val="002C4E2B"/>
    <w:rsid w:val="002C4EE4"/>
    <w:rsid w:val="002C5168"/>
    <w:rsid w:val="002C5235"/>
    <w:rsid w:val="002C538C"/>
    <w:rsid w:val="002C53DA"/>
    <w:rsid w:val="002C542D"/>
    <w:rsid w:val="002C60F0"/>
    <w:rsid w:val="002C6511"/>
    <w:rsid w:val="002C6C50"/>
    <w:rsid w:val="002C734C"/>
    <w:rsid w:val="002C7E61"/>
    <w:rsid w:val="002D026E"/>
    <w:rsid w:val="002D032D"/>
    <w:rsid w:val="002D07B2"/>
    <w:rsid w:val="002D09B8"/>
    <w:rsid w:val="002D0B24"/>
    <w:rsid w:val="002D0CB7"/>
    <w:rsid w:val="002D1331"/>
    <w:rsid w:val="002D1B1A"/>
    <w:rsid w:val="002D1E78"/>
    <w:rsid w:val="002D1F47"/>
    <w:rsid w:val="002D228D"/>
    <w:rsid w:val="002D28B2"/>
    <w:rsid w:val="002D29D0"/>
    <w:rsid w:val="002D2B7B"/>
    <w:rsid w:val="002D2D0F"/>
    <w:rsid w:val="002D2D6E"/>
    <w:rsid w:val="002D2F97"/>
    <w:rsid w:val="002D2FF2"/>
    <w:rsid w:val="002D308B"/>
    <w:rsid w:val="002D3412"/>
    <w:rsid w:val="002D3741"/>
    <w:rsid w:val="002D37B8"/>
    <w:rsid w:val="002D38AF"/>
    <w:rsid w:val="002D3F32"/>
    <w:rsid w:val="002D3F87"/>
    <w:rsid w:val="002D4045"/>
    <w:rsid w:val="002D4056"/>
    <w:rsid w:val="002D4366"/>
    <w:rsid w:val="002D4642"/>
    <w:rsid w:val="002D474F"/>
    <w:rsid w:val="002D4A58"/>
    <w:rsid w:val="002D4B6F"/>
    <w:rsid w:val="002D5B31"/>
    <w:rsid w:val="002D5D7D"/>
    <w:rsid w:val="002D60E3"/>
    <w:rsid w:val="002D68C0"/>
    <w:rsid w:val="002D68C1"/>
    <w:rsid w:val="002D6C04"/>
    <w:rsid w:val="002D6DA4"/>
    <w:rsid w:val="002D6DAD"/>
    <w:rsid w:val="002D6E47"/>
    <w:rsid w:val="002D7B90"/>
    <w:rsid w:val="002E04F8"/>
    <w:rsid w:val="002E0736"/>
    <w:rsid w:val="002E07BF"/>
    <w:rsid w:val="002E07C8"/>
    <w:rsid w:val="002E07E7"/>
    <w:rsid w:val="002E091C"/>
    <w:rsid w:val="002E0E46"/>
    <w:rsid w:val="002E1F60"/>
    <w:rsid w:val="002E225E"/>
    <w:rsid w:val="002E2ACC"/>
    <w:rsid w:val="002E2CA8"/>
    <w:rsid w:val="002E3016"/>
    <w:rsid w:val="002E3168"/>
    <w:rsid w:val="002E3817"/>
    <w:rsid w:val="002E3B69"/>
    <w:rsid w:val="002E48A9"/>
    <w:rsid w:val="002E4A39"/>
    <w:rsid w:val="002E4C95"/>
    <w:rsid w:val="002E52AA"/>
    <w:rsid w:val="002E53C7"/>
    <w:rsid w:val="002E5579"/>
    <w:rsid w:val="002E5675"/>
    <w:rsid w:val="002E5F6B"/>
    <w:rsid w:val="002E5F88"/>
    <w:rsid w:val="002E63C4"/>
    <w:rsid w:val="002E6521"/>
    <w:rsid w:val="002E6962"/>
    <w:rsid w:val="002E69F7"/>
    <w:rsid w:val="002E6B8E"/>
    <w:rsid w:val="002E703A"/>
    <w:rsid w:val="002E72FF"/>
    <w:rsid w:val="002E73D4"/>
    <w:rsid w:val="002E769A"/>
    <w:rsid w:val="002E78A7"/>
    <w:rsid w:val="002E7952"/>
    <w:rsid w:val="002E7B83"/>
    <w:rsid w:val="002E7C93"/>
    <w:rsid w:val="002F03C9"/>
    <w:rsid w:val="002F0422"/>
    <w:rsid w:val="002F0432"/>
    <w:rsid w:val="002F0AC8"/>
    <w:rsid w:val="002F113F"/>
    <w:rsid w:val="002F18BB"/>
    <w:rsid w:val="002F1CFC"/>
    <w:rsid w:val="002F232B"/>
    <w:rsid w:val="002F2380"/>
    <w:rsid w:val="002F2558"/>
    <w:rsid w:val="002F27FD"/>
    <w:rsid w:val="002F2A54"/>
    <w:rsid w:val="002F2BB1"/>
    <w:rsid w:val="002F300D"/>
    <w:rsid w:val="002F3401"/>
    <w:rsid w:val="002F3691"/>
    <w:rsid w:val="002F3B23"/>
    <w:rsid w:val="002F3F90"/>
    <w:rsid w:val="002F40A9"/>
    <w:rsid w:val="002F47D3"/>
    <w:rsid w:val="002F4D36"/>
    <w:rsid w:val="002F4F0E"/>
    <w:rsid w:val="002F549E"/>
    <w:rsid w:val="002F54A8"/>
    <w:rsid w:val="002F598A"/>
    <w:rsid w:val="002F5A43"/>
    <w:rsid w:val="002F5FE1"/>
    <w:rsid w:val="002F65B4"/>
    <w:rsid w:val="002F65C7"/>
    <w:rsid w:val="002F6985"/>
    <w:rsid w:val="002F6B48"/>
    <w:rsid w:val="002F709F"/>
    <w:rsid w:val="002F72E2"/>
    <w:rsid w:val="002F78B1"/>
    <w:rsid w:val="002F7C9B"/>
    <w:rsid w:val="003004ED"/>
    <w:rsid w:val="00300571"/>
    <w:rsid w:val="00300619"/>
    <w:rsid w:val="00300A36"/>
    <w:rsid w:val="00300B4B"/>
    <w:rsid w:val="003013C3"/>
    <w:rsid w:val="0030160A"/>
    <w:rsid w:val="00301810"/>
    <w:rsid w:val="00301EE5"/>
    <w:rsid w:val="00302273"/>
    <w:rsid w:val="0030262A"/>
    <w:rsid w:val="00302B36"/>
    <w:rsid w:val="00302C62"/>
    <w:rsid w:val="00303655"/>
    <w:rsid w:val="003039AD"/>
    <w:rsid w:val="00303D3A"/>
    <w:rsid w:val="00303EDC"/>
    <w:rsid w:val="003043BF"/>
    <w:rsid w:val="00304E1F"/>
    <w:rsid w:val="00304F24"/>
    <w:rsid w:val="003051EC"/>
    <w:rsid w:val="00305278"/>
    <w:rsid w:val="0030534E"/>
    <w:rsid w:val="0030557C"/>
    <w:rsid w:val="00305757"/>
    <w:rsid w:val="003057FC"/>
    <w:rsid w:val="00305D7D"/>
    <w:rsid w:val="00305ED7"/>
    <w:rsid w:val="0030682C"/>
    <w:rsid w:val="00306A9C"/>
    <w:rsid w:val="00306AEE"/>
    <w:rsid w:val="00306DA0"/>
    <w:rsid w:val="00307036"/>
    <w:rsid w:val="0030754E"/>
    <w:rsid w:val="0030760C"/>
    <w:rsid w:val="003076FA"/>
    <w:rsid w:val="00307EEF"/>
    <w:rsid w:val="00310732"/>
    <w:rsid w:val="0031096B"/>
    <w:rsid w:val="00310D5E"/>
    <w:rsid w:val="00310F8A"/>
    <w:rsid w:val="00311636"/>
    <w:rsid w:val="0031197F"/>
    <w:rsid w:val="00311A20"/>
    <w:rsid w:val="00311EF4"/>
    <w:rsid w:val="00312DE5"/>
    <w:rsid w:val="00312E1A"/>
    <w:rsid w:val="00312E7A"/>
    <w:rsid w:val="00312FD9"/>
    <w:rsid w:val="00313410"/>
    <w:rsid w:val="003134D1"/>
    <w:rsid w:val="00313A94"/>
    <w:rsid w:val="00313AE7"/>
    <w:rsid w:val="00313FAF"/>
    <w:rsid w:val="003142CD"/>
    <w:rsid w:val="00314303"/>
    <w:rsid w:val="0031431E"/>
    <w:rsid w:val="00314405"/>
    <w:rsid w:val="00314550"/>
    <w:rsid w:val="003148BE"/>
    <w:rsid w:val="00314A5F"/>
    <w:rsid w:val="00314A7D"/>
    <w:rsid w:val="00314BBB"/>
    <w:rsid w:val="003152E3"/>
    <w:rsid w:val="003153FB"/>
    <w:rsid w:val="003155AE"/>
    <w:rsid w:val="0031584E"/>
    <w:rsid w:val="00315D7B"/>
    <w:rsid w:val="00315EAE"/>
    <w:rsid w:val="003166DC"/>
    <w:rsid w:val="003167B0"/>
    <w:rsid w:val="00316DF8"/>
    <w:rsid w:val="00316FAC"/>
    <w:rsid w:val="00317A55"/>
    <w:rsid w:val="00317DB8"/>
    <w:rsid w:val="00317FD1"/>
    <w:rsid w:val="003200D3"/>
    <w:rsid w:val="00320123"/>
    <w:rsid w:val="00320227"/>
    <w:rsid w:val="0032023C"/>
    <w:rsid w:val="00320271"/>
    <w:rsid w:val="00320C6E"/>
    <w:rsid w:val="003210DC"/>
    <w:rsid w:val="0032125E"/>
    <w:rsid w:val="00321393"/>
    <w:rsid w:val="0032156B"/>
    <w:rsid w:val="003216AE"/>
    <w:rsid w:val="00321DE2"/>
    <w:rsid w:val="00321E8A"/>
    <w:rsid w:val="00322589"/>
    <w:rsid w:val="003227CC"/>
    <w:rsid w:val="00322A48"/>
    <w:rsid w:val="00322C09"/>
    <w:rsid w:val="00322DCD"/>
    <w:rsid w:val="00322E6C"/>
    <w:rsid w:val="00322E91"/>
    <w:rsid w:val="003230DF"/>
    <w:rsid w:val="00323AB6"/>
    <w:rsid w:val="00323AD6"/>
    <w:rsid w:val="00323BFE"/>
    <w:rsid w:val="00323EC3"/>
    <w:rsid w:val="0032414D"/>
    <w:rsid w:val="003247E7"/>
    <w:rsid w:val="0032487C"/>
    <w:rsid w:val="003256E2"/>
    <w:rsid w:val="0032577C"/>
    <w:rsid w:val="00325D6F"/>
    <w:rsid w:val="0032620E"/>
    <w:rsid w:val="0032620F"/>
    <w:rsid w:val="00326538"/>
    <w:rsid w:val="00326764"/>
    <w:rsid w:val="00326AB0"/>
    <w:rsid w:val="00326DD7"/>
    <w:rsid w:val="00327429"/>
    <w:rsid w:val="003274DA"/>
    <w:rsid w:val="00327649"/>
    <w:rsid w:val="00327B97"/>
    <w:rsid w:val="00330109"/>
    <w:rsid w:val="00330175"/>
    <w:rsid w:val="003307ED"/>
    <w:rsid w:val="003308AE"/>
    <w:rsid w:val="00330BF3"/>
    <w:rsid w:val="00331A02"/>
    <w:rsid w:val="00331AAD"/>
    <w:rsid w:val="00331E96"/>
    <w:rsid w:val="00331F81"/>
    <w:rsid w:val="003320D6"/>
    <w:rsid w:val="00332A14"/>
    <w:rsid w:val="00332DE8"/>
    <w:rsid w:val="00332E52"/>
    <w:rsid w:val="00333299"/>
    <w:rsid w:val="003335CC"/>
    <w:rsid w:val="00333B85"/>
    <w:rsid w:val="00333E83"/>
    <w:rsid w:val="00333F00"/>
    <w:rsid w:val="00334025"/>
    <w:rsid w:val="003343CC"/>
    <w:rsid w:val="003347C7"/>
    <w:rsid w:val="003347ED"/>
    <w:rsid w:val="0033484F"/>
    <w:rsid w:val="00334D3E"/>
    <w:rsid w:val="003353AB"/>
    <w:rsid w:val="00335523"/>
    <w:rsid w:val="003357B1"/>
    <w:rsid w:val="00335E75"/>
    <w:rsid w:val="003364BB"/>
    <w:rsid w:val="00336783"/>
    <w:rsid w:val="0033689C"/>
    <w:rsid w:val="00336C0D"/>
    <w:rsid w:val="003377FF"/>
    <w:rsid w:val="0034002A"/>
    <w:rsid w:val="00340165"/>
    <w:rsid w:val="003406C5"/>
    <w:rsid w:val="00340908"/>
    <w:rsid w:val="00340C5E"/>
    <w:rsid w:val="00341056"/>
    <w:rsid w:val="00341305"/>
    <w:rsid w:val="0034191B"/>
    <w:rsid w:val="00341E23"/>
    <w:rsid w:val="003420BE"/>
    <w:rsid w:val="003421E1"/>
    <w:rsid w:val="00342FA0"/>
    <w:rsid w:val="00342FE6"/>
    <w:rsid w:val="00343197"/>
    <w:rsid w:val="0034333B"/>
    <w:rsid w:val="00343B50"/>
    <w:rsid w:val="00344065"/>
    <w:rsid w:val="00344142"/>
    <w:rsid w:val="00344198"/>
    <w:rsid w:val="00344496"/>
    <w:rsid w:val="00344B96"/>
    <w:rsid w:val="00344CB3"/>
    <w:rsid w:val="00344D2B"/>
    <w:rsid w:val="00344EA7"/>
    <w:rsid w:val="00345127"/>
    <w:rsid w:val="0034525E"/>
    <w:rsid w:val="0034565B"/>
    <w:rsid w:val="00345C0F"/>
    <w:rsid w:val="00345CDB"/>
    <w:rsid w:val="00345E1D"/>
    <w:rsid w:val="00345EAC"/>
    <w:rsid w:val="003461D6"/>
    <w:rsid w:val="00346793"/>
    <w:rsid w:val="00346A4F"/>
    <w:rsid w:val="00346CB2"/>
    <w:rsid w:val="00346DCB"/>
    <w:rsid w:val="00347256"/>
    <w:rsid w:val="00347A03"/>
    <w:rsid w:val="00347D69"/>
    <w:rsid w:val="00347E11"/>
    <w:rsid w:val="00351381"/>
    <w:rsid w:val="0035168D"/>
    <w:rsid w:val="00351C46"/>
    <w:rsid w:val="00351E0C"/>
    <w:rsid w:val="003523A7"/>
    <w:rsid w:val="003524A7"/>
    <w:rsid w:val="003524AD"/>
    <w:rsid w:val="00352C51"/>
    <w:rsid w:val="00352C5A"/>
    <w:rsid w:val="00352CA1"/>
    <w:rsid w:val="00353295"/>
    <w:rsid w:val="003532F5"/>
    <w:rsid w:val="00353378"/>
    <w:rsid w:val="00353A45"/>
    <w:rsid w:val="00354013"/>
    <w:rsid w:val="00354336"/>
    <w:rsid w:val="003545B3"/>
    <w:rsid w:val="00354DE4"/>
    <w:rsid w:val="0035523B"/>
    <w:rsid w:val="00355345"/>
    <w:rsid w:val="00355661"/>
    <w:rsid w:val="003556CD"/>
    <w:rsid w:val="00355A65"/>
    <w:rsid w:val="00355B03"/>
    <w:rsid w:val="00355C65"/>
    <w:rsid w:val="00355EE1"/>
    <w:rsid w:val="00356749"/>
    <w:rsid w:val="00356847"/>
    <w:rsid w:val="00356C7C"/>
    <w:rsid w:val="00356E9A"/>
    <w:rsid w:val="003575F8"/>
    <w:rsid w:val="00357710"/>
    <w:rsid w:val="00357821"/>
    <w:rsid w:val="00357C1C"/>
    <w:rsid w:val="00357D2D"/>
    <w:rsid w:val="00357D33"/>
    <w:rsid w:val="00360018"/>
    <w:rsid w:val="00360101"/>
    <w:rsid w:val="00360A8C"/>
    <w:rsid w:val="00360D0C"/>
    <w:rsid w:val="00361070"/>
    <w:rsid w:val="00361761"/>
    <w:rsid w:val="00361DCB"/>
    <w:rsid w:val="0036203A"/>
    <w:rsid w:val="003620EE"/>
    <w:rsid w:val="00362507"/>
    <w:rsid w:val="003626F7"/>
    <w:rsid w:val="00362736"/>
    <w:rsid w:val="00362D7C"/>
    <w:rsid w:val="00363118"/>
    <w:rsid w:val="003638AF"/>
    <w:rsid w:val="00363D37"/>
    <w:rsid w:val="00363E8E"/>
    <w:rsid w:val="00364F9F"/>
    <w:rsid w:val="003650F0"/>
    <w:rsid w:val="003658D4"/>
    <w:rsid w:val="0036644E"/>
    <w:rsid w:val="00366C72"/>
    <w:rsid w:val="00366E89"/>
    <w:rsid w:val="003671F8"/>
    <w:rsid w:val="00367244"/>
    <w:rsid w:val="0036763F"/>
    <w:rsid w:val="003677B8"/>
    <w:rsid w:val="00367B2F"/>
    <w:rsid w:val="00367C33"/>
    <w:rsid w:val="00370574"/>
    <w:rsid w:val="003706A2"/>
    <w:rsid w:val="00371056"/>
    <w:rsid w:val="003711E2"/>
    <w:rsid w:val="0037132C"/>
    <w:rsid w:val="00371B7D"/>
    <w:rsid w:val="00371BC4"/>
    <w:rsid w:val="003728E3"/>
    <w:rsid w:val="00372990"/>
    <w:rsid w:val="003730CA"/>
    <w:rsid w:val="00373530"/>
    <w:rsid w:val="0037364E"/>
    <w:rsid w:val="00373693"/>
    <w:rsid w:val="00373963"/>
    <w:rsid w:val="00374C1A"/>
    <w:rsid w:val="00374E0C"/>
    <w:rsid w:val="00375081"/>
    <w:rsid w:val="00375141"/>
    <w:rsid w:val="00375BC3"/>
    <w:rsid w:val="00375EFF"/>
    <w:rsid w:val="003763DC"/>
    <w:rsid w:val="0037645A"/>
    <w:rsid w:val="00376695"/>
    <w:rsid w:val="003767F2"/>
    <w:rsid w:val="0037701F"/>
    <w:rsid w:val="00377AAD"/>
    <w:rsid w:val="00377E80"/>
    <w:rsid w:val="00377F1F"/>
    <w:rsid w:val="00380004"/>
    <w:rsid w:val="00380DB6"/>
    <w:rsid w:val="003811B3"/>
    <w:rsid w:val="003812C4"/>
    <w:rsid w:val="003812E1"/>
    <w:rsid w:val="003818FD"/>
    <w:rsid w:val="00381A89"/>
    <w:rsid w:val="00381CFE"/>
    <w:rsid w:val="00381FAA"/>
    <w:rsid w:val="00382166"/>
    <w:rsid w:val="003826BF"/>
    <w:rsid w:val="00382A8A"/>
    <w:rsid w:val="00382E01"/>
    <w:rsid w:val="00382E44"/>
    <w:rsid w:val="003830B2"/>
    <w:rsid w:val="003835A1"/>
    <w:rsid w:val="003837D8"/>
    <w:rsid w:val="00383A34"/>
    <w:rsid w:val="00383C34"/>
    <w:rsid w:val="00384AA4"/>
    <w:rsid w:val="0038505D"/>
    <w:rsid w:val="003854C3"/>
    <w:rsid w:val="00385AB3"/>
    <w:rsid w:val="00385E06"/>
    <w:rsid w:val="00385F0C"/>
    <w:rsid w:val="00386CC9"/>
    <w:rsid w:val="00386D3F"/>
    <w:rsid w:val="00386D67"/>
    <w:rsid w:val="003874BD"/>
    <w:rsid w:val="003877C7"/>
    <w:rsid w:val="00387D64"/>
    <w:rsid w:val="00387F10"/>
    <w:rsid w:val="0039013F"/>
    <w:rsid w:val="00390A02"/>
    <w:rsid w:val="00390A69"/>
    <w:rsid w:val="00390A6C"/>
    <w:rsid w:val="00391373"/>
    <w:rsid w:val="00391707"/>
    <w:rsid w:val="003917D7"/>
    <w:rsid w:val="00391FA5"/>
    <w:rsid w:val="00391FCD"/>
    <w:rsid w:val="003922BE"/>
    <w:rsid w:val="0039245A"/>
    <w:rsid w:val="00392C9E"/>
    <w:rsid w:val="00392D9E"/>
    <w:rsid w:val="0039325C"/>
    <w:rsid w:val="003933D9"/>
    <w:rsid w:val="003937E7"/>
    <w:rsid w:val="00393805"/>
    <w:rsid w:val="00393AAF"/>
    <w:rsid w:val="00393D23"/>
    <w:rsid w:val="00393EC3"/>
    <w:rsid w:val="00394065"/>
    <w:rsid w:val="003940D9"/>
    <w:rsid w:val="00394269"/>
    <w:rsid w:val="0039452F"/>
    <w:rsid w:val="00394DA1"/>
    <w:rsid w:val="003955F1"/>
    <w:rsid w:val="003964A6"/>
    <w:rsid w:val="003969AD"/>
    <w:rsid w:val="00396A06"/>
    <w:rsid w:val="003979CD"/>
    <w:rsid w:val="00397CAF"/>
    <w:rsid w:val="003A012B"/>
    <w:rsid w:val="003A02A7"/>
    <w:rsid w:val="003A04C9"/>
    <w:rsid w:val="003A1031"/>
    <w:rsid w:val="003A13A4"/>
    <w:rsid w:val="003A16C8"/>
    <w:rsid w:val="003A18CE"/>
    <w:rsid w:val="003A20B0"/>
    <w:rsid w:val="003A23A8"/>
    <w:rsid w:val="003A2629"/>
    <w:rsid w:val="003A2A30"/>
    <w:rsid w:val="003A2C87"/>
    <w:rsid w:val="003A3024"/>
    <w:rsid w:val="003A3122"/>
    <w:rsid w:val="003A3349"/>
    <w:rsid w:val="003A4596"/>
    <w:rsid w:val="003A459F"/>
    <w:rsid w:val="003A4818"/>
    <w:rsid w:val="003A4C16"/>
    <w:rsid w:val="003A5209"/>
    <w:rsid w:val="003A546D"/>
    <w:rsid w:val="003A5702"/>
    <w:rsid w:val="003A575B"/>
    <w:rsid w:val="003A57EC"/>
    <w:rsid w:val="003A5A5B"/>
    <w:rsid w:val="003A6175"/>
    <w:rsid w:val="003A6238"/>
    <w:rsid w:val="003A6A1C"/>
    <w:rsid w:val="003A7002"/>
    <w:rsid w:val="003A7214"/>
    <w:rsid w:val="003B0386"/>
    <w:rsid w:val="003B0D14"/>
    <w:rsid w:val="003B1115"/>
    <w:rsid w:val="003B1334"/>
    <w:rsid w:val="003B15F3"/>
    <w:rsid w:val="003B1742"/>
    <w:rsid w:val="003B1954"/>
    <w:rsid w:val="003B20F5"/>
    <w:rsid w:val="003B2211"/>
    <w:rsid w:val="003B24CD"/>
    <w:rsid w:val="003B24D8"/>
    <w:rsid w:val="003B3F8F"/>
    <w:rsid w:val="003B4991"/>
    <w:rsid w:val="003B4E4A"/>
    <w:rsid w:val="003B4E8C"/>
    <w:rsid w:val="003B5051"/>
    <w:rsid w:val="003B5121"/>
    <w:rsid w:val="003B62CC"/>
    <w:rsid w:val="003B63B2"/>
    <w:rsid w:val="003B657D"/>
    <w:rsid w:val="003B66D1"/>
    <w:rsid w:val="003B713F"/>
    <w:rsid w:val="003B7300"/>
    <w:rsid w:val="003B789B"/>
    <w:rsid w:val="003C07A5"/>
    <w:rsid w:val="003C11A5"/>
    <w:rsid w:val="003C12D7"/>
    <w:rsid w:val="003C1303"/>
    <w:rsid w:val="003C1603"/>
    <w:rsid w:val="003C16D6"/>
    <w:rsid w:val="003C1DBA"/>
    <w:rsid w:val="003C25F4"/>
    <w:rsid w:val="003C27A9"/>
    <w:rsid w:val="003C31FF"/>
    <w:rsid w:val="003C374B"/>
    <w:rsid w:val="003C3858"/>
    <w:rsid w:val="003C3D79"/>
    <w:rsid w:val="003C3D99"/>
    <w:rsid w:val="003C410D"/>
    <w:rsid w:val="003C466F"/>
    <w:rsid w:val="003C4906"/>
    <w:rsid w:val="003C4A69"/>
    <w:rsid w:val="003C4F9C"/>
    <w:rsid w:val="003C5C3B"/>
    <w:rsid w:val="003C5DF8"/>
    <w:rsid w:val="003C5FD9"/>
    <w:rsid w:val="003C65C5"/>
    <w:rsid w:val="003C67A4"/>
    <w:rsid w:val="003C68F9"/>
    <w:rsid w:val="003C6908"/>
    <w:rsid w:val="003C6D85"/>
    <w:rsid w:val="003C7128"/>
    <w:rsid w:val="003C717B"/>
    <w:rsid w:val="003C723F"/>
    <w:rsid w:val="003C73C6"/>
    <w:rsid w:val="003C775B"/>
    <w:rsid w:val="003C7BEC"/>
    <w:rsid w:val="003C7E64"/>
    <w:rsid w:val="003D0260"/>
    <w:rsid w:val="003D02FC"/>
    <w:rsid w:val="003D0311"/>
    <w:rsid w:val="003D07E3"/>
    <w:rsid w:val="003D0BFD"/>
    <w:rsid w:val="003D10E6"/>
    <w:rsid w:val="003D1300"/>
    <w:rsid w:val="003D1456"/>
    <w:rsid w:val="003D16AA"/>
    <w:rsid w:val="003D17A3"/>
    <w:rsid w:val="003D1A10"/>
    <w:rsid w:val="003D212B"/>
    <w:rsid w:val="003D216E"/>
    <w:rsid w:val="003D24BE"/>
    <w:rsid w:val="003D28C3"/>
    <w:rsid w:val="003D2D52"/>
    <w:rsid w:val="003D2D67"/>
    <w:rsid w:val="003D2FB1"/>
    <w:rsid w:val="003D2FEE"/>
    <w:rsid w:val="003D2FFC"/>
    <w:rsid w:val="003D30E8"/>
    <w:rsid w:val="003D351C"/>
    <w:rsid w:val="003D3BA4"/>
    <w:rsid w:val="003D4107"/>
    <w:rsid w:val="003D413A"/>
    <w:rsid w:val="003D45D1"/>
    <w:rsid w:val="003D485A"/>
    <w:rsid w:val="003D4D75"/>
    <w:rsid w:val="003D4E42"/>
    <w:rsid w:val="003D528D"/>
    <w:rsid w:val="003D5394"/>
    <w:rsid w:val="003D5DA5"/>
    <w:rsid w:val="003D609F"/>
    <w:rsid w:val="003D6C04"/>
    <w:rsid w:val="003D6C75"/>
    <w:rsid w:val="003D7314"/>
    <w:rsid w:val="003D761F"/>
    <w:rsid w:val="003D7E55"/>
    <w:rsid w:val="003E021C"/>
    <w:rsid w:val="003E058C"/>
    <w:rsid w:val="003E058F"/>
    <w:rsid w:val="003E0770"/>
    <w:rsid w:val="003E0791"/>
    <w:rsid w:val="003E09EB"/>
    <w:rsid w:val="003E1097"/>
    <w:rsid w:val="003E1099"/>
    <w:rsid w:val="003E118F"/>
    <w:rsid w:val="003E136D"/>
    <w:rsid w:val="003E144B"/>
    <w:rsid w:val="003E1651"/>
    <w:rsid w:val="003E1DF0"/>
    <w:rsid w:val="003E1F83"/>
    <w:rsid w:val="003E20A0"/>
    <w:rsid w:val="003E20F9"/>
    <w:rsid w:val="003E22BD"/>
    <w:rsid w:val="003E2472"/>
    <w:rsid w:val="003E266D"/>
    <w:rsid w:val="003E2770"/>
    <w:rsid w:val="003E2E17"/>
    <w:rsid w:val="003E2E2E"/>
    <w:rsid w:val="003E3A20"/>
    <w:rsid w:val="003E3D78"/>
    <w:rsid w:val="003E3E47"/>
    <w:rsid w:val="003E425D"/>
    <w:rsid w:val="003E4D3D"/>
    <w:rsid w:val="003E50EB"/>
    <w:rsid w:val="003E5A27"/>
    <w:rsid w:val="003E65AC"/>
    <w:rsid w:val="003E6A63"/>
    <w:rsid w:val="003E6CA5"/>
    <w:rsid w:val="003E6FA3"/>
    <w:rsid w:val="003E77D4"/>
    <w:rsid w:val="003E7A25"/>
    <w:rsid w:val="003E7C59"/>
    <w:rsid w:val="003E7EFB"/>
    <w:rsid w:val="003F03A7"/>
    <w:rsid w:val="003F03C3"/>
    <w:rsid w:val="003F08B3"/>
    <w:rsid w:val="003F0B05"/>
    <w:rsid w:val="003F1A33"/>
    <w:rsid w:val="003F1CDE"/>
    <w:rsid w:val="003F2211"/>
    <w:rsid w:val="003F26CB"/>
    <w:rsid w:val="003F2D69"/>
    <w:rsid w:val="003F32B8"/>
    <w:rsid w:val="003F333B"/>
    <w:rsid w:val="003F34D3"/>
    <w:rsid w:val="003F3680"/>
    <w:rsid w:val="003F37CE"/>
    <w:rsid w:val="003F425E"/>
    <w:rsid w:val="003F4415"/>
    <w:rsid w:val="003F47F8"/>
    <w:rsid w:val="003F496E"/>
    <w:rsid w:val="003F4A15"/>
    <w:rsid w:val="003F4FEA"/>
    <w:rsid w:val="003F53DC"/>
    <w:rsid w:val="003F5489"/>
    <w:rsid w:val="003F5505"/>
    <w:rsid w:val="003F63FC"/>
    <w:rsid w:val="003F6438"/>
    <w:rsid w:val="003F6588"/>
    <w:rsid w:val="003F6642"/>
    <w:rsid w:val="003F699F"/>
    <w:rsid w:val="003F73A2"/>
    <w:rsid w:val="003F75FF"/>
    <w:rsid w:val="003F7B9C"/>
    <w:rsid w:val="003F7F4B"/>
    <w:rsid w:val="004004B5"/>
    <w:rsid w:val="00400565"/>
    <w:rsid w:val="00400B7C"/>
    <w:rsid w:val="00400D04"/>
    <w:rsid w:val="00400E3A"/>
    <w:rsid w:val="00401055"/>
    <w:rsid w:val="00401585"/>
    <w:rsid w:val="004015CA"/>
    <w:rsid w:val="00401E4C"/>
    <w:rsid w:val="00401F6E"/>
    <w:rsid w:val="0040200F"/>
    <w:rsid w:val="00402051"/>
    <w:rsid w:val="00402502"/>
    <w:rsid w:val="004026BA"/>
    <w:rsid w:val="0040290E"/>
    <w:rsid w:val="00402969"/>
    <w:rsid w:val="00402EDB"/>
    <w:rsid w:val="004036E7"/>
    <w:rsid w:val="00403875"/>
    <w:rsid w:val="00403A59"/>
    <w:rsid w:val="00403CAD"/>
    <w:rsid w:val="0040408A"/>
    <w:rsid w:val="004046AF"/>
    <w:rsid w:val="00404738"/>
    <w:rsid w:val="00404A5D"/>
    <w:rsid w:val="00404EFE"/>
    <w:rsid w:val="004050AE"/>
    <w:rsid w:val="00405473"/>
    <w:rsid w:val="004054FC"/>
    <w:rsid w:val="00405AA6"/>
    <w:rsid w:val="00405BA9"/>
    <w:rsid w:val="004061CE"/>
    <w:rsid w:val="00406C98"/>
    <w:rsid w:val="00407025"/>
    <w:rsid w:val="00407091"/>
    <w:rsid w:val="0040755D"/>
    <w:rsid w:val="00407736"/>
    <w:rsid w:val="004078F8"/>
    <w:rsid w:val="00407919"/>
    <w:rsid w:val="00407CCC"/>
    <w:rsid w:val="004103EB"/>
    <w:rsid w:val="004103FE"/>
    <w:rsid w:val="00410904"/>
    <w:rsid w:val="00411428"/>
    <w:rsid w:val="0041193D"/>
    <w:rsid w:val="00411C05"/>
    <w:rsid w:val="00411C99"/>
    <w:rsid w:val="00411E9E"/>
    <w:rsid w:val="0041256E"/>
    <w:rsid w:val="00412A21"/>
    <w:rsid w:val="0041366B"/>
    <w:rsid w:val="004136E7"/>
    <w:rsid w:val="00413722"/>
    <w:rsid w:val="0041374F"/>
    <w:rsid w:val="00413E9B"/>
    <w:rsid w:val="00415338"/>
    <w:rsid w:val="00415A7F"/>
    <w:rsid w:val="00415B9C"/>
    <w:rsid w:val="00415BC7"/>
    <w:rsid w:val="00415C86"/>
    <w:rsid w:val="00415D0C"/>
    <w:rsid w:val="00416473"/>
    <w:rsid w:val="00416C18"/>
    <w:rsid w:val="00416DD2"/>
    <w:rsid w:val="00417038"/>
    <w:rsid w:val="00417478"/>
    <w:rsid w:val="004175B7"/>
    <w:rsid w:val="004178C8"/>
    <w:rsid w:val="00417B74"/>
    <w:rsid w:val="00417C9D"/>
    <w:rsid w:val="00417D34"/>
    <w:rsid w:val="00421239"/>
    <w:rsid w:val="0042127F"/>
    <w:rsid w:val="00421404"/>
    <w:rsid w:val="004218FF"/>
    <w:rsid w:val="00421CAB"/>
    <w:rsid w:val="0042217E"/>
    <w:rsid w:val="004226FB"/>
    <w:rsid w:val="00422AF1"/>
    <w:rsid w:val="004233A6"/>
    <w:rsid w:val="004233B6"/>
    <w:rsid w:val="00423595"/>
    <w:rsid w:val="004235EB"/>
    <w:rsid w:val="0042360F"/>
    <w:rsid w:val="00423902"/>
    <w:rsid w:val="00423A42"/>
    <w:rsid w:val="00423B68"/>
    <w:rsid w:val="00423C9E"/>
    <w:rsid w:val="00423CC2"/>
    <w:rsid w:val="00424071"/>
    <w:rsid w:val="00424791"/>
    <w:rsid w:val="00424914"/>
    <w:rsid w:val="00425058"/>
    <w:rsid w:val="004251DB"/>
    <w:rsid w:val="004252E9"/>
    <w:rsid w:val="00425345"/>
    <w:rsid w:val="00425502"/>
    <w:rsid w:val="00425596"/>
    <w:rsid w:val="00426B07"/>
    <w:rsid w:val="00426D6A"/>
    <w:rsid w:val="00426EB0"/>
    <w:rsid w:val="004270C5"/>
    <w:rsid w:val="004272E4"/>
    <w:rsid w:val="004276C9"/>
    <w:rsid w:val="00427B4D"/>
    <w:rsid w:val="00427CB9"/>
    <w:rsid w:val="00427DB6"/>
    <w:rsid w:val="00430029"/>
    <w:rsid w:val="00430851"/>
    <w:rsid w:val="00430900"/>
    <w:rsid w:val="00430CD0"/>
    <w:rsid w:val="004316DE"/>
    <w:rsid w:val="0043187D"/>
    <w:rsid w:val="00432427"/>
    <w:rsid w:val="004324E5"/>
    <w:rsid w:val="00432BED"/>
    <w:rsid w:val="00433464"/>
    <w:rsid w:val="00433559"/>
    <w:rsid w:val="0043388A"/>
    <w:rsid w:val="00434BD2"/>
    <w:rsid w:val="00434E33"/>
    <w:rsid w:val="004351D7"/>
    <w:rsid w:val="0043567B"/>
    <w:rsid w:val="004357A9"/>
    <w:rsid w:val="00435FF8"/>
    <w:rsid w:val="0043605A"/>
    <w:rsid w:val="004362C4"/>
    <w:rsid w:val="004363E4"/>
    <w:rsid w:val="00436A94"/>
    <w:rsid w:val="00436CA9"/>
    <w:rsid w:val="00436CC6"/>
    <w:rsid w:val="0043763A"/>
    <w:rsid w:val="0043773C"/>
    <w:rsid w:val="004378A3"/>
    <w:rsid w:val="004401C7"/>
    <w:rsid w:val="004403D1"/>
    <w:rsid w:val="0044074A"/>
    <w:rsid w:val="00440B33"/>
    <w:rsid w:val="00440BCE"/>
    <w:rsid w:val="00440E46"/>
    <w:rsid w:val="004417E0"/>
    <w:rsid w:val="00441A32"/>
    <w:rsid w:val="00441B45"/>
    <w:rsid w:val="00441B9F"/>
    <w:rsid w:val="00441EC7"/>
    <w:rsid w:val="00441F37"/>
    <w:rsid w:val="00442115"/>
    <w:rsid w:val="004425F9"/>
    <w:rsid w:val="00442905"/>
    <w:rsid w:val="004429E4"/>
    <w:rsid w:val="00442F44"/>
    <w:rsid w:val="00443149"/>
    <w:rsid w:val="0044368F"/>
    <w:rsid w:val="0044375D"/>
    <w:rsid w:val="00443D54"/>
    <w:rsid w:val="004441B2"/>
    <w:rsid w:val="00444242"/>
    <w:rsid w:val="00444744"/>
    <w:rsid w:val="00444C7E"/>
    <w:rsid w:val="004456A0"/>
    <w:rsid w:val="004458CC"/>
    <w:rsid w:val="004458D5"/>
    <w:rsid w:val="00445FDA"/>
    <w:rsid w:val="00446A9E"/>
    <w:rsid w:val="00446C9B"/>
    <w:rsid w:val="0044719C"/>
    <w:rsid w:val="00447561"/>
    <w:rsid w:val="004507CC"/>
    <w:rsid w:val="00451033"/>
    <w:rsid w:val="00451099"/>
    <w:rsid w:val="0045109B"/>
    <w:rsid w:val="004510E3"/>
    <w:rsid w:val="0045174B"/>
    <w:rsid w:val="00451DBE"/>
    <w:rsid w:val="00451F66"/>
    <w:rsid w:val="00452133"/>
    <w:rsid w:val="00452500"/>
    <w:rsid w:val="004529CA"/>
    <w:rsid w:val="00453160"/>
    <w:rsid w:val="004534B7"/>
    <w:rsid w:val="00453686"/>
    <w:rsid w:val="00453EDC"/>
    <w:rsid w:val="00454350"/>
    <w:rsid w:val="0045439E"/>
    <w:rsid w:val="00454714"/>
    <w:rsid w:val="004547CE"/>
    <w:rsid w:val="00454B5D"/>
    <w:rsid w:val="004550E4"/>
    <w:rsid w:val="00455D19"/>
    <w:rsid w:val="0045628A"/>
    <w:rsid w:val="00456B8F"/>
    <w:rsid w:val="0045741A"/>
    <w:rsid w:val="0045774C"/>
    <w:rsid w:val="00457AAD"/>
    <w:rsid w:val="00457D6E"/>
    <w:rsid w:val="004600B5"/>
    <w:rsid w:val="004601D2"/>
    <w:rsid w:val="00460209"/>
    <w:rsid w:val="00460462"/>
    <w:rsid w:val="00460F69"/>
    <w:rsid w:val="004610D8"/>
    <w:rsid w:val="0046140E"/>
    <w:rsid w:val="00461687"/>
    <w:rsid w:val="004620ED"/>
    <w:rsid w:val="00462252"/>
    <w:rsid w:val="004624B9"/>
    <w:rsid w:val="004624D3"/>
    <w:rsid w:val="00462CF6"/>
    <w:rsid w:val="00463022"/>
    <w:rsid w:val="00463071"/>
    <w:rsid w:val="00463551"/>
    <w:rsid w:val="004643C0"/>
    <w:rsid w:val="004644C5"/>
    <w:rsid w:val="00464AB9"/>
    <w:rsid w:val="00464DCC"/>
    <w:rsid w:val="00465039"/>
    <w:rsid w:val="0046533D"/>
    <w:rsid w:val="0046538A"/>
    <w:rsid w:val="00465418"/>
    <w:rsid w:val="004659A0"/>
    <w:rsid w:val="00465A77"/>
    <w:rsid w:val="00465F29"/>
    <w:rsid w:val="004663C2"/>
    <w:rsid w:val="004665B1"/>
    <w:rsid w:val="0046708B"/>
    <w:rsid w:val="004674D7"/>
    <w:rsid w:val="0046752D"/>
    <w:rsid w:val="00467774"/>
    <w:rsid w:val="004700BA"/>
    <w:rsid w:val="00470121"/>
    <w:rsid w:val="004703A6"/>
    <w:rsid w:val="00470700"/>
    <w:rsid w:val="00470904"/>
    <w:rsid w:val="00470910"/>
    <w:rsid w:val="00471060"/>
    <w:rsid w:val="00471132"/>
    <w:rsid w:val="0047152D"/>
    <w:rsid w:val="00471B59"/>
    <w:rsid w:val="00471E56"/>
    <w:rsid w:val="00472092"/>
    <w:rsid w:val="00472619"/>
    <w:rsid w:val="004728B6"/>
    <w:rsid w:val="004729AF"/>
    <w:rsid w:val="00472C88"/>
    <w:rsid w:val="00472F3B"/>
    <w:rsid w:val="00473280"/>
    <w:rsid w:val="0047341A"/>
    <w:rsid w:val="00474013"/>
    <w:rsid w:val="0047455F"/>
    <w:rsid w:val="00474A4D"/>
    <w:rsid w:val="00474EF3"/>
    <w:rsid w:val="00474F6D"/>
    <w:rsid w:val="004753A7"/>
    <w:rsid w:val="00476AB9"/>
    <w:rsid w:val="00476AE5"/>
    <w:rsid w:val="004775EC"/>
    <w:rsid w:val="00477DC9"/>
    <w:rsid w:val="00480737"/>
    <w:rsid w:val="00480893"/>
    <w:rsid w:val="004809C4"/>
    <w:rsid w:val="00480A8D"/>
    <w:rsid w:val="00480ED9"/>
    <w:rsid w:val="00481058"/>
    <w:rsid w:val="00481084"/>
    <w:rsid w:val="0048171E"/>
    <w:rsid w:val="00481769"/>
    <w:rsid w:val="00481E36"/>
    <w:rsid w:val="004825DD"/>
    <w:rsid w:val="00482814"/>
    <w:rsid w:val="00482B55"/>
    <w:rsid w:val="00482F44"/>
    <w:rsid w:val="00482FC9"/>
    <w:rsid w:val="00483053"/>
    <w:rsid w:val="004832F2"/>
    <w:rsid w:val="004844C2"/>
    <w:rsid w:val="004847FA"/>
    <w:rsid w:val="004848FF"/>
    <w:rsid w:val="00484C53"/>
    <w:rsid w:val="00484CEF"/>
    <w:rsid w:val="00484E86"/>
    <w:rsid w:val="004853F0"/>
    <w:rsid w:val="0048559A"/>
    <w:rsid w:val="0048576F"/>
    <w:rsid w:val="004861DA"/>
    <w:rsid w:val="0048657D"/>
    <w:rsid w:val="00486607"/>
    <w:rsid w:val="00486E7E"/>
    <w:rsid w:val="0048747E"/>
    <w:rsid w:val="0048753D"/>
    <w:rsid w:val="00487604"/>
    <w:rsid w:val="004876D3"/>
    <w:rsid w:val="00487735"/>
    <w:rsid w:val="0048784C"/>
    <w:rsid w:val="00487885"/>
    <w:rsid w:val="00487893"/>
    <w:rsid w:val="004902FB"/>
    <w:rsid w:val="00490643"/>
    <w:rsid w:val="00490829"/>
    <w:rsid w:val="00490A40"/>
    <w:rsid w:val="00491377"/>
    <w:rsid w:val="0049162F"/>
    <w:rsid w:val="004920A1"/>
    <w:rsid w:val="004921CC"/>
    <w:rsid w:val="0049238B"/>
    <w:rsid w:val="004923E7"/>
    <w:rsid w:val="0049240D"/>
    <w:rsid w:val="00492535"/>
    <w:rsid w:val="00492908"/>
    <w:rsid w:val="00492BD3"/>
    <w:rsid w:val="00492E60"/>
    <w:rsid w:val="00493141"/>
    <w:rsid w:val="00493F9C"/>
    <w:rsid w:val="004941F8"/>
    <w:rsid w:val="00494244"/>
    <w:rsid w:val="004945C0"/>
    <w:rsid w:val="004948B2"/>
    <w:rsid w:val="00495C89"/>
    <w:rsid w:val="00495CCF"/>
    <w:rsid w:val="0049611D"/>
    <w:rsid w:val="0049637C"/>
    <w:rsid w:val="00496556"/>
    <w:rsid w:val="00496ACC"/>
    <w:rsid w:val="00496BB3"/>
    <w:rsid w:val="00496DFF"/>
    <w:rsid w:val="00497869"/>
    <w:rsid w:val="004979D8"/>
    <w:rsid w:val="004A0123"/>
    <w:rsid w:val="004A031D"/>
    <w:rsid w:val="004A04AD"/>
    <w:rsid w:val="004A06AB"/>
    <w:rsid w:val="004A109A"/>
    <w:rsid w:val="004A13B5"/>
    <w:rsid w:val="004A1412"/>
    <w:rsid w:val="004A16B2"/>
    <w:rsid w:val="004A1BDD"/>
    <w:rsid w:val="004A1C39"/>
    <w:rsid w:val="004A1C74"/>
    <w:rsid w:val="004A1C99"/>
    <w:rsid w:val="004A1F1B"/>
    <w:rsid w:val="004A2024"/>
    <w:rsid w:val="004A289E"/>
    <w:rsid w:val="004A2CE0"/>
    <w:rsid w:val="004A3555"/>
    <w:rsid w:val="004A35A0"/>
    <w:rsid w:val="004A3AF7"/>
    <w:rsid w:val="004A3C51"/>
    <w:rsid w:val="004A3E12"/>
    <w:rsid w:val="004A42F6"/>
    <w:rsid w:val="004A499E"/>
    <w:rsid w:val="004A4A09"/>
    <w:rsid w:val="004A571F"/>
    <w:rsid w:val="004A6CE4"/>
    <w:rsid w:val="004A7B1B"/>
    <w:rsid w:val="004B028A"/>
    <w:rsid w:val="004B039B"/>
    <w:rsid w:val="004B07A9"/>
    <w:rsid w:val="004B098F"/>
    <w:rsid w:val="004B0BC7"/>
    <w:rsid w:val="004B13C1"/>
    <w:rsid w:val="004B199A"/>
    <w:rsid w:val="004B1A0A"/>
    <w:rsid w:val="004B215E"/>
    <w:rsid w:val="004B2181"/>
    <w:rsid w:val="004B26EC"/>
    <w:rsid w:val="004B27F9"/>
    <w:rsid w:val="004B29AE"/>
    <w:rsid w:val="004B29C3"/>
    <w:rsid w:val="004B2A2D"/>
    <w:rsid w:val="004B2DDE"/>
    <w:rsid w:val="004B31F6"/>
    <w:rsid w:val="004B326F"/>
    <w:rsid w:val="004B32D6"/>
    <w:rsid w:val="004B3DC2"/>
    <w:rsid w:val="004B4190"/>
    <w:rsid w:val="004B490E"/>
    <w:rsid w:val="004B4F52"/>
    <w:rsid w:val="004B5250"/>
    <w:rsid w:val="004B5775"/>
    <w:rsid w:val="004B5B12"/>
    <w:rsid w:val="004B5FD2"/>
    <w:rsid w:val="004B616B"/>
    <w:rsid w:val="004B61D2"/>
    <w:rsid w:val="004B620E"/>
    <w:rsid w:val="004B649E"/>
    <w:rsid w:val="004B7502"/>
    <w:rsid w:val="004B75C2"/>
    <w:rsid w:val="004B776C"/>
    <w:rsid w:val="004B7E38"/>
    <w:rsid w:val="004C03EA"/>
    <w:rsid w:val="004C0DBE"/>
    <w:rsid w:val="004C1CEF"/>
    <w:rsid w:val="004C2F42"/>
    <w:rsid w:val="004C315E"/>
    <w:rsid w:val="004C32C7"/>
    <w:rsid w:val="004C3F32"/>
    <w:rsid w:val="004C4130"/>
    <w:rsid w:val="004C4347"/>
    <w:rsid w:val="004C44FE"/>
    <w:rsid w:val="004C4515"/>
    <w:rsid w:val="004C4746"/>
    <w:rsid w:val="004C4EBB"/>
    <w:rsid w:val="004C5105"/>
    <w:rsid w:val="004C5207"/>
    <w:rsid w:val="004C5295"/>
    <w:rsid w:val="004C56D1"/>
    <w:rsid w:val="004C585D"/>
    <w:rsid w:val="004C59D4"/>
    <w:rsid w:val="004C5B78"/>
    <w:rsid w:val="004C5C3D"/>
    <w:rsid w:val="004C5C41"/>
    <w:rsid w:val="004C67B4"/>
    <w:rsid w:val="004C6AFD"/>
    <w:rsid w:val="004C7081"/>
    <w:rsid w:val="004C7A99"/>
    <w:rsid w:val="004C7B07"/>
    <w:rsid w:val="004C7BC9"/>
    <w:rsid w:val="004C7E05"/>
    <w:rsid w:val="004C7E22"/>
    <w:rsid w:val="004D0350"/>
    <w:rsid w:val="004D0F7F"/>
    <w:rsid w:val="004D19A7"/>
    <w:rsid w:val="004D1A12"/>
    <w:rsid w:val="004D1C2E"/>
    <w:rsid w:val="004D1D15"/>
    <w:rsid w:val="004D1E41"/>
    <w:rsid w:val="004D1EE3"/>
    <w:rsid w:val="004D230A"/>
    <w:rsid w:val="004D2A54"/>
    <w:rsid w:val="004D303A"/>
    <w:rsid w:val="004D307F"/>
    <w:rsid w:val="004D3479"/>
    <w:rsid w:val="004D3581"/>
    <w:rsid w:val="004D3886"/>
    <w:rsid w:val="004D38AA"/>
    <w:rsid w:val="004D4B1D"/>
    <w:rsid w:val="004D4E28"/>
    <w:rsid w:val="004D52DC"/>
    <w:rsid w:val="004D56D1"/>
    <w:rsid w:val="004D59E3"/>
    <w:rsid w:val="004D5EB9"/>
    <w:rsid w:val="004D63F0"/>
    <w:rsid w:val="004D64C9"/>
    <w:rsid w:val="004D6697"/>
    <w:rsid w:val="004D6D79"/>
    <w:rsid w:val="004D70F4"/>
    <w:rsid w:val="004D7577"/>
    <w:rsid w:val="004D75DC"/>
    <w:rsid w:val="004D7C24"/>
    <w:rsid w:val="004E0430"/>
    <w:rsid w:val="004E0C60"/>
    <w:rsid w:val="004E0E89"/>
    <w:rsid w:val="004E11C5"/>
    <w:rsid w:val="004E26F4"/>
    <w:rsid w:val="004E29DB"/>
    <w:rsid w:val="004E2A21"/>
    <w:rsid w:val="004E2E2D"/>
    <w:rsid w:val="004E3AFB"/>
    <w:rsid w:val="004E3CDD"/>
    <w:rsid w:val="004E3F40"/>
    <w:rsid w:val="004E466C"/>
    <w:rsid w:val="004E488A"/>
    <w:rsid w:val="004E48F5"/>
    <w:rsid w:val="004E522B"/>
    <w:rsid w:val="004E568C"/>
    <w:rsid w:val="004E591A"/>
    <w:rsid w:val="004E5988"/>
    <w:rsid w:val="004E78F3"/>
    <w:rsid w:val="004E7C4E"/>
    <w:rsid w:val="004E7DA3"/>
    <w:rsid w:val="004F00C1"/>
    <w:rsid w:val="004F01AE"/>
    <w:rsid w:val="004F059B"/>
    <w:rsid w:val="004F0A7B"/>
    <w:rsid w:val="004F0CFA"/>
    <w:rsid w:val="004F2044"/>
    <w:rsid w:val="004F20F1"/>
    <w:rsid w:val="004F217D"/>
    <w:rsid w:val="004F26BC"/>
    <w:rsid w:val="004F2900"/>
    <w:rsid w:val="004F2A34"/>
    <w:rsid w:val="004F2A40"/>
    <w:rsid w:val="004F2B21"/>
    <w:rsid w:val="004F2CE4"/>
    <w:rsid w:val="004F2CE7"/>
    <w:rsid w:val="004F2FDE"/>
    <w:rsid w:val="004F3168"/>
    <w:rsid w:val="004F3290"/>
    <w:rsid w:val="004F348B"/>
    <w:rsid w:val="004F3532"/>
    <w:rsid w:val="004F4ED3"/>
    <w:rsid w:val="004F51B0"/>
    <w:rsid w:val="004F52A9"/>
    <w:rsid w:val="004F5688"/>
    <w:rsid w:val="004F5A02"/>
    <w:rsid w:val="004F5D8F"/>
    <w:rsid w:val="004F61EE"/>
    <w:rsid w:val="004F6C21"/>
    <w:rsid w:val="004F6E54"/>
    <w:rsid w:val="004F6EB7"/>
    <w:rsid w:val="004F75B7"/>
    <w:rsid w:val="004F76B0"/>
    <w:rsid w:val="004F775F"/>
    <w:rsid w:val="004F7B03"/>
    <w:rsid w:val="004F7EEE"/>
    <w:rsid w:val="00500074"/>
    <w:rsid w:val="005003B8"/>
    <w:rsid w:val="00500B73"/>
    <w:rsid w:val="005011D5"/>
    <w:rsid w:val="005017B8"/>
    <w:rsid w:val="0050192D"/>
    <w:rsid w:val="00501BF5"/>
    <w:rsid w:val="00502501"/>
    <w:rsid w:val="00502844"/>
    <w:rsid w:val="00502D6C"/>
    <w:rsid w:val="0050322A"/>
    <w:rsid w:val="0050376D"/>
    <w:rsid w:val="00504014"/>
    <w:rsid w:val="005040C6"/>
    <w:rsid w:val="00504276"/>
    <w:rsid w:val="00504411"/>
    <w:rsid w:val="005050EA"/>
    <w:rsid w:val="00506023"/>
    <w:rsid w:val="00506706"/>
    <w:rsid w:val="00506848"/>
    <w:rsid w:val="00506B5B"/>
    <w:rsid w:val="00506C4C"/>
    <w:rsid w:val="00507027"/>
    <w:rsid w:val="0050713F"/>
    <w:rsid w:val="005078CB"/>
    <w:rsid w:val="00507964"/>
    <w:rsid w:val="00507AFA"/>
    <w:rsid w:val="00507FA7"/>
    <w:rsid w:val="00510310"/>
    <w:rsid w:val="00510528"/>
    <w:rsid w:val="0051095F"/>
    <w:rsid w:val="00510C7F"/>
    <w:rsid w:val="00510CF2"/>
    <w:rsid w:val="005110B6"/>
    <w:rsid w:val="00511169"/>
    <w:rsid w:val="00511294"/>
    <w:rsid w:val="0051147A"/>
    <w:rsid w:val="00511B1A"/>
    <w:rsid w:val="00511ECD"/>
    <w:rsid w:val="00512166"/>
    <w:rsid w:val="00512298"/>
    <w:rsid w:val="00512447"/>
    <w:rsid w:val="00512476"/>
    <w:rsid w:val="0051260C"/>
    <w:rsid w:val="0051260F"/>
    <w:rsid w:val="00512A49"/>
    <w:rsid w:val="00512B87"/>
    <w:rsid w:val="00512FD8"/>
    <w:rsid w:val="00513223"/>
    <w:rsid w:val="00513386"/>
    <w:rsid w:val="005136BA"/>
    <w:rsid w:val="0051385E"/>
    <w:rsid w:val="00513B51"/>
    <w:rsid w:val="00513C7E"/>
    <w:rsid w:val="00513E38"/>
    <w:rsid w:val="0051432F"/>
    <w:rsid w:val="00514591"/>
    <w:rsid w:val="00514D18"/>
    <w:rsid w:val="00514F5F"/>
    <w:rsid w:val="00515097"/>
    <w:rsid w:val="0051533D"/>
    <w:rsid w:val="00515656"/>
    <w:rsid w:val="00515994"/>
    <w:rsid w:val="00515D6A"/>
    <w:rsid w:val="00515E8A"/>
    <w:rsid w:val="00515FA2"/>
    <w:rsid w:val="0051641A"/>
    <w:rsid w:val="005164A6"/>
    <w:rsid w:val="00516585"/>
    <w:rsid w:val="0051660D"/>
    <w:rsid w:val="00516F5C"/>
    <w:rsid w:val="00516F71"/>
    <w:rsid w:val="00516F95"/>
    <w:rsid w:val="00517348"/>
    <w:rsid w:val="00517397"/>
    <w:rsid w:val="005174B2"/>
    <w:rsid w:val="0051766D"/>
    <w:rsid w:val="005179C7"/>
    <w:rsid w:val="00517C62"/>
    <w:rsid w:val="00517EDA"/>
    <w:rsid w:val="0052041F"/>
    <w:rsid w:val="00520651"/>
    <w:rsid w:val="00520741"/>
    <w:rsid w:val="005208BE"/>
    <w:rsid w:val="005208DA"/>
    <w:rsid w:val="00520977"/>
    <w:rsid w:val="00520A86"/>
    <w:rsid w:val="00520C04"/>
    <w:rsid w:val="00520E0E"/>
    <w:rsid w:val="005213BB"/>
    <w:rsid w:val="00521D8A"/>
    <w:rsid w:val="00522001"/>
    <w:rsid w:val="00522124"/>
    <w:rsid w:val="00522307"/>
    <w:rsid w:val="00522925"/>
    <w:rsid w:val="0052299D"/>
    <w:rsid w:val="00522CAB"/>
    <w:rsid w:val="00522EDC"/>
    <w:rsid w:val="00523182"/>
    <w:rsid w:val="005232BB"/>
    <w:rsid w:val="00523345"/>
    <w:rsid w:val="0052339B"/>
    <w:rsid w:val="00523572"/>
    <w:rsid w:val="00523CD6"/>
    <w:rsid w:val="00523FD8"/>
    <w:rsid w:val="00524681"/>
    <w:rsid w:val="005246BC"/>
    <w:rsid w:val="0052495F"/>
    <w:rsid w:val="00524C63"/>
    <w:rsid w:val="00524D5D"/>
    <w:rsid w:val="00525864"/>
    <w:rsid w:val="00525DC4"/>
    <w:rsid w:val="005268C9"/>
    <w:rsid w:val="0052741E"/>
    <w:rsid w:val="00527548"/>
    <w:rsid w:val="005277D2"/>
    <w:rsid w:val="0052793C"/>
    <w:rsid w:val="00527E6E"/>
    <w:rsid w:val="00527F5C"/>
    <w:rsid w:val="0053018C"/>
    <w:rsid w:val="00530894"/>
    <w:rsid w:val="0053105D"/>
    <w:rsid w:val="00531072"/>
    <w:rsid w:val="00531089"/>
    <w:rsid w:val="00531DAE"/>
    <w:rsid w:val="00531DDC"/>
    <w:rsid w:val="00532EAC"/>
    <w:rsid w:val="00532F0F"/>
    <w:rsid w:val="005333B4"/>
    <w:rsid w:val="00534142"/>
    <w:rsid w:val="00534289"/>
    <w:rsid w:val="005342E7"/>
    <w:rsid w:val="00534394"/>
    <w:rsid w:val="00534982"/>
    <w:rsid w:val="005349EF"/>
    <w:rsid w:val="00534DA3"/>
    <w:rsid w:val="00534F86"/>
    <w:rsid w:val="0053503E"/>
    <w:rsid w:val="00535427"/>
    <w:rsid w:val="00535E18"/>
    <w:rsid w:val="0053619F"/>
    <w:rsid w:val="00536618"/>
    <w:rsid w:val="00537035"/>
    <w:rsid w:val="00537C5D"/>
    <w:rsid w:val="00540024"/>
    <w:rsid w:val="0054010B"/>
    <w:rsid w:val="00540225"/>
    <w:rsid w:val="005402EC"/>
    <w:rsid w:val="00540643"/>
    <w:rsid w:val="00540FC2"/>
    <w:rsid w:val="0054111A"/>
    <w:rsid w:val="00541B50"/>
    <w:rsid w:val="005425F5"/>
    <w:rsid w:val="00542847"/>
    <w:rsid w:val="00542E6D"/>
    <w:rsid w:val="00543668"/>
    <w:rsid w:val="00543EBD"/>
    <w:rsid w:val="00544237"/>
    <w:rsid w:val="00544321"/>
    <w:rsid w:val="005447C2"/>
    <w:rsid w:val="00544AD6"/>
    <w:rsid w:val="00545018"/>
    <w:rsid w:val="00545233"/>
    <w:rsid w:val="00545E9C"/>
    <w:rsid w:val="00546207"/>
    <w:rsid w:val="00546345"/>
    <w:rsid w:val="0054655C"/>
    <w:rsid w:val="0054677A"/>
    <w:rsid w:val="00546B53"/>
    <w:rsid w:val="0054716C"/>
    <w:rsid w:val="005471CA"/>
    <w:rsid w:val="00547987"/>
    <w:rsid w:val="00547A74"/>
    <w:rsid w:val="0055010D"/>
    <w:rsid w:val="0055024F"/>
    <w:rsid w:val="0055054D"/>
    <w:rsid w:val="00550DB4"/>
    <w:rsid w:val="00550FD6"/>
    <w:rsid w:val="00551154"/>
    <w:rsid w:val="00551651"/>
    <w:rsid w:val="00551C00"/>
    <w:rsid w:val="00551F12"/>
    <w:rsid w:val="005524E5"/>
    <w:rsid w:val="005526E0"/>
    <w:rsid w:val="00552CCB"/>
    <w:rsid w:val="0055327D"/>
    <w:rsid w:val="0055343D"/>
    <w:rsid w:val="00553CD4"/>
    <w:rsid w:val="00554A92"/>
    <w:rsid w:val="005557E7"/>
    <w:rsid w:val="00555AB2"/>
    <w:rsid w:val="00556390"/>
    <w:rsid w:val="00556635"/>
    <w:rsid w:val="00556A4E"/>
    <w:rsid w:val="00556C9C"/>
    <w:rsid w:val="00557175"/>
    <w:rsid w:val="005572DF"/>
    <w:rsid w:val="00557801"/>
    <w:rsid w:val="0055785A"/>
    <w:rsid w:val="00557F23"/>
    <w:rsid w:val="00560062"/>
    <w:rsid w:val="005608D9"/>
    <w:rsid w:val="00560B5B"/>
    <w:rsid w:val="00560D47"/>
    <w:rsid w:val="005612F9"/>
    <w:rsid w:val="0056194B"/>
    <w:rsid w:val="00561B46"/>
    <w:rsid w:val="00561B9D"/>
    <w:rsid w:val="00561C3D"/>
    <w:rsid w:val="00562157"/>
    <w:rsid w:val="00562788"/>
    <w:rsid w:val="0056295B"/>
    <w:rsid w:val="00562BCD"/>
    <w:rsid w:val="00562DA8"/>
    <w:rsid w:val="00562F8E"/>
    <w:rsid w:val="005632EB"/>
    <w:rsid w:val="00563BDB"/>
    <w:rsid w:val="0056401C"/>
    <w:rsid w:val="005642DC"/>
    <w:rsid w:val="005643B6"/>
    <w:rsid w:val="0056477E"/>
    <w:rsid w:val="00564924"/>
    <w:rsid w:val="00564C43"/>
    <w:rsid w:val="00564CCF"/>
    <w:rsid w:val="00565213"/>
    <w:rsid w:val="00565514"/>
    <w:rsid w:val="005656B4"/>
    <w:rsid w:val="0056570D"/>
    <w:rsid w:val="00565865"/>
    <w:rsid w:val="00565E2D"/>
    <w:rsid w:val="00566219"/>
    <w:rsid w:val="00566562"/>
    <w:rsid w:val="0056675E"/>
    <w:rsid w:val="00566A9F"/>
    <w:rsid w:val="00566D5B"/>
    <w:rsid w:val="00566F00"/>
    <w:rsid w:val="00566FEA"/>
    <w:rsid w:val="005675E5"/>
    <w:rsid w:val="0057028E"/>
    <w:rsid w:val="00570579"/>
    <w:rsid w:val="00570957"/>
    <w:rsid w:val="00570DE1"/>
    <w:rsid w:val="00570E17"/>
    <w:rsid w:val="00571616"/>
    <w:rsid w:val="00571640"/>
    <w:rsid w:val="0057164F"/>
    <w:rsid w:val="005716CB"/>
    <w:rsid w:val="00571C2D"/>
    <w:rsid w:val="00571C94"/>
    <w:rsid w:val="00571E72"/>
    <w:rsid w:val="005722E5"/>
    <w:rsid w:val="005723CE"/>
    <w:rsid w:val="0057249F"/>
    <w:rsid w:val="0057263E"/>
    <w:rsid w:val="00572867"/>
    <w:rsid w:val="00573144"/>
    <w:rsid w:val="0057325C"/>
    <w:rsid w:val="005738D8"/>
    <w:rsid w:val="0057394E"/>
    <w:rsid w:val="005742FF"/>
    <w:rsid w:val="0057454F"/>
    <w:rsid w:val="005748B4"/>
    <w:rsid w:val="00574C36"/>
    <w:rsid w:val="00574CAF"/>
    <w:rsid w:val="00574F51"/>
    <w:rsid w:val="005756C5"/>
    <w:rsid w:val="0057582F"/>
    <w:rsid w:val="00576322"/>
    <w:rsid w:val="00577405"/>
    <w:rsid w:val="005774CE"/>
    <w:rsid w:val="00577A1A"/>
    <w:rsid w:val="00577DB7"/>
    <w:rsid w:val="00577F05"/>
    <w:rsid w:val="00577FB1"/>
    <w:rsid w:val="005802BC"/>
    <w:rsid w:val="0058058B"/>
    <w:rsid w:val="00580699"/>
    <w:rsid w:val="00580C23"/>
    <w:rsid w:val="005810A6"/>
    <w:rsid w:val="00581548"/>
    <w:rsid w:val="00581808"/>
    <w:rsid w:val="00581DB9"/>
    <w:rsid w:val="00581F27"/>
    <w:rsid w:val="005827C6"/>
    <w:rsid w:val="005829F2"/>
    <w:rsid w:val="005832A5"/>
    <w:rsid w:val="005832E6"/>
    <w:rsid w:val="00583AEE"/>
    <w:rsid w:val="00583BC5"/>
    <w:rsid w:val="00583D79"/>
    <w:rsid w:val="0058400C"/>
    <w:rsid w:val="0058444C"/>
    <w:rsid w:val="00584550"/>
    <w:rsid w:val="00584BF6"/>
    <w:rsid w:val="00584D96"/>
    <w:rsid w:val="00585368"/>
    <w:rsid w:val="00585990"/>
    <w:rsid w:val="005860A3"/>
    <w:rsid w:val="00586271"/>
    <w:rsid w:val="00586D3B"/>
    <w:rsid w:val="00586D8C"/>
    <w:rsid w:val="00587080"/>
    <w:rsid w:val="00587893"/>
    <w:rsid w:val="00587BDA"/>
    <w:rsid w:val="00587CD1"/>
    <w:rsid w:val="00587F56"/>
    <w:rsid w:val="0059025C"/>
    <w:rsid w:val="00591077"/>
    <w:rsid w:val="005911B6"/>
    <w:rsid w:val="00591268"/>
    <w:rsid w:val="005914A8"/>
    <w:rsid w:val="00591524"/>
    <w:rsid w:val="00591617"/>
    <w:rsid w:val="0059178F"/>
    <w:rsid w:val="005918BF"/>
    <w:rsid w:val="00591BC8"/>
    <w:rsid w:val="00591CFE"/>
    <w:rsid w:val="005920CC"/>
    <w:rsid w:val="00592D1D"/>
    <w:rsid w:val="00593792"/>
    <w:rsid w:val="00593A05"/>
    <w:rsid w:val="00593AEE"/>
    <w:rsid w:val="00593F64"/>
    <w:rsid w:val="00594A5E"/>
    <w:rsid w:val="00595593"/>
    <w:rsid w:val="005961A6"/>
    <w:rsid w:val="00596661"/>
    <w:rsid w:val="00596ABE"/>
    <w:rsid w:val="00596EBF"/>
    <w:rsid w:val="005972B8"/>
    <w:rsid w:val="0059799C"/>
    <w:rsid w:val="00597C67"/>
    <w:rsid w:val="005A0376"/>
    <w:rsid w:val="005A0A11"/>
    <w:rsid w:val="005A14E6"/>
    <w:rsid w:val="005A167A"/>
    <w:rsid w:val="005A16C6"/>
    <w:rsid w:val="005A17C1"/>
    <w:rsid w:val="005A1801"/>
    <w:rsid w:val="005A1FE6"/>
    <w:rsid w:val="005A2071"/>
    <w:rsid w:val="005A23D8"/>
    <w:rsid w:val="005A2A31"/>
    <w:rsid w:val="005A2FDF"/>
    <w:rsid w:val="005A34E7"/>
    <w:rsid w:val="005A35AC"/>
    <w:rsid w:val="005A3C56"/>
    <w:rsid w:val="005A3D9F"/>
    <w:rsid w:val="005A3FB7"/>
    <w:rsid w:val="005A3FDA"/>
    <w:rsid w:val="005A40F1"/>
    <w:rsid w:val="005A4A98"/>
    <w:rsid w:val="005A4BCB"/>
    <w:rsid w:val="005A4DCF"/>
    <w:rsid w:val="005A52FC"/>
    <w:rsid w:val="005A66B8"/>
    <w:rsid w:val="005A6997"/>
    <w:rsid w:val="005A6BC9"/>
    <w:rsid w:val="005A6E13"/>
    <w:rsid w:val="005A72C2"/>
    <w:rsid w:val="005A73A0"/>
    <w:rsid w:val="005A78DE"/>
    <w:rsid w:val="005A7B98"/>
    <w:rsid w:val="005A7C86"/>
    <w:rsid w:val="005A7E0C"/>
    <w:rsid w:val="005A7E8F"/>
    <w:rsid w:val="005B0256"/>
    <w:rsid w:val="005B02C3"/>
    <w:rsid w:val="005B0309"/>
    <w:rsid w:val="005B0801"/>
    <w:rsid w:val="005B0897"/>
    <w:rsid w:val="005B12C7"/>
    <w:rsid w:val="005B12E6"/>
    <w:rsid w:val="005B152F"/>
    <w:rsid w:val="005B179E"/>
    <w:rsid w:val="005B1A04"/>
    <w:rsid w:val="005B1AC2"/>
    <w:rsid w:val="005B1C11"/>
    <w:rsid w:val="005B1DEA"/>
    <w:rsid w:val="005B20DC"/>
    <w:rsid w:val="005B2A78"/>
    <w:rsid w:val="005B2DCE"/>
    <w:rsid w:val="005B2DD2"/>
    <w:rsid w:val="005B3425"/>
    <w:rsid w:val="005B3497"/>
    <w:rsid w:val="005B36D9"/>
    <w:rsid w:val="005B37C1"/>
    <w:rsid w:val="005B3807"/>
    <w:rsid w:val="005B3A69"/>
    <w:rsid w:val="005B3AF4"/>
    <w:rsid w:val="005B3B79"/>
    <w:rsid w:val="005B448D"/>
    <w:rsid w:val="005B47C5"/>
    <w:rsid w:val="005B4ACB"/>
    <w:rsid w:val="005B4BE6"/>
    <w:rsid w:val="005B5218"/>
    <w:rsid w:val="005B5272"/>
    <w:rsid w:val="005B5332"/>
    <w:rsid w:val="005B5503"/>
    <w:rsid w:val="005B5B6A"/>
    <w:rsid w:val="005B5BD0"/>
    <w:rsid w:val="005B62DD"/>
    <w:rsid w:val="005B6D88"/>
    <w:rsid w:val="005B74B2"/>
    <w:rsid w:val="005B77FB"/>
    <w:rsid w:val="005B7893"/>
    <w:rsid w:val="005C0016"/>
    <w:rsid w:val="005C0B69"/>
    <w:rsid w:val="005C0E26"/>
    <w:rsid w:val="005C118D"/>
    <w:rsid w:val="005C1255"/>
    <w:rsid w:val="005C18FA"/>
    <w:rsid w:val="005C1B12"/>
    <w:rsid w:val="005C202A"/>
    <w:rsid w:val="005C278A"/>
    <w:rsid w:val="005C33D5"/>
    <w:rsid w:val="005C38B6"/>
    <w:rsid w:val="005C3ADB"/>
    <w:rsid w:val="005C3E34"/>
    <w:rsid w:val="005C414D"/>
    <w:rsid w:val="005C4263"/>
    <w:rsid w:val="005C48B5"/>
    <w:rsid w:val="005C4978"/>
    <w:rsid w:val="005C49E4"/>
    <w:rsid w:val="005C5284"/>
    <w:rsid w:val="005C60CA"/>
    <w:rsid w:val="005C62A8"/>
    <w:rsid w:val="005C6670"/>
    <w:rsid w:val="005C6F1E"/>
    <w:rsid w:val="005C6FBF"/>
    <w:rsid w:val="005C70DC"/>
    <w:rsid w:val="005C71FE"/>
    <w:rsid w:val="005C78E5"/>
    <w:rsid w:val="005C7966"/>
    <w:rsid w:val="005C7B45"/>
    <w:rsid w:val="005C7E1F"/>
    <w:rsid w:val="005D0221"/>
    <w:rsid w:val="005D02B7"/>
    <w:rsid w:val="005D0464"/>
    <w:rsid w:val="005D057A"/>
    <w:rsid w:val="005D07A8"/>
    <w:rsid w:val="005D0E03"/>
    <w:rsid w:val="005D16F5"/>
    <w:rsid w:val="005D1D89"/>
    <w:rsid w:val="005D2430"/>
    <w:rsid w:val="005D25F5"/>
    <w:rsid w:val="005D2984"/>
    <w:rsid w:val="005D2AB9"/>
    <w:rsid w:val="005D2D49"/>
    <w:rsid w:val="005D3BAA"/>
    <w:rsid w:val="005D3E6C"/>
    <w:rsid w:val="005D45BC"/>
    <w:rsid w:val="005D4CA9"/>
    <w:rsid w:val="005D4E48"/>
    <w:rsid w:val="005D4EAE"/>
    <w:rsid w:val="005D5001"/>
    <w:rsid w:val="005D52C9"/>
    <w:rsid w:val="005D530A"/>
    <w:rsid w:val="005D5363"/>
    <w:rsid w:val="005D5B73"/>
    <w:rsid w:val="005D5BCD"/>
    <w:rsid w:val="005D5BF5"/>
    <w:rsid w:val="005D6365"/>
    <w:rsid w:val="005D6839"/>
    <w:rsid w:val="005D6924"/>
    <w:rsid w:val="005D69C4"/>
    <w:rsid w:val="005D6D53"/>
    <w:rsid w:val="005D6D89"/>
    <w:rsid w:val="005D6DAA"/>
    <w:rsid w:val="005D6E08"/>
    <w:rsid w:val="005D72F9"/>
    <w:rsid w:val="005D7315"/>
    <w:rsid w:val="005D774A"/>
    <w:rsid w:val="005D78C4"/>
    <w:rsid w:val="005E0720"/>
    <w:rsid w:val="005E0B35"/>
    <w:rsid w:val="005E0BA3"/>
    <w:rsid w:val="005E13D3"/>
    <w:rsid w:val="005E14BE"/>
    <w:rsid w:val="005E1A4B"/>
    <w:rsid w:val="005E1EA6"/>
    <w:rsid w:val="005E1F53"/>
    <w:rsid w:val="005E27F3"/>
    <w:rsid w:val="005E2B1A"/>
    <w:rsid w:val="005E3046"/>
    <w:rsid w:val="005E309C"/>
    <w:rsid w:val="005E3794"/>
    <w:rsid w:val="005E3EE2"/>
    <w:rsid w:val="005E447E"/>
    <w:rsid w:val="005E46EE"/>
    <w:rsid w:val="005E52A5"/>
    <w:rsid w:val="005E5688"/>
    <w:rsid w:val="005E5885"/>
    <w:rsid w:val="005E5D40"/>
    <w:rsid w:val="005E5D66"/>
    <w:rsid w:val="005E5D9E"/>
    <w:rsid w:val="005E5EC7"/>
    <w:rsid w:val="005E5F9B"/>
    <w:rsid w:val="005E61E1"/>
    <w:rsid w:val="005E68D9"/>
    <w:rsid w:val="005E6B71"/>
    <w:rsid w:val="005E6DC9"/>
    <w:rsid w:val="005E713A"/>
    <w:rsid w:val="005E74AF"/>
    <w:rsid w:val="005E77C9"/>
    <w:rsid w:val="005E7C50"/>
    <w:rsid w:val="005E7D25"/>
    <w:rsid w:val="005F01C1"/>
    <w:rsid w:val="005F031E"/>
    <w:rsid w:val="005F0B11"/>
    <w:rsid w:val="005F0B89"/>
    <w:rsid w:val="005F1626"/>
    <w:rsid w:val="005F19E1"/>
    <w:rsid w:val="005F1AA4"/>
    <w:rsid w:val="005F1E0D"/>
    <w:rsid w:val="005F20C5"/>
    <w:rsid w:val="005F2161"/>
    <w:rsid w:val="005F21DB"/>
    <w:rsid w:val="005F2D50"/>
    <w:rsid w:val="005F2E37"/>
    <w:rsid w:val="005F2FC6"/>
    <w:rsid w:val="005F3101"/>
    <w:rsid w:val="005F316A"/>
    <w:rsid w:val="005F3377"/>
    <w:rsid w:val="005F3480"/>
    <w:rsid w:val="005F376C"/>
    <w:rsid w:val="005F43D5"/>
    <w:rsid w:val="005F45F6"/>
    <w:rsid w:val="005F4CCC"/>
    <w:rsid w:val="005F4D73"/>
    <w:rsid w:val="005F4E66"/>
    <w:rsid w:val="005F517F"/>
    <w:rsid w:val="005F51A4"/>
    <w:rsid w:val="005F547A"/>
    <w:rsid w:val="005F5ACC"/>
    <w:rsid w:val="005F6331"/>
    <w:rsid w:val="005F6897"/>
    <w:rsid w:val="005F6932"/>
    <w:rsid w:val="005F694C"/>
    <w:rsid w:val="005F742E"/>
    <w:rsid w:val="005F7477"/>
    <w:rsid w:val="005F755D"/>
    <w:rsid w:val="005F76E5"/>
    <w:rsid w:val="005F7A4B"/>
    <w:rsid w:val="0060044A"/>
    <w:rsid w:val="0060047E"/>
    <w:rsid w:val="00600723"/>
    <w:rsid w:val="0060121E"/>
    <w:rsid w:val="006013CB"/>
    <w:rsid w:val="00601F55"/>
    <w:rsid w:val="00602FEE"/>
    <w:rsid w:val="00603142"/>
    <w:rsid w:val="006034A6"/>
    <w:rsid w:val="00603831"/>
    <w:rsid w:val="00603A1E"/>
    <w:rsid w:val="006041CC"/>
    <w:rsid w:val="00604367"/>
    <w:rsid w:val="00604553"/>
    <w:rsid w:val="0060503A"/>
    <w:rsid w:val="00605355"/>
    <w:rsid w:val="006053F9"/>
    <w:rsid w:val="006055AE"/>
    <w:rsid w:val="0060595C"/>
    <w:rsid w:val="00605BD5"/>
    <w:rsid w:val="00605E19"/>
    <w:rsid w:val="0060602F"/>
    <w:rsid w:val="00606E4E"/>
    <w:rsid w:val="00607904"/>
    <w:rsid w:val="0061064D"/>
    <w:rsid w:val="006106FF"/>
    <w:rsid w:val="006112ED"/>
    <w:rsid w:val="006115D9"/>
    <w:rsid w:val="006117D8"/>
    <w:rsid w:val="0061188A"/>
    <w:rsid w:val="00611938"/>
    <w:rsid w:val="00611973"/>
    <w:rsid w:val="00611A7F"/>
    <w:rsid w:val="00611CF0"/>
    <w:rsid w:val="006126EF"/>
    <w:rsid w:val="00612A2B"/>
    <w:rsid w:val="006136ED"/>
    <w:rsid w:val="0061390B"/>
    <w:rsid w:val="00613966"/>
    <w:rsid w:val="00613DE3"/>
    <w:rsid w:val="00614581"/>
    <w:rsid w:val="006147CA"/>
    <w:rsid w:val="00614CD9"/>
    <w:rsid w:val="00615047"/>
    <w:rsid w:val="00615583"/>
    <w:rsid w:val="006158F1"/>
    <w:rsid w:val="00615986"/>
    <w:rsid w:val="006159F1"/>
    <w:rsid w:val="00615CB7"/>
    <w:rsid w:val="006161D0"/>
    <w:rsid w:val="0061637B"/>
    <w:rsid w:val="006165D6"/>
    <w:rsid w:val="006166A0"/>
    <w:rsid w:val="00616A66"/>
    <w:rsid w:val="00616B8C"/>
    <w:rsid w:val="00616C6D"/>
    <w:rsid w:val="00617197"/>
    <w:rsid w:val="006172BE"/>
    <w:rsid w:val="00617369"/>
    <w:rsid w:val="006173FD"/>
    <w:rsid w:val="006176EC"/>
    <w:rsid w:val="006177D3"/>
    <w:rsid w:val="006200DE"/>
    <w:rsid w:val="0062020A"/>
    <w:rsid w:val="006204E3"/>
    <w:rsid w:val="00620536"/>
    <w:rsid w:val="00620607"/>
    <w:rsid w:val="00620736"/>
    <w:rsid w:val="00620C97"/>
    <w:rsid w:val="00620F3F"/>
    <w:rsid w:val="00621244"/>
    <w:rsid w:val="00621277"/>
    <w:rsid w:val="00621C27"/>
    <w:rsid w:val="00622861"/>
    <w:rsid w:val="006229DE"/>
    <w:rsid w:val="00622AFC"/>
    <w:rsid w:val="00623441"/>
    <w:rsid w:val="00623816"/>
    <w:rsid w:val="00623C75"/>
    <w:rsid w:val="00623CFD"/>
    <w:rsid w:val="00623D46"/>
    <w:rsid w:val="006242DF"/>
    <w:rsid w:val="00624344"/>
    <w:rsid w:val="006243B5"/>
    <w:rsid w:val="0062454C"/>
    <w:rsid w:val="0062455C"/>
    <w:rsid w:val="00624624"/>
    <w:rsid w:val="006246B0"/>
    <w:rsid w:val="006247A0"/>
    <w:rsid w:val="00624868"/>
    <w:rsid w:val="0062495C"/>
    <w:rsid w:val="00625226"/>
    <w:rsid w:val="006258F8"/>
    <w:rsid w:val="00625F4E"/>
    <w:rsid w:val="006262AB"/>
    <w:rsid w:val="006268DF"/>
    <w:rsid w:val="00626B61"/>
    <w:rsid w:val="00626F8D"/>
    <w:rsid w:val="00626FCB"/>
    <w:rsid w:val="00626FDB"/>
    <w:rsid w:val="00627035"/>
    <w:rsid w:val="006272CE"/>
    <w:rsid w:val="006275EE"/>
    <w:rsid w:val="00630102"/>
    <w:rsid w:val="006301EA"/>
    <w:rsid w:val="00630427"/>
    <w:rsid w:val="00630928"/>
    <w:rsid w:val="00630B12"/>
    <w:rsid w:val="0063129D"/>
    <w:rsid w:val="00631387"/>
    <w:rsid w:val="00631A31"/>
    <w:rsid w:val="00631A6E"/>
    <w:rsid w:val="00632235"/>
    <w:rsid w:val="006325B5"/>
    <w:rsid w:val="006325EA"/>
    <w:rsid w:val="00632738"/>
    <w:rsid w:val="006327A8"/>
    <w:rsid w:val="0063292B"/>
    <w:rsid w:val="00632A11"/>
    <w:rsid w:val="00632CC0"/>
    <w:rsid w:val="00633052"/>
    <w:rsid w:val="0063344B"/>
    <w:rsid w:val="00633494"/>
    <w:rsid w:val="006336EF"/>
    <w:rsid w:val="006339F4"/>
    <w:rsid w:val="00633E96"/>
    <w:rsid w:val="00634710"/>
    <w:rsid w:val="00634A0C"/>
    <w:rsid w:val="00634B7D"/>
    <w:rsid w:val="006358CA"/>
    <w:rsid w:val="00635C72"/>
    <w:rsid w:val="00636002"/>
    <w:rsid w:val="00636087"/>
    <w:rsid w:val="00637341"/>
    <w:rsid w:val="00637509"/>
    <w:rsid w:val="006378C5"/>
    <w:rsid w:val="00640207"/>
    <w:rsid w:val="00640892"/>
    <w:rsid w:val="00640CEF"/>
    <w:rsid w:val="00641C63"/>
    <w:rsid w:val="00641E87"/>
    <w:rsid w:val="00642134"/>
    <w:rsid w:val="00642B24"/>
    <w:rsid w:val="00642E51"/>
    <w:rsid w:val="00642ECE"/>
    <w:rsid w:val="00643108"/>
    <w:rsid w:val="00643196"/>
    <w:rsid w:val="00643320"/>
    <w:rsid w:val="00643522"/>
    <w:rsid w:val="00643C0A"/>
    <w:rsid w:val="006445BD"/>
    <w:rsid w:val="00644A3B"/>
    <w:rsid w:val="00644EC2"/>
    <w:rsid w:val="00645167"/>
    <w:rsid w:val="00645192"/>
    <w:rsid w:val="006456C5"/>
    <w:rsid w:val="00645B84"/>
    <w:rsid w:val="00645FBC"/>
    <w:rsid w:val="00646188"/>
    <w:rsid w:val="006468F6"/>
    <w:rsid w:val="00646ADA"/>
    <w:rsid w:val="00646D91"/>
    <w:rsid w:val="00646F0F"/>
    <w:rsid w:val="0064737F"/>
    <w:rsid w:val="006473B1"/>
    <w:rsid w:val="006473B7"/>
    <w:rsid w:val="00647556"/>
    <w:rsid w:val="0064768A"/>
    <w:rsid w:val="0064771E"/>
    <w:rsid w:val="00647795"/>
    <w:rsid w:val="006478C5"/>
    <w:rsid w:val="0064790A"/>
    <w:rsid w:val="00647D6C"/>
    <w:rsid w:val="006505A1"/>
    <w:rsid w:val="00650A52"/>
    <w:rsid w:val="00650A9B"/>
    <w:rsid w:val="0065113D"/>
    <w:rsid w:val="00651607"/>
    <w:rsid w:val="00651960"/>
    <w:rsid w:val="006519E7"/>
    <w:rsid w:val="0065273D"/>
    <w:rsid w:val="00652DC6"/>
    <w:rsid w:val="006531D3"/>
    <w:rsid w:val="00653527"/>
    <w:rsid w:val="0065373B"/>
    <w:rsid w:val="006539A7"/>
    <w:rsid w:val="00654728"/>
    <w:rsid w:val="00654E9F"/>
    <w:rsid w:val="00655422"/>
    <w:rsid w:val="006559D7"/>
    <w:rsid w:val="00655CCD"/>
    <w:rsid w:val="0065655C"/>
    <w:rsid w:val="00656C3E"/>
    <w:rsid w:val="00656D90"/>
    <w:rsid w:val="00656E2D"/>
    <w:rsid w:val="006576BB"/>
    <w:rsid w:val="00657777"/>
    <w:rsid w:val="0065791B"/>
    <w:rsid w:val="00657A7E"/>
    <w:rsid w:val="006601D8"/>
    <w:rsid w:val="00660593"/>
    <w:rsid w:val="00660D41"/>
    <w:rsid w:val="006611FB"/>
    <w:rsid w:val="00661284"/>
    <w:rsid w:val="006619B8"/>
    <w:rsid w:val="0066200B"/>
    <w:rsid w:val="00662043"/>
    <w:rsid w:val="00662363"/>
    <w:rsid w:val="0066260F"/>
    <w:rsid w:val="00662B02"/>
    <w:rsid w:val="00662B4A"/>
    <w:rsid w:val="00662D7D"/>
    <w:rsid w:val="00662E3D"/>
    <w:rsid w:val="00663031"/>
    <w:rsid w:val="006636C6"/>
    <w:rsid w:val="00663BAA"/>
    <w:rsid w:val="00663ECD"/>
    <w:rsid w:val="0066459F"/>
    <w:rsid w:val="006647E1"/>
    <w:rsid w:val="00665CA8"/>
    <w:rsid w:val="00666113"/>
    <w:rsid w:val="006664A6"/>
    <w:rsid w:val="006666BE"/>
    <w:rsid w:val="00666799"/>
    <w:rsid w:val="00666E5F"/>
    <w:rsid w:val="00666ED6"/>
    <w:rsid w:val="00666F02"/>
    <w:rsid w:val="006671A6"/>
    <w:rsid w:val="00667302"/>
    <w:rsid w:val="00667694"/>
    <w:rsid w:val="006677A4"/>
    <w:rsid w:val="00667934"/>
    <w:rsid w:val="00667AC9"/>
    <w:rsid w:val="00667DE3"/>
    <w:rsid w:val="00667E33"/>
    <w:rsid w:val="00667E6B"/>
    <w:rsid w:val="00670001"/>
    <w:rsid w:val="006703C3"/>
    <w:rsid w:val="00670643"/>
    <w:rsid w:val="006713E3"/>
    <w:rsid w:val="0067185A"/>
    <w:rsid w:val="00671A25"/>
    <w:rsid w:val="00671D5F"/>
    <w:rsid w:val="0067211A"/>
    <w:rsid w:val="006722F5"/>
    <w:rsid w:val="00672D81"/>
    <w:rsid w:val="00673954"/>
    <w:rsid w:val="00673F0F"/>
    <w:rsid w:val="006741CB"/>
    <w:rsid w:val="006742BF"/>
    <w:rsid w:val="0067500A"/>
    <w:rsid w:val="00675114"/>
    <w:rsid w:val="0067530B"/>
    <w:rsid w:val="00676142"/>
    <w:rsid w:val="0067619C"/>
    <w:rsid w:val="006761CA"/>
    <w:rsid w:val="006768FF"/>
    <w:rsid w:val="00676D6E"/>
    <w:rsid w:val="00677F00"/>
    <w:rsid w:val="00677FB9"/>
    <w:rsid w:val="00677FDC"/>
    <w:rsid w:val="00680221"/>
    <w:rsid w:val="006804D1"/>
    <w:rsid w:val="00680672"/>
    <w:rsid w:val="00680885"/>
    <w:rsid w:val="006811E5"/>
    <w:rsid w:val="0068124D"/>
    <w:rsid w:val="00681572"/>
    <w:rsid w:val="00681733"/>
    <w:rsid w:val="00681A10"/>
    <w:rsid w:val="00681C14"/>
    <w:rsid w:val="00682364"/>
    <w:rsid w:val="00682654"/>
    <w:rsid w:val="00682AC8"/>
    <w:rsid w:val="006831AF"/>
    <w:rsid w:val="006831EF"/>
    <w:rsid w:val="00683577"/>
    <w:rsid w:val="0068362D"/>
    <w:rsid w:val="0068381E"/>
    <w:rsid w:val="00683B9F"/>
    <w:rsid w:val="00684101"/>
    <w:rsid w:val="006848EE"/>
    <w:rsid w:val="006849B9"/>
    <w:rsid w:val="00684C4C"/>
    <w:rsid w:val="0068522A"/>
    <w:rsid w:val="00685849"/>
    <w:rsid w:val="006859B9"/>
    <w:rsid w:val="00686291"/>
    <w:rsid w:val="00686656"/>
    <w:rsid w:val="00686A62"/>
    <w:rsid w:val="00686BC6"/>
    <w:rsid w:val="006871CF"/>
    <w:rsid w:val="00687216"/>
    <w:rsid w:val="006879F7"/>
    <w:rsid w:val="00687C3E"/>
    <w:rsid w:val="00687CC5"/>
    <w:rsid w:val="00690322"/>
    <w:rsid w:val="006908BB"/>
    <w:rsid w:val="00690B1B"/>
    <w:rsid w:val="00690CAD"/>
    <w:rsid w:val="00690E34"/>
    <w:rsid w:val="00690E3F"/>
    <w:rsid w:val="00690F06"/>
    <w:rsid w:val="00690F76"/>
    <w:rsid w:val="00690FD0"/>
    <w:rsid w:val="0069138F"/>
    <w:rsid w:val="0069192B"/>
    <w:rsid w:val="00691DC7"/>
    <w:rsid w:val="006925A7"/>
    <w:rsid w:val="00692A21"/>
    <w:rsid w:val="0069321E"/>
    <w:rsid w:val="0069328B"/>
    <w:rsid w:val="00693413"/>
    <w:rsid w:val="006939EC"/>
    <w:rsid w:val="006941FF"/>
    <w:rsid w:val="0069426B"/>
    <w:rsid w:val="00694A66"/>
    <w:rsid w:val="00694FE1"/>
    <w:rsid w:val="00695104"/>
    <w:rsid w:val="00695142"/>
    <w:rsid w:val="0069515C"/>
    <w:rsid w:val="00695C3D"/>
    <w:rsid w:val="006967FC"/>
    <w:rsid w:val="00696C8C"/>
    <w:rsid w:val="00696E1F"/>
    <w:rsid w:val="00697432"/>
    <w:rsid w:val="00697E62"/>
    <w:rsid w:val="006A006E"/>
    <w:rsid w:val="006A0302"/>
    <w:rsid w:val="006A04F2"/>
    <w:rsid w:val="006A0928"/>
    <w:rsid w:val="006A0A45"/>
    <w:rsid w:val="006A0A95"/>
    <w:rsid w:val="006A187F"/>
    <w:rsid w:val="006A18B6"/>
    <w:rsid w:val="006A230F"/>
    <w:rsid w:val="006A24B6"/>
    <w:rsid w:val="006A2595"/>
    <w:rsid w:val="006A29D4"/>
    <w:rsid w:val="006A2F22"/>
    <w:rsid w:val="006A3AA7"/>
    <w:rsid w:val="006A3B21"/>
    <w:rsid w:val="006A3C01"/>
    <w:rsid w:val="006A44BD"/>
    <w:rsid w:val="006A4AF0"/>
    <w:rsid w:val="006A4AF7"/>
    <w:rsid w:val="006A4E92"/>
    <w:rsid w:val="006A5406"/>
    <w:rsid w:val="006A5537"/>
    <w:rsid w:val="006A5CE9"/>
    <w:rsid w:val="006A641C"/>
    <w:rsid w:val="006A6930"/>
    <w:rsid w:val="006A6BBC"/>
    <w:rsid w:val="006A6E52"/>
    <w:rsid w:val="006A76D7"/>
    <w:rsid w:val="006A785C"/>
    <w:rsid w:val="006A7930"/>
    <w:rsid w:val="006A7B09"/>
    <w:rsid w:val="006A7D34"/>
    <w:rsid w:val="006B0791"/>
    <w:rsid w:val="006B07F3"/>
    <w:rsid w:val="006B11AD"/>
    <w:rsid w:val="006B15F4"/>
    <w:rsid w:val="006B1653"/>
    <w:rsid w:val="006B16E3"/>
    <w:rsid w:val="006B1808"/>
    <w:rsid w:val="006B1AAC"/>
    <w:rsid w:val="006B2023"/>
    <w:rsid w:val="006B2052"/>
    <w:rsid w:val="006B21EC"/>
    <w:rsid w:val="006B257A"/>
    <w:rsid w:val="006B25FC"/>
    <w:rsid w:val="006B28FB"/>
    <w:rsid w:val="006B2B81"/>
    <w:rsid w:val="006B310E"/>
    <w:rsid w:val="006B3291"/>
    <w:rsid w:val="006B3695"/>
    <w:rsid w:val="006B37AD"/>
    <w:rsid w:val="006B3878"/>
    <w:rsid w:val="006B3BB9"/>
    <w:rsid w:val="006B419F"/>
    <w:rsid w:val="006B42BE"/>
    <w:rsid w:val="006B42FB"/>
    <w:rsid w:val="006B4346"/>
    <w:rsid w:val="006B4C9D"/>
    <w:rsid w:val="006B4E98"/>
    <w:rsid w:val="006B5552"/>
    <w:rsid w:val="006B55E0"/>
    <w:rsid w:val="006B5CEC"/>
    <w:rsid w:val="006B6007"/>
    <w:rsid w:val="006B61AC"/>
    <w:rsid w:val="006B6473"/>
    <w:rsid w:val="006B66A3"/>
    <w:rsid w:val="006B6A2A"/>
    <w:rsid w:val="006B769B"/>
    <w:rsid w:val="006B7A16"/>
    <w:rsid w:val="006B7B7C"/>
    <w:rsid w:val="006B7C01"/>
    <w:rsid w:val="006C0093"/>
    <w:rsid w:val="006C00A9"/>
    <w:rsid w:val="006C0468"/>
    <w:rsid w:val="006C081C"/>
    <w:rsid w:val="006C0882"/>
    <w:rsid w:val="006C0B4B"/>
    <w:rsid w:val="006C0E6F"/>
    <w:rsid w:val="006C143C"/>
    <w:rsid w:val="006C16F6"/>
    <w:rsid w:val="006C170D"/>
    <w:rsid w:val="006C1934"/>
    <w:rsid w:val="006C213F"/>
    <w:rsid w:val="006C223D"/>
    <w:rsid w:val="006C23DD"/>
    <w:rsid w:val="006C2430"/>
    <w:rsid w:val="006C289E"/>
    <w:rsid w:val="006C33DD"/>
    <w:rsid w:val="006C3713"/>
    <w:rsid w:val="006C3804"/>
    <w:rsid w:val="006C3988"/>
    <w:rsid w:val="006C3ACF"/>
    <w:rsid w:val="006C3D72"/>
    <w:rsid w:val="006C3EC6"/>
    <w:rsid w:val="006C4085"/>
    <w:rsid w:val="006C4430"/>
    <w:rsid w:val="006C4A1C"/>
    <w:rsid w:val="006C4FC8"/>
    <w:rsid w:val="006C51DD"/>
    <w:rsid w:val="006C5592"/>
    <w:rsid w:val="006C58C1"/>
    <w:rsid w:val="006C6B28"/>
    <w:rsid w:val="006C7307"/>
    <w:rsid w:val="006C76A6"/>
    <w:rsid w:val="006C7872"/>
    <w:rsid w:val="006C7F55"/>
    <w:rsid w:val="006D079E"/>
    <w:rsid w:val="006D0C2F"/>
    <w:rsid w:val="006D1493"/>
    <w:rsid w:val="006D16E3"/>
    <w:rsid w:val="006D1D79"/>
    <w:rsid w:val="006D24CE"/>
    <w:rsid w:val="006D298E"/>
    <w:rsid w:val="006D2A56"/>
    <w:rsid w:val="006D3290"/>
    <w:rsid w:val="006D3721"/>
    <w:rsid w:val="006D37AD"/>
    <w:rsid w:val="006D3EBE"/>
    <w:rsid w:val="006D43B6"/>
    <w:rsid w:val="006D488E"/>
    <w:rsid w:val="006D48E4"/>
    <w:rsid w:val="006D4CFA"/>
    <w:rsid w:val="006D4F09"/>
    <w:rsid w:val="006D50DB"/>
    <w:rsid w:val="006D5218"/>
    <w:rsid w:val="006D52C1"/>
    <w:rsid w:val="006D549C"/>
    <w:rsid w:val="006D59B2"/>
    <w:rsid w:val="006D5D9F"/>
    <w:rsid w:val="006D5F32"/>
    <w:rsid w:val="006D625F"/>
    <w:rsid w:val="006D6984"/>
    <w:rsid w:val="006D6A12"/>
    <w:rsid w:val="006D6AB0"/>
    <w:rsid w:val="006D6C81"/>
    <w:rsid w:val="006D6EB3"/>
    <w:rsid w:val="006D786C"/>
    <w:rsid w:val="006D7882"/>
    <w:rsid w:val="006D7DB8"/>
    <w:rsid w:val="006E0240"/>
    <w:rsid w:val="006E029C"/>
    <w:rsid w:val="006E04C2"/>
    <w:rsid w:val="006E06E4"/>
    <w:rsid w:val="006E09B7"/>
    <w:rsid w:val="006E0D4B"/>
    <w:rsid w:val="006E0EB7"/>
    <w:rsid w:val="006E0F9B"/>
    <w:rsid w:val="006E1D37"/>
    <w:rsid w:val="006E238E"/>
    <w:rsid w:val="006E28E6"/>
    <w:rsid w:val="006E2D65"/>
    <w:rsid w:val="006E2FB9"/>
    <w:rsid w:val="006E3743"/>
    <w:rsid w:val="006E38A2"/>
    <w:rsid w:val="006E3CFA"/>
    <w:rsid w:val="006E3E89"/>
    <w:rsid w:val="006E4020"/>
    <w:rsid w:val="006E4B00"/>
    <w:rsid w:val="006E4BD9"/>
    <w:rsid w:val="006E4E30"/>
    <w:rsid w:val="006E4E60"/>
    <w:rsid w:val="006E4F46"/>
    <w:rsid w:val="006E516D"/>
    <w:rsid w:val="006E53A6"/>
    <w:rsid w:val="006E5407"/>
    <w:rsid w:val="006E553D"/>
    <w:rsid w:val="006E5723"/>
    <w:rsid w:val="006E58A0"/>
    <w:rsid w:val="006E61BC"/>
    <w:rsid w:val="006E61ED"/>
    <w:rsid w:val="006E67B2"/>
    <w:rsid w:val="006E6994"/>
    <w:rsid w:val="006E6AC2"/>
    <w:rsid w:val="006E702A"/>
    <w:rsid w:val="006E7A30"/>
    <w:rsid w:val="006E7B8E"/>
    <w:rsid w:val="006E7F1B"/>
    <w:rsid w:val="006E7FCD"/>
    <w:rsid w:val="006F0CD7"/>
    <w:rsid w:val="006F0E50"/>
    <w:rsid w:val="006F0FF4"/>
    <w:rsid w:val="006F1173"/>
    <w:rsid w:val="006F1282"/>
    <w:rsid w:val="006F1310"/>
    <w:rsid w:val="006F1756"/>
    <w:rsid w:val="006F1E5E"/>
    <w:rsid w:val="006F22DE"/>
    <w:rsid w:val="006F2E4A"/>
    <w:rsid w:val="006F3002"/>
    <w:rsid w:val="006F32FF"/>
    <w:rsid w:val="006F345D"/>
    <w:rsid w:val="006F3745"/>
    <w:rsid w:val="006F3908"/>
    <w:rsid w:val="006F4058"/>
    <w:rsid w:val="006F47FA"/>
    <w:rsid w:val="006F556E"/>
    <w:rsid w:val="006F58FD"/>
    <w:rsid w:val="006F5D6F"/>
    <w:rsid w:val="006F5DE5"/>
    <w:rsid w:val="006F6204"/>
    <w:rsid w:val="006F6350"/>
    <w:rsid w:val="006F6993"/>
    <w:rsid w:val="006F6F96"/>
    <w:rsid w:val="006F6FE0"/>
    <w:rsid w:val="006F70E3"/>
    <w:rsid w:val="006F78E8"/>
    <w:rsid w:val="006F79E1"/>
    <w:rsid w:val="006F7C3E"/>
    <w:rsid w:val="00700099"/>
    <w:rsid w:val="00700248"/>
    <w:rsid w:val="00700A84"/>
    <w:rsid w:val="007016AA"/>
    <w:rsid w:val="00701830"/>
    <w:rsid w:val="0070188E"/>
    <w:rsid w:val="00701A34"/>
    <w:rsid w:val="00701C87"/>
    <w:rsid w:val="007025D9"/>
    <w:rsid w:val="00702AA8"/>
    <w:rsid w:val="00702DBA"/>
    <w:rsid w:val="00702F46"/>
    <w:rsid w:val="00703609"/>
    <w:rsid w:val="007037A5"/>
    <w:rsid w:val="0070455A"/>
    <w:rsid w:val="0070470D"/>
    <w:rsid w:val="007049D3"/>
    <w:rsid w:val="00704D41"/>
    <w:rsid w:val="00704F05"/>
    <w:rsid w:val="007052D8"/>
    <w:rsid w:val="007054DD"/>
    <w:rsid w:val="0070566D"/>
    <w:rsid w:val="0070568D"/>
    <w:rsid w:val="007056F0"/>
    <w:rsid w:val="0070596E"/>
    <w:rsid w:val="007059D0"/>
    <w:rsid w:val="00705B98"/>
    <w:rsid w:val="00705EDB"/>
    <w:rsid w:val="00706092"/>
    <w:rsid w:val="0070623B"/>
    <w:rsid w:val="00706D88"/>
    <w:rsid w:val="0070705C"/>
    <w:rsid w:val="007076B3"/>
    <w:rsid w:val="007076C5"/>
    <w:rsid w:val="00707739"/>
    <w:rsid w:val="0070780F"/>
    <w:rsid w:val="00707C1F"/>
    <w:rsid w:val="00707F8C"/>
    <w:rsid w:val="0071005F"/>
    <w:rsid w:val="007100F4"/>
    <w:rsid w:val="00710331"/>
    <w:rsid w:val="0071044F"/>
    <w:rsid w:val="00710635"/>
    <w:rsid w:val="00710860"/>
    <w:rsid w:val="0071135F"/>
    <w:rsid w:val="0071152F"/>
    <w:rsid w:val="00711637"/>
    <w:rsid w:val="00712EE9"/>
    <w:rsid w:val="00712FA0"/>
    <w:rsid w:val="00713027"/>
    <w:rsid w:val="0071322B"/>
    <w:rsid w:val="00713484"/>
    <w:rsid w:val="0071380E"/>
    <w:rsid w:val="00713844"/>
    <w:rsid w:val="00713907"/>
    <w:rsid w:val="00713910"/>
    <w:rsid w:val="00713B39"/>
    <w:rsid w:val="00713F78"/>
    <w:rsid w:val="0071401D"/>
    <w:rsid w:val="00714022"/>
    <w:rsid w:val="007144D4"/>
    <w:rsid w:val="0071470B"/>
    <w:rsid w:val="00714883"/>
    <w:rsid w:val="00714A57"/>
    <w:rsid w:val="00714D27"/>
    <w:rsid w:val="00714D59"/>
    <w:rsid w:val="00714F81"/>
    <w:rsid w:val="007150A3"/>
    <w:rsid w:val="00715739"/>
    <w:rsid w:val="00715838"/>
    <w:rsid w:val="0071583C"/>
    <w:rsid w:val="007158FB"/>
    <w:rsid w:val="00715917"/>
    <w:rsid w:val="00715CFB"/>
    <w:rsid w:val="00716539"/>
    <w:rsid w:val="00717AF6"/>
    <w:rsid w:val="00717CD1"/>
    <w:rsid w:val="0072010B"/>
    <w:rsid w:val="00720158"/>
    <w:rsid w:val="0072116C"/>
    <w:rsid w:val="007217A4"/>
    <w:rsid w:val="00721C67"/>
    <w:rsid w:val="00721DAE"/>
    <w:rsid w:val="007224A5"/>
    <w:rsid w:val="00722725"/>
    <w:rsid w:val="00722909"/>
    <w:rsid w:val="00722C22"/>
    <w:rsid w:val="0072302F"/>
    <w:rsid w:val="00723BD9"/>
    <w:rsid w:val="00723D29"/>
    <w:rsid w:val="00723FF7"/>
    <w:rsid w:val="0072402F"/>
    <w:rsid w:val="00724040"/>
    <w:rsid w:val="007246CA"/>
    <w:rsid w:val="00724B71"/>
    <w:rsid w:val="00725033"/>
    <w:rsid w:val="007255F7"/>
    <w:rsid w:val="007256E4"/>
    <w:rsid w:val="00725831"/>
    <w:rsid w:val="00725852"/>
    <w:rsid w:val="00725B6E"/>
    <w:rsid w:val="0072658F"/>
    <w:rsid w:val="00726EF2"/>
    <w:rsid w:val="007271B9"/>
    <w:rsid w:val="007271D1"/>
    <w:rsid w:val="00730253"/>
    <w:rsid w:val="007307E2"/>
    <w:rsid w:val="0073089B"/>
    <w:rsid w:val="00730C39"/>
    <w:rsid w:val="00730DC2"/>
    <w:rsid w:val="007314AB"/>
    <w:rsid w:val="00731556"/>
    <w:rsid w:val="007315FF"/>
    <w:rsid w:val="00731840"/>
    <w:rsid w:val="00731B7C"/>
    <w:rsid w:val="00732112"/>
    <w:rsid w:val="007328CD"/>
    <w:rsid w:val="00732F18"/>
    <w:rsid w:val="00733620"/>
    <w:rsid w:val="007338AF"/>
    <w:rsid w:val="00733B86"/>
    <w:rsid w:val="00733E4F"/>
    <w:rsid w:val="00734439"/>
    <w:rsid w:val="00734522"/>
    <w:rsid w:val="00734603"/>
    <w:rsid w:val="007346B5"/>
    <w:rsid w:val="007347BD"/>
    <w:rsid w:val="00734ABA"/>
    <w:rsid w:val="007359F8"/>
    <w:rsid w:val="00735AB9"/>
    <w:rsid w:val="00735D81"/>
    <w:rsid w:val="00735FDE"/>
    <w:rsid w:val="007361F1"/>
    <w:rsid w:val="00736387"/>
    <w:rsid w:val="00736529"/>
    <w:rsid w:val="007365B2"/>
    <w:rsid w:val="00736DDB"/>
    <w:rsid w:val="00736EFF"/>
    <w:rsid w:val="007374BA"/>
    <w:rsid w:val="00737EE2"/>
    <w:rsid w:val="00740315"/>
    <w:rsid w:val="00740385"/>
    <w:rsid w:val="007407EB"/>
    <w:rsid w:val="00740F78"/>
    <w:rsid w:val="00741037"/>
    <w:rsid w:val="007416B6"/>
    <w:rsid w:val="0074182A"/>
    <w:rsid w:val="00741AA5"/>
    <w:rsid w:val="00741D1A"/>
    <w:rsid w:val="00742065"/>
    <w:rsid w:val="00742CAA"/>
    <w:rsid w:val="007430EB"/>
    <w:rsid w:val="007436B8"/>
    <w:rsid w:val="00743B58"/>
    <w:rsid w:val="00743BB0"/>
    <w:rsid w:val="00743E07"/>
    <w:rsid w:val="007440B1"/>
    <w:rsid w:val="007440C3"/>
    <w:rsid w:val="0074439B"/>
    <w:rsid w:val="00744564"/>
    <w:rsid w:val="007445BE"/>
    <w:rsid w:val="00744D77"/>
    <w:rsid w:val="0074517F"/>
    <w:rsid w:val="0074553F"/>
    <w:rsid w:val="00745A78"/>
    <w:rsid w:val="00745BC3"/>
    <w:rsid w:val="00745C20"/>
    <w:rsid w:val="00745C2B"/>
    <w:rsid w:val="00745CC5"/>
    <w:rsid w:val="007469B5"/>
    <w:rsid w:val="00746B17"/>
    <w:rsid w:val="00746B8E"/>
    <w:rsid w:val="00746C43"/>
    <w:rsid w:val="0074777B"/>
    <w:rsid w:val="0074789E"/>
    <w:rsid w:val="00747BF6"/>
    <w:rsid w:val="00750081"/>
    <w:rsid w:val="007502A1"/>
    <w:rsid w:val="007507E9"/>
    <w:rsid w:val="00750D55"/>
    <w:rsid w:val="007511C3"/>
    <w:rsid w:val="00752698"/>
    <w:rsid w:val="00752898"/>
    <w:rsid w:val="007530F6"/>
    <w:rsid w:val="007532FB"/>
    <w:rsid w:val="00753353"/>
    <w:rsid w:val="007533B9"/>
    <w:rsid w:val="0075344E"/>
    <w:rsid w:val="00753458"/>
    <w:rsid w:val="007534F1"/>
    <w:rsid w:val="00753C61"/>
    <w:rsid w:val="00754457"/>
    <w:rsid w:val="0075483B"/>
    <w:rsid w:val="007549E3"/>
    <w:rsid w:val="00754D39"/>
    <w:rsid w:val="0075529F"/>
    <w:rsid w:val="007553B9"/>
    <w:rsid w:val="00756166"/>
    <w:rsid w:val="00756520"/>
    <w:rsid w:val="00756DAC"/>
    <w:rsid w:val="00756FA9"/>
    <w:rsid w:val="007570D1"/>
    <w:rsid w:val="00757274"/>
    <w:rsid w:val="00757F54"/>
    <w:rsid w:val="007601B2"/>
    <w:rsid w:val="007603B9"/>
    <w:rsid w:val="007603D5"/>
    <w:rsid w:val="007604E8"/>
    <w:rsid w:val="007608D8"/>
    <w:rsid w:val="00760DA0"/>
    <w:rsid w:val="00761071"/>
    <w:rsid w:val="0076111C"/>
    <w:rsid w:val="007614F4"/>
    <w:rsid w:val="00761C9F"/>
    <w:rsid w:val="00762AF1"/>
    <w:rsid w:val="00763323"/>
    <w:rsid w:val="00763400"/>
    <w:rsid w:val="00763545"/>
    <w:rsid w:val="00763D81"/>
    <w:rsid w:val="00764050"/>
    <w:rsid w:val="00765100"/>
    <w:rsid w:val="00765298"/>
    <w:rsid w:val="00765591"/>
    <w:rsid w:val="007656EE"/>
    <w:rsid w:val="00765E12"/>
    <w:rsid w:val="00765EC6"/>
    <w:rsid w:val="0076634B"/>
    <w:rsid w:val="00766701"/>
    <w:rsid w:val="007667A9"/>
    <w:rsid w:val="00766F23"/>
    <w:rsid w:val="007671EA"/>
    <w:rsid w:val="00767625"/>
    <w:rsid w:val="00767BC1"/>
    <w:rsid w:val="0077046D"/>
    <w:rsid w:val="00770867"/>
    <w:rsid w:val="00770C09"/>
    <w:rsid w:val="00771052"/>
    <w:rsid w:val="00771073"/>
    <w:rsid w:val="00771244"/>
    <w:rsid w:val="00771297"/>
    <w:rsid w:val="007713D5"/>
    <w:rsid w:val="0077146A"/>
    <w:rsid w:val="00771CD9"/>
    <w:rsid w:val="00771F89"/>
    <w:rsid w:val="0077256A"/>
    <w:rsid w:val="00772C6F"/>
    <w:rsid w:val="0077348F"/>
    <w:rsid w:val="0077350C"/>
    <w:rsid w:val="00773687"/>
    <w:rsid w:val="0077395E"/>
    <w:rsid w:val="007740EC"/>
    <w:rsid w:val="00774179"/>
    <w:rsid w:val="007744EE"/>
    <w:rsid w:val="007745B2"/>
    <w:rsid w:val="00774E68"/>
    <w:rsid w:val="007751E8"/>
    <w:rsid w:val="00775386"/>
    <w:rsid w:val="00775857"/>
    <w:rsid w:val="00775EBC"/>
    <w:rsid w:val="007764CF"/>
    <w:rsid w:val="0077662F"/>
    <w:rsid w:val="00776719"/>
    <w:rsid w:val="00776AF5"/>
    <w:rsid w:val="00777290"/>
    <w:rsid w:val="0077788C"/>
    <w:rsid w:val="00777941"/>
    <w:rsid w:val="00777E5F"/>
    <w:rsid w:val="00777EC3"/>
    <w:rsid w:val="00780222"/>
    <w:rsid w:val="00780407"/>
    <w:rsid w:val="00780897"/>
    <w:rsid w:val="00780AEC"/>
    <w:rsid w:val="00780BB1"/>
    <w:rsid w:val="00780F37"/>
    <w:rsid w:val="00781D9C"/>
    <w:rsid w:val="00781E3D"/>
    <w:rsid w:val="00781EE0"/>
    <w:rsid w:val="00781F4C"/>
    <w:rsid w:val="00782597"/>
    <w:rsid w:val="00782C8D"/>
    <w:rsid w:val="00782DAF"/>
    <w:rsid w:val="00783884"/>
    <w:rsid w:val="00783BC7"/>
    <w:rsid w:val="00783C1E"/>
    <w:rsid w:val="00783C9D"/>
    <w:rsid w:val="00784944"/>
    <w:rsid w:val="00784BCA"/>
    <w:rsid w:val="0078562C"/>
    <w:rsid w:val="007858A5"/>
    <w:rsid w:val="00785DCB"/>
    <w:rsid w:val="00786B1C"/>
    <w:rsid w:val="00787B65"/>
    <w:rsid w:val="00787BC8"/>
    <w:rsid w:val="00787D3C"/>
    <w:rsid w:val="00787EBE"/>
    <w:rsid w:val="0079049F"/>
    <w:rsid w:val="00790537"/>
    <w:rsid w:val="00790ADB"/>
    <w:rsid w:val="00790CDA"/>
    <w:rsid w:val="00791E8B"/>
    <w:rsid w:val="0079226E"/>
    <w:rsid w:val="007922A4"/>
    <w:rsid w:val="0079253F"/>
    <w:rsid w:val="00792DA2"/>
    <w:rsid w:val="0079306D"/>
    <w:rsid w:val="00793160"/>
    <w:rsid w:val="00793A7B"/>
    <w:rsid w:val="00793D9D"/>
    <w:rsid w:val="00793F4D"/>
    <w:rsid w:val="00793FC9"/>
    <w:rsid w:val="007946AE"/>
    <w:rsid w:val="00794912"/>
    <w:rsid w:val="00794BE9"/>
    <w:rsid w:val="0079549A"/>
    <w:rsid w:val="00795709"/>
    <w:rsid w:val="00796B20"/>
    <w:rsid w:val="00797241"/>
    <w:rsid w:val="007972A9"/>
    <w:rsid w:val="007973F9"/>
    <w:rsid w:val="0079799B"/>
    <w:rsid w:val="007979D5"/>
    <w:rsid w:val="00797CF0"/>
    <w:rsid w:val="007A029A"/>
    <w:rsid w:val="007A1518"/>
    <w:rsid w:val="007A192F"/>
    <w:rsid w:val="007A1F09"/>
    <w:rsid w:val="007A252B"/>
    <w:rsid w:val="007A25C3"/>
    <w:rsid w:val="007A2A67"/>
    <w:rsid w:val="007A30B8"/>
    <w:rsid w:val="007A32A3"/>
    <w:rsid w:val="007A3C5E"/>
    <w:rsid w:val="007A3C82"/>
    <w:rsid w:val="007A3CCC"/>
    <w:rsid w:val="007A42A4"/>
    <w:rsid w:val="007A473C"/>
    <w:rsid w:val="007A4776"/>
    <w:rsid w:val="007A4E95"/>
    <w:rsid w:val="007A563E"/>
    <w:rsid w:val="007A5726"/>
    <w:rsid w:val="007A57C3"/>
    <w:rsid w:val="007A5955"/>
    <w:rsid w:val="007A5AC8"/>
    <w:rsid w:val="007A6271"/>
    <w:rsid w:val="007A65E4"/>
    <w:rsid w:val="007A6B90"/>
    <w:rsid w:val="007A719A"/>
    <w:rsid w:val="007A72D1"/>
    <w:rsid w:val="007A7878"/>
    <w:rsid w:val="007B001B"/>
    <w:rsid w:val="007B048E"/>
    <w:rsid w:val="007B049C"/>
    <w:rsid w:val="007B0CFE"/>
    <w:rsid w:val="007B0EC9"/>
    <w:rsid w:val="007B0F27"/>
    <w:rsid w:val="007B11D1"/>
    <w:rsid w:val="007B1465"/>
    <w:rsid w:val="007B154B"/>
    <w:rsid w:val="007B174D"/>
    <w:rsid w:val="007B1857"/>
    <w:rsid w:val="007B1864"/>
    <w:rsid w:val="007B2279"/>
    <w:rsid w:val="007B2466"/>
    <w:rsid w:val="007B2555"/>
    <w:rsid w:val="007B26C1"/>
    <w:rsid w:val="007B2E1A"/>
    <w:rsid w:val="007B2F5A"/>
    <w:rsid w:val="007B3123"/>
    <w:rsid w:val="007B3661"/>
    <w:rsid w:val="007B397D"/>
    <w:rsid w:val="007B3FF5"/>
    <w:rsid w:val="007B407A"/>
    <w:rsid w:val="007B486C"/>
    <w:rsid w:val="007B48D3"/>
    <w:rsid w:val="007B4DEA"/>
    <w:rsid w:val="007B4FC2"/>
    <w:rsid w:val="007B51F1"/>
    <w:rsid w:val="007B53EC"/>
    <w:rsid w:val="007B555C"/>
    <w:rsid w:val="007B55AE"/>
    <w:rsid w:val="007B567C"/>
    <w:rsid w:val="007B6104"/>
    <w:rsid w:val="007B66FB"/>
    <w:rsid w:val="007B6BFC"/>
    <w:rsid w:val="007B6C3F"/>
    <w:rsid w:val="007B736E"/>
    <w:rsid w:val="007B73C7"/>
    <w:rsid w:val="007B7780"/>
    <w:rsid w:val="007B7AEA"/>
    <w:rsid w:val="007B7C49"/>
    <w:rsid w:val="007B7ED8"/>
    <w:rsid w:val="007C040B"/>
    <w:rsid w:val="007C05EC"/>
    <w:rsid w:val="007C0666"/>
    <w:rsid w:val="007C0C37"/>
    <w:rsid w:val="007C0C76"/>
    <w:rsid w:val="007C1427"/>
    <w:rsid w:val="007C1BA5"/>
    <w:rsid w:val="007C23DB"/>
    <w:rsid w:val="007C269C"/>
    <w:rsid w:val="007C2725"/>
    <w:rsid w:val="007C27FF"/>
    <w:rsid w:val="007C34E3"/>
    <w:rsid w:val="007C37DC"/>
    <w:rsid w:val="007C3EF6"/>
    <w:rsid w:val="007C4233"/>
    <w:rsid w:val="007C4283"/>
    <w:rsid w:val="007C454B"/>
    <w:rsid w:val="007C4EF9"/>
    <w:rsid w:val="007C5087"/>
    <w:rsid w:val="007C54CE"/>
    <w:rsid w:val="007C6097"/>
    <w:rsid w:val="007C6545"/>
    <w:rsid w:val="007C65F4"/>
    <w:rsid w:val="007C6899"/>
    <w:rsid w:val="007C6DD6"/>
    <w:rsid w:val="007C72A5"/>
    <w:rsid w:val="007C7AA1"/>
    <w:rsid w:val="007C7FB8"/>
    <w:rsid w:val="007D0F67"/>
    <w:rsid w:val="007D132C"/>
    <w:rsid w:val="007D1B64"/>
    <w:rsid w:val="007D1D3B"/>
    <w:rsid w:val="007D2315"/>
    <w:rsid w:val="007D2C7D"/>
    <w:rsid w:val="007D3573"/>
    <w:rsid w:val="007D3C4D"/>
    <w:rsid w:val="007D3EAF"/>
    <w:rsid w:val="007D4178"/>
    <w:rsid w:val="007D4940"/>
    <w:rsid w:val="007D4A02"/>
    <w:rsid w:val="007D4E01"/>
    <w:rsid w:val="007D4E50"/>
    <w:rsid w:val="007D513B"/>
    <w:rsid w:val="007D561A"/>
    <w:rsid w:val="007D5D7B"/>
    <w:rsid w:val="007D6E97"/>
    <w:rsid w:val="007D7540"/>
    <w:rsid w:val="007D7B58"/>
    <w:rsid w:val="007D7FDA"/>
    <w:rsid w:val="007E00F9"/>
    <w:rsid w:val="007E03F5"/>
    <w:rsid w:val="007E076C"/>
    <w:rsid w:val="007E0977"/>
    <w:rsid w:val="007E0D95"/>
    <w:rsid w:val="007E0DB9"/>
    <w:rsid w:val="007E1015"/>
    <w:rsid w:val="007E1045"/>
    <w:rsid w:val="007E110F"/>
    <w:rsid w:val="007E168C"/>
    <w:rsid w:val="007E16D0"/>
    <w:rsid w:val="007E1741"/>
    <w:rsid w:val="007E1B27"/>
    <w:rsid w:val="007E1C54"/>
    <w:rsid w:val="007E23B8"/>
    <w:rsid w:val="007E278E"/>
    <w:rsid w:val="007E2AAA"/>
    <w:rsid w:val="007E2C52"/>
    <w:rsid w:val="007E2CC9"/>
    <w:rsid w:val="007E2D08"/>
    <w:rsid w:val="007E2DF7"/>
    <w:rsid w:val="007E2E2C"/>
    <w:rsid w:val="007E323F"/>
    <w:rsid w:val="007E3289"/>
    <w:rsid w:val="007E347A"/>
    <w:rsid w:val="007E3906"/>
    <w:rsid w:val="007E39E4"/>
    <w:rsid w:val="007E3CD1"/>
    <w:rsid w:val="007E41F2"/>
    <w:rsid w:val="007E4DAF"/>
    <w:rsid w:val="007E5904"/>
    <w:rsid w:val="007E5A48"/>
    <w:rsid w:val="007E5CF8"/>
    <w:rsid w:val="007E5E8A"/>
    <w:rsid w:val="007E5F5E"/>
    <w:rsid w:val="007E600B"/>
    <w:rsid w:val="007E64C8"/>
    <w:rsid w:val="007E6696"/>
    <w:rsid w:val="007E6F00"/>
    <w:rsid w:val="007E78BC"/>
    <w:rsid w:val="007E79E8"/>
    <w:rsid w:val="007E7E2C"/>
    <w:rsid w:val="007F03B7"/>
    <w:rsid w:val="007F0410"/>
    <w:rsid w:val="007F07BA"/>
    <w:rsid w:val="007F0C2B"/>
    <w:rsid w:val="007F0EDF"/>
    <w:rsid w:val="007F1199"/>
    <w:rsid w:val="007F1438"/>
    <w:rsid w:val="007F1612"/>
    <w:rsid w:val="007F1724"/>
    <w:rsid w:val="007F1AD7"/>
    <w:rsid w:val="007F1E2A"/>
    <w:rsid w:val="007F245F"/>
    <w:rsid w:val="007F2704"/>
    <w:rsid w:val="007F2A74"/>
    <w:rsid w:val="007F2E09"/>
    <w:rsid w:val="007F33F4"/>
    <w:rsid w:val="007F3495"/>
    <w:rsid w:val="007F3637"/>
    <w:rsid w:val="007F391C"/>
    <w:rsid w:val="007F3CD7"/>
    <w:rsid w:val="007F3E7A"/>
    <w:rsid w:val="007F3FE6"/>
    <w:rsid w:val="007F4506"/>
    <w:rsid w:val="007F4A01"/>
    <w:rsid w:val="007F4E90"/>
    <w:rsid w:val="007F50AA"/>
    <w:rsid w:val="007F51AD"/>
    <w:rsid w:val="007F5429"/>
    <w:rsid w:val="007F55B5"/>
    <w:rsid w:val="007F565F"/>
    <w:rsid w:val="007F5C0B"/>
    <w:rsid w:val="007F6040"/>
    <w:rsid w:val="007F60A4"/>
    <w:rsid w:val="007F6192"/>
    <w:rsid w:val="007F6848"/>
    <w:rsid w:val="007F6E1C"/>
    <w:rsid w:val="007F7353"/>
    <w:rsid w:val="007F749D"/>
    <w:rsid w:val="007F7562"/>
    <w:rsid w:val="007F765C"/>
    <w:rsid w:val="007F770E"/>
    <w:rsid w:val="0080064B"/>
    <w:rsid w:val="00800697"/>
    <w:rsid w:val="00800C33"/>
    <w:rsid w:val="00800F7F"/>
    <w:rsid w:val="008014A9"/>
    <w:rsid w:val="00801985"/>
    <w:rsid w:val="00801B1A"/>
    <w:rsid w:val="00801F07"/>
    <w:rsid w:val="008020E9"/>
    <w:rsid w:val="00802414"/>
    <w:rsid w:val="008025AD"/>
    <w:rsid w:val="008026B1"/>
    <w:rsid w:val="00802990"/>
    <w:rsid w:val="00802A46"/>
    <w:rsid w:val="00802D54"/>
    <w:rsid w:val="00803608"/>
    <w:rsid w:val="0080369F"/>
    <w:rsid w:val="00804280"/>
    <w:rsid w:val="00804317"/>
    <w:rsid w:val="00804A05"/>
    <w:rsid w:val="008051FF"/>
    <w:rsid w:val="00805602"/>
    <w:rsid w:val="008056A1"/>
    <w:rsid w:val="00805B44"/>
    <w:rsid w:val="00805E79"/>
    <w:rsid w:val="00805F8A"/>
    <w:rsid w:val="0080625F"/>
    <w:rsid w:val="00806375"/>
    <w:rsid w:val="008064BC"/>
    <w:rsid w:val="0080677E"/>
    <w:rsid w:val="00806B7E"/>
    <w:rsid w:val="00807415"/>
    <w:rsid w:val="00807476"/>
    <w:rsid w:val="008075A0"/>
    <w:rsid w:val="00807DA5"/>
    <w:rsid w:val="00810494"/>
    <w:rsid w:val="00810E63"/>
    <w:rsid w:val="00811DDA"/>
    <w:rsid w:val="008126EF"/>
    <w:rsid w:val="0081275C"/>
    <w:rsid w:val="00812CC3"/>
    <w:rsid w:val="00812ED4"/>
    <w:rsid w:val="00813601"/>
    <w:rsid w:val="0081397D"/>
    <w:rsid w:val="008141CA"/>
    <w:rsid w:val="0081435B"/>
    <w:rsid w:val="00814E1A"/>
    <w:rsid w:val="00814EA5"/>
    <w:rsid w:val="0081586E"/>
    <w:rsid w:val="00815A93"/>
    <w:rsid w:val="00815DE8"/>
    <w:rsid w:val="00816433"/>
    <w:rsid w:val="0081647C"/>
    <w:rsid w:val="0081652C"/>
    <w:rsid w:val="008172D6"/>
    <w:rsid w:val="00817407"/>
    <w:rsid w:val="008176D1"/>
    <w:rsid w:val="008178D1"/>
    <w:rsid w:val="00817B9C"/>
    <w:rsid w:val="008201FC"/>
    <w:rsid w:val="008209C9"/>
    <w:rsid w:val="0082108D"/>
    <w:rsid w:val="0082191E"/>
    <w:rsid w:val="00821A09"/>
    <w:rsid w:val="00821F37"/>
    <w:rsid w:val="008220D2"/>
    <w:rsid w:val="00822342"/>
    <w:rsid w:val="00822DFE"/>
    <w:rsid w:val="0082300E"/>
    <w:rsid w:val="0082319D"/>
    <w:rsid w:val="00823503"/>
    <w:rsid w:val="00823CCB"/>
    <w:rsid w:val="00824143"/>
    <w:rsid w:val="0082437C"/>
    <w:rsid w:val="0082460C"/>
    <w:rsid w:val="008247BE"/>
    <w:rsid w:val="008247E8"/>
    <w:rsid w:val="00824C41"/>
    <w:rsid w:val="00824F04"/>
    <w:rsid w:val="00825402"/>
    <w:rsid w:val="00825619"/>
    <w:rsid w:val="00826080"/>
    <w:rsid w:val="00826252"/>
    <w:rsid w:val="008264B1"/>
    <w:rsid w:val="008264E6"/>
    <w:rsid w:val="0082689B"/>
    <w:rsid w:val="00827696"/>
    <w:rsid w:val="0082796A"/>
    <w:rsid w:val="00827AB2"/>
    <w:rsid w:val="00830D50"/>
    <w:rsid w:val="008311BC"/>
    <w:rsid w:val="00831608"/>
    <w:rsid w:val="00831C6A"/>
    <w:rsid w:val="00831D03"/>
    <w:rsid w:val="0083281E"/>
    <w:rsid w:val="00832858"/>
    <w:rsid w:val="008328B5"/>
    <w:rsid w:val="008333D8"/>
    <w:rsid w:val="008335D3"/>
    <w:rsid w:val="008337AA"/>
    <w:rsid w:val="00833CC6"/>
    <w:rsid w:val="00834093"/>
    <w:rsid w:val="008340A5"/>
    <w:rsid w:val="00834478"/>
    <w:rsid w:val="00834480"/>
    <w:rsid w:val="0083487D"/>
    <w:rsid w:val="0083525D"/>
    <w:rsid w:val="00836074"/>
    <w:rsid w:val="008363DB"/>
    <w:rsid w:val="00836804"/>
    <w:rsid w:val="00836D5D"/>
    <w:rsid w:val="00836ECD"/>
    <w:rsid w:val="00836EDE"/>
    <w:rsid w:val="008370B1"/>
    <w:rsid w:val="00837537"/>
    <w:rsid w:val="00837803"/>
    <w:rsid w:val="00837D45"/>
    <w:rsid w:val="00840BF8"/>
    <w:rsid w:val="00841009"/>
    <w:rsid w:val="0084107C"/>
    <w:rsid w:val="00841507"/>
    <w:rsid w:val="00841841"/>
    <w:rsid w:val="008419D6"/>
    <w:rsid w:val="00842AF4"/>
    <w:rsid w:val="00843059"/>
    <w:rsid w:val="00843092"/>
    <w:rsid w:val="008431C4"/>
    <w:rsid w:val="00843217"/>
    <w:rsid w:val="00843400"/>
    <w:rsid w:val="008438F5"/>
    <w:rsid w:val="00843C95"/>
    <w:rsid w:val="00844481"/>
    <w:rsid w:val="00844725"/>
    <w:rsid w:val="00844805"/>
    <w:rsid w:val="00844BA1"/>
    <w:rsid w:val="00844CFA"/>
    <w:rsid w:val="00844F42"/>
    <w:rsid w:val="008453A6"/>
    <w:rsid w:val="00845619"/>
    <w:rsid w:val="00845A70"/>
    <w:rsid w:val="00845DFC"/>
    <w:rsid w:val="00846199"/>
    <w:rsid w:val="008461D4"/>
    <w:rsid w:val="0084651F"/>
    <w:rsid w:val="00846A26"/>
    <w:rsid w:val="00846BB9"/>
    <w:rsid w:val="00847805"/>
    <w:rsid w:val="00847BC6"/>
    <w:rsid w:val="00850071"/>
    <w:rsid w:val="008510FC"/>
    <w:rsid w:val="00851D27"/>
    <w:rsid w:val="00851EA2"/>
    <w:rsid w:val="00852139"/>
    <w:rsid w:val="00852662"/>
    <w:rsid w:val="008526A3"/>
    <w:rsid w:val="00852798"/>
    <w:rsid w:val="00852CB4"/>
    <w:rsid w:val="00852E58"/>
    <w:rsid w:val="00852F33"/>
    <w:rsid w:val="00853124"/>
    <w:rsid w:val="008538C2"/>
    <w:rsid w:val="00853A19"/>
    <w:rsid w:val="00853E64"/>
    <w:rsid w:val="00854482"/>
    <w:rsid w:val="008548D3"/>
    <w:rsid w:val="00854C61"/>
    <w:rsid w:val="00854E05"/>
    <w:rsid w:val="00855726"/>
    <w:rsid w:val="00855961"/>
    <w:rsid w:val="00855CAC"/>
    <w:rsid w:val="00855D86"/>
    <w:rsid w:val="00856411"/>
    <w:rsid w:val="00856574"/>
    <w:rsid w:val="00856762"/>
    <w:rsid w:val="00856930"/>
    <w:rsid w:val="00856991"/>
    <w:rsid w:val="00856F39"/>
    <w:rsid w:val="0085718C"/>
    <w:rsid w:val="008579AC"/>
    <w:rsid w:val="00857B97"/>
    <w:rsid w:val="00857C45"/>
    <w:rsid w:val="00857E16"/>
    <w:rsid w:val="00857E2D"/>
    <w:rsid w:val="00857EFE"/>
    <w:rsid w:val="00860047"/>
    <w:rsid w:val="0086025B"/>
    <w:rsid w:val="008607B7"/>
    <w:rsid w:val="0086090F"/>
    <w:rsid w:val="008618FA"/>
    <w:rsid w:val="00862159"/>
    <w:rsid w:val="008621CE"/>
    <w:rsid w:val="0086232D"/>
    <w:rsid w:val="00862359"/>
    <w:rsid w:val="008623DB"/>
    <w:rsid w:val="00862950"/>
    <w:rsid w:val="00863462"/>
    <w:rsid w:val="00863611"/>
    <w:rsid w:val="00863874"/>
    <w:rsid w:val="0086431A"/>
    <w:rsid w:val="00864396"/>
    <w:rsid w:val="0086451C"/>
    <w:rsid w:val="0086460C"/>
    <w:rsid w:val="00864624"/>
    <w:rsid w:val="0086537D"/>
    <w:rsid w:val="0086548B"/>
    <w:rsid w:val="00865EA1"/>
    <w:rsid w:val="00866735"/>
    <w:rsid w:val="008669C7"/>
    <w:rsid w:val="00866D9E"/>
    <w:rsid w:val="00866F18"/>
    <w:rsid w:val="00866F9D"/>
    <w:rsid w:val="00867186"/>
    <w:rsid w:val="00867448"/>
    <w:rsid w:val="00867A4E"/>
    <w:rsid w:val="00867ADF"/>
    <w:rsid w:val="008710B8"/>
    <w:rsid w:val="0087123B"/>
    <w:rsid w:val="00871311"/>
    <w:rsid w:val="00871435"/>
    <w:rsid w:val="00871441"/>
    <w:rsid w:val="008714C3"/>
    <w:rsid w:val="008716D0"/>
    <w:rsid w:val="00871747"/>
    <w:rsid w:val="008718CE"/>
    <w:rsid w:val="0087218A"/>
    <w:rsid w:val="00872740"/>
    <w:rsid w:val="00872DE6"/>
    <w:rsid w:val="00873420"/>
    <w:rsid w:val="008734BE"/>
    <w:rsid w:val="008745C8"/>
    <w:rsid w:val="00874890"/>
    <w:rsid w:val="00874C67"/>
    <w:rsid w:val="0087530D"/>
    <w:rsid w:val="0087555C"/>
    <w:rsid w:val="00875808"/>
    <w:rsid w:val="00875EFC"/>
    <w:rsid w:val="00875F21"/>
    <w:rsid w:val="008764A6"/>
    <w:rsid w:val="008767EB"/>
    <w:rsid w:val="00876AA5"/>
    <w:rsid w:val="00876B1D"/>
    <w:rsid w:val="00876BFA"/>
    <w:rsid w:val="00876FD1"/>
    <w:rsid w:val="0087724A"/>
    <w:rsid w:val="00877550"/>
    <w:rsid w:val="00877A36"/>
    <w:rsid w:val="00881599"/>
    <w:rsid w:val="008815C2"/>
    <w:rsid w:val="00881E4D"/>
    <w:rsid w:val="00881EAF"/>
    <w:rsid w:val="0088224A"/>
    <w:rsid w:val="0088264C"/>
    <w:rsid w:val="00882747"/>
    <w:rsid w:val="00882775"/>
    <w:rsid w:val="00883053"/>
    <w:rsid w:val="00883776"/>
    <w:rsid w:val="008841AB"/>
    <w:rsid w:val="00884547"/>
    <w:rsid w:val="00884BFF"/>
    <w:rsid w:val="00884D4B"/>
    <w:rsid w:val="00884FC1"/>
    <w:rsid w:val="008851A3"/>
    <w:rsid w:val="008856DF"/>
    <w:rsid w:val="00885728"/>
    <w:rsid w:val="00885805"/>
    <w:rsid w:val="00885871"/>
    <w:rsid w:val="00885B6F"/>
    <w:rsid w:val="00885CFA"/>
    <w:rsid w:val="0088671A"/>
    <w:rsid w:val="0088683E"/>
    <w:rsid w:val="008870A6"/>
    <w:rsid w:val="008871F7"/>
    <w:rsid w:val="00887549"/>
    <w:rsid w:val="00887630"/>
    <w:rsid w:val="00887F0E"/>
    <w:rsid w:val="00890D97"/>
    <w:rsid w:val="00890E92"/>
    <w:rsid w:val="00891038"/>
    <w:rsid w:val="00891766"/>
    <w:rsid w:val="00891C50"/>
    <w:rsid w:val="00892330"/>
    <w:rsid w:val="008927BE"/>
    <w:rsid w:val="00892978"/>
    <w:rsid w:val="00892E10"/>
    <w:rsid w:val="008932F7"/>
    <w:rsid w:val="00893650"/>
    <w:rsid w:val="0089394C"/>
    <w:rsid w:val="00893BE5"/>
    <w:rsid w:val="00893D8E"/>
    <w:rsid w:val="0089476C"/>
    <w:rsid w:val="00894955"/>
    <w:rsid w:val="00895550"/>
    <w:rsid w:val="00895639"/>
    <w:rsid w:val="00895F50"/>
    <w:rsid w:val="008964A0"/>
    <w:rsid w:val="008967E8"/>
    <w:rsid w:val="00896A46"/>
    <w:rsid w:val="0089723A"/>
    <w:rsid w:val="00897864"/>
    <w:rsid w:val="00897C8B"/>
    <w:rsid w:val="00897D2D"/>
    <w:rsid w:val="00897D88"/>
    <w:rsid w:val="00897DE1"/>
    <w:rsid w:val="008A0226"/>
    <w:rsid w:val="008A0772"/>
    <w:rsid w:val="008A07ED"/>
    <w:rsid w:val="008A087B"/>
    <w:rsid w:val="008A0AE9"/>
    <w:rsid w:val="008A0E5A"/>
    <w:rsid w:val="008A101E"/>
    <w:rsid w:val="008A1845"/>
    <w:rsid w:val="008A188E"/>
    <w:rsid w:val="008A2159"/>
    <w:rsid w:val="008A277D"/>
    <w:rsid w:val="008A3794"/>
    <w:rsid w:val="008A39FB"/>
    <w:rsid w:val="008A3D36"/>
    <w:rsid w:val="008A4382"/>
    <w:rsid w:val="008A472A"/>
    <w:rsid w:val="008A4ACD"/>
    <w:rsid w:val="008A4B69"/>
    <w:rsid w:val="008A505C"/>
    <w:rsid w:val="008A57BB"/>
    <w:rsid w:val="008A5810"/>
    <w:rsid w:val="008A58E0"/>
    <w:rsid w:val="008A62B9"/>
    <w:rsid w:val="008A62EE"/>
    <w:rsid w:val="008A644A"/>
    <w:rsid w:val="008A6FBF"/>
    <w:rsid w:val="008A7014"/>
    <w:rsid w:val="008A72ED"/>
    <w:rsid w:val="008A7476"/>
    <w:rsid w:val="008A9CE3"/>
    <w:rsid w:val="008B0068"/>
    <w:rsid w:val="008B06CC"/>
    <w:rsid w:val="008B06DC"/>
    <w:rsid w:val="008B107C"/>
    <w:rsid w:val="008B175A"/>
    <w:rsid w:val="008B1A72"/>
    <w:rsid w:val="008B1A8B"/>
    <w:rsid w:val="008B1BE3"/>
    <w:rsid w:val="008B1DC1"/>
    <w:rsid w:val="008B1ECA"/>
    <w:rsid w:val="008B1F51"/>
    <w:rsid w:val="008B20AA"/>
    <w:rsid w:val="008B25C1"/>
    <w:rsid w:val="008B2724"/>
    <w:rsid w:val="008B344D"/>
    <w:rsid w:val="008B3D45"/>
    <w:rsid w:val="008B3D5E"/>
    <w:rsid w:val="008B4394"/>
    <w:rsid w:val="008B445A"/>
    <w:rsid w:val="008B46F7"/>
    <w:rsid w:val="008B473D"/>
    <w:rsid w:val="008B4855"/>
    <w:rsid w:val="008B4E8F"/>
    <w:rsid w:val="008B51EF"/>
    <w:rsid w:val="008B570A"/>
    <w:rsid w:val="008B5924"/>
    <w:rsid w:val="008B59AD"/>
    <w:rsid w:val="008B6920"/>
    <w:rsid w:val="008B69BC"/>
    <w:rsid w:val="008B6ED0"/>
    <w:rsid w:val="008B7016"/>
    <w:rsid w:val="008B7059"/>
    <w:rsid w:val="008B70C7"/>
    <w:rsid w:val="008B713B"/>
    <w:rsid w:val="008B7169"/>
    <w:rsid w:val="008B7363"/>
    <w:rsid w:val="008B7B0B"/>
    <w:rsid w:val="008B7FF1"/>
    <w:rsid w:val="008C0048"/>
    <w:rsid w:val="008C0730"/>
    <w:rsid w:val="008C0BEA"/>
    <w:rsid w:val="008C0EA0"/>
    <w:rsid w:val="008C16BD"/>
    <w:rsid w:val="008C1848"/>
    <w:rsid w:val="008C19B3"/>
    <w:rsid w:val="008C2641"/>
    <w:rsid w:val="008C284F"/>
    <w:rsid w:val="008C2B90"/>
    <w:rsid w:val="008C2C3E"/>
    <w:rsid w:val="008C2E3C"/>
    <w:rsid w:val="008C3959"/>
    <w:rsid w:val="008C3D90"/>
    <w:rsid w:val="008C430F"/>
    <w:rsid w:val="008C4A60"/>
    <w:rsid w:val="008C4A7D"/>
    <w:rsid w:val="008C5391"/>
    <w:rsid w:val="008C53E2"/>
    <w:rsid w:val="008C53FC"/>
    <w:rsid w:val="008C5724"/>
    <w:rsid w:val="008C57C8"/>
    <w:rsid w:val="008C59EF"/>
    <w:rsid w:val="008C5FB8"/>
    <w:rsid w:val="008C611F"/>
    <w:rsid w:val="008C6126"/>
    <w:rsid w:val="008C648A"/>
    <w:rsid w:val="008C657B"/>
    <w:rsid w:val="008C72E4"/>
    <w:rsid w:val="008C797D"/>
    <w:rsid w:val="008C7992"/>
    <w:rsid w:val="008C7EB1"/>
    <w:rsid w:val="008D0034"/>
    <w:rsid w:val="008D03C1"/>
    <w:rsid w:val="008D06C9"/>
    <w:rsid w:val="008D0A0B"/>
    <w:rsid w:val="008D0C37"/>
    <w:rsid w:val="008D141B"/>
    <w:rsid w:val="008D1673"/>
    <w:rsid w:val="008D1719"/>
    <w:rsid w:val="008D1A25"/>
    <w:rsid w:val="008D1C5D"/>
    <w:rsid w:val="008D244C"/>
    <w:rsid w:val="008D2A04"/>
    <w:rsid w:val="008D2F6A"/>
    <w:rsid w:val="008D305C"/>
    <w:rsid w:val="008D31CF"/>
    <w:rsid w:val="008D34D0"/>
    <w:rsid w:val="008D3B6F"/>
    <w:rsid w:val="008D3D3A"/>
    <w:rsid w:val="008D4414"/>
    <w:rsid w:val="008D4A95"/>
    <w:rsid w:val="008D4C7D"/>
    <w:rsid w:val="008D4CA7"/>
    <w:rsid w:val="008D50D6"/>
    <w:rsid w:val="008D5938"/>
    <w:rsid w:val="008D5B10"/>
    <w:rsid w:val="008D5CC8"/>
    <w:rsid w:val="008D645B"/>
    <w:rsid w:val="008D6942"/>
    <w:rsid w:val="008D6C1E"/>
    <w:rsid w:val="008D704A"/>
    <w:rsid w:val="008D72B3"/>
    <w:rsid w:val="008D7AAF"/>
    <w:rsid w:val="008D7ABD"/>
    <w:rsid w:val="008D7B6E"/>
    <w:rsid w:val="008D7D77"/>
    <w:rsid w:val="008E007C"/>
    <w:rsid w:val="008E02C6"/>
    <w:rsid w:val="008E053B"/>
    <w:rsid w:val="008E068C"/>
    <w:rsid w:val="008E0AE5"/>
    <w:rsid w:val="008E0B31"/>
    <w:rsid w:val="008E0C49"/>
    <w:rsid w:val="008E21D4"/>
    <w:rsid w:val="008E249C"/>
    <w:rsid w:val="008E2856"/>
    <w:rsid w:val="008E2977"/>
    <w:rsid w:val="008E2AC7"/>
    <w:rsid w:val="008E2B84"/>
    <w:rsid w:val="008E2E4A"/>
    <w:rsid w:val="008E2FA4"/>
    <w:rsid w:val="008E3235"/>
    <w:rsid w:val="008E3415"/>
    <w:rsid w:val="008E3599"/>
    <w:rsid w:val="008E398A"/>
    <w:rsid w:val="008E3E81"/>
    <w:rsid w:val="008E3F2B"/>
    <w:rsid w:val="008E456A"/>
    <w:rsid w:val="008E472F"/>
    <w:rsid w:val="008E48F2"/>
    <w:rsid w:val="008E4959"/>
    <w:rsid w:val="008E4DEB"/>
    <w:rsid w:val="008E4F39"/>
    <w:rsid w:val="008E4FF4"/>
    <w:rsid w:val="008E54D9"/>
    <w:rsid w:val="008E57F9"/>
    <w:rsid w:val="008E63D7"/>
    <w:rsid w:val="008E6862"/>
    <w:rsid w:val="008E691E"/>
    <w:rsid w:val="008E78B7"/>
    <w:rsid w:val="008E7C9B"/>
    <w:rsid w:val="008E7ED1"/>
    <w:rsid w:val="008F0238"/>
    <w:rsid w:val="008F080F"/>
    <w:rsid w:val="008F115B"/>
    <w:rsid w:val="008F2220"/>
    <w:rsid w:val="008F22D1"/>
    <w:rsid w:val="008F2B1A"/>
    <w:rsid w:val="008F3687"/>
    <w:rsid w:val="008F38E5"/>
    <w:rsid w:val="008F3DC6"/>
    <w:rsid w:val="008F442E"/>
    <w:rsid w:val="008F474A"/>
    <w:rsid w:val="008F5329"/>
    <w:rsid w:val="008F5387"/>
    <w:rsid w:val="008F552E"/>
    <w:rsid w:val="008F556E"/>
    <w:rsid w:val="008F5C45"/>
    <w:rsid w:val="008F5E3F"/>
    <w:rsid w:val="008F6112"/>
    <w:rsid w:val="008F628C"/>
    <w:rsid w:val="008F631B"/>
    <w:rsid w:val="008F65A7"/>
    <w:rsid w:val="008F6622"/>
    <w:rsid w:val="008F6812"/>
    <w:rsid w:val="008F6FEB"/>
    <w:rsid w:val="008F70D1"/>
    <w:rsid w:val="008F72B8"/>
    <w:rsid w:val="008F7884"/>
    <w:rsid w:val="008F7906"/>
    <w:rsid w:val="008F7994"/>
    <w:rsid w:val="008F7E7B"/>
    <w:rsid w:val="008F7F75"/>
    <w:rsid w:val="0090040D"/>
    <w:rsid w:val="00900810"/>
    <w:rsid w:val="00900C5A"/>
    <w:rsid w:val="00901111"/>
    <w:rsid w:val="0090113A"/>
    <w:rsid w:val="00901150"/>
    <w:rsid w:val="009018C2"/>
    <w:rsid w:val="0090202B"/>
    <w:rsid w:val="0090210B"/>
    <w:rsid w:val="00903E96"/>
    <w:rsid w:val="009040C9"/>
    <w:rsid w:val="009043B0"/>
    <w:rsid w:val="009046F9"/>
    <w:rsid w:val="0090506E"/>
    <w:rsid w:val="009053C6"/>
    <w:rsid w:val="0090569D"/>
    <w:rsid w:val="009056B3"/>
    <w:rsid w:val="00905A53"/>
    <w:rsid w:val="00905B53"/>
    <w:rsid w:val="00905BFA"/>
    <w:rsid w:val="009060E3"/>
    <w:rsid w:val="009064E8"/>
    <w:rsid w:val="009065BB"/>
    <w:rsid w:val="00906CF7"/>
    <w:rsid w:val="00906D87"/>
    <w:rsid w:val="009071EB"/>
    <w:rsid w:val="0090724C"/>
    <w:rsid w:val="009076DA"/>
    <w:rsid w:val="00910240"/>
    <w:rsid w:val="009103D3"/>
    <w:rsid w:val="00910500"/>
    <w:rsid w:val="00910C30"/>
    <w:rsid w:val="00910CCD"/>
    <w:rsid w:val="009118D9"/>
    <w:rsid w:val="00911EB6"/>
    <w:rsid w:val="00911ED2"/>
    <w:rsid w:val="00912315"/>
    <w:rsid w:val="00912384"/>
    <w:rsid w:val="009126C9"/>
    <w:rsid w:val="00912787"/>
    <w:rsid w:val="00912791"/>
    <w:rsid w:val="00912B18"/>
    <w:rsid w:val="00912C13"/>
    <w:rsid w:val="00912E4B"/>
    <w:rsid w:val="009131BB"/>
    <w:rsid w:val="009132A1"/>
    <w:rsid w:val="009132C6"/>
    <w:rsid w:val="009132E6"/>
    <w:rsid w:val="0091371A"/>
    <w:rsid w:val="009138B1"/>
    <w:rsid w:val="00913A82"/>
    <w:rsid w:val="00913B3B"/>
    <w:rsid w:val="00914155"/>
    <w:rsid w:val="0091424A"/>
    <w:rsid w:val="009142A1"/>
    <w:rsid w:val="009144D6"/>
    <w:rsid w:val="009148C8"/>
    <w:rsid w:val="009151FA"/>
    <w:rsid w:val="009158BB"/>
    <w:rsid w:val="00915AF8"/>
    <w:rsid w:val="00915B62"/>
    <w:rsid w:val="00915BE0"/>
    <w:rsid w:val="00915FFE"/>
    <w:rsid w:val="009165BC"/>
    <w:rsid w:val="00916AED"/>
    <w:rsid w:val="00916DB6"/>
    <w:rsid w:val="009170D9"/>
    <w:rsid w:val="0091755F"/>
    <w:rsid w:val="0091780C"/>
    <w:rsid w:val="00917B57"/>
    <w:rsid w:val="00917EBC"/>
    <w:rsid w:val="00917F75"/>
    <w:rsid w:val="009205E9"/>
    <w:rsid w:val="00920816"/>
    <w:rsid w:val="0092092F"/>
    <w:rsid w:val="00920CAB"/>
    <w:rsid w:val="00920EDC"/>
    <w:rsid w:val="0092115C"/>
    <w:rsid w:val="00921190"/>
    <w:rsid w:val="00922228"/>
    <w:rsid w:val="009223B7"/>
    <w:rsid w:val="0092250F"/>
    <w:rsid w:val="0092275F"/>
    <w:rsid w:val="00922AA9"/>
    <w:rsid w:val="00922B41"/>
    <w:rsid w:val="00922C25"/>
    <w:rsid w:val="00922EA5"/>
    <w:rsid w:val="00923176"/>
    <w:rsid w:val="00923205"/>
    <w:rsid w:val="0092376C"/>
    <w:rsid w:val="00923CB8"/>
    <w:rsid w:val="00923D11"/>
    <w:rsid w:val="00924152"/>
    <w:rsid w:val="00924810"/>
    <w:rsid w:val="00924E99"/>
    <w:rsid w:val="00925505"/>
    <w:rsid w:val="00925550"/>
    <w:rsid w:val="00925664"/>
    <w:rsid w:val="009257CE"/>
    <w:rsid w:val="0092597B"/>
    <w:rsid w:val="00925A7A"/>
    <w:rsid w:val="00925B70"/>
    <w:rsid w:val="00925B89"/>
    <w:rsid w:val="00925BD1"/>
    <w:rsid w:val="00925ECF"/>
    <w:rsid w:val="009260C4"/>
    <w:rsid w:val="009263AA"/>
    <w:rsid w:val="0092668B"/>
    <w:rsid w:val="00926D60"/>
    <w:rsid w:val="009275BF"/>
    <w:rsid w:val="009276A8"/>
    <w:rsid w:val="00927793"/>
    <w:rsid w:val="009304D6"/>
    <w:rsid w:val="009306E8"/>
    <w:rsid w:val="00930BF7"/>
    <w:rsid w:val="00930BFD"/>
    <w:rsid w:val="00930F41"/>
    <w:rsid w:val="00931105"/>
    <w:rsid w:val="0093154A"/>
    <w:rsid w:val="00931AE5"/>
    <w:rsid w:val="00931C09"/>
    <w:rsid w:val="00931CBE"/>
    <w:rsid w:val="0093254A"/>
    <w:rsid w:val="009325E5"/>
    <w:rsid w:val="00932829"/>
    <w:rsid w:val="00932884"/>
    <w:rsid w:val="00932D1D"/>
    <w:rsid w:val="00933734"/>
    <w:rsid w:val="00933DA5"/>
    <w:rsid w:val="00934184"/>
    <w:rsid w:val="009344C7"/>
    <w:rsid w:val="0093462F"/>
    <w:rsid w:val="00934696"/>
    <w:rsid w:val="009346DA"/>
    <w:rsid w:val="00934704"/>
    <w:rsid w:val="00934957"/>
    <w:rsid w:val="00934A73"/>
    <w:rsid w:val="00934D07"/>
    <w:rsid w:val="009350FE"/>
    <w:rsid w:val="00935386"/>
    <w:rsid w:val="009353A8"/>
    <w:rsid w:val="00935FEE"/>
    <w:rsid w:val="009360A5"/>
    <w:rsid w:val="009360F3"/>
    <w:rsid w:val="00936B08"/>
    <w:rsid w:val="00936B50"/>
    <w:rsid w:val="00936DAA"/>
    <w:rsid w:val="009371E4"/>
    <w:rsid w:val="00937CE2"/>
    <w:rsid w:val="0094048A"/>
    <w:rsid w:val="00940526"/>
    <w:rsid w:val="009406A2"/>
    <w:rsid w:val="00940C13"/>
    <w:rsid w:val="009412EE"/>
    <w:rsid w:val="0094155A"/>
    <w:rsid w:val="00941E90"/>
    <w:rsid w:val="00942224"/>
    <w:rsid w:val="00942412"/>
    <w:rsid w:val="00942578"/>
    <w:rsid w:val="00942A94"/>
    <w:rsid w:val="00942AB6"/>
    <w:rsid w:val="00942AFB"/>
    <w:rsid w:val="00942FAC"/>
    <w:rsid w:val="009434AC"/>
    <w:rsid w:val="00943A02"/>
    <w:rsid w:val="00943CFC"/>
    <w:rsid w:val="0094471A"/>
    <w:rsid w:val="00944A62"/>
    <w:rsid w:val="00945238"/>
    <w:rsid w:val="00945E0C"/>
    <w:rsid w:val="00945F0D"/>
    <w:rsid w:val="009464AC"/>
    <w:rsid w:val="009465EE"/>
    <w:rsid w:val="0094695E"/>
    <w:rsid w:val="00946AAC"/>
    <w:rsid w:val="009472A5"/>
    <w:rsid w:val="00947470"/>
    <w:rsid w:val="009476E8"/>
    <w:rsid w:val="009502D4"/>
    <w:rsid w:val="00950E30"/>
    <w:rsid w:val="0095107B"/>
    <w:rsid w:val="00951670"/>
    <w:rsid w:val="00951A02"/>
    <w:rsid w:val="00952178"/>
    <w:rsid w:val="00952842"/>
    <w:rsid w:val="00952947"/>
    <w:rsid w:val="009539FB"/>
    <w:rsid w:val="009540D6"/>
    <w:rsid w:val="00954257"/>
    <w:rsid w:val="00954BED"/>
    <w:rsid w:val="00954D6A"/>
    <w:rsid w:val="009553FB"/>
    <w:rsid w:val="009558A1"/>
    <w:rsid w:val="00955DE6"/>
    <w:rsid w:val="00955FF2"/>
    <w:rsid w:val="009565C3"/>
    <w:rsid w:val="00956777"/>
    <w:rsid w:val="009571C5"/>
    <w:rsid w:val="00957404"/>
    <w:rsid w:val="0095744B"/>
    <w:rsid w:val="00957CE6"/>
    <w:rsid w:val="00960467"/>
    <w:rsid w:val="00960EA2"/>
    <w:rsid w:val="00961538"/>
    <w:rsid w:val="00961768"/>
    <w:rsid w:val="009621CD"/>
    <w:rsid w:val="009623E9"/>
    <w:rsid w:val="009625C7"/>
    <w:rsid w:val="00962740"/>
    <w:rsid w:val="00962BDF"/>
    <w:rsid w:val="00962D0E"/>
    <w:rsid w:val="00962F20"/>
    <w:rsid w:val="00963464"/>
    <w:rsid w:val="00963479"/>
    <w:rsid w:val="009634C8"/>
    <w:rsid w:val="009636F4"/>
    <w:rsid w:val="00963988"/>
    <w:rsid w:val="00963A4D"/>
    <w:rsid w:val="00963BB4"/>
    <w:rsid w:val="00963EB2"/>
    <w:rsid w:val="00964482"/>
    <w:rsid w:val="009646F2"/>
    <w:rsid w:val="00964FFF"/>
    <w:rsid w:val="009652A8"/>
    <w:rsid w:val="0096601F"/>
    <w:rsid w:val="0096609C"/>
    <w:rsid w:val="0096664A"/>
    <w:rsid w:val="00966695"/>
    <w:rsid w:val="009668F4"/>
    <w:rsid w:val="009672AD"/>
    <w:rsid w:val="00967303"/>
    <w:rsid w:val="00967A17"/>
    <w:rsid w:val="00967BC3"/>
    <w:rsid w:val="00967C98"/>
    <w:rsid w:val="00967E18"/>
    <w:rsid w:val="00970309"/>
    <w:rsid w:val="00970496"/>
    <w:rsid w:val="009705C3"/>
    <w:rsid w:val="00970906"/>
    <w:rsid w:val="00970BD2"/>
    <w:rsid w:val="009712EB"/>
    <w:rsid w:val="009715BB"/>
    <w:rsid w:val="009715E7"/>
    <w:rsid w:val="00971817"/>
    <w:rsid w:val="00971C85"/>
    <w:rsid w:val="00971D99"/>
    <w:rsid w:val="009720CD"/>
    <w:rsid w:val="00972144"/>
    <w:rsid w:val="0097257C"/>
    <w:rsid w:val="0097294D"/>
    <w:rsid w:val="0097297E"/>
    <w:rsid w:val="00972991"/>
    <w:rsid w:val="00972B35"/>
    <w:rsid w:val="00972C10"/>
    <w:rsid w:val="00972F43"/>
    <w:rsid w:val="00972FCE"/>
    <w:rsid w:val="00973083"/>
    <w:rsid w:val="009735A4"/>
    <w:rsid w:val="00973C67"/>
    <w:rsid w:val="00973CEB"/>
    <w:rsid w:val="00973D0A"/>
    <w:rsid w:val="00973FCF"/>
    <w:rsid w:val="009742CF"/>
    <w:rsid w:val="00974CD2"/>
    <w:rsid w:val="00974D17"/>
    <w:rsid w:val="009751DC"/>
    <w:rsid w:val="00975404"/>
    <w:rsid w:val="009757C8"/>
    <w:rsid w:val="009762D6"/>
    <w:rsid w:val="0097675E"/>
    <w:rsid w:val="00976E67"/>
    <w:rsid w:val="00976F1B"/>
    <w:rsid w:val="00977126"/>
    <w:rsid w:val="00977339"/>
    <w:rsid w:val="009773D4"/>
    <w:rsid w:val="009778E2"/>
    <w:rsid w:val="00977A01"/>
    <w:rsid w:val="00977A35"/>
    <w:rsid w:val="00977FB1"/>
    <w:rsid w:val="00977FE7"/>
    <w:rsid w:val="00980779"/>
    <w:rsid w:val="00980B75"/>
    <w:rsid w:val="00980C92"/>
    <w:rsid w:val="00980D5B"/>
    <w:rsid w:val="00980E5C"/>
    <w:rsid w:val="00981A71"/>
    <w:rsid w:val="009827D7"/>
    <w:rsid w:val="00982A35"/>
    <w:rsid w:val="00982B07"/>
    <w:rsid w:val="009836B2"/>
    <w:rsid w:val="00983855"/>
    <w:rsid w:val="00983A51"/>
    <w:rsid w:val="00983C26"/>
    <w:rsid w:val="0098421F"/>
    <w:rsid w:val="0098425D"/>
    <w:rsid w:val="0098476F"/>
    <w:rsid w:val="00984D5C"/>
    <w:rsid w:val="00984DAC"/>
    <w:rsid w:val="00984F12"/>
    <w:rsid w:val="00985089"/>
    <w:rsid w:val="009853D5"/>
    <w:rsid w:val="0098556A"/>
    <w:rsid w:val="009857C2"/>
    <w:rsid w:val="009858ED"/>
    <w:rsid w:val="009866D5"/>
    <w:rsid w:val="00986A13"/>
    <w:rsid w:val="00986ABF"/>
    <w:rsid w:val="00986E4E"/>
    <w:rsid w:val="009872A6"/>
    <w:rsid w:val="00987426"/>
    <w:rsid w:val="0098748C"/>
    <w:rsid w:val="00987508"/>
    <w:rsid w:val="0098781A"/>
    <w:rsid w:val="00987DFF"/>
    <w:rsid w:val="00987EA5"/>
    <w:rsid w:val="00987FFA"/>
    <w:rsid w:val="009907FE"/>
    <w:rsid w:val="0099081D"/>
    <w:rsid w:val="009908CD"/>
    <w:rsid w:val="00990A1B"/>
    <w:rsid w:val="0099190D"/>
    <w:rsid w:val="00991C57"/>
    <w:rsid w:val="00991E91"/>
    <w:rsid w:val="00992794"/>
    <w:rsid w:val="00992C7C"/>
    <w:rsid w:val="009932FF"/>
    <w:rsid w:val="009935B4"/>
    <w:rsid w:val="00993B89"/>
    <w:rsid w:val="00993D3B"/>
    <w:rsid w:val="00993DFB"/>
    <w:rsid w:val="0099431E"/>
    <w:rsid w:val="00994459"/>
    <w:rsid w:val="00995B0A"/>
    <w:rsid w:val="00995C13"/>
    <w:rsid w:val="00996348"/>
    <w:rsid w:val="009963C9"/>
    <w:rsid w:val="0099655F"/>
    <w:rsid w:val="0099679E"/>
    <w:rsid w:val="00997AD5"/>
    <w:rsid w:val="00997D60"/>
    <w:rsid w:val="009A001F"/>
    <w:rsid w:val="009A03BE"/>
    <w:rsid w:val="009A09C1"/>
    <w:rsid w:val="009A0BD0"/>
    <w:rsid w:val="009A0D43"/>
    <w:rsid w:val="009A121E"/>
    <w:rsid w:val="009A1346"/>
    <w:rsid w:val="009A15E5"/>
    <w:rsid w:val="009A1EDE"/>
    <w:rsid w:val="009A22AF"/>
    <w:rsid w:val="009A22BF"/>
    <w:rsid w:val="009A2A48"/>
    <w:rsid w:val="009A2EFA"/>
    <w:rsid w:val="009A3692"/>
    <w:rsid w:val="009A3B24"/>
    <w:rsid w:val="009A3E70"/>
    <w:rsid w:val="009A42D7"/>
    <w:rsid w:val="009A4350"/>
    <w:rsid w:val="009A471B"/>
    <w:rsid w:val="009A4888"/>
    <w:rsid w:val="009A50A4"/>
    <w:rsid w:val="009A52AD"/>
    <w:rsid w:val="009A53F4"/>
    <w:rsid w:val="009A6007"/>
    <w:rsid w:val="009A618E"/>
    <w:rsid w:val="009A67A5"/>
    <w:rsid w:val="009A7716"/>
    <w:rsid w:val="009B01D0"/>
    <w:rsid w:val="009B05CC"/>
    <w:rsid w:val="009B05FA"/>
    <w:rsid w:val="009B0620"/>
    <w:rsid w:val="009B0CC0"/>
    <w:rsid w:val="009B12AF"/>
    <w:rsid w:val="009B1488"/>
    <w:rsid w:val="009B1D78"/>
    <w:rsid w:val="009B26AD"/>
    <w:rsid w:val="009B2758"/>
    <w:rsid w:val="009B2D7A"/>
    <w:rsid w:val="009B2EC7"/>
    <w:rsid w:val="009B2EDD"/>
    <w:rsid w:val="009B3532"/>
    <w:rsid w:val="009B396A"/>
    <w:rsid w:val="009B3A46"/>
    <w:rsid w:val="009B3BCE"/>
    <w:rsid w:val="009B3E18"/>
    <w:rsid w:val="009B4CE0"/>
    <w:rsid w:val="009B516C"/>
    <w:rsid w:val="009B53BB"/>
    <w:rsid w:val="009B5D16"/>
    <w:rsid w:val="009B5F74"/>
    <w:rsid w:val="009B608F"/>
    <w:rsid w:val="009B6148"/>
    <w:rsid w:val="009B692E"/>
    <w:rsid w:val="009B700B"/>
    <w:rsid w:val="009B7497"/>
    <w:rsid w:val="009B769B"/>
    <w:rsid w:val="009B79B3"/>
    <w:rsid w:val="009B7BD2"/>
    <w:rsid w:val="009B7D31"/>
    <w:rsid w:val="009B7F8A"/>
    <w:rsid w:val="009C01EA"/>
    <w:rsid w:val="009C03E2"/>
    <w:rsid w:val="009C04ED"/>
    <w:rsid w:val="009C0CDE"/>
    <w:rsid w:val="009C10A3"/>
    <w:rsid w:val="009C1675"/>
    <w:rsid w:val="009C1872"/>
    <w:rsid w:val="009C1C06"/>
    <w:rsid w:val="009C1C44"/>
    <w:rsid w:val="009C29C3"/>
    <w:rsid w:val="009C2A01"/>
    <w:rsid w:val="009C2B71"/>
    <w:rsid w:val="009C2F79"/>
    <w:rsid w:val="009C342D"/>
    <w:rsid w:val="009C367F"/>
    <w:rsid w:val="009C39D0"/>
    <w:rsid w:val="009C3EB2"/>
    <w:rsid w:val="009C40B7"/>
    <w:rsid w:val="009C4D88"/>
    <w:rsid w:val="009C4E5B"/>
    <w:rsid w:val="009C55C2"/>
    <w:rsid w:val="009C62BE"/>
    <w:rsid w:val="009C6406"/>
    <w:rsid w:val="009C7237"/>
    <w:rsid w:val="009C7323"/>
    <w:rsid w:val="009D07A7"/>
    <w:rsid w:val="009D0A22"/>
    <w:rsid w:val="009D0B34"/>
    <w:rsid w:val="009D0D8A"/>
    <w:rsid w:val="009D0F5D"/>
    <w:rsid w:val="009D125E"/>
    <w:rsid w:val="009D1669"/>
    <w:rsid w:val="009D1D91"/>
    <w:rsid w:val="009D2796"/>
    <w:rsid w:val="009D281B"/>
    <w:rsid w:val="009D360D"/>
    <w:rsid w:val="009D389A"/>
    <w:rsid w:val="009D3EA5"/>
    <w:rsid w:val="009D422B"/>
    <w:rsid w:val="009D42E4"/>
    <w:rsid w:val="009D480D"/>
    <w:rsid w:val="009D4A03"/>
    <w:rsid w:val="009D4CDD"/>
    <w:rsid w:val="009D4D99"/>
    <w:rsid w:val="009D5024"/>
    <w:rsid w:val="009D5470"/>
    <w:rsid w:val="009D59FE"/>
    <w:rsid w:val="009D60BC"/>
    <w:rsid w:val="009D60E8"/>
    <w:rsid w:val="009D6E29"/>
    <w:rsid w:val="009D70DC"/>
    <w:rsid w:val="009D71C6"/>
    <w:rsid w:val="009D7271"/>
    <w:rsid w:val="009D7A26"/>
    <w:rsid w:val="009D7DCD"/>
    <w:rsid w:val="009E04D2"/>
    <w:rsid w:val="009E0569"/>
    <w:rsid w:val="009E0674"/>
    <w:rsid w:val="009E0679"/>
    <w:rsid w:val="009E0822"/>
    <w:rsid w:val="009E0C80"/>
    <w:rsid w:val="009E0DBA"/>
    <w:rsid w:val="009E14C6"/>
    <w:rsid w:val="009E1773"/>
    <w:rsid w:val="009E1E0C"/>
    <w:rsid w:val="009E2555"/>
    <w:rsid w:val="009E299B"/>
    <w:rsid w:val="009E2C1F"/>
    <w:rsid w:val="009E2C55"/>
    <w:rsid w:val="009E2DB2"/>
    <w:rsid w:val="009E4796"/>
    <w:rsid w:val="009E4840"/>
    <w:rsid w:val="009E4970"/>
    <w:rsid w:val="009E4B28"/>
    <w:rsid w:val="009E4DF5"/>
    <w:rsid w:val="009E5A2F"/>
    <w:rsid w:val="009E6139"/>
    <w:rsid w:val="009E6482"/>
    <w:rsid w:val="009E68D4"/>
    <w:rsid w:val="009E7347"/>
    <w:rsid w:val="009E73B7"/>
    <w:rsid w:val="009E73F0"/>
    <w:rsid w:val="009E78B5"/>
    <w:rsid w:val="009E7FC2"/>
    <w:rsid w:val="009F0006"/>
    <w:rsid w:val="009F01D3"/>
    <w:rsid w:val="009F01F2"/>
    <w:rsid w:val="009F0568"/>
    <w:rsid w:val="009F05E8"/>
    <w:rsid w:val="009F0856"/>
    <w:rsid w:val="009F099D"/>
    <w:rsid w:val="009F0A36"/>
    <w:rsid w:val="009F0A6C"/>
    <w:rsid w:val="009F0B22"/>
    <w:rsid w:val="009F0E56"/>
    <w:rsid w:val="009F1722"/>
    <w:rsid w:val="009F18E7"/>
    <w:rsid w:val="009F237F"/>
    <w:rsid w:val="009F264C"/>
    <w:rsid w:val="009F28F6"/>
    <w:rsid w:val="009F3569"/>
    <w:rsid w:val="009F3BB5"/>
    <w:rsid w:val="009F3BC9"/>
    <w:rsid w:val="009F3CFA"/>
    <w:rsid w:val="009F4A42"/>
    <w:rsid w:val="009F5221"/>
    <w:rsid w:val="009F59C5"/>
    <w:rsid w:val="009F622C"/>
    <w:rsid w:val="009F62D3"/>
    <w:rsid w:val="009F6725"/>
    <w:rsid w:val="009F6937"/>
    <w:rsid w:val="009F6B1C"/>
    <w:rsid w:val="009F6CD7"/>
    <w:rsid w:val="009F6F27"/>
    <w:rsid w:val="009F7180"/>
    <w:rsid w:val="009F764B"/>
    <w:rsid w:val="009F7A9B"/>
    <w:rsid w:val="009F7B61"/>
    <w:rsid w:val="009F7B99"/>
    <w:rsid w:val="00A00197"/>
    <w:rsid w:val="00A0029D"/>
    <w:rsid w:val="00A002D6"/>
    <w:rsid w:val="00A0065F"/>
    <w:rsid w:val="00A00B04"/>
    <w:rsid w:val="00A00C0A"/>
    <w:rsid w:val="00A00FB9"/>
    <w:rsid w:val="00A0114C"/>
    <w:rsid w:val="00A015AC"/>
    <w:rsid w:val="00A0184E"/>
    <w:rsid w:val="00A02309"/>
    <w:rsid w:val="00A02596"/>
    <w:rsid w:val="00A028DA"/>
    <w:rsid w:val="00A02A36"/>
    <w:rsid w:val="00A034A7"/>
    <w:rsid w:val="00A03708"/>
    <w:rsid w:val="00A038D2"/>
    <w:rsid w:val="00A042B3"/>
    <w:rsid w:val="00A043F8"/>
    <w:rsid w:val="00A0443D"/>
    <w:rsid w:val="00A056BC"/>
    <w:rsid w:val="00A05B76"/>
    <w:rsid w:val="00A05D13"/>
    <w:rsid w:val="00A05DFA"/>
    <w:rsid w:val="00A05FC6"/>
    <w:rsid w:val="00A0638E"/>
    <w:rsid w:val="00A06754"/>
    <w:rsid w:val="00A07162"/>
    <w:rsid w:val="00A0747E"/>
    <w:rsid w:val="00A07942"/>
    <w:rsid w:val="00A07E23"/>
    <w:rsid w:val="00A106DE"/>
    <w:rsid w:val="00A106F2"/>
    <w:rsid w:val="00A108EC"/>
    <w:rsid w:val="00A10D4F"/>
    <w:rsid w:val="00A11018"/>
    <w:rsid w:val="00A11025"/>
    <w:rsid w:val="00A119C2"/>
    <w:rsid w:val="00A11E1F"/>
    <w:rsid w:val="00A12304"/>
    <w:rsid w:val="00A12475"/>
    <w:rsid w:val="00A13081"/>
    <w:rsid w:val="00A13549"/>
    <w:rsid w:val="00A1379E"/>
    <w:rsid w:val="00A137D4"/>
    <w:rsid w:val="00A139EB"/>
    <w:rsid w:val="00A13A0A"/>
    <w:rsid w:val="00A13BD1"/>
    <w:rsid w:val="00A14376"/>
    <w:rsid w:val="00A14E65"/>
    <w:rsid w:val="00A15797"/>
    <w:rsid w:val="00A15ED2"/>
    <w:rsid w:val="00A1629E"/>
    <w:rsid w:val="00A16378"/>
    <w:rsid w:val="00A16C87"/>
    <w:rsid w:val="00A16CE5"/>
    <w:rsid w:val="00A16E6F"/>
    <w:rsid w:val="00A16E9E"/>
    <w:rsid w:val="00A16F38"/>
    <w:rsid w:val="00A173F2"/>
    <w:rsid w:val="00A177B6"/>
    <w:rsid w:val="00A202A8"/>
    <w:rsid w:val="00A20606"/>
    <w:rsid w:val="00A20667"/>
    <w:rsid w:val="00A20991"/>
    <w:rsid w:val="00A20D6C"/>
    <w:rsid w:val="00A2121D"/>
    <w:rsid w:val="00A2122F"/>
    <w:rsid w:val="00A21A7F"/>
    <w:rsid w:val="00A21EE3"/>
    <w:rsid w:val="00A22A63"/>
    <w:rsid w:val="00A22BDC"/>
    <w:rsid w:val="00A22FE7"/>
    <w:rsid w:val="00A2302A"/>
    <w:rsid w:val="00A23326"/>
    <w:rsid w:val="00A233C5"/>
    <w:rsid w:val="00A23509"/>
    <w:rsid w:val="00A239DD"/>
    <w:rsid w:val="00A23E03"/>
    <w:rsid w:val="00A24242"/>
    <w:rsid w:val="00A249B0"/>
    <w:rsid w:val="00A24E77"/>
    <w:rsid w:val="00A25503"/>
    <w:rsid w:val="00A258C0"/>
    <w:rsid w:val="00A25C47"/>
    <w:rsid w:val="00A25E41"/>
    <w:rsid w:val="00A25EBB"/>
    <w:rsid w:val="00A2609B"/>
    <w:rsid w:val="00A26255"/>
    <w:rsid w:val="00A262B4"/>
    <w:rsid w:val="00A264B1"/>
    <w:rsid w:val="00A264D1"/>
    <w:rsid w:val="00A267E9"/>
    <w:rsid w:val="00A26933"/>
    <w:rsid w:val="00A26D1D"/>
    <w:rsid w:val="00A26F53"/>
    <w:rsid w:val="00A279DF"/>
    <w:rsid w:val="00A27A11"/>
    <w:rsid w:val="00A27AEA"/>
    <w:rsid w:val="00A27CC6"/>
    <w:rsid w:val="00A27D8F"/>
    <w:rsid w:val="00A303F0"/>
    <w:rsid w:val="00A304EB"/>
    <w:rsid w:val="00A30D52"/>
    <w:rsid w:val="00A310B9"/>
    <w:rsid w:val="00A315D6"/>
    <w:rsid w:val="00A316BF"/>
    <w:rsid w:val="00A31909"/>
    <w:rsid w:val="00A31BDD"/>
    <w:rsid w:val="00A31D42"/>
    <w:rsid w:val="00A323DA"/>
    <w:rsid w:val="00A32429"/>
    <w:rsid w:val="00A32560"/>
    <w:rsid w:val="00A3283B"/>
    <w:rsid w:val="00A33326"/>
    <w:rsid w:val="00A339DA"/>
    <w:rsid w:val="00A34036"/>
    <w:rsid w:val="00A3427F"/>
    <w:rsid w:val="00A34F9C"/>
    <w:rsid w:val="00A352B8"/>
    <w:rsid w:val="00A358BE"/>
    <w:rsid w:val="00A35C86"/>
    <w:rsid w:val="00A3637A"/>
    <w:rsid w:val="00A36467"/>
    <w:rsid w:val="00A37144"/>
    <w:rsid w:val="00A372C3"/>
    <w:rsid w:val="00A37690"/>
    <w:rsid w:val="00A376A4"/>
    <w:rsid w:val="00A376D4"/>
    <w:rsid w:val="00A379BE"/>
    <w:rsid w:val="00A37B92"/>
    <w:rsid w:val="00A37ED4"/>
    <w:rsid w:val="00A405CA"/>
    <w:rsid w:val="00A40C49"/>
    <w:rsid w:val="00A410E7"/>
    <w:rsid w:val="00A41FB2"/>
    <w:rsid w:val="00A42D14"/>
    <w:rsid w:val="00A430BA"/>
    <w:rsid w:val="00A437FD"/>
    <w:rsid w:val="00A438E6"/>
    <w:rsid w:val="00A440A2"/>
    <w:rsid w:val="00A4413C"/>
    <w:rsid w:val="00A44407"/>
    <w:rsid w:val="00A444E1"/>
    <w:rsid w:val="00A45248"/>
    <w:rsid w:val="00A45948"/>
    <w:rsid w:val="00A45BB4"/>
    <w:rsid w:val="00A45E49"/>
    <w:rsid w:val="00A45FAB"/>
    <w:rsid w:val="00A46297"/>
    <w:rsid w:val="00A463E5"/>
    <w:rsid w:val="00A46558"/>
    <w:rsid w:val="00A4667B"/>
    <w:rsid w:val="00A468C4"/>
    <w:rsid w:val="00A479F3"/>
    <w:rsid w:val="00A505D7"/>
    <w:rsid w:val="00A5076F"/>
    <w:rsid w:val="00A5091F"/>
    <w:rsid w:val="00A509F1"/>
    <w:rsid w:val="00A50A84"/>
    <w:rsid w:val="00A50AA7"/>
    <w:rsid w:val="00A50DB6"/>
    <w:rsid w:val="00A510BF"/>
    <w:rsid w:val="00A51434"/>
    <w:rsid w:val="00A5149A"/>
    <w:rsid w:val="00A5179B"/>
    <w:rsid w:val="00A5196F"/>
    <w:rsid w:val="00A519E8"/>
    <w:rsid w:val="00A51A15"/>
    <w:rsid w:val="00A51E68"/>
    <w:rsid w:val="00A51EF6"/>
    <w:rsid w:val="00A52650"/>
    <w:rsid w:val="00A53443"/>
    <w:rsid w:val="00A53468"/>
    <w:rsid w:val="00A5369F"/>
    <w:rsid w:val="00A53978"/>
    <w:rsid w:val="00A53B13"/>
    <w:rsid w:val="00A53E70"/>
    <w:rsid w:val="00A542FF"/>
    <w:rsid w:val="00A549D7"/>
    <w:rsid w:val="00A54A34"/>
    <w:rsid w:val="00A54BF7"/>
    <w:rsid w:val="00A54C06"/>
    <w:rsid w:val="00A55238"/>
    <w:rsid w:val="00A553CD"/>
    <w:rsid w:val="00A557D2"/>
    <w:rsid w:val="00A56442"/>
    <w:rsid w:val="00A569F1"/>
    <w:rsid w:val="00A57136"/>
    <w:rsid w:val="00A57535"/>
    <w:rsid w:val="00A57A8C"/>
    <w:rsid w:val="00A57C6B"/>
    <w:rsid w:val="00A57D78"/>
    <w:rsid w:val="00A6026D"/>
    <w:rsid w:val="00A60548"/>
    <w:rsid w:val="00A605AD"/>
    <w:rsid w:val="00A607D8"/>
    <w:rsid w:val="00A60978"/>
    <w:rsid w:val="00A609F0"/>
    <w:rsid w:val="00A60C3A"/>
    <w:rsid w:val="00A60D4E"/>
    <w:rsid w:val="00A62471"/>
    <w:rsid w:val="00A625B7"/>
    <w:rsid w:val="00A6283A"/>
    <w:rsid w:val="00A628C8"/>
    <w:rsid w:val="00A62973"/>
    <w:rsid w:val="00A6298D"/>
    <w:rsid w:val="00A62C2C"/>
    <w:rsid w:val="00A62D28"/>
    <w:rsid w:val="00A62DD2"/>
    <w:rsid w:val="00A63236"/>
    <w:rsid w:val="00A63ACA"/>
    <w:rsid w:val="00A642AA"/>
    <w:rsid w:val="00A64488"/>
    <w:rsid w:val="00A647BB"/>
    <w:rsid w:val="00A64835"/>
    <w:rsid w:val="00A649AE"/>
    <w:rsid w:val="00A64F8C"/>
    <w:rsid w:val="00A65127"/>
    <w:rsid w:val="00A652E6"/>
    <w:rsid w:val="00A654CA"/>
    <w:rsid w:val="00A655AD"/>
    <w:rsid w:val="00A6578A"/>
    <w:rsid w:val="00A6586E"/>
    <w:rsid w:val="00A65E2D"/>
    <w:rsid w:val="00A65F76"/>
    <w:rsid w:val="00A66089"/>
    <w:rsid w:val="00A66302"/>
    <w:rsid w:val="00A66483"/>
    <w:rsid w:val="00A664EC"/>
    <w:rsid w:val="00A66521"/>
    <w:rsid w:val="00A6679A"/>
    <w:rsid w:val="00A66871"/>
    <w:rsid w:val="00A66C79"/>
    <w:rsid w:val="00A66F44"/>
    <w:rsid w:val="00A67065"/>
    <w:rsid w:val="00A67415"/>
    <w:rsid w:val="00A67423"/>
    <w:rsid w:val="00A6747B"/>
    <w:rsid w:val="00A675DF"/>
    <w:rsid w:val="00A70B29"/>
    <w:rsid w:val="00A710AB"/>
    <w:rsid w:val="00A710B9"/>
    <w:rsid w:val="00A72113"/>
    <w:rsid w:val="00A72222"/>
    <w:rsid w:val="00A72328"/>
    <w:rsid w:val="00A7296F"/>
    <w:rsid w:val="00A72A4B"/>
    <w:rsid w:val="00A72F32"/>
    <w:rsid w:val="00A72F4B"/>
    <w:rsid w:val="00A731AF"/>
    <w:rsid w:val="00A732BD"/>
    <w:rsid w:val="00A736DB"/>
    <w:rsid w:val="00A736F3"/>
    <w:rsid w:val="00A7370C"/>
    <w:rsid w:val="00A7445D"/>
    <w:rsid w:val="00A7475D"/>
    <w:rsid w:val="00A74B89"/>
    <w:rsid w:val="00A74D57"/>
    <w:rsid w:val="00A75032"/>
    <w:rsid w:val="00A75165"/>
    <w:rsid w:val="00A75F53"/>
    <w:rsid w:val="00A7661E"/>
    <w:rsid w:val="00A76DE1"/>
    <w:rsid w:val="00A773CC"/>
    <w:rsid w:val="00A77443"/>
    <w:rsid w:val="00A77B5F"/>
    <w:rsid w:val="00A77CAA"/>
    <w:rsid w:val="00A802D4"/>
    <w:rsid w:val="00A80458"/>
    <w:rsid w:val="00A805E0"/>
    <w:rsid w:val="00A80BA3"/>
    <w:rsid w:val="00A80DA4"/>
    <w:rsid w:val="00A81427"/>
    <w:rsid w:val="00A820A0"/>
    <w:rsid w:val="00A8261C"/>
    <w:rsid w:val="00A82640"/>
    <w:rsid w:val="00A828B5"/>
    <w:rsid w:val="00A82AEE"/>
    <w:rsid w:val="00A82E5C"/>
    <w:rsid w:val="00A82EE9"/>
    <w:rsid w:val="00A832BA"/>
    <w:rsid w:val="00A8344C"/>
    <w:rsid w:val="00A83644"/>
    <w:rsid w:val="00A83729"/>
    <w:rsid w:val="00A83C88"/>
    <w:rsid w:val="00A83E8E"/>
    <w:rsid w:val="00A84104"/>
    <w:rsid w:val="00A8510D"/>
    <w:rsid w:val="00A85D14"/>
    <w:rsid w:val="00A861EF"/>
    <w:rsid w:val="00A8693E"/>
    <w:rsid w:val="00A86A31"/>
    <w:rsid w:val="00A86D09"/>
    <w:rsid w:val="00A870CD"/>
    <w:rsid w:val="00A872D1"/>
    <w:rsid w:val="00A878F9"/>
    <w:rsid w:val="00A87A55"/>
    <w:rsid w:val="00A87BA4"/>
    <w:rsid w:val="00A9087F"/>
    <w:rsid w:val="00A90DE4"/>
    <w:rsid w:val="00A90E2C"/>
    <w:rsid w:val="00A911CB"/>
    <w:rsid w:val="00A913A7"/>
    <w:rsid w:val="00A91493"/>
    <w:rsid w:val="00A92BD5"/>
    <w:rsid w:val="00A92CEB"/>
    <w:rsid w:val="00A92E99"/>
    <w:rsid w:val="00A933B6"/>
    <w:rsid w:val="00A935DF"/>
    <w:rsid w:val="00A93A64"/>
    <w:rsid w:val="00A93C1E"/>
    <w:rsid w:val="00A9427B"/>
    <w:rsid w:val="00A9454C"/>
    <w:rsid w:val="00A94597"/>
    <w:rsid w:val="00A9476C"/>
    <w:rsid w:val="00A948F5"/>
    <w:rsid w:val="00A94F5D"/>
    <w:rsid w:val="00A953EF"/>
    <w:rsid w:val="00A95921"/>
    <w:rsid w:val="00A95A85"/>
    <w:rsid w:val="00A95E02"/>
    <w:rsid w:val="00A95EE1"/>
    <w:rsid w:val="00A95FD9"/>
    <w:rsid w:val="00A96064"/>
    <w:rsid w:val="00A9625E"/>
    <w:rsid w:val="00A9647D"/>
    <w:rsid w:val="00A965CB"/>
    <w:rsid w:val="00A96C94"/>
    <w:rsid w:val="00A96F87"/>
    <w:rsid w:val="00A97C00"/>
    <w:rsid w:val="00A97F20"/>
    <w:rsid w:val="00AA0895"/>
    <w:rsid w:val="00AA0B12"/>
    <w:rsid w:val="00AA0B8A"/>
    <w:rsid w:val="00AA15A7"/>
    <w:rsid w:val="00AA1B24"/>
    <w:rsid w:val="00AA216D"/>
    <w:rsid w:val="00AA25F6"/>
    <w:rsid w:val="00AA2EF8"/>
    <w:rsid w:val="00AA308F"/>
    <w:rsid w:val="00AA34AD"/>
    <w:rsid w:val="00AA36B5"/>
    <w:rsid w:val="00AA396C"/>
    <w:rsid w:val="00AA39F6"/>
    <w:rsid w:val="00AA3A8E"/>
    <w:rsid w:val="00AA4234"/>
    <w:rsid w:val="00AA4339"/>
    <w:rsid w:val="00AA4C7D"/>
    <w:rsid w:val="00AA4CEB"/>
    <w:rsid w:val="00AA4F82"/>
    <w:rsid w:val="00AA532A"/>
    <w:rsid w:val="00AA57A9"/>
    <w:rsid w:val="00AA5B18"/>
    <w:rsid w:val="00AA651A"/>
    <w:rsid w:val="00AA662B"/>
    <w:rsid w:val="00AA67E9"/>
    <w:rsid w:val="00AA6967"/>
    <w:rsid w:val="00AA6BE4"/>
    <w:rsid w:val="00AA755A"/>
    <w:rsid w:val="00AA7A1B"/>
    <w:rsid w:val="00AA7B90"/>
    <w:rsid w:val="00AA7C76"/>
    <w:rsid w:val="00AB0367"/>
    <w:rsid w:val="00AB0755"/>
    <w:rsid w:val="00AB0FF5"/>
    <w:rsid w:val="00AB12AD"/>
    <w:rsid w:val="00AB16E6"/>
    <w:rsid w:val="00AB18E2"/>
    <w:rsid w:val="00AB1A7A"/>
    <w:rsid w:val="00AB1BF0"/>
    <w:rsid w:val="00AB1BF5"/>
    <w:rsid w:val="00AB2594"/>
    <w:rsid w:val="00AB29BA"/>
    <w:rsid w:val="00AB2D29"/>
    <w:rsid w:val="00AB317B"/>
    <w:rsid w:val="00AB322E"/>
    <w:rsid w:val="00AB3A1D"/>
    <w:rsid w:val="00AB3C71"/>
    <w:rsid w:val="00AB3DFA"/>
    <w:rsid w:val="00AB454C"/>
    <w:rsid w:val="00AB4558"/>
    <w:rsid w:val="00AB4643"/>
    <w:rsid w:val="00AB4713"/>
    <w:rsid w:val="00AB47EF"/>
    <w:rsid w:val="00AB4A24"/>
    <w:rsid w:val="00AB4FA7"/>
    <w:rsid w:val="00AB5752"/>
    <w:rsid w:val="00AB5881"/>
    <w:rsid w:val="00AB67E9"/>
    <w:rsid w:val="00AB6E3E"/>
    <w:rsid w:val="00AB727D"/>
    <w:rsid w:val="00AB765A"/>
    <w:rsid w:val="00AB7B0E"/>
    <w:rsid w:val="00AB7E62"/>
    <w:rsid w:val="00AB7F07"/>
    <w:rsid w:val="00AB7FB2"/>
    <w:rsid w:val="00AC0402"/>
    <w:rsid w:val="00AC098C"/>
    <w:rsid w:val="00AC09BC"/>
    <w:rsid w:val="00AC0C68"/>
    <w:rsid w:val="00AC1790"/>
    <w:rsid w:val="00AC19C9"/>
    <w:rsid w:val="00AC1E50"/>
    <w:rsid w:val="00AC205C"/>
    <w:rsid w:val="00AC34B3"/>
    <w:rsid w:val="00AC3FCE"/>
    <w:rsid w:val="00AC43D0"/>
    <w:rsid w:val="00AC4D37"/>
    <w:rsid w:val="00AC4DCD"/>
    <w:rsid w:val="00AC51AF"/>
    <w:rsid w:val="00AC5402"/>
    <w:rsid w:val="00AC55BE"/>
    <w:rsid w:val="00AC5683"/>
    <w:rsid w:val="00AC5750"/>
    <w:rsid w:val="00AC59F3"/>
    <w:rsid w:val="00AC5D0A"/>
    <w:rsid w:val="00AC5DCC"/>
    <w:rsid w:val="00AC5FA6"/>
    <w:rsid w:val="00AC63C4"/>
    <w:rsid w:val="00AC640D"/>
    <w:rsid w:val="00AC6B6F"/>
    <w:rsid w:val="00AC6BE0"/>
    <w:rsid w:val="00AC6C23"/>
    <w:rsid w:val="00AC7B77"/>
    <w:rsid w:val="00AD0179"/>
    <w:rsid w:val="00AD08C9"/>
    <w:rsid w:val="00AD09C5"/>
    <w:rsid w:val="00AD0F76"/>
    <w:rsid w:val="00AD0FD9"/>
    <w:rsid w:val="00AD1447"/>
    <w:rsid w:val="00AD16EC"/>
    <w:rsid w:val="00AD18EA"/>
    <w:rsid w:val="00AD198C"/>
    <w:rsid w:val="00AD242A"/>
    <w:rsid w:val="00AD2754"/>
    <w:rsid w:val="00AD2EB1"/>
    <w:rsid w:val="00AD3511"/>
    <w:rsid w:val="00AD36E7"/>
    <w:rsid w:val="00AD3827"/>
    <w:rsid w:val="00AD39C9"/>
    <w:rsid w:val="00AD4101"/>
    <w:rsid w:val="00AD41BF"/>
    <w:rsid w:val="00AD4697"/>
    <w:rsid w:val="00AD496B"/>
    <w:rsid w:val="00AD4AEB"/>
    <w:rsid w:val="00AD4D08"/>
    <w:rsid w:val="00AD4FB0"/>
    <w:rsid w:val="00AD53D1"/>
    <w:rsid w:val="00AD5BAA"/>
    <w:rsid w:val="00AD5C0A"/>
    <w:rsid w:val="00AD5C45"/>
    <w:rsid w:val="00AD618C"/>
    <w:rsid w:val="00AD622B"/>
    <w:rsid w:val="00AD6486"/>
    <w:rsid w:val="00AD6A19"/>
    <w:rsid w:val="00AD6B5E"/>
    <w:rsid w:val="00AD6DF1"/>
    <w:rsid w:val="00AD7677"/>
    <w:rsid w:val="00AD78E2"/>
    <w:rsid w:val="00AD7A16"/>
    <w:rsid w:val="00AE0326"/>
    <w:rsid w:val="00AE06F7"/>
    <w:rsid w:val="00AE07BE"/>
    <w:rsid w:val="00AE0F48"/>
    <w:rsid w:val="00AE1151"/>
    <w:rsid w:val="00AE1508"/>
    <w:rsid w:val="00AE1D05"/>
    <w:rsid w:val="00AE1EBC"/>
    <w:rsid w:val="00AE217B"/>
    <w:rsid w:val="00AE27F2"/>
    <w:rsid w:val="00AE2BC5"/>
    <w:rsid w:val="00AE2C41"/>
    <w:rsid w:val="00AE2E2B"/>
    <w:rsid w:val="00AE38CB"/>
    <w:rsid w:val="00AE39B2"/>
    <w:rsid w:val="00AE3CC1"/>
    <w:rsid w:val="00AE4576"/>
    <w:rsid w:val="00AE4808"/>
    <w:rsid w:val="00AE4D48"/>
    <w:rsid w:val="00AE54F9"/>
    <w:rsid w:val="00AE5AA4"/>
    <w:rsid w:val="00AE63D8"/>
    <w:rsid w:val="00AE6B16"/>
    <w:rsid w:val="00AE6BCC"/>
    <w:rsid w:val="00AE6FA9"/>
    <w:rsid w:val="00AE709B"/>
    <w:rsid w:val="00AE7501"/>
    <w:rsid w:val="00AF01D6"/>
    <w:rsid w:val="00AF022A"/>
    <w:rsid w:val="00AF0261"/>
    <w:rsid w:val="00AF07D4"/>
    <w:rsid w:val="00AF0ABE"/>
    <w:rsid w:val="00AF12F9"/>
    <w:rsid w:val="00AF1616"/>
    <w:rsid w:val="00AF1743"/>
    <w:rsid w:val="00AF1A63"/>
    <w:rsid w:val="00AF1AD3"/>
    <w:rsid w:val="00AF1F84"/>
    <w:rsid w:val="00AF2143"/>
    <w:rsid w:val="00AF2202"/>
    <w:rsid w:val="00AF2411"/>
    <w:rsid w:val="00AF2757"/>
    <w:rsid w:val="00AF2ADE"/>
    <w:rsid w:val="00AF2C8F"/>
    <w:rsid w:val="00AF2DE2"/>
    <w:rsid w:val="00AF2F57"/>
    <w:rsid w:val="00AF37F8"/>
    <w:rsid w:val="00AF3B24"/>
    <w:rsid w:val="00AF3E1D"/>
    <w:rsid w:val="00AF45DE"/>
    <w:rsid w:val="00AF4689"/>
    <w:rsid w:val="00AF4B7E"/>
    <w:rsid w:val="00AF58CB"/>
    <w:rsid w:val="00AF65BB"/>
    <w:rsid w:val="00AF66AD"/>
    <w:rsid w:val="00AF6A39"/>
    <w:rsid w:val="00AF6C7A"/>
    <w:rsid w:val="00AF6F8B"/>
    <w:rsid w:val="00AF6FCC"/>
    <w:rsid w:val="00AF702E"/>
    <w:rsid w:val="00AF7163"/>
    <w:rsid w:val="00AF73B0"/>
    <w:rsid w:val="00AF7CE5"/>
    <w:rsid w:val="00B0013C"/>
    <w:rsid w:val="00B00309"/>
    <w:rsid w:val="00B006C5"/>
    <w:rsid w:val="00B00E1C"/>
    <w:rsid w:val="00B00FB5"/>
    <w:rsid w:val="00B00FC9"/>
    <w:rsid w:val="00B01598"/>
    <w:rsid w:val="00B01665"/>
    <w:rsid w:val="00B01C72"/>
    <w:rsid w:val="00B01F6E"/>
    <w:rsid w:val="00B02C02"/>
    <w:rsid w:val="00B02E4A"/>
    <w:rsid w:val="00B0316F"/>
    <w:rsid w:val="00B03222"/>
    <w:rsid w:val="00B03843"/>
    <w:rsid w:val="00B03943"/>
    <w:rsid w:val="00B03B1A"/>
    <w:rsid w:val="00B046F5"/>
    <w:rsid w:val="00B0484E"/>
    <w:rsid w:val="00B0519B"/>
    <w:rsid w:val="00B05224"/>
    <w:rsid w:val="00B0543B"/>
    <w:rsid w:val="00B055FB"/>
    <w:rsid w:val="00B0595F"/>
    <w:rsid w:val="00B06464"/>
    <w:rsid w:val="00B069DE"/>
    <w:rsid w:val="00B0704D"/>
    <w:rsid w:val="00B07130"/>
    <w:rsid w:val="00B071B7"/>
    <w:rsid w:val="00B07489"/>
    <w:rsid w:val="00B076DB"/>
    <w:rsid w:val="00B0770C"/>
    <w:rsid w:val="00B07F80"/>
    <w:rsid w:val="00B10812"/>
    <w:rsid w:val="00B10AD2"/>
    <w:rsid w:val="00B110F7"/>
    <w:rsid w:val="00B116C6"/>
    <w:rsid w:val="00B116E9"/>
    <w:rsid w:val="00B12E2F"/>
    <w:rsid w:val="00B1393A"/>
    <w:rsid w:val="00B1395D"/>
    <w:rsid w:val="00B13F3A"/>
    <w:rsid w:val="00B141D5"/>
    <w:rsid w:val="00B14E8B"/>
    <w:rsid w:val="00B15393"/>
    <w:rsid w:val="00B15921"/>
    <w:rsid w:val="00B15A2A"/>
    <w:rsid w:val="00B15BCF"/>
    <w:rsid w:val="00B15C52"/>
    <w:rsid w:val="00B15D83"/>
    <w:rsid w:val="00B15E2D"/>
    <w:rsid w:val="00B15FAB"/>
    <w:rsid w:val="00B16118"/>
    <w:rsid w:val="00B1669A"/>
    <w:rsid w:val="00B168F6"/>
    <w:rsid w:val="00B16BD5"/>
    <w:rsid w:val="00B16D89"/>
    <w:rsid w:val="00B17079"/>
    <w:rsid w:val="00B17563"/>
    <w:rsid w:val="00B1787F"/>
    <w:rsid w:val="00B17B30"/>
    <w:rsid w:val="00B2016E"/>
    <w:rsid w:val="00B202F2"/>
    <w:rsid w:val="00B20BBC"/>
    <w:rsid w:val="00B20C8C"/>
    <w:rsid w:val="00B21366"/>
    <w:rsid w:val="00B214D3"/>
    <w:rsid w:val="00B2162D"/>
    <w:rsid w:val="00B21979"/>
    <w:rsid w:val="00B21E69"/>
    <w:rsid w:val="00B21E82"/>
    <w:rsid w:val="00B2208C"/>
    <w:rsid w:val="00B222BE"/>
    <w:rsid w:val="00B228CC"/>
    <w:rsid w:val="00B22C1D"/>
    <w:rsid w:val="00B22FD7"/>
    <w:rsid w:val="00B23090"/>
    <w:rsid w:val="00B240A1"/>
    <w:rsid w:val="00B244D9"/>
    <w:rsid w:val="00B24B1A"/>
    <w:rsid w:val="00B25103"/>
    <w:rsid w:val="00B25382"/>
    <w:rsid w:val="00B25427"/>
    <w:rsid w:val="00B254CD"/>
    <w:rsid w:val="00B259B3"/>
    <w:rsid w:val="00B25BDE"/>
    <w:rsid w:val="00B2643E"/>
    <w:rsid w:val="00B26CE0"/>
    <w:rsid w:val="00B27020"/>
    <w:rsid w:val="00B2787E"/>
    <w:rsid w:val="00B278F2"/>
    <w:rsid w:val="00B27F70"/>
    <w:rsid w:val="00B30288"/>
    <w:rsid w:val="00B30C17"/>
    <w:rsid w:val="00B30E6F"/>
    <w:rsid w:val="00B3103D"/>
    <w:rsid w:val="00B31253"/>
    <w:rsid w:val="00B31851"/>
    <w:rsid w:val="00B31D9A"/>
    <w:rsid w:val="00B320C6"/>
    <w:rsid w:val="00B3211D"/>
    <w:rsid w:val="00B323DE"/>
    <w:rsid w:val="00B32431"/>
    <w:rsid w:val="00B325D2"/>
    <w:rsid w:val="00B32770"/>
    <w:rsid w:val="00B327A7"/>
    <w:rsid w:val="00B32997"/>
    <w:rsid w:val="00B32D33"/>
    <w:rsid w:val="00B3343A"/>
    <w:rsid w:val="00B33A12"/>
    <w:rsid w:val="00B3404F"/>
    <w:rsid w:val="00B3477F"/>
    <w:rsid w:val="00B34D4E"/>
    <w:rsid w:val="00B34E2B"/>
    <w:rsid w:val="00B35054"/>
    <w:rsid w:val="00B356E7"/>
    <w:rsid w:val="00B359DF"/>
    <w:rsid w:val="00B35C9D"/>
    <w:rsid w:val="00B361E0"/>
    <w:rsid w:val="00B37B69"/>
    <w:rsid w:val="00B402DD"/>
    <w:rsid w:val="00B40669"/>
    <w:rsid w:val="00B406F1"/>
    <w:rsid w:val="00B4074B"/>
    <w:rsid w:val="00B410A7"/>
    <w:rsid w:val="00B41734"/>
    <w:rsid w:val="00B42270"/>
    <w:rsid w:val="00B42C9E"/>
    <w:rsid w:val="00B4377D"/>
    <w:rsid w:val="00B4381A"/>
    <w:rsid w:val="00B438B1"/>
    <w:rsid w:val="00B43B4E"/>
    <w:rsid w:val="00B43BA1"/>
    <w:rsid w:val="00B4428C"/>
    <w:rsid w:val="00B4439F"/>
    <w:rsid w:val="00B447F7"/>
    <w:rsid w:val="00B44F30"/>
    <w:rsid w:val="00B45776"/>
    <w:rsid w:val="00B457CB"/>
    <w:rsid w:val="00B457CC"/>
    <w:rsid w:val="00B460A5"/>
    <w:rsid w:val="00B461B3"/>
    <w:rsid w:val="00B4645B"/>
    <w:rsid w:val="00B46B02"/>
    <w:rsid w:val="00B46E69"/>
    <w:rsid w:val="00B46F46"/>
    <w:rsid w:val="00B47067"/>
    <w:rsid w:val="00B471DC"/>
    <w:rsid w:val="00B47C12"/>
    <w:rsid w:val="00B50063"/>
    <w:rsid w:val="00B5045C"/>
    <w:rsid w:val="00B504D8"/>
    <w:rsid w:val="00B5156B"/>
    <w:rsid w:val="00B519A9"/>
    <w:rsid w:val="00B51A6F"/>
    <w:rsid w:val="00B51F47"/>
    <w:rsid w:val="00B52BA1"/>
    <w:rsid w:val="00B52D02"/>
    <w:rsid w:val="00B52D4B"/>
    <w:rsid w:val="00B52FA2"/>
    <w:rsid w:val="00B532D0"/>
    <w:rsid w:val="00B544E7"/>
    <w:rsid w:val="00B54535"/>
    <w:rsid w:val="00B54715"/>
    <w:rsid w:val="00B55453"/>
    <w:rsid w:val="00B555CC"/>
    <w:rsid w:val="00B55927"/>
    <w:rsid w:val="00B565A1"/>
    <w:rsid w:val="00B569F2"/>
    <w:rsid w:val="00B56C22"/>
    <w:rsid w:val="00B56C94"/>
    <w:rsid w:val="00B56D59"/>
    <w:rsid w:val="00B56DC1"/>
    <w:rsid w:val="00B57AEF"/>
    <w:rsid w:val="00B57CE4"/>
    <w:rsid w:val="00B600CE"/>
    <w:rsid w:val="00B611DB"/>
    <w:rsid w:val="00B6167A"/>
    <w:rsid w:val="00B616CE"/>
    <w:rsid w:val="00B6262E"/>
    <w:rsid w:val="00B6269B"/>
    <w:rsid w:val="00B62737"/>
    <w:rsid w:val="00B62749"/>
    <w:rsid w:val="00B63031"/>
    <w:rsid w:val="00B63198"/>
    <w:rsid w:val="00B633C3"/>
    <w:rsid w:val="00B63475"/>
    <w:rsid w:val="00B6357F"/>
    <w:rsid w:val="00B63FD3"/>
    <w:rsid w:val="00B64574"/>
    <w:rsid w:val="00B64A36"/>
    <w:rsid w:val="00B64AC6"/>
    <w:rsid w:val="00B64B1E"/>
    <w:rsid w:val="00B64BC2"/>
    <w:rsid w:val="00B6514A"/>
    <w:rsid w:val="00B651B5"/>
    <w:rsid w:val="00B654AB"/>
    <w:rsid w:val="00B65AE8"/>
    <w:rsid w:val="00B66162"/>
    <w:rsid w:val="00B6650B"/>
    <w:rsid w:val="00B66BB5"/>
    <w:rsid w:val="00B66C4E"/>
    <w:rsid w:val="00B679C8"/>
    <w:rsid w:val="00B67ECC"/>
    <w:rsid w:val="00B67F5B"/>
    <w:rsid w:val="00B67FA0"/>
    <w:rsid w:val="00B70147"/>
    <w:rsid w:val="00B701CB"/>
    <w:rsid w:val="00B705F8"/>
    <w:rsid w:val="00B7073C"/>
    <w:rsid w:val="00B71048"/>
    <w:rsid w:val="00B71563"/>
    <w:rsid w:val="00B715A6"/>
    <w:rsid w:val="00B715E5"/>
    <w:rsid w:val="00B7173A"/>
    <w:rsid w:val="00B717C4"/>
    <w:rsid w:val="00B71C3E"/>
    <w:rsid w:val="00B71D0B"/>
    <w:rsid w:val="00B71DF5"/>
    <w:rsid w:val="00B71F91"/>
    <w:rsid w:val="00B71FB5"/>
    <w:rsid w:val="00B728D3"/>
    <w:rsid w:val="00B73B26"/>
    <w:rsid w:val="00B73CE0"/>
    <w:rsid w:val="00B73FE6"/>
    <w:rsid w:val="00B74005"/>
    <w:rsid w:val="00B745FD"/>
    <w:rsid w:val="00B7475A"/>
    <w:rsid w:val="00B754B1"/>
    <w:rsid w:val="00B75AB9"/>
    <w:rsid w:val="00B75CFB"/>
    <w:rsid w:val="00B75E88"/>
    <w:rsid w:val="00B77139"/>
    <w:rsid w:val="00B772DE"/>
    <w:rsid w:val="00B7747F"/>
    <w:rsid w:val="00B77494"/>
    <w:rsid w:val="00B77792"/>
    <w:rsid w:val="00B777A6"/>
    <w:rsid w:val="00B77BE3"/>
    <w:rsid w:val="00B77FAA"/>
    <w:rsid w:val="00B8017B"/>
    <w:rsid w:val="00B804AA"/>
    <w:rsid w:val="00B80C5F"/>
    <w:rsid w:val="00B80DD5"/>
    <w:rsid w:val="00B8122A"/>
    <w:rsid w:val="00B8140E"/>
    <w:rsid w:val="00B816E7"/>
    <w:rsid w:val="00B81BD6"/>
    <w:rsid w:val="00B81D82"/>
    <w:rsid w:val="00B82758"/>
    <w:rsid w:val="00B8284D"/>
    <w:rsid w:val="00B82A1D"/>
    <w:rsid w:val="00B82BFC"/>
    <w:rsid w:val="00B83089"/>
    <w:rsid w:val="00B830C8"/>
    <w:rsid w:val="00B8319E"/>
    <w:rsid w:val="00B832F3"/>
    <w:rsid w:val="00B83755"/>
    <w:rsid w:val="00B83943"/>
    <w:rsid w:val="00B83C34"/>
    <w:rsid w:val="00B85B6B"/>
    <w:rsid w:val="00B85C8D"/>
    <w:rsid w:val="00B86088"/>
    <w:rsid w:val="00B8629B"/>
    <w:rsid w:val="00B86770"/>
    <w:rsid w:val="00B86D96"/>
    <w:rsid w:val="00B8733C"/>
    <w:rsid w:val="00B87362"/>
    <w:rsid w:val="00B87DD1"/>
    <w:rsid w:val="00B901D9"/>
    <w:rsid w:val="00B90739"/>
    <w:rsid w:val="00B91065"/>
    <w:rsid w:val="00B910EF"/>
    <w:rsid w:val="00B9116E"/>
    <w:rsid w:val="00B91173"/>
    <w:rsid w:val="00B9121F"/>
    <w:rsid w:val="00B91634"/>
    <w:rsid w:val="00B92B78"/>
    <w:rsid w:val="00B92CAD"/>
    <w:rsid w:val="00B92FF6"/>
    <w:rsid w:val="00B9318C"/>
    <w:rsid w:val="00B93940"/>
    <w:rsid w:val="00B93C3C"/>
    <w:rsid w:val="00B93E50"/>
    <w:rsid w:val="00B93EC4"/>
    <w:rsid w:val="00B940A4"/>
    <w:rsid w:val="00B9538D"/>
    <w:rsid w:val="00B9572F"/>
    <w:rsid w:val="00B9592F"/>
    <w:rsid w:val="00B96226"/>
    <w:rsid w:val="00B96362"/>
    <w:rsid w:val="00B965D1"/>
    <w:rsid w:val="00B96A4A"/>
    <w:rsid w:val="00B96CC9"/>
    <w:rsid w:val="00B96D2E"/>
    <w:rsid w:val="00B96E6F"/>
    <w:rsid w:val="00B96E97"/>
    <w:rsid w:val="00B9704B"/>
    <w:rsid w:val="00B97328"/>
    <w:rsid w:val="00B97396"/>
    <w:rsid w:val="00B97820"/>
    <w:rsid w:val="00B97B3C"/>
    <w:rsid w:val="00BA066F"/>
    <w:rsid w:val="00BA083F"/>
    <w:rsid w:val="00BA0A16"/>
    <w:rsid w:val="00BA0C05"/>
    <w:rsid w:val="00BA11FF"/>
    <w:rsid w:val="00BA17F9"/>
    <w:rsid w:val="00BA2D0E"/>
    <w:rsid w:val="00BA2E93"/>
    <w:rsid w:val="00BA3007"/>
    <w:rsid w:val="00BA3291"/>
    <w:rsid w:val="00BA3414"/>
    <w:rsid w:val="00BA3568"/>
    <w:rsid w:val="00BA3CBF"/>
    <w:rsid w:val="00BA3F8D"/>
    <w:rsid w:val="00BA4D58"/>
    <w:rsid w:val="00BA4DA7"/>
    <w:rsid w:val="00BA4FBB"/>
    <w:rsid w:val="00BA4FF0"/>
    <w:rsid w:val="00BA509B"/>
    <w:rsid w:val="00BA5A91"/>
    <w:rsid w:val="00BA62B4"/>
    <w:rsid w:val="00BA69BB"/>
    <w:rsid w:val="00BA6F15"/>
    <w:rsid w:val="00BA70CE"/>
    <w:rsid w:val="00BA71E4"/>
    <w:rsid w:val="00BA772B"/>
    <w:rsid w:val="00BA792F"/>
    <w:rsid w:val="00BB00BD"/>
    <w:rsid w:val="00BB0207"/>
    <w:rsid w:val="00BB057A"/>
    <w:rsid w:val="00BB14D1"/>
    <w:rsid w:val="00BB16C2"/>
    <w:rsid w:val="00BB1963"/>
    <w:rsid w:val="00BB1B40"/>
    <w:rsid w:val="00BB1C76"/>
    <w:rsid w:val="00BB2086"/>
    <w:rsid w:val="00BB27CC"/>
    <w:rsid w:val="00BB2F6C"/>
    <w:rsid w:val="00BB362C"/>
    <w:rsid w:val="00BB3754"/>
    <w:rsid w:val="00BB3A94"/>
    <w:rsid w:val="00BB3C67"/>
    <w:rsid w:val="00BB3DB3"/>
    <w:rsid w:val="00BB3E5A"/>
    <w:rsid w:val="00BB409C"/>
    <w:rsid w:val="00BB42C9"/>
    <w:rsid w:val="00BB4383"/>
    <w:rsid w:val="00BB4BAA"/>
    <w:rsid w:val="00BB5543"/>
    <w:rsid w:val="00BB58E8"/>
    <w:rsid w:val="00BB5B2D"/>
    <w:rsid w:val="00BB5E81"/>
    <w:rsid w:val="00BB62AA"/>
    <w:rsid w:val="00BB6412"/>
    <w:rsid w:val="00BB6A29"/>
    <w:rsid w:val="00BB7304"/>
    <w:rsid w:val="00BB75B9"/>
    <w:rsid w:val="00BB7716"/>
    <w:rsid w:val="00BB7947"/>
    <w:rsid w:val="00BB79CA"/>
    <w:rsid w:val="00BB7BD5"/>
    <w:rsid w:val="00BB7CB6"/>
    <w:rsid w:val="00BB7F7A"/>
    <w:rsid w:val="00BC0C0B"/>
    <w:rsid w:val="00BC126D"/>
    <w:rsid w:val="00BC166B"/>
    <w:rsid w:val="00BC2376"/>
    <w:rsid w:val="00BC2F08"/>
    <w:rsid w:val="00BC33E3"/>
    <w:rsid w:val="00BC34AE"/>
    <w:rsid w:val="00BC39D0"/>
    <w:rsid w:val="00BC39F1"/>
    <w:rsid w:val="00BC3A4A"/>
    <w:rsid w:val="00BC43F1"/>
    <w:rsid w:val="00BC47FD"/>
    <w:rsid w:val="00BC4A00"/>
    <w:rsid w:val="00BC4DFD"/>
    <w:rsid w:val="00BC5027"/>
    <w:rsid w:val="00BC54E1"/>
    <w:rsid w:val="00BC586F"/>
    <w:rsid w:val="00BC5DF2"/>
    <w:rsid w:val="00BC6199"/>
    <w:rsid w:val="00BC67BD"/>
    <w:rsid w:val="00BC6864"/>
    <w:rsid w:val="00BC6BAA"/>
    <w:rsid w:val="00BC6C2E"/>
    <w:rsid w:val="00BC75DF"/>
    <w:rsid w:val="00BC7637"/>
    <w:rsid w:val="00BD01F5"/>
    <w:rsid w:val="00BD0891"/>
    <w:rsid w:val="00BD0B2D"/>
    <w:rsid w:val="00BD0F95"/>
    <w:rsid w:val="00BD12B4"/>
    <w:rsid w:val="00BD187A"/>
    <w:rsid w:val="00BD207B"/>
    <w:rsid w:val="00BD2139"/>
    <w:rsid w:val="00BD2251"/>
    <w:rsid w:val="00BD2389"/>
    <w:rsid w:val="00BD273F"/>
    <w:rsid w:val="00BD2CEB"/>
    <w:rsid w:val="00BD34C8"/>
    <w:rsid w:val="00BD3504"/>
    <w:rsid w:val="00BD41FF"/>
    <w:rsid w:val="00BD4278"/>
    <w:rsid w:val="00BD4321"/>
    <w:rsid w:val="00BD44E3"/>
    <w:rsid w:val="00BD4A17"/>
    <w:rsid w:val="00BD5A3F"/>
    <w:rsid w:val="00BD6484"/>
    <w:rsid w:val="00BD689A"/>
    <w:rsid w:val="00BD6938"/>
    <w:rsid w:val="00BD6CDF"/>
    <w:rsid w:val="00BD6F85"/>
    <w:rsid w:val="00BD7140"/>
    <w:rsid w:val="00BD76C0"/>
    <w:rsid w:val="00BD7B67"/>
    <w:rsid w:val="00BD7BF2"/>
    <w:rsid w:val="00BE075E"/>
    <w:rsid w:val="00BE094A"/>
    <w:rsid w:val="00BE0E69"/>
    <w:rsid w:val="00BE0E92"/>
    <w:rsid w:val="00BE1680"/>
    <w:rsid w:val="00BE1C52"/>
    <w:rsid w:val="00BE1CA0"/>
    <w:rsid w:val="00BE1E34"/>
    <w:rsid w:val="00BE1F77"/>
    <w:rsid w:val="00BE2459"/>
    <w:rsid w:val="00BE2BF3"/>
    <w:rsid w:val="00BE2D69"/>
    <w:rsid w:val="00BE3194"/>
    <w:rsid w:val="00BE31B5"/>
    <w:rsid w:val="00BE3531"/>
    <w:rsid w:val="00BE367F"/>
    <w:rsid w:val="00BE4020"/>
    <w:rsid w:val="00BE44FA"/>
    <w:rsid w:val="00BE4DD7"/>
    <w:rsid w:val="00BE4DE9"/>
    <w:rsid w:val="00BE564F"/>
    <w:rsid w:val="00BE5656"/>
    <w:rsid w:val="00BE56C2"/>
    <w:rsid w:val="00BE59F3"/>
    <w:rsid w:val="00BE5FF1"/>
    <w:rsid w:val="00BE67E5"/>
    <w:rsid w:val="00BE69D0"/>
    <w:rsid w:val="00BE69DC"/>
    <w:rsid w:val="00BE6BCF"/>
    <w:rsid w:val="00BE6BD8"/>
    <w:rsid w:val="00BE6D3C"/>
    <w:rsid w:val="00BE7477"/>
    <w:rsid w:val="00BE7572"/>
    <w:rsid w:val="00BE7C54"/>
    <w:rsid w:val="00BF04C7"/>
    <w:rsid w:val="00BF0AEB"/>
    <w:rsid w:val="00BF0CA4"/>
    <w:rsid w:val="00BF0CD9"/>
    <w:rsid w:val="00BF0EEE"/>
    <w:rsid w:val="00BF0F2E"/>
    <w:rsid w:val="00BF0F45"/>
    <w:rsid w:val="00BF109A"/>
    <w:rsid w:val="00BF1357"/>
    <w:rsid w:val="00BF151A"/>
    <w:rsid w:val="00BF1769"/>
    <w:rsid w:val="00BF19D5"/>
    <w:rsid w:val="00BF19E2"/>
    <w:rsid w:val="00BF1EC1"/>
    <w:rsid w:val="00BF1EE9"/>
    <w:rsid w:val="00BF238C"/>
    <w:rsid w:val="00BF2E84"/>
    <w:rsid w:val="00BF3607"/>
    <w:rsid w:val="00BF3827"/>
    <w:rsid w:val="00BF386D"/>
    <w:rsid w:val="00BF3FDA"/>
    <w:rsid w:val="00BF4237"/>
    <w:rsid w:val="00BF444C"/>
    <w:rsid w:val="00BF5413"/>
    <w:rsid w:val="00BF58B2"/>
    <w:rsid w:val="00BF5BE0"/>
    <w:rsid w:val="00BF5C7A"/>
    <w:rsid w:val="00BF6568"/>
    <w:rsid w:val="00BF67C4"/>
    <w:rsid w:val="00BF6B95"/>
    <w:rsid w:val="00BF6E04"/>
    <w:rsid w:val="00BF6FFB"/>
    <w:rsid w:val="00BF7065"/>
    <w:rsid w:val="00BF7258"/>
    <w:rsid w:val="00BF7400"/>
    <w:rsid w:val="00BF7537"/>
    <w:rsid w:val="00BF7547"/>
    <w:rsid w:val="00BF7637"/>
    <w:rsid w:val="00BF7D00"/>
    <w:rsid w:val="00BF7D4A"/>
    <w:rsid w:val="00BF7F21"/>
    <w:rsid w:val="00C0060B"/>
    <w:rsid w:val="00C00CCF"/>
    <w:rsid w:val="00C01200"/>
    <w:rsid w:val="00C013D3"/>
    <w:rsid w:val="00C01400"/>
    <w:rsid w:val="00C0172D"/>
    <w:rsid w:val="00C017B8"/>
    <w:rsid w:val="00C01FF6"/>
    <w:rsid w:val="00C029F7"/>
    <w:rsid w:val="00C02B54"/>
    <w:rsid w:val="00C02EA0"/>
    <w:rsid w:val="00C03548"/>
    <w:rsid w:val="00C03591"/>
    <w:rsid w:val="00C036B1"/>
    <w:rsid w:val="00C03905"/>
    <w:rsid w:val="00C03B92"/>
    <w:rsid w:val="00C03D96"/>
    <w:rsid w:val="00C0489E"/>
    <w:rsid w:val="00C04A66"/>
    <w:rsid w:val="00C04B56"/>
    <w:rsid w:val="00C0508F"/>
    <w:rsid w:val="00C0596A"/>
    <w:rsid w:val="00C0611E"/>
    <w:rsid w:val="00C07232"/>
    <w:rsid w:val="00C10076"/>
    <w:rsid w:val="00C10217"/>
    <w:rsid w:val="00C10375"/>
    <w:rsid w:val="00C10657"/>
    <w:rsid w:val="00C10A40"/>
    <w:rsid w:val="00C10AD8"/>
    <w:rsid w:val="00C1192A"/>
    <w:rsid w:val="00C119A1"/>
    <w:rsid w:val="00C12A72"/>
    <w:rsid w:val="00C12C2B"/>
    <w:rsid w:val="00C12CF9"/>
    <w:rsid w:val="00C133F2"/>
    <w:rsid w:val="00C135D9"/>
    <w:rsid w:val="00C138D0"/>
    <w:rsid w:val="00C13C62"/>
    <w:rsid w:val="00C14453"/>
    <w:rsid w:val="00C14D1C"/>
    <w:rsid w:val="00C15069"/>
    <w:rsid w:val="00C15291"/>
    <w:rsid w:val="00C15351"/>
    <w:rsid w:val="00C15A90"/>
    <w:rsid w:val="00C15C2A"/>
    <w:rsid w:val="00C16502"/>
    <w:rsid w:val="00C16838"/>
    <w:rsid w:val="00C16A20"/>
    <w:rsid w:val="00C17095"/>
    <w:rsid w:val="00C1722C"/>
    <w:rsid w:val="00C17537"/>
    <w:rsid w:val="00C176EB"/>
    <w:rsid w:val="00C178CA"/>
    <w:rsid w:val="00C17A63"/>
    <w:rsid w:val="00C17AFC"/>
    <w:rsid w:val="00C20605"/>
    <w:rsid w:val="00C206F9"/>
    <w:rsid w:val="00C20C6F"/>
    <w:rsid w:val="00C211A2"/>
    <w:rsid w:val="00C219EB"/>
    <w:rsid w:val="00C22580"/>
    <w:rsid w:val="00C229D3"/>
    <w:rsid w:val="00C232CD"/>
    <w:rsid w:val="00C2334E"/>
    <w:rsid w:val="00C237D0"/>
    <w:rsid w:val="00C23ABC"/>
    <w:rsid w:val="00C24DE6"/>
    <w:rsid w:val="00C24FEF"/>
    <w:rsid w:val="00C25290"/>
    <w:rsid w:val="00C25680"/>
    <w:rsid w:val="00C25746"/>
    <w:rsid w:val="00C25D86"/>
    <w:rsid w:val="00C26034"/>
    <w:rsid w:val="00C266D1"/>
    <w:rsid w:val="00C26E02"/>
    <w:rsid w:val="00C273A6"/>
    <w:rsid w:val="00C27B96"/>
    <w:rsid w:val="00C3014C"/>
    <w:rsid w:val="00C311B3"/>
    <w:rsid w:val="00C31845"/>
    <w:rsid w:val="00C31901"/>
    <w:rsid w:val="00C31C51"/>
    <w:rsid w:val="00C327B5"/>
    <w:rsid w:val="00C33074"/>
    <w:rsid w:val="00C334D3"/>
    <w:rsid w:val="00C336BB"/>
    <w:rsid w:val="00C33D8C"/>
    <w:rsid w:val="00C340E7"/>
    <w:rsid w:val="00C34343"/>
    <w:rsid w:val="00C3470C"/>
    <w:rsid w:val="00C35056"/>
    <w:rsid w:val="00C3533E"/>
    <w:rsid w:val="00C356CF"/>
    <w:rsid w:val="00C36597"/>
    <w:rsid w:val="00C36CA3"/>
    <w:rsid w:val="00C36D3D"/>
    <w:rsid w:val="00C3714B"/>
    <w:rsid w:val="00C37542"/>
    <w:rsid w:val="00C37629"/>
    <w:rsid w:val="00C37643"/>
    <w:rsid w:val="00C37895"/>
    <w:rsid w:val="00C37E60"/>
    <w:rsid w:val="00C400FE"/>
    <w:rsid w:val="00C40F47"/>
    <w:rsid w:val="00C4118C"/>
    <w:rsid w:val="00C41571"/>
    <w:rsid w:val="00C41729"/>
    <w:rsid w:val="00C41738"/>
    <w:rsid w:val="00C41A23"/>
    <w:rsid w:val="00C41C6F"/>
    <w:rsid w:val="00C420CF"/>
    <w:rsid w:val="00C42630"/>
    <w:rsid w:val="00C4271A"/>
    <w:rsid w:val="00C427B8"/>
    <w:rsid w:val="00C428F5"/>
    <w:rsid w:val="00C42BD3"/>
    <w:rsid w:val="00C42D55"/>
    <w:rsid w:val="00C42DC3"/>
    <w:rsid w:val="00C430F0"/>
    <w:rsid w:val="00C43485"/>
    <w:rsid w:val="00C43687"/>
    <w:rsid w:val="00C44861"/>
    <w:rsid w:val="00C4559F"/>
    <w:rsid w:val="00C4566B"/>
    <w:rsid w:val="00C45883"/>
    <w:rsid w:val="00C463CD"/>
    <w:rsid w:val="00C4668B"/>
    <w:rsid w:val="00C4672F"/>
    <w:rsid w:val="00C47209"/>
    <w:rsid w:val="00C47498"/>
    <w:rsid w:val="00C4795B"/>
    <w:rsid w:val="00C50CE8"/>
    <w:rsid w:val="00C50EBF"/>
    <w:rsid w:val="00C50EC9"/>
    <w:rsid w:val="00C50EF2"/>
    <w:rsid w:val="00C51BE3"/>
    <w:rsid w:val="00C51DF1"/>
    <w:rsid w:val="00C521D5"/>
    <w:rsid w:val="00C52235"/>
    <w:rsid w:val="00C52266"/>
    <w:rsid w:val="00C5227C"/>
    <w:rsid w:val="00C52303"/>
    <w:rsid w:val="00C5232D"/>
    <w:rsid w:val="00C52986"/>
    <w:rsid w:val="00C52CC9"/>
    <w:rsid w:val="00C539F7"/>
    <w:rsid w:val="00C53ED5"/>
    <w:rsid w:val="00C54436"/>
    <w:rsid w:val="00C54513"/>
    <w:rsid w:val="00C54957"/>
    <w:rsid w:val="00C54A3D"/>
    <w:rsid w:val="00C54B4E"/>
    <w:rsid w:val="00C55037"/>
    <w:rsid w:val="00C55095"/>
    <w:rsid w:val="00C5529C"/>
    <w:rsid w:val="00C55514"/>
    <w:rsid w:val="00C556A9"/>
    <w:rsid w:val="00C55932"/>
    <w:rsid w:val="00C55A38"/>
    <w:rsid w:val="00C55AF6"/>
    <w:rsid w:val="00C55BF7"/>
    <w:rsid w:val="00C5638C"/>
    <w:rsid w:val="00C56A15"/>
    <w:rsid w:val="00C56DE1"/>
    <w:rsid w:val="00C5717E"/>
    <w:rsid w:val="00C573E5"/>
    <w:rsid w:val="00C57483"/>
    <w:rsid w:val="00C57D12"/>
    <w:rsid w:val="00C57D5E"/>
    <w:rsid w:val="00C57DBE"/>
    <w:rsid w:val="00C6000B"/>
    <w:rsid w:val="00C60433"/>
    <w:rsid w:val="00C60C3E"/>
    <w:rsid w:val="00C60D15"/>
    <w:rsid w:val="00C60F97"/>
    <w:rsid w:val="00C612AB"/>
    <w:rsid w:val="00C61457"/>
    <w:rsid w:val="00C61AB5"/>
    <w:rsid w:val="00C61C76"/>
    <w:rsid w:val="00C61E9F"/>
    <w:rsid w:val="00C6220C"/>
    <w:rsid w:val="00C6233E"/>
    <w:rsid w:val="00C62390"/>
    <w:rsid w:val="00C629BE"/>
    <w:rsid w:val="00C62EC2"/>
    <w:rsid w:val="00C63556"/>
    <w:rsid w:val="00C63650"/>
    <w:rsid w:val="00C63BE0"/>
    <w:rsid w:val="00C63FE6"/>
    <w:rsid w:val="00C64A23"/>
    <w:rsid w:val="00C64CB1"/>
    <w:rsid w:val="00C64D1C"/>
    <w:rsid w:val="00C64DB3"/>
    <w:rsid w:val="00C65311"/>
    <w:rsid w:val="00C65492"/>
    <w:rsid w:val="00C65501"/>
    <w:rsid w:val="00C6551F"/>
    <w:rsid w:val="00C662D6"/>
    <w:rsid w:val="00C667F8"/>
    <w:rsid w:val="00C669ED"/>
    <w:rsid w:val="00C674E3"/>
    <w:rsid w:val="00C675F0"/>
    <w:rsid w:val="00C677A5"/>
    <w:rsid w:val="00C678FE"/>
    <w:rsid w:val="00C69B30"/>
    <w:rsid w:val="00C70398"/>
    <w:rsid w:val="00C70822"/>
    <w:rsid w:val="00C709BF"/>
    <w:rsid w:val="00C70B09"/>
    <w:rsid w:val="00C70DB2"/>
    <w:rsid w:val="00C71558"/>
    <w:rsid w:val="00C715D0"/>
    <w:rsid w:val="00C7165A"/>
    <w:rsid w:val="00C718EF"/>
    <w:rsid w:val="00C7208D"/>
    <w:rsid w:val="00C720FD"/>
    <w:rsid w:val="00C72189"/>
    <w:rsid w:val="00C72205"/>
    <w:rsid w:val="00C725C6"/>
    <w:rsid w:val="00C72704"/>
    <w:rsid w:val="00C72CBA"/>
    <w:rsid w:val="00C736CD"/>
    <w:rsid w:val="00C73753"/>
    <w:rsid w:val="00C7380B"/>
    <w:rsid w:val="00C73B1A"/>
    <w:rsid w:val="00C73BF8"/>
    <w:rsid w:val="00C73C13"/>
    <w:rsid w:val="00C741A1"/>
    <w:rsid w:val="00C755F3"/>
    <w:rsid w:val="00C7571B"/>
    <w:rsid w:val="00C758BF"/>
    <w:rsid w:val="00C758C3"/>
    <w:rsid w:val="00C75AE8"/>
    <w:rsid w:val="00C76002"/>
    <w:rsid w:val="00C763AC"/>
    <w:rsid w:val="00C76432"/>
    <w:rsid w:val="00C76668"/>
    <w:rsid w:val="00C76A9F"/>
    <w:rsid w:val="00C76FF0"/>
    <w:rsid w:val="00C7726C"/>
    <w:rsid w:val="00C7744B"/>
    <w:rsid w:val="00C7760F"/>
    <w:rsid w:val="00C7764C"/>
    <w:rsid w:val="00C77D9A"/>
    <w:rsid w:val="00C77EDB"/>
    <w:rsid w:val="00C802FD"/>
    <w:rsid w:val="00C80440"/>
    <w:rsid w:val="00C80AC4"/>
    <w:rsid w:val="00C80DD2"/>
    <w:rsid w:val="00C8106B"/>
    <w:rsid w:val="00C81A75"/>
    <w:rsid w:val="00C82364"/>
    <w:rsid w:val="00C82589"/>
    <w:rsid w:val="00C82779"/>
    <w:rsid w:val="00C82919"/>
    <w:rsid w:val="00C82AC5"/>
    <w:rsid w:val="00C82D2E"/>
    <w:rsid w:val="00C82E06"/>
    <w:rsid w:val="00C82F4F"/>
    <w:rsid w:val="00C83F26"/>
    <w:rsid w:val="00C840E2"/>
    <w:rsid w:val="00C84548"/>
    <w:rsid w:val="00C86BAB"/>
    <w:rsid w:val="00C87937"/>
    <w:rsid w:val="00C9045B"/>
    <w:rsid w:val="00C90A9E"/>
    <w:rsid w:val="00C91A97"/>
    <w:rsid w:val="00C91D8D"/>
    <w:rsid w:val="00C9246E"/>
    <w:rsid w:val="00C92823"/>
    <w:rsid w:val="00C9313F"/>
    <w:rsid w:val="00C9364F"/>
    <w:rsid w:val="00C93AD6"/>
    <w:rsid w:val="00C93CDC"/>
    <w:rsid w:val="00C93E21"/>
    <w:rsid w:val="00C9441E"/>
    <w:rsid w:val="00C94C11"/>
    <w:rsid w:val="00C94E1C"/>
    <w:rsid w:val="00C9531B"/>
    <w:rsid w:val="00C9532E"/>
    <w:rsid w:val="00C956AC"/>
    <w:rsid w:val="00C959CE"/>
    <w:rsid w:val="00C95DFA"/>
    <w:rsid w:val="00C96321"/>
    <w:rsid w:val="00C96596"/>
    <w:rsid w:val="00C96D13"/>
    <w:rsid w:val="00C96D34"/>
    <w:rsid w:val="00C96E6C"/>
    <w:rsid w:val="00C96EE0"/>
    <w:rsid w:val="00C9701F"/>
    <w:rsid w:val="00C972B2"/>
    <w:rsid w:val="00C97307"/>
    <w:rsid w:val="00C973C3"/>
    <w:rsid w:val="00C9768A"/>
    <w:rsid w:val="00C97959"/>
    <w:rsid w:val="00C97C13"/>
    <w:rsid w:val="00C97D37"/>
    <w:rsid w:val="00C97D3E"/>
    <w:rsid w:val="00CA05ED"/>
    <w:rsid w:val="00CA0705"/>
    <w:rsid w:val="00CA0E63"/>
    <w:rsid w:val="00CA1C85"/>
    <w:rsid w:val="00CA1EFC"/>
    <w:rsid w:val="00CA22ED"/>
    <w:rsid w:val="00CA3362"/>
    <w:rsid w:val="00CA36A5"/>
    <w:rsid w:val="00CA38BC"/>
    <w:rsid w:val="00CA3C8C"/>
    <w:rsid w:val="00CA4427"/>
    <w:rsid w:val="00CA476A"/>
    <w:rsid w:val="00CA4837"/>
    <w:rsid w:val="00CA4896"/>
    <w:rsid w:val="00CA4E90"/>
    <w:rsid w:val="00CA5161"/>
    <w:rsid w:val="00CA51F8"/>
    <w:rsid w:val="00CA533B"/>
    <w:rsid w:val="00CA5BB5"/>
    <w:rsid w:val="00CA5BC5"/>
    <w:rsid w:val="00CA5C29"/>
    <w:rsid w:val="00CA5D00"/>
    <w:rsid w:val="00CA619C"/>
    <w:rsid w:val="00CA625A"/>
    <w:rsid w:val="00CA63DC"/>
    <w:rsid w:val="00CA6B96"/>
    <w:rsid w:val="00CA6CA0"/>
    <w:rsid w:val="00CA6DB2"/>
    <w:rsid w:val="00CA6E22"/>
    <w:rsid w:val="00CA7136"/>
    <w:rsid w:val="00CA71D8"/>
    <w:rsid w:val="00CA7D0A"/>
    <w:rsid w:val="00CA7F24"/>
    <w:rsid w:val="00CA7FBA"/>
    <w:rsid w:val="00CB06CC"/>
    <w:rsid w:val="00CB0710"/>
    <w:rsid w:val="00CB0B0F"/>
    <w:rsid w:val="00CB0BD5"/>
    <w:rsid w:val="00CB0D78"/>
    <w:rsid w:val="00CB0E60"/>
    <w:rsid w:val="00CB1577"/>
    <w:rsid w:val="00CB1968"/>
    <w:rsid w:val="00CB1A17"/>
    <w:rsid w:val="00CB1ABE"/>
    <w:rsid w:val="00CB25D2"/>
    <w:rsid w:val="00CB286F"/>
    <w:rsid w:val="00CB3749"/>
    <w:rsid w:val="00CB3759"/>
    <w:rsid w:val="00CB39C9"/>
    <w:rsid w:val="00CB427B"/>
    <w:rsid w:val="00CB45D0"/>
    <w:rsid w:val="00CB521E"/>
    <w:rsid w:val="00CB53A7"/>
    <w:rsid w:val="00CB53FD"/>
    <w:rsid w:val="00CB55E9"/>
    <w:rsid w:val="00CB59A0"/>
    <w:rsid w:val="00CB59E2"/>
    <w:rsid w:val="00CB5AAA"/>
    <w:rsid w:val="00CB5D61"/>
    <w:rsid w:val="00CB5EE3"/>
    <w:rsid w:val="00CB5F62"/>
    <w:rsid w:val="00CB5FA8"/>
    <w:rsid w:val="00CB66A1"/>
    <w:rsid w:val="00CB6A3D"/>
    <w:rsid w:val="00CB7BAD"/>
    <w:rsid w:val="00CB7DD7"/>
    <w:rsid w:val="00CB7ED9"/>
    <w:rsid w:val="00CC0156"/>
    <w:rsid w:val="00CC016B"/>
    <w:rsid w:val="00CC0788"/>
    <w:rsid w:val="00CC09B5"/>
    <w:rsid w:val="00CC0A5E"/>
    <w:rsid w:val="00CC1FA3"/>
    <w:rsid w:val="00CC2129"/>
    <w:rsid w:val="00CC2282"/>
    <w:rsid w:val="00CC2312"/>
    <w:rsid w:val="00CC2440"/>
    <w:rsid w:val="00CC246E"/>
    <w:rsid w:val="00CC251A"/>
    <w:rsid w:val="00CC27A9"/>
    <w:rsid w:val="00CC2EC5"/>
    <w:rsid w:val="00CC312A"/>
    <w:rsid w:val="00CC3724"/>
    <w:rsid w:val="00CC4040"/>
    <w:rsid w:val="00CC40E1"/>
    <w:rsid w:val="00CC4336"/>
    <w:rsid w:val="00CC4339"/>
    <w:rsid w:val="00CC4394"/>
    <w:rsid w:val="00CC4465"/>
    <w:rsid w:val="00CC466A"/>
    <w:rsid w:val="00CC4D57"/>
    <w:rsid w:val="00CC4F89"/>
    <w:rsid w:val="00CC506D"/>
    <w:rsid w:val="00CC6398"/>
    <w:rsid w:val="00CC72C1"/>
    <w:rsid w:val="00CC785D"/>
    <w:rsid w:val="00CC7A0D"/>
    <w:rsid w:val="00CC7E15"/>
    <w:rsid w:val="00CC7E90"/>
    <w:rsid w:val="00CD00B7"/>
    <w:rsid w:val="00CD0A56"/>
    <w:rsid w:val="00CD10EB"/>
    <w:rsid w:val="00CD1149"/>
    <w:rsid w:val="00CD11D0"/>
    <w:rsid w:val="00CD1301"/>
    <w:rsid w:val="00CD152C"/>
    <w:rsid w:val="00CD1CEE"/>
    <w:rsid w:val="00CD2204"/>
    <w:rsid w:val="00CD2219"/>
    <w:rsid w:val="00CD232B"/>
    <w:rsid w:val="00CD2885"/>
    <w:rsid w:val="00CD2B26"/>
    <w:rsid w:val="00CD2B36"/>
    <w:rsid w:val="00CD306A"/>
    <w:rsid w:val="00CD30D9"/>
    <w:rsid w:val="00CD3147"/>
    <w:rsid w:val="00CD3403"/>
    <w:rsid w:val="00CD3552"/>
    <w:rsid w:val="00CD3C03"/>
    <w:rsid w:val="00CD44D6"/>
    <w:rsid w:val="00CD4AAA"/>
    <w:rsid w:val="00CD4F54"/>
    <w:rsid w:val="00CD5125"/>
    <w:rsid w:val="00CD5B6A"/>
    <w:rsid w:val="00CD5D89"/>
    <w:rsid w:val="00CD5DCC"/>
    <w:rsid w:val="00CD6036"/>
    <w:rsid w:val="00CD633F"/>
    <w:rsid w:val="00CD63BB"/>
    <w:rsid w:val="00CD6505"/>
    <w:rsid w:val="00CD6AE1"/>
    <w:rsid w:val="00CD6B8D"/>
    <w:rsid w:val="00CD78D2"/>
    <w:rsid w:val="00CD7DA2"/>
    <w:rsid w:val="00CDAC7E"/>
    <w:rsid w:val="00CE09E0"/>
    <w:rsid w:val="00CE0D6A"/>
    <w:rsid w:val="00CE100F"/>
    <w:rsid w:val="00CE19CB"/>
    <w:rsid w:val="00CE1EA5"/>
    <w:rsid w:val="00CE1EB9"/>
    <w:rsid w:val="00CE1EBE"/>
    <w:rsid w:val="00CE1EC4"/>
    <w:rsid w:val="00CE1FE0"/>
    <w:rsid w:val="00CE2152"/>
    <w:rsid w:val="00CE22FD"/>
    <w:rsid w:val="00CE242A"/>
    <w:rsid w:val="00CE260D"/>
    <w:rsid w:val="00CE34E8"/>
    <w:rsid w:val="00CE4565"/>
    <w:rsid w:val="00CE4689"/>
    <w:rsid w:val="00CE4E1B"/>
    <w:rsid w:val="00CE5BE8"/>
    <w:rsid w:val="00CE61D6"/>
    <w:rsid w:val="00CE62B0"/>
    <w:rsid w:val="00CE6456"/>
    <w:rsid w:val="00CE67DC"/>
    <w:rsid w:val="00CE6B6A"/>
    <w:rsid w:val="00CE6C72"/>
    <w:rsid w:val="00CE7359"/>
    <w:rsid w:val="00CE75DA"/>
    <w:rsid w:val="00CF00A5"/>
    <w:rsid w:val="00CF045E"/>
    <w:rsid w:val="00CF04C1"/>
    <w:rsid w:val="00CF0692"/>
    <w:rsid w:val="00CF0729"/>
    <w:rsid w:val="00CF0A08"/>
    <w:rsid w:val="00CF187B"/>
    <w:rsid w:val="00CF1E53"/>
    <w:rsid w:val="00CF1F11"/>
    <w:rsid w:val="00CF2242"/>
    <w:rsid w:val="00CF2687"/>
    <w:rsid w:val="00CF29DF"/>
    <w:rsid w:val="00CF2E6C"/>
    <w:rsid w:val="00CF30C9"/>
    <w:rsid w:val="00CF3530"/>
    <w:rsid w:val="00CF354F"/>
    <w:rsid w:val="00CF38B3"/>
    <w:rsid w:val="00CF3A15"/>
    <w:rsid w:val="00CF40A1"/>
    <w:rsid w:val="00CF41C5"/>
    <w:rsid w:val="00CF46CF"/>
    <w:rsid w:val="00CF4D23"/>
    <w:rsid w:val="00CF5398"/>
    <w:rsid w:val="00CF6112"/>
    <w:rsid w:val="00CF6DE9"/>
    <w:rsid w:val="00CF7019"/>
    <w:rsid w:val="00CF750F"/>
    <w:rsid w:val="00CF76B1"/>
    <w:rsid w:val="00CF7774"/>
    <w:rsid w:val="00CF77A8"/>
    <w:rsid w:val="00D004C2"/>
    <w:rsid w:val="00D0114E"/>
    <w:rsid w:val="00D020A3"/>
    <w:rsid w:val="00D02374"/>
    <w:rsid w:val="00D02E50"/>
    <w:rsid w:val="00D031BE"/>
    <w:rsid w:val="00D031D2"/>
    <w:rsid w:val="00D032D6"/>
    <w:rsid w:val="00D0359F"/>
    <w:rsid w:val="00D039CD"/>
    <w:rsid w:val="00D03B4D"/>
    <w:rsid w:val="00D04241"/>
    <w:rsid w:val="00D04AFB"/>
    <w:rsid w:val="00D04B78"/>
    <w:rsid w:val="00D04D1B"/>
    <w:rsid w:val="00D0534D"/>
    <w:rsid w:val="00D055CF"/>
    <w:rsid w:val="00D05602"/>
    <w:rsid w:val="00D05B81"/>
    <w:rsid w:val="00D05FE9"/>
    <w:rsid w:val="00D064B0"/>
    <w:rsid w:val="00D0677E"/>
    <w:rsid w:val="00D06B33"/>
    <w:rsid w:val="00D06B39"/>
    <w:rsid w:val="00D0761D"/>
    <w:rsid w:val="00D078A6"/>
    <w:rsid w:val="00D079F3"/>
    <w:rsid w:val="00D07B4B"/>
    <w:rsid w:val="00D07E7D"/>
    <w:rsid w:val="00D1038B"/>
    <w:rsid w:val="00D10837"/>
    <w:rsid w:val="00D108B7"/>
    <w:rsid w:val="00D10966"/>
    <w:rsid w:val="00D10F50"/>
    <w:rsid w:val="00D11456"/>
    <w:rsid w:val="00D116EA"/>
    <w:rsid w:val="00D1176F"/>
    <w:rsid w:val="00D117D6"/>
    <w:rsid w:val="00D11A29"/>
    <w:rsid w:val="00D12013"/>
    <w:rsid w:val="00D125AB"/>
    <w:rsid w:val="00D129C7"/>
    <w:rsid w:val="00D12D6E"/>
    <w:rsid w:val="00D12DB9"/>
    <w:rsid w:val="00D13226"/>
    <w:rsid w:val="00D139A8"/>
    <w:rsid w:val="00D14304"/>
    <w:rsid w:val="00D14329"/>
    <w:rsid w:val="00D1494F"/>
    <w:rsid w:val="00D14BF4"/>
    <w:rsid w:val="00D14CEF"/>
    <w:rsid w:val="00D14DC9"/>
    <w:rsid w:val="00D151E2"/>
    <w:rsid w:val="00D152C3"/>
    <w:rsid w:val="00D153FE"/>
    <w:rsid w:val="00D158CB"/>
    <w:rsid w:val="00D15939"/>
    <w:rsid w:val="00D15D68"/>
    <w:rsid w:val="00D160E6"/>
    <w:rsid w:val="00D167E5"/>
    <w:rsid w:val="00D167F2"/>
    <w:rsid w:val="00D169A2"/>
    <w:rsid w:val="00D16CB5"/>
    <w:rsid w:val="00D16EE1"/>
    <w:rsid w:val="00D17936"/>
    <w:rsid w:val="00D17E28"/>
    <w:rsid w:val="00D20068"/>
    <w:rsid w:val="00D20399"/>
    <w:rsid w:val="00D208B0"/>
    <w:rsid w:val="00D20A53"/>
    <w:rsid w:val="00D20B0B"/>
    <w:rsid w:val="00D20BD9"/>
    <w:rsid w:val="00D214CF"/>
    <w:rsid w:val="00D21949"/>
    <w:rsid w:val="00D2275C"/>
    <w:rsid w:val="00D22861"/>
    <w:rsid w:val="00D22894"/>
    <w:rsid w:val="00D229C0"/>
    <w:rsid w:val="00D22ECA"/>
    <w:rsid w:val="00D23479"/>
    <w:rsid w:val="00D2356E"/>
    <w:rsid w:val="00D2387E"/>
    <w:rsid w:val="00D239B3"/>
    <w:rsid w:val="00D23FD0"/>
    <w:rsid w:val="00D2433D"/>
    <w:rsid w:val="00D246A1"/>
    <w:rsid w:val="00D24715"/>
    <w:rsid w:val="00D24D79"/>
    <w:rsid w:val="00D24DE0"/>
    <w:rsid w:val="00D24DEF"/>
    <w:rsid w:val="00D25474"/>
    <w:rsid w:val="00D2570B"/>
    <w:rsid w:val="00D25A7E"/>
    <w:rsid w:val="00D26320"/>
    <w:rsid w:val="00D26519"/>
    <w:rsid w:val="00D2664D"/>
    <w:rsid w:val="00D266B9"/>
    <w:rsid w:val="00D2685B"/>
    <w:rsid w:val="00D26DE6"/>
    <w:rsid w:val="00D2787B"/>
    <w:rsid w:val="00D3045C"/>
    <w:rsid w:val="00D30824"/>
    <w:rsid w:val="00D30B9E"/>
    <w:rsid w:val="00D30DE4"/>
    <w:rsid w:val="00D30F79"/>
    <w:rsid w:val="00D31582"/>
    <w:rsid w:val="00D316BA"/>
    <w:rsid w:val="00D3184F"/>
    <w:rsid w:val="00D318EC"/>
    <w:rsid w:val="00D31BD4"/>
    <w:rsid w:val="00D31C11"/>
    <w:rsid w:val="00D32230"/>
    <w:rsid w:val="00D3224A"/>
    <w:rsid w:val="00D3249B"/>
    <w:rsid w:val="00D3299D"/>
    <w:rsid w:val="00D32B80"/>
    <w:rsid w:val="00D33066"/>
    <w:rsid w:val="00D330E3"/>
    <w:rsid w:val="00D33123"/>
    <w:rsid w:val="00D33295"/>
    <w:rsid w:val="00D332AA"/>
    <w:rsid w:val="00D33876"/>
    <w:rsid w:val="00D338D8"/>
    <w:rsid w:val="00D33929"/>
    <w:rsid w:val="00D339AB"/>
    <w:rsid w:val="00D33B3A"/>
    <w:rsid w:val="00D33DF1"/>
    <w:rsid w:val="00D3438F"/>
    <w:rsid w:val="00D34400"/>
    <w:rsid w:val="00D34D35"/>
    <w:rsid w:val="00D34EF6"/>
    <w:rsid w:val="00D35438"/>
    <w:rsid w:val="00D35B8E"/>
    <w:rsid w:val="00D35C0A"/>
    <w:rsid w:val="00D35C41"/>
    <w:rsid w:val="00D36585"/>
    <w:rsid w:val="00D3695F"/>
    <w:rsid w:val="00D36D92"/>
    <w:rsid w:val="00D37616"/>
    <w:rsid w:val="00D37C00"/>
    <w:rsid w:val="00D407DC"/>
    <w:rsid w:val="00D42B09"/>
    <w:rsid w:val="00D42B20"/>
    <w:rsid w:val="00D42E7A"/>
    <w:rsid w:val="00D42F82"/>
    <w:rsid w:val="00D4364C"/>
    <w:rsid w:val="00D438B9"/>
    <w:rsid w:val="00D43A1B"/>
    <w:rsid w:val="00D43A79"/>
    <w:rsid w:val="00D43D49"/>
    <w:rsid w:val="00D446BE"/>
    <w:rsid w:val="00D44B69"/>
    <w:rsid w:val="00D44CE1"/>
    <w:rsid w:val="00D45312"/>
    <w:rsid w:val="00D45C6D"/>
    <w:rsid w:val="00D45D2E"/>
    <w:rsid w:val="00D45E59"/>
    <w:rsid w:val="00D45E8F"/>
    <w:rsid w:val="00D4612A"/>
    <w:rsid w:val="00D46378"/>
    <w:rsid w:val="00D4662E"/>
    <w:rsid w:val="00D46696"/>
    <w:rsid w:val="00D467FE"/>
    <w:rsid w:val="00D4699F"/>
    <w:rsid w:val="00D46B64"/>
    <w:rsid w:val="00D46C17"/>
    <w:rsid w:val="00D47601"/>
    <w:rsid w:val="00D47D1F"/>
    <w:rsid w:val="00D502D6"/>
    <w:rsid w:val="00D50819"/>
    <w:rsid w:val="00D50A89"/>
    <w:rsid w:val="00D50CAD"/>
    <w:rsid w:val="00D5124B"/>
    <w:rsid w:val="00D52160"/>
    <w:rsid w:val="00D52290"/>
    <w:rsid w:val="00D52C3D"/>
    <w:rsid w:val="00D53990"/>
    <w:rsid w:val="00D53CA8"/>
    <w:rsid w:val="00D53DAE"/>
    <w:rsid w:val="00D5422F"/>
    <w:rsid w:val="00D5424C"/>
    <w:rsid w:val="00D549A4"/>
    <w:rsid w:val="00D553CD"/>
    <w:rsid w:val="00D55B6F"/>
    <w:rsid w:val="00D56142"/>
    <w:rsid w:val="00D56334"/>
    <w:rsid w:val="00D57129"/>
    <w:rsid w:val="00D574ED"/>
    <w:rsid w:val="00D57A7F"/>
    <w:rsid w:val="00D60331"/>
    <w:rsid w:val="00D603C3"/>
    <w:rsid w:val="00D60A39"/>
    <w:rsid w:val="00D60BA8"/>
    <w:rsid w:val="00D60CA5"/>
    <w:rsid w:val="00D60FE2"/>
    <w:rsid w:val="00D611B1"/>
    <w:rsid w:val="00D617D1"/>
    <w:rsid w:val="00D61A66"/>
    <w:rsid w:val="00D61AC8"/>
    <w:rsid w:val="00D61BCF"/>
    <w:rsid w:val="00D61D0B"/>
    <w:rsid w:val="00D6218F"/>
    <w:rsid w:val="00D62440"/>
    <w:rsid w:val="00D6249B"/>
    <w:rsid w:val="00D62C46"/>
    <w:rsid w:val="00D632A8"/>
    <w:rsid w:val="00D63BD6"/>
    <w:rsid w:val="00D64A49"/>
    <w:rsid w:val="00D64EAF"/>
    <w:rsid w:val="00D64F9C"/>
    <w:rsid w:val="00D651ED"/>
    <w:rsid w:val="00D6549B"/>
    <w:rsid w:val="00D6556A"/>
    <w:rsid w:val="00D65914"/>
    <w:rsid w:val="00D65EF7"/>
    <w:rsid w:val="00D65EFC"/>
    <w:rsid w:val="00D66276"/>
    <w:rsid w:val="00D666B7"/>
    <w:rsid w:val="00D66882"/>
    <w:rsid w:val="00D66AC6"/>
    <w:rsid w:val="00D66C78"/>
    <w:rsid w:val="00D670CC"/>
    <w:rsid w:val="00D675CF"/>
    <w:rsid w:val="00D6771D"/>
    <w:rsid w:val="00D67779"/>
    <w:rsid w:val="00D70013"/>
    <w:rsid w:val="00D70513"/>
    <w:rsid w:val="00D70793"/>
    <w:rsid w:val="00D7119D"/>
    <w:rsid w:val="00D711FE"/>
    <w:rsid w:val="00D7141B"/>
    <w:rsid w:val="00D71568"/>
    <w:rsid w:val="00D7189B"/>
    <w:rsid w:val="00D720AC"/>
    <w:rsid w:val="00D720E0"/>
    <w:rsid w:val="00D729F9"/>
    <w:rsid w:val="00D72B34"/>
    <w:rsid w:val="00D72DCD"/>
    <w:rsid w:val="00D7314D"/>
    <w:rsid w:val="00D733B1"/>
    <w:rsid w:val="00D739BD"/>
    <w:rsid w:val="00D73AC4"/>
    <w:rsid w:val="00D73B97"/>
    <w:rsid w:val="00D742F3"/>
    <w:rsid w:val="00D74500"/>
    <w:rsid w:val="00D7484A"/>
    <w:rsid w:val="00D74A70"/>
    <w:rsid w:val="00D74BA1"/>
    <w:rsid w:val="00D757CD"/>
    <w:rsid w:val="00D75A72"/>
    <w:rsid w:val="00D75AB7"/>
    <w:rsid w:val="00D7604E"/>
    <w:rsid w:val="00D766D1"/>
    <w:rsid w:val="00D76A39"/>
    <w:rsid w:val="00D76F03"/>
    <w:rsid w:val="00D800EC"/>
    <w:rsid w:val="00D809D2"/>
    <w:rsid w:val="00D80C33"/>
    <w:rsid w:val="00D811D2"/>
    <w:rsid w:val="00D814F9"/>
    <w:rsid w:val="00D8198D"/>
    <w:rsid w:val="00D82749"/>
    <w:rsid w:val="00D83073"/>
    <w:rsid w:val="00D8391C"/>
    <w:rsid w:val="00D84817"/>
    <w:rsid w:val="00D84BB5"/>
    <w:rsid w:val="00D84C51"/>
    <w:rsid w:val="00D84E5E"/>
    <w:rsid w:val="00D84EFF"/>
    <w:rsid w:val="00D84F6C"/>
    <w:rsid w:val="00D856B7"/>
    <w:rsid w:val="00D8588D"/>
    <w:rsid w:val="00D85E02"/>
    <w:rsid w:val="00D86722"/>
    <w:rsid w:val="00D869EA"/>
    <w:rsid w:val="00D86DD9"/>
    <w:rsid w:val="00D86F64"/>
    <w:rsid w:val="00D87BA9"/>
    <w:rsid w:val="00D900B0"/>
    <w:rsid w:val="00D902A8"/>
    <w:rsid w:val="00D907D0"/>
    <w:rsid w:val="00D90973"/>
    <w:rsid w:val="00D911D9"/>
    <w:rsid w:val="00D918C6"/>
    <w:rsid w:val="00D91905"/>
    <w:rsid w:val="00D9212C"/>
    <w:rsid w:val="00D9233F"/>
    <w:rsid w:val="00D92D41"/>
    <w:rsid w:val="00D92EA0"/>
    <w:rsid w:val="00D93309"/>
    <w:rsid w:val="00D93700"/>
    <w:rsid w:val="00D9427E"/>
    <w:rsid w:val="00D9466A"/>
    <w:rsid w:val="00D94716"/>
    <w:rsid w:val="00D94CC1"/>
    <w:rsid w:val="00D94ECC"/>
    <w:rsid w:val="00D95338"/>
    <w:rsid w:val="00D9542D"/>
    <w:rsid w:val="00D9546C"/>
    <w:rsid w:val="00D959D0"/>
    <w:rsid w:val="00D95C2C"/>
    <w:rsid w:val="00D95C6A"/>
    <w:rsid w:val="00D95E30"/>
    <w:rsid w:val="00D96178"/>
    <w:rsid w:val="00D9696A"/>
    <w:rsid w:val="00D96C79"/>
    <w:rsid w:val="00D97DD4"/>
    <w:rsid w:val="00D97E76"/>
    <w:rsid w:val="00DA022A"/>
    <w:rsid w:val="00DA03B4"/>
    <w:rsid w:val="00DA0537"/>
    <w:rsid w:val="00DA0AE5"/>
    <w:rsid w:val="00DA0E14"/>
    <w:rsid w:val="00DA11B8"/>
    <w:rsid w:val="00DA11F9"/>
    <w:rsid w:val="00DA16C1"/>
    <w:rsid w:val="00DA1701"/>
    <w:rsid w:val="00DA1C10"/>
    <w:rsid w:val="00DA2124"/>
    <w:rsid w:val="00DA24DE"/>
    <w:rsid w:val="00DA347F"/>
    <w:rsid w:val="00DA3C01"/>
    <w:rsid w:val="00DA413B"/>
    <w:rsid w:val="00DA42C4"/>
    <w:rsid w:val="00DA4A2B"/>
    <w:rsid w:val="00DA53CD"/>
    <w:rsid w:val="00DA5661"/>
    <w:rsid w:val="00DA56EA"/>
    <w:rsid w:val="00DA57BE"/>
    <w:rsid w:val="00DA5CBD"/>
    <w:rsid w:val="00DA62A3"/>
    <w:rsid w:val="00DA657E"/>
    <w:rsid w:val="00DA66C2"/>
    <w:rsid w:val="00DA7362"/>
    <w:rsid w:val="00DA74D0"/>
    <w:rsid w:val="00DA7C35"/>
    <w:rsid w:val="00DB02BD"/>
    <w:rsid w:val="00DB02EE"/>
    <w:rsid w:val="00DB0583"/>
    <w:rsid w:val="00DB07E2"/>
    <w:rsid w:val="00DB11B3"/>
    <w:rsid w:val="00DB1237"/>
    <w:rsid w:val="00DB1489"/>
    <w:rsid w:val="00DB2127"/>
    <w:rsid w:val="00DB223F"/>
    <w:rsid w:val="00DB277F"/>
    <w:rsid w:val="00DB2A64"/>
    <w:rsid w:val="00DB2B30"/>
    <w:rsid w:val="00DB2CA1"/>
    <w:rsid w:val="00DB2D40"/>
    <w:rsid w:val="00DB31DD"/>
    <w:rsid w:val="00DB3BDC"/>
    <w:rsid w:val="00DB3EED"/>
    <w:rsid w:val="00DB40E7"/>
    <w:rsid w:val="00DB4253"/>
    <w:rsid w:val="00DB4404"/>
    <w:rsid w:val="00DB447D"/>
    <w:rsid w:val="00DB4633"/>
    <w:rsid w:val="00DB48E7"/>
    <w:rsid w:val="00DB4B58"/>
    <w:rsid w:val="00DB4D8B"/>
    <w:rsid w:val="00DB51A0"/>
    <w:rsid w:val="00DB566C"/>
    <w:rsid w:val="00DB5690"/>
    <w:rsid w:val="00DB6028"/>
    <w:rsid w:val="00DB6265"/>
    <w:rsid w:val="00DB63C3"/>
    <w:rsid w:val="00DB6A3C"/>
    <w:rsid w:val="00DB6B8E"/>
    <w:rsid w:val="00DB75BD"/>
    <w:rsid w:val="00DB7F73"/>
    <w:rsid w:val="00DB7FA0"/>
    <w:rsid w:val="00DC00F3"/>
    <w:rsid w:val="00DC0218"/>
    <w:rsid w:val="00DC0444"/>
    <w:rsid w:val="00DC0CA7"/>
    <w:rsid w:val="00DC0D1E"/>
    <w:rsid w:val="00DC13D3"/>
    <w:rsid w:val="00DC1C6F"/>
    <w:rsid w:val="00DC2048"/>
    <w:rsid w:val="00DC2295"/>
    <w:rsid w:val="00DC2391"/>
    <w:rsid w:val="00DC29BC"/>
    <w:rsid w:val="00DC2F65"/>
    <w:rsid w:val="00DC2FD0"/>
    <w:rsid w:val="00DC30D0"/>
    <w:rsid w:val="00DC339C"/>
    <w:rsid w:val="00DC3C67"/>
    <w:rsid w:val="00DC3D47"/>
    <w:rsid w:val="00DC49DC"/>
    <w:rsid w:val="00DC4EC8"/>
    <w:rsid w:val="00DC521A"/>
    <w:rsid w:val="00DC57AE"/>
    <w:rsid w:val="00DC57BB"/>
    <w:rsid w:val="00DC5E8F"/>
    <w:rsid w:val="00DC645C"/>
    <w:rsid w:val="00DC67EF"/>
    <w:rsid w:val="00DC6892"/>
    <w:rsid w:val="00DC708E"/>
    <w:rsid w:val="00DC7A23"/>
    <w:rsid w:val="00DC7A2A"/>
    <w:rsid w:val="00DC7C0F"/>
    <w:rsid w:val="00DD0E11"/>
    <w:rsid w:val="00DD12CE"/>
    <w:rsid w:val="00DD1EC0"/>
    <w:rsid w:val="00DD20E7"/>
    <w:rsid w:val="00DD29AD"/>
    <w:rsid w:val="00DD3096"/>
    <w:rsid w:val="00DD3159"/>
    <w:rsid w:val="00DD44E0"/>
    <w:rsid w:val="00DD45F4"/>
    <w:rsid w:val="00DD4E61"/>
    <w:rsid w:val="00DD51B4"/>
    <w:rsid w:val="00DD5585"/>
    <w:rsid w:val="00DD5D8F"/>
    <w:rsid w:val="00DD604B"/>
    <w:rsid w:val="00DD60F2"/>
    <w:rsid w:val="00DD6FE3"/>
    <w:rsid w:val="00DD7590"/>
    <w:rsid w:val="00DD7BFD"/>
    <w:rsid w:val="00DD7EFF"/>
    <w:rsid w:val="00DE059F"/>
    <w:rsid w:val="00DE0911"/>
    <w:rsid w:val="00DE0BDB"/>
    <w:rsid w:val="00DE0DF0"/>
    <w:rsid w:val="00DE0E4B"/>
    <w:rsid w:val="00DE0F36"/>
    <w:rsid w:val="00DE13D0"/>
    <w:rsid w:val="00DE1D3F"/>
    <w:rsid w:val="00DE1D87"/>
    <w:rsid w:val="00DE1E6C"/>
    <w:rsid w:val="00DE203F"/>
    <w:rsid w:val="00DE2314"/>
    <w:rsid w:val="00DE2BE5"/>
    <w:rsid w:val="00DE2F23"/>
    <w:rsid w:val="00DE2F8E"/>
    <w:rsid w:val="00DE3288"/>
    <w:rsid w:val="00DE3AF3"/>
    <w:rsid w:val="00DE3FD2"/>
    <w:rsid w:val="00DE4613"/>
    <w:rsid w:val="00DE4B13"/>
    <w:rsid w:val="00DE4BF7"/>
    <w:rsid w:val="00DE53C8"/>
    <w:rsid w:val="00DE5B2C"/>
    <w:rsid w:val="00DE5D54"/>
    <w:rsid w:val="00DE6584"/>
    <w:rsid w:val="00DE6C5B"/>
    <w:rsid w:val="00DE6F45"/>
    <w:rsid w:val="00DE7885"/>
    <w:rsid w:val="00DE79FF"/>
    <w:rsid w:val="00DE7A3E"/>
    <w:rsid w:val="00DE7EC1"/>
    <w:rsid w:val="00DF0269"/>
    <w:rsid w:val="00DF02DF"/>
    <w:rsid w:val="00DF0344"/>
    <w:rsid w:val="00DF0B3A"/>
    <w:rsid w:val="00DF0C5D"/>
    <w:rsid w:val="00DF0E2A"/>
    <w:rsid w:val="00DF1C12"/>
    <w:rsid w:val="00DF1C9B"/>
    <w:rsid w:val="00DF1D5D"/>
    <w:rsid w:val="00DF1DFD"/>
    <w:rsid w:val="00DF1EF9"/>
    <w:rsid w:val="00DF1FE4"/>
    <w:rsid w:val="00DF222E"/>
    <w:rsid w:val="00DF2950"/>
    <w:rsid w:val="00DF2AA0"/>
    <w:rsid w:val="00DF2AEF"/>
    <w:rsid w:val="00DF2C3D"/>
    <w:rsid w:val="00DF3267"/>
    <w:rsid w:val="00DF38E4"/>
    <w:rsid w:val="00DF3996"/>
    <w:rsid w:val="00DF3B56"/>
    <w:rsid w:val="00DF3E99"/>
    <w:rsid w:val="00DF4ECE"/>
    <w:rsid w:val="00DF50FB"/>
    <w:rsid w:val="00DF544C"/>
    <w:rsid w:val="00DF622F"/>
    <w:rsid w:val="00DF6492"/>
    <w:rsid w:val="00DF6BAA"/>
    <w:rsid w:val="00DF6C85"/>
    <w:rsid w:val="00DF74B6"/>
    <w:rsid w:val="00DF7BA1"/>
    <w:rsid w:val="00DF7CCF"/>
    <w:rsid w:val="00DF7DD1"/>
    <w:rsid w:val="00DF7F12"/>
    <w:rsid w:val="00E00059"/>
    <w:rsid w:val="00E00BDB"/>
    <w:rsid w:val="00E016E9"/>
    <w:rsid w:val="00E01AF6"/>
    <w:rsid w:val="00E01D52"/>
    <w:rsid w:val="00E01E3A"/>
    <w:rsid w:val="00E020F6"/>
    <w:rsid w:val="00E02B23"/>
    <w:rsid w:val="00E02F11"/>
    <w:rsid w:val="00E033A2"/>
    <w:rsid w:val="00E03BE0"/>
    <w:rsid w:val="00E040FC"/>
    <w:rsid w:val="00E04157"/>
    <w:rsid w:val="00E04301"/>
    <w:rsid w:val="00E04A2F"/>
    <w:rsid w:val="00E04C0A"/>
    <w:rsid w:val="00E050CF"/>
    <w:rsid w:val="00E052FB"/>
    <w:rsid w:val="00E057A0"/>
    <w:rsid w:val="00E058EC"/>
    <w:rsid w:val="00E05925"/>
    <w:rsid w:val="00E05B1C"/>
    <w:rsid w:val="00E05C47"/>
    <w:rsid w:val="00E05CB1"/>
    <w:rsid w:val="00E05EAC"/>
    <w:rsid w:val="00E0687A"/>
    <w:rsid w:val="00E07439"/>
    <w:rsid w:val="00E07B57"/>
    <w:rsid w:val="00E07BD1"/>
    <w:rsid w:val="00E07DF2"/>
    <w:rsid w:val="00E1017E"/>
    <w:rsid w:val="00E101CA"/>
    <w:rsid w:val="00E103F2"/>
    <w:rsid w:val="00E10C7F"/>
    <w:rsid w:val="00E10D3B"/>
    <w:rsid w:val="00E119C7"/>
    <w:rsid w:val="00E11FAA"/>
    <w:rsid w:val="00E127FF"/>
    <w:rsid w:val="00E129D5"/>
    <w:rsid w:val="00E12CA9"/>
    <w:rsid w:val="00E12F2D"/>
    <w:rsid w:val="00E12FED"/>
    <w:rsid w:val="00E1383B"/>
    <w:rsid w:val="00E13ABD"/>
    <w:rsid w:val="00E13F9B"/>
    <w:rsid w:val="00E142CC"/>
    <w:rsid w:val="00E14809"/>
    <w:rsid w:val="00E14C34"/>
    <w:rsid w:val="00E1551B"/>
    <w:rsid w:val="00E1553D"/>
    <w:rsid w:val="00E16017"/>
    <w:rsid w:val="00E163C5"/>
    <w:rsid w:val="00E16841"/>
    <w:rsid w:val="00E16872"/>
    <w:rsid w:val="00E16A63"/>
    <w:rsid w:val="00E16BA5"/>
    <w:rsid w:val="00E16E16"/>
    <w:rsid w:val="00E16E99"/>
    <w:rsid w:val="00E16F6F"/>
    <w:rsid w:val="00E174DB"/>
    <w:rsid w:val="00E17B74"/>
    <w:rsid w:val="00E17D27"/>
    <w:rsid w:val="00E2000F"/>
    <w:rsid w:val="00E20071"/>
    <w:rsid w:val="00E2010A"/>
    <w:rsid w:val="00E20115"/>
    <w:rsid w:val="00E21324"/>
    <w:rsid w:val="00E218FF"/>
    <w:rsid w:val="00E21A26"/>
    <w:rsid w:val="00E22856"/>
    <w:rsid w:val="00E22890"/>
    <w:rsid w:val="00E22FCB"/>
    <w:rsid w:val="00E23298"/>
    <w:rsid w:val="00E233D3"/>
    <w:rsid w:val="00E235E7"/>
    <w:rsid w:val="00E23624"/>
    <w:rsid w:val="00E23F91"/>
    <w:rsid w:val="00E2408E"/>
    <w:rsid w:val="00E241E7"/>
    <w:rsid w:val="00E2431F"/>
    <w:rsid w:val="00E24430"/>
    <w:rsid w:val="00E244C2"/>
    <w:rsid w:val="00E245CB"/>
    <w:rsid w:val="00E2491D"/>
    <w:rsid w:val="00E24A9B"/>
    <w:rsid w:val="00E252A8"/>
    <w:rsid w:val="00E25578"/>
    <w:rsid w:val="00E255B3"/>
    <w:rsid w:val="00E2578B"/>
    <w:rsid w:val="00E259E1"/>
    <w:rsid w:val="00E25A3F"/>
    <w:rsid w:val="00E25B7E"/>
    <w:rsid w:val="00E25CAC"/>
    <w:rsid w:val="00E26325"/>
    <w:rsid w:val="00E264BC"/>
    <w:rsid w:val="00E26736"/>
    <w:rsid w:val="00E268C4"/>
    <w:rsid w:val="00E268F9"/>
    <w:rsid w:val="00E26B09"/>
    <w:rsid w:val="00E26EDF"/>
    <w:rsid w:val="00E270BE"/>
    <w:rsid w:val="00E274A3"/>
    <w:rsid w:val="00E3038A"/>
    <w:rsid w:val="00E306FF"/>
    <w:rsid w:val="00E30D98"/>
    <w:rsid w:val="00E318D7"/>
    <w:rsid w:val="00E31EE1"/>
    <w:rsid w:val="00E320C4"/>
    <w:rsid w:val="00E32301"/>
    <w:rsid w:val="00E32C07"/>
    <w:rsid w:val="00E32E03"/>
    <w:rsid w:val="00E32EFF"/>
    <w:rsid w:val="00E332EA"/>
    <w:rsid w:val="00E338D8"/>
    <w:rsid w:val="00E33B06"/>
    <w:rsid w:val="00E33CBD"/>
    <w:rsid w:val="00E33DA0"/>
    <w:rsid w:val="00E33F09"/>
    <w:rsid w:val="00E33F2A"/>
    <w:rsid w:val="00E3462F"/>
    <w:rsid w:val="00E34722"/>
    <w:rsid w:val="00E35AF6"/>
    <w:rsid w:val="00E35D10"/>
    <w:rsid w:val="00E36110"/>
    <w:rsid w:val="00E3612F"/>
    <w:rsid w:val="00E36B3C"/>
    <w:rsid w:val="00E36E7B"/>
    <w:rsid w:val="00E37575"/>
    <w:rsid w:val="00E37754"/>
    <w:rsid w:val="00E37B44"/>
    <w:rsid w:val="00E37BB9"/>
    <w:rsid w:val="00E40E4F"/>
    <w:rsid w:val="00E41208"/>
    <w:rsid w:val="00E415CA"/>
    <w:rsid w:val="00E41601"/>
    <w:rsid w:val="00E41AD3"/>
    <w:rsid w:val="00E41CC2"/>
    <w:rsid w:val="00E41DC8"/>
    <w:rsid w:val="00E42199"/>
    <w:rsid w:val="00E42390"/>
    <w:rsid w:val="00E42DF0"/>
    <w:rsid w:val="00E42F3F"/>
    <w:rsid w:val="00E42FEB"/>
    <w:rsid w:val="00E444D1"/>
    <w:rsid w:val="00E44665"/>
    <w:rsid w:val="00E449A2"/>
    <w:rsid w:val="00E44C93"/>
    <w:rsid w:val="00E44EC3"/>
    <w:rsid w:val="00E45156"/>
    <w:rsid w:val="00E45347"/>
    <w:rsid w:val="00E4574F"/>
    <w:rsid w:val="00E45765"/>
    <w:rsid w:val="00E45B52"/>
    <w:rsid w:val="00E46142"/>
    <w:rsid w:val="00E46194"/>
    <w:rsid w:val="00E46525"/>
    <w:rsid w:val="00E47382"/>
    <w:rsid w:val="00E47530"/>
    <w:rsid w:val="00E47809"/>
    <w:rsid w:val="00E501C0"/>
    <w:rsid w:val="00E502F7"/>
    <w:rsid w:val="00E504B4"/>
    <w:rsid w:val="00E504C1"/>
    <w:rsid w:val="00E504EB"/>
    <w:rsid w:val="00E50531"/>
    <w:rsid w:val="00E5084B"/>
    <w:rsid w:val="00E508B0"/>
    <w:rsid w:val="00E51141"/>
    <w:rsid w:val="00E512B7"/>
    <w:rsid w:val="00E5137A"/>
    <w:rsid w:val="00E5172F"/>
    <w:rsid w:val="00E52191"/>
    <w:rsid w:val="00E521BB"/>
    <w:rsid w:val="00E525C9"/>
    <w:rsid w:val="00E526D4"/>
    <w:rsid w:val="00E526DA"/>
    <w:rsid w:val="00E5295A"/>
    <w:rsid w:val="00E53107"/>
    <w:rsid w:val="00E5365E"/>
    <w:rsid w:val="00E548FC"/>
    <w:rsid w:val="00E549F2"/>
    <w:rsid w:val="00E55334"/>
    <w:rsid w:val="00E55FED"/>
    <w:rsid w:val="00E56051"/>
    <w:rsid w:val="00E5615E"/>
    <w:rsid w:val="00E5659F"/>
    <w:rsid w:val="00E565EE"/>
    <w:rsid w:val="00E5662D"/>
    <w:rsid w:val="00E566F8"/>
    <w:rsid w:val="00E56A3E"/>
    <w:rsid w:val="00E56AB6"/>
    <w:rsid w:val="00E577BA"/>
    <w:rsid w:val="00E57B73"/>
    <w:rsid w:val="00E6056D"/>
    <w:rsid w:val="00E60FAC"/>
    <w:rsid w:val="00E61CA2"/>
    <w:rsid w:val="00E61D6D"/>
    <w:rsid w:val="00E61E97"/>
    <w:rsid w:val="00E620D7"/>
    <w:rsid w:val="00E625AE"/>
    <w:rsid w:val="00E62A91"/>
    <w:rsid w:val="00E62AB5"/>
    <w:rsid w:val="00E62C26"/>
    <w:rsid w:val="00E62EAC"/>
    <w:rsid w:val="00E63544"/>
    <w:rsid w:val="00E636AA"/>
    <w:rsid w:val="00E63820"/>
    <w:rsid w:val="00E63958"/>
    <w:rsid w:val="00E647C4"/>
    <w:rsid w:val="00E647C9"/>
    <w:rsid w:val="00E6489E"/>
    <w:rsid w:val="00E64D18"/>
    <w:rsid w:val="00E658B9"/>
    <w:rsid w:val="00E65A02"/>
    <w:rsid w:val="00E65C41"/>
    <w:rsid w:val="00E65F9E"/>
    <w:rsid w:val="00E6602C"/>
    <w:rsid w:val="00E66355"/>
    <w:rsid w:val="00E66405"/>
    <w:rsid w:val="00E66EF2"/>
    <w:rsid w:val="00E6729D"/>
    <w:rsid w:val="00E672E9"/>
    <w:rsid w:val="00E6734F"/>
    <w:rsid w:val="00E677CE"/>
    <w:rsid w:val="00E6787F"/>
    <w:rsid w:val="00E67AD1"/>
    <w:rsid w:val="00E70151"/>
    <w:rsid w:val="00E704BF"/>
    <w:rsid w:val="00E709A7"/>
    <w:rsid w:val="00E70FE3"/>
    <w:rsid w:val="00E71430"/>
    <w:rsid w:val="00E7160F"/>
    <w:rsid w:val="00E724A9"/>
    <w:rsid w:val="00E72BFD"/>
    <w:rsid w:val="00E73181"/>
    <w:rsid w:val="00E73273"/>
    <w:rsid w:val="00E732EB"/>
    <w:rsid w:val="00E733B9"/>
    <w:rsid w:val="00E73533"/>
    <w:rsid w:val="00E73F4E"/>
    <w:rsid w:val="00E7499A"/>
    <w:rsid w:val="00E751FC"/>
    <w:rsid w:val="00E756E3"/>
    <w:rsid w:val="00E75802"/>
    <w:rsid w:val="00E75995"/>
    <w:rsid w:val="00E75D23"/>
    <w:rsid w:val="00E75F0B"/>
    <w:rsid w:val="00E75F41"/>
    <w:rsid w:val="00E75F61"/>
    <w:rsid w:val="00E7627F"/>
    <w:rsid w:val="00E76485"/>
    <w:rsid w:val="00E7654B"/>
    <w:rsid w:val="00E769F5"/>
    <w:rsid w:val="00E76DF4"/>
    <w:rsid w:val="00E76F5F"/>
    <w:rsid w:val="00E77454"/>
    <w:rsid w:val="00E77538"/>
    <w:rsid w:val="00E77F64"/>
    <w:rsid w:val="00E8055A"/>
    <w:rsid w:val="00E8059C"/>
    <w:rsid w:val="00E80AB6"/>
    <w:rsid w:val="00E8123D"/>
    <w:rsid w:val="00E8124D"/>
    <w:rsid w:val="00E819B5"/>
    <w:rsid w:val="00E81CC2"/>
    <w:rsid w:val="00E81FFC"/>
    <w:rsid w:val="00E82268"/>
    <w:rsid w:val="00E8239D"/>
    <w:rsid w:val="00E82D7B"/>
    <w:rsid w:val="00E830A7"/>
    <w:rsid w:val="00E832FC"/>
    <w:rsid w:val="00E833D4"/>
    <w:rsid w:val="00E83479"/>
    <w:rsid w:val="00E83598"/>
    <w:rsid w:val="00E83D28"/>
    <w:rsid w:val="00E84415"/>
    <w:rsid w:val="00E84713"/>
    <w:rsid w:val="00E8473E"/>
    <w:rsid w:val="00E84788"/>
    <w:rsid w:val="00E852F8"/>
    <w:rsid w:val="00E85505"/>
    <w:rsid w:val="00E8595E"/>
    <w:rsid w:val="00E85BBE"/>
    <w:rsid w:val="00E85BD3"/>
    <w:rsid w:val="00E85C7E"/>
    <w:rsid w:val="00E85F60"/>
    <w:rsid w:val="00E860A3"/>
    <w:rsid w:val="00E862B2"/>
    <w:rsid w:val="00E86AB5"/>
    <w:rsid w:val="00E86CE7"/>
    <w:rsid w:val="00E87017"/>
    <w:rsid w:val="00E871AE"/>
    <w:rsid w:val="00E871CF"/>
    <w:rsid w:val="00E8763D"/>
    <w:rsid w:val="00E87672"/>
    <w:rsid w:val="00E87A3C"/>
    <w:rsid w:val="00E900C7"/>
    <w:rsid w:val="00E901C6"/>
    <w:rsid w:val="00E904D3"/>
    <w:rsid w:val="00E90838"/>
    <w:rsid w:val="00E90BE0"/>
    <w:rsid w:val="00E90CEE"/>
    <w:rsid w:val="00E90DF9"/>
    <w:rsid w:val="00E912B2"/>
    <w:rsid w:val="00E91DCC"/>
    <w:rsid w:val="00E91DDB"/>
    <w:rsid w:val="00E91F97"/>
    <w:rsid w:val="00E9216E"/>
    <w:rsid w:val="00E92874"/>
    <w:rsid w:val="00E92AD5"/>
    <w:rsid w:val="00E93079"/>
    <w:rsid w:val="00E9323D"/>
    <w:rsid w:val="00E933A3"/>
    <w:rsid w:val="00E937F9"/>
    <w:rsid w:val="00E93909"/>
    <w:rsid w:val="00E93E17"/>
    <w:rsid w:val="00E93E7D"/>
    <w:rsid w:val="00E94798"/>
    <w:rsid w:val="00E94BBB"/>
    <w:rsid w:val="00E95063"/>
    <w:rsid w:val="00E9524D"/>
    <w:rsid w:val="00E95578"/>
    <w:rsid w:val="00E95CC0"/>
    <w:rsid w:val="00E963B6"/>
    <w:rsid w:val="00E968D7"/>
    <w:rsid w:val="00E9749F"/>
    <w:rsid w:val="00E97934"/>
    <w:rsid w:val="00E9794E"/>
    <w:rsid w:val="00EA070E"/>
    <w:rsid w:val="00EA08CB"/>
    <w:rsid w:val="00EA09A5"/>
    <w:rsid w:val="00EA0D30"/>
    <w:rsid w:val="00EA0DBD"/>
    <w:rsid w:val="00EA164E"/>
    <w:rsid w:val="00EA188D"/>
    <w:rsid w:val="00EA19C7"/>
    <w:rsid w:val="00EA1B6D"/>
    <w:rsid w:val="00EA1E3B"/>
    <w:rsid w:val="00EA1F5E"/>
    <w:rsid w:val="00EA260F"/>
    <w:rsid w:val="00EA2832"/>
    <w:rsid w:val="00EA2951"/>
    <w:rsid w:val="00EA2AD4"/>
    <w:rsid w:val="00EA2D42"/>
    <w:rsid w:val="00EA2EF9"/>
    <w:rsid w:val="00EA3491"/>
    <w:rsid w:val="00EA373D"/>
    <w:rsid w:val="00EA39E0"/>
    <w:rsid w:val="00EA3CAF"/>
    <w:rsid w:val="00EA3E97"/>
    <w:rsid w:val="00EA3F07"/>
    <w:rsid w:val="00EA4D03"/>
    <w:rsid w:val="00EA5CB9"/>
    <w:rsid w:val="00EA5E6A"/>
    <w:rsid w:val="00EA61BC"/>
    <w:rsid w:val="00EA688B"/>
    <w:rsid w:val="00EA697E"/>
    <w:rsid w:val="00EA6AA2"/>
    <w:rsid w:val="00EA6AB7"/>
    <w:rsid w:val="00EA6B22"/>
    <w:rsid w:val="00EA6C37"/>
    <w:rsid w:val="00EA6CCB"/>
    <w:rsid w:val="00EA6FD3"/>
    <w:rsid w:val="00EA7350"/>
    <w:rsid w:val="00EA7C80"/>
    <w:rsid w:val="00EA7D20"/>
    <w:rsid w:val="00EA7E1F"/>
    <w:rsid w:val="00EB01C0"/>
    <w:rsid w:val="00EB06E8"/>
    <w:rsid w:val="00EB0787"/>
    <w:rsid w:val="00EB0B2B"/>
    <w:rsid w:val="00EB0D2B"/>
    <w:rsid w:val="00EB0EB4"/>
    <w:rsid w:val="00EB0F18"/>
    <w:rsid w:val="00EB0F3F"/>
    <w:rsid w:val="00EB1014"/>
    <w:rsid w:val="00EB1116"/>
    <w:rsid w:val="00EB1864"/>
    <w:rsid w:val="00EB1982"/>
    <w:rsid w:val="00EB1DD6"/>
    <w:rsid w:val="00EB2309"/>
    <w:rsid w:val="00EB3451"/>
    <w:rsid w:val="00EB3BCA"/>
    <w:rsid w:val="00EB3F5B"/>
    <w:rsid w:val="00EB4716"/>
    <w:rsid w:val="00EB4C31"/>
    <w:rsid w:val="00EB4CA2"/>
    <w:rsid w:val="00EB4FDA"/>
    <w:rsid w:val="00EB5680"/>
    <w:rsid w:val="00EB5D21"/>
    <w:rsid w:val="00EB6415"/>
    <w:rsid w:val="00EB6A36"/>
    <w:rsid w:val="00EB6AAD"/>
    <w:rsid w:val="00EB6B27"/>
    <w:rsid w:val="00EB70A5"/>
    <w:rsid w:val="00EB7118"/>
    <w:rsid w:val="00EB7336"/>
    <w:rsid w:val="00EB771E"/>
    <w:rsid w:val="00EB7867"/>
    <w:rsid w:val="00EB7B4E"/>
    <w:rsid w:val="00EB7C6E"/>
    <w:rsid w:val="00EB7D6E"/>
    <w:rsid w:val="00EC0653"/>
    <w:rsid w:val="00EC06D9"/>
    <w:rsid w:val="00EC075A"/>
    <w:rsid w:val="00EC0927"/>
    <w:rsid w:val="00EC0BC3"/>
    <w:rsid w:val="00EC10EA"/>
    <w:rsid w:val="00EC1FD5"/>
    <w:rsid w:val="00EC21C2"/>
    <w:rsid w:val="00EC2382"/>
    <w:rsid w:val="00EC2483"/>
    <w:rsid w:val="00EC2F94"/>
    <w:rsid w:val="00EC2FF0"/>
    <w:rsid w:val="00EC3B66"/>
    <w:rsid w:val="00EC4097"/>
    <w:rsid w:val="00EC422C"/>
    <w:rsid w:val="00EC4311"/>
    <w:rsid w:val="00EC4705"/>
    <w:rsid w:val="00EC4913"/>
    <w:rsid w:val="00EC497A"/>
    <w:rsid w:val="00EC500F"/>
    <w:rsid w:val="00EC5797"/>
    <w:rsid w:val="00EC57EA"/>
    <w:rsid w:val="00EC58E4"/>
    <w:rsid w:val="00EC5BF6"/>
    <w:rsid w:val="00EC68A8"/>
    <w:rsid w:val="00EC6914"/>
    <w:rsid w:val="00EC69C9"/>
    <w:rsid w:val="00EC6EAF"/>
    <w:rsid w:val="00EC729B"/>
    <w:rsid w:val="00EC773C"/>
    <w:rsid w:val="00ED0699"/>
    <w:rsid w:val="00ED13C9"/>
    <w:rsid w:val="00ED1592"/>
    <w:rsid w:val="00ED16B1"/>
    <w:rsid w:val="00ED18B5"/>
    <w:rsid w:val="00ED1A34"/>
    <w:rsid w:val="00ED1A4F"/>
    <w:rsid w:val="00ED24CA"/>
    <w:rsid w:val="00ED28E4"/>
    <w:rsid w:val="00ED2B05"/>
    <w:rsid w:val="00ED2D2D"/>
    <w:rsid w:val="00ED2EDB"/>
    <w:rsid w:val="00ED2F47"/>
    <w:rsid w:val="00ED2F71"/>
    <w:rsid w:val="00ED31D3"/>
    <w:rsid w:val="00ED3275"/>
    <w:rsid w:val="00ED32A1"/>
    <w:rsid w:val="00ED33B9"/>
    <w:rsid w:val="00ED381B"/>
    <w:rsid w:val="00ED3AF1"/>
    <w:rsid w:val="00ED42A0"/>
    <w:rsid w:val="00ED42C2"/>
    <w:rsid w:val="00ED45AE"/>
    <w:rsid w:val="00ED4943"/>
    <w:rsid w:val="00ED53E3"/>
    <w:rsid w:val="00ED53E6"/>
    <w:rsid w:val="00ED589D"/>
    <w:rsid w:val="00ED5CE8"/>
    <w:rsid w:val="00ED5D60"/>
    <w:rsid w:val="00ED63E9"/>
    <w:rsid w:val="00ED683D"/>
    <w:rsid w:val="00ED691F"/>
    <w:rsid w:val="00ED6A9D"/>
    <w:rsid w:val="00ED6E27"/>
    <w:rsid w:val="00ED6E31"/>
    <w:rsid w:val="00ED6FC9"/>
    <w:rsid w:val="00ED7180"/>
    <w:rsid w:val="00ED72C4"/>
    <w:rsid w:val="00ED7B24"/>
    <w:rsid w:val="00EE03B8"/>
    <w:rsid w:val="00EE13C1"/>
    <w:rsid w:val="00EE13D0"/>
    <w:rsid w:val="00EE1707"/>
    <w:rsid w:val="00EE19D7"/>
    <w:rsid w:val="00EE1BCA"/>
    <w:rsid w:val="00EE1D85"/>
    <w:rsid w:val="00EE1F70"/>
    <w:rsid w:val="00EE224B"/>
    <w:rsid w:val="00EE272E"/>
    <w:rsid w:val="00EE29ED"/>
    <w:rsid w:val="00EE3033"/>
    <w:rsid w:val="00EE31E0"/>
    <w:rsid w:val="00EE4A79"/>
    <w:rsid w:val="00EE4A95"/>
    <w:rsid w:val="00EE5DEF"/>
    <w:rsid w:val="00EE5EAC"/>
    <w:rsid w:val="00EE6495"/>
    <w:rsid w:val="00EE6657"/>
    <w:rsid w:val="00EE6EFD"/>
    <w:rsid w:val="00EE7397"/>
    <w:rsid w:val="00EE7AB1"/>
    <w:rsid w:val="00EF02C2"/>
    <w:rsid w:val="00EF0C7C"/>
    <w:rsid w:val="00EF1281"/>
    <w:rsid w:val="00EF13A2"/>
    <w:rsid w:val="00EF160B"/>
    <w:rsid w:val="00EF18E3"/>
    <w:rsid w:val="00EF1E8D"/>
    <w:rsid w:val="00EF1EE5"/>
    <w:rsid w:val="00EF2719"/>
    <w:rsid w:val="00EF2E45"/>
    <w:rsid w:val="00EF3A74"/>
    <w:rsid w:val="00EF3CA7"/>
    <w:rsid w:val="00EF3FFF"/>
    <w:rsid w:val="00EF438D"/>
    <w:rsid w:val="00EF43EB"/>
    <w:rsid w:val="00EF43F3"/>
    <w:rsid w:val="00EF47E9"/>
    <w:rsid w:val="00EF4859"/>
    <w:rsid w:val="00EF4ACB"/>
    <w:rsid w:val="00EF4D7D"/>
    <w:rsid w:val="00EF4E3E"/>
    <w:rsid w:val="00EF51D9"/>
    <w:rsid w:val="00EF5668"/>
    <w:rsid w:val="00EF5825"/>
    <w:rsid w:val="00EF598A"/>
    <w:rsid w:val="00EF59CC"/>
    <w:rsid w:val="00EF5D1C"/>
    <w:rsid w:val="00EF6146"/>
    <w:rsid w:val="00EF663A"/>
    <w:rsid w:val="00EF67E5"/>
    <w:rsid w:val="00EF6BDB"/>
    <w:rsid w:val="00EF6D81"/>
    <w:rsid w:val="00EF7265"/>
    <w:rsid w:val="00EF7623"/>
    <w:rsid w:val="00EF76EB"/>
    <w:rsid w:val="00EF7948"/>
    <w:rsid w:val="00EF7B05"/>
    <w:rsid w:val="00F00072"/>
    <w:rsid w:val="00F00088"/>
    <w:rsid w:val="00F00400"/>
    <w:rsid w:val="00F00625"/>
    <w:rsid w:val="00F018A4"/>
    <w:rsid w:val="00F019B5"/>
    <w:rsid w:val="00F01A40"/>
    <w:rsid w:val="00F01D2E"/>
    <w:rsid w:val="00F01F17"/>
    <w:rsid w:val="00F0243E"/>
    <w:rsid w:val="00F0295A"/>
    <w:rsid w:val="00F02AC6"/>
    <w:rsid w:val="00F02C3F"/>
    <w:rsid w:val="00F03910"/>
    <w:rsid w:val="00F03E4A"/>
    <w:rsid w:val="00F04353"/>
    <w:rsid w:val="00F04532"/>
    <w:rsid w:val="00F04818"/>
    <w:rsid w:val="00F04AE6"/>
    <w:rsid w:val="00F04DB8"/>
    <w:rsid w:val="00F04E6F"/>
    <w:rsid w:val="00F057B2"/>
    <w:rsid w:val="00F0583A"/>
    <w:rsid w:val="00F06193"/>
    <w:rsid w:val="00F066C2"/>
    <w:rsid w:val="00F06F3D"/>
    <w:rsid w:val="00F07048"/>
    <w:rsid w:val="00F0760C"/>
    <w:rsid w:val="00F07BCE"/>
    <w:rsid w:val="00F07BF8"/>
    <w:rsid w:val="00F103E9"/>
    <w:rsid w:val="00F10A7C"/>
    <w:rsid w:val="00F10A89"/>
    <w:rsid w:val="00F10FAD"/>
    <w:rsid w:val="00F1164D"/>
    <w:rsid w:val="00F11F1E"/>
    <w:rsid w:val="00F1209C"/>
    <w:rsid w:val="00F1259C"/>
    <w:rsid w:val="00F12985"/>
    <w:rsid w:val="00F131C3"/>
    <w:rsid w:val="00F13A21"/>
    <w:rsid w:val="00F13A78"/>
    <w:rsid w:val="00F13CFA"/>
    <w:rsid w:val="00F143D7"/>
    <w:rsid w:val="00F1475B"/>
    <w:rsid w:val="00F147A6"/>
    <w:rsid w:val="00F1483D"/>
    <w:rsid w:val="00F148BC"/>
    <w:rsid w:val="00F149A2"/>
    <w:rsid w:val="00F14B50"/>
    <w:rsid w:val="00F14E6B"/>
    <w:rsid w:val="00F152B2"/>
    <w:rsid w:val="00F158E0"/>
    <w:rsid w:val="00F16273"/>
    <w:rsid w:val="00F1670D"/>
    <w:rsid w:val="00F16B7D"/>
    <w:rsid w:val="00F16CF0"/>
    <w:rsid w:val="00F20501"/>
    <w:rsid w:val="00F2091C"/>
    <w:rsid w:val="00F20EBD"/>
    <w:rsid w:val="00F21215"/>
    <w:rsid w:val="00F2160E"/>
    <w:rsid w:val="00F21C38"/>
    <w:rsid w:val="00F2255B"/>
    <w:rsid w:val="00F225D9"/>
    <w:rsid w:val="00F22D5C"/>
    <w:rsid w:val="00F2303A"/>
    <w:rsid w:val="00F23046"/>
    <w:rsid w:val="00F234EE"/>
    <w:rsid w:val="00F2357F"/>
    <w:rsid w:val="00F23A7B"/>
    <w:rsid w:val="00F23C03"/>
    <w:rsid w:val="00F240CA"/>
    <w:rsid w:val="00F24C4E"/>
    <w:rsid w:val="00F24C60"/>
    <w:rsid w:val="00F250ED"/>
    <w:rsid w:val="00F25135"/>
    <w:rsid w:val="00F25169"/>
    <w:rsid w:val="00F255E7"/>
    <w:rsid w:val="00F2566A"/>
    <w:rsid w:val="00F25AFB"/>
    <w:rsid w:val="00F25C96"/>
    <w:rsid w:val="00F25D30"/>
    <w:rsid w:val="00F25D52"/>
    <w:rsid w:val="00F25F3B"/>
    <w:rsid w:val="00F26186"/>
    <w:rsid w:val="00F2651B"/>
    <w:rsid w:val="00F269E5"/>
    <w:rsid w:val="00F26AA5"/>
    <w:rsid w:val="00F26E78"/>
    <w:rsid w:val="00F273D0"/>
    <w:rsid w:val="00F275AC"/>
    <w:rsid w:val="00F27811"/>
    <w:rsid w:val="00F27911"/>
    <w:rsid w:val="00F30B5A"/>
    <w:rsid w:val="00F30E3A"/>
    <w:rsid w:val="00F31796"/>
    <w:rsid w:val="00F318C3"/>
    <w:rsid w:val="00F319B6"/>
    <w:rsid w:val="00F32015"/>
    <w:rsid w:val="00F32254"/>
    <w:rsid w:val="00F324CA"/>
    <w:rsid w:val="00F32650"/>
    <w:rsid w:val="00F32674"/>
    <w:rsid w:val="00F336A7"/>
    <w:rsid w:val="00F336D1"/>
    <w:rsid w:val="00F33DC3"/>
    <w:rsid w:val="00F3450B"/>
    <w:rsid w:val="00F34C2A"/>
    <w:rsid w:val="00F3540D"/>
    <w:rsid w:val="00F35799"/>
    <w:rsid w:val="00F35BA0"/>
    <w:rsid w:val="00F35D5A"/>
    <w:rsid w:val="00F36BE5"/>
    <w:rsid w:val="00F36C6B"/>
    <w:rsid w:val="00F36C94"/>
    <w:rsid w:val="00F37626"/>
    <w:rsid w:val="00F400BB"/>
    <w:rsid w:val="00F400C7"/>
    <w:rsid w:val="00F40235"/>
    <w:rsid w:val="00F40CCD"/>
    <w:rsid w:val="00F40E36"/>
    <w:rsid w:val="00F41822"/>
    <w:rsid w:val="00F41EE8"/>
    <w:rsid w:val="00F420EB"/>
    <w:rsid w:val="00F42C90"/>
    <w:rsid w:val="00F43411"/>
    <w:rsid w:val="00F43C50"/>
    <w:rsid w:val="00F43F20"/>
    <w:rsid w:val="00F442C5"/>
    <w:rsid w:val="00F447C3"/>
    <w:rsid w:val="00F44DAF"/>
    <w:rsid w:val="00F44DFB"/>
    <w:rsid w:val="00F44EB7"/>
    <w:rsid w:val="00F45A30"/>
    <w:rsid w:val="00F45ACE"/>
    <w:rsid w:val="00F45CE9"/>
    <w:rsid w:val="00F45DD4"/>
    <w:rsid w:val="00F45E47"/>
    <w:rsid w:val="00F467B6"/>
    <w:rsid w:val="00F4698E"/>
    <w:rsid w:val="00F46AFE"/>
    <w:rsid w:val="00F46FBE"/>
    <w:rsid w:val="00F47776"/>
    <w:rsid w:val="00F477CA"/>
    <w:rsid w:val="00F47B8F"/>
    <w:rsid w:val="00F47CAC"/>
    <w:rsid w:val="00F47CDB"/>
    <w:rsid w:val="00F50011"/>
    <w:rsid w:val="00F500EC"/>
    <w:rsid w:val="00F504FA"/>
    <w:rsid w:val="00F50C25"/>
    <w:rsid w:val="00F50E22"/>
    <w:rsid w:val="00F510F9"/>
    <w:rsid w:val="00F512D9"/>
    <w:rsid w:val="00F5157D"/>
    <w:rsid w:val="00F515D7"/>
    <w:rsid w:val="00F517E6"/>
    <w:rsid w:val="00F519E1"/>
    <w:rsid w:val="00F51E4B"/>
    <w:rsid w:val="00F522B7"/>
    <w:rsid w:val="00F525C1"/>
    <w:rsid w:val="00F52EAF"/>
    <w:rsid w:val="00F532FB"/>
    <w:rsid w:val="00F53A91"/>
    <w:rsid w:val="00F53BEF"/>
    <w:rsid w:val="00F53DC8"/>
    <w:rsid w:val="00F54A03"/>
    <w:rsid w:val="00F55809"/>
    <w:rsid w:val="00F562B9"/>
    <w:rsid w:val="00F56347"/>
    <w:rsid w:val="00F5664E"/>
    <w:rsid w:val="00F56E08"/>
    <w:rsid w:val="00F570AF"/>
    <w:rsid w:val="00F570C1"/>
    <w:rsid w:val="00F5712C"/>
    <w:rsid w:val="00F579FD"/>
    <w:rsid w:val="00F57F76"/>
    <w:rsid w:val="00F605D7"/>
    <w:rsid w:val="00F6087C"/>
    <w:rsid w:val="00F6094E"/>
    <w:rsid w:val="00F60BE8"/>
    <w:rsid w:val="00F60CBF"/>
    <w:rsid w:val="00F60D64"/>
    <w:rsid w:val="00F60E04"/>
    <w:rsid w:val="00F612DD"/>
    <w:rsid w:val="00F616AF"/>
    <w:rsid w:val="00F61938"/>
    <w:rsid w:val="00F61944"/>
    <w:rsid w:val="00F61D9A"/>
    <w:rsid w:val="00F62439"/>
    <w:rsid w:val="00F62BA1"/>
    <w:rsid w:val="00F62E89"/>
    <w:rsid w:val="00F63148"/>
    <w:rsid w:val="00F632C6"/>
    <w:rsid w:val="00F633F6"/>
    <w:rsid w:val="00F6353B"/>
    <w:rsid w:val="00F6382E"/>
    <w:rsid w:val="00F63C80"/>
    <w:rsid w:val="00F63F08"/>
    <w:rsid w:val="00F63F88"/>
    <w:rsid w:val="00F63FD3"/>
    <w:rsid w:val="00F643B1"/>
    <w:rsid w:val="00F64DF2"/>
    <w:rsid w:val="00F6528B"/>
    <w:rsid w:val="00F6590F"/>
    <w:rsid w:val="00F65C04"/>
    <w:rsid w:val="00F66068"/>
    <w:rsid w:val="00F663EE"/>
    <w:rsid w:val="00F665EA"/>
    <w:rsid w:val="00F66673"/>
    <w:rsid w:val="00F669E5"/>
    <w:rsid w:val="00F66F25"/>
    <w:rsid w:val="00F67279"/>
    <w:rsid w:val="00F67A6C"/>
    <w:rsid w:val="00F67B42"/>
    <w:rsid w:val="00F67BD9"/>
    <w:rsid w:val="00F67C9C"/>
    <w:rsid w:val="00F67EEE"/>
    <w:rsid w:val="00F7011E"/>
    <w:rsid w:val="00F702F8"/>
    <w:rsid w:val="00F703B0"/>
    <w:rsid w:val="00F704B4"/>
    <w:rsid w:val="00F7075A"/>
    <w:rsid w:val="00F70796"/>
    <w:rsid w:val="00F70C1F"/>
    <w:rsid w:val="00F70C3B"/>
    <w:rsid w:val="00F70D05"/>
    <w:rsid w:val="00F70E4C"/>
    <w:rsid w:val="00F7149D"/>
    <w:rsid w:val="00F71CE9"/>
    <w:rsid w:val="00F72C9D"/>
    <w:rsid w:val="00F72DAA"/>
    <w:rsid w:val="00F72E44"/>
    <w:rsid w:val="00F72EED"/>
    <w:rsid w:val="00F73B47"/>
    <w:rsid w:val="00F7437D"/>
    <w:rsid w:val="00F74684"/>
    <w:rsid w:val="00F74763"/>
    <w:rsid w:val="00F7489E"/>
    <w:rsid w:val="00F74A4E"/>
    <w:rsid w:val="00F74E23"/>
    <w:rsid w:val="00F74E97"/>
    <w:rsid w:val="00F75312"/>
    <w:rsid w:val="00F75708"/>
    <w:rsid w:val="00F75CB3"/>
    <w:rsid w:val="00F76BFC"/>
    <w:rsid w:val="00F76C7E"/>
    <w:rsid w:val="00F77201"/>
    <w:rsid w:val="00F77209"/>
    <w:rsid w:val="00F772FC"/>
    <w:rsid w:val="00F77375"/>
    <w:rsid w:val="00F7797E"/>
    <w:rsid w:val="00F77F57"/>
    <w:rsid w:val="00F77FCC"/>
    <w:rsid w:val="00F803CF"/>
    <w:rsid w:val="00F8068A"/>
    <w:rsid w:val="00F809BD"/>
    <w:rsid w:val="00F80F0B"/>
    <w:rsid w:val="00F80F45"/>
    <w:rsid w:val="00F81199"/>
    <w:rsid w:val="00F813DD"/>
    <w:rsid w:val="00F817B9"/>
    <w:rsid w:val="00F81D03"/>
    <w:rsid w:val="00F81D89"/>
    <w:rsid w:val="00F821C4"/>
    <w:rsid w:val="00F826DB"/>
    <w:rsid w:val="00F82C9B"/>
    <w:rsid w:val="00F82E96"/>
    <w:rsid w:val="00F833E3"/>
    <w:rsid w:val="00F83482"/>
    <w:rsid w:val="00F83856"/>
    <w:rsid w:val="00F84042"/>
    <w:rsid w:val="00F844FE"/>
    <w:rsid w:val="00F845DF"/>
    <w:rsid w:val="00F846D0"/>
    <w:rsid w:val="00F8475D"/>
    <w:rsid w:val="00F84AE9"/>
    <w:rsid w:val="00F84BE5"/>
    <w:rsid w:val="00F85536"/>
    <w:rsid w:val="00F85ACB"/>
    <w:rsid w:val="00F85BAC"/>
    <w:rsid w:val="00F87349"/>
    <w:rsid w:val="00F87486"/>
    <w:rsid w:val="00F87570"/>
    <w:rsid w:val="00F90102"/>
    <w:rsid w:val="00F90971"/>
    <w:rsid w:val="00F90BAB"/>
    <w:rsid w:val="00F90C05"/>
    <w:rsid w:val="00F90CDA"/>
    <w:rsid w:val="00F91405"/>
    <w:rsid w:val="00F91AE6"/>
    <w:rsid w:val="00F91C78"/>
    <w:rsid w:val="00F91F58"/>
    <w:rsid w:val="00F92C47"/>
    <w:rsid w:val="00F92E47"/>
    <w:rsid w:val="00F9346F"/>
    <w:rsid w:val="00F938FE"/>
    <w:rsid w:val="00F94177"/>
    <w:rsid w:val="00F94258"/>
    <w:rsid w:val="00F94283"/>
    <w:rsid w:val="00F943E3"/>
    <w:rsid w:val="00F94706"/>
    <w:rsid w:val="00F948E5"/>
    <w:rsid w:val="00F949C4"/>
    <w:rsid w:val="00F94BE4"/>
    <w:rsid w:val="00F95B45"/>
    <w:rsid w:val="00F95F26"/>
    <w:rsid w:val="00F96568"/>
    <w:rsid w:val="00F9665E"/>
    <w:rsid w:val="00F967F5"/>
    <w:rsid w:val="00F969B6"/>
    <w:rsid w:val="00F96DEE"/>
    <w:rsid w:val="00F972DE"/>
    <w:rsid w:val="00F97910"/>
    <w:rsid w:val="00F97B03"/>
    <w:rsid w:val="00F97D12"/>
    <w:rsid w:val="00FA0075"/>
    <w:rsid w:val="00FA041C"/>
    <w:rsid w:val="00FA0A3B"/>
    <w:rsid w:val="00FA12E4"/>
    <w:rsid w:val="00FA131F"/>
    <w:rsid w:val="00FA18B7"/>
    <w:rsid w:val="00FA1A96"/>
    <w:rsid w:val="00FA1BB0"/>
    <w:rsid w:val="00FA1DB7"/>
    <w:rsid w:val="00FA2000"/>
    <w:rsid w:val="00FA2350"/>
    <w:rsid w:val="00FA242F"/>
    <w:rsid w:val="00FA289A"/>
    <w:rsid w:val="00FA28CC"/>
    <w:rsid w:val="00FA2A76"/>
    <w:rsid w:val="00FA2AB2"/>
    <w:rsid w:val="00FA2AE0"/>
    <w:rsid w:val="00FA2DCA"/>
    <w:rsid w:val="00FA2FE3"/>
    <w:rsid w:val="00FA3262"/>
    <w:rsid w:val="00FA3486"/>
    <w:rsid w:val="00FA3577"/>
    <w:rsid w:val="00FA438B"/>
    <w:rsid w:val="00FA44F0"/>
    <w:rsid w:val="00FA4772"/>
    <w:rsid w:val="00FA47B7"/>
    <w:rsid w:val="00FA4AE7"/>
    <w:rsid w:val="00FA60CB"/>
    <w:rsid w:val="00FA62DA"/>
    <w:rsid w:val="00FA6AD1"/>
    <w:rsid w:val="00FA6ED6"/>
    <w:rsid w:val="00FA707E"/>
    <w:rsid w:val="00FA71CF"/>
    <w:rsid w:val="00FA72DE"/>
    <w:rsid w:val="00FA7391"/>
    <w:rsid w:val="00FA7594"/>
    <w:rsid w:val="00FB0093"/>
    <w:rsid w:val="00FB057E"/>
    <w:rsid w:val="00FB079F"/>
    <w:rsid w:val="00FB088B"/>
    <w:rsid w:val="00FB0AEA"/>
    <w:rsid w:val="00FB0BAF"/>
    <w:rsid w:val="00FB0D8B"/>
    <w:rsid w:val="00FB0E82"/>
    <w:rsid w:val="00FB11A9"/>
    <w:rsid w:val="00FB1285"/>
    <w:rsid w:val="00FB150F"/>
    <w:rsid w:val="00FB177B"/>
    <w:rsid w:val="00FB2517"/>
    <w:rsid w:val="00FB27A2"/>
    <w:rsid w:val="00FB2A60"/>
    <w:rsid w:val="00FB2CCD"/>
    <w:rsid w:val="00FB344C"/>
    <w:rsid w:val="00FB3E8A"/>
    <w:rsid w:val="00FB41C1"/>
    <w:rsid w:val="00FB46D7"/>
    <w:rsid w:val="00FB4ACB"/>
    <w:rsid w:val="00FB4E9F"/>
    <w:rsid w:val="00FB551E"/>
    <w:rsid w:val="00FB6A1A"/>
    <w:rsid w:val="00FB6A46"/>
    <w:rsid w:val="00FB6DAF"/>
    <w:rsid w:val="00FB7004"/>
    <w:rsid w:val="00FB7378"/>
    <w:rsid w:val="00FB78AF"/>
    <w:rsid w:val="00FB7CC7"/>
    <w:rsid w:val="00FC0673"/>
    <w:rsid w:val="00FC06AC"/>
    <w:rsid w:val="00FC0D71"/>
    <w:rsid w:val="00FC127B"/>
    <w:rsid w:val="00FC141A"/>
    <w:rsid w:val="00FC154E"/>
    <w:rsid w:val="00FC1CE1"/>
    <w:rsid w:val="00FC1E38"/>
    <w:rsid w:val="00FC1E95"/>
    <w:rsid w:val="00FC20B8"/>
    <w:rsid w:val="00FC2636"/>
    <w:rsid w:val="00FC2977"/>
    <w:rsid w:val="00FC2B03"/>
    <w:rsid w:val="00FC32B9"/>
    <w:rsid w:val="00FC3428"/>
    <w:rsid w:val="00FC355D"/>
    <w:rsid w:val="00FC3613"/>
    <w:rsid w:val="00FC3F26"/>
    <w:rsid w:val="00FC42E7"/>
    <w:rsid w:val="00FC4A37"/>
    <w:rsid w:val="00FC4C17"/>
    <w:rsid w:val="00FC4D8E"/>
    <w:rsid w:val="00FC4E70"/>
    <w:rsid w:val="00FC50B5"/>
    <w:rsid w:val="00FC55B1"/>
    <w:rsid w:val="00FC57F2"/>
    <w:rsid w:val="00FC59C0"/>
    <w:rsid w:val="00FC5CAC"/>
    <w:rsid w:val="00FC5E0A"/>
    <w:rsid w:val="00FC6924"/>
    <w:rsid w:val="00FC6EF9"/>
    <w:rsid w:val="00FC7088"/>
    <w:rsid w:val="00FC7156"/>
    <w:rsid w:val="00FC7827"/>
    <w:rsid w:val="00FC784D"/>
    <w:rsid w:val="00FD06AC"/>
    <w:rsid w:val="00FD0749"/>
    <w:rsid w:val="00FD0926"/>
    <w:rsid w:val="00FD0E43"/>
    <w:rsid w:val="00FD0E7A"/>
    <w:rsid w:val="00FD108F"/>
    <w:rsid w:val="00FD11C3"/>
    <w:rsid w:val="00FD13C5"/>
    <w:rsid w:val="00FD15BB"/>
    <w:rsid w:val="00FD2BEE"/>
    <w:rsid w:val="00FD2C8F"/>
    <w:rsid w:val="00FD2F56"/>
    <w:rsid w:val="00FD3562"/>
    <w:rsid w:val="00FD38CF"/>
    <w:rsid w:val="00FD3B1D"/>
    <w:rsid w:val="00FD4239"/>
    <w:rsid w:val="00FD47D4"/>
    <w:rsid w:val="00FD487C"/>
    <w:rsid w:val="00FD4B11"/>
    <w:rsid w:val="00FD5BEB"/>
    <w:rsid w:val="00FD606B"/>
    <w:rsid w:val="00FD6805"/>
    <w:rsid w:val="00FD6985"/>
    <w:rsid w:val="00FD74B4"/>
    <w:rsid w:val="00FD75B3"/>
    <w:rsid w:val="00FD772B"/>
    <w:rsid w:val="00FD7EE4"/>
    <w:rsid w:val="00FE03C2"/>
    <w:rsid w:val="00FE0550"/>
    <w:rsid w:val="00FE05D5"/>
    <w:rsid w:val="00FE099C"/>
    <w:rsid w:val="00FE0A07"/>
    <w:rsid w:val="00FE0E77"/>
    <w:rsid w:val="00FE1446"/>
    <w:rsid w:val="00FE1562"/>
    <w:rsid w:val="00FE1D6D"/>
    <w:rsid w:val="00FE212F"/>
    <w:rsid w:val="00FE21EC"/>
    <w:rsid w:val="00FE22D1"/>
    <w:rsid w:val="00FE26E8"/>
    <w:rsid w:val="00FE32C2"/>
    <w:rsid w:val="00FE3BCB"/>
    <w:rsid w:val="00FE4ED3"/>
    <w:rsid w:val="00FE4F2D"/>
    <w:rsid w:val="00FE50D2"/>
    <w:rsid w:val="00FE5696"/>
    <w:rsid w:val="00FE56C6"/>
    <w:rsid w:val="00FE5709"/>
    <w:rsid w:val="00FE5754"/>
    <w:rsid w:val="00FE5878"/>
    <w:rsid w:val="00FE5A49"/>
    <w:rsid w:val="00FE5C34"/>
    <w:rsid w:val="00FE5CF0"/>
    <w:rsid w:val="00FE6062"/>
    <w:rsid w:val="00FE69F3"/>
    <w:rsid w:val="00FE720D"/>
    <w:rsid w:val="00FE72B0"/>
    <w:rsid w:val="00FE7979"/>
    <w:rsid w:val="00FE7987"/>
    <w:rsid w:val="00FE7B17"/>
    <w:rsid w:val="00FF0148"/>
    <w:rsid w:val="00FF077B"/>
    <w:rsid w:val="00FF079C"/>
    <w:rsid w:val="00FF09E3"/>
    <w:rsid w:val="00FF0F10"/>
    <w:rsid w:val="00FF0F45"/>
    <w:rsid w:val="00FF1870"/>
    <w:rsid w:val="00FF1A67"/>
    <w:rsid w:val="00FF27A9"/>
    <w:rsid w:val="00FF27BE"/>
    <w:rsid w:val="00FF2ADC"/>
    <w:rsid w:val="00FF307A"/>
    <w:rsid w:val="00FF34A7"/>
    <w:rsid w:val="00FF3705"/>
    <w:rsid w:val="00FF4494"/>
    <w:rsid w:val="00FF460C"/>
    <w:rsid w:val="00FF47A8"/>
    <w:rsid w:val="00FF4AA9"/>
    <w:rsid w:val="00FF50C5"/>
    <w:rsid w:val="00FF5601"/>
    <w:rsid w:val="00FF57E3"/>
    <w:rsid w:val="00FF5D46"/>
    <w:rsid w:val="00FF6475"/>
    <w:rsid w:val="00FF6A76"/>
    <w:rsid w:val="00FF6AA7"/>
    <w:rsid w:val="00FF6C3D"/>
    <w:rsid w:val="00FF6D21"/>
    <w:rsid w:val="00FF792E"/>
    <w:rsid w:val="00FF79C9"/>
    <w:rsid w:val="00FF7AA2"/>
    <w:rsid w:val="00FF7D9C"/>
    <w:rsid w:val="012754D9"/>
    <w:rsid w:val="01372C40"/>
    <w:rsid w:val="015E45EF"/>
    <w:rsid w:val="017B13A5"/>
    <w:rsid w:val="01F692BA"/>
    <w:rsid w:val="023DAB9A"/>
    <w:rsid w:val="0243AC18"/>
    <w:rsid w:val="0244DC5B"/>
    <w:rsid w:val="0259C781"/>
    <w:rsid w:val="0268F051"/>
    <w:rsid w:val="02752139"/>
    <w:rsid w:val="029A7AFB"/>
    <w:rsid w:val="02AA5996"/>
    <w:rsid w:val="02DF9BD6"/>
    <w:rsid w:val="031FBD54"/>
    <w:rsid w:val="03395A27"/>
    <w:rsid w:val="036172C6"/>
    <w:rsid w:val="0381F3FC"/>
    <w:rsid w:val="038DEF83"/>
    <w:rsid w:val="038FEE32"/>
    <w:rsid w:val="039070AF"/>
    <w:rsid w:val="03A6807D"/>
    <w:rsid w:val="03DB9BE4"/>
    <w:rsid w:val="03EEDCF0"/>
    <w:rsid w:val="03EFBFFF"/>
    <w:rsid w:val="03F2A6A3"/>
    <w:rsid w:val="03FE009F"/>
    <w:rsid w:val="043D4F1F"/>
    <w:rsid w:val="046D1D1B"/>
    <w:rsid w:val="04C4A8BD"/>
    <w:rsid w:val="04E15047"/>
    <w:rsid w:val="054F6DF0"/>
    <w:rsid w:val="055EB9E9"/>
    <w:rsid w:val="0565692B"/>
    <w:rsid w:val="056CCBFC"/>
    <w:rsid w:val="0599515A"/>
    <w:rsid w:val="05B90730"/>
    <w:rsid w:val="05BCD41E"/>
    <w:rsid w:val="05C6DB09"/>
    <w:rsid w:val="0615405B"/>
    <w:rsid w:val="063F40A7"/>
    <w:rsid w:val="06A57C3A"/>
    <w:rsid w:val="06A8EC25"/>
    <w:rsid w:val="06D0B3D2"/>
    <w:rsid w:val="0703340B"/>
    <w:rsid w:val="0780D18B"/>
    <w:rsid w:val="079CEA66"/>
    <w:rsid w:val="07D71EE5"/>
    <w:rsid w:val="0804081B"/>
    <w:rsid w:val="080861AC"/>
    <w:rsid w:val="082BBA25"/>
    <w:rsid w:val="08568988"/>
    <w:rsid w:val="08A987AF"/>
    <w:rsid w:val="08B9363E"/>
    <w:rsid w:val="08C75208"/>
    <w:rsid w:val="08DCD67C"/>
    <w:rsid w:val="08EDFC20"/>
    <w:rsid w:val="08F3C8E5"/>
    <w:rsid w:val="093596D0"/>
    <w:rsid w:val="0984F99E"/>
    <w:rsid w:val="09FB6654"/>
    <w:rsid w:val="0A642EAE"/>
    <w:rsid w:val="0A6D37BD"/>
    <w:rsid w:val="0A8E53EE"/>
    <w:rsid w:val="0AED0921"/>
    <w:rsid w:val="0AF6F12F"/>
    <w:rsid w:val="0B0C12C5"/>
    <w:rsid w:val="0B1EC96C"/>
    <w:rsid w:val="0B202E03"/>
    <w:rsid w:val="0B5136B2"/>
    <w:rsid w:val="0B5C103B"/>
    <w:rsid w:val="0B700C30"/>
    <w:rsid w:val="0B85E177"/>
    <w:rsid w:val="0BD87103"/>
    <w:rsid w:val="0BE6B3CF"/>
    <w:rsid w:val="0BE9AC8D"/>
    <w:rsid w:val="0C18356D"/>
    <w:rsid w:val="0C2DB123"/>
    <w:rsid w:val="0C5A6D86"/>
    <w:rsid w:val="0C8BC709"/>
    <w:rsid w:val="0C94D108"/>
    <w:rsid w:val="0CAF845D"/>
    <w:rsid w:val="0CEE92B3"/>
    <w:rsid w:val="0CEFE613"/>
    <w:rsid w:val="0CF70062"/>
    <w:rsid w:val="0D24DF1F"/>
    <w:rsid w:val="0D7A78DC"/>
    <w:rsid w:val="0D9384EC"/>
    <w:rsid w:val="0D9A7393"/>
    <w:rsid w:val="0DA73782"/>
    <w:rsid w:val="0DAFC9AA"/>
    <w:rsid w:val="0DE52AD1"/>
    <w:rsid w:val="0E0E1891"/>
    <w:rsid w:val="0E2E5D5A"/>
    <w:rsid w:val="0E76246C"/>
    <w:rsid w:val="0E843365"/>
    <w:rsid w:val="0E9C7278"/>
    <w:rsid w:val="0E9CCCF9"/>
    <w:rsid w:val="0EB83B96"/>
    <w:rsid w:val="0EB9EBEC"/>
    <w:rsid w:val="0EC138B1"/>
    <w:rsid w:val="0EEAC902"/>
    <w:rsid w:val="0F066704"/>
    <w:rsid w:val="0F0ED665"/>
    <w:rsid w:val="0F20B226"/>
    <w:rsid w:val="0F2C0AAA"/>
    <w:rsid w:val="0F43A38C"/>
    <w:rsid w:val="0F484CCE"/>
    <w:rsid w:val="0F9348CF"/>
    <w:rsid w:val="0FAD12CE"/>
    <w:rsid w:val="0FB0750A"/>
    <w:rsid w:val="0FF5E60D"/>
    <w:rsid w:val="10219101"/>
    <w:rsid w:val="1047F7FC"/>
    <w:rsid w:val="1056BF7E"/>
    <w:rsid w:val="109F2C2C"/>
    <w:rsid w:val="10E63713"/>
    <w:rsid w:val="10E8925A"/>
    <w:rsid w:val="10E94D12"/>
    <w:rsid w:val="10FAB202"/>
    <w:rsid w:val="112EE5FD"/>
    <w:rsid w:val="113DD8A4"/>
    <w:rsid w:val="115C8D09"/>
    <w:rsid w:val="1174514F"/>
    <w:rsid w:val="11803127"/>
    <w:rsid w:val="1182CB9B"/>
    <w:rsid w:val="11A9396F"/>
    <w:rsid w:val="11D03DD8"/>
    <w:rsid w:val="11DAB9E3"/>
    <w:rsid w:val="11DF04AB"/>
    <w:rsid w:val="11E7880D"/>
    <w:rsid w:val="123B2125"/>
    <w:rsid w:val="12639474"/>
    <w:rsid w:val="12710C1A"/>
    <w:rsid w:val="12762609"/>
    <w:rsid w:val="12C7A6B8"/>
    <w:rsid w:val="12CA3EEB"/>
    <w:rsid w:val="12DFC5A6"/>
    <w:rsid w:val="130B881E"/>
    <w:rsid w:val="13288537"/>
    <w:rsid w:val="139450F8"/>
    <w:rsid w:val="13AC2C5F"/>
    <w:rsid w:val="13B63FA5"/>
    <w:rsid w:val="13EF813F"/>
    <w:rsid w:val="140EEF33"/>
    <w:rsid w:val="1423BC33"/>
    <w:rsid w:val="14514424"/>
    <w:rsid w:val="1465F756"/>
    <w:rsid w:val="148A7CFA"/>
    <w:rsid w:val="14B7CCA6"/>
    <w:rsid w:val="14C09010"/>
    <w:rsid w:val="14CE8D6C"/>
    <w:rsid w:val="152E3C51"/>
    <w:rsid w:val="158C26B6"/>
    <w:rsid w:val="15AB1B06"/>
    <w:rsid w:val="161090A2"/>
    <w:rsid w:val="161C4B32"/>
    <w:rsid w:val="1652D40C"/>
    <w:rsid w:val="1676D22D"/>
    <w:rsid w:val="16A70B08"/>
    <w:rsid w:val="16B34CF9"/>
    <w:rsid w:val="17170E9D"/>
    <w:rsid w:val="1722DF27"/>
    <w:rsid w:val="1752DC3B"/>
    <w:rsid w:val="178C89E2"/>
    <w:rsid w:val="17E64EDE"/>
    <w:rsid w:val="17F3591A"/>
    <w:rsid w:val="17F50AE0"/>
    <w:rsid w:val="18179DCD"/>
    <w:rsid w:val="182447F4"/>
    <w:rsid w:val="189362D9"/>
    <w:rsid w:val="18B74037"/>
    <w:rsid w:val="18C41503"/>
    <w:rsid w:val="18D59E5F"/>
    <w:rsid w:val="18FB7D18"/>
    <w:rsid w:val="19070121"/>
    <w:rsid w:val="190E11BD"/>
    <w:rsid w:val="1930CD47"/>
    <w:rsid w:val="194B362D"/>
    <w:rsid w:val="195CBDD4"/>
    <w:rsid w:val="19613031"/>
    <w:rsid w:val="197CED7D"/>
    <w:rsid w:val="19811041"/>
    <w:rsid w:val="19A8ED2C"/>
    <w:rsid w:val="1A2197E0"/>
    <w:rsid w:val="1A64F0EC"/>
    <w:rsid w:val="1A8C8964"/>
    <w:rsid w:val="1A8E58A6"/>
    <w:rsid w:val="1A9540F7"/>
    <w:rsid w:val="1A9CBDC9"/>
    <w:rsid w:val="1AB717FE"/>
    <w:rsid w:val="1ABFC9CA"/>
    <w:rsid w:val="1B070A3F"/>
    <w:rsid w:val="1B294646"/>
    <w:rsid w:val="1B6530C2"/>
    <w:rsid w:val="1B8A606B"/>
    <w:rsid w:val="1BF5A637"/>
    <w:rsid w:val="1BF906DD"/>
    <w:rsid w:val="1C0F1B61"/>
    <w:rsid w:val="1C1767EF"/>
    <w:rsid w:val="1C2DF8B2"/>
    <w:rsid w:val="1C4F6B7C"/>
    <w:rsid w:val="1C5D77BB"/>
    <w:rsid w:val="1C61F4D4"/>
    <w:rsid w:val="1C816593"/>
    <w:rsid w:val="1CAF8264"/>
    <w:rsid w:val="1CEF6C5C"/>
    <w:rsid w:val="1CFC5606"/>
    <w:rsid w:val="1D00B3B1"/>
    <w:rsid w:val="1D3BF717"/>
    <w:rsid w:val="1DE06B4C"/>
    <w:rsid w:val="1DE40998"/>
    <w:rsid w:val="1DEF6F4B"/>
    <w:rsid w:val="1E0711A5"/>
    <w:rsid w:val="1E09961B"/>
    <w:rsid w:val="1E436D2C"/>
    <w:rsid w:val="1EE066A3"/>
    <w:rsid w:val="1EE654E9"/>
    <w:rsid w:val="1EECF6B7"/>
    <w:rsid w:val="1F1780BB"/>
    <w:rsid w:val="1F538B90"/>
    <w:rsid w:val="1F6EC8FC"/>
    <w:rsid w:val="1F797A7A"/>
    <w:rsid w:val="1F855901"/>
    <w:rsid w:val="1F97A1BC"/>
    <w:rsid w:val="1FD291AC"/>
    <w:rsid w:val="1FD8218B"/>
    <w:rsid w:val="1FEC7287"/>
    <w:rsid w:val="2018FE6B"/>
    <w:rsid w:val="20AD34F8"/>
    <w:rsid w:val="20D12842"/>
    <w:rsid w:val="20D77532"/>
    <w:rsid w:val="20E140C9"/>
    <w:rsid w:val="211A256A"/>
    <w:rsid w:val="2131F8B8"/>
    <w:rsid w:val="2135F84F"/>
    <w:rsid w:val="215B6B63"/>
    <w:rsid w:val="2160817A"/>
    <w:rsid w:val="2178E45B"/>
    <w:rsid w:val="218ABAF5"/>
    <w:rsid w:val="219763A0"/>
    <w:rsid w:val="21C75065"/>
    <w:rsid w:val="21C8AC21"/>
    <w:rsid w:val="21F238DF"/>
    <w:rsid w:val="223C9801"/>
    <w:rsid w:val="223E6F35"/>
    <w:rsid w:val="2279AB06"/>
    <w:rsid w:val="227D6179"/>
    <w:rsid w:val="22B276F6"/>
    <w:rsid w:val="22CBBED8"/>
    <w:rsid w:val="22DB229F"/>
    <w:rsid w:val="23372A85"/>
    <w:rsid w:val="235367C7"/>
    <w:rsid w:val="2376B5CE"/>
    <w:rsid w:val="237E133F"/>
    <w:rsid w:val="23A231BF"/>
    <w:rsid w:val="23ED161F"/>
    <w:rsid w:val="240A7D1D"/>
    <w:rsid w:val="2420C01B"/>
    <w:rsid w:val="2445B9E7"/>
    <w:rsid w:val="244BA39B"/>
    <w:rsid w:val="24705767"/>
    <w:rsid w:val="24A93C1C"/>
    <w:rsid w:val="24D37877"/>
    <w:rsid w:val="252CAC1D"/>
    <w:rsid w:val="25413896"/>
    <w:rsid w:val="256EA7AB"/>
    <w:rsid w:val="25773503"/>
    <w:rsid w:val="258E19D8"/>
    <w:rsid w:val="25A41938"/>
    <w:rsid w:val="25C8F456"/>
    <w:rsid w:val="25E0AC67"/>
    <w:rsid w:val="2604AD5B"/>
    <w:rsid w:val="2637E2EF"/>
    <w:rsid w:val="263A630A"/>
    <w:rsid w:val="264C73BE"/>
    <w:rsid w:val="264E5937"/>
    <w:rsid w:val="265EE78B"/>
    <w:rsid w:val="266C7307"/>
    <w:rsid w:val="26B84301"/>
    <w:rsid w:val="26CABE77"/>
    <w:rsid w:val="26D87B2F"/>
    <w:rsid w:val="26F3064E"/>
    <w:rsid w:val="272A70A6"/>
    <w:rsid w:val="27538A00"/>
    <w:rsid w:val="27A9C4B3"/>
    <w:rsid w:val="27B9EAC5"/>
    <w:rsid w:val="27D08476"/>
    <w:rsid w:val="2805FDD8"/>
    <w:rsid w:val="285FBFC5"/>
    <w:rsid w:val="288D1FE8"/>
    <w:rsid w:val="28BDED1F"/>
    <w:rsid w:val="28D87CD4"/>
    <w:rsid w:val="28FEC97C"/>
    <w:rsid w:val="2918E388"/>
    <w:rsid w:val="292D698B"/>
    <w:rsid w:val="299C377A"/>
    <w:rsid w:val="29B43247"/>
    <w:rsid w:val="29CC9FB4"/>
    <w:rsid w:val="29D7C944"/>
    <w:rsid w:val="2A119C2D"/>
    <w:rsid w:val="2A1FD9A3"/>
    <w:rsid w:val="2A50C039"/>
    <w:rsid w:val="2A951CCD"/>
    <w:rsid w:val="2AA57D53"/>
    <w:rsid w:val="2B0130BA"/>
    <w:rsid w:val="2B03EBDD"/>
    <w:rsid w:val="2B0E044F"/>
    <w:rsid w:val="2B16F44E"/>
    <w:rsid w:val="2BBC4BA4"/>
    <w:rsid w:val="2BCAACA2"/>
    <w:rsid w:val="2C24A371"/>
    <w:rsid w:val="2C3006D8"/>
    <w:rsid w:val="2C4EAAF4"/>
    <w:rsid w:val="2C5347F9"/>
    <w:rsid w:val="2CF82A75"/>
    <w:rsid w:val="2D618649"/>
    <w:rsid w:val="2D6A6E03"/>
    <w:rsid w:val="2DBB79EE"/>
    <w:rsid w:val="2DF7DB4B"/>
    <w:rsid w:val="2DF7ED55"/>
    <w:rsid w:val="2E283492"/>
    <w:rsid w:val="2E35AA31"/>
    <w:rsid w:val="2E4ED1B8"/>
    <w:rsid w:val="2E63DF7F"/>
    <w:rsid w:val="2E65B6DC"/>
    <w:rsid w:val="2E8856F4"/>
    <w:rsid w:val="2EBA50B9"/>
    <w:rsid w:val="2EBE291F"/>
    <w:rsid w:val="2EF72574"/>
    <w:rsid w:val="2F002EC2"/>
    <w:rsid w:val="2F0059B5"/>
    <w:rsid w:val="2F2F1EE2"/>
    <w:rsid w:val="2F3B4039"/>
    <w:rsid w:val="2F5846F3"/>
    <w:rsid w:val="2FA493A1"/>
    <w:rsid w:val="2FEC77C4"/>
    <w:rsid w:val="2FFC4D01"/>
    <w:rsid w:val="3044EF00"/>
    <w:rsid w:val="305C8E22"/>
    <w:rsid w:val="308940AA"/>
    <w:rsid w:val="30ADBDEB"/>
    <w:rsid w:val="30CB663D"/>
    <w:rsid w:val="30CF0969"/>
    <w:rsid w:val="30F925B0"/>
    <w:rsid w:val="31145B8C"/>
    <w:rsid w:val="3114FA54"/>
    <w:rsid w:val="311B9D4E"/>
    <w:rsid w:val="314455C6"/>
    <w:rsid w:val="3147CA82"/>
    <w:rsid w:val="314D8100"/>
    <w:rsid w:val="315A7761"/>
    <w:rsid w:val="317E997B"/>
    <w:rsid w:val="31A034F0"/>
    <w:rsid w:val="31B1DBFC"/>
    <w:rsid w:val="320946C7"/>
    <w:rsid w:val="320A97A5"/>
    <w:rsid w:val="3220F2D4"/>
    <w:rsid w:val="32639AD7"/>
    <w:rsid w:val="32B4678B"/>
    <w:rsid w:val="3339A999"/>
    <w:rsid w:val="335643C9"/>
    <w:rsid w:val="338755AA"/>
    <w:rsid w:val="33988F5E"/>
    <w:rsid w:val="33A4D283"/>
    <w:rsid w:val="33D9A7C1"/>
    <w:rsid w:val="34006249"/>
    <w:rsid w:val="34047A1C"/>
    <w:rsid w:val="342137EF"/>
    <w:rsid w:val="3422289D"/>
    <w:rsid w:val="3437172A"/>
    <w:rsid w:val="34413B4F"/>
    <w:rsid w:val="34419BAA"/>
    <w:rsid w:val="346A9BCD"/>
    <w:rsid w:val="348A2761"/>
    <w:rsid w:val="34D0FDB3"/>
    <w:rsid w:val="34E63E23"/>
    <w:rsid w:val="3504D45B"/>
    <w:rsid w:val="35124E16"/>
    <w:rsid w:val="3522A90D"/>
    <w:rsid w:val="3538C54A"/>
    <w:rsid w:val="3546FC43"/>
    <w:rsid w:val="35A9BF6B"/>
    <w:rsid w:val="35C5209F"/>
    <w:rsid w:val="35D66EA0"/>
    <w:rsid w:val="3629B219"/>
    <w:rsid w:val="3635E1DC"/>
    <w:rsid w:val="36408A13"/>
    <w:rsid w:val="3658895D"/>
    <w:rsid w:val="365BD2B8"/>
    <w:rsid w:val="36854EEB"/>
    <w:rsid w:val="3686D172"/>
    <w:rsid w:val="36C47A1D"/>
    <w:rsid w:val="36C9AEDE"/>
    <w:rsid w:val="37713299"/>
    <w:rsid w:val="37A9F1EE"/>
    <w:rsid w:val="37B99202"/>
    <w:rsid w:val="37DDE826"/>
    <w:rsid w:val="3892D951"/>
    <w:rsid w:val="3894D1BD"/>
    <w:rsid w:val="38AA4D3E"/>
    <w:rsid w:val="38E58542"/>
    <w:rsid w:val="390B4335"/>
    <w:rsid w:val="392C4F99"/>
    <w:rsid w:val="39503D8B"/>
    <w:rsid w:val="3963BEC9"/>
    <w:rsid w:val="3970CCB5"/>
    <w:rsid w:val="3970FB40"/>
    <w:rsid w:val="3976F2CD"/>
    <w:rsid w:val="39B85253"/>
    <w:rsid w:val="39C3A3AD"/>
    <w:rsid w:val="39EECF73"/>
    <w:rsid w:val="3A17C057"/>
    <w:rsid w:val="3A19A084"/>
    <w:rsid w:val="3A27AC8D"/>
    <w:rsid w:val="3A2993DA"/>
    <w:rsid w:val="3A597128"/>
    <w:rsid w:val="3A7FDA86"/>
    <w:rsid w:val="3AC9ACC8"/>
    <w:rsid w:val="3AEAA9B5"/>
    <w:rsid w:val="3B105CA0"/>
    <w:rsid w:val="3B13EE46"/>
    <w:rsid w:val="3B26D0B9"/>
    <w:rsid w:val="3B568DA7"/>
    <w:rsid w:val="3B57192A"/>
    <w:rsid w:val="3B75859D"/>
    <w:rsid w:val="3B7A138C"/>
    <w:rsid w:val="3B862A17"/>
    <w:rsid w:val="3BA344A1"/>
    <w:rsid w:val="3BAAD7D6"/>
    <w:rsid w:val="3BD01E78"/>
    <w:rsid w:val="3BF33478"/>
    <w:rsid w:val="3C76DF3F"/>
    <w:rsid w:val="3C777BDB"/>
    <w:rsid w:val="3CAC3B59"/>
    <w:rsid w:val="3CC95230"/>
    <w:rsid w:val="3CF65541"/>
    <w:rsid w:val="3D071FB0"/>
    <w:rsid w:val="3D07BE64"/>
    <w:rsid w:val="3D92D44E"/>
    <w:rsid w:val="3DA20481"/>
    <w:rsid w:val="3DA764C1"/>
    <w:rsid w:val="3DE349A4"/>
    <w:rsid w:val="3DFE428A"/>
    <w:rsid w:val="3E3745CF"/>
    <w:rsid w:val="3E457809"/>
    <w:rsid w:val="3E4CD523"/>
    <w:rsid w:val="3E53CF1C"/>
    <w:rsid w:val="3E5ECF74"/>
    <w:rsid w:val="3E8C4606"/>
    <w:rsid w:val="3F34DCF6"/>
    <w:rsid w:val="3F601FB7"/>
    <w:rsid w:val="3F88673A"/>
    <w:rsid w:val="3F8B4934"/>
    <w:rsid w:val="3FDC4904"/>
    <w:rsid w:val="4004EF44"/>
    <w:rsid w:val="40244A37"/>
    <w:rsid w:val="402856E3"/>
    <w:rsid w:val="408B7374"/>
    <w:rsid w:val="4093B5E0"/>
    <w:rsid w:val="40955C41"/>
    <w:rsid w:val="40A99B7D"/>
    <w:rsid w:val="40B304B0"/>
    <w:rsid w:val="40BD76A5"/>
    <w:rsid w:val="4157E223"/>
    <w:rsid w:val="41705A65"/>
    <w:rsid w:val="41740ECF"/>
    <w:rsid w:val="4188716B"/>
    <w:rsid w:val="41B86E01"/>
    <w:rsid w:val="41B940D5"/>
    <w:rsid w:val="41BDBB60"/>
    <w:rsid w:val="41E6D34D"/>
    <w:rsid w:val="420BE871"/>
    <w:rsid w:val="4232754F"/>
    <w:rsid w:val="42763A53"/>
    <w:rsid w:val="429FA8B4"/>
    <w:rsid w:val="42A6FB40"/>
    <w:rsid w:val="42CBBEDB"/>
    <w:rsid w:val="42D7DEE9"/>
    <w:rsid w:val="42D8B3BD"/>
    <w:rsid w:val="42EE72FA"/>
    <w:rsid w:val="4305A974"/>
    <w:rsid w:val="433674DD"/>
    <w:rsid w:val="43633D1E"/>
    <w:rsid w:val="437E5B07"/>
    <w:rsid w:val="43B2D771"/>
    <w:rsid w:val="43C64E57"/>
    <w:rsid w:val="43CF0CA9"/>
    <w:rsid w:val="43EA1509"/>
    <w:rsid w:val="43F2969E"/>
    <w:rsid w:val="44836CAC"/>
    <w:rsid w:val="44D5C128"/>
    <w:rsid w:val="44F93DB7"/>
    <w:rsid w:val="450D524E"/>
    <w:rsid w:val="450E2E9B"/>
    <w:rsid w:val="452600ED"/>
    <w:rsid w:val="4570E9FA"/>
    <w:rsid w:val="45AF91C7"/>
    <w:rsid w:val="45B4493D"/>
    <w:rsid w:val="45C0E072"/>
    <w:rsid w:val="45C491A4"/>
    <w:rsid w:val="45E4D1F7"/>
    <w:rsid w:val="4620E972"/>
    <w:rsid w:val="464FF783"/>
    <w:rsid w:val="4689A8FE"/>
    <w:rsid w:val="46BF4EFD"/>
    <w:rsid w:val="46C447F7"/>
    <w:rsid w:val="46F651E6"/>
    <w:rsid w:val="470EEFB9"/>
    <w:rsid w:val="471A86C1"/>
    <w:rsid w:val="474075CC"/>
    <w:rsid w:val="474380F3"/>
    <w:rsid w:val="47529A78"/>
    <w:rsid w:val="47869E7E"/>
    <w:rsid w:val="47AFE159"/>
    <w:rsid w:val="47D9911C"/>
    <w:rsid w:val="48A3F006"/>
    <w:rsid w:val="48A7947D"/>
    <w:rsid w:val="48AB54D0"/>
    <w:rsid w:val="48E1F2C3"/>
    <w:rsid w:val="49144312"/>
    <w:rsid w:val="49248A1C"/>
    <w:rsid w:val="493C4838"/>
    <w:rsid w:val="49492BF3"/>
    <w:rsid w:val="49493513"/>
    <w:rsid w:val="49BA8111"/>
    <w:rsid w:val="49C2CC67"/>
    <w:rsid w:val="49D86641"/>
    <w:rsid w:val="4A11E2F7"/>
    <w:rsid w:val="4A2F7F48"/>
    <w:rsid w:val="4A546952"/>
    <w:rsid w:val="4A54CACC"/>
    <w:rsid w:val="4A664BB2"/>
    <w:rsid w:val="4AD8CAF2"/>
    <w:rsid w:val="4AEB6282"/>
    <w:rsid w:val="4AF0E533"/>
    <w:rsid w:val="4AF628F6"/>
    <w:rsid w:val="4B04DD12"/>
    <w:rsid w:val="4B07553C"/>
    <w:rsid w:val="4B1D6A99"/>
    <w:rsid w:val="4B5394D4"/>
    <w:rsid w:val="4B609D08"/>
    <w:rsid w:val="4B8A229D"/>
    <w:rsid w:val="4B9A6027"/>
    <w:rsid w:val="4C00832C"/>
    <w:rsid w:val="4C0A0955"/>
    <w:rsid w:val="4C21600E"/>
    <w:rsid w:val="4CF9A9F8"/>
    <w:rsid w:val="4D15603C"/>
    <w:rsid w:val="4D40D10E"/>
    <w:rsid w:val="4D4387A1"/>
    <w:rsid w:val="4D4A7BB9"/>
    <w:rsid w:val="4D7314EB"/>
    <w:rsid w:val="4D82996F"/>
    <w:rsid w:val="4D98ABF4"/>
    <w:rsid w:val="4DB469D8"/>
    <w:rsid w:val="4DF015FD"/>
    <w:rsid w:val="4E0D2EA1"/>
    <w:rsid w:val="4E22B99D"/>
    <w:rsid w:val="4E5250BB"/>
    <w:rsid w:val="4E8E260F"/>
    <w:rsid w:val="4EA1C89A"/>
    <w:rsid w:val="4ECBA204"/>
    <w:rsid w:val="4ED472C3"/>
    <w:rsid w:val="4F2D583E"/>
    <w:rsid w:val="4F2DEEF3"/>
    <w:rsid w:val="4FAD73CC"/>
    <w:rsid w:val="4FFFD517"/>
    <w:rsid w:val="504C19A3"/>
    <w:rsid w:val="50541B85"/>
    <w:rsid w:val="505D1B34"/>
    <w:rsid w:val="5065D889"/>
    <w:rsid w:val="507430DF"/>
    <w:rsid w:val="5090B17D"/>
    <w:rsid w:val="50A871BB"/>
    <w:rsid w:val="50CCA467"/>
    <w:rsid w:val="5167030D"/>
    <w:rsid w:val="517BD1E6"/>
    <w:rsid w:val="51B51DC6"/>
    <w:rsid w:val="51C0E4F5"/>
    <w:rsid w:val="51CD271D"/>
    <w:rsid w:val="51D6E3C8"/>
    <w:rsid w:val="5242A141"/>
    <w:rsid w:val="524B27DE"/>
    <w:rsid w:val="52B5EBFB"/>
    <w:rsid w:val="52C21B7E"/>
    <w:rsid w:val="52C7008F"/>
    <w:rsid w:val="52F23D03"/>
    <w:rsid w:val="5304A966"/>
    <w:rsid w:val="530841C3"/>
    <w:rsid w:val="5318876E"/>
    <w:rsid w:val="53378958"/>
    <w:rsid w:val="5346EE51"/>
    <w:rsid w:val="534E7A96"/>
    <w:rsid w:val="53AF9FED"/>
    <w:rsid w:val="53F9700D"/>
    <w:rsid w:val="54041330"/>
    <w:rsid w:val="543DD318"/>
    <w:rsid w:val="5476C93A"/>
    <w:rsid w:val="54C11A0E"/>
    <w:rsid w:val="54C7542D"/>
    <w:rsid w:val="54F4B55D"/>
    <w:rsid w:val="55091F4A"/>
    <w:rsid w:val="55331E97"/>
    <w:rsid w:val="554A6E8D"/>
    <w:rsid w:val="55691409"/>
    <w:rsid w:val="556CCB55"/>
    <w:rsid w:val="556E2EE1"/>
    <w:rsid w:val="558F7A06"/>
    <w:rsid w:val="55D14599"/>
    <w:rsid w:val="55D154F5"/>
    <w:rsid w:val="55D40AB6"/>
    <w:rsid w:val="5602C0C4"/>
    <w:rsid w:val="56061B51"/>
    <w:rsid w:val="560A9CA2"/>
    <w:rsid w:val="5610938C"/>
    <w:rsid w:val="56567055"/>
    <w:rsid w:val="565F09A9"/>
    <w:rsid w:val="56D76E51"/>
    <w:rsid w:val="56D786EE"/>
    <w:rsid w:val="56F9BC29"/>
    <w:rsid w:val="572E6998"/>
    <w:rsid w:val="5751682C"/>
    <w:rsid w:val="57977FB7"/>
    <w:rsid w:val="57A8E24F"/>
    <w:rsid w:val="57C5CB22"/>
    <w:rsid w:val="57FB104B"/>
    <w:rsid w:val="5806A63E"/>
    <w:rsid w:val="584B97AB"/>
    <w:rsid w:val="58D83C27"/>
    <w:rsid w:val="59081445"/>
    <w:rsid w:val="5909B790"/>
    <w:rsid w:val="5942F5E9"/>
    <w:rsid w:val="594A0397"/>
    <w:rsid w:val="59516BB8"/>
    <w:rsid w:val="595E130C"/>
    <w:rsid w:val="59890C4D"/>
    <w:rsid w:val="5A13F213"/>
    <w:rsid w:val="5A23B96E"/>
    <w:rsid w:val="5A42F780"/>
    <w:rsid w:val="5A7D3B74"/>
    <w:rsid w:val="5A8EAA0D"/>
    <w:rsid w:val="5AAA2ECF"/>
    <w:rsid w:val="5B0D4D88"/>
    <w:rsid w:val="5B168731"/>
    <w:rsid w:val="5B17B6D0"/>
    <w:rsid w:val="5B35A6F6"/>
    <w:rsid w:val="5B3C5369"/>
    <w:rsid w:val="5B3D7340"/>
    <w:rsid w:val="5B532F28"/>
    <w:rsid w:val="5B5EB582"/>
    <w:rsid w:val="5B7F10A2"/>
    <w:rsid w:val="5B9A5C6C"/>
    <w:rsid w:val="5BC3ECB7"/>
    <w:rsid w:val="5BF2D1C3"/>
    <w:rsid w:val="5BFFAF45"/>
    <w:rsid w:val="5C040C4F"/>
    <w:rsid w:val="5C14BFCF"/>
    <w:rsid w:val="5C3EAC05"/>
    <w:rsid w:val="5C3F0058"/>
    <w:rsid w:val="5C59EBA0"/>
    <w:rsid w:val="5CCB89C1"/>
    <w:rsid w:val="5CF17776"/>
    <w:rsid w:val="5D1A4985"/>
    <w:rsid w:val="5D2FFFC0"/>
    <w:rsid w:val="5D350754"/>
    <w:rsid w:val="5D3BEA58"/>
    <w:rsid w:val="5D5CC9D9"/>
    <w:rsid w:val="5D6DC580"/>
    <w:rsid w:val="5D934164"/>
    <w:rsid w:val="5D9C92CE"/>
    <w:rsid w:val="5DD45871"/>
    <w:rsid w:val="5DD4B311"/>
    <w:rsid w:val="5DE179ED"/>
    <w:rsid w:val="5E39FF59"/>
    <w:rsid w:val="5EBB4C09"/>
    <w:rsid w:val="5EF521BF"/>
    <w:rsid w:val="5EF90D60"/>
    <w:rsid w:val="5F5D322D"/>
    <w:rsid w:val="5F9A5FBA"/>
    <w:rsid w:val="5FB08924"/>
    <w:rsid w:val="5FFF6B5B"/>
    <w:rsid w:val="601E9533"/>
    <w:rsid w:val="6034C58B"/>
    <w:rsid w:val="603D89F7"/>
    <w:rsid w:val="60450B89"/>
    <w:rsid w:val="60671A06"/>
    <w:rsid w:val="6069A90F"/>
    <w:rsid w:val="606CB04C"/>
    <w:rsid w:val="6071BA00"/>
    <w:rsid w:val="6084CF41"/>
    <w:rsid w:val="60C03242"/>
    <w:rsid w:val="60E5A6B9"/>
    <w:rsid w:val="615EF968"/>
    <w:rsid w:val="616066DC"/>
    <w:rsid w:val="6176A45C"/>
    <w:rsid w:val="617A7EF6"/>
    <w:rsid w:val="618185A5"/>
    <w:rsid w:val="618A98B9"/>
    <w:rsid w:val="61B62500"/>
    <w:rsid w:val="61F1608D"/>
    <w:rsid w:val="620CC3B2"/>
    <w:rsid w:val="623D1B9C"/>
    <w:rsid w:val="6245EA92"/>
    <w:rsid w:val="6262330D"/>
    <w:rsid w:val="6269BC19"/>
    <w:rsid w:val="62ED0AB9"/>
    <w:rsid w:val="630CCB6B"/>
    <w:rsid w:val="6375CE5C"/>
    <w:rsid w:val="6378012D"/>
    <w:rsid w:val="6395288A"/>
    <w:rsid w:val="63C09D18"/>
    <w:rsid w:val="63D250BD"/>
    <w:rsid w:val="63F755A6"/>
    <w:rsid w:val="64721CD2"/>
    <w:rsid w:val="64767713"/>
    <w:rsid w:val="64C7955A"/>
    <w:rsid w:val="64D5E784"/>
    <w:rsid w:val="64DB9E21"/>
    <w:rsid w:val="65051EAC"/>
    <w:rsid w:val="6550333E"/>
    <w:rsid w:val="65876C1C"/>
    <w:rsid w:val="658A26F2"/>
    <w:rsid w:val="65BB2F84"/>
    <w:rsid w:val="65D815C7"/>
    <w:rsid w:val="65D8D8B5"/>
    <w:rsid w:val="65F24A17"/>
    <w:rsid w:val="662E1A5F"/>
    <w:rsid w:val="668911A7"/>
    <w:rsid w:val="668CBA99"/>
    <w:rsid w:val="66DF9464"/>
    <w:rsid w:val="66ED62E3"/>
    <w:rsid w:val="670F44B5"/>
    <w:rsid w:val="6734CEB6"/>
    <w:rsid w:val="677840D0"/>
    <w:rsid w:val="67CBCF1A"/>
    <w:rsid w:val="67DB1BC1"/>
    <w:rsid w:val="67EB96C7"/>
    <w:rsid w:val="67F57D83"/>
    <w:rsid w:val="68223DB1"/>
    <w:rsid w:val="6835CA35"/>
    <w:rsid w:val="6840599A"/>
    <w:rsid w:val="689B6A62"/>
    <w:rsid w:val="68EB9977"/>
    <w:rsid w:val="6913CDFB"/>
    <w:rsid w:val="69270B2E"/>
    <w:rsid w:val="6939499A"/>
    <w:rsid w:val="695A97FD"/>
    <w:rsid w:val="696F433D"/>
    <w:rsid w:val="69821940"/>
    <w:rsid w:val="6987A572"/>
    <w:rsid w:val="69C25A91"/>
    <w:rsid w:val="69C9A734"/>
    <w:rsid w:val="69EA6F98"/>
    <w:rsid w:val="69F2E682"/>
    <w:rsid w:val="6A140225"/>
    <w:rsid w:val="6A23B408"/>
    <w:rsid w:val="6A87BEED"/>
    <w:rsid w:val="6AB2433C"/>
    <w:rsid w:val="6AE104C4"/>
    <w:rsid w:val="6B15DDAC"/>
    <w:rsid w:val="6B39B16B"/>
    <w:rsid w:val="6B5F334B"/>
    <w:rsid w:val="6B9D3CB6"/>
    <w:rsid w:val="6B9F94A9"/>
    <w:rsid w:val="6BC70949"/>
    <w:rsid w:val="6BCA8911"/>
    <w:rsid w:val="6BF70954"/>
    <w:rsid w:val="6C08B6A5"/>
    <w:rsid w:val="6C11DE8D"/>
    <w:rsid w:val="6C13F540"/>
    <w:rsid w:val="6C6742F9"/>
    <w:rsid w:val="6C71B902"/>
    <w:rsid w:val="6C95DDD1"/>
    <w:rsid w:val="6CF402DE"/>
    <w:rsid w:val="6CF5A6B3"/>
    <w:rsid w:val="6D400AA4"/>
    <w:rsid w:val="6D5975FF"/>
    <w:rsid w:val="6D97EA4F"/>
    <w:rsid w:val="6DE6E5B4"/>
    <w:rsid w:val="6E729FE7"/>
    <w:rsid w:val="6EA7659F"/>
    <w:rsid w:val="6EACD88C"/>
    <w:rsid w:val="6EC9DD7D"/>
    <w:rsid w:val="6EC9DFAA"/>
    <w:rsid w:val="6EEFCCD4"/>
    <w:rsid w:val="6F1B9489"/>
    <w:rsid w:val="6F61763F"/>
    <w:rsid w:val="6F98DD53"/>
    <w:rsid w:val="6FB6E752"/>
    <w:rsid w:val="6FFDFF45"/>
    <w:rsid w:val="70135FC4"/>
    <w:rsid w:val="7015CB1C"/>
    <w:rsid w:val="7019ED40"/>
    <w:rsid w:val="701FD152"/>
    <w:rsid w:val="7025AC86"/>
    <w:rsid w:val="702B28D4"/>
    <w:rsid w:val="7066D0CA"/>
    <w:rsid w:val="708E3BDF"/>
    <w:rsid w:val="70C02444"/>
    <w:rsid w:val="70D1E209"/>
    <w:rsid w:val="71330328"/>
    <w:rsid w:val="7154D694"/>
    <w:rsid w:val="7173B7CE"/>
    <w:rsid w:val="718401C0"/>
    <w:rsid w:val="71866827"/>
    <w:rsid w:val="718E90FF"/>
    <w:rsid w:val="71E341E5"/>
    <w:rsid w:val="71E62C29"/>
    <w:rsid w:val="723784D8"/>
    <w:rsid w:val="724A2BB8"/>
    <w:rsid w:val="7252C340"/>
    <w:rsid w:val="7272FAF5"/>
    <w:rsid w:val="7279E87D"/>
    <w:rsid w:val="727F4B7F"/>
    <w:rsid w:val="7289FE57"/>
    <w:rsid w:val="72918430"/>
    <w:rsid w:val="7293AE31"/>
    <w:rsid w:val="72BC5A21"/>
    <w:rsid w:val="7337546F"/>
    <w:rsid w:val="7349965B"/>
    <w:rsid w:val="735AF154"/>
    <w:rsid w:val="73EFDD6C"/>
    <w:rsid w:val="740D88D6"/>
    <w:rsid w:val="7435729E"/>
    <w:rsid w:val="74D7B049"/>
    <w:rsid w:val="74F124B1"/>
    <w:rsid w:val="74FEFA2A"/>
    <w:rsid w:val="752FC71E"/>
    <w:rsid w:val="75349E68"/>
    <w:rsid w:val="7554A703"/>
    <w:rsid w:val="75563173"/>
    <w:rsid w:val="75680ECF"/>
    <w:rsid w:val="75823755"/>
    <w:rsid w:val="7587AC01"/>
    <w:rsid w:val="75888982"/>
    <w:rsid w:val="75B539B4"/>
    <w:rsid w:val="75DE2DE2"/>
    <w:rsid w:val="75F56DFD"/>
    <w:rsid w:val="76225C1B"/>
    <w:rsid w:val="76628F00"/>
    <w:rsid w:val="767C5BE5"/>
    <w:rsid w:val="76A97CF3"/>
    <w:rsid w:val="76AFFEB9"/>
    <w:rsid w:val="76BC4AC9"/>
    <w:rsid w:val="76BEE80B"/>
    <w:rsid w:val="76C3810E"/>
    <w:rsid w:val="76E93F54"/>
    <w:rsid w:val="77034CDE"/>
    <w:rsid w:val="7728E624"/>
    <w:rsid w:val="7730C80B"/>
    <w:rsid w:val="773244DA"/>
    <w:rsid w:val="7742B4EA"/>
    <w:rsid w:val="777B8789"/>
    <w:rsid w:val="77954EFE"/>
    <w:rsid w:val="77E505AD"/>
    <w:rsid w:val="77E81D8F"/>
    <w:rsid w:val="77E8EAFC"/>
    <w:rsid w:val="77F8F259"/>
    <w:rsid w:val="785F4EA3"/>
    <w:rsid w:val="78865B3D"/>
    <w:rsid w:val="788C326E"/>
    <w:rsid w:val="78CAB421"/>
    <w:rsid w:val="78EF1D3F"/>
    <w:rsid w:val="79014311"/>
    <w:rsid w:val="79098C38"/>
    <w:rsid w:val="7918EDED"/>
    <w:rsid w:val="792D6D72"/>
    <w:rsid w:val="793F06CC"/>
    <w:rsid w:val="79631B1E"/>
    <w:rsid w:val="79AC80B7"/>
    <w:rsid w:val="79C513A7"/>
    <w:rsid w:val="79D80018"/>
    <w:rsid w:val="79E71E50"/>
    <w:rsid w:val="79EB9030"/>
    <w:rsid w:val="79FF5400"/>
    <w:rsid w:val="7A18C1E8"/>
    <w:rsid w:val="7A1C3826"/>
    <w:rsid w:val="7A4E6ACC"/>
    <w:rsid w:val="7A953AA8"/>
    <w:rsid w:val="7AAD8F53"/>
    <w:rsid w:val="7B0775C3"/>
    <w:rsid w:val="7B084A65"/>
    <w:rsid w:val="7B0CB840"/>
    <w:rsid w:val="7B238732"/>
    <w:rsid w:val="7B255614"/>
    <w:rsid w:val="7B64D744"/>
    <w:rsid w:val="7B666448"/>
    <w:rsid w:val="7B9054E7"/>
    <w:rsid w:val="7B9CB210"/>
    <w:rsid w:val="7B9DE5DE"/>
    <w:rsid w:val="7C17D8D5"/>
    <w:rsid w:val="7C357143"/>
    <w:rsid w:val="7C415B2C"/>
    <w:rsid w:val="7C79147A"/>
    <w:rsid w:val="7C8B47EC"/>
    <w:rsid w:val="7CDA7EEA"/>
    <w:rsid w:val="7CE8EFB5"/>
    <w:rsid w:val="7D2B618E"/>
    <w:rsid w:val="7D5EC16F"/>
    <w:rsid w:val="7D5F1CF6"/>
    <w:rsid w:val="7D7137D8"/>
    <w:rsid w:val="7D942CCC"/>
    <w:rsid w:val="7DAE7408"/>
    <w:rsid w:val="7DB8DA91"/>
    <w:rsid w:val="7DC91EA8"/>
    <w:rsid w:val="7DD79C94"/>
    <w:rsid w:val="7E27BEC1"/>
    <w:rsid w:val="7E93EEC9"/>
    <w:rsid w:val="7E94FC06"/>
    <w:rsid w:val="7E9F32B7"/>
    <w:rsid w:val="7EBB0A3B"/>
    <w:rsid w:val="7EC317F1"/>
    <w:rsid w:val="7F12333D"/>
    <w:rsid w:val="7F2C4583"/>
    <w:rsid w:val="7F6A00BD"/>
    <w:rsid w:val="7F787089"/>
    <w:rsid w:val="7F8A3B6B"/>
    <w:rsid w:val="7F941CA7"/>
    <w:rsid w:val="7F962FBE"/>
    <w:rsid w:val="7F985036"/>
    <w:rsid w:val="7FA6AB79"/>
    <w:rsid w:val="7FB1E13D"/>
    <w:rsid w:val="7FBCE0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89D14476-8577-48B1-B314-78972A86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DA"/>
    <w:pPr>
      <w:spacing w:after="120"/>
      <w:ind w:right="-45"/>
    </w:pPr>
    <w:rPr>
      <w:rFonts w:ascii="Arial" w:eastAsia="Times New Roman" w:hAnsi="Arial"/>
      <w:i/>
      <w:iCs/>
      <w:sz w:val="24"/>
      <w:szCs w:val="24"/>
    </w:rPr>
  </w:style>
  <w:style w:type="paragraph" w:styleId="Heading1">
    <w:name w:val="heading 1"/>
    <w:basedOn w:val="Normal"/>
    <w:next w:val="Normal"/>
    <w:link w:val="Heading1Char"/>
    <w:uiPriority w:val="9"/>
    <w:qFormat/>
    <w:rsid w:val="19811041"/>
    <w:pPr>
      <w:keepNext/>
      <w:keepLines/>
      <w:spacing w:before="120"/>
      <w:outlineLvl w:val="0"/>
    </w:pPr>
    <w:rPr>
      <w:rFonts w:eastAsiaTheme="majorEastAsia"/>
      <w:b/>
      <w:bCs/>
      <w:sz w:val="28"/>
      <w:szCs w:val="28"/>
    </w:rPr>
  </w:style>
  <w:style w:type="paragraph" w:styleId="Heading2">
    <w:name w:val="heading 2"/>
    <w:basedOn w:val="Normal"/>
    <w:next w:val="Normal"/>
    <w:link w:val="Heading2Char"/>
    <w:uiPriority w:val="1"/>
    <w:unhideWhenUsed/>
    <w:qFormat/>
    <w:rsid w:val="19811041"/>
    <w:pPr>
      <w:keepNext/>
      <w:keepLines/>
      <w:spacing w:before="120"/>
      <w:outlineLvl w:val="1"/>
    </w:pPr>
    <w:rPr>
      <w:rFonts w:eastAsiaTheme="majorEastAsia" w:cstheme="majorBidi"/>
      <w:b/>
      <w:bCs/>
    </w:rPr>
  </w:style>
  <w:style w:type="paragraph" w:styleId="Heading3">
    <w:name w:val="heading 3"/>
    <w:basedOn w:val="Normal"/>
    <w:next w:val="Normal"/>
    <w:link w:val="Heading3Char"/>
    <w:uiPriority w:val="1"/>
    <w:unhideWhenUsed/>
    <w:qFormat/>
    <w:rsid w:val="19811041"/>
    <w:pPr>
      <w:keepNext/>
      <w:keepLines/>
      <w:spacing w:before="240" w:after="240"/>
      <w:outlineLvl w:val="2"/>
    </w:pPr>
    <w:rPr>
      <w:rFonts w:eastAsiaTheme="majorEastAsia" w:cstheme="majorBidi"/>
      <w:b/>
      <w:bCs/>
    </w:rPr>
  </w:style>
  <w:style w:type="paragraph" w:styleId="Heading4">
    <w:name w:val="heading 4"/>
    <w:basedOn w:val="Normal"/>
    <w:next w:val="Normal"/>
    <w:link w:val="Heading4Char"/>
    <w:uiPriority w:val="1"/>
    <w:semiHidden/>
    <w:unhideWhenUsed/>
    <w:qFormat/>
    <w:rsid w:val="19811041"/>
    <w:pPr>
      <w:keepNext/>
      <w:keepLines/>
      <w:spacing w:before="40" w:after="0"/>
      <w:outlineLvl w:val="3"/>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b/>
      <w:bCs/>
      <w:i/>
      <w:iCs/>
      <w:sz w:val="28"/>
      <w:szCs w:val="28"/>
    </w:rPr>
  </w:style>
  <w:style w:type="character" w:customStyle="1" w:styleId="Heading2Char">
    <w:name w:val="Heading 2 Char"/>
    <w:basedOn w:val="DefaultParagraphFont"/>
    <w:link w:val="Heading2"/>
    <w:uiPriority w:val="1"/>
    <w:rsid w:val="00E90DF9"/>
    <w:rPr>
      <w:rFonts w:ascii="Arial" w:eastAsiaTheme="majorEastAsia" w:hAnsi="Arial" w:cstheme="majorBidi"/>
      <w:b/>
      <w:bCs/>
      <w:i/>
      <w:iCs/>
      <w:sz w:val="24"/>
      <w:szCs w:val="24"/>
    </w:rPr>
  </w:style>
  <w:style w:type="character" w:customStyle="1" w:styleId="Heading3Char">
    <w:name w:val="Heading 3 Char"/>
    <w:basedOn w:val="DefaultParagraphFont"/>
    <w:link w:val="Heading3"/>
    <w:uiPriority w:val="1"/>
    <w:rsid w:val="00E90DF9"/>
    <w:rPr>
      <w:rFonts w:ascii="Arial" w:eastAsiaTheme="majorEastAsia" w:hAnsi="Arial" w:cstheme="majorBidi"/>
      <w:b/>
      <w:bCs/>
      <w:i/>
      <w:iCs/>
      <w:sz w:val="24"/>
      <w:szCs w:val="24"/>
    </w:rPr>
  </w:style>
  <w:style w:type="character" w:customStyle="1" w:styleId="Heading4Char">
    <w:name w:val="Heading 4 Char"/>
    <w:basedOn w:val="DefaultParagraphFont"/>
    <w:link w:val="Heading4"/>
    <w:uiPriority w:val="1"/>
    <w:semiHidden/>
    <w:rsid w:val="00E90DF9"/>
    <w:rPr>
      <w:rFonts w:asciiTheme="majorHAnsi" w:eastAsiaTheme="majorEastAsia" w:hAnsiTheme="majorHAnsi" w:cstheme="majorBidi"/>
      <w:i/>
      <w:iCs/>
      <w:color w:val="2F5496" w:themeColor="accent1" w:themeShade="BF"/>
      <w:sz w:val="24"/>
      <w:szCs w:val="24"/>
    </w:rPr>
  </w:style>
  <w:style w:type="paragraph" w:styleId="Footer">
    <w:name w:val="footer"/>
    <w:basedOn w:val="Normal"/>
    <w:link w:val="FooterChar"/>
    <w:uiPriority w:val="99"/>
    <w:rsid w:val="19811041"/>
    <w:pPr>
      <w:spacing w:before="120" w:after="60" w:line="240" w:lineRule="exact"/>
    </w:pPr>
    <w:rPr>
      <w:sz w:val="18"/>
      <w:szCs w:val="18"/>
    </w:rPr>
  </w:style>
  <w:style w:type="character" w:customStyle="1" w:styleId="FooterChar">
    <w:name w:val="Footer Char"/>
    <w:basedOn w:val="DefaultParagraphFont"/>
    <w:link w:val="Footer"/>
    <w:uiPriority w:val="99"/>
    <w:rsid w:val="00E90DF9"/>
    <w:rPr>
      <w:rFonts w:ascii="Arial" w:eastAsia="Times New Roman" w:hAnsi="Arial"/>
      <w:i/>
      <w:iCs/>
      <w:sz w:val="18"/>
      <w:szCs w:val="18"/>
    </w:rPr>
  </w:style>
  <w:style w:type="paragraph" w:styleId="ListParagraph">
    <w:name w:val="List Paragraph"/>
    <w:basedOn w:val="Normal"/>
    <w:link w:val="ListParagraphChar"/>
    <w:uiPriority w:val="34"/>
    <w:qFormat/>
    <w:rsid w:val="19811041"/>
    <w:pPr>
      <w:spacing w:after="0"/>
      <w:ind w:left="720"/>
    </w:pPr>
    <w:rPr>
      <w:rFonts w:cs="Calibri"/>
      <w:lang w:eastAsia="en-AU"/>
    </w:rPr>
  </w:style>
  <w:style w:type="paragraph" w:styleId="FootnoteText">
    <w:name w:val="footnote text"/>
    <w:basedOn w:val="Normal"/>
    <w:link w:val="FootnoteTextChar"/>
    <w:uiPriority w:val="99"/>
    <w:rsid w:val="19811041"/>
    <w:pPr>
      <w:widowControl w:val="0"/>
      <w:spacing w:after="60"/>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i/>
      <w:iCs/>
      <w:sz w:val="20"/>
      <w:szCs w:val="20"/>
      <w:lang w:val="en-GB"/>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basedOn w:val="DefaultParagraphFont"/>
    <w:link w:val="ListParagraph"/>
    <w:uiPriority w:val="34"/>
    <w:qFormat/>
    <w:locked/>
    <w:rsid w:val="00E90DF9"/>
    <w:rPr>
      <w:rFonts w:ascii="Arial" w:eastAsia="Times New Roman" w:hAnsi="Arial" w:cs="Calibri"/>
      <w:i/>
      <w:iCs/>
      <w:sz w:val="24"/>
      <w:szCs w:val="24"/>
      <w:lang w:eastAsia="en-AU"/>
    </w:rPr>
  </w:style>
  <w:style w:type="paragraph" w:styleId="Header">
    <w:name w:val="header"/>
    <w:basedOn w:val="Normal"/>
    <w:link w:val="HeaderChar"/>
    <w:uiPriority w:val="99"/>
    <w:unhideWhenUsed/>
    <w:rsid w:val="19811041"/>
    <w:pPr>
      <w:tabs>
        <w:tab w:val="center" w:pos="4513"/>
        <w:tab w:val="right" w:pos="9026"/>
      </w:tabs>
      <w:spacing w:after="0"/>
    </w:pPr>
  </w:style>
  <w:style w:type="character" w:customStyle="1" w:styleId="HeaderChar">
    <w:name w:val="Header Char"/>
    <w:basedOn w:val="DefaultParagraphFont"/>
    <w:link w:val="Header"/>
    <w:uiPriority w:val="99"/>
    <w:rsid w:val="00607904"/>
    <w:rPr>
      <w:rFonts w:ascii="Arial" w:eastAsia="Times New Roman" w:hAnsi="Arial"/>
      <w:i/>
      <w:iCs/>
      <w:sz w:val="24"/>
      <w:szCs w:val="24"/>
    </w:rPr>
  </w:style>
  <w:style w:type="paragraph" w:styleId="NormalWeb">
    <w:name w:val="Normal (Web)"/>
    <w:basedOn w:val="Normal"/>
    <w:uiPriority w:val="99"/>
    <w:unhideWhenUsed/>
    <w:rsid w:val="19811041"/>
    <w:pPr>
      <w:spacing w:beforeAutospacing="1" w:afterAutospacing="1"/>
    </w:pPr>
    <w:rPr>
      <w:rFonts w:ascii="Times New Roman" w:hAnsi="Times New Roman"/>
      <w:lang w:eastAsia="en-AU"/>
    </w:rPr>
  </w:style>
  <w:style w:type="character" w:styleId="Strong">
    <w:name w:val="Strong"/>
    <w:basedOn w:val="DefaultParagraphFont"/>
    <w:uiPriority w:val="22"/>
    <w:qFormat/>
    <w:rsid w:val="00534DA3"/>
    <w:rPr>
      <w:b/>
      <w:bCs/>
    </w:rPr>
  </w:style>
  <w:style w:type="character" w:styleId="Emphasis">
    <w:name w:val="Emphasis"/>
    <w:basedOn w:val="DefaultParagraphFont"/>
    <w:uiPriority w:val="20"/>
    <w:qFormat/>
    <w:rsid w:val="00780222"/>
    <w:rPr>
      <w:i/>
      <w:iCs/>
    </w:rPr>
  </w:style>
  <w:style w:type="character" w:styleId="CommentReference">
    <w:name w:val="annotation reference"/>
    <w:basedOn w:val="DefaultParagraphFont"/>
    <w:uiPriority w:val="99"/>
    <w:semiHidden/>
    <w:unhideWhenUsed/>
    <w:rsid w:val="0037132C"/>
    <w:rPr>
      <w:sz w:val="16"/>
      <w:szCs w:val="16"/>
    </w:rPr>
  </w:style>
  <w:style w:type="paragraph" w:styleId="CommentText">
    <w:name w:val="annotation text"/>
    <w:basedOn w:val="Normal"/>
    <w:link w:val="CommentTextChar"/>
    <w:uiPriority w:val="99"/>
    <w:unhideWhenUsed/>
    <w:rsid w:val="19811041"/>
    <w:rPr>
      <w:sz w:val="20"/>
      <w:szCs w:val="20"/>
    </w:rPr>
  </w:style>
  <w:style w:type="character" w:customStyle="1" w:styleId="CommentTextChar">
    <w:name w:val="Comment Text Char"/>
    <w:basedOn w:val="DefaultParagraphFont"/>
    <w:link w:val="CommentText"/>
    <w:uiPriority w:val="99"/>
    <w:rsid w:val="0037132C"/>
    <w:rPr>
      <w:rFonts w:ascii="Arial" w:eastAsia="Times New Roman" w:hAnsi="Arial"/>
      <w:i/>
      <w:iCs/>
      <w:sz w:val="20"/>
      <w:szCs w:val="20"/>
    </w:rPr>
  </w:style>
  <w:style w:type="paragraph" w:styleId="CommentSubject">
    <w:name w:val="annotation subject"/>
    <w:basedOn w:val="CommentText"/>
    <w:next w:val="CommentText"/>
    <w:link w:val="CommentSubjectChar"/>
    <w:uiPriority w:val="99"/>
    <w:semiHidden/>
    <w:unhideWhenUsed/>
    <w:rsid w:val="0037132C"/>
    <w:rPr>
      <w:b/>
      <w:bCs/>
    </w:rPr>
  </w:style>
  <w:style w:type="character" w:customStyle="1" w:styleId="CommentSubjectChar">
    <w:name w:val="Comment Subject Char"/>
    <w:basedOn w:val="CommentTextChar"/>
    <w:link w:val="CommentSubject"/>
    <w:uiPriority w:val="99"/>
    <w:semiHidden/>
    <w:rsid w:val="0037132C"/>
    <w:rPr>
      <w:rFonts w:ascii="Calibri" w:eastAsia="Times New Roman" w:hAnsi="Calibri" w:cs="Times New Roman"/>
      <w:b/>
      <w:bCs/>
      <w:i/>
      <w:iCs/>
      <w:kern w:val="0"/>
      <w:sz w:val="20"/>
      <w:szCs w:val="20"/>
      <w14:ligatures w14:val="none"/>
    </w:rPr>
  </w:style>
  <w:style w:type="character" w:styleId="Hyperlink">
    <w:name w:val="Hyperlink"/>
    <w:basedOn w:val="DefaultParagraphFont"/>
    <w:uiPriority w:val="99"/>
    <w:unhideWhenUsed/>
    <w:rsid w:val="063F40A7"/>
    <w:rPr>
      <w:color w:val="0563C1"/>
      <w:u w:val="single"/>
    </w:rPr>
  </w:style>
  <w:style w:type="paragraph" w:customStyle="1" w:styleId="Subheading10">
    <w:name w:val="Subheading 1.0"/>
    <w:basedOn w:val="Normal"/>
    <w:link w:val="Subheading10Char"/>
    <w:uiPriority w:val="1"/>
    <w:qFormat/>
    <w:rsid w:val="19811041"/>
    <w:pPr>
      <w:spacing w:before="120"/>
    </w:pPr>
    <w:rPr>
      <w:rFonts w:eastAsia="Calibri"/>
      <w:b/>
      <w:bCs/>
      <w:sz w:val="26"/>
      <w:szCs w:val="26"/>
      <w:u w:val="single"/>
    </w:rPr>
  </w:style>
  <w:style w:type="character" w:customStyle="1" w:styleId="Subheading10Char">
    <w:name w:val="Subheading 1.0 Char"/>
    <w:basedOn w:val="DefaultParagraphFont"/>
    <w:link w:val="Subheading10"/>
    <w:uiPriority w:val="1"/>
    <w:rsid w:val="00F95B45"/>
    <w:rPr>
      <w:rFonts w:ascii="Arial" w:eastAsia="Calibri" w:hAnsi="Arial"/>
      <w:b/>
      <w:bCs/>
      <w:i/>
      <w:iCs/>
      <w:sz w:val="26"/>
      <w:szCs w:val="26"/>
      <w:u w:val="single"/>
    </w:rPr>
  </w:style>
  <w:style w:type="paragraph" w:customStyle="1" w:styleId="Paragraphtext">
    <w:name w:val="Paragraph text"/>
    <w:basedOn w:val="Normal"/>
    <w:link w:val="ParagraphtextChar"/>
    <w:uiPriority w:val="1"/>
    <w:qFormat/>
    <w:rsid w:val="19811041"/>
    <w:pPr>
      <w:spacing w:before="120"/>
    </w:pPr>
    <w:rPr>
      <w:rFonts w:eastAsia="Calibri"/>
      <w:color w:val="000000" w:themeColor="text1"/>
    </w:rPr>
  </w:style>
  <w:style w:type="character" w:customStyle="1" w:styleId="ParagraphtextChar">
    <w:name w:val="Paragraph text Char"/>
    <w:basedOn w:val="DefaultParagraphFont"/>
    <w:link w:val="Paragraphtext"/>
    <w:uiPriority w:val="1"/>
    <w:rsid w:val="000B2D93"/>
    <w:rPr>
      <w:rFonts w:ascii="Arial" w:eastAsia="Calibri" w:hAnsi="Arial"/>
      <w:i/>
      <w:iCs/>
      <w:color w:val="000000" w:themeColor="text1"/>
      <w:sz w:val="24"/>
      <w:szCs w:val="24"/>
    </w:rPr>
  </w:style>
  <w:style w:type="character" w:styleId="UnresolvedMention">
    <w:name w:val="Unresolved Mention"/>
    <w:basedOn w:val="DefaultParagraphFont"/>
    <w:uiPriority w:val="99"/>
    <w:semiHidden/>
    <w:unhideWhenUsed/>
    <w:rsid w:val="00405BA9"/>
    <w:rPr>
      <w:color w:val="605E5C"/>
      <w:shd w:val="clear" w:color="auto" w:fill="E1DFDD"/>
    </w:rPr>
  </w:style>
  <w:style w:type="paragraph" w:styleId="Revision">
    <w:name w:val="Revision"/>
    <w:hidden/>
    <w:uiPriority w:val="99"/>
    <w:semiHidden/>
    <w:rsid w:val="001C112C"/>
    <w:pPr>
      <w:spacing w:after="0" w:line="240" w:lineRule="auto"/>
    </w:pPr>
    <w:rPr>
      <w:rFonts w:ascii="Calibri" w:eastAsia="Times New Roman" w:hAnsi="Calibri" w:cs="Times New Roman"/>
      <w:kern w:val="0"/>
      <w14:ligatures w14:val="none"/>
    </w:rPr>
  </w:style>
  <w:style w:type="table" w:styleId="TableGrid">
    <w:name w:val="Table Grid"/>
    <w:basedOn w:val="TableNormal"/>
    <w:uiPriority w:val="39"/>
    <w:rsid w:val="003A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0B29"/>
    <w:rPr>
      <w:color w:val="2B579A"/>
      <w:shd w:val="clear" w:color="auto" w:fill="E1DFDD"/>
    </w:rPr>
  </w:style>
  <w:style w:type="character" w:styleId="FollowedHyperlink">
    <w:name w:val="FollowedHyperlink"/>
    <w:basedOn w:val="DefaultParagraphFont"/>
    <w:uiPriority w:val="99"/>
    <w:semiHidden/>
    <w:unhideWhenUsed/>
    <w:rsid w:val="003F73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8">
      <w:bodyDiv w:val="1"/>
      <w:marLeft w:val="0"/>
      <w:marRight w:val="0"/>
      <w:marTop w:val="0"/>
      <w:marBottom w:val="0"/>
      <w:divBdr>
        <w:top w:val="none" w:sz="0" w:space="0" w:color="auto"/>
        <w:left w:val="none" w:sz="0" w:space="0" w:color="auto"/>
        <w:bottom w:val="none" w:sz="0" w:space="0" w:color="auto"/>
        <w:right w:val="none" w:sz="0" w:space="0" w:color="auto"/>
      </w:divBdr>
      <w:divsChild>
        <w:div w:id="1581670156">
          <w:marLeft w:val="0"/>
          <w:marRight w:val="0"/>
          <w:marTop w:val="0"/>
          <w:marBottom w:val="0"/>
          <w:divBdr>
            <w:top w:val="none" w:sz="0" w:space="0" w:color="auto"/>
            <w:left w:val="none" w:sz="0" w:space="0" w:color="auto"/>
            <w:bottom w:val="none" w:sz="0" w:space="0" w:color="auto"/>
            <w:right w:val="none" w:sz="0" w:space="0" w:color="auto"/>
          </w:divBdr>
        </w:div>
      </w:divsChild>
    </w:div>
    <w:div w:id="11495333">
      <w:bodyDiv w:val="1"/>
      <w:marLeft w:val="0"/>
      <w:marRight w:val="0"/>
      <w:marTop w:val="0"/>
      <w:marBottom w:val="0"/>
      <w:divBdr>
        <w:top w:val="none" w:sz="0" w:space="0" w:color="auto"/>
        <w:left w:val="none" w:sz="0" w:space="0" w:color="auto"/>
        <w:bottom w:val="none" w:sz="0" w:space="0" w:color="auto"/>
        <w:right w:val="none" w:sz="0" w:space="0" w:color="auto"/>
      </w:divBdr>
    </w:div>
    <w:div w:id="12146807">
      <w:bodyDiv w:val="1"/>
      <w:marLeft w:val="0"/>
      <w:marRight w:val="0"/>
      <w:marTop w:val="0"/>
      <w:marBottom w:val="0"/>
      <w:divBdr>
        <w:top w:val="none" w:sz="0" w:space="0" w:color="auto"/>
        <w:left w:val="none" w:sz="0" w:space="0" w:color="auto"/>
        <w:bottom w:val="none" w:sz="0" w:space="0" w:color="auto"/>
        <w:right w:val="none" w:sz="0" w:space="0" w:color="auto"/>
      </w:divBdr>
      <w:divsChild>
        <w:div w:id="655496256">
          <w:marLeft w:val="0"/>
          <w:marRight w:val="0"/>
          <w:marTop w:val="0"/>
          <w:marBottom w:val="0"/>
          <w:divBdr>
            <w:top w:val="none" w:sz="0" w:space="0" w:color="auto"/>
            <w:left w:val="none" w:sz="0" w:space="0" w:color="auto"/>
            <w:bottom w:val="none" w:sz="0" w:space="0" w:color="auto"/>
            <w:right w:val="none" w:sz="0" w:space="0" w:color="auto"/>
          </w:divBdr>
        </w:div>
        <w:div w:id="1462378125">
          <w:marLeft w:val="0"/>
          <w:marRight w:val="0"/>
          <w:marTop w:val="0"/>
          <w:marBottom w:val="0"/>
          <w:divBdr>
            <w:top w:val="none" w:sz="0" w:space="0" w:color="auto"/>
            <w:left w:val="none" w:sz="0" w:space="0" w:color="auto"/>
            <w:bottom w:val="none" w:sz="0" w:space="0" w:color="auto"/>
            <w:right w:val="none" w:sz="0" w:space="0" w:color="auto"/>
          </w:divBdr>
        </w:div>
        <w:div w:id="2046562055">
          <w:marLeft w:val="0"/>
          <w:marRight w:val="0"/>
          <w:marTop w:val="0"/>
          <w:marBottom w:val="0"/>
          <w:divBdr>
            <w:top w:val="none" w:sz="0" w:space="0" w:color="auto"/>
            <w:left w:val="none" w:sz="0" w:space="0" w:color="auto"/>
            <w:bottom w:val="none" w:sz="0" w:space="0" w:color="auto"/>
            <w:right w:val="none" w:sz="0" w:space="0" w:color="auto"/>
          </w:divBdr>
        </w:div>
      </w:divsChild>
    </w:div>
    <w:div w:id="18941890">
      <w:bodyDiv w:val="1"/>
      <w:marLeft w:val="0"/>
      <w:marRight w:val="0"/>
      <w:marTop w:val="0"/>
      <w:marBottom w:val="0"/>
      <w:divBdr>
        <w:top w:val="none" w:sz="0" w:space="0" w:color="auto"/>
        <w:left w:val="none" w:sz="0" w:space="0" w:color="auto"/>
        <w:bottom w:val="none" w:sz="0" w:space="0" w:color="auto"/>
        <w:right w:val="none" w:sz="0" w:space="0" w:color="auto"/>
      </w:divBdr>
    </w:div>
    <w:div w:id="26836198">
      <w:bodyDiv w:val="1"/>
      <w:marLeft w:val="0"/>
      <w:marRight w:val="0"/>
      <w:marTop w:val="0"/>
      <w:marBottom w:val="0"/>
      <w:divBdr>
        <w:top w:val="none" w:sz="0" w:space="0" w:color="auto"/>
        <w:left w:val="none" w:sz="0" w:space="0" w:color="auto"/>
        <w:bottom w:val="none" w:sz="0" w:space="0" w:color="auto"/>
        <w:right w:val="none" w:sz="0" w:space="0" w:color="auto"/>
      </w:divBdr>
      <w:divsChild>
        <w:div w:id="926382699">
          <w:marLeft w:val="0"/>
          <w:marRight w:val="0"/>
          <w:marTop w:val="0"/>
          <w:marBottom w:val="0"/>
          <w:divBdr>
            <w:top w:val="none" w:sz="0" w:space="0" w:color="auto"/>
            <w:left w:val="none" w:sz="0" w:space="0" w:color="auto"/>
            <w:bottom w:val="none" w:sz="0" w:space="0" w:color="auto"/>
            <w:right w:val="none" w:sz="0" w:space="0" w:color="auto"/>
          </w:divBdr>
        </w:div>
        <w:div w:id="1212183540">
          <w:marLeft w:val="0"/>
          <w:marRight w:val="0"/>
          <w:marTop w:val="0"/>
          <w:marBottom w:val="0"/>
          <w:divBdr>
            <w:top w:val="none" w:sz="0" w:space="0" w:color="auto"/>
            <w:left w:val="none" w:sz="0" w:space="0" w:color="auto"/>
            <w:bottom w:val="none" w:sz="0" w:space="0" w:color="auto"/>
            <w:right w:val="none" w:sz="0" w:space="0" w:color="auto"/>
          </w:divBdr>
        </w:div>
        <w:div w:id="1961958254">
          <w:marLeft w:val="0"/>
          <w:marRight w:val="0"/>
          <w:marTop w:val="0"/>
          <w:marBottom w:val="0"/>
          <w:divBdr>
            <w:top w:val="none" w:sz="0" w:space="0" w:color="auto"/>
            <w:left w:val="none" w:sz="0" w:space="0" w:color="auto"/>
            <w:bottom w:val="none" w:sz="0" w:space="0" w:color="auto"/>
            <w:right w:val="none" w:sz="0" w:space="0" w:color="auto"/>
          </w:divBdr>
        </w:div>
        <w:div w:id="2128159354">
          <w:marLeft w:val="0"/>
          <w:marRight w:val="0"/>
          <w:marTop w:val="0"/>
          <w:marBottom w:val="0"/>
          <w:divBdr>
            <w:top w:val="none" w:sz="0" w:space="0" w:color="auto"/>
            <w:left w:val="none" w:sz="0" w:space="0" w:color="auto"/>
            <w:bottom w:val="none" w:sz="0" w:space="0" w:color="auto"/>
            <w:right w:val="none" w:sz="0" w:space="0" w:color="auto"/>
          </w:divBdr>
        </w:div>
      </w:divsChild>
    </w:div>
    <w:div w:id="62334469">
      <w:bodyDiv w:val="1"/>
      <w:marLeft w:val="0"/>
      <w:marRight w:val="0"/>
      <w:marTop w:val="0"/>
      <w:marBottom w:val="0"/>
      <w:divBdr>
        <w:top w:val="none" w:sz="0" w:space="0" w:color="auto"/>
        <w:left w:val="none" w:sz="0" w:space="0" w:color="auto"/>
        <w:bottom w:val="none" w:sz="0" w:space="0" w:color="auto"/>
        <w:right w:val="none" w:sz="0" w:space="0" w:color="auto"/>
      </w:divBdr>
    </w:div>
    <w:div w:id="68694526">
      <w:bodyDiv w:val="1"/>
      <w:marLeft w:val="0"/>
      <w:marRight w:val="0"/>
      <w:marTop w:val="0"/>
      <w:marBottom w:val="0"/>
      <w:divBdr>
        <w:top w:val="none" w:sz="0" w:space="0" w:color="auto"/>
        <w:left w:val="none" w:sz="0" w:space="0" w:color="auto"/>
        <w:bottom w:val="none" w:sz="0" w:space="0" w:color="auto"/>
        <w:right w:val="none" w:sz="0" w:space="0" w:color="auto"/>
      </w:divBdr>
    </w:div>
    <w:div w:id="72942866">
      <w:bodyDiv w:val="1"/>
      <w:marLeft w:val="0"/>
      <w:marRight w:val="0"/>
      <w:marTop w:val="0"/>
      <w:marBottom w:val="0"/>
      <w:divBdr>
        <w:top w:val="none" w:sz="0" w:space="0" w:color="auto"/>
        <w:left w:val="none" w:sz="0" w:space="0" w:color="auto"/>
        <w:bottom w:val="none" w:sz="0" w:space="0" w:color="auto"/>
        <w:right w:val="none" w:sz="0" w:space="0" w:color="auto"/>
      </w:divBdr>
    </w:div>
    <w:div w:id="120419475">
      <w:bodyDiv w:val="1"/>
      <w:marLeft w:val="0"/>
      <w:marRight w:val="0"/>
      <w:marTop w:val="0"/>
      <w:marBottom w:val="0"/>
      <w:divBdr>
        <w:top w:val="none" w:sz="0" w:space="0" w:color="auto"/>
        <w:left w:val="none" w:sz="0" w:space="0" w:color="auto"/>
        <w:bottom w:val="none" w:sz="0" w:space="0" w:color="auto"/>
        <w:right w:val="none" w:sz="0" w:space="0" w:color="auto"/>
      </w:divBdr>
    </w:div>
    <w:div w:id="122311558">
      <w:bodyDiv w:val="1"/>
      <w:marLeft w:val="0"/>
      <w:marRight w:val="0"/>
      <w:marTop w:val="0"/>
      <w:marBottom w:val="0"/>
      <w:divBdr>
        <w:top w:val="none" w:sz="0" w:space="0" w:color="auto"/>
        <w:left w:val="none" w:sz="0" w:space="0" w:color="auto"/>
        <w:bottom w:val="none" w:sz="0" w:space="0" w:color="auto"/>
        <w:right w:val="none" w:sz="0" w:space="0" w:color="auto"/>
      </w:divBdr>
      <w:divsChild>
        <w:div w:id="199099608">
          <w:marLeft w:val="0"/>
          <w:marRight w:val="0"/>
          <w:marTop w:val="0"/>
          <w:marBottom w:val="0"/>
          <w:divBdr>
            <w:top w:val="none" w:sz="0" w:space="0" w:color="auto"/>
            <w:left w:val="none" w:sz="0" w:space="0" w:color="auto"/>
            <w:bottom w:val="none" w:sz="0" w:space="0" w:color="auto"/>
            <w:right w:val="none" w:sz="0" w:space="0" w:color="auto"/>
          </w:divBdr>
        </w:div>
      </w:divsChild>
    </w:div>
    <w:div w:id="127477655">
      <w:bodyDiv w:val="1"/>
      <w:marLeft w:val="0"/>
      <w:marRight w:val="0"/>
      <w:marTop w:val="0"/>
      <w:marBottom w:val="0"/>
      <w:divBdr>
        <w:top w:val="none" w:sz="0" w:space="0" w:color="auto"/>
        <w:left w:val="none" w:sz="0" w:space="0" w:color="auto"/>
        <w:bottom w:val="none" w:sz="0" w:space="0" w:color="auto"/>
        <w:right w:val="none" w:sz="0" w:space="0" w:color="auto"/>
      </w:divBdr>
    </w:div>
    <w:div w:id="139157403">
      <w:bodyDiv w:val="1"/>
      <w:marLeft w:val="0"/>
      <w:marRight w:val="0"/>
      <w:marTop w:val="0"/>
      <w:marBottom w:val="0"/>
      <w:divBdr>
        <w:top w:val="none" w:sz="0" w:space="0" w:color="auto"/>
        <w:left w:val="none" w:sz="0" w:space="0" w:color="auto"/>
        <w:bottom w:val="none" w:sz="0" w:space="0" w:color="auto"/>
        <w:right w:val="none" w:sz="0" w:space="0" w:color="auto"/>
      </w:divBdr>
    </w:div>
    <w:div w:id="184907162">
      <w:bodyDiv w:val="1"/>
      <w:marLeft w:val="0"/>
      <w:marRight w:val="0"/>
      <w:marTop w:val="0"/>
      <w:marBottom w:val="0"/>
      <w:divBdr>
        <w:top w:val="none" w:sz="0" w:space="0" w:color="auto"/>
        <w:left w:val="none" w:sz="0" w:space="0" w:color="auto"/>
        <w:bottom w:val="none" w:sz="0" w:space="0" w:color="auto"/>
        <w:right w:val="none" w:sz="0" w:space="0" w:color="auto"/>
      </w:divBdr>
    </w:div>
    <w:div w:id="192230888">
      <w:bodyDiv w:val="1"/>
      <w:marLeft w:val="0"/>
      <w:marRight w:val="0"/>
      <w:marTop w:val="0"/>
      <w:marBottom w:val="0"/>
      <w:divBdr>
        <w:top w:val="none" w:sz="0" w:space="0" w:color="auto"/>
        <w:left w:val="none" w:sz="0" w:space="0" w:color="auto"/>
        <w:bottom w:val="none" w:sz="0" w:space="0" w:color="auto"/>
        <w:right w:val="none" w:sz="0" w:space="0" w:color="auto"/>
      </w:divBdr>
      <w:divsChild>
        <w:div w:id="546180467">
          <w:marLeft w:val="0"/>
          <w:marRight w:val="0"/>
          <w:marTop w:val="0"/>
          <w:marBottom w:val="0"/>
          <w:divBdr>
            <w:top w:val="none" w:sz="0" w:space="0" w:color="auto"/>
            <w:left w:val="none" w:sz="0" w:space="0" w:color="auto"/>
            <w:bottom w:val="none" w:sz="0" w:space="0" w:color="auto"/>
            <w:right w:val="none" w:sz="0" w:space="0" w:color="auto"/>
          </w:divBdr>
        </w:div>
        <w:div w:id="1047069299">
          <w:marLeft w:val="0"/>
          <w:marRight w:val="0"/>
          <w:marTop w:val="0"/>
          <w:marBottom w:val="0"/>
          <w:divBdr>
            <w:top w:val="none" w:sz="0" w:space="0" w:color="auto"/>
            <w:left w:val="none" w:sz="0" w:space="0" w:color="auto"/>
            <w:bottom w:val="none" w:sz="0" w:space="0" w:color="auto"/>
            <w:right w:val="none" w:sz="0" w:space="0" w:color="auto"/>
          </w:divBdr>
        </w:div>
        <w:div w:id="1681084591">
          <w:marLeft w:val="0"/>
          <w:marRight w:val="0"/>
          <w:marTop w:val="0"/>
          <w:marBottom w:val="0"/>
          <w:divBdr>
            <w:top w:val="none" w:sz="0" w:space="0" w:color="auto"/>
            <w:left w:val="none" w:sz="0" w:space="0" w:color="auto"/>
            <w:bottom w:val="none" w:sz="0" w:space="0" w:color="auto"/>
            <w:right w:val="none" w:sz="0" w:space="0" w:color="auto"/>
          </w:divBdr>
        </w:div>
        <w:div w:id="1709524465">
          <w:marLeft w:val="0"/>
          <w:marRight w:val="0"/>
          <w:marTop w:val="0"/>
          <w:marBottom w:val="0"/>
          <w:divBdr>
            <w:top w:val="none" w:sz="0" w:space="0" w:color="auto"/>
            <w:left w:val="none" w:sz="0" w:space="0" w:color="auto"/>
            <w:bottom w:val="none" w:sz="0" w:space="0" w:color="auto"/>
            <w:right w:val="none" w:sz="0" w:space="0" w:color="auto"/>
          </w:divBdr>
        </w:div>
        <w:div w:id="2132701296">
          <w:marLeft w:val="0"/>
          <w:marRight w:val="0"/>
          <w:marTop w:val="0"/>
          <w:marBottom w:val="0"/>
          <w:divBdr>
            <w:top w:val="none" w:sz="0" w:space="0" w:color="auto"/>
            <w:left w:val="none" w:sz="0" w:space="0" w:color="auto"/>
            <w:bottom w:val="none" w:sz="0" w:space="0" w:color="auto"/>
            <w:right w:val="none" w:sz="0" w:space="0" w:color="auto"/>
          </w:divBdr>
        </w:div>
      </w:divsChild>
    </w:div>
    <w:div w:id="217939724">
      <w:bodyDiv w:val="1"/>
      <w:marLeft w:val="0"/>
      <w:marRight w:val="0"/>
      <w:marTop w:val="0"/>
      <w:marBottom w:val="0"/>
      <w:divBdr>
        <w:top w:val="none" w:sz="0" w:space="0" w:color="auto"/>
        <w:left w:val="none" w:sz="0" w:space="0" w:color="auto"/>
        <w:bottom w:val="none" w:sz="0" w:space="0" w:color="auto"/>
        <w:right w:val="none" w:sz="0" w:space="0" w:color="auto"/>
      </w:divBdr>
    </w:div>
    <w:div w:id="224145841">
      <w:bodyDiv w:val="1"/>
      <w:marLeft w:val="0"/>
      <w:marRight w:val="0"/>
      <w:marTop w:val="0"/>
      <w:marBottom w:val="0"/>
      <w:divBdr>
        <w:top w:val="none" w:sz="0" w:space="0" w:color="auto"/>
        <w:left w:val="none" w:sz="0" w:space="0" w:color="auto"/>
        <w:bottom w:val="none" w:sz="0" w:space="0" w:color="auto"/>
        <w:right w:val="none" w:sz="0" w:space="0" w:color="auto"/>
      </w:divBdr>
    </w:div>
    <w:div w:id="279729956">
      <w:bodyDiv w:val="1"/>
      <w:marLeft w:val="0"/>
      <w:marRight w:val="0"/>
      <w:marTop w:val="0"/>
      <w:marBottom w:val="0"/>
      <w:divBdr>
        <w:top w:val="none" w:sz="0" w:space="0" w:color="auto"/>
        <w:left w:val="none" w:sz="0" w:space="0" w:color="auto"/>
        <w:bottom w:val="none" w:sz="0" w:space="0" w:color="auto"/>
        <w:right w:val="none" w:sz="0" w:space="0" w:color="auto"/>
      </w:divBdr>
    </w:div>
    <w:div w:id="294482511">
      <w:bodyDiv w:val="1"/>
      <w:marLeft w:val="0"/>
      <w:marRight w:val="0"/>
      <w:marTop w:val="0"/>
      <w:marBottom w:val="0"/>
      <w:divBdr>
        <w:top w:val="none" w:sz="0" w:space="0" w:color="auto"/>
        <w:left w:val="none" w:sz="0" w:space="0" w:color="auto"/>
        <w:bottom w:val="none" w:sz="0" w:space="0" w:color="auto"/>
        <w:right w:val="none" w:sz="0" w:space="0" w:color="auto"/>
      </w:divBdr>
      <w:divsChild>
        <w:div w:id="478351982">
          <w:marLeft w:val="0"/>
          <w:marRight w:val="0"/>
          <w:marTop w:val="0"/>
          <w:marBottom w:val="0"/>
          <w:divBdr>
            <w:top w:val="none" w:sz="0" w:space="0" w:color="auto"/>
            <w:left w:val="none" w:sz="0" w:space="0" w:color="auto"/>
            <w:bottom w:val="none" w:sz="0" w:space="0" w:color="auto"/>
            <w:right w:val="none" w:sz="0" w:space="0" w:color="auto"/>
          </w:divBdr>
        </w:div>
      </w:divsChild>
    </w:div>
    <w:div w:id="321084159">
      <w:bodyDiv w:val="1"/>
      <w:marLeft w:val="0"/>
      <w:marRight w:val="0"/>
      <w:marTop w:val="0"/>
      <w:marBottom w:val="0"/>
      <w:divBdr>
        <w:top w:val="none" w:sz="0" w:space="0" w:color="auto"/>
        <w:left w:val="none" w:sz="0" w:space="0" w:color="auto"/>
        <w:bottom w:val="none" w:sz="0" w:space="0" w:color="auto"/>
        <w:right w:val="none" w:sz="0" w:space="0" w:color="auto"/>
      </w:divBdr>
    </w:div>
    <w:div w:id="336352693">
      <w:bodyDiv w:val="1"/>
      <w:marLeft w:val="0"/>
      <w:marRight w:val="0"/>
      <w:marTop w:val="0"/>
      <w:marBottom w:val="0"/>
      <w:divBdr>
        <w:top w:val="none" w:sz="0" w:space="0" w:color="auto"/>
        <w:left w:val="none" w:sz="0" w:space="0" w:color="auto"/>
        <w:bottom w:val="none" w:sz="0" w:space="0" w:color="auto"/>
        <w:right w:val="none" w:sz="0" w:space="0" w:color="auto"/>
      </w:divBdr>
    </w:div>
    <w:div w:id="381562733">
      <w:bodyDiv w:val="1"/>
      <w:marLeft w:val="0"/>
      <w:marRight w:val="0"/>
      <w:marTop w:val="0"/>
      <w:marBottom w:val="0"/>
      <w:divBdr>
        <w:top w:val="none" w:sz="0" w:space="0" w:color="auto"/>
        <w:left w:val="none" w:sz="0" w:space="0" w:color="auto"/>
        <w:bottom w:val="none" w:sz="0" w:space="0" w:color="auto"/>
        <w:right w:val="none" w:sz="0" w:space="0" w:color="auto"/>
      </w:divBdr>
      <w:divsChild>
        <w:div w:id="227616564">
          <w:marLeft w:val="0"/>
          <w:marRight w:val="0"/>
          <w:marTop w:val="0"/>
          <w:marBottom w:val="0"/>
          <w:divBdr>
            <w:top w:val="none" w:sz="0" w:space="0" w:color="auto"/>
            <w:left w:val="none" w:sz="0" w:space="0" w:color="auto"/>
            <w:bottom w:val="none" w:sz="0" w:space="0" w:color="auto"/>
            <w:right w:val="none" w:sz="0" w:space="0" w:color="auto"/>
          </w:divBdr>
        </w:div>
        <w:div w:id="1446466626">
          <w:marLeft w:val="0"/>
          <w:marRight w:val="0"/>
          <w:marTop w:val="0"/>
          <w:marBottom w:val="0"/>
          <w:divBdr>
            <w:top w:val="none" w:sz="0" w:space="0" w:color="auto"/>
            <w:left w:val="none" w:sz="0" w:space="0" w:color="auto"/>
            <w:bottom w:val="none" w:sz="0" w:space="0" w:color="auto"/>
            <w:right w:val="none" w:sz="0" w:space="0" w:color="auto"/>
          </w:divBdr>
        </w:div>
      </w:divsChild>
    </w:div>
    <w:div w:id="385956022">
      <w:bodyDiv w:val="1"/>
      <w:marLeft w:val="0"/>
      <w:marRight w:val="0"/>
      <w:marTop w:val="0"/>
      <w:marBottom w:val="0"/>
      <w:divBdr>
        <w:top w:val="none" w:sz="0" w:space="0" w:color="auto"/>
        <w:left w:val="none" w:sz="0" w:space="0" w:color="auto"/>
        <w:bottom w:val="none" w:sz="0" w:space="0" w:color="auto"/>
        <w:right w:val="none" w:sz="0" w:space="0" w:color="auto"/>
      </w:divBdr>
    </w:div>
    <w:div w:id="401101562">
      <w:bodyDiv w:val="1"/>
      <w:marLeft w:val="0"/>
      <w:marRight w:val="0"/>
      <w:marTop w:val="0"/>
      <w:marBottom w:val="0"/>
      <w:divBdr>
        <w:top w:val="none" w:sz="0" w:space="0" w:color="auto"/>
        <w:left w:val="none" w:sz="0" w:space="0" w:color="auto"/>
        <w:bottom w:val="none" w:sz="0" w:space="0" w:color="auto"/>
        <w:right w:val="none" w:sz="0" w:space="0" w:color="auto"/>
      </w:divBdr>
    </w:div>
    <w:div w:id="423890106">
      <w:bodyDiv w:val="1"/>
      <w:marLeft w:val="0"/>
      <w:marRight w:val="0"/>
      <w:marTop w:val="0"/>
      <w:marBottom w:val="0"/>
      <w:divBdr>
        <w:top w:val="none" w:sz="0" w:space="0" w:color="auto"/>
        <w:left w:val="none" w:sz="0" w:space="0" w:color="auto"/>
        <w:bottom w:val="none" w:sz="0" w:space="0" w:color="auto"/>
        <w:right w:val="none" w:sz="0" w:space="0" w:color="auto"/>
      </w:divBdr>
    </w:div>
    <w:div w:id="435177819">
      <w:bodyDiv w:val="1"/>
      <w:marLeft w:val="0"/>
      <w:marRight w:val="0"/>
      <w:marTop w:val="0"/>
      <w:marBottom w:val="0"/>
      <w:divBdr>
        <w:top w:val="none" w:sz="0" w:space="0" w:color="auto"/>
        <w:left w:val="none" w:sz="0" w:space="0" w:color="auto"/>
        <w:bottom w:val="none" w:sz="0" w:space="0" w:color="auto"/>
        <w:right w:val="none" w:sz="0" w:space="0" w:color="auto"/>
      </w:divBdr>
      <w:divsChild>
        <w:div w:id="471606432">
          <w:marLeft w:val="0"/>
          <w:marRight w:val="0"/>
          <w:marTop w:val="0"/>
          <w:marBottom w:val="0"/>
          <w:divBdr>
            <w:top w:val="none" w:sz="0" w:space="0" w:color="auto"/>
            <w:left w:val="none" w:sz="0" w:space="0" w:color="auto"/>
            <w:bottom w:val="none" w:sz="0" w:space="0" w:color="auto"/>
            <w:right w:val="none" w:sz="0" w:space="0" w:color="auto"/>
          </w:divBdr>
        </w:div>
        <w:div w:id="1303849891">
          <w:marLeft w:val="0"/>
          <w:marRight w:val="0"/>
          <w:marTop w:val="0"/>
          <w:marBottom w:val="0"/>
          <w:divBdr>
            <w:top w:val="none" w:sz="0" w:space="0" w:color="auto"/>
            <w:left w:val="none" w:sz="0" w:space="0" w:color="auto"/>
            <w:bottom w:val="none" w:sz="0" w:space="0" w:color="auto"/>
            <w:right w:val="none" w:sz="0" w:space="0" w:color="auto"/>
          </w:divBdr>
        </w:div>
      </w:divsChild>
    </w:div>
    <w:div w:id="462189730">
      <w:bodyDiv w:val="1"/>
      <w:marLeft w:val="0"/>
      <w:marRight w:val="0"/>
      <w:marTop w:val="0"/>
      <w:marBottom w:val="0"/>
      <w:divBdr>
        <w:top w:val="none" w:sz="0" w:space="0" w:color="auto"/>
        <w:left w:val="none" w:sz="0" w:space="0" w:color="auto"/>
        <w:bottom w:val="none" w:sz="0" w:space="0" w:color="auto"/>
        <w:right w:val="none" w:sz="0" w:space="0" w:color="auto"/>
      </w:divBdr>
    </w:div>
    <w:div w:id="472719906">
      <w:bodyDiv w:val="1"/>
      <w:marLeft w:val="0"/>
      <w:marRight w:val="0"/>
      <w:marTop w:val="0"/>
      <w:marBottom w:val="0"/>
      <w:divBdr>
        <w:top w:val="none" w:sz="0" w:space="0" w:color="auto"/>
        <w:left w:val="none" w:sz="0" w:space="0" w:color="auto"/>
        <w:bottom w:val="none" w:sz="0" w:space="0" w:color="auto"/>
        <w:right w:val="none" w:sz="0" w:space="0" w:color="auto"/>
      </w:divBdr>
    </w:div>
    <w:div w:id="475419237">
      <w:bodyDiv w:val="1"/>
      <w:marLeft w:val="0"/>
      <w:marRight w:val="0"/>
      <w:marTop w:val="0"/>
      <w:marBottom w:val="0"/>
      <w:divBdr>
        <w:top w:val="none" w:sz="0" w:space="0" w:color="auto"/>
        <w:left w:val="none" w:sz="0" w:space="0" w:color="auto"/>
        <w:bottom w:val="none" w:sz="0" w:space="0" w:color="auto"/>
        <w:right w:val="none" w:sz="0" w:space="0" w:color="auto"/>
      </w:divBdr>
    </w:div>
    <w:div w:id="492068500">
      <w:bodyDiv w:val="1"/>
      <w:marLeft w:val="0"/>
      <w:marRight w:val="0"/>
      <w:marTop w:val="0"/>
      <w:marBottom w:val="0"/>
      <w:divBdr>
        <w:top w:val="none" w:sz="0" w:space="0" w:color="auto"/>
        <w:left w:val="none" w:sz="0" w:space="0" w:color="auto"/>
        <w:bottom w:val="none" w:sz="0" w:space="0" w:color="auto"/>
        <w:right w:val="none" w:sz="0" w:space="0" w:color="auto"/>
      </w:divBdr>
    </w:div>
    <w:div w:id="503016057">
      <w:bodyDiv w:val="1"/>
      <w:marLeft w:val="0"/>
      <w:marRight w:val="0"/>
      <w:marTop w:val="0"/>
      <w:marBottom w:val="0"/>
      <w:divBdr>
        <w:top w:val="none" w:sz="0" w:space="0" w:color="auto"/>
        <w:left w:val="none" w:sz="0" w:space="0" w:color="auto"/>
        <w:bottom w:val="none" w:sz="0" w:space="0" w:color="auto"/>
        <w:right w:val="none" w:sz="0" w:space="0" w:color="auto"/>
      </w:divBdr>
    </w:div>
    <w:div w:id="512190746">
      <w:bodyDiv w:val="1"/>
      <w:marLeft w:val="0"/>
      <w:marRight w:val="0"/>
      <w:marTop w:val="0"/>
      <w:marBottom w:val="0"/>
      <w:divBdr>
        <w:top w:val="none" w:sz="0" w:space="0" w:color="auto"/>
        <w:left w:val="none" w:sz="0" w:space="0" w:color="auto"/>
        <w:bottom w:val="none" w:sz="0" w:space="0" w:color="auto"/>
        <w:right w:val="none" w:sz="0" w:space="0" w:color="auto"/>
      </w:divBdr>
    </w:div>
    <w:div w:id="527137671">
      <w:bodyDiv w:val="1"/>
      <w:marLeft w:val="0"/>
      <w:marRight w:val="0"/>
      <w:marTop w:val="0"/>
      <w:marBottom w:val="0"/>
      <w:divBdr>
        <w:top w:val="none" w:sz="0" w:space="0" w:color="auto"/>
        <w:left w:val="none" w:sz="0" w:space="0" w:color="auto"/>
        <w:bottom w:val="none" w:sz="0" w:space="0" w:color="auto"/>
        <w:right w:val="none" w:sz="0" w:space="0" w:color="auto"/>
      </w:divBdr>
    </w:div>
    <w:div w:id="530924740">
      <w:bodyDiv w:val="1"/>
      <w:marLeft w:val="0"/>
      <w:marRight w:val="0"/>
      <w:marTop w:val="0"/>
      <w:marBottom w:val="0"/>
      <w:divBdr>
        <w:top w:val="none" w:sz="0" w:space="0" w:color="auto"/>
        <w:left w:val="none" w:sz="0" w:space="0" w:color="auto"/>
        <w:bottom w:val="none" w:sz="0" w:space="0" w:color="auto"/>
        <w:right w:val="none" w:sz="0" w:space="0" w:color="auto"/>
      </w:divBdr>
    </w:div>
    <w:div w:id="573785052">
      <w:bodyDiv w:val="1"/>
      <w:marLeft w:val="0"/>
      <w:marRight w:val="0"/>
      <w:marTop w:val="0"/>
      <w:marBottom w:val="0"/>
      <w:divBdr>
        <w:top w:val="none" w:sz="0" w:space="0" w:color="auto"/>
        <w:left w:val="none" w:sz="0" w:space="0" w:color="auto"/>
        <w:bottom w:val="none" w:sz="0" w:space="0" w:color="auto"/>
        <w:right w:val="none" w:sz="0" w:space="0" w:color="auto"/>
      </w:divBdr>
      <w:divsChild>
        <w:div w:id="24327636">
          <w:marLeft w:val="0"/>
          <w:marRight w:val="0"/>
          <w:marTop w:val="0"/>
          <w:marBottom w:val="0"/>
          <w:divBdr>
            <w:top w:val="none" w:sz="0" w:space="0" w:color="auto"/>
            <w:left w:val="none" w:sz="0" w:space="0" w:color="auto"/>
            <w:bottom w:val="none" w:sz="0" w:space="0" w:color="auto"/>
            <w:right w:val="none" w:sz="0" w:space="0" w:color="auto"/>
          </w:divBdr>
        </w:div>
      </w:divsChild>
    </w:div>
    <w:div w:id="582229598">
      <w:bodyDiv w:val="1"/>
      <w:marLeft w:val="0"/>
      <w:marRight w:val="0"/>
      <w:marTop w:val="0"/>
      <w:marBottom w:val="0"/>
      <w:divBdr>
        <w:top w:val="none" w:sz="0" w:space="0" w:color="auto"/>
        <w:left w:val="none" w:sz="0" w:space="0" w:color="auto"/>
        <w:bottom w:val="none" w:sz="0" w:space="0" w:color="auto"/>
        <w:right w:val="none" w:sz="0" w:space="0" w:color="auto"/>
      </w:divBdr>
    </w:div>
    <w:div w:id="583341811">
      <w:bodyDiv w:val="1"/>
      <w:marLeft w:val="0"/>
      <w:marRight w:val="0"/>
      <w:marTop w:val="0"/>
      <w:marBottom w:val="0"/>
      <w:divBdr>
        <w:top w:val="none" w:sz="0" w:space="0" w:color="auto"/>
        <w:left w:val="none" w:sz="0" w:space="0" w:color="auto"/>
        <w:bottom w:val="none" w:sz="0" w:space="0" w:color="auto"/>
        <w:right w:val="none" w:sz="0" w:space="0" w:color="auto"/>
      </w:divBdr>
    </w:div>
    <w:div w:id="588857127">
      <w:bodyDiv w:val="1"/>
      <w:marLeft w:val="0"/>
      <w:marRight w:val="0"/>
      <w:marTop w:val="0"/>
      <w:marBottom w:val="0"/>
      <w:divBdr>
        <w:top w:val="none" w:sz="0" w:space="0" w:color="auto"/>
        <w:left w:val="none" w:sz="0" w:space="0" w:color="auto"/>
        <w:bottom w:val="none" w:sz="0" w:space="0" w:color="auto"/>
        <w:right w:val="none" w:sz="0" w:space="0" w:color="auto"/>
      </w:divBdr>
    </w:div>
    <w:div w:id="592009729">
      <w:bodyDiv w:val="1"/>
      <w:marLeft w:val="0"/>
      <w:marRight w:val="0"/>
      <w:marTop w:val="0"/>
      <w:marBottom w:val="0"/>
      <w:divBdr>
        <w:top w:val="none" w:sz="0" w:space="0" w:color="auto"/>
        <w:left w:val="none" w:sz="0" w:space="0" w:color="auto"/>
        <w:bottom w:val="none" w:sz="0" w:space="0" w:color="auto"/>
        <w:right w:val="none" w:sz="0" w:space="0" w:color="auto"/>
      </w:divBdr>
    </w:div>
    <w:div w:id="594559962">
      <w:bodyDiv w:val="1"/>
      <w:marLeft w:val="0"/>
      <w:marRight w:val="0"/>
      <w:marTop w:val="0"/>
      <w:marBottom w:val="0"/>
      <w:divBdr>
        <w:top w:val="none" w:sz="0" w:space="0" w:color="auto"/>
        <w:left w:val="none" w:sz="0" w:space="0" w:color="auto"/>
        <w:bottom w:val="none" w:sz="0" w:space="0" w:color="auto"/>
        <w:right w:val="none" w:sz="0" w:space="0" w:color="auto"/>
      </w:divBdr>
    </w:div>
    <w:div w:id="595098763">
      <w:bodyDiv w:val="1"/>
      <w:marLeft w:val="0"/>
      <w:marRight w:val="0"/>
      <w:marTop w:val="0"/>
      <w:marBottom w:val="0"/>
      <w:divBdr>
        <w:top w:val="none" w:sz="0" w:space="0" w:color="auto"/>
        <w:left w:val="none" w:sz="0" w:space="0" w:color="auto"/>
        <w:bottom w:val="none" w:sz="0" w:space="0" w:color="auto"/>
        <w:right w:val="none" w:sz="0" w:space="0" w:color="auto"/>
      </w:divBdr>
    </w:div>
    <w:div w:id="600262967">
      <w:bodyDiv w:val="1"/>
      <w:marLeft w:val="0"/>
      <w:marRight w:val="0"/>
      <w:marTop w:val="0"/>
      <w:marBottom w:val="0"/>
      <w:divBdr>
        <w:top w:val="none" w:sz="0" w:space="0" w:color="auto"/>
        <w:left w:val="none" w:sz="0" w:space="0" w:color="auto"/>
        <w:bottom w:val="none" w:sz="0" w:space="0" w:color="auto"/>
        <w:right w:val="none" w:sz="0" w:space="0" w:color="auto"/>
      </w:divBdr>
    </w:div>
    <w:div w:id="632491372">
      <w:bodyDiv w:val="1"/>
      <w:marLeft w:val="0"/>
      <w:marRight w:val="0"/>
      <w:marTop w:val="0"/>
      <w:marBottom w:val="0"/>
      <w:divBdr>
        <w:top w:val="none" w:sz="0" w:space="0" w:color="auto"/>
        <w:left w:val="none" w:sz="0" w:space="0" w:color="auto"/>
        <w:bottom w:val="none" w:sz="0" w:space="0" w:color="auto"/>
        <w:right w:val="none" w:sz="0" w:space="0" w:color="auto"/>
      </w:divBdr>
    </w:div>
    <w:div w:id="635381646">
      <w:bodyDiv w:val="1"/>
      <w:marLeft w:val="0"/>
      <w:marRight w:val="0"/>
      <w:marTop w:val="0"/>
      <w:marBottom w:val="0"/>
      <w:divBdr>
        <w:top w:val="none" w:sz="0" w:space="0" w:color="auto"/>
        <w:left w:val="none" w:sz="0" w:space="0" w:color="auto"/>
        <w:bottom w:val="none" w:sz="0" w:space="0" w:color="auto"/>
        <w:right w:val="none" w:sz="0" w:space="0" w:color="auto"/>
      </w:divBdr>
    </w:div>
    <w:div w:id="642583546">
      <w:bodyDiv w:val="1"/>
      <w:marLeft w:val="0"/>
      <w:marRight w:val="0"/>
      <w:marTop w:val="0"/>
      <w:marBottom w:val="0"/>
      <w:divBdr>
        <w:top w:val="none" w:sz="0" w:space="0" w:color="auto"/>
        <w:left w:val="none" w:sz="0" w:space="0" w:color="auto"/>
        <w:bottom w:val="none" w:sz="0" w:space="0" w:color="auto"/>
        <w:right w:val="none" w:sz="0" w:space="0" w:color="auto"/>
      </w:divBdr>
    </w:div>
    <w:div w:id="653223898">
      <w:bodyDiv w:val="1"/>
      <w:marLeft w:val="0"/>
      <w:marRight w:val="0"/>
      <w:marTop w:val="0"/>
      <w:marBottom w:val="0"/>
      <w:divBdr>
        <w:top w:val="none" w:sz="0" w:space="0" w:color="auto"/>
        <w:left w:val="none" w:sz="0" w:space="0" w:color="auto"/>
        <w:bottom w:val="none" w:sz="0" w:space="0" w:color="auto"/>
        <w:right w:val="none" w:sz="0" w:space="0" w:color="auto"/>
      </w:divBdr>
    </w:div>
    <w:div w:id="669257888">
      <w:bodyDiv w:val="1"/>
      <w:marLeft w:val="0"/>
      <w:marRight w:val="0"/>
      <w:marTop w:val="0"/>
      <w:marBottom w:val="0"/>
      <w:divBdr>
        <w:top w:val="none" w:sz="0" w:space="0" w:color="auto"/>
        <w:left w:val="none" w:sz="0" w:space="0" w:color="auto"/>
        <w:bottom w:val="none" w:sz="0" w:space="0" w:color="auto"/>
        <w:right w:val="none" w:sz="0" w:space="0" w:color="auto"/>
      </w:divBdr>
    </w:div>
    <w:div w:id="708183119">
      <w:bodyDiv w:val="1"/>
      <w:marLeft w:val="0"/>
      <w:marRight w:val="0"/>
      <w:marTop w:val="0"/>
      <w:marBottom w:val="0"/>
      <w:divBdr>
        <w:top w:val="none" w:sz="0" w:space="0" w:color="auto"/>
        <w:left w:val="none" w:sz="0" w:space="0" w:color="auto"/>
        <w:bottom w:val="none" w:sz="0" w:space="0" w:color="auto"/>
        <w:right w:val="none" w:sz="0" w:space="0" w:color="auto"/>
      </w:divBdr>
    </w:div>
    <w:div w:id="710148669">
      <w:bodyDiv w:val="1"/>
      <w:marLeft w:val="0"/>
      <w:marRight w:val="0"/>
      <w:marTop w:val="0"/>
      <w:marBottom w:val="0"/>
      <w:divBdr>
        <w:top w:val="none" w:sz="0" w:space="0" w:color="auto"/>
        <w:left w:val="none" w:sz="0" w:space="0" w:color="auto"/>
        <w:bottom w:val="none" w:sz="0" w:space="0" w:color="auto"/>
        <w:right w:val="none" w:sz="0" w:space="0" w:color="auto"/>
      </w:divBdr>
    </w:div>
    <w:div w:id="711735126">
      <w:bodyDiv w:val="1"/>
      <w:marLeft w:val="0"/>
      <w:marRight w:val="0"/>
      <w:marTop w:val="0"/>
      <w:marBottom w:val="0"/>
      <w:divBdr>
        <w:top w:val="none" w:sz="0" w:space="0" w:color="auto"/>
        <w:left w:val="none" w:sz="0" w:space="0" w:color="auto"/>
        <w:bottom w:val="none" w:sz="0" w:space="0" w:color="auto"/>
        <w:right w:val="none" w:sz="0" w:space="0" w:color="auto"/>
      </w:divBdr>
    </w:div>
    <w:div w:id="718357680">
      <w:bodyDiv w:val="1"/>
      <w:marLeft w:val="0"/>
      <w:marRight w:val="0"/>
      <w:marTop w:val="0"/>
      <w:marBottom w:val="0"/>
      <w:divBdr>
        <w:top w:val="none" w:sz="0" w:space="0" w:color="auto"/>
        <w:left w:val="none" w:sz="0" w:space="0" w:color="auto"/>
        <w:bottom w:val="none" w:sz="0" w:space="0" w:color="auto"/>
        <w:right w:val="none" w:sz="0" w:space="0" w:color="auto"/>
      </w:divBdr>
    </w:div>
    <w:div w:id="732001428">
      <w:bodyDiv w:val="1"/>
      <w:marLeft w:val="0"/>
      <w:marRight w:val="0"/>
      <w:marTop w:val="0"/>
      <w:marBottom w:val="0"/>
      <w:divBdr>
        <w:top w:val="none" w:sz="0" w:space="0" w:color="auto"/>
        <w:left w:val="none" w:sz="0" w:space="0" w:color="auto"/>
        <w:bottom w:val="none" w:sz="0" w:space="0" w:color="auto"/>
        <w:right w:val="none" w:sz="0" w:space="0" w:color="auto"/>
      </w:divBdr>
    </w:div>
    <w:div w:id="742722643">
      <w:bodyDiv w:val="1"/>
      <w:marLeft w:val="0"/>
      <w:marRight w:val="0"/>
      <w:marTop w:val="0"/>
      <w:marBottom w:val="0"/>
      <w:divBdr>
        <w:top w:val="none" w:sz="0" w:space="0" w:color="auto"/>
        <w:left w:val="none" w:sz="0" w:space="0" w:color="auto"/>
        <w:bottom w:val="none" w:sz="0" w:space="0" w:color="auto"/>
        <w:right w:val="none" w:sz="0" w:space="0" w:color="auto"/>
      </w:divBdr>
    </w:div>
    <w:div w:id="754975548">
      <w:bodyDiv w:val="1"/>
      <w:marLeft w:val="0"/>
      <w:marRight w:val="0"/>
      <w:marTop w:val="0"/>
      <w:marBottom w:val="0"/>
      <w:divBdr>
        <w:top w:val="none" w:sz="0" w:space="0" w:color="auto"/>
        <w:left w:val="none" w:sz="0" w:space="0" w:color="auto"/>
        <w:bottom w:val="none" w:sz="0" w:space="0" w:color="auto"/>
        <w:right w:val="none" w:sz="0" w:space="0" w:color="auto"/>
      </w:divBdr>
      <w:divsChild>
        <w:div w:id="766735247">
          <w:marLeft w:val="0"/>
          <w:marRight w:val="0"/>
          <w:marTop w:val="0"/>
          <w:marBottom w:val="0"/>
          <w:divBdr>
            <w:top w:val="none" w:sz="0" w:space="0" w:color="auto"/>
            <w:left w:val="none" w:sz="0" w:space="0" w:color="auto"/>
            <w:bottom w:val="none" w:sz="0" w:space="0" w:color="auto"/>
            <w:right w:val="none" w:sz="0" w:space="0" w:color="auto"/>
          </w:divBdr>
        </w:div>
        <w:div w:id="1582638651">
          <w:marLeft w:val="0"/>
          <w:marRight w:val="0"/>
          <w:marTop w:val="0"/>
          <w:marBottom w:val="0"/>
          <w:divBdr>
            <w:top w:val="none" w:sz="0" w:space="0" w:color="auto"/>
            <w:left w:val="none" w:sz="0" w:space="0" w:color="auto"/>
            <w:bottom w:val="none" w:sz="0" w:space="0" w:color="auto"/>
            <w:right w:val="none" w:sz="0" w:space="0" w:color="auto"/>
          </w:divBdr>
        </w:div>
        <w:div w:id="1610116596">
          <w:marLeft w:val="0"/>
          <w:marRight w:val="0"/>
          <w:marTop w:val="0"/>
          <w:marBottom w:val="0"/>
          <w:divBdr>
            <w:top w:val="none" w:sz="0" w:space="0" w:color="auto"/>
            <w:left w:val="none" w:sz="0" w:space="0" w:color="auto"/>
            <w:bottom w:val="none" w:sz="0" w:space="0" w:color="auto"/>
            <w:right w:val="none" w:sz="0" w:space="0" w:color="auto"/>
          </w:divBdr>
        </w:div>
      </w:divsChild>
    </w:div>
    <w:div w:id="763233547">
      <w:bodyDiv w:val="1"/>
      <w:marLeft w:val="0"/>
      <w:marRight w:val="0"/>
      <w:marTop w:val="0"/>
      <w:marBottom w:val="0"/>
      <w:divBdr>
        <w:top w:val="none" w:sz="0" w:space="0" w:color="auto"/>
        <w:left w:val="none" w:sz="0" w:space="0" w:color="auto"/>
        <w:bottom w:val="none" w:sz="0" w:space="0" w:color="auto"/>
        <w:right w:val="none" w:sz="0" w:space="0" w:color="auto"/>
      </w:divBdr>
    </w:div>
    <w:div w:id="782190247">
      <w:bodyDiv w:val="1"/>
      <w:marLeft w:val="0"/>
      <w:marRight w:val="0"/>
      <w:marTop w:val="0"/>
      <w:marBottom w:val="0"/>
      <w:divBdr>
        <w:top w:val="none" w:sz="0" w:space="0" w:color="auto"/>
        <w:left w:val="none" w:sz="0" w:space="0" w:color="auto"/>
        <w:bottom w:val="none" w:sz="0" w:space="0" w:color="auto"/>
        <w:right w:val="none" w:sz="0" w:space="0" w:color="auto"/>
      </w:divBdr>
    </w:div>
    <w:div w:id="813528110">
      <w:bodyDiv w:val="1"/>
      <w:marLeft w:val="0"/>
      <w:marRight w:val="0"/>
      <w:marTop w:val="0"/>
      <w:marBottom w:val="0"/>
      <w:divBdr>
        <w:top w:val="none" w:sz="0" w:space="0" w:color="auto"/>
        <w:left w:val="none" w:sz="0" w:space="0" w:color="auto"/>
        <w:bottom w:val="none" w:sz="0" w:space="0" w:color="auto"/>
        <w:right w:val="none" w:sz="0" w:space="0" w:color="auto"/>
      </w:divBdr>
    </w:div>
    <w:div w:id="848373478">
      <w:bodyDiv w:val="1"/>
      <w:marLeft w:val="0"/>
      <w:marRight w:val="0"/>
      <w:marTop w:val="0"/>
      <w:marBottom w:val="0"/>
      <w:divBdr>
        <w:top w:val="none" w:sz="0" w:space="0" w:color="auto"/>
        <w:left w:val="none" w:sz="0" w:space="0" w:color="auto"/>
        <w:bottom w:val="none" w:sz="0" w:space="0" w:color="auto"/>
        <w:right w:val="none" w:sz="0" w:space="0" w:color="auto"/>
      </w:divBdr>
      <w:divsChild>
        <w:div w:id="1987859703">
          <w:marLeft w:val="0"/>
          <w:marRight w:val="0"/>
          <w:marTop w:val="0"/>
          <w:marBottom w:val="0"/>
          <w:divBdr>
            <w:top w:val="none" w:sz="0" w:space="0" w:color="auto"/>
            <w:left w:val="none" w:sz="0" w:space="0" w:color="auto"/>
            <w:bottom w:val="none" w:sz="0" w:space="0" w:color="auto"/>
            <w:right w:val="none" w:sz="0" w:space="0" w:color="auto"/>
          </w:divBdr>
        </w:div>
      </w:divsChild>
    </w:div>
    <w:div w:id="877428575">
      <w:bodyDiv w:val="1"/>
      <w:marLeft w:val="0"/>
      <w:marRight w:val="0"/>
      <w:marTop w:val="0"/>
      <w:marBottom w:val="0"/>
      <w:divBdr>
        <w:top w:val="none" w:sz="0" w:space="0" w:color="auto"/>
        <w:left w:val="none" w:sz="0" w:space="0" w:color="auto"/>
        <w:bottom w:val="none" w:sz="0" w:space="0" w:color="auto"/>
        <w:right w:val="none" w:sz="0" w:space="0" w:color="auto"/>
      </w:divBdr>
    </w:div>
    <w:div w:id="878786134">
      <w:bodyDiv w:val="1"/>
      <w:marLeft w:val="0"/>
      <w:marRight w:val="0"/>
      <w:marTop w:val="0"/>
      <w:marBottom w:val="0"/>
      <w:divBdr>
        <w:top w:val="none" w:sz="0" w:space="0" w:color="auto"/>
        <w:left w:val="none" w:sz="0" w:space="0" w:color="auto"/>
        <w:bottom w:val="none" w:sz="0" w:space="0" w:color="auto"/>
        <w:right w:val="none" w:sz="0" w:space="0" w:color="auto"/>
      </w:divBdr>
    </w:div>
    <w:div w:id="913005337">
      <w:bodyDiv w:val="1"/>
      <w:marLeft w:val="0"/>
      <w:marRight w:val="0"/>
      <w:marTop w:val="0"/>
      <w:marBottom w:val="0"/>
      <w:divBdr>
        <w:top w:val="none" w:sz="0" w:space="0" w:color="auto"/>
        <w:left w:val="none" w:sz="0" w:space="0" w:color="auto"/>
        <w:bottom w:val="none" w:sz="0" w:space="0" w:color="auto"/>
        <w:right w:val="none" w:sz="0" w:space="0" w:color="auto"/>
      </w:divBdr>
      <w:divsChild>
        <w:div w:id="16853060">
          <w:marLeft w:val="0"/>
          <w:marRight w:val="0"/>
          <w:marTop w:val="0"/>
          <w:marBottom w:val="0"/>
          <w:divBdr>
            <w:top w:val="none" w:sz="0" w:space="0" w:color="auto"/>
            <w:left w:val="none" w:sz="0" w:space="0" w:color="auto"/>
            <w:bottom w:val="none" w:sz="0" w:space="0" w:color="auto"/>
            <w:right w:val="none" w:sz="0" w:space="0" w:color="auto"/>
          </w:divBdr>
        </w:div>
        <w:div w:id="447746961">
          <w:marLeft w:val="0"/>
          <w:marRight w:val="0"/>
          <w:marTop w:val="0"/>
          <w:marBottom w:val="0"/>
          <w:divBdr>
            <w:top w:val="none" w:sz="0" w:space="0" w:color="auto"/>
            <w:left w:val="none" w:sz="0" w:space="0" w:color="auto"/>
            <w:bottom w:val="none" w:sz="0" w:space="0" w:color="auto"/>
            <w:right w:val="none" w:sz="0" w:space="0" w:color="auto"/>
          </w:divBdr>
        </w:div>
        <w:div w:id="601839362">
          <w:marLeft w:val="0"/>
          <w:marRight w:val="0"/>
          <w:marTop w:val="0"/>
          <w:marBottom w:val="0"/>
          <w:divBdr>
            <w:top w:val="none" w:sz="0" w:space="0" w:color="auto"/>
            <w:left w:val="none" w:sz="0" w:space="0" w:color="auto"/>
            <w:bottom w:val="none" w:sz="0" w:space="0" w:color="auto"/>
            <w:right w:val="none" w:sz="0" w:space="0" w:color="auto"/>
          </w:divBdr>
        </w:div>
        <w:div w:id="1097212376">
          <w:marLeft w:val="0"/>
          <w:marRight w:val="0"/>
          <w:marTop w:val="0"/>
          <w:marBottom w:val="0"/>
          <w:divBdr>
            <w:top w:val="none" w:sz="0" w:space="0" w:color="auto"/>
            <w:left w:val="none" w:sz="0" w:space="0" w:color="auto"/>
            <w:bottom w:val="none" w:sz="0" w:space="0" w:color="auto"/>
            <w:right w:val="none" w:sz="0" w:space="0" w:color="auto"/>
          </w:divBdr>
        </w:div>
        <w:div w:id="1642463987">
          <w:marLeft w:val="0"/>
          <w:marRight w:val="0"/>
          <w:marTop w:val="0"/>
          <w:marBottom w:val="0"/>
          <w:divBdr>
            <w:top w:val="none" w:sz="0" w:space="0" w:color="auto"/>
            <w:left w:val="none" w:sz="0" w:space="0" w:color="auto"/>
            <w:bottom w:val="none" w:sz="0" w:space="0" w:color="auto"/>
            <w:right w:val="none" w:sz="0" w:space="0" w:color="auto"/>
          </w:divBdr>
        </w:div>
        <w:div w:id="2076465434">
          <w:marLeft w:val="0"/>
          <w:marRight w:val="0"/>
          <w:marTop w:val="0"/>
          <w:marBottom w:val="0"/>
          <w:divBdr>
            <w:top w:val="none" w:sz="0" w:space="0" w:color="auto"/>
            <w:left w:val="none" w:sz="0" w:space="0" w:color="auto"/>
            <w:bottom w:val="none" w:sz="0" w:space="0" w:color="auto"/>
            <w:right w:val="none" w:sz="0" w:space="0" w:color="auto"/>
          </w:divBdr>
        </w:div>
      </w:divsChild>
    </w:div>
    <w:div w:id="934289220">
      <w:bodyDiv w:val="1"/>
      <w:marLeft w:val="0"/>
      <w:marRight w:val="0"/>
      <w:marTop w:val="0"/>
      <w:marBottom w:val="0"/>
      <w:divBdr>
        <w:top w:val="none" w:sz="0" w:space="0" w:color="auto"/>
        <w:left w:val="none" w:sz="0" w:space="0" w:color="auto"/>
        <w:bottom w:val="none" w:sz="0" w:space="0" w:color="auto"/>
        <w:right w:val="none" w:sz="0" w:space="0" w:color="auto"/>
      </w:divBdr>
    </w:div>
    <w:div w:id="936409230">
      <w:bodyDiv w:val="1"/>
      <w:marLeft w:val="0"/>
      <w:marRight w:val="0"/>
      <w:marTop w:val="0"/>
      <w:marBottom w:val="0"/>
      <w:divBdr>
        <w:top w:val="none" w:sz="0" w:space="0" w:color="auto"/>
        <w:left w:val="none" w:sz="0" w:space="0" w:color="auto"/>
        <w:bottom w:val="none" w:sz="0" w:space="0" w:color="auto"/>
        <w:right w:val="none" w:sz="0" w:space="0" w:color="auto"/>
      </w:divBdr>
    </w:div>
    <w:div w:id="941686921">
      <w:bodyDiv w:val="1"/>
      <w:marLeft w:val="0"/>
      <w:marRight w:val="0"/>
      <w:marTop w:val="0"/>
      <w:marBottom w:val="0"/>
      <w:divBdr>
        <w:top w:val="none" w:sz="0" w:space="0" w:color="auto"/>
        <w:left w:val="none" w:sz="0" w:space="0" w:color="auto"/>
        <w:bottom w:val="none" w:sz="0" w:space="0" w:color="auto"/>
        <w:right w:val="none" w:sz="0" w:space="0" w:color="auto"/>
      </w:divBdr>
    </w:div>
    <w:div w:id="973019906">
      <w:bodyDiv w:val="1"/>
      <w:marLeft w:val="0"/>
      <w:marRight w:val="0"/>
      <w:marTop w:val="0"/>
      <w:marBottom w:val="0"/>
      <w:divBdr>
        <w:top w:val="none" w:sz="0" w:space="0" w:color="auto"/>
        <w:left w:val="none" w:sz="0" w:space="0" w:color="auto"/>
        <w:bottom w:val="none" w:sz="0" w:space="0" w:color="auto"/>
        <w:right w:val="none" w:sz="0" w:space="0" w:color="auto"/>
      </w:divBdr>
    </w:div>
    <w:div w:id="975374331">
      <w:bodyDiv w:val="1"/>
      <w:marLeft w:val="0"/>
      <w:marRight w:val="0"/>
      <w:marTop w:val="0"/>
      <w:marBottom w:val="0"/>
      <w:divBdr>
        <w:top w:val="none" w:sz="0" w:space="0" w:color="auto"/>
        <w:left w:val="none" w:sz="0" w:space="0" w:color="auto"/>
        <w:bottom w:val="none" w:sz="0" w:space="0" w:color="auto"/>
        <w:right w:val="none" w:sz="0" w:space="0" w:color="auto"/>
      </w:divBdr>
      <w:divsChild>
        <w:div w:id="184251862">
          <w:marLeft w:val="0"/>
          <w:marRight w:val="0"/>
          <w:marTop w:val="0"/>
          <w:marBottom w:val="0"/>
          <w:divBdr>
            <w:top w:val="none" w:sz="0" w:space="0" w:color="auto"/>
            <w:left w:val="none" w:sz="0" w:space="0" w:color="auto"/>
            <w:bottom w:val="none" w:sz="0" w:space="0" w:color="auto"/>
            <w:right w:val="none" w:sz="0" w:space="0" w:color="auto"/>
          </w:divBdr>
        </w:div>
        <w:div w:id="264385588">
          <w:marLeft w:val="0"/>
          <w:marRight w:val="0"/>
          <w:marTop w:val="0"/>
          <w:marBottom w:val="0"/>
          <w:divBdr>
            <w:top w:val="none" w:sz="0" w:space="0" w:color="auto"/>
            <w:left w:val="none" w:sz="0" w:space="0" w:color="auto"/>
            <w:bottom w:val="none" w:sz="0" w:space="0" w:color="auto"/>
            <w:right w:val="none" w:sz="0" w:space="0" w:color="auto"/>
          </w:divBdr>
        </w:div>
        <w:div w:id="499975232">
          <w:marLeft w:val="0"/>
          <w:marRight w:val="0"/>
          <w:marTop w:val="0"/>
          <w:marBottom w:val="0"/>
          <w:divBdr>
            <w:top w:val="none" w:sz="0" w:space="0" w:color="auto"/>
            <w:left w:val="none" w:sz="0" w:space="0" w:color="auto"/>
            <w:bottom w:val="none" w:sz="0" w:space="0" w:color="auto"/>
            <w:right w:val="none" w:sz="0" w:space="0" w:color="auto"/>
          </w:divBdr>
        </w:div>
        <w:div w:id="720010066">
          <w:marLeft w:val="0"/>
          <w:marRight w:val="0"/>
          <w:marTop w:val="0"/>
          <w:marBottom w:val="0"/>
          <w:divBdr>
            <w:top w:val="none" w:sz="0" w:space="0" w:color="auto"/>
            <w:left w:val="none" w:sz="0" w:space="0" w:color="auto"/>
            <w:bottom w:val="none" w:sz="0" w:space="0" w:color="auto"/>
            <w:right w:val="none" w:sz="0" w:space="0" w:color="auto"/>
          </w:divBdr>
        </w:div>
        <w:div w:id="1319921538">
          <w:marLeft w:val="0"/>
          <w:marRight w:val="0"/>
          <w:marTop w:val="0"/>
          <w:marBottom w:val="0"/>
          <w:divBdr>
            <w:top w:val="none" w:sz="0" w:space="0" w:color="auto"/>
            <w:left w:val="none" w:sz="0" w:space="0" w:color="auto"/>
            <w:bottom w:val="none" w:sz="0" w:space="0" w:color="auto"/>
            <w:right w:val="none" w:sz="0" w:space="0" w:color="auto"/>
          </w:divBdr>
        </w:div>
        <w:div w:id="1934510699">
          <w:marLeft w:val="0"/>
          <w:marRight w:val="0"/>
          <w:marTop w:val="0"/>
          <w:marBottom w:val="0"/>
          <w:divBdr>
            <w:top w:val="none" w:sz="0" w:space="0" w:color="auto"/>
            <w:left w:val="none" w:sz="0" w:space="0" w:color="auto"/>
            <w:bottom w:val="none" w:sz="0" w:space="0" w:color="auto"/>
            <w:right w:val="none" w:sz="0" w:space="0" w:color="auto"/>
          </w:divBdr>
        </w:div>
        <w:div w:id="2056734049">
          <w:marLeft w:val="0"/>
          <w:marRight w:val="0"/>
          <w:marTop w:val="0"/>
          <w:marBottom w:val="0"/>
          <w:divBdr>
            <w:top w:val="none" w:sz="0" w:space="0" w:color="auto"/>
            <w:left w:val="none" w:sz="0" w:space="0" w:color="auto"/>
            <w:bottom w:val="none" w:sz="0" w:space="0" w:color="auto"/>
            <w:right w:val="none" w:sz="0" w:space="0" w:color="auto"/>
          </w:divBdr>
        </w:div>
      </w:divsChild>
    </w:div>
    <w:div w:id="981033591">
      <w:bodyDiv w:val="1"/>
      <w:marLeft w:val="0"/>
      <w:marRight w:val="0"/>
      <w:marTop w:val="0"/>
      <w:marBottom w:val="0"/>
      <w:divBdr>
        <w:top w:val="none" w:sz="0" w:space="0" w:color="auto"/>
        <w:left w:val="none" w:sz="0" w:space="0" w:color="auto"/>
        <w:bottom w:val="none" w:sz="0" w:space="0" w:color="auto"/>
        <w:right w:val="none" w:sz="0" w:space="0" w:color="auto"/>
      </w:divBdr>
    </w:div>
    <w:div w:id="990867072">
      <w:bodyDiv w:val="1"/>
      <w:marLeft w:val="0"/>
      <w:marRight w:val="0"/>
      <w:marTop w:val="0"/>
      <w:marBottom w:val="0"/>
      <w:divBdr>
        <w:top w:val="none" w:sz="0" w:space="0" w:color="auto"/>
        <w:left w:val="none" w:sz="0" w:space="0" w:color="auto"/>
        <w:bottom w:val="none" w:sz="0" w:space="0" w:color="auto"/>
        <w:right w:val="none" w:sz="0" w:space="0" w:color="auto"/>
      </w:divBdr>
    </w:div>
    <w:div w:id="1030256337">
      <w:bodyDiv w:val="1"/>
      <w:marLeft w:val="0"/>
      <w:marRight w:val="0"/>
      <w:marTop w:val="0"/>
      <w:marBottom w:val="0"/>
      <w:divBdr>
        <w:top w:val="none" w:sz="0" w:space="0" w:color="auto"/>
        <w:left w:val="none" w:sz="0" w:space="0" w:color="auto"/>
        <w:bottom w:val="none" w:sz="0" w:space="0" w:color="auto"/>
        <w:right w:val="none" w:sz="0" w:space="0" w:color="auto"/>
      </w:divBdr>
    </w:div>
    <w:div w:id="1031222642">
      <w:bodyDiv w:val="1"/>
      <w:marLeft w:val="0"/>
      <w:marRight w:val="0"/>
      <w:marTop w:val="0"/>
      <w:marBottom w:val="0"/>
      <w:divBdr>
        <w:top w:val="none" w:sz="0" w:space="0" w:color="auto"/>
        <w:left w:val="none" w:sz="0" w:space="0" w:color="auto"/>
        <w:bottom w:val="none" w:sz="0" w:space="0" w:color="auto"/>
        <w:right w:val="none" w:sz="0" w:space="0" w:color="auto"/>
      </w:divBdr>
    </w:div>
    <w:div w:id="1052080143">
      <w:bodyDiv w:val="1"/>
      <w:marLeft w:val="0"/>
      <w:marRight w:val="0"/>
      <w:marTop w:val="0"/>
      <w:marBottom w:val="0"/>
      <w:divBdr>
        <w:top w:val="none" w:sz="0" w:space="0" w:color="auto"/>
        <w:left w:val="none" w:sz="0" w:space="0" w:color="auto"/>
        <w:bottom w:val="none" w:sz="0" w:space="0" w:color="auto"/>
        <w:right w:val="none" w:sz="0" w:space="0" w:color="auto"/>
      </w:divBdr>
      <w:divsChild>
        <w:div w:id="75978649">
          <w:marLeft w:val="0"/>
          <w:marRight w:val="0"/>
          <w:marTop w:val="0"/>
          <w:marBottom w:val="0"/>
          <w:divBdr>
            <w:top w:val="none" w:sz="0" w:space="0" w:color="auto"/>
            <w:left w:val="none" w:sz="0" w:space="0" w:color="auto"/>
            <w:bottom w:val="none" w:sz="0" w:space="0" w:color="auto"/>
            <w:right w:val="none" w:sz="0" w:space="0" w:color="auto"/>
          </w:divBdr>
        </w:div>
        <w:div w:id="587081452">
          <w:marLeft w:val="0"/>
          <w:marRight w:val="0"/>
          <w:marTop w:val="0"/>
          <w:marBottom w:val="0"/>
          <w:divBdr>
            <w:top w:val="none" w:sz="0" w:space="0" w:color="auto"/>
            <w:left w:val="none" w:sz="0" w:space="0" w:color="auto"/>
            <w:bottom w:val="none" w:sz="0" w:space="0" w:color="auto"/>
            <w:right w:val="none" w:sz="0" w:space="0" w:color="auto"/>
          </w:divBdr>
        </w:div>
        <w:div w:id="679704184">
          <w:marLeft w:val="0"/>
          <w:marRight w:val="0"/>
          <w:marTop w:val="0"/>
          <w:marBottom w:val="0"/>
          <w:divBdr>
            <w:top w:val="none" w:sz="0" w:space="0" w:color="auto"/>
            <w:left w:val="none" w:sz="0" w:space="0" w:color="auto"/>
            <w:bottom w:val="none" w:sz="0" w:space="0" w:color="auto"/>
            <w:right w:val="none" w:sz="0" w:space="0" w:color="auto"/>
          </w:divBdr>
        </w:div>
      </w:divsChild>
    </w:div>
    <w:div w:id="1066538540">
      <w:bodyDiv w:val="1"/>
      <w:marLeft w:val="0"/>
      <w:marRight w:val="0"/>
      <w:marTop w:val="0"/>
      <w:marBottom w:val="0"/>
      <w:divBdr>
        <w:top w:val="none" w:sz="0" w:space="0" w:color="auto"/>
        <w:left w:val="none" w:sz="0" w:space="0" w:color="auto"/>
        <w:bottom w:val="none" w:sz="0" w:space="0" w:color="auto"/>
        <w:right w:val="none" w:sz="0" w:space="0" w:color="auto"/>
      </w:divBdr>
    </w:div>
    <w:div w:id="1132595598">
      <w:bodyDiv w:val="1"/>
      <w:marLeft w:val="0"/>
      <w:marRight w:val="0"/>
      <w:marTop w:val="0"/>
      <w:marBottom w:val="0"/>
      <w:divBdr>
        <w:top w:val="none" w:sz="0" w:space="0" w:color="auto"/>
        <w:left w:val="none" w:sz="0" w:space="0" w:color="auto"/>
        <w:bottom w:val="none" w:sz="0" w:space="0" w:color="auto"/>
        <w:right w:val="none" w:sz="0" w:space="0" w:color="auto"/>
      </w:divBdr>
      <w:divsChild>
        <w:div w:id="703096590">
          <w:marLeft w:val="0"/>
          <w:marRight w:val="0"/>
          <w:marTop w:val="0"/>
          <w:marBottom w:val="0"/>
          <w:divBdr>
            <w:top w:val="none" w:sz="0" w:space="0" w:color="auto"/>
            <w:left w:val="none" w:sz="0" w:space="0" w:color="auto"/>
            <w:bottom w:val="none" w:sz="0" w:space="0" w:color="auto"/>
            <w:right w:val="none" w:sz="0" w:space="0" w:color="auto"/>
          </w:divBdr>
        </w:div>
      </w:divsChild>
    </w:div>
    <w:div w:id="1149127752">
      <w:bodyDiv w:val="1"/>
      <w:marLeft w:val="0"/>
      <w:marRight w:val="0"/>
      <w:marTop w:val="0"/>
      <w:marBottom w:val="0"/>
      <w:divBdr>
        <w:top w:val="none" w:sz="0" w:space="0" w:color="auto"/>
        <w:left w:val="none" w:sz="0" w:space="0" w:color="auto"/>
        <w:bottom w:val="none" w:sz="0" w:space="0" w:color="auto"/>
        <w:right w:val="none" w:sz="0" w:space="0" w:color="auto"/>
      </w:divBdr>
      <w:divsChild>
        <w:div w:id="1094977762">
          <w:marLeft w:val="0"/>
          <w:marRight w:val="0"/>
          <w:marTop w:val="0"/>
          <w:marBottom w:val="0"/>
          <w:divBdr>
            <w:top w:val="none" w:sz="0" w:space="0" w:color="auto"/>
            <w:left w:val="none" w:sz="0" w:space="0" w:color="auto"/>
            <w:bottom w:val="none" w:sz="0" w:space="0" w:color="auto"/>
            <w:right w:val="none" w:sz="0" w:space="0" w:color="auto"/>
          </w:divBdr>
        </w:div>
        <w:div w:id="2005544715">
          <w:marLeft w:val="0"/>
          <w:marRight w:val="0"/>
          <w:marTop w:val="0"/>
          <w:marBottom w:val="0"/>
          <w:divBdr>
            <w:top w:val="none" w:sz="0" w:space="0" w:color="auto"/>
            <w:left w:val="none" w:sz="0" w:space="0" w:color="auto"/>
            <w:bottom w:val="none" w:sz="0" w:space="0" w:color="auto"/>
            <w:right w:val="none" w:sz="0" w:space="0" w:color="auto"/>
          </w:divBdr>
        </w:div>
      </w:divsChild>
    </w:div>
    <w:div w:id="1187208433">
      <w:bodyDiv w:val="1"/>
      <w:marLeft w:val="0"/>
      <w:marRight w:val="0"/>
      <w:marTop w:val="0"/>
      <w:marBottom w:val="0"/>
      <w:divBdr>
        <w:top w:val="none" w:sz="0" w:space="0" w:color="auto"/>
        <w:left w:val="none" w:sz="0" w:space="0" w:color="auto"/>
        <w:bottom w:val="none" w:sz="0" w:space="0" w:color="auto"/>
        <w:right w:val="none" w:sz="0" w:space="0" w:color="auto"/>
      </w:divBdr>
      <w:divsChild>
        <w:div w:id="279650291">
          <w:marLeft w:val="0"/>
          <w:marRight w:val="0"/>
          <w:marTop w:val="0"/>
          <w:marBottom w:val="0"/>
          <w:divBdr>
            <w:top w:val="none" w:sz="0" w:space="0" w:color="auto"/>
            <w:left w:val="none" w:sz="0" w:space="0" w:color="auto"/>
            <w:bottom w:val="none" w:sz="0" w:space="0" w:color="auto"/>
            <w:right w:val="none" w:sz="0" w:space="0" w:color="auto"/>
          </w:divBdr>
        </w:div>
        <w:div w:id="1246039036">
          <w:marLeft w:val="0"/>
          <w:marRight w:val="0"/>
          <w:marTop w:val="0"/>
          <w:marBottom w:val="0"/>
          <w:divBdr>
            <w:top w:val="none" w:sz="0" w:space="0" w:color="auto"/>
            <w:left w:val="none" w:sz="0" w:space="0" w:color="auto"/>
            <w:bottom w:val="none" w:sz="0" w:space="0" w:color="auto"/>
            <w:right w:val="none" w:sz="0" w:space="0" w:color="auto"/>
          </w:divBdr>
        </w:div>
        <w:div w:id="1330595381">
          <w:marLeft w:val="0"/>
          <w:marRight w:val="0"/>
          <w:marTop w:val="0"/>
          <w:marBottom w:val="0"/>
          <w:divBdr>
            <w:top w:val="none" w:sz="0" w:space="0" w:color="auto"/>
            <w:left w:val="none" w:sz="0" w:space="0" w:color="auto"/>
            <w:bottom w:val="none" w:sz="0" w:space="0" w:color="auto"/>
            <w:right w:val="none" w:sz="0" w:space="0" w:color="auto"/>
          </w:divBdr>
        </w:div>
        <w:div w:id="1912546596">
          <w:marLeft w:val="0"/>
          <w:marRight w:val="0"/>
          <w:marTop w:val="0"/>
          <w:marBottom w:val="0"/>
          <w:divBdr>
            <w:top w:val="none" w:sz="0" w:space="0" w:color="auto"/>
            <w:left w:val="none" w:sz="0" w:space="0" w:color="auto"/>
            <w:bottom w:val="none" w:sz="0" w:space="0" w:color="auto"/>
            <w:right w:val="none" w:sz="0" w:space="0" w:color="auto"/>
          </w:divBdr>
        </w:div>
        <w:div w:id="2065331956">
          <w:marLeft w:val="0"/>
          <w:marRight w:val="0"/>
          <w:marTop w:val="0"/>
          <w:marBottom w:val="0"/>
          <w:divBdr>
            <w:top w:val="none" w:sz="0" w:space="0" w:color="auto"/>
            <w:left w:val="none" w:sz="0" w:space="0" w:color="auto"/>
            <w:bottom w:val="none" w:sz="0" w:space="0" w:color="auto"/>
            <w:right w:val="none" w:sz="0" w:space="0" w:color="auto"/>
          </w:divBdr>
        </w:div>
      </w:divsChild>
    </w:div>
    <w:div w:id="1233471541">
      <w:bodyDiv w:val="1"/>
      <w:marLeft w:val="0"/>
      <w:marRight w:val="0"/>
      <w:marTop w:val="0"/>
      <w:marBottom w:val="0"/>
      <w:divBdr>
        <w:top w:val="none" w:sz="0" w:space="0" w:color="auto"/>
        <w:left w:val="none" w:sz="0" w:space="0" w:color="auto"/>
        <w:bottom w:val="none" w:sz="0" w:space="0" w:color="auto"/>
        <w:right w:val="none" w:sz="0" w:space="0" w:color="auto"/>
      </w:divBdr>
    </w:div>
    <w:div w:id="1242256431">
      <w:bodyDiv w:val="1"/>
      <w:marLeft w:val="0"/>
      <w:marRight w:val="0"/>
      <w:marTop w:val="0"/>
      <w:marBottom w:val="0"/>
      <w:divBdr>
        <w:top w:val="none" w:sz="0" w:space="0" w:color="auto"/>
        <w:left w:val="none" w:sz="0" w:space="0" w:color="auto"/>
        <w:bottom w:val="none" w:sz="0" w:space="0" w:color="auto"/>
        <w:right w:val="none" w:sz="0" w:space="0" w:color="auto"/>
      </w:divBdr>
    </w:div>
    <w:div w:id="1243291527">
      <w:bodyDiv w:val="1"/>
      <w:marLeft w:val="0"/>
      <w:marRight w:val="0"/>
      <w:marTop w:val="0"/>
      <w:marBottom w:val="0"/>
      <w:divBdr>
        <w:top w:val="none" w:sz="0" w:space="0" w:color="auto"/>
        <w:left w:val="none" w:sz="0" w:space="0" w:color="auto"/>
        <w:bottom w:val="none" w:sz="0" w:space="0" w:color="auto"/>
        <w:right w:val="none" w:sz="0" w:space="0" w:color="auto"/>
      </w:divBdr>
    </w:div>
    <w:div w:id="1253012314">
      <w:bodyDiv w:val="1"/>
      <w:marLeft w:val="0"/>
      <w:marRight w:val="0"/>
      <w:marTop w:val="0"/>
      <w:marBottom w:val="0"/>
      <w:divBdr>
        <w:top w:val="none" w:sz="0" w:space="0" w:color="auto"/>
        <w:left w:val="none" w:sz="0" w:space="0" w:color="auto"/>
        <w:bottom w:val="none" w:sz="0" w:space="0" w:color="auto"/>
        <w:right w:val="none" w:sz="0" w:space="0" w:color="auto"/>
      </w:divBdr>
    </w:div>
    <w:div w:id="1306819341">
      <w:bodyDiv w:val="1"/>
      <w:marLeft w:val="0"/>
      <w:marRight w:val="0"/>
      <w:marTop w:val="0"/>
      <w:marBottom w:val="0"/>
      <w:divBdr>
        <w:top w:val="none" w:sz="0" w:space="0" w:color="auto"/>
        <w:left w:val="none" w:sz="0" w:space="0" w:color="auto"/>
        <w:bottom w:val="none" w:sz="0" w:space="0" w:color="auto"/>
        <w:right w:val="none" w:sz="0" w:space="0" w:color="auto"/>
      </w:divBdr>
    </w:div>
    <w:div w:id="1334066194">
      <w:bodyDiv w:val="1"/>
      <w:marLeft w:val="0"/>
      <w:marRight w:val="0"/>
      <w:marTop w:val="0"/>
      <w:marBottom w:val="0"/>
      <w:divBdr>
        <w:top w:val="none" w:sz="0" w:space="0" w:color="auto"/>
        <w:left w:val="none" w:sz="0" w:space="0" w:color="auto"/>
        <w:bottom w:val="none" w:sz="0" w:space="0" w:color="auto"/>
        <w:right w:val="none" w:sz="0" w:space="0" w:color="auto"/>
      </w:divBdr>
    </w:div>
    <w:div w:id="1344551121">
      <w:bodyDiv w:val="1"/>
      <w:marLeft w:val="0"/>
      <w:marRight w:val="0"/>
      <w:marTop w:val="0"/>
      <w:marBottom w:val="0"/>
      <w:divBdr>
        <w:top w:val="none" w:sz="0" w:space="0" w:color="auto"/>
        <w:left w:val="none" w:sz="0" w:space="0" w:color="auto"/>
        <w:bottom w:val="none" w:sz="0" w:space="0" w:color="auto"/>
        <w:right w:val="none" w:sz="0" w:space="0" w:color="auto"/>
      </w:divBdr>
    </w:div>
    <w:div w:id="1387297474">
      <w:bodyDiv w:val="1"/>
      <w:marLeft w:val="0"/>
      <w:marRight w:val="0"/>
      <w:marTop w:val="0"/>
      <w:marBottom w:val="0"/>
      <w:divBdr>
        <w:top w:val="none" w:sz="0" w:space="0" w:color="auto"/>
        <w:left w:val="none" w:sz="0" w:space="0" w:color="auto"/>
        <w:bottom w:val="none" w:sz="0" w:space="0" w:color="auto"/>
        <w:right w:val="none" w:sz="0" w:space="0" w:color="auto"/>
      </w:divBdr>
    </w:div>
    <w:div w:id="1413232157">
      <w:bodyDiv w:val="1"/>
      <w:marLeft w:val="0"/>
      <w:marRight w:val="0"/>
      <w:marTop w:val="0"/>
      <w:marBottom w:val="0"/>
      <w:divBdr>
        <w:top w:val="none" w:sz="0" w:space="0" w:color="auto"/>
        <w:left w:val="none" w:sz="0" w:space="0" w:color="auto"/>
        <w:bottom w:val="none" w:sz="0" w:space="0" w:color="auto"/>
        <w:right w:val="none" w:sz="0" w:space="0" w:color="auto"/>
      </w:divBdr>
      <w:divsChild>
        <w:div w:id="31576887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629284108">
          <w:marLeft w:val="0"/>
          <w:marRight w:val="0"/>
          <w:marTop w:val="0"/>
          <w:marBottom w:val="0"/>
          <w:divBdr>
            <w:top w:val="none" w:sz="0" w:space="0" w:color="auto"/>
            <w:left w:val="none" w:sz="0" w:space="0" w:color="auto"/>
            <w:bottom w:val="none" w:sz="0" w:space="0" w:color="auto"/>
            <w:right w:val="none" w:sz="0" w:space="0" w:color="auto"/>
          </w:divBdr>
        </w:div>
        <w:div w:id="1041125056">
          <w:marLeft w:val="0"/>
          <w:marRight w:val="0"/>
          <w:marTop w:val="0"/>
          <w:marBottom w:val="0"/>
          <w:divBdr>
            <w:top w:val="none" w:sz="0" w:space="0" w:color="auto"/>
            <w:left w:val="none" w:sz="0" w:space="0" w:color="auto"/>
            <w:bottom w:val="none" w:sz="0" w:space="0" w:color="auto"/>
            <w:right w:val="none" w:sz="0" w:space="0" w:color="auto"/>
          </w:divBdr>
        </w:div>
        <w:div w:id="1286428113">
          <w:marLeft w:val="0"/>
          <w:marRight w:val="0"/>
          <w:marTop w:val="0"/>
          <w:marBottom w:val="0"/>
          <w:divBdr>
            <w:top w:val="none" w:sz="0" w:space="0" w:color="auto"/>
            <w:left w:val="none" w:sz="0" w:space="0" w:color="auto"/>
            <w:bottom w:val="none" w:sz="0" w:space="0" w:color="auto"/>
            <w:right w:val="none" w:sz="0" w:space="0" w:color="auto"/>
          </w:divBdr>
        </w:div>
        <w:div w:id="1416439708">
          <w:marLeft w:val="0"/>
          <w:marRight w:val="0"/>
          <w:marTop w:val="0"/>
          <w:marBottom w:val="0"/>
          <w:divBdr>
            <w:top w:val="none" w:sz="0" w:space="0" w:color="auto"/>
            <w:left w:val="none" w:sz="0" w:space="0" w:color="auto"/>
            <w:bottom w:val="none" w:sz="0" w:space="0" w:color="auto"/>
            <w:right w:val="none" w:sz="0" w:space="0" w:color="auto"/>
          </w:divBdr>
        </w:div>
      </w:divsChild>
    </w:div>
    <w:div w:id="1436631393">
      <w:bodyDiv w:val="1"/>
      <w:marLeft w:val="0"/>
      <w:marRight w:val="0"/>
      <w:marTop w:val="0"/>
      <w:marBottom w:val="0"/>
      <w:divBdr>
        <w:top w:val="none" w:sz="0" w:space="0" w:color="auto"/>
        <w:left w:val="none" w:sz="0" w:space="0" w:color="auto"/>
        <w:bottom w:val="none" w:sz="0" w:space="0" w:color="auto"/>
        <w:right w:val="none" w:sz="0" w:space="0" w:color="auto"/>
      </w:divBdr>
      <w:divsChild>
        <w:div w:id="518742082">
          <w:marLeft w:val="0"/>
          <w:marRight w:val="0"/>
          <w:marTop w:val="0"/>
          <w:marBottom w:val="0"/>
          <w:divBdr>
            <w:top w:val="none" w:sz="0" w:space="0" w:color="auto"/>
            <w:left w:val="none" w:sz="0" w:space="0" w:color="auto"/>
            <w:bottom w:val="none" w:sz="0" w:space="0" w:color="auto"/>
            <w:right w:val="none" w:sz="0" w:space="0" w:color="auto"/>
          </w:divBdr>
        </w:div>
      </w:divsChild>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50664152">
      <w:bodyDiv w:val="1"/>
      <w:marLeft w:val="0"/>
      <w:marRight w:val="0"/>
      <w:marTop w:val="0"/>
      <w:marBottom w:val="0"/>
      <w:divBdr>
        <w:top w:val="none" w:sz="0" w:space="0" w:color="auto"/>
        <w:left w:val="none" w:sz="0" w:space="0" w:color="auto"/>
        <w:bottom w:val="none" w:sz="0" w:space="0" w:color="auto"/>
        <w:right w:val="none" w:sz="0" w:space="0" w:color="auto"/>
      </w:divBdr>
    </w:div>
    <w:div w:id="1451045039">
      <w:bodyDiv w:val="1"/>
      <w:marLeft w:val="0"/>
      <w:marRight w:val="0"/>
      <w:marTop w:val="0"/>
      <w:marBottom w:val="0"/>
      <w:divBdr>
        <w:top w:val="none" w:sz="0" w:space="0" w:color="auto"/>
        <w:left w:val="none" w:sz="0" w:space="0" w:color="auto"/>
        <w:bottom w:val="none" w:sz="0" w:space="0" w:color="auto"/>
        <w:right w:val="none" w:sz="0" w:space="0" w:color="auto"/>
      </w:divBdr>
    </w:div>
    <w:div w:id="1451586825">
      <w:bodyDiv w:val="1"/>
      <w:marLeft w:val="0"/>
      <w:marRight w:val="0"/>
      <w:marTop w:val="0"/>
      <w:marBottom w:val="0"/>
      <w:divBdr>
        <w:top w:val="none" w:sz="0" w:space="0" w:color="auto"/>
        <w:left w:val="none" w:sz="0" w:space="0" w:color="auto"/>
        <w:bottom w:val="none" w:sz="0" w:space="0" w:color="auto"/>
        <w:right w:val="none" w:sz="0" w:space="0" w:color="auto"/>
      </w:divBdr>
    </w:div>
    <w:div w:id="1453280229">
      <w:bodyDiv w:val="1"/>
      <w:marLeft w:val="0"/>
      <w:marRight w:val="0"/>
      <w:marTop w:val="0"/>
      <w:marBottom w:val="0"/>
      <w:divBdr>
        <w:top w:val="none" w:sz="0" w:space="0" w:color="auto"/>
        <w:left w:val="none" w:sz="0" w:space="0" w:color="auto"/>
        <w:bottom w:val="none" w:sz="0" w:space="0" w:color="auto"/>
        <w:right w:val="none" w:sz="0" w:space="0" w:color="auto"/>
      </w:divBdr>
    </w:div>
    <w:div w:id="1469592211">
      <w:bodyDiv w:val="1"/>
      <w:marLeft w:val="0"/>
      <w:marRight w:val="0"/>
      <w:marTop w:val="0"/>
      <w:marBottom w:val="0"/>
      <w:divBdr>
        <w:top w:val="none" w:sz="0" w:space="0" w:color="auto"/>
        <w:left w:val="none" w:sz="0" w:space="0" w:color="auto"/>
        <w:bottom w:val="none" w:sz="0" w:space="0" w:color="auto"/>
        <w:right w:val="none" w:sz="0" w:space="0" w:color="auto"/>
      </w:divBdr>
    </w:div>
    <w:div w:id="1513954138">
      <w:bodyDiv w:val="1"/>
      <w:marLeft w:val="0"/>
      <w:marRight w:val="0"/>
      <w:marTop w:val="0"/>
      <w:marBottom w:val="0"/>
      <w:divBdr>
        <w:top w:val="none" w:sz="0" w:space="0" w:color="auto"/>
        <w:left w:val="none" w:sz="0" w:space="0" w:color="auto"/>
        <w:bottom w:val="none" w:sz="0" w:space="0" w:color="auto"/>
        <w:right w:val="none" w:sz="0" w:space="0" w:color="auto"/>
      </w:divBdr>
    </w:div>
    <w:div w:id="1519931866">
      <w:bodyDiv w:val="1"/>
      <w:marLeft w:val="0"/>
      <w:marRight w:val="0"/>
      <w:marTop w:val="0"/>
      <w:marBottom w:val="0"/>
      <w:divBdr>
        <w:top w:val="none" w:sz="0" w:space="0" w:color="auto"/>
        <w:left w:val="none" w:sz="0" w:space="0" w:color="auto"/>
        <w:bottom w:val="none" w:sz="0" w:space="0" w:color="auto"/>
        <w:right w:val="none" w:sz="0" w:space="0" w:color="auto"/>
      </w:divBdr>
    </w:div>
    <w:div w:id="1536844345">
      <w:bodyDiv w:val="1"/>
      <w:marLeft w:val="0"/>
      <w:marRight w:val="0"/>
      <w:marTop w:val="0"/>
      <w:marBottom w:val="0"/>
      <w:divBdr>
        <w:top w:val="none" w:sz="0" w:space="0" w:color="auto"/>
        <w:left w:val="none" w:sz="0" w:space="0" w:color="auto"/>
        <w:bottom w:val="none" w:sz="0" w:space="0" w:color="auto"/>
        <w:right w:val="none" w:sz="0" w:space="0" w:color="auto"/>
      </w:divBdr>
    </w:div>
    <w:div w:id="1545412806">
      <w:bodyDiv w:val="1"/>
      <w:marLeft w:val="0"/>
      <w:marRight w:val="0"/>
      <w:marTop w:val="0"/>
      <w:marBottom w:val="0"/>
      <w:divBdr>
        <w:top w:val="none" w:sz="0" w:space="0" w:color="auto"/>
        <w:left w:val="none" w:sz="0" w:space="0" w:color="auto"/>
        <w:bottom w:val="none" w:sz="0" w:space="0" w:color="auto"/>
        <w:right w:val="none" w:sz="0" w:space="0" w:color="auto"/>
      </w:divBdr>
    </w:div>
    <w:div w:id="1548450443">
      <w:bodyDiv w:val="1"/>
      <w:marLeft w:val="0"/>
      <w:marRight w:val="0"/>
      <w:marTop w:val="0"/>
      <w:marBottom w:val="0"/>
      <w:divBdr>
        <w:top w:val="none" w:sz="0" w:space="0" w:color="auto"/>
        <w:left w:val="none" w:sz="0" w:space="0" w:color="auto"/>
        <w:bottom w:val="none" w:sz="0" w:space="0" w:color="auto"/>
        <w:right w:val="none" w:sz="0" w:space="0" w:color="auto"/>
      </w:divBdr>
      <w:divsChild>
        <w:div w:id="727415292">
          <w:marLeft w:val="0"/>
          <w:marRight w:val="0"/>
          <w:marTop w:val="0"/>
          <w:marBottom w:val="0"/>
          <w:divBdr>
            <w:top w:val="none" w:sz="0" w:space="0" w:color="auto"/>
            <w:left w:val="none" w:sz="0" w:space="0" w:color="auto"/>
            <w:bottom w:val="none" w:sz="0" w:space="0" w:color="auto"/>
            <w:right w:val="none" w:sz="0" w:space="0" w:color="auto"/>
          </w:divBdr>
        </w:div>
      </w:divsChild>
    </w:div>
    <w:div w:id="1550142031">
      <w:bodyDiv w:val="1"/>
      <w:marLeft w:val="0"/>
      <w:marRight w:val="0"/>
      <w:marTop w:val="0"/>
      <w:marBottom w:val="0"/>
      <w:divBdr>
        <w:top w:val="none" w:sz="0" w:space="0" w:color="auto"/>
        <w:left w:val="none" w:sz="0" w:space="0" w:color="auto"/>
        <w:bottom w:val="none" w:sz="0" w:space="0" w:color="auto"/>
        <w:right w:val="none" w:sz="0" w:space="0" w:color="auto"/>
      </w:divBdr>
      <w:divsChild>
        <w:div w:id="1035425844">
          <w:marLeft w:val="0"/>
          <w:marRight w:val="0"/>
          <w:marTop w:val="0"/>
          <w:marBottom w:val="0"/>
          <w:divBdr>
            <w:top w:val="none" w:sz="0" w:space="0" w:color="auto"/>
            <w:left w:val="none" w:sz="0" w:space="0" w:color="auto"/>
            <w:bottom w:val="none" w:sz="0" w:space="0" w:color="auto"/>
            <w:right w:val="none" w:sz="0" w:space="0" w:color="auto"/>
          </w:divBdr>
        </w:div>
      </w:divsChild>
    </w:div>
    <w:div w:id="1553418837">
      <w:bodyDiv w:val="1"/>
      <w:marLeft w:val="0"/>
      <w:marRight w:val="0"/>
      <w:marTop w:val="0"/>
      <w:marBottom w:val="0"/>
      <w:divBdr>
        <w:top w:val="none" w:sz="0" w:space="0" w:color="auto"/>
        <w:left w:val="none" w:sz="0" w:space="0" w:color="auto"/>
        <w:bottom w:val="none" w:sz="0" w:space="0" w:color="auto"/>
        <w:right w:val="none" w:sz="0" w:space="0" w:color="auto"/>
      </w:divBdr>
    </w:div>
    <w:div w:id="1565994515">
      <w:bodyDiv w:val="1"/>
      <w:marLeft w:val="0"/>
      <w:marRight w:val="0"/>
      <w:marTop w:val="0"/>
      <w:marBottom w:val="0"/>
      <w:divBdr>
        <w:top w:val="none" w:sz="0" w:space="0" w:color="auto"/>
        <w:left w:val="none" w:sz="0" w:space="0" w:color="auto"/>
        <w:bottom w:val="none" w:sz="0" w:space="0" w:color="auto"/>
        <w:right w:val="none" w:sz="0" w:space="0" w:color="auto"/>
      </w:divBdr>
    </w:div>
    <w:div w:id="1578827834">
      <w:bodyDiv w:val="1"/>
      <w:marLeft w:val="0"/>
      <w:marRight w:val="0"/>
      <w:marTop w:val="0"/>
      <w:marBottom w:val="0"/>
      <w:divBdr>
        <w:top w:val="none" w:sz="0" w:space="0" w:color="auto"/>
        <w:left w:val="none" w:sz="0" w:space="0" w:color="auto"/>
        <w:bottom w:val="none" w:sz="0" w:space="0" w:color="auto"/>
        <w:right w:val="none" w:sz="0" w:space="0" w:color="auto"/>
      </w:divBdr>
    </w:div>
    <w:div w:id="1643194034">
      <w:bodyDiv w:val="1"/>
      <w:marLeft w:val="0"/>
      <w:marRight w:val="0"/>
      <w:marTop w:val="0"/>
      <w:marBottom w:val="0"/>
      <w:divBdr>
        <w:top w:val="none" w:sz="0" w:space="0" w:color="auto"/>
        <w:left w:val="none" w:sz="0" w:space="0" w:color="auto"/>
        <w:bottom w:val="none" w:sz="0" w:space="0" w:color="auto"/>
        <w:right w:val="none" w:sz="0" w:space="0" w:color="auto"/>
      </w:divBdr>
      <w:divsChild>
        <w:div w:id="930428014">
          <w:marLeft w:val="0"/>
          <w:marRight w:val="0"/>
          <w:marTop w:val="0"/>
          <w:marBottom w:val="0"/>
          <w:divBdr>
            <w:top w:val="none" w:sz="0" w:space="0" w:color="auto"/>
            <w:left w:val="none" w:sz="0" w:space="0" w:color="auto"/>
            <w:bottom w:val="none" w:sz="0" w:space="0" w:color="auto"/>
            <w:right w:val="none" w:sz="0" w:space="0" w:color="auto"/>
          </w:divBdr>
        </w:div>
        <w:div w:id="1340279915">
          <w:marLeft w:val="0"/>
          <w:marRight w:val="0"/>
          <w:marTop w:val="0"/>
          <w:marBottom w:val="0"/>
          <w:divBdr>
            <w:top w:val="none" w:sz="0" w:space="0" w:color="auto"/>
            <w:left w:val="none" w:sz="0" w:space="0" w:color="auto"/>
            <w:bottom w:val="none" w:sz="0" w:space="0" w:color="auto"/>
            <w:right w:val="none" w:sz="0" w:space="0" w:color="auto"/>
          </w:divBdr>
        </w:div>
        <w:div w:id="1710109703">
          <w:marLeft w:val="0"/>
          <w:marRight w:val="0"/>
          <w:marTop w:val="0"/>
          <w:marBottom w:val="0"/>
          <w:divBdr>
            <w:top w:val="none" w:sz="0" w:space="0" w:color="auto"/>
            <w:left w:val="none" w:sz="0" w:space="0" w:color="auto"/>
            <w:bottom w:val="none" w:sz="0" w:space="0" w:color="auto"/>
            <w:right w:val="none" w:sz="0" w:space="0" w:color="auto"/>
          </w:divBdr>
        </w:div>
        <w:div w:id="1948543749">
          <w:marLeft w:val="0"/>
          <w:marRight w:val="0"/>
          <w:marTop w:val="0"/>
          <w:marBottom w:val="0"/>
          <w:divBdr>
            <w:top w:val="none" w:sz="0" w:space="0" w:color="auto"/>
            <w:left w:val="none" w:sz="0" w:space="0" w:color="auto"/>
            <w:bottom w:val="none" w:sz="0" w:space="0" w:color="auto"/>
            <w:right w:val="none" w:sz="0" w:space="0" w:color="auto"/>
          </w:divBdr>
        </w:div>
        <w:div w:id="2015721613">
          <w:marLeft w:val="0"/>
          <w:marRight w:val="0"/>
          <w:marTop w:val="0"/>
          <w:marBottom w:val="0"/>
          <w:divBdr>
            <w:top w:val="none" w:sz="0" w:space="0" w:color="auto"/>
            <w:left w:val="none" w:sz="0" w:space="0" w:color="auto"/>
            <w:bottom w:val="none" w:sz="0" w:space="0" w:color="auto"/>
            <w:right w:val="none" w:sz="0" w:space="0" w:color="auto"/>
          </w:divBdr>
        </w:div>
      </w:divsChild>
    </w:div>
    <w:div w:id="1643197928">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sChild>
        <w:div w:id="322129641">
          <w:marLeft w:val="0"/>
          <w:marRight w:val="0"/>
          <w:marTop w:val="0"/>
          <w:marBottom w:val="0"/>
          <w:divBdr>
            <w:top w:val="none" w:sz="0" w:space="0" w:color="auto"/>
            <w:left w:val="none" w:sz="0" w:space="0" w:color="auto"/>
            <w:bottom w:val="none" w:sz="0" w:space="0" w:color="auto"/>
            <w:right w:val="none" w:sz="0" w:space="0" w:color="auto"/>
          </w:divBdr>
        </w:div>
        <w:div w:id="708922208">
          <w:marLeft w:val="0"/>
          <w:marRight w:val="0"/>
          <w:marTop w:val="0"/>
          <w:marBottom w:val="0"/>
          <w:divBdr>
            <w:top w:val="none" w:sz="0" w:space="0" w:color="auto"/>
            <w:left w:val="none" w:sz="0" w:space="0" w:color="auto"/>
            <w:bottom w:val="none" w:sz="0" w:space="0" w:color="auto"/>
            <w:right w:val="none" w:sz="0" w:space="0" w:color="auto"/>
          </w:divBdr>
        </w:div>
        <w:div w:id="1067189088">
          <w:marLeft w:val="0"/>
          <w:marRight w:val="0"/>
          <w:marTop w:val="0"/>
          <w:marBottom w:val="0"/>
          <w:divBdr>
            <w:top w:val="none" w:sz="0" w:space="0" w:color="auto"/>
            <w:left w:val="none" w:sz="0" w:space="0" w:color="auto"/>
            <w:bottom w:val="none" w:sz="0" w:space="0" w:color="auto"/>
            <w:right w:val="none" w:sz="0" w:space="0" w:color="auto"/>
          </w:divBdr>
        </w:div>
        <w:div w:id="1982227587">
          <w:marLeft w:val="0"/>
          <w:marRight w:val="0"/>
          <w:marTop w:val="0"/>
          <w:marBottom w:val="0"/>
          <w:divBdr>
            <w:top w:val="none" w:sz="0" w:space="0" w:color="auto"/>
            <w:left w:val="none" w:sz="0" w:space="0" w:color="auto"/>
            <w:bottom w:val="none" w:sz="0" w:space="0" w:color="auto"/>
            <w:right w:val="none" w:sz="0" w:space="0" w:color="auto"/>
          </w:divBdr>
        </w:div>
      </w:divsChild>
    </w:div>
    <w:div w:id="1674993942">
      <w:bodyDiv w:val="1"/>
      <w:marLeft w:val="0"/>
      <w:marRight w:val="0"/>
      <w:marTop w:val="0"/>
      <w:marBottom w:val="0"/>
      <w:divBdr>
        <w:top w:val="none" w:sz="0" w:space="0" w:color="auto"/>
        <w:left w:val="none" w:sz="0" w:space="0" w:color="auto"/>
        <w:bottom w:val="none" w:sz="0" w:space="0" w:color="auto"/>
        <w:right w:val="none" w:sz="0" w:space="0" w:color="auto"/>
      </w:divBdr>
    </w:div>
    <w:div w:id="1686402289">
      <w:bodyDiv w:val="1"/>
      <w:marLeft w:val="0"/>
      <w:marRight w:val="0"/>
      <w:marTop w:val="0"/>
      <w:marBottom w:val="0"/>
      <w:divBdr>
        <w:top w:val="none" w:sz="0" w:space="0" w:color="auto"/>
        <w:left w:val="none" w:sz="0" w:space="0" w:color="auto"/>
        <w:bottom w:val="none" w:sz="0" w:space="0" w:color="auto"/>
        <w:right w:val="none" w:sz="0" w:space="0" w:color="auto"/>
      </w:divBdr>
    </w:div>
    <w:div w:id="1736194618">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801802445">
      <w:bodyDiv w:val="1"/>
      <w:marLeft w:val="0"/>
      <w:marRight w:val="0"/>
      <w:marTop w:val="0"/>
      <w:marBottom w:val="0"/>
      <w:divBdr>
        <w:top w:val="none" w:sz="0" w:space="0" w:color="auto"/>
        <w:left w:val="none" w:sz="0" w:space="0" w:color="auto"/>
        <w:bottom w:val="none" w:sz="0" w:space="0" w:color="auto"/>
        <w:right w:val="none" w:sz="0" w:space="0" w:color="auto"/>
      </w:divBdr>
      <w:divsChild>
        <w:div w:id="122314476">
          <w:marLeft w:val="0"/>
          <w:marRight w:val="0"/>
          <w:marTop w:val="0"/>
          <w:marBottom w:val="0"/>
          <w:divBdr>
            <w:top w:val="none" w:sz="0" w:space="0" w:color="auto"/>
            <w:left w:val="none" w:sz="0" w:space="0" w:color="auto"/>
            <w:bottom w:val="none" w:sz="0" w:space="0" w:color="auto"/>
            <w:right w:val="none" w:sz="0" w:space="0" w:color="auto"/>
          </w:divBdr>
        </w:div>
        <w:div w:id="377437445">
          <w:marLeft w:val="0"/>
          <w:marRight w:val="0"/>
          <w:marTop w:val="0"/>
          <w:marBottom w:val="0"/>
          <w:divBdr>
            <w:top w:val="none" w:sz="0" w:space="0" w:color="auto"/>
            <w:left w:val="none" w:sz="0" w:space="0" w:color="auto"/>
            <w:bottom w:val="none" w:sz="0" w:space="0" w:color="auto"/>
            <w:right w:val="none" w:sz="0" w:space="0" w:color="auto"/>
          </w:divBdr>
        </w:div>
        <w:div w:id="1289703236">
          <w:marLeft w:val="0"/>
          <w:marRight w:val="0"/>
          <w:marTop w:val="0"/>
          <w:marBottom w:val="0"/>
          <w:divBdr>
            <w:top w:val="none" w:sz="0" w:space="0" w:color="auto"/>
            <w:left w:val="none" w:sz="0" w:space="0" w:color="auto"/>
            <w:bottom w:val="none" w:sz="0" w:space="0" w:color="auto"/>
            <w:right w:val="none" w:sz="0" w:space="0" w:color="auto"/>
          </w:divBdr>
        </w:div>
        <w:div w:id="1379276768">
          <w:marLeft w:val="0"/>
          <w:marRight w:val="0"/>
          <w:marTop w:val="0"/>
          <w:marBottom w:val="0"/>
          <w:divBdr>
            <w:top w:val="none" w:sz="0" w:space="0" w:color="auto"/>
            <w:left w:val="none" w:sz="0" w:space="0" w:color="auto"/>
            <w:bottom w:val="none" w:sz="0" w:space="0" w:color="auto"/>
            <w:right w:val="none" w:sz="0" w:space="0" w:color="auto"/>
          </w:divBdr>
        </w:div>
        <w:div w:id="1842965030">
          <w:marLeft w:val="0"/>
          <w:marRight w:val="0"/>
          <w:marTop w:val="0"/>
          <w:marBottom w:val="0"/>
          <w:divBdr>
            <w:top w:val="none" w:sz="0" w:space="0" w:color="auto"/>
            <w:left w:val="none" w:sz="0" w:space="0" w:color="auto"/>
            <w:bottom w:val="none" w:sz="0" w:space="0" w:color="auto"/>
            <w:right w:val="none" w:sz="0" w:space="0" w:color="auto"/>
          </w:divBdr>
        </w:div>
        <w:div w:id="2001695535">
          <w:marLeft w:val="0"/>
          <w:marRight w:val="0"/>
          <w:marTop w:val="0"/>
          <w:marBottom w:val="0"/>
          <w:divBdr>
            <w:top w:val="none" w:sz="0" w:space="0" w:color="auto"/>
            <w:left w:val="none" w:sz="0" w:space="0" w:color="auto"/>
            <w:bottom w:val="none" w:sz="0" w:space="0" w:color="auto"/>
            <w:right w:val="none" w:sz="0" w:space="0" w:color="auto"/>
          </w:divBdr>
        </w:div>
        <w:div w:id="2116821788">
          <w:marLeft w:val="0"/>
          <w:marRight w:val="0"/>
          <w:marTop w:val="0"/>
          <w:marBottom w:val="0"/>
          <w:divBdr>
            <w:top w:val="none" w:sz="0" w:space="0" w:color="auto"/>
            <w:left w:val="none" w:sz="0" w:space="0" w:color="auto"/>
            <w:bottom w:val="none" w:sz="0" w:space="0" w:color="auto"/>
            <w:right w:val="none" w:sz="0" w:space="0" w:color="auto"/>
          </w:divBdr>
        </w:div>
      </w:divsChild>
    </w:div>
    <w:div w:id="1818380386">
      <w:bodyDiv w:val="1"/>
      <w:marLeft w:val="0"/>
      <w:marRight w:val="0"/>
      <w:marTop w:val="0"/>
      <w:marBottom w:val="0"/>
      <w:divBdr>
        <w:top w:val="none" w:sz="0" w:space="0" w:color="auto"/>
        <w:left w:val="none" w:sz="0" w:space="0" w:color="auto"/>
        <w:bottom w:val="none" w:sz="0" w:space="0" w:color="auto"/>
        <w:right w:val="none" w:sz="0" w:space="0" w:color="auto"/>
      </w:divBdr>
    </w:div>
    <w:div w:id="1855072693">
      <w:bodyDiv w:val="1"/>
      <w:marLeft w:val="0"/>
      <w:marRight w:val="0"/>
      <w:marTop w:val="0"/>
      <w:marBottom w:val="0"/>
      <w:divBdr>
        <w:top w:val="none" w:sz="0" w:space="0" w:color="auto"/>
        <w:left w:val="none" w:sz="0" w:space="0" w:color="auto"/>
        <w:bottom w:val="none" w:sz="0" w:space="0" w:color="auto"/>
        <w:right w:val="none" w:sz="0" w:space="0" w:color="auto"/>
      </w:divBdr>
    </w:div>
    <w:div w:id="1857763900">
      <w:bodyDiv w:val="1"/>
      <w:marLeft w:val="0"/>
      <w:marRight w:val="0"/>
      <w:marTop w:val="0"/>
      <w:marBottom w:val="0"/>
      <w:divBdr>
        <w:top w:val="none" w:sz="0" w:space="0" w:color="auto"/>
        <w:left w:val="none" w:sz="0" w:space="0" w:color="auto"/>
        <w:bottom w:val="none" w:sz="0" w:space="0" w:color="auto"/>
        <w:right w:val="none" w:sz="0" w:space="0" w:color="auto"/>
      </w:divBdr>
      <w:divsChild>
        <w:div w:id="12270617">
          <w:marLeft w:val="0"/>
          <w:marRight w:val="0"/>
          <w:marTop w:val="0"/>
          <w:marBottom w:val="0"/>
          <w:divBdr>
            <w:top w:val="none" w:sz="0" w:space="0" w:color="auto"/>
            <w:left w:val="none" w:sz="0" w:space="0" w:color="auto"/>
            <w:bottom w:val="none" w:sz="0" w:space="0" w:color="auto"/>
            <w:right w:val="none" w:sz="0" w:space="0" w:color="auto"/>
          </w:divBdr>
        </w:div>
        <w:div w:id="310722051">
          <w:marLeft w:val="0"/>
          <w:marRight w:val="0"/>
          <w:marTop w:val="0"/>
          <w:marBottom w:val="0"/>
          <w:divBdr>
            <w:top w:val="none" w:sz="0" w:space="0" w:color="auto"/>
            <w:left w:val="none" w:sz="0" w:space="0" w:color="auto"/>
            <w:bottom w:val="none" w:sz="0" w:space="0" w:color="auto"/>
            <w:right w:val="none" w:sz="0" w:space="0" w:color="auto"/>
          </w:divBdr>
        </w:div>
        <w:div w:id="554467299">
          <w:marLeft w:val="0"/>
          <w:marRight w:val="0"/>
          <w:marTop w:val="0"/>
          <w:marBottom w:val="0"/>
          <w:divBdr>
            <w:top w:val="none" w:sz="0" w:space="0" w:color="auto"/>
            <w:left w:val="none" w:sz="0" w:space="0" w:color="auto"/>
            <w:bottom w:val="none" w:sz="0" w:space="0" w:color="auto"/>
            <w:right w:val="none" w:sz="0" w:space="0" w:color="auto"/>
          </w:divBdr>
        </w:div>
        <w:div w:id="1237009209">
          <w:marLeft w:val="0"/>
          <w:marRight w:val="0"/>
          <w:marTop w:val="0"/>
          <w:marBottom w:val="0"/>
          <w:divBdr>
            <w:top w:val="none" w:sz="0" w:space="0" w:color="auto"/>
            <w:left w:val="none" w:sz="0" w:space="0" w:color="auto"/>
            <w:bottom w:val="none" w:sz="0" w:space="0" w:color="auto"/>
            <w:right w:val="none" w:sz="0" w:space="0" w:color="auto"/>
          </w:divBdr>
        </w:div>
        <w:div w:id="1539855429">
          <w:marLeft w:val="0"/>
          <w:marRight w:val="0"/>
          <w:marTop w:val="0"/>
          <w:marBottom w:val="0"/>
          <w:divBdr>
            <w:top w:val="none" w:sz="0" w:space="0" w:color="auto"/>
            <w:left w:val="none" w:sz="0" w:space="0" w:color="auto"/>
            <w:bottom w:val="none" w:sz="0" w:space="0" w:color="auto"/>
            <w:right w:val="none" w:sz="0" w:space="0" w:color="auto"/>
          </w:divBdr>
        </w:div>
      </w:divsChild>
    </w:div>
    <w:div w:id="1871651370">
      <w:bodyDiv w:val="1"/>
      <w:marLeft w:val="0"/>
      <w:marRight w:val="0"/>
      <w:marTop w:val="0"/>
      <w:marBottom w:val="0"/>
      <w:divBdr>
        <w:top w:val="none" w:sz="0" w:space="0" w:color="auto"/>
        <w:left w:val="none" w:sz="0" w:space="0" w:color="auto"/>
        <w:bottom w:val="none" w:sz="0" w:space="0" w:color="auto"/>
        <w:right w:val="none" w:sz="0" w:space="0" w:color="auto"/>
      </w:divBdr>
      <w:divsChild>
        <w:div w:id="1519198954">
          <w:marLeft w:val="0"/>
          <w:marRight w:val="0"/>
          <w:marTop w:val="0"/>
          <w:marBottom w:val="0"/>
          <w:divBdr>
            <w:top w:val="none" w:sz="0" w:space="0" w:color="auto"/>
            <w:left w:val="none" w:sz="0" w:space="0" w:color="auto"/>
            <w:bottom w:val="none" w:sz="0" w:space="0" w:color="auto"/>
            <w:right w:val="none" w:sz="0" w:space="0" w:color="auto"/>
          </w:divBdr>
        </w:div>
        <w:div w:id="1531256636">
          <w:marLeft w:val="0"/>
          <w:marRight w:val="0"/>
          <w:marTop w:val="0"/>
          <w:marBottom w:val="0"/>
          <w:divBdr>
            <w:top w:val="none" w:sz="0" w:space="0" w:color="auto"/>
            <w:left w:val="none" w:sz="0" w:space="0" w:color="auto"/>
            <w:bottom w:val="none" w:sz="0" w:space="0" w:color="auto"/>
            <w:right w:val="none" w:sz="0" w:space="0" w:color="auto"/>
          </w:divBdr>
        </w:div>
        <w:div w:id="1943343688">
          <w:marLeft w:val="0"/>
          <w:marRight w:val="0"/>
          <w:marTop w:val="0"/>
          <w:marBottom w:val="0"/>
          <w:divBdr>
            <w:top w:val="none" w:sz="0" w:space="0" w:color="auto"/>
            <w:left w:val="none" w:sz="0" w:space="0" w:color="auto"/>
            <w:bottom w:val="none" w:sz="0" w:space="0" w:color="auto"/>
            <w:right w:val="none" w:sz="0" w:space="0" w:color="auto"/>
          </w:divBdr>
        </w:div>
      </w:divsChild>
    </w:div>
    <w:div w:id="1892958203">
      <w:bodyDiv w:val="1"/>
      <w:marLeft w:val="0"/>
      <w:marRight w:val="0"/>
      <w:marTop w:val="0"/>
      <w:marBottom w:val="0"/>
      <w:divBdr>
        <w:top w:val="none" w:sz="0" w:space="0" w:color="auto"/>
        <w:left w:val="none" w:sz="0" w:space="0" w:color="auto"/>
        <w:bottom w:val="none" w:sz="0" w:space="0" w:color="auto"/>
        <w:right w:val="none" w:sz="0" w:space="0" w:color="auto"/>
      </w:divBdr>
    </w:div>
    <w:div w:id="1902248352">
      <w:bodyDiv w:val="1"/>
      <w:marLeft w:val="0"/>
      <w:marRight w:val="0"/>
      <w:marTop w:val="0"/>
      <w:marBottom w:val="0"/>
      <w:divBdr>
        <w:top w:val="none" w:sz="0" w:space="0" w:color="auto"/>
        <w:left w:val="none" w:sz="0" w:space="0" w:color="auto"/>
        <w:bottom w:val="none" w:sz="0" w:space="0" w:color="auto"/>
        <w:right w:val="none" w:sz="0" w:space="0" w:color="auto"/>
      </w:divBdr>
    </w:div>
    <w:div w:id="1930112891">
      <w:bodyDiv w:val="1"/>
      <w:marLeft w:val="0"/>
      <w:marRight w:val="0"/>
      <w:marTop w:val="0"/>
      <w:marBottom w:val="0"/>
      <w:divBdr>
        <w:top w:val="none" w:sz="0" w:space="0" w:color="auto"/>
        <w:left w:val="none" w:sz="0" w:space="0" w:color="auto"/>
        <w:bottom w:val="none" w:sz="0" w:space="0" w:color="auto"/>
        <w:right w:val="none" w:sz="0" w:space="0" w:color="auto"/>
      </w:divBdr>
    </w:div>
    <w:div w:id="1978871685">
      <w:bodyDiv w:val="1"/>
      <w:marLeft w:val="0"/>
      <w:marRight w:val="0"/>
      <w:marTop w:val="0"/>
      <w:marBottom w:val="0"/>
      <w:divBdr>
        <w:top w:val="none" w:sz="0" w:space="0" w:color="auto"/>
        <w:left w:val="none" w:sz="0" w:space="0" w:color="auto"/>
        <w:bottom w:val="none" w:sz="0" w:space="0" w:color="auto"/>
        <w:right w:val="none" w:sz="0" w:space="0" w:color="auto"/>
      </w:divBdr>
    </w:div>
    <w:div w:id="2055499116">
      <w:bodyDiv w:val="1"/>
      <w:marLeft w:val="0"/>
      <w:marRight w:val="0"/>
      <w:marTop w:val="0"/>
      <w:marBottom w:val="0"/>
      <w:divBdr>
        <w:top w:val="none" w:sz="0" w:space="0" w:color="auto"/>
        <w:left w:val="none" w:sz="0" w:space="0" w:color="auto"/>
        <w:bottom w:val="none" w:sz="0" w:space="0" w:color="auto"/>
        <w:right w:val="none" w:sz="0" w:space="0" w:color="auto"/>
      </w:divBdr>
    </w:div>
    <w:div w:id="2066639629">
      <w:bodyDiv w:val="1"/>
      <w:marLeft w:val="0"/>
      <w:marRight w:val="0"/>
      <w:marTop w:val="0"/>
      <w:marBottom w:val="0"/>
      <w:divBdr>
        <w:top w:val="none" w:sz="0" w:space="0" w:color="auto"/>
        <w:left w:val="none" w:sz="0" w:space="0" w:color="auto"/>
        <w:bottom w:val="none" w:sz="0" w:space="0" w:color="auto"/>
        <w:right w:val="none" w:sz="0" w:space="0" w:color="auto"/>
      </w:divBdr>
    </w:div>
    <w:div w:id="2096976996">
      <w:bodyDiv w:val="1"/>
      <w:marLeft w:val="0"/>
      <w:marRight w:val="0"/>
      <w:marTop w:val="0"/>
      <w:marBottom w:val="0"/>
      <w:divBdr>
        <w:top w:val="none" w:sz="0" w:space="0" w:color="auto"/>
        <w:left w:val="none" w:sz="0" w:space="0" w:color="auto"/>
        <w:bottom w:val="none" w:sz="0" w:space="0" w:color="auto"/>
        <w:right w:val="none" w:sz="0" w:space="0" w:color="auto"/>
      </w:divBdr>
      <w:divsChild>
        <w:div w:id="2035959786">
          <w:marLeft w:val="0"/>
          <w:marRight w:val="0"/>
          <w:marTop w:val="0"/>
          <w:marBottom w:val="0"/>
          <w:divBdr>
            <w:top w:val="none" w:sz="0" w:space="0" w:color="auto"/>
            <w:left w:val="none" w:sz="0" w:space="0" w:color="auto"/>
            <w:bottom w:val="none" w:sz="0" w:space="0" w:color="auto"/>
            <w:right w:val="none" w:sz="0" w:space="0" w:color="auto"/>
          </w:divBdr>
        </w:div>
      </w:divsChild>
    </w:div>
    <w:div w:id="2107723366">
      <w:bodyDiv w:val="1"/>
      <w:marLeft w:val="0"/>
      <w:marRight w:val="0"/>
      <w:marTop w:val="0"/>
      <w:marBottom w:val="0"/>
      <w:divBdr>
        <w:top w:val="none" w:sz="0" w:space="0" w:color="auto"/>
        <w:left w:val="none" w:sz="0" w:space="0" w:color="auto"/>
        <w:bottom w:val="none" w:sz="0" w:space="0" w:color="auto"/>
        <w:right w:val="none" w:sz="0" w:space="0" w:color="auto"/>
      </w:divBdr>
    </w:div>
    <w:div w:id="2123959644">
      <w:bodyDiv w:val="1"/>
      <w:marLeft w:val="0"/>
      <w:marRight w:val="0"/>
      <w:marTop w:val="0"/>
      <w:marBottom w:val="0"/>
      <w:divBdr>
        <w:top w:val="none" w:sz="0" w:space="0" w:color="auto"/>
        <w:left w:val="none" w:sz="0" w:space="0" w:color="auto"/>
        <w:bottom w:val="none" w:sz="0" w:space="0" w:color="auto"/>
        <w:right w:val="none" w:sz="0" w:space="0" w:color="auto"/>
      </w:divBdr>
      <w:divsChild>
        <w:div w:id="923491551">
          <w:marLeft w:val="0"/>
          <w:marRight w:val="0"/>
          <w:marTop w:val="0"/>
          <w:marBottom w:val="0"/>
          <w:divBdr>
            <w:top w:val="none" w:sz="0" w:space="0" w:color="auto"/>
            <w:left w:val="none" w:sz="0" w:space="0" w:color="auto"/>
            <w:bottom w:val="none" w:sz="0" w:space="0" w:color="auto"/>
            <w:right w:val="none" w:sz="0" w:space="0" w:color="auto"/>
          </w:divBdr>
        </w:div>
        <w:div w:id="206451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humanrights.gov.au/our-work/sex-discrimination/publications/respectwork-sexual-harassment-national-inquiry-report-2020" TargetMode="External"/><Relationship Id="rId2" Type="http://schemas.openxmlformats.org/officeDocument/2006/relationships/hyperlink" Target="https://legislation.act.gov.au/b/db_70496/" TargetMode="External"/><Relationship Id="rId1" Type="http://schemas.openxmlformats.org/officeDocument/2006/relationships/hyperlink" Target="https://www.parliament.act.gov.au/__data/assets/pdf_file/0009/2551329/Committee-report-Estimates-2024-2025.pdf" TargetMode="External"/><Relationship Id="rId6" Type="http://schemas.openxmlformats.org/officeDocument/2006/relationships/hyperlink" Target="https://www.worksafe.act.gov.au/health-and-safety-portal/safety-topics/psychosocial-hazards/workplace-sexual-assault" TargetMode="External"/><Relationship Id="rId5" Type="http://schemas.openxmlformats.org/officeDocument/2006/relationships/hyperlink" Target="https://www.act.gov.au/__data/assets/pdf_file/0020/2390204/Listen-Take-Action-to-Prevent-Believe-and-Heal.pdf" TargetMode="External"/><Relationship Id="rId4" Type="http://schemas.openxmlformats.org/officeDocument/2006/relationships/hyperlink" Target="https://www.legislation.act.gov.au/ni/2024-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714FF-0763-4AB7-AA06-EEE3A78D4E31}">
  <ds:schemaRefs>
    <ds:schemaRef ds:uri="http://schemas.openxmlformats.org/officeDocument/2006/bibliography"/>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C571CA84-280E-473D-A108-30EC47F9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40376</Characters>
  <Application>Microsoft Office Word</Application>
  <DocSecurity>0</DocSecurity>
  <Lines>807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2025-09-08T01:52:00Z</dcterms:created>
  <dcterms:modified xsi:type="dcterms:W3CDTF">2025-09-08T01:52:00Z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