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432427" w:rsidRDefault="00E90DF9" w:rsidP="00E90DF9">
      <w:pPr>
        <w:spacing w:after="0"/>
        <w:rPr>
          <w:rFonts w:cs="Arial"/>
          <w:b/>
          <w:i w:val="0"/>
        </w:rPr>
      </w:pPr>
    </w:p>
    <w:p w14:paraId="5C6C9ECA" w14:textId="5B182E04" w:rsidR="00E90DF9" w:rsidRPr="00432427" w:rsidRDefault="00E90DF9" w:rsidP="00E90DF9">
      <w:pPr>
        <w:spacing w:after="0"/>
        <w:jc w:val="center"/>
        <w:rPr>
          <w:rFonts w:cs="Arial"/>
          <w:b/>
          <w:i w:val="0"/>
        </w:rPr>
      </w:pPr>
      <w:r w:rsidRPr="00432427">
        <w:rPr>
          <w:rFonts w:cs="Arial"/>
          <w:b/>
          <w:i w:val="0"/>
        </w:rPr>
        <w:t>202</w:t>
      </w:r>
      <w:r w:rsidR="00911EB6" w:rsidRPr="00432427">
        <w:rPr>
          <w:rFonts w:cs="Arial"/>
          <w:b/>
          <w:i w:val="0"/>
        </w:rPr>
        <w:t>5</w:t>
      </w:r>
    </w:p>
    <w:p w14:paraId="4E149149" w14:textId="77777777" w:rsidR="00E90DF9" w:rsidRPr="00432427" w:rsidRDefault="00E90DF9" w:rsidP="00E90DF9">
      <w:pPr>
        <w:spacing w:after="0"/>
        <w:jc w:val="center"/>
        <w:rPr>
          <w:rFonts w:cs="Arial"/>
          <w:b/>
          <w:i w:val="0"/>
        </w:rPr>
      </w:pPr>
    </w:p>
    <w:p w14:paraId="06167890" w14:textId="77777777" w:rsidR="00E90DF9" w:rsidRPr="00432427" w:rsidRDefault="00E90DF9" w:rsidP="00E90DF9">
      <w:pPr>
        <w:spacing w:after="0"/>
        <w:jc w:val="center"/>
        <w:rPr>
          <w:rFonts w:cs="Arial"/>
          <w:b/>
          <w:i w:val="0"/>
        </w:rPr>
      </w:pPr>
    </w:p>
    <w:p w14:paraId="271BD407" w14:textId="28D3352B" w:rsidR="00E90DF9" w:rsidRPr="00432427" w:rsidRDefault="005A72C2" w:rsidP="00E90DF9">
      <w:pPr>
        <w:spacing w:after="0"/>
        <w:jc w:val="center"/>
        <w:rPr>
          <w:rFonts w:cs="Arial"/>
          <w:b/>
          <w:i w:val="0"/>
        </w:rPr>
      </w:pPr>
      <w:r w:rsidRPr="00432427">
        <w:rPr>
          <w:rFonts w:cs="Arial"/>
          <w:b/>
          <w:i w:val="0"/>
        </w:rPr>
        <w:t xml:space="preserve"> </w:t>
      </w:r>
    </w:p>
    <w:p w14:paraId="71A1CE5B" w14:textId="77777777" w:rsidR="00E90DF9" w:rsidRPr="00432427" w:rsidRDefault="00E90DF9" w:rsidP="00E90DF9">
      <w:pPr>
        <w:spacing w:after="0"/>
        <w:jc w:val="center"/>
        <w:rPr>
          <w:rFonts w:cs="Arial"/>
          <w:b/>
          <w:i w:val="0"/>
        </w:rPr>
      </w:pPr>
    </w:p>
    <w:p w14:paraId="677673A4" w14:textId="77777777" w:rsidR="00E90DF9" w:rsidRPr="00432427" w:rsidRDefault="00E90DF9" w:rsidP="00E90DF9">
      <w:pPr>
        <w:spacing w:after="0"/>
        <w:jc w:val="center"/>
        <w:rPr>
          <w:rFonts w:cs="Arial"/>
          <w:b/>
          <w:i w:val="0"/>
        </w:rPr>
      </w:pPr>
    </w:p>
    <w:p w14:paraId="463F3AB6" w14:textId="77777777" w:rsidR="00E90DF9" w:rsidRPr="00432427" w:rsidRDefault="00E90DF9" w:rsidP="00E90DF9">
      <w:pPr>
        <w:spacing w:after="0"/>
        <w:jc w:val="center"/>
        <w:rPr>
          <w:rFonts w:cs="Arial"/>
          <w:b/>
          <w:i w:val="0"/>
        </w:rPr>
      </w:pPr>
    </w:p>
    <w:p w14:paraId="02BC33AF" w14:textId="77777777" w:rsidR="00E90DF9" w:rsidRPr="00432427" w:rsidRDefault="00E90DF9" w:rsidP="00E90DF9">
      <w:pPr>
        <w:spacing w:after="0"/>
        <w:jc w:val="center"/>
        <w:rPr>
          <w:rFonts w:cs="Arial"/>
          <w:b/>
          <w:i w:val="0"/>
        </w:rPr>
      </w:pPr>
      <w:r w:rsidRPr="00432427">
        <w:rPr>
          <w:rFonts w:cs="Arial"/>
          <w:b/>
          <w:i w:val="0"/>
        </w:rPr>
        <w:t>THE LEGISLATIVE ASSEMBLY FOR THE</w:t>
      </w:r>
    </w:p>
    <w:p w14:paraId="091772B4" w14:textId="77777777" w:rsidR="00E90DF9" w:rsidRPr="00432427" w:rsidRDefault="00E90DF9" w:rsidP="00E90DF9">
      <w:pPr>
        <w:spacing w:after="0"/>
        <w:jc w:val="center"/>
        <w:rPr>
          <w:rFonts w:cs="Arial"/>
          <w:b/>
          <w:i w:val="0"/>
        </w:rPr>
      </w:pPr>
      <w:r w:rsidRPr="00432427">
        <w:rPr>
          <w:rFonts w:cs="Arial"/>
          <w:b/>
          <w:i w:val="0"/>
        </w:rPr>
        <w:t>AUSTRALIAN CAPITAL TERRITORY</w:t>
      </w:r>
    </w:p>
    <w:p w14:paraId="63982AB9" w14:textId="77777777" w:rsidR="00E90DF9" w:rsidRPr="00432427" w:rsidRDefault="00E90DF9" w:rsidP="00E90DF9">
      <w:pPr>
        <w:spacing w:after="0"/>
        <w:jc w:val="center"/>
        <w:rPr>
          <w:rFonts w:cs="Arial"/>
          <w:b/>
          <w:i w:val="0"/>
        </w:rPr>
      </w:pPr>
    </w:p>
    <w:p w14:paraId="5FABE90A" w14:textId="77777777" w:rsidR="00E90DF9" w:rsidRPr="00432427" w:rsidRDefault="00E90DF9" w:rsidP="00E90DF9">
      <w:pPr>
        <w:spacing w:after="0"/>
        <w:jc w:val="center"/>
        <w:rPr>
          <w:rFonts w:cs="Arial"/>
          <w:b/>
          <w:i w:val="0"/>
        </w:rPr>
      </w:pPr>
    </w:p>
    <w:p w14:paraId="6118207D" w14:textId="77777777" w:rsidR="00E90DF9" w:rsidRPr="00432427" w:rsidRDefault="00E90DF9" w:rsidP="00E90DF9">
      <w:pPr>
        <w:spacing w:after="0"/>
        <w:jc w:val="center"/>
        <w:rPr>
          <w:rFonts w:cs="Arial"/>
          <w:b/>
          <w:i w:val="0"/>
        </w:rPr>
      </w:pPr>
    </w:p>
    <w:p w14:paraId="75A33EE9" w14:textId="4095B364" w:rsidR="00E90DF9" w:rsidRPr="00432427" w:rsidRDefault="009E0822" w:rsidP="00E90DF9">
      <w:pPr>
        <w:spacing w:after="0"/>
        <w:jc w:val="center"/>
        <w:rPr>
          <w:rFonts w:cs="Arial"/>
          <w:b/>
          <w:i w:val="0"/>
        </w:rPr>
      </w:pPr>
      <w:r w:rsidRPr="00432427">
        <w:rPr>
          <w:rFonts w:cs="Arial"/>
          <w:b/>
          <w:i w:val="0"/>
        </w:rPr>
        <w:t>ELEV</w:t>
      </w:r>
      <w:r w:rsidR="00E90DF9" w:rsidRPr="00432427">
        <w:rPr>
          <w:rFonts w:cs="Arial"/>
          <w:b/>
          <w:i w:val="0"/>
        </w:rPr>
        <w:t>ENTH ASSEMBLY</w:t>
      </w:r>
    </w:p>
    <w:p w14:paraId="12B1793E" w14:textId="77777777" w:rsidR="00E90DF9" w:rsidRPr="00432427" w:rsidRDefault="00E90DF9" w:rsidP="00E90DF9">
      <w:pPr>
        <w:spacing w:after="0"/>
        <w:jc w:val="center"/>
        <w:rPr>
          <w:rFonts w:cs="Arial"/>
          <w:b/>
          <w:i w:val="0"/>
        </w:rPr>
      </w:pPr>
    </w:p>
    <w:p w14:paraId="3D84F818" w14:textId="77777777" w:rsidR="00E90DF9" w:rsidRPr="00432427" w:rsidRDefault="00E90DF9" w:rsidP="00E90DF9">
      <w:pPr>
        <w:spacing w:after="0"/>
        <w:jc w:val="center"/>
        <w:rPr>
          <w:rFonts w:cs="Arial"/>
          <w:b/>
          <w:i w:val="0"/>
        </w:rPr>
      </w:pPr>
    </w:p>
    <w:p w14:paraId="312E8FE1" w14:textId="77777777" w:rsidR="00E90DF9" w:rsidRPr="00432427" w:rsidRDefault="00E90DF9" w:rsidP="00E90DF9">
      <w:pPr>
        <w:spacing w:after="0"/>
        <w:jc w:val="center"/>
        <w:rPr>
          <w:rFonts w:cs="Arial"/>
          <w:b/>
          <w:i w:val="0"/>
        </w:rPr>
      </w:pPr>
    </w:p>
    <w:p w14:paraId="62527870" w14:textId="77777777" w:rsidR="00E90DF9" w:rsidRPr="00432427" w:rsidRDefault="00E90DF9" w:rsidP="00E90DF9">
      <w:pPr>
        <w:spacing w:after="0"/>
        <w:jc w:val="center"/>
        <w:rPr>
          <w:rFonts w:cs="Arial"/>
          <w:b/>
          <w:i w:val="0"/>
        </w:rPr>
      </w:pPr>
    </w:p>
    <w:p w14:paraId="10E34864" w14:textId="77777777" w:rsidR="00E90DF9" w:rsidRPr="00432427" w:rsidRDefault="00E90DF9" w:rsidP="00E90DF9">
      <w:pPr>
        <w:spacing w:after="0"/>
        <w:jc w:val="center"/>
        <w:rPr>
          <w:rFonts w:cs="Arial"/>
          <w:b/>
          <w:i w:val="0"/>
        </w:rPr>
      </w:pPr>
    </w:p>
    <w:p w14:paraId="7A5CE6C9" w14:textId="77777777" w:rsidR="00E90DF9" w:rsidRPr="00432427" w:rsidRDefault="00E90DF9" w:rsidP="00E90DF9">
      <w:pPr>
        <w:spacing w:after="0"/>
        <w:jc w:val="center"/>
        <w:rPr>
          <w:rFonts w:cs="Arial"/>
          <w:b/>
          <w:i w:val="0"/>
        </w:rPr>
      </w:pPr>
    </w:p>
    <w:p w14:paraId="590EB1A4" w14:textId="0D5DD2AA" w:rsidR="00E90DF9" w:rsidRPr="00432427" w:rsidRDefault="007A1518" w:rsidP="00E90DF9">
      <w:pPr>
        <w:spacing w:after="0"/>
        <w:jc w:val="center"/>
        <w:rPr>
          <w:rFonts w:cs="Arial"/>
          <w:b/>
          <w:i w:val="0"/>
        </w:rPr>
      </w:pPr>
      <w:r w:rsidRPr="00432427">
        <w:rPr>
          <w:rFonts w:cs="Arial"/>
          <w:b/>
          <w:i w:val="0"/>
        </w:rPr>
        <w:t>WORKPLACE LEGI</w:t>
      </w:r>
      <w:r w:rsidR="002F2558" w:rsidRPr="00432427">
        <w:rPr>
          <w:rFonts w:cs="Arial"/>
          <w:b/>
          <w:i w:val="0"/>
        </w:rPr>
        <w:t>SLATION AMENDMENT BILL</w:t>
      </w:r>
      <w:r w:rsidR="007E64C8" w:rsidRPr="00432427">
        <w:rPr>
          <w:rFonts w:cs="Arial"/>
          <w:b/>
          <w:i w:val="0"/>
        </w:rPr>
        <w:t xml:space="preserve"> </w:t>
      </w:r>
      <w:r w:rsidR="002F2558" w:rsidRPr="00432427">
        <w:rPr>
          <w:rFonts w:cs="Arial"/>
          <w:b/>
          <w:i w:val="0"/>
        </w:rPr>
        <w:t>2025</w:t>
      </w:r>
      <w:r w:rsidR="00E07DF2" w:rsidRPr="00432427">
        <w:rPr>
          <w:rFonts w:cs="Arial"/>
          <w:b/>
          <w:i w:val="0"/>
        </w:rPr>
        <w:t xml:space="preserve"> (No </w:t>
      </w:r>
      <w:r w:rsidR="00522A82">
        <w:rPr>
          <w:rFonts w:cs="Arial"/>
          <w:b/>
          <w:i w:val="0"/>
        </w:rPr>
        <w:t>3</w:t>
      </w:r>
      <w:r w:rsidR="00E07DF2" w:rsidRPr="00432427">
        <w:rPr>
          <w:rFonts w:cs="Arial"/>
          <w:b/>
          <w:i w:val="0"/>
        </w:rPr>
        <w:t>)</w:t>
      </w:r>
    </w:p>
    <w:p w14:paraId="23C1CDE7" w14:textId="77777777" w:rsidR="00E90DF9" w:rsidRPr="00432427" w:rsidRDefault="00E90DF9" w:rsidP="00E90DF9">
      <w:pPr>
        <w:spacing w:after="0"/>
        <w:jc w:val="center"/>
        <w:rPr>
          <w:rFonts w:cs="Arial"/>
          <w:b/>
          <w:i w:val="0"/>
        </w:rPr>
      </w:pPr>
    </w:p>
    <w:p w14:paraId="5D04CAEB" w14:textId="77777777" w:rsidR="00E90DF9" w:rsidRDefault="00E90DF9" w:rsidP="00E90DF9">
      <w:pPr>
        <w:spacing w:after="0"/>
        <w:jc w:val="center"/>
        <w:rPr>
          <w:rFonts w:cs="Arial"/>
          <w:b/>
          <w:i w:val="0"/>
        </w:rPr>
      </w:pPr>
    </w:p>
    <w:p w14:paraId="70286A35" w14:textId="77777777" w:rsidR="00697E0C" w:rsidRDefault="00697E0C" w:rsidP="00E90DF9">
      <w:pPr>
        <w:spacing w:after="0"/>
        <w:jc w:val="center"/>
        <w:rPr>
          <w:rFonts w:cs="Arial"/>
          <w:b/>
          <w:i w:val="0"/>
        </w:rPr>
      </w:pPr>
    </w:p>
    <w:p w14:paraId="11F49D2C" w14:textId="77777777" w:rsidR="00825B05" w:rsidRPr="00432427" w:rsidRDefault="00825B05" w:rsidP="00E90DF9">
      <w:pPr>
        <w:spacing w:after="0"/>
        <w:jc w:val="center"/>
        <w:rPr>
          <w:rFonts w:cs="Arial"/>
          <w:b/>
          <w:i w:val="0"/>
        </w:rPr>
      </w:pPr>
    </w:p>
    <w:p w14:paraId="664BEC68" w14:textId="1D618A9D" w:rsidR="00E90DF9" w:rsidRPr="00432427" w:rsidRDefault="00200D91" w:rsidP="00E90DF9">
      <w:pPr>
        <w:spacing w:after="0"/>
        <w:jc w:val="center"/>
        <w:rPr>
          <w:rFonts w:cs="Arial"/>
          <w:b/>
          <w:i w:val="0"/>
        </w:rPr>
      </w:pPr>
      <w:r>
        <w:rPr>
          <w:rFonts w:cs="Arial"/>
          <w:b/>
          <w:i w:val="0"/>
        </w:rPr>
        <w:t xml:space="preserve">REVISIONS TO THE </w:t>
      </w:r>
      <w:r w:rsidR="00BD2187" w:rsidRPr="00200D91">
        <w:rPr>
          <w:rFonts w:cs="Arial"/>
          <w:b/>
          <w:i w:val="0"/>
        </w:rPr>
        <w:t xml:space="preserve">REVISED </w:t>
      </w:r>
      <w:r w:rsidR="00E90DF9" w:rsidRPr="00200D91">
        <w:rPr>
          <w:rFonts w:cs="Arial"/>
          <w:b/>
          <w:i w:val="0"/>
        </w:rPr>
        <w:t>EXPLANATORY STATEMENT</w:t>
      </w:r>
      <w:r w:rsidR="00E90DF9" w:rsidRPr="00432427">
        <w:rPr>
          <w:rFonts w:cs="Arial"/>
          <w:b/>
          <w:i w:val="0"/>
        </w:rPr>
        <w:t xml:space="preserve"> </w:t>
      </w:r>
    </w:p>
    <w:p w14:paraId="25C71D31" w14:textId="77777777" w:rsidR="00E90DF9" w:rsidRDefault="00E90DF9" w:rsidP="00E90DF9">
      <w:pPr>
        <w:spacing w:after="0"/>
        <w:jc w:val="center"/>
        <w:rPr>
          <w:rFonts w:cs="Arial"/>
          <w:b/>
          <w:i w:val="0"/>
        </w:rPr>
      </w:pPr>
    </w:p>
    <w:p w14:paraId="27811703" w14:textId="77777777" w:rsidR="00825B05" w:rsidRDefault="00825B05" w:rsidP="00E90DF9">
      <w:pPr>
        <w:spacing w:after="0"/>
        <w:jc w:val="center"/>
        <w:rPr>
          <w:rFonts w:cs="Arial"/>
          <w:b/>
          <w:i w:val="0"/>
        </w:rPr>
      </w:pPr>
    </w:p>
    <w:p w14:paraId="6280D431" w14:textId="77777777" w:rsidR="00825B05" w:rsidRPr="00432427" w:rsidRDefault="00825B05" w:rsidP="00E90DF9">
      <w:pPr>
        <w:spacing w:after="0"/>
        <w:jc w:val="center"/>
        <w:rPr>
          <w:rFonts w:cs="Arial"/>
          <w:b/>
          <w:i w:val="0"/>
        </w:rPr>
      </w:pPr>
    </w:p>
    <w:p w14:paraId="62B7AD27" w14:textId="77777777" w:rsidR="00E90DF9" w:rsidRPr="00432427" w:rsidRDefault="00E90DF9" w:rsidP="00E90DF9">
      <w:pPr>
        <w:spacing w:after="0"/>
        <w:jc w:val="center"/>
        <w:rPr>
          <w:rFonts w:cs="Arial"/>
          <w:b/>
          <w:i w:val="0"/>
        </w:rPr>
      </w:pPr>
    </w:p>
    <w:p w14:paraId="3B7A8E87" w14:textId="77777777" w:rsidR="00E90DF9" w:rsidRPr="00432427" w:rsidRDefault="00E90DF9" w:rsidP="00E90DF9">
      <w:pPr>
        <w:spacing w:after="0"/>
        <w:jc w:val="center"/>
        <w:rPr>
          <w:rFonts w:cs="Arial"/>
          <w:b/>
          <w:i w:val="0"/>
        </w:rPr>
      </w:pPr>
    </w:p>
    <w:p w14:paraId="67BAB751" w14:textId="77777777" w:rsidR="00E90DF9" w:rsidRPr="00432427" w:rsidRDefault="00E90DF9" w:rsidP="00E90DF9">
      <w:pPr>
        <w:spacing w:after="0"/>
        <w:jc w:val="center"/>
        <w:rPr>
          <w:rFonts w:cs="Arial"/>
          <w:b/>
          <w:i w:val="0"/>
        </w:rPr>
      </w:pPr>
    </w:p>
    <w:p w14:paraId="3D25356F" w14:textId="77777777" w:rsidR="00E90DF9" w:rsidRPr="00432427" w:rsidRDefault="00E90DF9" w:rsidP="00E90DF9">
      <w:pPr>
        <w:spacing w:after="0"/>
        <w:jc w:val="center"/>
        <w:rPr>
          <w:rFonts w:cs="Arial"/>
          <w:b/>
          <w:i w:val="0"/>
        </w:rPr>
      </w:pPr>
    </w:p>
    <w:p w14:paraId="5A9A0527" w14:textId="77777777" w:rsidR="00E90DF9" w:rsidRPr="00432427" w:rsidRDefault="00E90DF9" w:rsidP="00E90DF9">
      <w:pPr>
        <w:spacing w:after="0"/>
        <w:jc w:val="center"/>
        <w:rPr>
          <w:rFonts w:cs="Arial"/>
          <w:b/>
          <w:i w:val="0"/>
        </w:rPr>
      </w:pPr>
    </w:p>
    <w:p w14:paraId="4CDC9EA3" w14:textId="77777777" w:rsidR="00E90DF9" w:rsidRPr="00432427" w:rsidRDefault="00E90DF9" w:rsidP="00E90DF9">
      <w:pPr>
        <w:spacing w:after="0"/>
        <w:jc w:val="center"/>
        <w:rPr>
          <w:rFonts w:cs="Arial"/>
          <w:b/>
          <w:i w:val="0"/>
        </w:rPr>
      </w:pPr>
    </w:p>
    <w:p w14:paraId="01179C4F" w14:textId="77777777" w:rsidR="00E90DF9" w:rsidRPr="00432427" w:rsidRDefault="00E90DF9" w:rsidP="00E90DF9">
      <w:pPr>
        <w:keepNext/>
        <w:widowControl w:val="0"/>
        <w:spacing w:after="0"/>
        <w:jc w:val="center"/>
        <w:outlineLvl w:val="7"/>
        <w:rPr>
          <w:rFonts w:cs="Arial"/>
          <w:b/>
          <w:i w:val="0"/>
        </w:rPr>
      </w:pPr>
    </w:p>
    <w:p w14:paraId="01D43C2C" w14:textId="77777777" w:rsidR="00E90DF9" w:rsidRPr="00432427" w:rsidRDefault="00E90DF9" w:rsidP="00E90DF9">
      <w:pPr>
        <w:keepNext/>
        <w:widowControl w:val="0"/>
        <w:spacing w:after="0"/>
        <w:jc w:val="center"/>
        <w:outlineLvl w:val="7"/>
        <w:rPr>
          <w:rFonts w:cs="Arial"/>
          <w:b/>
          <w:i w:val="0"/>
        </w:rPr>
      </w:pPr>
    </w:p>
    <w:p w14:paraId="461523AD" w14:textId="77777777" w:rsidR="00E90DF9" w:rsidRPr="00432427" w:rsidRDefault="00E90DF9" w:rsidP="00E90DF9">
      <w:pPr>
        <w:keepNext/>
        <w:widowControl w:val="0"/>
        <w:spacing w:after="0"/>
        <w:ind w:right="686"/>
        <w:jc w:val="right"/>
        <w:outlineLvl w:val="7"/>
        <w:rPr>
          <w:rFonts w:cs="Arial"/>
          <w:b/>
          <w:i w:val="0"/>
        </w:rPr>
      </w:pPr>
      <w:r w:rsidRPr="00432427">
        <w:rPr>
          <w:rFonts w:cs="Arial"/>
          <w:b/>
          <w:i w:val="0"/>
        </w:rPr>
        <w:t>Presented by</w:t>
      </w:r>
    </w:p>
    <w:p w14:paraId="340671F6" w14:textId="543EE440" w:rsidR="00E90DF9" w:rsidRPr="00432427" w:rsidRDefault="00F510F9" w:rsidP="00E90DF9">
      <w:pPr>
        <w:spacing w:after="0"/>
        <w:ind w:right="686"/>
        <w:jc w:val="right"/>
        <w:rPr>
          <w:rFonts w:cs="Arial"/>
          <w:b/>
          <w:i w:val="0"/>
        </w:rPr>
      </w:pPr>
      <w:r w:rsidRPr="00432427">
        <w:rPr>
          <w:rFonts w:cs="Arial"/>
          <w:b/>
          <w:i w:val="0"/>
        </w:rPr>
        <w:t>Michael Pettersson</w:t>
      </w:r>
      <w:r w:rsidR="00E90DF9" w:rsidRPr="00432427">
        <w:rPr>
          <w:rFonts w:cs="Arial"/>
          <w:b/>
          <w:i w:val="0"/>
        </w:rPr>
        <w:t xml:space="preserve"> MLA</w:t>
      </w:r>
    </w:p>
    <w:p w14:paraId="2B65FA14" w14:textId="6FD1D531" w:rsidR="00E90DF9" w:rsidRPr="00432427" w:rsidRDefault="00616A66" w:rsidP="00E90DF9">
      <w:pPr>
        <w:spacing w:after="0"/>
        <w:ind w:right="686"/>
        <w:jc w:val="right"/>
        <w:rPr>
          <w:rFonts w:cs="Arial"/>
          <w:b/>
          <w:i w:val="0"/>
        </w:rPr>
      </w:pPr>
      <w:r w:rsidRPr="00432427">
        <w:rPr>
          <w:rFonts w:cs="Arial"/>
          <w:b/>
          <w:i w:val="0"/>
        </w:rPr>
        <w:t xml:space="preserve">Minister </w:t>
      </w:r>
      <w:r w:rsidR="00586D8C" w:rsidRPr="00432427">
        <w:rPr>
          <w:rFonts w:cs="Arial"/>
          <w:b/>
          <w:i w:val="0"/>
        </w:rPr>
        <w:t>f</w:t>
      </w:r>
      <w:r w:rsidRPr="00432427">
        <w:rPr>
          <w:rFonts w:cs="Arial"/>
          <w:b/>
          <w:i w:val="0"/>
        </w:rPr>
        <w:t>or Skills, Training and Industrial Relations</w:t>
      </w:r>
    </w:p>
    <w:p w14:paraId="722CCE31" w14:textId="6B5F8BD1" w:rsidR="00E90DF9" w:rsidRPr="00432427" w:rsidRDefault="00200D91" w:rsidP="00E90DF9">
      <w:pPr>
        <w:spacing w:after="0"/>
        <w:ind w:right="686"/>
        <w:jc w:val="right"/>
        <w:rPr>
          <w:rFonts w:cs="Arial"/>
          <w:b/>
          <w:i w:val="0"/>
        </w:rPr>
      </w:pPr>
      <w:r>
        <w:rPr>
          <w:rFonts w:cs="Arial"/>
          <w:b/>
          <w:i w:val="0"/>
        </w:rPr>
        <w:t>October</w:t>
      </w:r>
      <w:r w:rsidRPr="00432427">
        <w:rPr>
          <w:rFonts w:cs="Arial"/>
          <w:b/>
          <w:i w:val="0"/>
        </w:rPr>
        <w:t xml:space="preserve"> </w:t>
      </w:r>
      <w:r w:rsidR="00E90DF9" w:rsidRPr="00432427">
        <w:rPr>
          <w:rFonts w:cs="Arial"/>
          <w:b/>
          <w:i w:val="0"/>
        </w:rPr>
        <w:t>202</w:t>
      </w:r>
      <w:r w:rsidR="00AD0F76" w:rsidRPr="00432427">
        <w:rPr>
          <w:rFonts w:cs="Arial"/>
          <w:b/>
          <w:i w:val="0"/>
        </w:rPr>
        <w:t>5</w:t>
      </w:r>
    </w:p>
    <w:p w14:paraId="764EA7E1" w14:textId="77777777" w:rsidR="00E90DF9" w:rsidRPr="008C3B92" w:rsidRDefault="00E90DF9" w:rsidP="00E90DF9">
      <w:pPr>
        <w:spacing w:after="0" w:line="240" w:lineRule="auto"/>
        <w:rPr>
          <w:rFonts w:cs="Arial"/>
          <w:b/>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u w:val="single"/>
        </w:rPr>
        <w:br w:type="page"/>
      </w:r>
    </w:p>
    <w:p w14:paraId="1DBAD7DE" w14:textId="542CBFE6" w:rsidR="00382A8A" w:rsidRPr="00432427" w:rsidRDefault="00382A8A" w:rsidP="00382A8A">
      <w:pPr>
        <w:spacing w:after="0"/>
        <w:jc w:val="center"/>
        <w:rPr>
          <w:rFonts w:cs="Arial"/>
          <w:b/>
          <w:i w:val="0"/>
        </w:rPr>
      </w:pPr>
      <w:r w:rsidRPr="00432427">
        <w:rPr>
          <w:rFonts w:cs="Arial"/>
          <w:b/>
          <w:i w:val="0"/>
        </w:rPr>
        <w:lastRenderedPageBreak/>
        <w:t>WORKPLACE LEGISLATION AMENDMENT BILL</w:t>
      </w:r>
      <w:r w:rsidR="006519E7" w:rsidRPr="00432427">
        <w:rPr>
          <w:rFonts w:cs="Arial"/>
          <w:b/>
          <w:i w:val="0"/>
        </w:rPr>
        <w:t xml:space="preserve"> </w:t>
      </w:r>
      <w:r w:rsidRPr="00432427">
        <w:rPr>
          <w:rFonts w:cs="Arial"/>
          <w:b/>
          <w:i w:val="0"/>
        </w:rPr>
        <w:t>2025</w:t>
      </w:r>
      <w:r w:rsidR="00E07DF2" w:rsidRPr="00432427">
        <w:rPr>
          <w:rFonts w:cs="Arial"/>
          <w:b/>
          <w:i w:val="0"/>
        </w:rPr>
        <w:t xml:space="preserve"> (No </w:t>
      </w:r>
      <w:r w:rsidR="007F1FCE">
        <w:rPr>
          <w:rFonts w:cs="Arial"/>
          <w:b/>
          <w:i w:val="0"/>
        </w:rPr>
        <w:t>3</w:t>
      </w:r>
      <w:r w:rsidR="00E07DF2" w:rsidRPr="00432427">
        <w:rPr>
          <w:rFonts w:cs="Arial"/>
          <w:b/>
          <w:i w:val="0"/>
        </w:rPr>
        <w:t>)</w:t>
      </w:r>
    </w:p>
    <w:p w14:paraId="791A60D0" w14:textId="77777777" w:rsidR="00E90DF9" w:rsidRPr="00432427" w:rsidRDefault="00E90DF9" w:rsidP="00E90DF9">
      <w:pPr>
        <w:spacing w:after="0"/>
        <w:contextualSpacing/>
        <w:rPr>
          <w:rFonts w:cs="Arial"/>
          <w:i w:val="0"/>
        </w:rPr>
      </w:pPr>
    </w:p>
    <w:p w14:paraId="07747D20" w14:textId="413BA97C"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This </w:t>
      </w:r>
      <w:r w:rsidR="00641093">
        <w:rPr>
          <w:rFonts w:cs="Arial"/>
          <w:i w:val="0"/>
        </w:rPr>
        <w:t xml:space="preserve">revised </w:t>
      </w:r>
      <w:r w:rsidRPr="00432427">
        <w:rPr>
          <w:rFonts w:cs="Arial"/>
          <w:i w:val="0"/>
        </w:rPr>
        <w:t xml:space="preserve">explanatory statement (the statement) relates to the </w:t>
      </w:r>
      <w:r w:rsidR="00977FE7" w:rsidRPr="00432427">
        <w:rPr>
          <w:rFonts w:cs="Arial"/>
          <w:i w:val="0"/>
        </w:rPr>
        <w:t>Workplace Legislation Amendment Bill 2025</w:t>
      </w:r>
      <w:r w:rsidR="00E07DF2" w:rsidRPr="00432427">
        <w:rPr>
          <w:rFonts w:cs="Arial"/>
          <w:i w:val="0"/>
        </w:rPr>
        <w:t xml:space="preserve"> (No </w:t>
      </w:r>
      <w:r w:rsidR="00522A82">
        <w:rPr>
          <w:rFonts w:cs="Arial"/>
          <w:i w:val="0"/>
        </w:rPr>
        <w:t>3</w:t>
      </w:r>
      <w:r w:rsidR="00E07DF2" w:rsidRPr="00432427">
        <w:rPr>
          <w:rFonts w:cs="Arial"/>
          <w:i w:val="0"/>
        </w:rPr>
        <w:t>)</w:t>
      </w:r>
      <w:r w:rsidR="00977FE7" w:rsidRPr="00432427">
        <w:rPr>
          <w:rFonts w:cs="Arial"/>
          <w:i w:val="0"/>
        </w:rPr>
        <w:t xml:space="preserve"> </w:t>
      </w:r>
      <w:r w:rsidRPr="00432427">
        <w:rPr>
          <w:rFonts w:cs="Arial"/>
          <w:i w:val="0"/>
        </w:rPr>
        <w:t xml:space="preserve">(the Bill) as presented </w:t>
      </w:r>
      <w:r w:rsidR="00483E8B">
        <w:rPr>
          <w:rFonts w:cs="Arial"/>
          <w:i w:val="0"/>
        </w:rPr>
        <w:t>in</w:t>
      </w:r>
      <w:r w:rsidRPr="00432427">
        <w:rPr>
          <w:rFonts w:cs="Arial"/>
          <w:i w:val="0"/>
        </w:rPr>
        <w:t xml:space="preserve"> the ACT Legislative Assembly</w:t>
      </w:r>
      <w:r w:rsidR="00483E8B">
        <w:rPr>
          <w:rFonts w:cs="Arial"/>
          <w:i w:val="0"/>
        </w:rPr>
        <w:t xml:space="preserve"> under the </w:t>
      </w:r>
      <w:r w:rsidR="00483E8B" w:rsidRPr="00852313">
        <w:rPr>
          <w:rFonts w:cs="Arial"/>
          <w:i w:val="0"/>
        </w:rPr>
        <w:t>Workplace Legislation Amendment Bill 2025 (No 2)</w:t>
      </w:r>
      <w:r w:rsidRPr="00432427">
        <w:rPr>
          <w:rFonts w:cs="Arial"/>
          <w:i w:val="0"/>
        </w:rPr>
        <w:t>.</w:t>
      </w:r>
      <w:r w:rsidR="00852313" w:rsidRPr="00852313">
        <w:rPr>
          <w:rFonts w:cs="Arial"/>
          <w:i w:val="0"/>
        </w:rPr>
        <w:t xml:space="preserve"> This Explanatory Statement has been </w:t>
      </w:r>
      <w:r w:rsidR="00B2710F">
        <w:rPr>
          <w:rFonts w:cs="Arial"/>
          <w:i w:val="0"/>
        </w:rPr>
        <w:t>revised</w:t>
      </w:r>
      <w:r w:rsidR="00852313" w:rsidRPr="00852313">
        <w:rPr>
          <w:rFonts w:cs="Arial"/>
          <w:i w:val="0"/>
        </w:rPr>
        <w:t xml:space="preserve"> for the Workplace Legislation Amendment Bill 2025 (No 3) following an Assembly motion agreed on 2</w:t>
      </w:r>
      <w:r w:rsidR="00E53535">
        <w:rPr>
          <w:rFonts w:cs="Arial"/>
          <w:i w:val="0"/>
        </w:rPr>
        <w:t> </w:t>
      </w:r>
      <w:r w:rsidR="00852313" w:rsidRPr="00852313">
        <w:rPr>
          <w:rFonts w:cs="Arial"/>
          <w:i w:val="0"/>
        </w:rPr>
        <w:t>September 2025 to divide the Workplace Legislation Amendment Bill 2025 (No 2) as presented</w:t>
      </w:r>
      <w:r w:rsidR="005F0D4A">
        <w:rPr>
          <w:rFonts w:cs="Arial"/>
          <w:i w:val="0"/>
        </w:rPr>
        <w:t xml:space="preserve"> in </w:t>
      </w:r>
      <w:r w:rsidR="005F0D4A" w:rsidRPr="00432427">
        <w:rPr>
          <w:rFonts w:cs="Arial"/>
          <w:i w:val="0"/>
        </w:rPr>
        <w:t>the ACT Legislative Assembly</w:t>
      </w:r>
      <w:r w:rsidR="00852313" w:rsidRPr="00852313">
        <w:rPr>
          <w:rFonts w:cs="Arial"/>
          <w:i w:val="0"/>
        </w:rPr>
        <w:t>.</w:t>
      </w:r>
      <w:r w:rsidR="00852313">
        <w:rPr>
          <w:rFonts w:cs="Arial"/>
          <w:i w:val="0"/>
        </w:rPr>
        <w:t xml:space="preserve"> </w:t>
      </w:r>
      <w:r w:rsidR="00626F10">
        <w:rPr>
          <w:rFonts w:cs="Arial"/>
          <w:i w:val="0"/>
        </w:rPr>
        <w:t xml:space="preserve">A human rights compatibility statement was provided with the </w:t>
      </w:r>
      <w:r w:rsidR="00626F10" w:rsidRPr="00852313">
        <w:rPr>
          <w:rFonts w:cs="Arial"/>
          <w:i w:val="0"/>
        </w:rPr>
        <w:t>Workplace Legislation Amendment Bill 2025 (No 2) as presented</w:t>
      </w:r>
      <w:r w:rsidR="00641093">
        <w:rPr>
          <w:rFonts w:cs="Arial"/>
          <w:i w:val="0"/>
        </w:rPr>
        <w:t xml:space="preserve"> in the Legislative Assembly on 2 September 2025</w:t>
      </w:r>
      <w:r w:rsidR="00626F10">
        <w:rPr>
          <w:rFonts w:cs="Arial"/>
          <w:i w:val="0"/>
        </w:rPr>
        <w:t>.</w:t>
      </w:r>
      <w:r w:rsidR="00626F10" w:rsidRPr="00432427">
        <w:rPr>
          <w:rFonts w:cs="Arial"/>
          <w:i w:val="0"/>
        </w:rPr>
        <w:t xml:space="preserve"> </w:t>
      </w:r>
      <w:r w:rsidRPr="00432427">
        <w:rPr>
          <w:rFonts w:cs="Arial"/>
          <w:i w:val="0"/>
        </w:rPr>
        <w:t xml:space="preserve">It has been prepared to assist the reader. It does not form part of the </w:t>
      </w:r>
      <w:r w:rsidR="00E16E99" w:rsidRPr="00432427">
        <w:rPr>
          <w:rFonts w:cs="Arial"/>
          <w:i w:val="0"/>
        </w:rPr>
        <w:t>Bill and</w:t>
      </w:r>
      <w:r w:rsidR="004D3886" w:rsidRPr="00432427">
        <w:rPr>
          <w:rFonts w:cs="Arial"/>
          <w:i w:val="0"/>
        </w:rPr>
        <w:t xml:space="preserve"> </w:t>
      </w:r>
      <w:r w:rsidRPr="00432427">
        <w:rPr>
          <w:rFonts w:cs="Arial"/>
          <w:i w:val="0"/>
        </w:rPr>
        <w:t>has not been endorsed by the Assembly.</w:t>
      </w:r>
    </w:p>
    <w:p w14:paraId="1AF0F930" w14:textId="77777777" w:rsidR="00A45BB4" w:rsidRPr="00432427" w:rsidRDefault="00A45BB4" w:rsidP="00A45BB4">
      <w:pPr>
        <w:spacing w:before="100" w:beforeAutospacing="1" w:after="100" w:afterAutospacing="1"/>
        <w:contextualSpacing/>
        <w:rPr>
          <w:rFonts w:cs="Arial"/>
          <w:i w:val="0"/>
        </w:rPr>
      </w:pPr>
    </w:p>
    <w:p w14:paraId="299461A2" w14:textId="68B45F94"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The statement is to be read in conjunction with the Bill. It </w:t>
      </w:r>
      <w:r w:rsidR="00F56E08" w:rsidRPr="00432427">
        <w:rPr>
          <w:rFonts w:cs="Arial"/>
          <w:i w:val="0"/>
        </w:rPr>
        <w:t xml:space="preserve">is </w:t>
      </w:r>
      <w:r w:rsidRPr="00432427">
        <w:rPr>
          <w:rFonts w:cs="Arial"/>
          <w:i w:val="0"/>
        </w:rPr>
        <w:t xml:space="preserve">not intended to be a comprehensive </w:t>
      </w:r>
      <w:r w:rsidRPr="00432427">
        <w:rPr>
          <w:rFonts w:eastAsia="Arial" w:cs="Arial"/>
          <w:i w:val="0"/>
        </w:rPr>
        <w:t>description</w:t>
      </w:r>
      <w:r w:rsidRPr="00432427">
        <w:rPr>
          <w:rFonts w:cs="Arial"/>
          <w:i w:val="0"/>
        </w:rPr>
        <w:t xml:space="preserve"> of the Bill. What is said about a provision is not to be taken as providing a definitive interpretation of the meaning of a provision, this being a task for the courts.</w:t>
      </w:r>
    </w:p>
    <w:p w14:paraId="3C724A5C" w14:textId="77777777" w:rsidR="00A45BB4" w:rsidRPr="00432427" w:rsidRDefault="00A45BB4" w:rsidP="00A45BB4">
      <w:pPr>
        <w:spacing w:before="100" w:beforeAutospacing="1" w:after="100" w:afterAutospacing="1"/>
        <w:contextualSpacing/>
        <w:rPr>
          <w:rFonts w:cs="Arial"/>
          <w:i w:val="0"/>
        </w:rPr>
      </w:pPr>
    </w:p>
    <w:p w14:paraId="079B8258" w14:textId="03B807D6" w:rsidR="00A45BB4" w:rsidRPr="00432427" w:rsidRDefault="00A45BB4" w:rsidP="00A45BB4">
      <w:pPr>
        <w:spacing w:before="100" w:beforeAutospacing="1" w:after="100" w:afterAutospacing="1"/>
        <w:contextualSpacing/>
        <w:rPr>
          <w:rFonts w:cs="Arial"/>
          <w:i w:val="0"/>
        </w:rPr>
      </w:pPr>
      <w:r w:rsidRPr="00432427">
        <w:rPr>
          <w:rFonts w:cs="Arial"/>
          <w:i w:val="0"/>
        </w:rPr>
        <w:t>The Bill</w:t>
      </w:r>
      <w:r w:rsidR="008A62B9" w:rsidRPr="00432427">
        <w:rPr>
          <w:rFonts w:cs="Arial"/>
          <w:i w:val="0"/>
        </w:rPr>
        <w:t xml:space="preserve"> is</w:t>
      </w:r>
      <w:r w:rsidRPr="00432427">
        <w:rPr>
          <w:rFonts w:cs="Arial"/>
          <w:i w:val="0"/>
        </w:rPr>
        <w:t xml:space="preserve"> declared a Significant Bill. Significant Bills are bills that have been assessed as likely to have significant engagement of human rights and require more detailed reasoning in relation to compatibility with the </w:t>
      </w:r>
      <w:r w:rsidRPr="00DF622F">
        <w:rPr>
          <w:rFonts w:cs="Arial"/>
          <w:iCs w:val="0"/>
        </w:rPr>
        <w:t>Human Rights Act 2004</w:t>
      </w:r>
      <w:r w:rsidRPr="00432427">
        <w:rPr>
          <w:rFonts w:cs="Arial"/>
          <w:i w:val="0"/>
        </w:rPr>
        <w:t>.</w:t>
      </w:r>
    </w:p>
    <w:p w14:paraId="3735CFA3" w14:textId="77777777" w:rsidR="00E90DF9" w:rsidRPr="00432427" w:rsidRDefault="00E90DF9" w:rsidP="00E90DF9">
      <w:pPr>
        <w:spacing w:after="0"/>
        <w:rPr>
          <w:rFonts w:cs="Arial"/>
          <w:i w:val="0"/>
          <w:highlight w:val="yellow"/>
        </w:rPr>
      </w:pPr>
    </w:p>
    <w:p w14:paraId="4A7DFCB5" w14:textId="01C78B9F" w:rsidR="00C10076" w:rsidRPr="00432427" w:rsidRDefault="00E90DF9" w:rsidP="00C10076">
      <w:pPr>
        <w:pStyle w:val="Heading2"/>
        <w:rPr>
          <w:i w:val="0"/>
        </w:rPr>
      </w:pPr>
      <w:r w:rsidRPr="00432427">
        <w:rPr>
          <w:i w:val="0"/>
        </w:rPr>
        <w:t>OVERVIEW OF THE BILL</w:t>
      </w:r>
    </w:p>
    <w:p w14:paraId="4FEEC177" w14:textId="3DE35AB7" w:rsidR="00A25503" w:rsidRPr="00432427" w:rsidRDefault="00A25503" w:rsidP="063F40A7">
      <w:pPr>
        <w:rPr>
          <w:rFonts w:cs="Arial"/>
          <w:i w:val="0"/>
        </w:rPr>
      </w:pPr>
      <w:r w:rsidRPr="00432427">
        <w:rPr>
          <w:rFonts w:cs="Arial"/>
          <w:i w:val="0"/>
        </w:rPr>
        <w:t>The</w:t>
      </w:r>
      <w:r w:rsidR="00EA5E6A" w:rsidRPr="00432427">
        <w:rPr>
          <w:rFonts w:cs="Arial"/>
          <w:i w:val="0"/>
        </w:rPr>
        <w:t xml:space="preserve"> purpose of this</w:t>
      </w:r>
      <w:r w:rsidRPr="00432427">
        <w:rPr>
          <w:rFonts w:cs="Arial"/>
          <w:i w:val="0"/>
        </w:rPr>
        <w:t xml:space="preserve"> Bill</w:t>
      </w:r>
      <w:r w:rsidR="00EA5E6A" w:rsidRPr="00432427">
        <w:rPr>
          <w:rFonts w:cs="Arial"/>
          <w:i w:val="0"/>
        </w:rPr>
        <w:t xml:space="preserve"> is to</w:t>
      </w:r>
      <w:r w:rsidR="00FA7391" w:rsidRPr="00432427">
        <w:rPr>
          <w:rFonts w:cs="Arial"/>
          <w:i w:val="0"/>
        </w:rPr>
        <w:t xml:space="preserve"> introduce</w:t>
      </w:r>
      <w:r w:rsidR="00051C8D" w:rsidRPr="00432427">
        <w:rPr>
          <w:rFonts w:cs="Arial"/>
          <w:i w:val="0"/>
        </w:rPr>
        <w:t xml:space="preserve"> </w:t>
      </w:r>
      <w:r w:rsidRPr="00432427">
        <w:rPr>
          <w:rFonts w:cs="Arial"/>
          <w:i w:val="0"/>
        </w:rPr>
        <w:t>amend</w:t>
      </w:r>
      <w:r w:rsidR="00051C8D" w:rsidRPr="00432427">
        <w:rPr>
          <w:rFonts w:cs="Arial"/>
          <w:i w:val="0"/>
        </w:rPr>
        <w:t>ments to</w:t>
      </w:r>
      <w:r w:rsidRPr="00432427">
        <w:rPr>
          <w:rFonts w:cs="Arial"/>
          <w:i w:val="0"/>
        </w:rPr>
        <w:t xml:space="preserve"> the following legislation:</w:t>
      </w:r>
    </w:p>
    <w:p w14:paraId="749238E3" w14:textId="4F83A185" w:rsidR="00AF1A63" w:rsidRPr="00522A82" w:rsidRDefault="0045174B" w:rsidP="00522A82">
      <w:pPr>
        <w:pStyle w:val="ListParagraph"/>
        <w:numPr>
          <w:ilvl w:val="0"/>
          <w:numId w:val="42"/>
        </w:numPr>
        <w:spacing w:after="120" w:line="276" w:lineRule="auto"/>
        <w:rPr>
          <w:rFonts w:cs="Arial"/>
          <w:iCs w:val="0"/>
        </w:rPr>
      </w:pPr>
      <w:r w:rsidRPr="00B240A1">
        <w:rPr>
          <w:rFonts w:cs="Arial"/>
          <w:iCs w:val="0"/>
        </w:rPr>
        <w:t>Dangerous Substances Act 2004</w:t>
      </w:r>
    </w:p>
    <w:p w14:paraId="3FA1F217"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Long Service Leave Act 1976</w:t>
      </w:r>
    </w:p>
    <w:p w14:paraId="42D13E10"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Long Service Leave (Portable Schemes) Act 2009</w:t>
      </w:r>
    </w:p>
    <w:p w14:paraId="379AEA88"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Public Sector Workers Compensation Fund Act 2018</w:t>
      </w:r>
    </w:p>
    <w:p w14:paraId="186EF440" w14:textId="62FBC149" w:rsidR="00AF1A63" w:rsidRPr="00432427" w:rsidRDefault="005F01C1" w:rsidP="00DF622F">
      <w:pPr>
        <w:pStyle w:val="ListParagraph"/>
        <w:numPr>
          <w:ilvl w:val="0"/>
          <w:numId w:val="42"/>
        </w:numPr>
        <w:spacing w:after="120" w:line="276" w:lineRule="auto"/>
        <w:rPr>
          <w:rFonts w:cs="Arial"/>
          <w:i w:val="0"/>
        </w:rPr>
      </w:pPr>
      <w:r w:rsidRPr="00B240A1">
        <w:rPr>
          <w:rFonts w:cs="Arial"/>
          <w:iCs w:val="0"/>
        </w:rPr>
        <w:t>Workers Compensation Act 1951</w:t>
      </w:r>
      <w:r w:rsidRPr="00432427">
        <w:rPr>
          <w:rFonts w:cs="Arial"/>
          <w:i w:val="0"/>
        </w:rPr>
        <w:t xml:space="preserve">, </w:t>
      </w:r>
      <w:r w:rsidR="0045174B" w:rsidRPr="00432427">
        <w:rPr>
          <w:rFonts w:cs="Arial"/>
          <w:i w:val="0"/>
        </w:rPr>
        <w:t>and</w:t>
      </w:r>
    </w:p>
    <w:p w14:paraId="55AAEAE5" w14:textId="6DDD6F17" w:rsidR="00AF1A63" w:rsidRPr="00432427" w:rsidRDefault="005F01C1" w:rsidP="00DF622F">
      <w:pPr>
        <w:pStyle w:val="ListParagraph"/>
        <w:numPr>
          <w:ilvl w:val="0"/>
          <w:numId w:val="42"/>
        </w:numPr>
        <w:spacing w:after="120" w:line="276" w:lineRule="auto"/>
        <w:rPr>
          <w:rFonts w:cs="Arial"/>
          <w:i w:val="0"/>
        </w:rPr>
      </w:pPr>
      <w:r w:rsidRPr="00B240A1">
        <w:rPr>
          <w:rFonts w:cs="Arial"/>
          <w:iCs w:val="0"/>
        </w:rPr>
        <w:t>Work Health and Safety Act 2011</w:t>
      </w:r>
      <w:r w:rsidRPr="00432427">
        <w:rPr>
          <w:rFonts w:cs="Arial"/>
          <w:i w:val="0"/>
        </w:rPr>
        <w:t>.</w:t>
      </w:r>
    </w:p>
    <w:p w14:paraId="6FBDA677" w14:textId="38845A92" w:rsidR="00AF1A63" w:rsidRPr="008F381B" w:rsidRDefault="00AF1A63" w:rsidP="008F381B">
      <w:pPr>
        <w:spacing w:after="0"/>
        <w:rPr>
          <w:rFonts w:cs="Arial"/>
          <w:i w:val="0"/>
          <w:highlight w:val="yellow"/>
        </w:rPr>
      </w:pPr>
    </w:p>
    <w:p w14:paraId="2388AB46" w14:textId="6E540632" w:rsidR="002209D5" w:rsidRPr="00522A82" w:rsidRDefault="007E2E2C" w:rsidP="00522A82">
      <w:pPr>
        <w:rPr>
          <w:rFonts w:cs="Arial"/>
          <w:b/>
          <w:i w:val="0"/>
        </w:rPr>
      </w:pPr>
      <w:r w:rsidRPr="00432427">
        <w:rPr>
          <w:rFonts w:cs="Arial"/>
          <w:b/>
          <w:i w:val="0"/>
        </w:rPr>
        <w:t>SUMMARY OF AMENDMENTS</w:t>
      </w:r>
    </w:p>
    <w:p w14:paraId="4D292AC2" w14:textId="3124109D" w:rsidR="00AF1A63" w:rsidRPr="008F381B" w:rsidRDefault="00AF1A63" w:rsidP="00616A66">
      <w:pPr>
        <w:spacing w:after="0"/>
        <w:rPr>
          <w:rFonts w:cs="Arial"/>
          <w:i w:val="0"/>
          <w:highlight w:val="yellow"/>
        </w:rPr>
      </w:pPr>
    </w:p>
    <w:p w14:paraId="6853364B" w14:textId="68F7AEFC" w:rsidR="00424914" w:rsidRPr="00606E4E" w:rsidRDefault="00616A66" w:rsidP="063F40A7">
      <w:pPr>
        <w:rPr>
          <w:rFonts w:cs="Arial"/>
          <w:b/>
          <w:i w:val="0"/>
        </w:rPr>
      </w:pPr>
      <w:r w:rsidRPr="00432427">
        <w:rPr>
          <w:rFonts w:cs="Arial"/>
          <w:b/>
          <w:i w:val="0"/>
        </w:rPr>
        <w:t xml:space="preserve">Amendments to the </w:t>
      </w:r>
      <w:r w:rsidRPr="00042B10">
        <w:rPr>
          <w:rFonts w:cs="Arial"/>
          <w:b/>
        </w:rPr>
        <w:t>Work Health and Safety Act 2011</w:t>
      </w:r>
      <w:r w:rsidR="00606E4E">
        <w:rPr>
          <w:rFonts w:cs="Arial"/>
          <w:b/>
          <w:i w:val="0"/>
        </w:rPr>
        <w:br/>
      </w:r>
      <w:r w:rsidR="0048753D" w:rsidRPr="00432427">
        <w:rPr>
          <w:rFonts w:cs="Arial"/>
          <w:i w:val="0"/>
        </w:rPr>
        <w:t xml:space="preserve">The </w:t>
      </w:r>
      <w:r w:rsidR="0048753D" w:rsidRPr="00B240A1">
        <w:rPr>
          <w:rFonts w:cs="Arial"/>
          <w:iCs w:val="0"/>
        </w:rPr>
        <w:t>Work Health Safety Act 2011</w:t>
      </w:r>
      <w:r w:rsidR="007B7C49" w:rsidRPr="00432427">
        <w:rPr>
          <w:rFonts w:cs="Arial"/>
          <w:i w:val="0"/>
        </w:rPr>
        <w:t xml:space="preserve"> (WHS Act)</w:t>
      </w:r>
      <w:r w:rsidR="00A264B1" w:rsidRPr="00432427">
        <w:rPr>
          <w:i w:val="0"/>
        </w:rPr>
        <w:t xml:space="preserve"> </w:t>
      </w:r>
      <w:r w:rsidR="00A264B1" w:rsidRPr="00432427">
        <w:rPr>
          <w:rFonts w:cs="Arial"/>
          <w:i w:val="0"/>
        </w:rPr>
        <w:t>establishes a legal framework to protect the health</w:t>
      </w:r>
      <w:r w:rsidR="009F3CFA">
        <w:rPr>
          <w:rFonts w:cs="Arial"/>
          <w:i w:val="0"/>
        </w:rPr>
        <w:t xml:space="preserve"> and</w:t>
      </w:r>
      <w:r w:rsidR="00A264B1" w:rsidRPr="00432427">
        <w:rPr>
          <w:rFonts w:cs="Arial"/>
          <w:i w:val="0"/>
        </w:rPr>
        <w:t xml:space="preserve"> safety of workers and others in the workplace. It places a primary duty of care on persons conducting a business or undertaking (PCBUs) to manage risks and ensure safe work environments. </w:t>
      </w:r>
    </w:p>
    <w:p w14:paraId="481EDF9E" w14:textId="77777777" w:rsidR="009D125E" w:rsidRDefault="00A264B1" w:rsidP="063F40A7">
      <w:pPr>
        <w:rPr>
          <w:rFonts w:cs="Arial"/>
          <w:i w:val="0"/>
        </w:rPr>
      </w:pPr>
      <w:r w:rsidRPr="00432427">
        <w:rPr>
          <w:rFonts w:cs="Arial"/>
          <w:i w:val="0"/>
        </w:rPr>
        <w:t xml:space="preserve">The </w:t>
      </w:r>
      <w:r w:rsidR="00F95B45" w:rsidRPr="00432427">
        <w:rPr>
          <w:rFonts w:cs="Arial"/>
          <w:i w:val="0"/>
        </w:rPr>
        <w:t xml:space="preserve">WHS </w:t>
      </w:r>
      <w:r w:rsidRPr="00432427">
        <w:rPr>
          <w:rFonts w:cs="Arial"/>
          <w:i w:val="0"/>
        </w:rPr>
        <w:t xml:space="preserve">Act promotes consultation between employers and workers, mandates the reporting of serious </w:t>
      </w:r>
      <w:r w:rsidR="006E4E30">
        <w:rPr>
          <w:rFonts w:cs="Arial"/>
          <w:i w:val="0"/>
        </w:rPr>
        <w:t xml:space="preserve">and dangerous workplace </w:t>
      </w:r>
      <w:r w:rsidRPr="00432427">
        <w:rPr>
          <w:rFonts w:cs="Arial"/>
          <w:i w:val="0"/>
        </w:rPr>
        <w:t>incidents, and provides enforcement mechanisms through</w:t>
      </w:r>
      <w:r w:rsidR="6EACD88C" w:rsidRPr="00432427">
        <w:rPr>
          <w:rFonts w:cs="Arial"/>
          <w:i w:val="0"/>
        </w:rPr>
        <w:t xml:space="preserve"> the regulator,</w:t>
      </w:r>
      <w:r w:rsidRPr="00432427">
        <w:rPr>
          <w:rFonts w:cs="Arial"/>
          <w:i w:val="0"/>
        </w:rPr>
        <w:t xml:space="preserve"> WorkSafe ACT.</w:t>
      </w:r>
      <w:r w:rsidR="00275C15" w:rsidRPr="00432427">
        <w:rPr>
          <w:rFonts w:cs="Arial"/>
          <w:i w:val="0"/>
        </w:rPr>
        <w:t xml:space="preserve"> </w:t>
      </w:r>
    </w:p>
    <w:p w14:paraId="14E5A264" w14:textId="57445DB0" w:rsidR="00424914" w:rsidRDefault="00275C15" w:rsidP="007F1FCE">
      <w:pPr>
        <w:rPr>
          <w:rFonts w:cs="Arial"/>
          <w:i w:val="0"/>
        </w:rPr>
      </w:pPr>
      <w:r w:rsidRPr="00432427">
        <w:rPr>
          <w:rFonts w:cs="Arial"/>
          <w:i w:val="0"/>
        </w:rPr>
        <w:lastRenderedPageBreak/>
        <w:t xml:space="preserve">The ACT’s WHS laws adopt the nationally agreed model laws as a signatory under the </w:t>
      </w:r>
      <w:hyperlink r:id="rId17">
        <w:r w:rsidR="00034766" w:rsidRPr="00432427">
          <w:rPr>
            <w:rStyle w:val="Hyperlink"/>
            <w:rFonts w:cs="Arial"/>
            <w:i w:val="0"/>
          </w:rPr>
          <w:t>Intergovernmental Agreement for Regulatory and Operational Reform in Occupational Health and Safety</w:t>
        </w:r>
      </w:hyperlink>
      <w:r w:rsidR="00034766" w:rsidRPr="00432427">
        <w:rPr>
          <w:rFonts w:cs="Arial"/>
          <w:i w:val="0"/>
        </w:rPr>
        <w:t xml:space="preserve"> (2008).</w:t>
      </w:r>
      <w:r w:rsidR="00034766" w:rsidRPr="00432427">
        <w:rPr>
          <w:i w:val="0"/>
        </w:rPr>
        <w:t xml:space="preserve"> </w:t>
      </w:r>
      <w:r w:rsidR="00A264B1" w:rsidRPr="00432427">
        <w:rPr>
          <w:rFonts w:cs="Arial"/>
          <w:i w:val="0"/>
        </w:rPr>
        <w:t xml:space="preserve"> </w:t>
      </w:r>
    </w:p>
    <w:p w14:paraId="2BA958CB" w14:textId="77777777" w:rsidR="007F1FCE" w:rsidRPr="008F381B" w:rsidRDefault="007F1FCE" w:rsidP="008F381B">
      <w:pPr>
        <w:spacing w:after="0"/>
        <w:rPr>
          <w:rFonts w:cs="Arial"/>
          <w:i w:val="0"/>
          <w:highlight w:val="yellow"/>
        </w:rPr>
      </w:pPr>
    </w:p>
    <w:p w14:paraId="4C84B5C8" w14:textId="50AC3EEE" w:rsidR="000B2D93" w:rsidRPr="00042B10" w:rsidRDefault="00C6233E" w:rsidP="000B2D93">
      <w:pPr>
        <w:pStyle w:val="Paragraphtext"/>
        <w:spacing w:line="276" w:lineRule="auto"/>
        <w:rPr>
          <w:rFonts w:eastAsia="Times New Roman" w:cs="Arial"/>
          <w:color w:val="auto"/>
        </w:rPr>
      </w:pPr>
      <w:r w:rsidRPr="00042B10">
        <w:rPr>
          <w:rFonts w:eastAsia="Times New Roman" w:cs="Arial"/>
          <w:color w:val="auto"/>
        </w:rPr>
        <w:t>Incident Notification Amendments</w:t>
      </w:r>
    </w:p>
    <w:p w14:paraId="21E4AFBE" w14:textId="60CCD9A4" w:rsidR="00591077" w:rsidRPr="00432427" w:rsidRDefault="00591077" w:rsidP="00591077">
      <w:pPr>
        <w:pStyle w:val="Paragraphtext"/>
        <w:spacing w:line="276" w:lineRule="auto"/>
        <w:rPr>
          <w:rFonts w:eastAsia="Times New Roman" w:cs="Arial"/>
          <w:i w:val="0"/>
          <w:color w:val="auto"/>
        </w:rPr>
      </w:pPr>
      <w:r w:rsidRPr="00432427">
        <w:rPr>
          <w:rFonts w:eastAsia="Times New Roman" w:cs="Arial"/>
          <w:i w:val="0"/>
          <w:color w:val="auto"/>
        </w:rPr>
        <w:t>Part 3 of the WHS Act</w:t>
      </w:r>
      <w:r w:rsidR="00BB6412">
        <w:rPr>
          <w:rFonts w:eastAsia="Times New Roman" w:cs="Arial"/>
          <w:i w:val="0"/>
          <w:color w:val="auto"/>
        </w:rPr>
        <w:t xml:space="preserve"> adopts the model laws and</w:t>
      </w:r>
      <w:r w:rsidRPr="00432427">
        <w:rPr>
          <w:rFonts w:eastAsia="Times New Roman" w:cs="Arial"/>
          <w:i w:val="0"/>
          <w:color w:val="auto"/>
        </w:rPr>
        <w:t xml:space="preserve"> sets out the requirement for notifiable incidents and supports the WHS regulator in delivering their compliance and enforcement functions. The purpose of the notifiable incident provisions is to alert the WHS regulator to serious incidents which require timely investigations.</w:t>
      </w:r>
    </w:p>
    <w:p w14:paraId="7F5A1D83" w14:textId="2DC640B2" w:rsidR="004B29C3" w:rsidRPr="00432427" w:rsidRDefault="000B2D93" w:rsidP="004B29C3">
      <w:pPr>
        <w:pStyle w:val="Paragraphtext"/>
        <w:spacing w:line="276" w:lineRule="auto"/>
        <w:rPr>
          <w:rFonts w:eastAsia="Times New Roman" w:cs="Arial"/>
          <w:i w:val="0"/>
          <w:color w:val="auto"/>
        </w:rPr>
      </w:pPr>
      <w:r w:rsidRPr="00432427">
        <w:rPr>
          <w:rFonts w:eastAsia="Times New Roman" w:cs="Arial"/>
          <w:i w:val="0"/>
          <w:color w:val="auto"/>
        </w:rPr>
        <w:t xml:space="preserve">At a national level, </w:t>
      </w:r>
      <w:r w:rsidR="009F05E8" w:rsidRPr="00432427">
        <w:rPr>
          <w:rFonts w:eastAsia="Times New Roman" w:cs="Arial"/>
          <w:i w:val="0"/>
          <w:color w:val="auto"/>
        </w:rPr>
        <w:t xml:space="preserve">WHS Ministers agreed to policy recommendations </w:t>
      </w:r>
      <w:r w:rsidR="004B29C3" w:rsidRPr="00432427">
        <w:rPr>
          <w:rFonts w:eastAsia="Times New Roman" w:cs="Arial"/>
          <w:i w:val="0"/>
          <w:color w:val="auto"/>
        </w:rPr>
        <w:t xml:space="preserve">aimed at strengthening the incident notification provisions under the model laws which included: </w:t>
      </w:r>
    </w:p>
    <w:p w14:paraId="73EAD2ED" w14:textId="6B29719D" w:rsidR="000B2D93" w:rsidRPr="00432427" w:rsidRDefault="000B2D93" w:rsidP="00741037">
      <w:pPr>
        <w:pStyle w:val="Paragraphtext"/>
        <w:numPr>
          <w:ilvl w:val="1"/>
          <w:numId w:val="47"/>
        </w:numPr>
        <w:spacing w:line="276" w:lineRule="auto"/>
        <w:rPr>
          <w:rFonts w:eastAsia="Times New Roman" w:cs="Arial"/>
          <w:i w:val="0"/>
          <w:color w:val="auto"/>
        </w:rPr>
      </w:pPr>
      <w:r w:rsidRPr="00432427">
        <w:rPr>
          <w:rFonts w:eastAsia="Times New Roman" w:cs="Arial"/>
          <w:i w:val="0"/>
          <w:color w:val="auto"/>
        </w:rPr>
        <w:t>clarifying the operation and meaning of current provisions in the incident notification framework, and</w:t>
      </w:r>
    </w:p>
    <w:p w14:paraId="12AAC89C" w14:textId="1545EB07" w:rsidR="000B2D93" w:rsidRPr="00432427" w:rsidRDefault="000B2D93" w:rsidP="00741037">
      <w:pPr>
        <w:pStyle w:val="Paragraphtext"/>
        <w:numPr>
          <w:ilvl w:val="1"/>
          <w:numId w:val="47"/>
        </w:numPr>
        <w:spacing w:line="276" w:lineRule="auto"/>
        <w:rPr>
          <w:rFonts w:eastAsia="Times New Roman" w:cs="Arial"/>
          <w:i w:val="0"/>
          <w:color w:val="auto"/>
        </w:rPr>
      </w:pPr>
      <w:r w:rsidRPr="00432427">
        <w:rPr>
          <w:rFonts w:eastAsia="Times New Roman" w:cs="Arial"/>
          <w:i w:val="0"/>
          <w:color w:val="auto"/>
        </w:rPr>
        <w:t xml:space="preserve">addressing gaps in the current notification requirements, particularly in relation to severe psychosocial hazards and psychological harm, including serious workplace violence, sexual assault and </w:t>
      </w:r>
      <w:r w:rsidR="00053387">
        <w:rPr>
          <w:rFonts w:eastAsia="Times New Roman" w:cs="Arial"/>
          <w:i w:val="0"/>
          <w:color w:val="auto"/>
        </w:rPr>
        <w:t xml:space="preserve">certain </w:t>
      </w:r>
      <w:r w:rsidR="00C133F2" w:rsidRPr="00432427">
        <w:rPr>
          <w:rFonts w:eastAsia="Times New Roman" w:cs="Arial"/>
          <w:i w:val="0"/>
          <w:color w:val="auto"/>
        </w:rPr>
        <w:t>dangerous incidents</w:t>
      </w:r>
      <w:r w:rsidRPr="00432427">
        <w:rPr>
          <w:rFonts w:eastAsia="Times New Roman" w:cs="Arial"/>
          <w:i w:val="0"/>
          <w:color w:val="auto"/>
        </w:rPr>
        <w:t xml:space="preserve">. </w:t>
      </w:r>
    </w:p>
    <w:p w14:paraId="0B129711" w14:textId="5B9F2C71" w:rsidR="00713910" w:rsidRPr="00432427" w:rsidRDefault="004B29C3" w:rsidP="00C6233E">
      <w:pPr>
        <w:pStyle w:val="Paragraphtext"/>
        <w:spacing w:line="276" w:lineRule="auto"/>
        <w:rPr>
          <w:rFonts w:eastAsia="Times New Roman" w:cs="Arial"/>
          <w:i w:val="0"/>
          <w:color w:val="auto"/>
        </w:rPr>
      </w:pPr>
      <w:r w:rsidRPr="00432427">
        <w:rPr>
          <w:rFonts w:eastAsia="Times New Roman" w:cs="Arial"/>
          <w:i w:val="0"/>
          <w:color w:val="auto"/>
        </w:rPr>
        <w:t>In the ACT, t</w:t>
      </w:r>
      <w:r w:rsidR="000B2D93" w:rsidRPr="00432427">
        <w:rPr>
          <w:rFonts w:eastAsia="Times New Roman" w:cs="Arial"/>
          <w:i w:val="0"/>
          <w:color w:val="auto"/>
        </w:rPr>
        <w:t xml:space="preserve">he </w:t>
      </w:r>
      <w:r w:rsidR="000B2D93" w:rsidRPr="007C4283">
        <w:rPr>
          <w:rFonts w:eastAsia="Times New Roman" w:cs="Arial"/>
          <w:iCs w:val="0"/>
          <w:color w:val="auto"/>
        </w:rPr>
        <w:t>Workplace Legislation Amendment Bill 2022</w:t>
      </w:r>
      <w:r w:rsidR="000B2D93" w:rsidRPr="00432427">
        <w:rPr>
          <w:rFonts w:eastAsia="Times New Roman" w:cs="Arial"/>
          <w:i w:val="0"/>
          <w:color w:val="auto"/>
        </w:rPr>
        <w:t xml:space="preserve"> progressed </w:t>
      </w:r>
      <w:r w:rsidR="008E0C49">
        <w:rPr>
          <w:rFonts w:eastAsia="Times New Roman" w:cs="Arial"/>
          <w:i w:val="0"/>
          <w:color w:val="auto"/>
        </w:rPr>
        <w:t xml:space="preserve">early </w:t>
      </w:r>
      <w:r w:rsidR="000B2D93" w:rsidRPr="00432427">
        <w:rPr>
          <w:rFonts w:eastAsia="Times New Roman" w:cs="Arial"/>
          <w:i w:val="0"/>
          <w:color w:val="auto"/>
        </w:rPr>
        <w:t>amendments for the inclusion of sexual assault as a notifiable incident</w:t>
      </w:r>
      <w:r w:rsidR="00AA4CEB">
        <w:rPr>
          <w:rFonts w:eastAsia="Times New Roman" w:cs="Arial"/>
          <w:i w:val="0"/>
          <w:color w:val="auto"/>
        </w:rPr>
        <w:t xml:space="preserve"> in the ACT</w:t>
      </w:r>
      <w:r w:rsidR="000B2D93" w:rsidRPr="00432427">
        <w:rPr>
          <w:rFonts w:eastAsia="Times New Roman" w:cs="Arial"/>
          <w:i w:val="0"/>
          <w:color w:val="auto"/>
        </w:rPr>
        <w:t xml:space="preserve">. In doing so, the ACT Government recognised </w:t>
      </w:r>
      <w:r w:rsidR="008C3D90">
        <w:rPr>
          <w:rFonts w:eastAsia="Times New Roman" w:cs="Arial"/>
          <w:i w:val="0"/>
          <w:color w:val="auto"/>
        </w:rPr>
        <w:t>t</w:t>
      </w:r>
      <w:r w:rsidR="000B2D93" w:rsidRPr="00432427">
        <w:rPr>
          <w:rFonts w:eastAsia="Times New Roman" w:cs="Arial"/>
          <w:i w:val="0"/>
          <w:color w:val="auto"/>
        </w:rPr>
        <w:t xml:space="preserve">he role that </w:t>
      </w:r>
      <w:r w:rsidR="004948B2">
        <w:rPr>
          <w:rFonts w:eastAsia="Times New Roman" w:cs="Arial"/>
          <w:i w:val="0"/>
          <w:color w:val="auto"/>
        </w:rPr>
        <w:t>PCBUs</w:t>
      </w:r>
      <w:r w:rsidR="000B2D93" w:rsidRPr="00432427">
        <w:rPr>
          <w:rFonts w:eastAsia="Times New Roman" w:cs="Arial"/>
          <w:i w:val="0"/>
          <w:color w:val="auto"/>
        </w:rPr>
        <w:t xml:space="preserve"> have in ensuring workplaces are safe for all workers</w:t>
      </w:r>
      <w:r w:rsidR="00C86BAB">
        <w:rPr>
          <w:rFonts w:eastAsia="Times New Roman" w:cs="Arial"/>
          <w:i w:val="0"/>
          <w:color w:val="auto"/>
        </w:rPr>
        <w:t xml:space="preserve"> and serious workplace incidents are notified to the regulator</w:t>
      </w:r>
      <w:r w:rsidR="00823CCB">
        <w:rPr>
          <w:rFonts w:eastAsia="Times New Roman" w:cs="Arial"/>
          <w:i w:val="0"/>
          <w:color w:val="auto"/>
        </w:rPr>
        <w:t>, including incidents of s</w:t>
      </w:r>
      <w:r w:rsidR="00F70C1F" w:rsidRPr="00090F0E">
        <w:rPr>
          <w:rFonts w:eastAsia="Times New Roman" w:cs="Arial"/>
          <w:i w:val="0"/>
          <w:color w:val="auto"/>
        </w:rPr>
        <w:t>exual assault, irrespective of the immediacy of medical treatment.</w:t>
      </w:r>
    </w:p>
    <w:p w14:paraId="38AB5600" w14:textId="0478CBDD" w:rsidR="0048753D" w:rsidRPr="00432427" w:rsidRDefault="007B7C49" w:rsidP="063F40A7">
      <w:pPr>
        <w:rPr>
          <w:rFonts w:cs="Arial"/>
          <w:i w:val="0"/>
        </w:rPr>
      </w:pPr>
      <w:r w:rsidRPr="00432427">
        <w:rPr>
          <w:rFonts w:cs="Arial"/>
          <w:i w:val="0"/>
        </w:rPr>
        <w:t>Th</w:t>
      </w:r>
      <w:r w:rsidR="00A46558">
        <w:rPr>
          <w:rFonts w:cs="Arial"/>
          <w:i w:val="0"/>
        </w:rPr>
        <w:t>is</w:t>
      </w:r>
      <w:r w:rsidRPr="00432427">
        <w:rPr>
          <w:rFonts w:cs="Arial"/>
          <w:i w:val="0"/>
        </w:rPr>
        <w:t xml:space="preserve"> </w:t>
      </w:r>
      <w:r w:rsidR="001F07D8" w:rsidRPr="00432427">
        <w:rPr>
          <w:rFonts w:cs="Arial"/>
          <w:i w:val="0"/>
        </w:rPr>
        <w:t xml:space="preserve">Bill </w:t>
      </w:r>
      <w:r w:rsidR="006E38A2" w:rsidRPr="00432427">
        <w:rPr>
          <w:rFonts w:cs="Arial"/>
          <w:i w:val="0"/>
        </w:rPr>
        <w:t>progresses</w:t>
      </w:r>
      <w:r w:rsidR="001F07D8" w:rsidRPr="00432427">
        <w:rPr>
          <w:rFonts w:cs="Arial"/>
          <w:i w:val="0"/>
        </w:rPr>
        <w:t xml:space="preserve"> </w:t>
      </w:r>
      <w:r w:rsidR="00A46558">
        <w:rPr>
          <w:rFonts w:cs="Arial"/>
          <w:i w:val="0"/>
        </w:rPr>
        <w:t xml:space="preserve">several </w:t>
      </w:r>
      <w:r w:rsidR="001F07D8" w:rsidRPr="00432427">
        <w:rPr>
          <w:rFonts w:cs="Arial"/>
          <w:i w:val="0"/>
        </w:rPr>
        <w:t xml:space="preserve">clarifying amendments relating to incident notification requirements including: </w:t>
      </w:r>
    </w:p>
    <w:p w14:paraId="5EB1BF26" w14:textId="246C68E2" w:rsidR="007B7C49" w:rsidRPr="00432427" w:rsidRDefault="002F232B" w:rsidP="00DF622F">
      <w:pPr>
        <w:pStyle w:val="ListParagraph"/>
        <w:numPr>
          <w:ilvl w:val="0"/>
          <w:numId w:val="43"/>
        </w:numPr>
        <w:spacing w:after="120"/>
        <w:rPr>
          <w:rFonts w:cs="Arial"/>
          <w:i w:val="0"/>
        </w:rPr>
      </w:pPr>
      <w:r w:rsidRPr="00432427">
        <w:rPr>
          <w:rFonts w:cs="Arial"/>
          <w:i w:val="0"/>
        </w:rPr>
        <w:t>c</w:t>
      </w:r>
      <w:r w:rsidR="007B7C49" w:rsidRPr="00432427">
        <w:rPr>
          <w:rFonts w:cs="Arial"/>
          <w:i w:val="0"/>
        </w:rPr>
        <w:t>larif</w:t>
      </w:r>
      <w:r w:rsidR="00A23509" w:rsidRPr="00432427">
        <w:rPr>
          <w:rFonts w:cs="Arial"/>
          <w:i w:val="0"/>
        </w:rPr>
        <w:t>ication of</w:t>
      </w:r>
      <w:r w:rsidR="007B7C49" w:rsidRPr="00432427">
        <w:rPr>
          <w:rFonts w:cs="Arial"/>
          <w:i w:val="0"/>
        </w:rPr>
        <w:t xml:space="preserve"> the definition</w:t>
      </w:r>
      <w:r w:rsidR="00A23509" w:rsidRPr="00432427">
        <w:rPr>
          <w:rFonts w:cs="Arial"/>
          <w:i w:val="0"/>
        </w:rPr>
        <w:t>s</w:t>
      </w:r>
      <w:r w:rsidR="007B7C49" w:rsidRPr="00432427">
        <w:rPr>
          <w:rFonts w:cs="Arial"/>
          <w:i w:val="0"/>
        </w:rPr>
        <w:t xml:space="preserve"> </w:t>
      </w:r>
      <w:r w:rsidR="00C72205" w:rsidRPr="00432427">
        <w:rPr>
          <w:rFonts w:cs="Arial"/>
          <w:i w:val="0"/>
        </w:rPr>
        <w:t>for</w:t>
      </w:r>
      <w:r w:rsidR="007B7C49" w:rsidRPr="00432427">
        <w:rPr>
          <w:rFonts w:cs="Arial"/>
          <w:i w:val="0"/>
        </w:rPr>
        <w:t xml:space="preserve"> ‘dangerous incident’ </w:t>
      </w:r>
      <w:r w:rsidR="00B816E7" w:rsidRPr="00432427">
        <w:rPr>
          <w:rFonts w:cs="Arial"/>
          <w:i w:val="0"/>
        </w:rPr>
        <w:t>and ‘serious injury or illness’</w:t>
      </w:r>
    </w:p>
    <w:p w14:paraId="5E7D5CFA" w14:textId="3513063B" w:rsidR="007B7C49" w:rsidRPr="00432427" w:rsidRDefault="001F07D8" w:rsidP="00DF622F">
      <w:pPr>
        <w:pStyle w:val="ListParagraph"/>
        <w:numPr>
          <w:ilvl w:val="0"/>
          <w:numId w:val="43"/>
        </w:numPr>
        <w:spacing w:after="120"/>
        <w:rPr>
          <w:rFonts w:cs="Arial"/>
          <w:i w:val="0"/>
        </w:rPr>
      </w:pPr>
      <w:r w:rsidRPr="00432427">
        <w:rPr>
          <w:rFonts w:cs="Arial"/>
          <w:i w:val="0"/>
        </w:rPr>
        <w:t>augmentation</w:t>
      </w:r>
      <w:r w:rsidR="00A23509" w:rsidRPr="00432427">
        <w:rPr>
          <w:rFonts w:cs="Arial"/>
          <w:i w:val="0"/>
        </w:rPr>
        <w:t xml:space="preserve"> of</w:t>
      </w:r>
      <w:r w:rsidR="007B7C49" w:rsidRPr="00432427">
        <w:rPr>
          <w:rFonts w:cs="Arial"/>
          <w:i w:val="0"/>
        </w:rPr>
        <w:t xml:space="preserve"> </w:t>
      </w:r>
      <w:r w:rsidR="00051679">
        <w:rPr>
          <w:rFonts w:cs="Arial"/>
          <w:i w:val="0"/>
        </w:rPr>
        <w:t xml:space="preserve">notifiable worker injuries to include </w:t>
      </w:r>
      <w:r w:rsidR="007B7C49" w:rsidRPr="00432427">
        <w:rPr>
          <w:rFonts w:cs="Arial"/>
          <w:i w:val="0"/>
        </w:rPr>
        <w:t>spinal injur</w:t>
      </w:r>
      <w:r w:rsidR="00300619">
        <w:rPr>
          <w:rFonts w:cs="Arial"/>
          <w:i w:val="0"/>
        </w:rPr>
        <w:t>y</w:t>
      </w:r>
      <w:r w:rsidR="007B7C49" w:rsidRPr="00432427">
        <w:rPr>
          <w:rFonts w:cs="Arial"/>
          <w:i w:val="0"/>
        </w:rPr>
        <w:t xml:space="preserve"> or a serious crush injury</w:t>
      </w:r>
      <w:r w:rsidR="524B27DE" w:rsidRPr="00432427">
        <w:rPr>
          <w:rFonts w:cs="Arial"/>
          <w:i w:val="0"/>
        </w:rPr>
        <w:t>,</w:t>
      </w:r>
    </w:p>
    <w:p w14:paraId="3EAA2C06" w14:textId="35E2DA54" w:rsidR="27D08476" w:rsidRPr="00761071" w:rsidRDefault="00C6233E" w:rsidP="00DF622F">
      <w:pPr>
        <w:pStyle w:val="ListParagraph"/>
        <w:numPr>
          <w:ilvl w:val="0"/>
          <w:numId w:val="43"/>
        </w:numPr>
        <w:spacing w:after="120"/>
        <w:rPr>
          <w:rFonts w:cs="Arial"/>
          <w:i w:val="0"/>
          <w:lang w:eastAsia="en-US"/>
        </w:rPr>
      </w:pPr>
      <w:r w:rsidRPr="00432427">
        <w:rPr>
          <w:rFonts w:cs="Arial"/>
          <w:i w:val="0"/>
        </w:rPr>
        <w:t>broadening</w:t>
      </w:r>
      <w:r w:rsidR="001F07D8" w:rsidRPr="00432427">
        <w:rPr>
          <w:rFonts w:cs="Arial"/>
          <w:i w:val="0"/>
        </w:rPr>
        <w:t xml:space="preserve"> of the relevant provisions to capture a </w:t>
      </w:r>
      <w:r w:rsidR="001F07D8" w:rsidRPr="00DF622F">
        <w:rPr>
          <w:rFonts w:cs="Arial"/>
          <w:iCs w:val="0"/>
        </w:rPr>
        <w:t>significant</w:t>
      </w:r>
      <w:r w:rsidR="001F07D8" w:rsidRPr="00432427">
        <w:rPr>
          <w:rFonts w:cs="Arial"/>
          <w:i w:val="0"/>
        </w:rPr>
        <w:t xml:space="preserve"> blow, knock or other shock to a person’s head, </w:t>
      </w:r>
      <w:r w:rsidR="002F232B" w:rsidRPr="00432427">
        <w:rPr>
          <w:rFonts w:cs="Arial"/>
          <w:i w:val="0"/>
        </w:rPr>
        <w:t>n</w:t>
      </w:r>
      <w:r w:rsidR="009A3692" w:rsidRPr="00432427">
        <w:rPr>
          <w:rFonts w:cs="Arial"/>
          <w:i w:val="0"/>
        </w:rPr>
        <w:t xml:space="preserve">oting the </w:t>
      </w:r>
      <w:r w:rsidR="007B7C49" w:rsidRPr="00432427">
        <w:rPr>
          <w:rFonts w:cs="Arial"/>
          <w:i w:val="0"/>
        </w:rPr>
        <w:t xml:space="preserve">current provisions may not capture a serious head injury where signs and symptoms </w:t>
      </w:r>
      <w:r w:rsidR="00F1483D">
        <w:rPr>
          <w:rFonts w:cs="Arial"/>
          <w:i w:val="0"/>
        </w:rPr>
        <w:t xml:space="preserve">of a serious head injury </w:t>
      </w:r>
      <w:r w:rsidR="007B7C49" w:rsidRPr="00432427">
        <w:rPr>
          <w:rFonts w:cs="Arial"/>
          <w:i w:val="0"/>
        </w:rPr>
        <w:t xml:space="preserve">may not be immediately </w:t>
      </w:r>
      <w:r w:rsidR="00306A9C">
        <w:rPr>
          <w:rFonts w:cs="Arial"/>
          <w:i w:val="0"/>
        </w:rPr>
        <w:t>apparent</w:t>
      </w:r>
      <w:r w:rsidRPr="00432427">
        <w:rPr>
          <w:rFonts w:cs="Arial"/>
          <w:i w:val="0"/>
        </w:rPr>
        <w:t>.</w:t>
      </w:r>
    </w:p>
    <w:p w14:paraId="1740DCA4" w14:textId="4CAA3A7E" w:rsidR="004A0123" w:rsidRPr="00432427" w:rsidRDefault="00E23F91" w:rsidP="00C6233E">
      <w:pPr>
        <w:rPr>
          <w:rFonts w:cs="Arial"/>
          <w:i w:val="0"/>
        </w:rPr>
      </w:pPr>
      <w:r>
        <w:rPr>
          <w:rFonts w:cs="Arial"/>
          <w:i w:val="0"/>
        </w:rPr>
        <w:t xml:space="preserve">In addition, a new </w:t>
      </w:r>
      <w:r w:rsidR="0012678C">
        <w:rPr>
          <w:rFonts w:cs="Arial"/>
          <w:i w:val="0"/>
        </w:rPr>
        <w:t>WHS obligation</w:t>
      </w:r>
      <w:r>
        <w:rPr>
          <w:rFonts w:cs="Arial"/>
          <w:i w:val="0"/>
        </w:rPr>
        <w:t xml:space="preserve"> has been </w:t>
      </w:r>
      <w:r w:rsidR="00760DA0">
        <w:rPr>
          <w:rFonts w:cs="Arial"/>
          <w:i w:val="0"/>
        </w:rPr>
        <w:t>created</w:t>
      </w:r>
      <w:r>
        <w:rPr>
          <w:rFonts w:cs="Arial"/>
          <w:i w:val="0"/>
        </w:rPr>
        <w:t xml:space="preserve"> to </w:t>
      </w:r>
      <w:r w:rsidR="00C65492" w:rsidRPr="00432427">
        <w:rPr>
          <w:rFonts w:cs="Arial"/>
          <w:i w:val="0"/>
        </w:rPr>
        <w:t>ensure that</w:t>
      </w:r>
      <w:r w:rsidR="00B438B1" w:rsidRPr="00432427">
        <w:rPr>
          <w:rFonts w:cs="Arial"/>
          <w:i w:val="0"/>
        </w:rPr>
        <w:t xml:space="preserve"> </w:t>
      </w:r>
      <w:r w:rsidR="001B60DB" w:rsidRPr="00432427">
        <w:rPr>
          <w:rFonts w:cs="Arial"/>
          <w:i w:val="0"/>
        </w:rPr>
        <w:t xml:space="preserve">a PCBU </w:t>
      </w:r>
      <w:r w:rsidR="00374C1A" w:rsidRPr="00432427">
        <w:rPr>
          <w:rFonts w:cs="Arial"/>
          <w:i w:val="0"/>
        </w:rPr>
        <w:t xml:space="preserve">and </w:t>
      </w:r>
      <w:r w:rsidR="002B204C" w:rsidRPr="00432427">
        <w:rPr>
          <w:rFonts w:cs="Arial"/>
          <w:i w:val="0"/>
        </w:rPr>
        <w:t>persons with management or control of a workplace</w:t>
      </w:r>
      <w:r w:rsidR="008870A6" w:rsidRPr="00432427">
        <w:rPr>
          <w:rFonts w:cs="Arial"/>
          <w:i w:val="0"/>
        </w:rPr>
        <w:t xml:space="preserve"> notify each other of a notifiable incide</w:t>
      </w:r>
      <w:r w:rsidR="00B25BDE" w:rsidRPr="00432427">
        <w:rPr>
          <w:rFonts w:cs="Arial"/>
          <w:i w:val="0"/>
        </w:rPr>
        <w:t>nt</w:t>
      </w:r>
      <w:r w:rsidR="00BF109A">
        <w:rPr>
          <w:rFonts w:cs="Arial"/>
          <w:i w:val="0"/>
        </w:rPr>
        <w:t xml:space="preserve"> at the workplace</w:t>
      </w:r>
      <w:r w:rsidR="00B25BDE" w:rsidRPr="00432427">
        <w:rPr>
          <w:rFonts w:cs="Arial"/>
          <w:i w:val="0"/>
        </w:rPr>
        <w:t xml:space="preserve">. </w:t>
      </w:r>
      <w:r w:rsidR="00742065" w:rsidRPr="00432427">
        <w:rPr>
          <w:rFonts w:cs="Arial"/>
          <w:i w:val="0"/>
        </w:rPr>
        <w:t xml:space="preserve">This </w:t>
      </w:r>
      <w:r w:rsidR="00B25BDE" w:rsidRPr="00432427">
        <w:rPr>
          <w:rFonts w:cs="Arial"/>
          <w:i w:val="0"/>
        </w:rPr>
        <w:t>obligation is</w:t>
      </w:r>
      <w:r w:rsidR="00742065" w:rsidRPr="00432427">
        <w:rPr>
          <w:rFonts w:cs="Arial"/>
          <w:i w:val="0"/>
        </w:rPr>
        <w:t xml:space="preserve"> designed to ensure timely and coordinated responses to notifiable incidents, promote information sharing, and enhance regulatory visibility, particularly in complex or multi-duty-holder environments.</w:t>
      </w:r>
      <w:r w:rsidR="00760DA0">
        <w:rPr>
          <w:rFonts w:cs="Arial"/>
          <w:i w:val="0"/>
        </w:rPr>
        <w:t xml:space="preserve"> </w:t>
      </w:r>
      <w:r w:rsidR="00EF160B">
        <w:rPr>
          <w:rFonts w:cs="Arial"/>
          <w:i w:val="0"/>
        </w:rPr>
        <w:t>Relevantly, section 12A of the WHS</w:t>
      </w:r>
      <w:r w:rsidR="00183E05">
        <w:rPr>
          <w:rFonts w:cs="Arial"/>
          <w:i w:val="0"/>
        </w:rPr>
        <w:t> </w:t>
      </w:r>
      <w:r w:rsidR="00EF160B">
        <w:rPr>
          <w:rFonts w:cs="Arial"/>
          <w:i w:val="0"/>
        </w:rPr>
        <w:t>Act appl</w:t>
      </w:r>
      <w:r w:rsidR="00D90973">
        <w:rPr>
          <w:rFonts w:cs="Arial"/>
          <w:i w:val="0"/>
        </w:rPr>
        <w:t xml:space="preserve">ies to this new offence, making it a </w:t>
      </w:r>
      <w:r w:rsidR="00D5424C">
        <w:rPr>
          <w:rFonts w:cs="Arial"/>
          <w:i w:val="0"/>
        </w:rPr>
        <w:t>strict liability offence.</w:t>
      </w:r>
    </w:p>
    <w:p w14:paraId="2A411C54" w14:textId="77777777" w:rsidR="00D90973" w:rsidRPr="008F381B" w:rsidRDefault="00D90973" w:rsidP="008F381B">
      <w:pPr>
        <w:spacing w:after="0"/>
        <w:rPr>
          <w:rFonts w:cs="Arial"/>
          <w:i w:val="0"/>
          <w:highlight w:val="yellow"/>
        </w:rPr>
      </w:pPr>
    </w:p>
    <w:p w14:paraId="1129B5A8" w14:textId="257010C9" w:rsidR="00321E8A" w:rsidRPr="00042B10" w:rsidRDefault="001F6A8A" w:rsidP="00C6233E">
      <w:pPr>
        <w:rPr>
          <w:rFonts w:cs="Arial"/>
        </w:rPr>
      </w:pPr>
      <w:r w:rsidRPr="00042B10">
        <w:rPr>
          <w:rFonts w:cs="Arial"/>
        </w:rPr>
        <w:t>W</w:t>
      </w:r>
      <w:r w:rsidR="00BB5B2D" w:rsidRPr="00042B10">
        <w:rPr>
          <w:rFonts w:cs="Arial"/>
        </w:rPr>
        <w:t xml:space="preserve">ork Health and Safety prosecution </w:t>
      </w:r>
      <w:r w:rsidR="00A8693E" w:rsidRPr="00042B10">
        <w:rPr>
          <w:rFonts w:cs="Arial"/>
        </w:rPr>
        <w:t>l</w:t>
      </w:r>
      <w:r w:rsidR="00321E8A" w:rsidRPr="00042B10">
        <w:rPr>
          <w:rFonts w:cs="Arial"/>
        </w:rPr>
        <w:t xml:space="preserve">imitation </w:t>
      </w:r>
      <w:r w:rsidR="00A8693E" w:rsidRPr="00042B10">
        <w:rPr>
          <w:rFonts w:cs="Arial"/>
        </w:rPr>
        <w:t>a</w:t>
      </w:r>
      <w:r w:rsidR="00321E8A" w:rsidRPr="00042B10">
        <w:rPr>
          <w:rFonts w:cs="Arial"/>
        </w:rPr>
        <w:t>mendment</w:t>
      </w:r>
    </w:p>
    <w:p w14:paraId="49FC9C81" w14:textId="1BE525EB" w:rsidR="00F95B45" w:rsidRPr="00432427" w:rsidRDefault="00F95B45" w:rsidP="00C6233E">
      <w:pPr>
        <w:pStyle w:val="Subheading10"/>
        <w:rPr>
          <w:rFonts w:cs="Arial"/>
          <w:b w:val="0"/>
          <w:i w:val="0"/>
          <w:sz w:val="24"/>
          <w:szCs w:val="24"/>
          <w:u w:val="none"/>
        </w:rPr>
      </w:pPr>
      <w:r w:rsidRPr="00432427">
        <w:rPr>
          <w:rFonts w:cs="Arial"/>
          <w:b w:val="0"/>
          <w:i w:val="0"/>
          <w:sz w:val="24"/>
          <w:szCs w:val="24"/>
          <w:u w:val="none"/>
        </w:rPr>
        <w:t>Section 232 of the WHS Act provides for time limits in which a prosecution may commen</w:t>
      </w:r>
      <w:r w:rsidR="00BE5656">
        <w:rPr>
          <w:rFonts w:cs="Arial"/>
          <w:b w:val="0"/>
          <w:i w:val="0"/>
          <w:sz w:val="24"/>
          <w:szCs w:val="24"/>
          <w:u w:val="none"/>
        </w:rPr>
        <w:t>ce</w:t>
      </w:r>
      <w:r w:rsidRPr="00432427">
        <w:rPr>
          <w:rFonts w:cs="Arial"/>
          <w:b w:val="0"/>
          <w:i w:val="0"/>
          <w:sz w:val="24"/>
          <w:szCs w:val="24"/>
          <w:u w:val="none"/>
        </w:rPr>
        <w:t xml:space="preserve">, being within 2 years after the offence comes to the notice of the </w:t>
      </w:r>
      <w:r w:rsidR="00B006C5">
        <w:rPr>
          <w:rFonts w:cs="Arial"/>
          <w:b w:val="0"/>
          <w:i w:val="0"/>
          <w:sz w:val="24"/>
          <w:szCs w:val="24"/>
          <w:u w:val="none"/>
        </w:rPr>
        <w:t>r</w:t>
      </w:r>
      <w:r w:rsidRPr="00432427">
        <w:rPr>
          <w:rFonts w:cs="Arial"/>
          <w:b w:val="0"/>
          <w:i w:val="0"/>
          <w:sz w:val="24"/>
          <w:szCs w:val="24"/>
          <w:u w:val="none"/>
        </w:rPr>
        <w:t>egulator, or within 1 year after a coronial report was made or a coronial inquiry ended if it appeared from the report or proceeding that an offence had been committed.</w:t>
      </w:r>
    </w:p>
    <w:p w14:paraId="7B0CD528" w14:textId="62EBEC68" w:rsidR="00F95B45" w:rsidRDefault="00F95B45" w:rsidP="00C6233E">
      <w:pPr>
        <w:pStyle w:val="Subheading10"/>
        <w:rPr>
          <w:rFonts w:cs="Arial"/>
          <w:b w:val="0"/>
          <w:i w:val="0"/>
          <w:sz w:val="24"/>
          <w:szCs w:val="24"/>
          <w:u w:val="none"/>
        </w:rPr>
      </w:pPr>
      <w:r w:rsidRPr="00432427">
        <w:rPr>
          <w:rFonts w:cs="Arial"/>
          <w:b w:val="0"/>
          <w:i w:val="0"/>
          <w:sz w:val="24"/>
          <w:szCs w:val="24"/>
          <w:u w:val="none"/>
        </w:rPr>
        <w:t xml:space="preserve">An exception exists that a proceeding for a category 1 offence may be brought after the end of the applicable limitation period in section 232(1) </w:t>
      </w:r>
      <w:r w:rsidR="00017077">
        <w:rPr>
          <w:rFonts w:cs="Arial"/>
          <w:b w:val="0"/>
          <w:i w:val="0"/>
          <w:sz w:val="24"/>
          <w:szCs w:val="24"/>
          <w:u w:val="none"/>
        </w:rPr>
        <w:t xml:space="preserve">of the WHS Act </w:t>
      </w:r>
      <w:r w:rsidRPr="00432427">
        <w:rPr>
          <w:rFonts w:cs="Arial"/>
          <w:b w:val="0"/>
          <w:i w:val="0"/>
          <w:sz w:val="24"/>
          <w:szCs w:val="24"/>
          <w:u w:val="none"/>
        </w:rPr>
        <w:t xml:space="preserve">if fresh evidence relevant to the offence is discovered and the court is satisfied that the evidence could not reasonably have been discovered within the relevant limitation period. </w:t>
      </w:r>
    </w:p>
    <w:p w14:paraId="26F9F41B" w14:textId="122053B5" w:rsidR="005A7E8F" w:rsidRPr="00432427" w:rsidRDefault="00534F86" w:rsidP="00C6233E">
      <w:pPr>
        <w:pStyle w:val="Subheading10"/>
        <w:rPr>
          <w:rFonts w:cs="Arial"/>
          <w:b w:val="0"/>
          <w:i w:val="0"/>
          <w:sz w:val="24"/>
          <w:szCs w:val="24"/>
          <w:u w:val="none"/>
        </w:rPr>
      </w:pPr>
      <w:r>
        <w:rPr>
          <w:rFonts w:cs="Arial"/>
          <w:b w:val="0"/>
          <w:i w:val="0"/>
          <w:sz w:val="24"/>
          <w:szCs w:val="24"/>
          <w:u w:val="none"/>
        </w:rPr>
        <w:t>T</w:t>
      </w:r>
      <w:r w:rsidR="005A7E8F">
        <w:rPr>
          <w:rFonts w:cs="Arial"/>
          <w:b w:val="0"/>
          <w:i w:val="0"/>
          <w:sz w:val="24"/>
          <w:szCs w:val="24"/>
          <w:u w:val="none"/>
        </w:rPr>
        <w:t xml:space="preserve">he time limits </w:t>
      </w:r>
      <w:r w:rsidR="006B16E3">
        <w:rPr>
          <w:rFonts w:cs="Arial"/>
          <w:b w:val="0"/>
          <w:i w:val="0"/>
          <w:sz w:val="24"/>
          <w:szCs w:val="24"/>
          <w:u w:val="none"/>
        </w:rPr>
        <w:t>under section 232 of the WHS Act d</w:t>
      </w:r>
      <w:r w:rsidR="00DA5661">
        <w:rPr>
          <w:rFonts w:cs="Arial"/>
          <w:b w:val="0"/>
          <w:i w:val="0"/>
          <w:sz w:val="24"/>
          <w:szCs w:val="24"/>
          <w:u w:val="none"/>
        </w:rPr>
        <w:t>o not apply to a proceeding for an industrial manslaughter offence.</w:t>
      </w:r>
    </w:p>
    <w:p w14:paraId="365A46A2" w14:textId="3300B9A8" w:rsidR="00F95B45" w:rsidRPr="00432427" w:rsidRDefault="00F95B45" w:rsidP="00C6233E">
      <w:pPr>
        <w:pStyle w:val="Subheading10"/>
        <w:rPr>
          <w:rFonts w:cs="Arial"/>
          <w:b w:val="0"/>
          <w:i w:val="0"/>
          <w:sz w:val="24"/>
          <w:szCs w:val="24"/>
          <w:u w:val="none"/>
        </w:rPr>
      </w:pPr>
      <w:r w:rsidRPr="00432427">
        <w:rPr>
          <w:rFonts w:cs="Arial"/>
          <w:b w:val="0"/>
          <w:i w:val="0"/>
          <w:sz w:val="24"/>
          <w:szCs w:val="24"/>
          <w:u w:val="none"/>
        </w:rPr>
        <w:t xml:space="preserve">WHS investigations are complex noting the type of matters that can be investigated </w:t>
      </w:r>
      <w:r w:rsidR="00136345">
        <w:rPr>
          <w:rFonts w:cs="Arial"/>
          <w:b w:val="0"/>
          <w:i w:val="0"/>
          <w:sz w:val="24"/>
          <w:szCs w:val="24"/>
          <w:u w:val="none"/>
        </w:rPr>
        <w:t>cover</w:t>
      </w:r>
      <w:r w:rsidRPr="00432427">
        <w:rPr>
          <w:rFonts w:cs="Arial"/>
          <w:b w:val="0"/>
          <w:i w:val="0"/>
          <w:sz w:val="24"/>
          <w:szCs w:val="24"/>
          <w:u w:val="none"/>
        </w:rPr>
        <w:t xml:space="preserve"> workplace deaths, as well as matter</w:t>
      </w:r>
      <w:r w:rsidR="003D7314">
        <w:rPr>
          <w:rFonts w:cs="Arial"/>
          <w:b w:val="0"/>
          <w:i w:val="0"/>
          <w:sz w:val="24"/>
          <w:szCs w:val="24"/>
          <w:u w:val="none"/>
        </w:rPr>
        <w:t>s</w:t>
      </w:r>
      <w:r w:rsidRPr="00432427">
        <w:rPr>
          <w:rFonts w:cs="Arial"/>
          <w:b w:val="0"/>
          <w:i w:val="0"/>
          <w:sz w:val="24"/>
          <w:szCs w:val="24"/>
          <w:u w:val="none"/>
        </w:rPr>
        <w:t xml:space="preserve"> that could lea</w:t>
      </w:r>
      <w:r w:rsidR="00D0534D">
        <w:rPr>
          <w:rFonts w:cs="Arial"/>
          <w:b w:val="0"/>
          <w:i w:val="0"/>
          <w:sz w:val="24"/>
          <w:szCs w:val="24"/>
          <w:u w:val="none"/>
        </w:rPr>
        <w:t>d</w:t>
      </w:r>
      <w:r w:rsidRPr="00432427">
        <w:rPr>
          <w:rFonts w:cs="Arial"/>
          <w:b w:val="0"/>
          <w:i w:val="0"/>
          <w:sz w:val="24"/>
          <w:szCs w:val="24"/>
          <w:u w:val="none"/>
        </w:rPr>
        <w:t xml:space="preserve"> to death or serious injury.</w:t>
      </w:r>
    </w:p>
    <w:p w14:paraId="1D4B1865" w14:textId="6C28E386" w:rsidR="00F95B45" w:rsidRPr="00A379BE" w:rsidRDefault="00F95B45" w:rsidP="00C6233E">
      <w:pPr>
        <w:pStyle w:val="Subheading10"/>
        <w:rPr>
          <w:rFonts w:cs="Arial"/>
          <w:b w:val="0"/>
          <w:i w:val="0"/>
          <w:sz w:val="24"/>
          <w:szCs w:val="24"/>
          <w:u w:val="none"/>
        </w:rPr>
      </w:pPr>
      <w:r w:rsidRPr="00432427">
        <w:rPr>
          <w:rFonts w:cs="Arial"/>
          <w:b w:val="0"/>
          <w:i w:val="0"/>
          <w:sz w:val="24"/>
          <w:szCs w:val="24"/>
          <w:u w:val="none"/>
        </w:rPr>
        <w:t>The prosecution limitation period was recently questioned in N</w:t>
      </w:r>
      <w:r w:rsidR="00007644" w:rsidRPr="00432427">
        <w:rPr>
          <w:rFonts w:cs="Arial"/>
          <w:b w:val="0"/>
          <w:i w:val="0"/>
          <w:sz w:val="24"/>
          <w:szCs w:val="24"/>
          <w:u w:val="none"/>
        </w:rPr>
        <w:t xml:space="preserve">ew </w:t>
      </w:r>
      <w:r w:rsidRPr="00432427">
        <w:rPr>
          <w:rFonts w:cs="Arial"/>
          <w:b w:val="0"/>
          <w:i w:val="0"/>
          <w:sz w:val="24"/>
          <w:szCs w:val="24"/>
          <w:u w:val="none"/>
        </w:rPr>
        <w:t>S</w:t>
      </w:r>
      <w:r w:rsidR="00007644" w:rsidRPr="00432427">
        <w:rPr>
          <w:rFonts w:cs="Arial"/>
          <w:b w:val="0"/>
          <w:i w:val="0"/>
          <w:sz w:val="24"/>
          <w:szCs w:val="24"/>
          <w:u w:val="none"/>
        </w:rPr>
        <w:t xml:space="preserve">outh </w:t>
      </w:r>
      <w:r w:rsidRPr="00432427">
        <w:rPr>
          <w:rFonts w:cs="Arial"/>
          <w:b w:val="0"/>
          <w:i w:val="0"/>
          <w:sz w:val="24"/>
          <w:szCs w:val="24"/>
          <w:u w:val="none"/>
        </w:rPr>
        <w:t>W</w:t>
      </w:r>
      <w:r w:rsidR="00007644" w:rsidRPr="00432427">
        <w:rPr>
          <w:rFonts w:cs="Arial"/>
          <w:b w:val="0"/>
          <w:i w:val="0"/>
          <w:sz w:val="24"/>
          <w:szCs w:val="24"/>
          <w:u w:val="none"/>
        </w:rPr>
        <w:t>ales (NSW)</w:t>
      </w:r>
      <w:r w:rsidRPr="00432427">
        <w:rPr>
          <w:rFonts w:cs="Arial"/>
          <w:b w:val="0"/>
          <w:i w:val="0"/>
          <w:sz w:val="24"/>
          <w:szCs w:val="24"/>
          <w:u w:val="none"/>
        </w:rPr>
        <w:t xml:space="preserve"> in the proceedings</w:t>
      </w:r>
      <w:r w:rsidR="00F47CAC">
        <w:rPr>
          <w:rFonts w:cs="Arial"/>
          <w:b w:val="0"/>
          <w:i w:val="0"/>
          <w:sz w:val="24"/>
          <w:szCs w:val="24"/>
          <w:u w:val="none"/>
        </w:rPr>
        <w:t xml:space="preserve"> of</w:t>
      </w:r>
      <w:r w:rsidRPr="00432427">
        <w:rPr>
          <w:rFonts w:cs="Arial"/>
          <w:b w:val="0"/>
          <w:i w:val="0"/>
          <w:sz w:val="24"/>
          <w:szCs w:val="24"/>
          <w:u w:val="none"/>
        </w:rPr>
        <w:t xml:space="preserve"> </w:t>
      </w:r>
      <w:r w:rsidRPr="00042B10">
        <w:rPr>
          <w:rFonts w:cs="Arial"/>
          <w:b w:val="0"/>
          <w:sz w:val="24"/>
          <w:szCs w:val="24"/>
          <w:u w:val="none"/>
        </w:rPr>
        <w:t>Prime Marble &amp; Granite Pty Ltd v SafeWork NSW</w:t>
      </w:r>
      <w:r w:rsidRPr="00A379BE">
        <w:rPr>
          <w:rStyle w:val="FootnoteReference"/>
          <w:rFonts w:eastAsia="Times New Roman"/>
          <w:b w:val="0"/>
          <w:i w:val="0"/>
          <w:sz w:val="24"/>
          <w:szCs w:val="24"/>
          <w:u w:val="none"/>
        </w:rPr>
        <w:footnoteReference w:id="2"/>
      </w:r>
      <w:r w:rsidRPr="00A379BE">
        <w:rPr>
          <w:rFonts w:cs="Arial"/>
          <w:b w:val="0"/>
          <w:i w:val="0"/>
          <w:sz w:val="24"/>
          <w:szCs w:val="24"/>
          <w:u w:val="none"/>
        </w:rPr>
        <w:t xml:space="preserve"> where a prosecution against Prime Marble for the deaths of two workers exposed to unsafe levels of respirable crystalline silica was dismissed due to being out of time. </w:t>
      </w:r>
    </w:p>
    <w:p w14:paraId="64F3ADDC" w14:textId="47688339" w:rsidR="00F95B45" w:rsidRPr="00A379BE" w:rsidRDefault="00F95B45" w:rsidP="00C6233E">
      <w:pPr>
        <w:pStyle w:val="Subheading10"/>
        <w:rPr>
          <w:rFonts w:cs="Arial"/>
          <w:b w:val="0"/>
          <w:i w:val="0"/>
          <w:sz w:val="24"/>
          <w:szCs w:val="24"/>
          <w:u w:val="none"/>
        </w:rPr>
      </w:pPr>
      <w:r w:rsidRPr="00A379BE">
        <w:rPr>
          <w:rFonts w:cs="Arial"/>
          <w:b w:val="0"/>
          <w:i w:val="0"/>
          <w:sz w:val="24"/>
          <w:szCs w:val="24"/>
          <w:u w:val="none"/>
        </w:rPr>
        <w:t>Notwithstanding that the prosecution had commenced in March 2023, less than 2</w:t>
      </w:r>
      <w:r w:rsidR="00B6269B">
        <w:rPr>
          <w:rFonts w:cs="Arial"/>
          <w:b w:val="0"/>
          <w:i w:val="0"/>
          <w:sz w:val="24"/>
          <w:szCs w:val="24"/>
          <w:u w:val="none"/>
        </w:rPr>
        <w:t> </w:t>
      </w:r>
      <w:r w:rsidRPr="00A379BE">
        <w:rPr>
          <w:rFonts w:cs="Arial"/>
          <w:b w:val="0"/>
          <w:i w:val="0"/>
          <w:sz w:val="24"/>
          <w:szCs w:val="24"/>
          <w:u w:val="none"/>
        </w:rPr>
        <w:t>years after the NSW regulator became aware of the deaths, they had previously attended a Prime Marble site in August 2017 and established 5 workers had been exposed to more than 7.5 times the exposure standard. The NSW regulator issue</w:t>
      </w:r>
      <w:r w:rsidR="00EA7C80">
        <w:rPr>
          <w:rFonts w:cs="Arial"/>
          <w:b w:val="0"/>
          <w:i w:val="0"/>
          <w:sz w:val="24"/>
          <w:szCs w:val="24"/>
          <w:u w:val="none"/>
        </w:rPr>
        <w:t>d</w:t>
      </w:r>
      <w:r w:rsidRPr="00A379BE">
        <w:rPr>
          <w:rFonts w:cs="Arial"/>
          <w:b w:val="0"/>
          <w:i w:val="0"/>
          <w:sz w:val="24"/>
          <w:szCs w:val="24"/>
          <w:u w:val="none"/>
        </w:rPr>
        <w:t xml:space="preserve"> improvement notices, identifying a contravention on 16 March 2018 relating to unsafe exposure to respirable crystalline silica. The</w:t>
      </w:r>
      <w:r w:rsidR="00426D6A" w:rsidRPr="00A379BE" w:rsidDel="0090569D">
        <w:rPr>
          <w:rFonts w:cs="Arial"/>
          <w:b w:val="0"/>
          <w:i w:val="0"/>
          <w:sz w:val="24"/>
          <w:szCs w:val="24"/>
          <w:u w:val="none"/>
        </w:rPr>
        <w:t xml:space="preserve"> </w:t>
      </w:r>
      <w:r w:rsidRPr="00A379BE">
        <w:rPr>
          <w:rFonts w:cs="Arial"/>
          <w:b w:val="0"/>
          <w:i w:val="0"/>
          <w:sz w:val="24"/>
          <w:szCs w:val="24"/>
          <w:u w:val="none"/>
        </w:rPr>
        <w:t>Court of Criminal Appeal determined that the NSW regulator became aware of the offence in at least 2018 and were outside of the limitation period.</w:t>
      </w:r>
    </w:p>
    <w:p w14:paraId="7AB02C31" w14:textId="50F35E24" w:rsidR="0063129D" w:rsidRPr="00A379BE" w:rsidRDefault="00C521D5" w:rsidP="00793FC9">
      <w:pPr>
        <w:pStyle w:val="Subheading10"/>
        <w:rPr>
          <w:rFonts w:cs="Arial"/>
          <w:b w:val="0"/>
          <w:i w:val="0"/>
          <w:sz w:val="24"/>
          <w:szCs w:val="24"/>
          <w:u w:val="none"/>
        </w:rPr>
      </w:pPr>
      <w:r w:rsidRPr="00A379BE">
        <w:rPr>
          <w:rFonts w:cs="Arial"/>
          <w:b w:val="0"/>
          <w:i w:val="0"/>
          <w:sz w:val="24"/>
          <w:szCs w:val="24"/>
          <w:u w:val="none"/>
        </w:rPr>
        <w:t>T</w:t>
      </w:r>
      <w:r w:rsidR="009C55C2" w:rsidRPr="00A379BE">
        <w:rPr>
          <w:rFonts w:cs="Arial"/>
          <w:b w:val="0"/>
          <w:i w:val="0"/>
          <w:sz w:val="24"/>
          <w:szCs w:val="24"/>
          <w:u w:val="none"/>
        </w:rPr>
        <w:t xml:space="preserve">his amendment </w:t>
      </w:r>
      <w:r w:rsidR="00681A10" w:rsidRPr="00A379BE">
        <w:rPr>
          <w:rFonts w:cs="Arial"/>
          <w:b w:val="0"/>
          <w:i w:val="0"/>
          <w:sz w:val="24"/>
          <w:szCs w:val="24"/>
          <w:u w:val="none"/>
        </w:rPr>
        <w:t>is</w:t>
      </w:r>
      <w:r w:rsidR="009C55C2" w:rsidRPr="00A379BE">
        <w:rPr>
          <w:rFonts w:cs="Arial"/>
          <w:b w:val="0"/>
          <w:i w:val="0"/>
          <w:sz w:val="24"/>
          <w:szCs w:val="24"/>
          <w:u w:val="none"/>
        </w:rPr>
        <w:t xml:space="preserve"> designed </w:t>
      </w:r>
      <w:r w:rsidR="00A42D14" w:rsidRPr="00A379BE">
        <w:rPr>
          <w:rFonts w:cs="Arial"/>
          <w:b w:val="0"/>
          <w:i w:val="0"/>
          <w:sz w:val="24"/>
          <w:szCs w:val="24"/>
          <w:u w:val="none"/>
        </w:rPr>
        <w:t xml:space="preserve">to </w:t>
      </w:r>
      <w:r w:rsidR="009C55C2" w:rsidRPr="00A379BE">
        <w:rPr>
          <w:rFonts w:cs="Arial"/>
          <w:b w:val="0"/>
          <w:i w:val="0"/>
          <w:sz w:val="24"/>
          <w:szCs w:val="24"/>
          <w:u w:val="none"/>
        </w:rPr>
        <w:t xml:space="preserve">remedy </w:t>
      </w:r>
      <w:r w:rsidR="00A42D14" w:rsidRPr="00A379BE">
        <w:rPr>
          <w:rFonts w:cs="Arial"/>
          <w:b w:val="0"/>
          <w:i w:val="0"/>
          <w:sz w:val="24"/>
          <w:szCs w:val="24"/>
          <w:u w:val="none"/>
        </w:rPr>
        <w:t xml:space="preserve">and </w:t>
      </w:r>
      <w:r w:rsidRPr="00A379BE">
        <w:rPr>
          <w:rFonts w:cs="Arial"/>
          <w:b w:val="0"/>
          <w:i w:val="0"/>
          <w:sz w:val="24"/>
          <w:szCs w:val="24"/>
          <w:u w:val="none"/>
        </w:rPr>
        <w:t xml:space="preserve">avoid </w:t>
      </w:r>
      <w:r w:rsidR="00267D72" w:rsidRPr="00A379BE">
        <w:rPr>
          <w:rFonts w:cs="Arial"/>
          <w:b w:val="0"/>
          <w:i w:val="0"/>
          <w:sz w:val="24"/>
          <w:szCs w:val="24"/>
          <w:u w:val="none"/>
        </w:rPr>
        <w:t>any doubt of</w:t>
      </w:r>
      <w:r w:rsidR="009C55C2" w:rsidRPr="00A379BE">
        <w:rPr>
          <w:rFonts w:cs="Arial"/>
          <w:b w:val="0"/>
          <w:i w:val="0"/>
          <w:sz w:val="24"/>
          <w:szCs w:val="24"/>
          <w:u w:val="none"/>
        </w:rPr>
        <w:t xml:space="preserve"> the intent </w:t>
      </w:r>
      <w:r w:rsidR="003C466F" w:rsidRPr="00A379BE">
        <w:rPr>
          <w:rFonts w:cs="Arial"/>
          <w:b w:val="0"/>
          <w:i w:val="0"/>
          <w:sz w:val="24"/>
          <w:szCs w:val="24"/>
          <w:u w:val="none"/>
        </w:rPr>
        <w:t xml:space="preserve">and the </w:t>
      </w:r>
      <w:r w:rsidR="000B2CAD" w:rsidRPr="00A379BE">
        <w:rPr>
          <w:rFonts w:cs="Arial"/>
          <w:b w:val="0"/>
          <w:i w:val="0"/>
          <w:sz w:val="24"/>
          <w:szCs w:val="24"/>
          <w:u w:val="none"/>
        </w:rPr>
        <w:t xml:space="preserve">application of the </w:t>
      </w:r>
      <w:r w:rsidR="003C466F" w:rsidRPr="00A379BE">
        <w:rPr>
          <w:rFonts w:cs="Arial"/>
          <w:b w:val="0"/>
          <w:i w:val="0"/>
          <w:sz w:val="24"/>
          <w:szCs w:val="24"/>
          <w:u w:val="none"/>
        </w:rPr>
        <w:t>w</w:t>
      </w:r>
      <w:r w:rsidR="000B2CAD" w:rsidRPr="00A379BE">
        <w:rPr>
          <w:rFonts w:cs="Arial"/>
          <w:b w:val="0"/>
          <w:i w:val="0"/>
          <w:sz w:val="24"/>
          <w:szCs w:val="24"/>
          <w:u w:val="none"/>
        </w:rPr>
        <w:t xml:space="preserve">ork health and </w:t>
      </w:r>
      <w:r w:rsidR="003C466F" w:rsidRPr="00A379BE">
        <w:rPr>
          <w:rFonts w:cs="Arial"/>
          <w:b w:val="0"/>
          <w:i w:val="0"/>
          <w:sz w:val="24"/>
          <w:szCs w:val="24"/>
          <w:u w:val="none"/>
        </w:rPr>
        <w:t>s</w:t>
      </w:r>
      <w:r w:rsidR="000B2CAD" w:rsidRPr="00A379BE">
        <w:rPr>
          <w:rFonts w:cs="Arial"/>
          <w:b w:val="0"/>
          <w:i w:val="0"/>
          <w:sz w:val="24"/>
          <w:szCs w:val="24"/>
          <w:u w:val="none"/>
        </w:rPr>
        <w:t xml:space="preserve">afety </w:t>
      </w:r>
      <w:r w:rsidR="00ED6A9D" w:rsidRPr="00A379BE">
        <w:rPr>
          <w:rFonts w:cs="Arial"/>
          <w:b w:val="0"/>
          <w:i w:val="0"/>
          <w:sz w:val="24"/>
          <w:szCs w:val="24"/>
          <w:u w:val="none"/>
        </w:rPr>
        <w:t xml:space="preserve">prosecution limitation periods. </w:t>
      </w:r>
      <w:r w:rsidR="00521D8A" w:rsidRPr="00A379BE">
        <w:rPr>
          <w:rFonts w:cs="Arial"/>
          <w:b w:val="0"/>
          <w:i w:val="0"/>
          <w:sz w:val="24"/>
          <w:szCs w:val="24"/>
          <w:u w:val="none"/>
        </w:rPr>
        <w:t>The ACT</w:t>
      </w:r>
      <w:r w:rsidR="0077146A" w:rsidRPr="00A379BE">
        <w:rPr>
          <w:rFonts w:cs="Arial"/>
          <w:b w:val="0"/>
          <w:i w:val="0"/>
          <w:sz w:val="24"/>
          <w:szCs w:val="24"/>
          <w:u w:val="none"/>
        </w:rPr>
        <w:t xml:space="preserve"> recognises that the interpretation of the NSW Cr</w:t>
      </w:r>
      <w:r w:rsidR="008C2B90" w:rsidRPr="00A379BE">
        <w:rPr>
          <w:rFonts w:cs="Arial"/>
          <w:b w:val="0"/>
          <w:i w:val="0"/>
          <w:sz w:val="24"/>
          <w:szCs w:val="24"/>
          <w:u w:val="none"/>
        </w:rPr>
        <w:t>i</w:t>
      </w:r>
      <w:r w:rsidR="0077146A" w:rsidRPr="00A379BE">
        <w:rPr>
          <w:rFonts w:cs="Arial"/>
          <w:b w:val="0"/>
          <w:i w:val="0"/>
          <w:sz w:val="24"/>
          <w:szCs w:val="24"/>
          <w:u w:val="none"/>
        </w:rPr>
        <w:t xml:space="preserve">minal Court of Appeal </w:t>
      </w:r>
      <w:r w:rsidR="005D3BAA" w:rsidRPr="00A379BE">
        <w:rPr>
          <w:rFonts w:cs="Arial"/>
          <w:b w:val="0"/>
          <w:i w:val="0"/>
          <w:sz w:val="24"/>
          <w:szCs w:val="24"/>
          <w:u w:val="none"/>
        </w:rPr>
        <w:t>take</w:t>
      </w:r>
      <w:r w:rsidR="00B202F2" w:rsidRPr="00A379BE">
        <w:rPr>
          <w:rFonts w:cs="Arial"/>
          <w:b w:val="0"/>
          <w:i w:val="0"/>
          <w:sz w:val="24"/>
          <w:szCs w:val="24"/>
          <w:u w:val="none"/>
        </w:rPr>
        <w:t>s</w:t>
      </w:r>
      <w:r w:rsidR="005D3BAA" w:rsidRPr="00A379BE">
        <w:rPr>
          <w:rFonts w:cs="Arial"/>
          <w:b w:val="0"/>
          <w:i w:val="0"/>
          <w:sz w:val="24"/>
          <w:szCs w:val="24"/>
          <w:u w:val="none"/>
        </w:rPr>
        <w:t xml:space="preserve"> a narrow </w:t>
      </w:r>
      <w:r w:rsidR="00267D72" w:rsidRPr="00A379BE">
        <w:rPr>
          <w:rFonts w:cs="Arial"/>
          <w:b w:val="0"/>
          <w:i w:val="0"/>
          <w:sz w:val="24"/>
          <w:szCs w:val="24"/>
          <w:u w:val="none"/>
        </w:rPr>
        <w:t>view</w:t>
      </w:r>
      <w:r w:rsidR="00411428" w:rsidRPr="00A379BE">
        <w:rPr>
          <w:rFonts w:cs="Arial"/>
          <w:b w:val="0"/>
          <w:i w:val="0"/>
          <w:sz w:val="24"/>
          <w:szCs w:val="24"/>
          <w:u w:val="none"/>
        </w:rPr>
        <w:t xml:space="preserve">. This </w:t>
      </w:r>
      <w:r w:rsidR="007361F1" w:rsidRPr="00A379BE">
        <w:rPr>
          <w:rFonts w:cs="Arial"/>
          <w:b w:val="0"/>
          <w:i w:val="0"/>
          <w:sz w:val="24"/>
          <w:szCs w:val="24"/>
          <w:u w:val="none"/>
        </w:rPr>
        <w:t xml:space="preserve">change has been </w:t>
      </w:r>
      <w:r w:rsidR="00411428" w:rsidRPr="00A379BE">
        <w:rPr>
          <w:rFonts w:cs="Arial"/>
          <w:b w:val="0"/>
          <w:i w:val="0"/>
          <w:sz w:val="24"/>
          <w:szCs w:val="24"/>
          <w:u w:val="none"/>
        </w:rPr>
        <w:t>crafted to</w:t>
      </w:r>
      <w:r w:rsidR="00771052" w:rsidRPr="00A379BE">
        <w:rPr>
          <w:rFonts w:cs="Arial"/>
          <w:b w:val="0"/>
          <w:i w:val="0"/>
          <w:sz w:val="24"/>
          <w:szCs w:val="24"/>
          <w:u w:val="none"/>
        </w:rPr>
        <w:t xml:space="preserve"> </w:t>
      </w:r>
      <w:r w:rsidR="00521D8A" w:rsidRPr="00A379BE">
        <w:rPr>
          <w:rFonts w:cs="Arial"/>
          <w:b w:val="0"/>
          <w:i w:val="0"/>
          <w:sz w:val="24"/>
          <w:szCs w:val="24"/>
          <w:u w:val="none"/>
        </w:rPr>
        <w:t>ensure that there is</w:t>
      </w:r>
      <w:r w:rsidR="005F547A" w:rsidRPr="00A379BE">
        <w:rPr>
          <w:rFonts w:cs="Arial"/>
          <w:b w:val="0"/>
          <w:i w:val="0"/>
          <w:sz w:val="24"/>
          <w:szCs w:val="24"/>
          <w:u w:val="none"/>
        </w:rPr>
        <w:t xml:space="preserve"> </w:t>
      </w:r>
      <w:r w:rsidR="002D2D0F" w:rsidRPr="00A379BE">
        <w:rPr>
          <w:rFonts w:cs="Arial"/>
          <w:b w:val="0"/>
          <w:i w:val="0"/>
          <w:sz w:val="24"/>
          <w:szCs w:val="24"/>
          <w:u w:val="none"/>
        </w:rPr>
        <w:t>accountability</w:t>
      </w:r>
      <w:r w:rsidR="00E7499A" w:rsidRPr="00A379BE">
        <w:rPr>
          <w:rFonts w:cs="Arial"/>
          <w:b w:val="0"/>
          <w:i w:val="0"/>
          <w:sz w:val="24"/>
          <w:szCs w:val="24"/>
          <w:u w:val="none"/>
        </w:rPr>
        <w:t xml:space="preserve"> for breaches of work health and safety duties</w:t>
      </w:r>
      <w:r w:rsidR="005D3BAA" w:rsidRPr="00A379BE">
        <w:rPr>
          <w:rFonts w:cs="Arial"/>
          <w:b w:val="0"/>
          <w:i w:val="0"/>
          <w:sz w:val="24"/>
          <w:szCs w:val="24"/>
          <w:u w:val="none"/>
        </w:rPr>
        <w:t>.</w:t>
      </w:r>
      <w:r w:rsidR="00893D8E" w:rsidRPr="00A379BE">
        <w:rPr>
          <w:rFonts w:cs="Arial"/>
          <w:b w:val="0"/>
          <w:i w:val="0"/>
          <w:sz w:val="24"/>
          <w:szCs w:val="24"/>
          <w:u w:val="none"/>
        </w:rPr>
        <w:t xml:space="preserve"> The intention of this amendment is to address po</w:t>
      </w:r>
      <w:r w:rsidR="006E553D" w:rsidRPr="00A379BE">
        <w:rPr>
          <w:rFonts w:cs="Arial"/>
          <w:b w:val="0"/>
          <w:i w:val="0"/>
          <w:sz w:val="24"/>
          <w:szCs w:val="24"/>
          <w:u w:val="none"/>
        </w:rPr>
        <w:t xml:space="preserve">tential and unintended </w:t>
      </w:r>
      <w:r w:rsidR="00536618" w:rsidRPr="00A379BE">
        <w:rPr>
          <w:rFonts w:cs="Arial"/>
          <w:b w:val="0"/>
          <w:i w:val="0"/>
          <w:sz w:val="24"/>
          <w:szCs w:val="24"/>
          <w:u w:val="none"/>
        </w:rPr>
        <w:t>consequences</w:t>
      </w:r>
      <w:r w:rsidR="006E553D" w:rsidRPr="00A379BE">
        <w:rPr>
          <w:rFonts w:cs="Arial"/>
          <w:b w:val="0"/>
          <w:i w:val="0"/>
          <w:sz w:val="24"/>
          <w:szCs w:val="24"/>
          <w:u w:val="none"/>
        </w:rPr>
        <w:t>, wh</w:t>
      </w:r>
      <w:r w:rsidR="00536618" w:rsidRPr="00A379BE">
        <w:rPr>
          <w:rFonts w:cs="Arial"/>
          <w:b w:val="0"/>
          <w:i w:val="0"/>
          <w:sz w:val="24"/>
          <w:szCs w:val="24"/>
          <w:u w:val="none"/>
        </w:rPr>
        <w:t>e</w:t>
      </w:r>
      <w:r w:rsidR="006E553D" w:rsidRPr="00A379BE">
        <w:rPr>
          <w:rFonts w:cs="Arial"/>
          <w:b w:val="0"/>
          <w:i w:val="0"/>
          <w:sz w:val="24"/>
          <w:szCs w:val="24"/>
          <w:u w:val="none"/>
        </w:rPr>
        <w:t>reby</w:t>
      </w:r>
      <w:r w:rsidR="00263C6B" w:rsidRPr="00A379BE">
        <w:rPr>
          <w:rFonts w:cs="Arial"/>
          <w:b w:val="0"/>
          <w:i w:val="0"/>
          <w:sz w:val="24"/>
          <w:szCs w:val="24"/>
          <w:u w:val="none"/>
        </w:rPr>
        <w:t xml:space="preserve"> a</w:t>
      </w:r>
      <w:r w:rsidR="006E553D" w:rsidRPr="00A379BE">
        <w:rPr>
          <w:rFonts w:cs="Arial"/>
          <w:b w:val="0"/>
          <w:i w:val="0"/>
          <w:sz w:val="24"/>
          <w:szCs w:val="24"/>
          <w:u w:val="none"/>
        </w:rPr>
        <w:t xml:space="preserve"> case involv</w:t>
      </w:r>
      <w:r w:rsidR="005F547A" w:rsidRPr="00A379BE">
        <w:rPr>
          <w:rFonts w:cs="Arial"/>
          <w:b w:val="0"/>
          <w:i w:val="0"/>
          <w:sz w:val="24"/>
          <w:szCs w:val="24"/>
          <w:u w:val="none"/>
        </w:rPr>
        <w:t>ing</w:t>
      </w:r>
      <w:r w:rsidR="006E553D" w:rsidRPr="00A379BE">
        <w:rPr>
          <w:rFonts w:cs="Arial"/>
          <w:b w:val="0"/>
          <w:i w:val="0"/>
          <w:sz w:val="24"/>
          <w:szCs w:val="24"/>
          <w:u w:val="none"/>
        </w:rPr>
        <w:t xml:space="preserve"> an alleged breach of duty </w:t>
      </w:r>
      <w:r w:rsidR="00263C6B" w:rsidRPr="00A379BE">
        <w:rPr>
          <w:rFonts w:cs="Arial"/>
          <w:b w:val="0"/>
          <w:i w:val="0"/>
          <w:sz w:val="24"/>
          <w:szCs w:val="24"/>
          <w:u w:val="none"/>
        </w:rPr>
        <w:t xml:space="preserve">may technically </w:t>
      </w:r>
      <w:r w:rsidR="006E553D" w:rsidRPr="00A379BE">
        <w:rPr>
          <w:rFonts w:cs="Arial"/>
          <w:b w:val="0"/>
          <w:i w:val="0"/>
          <w:sz w:val="24"/>
          <w:szCs w:val="24"/>
          <w:u w:val="none"/>
        </w:rPr>
        <w:t>fall outs</w:t>
      </w:r>
      <w:r w:rsidR="00536618" w:rsidRPr="00A379BE">
        <w:rPr>
          <w:rFonts w:cs="Arial"/>
          <w:b w:val="0"/>
          <w:i w:val="0"/>
          <w:sz w:val="24"/>
          <w:szCs w:val="24"/>
          <w:u w:val="none"/>
        </w:rPr>
        <w:t>i</w:t>
      </w:r>
      <w:r w:rsidR="006E553D" w:rsidRPr="00A379BE">
        <w:rPr>
          <w:rFonts w:cs="Arial"/>
          <w:b w:val="0"/>
          <w:i w:val="0"/>
          <w:sz w:val="24"/>
          <w:szCs w:val="24"/>
          <w:u w:val="none"/>
        </w:rPr>
        <w:t xml:space="preserve">de the </w:t>
      </w:r>
      <w:r w:rsidR="00263C6B" w:rsidRPr="00A379BE">
        <w:rPr>
          <w:rFonts w:cs="Arial"/>
          <w:b w:val="0"/>
          <w:i w:val="0"/>
          <w:sz w:val="24"/>
          <w:szCs w:val="24"/>
          <w:u w:val="none"/>
        </w:rPr>
        <w:t xml:space="preserve">limitation period but </w:t>
      </w:r>
      <w:r w:rsidR="005F547A" w:rsidRPr="00A379BE">
        <w:rPr>
          <w:rFonts w:cs="Arial"/>
          <w:b w:val="0"/>
          <w:i w:val="0"/>
          <w:sz w:val="24"/>
          <w:szCs w:val="24"/>
          <w:u w:val="none"/>
        </w:rPr>
        <w:t xml:space="preserve">only due to </w:t>
      </w:r>
      <w:r w:rsidR="001456AE">
        <w:rPr>
          <w:rFonts w:cs="Arial"/>
          <w:b w:val="0"/>
          <w:i w:val="0"/>
          <w:sz w:val="24"/>
          <w:szCs w:val="24"/>
          <w:u w:val="none"/>
        </w:rPr>
        <w:t>a</w:t>
      </w:r>
      <w:r w:rsidR="001456AE" w:rsidRPr="00A379BE">
        <w:rPr>
          <w:rFonts w:cs="Arial"/>
          <w:b w:val="0"/>
          <w:i w:val="0"/>
          <w:sz w:val="24"/>
          <w:szCs w:val="24"/>
          <w:u w:val="none"/>
        </w:rPr>
        <w:t xml:space="preserve"> </w:t>
      </w:r>
      <w:r w:rsidR="005F547A" w:rsidRPr="00A379BE">
        <w:rPr>
          <w:rFonts w:cs="Arial"/>
          <w:b w:val="0"/>
          <w:i w:val="0"/>
          <w:sz w:val="24"/>
          <w:szCs w:val="24"/>
          <w:u w:val="none"/>
        </w:rPr>
        <w:t>narrow interpretation of the provision</w:t>
      </w:r>
      <w:r w:rsidR="00263C6B" w:rsidRPr="00A379BE">
        <w:rPr>
          <w:rFonts w:cs="Arial"/>
          <w:b w:val="0"/>
          <w:i w:val="0"/>
          <w:sz w:val="24"/>
          <w:szCs w:val="24"/>
          <w:u w:val="none"/>
        </w:rPr>
        <w:t>.</w:t>
      </w:r>
      <w:r w:rsidR="0074777B" w:rsidRPr="00A379BE">
        <w:rPr>
          <w:rFonts w:cs="Arial"/>
          <w:b w:val="0"/>
          <w:i w:val="0"/>
          <w:sz w:val="24"/>
          <w:szCs w:val="24"/>
          <w:u w:val="none"/>
        </w:rPr>
        <w:t xml:space="preserve"> This disregards the apparent injustice arising from a breach and </w:t>
      </w:r>
      <w:r w:rsidR="00FE5696" w:rsidRPr="00A379BE">
        <w:rPr>
          <w:rFonts w:cs="Arial"/>
          <w:b w:val="0"/>
          <w:i w:val="0"/>
          <w:sz w:val="24"/>
          <w:szCs w:val="24"/>
          <w:u w:val="none"/>
        </w:rPr>
        <w:t xml:space="preserve">negates </w:t>
      </w:r>
      <w:r w:rsidR="00CA5BB5" w:rsidRPr="00A379BE">
        <w:rPr>
          <w:rFonts w:cs="Arial"/>
          <w:b w:val="0"/>
          <w:i w:val="0"/>
          <w:sz w:val="24"/>
          <w:szCs w:val="24"/>
          <w:u w:val="none"/>
        </w:rPr>
        <w:t xml:space="preserve">the longstanding notion of </w:t>
      </w:r>
      <w:r w:rsidR="00793FC9" w:rsidRPr="00A379BE">
        <w:rPr>
          <w:rFonts w:cs="Arial"/>
          <w:b w:val="0"/>
          <w:i w:val="0"/>
          <w:sz w:val="24"/>
          <w:szCs w:val="24"/>
          <w:u w:val="none"/>
        </w:rPr>
        <w:t>the requirement to uphold dut</w:t>
      </w:r>
      <w:r w:rsidR="00B006C5">
        <w:rPr>
          <w:rFonts w:cs="Arial"/>
          <w:b w:val="0"/>
          <w:i w:val="0"/>
          <w:sz w:val="24"/>
          <w:szCs w:val="24"/>
          <w:u w:val="none"/>
        </w:rPr>
        <w:t>ies</w:t>
      </w:r>
      <w:r w:rsidR="00793FC9" w:rsidRPr="00A379BE">
        <w:rPr>
          <w:rFonts w:cs="Arial"/>
          <w:b w:val="0"/>
          <w:i w:val="0"/>
          <w:sz w:val="24"/>
          <w:szCs w:val="24"/>
          <w:u w:val="none"/>
        </w:rPr>
        <w:t xml:space="preserve"> under the WHS legislative framework. </w:t>
      </w:r>
    </w:p>
    <w:p w14:paraId="278CE58B" w14:textId="0077313E" w:rsidR="3B862A17" w:rsidRPr="00280D81" w:rsidRDefault="009B7D31" w:rsidP="00280D81">
      <w:pPr>
        <w:pStyle w:val="Subheading10"/>
      </w:pPr>
      <w:r w:rsidRPr="00A379BE">
        <w:rPr>
          <w:rFonts w:cs="Arial"/>
          <w:b w:val="0"/>
          <w:i w:val="0"/>
          <w:sz w:val="24"/>
          <w:szCs w:val="24"/>
          <w:u w:val="none"/>
        </w:rPr>
        <w:t xml:space="preserve">The amendment </w:t>
      </w:r>
      <w:r w:rsidR="00C43687">
        <w:rPr>
          <w:rFonts w:cs="Arial"/>
          <w:b w:val="0"/>
          <w:i w:val="0"/>
          <w:sz w:val="24"/>
          <w:szCs w:val="24"/>
          <w:u w:val="none"/>
        </w:rPr>
        <w:t xml:space="preserve">in this Bill </w:t>
      </w:r>
      <w:r w:rsidRPr="00A379BE">
        <w:rPr>
          <w:rFonts w:cs="Arial"/>
          <w:b w:val="0"/>
          <w:i w:val="0"/>
          <w:sz w:val="24"/>
          <w:szCs w:val="24"/>
          <w:u w:val="none"/>
        </w:rPr>
        <w:t xml:space="preserve">will afford the Court with the power to grant leave to bring on a prosecution out of time, if it is satisfied that it is in the interests of justice to do </w:t>
      </w:r>
      <w:r w:rsidRPr="00A379BE">
        <w:rPr>
          <w:rFonts w:cs="Arial"/>
          <w:b w:val="0"/>
          <w:i w:val="0"/>
          <w:sz w:val="24"/>
          <w:szCs w:val="24"/>
          <w:u w:val="none"/>
        </w:rPr>
        <w:lastRenderedPageBreak/>
        <w:t xml:space="preserve">so, </w:t>
      </w:r>
      <w:r w:rsidR="00F95B45" w:rsidRPr="00A379BE">
        <w:rPr>
          <w:rFonts w:cs="Arial"/>
          <w:b w:val="0"/>
          <w:i w:val="0"/>
          <w:sz w:val="24"/>
          <w:szCs w:val="24"/>
          <w:u w:val="none"/>
        </w:rPr>
        <w:t xml:space="preserve">noting that the effect of a contravention such as serious injury or death may not be realised for some time as illustrated in the above case. </w:t>
      </w:r>
    </w:p>
    <w:p w14:paraId="40B31279" w14:textId="77777777" w:rsidR="009B7D31" w:rsidRPr="00280D81" w:rsidRDefault="009B7D31" w:rsidP="3B862A17">
      <w:pPr>
        <w:rPr>
          <w:rFonts w:cs="Arial"/>
          <w:b/>
          <w:i w:val="0"/>
        </w:rPr>
      </w:pPr>
    </w:p>
    <w:p w14:paraId="56DEBFDB" w14:textId="6237ED51" w:rsidR="007B3123" w:rsidRPr="00606E4E" w:rsidRDefault="00F95B45" w:rsidP="00C9441E">
      <w:pPr>
        <w:rPr>
          <w:rFonts w:cs="Arial"/>
          <w:b/>
          <w:i w:val="0"/>
        </w:rPr>
      </w:pPr>
      <w:r w:rsidRPr="00280D81">
        <w:rPr>
          <w:rFonts w:cs="Arial"/>
          <w:b/>
          <w:i w:val="0"/>
        </w:rPr>
        <w:t xml:space="preserve">Amendments to the </w:t>
      </w:r>
      <w:r w:rsidRPr="00042B10">
        <w:rPr>
          <w:rFonts w:cs="Arial"/>
          <w:b/>
        </w:rPr>
        <w:t>Workers Compensation Act 1951</w:t>
      </w:r>
      <w:r w:rsidR="00606E4E">
        <w:rPr>
          <w:rFonts w:cs="Arial"/>
          <w:b/>
          <w:i w:val="0"/>
        </w:rPr>
        <w:br/>
      </w:r>
      <w:r w:rsidR="00C10076" w:rsidRPr="00A379BE">
        <w:rPr>
          <w:rFonts w:cs="Arial"/>
          <w:i w:val="0"/>
        </w:rPr>
        <w:t xml:space="preserve">The </w:t>
      </w:r>
      <w:r w:rsidR="00C10076" w:rsidRPr="00B240A1">
        <w:rPr>
          <w:rFonts w:cs="Arial"/>
          <w:iCs w:val="0"/>
        </w:rPr>
        <w:t>Workers Compensation Act 1</w:t>
      </w:r>
      <w:r w:rsidR="00620F3F" w:rsidRPr="00B240A1">
        <w:rPr>
          <w:rFonts w:cs="Arial"/>
          <w:iCs w:val="0"/>
        </w:rPr>
        <w:t>9</w:t>
      </w:r>
      <w:r w:rsidR="00C10076" w:rsidRPr="00B240A1">
        <w:rPr>
          <w:rFonts w:cs="Arial"/>
          <w:iCs w:val="0"/>
        </w:rPr>
        <w:t>51</w:t>
      </w:r>
      <w:r w:rsidR="00620F3F" w:rsidRPr="00A379BE">
        <w:rPr>
          <w:rFonts w:cs="Arial"/>
          <w:i w:val="0"/>
        </w:rPr>
        <w:t xml:space="preserve"> (WC Act)</w:t>
      </w:r>
      <w:r w:rsidR="00C10076" w:rsidRPr="00A379BE">
        <w:rPr>
          <w:rFonts w:cs="Arial"/>
          <w:i w:val="0"/>
        </w:rPr>
        <w:t xml:space="preserve"> establishes the regulatory framework for the ACT’s private sector workers’ compensation scheme. The scheme </w:t>
      </w:r>
      <w:r w:rsidR="0026022C" w:rsidRPr="00A379BE">
        <w:rPr>
          <w:rFonts w:cs="Arial"/>
          <w:i w:val="0"/>
        </w:rPr>
        <w:t>provides for statutory workers’ compensation entitlements</w:t>
      </w:r>
      <w:r w:rsidR="00C10076" w:rsidRPr="00A379BE">
        <w:rPr>
          <w:rFonts w:cs="Arial"/>
          <w:i w:val="0"/>
        </w:rPr>
        <w:t xml:space="preserve"> and supports in the event of </w:t>
      </w:r>
      <w:r w:rsidR="002F7C9B" w:rsidRPr="00A379BE">
        <w:rPr>
          <w:rFonts w:cs="Arial"/>
          <w:i w:val="0"/>
        </w:rPr>
        <w:t xml:space="preserve">a </w:t>
      </w:r>
      <w:r w:rsidR="0026022C" w:rsidRPr="00A379BE">
        <w:rPr>
          <w:rFonts w:cs="Arial"/>
          <w:i w:val="0"/>
        </w:rPr>
        <w:t xml:space="preserve">work-related </w:t>
      </w:r>
      <w:r w:rsidR="00C10076" w:rsidRPr="00A379BE">
        <w:rPr>
          <w:rFonts w:cs="Arial"/>
          <w:i w:val="0"/>
        </w:rPr>
        <w:t>injury</w:t>
      </w:r>
      <w:r w:rsidR="001835AA" w:rsidRPr="00A379BE">
        <w:rPr>
          <w:rFonts w:cs="Arial"/>
          <w:i w:val="0"/>
        </w:rPr>
        <w:t>,</w:t>
      </w:r>
      <w:r w:rsidR="0026022C" w:rsidRPr="00A379BE">
        <w:rPr>
          <w:rFonts w:cs="Arial"/>
          <w:i w:val="0"/>
        </w:rPr>
        <w:t xml:space="preserve"> illness</w:t>
      </w:r>
      <w:r w:rsidR="001835AA" w:rsidRPr="00A379BE" w:rsidDel="001835AA">
        <w:rPr>
          <w:rFonts w:cs="Arial"/>
          <w:i w:val="0"/>
        </w:rPr>
        <w:t xml:space="preserve"> </w:t>
      </w:r>
      <w:r w:rsidR="001835AA" w:rsidRPr="00A379BE">
        <w:rPr>
          <w:rFonts w:cs="Arial"/>
          <w:i w:val="0"/>
        </w:rPr>
        <w:t>or death</w:t>
      </w:r>
      <w:r w:rsidR="002F7C9B" w:rsidRPr="00A379BE">
        <w:rPr>
          <w:rFonts w:cs="Arial"/>
          <w:i w:val="0"/>
        </w:rPr>
        <w:t xml:space="preserve">. </w:t>
      </w:r>
      <w:r w:rsidR="00BF0F45">
        <w:rPr>
          <w:rFonts w:cs="Arial"/>
          <w:i w:val="0"/>
        </w:rPr>
        <w:t>Specifically, t</w:t>
      </w:r>
      <w:r w:rsidR="002F7C9B" w:rsidRPr="00A379BE">
        <w:rPr>
          <w:rFonts w:cs="Arial"/>
          <w:i w:val="0"/>
        </w:rPr>
        <w:t xml:space="preserve">he WC Act </w:t>
      </w:r>
      <w:r w:rsidR="00270E2E">
        <w:rPr>
          <w:rFonts w:cs="Arial"/>
          <w:i w:val="0"/>
        </w:rPr>
        <w:t xml:space="preserve">provides for statutory compensation benefits </w:t>
      </w:r>
      <w:r w:rsidR="001E43AB">
        <w:rPr>
          <w:rFonts w:cs="Arial"/>
          <w:i w:val="0"/>
        </w:rPr>
        <w:t xml:space="preserve">to be paid to </w:t>
      </w:r>
      <w:r w:rsidR="00270E2E">
        <w:rPr>
          <w:rFonts w:cs="Arial"/>
          <w:i w:val="0"/>
        </w:rPr>
        <w:t xml:space="preserve">injured workers </w:t>
      </w:r>
      <w:r w:rsidR="001E43AB">
        <w:rPr>
          <w:rFonts w:cs="Arial"/>
          <w:i w:val="0"/>
        </w:rPr>
        <w:t xml:space="preserve">covering </w:t>
      </w:r>
      <w:r w:rsidR="00C10076" w:rsidRPr="00042F3B">
        <w:rPr>
          <w:rFonts w:cs="Arial"/>
          <w:i w:val="0"/>
        </w:rPr>
        <w:t>medical treatment, rehabilitation assistance</w:t>
      </w:r>
      <w:r w:rsidR="0026022C" w:rsidRPr="00042F3B">
        <w:rPr>
          <w:rFonts w:cs="Arial"/>
          <w:i w:val="0"/>
        </w:rPr>
        <w:t>,</w:t>
      </w:r>
      <w:r w:rsidR="00C10076" w:rsidRPr="00042F3B">
        <w:rPr>
          <w:rFonts w:cs="Arial"/>
          <w:i w:val="0"/>
        </w:rPr>
        <w:t xml:space="preserve"> financial compensation including weekly compensation and lump sum permanent impairment payments</w:t>
      </w:r>
      <w:r w:rsidR="001E43AB">
        <w:rPr>
          <w:rFonts w:cs="Arial"/>
          <w:i w:val="0"/>
        </w:rPr>
        <w:t xml:space="preserve"> to support their recovery and return to work</w:t>
      </w:r>
      <w:r w:rsidR="00C10076" w:rsidRPr="00042F3B">
        <w:rPr>
          <w:rFonts w:cs="Arial"/>
          <w:i w:val="0"/>
        </w:rPr>
        <w:t xml:space="preserve">. </w:t>
      </w:r>
    </w:p>
    <w:p w14:paraId="4DDEAFCA" w14:textId="53BE4F60" w:rsidR="00C9441E" w:rsidRPr="00042B10" w:rsidRDefault="002705D0" w:rsidP="00C9441E">
      <w:pPr>
        <w:rPr>
          <w:rFonts w:cs="Arial"/>
        </w:rPr>
      </w:pPr>
      <w:r>
        <w:rPr>
          <w:rFonts w:cs="Arial"/>
        </w:rPr>
        <w:t xml:space="preserve">Compensation payment </w:t>
      </w:r>
      <w:r w:rsidR="00C9441E" w:rsidRPr="00042B10">
        <w:rPr>
          <w:rFonts w:cs="Arial"/>
        </w:rPr>
        <w:t>to family members</w:t>
      </w:r>
      <w:r>
        <w:rPr>
          <w:rFonts w:cs="Arial"/>
        </w:rPr>
        <w:t xml:space="preserve"> following death</w:t>
      </w:r>
    </w:p>
    <w:p w14:paraId="22A1E632" w14:textId="0C248C45" w:rsidR="002F03C9" w:rsidRDefault="00C9441E" w:rsidP="00C9441E">
      <w:pPr>
        <w:rPr>
          <w:rFonts w:cs="Arial"/>
          <w:i w:val="0"/>
          <w:color w:val="0D0D0D" w:themeColor="text1" w:themeTint="F2"/>
        </w:rPr>
      </w:pPr>
      <w:r w:rsidRPr="00941E90">
        <w:rPr>
          <w:rFonts w:cs="Arial"/>
          <w:i w:val="0"/>
          <w:color w:val="0D0D0D" w:themeColor="text1" w:themeTint="F2"/>
        </w:rPr>
        <w:t xml:space="preserve">The unexpected death of a family member </w:t>
      </w:r>
      <w:r w:rsidR="00DE0BDB" w:rsidRPr="00941E90">
        <w:rPr>
          <w:rFonts w:cs="Arial"/>
          <w:i w:val="0"/>
          <w:color w:val="0D0D0D" w:themeColor="text1" w:themeTint="F2"/>
        </w:rPr>
        <w:t>due to</w:t>
      </w:r>
      <w:r w:rsidRPr="00941E90">
        <w:rPr>
          <w:rFonts w:cs="Arial"/>
          <w:i w:val="0"/>
          <w:color w:val="0D0D0D" w:themeColor="text1" w:themeTint="F2"/>
        </w:rPr>
        <w:t xml:space="preserve"> a work-related incident </w:t>
      </w:r>
      <w:r w:rsidR="00DE0BDB" w:rsidRPr="00941E90">
        <w:rPr>
          <w:rFonts w:cs="Arial"/>
          <w:i w:val="0"/>
          <w:color w:val="0D0D0D" w:themeColor="text1" w:themeTint="F2"/>
        </w:rPr>
        <w:t xml:space="preserve">not only places an emotional toll on </w:t>
      </w:r>
      <w:r w:rsidR="009E299B" w:rsidRPr="00941E90">
        <w:rPr>
          <w:rFonts w:cs="Arial"/>
          <w:i w:val="0"/>
          <w:color w:val="0D0D0D" w:themeColor="text1" w:themeTint="F2"/>
        </w:rPr>
        <w:t>family but</w:t>
      </w:r>
      <w:r w:rsidR="00DE0BDB" w:rsidRPr="00941E90">
        <w:rPr>
          <w:rFonts w:cs="Arial"/>
          <w:i w:val="0"/>
          <w:color w:val="0D0D0D" w:themeColor="text1" w:themeTint="F2"/>
        </w:rPr>
        <w:t xml:space="preserve"> </w:t>
      </w:r>
      <w:r w:rsidR="00EA7C80">
        <w:rPr>
          <w:rFonts w:cs="Arial"/>
          <w:i w:val="0"/>
          <w:color w:val="0D0D0D" w:themeColor="text1" w:themeTint="F2"/>
        </w:rPr>
        <w:t>can place the</w:t>
      </w:r>
      <w:r w:rsidR="000C7550">
        <w:rPr>
          <w:rFonts w:cs="Arial"/>
          <w:i w:val="0"/>
          <w:color w:val="0D0D0D" w:themeColor="text1" w:themeTint="F2"/>
        </w:rPr>
        <w:t xml:space="preserve">ir household </w:t>
      </w:r>
      <w:r w:rsidR="00EA7C80">
        <w:rPr>
          <w:rFonts w:cs="Arial"/>
          <w:i w:val="0"/>
          <w:color w:val="0D0D0D" w:themeColor="text1" w:themeTint="F2"/>
        </w:rPr>
        <w:t>under</w:t>
      </w:r>
      <w:r w:rsidR="00DE0BDB" w:rsidRPr="00941E90">
        <w:rPr>
          <w:rFonts w:cs="Arial"/>
          <w:i w:val="0"/>
          <w:color w:val="0D0D0D" w:themeColor="text1" w:themeTint="F2"/>
        </w:rPr>
        <w:t xml:space="preserve"> </w:t>
      </w:r>
      <w:r w:rsidR="009E299B" w:rsidRPr="00941E90">
        <w:rPr>
          <w:rFonts w:cs="Arial"/>
          <w:i w:val="0"/>
          <w:color w:val="0D0D0D" w:themeColor="text1" w:themeTint="F2"/>
        </w:rPr>
        <w:t xml:space="preserve">immediate </w:t>
      </w:r>
      <w:r w:rsidRPr="00941E90">
        <w:rPr>
          <w:rFonts w:cs="Arial"/>
          <w:i w:val="0"/>
          <w:color w:val="0D0D0D" w:themeColor="text1" w:themeTint="F2"/>
        </w:rPr>
        <w:t>financial strain</w:t>
      </w:r>
      <w:r w:rsidR="009E299B" w:rsidRPr="00941E90">
        <w:rPr>
          <w:rFonts w:cs="Arial"/>
          <w:i w:val="0"/>
          <w:color w:val="0D0D0D" w:themeColor="text1" w:themeTint="F2"/>
        </w:rPr>
        <w:t xml:space="preserve">. </w:t>
      </w:r>
    </w:p>
    <w:p w14:paraId="730AAE9F" w14:textId="2088335B" w:rsidR="00C9441E" w:rsidRPr="00941E90" w:rsidRDefault="009E299B" w:rsidP="00C9441E">
      <w:pPr>
        <w:rPr>
          <w:rFonts w:cs="Arial"/>
          <w:i w:val="0"/>
          <w:color w:val="0D0D0D" w:themeColor="text1" w:themeTint="F2"/>
        </w:rPr>
      </w:pPr>
      <w:r w:rsidRPr="00941E90">
        <w:rPr>
          <w:rFonts w:cs="Arial"/>
          <w:i w:val="0"/>
          <w:color w:val="0D0D0D" w:themeColor="text1" w:themeTint="F2"/>
        </w:rPr>
        <w:t xml:space="preserve">While </w:t>
      </w:r>
      <w:r w:rsidR="00FE212F">
        <w:rPr>
          <w:rFonts w:cs="Arial"/>
          <w:i w:val="0"/>
          <w:color w:val="0D0D0D" w:themeColor="text1" w:themeTint="F2"/>
        </w:rPr>
        <w:t xml:space="preserve">existing </w:t>
      </w:r>
      <w:r w:rsidR="00C9441E" w:rsidRPr="00941E90">
        <w:rPr>
          <w:rFonts w:cs="Arial"/>
          <w:i w:val="0"/>
          <w:color w:val="0D0D0D" w:themeColor="text1" w:themeTint="F2"/>
        </w:rPr>
        <w:t xml:space="preserve">workers compensation payments are intended to alleviate </w:t>
      </w:r>
      <w:r w:rsidRPr="00941E90">
        <w:rPr>
          <w:rFonts w:cs="Arial"/>
          <w:i w:val="0"/>
          <w:color w:val="0D0D0D" w:themeColor="text1" w:themeTint="F2"/>
        </w:rPr>
        <w:t xml:space="preserve">some of this </w:t>
      </w:r>
      <w:r w:rsidR="00C9441E" w:rsidRPr="00941E90">
        <w:rPr>
          <w:rFonts w:cs="Arial"/>
          <w:i w:val="0"/>
          <w:color w:val="0D0D0D" w:themeColor="text1" w:themeTint="F2"/>
        </w:rPr>
        <w:t>strain payments often arrive too late to assist with the immediate costs incurred.</w:t>
      </w:r>
    </w:p>
    <w:p w14:paraId="7BDA0C95" w14:textId="4441005D" w:rsidR="00C9441E" w:rsidRPr="00941E90" w:rsidRDefault="00C9441E" w:rsidP="00C9441E">
      <w:pPr>
        <w:rPr>
          <w:rFonts w:cs="Arial"/>
          <w:i w:val="0"/>
          <w:color w:val="0D0D0D" w:themeColor="text1" w:themeTint="F2"/>
        </w:rPr>
      </w:pPr>
      <w:r w:rsidRPr="00941E90">
        <w:rPr>
          <w:rFonts w:cs="Arial"/>
          <w:i w:val="0"/>
          <w:color w:val="0D0D0D" w:themeColor="text1" w:themeTint="F2"/>
        </w:rPr>
        <w:t xml:space="preserve">The </w:t>
      </w:r>
      <w:r w:rsidR="000C7550">
        <w:rPr>
          <w:rFonts w:cs="Arial"/>
          <w:i w:val="0"/>
          <w:color w:val="0D0D0D" w:themeColor="text1" w:themeTint="F2"/>
        </w:rPr>
        <w:t xml:space="preserve">current </w:t>
      </w:r>
      <w:r w:rsidR="00AD6486" w:rsidRPr="00941E90">
        <w:rPr>
          <w:rFonts w:cs="Arial"/>
          <w:i w:val="0"/>
          <w:color w:val="0D0D0D" w:themeColor="text1" w:themeTint="F2"/>
        </w:rPr>
        <w:t>compensation</w:t>
      </w:r>
      <w:r w:rsidRPr="00941E90">
        <w:rPr>
          <w:rFonts w:cs="Arial"/>
          <w:i w:val="0"/>
          <w:color w:val="0D0D0D" w:themeColor="text1" w:themeTint="F2"/>
        </w:rPr>
        <w:t xml:space="preserve"> process </w:t>
      </w:r>
      <w:r w:rsidR="00AD6486" w:rsidRPr="00941E90">
        <w:rPr>
          <w:rFonts w:cs="Arial"/>
          <w:i w:val="0"/>
          <w:color w:val="0D0D0D" w:themeColor="text1" w:themeTint="F2"/>
        </w:rPr>
        <w:t>can be</w:t>
      </w:r>
      <w:r w:rsidR="000C7550">
        <w:rPr>
          <w:rFonts w:cs="Arial"/>
          <w:i w:val="0"/>
          <w:color w:val="0D0D0D" w:themeColor="text1" w:themeTint="F2"/>
        </w:rPr>
        <w:t>come</w:t>
      </w:r>
      <w:r w:rsidRPr="00941E90">
        <w:rPr>
          <w:rFonts w:cs="Arial"/>
          <w:i w:val="0"/>
          <w:color w:val="0D0D0D" w:themeColor="text1" w:themeTint="F2"/>
        </w:rPr>
        <w:t xml:space="preserve"> </w:t>
      </w:r>
      <w:r w:rsidR="00BF238C">
        <w:rPr>
          <w:rFonts w:cs="Arial"/>
          <w:i w:val="0"/>
          <w:color w:val="0D0D0D" w:themeColor="text1" w:themeTint="F2"/>
        </w:rPr>
        <w:t>delayed and complicated where there are multiple financial depend</w:t>
      </w:r>
      <w:r w:rsidR="00522925">
        <w:rPr>
          <w:rFonts w:cs="Arial"/>
          <w:i w:val="0"/>
          <w:color w:val="0D0D0D" w:themeColor="text1" w:themeTint="F2"/>
        </w:rPr>
        <w:t>a</w:t>
      </w:r>
      <w:r w:rsidR="00BF238C">
        <w:rPr>
          <w:rFonts w:cs="Arial"/>
          <w:i w:val="0"/>
          <w:color w:val="0D0D0D" w:themeColor="text1" w:themeTint="F2"/>
        </w:rPr>
        <w:t xml:space="preserve">nts and a </w:t>
      </w:r>
      <w:r w:rsidRPr="00941E90">
        <w:rPr>
          <w:rFonts w:cs="Arial"/>
          <w:i w:val="0"/>
          <w:color w:val="0D0D0D" w:themeColor="text1" w:themeTint="F2"/>
        </w:rPr>
        <w:t xml:space="preserve">court-based process </w:t>
      </w:r>
      <w:r w:rsidR="00EC3B66">
        <w:rPr>
          <w:rFonts w:cs="Arial"/>
          <w:i w:val="0"/>
          <w:color w:val="0D0D0D" w:themeColor="text1" w:themeTint="F2"/>
        </w:rPr>
        <w:t xml:space="preserve">is needed </w:t>
      </w:r>
      <w:r w:rsidRPr="00941E90">
        <w:rPr>
          <w:rFonts w:cs="Arial"/>
          <w:i w:val="0"/>
          <w:color w:val="0D0D0D" w:themeColor="text1" w:themeTint="F2"/>
        </w:rPr>
        <w:t>to apportion payments between financial dependants</w:t>
      </w:r>
      <w:r w:rsidR="009E299B" w:rsidRPr="00941E90">
        <w:rPr>
          <w:rFonts w:cs="Arial"/>
          <w:i w:val="0"/>
          <w:color w:val="0D0D0D" w:themeColor="text1" w:themeTint="F2"/>
        </w:rPr>
        <w:t>. Th</w:t>
      </w:r>
      <w:r w:rsidR="00B01F6E">
        <w:rPr>
          <w:rFonts w:cs="Arial"/>
          <w:i w:val="0"/>
          <w:color w:val="0D0D0D" w:themeColor="text1" w:themeTint="F2"/>
        </w:rPr>
        <w:t xml:space="preserve">e </w:t>
      </w:r>
      <w:r w:rsidR="00504014" w:rsidRPr="00941E90">
        <w:rPr>
          <w:rFonts w:cs="Arial"/>
          <w:i w:val="0"/>
          <w:color w:val="0D0D0D" w:themeColor="text1" w:themeTint="F2"/>
        </w:rPr>
        <w:t xml:space="preserve">process </w:t>
      </w:r>
      <w:r w:rsidR="00B01F6E">
        <w:rPr>
          <w:rFonts w:cs="Arial"/>
          <w:i w:val="0"/>
          <w:color w:val="0D0D0D" w:themeColor="text1" w:themeTint="F2"/>
        </w:rPr>
        <w:t xml:space="preserve">can be </w:t>
      </w:r>
      <w:r w:rsidRPr="00941E90">
        <w:rPr>
          <w:rFonts w:cs="Arial"/>
          <w:i w:val="0"/>
          <w:color w:val="0D0D0D" w:themeColor="text1" w:themeTint="F2"/>
        </w:rPr>
        <w:t xml:space="preserve">emotionally straining and </w:t>
      </w:r>
      <w:r w:rsidR="0041256E">
        <w:rPr>
          <w:rFonts w:cs="Arial"/>
          <w:i w:val="0"/>
          <w:color w:val="0D0D0D" w:themeColor="text1" w:themeTint="F2"/>
        </w:rPr>
        <w:t xml:space="preserve">time </w:t>
      </w:r>
      <w:r w:rsidRPr="00941E90">
        <w:rPr>
          <w:rFonts w:cs="Arial"/>
          <w:i w:val="0"/>
          <w:color w:val="0D0D0D" w:themeColor="text1" w:themeTint="F2"/>
        </w:rPr>
        <w:t>consuming, at a time when famil</w:t>
      </w:r>
      <w:r w:rsidR="0088671A">
        <w:rPr>
          <w:rFonts w:cs="Arial"/>
          <w:i w:val="0"/>
          <w:color w:val="0D0D0D" w:themeColor="text1" w:themeTint="F2"/>
        </w:rPr>
        <w:t>ies are vulnerable to financial hardship</w:t>
      </w:r>
      <w:r w:rsidRPr="00941E90">
        <w:rPr>
          <w:rFonts w:cs="Arial"/>
          <w:i w:val="0"/>
          <w:color w:val="0D0D0D" w:themeColor="text1" w:themeTint="F2"/>
        </w:rPr>
        <w:t xml:space="preserve">. </w:t>
      </w:r>
    </w:p>
    <w:p w14:paraId="4A9A6856" w14:textId="72CCA853" w:rsidR="00D079F3" w:rsidRDefault="00C9441E" w:rsidP="7D5F1CF6">
      <w:pPr>
        <w:rPr>
          <w:rFonts w:cs="Arial"/>
          <w:i w:val="0"/>
          <w:color w:val="0D0D0D" w:themeColor="text1" w:themeTint="F2"/>
        </w:rPr>
      </w:pPr>
      <w:r w:rsidRPr="00941E90">
        <w:rPr>
          <w:rFonts w:cs="Arial"/>
          <w:i w:val="0"/>
          <w:color w:val="0D0D0D" w:themeColor="text1" w:themeTint="F2"/>
        </w:rPr>
        <w:t>Th</w:t>
      </w:r>
      <w:r w:rsidR="00FF1A67">
        <w:rPr>
          <w:rFonts w:cs="Arial"/>
          <w:i w:val="0"/>
          <w:color w:val="0D0D0D" w:themeColor="text1" w:themeTint="F2"/>
        </w:rPr>
        <w:t>is</w:t>
      </w:r>
      <w:r w:rsidRPr="00941E90">
        <w:rPr>
          <w:rFonts w:cs="Arial"/>
          <w:i w:val="0"/>
          <w:color w:val="0D0D0D" w:themeColor="text1" w:themeTint="F2"/>
        </w:rPr>
        <w:t xml:space="preserve"> Bill </w:t>
      </w:r>
      <w:r w:rsidR="000B0C40" w:rsidRPr="00941E90">
        <w:rPr>
          <w:rFonts w:cs="Arial"/>
          <w:i w:val="0"/>
          <w:color w:val="0D0D0D" w:themeColor="text1" w:themeTint="F2"/>
        </w:rPr>
        <w:t xml:space="preserve">introduces </w:t>
      </w:r>
      <w:r w:rsidR="006A3AA7" w:rsidRPr="00941E90">
        <w:rPr>
          <w:rFonts w:cs="Arial"/>
          <w:i w:val="0"/>
          <w:color w:val="0D0D0D" w:themeColor="text1" w:themeTint="F2"/>
        </w:rPr>
        <w:t>new provisions</w:t>
      </w:r>
      <w:r w:rsidR="00BA70CE" w:rsidRPr="00941E90">
        <w:rPr>
          <w:rFonts w:cs="Arial"/>
          <w:i w:val="0"/>
          <w:color w:val="0D0D0D" w:themeColor="text1" w:themeTint="F2"/>
        </w:rPr>
        <w:t xml:space="preserve"> establish</w:t>
      </w:r>
      <w:r w:rsidR="006A3AA7" w:rsidRPr="00941E90">
        <w:rPr>
          <w:rFonts w:cs="Arial"/>
          <w:i w:val="0"/>
          <w:color w:val="0D0D0D" w:themeColor="text1" w:themeTint="F2"/>
        </w:rPr>
        <w:t>ing</w:t>
      </w:r>
      <w:r w:rsidR="000B0C40" w:rsidRPr="00941E90">
        <w:rPr>
          <w:rFonts w:cs="Arial"/>
          <w:i w:val="0"/>
          <w:color w:val="0D0D0D" w:themeColor="text1" w:themeTint="F2"/>
        </w:rPr>
        <w:t xml:space="preserve"> a </w:t>
      </w:r>
      <w:r w:rsidR="003166DC" w:rsidRPr="00941E90">
        <w:rPr>
          <w:rFonts w:cs="Arial"/>
          <w:i w:val="0"/>
          <w:color w:val="0D0D0D" w:themeColor="text1" w:themeTint="F2"/>
        </w:rPr>
        <w:t xml:space="preserve">compensation </w:t>
      </w:r>
      <w:r w:rsidR="000B0C40" w:rsidRPr="00941E90">
        <w:rPr>
          <w:rFonts w:cs="Arial"/>
          <w:i w:val="0"/>
          <w:color w:val="0D0D0D" w:themeColor="text1" w:themeTint="F2"/>
        </w:rPr>
        <w:t>payment</w:t>
      </w:r>
      <w:r w:rsidR="005F4CCC" w:rsidRPr="00941E90">
        <w:rPr>
          <w:rFonts w:cs="Arial"/>
          <w:i w:val="0"/>
          <w:color w:val="0D0D0D" w:themeColor="text1" w:themeTint="F2"/>
        </w:rPr>
        <w:t xml:space="preserve"> </w:t>
      </w:r>
      <w:r w:rsidR="00F269E5" w:rsidRPr="00941E90">
        <w:rPr>
          <w:rFonts w:cs="Arial"/>
          <w:i w:val="0"/>
          <w:color w:val="0D0D0D" w:themeColor="text1" w:themeTint="F2"/>
        </w:rPr>
        <w:t>made by ins</w:t>
      </w:r>
      <w:r w:rsidR="001959B3" w:rsidRPr="00941E90">
        <w:rPr>
          <w:rFonts w:cs="Arial"/>
          <w:i w:val="0"/>
          <w:color w:val="0D0D0D" w:themeColor="text1" w:themeTint="F2"/>
        </w:rPr>
        <w:t>urers or self-insurers,</w:t>
      </w:r>
      <w:r w:rsidR="000B0C40" w:rsidRPr="00941E90">
        <w:rPr>
          <w:rFonts w:cs="Arial"/>
          <w:i w:val="0"/>
          <w:color w:val="0D0D0D" w:themeColor="text1" w:themeTint="F2"/>
        </w:rPr>
        <w:t xml:space="preserve"> to </w:t>
      </w:r>
      <w:r w:rsidR="0045774C">
        <w:rPr>
          <w:rFonts w:cs="Arial"/>
          <w:i w:val="0"/>
          <w:color w:val="0D0D0D" w:themeColor="text1" w:themeTint="F2"/>
        </w:rPr>
        <w:t>the domestic partner, children, step-children, parents and step-parents of workers who die at work and who had at some time in the six-months prior to their death, lived with the worker.</w:t>
      </w:r>
      <w:r w:rsidR="00381CFE">
        <w:rPr>
          <w:rFonts w:cs="Arial"/>
          <w:i w:val="0"/>
          <w:color w:val="0D0D0D" w:themeColor="text1" w:themeTint="F2"/>
        </w:rPr>
        <w:t xml:space="preserve"> </w:t>
      </w:r>
      <w:r w:rsidR="005F5ACC">
        <w:rPr>
          <w:rFonts w:cs="Arial"/>
          <w:i w:val="0"/>
          <w:color w:val="0D0D0D" w:themeColor="text1" w:themeTint="F2"/>
        </w:rPr>
        <w:t>For example, a</w:t>
      </w:r>
      <w:r w:rsidR="003155AE">
        <w:rPr>
          <w:rFonts w:cs="Arial"/>
          <w:i w:val="0"/>
          <w:color w:val="0D0D0D" w:themeColor="text1" w:themeTint="F2"/>
        </w:rPr>
        <w:t xml:space="preserve"> </w:t>
      </w:r>
      <w:r w:rsidR="00555AB2">
        <w:rPr>
          <w:rFonts w:cs="Arial"/>
          <w:i w:val="0"/>
          <w:color w:val="0D0D0D" w:themeColor="text1" w:themeTint="F2"/>
        </w:rPr>
        <w:t xml:space="preserve">person </w:t>
      </w:r>
      <w:r w:rsidR="00290257">
        <w:rPr>
          <w:rFonts w:cs="Arial"/>
          <w:i w:val="0"/>
          <w:color w:val="0D0D0D" w:themeColor="text1" w:themeTint="F2"/>
        </w:rPr>
        <w:t xml:space="preserve">mentioned </w:t>
      </w:r>
      <w:r w:rsidR="009F7A9B">
        <w:rPr>
          <w:rFonts w:cs="Arial"/>
          <w:i w:val="0"/>
          <w:color w:val="0D0D0D" w:themeColor="text1" w:themeTint="F2"/>
        </w:rPr>
        <w:t xml:space="preserve">may </w:t>
      </w:r>
      <w:r w:rsidR="00D079F3">
        <w:rPr>
          <w:rFonts w:cs="Arial"/>
          <w:i w:val="0"/>
          <w:color w:val="0D0D0D" w:themeColor="text1" w:themeTint="F2"/>
        </w:rPr>
        <w:t>demonstrate</w:t>
      </w:r>
      <w:r w:rsidR="0071135F">
        <w:rPr>
          <w:rFonts w:cs="Arial"/>
          <w:i w:val="0"/>
          <w:color w:val="0D0D0D" w:themeColor="text1" w:themeTint="F2"/>
        </w:rPr>
        <w:t xml:space="preserve"> they lived with the worker</w:t>
      </w:r>
      <w:r w:rsidR="00D079F3">
        <w:rPr>
          <w:rFonts w:cs="Arial"/>
          <w:i w:val="0"/>
          <w:color w:val="0D0D0D" w:themeColor="text1" w:themeTint="F2"/>
        </w:rPr>
        <w:t xml:space="preserve"> </w:t>
      </w:r>
      <w:r w:rsidR="00A57C6B">
        <w:rPr>
          <w:rFonts w:cs="Arial"/>
          <w:i w:val="0"/>
          <w:color w:val="0D0D0D" w:themeColor="text1" w:themeTint="F2"/>
        </w:rPr>
        <w:t xml:space="preserve">at some time within the six-months prior to their death </w:t>
      </w:r>
      <w:r w:rsidR="00AC43D0">
        <w:rPr>
          <w:rFonts w:cs="Arial"/>
          <w:i w:val="0"/>
          <w:color w:val="0D0D0D" w:themeColor="text1" w:themeTint="F2"/>
        </w:rPr>
        <w:t>where they have</w:t>
      </w:r>
      <w:r w:rsidR="00A57C6B">
        <w:rPr>
          <w:rFonts w:cs="Arial"/>
          <w:i w:val="0"/>
          <w:color w:val="0D0D0D" w:themeColor="text1" w:themeTint="F2"/>
        </w:rPr>
        <w:t xml:space="preserve"> evidence of having </w:t>
      </w:r>
      <w:r w:rsidR="00D079F3">
        <w:rPr>
          <w:rFonts w:cs="Arial"/>
          <w:i w:val="0"/>
          <w:color w:val="0D0D0D" w:themeColor="text1" w:themeTint="F2"/>
        </w:rPr>
        <w:t>the same residential address</w:t>
      </w:r>
      <w:r w:rsidR="00AC43D0">
        <w:rPr>
          <w:rFonts w:cs="Arial"/>
          <w:i w:val="0"/>
          <w:color w:val="0D0D0D" w:themeColor="text1" w:themeTint="F2"/>
        </w:rPr>
        <w:t>, such as a utility bill</w:t>
      </w:r>
      <w:r w:rsidR="00E058EC">
        <w:rPr>
          <w:rFonts w:cs="Arial"/>
          <w:i w:val="0"/>
          <w:color w:val="0D0D0D" w:themeColor="text1" w:themeTint="F2"/>
        </w:rPr>
        <w:t xml:space="preserve"> or</w:t>
      </w:r>
      <w:r w:rsidR="00AC43D0">
        <w:rPr>
          <w:rFonts w:cs="Arial"/>
          <w:i w:val="0"/>
          <w:color w:val="0D0D0D" w:themeColor="text1" w:themeTint="F2"/>
        </w:rPr>
        <w:t xml:space="preserve"> </w:t>
      </w:r>
      <w:r w:rsidR="00D60331">
        <w:rPr>
          <w:rFonts w:cs="Arial"/>
          <w:i w:val="0"/>
          <w:color w:val="0D0D0D" w:themeColor="text1" w:themeTint="F2"/>
        </w:rPr>
        <w:t xml:space="preserve">a </w:t>
      </w:r>
      <w:r w:rsidR="00AC43D0">
        <w:rPr>
          <w:rFonts w:cs="Arial"/>
          <w:i w:val="0"/>
          <w:color w:val="0D0D0D" w:themeColor="text1" w:themeTint="F2"/>
        </w:rPr>
        <w:t xml:space="preserve">drivers licence with the </w:t>
      </w:r>
      <w:r w:rsidR="00D60331">
        <w:rPr>
          <w:rFonts w:cs="Arial"/>
          <w:i w:val="0"/>
          <w:color w:val="0D0D0D" w:themeColor="text1" w:themeTint="F2"/>
        </w:rPr>
        <w:t>same address as the deceased worker</w:t>
      </w:r>
      <w:r w:rsidR="00D079F3">
        <w:rPr>
          <w:rFonts w:cs="Arial"/>
          <w:i w:val="0"/>
          <w:color w:val="0D0D0D" w:themeColor="text1" w:themeTint="F2"/>
        </w:rPr>
        <w:t>.</w:t>
      </w:r>
      <w:r w:rsidR="000B0C40" w:rsidRPr="00941E90">
        <w:rPr>
          <w:rFonts w:cs="Arial"/>
          <w:i w:val="0"/>
          <w:color w:val="0D0D0D" w:themeColor="text1" w:themeTint="F2"/>
        </w:rPr>
        <w:t xml:space="preserve"> </w:t>
      </w:r>
    </w:p>
    <w:p w14:paraId="5BBFD88A" w14:textId="471582EC" w:rsidR="00852139" w:rsidRDefault="000B0C40" w:rsidP="7D5F1CF6">
      <w:pPr>
        <w:rPr>
          <w:rFonts w:cs="Arial"/>
          <w:i w:val="0"/>
          <w:color w:val="0D0D0D" w:themeColor="text1" w:themeTint="F2"/>
        </w:rPr>
      </w:pPr>
      <w:r w:rsidRPr="00941E90">
        <w:rPr>
          <w:rFonts w:cs="Arial"/>
          <w:i w:val="0"/>
          <w:color w:val="0D0D0D" w:themeColor="text1" w:themeTint="F2"/>
        </w:rPr>
        <w:t xml:space="preserve">The purpose of this provision is to </w:t>
      </w:r>
      <w:r w:rsidR="007B3123" w:rsidRPr="00941E90">
        <w:rPr>
          <w:rFonts w:cs="Arial"/>
          <w:i w:val="0"/>
          <w:color w:val="0D0D0D" w:themeColor="text1" w:themeTint="F2"/>
        </w:rPr>
        <w:t xml:space="preserve">acknowledge and recognise the </w:t>
      </w:r>
      <w:r w:rsidR="00170BFA">
        <w:rPr>
          <w:rFonts w:cs="Arial"/>
          <w:i w:val="0"/>
          <w:color w:val="0D0D0D" w:themeColor="text1" w:themeTint="F2"/>
        </w:rPr>
        <w:t xml:space="preserve">immediate </w:t>
      </w:r>
      <w:r w:rsidR="007B3123" w:rsidRPr="00941E90">
        <w:rPr>
          <w:rFonts w:cs="Arial"/>
          <w:i w:val="0"/>
          <w:color w:val="0D0D0D" w:themeColor="text1" w:themeTint="F2"/>
        </w:rPr>
        <w:t xml:space="preserve">impact a work-related death has on </w:t>
      </w:r>
      <w:r w:rsidR="00C16502">
        <w:rPr>
          <w:rFonts w:cs="Arial"/>
          <w:i w:val="0"/>
          <w:color w:val="0D0D0D" w:themeColor="text1" w:themeTint="F2"/>
        </w:rPr>
        <w:t xml:space="preserve">a deceased </w:t>
      </w:r>
      <w:r w:rsidR="00AC63C4">
        <w:rPr>
          <w:rFonts w:cs="Arial"/>
          <w:i w:val="0"/>
          <w:color w:val="0D0D0D" w:themeColor="text1" w:themeTint="F2"/>
        </w:rPr>
        <w:t xml:space="preserve">worker’s household finances </w:t>
      </w:r>
      <w:r w:rsidR="00360A8C">
        <w:rPr>
          <w:rFonts w:cs="Arial"/>
          <w:i w:val="0"/>
          <w:color w:val="0D0D0D" w:themeColor="text1" w:themeTint="F2"/>
        </w:rPr>
        <w:t xml:space="preserve">and has been identified as a gap in the </w:t>
      </w:r>
      <w:r w:rsidR="0028138B">
        <w:rPr>
          <w:rFonts w:cs="Arial"/>
          <w:i w:val="0"/>
          <w:color w:val="0D0D0D" w:themeColor="text1" w:themeTint="F2"/>
        </w:rPr>
        <w:t>current statutory compensation framework</w:t>
      </w:r>
      <w:r w:rsidR="00F31796">
        <w:rPr>
          <w:rFonts w:cs="Arial"/>
          <w:i w:val="0"/>
          <w:color w:val="0D0D0D" w:themeColor="text1" w:themeTint="F2"/>
        </w:rPr>
        <w:t xml:space="preserve"> in the event of a work-related death</w:t>
      </w:r>
      <w:r w:rsidR="007B3123" w:rsidRPr="00941E90">
        <w:rPr>
          <w:rFonts w:cs="Arial"/>
          <w:i w:val="0"/>
          <w:color w:val="0D0D0D" w:themeColor="text1" w:themeTint="F2"/>
        </w:rPr>
        <w:t xml:space="preserve">. </w:t>
      </w:r>
    </w:p>
    <w:p w14:paraId="65A8CF50" w14:textId="6AC5B975" w:rsidR="00CC7A0D" w:rsidRPr="00CC7A0D" w:rsidRDefault="00640CEF" w:rsidP="00CC7A0D">
      <w:pPr>
        <w:rPr>
          <w:rFonts w:cs="Arial"/>
          <w:i w:val="0"/>
          <w:lang w:eastAsia="en-AU"/>
        </w:rPr>
      </w:pPr>
      <w:r>
        <w:rPr>
          <w:rFonts w:cs="Arial"/>
          <w:i w:val="0"/>
          <w:color w:val="0D0D0D" w:themeColor="text1" w:themeTint="F2"/>
        </w:rPr>
        <w:t xml:space="preserve">The new compensation payment </w:t>
      </w:r>
      <w:r w:rsidR="003B5121">
        <w:rPr>
          <w:rFonts w:cs="Arial"/>
          <w:i w:val="0"/>
          <w:color w:val="0D0D0D" w:themeColor="text1" w:themeTint="F2"/>
        </w:rPr>
        <w:t>is intended to:</w:t>
      </w:r>
    </w:p>
    <w:p w14:paraId="171434E7" w14:textId="2C7F86F5" w:rsidR="00CC7A0D" w:rsidRPr="00460F69" w:rsidRDefault="00B4428C" w:rsidP="00ED42C2">
      <w:pPr>
        <w:pStyle w:val="ListParagraph"/>
        <w:numPr>
          <w:ilvl w:val="0"/>
          <w:numId w:val="43"/>
        </w:numPr>
        <w:spacing w:after="120"/>
        <w:rPr>
          <w:rFonts w:cs="Arial"/>
          <w:i w:val="0"/>
        </w:rPr>
      </w:pPr>
      <w:r w:rsidRPr="00460F69">
        <w:rPr>
          <w:rFonts w:cs="Arial"/>
          <w:i w:val="0"/>
        </w:rPr>
        <w:t>support</w:t>
      </w:r>
      <w:r w:rsidR="00CC7A0D" w:rsidRPr="00460F69">
        <w:rPr>
          <w:rFonts w:cs="Arial"/>
          <w:i w:val="0"/>
        </w:rPr>
        <w:t xml:space="preserve"> immediate household needs arising from the death of a worker</w:t>
      </w:r>
    </w:p>
    <w:p w14:paraId="61F031D0" w14:textId="4F97FD2E" w:rsidR="001B376D" w:rsidRPr="00460F69" w:rsidRDefault="00CC7A0D" w:rsidP="00ED42C2">
      <w:pPr>
        <w:pStyle w:val="ListParagraph"/>
        <w:numPr>
          <w:ilvl w:val="0"/>
          <w:numId w:val="43"/>
        </w:numPr>
        <w:spacing w:after="120"/>
        <w:rPr>
          <w:rFonts w:cs="Arial"/>
          <w:i w:val="0"/>
        </w:rPr>
      </w:pPr>
      <w:r w:rsidRPr="00460F69">
        <w:rPr>
          <w:rFonts w:cs="Arial"/>
          <w:i w:val="0"/>
        </w:rPr>
        <w:t>be immediate and timely</w:t>
      </w:r>
    </w:p>
    <w:p w14:paraId="462111D4" w14:textId="6B23EA8F" w:rsidR="00CC7A0D" w:rsidRPr="00460F69" w:rsidRDefault="003377FF" w:rsidP="00ED42C2">
      <w:pPr>
        <w:pStyle w:val="ListParagraph"/>
        <w:numPr>
          <w:ilvl w:val="0"/>
          <w:numId w:val="43"/>
        </w:numPr>
        <w:spacing w:after="120"/>
        <w:rPr>
          <w:rFonts w:cs="Arial"/>
          <w:i w:val="0"/>
        </w:rPr>
      </w:pPr>
      <w:r>
        <w:rPr>
          <w:rFonts w:cs="Arial"/>
          <w:i w:val="0"/>
        </w:rPr>
        <w:t xml:space="preserve">provide </w:t>
      </w:r>
      <w:r w:rsidR="00CC7A0D" w:rsidRPr="00460F69">
        <w:rPr>
          <w:rFonts w:cs="Arial"/>
          <w:i w:val="0"/>
        </w:rPr>
        <w:t>streamlined access that facilitates early payment recognising that, in most circumstances, these payments are likely to be made on a without prejudice basis</w:t>
      </w:r>
      <w:r>
        <w:rPr>
          <w:rFonts w:cs="Arial"/>
          <w:i w:val="0"/>
        </w:rPr>
        <w:t>.</w:t>
      </w:r>
    </w:p>
    <w:p w14:paraId="2F619C8A" w14:textId="578F5B0F" w:rsidR="036172C6" w:rsidRPr="006E4F46" w:rsidRDefault="4689A8FE" w:rsidP="5A23B96E">
      <w:pPr>
        <w:rPr>
          <w:rFonts w:cs="Arial"/>
          <w:i w:val="0"/>
        </w:rPr>
      </w:pPr>
      <w:r w:rsidRPr="006E4F46">
        <w:rPr>
          <w:rFonts w:cs="Arial"/>
          <w:i w:val="0"/>
        </w:rPr>
        <w:t>S</w:t>
      </w:r>
      <w:r w:rsidR="4D7314EB" w:rsidRPr="006E4F46">
        <w:rPr>
          <w:rFonts w:cs="Arial"/>
          <w:i w:val="0"/>
        </w:rPr>
        <w:t xml:space="preserve">ection 60 of the </w:t>
      </w:r>
      <w:r w:rsidR="4D7314EB" w:rsidRPr="0046708B">
        <w:rPr>
          <w:rFonts w:cs="Arial"/>
          <w:iCs w:val="0"/>
        </w:rPr>
        <w:t xml:space="preserve">Workers Compensation Regulation 2002 </w:t>
      </w:r>
      <w:r w:rsidR="51D6E3C8" w:rsidRPr="00785DCB">
        <w:rPr>
          <w:rFonts w:cs="Arial"/>
          <w:i w:val="0"/>
        </w:rPr>
        <w:t>establishes</w:t>
      </w:r>
      <w:r w:rsidR="51D6E3C8" w:rsidRPr="0046708B">
        <w:rPr>
          <w:rFonts w:cs="Arial"/>
          <w:iCs w:val="0"/>
        </w:rPr>
        <w:t xml:space="preserve"> </w:t>
      </w:r>
      <w:r w:rsidR="51D6E3C8" w:rsidRPr="006E4F46">
        <w:rPr>
          <w:rFonts w:cs="Arial"/>
          <w:i w:val="0"/>
        </w:rPr>
        <w:t>i</w:t>
      </w:r>
      <w:r w:rsidR="7173B7CE" w:rsidRPr="006E4F46">
        <w:rPr>
          <w:rFonts w:cs="Arial"/>
          <w:i w:val="0"/>
        </w:rPr>
        <w:t xml:space="preserve">ndemnity obligations of licensed insurers </w:t>
      </w:r>
      <w:r w:rsidR="00A649AE">
        <w:rPr>
          <w:rFonts w:cs="Arial"/>
          <w:i w:val="0"/>
        </w:rPr>
        <w:t xml:space="preserve">for </w:t>
      </w:r>
      <w:r w:rsidR="093596D0" w:rsidRPr="006E4F46">
        <w:rPr>
          <w:rFonts w:cs="Arial"/>
          <w:i w:val="0"/>
        </w:rPr>
        <w:t>employer</w:t>
      </w:r>
      <w:r w:rsidR="2F002EC2" w:rsidRPr="006E4F46">
        <w:rPr>
          <w:rFonts w:cs="Arial"/>
          <w:i w:val="0"/>
        </w:rPr>
        <w:t>’s</w:t>
      </w:r>
      <w:r w:rsidR="314D8100" w:rsidRPr="006E4F46">
        <w:rPr>
          <w:rFonts w:cs="Arial"/>
          <w:i w:val="0"/>
        </w:rPr>
        <w:t xml:space="preserve"> workers compensation liabilit</w:t>
      </w:r>
      <w:r w:rsidR="001D7984">
        <w:rPr>
          <w:rFonts w:cs="Arial"/>
          <w:i w:val="0"/>
        </w:rPr>
        <w:t xml:space="preserve">ies </w:t>
      </w:r>
      <w:r w:rsidR="001D7984">
        <w:rPr>
          <w:rFonts w:cs="Arial"/>
          <w:i w:val="0"/>
        </w:rPr>
        <w:lastRenderedPageBreak/>
        <w:t>arising under the WC Act</w:t>
      </w:r>
      <w:r w:rsidR="314D8100" w:rsidRPr="006E4F46">
        <w:rPr>
          <w:rFonts w:cs="Arial"/>
          <w:i w:val="0"/>
        </w:rPr>
        <w:t xml:space="preserve">, unless the </w:t>
      </w:r>
      <w:r w:rsidR="009D281B" w:rsidRPr="006E4F46">
        <w:rPr>
          <w:rFonts w:cs="Arial"/>
          <w:i w:val="0"/>
        </w:rPr>
        <w:t xml:space="preserve">WC </w:t>
      </w:r>
      <w:r w:rsidR="314D8100" w:rsidRPr="006E4F46">
        <w:rPr>
          <w:rFonts w:cs="Arial"/>
          <w:i w:val="0"/>
        </w:rPr>
        <w:t>Act expressly provides</w:t>
      </w:r>
      <w:r w:rsidR="1652D40C" w:rsidRPr="006E4F46">
        <w:rPr>
          <w:rFonts w:cs="Arial"/>
          <w:i w:val="0"/>
        </w:rPr>
        <w:t xml:space="preserve"> </w:t>
      </w:r>
      <w:r w:rsidR="6AE104C4" w:rsidRPr="006E4F46">
        <w:rPr>
          <w:rFonts w:cs="Arial"/>
          <w:i w:val="0"/>
        </w:rPr>
        <w:t>otherwise.</w:t>
      </w:r>
      <w:r w:rsidR="1652D40C" w:rsidRPr="006E4F46">
        <w:rPr>
          <w:rFonts w:cs="Arial"/>
          <w:i w:val="0"/>
        </w:rPr>
        <w:t xml:space="preserve"> </w:t>
      </w:r>
      <w:r w:rsidR="001D7984">
        <w:rPr>
          <w:rFonts w:cs="Arial"/>
          <w:i w:val="0"/>
        </w:rPr>
        <w:t xml:space="preserve">It is noted that self-insurers, as employers, are liable for </w:t>
      </w:r>
      <w:r w:rsidR="00AC6BE0">
        <w:rPr>
          <w:rFonts w:cs="Arial"/>
          <w:i w:val="0"/>
        </w:rPr>
        <w:t xml:space="preserve">their workers compensation liabilities arising under the WC Act. </w:t>
      </w:r>
      <w:r w:rsidR="6BCA8911" w:rsidRPr="006E4F46">
        <w:rPr>
          <w:rFonts w:cs="Arial"/>
          <w:i w:val="0"/>
        </w:rPr>
        <w:t>This obligation is supplemented by licens</w:t>
      </w:r>
      <w:r w:rsidR="2BCAACA2" w:rsidRPr="006E4F46">
        <w:rPr>
          <w:rFonts w:cs="Arial"/>
          <w:i w:val="0"/>
        </w:rPr>
        <w:t xml:space="preserve">ing conditions </w:t>
      </w:r>
      <w:r w:rsidR="1CFC5606" w:rsidRPr="006E4F46">
        <w:rPr>
          <w:rFonts w:cs="Arial"/>
          <w:i w:val="0"/>
        </w:rPr>
        <w:t xml:space="preserve">that insurers and self-insurers operating in the ACT </w:t>
      </w:r>
      <w:r w:rsidR="58D83C27" w:rsidRPr="006E4F46">
        <w:rPr>
          <w:rFonts w:cs="Arial"/>
          <w:i w:val="0"/>
        </w:rPr>
        <w:t>must</w:t>
      </w:r>
      <w:r w:rsidR="1CFC5606" w:rsidRPr="006E4F46">
        <w:rPr>
          <w:rFonts w:cs="Arial"/>
          <w:i w:val="0"/>
        </w:rPr>
        <w:t xml:space="preserve"> comply with.</w:t>
      </w:r>
      <w:r w:rsidR="00C01200" w:rsidRPr="006E4F46">
        <w:rPr>
          <w:rFonts w:cs="Arial"/>
          <w:i w:val="0"/>
        </w:rPr>
        <w:t xml:space="preserve"> </w:t>
      </w:r>
    </w:p>
    <w:p w14:paraId="7C282B86" w14:textId="6ED8F0F8" w:rsidR="1676D22D" w:rsidRPr="006E4F46" w:rsidRDefault="2805FDD8" w:rsidP="19811041">
      <w:pPr>
        <w:rPr>
          <w:rFonts w:cs="Arial"/>
          <w:i w:val="0"/>
        </w:rPr>
      </w:pPr>
      <w:r w:rsidRPr="006E4F46">
        <w:rPr>
          <w:i w:val="0"/>
        </w:rPr>
        <w:t xml:space="preserve">Section 133 of the </w:t>
      </w:r>
      <w:r w:rsidR="3970CCB5" w:rsidRPr="006E4F46">
        <w:rPr>
          <w:i w:val="0"/>
        </w:rPr>
        <w:t>WC</w:t>
      </w:r>
      <w:r w:rsidRPr="006E4F46">
        <w:rPr>
          <w:i w:val="0"/>
        </w:rPr>
        <w:t xml:space="preserve"> Act </w:t>
      </w:r>
      <w:r w:rsidR="00AB67E9">
        <w:rPr>
          <w:i w:val="0"/>
        </w:rPr>
        <w:t>would allow</w:t>
      </w:r>
      <w:r w:rsidRPr="006E4F46">
        <w:rPr>
          <w:i w:val="0"/>
        </w:rPr>
        <w:t xml:space="preserve"> for </w:t>
      </w:r>
      <w:r w:rsidR="00787EBE">
        <w:rPr>
          <w:i w:val="0"/>
        </w:rPr>
        <w:t>this new</w:t>
      </w:r>
      <w:r w:rsidR="00FD5BEB">
        <w:rPr>
          <w:i w:val="0"/>
        </w:rPr>
        <w:t xml:space="preserve"> </w:t>
      </w:r>
      <w:r w:rsidR="00C9441E" w:rsidRPr="006E4F46">
        <w:rPr>
          <w:i w:val="0"/>
        </w:rPr>
        <w:t xml:space="preserve">payment </w:t>
      </w:r>
      <w:r w:rsidR="00FD5BEB">
        <w:rPr>
          <w:i w:val="0"/>
        </w:rPr>
        <w:t>to be</w:t>
      </w:r>
      <w:r w:rsidR="00FD5BEB" w:rsidRPr="006E4F46">
        <w:rPr>
          <w:i w:val="0"/>
        </w:rPr>
        <w:t xml:space="preserve"> </w:t>
      </w:r>
      <w:r w:rsidR="38AA4D3E" w:rsidRPr="006E4F46">
        <w:rPr>
          <w:i w:val="0"/>
        </w:rPr>
        <w:t xml:space="preserve">made without prejudice and </w:t>
      </w:r>
      <w:r w:rsidR="00787EBE">
        <w:rPr>
          <w:i w:val="0"/>
        </w:rPr>
        <w:t>without</w:t>
      </w:r>
      <w:r w:rsidR="00A0029D">
        <w:rPr>
          <w:i w:val="0"/>
        </w:rPr>
        <w:t xml:space="preserve"> being</w:t>
      </w:r>
      <w:r w:rsidR="00C9441E" w:rsidRPr="006E4F46">
        <w:rPr>
          <w:i w:val="0"/>
        </w:rPr>
        <w:t xml:space="preserve"> offset against </w:t>
      </w:r>
      <w:r w:rsidR="009060E3" w:rsidRPr="006E4F46">
        <w:rPr>
          <w:i w:val="0"/>
        </w:rPr>
        <w:t xml:space="preserve">any other </w:t>
      </w:r>
      <w:r w:rsidR="00C9441E" w:rsidRPr="006E4F46">
        <w:rPr>
          <w:i w:val="0"/>
        </w:rPr>
        <w:t>payments made after liability is determined and would not be recover</w:t>
      </w:r>
      <w:r w:rsidR="009E14C6" w:rsidRPr="006E4F46">
        <w:rPr>
          <w:i w:val="0"/>
        </w:rPr>
        <w:t>able</w:t>
      </w:r>
      <w:r w:rsidR="00C9441E" w:rsidRPr="006E4F46">
        <w:rPr>
          <w:i w:val="0"/>
        </w:rPr>
        <w:t xml:space="preserve">, even if liability is not ultimately accepted. </w:t>
      </w:r>
      <w:r w:rsidR="53378958" w:rsidRPr="006E4F46">
        <w:rPr>
          <w:rFonts w:eastAsia="Arial"/>
          <w:i w:val="0"/>
        </w:rPr>
        <w:t xml:space="preserve">This approach is consistent with other types of without prejudice payments, such as </w:t>
      </w:r>
      <w:r w:rsidR="34419BAA" w:rsidRPr="006E4F46">
        <w:rPr>
          <w:rFonts w:eastAsia="Arial"/>
          <w:i w:val="0"/>
        </w:rPr>
        <w:t>weekly payments</w:t>
      </w:r>
      <w:r w:rsidR="52C7008F" w:rsidRPr="006E4F46">
        <w:rPr>
          <w:rFonts w:eastAsia="Arial"/>
          <w:i w:val="0"/>
        </w:rPr>
        <w:t>, medical and related expenses</w:t>
      </w:r>
      <w:r w:rsidR="34419BAA" w:rsidRPr="006E4F46">
        <w:rPr>
          <w:rFonts w:eastAsia="Arial"/>
          <w:i w:val="0"/>
        </w:rPr>
        <w:t xml:space="preserve"> </w:t>
      </w:r>
      <w:r w:rsidR="53378958" w:rsidRPr="006E4F46">
        <w:rPr>
          <w:rFonts w:eastAsia="Arial"/>
          <w:i w:val="0"/>
        </w:rPr>
        <w:t xml:space="preserve">which are made to ensure timely support without compromising the legal rights of either party. </w:t>
      </w:r>
      <w:r w:rsidR="53378958" w:rsidRPr="006E4F46" w:rsidDel="009E299B">
        <w:rPr>
          <w:rFonts w:eastAsia="Arial"/>
          <w:i w:val="0"/>
        </w:rPr>
        <w:t>Like</w:t>
      </w:r>
      <w:r w:rsidR="53378958" w:rsidRPr="006E4F46">
        <w:rPr>
          <w:rFonts w:eastAsia="Arial"/>
          <w:i w:val="0"/>
        </w:rPr>
        <w:t xml:space="preserve"> those payments, the aim is to provide immediate financial relief while preserving the integrity of the claims process</w:t>
      </w:r>
      <w:r w:rsidR="00800C33">
        <w:rPr>
          <w:rFonts w:eastAsia="Arial"/>
          <w:i w:val="0"/>
        </w:rPr>
        <w:t>.</w:t>
      </w:r>
    </w:p>
    <w:p w14:paraId="10DD40C7" w14:textId="084EA058" w:rsidR="00402EDB" w:rsidRPr="00402EDB" w:rsidRDefault="00402EDB" w:rsidP="00402EDB">
      <w:pPr>
        <w:rPr>
          <w:rFonts w:cs="Arial"/>
          <w:i w:val="0"/>
          <w:iCs w:val="0"/>
        </w:rPr>
      </w:pPr>
      <w:r w:rsidRPr="00AA4F82">
        <w:rPr>
          <w:rFonts w:cs="Arial"/>
          <w:i w:val="0"/>
          <w:iCs w:val="0"/>
        </w:rPr>
        <w:t xml:space="preserve">Noting that there are very few incidents of work-related deaths which would enliven this provision, it is intended that regulations would be developed in consultation with stakeholders and may include additional classes of eligible family members where gaps are identified. The regulation would also set out guidance for insurers to ensure that the provision operates with flexibility and efficiency in responding to such incidents including information for insurers about how an application can be made, evidentiary requirements for applicants, and other factors necessary to the application and subsequent payment process, noting existing obligations for an injury notice within the WC Act. </w:t>
      </w:r>
    </w:p>
    <w:p w14:paraId="001E0405" w14:textId="237268EB" w:rsidR="584B97AB" w:rsidRPr="006E4F46" w:rsidRDefault="004D6697" w:rsidP="584B97AB">
      <w:pPr>
        <w:rPr>
          <w:rFonts w:cs="Arial"/>
          <w:i w:val="0"/>
        </w:rPr>
      </w:pPr>
      <w:r>
        <w:rPr>
          <w:rFonts w:cs="Arial"/>
          <w:i w:val="0"/>
        </w:rPr>
        <w:t>A</w:t>
      </w:r>
      <w:r w:rsidR="002E225E" w:rsidRPr="006E4F46">
        <w:rPr>
          <w:rFonts w:cs="Arial"/>
          <w:i w:val="0"/>
        </w:rPr>
        <w:t xml:space="preserve"> death in the workplace is a notifiable incident for the purposes of ACT </w:t>
      </w:r>
      <w:r w:rsidR="00ED7180" w:rsidRPr="006E4F46">
        <w:rPr>
          <w:rFonts w:cs="Arial"/>
          <w:i w:val="0"/>
        </w:rPr>
        <w:t>WHS</w:t>
      </w:r>
      <w:r w:rsidR="002E225E" w:rsidRPr="006E4F46">
        <w:rPr>
          <w:rFonts w:cs="Arial"/>
          <w:i w:val="0"/>
        </w:rPr>
        <w:t xml:space="preserve"> laws with an obligation on employers to notify the regulator immediately after becoming aware that a notifiable incident arising out of the conduct of the business or undertaking has occurred. The regulator is empowered by the </w:t>
      </w:r>
      <w:r w:rsidR="00B402DD" w:rsidRPr="006E4F46">
        <w:rPr>
          <w:rFonts w:cs="Arial"/>
          <w:i w:val="0"/>
        </w:rPr>
        <w:t>WHS law</w:t>
      </w:r>
      <w:r w:rsidR="002E225E" w:rsidRPr="006E4F46">
        <w:rPr>
          <w:rFonts w:cs="Arial"/>
          <w:i w:val="0"/>
        </w:rPr>
        <w:t xml:space="preserve"> to investigate contraventions, including if there is a failure to notify the regulator in the case of workplace deaths</w:t>
      </w:r>
      <w:r w:rsidR="00936B08" w:rsidRPr="006E4F46">
        <w:rPr>
          <w:rFonts w:cs="Arial"/>
          <w:i w:val="0"/>
        </w:rPr>
        <w:t>.  This obligation</w:t>
      </w:r>
      <w:r w:rsidR="00163E08" w:rsidRPr="006E4F46">
        <w:rPr>
          <w:rFonts w:cs="Arial"/>
          <w:i w:val="0"/>
        </w:rPr>
        <w:t>,</w:t>
      </w:r>
      <w:r w:rsidR="00936B08" w:rsidRPr="006E4F46">
        <w:rPr>
          <w:rFonts w:cs="Arial"/>
          <w:i w:val="0"/>
        </w:rPr>
        <w:t xml:space="preserve"> together with </w:t>
      </w:r>
      <w:r w:rsidR="00163E08" w:rsidRPr="006E4F46">
        <w:rPr>
          <w:rFonts w:cs="Arial"/>
          <w:i w:val="0"/>
        </w:rPr>
        <w:t>the</w:t>
      </w:r>
      <w:r w:rsidR="00340908" w:rsidRPr="006E4F46">
        <w:rPr>
          <w:rFonts w:cs="Arial"/>
          <w:i w:val="0"/>
        </w:rPr>
        <w:t xml:space="preserve"> insurer </w:t>
      </w:r>
      <w:r w:rsidR="00163E08" w:rsidRPr="006E4F46">
        <w:rPr>
          <w:rFonts w:cs="Arial"/>
          <w:i w:val="0"/>
        </w:rPr>
        <w:t>and</w:t>
      </w:r>
      <w:r w:rsidR="00340908" w:rsidRPr="006E4F46">
        <w:rPr>
          <w:rFonts w:cs="Arial"/>
          <w:i w:val="0"/>
        </w:rPr>
        <w:t xml:space="preserve"> self-insurer licence conditions</w:t>
      </w:r>
      <w:r w:rsidR="00163E08" w:rsidRPr="006E4F46">
        <w:rPr>
          <w:rFonts w:cs="Arial"/>
          <w:i w:val="0"/>
        </w:rPr>
        <w:t>,</w:t>
      </w:r>
      <w:r w:rsidR="00340908" w:rsidRPr="006E4F46">
        <w:rPr>
          <w:rFonts w:cs="Arial"/>
          <w:i w:val="0"/>
        </w:rPr>
        <w:t xml:space="preserve"> </w:t>
      </w:r>
      <w:r w:rsidR="000E6255" w:rsidRPr="006E4F46">
        <w:rPr>
          <w:rFonts w:cs="Arial"/>
          <w:i w:val="0"/>
        </w:rPr>
        <w:t xml:space="preserve">ensure that </w:t>
      </w:r>
      <w:r w:rsidR="00522307" w:rsidRPr="006E4F46">
        <w:rPr>
          <w:rFonts w:cs="Arial"/>
          <w:i w:val="0"/>
        </w:rPr>
        <w:t xml:space="preserve">families of </w:t>
      </w:r>
      <w:r w:rsidR="00C73753" w:rsidRPr="006E4F46">
        <w:rPr>
          <w:rFonts w:cs="Arial"/>
          <w:i w:val="0"/>
        </w:rPr>
        <w:t>deceased</w:t>
      </w:r>
      <w:r w:rsidR="00522307" w:rsidRPr="006E4F46">
        <w:rPr>
          <w:rFonts w:cs="Arial"/>
          <w:i w:val="0"/>
        </w:rPr>
        <w:t xml:space="preserve"> workers </w:t>
      </w:r>
      <w:r w:rsidR="00C73753" w:rsidRPr="006E4F46">
        <w:rPr>
          <w:rFonts w:cs="Arial"/>
          <w:i w:val="0"/>
        </w:rPr>
        <w:t xml:space="preserve">are adequately protected </w:t>
      </w:r>
      <w:r w:rsidR="00FB2CCD" w:rsidRPr="006E4F46">
        <w:rPr>
          <w:rFonts w:cs="Arial"/>
          <w:i w:val="0"/>
        </w:rPr>
        <w:t xml:space="preserve">with appropriate recourse in the event of </w:t>
      </w:r>
      <w:r w:rsidR="0043763A" w:rsidRPr="006E4F46">
        <w:rPr>
          <w:rFonts w:cs="Arial"/>
          <w:i w:val="0"/>
        </w:rPr>
        <w:t>insurer</w:t>
      </w:r>
      <w:r w:rsidR="00FB2CCD" w:rsidRPr="006E4F46">
        <w:rPr>
          <w:rFonts w:cs="Arial"/>
          <w:i w:val="0"/>
        </w:rPr>
        <w:t xml:space="preserve"> </w:t>
      </w:r>
      <w:r w:rsidR="0043763A" w:rsidRPr="006E4F46">
        <w:rPr>
          <w:rFonts w:cs="Arial"/>
          <w:i w:val="0"/>
        </w:rPr>
        <w:t xml:space="preserve">non-compliance. </w:t>
      </w:r>
      <w:r w:rsidR="00522307" w:rsidRPr="006E4F46">
        <w:rPr>
          <w:rFonts w:cs="Arial"/>
          <w:i w:val="0"/>
        </w:rPr>
        <w:t xml:space="preserve"> </w:t>
      </w:r>
    </w:p>
    <w:p w14:paraId="38C58613" w14:textId="77777777" w:rsidR="00321DE2" w:rsidRPr="006E4F46" w:rsidRDefault="00321DE2" w:rsidP="00640892">
      <w:pPr>
        <w:rPr>
          <w:rFonts w:cs="Arial"/>
          <w:i w:val="0"/>
        </w:rPr>
      </w:pPr>
    </w:p>
    <w:p w14:paraId="50345081" w14:textId="6A1EC056" w:rsidR="00640892" w:rsidRPr="00042B10" w:rsidRDefault="00640892" w:rsidP="00640892">
      <w:pPr>
        <w:rPr>
          <w:rFonts w:cs="Arial"/>
        </w:rPr>
      </w:pPr>
      <w:r w:rsidRPr="00042B10">
        <w:rPr>
          <w:rFonts w:cs="Arial"/>
        </w:rPr>
        <w:t>Removal of barriers for workers who contract HIV/AIDS</w:t>
      </w:r>
    </w:p>
    <w:p w14:paraId="020140A8" w14:textId="06AC6CC7" w:rsidR="00640892" w:rsidRPr="006E4F46" w:rsidRDefault="00640892" w:rsidP="00007644">
      <w:pPr>
        <w:rPr>
          <w:rFonts w:cs="Arial"/>
          <w:i w:val="0"/>
        </w:rPr>
      </w:pPr>
      <w:r w:rsidRPr="006E4F46">
        <w:rPr>
          <w:rFonts w:cs="Arial"/>
          <w:i w:val="0"/>
        </w:rPr>
        <w:t xml:space="preserve">Sex work in the ACT is regulated under the </w:t>
      </w:r>
      <w:r w:rsidRPr="005C278A">
        <w:rPr>
          <w:rFonts w:cs="Arial"/>
          <w:iCs w:val="0"/>
        </w:rPr>
        <w:t>Sex Work Act 1992</w:t>
      </w:r>
      <w:r w:rsidRPr="006E4F46">
        <w:rPr>
          <w:rFonts w:cs="Arial"/>
          <w:i w:val="0"/>
        </w:rPr>
        <w:t>. The Sex Work Code of Practice</w:t>
      </w:r>
      <w:r w:rsidRPr="006E4F46">
        <w:rPr>
          <w:rFonts w:cs="Arial"/>
          <w:i w:val="0"/>
          <w:vertAlign w:val="superscript"/>
        </w:rPr>
        <w:footnoteReference w:id="3"/>
      </w:r>
      <w:r w:rsidRPr="006E4F46">
        <w:rPr>
          <w:rFonts w:cs="Arial"/>
          <w:i w:val="0"/>
        </w:rPr>
        <w:t xml:space="preserve"> identifies exposure to sexually transmitted infections as a hazard of the sex work industry.  </w:t>
      </w:r>
    </w:p>
    <w:p w14:paraId="5F2206F9" w14:textId="0E988CA5" w:rsidR="0000701A" w:rsidRPr="006E4F46" w:rsidRDefault="00640892" w:rsidP="0000701A">
      <w:pPr>
        <w:rPr>
          <w:rFonts w:cs="Arial"/>
          <w:i w:val="0"/>
        </w:rPr>
      </w:pPr>
      <w:r w:rsidRPr="006E4F46">
        <w:rPr>
          <w:rFonts w:cs="Arial"/>
          <w:i w:val="0"/>
        </w:rPr>
        <w:t xml:space="preserve">The WC Act provides for entitlements for lump sum permanent impairment compensation where a worker has suffered a loss listed within Schedule 1. This is in addition to weekly economic loss compensation </w:t>
      </w:r>
      <w:r w:rsidR="00EB1014">
        <w:rPr>
          <w:rFonts w:cs="Arial"/>
          <w:i w:val="0"/>
        </w:rPr>
        <w:t xml:space="preserve">that </w:t>
      </w:r>
      <w:r w:rsidRPr="006E4F46">
        <w:rPr>
          <w:rFonts w:cs="Arial"/>
          <w:i w:val="0"/>
        </w:rPr>
        <w:t xml:space="preserve">workers are entitled to while they are unable to work. </w:t>
      </w:r>
      <w:r w:rsidR="0000701A" w:rsidRPr="006E4F46">
        <w:rPr>
          <w:rFonts w:cs="Arial"/>
          <w:i w:val="0"/>
        </w:rPr>
        <w:t xml:space="preserve">However, section 60 of the </w:t>
      </w:r>
      <w:r w:rsidR="009060E3" w:rsidRPr="006E4F46">
        <w:rPr>
          <w:rFonts w:cs="Arial"/>
          <w:i w:val="0"/>
        </w:rPr>
        <w:t xml:space="preserve">WC </w:t>
      </w:r>
      <w:r w:rsidR="0000701A" w:rsidRPr="006E4F46">
        <w:rPr>
          <w:rFonts w:cs="Arial"/>
          <w:i w:val="0"/>
        </w:rPr>
        <w:t xml:space="preserve">Act </w:t>
      </w:r>
      <w:r w:rsidR="00EB1014">
        <w:rPr>
          <w:rFonts w:cs="Arial"/>
          <w:i w:val="0"/>
        </w:rPr>
        <w:t xml:space="preserve">currently </w:t>
      </w:r>
      <w:r w:rsidR="0000701A" w:rsidRPr="006E4F46">
        <w:rPr>
          <w:rFonts w:cs="Arial"/>
          <w:i w:val="0"/>
        </w:rPr>
        <w:t xml:space="preserve">excludes entitlement to permanent impairment compensation where the contraction of HIV/AIDS arises from voluntary sexual activity or illicit drug use. </w:t>
      </w:r>
    </w:p>
    <w:p w14:paraId="3D182CAE" w14:textId="0AF23D0F" w:rsidR="00321DE2" w:rsidRPr="006E4F46" w:rsidRDefault="00640892" w:rsidP="00321DE2">
      <w:pPr>
        <w:rPr>
          <w:rFonts w:cs="Arial"/>
          <w:i w:val="0"/>
        </w:rPr>
      </w:pPr>
      <w:r w:rsidRPr="006E4F46">
        <w:rPr>
          <w:rFonts w:cs="Arial"/>
          <w:i w:val="0"/>
        </w:rPr>
        <w:t xml:space="preserve">The term “voluntary” is used throughout the WC Act referring to an individual who does not receive payment for the work they perform. The accompanying explanatory </w:t>
      </w:r>
      <w:r w:rsidRPr="006E4F46">
        <w:rPr>
          <w:rFonts w:cs="Arial"/>
          <w:i w:val="0"/>
        </w:rPr>
        <w:lastRenderedPageBreak/>
        <w:t xml:space="preserve">statement relating to the exclusionary provision uses the term “consensual” sexual activity rather than voluntary when explaining the intention of section 60. As this provision does not require the sexual activity to be one of misconduct, it may be interpreted as excluding sex workers participating in work-related sexual activity from receiving permanent impairment benefits should they contract HIV/AIDS. </w:t>
      </w:r>
    </w:p>
    <w:p w14:paraId="54EDDBA4" w14:textId="443AEEBB" w:rsidR="00934D07" w:rsidRDefault="004B776C" w:rsidP="00C55BF7">
      <w:pPr>
        <w:rPr>
          <w:rFonts w:cs="Arial"/>
          <w:i w:val="0"/>
        </w:rPr>
      </w:pPr>
      <w:r>
        <w:rPr>
          <w:rFonts w:cs="Arial"/>
          <w:i w:val="0"/>
        </w:rPr>
        <w:t xml:space="preserve">In contrast, </w:t>
      </w:r>
      <w:r w:rsidR="00C55BF7" w:rsidRPr="00C55BF7">
        <w:rPr>
          <w:rFonts w:cs="Arial"/>
          <w:i w:val="0"/>
        </w:rPr>
        <w:t>workers with other injury types who may be excluded from receiving compensation generally</w:t>
      </w:r>
      <w:r w:rsidR="00FF27BE">
        <w:rPr>
          <w:rFonts w:cs="Arial"/>
          <w:i w:val="0"/>
        </w:rPr>
        <w:t xml:space="preserve"> </w:t>
      </w:r>
      <w:r w:rsidR="00C55BF7" w:rsidRPr="00C55BF7">
        <w:rPr>
          <w:rFonts w:cs="Arial"/>
          <w:i w:val="0"/>
        </w:rPr>
        <w:t>due to serious and wilful misconduct, such as alcohol use, are not</w:t>
      </w:r>
      <w:r w:rsidR="00934D07">
        <w:rPr>
          <w:rFonts w:cs="Arial"/>
          <w:i w:val="0"/>
        </w:rPr>
        <w:t xml:space="preserve"> </w:t>
      </w:r>
      <w:r w:rsidR="00C55BF7" w:rsidRPr="00C55BF7">
        <w:rPr>
          <w:rFonts w:cs="Arial"/>
          <w:i w:val="0"/>
        </w:rPr>
        <w:t>excluded if the injury results in permanent disablement</w:t>
      </w:r>
      <w:r w:rsidR="00934D07">
        <w:rPr>
          <w:rFonts w:cs="Arial"/>
          <w:i w:val="0"/>
        </w:rPr>
        <w:t>.</w:t>
      </w:r>
    </w:p>
    <w:p w14:paraId="03DAE789" w14:textId="5D04696E" w:rsidR="00640892" w:rsidRPr="006E4F46" w:rsidRDefault="00C82364" w:rsidP="00007644">
      <w:pPr>
        <w:rPr>
          <w:rFonts w:cs="Arial"/>
          <w:i w:val="0"/>
        </w:rPr>
      </w:pPr>
      <w:r>
        <w:rPr>
          <w:rFonts w:cs="Arial"/>
          <w:i w:val="0"/>
        </w:rPr>
        <w:t xml:space="preserve">Currently, </w:t>
      </w:r>
      <w:r w:rsidR="00D92EA0" w:rsidRPr="006E4F46">
        <w:rPr>
          <w:rFonts w:cs="Arial"/>
          <w:i w:val="0"/>
        </w:rPr>
        <w:t>NSW</w:t>
      </w:r>
      <w:r w:rsidR="00640892" w:rsidRPr="006E4F46">
        <w:rPr>
          <w:rFonts w:cs="Arial"/>
          <w:i w:val="0"/>
        </w:rPr>
        <w:t xml:space="preserve"> is the only other jurisdiction </w:t>
      </w:r>
      <w:r w:rsidR="00E91F97">
        <w:rPr>
          <w:rFonts w:cs="Arial"/>
          <w:i w:val="0"/>
        </w:rPr>
        <w:t>other than</w:t>
      </w:r>
      <w:r w:rsidR="00640892" w:rsidRPr="006E4F46">
        <w:rPr>
          <w:rFonts w:cs="Arial"/>
          <w:i w:val="0"/>
        </w:rPr>
        <w:t xml:space="preserve"> the ACT to restrict access to permanent impairment benefits for HIV/AIDS injuries resulting from voluntary sexual activity or illicit drug use. Provisions in Western Australia restrict all access to permanent impairment benefits until HIV develops into AIDS, regardless of how it is contracted.</w:t>
      </w:r>
    </w:p>
    <w:p w14:paraId="592204FB" w14:textId="4E6D11FD" w:rsidR="3A27AC8D" w:rsidRPr="006E4F46" w:rsidRDefault="00640892" w:rsidP="3A27AC8D">
      <w:pPr>
        <w:rPr>
          <w:rFonts w:cs="Arial"/>
          <w:i w:val="0"/>
        </w:rPr>
      </w:pPr>
      <w:r w:rsidRPr="006E4F46">
        <w:rPr>
          <w:rFonts w:cs="Arial"/>
          <w:i w:val="0"/>
        </w:rPr>
        <w:t xml:space="preserve">The current </w:t>
      </w:r>
      <w:r w:rsidR="00EF3CA7">
        <w:rPr>
          <w:rFonts w:cs="Arial"/>
          <w:i w:val="0"/>
        </w:rPr>
        <w:t>exclusion</w:t>
      </w:r>
      <w:r w:rsidRPr="006E4F46">
        <w:rPr>
          <w:rFonts w:cs="Arial"/>
          <w:i w:val="0"/>
        </w:rPr>
        <w:t xml:space="preserve"> of workers within the ACT </w:t>
      </w:r>
      <w:r w:rsidR="00EF3CA7">
        <w:rPr>
          <w:rFonts w:cs="Arial"/>
          <w:i w:val="0"/>
        </w:rPr>
        <w:t xml:space="preserve">from permanent impairment workers’ compensation benefits </w:t>
      </w:r>
      <w:r w:rsidRPr="006E4F46">
        <w:rPr>
          <w:rFonts w:cs="Arial"/>
          <w:i w:val="0"/>
        </w:rPr>
        <w:t>creates inconsistent treatment of injured workers based on their injury type and may perpetuate unnecessary stigma against workers with HIV/AIDS.</w:t>
      </w:r>
      <w:r w:rsidR="00007644" w:rsidRPr="006E4F46">
        <w:rPr>
          <w:rFonts w:cs="Arial"/>
          <w:i w:val="0"/>
        </w:rPr>
        <w:t xml:space="preserve"> </w:t>
      </w:r>
      <w:r w:rsidRPr="006E4F46">
        <w:rPr>
          <w:rFonts w:cs="Arial"/>
          <w:i w:val="0"/>
        </w:rPr>
        <w:t xml:space="preserve">The </w:t>
      </w:r>
      <w:r w:rsidR="00007644" w:rsidRPr="006E4F46">
        <w:rPr>
          <w:rFonts w:cs="Arial"/>
          <w:i w:val="0"/>
        </w:rPr>
        <w:t xml:space="preserve">removal of this provision </w:t>
      </w:r>
      <w:r w:rsidR="00D1494F">
        <w:rPr>
          <w:rFonts w:cs="Arial"/>
          <w:i w:val="0"/>
        </w:rPr>
        <w:t xml:space="preserve">under this Bill </w:t>
      </w:r>
      <w:r w:rsidR="00D20068">
        <w:rPr>
          <w:rFonts w:cs="Arial"/>
          <w:i w:val="0"/>
        </w:rPr>
        <w:t>would</w:t>
      </w:r>
      <w:r w:rsidR="00D20068" w:rsidRPr="006E4F46">
        <w:rPr>
          <w:rFonts w:cs="Arial"/>
          <w:i w:val="0"/>
        </w:rPr>
        <w:t xml:space="preserve"> </w:t>
      </w:r>
      <w:r w:rsidRPr="006E4F46">
        <w:rPr>
          <w:rFonts w:cs="Arial"/>
          <w:i w:val="0"/>
        </w:rPr>
        <w:t>ensure consistent treatment of injured workers based on injury type and increased support for workers in high-risk industries by removing barriers to workers with HIV/AIDS accessing permanent impairment benefits.</w:t>
      </w:r>
    </w:p>
    <w:p w14:paraId="3D418A38" w14:textId="77777777" w:rsidR="00321DE2" w:rsidRPr="008F381B" w:rsidRDefault="00321DE2" w:rsidP="008F381B">
      <w:pPr>
        <w:spacing w:after="0"/>
        <w:rPr>
          <w:rFonts w:cs="Arial"/>
          <w:i w:val="0"/>
          <w:highlight w:val="yellow"/>
        </w:rPr>
      </w:pPr>
    </w:p>
    <w:p w14:paraId="45038671" w14:textId="2F67D420" w:rsidR="00BC6199" w:rsidRPr="00042B10" w:rsidRDefault="00BC6199" w:rsidP="00BC6199">
      <w:pPr>
        <w:rPr>
          <w:rFonts w:cs="Arial"/>
        </w:rPr>
      </w:pPr>
      <w:r w:rsidRPr="00042B10">
        <w:rPr>
          <w:rFonts w:cs="Arial"/>
        </w:rPr>
        <w:t>Medical Referees</w:t>
      </w:r>
    </w:p>
    <w:p w14:paraId="33496B0E" w14:textId="0335E265" w:rsidR="00BC6199" w:rsidRPr="006E4F46" w:rsidRDefault="00BC6199" w:rsidP="0019693D">
      <w:pPr>
        <w:rPr>
          <w:rFonts w:cs="Arial"/>
          <w:i w:val="0"/>
        </w:rPr>
      </w:pPr>
      <w:r w:rsidRPr="006E4F46">
        <w:rPr>
          <w:rFonts w:cs="Arial"/>
          <w:i w:val="0"/>
        </w:rPr>
        <w:t>The WC Act requires medical referees to certify injuries as permanent where workers wish to reside outside of Australia and retain compensation benefits. Section 201 of the WC Act</w:t>
      </w:r>
      <w:r w:rsidR="00F25C96">
        <w:rPr>
          <w:rFonts w:cs="Arial"/>
          <w:i w:val="0"/>
        </w:rPr>
        <w:t xml:space="preserve"> currently</w:t>
      </w:r>
      <w:r w:rsidRPr="006E4F46">
        <w:rPr>
          <w:rFonts w:cs="Arial"/>
          <w:i w:val="0"/>
        </w:rPr>
        <w:t xml:space="preserve"> allows the Minister to appoint one or more doctors as a medical referee for the purposes of:</w:t>
      </w:r>
    </w:p>
    <w:p w14:paraId="229CC5F0" w14:textId="77777777" w:rsidR="00BC6199" w:rsidRPr="006E4F46" w:rsidRDefault="00BC6199" w:rsidP="00DF622F">
      <w:pPr>
        <w:numPr>
          <w:ilvl w:val="1"/>
          <w:numId w:val="44"/>
        </w:numPr>
        <w:rPr>
          <w:rFonts w:cs="Arial"/>
          <w:i w:val="0"/>
        </w:rPr>
      </w:pPr>
      <w:r w:rsidRPr="006E4F46">
        <w:rPr>
          <w:rFonts w:cs="Arial"/>
          <w:i w:val="0"/>
        </w:rPr>
        <w:t>certifying incapacity where it is likely to be permanent, if the worker stops living in Australia</w:t>
      </w:r>
    </w:p>
    <w:p w14:paraId="73625775" w14:textId="77777777" w:rsidR="00BC6199" w:rsidRPr="006E4F46" w:rsidRDefault="00BC6199" w:rsidP="00DF622F">
      <w:pPr>
        <w:numPr>
          <w:ilvl w:val="1"/>
          <w:numId w:val="44"/>
        </w:numPr>
        <w:rPr>
          <w:rFonts w:cs="Arial"/>
          <w:i w:val="0"/>
        </w:rPr>
      </w:pPr>
      <w:r w:rsidRPr="006E4F46">
        <w:rPr>
          <w:rFonts w:cs="Arial"/>
          <w:i w:val="0"/>
        </w:rPr>
        <w:t>assisting with conciliation for medical disputes, and</w:t>
      </w:r>
    </w:p>
    <w:p w14:paraId="1EC22A74" w14:textId="77777777" w:rsidR="00BC6199" w:rsidRPr="006E4F46" w:rsidRDefault="00BC6199" w:rsidP="00DF622F">
      <w:pPr>
        <w:numPr>
          <w:ilvl w:val="1"/>
          <w:numId w:val="44"/>
        </w:numPr>
        <w:rPr>
          <w:rFonts w:cs="Arial"/>
          <w:i w:val="0"/>
        </w:rPr>
      </w:pPr>
      <w:r w:rsidRPr="006E4F46">
        <w:rPr>
          <w:rFonts w:cs="Arial"/>
          <w:i w:val="0"/>
        </w:rPr>
        <w:t>assessing and reporting on medical matters during arbitration.</w:t>
      </w:r>
    </w:p>
    <w:p w14:paraId="426E5105" w14:textId="5860F6CD" w:rsidR="00BC6199" w:rsidRPr="006E4F46" w:rsidRDefault="00226AEE" w:rsidP="006D0C2F">
      <w:pPr>
        <w:rPr>
          <w:rFonts w:cs="Arial"/>
          <w:i w:val="0"/>
        </w:rPr>
      </w:pPr>
      <w:r w:rsidRPr="006E4F46">
        <w:rPr>
          <w:rFonts w:cs="Arial"/>
          <w:i w:val="0"/>
        </w:rPr>
        <w:t>Only those appointed may exercise the function of a medical referee</w:t>
      </w:r>
      <w:r>
        <w:rPr>
          <w:rFonts w:cs="Arial"/>
          <w:i w:val="0"/>
        </w:rPr>
        <w:t>.</w:t>
      </w:r>
      <w:r w:rsidRPr="006E4F46">
        <w:rPr>
          <w:rFonts w:cs="Arial"/>
          <w:i w:val="0"/>
        </w:rPr>
        <w:t xml:space="preserve"> </w:t>
      </w:r>
      <w:r w:rsidR="00BC6199" w:rsidRPr="006E4F46">
        <w:rPr>
          <w:rFonts w:cs="Arial"/>
          <w:i w:val="0"/>
        </w:rPr>
        <w:t>On 18 April 2024, delegation</w:t>
      </w:r>
      <w:r>
        <w:rPr>
          <w:rFonts w:cs="Arial"/>
          <w:i w:val="0"/>
        </w:rPr>
        <w:t>s under the WC Act</w:t>
      </w:r>
      <w:r w:rsidR="00AD2754">
        <w:rPr>
          <w:rFonts w:cs="Arial"/>
          <w:i w:val="0"/>
        </w:rPr>
        <w:t xml:space="preserve"> were updated to allow the WHS Commissioner to appoint medical referees</w:t>
      </w:r>
      <w:r w:rsidR="00BC6199" w:rsidRPr="006E4F46">
        <w:rPr>
          <w:rFonts w:cs="Arial"/>
          <w:i w:val="0"/>
          <w:vertAlign w:val="superscript"/>
        </w:rPr>
        <w:footnoteReference w:id="4"/>
      </w:r>
      <w:r w:rsidR="00BC6199" w:rsidRPr="006E4F46">
        <w:rPr>
          <w:rFonts w:cs="Arial"/>
          <w:i w:val="0"/>
        </w:rPr>
        <w:t>. This change occurred due to the benefit of the regulator having operational oversight</w:t>
      </w:r>
      <w:r w:rsidR="00E565EE">
        <w:rPr>
          <w:rFonts w:cs="Arial"/>
          <w:i w:val="0"/>
        </w:rPr>
        <w:t xml:space="preserve"> given the role of medical referees as experts in dispute resolution processes </w:t>
      </w:r>
      <w:r w:rsidR="00BC6199" w:rsidRPr="006E4F46">
        <w:rPr>
          <w:rFonts w:cs="Arial"/>
          <w:i w:val="0"/>
        </w:rPr>
        <w:t xml:space="preserve">and </w:t>
      </w:r>
      <w:r w:rsidR="00C63BE0">
        <w:rPr>
          <w:rFonts w:cs="Arial"/>
          <w:i w:val="0"/>
        </w:rPr>
        <w:t>wa</w:t>
      </w:r>
      <w:r w:rsidR="00BC6199" w:rsidRPr="006E4F46">
        <w:rPr>
          <w:rFonts w:cs="Arial"/>
          <w:i w:val="0"/>
        </w:rPr>
        <w:t xml:space="preserve">s intended to be on an interim basis while </w:t>
      </w:r>
      <w:r w:rsidR="00504411">
        <w:rPr>
          <w:rFonts w:cs="Arial"/>
          <w:i w:val="0"/>
        </w:rPr>
        <w:t xml:space="preserve">legislative </w:t>
      </w:r>
      <w:r w:rsidR="00BC6199" w:rsidRPr="006E4F46">
        <w:rPr>
          <w:rFonts w:cs="Arial"/>
          <w:i w:val="0"/>
        </w:rPr>
        <w:t xml:space="preserve">provisions </w:t>
      </w:r>
      <w:r w:rsidR="00504411">
        <w:rPr>
          <w:rFonts w:cs="Arial"/>
          <w:i w:val="0"/>
        </w:rPr>
        <w:t xml:space="preserve">were </w:t>
      </w:r>
      <w:r w:rsidR="00BC6199" w:rsidRPr="006E4F46">
        <w:rPr>
          <w:rFonts w:cs="Arial"/>
          <w:i w:val="0"/>
        </w:rPr>
        <w:t>reviewed.</w:t>
      </w:r>
    </w:p>
    <w:p w14:paraId="5B1CCBC4" w14:textId="1AE8F0EA" w:rsidR="0080677E" w:rsidRDefault="00AF7CE5" w:rsidP="00BC6199">
      <w:pPr>
        <w:rPr>
          <w:rFonts w:cs="Arial"/>
          <w:i w:val="0"/>
        </w:rPr>
      </w:pPr>
      <w:r>
        <w:rPr>
          <w:rFonts w:cs="Arial"/>
          <w:i w:val="0"/>
        </w:rPr>
        <w:t>In addition, a jurisdictional scan has identified that n</w:t>
      </w:r>
      <w:r w:rsidR="00BC6199" w:rsidRPr="006E4F46">
        <w:rPr>
          <w:rFonts w:cs="Arial"/>
          <w:i w:val="0"/>
        </w:rPr>
        <w:t xml:space="preserve">o other jurisdiction requires medical referee certification for compensation to continue while a worker resides outside of Australia. </w:t>
      </w:r>
    </w:p>
    <w:p w14:paraId="141B425C" w14:textId="77777777" w:rsidR="005D75B9" w:rsidRDefault="005D75B9" w:rsidP="00BC6199">
      <w:pPr>
        <w:rPr>
          <w:rFonts w:cs="Arial"/>
          <w:i w:val="0"/>
        </w:rPr>
      </w:pPr>
    </w:p>
    <w:p w14:paraId="09A3A660" w14:textId="06BCCD43" w:rsidR="0040408A" w:rsidRDefault="006D0C2F" w:rsidP="00BC6199">
      <w:pPr>
        <w:rPr>
          <w:rFonts w:cs="Arial"/>
          <w:i w:val="0"/>
        </w:rPr>
      </w:pPr>
      <w:r w:rsidRPr="006E4F46">
        <w:rPr>
          <w:rFonts w:cs="Arial"/>
          <w:i w:val="0"/>
        </w:rPr>
        <w:lastRenderedPageBreak/>
        <w:t>Th</w:t>
      </w:r>
      <w:r w:rsidR="004B5FD2">
        <w:rPr>
          <w:rFonts w:cs="Arial"/>
          <w:i w:val="0"/>
        </w:rPr>
        <w:t>is</w:t>
      </w:r>
      <w:r w:rsidRPr="006E4F46">
        <w:rPr>
          <w:rFonts w:cs="Arial"/>
          <w:i w:val="0"/>
        </w:rPr>
        <w:t xml:space="preserve"> Bill</w:t>
      </w:r>
      <w:r w:rsidRPr="006E4F46" w:rsidDel="00A70B29">
        <w:rPr>
          <w:rFonts w:cs="Arial"/>
          <w:i w:val="0"/>
        </w:rPr>
        <w:t xml:space="preserve"> </w:t>
      </w:r>
      <w:r w:rsidR="009B0620" w:rsidRPr="006E4F46">
        <w:rPr>
          <w:rFonts w:cs="Arial"/>
          <w:i w:val="0"/>
        </w:rPr>
        <w:t>introduce</w:t>
      </w:r>
      <w:r w:rsidR="00EF4E3E" w:rsidRPr="006E4F46">
        <w:rPr>
          <w:rFonts w:cs="Arial"/>
          <w:i w:val="0"/>
        </w:rPr>
        <w:t>s</w:t>
      </w:r>
      <w:r w:rsidR="009B0620" w:rsidRPr="006E4F46">
        <w:rPr>
          <w:rFonts w:cs="Arial"/>
          <w:i w:val="0"/>
        </w:rPr>
        <w:t xml:space="preserve"> amendment</w:t>
      </w:r>
      <w:r w:rsidR="004B5FD2">
        <w:rPr>
          <w:rFonts w:cs="Arial"/>
          <w:i w:val="0"/>
        </w:rPr>
        <w:t>s</w:t>
      </w:r>
      <w:r w:rsidR="009B0620" w:rsidRPr="006E4F46">
        <w:rPr>
          <w:rFonts w:cs="Arial"/>
          <w:i w:val="0"/>
        </w:rPr>
        <w:t xml:space="preserve"> </w:t>
      </w:r>
      <w:r w:rsidR="0055010D">
        <w:rPr>
          <w:rFonts w:cs="Arial"/>
          <w:i w:val="0"/>
        </w:rPr>
        <w:t>that</w:t>
      </w:r>
      <w:r w:rsidR="0040408A">
        <w:rPr>
          <w:rFonts w:cs="Arial"/>
          <w:i w:val="0"/>
        </w:rPr>
        <w:t>:</w:t>
      </w:r>
    </w:p>
    <w:p w14:paraId="207CBCE4" w14:textId="0555D180" w:rsidR="00F81D03" w:rsidRDefault="00BC6199" w:rsidP="00AA4F82">
      <w:pPr>
        <w:numPr>
          <w:ilvl w:val="1"/>
          <w:numId w:val="44"/>
        </w:numPr>
        <w:rPr>
          <w:rFonts w:cs="Arial"/>
          <w:i w:val="0"/>
        </w:rPr>
      </w:pPr>
      <w:r w:rsidRPr="00DF622F">
        <w:rPr>
          <w:rFonts w:cs="Arial"/>
          <w:i w:val="0"/>
        </w:rPr>
        <w:t>contemporise provision</w:t>
      </w:r>
      <w:r w:rsidR="00B35C9D">
        <w:rPr>
          <w:rFonts w:cs="Arial"/>
          <w:i w:val="0"/>
        </w:rPr>
        <w:t>s</w:t>
      </w:r>
      <w:r w:rsidRPr="00DF622F">
        <w:rPr>
          <w:rFonts w:cs="Arial"/>
          <w:i w:val="0"/>
        </w:rPr>
        <w:t xml:space="preserve"> </w:t>
      </w:r>
      <w:r w:rsidR="008F115B">
        <w:rPr>
          <w:rFonts w:cs="Arial"/>
          <w:i w:val="0"/>
        </w:rPr>
        <w:t>to</w:t>
      </w:r>
      <w:r w:rsidRPr="00DF622F">
        <w:rPr>
          <w:rFonts w:cs="Arial"/>
          <w:i w:val="0"/>
        </w:rPr>
        <w:t xml:space="preserve"> streamline the process for workers, removing the need for additional doctor’s appointments as well as the </w:t>
      </w:r>
      <w:r w:rsidR="00EF4E3E" w:rsidRPr="00DF622F">
        <w:rPr>
          <w:rFonts w:cs="Arial"/>
          <w:i w:val="0"/>
        </w:rPr>
        <w:t xml:space="preserve">need for additional </w:t>
      </w:r>
      <w:r w:rsidRPr="00DF622F">
        <w:rPr>
          <w:rFonts w:cs="Arial"/>
          <w:i w:val="0"/>
        </w:rPr>
        <w:t>administrative burden</w:t>
      </w:r>
      <w:r w:rsidR="008F115B">
        <w:rPr>
          <w:rFonts w:cs="Arial"/>
          <w:i w:val="0"/>
        </w:rPr>
        <w:t>,</w:t>
      </w:r>
      <w:r w:rsidR="00B35C9D">
        <w:rPr>
          <w:rFonts w:cs="Arial"/>
          <w:i w:val="0"/>
        </w:rPr>
        <w:t xml:space="preserve"> where </w:t>
      </w:r>
      <w:r w:rsidR="00A0638E">
        <w:rPr>
          <w:rFonts w:cs="Arial"/>
          <w:i w:val="0"/>
        </w:rPr>
        <w:t xml:space="preserve">a worker may reside outside of </w:t>
      </w:r>
      <w:r w:rsidR="008F115B">
        <w:rPr>
          <w:rFonts w:cs="Arial"/>
          <w:i w:val="0"/>
        </w:rPr>
        <w:t>Australia but still in certain circumstances be entitled to receive weekly compensation</w:t>
      </w:r>
      <w:r w:rsidR="0040408A">
        <w:rPr>
          <w:rFonts w:cs="Arial"/>
          <w:i w:val="0"/>
        </w:rPr>
        <w:t>; and</w:t>
      </w:r>
    </w:p>
    <w:p w14:paraId="07B2CCF0" w14:textId="6F27104E" w:rsidR="0040408A" w:rsidRPr="00DF622F" w:rsidRDefault="00824143" w:rsidP="00AA4F82">
      <w:pPr>
        <w:numPr>
          <w:ilvl w:val="1"/>
          <w:numId w:val="44"/>
        </w:numPr>
        <w:rPr>
          <w:rFonts w:cs="Arial"/>
          <w:i w:val="0"/>
        </w:rPr>
      </w:pPr>
      <w:r>
        <w:rPr>
          <w:rFonts w:cs="Arial"/>
          <w:i w:val="0"/>
        </w:rPr>
        <w:t>provide</w:t>
      </w:r>
      <w:r w:rsidR="00A553CD">
        <w:rPr>
          <w:rFonts w:cs="Arial"/>
          <w:i w:val="0"/>
        </w:rPr>
        <w:t>s</w:t>
      </w:r>
      <w:r>
        <w:rPr>
          <w:rFonts w:cs="Arial"/>
          <w:i w:val="0"/>
        </w:rPr>
        <w:t xml:space="preserve"> for the WHS Commissioner to appoint medical referees </w:t>
      </w:r>
      <w:r w:rsidR="00DC49DC">
        <w:rPr>
          <w:rFonts w:cs="Arial"/>
          <w:i w:val="0"/>
        </w:rPr>
        <w:t>as part of administering the WC Act</w:t>
      </w:r>
      <w:r w:rsidR="00E565EE">
        <w:rPr>
          <w:rFonts w:cs="Arial"/>
          <w:i w:val="0"/>
        </w:rPr>
        <w:t>.</w:t>
      </w:r>
    </w:p>
    <w:p w14:paraId="2F47A4FB" w14:textId="77777777" w:rsidR="00622861" w:rsidRDefault="00622861" w:rsidP="00BC6199">
      <w:pPr>
        <w:rPr>
          <w:rFonts w:cs="Arial"/>
        </w:rPr>
      </w:pPr>
    </w:p>
    <w:p w14:paraId="0DD455C0" w14:textId="78C27ACC" w:rsidR="00B055FB" w:rsidRPr="00042B10" w:rsidRDefault="00846BB9" w:rsidP="063F40A7">
      <w:pPr>
        <w:rPr>
          <w:rFonts w:cs="Arial"/>
        </w:rPr>
      </w:pPr>
      <w:r w:rsidRPr="00042B10">
        <w:rPr>
          <w:rFonts w:cs="Arial"/>
        </w:rPr>
        <w:t>Limitation period</w:t>
      </w:r>
      <w:r w:rsidR="00BF1357">
        <w:rPr>
          <w:rFonts w:cs="Arial"/>
        </w:rPr>
        <w:t xml:space="preserve"> – time for commencing legal proceedings</w:t>
      </w:r>
    </w:p>
    <w:p w14:paraId="6F4681D5" w14:textId="77777777" w:rsidR="00281C56" w:rsidRDefault="00227F59" w:rsidP="00227F59">
      <w:pPr>
        <w:rPr>
          <w:rFonts w:cs="Arial"/>
          <w:i w:val="0"/>
        </w:rPr>
      </w:pPr>
      <w:r w:rsidRPr="006E4F46">
        <w:rPr>
          <w:rFonts w:cs="Arial"/>
          <w:i w:val="0"/>
        </w:rPr>
        <w:t>Th</w:t>
      </w:r>
      <w:r>
        <w:rPr>
          <w:rFonts w:cs="Arial"/>
          <w:i w:val="0"/>
        </w:rPr>
        <w:t>is</w:t>
      </w:r>
      <w:r w:rsidRPr="006E4F46">
        <w:rPr>
          <w:rFonts w:cs="Arial"/>
          <w:i w:val="0"/>
        </w:rPr>
        <w:t xml:space="preserve"> Bill progresses an amendment t</w:t>
      </w:r>
      <w:r w:rsidR="007B174D">
        <w:rPr>
          <w:rFonts w:cs="Arial"/>
          <w:i w:val="0"/>
        </w:rPr>
        <w:t xml:space="preserve">hat </w:t>
      </w:r>
      <w:r w:rsidRPr="006E4F46">
        <w:rPr>
          <w:rFonts w:cs="Arial"/>
          <w:i w:val="0"/>
        </w:rPr>
        <w:t>correct</w:t>
      </w:r>
      <w:r w:rsidR="007B174D">
        <w:rPr>
          <w:rFonts w:cs="Arial"/>
          <w:i w:val="0"/>
        </w:rPr>
        <w:t>s</w:t>
      </w:r>
      <w:r w:rsidRPr="006E4F46">
        <w:rPr>
          <w:rFonts w:cs="Arial"/>
          <w:i w:val="0"/>
        </w:rPr>
        <w:t xml:space="preserve"> a historical error </w:t>
      </w:r>
      <w:r w:rsidR="00724B71">
        <w:rPr>
          <w:rFonts w:cs="Arial"/>
          <w:i w:val="0"/>
        </w:rPr>
        <w:t>in section 202(1) of the WC Act</w:t>
      </w:r>
      <w:r w:rsidR="00403CAD">
        <w:rPr>
          <w:rFonts w:cs="Arial"/>
          <w:i w:val="0"/>
        </w:rPr>
        <w:t xml:space="preserve"> when referring to</w:t>
      </w:r>
      <w:r w:rsidRPr="006E4F46">
        <w:rPr>
          <w:rFonts w:cs="Arial"/>
          <w:i w:val="0"/>
        </w:rPr>
        <w:t xml:space="preserve"> the prosecution limitation period </w:t>
      </w:r>
      <w:r w:rsidR="00597C67">
        <w:rPr>
          <w:rFonts w:cs="Arial"/>
          <w:i w:val="0"/>
        </w:rPr>
        <w:t>for offences relating to not holding a compulsory insurance policy</w:t>
      </w:r>
      <w:r w:rsidR="0011621C">
        <w:rPr>
          <w:rFonts w:cs="Arial"/>
          <w:i w:val="0"/>
        </w:rPr>
        <w:t xml:space="preserve">. </w:t>
      </w:r>
    </w:p>
    <w:p w14:paraId="6F80B399" w14:textId="0C7958F6" w:rsidR="00F37626" w:rsidRDefault="00F37626" w:rsidP="00F37626">
      <w:pPr>
        <w:rPr>
          <w:rFonts w:cs="Arial"/>
          <w:i w:val="0"/>
        </w:rPr>
      </w:pPr>
      <w:r>
        <w:rPr>
          <w:rFonts w:cs="Arial"/>
          <w:i w:val="0"/>
        </w:rPr>
        <w:t xml:space="preserve">The time limits for commencing legal proceedings are set out in section 202 of the WC Act and in the main require that proceedings be commenced within one year, except </w:t>
      </w:r>
      <w:r w:rsidR="00A015AC">
        <w:rPr>
          <w:rFonts w:cs="Arial"/>
          <w:i w:val="0"/>
        </w:rPr>
        <w:t>for</w:t>
      </w:r>
      <w:r>
        <w:rPr>
          <w:rFonts w:cs="Arial"/>
          <w:i w:val="0"/>
        </w:rPr>
        <w:t xml:space="preserve"> certain offences specified in section 202(1) of the Act</w:t>
      </w:r>
      <w:r w:rsidR="00A015AC">
        <w:rPr>
          <w:rFonts w:cs="Arial"/>
          <w:i w:val="0"/>
        </w:rPr>
        <w:t xml:space="preserve"> for which a 5</w:t>
      </w:r>
      <w:r w:rsidR="00CE19CB">
        <w:rPr>
          <w:rFonts w:cs="Arial"/>
          <w:i w:val="0"/>
        </w:rPr>
        <w:t> </w:t>
      </w:r>
      <w:r w:rsidR="00A015AC">
        <w:rPr>
          <w:rFonts w:cs="Arial"/>
          <w:i w:val="0"/>
        </w:rPr>
        <w:t>year time limit for commencing proceedings applies</w:t>
      </w:r>
      <w:r>
        <w:rPr>
          <w:rFonts w:cs="Arial"/>
          <w:i w:val="0"/>
        </w:rPr>
        <w:t>.</w:t>
      </w:r>
    </w:p>
    <w:p w14:paraId="3CD39878" w14:textId="6A9C2527" w:rsidR="00CD63BB" w:rsidRDefault="00281C56" w:rsidP="00227F59">
      <w:pPr>
        <w:rPr>
          <w:rFonts w:cs="Arial"/>
          <w:i w:val="0"/>
        </w:rPr>
      </w:pPr>
      <w:r>
        <w:rPr>
          <w:rFonts w:cs="Arial"/>
          <w:i w:val="0"/>
        </w:rPr>
        <w:t xml:space="preserve">Historically, prior to December 2009, the requirement </w:t>
      </w:r>
      <w:r w:rsidR="00680221">
        <w:rPr>
          <w:rFonts w:cs="Arial"/>
          <w:i w:val="0"/>
        </w:rPr>
        <w:t xml:space="preserve">for an employer to hold a compulsory insurance policy and associated offences were set out in the </w:t>
      </w:r>
      <w:r w:rsidR="0036644E">
        <w:rPr>
          <w:rFonts w:cs="Arial"/>
          <w:i w:val="0"/>
        </w:rPr>
        <w:t>same</w:t>
      </w:r>
      <w:r w:rsidR="00680221">
        <w:rPr>
          <w:rFonts w:cs="Arial"/>
          <w:i w:val="0"/>
        </w:rPr>
        <w:t xml:space="preserve"> section</w:t>
      </w:r>
      <w:r w:rsidR="001B3AD2">
        <w:rPr>
          <w:rFonts w:cs="Arial"/>
          <w:i w:val="0"/>
        </w:rPr>
        <w:t xml:space="preserve">, </w:t>
      </w:r>
      <w:r w:rsidR="0036644E">
        <w:rPr>
          <w:rFonts w:cs="Arial"/>
          <w:i w:val="0"/>
        </w:rPr>
        <w:t>under</w:t>
      </w:r>
      <w:r w:rsidR="001B3AD2">
        <w:rPr>
          <w:rFonts w:cs="Arial"/>
          <w:i w:val="0"/>
        </w:rPr>
        <w:t xml:space="preserve"> section 147</w:t>
      </w:r>
      <w:r w:rsidR="0036644E">
        <w:rPr>
          <w:rFonts w:cs="Arial"/>
          <w:i w:val="0"/>
        </w:rPr>
        <w:t>, hence the reference to this section in section 202 of the Act.</w:t>
      </w:r>
      <w:r w:rsidR="001B3AD2">
        <w:rPr>
          <w:rFonts w:cs="Arial"/>
          <w:i w:val="0"/>
        </w:rPr>
        <w:t xml:space="preserve"> </w:t>
      </w:r>
      <w:r w:rsidR="00F665EA">
        <w:rPr>
          <w:rFonts w:cs="Arial"/>
          <w:i w:val="0"/>
        </w:rPr>
        <w:t xml:space="preserve">Section </w:t>
      </w:r>
      <w:r w:rsidR="00383C34">
        <w:rPr>
          <w:rFonts w:cs="Arial"/>
          <w:i w:val="0"/>
        </w:rPr>
        <w:t>202</w:t>
      </w:r>
      <w:r w:rsidR="002D60E3">
        <w:rPr>
          <w:rFonts w:cs="Arial"/>
          <w:i w:val="0"/>
        </w:rPr>
        <w:t xml:space="preserve"> </w:t>
      </w:r>
      <w:r w:rsidR="00CD63BB">
        <w:rPr>
          <w:rFonts w:cs="Arial"/>
          <w:i w:val="0"/>
        </w:rPr>
        <w:t xml:space="preserve">retained the reference to </w:t>
      </w:r>
      <w:r w:rsidR="00597C67">
        <w:rPr>
          <w:rFonts w:cs="Arial"/>
          <w:i w:val="0"/>
        </w:rPr>
        <w:t>section 147 of the WC Act</w:t>
      </w:r>
      <w:r w:rsidR="002D60E3">
        <w:rPr>
          <w:rFonts w:cs="Arial"/>
          <w:i w:val="0"/>
        </w:rPr>
        <w:t xml:space="preserve"> in error</w:t>
      </w:r>
      <w:r w:rsidR="00344D2B">
        <w:rPr>
          <w:rFonts w:cs="Arial"/>
          <w:i w:val="0"/>
        </w:rPr>
        <w:t>, when</w:t>
      </w:r>
      <w:r w:rsidR="002D60E3">
        <w:rPr>
          <w:rFonts w:cs="Arial"/>
          <w:i w:val="0"/>
        </w:rPr>
        <w:t xml:space="preserve"> the</w:t>
      </w:r>
      <w:r w:rsidR="00344D2B">
        <w:rPr>
          <w:rFonts w:cs="Arial"/>
          <w:i w:val="0"/>
        </w:rPr>
        <w:t xml:space="preserve"> offences </w:t>
      </w:r>
      <w:r w:rsidR="00D229C0">
        <w:rPr>
          <w:rFonts w:cs="Arial"/>
          <w:i w:val="0"/>
        </w:rPr>
        <w:t xml:space="preserve">relating to non-compliance with holding a </w:t>
      </w:r>
      <w:r w:rsidR="00905A53">
        <w:rPr>
          <w:rFonts w:cs="Arial"/>
          <w:i w:val="0"/>
        </w:rPr>
        <w:t xml:space="preserve">compulsory insurance policy </w:t>
      </w:r>
      <w:r w:rsidR="00344D2B">
        <w:rPr>
          <w:rFonts w:cs="Arial"/>
          <w:i w:val="0"/>
        </w:rPr>
        <w:t xml:space="preserve">were </w:t>
      </w:r>
      <w:r w:rsidR="00D229C0">
        <w:rPr>
          <w:rFonts w:cs="Arial"/>
          <w:i w:val="0"/>
        </w:rPr>
        <w:t xml:space="preserve">amended in December 2009 </w:t>
      </w:r>
      <w:r w:rsidR="00277CD1">
        <w:rPr>
          <w:rFonts w:cs="Arial"/>
          <w:i w:val="0"/>
        </w:rPr>
        <w:t xml:space="preserve">and separated from section 147 into </w:t>
      </w:r>
      <w:r w:rsidR="00782DAF">
        <w:rPr>
          <w:rFonts w:cs="Arial"/>
          <w:i w:val="0"/>
        </w:rPr>
        <w:t xml:space="preserve">section </w:t>
      </w:r>
      <w:r w:rsidR="00EB0EB4">
        <w:rPr>
          <w:rFonts w:cs="Arial"/>
          <w:i w:val="0"/>
        </w:rPr>
        <w:t>147A.</w:t>
      </w:r>
    </w:p>
    <w:p w14:paraId="0FA30F82" w14:textId="40E7FB97" w:rsidR="00F80F0B" w:rsidRDefault="002C4466" w:rsidP="00E244C2">
      <w:pPr>
        <w:rPr>
          <w:rFonts w:cs="Arial"/>
          <w:i w:val="0"/>
        </w:rPr>
      </w:pPr>
      <w:r>
        <w:rPr>
          <w:rFonts w:cs="Arial"/>
          <w:i w:val="0"/>
        </w:rPr>
        <w:t>Importantly, t</w:t>
      </w:r>
      <w:r w:rsidR="00F80F0B">
        <w:rPr>
          <w:rFonts w:cs="Arial"/>
          <w:i w:val="0"/>
        </w:rPr>
        <w:t xml:space="preserve">he content and purpose of </w:t>
      </w:r>
      <w:r w:rsidR="00895F50">
        <w:rPr>
          <w:rFonts w:cs="Arial"/>
          <w:i w:val="0"/>
        </w:rPr>
        <w:t xml:space="preserve">section 202(1) in attaching time limits </w:t>
      </w:r>
      <w:r w:rsidR="004C6AFD">
        <w:rPr>
          <w:rFonts w:cs="Arial"/>
          <w:i w:val="0"/>
        </w:rPr>
        <w:t>to</w:t>
      </w:r>
      <w:r w:rsidR="00895F50">
        <w:rPr>
          <w:rFonts w:cs="Arial"/>
          <w:i w:val="0"/>
        </w:rPr>
        <w:t xml:space="preserve"> commencing proceedings for offences</w:t>
      </w:r>
      <w:r w:rsidR="00021DB6">
        <w:rPr>
          <w:rFonts w:cs="Arial"/>
          <w:i w:val="0"/>
        </w:rPr>
        <w:t xml:space="preserve"> </w:t>
      </w:r>
      <w:r w:rsidR="00CD2B36">
        <w:rPr>
          <w:rFonts w:cs="Arial"/>
          <w:i w:val="0"/>
        </w:rPr>
        <w:t xml:space="preserve">applying to </w:t>
      </w:r>
      <w:r w:rsidR="002B4F19">
        <w:rPr>
          <w:rFonts w:cs="Arial"/>
          <w:i w:val="0"/>
        </w:rPr>
        <w:t xml:space="preserve">section 147 </w:t>
      </w:r>
      <w:r w:rsidR="00313AE7">
        <w:rPr>
          <w:rFonts w:cs="Arial"/>
          <w:i w:val="0"/>
        </w:rPr>
        <w:t xml:space="preserve">was clearly intended to </w:t>
      </w:r>
      <w:r w:rsidR="00CE19CB">
        <w:rPr>
          <w:rFonts w:cs="Arial"/>
          <w:i w:val="0"/>
        </w:rPr>
        <w:t>apply</w:t>
      </w:r>
      <w:r w:rsidR="00313AE7">
        <w:rPr>
          <w:rFonts w:cs="Arial"/>
          <w:i w:val="0"/>
        </w:rPr>
        <w:t xml:space="preserve"> to </w:t>
      </w:r>
      <w:r w:rsidR="002221F1">
        <w:rPr>
          <w:rFonts w:cs="Arial"/>
          <w:i w:val="0"/>
        </w:rPr>
        <w:t>the relevant offence provision</w:t>
      </w:r>
      <w:r w:rsidR="004C6AFD">
        <w:rPr>
          <w:rFonts w:cs="Arial"/>
          <w:i w:val="0"/>
        </w:rPr>
        <w:t>, otherwise it would be</w:t>
      </w:r>
      <w:r w:rsidR="00E95CC0">
        <w:rPr>
          <w:rFonts w:cs="Arial"/>
          <w:i w:val="0"/>
        </w:rPr>
        <w:t xml:space="preserve"> void</w:t>
      </w:r>
      <w:r w:rsidR="002221F1">
        <w:rPr>
          <w:rFonts w:cs="Arial"/>
          <w:i w:val="0"/>
        </w:rPr>
        <w:t xml:space="preserve">. </w:t>
      </w:r>
      <w:r w:rsidR="00F74E97">
        <w:rPr>
          <w:rFonts w:cs="Arial"/>
          <w:i w:val="0"/>
        </w:rPr>
        <w:t>Further</w:t>
      </w:r>
      <w:r w:rsidR="00522001">
        <w:rPr>
          <w:rFonts w:cs="Arial"/>
          <w:i w:val="0"/>
        </w:rPr>
        <w:t xml:space="preserve"> and based on supplementary materials at the time, </w:t>
      </w:r>
      <w:r w:rsidR="00F74E97">
        <w:rPr>
          <w:rFonts w:cs="Arial"/>
          <w:i w:val="0"/>
        </w:rPr>
        <w:t>the changes made in December</w:t>
      </w:r>
      <w:r w:rsidR="008A7014">
        <w:rPr>
          <w:rFonts w:cs="Arial"/>
          <w:i w:val="0"/>
        </w:rPr>
        <w:t> </w:t>
      </w:r>
      <w:r w:rsidR="00F74E97">
        <w:rPr>
          <w:rFonts w:cs="Arial"/>
          <w:i w:val="0"/>
        </w:rPr>
        <w:t xml:space="preserve">2009 were not intended to override the existing and longstanding </w:t>
      </w:r>
      <w:r w:rsidR="00B745FD">
        <w:rPr>
          <w:rFonts w:cs="Arial"/>
          <w:i w:val="0"/>
        </w:rPr>
        <w:t xml:space="preserve">policy </w:t>
      </w:r>
      <w:r w:rsidR="00F47776">
        <w:rPr>
          <w:rFonts w:cs="Arial"/>
          <w:i w:val="0"/>
        </w:rPr>
        <w:t>intention</w:t>
      </w:r>
      <w:r w:rsidR="00B745FD">
        <w:rPr>
          <w:rFonts w:cs="Arial"/>
          <w:i w:val="0"/>
        </w:rPr>
        <w:t xml:space="preserve"> </w:t>
      </w:r>
      <w:r w:rsidR="00522001">
        <w:rPr>
          <w:rFonts w:cs="Arial"/>
          <w:i w:val="0"/>
        </w:rPr>
        <w:t xml:space="preserve">that </w:t>
      </w:r>
      <w:r w:rsidR="00035D35">
        <w:rPr>
          <w:rFonts w:cs="Arial"/>
          <w:i w:val="0"/>
        </w:rPr>
        <w:t xml:space="preserve">had applied </w:t>
      </w:r>
      <w:r w:rsidR="000B65B0">
        <w:rPr>
          <w:rFonts w:cs="Arial"/>
          <w:i w:val="0"/>
        </w:rPr>
        <w:t xml:space="preserve">since </w:t>
      </w:r>
      <w:r w:rsidR="00405473">
        <w:rPr>
          <w:rFonts w:cs="Arial"/>
          <w:i w:val="0"/>
        </w:rPr>
        <w:t xml:space="preserve">July 2002 </w:t>
      </w:r>
      <w:r w:rsidR="00EC729B">
        <w:rPr>
          <w:rFonts w:cs="Arial"/>
          <w:i w:val="0"/>
        </w:rPr>
        <w:t>when it was decided to</w:t>
      </w:r>
      <w:r w:rsidR="00405473">
        <w:rPr>
          <w:rFonts w:cs="Arial"/>
          <w:i w:val="0"/>
        </w:rPr>
        <w:t xml:space="preserve"> extend the time limits from 2</w:t>
      </w:r>
      <w:r w:rsidR="00035D35">
        <w:rPr>
          <w:rFonts w:cs="Arial"/>
          <w:i w:val="0"/>
        </w:rPr>
        <w:t> </w:t>
      </w:r>
      <w:r w:rsidR="00405473">
        <w:rPr>
          <w:rFonts w:cs="Arial"/>
          <w:i w:val="0"/>
        </w:rPr>
        <w:t xml:space="preserve">years to 5 years for </w:t>
      </w:r>
      <w:r w:rsidR="00B745FD">
        <w:rPr>
          <w:rFonts w:cs="Arial"/>
          <w:i w:val="0"/>
        </w:rPr>
        <w:t xml:space="preserve">offences </w:t>
      </w:r>
      <w:r w:rsidR="00771244">
        <w:rPr>
          <w:rFonts w:cs="Arial"/>
          <w:i w:val="0"/>
        </w:rPr>
        <w:t xml:space="preserve">of </w:t>
      </w:r>
      <w:r w:rsidR="00B745FD">
        <w:rPr>
          <w:rFonts w:cs="Arial"/>
          <w:i w:val="0"/>
        </w:rPr>
        <w:t xml:space="preserve">not holding a compulsory insurance </w:t>
      </w:r>
      <w:r w:rsidR="00035D35">
        <w:rPr>
          <w:rFonts w:cs="Arial"/>
          <w:i w:val="0"/>
        </w:rPr>
        <w:t>policy, amongst other offences.</w:t>
      </w:r>
    </w:p>
    <w:p w14:paraId="564FEF85" w14:textId="46F8BFA5" w:rsidR="00E244C2" w:rsidRPr="006E4F46" w:rsidRDefault="00E501C0" w:rsidP="00E244C2">
      <w:pPr>
        <w:rPr>
          <w:rFonts w:cs="Arial"/>
          <w:i w:val="0"/>
        </w:rPr>
      </w:pPr>
      <w:r>
        <w:rPr>
          <w:rFonts w:cs="Arial"/>
          <w:i w:val="0"/>
        </w:rPr>
        <w:t>R</w:t>
      </w:r>
      <w:r w:rsidR="00F0295A">
        <w:rPr>
          <w:rFonts w:cs="Arial"/>
          <w:i w:val="0"/>
        </w:rPr>
        <w:t>ecent compliance activities of the r</w:t>
      </w:r>
      <w:r w:rsidR="00E244C2" w:rsidRPr="006E4F46">
        <w:rPr>
          <w:rFonts w:cs="Arial"/>
          <w:i w:val="0"/>
        </w:rPr>
        <w:t xml:space="preserve">egulator </w:t>
      </w:r>
      <w:r w:rsidR="00F0295A">
        <w:rPr>
          <w:rFonts w:cs="Arial"/>
          <w:i w:val="0"/>
        </w:rPr>
        <w:t>ha</w:t>
      </w:r>
      <w:r>
        <w:rPr>
          <w:rFonts w:cs="Arial"/>
          <w:i w:val="0"/>
        </w:rPr>
        <w:t>ve</w:t>
      </w:r>
      <w:r w:rsidR="00F0295A">
        <w:rPr>
          <w:rFonts w:cs="Arial"/>
          <w:i w:val="0"/>
        </w:rPr>
        <w:t xml:space="preserve"> </w:t>
      </w:r>
      <w:r w:rsidR="00E244C2" w:rsidRPr="006E4F46">
        <w:rPr>
          <w:rFonts w:cs="Arial"/>
          <w:i w:val="0"/>
        </w:rPr>
        <w:t>identified issues with the time for beginning prosecutions for this offence</w:t>
      </w:r>
      <w:r w:rsidR="005C0B69">
        <w:rPr>
          <w:rFonts w:cs="Arial"/>
          <w:i w:val="0"/>
        </w:rPr>
        <w:t xml:space="preserve"> should it be strictly interpreted as being limited to one year</w:t>
      </w:r>
      <w:r w:rsidR="00E244C2" w:rsidRPr="006E4F46">
        <w:rPr>
          <w:rFonts w:cs="Arial"/>
          <w:i w:val="0"/>
        </w:rPr>
        <w:t xml:space="preserve">. </w:t>
      </w:r>
    </w:p>
    <w:p w14:paraId="34E41254" w14:textId="71346CBA" w:rsidR="00E244C2" w:rsidRPr="006E4F46" w:rsidRDefault="00E244C2" w:rsidP="00E244C2">
      <w:pPr>
        <w:rPr>
          <w:rFonts w:cs="Arial"/>
          <w:i w:val="0"/>
        </w:rPr>
      </w:pPr>
      <w:r w:rsidRPr="006E4F46">
        <w:rPr>
          <w:rFonts w:cs="Arial"/>
          <w:i w:val="0"/>
        </w:rPr>
        <w:t>This shorter, more restrictive timeframe create</w:t>
      </w:r>
      <w:r w:rsidR="00C82589">
        <w:rPr>
          <w:rFonts w:cs="Arial"/>
          <w:i w:val="0"/>
        </w:rPr>
        <w:t>s</w:t>
      </w:r>
      <w:r w:rsidRPr="006E4F46">
        <w:rPr>
          <w:rFonts w:cs="Arial"/>
          <w:i w:val="0"/>
        </w:rPr>
        <w:t xml:space="preserve"> difficulty for the regulator in pursuing </w:t>
      </w:r>
      <w:r w:rsidR="00064CD0">
        <w:rPr>
          <w:rFonts w:cs="Arial"/>
          <w:i w:val="0"/>
        </w:rPr>
        <w:t xml:space="preserve">compliance and enforcement activities, including </w:t>
      </w:r>
      <w:r w:rsidRPr="006E4F46">
        <w:rPr>
          <w:rFonts w:cs="Arial"/>
          <w:i w:val="0"/>
        </w:rPr>
        <w:t>prosecutions, particularly, in light of the complexities involved relating to evidence requirements and the timing of investigations.</w:t>
      </w:r>
      <w:r w:rsidR="00CA619C" w:rsidRPr="006E4F46">
        <w:rPr>
          <w:rFonts w:cs="Arial"/>
          <w:i w:val="0"/>
        </w:rPr>
        <w:t xml:space="preserve"> </w:t>
      </w:r>
      <w:r w:rsidRPr="006E4F46">
        <w:rPr>
          <w:rFonts w:cs="Arial"/>
          <w:i w:val="0"/>
        </w:rPr>
        <w:t xml:space="preserve">From a jurisdictional </w:t>
      </w:r>
      <w:r w:rsidR="00BC2F08">
        <w:rPr>
          <w:rFonts w:cs="Arial"/>
          <w:i w:val="0"/>
        </w:rPr>
        <w:t>comparison</w:t>
      </w:r>
      <w:r w:rsidRPr="006E4F46">
        <w:rPr>
          <w:rFonts w:cs="Arial"/>
          <w:i w:val="0"/>
        </w:rPr>
        <w:t xml:space="preserve">, no other jurisdiction maintains a time limit of </w:t>
      </w:r>
      <w:r w:rsidR="00BC2F08">
        <w:rPr>
          <w:rFonts w:cs="Arial"/>
          <w:i w:val="0"/>
        </w:rPr>
        <w:t>one</w:t>
      </w:r>
      <w:r w:rsidRPr="006E4F46">
        <w:rPr>
          <w:rFonts w:cs="Arial"/>
          <w:i w:val="0"/>
        </w:rPr>
        <w:t xml:space="preserve"> year to commence prosecutions for similar offending.</w:t>
      </w:r>
    </w:p>
    <w:p w14:paraId="5B420462" w14:textId="77777777" w:rsidR="008F381B" w:rsidRDefault="008F381B" w:rsidP="263A630A">
      <w:pPr>
        <w:rPr>
          <w:rFonts w:cs="Arial"/>
          <w:b/>
          <w:i w:val="0"/>
        </w:rPr>
      </w:pPr>
    </w:p>
    <w:p w14:paraId="07F59723" w14:textId="77777777" w:rsidR="005D75B9" w:rsidRDefault="005D75B9" w:rsidP="263A630A">
      <w:pPr>
        <w:rPr>
          <w:rFonts w:cs="Arial"/>
          <w:b/>
          <w:i w:val="0"/>
        </w:rPr>
      </w:pPr>
    </w:p>
    <w:p w14:paraId="54FE9506" w14:textId="77777777" w:rsidR="005D75B9" w:rsidRDefault="005D75B9" w:rsidP="263A630A">
      <w:pPr>
        <w:rPr>
          <w:rFonts w:cs="Arial"/>
          <w:b/>
          <w:i w:val="0"/>
        </w:rPr>
      </w:pPr>
    </w:p>
    <w:p w14:paraId="3A61D318" w14:textId="45B6C67E" w:rsidR="00293948" w:rsidRPr="00DF622F" w:rsidRDefault="00293948" w:rsidP="00293948">
      <w:pPr>
        <w:rPr>
          <w:rFonts w:cs="Arial"/>
          <w:b/>
          <w:i w:val="0"/>
        </w:rPr>
      </w:pPr>
      <w:r w:rsidRPr="00DF622F">
        <w:rPr>
          <w:rFonts w:cs="Arial"/>
          <w:b/>
          <w:i w:val="0"/>
        </w:rPr>
        <w:lastRenderedPageBreak/>
        <w:t>Functions of the WHS Commissioner</w:t>
      </w:r>
      <w:r>
        <w:rPr>
          <w:rFonts w:cs="Arial"/>
          <w:b/>
          <w:i w:val="0"/>
        </w:rPr>
        <w:t xml:space="preserve"> – WC Act and </w:t>
      </w:r>
      <w:r w:rsidRPr="00DF622F">
        <w:rPr>
          <w:rFonts w:cs="Arial"/>
          <w:b/>
          <w:bCs/>
          <w:iCs w:val="0"/>
        </w:rPr>
        <w:t>Dangerous Substances Act 2004</w:t>
      </w:r>
    </w:p>
    <w:p w14:paraId="55EC0CAB" w14:textId="3FD5A3BC" w:rsidR="00293948" w:rsidRPr="006E4F46" w:rsidRDefault="00293948" w:rsidP="00293948">
      <w:pPr>
        <w:pStyle w:val="Subheading10"/>
        <w:rPr>
          <w:rFonts w:cs="Arial"/>
          <w:b w:val="0"/>
          <w:i w:val="0"/>
          <w:sz w:val="24"/>
          <w:szCs w:val="24"/>
          <w:u w:val="none"/>
        </w:rPr>
      </w:pPr>
      <w:r w:rsidRPr="006E4F46">
        <w:rPr>
          <w:rFonts w:cs="Arial"/>
          <w:b w:val="0"/>
          <w:i w:val="0"/>
          <w:sz w:val="24"/>
          <w:szCs w:val="24"/>
          <w:u w:val="none"/>
        </w:rPr>
        <w:t xml:space="preserve">Section 153 of the WHS Act grants the WHS Commissioner/regulator, the powers and functions of an inspector. Similar provisions are introduced by the Bill to confirm that the regulator of the WC Act and the </w:t>
      </w:r>
      <w:r w:rsidRPr="00C677A5">
        <w:rPr>
          <w:rFonts w:cs="Arial"/>
          <w:b w:val="0"/>
          <w:iCs w:val="0"/>
          <w:sz w:val="24"/>
          <w:szCs w:val="24"/>
          <w:u w:val="none"/>
        </w:rPr>
        <w:t>Dangerous Substances Act 2004</w:t>
      </w:r>
      <w:r w:rsidRPr="006E4F46">
        <w:rPr>
          <w:rFonts w:cs="Arial"/>
          <w:b w:val="0"/>
          <w:i w:val="0"/>
          <w:sz w:val="24"/>
          <w:szCs w:val="24"/>
          <w:u w:val="none"/>
        </w:rPr>
        <w:t xml:space="preserve"> (DS Act) has the same power and function as an inspector. This amendment </w:t>
      </w:r>
      <w:r w:rsidR="001F0B26">
        <w:rPr>
          <w:rFonts w:cs="Arial"/>
          <w:b w:val="0"/>
          <w:i w:val="0"/>
          <w:sz w:val="24"/>
          <w:szCs w:val="24"/>
          <w:u w:val="none"/>
        </w:rPr>
        <w:t>would</w:t>
      </w:r>
      <w:r w:rsidRPr="006E4F46">
        <w:rPr>
          <w:rFonts w:cs="Arial"/>
          <w:b w:val="0"/>
          <w:i w:val="0"/>
          <w:sz w:val="24"/>
          <w:szCs w:val="24"/>
          <w:u w:val="none"/>
        </w:rPr>
        <w:t xml:space="preserve"> align with the WHS legislative framework</w:t>
      </w:r>
      <w:r w:rsidR="00D25A7E">
        <w:rPr>
          <w:rFonts w:cs="Arial"/>
          <w:b w:val="0"/>
          <w:i w:val="0"/>
          <w:sz w:val="24"/>
          <w:szCs w:val="24"/>
          <w:u w:val="none"/>
        </w:rPr>
        <w:t xml:space="preserve"> and establish a consistent </w:t>
      </w:r>
      <w:r w:rsidR="007F33F4">
        <w:rPr>
          <w:rFonts w:cs="Arial"/>
          <w:b w:val="0"/>
          <w:i w:val="0"/>
          <w:sz w:val="24"/>
          <w:szCs w:val="24"/>
          <w:u w:val="none"/>
        </w:rPr>
        <w:t>regulatory approach</w:t>
      </w:r>
      <w:r w:rsidRPr="006E4F46">
        <w:rPr>
          <w:rFonts w:cs="Arial"/>
          <w:b w:val="0"/>
          <w:i w:val="0"/>
          <w:sz w:val="24"/>
          <w:szCs w:val="24"/>
          <w:u w:val="none"/>
        </w:rPr>
        <w:t>.</w:t>
      </w:r>
    </w:p>
    <w:p w14:paraId="03A5F71E" w14:textId="77777777" w:rsidR="00293948" w:rsidRPr="006E4F46" w:rsidRDefault="00293948" w:rsidP="263A630A">
      <w:pPr>
        <w:rPr>
          <w:rFonts w:cs="Arial"/>
          <w:b/>
          <w:i w:val="0"/>
        </w:rPr>
      </w:pPr>
    </w:p>
    <w:p w14:paraId="4EBE812B" w14:textId="420A196F" w:rsidR="006A5406" w:rsidRPr="006E4F46" w:rsidRDefault="006136ED" w:rsidP="00917F75">
      <w:pPr>
        <w:rPr>
          <w:rFonts w:cs="Arial"/>
          <w:b/>
          <w:i w:val="0"/>
        </w:rPr>
      </w:pPr>
      <w:r w:rsidRPr="006E4F46">
        <w:rPr>
          <w:rFonts w:cs="Arial"/>
          <w:b/>
          <w:i w:val="0"/>
        </w:rPr>
        <w:t xml:space="preserve">Amendments to the </w:t>
      </w:r>
      <w:r w:rsidR="00CF0729" w:rsidRPr="00042B10">
        <w:rPr>
          <w:rFonts w:cs="Arial"/>
          <w:b/>
        </w:rPr>
        <w:t>Long Service Leave Act 1</w:t>
      </w:r>
      <w:r w:rsidRPr="00042B10">
        <w:rPr>
          <w:rFonts w:cs="Arial"/>
          <w:b/>
        </w:rPr>
        <w:t>976</w:t>
      </w:r>
      <w:r w:rsidRPr="006E4F46">
        <w:rPr>
          <w:rFonts w:cs="Arial"/>
          <w:b/>
          <w:i w:val="0"/>
        </w:rPr>
        <w:t xml:space="preserve"> </w:t>
      </w:r>
      <w:r w:rsidR="00606E4E">
        <w:rPr>
          <w:rFonts w:cs="Arial"/>
          <w:b/>
          <w:i w:val="0"/>
        </w:rPr>
        <w:br/>
      </w:r>
      <w:r w:rsidR="006A5406" w:rsidRPr="006E4F46">
        <w:rPr>
          <w:rFonts w:cs="Arial"/>
          <w:i w:val="0"/>
        </w:rPr>
        <w:t xml:space="preserve">The </w:t>
      </w:r>
      <w:r w:rsidRPr="00917F75">
        <w:rPr>
          <w:rFonts w:cs="Arial"/>
          <w:iCs w:val="0"/>
        </w:rPr>
        <w:t>Long Service Leave Act 1976</w:t>
      </w:r>
      <w:r w:rsidRPr="006E4F46">
        <w:rPr>
          <w:rFonts w:cs="Arial"/>
          <w:i w:val="0"/>
        </w:rPr>
        <w:t xml:space="preserve"> (LSL Act) </w:t>
      </w:r>
      <w:r w:rsidR="006A5406" w:rsidRPr="006E4F46">
        <w:rPr>
          <w:rFonts w:cs="Arial"/>
          <w:i w:val="0"/>
        </w:rPr>
        <w:t xml:space="preserve">provides employees in the ACT with entitlements to long service leave based on a period of continuous service with the same employer. It outlines eligibility criteria, the amount of leave accrued, how leave is granted and paid, and provisions for pro rata entitlements. The </w:t>
      </w:r>
      <w:r w:rsidR="223C9801" w:rsidRPr="006E4F46">
        <w:rPr>
          <w:rFonts w:cs="Arial"/>
          <w:i w:val="0"/>
        </w:rPr>
        <w:t xml:space="preserve">LSL </w:t>
      </w:r>
      <w:r w:rsidR="006A5406" w:rsidRPr="006E4F46">
        <w:rPr>
          <w:rFonts w:cs="Arial"/>
          <w:i w:val="0"/>
        </w:rPr>
        <w:t xml:space="preserve">Act ensures that long-serving employees are </w:t>
      </w:r>
      <w:r w:rsidR="00C82589">
        <w:rPr>
          <w:rFonts w:cs="Arial"/>
          <w:i w:val="0"/>
        </w:rPr>
        <w:t>paid their accrued entitlements</w:t>
      </w:r>
      <w:r w:rsidR="006A5406" w:rsidRPr="006E4F46">
        <w:rPr>
          <w:rFonts w:cs="Arial"/>
          <w:i w:val="0"/>
        </w:rPr>
        <w:t>, supporting workforce retention and employee wellbeing.</w:t>
      </w:r>
      <w:r w:rsidRPr="006E4F46">
        <w:rPr>
          <w:rFonts w:cs="Arial"/>
          <w:i w:val="0"/>
        </w:rPr>
        <w:t xml:space="preserve"> Amendments made to the </w:t>
      </w:r>
      <w:r w:rsidR="001C112C" w:rsidRPr="006E4F46">
        <w:rPr>
          <w:rFonts w:cs="Arial"/>
          <w:i w:val="0"/>
        </w:rPr>
        <w:t xml:space="preserve">Act </w:t>
      </w:r>
      <w:r w:rsidRPr="006E4F46">
        <w:rPr>
          <w:rFonts w:cs="Arial"/>
          <w:i w:val="0"/>
        </w:rPr>
        <w:t>will strengthen the compliance provisions under the LSL Act.</w:t>
      </w:r>
    </w:p>
    <w:p w14:paraId="5DA8A73F" w14:textId="620866E3" w:rsidR="00205B33" w:rsidRDefault="006136ED" w:rsidP="063F40A7">
      <w:pPr>
        <w:rPr>
          <w:rFonts w:cs="Arial"/>
          <w:i w:val="0"/>
        </w:rPr>
      </w:pPr>
      <w:r w:rsidRPr="006E4F46">
        <w:rPr>
          <w:rFonts w:cs="Arial"/>
          <w:i w:val="0"/>
        </w:rPr>
        <w:t>Th</w:t>
      </w:r>
      <w:r w:rsidR="005D6DAA">
        <w:rPr>
          <w:rFonts w:cs="Arial"/>
          <w:i w:val="0"/>
        </w:rPr>
        <w:t>is</w:t>
      </w:r>
      <w:r w:rsidRPr="006E4F46">
        <w:rPr>
          <w:rFonts w:cs="Arial"/>
          <w:i w:val="0"/>
        </w:rPr>
        <w:t xml:space="preserve"> Bill</w:t>
      </w:r>
      <w:r w:rsidR="24705767" w:rsidRPr="006E4F46">
        <w:rPr>
          <w:rFonts w:cs="Arial"/>
          <w:i w:val="0"/>
        </w:rPr>
        <w:t xml:space="preserve"> </w:t>
      </w:r>
      <w:r w:rsidR="005D6DAA">
        <w:rPr>
          <w:rFonts w:cs="Arial"/>
          <w:i w:val="0"/>
        </w:rPr>
        <w:t xml:space="preserve">makes amendments that </w:t>
      </w:r>
      <w:r w:rsidR="00097515" w:rsidRPr="006E4F46">
        <w:rPr>
          <w:rFonts w:cs="Arial"/>
          <w:i w:val="0"/>
        </w:rPr>
        <w:t>enhance</w:t>
      </w:r>
      <w:r w:rsidR="7E9F32B7" w:rsidRPr="006E4F46">
        <w:rPr>
          <w:rFonts w:cs="Arial"/>
          <w:i w:val="0"/>
        </w:rPr>
        <w:t xml:space="preserve"> </w:t>
      </w:r>
      <w:r w:rsidR="005D6DAA">
        <w:rPr>
          <w:rFonts w:cs="Arial"/>
          <w:i w:val="0"/>
        </w:rPr>
        <w:t xml:space="preserve">the </w:t>
      </w:r>
      <w:r w:rsidR="00097515" w:rsidRPr="006E4F46">
        <w:rPr>
          <w:rFonts w:cs="Arial"/>
          <w:i w:val="0"/>
        </w:rPr>
        <w:t>compliance and enforcement tools</w:t>
      </w:r>
      <w:r w:rsidR="47AFE159" w:rsidRPr="006E4F46">
        <w:rPr>
          <w:rFonts w:cs="Arial"/>
          <w:i w:val="0"/>
        </w:rPr>
        <w:t xml:space="preserve"> </w:t>
      </w:r>
      <w:r w:rsidR="00BC6C2E">
        <w:rPr>
          <w:rFonts w:cs="Arial"/>
          <w:i w:val="0"/>
        </w:rPr>
        <w:t xml:space="preserve">available for use in enforcing compliance with the LSL Act, in </w:t>
      </w:r>
      <w:r w:rsidR="00F40CCD">
        <w:rPr>
          <w:rFonts w:cs="Arial"/>
          <w:i w:val="0"/>
        </w:rPr>
        <w:t>align</w:t>
      </w:r>
      <w:r w:rsidR="00BC6C2E">
        <w:rPr>
          <w:rFonts w:cs="Arial"/>
          <w:i w:val="0"/>
        </w:rPr>
        <w:t>ment</w:t>
      </w:r>
      <w:r w:rsidR="00F40CCD">
        <w:rPr>
          <w:rFonts w:cs="Arial"/>
          <w:i w:val="0"/>
        </w:rPr>
        <w:t xml:space="preserve"> with </w:t>
      </w:r>
      <w:r w:rsidR="47AFE159" w:rsidRPr="006E4F46">
        <w:rPr>
          <w:rFonts w:cs="Arial"/>
          <w:i w:val="0"/>
        </w:rPr>
        <w:t>exist</w:t>
      </w:r>
      <w:r w:rsidR="00A27CC6">
        <w:rPr>
          <w:rFonts w:cs="Arial"/>
          <w:i w:val="0"/>
        </w:rPr>
        <w:t xml:space="preserve">ing </w:t>
      </w:r>
      <w:r w:rsidR="00205B33">
        <w:rPr>
          <w:rFonts w:cs="Arial"/>
          <w:i w:val="0"/>
        </w:rPr>
        <w:t>tools used</w:t>
      </w:r>
      <w:r w:rsidR="47AFE159" w:rsidRPr="006E4F46">
        <w:rPr>
          <w:rFonts w:cs="Arial"/>
          <w:i w:val="0"/>
        </w:rPr>
        <w:t xml:space="preserve"> in similar regulatory </w:t>
      </w:r>
      <w:r w:rsidR="47AFE159" w:rsidRPr="00762C53">
        <w:rPr>
          <w:rFonts w:cs="Arial"/>
          <w:i w:val="0"/>
        </w:rPr>
        <w:t>frameworks</w:t>
      </w:r>
      <w:r w:rsidR="008C5637" w:rsidRPr="00762C53">
        <w:rPr>
          <w:rFonts w:cs="Arial"/>
          <w:i w:val="0"/>
        </w:rPr>
        <w:t xml:space="preserve">. </w:t>
      </w:r>
      <w:r w:rsidR="00C258A7" w:rsidRPr="00762C53">
        <w:rPr>
          <w:rFonts w:cs="Arial"/>
          <w:i w:val="0"/>
        </w:rPr>
        <w:t xml:space="preserve">The objectives of the LSL Act </w:t>
      </w:r>
      <w:r w:rsidR="00BB34BE" w:rsidRPr="00762C53">
        <w:rPr>
          <w:rFonts w:cs="Arial"/>
          <w:i w:val="0"/>
        </w:rPr>
        <w:t>is the provision of workplace entitlements to long service leave</w:t>
      </w:r>
      <w:r w:rsidR="00C258A7" w:rsidRPr="00762C53">
        <w:rPr>
          <w:rFonts w:cs="Arial"/>
          <w:i w:val="0"/>
        </w:rPr>
        <w:t xml:space="preserve">. </w:t>
      </w:r>
      <w:r w:rsidR="00BB34BE" w:rsidRPr="00762C53">
        <w:rPr>
          <w:rFonts w:cs="Arial"/>
          <w:i w:val="0"/>
        </w:rPr>
        <w:t xml:space="preserve">Effective compliance and enforcement regulatory frameworks are important in ensuring regulators and authorised officers are able to effectively and efficiently, with limited resources, investigate non-compliance. </w:t>
      </w:r>
      <w:r w:rsidR="00C258A7" w:rsidRPr="00762C53">
        <w:rPr>
          <w:rFonts w:cs="Arial"/>
          <w:i w:val="0"/>
        </w:rPr>
        <w:t xml:space="preserve">Enforcement can only be achieved where the administering body has effective compliance tools and powers. </w:t>
      </w:r>
      <w:r w:rsidR="008C5637" w:rsidRPr="00762C53">
        <w:rPr>
          <w:rFonts w:cs="Arial"/>
          <w:i w:val="0"/>
        </w:rPr>
        <w:t xml:space="preserve">Alignment of these regulatory enforcement tools is not only desirable </w:t>
      </w:r>
      <w:r w:rsidR="00BB34BE" w:rsidRPr="00762C53">
        <w:rPr>
          <w:rFonts w:cs="Arial"/>
          <w:i w:val="0"/>
        </w:rPr>
        <w:t xml:space="preserve">for </w:t>
      </w:r>
      <w:r w:rsidR="008C5637" w:rsidRPr="00762C53">
        <w:rPr>
          <w:rFonts w:cs="Arial"/>
          <w:i w:val="0"/>
        </w:rPr>
        <w:t xml:space="preserve">compliance </w:t>
      </w:r>
      <w:r w:rsidR="00BB34BE" w:rsidRPr="00762C53">
        <w:rPr>
          <w:rFonts w:cs="Arial"/>
          <w:i w:val="0"/>
        </w:rPr>
        <w:t xml:space="preserve">purposes </w:t>
      </w:r>
      <w:r w:rsidR="008C5637" w:rsidRPr="00762C53">
        <w:rPr>
          <w:rFonts w:cs="Arial"/>
          <w:i w:val="0"/>
        </w:rPr>
        <w:t>but</w:t>
      </w:r>
      <w:r w:rsidR="00BB34BE" w:rsidRPr="00762C53">
        <w:rPr>
          <w:rFonts w:cs="Arial"/>
          <w:i w:val="0"/>
        </w:rPr>
        <w:t xml:space="preserve"> is directly linked to the Act’s objectives and is to </w:t>
      </w:r>
      <w:r w:rsidR="008C5637" w:rsidRPr="00762C53">
        <w:rPr>
          <w:rFonts w:cs="Arial"/>
          <w:i w:val="0"/>
        </w:rPr>
        <w:t xml:space="preserve">be exercised by the same authorised officers </w:t>
      </w:r>
      <w:r w:rsidR="00C258A7" w:rsidRPr="00762C53">
        <w:rPr>
          <w:rFonts w:cs="Arial"/>
          <w:i w:val="0"/>
        </w:rPr>
        <w:t>who hold experience with such powers and frameworks.</w:t>
      </w:r>
      <w:r w:rsidR="00C258A7">
        <w:rPr>
          <w:rFonts w:cs="Arial"/>
          <w:i w:val="0"/>
        </w:rPr>
        <w:t xml:space="preserve"> </w:t>
      </w:r>
    </w:p>
    <w:p w14:paraId="391B0806" w14:textId="3AF786A9" w:rsidR="00FA3577" w:rsidRDefault="006B0791" w:rsidP="063F40A7">
      <w:pPr>
        <w:rPr>
          <w:rFonts w:cs="Arial"/>
          <w:i w:val="0"/>
        </w:rPr>
      </w:pPr>
      <w:r>
        <w:rPr>
          <w:rFonts w:cs="Arial"/>
          <w:i w:val="0"/>
        </w:rPr>
        <w:t>Existing offences under the LSL Act include a</w:t>
      </w:r>
      <w:r w:rsidR="00F27911">
        <w:rPr>
          <w:rFonts w:cs="Arial"/>
          <w:i w:val="0"/>
        </w:rPr>
        <w:t xml:space="preserve"> strict liability</w:t>
      </w:r>
      <w:r>
        <w:rPr>
          <w:rFonts w:cs="Arial"/>
          <w:i w:val="0"/>
        </w:rPr>
        <w:t xml:space="preserve"> offence </w:t>
      </w:r>
      <w:r w:rsidR="00FA3577">
        <w:rPr>
          <w:rFonts w:cs="Arial"/>
          <w:i w:val="0"/>
        </w:rPr>
        <w:t xml:space="preserve">under section 8(1) of the Act </w:t>
      </w:r>
      <w:r>
        <w:rPr>
          <w:rFonts w:cs="Arial"/>
          <w:i w:val="0"/>
        </w:rPr>
        <w:t>for</w:t>
      </w:r>
      <w:r w:rsidR="00E02F11">
        <w:rPr>
          <w:rFonts w:cs="Arial"/>
          <w:i w:val="0"/>
        </w:rPr>
        <w:t xml:space="preserve"> not paying </w:t>
      </w:r>
      <w:r w:rsidR="00675114">
        <w:rPr>
          <w:rFonts w:cs="Arial"/>
          <w:i w:val="0"/>
        </w:rPr>
        <w:t>long service leave entitlements when long service leave is taken.</w:t>
      </w:r>
      <w:r>
        <w:rPr>
          <w:rFonts w:cs="Arial"/>
          <w:i w:val="0"/>
        </w:rPr>
        <w:t xml:space="preserve"> </w:t>
      </w:r>
    </w:p>
    <w:p w14:paraId="45043DAA" w14:textId="4BE72511" w:rsidR="006A5406" w:rsidRPr="006E4F46" w:rsidRDefault="00FA3577" w:rsidP="063F40A7">
      <w:pPr>
        <w:rPr>
          <w:rFonts w:cs="Arial"/>
          <w:i w:val="0"/>
        </w:rPr>
      </w:pPr>
      <w:r>
        <w:rPr>
          <w:rFonts w:cs="Arial"/>
          <w:i w:val="0"/>
        </w:rPr>
        <w:t xml:space="preserve">Where </w:t>
      </w:r>
      <w:r w:rsidR="00BE4020">
        <w:rPr>
          <w:rFonts w:cs="Arial"/>
          <w:i w:val="0"/>
        </w:rPr>
        <w:t>employment is terminated</w:t>
      </w:r>
      <w:r w:rsidR="00134E4C">
        <w:rPr>
          <w:rFonts w:cs="Arial"/>
          <w:i w:val="0"/>
        </w:rPr>
        <w:t xml:space="preserve"> or ends </w:t>
      </w:r>
      <w:r w:rsidR="00B715A6">
        <w:rPr>
          <w:rFonts w:cs="Arial"/>
          <w:i w:val="0"/>
        </w:rPr>
        <w:t>for any reason</w:t>
      </w:r>
      <w:r w:rsidR="00E47382">
        <w:rPr>
          <w:rFonts w:cs="Arial"/>
          <w:i w:val="0"/>
        </w:rPr>
        <w:t>, including death,</w:t>
      </w:r>
      <w:r w:rsidR="00B715A6">
        <w:rPr>
          <w:rFonts w:cs="Arial"/>
          <w:i w:val="0"/>
        </w:rPr>
        <w:t xml:space="preserve"> and long service leave has accrued </w:t>
      </w:r>
      <w:r w:rsidR="00C77D9A">
        <w:rPr>
          <w:rFonts w:cs="Arial"/>
          <w:i w:val="0"/>
        </w:rPr>
        <w:t>this must be paid currently under section 8(4) of the LSL Act</w:t>
      </w:r>
      <w:r w:rsidR="00BC75DF">
        <w:rPr>
          <w:rFonts w:cs="Arial"/>
          <w:i w:val="0"/>
        </w:rPr>
        <w:t>. This</w:t>
      </w:r>
      <w:r w:rsidR="00335523">
        <w:rPr>
          <w:rFonts w:cs="Arial"/>
          <w:i w:val="0"/>
        </w:rPr>
        <w:t xml:space="preserve"> Bill moves</w:t>
      </w:r>
      <w:r w:rsidR="00FE1D6D">
        <w:rPr>
          <w:rFonts w:cs="Arial"/>
          <w:i w:val="0"/>
        </w:rPr>
        <w:t xml:space="preserve"> this provision </w:t>
      </w:r>
      <w:r w:rsidR="00BC75DF">
        <w:rPr>
          <w:rFonts w:cs="Arial"/>
          <w:i w:val="0"/>
        </w:rPr>
        <w:t>to section 11A of the Act</w:t>
      </w:r>
      <w:r w:rsidR="00AE709B">
        <w:rPr>
          <w:rFonts w:cs="Arial"/>
          <w:i w:val="0"/>
        </w:rPr>
        <w:t xml:space="preserve"> which</w:t>
      </w:r>
      <w:r w:rsidR="00BC75DF">
        <w:rPr>
          <w:rFonts w:cs="Arial"/>
          <w:i w:val="0"/>
        </w:rPr>
        <w:t xml:space="preserve"> deal</w:t>
      </w:r>
      <w:r w:rsidR="00AE709B">
        <w:rPr>
          <w:rFonts w:cs="Arial"/>
          <w:i w:val="0"/>
        </w:rPr>
        <w:t>s</w:t>
      </w:r>
      <w:r w:rsidR="00BC75DF">
        <w:rPr>
          <w:rFonts w:cs="Arial"/>
          <w:i w:val="0"/>
        </w:rPr>
        <w:t xml:space="preserve"> with payments in lieu of leave being taken</w:t>
      </w:r>
      <w:r w:rsidR="00335523">
        <w:rPr>
          <w:rFonts w:cs="Arial"/>
          <w:i w:val="0"/>
        </w:rPr>
        <w:t xml:space="preserve"> </w:t>
      </w:r>
      <w:r w:rsidR="00FE1D6D">
        <w:rPr>
          <w:rFonts w:cs="Arial"/>
          <w:i w:val="0"/>
        </w:rPr>
        <w:t>and introduces a</w:t>
      </w:r>
      <w:r w:rsidR="00E56051">
        <w:rPr>
          <w:rFonts w:cs="Arial"/>
          <w:i w:val="0"/>
        </w:rPr>
        <w:t xml:space="preserve"> </w:t>
      </w:r>
      <w:r w:rsidR="00FE1D6D">
        <w:rPr>
          <w:rFonts w:cs="Arial"/>
          <w:i w:val="0"/>
        </w:rPr>
        <w:t xml:space="preserve">strict liability offence for </w:t>
      </w:r>
      <w:r w:rsidR="00662363">
        <w:rPr>
          <w:rFonts w:cs="Arial"/>
          <w:i w:val="0"/>
        </w:rPr>
        <w:t xml:space="preserve">failure to pay long service leave entitlements </w:t>
      </w:r>
      <w:r w:rsidR="00F225D9">
        <w:rPr>
          <w:rFonts w:cs="Arial"/>
          <w:i w:val="0"/>
        </w:rPr>
        <w:t xml:space="preserve">within 90 days </w:t>
      </w:r>
      <w:r w:rsidR="00097515" w:rsidRPr="006E4F46">
        <w:rPr>
          <w:rFonts w:cs="Arial"/>
          <w:i w:val="0"/>
        </w:rPr>
        <w:t>following the cessation of employment</w:t>
      </w:r>
      <w:r w:rsidR="616066DC" w:rsidRPr="006E4F46">
        <w:rPr>
          <w:rFonts w:cs="Arial"/>
          <w:i w:val="0"/>
        </w:rPr>
        <w:t>.</w:t>
      </w:r>
    </w:p>
    <w:p w14:paraId="7A832B93" w14:textId="77777777" w:rsidR="00DE6F45" w:rsidRPr="006E4F46" w:rsidRDefault="00DE6F45" w:rsidP="263A630A">
      <w:pPr>
        <w:rPr>
          <w:rFonts w:cs="Arial"/>
          <w:b/>
          <w:i w:val="0"/>
        </w:rPr>
      </w:pPr>
    </w:p>
    <w:p w14:paraId="70A0FC67" w14:textId="11B65037" w:rsidR="00B05224" w:rsidRDefault="006136ED" w:rsidP="00300A36">
      <w:pPr>
        <w:rPr>
          <w:rFonts w:cs="Arial"/>
          <w:b/>
          <w:i w:val="0"/>
        </w:rPr>
      </w:pPr>
      <w:r w:rsidRPr="006E4F46">
        <w:rPr>
          <w:rFonts w:cs="Arial"/>
          <w:b/>
          <w:i w:val="0"/>
        </w:rPr>
        <w:t xml:space="preserve">Amendments to the </w:t>
      </w:r>
      <w:r w:rsidRPr="00042B10">
        <w:rPr>
          <w:rFonts w:cs="Arial"/>
          <w:b/>
        </w:rPr>
        <w:t>Long Service Leave (Portable Schemes) Act</w:t>
      </w:r>
      <w:r w:rsidR="00CC09B5" w:rsidRPr="00042B10">
        <w:rPr>
          <w:rFonts w:cs="Arial"/>
          <w:b/>
        </w:rPr>
        <w:t xml:space="preserve"> 2009</w:t>
      </w:r>
      <w:bookmarkStart w:id="0" w:name="_Hlk193957294"/>
      <w:r w:rsidR="00606E4E">
        <w:rPr>
          <w:rFonts w:cs="Arial"/>
          <w:b/>
          <w:i w:val="0"/>
        </w:rPr>
        <w:br/>
      </w:r>
      <w:r w:rsidR="00300A36" w:rsidRPr="006E4F46">
        <w:rPr>
          <w:rFonts w:cs="Arial"/>
          <w:i w:val="0"/>
        </w:rPr>
        <w:t xml:space="preserve">The </w:t>
      </w:r>
      <w:r w:rsidR="00300A36" w:rsidRPr="00917F75">
        <w:rPr>
          <w:rFonts w:cs="Arial"/>
          <w:iCs w:val="0"/>
        </w:rPr>
        <w:t>Long Service Leave (Portable Schemes) Act 2009</w:t>
      </w:r>
      <w:r w:rsidR="00300A36" w:rsidRPr="006E4F46">
        <w:rPr>
          <w:rFonts w:cs="Arial"/>
          <w:i w:val="0"/>
        </w:rPr>
        <w:t xml:space="preserve"> </w:t>
      </w:r>
      <w:r w:rsidR="003C6D85">
        <w:rPr>
          <w:rFonts w:cs="Arial"/>
          <w:i w:val="0"/>
        </w:rPr>
        <w:t xml:space="preserve">(Portable Schemes Act) </w:t>
      </w:r>
      <w:r w:rsidR="00300A36" w:rsidRPr="006E4F46">
        <w:rPr>
          <w:rFonts w:cs="Arial"/>
          <w:i w:val="0"/>
        </w:rPr>
        <w:t xml:space="preserve">provides for </w:t>
      </w:r>
      <w:r w:rsidR="006336EF">
        <w:rPr>
          <w:rFonts w:cs="Arial"/>
          <w:i w:val="0"/>
        </w:rPr>
        <w:t xml:space="preserve">access to </w:t>
      </w:r>
      <w:r w:rsidR="00A607D8">
        <w:rPr>
          <w:rFonts w:cs="Arial"/>
          <w:i w:val="0"/>
        </w:rPr>
        <w:t>portable</w:t>
      </w:r>
      <w:r w:rsidR="00335E75">
        <w:rPr>
          <w:rFonts w:cs="Arial"/>
          <w:i w:val="0"/>
        </w:rPr>
        <w:t xml:space="preserve"> long service</w:t>
      </w:r>
      <w:r w:rsidR="00300A36" w:rsidRPr="006E4F46">
        <w:rPr>
          <w:rFonts w:cs="Arial"/>
          <w:i w:val="0"/>
        </w:rPr>
        <w:t xml:space="preserve"> leave entitlements </w:t>
      </w:r>
      <w:r w:rsidR="00335E75">
        <w:rPr>
          <w:rFonts w:cs="Arial"/>
          <w:i w:val="0"/>
        </w:rPr>
        <w:t xml:space="preserve">for recognised periods of service </w:t>
      </w:r>
      <w:r w:rsidR="00300A36" w:rsidRPr="006E4F46">
        <w:rPr>
          <w:rFonts w:cs="Arial"/>
          <w:i w:val="0"/>
        </w:rPr>
        <w:t xml:space="preserve">within </w:t>
      </w:r>
      <w:r w:rsidR="00335E75">
        <w:rPr>
          <w:rFonts w:cs="Arial"/>
          <w:i w:val="0"/>
        </w:rPr>
        <w:t>a covered industry</w:t>
      </w:r>
      <w:r w:rsidR="003C6D85">
        <w:rPr>
          <w:rFonts w:cs="Arial"/>
          <w:i w:val="0"/>
        </w:rPr>
        <w:t>.</w:t>
      </w:r>
      <w:r w:rsidR="00E625AE">
        <w:rPr>
          <w:rFonts w:cs="Arial"/>
          <w:i w:val="0"/>
        </w:rPr>
        <w:t xml:space="preserve"> </w:t>
      </w:r>
      <w:r w:rsidR="007570D1">
        <w:rPr>
          <w:rFonts w:cs="Arial"/>
          <w:i w:val="0"/>
        </w:rPr>
        <w:t>There are four covered industries for portable long service leave</w:t>
      </w:r>
      <w:r w:rsidR="00B05224">
        <w:rPr>
          <w:rFonts w:cs="Arial"/>
          <w:i w:val="0"/>
        </w:rPr>
        <w:t xml:space="preserve">, namely </w:t>
      </w:r>
      <w:r w:rsidR="00300A36" w:rsidRPr="006E4F46">
        <w:rPr>
          <w:rFonts w:cs="Arial"/>
          <w:i w:val="0"/>
        </w:rPr>
        <w:t>the building and construction industry, the service industry (cleaning service industry), community sector industry and security industry.</w:t>
      </w:r>
      <w:r w:rsidR="00F03E4A" w:rsidRPr="006E4F46">
        <w:rPr>
          <w:rFonts w:cs="Arial"/>
          <w:b/>
          <w:i w:val="0"/>
        </w:rPr>
        <w:t xml:space="preserve"> </w:t>
      </w:r>
    </w:p>
    <w:p w14:paraId="0329130C" w14:textId="1A300F8C" w:rsidR="00300A36" w:rsidRPr="006E4F46" w:rsidRDefault="00300A36" w:rsidP="00300A36">
      <w:pPr>
        <w:rPr>
          <w:rFonts w:cs="Arial"/>
          <w:b/>
          <w:i w:val="0"/>
        </w:rPr>
      </w:pPr>
      <w:r w:rsidRPr="006E4F46">
        <w:rPr>
          <w:rFonts w:cs="Arial"/>
          <w:i w:val="0"/>
        </w:rPr>
        <w:lastRenderedPageBreak/>
        <w:t xml:space="preserve">The relevant schedules relating to each </w:t>
      </w:r>
      <w:r w:rsidR="00B05224">
        <w:rPr>
          <w:rFonts w:cs="Arial"/>
          <w:i w:val="0"/>
        </w:rPr>
        <w:t xml:space="preserve">covered industry </w:t>
      </w:r>
      <w:r w:rsidRPr="006E4F46">
        <w:rPr>
          <w:rFonts w:cs="Arial"/>
          <w:i w:val="0"/>
        </w:rPr>
        <w:t>provide</w:t>
      </w:r>
      <w:r w:rsidR="00B05224">
        <w:rPr>
          <w:rFonts w:cs="Arial"/>
          <w:i w:val="0"/>
        </w:rPr>
        <w:t>s</w:t>
      </w:r>
      <w:r w:rsidRPr="006E4F46">
        <w:rPr>
          <w:rFonts w:cs="Arial"/>
          <w:i w:val="0"/>
        </w:rPr>
        <w:t xml:space="preserve"> that the </w:t>
      </w:r>
      <w:r w:rsidR="00CF2687">
        <w:rPr>
          <w:rFonts w:cs="Arial"/>
          <w:i w:val="0"/>
        </w:rPr>
        <w:t>Long Service Leave (</w:t>
      </w:r>
      <w:r w:rsidRPr="006E4F46">
        <w:rPr>
          <w:rFonts w:cs="Arial"/>
          <w:i w:val="0"/>
        </w:rPr>
        <w:t>ACT Leave</w:t>
      </w:r>
      <w:r w:rsidR="00CF2687">
        <w:rPr>
          <w:rFonts w:cs="Arial"/>
          <w:i w:val="0"/>
        </w:rPr>
        <w:t>)</w:t>
      </w:r>
      <w:r w:rsidRPr="006E4F46">
        <w:rPr>
          <w:rFonts w:cs="Arial"/>
          <w:i w:val="0"/>
        </w:rPr>
        <w:t xml:space="preserve"> Authority must pay an applicant any amount payable pursuant to the relevant schedule no later than 21 days after the worker’s application has been made. </w:t>
      </w:r>
    </w:p>
    <w:p w14:paraId="3E368518" w14:textId="1159BB97" w:rsidR="00300A36" w:rsidRPr="006E4F46" w:rsidRDefault="00300A36" w:rsidP="00967C98">
      <w:pPr>
        <w:rPr>
          <w:rFonts w:cs="Arial"/>
          <w:i w:val="0"/>
        </w:rPr>
      </w:pPr>
      <w:r w:rsidRPr="006E4F46">
        <w:rPr>
          <w:rFonts w:cs="Arial"/>
          <w:i w:val="0"/>
        </w:rPr>
        <w:t>Th</w:t>
      </w:r>
      <w:r w:rsidR="001D2873">
        <w:rPr>
          <w:rFonts w:cs="Arial"/>
          <w:i w:val="0"/>
        </w:rPr>
        <w:t>is</w:t>
      </w:r>
      <w:r w:rsidR="00967C98" w:rsidRPr="006E4F46">
        <w:rPr>
          <w:rFonts w:cs="Arial"/>
          <w:i w:val="0"/>
        </w:rPr>
        <w:t xml:space="preserve"> Bill </w:t>
      </w:r>
      <w:r w:rsidR="00DF1EF9">
        <w:rPr>
          <w:rFonts w:cs="Arial"/>
          <w:i w:val="0"/>
        </w:rPr>
        <w:t xml:space="preserve">makes amendments that will </w:t>
      </w:r>
      <w:r w:rsidRPr="006E4F46">
        <w:rPr>
          <w:rFonts w:cs="Arial"/>
          <w:i w:val="0"/>
        </w:rPr>
        <w:t xml:space="preserve">provide the flexibility for an applicant to either receive the payment of their </w:t>
      </w:r>
      <w:r w:rsidR="006C00A9">
        <w:rPr>
          <w:rFonts w:cs="Arial"/>
          <w:i w:val="0"/>
        </w:rPr>
        <w:t xml:space="preserve">portable long service leave </w:t>
      </w:r>
      <w:r w:rsidRPr="006E4F46">
        <w:rPr>
          <w:rFonts w:cs="Arial"/>
          <w:i w:val="0"/>
        </w:rPr>
        <w:t>entitlements no later than 21</w:t>
      </w:r>
      <w:r w:rsidR="00C956AC">
        <w:rPr>
          <w:rFonts w:cs="Arial"/>
          <w:i w:val="0"/>
        </w:rPr>
        <w:t> </w:t>
      </w:r>
      <w:r w:rsidRPr="006E4F46">
        <w:rPr>
          <w:rFonts w:cs="Arial"/>
          <w:i w:val="0"/>
        </w:rPr>
        <w:t xml:space="preserve">days after their application is made, or within </w:t>
      </w:r>
      <w:r w:rsidR="007B6C3F" w:rsidRPr="006E4F46">
        <w:rPr>
          <w:rFonts w:cs="Arial"/>
          <w:i w:val="0"/>
        </w:rPr>
        <w:t>14</w:t>
      </w:r>
      <w:r w:rsidRPr="006E4F46">
        <w:rPr>
          <w:rFonts w:cs="Arial"/>
          <w:i w:val="0"/>
        </w:rPr>
        <w:t xml:space="preserve"> days before the proposed leave being taken, as agreed between the ACT Leave Authority and the applicant.</w:t>
      </w:r>
    </w:p>
    <w:p w14:paraId="4C9CC8F4" w14:textId="61FD38B8" w:rsidR="00300A36" w:rsidRPr="006E4F46" w:rsidRDefault="00300A36" w:rsidP="00F2566A">
      <w:pPr>
        <w:rPr>
          <w:rFonts w:cs="Arial"/>
          <w:i w:val="0"/>
        </w:rPr>
      </w:pPr>
      <w:r w:rsidRPr="006E4F46">
        <w:rPr>
          <w:rFonts w:cs="Arial"/>
          <w:i w:val="0"/>
        </w:rPr>
        <w:t>This policy will ensure that</w:t>
      </w:r>
      <w:r w:rsidR="00EF51D9">
        <w:rPr>
          <w:rFonts w:cs="Arial"/>
          <w:i w:val="0"/>
        </w:rPr>
        <w:t xml:space="preserve"> for each of the portable schemes</w:t>
      </w:r>
      <w:r w:rsidRPr="006E4F46">
        <w:rPr>
          <w:rFonts w:cs="Arial"/>
          <w:i w:val="0"/>
        </w:rPr>
        <w:t>:</w:t>
      </w:r>
    </w:p>
    <w:p w14:paraId="35D60D4F" w14:textId="1CBB3995" w:rsidR="00300A36" w:rsidRPr="006E4F46" w:rsidRDefault="00203CC9" w:rsidP="002D4A58">
      <w:pPr>
        <w:numPr>
          <w:ilvl w:val="1"/>
          <w:numId w:val="6"/>
        </w:numPr>
        <w:rPr>
          <w:rFonts w:cs="Arial"/>
          <w:i w:val="0"/>
        </w:rPr>
      </w:pPr>
      <w:r>
        <w:rPr>
          <w:rFonts w:cs="Arial"/>
          <w:i w:val="0"/>
        </w:rPr>
        <w:t xml:space="preserve">the </w:t>
      </w:r>
      <w:r w:rsidR="00300A36" w:rsidRPr="006E4F46">
        <w:rPr>
          <w:rFonts w:cs="Arial"/>
          <w:i w:val="0"/>
        </w:rPr>
        <w:t>payment of entitlements better align</w:t>
      </w:r>
      <w:r>
        <w:rPr>
          <w:rFonts w:cs="Arial"/>
          <w:i w:val="0"/>
        </w:rPr>
        <w:t>s</w:t>
      </w:r>
      <w:r w:rsidR="00300A36" w:rsidRPr="006E4F46">
        <w:rPr>
          <w:rFonts w:cs="Arial"/>
          <w:i w:val="0"/>
        </w:rPr>
        <w:t xml:space="preserve"> with the applicant’s usual pay cycle around the commencement date of the period of long service leave being requested</w:t>
      </w:r>
    </w:p>
    <w:p w14:paraId="6FC97347" w14:textId="559CCE70" w:rsidR="00300A36" w:rsidRPr="006E4F46" w:rsidRDefault="00300A36" w:rsidP="002D4A58">
      <w:pPr>
        <w:numPr>
          <w:ilvl w:val="1"/>
          <w:numId w:val="6"/>
        </w:numPr>
        <w:rPr>
          <w:rFonts w:cs="Arial"/>
          <w:i w:val="0"/>
        </w:rPr>
      </w:pPr>
      <w:r w:rsidRPr="006E4F46">
        <w:rPr>
          <w:rFonts w:cs="Arial"/>
          <w:i w:val="0"/>
        </w:rPr>
        <w:t>the applicant will have funds available for the requested period of long service leave</w:t>
      </w:r>
    </w:p>
    <w:p w14:paraId="1E5853FF" w14:textId="00CE5B0E" w:rsidR="00300A36" w:rsidRPr="006E4F46" w:rsidRDefault="00300A36" w:rsidP="002D4A58">
      <w:pPr>
        <w:numPr>
          <w:ilvl w:val="1"/>
          <w:numId w:val="6"/>
        </w:numPr>
        <w:rPr>
          <w:rFonts w:cs="Arial"/>
          <w:i w:val="0"/>
        </w:rPr>
      </w:pPr>
      <w:r w:rsidRPr="006E4F46">
        <w:rPr>
          <w:rFonts w:cs="Arial"/>
          <w:i w:val="0"/>
        </w:rPr>
        <w:t>an employer’s operational requirements will be assisted, where the employer requests their workers seek approval of long service leave well in advance</w:t>
      </w:r>
      <w:r w:rsidR="007B6C3F" w:rsidRPr="006E4F46">
        <w:rPr>
          <w:rFonts w:cs="Arial"/>
          <w:i w:val="0"/>
        </w:rPr>
        <w:t>,</w:t>
      </w:r>
      <w:r w:rsidRPr="006E4F46">
        <w:rPr>
          <w:rFonts w:cs="Arial"/>
          <w:i w:val="0"/>
        </w:rPr>
        <w:t xml:space="preserve"> and</w:t>
      </w:r>
    </w:p>
    <w:p w14:paraId="3D9B1203" w14:textId="093E838E" w:rsidR="00300A36" w:rsidRPr="006E4F46" w:rsidRDefault="00EF51D9" w:rsidP="002D4A58">
      <w:pPr>
        <w:numPr>
          <w:ilvl w:val="1"/>
          <w:numId w:val="6"/>
        </w:numPr>
        <w:rPr>
          <w:rFonts w:cs="Arial"/>
          <w:i w:val="0"/>
        </w:rPr>
      </w:pPr>
      <w:r>
        <w:rPr>
          <w:rFonts w:cs="Arial"/>
          <w:i w:val="0"/>
        </w:rPr>
        <w:t xml:space="preserve">there is timing flexibility to manage </w:t>
      </w:r>
      <w:r w:rsidR="00300A36" w:rsidRPr="006E4F46">
        <w:rPr>
          <w:rFonts w:cs="Arial"/>
          <w:i w:val="0"/>
        </w:rPr>
        <w:t>tax implications for the applicant.</w:t>
      </w:r>
    </w:p>
    <w:p w14:paraId="5EDA9A46" w14:textId="443AD928" w:rsidR="603D89F7" w:rsidRPr="006E4F46" w:rsidRDefault="5B168731" w:rsidP="603D89F7">
      <w:pPr>
        <w:rPr>
          <w:rFonts w:cs="Arial"/>
          <w:b/>
          <w:i w:val="0"/>
        </w:rPr>
      </w:pPr>
      <w:r w:rsidRPr="006E4F46">
        <w:rPr>
          <w:rFonts w:cs="Arial"/>
          <w:i w:val="0"/>
        </w:rPr>
        <w:t>Th</w:t>
      </w:r>
      <w:r w:rsidR="002318A8">
        <w:rPr>
          <w:rFonts w:cs="Arial"/>
          <w:i w:val="0"/>
        </w:rPr>
        <w:t>is</w:t>
      </w:r>
      <w:r w:rsidRPr="006E4F46">
        <w:rPr>
          <w:rFonts w:cs="Arial"/>
          <w:i w:val="0"/>
        </w:rPr>
        <w:t xml:space="preserve"> Bill</w:t>
      </w:r>
      <w:r w:rsidR="002318A8">
        <w:rPr>
          <w:rFonts w:cs="Arial"/>
          <w:i w:val="0"/>
        </w:rPr>
        <w:t xml:space="preserve"> also</w:t>
      </w:r>
      <w:r w:rsidRPr="006E4F46">
        <w:rPr>
          <w:rFonts w:cs="Arial"/>
          <w:i w:val="0"/>
        </w:rPr>
        <w:t xml:space="preserve"> include</w:t>
      </w:r>
      <w:r w:rsidR="002318A8">
        <w:rPr>
          <w:rFonts w:cs="Arial"/>
          <w:i w:val="0"/>
        </w:rPr>
        <w:t>s</w:t>
      </w:r>
      <w:r w:rsidRPr="006E4F46">
        <w:rPr>
          <w:rFonts w:cs="Arial"/>
          <w:i w:val="0"/>
        </w:rPr>
        <w:t xml:space="preserve"> amendments to ensure the administration of the portable long service scheme</w:t>
      </w:r>
      <w:r w:rsidR="00677F00">
        <w:rPr>
          <w:rFonts w:cs="Arial"/>
          <w:i w:val="0"/>
        </w:rPr>
        <w:t xml:space="preserve"> for the services sector</w:t>
      </w:r>
      <w:r w:rsidRPr="006E4F46">
        <w:rPr>
          <w:rFonts w:cs="Arial"/>
          <w:i w:val="0"/>
        </w:rPr>
        <w:t xml:space="preserve"> operat</w:t>
      </w:r>
      <w:r w:rsidR="00677F00">
        <w:rPr>
          <w:rFonts w:cs="Arial"/>
          <w:i w:val="0"/>
        </w:rPr>
        <w:t>es</w:t>
      </w:r>
      <w:r w:rsidRPr="006E4F46">
        <w:rPr>
          <w:rFonts w:cs="Arial"/>
          <w:i w:val="0"/>
        </w:rPr>
        <w:t xml:space="preserve"> as intended.</w:t>
      </w:r>
      <w:bookmarkEnd w:id="0"/>
      <w:r w:rsidR="51C0E4F5" w:rsidRPr="006E4F46">
        <w:rPr>
          <w:rFonts w:cs="Arial"/>
          <w:i w:val="0"/>
        </w:rPr>
        <w:t xml:space="preserve"> This relates to the e</w:t>
      </w:r>
      <w:r w:rsidR="22B276F6" w:rsidRPr="006E4F46">
        <w:rPr>
          <w:rFonts w:cs="Arial"/>
          <w:i w:val="0"/>
        </w:rPr>
        <w:t>xpansion of the</w:t>
      </w:r>
      <w:r w:rsidR="2A1FD9A3" w:rsidRPr="006E4F46">
        <w:rPr>
          <w:rFonts w:cs="Arial"/>
          <w:i w:val="0"/>
        </w:rPr>
        <w:t xml:space="preserve"> service industry</w:t>
      </w:r>
      <w:r w:rsidR="0CF70062" w:rsidRPr="006E4F46">
        <w:rPr>
          <w:rFonts w:cs="Arial"/>
          <w:i w:val="0"/>
        </w:rPr>
        <w:t xml:space="preserve"> and clari</w:t>
      </w:r>
      <w:r w:rsidR="00677F00">
        <w:rPr>
          <w:rFonts w:cs="Arial"/>
          <w:i w:val="0"/>
        </w:rPr>
        <w:t>fies</w:t>
      </w:r>
      <w:r w:rsidR="0CF70062" w:rsidRPr="006E4F46">
        <w:rPr>
          <w:rFonts w:cs="Arial"/>
          <w:i w:val="0"/>
        </w:rPr>
        <w:t xml:space="preserve"> that the scheme only</w:t>
      </w:r>
      <w:r w:rsidR="00640207">
        <w:rPr>
          <w:rFonts w:cs="Arial"/>
          <w:i w:val="0"/>
        </w:rPr>
        <w:t xml:space="preserve"> applies to </w:t>
      </w:r>
      <w:r w:rsidR="0CF70062" w:rsidRPr="006E4F46">
        <w:rPr>
          <w:rFonts w:cs="Arial"/>
          <w:i w:val="0"/>
        </w:rPr>
        <w:t xml:space="preserve">employers who operate </w:t>
      </w:r>
      <w:r w:rsidR="00640207">
        <w:rPr>
          <w:rFonts w:cs="Arial"/>
          <w:i w:val="0"/>
        </w:rPr>
        <w:t xml:space="preserve">predominantly </w:t>
      </w:r>
      <w:r w:rsidR="0CF70062" w:rsidRPr="006E4F46">
        <w:rPr>
          <w:rFonts w:cs="Arial"/>
          <w:i w:val="0"/>
        </w:rPr>
        <w:t>within specific covered industr</w:t>
      </w:r>
      <w:r w:rsidR="00BA6F15">
        <w:rPr>
          <w:rFonts w:cs="Arial"/>
          <w:i w:val="0"/>
        </w:rPr>
        <w:t>ies</w:t>
      </w:r>
      <w:r w:rsidR="0CF70062" w:rsidRPr="006E4F46">
        <w:rPr>
          <w:rFonts w:cs="Arial"/>
          <w:i w:val="0"/>
        </w:rPr>
        <w:t xml:space="preserve"> rather than </w:t>
      </w:r>
      <w:r w:rsidR="00877A36">
        <w:rPr>
          <w:rFonts w:cs="Arial"/>
          <w:i w:val="0"/>
        </w:rPr>
        <w:t>eve</w:t>
      </w:r>
      <w:r w:rsidR="00640207">
        <w:rPr>
          <w:rFonts w:cs="Arial"/>
          <w:i w:val="0"/>
        </w:rPr>
        <w:t>r</w:t>
      </w:r>
      <w:r w:rsidR="00877A36">
        <w:rPr>
          <w:rFonts w:cs="Arial"/>
          <w:i w:val="0"/>
        </w:rPr>
        <w:t>yone</w:t>
      </w:r>
      <w:r w:rsidR="00877A36" w:rsidRPr="006E4F46">
        <w:rPr>
          <w:rFonts w:cs="Arial"/>
          <w:i w:val="0"/>
        </w:rPr>
        <w:t xml:space="preserve"> </w:t>
      </w:r>
      <w:r w:rsidR="0CF70062" w:rsidRPr="006E4F46">
        <w:rPr>
          <w:rFonts w:cs="Arial"/>
          <w:i w:val="0"/>
        </w:rPr>
        <w:t xml:space="preserve">who </w:t>
      </w:r>
      <w:r w:rsidR="52B5EBFB" w:rsidRPr="006E4F46">
        <w:rPr>
          <w:rFonts w:cs="Arial"/>
          <w:i w:val="0"/>
        </w:rPr>
        <w:t>operate</w:t>
      </w:r>
      <w:r w:rsidR="00BA6F15">
        <w:rPr>
          <w:rFonts w:cs="Arial"/>
          <w:i w:val="0"/>
        </w:rPr>
        <w:t>s</w:t>
      </w:r>
      <w:r w:rsidR="52B5EBFB" w:rsidRPr="006E4F46">
        <w:rPr>
          <w:rFonts w:cs="Arial"/>
          <w:i w:val="0"/>
        </w:rPr>
        <w:t xml:space="preserve"> mixed businesses which </w:t>
      </w:r>
      <w:r w:rsidR="0CF70062" w:rsidRPr="006E4F46">
        <w:rPr>
          <w:rFonts w:cs="Arial"/>
          <w:i w:val="0"/>
        </w:rPr>
        <w:t>may undertake</w:t>
      </w:r>
      <w:r w:rsidR="670F44B5" w:rsidRPr="006E4F46">
        <w:rPr>
          <w:rFonts w:cs="Arial"/>
          <w:i w:val="0"/>
        </w:rPr>
        <w:t xml:space="preserve"> some</w:t>
      </w:r>
      <w:r w:rsidR="0CF70062" w:rsidRPr="006E4F46">
        <w:rPr>
          <w:rFonts w:cs="Arial"/>
          <w:i w:val="0"/>
        </w:rPr>
        <w:t xml:space="preserve"> work activities that would be viewed as</w:t>
      </w:r>
      <w:r w:rsidR="670F44B5" w:rsidRPr="006E4F46">
        <w:rPr>
          <w:rFonts w:cs="Arial"/>
          <w:i w:val="0"/>
        </w:rPr>
        <w:t xml:space="preserve"> activities under the covered industries.</w:t>
      </w:r>
      <w:r w:rsidR="00A57D78">
        <w:rPr>
          <w:rFonts w:cs="Arial"/>
          <w:i w:val="0"/>
        </w:rPr>
        <w:t xml:space="preserve"> This </w:t>
      </w:r>
      <w:r w:rsidR="003E6A63">
        <w:rPr>
          <w:rFonts w:cs="Arial"/>
          <w:i w:val="0"/>
        </w:rPr>
        <w:t xml:space="preserve">ensures alignment </w:t>
      </w:r>
      <w:r w:rsidR="00A57D78">
        <w:rPr>
          <w:rFonts w:cs="Arial"/>
          <w:i w:val="0"/>
        </w:rPr>
        <w:t xml:space="preserve">with </w:t>
      </w:r>
      <w:r w:rsidR="003F47F8">
        <w:rPr>
          <w:rFonts w:cs="Arial"/>
          <w:i w:val="0"/>
        </w:rPr>
        <w:t xml:space="preserve">the </w:t>
      </w:r>
      <w:r w:rsidR="006E6994">
        <w:rPr>
          <w:rFonts w:cs="Arial"/>
          <w:i w:val="0"/>
        </w:rPr>
        <w:t xml:space="preserve">new industries </w:t>
      </w:r>
      <w:r w:rsidR="00A911CB">
        <w:rPr>
          <w:rFonts w:cs="Arial"/>
          <w:i w:val="0"/>
        </w:rPr>
        <w:t>that will</w:t>
      </w:r>
      <w:r w:rsidR="006E6994">
        <w:rPr>
          <w:rFonts w:cs="Arial"/>
          <w:i w:val="0"/>
        </w:rPr>
        <w:t xml:space="preserve"> join the services industry scheme</w:t>
      </w:r>
      <w:r w:rsidR="00A911CB">
        <w:rPr>
          <w:rFonts w:cs="Arial"/>
          <w:i w:val="0"/>
        </w:rPr>
        <w:t xml:space="preserve"> from 1</w:t>
      </w:r>
      <w:r w:rsidR="003E6A63">
        <w:rPr>
          <w:rFonts w:cs="Arial"/>
          <w:i w:val="0"/>
        </w:rPr>
        <w:t> </w:t>
      </w:r>
      <w:r w:rsidR="00A911CB">
        <w:rPr>
          <w:rFonts w:cs="Arial"/>
          <w:i w:val="0"/>
        </w:rPr>
        <w:t>July 2026</w:t>
      </w:r>
      <w:r w:rsidR="00251AA3">
        <w:rPr>
          <w:rFonts w:cs="Arial"/>
          <w:i w:val="0"/>
        </w:rPr>
        <w:t xml:space="preserve">, namely hairdressing and beauty services and accommodation and food services, </w:t>
      </w:r>
      <w:r w:rsidR="007B7ED8">
        <w:rPr>
          <w:rFonts w:cs="Arial"/>
          <w:i w:val="0"/>
        </w:rPr>
        <w:t xml:space="preserve">which have been defined </w:t>
      </w:r>
      <w:r w:rsidR="003E6A63">
        <w:rPr>
          <w:rFonts w:cs="Arial"/>
          <w:i w:val="0"/>
        </w:rPr>
        <w:t xml:space="preserve">using </w:t>
      </w:r>
      <w:r w:rsidR="005471CA">
        <w:rPr>
          <w:rFonts w:cs="Arial"/>
          <w:i w:val="0"/>
        </w:rPr>
        <w:t>a</w:t>
      </w:r>
      <w:r w:rsidR="003E6A63">
        <w:rPr>
          <w:rFonts w:cs="Arial"/>
          <w:i w:val="0"/>
        </w:rPr>
        <w:t xml:space="preserve"> main activity test framework </w:t>
      </w:r>
      <w:r w:rsidR="005471CA">
        <w:rPr>
          <w:rFonts w:cs="Arial"/>
          <w:i w:val="0"/>
        </w:rPr>
        <w:t>under</w:t>
      </w:r>
      <w:r w:rsidR="007B7ED8">
        <w:rPr>
          <w:rFonts w:cs="Arial"/>
          <w:i w:val="0"/>
        </w:rPr>
        <w:t xml:space="preserve"> the </w:t>
      </w:r>
      <w:r w:rsidR="000A48C1" w:rsidRPr="000A48C1">
        <w:rPr>
          <w:rFonts w:cs="Arial"/>
          <w:i w:val="0"/>
        </w:rPr>
        <w:t>Australian and New Zealand Standard Industrial Classification (ANZSIC)</w:t>
      </w:r>
      <w:r w:rsidR="005524E5">
        <w:rPr>
          <w:rFonts w:cs="Arial"/>
          <w:i w:val="0"/>
        </w:rPr>
        <w:t>.</w:t>
      </w:r>
    </w:p>
    <w:p w14:paraId="5E10D085" w14:textId="26C09A74" w:rsidR="4FFFD517" w:rsidRPr="006E4F46" w:rsidRDefault="4FFFD517" w:rsidP="603D89F7">
      <w:pPr>
        <w:rPr>
          <w:rFonts w:cs="Arial"/>
          <w:i w:val="0"/>
        </w:rPr>
      </w:pPr>
      <w:r w:rsidRPr="006E4F46">
        <w:rPr>
          <w:rFonts w:cs="Arial"/>
          <w:i w:val="0"/>
        </w:rPr>
        <w:t>Th</w:t>
      </w:r>
      <w:r w:rsidR="003C3858">
        <w:rPr>
          <w:rFonts w:cs="Arial"/>
          <w:i w:val="0"/>
        </w:rPr>
        <w:t>is</w:t>
      </w:r>
      <w:r w:rsidRPr="006E4F46">
        <w:rPr>
          <w:rFonts w:cs="Arial"/>
          <w:i w:val="0"/>
        </w:rPr>
        <w:t xml:space="preserve"> Bill also </w:t>
      </w:r>
      <w:r w:rsidR="00C802FD">
        <w:rPr>
          <w:rFonts w:cs="Arial"/>
          <w:i w:val="0"/>
        </w:rPr>
        <w:t xml:space="preserve">makes a technical amendment to </w:t>
      </w:r>
      <w:r w:rsidRPr="006E4F46">
        <w:rPr>
          <w:rFonts w:cs="Arial"/>
          <w:i w:val="0"/>
        </w:rPr>
        <w:t>remove subsection 12</w:t>
      </w:r>
      <w:r w:rsidR="000D4528">
        <w:rPr>
          <w:rFonts w:cs="Arial"/>
          <w:i w:val="0"/>
        </w:rPr>
        <w:t xml:space="preserve"> </w:t>
      </w:r>
      <w:r w:rsidRPr="006E4F46">
        <w:rPr>
          <w:rFonts w:cs="Arial"/>
          <w:i w:val="0"/>
        </w:rPr>
        <w:t>(4)(b) requiring an instrument made b</w:t>
      </w:r>
      <w:r w:rsidR="1A64F0EC" w:rsidRPr="006E4F46">
        <w:rPr>
          <w:rFonts w:cs="Arial"/>
          <w:i w:val="0"/>
        </w:rPr>
        <w:t>y</w:t>
      </w:r>
      <w:r w:rsidRPr="006E4F46">
        <w:rPr>
          <w:rFonts w:cs="Arial"/>
          <w:i w:val="0"/>
        </w:rPr>
        <w:t xml:space="preserve"> the Minister declaring additional coverage under the scheme</w:t>
      </w:r>
      <w:r w:rsidR="4A664BB2" w:rsidRPr="006E4F46">
        <w:rPr>
          <w:rFonts w:cs="Arial"/>
          <w:i w:val="0"/>
        </w:rPr>
        <w:t xml:space="preserve"> to have a stated period of the declaration.</w:t>
      </w:r>
      <w:r w:rsidR="0C5A6D86" w:rsidRPr="006E4F46">
        <w:rPr>
          <w:rFonts w:cs="Arial"/>
          <w:i w:val="0"/>
        </w:rPr>
        <w:t xml:space="preserve"> The decision to provide </w:t>
      </w:r>
      <w:r w:rsidR="0053105D">
        <w:rPr>
          <w:rFonts w:cs="Arial"/>
          <w:i w:val="0"/>
        </w:rPr>
        <w:t xml:space="preserve">additional </w:t>
      </w:r>
      <w:r w:rsidR="00CC0A5E" w:rsidRPr="006E4F46">
        <w:rPr>
          <w:rFonts w:cs="Arial"/>
          <w:i w:val="0"/>
        </w:rPr>
        <w:t xml:space="preserve">coverage </w:t>
      </w:r>
      <w:r w:rsidR="0C5A6D86" w:rsidRPr="006E4F46">
        <w:rPr>
          <w:rFonts w:cs="Arial"/>
          <w:i w:val="0"/>
        </w:rPr>
        <w:t xml:space="preserve">for an employer into the scheme ensures </w:t>
      </w:r>
      <w:r w:rsidR="7D7137D8" w:rsidRPr="006E4F46">
        <w:rPr>
          <w:rFonts w:cs="Arial"/>
          <w:i w:val="0"/>
        </w:rPr>
        <w:t>worker recognition within a particular industry, promotes mobility and attracts and helps retain skilled workers</w:t>
      </w:r>
      <w:r w:rsidR="005C70DC">
        <w:rPr>
          <w:rFonts w:cs="Arial"/>
          <w:i w:val="0"/>
        </w:rPr>
        <w:t xml:space="preserve"> within a covered industry</w:t>
      </w:r>
      <w:r w:rsidR="002E4C95">
        <w:rPr>
          <w:rFonts w:cs="Arial"/>
          <w:i w:val="0"/>
        </w:rPr>
        <w:t xml:space="preserve"> and is </w:t>
      </w:r>
      <w:r w:rsidR="00963A4D">
        <w:rPr>
          <w:rFonts w:cs="Arial"/>
          <w:i w:val="0"/>
        </w:rPr>
        <w:t xml:space="preserve">made where coverage is consistent with the objectives of the </w:t>
      </w:r>
      <w:r w:rsidR="00F07048">
        <w:rPr>
          <w:rFonts w:cs="Arial"/>
          <w:i w:val="0"/>
        </w:rPr>
        <w:t>Portable Schemes Act</w:t>
      </w:r>
      <w:r w:rsidR="7D7137D8" w:rsidRPr="006E4F46">
        <w:rPr>
          <w:rFonts w:cs="Arial"/>
          <w:i w:val="0"/>
        </w:rPr>
        <w:t xml:space="preserve">. Unless a particular employer no longer operates within </w:t>
      </w:r>
      <w:r w:rsidR="1FD291AC" w:rsidRPr="006E4F46">
        <w:rPr>
          <w:rFonts w:cs="Arial"/>
          <w:i w:val="0"/>
        </w:rPr>
        <w:t xml:space="preserve">a specified industry, the </w:t>
      </w:r>
      <w:r w:rsidR="6EC9DFAA" w:rsidRPr="006E4F46">
        <w:rPr>
          <w:rFonts w:cs="Arial"/>
          <w:i w:val="0"/>
        </w:rPr>
        <w:t>expiry</w:t>
      </w:r>
      <w:r w:rsidR="1FD291AC" w:rsidRPr="006E4F46">
        <w:rPr>
          <w:rFonts w:cs="Arial"/>
          <w:i w:val="0"/>
        </w:rPr>
        <w:t xml:space="preserve"> of their coverage </w:t>
      </w:r>
      <w:r w:rsidR="6939499A" w:rsidRPr="006E4F46">
        <w:rPr>
          <w:rFonts w:cs="Arial"/>
          <w:i w:val="0"/>
        </w:rPr>
        <w:t xml:space="preserve">is not only </w:t>
      </w:r>
      <w:r w:rsidR="1E09961B" w:rsidRPr="006E4F46">
        <w:rPr>
          <w:rFonts w:cs="Arial"/>
          <w:i w:val="0"/>
        </w:rPr>
        <w:t>contrary</w:t>
      </w:r>
      <w:r w:rsidR="6939499A" w:rsidRPr="006E4F46">
        <w:rPr>
          <w:rFonts w:cs="Arial"/>
          <w:i w:val="0"/>
        </w:rPr>
        <w:t xml:space="preserve"> to the object</w:t>
      </w:r>
      <w:r w:rsidR="00CC0A5E" w:rsidRPr="006E4F46">
        <w:rPr>
          <w:rFonts w:cs="Arial"/>
          <w:i w:val="0"/>
        </w:rPr>
        <w:t>s</w:t>
      </w:r>
      <w:r w:rsidR="6939499A" w:rsidRPr="006E4F46">
        <w:rPr>
          <w:rFonts w:cs="Arial"/>
          <w:i w:val="0"/>
        </w:rPr>
        <w:t xml:space="preserve"> of the Act but greatly disadvantages those workers from ensuring their entitlements are portable. </w:t>
      </w:r>
    </w:p>
    <w:p w14:paraId="1C597041" w14:textId="7A353ED4" w:rsidR="009B2EC7" w:rsidRPr="006E4F46" w:rsidRDefault="4A664BB2" w:rsidP="123B2125">
      <w:pPr>
        <w:rPr>
          <w:rFonts w:cs="Arial"/>
          <w:i w:val="0"/>
        </w:rPr>
      </w:pPr>
      <w:r w:rsidRPr="006E4F46">
        <w:rPr>
          <w:rFonts w:cs="Arial"/>
          <w:i w:val="0"/>
        </w:rPr>
        <w:t xml:space="preserve">The removal of the subsection does not mean that a period cannot be </w:t>
      </w:r>
      <w:r w:rsidR="504C19A3" w:rsidRPr="006E4F46">
        <w:rPr>
          <w:rFonts w:cs="Arial"/>
          <w:i w:val="0"/>
        </w:rPr>
        <w:t xml:space="preserve">expressed, should it be necessary. </w:t>
      </w:r>
      <w:r w:rsidR="5090B17D" w:rsidRPr="006E4F46">
        <w:rPr>
          <w:rFonts w:cs="Arial"/>
          <w:i w:val="0"/>
        </w:rPr>
        <w:t xml:space="preserve">This is also in contrast to the mechanism of section 13, where the Minister has the power to limit coverage in the scheme. Limiting coverage is only temporary in nature and not </w:t>
      </w:r>
      <w:r w:rsidR="00BF1EE9">
        <w:rPr>
          <w:rFonts w:cs="Arial"/>
          <w:i w:val="0"/>
        </w:rPr>
        <w:t xml:space="preserve">intended to be </w:t>
      </w:r>
      <w:r w:rsidR="5090B17D" w:rsidRPr="006E4F46">
        <w:rPr>
          <w:rFonts w:cs="Arial"/>
          <w:i w:val="0"/>
        </w:rPr>
        <w:t xml:space="preserve">used as a </w:t>
      </w:r>
      <w:r w:rsidR="05B90730" w:rsidRPr="006E4F46">
        <w:rPr>
          <w:rFonts w:cs="Arial"/>
          <w:i w:val="0"/>
        </w:rPr>
        <w:t xml:space="preserve">permanent mechanism to carve out a specific employer, employee, work or activity. </w:t>
      </w:r>
    </w:p>
    <w:p w14:paraId="243964A3" w14:textId="77777777" w:rsidR="002F18BB" w:rsidRPr="006E4F46" w:rsidRDefault="002F18BB" w:rsidP="009668F4">
      <w:pPr>
        <w:rPr>
          <w:rFonts w:cs="Arial"/>
          <w:b/>
          <w:i w:val="0"/>
        </w:rPr>
      </w:pPr>
    </w:p>
    <w:p w14:paraId="0C010A16" w14:textId="77777777" w:rsidR="00F512D9" w:rsidRPr="00042B10" w:rsidRDefault="00E10D3B" w:rsidP="00CC0A5E">
      <w:pPr>
        <w:spacing w:after="0"/>
        <w:rPr>
          <w:rFonts w:cs="Arial"/>
        </w:rPr>
      </w:pPr>
      <w:r w:rsidRPr="006E4F46">
        <w:rPr>
          <w:rFonts w:cs="Arial"/>
          <w:b/>
          <w:i w:val="0"/>
        </w:rPr>
        <w:t xml:space="preserve">Amendments to the </w:t>
      </w:r>
      <w:r w:rsidRPr="00042B10">
        <w:rPr>
          <w:rFonts w:cs="Arial"/>
          <w:b/>
        </w:rPr>
        <w:t>Public Sector Workers Compensation Fund Act 2018</w:t>
      </w:r>
    </w:p>
    <w:p w14:paraId="3C6884B4" w14:textId="3AF797EA" w:rsidR="5C3EAC05" w:rsidRDefault="009668F4" w:rsidP="00CC0A5E">
      <w:pPr>
        <w:spacing w:after="0"/>
        <w:rPr>
          <w:rFonts w:cs="Arial"/>
          <w:i w:val="0"/>
        </w:rPr>
      </w:pPr>
      <w:r w:rsidRPr="006E4F46">
        <w:rPr>
          <w:rFonts w:cs="Arial"/>
          <w:i w:val="0"/>
        </w:rPr>
        <w:t xml:space="preserve">Section 12 of the </w:t>
      </w:r>
      <w:r w:rsidR="00BD01F5" w:rsidRPr="00F66F25">
        <w:rPr>
          <w:rFonts w:cs="Arial"/>
          <w:iCs w:val="0"/>
        </w:rPr>
        <w:t>Public Sector Workers Compensation Fund Act 2018</w:t>
      </w:r>
      <w:r w:rsidR="00BD01F5" w:rsidRPr="006E4F46">
        <w:rPr>
          <w:rFonts w:cs="Arial"/>
          <w:i w:val="0"/>
        </w:rPr>
        <w:t xml:space="preserve"> (PSWC Act) </w:t>
      </w:r>
      <w:r w:rsidRPr="006E4F46">
        <w:rPr>
          <w:rFonts w:cs="Arial"/>
          <w:i w:val="0"/>
        </w:rPr>
        <w:t>provides for how funds held in Public Sector Workers Compensation bank accounts</w:t>
      </w:r>
      <w:r w:rsidRPr="009668F4">
        <w:rPr>
          <w:rFonts w:cs="Arial"/>
        </w:rPr>
        <w:t xml:space="preserve"> </w:t>
      </w:r>
      <w:r w:rsidRPr="006E4F46">
        <w:rPr>
          <w:rFonts w:cs="Arial"/>
          <w:i w:val="0"/>
        </w:rPr>
        <w:t>may be expended. A</w:t>
      </w:r>
      <w:r w:rsidR="00945238" w:rsidRPr="006E4F46">
        <w:rPr>
          <w:rFonts w:cs="Arial"/>
          <w:i w:val="0"/>
        </w:rPr>
        <w:t xml:space="preserve">n </w:t>
      </w:r>
      <w:r w:rsidRPr="006E4F46">
        <w:rPr>
          <w:rFonts w:cs="Arial"/>
          <w:i w:val="0"/>
        </w:rPr>
        <w:t xml:space="preserve">amendment </w:t>
      </w:r>
      <w:r w:rsidR="00945238" w:rsidRPr="006E4F46">
        <w:rPr>
          <w:rFonts w:cs="Arial"/>
          <w:i w:val="0"/>
        </w:rPr>
        <w:t>is introduced</w:t>
      </w:r>
      <w:r w:rsidR="00A878F9">
        <w:rPr>
          <w:rFonts w:cs="Arial"/>
          <w:i w:val="0"/>
        </w:rPr>
        <w:t xml:space="preserve"> under this Bill</w:t>
      </w:r>
      <w:r w:rsidR="00945238" w:rsidRPr="006E4F46">
        <w:rPr>
          <w:rFonts w:cs="Arial"/>
          <w:i w:val="0"/>
        </w:rPr>
        <w:t xml:space="preserve"> to </w:t>
      </w:r>
      <w:r w:rsidR="00A258C0">
        <w:rPr>
          <w:rFonts w:cs="Arial"/>
          <w:i w:val="0"/>
        </w:rPr>
        <w:t xml:space="preserve">clarify that </w:t>
      </w:r>
      <w:r w:rsidRPr="006E4F46">
        <w:rPr>
          <w:rFonts w:cs="Arial"/>
          <w:i w:val="0"/>
        </w:rPr>
        <w:t xml:space="preserve">monies held in PSWC bank accounts </w:t>
      </w:r>
      <w:r w:rsidR="00A258C0">
        <w:rPr>
          <w:rFonts w:cs="Arial"/>
          <w:i w:val="0"/>
        </w:rPr>
        <w:t xml:space="preserve">may </w:t>
      </w:r>
      <w:r w:rsidRPr="006E4F46">
        <w:rPr>
          <w:rFonts w:cs="Arial"/>
          <w:i w:val="0"/>
        </w:rPr>
        <w:t xml:space="preserve">be spent </w:t>
      </w:r>
      <w:r w:rsidR="000F755F">
        <w:rPr>
          <w:rFonts w:cs="Arial"/>
          <w:i w:val="0"/>
        </w:rPr>
        <w:t xml:space="preserve">on </w:t>
      </w:r>
      <w:r w:rsidR="002C538C">
        <w:rPr>
          <w:rFonts w:cs="Arial"/>
          <w:i w:val="0"/>
        </w:rPr>
        <w:t>reasonable costs in exercising the Commissioner’s functions</w:t>
      </w:r>
      <w:r w:rsidR="007A4776">
        <w:rPr>
          <w:rFonts w:cs="Arial"/>
          <w:i w:val="0"/>
        </w:rPr>
        <w:t xml:space="preserve"> which expressly includes </w:t>
      </w:r>
      <w:r w:rsidR="00B70147">
        <w:rPr>
          <w:rFonts w:cs="Arial"/>
          <w:i w:val="0"/>
        </w:rPr>
        <w:t xml:space="preserve">activities that </w:t>
      </w:r>
      <w:r w:rsidRPr="006E4F46">
        <w:rPr>
          <w:rFonts w:cs="Arial"/>
          <w:i w:val="0"/>
        </w:rPr>
        <w:t>promote and support injury prevention initiatives and activities across the ACT Public Service that aim to reduce incidents of work injuries.</w:t>
      </w:r>
    </w:p>
    <w:p w14:paraId="22325B78" w14:textId="77777777" w:rsidR="007F1FCE" w:rsidRDefault="007F1FCE" w:rsidP="00CC0A5E">
      <w:pPr>
        <w:spacing w:after="0"/>
        <w:rPr>
          <w:rFonts w:cs="Arial"/>
          <w:i w:val="0"/>
        </w:rPr>
      </w:pPr>
    </w:p>
    <w:p w14:paraId="25E5EC3A" w14:textId="14DA8DA4" w:rsidR="00E90DF9" w:rsidRPr="006E4F46" w:rsidRDefault="00E90DF9" w:rsidP="00AF5CC8">
      <w:pPr>
        <w:keepNext/>
        <w:spacing w:before="240" w:after="0"/>
        <w:rPr>
          <w:rFonts w:cs="Arial"/>
          <w:b/>
          <w:i w:val="0"/>
        </w:rPr>
      </w:pPr>
      <w:r w:rsidRPr="006E4F46">
        <w:rPr>
          <w:rFonts w:cs="Arial"/>
          <w:b/>
          <w:i w:val="0"/>
        </w:rPr>
        <w:t>CONSULTATION ON THE PROPOSED APPROACH</w:t>
      </w:r>
    </w:p>
    <w:p w14:paraId="6BC3941E" w14:textId="61E60B96" w:rsidR="00116291" w:rsidRPr="006E4F46" w:rsidRDefault="0030760C" w:rsidP="007B3123">
      <w:pPr>
        <w:spacing w:before="100" w:beforeAutospacing="1" w:after="0"/>
        <w:rPr>
          <w:rFonts w:cs="Arial"/>
          <w:i w:val="0"/>
        </w:rPr>
      </w:pPr>
      <w:r w:rsidRPr="006E4F46">
        <w:rPr>
          <w:rFonts w:cs="Arial"/>
          <w:i w:val="0"/>
        </w:rPr>
        <w:t>Stakeholders consulted</w:t>
      </w:r>
      <w:r w:rsidR="00D46C17" w:rsidRPr="006E4F46">
        <w:rPr>
          <w:rFonts w:cs="Arial"/>
          <w:i w:val="0"/>
        </w:rPr>
        <w:t xml:space="preserve"> regarding the proposed amendments within this Bill</w:t>
      </w:r>
      <w:r w:rsidRPr="006E4F46">
        <w:rPr>
          <w:rFonts w:cs="Arial"/>
          <w:i w:val="0"/>
        </w:rPr>
        <w:t xml:space="preserve"> include the Chief Minister, Treasury and Economic Development Directorate</w:t>
      </w:r>
      <w:r w:rsidR="00EA1E3B" w:rsidRPr="006E4F46">
        <w:rPr>
          <w:rFonts w:cs="Arial"/>
          <w:i w:val="0"/>
        </w:rPr>
        <w:t>,</w:t>
      </w:r>
      <w:r w:rsidR="00A358BE" w:rsidRPr="006E4F46">
        <w:rPr>
          <w:rFonts w:cs="Arial"/>
          <w:i w:val="0"/>
        </w:rPr>
        <w:t xml:space="preserve"> the Justice and Community Safety Directorate,</w:t>
      </w:r>
      <w:r w:rsidR="0026022C" w:rsidRPr="006E4F46">
        <w:rPr>
          <w:rFonts w:cs="Arial"/>
          <w:i w:val="0"/>
        </w:rPr>
        <w:t xml:space="preserve"> insurers</w:t>
      </w:r>
      <w:r w:rsidR="00B0595F" w:rsidRPr="006E4F46">
        <w:rPr>
          <w:rFonts w:cs="Arial"/>
          <w:i w:val="0"/>
        </w:rPr>
        <w:t xml:space="preserve"> and self-insurers</w:t>
      </w:r>
      <w:r w:rsidR="0026022C" w:rsidRPr="006E4F46">
        <w:rPr>
          <w:rFonts w:cs="Arial"/>
          <w:i w:val="0"/>
        </w:rPr>
        <w:t xml:space="preserve">, </w:t>
      </w:r>
      <w:r w:rsidR="00EA1E3B" w:rsidRPr="006E4F46">
        <w:rPr>
          <w:rFonts w:cs="Arial"/>
          <w:i w:val="0"/>
        </w:rPr>
        <w:t>ACT Leave</w:t>
      </w:r>
      <w:r w:rsidR="00CB6A3D" w:rsidRPr="006E4F46">
        <w:rPr>
          <w:rFonts w:cs="Arial"/>
          <w:i w:val="0"/>
        </w:rPr>
        <w:t xml:space="preserve"> Authority</w:t>
      </w:r>
      <w:r w:rsidR="00FF2ADC" w:rsidRPr="006E4F46">
        <w:rPr>
          <w:rFonts w:cs="Arial"/>
          <w:i w:val="0"/>
        </w:rPr>
        <w:t>,</w:t>
      </w:r>
      <w:r w:rsidR="00EA1E3B" w:rsidRPr="006E4F46">
        <w:rPr>
          <w:rFonts w:cs="Arial"/>
          <w:i w:val="0"/>
        </w:rPr>
        <w:t xml:space="preserve"> </w:t>
      </w:r>
      <w:r w:rsidR="00CB6A3D" w:rsidRPr="006E4F46">
        <w:rPr>
          <w:rFonts w:cs="Arial"/>
          <w:i w:val="0"/>
        </w:rPr>
        <w:t xml:space="preserve">the WHS Commissioner, </w:t>
      </w:r>
      <w:r w:rsidR="00C7744B" w:rsidRPr="006E4F46">
        <w:rPr>
          <w:rFonts w:cs="Arial"/>
          <w:i w:val="0"/>
        </w:rPr>
        <w:t xml:space="preserve">WorkSafe </w:t>
      </w:r>
      <w:r w:rsidR="00EA1E3B" w:rsidRPr="006E4F46">
        <w:rPr>
          <w:rFonts w:cs="Arial"/>
          <w:i w:val="0"/>
        </w:rPr>
        <w:t>ACT</w:t>
      </w:r>
      <w:r w:rsidR="00CB6A3D" w:rsidRPr="006E4F46">
        <w:rPr>
          <w:rFonts w:cs="Arial"/>
          <w:i w:val="0"/>
        </w:rPr>
        <w:t>, Work Health and Safety Council</w:t>
      </w:r>
      <w:r w:rsidR="00FF2ADC" w:rsidRPr="006E4F46">
        <w:rPr>
          <w:rFonts w:cs="Arial"/>
          <w:i w:val="0"/>
        </w:rPr>
        <w:t xml:space="preserve"> and broader affected industries and business</w:t>
      </w:r>
      <w:r w:rsidR="00CB6A3D" w:rsidRPr="006E4F46">
        <w:rPr>
          <w:rFonts w:cs="Arial"/>
          <w:i w:val="0"/>
        </w:rPr>
        <w:t>.</w:t>
      </w:r>
    </w:p>
    <w:p w14:paraId="1B6FBF18" w14:textId="73219E52" w:rsidR="00545E9C" w:rsidRPr="006E4F46" w:rsidRDefault="00545E9C" w:rsidP="00545E9C">
      <w:pPr>
        <w:spacing w:before="240"/>
        <w:rPr>
          <w:rFonts w:cs="Arial"/>
          <w:b/>
          <w:i w:val="0"/>
        </w:rPr>
      </w:pPr>
      <w:r w:rsidRPr="006E4F46">
        <w:rPr>
          <w:rFonts w:cs="Arial"/>
          <w:b/>
          <w:i w:val="0"/>
        </w:rPr>
        <w:t>CLIMATE IMPACT</w:t>
      </w:r>
    </w:p>
    <w:p w14:paraId="719B41EB" w14:textId="52F5058C" w:rsidR="00116291" w:rsidRPr="00AF5CC8" w:rsidRDefault="00545E9C" w:rsidP="007B3123">
      <w:pPr>
        <w:spacing w:before="240"/>
        <w:rPr>
          <w:rFonts w:cs="Arial"/>
          <w:i w:val="0"/>
        </w:rPr>
      </w:pPr>
      <w:r w:rsidRPr="006E4F46">
        <w:rPr>
          <w:rFonts w:cs="Arial"/>
          <w:i w:val="0"/>
        </w:rPr>
        <w:t>This Bill will not have any climate impact.</w:t>
      </w:r>
    </w:p>
    <w:p w14:paraId="1E002791" w14:textId="49162521" w:rsidR="00E90DF9" w:rsidRPr="006E4F46" w:rsidRDefault="00E90DF9" w:rsidP="00BA62B4">
      <w:pPr>
        <w:pStyle w:val="Heading2"/>
        <w:spacing w:before="240"/>
        <w:rPr>
          <w:i w:val="0"/>
        </w:rPr>
      </w:pPr>
      <w:r w:rsidRPr="006E4F46">
        <w:rPr>
          <w:i w:val="0"/>
        </w:rPr>
        <w:t>CONSISTENCY WITH HUMAN RIGHTS</w:t>
      </w:r>
    </w:p>
    <w:p w14:paraId="757FF40A" w14:textId="1CE97734" w:rsidR="00116291" w:rsidRPr="006E4F46" w:rsidRDefault="00DA56EA" w:rsidP="00252448">
      <w:pPr>
        <w:spacing w:before="100" w:beforeAutospacing="1" w:after="100" w:afterAutospacing="1" w:line="240" w:lineRule="auto"/>
        <w:rPr>
          <w:rFonts w:cs="Arial"/>
          <w:i w:val="0"/>
        </w:rPr>
      </w:pPr>
      <w:r w:rsidRPr="006E4F46">
        <w:rPr>
          <w:rFonts w:cs="Arial"/>
          <w:i w:val="0"/>
        </w:rPr>
        <w:t xml:space="preserve">During the development of the Bill, due regard was given to its compatibility with human rights as set out in the </w:t>
      </w:r>
      <w:r w:rsidRPr="00F66F25">
        <w:rPr>
          <w:rFonts w:cs="Arial"/>
          <w:iCs w:val="0"/>
        </w:rPr>
        <w:t>Human Rights Act 2004</w:t>
      </w:r>
      <w:r w:rsidRPr="006E4F46">
        <w:rPr>
          <w:rFonts w:cs="Arial"/>
          <w:i w:val="0"/>
        </w:rPr>
        <w:t xml:space="preserve"> (the HR Act).</w:t>
      </w:r>
      <w:r w:rsidR="00F00088" w:rsidRPr="006E4F46">
        <w:rPr>
          <w:rFonts w:cs="Arial"/>
          <w:i w:val="0"/>
        </w:rPr>
        <w:t xml:space="preserve"> This Bill is consistent with human rights. </w:t>
      </w:r>
    </w:p>
    <w:p w14:paraId="3AA827AB" w14:textId="6C3CD9E4" w:rsidR="00E90DF9" w:rsidRPr="006E4F46" w:rsidRDefault="00E90DF9" w:rsidP="00163AFB">
      <w:pPr>
        <w:spacing w:line="240" w:lineRule="auto"/>
        <w:rPr>
          <w:rFonts w:cs="Arial"/>
          <w:b/>
          <w:i w:val="0"/>
        </w:rPr>
      </w:pPr>
      <w:r w:rsidRPr="006E4F46">
        <w:rPr>
          <w:rFonts w:cs="Arial"/>
          <w:b/>
          <w:i w:val="0"/>
        </w:rPr>
        <w:t>Rights engage</w:t>
      </w:r>
      <w:r w:rsidR="00367C33" w:rsidRPr="006E4F46">
        <w:rPr>
          <w:rFonts w:cs="Arial"/>
          <w:b/>
          <w:i w:val="0"/>
        </w:rPr>
        <w:t>d</w:t>
      </w:r>
    </w:p>
    <w:p w14:paraId="332E5E91" w14:textId="4BDA60A7" w:rsidR="006E3CFA" w:rsidRPr="006E4F46" w:rsidRDefault="00001827" w:rsidP="00163AFB">
      <w:pPr>
        <w:spacing w:line="240" w:lineRule="auto"/>
        <w:rPr>
          <w:rFonts w:cs="Arial"/>
          <w:i w:val="0"/>
        </w:rPr>
      </w:pPr>
      <w:r w:rsidRPr="006E4F46">
        <w:rPr>
          <w:rFonts w:cs="Arial"/>
          <w:i w:val="0"/>
        </w:rPr>
        <w:t>This Bill engages</w:t>
      </w:r>
      <w:r w:rsidR="00FE21EC" w:rsidRPr="006E4F46">
        <w:rPr>
          <w:rFonts w:cs="Arial"/>
          <w:i w:val="0"/>
        </w:rPr>
        <w:t xml:space="preserve"> </w:t>
      </w:r>
      <w:r w:rsidRPr="006E4F46">
        <w:rPr>
          <w:rFonts w:cs="Arial"/>
          <w:i w:val="0"/>
        </w:rPr>
        <w:t xml:space="preserve">the </w:t>
      </w:r>
      <w:r w:rsidR="00C972B2" w:rsidRPr="006E4F46">
        <w:rPr>
          <w:rFonts w:cs="Arial"/>
          <w:i w:val="0"/>
        </w:rPr>
        <w:t>following rights:</w:t>
      </w:r>
    </w:p>
    <w:p w14:paraId="3F298FEF" w14:textId="585FE56F" w:rsidR="005A2071" w:rsidRPr="0041256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sidR="00FA62DA">
        <w:rPr>
          <w:rFonts w:cs="Arial"/>
          <w:i w:val="0"/>
        </w:rPr>
        <w:tab/>
      </w:r>
      <w:r w:rsidRPr="006E4F46">
        <w:rPr>
          <w:rFonts w:cs="Arial"/>
          <w:i w:val="0"/>
        </w:rPr>
        <w:t>–</w:t>
      </w:r>
      <w:r w:rsidR="00FA62DA">
        <w:rPr>
          <w:rFonts w:cs="Arial"/>
          <w:i w:val="0"/>
        </w:rPr>
        <w:tab/>
      </w:r>
      <w:r w:rsidRPr="006E4F46">
        <w:rPr>
          <w:rFonts w:cs="Arial"/>
          <w:i w:val="0"/>
        </w:rPr>
        <w:t>Recognition and equality before the law</w:t>
      </w:r>
      <w:r w:rsidR="0074439B" w:rsidRPr="006E4F46">
        <w:rPr>
          <w:rFonts w:cs="Arial"/>
          <w:i w:val="0"/>
        </w:rPr>
        <w:t xml:space="preserve"> </w:t>
      </w:r>
      <w:r w:rsidR="0074439B" w:rsidRPr="00042B10">
        <w:rPr>
          <w:rFonts w:cs="Arial"/>
        </w:rPr>
        <w:t>(promoted)</w:t>
      </w:r>
    </w:p>
    <w:p w14:paraId="3D5BD96C" w14:textId="5E6FDA63" w:rsidR="0041256E" w:rsidRPr="0041256E" w:rsidRDefault="0041256E" w:rsidP="0041256E">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Pr>
          <w:rFonts w:cs="Arial"/>
          <w:i w:val="0"/>
        </w:rPr>
        <w:tab/>
      </w:r>
      <w:r w:rsidRPr="006E4F46">
        <w:rPr>
          <w:rFonts w:cs="Arial"/>
          <w:i w:val="0"/>
        </w:rPr>
        <w:t>–</w:t>
      </w:r>
      <w:r>
        <w:rPr>
          <w:rFonts w:cs="Arial"/>
          <w:i w:val="0"/>
        </w:rPr>
        <w:tab/>
      </w:r>
      <w:r w:rsidRPr="006E4F46">
        <w:rPr>
          <w:rFonts w:cs="Arial"/>
          <w:i w:val="0"/>
        </w:rPr>
        <w:t xml:space="preserve">Recognition and equality before the law </w:t>
      </w:r>
      <w:r w:rsidRPr="00042B10">
        <w:rPr>
          <w:rFonts w:cs="Arial"/>
        </w:rPr>
        <w:t>(</w:t>
      </w:r>
      <w:r>
        <w:rPr>
          <w:rFonts w:cs="Arial"/>
        </w:rPr>
        <w:t>limited</w:t>
      </w:r>
      <w:r w:rsidRPr="00042B10">
        <w:rPr>
          <w:rFonts w:cs="Arial"/>
        </w:rPr>
        <w:t>)</w:t>
      </w:r>
    </w:p>
    <w:p w14:paraId="16A8A9FE" w14:textId="6119A415" w:rsidR="00964482" w:rsidRPr="006E4F46" w:rsidRDefault="00964482"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9</w:t>
      </w:r>
      <w:r w:rsidR="005D72F9">
        <w:rPr>
          <w:rFonts w:cs="Arial"/>
          <w:i w:val="0"/>
        </w:rPr>
        <w:tab/>
      </w:r>
      <w:r w:rsidRPr="006E4F46">
        <w:rPr>
          <w:rFonts w:cs="Arial"/>
          <w:i w:val="0"/>
        </w:rPr>
        <w:t>–</w:t>
      </w:r>
      <w:r w:rsidR="005D72F9">
        <w:rPr>
          <w:rFonts w:cs="Arial"/>
          <w:i w:val="0"/>
        </w:rPr>
        <w:tab/>
      </w:r>
      <w:r w:rsidRPr="006E4F46">
        <w:rPr>
          <w:rFonts w:cs="Arial"/>
          <w:i w:val="0"/>
        </w:rPr>
        <w:t>Right to life</w:t>
      </w:r>
      <w:r w:rsidR="003051EC" w:rsidRPr="006E4F46">
        <w:rPr>
          <w:rFonts w:cs="Arial"/>
          <w:i w:val="0"/>
        </w:rPr>
        <w:t xml:space="preserve"> </w:t>
      </w:r>
      <w:r w:rsidR="003051EC" w:rsidRPr="00042B10">
        <w:rPr>
          <w:rFonts w:cs="Arial"/>
        </w:rPr>
        <w:t>(promoted)</w:t>
      </w:r>
    </w:p>
    <w:p w14:paraId="3883AB87" w14:textId="57EFA967"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sidR="005D72F9">
        <w:rPr>
          <w:rFonts w:cs="Arial"/>
          <w:i w:val="0"/>
        </w:rPr>
        <w:tab/>
      </w:r>
      <w:r w:rsidRPr="006E4F46">
        <w:rPr>
          <w:rFonts w:cs="Arial"/>
          <w:i w:val="0"/>
        </w:rPr>
        <w:t>–</w:t>
      </w:r>
      <w:r w:rsidR="005D72F9">
        <w:rPr>
          <w:rFonts w:cs="Arial"/>
          <w:i w:val="0"/>
        </w:rPr>
        <w:tab/>
      </w:r>
      <w:r w:rsidRPr="006E4F46">
        <w:rPr>
          <w:rFonts w:cs="Arial"/>
          <w:i w:val="0"/>
        </w:rPr>
        <w:t xml:space="preserve">Protection of the family and children </w:t>
      </w:r>
      <w:r w:rsidR="003051EC" w:rsidRPr="00042B10">
        <w:rPr>
          <w:rFonts w:cs="Arial"/>
        </w:rPr>
        <w:t>(promoted)</w:t>
      </w:r>
    </w:p>
    <w:p w14:paraId="74C0F669" w14:textId="1CE3D33B" w:rsidR="0041256E" w:rsidRDefault="0041256E"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Pr>
          <w:rFonts w:cs="Arial"/>
          <w:i w:val="0"/>
        </w:rPr>
        <w:tab/>
      </w:r>
      <w:r w:rsidRPr="006E4F46">
        <w:rPr>
          <w:rFonts w:cs="Arial"/>
          <w:i w:val="0"/>
        </w:rPr>
        <w:t>–</w:t>
      </w:r>
      <w:r>
        <w:rPr>
          <w:rFonts w:cs="Arial"/>
          <w:i w:val="0"/>
        </w:rPr>
        <w:tab/>
      </w:r>
      <w:r w:rsidRPr="006E4F46">
        <w:rPr>
          <w:rFonts w:cs="Arial"/>
          <w:i w:val="0"/>
        </w:rPr>
        <w:t xml:space="preserve">Protection of the family and children </w:t>
      </w:r>
      <w:r w:rsidRPr="00042B10">
        <w:rPr>
          <w:rFonts w:cs="Arial"/>
        </w:rPr>
        <w:t>(</w:t>
      </w:r>
      <w:r>
        <w:rPr>
          <w:rFonts w:cs="Arial"/>
        </w:rPr>
        <w:t>limited</w:t>
      </w:r>
      <w:r w:rsidRPr="00042B10">
        <w:rPr>
          <w:rFonts w:cs="Arial"/>
        </w:rPr>
        <w:t>)</w:t>
      </w:r>
    </w:p>
    <w:p w14:paraId="59B1A287" w14:textId="158261C3" w:rsidR="00964482" w:rsidRPr="00AE4DB2" w:rsidRDefault="005A2071" w:rsidP="00522A82">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sidR="005D72F9">
        <w:rPr>
          <w:rFonts w:cs="Arial"/>
          <w:i w:val="0"/>
        </w:rPr>
        <w:tab/>
      </w:r>
      <w:r w:rsidRPr="006E4F46">
        <w:rPr>
          <w:rFonts w:cs="Arial"/>
          <w:i w:val="0"/>
        </w:rPr>
        <w:t>–</w:t>
      </w:r>
      <w:r w:rsidR="005D72F9">
        <w:rPr>
          <w:rFonts w:cs="Arial"/>
          <w:i w:val="0"/>
        </w:rPr>
        <w:tab/>
      </w:r>
      <w:r w:rsidRPr="006E4F46">
        <w:rPr>
          <w:rFonts w:cs="Arial"/>
          <w:i w:val="0"/>
        </w:rPr>
        <w:t xml:space="preserve">Privacy and reputation </w:t>
      </w:r>
      <w:r w:rsidR="0074439B" w:rsidRPr="00042B10">
        <w:rPr>
          <w:rFonts w:cs="Arial"/>
        </w:rPr>
        <w:t>(promoted)</w:t>
      </w:r>
    </w:p>
    <w:p w14:paraId="396AB4E9" w14:textId="38F3173F" w:rsidR="00AE4DB2" w:rsidRPr="00AE4DB2" w:rsidRDefault="00AE4DB2" w:rsidP="00AE4DB2">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Pr>
          <w:rFonts w:cs="Arial"/>
          <w:i w:val="0"/>
        </w:rPr>
        <w:tab/>
      </w:r>
      <w:r w:rsidRPr="006E4F46">
        <w:rPr>
          <w:rFonts w:cs="Arial"/>
          <w:i w:val="0"/>
        </w:rPr>
        <w:t>–</w:t>
      </w:r>
      <w:r>
        <w:rPr>
          <w:rFonts w:cs="Arial"/>
          <w:i w:val="0"/>
        </w:rPr>
        <w:tab/>
      </w:r>
      <w:r w:rsidRPr="006E4F46">
        <w:rPr>
          <w:rFonts w:cs="Arial"/>
          <w:i w:val="0"/>
        </w:rPr>
        <w:t xml:space="preserve">Privacy and reputation </w:t>
      </w:r>
      <w:r w:rsidRPr="00042B10">
        <w:rPr>
          <w:rFonts w:cs="Arial"/>
        </w:rPr>
        <w:t>(</w:t>
      </w:r>
      <w:r>
        <w:rPr>
          <w:rFonts w:cs="Arial"/>
        </w:rPr>
        <w:t>limited</w:t>
      </w:r>
      <w:r w:rsidRPr="00042B10">
        <w:rPr>
          <w:rFonts w:cs="Arial"/>
        </w:rPr>
        <w:t>)</w:t>
      </w:r>
    </w:p>
    <w:p w14:paraId="32BB6C99" w14:textId="4EC0CB88" w:rsidR="001E2BE1" w:rsidRPr="0041256E" w:rsidRDefault="001E2BE1"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22</w:t>
      </w:r>
      <w:r w:rsidR="005D72F9">
        <w:rPr>
          <w:rFonts w:cs="Arial"/>
          <w:i w:val="0"/>
        </w:rPr>
        <w:tab/>
      </w:r>
      <w:r w:rsidRPr="006E4F46">
        <w:rPr>
          <w:rFonts w:cs="Arial"/>
          <w:i w:val="0"/>
        </w:rPr>
        <w:t>–</w:t>
      </w:r>
      <w:r w:rsidR="005D72F9">
        <w:rPr>
          <w:rFonts w:cs="Arial"/>
          <w:i w:val="0"/>
        </w:rPr>
        <w:tab/>
      </w:r>
      <w:r w:rsidRPr="006E4F46">
        <w:rPr>
          <w:rFonts w:cs="Arial"/>
          <w:i w:val="0"/>
        </w:rPr>
        <w:t>Right in criminal proceedings</w:t>
      </w:r>
      <w:r w:rsidR="00E871AE" w:rsidRPr="006E4F46">
        <w:rPr>
          <w:rFonts w:cs="Arial"/>
          <w:i w:val="0"/>
        </w:rPr>
        <w:t xml:space="preserve"> </w:t>
      </w:r>
      <w:r w:rsidR="00E871AE" w:rsidRPr="00042B10">
        <w:rPr>
          <w:rFonts w:cs="Arial"/>
        </w:rPr>
        <w:t>(limited)</w:t>
      </w:r>
    </w:p>
    <w:p w14:paraId="737145F3" w14:textId="0755A1D1" w:rsidR="0041256E" w:rsidRPr="006E4F46" w:rsidRDefault="0041256E" w:rsidP="00DF622F">
      <w:pPr>
        <w:pStyle w:val="ListParagraph"/>
        <w:numPr>
          <w:ilvl w:val="0"/>
          <w:numId w:val="10"/>
        </w:numPr>
        <w:tabs>
          <w:tab w:val="left" w:pos="2127"/>
          <w:tab w:val="left" w:pos="2410"/>
        </w:tabs>
        <w:spacing w:after="120" w:line="240" w:lineRule="auto"/>
        <w:ind w:left="714" w:hanging="357"/>
        <w:rPr>
          <w:rFonts w:cs="Arial"/>
          <w:i w:val="0"/>
        </w:rPr>
      </w:pPr>
      <w:r>
        <w:rPr>
          <w:rFonts w:cs="Arial"/>
          <w:i w:val="0"/>
          <w:iCs w:val="0"/>
        </w:rPr>
        <w:t>Section 27</w:t>
      </w:r>
      <w:r>
        <w:rPr>
          <w:rFonts w:cs="Arial"/>
          <w:i w:val="0"/>
          <w:iCs w:val="0"/>
        </w:rPr>
        <w:tab/>
        <w:t>–</w:t>
      </w:r>
      <w:r>
        <w:rPr>
          <w:rFonts w:cs="Arial"/>
          <w:i w:val="0"/>
          <w:iCs w:val="0"/>
        </w:rPr>
        <w:tab/>
      </w:r>
      <w:r w:rsidR="001231C5" w:rsidRPr="001231C5">
        <w:rPr>
          <w:rFonts w:cs="Arial"/>
          <w:i w:val="0"/>
          <w:iCs w:val="0"/>
        </w:rPr>
        <w:t xml:space="preserve">Cultural and other rights of Aboriginal and Torres Strait </w:t>
      </w:r>
      <w:r w:rsidR="0060044A">
        <w:rPr>
          <w:rFonts w:cs="Arial"/>
          <w:i w:val="0"/>
          <w:iCs w:val="0"/>
        </w:rPr>
        <w:br/>
      </w:r>
      <w:r w:rsidR="001C0926">
        <w:rPr>
          <w:rFonts w:cs="Arial"/>
          <w:i w:val="0"/>
          <w:iCs w:val="0"/>
        </w:rPr>
        <w:t xml:space="preserve">                          </w:t>
      </w:r>
      <w:r w:rsidR="001231C5" w:rsidRPr="001231C5">
        <w:rPr>
          <w:rFonts w:cs="Arial"/>
          <w:i w:val="0"/>
          <w:iCs w:val="0"/>
        </w:rPr>
        <w:t>Islander peoples and other minorities</w:t>
      </w:r>
      <w:r w:rsidR="0007160D">
        <w:rPr>
          <w:rFonts w:cs="Arial"/>
          <w:i w:val="0"/>
          <w:iCs w:val="0"/>
        </w:rPr>
        <w:t xml:space="preserve"> (</w:t>
      </w:r>
      <w:r w:rsidR="0007160D">
        <w:rPr>
          <w:rFonts w:cs="Arial"/>
        </w:rPr>
        <w:t>limited</w:t>
      </w:r>
      <w:r w:rsidR="0007160D">
        <w:rPr>
          <w:rFonts w:cs="Arial"/>
          <w:i w:val="0"/>
          <w:iCs w:val="0"/>
        </w:rPr>
        <w:t>)</w:t>
      </w:r>
    </w:p>
    <w:p w14:paraId="29574153" w14:textId="05B30E5B" w:rsidR="002E769A" w:rsidRPr="00941E90"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27B</w:t>
      </w:r>
      <w:r w:rsidR="005D72F9">
        <w:rPr>
          <w:rFonts w:cs="Arial"/>
          <w:i w:val="0"/>
        </w:rPr>
        <w:tab/>
      </w:r>
      <w:r w:rsidRPr="006E4F46">
        <w:rPr>
          <w:rFonts w:cs="Arial"/>
          <w:i w:val="0"/>
        </w:rPr>
        <w:t>–</w:t>
      </w:r>
      <w:r w:rsidR="005D72F9">
        <w:rPr>
          <w:rFonts w:cs="Arial"/>
          <w:i w:val="0"/>
        </w:rPr>
        <w:tab/>
      </w:r>
      <w:r w:rsidRPr="006E4F46">
        <w:rPr>
          <w:rFonts w:cs="Arial"/>
          <w:i w:val="0"/>
        </w:rPr>
        <w:t xml:space="preserve">Right to work and other work-related rights </w:t>
      </w:r>
      <w:r w:rsidR="0074439B" w:rsidRPr="00042B10">
        <w:rPr>
          <w:rFonts w:cs="Arial"/>
        </w:rPr>
        <w:t>(promoted)</w:t>
      </w:r>
    </w:p>
    <w:p w14:paraId="3C4B2AC1" w14:textId="786B608F" w:rsidR="00F255E7" w:rsidRPr="006E4F46" w:rsidRDefault="00F255E7" w:rsidP="00DF622F">
      <w:pPr>
        <w:pStyle w:val="ListParagraph"/>
        <w:numPr>
          <w:ilvl w:val="0"/>
          <w:numId w:val="10"/>
        </w:numPr>
        <w:tabs>
          <w:tab w:val="left" w:pos="2127"/>
          <w:tab w:val="left" w:pos="2410"/>
        </w:tabs>
        <w:spacing w:after="120" w:line="240" w:lineRule="auto"/>
        <w:ind w:left="714" w:hanging="357"/>
        <w:jc w:val="both"/>
        <w:rPr>
          <w:rFonts w:cs="Arial"/>
          <w:i w:val="0"/>
        </w:rPr>
      </w:pPr>
      <w:r>
        <w:rPr>
          <w:rFonts w:cs="Arial"/>
          <w:i w:val="0"/>
          <w:iCs w:val="0"/>
        </w:rPr>
        <w:t>Section 27C</w:t>
      </w:r>
      <w:r w:rsidR="005D72F9">
        <w:rPr>
          <w:rFonts w:cs="Arial"/>
          <w:i w:val="0"/>
          <w:iCs w:val="0"/>
        </w:rPr>
        <w:tab/>
      </w:r>
      <w:r>
        <w:rPr>
          <w:rFonts w:cs="Arial"/>
          <w:i w:val="0"/>
          <w:iCs w:val="0"/>
        </w:rPr>
        <w:t>–</w:t>
      </w:r>
      <w:r w:rsidR="005D72F9">
        <w:rPr>
          <w:rFonts w:cs="Arial"/>
          <w:i w:val="0"/>
          <w:iCs w:val="0"/>
        </w:rPr>
        <w:tab/>
      </w:r>
      <w:r>
        <w:rPr>
          <w:rFonts w:cs="Arial"/>
          <w:i w:val="0"/>
          <w:iCs w:val="0"/>
        </w:rPr>
        <w:t xml:space="preserve">Right </w:t>
      </w:r>
      <w:r w:rsidR="00A00FB9">
        <w:rPr>
          <w:rFonts w:cs="Arial"/>
          <w:i w:val="0"/>
          <w:iCs w:val="0"/>
        </w:rPr>
        <w:t>to a healthy environment</w:t>
      </w:r>
      <w:r w:rsidR="00FB177B">
        <w:rPr>
          <w:rFonts w:cs="Arial"/>
          <w:i w:val="0"/>
          <w:iCs w:val="0"/>
        </w:rPr>
        <w:t xml:space="preserve"> </w:t>
      </w:r>
      <w:r w:rsidR="00FB177B" w:rsidRPr="00941E90">
        <w:rPr>
          <w:rFonts w:cs="Arial"/>
        </w:rPr>
        <w:t>(promoted)</w:t>
      </w:r>
    </w:p>
    <w:p w14:paraId="5367DA63" w14:textId="77777777" w:rsidR="005D75B9" w:rsidRDefault="005D75B9" w:rsidP="00CC0A5E">
      <w:pPr>
        <w:spacing w:before="240"/>
        <w:contextualSpacing/>
        <w:jc w:val="both"/>
        <w:rPr>
          <w:rFonts w:cs="Arial"/>
          <w:b/>
          <w:i w:val="0"/>
          <w:iCs w:val="0"/>
        </w:rPr>
      </w:pPr>
    </w:p>
    <w:p w14:paraId="20A93042" w14:textId="45A7DA20" w:rsidR="00CC0A5E" w:rsidRPr="00B31851" w:rsidRDefault="003051EC" w:rsidP="00CC0A5E">
      <w:pPr>
        <w:spacing w:before="240"/>
        <w:contextualSpacing/>
        <w:jc w:val="both"/>
        <w:rPr>
          <w:rFonts w:cs="Arial"/>
          <w:b/>
          <w:i w:val="0"/>
          <w:iCs w:val="0"/>
        </w:rPr>
      </w:pPr>
      <w:r w:rsidRPr="00B31851">
        <w:rPr>
          <w:rFonts w:cs="Arial"/>
          <w:b/>
          <w:i w:val="0"/>
          <w:iCs w:val="0"/>
        </w:rPr>
        <w:t>Rights promoted</w:t>
      </w:r>
      <w:r w:rsidR="00CC0A5E" w:rsidRPr="00B31851">
        <w:rPr>
          <w:rFonts w:cs="Arial"/>
          <w:b/>
          <w:i w:val="0"/>
          <w:iCs w:val="0"/>
        </w:rPr>
        <w:t xml:space="preserve"> </w:t>
      </w:r>
    </w:p>
    <w:p w14:paraId="4C46139D" w14:textId="2240263B" w:rsidR="00F25D30" w:rsidRPr="0034191B" w:rsidRDefault="00116291" w:rsidP="00F25D30">
      <w:pPr>
        <w:spacing w:before="240"/>
        <w:contextualSpacing/>
        <w:rPr>
          <w:rFonts w:cs="Arial"/>
          <w:b/>
          <w:i w:val="0"/>
          <w:iCs w:val="0"/>
          <w:u w:val="single"/>
        </w:rPr>
      </w:pPr>
      <w:r w:rsidRPr="00B31851">
        <w:rPr>
          <w:rFonts w:cs="Arial"/>
          <w:i w:val="0"/>
          <w:iCs w:val="0"/>
          <w:u w:val="single"/>
        </w:rPr>
        <w:br/>
      </w:r>
      <w:r w:rsidR="002437CE" w:rsidRPr="00B31851">
        <w:rPr>
          <w:rFonts w:cs="Arial"/>
          <w:i w:val="0"/>
          <w:iCs w:val="0"/>
          <w:u w:val="single"/>
        </w:rPr>
        <w:t>W</w:t>
      </w:r>
      <w:r w:rsidR="00620607" w:rsidRPr="00B31851">
        <w:rPr>
          <w:rFonts w:cs="Arial"/>
          <w:i w:val="0"/>
          <w:iCs w:val="0"/>
          <w:u w:val="single"/>
        </w:rPr>
        <w:t>HS</w:t>
      </w:r>
      <w:r w:rsidR="002437CE" w:rsidRPr="00B31851">
        <w:rPr>
          <w:rFonts w:cs="Arial"/>
          <w:i w:val="0"/>
          <w:iCs w:val="0"/>
          <w:u w:val="single"/>
        </w:rPr>
        <w:t xml:space="preserve"> Act amendment - Right to life</w:t>
      </w:r>
      <w:r w:rsidR="0034191B">
        <w:rPr>
          <w:rFonts w:cs="Arial"/>
          <w:b/>
          <w:i w:val="0"/>
          <w:iCs w:val="0"/>
          <w:u w:val="single"/>
        </w:rPr>
        <w:br/>
      </w:r>
      <w:r w:rsidR="00F25D30" w:rsidRPr="00B31851">
        <w:rPr>
          <w:rFonts w:cs="Arial"/>
          <w:i w:val="0"/>
          <w:iCs w:val="0"/>
        </w:rPr>
        <w:t>The right to life imposes a positive obligation on public authorities to take appropriate steps to protect individuals from reasonably foreseeable threats to life and serious harm. The amendments to the </w:t>
      </w:r>
      <w:r w:rsidR="007E168C" w:rsidRPr="00B31851">
        <w:rPr>
          <w:rFonts w:cs="Arial"/>
          <w:i w:val="0"/>
          <w:iCs w:val="0"/>
        </w:rPr>
        <w:t>WHS Act</w:t>
      </w:r>
      <w:r w:rsidR="00F25D30" w:rsidRPr="00B31851">
        <w:rPr>
          <w:rFonts w:cs="Arial"/>
          <w:i w:val="0"/>
          <w:iCs w:val="0"/>
        </w:rPr>
        <w:t> promote this right by strengthening the legal framework for identifying, responding to, and preventing serious workplace incidents.</w:t>
      </w:r>
    </w:p>
    <w:p w14:paraId="2D0407C5" w14:textId="3AB32C8C" w:rsidR="00F25D30" w:rsidRPr="00B31851" w:rsidRDefault="00F25D30" w:rsidP="00F25D30">
      <w:pPr>
        <w:spacing w:before="240"/>
        <w:rPr>
          <w:rFonts w:cs="Arial"/>
          <w:i w:val="0"/>
          <w:iCs w:val="0"/>
        </w:rPr>
      </w:pPr>
      <w:r w:rsidRPr="00B31851">
        <w:rPr>
          <w:rFonts w:cs="Arial"/>
          <w:i w:val="0"/>
          <w:iCs w:val="0"/>
        </w:rPr>
        <w:t xml:space="preserve">The </w:t>
      </w:r>
      <w:r w:rsidR="002D6E47" w:rsidRPr="00B31851">
        <w:rPr>
          <w:rFonts w:cs="Arial"/>
          <w:i w:val="0"/>
          <w:iCs w:val="0"/>
        </w:rPr>
        <w:t xml:space="preserve">Bill </w:t>
      </w:r>
      <w:r w:rsidR="007A719A" w:rsidRPr="00B31851">
        <w:rPr>
          <w:rFonts w:cs="Arial"/>
          <w:i w:val="0"/>
          <w:iCs w:val="0"/>
        </w:rPr>
        <w:t>clarifi</w:t>
      </w:r>
      <w:r w:rsidR="002D6E47" w:rsidRPr="00B31851">
        <w:rPr>
          <w:rFonts w:cs="Arial"/>
          <w:i w:val="0"/>
          <w:iCs w:val="0"/>
        </w:rPr>
        <w:t>es</w:t>
      </w:r>
      <w:r w:rsidR="007A719A" w:rsidRPr="00B31851">
        <w:rPr>
          <w:rFonts w:cs="Arial"/>
          <w:i w:val="0"/>
          <w:iCs w:val="0"/>
        </w:rPr>
        <w:t xml:space="preserve"> what is defined as a </w:t>
      </w:r>
      <w:r w:rsidR="002D6E47" w:rsidRPr="00B31851">
        <w:rPr>
          <w:rFonts w:cs="Arial"/>
          <w:i w:val="0"/>
          <w:iCs w:val="0"/>
        </w:rPr>
        <w:t>“</w:t>
      </w:r>
      <w:r w:rsidR="007A719A" w:rsidRPr="00B31851">
        <w:rPr>
          <w:rFonts w:cs="Arial"/>
          <w:i w:val="0"/>
          <w:iCs w:val="0"/>
        </w:rPr>
        <w:t>serious injury or illness</w:t>
      </w:r>
      <w:r w:rsidR="002D6E47" w:rsidRPr="00B31851">
        <w:rPr>
          <w:rFonts w:cs="Arial"/>
          <w:i w:val="0"/>
          <w:iCs w:val="0"/>
        </w:rPr>
        <w:t>”</w:t>
      </w:r>
      <w:r w:rsidR="007A719A" w:rsidRPr="00B31851">
        <w:rPr>
          <w:rFonts w:cs="Arial"/>
          <w:i w:val="0"/>
          <w:iCs w:val="0"/>
        </w:rPr>
        <w:t xml:space="preserve"> and </w:t>
      </w:r>
      <w:r w:rsidR="002D6E47" w:rsidRPr="00B31851">
        <w:rPr>
          <w:rFonts w:cs="Arial"/>
          <w:i w:val="0"/>
          <w:iCs w:val="0"/>
        </w:rPr>
        <w:t>“</w:t>
      </w:r>
      <w:r w:rsidR="007A719A" w:rsidRPr="00B31851">
        <w:rPr>
          <w:rFonts w:cs="Arial"/>
          <w:i w:val="0"/>
          <w:iCs w:val="0"/>
        </w:rPr>
        <w:t>dangerous incident</w:t>
      </w:r>
      <w:r w:rsidR="002D6E47" w:rsidRPr="00B31851">
        <w:rPr>
          <w:rFonts w:cs="Arial"/>
          <w:i w:val="0"/>
          <w:iCs w:val="0"/>
        </w:rPr>
        <w:t xml:space="preserve">”. This clarification </w:t>
      </w:r>
      <w:r w:rsidRPr="00B31851">
        <w:rPr>
          <w:rFonts w:cs="Arial"/>
          <w:i w:val="0"/>
          <w:iCs w:val="0"/>
        </w:rPr>
        <w:t>ensures that a broader range of serious risks to life and health</w:t>
      </w:r>
      <w:r w:rsidR="006F6204" w:rsidRPr="00B31851">
        <w:rPr>
          <w:rFonts w:cs="Arial"/>
          <w:i w:val="0"/>
          <w:iCs w:val="0"/>
        </w:rPr>
        <w:t xml:space="preserve"> </w:t>
      </w:r>
      <w:r w:rsidRPr="00B31851">
        <w:rPr>
          <w:rFonts w:cs="Arial"/>
          <w:i w:val="0"/>
          <w:iCs w:val="0"/>
        </w:rPr>
        <w:t>are captured and subject to regulatory oversight.</w:t>
      </w:r>
      <w:r w:rsidR="00155289" w:rsidRPr="00B31851">
        <w:rPr>
          <w:rFonts w:cs="Arial"/>
          <w:i w:val="0"/>
          <w:iCs w:val="0"/>
        </w:rPr>
        <w:t xml:space="preserve"> </w:t>
      </w:r>
      <w:r w:rsidRPr="00B31851">
        <w:rPr>
          <w:rFonts w:cs="Arial"/>
          <w:i w:val="0"/>
          <w:iCs w:val="0"/>
        </w:rPr>
        <w:t>The introduction of a mutual notification duty between PCBUs and those with management or control of a workplace further supports the right to life. By requiring immediate communication between duty holders upon becoming aware of a notifiable incident, the amendment facilitates faster responses, better coordination, and more effective risk mitigation. This is particularly important in complex workplaces where multiple parties may hold overlapping responsibilities.</w:t>
      </w:r>
    </w:p>
    <w:p w14:paraId="40690CD9" w14:textId="40161BA0" w:rsidR="00042B10" w:rsidRDefault="0074439B" w:rsidP="007F55B5">
      <w:pPr>
        <w:spacing w:before="240"/>
        <w:rPr>
          <w:rFonts w:cs="Arial"/>
          <w:i w:val="0"/>
          <w:iCs w:val="0"/>
        </w:rPr>
      </w:pPr>
      <w:r w:rsidRPr="00B31851">
        <w:rPr>
          <w:rFonts w:cs="Arial"/>
          <w:i w:val="0"/>
          <w:iCs w:val="0"/>
          <w:u w:val="single"/>
        </w:rPr>
        <w:t>WC Act amendments – R</w:t>
      </w:r>
      <w:r w:rsidR="0077348F">
        <w:rPr>
          <w:rFonts w:cs="Arial"/>
          <w:i w:val="0"/>
          <w:iCs w:val="0"/>
          <w:u w:val="single"/>
        </w:rPr>
        <w:t>ight to r</w:t>
      </w:r>
      <w:r w:rsidRPr="00B31851">
        <w:rPr>
          <w:rFonts w:cs="Arial"/>
          <w:i w:val="0"/>
          <w:iCs w:val="0"/>
          <w:u w:val="single"/>
        </w:rPr>
        <w:t xml:space="preserve">ecognition and equality before the law </w:t>
      </w:r>
      <w:r w:rsidR="00484CEF">
        <w:rPr>
          <w:rFonts w:cs="Arial"/>
          <w:i w:val="0"/>
          <w:iCs w:val="0"/>
          <w:u w:val="single"/>
        </w:rPr>
        <w:br/>
      </w:r>
      <w:r w:rsidR="009464AC" w:rsidRPr="00B31851">
        <w:rPr>
          <w:rFonts w:cs="Arial"/>
          <w:i w:val="0"/>
          <w:iCs w:val="0"/>
        </w:rPr>
        <w:t xml:space="preserve">This right is also </w:t>
      </w:r>
      <w:r w:rsidR="00B0543B" w:rsidRPr="00B31851">
        <w:rPr>
          <w:rFonts w:cs="Arial"/>
          <w:i w:val="0"/>
          <w:iCs w:val="0"/>
        </w:rPr>
        <w:t>promoted by</w:t>
      </w:r>
      <w:r w:rsidR="009464AC" w:rsidRPr="00B31851">
        <w:rPr>
          <w:rFonts w:cs="Arial"/>
          <w:i w:val="0"/>
          <w:iCs w:val="0"/>
        </w:rPr>
        <w:t xml:space="preserve"> the amendments to the WC Act relating to the recognition and extension of HIV/AIDS </w:t>
      </w:r>
      <w:r w:rsidR="005E7C50" w:rsidRPr="00B31851">
        <w:rPr>
          <w:rFonts w:cs="Arial"/>
          <w:i w:val="0"/>
          <w:iCs w:val="0"/>
        </w:rPr>
        <w:t>compens</w:t>
      </w:r>
      <w:r w:rsidR="00E32EFF">
        <w:rPr>
          <w:rFonts w:cs="Arial"/>
          <w:i w:val="0"/>
          <w:iCs w:val="0"/>
        </w:rPr>
        <w:t>ation</w:t>
      </w:r>
      <w:r w:rsidR="009464AC" w:rsidRPr="00B31851">
        <w:rPr>
          <w:rFonts w:cs="Arial"/>
          <w:i w:val="0"/>
          <w:iCs w:val="0"/>
        </w:rPr>
        <w:t>.</w:t>
      </w:r>
      <w:r w:rsidR="001F3D33" w:rsidRPr="00B31851">
        <w:rPr>
          <w:rFonts w:cs="Arial"/>
          <w:i w:val="0"/>
          <w:iCs w:val="0"/>
        </w:rPr>
        <w:t xml:space="preserve"> </w:t>
      </w:r>
      <w:r w:rsidR="0077348F">
        <w:rPr>
          <w:rFonts w:cs="Arial"/>
          <w:i w:val="0"/>
          <w:iCs w:val="0"/>
        </w:rPr>
        <w:t>As it is currently drafted, s</w:t>
      </w:r>
      <w:r w:rsidR="00A7661E" w:rsidRPr="00B31851">
        <w:rPr>
          <w:rFonts w:cs="Arial"/>
          <w:i w:val="0"/>
          <w:iCs w:val="0"/>
        </w:rPr>
        <w:t>ection 60</w:t>
      </w:r>
      <w:r w:rsidR="0077348F">
        <w:rPr>
          <w:rFonts w:cs="Arial"/>
          <w:i w:val="0"/>
          <w:iCs w:val="0"/>
        </w:rPr>
        <w:t xml:space="preserve"> of the WC Act</w:t>
      </w:r>
      <w:r w:rsidR="00A7661E" w:rsidRPr="00B31851">
        <w:rPr>
          <w:rFonts w:cs="Arial"/>
          <w:i w:val="0"/>
          <w:iCs w:val="0"/>
        </w:rPr>
        <w:t xml:space="preserve"> </w:t>
      </w:r>
      <w:r w:rsidR="00FC1E95" w:rsidRPr="00B31851">
        <w:rPr>
          <w:rFonts w:cs="Arial"/>
          <w:i w:val="0"/>
          <w:iCs w:val="0"/>
        </w:rPr>
        <w:t>carves out workers who contract HIV/AIDS</w:t>
      </w:r>
      <w:r w:rsidR="003524AD" w:rsidRPr="00B31851">
        <w:rPr>
          <w:rFonts w:cs="Arial"/>
          <w:i w:val="0"/>
          <w:iCs w:val="0"/>
        </w:rPr>
        <w:t xml:space="preserve"> through voluntary sexual activity or illicit drug use</w:t>
      </w:r>
      <w:r w:rsidR="0077348F">
        <w:rPr>
          <w:rFonts w:cs="Arial"/>
          <w:i w:val="0"/>
          <w:iCs w:val="0"/>
        </w:rPr>
        <w:t xml:space="preserve"> from </w:t>
      </w:r>
      <w:r w:rsidR="007B001B">
        <w:rPr>
          <w:rFonts w:cs="Arial"/>
          <w:i w:val="0"/>
          <w:iCs w:val="0"/>
        </w:rPr>
        <w:t xml:space="preserve">receiving </w:t>
      </w:r>
      <w:r w:rsidR="0077348F">
        <w:rPr>
          <w:rFonts w:cs="Arial"/>
          <w:i w:val="0"/>
          <w:iCs w:val="0"/>
        </w:rPr>
        <w:t>compensation under section</w:t>
      </w:r>
      <w:r w:rsidR="007B001B">
        <w:rPr>
          <w:rFonts w:cs="Arial"/>
          <w:i w:val="0"/>
          <w:iCs w:val="0"/>
        </w:rPr>
        <w:t> </w:t>
      </w:r>
      <w:r w:rsidR="0077348F">
        <w:rPr>
          <w:rFonts w:cs="Arial"/>
          <w:i w:val="0"/>
          <w:iCs w:val="0"/>
        </w:rPr>
        <w:t>51 of the WC Act</w:t>
      </w:r>
      <w:r w:rsidR="00523CD6" w:rsidRPr="00B31851">
        <w:rPr>
          <w:rFonts w:cs="Arial"/>
          <w:i w:val="0"/>
          <w:iCs w:val="0"/>
        </w:rPr>
        <w:t>.</w:t>
      </w:r>
      <w:r w:rsidR="00C93E21" w:rsidRPr="00B31851">
        <w:rPr>
          <w:rFonts w:cs="Arial"/>
          <w:i w:val="0"/>
          <w:iCs w:val="0"/>
        </w:rPr>
        <w:t xml:space="preserve"> Disability</w:t>
      </w:r>
      <w:r w:rsidR="00EC6EAF" w:rsidRPr="00B31851">
        <w:rPr>
          <w:rFonts w:cs="Arial"/>
          <w:i w:val="0"/>
          <w:iCs w:val="0"/>
        </w:rPr>
        <w:t xml:space="preserve">, </w:t>
      </w:r>
      <w:r w:rsidR="00210B02" w:rsidRPr="00B31851">
        <w:rPr>
          <w:rFonts w:cs="Arial"/>
          <w:i w:val="0"/>
          <w:iCs w:val="0"/>
        </w:rPr>
        <w:t xml:space="preserve">and </w:t>
      </w:r>
      <w:r w:rsidR="00162049" w:rsidRPr="00B31851">
        <w:rPr>
          <w:rFonts w:cs="Arial"/>
          <w:i w:val="0"/>
          <w:iCs w:val="0"/>
        </w:rPr>
        <w:t xml:space="preserve">choice of profession, trade, occupation and calling </w:t>
      </w:r>
      <w:r w:rsidR="00C93E21" w:rsidRPr="00B31851">
        <w:rPr>
          <w:rFonts w:cs="Arial"/>
          <w:i w:val="0"/>
          <w:iCs w:val="0"/>
        </w:rPr>
        <w:t xml:space="preserve">are </w:t>
      </w:r>
      <w:r w:rsidR="00EC6EAF" w:rsidRPr="00B31851">
        <w:rPr>
          <w:rFonts w:cs="Arial"/>
          <w:i w:val="0"/>
          <w:iCs w:val="0"/>
        </w:rPr>
        <w:t>protected</w:t>
      </w:r>
      <w:r w:rsidR="00C93E21" w:rsidRPr="00B31851">
        <w:rPr>
          <w:rFonts w:cs="Arial"/>
          <w:i w:val="0"/>
          <w:iCs w:val="0"/>
        </w:rPr>
        <w:t xml:space="preserve"> </w:t>
      </w:r>
      <w:r w:rsidR="00EC6EAF" w:rsidRPr="00B31851">
        <w:rPr>
          <w:rFonts w:cs="Arial"/>
          <w:i w:val="0"/>
          <w:iCs w:val="0"/>
        </w:rPr>
        <w:t>attributes</w:t>
      </w:r>
      <w:r w:rsidR="00C93E21" w:rsidRPr="00B31851">
        <w:rPr>
          <w:rFonts w:cs="Arial"/>
          <w:i w:val="0"/>
          <w:iCs w:val="0"/>
        </w:rPr>
        <w:t xml:space="preserve"> under the </w:t>
      </w:r>
      <w:r w:rsidR="00EC6EAF" w:rsidRPr="00042B10">
        <w:rPr>
          <w:rFonts w:cs="Arial"/>
        </w:rPr>
        <w:t>Discrimination</w:t>
      </w:r>
      <w:r w:rsidR="00C93E21" w:rsidRPr="00042B10">
        <w:rPr>
          <w:rFonts w:cs="Arial"/>
        </w:rPr>
        <w:t xml:space="preserve"> Act 1991</w:t>
      </w:r>
      <w:r w:rsidR="004E29DB" w:rsidRPr="00B31851">
        <w:rPr>
          <w:rFonts w:cs="Arial"/>
          <w:i w:val="0"/>
          <w:iCs w:val="0"/>
        </w:rPr>
        <w:t xml:space="preserve">. A person who has HIV/AIDS falls within the </w:t>
      </w:r>
      <w:r w:rsidR="00C63556" w:rsidRPr="00B31851">
        <w:rPr>
          <w:rFonts w:cs="Arial"/>
          <w:i w:val="0"/>
          <w:iCs w:val="0"/>
        </w:rPr>
        <w:t>definition</w:t>
      </w:r>
      <w:r w:rsidR="004E29DB" w:rsidRPr="00B31851">
        <w:rPr>
          <w:rFonts w:cs="Arial"/>
          <w:i w:val="0"/>
          <w:iCs w:val="0"/>
        </w:rPr>
        <w:t xml:space="preserve"> of disability under section 5AA</w:t>
      </w:r>
      <w:r w:rsidR="00EC6EAF" w:rsidRPr="00B31851">
        <w:rPr>
          <w:rFonts w:cs="Arial"/>
          <w:i w:val="0"/>
          <w:iCs w:val="0"/>
        </w:rPr>
        <w:t xml:space="preserve"> of the </w:t>
      </w:r>
      <w:r w:rsidR="00EC6EAF" w:rsidRPr="00042B10">
        <w:rPr>
          <w:rFonts w:cs="Arial"/>
        </w:rPr>
        <w:t>Discrimination Act 1991</w:t>
      </w:r>
      <w:r w:rsidR="0077348F">
        <w:rPr>
          <w:rFonts w:cs="Arial"/>
        </w:rPr>
        <w:t xml:space="preserve"> </w:t>
      </w:r>
      <w:r w:rsidR="00793F4D">
        <w:rPr>
          <w:rFonts w:cs="Arial"/>
          <w:i w:val="0"/>
          <w:iCs w:val="0"/>
        </w:rPr>
        <w:t>(</w:t>
      </w:r>
      <w:r w:rsidR="0077348F">
        <w:rPr>
          <w:rFonts w:cs="Arial"/>
          <w:i w:val="0"/>
          <w:iCs w:val="0"/>
        </w:rPr>
        <w:t>i.e. the presence in the body of organisms that cause or are capable of causing disease and illness</w:t>
      </w:r>
      <w:r w:rsidR="00793F4D">
        <w:rPr>
          <w:rFonts w:cs="Arial"/>
          <w:i w:val="0"/>
          <w:iCs w:val="0"/>
        </w:rPr>
        <w:t>)</w:t>
      </w:r>
      <w:r w:rsidR="00EC6EAF" w:rsidRPr="00042B10">
        <w:rPr>
          <w:rFonts w:cs="Arial"/>
        </w:rPr>
        <w:t xml:space="preserve">. </w:t>
      </w:r>
      <w:r w:rsidR="00EC6EAF" w:rsidRPr="00B31851">
        <w:rPr>
          <w:rFonts w:cs="Arial"/>
          <w:i w:val="0"/>
          <w:iCs w:val="0"/>
        </w:rPr>
        <w:t xml:space="preserve">Sex work </w:t>
      </w:r>
      <w:r w:rsidR="00373693" w:rsidRPr="00B31851">
        <w:rPr>
          <w:rFonts w:cs="Arial"/>
          <w:i w:val="0"/>
          <w:iCs w:val="0"/>
        </w:rPr>
        <w:t xml:space="preserve">falls within the </w:t>
      </w:r>
      <w:r w:rsidR="00C63556" w:rsidRPr="00B31851">
        <w:rPr>
          <w:rFonts w:cs="Arial"/>
          <w:i w:val="0"/>
          <w:iCs w:val="0"/>
        </w:rPr>
        <w:t>definition</w:t>
      </w:r>
      <w:r w:rsidR="00373693" w:rsidRPr="00B31851">
        <w:rPr>
          <w:rFonts w:cs="Arial"/>
          <w:i w:val="0"/>
          <w:iCs w:val="0"/>
        </w:rPr>
        <w:t xml:space="preserve"> of profession</w:t>
      </w:r>
      <w:r w:rsidR="0077348F">
        <w:rPr>
          <w:rFonts w:cs="Arial"/>
          <w:i w:val="0"/>
          <w:iCs w:val="0"/>
        </w:rPr>
        <w:t>,</w:t>
      </w:r>
      <w:r w:rsidR="00373693" w:rsidRPr="00B31851">
        <w:rPr>
          <w:rFonts w:cs="Arial"/>
          <w:i w:val="0"/>
          <w:iCs w:val="0"/>
        </w:rPr>
        <w:t xml:space="preserve"> trade</w:t>
      </w:r>
      <w:r w:rsidR="0077348F">
        <w:rPr>
          <w:rFonts w:cs="Arial"/>
          <w:i w:val="0"/>
          <w:iCs w:val="0"/>
        </w:rPr>
        <w:t>,</w:t>
      </w:r>
      <w:r w:rsidR="00373693" w:rsidRPr="00B31851">
        <w:rPr>
          <w:rFonts w:cs="Arial"/>
          <w:i w:val="0"/>
          <w:iCs w:val="0"/>
        </w:rPr>
        <w:t xml:space="preserve"> occupation and calling</w:t>
      </w:r>
      <w:r w:rsidR="001A5DCB" w:rsidRPr="00B31851">
        <w:rPr>
          <w:rFonts w:cs="Arial"/>
          <w:i w:val="0"/>
          <w:iCs w:val="0"/>
        </w:rPr>
        <w:t xml:space="preserve">. </w:t>
      </w:r>
      <w:r w:rsidR="00A7661E" w:rsidRPr="00B31851">
        <w:rPr>
          <w:rFonts w:cs="Arial"/>
          <w:i w:val="0"/>
          <w:iCs w:val="0"/>
        </w:rPr>
        <w:t xml:space="preserve">The removal of </w:t>
      </w:r>
      <w:r w:rsidR="002409E1" w:rsidRPr="00B31851">
        <w:rPr>
          <w:rFonts w:cs="Arial"/>
          <w:i w:val="0"/>
          <w:iCs w:val="0"/>
        </w:rPr>
        <w:t xml:space="preserve">section 60 </w:t>
      </w:r>
      <w:r w:rsidR="0077348F">
        <w:rPr>
          <w:rFonts w:cs="Arial"/>
          <w:i w:val="0"/>
          <w:iCs w:val="0"/>
        </w:rPr>
        <w:t>ensures that workers’ compensation legislation aligns with</w:t>
      </w:r>
      <w:r w:rsidR="0077348F" w:rsidRPr="00B31851">
        <w:rPr>
          <w:rFonts w:cs="Arial"/>
          <w:i w:val="0"/>
          <w:iCs w:val="0"/>
        </w:rPr>
        <w:t xml:space="preserve"> </w:t>
      </w:r>
      <w:r w:rsidR="0048784C" w:rsidRPr="00B31851">
        <w:rPr>
          <w:rFonts w:cs="Arial"/>
          <w:i w:val="0"/>
          <w:iCs w:val="0"/>
        </w:rPr>
        <w:t>the</w:t>
      </w:r>
      <w:r w:rsidR="0077348F">
        <w:rPr>
          <w:rFonts w:cs="Arial"/>
          <w:i w:val="0"/>
          <w:iCs w:val="0"/>
        </w:rPr>
        <w:t xml:space="preserve"> protections in the</w:t>
      </w:r>
      <w:r w:rsidR="0048784C" w:rsidRPr="00B31851">
        <w:rPr>
          <w:rFonts w:cs="Arial"/>
          <w:i w:val="0"/>
          <w:iCs w:val="0"/>
        </w:rPr>
        <w:t xml:space="preserve"> </w:t>
      </w:r>
      <w:r w:rsidR="0048784C" w:rsidRPr="00042B10">
        <w:rPr>
          <w:rFonts w:cs="Arial"/>
        </w:rPr>
        <w:t>Discrimination Act 1991</w:t>
      </w:r>
      <w:r w:rsidR="0077348F">
        <w:rPr>
          <w:rFonts w:cs="Arial"/>
          <w:i w:val="0"/>
          <w:iCs w:val="0"/>
        </w:rPr>
        <w:t xml:space="preserve"> by ensuring that people are not treated unfavourably based on either the type of disease they have (HIV/AIDS) or their job (sex work)</w:t>
      </w:r>
      <w:r w:rsidR="0048784C" w:rsidRPr="00B31851">
        <w:rPr>
          <w:rFonts w:cs="Arial"/>
          <w:i w:val="0"/>
          <w:iCs w:val="0"/>
        </w:rPr>
        <w:t>.</w:t>
      </w:r>
      <w:r w:rsidR="00A7661E" w:rsidRPr="00B31851">
        <w:rPr>
          <w:rFonts w:cs="Arial"/>
          <w:i w:val="0"/>
          <w:iCs w:val="0"/>
        </w:rPr>
        <w:t xml:space="preserve"> </w:t>
      </w:r>
    </w:p>
    <w:p w14:paraId="16F56082" w14:textId="45E701E9" w:rsidR="00D35B8E" w:rsidRPr="00484CEF" w:rsidRDefault="0077348F" w:rsidP="007F55B5">
      <w:pPr>
        <w:spacing w:before="240"/>
        <w:rPr>
          <w:rFonts w:cs="Arial"/>
          <w:i w:val="0"/>
          <w:iCs w:val="0"/>
          <w:u w:val="single"/>
        </w:rPr>
      </w:pPr>
      <w:r>
        <w:rPr>
          <w:rFonts w:cs="Arial"/>
          <w:i w:val="0"/>
          <w:iCs w:val="0"/>
        </w:rPr>
        <w:t>This amendment</w:t>
      </w:r>
      <w:r w:rsidR="001B20A7" w:rsidRPr="00B31851">
        <w:rPr>
          <w:rFonts w:cs="Arial"/>
          <w:i w:val="0"/>
          <w:iCs w:val="0"/>
        </w:rPr>
        <w:t xml:space="preserve"> is </w:t>
      </w:r>
      <w:r w:rsidR="00B67FA0" w:rsidRPr="00B31851">
        <w:rPr>
          <w:rFonts w:cs="Arial"/>
          <w:i w:val="0"/>
          <w:iCs w:val="0"/>
        </w:rPr>
        <w:t>reflect</w:t>
      </w:r>
      <w:r w:rsidR="001B20A7" w:rsidRPr="00B31851">
        <w:rPr>
          <w:rFonts w:cs="Arial"/>
          <w:i w:val="0"/>
          <w:iCs w:val="0"/>
        </w:rPr>
        <w:t>ive of</w:t>
      </w:r>
      <w:r w:rsidR="00A7661E" w:rsidRPr="00B31851">
        <w:rPr>
          <w:rFonts w:cs="Arial"/>
          <w:i w:val="0"/>
          <w:iCs w:val="0"/>
        </w:rPr>
        <w:t xml:space="preserve"> a shift toward non-discriminatory treatment of all medical conditions </w:t>
      </w:r>
      <w:r w:rsidR="001B20A7" w:rsidRPr="00B31851">
        <w:rPr>
          <w:rFonts w:cs="Arial"/>
          <w:i w:val="0"/>
          <w:iCs w:val="0"/>
        </w:rPr>
        <w:t>or injuries</w:t>
      </w:r>
      <w:r>
        <w:rPr>
          <w:rFonts w:cs="Arial"/>
          <w:i w:val="0"/>
          <w:iCs w:val="0"/>
        </w:rPr>
        <w:t xml:space="preserve"> under the WC Act</w:t>
      </w:r>
      <w:r w:rsidR="00A7661E" w:rsidRPr="00B31851">
        <w:rPr>
          <w:rFonts w:cs="Arial"/>
          <w:i w:val="0"/>
          <w:iCs w:val="0"/>
        </w:rPr>
        <w:t xml:space="preserve">. </w:t>
      </w:r>
      <w:r w:rsidR="00C63556" w:rsidRPr="00B31851">
        <w:rPr>
          <w:rFonts w:cs="Arial"/>
          <w:i w:val="0"/>
          <w:iCs w:val="0"/>
        </w:rPr>
        <w:t xml:space="preserve">The </w:t>
      </w:r>
      <w:r w:rsidR="002F2BB1" w:rsidRPr="00B31851">
        <w:rPr>
          <w:rFonts w:cs="Arial"/>
          <w:i w:val="0"/>
          <w:iCs w:val="0"/>
        </w:rPr>
        <w:t xml:space="preserve">WC </w:t>
      </w:r>
      <w:r w:rsidR="00A7661E" w:rsidRPr="00B31851">
        <w:rPr>
          <w:rFonts w:cs="Arial"/>
          <w:i w:val="0"/>
          <w:iCs w:val="0"/>
        </w:rPr>
        <w:t xml:space="preserve">Act </w:t>
      </w:r>
      <w:r w:rsidR="002F2BB1" w:rsidRPr="00B31851">
        <w:rPr>
          <w:rFonts w:cs="Arial"/>
          <w:i w:val="0"/>
          <w:iCs w:val="0"/>
        </w:rPr>
        <w:t xml:space="preserve">will </w:t>
      </w:r>
      <w:r w:rsidR="00A7661E" w:rsidRPr="00B31851">
        <w:rPr>
          <w:rFonts w:cs="Arial"/>
          <w:i w:val="0"/>
          <w:iCs w:val="0"/>
        </w:rPr>
        <w:t>treat</w:t>
      </w:r>
      <w:r w:rsidR="00C63556" w:rsidRPr="00B31851">
        <w:rPr>
          <w:rFonts w:cs="Arial"/>
          <w:i w:val="0"/>
          <w:iCs w:val="0"/>
        </w:rPr>
        <w:t xml:space="preserve"> those who contract HIV/AID</w:t>
      </w:r>
      <w:r w:rsidR="004659A0">
        <w:rPr>
          <w:rFonts w:cs="Arial"/>
          <w:i w:val="0"/>
          <w:iCs w:val="0"/>
        </w:rPr>
        <w:t>S</w:t>
      </w:r>
      <w:r w:rsidR="00C63556" w:rsidRPr="00B31851">
        <w:rPr>
          <w:rFonts w:cs="Arial"/>
          <w:i w:val="0"/>
          <w:iCs w:val="0"/>
        </w:rPr>
        <w:t xml:space="preserve"> through work</w:t>
      </w:r>
      <w:r w:rsidR="000C1772" w:rsidRPr="00B31851">
        <w:rPr>
          <w:rFonts w:cs="Arial"/>
          <w:i w:val="0"/>
          <w:iCs w:val="0"/>
        </w:rPr>
        <w:t xml:space="preserve"> </w:t>
      </w:r>
      <w:r w:rsidR="00A7661E" w:rsidRPr="00B31851">
        <w:rPr>
          <w:rFonts w:cs="Arial"/>
          <w:i w:val="0"/>
          <w:iCs w:val="0"/>
        </w:rPr>
        <w:t>under a unified framework, promoting equality before the law and reducing stigma. This amendment further promotes th</w:t>
      </w:r>
      <w:r w:rsidR="000464E4">
        <w:rPr>
          <w:rFonts w:cs="Arial"/>
          <w:i w:val="0"/>
          <w:iCs w:val="0"/>
        </w:rPr>
        <w:t>is</w:t>
      </w:r>
      <w:r w:rsidR="00A7661E" w:rsidRPr="00B31851">
        <w:rPr>
          <w:rFonts w:cs="Arial"/>
          <w:i w:val="0"/>
          <w:iCs w:val="0"/>
        </w:rPr>
        <w:t xml:space="preserve"> right by ensuring fair access to compensation for affected worker</w:t>
      </w:r>
      <w:r w:rsidR="000464E4">
        <w:rPr>
          <w:rFonts w:cs="Arial"/>
          <w:i w:val="0"/>
          <w:iCs w:val="0"/>
        </w:rPr>
        <w:t>s</w:t>
      </w:r>
      <w:r w:rsidR="00A7661E" w:rsidRPr="00B31851">
        <w:rPr>
          <w:rFonts w:cs="Arial"/>
          <w:i w:val="0"/>
          <w:iCs w:val="0"/>
        </w:rPr>
        <w:t xml:space="preserve"> and assists in streamlining the claims process through adjusting the evidentiary requirements for such injury.</w:t>
      </w:r>
      <w:r w:rsidR="009464AC" w:rsidRPr="00B31851">
        <w:rPr>
          <w:rFonts w:cs="Arial"/>
          <w:i w:val="0"/>
          <w:iCs w:val="0"/>
        </w:rPr>
        <w:t xml:space="preserve"> </w:t>
      </w:r>
    </w:p>
    <w:p w14:paraId="724771EE" w14:textId="0025C3A4" w:rsidR="00793F4D" w:rsidRDefault="0074439B" w:rsidP="00FA242F">
      <w:pPr>
        <w:spacing w:before="240"/>
        <w:rPr>
          <w:rFonts w:cs="Arial"/>
          <w:i w:val="0"/>
          <w:iCs w:val="0"/>
        </w:rPr>
      </w:pPr>
      <w:r w:rsidRPr="00B31851">
        <w:rPr>
          <w:rFonts w:cs="Arial"/>
          <w:i w:val="0"/>
          <w:iCs w:val="0"/>
          <w:u w:val="single"/>
        </w:rPr>
        <w:t xml:space="preserve">WC Act amendments – </w:t>
      </w:r>
      <w:r w:rsidR="00D35B8E" w:rsidRPr="00B31851" w:rsidDel="00A7661E">
        <w:rPr>
          <w:rFonts w:cs="Arial"/>
          <w:i w:val="0"/>
          <w:iCs w:val="0"/>
          <w:u w:val="single"/>
        </w:rPr>
        <w:t xml:space="preserve">Right to </w:t>
      </w:r>
      <w:r w:rsidR="00A7661E" w:rsidRPr="00B31851">
        <w:rPr>
          <w:rFonts w:cs="Arial"/>
          <w:i w:val="0"/>
          <w:iCs w:val="0"/>
          <w:u w:val="single"/>
        </w:rPr>
        <w:t>protection of the family and children</w:t>
      </w:r>
      <w:r w:rsidR="00AE4DB2">
        <w:rPr>
          <w:rFonts w:cs="Arial"/>
          <w:i w:val="0"/>
          <w:iCs w:val="0"/>
          <w:u w:val="single"/>
        </w:rPr>
        <w:t xml:space="preserve"> </w:t>
      </w:r>
      <w:r w:rsidR="00DF0344">
        <w:rPr>
          <w:rFonts w:cs="Arial"/>
          <w:i w:val="0"/>
          <w:iCs w:val="0"/>
          <w:u w:val="single"/>
        </w:rPr>
        <w:br/>
      </w:r>
      <w:r w:rsidR="00793F4D">
        <w:rPr>
          <w:rFonts w:cs="Arial"/>
          <w:i w:val="0"/>
          <w:iCs w:val="0"/>
        </w:rPr>
        <w:t xml:space="preserve">The right to protection of the family recognises the importance of the family unit in making up society and the benefits that come from preserving family relations. Children have special rights under human rights law </w:t>
      </w:r>
      <w:r w:rsidR="00C91D8D">
        <w:rPr>
          <w:rFonts w:cs="Arial"/>
          <w:i w:val="0"/>
          <w:iCs w:val="0"/>
        </w:rPr>
        <w:t>considering</w:t>
      </w:r>
      <w:r w:rsidR="00793F4D">
        <w:rPr>
          <w:rFonts w:cs="Arial"/>
          <w:i w:val="0"/>
          <w:iCs w:val="0"/>
        </w:rPr>
        <w:t xml:space="preserve"> their </w:t>
      </w:r>
      <w:r w:rsidR="000D4528">
        <w:rPr>
          <w:rFonts w:cs="Arial"/>
          <w:i w:val="0"/>
          <w:iCs w:val="0"/>
        </w:rPr>
        <w:t>vulnerabilities</w:t>
      </w:r>
      <w:r w:rsidR="00793F4D">
        <w:rPr>
          <w:rFonts w:cs="Arial"/>
          <w:i w:val="0"/>
          <w:iCs w:val="0"/>
        </w:rPr>
        <w:t xml:space="preserve">. </w:t>
      </w:r>
    </w:p>
    <w:p w14:paraId="52232E04" w14:textId="38F7BAD7" w:rsidR="00FA242F" w:rsidRPr="00DF0344" w:rsidRDefault="00B323DE" w:rsidP="00FA242F">
      <w:pPr>
        <w:spacing w:before="240"/>
        <w:rPr>
          <w:rFonts w:cs="Arial"/>
          <w:i w:val="0"/>
          <w:iCs w:val="0"/>
          <w:u w:val="single"/>
        </w:rPr>
      </w:pPr>
      <w:r w:rsidRPr="00B31851">
        <w:rPr>
          <w:rFonts w:cs="Arial"/>
          <w:i w:val="0"/>
          <w:iCs w:val="0"/>
        </w:rPr>
        <w:t>The</w:t>
      </w:r>
      <w:r w:rsidR="00FA242F" w:rsidRPr="00B31851">
        <w:rPr>
          <w:rFonts w:cs="Arial"/>
          <w:i w:val="0"/>
          <w:iCs w:val="0"/>
        </w:rPr>
        <w:t xml:space="preserve"> amendment </w:t>
      </w:r>
      <w:r w:rsidR="00476AE5" w:rsidRPr="00B31851">
        <w:rPr>
          <w:rFonts w:cs="Arial"/>
          <w:i w:val="0"/>
          <w:iCs w:val="0"/>
        </w:rPr>
        <w:t>recognise</w:t>
      </w:r>
      <w:r w:rsidRPr="00B31851">
        <w:rPr>
          <w:rFonts w:cs="Arial"/>
          <w:i w:val="0"/>
          <w:iCs w:val="0"/>
        </w:rPr>
        <w:t>s</w:t>
      </w:r>
      <w:r w:rsidR="00FA242F" w:rsidRPr="00B31851">
        <w:rPr>
          <w:rFonts w:cs="Arial"/>
          <w:i w:val="0"/>
          <w:iCs w:val="0"/>
        </w:rPr>
        <w:t xml:space="preserve"> the emotional and financial stress that arise</w:t>
      </w:r>
      <w:r w:rsidRPr="00B31851">
        <w:rPr>
          <w:rFonts w:cs="Arial"/>
          <w:i w:val="0"/>
          <w:iCs w:val="0"/>
        </w:rPr>
        <w:t>s</w:t>
      </w:r>
      <w:r w:rsidR="00FA242F" w:rsidRPr="00B31851">
        <w:rPr>
          <w:rFonts w:cs="Arial"/>
          <w:i w:val="0"/>
          <w:iCs w:val="0"/>
        </w:rPr>
        <w:t xml:space="preserve"> in the aftermath of a workplace fatality</w:t>
      </w:r>
      <w:r w:rsidRPr="00B31851">
        <w:rPr>
          <w:rFonts w:cs="Arial"/>
          <w:i w:val="0"/>
          <w:iCs w:val="0"/>
        </w:rPr>
        <w:t xml:space="preserve"> and </w:t>
      </w:r>
      <w:r w:rsidR="00FA242F" w:rsidRPr="00B31851">
        <w:rPr>
          <w:rFonts w:cs="Arial"/>
          <w:i w:val="0"/>
          <w:iCs w:val="0"/>
        </w:rPr>
        <w:t xml:space="preserve">the importance of family stability </w:t>
      </w:r>
      <w:r w:rsidRPr="00B31851">
        <w:rPr>
          <w:rFonts w:cs="Arial"/>
          <w:i w:val="0"/>
          <w:iCs w:val="0"/>
        </w:rPr>
        <w:t>by</w:t>
      </w:r>
      <w:r w:rsidR="00023DE7">
        <w:rPr>
          <w:rFonts w:cs="Arial"/>
          <w:i w:val="0"/>
          <w:iCs w:val="0"/>
        </w:rPr>
        <w:t xml:space="preserve"> directing</w:t>
      </w:r>
      <w:r w:rsidR="00FA242F" w:rsidRPr="00B31851">
        <w:rPr>
          <w:rFonts w:cs="Arial"/>
          <w:i w:val="0"/>
          <w:iCs w:val="0"/>
        </w:rPr>
        <w:t xml:space="preserve"> </w:t>
      </w:r>
      <w:r w:rsidR="00F60E04">
        <w:rPr>
          <w:rFonts w:cs="Arial"/>
          <w:i w:val="0"/>
          <w:iCs w:val="0"/>
        </w:rPr>
        <w:lastRenderedPageBreak/>
        <w:t xml:space="preserve">immediate </w:t>
      </w:r>
      <w:r w:rsidR="00023DE7">
        <w:rPr>
          <w:rFonts w:cs="Arial"/>
          <w:i w:val="0"/>
          <w:iCs w:val="0"/>
        </w:rPr>
        <w:t xml:space="preserve">support to close </w:t>
      </w:r>
      <w:r w:rsidR="00F60E04">
        <w:rPr>
          <w:rFonts w:cs="Arial"/>
          <w:i w:val="0"/>
          <w:iCs w:val="0"/>
        </w:rPr>
        <w:t xml:space="preserve">family </w:t>
      </w:r>
      <w:r w:rsidR="00FA242F" w:rsidRPr="00B31851">
        <w:rPr>
          <w:rFonts w:cs="Arial"/>
          <w:i w:val="0"/>
          <w:iCs w:val="0"/>
        </w:rPr>
        <w:t>dependents, particularly children</w:t>
      </w:r>
      <w:r w:rsidR="001B6B99" w:rsidRPr="00B31851">
        <w:rPr>
          <w:rFonts w:cs="Arial"/>
          <w:i w:val="0"/>
          <w:iCs w:val="0"/>
        </w:rPr>
        <w:t xml:space="preserve">, </w:t>
      </w:r>
      <w:r w:rsidR="00FA242F" w:rsidRPr="00B31851">
        <w:rPr>
          <w:rFonts w:cs="Arial"/>
          <w:i w:val="0"/>
          <w:iCs w:val="0"/>
        </w:rPr>
        <w:t xml:space="preserve">who may be left vulnerable due to the loss of a </w:t>
      </w:r>
      <w:r w:rsidRPr="00B31851">
        <w:rPr>
          <w:rFonts w:cs="Arial"/>
          <w:i w:val="0"/>
          <w:iCs w:val="0"/>
        </w:rPr>
        <w:t>household member.</w:t>
      </w:r>
    </w:p>
    <w:p w14:paraId="2EFC469B" w14:textId="1F2D7AE2" w:rsidR="00522A82" w:rsidRPr="00522A82" w:rsidRDefault="00FA242F" w:rsidP="00522A82">
      <w:pPr>
        <w:spacing w:before="240"/>
        <w:rPr>
          <w:rFonts w:cs="Arial"/>
          <w:i w:val="0"/>
          <w:iCs w:val="0"/>
        </w:rPr>
      </w:pPr>
      <w:r w:rsidRPr="00B31851">
        <w:rPr>
          <w:rFonts w:cs="Arial"/>
          <w:i w:val="0"/>
          <w:iCs w:val="0"/>
        </w:rPr>
        <w:t>This change promotes the right to protection of family and children by ensuring that affected families receive timely support, enabling them to focus on grieving and recovery without the added burden of financial insecurity. It reflects a humane and rights-based approach to workplace regulation, consistent with the ACT</w:t>
      </w:r>
      <w:r w:rsidR="0077348F">
        <w:rPr>
          <w:rFonts w:cs="Arial"/>
          <w:i w:val="0"/>
          <w:iCs w:val="0"/>
        </w:rPr>
        <w:t xml:space="preserve"> Government</w:t>
      </w:r>
      <w:r w:rsidRPr="00B31851">
        <w:rPr>
          <w:rFonts w:cs="Arial"/>
          <w:i w:val="0"/>
          <w:iCs w:val="0"/>
        </w:rPr>
        <w:t xml:space="preserve">’s </w:t>
      </w:r>
      <w:r w:rsidR="0077348F">
        <w:rPr>
          <w:rFonts w:cs="Arial"/>
          <w:i w:val="0"/>
          <w:iCs w:val="0"/>
        </w:rPr>
        <w:t xml:space="preserve">obligations under the </w:t>
      </w:r>
      <w:r w:rsidR="00E33B06">
        <w:rPr>
          <w:rFonts w:cs="Arial"/>
          <w:i w:val="0"/>
          <w:iCs w:val="0"/>
        </w:rPr>
        <w:t>HR Act</w:t>
      </w:r>
      <w:r w:rsidR="0077348F">
        <w:rPr>
          <w:rFonts w:cs="Arial"/>
          <w:i w:val="0"/>
          <w:iCs w:val="0"/>
        </w:rPr>
        <w:t>.</w:t>
      </w:r>
    </w:p>
    <w:p w14:paraId="1364E4AB" w14:textId="4284B391" w:rsidR="006A29D4" w:rsidRPr="00B31851" w:rsidRDefault="0074439B" w:rsidP="002509E4">
      <w:pPr>
        <w:rPr>
          <w:rFonts w:cs="Arial"/>
          <w:i w:val="0"/>
          <w:iCs w:val="0"/>
          <w:u w:val="single"/>
        </w:rPr>
      </w:pPr>
      <w:r w:rsidRPr="00B31851">
        <w:rPr>
          <w:rFonts w:cs="Arial"/>
          <w:i w:val="0"/>
          <w:iCs w:val="0"/>
          <w:u w:val="single"/>
        </w:rPr>
        <w:t xml:space="preserve">WC Act amendments – </w:t>
      </w:r>
      <w:r w:rsidR="00367C33" w:rsidRPr="00B31851">
        <w:rPr>
          <w:rFonts w:cs="Arial"/>
          <w:i w:val="0"/>
          <w:iCs w:val="0"/>
          <w:u w:val="single"/>
        </w:rPr>
        <w:t>Right to work</w:t>
      </w:r>
      <w:r w:rsidR="001778B1" w:rsidRPr="00B31851">
        <w:rPr>
          <w:rFonts w:cs="Arial"/>
          <w:i w:val="0"/>
          <w:iCs w:val="0"/>
          <w:u w:val="single"/>
        </w:rPr>
        <w:t xml:space="preserve"> and other work-related rights</w:t>
      </w:r>
    </w:p>
    <w:p w14:paraId="54F65243" w14:textId="203872F2" w:rsidR="00242B1B" w:rsidRPr="00B31851" w:rsidRDefault="00790537" w:rsidP="002509E4">
      <w:pPr>
        <w:rPr>
          <w:rFonts w:cs="Arial"/>
          <w:i w:val="0"/>
          <w:iCs w:val="0"/>
        </w:rPr>
      </w:pPr>
      <w:r w:rsidRPr="00B31851">
        <w:rPr>
          <w:rFonts w:cs="Arial"/>
          <w:i w:val="0"/>
          <w:iCs w:val="0"/>
        </w:rPr>
        <w:t xml:space="preserve">Removing the </w:t>
      </w:r>
      <w:r w:rsidR="005D6839" w:rsidRPr="00B31851">
        <w:rPr>
          <w:rFonts w:cs="Arial"/>
          <w:i w:val="0"/>
          <w:iCs w:val="0"/>
        </w:rPr>
        <w:t xml:space="preserve">carve out </w:t>
      </w:r>
      <w:r w:rsidR="00BE7C54">
        <w:rPr>
          <w:rFonts w:cs="Arial"/>
          <w:i w:val="0"/>
          <w:iCs w:val="0"/>
        </w:rPr>
        <w:t>which excludes claimants</w:t>
      </w:r>
      <w:r w:rsidR="00BE7C54" w:rsidRPr="00B31851">
        <w:rPr>
          <w:rFonts w:cs="Arial"/>
          <w:i w:val="0"/>
          <w:iCs w:val="0"/>
        </w:rPr>
        <w:t xml:space="preserve"> </w:t>
      </w:r>
      <w:r w:rsidR="00BE7C54">
        <w:rPr>
          <w:rFonts w:cs="Arial"/>
          <w:i w:val="0"/>
          <w:iCs w:val="0"/>
        </w:rPr>
        <w:t>who contract</w:t>
      </w:r>
      <w:r w:rsidR="0018503B" w:rsidRPr="00B31851">
        <w:rPr>
          <w:rFonts w:cs="Arial"/>
          <w:i w:val="0"/>
          <w:iCs w:val="0"/>
        </w:rPr>
        <w:t xml:space="preserve"> HIV/AIDS </w:t>
      </w:r>
      <w:r w:rsidR="00BE7C54">
        <w:rPr>
          <w:rFonts w:cs="Arial"/>
          <w:i w:val="0"/>
          <w:iCs w:val="0"/>
        </w:rPr>
        <w:t xml:space="preserve">from accessing workers’ compensation </w:t>
      </w:r>
      <w:r w:rsidR="007A5AC8" w:rsidRPr="00B31851">
        <w:rPr>
          <w:rFonts w:cs="Arial"/>
          <w:i w:val="0"/>
          <w:iCs w:val="0"/>
        </w:rPr>
        <w:t>promote</w:t>
      </w:r>
      <w:r w:rsidR="009B3BCE" w:rsidRPr="00B31851">
        <w:rPr>
          <w:rFonts w:cs="Arial"/>
          <w:i w:val="0"/>
          <w:iCs w:val="0"/>
        </w:rPr>
        <w:t>s</w:t>
      </w:r>
      <w:r w:rsidR="007A5AC8" w:rsidRPr="00B31851">
        <w:rPr>
          <w:rFonts w:cs="Arial"/>
          <w:i w:val="0"/>
          <w:iCs w:val="0"/>
        </w:rPr>
        <w:t xml:space="preserve"> the right to work by </w:t>
      </w:r>
      <w:r w:rsidR="00713027" w:rsidRPr="00B31851">
        <w:rPr>
          <w:rFonts w:cs="Arial"/>
          <w:i w:val="0"/>
          <w:iCs w:val="0"/>
        </w:rPr>
        <w:t xml:space="preserve">providing parity to those who </w:t>
      </w:r>
      <w:r w:rsidR="00694FE1" w:rsidRPr="00B31851">
        <w:rPr>
          <w:rFonts w:cs="Arial"/>
          <w:i w:val="0"/>
          <w:iCs w:val="0"/>
        </w:rPr>
        <w:t xml:space="preserve">may contract the disease </w:t>
      </w:r>
      <w:r w:rsidR="008F3DC6" w:rsidRPr="00B31851">
        <w:rPr>
          <w:rFonts w:cs="Arial"/>
          <w:i w:val="0"/>
          <w:iCs w:val="0"/>
        </w:rPr>
        <w:t xml:space="preserve">through </w:t>
      </w:r>
      <w:r w:rsidR="00042B10">
        <w:rPr>
          <w:rFonts w:cs="Arial"/>
          <w:i w:val="0"/>
          <w:iCs w:val="0"/>
        </w:rPr>
        <w:t>“</w:t>
      </w:r>
      <w:r w:rsidR="008F3DC6" w:rsidRPr="00B31851">
        <w:rPr>
          <w:rFonts w:cs="Arial"/>
          <w:i w:val="0"/>
          <w:iCs w:val="0"/>
        </w:rPr>
        <w:t>voluntary sexual activity</w:t>
      </w:r>
      <w:r w:rsidR="00042B10">
        <w:rPr>
          <w:rFonts w:cs="Arial"/>
          <w:i w:val="0"/>
          <w:iCs w:val="0"/>
        </w:rPr>
        <w:t>”</w:t>
      </w:r>
      <w:r w:rsidR="008F3DC6" w:rsidRPr="00B31851">
        <w:rPr>
          <w:rFonts w:cs="Arial"/>
          <w:i w:val="0"/>
          <w:iCs w:val="0"/>
        </w:rPr>
        <w:t xml:space="preserve"> or </w:t>
      </w:r>
      <w:r w:rsidR="00042B10">
        <w:rPr>
          <w:rFonts w:cs="Arial"/>
          <w:i w:val="0"/>
          <w:iCs w:val="0"/>
        </w:rPr>
        <w:t>“</w:t>
      </w:r>
      <w:r w:rsidR="008F3DC6" w:rsidRPr="00B31851">
        <w:rPr>
          <w:rFonts w:cs="Arial"/>
          <w:i w:val="0"/>
          <w:iCs w:val="0"/>
        </w:rPr>
        <w:t>illicit drug use</w:t>
      </w:r>
      <w:r w:rsidR="00042B10">
        <w:rPr>
          <w:rFonts w:cs="Arial"/>
          <w:i w:val="0"/>
          <w:iCs w:val="0"/>
        </w:rPr>
        <w:t>”</w:t>
      </w:r>
      <w:r w:rsidR="007A5AC8" w:rsidRPr="00B31851">
        <w:rPr>
          <w:rFonts w:cs="Arial"/>
          <w:i w:val="0"/>
          <w:iCs w:val="0"/>
        </w:rPr>
        <w:t xml:space="preserve">. </w:t>
      </w:r>
      <w:r w:rsidR="009E5A2F" w:rsidRPr="00B31851">
        <w:rPr>
          <w:rFonts w:cs="Arial"/>
          <w:i w:val="0"/>
          <w:iCs w:val="0"/>
        </w:rPr>
        <w:t>Section 27B</w:t>
      </w:r>
      <w:r w:rsidR="005B448D" w:rsidRPr="00B31851">
        <w:rPr>
          <w:rFonts w:cs="Arial"/>
          <w:i w:val="0"/>
          <w:iCs w:val="0"/>
        </w:rPr>
        <w:t xml:space="preserve"> </w:t>
      </w:r>
      <w:r w:rsidR="009E5A2F" w:rsidRPr="00B31851">
        <w:rPr>
          <w:rFonts w:cs="Arial"/>
          <w:i w:val="0"/>
          <w:iCs w:val="0"/>
        </w:rPr>
        <w:t>(2) and (5) of the HR Act</w:t>
      </w:r>
      <w:r w:rsidR="00DB02BD" w:rsidRPr="00B31851">
        <w:rPr>
          <w:rFonts w:cs="Arial"/>
          <w:i w:val="0"/>
          <w:iCs w:val="0"/>
        </w:rPr>
        <w:t xml:space="preserve"> provides that </w:t>
      </w:r>
      <w:r w:rsidR="001A58FE" w:rsidRPr="00B31851">
        <w:rPr>
          <w:rFonts w:cs="Arial"/>
          <w:i w:val="0"/>
          <w:iCs w:val="0"/>
        </w:rPr>
        <w:t>everyone</w:t>
      </w:r>
      <w:r w:rsidR="00DB02BD" w:rsidRPr="00B31851">
        <w:rPr>
          <w:rFonts w:cs="Arial"/>
          <w:i w:val="0"/>
          <w:iCs w:val="0"/>
        </w:rPr>
        <w:t xml:space="preserve"> has th</w:t>
      </w:r>
      <w:r w:rsidR="001A58FE" w:rsidRPr="00B31851">
        <w:rPr>
          <w:rFonts w:cs="Arial"/>
          <w:i w:val="0"/>
          <w:iCs w:val="0"/>
        </w:rPr>
        <w:t>e</w:t>
      </w:r>
      <w:r w:rsidR="00DB02BD" w:rsidRPr="00B31851">
        <w:rPr>
          <w:rFonts w:cs="Arial"/>
          <w:i w:val="0"/>
          <w:iCs w:val="0"/>
        </w:rPr>
        <w:t xml:space="preserve"> right to just and </w:t>
      </w:r>
      <w:r w:rsidR="001A58FE" w:rsidRPr="00B31851">
        <w:rPr>
          <w:rFonts w:cs="Arial"/>
          <w:i w:val="0"/>
          <w:iCs w:val="0"/>
        </w:rPr>
        <w:t>favourable</w:t>
      </w:r>
      <w:r w:rsidR="00DB02BD" w:rsidRPr="00B31851">
        <w:rPr>
          <w:rFonts w:cs="Arial"/>
          <w:i w:val="0"/>
          <w:iCs w:val="0"/>
        </w:rPr>
        <w:t xml:space="preserve"> conditions of work and everyone is entitled to enjoy </w:t>
      </w:r>
      <w:r w:rsidR="00262BE9" w:rsidRPr="00B31851">
        <w:rPr>
          <w:rFonts w:cs="Arial"/>
          <w:i w:val="0"/>
          <w:iCs w:val="0"/>
        </w:rPr>
        <w:t xml:space="preserve">such </w:t>
      </w:r>
      <w:r w:rsidR="00DB02BD" w:rsidRPr="00B31851">
        <w:rPr>
          <w:rFonts w:cs="Arial"/>
          <w:i w:val="0"/>
          <w:iCs w:val="0"/>
        </w:rPr>
        <w:t>right</w:t>
      </w:r>
      <w:r w:rsidR="00241502">
        <w:rPr>
          <w:rFonts w:cs="Arial"/>
          <w:i w:val="0"/>
          <w:iCs w:val="0"/>
        </w:rPr>
        <w:t>s</w:t>
      </w:r>
      <w:r w:rsidR="00DB02BD" w:rsidRPr="00B31851">
        <w:rPr>
          <w:rFonts w:cs="Arial"/>
          <w:i w:val="0"/>
          <w:iCs w:val="0"/>
        </w:rPr>
        <w:t xml:space="preserve"> without </w:t>
      </w:r>
      <w:r w:rsidR="001A58FE" w:rsidRPr="00B31851">
        <w:rPr>
          <w:rFonts w:cs="Arial"/>
          <w:i w:val="0"/>
          <w:iCs w:val="0"/>
        </w:rPr>
        <w:t>discrimination</w:t>
      </w:r>
      <w:r w:rsidR="00DB02BD" w:rsidRPr="00B31851">
        <w:rPr>
          <w:rFonts w:cs="Arial"/>
          <w:i w:val="0"/>
          <w:iCs w:val="0"/>
        </w:rPr>
        <w:t xml:space="preserve">. This includes </w:t>
      </w:r>
      <w:r w:rsidR="001A58FE" w:rsidRPr="00B31851">
        <w:rPr>
          <w:rFonts w:cs="Arial"/>
          <w:i w:val="0"/>
          <w:iCs w:val="0"/>
        </w:rPr>
        <w:t xml:space="preserve">not being discriminated against </w:t>
      </w:r>
      <w:r w:rsidR="00BE7C54">
        <w:rPr>
          <w:rFonts w:cs="Arial"/>
          <w:i w:val="0"/>
          <w:iCs w:val="0"/>
        </w:rPr>
        <w:t xml:space="preserve">on the grounds of </w:t>
      </w:r>
      <w:r w:rsidR="001A58FE" w:rsidRPr="00B31851">
        <w:rPr>
          <w:rFonts w:cs="Arial"/>
          <w:i w:val="0"/>
          <w:iCs w:val="0"/>
        </w:rPr>
        <w:t>profession</w:t>
      </w:r>
      <w:r w:rsidR="00BE7C54">
        <w:rPr>
          <w:rFonts w:cs="Arial"/>
          <w:i w:val="0"/>
          <w:iCs w:val="0"/>
        </w:rPr>
        <w:t>, trade occupation or calling</w:t>
      </w:r>
      <w:r w:rsidR="001A58FE" w:rsidRPr="00B31851">
        <w:rPr>
          <w:rFonts w:cs="Arial"/>
          <w:i w:val="0"/>
          <w:iCs w:val="0"/>
        </w:rPr>
        <w:t xml:space="preserve"> </w:t>
      </w:r>
      <w:r w:rsidR="00BE7C54">
        <w:rPr>
          <w:rFonts w:cs="Arial"/>
          <w:i w:val="0"/>
          <w:iCs w:val="0"/>
        </w:rPr>
        <w:t>(</w:t>
      </w:r>
      <w:r w:rsidR="001A58FE" w:rsidRPr="00B31851">
        <w:rPr>
          <w:rFonts w:cs="Arial"/>
          <w:i w:val="0"/>
          <w:iCs w:val="0"/>
        </w:rPr>
        <w:t>such as sex work</w:t>
      </w:r>
      <w:r w:rsidR="00BE7C54">
        <w:rPr>
          <w:rFonts w:cs="Arial"/>
          <w:i w:val="0"/>
          <w:iCs w:val="0"/>
        </w:rPr>
        <w:t>)</w:t>
      </w:r>
      <w:r w:rsidR="009B3BCE" w:rsidRPr="00B31851">
        <w:rPr>
          <w:rFonts w:cs="Arial"/>
          <w:i w:val="0"/>
          <w:iCs w:val="0"/>
        </w:rPr>
        <w:t>,</w:t>
      </w:r>
      <w:r w:rsidR="009D7A26" w:rsidRPr="00B31851">
        <w:rPr>
          <w:rFonts w:cs="Arial"/>
          <w:i w:val="0"/>
          <w:iCs w:val="0"/>
        </w:rPr>
        <w:t xml:space="preserve"> or </w:t>
      </w:r>
      <w:r w:rsidR="00BE7C54">
        <w:rPr>
          <w:rFonts w:cs="Arial"/>
          <w:i w:val="0"/>
          <w:iCs w:val="0"/>
        </w:rPr>
        <w:t xml:space="preserve">the type of disease (such as </w:t>
      </w:r>
      <w:r w:rsidR="00966695" w:rsidRPr="00B31851">
        <w:rPr>
          <w:rFonts w:cs="Arial"/>
          <w:i w:val="0"/>
          <w:iCs w:val="0"/>
        </w:rPr>
        <w:t>HIV/AIDS</w:t>
      </w:r>
      <w:r w:rsidR="00BE7C54">
        <w:rPr>
          <w:rFonts w:cs="Arial"/>
          <w:i w:val="0"/>
          <w:iCs w:val="0"/>
        </w:rPr>
        <w:t>)</w:t>
      </w:r>
      <w:r w:rsidR="00966695" w:rsidRPr="00B31851">
        <w:rPr>
          <w:rFonts w:cs="Arial"/>
          <w:i w:val="0"/>
          <w:iCs w:val="0"/>
        </w:rPr>
        <w:t xml:space="preserve"> </w:t>
      </w:r>
      <w:r w:rsidR="00BE7C54">
        <w:rPr>
          <w:rFonts w:cs="Arial"/>
          <w:i w:val="0"/>
          <w:iCs w:val="0"/>
        </w:rPr>
        <w:t xml:space="preserve">that </w:t>
      </w:r>
      <w:r w:rsidR="00966695" w:rsidRPr="00B31851">
        <w:rPr>
          <w:rFonts w:cs="Arial"/>
          <w:i w:val="0"/>
          <w:iCs w:val="0"/>
        </w:rPr>
        <w:t>may have been contracted in a work-related setting.</w:t>
      </w:r>
    </w:p>
    <w:p w14:paraId="1FE56257" w14:textId="65A37453" w:rsidR="008548D3" w:rsidRPr="00B31851" w:rsidRDefault="00FA3486" w:rsidP="007A5AC8">
      <w:pPr>
        <w:spacing w:before="240"/>
        <w:rPr>
          <w:rFonts w:cs="Arial"/>
          <w:i w:val="0"/>
          <w:iCs w:val="0"/>
        </w:rPr>
      </w:pPr>
      <w:r w:rsidRPr="00B31851">
        <w:rPr>
          <w:rFonts w:cs="Arial"/>
          <w:i w:val="0"/>
          <w:iCs w:val="0"/>
        </w:rPr>
        <w:t xml:space="preserve">This </w:t>
      </w:r>
      <w:r w:rsidR="00FD74B4">
        <w:rPr>
          <w:rFonts w:cs="Arial"/>
          <w:i w:val="0"/>
          <w:iCs w:val="0"/>
        </w:rPr>
        <w:t>amendment support</w:t>
      </w:r>
      <w:r w:rsidR="0011526C">
        <w:rPr>
          <w:rFonts w:cs="Arial"/>
          <w:i w:val="0"/>
          <w:iCs w:val="0"/>
        </w:rPr>
        <w:t>s</w:t>
      </w:r>
      <w:r w:rsidR="00FD74B4">
        <w:rPr>
          <w:rFonts w:cs="Arial"/>
          <w:i w:val="0"/>
          <w:iCs w:val="0"/>
        </w:rPr>
        <w:t xml:space="preserve"> </w:t>
      </w:r>
      <w:r w:rsidRPr="00B31851">
        <w:rPr>
          <w:rFonts w:cs="Arial"/>
          <w:i w:val="0"/>
          <w:iCs w:val="0"/>
        </w:rPr>
        <w:t xml:space="preserve">equality </w:t>
      </w:r>
      <w:r w:rsidR="00AD2EB1">
        <w:rPr>
          <w:rFonts w:cs="Arial"/>
          <w:i w:val="0"/>
          <w:iCs w:val="0"/>
        </w:rPr>
        <w:t xml:space="preserve">for </w:t>
      </w:r>
      <w:r w:rsidRPr="00B31851">
        <w:rPr>
          <w:rFonts w:cs="Arial"/>
          <w:i w:val="0"/>
          <w:iCs w:val="0"/>
        </w:rPr>
        <w:t>all workers across industries by ensuring consistent permanent impairment entitlements under the ACT workers’ compensation scheme.</w:t>
      </w:r>
      <w:r w:rsidR="00042B10">
        <w:rPr>
          <w:rFonts w:cs="Arial"/>
          <w:i w:val="0"/>
          <w:iCs w:val="0"/>
        </w:rPr>
        <w:t xml:space="preserve"> </w:t>
      </w:r>
      <w:r w:rsidR="00D1038B">
        <w:rPr>
          <w:rFonts w:cs="Arial"/>
          <w:i w:val="0"/>
          <w:iCs w:val="0"/>
        </w:rPr>
        <w:t>It</w:t>
      </w:r>
      <w:r w:rsidR="007A5AC8" w:rsidRPr="00B31851">
        <w:rPr>
          <w:rFonts w:cs="Arial"/>
          <w:i w:val="0"/>
          <w:iCs w:val="0"/>
        </w:rPr>
        <w:t xml:space="preserve"> supports both workplace safety and the dignity of affected workers. </w:t>
      </w:r>
    </w:p>
    <w:p w14:paraId="78B7EEAC" w14:textId="5D57CD1B" w:rsidR="00B65AE8" w:rsidRPr="00E33B06" w:rsidRDefault="001B3AB9" w:rsidP="002A77E3">
      <w:pPr>
        <w:rPr>
          <w:rFonts w:cs="Arial"/>
          <w:bCs/>
          <w:i w:val="0"/>
          <w:iCs w:val="0"/>
          <w:u w:val="single"/>
        </w:rPr>
      </w:pPr>
      <w:r>
        <w:rPr>
          <w:rFonts w:cs="Arial"/>
          <w:bCs/>
          <w:i w:val="0"/>
          <w:iCs w:val="0"/>
          <w:u w:val="single"/>
        </w:rPr>
        <w:t>LSL Act Amendments – Right to work and other work-related rights</w:t>
      </w:r>
    </w:p>
    <w:p w14:paraId="34E1AE91" w14:textId="51CAD026" w:rsidR="002509E4" w:rsidRDefault="00C430F0" w:rsidP="00941E90">
      <w:pPr>
        <w:rPr>
          <w:rFonts w:cs="Arial"/>
          <w:b/>
          <w:i w:val="0"/>
          <w:iCs w:val="0"/>
        </w:rPr>
      </w:pPr>
      <w:r w:rsidRPr="00941E90">
        <w:rPr>
          <w:rFonts w:cs="Arial"/>
          <w:bCs/>
          <w:i w:val="0"/>
          <w:iCs w:val="0"/>
        </w:rPr>
        <w:t>The in</w:t>
      </w:r>
      <w:r>
        <w:rPr>
          <w:rFonts w:cs="Arial"/>
          <w:bCs/>
          <w:i w:val="0"/>
          <w:iCs w:val="0"/>
        </w:rPr>
        <w:t xml:space="preserve">troduction of an offence relating to the non-payment of long service leave entitlements after the </w:t>
      </w:r>
      <w:r w:rsidR="006B37AD">
        <w:rPr>
          <w:rFonts w:cs="Arial"/>
          <w:bCs/>
          <w:i w:val="0"/>
          <w:iCs w:val="0"/>
        </w:rPr>
        <w:t>cessation</w:t>
      </w:r>
      <w:r>
        <w:rPr>
          <w:rFonts w:cs="Arial"/>
          <w:bCs/>
          <w:i w:val="0"/>
          <w:iCs w:val="0"/>
        </w:rPr>
        <w:t xml:space="preserve"> of employment promotes the right to work and other work-related rights pursuant to section 27B of the HR Act. Everyone has the right to the enjoyment of just and favourable conditions of work. This amendment engages and promotes this right by reinforcing the right to fair and favourable conditions of work, including paid leave entitlements. By introducing an offence where an employer fails to pay long service leave entitlement following the </w:t>
      </w:r>
      <w:r w:rsidR="00844F42">
        <w:rPr>
          <w:rFonts w:cs="Arial"/>
          <w:bCs/>
          <w:i w:val="0"/>
          <w:iCs w:val="0"/>
        </w:rPr>
        <w:t>cessation</w:t>
      </w:r>
      <w:r>
        <w:rPr>
          <w:rFonts w:cs="Arial"/>
          <w:bCs/>
          <w:i w:val="0"/>
          <w:iCs w:val="0"/>
        </w:rPr>
        <w:t xml:space="preserve"> of employment, the amendment strengthens protections for workers and </w:t>
      </w:r>
      <w:r w:rsidR="0067500A">
        <w:rPr>
          <w:rFonts w:cs="Arial"/>
          <w:bCs/>
          <w:i w:val="0"/>
          <w:iCs w:val="0"/>
        </w:rPr>
        <w:t xml:space="preserve">supports their receive of </w:t>
      </w:r>
      <w:r>
        <w:rPr>
          <w:rFonts w:cs="Arial"/>
          <w:bCs/>
          <w:i w:val="0"/>
          <w:iCs w:val="0"/>
        </w:rPr>
        <w:t xml:space="preserve">entitlements they lawfully accrued. This </w:t>
      </w:r>
      <w:r w:rsidR="00D96178">
        <w:rPr>
          <w:rFonts w:cs="Arial"/>
          <w:bCs/>
          <w:i w:val="0"/>
          <w:iCs w:val="0"/>
        </w:rPr>
        <w:t>contributes to greater financial stability for workers and reinforces the integrity of the long service leave framework.</w:t>
      </w:r>
    </w:p>
    <w:p w14:paraId="399FED17" w14:textId="539F8496" w:rsidR="002509E4" w:rsidRPr="00941E90" w:rsidRDefault="009F237F" w:rsidP="00B65AE8">
      <w:pPr>
        <w:spacing w:after="0"/>
        <w:rPr>
          <w:rFonts w:cs="Arial"/>
          <w:bCs/>
          <w:i w:val="0"/>
          <w:iCs w:val="0"/>
          <w:u w:val="single"/>
        </w:rPr>
      </w:pPr>
      <w:r w:rsidRPr="00941E90">
        <w:rPr>
          <w:rFonts w:cs="Arial"/>
          <w:bCs/>
          <w:i w:val="0"/>
          <w:iCs w:val="0"/>
          <w:u w:val="single"/>
        </w:rPr>
        <w:t xml:space="preserve">DS Act amendments - </w:t>
      </w:r>
      <w:r w:rsidR="002509E4" w:rsidRPr="00941E90">
        <w:rPr>
          <w:rFonts w:cs="Arial"/>
          <w:bCs/>
          <w:i w:val="0"/>
          <w:iCs w:val="0"/>
          <w:u w:val="single"/>
        </w:rPr>
        <w:t xml:space="preserve">Right to a healthy environment </w:t>
      </w:r>
    </w:p>
    <w:p w14:paraId="0527F22F" w14:textId="10D2AEC3" w:rsidR="00695104" w:rsidRPr="003575F8" w:rsidRDefault="003575F8" w:rsidP="00B65AE8">
      <w:pPr>
        <w:spacing w:after="0"/>
        <w:rPr>
          <w:rFonts w:cs="Arial"/>
          <w:bCs/>
          <w:i w:val="0"/>
          <w:iCs w:val="0"/>
        </w:rPr>
      </w:pPr>
      <w:r w:rsidRPr="00941E90">
        <w:rPr>
          <w:rFonts w:cs="Arial"/>
          <w:bCs/>
          <w:i w:val="0"/>
          <w:iCs w:val="0"/>
        </w:rPr>
        <w:t xml:space="preserve">The amendment </w:t>
      </w:r>
      <w:r w:rsidR="00A10D4F">
        <w:rPr>
          <w:rFonts w:cs="Arial"/>
          <w:bCs/>
          <w:i w:val="0"/>
          <w:iCs w:val="0"/>
        </w:rPr>
        <w:t>supports the right to a healthy environment, namely the right to a non-toxic environment,</w:t>
      </w:r>
      <w:r w:rsidRPr="00941E90">
        <w:rPr>
          <w:rFonts w:cs="Arial"/>
          <w:bCs/>
          <w:i w:val="0"/>
          <w:iCs w:val="0"/>
        </w:rPr>
        <w:t xml:space="preserve"> </w:t>
      </w:r>
      <w:r w:rsidR="00A10D4F">
        <w:rPr>
          <w:rFonts w:cs="Arial"/>
          <w:bCs/>
          <w:i w:val="0"/>
          <w:iCs w:val="0"/>
        </w:rPr>
        <w:t>by strengthening</w:t>
      </w:r>
      <w:r w:rsidRPr="00941E90">
        <w:rPr>
          <w:rFonts w:cs="Arial"/>
          <w:bCs/>
          <w:i w:val="0"/>
          <w:iCs w:val="0"/>
        </w:rPr>
        <w:t xml:space="preserve"> the regulation of dangerous substances by requiring inspectors and the WHS Commissioner to assess environmental impacts as part of their enforcement responsibilities. This marks a shift from a purely compliance-driven approach to one that incorporates ethical and rights-based perspectives on environmental health and safety. It also reinforces the ACT Government’s commitment to a progressive human rights agenda by integrating environmental protection and workplace safety into its broader governance framework.</w:t>
      </w:r>
    </w:p>
    <w:p w14:paraId="34FE5197" w14:textId="77777777" w:rsidR="00695104" w:rsidRDefault="00695104" w:rsidP="00B65AE8">
      <w:pPr>
        <w:spacing w:after="0"/>
        <w:rPr>
          <w:rFonts w:cs="Arial"/>
          <w:bCs/>
          <w:i w:val="0"/>
          <w:iCs w:val="0"/>
        </w:rPr>
      </w:pPr>
    </w:p>
    <w:p w14:paraId="3B4600F7" w14:textId="77777777" w:rsidR="00D77AE8" w:rsidRPr="00941E90" w:rsidRDefault="00D77AE8" w:rsidP="00B65AE8">
      <w:pPr>
        <w:spacing w:after="0"/>
        <w:rPr>
          <w:rFonts w:cs="Arial"/>
          <w:bCs/>
          <w:i w:val="0"/>
          <w:iCs w:val="0"/>
        </w:rPr>
      </w:pPr>
    </w:p>
    <w:p w14:paraId="68CAFFA6" w14:textId="77777777" w:rsidR="002A77E3" w:rsidRDefault="002A77E3" w:rsidP="00B65AE8">
      <w:pPr>
        <w:spacing w:after="0"/>
        <w:rPr>
          <w:rFonts w:cs="Arial"/>
          <w:b/>
          <w:i w:val="0"/>
          <w:iCs w:val="0"/>
        </w:rPr>
      </w:pPr>
    </w:p>
    <w:p w14:paraId="54FE1438" w14:textId="6B3A60C9" w:rsidR="00E90DF9" w:rsidRPr="00B31851" w:rsidRDefault="00E90DF9" w:rsidP="00B65AE8">
      <w:pPr>
        <w:spacing w:after="0"/>
        <w:rPr>
          <w:rFonts w:cs="Arial"/>
          <w:b/>
          <w:i w:val="0"/>
          <w:iCs w:val="0"/>
        </w:rPr>
      </w:pPr>
      <w:r w:rsidRPr="00B31851">
        <w:rPr>
          <w:rFonts w:cs="Arial"/>
          <w:b/>
          <w:i w:val="0"/>
          <w:iCs w:val="0"/>
        </w:rPr>
        <w:lastRenderedPageBreak/>
        <w:t>Rights Limited</w:t>
      </w:r>
    </w:p>
    <w:p w14:paraId="5227641C" w14:textId="6CA029BA" w:rsidR="00D6549B" w:rsidRDefault="00777EC3" w:rsidP="00FE099C">
      <w:pPr>
        <w:rPr>
          <w:rFonts w:cs="Arial"/>
          <w:i w:val="0"/>
          <w:iCs w:val="0"/>
          <w:u w:val="single"/>
        </w:rPr>
      </w:pPr>
      <w:bookmarkStart w:id="1" w:name="OLE_LINK1"/>
      <w:r>
        <w:rPr>
          <w:rFonts w:cs="Arial"/>
          <w:i w:val="0"/>
          <w:iCs w:val="0"/>
        </w:rPr>
        <w:t>This Bill engages and limits a range of human rights</w:t>
      </w:r>
      <w:r w:rsidR="00896A46">
        <w:rPr>
          <w:rFonts w:cs="Arial"/>
          <w:i w:val="0"/>
          <w:iCs w:val="0"/>
        </w:rPr>
        <w:t xml:space="preserve">. Each right that is limited is </w:t>
      </w:r>
      <w:r w:rsidR="002A1F09">
        <w:rPr>
          <w:rFonts w:cs="Arial"/>
          <w:i w:val="0"/>
          <w:iCs w:val="0"/>
        </w:rPr>
        <w:t xml:space="preserve">assessed below to ensure </w:t>
      </w:r>
      <w:r w:rsidR="00736529">
        <w:rPr>
          <w:rFonts w:cs="Arial"/>
          <w:i w:val="0"/>
          <w:iCs w:val="0"/>
        </w:rPr>
        <w:t>that it is based on evidence</w:t>
      </w:r>
      <w:r w:rsidR="006E0F9B">
        <w:rPr>
          <w:rFonts w:cs="Arial"/>
          <w:i w:val="0"/>
          <w:iCs w:val="0"/>
        </w:rPr>
        <w:t xml:space="preserve"> and is </w:t>
      </w:r>
      <w:r w:rsidR="00A45248">
        <w:rPr>
          <w:rFonts w:cs="Arial"/>
          <w:i w:val="0"/>
          <w:iCs w:val="0"/>
        </w:rPr>
        <w:t>reasonably proportionate to achieve a legitimate purpose.</w:t>
      </w:r>
    </w:p>
    <w:p w14:paraId="23FB989B" w14:textId="7354EDEF" w:rsidR="00FE099C" w:rsidRPr="00B31851" w:rsidRDefault="00FE099C" w:rsidP="00FE099C">
      <w:pPr>
        <w:rPr>
          <w:rFonts w:cs="Arial"/>
          <w:i w:val="0"/>
          <w:iCs w:val="0"/>
          <w:highlight w:val="yellow"/>
          <w:u w:val="single"/>
        </w:rPr>
      </w:pPr>
      <w:r w:rsidRPr="00B31851">
        <w:rPr>
          <w:rFonts w:cs="Arial"/>
          <w:i w:val="0"/>
          <w:iCs w:val="0"/>
          <w:u w:val="single"/>
        </w:rPr>
        <w:t xml:space="preserve">LSL, DS Act and WC Act amendments – </w:t>
      </w:r>
      <w:r w:rsidR="007F245F" w:rsidRPr="00B31851">
        <w:rPr>
          <w:rFonts w:cs="Arial"/>
          <w:i w:val="0"/>
          <w:iCs w:val="0"/>
          <w:u w:val="single"/>
        </w:rPr>
        <w:t>Right to p</w:t>
      </w:r>
      <w:r w:rsidRPr="00B31851">
        <w:rPr>
          <w:rFonts w:cs="Arial"/>
          <w:i w:val="0"/>
          <w:iCs w:val="0"/>
          <w:u w:val="single"/>
        </w:rPr>
        <w:t>rivacy and reputation</w:t>
      </w:r>
    </w:p>
    <w:p w14:paraId="061A2B7C" w14:textId="6FCFEC92" w:rsidR="00A50DB6" w:rsidRPr="00A50DB6" w:rsidRDefault="00FE099C" w:rsidP="00FE099C">
      <w:pPr>
        <w:pStyle w:val="ListParagraph"/>
        <w:numPr>
          <w:ilvl w:val="4"/>
          <w:numId w:val="22"/>
        </w:numPr>
        <w:ind w:left="851" w:hanging="425"/>
        <w:rPr>
          <w:rFonts w:cs="Arial"/>
          <w:b/>
        </w:rPr>
      </w:pPr>
      <w:r w:rsidRPr="00A50DB6">
        <w:rPr>
          <w:rFonts w:cs="Arial"/>
          <w:b/>
        </w:rPr>
        <w:t>Nature of the right and the limitation (s28</w:t>
      </w:r>
      <w:r w:rsidR="00F605D7">
        <w:rPr>
          <w:rFonts w:cs="Arial"/>
          <w:b/>
        </w:rPr>
        <w:t>(2)</w:t>
      </w:r>
      <w:r w:rsidRPr="00A50DB6">
        <w:rPr>
          <w:rFonts w:cs="Arial"/>
          <w:b/>
        </w:rPr>
        <w:t>(a) and (c))</w:t>
      </w:r>
    </w:p>
    <w:p w14:paraId="3502D7DD" w14:textId="7D872B4E" w:rsidR="00FE099C" w:rsidRPr="00A50DB6" w:rsidRDefault="004923E7" w:rsidP="00A50DB6">
      <w:pPr>
        <w:rPr>
          <w:rFonts w:cs="Arial"/>
          <w:b/>
          <w:i w:val="0"/>
          <w:iCs w:val="0"/>
        </w:rPr>
      </w:pPr>
      <w:r w:rsidRPr="00A50DB6">
        <w:rPr>
          <w:rFonts w:cs="Arial"/>
          <w:i w:val="0"/>
          <w:iCs w:val="0"/>
        </w:rPr>
        <w:t>The following sections of the Bill</w:t>
      </w:r>
      <w:r w:rsidR="004D64C9">
        <w:rPr>
          <w:rFonts w:cs="Arial"/>
          <w:i w:val="0"/>
          <w:iCs w:val="0"/>
        </w:rPr>
        <w:t xml:space="preserve"> </w:t>
      </w:r>
      <w:r w:rsidRPr="00A50DB6">
        <w:rPr>
          <w:rFonts w:cs="Arial"/>
          <w:i w:val="0"/>
          <w:iCs w:val="0"/>
        </w:rPr>
        <w:t>limit the right to privacy</w:t>
      </w:r>
      <w:r w:rsidR="0014770D">
        <w:rPr>
          <w:rFonts w:cs="Arial"/>
          <w:i w:val="0"/>
          <w:iCs w:val="0"/>
        </w:rPr>
        <w:t xml:space="preserve"> and reputation</w:t>
      </w:r>
      <w:r w:rsidR="008C1848" w:rsidRPr="00A50DB6">
        <w:rPr>
          <w:rFonts w:cs="Arial"/>
          <w:i w:val="0"/>
          <w:iCs w:val="0"/>
        </w:rPr>
        <w:t>:</w:t>
      </w:r>
    </w:p>
    <w:tbl>
      <w:tblPr>
        <w:tblStyle w:val="TableGrid"/>
        <w:tblW w:w="0" w:type="auto"/>
        <w:tblLook w:val="04A0" w:firstRow="1" w:lastRow="0" w:firstColumn="1" w:lastColumn="0" w:noHBand="0" w:noVBand="1"/>
      </w:tblPr>
      <w:tblGrid>
        <w:gridCol w:w="1980"/>
        <w:gridCol w:w="7036"/>
      </w:tblGrid>
      <w:tr w:rsidR="003A20B0" w:rsidRPr="00B31851" w14:paraId="1D975251" w14:textId="77777777" w:rsidTr="004351D7">
        <w:tc>
          <w:tcPr>
            <w:tcW w:w="1980" w:type="dxa"/>
          </w:tcPr>
          <w:p w14:paraId="437FE5F5" w14:textId="0F9B868D" w:rsidR="003A20B0" w:rsidRPr="00B31851" w:rsidRDefault="00D74500" w:rsidP="00FE099C">
            <w:pPr>
              <w:rPr>
                <w:rFonts w:cs="Arial"/>
                <w:i w:val="0"/>
                <w:iCs w:val="0"/>
              </w:rPr>
            </w:pPr>
            <w:r w:rsidRPr="00B31851">
              <w:rPr>
                <w:rFonts w:cs="Arial"/>
                <w:i w:val="0"/>
                <w:iCs w:val="0"/>
              </w:rPr>
              <w:t>LSL Act</w:t>
            </w:r>
            <w:r w:rsidR="00FD15BB" w:rsidRPr="00B31851">
              <w:rPr>
                <w:rFonts w:cs="Arial"/>
                <w:i w:val="0"/>
                <w:iCs w:val="0"/>
              </w:rPr>
              <w:t xml:space="preserve"> amendments - enforcement and compliance – sections </w:t>
            </w:r>
            <w:r w:rsidR="008E053B" w:rsidRPr="00B31851">
              <w:rPr>
                <w:rFonts w:cs="Arial"/>
                <w:i w:val="0"/>
                <w:iCs w:val="0"/>
              </w:rPr>
              <w:t>13C</w:t>
            </w:r>
            <w:r w:rsidR="00CF41C5" w:rsidRPr="00B31851">
              <w:rPr>
                <w:rFonts w:cs="Arial"/>
                <w:i w:val="0"/>
                <w:iCs w:val="0"/>
              </w:rPr>
              <w:t xml:space="preserve"> and 13CC</w:t>
            </w:r>
          </w:p>
        </w:tc>
        <w:tc>
          <w:tcPr>
            <w:tcW w:w="7036" w:type="dxa"/>
          </w:tcPr>
          <w:p w14:paraId="335DA279" w14:textId="348E5065" w:rsidR="005B6D88" w:rsidRPr="005B6D88" w:rsidRDefault="00237A49" w:rsidP="005B6D88">
            <w:pPr>
              <w:rPr>
                <w:rFonts w:cs="Arial"/>
                <w:i w:val="0"/>
                <w:iCs w:val="0"/>
              </w:rPr>
            </w:pPr>
            <w:r>
              <w:rPr>
                <w:rFonts w:cs="Arial"/>
                <w:i w:val="0"/>
                <w:iCs w:val="0"/>
              </w:rPr>
              <w:t>The i</w:t>
            </w:r>
            <w:r w:rsidR="005B6D88" w:rsidRPr="005B6D88">
              <w:rPr>
                <w:rFonts w:cs="Arial"/>
                <w:i w:val="0"/>
                <w:iCs w:val="0"/>
              </w:rPr>
              <w:t>ntroduc</w:t>
            </w:r>
            <w:r>
              <w:rPr>
                <w:rFonts w:cs="Arial"/>
                <w:i w:val="0"/>
                <w:iCs w:val="0"/>
              </w:rPr>
              <w:t>tion of such</w:t>
            </w:r>
            <w:r w:rsidR="005B6D88" w:rsidRPr="005B6D88">
              <w:rPr>
                <w:rFonts w:cs="Arial"/>
                <w:i w:val="0"/>
                <w:iCs w:val="0"/>
              </w:rPr>
              <w:t xml:space="preserve"> powers may limit the right to privacy and reputation. These powers enable authorised officers to access private records and compel individuals to disclose information, which may constitute an interference with </w:t>
            </w:r>
            <w:r w:rsidR="004F76B0">
              <w:rPr>
                <w:rFonts w:cs="Arial"/>
                <w:i w:val="0"/>
                <w:iCs w:val="0"/>
              </w:rPr>
              <w:t xml:space="preserve">their </w:t>
            </w:r>
            <w:r w:rsidR="005B6D88" w:rsidRPr="005B6D88">
              <w:rPr>
                <w:rFonts w:cs="Arial"/>
                <w:i w:val="0"/>
                <w:iCs w:val="0"/>
              </w:rPr>
              <w:t>privacy.</w:t>
            </w:r>
          </w:p>
          <w:p w14:paraId="2A2ED306" w14:textId="77777777" w:rsidR="005B6D88" w:rsidRPr="005B6D88" w:rsidRDefault="005B6D88" w:rsidP="005B6D88">
            <w:pPr>
              <w:rPr>
                <w:rFonts w:cs="Arial"/>
                <w:i w:val="0"/>
                <w:iCs w:val="0"/>
              </w:rPr>
            </w:pPr>
            <w:r w:rsidRPr="005B6D88">
              <w:rPr>
                <w:rFonts w:cs="Arial"/>
                <w:i w:val="0"/>
                <w:iCs w:val="0"/>
              </w:rPr>
              <w:t>Under </w:t>
            </w:r>
            <w:r w:rsidRPr="00941E90">
              <w:rPr>
                <w:rFonts w:cs="Arial"/>
                <w:i w:val="0"/>
                <w:iCs w:val="0"/>
              </w:rPr>
              <w:t>section 13C</w:t>
            </w:r>
            <w:r w:rsidRPr="00BE1E34">
              <w:rPr>
                <w:rFonts w:cs="Arial"/>
                <w:i w:val="0"/>
                <w:iCs w:val="0"/>
              </w:rPr>
              <w:t>,</w:t>
            </w:r>
            <w:r w:rsidRPr="005B6D88">
              <w:rPr>
                <w:rFonts w:cs="Arial"/>
                <w:i w:val="0"/>
                <w:iCs w:val="0"/>
              </w:rPr>
              <w:t xml:space="preserve"> authorised officers are permitted to enter workplaces or public premises at any reasonable time without the need for prior consent. They may also enter land for the purpose of seeking consent to access buildings. While residential premises are explicitly excluded, this provision still allows for unannounced access to commercial or semi-private spaces. Such access has the potential to expose sensitive business operations or personal information, raising concerns about the protection of privacy in these environments.</w:t>
            </w:r>
          </w:p>
          <w:p w14:paraId="61626991" w14:textId="4A41DC90" w:rsidR="005B6D88" w:rsidRPr="005B6D88" w:rsidRDefault="005B6D88" w:rsidP="005B6D88">
            <w:pPr>
              <w:rPr>
                <w:rFonts w:cs="Arial"/>
                <w:i w:val="0"/>
                <w:iCs w:val="0"/>
              </w:rPr>
            </w:pPr>
            <w:r w:rsidRPr="005B6D88">
              <w:rPr>
                <w:rFonts w:cs="Arial"/>
                <w:i w:val="0"/>
                <w:iCs w:val="0"/>
              </w:rPr>
              <w:t>In addition</w:t>
            </w:r>
            <w:r w:rsidRPr="00BE1E34">
              <w:rPr>
                <w:rFonts w:cs="Arial"/>
                <w:i w:val="0"/>
                <w:iCs w:val="0"/>
              </w:rPr>
              <w:t>, </w:t>
            </w:r>
            <w:r w:rsidRPr="00941E90">
              <w:rPr>
                <w:rFonts w:cs="Arial"/>
                <w:i w:val="0"/>
                <w:iCs w:val="0"/>
              </w:rPr>
              <w:t>section 13CC</w:t>
            </w:r>
            <w:r w:rsidRPr="005B6D88">
              <w:rPr>
                <w:rFonts w:cs="Arial"/>
                <w:i w:val="0"/>
                <w:iCs w:val="0"/>
              </w:rPr>
              <w:t> empowers officers to direct individuals to produce documents, answer questions, or otherwise assist with investigations. This includes the production of materials not located on the premises, such as audio or video recordings. The compelled disclosure of personal, commercial, or legally sensitive information under this provision represents a direct interference with privacy and may also affect an individual’s reputation.</w:t>
            </w:r>
            <w:r w:rsidR="00FC7A2B">
              <w:rPr>
                <w:rFonts w:cs="Arial"/>
                <w:i w:val="0"/>
                <w:iCs w:val="0"/>
              </w:rPr>
              <w:t xml:space="preserve"> </w:t>
            </w:r>
          </w:p>
          <w:p w14:paraId="1CA5BED9" w14:textId="36C3198E" w:rsidR="003A20B0" w:rsidRPr="00B31851" w:rsidRDefault="005B6D88" w:rsidP="00FE099C">
            <w:pPr>
              <w:rPr>
                <w:rFonts w:cs="Arial"/>
                <w:i w:val="0"/>
                <w:iCs w:val="0"/>
              </w:rPr>
            </w:pPr>
            <w:r w:rsidRPr="005B6D88">
              <w:rPr>
                <w:rFonts w:cs="Arial"/>
                <w:i w:val="0"/>
                <w:iCs w:val="0"/>
              </w:rPr>
              <w:t>Together, these provisions expand the investigatory powers of authorised officers in ways that may impact the privacy rights of individuals and organisations. While intended to support compliance and enforcement, the scope and nature of these powers require careful consideration to ensure that privacy and reputational rights are adequately protected.</w:t>
            </w:r>
          </w:p>
        </w:tc>
      </w:tr>
      <w:tr w:rsidR="003A20B0" w:rsidRPr="00B31851" w14:paraId="1283D149" w14:textId="77777777" w:rsidTr="004351D7">
        <w:tc>
          <w:tcPr>
            <w:tcW w:w="1980" w:type="dxa"/>
          </w:tcPr>
          <w:p w14:paraId="513DABD7" w14:textId="3B4F0467" w:rsidR="003A20B0" w:rsidRPr="00B31851" w:rsidRDefault="00D74500" w:rsidP="00FE099C">
            <w:pPr>
              <w:rPr>
                <w:rFonts w:cs="Arial"/>
                <w:i w:val="0"/>
                <w:iCs w:val="0"/>
              </w:rPr>
            </w:pPr>
            <w:r w:rsidRPr="00B31851">
              <w:rPr>
                <w:rFonts w:cs="Arial"/>
                <w:i w:val="0"/>
                <w:iCs w:val="0"/>
              </w:rPr>
              <w:t>DS Act</w:t>
            </w:r>
            <w:r w:rsidR="00FE50D2" w:rsidRPr="00B31851">
              <w:rPr>
                <w:rFonts w:cs="Arial"/>
                <w:i w:val="0"/>
                <w:iCs w:val="0"/>
              </w:rPr>
              <w:t xml:space="preserve"> amendment </w:t>
            </w:r>
            <w:r w:rsidR="00DE3288" w:rsidRPr="00B31851">
              <w:rPr>
                <w:rFonts w:cs="Arial"/>
                <w:i w:val="0"/>
                <w:iCs w:val="0"/>
              </w:rPr>
              <w:t>–</w:t>
            </w:r>
            <w:r w:rsidR="00FE50D2" w:rsidRPr="00B31851">
              <w:rPr>
                <w:rFonts w:cs="Arial"/>
                <w:i w:val="0"/>
                <w:iCs w:val="0"/>
              </w:rPr>
              <w:t xml:space="preserve"> </w:t>
            </w:r>
            <w:r w:rsidR="00DE3288" w:rsidRPr="00B31851">
              <w:rPr>
                <w:rFonts w:cs="Arial"/>
                <w:i w:val="0"/>
                <w:iCs w:val="0"/>
              </w:rPr>
              <w:t xml:space="preserve">Insert </w:t>
            </w:r>
            <w:r w:rsidR="00FD15BB" w:rsidRPr="00B31851">
              <w:rPr>
                <w:rFonts w:cs="Arial"/>
                <w:i w:val="0"/>
                <w:iCs w:val="0"/>
              </w:rPr>
              <w:t>s</w:t>
            </w:r>
            <w:r w:rsidR="00DE3288" w:rsidRPr="00B31851">
              <w:rPr>
                <w:rFonts w:cs="Arial"/>
                <w:i w:val="0"/>
                <w:iCs w:val="0"/>
              </w:rPr>
              <w:t>ection 207</w:t>
            </w:r>
            <w:r w:rsidR="00661284">
              <w:rPr>
                <w:rFonts w:cs="Arial"/>
                <w:i w:val="0"/>
                <w:iCs w:val="0"/>
              </w:rPr>
              <w:t xml:space="preserve"> </w:t>
            </w:r>
            <w:r w:rsidR="00DE3288" w:rsidRPr="00B31851">
              <w:rPr>
                <w:rFonts w:cs="Arial"/>
                <w:i w:val="0"/>
                <w:iCs w:val="0"/>
              </w:rPr>
              <w:t>(1)(c)</w:t>
            </w:r>
          </w:p>
        </w:tc>
        <w:tc>
          <w:tcPr>
            <w:tcW w:w="7036" w:type="dxa"/>
          </w:tcPr>
          <w:p w14:paraId="38A96D9E" w14:textId="75E6C697" w:rsidR="00BB7CB6" w:rsidRPr="00B31851" w:rsidRDefault="00BB7CB6" w:rsidP="00BB7CB6">
            <w:pPr>
              <w:rPr>
                <w:rFonts w:cs="Arial"/>
                <w:i w:val="0"/>
                <w:iCs w:val="0"/>
              </w:rPr>
            </w:pPr>
            <w:r w:rsidRPr="00B31851">
              <w:rPr>
                <w:rFonts w:cs="Arial"/>
                <w:i w:val="0"/>
                <w:iCs w:val="0"/>
              </w:rPr>
              <w:t xml:space="preserve">Providing the WHS Commissioner with the same </w:t>
            </w:r>
            <w:r w:rsidR="009B79B3" w:rsidRPr="00B31851">
              <w:rPr>
                <w:rFonts w:cs="Arial"/>
                <w:i w:val="0"/>
                <w:iCs w:val="0"/>
              </w:rPr>
              <w:t>function</w:t>
            </w:r>
            <w:r w:rsidRPr="00B31851">
              <w:rPr>
                <w:rFonts w:cs="Arial"/>
                <w:i w:val="0"/>
                <w:iCs w:val="0"/>
              </w:rPr>
              <w:t xml:space="preserve"> and powers as an inspector under the DS Act</w:t>
            </w:r>
            <w:r w:rsidR="00197B5D" w:rsidRPr="00B31851">
              <w:rPr>
                <w:rFonts w:cs="Arial"/>
                <w:i w:val="0"/>
                <w:iCs w:val="0"/>
              </w:rPr>
              <w:t>, may</w:t>
            </w:r>
            <w:r w:rsidRPr="00B31851">
              <w:rPr>
                <w:rFonts w:cs="Arial"/>
                <w:i w:val="0"/>
                <w:iCs w:val="0"/>
              </w:rPr>
              <w:t xml:space="preserve"> limit the right to privacy, particularly in workplace investigations involving hazardous materials or suspected breaches. These powers include the authority to enter workplaces and residential premises without prior notice, require the production of documents, conduct interviews, and seize items believed to be dangerous or relevant to an investigation.</w:t>
            </w:r>
          </w:p>
          <w:p w14:paraId="15EED901" w14:textId="6A772CFF" w:rsidR="00BB7CB6" w:rsidRPr="00B31851" w:rsidRDefault="00BB7CB6" w:rsidP="00BB7CB6">
            <w:pPr>
              <w:rPr>
                <w:rFonts w:cs="Arial"/>
                <w:i w:val="0"/>
                <w:iCs w:val="0"/>
              </w:rPr>
            </w:pPr>
            <w:r w:rsidRPr="00B31851">
              <w:rPr>
                <w:rFonts w:cs="Arial"/>
                <w:i w:val="0"/>
                <w:iCs w:val="0"/>
              </w:rPr>
              <w:t xml:space="preserve">For example, inspectors may access private communications, such as emails or board minutes, if they reasonably believe the information relates to a breach of WHS law. They can also enter residential premises if they suspect it is used as a </w:t>
            </w:r>
            <w:r w:rsidRPr="00B31851">
              <w:rPr>
                <w:rFonts w:cs="Arial"/>
                <w:i w:val="0"/>
                <w:iCs w:val="0"/>
              </w:rPr>
              <w:lastRenderedPageBreak/>
              <w:t xml:space="preserve">workplace or involves the storage of dangerous substances, without the </w:t>
            </w:r>
            <w:r w:rsidR="000C22F0" w:rsidRPr="00B31851">
              <w:rPr>
                <w:rFonts w:cs="Arial"/>
                <w:i w:val="0"/>
                <w:iCs w:val="0"/>
              </w:rPr>
              <w:t>occupants’</w:t>
            </w:r>
            <w:r w:rsidRPr="00B31851">
              <w:rPr>
                <w:rFonts w:cs="Arial"/>
                <w:i w:val="0"/>
                <w:iCs w:val="0"/>
              </w:rPr>
              <w:t xml:space="preserve"> consent. These actions, while intended to protect public safety and enforce compliance, can intrude on personal privacy by exposing sensitive or personal information and disrupting private spaces.</w:t>
            </w:r>
          </w:p>
          <w:p w14:paraId="45F63CB5" w14:textId="68C75153" w:rsidR="003A20B0" w:rsidRPr="00B31851" w:rsidRDefault="00BB7CB6" w:rsidP="00FE099C">
            <w:pPr>
              <w:rPr>
                <w:rFonts w:cs="Arial"/>
                <w:i w:val="0"/>
                <w:iCs w:val="0"/>
              </w:rPr>
            </w:pPr>
            <w:r w:rsidRPr="00B31851">
              <w:rPr>
                <w:rFonts w:cs="Arial"/>
                <w:i w:val="0"/>
                <w:iCs w:val="0"/>
              </w:rPr>
              <w:t>Although safeguards exist</w:t>
            </w:r>
            <w:r w:rsidR="00EA6FD3" w:rsidRPr="00B31851">
              <w:rPr>
                <w:rFonts w:cs="Arial"/>
                <w:i w:val="0"/>
                <w:iCs w:val="0"/>
              </w:rPr>
              <w:t xml:space="preserve">, </w:t>
            </w:r>
            <w:r w:rsidRPr="00B31851">
              <w:rPr>
                <w:rFonts w:cs="Arial"/>
                <w:i w:val="0"/>
                <w:iCs w:val="0"/>
              </w:rPr>
              <w:t>such as requirements for inspectors to identify themselves and respect legal professional privilege</w:t>
            </w:r>
            <w:r w:rsidR="00EA6FD3" w:rsidRPr="00B31851">
              <w:rPr>
                <w:rFonts w:cs="Arial"/>
                <w:i w:val="0"/>
                <w:iCs w:val="0"/>
              </w:rPr>
              <w:t xml:space="preserve">, </w:t>
            </w:r>
            <w:r w:rsidRPr="00B31851">
              <w:rPr>
                <w:rFonts w:cs="Arial"/>
                <w:i w:val="0"/>
                <w:iCs w:val="0"/>
              </w:rPr>
              <w:t xml:space="preserve">the broad scope and discretionary nature of these powers mean that individuals may be compelled to disclose information that they would otherwise have the right to keep private. </w:t>
            </w:r>
          </w:p>
        </w:tc>
      </w:tr>
      <w:tr w:rsidR="003A20B0" w:rsidRPr="00B31851" w14:paraId="23E7B734" w14:textId="77777777" w:rsidTr="004351D7">
        <w:tc>
          <w:tcPr>
            <w:tcW w:w="1980" w:type="dxa"/>
          </w:tcPr>
          <w:p w14:paraId="660095B7" w14:textId="56DABAE8" w:rsidR="003A20B0" w:rsidRPr="00B31851" w:rsidRDefault="00D74500" w:rsidP="00FE099C">
            <w:pPr>
              <w:rPr>
                <w:rFonts w:cs="Arial"/>
                <w:i w:val="0"/>
                <w:iCs w:val="0"/>
              </w:rPr>
            </w:pPr>
            <w:r w:rsidRPr="00B31851">
              <w:rPr>
                <w:rFonts w:cs="Arial"/>
                <w:i w:val="0"/>
                <w:iCs w:val="0"/>
              </w:rPr>
              <w:lastRenderedPageBreak/>
              <w:t>WC Act</w:t>
            </w:r>
            <w:r w:rsidR="0001106D" w:rsidRPr="00B31851">
              <w:rPr>
                <w:rFonts w:cs="Arial"/>
                <w:i w:val="0"/>
                <w:iCs w:val="0"/>
              </w:rPr>
              <w:t xml:space="preserve"> amendment </w:t>
            </w:r>
            <w:r w:rsidR="000C1DD9" w:rsidRPr="00B31851">
              <w:rPr>
                <w:rFonts w:cs="Arial"/>
                <w:i w:val="0"/>
                <w:iCs w:val="0"/>
              </w:rPr>
              <w:t>– New section</w:t>
            </w:r>
            <w:r w:rsidR="00F504FA" w:rsidRPr="00B31851">
              <w:rPr>
                <w:rFonts w:cs="Arial"/>
                <w:i w:val="0"/>
                <w:iCs w:val="0"/>
              </w:rPr>
              <w:t xml:space="preserve"> 188</w:t>
            </w:r>
            <w:r w:rsidR="00661284">
              <w:rPr>
                <w:rFonts w:cs="Arial"/>
                <w:i w:val="0"/>
                <w:iCs w:val="0"/>
              </w:rPr>
              <w:t xml:space="preserve"> </w:t>
            </w:r>
            <w:r w:rsidR="00F504FA" w:rsidRPr="00B31851">
              <w:rPr>
                <w:rFonts w:cs="Arial"/>
                <w:i w:val="0"/>
                <w:iCs w:val="0"/>
              </w:rPr>
              <w:t>(3)</w:t>
            </w:r>
          </w:p>
        </w:tc>
        <w:tc>
          <w:tcPr>
            <w:tcW w:w="7036" w:type="dxa"/>
          </w:tcPr>
          <w:p w14:paraId="3F7C7029" w14:textId="2670D575" w:rsidR="003A20B0" w:rsidRPr="00B31851" w:rsidRDefault="004316DE" w:rsidP="00FE099C">
            <w:pPr>
              <w:rPr>
                <w:rFonts w:cs="Arial"/>
                <w:i w:val="0"/>
                <w:iCs w:val="0"/>
              </w:rPr>
            </w:pPr>
            <w:r>
              <w:rPr>
                <w:rFonts w:cs="Arial"/>
                <w:i w:val="0"/>
              </w:rPr>
              <w:t xml:space="preserve">This amendment introduces a new subsection which provides the </w:t>
            </w:r>
            <w:r w:rsidR="0018219A">
              <w:rPr>
                <w:rFonts w:cs="Arial"/>
                <w:i w:val="0"/>
              </w:rPr>
              <w:t>r</w:t>
            </w:r>
            <w:r>
              <w:rPr>
                <w:rFonts w:cs="Arial"/>
                <w:i w:val="0"/>
              </w:rPr>
              <w:t>egulator</w:t>
            </w:r>
            <w:r w:rsidR="00DF0E2A">
              <w:rPr>
                <w:rFonts w:cs="Arial"/>
                <w:i w:val="0"/>
              </w:rPr>
              <w:t xml:space="preserve"> is also deemed to be an inspector</w:t>
            </w:r>
            <w:r w:rsidR="00D742F3">
              <w:rPr>
                <w:rFonts w:cs="Arial"/>
                <w:i w:val="0"/>
              </w:rPr>
              <w:t>. T</w:t>
            </w:r>
            <w:r w:rsidR="00AF37F8">
              <w:rPr>
                <w:rFonts w:cs="Arial"/>
                <w:i w:val="0"/>
              </w:rPr>
              <w:t xml:space="preserve">his change will </w:t>
            </w:r>
            <w:r w:rsidR="00805E79">
              <w:rPr>
                <w:rFonts w:cs="Arial"/>
                <w:i w:val="0"/>
              </w:rPr>
              <w:t>clarify</w:t>
            </w:r>
            <w:r w:rsidR="00AF37F8">
              <w:rPr>
                <w:rFonts w:cs="Arial"/>
                <w:i w:val="0"/>
              </w:rPr>
              <w:t xml:space="preserve"> that the </w:t>
            </w:r>
            <w:r w:rsidR="00636087">
              <w:rPr>
                <w:rFonts w:cs="Arial"/>
                <w:i w:val="0"/>
              </w:rPr>
              <w:t>regulator</w:t>
            </w:r>
            <w:r w:rsidR="00A10D4F">
              <w:rPr>
                <w:rFonts w:cs="Arial"/>
                <w:i w:val="0"/>
              </w:rPr>
              <w:t>,</w:t>
            </w:r>
            <w:r w:rsidR="00636087">
              <w:rPr>
                <w:rFonts w:cs="Arial"/>
                <w:i w:val="0"/>
              </w:rPr>
              <w:t xml:space="preserve"> under the WC Act</w:t>
            </w:r>
            <w:r w:rsidR="00BC33E3">
              <w:rPr>
                <w:rFonts w:cs="Arial"/>
                <w:i w:val="0"/>
              </w:rPr>
              <w:t xml:space="preserve">, holds the power </w:t>
            </w:r>
            <w:r w:rsidR="00805E79">
              <w:rPr>
                <w:rFonts w:cs="Arial"/>
                <w:i w:val="0"/>
              </w:rPr>
              <w:t>a</w:t>
            </w:r>
            <w:r w:rsidR="00BC33E3">
              <w:rPr>
                <w:rFonts w:cs="Arial"/>
                <w:i w:val="0"/>
              </w:rPr>
              <w:t xml:space="preserve">nd </w:t>
            </w:r>
            <w:r w:rsidR="00805E79">
              <w:rPr>
                <w:rFonts w:cs="Arial"/>
                <w:i w:val="0"/>
              </w:rPr>
              <w:t>responsibilities</w:t>
            </w:r>
            <w:r w:rsidR="00BC33E3">
              <w:rPr>
                <w:rFonts w:cs="Arial"/>
                <w:i w:val="0"/>
              </w:rPr>
              <w:t xml:space="preserve"> of an </w:t>
            </w:r>
            <w:r w:rsidR="00805E79">
              <w:rPr>
                <w:rFonts w:cs="Arial"/>
                <w:i w:val="0"/>
              </w:rPr>
              <w:t>inspector</w:t>
            </w:r>
            <w:r w:rsidR="00BC33E3">
              <w:rPr>
                <w:rFonts w:cs="Arial"/>
                <w:i w:val="0"/>
              </w:rPr>
              <w:t xml:space="preserve">. </w:t>
            </w:r>
            <w:r w:rsidR="006C4085">
              <w:rPr>
                <w:rFonts w:cs="Arial"/>
                <w:i w:val="0"/>
              </w:rPr>
              <w:t xml:space="preserve">This will enable the </w:t>
            </w:r>
            <w:r w:rsidR="0018219A">
              <w:rPr>
                <w:rFonts w:cs="Arial"/>
                <w:i w:val="0"/>
              </w:rPr>
              <w:t>r</w:t>
            </w:r>
            <w:r w:rsidR="006C4085">
              <w:rPr>
                <w:rFonts w:cs="Arial"/>
                <w:i w:val="0"/>
              </w:rPr>
              <w:t xml:space="preserve">egulator to directly exercise </w:t>
            </w:r>
            <w:r w:rsidR="00805E79">
              <w:rPr>
                <w:rFonts w:cs="Arial"/>
                <w:i w:val="0"/>
              </w:rPr>
              <w:t>investigative</w:t>
            </w:r>
            <w:r w:rsidR="00410904">
              <w:rPr>
                <w:rFonts w:cs="Arial"/>
                <w:i w:val="0"/>
              </w:rPr>
              <w:t xml:space="preserve"> and enforcement powers without </w:t>
            </w:r>
            <w:r w:rsidR="00805E79">
              <w:rPr>
                <w:rFonts w:cs="Arial"/>
                <w:i w:val="0"/>
              </w:rPr>
              <w:t>requiring</w:t>
            </w:r>
            <w:r w:rsidR="00410904">
              <w:rPr>
                <w:rFonts w:cs="Arial"/>
                <w:i w:val="0"/>
              </w:rPr>
              <w:t xml:space="preserve"> a separate appoint</w:t>
            </w:r>
            <w:r w:rsidR="006B4E98">
              <w:rPr>
                <w:rFonts w:cs="Arial"/>
                <w:i w:val="0"/>
              </w:rPr>
              <w:t xml:space="preserve">ment as an </w:t>
            </w:r>
            <w:r w:rsidR="004D0350">
              <w:rPr>
                <w:rFonts w:cs="Arial"/>
                <w:i w:val="0"/>
              </w:rPr>
              <w:t>inspector.</w:t>
            </w:r>
            <w:r w:rsidR="004D0350">
              <w:rPr>
                <w:rFonts w:cs="Arial"/>
                <w:i w:val="0"/>
                <w:iCs w:val="0"/>
              </w:rPr>
              <w:t xml:space="preserve"> </w:t>
            </w:r>
            <w:r w:rsidR="001002FB">
              <w:rPr>
                <w:rFonts w:cs="Arial"/>
                <w:i w:val="0"/>
                <w:iCs w:val="0"/>
              </w:rPr>
              <w:t>This</w:t>
            </w:r>
            <w:r w:rsidR="00F56347" w:rsidRPr="00B31851">
              <w:rPr>
                <w:rFonts w:cs="Arial"/>
                <w:i w:val="0"/>
                <w:iCs w:val="0"/>
              </w:rPr>
              <w:t xml:space="preserve"> may limit individuals’ right to privacy, as it allows the </w:t>
            </w:r>
            <w:r w:rsidR="0018219A">
              <w:rPr>
                <w:rFonts w:cs="Arial"/>
                <w:i w:val="0"/>
                <w:iCs w:val="0"/>
              </w:rPr>
              <w:t>r</w:t>
            </w:r>
            <w:r w:rsidR="00214A8A">
              <w:rPr>
                <w:rFonts w:cs="Arial"/>
                <w:i w:val="0"/>
                <w:iCs w:val="0"/>
              </w:rPr>
              <w:t>egulator</w:t>
            </w:r>
            <w:r w:rsidR="00F56347" w:rsidRPr="00B31851">
              <w:rPr>
                <w:rFonts w:cs="Arial"/>
                <w:i w:val="0"/>
                <w:iCs w:val="0"/>
              </w:rPr>
              <w:t xml:space="preserve"> to directly access sensitive personal information</w:t>
            </w:r>
            <w:r w:rsidR="00464DCC" w:rsidRPr="00B31851">
              <w:rPr>
                <w:rFonts w:cs="Arial"/>
                <w:i w:val="0"/>
                <w:iCs w:val="0"/>
              </w:rPr>
              <w:t xml:space="preserve">, </w:t>
            </w:r>
            <w:r w:rsidR="00F56347" w:rsidRPr="00B31851">
              <w:rPr>
                <w:rFonts w:cs="Arial"/>
                <w:i w:val="0"/>
                <w:iCs w:val="0"/>
              </w:rPr>
              <w:t>such as medical records, employment details, and compensation claims</w:t>
            </w:r>
            <w:r w:rsidR="00464DCC" w:rsidRPr="00B31851">
              <w:rPr>
                <w:rFonts w:cs="Arial"/>
                <w:i w:val="0"/>
                <w:iCs w:val="0"/>
              </w:rPr>
              <w:t xml:space="preserve">, </w:t>
            </w:r>
            <w:r w:rsidR="00F56347" w:rsidRPr="00B31851">
              <w:rPr>
                <w:rFonts w:cs="Arial"/>
                <w:i w:val="0"/>
                <w:iCs w:val="0"/>
              </w:rPr>
              <w:t xml:space="preserve">without intermediary oversight. While this facilitates more efficient investigations into potential breaches or misconduct, it also increases the scope for intrusion into private lives. </w:t>
            </w:r>
          </w:p>
        </w:tc>
      </w:tr>
    </w:tbl>
    <w:p w14:paraId="2AD64D1B" w14:textId="26FCB7ED" w:rsidR="00E46525" w:rsidRPr="00B31851" w:rsidRDefault="00E46525" w:rsidP="00FE099C">
      <w:pPr>
        <w:rPr>
          <w:rFonts w:cs="Arial"/>
          <w:i w:val="0"/>
          <w:iCs w:val="0"/>
        </w:rPr>
      </w:pPr>
    </w:p>
    <w:p w14:paraId="43F6B86D" w14:textId="333E94E6" w:rsidR="00AC7B77" w:rsidRPr="002B05CF" w:rsidRDefault="00FE099C" w:rsidP="00941E90">
      <w:pPr>
        <w:pStyle w:val="ListParagraph"/>
        <w:numPr>
          <w:ilvl w:val="4"/>
          <w:numId w:val="22"/>
        </w:numPr>
        <w:ind w:left="851" w:hanging="425"/>
        <w:rPr>
          <w:rFonts w:cs="Arial"/>
          <w:i w:val="0"/>
        </w:rPr>
      </w:pPr>
      <w:r w:rsidRPr="00A50DB6">
        <w:rPr>
          <w:rFonts w:cs="Arial"/>
          <w:b/>
        </w:rPr>
        <w:t>Legitimate purpose (s28</w:t>
      </w:r>
      <w:r w:rsidR="00F605D7">
        <w:rPr>
          <w:rFonts w:cs="Arial"/>
          <w:b/>
        </w:rPr>
        <w:t>(2)</w:t>
      </w:r>
      <w:r w:rsidRPr="00A50DB6">
        <w:rPr>
          <w:rFonts w:cs="Arial"/>
          <w:b/>
        </w:rPr>
        <w:t>(b))</w:t>
      </w:r>
    </w:p>
    <w:tbl>
      <w:tblPr>
        <w:tblStyle w:val="TableGrid"/>
        <w:tblpPr w:leftFromText="181" w:rightFromText="181" w:vertAnchor="text" w:tblpY="1"/>
        <w:tblW w:w="0" w:type="auto"/>
        <w:tblLook w:val="04A0" w:firstRow="1" w:lastRow="0" w:firstColumn="1" w:lastColumn="0" w:noHBand="0" w:noVBand="1"/>
      </w:tblPr>
      <w:tblGrid>
        <w:gridCol w:w="1980"/>
        <w:gridCol w:w="7036"/>
      </w:tblGrid>
      <w:tr w:rsidR="00AC7B77" w:rsidRPr="00B31851" w14:paraId="3B0B5415" w14:textId="77777777" w:rsidTr="00A01D0C">
        <w:tc>
          <w:tcPr>
            <w:tcW w:w="1980" w:type="dxa"/>
          </w:tcPr>
          <w:p w14:paraId="2988105A" w14:textId="0BD2E33A" w:rsidR="00AC7B77" w:rsidRPr="00B31851" w:rsidRDefault="00AC7B77" w:rsidP="00A01D0C">
            <w:pPr>
              <w:rPr>
                <w:rFonts w:cs="Arial"/>
                <w:i w:val="0"/>
                <w:iCs w:val="0"/>
              </w:rPr>
            </w:pPr>
            <w:r w:rsidRPr="00B31851">
              <w:rPr>
                <w:rFonts w:cs="Arial"/>
                <w:i w:val="0"/>
                <w:iCs w:val="0"/>
              </w:rPr>
              <w:t>LSL Act amendments - enforcement and compliance – sections 13C and 13CC</w:t>
            </w:r>
          </w:p>
        </w:tc>
        <w:tc>
          <w:tcPr>
            <w:tcW w:w="7036" w:type="dxa"/>
          </w:tcPr>
          <w:p w14:paraId="7B9E9929" w14:textId="7BF653AE" w:rsidR="006B1653" w:rsidRPr="006B1653" w:rsidRDefault="006B1653" w:rsidP="00A01D0C">
            <w:pPr>
              <w:rPr>
                <w:rFonts w:cs="Arial"/>
                <w:i w:val="0"/>
                <w:iCs w:val="0"/>
              </w:rPr>
            </w:pPr>
            <w:r w:rsidRPr="006B1653">
              <w:rPr>
                <w:rFonts w:cs="Arial"/>
                <w:i w:val="0"/>
                <w:iCs w:val="0"/>
              </w:rPr>
              <w:t xml:space="preserve">Despite </w:t>
            </w:r>
            <w:r w:rsidR="00795709">
              <w:rPr>
                <w:rFonts w:cs="Arial"/>
                <w:i w:val="0"/>
                <w:iCs w:val="0"/>
              </w:rPr>
              <w:t>privacy</w:t>
            </w:r>
            <w:r w:rsidRPr="006B1653">
              <w:rPr>
                <w:rFonts w:cs="Arial"/>
                <w:i w:val="0"/>
                <w:iCs w:val="0"/>
              </w:rPr>
              <w:t xml:space="preserve"> concerns, the powers granted to authorised officers are essential for the effective enforcement of the Act. Long service leave entitlements are a statutory right, and non-compliance can result in significant financial harm to employees. The enforcement framework </w:t>
            </w:r>
            <w:r w:rsidR="000A35E7">
              <w:rPr>
                <w:rFonts w:cs="Arial"/>
                <w:i w:val="0"/>
                <w:iCs w:val="0"/>
              </w:rPr>
              <w:t>established within this Bill</w:t>
            </w:r>
            <w:r w:rsidR="00D60A39">
              <w:rPr>
                <w:rFonts w:cs="Arial"/>
                <w:i w:val="0"/>
                <w:iCs w:val="0"/>
              </w:rPr>
              <w:t xml:space="preserve"> would encourage</w:t>
            </w:r>
            <w:r w:rsidRPr="006B1653">
              <w:rPr>
                <w:rFonts w:cs="Arial"/>
                <w:i w:val="0"/>
                <w:iCs w:val="0"/>
              </w:rPr>
              <w:t xml:space="preserve"> employers </w:t>
            </w:r>
            <w:r w:rsidR="00D60A39">
              <w:rPr>
                <w:rFonts w:cs="Arial"/>
                <w:i w:val="0"/>
                <w:iCs w:val="0"/>
              </w:rPr>
              <w:t xml:space="preserve">to </w:t>
            </w:r>
            <w:r w:rsidRPr="006B1653">
              <w:rPr>
                <w:rFonts w:cs="Arial"/>
                <w:i w:val="0"/>
                <w:iCs w:val="0"/>
              </w:rPr>
              <w:t xml:space="preserve">maintain accurate records, meet their obligations, and </w:t>
            </w:r>
            <w:r w:rsidR="00D60A39">
              <w:rPr>
                <w:rFonts w:cs="Arial"/>
                <w:i w:val="0"/>
                <w:iCs w:val="0"/>
              </w:rPr>
              <w:t>hold them</w:t>
            </w:r>
            <w:r w:rsidRPr="006B1653">
              <w:rPr>
                <w:rFonts w:cs="Arial"/>
                <w:i w:val="0"/>
                <w:iCs w:val="0"/>
              </w:rPr>
              <w:t xml:space="preserve"> accountable when they fail to do so. Authorised officers play a critical role in this process by investigating complaints, auditing records, and initiating enforcement actions where necessary</w:t>
            </w:r>
            <w:r>
              <w:rPr>
                <w:rFonts w:cs="Arial"/>
                <w:i w:val="0"/>
                <w:iCs w:val="0"/>
              </w:rPr>
              <w:t>.</w:t>
            </w:r>
          </w:p>
          <w:p w14:paraId="04B1C089" w14:textId="1A86AC79" w:rsidR="006B1653" w:rsidRPr="006B1653" w:rsidRDefault="006B1653" w:rsidP="00A01D0C">
            <w:pPr>
              <w:rPr>
                <w:rFonts w:cs="Arial"/>
                <w:i w:val="0"/>
                <w:iCs w:val="0"/>
              </w:rPr>
            </w:pPr>
            <w:r w:rsidRPr="006B1653">
              <w:rPr>
                <w:rFonts w:cs="Arial"/>
                <w:i w:val="0"/>
                <w:iCs w:val="0"/>
              </w:rPr>
              <w:t>The increasing complexity of long service leave obligation</w:t>
            </w:r>
            <w:r w:rsidR="000924B5">
              <w:rPr>
                <w:rFonts w:cs="Arial"/>
                <w:i w:val="0"/>
                <w:iCs w:val="0"/>
              </w:rPr>
              <w:t xml:space="preserve">s, </w:t>
            </w:r>
            <w:r w:rsidRPr="006B1653">
              <w:rPr>
                <w:rFonts w:cs="Arial"/>
                <w:i w:val="0"/>
                <w:iCs w:val="0"/>
              </w:rPr>
              <w:t>due to variations across jurisdictions and employment arrangements</w:t>
            </w:r>
            <w:r w:rsidR="00DF7CCF">
              <w:rPr>
                <w:rFonts w:cs="Arial"/>
                <w:i w:val="0"/>
                <w:iCs w:val="0"/>
              </w:rPr>
              <w:t xml:space="preserve">, </w:t>
            </w:r>
            <w:r w:rsidRPr="006B1653">
              <w:rPr>
                <w:rFonts w:cs="Arial"/>
                <w:i w:val="0"/>
                <w:iCs w:val="0"/>
              </w:rPr>
              <w:t xml:space="preserve">has led to a rise in compliance errors and underpayments. </w:t>
            </w:r>
            <w:r w:rsidR="0018219A">
              <w:rPr>
                <w:rFonts w:cs="Arial"/>
                <w:i w:val="0"/>
                <w:iCs w:val="0"/>
              </w:rPr>
              <w:t>R</w:t>
            </w:r>
            <w:r w:rsidRPr="006B1653">
              <w:rPr>
                <w:rFonts w:cs="Arial"/>
                <w:i w:val="0"/>
                <w:iCs w:val="0"/>
              </w:rPr>
              <w:t>egulators have responded by adopting a more proactive enforcement approach, including audits and prosecutions</w:t>
            </w:r>
            <w:r>
              <w:rPr>
                <w:rFonts w:cs="Arial"/>
                <w:i w:val="0"/>
                <w:iCs w:val="0"/>
              </w:rPr>
              <w:t xml:space="preserve">. </w:t>
            </w:r>
            <w:r w:rsidRPr="006B1653">
              <w:rPr>
                <w:rFonts w:cs="Arial"/>
                <w:i w:val="0"/>
                <w:iCs w:val="0"/>
              </w:rPr>
              <w:t>The investigatory powers introduced by the amendments are therefore necessary to detect and address breaches effectively, particularly where voluntary compliance is lacking.</w:t>
            </w:r>
          </w:p>
          <w:p w14:paraId="3233F541" w14:textId="1DB45D1A" w:rsidR="006B1653" w:rsidRPr="006B1653" w:rsidRDefault="006B1653" w:rsidP="00A01D0C">
            <w:pPr>
              <w:rPr>
                <w:rFonts w:cs="Arial"/>
                <w:i w:val="0"/>
                <w:iCs w:val="0"/>
              </w:rPr>
            </w:pPr>
            <w:r w:rsidRPr="006B1653">
              <w:rPr>
                <w:rFonts w:cs="Arial"/>
                <w:i w:val="0"/>
                <w:iCs w:val="0"/>
              </w:rPr>
              <w:t xml:space="preserve">While these powers do limit privacy rights, they </w:t>
            </w:r>
            <w:r w:rsidR="009B05CC">
              <w:rPr>
                <w:rFonts w:cs="Arial"/>
                <w:i w:val="0"/>
                <w:iCs w:val="0"/>
              </w:rPr>
              <w:t>assist i</w:t>
            </w:r>
            <w:r w:rsidR="00E8595E">
              <w:rPr>
                <w:rFonts w:cs="Arial"/>
                <w:i w:val="0"/>
                <w:iCs w:val="0"/>
              </w:rPr>
              <w:t>n the objective of</w:t>
            </w:r>
            <w:r w:rsidRPr="006B1653">
              <w:rPr>
                <w:rFonts w:cs="Arial"/>
                <w:i w:val="0"/>
                <w:iCs w:val="0"/>
              </w:rPr>
              <w:t xml:space="preserve"> ensuring lawful entitlements are upheld. Safeguards such as identity verification requirements and limits on entry to residential premises help mitigate the impact on privacy. </w:t>
            </w:r>
          </w:p>
          <w:p w14:paraId="4FF9BE6E" w14:textId="53DEDB20" w:rsidR="00AC7B77" w:rsidRPr="00B31851" w:rsidRDefault="00194356" w:rsidP="00A01D0C">
            <w:pPr>
              <w:rPr>
                <w:rFonts w:cs="Arial"/>
                <w:i w:val="0"/>
                <w:iCs w:val="0"/>
              </w:rPr>
            </w:pPr>
            <w:r>
              <w:rPr>
                <w:rFonts w:cs="Arial"/>
                <w:i w:val="0"/>
                <w:iCs w:val="0"/>
              </w:rPr>
              <w:lastRenderedPageBreak/>
              <w:t>The changes also serve the purpose of</w:t>
            </w:r>
            <w:r w:rsidR="00762AF1">
              <w:rPr>
                <w:rFonts w:cs="Arial"/>
                <w:i w:val="0"/>
                <w:iCs w:val="0"/>
              </w:rPr>
              <w:t xml:space="preserve"> responding to</w:t>
            </w:r>
            <w:r w:rsidR="00D811D2" w:rsidRPr="00B31851">
              <w:rPr>
                <w:rFonts w:cs="Arial"/>
                <w:i w:val="0"/>
                <w:iCs w:val="0"/>
              </w:rPr>
              <w:t xml:space="preserve"> public interest by promoting transparency, accountability, and fairness in the administration of long service leave entitlements. They also act as a deterrent against non-compliance, ensuring that employers are aware of their obligations and that </w:t>
            </w:r>
            <w:r w:rsidR="00CA1EFC" w:rsidRPr="00B31851">
              <w:rPr>
                <w:rFonts w:cs="Arial"/>
                <w:i w:val="0"/>
                <w:iCs w:val="0"/>
              </w:rPr>
              <w:t>the regulator</w:t>
            </w:r>
            <w:r w:rsidR="00D811D2" w:rsidRPr="00B31851">
              <w:rPr>
                <w:rFonts w:cs="Arial"/>
                <w:i w:val="0"/>
                <w:iCs w:val="0"/>
              </w:rPr>
              <w:t xml:space="preserve"> </w:t>
            </w:r>
            <w:r w:rsidR="00CA1EFC" w:rsidRPr="00B31851">
              <w:rPr>
                <w:rFonts w:cs="Arial"/>
                <w:i w:val="0"/>
                <w:iCs w:val="0"/>
              </w:rPr>
              <w:t>has</w:t>
            </w:r>
            <w:r w:rsidR="00D811D2" w:rsidRPr="00B31851">
              <w:rPr>
                <w:rFonts w:cs="Arial"/>
                <w:i w:val="0"/>
                <w:iCs w:val="0"/>
              </w:rPr>
              <w:t xml:space="preserve"> tools necessary to uphold the law. </w:t>
            </w:r>
          </w:p>
        </w:tc>
      </w:tr>
      <w:tr w:rsidR="00AC7B77" w:rsidRPr="00B31851" w14:paraId="4F60E9B8" w14:textId="77777777" w:rsidTr="00A01D0C">
        <w:tc>
          <w:tcPr>
            <w:tcW w:w="1980" w:type="dxa"/>
          </w:tcPr>
          <w:p w14:paraId="3CA58677" w14:textId="6B650B63" w:rsidR="00AC7B77" w:rsidRPr="00B31851" w:rsidRDefault="00AC7B77" w:rsidP="00A01D0C">
            <w:pPr>
              <w:rPr>
                <w:rFonts w:cs="Arial"/>
                <w:i w:val="0"/>
                <w:iCs w:val="0"/>
              </w:rPr>
            </w:pPr>
            <w:r w:rsidRPr="00B31851">
              <w:rPr>
                <w:rFonts w:cs="Arial"/>
                <w:i w:val="0"/>
                <w:iCs w:val="0"/>
              </w:rPr>
              <w:lastRenderedPageBreak/>
              <w:t>DS Act amendment – Insert new section 207</w:t>
            </w:r>
            <w:r w:rsidR="00661284">
              <w:rPr>
                <w:rFonts w:cs="Arial"/>
                <w:i w:val="0"/>
                <w:iCs w:val="0"/>
              </w:rPr>
              <w:t xml:space="preserve"> </w:t>
            </w:r>
            <w:r w:rsidRPr="00B31851">
              <w:rPr>
                <w:rFonts w:cs="Arial"/>
                <w:i w:val="0"/>
                <w:iCs w:val="0"/>
              </w:rPr>
              <w:t>(1)(c)</w:t>
            </w:r>
          </w:p>
        </w:tc>
        <w:tc>
          <w:tcPr>
            <w:tcW w:w="7036" w:type="dxa"/>
          </w:tcPr>
          <w:p w14:paraId="228F49E0" w14:textId="173F9BFC" w:rsidR="00714883" w:rsidRPr="00714883" w:rsidRDefault="00714883" w:rsidP="00A01D0C">
            <w:pPr>
              <w:rPr>
                <w:rFonts w:cs="Arial"/>
                <w:i w:val="0"/>
                <w:iCs w:val="0"/>
              </w:rPr>
            </w:pPr>
            <w:r w:rsidRPr="00714883">
              <w:rPr>
                <w:rFonts w:cs="Arial"/>
                <w:i w:val="0"/>
                <w:iCs w:val="0"/>
              </w:rPr>
              <w:t xml:space="preserve">The amendment granting the regulator the functions and powers of an inspector reflects a deliberate policy decision to enhance enforcement and compliance capabilities in high-risk regulatory environments. This approach is consistent with the objectives outlined in section 6 of the </w:t>
            </w:r>
            <w:r w:rsidR="00A710B9">
              <w:rPr>
                <w:rFonts w:cs="Arial"/>
                <w:i w:val="0"/>
                <w:iCs w:val="0"/>
              </w:rPr>
              <w:t>DS Act</w:t>
            </w:r>
            <w:r w:rsidRPr="00714883">
              <w:rPr>
                <w:rFonts w:cs="Arial"/>
                <w:i w:val="0"/>
                <w:iCs w:val="0"/>
              </w:rPr>
              <w:t>, which aims to eliminate or minimise risks associated with hazardous substances and ensure timely, effective regulatory intervention.</w:t>
            </w:r>
          </w:p>
          <w:p w14:paraId="6E11C9B3" w14:textId="230A7BD7" w:rsidR="00714883" w:rsidRPr="00714883" w:rsidRDefault="00714883" w:rsidP="00A01D0C">
            <w:pPr>
              <w:rPr>
                <w:rFonts w:cs="Arial"/>
                <w:i w:val="0"/>
                <w:iCs w:val="0"/>
              </w:rPr>
            </w:pPr>
            <w:r w:rsidRPr="00714883">
              <w:rPr>
                <w:rFonts w:cs="Arial"/>
                <w:i w:val="0"/>
                <w:iCs w:val="0"/>
              </w:rPr>
              <w:t>By empowering the regulator to act directly</w:t>
            </w:r>
            <w:r w:rsidR="007C6545">
              <w:rPr>
                <w:rFonts w:cs="Arial"/>
                <w:i w:val="0"/>
                <w:iCs w:val="0"/>
              </w:rPr>
              <w:t xml:space="preserve">, </w:t>
            </w:r>
            <w:r w:rsidRPr="00714883">
              <w:rPr>
                <w:rFonts w:cs="Arial"/>
                <w:i w:val="0"/>
                <w:iCs w:val="0"/>
              </w:rPr>
              <w:t>without needing to wait for an inspector to be appointed</w:t>
            </w:r>
            <w:r w:rsidR="007C6545">
              <w:rPr>
                <w:rFonts w:cs="Arial"/>
                <w:i w:val="0"/>
                <w:iCs w:val="0"/>
              </w:rPr>
              <w:t xml:space="preserve">, </w:t>
            </w:r>
            <w:r w:rsidRPr="00714883">
              <w:rPr>
                <w:rFonts w:cs="Arial"/>
                <w:i w:val="0"/>
                <w:iCs w:val="0"/>
              </w:rPr>
              <w:t>the amendment supports swift enforcement responses in complex or high-risk scenarios. These may involve substances such as asbestos, acids, solvents, welding fumes, and radioactive materials, where delays in action could result in serious harm to people, property, or the environment. The ability to intervene promptly is essential to uphold the</w:t>
            </w:r>
            <w:r w:rsidR="002858C0">
              <w:rPr>
                <w:rFonts w:cs="Arial"/>
                <w:i w:val="0"/>
                <w:iCs w:val="0"/>
              </w:rPr>
              <w:t xml:space="preserve"> DS</w:t>
            </w:r>
            <w:r w:rsidRPr="00714883">
              <w:rPr>
                <w:rFonts w:cs="Arial"/>
                <w:i w:val="0"/>
                <w:iCs w:val="0"/>
              </w:rPr>
              <w:t xml:space="preserve"> Act’s core purpose of protecting public health and safety</w:t>
            </w:r>
            <w:r w:rsidR="00B6650B">
              <w:rPr>
                <w:rFonts w:cs="Arial"/>
                <w:i w:val="0"/>
                <w:iCs w:val="0"/>
              </w:rPr>
              <w:t>, including the right to a healthy environment</w:t>
            </w:r>
            <w:r w:rsidRPr="00714883">
              <w:rPr>
                <w:rFonts w:cs="Arial"/>
                <w:i w:val="0"/>
                <w:iCs w:val="0"/>
              </w:rPr>
              <w:t>.</w:t>
            </w:r>
          </w:p>
          <w:p w14:paraId="3B73C220" w14:textId="50BBB526" w:rsidR="00714883" w:rsidRPr="00714883" w:rsidRDefault="00714883" w:rsidP="00A01D0C">
            <w:pPr>
              <w:rPr>
                <w:rFonts w:cs="Arial"/>
                <w:i w:val="0"/>
                <w:iCs w:val="0"/>
              </w:rPr>
            </w:pPr>
            <w:r w:rsidRPr="00714883">
              <w:rPr>
                <w:rFonts w:cs="Arial"/>
                <w:i w:val="0"/>
                <w:iCs w:val="0"/>
              </w:rPr>
              <w:t xml:space="preserve">This reform also ensures consistency with the enforcement principles established under section 153 of the </w:t>
            </w:r>
            <w:r w:rsidR="009046F9">
              <w:rPr>
                <w:rFonts w:cs="Arial"/>
                <w:i w:val="0"/>
                <w:iCs w:val="0"/>
              </w:rPr>
              <w:t>WHS</w:t>
            </w:r>
            <w:r w:rsidRPr="00714883">
              <w:rPr>
                <w:rFonts w:cs="Arial"/>
                <w:i w:val="0"/>
                <w:iCs w:val="0"/>
              </w:rPr>
              <w:t xml:space="preserve"> Act, which recognises the need for regulators to be fully empowered to act decisively. Extending similar powers to</w:t>
            </w:r>
            <w:r w:rsidR="00D22861">
              <w:rPr>
                <w:rFonts w:cs="Arial"/>
                <w:i w:val="0"/>
                <w:iCs w:val="0"/>
              </w:rPr>
              <w:t xml:space="preserve"> apply under</w:t>
            </w:r>
            <w:r w:rsidRPr="00714883">
              <w:rPr>
                <w:rFonts w:cs="Arial"/>
                <w:i w:val="0"/>
                <w:iCs w:val="0"/>
              </w:rPr>
              <w:t xml:space="preserve"> the </w:t>
            </w:r>
            <w:r w:rsidR="00D22861">
              <w:rPr>
                <w:rFonts w:cs="Arial"/>
                <w:i w:val="0"/>
                <w:iCs w:val="0"/>
              </w:rPr>
              <w:t>DS</w:t>
            </w:r>
            <w:r w:rsidRPr="00714883">
              <w:rPr>
                <w:rFonts w:cs="Arial"/>
                <w:i w:val="0"/>
                <w:iCs w:val="0"/>
              </w:rPr>
              <w:t xml:space="preserve"> Act eliminates ambiguity about the regulator’s operational authority and reinforces its role as an active compliance and enforcement agency</w:t>
            </w:r>
            <w:r w:rsidR="00E8239D">
              <w:rPr>
                <w:rFonts w:cs="Arial"/>
                <w:i w:val="0"/>
                <w:iCs w:val="0"/>
              </w:rPr>
              <w:t xml:space="preserve">, </w:t>
            </w:r>
            <w:r w:rsidRPr="00714883">
              <w:rPr>
                <w:rFonts w:cs="Arial"/>
                <w:i w:val="0"/>
                <w:iCs w:val="0"/>
              </w:rPr>
              <w:t>not merely an administrative body.</w:t>
            </w:r>
          </w:p>
          <w:p w14:paraId="35245F18" w14:textId="2F815EA3" w:rsidR="00AC7B77" w:rsidRPr="00B31851" w:rsidRDefault="00714883" w:rsidP="00A01D0C">
            <w:pPr>
              <w:rPr>
                <w:rFonts w:cs="Arial"/>
                <w:i w:val="0"/>
                <w:iCs w:val="0"/>
              </w:rPr>
            </w:pPr>
            <w:r w:rsidRPr="00714883">
              <w:rPr>
                <w:rFonts w:cs="Arial"/>
                <w:i w:val="0"/>
                <w:iCs w:val="0"/>
              </w:rPr>
              <w:t>While the expanded powers may involve increased access to sensitive information and operational authority, the resu</w:t>
            </w:r>
            <w:r w:rsidR="00E2408E">
              <w:rPr>
                <w:rFonts w:cs="Arial"/>
                <w:i w:val="0"/>
                <w:iCs w:val="0"/>
              </w:rPr>
              <w:t>l</w:t>
            </w:r>
            <w:r w:rsidRPr="00714883">
              <w:rPr>
                <w:rFonts w:cs="Arial"/>
                <w:i w:val="0"/>
                <w:iCs w:val="0"/>
              </w:rPr>
              <w:t xml:space="preserve">ting limitation on privacy </w:t>
            </w:r>
            <w:r w:rsidR="004E591A">
              <w:rPr>
                <w:rFonts w:cs="Arial"/>
                <w:i w:val="0"/>
                <w:iCs w:val="0"/>
              </w:rPr>
              <w:t>helps to</w:t>
            </w:r>
            <w:r w:rsidRPr="00714883">
              <w:rPr>
                <w:rFonts w:cs="Arial"/>
                <w:i w:val="0"/>
                <w:iCs w:val="0"/>
              </w:rPr>
              <w:t xml:space="preserve"> prevent harm and ensur</w:t>
            </w:r>
            <w:r w:rsidR="00E2408E">
              <w:rPr>
                <w:rFonts w:cs="Arial"/>
                <w:i w:val="0"/>
                <w:iCs w:val="0"/>
              </w:rPr>
              <w:t xml:space="preserve">e </w:t>
            </w:r>
            <w:r w:rsidRPr="00714883">
              <w:rPr>
                <w:rFonts w:cs="Arial"/>
                <w:i w:val="0"/>
                <w:iCs w:val="0"/>
              </w:rPr>
              <w:t xml:space="preserve">safety. The amendment also closes any gap between the powers of inspectors and the regulator, providing clarity and consistency across enforcement mechanisms. This enables regulatory responses to be more coordinated, effective, and aligned with the overarching goals of the </w:t>
            </w:r>
            <w:r w:rsidR="00D4699F">
              <w:rPr>
                <w:rFonts w:cs="Arial"/>
                <w:i w:val="0"/>
                <w:iCs w:val="0"/>
              </w:rPr>
              <w:t xml:space="preserve">DS </w:t>
            </w:r>
            <w:r w:rsidRPr="00714883">
              <w:rPr>
                <w:rFonts w:cs="Arial"/>
                <w:i w:val="0"/>
                <w:iCs w:val="0"/>
              </w:rPr>
              <w:t>Act.</w:t>
            </w:r>
          </w:p>
        </w:tc>
      </w:tr>
      <w:tr w:rsidR="00AC7B77" w:rsidRPr="00B31851" w14:paraId="3B646525" w14:textId="77777777" w:rsidTr="00A01D0C">
        <w:tc>
          <w:tcPr>
            <w:tcW w:w="1980" w:type="dxa"/>
          </w:tcPr>
          <w:p w14:paraId="53F3150E" w14:textId="33F5408F" w:rsidR="00AC7B77" w:rsidRPr="00B31851" w:rsidRDefault="00AC7B77" w:rsidP="00A01D0C">
            <w:pPr>
              <w:rPr>
                <w:rFonts w:cs="Arial"/>
                <w:i w:val="0"/>
                <w:iCs w:val="0"/>
              </w:rPr>
            </w:pPr>
            <w:r w:rsidRPr="00B31851">
              <w:rPr>
                <w:rFonts w:cs="Arial"/>
                <w:i w:val="0"/>
                <w:iCs w:val="0"/>
              </w:rPr>
              <w:t>WC Act amendment – New section 188</w:t>
            </w:r>
            <w:r w:rsidR="00D60A39">
              <w:rPr>
                <w:rFonts w:cs="Arial"/>
                <w:i w:val="0"/>
                <w:iCs w:val="0"/>
              </w:rPr>
              <w:t> </w:t>
            </w:r>
            <w:r w:rsidRPr="00B31851">
              <w:rPr>
                <w:rFonts w:cs="Arial"/>
                <w:i w:val="0"/>
                <w:iCs w:val="0"/>
              </w:rPr>
              <w:t>(3)</w:t>
            </w:r>
          </w:p>
        </w:tc>
        <w:tc>
          <w:tcPr>
            <w:tcW w:w="7036" w:type="dxa"/>
          </w:tcPr>
          <w:p w14:paraId="236E303E" w14:textId="1ACE9016" w:rsidR="00D43A79" w:rsidRPr="00B31851" w:rsidRDefault="00995C13" w:rsidP="00A01D0C">
            <w:pPr>
              <w:rPr>
                <w:rFonts w:cs="Arial"/>
                <w:i w:val="0"/>
                <w:iCs w:val="0"/>
              </w:rPr>
            </w:pPr>
            <w:r>
              <w:rPr>
                <w:rFonts w:cs="Arial"/>
                <w:i w:val="0"/>
                <w:iCs w:val="0"/>
              </w:rPr>
              <w:t>Clarifying and refining</w:t>
            </w:r>
            <w:r w:rsidR="00D43A79" w:rsidRPr="00B31851">
              <w:rPr>
                <w:rFonts w:cs="Arial"/>
                <w:i w:val="0"/>
                <w:iCs w:val="0"/>
              </w:rPr>
              <w:t xml:space="preserve"> the </w:t>
            </w:r>
            <w:r w:rsidR="00C029F7">
              <w:rPr>
                <w:rFonts w:cs="Arial"/>
                <w:i w:val="0"/>
                <w:iCs w:val="0"/>
              </w:rPr>
              <w:t>r</w:t>
            </w:r>
            <w:r w:rsidR="00D43A79" w:rsidRPr="00B31851">
              <w:rPr>
                <w:rFonts w:cs="Arial"/>
                <w:i w:val="0"/>
                <w:iCs w:val="0"/>
              </w:rPr>
              <w:t>egulator</w:t>
            </w:r>
            <w:r w:rsidR="00646ADA">
              <w:rPr>
                <w:rFonts w:cs="Arial"/>
                <w:i w:val="0"/>
                <w:iCs w:val="0"/>
              </w:rPr>
              <w:t>’</w:t>
            </w:r>
            <w:r w:rsidR="00D43A79" w:rsidRPr="00B31851">
              <w:rPr>
                <w:rFonts w:cs="Arial"/>
                <w:i w:val="0"/>
                <w:iCs w:val="0"/>
              </w:rPr>
              <w:t>s powers</w:t>
            </w:r>
            <w:r w:rsidR="00646ADA">
              <w:rPr>
                <w:rFonts w:cs="Arial"/>
                <w:i w:val="0"/>
                <w:iCs w:val="0"/>
              </w:rPr>
              <w:t xml:space="preserve"> to include inspector functions and powers</w:t>
            </w:r>
            <w:r w:rsidR="00D43A79" w:rsidRPr="00B31851">
              <w:rPr>
                <w:rFonts w:cs="Arial"/>
                <w:i w:val="0"/>
                <w:iCs w:val="0"/>
              </w:rPr>
              <w:t xml:space="preserve"> supports the objective of maintaining the integrity of the workers compensation system, protecting vulnerable claimants, and ensuring that entitlements are delivered fairly and lawfully</w:t>
            </w:r>
            <w:r w:rsidR="00646ADA">
              <w:rPr>
                <w:rFonts w:cs="Arial"/>
                <w:i w:val="0"/>
                <w:iCs w:val="0"/>
              </w:rPr>
              <w:t>, therefore supporting the right to work and work-related rights</w:t>
            </w:r>
            <w:r w:rsidR="00D43A79" w:rsidRPr="00B31851">
              <w:rPr>
                <w:rFonts w:cs="Arial"/>
                <w:i w:val="0"/>
                <w:iCs w:val="0"/>
              </w:rPr>
              <w:t xml:space="preserve">. It also reinforces the </w:t>
            </w:r>
            <w:r w:rsidR="00C029F7">
              <w:rPr>
                <w:rFonts w:cs="Arial"/>
                <w:i w:val="0"/>
                <w:iCs w:val="0"/>
              </w:rPr>
              <w:t>r</w:t>
            </w:r>
            <w:r w:rsidR="00534289">
              <w:rPr>
                <w:rFonts w:cs="Arial"/>
                <w:i w:val="0"/>
                <w:iCs w:val="0"/>
              </w:rPr>
              <w:t>egulators</w:t>
            </w:r>
            <w:r>
              <w:rPr>
                <w:rFonts w:cs="Arial"/>
                <w:i w:val="0"/>
                <w:iCs w:val="0"/>
              </w:rPr>
              <w:t xml:space="preserve"> </w:t>
            </w:r>
            <w:r w:rsidR="00D43A79" w:rsidRPr="00B31851">
              <w:rPr>
                <w:rFonts w:cs="Arial"/>
                <w:i w:val="0"/>
                <w:iCs w:val="0"/>
              </w:rPr>
              <w:t xml:space="preserve">role as a proactive compliance authority, capable of initiating enforcement action where necessary to uphold public trust and accountability. Importantly, the amendment closes any legal ambiguity between the powers of inspectors and the regulator, providing clarity and consistency in the administration of the Act. </w:t>
            </w:r>
          </w:p>
          <w:p w14:paraId="32AD3F5B" w14:textId="62BA7BA6" w:rsidR="00AC7B77" w:rsidRPr="00B31851" w:rsidRDefault="00BD0891" w:rsidP="00A01D0C">
            <w:pPr>
              <w:rPr>
                <w:rFonts w:cs="Arial"/>
                <w:i w:val="0"/>
                <w:iCs w:val="0"/>
              </w:rPr>
            </w:pPr>
            <w:r w:rsidRPr="00B31851">
              <w:rPr>
                <w:rFonts w:cs="Arial"/>
                <w:i w:val="0"/>
                <w:iCs w:val="0"/>
              </w:rPr>
              <w:lastRenderedPageBreak/>
              <w:t>The WC Act amendment supports this objective</w:t>
            </w:r>
            <w:r w:rsidR="00B75E88" w:rsidRPr="00B31851">
              <w:rPr>
                <w:rFonts w:cs="Arial"/>
                <w:i w:val="0"/>
                <w:iCs w:val="0"/>
              </w:rPr>
              <w:t xml:space="preserve"> of </w:t>
            </w:r>
            <w:r w:rsidR="00FD2C8F" w:rsidRPr="00B31851">
              <w:rPr>
                <w:rFonts w:cs="Arial"/>
                <w:i w:val="0"/>
                <w:iCs w:val="0"/>
              </w:rPr>
              <w:t>strengthening regulatory oversight and compliance,</w:t>
            </w:r>
            <w:r w:rsidRPr="00B31851">
              <w:rPr>
                <w:rFonts w:cs="Arial"/>
                <w:i w:val="0"/>
                <w:iCs w:val="0"/>
              </w:rPr>
              <w:t xml:space="preserve"> by formally designating the regulator as an inspector, thereby expanding their ability to oversee workers’ compensation matters. Although these changes may impact privacy through increased access to sensitive information, they serve a legitimate and pressing purpose in a free and democratic society by safeguarding public safety, protecting worker rights, and ensuring accountability in high-risk environments.</w:t>
            </w:r>
          </w:p>
        </w:tc>
      </w:tr>
    </w:tbl>
    <w:p w14:paraId="572B7A57" w14:textId="77777777" w:rsidR="00A01D0C" w:rsidRPr="00A01D0C" w:rsidRDefault="00A01D0C" w:rsidP="00A01D0C">
      <w:pPr>
        <w:pStyle w:val="ListParagraph"/>
        <w:keepNext/>
        <w:ind w:left="851"/>
        <w:rPr>
          <w:rFonts w:eastAsiaTheme="minorEastAsia" w:cs="Arial"/>
          <w:i w:val="0"/>
        </w:rPr>
      </w:pPr>
    </w:p>
    <w:p w14:paraId="352F3414" w14:textId="58D3FA05" w:rsidR="004A4A09" w:rsidRPr="002B05CF" w:rsidRDefault="00FE099C" w:rsidP="00AF5CC8">
      <w:pPr>
        <w:pStyle w:val="ListParagraph"/>
        <w:keepNext/>
        <w:numPr>
          <w:ilvl w:val="4"/>
          <w:numId w:val="22"/>
        </w:numPr>
        <w:ind w:left="851" w:hanging="425"/>
        <w:rPr>
          <w:rFonts w:eastAsiaTheme="minorEastAsia" w:cs="Arial"/>
          <w:i w:val="0"/>
        </w:rPr>
      </w:pPr>
      <w:r w:rsidRPr="00A50DB6">
        <w:rPr>
          <w:rFonts w:cs="Arial"/>
          <w:b/>
        </w:rPr>
        <w:t>Rational connection between the limitation and the purpose (s28</w:t>
      </w:r>
      <w:r w:rsidR="00F605D7">
        <w:rPr>
          <w:rFonts w:cs="Arial"/>
          <w:b/>
        </w:rPr>
        <w:t>(2)</w:t>
      </w:r>
      <w:r w:rsidRPr="00A50DB6">
        <w:rPr>
          <w:rFonts w:cs="Arial"/>
          <w:b/>
        </w:rPr>
        <w:t>(d))</w:t>
      </w:r>
    </w:p>
    <w:tbl>
      <w:tblPr>
        <w:tblStyle w:val="TableGrid"/>
        <w:tblpPr w:leftFromText="181" w:rightFromText="181" w:vertAnchor="text" w:tblpY="1"/>
        <w:tblW w:w="9067" w:type="dxa"/>
        <w:tblLook w:val="04A0" w:firstRow="1" w:lastRow="0" w:firstColumn="1" w:lastColumn="0" w:noHBand="0" w:noVBand="1"/>
      </w:tblPr>
      <w:tblGrid>
        <w:gridCol w:w="1980"/>
        <w:gridCol w:w="7087"/>
      </w:tblGrid>
      <w:tr w:rsidR="00646ADA" w:rsidRPr="00B31851" w14:paraId="2C9EB9F7" w14:textId="40456D92" w:rsidTr="00A01D0C">
        <w:tc>
          <w:tcPr>
            <w:tcW w:w="1980" w:type="dxa"/>
          </w:tcPr>
          <w:p w14:paraId="539F9833" w14:textId="34BCE249" w:rsidR="00646ADA" w:rsidRPr="00B31851" w:rsidRDefault="00646ADA" w:rsidP="00A01D0C">
            <w:pPr>
              <w:rPr>
                <w:rFonts w:cs="Arial"/>
                <w:i w:val="0"/>
                <w:iCs w:val="0"/>
              </w:rPr>
            </w:pPr>
            <w:r w:rsidRPr="00B31851">
              <w:rPr>
                <w:rFonts w:cs="Arial"/>
                <w:i w:val="0"/>
                <w:iCs w:val="0"/>
              </w:rPr>
              <w:t>LSL Act amendments - enforcement and compliance – sections 13C and 13CC</w:t>
            </w:r>
          </w:p>
        </w:tc>
        <w:tc>
          <w:tcPr>
            <w:tcW w:w="7087" w:type="dxa"/>
          </w:tcPr>
          <w:p w14:paraId="7AB1C4F5" w14:textId="77935B89" w:rsidR="006C0B4B" w:rsidRDefault="003D4107" w:rsidP="00A01D0C">
            <w:pPr>
              <w:rPr>
                <w:rFonts w:cs="Arial"/>
                <w:i w:val="0"/>
                <w:iCs w:val="0"/>
              </w:rPr>
            </w:pPr>
            <w:r w:rsidRPr="00941E90">
              <w:rPr>
                <w:rFonts w:cs="Arial"/>
                <w:i w:val="0"/>
                <w:iCs w:val="0"/>
              </w:rPr>
              <w:t xml:space="preserve">The amendment which introduces expanded investigatory powers for authorised officers under sections 13C and 13CC, is connected to the </w:t>
            </w:r>
            <w:r>
              <w:rPr>
                <w:rFonts w:cs="Arial"/>
                <w:i w:val="0"/>
                <w:iCs w:val="0"/>
              </w:rPr>
              <w:t xml:space="preserve">LSL </w:t>
            </w:r>
            <w:r w:rsidRPr="00941E90">
              <w:rPr>
                <w:rFonts w:cs="Arial"/>
                <w:i w:val="0"/>
                <w:iCs w:val="0"/>
              </w:rPr>
              <w:t>Act’s core objective of ensuring employees receive their lawful entitlements. These powers enable officers to enter workplaces without prior consent and compel individuals to produce documents or information relevant to compliance investigations. While these provisions may interfere with privacy and reputation</w:t>
            </w:r>
            <w:r w:rsidR="006C0B4B">
              <w:rPr>
                <w:rFonts w:cs="Arial"/>
                <w:i w:val="0"/>
                <w:iCs w:val="0"/>
              </w:rPr>
              <w:t xml:space="preserve">, </w:t>
            </w:r>
            <w:r w:rsidRPr="00941E90">
              <w:rPr>
                <w:rFonts w:cs="Arial"/>
                <w:i w:val="0"/>
                <w:iCs w:val="0"/>
              </w:rPr>
              <w:t>particularly through access to sensitive business records or personal data</w:t>
            </w:r>
            <w:r w:rsidR="006C0B4B">
              <w:rPr>
                <w:rFonts w:cs="Arial"/>
                <w:i w:val="0"/>
                <w:iCs w:val="0"/>
              </w:rPr>
              <w:t xml:space="preserve">, </w:t>
            </w:r>
            <w:r w:rsidRPr="00941E90">
              <w:rPr>
                <w:rFonts w:cs="Arial"/>
                <w:i w:val="0"/>
                <w:iCs w:val="0"/>
              </w:rPr>
              <w:t>they are necessary to support timely and effective enforcement</w:t>
            </w:r>
            <w:r w:rsidR="00EB4CA2">
              <w:rPr>
                <w:rFonts w:cs="Arial"/>
                <w:i w:val="0"/>
                <w:iCs w:val="0"/>
              </w:rPr>
              <w:t>, otherwise</w:t>
            </w:r>
            <w:r w:rsidR="00436A94">
              <w:rPr>
                <w:rFonts w:cs="Arial"/>
                <w:i w:val="0"/>
                <w:iCs w:val="0"/>
              </w:rPr>
              <w:t xml:space="preserve"> officers may not be able to access the needed information</w:t>
            </w:r>
            <w:r w:rsidRPr="00941E90">
              <w:rPr>
                <w:rFonts w:cs="Arial"/>
                <w:i w:val="0"/>
                <w:iCs w:val="0"/>
              </w:rPr>
              <w:t xml:space="preserve">. </w:t>
            </w:r>
          </w:p>
          <w:p w14:paraId="1CA114FE" w14:textId="4F125FF9" w:rsidR="000E68FB" w:rsidRDefault="003D4107" w:rsidP="00A01D0C">
            <w:pPr>
              <w:rPr>
                <w:rFonts w:cs="Arial"/>
                <w:i w:val="0"/>
                <w:iCs w:val="0"/>
              </w:rPr>
            </w:pPr>
            <w:r w:rsidRPr="00941E90">
              <w:rPr>
                <w:rFonts w:cs="Arial"/>
                <w:i w:val="0"/>
                <w:iCs w:val="0"/>
              </w:rPr>
              <w:t xml:space="preserve">In practice, these powers allow officers to respond swiftly to suspected breaches, especially in cases where employers may be unwilling to cooperate or where records are incomplete or concealed. </w:t>
            </w:r>
            <w:r w:rsidR="00A913A7">
              <w:rPr>
                <w:rFonts w:cs="Arial"/>
                <w:i w:val="0"/>
                <w:iCs w:val="0"/>
              </w:rPr>
              <w:t>Access to employment records, service histories, and payroll data is critica</w:t>
            </w:r>
            <w:r w:rsidR="007C6899">
              <w:rPr>
                <w:rFonts w:cs="Arial"/>
                <w:i w:val="0"/>
                <w:iCs w:val="0"/>
              </w:rPr>
              <w:t xml:space="preserve">l </w:t>
            </w:r>
            <w:r w:rsidR="00A913A7">
              <w:rPr>
                <w:rFonts w:cs="Arial"/>
                <w:i w:val="0"/>
                <w:iCs w:val="0"/>
              </w:rPr>
              <w:t xml:space="preserve">for </w:t>
            </w:r>
            <w:r w:rsidR="007C6899">
              <w:rPr>
                <w:rFonts w:cs="Arial"/>
                <w:i w:val="0"/>
                <w:iCs w:val="0"/>
              </w:rPr>
              <w:t>verifying</w:t>
            </w:r>
            <w:r w:rsidR="00A913A7">
              <w:rPr>
                <w:rFonts w:cs="Arial"/>
                <w:i w:val="0"/>
                <w:iCs w:val="0"/>
              </w:rPr>
              <w:t xml:space="preserve"> whether workers hav</w:t>
            </w:r>
            <w:r w:rsidR="00B21366">
              <w:rPr>
                <w:rFonts w:cs="Arial"/>
                <w:i w:val="0"/>
                <w:iCs w:val="0"/>
              </w:rPr>
              <w:t>e</w:t>
            </w:r>
            <w:r w:rsidR="00A913A7">
              <w:rPr>
                <w:rFonts w:cs="Arial"/>
                <w:i w:val="0"/>
                <w:iCs w:val="0"/>
              </w:rPr>
              <w:t xml:space="preserve"> accrued entitlements and whether </w:t>
            </w:r>
            <w:r w:rsidR="007C6899">
              <w:rPr>
                <w:rFonts w:cs="Arial"/>
                <w:i w:val="0"/>
                <w:iCs w:val="0"/>
              </w:rPr>
              <w:t>employers</w:t>
            </w:r>
            <w:r w:rsidR="00A913A7">
              <w:rPr>
                <w:rFonts w:cs="Arial"/>
                <w:i w:val="0"/>
                <w:iCs w:val="0"/>
              </w:rPr>
              <w:t xml:space="preserve"> have fulfilled their obligations. </w:t>
            </w:r>
            <w:r w:rsidRPr="00941E90">
              <w:rPr>
                <w:rFonts w:cs="Arial"/>
                <w:i w:val="0"/>
                <w:iCs w:val="0"/>
              </w:rPr>
              <w:t xml:space="preserve">For example, if an employee </w:t>
            </w:r>
            <w:r w:rsidR="00661284">
              <w:rPr>
                <w:rFonts w:cs="Arial"/>
                <w:i w:val="0"/>
                <w:iCs w:val="0"/>
              </w:rPr>
              <w:t>submits that</w:t>
            </w:r>
            <w:r w:rsidR="000D4528">
              <w:rPr>
                <w:rFonts w:cs="Arial"/>
                <w:i w:val="0"/>
                <w:iCs w:val="0"/>
              </w:rPr>
              <w:t xml:space="preserve"> </w:t>
            </w:r>
            <w:r w:rsidRPr="00941E90">
              <w:rPr>
                <w:rFonts w:cs="Arial"/>
                <w:i w:val="0"/>
                <w:iCs w:val="0"/>
              </w:rPr>
              <w:t xml:space="preserve">they were denied long service leave despite meeting eligibility criteria, authorised officers can enter the workplace to inspect rosters and payroll records and compel the employer to produce off-site documentation. </w:t>
            </w:r>
            <w:r w:rsidR="00A913A7">
              <w:rPr>
                <w:rFonts w:cs="Arial"/>
                <w:i w:val="0"/>
                <w:iCs w:val="0"/>
              </w:rPr>
              <w:t>T</w:t>
            </w:r>
            <w:r w:rsidRPr="00941E90">
              <w:rPr>
                <w:rFonts w:cs="Arial"/>
                <w:i w:val="0"/>
                <w:iCs w:val="0"/>
              </w:rPr>
              <w:t xml:space="preserve">his direct access ensures that investigations are not delayed, and that entitlements are </w:t>
            </w:r>
            <w:r w:rsidR="000D4528">
              <w:rPr>
                <w:rFonts w:cs="Arial"/>
                <w:i w:val="0"/>
                <w:iCs w:val="0"/>
              </w:rPr>
              <w:t>paid</w:t>
            </w:r>
            <w:r w:rsidRPr="00941E90">
              <w:rPr>
                <w:rFonts w:cs="Arial"/>
                <w:i w:val="0"/>
                <w:iCs w:val="0"/>
              </w:rPr>
              <w:t xml:space="preserve">. </w:t>
            </w:r>
            <w:r w:rsidR="0078562C">
              <w:rPr>
                <w:rFonts w:cs="Arial"/>
                <w:i w:val="0"/>
                <w:iCs w:val="0"/>
              </w:rPr>
              <w:t xml:space="preserve">Without the amendment, </w:t>
            </w:r>
            <w:r w:rsidR="00272D9F">
              <w:rPr>
                <w:rFonts w:cs="Arial"/>
                <w:i w:val="0"/>
                <w:iCs w:val="0"/>
              </w:rPr>
              <w:t>investigators</w:t>
            </w:r>
            <w:r w:rsidR="0078562C">
              <w:rPr>
                <w:rFonts w:cs="Arial"/>
                <w:i w:val="0"/>
                <w:iCs w:val="0"/>
              </w:rPr>
              <w:t xml:space="preserve"> would need to request access to records and wait for voluntary cooperation. In </w:t>
            </w:r>
            <w:r w:rsidR="00272D9F">
              <w:rPr>
                <w:rFonts w:cs="Arial"/>
                <w:i w:val="0"/>
                <w:iCs w:val="0"/>
              </w:rPr>
              <w:t>circumstances</w:t>
            </w:r>
            <w:r w:rsidR="0078562C">
              <w:rPr>
                <w:rFonts w:cs="Arial"/>
                <w:i w:val="0"/>
                <w:iCs w:val="0"/>
              </w:rPr>
              <w:t xml:space="preserve"> where the </w:t>
            </w:r>
            <w:r w:rsidR="00272D9F">
              <w:rPr>
                <w:rFonts w:cs="Arial"/>
                <w:i w:val="0"/>
                <w:iCs w:val="0"/>
              </w:rPr>
              <w:t>employer</w:t>
            </w:r>
            <w:r w:rsidR="0078562C">
              <w:rPr>
                <w:rFonts w:cs="Arial"/>
                <w:i w:val="0"/>
                <w:iCs w:val="0"/>
              </w:rPr>
              <w:t xml:space="preserve"> delays or refuses, enforcement </w:t>
            </w:r>
            <w:r w:rsidR="00401055">
              <w:rPr>
                <w:rFonts w:cs="Arial"/>
                <w:i w:val="0"/>
                <w:iCs w:val="0"/>
              </w:rPr>
              <w:t xml:space="preserve">would be </w:t>
            </w:r>
            <w:r w:rsidR="0078562C">
              <w:rPr>
                <w:rFonts w:cs="Arial"/>
                <w:i w:val="0"/>
                <w:iCs w:val="0"/>
              </w:rPr>
              <w:t>stalled</w:t>
            </w:r>
            <w:r w:rsidR="00FA4772">
              <w:rPr>
                <w:rFonts w:cs="Arial"/>
                <w:i w:val="0"/>
                <w:iCs w:val="0"/>
              </w:rPr>
              <w:t>,</w:t>
            </w:r>
            <w:r w:rsidR="00272D9F">
              <w:rPr>
                <w:rFonts w:cs="Arial"/>
                <w:i w:val="0"/>
                <w:iCs w:val="0"/>
              </w:rPr>
              <w:t xml:space="preserve"> and the </w:t>
            </w:r>
            <w:r w:rsidR="00661284">
              <w:rPr>
                <w:rFonts w:cs="Arial"/>
                <w:i w:val="0"/>
                <w:iCs w:val="0"/>
              </w:rPr>
              <w:t>employees</w:t>
            </w:r>
            <w:r w:rsidR="00272D9F">
              <w:rPr>
                <w:rFonts w:cs="Arial"/>
                <w:i w:val="0"/>
                <w:iCs w:val="0"/>
              </w:rPr>
              <w:t xml:space="preserve"> right remain unaddressed.</w:t>
            </w:r>
          </w:p>
          <w:p w14:paraId="66A432CF" w14:textId="7DADD813" w:rsidR="000E68FB" w:rsidRDefault="000E68FB" w:rsidP="00A01D0C">
            <w:pPr>
              <w:rPr>
                <w:rFonts w:cs="Arial"/>
                <w:i w:val="0"/>
                <w:iCs w:val="0"/>
              </w:rPr>
            </w:pPr>
            <w:r w:rsidRPr="00762C53">
              <w:rPr>
                <w:rFonts w:cs="Arial"/>
                <w:i w:val="0"/>
                <w:iCs w:val="0"/>
              </w:rPr>
              <w:t xml:space="preserve">Further an inspector may exercise a right of entry and if they later form the view that further documents are reasonably required, the inspector is able to direct production without having to exercise a further right of entry. This approach </w:t>
            </w:r>
            <w:r w:rsidR="00E86F8B" w:rsidRPr="00762C53">
              <w:rPr>
                <w:rFonts w:cs="Arial"/>
                <w:i w:val="0"/>
                <w:iCs w:val="0"/>
              </w:rPr>
              <w:t>miminises</w:t>
            </w:r>
            <w:r w:rsidR="005D75B9" w:rsidRPr="00762C53">
              <w:rPr>
                <w:rFonts w:cs="Arial"/>
                <w:i w:val="0"/>
                <w:iCs w:val="0"/>
              </w:rPr>
              <w:t xml:space="preserve"> </w:t>
            </w:r>
            <w:r w:rsidR="00E86F8B" w:rsidRPr="00762C53">
              <w:rPr>
                <w:rFonts w:cs="Arial"/>
                <w:i w:val="0"/>
                <w:iCs w:val="0"/>
              </w:rPr>
              <w:t xml:space="preserve">any </w:t>
            </w:r>
            <w:r w:rsidRPr="00762C53">
              <w:rPr>
                <w:rFonts w:cs="Arial"/>
                <w:i w:val="0"/>
                <w:iCs w:val="0"/>
              </w:rPr>
              <w:t xml:space="preserve">potential limitation </w:t>
            </w:r>
            <w:r w:rsidR="00E86F8B" w:rsidRPr="00762C53">
              <w:rPr>
                <w:rFonts w:cs="Arial"/>
                <w:i w:val="0"/>
                <w:iCs w:val="0"/>
              </w:rPr>
              <w:t>on</w:t>
            </w:r>
            <w:r w:rsidRPr="00762C53">
              <w:rPr>
                <w:rFonts w:cs="Arial"/>
                <w:i w:val="0"/>
                <w:iCs w:val="0"/>
              </w:rPr>
              <w:t xml:space="preserve"> privacy.</w:t>
            </w:r>
          </w:p>
          <w:p w14:paraId="52DF3790" w14:textId="77777777" w:rsidR="009360F3" w:rsidRDefault="003D4107" w:rsidP="00A01D0C">
            <w:pPr>
              <w:rPr>
                <w:rFonts w:cs="Arial"/>
                <w:i w:val="0"/>
                <w:iCs w:val="0"/>
              </w:rPr>
            </w:pPr>
            <w:r w:rsidRPr="00941E90">
              <w:rPr>
                <w:rFonts w:cs="Arial"/>
                <w:i w:val="0"/>
                <w:iCs w:val="0"/>
              </w:rPr>
              <w:t xml:space="preserve">Although the powers limit privacy, the interference </w:t>
            </w:r>
            <w:r w:rsidR="00C37643">
              <w:rPr>
                <w:rFonts w:cs="Arial"/>
                <w:i w:val="0"/>
                <w:iCs w:val="0"/>
              </w:rPr>
              <w:t>is directly</w:t>
            </w:r>
            <w:r w:rsidR="00942578">
              <w:rPr>
                <w:rFonts w:cs="Arial"/>
                <w:i w:val="0"/>
                <w:iCs w:val="0"/>
              </w:rPr>
              <w:t xml:space="preserve"> connected</w:t>
            </w:r>
            <w:r w:rsidRPr="00941E90">
              <w:rPr>
                <w:rFonts w:cs="Arial"/>
                <w:i w:val="0"/>
                <w:iCs w:val="0"/>
              </w:rPr>
              <w:t xml:space="preserve"> </w:t>
            </w:r>
            <w:r w:rsidR="00942578">
              <w:rPr>
                <w:rFonts w:cs="Arial"/>
                <w:i w:val="0"/>
                <w:iCs w:val="0"/>
              </w:rPr>
              <w:t xml:space="preserve">and </w:t>
            </w:r>
            <w:r w:rsidRPr="00941E90">
              <w:rPr>
                <w:rFonts w:cs="Arial"/>
                <w:i w:val="0"/>
                <w:iCs w:val="0"/>
              </w:rPr>
              <w:t>aim</w:t>
            </w:r>
            <w:r w:rsidR="00942578">
              <w:rPr>
                <w:rFonts w:cs="Arial"/>
                <w:i w:val="0"/>
                <w:iCs w:val="0"/>
              </w:rPr>
              <w:t>ed at</w:t>
            </w:r>
            <w:r w:rsidRPr="00941E90">
              <w:rPr>
                <w:rFonts w:cs="Arial"/>
                <w:i w:val="0"/>
                <w:iCs w:val="0"/>
              </w:rPr>
              <w:t xml:space="preserve"> protecting workers’ rights and ensuring compliance with the law. </w:t>
            </w:r>
            <w:r w:rsidR="00D632A8">
              <w:rPr>
                <w:rFonts w:cs="Arial"/>
                <w:i w:val="0"/>
                <w:iCs w:val="0"/>
              </w:rPr>
              <w:t>The powers are</w:t>
            </w:r>
            <w:r w:rsidR="002A2B2B">
              <w:rPr>
                <w:rFonts w:cs="Arial"/>
                <w:i w:val="0"/>
                <w:iCs w:val="0"/>
              </w:rPr>
              <w:t xml:space="preserve"> targeted as they only apply to investigations </w:t>
            </w:r>
            <w:r w:rsidR="008621CE">
              <w:rPr>
                <w:rFonts w:cs="Arial"/>
                <w:i w:val="0"/>
                <w:iCs w:val="0"/>
              </w:rPr>
              <w:t xml:space="preserve">related to compliance of long service leave </w:t>
            </w:r>
            <w:r w:rsidR="00B03B1A">
              <w:rPr>
                <w:rFonts w:cs="Arial"/>
                <w:i w:val="0"/>
                <w:iCs w:val="0"/>
              </w:rPr>
              <w:t>entitlements</w:t>
            </w:r>
            <w:r w:rsidR="007E110F">
              <w:rPr>
                <w:rFonts w:cs="Arial"/>
                <w:i w:val="0"/>
                <w:iCs w:val="0"/>
              </w:rPr>
              <w:t xml:space="preserve"> and </w:t>
            </w:r>
            <w:r w:rsidR="00B03B1A">
              <w:rPr>
                <w:rFonts w:cs="Arial"/>
                <w:i w:val="0"/>
                <w:iCs w:val="0"/>
              </w:rPr>
              <w:t xml:space="preserve">uphold accountability through making </w:t>
            </w:r>
            <w:r w:rsidR="00B03B1A">
              <w:rPr>
                <w:rFonts w:cs="Arial"/>
                <w:i w:val="0"/>
                <w:iCs w:val="0"/>
              </w:rPr>
              <w:lastRenderedPageBreak/>
              <w:t>officers subject to oversight and compliance with procedural fairness and general privacy laws.</w:t>
            </w:r>
          </w:p>
          <w:p w14:paraId="353AD997" w14:textId="09B04A31" w:rsidR="00661284" w:rsidRDefault="009360F3" w:rsidP="00A01D0C">
            <w:pPr>
              <w:rPr>
                <w:rFonts w:cs="Arial"/>
                <w:i w:val="0"/>
                <w:iCs w:val="0"/>
              </w:rPr>
            </w:pPr>
            <w:r w:rsidRPr="00941E90">
              <w:rPr>
                <w:rFonts w:cs="Arial"/>
                <w:i w:val="0"/>
                <w:iCs w:val="0"/>
              </w:rPr>
              <w:t xml:space="preserve">The amendment </w:t>
            </w:r>
            <w:r w:rsidR="00401055">
              <w:rPr>
                <w:rFonts w:cs="Arial"/>
                <w:i w:val="0"/>
                <w:iCs w:val="0"/>
              </w:rPr>
              <w:t xml:space="preserve">would </w:t>
            </w:r>
            <w:r w:rsidRPr="00941E90">
              <w:rPr>
                <w:rFonts w:cs="Arial"/>
                <w:i w:val="0"/>
                <w:iCs w:val="0"/>
              </w:rPr>
              <w:t xml:space="preserve">enhance the regulator’s capacity to act decisively and consistently, aligning enforcement mechanisms with broader public interest objectives such as ensuring compliance and protecting employee entitlements. </w:t>
            </w:r>
          </w:p>
          <w:p w14:paraId="42894977" w14:textId="3BEAAEA6" w:rsidR="00646ADA" w:rsidRPr="00875EFC" w:rsidRDefault="009360F3" w:rsidP="00A01D0C">
            <w:pPr>
              <w:rPr>
                <w:rFonts w:cs="Arial"/>
                <w:i w:val="0"/>
                <w:iCs w:val="0"/>
              </w:rPr>
            </w:pPr>
            <w:r w:rsidRPr="00941E90">
              <w:rPr>
                <w:rFonts w:cs="Arial"/>
                <w:i w:val="0"/>
                <w:iCs w:val="0"/>
              </w:rPr>
              <w:t xml:space="preserve">A similar approach has been adopted in Victoria, where inspectors are vested with strong enforcement powers under the </w:t>
            </w:r>
            <w:r w:rsidRPr="009360F3">
              <w:rPr>
                <w:rFonts w:cs="Arial"/>
              </w:rPr>
              <w:t>Long Service Leave Act 2018</w:t>
            </w:r>
            <w:r w:rsidRPr="00941E90">
              <w:rPr>
                <w:rFonts w:cs="Arial"/>
                <w:i w:val="0"/>
                <w:iCs w:val="0"/>
              </w:rPr>
              <w:t>. This model has demonstrated that empowering regulators with proactive investigatory authority leads to more effective enforcement outcomes. It supports a well-resourced and responsive compliance framework, enabling timely interventions and reinforcing the integrity of long service leave entitlements.</w:t>
            </w:r>
          </w:p>
        </w:tc>
      </w:tr>
      <w:tr w:rsidR="00646ADA" w:rsidRPr="00B31851" w14:paraId="1E6AFD6F" w14:textId="27D42263" w:rsidTr="00A01D0C">
        <w:tc>
          <w:tcPr>
            <w:tcW w:w="1980" w:type="dxa"/>
          </w:tcPr>
          <w:p w14:paraId="6050FF9C" w14:textId="4C576060" w:rsidR="00646ADA" w:rsidRPr="00B31851" w:rsidRDefault="00646ADA" w:rsidP="00A01D0C">
            <w:pPr>
              <w:rPr>
                <w:rFonts w:cs="Arial"/>
                <w:i w:val="0"/>
                <w:iCs w:val="0"/>
              </w:rPr>
            </w:pPr>
            <w:r w:rsidRPr="00B31851">
              <w:rPr>
                <w:rFonts w:cs="Arial"/>
                <w:i w:val="0"/>
                <w:iCs w:val="0"/>
              </w:rPr>
              <w:lastRenderedPageBreak/>
              <w:t>DS Act amendment – Insert section 207</w:t>
            </w:r>
            <w:r w:rsidR="00661284">
              <w:rPr>
                <w:rFonts w:cs="Arial"/>
                <w:i w:val="0"/>
                <w:iCs w:val="0"/>
              </w:rPr>
              <w:t xml:space="preserve"> </w:t>
            </w:r>
            <w:r w:rsidRPr="00B31851">
              <w:rPr>
                <w:rFonts w:cs="Arial"/>
                <w:i w:val="0"/>
                <w:iCs w:val="0"/>
              </w:rPr>
              <w:t>(1)</w:t>
            </w:r>
            <w:r>
              <w:rPr>
                <w:rFonts w:cs="Arial"/>
                <w:i w:val="0"/>
                <w:iCs w:val="0"/>
              </w:rPr>
              <w:t xml:space="preserve">(c) </w:t>
            </w:r>
          </w:p>
        </w:tc>
        <w:tc>
          <w:tcPr>
            <w:tcW w:w="7087" w:type="dxa"/>
          </w:tcPr>
          <w:p w14:paraId="7079CE56" w14:textId="43FE97F9" w:rsidR="00E7654B" w:rsidRDefault="00D96178" w:rsidP="00A01D0C">
            <w:pPr>
              <w:rPr>
                <w:rFonts w:cs="Arial"/>
                <w:i w:val="0"/>
                <w:iCs w:val="0"/>
              </w:rPr>
            </w:pPr>
            <w:r w:rsidRPr="00B31851">
              <w:rPr>
                <w:rFonts w:cs="Arial"/>
                <w:i w:val="0"/>
                <w:iCs w:val="0"/>
              </w:rPr>
              <w:t>The amendment aligns with national regulatory principles, such as proportionality and consistency, by ensuring that enforcement actions are evidence-based and appropriately scaled to the level of risk</w:t>
            </w:r>
            <w:r w:rsidR="00F43F20">
              <w:rPr>
                <w:rFonts w:cs="Arial"/>
                <w:i w:val="0"/>
                <w:iCs w:val="0"/>
              </w:rPr>
              <w:t>. By</w:t>
            </w:r>
            <w:r w:rsidR="00F43F20" w:rsidRPr="00941E90">
              <w:rPr>
                <w:rFonts w:cs="Arial"/>
                <w:i w:val="0"/>
                <w:iCs w:val="0"/>
              </w:rPr>
              <w:t xml:space="preserve"> providing the WHS Commissioner with the same functions and powers as an inspector under the </w:t>
            </w:r>
            <w:r w:rsidR="00390A69">
              <w:rPr>
                <w:rFonts w:cs="Arial"/>
                <w:i w:val="0"/>
                <w:iCs w:val="0"/>
              </w:rPr>
              <w:t>WHS Act</w:t>
            </w:r>
            <w:r w:rsidR="002437AD">
              <w:rPr>
                <w:rFonts w:cs="Arial"/>
                <w:i w:val="0"/>
                <w:iCs w:val="0"/>
              </w:rPr>
              <w:t>, this</w:t>
            </w:r>
            <w:r w:rsidR="00F43F20" w:rsidRPr="00941E90">
              <w:rPr>
                <w:rFonts w:cs="Arial"/>
                <w:i w:val="0"/>
                <w:iCs w:val="0"/>
              </w:rPr>
              <w:t xml:space="preserve"> </w:t>
            </w:r>
            <w:r w:rsidR="003D16AA">
              <w:rPr>
                <w:rFonts w:cs="Arial"/>
                <w:i w:val="0"/>
                <w:iCs w:val="0"/>
              </w:rPr>
              <w:t>achieve</w:t>
            </w:r>
            <w:r w:rsidR="00066FEE">
              <w:rPr>
                <w:rFonts w:cs="Arial"/>
                <w:i w:val="0"/>
                <w:iCs w:val="0"/>
              </w:rPr>
              <w:t>s</w:t>
            </w:r>
            <w:r w:rsidR="003D16AA">
              <w:rPr>
                <w:rFonts w:cs="Arial"/>
                <w:i w:val="0"/>
                <w:iCs w:val="0"/>
              </w:rPr>
              <w:t xml:space="preserve"> the</w:t>
            </w:r>
            <w:r w:rsidR="00F43F20" w:rsidRPr="00941E90">
              <w:rPr>
                <w:rFonts w:cs="Arial"/>
                <w:i w:val="0"/>
                <w:iCs w:val="0"/>
              </w:rPr>
              <w:t xml:space="preserve"> objective of safeguarding health, safety, and the environment in workplaces where hazardous substances are present. These powers include entering workplaces and, in certain circumstances, residential premises without prior notice; compelling the production of documents; conducting interviews; and seizing items relevant to an investigation. While these actions may interfere with the right to privacy</w:t>
            </w:r>
            <w:r w:rsidR="00E7654B">
              <w:rPr>
                <w:rFonts w:cs="Arial"/>
                <w:i w:val="0"/>
                <w:iCs w:val="0"/>
              </w:rPr>
              <w:t xml:space="preserve">, </w:t>
            </w:r>
            <w:r w:rsidR="00F43F20" w:rsidRPr="00941E90">
              <w:rPr>
                <w:rFonts w:cs="Arial"/>
                <w:i w:val="0"/>
                <w:iCs w:val="0"/>
              </w:rPr>
              <w:t>particularly where they involve accessing personal communications or entering private spaces</w:t>
            </w:r>
            <w:r w:rsidR="00E7654B">
              <w:rPr>
                <w:rFonts w:cs="Arial"/>
                <w:i w:val="0"/>
                <w:iCs w:val="0"/>
              </w:rPr>
              <w:t xml:space="preserve">, </w:t>
            </w:r>
            <w:r w:rsidR="00F43F20" w:rsidRPr="00941E90">
              <w:rPr>
                <w:rFonts w:cs="Arial"/>
                <w:i w:val="0"/>
                <w:iCs w:val="0"/>
              </w:rPr>
              <w:t xml:space="preserve">they are necessary to enable timely and effective regulatory responses to potential breaches. </w:t>
            </w:r>
          </w:p>
          <w:p w14:paraId="24CB3A8B" w14:textId="51274891" w:rsidR="00F447C3" w:rsidRDefault="00F447C3" w:rsidP="00A01D0C">
            <w:pPr>
              <w:rPr>
                <w:rFonts w:cs="Arial"/>
                <w:i w:val="0"/>
                <w:iCs w:val="0"/>
              </w:rPr>
            </w:pPr>
            <w:r>
              <w:rPr>
                <w:rFonts w:cs="Arial"/>
                <w:i w:val="0"/>
                <w:iCs w:val="0"/>
              </w:rPr>
              <w:t>Furthe</w:t>
            </w:r>
            <w:r w:rsidR="006F6FE0">
              <w:rPr>
                <w:rFonts w:cs="Arial"/>
                <w:i w:val="0"/>
                <w:iCs w:val="0"/>
              </w:rPr>
              <w:t xml:space="preserve">r, </w:t>
            </w:r>
            <w:r>
              <w:rPr>
                <w:rFonts w:cs="Arial"/>
                <w:i w:val="0"/>
                <w:iCs w:val="0"/>
              </w:rPr>
              <w:t>the</w:t>
            </w:r>
            <w:r w:rsidR="00AE63D8">
              <w:rPr>
                <w:rFonts w:cs="Arial"/>
                <w:i w:val="0"/>
                <w:iCs w:val="0"/>
              </w:rPr>
              <w:t xml:space="preserve"> ACT’s Compliance and Enforcement Policy 2025-2029</w:t>
            </w:r>
            <w:r w:rsidR="00B41734">
              <w:rPr>
                <w:rStyle w:val="FootnoteReference"/>
                <w:i w:val="0"/>
                <w:iCs w:val="0"/>
              </w:rPr>
              <w:footnoteReference w:id="5"/>
            </w:r>
            <w:r w:rsidR="006F6FE0">
              <w:rPr>
                <w:rFonts w:cs="Arial"/>
                <w:i w:val="0"/>
                <w:iCs w:val="0"/>
              </w:rPr>
              <w:t xml:space="preserve"> explicitly outlines the WHS Commissioner’s </w:t>
            </w:r>
            <w:r w:rsidR="00F612DD">
              <w:rPr>
                <w:rFonts w:cs="Arial"/>
                <w:i w:val="0"/>
                <w:iCs w:val="0"/>
              </w:rPr>
              <w:t xml:space="preserve">role in administering </w:t>
            </w:r>
            <w:r w:rsidR="001A1822">
              <w:rPr>
                <w:rFonts w:cs="Arial"/>
                <w:i w:val="0"/>
                <w:iCs w:val="0"/>
              </w:rPr>
              <w:t>the DS Act</w:t>
            </w:r>
            <w:r w:rsidR="00C206F9">
              <w:rPr>
                <w:rFonts w:cs="Arial"/>
                <w:i w:val="0"/>
                <w:iCs w:val="0"/>
              </w:rPr>
              <w:t xml:space="preserve">. Under the policy, the WHS Commissioner is empowered to use a range of enforcement </w:t>
            </w:r>
            <w:r w:rsidR="00344065">
              <w:rPr>
                <w:rFonts w:cs="Arial"/>
                <w:i w:val="0"/>
                <w:iCs w:val="0"/>
              </w:rPr>
              <w:t>tools</w:t>
            </w:r>
            <w:r w:rsidR="00E620D7">
              <w:rPr>
                <w:rFonts w:cs="Arial"/>
                <w:i w:val="0"/>
                <w:iCs w:val="0"/>
              </w:rPr>
              <w:t xml:space="preserve"> such as</w:t>
            </w:r>
            <w:r w:rsidR="00CE260D">
              <w:rPr>
                <w:rFonts w:cs="Arial"/>
                <w:i w:val="0"/>
                <w:iCs w:val="0"/>
              </w:rPr>
              <w:t xml:space="preserve"> </w:t>
            </w:r>
            <w:r w:rsidR="00344065">
              <w:rPr>
                <w:rFonts w:cs="Arial"/>
                <w:i w:val="0"/>
                <w:iCs w:val="0"/>
              </w:rPr>
              <w:t>inspections</w:t>
            </w:r>
            <w:r w:rsidR="00CE260D">
              <w:rPr>
                <w:rFonts w:cs="Arial"/>
                <w:i w:val="0"/>
                <w:iCs w:val="0"/>
              </w:rPr>
              <w:t xml:space="preserve">, </w:t>
            </w:r>
            <w:r w:rsidR="00344065">
              <w:rPr>
                <w:rFonts w:cs="Arial"/>
                <w:i w:val="0"/>
                <w:iCs w:val="0"/>
              </w:rPr>
              <w:t>investigations</w:t>
            </w:r>
            <w:r w:rsidR="00CE260D">
              <w:rPr>
                <w:rFonts w:cs="Arial"/>
                <w:i w:val="0"/>
                <w:iCs w:val="0"/>
              </w:rPr>
              <w:t xml:space="preserve"> and </w:t>
            </w:r>
            <w:r w:rsidR="00344065">
              <w:rPr>
                <w:rFonts w:cs="Arial"/>
                <w:i w:val="0"/>
                <w:iCs w:val="0"/>
              </w:rPr>
              <w:t>seizure</w:t>
            </w:r>
            <w:r w:rsidR="00CE260D">
              <w:rPr>
                <w:rFonts w:cs="Arial"/>
                <w:i w:val="0"/>
                <w:iCs w:val="0"/>
              </w:rPr>
              <w:t xml:space="preserve"> powers to ensure duty holders meet </w:t>
            </w:r>
            <w:r w:rsidR="00344065">
              <w:rPr>
                <w:rFonts w:cs="Arial"/>
                <w:i w:val="0"/>
                <w:iCs w:val="0"/>
              </w:rPr>
              <w:t>their</w:t>
            </w:r>
            <w:r w:rsidR="00CE260D">
              <w:rPr>
                <w:rFonts w:cs="Arial"/>
                <w:i w:val="0"/>
                <w:iCs w:val="0"/>
              </w:rPr>
              <w:t xml:space="preserve"> obligations. Through this amendment, the WHS Commissioners </w:t>
            </w:r>
            <w:r w:rsidR="00854482">
              <w:rPr>
                <w:rFonts w:cs="Arial"/>
                <w:i w:val="0"/>
                <w:iCs w:val="0"/>
              </w:rPr>
              <w:t xml:space="preserve">administrative and enforcement </w:t>
            </w:r>
            <w:r w:rsidR="00344065">
              <w:rPr>
                <w:rFonts w:cs="Arial"/>
                <w:i w:val="0"/>
                <w:iCs w:val="0"/>
              </w:rPr>
              <w:t>responsibilities</w:t>
            </w:r>
            <w:r w:rsidR="004C5B78">
              <w:rPr>
                <w:rFonts w:cs="Arial"/>
                <w:i w:val="0"/>
                <w:iCs w:val="0"/>
              </w:rPr>
              <w:t xml:space="preserve"> are </w:t>
            </w:r>
            <w:r w:rsidR="001F1695">
              <w:rPr>
                <w:rFonts w:cs="Arial"/>
                <w:i w:val="0"/>
                <w:iCs w:val="0"/>
              </w:rPr>
              <w:t>reflected</w:t>
            </w:r>
            <w:r w:rsidR="00344065">
              <w:rPr>
                <w:rFonts w:cs="Arial"/>
                <w:i w:val="0"/>
                <w:iCs w:val="0"/>
              </w:rPr>
              <w:t xml:space="preserve"> and supported.</w:t>
            </w:r>
          </w:p>
          <w:p w14:paraId="103806BC" w14:textId="44AFFA97" w:rsidR="00646ADA" w:rsidRPr="00442115" w:rsidRDefault="00F43F20" w:rsidP="00A01D0C">
            <w:pPr>
              <w:rPr>
                <w:rFonts w:cs="Arial"/>
                <w:i w:val="0"/>
                <w:iCs w:val="0"/>
              </w:rPr>
            </w:pPr>
            <w:r w:rsidRPr="00941E90">
              <w:rPr>
                <w:rFonts w:cs="Arial"/>
                <w:i w:val="0"/>
                <w:iCs w:val="0"/>
              </w:rPr>
              <w:t xml:space="preserve">For example, if the </w:t>
            </w:r>
            <w:r w:rsidR="00E7654B">
              <w:rPr>
                <w:rFonts w:cs="Arial"/>
                <w:i w:val="0"/>
                <w:iCs w:val="0"/>
              </w:rPr>
              <w:t xml:space="preserve">WHS </w:t>
            </w:r>
            <w:r w:rsidRPr="00941E90">
              <w:rPr>
                <w:rFonts w:cs="Arial"/>
                <w:i w:val="0"/>
                <w:iCs w:val="0"/>
              </w:rPr>
              <w:t xml:space="preserve">Commissioner reasonably suspects that a residential garage is being used to store dangerous chemicals without authorisation, the ability to enter and inspect the premises without delay is critical to preventing harm. Similarly, accessing internal communications such as board minutes or emails may be essential to uncover systemic non-compliance or concealment of risks. </w:t>
            </w:r>
          </w:p>
        </w:tc>
      </w:tr>
      <w:tr w:rsidR="00646ADA" w:rsidRPr="00B31851" w14:paraId="722F6526" w14:textId="50671ACF" w:rsidTr="00A01D0C">
        <w:tc>
          <w:tcPr>
            <w:tcW w:w="1980" w:type="dxa"/>
          </w:tcPr>
          <w:p w14:paraId="0989452C" w14:textId="7592FA50" w:rsidR="00646ADA" w:rsidRPr="00B31851" w:rsidRDefault="00646ADA" w:rsidP="00A01D0C">
            <w:pPr>
              <w:rPr>
                <w:rFonts w:cs="Arial"/>
                <w:i w:val="0"/>
                <w:iCs w:val="0"/>
              </w:rPr>
            </w:pPr>
            <w:r w:rsidRPr="00B31851">
              <w:rPr>
                <w:rFonts w:cs="Arial"/>
                <w:i w:val="0"/>
                <w:iCs w:val="0"/>
              </w:rPr>
              <w:lastRenderedPageBreak/>
              <w:t>WC Act amendment – New section 188</w:t>
            </w:r>
            <w:r w:rsidR="00661284">
              <w:rPr>
                <w:rFonts w:cs="Arial"/>
                <w:i w:val="0"/>
                <w:iCs w:val="0"/>
              </w:rPr>
              <w:t xml:space="preserve"> </w:t>
            </w:r>
            <w:r w:rsidRPr="00B31851">
              <w:rPr>
                <w:rFonts w:cs="Arial"/>
                <w:i w:val="0"/>
                <w:iCs w:val="0"/>
              </w:rPr>
              <w:t>(3)</w:t>
            </w:r>
          </w:p>
        </w:tc>
        <w:tc>
          <w:tcPr>
            <w:tcW w:w="7087" w:type="dxa"/>
          </w:tcPr>
          <w:p w14:paraId="7E3D436B" w14:textId="3CA02451" w:rsidR="008607B7" w:rsidRDefault="004700BA" w:rsidP="00A01D0C">
            <w:pPr>
              <w:rPr>
                <w:rFonts w:cs="Arial"/>
                <w:i w:val="0"/>
                <w:iCs w:val="0"/>
              </w:rPr>
            </w:pPr>
            <w:r>
              <w:rPr>
                <w:rFonts w:cs="Arial"/>
                <w:i w:val="0"/>
                <w:iCs w:val="0"/>
              </w:rPr>
              <w:t>Conferring</w:t>
            </w:r>
            <w:r w:rsidR="00362507" w:rsidRPr="00941E90">
              <w:rPr>
                <w:rFonts w:cs="Arial"/>
                <w:i w:val="0"/>
                <w:iCs w:val="0"/>
              </w:rPr>
              <w:t xml:space="preserve"> inspector functions and powers on the WHS Commissioner introduces a limitation on the right to privacy. It allows the </w:t>
            </w:r>
            <w:r w:rsidR="00D6218F">
              <w:rPr>
                <w:rFonts w:cs="Arial"/>
                <w:i w:val="0"/>
                <w:iCs w:val="0"/>
              </w:rPr>
              <w:t xml:space="preserve">WHS </w:t>
            </w:r>
            <w:r w:rsidR="00362507" w:rsidRPr="00941E90">
              <w:rPr>
                <w:rFonts w:cs="Arial"/>
                <w:i w:val="0"/>
                <w:iCs w:val="0"/>
              </w:rPr>
              <w:t>Commissioner to directly access sensitive personal information</w:t>
            </w:r>
            <w:r w:rsidR="00D6218F">
              <w:rPr>
                <w:rFonts w:cs="Arial"/>
                <w:i w:val="0"/>
                <w:iCs w:val="0"/>
              </w:rPr>
              <w:t xml:space="preserve">, </w:t>
            </w:r>
            <w:r w:rsidR="00362507" w:rsidRPr="00941E90">
              <w:rPr>
                <w:rFonts w:cs="Arial"/>
                <w:i w:val="0"/>
                <w:iCs w:val="0"/>
              </w:rPr>
              <w:t>such as medical records, employment histories, and compensation claims</w:t>
            </w:r>
            <w:r w:rsidR="00D6218F">
              <w:rPr>
                <w:rFonts w:cs="Arial"/>
                <w:i w:val="0"/>
                <w:iCs w:val="0"/>
              </w:rPr>
              <w:t xml:space="preserve">, </w:t>
            </w:r>
            <w:r w:rsidR="00362507" w:rsidRPr="00941E90">
              <w:rPr>
                <w:rFonts w:cs="Arial"/>
                <w:i w:val="0"/>
                <w:iCs w:val="0"/>
              </w:rPr>
              <w:t xml:space="preserve">without intermediary oversight. This expanded access increases the potential for intrusion into individuals’ private lives, particularly in the context of workplace investigations or suspected misconduct. </w:t>
            </w:r>
          </w:p>
          <w:p w14:paraId="5072479C" w14:textId="77777777" w:rsidR="00AF01D6" w:rsidRDefault="00362507" w:rsidP="00A01D0C">
            <w:pPr>
              <w:rPr>
                <w:rFonts w:cs="Arial"/>
                <w:i w:val="0"/>
                <w:iCs w:val="0"/>
              </w:rPr>
            </w:pPr>
            <w:r w:rsidRPr="00941E90">
              <w:rPr>
                <w:rFonts w:cs="Arial"/>
                <w:i w:val="0"/>
                <w:iCs w:val="0"/>
              </w:rPr>
              <w:t xml:space="preserve">However, this limitation is rationally connected </w:t>
            </w:r>
            <w:r w:rsidR="00C57DBE">
              <w:rPr>
                <w:rFonts w:cs="Arial"/>
                <w:i w:val="0"/>
                <w:iCs w:val="0"/>
              </w:rPr>
              <w:t xml:space="preserve">to the </w:t>
            </w:r>
            <w:r w:rsidRPr="00941E90">
              <w:rPr>
                <w:rFonts w:cs="Arial"/>
                <w:i w:val="0"/>
                <w:iCs w:val="0"/>
              </w:rPr>
              <w:t xml:space="preserve">pressing objective of maintaining the integrity of the workers compensation system and protecting the health and safety of workers. By enabling the </w:t>
            </w:r>
            <w:r w:rsidR="00DE203F">
              <w:rPr>
                <w:rFonts w:cs="Arial"/>
                <w:i w:val="0"/>
                <w:iCs w:val="0"/>
              </w:rPr>
              <w:t xml:space="preserve">WHS </w:t>
            </w:r>
            <w:r w:rsidRPr="00941E90">
              <w:rPr>
                <w:rFonts w:cs="Arial"/>
                <w:i w:val="0"/>
                <w:iCs w:val="0"/>
              </w:rPr>
              <w:t>Commissioner to act swiftly and independently, the amendment supports more efficient investigations, timely enforcement, and proactive oversight</w:t>
            </w:r>
            <w:r w:rsidR="00FE03C2">
              <w:rPr>
                <w:rFonts w:cs="Arial"/>
                <w:i w:val="0"/>
                <w:iCs w:val="0"/>
              </w:rPr>
              <w:t xml:space="preserve">, </w:t>
            </w:r>
            <w:r w:rsidRPr="00941E90">
              <w:rPr>
                <w:rFonts w:cs="Arial"/>
                <w:i w:val="0"/>
                <w:iCs w:val="0"/>
              </w:rPr>
              <w:t xml:space="preserve">particularly in sensitive cases involving vulnerable claimants. It also reinforces the </w:t>
            </w:r>
            <w:r w:rsidR="00AF01D6">
              <w:rPr>
                <w:rFonts w:cs="Arial"/>
                <w:i w:val="0"/>
                <w:iCs w:val="0"/>
              </w:rPr>
              <w:t xml:space="preserve">WHS </w:t>
            </w:r>
            <w:r w:rsidRPr="00941E90">
              <w:rPr>
                <w:rFonts w:cs="Arial"/>
                <w:i w:val="0"/>
                <w:iCs w:val="0"/>
              </w:rPr>
              <w:t xml:space="preserve">Commissioner’s role as a robust compliance authority, capable of initiating enforcement action to uphold public trust and accountability. </w:t>
            </w:r>
          </w:p>
          <w:p w14:paraId="1E7C601A" w14:textId="2BB1012A" w:rsidR="00646ADA" w:rsidRPr="00362507" w:rsidRDefault="00362507" w:rsidP="00A01D0C">
            <w:pPr>
              <w:rPr>
                <w:rFonts w:cs="Arial"/>
                <w:i w:val="0"/>
                <w:iCs w:val="0"/>
              </w:rPr>
            </w:pPr>
            <w:r w:rsidRPr="00941E90">
              <w:rPr>
                <w:rFonts w:cs="Arial"/>
                <w:i w:val="0"/>
                <w:iCs w:val="0"/>
              </w:rPr>
              <w:t xml:space="preserve">Importantly, the amendment resolves any ambiguity between the powers of inspectors and the regulator, ensuring consistency and clarity in the administration of the law. While the powers granted may impact privacy, they are accompanied by safeguards such as data protection obligations, procedural fairness, and oversight mechanisms, which help ensure that the interference is proportionate and rights-respecting. As such, the amendment </w:t>
            </w:r>
            <w:r w:rsidR="009F59C5">
              <w:rPr>
                <w:rFonts w:cs="Arial"/>
                <w:i w:val="0"/>
                <w:iCs w:val="0"/>
              </w:rPr>
              <w:t>is specifically related to</w:t>
            </w:r>
            <w:r w:rsidR="004363E4">
              <w:rPr>
                <w:rFonts w:cs="Arial"/>
                <w:i w:val="0"/>
                <w:iCs w:val="0"/>
              </w:rPr>
              <w:t xml:space="preserve"> limiting</w:t>
            </w:r>
            <w:r w:rsidRPr="00941E90">
              <w:rPr>
                <w:rFonts w:cs="Arial"/>
                <w:i w:val="0"/>
                <w:iCs w:val="0"/>
              </w:rPr>
              <w:t xml:space="preserve"> individual privacy </w:t>
            </w:r>
            <w:r w:rsidR="00044330">
              <w:rPr>
                <w:rFonts w:cs="Arial"/>
                <w:i w:val="0"/>
                <w:iCs w:val="0"/>
              </w:rPr>
              <w:t>whilst recognising the need to</w:t>
            </w:r>
            <w:r w:rsidR="00F844FE">
              <w:rPr>
                <w:rFonts w:cs="Arial"/>
                <w:i w:val="0"/>
                <w:iCs w:val="0"/>
              </w:rPr>
              <w:t xml:space="preserve"> for</w:t>
            </w:r>
            <w:r w:rsidRPr="00941E90">
              <w:rPr>
                <w:rFonts w:cs="Arial"/>
                <w:i w:val="0"/>
                <w:iCs w:val="0"/>
              </w:rPr>
              <w:t xml:space="preserve"> broader public interest</w:t>
            </w:r>
            <w:r w:rsidR="00F844FE">
              <w:rPr>
                <w:rFonts w:cs="Arial"/>
                <w:i w:val="0"/>
                <w:iCs w:val="0"/>
              </w:rPr>
              <w:t xml:space="preserve"> and ensuring</w:t>
            </w:r>
            <w:r w:rsidRPr="00941E90">
              <w:rPr>
                <w:rFonts w:cs="Arial"/>
                <w:i w:val="0"/>
                <w:iCs w:val="0"/>
              </w:rPr>
              <w:t xml:space="preserve"> a fair, safe, and accountable workers compensation system.</w:t>
            </w:r>
          </w:p>
        </w:tc>
      </w:tr>
    </w:tbl>
    <w:p w14:paraId="0076E67C" w14:textId="77777777" w:rsidR="00646ADA" w:rsidRDefault="00646ADA" w:rsidP="00A50DB6">
      <w:pPr>
        <w:rPr>
          <w:rFonts w:eastAsiaTheme="minorEastAsia" w:cs="Arial"/>
          <w:i w:val="0"/>
        </w:rPr>
      </w:pPr>
    </w:p>
    <w:p w14:paraId="07CEB06B" w14:textId="6A2034E7" w:rsidR="00646ADA" w:rsidRPr="003E0770" w:rsidRDefault="00FE099C" w:rsidP="00941E90">
      <w:pPr>
        <w:pStyle w:val="ListParagraph"/>
        <w:numPr>
          <w:ilvl w:val="4"/>
          <w:numId w:val="22"/>
        </w:numPr>
        <w:ind w:left="851" w:hanging="425"/>
        <w:rPr>
          <w:rFonts w:eastAsiaTheme="minorEastAsia" w:cs="Arial"/>
          <w:i w:val="0"/>
        </w:rPr>
      </w:pPr>
      <w:r w:rsidRPr="00A50DB6">
        <w:rPr>
          <w:rFonts w:cs="Arial"/>
          <w:b/>
        </w:rPr>
        <w:t>Proportionality s28</w:t>
      </w:r>
      <w:r w:rsidR="00F605D7">
        <w:rPr>
          <w:rFonts w:cs="Arial"/>
          <w:b/>
        </w:rPr>
        <w:t>(2)</w:t>
      </w:r>
      <w:r w:rsidRPr="00A50DB6">
        <w:rPr>
          <w:rFonts w:cs="Arial"/>
          <w:b/>
        </w:rPr>
        <w:t xml:space="preserve">(e) </w:t>
      </w:r>
    </w:p>
    <w:tbl>
      <w:tblPr>
        <w:tblStyle w:val="TableGrid"/>
        <w:tblW w:w="0" w:type="auto"/>
        <w:tblLook w:val="04A0" w:firstRow="1" w:lastRow="0" w:firstColumn="1" w:lastColumn="0" w:noHBand="0" w:noVBand="1"/>
      </w:tblPr>
      <w:tblGrid>
        <w:gridCol w:w="1838"/>
        <w:gridCol w:w="7178"/>
      </w:tblGrid>
      <w:tr w:rsidR="00E41AD3" w:rsidRPr="00B31851" w14:paraId="6CE0D90B" w14:textId="77777777" w:rsidTr="000C0695">
        <w:tc>
          <w:tcPr>
            <w:tcW w:w="1838" w:type="dxa"/>
          </w:tcPr>
          <w:p w14:paraId="37726F7B" w14:textId="17735003" w:rsidR="00E41AD3" w:rsidRPr="00B31851" w:rsidRDefault="00106C17" w:rsidP="00F0760C">
            <w:pPr>
              <w:rPr>
                <w:rFonts w:eastAsiaTheme="minorEastAsia" w:cs="Arial"/>
                <w:i w:val="0"/>
                <w:iCs w:val="0"/>
              </w:rPr>
            </w:pPr>
            <w:r w:rsidRPr="00B31851">
              <w:rPr>
                <w:rFonts w:cs="Arial"/>
                <w:i w:val="0"/>
                <w:iCs w:val="0"/>
              </w:rPr>
              <w:t>LSL Act amendments - enforcement and compliance – sections 13C and 13CC</w:t>
            </w:r>
          </w:p>
        </w:tc>
        <w:tc>
          <w:tcPr>
            <w:tcW w:w="7178" w:type="dxa"/>
          </w:tcPr>
          <w:p w14:paraId="5AC409F3" w14:textId="77777777" w:rsidR="00B21979" w:rsidRDefault="00C57483" w:rsidP="00F0760C">
            <w:pPr>
              <w:rPr>
                <w:rFonts w:eastAsiaTheme="minorEastAsia" w:cs="Arial"/>
                <w:i w:val="0"/>
                <w:iCs w:val="0"/>
              </w:rPr>
            </w:pPr>
            <w:r w:rsidRPr="00941E90">
              <w:rPr>
                <w:rFonts w:eastAsiaTheme="minorEastAsia" w:cs="Arial"/>
                <w:i w:val="0"/>
                <w:iCs w:val="0"/>
              </w:rPr>
              <w:t xml:space="preserve">The compliance and enforcement powers introduced in sections 13C and 13CC of the </w:t>
            </w:r>
            <w:r>
              <w:rPr>
                <w:rFonts w:eastAsiaTheme="minorEastAsia" w:cs="Arial"/>
                <w:i w:val="0"/>
                <w:iCs w:val="0"/>
              </w:rPr>
              <w:t>LSL Act</w:t>
            </w:r>
            <w:r w:rsidRPr="00941E90">
              <w:rPr>
                <w:rFonts w:eastAsiaTheme="minorEastAsia" w:cs="Arial"/>
                <w:i w:val="0"/>
                <w:iCs w:val="0"/>
              </w:rPr>
              <w:t xml:space="preserve"> represent the least restrictive means reasonably available to achieve the legitimate objective of ensuring employees receive their lawful entitlements. These provisions allow authorised officers to enter workplaces and request information necessary to investigate potential breaches. While this may limit the right to privacy</w:t>
            </w:r>
            <w:r w:rsidR="00F47B8F">
              <w:rPr>
                <w:rFonts w:eastAsiaTheme="minorEastAsia" w:cs="Arial"/>
                <w:i w:val="0"/>
                <w:iCs w:val="0"/>
              </w:rPr>
              <w:t xml:space="preserve">, </w:t>
            </w:r>
            <w:r w:rsidRPr="00941E90">
              <w:rPr>
                <w:rFonts w:eastAsiaTheme="minorEastAsia" w:cs="Arial"/>
                <w:i w:val="0"/>
                <w:iCs w:val="0"/>
              </w:rPr>
              <w:t>particularly through access to sensitive employment records or commercial information</w:t>
            </w:r>
            <w:r w:rsidR="00F47B8F">
              <w:rPr>
                <w:rFonts w:eastAsiaTheme="minorEastAsia" w:cs="Arial"/>
                <w:i w:val="0"/>
                <w:iCs w:val="0"/>
              </w:rPr>
              <w:t xml:space="preserve">, </w:t>
            </w:r>
            <w:r w:rsidRPr="00941E90">
              <w:rPr>
                <w:rFonts w:eastAsiaTheme="minorEastAsia" w:cs="Arial"/>
                <w:i w:val="0"/>
                <w:iCs w:val="0"/>
              </w:rPr>
              <w:t xml:space="preserve">less restrictive alternatives, such as relying solely on voluntary cooperation or complaint-based investigations, have proven insufficient. These approaches often result in delayed or incomplete investigations, especially where employers are uncooperative or where vulnerable workers may be reluctant to come forward. </w:t>
            </w:r>
          </w:p>
          <w:p w14:paraId="3C2B86D8" w14:textId="4B1AF1B2" w:rsidR="00E41AD3" w:rsidRPr="00B31851" w:rsidRDefault="00C57483" w:rsidP="00FE099C">
            <w:pPr>
              <w:spacing w:before="240"/>
              <w:rPr>
                <w:rFonts w:eastAsiaTheme="minorEastAsia" w:cs="Arial"/>
                <w:i w:val="0"/>
                <w:iCs w:val="0"/>
              </w:rPr>
            </w:pPr>
            <w:r w:rsidRPr="00941E90">
              <w:rPr>
                <w:rFonts w:eastAsiaTheme="minorEastAsia" w:cs="Arial"/>
                <w:i w:val="0"/>
                <w:iCs w:val="0"/>
              </w:rPr>
              <w:t xml:space="preserve">The chosen approach enables timely, proactive enforcement while incorporating safeguards to minimise the impact on privacy. For example, sections 13CA and 13CB require officers to identify themselves and inform occupiers of their rights. Entry to </w:t>
            </w:r>
            <w:r w:rsidRPr="00941E90">
              <w:rPr>
                <w:rFonts w:eastAsiaTheme="minorEastAsia" w:cs="Arial"/>
                <w:i w:val="0"/>
                <w:iCs w:val="0"/>
              </w:rPr>
              <w:lastRenderedPageBreak/>
              <w:t>residential premises is explicitly excluded, and consent-based inspections must respect the power imbalance that may affect a person’s willingness to comply. Additional safeguards</w:t>
            </w:r>
            <w:r w:rsidR="00661284">
              <w:rPr>
                <w:rFonts w:eastAsiaTheme="minorEastAsia" w:cs="Arial"/>
                <w:i w:val="0"/>
                <w:iCs w:val="0"/>
              </w:rPr>
              <w:t>, while not expressly provided for</w:t>
            </w:r>
            <w:r w:rsidR="00B6650B">
              <w:rPr>
                <w:rFonts w:eastAsiaTheme="minorEastAsia" w:cs="Arial"/>
                <w:i w:val="0"/>
                <w:iCs w:val="0"/>
              </w:rPr>
              <w:t>,</w:t>
            </w:r>
            <w:r w:rsidRPr="00941E90">
              <w:rPr>
                <w:rFonts w:eastAsiaTheme="minorEastAsia" w:cs="Arial"/>
                <w:i w:val="0"/>
                <w:iCs w:val="0"/>
              </w:rPr>
              <w:t xml:space="preserve"> include the ability for a person to withdraw consent, request a more suitable time for inspection, or have a support person present. Information requests are limited to what is reasonably required, and officers must act in accordance with procedural fairness and privacy obligations. These measures ensure that the powers are targeted and proportionate. The framework also considers the potential impact on vulnerable groups, such as migrant workers or those in insecure employment, by enabling regulators to intervene without placing the burden of enforcement solely on the individual</w:t>
            </w:r>
            <w:r w:rsidR="00B6650B">
              <w:rPr>
                <w:rFonts w:eastAsiaTheme="minorEastAsia" w:cs="Arial"/>
                <w:i w:val="0"/>
                <w:iCs w:val="0"/>
              </w:rPr>
              <w:t xml:space="preserve"> who may not be aware of their rights or may not have the resources to pursue a complaint</w:t>
            </w:r>
            <w:r w:rsidRPr="00941E90">
              <w:rPr>
                <w:rFonts w:eastAsiaTheme="minorEastAsia" w:cs="Arial"/>
                <w:i w:val="0"/>
                <w:iCs w:val="0"/>
              </w:rPr>
              <w:t>. In this context, the amendment strikes a necessary balance between protecting privacy and upholding the public interest in fair and lawful workplace practices</w:t>
            </w:r>
            <w:r w:rsidRPr="00C57483">
              <w:rPr>
                <w:rFonts w:eastAsiaTheme="minorEastAsia" w:cs="Arial"/>
              </w:rPr>
              <w:t>.</w:t>
            </w:r>
          </w:p>
        </w:tc>
      </w:tr>
      <w:tr w:rsidR="00E41AD3" w:rsidRPr="00B31851" w14:paraId="69DBDF1F" w14:textId="77777777" w:rsidTr="000C0695">
        <w:tc>
          <w:tcPr>
            <w:tcW w:w="1838" w:type="dxa"/>
          </w:tcPr>
          <w:p w14:paraId="08F36D44" w14:textId="3A1E8E0D" w:rsidR="00E41AD3" w:rsidRPr="00B31851" w:rsidRDefault="00106C17" w:rsidP="007076C5">
            <w:pPr>
              <w:rPr>
                <w:rFonts w:eastAsiaTheme="minorEastAsia" w:cs="Arial"/>
                <w:i w:val="0"/>
                <w:iCs w:val="0"/>
              </w:rPr>
            </w:pPr>
            <w:r w:rsidRPr="00B31851">
              <w:rPr>
                <w:rFonts w:cs="Arial"/>
                <w:i w:val="0"/>
                <w:iCs w:val="0"/>
              </w:rPr>
              <w:lastRenderedPageBreak/>
              <w:t>DS Act amendment – Insert new section 207</w:t>
            </w:r>
            <w:r w:rsidR="00A72F4B">
              <w:rPr>
                <w:rFonts w:cs="Arial"/>
                <w:i w:val="0"/>
                <w:iCs w:val="0"/>
              </w:rPr>
              <w:t> </w:t>
            </w:r>
            <w:r w:rsidRPr="00B31851">
              <w:rPr>
                <w:rFonts w:cs="Arial"/>
                <w:i w:val="0"/>
                <w:iCs w:val="0"/>
              </w:rPr>
              <w:t>(1)(c)</w:t>
            </w:r>
          </w:p>
        </w:tc>
        <w:tc>
          <w:tcPr>
            <w:tcW w:w="7178" w:type="dxa"/>
          </w:tcPr>
          <w:p w14:paraId="2715AC80" w14:textId="0946EF21" w:rsidR="00701830" w:rsidRPr="00B31851" w:rsidRDefault="00CD7DA2" w:rsidP="003F73A2">
            <w:pPr>
              <w:rPr>
                <w:rFonts w:cs="Arial"/>
                <w:i w:val="0"/>
                <w:iCs w:val="0"/>
              </w:rPr>
            </w:pPr>
            <w:r w:rsidRPr="00B31851">
              <w:rPr>
                <w:rFonts w:cs="Arial"/>
                <w:i w:val="0"/>
                <w:iCs w:val="0"/>
              </w:rPr>
              <w:t xml:space="preserve">This </w:t>
            </w:r>
            <w:r>
              <w:rPr>
                <w:rFonts w:cs="Arial"/>
                <w:i w:val="0"/>
                <w:iCs w:val="0"/>
              </w:rPr>
              <w:t xml:space="preserve">amendment </w:t>
            </w:r>
            <w:r w:rsidRPr="00B31851">
              <w:rPr>
                <w:rFonts w:cs="Arial"/>
                <w:i w:val="0"/>
                <w:iCs w:val="0"/>
              </w:rPr>
              <w:t>creates a tension between regulatory enforcement and the individual's right to privacy, which must be carefully balanced to ensure proportionality and accountability.</w:t>
            </w:r>
            <w:r>
              <w:rPr>
                <w:rFonts w:cs="Arial"/>
                <w:i w:val="0"/>
                <w:iCs w:val="0"/>
              </w:rPr>
              <w:t xml:space="preserve"> </w:t>
            </w:r>
            <w:r w:rsidR="00701830" w:rsidRPr="00B31851">
              <w:rPr>
                <w:rFonts w:cs="Arial"/>
                <w:i w:val="0"/>
                <w:iCs w:val="0"/>
              </w:rPr>
              <w:t xml:space="preserve">While this amendment may increase access to sensitive information and expand operational powers, the resulting limitation on privacy is proportionate </w:t>
            </w:r>
            <w:r w:rsidR="001C688C">
              <w:rPr>
                <w:rFonts w:cs="Arial"/>
                <w:i w:val="0"/>
                <w:iCs w:val="0"/>
              </w:rPr>
              <w:t>to</w:t>
            </w:r>
            <w:r w:rsidR="00701830" w:rsidRPr="00B31851">
              <w:rPr>
                <w:rFonts w:cs="Arial"/>
                <w:i w:val="0"/>
                <w:iCs w:val="0"/>
              </w:rPr>
              <w:t xml:space="preserve"> the legitimate objective of protecting public health, safety, and the environment. In this context, any intrusion into privacy is not arbitrary but serves a clear and compelling public interest</w:t>
            </w:r>
            <w:r w:rsidR="007076C5" w:rsidRPr="00B31851">
              <w:rPr>
                <w:rFonts w:cs="Arial"/>
                <w:i w:val="0"/>
                <w:iCs w:val="0"/>
              </w:rPr>
              <w:t xml:space="preserve"> in</w:t>
            </w:r>
            <w:r w:rsidR="00701830" w:rsidRPr="00B31851">
              <w:rPr>
                <w:rFonts w:cs="Arial"/>
                <w:i w:val="0"/>
                <w:iCs w:val="0"/>
              </w:rPr>
              <w:t xml:space="preserve"> preventing harm to workers, the community, and the environment.</w:t>
            </w:r>
            <w:r>
              <w:rPr>
                <w:rFonts w:cs="Arial"/>
                <w:i w:val="0"/>
                <w:iCs w:val="0"/>
              </w:rPr>
              <w:t xml:space="preserve"> </w:t>
            </w:r>
          </w:p>
          <w:p w14:paraId="05875F2E" w14:textId="2E2D4474" w:rsidR="00701830" w:rsidRPr="00B31851" w:rsidRDefault="00C71558" w:rsidP="00701830">
            <w:pPr>
              <w:spacing w:before="240"/>
              <w:rPr>
                <w:rFonts w:cs="Arial"/>
                <w:i w:val="0"/>
                <w:iCs w:val="0"/>
              </w:rPr>
            </w:pPr>
            <w:r w:rsidRPr="00B31851">
              <w:rPr>
                <w:rFonts w:cs="Arial"/>
                <w:i w:val="0"/>
                <w:iCs w:val="0"/>
              </w:rPr>
              <w:t xml:space="preserve">Although civil enforcement mechanisms and voluntary compliance programs are available, they are often insufficient in situations involving serious or imminent risks. </w:t>
            </w:r>
            <w:r w:rsidR="00790ADB" w:rsidRPr="00B31851">
              <w:rPr>
                <w:rFonts w:cs="Arial"/>
                <w:i w:val="0"/>
                <w:iCs w:val="0"/>
              </w:rPr>
              <w:t xml:space="preserve">For example, civil enforcement </w:t>
            </w:r>
            <w:r w:rsidR="00701830" w:rsidRPr="00B31851">
              <w:rPr>
                <w:rFonts w:cs="Arial"/>
                <w:i w:val="0"/>
                <w:iCs w:val="0"/>
              </w:rPr>
              <w:t>tools like</w:t>
            </w:r>
            <w:r w:rsidR="00790ADB" w:rsidRPr="00B31851">
              <w:rPr>
                <w:rFonts w:cs="Arial"/>
                <w:i w:val="0"/>
                <w:iCs w:val="0"/>
              </w:rPr>
              <w:t xml:space="preserve"> improvement notices, enforceable undertakings, or compensation</w:t>
            </w:r>
            <w:r w:rsidR="00701830" w:rsidRPr="00B31851">
              <w:rPr>
                <w:rFonts w:cs="Arial"/>
                <w:i w:val="0"/>
                <w:iCs w:val="0"/>
              </w:rPr>
              <w:t xml:space="preserve"> claims are typically</w:t>
            </w:r>
            <w:r w:rsidR="00790ADB" w:rsidRPr="00B31851">
              <w:rPr>
                <w:rFonts w:cs="Arial"/>
                <w:i w:val="0"/>
                <w:iCs w:val="0"/>
              </w:rPr>
              <w:t xml:space="preserve"> reactive and </w:t>
            </w:r>
            <w:r w:rsidR="00701830" w:rsidRPr="00B31851">
              <w:rPr>
                <w:rFonts w:cs="Arial"/>
                <w:i w:val="0"/>
                <w:iCs w:val="0"/>
              </w:rPr>
              <w:t>depend</w:t>
            </w:r>
            <w:r w:rsidR="00790ADB" w:rsidRPr="00B31851">
              <w:rPr>
                <w:rFonts w:cs="Arial"/>
                <w:i w:val="0"/>
                <w:iCs w:val="0"/>
              </w:rPr>
              <w:t xml:space="preserve"> on voluntary compliance or post-incident remedies. In contrast, serious WHS risks, such as exposure to dangerous substances, structural hazards, or workplace violence, require</w:t>
            </w:r>
            <w:r w:rsidR="00701830" w:rsidRPr="00B31851">
              <w:rPr>
                <w:rFonts w:cs="Arial"/>
                <w:i w:val="0"/>
                <w:iCs w:val="0"/>
              </w:rPr>
              <w:t xml:space="preserve"> </w:t>
            </w:r>
            <w:r w:rsidR="00790ADB" w:rsidRPr="00B31851">
              <w:rPr>
                <w:rFonts w:cs="Arial"/>
                <w:i w:val="0"/>
                <w:iCs w:val="0"/>
              </w:rPr>
              <w:t>immediate and proactive intervention</w:t>
            </w:r>
            <w:r w:rsidR="00701830" w:rsidRPr="00B31851">
              <w:rPr>
                <w:rFonts w:cs="Arial"/>
                <w:i w:val="0"/>
                <w:iCs w:val="0"/>
              </w:rPr>
              <w:t>.</w:t>
            </w:r>
            <w:r w:rsidR="00790ADB" w:rsidRPr="00B31851">
              <w:rPr>
                <w:rFonts w:cs="Arial"/>
                <w:i w:val="0"/>
                <w:iCs w:val="0"/>
              </w:rPr>
              <w:t xml:space="preserve"> These situations demand powers that allow regulators to enter premises, inspect conditions, and secure evidence without delay. </w:t>
            </w:r>
            <w:r w:rsidR="002A3C68" w:rsidRPr="00B31851">
              <w:rPr>
                <w:rFonts w:cs="Arial"/>
                <w:i w:val="0"/>
                <w:iCs w:val="0"/>
              </w:rPr>
              <w:t xml:space="preserve">Other </w:t>
            </w:r>
            <w:r w:rsidR="00D96178">
              <w:rPr>
                <w:rFonts w:cs="Arial"/>
                <w:i w:val="0"/>
                <w:iCs w:val="0"/>
              </w:rPr>
              <w:t xml:space="preserve">measures </w:t>
            </w:r>
            <w:r w:rsidR="00701830" w:rsidRPr="00B31851">
              <w:rPr>
                <w:rFonts w:cs="Arial"/>
                <w:i w:val="0"/>
                <w:iCs w:val="0"/>
              </w:rPr>
              <w:t xml:space="preserve">lack the </w:t>
            </w:r>
            <w:r w:rsidR="00790ADB" w:rsidRPr="00B31851">
              <w:rPr>
                <w:rFonts w:cs="Arial"/>
                <w:i w:val="0"/>
                <w:iCs w:val="0"/>
              </w:rPr>
              <w:t xml:space="preserve">urgency, authority, </w:t>
            </w:r>
            <w:r w:rsidR="00701830" w:rsidRPr="00B31851">
              <w:rPr>
                <w:rFonts w:cs="Arial"/>
                <w:i w:val="0"/>
                <w:iCs w:val="0"/>
              </w:rPr>
              <w:t>and deterrent effect needed in such cases</w:t>
            </w:r>
            <w:r w:rsidR="00790ADB" w:rsidRPr="00B31851">
              <w:rPr>
                <w:rFonts w:cs="Arial"/>
                <w:i w:val="0"/>
                <w:iCs w:val="0"/>
              </w:rPr>
              <w:t>, and may be ineffective where duty holders are uncooperative or where risks escalate rapidly.</w:t>
            </w:r>
            <w:r w:rsidR="00CD7DA2">
              <w:rPr>
                <w:rFonts w:cs="Arial"/>
                <w:i w:val="0"/>
                <w:iCs w:val="0"/>
              </w:rPr>
              <w:t xml:space="preserve"> T</w:t>
            </w:r>
            <w:r w:rsidR="00CD7DA2" w:rsidRPr="00941E90">
              <w:rPr>
                <w:rFonts w:cs="Arial"/>
                <w:i w:val="0"/>
                <w:iCs w:val="0"/>
              </w:rPr>
              <w:t xml:space="preserve">he </w:t>
            </w:r>
            <w:r w:rsidR="00CD7DA2">
              <w:rPr>
                <w:rFonts w:cs="Arial"/>
                <w:i w:val="0"/>
                <w:iCs w:val="0"/>
              </w:rPr>
              <w:t>limitation on the right to</w:t>
            </w:r>
            <w:r w:rsidR="00CD7DA2" w:rsidRPr="00941E90">
              <w:rPr>
                <w:rFonts w:cs="Arial"/>
                <w:i w:val="0"/>
                <w:iCs w:val="0"/>
              </w:rPr>
              <w:t xml:space="preserve"> privacy </w:t>
            </w:r>
            <w:r w:rsidR="00CD7DA2">
              <w:rPr>
                <w:rFonts w:cs="Arial"/>
                <w:i w:val="0"/>
                <w:iCs w:val="0"/>
              </w:rPr>
              <w:t xml:space="preserve">is proportionate </w:t>
            </w:r>
            <w:r w:rsidR="00CD7DA2" w:rsidRPr="00941E90">
              <w:rPr>
                <w:rFonts w:cs="Arial"/>
                <w:i w:val="0"/>
                <w:iCs w:val="0"/>
              </w:rPr>
              <w:t>t</w:t>
            </w:r>
            <w:r w:rsidR="00CD7DA2">
              <w:rPr>
                <w:rFonts w:cs="Arial"/>
                <w:i w:val="0"/>
                <w:iCs w:val="0"/>
              </w:rPr>
              <w:t>o mitigating any</w:t>
            </w:r>
            <w:r w:rsidR="00CD7DA2" w:rsidRPr="00941E90">
              <w:rPr>
                <w:rFonts w:cs="Arial"/>
                <w:i w:val="0"/>
                <w:iCs w:val="0"/>
              </w:rPr>
              <w:t xml:space="preserve"> serious risk</w:t>
            </w:r>
            <w:r w:rsidR="00CD7DA2">
              <w:rPr>
                <w:rFonts w:cs="Arial"/>
                <w:i w:val="0"/>
                <w:iCs w:val="0"/>
              </w:rPr>
              <w:t xml:space="preserve"> </w:t>
            </w:r>
            <w:r w:rsidR="00CD7DA2" w:rsidRPr="00941E90">
              <w:rPr>
                <w:rFonts w:cs="Arial"/>
                <w:i w:val="0"/>
                <w:iCs w:val="0"/>
              </w:rPr>
              <w:t xml:space="preserve">posed by hazardous substances, and the powers are clearly directed toward achieving the </w:t>
            </w:r>
            <w:r w:rsidR="00CD7DA2">
              <w:rPr>
                <w:rFonts w:cs="Arial"/>
                <w:i w:val="0"/>
                <w:iCs w:val="0"/>
              </w:rPr>
              <w:t xml:space="preserve">DS </w:t>
            </w:r>
            <w:r w:rsidR="00CD7DA2" w:rsidRPr="00941E90">
              <w:rPr>
                <w:rFonts w:cs="Arial"/>
                <w:i w:val="0"/>
                <w:iCs w:val="0"/>
              </w:rPr>
              <w:t>Act’s purpose of protecting public health and safety.</w:t>
            </w:r>
            <w:r w:rsidR="00CD7DA2" w:rsidRPr="00F43F20">
              <w:rPr>
                <w:rFonts w:cs="Arial"/>
              </w:rPr>
              <w:t> </w:t>
            </w:r>
            <w:r w:rsidR="00790ADB" w:rsidRPr="00B31851">
              <w:rPr>
                <w:rFonts w:cs="Arial"/>
                <w:i w:val="0"/>
                <w:iCs w:val="0"/>
              </w:rPr>
              <w:t>Therefore, inspector powers are essential to uphold safety standards in high-risk environments, and no less restrictive alternative would achieve the same regulatory outcome.</w:t>
            </w:r>
          </w:p>
          <w:p w14:paraId="7DB37D53" w14:textId="5B983DAC" w:rsidR="00D96178" w:rsidRPr="00B31851" w:rsidRDefault="00CD7DA2" w:rsidP="00FE099C">
            <w:pPr>
              <w:spacing w:before="240"/>
              <w:rPr>
                <w:rFonts w:cs="Arial"/>
                <w:i w:val="0"/>
                <w:iCs w:val="0"/>
              </w:rPr>
            </w:pPr>
            <w:r w:rsidRPr="00941E90">
              <w:rPr>
                <w:rFonts w:cs="Arial"/>
                <w:i w:val="0"/>
                <w:iCs w:val="0"/>
              </w:rPr>
              <w:lastRenderedPageBreak/>
              <w:t xml:space="preserve">Although the discretionary nature of these powers means that individuals may be compelled to disclose information </w:t>
            </w:r>
            <w:r>
              <w:rPr>
                <w:rFonts w:cs="Arial"/>
                <w:i w:val="0"/>
                <w:iCs w:val="0"/>
              </w:rPr>
              <w:t xml:space="preserve">that </w:t>
            </w:r>
            <w:r w:rsidRPr="00941E90">
              <w:rPr>
                <w:rFonts w:cs="Arial"/>
                <w:i w:val="0"/>
                <w:iCs w:val="0"/>
              </w:rPr>
              <w:t>they would otherwise have the right to keep private</w:t>
            </w:r>
            <w:r>
              <w:rPr>
                <w:rFonts w:cs="Arial"/>
                <w:i w:val="0"/>
                <w:iCs w:val="0"/>
              </w:rPr>
              <w:t>, there are adequate safeguards to ensure the limitation is the least restrictive option available</w:t>
            </w:r>
            <w:r w:rsidRPr="00941E90">
              <w:rPr>
                <w:rFonts w:cs="Arial"/>
                <w:i w:val="0"/>
                <w:iCs w:val="0"/>
              </w:rPr>
              <w:t xml:space="preserve">. </w:t>
            </w:r>
            <w:r w:rsidR="00B2787E" w:rsidRPr="00941E90">
              <w:rPr>
                <w:rFonts w:cs="Arial"/>
                <w:i w:val="0"/>
                <w:iCs w:val="0"/>
              </w:rPr>
              <w:t xml:space="preserve">Under the </w:t>
            </w:r>
            <w:r w:rsidR="00B2787E">
              <w:rPr>
                <w:rFonts w:cs="Arial"/>
                <w:i w:val="0"/>
                <w:iCs w:val="0"/>
              </w:rPr>
              <w:t>DS</w:t>
            </w:r>
            <w:r w:rsidR="00B2787E" w:rsidRPr="00941E90">
              <w:rPr>
                <w:rFonts w:cs="Arial"/>
                <w:i w:val="0"/>
                <w:iCs w:val="0"/>
              </w:rPr>
              <w:t xml:space="preserve"> Act, </w:t>
            </w:r>
            <w:r w:rsidR="00B2787E">
              <w:rPr>
                <w:rFonts w:cs="Arial"/>
                <w:i w:val="0"/>
                <w:iCs w:val="0"/>
              </w:rPr>
              <w:t xml:space="preserve">currently </w:t>
            </w:r>
            <w:r w:rsidR="00B2787E" w:rsidRPr="00941E90">
              <w:rPr>
                <w:rFonts w:cs="Arial"/>
                <w:i w:val="0"/>
                <w:iCs w:val="0"/>
              </w:rPr>
              <w:t xml:space="preserve">several safeguards are in place to ensure that the exercise of inspector powers, including those conferred on the WHS Commissioner, is balanced and minimally intrusive. When inspections are conducted with consent, a PCBU has the right to withdraw consent at any time, </w:t>
            </w:r>
            <w:r w:rsidR="00661284">
              <w:rPr>
                <w:rFonts w:cs="Arial"/>
                <w:i w:val="0"/>
                <w:iCs w:val="0"/>
              </w:rPr>
              <w:t>can seek</w:t>
            </w:r>
            <w:r w:rsidR="00B2787E" w:rsidRPr="00941E90">
              <w:rPr>
                <w:rFonts w:cs="Arial"/>
                <w:i w:val="0"/>
                <w:iCs w:val="0"/>
              </w:rPr>
              <w:t xml:space="preserve"> that the inspection occur at a more suitable </w:t>
            </w:r>
            <w:r w:rsidR="00BB5543" w:rsidRPr="00BB5543">
              <w:rPr>
                <w:rFonts w:cs="Arial"/>
                <w:i w:val="0"/>
                <w:iCs w:val="0"/>
              </w:rPr>
              <w:t>time or</w:t>
            </w:r>
            <w:r w:rsidR="00B2787E" w:rsidRPr="00941E90">
              <w:rPr>
                <w:rFonts w:cs="Arial"/>
                <w:i w:val="0"/>
                <w:iCs w:val="0"/>
              </w:rPr>
              <w:t xml:space="preserve"> have another person present. Inspectors must identify themselves, explain the purpose of their visit, and inform occupiers of their rights, ensuring transparency and procedural fairness. Information requests must be limited to what is reasonably necessary for the investigation, and legal professional privilege is respected. These safeguards help ensure that the powers are carefully targeted, proportionate to the risks involved, and exercised in a manner that protects privacy while enabling effective regulatory oversight.</w:t>
            </w:r>
            <w:r w:rsidR="00BB4BAA">
              <w:rPr>
                <w:rFonts w:cs="Arial"/>
                <w:i w:val="0"/>
                <w:iCs w:val="0"/>
              </w:rPr>
              <w:t xml:space="preserve"> </w:t>
            </w:r>
            <w:r w:rsidR="00DC3D47" w:rsidRPr="00B31851">
              <w:rPr>
                <w:rFonts w:cs="Arial"/>
                <w:i w:val="0"/>
                <w:iCs w:val="0"/>
              </w:rPr>
              <w:t>Sensitive information obtained during inspections</w:t>
            </w:r>
            <w:r w:rsidR="00DB6B8E" w:rsidRPr="00B31851">
              <w:rPr>
                <w:rFonts w:cs="Arial"/>
                <w:i w:val="0"/>
                <w:iCs w:val="0"/>
              </w:rPr>
              <w:t xml:space="preserve">, </w:t>
            </w:r>
            <w:r w:rsidR="00DC3D47" w:rsidRPr="00B31851">
              <w:rPr>
                <w:rFonts w:cs="Arial"/>
                <w:i w:val="0"/>
                <w:iCs w:val="0"/>
              </w:rPr>
              <w:t>such as medical records or employment data</w:t>
            </w:r>
            <w:r w:rsidR="00DB6B8E" w:rsidRPr="00B31851">
              <w:rPr>
                <w:rFonts w:cs="Arial"/>
                <w:i w:val="0"/>
                <w:iCs w:val="0"/>
              </w:rPr>
              <w:t xml:space="preserve">, </w:t>
            </w:r>
            <w:r w:rsidR="00DC3D47" w:rsidRPr="00B31851">
              <w:rPr>
                <w:rFonts w:cs="Arial"/>
                <w:i w:val="0"/>
                <w:iCs w:val="0"/>
              </w:rPr>
              <w:t>must be handled in accordance with</w:t>
            </w:r>
            <w:r w:rsidR="00D47D1F">
              <w:rPr>
                <w:rFonts w:cs="Arial"/>
                <w:i w:val="0"/>
                <w:iCs w:val="0"/>
              </w:rPr>
              <w:t xml:space="preserve"> confidentiality and data protection obligations including section</w:t>
            </w:r>
            <w:r w:rsidR="00543668">
              <w:rPr>
                <w:rFonts w:cs="Arial"/>
                <w:i w:val="0"/>
                <w:iCs w:val="0"/>
              </w:rPr>
              <w:t xml:space="preserve"> 271 of the WHS Act</w:t>
            </w:r>
            <w:r w:rsidR="00E16F6F">
              <w:rPr>
                <w:rFonts w:cs="Arial"/>
                <w:i w:val="0"/>
                <w:iCs w:val="0"/>
              </w:rPr>
              <w:t xml:space="preserve"> and </w:t>
            </w:r>
            <w:r w:rsidR="00E020F6">
              <w:rPr>
                <w:rFonts w:cs="Arial"/>
                <w:i w:val="0"/>
                <w:iCs w:val="0"/>
              </w:rPr>
              <w:t>section</w:t>
            </w:r>
            <w:r w:rsidR="0024737F">
              <w:rPr>
                <w:rFonts w:cs="Arial"/>
                <w:i w:val="0"/>
                <w:iCs w:val="0"/>
              </w:rPr>
              <w:t>s</w:t>
            </w:r>
            <w:r w:rsidR="00E020F6">
              <w:rPr>
                <w:rFonts w:cs="Arial"/>
                <w:i w:val="0"/>
                <w:iCs w:val="0"/>
              </w:rPr>
              <w:t xml:space="preserve"> 22 and 23 of the </w:t>
            </w:r>
            <w:r w:rsidR="00E020F6" w:rsidRPr="00941E90">
              <w:rPr>
                <w:rFonts w:cs="Arial"/>
              </w:rPr>
              <w:t>Territory Records Act 2002</w:t>
            </w:r>
            <w:r w:rsidR="00DC3D47" w:rsidRPr="00B31851">
              <w:rPr>
                <w:rFonts w:cs="Arial"/>
                <w:i w:val="0"/>
                <w:iCs w:val="0"/>
              </w:rPr>
              <w:t>. These measures help ensure that the exercise of regulatory powers is not arbitrary, and that privacy is protected while enabling effective enforcement in high-risk environments.</w:t>
            </w:r>
          </w:p>
        </w:tc>
      </w:tr>
      <w:tr w:rsidR="00E41AD3" w:rsidRPr="00B31851" w14:paraId="113CB1FE" w14:textId="77777777" w:rsidTr="000C0695">
        <w:tc>
          <w:tcPr>
            <w:tcW w:w="1838" w:type="dxa"/>
          </w:tcPr>
          <w:p w14:paraId="330B9FC6" w14:textId="7FCD0FB0" w:rsidR="00E41AD3" w:rsidRPr="00B31851" w:rsidRDefault="00106C17" w:rsidP="009E0679">
            <w:pPr>
              <w:rPr>
                <w:rFonts w:eastAsiaTheme="minorEastAsia" w:cs="Arial"/>
                <w:i w:val="0"/>
                <w:iCs w:val="0"/>
              </w:rPr>
            </w:pPr>
            <w:r w:rsidRPr="00B31851">
              <w:rPr>
                <w:rFonts w:cs="Arial"/>
                <w:i w:val="0"/>
                <w:iCs w:val="0"/>
              </w:rPr>
              <w:lastRenderedPageBreak/>
              <w:t>WC Act amendment – New section 188</w:t>
            </w:r>
            <w:r w:rsidR="00661284">
              <w:rPr>
                <w:rFonts w:cs="Arial"/>
                <w:i w:val="0"/>
                <w:iCs w:val="0"/>
              </w:rPr>
              <w:t xml:space="preserve"> </w:t>
            </w:r>
            <w:r w:rsidRPr="00B31851">
              <w:rPr>
                <w:rFonts w:cs="Arial"/>
                <w:i w:val="0"/>
                <w:iCs w:val="0"/>
              </w:rPr>
              <w:t>(3)</w:t>
            </w:r>
          </w:p>
        </w:tc>
        <w:tc>
          <w:tcPr>
            <w:tcW w:w="7178" w:type="dxa"/>
          </w:tcPr>
          <w:p w14:paraId="78F68A3C" w14:textId="0E536AD3" w:rsidR="00C50EBF" w:rsidRDefault="00D22894" w:rsidP="009E0679">
            <w:pPr>
              <w:rPr>
                <w:rFonts w:cs="Arial"/>
                <w:i w:val="0"/>
                <w:iCs w:val="0"/>
              </w:rPr>
            </w:pPr>
            <w:r w:rsidRPr="00941E90">
              <w:rPr>
                <w:rFonts w:cs="Arial"/>
                <w:i w:val="0"/>
                <w:iCs w:val="0"/>
              </w:rPr>
              <w:t xml:space="preserve">The amendment to </w:t>
            </w:r>
            <w:r w:rsidR="0004274B">
              <w:rPr>
                <w:rFonts w:cs="Arial"/>
                <w:i w:val="0"/>
                <w:iCs w:val="0"/>
              </w:rPr>
              <w:t>the WC Act</w:t>
            </w:r>
            <w:r w:rsidRPr="00941E90">
              <w:rPr>
                <w:rFonts w:cs="Arial"/>
                <w:i w:val="0"/>
                <w:iCs w:val="0"/>
              </w:rPr>
              <w:t xml:space="preserve"> through the insertion of section 188</w:t>
            </w:r>
            <w:r w:rsidR="00661284">
              <w:rPr>
                <w:rFonts w:cs="Arial"/>
                <w:i w:val="0"/>
                <w:iCs w:val="0"/>
              </w:rPr>
              <w:t xml:space="preserve"> </w:t>
            </w:r>
            <w:r w:rsidRPr="00941E90">
              <w:rPr>
                <w:rFonts w:cs="Arial"/>
                <w:i w:val="0"/>
                <w:iCs w:val="0"/>
              </w:rPr>
              <w:t>(3), formally designates the regulator as an inspector, thereby expanding their powers to oversee and enforce compliance with workers’ compensation obligations. While this designation limits the right to privacy</w:t>
            </w:r>
            <w:r w:rsidR="001A1123">
              <w:rPr>
                <w:rFonts w:cs="Arial"/>
                <w:i w:val="0"/>
                <w:iCs w:val="0"/>
              </w:rPr>
              <w:t xml:space="preserve">, </w:t>
            </w:r>
            <w:r w:rsidRPr="00941E90">
              <w:rPr>
                <w:rFonts w:cs="Arial"/>
                <w:i w:val="0"/>
                <w:iCs w:val="0"/>
              </w:rPr>
              <w:t>particularly through access to sensitive personal information such as medical records, employment history, and compensation claims</w:t>
            </w:r>
            <w:r w:rsidR="001A1123">
              <w:rPr>
                <w:rFonts w:cs="Arial"/>
                <w:i w:val="0"/>
                <w:iCs w:val="0"/>
              </w:rPr>
              <w:t xml:space="preserve">, </w:t>
            </w:r>
            <w:r w:rsidRPr="00941E90">
              <w:rPr>
                <w:rFonts w:cs="Arial"/>
                <w:i w:val="0"/>
                <w:iCs w:val="0"/>
              </w:rPr>
              <w:t xml:space="preserve">it is a proportionate response to the objective of protecting worker entitlements and maintaining the integrity of the compensation system. Less restrictive alternatives, such as relying solely on existing inspector powers or complaint-based investigations, are not reasonably effective in addressing systemic non-compliance or ensuring timely intervention in high-risk cases. The powers conferred are narrowly targeted and supported by a range of safeguards to minimise the impact on privacy. </w:t>
            </w:r>
          </w:p>
          <w:p w14:paraId="65CDEC15" w14:textId="77777777" w:rsidR="004F7B03" w:rsidRDefault="00D22894" w:rsidP="009E0679">
            <w:pPr>
              <w:rPr>
                <w:rFonts w:cs="Arial"/>
                <w:i w:val="0"/>
                <w:iCs w:val="0"/>
              </w:rPr>
            </w:pPr>
            <w:r w:rsidRPr="00941E90">
              <w:rPr>
                <w:rFonts w:cs="Arial"/>
                <w:i w:val="0"/>
                <w:iCs w:val="0"/>
              </w:rPr>
              <w:t xml:space="preserve">These include </w:t>
            </w:r>
            <w:r w:rsidR="0024737F">
              <w:rPr>
                <w:rFonts w:cs="Arial"/>
                <w:i w:val="0"/>
                <w:iCs w:val="0"/>
              </w:rPr>
              <w:t xml:space="preserve">confidentiality and data protection obligations under section 271 of the WHS Act and sections 22 and 23 of the </w:t>
            </w:r>
            <w:r w:rsidR="0024737F" w:rsidRPr="00DD5101">
              <w:rPr>
                <w:rFonts w:cs="Arial"/>
              </w:rPr>
              <w:t>Territory Records Act 2002</w:t>
            </w:r>
            <w:r w:rsidR="002139E2">
              <w:rPr>
                <w:rFonts w:cs="Arial"/>
              </w:rPr>
              <w:t xml:space="preserve"> </w:t>
            </w:r>
            <w:r w:rsidR="002139E2">
              <w:rPr>
                <w:rFonts w:cs="Arial"/>
                <w:i w:val="0"/>
                <w:iCs w:val="0"/>
              </w:rPr>
              <w:t xml:space="preserve">and </w:t>
            </w:r>
            <w:r w:rsidRPr="00941E90">
              <w:rPr>
                <w:rFonts w:cs="Arial"/>
                <w:i w:val="0"/>
                <w:iCs w:val="0"/>
              </w:rPr>
              <w:t xml:space="preserve">procedural fairness requirements that ensure information is only accessed when reasonably necessary and for lawful purposes. Additional safeguards include requiring the WHS Commissioner to demonstrate reasonable grounds before accessing personal information, limiting access to what is strictly necessary for the investigation, and ensuring </w:t>
            </w:r>
            <w:r w:rsidRPr="00941E90">
              <w:rPr>
                <w:rFonts w:cs="Arial"/>
                <w:i w:val="0"/>
                <w:iCs w:val="0"/>
              </w:rPr>
              <w:lastRenderedPageBreak/>
              <w:t xml:space="preserve">oversight through internal review processes and judicial mechanisms. </w:t>
            </w:r>
          </w:p>
          <w:p w14:paraId="5FFD3DE7" w14:textId="217EC232" w:rsidR="00D96178" w:rsidRPr="00B31851" w:rsidRDefault="00D22894" w:rsidP="009E0679">
            <w:pPr>
              <w:rPr>
                <w:rFonts w:eastAsiaTheme="minorEastAsia" w:cs="Arial"/>
                <w:i w:val="0"/>
                <w:iCs w:val="0"/>
              </w:rPr>
            </w:pPr>
            <w:r w:rsidRPr="00941E90">
              <w:rPr>
                <w:rFonts w:cs="Arial"/>
                <w:i w:val="0"/>
                <w:iCs w:val="0"/>
              </w:rPr>
              <w:t xml:space="preserve">The amendment also ensures consistency with existing WHS powers, closes any ambiguity between the roles of inspectors and the regulator, and reinforces the </w:t>
            </w:r>
            <w:r w:rsidR="00C2334E">
              <w:rPr>
                <w:rFonts w:cs="Arial"/>
                <w:i w:val="0"/>
                <w:iCs w:val="0"/>
              </w:rPr>
              <w:t xml:space="preserve">WHS </w:t>
            </w:r>
            <w:r w:rsidRPr="00941E90">
              <w:rPr>
                <w:rFonts w:cs="Arial"/>
                <w:i w:val="0"/>
                <w:iCs w:val="0"/>
              </w:rPr>
              <w:t>Commissioner’s role as a proactive compliance authority. Importantly, these measures are designed to uphold public trust, protect vulnerable claimants, and ensure that any interference with privacy is justified, necessary, and proportionate in a free and democratic society</w:t>
            </w:r>
            <w:r w:rsidRPr="00D22894">
              <w:rPr>
                <w:rFonts w:cs="Arial"/>
              </w:rPr>
              <w:t>.</w:t>
            </w:r>
          </w:p>
        </w:tc>
      </w:tr>
    </w:tbl>
    <w:p w14:paraId="714F8793" w14:textId="77777777" w:rsidR="00A01D0C" w:rsidRDefault="00A01D0C" w:rsidP="00A01D0C">
      <w:pPr>
        <w:spacing w:after="160"/>
        <w:ind w:right="0"/>
        <w:rPr>
          <w:rFonts w:cs="Arial"/>
          <w:i w:val="0"/>
          <w:iCs w:val="0"/>
          <w:u w:val="single"/>
        </w:rPr>
      </w:pPr>
    </w:p>
    <w:p w14:paraId="54ACD89C" w14:textId="10F3BABC" w:rsidR="49BA8111" w:rsidRPr="00B31851" w:rsidRDefault="00F76C7E" w:rsidP="00A01D0C">
      <w:pPr>
        <w:spacing w:after="160"/>
        <w:ind w:right="0"/>
        <w:rPr>
          <w:rFonts w:cs="Arial"/>
          <w:i w:val="0"/>
          <w:iCs w:val="0"/>
          <w:u w:val="single"/>
        </w:rPr>
      </w:pPr>
      <w:r w:rsidRPr="00B31851">
        <w:rPr>
          <w:rFonts w:cs="Arial"/>
          <w:i w:val="0"/>
          <w:iCs w:val="0"/>
          <w:u w:val="single"/>
        </w:rPr>
        <w:t>LSL Act</w:t>
      </w:r>
      <w:r w:rsidR="00EF1281" w:rsidRPr="00B31851">
        <w:rPr>
          <w:rFonts w:cs="Arial"/>
          <w:i w:val="0"/>
          <w:iCs w:val="0"/>
          <w:u w:val="single"/>
        </w:rPr>
        <w:t xml:space="preserve">, </w:t>
      </w:r>
      <w:r w:rsidR="00E75F0B" w:rsidRPr="00B31851">
        <w:rPr>
          <w:rFonts w:cs="Arial"/>
          <w:i w:val="0"/>
          <w:iCs w:val="0"/>
          <w:u w:val="single"/>
        </w:rPr>
        <w:t xml:space="preserve">WHS Act </w:t>
      </w:r>
      <w:r w:rsidR="00EF1281" w:rsidRPr="00B31851">
        <w:rPr>
          <w:rFonts w:cs="Arial"/>
          <w:i w:val="0"/>
          <w:iCs w:val="0"/>
          <w:u w:val="single"/>
        </w:rPr>
        <w:t xml:space="preserve">and </w:t>
      </w:r>
      <w:r w:rsidR="00E75F0B" w:rsidRPr="00B31851">
        <w:rPr>
          <w:rFonts w:cs="Arial"/>
          <w:i w:val="0"/>
          <w:iCs w:val="0"/>
          <w:u w:val="single"/>
        </w:rPr>
        <w:t xml:space="preserve">WC Act amendments </w:t>
      </w:r>
      <w:r w:rsidR="00F52EAF" w:rsidRPr="00B31851">
        <w:rPr>
          <w:rFonts w:cs="Arial"/>
          <w:i w:val="0"/>
          <w:iCs w:val="0"/>
          <w:u w:val="single"/>
        </w:rPr>
        <w:t xml:space="preserve">- </w:t>
      </w:r>
      <w:r w:rsidR="00F74A4E" w:rsidRPr="00B31851">
        <w:rPr>
          <w:rFonts w:cs="Arial"/>
          <w:i w:val="0"/>
          <w:iCs w:val="0"/>
          <w:u w:val="single"/>
        </w:rPr>
        <w:t>rights in criminal proceedings</w:t>
      </w:r>
    </w:p>
    <w:p w14:paraId="159DEEFE" w14:textId="136D87CC" w:rsidR="00A479F3" w:rsidRPr="009F01D3" w:rsidRDefault="00E2578B" w:rsidP="009E0DBA">
      <w:pPr>
        <w:pStyle w:val="ListParagraph"/>
        <w:numPr>
          <w:ilvl w:val="3"/>
          <w:numId w:val="12"/>
        </w:numPr>
        <w:ind w:left="0" w:firstLine="426"/>
        <w:rPr>
          <w:rFonts w:cs="Arial"/>
          <w:b/>
          <w:i w:val="0"/>
        </w:rPr>
      </w:pPr>
      <w:r w:rsidRPr="00A50DB6">
        <w:rPr>
          <w:rFonts w:cs="Arial"/>
          <w:b/>
        </w:rPr>
        <w:t>Nature of the right and the limitation (s28</w:t>
      </w:r>
      <w:r w:rsidR="00F605D7">
        <w:rPr>
          <w:rFonts w:cs="Arial"/>
          <w:b/>
        </w:rPr>
        <w:t>(2)</w:t>
      </w:r>
      <w:r w:rsidRPr="00A50DB6">
        <w:rPr>
          <w:rFonts w:cs="Arial"/>
          <w:b/>
        </w:rPr>
        <w:t>(a) and (c))</w:t>
      </w:r>
      <w:r w:rsidR="006636C6" w:rsidRPr="00A50DB6">
        <w:rPr>
          <w:rFonts w:cs="Arial"/>
          <w:i w:val="0"/>
          <w:iCs w:val="0"/>
        </w:rPr>
        <w:t>.</w:t>
      </w:r>
      <w:r w:rsidR="009F01D3">
        <w:rPr>
          <w:rFonts w:cs="Arial"/>
          <w:i w:val="0"/>
          <w:iCs w:val="0"/>
        </w:rPr>
        <w:t xml:space="preserve"> </w:t>
      </w:r>
    </w:p>
    <w:tbl>
      <w:tblPr>
        <w:tblStyle w:val="TableGrid"/>
        <w:tblW w:w="0" w:type="auto"/>
        <w:tblLook w:val="04A0" w:firstRow="1" w:lastRow="0" w:firstColumn="1" w:lastColumn="0" w:noHBand="0" w:noVBand="1"/>
      </w:tblPr>
      <w:tblGrid>
        <w:gridCol w:w="1980"/>
        <w:gridCol w:w="7036"/>
      </w:tblGrid>
      <w:tr w:rsidR="00A479F3" w:rsidRPr="00B31851" w14:paraId="5BF67FFF" w14:textId="77777777" w:rsidTr="00941E90">
        <w:tc>
          <w:tcPr>
            <w:tcW w:w="1980" w:type="dxa"/>
          </w:tcPr>
          <w:p w14:paraId="6B6EA248" w14:textId="7AC1C775" w:rsidR="00A479F3" w:rsidRPr="00B31851" w:rsidRDefault="002A6514" w:rsidP="009E0DBA">
            <w:pPr>
              <w:rPr>
                <w:rFonts w:cs="Arial"/>
                <w:i w:val="0"/>
                <w:iCs w:val="0"/>
              </w:rPr>
            </w:pPr>
            <w:r w:rsidRPr="00B31851">
              <w:rPr>
                <w:rFonts w:cs="Arial"/>
                <w:i w:val="0"/>
                <w:iCs w:val="0"/>
              </w:rPr>
              <w:t xml:space="preserve">LSL Act amendment </w:t>
            </w:r>
            <w:r w:rsidR="006636C6" w:rsidRPr="00B31851">
              <w:rPr>
                <w:rFonts w:cs="Arial"/>
                <w:i w:val="0"/>
                <w:iCs w:val="0"/>
              </w:rPr>
              <w:t>– abrogation of privilege against self-incrimination</w:t>
            </w:r>
          </w:p>
        </w:tc>
        <w:tc>
          <w:tcPr>
            <w:tcW w:w="7036" w:type="dxa"/>
          </w:tcPr>
          <w:p w14:paraId="121F6B12" w14:textId="11625BE4" w:rsidR="006A0302" w:rsidRPr="006A0302" w:rsidRDefault="006A0302" w:rsidP="006A0302">
            <w:pPr>
              <w:rPr>
                <w:rFonts w:cs="Arial"/>
                <w:i w:val="0"/>
                <w:iCs w:val="0"/>
              </w:rPr>
            </w:pPr>
            <w:r w:rsidRPr="006A0302">
              <w:rPr>
                <w:rFonts w:cs="Arial"/>
                <w:i w:val="0"/>
                <w:iCs w:val="0"/>
              </w:rPr>
              <w:t>Under section 22</w:t>
            </w:r>
            <w:r w:rsidR="00804317">
              <w:rPr>
                <w:rFonts w:cs="Arial"/>
                <w:i w:val="0"/>
                <w:iCs w:val="0"/>
              </w:rPr>
              <w:t xml:space="preserve"> </w:t>
            </w:r>
            <w:r w:rsidRPr="006A0302">
              <w:rPr>
                <w:rFonts w:cs="Arial"/>
                <w:i w:val="0"/>
                <w:iCs w:val="0"/>
              </w:rPr>
              <w:t>(2)(i) of the </w:t>
            </w:r>
            <w:r w:rsidRPr="00CD2219">
              <w:rPr>
                <w:rFonts w:cs="Arial"/>
                <w:i w:val="0"/>
                <w:iCs w:val="0"/>
              </w:rPr>
              <w:t>HR Act</w:t>
            </w:r>
            <w:r w:rsidRPr="006A0302">
              <w:rPr>
                <w:rFonts w:cs="Arial"/>
                <w:i w:val="0"/>
                <w:iCs w:val="0"/>
              </w:rPr>
              <w:t xml:space="preserve">, individuals charged with a criminal offence have the right not to be compelled to testify against themselves or confess guilt. This right is a fundamental </w:t>
            </w:r>
            <w:r w:rsidR="008E4FF4">
              <w:rPr>
                <w:rFonts w:cs="Arial"/>
                <w:i w:val="0"/>
                <w:iCs w:val="0"/>
              </w:rPr>
              <w:t>part of</w:t>
            </w:r>
            <w:r w:rsidRPr="006A0302">
              <w:rPr>
                <w:rFonts w:cs="Arial"/>
                <w:i w:val="0"/>
                <w:iCs w:val="0"/>
              </w:rPr>
              <w:t xml:space="preserve"> criminal proceedings, ensuring fairness by upholding the presumption of innocence and placing the burden of proof on the prosecution. It protects individuals from being coerced into providing evidence that could be used against them in a criminal trial.</w:t>
            </w:r>
          </w:p>
          <w:p w14:paraId="0E54881D" w14:textId="452E8648" w:rsidR="00A479F3" w:rsidRPr="00B31851" w:rsidRDefault="006A0302" w:rsidP="009E0DBA">
            <w:pPr>
              <w:rPr>
                <w:rFonts w:cs="Arial"/>
                <w:i w:val="0"/>
                <w:iCs w:val="0"/>
              </w:rPr>
            </w:pPr>
            <w:r w:rsidRPr="006A0302">
              <w:rPr>
                <w:rFonts w:cs="Arial"/>
                <w:i w:val="0"/>
                <w:iCs w:val="0"/>
              </w:rPr>
              <w:t xml:space="preserve">The proposed amendment to the </w:t>
            </w:r>
            <w:r w:rsidR="00F23046">
              <w:rPr>
                <w:rFonts w:cs="Arial"/>
                <w:i w:val="0"/>
                <w:iCs w:val="0"/>
              </w:rPr>
              <w:t>LSL Act</w:t>
            </w:r>
            <w:r w:rsidRPr="006A0302">
              <w:rPr>
                <w:rFonts w:cs="Arial"/>
                <w:i w:val="0"/>
                <w:iCs w:val="0"/>
              </w:rPr>
              <w:t>, which abrogates this privilege by allowing authorised officers to compel individuals to provide information</w:t>
            </w:r>
            <w:r w:rsidR="00F532FB">
              <w:rPr>
                <w:rFonts w:cs="Arial"/>
                <w:i w:val="0"/>
                <w:iCs w:val="0"/>
              </w:rPr>
              <w:t xml:space="preserve">, </w:t>
            </w:r>
            <w:r w:rsidRPr="006A0302">
              <w:rPr>
                <w:rFonts w:cs="Arial"/>
                <w:i w:val="0"/>
                <w:iCs w:val="0"/>
              </w:rPr>
              <w:t>even if it may be self-incriminating</w:t>
            </w:r>
            <w:r w:rsidR="00F532FB">
              <w:rPr>
                <w:rFonts w:cs="Arial"/>
                <w:i w:val="0"/>
                <w:iCs w:val="0"/>
              </w:rPr>
              <w:t xml:space="preserve">, </w:t>
            </w:r>
            <w:r w:rsidRPr="006A0302">
              <w:rPr>
                <w:rFonts w:cs="Arial"/>
                <w:i w:val="0"/>
                <w:iCs w:val="0"/>
              </w:rPr>
              <w:t>constitutes a clear limitation on this right.</w:t>
            </w:r>
            <w:r w:rsidR="0004697C">
              <w:rPr>
                <w:rFonts w:cs="Arial"/>
                <w:i w:val="0"/>
                <w:iCs w:val="0"/>
              </w:rPr>
              <w:t xml:space="preserve"> </w:t>
            </w:r>
            <w:r w:rsidR="0004697C" w:rsidRPr="00CD2219">
              <w:rPr>
                <w:rFonts w:cs="Arial"/>
                <w:i w:val="0"/>
                <w:iCs w:val="0"/>
              </w:rPr>
              <w:t>Under section 28(a), the nature of the right is recognised as essential to a fair trial and due process.</w:t>
            </w:r>
          </w:p>
        </w:tc>
      </w:tr>
      <w:tr w:rsidR="00B320C6" w:rsidRPr="00B31851" w14:paraId="23A505E1" w14:textId="77777777" w:rsidTr="00941E90">
        <w:tc>
          <w:tcPr>
            <w:tcW w:w="1980" w:type="dxa"/>
          </w:tcPr>
          <w:p w14:paraId="0DE924C5" w14:textId="560F1CDC" w:rsidR="00B320C6" w:rsidRPr="00B31851" w:rsidRDefault="00B320C6" w:rsidP="009E0DBA">
            <w:pPr>
              <w:rPr>
                <w:rFonts w:cs="Arial"/>
                <w:i w:val="0"/>
                <w:iCs w:val="0"/>
              </w:rPr>
            </w:pPr>
            <w:r w:rsidRPr="00B31851">
              <w:rPr>
                <w:rFonts w:cs="Arial"/>
                <w:i w:val="0"/>
                <w:iCs w:val="0"/>
              </w:rPr>
              <w:t>LSL Act amendment creation of strict liability offence under section 11A</w:t>
            </w:r>
          </w:p>
        </w:tc>
        <w:tc>
          <w:tcPr>
            <w:tcW w:w="7036" w:type="dxa"/>
          </w:tcPr>
          <w:p w14:paraId="0BB2897E" w14:textId="06A5655C" w:rsidR="0046140E" w:rsidRDefault="0046140E" w:rsidP="00F26AA5">
            <w:pPr>
              <w:rPr>
                <w:rFonts w:cs="Arial"/>
                <w:i w:val="0"/>
                <w:iCs w:val="0"/>
              </w:rPr>
            </w:pPr>
            <w:r w:rsidRPr="00E33B06">
              <w:rPr>
                <w:rFonts w:cs="Arial"/>
                <w:i w:val="0"/>
                <w:iCs w:val="0"/>
              </w:rPr>
              <w:t>Every person charged with a criminal offence has the right to the presumption of innocence until proven guilty according to the law.</w:t>
            </w:r>
            <w:r w:rsidR="009B7497">
              <w:rPr>
                <w:rFonts w:cs="Arial"/>
                <w:i w:val="0"/>
                <w:iCs w:val="0"/>
              </w:rPr>
              <w:t xml:space="preserve"> </w:t>
            </w:r>
            <w:r>
              <w:rPr>
                <w:rFonts w:cs="Arial"/>
                <w:i w:val="0"/>
                <w:iCs w:val="0"/>
              </w:rPr>
              <w:t>This amendment creates</w:t>
            </w:r>
            <w:r w:rsidRPr="00B31851">
              <w:rPr>
                <w:rFonts w:cs="Arial"/>
                <w:i w:val="0"/>
                <w:iCs w:val="0"/>
              </w:rPr>
              <w:t xml:space="preserve"> </w:t>
            </w:r>
            <w:r w:rsidR="00F26AA5" w:rsidRPr="00B31851">
              <w:rPr>
                <w:rFonts w:cs="Arial"/>
                <w:i w:val="0"/>
                <w:iCs w:val="0"/>
              </w:rPr>
              <w:t>a </w:t>
            </w:r>
            <w:r>
              <w:rPr>
                <w:rFonts w:cs="Arial"/>
                <w:i w:val="0"/>
                <w:iCs w:val="0"/>
              </w:rPr>
              <w:t xml:space="preserve">new </w:t>
            </w:r>
            <w:r w:rsidR="00F26AA5" w:rsidRPr="008B3D5E">
              <w:rPr>
                <w:rFonts w:cs="Arial"/>
                <w:i w:val="0"/>
                <w:iCs w:val="0"/>
              </w:rPr>
              <w:t>strict liability offence</w:t>
            </w:r>
            <w:r w:rsidR="00F26AA5" w:rsidRPr="00B31851">
              <w:rPr>
                <w:rFonts w:cs="Arial"/>
                <w:i w:val="0"/>
                <w:iCs w:val="0"/>
              </w:rPr>
              <w:t> </w:t>
            </w:r>
            <w:r>
              <w:rPr>
                <w:rFonts w:cs="Arial"/>
                <w:i w:val="0"/>
                <w:iCs w:val="0"/>
              </w:rPr>
              <w:t xml:space="preserve">under section 11A of the LSL Act </w:t>
            </w:r>
            <w:r w:rsidR="00F26AA5" w:rsidRPr="00B31851">
              <w:rPr>
                <w:rFonts w:cs="Arial"/>
                <w:i w:val="0"/>
                <w:iCs w:val="0"/>
              </w:rPr>
              <w:t>for employer</w:t>
            </w:r>
            <w:r w:rsidR="00DF0B3A" w:rsidRPr="00B31851">
              <w:rPr>
                <w:rFonts w:cs="Arial"/>
                <w:i w:val="0"/>
                <w:iCs w:val="0"/>
              </w:rPr>
              <w:t>s</w:t>
            </w:r>
            <w:r w:rsidR="00F26AA5" w:rsidRPr="00B31851">
              <w:rPr>
                <w:rFonts w:cs="Arial"/>
                <w:i w:val="0"/>
                <w:iCs w:val="0"/>
              </w:rPr>
              <w:t xml:space="preserve"> who fail to pay long service leave </w:t>
            </w:r>
            <w:r w:rsidR="00AA34AD">
              <w:rPr>
                <w:rFonts w:cs="Arial"/>
                <w:i w:val="0"/>
                <w:iCs w:val="0"/>
              </w:rPr>
              <w:t>entitlements</w:t>
            </w:r>
            <w:r w:rsidR="00D10837">
              <w:rPr>
                <w:rFonts w:cs="Arial"/>
                <w:i w:val="0"/>
                <w:iCs w:val="0"/>
              </w:rPr>
              <w:t xml:space="preserve"> </w:t>
            </w:r>
            <w:r>
              <w:rPr>
                <w:rFonts w:cs="Arial"/>
                <w:i w:val="0"/>
                <w:iCs w:val="0"/>
              </w:rPr>
              <w:t>within 90 days after the person’s employment ceases.</w:t>
            </w:r>
            <w:r w:rsidR="00F26AA5" w:rsidRPr="00B31851">
              <w:rPr>
                <w:rFonts w:cs="Arial"/>
                <w:i w:val="0"/>
                <w:iCs w:val="0"/>
              </w:rPr>
              <w:t xml:space="preserve"> </w:t>
            </w:r>
          </w:p>
          <w:p w14:paraId="443440C1" w14:textId="5991AEA8" w:rsidR="00B320C6" w:rsidRPr="00B31851" w:rsidRDefault="0046140E" w:rsidP="009E0DBA">
            <w:pPr>
              <w:rPr>
                <w:rFonts w:cs="Arial"/>
                <w:i w:val="0"/>
                <w:iCs w:val="0"/>
              </w:rPr>
            </w:pPr>
            <w:r>
              <w:rPr>
                <w:rFonts w:cs="Arial"/>
                <w:i w:val="0"/>
                <w:iCs w:val="0"/>
              </w:rPr>
              <w:t xml:space="preserve">This amendment </w:t>
            </w:r>
            <w:r w:rsidR="00F26AA5" w:rsidRPr="00B31851">
              <w:rPr>
                <w:rFonts w:cs="Arial"/>
                <w:i w:val="0"/>
                <w:iCs w:val="0"/>
              </w:rPr>
              <w:t>places a </w:t>
            </w:r>
            <w:r w:rsidR="00F26AA5" w:rsidRPr="008B3D5E">
              <w:rPr>
                <w:rFonts w:cs="Arial"/>
                <w:i w:val="0"/>
                <w:iCs w:val="0"/>
              </w:rPr>
              <w:t>clear limitation on the right to be presumed innocent</w:t>
            </w:r>
            <w:r>
              <w:rPr>
                <w:rFonts w:cs="Arial"/>
                <w:i w:val="0"/>
                <w:iCs w:val="0"/>
              </w:rPr>
              <w:t xml:space="preserve"> </w:t>
            </w:r>
            <w:r w:rsidR="00F26AA5" w:rsidRPr="00B31851">
              <w:rPr>
                <w:rFonts w:cs="Arial"/>
                <w:i w:val="0"/>
                <w:iCs w:val="0"/>
              </w:rPr>
              <w:t>under the HR Act</w:t>
            </w:r>
            <w:r>
              <w:rPr>
                <w:rFonts w:cs="Arial"/>
                <w:i w:val="0"/>
                <w:iCs w:val="0"/>
              </w:rPr>
              <w:t xml:space="preserve"> because</w:t>
            </w:r>
            <w:r w:rsidR="00F26AA5" w:rsidRPr="00B31851">
              <w:rPr>
                <w:rFonts w:cs="Arial"/>
                <w:i w:val="0"/>
                <w:iCs w:val="0"/>
              </w:rPr>
              <w:t xml:space="preserve"> the prosecution is not required to prove fault</w:t>
            </w:r>
            <w:r w:rsidR="00DF0B3A" w:rsidRPr="00B31851">
              <w:rPr>
                <w:rFonts w:cs="Arial"/>
                <w:i w:val="0"/>
                <w:iCs w:val="0"/>
              </w:rPr>
              <w:t xml:space="preserve">, </w:t>
            </w:r>
            <w:r w:rsidR="00F26AA5" w:rsidRPr="00B31851">
              <w:rPr>
                <w:rFonts w:cs="Arial"/>
                <w:i w:val="0"/>
                <w:iCs w:val="0"/>
              </w:rPr>
              <w:t>such as intention, knowledge, recklessness, or negligence</w:t>
            </w:r>
            <w:r w:rsidR="00DF0B3A" w:rsidRPr="00B31851">
              <w:rPr>
                <w:rFonts w:cs="Arial"/>
                <w:i w:val="0"/>
                <w:iCs w:val="0"/>
              </w:rPr>
              <w:t xml:space="preserve">, </w:t>
            </w:r>
            <w:r w:rsidR="00F26AA5" w:rsidRPr="00B31851">
              <w:rPr>
                <w:rFonts w:cs="Arial"/>
                <w:i w:val="0"/>
                <w:iCs w:val="0"/>
              </w:rPr>
              <w:t>on the part of the accused. Instead, the employer may be found guilty solely based on the failure to meet the statutory obligation, regardless of the circumstances or reasons for non-compliance. This removes the usual burden on the prosecution to prove that the employer acted with culpability, thereby limiting the presumption of innocence.</w:t>
            </w:r>
            <w:r w:rsidR="00641C63">
              <w:rPr>
                <w:rFonts w:cs="Arial"/>
                <w:i w:val="0"/>
                <w:iCs w:val="0"/>
              </w:rPr>
              <w:t xml:space="preserve"> </w:t>
            </w:r>
          </w:p>
        </w:tc>
      </w:tr>
      <w:tr w:rsidR="00A479F3" w:rsidRPr="00B31851" w14:paraId="7BB0C51E" w14:textId="77777777" w:rsidTr="00941E90">
        <w:tc>
          <w:tcPr>
            <w:tcW w:w="1980" w:type="dxa"/>
          </w:tcPr>
          <w:p w14:paraId="4B9CD530" w14:textId="6CEE2B70" w:rsidR="00A479F3" w:rsidRPr="00690E3F" w:rsidRDefault="00EF1E8D" w:rsidP="009E0DBA">
            <w:pPr>
              <w:rPr>
                <w:rFonts w:cs="Arial"/>
                <w:i w:val="0"/>
              </w:rPr>
            </w:pPr>
            <w:r w:rsidRPr="00690E3F">
              <w:rPr>
                <w:rFonts w:cs="Arial"/>
                <w:i w:val="0"/>
              </w:rPr>
              <w:t>WHS Act amendment</w:t>
            </w:r>
            <w:r w:rsidR="006B55E0" w:rsidRPr="00690E3F">
              <w:rPr>
                <w:rFonts w:cs="Arial"/>
                <w:i w:val="0"/>
              </w:rPr>
              <w:t xml:space="preserve"> – statutory limitation period</w:t>
            </w:r>
          </w:p>
        </w:tc>
        <w:tc>
          <w:tcPr>
            <w:tcW w:w="7036" w:type="dxa"/>
          </w:tcPr>
          <w:p w14:paraId="5AAB60E3" w14:textId="626F090A" w:rsidR="00A479F3" w:rsidRPr="00690E3F" w:rsidRDefault="005D69C4" w:rsidP="001A55F3">
            <w:pPr>
              <w:rPr>
                <w:rFonts w:cs="Arial"/>
                <w:i w:val="0"/>
              </w:rPr>
            </w:pPr>
            <w:r>
              <w:rPr>
                <w:rFonts w:cs="Arial"/>
                <w:i w:val="0"/>
              </w:rPr>
              <w:t>The a</w:t>
            </w:r>
            <w:r w:rsidR="00D7484A">
              <w:rPr>
                <w:rFonts w:cs="Arial"/>
                <w:i w:val="0"/>
              </w:rPr>
              <w:t xml:space="preserve">mendment to </w:t>
            </w:r>
            <w:r w:rsidR="00EF1E8D" w:rsidRPr="00690E3F">
              <w:rPr>
                <w:rFonts w:cs="Arial"/>
                <w:i w:val="0"/>
              </w:rPr>
              <w:t xml:space="preserve">section 232 of the WHS Act introduces a discretionary power for the court to allow prosecutions of WHS offences to proceed outside the statutory limitation period, where it is satisfied that doing so is in the interests of justice. </w:t>
            </w:r>
            <w:r w:rsidR="00C51DF1" w:rsidRPr="00690E3F">
              <w:rPr>
                <w:rFonts w:cs="Arial"/>
                <w:i w:val="0"/>
              </w:rPr>
              <w:t xml:space="preserve"> </w:t>
            </w:r>
            <w:r w:rsidR="00E860A3" w:rsidRPr="00690E3F">
              <w:rPr>
                <w:rFonts w:cs="Arial"/>
                <w:i w:val="0"/>
              </w:rPr>
              <w:t xml:space="preserve">The amendment </w:t>
            </w:r>
            <w:r w:rsidR="00D7484A">
              <w:rPr>
                <w:rFonts w:cs="Arial"/>
                <w:i w:val="0"/>
              </w:rPr>
              <w:t xml:space="preserve">may </w:t>
            </w:r>
            <w:r w:rsidR="00E860A3" w:rsidRPr="00690E3F">
              <w:rPr>
                <w:rFonts w:cs="Arial"/>
                <w:i w:val="0"/>
              </w:rPr>
              <w:t>limit</w:t>
            </w:r>
            <w:r w:rsidR="00316FAC" w:rsidRPr="00690E3F">
              <w:rPr>
                <w:rFonts w:cs="Arial"/>
                <w:i w:val="0"/>
              </w:rPr>
              <w:t xml:space="preserve"> the right in criminal proceedings to be </w:t>
            </w:r>
            <w:r w:rsidR="00316FAC" w:rsidRPr="00690E3F">
              <w:rPr>
                <w:rFonts w:cs="Arial"/>
                <w:i w:val="0"/>
              </w:rPr>
              <w:lastRenderedPageBreak/>
              <w:t>tried without reasonable delay under section 22 (2)(c) of the HR Act</w:t>
            </w:r>
            <w:r w:rsidR="00D7484A">
              <w:rPr>
                <w:rFonts w:cs="Arial"/>
                <w:i w:val="0"/>
              </w:rPr>
              <w:t xml:space="preserve"> </w:t>
            </w:r>
            <w:r>
              <w:rPr>
                <w:rFonts w:cs="Arial"/>
                <w:i w:val="0"/>
              </w:rPr>
              <w:t xml:space="preserve">by allowing prosecutions to take place outside the statutory limitation period of </w:t>
            </w:r>
            <w:r w:rsidR="00E832FC">
              <w:rPr>
                <w:rFonts w:cs="Arial"/>
                <w:i w:val="0"/>
              </w:rPr>
              <w:t>commencing 2 years</w:t>
            </w:r>
            <w:r w:rsidR="005C48B5">
              <w:rPr>
                <w:rFonts w:cs="Arial"/>
                <w:i w:val="0"/>
              </w:rPr>
              <w:t xml:space="preserve"> from when</w:t>
            </w:r>
            <w:r w:rsidR="00A74B89">
              <w:rPr>
                <w:rFonts w:cs="Arial"/>
                <w:i w:val="0"/>
              </w:rPr>
              <w:t xml:space="preserve"> the offence first comes to the notice of the regulator.</w:t>
            </w:r>
            <w:r>
              <w:rPr>
                <w:rFonts w:cs="Arial"/>
                <w:i w:val="0"/>
              </w:rPr>
              <w:t xml:space="preserve"> </w:t>
            </w:r>
            <w:r w:rsidR="001A55F3" w:rsidRPr="001A55F3">
              <w:rPr>
                <w:rFonts w:cs="Arial"/>
                <w:i w:val="0"/>
              </w:rPr>
              <w:t>The right of the accused to be tried without undue delay</w:t>
            </w:r>
            <w:r w:rsidR="00C04A66">
              <w:rPr>
                <w:rFonts w:cs="Arial"/>
                <w:i w:val="0"/>
              </w:rPr>
              <w:t xml:space="preserve"> is </w:t>
            </w:r>
            <w:r w:rsidR="001A55F3" w:rsidRPr="001A55F3">
              <w:rPr>
                <w:rFonts w:cs="Arial"/>
                <w:i w:val="0"/>
              </w:rPr>
              <w:t>not only designed to avoid keeping persons too long in a state of uncertainty</w:t>
            </w:r>
            <w:r w:rsidR="0001554E">
              <w:rPr>
                <w:rFonts w:cs="Arial"/>
                <w:i w:val="0"/>
              </w:rPr>
              <w:t xml:space="preserve"> </w:t>
            </w:r>
            <w:r w:rsidR="001A55F3" w:rsidRPr="001A55F3">
              <w:rPr>
                <w:rFonts w:cs="Arial"/>
                <w:i w:val="0"/>
              </w:rPr>
              <w:t>about their fate</w:t>
            </w:r>
            <w:r w:rsidR="00A64835">
              <w:rPr>
                <w:rFonts w:cs="Arial"/>
                <w:i w:val="0"/>
              </w:rPr>
              <w:t xml:space="preserve">, </w:t>
            </w:r>
            <w:r w:rsidR="001A55F3" w:rsidRPr="001A55F3">
              <w:rPr>
                <w:rFonts w:cs="Arial"/>
                <w:i w:val="0"/>
              </w:rPr>
              <w:t xml:space="preserve">but also to serve the interests of justice. </w:t>
            </w:r>
          </w:p>
        </w:tc>
      </w:tr>
      <w:tr w:rsidR="00FE4ED3" w:rsidRPr="00B31851" w14:paraId="2E62A7B4" w14:textId="77777777" w:rsidTr="00941E90">
        <w:tc>
          <w:tcPr>
            <w:tcW w:w="1980" w:type="dxa"/>
          </w:tcPr>
          <w:p w14:paraId="3EA4A2B9" w14:textId="77777777" w:rsidR="00FE4ED3" w:rsidRPr="00762C53" w:rsidRDefault="00FE4ED3" w:rsidP="009E0DBA">
            <w:pPr>
              <w:rPr>
                <w:rFonts w:cs="Arial"/>
                <w:i w:val="0"/>
                <w:iCs w:val="0"/>
              </w:rPr>
            </w:pPr>
            <w:r w:rsidRPr="00762C53">
              <w:rPr>
                <w:rFonts w:cs="Arial"/>
                <w:i w:val="0"/>
                <w:iCs w:val="0"/>
              </w:rPr>
              <w:lastRenderedPageBreak/>
              <w:t>WHS Act amendment – s39A</w:t>
            </w:r>
            <w:r w:rsidR="00BD6CDF" w:rsidRPr="00762C53">
              <w:rPr>
                <w:rFonts w:cs="Arial"/>
                <w:i w:val="0"/>
                <w:iCs w:val="0"/>
              </w:rPr>
              <w:t xml:space="preserve"> </w:t>
            </w:r>
            <w:r w:rsidR="00120059" w:rsidRPr="00762C53">
              <w:rPr>
                <w:rFonts w:cs="Arial"/>
                <w:i w:val="0"/>
                <w:iCs w:val="0"/>
              </w:rPr>
              <w:t>(1) and (2)</w:t>
            </w:r>
            <w:r w:rsidRPr="00762C53">
              <w:rPr>
                <w:rFonts w:cs="Arial"/>
                <w:i w:val="0"/>
                <w:iCs w:val="0"/>
              </w:rPr>
              <w:t xml:space="preserve"> </w:t>
            </w:r>
            <w:r w:rsidR="00BC3A4A" w:rsidRPr="00762C53">
              <w:rPr>
                <w:rFonts w:cs="Arial"/>
                <w:i w:val="0"/>
                <w:iCs w:val="0"/>
              </w:rPr>
              <w:t>strict liability offence</w:t>
            </w:r>
            <w:r w:rsidR="00120059" w:rsidRPr="00762C53">
              <w:rPr>
                <w:rFonts w:cs="Arial"/>
                <w:i w:val="0"/>
                <w:iCs w:val="0"/>
              </w:rPr>
              <w:t>s</w:t>
            </w:r>
          </w:p>
          <w:p w14:paraId="48B55B58" w14:textId="6AF9C620" w:rsidR="004F2003" w:rsidRPr="00762C53" w:rsidRDefault="004F2003" w:rsidP="009E0DBA">
            <w:pPr>
              <w:rPr>
                <w:rFonts w:cs="Arial"/>
                <w:i w:val="0"/>
                <w:iCs w:val="0"/>
              </w:rPr>
            </w:pPr>
            <w:r w:rsidRPr="00762C53">
              <w:rPr>
                <w:rFonts w:cs="Arial"/>
                <w:i w:val="0"/>
                <w:iCs w:val="0"/>
              </w:rPr>
              <w:t>Update of section 39</w:t>
            </w:r>
          </w:p>
        </w:tc>
        <w:tc>
          <w:tcPr>
            <w:tcW w:w="7036" w:type="dxa"/>
          </w:tcPr>
          <w:p w14:paraId="672D28DB" w14:textId="5703EF6C" w:rsidR="00EE6EFD" w:rsidRPr="00762C53" w:rsidRDefault="00D7484A" w:rsidP="00EE6EFD">
            <w:pPr>
              <w:rPr>
                <w:rFonts w:cs="Arial"/>
                <w:i w:val="0"/>
                <w:iCs w:val="0"/>
              </w:rPr>
            </w:pPr>
            <w:r w:rsidRPr="00762C53">
              <w:rPr>
                <w:rFonts w:cs="Arial"/>
                <w:i w:val="0"/>
                <w:iCs w:val="0"/>
              </w:rPr>
              <w:t>The</w:t>
            </w:r>
            <w:r w:rsidR="00EE6EFD" w:rsidRPr="00762C53">
              <w:rPr>
                <w:rFonts w:cs="Arial"/>
                <w:i w:val="0"/>
                <w:iCs w:val="0"/>
              </w:rPr>
              <w:t xml:space="preserve"> Bill engages and limit</w:t>
            </w:r>
            <w:r w:rsidR="005D69C4" w:rsidRPr="00762C53">
              <w:rPr>
                <w:rFonts w:cs="Arial"/>
                <w:i w:val="0"/>
                <w:iCs w:val="0"/>
              </w:rPr>
              <w:t>s</w:t>
            </w:r>
            <w:r w:rsidR="00EE6EFD" w:rsidRPr="00762C53">
              <w:rPr>
                <w:rFonts w:cs="Arial"/>
                <w:i w:val="0"/>
                <w:iCs w:val="0"/>
              </w:rPr>
              <w:t xml:space="preserve"> the right to the presumption of innocence through the application of strict liability</w:t>
            </w:r>
            <w:r w:rsidR="0021434B" w:rsidRPr="00762C53">
              <w:rPr>
                <w:rFonts w:cs="Arial"/>
                <w:i w:val="0"/>
                <w:iCs w:val="0"/>
              </w:rPr>
              <w:t xml:space="preserve"> provisions under sections 39A</w:t>
            </w:r>
            <w:r w:rsidR="002023DF" w:rsidRPr="00762C53">
              <w:rPr>
                <w:rFonts w:cs="Arial"/>
                <w:i w:val="0"/>
                <w:iCs w:val="0"/>
              </w:rPr>
              <w:t xml:space="preserve"> </w:t>
            </w:r>
            <w:r w:rsidR="0021434B" w:rsidRPr="00762C53">
              <w:rPr>
                <w:rFonts w:cs="Arial"/>
                <w:i w:val="0"/>
                <w:iCs w:val="0"/>
              </w:rPr>
              <w:t>(1) and 39A</w:t>
            </w:r>
            <w:r w:rsidR="002023DF" w:rsidRPr="00762C53">
              <w:rPr>
                <w:rFonts w:cs="Arial"/>
                <w:i w:val="0"/>
                <w:iCs w:val="0"/>
              </w:rPr>
              <w:t xml:space="preserve"> </w:t>
            </w:r>
            <w:r w:rsidR="0021434B" w:rsidRPr="00762C53">
              <w:rPr>
                <w:rFonts w:cs="Arial"/>
                <w:i w:val="0"/>
                <w:iCs w:val="0"/>
              </w:rPr>
              <w:t>(2)</w:t>
            </w:r>
            <w:r w:rsidR="00EE6EFD" w:rsidRPr="00762C53">
              <w:rPr>
                <w:rFonts w:cs="Arial"/>
                <w:i w:val="0"/>
                <w:iCs w:val="0"/>
              </w:rPr>
              <w:t>.</w:t>
            </w:r>
            <w:r w:rsidR="00AA216D" w:rsidRPr="00762C53">
              <w:rPr>
                <w:rFonts w:cs="Arial"/>
                <w:i w:val="0"/>
                <w:iCs w:val="0"/>
              </w:rPr>
              <w:t xml:space="preserve"> </w:t>
            </w:r>
          </w:p>
          <w:p w14:paraId="4A854588" w14:textId="5D33C359" w:rsidR="00EE6EFD" w:rsidRPr="00762C53" w:rsidRDefault="00EE6EFD" w:rsidP="00EE6EFD">
            <w:pPr>
              <w:rPr>
                <w:rFonts w:cs="Arial"/>
                <w:i w:val="0"/>
                <w:iCs w:val="0"/>
              </w:rPr>
            </w:pPr>
            <w:r w:rsidRPr="00762C53">
              <w:rPr>
                <w:rFonts w:cs="Arial"/>
                <w:i w:val="0"/>
                <w:iCs w:val="0"/>
              </w:rPr>
              <w:t>Strict liability provisions generally engage and limit the right to be presumed innocent as they remove the need for prosecution to prove an accused person’s fault (i.e. the mental element of intent</w:t>
            </w:r>
            <w:r w:rsidR="002E53C7" w:rsidRPr="00762C53">
              <w:rPr>
                <w:rFonts w:cs="Arial"/>
                <w:i w:val="0"/>
                <w:iCs w:val="0"/>
              </w:rPr>
              <w:t>, knowledge</w:t>
            </w:r>
            <w:r w:rsidRPr="00762C53">
              <w:rPr>
                <w:rFonts w:cs="Arial"/>
                <w:i w:val="0"/>
                <w:iCs w:val="0"/>
              </w:rPr>
              <w:t xml:space="preserve"> or recklessness) in relation to an offence generally or for elements of an offence</w:t>
            </w:r>
            <w:r w:rsidR="00C62390" w:rsidRPr="00762C53">
              <w:rPr>
                <w:rFonts w:cs="Arial"/>
                <w:i w:val="0"/>
                <w:iCs w:val="0"/>
              </w:rPr>
              <w:t xml:space="preserve">. </w:t>
            </w:r>
            <w:r w:rsidR="00D31BD4" w:rsidRPr="00762C53">
              <w:rPr>
                <w:rFonts w:cs="Arial"/>
                <w:i w:val="0"/>
                <w:iCs w:val="0"/>
              </w:rPr>
              <w:t xml:space="preserve">It is noted that this does not </w:t>
            </w:r>
            <w:r w:rsidR="00740315" w:rsidRPr="00762C53">
              <w:rPr>
                <w:rFonts w:cs="Arial"/>
                <w:i w:val="0"/>
                <w:iCs w:val="0"/>
              </w:rPr>
              <w:t xml:space="preserve">have the automatic effect of </w:t>
            </w:r>
            <w:r w:rsidR="00780F37" w:rsidRPr="00762C53">
              <w:rPr>
                <w:rFonts w:cs="Arial"/>
                <w:i w:val="0"/>
                <w:iCs w:val="0"/>
              </w:rPr>
              <w:t>reversing</w:t>
            </w:r>
            <w:r w:rsidR="00740315" w:rsidRPr="00762C53">
              <w:rPr>
                <w:rFonts w:cs="Arial"/>
                <w:i w:val="0"/>
                <w:iCs w:val="0"/>
              </w:rPr>
              <w:t xml:space="preserve"> the burden of </w:t>
            </w:r>
            <w:r w:rsidR="00780F37" w:rsidRPr="00762C53">
              <w:rPr>
                <w:rFonts w:cs="Arial"/>
                <w:i w:val="0"/>
                <w:iCs w:val="0"/>
              </w:rPr>
              <w:t>proof, just remove the fault element.</w:t>
            </w:r>
            <w:r w:rsidR="00C62390" w:rsidRPr="00762C53" w:rsidDel="00C62390">
              <w:rPr>
                <w:rFonts w:cs="Arial"/>
                <w:i w:val="0"/>
                <w:iCs w:val="0"/>
              </w:rPr>
              <w:t xml:space="preserve"> </w:t>
            </w:r>
          </w:p>
          <w:p w14:paraId="6D62F19C" w14:textId="19D05665" w:rsidR="00FE4ED3" w:rsidRPr="00762C53" w:rsidRDefault="00EE6EFD" w:rsidP="00EF1E8D">
            <w:pPr>
              <w:rPr>
                <w:rFonts w:cs="Arial"/>
                <w:i w:val="0"/>
                <w:iCs w:val="0"/>
              </w:rPr>
            </w:pPr>
            <w:r w:rsidRPr="00762C53">
              <w:rPr>
                <w:rFonts w:cs="Arial"/>
                <w:i w:val="0"/>
                <w:iCs w:val="0"/>
              </w:rPr>
              <w:t xml:space="preserve">Under </w:t>
            </w:r>
            <w:r w:rsidR="00DB6028" w:rsidRPr="00762C53">
              <w:rPr>
                <w:rFonts w:cs="Arial"/>
                <w:i w:val="0"/>
                <w:iCs w:val="0"/>
              </w:rPr>
              <w:t>s</w:t>
            </w:r>
            <w:r w:rsidRPr="00762C53">
              <w:rPr>
                <w:rFonts w:cs="Arial"/>
                <w:i w:val="0"/>
                <w:iCs w:val="0"/>
              </w:rPr>
              <w:t>ection</w:t>
            </w:r>
            <w:r w:rsidR="00A2609B" w:rsidRPr="00762C53">
              <w:rPr>
                <w:rFonts w:cs="Arial"/>
                <w:i w:val="0"/>
                <w:iCs w:val="0"/>
              </w:rPr>
              <w:t>s</w:t>
            </w:r>
            <w:r w:rsidRPr="00762C53">
              <w:rPr>
                <w:rFonts w:cs="Arial"/>
                <w:i w:val="0"/>
                <w:iCs w:val="0"/>
              </w:rPr>
              <w:t xml:space="preserve"> 39A</w:t>
            </w:r>
            <w:r w:rsidR="00FA6AD1" w:rsidRPr="00762C53">
              <w:rPr>
                <w:rFonts w:cs="Arial"/>
                <w:i w:val="0"/>
                <w:iCs w:val="0"/>
              </w:rPr>
              <w:t xml:space="preserve"> </w:t>
            </w:r>
            <w:r w:rsidR="00A2609B" w:rsidRPr="00762C53">
              <w:rPr>
                <w:rFonts w:cs="Arial"/>
                <w:i w:val="0"/>
                <w:iCs w:val="0"/>
              </w:rPr>
              <w:t>(1) and (2)</w:t>
            </w:r>
            <w:r w:rsidR="009A1346" w:rsidRPr="00762C53">
              <w:rPr>
                <w:rFonts w:cs="Arial"/>
                <w:i w:val="0"/>
                <w:iCs w:val="0"/>
              </w:rPr>
              <w:t>, PCBU</w:t>
            </w:r>
            <w:r w:rsidR="00B34D4E" w:rsidRPr="00762C53">
              <w:rPr>
                <w:rFonts w:cs="Arial"/>
                <w:i w:val="0"/>
                <w:iCs w:val="0"/>
              </w:rPr>
              <w:t xml:space="preserve">s </w:t>
            </w:r>
            <w:r w:rsidR="009A1346" w:rsidRPr="00762C53">
              <w:rPr>
                <w:rFonts w:cs="Arial"/>
                <w:i w:val="0"/>
                <w:iCs w:val="0"/>
              </w:rPr>
              <w:t>must</w:t>
            </w:r>
            <w:r w:rsidR="000D3C00" w:rsidRPr="00762C53">
              <w:rPr>
                <w:rFonts w:cs="Arial"/>
                <w:i w:val="0"/>
                <w:iCs w:val="0"/>
              </w:rPr>
              <w:t xml:space="preserve">, immediately after becoming aware of </w:t>
            </w:r>
            <w:r w:rsidR="00B34D4E" w:rsidRPr="00762C53">
              <w:rPr>
                <w:rFonts w:cs="Arial"/>
                <w:i w:val="0"/>
                <w:iCs w:val="0"/>
              </w:rPr>
              <w:t>a</w:t>
            </w:r>
            <w:r w:rsidR="000D3C00" w:rsidRPr="00762C53">
              <w:rPr>
                <w:rFonts w:cs="Arial"/>
                <w:i w:val="0"/>
                <w:iCs w:val="0"/>
              </w:rPr>
              <w:t xml:space="preserve"> notifiable </w:t>
            </w:r>
            <w:r w:rsidR="00B34D4E" w:rsidRPr="00762C53">
              <w:rPr>
                <w:rFonts w:cs="Arial"/>
                <w:i w:val="0"/>
                <w:iCs w:val="0"/>
              </w:rPr>
              <w:t>incident</w:t>
            </w:r>
            <w:r w:rsidR="000D3C00" w:rsidRPr="00762C53">
              <w:rPr>
                <w:rFonts w:cs="Arial"/>
                <w:i w:val="0"/>
                <w:iCs w:val="0"/>
              </w:rPr>
              <w:t xml:space="preserve"> </w:t>
            </w:r>
            <w:r w:rsidR="00B34D4E" w:rsidRPr="00762C53">
              <w:rPr>
                <w:rFonts w:cs="Arial"/>
                <w:i w:val="0"/>
                <w:iCs w:val="0"/>
              </w:rPr>
              <w:t>activating</w:t>
            </w:r>
            <w:r w:rsidR="000D3C00" w:rsidRPr="00762C53">
              <w:rPr>
                <w:rFonts w:cs="Arial"/>
                <w:i w:val="0"/>
                <w:iCs w:val="0"/>
              </w:rPr>
              <w:t xml:space="preserve"> the duty, e</w:t>
            </w:r>
            <w:r w:rsidR="005E14BE" w:rsidRPr="00762C53">
              <w:rPr>
                <w:rFonts w:cs="Arial"/>
                <w:i w:val="0"/>
                <w:iCs w:val="0"/>
              </w:rPr>
              <w:t>nsure that a person with a corresponding duty is notified of the incident</w:t>
            </w:r>
            <w:r w:rsidR="00A569F1" w:rsidRPr="00762C53">
              <w:rPr>
                <w:rFonts w:cs="Arial"/>
                <w:i w:val="0"/>
                <w:iCs w:val="0"/>
              </w:rPr>
              <w:t>. A breach of either duty</w:t>
            </w:r>
            <w:r w:rsidR="00CD10EB" w:rsidRPr="00762C53">
              <w:rPr>
                <w:rFonts w:cs="Arial"/>
                <w:i w:val="0"/>
                <w:iCs w:val="0"/>
              </w:rPr>
              <w:t xml:space="preserve"> under these provisions</w:t>
            </w:r>
            <w:r w:rsidR="00A569F1" w:rsidRPr="00762C53">
              <w:rPr>
                <w:rFonts w:cs="Arial"/>
                <w:i w:val="0"/>
                <w:iCs w:val="0"/>
              </w:rPr>
              <w:t>, is an offence under the WHS Act</w:t>
            </w:r>
            <w:r w:rsidR="00CD10EB" w:rsidRPr="00762C53">
              <w:rPr>
                <w:rFonts w:cs="Arial"/>
                <w:i w:val="0"/>
                <w:iCs w:val="0"/>
              </w:rPr>
              <w:t>,</w:t>
            </w:r>
            <w:r w:rsidR="00A569F1" w:rsidRPr="00762C53">
              <w:rPr>
                <w:rFonts w:cs="Arial"/>
                <w:i w:val="0"/>
                <w:iCs w:val="0"/>
              </w:rPr>
              <w:t xml:space="preserve"> attracting a maximum penalty of $</w:t>
            </w:r>
            <w:r w:rsidR="008B69BC" w:rsidRPr="00762C53">
              <w:rPr>
                <w:rFonts w:cs="Arial"/>
                <w:i w:val="0"/>
              </w:rPr>
              <w:t>14,000</w:t>
            </w:r>
            <w:r w:rsidR="00A569F1" w:rsidRPr="00762C53">
              <w:rPr>
                <w:rFonts w:cs="Arial"/>
                <w:i w:val="0"/>
                <w:iCs w:val="0"/>
              </w:rPr>
              <w:t xml:space="preserve"> for individuals and $</w:t>
            </w:r>
            <w:r w:rsidR="008B69BC" w:rsidRPr="00762C53">
              <w:rPr>
                <w:rFonts w:cs="Arial"/>
                <w:i w:val="0"/>
              </w:rPr>
              <w:t>7</w:t>
            </w:r>
            <w:r w:rsidR="00A569F1" w:rsidRPr="00762C53">
              <w:rPr>
                <w:rFonts w:cs="Arial"/>
                <w:i w:val="0"/>
                <w:iCs w:val="0"/>
              </w:rPr>
              <w:t>0,000 for body corporate organisations</w:t>
            </w:r>
            <w:r w:rsidR="00A24E77" w:rsidRPr="00762C53">
              <w:rPr>
                <w:rFonts w:cs="Arial"/>
                <w:i w:val="0"/>
                <w:iCs w:val="0"/>
              </w:rPr>
              <w:t xml:space="preserve"> which exceeds the recommended cap of 50 penalty units (</w:t>
            </w:r>
            <w:r w:rsidR="003F5489" w:rsidRPr="00762C53">
              <w:rPr>
                <w:rFonts w:cs="Arial"/>
                <w:i w:val="0"/>
                <w:iCs w:val="0"/>
              </w:rPr>
              <w:t>$8,000) for individuals</w:t>
            </w:r>
            <w:r w:rsidR="00A569F1" w:rsidRPr="00762C53">
              <w:rPr>
                <w:rFonts w:cs="Arial"/>
                <w:i w:val="0"/>
                <w:iCs w:val="0"/>
              </w:rPr>
              <w:t>.</w:t>
            </w:r>
            <w:r w:rsidR="007A029A" w:rsidRPr="00762C53">
              <w:rPr>
                <w:rFonts w:cs="Arial"/>
                <w:i w:val="0"/>
                <w:iCs w:val="0"/>
              </w:rPr>
              <w:t xml:space="preserve"> </w:t>
            </w:r>
          </w:p>
          <w:p w14:paraId="5E1EAD16" w14:textId="77777777" w:rsidR="00CC40E1" w:rsidRPr="00762C53" w:rsidRDefault="006859B9" w:rsidP="00EF1E8D">
            <w:pPr>
              <w:rPr>
                <w:rFonts w:cs="Arial"/>
                <w:i w:val="0"/>
              </w:rPr>
            </w:pPr>
            <w:r w:rsidRPr="00762C53">
              <w:rPr>
                <w:rFonts w:cs="Arial"/>
                <w:i w:val="0"/>
              </w:rPr>
              <w:t>Strict liability applies to each physical element of both offences created under section 39A</w:t>
            </w:r>
            <w:r w:rsidR="00571616" w:rsidRPr="00762C53">
              <w:rPr>
                <w:rFonts w:cs="Arial"/>
                <w:i w:val="0"/>
              </w:rPr>
              <w:t xml:space="preserve"> </w:t>
            </w:r>
            <w:r w:rsidRPr="00762C53">
              <w:rPr>
                <w:rFonts w:cs="Arial"/>
                <w:i w:val="0"/>
              </w:rPr>
              <w:t>(1</w:t>
            </w:r>
            <w:r w:rsidR="004F2FDE" w:rsidRPr="00762C53">
              <w:rPr>
                <w:rFonts w:cs="Arial"/>
                <w:i w:val="0"/>
              </w:rPr>
              <w:t>)</w:t>
            </w:r>
            <w:r w:rsidRPr="00762C53">
              <w:rPr>
                <w:rFonts w:cs="Arial"/>
                <w:i w:val="0"/>
              </w:rPr>
              <w:t xml:space="preserve"> and (2), </w:t>
            </w:r>
            <w:r w:rsidR="00C47498" w:rsidRPr="00762C53">
              <w:rPr>
                <w:rFonts w:cs="Arial"/>
                <w:i w:val="0"/>
              </w:rPr>
              <w:t>as per</w:t>
            </w:r>
            <w:r w:rsidRPr="00762C53">
              <w:rPr>
                <w:rFonts w:cs="Arial"/>
                <w:i w:val="0"/>
              </w:rPr>
              <w:t xml:space="preserve"> section 12A of the WHS Act. </w:t>
            </w:r>
            <w:r w:rsidR="00BC0C0B" w:rsidRPr="00762C53">
              <w:rPr>
                <w:rFonts w:cs="Arial"/>
                <w:i w:val="0"/>
              </w:rPr>
              <w:t>Section</w:t>
            </w:r>
            <w:r w:rsidR="0067185A" w:rsidRPr="00762C53">
              <w:rPr>
                <w:rFonts w:cs="Arial"/>
                <w:i w:val="0"/>
              </w:rPr>
              <w:t xml:space="preserve"> 12A establishes that strict liability applies to each physical element of each offence</w:t>
            </w:r>
            <w:r w:rsidR="00BC0C0B" w:rsidRPr="00762C53">
              <w:rPr>
                <w:rFonts w:cs="Arial"/>
                <w:i w:val="0"/>
              </w:rPr>
              <w:t xml:space="preserve">, </w:t>
            </w:r>
            <w:r w:rsidR="0067185A" w:rsidRPr="00762C53">
              <w:rPr>
                <w:rFonts w:cs="Arial"/>
                <w:i w:val="0"/>
              </w:rPr>
              <w:t>unless otherwise stated in the clause containing the offence.</w:t>
            </w:r>
            <w:r w:rsidR="00A352B8" w:rsidRPr="00762C53">
              <w:rPr>
                <w:rFonts w:cs="Arial"/>
                <w:i w:val="0"/>
              </w:rPr>
              <w:t xml:space="preserve"> </w:t>
            </w:r>
          </w:p>
          <w:p w14:paraId="707E0A6B" w14:textId="04F50B5A" w:rsidR="006E7BDE" w:rsidRPr="00762C53" w:rsidRDefault="006E7BDE" w:rsidP="00EF1E8D">
            <w:pPr>
              <w:rPr>
                <w:rFonts w:cs="Arial"/>
                <w:i w:val="0"/>
              </w:rPr>
            </w:pPr>
            <w:r w:rsidRPr="00762C53">
              <w:rPr>
                <w:rFonts w:cs="Arial"/>
                <w:i w:val="0"/>
              </w:rPr>
              <w:t xml:space="preserve">It is noted that while the Bill amends section 39 by way of </w:t>
            </w:r>
            <w:r w:rsidR="006A0F25" w:rsidRPr="00762C53">
              <w:rPr>
                <w:rFonts w:cs="Arial"/>
                <w:i w:val="0"/>
              </w:rPr>
              <w:t xml:space="preserve">clarifying </w:t>
            </w:r>
            <w:r w:rsidRPr="00762C53">
              <w:rPr>
                <w:rFonts w:cs="Arial"/>
                <w:i w:val="0"/>
              </w:rPr>
              <w:t>updat</w:t>
            </w:r>
            <w:r w:rsidR="006A0F25" w:rsidRPr="00762C53">
              <w:rPr>
                <w:rFonts w:cs="Arial"/>
                <w:i w:val="0"/>
              </w:rPr>
              <w:t>es to the</w:t>
            </w:r>
            <w:r w:rsidRPr="00762C53">
              <w:rPr>
                <w:rFonts w:cs="Arial"/>
                <w:i w:val="0"/>
              </w:rPr>
              <w:t xml:space="preserve"> duty to preserve an incident site, this is an existing duty. Therefore</w:t>
            </w:r>
            <w:r w:rsidR="004F2003" w:rsidRPr="00762C53">
              <w:rPr>
                <w:rFonts w:cs="Arial"/>
                <w:i w:val="0"/>
              </w:rPr>
              <w:t>,</w:t>
            </w:r>
            <w:r w:rsidRPr="00762C53">
              <w:rPr>
                <w:rFonts w:cs="Arial"/>
                <w:i w:val="0"/>
              </w:rPr>
              <w:t xml:space="preserve"> no limitation of human rights is engaged whereby the Bill seeks to update this duty and corresponding strict liability offence. The update is to ensure harmonisation with model law and ensure that all sexual assault incidents are also preserved as is reasonably practicable.</w:t>
            </w:r>
          </w:p>
        </w:tc>
      </w:tr>
      <w:tr w:rsidR="00A479F3" w:rsidRPr="00B31851" w14:paraId="03BB4573" w14:textId="77777777" w:rsidTr="00941E90">
        <w:tc>
          <w:tcPr>
            <w:tcW w:w="1980" w:type="dxa"/>
          </w:tcPr>
          <w:p w14:paraId="47871C3D" w14:textId="163D6813" w:rsidR="00A479F3" w:rsidRPr="00B31851" w:rsidRDefault="006B1AAC" w:rsidP="009E0DBA">
            <w:pPr>
              <w:rPr>
                <w:rFonts w:cs="Arial"/>
                <w:i w:val="0"/>
                <w:iCs w:val="0"/>
              </w:rPr>
            </w:pPr>
            <w:r w:rsidRPr="00B31851">
              <w:rPr>
                <w:rFonts w:cs="Arial"/>
                <w:i w:val="0"/>
                <w:iCs w:val="0"/>
              </w:rPr>
              <w:t>WC Act amendment</w:t>
            </w:r>
            <w:r w:rsidR="006B55E0" w:rsidRPr="00B31851">
              <w:rPr>
                <w:rFonts w:cs="Arial"/>
                <w:i w:val="0"/>
                <w:iCs w:val="0"/>
              </w:rPr>
              <w:t xml:space="preserve"> – statutory limitation period</w:t>
            </w:r>
          </w:p>
        </w:tc>
        <w:tc>
          <w:tcPr>
            <w:tcW w:w="7036" w:type="dxa"/>
          </w:tcPr>
          <w:p w14:paraId="2E11D216" w14:textId="766B132A" w:rsidR="00D907D0" w:rsidRDefault="00BC34AE" w:rsidP="00DE13D0">
            <w:pPr>
              <w:rPr>
                <w:rFonts w:cs="Arial"/>
                <w:i w:val="0"/>
                <w:iCs w:val="0"/>
              </w:rPr>
            </w:pPr>
            <w:r w:rsidRPr="00B31851">
              <w:rPr>
                <w:rFonts w:cs="Arial"/>
                <w:i w:val="0"/>
                <w:iCs w:val="0"/>
              </w:rPr>
              <w:t>The amendment limits the right in criminal proceedings to be tried without unreasonable delay (section 22</w:t>
            </w:r>
            <w:r w:rsidR="00FB344C">
              <w:rPr>
                <w:rFonts w:cs="Arial"/>
                <w:i w:val="0"/>
                <w:iCs w:val="0"/>
              </w:rPr>
              <w:t xml:space="preserve"> </w:t>
            </w:r>
            <w:r w:rsidRPr="00B31851">
              <w:rPr>
                <w:rFonts w:cs="Arial"/>
                <w:i w:val="0"/>
                <w:iCs w:val="0"/>
              </w:rPr>
              <w:t>(2)(c)).</w:t>
            </w:r>
            <w:r w:rsidR="00DE13D0" w:rsidRPr="00B31851">
              <w:rPr>
                <w:rFonts w:cs="Arial"/>
                <w:i w:val="0"/>
                <w:iCs w:val="0"/>
              </w:rPr>
              <w:t xml:space="preserve"> The right to be tried without unreasonable delay</w:t>
            </w:r>
            <w:r w:rsidR="005E0BA3">
              <w:rPr>
                <w:rFonts w:cs="Arial"/>
                <w:i w:val="0"/>
                <w:iCs w:val="0"/>
              </w:rPr>
              <w:t xml:space="preserve"> </w:t>
            </w:r>
            <w:r w:rsidR="00DE13D0" w:rsidRPr="00B31851">
              <w:rPr>
                <w:rFonts w:cs="Arial"/>
                <w:i w:val="0"/>
                <w:iCs w:val="0"/>
              </w:rPr>
              <w:t xml:space="preserve">ensures that individuals facing criminal charges are not subject to prolonged uncertainty or procedural disadvantage. </w:t>
            </w:r>
            <w:r w:rsidR="00B64A36">
              <w:rPr>
                <w:rFonts w:cs="Arial"/>
                <w:i w:val="0"/>
                <w:iCs w:val="0"/>
              </w:rPr>
              <w:t>T</w:t>
            </w:r>
            <w:r w:rsidR="00DE13D0" w:rsidRPr="00B31851">
              <w:rPr>
                <w:rFonts w:cs="Arial"/>
                <w:i w:val="0"/>
                <w:iCs w:val="0"/>
              </w:rPr>
              <w:t xml:space="preserve">he right is procedural </w:t>
            </w:r>
            <w:r w:rsidR="00B64A36">
              <w:rPr>
                <w:rFonts w:cs="Arial"/>
                <w:i w:val="0"/>
                <w:iCs w:val="0"/>
              </w:rPr>
              <w:t xml:space="preserve">in nature </w:t>
            </w:r>
            <w:r w:rsidR="00DE13D0" w:rsidRPr="00B31851">
              <w:rPr>
                <w:rFonts w:cs="Arial"/>
                <w:i w:val="0"/>
                <w:iCs w:val="0"/>
              </w:rPr>
              <w:t>and safeguards the integrity of the justice system, particularly for accused persons.</w:t>
            </w:r>
          </w:p>
          <w:p w14:paraId="2553323E" w14:textId="2F22CEA8" w:rsidR="00A479F3" w:rsidRPr="00B31851" w:rsidRDefault="00D907D0" w:rsidP="009E0DBA">
            <w:pPr>
              <w:rPr>
                <w:rFonts w:cs="Arial"/>
                <w:i w:val="0"/>
                <w:iCs w:val="0"/>
              </w:rPr>
            </w:pPr>
            <w:r>
              <w:rPr>
                <w:rFonts w:cs="Arial"/>
                <w:i w:val="0"/>
                <w:iCs w:val="0"/>
              </w:rPr>
              <w:t xml:space="preserve">The amendment to section 202(1) of the WC Act adds the </w:t>
            </w:r>
            <w:r w:rsidR="000F28E6">
              <w:rPr>
                <w:rFonts w:cs="Arial"/>
                <w:i w:val="0"/>
                <w:iCs w:val="0"/>
              </w:rPr>
              <w:t>offence</w:t>
            </w:r>
            <w:r w:rsidR="00831D03">
              <w:rPr>
                <w:rFonts w:cs="Arial"/>
                <w:i w:val="0"/>
                <w:iCs w:val="0"/>
              </w:rPr>
              <w:t xml:space="preserve"> for failure to hold compulsory insurance</w:t>
            </w:r>
            <w:r w:rsidR="00925B89">
              <w:rPr>
                <w:rFonts w:cs="Arial"/>
                <w:i w:val="0"/>
                <w:iCs w:val="0"/>
              </w:rPr>
              <w:t xml:space="preserve"> under section 147A to the list of offences for which a prosecution must be </w:t>
            </w:r>
            <w:r w:rsidR="00925B89">
              <w:rPr>
                <w:rFonts w:cs="Arial"/>
                <w:i w:val="0"/>
                <w:iCs w:val="0"/>
              </w:rPr>
              <w:lastRenderedPageBreak/>
              <w:t xml:space="preserve">started no later than 5 years after the day, or the last day, the offence is committed. </w:t>
            </w:r>
            <w:r w:rsidR="00B64A36">
              <w:rPr>
                <w:rFonts w:cs="Arial"/>
                <w:i w:val="0"/>
                <w:iCs w:val="0"/>
              </w:rPr>
              <w:t>Due to this offence being unintentionally omitted from section 202(1), the limitation period for prosecution of section 147A offences may currently be interpreted as being within the scope of section 202(3), which provides that a prosecution may begin within a year after the commission of the offence.</w:t>
            </w:r>
            <w:r w:rsidR="00C55AF6">
              <w:rPr>
                <w:rFonts w:cs="Arial"/>
                <w:i w:val="0"/>
                <w:iCs w:val="0"/>
              </w:rPr>
              <w:t xml:space="preserve"> </w:t>
            </w:r>
            <w:r w:rsidR="00B64A36">
              <w:rPr>
                <w:rFonts w:cs="Arial"/>
                <w:i w:val="0"/>
                <w:iCs w:val="0"/>
              </w:rPr>
              <w:t xml:space="preserve">Although prosecution for the section 147A offence was </w:t>
            </w:r>
            <w:r w:rsidR="00C55AF6">
              <w:rPr>
                <w:rFonts w:cs="Arial"/>
                <w:i w:val="0"/>
                <w:iCs w:val="0"/>
              </w:rPr>
              <w:t xml:space="preserve">always intended to </w:t>
            </w:r>
            <w:r w:rsidR="00DB48E7">
              <w:rPr>
                <w:rFonts w:cs="Arial"/>
                <w:i w:val="0"/>
                <w:iCs w:val="0"/>
              </w:rPr>
              <w:t xml:space="preserve">have </w:t>
            </w:r>
            <w:r w:rsidR="00B64A36">
              <w:rPr>
                <w:rFonts w:cs="Arial"/>
                <w:i w:val="0"/>
                <w:iCs w:val="0"/>
              </w:rPr>
              <w:t xml:space="preserve">a </w:t>
            </w:r>
            <w:r w:rsidR="003F73A2">
              <w:rPr>
                <w:rFonts w:cs="Arial"/>
                <w:i w:val="0"/>
                <w:iCs w:val="0"/>
              </w:rPr>
              <w:t>five-year</w:t>
            </w:r>
            <w:r w:rsidR="00DB48E7">
              <w:rPr>
                <w:rFonts w:cs="Arial"/>
                <w:i w:val="0"/>
                <w:iCs w:val="0"/>
              </w:rPr>
              <w:t xml:space="preserve"> limitation period, </w:t>
            </w:r>
            <w:r w:rsidR="00B64A36">
              <w:rPr>
                <w:rFonts w:cs="Arial"/>
                <w:i w:val="0"/>
                <w:iCs w:val="0"/>
              </w:rPr>
              <w:t>this amendment will technically result in a limitation on the right to be charged without unreasonable delay by extending the limitation period from one year to five years</w:t>
            </w:r>
            <w:r w:rsidR="00B84BD0">
              <w:rPr>
                <w:rFonts w:cs="Arial"/>
                <w:i w:val="0"/>
                <w:iCs w:val="0"/>
              </w:rPr>
              <w:t>.</w:t>
            </w:r>
            <w:r w:rsidR="00DE13D0" w:rsidRPr="00B31851">
              <w:rPr>
                <w:rFonts w:cs="Arial"/>
                <w:i w:val="0"/>
                <w:iCs w:val="0"/>
              </w:rPr>
              <w:t xml:space="preserve">  </w:t>
            </w:r>
          </w:p>
        </w:tc>
      </w:tr>
    </w:tbl>
    <w:p w14:paraId="5FAF2C81" w14:textId="5D394D1E" w:rsidR="00FD11C3" w:rsidRPr="00B31851" w:rsidRDefault="00FD11C3" w:rsidP="00FD11C3">
      <w:pPr>
        <w:rPr>
          <w:rFonts w:cs="Arial"/>
          <w:i w:val="0"/>
          <w:iCs w:val="0"/>
        </w:rPr>
      </w:pPr>
    </w:p>
    <w:p w14:paraId="6A56B2F4" w14:textId="6A9B007C" w:rsidR="00D86722" w:rsidRPr="001C0444" w:rsidRDefault="00BB3E5A" w:rsidP="001C0444">
      <w:pPr>
        <w:pStyle w:val="ListParagraph"/>
        <w:numPr>
          <w:ilvl w:val="3"/>
          <w:numId w:val="12"/>
        </w:numPr>
        <w:ind w:left="0" w:firstLine="426"/>
        <w:rPr>
          <w:rFonts w:cs="Arial"/>
          <w:i w:val="0"/>
        </w:rPr>
      </w:pPr>
      <w:r w:rsidRPr="00F5157D">
        <w:rPr>
          <w:rFonts w:cs="Arial"/>
          <w:b/>
        </w:rPr>
        <w:t>Legitimate purpose (s28</w:t>
      </w:r>
      <w:r w:rsidR="00F605D7">
        <w:rPr>
          <w:rFonts w:cs="Arial"/>
          <w:b/>
        </w:rPr>
        <w:t>(2)</w:t>
      </w:r>
      <w:r w:rsidRPr="00F5157D">
        <w:rPr>
          <w:rFonts w:cs="Arial"/>
          <w:b/>
        </w:rPr>
        <w:t>(b))</w:t>
      </w:r>
      <w:r w:rsidR="001C0444">
        <w:rPr>
          <w:b/>
          <w:i w:val="0"/>
          <w:iCs w:val="0"/>
        </w:rPr>
        <w:br/>
      </w:r>
      <w:r w:rsidR="00D86722" w:rsidRPr="001C0444">
        <w:rPr>
          <w:rFonts w:cs="Arial"/>
          <w:i w:val="0"/>
          <w:iCs w:val="0"/>
        </w:rPr>
        <w:t xml:space="preserve">The purpose of each amendment within the Bill which limit the rights in </w:t>
      </w:r>
      <w:r w:rsidR="00A542FF" w:rsidRPr="001C0444">
        <w:rPr>
          <w:rFonts w:cs="Arial"/>
          <w:i w:val="0"/>
          <w:iCs w:val="0"/>
        </w:rPr>
        <w:t>criminal</w:t>
      </w:r>
      <w:r w:rsidR="00D86722" w:rsidRPr="001C0444">
        <w:rPr>
          <w:rFonts w:cs="Arial"/>
          <w:i w:val="0"/>
          <w:iCs w:val="0"/>
        </w:rPr>
        <w:t xml:space="preserve"> </w:t>
      </w:r>
      <w:r w:rsidR="00A542FF" w:rsidRPr="001C0444">
        <w:rPr>
          <w:rFonts w:cs="Arial"/>
          <w:i w:val="0"/>
          <w:iCs w:val="0"/>
        </w:rPr>
        <w:t>proceedings</w:t>
      </w:r>
      <w:r w:rsidR="00D86722" w:rsidRPr="001C0444">
        <w:rPr>
          <w:rFonts w:cs="Arial"/>
          <w:i w:val="0"/>
          <w:iCs w:val="0"/>
        </w:rPr>
        <w:t xml:space="preserve"> </w:t>
      </w:r>
      <w:r w:rsidR="003F73A2">
        <w:rPr>
          <w:rFonts w:cs="Arial"/>
          <w:i w:val="0"/>
          <w:iCs w:val="0"/>
        </w:rPr>
        <w:t>are</w:t>
      </w:r>
      <w:r w:rsidR="00D86722" w:rsidRPr="001C0444">
        <w:rPr>
          <w:rFonts w:cs="Arial"/>
          <w:i w:val="0"/>
          <w:iCs w:val="0"/>
        </w:rPr>
        <w:t xml:space="preserve"> detailed below</w:t>
      </w:r>
      <w:r w:rsidR="00A542FF" w:rsidRPr="001C0444">
        <w:rPr>
          <w:rFonts w:cs="Arial"/>
          <w:i w:val="0"/>
          <w:iCs w:val="0"/>
        </w:rPr>
        <w:t>:</w:t>
      </w:r>
    </w:p>
    <w:tbl>
      <w:tblPr>
        <w:tblStyle w:val="TableGrid"/>
        <w:tblW w:w="0" w:type="auto"/>
        <w:tblLook w:val="04A0" w:firstRow="1" w:lastRow="0" w:firstColumn="1" w:lastColumn="0" w:noHBand="0" w:noVBand="1"/>
      </w:tblPr>
      <w:tblGrid>
        <w:gridCol w:w="1980"/>
        <w:gridCol w:w="7036"/>
      </w:tblGrid>
      <w:tr w:rsidR="00A542FF" w:rsidRPr="00B31851" w14:paraId="47499679" w14:textId="77777777" w:rsidTr="00941E90">
        <w:tc>
          <w:tcPr>
            <w:tcW w:w="1980" w:type="dxa"/>
          </w:tcPr>
          <w:p w14:paraId="55266D27" w14:textId="77777777" w:rsidR="00A542FF" w:rsidRPr="00B31851" w:rsidRDefault="00A542FF">
            <w:pPr>
              <w:rPr>
                <w:rFonts w:cs="Arial"/>
                <w:i w:val="0"/>
                <w:iCs w:val="0"/>
              </w:rPr>
            </w:pPr>
            <w:r w:rsidRPr="00B31851">
              <w:rPr>
                <w:rFonts w:cs="Arial"/>
                <w:i w:val="0"/>
                <w:iCs w:val="0"/>
              </w:rPr>
              <w:t>LSL Act amendment – abrogation of privilege against self-incrimination</w:t>
            </w:r>
          </w:p>
        </w:tc>
        <w:tc>
          <w:tcPr>
            <w:tcW w:w="7036" w:type="dxa"/>
          </w:tcPr>
          <w:p w14:paraId="64BF6EDB" w14:textId="0BCAD180" w:rsidR="00E66EF2" w:rsidRPr="00E66EF2" w:rsidRDefault="00E66EF2" w:rsidP="00E66EF2">
            <w:pPr>
              <w:rPr>
                <w:rFonts w:cs="Arial"/>
                <w:i w:val="0"/>
                <w:iCs w:val="0"/>
              </w:rPr>
            </w:pPr>
            <w:r>
              <w:rPr>
                <w:rFonts w:cs="Arial"/>
                <w:i w:val="0"/>
                <w:iCs w:val="0"/>
              </w:rPr>
              <w:t xml:space="preserve">This amendment serves an </w:t>
            </w:r>
            <w:r w:rsidRPr="00E66EF2">
              <w:rPr>
                <w:rFonts w:cs="Arial"/>
                <w:i w:val="0"/>
                <w:iCs w:val="0"/>
              </w:rPr>
              <w:t>important public purpose</w:t>
            </w:r>
            <w:r w:rsidR="00B832F3">
              <w:rPr>
                <w:rFonts w:cs="Arial"/>
                <w:i w:val="0"/>
                <w:iCs w:val="0"/>
              </w:rPr>
              <w:t>, being</w:t>
            </w:r>
            <w:r w:rsidR="002E07C8">
              <w:rPr>
                <w:rFonts w:cs="Arial"/>
                <w:i w:val="0"/>
                <w:iCs w:val="0"/>
              </w:rPr>
              <w:t xml:space="preserve"> to </w:t>
            </w:r>
            <w:r w:rsidRPr="00E66EF2">
              <w:rPr>
                <w:rFonts w:cs="Arial"/>
                <w:i w:val="0"/>
                <w:iCs w:val="0"/>
              </w:rPr>
              <w:t xml:space="preserve">strengthen the enforcement and compliance mechanisms within the </w:t>
            </w:r>
            <w:r>
              <w:rPr>
                <w:rFonts w:cs="Arial"/>
                <w:i w:val="0"/>
                <w:iCs w:val="0"/>
              </w:rPr>
              <w:t>WHS</w:t>
            </w:r>
            <w:r w:rsidRPr="00E66EF2">
              <w:rPr>
                <w:rFonts w:cs="Arial"/>
                <w:i w:val="0"/>
                <w:iCs w:val="0"/>
              </w:rPr>
              <w:t xml:space="preserve"> framework. By granting authorised officers the power to compel individuals to provide information</w:t>
            </w:r>
            <w:r>
              <w:rPr>
                <w:rFonts w:cs="Arial"/>
                <w:i w:val="0"/>
                <w:iCs w:val="0"/>
              </w:rPr>
              <w:t xml:space="preserve">, </w:t>
            </w:r>
            <w:r w:rsidRPr="00E66EF2">
              <w:rPr>
                <w:rFonts w:cs="Arial"/>
                <w:i w:val="0"/>
                <w:iCs w:val="0"/>
              </w:rPr>
              <w:t>even if it may be self-incriminating</w:t>
            </w:r>
            <w:r>
              <w:rPr>
                <w:rFonts w:cs="Arial"/>
                <w:i w:val="0"/>
                <w:iCs w:val="0"/>
              </w:rPr>
              <w:t xml:space="preserve">, </w:t>
            </w:r>
            <w:r w:rsidRPr="00E66EF2">
              <w:rPr>
                <w:rFonts w:cs="Arial"/>
                <w:i w:val="0"/>
                <w:iCs w:val="0"/>
              </w:rPr>
              <w:t>the amendment aims to enhance the effectiveness of investigations into potential breaches of WHS laws. This can significantly improve the ability of regulators to uncover unsafe practices, identify systemic risks, and intervene before harm occurs. It also ensures that individuals and organisations are held accountable for maintaining safe workplaces, which is essential for protecting the health and wellbeing of workers and the broader community.</w:t>
            </w:r>
          </w:p>
          <w:p w14:paraId="1F0CBA6D" w14:textId="72BE58B0" w:rsidR="00E66EF2" w:rsidRDefault="00E66EF2" w:rsidP="00E66EF2">
            <w:pPr>
              <w:rPr>
                <w:rFonts w:cs="Arial"/>
                <w:i w:val="0"/>
                <w:iCs w:val="0"/>
              </w:rPr>
            </w:pPr>
            <w:r w:rsidRPr="00E66EF2">
              <w:rPr>
                <w:rFonts w:cs="Arial"/>
                <w:i w:val="0"/>
                <w:iCs w:val="0"/>
              </w:rPr>
              <w:t>From a policy perspective, this approach aligns with the public interest in promoting safe and healthy working environments. It reflects a proactive stance on WHS compliance, recognising that timely access to accurate information is critical for preventing workplace incidents and ensuring that safety standards are upheld. While this may limit certain individual rights, such as the privilege against self-incrimination, the amendment seeks to balance those rights against the broader societal need for robust WHS enforcement</w:t>
            </w:r>
            <w:r w:rsidR="00121375">
              <w:rPr>
                <w:rFonts w:cs="Arial"/>
                <w:i w:val="0"/>
                <w:iCs w:val="0"/>
              </w:rPr>
              <w:t xml:space="preserve">, </w:t>
            </w:r>
            <w:r w:rsidRPr="00E66EF2">
              <w:rPr>
                <w:rFonts w:cs="Arial"/>
                <w:i w:val="0"/>
                <w:iCs w:val="0"/>
              </w:rPr>
              <w:t>particularly in high-risk industries or situations where non-disclosure could lead to serious harm.</w:t>
            </w:r>
          </w:p>
          <w:p w14:paraId="3E366190" w14:textId="05CD3F34" w:rsidR="00A542FF" w:rsidRPr="00B31851" w:rsidRDefault="00012834">
            <w:pPr>
              <w:rPr>
                <w:rFonts w:cs="Arial"/>
                <w:i w:val="0"/>
                <w:iCs w:val="0"/>
              </w:rPr>
            </w:pPr>
            <w:r>
              <w:rPr>
                <w:rFonts w:cs="Arial"/>
                <w:i w:val="0"/>
              </w:rPr>
              <w:t>This also</w:t>
            </w:r>
            <w:r w:rsidRPr="003A012B">
              <w:rPr>
                <w:rFonts w:cs="Arial"/>
                <w:i w:val="0"/>
              </w:rPr>
              <w:t xml:space="preserve"> support</w:t>
            </w:r>
            <w:r w:rsidR="00B64A36">
              <w:rPr>
                <w:rFonts w:cs="Arial"/>
                <w:i w:val="0"/>
              </w:rPr>
              <w:t>s</w:t>
            </w:r>
            <w:r w:rsidRPr="003A012B">
              <w:rPr>
                <w:rFonts w:cs="Arial"/>
                <w:i w:val="0"/>
              </w:rPr>
              <w:t xml:space="preserve"> the </w:t>
            </w:r>
            <w:r>
              <w:rPr>
                <w:rFonts w:cs="Arial"/>
                <w:i w:val="0"/>
              </w:rPr>
              <w:t>WHS C</w:t>
            </w:r>
            <w:r w:rsidRPr="003A012B">
              <w:rPr>
                <w:rFonts w:cs="Arial"/>
                <w:i w:val="0"/>
              </w:rPr>
              <w:t>ommissioner’s powers to compel information and require attendance to answer questions. These powers are deployed to support the exercise of commissioner’s functions, particularly individual advocacy and conducting systemic inquiries. These functions require the commissioner to be able to gather relevant information, even if that information may incriminate the person giving it. This is necessary to identify systemic failures, enable enforcement action, and protect workers from ongoing harm, even if it involves balancing individual rights with the public interest of safe and accountable workplaces.</w:t>
            </w:r>
          </w:p>
        </w:tc>
      </w:tr>
      <w:tr w:rsidR="00B320C6" w:rsidRPr="00B31851" w14:paraId="52B43C08" w14:textId="77777777" w:rsidTr="00941E90">
        <w:tc>
          <w:tcPr>
            <w:tcW w:w="1980" w:type="dxa"/>
          </w:tcPr>
          <w:p w14:paraId="2C889E92" w14:textId="5FC83B02" w:rsidR="00B320C6" w:rsidRPr="00B31851" w:rsidRDefault="00B320C6"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3CD67D55" w14:textId="77777777" w:rsidR="001E6486" w:rsidRDefault="00B320C6" w:rsidP="00361DCB">
            <w:pPr>
              <w:rPr>
                <w:rFonts w:cs="Arial"/>
                <w:i w:val="0"/>
                <w:iCs w:val="0"/>
              </w:rPr>
            </w:pPr>
            <w:r w:rsidRPr="00B31851">
              <w:rPr>
                <w:rFonts w:cs="Arial"/>
                <w:i w:val="0"/>
                <w:iCs w:val="0"/>
              </w:rPr>
              <w:t xml:space="preserve">The legitimate purpose of the provision is to support enforcement of the measures in the legislative amendments to protect workers’ rights and their employment entitlements. </w:t>
            </w:r>
          </w:p>
          <w:p w14:paraId="1B2C9733" w14:textId="4546251F" w:rsidR="00B320C6" w:rsidRDefault="00B320C6" w:rsidP="00361DCB">
            <w:pPr>
              <w:rPr>
                <w:rFonts w:cs="Arial"/>
                <w:i w:val="0"/>
                <w:iCs w:val="0"/>
              </w:rPr>
            </w:pPr>
            <w:r w:rsidRPr="00B31851">
              <w:rPr>
                <w:rFonts w:cs="Arial"/>
                <w:i w:val="0"/>
                <w:iCs w:val="0"/>
              </w:rPr>
              <w:t xml:space="preserve">The penalty that may be imposed on commission of an offence </w:t>
            </w:r>
            <w:r w:rsidR="00837803">
              <w:rPr>
                <w:rFonts w:cs="Arial"/>
                <w:i w:val="0"/>
                <w:iCs w:val="0"/>
              </w:rPr>
              <w:t xml:space="preserve">is 50 penalty units </w:t>
            </w:r>
            <w:r w:rsidRPr="00B31851">
              <w:rPr>
                <w:rFonts w:cs="Arial"/>
                <w:i w:val="0"/>
                <w:iCs w:val="0"/>
              </w:rPr>
              <w:t xml:space="preserve">and </w:t>
            </w:r>
            <w:r w:rsidR="00837803">
              <w:rPr>
                <w:rFonts w:cs="Arial"/>
                <w:i w:val="0"/>
                <w:iCs w:val="0"/>
              </w:rPr>
              <w:t>is intended to</w:t>
            </w:r>
            <w:r w:rsidR="00837803" w:rsidRPr="00B31851">
              <w:rPr>
                <w:rFonts w:cs="Arial"/>
                <w:i w:val="0"/>
                <w:iCs w:val="0"/>
              </w:rPr>
              <w:t xml:space="preserve"> </w:t>
            </w:r>
            <w:r w:rsidRPr="00B31851">
              <w:rPr>
                <w:rFonts w:cs="Arial"/>
                <w:i w:val="0"/>
                <w:iCs w:val="0"/>
              </w:rPr>
              <w:t xml:space="preserve">act as a deterrent against employers from delaying or failing to make payment of long service leave entitlements upon </w:t>
            </w:r>
            <w:r w:rsidR="00DE0E4B">
              <w:rPr>
                <w:rFonts w:cs="Arial"/>
                <w:i w:val="0"/>
                <w:iCs w:val="0"/>
              </w:rPr>
              <w:t>cessation</w:t>
            </w:r>
            <w:r w:rsidR="00DE0E4B" w:rsidRPr="00B31851">
              <w:rPr>
                <w:rFonts w:cs="Arial"/>
                <w:i w:val="0"/>
                <w:iCs w:val="0"/>
              </w:rPr>
              <w:t xml:space="preserve"> </w:t>
            </w:r>
            <w:r w:rsidRPr="00B31851">
              <w:rPr>
                <w:rFonts w:cs="Arial"/>
                <w:i w:val="0"/>
                <w:iCs w:val="0"/>
              </w:rPr>
              <w:t>of an employee’s employment.</w:t>
            </w:r>
            <w:r w:rsidR="002E3817" w:rsidRPr="00B31851">
              <w:rPr>
                <w:rFonts w:cs="Arial"/>
                <w:i w:val="0"/>
                <w:iCs w:val="0"/>
              </w:rPr>
              <w:t xml:space="preserve"> The creation of a strict liability </w:t>
            </w:r>
            <w:r w:rsidR="002E3817">
              <w:rPr>
                <w:rFonts w:cs="Arial"/>
                <w:i w:val="0"/>
                <w:iCs w:val="0"/>
              </w:rPr>
              <w:t>offence</w:t>
            </w:r>
            <w:r w:rsidR="002E3817" w:rsidRPr="00B31851">
              <w:rPr>
                <w:rFonts w:cs="Arial"/>
                <w:i w:val="0"/>
                <w:iCs w:val="0"/>
              </w:rPr>
              <w:t xml:space="preserve"> under section 11A of the LSL Act ensures </w:t>
            </w:r>
            <w:r w:rsidR="002E3817">
              <w:rPr>
                <w:rFonts w:cs="Arial"/>
                <w:i w:val="0"/>
                <w:iCs w:val="0"/>
              </w:rPr>
              <w:t xml:space="preserve">workers are paid the accrued long service leave entitlements from that employer </w:t>
            </w:r>
            <w:r w:rsidR="00DE0E4B">
              <w:rPr>
                <w:rFonts w:cs="Arial"/>
                <w:i w:val="0"/>
                <w:iCs w:val="0"/>
              </w:rPr>
              <w:t>as and when it falls due,</w:t>
            </w:r>
            <w:r w:rsidR="00B15921">
              <w:rPr>
                <w:rFonts w:cs="Arial"/>
                <w:i w:val="0"/>
                <w:iCs w:val="0"/>
              </w:rPr>
              <w:t xml:space="preserve"> but no later than a reasonable time of 90 days.</w:t>
            </w:r>
          </w:p>
          <w:p w14:paraId="10381617" w14:textId="5F1ACF2A" w:rsidR="00347D69" w:rsidRPr="00B31851" w:rsidRDefault="00347D69" w:rsidP="00361DCB">
            <w:pPr>
              <w:rPr>
                <w:rFonts w:cs="Arial"/>
                <w:i w:val="0"/>
                <w:iCs w:val="0"/>
              </w:rPr>
            </w:pPr>
            <w:r w:rsidRPr="00B31851">
              <w:rPr>
                <w:rFonts w:cs="Arial"/>
                <w:i w:val="0"/>
                <w:iCs w:val="0"/>
              </w:rPr>
              <w:t xml:space="preserve">The intent behind establishing a strict liability offence arises from the regulatory context in which it operates, namely, the protection of </w:t>
            </w:r>
            <w:r w:rsidR="00F519E1">
              <w:rPr>
                <w:rFonts w:cs="Arial"/>
                <w:i w:val="0"/>
                <w:iCs w:val="0"/>
              </w:rPr>
              <w:t>workers’ rights and</w:t>
            </w:r>
            <w:r w:rsidRPr="00B31851">
              <w:rPr>
                <w:rFonts w:cs="Arial"/>
                <w:i w:val="0"/>
                <w:iCs w:val="0"/>
              </w:rPr>
              <w:t xml:space="preserve"> the enforcement of workplace obligations. In such contexts, there is a strong public interest in ensuring that regulatory schemes are consistently observed. The rationale is that individuals and entities</w:t>
            </w:r>
            <w:r w:rsidR="00F519E1">
              <w:rPr>
                <w:rFonts w:cs="Arial"/>
                <w:i w:val="0"/>
                <w:iCs w:val="0"/>
              </w:rPr>
              <w:t xml:space="preserve">, </w:t>
            </w:r>
            <w:r w:rsidRPr="00B31851">
              <w:rPr>
                <w:rFonts w:cs="Arial"/>
                <w:i w:val="0"/>
                <w:iCs w:val="0"/>
              </w:rPr>
              <w:t>such as employers, can reasonably be expected to be aware of their legal obligations due to their professional role and responsibilities.</w:t>
            </w:r>
          </w:p>
        </w:tc>
      </w:tr>
      <w:tr w:rsidR="00A542FF" w:rsidRPr="00B31851" w14:paraId="4D4494B4" w14:textId="77777777" w:rsidTr="00941E90">
        <w:tc>
          <w:tcPr>
            <w:tcW w:w="1980" w:type="dxa"/>
          </w:tcPr>
          <w:p w14:paraId="72506890" w14:textId="558D4AC1" w:rsidR="00A542FF" w:rsidRPr="00B31851" w:rsidRDefault="009D4A03">
            <w:pPr>
              <w:rPr>
                <w:rFonts w:cs="Arial"/>
                <w:i w:val="0"/>
                <w:iCs w:val="0"/>
              </w:rPr>
            </w:pPr>
            <w:r w:rsidRPr="00B31851">
              <w:rPr>
                <w:rFonts w:cs="Arial"/>
                <w:i w:val="0"/>
                <w:iCs w:val="0"/>
              </w:rPr>
              <w:t>WHS Act amendment – statutory limitation period</w:t>
            </w:r>
          </w:p>
        </w:tc>
        <w:tc>
          <w:tcPr>
            <w:tcW w:w="7036" w:type="dxa"/>
          </w:tcPr>
          <w:p w14:paraId="7742ECE8" w14:textId="4C88B397" w:rsidR="00A542FF" w:rsidRPr="00B31851" w:rsidRDefault="004921CC">
            <w:pPr>
              <w:rPr>
                <w:rFonts w:cs="Arial"/>
                <w:i w:val="0"/>
                <w:iCs w:val="0"/>
              </w:rPr>
            </w:pPr>
            <w:r w:rsidRPr="00B31851">
              <w:rPr>
                <w:rFonts w:cs="Arial"/>
                <w:i w:val="0"/>
                <w:iCs w:val="0"/>
              </w:rPr>
              <w:t xml:space="preserve">The purpose is to ensure serious WHS offences, particularly those involving latent harm or delayed consequences, can be prosecuted effectively. This supports public safety, regulatory integrity, and justice for affected individuals. </w:t>
            </w:r>
          </w:p>
          <w:p w14:paraId="11C853D4" w14:textId="5D03EE71" w:rsidR="00A542FF" w:rsidRPr="00B31851" w:rsidRDefault="00A042B3">
            <w:pPr>
              <w:rPr>
                <w:rFonts w:cs="Arial"/>
                <w:i w:val="0"/>
                <w:iCs w:val="0"/>
              </w:rPr>
            </w:pPr>
            <w:r w:rsidRPr="00B31851">
              <w:rPr>
                <w:rFonts w:cs="Arial"/>
                <w:i w:val="0"/>
                <w:iCs w:val="0"/>
              </w:rPr>
              <w:t xml:space="preserve">The nature of WHS matters often involve long-term exposure to hazardous substances, systemic safety failures, or workplace incidents where the full extent of harm (such as occupational disease or death) may not be immediately apparent. </w:t>
            </w:r>
            <w:r w:rsidR="00AD4697">
              <w:rPr>
                <w:rFonts w:cs="Arial"/>
                <w:i w:val="0"/>
                <w:iCs w:val="0"/>
              </w:rPr>
              <w:t>R</w:t>
            </w:r>
            <w:r w:rsidRPr="00B31851">
              <w:rPr>
                <w:rFonts w:cs="Arial"/>
                <w:i w:val="0"/>
                <w:iCs w:val="0"/>
              </w:rPr>
              <w:t>igid limitation periods can prevent regulators from pursuing prosecutions</w:t>
            </w:r>
            <w:r w:rsidR="00AD4697">
              <w:rPr>
                <w:rFonts w:cs="Arial"/>
                <w:i w:val="0"/>
                <w:iCs w:val="0"/>
              </w:rPr>
              <w:t xml:space="preserve"> and</w:t>
            </w:r>
            <w:r w:rsidR="00AC205C">
              <w:rPr>
                <w:rFonts w:cs="Arial"/>
                <w:i w:val="0"/>
                <w:iCs w:val="0"/>
              </w:rPr>
              <w:t xml:space="preserve"> not hold those accountable for breaching WHS laws.</w:t>
            </w:r>
            <w:r w:rsidR="0070568D">
              <w:rPr>
                <w:rFonts w:cs="Arial"/>
                <w:i w:val="0"/>
                <w:iCs w:val="0"/>
              </w:rPr>
              <w:t xml:space="preserve"> </w:t>
            </w:r>
            <w:r w:rsidR="008431C4">
              <w:rPr>
                <w:rFonts w:cs="Arial"/>
                <w:i w:val="0"/>
                <w:iCs w:val="0"/>
              </w:rPr>
              <w:t>The</w:t>
            </w:r>
            <w:r w:rsidR="00C25D86">
              <w:rPr>
                <w:rFonts w:cs="Arial"/>
                <w:i w:val="0"/>
                <w:iCs w:val="0"/>
              </w:rPr>
              <w:t xml:space="preserve"> rational</w:t>
            </w:r>
            <w:r w:rsidR="00492E60">
              <w:rPr>
                <w:rFonts w:cs="Arial"/>
                <w:i w:val="0"/>
                <w:iCs w:val="0"/>
              </w:rPr>
              <w:t>e</w:t>
            </w:r>
            <w:r w:rsidR="00C25D86">
              <w:rPr>
                <w:rFonts w:cs="Arial"/>
                <w:i w:val="0"/>
                <w:iCs w:val="0"/>
              </w:rPr>
              <w:t xml:space="preserve"> of this amendment is to afford the court with the discretion </w:t>
            </w:r>
            <w:r w:rsidR="008E2AC7">
              <w:rPr>
                <w:rFonts w:cs="Arial"/>
                <w:i w:val="0"/>
                <w:iCs w:val="0"/>
              </w:rPr>
              <w:t xml:space="preserve">to </w:t>
            </w:r>
            <w:r w:rsidR="006E6AC2">
              <w:rPr>
                <w:rFonts w:cs="Arial"/>
                <w:i w:val="0"/>
                <w:iCs w:val="0"/>
              </w:rPr>
              <w:t>extend this limitation</w:t>
            </w:r>
            <w:r w:rsidR="008E2AC7">
              <w:rPr>
                <w:rFonts w:cs="Arial"/>
                <w:i w:val="0"/>
                <w:iCs w:val="0"/>
              </w:rPr>
              <w:t>, where necessary,</w:t>
            </w:r>
            <w:r w:rsidR="006E6AC2">
              <w:rPr>
                <w:rFonts w:cs="Arial"/>
                <w:i w:val="0"/>
                <w:iCs w:val="0"/>
              </w:rPr>
              <w:t xml:space="preserve"> so that </w:t>
            </w:r>
            <w:r w:rsidR="008E2AC7">
              <w:rPr>
                <w:rFonts w:cs="Arial"/>
                <w:i w:val="0"/>
                <w:iCs w:val="0"/>
              </w:rPr>
              <w:t>those responsible are held to account.</w:t>
            </w:r>
          </w:p>
        </w:tc>
      </w:tr>
      <w:tr w:rsidR="000453F5" w:rsidRPr="00B31851" w14:paraId="7BBDF979" w14:textId="77777777" w:rsidTr="00941E90">
        <w:tc>
          <w:tcPr>
            <w:tcW w:w="1980" w:type="dxa"/>
          </w:tcPr>
          <w:p w14:paraId="2DB303C3" w14:textId="538634C9" w:rsidR="000453F5" w:rsidRPr="00B31851" w:rsidRDefault="000453F5">
            <w:pPr>
              <w:rPr>
                <w:rFonts w:cs="Arial"/>
                <w:i w:val="0"/>
                <w:iCs w:val="0"/>
              </w:rPr>
            </w:pPr>
            <w:r w:rsidRPr="00B31851">
              <w:rPr>
                <w:rFonts w:cs="Arial"/>
                <w:i w:val="0"/>
                <w:iCs w:val="0"/>
              </w:rPr>
              <w:t>WHS Act amendment – s39A</w:t>
            </w:r>
            <w:r w:rsidR="00AC205C">
              <w:rPr>
                <w:rFonts w:cs="Arial"/>
                <w:i w:val="0"/>
                <w:iCs w:val="0"/>
              </w:rPr>
              <w:t xml:space="preserve"> </w:t>
            </w:r>
            <w:r w:rsidRPr="00B31851">
              <w:rPr>
                <w:rFonts w:cs="Arial"/>
                <w:i w:val="0"/>
                <w:iCs w:val="0"/>
              </w:rPr>
              <w:t>(1) and (2) strict liability offences</w:t>
            </w:r>
          </w:p>
        </w:tc>
        <w:tc>
          <w:tcPr>
            <w:tcW w:w="7036" w:type="dxa"/>
          </w:tcPr>
          <w:p w14:paraId="7BA242B8" w14:textId="19C735EF" w:rsidR="004A16B2" w:rsidRDefault="001E3F51" w:rsidP="00B91065">
            <w:pPr>
              <w:rPr>
                <w:rFonts w:cs="Arial"/>
                <w:i w:val="0"/>
              </w:rPr>
            </w:pPr>
            <w:r>
              <w:rPr>
                <w:rFonts w:cs="Arial"/>
                <w:i w:val="0"/>
              </w:rPr>
              <w:t xml:space="preserve">The purpose of this amendment is to ensure that a duty holder who becomes aware of a notifiable incident under section 38 of the WHS Act notifies the person with management or control of the workplace so that they can ensure the site is not disturbed until an inspector arrives. Preserving the site at which a notifiable incident has occurred is essential to facilitating effective investigation of the </w:t>
            </w:r>
            <w:r w:rsidR="009F6937">
              <w:rPr>
                <w:rFonts w:cs="Arial"/>
                <w:i w:val="0"/>
              </w:rPr>
              <w:t>incident and</w:t>
            </w:r>
            <w:r>
              <w:rPr>
                <w:rFonts w:cs="Arial"/>
                <w:i w:val="0"/>
              </w:rPr>
              <w:t xml:space="preserve"> therefore promoting the right to life by ensuring future incidents are prevented. </w:t>
            </w:r>
          </w:p>
          <w:p w14:paraId="5EF6BC0B" w14:textId="3AA589BF" w:rsidR="00B91065" w:rsidRPr="00B91065" w:rsidRDefault="008E2AC7" w:rsidP="00B91065">
            <w:pPr>
              <w:rPr>
                <w:rFonts w:cs="Arial"/>
                <w:i w:val="0"/>
              </w:rPr>
            </w:pPr>
            <w:r>
              <w:rPr>
                <w:rFonts w:cs="Arial"/>
                <w:i w:val="0"/>
              </w:rPr>
              <w:t>W</w:t>
            </w:r>
            <w:r w:rsidR="00B91065" w:rsidRPr="0067185A">
              <w:rPr>
                <w:rFonts w:cs="Arial"/>
                <w:i w:val="0"/>
              </w:rPr>
              <w:t xml:space="preserve">here a defendant can reasonably be expected, because of </w:t>
            </w:r>
            <w:r>
              <w:rPr>
                <w:rFonts w:cs="Arial"/>
                <w:i w:val="0"/>
              </w:rPr>
              <w:t>their</w:t>
            </w:r>
            <w:r w:rsidR="00B91065" w:rsidRPr="0067185A">
              <w:rPr>
                <w:rFonts w:cs="Arial"/>
                <w:i w:val="0"/>
              </w:rPr>
              <w:t xml:space="preserve"> professional involvement, to know what the requirements of the law are, </w:t>
            </w:r>
            <w:r w:rsidR="004A16B2">
              <w:rPr>
                <w:rFonts w:cs="Arial"/>
                <w:i w:val="0"/>
              </w:rPr>
              <w:t xml:space="preserve">and where the standard of behaviour is an objective standard, </w:t>
            </w:r>
            <w:r w:rsidR="00B91065" w:rsidRPr="0067185A">
              <w:rPr>
                <w:rFonts w:cs="Arial"/>
                <w:i w:val="0"/>
              </w:rPr>
              <w:t>the mental (or fault) element can justifiably be excluded</w:t>
            </w:r>
            <w:r w:rsidR="00EE7397">
              <w:rPr>
                <w:rFonts w:cs="Arial"/>
                <w:i w:val="0"/>
              </w:rPr>
              <w:t>.</w:t>
            </w:r>
            <w:r w:rsidR="00287F4A" w:rsidRPr="00941E90">
              <w:rPr>
                <w:rFonts w:ascii="Segoe UI" w:hAnsi="Segoe UI" w:cs="Segoe UI"/>
                <w:i w:val="0"/>
                <w:iCs w:val="0"/>
                <w:color w:val="424242"/>
                <w:shd w:val="clear" w:color="auto" w:fill="FAFAFA"/>
              </w:rPr>
              <w:t xml:space="preserve"> </w:t>
            </w:r>
            <w:r w:rsidR="00287F4A" w:rsidRPr="00941E90">
              <w:rPr>
                <w:rFonts w:cs="Arial"/>
                <w:i w:val="0"/>
                <w:iCs w:val="0"/>
              </w:rPr>
              <w:t>The rationale is that individuals who hold work health and safety duties</w:t>
            </w:r>
            <w:r w:rsidR="00D17936">
              <w:rPr>
                <w:rFonts w:cs="Arial"/>
                <w:i w:val="0"/>
                <w:iCs w:val="0"/>
              </w:rPr>
              <w:t xml:space="preserve">, </w:t>
            </w:r>
            <w:r w:rsidR="00287F4A" w:rsidRPr="00941E90">
              <w:rPr>
                <w:rFonts w:cs="Arial"/>
                <w:i w:val="0"/>
                <w:iCs w:val="0"/>
              </w:rPr>
              <w:t xml:space="preserve">such as </w:t>
            </w:r>
            <w:r w:rsidR="00287F4A">
              <w:rPr>
                <w:rFonts w:cs="Arial"/>
                <w:i w:val="0"/>
                <w:iCs w:val="0"/>
              </w:rPr>
              <w:t>PCB</w:t>
            </w:r>
            <w:r w:rsidR="00D17936">
              <w:rPr>
                <w:rFonts w:cs="Arial"/>
                <w:i w:val="0"/>
                <w:iCs w:val="0"/>
              </w:rPr>
              <w:t>U</w:t>
            </w:r>
            <w:r w:rsidR="00287F4A">
              <w:rPr>
                <w:rFonts w:cs="Arial"/>
                <w:i w:val="0"/>
                <w:iCs w:val="0"/>
              </w:rPr>
              <w:t>s</w:t>
            </w:r>
            <w:r w:rsidR="00D17936">
              <w:rPr>
                <w:rFonts w:cs="Arial"/>
                <w:i w:val="0"/>
                <w:iCs w:val="0"/>
              </w:rPr>
              <w:t xml:space="preserve">, </w:t>
            </w:r>
            <w:r w:rsidR="00287F4A" w:rsidRPr="00941E90">
              <w:rPr>
                <w:rFonts w:cs="Arial"/>
                <w:i w:val="0"/>
                <w:iCs w:val="0"/>
              </w:rPr>
              <w:t xml:space="preserve">can reasonably be expected to understand their responsibilities </w:t>
            </w:r>
            <w:r w:rsidR="001610F8">
              <w:rPr>
                <w:rFonts w:cs="Arial"/>
                <w:i w:val="0"/>
                <w:iCs w:val="0"/>
              </w:rPr>
              <w:t xml:space="preserve">owed </w:t>
            </w:r>
            <w:r w:rsidR="00287F4A" w:rsidRPr="00941E90">
              <w:rPr>
                <w:rFonts w:cs="Arial"/>
                <w:i w:val="0"/>
                <w:iCs w:val="0"/>
              </w:rPr>
              <w:t xml:space="preserve">to workers and the broader public. This contrasts with members of the general </w:t>
            </w:r>
            <w:r w:rsidR="00287F4A" w:rsidRPr="00941E90">
              <w:rPr>
                <w:rFonts w:cs="Arial"/>
                <w:i w:val="0"/>
                <w:iCs w:val="0"/>
              </w:rPr>
              <w:lastRenderedPageBreak/>
              <w:t>public, who are not typically expected to have such awareness</w:t>
            </w:r>
            <w:r w:rsidR="00287F4A" w:rsidRPr="00287F4A">
              <w:rPr>
                <w:rFonts w:cs="Arial"/>
              </w:rPr>
              <w:t>.</w:t>
            </w:r>
            <w:r w:rsidR="00B91065" w:rsidRPr="0067185A">
              <w:rPr>
                <w:rFonts w:cs="Arial"/>
                <w:i w:val="0"/>
              </w:rPr>
              <w:t xml:space="preserve"> </w:t>
            </w:r>
            <w:r w:rsidR="00B91065">
              <w:rPr>
                <w:rFonts w:cs="Arial"/>
                <w:i w:val="0"/>
              </w:rPr>
              <w:t>Therefore, a</w:t>
            </w:r>
            <w:r w:rsidR="00B91065" w:rsidRPr="00AB3DFA">
              <w:rPr>
                <w:rFonts w:cs="Arial"/>
                <w:i w:val="0"/>
              </w:rPr>
              <w:t xml:space="preserve"> strict liability offence for PCBUs </w:t>
            </w:r>
            <w:r w:rsidR="00B91065">
              <w:rPr>
                <w:rFonts w:cs="Arial"/>
                <w:i w:val="0"/>
              </w:rPr>
              <w:t>failing to</w:t>
            </w:r>
            <w:r w:rsidR="00B91065" w:rsidRPr="00AB3DFA">
              <w:rPr>
                <w:rFonts w:cs="Arial"/>
                <w:i w:val="0"/>
              </w:rPr>
              <w:t xml:space="preserve"> notify </w:t>
            </w:r>
            <w:r w:rsidR="00B91065">
              <w:rPr>
                <w:rFonts w:cs="Arial"/>
                <w:i w:val="0"/>
              </w:rPr>
              <w:t xml:space="preserve">each other in these circumstances is </w:t>
            </w:r>
            <w:r w:rsidR="00B91065" w:rsidRPr="00AB3DFA">
              <w:rPr>
                <w:rFonts w:cs="Arial"/>
                <w:i w:val="0"/>
              </w:rPr>
              <w:t xml:space="preserve">considered appropriate. </w:t>
            </w:r>
          </w:p>
          <w:p w14:paraId="47A40E1B" w14:textId="3BCA8AC2" w:rsidR="00BF6568" w:rsidRPr="00B31851" w:rsidRDefault="00DF38E4">
            <w:pPr>
              <w:rPr>
                <w:rFonts w:cs="Arial"/>
                <w:i w:val="0"/>
                <w:iCs w:val="0"/>
              </w:rPr>
            </w:pPr>
            <w:r w:rsidRPr="00B31851">
              <w:rPr>
                <w:rFonts w:cs="Arial"/>
                <w:i w:val="0"/>
                <w:iCs w:val="0"/>
              </w:rPr>
              <w:t>The strict liability offences arise in a regulatory context where, for reasons such as public safety, the public interest in ensuring that regulatory schemes are observed, requires the sanction of criminal penalties.</w:t>
            </w:r>
            <w:r w:rsidR="00164F03">
              <w:rPr>
                <w:rFonts w:cs="Arial"/>
                <w:i w:val="0"/>
                <w:iCs w:val="0"/>
              </w:rPr>
              <w:t xml:space="preserve"> </w:t>
            </w:r>
            <w:r w:rsidR="00061BF7" w:rsidRPr="00B31851">
              <w:rPr>
                <w:rFonts w:cs="Arial"/>
                <w:i w:val="0"/>
                <w:iCs w:val="0"/>
              </w:rPr>
              <w:t>The legitimate purpose of the strict liability provision</w:t>
            </w:r>
            <w:r w:rsidR="001660DE" w:rsidRPr="00B31851">
              <w:rPr>
                <w:rFonts w:cs="Arial"/>
                <w:i w:val="0"/>
                <w:iCs w:val="0"/>
              </w:rPr>
              <w:t>s</w:t>
            </w:r>
            <w:r w:rsidR="00061BF7" w:rsidRPr="00B31851">
              <w:rPr>
                <w:rFonts w:cs="Arial"/>
                <w:i w:val="0"/>
                <w:iCs w:val="0"/>
              </w:rPr>
              <w:t xml:space="preserve"> is that they seek to protect the health and safety of workers</w:t>
            </w:r>
            <w:r w:rsidR="001660DE" w:rsidRPr="00B31851">
              <w:rPr>
                <w:rFonts w:cs="Arial"/>
                <w:i w:val="0"/>
                <w:iCs w:val="0"/>
              </w:rPr>
              <w:t>, whilst also acting</w:t>
            </w:r>
            <w:r w:rsidR="00061BF7" w:rsidRPr="00B31851">
              <w:rPr>
                <w:rFonts w:cs="Arial"/>
                <w:i w:val="0"/>
                <w:iCs w:val="0"/>
              </w:rPr>
              <w:t xml:space="preserve"> as a deterrent against PCBUs providing unsafe workplaces and work cultures. The WHS Act imposes health and safety duties on all PCBUs in the Territory, as well as duties to their officers and workers. All PCBUs are required to be aware of their health and safety duties under the WHS Act.</w:t>
            </w:r>
          </w:p>
        </w:tc>
      </w:tr>
      <w:tr w:rsidR="00A542FF" w:rsidRPr="00B31851" w14:paraId="770BABDC" w14:textId="77777777" w:rsidTr="00941E90">
        <w:tc>
          <w:tcPr>
            <w:tcW w:w="1980" w:type="dxa"/>
          </w:tcPr>
          <w:p w14:paraId="5B098911" w14:textId="699416A0" w:rsidR="00A542FF" w:rsidRPr="00B31851" w:rsidRDefault="00D2387E">
            <w:pPr>
              <w:rPr>
                <w:rFonts w:cs="Arial"/>
                <w:i w:val="0"/>
                <w:iCs w:val="0"/>
              </w:rPr>
            </w:pPr>
            <w:r>
              <w:rPr>
                <w:rFonts w:cs="Arial"/>
                <w:i w:val="0"/>
                <w:iCs w:val="0"/>
              </w:rPr>
              <w:lastRenderedPageBreak/>
              <w:t xml:space="preserve"> </w:t>
            </w:r>
            <w:r w:rsidR="00CC251A" w:rsidRPr="00B31851">
              <w:rPr>
                <w:rFonts w:cs="Arial"/>
                <w:i w:val="0"/>
                <w:iCs w:val="0"/>
              </w:rPr>
              <w:t>WC Act amendment – statutory limitation period</w:t>
            </w:r>
          </w:p>
        </w:tc>
        <w:tc>
          <w:tcPr>
            <w:tcW w:w="7036" w:type="dxa"/>
          </w:tcPr>
          <w:p w14:paraId="17DC3C8D" w14:textId="7ECD9CFB" w:rsidR="00A542FF" w:rsidRPr="00B31851" w:rsidRDefault="00BD5A3F">
            <w:pPr>
              <w:rPr>
                <w:rFonts w:cs="Arial"/>
                <w:i w:val="0"/>
                <w:iCs w:val="0"/>
              </w:rPr>
            </w:pPr>
            <w:r w:rsidRPr="00B31851">
              <w:rPr>
                <w:rFonts w:cs="Arial"/>
                <w:i w:val="0"/>
                <w:iCs w:val="0"/>
              </w:rPr>
              <w:t xml:space="preserve">The purpose is to ensure that regulators have sufficient time to investigate and prosecute complex offences involving compulsory insurance obligations. This supports the integrity of the workers compensation scheme and protects injured workers. The </w:t>
            </w:r>
            <w:r w:rsidR="00D9427E" w:rsidRPr="00B31851">
              <w:rPr>
                <w:rFonts w:cs="Arial"/>
                <w:i w:val="0"/>
                <w:iCs w:val="0"/>
              </w:rPr>
              <w:t xml:space="preserve">amendment </w:t>
            </w:r>
            <w:r w:rsidRPr="00B31851">
              <w:rPr>
                <w:rFonts w:cs="Arial"/>
                <w:i w:val="0"/>
                <w:iCs w:val="0"/>
              </w:rPr>
              <w:t>extend</w:t>
            </w:r>
            <w:r w:rsidR="00D9427E" w:rsidRPr="00B31851">
              <w:rPr>
                <w:rFonts w:cs="Arial"/>
                <w:i w:val="0"/>
                <w:iCs w:val="0"/>
              </w:rPr>
              <w:t>s</w:t>
            </w:r>
            <w:r w:rsidRPr="00B31851">
              <w:rPr>
                <w:rFonts w:cs="Arial"/>
                <w:i w:val="0"/>
                <w:iCs w:val="0"/>
              </w:rPr>
              <w:t xml:space="preserve"> the prosecution window from </w:t>
            </w:r>
            <w:r w:rsidR="00614581">
              <w:rPr>
                <w:rFonts w:cs="Arial"/>
                <w:i w:val="0"/>
                <w:iCs w:val="0"/>
              </w:rPr>
              <w:t>1</w:t>
            </w:r>
            <w:r w:rsidRPr="00B31851">
              <w:rPr>
                <w:rFonts w:cs="Arial"/>
                <w:i w:val="0"/>
                <w:iCs w:val="0"/>
              </w:rPr>
              <w:t xml:space="preserve"> year to 5 years. This aligns will the other similar offences within this part. </w:t>
            </w:r>
          </w:p>
        </w:tc>
      </w:tr>
    </w:tbl>
    <w:p w14:paraId="3703709B" w14:textId="77777777" w:rsidR="00A542FF" w:rsidRDefault="00A542FF" w:rsidP="00BB3E5A">
      <w:pPr>
        <w:rPr>
          <w:rFonts w:cs="Arial"/>
          <w:b/>
          <w:i w:val="0"/>
          <w:iCs w:val="0"/>
        </w:rPr>
      </w:pPr>
    </w:p>
    <w:p w14:paraId="034C28B0" w14:textId="77777777" w:rsidR="00B84BD0" w:rsidRPr="00B31851" w:rsidRDefault="00B84BD0" w:rsidP="00BB3E5A">
      <w:pPr>
        <w:rPr>
          <w:rFonts w:cs="Arial"/>
          <w:b/>
          <w:i w:val="0"/>
          <w:iCs w:val="0"/>
        </w:rPr>
      </w:pPr>
    </w:p>
    <w:p w14:paraId="2C82A847" w14:textId="5CD4EE66" w:rsidR="006C7307" w:rsidRPr="003B657D" w:rsidRDefault="00BB3E5A" w:rsidP="00E04A2F">
      <w:pPr>
        <w:pStyle w:val="ListParagraph"/>
        <w:numPr>
          <w:ilvl w:val="4"/>
          <w:numId w:val="21"/>
        </w:numPr>
        <w:ind w:left="851" w:hanging="425"/>
        <w:rPr>
          <w:rFonts w:cs="Arial"/>
          <w:b/>
        </w:rPr>
      </w:pPr>
      <w:r w:rsidRPr="00614581">
        <w:rPr>
          <w:rFonts w:cs="Arial"/>
          <w:b/>
        </w:rPr>
        <w:t>Rational connection between the limitation and the purpose (s28(d))</w:t>
      </w:r>
    </w:p>
    <w:tbl>
      <w:tblPr>
        <w:tblStyle w:val="TableGrid"/>
        <w:tblW w:w="0" w:type="auto"/>
        <w:tblLayout w:type="fixed"/>
        <w:tblLook w:val="04A0" w:firstRow="1" w:lastRow="0" w:firstColumn="1" w:lastColumn="0" w:noHBand="0" w:noVBand="1"/>
      </w:tblPr>
      <w:tblGrid>
        <w:gridCol w:w="1980"/>
        <w:gridCol w:w="7036"/>
      </w:tblGrid>
      <w:tr w:rsidR="00AA0895" w:rsidRPr="00B31851" w14:paraId="38CCCF6F" w14:textId="77777777" w:rsidTr="60450B89">
        <w:tc>
          <w:tcPr>
            <w:tcW w:w="1980" w:type="dxa"/>
          </w:tcPr>
          <w:p w14:paraId="2B7E7CA4" w14:textId="77777777" w:rsidR="006C7307" w:rsidRPr="00B31851" w:rsidRDefault="006C7307">
            <w:pPr>
              <w:ind w:right="323"/>
              <w:rPr>
                <w:rFonts w:cs="Arial"/>
                <w:i w:val="0"/>
                <w:iCs w:val="0"/>
              </w:rPr>
            </w:pPr>
            <w:r w:rsidRPr="00B31851">
              <w:rPr>
                <w:rFonts w:cs="Arial"/>
                <w:i w:val="0"/>
                <w:iCs w:val="0"/>
              </w:rPr>
              <w:t>LSL Act amendment – abrogation of privilege against self-incrimination</w:t>
            </w:r>
          </w:p>
        </w:tc>
        <w:tc>
          <w:tcPr>
            <w:tcW w:w="7036" w:type="dxa"/>
          </w:tcPr>
          <w:p w14:paraId="6B727A56" w14:textId="3FC6690F" w:rsidR="007F2A74" w:rsidRPr="00FA2DCA" w:rsidRDefault="007F2A74" w:rsidP="007F2A74">
            <w:pPr>
              <w:rPr>
                <w:rFonts w:cs="Arial"/>
                <w:i w:val="0"/>
                <w:iCs w:val="0"/>
              </w:rPr>
            </w:pPr>
            <w:r w:rsidRPr="00FA2DCA">
              <w:rPr>
                <w:rFonts w:cs="Arial"/>
                <w:i w:val="0"/>
                <w:iCs w:val="0"/>
              </w:rPr>
              <w:t xml:space="preserve">The </w:t>
            </w:r>
            <w:r w:rsidR="00942AFB" w:rsidRPr="00FA2DCA">
              <w:rPr>
                <w:rFonts w:cs="Arial"/>
                <w:i w:val="0"/>
                <w:iCs w:val="0"/>
              </w:rPr>
              <w:t>amendment</w:t>
            </w:r>
            <w:r w:rsidR="004A16B2">
              <w:rPr>
                <w:rFonts w:cs="Arial"/>
                <w:i w:val="0"/>
                <w:iCs w:val="0"/>
              </w:rPr>
              <w:t>,</w:t>
            </w:r>
            <w:r w:rsidRPr="00FA2DCA">
              <w:rPr>
                <w:rFonts w:cs="Arial"/>
                <w:i w:val="0"/>
                <w:iCs w:val="0"/>
              </w:rPr>
              <w:t xml:space="preserve"> which allows authorised officers to compel individuals to provide information even if it may be self-incriminating, directly limits the right protected under </w:t>
            </w:r>
            <w:r w:rsidRPr="00941E90">
              <w:rPr>
                <w:rFonts w:cs="Arial"/>
                <w:i w:val="0"/>
                <w:iCs w:val="0"/>
              </w:rPr>
              <w:t>section 22</w:t>
            </w:r>
            <w:r w:rsidR="00D04D1B">
              <w:rPr>
                <w:rFonts w:cs="Arial"/>
                <w:i w:val="0"/>
                <w:iCs w:val="0"/>
              </w:rPr>
              <w:t xml:space="preserve"> </w:t>
            </w:r>
            <w:r w:rsidR="00853A19">
              <w:rPr>
                <w:rFonts w:cs="Arial"/>
                <w:i w:val="0"/>
                <w:iCs w:val="0"/>
              </w:rPr>
              <w:t>(</w:t>
            </w:r>
            <w:r w:rsidRPr="00941E90">
              <w:rPr>
                <w:rFonts w:cs="Arial"/>
                <w:i w:val="0"/>
                <w:iCs w:val="0"/>
              </w:rPr>
              <w:t>2)(i)</w:t>
            </w:r>
            <w:r w:rsidRPr="00FA2DCA">
              <w:rPr>
                <w:rFonts w:cs="Arial"/>
                <w:i w:val="0"/>
                <w:iCs w:val="0"/>
              </w:rPr>
              <w:t> of the </w:t>
            </w:r>
            <w:r w:rsidR="00E50531" w:rsidRPr="00941E90">
              <w:rPr>
                <w:rFonts w:cs="Arial"/>
                <w:i w:val="0"/>
                <w:iCs w:val="0"/>
              </w:rPr>
              <w:t>HR Act.</w:t>
            </w:r>
            <w:r w:rsidRPr="00FA2DCA">
              <w:rPr>
                <w:rFonts w:cs="Arial"/>
                <w:i w:val="0"/>
                <w:iCs w:val="0"/>
              </w:rPr>
              <w:t xml:space="preserve"> This right is a fundamental safeguard in criminal proceedings, ensuring that individuals are not forced to testify against themselves or confess guilt. It upholds the presumption of innocence and places the burden of proof on the prosecution, thereby protecting individuals from coercion and preserving the integrity of the justice system.</w:t>
            </w:r>
          </w:p>
          <w:p w14:paraId="21CC2F74" w14:textId="46C077C3" w:rsidR="007F2A74" w:rsidRPr="00FA2DCA" w:rsidRDefault="007F2A74" w:rsidP="007F2A74">
            <w:pPr>
              <w:rPr>
                <w:rFonts w:cs="Arial"/>
                <w:i w:val="0"/>
                <w:iCs w:val="0"/>
              </w:rPr>
            </w:pPr>
            <w:r w:rsidRPr="00FA2DCA">
              <w:rPr>
                <w:rFonts w:cs="Arial"/>
                <w:i w:val="0"/>
                <w:iCs w:val="0"/>
              </w:rPr>
              <w:t>Despite this limitation, the amendment is </w:t>
            </w:r>
            <w:r w:rsidRPr="00941E90">
              <w:rPr>
                <w:rFonts w:cs="Arial"/>
                <w:i w:val="0"/>
                <w:iCs w:val="0"/>
              </w:rPr>
              <w:t>rationally connected</w:t>
            </w:r>
            <w:r w:rsidRPr="00FA2DCA">
              <w:rPr>
                <w:rFonts w:cs="Arial"/>
                <w:i w:val="0"/>
                <w:iCs w:val="0"/>
              </w:rPr>
              <w:t> to a legitimate public interest objective</w:t>
            </w:r>
            <w:r w:rsidR="009636F4" w:rsidRPr="00FA2DCA">
              <w:rPr>
                <w:rFonts w:cs="Arial"/>
                <w:i w:val="0"/>
                <w:iCs w:val="0"/>
              </w:rPr>
              <w:t xml:space="preserve"> to </w:t>
            </w:r>
            <w:r w:rsidRPr="00FA2DCA">
              <w:rPr>
                <w:rFonts w:cs="Arial"/>
                <w:i w:val="0"/>
                <w:iCs w:val="0"/>
              </w:rPr>
              <w:t>enhanc</w:t>
            </w:r>
            <w:r w:rsidR="009636F4" w:rsidRPr="00FA2DCA">
              <w:rPr>
                <w:rFonts w:cs="Arial"/>
                <w:i w:val="0"/>
                <w:iCs w:val="0"/>
              </w:rPr>
              <w:t xml:space="preserve">e </w:t>
            </w:r>
            <w:r w:rsidRPr="00941E90">
              <w:rPr>
                <w:rFonts w:cs="Arial"/>
                <w:i w:val="0"/>
                <w:iCs w:val="0"/>
              </w:rPr>
              <w:t>WHS enforcement and compliance</w:t>
            </w:r>
            <w:r w:rsidRPr="00FA2DCA">
              <w:rPr>
                <w:rFonts w:cs="Arial"/>
                <w:i w:val="0"/>
                <w:iCs w:val="0"/>
              </w:rPr>
              <w:t>. The ability to compel information is intended to strengthen regulatory oversight, allowing authorised officers to investigate potential breaches more effectively, identify unsafe practices, and intervene to prevent harm. This connection between the means (compelled information) and the ends (workplace safety and accountability) demonstrates a logical and targeted approach to achieving WHS objectives.</w:t>
            </w:r>
          </w:p>
          <w:p w14:paraId="62DC9DF6" w14:textId="3E202F4A" w:rsidR="007F2A74" w:rsidRPr="00FA2DCA" w:rsidRDefault="007F2A74" w:rsidP="006C7307">
            <w:pPr>
              <w:rPr>
                <w:rFonts w:cs="Arial"/>
                <w:i w:val="0"/>
                <w:iCs w:val="0"/>
              </w:rPr>
            </w:pPr>
            <w:r w:rsidRPr="00FA2DCA">
              <w:rPr>
                <w:rFonts w:cs="Arial"/>
                <w:i w:val="0"/>
                <w:iCs w:val="0"/>
              </w:rPr>
              <w:t>Moreover, the amendment operates within a </w:t>
            </w:r>
            <w:r w:rsidRPr="00941E90">
              <w:rPr>
                <w:rFonts w:cs="Arial"/>
                <w:i w:val="0"/>
                <w:iCs w:val="0"/>
              </w:rPr>
              <w:t>regulatory context</w:t>
            </w:r>
            <w:r w:rsidRPr="00FA2DCA">
              <w:rPr>
                <w:rFonts w:cs="Arial"/>
                <w:i w:val="0"/>
                <w:iCs w:val="0"/>
              </w:rPr>
              <w:t xml:space="preserve">, where the primary aim is administrative enforcement rather than criminal prosecution. </w:t>
            </w:r>
          </w:p>
          <w:p w14:paraId="524F7015" w14:textId="3A13FB44" w:rsidR="006C7307" w:rsidRPr="00690E3F" w:rsidRDefault="00853A19" w:rsidP="006C7307">
            <w:pPr>
              <w:rPr>
                <w:rFonts w:cs="Arial"/>
                <w:i w:val="0"/>
                <w:iCs w:val="0"/>
              </w:rPr>
            </w:pPr>
            <w:r>
              <w:rPr>
                <w:rFonts w:cs="Arial"/>
                <w:i w:val="0"/>
                <w:iCs w:val="0"/>
              </w:rPr>
              <w:lastRenderedPageBreak/>
              <w:t>S</w:t>
            </w:r>
            <w:r w:rsidR="00912E4B" w:rsidRPr="00FA2DCA">
              <w:rPr>
                <w:rFonts w:cs="Arial"/>
                <w:i w:val="0"/>
                <w:iCs w:val="0"/>
              </w:rPr>
              <w:t>takeholder</w:t>
            </w:r>
            <w:r w:rsidR="00EC2382" w:rsidRPr="00941E90">
              <w:rPr>
                <w:rFonts w:cs="Arial"/>
                <w:i w:val="0"/>
                <w:iCs w:val="0"/>
              </w:rPr>
              <w:t xml:space="preserve"> concerns </w:t>
            </w:r>
            <w:r w:rsidR="00912E4B" w:rsidRPr="00FA2DCA">
              <w:rPr>
                <w:rFonts w:cs="Arial"/>
                <w:i w:val="0"/>
                <w:iCs w:val="0"/>
              </w:rPr>
              <w:t>have identified that there is an inconsistency with the LS</w:t>
            </w:r>
            <w:r w:rsidR="00AF702E" w:rsidRPr="00FA2DCA">
              <w:rPr>
                <w:rFonts w:cs="Arial"/>
                <w:i w:val="0"/>
                <w:iCs w:val="0"/>
              </w:rPr>
              <w:t>L adm</w:t>
            </w:r>
            <w:r w:rsidR="002E4A39" w:rsidRPr="00941E90">
              <w:rPr>
                <w:rFonts w:cs="Arial"/>
                <w:i w:val="0"/>
                <w:iCs w:val="0"/>
              </w:rPr>
              <w:t>inistration</w:t>
            </w:r>
            <w:r w:rsidR="00AF702E" w:rsidRPr="00FA2DCA">
              <w:rPr>
                <w:rFonts w:cs="Arial"/>
                <w:i w:val="0"/>
                <w:iCs w:val="0"/>
              </w:rPr>
              <w:t xml:space="preserve"> com</w:t>
            </w:r>
            <w:r w:rsidR="00305757" w:rsidRPr="00FA2DCA">
              <w:rPr>
                <w:rFonts w:cs="Arial"/>
                <w:i w:val="0"/>
                <w:iCs w:val="0"/>
              </w:rPr>
              <w:t>pared</w:t>
            </w:r>
            <w:r w:rsidR="00AF702E" w:rsidRPr="00FA2DCA">
              <w:rPr>
                <w:rFonts w:cs="Arial"/>
                <w:i w:val="0"/>
                <w:iCs w:val="0"/>
              </w:rPr>
              <w:t xml:space="preserve"> to other </w:t>
            </w:r>
            <w:r>
              <w:rPr>
                <w:rFonts w:cs="Arial"/>
                <w:i w:val="0"/>
                <w:iCs w:val="0"/>
              </w:rPr>
              <w:t>regulatory frameworks and</w:t>
            </w:r>
            <w:r w:rsidR="00EC2382" w:rsidRPr="00941E90">
              <w:rPr>
                <w:rFonts w:cs="Arial"/>
                <w:i w:val="0"/>
                <w:iCs w:val="0"/>
              </w:rPr>
              <w:t xml:space="preserve"> this amendment will also </w:t>
            </w:r>
            <w:r w:rsidR="001D5958" w:rsidRPr="00FA2DCA">
              <w:rPr>
                <w:rFonts w:cs="Arial"/>
                <w:i w:val="0"/>
                <w:iCs w:val="0"/>
              </w:rPr>
              <w:t>facilitate</w:t>
            </w:r>
            <w:r w:rsidR="00305757" w:rsidRPr="00FA2DCA">
              <w:rPr>
                <w:rFonts w:cs="Arial"/>
                <w:i w:val="0"/>
                <w:iCs w:val="0"/>
              </w:rPr>
              <w:t xml:space="preserve"> consistency and harmonisation</w:t>
            </w:r>
            <w:r w:rsidR="00EC2382" w:rsidRPr="00FA2DCA">
              <w:rPr>
                <w:rFonts w:cs="Arial"/>
                <w:i w:val="0"/>
                <w:iCs w:val="0"/>
              </w:rPr>
              <w:t xml:space="preserve"> with model WHS laws</w:t>
            </w:r>
            <w:r w:rsidR="007307E2" w:rsidRPr="00FA2DCA">
              <w:rPr>
                <w:rFonts w:cs="Arial"/>
                <w:i w:val="0"/>
                <w:iCs w:val="0"/>
              </w:rPr>
              <w:t>.</w:t>
            </w:r>
            <w:r w:rsidR="004403D1" w:rsidRPr="00FA2DCA">
              <w:rPr>
                <w:rFonts w:cs="Arial"/>
                <w:i w:val="0"/>
                <w:iCs w:val="0"/>
              </w:rPr>
              <w:t xml:space="preserve"> </w:t>
            </w:r>
          </w:p>
        </w:tc>
      </w:tr>
      <w:tr w:rsidR="00AA0895" w:rsidRPr="00B31851" w14:paraId="2102FDDF" w14:textId="77777777" w:rsidTr="60450B89">
        <w:tc>
          <w:tcPr>
            <w:tcW w:w="1980" w:type="dxa"/>
          </w:tcPr>
          <w:p w14:paraId="0B84AC6F" w14:textId="1D93618F" w:rsidR="00B320C6" w:rsidRPr="00B31851" w:rsidRDefault="00B320C6"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64C5E613" w14:textId="1EB65FEA" w:rsidR="004A16B2" w:rsidRDefault="004A16B2" w:rsidP="00BB4383">
            <w:pPr>
              <w:rPr>
                <w:rFonts w:cs="Arial"/>
                <w:i w:val="0"/>
                <w:iCs w:val="0"/>
              </w:rPr>
            </w:pPr>
            <w:r>
              <w:rPr>
                <w:rFonts w:cs="Arial"/>
                <w:i w:val="0"/>
                <w:iCs w:val="0"/>
              </w:rPr>
              <w:t xml:space="preserve">Stakeholders have identified that there are currently difficulties for some employees to obtain their long service leave entitlements where they have accrued long service leave </w:t>
            </w:r>
            <w:r w:rsidR="009F6937">
              <w:rPr>
                <w:rFonts w:cs="Arial"/>
                <w:i w:val="0"/>
                <w:iCs w:val="0"/>
              </w:rPr>
              <w:t>credit,</w:t>
            </w:r>
            <w:r>
              <w:rPr>
                <w:rFonts w:cs="Arial"/>
                <w:i w:val="0"/>
                <w:iCs w:val="0"/>
              </w:rPr>
              <w:t xml:space="preserve"> and their employment has ceased. </w:t>
            </w:r>
          </w:p>
          <w:p w14:paraId="13FE0271" w14:textId="50AD1025" w:rsidR="004A16B2" w:rsidRDefault="004A16B2" w:rsidP="00BB4383">
            <w:pPr>
              <w:rPr>
                <w:rFonts w:cs="Arial"/>
                <w:i w:val="0"/>
                <w:iCs w:val="0"/>
              </w:rPr>
            </w:pPr>
            <w:r>
              <w:rPr>
                <w:rFonts w:cs="Arial"/>
                <w:i w:val="0"/>
                <w:iCs w:val="0"/>
              </w:rPr>
              <w:t xml:space="preserve">Section 11A currently includes a positive obligation on employers to provide a person with their long service leave entitlements, but without an offence attached there is no clear way to enforce it. </w:t>
            </w:r>
          </w:p>
          <w:p w14:paraId="2EB2E60A" w14:textId="6FBD7814" w:rsidR="004A16B2" w:rsidRDefault="004A16B2" w:rsidP="00BB4383">
            <w:pPr>
              <w:rPr>
                <w:rFonts w:cs="Arial"/>
                <w:i w:val="0"/>
                <w:iCs w:val="0"/>
              </w:rPr>
            </w:pPr>
            <w:r>
              <w:rPr>
                <w:rFonts w:cs="Arial"/>
                <w:i w:val="0"/>
                <w:iCs w:val="0"/>
              </w:rPr>
              <w:t>People can seek enforcement through section 13E of the LSL Act by making a complaint and having an authorised officer send a written notice to the employer, and failure to comply with this notice is an offence. However, in practice this is not a straightforward compliance pathway. It does not make the original obligation on the employer clear and requires an authorised officer to make two determinations</w:t>
            </w:r>
            <w:r w:rsidR="009F6937">
              <w:rPr>
                <w:rFonts w:cs="Arial"/>
                <w:i w:val="0"/>
                <w:iCs w:val="0"/>
              </w:rPr>
              <w:t>, including</w:t>
            </w:r>
            <w:r>
              <w:rPr>
                <w:rFonts w:cs="Arial"/>
                <w:i w:val="0"/>
                <w:iCs w:val="0"/>
              </w:rPr>
              <w:t xml:space="preserve"> whether section 11A has been complied with and whether 13E has been complied with. </w:t>
            </w:r>
          </w:p>
          <w:p w14:paraId="093D2D4E" w14:textId="2E540BC9" w:rsidR="004A16B2" w:rsidRDefault="004A16B2" w:rsidP="00BB4383">
            <w:pPr>
              <w:rPr>
                <w:rFonts w:cs="Arial"/>
                <w:i w:val="0"/>
                <w:iCs w:val="0"/>
              </w:rPr>
            </w:pPr>
            <w:r>
              <w:rPr>
                <w:rFonts w:cs="Arial"/>
                <w:i w:val="0"/>
                <w:iCs w:val="0"/>
              </w:rPr>
              <w:t xml:space="preserve">Amending section 11A brings this obligation in line with other obligations in the LSL Act. </w:t>
            </w:r>
          </w:p>
          <w:p w14:paraId="115A0B96" w14:textId="40CBA207" w:rsidR="00BB4383" w:rsidRPr="00B31851" w:rsidRDefault="00B320C6" w:rsidP="00BB4383">
            <w:pPr>
              <w:rPr>
                <w:rFonts w:cs="Arial"/>
                <w:i w:val="0"/>
                <w:iCs w:val="0"/>
              </w:rPr>
            </w:pPr>
            <w:r w:rsidRPr="00B31851">
              <w:rPr>
                <w:rFonts w:cs="Arial"/>
                <w:i w:val="0"/>
                <w:iCs w:val="0"/>
              </w:rPr>
              <w:t xml:space="preserve">The offence elements </w:t>
            </w:r>
            <w:r w:rsidR="00BB4383" w:rsidRPr="00B31851">
              <w:rPr>
                <w:rFonts w:cs="Arial"/>
                <w:i w:val="0"/>
                <w:iCs w:val="0"/>
              </w:rPr>
              <w:t xml:space="preserve">that define the </w:t>
            </w:r>
            <w:r w:rsidRPr="00B31851">
              <w:rPr>
                <w:rFonts w:cs="Arial"/>
                <w:i w:val="0"/>
                <w:iCs w:val="0"/>
              </w:rPr>
              <w:t xml:space="preserve">strict liability </w:t>
            </w:r>
            <w:r w:rsidR="00BB4383" w:rsidRPr="00B31851">
              <w:rPr>
                <w:rFonts w:cs="Arial"/>
                <w:i w:val="0"/>
                <w:iCs w:val="0"/>
              </w:rPr>
              <w:t xml:space="preserve">offence </w:t>
            </w:r>
            <w:r w:rsidR="006339F4">
              <w:rPr>
                <w:rFonts w:cs="Arial"/>
                <w:i w:val="0"/>
                <w:iCs w:val="0"/>
              </w:rPr>
              <w:t>were</w:t>
            </w:r>
            <w:r w:rsidRPr="00B31851">
              <w:rPr>
                <w:rFonts w:cs="Arial"/>
                <w:i w:val="0"/>
                <w:iCs w:val="0"/>
              </w:rPr>
              <w:t xml:space="preserve"> </w:t>
            </w:r>
            <w:r w:rsidR="00704D41">
              <w:rPr>
                <w:rFonts w:cs="Arial"/>
                <w:i w:val="0"/>
                <w:iCs w:val="0"/>
              </w:rPr>
              <w:t>carefully considered during the development of the model law amendments.</w:t>
            </w:r>
            <w:r w:rsidRPr="00B31851">
              <w:rPr>
                <w:rFonts w:cs="Arial"/>
                <w:i w:val="0"/>
                <w:iCs w:val="0"/>
              </w:rPr>
              <w:t xml:space="preserve"> </w:t>
            </w:r>
          </w:p>
          <w:p w14:paraId="7BD7CDE6" w14:textId="7810F2D1" w:rsidR="00B320C6" w:rsidRPr="00B31851" w:rsidRDefault="00FB0E82" w:rsidP="006C7307">
            <w:pPr>
              <w:rPr>
                <w:rFonts w:cs="Arial"/>
                <w:i w:val="0"/>
                <w:iCs w:val="0"/>
              </w:rPr>
            </w:pPr>
            <w:r w:rsidRPr="00941E90">
              <w:rPr>
                <w:rFonts w:cs="Arial"/>
                <w:i w:val="0"/>
                <w:iCs w:val="0"/>
              </w:rPr>
              <w:t>The ACT Standing Committee on Legal Affairs</w:t>
            </w:r>
            <w:r w:rsidR="006E7A30">
              <w:rPr>
                <w:rStyle w:val="FootnoteReference"/>
                <w:i w:val="0"/>
                <w:iCs w:val="0"/>
              </w:rPr>
              <w:footnoteReference w:id="6"/>
            </w:r>
            <w:r w:rsidRPr="00941E90">
              <w:rPr>
                <w:rFonts w:cs="Arial"/>
                <w:i w:val="0"/>
                <w:iCs w:val="0"/>
              </w:rPr>
              <w:t xml:space="preserve"> conducted an inquiry into strict and absolute liability offences and acknowledged their merit in regulatory contexts. While the Committee raised concerns about human rights implications, it also recognised that strict liability can be appropriate where the goal is to ensure compliance with safety obligations and protect public welfare. </w:t>
            </w:r>
            <w:r w:rsidR="009872A6">
              <w:rPr>
                <w:rFonts w:cs="Arial"/>
                <w:i w:val="0"/>
                <w:iCs w:val="0"/>
              </w:rPr>
              <w:t>Therefore, it</w:t>
            </w:r>
            <w:r w:rsidR="009872A6" w:rsidRPr="00323BFE">
              <w:rPr>
                <w:rFonts w:cs="Arial"/>
                <w:i w:val="0"/>
                <w:iCs w:val="0"/>
              </w:rPr>
              <w:t xml:space="preserve"> is intended that this measure will be effective in ensuring compliance under the </w:t>
            </w:r>
            <w:r w:rsidR="00853A19">
              <w:rPr>
                <w:rFonts w:cs="Arial"/>
                <w:i w:val="0"/>
                <w:iCs w:val="0"/>
              </w:rPr>
              <w:t xml:space="preserve">LSL </w:t>
            </w:r>
            <w:r w:rsidR="009872A6" w:rsidRPr="00323BFE">
              <w:rPr>
                <w:rFonts w:cs="Arial"/>
                <w:i w:val="0"/>
                <w:iCs w:val="0"/>
              </w:rPr>
              <w:t>Act through removing the need to prove intent, focusing instead on whether the duty was breached</w:t>
            </w:r>
            <w:r w:rsidR="009872A6">
              <w:rPr>
                <w:rFonts w:cs="Arial"/>
                <w:i w:val="0"/>
                <w:iCs w:val="0"/>
              </w:rPr>
              <w:t>.</w:t>
            </w:r>
          </w:p>
        </w:tc>
      </w:tr>
      <w:tr w:rsidR="00AA0895" w:rsidRPr="00B31851" w14:paraId="44ABEBBA" w14:textId="77777777" w:rsidTr="60450B89">
        <w:tc>
          <w:tcPr>
            <w:tcW w:w="1980" w:type="dxa"/>
          </w:tcPr>
          <w:p w14:paraId="0A3512ED" w14:textId="77AD0EF3" w:rsidR="006C7307" w:rsidRPr="00B31851" w:rsidRDefault="002B4E0C">
            <w:pPr>
              <w:rPr>
                <w:rFonts w:cs="Arial"/>
                <w:i w:val="0"/>
                <w:iCs w:val="0"/>
              </w:rPr>
            </w:pPr>
            <w:r w:rsidRPr="00B31851">
              <w:rPr>
                <w:rFonts w:cs="Arial"/>
                <w:i w:val="0"/>
                <w:iCs w:val="0"/>
              </w:rPr>
              <w:t>WHS Act amendment – statutory limitation period</w:t>
            </w:r>
          </w:p>
        </w:tc>
        <w:tc>
          <w:tcPr>
            <w:tcW w:w="7036" w:type="dxa"/>
          </w:tcPr>
          <w:p w14:paraId="273BB187" w14:textId="3A7598B8" w:rsidR="00D04B78" w:rsidRPr="00D04B78" w:rsidRDefault="00D04B78" w:rsidP="60450B89">
            <w:pPr>
              <w:rPr>
                <w:rFonts w:cs="Arial"/>
                <w:i w:val="0"/>
                <w:iCs w:val="0"/>
              </w:rPr>
            </w:pPr>
            <w:r w:rsidRPr="60450B89">
              <w:rPr>
                <w:rFonts w:cs="Arial"/>
                <w:i w:val="0"/>
                <w:iCs w:val="0"/>
              </w:rPr>
              <w:t xml:space="preserve">The amendment responds to the reality that serious WHS breaches may not be immediately apparent, especially in complex or high-risk environments. In </w:t>
            </w:r>
            <w:r w:rsidR="0032577C" w:rsidRPr="60450B89">
              <w:rPr>
                <w:rFonts w:cs="Arial"/>
              </w:rPr>
              <w:t xml:space="preserve">Agius v </w:t>
            </w:r>
            <w:r w:rsidRPr="60450B89">
              <w:rPr>
                <w:rFonts w:cs="Arial"/>
              </w:rPr>
              <w:t>JB Slab</w:t>
            </w:r>
            <w:r w:rsidR="0032577C" w:rsidRPr="60450B89">
              <w:rPr>
                <w:rFonts w:cs="Arial"/>
              </w:rPr>
              <w:t xml:space="preserve"> Pty Ltd</w:t>
            </w:r>
            <w:r w:rsidRPr="60450B89">
              <w:rPr>
                <w:rStyle w:val="FootnoteReference"/>
                <w:rFonts w:cs="Arial"/>
                <w:i w:val="0"/>
                <w:iCs w:val="0"/>
              </w:rPr>
              <w:footnoteReference w:id="7"/>
            </w:r>
            <w:r w:rsidRPr="60450B89">
              <w:rPr>
                <w:rFonts w:cs="Arial"/>
                <w:i w:val="0"/>
                <w:iCs w:val="0"/>
              </w:rPr>
              <w:t>, the collapse of the Rediwall structure and the serious injury to a vulnerable worker revealed systemic failures in training, supervision, and construction methods. These failures were only fully understood after detailed investigation, including structural engineering assessments and medical evaluations</w:t>
            </w:r>
            <w:r w:rsidR="005B62DD" w:rsidRPr="60450B89">
              <w:rPr>
                <w:rFonts w:cs="Arial"/>
                <w:i w:val="0"/>
                <w:iCs w:val="0"/>
              </w:rPr>
              <w:t>.</w:t>
            </w:r>
            <w:r w:rsidR="00C82F4F" w:rsidRPr="60450B89">
              <w:rPr>
                <w:rFonts w:cs="Arial"/>
                <w:i w:val="0"/>
                <w:iCs w:val="0"/>
              </w:rPr>
              <w:t xml:space="preserve"> </w:t>
            </w:r>
            <w:r w:rsidRPr="60450B89">
              <w:rPr>
                <w:rFonts w:cs="Arial"/>
                <w:i w:val="0"/>
                <w:iCs w:val="0"/>
              </w:rPr>
              <w:t xml:space="preserve">In many </w:t>
            </w:r>
            <w:r w:rsidRPr="60450B89">
              <w:rPr>
                <w:rFonts w:cs="Arial"/>
                <w:i w:val="0"/>
                <w:iCs w:val="0"/>
              </w:rPr>
              <w:lastRenderedPageBreak/>
              <w:t xml:space="preserve">cases, such as those involving delayed-onset illnesses (e.g. silicosis) or hidden structural risks, the regulator may not become aware of the full extent of the breach until well after the incident. The previous </w:t>
            </w:r>
            <w:r w:rsidR="004D4E28" w:rsidRPr="60450B89">
              <w:rPr>
                <w:rFonts w:cs="Arial"/>
                <w:i w:val="0"/>
                <w:iCs w:val="0"/>
              </w:rPr>
              <w:t>and rigid application of the</w:t>
            </w:r>
            <w:r w:rsidRPr="60450B89">
              <w:rPr>
                <w:rFonts w:cs="Arial"/>
                <w:i w:val="0"/>
                <w:iCs w:val="0"/>
              </w:rPr>
              <w:t xml:space="preserve"> two-year limitation period could prevent prosecution even when serious harm has occurred.</w:t>
            </w:r>
          </w:p>
          <w:p w14:paraId="241E585F" w14:textId="6B68C784" w:rsidR="00A1379E" w:rsidRPr="00E85505" w:rsidRDefault="00A1379E" w:rsidP="00A1379E">
            <w:pPr>
              <w:rPr>
                <w:rFonts w:cs="Arial"/>
                <w:i w:val="0"/>
              </w:rPr>
            </w:pPr>
            <w:r w:rsidRPr="00E85505">
              <w:rPr>
                <w:rFonts w:cs="Arial"/>
                <w:i w:val="0"/>
              </w:rPr>
              <w:t xml:space="preserve">The amendment’s limitation </w:t>
            </w:r>
            <w:r w:rsidR="00EB3451">
              <w:rPr>
                <w:rFonts w:cs="Arial"/>
                <w:i w:val="0"/>
              </w:rPr>
              <w:t xml:space="preserve">on </w:t>
            </w:r>
            <w:r w:rsidR="003C65C5">
              <w:rPr>
                <w:rFonts w:cs="Arial"/>
                <w:i w:val="0"/>
              </w:rPr>
              <w:t xml:space="preserve">rights in criminal proceedings, </w:t>
            </w:r>
            <w:r w:rsidRPr="00E85505">
              <w:rPr>
                <w:rFonts w:cs="Arial"/>
                <w:i w:val="0"/>
              </w:rPr>
              <w:t>is </w:t>
            </w:r>
            <w:r w:rsidRPr="00941E90">
              <w:rPr>
                <w:rFonts w:cs="Arial"/>
                <w:i w:val="0"/>
              </w:rPr>
              <w:t>rationally connected</w:t>
            </w:r>
            <w:r w:rsidRPr="00E85505">
              <w:rPr>
                <w:rFonts w:cs="Arial"/>
                <w:i w:val="0"/>
              </w:rPr>
              <w:t xml:space="preserve"> to the purpose of ensuring that serious breaches are not shielded from scrutiny due to procedural technicalities. </w:t>
            </w:r>
          </w:p>
          <w:p w14:paraId="3123C792" w14:textId="431DA36E" w:rsidR="006C7307" w:rsidRPr="00E85505" w:rsidRDefault="00A1379E">
            <w:pPr>
              <w:rPr>
                <w:rFonts w:cs="Arial"/>
                <w:i w:val="0"/>
              </w:rPr>
            </w:pPr>
            <w:r w:rsidRPr="00E85505">
              <w:rPr>
                <w:rFonts w:cs="Arial"/>
                <w:i w:val="0"/>
              </w:rPr>
              <w:t>By enabling more thorough investigations and ensuring accountability, the amendment strengthens the WHS framework’s capacity to protect workers and uphold public safety. The connection between the limitation and its purpose is both logical and necessary, given the complexity and gravity of WHS offences and the public interest in ensuring that duty holders are held to account.</w:t>
            </w:r>
          </w:p>
        </w:tc>
      </w:tr>
      <w:tr w:rsidR="00AA0895" w:rsidRPr="00B31851" w14:paraId="71592ACF" w14:textId="77777777" w:rsidTr="60450B89">
        <w:tc>
          <w:tcPr>
            <w:tcW w:w="1980" w:type="dxa"/>
          </w:tcPr>
          <w:p w14:paraId="41038DB3" w14:textId="77777777" w:rsidR="00660593" w:rsidRDefault="000453F5">
            <w:pPr>
              <w:rPr>
                <w:rFonts w:cs="Arial"/>
                <w:i w:val="0"/>
                <w:iCs w:val="0"/>
              </w:rPr>
            </w:pPr>
            <w:r w:rsidRPr="00B31851">
              <w:rPr>
                <w:rFonts w:cs="Arial"/>
                <w:i w:val="0"/>
                <w:iCs w:val="0"/>
              </w:rPr>
              <w:lastRenderedPageBreak/>
              <w:t>WHS Act amendment – s39A</w:t>
            </w:r>
            <w:r w:rsidR="00214A9F">
              <w:rPr>
                <w:rFonts w:cs="Arial"/>
                <w:i w:val="0"/>
                <w:iCs w:val="0"/>
              </w:rPr>
              <w:t xml:space="preserve"> </w:t>
            </w:r>
            <w:r w:rsidRPr="00B31851">
              <w:rPr>
                <w:rFonts w:cs="Arial"/>
                <w:i w:val="0"/>
                <w:iCs w:val="0"/>
              </w:rPr>
              <w:t>(1) and (2) strict liability offences</w:t>
            </w:r>
          </w:p>
          <w:p w14:paraId="51B607C1" w14:textId="49B26687" w:rsidR="00433559" w:rsidRPr="00B31851" w:rsidRDefault="00433559">
            <w:pPr>
              <w:rPr>
                <w:rFonts w:cs="Arial"/>
                <w:i w:val="0"/>
                <w:iCs w:val="0"/>
              </w:rPr>
            </w:pPr>
          </w:p>
        </w:tc>
        <w:tc>
          <w:tcPr>
            <w:tcW w:w="7036" w:type="dxa"/>
          </w:tcPr>
          <w:p w14:paraId="3E2DCF73" w14:textId="0A90BFD9" w:rsidR="005C3E34" w:rsidRDefault="005C3E34" w:rsidP="00433559">
            <w:pPr>
              <w:rPr>
                <w:rFonts w:cs="Arial"/>
                <w:i w:val="0"/>
              </w:rPr>
            </w:pPr>
            <w:r w:rsidRPr="0067185A">
              <w:rPr>
                <w:rFonts w:cs="Arial"/>
                <w:i w:val="0"/>
              </w:rPr>
              <w:t>The offences incorporating strict liability elements have been carefully considered during the Bill’s development. The strict liability offences arise in a regulatory context where, for reasons such as public safety, the public interest in ensuring that regulatory schemes</w:t>
            </w:r>
            <w:r>
              <w:rPr>
                <w:rFonts w:cs="Arial"/>
                <w:i w:val="0"/>
              </w:rPr>
              <w:t xml:space="preserve"> </w:t>
            </w:r>
            <w:r w:rsidRPr="0067185A">
              <w:rPr>
                <w:rFonts w:cs="Arial"/>
                <w:i w:val="0"/>
              </w:rPr>
              <w:t>are observed, requires the sanction of criminal penalties.</w:t>
            </w:r>
            <w:r w:rsidR="001E3F51">
              <w:rPr>
                <w:rFonts w:cs="Arial"/>
                <w:i w:val="0"/>
              </w:rPr>
              <w:t xml:space="preserve"> In this case, a strict liability offence will ensure that enforcement of a duty holder’s duty to notify a person with management or control of the workplace about a notifiable incident is a straightforward as possible. </w:t>
            </w:r>
          </w:p>
          <w:p w14:paraId="78F34764" w14:textId="77777777" w:rsidR="005C3E34" w:rsidRPr="001C5E61" w:rsidRDefault="005C3E34" w:rsidP="005C3E34">
            <w:pPr>
              <w:rPr>
                <w:rFonts w:cs="Arial"/>
                <w:i w:val="0"/>
                <w:iCs w:val="0"/>
              </w:rPr>
            </w:pPr>
            <w:r>
              <w:rPr>
                <w:rFonts w:cs="Arial"/>
                <w:i w:val="0"/>
                <w:iCs w:val="0"/>
              </w:rPr>
              <w:t>Model</w:t>
            </w:r>
            <w:r w:rsidRPr="001C5E61">
              <w:rPr>
                <w:rFonts w:cs="Arial"/>
                <w:i w:val="0"/>
                <w:iCs w:val="0"/>
              </w:rPr>
              <w:t xml:space="preserve"> </w:t>
            </w:r>
            <w:r>
              <w:rPr>
                <w:rFonts w:cs="Arial"/>
                <w:i w:val="0"/>
                <w:iCs w:val="0"/>
              </w:rPr>
              <w:t>WHS</w:t>
            </w:r>
            <w:r w:rsidRPr="001C5E61">
              <w:rPr>
                <w:rFonts w:cs="Arial"/>
                <w:i w:val="0"/>
                <w:iCs w:val="0"/>
              </w:rPr>
              <w:t xml:space="preserve"> laws </w:t>
            </w:r>
            <w:r>
              <w:rPr>
                <w:rFonts w:cs="Arial"/>
                <w:i w:val="0"/>
                <w:iCs w:val="0"/>
              </w:rPr>
              <w:t xml:space="preserve">have been </w:t>
            </w:r>
            <w:r w:rsidRPr="001C5E61">
              <w:rPr>
                <w:rFonts w:cs="Arial"/>
                <w:i w:val="0"/>
                <w:iCs w:val="0"/>
              </w:rPr>
              <w:t>developed by Safe Work Australia</w:t>
            </w:r>
            <w:r>
              <w:rPr>
                <w:rFonts w:cs="Arial"/>
                <w:i w:val="0"/>
                <w:iCs w:val="0"/>
              </w:rPr>
              <w:t xml:space="preserve"> </w:t>
            </w:r>
            <w:r w:rsidRPr="001C5E61">
              <w:rPr>
                <w:rFonts w:cs="Arial"/>
                <w:i w:val="0"/>
                <w:iCs w:val="0"/>
              </w:rPr>
              <w:t xml:space="preserve">to provide a nationally consistent framework for securing the health and safety of workers across Australia. </w:t>
            </w:r>
            <w:r>
              <w:rPr>
                <w:rFonts w:cs="Arial"/>
                <w:i w:val="0"/>
                <w:iCs w:val="0"/>
              </w:rPr>
              <w:t>The model WHS laws are developed, reviewed and administered by an independent tripartite statutory body, Safe Work Australia, through a process involving all jurisdictions as well as employer and worker representatives.</w:t>
            </w:r>
          </w:p>
          <w:p w14:paraId="4BEAF971" w14:textId="2806B2DA" w:rsidR="005C3E34" w:rsidRPr="001C5E61" w:rsidRDefault="005C3E34" w:rsidP="005C3E34">
            <w:pPr>
              <w:rPr>
                <w:rFonts w:cs="Arial"/>
                <w:i w:val="0"/>
                <w:iCs w:val="0"/>
              </w:rPr>
            </w:pPr>
            <w:r w:rsidRPr="001C5E61">
              <w:rPr>
                <w:rFonts w:cs="Arial"/>
                <w:i w:val="0"/>
                <w:iCs w:val="0"/>
              </w:rPr>
              <w:t>Since their introduction in 2011, these laws have been implemented in all jurisdictions except Victoria, with each jurisdiction adapting the model to suit local legislative protocols</w:t>
            </w:r>
            <w:r>
              <w:rPr>
                <w:rFonts w:cs="Arial"/>
                <w:i w:val="0"/>
                <w:iCs w:val="0"/>
              </w:rPr>
              <w:t xml:space="preserve">. </w:t>
            </w:r>
            <w:r w:rsidRPr="001C5E61">
              <w:rPr>
                <w:rFonts w:cs="Arial"/>
                <w:i w:val="0"/>
                <w:iCs w:val="0"/>
              </w:rPr>
              <w:t>The harmonised approach has significantly reduced regulatory complexity for businesses operating across multiple states and territories, while promoting equitable standards of protection for workers </w:t>
            </w:r>
          </w:p>
          <w:p w14:paraId="29547994" w14:textId="10705306" w:rsidR="005C3E34" w:rsidRDefault="005C3E34" w:rsidP="005C3E34">
            <w:pPr>
              <w:rPr>
                <w:rFonts w:cs="Arial"/>
                <w:i w:val="0"/>
                <w:iCs w:val="0"/>
              </w:rPr>
            </w:pPr>
            <w:r w:rsidRPr="001C5E61">
              <w:rPr>
                <w:rFonts w:cs="Arial"/>
                <w:i w:val="0"/>
                <w:iCs w:val="0"/>
              </w:rPr>
              <w:t>A key feature of the model WHS laws is the use of strict liability offences, particularly in regulatory contexts where public safety and the integrity of the system are paramount. These offences are designed to ensure that duty holders</w:t>
            </w:r>
            <w:r>
              <w:rPr>
                <w:rFonts w:cs="Arial"/>
                <w:i w:val="0"/>
                <w:iCs w:val="0"/>
              </w:rPr>
              <w:t xml:space="preserve">, </w:t>
            </w:r>
            <w:r w:rsidRPr="001C5E61">
              <w:rPr>
                <w:rFonts w:cs="Arial"/>
                <w:i w:val="0"/>
                <w:iCs w:val="0"/>
              </w:rPr>
              <w:t>PCBUs, officers, and those in control of work environments</w:t>
            </w:r>
            <w:r>
              <w:rPr>
                <w:rFonts w:cs="Arial"/>
                <w:i w:val="0"/>
                <w:iCs w:val="0"/>
              </w:rPr>
              <w:t xml:space="preserve">, </w:t>
            </w:r>
            <w:r w:rsidRPr="001C5E61">
              <w:rPr>
                <w:rFonts w:cs="Arial"/>
                <w:i w:val="0"/>
                <w:iCs w:val="0"/>
              </w:rPr>
              <w:t xml:space="preserve">are held accountable for compliance, regardless of intent. This is justified by the professional nature of these roles, where individuals and entities </w:t>
            </w:r>
            <w:r w:rsidRPr="001C5E61">
              <w:rPr>
                <w:rFonts w:cs="Arial"/>
                <w:i w:val="0"/>
                <w:iCs w:val="0"/>
              </w:rPr>
              <w:lastRenderedPageBreak/>
              <w:t>are expected to be aware of their legal obligations and operate with a high standard of care</w:t>
            </w:r>
            <w:r>
              <w:rPr>
                <w:rFonts w:cs="Arial"/>
                <w:i w:val="0"/>
                <w:iCs w:val="0"/>
              </w:rPr>
              <w:t>.</w:t>
            </w:r>
          </w:p>
          <w:p w14:paraId="19DA4EA0" w14:textId="3D404592" w:rsidR="00FD4239" w:rsidRDefault="005C3E34" w:rsidP="00433559">
            <w:pPr>
              <w:rPr>
                <w:rFonts w:cs="Arial"/>
                <w:i w:val="0"/>
                <w:iCs w:val="0"/>
              </w:rPr>
            </w:pPr>
            <w:r>
              <w:rPr>
                <w:rFonts w:cs="Arial"/>
                <w:i w:val="0"/>
                <w:iCs w:val="0"/>
              </w:rPr>
              <w:t>Additionally, t</w:t>
            </w:r>
            <w:r w:rsidR="00433559" w:rsidRPr="60450B89">
              <w:rPr>
                <w:rFonts w:cs="Arial"/>
                <w:i w:val="0"/>
                <w:iCs w:val="0"/>
              </w:rPr>
              <w:t xml:space="preserve">he offences incorporating strict liability elements have been carefully considered during the development of the model law changes. </w:t>
            </w:r>
            <w:r w:rsidR="0028400E" w:rsidRPr="60450B89">
              <w:rPr>
                <w:rFonts w:cs="Arial"/>
                <w:i w:val="0"/>
                <w:iCs w:val="0"/>
              </w:rPr>
              <w:t xml:space="preserve">The </w:t>
            </w:r>
            <w:r w:rsidR="000E65BB" w:rsidRPr="60450B89">
              <w:rPr>
                <w:rFonts w:cs="Arial"/>
                <w:i w:val="0"/>
                <w:iCs w:val="0"/>
              </w:rPr>
              <w:t xml:space="preserve">ACT Government’s </w:t>
            </w:r>
            <w:r w:rsidR="0028400E" w:rsidRPr="60450B89">
              <w:rPr>
                <w:rFonts w:cs="Arial"/>
                <w:i w:val="0"/>
                <w:iCs w:val="0"/>
              </w:rPr>
              <w:t xml:space="preserve">Guide for </w:t>
            </w:r>
            <w:r w:rsidR="000E65BB" w:rsidRPr="60450B89">
              <w:rPr>
                <w:rFonts w:cs="Arial"/>
                <w:i w:val="0"/>
                <w:iCs w:val="0"/>
              </w:rPr>
              <w:t>F</w:t>
            </w:r>
            <w:r w:rsidR="0028400E" w:rsidRPr="60450B89">
              <w:rPr>
                <w:rFonts w:cs="Arial"/>
                <w:i w:val="0"/>
                <w:iCs w:val="0"/>
              </w:rPr>
              <w:t xml:space="preserve">raming </w:t>
            </w:r>
            <w:r w:rsidR="000E65BB" w:rsidRPr="60450B89">
              <w:rPr>
                <w:rFonts w:cs="Arial"/>
                <w:i w:val="0"/>
                <w:iCs w:val="0"/>
              </w:rPr>
              <w:t>O</w:t>
            </w:r>
            <w:r w:rsidR="0028400E" w:rsidRPr="60450B89">
              <w:rPr>
                <w:rFonts w:cs="Arial"/>
                <w:i w:val="0"/>
                <w:iCs w:val="0"/>
              </w:rPr>
              <w:t xml:space="preserve">ffences was </w:t>
            </w:r>
            <w:r>
              <w:rPr>
                <w:rFonts w:cs="Arial"/>
                <w:i w:val="0"/>
                <w:iCs w:val="0"/>
              </w:rPr>
              <w:t xml:space="preserve">also </w:t>
            </w:r>
            <w:r w:rsidR="007B2E1A" w:rsidRPr="60450B89">
              <w:rPr>
                <w:rFonts w:cs="Arial"/>
                <w:i w:val="0"/>
                <w:iCs w:val="0"/>
              </w:rPr>
              <w:t>strongly</w:t>
            </w:r>
            <w:r w:rsidR="008A1845" w:rsidRPr="60450B89">
              <w:rPr>
                <w:rFonts w:cs="Arial"/>
                <w:i w:val="0"/>
                <w:iCs w:val="0"/>
              </w:rPr>
              <w:t xml:space="preserve"> considered </w:t>
            </w:r>
            <w:r w:rsidR="007B2E1A" w:rsidRPr="60450B89">
              <w:rPr>
                <w:rFonts w:cs="Arial"/>
                <w:i w:val="0"/>
                <w:iCs w:val="0"/>
              </w:rPr>
              <w:t>when developing this amendment.</w:t>
            </w:r>
            <w:r w:rsidR="007B2E1A" w:rsidRPr="60450B89">
              <w:rPr>
                <w:rStyle w:val="FootnoteReference"/>
                <w:i w:val="0"/>
                <w:iCs w:val="0"/>
              </w:rPr>
              <w:footnoteReference w:id="8"/>
            </w:r>
            <w:r w:rsidR="007B2E1A" w:rsidRPr="60450B89">
              <w:rPr>
                <w:rFonts w:cs="Arial"/>
                <w:i w:val="0"/>
                <w:iCs w:val="0"/>
              </w:rPr>
              <w:t xml:space="preserve"> </w:t>
            </w:r>
            <w:r w:rsidR="00B44F30" w:rsidRPr="60450B89">
              <w:rPr>
                <w:rFonts w:cs="Arial"/>
                <w:i w:val="0"/>
                <w:iCs w:val="0"/>
              </w:rPr>
              <w:t xml:space="preserve">Strict liability offences are </w:t>
            </w:r>
            <w:r>
              <w:rPr>
                <w:rFonts w:cs="Arial"/>
                <w:i w:val="0"/>
                <w:iCs w:val="0"/>
              </w:rPr>
              <w:t xml:space="preserve">frequently </w:t>
            </w:r>
            <w:r w:rsidR="00B44F30" w:rsidRPr="60450B89">
              <w:rPr>
                <w:rFonts w:cs="Arial"/>
                <w:i w:val="0"/>
                <w:iCs w:val="0"/>
              </w:rPr>
              <w:t xml:space="preserve">used in </w:t>
            </w:r>
            <w:r>
              <w:rPr>
                <w:rFonts w:cs="Arial"/>
                <w:i w:val="0"/>
                <w:iCs w:val="0"/>
              </w:rPr>
              <w:t xml:space="preserve">ACT </w:t>
            </w:r>
            <w:r w:rsidR="00B44F30" w:rsidRPr="60450B89">
              <w:rPr>
                <w:rFonts w:cs="Arial"/>
                <w:i w:val="0"/>
                <w:iCs w:val="0"/>
              </w:rPr>
              <w:t xml:space="preserve">regulatory contexts where public safety and the integrity of regulatory schemes are paramount. </w:t>
            </w:r>
            <w:r w:rsidR="00360D0C" w:rsidRPr="60450B89">
              <w:rPr>
                <w:rFonts w:cs="Arial"/>
                <w:i w:val="0"/>
                <w:iCs w:val="0"/>
              </w:rPr>
              <w:t xml:space="preserve"> </w:t>
            </w:r>
          </w:p>
          <w:p w14:paraId="6CCB8791" w14:textId="06ED56AB" w:rsidR="001C5E61" w:rsidRPr="001C5E61" w:rsidRDefault="003F5489" w:rsidP="001C5E61">
            <w:pPr>
              <w:rPr>
                <w:rFonts w:cs="Arial"/>
                <w:i w:val="0"/>
                <w:iCs w:val="0"/>
              </w:rPr>
            </w:pPr>
            <w:r w:rsidRPr="00B31851">
              <w:rPr>
                <w:rFonts w:cs="Arial"/>
                <w:i w:val="0"/>
                <w:iCs w:val="0"/>
              </w:rPr>
              <w:t xml:space="preserve">It is noted that the </w:t>
            </w:r>
            <w:r w:rsidR="004A16B2">
              <w:rPr>
                <w:rFonts w:cs="Arial"/>
                <w:i w:val="0"/>
                <w:iCs w:val="0"/>
              </w:rPr>
              <w:t xml:space="preserve">tiered </w:t>
            </w:r>
            <w:r w:rsidRPr="00B31851">
              <w:rPr>
                <w:rFonts w:cs="Arial"/>
                <w:i w:val="0"/>
                <w:iCs w:val="0"/>
              </w:rPr>
              <w:t>monetary penalties</w:t>
            </w:r>
            <w:r>
              <w:rPr>
                <w:rFonts w:cs="Arial"/>
                <w:i w:val="0"/>
                <w:iCs w:val="0"/>
              </w:rPr>
              <w:t xml:space="preserve"> of </w:t>
            </w:r>
            <w:r w:rsidRPr="00B31851">
              <w:rPr>
                <w:rFonts w:cs="Arial"/>
                <w:i w:val="0"/>
                <w:iCs w:val="0"/>
              </w:rPr>
              <w:t>$</w:t>
            </w:r>
            <w:r w:rsidRPr="006E4F46">
              <w:rPr>
                <w:rFonts w:cs="Arial"/>
                <w:i w:val="0"/>
              </w:rPr>
              <w:t>14,000</w:t>
            </w:r>
            <w:r w:rsidRPr="00B31851">
              <w:rPr>
                <w:rFonts w:cs="Arial"/>
                <w:i w:val="0"/>
                <w:iCs w:val="0"/>
              </w:rPr>
              <w:t xml:space="preserve"> for individuals and $</w:t>
            </w:r>
            <w:r w:rsidRPr="006E4F46">
              <w:rPr>
                <w:rFonts w:cs="Arial"/>
                <w:i w:val="0"/>
              </w:rPr>
              <w:t>7</w:t>
            </w:r>
            <w:r w:rsidRPr="00B31851">
              <w:rPr>
                <w:rFonts w:cs="Arial"/>
                <w:i w:val="0"/>
                <w:iCs w:val="0"/>
              </w:rPr>
              <w:t xml:space="preserve">0,000 for body corporate organisations </w:t>
            </w:r>
            <w:r>
              <w:rPr>
                <w:rFonts w:cs="Arial"/>
                <w:i w:val="0"/>
                <w:iCs w:val="0"/>
              </w:rPr>
              <w:t>have also been based on and are reflective of</w:t>
            </w:r>
            <w:r w:rsidRPr="00B31851">
              <w:rPr>
                <w:rFonts w:cs="Arial"/>
                <w:i w:val="0"/>
                <w:iCs w:val="0"/>
              </w:rPr>
              <w:t xml:space="preserve"> the national model WHS law</w:t>
            </w:r>
            <w:r>
              <w:rPr>
                <w:rFonts w:cs="Arial"/>
                <w:i w:val="0"/>
                <w:iCs w:val="0"/>
              </w:rPr>
              <w:t>s</w:t>
            </w:r>
            <w:r w:rsidRPr="00B31851">
              <w:rPr>
                <w:rFonts w:cs="Arial"/>
                <w:i w:val="0"/>
                <w:iCs w:val="0"/>
              </w:rPr>
              <w:t>.</w:t>
            </w:r>
            <w:r>
              <w:rPr>
                <w:rFonts w:cs="Arial"/>
                <w:i w:val="0"/>
                <w:iCs w:val="0"/>
              </w:rPr>
              <w:t xml:space="preserve"> </w:t>
            </w:r>
          </w:p>
          <w:p w14:paraId="29608A65" w14:textId="0559CDED" w:rsidR="001C5E61" w:rsidRPr="001C5E61" w:rsidRDefault="001C5E61" w:rsidP="001C5E61">
            <w:pPr>
              <w:rPr>
                <w:rFonts w:cs="Arial"/>
                <w:i w:val="0"/>
                <w:iCs w:val="0"/>
              </w:rPr>
            </w:pPr>
            <w:r w:rsidRPr="001C5E61">
              <w:rPr>
                <w:rFonts w:cs="Arial"/>
                <w:i w:val="0"/>
                <w:iCs w:val="0"/>
              </w:rPr>
              <w:t>The effectiveness of strict liability provisions is reflected in the enforcement mechanisms and penalties prescribed under the model WHS Act. These include tiered monetary penalties and, in some jurisdictions, provisions for industrial manslaughter, which carry significant fines and imprisonment terms</w:t>
            </w:r>
            <w:r>
              <w:rPr>
                <w:rFonts w:cs="Arial"/>
                <w:i w:val="0"/>
                <w:iCs w:val="0"/>
              </w:rPr>
              <w:t xml:space="preserve">. </w:t>
            </w:r>
            <w:r w:rsidRPr="001C5E61">
              <w:rPr>
                <w:rFonts w:cs="Arial"/>
                <w:i w:val="0"/>
                <w:iCs w:val="0"/>
              </w:rPr>
              <w:t>Such measures serve as strong deterrents and reinforce the importance of proactive compliance with WHS duties.</w:t>
            </w:r>
          </w:p>
          <w:p w14:paraId="4F54554C" w14:textId="5D399560" w:rsidR="00127FAE" w:rsidRPr="00B31851" w:rsidRDefault="001C5E61" w:rsidP="000E65BB">
            <w:pPr>
              <w:rPr>
                <w:rFonts w:cs="Arial"/>
                <w:i w:val="0"/>
                <w:iCs w:val="0"/>
              </w:rPr>
            </w:pPr>
            <w:r w:rsidRPr="001C5E61">
              <w:rPr>
                <w:rFonts w:cs="Arial"/>
                <w:i w:val="0"/>
                <w:iCs w:val="0"/>
              </w:rPr>
              <w:t>Empirical research has shown that while harmonisation of laws is essential, the effectiveness of WHS regulation also depends heavily on how regulators support, inspect, and enforce these laws. Regulators across jurisdictions operate under a shared statutory framework and collaborate through national policies such as the National Compliance and Enforcement Policy. This has helped maintain consistency in enforcement practices, although variations in resources and priorities can influence outcomes </w:t>
            </w:r>
          </w:p>
        </w:tc>
      </w:tr>
      <w:tr w:rsidR="00AA0895" w:rsidRPr="00B31851" w14:paraId="778ACA3A" w14:textId="77777777" w:rsidTr="60450B89">
        <w:tc>
          <w:tcPr>
            <w:tcW w:w="1980" w:type="dxa"/>
          </w:tcPr>
          <w:p w14:paraId="127F278C" w14:textId="6BB9D9B0" w:rsidR="006C7307" w:rsidRPr="00B31851" w:rsidRDefault="00AC6C23">
            <w:pPr>
              <w:rPr>
                <w:rFonts w:cs="Arial"/>
                <w:i w:val="0"/>
                <w:iCs w:val="0"/>
              </w:rPr>
            </w:pPr>
            <w:r w:rsidRPr="00B31851">
              <w:rPr>
                <w:rFonts w:cs="Arial"/>
                <w:i w:val="0"/>
                <w:iCs w:val="0"/>
              </w:rPr>
              <w:lastRenderedPageBreak/>
              <w:t>WC Act amendment – statutory limitation period</w:t>
            </w:r>
          </w:p>
        </w:tc>
        <w:tc>
          <w:tcPr>
            <w:tcW w:w="7036" w:type="dxa"/>
          </w:tcPr>
          <w:p w14:paraId="435366AB" w14:textId="27CA65F0" w:rsidR="000413BF" w:rsidRPr="00B31851" w:rsidRDefault="00BD5A3F" w:rsidP="000413BF">
            <w:pPr>
              <w:rPr>
                <w:rFonts w:cs="Arial"/>
                <w:i w:val="0"/>
                <w:iCs w:val="0"/>
              </w:rPr>
            </w:pPr>
            <w:r w:rsidRPr="00B31851">
              <w:rPr>
                <w:rFonts w:cs="Arial"/>
                <w:i w:val="0"/>
                <w:iCs w:val="0"/>
              </w:rPr>
              <w:t xml:space="preserve">Extending the prosecution timeframe helps to achieve the objective of improving enforcement. The current </w:t>
            </w:r>
            <w:r w:rsidR="007751E8">
              <w:rPr>
                <w:rFonts w:cs="Arial"/>
                <w:i w:val="0"/>
                <w:iCs w:val="0"/>
              </w:rPr>
              <w:t>1</w:t>
            </w:r>
            <w:r w:rsidRPr="00B31851">
              <w:rPr>
                <w:rFonts w:cs="Arial"/>
                <w:i w:val="0"/>
                <w:iCs w:val="0"/>
              </w:rPr>
              <w:t>-year limit has proven inadequate due to the complexity of investigations and the time it take</w:t>
            </w:r>
            <w:r w:rsidR="005F0B89" w:rsidRPr="00B31851">
              <w:rPr>
                <w:rFonts w:cs="Arial"/>
                <w:i w:val="0"/>
                <w:iCs w:val="0"/>
              </w:rPr>
              <w:t>s</w:t>
            </w:r>
            <w:r w:rsidRPr="00B31851">
              <w:rPr>
                <w:rFonts w:cs="Arial"/>
                <w:i w:val="0"/>
                <w:iCs w:val="0"/>
              </w:rPr>
              <w:t xml:space="preserve"> to gather all relevant evidence.</w:t>
            </w:r>
            <w:r w:rsidR="000413BF" w:rsidRPr="00B31851">
              <w:rPr>
                <w:rFonts w:cs="Arial"/>
                <w:i w:val="0"/>
                <w:iCs w:val="0"/>
              </w:rPr>
              <w:t xml:space="preserve"> Th</w:t>
            </w:r>
            <w:r w:rsidR="001E3F51">
              <w:rPr>
                <w:rFonts w:cs="Arial"/>
                <w:i w:val="0"/>
                <w:iCs w:val="0"/>
              </w:rPr>
              <w:t>e</w:t>
            </w:r>
            <w:r w:rsidR="000413BF" w:rsidRPr="00B31851">
              <w:rPr>
                <w:rFonts w:cs="Arial"/>
                <w:i w:val="0"/>
                <w:iCs w:val="0"/>
              </w:rPr>
              <w:t xml:space="preserve"> discrepancy</w:t>
            </w:r>
            <w:r w:rsidR="001E3F51">
              <w:rPr>
                <w:rFonts w:cs="Arial"/>
                <w:i w:val="0"/>
                <w:iCs w:val="0"/>
              </w:rPr>
              <w:t xml:space="preserve"> between</w:t>
            </w:r>
            <w:r w:rsidR="00F27811">
              <w:rPr>
                <w:rFonts w:cs="Arial"/>
                <w:i w:val="0"/>
                <w:iCs w:val="0"/>
              </w:rPr>
              <w:t xml:space="preserve"> this </w:t>
            </w:r>
            <w:r w:rsidR="000413BF" w:rsidRPr="003A012B">
              <w:rPr>
                <w:rFonts w:cs="Arial"/>
                <w:i w:val="0"/>
              </w:rPr>
              <w:t>limitation</w:t>
            </w:r>
            <w:r w:rsidR="00F27811">
              <w:rPr>
                <w:rFonts w:cs="Arial"/>
                <w:i w:val="0"/>
                <w:iCs w:val="0"/>
              </w:rPr>
              <w:t xml:space="preserve"> period</w:t>
            </w:r>
            <w:r w:rsidR="001E3F51">
              <w:rPr>
                <w:rFonts w:cs="Arial"/>
                <w:i w:val="0"/>
                <w:iCs w:val="0"/>
              </w:rPr>
              <w:t xml:space="preserve"> and the limitation period for the other offences listed in section 202(1)</w:t>
            </w:r>
            <w:r w:rsidR="000413BF" w:rsidRPr="00B31851">
              <w:rPr>
                <w:rFonts w:cs="Arial"/>
                <w:i w:val="0"/>
                <w:iCs w:val="0"/>
              </w:rPr>
              <w:t xml:space="preserve"> </w:t>
            </w:r>
            <w:r w:rsidR="00EC57EA" w:rsidRPr="00B31851">
              <w:rPr>
                <w:rFonts w:cs="Arial"/>
                <w:i w:val="0"/>
                <w:iCs w:val="0"/>
              </w:rPr>
              <w:t xml:space="preserve">has caused </w:t>
            </w:r>
            <w:r w:rsidR="000413BF" w:rsidRPr="00B31851">
              <w:rPr>
                <w:rFonts w:cs="Arial"/>
                <w:i w:val="0"/>
                <w:iCs w:val="0"/>
              </w:rPr>
              <w:t>enforcement difficulties, particularly in cases where investigations were complex and required significant time to gather evidence, assess compliance, and determine culpability</w:t>
            </w:r>
            <w:r w:rsidR="005D02B7">
              <w:rPr>
                <w:rFonts w:cs="Arial"/>
                <w:i w:val="0"/>
                <w:iCs w:val="0"/>
              </w:rPr>
              <w:t>.</w:t>
            </w:r>
          </w:p>
          <w:p w14:paraId="2F93BEC2" w14:textId="77777777" w:rsidR="006C7307" w:rsidRDefault="000413BF">
            <w:pPr>
              <w:rPr>
                <w:rFonts w:cs="Arial"/>
                <w:i w:val="0"/>
                <w:iCs w:val="0"/>
              </w:rPr>
            </w:pPr>
            <w:r w:rsidRPr="00B31851">
              <w:rPr>
                <w:rFonts w:cs="Arial"/>
                <w:i w:val="0"/>
                <w:iCs w:val="0"/>
              </w:rPr>
              <w:t>For example, investigations into unsafe work practices or systemic failures often involve reviewing historical employment records, insurance documentation, and witness statements</w:t>
            </w:r>
            <w:r w:rsidR="00EC57EA" w:rsidRPr="00B31851">
              <w:rPr>
                <w:rFonts w:cs="Arial"/>
                <w:i w:val="0"/>
                <w:iCs w:val="0"/>
              </w:rPr>
              <w:t xml:space="preserve">, </w:t>
            </w:r>
            <w:r w:rsidRPr="00B31851">
              <w:rPr>
                <w:rFonts w:cs="Arial"/>
                <w:i w:val="0"/>
                <w:iCs w:val="0"/>
              </w:rPr>
              <w:t xml:space="preserve">tasks that are not feasible within a </w:t>
            </w:r>
            <w:r w:rsidR="007751E8">
              <w:rPr>
                <w:rFonts w:cs="Arial"/>
                <w:i w:val="0"/>
                <w:iCs w:val="0"/>
              </w:rPr>
              <w:t>1</w:t>
            </w:r>
            <w:r w:rsidRPr="00B31851">
              <w:rPr>
                <w:rFonts w:cs="Arial"/>
                <w:i w:val="0"/>
                <w:iCs w:val="0"/>
              </w:rPr>
              <w:t xml:space="preserve">-year window. </w:t>
            </w:r>
            <w:r w:rsidR="00CC785D" w:rsidRPr="00B31851">
              <w:rPr>
                <w:rFonts w:cs="Arial"/>
                <w:i w:val="0"/>
                <w:iCs w:val="0"/>
              </w:rPr>
              <w:t>Through extending the</w:t>
            </w:r>
            <w:r w:rsidRPr="00B31851">
              <w:rPr>
                <w:rFonts w:cs="Arial"/>
                <w:i w:val="0"/>
                <w:iCs w:val="0"/>
              </w:rPr>
              <w:t xml:space="preserve"> prosecution period to five years</w:t>
            </w:r>
            <w:r w:rsidR="00CC785D" w:rsidRPr="00B31851">
              <w:rPr>
                <w:rFonts w:cs="Arial"/>
                <w:i w:val="0"/>
                <w:iCs w:val="0"/>
              </w:rPr>
              <w:t xml:space="preserve">, this </w:t>
            </w:r>
            <w:r w:rsidRPr="00B31851">
              <w:rPr>
                <w:rFonts w:cs="Arial"/>
                <w:i w:val="0"/>
                <w:iCs w:val="0"/>
              </w:rPr>
              <w:t>corrects th</w:t>
            </w:r>
            <w:r w:rsidR="00CC785D" w:rsidRPr="00B31851">
              <w:rPr>
                <w:rFonts w:cs="Arial"/>
                <w:i w:val="0"/>
                <w:iCs w:val="0"/>
              </w:rPr>
              <w:t xml:space="preserve">e </w:t>
            </w:r>
            <w:r w:rsidRPr="00B31851">
              <w:rPr>
                <w:rFonts w:cs="Arial"/>
                <w:i w:val="0"/>
                <w:iCs w:val="0"/>
              </w:rPr>
              <w:t>historical error</w:t>
            </w:r>
            <w:r w:rsidR="001D2A35">
              <w:rPr>
                <w:rFonts w:cs="Arial"/>
                <w:i w:val="0"/>
                <w:iCs w:val="0"/>
              </w:rPr>
              <w:t xml:space="preserve"> of omitting this provision from the list</w:t>
            </w:r>
            <w:r w:rsidRPr="00B31851">
              <w:rPr>
                <w:rFonts w:cs="Arial"/>
                <w:i w:val="0"/>
                <w:iCs w:val="0"/>
              </w:rPr>
              <w:t xml:space="preserve"> and aligns with other jurisdictions, ensuring that serious </w:t>
            </w:r>
            <w:r w:rsidR="00CC785D" w:rsidRPr="00B31851">
              <w:rPr>
                <w:rFonts w:cs="Arial"/>
                <w:i w:val="0"/>
                <w:iCs w:val="0"/>
              </w:rPr>
              <w:t xml:space="preserve">breach, </w:t>
            </w:r>
            <w:r w:rsidRPr="00B31851">
              <w:rPr>
                <w:rFonts w:cs="Arial"/>
                <w:i w:val="0"/>
                <w:iCs w:val="0"/>
              </w:rPr>
              <w:t>such as failing to maintain compulsory insurance</w:t>
            </w:r>
            <w:r w:rsidR="00CC785D" w:rsidRPr="00B31851">
              <w:rPr>
                <w:rFonts w:cs="Arial"/>
                <w:i w:val="0"/>
                <w:iCs w:val="0"/>
              </w:rPr>
              <w:t xml:space="preserve">, </w:t>
            </w:r>
            <w:r w:rsidRPr="00B31851">
              <w:rPr>
                <w:rFonts w:cs="Arial"/>
                <w:i w:val="0"/>
                <w:iCs w:val="0"/>
              </w:rPr>
              <w:t xml:space="preserve">can be properly </w:t>
            </w:r>
            <w:r w:rsidRPr="00B31851">
              <w:rPr>
                <w:rFonts w:cs="Arial"/>
                <w:i w:val="0"/>
                <w:iCs w:val="0"/>
              </w:rPr>
              <w:lastRenderedPageBreak/>
              <w:t>investigated and prosecuted without being prematurely time-barred.</w:t>
            </w:r>
          </w:p>
          <w:p w14:paraId="331CEBB2" w14:textId="7F86723E" w:rsidR="004A16B2" w:rsidRPr="00B31851" w:rsidRDefault="0042360F">
            <w:pPr>
              <w:rPr>
                <w:rFonts w:cs="Arial"/>
                <w:i w:val="0"/>
                <w:iCs w:val="0"/>
              </w:rPr>
            </w:pPr>
            <w:r w:rsidRPr="00B31851">
              <w:rPr>
                <w:rFonts w:cs="Arial"/>
                <w:i w:val="0"/>
                <w:iCs w:val="0"/>
              </w:rPr>
              <w:t xml:space="preserve">The limitation enables effective regulatory enforcement in complex cases. The previous one-year timeframe was an unintended anomaly that hindered the regulator’s ability to investigate and prosecute breaches, especially where evidence gathering is time-consuming. Aligning the limitation period with other </w:t>
            </w:r>
            <w:r>
              <w:rPr>
                <w:rFonts w:cs="Arial"/>
                <w:i w:val="0"/>
                <w:iCs w:val="0"/>
              </w:rPr>
              <w:t xml:space="preserve">similar </w:t>
            </w:r>
            <w:r w:rsidRPr="00B31851">
              <w:rPr>
                <w:rFonts w:cs="Arial"/>
                <w:i w:val="0"/>
                <w:iCs w:val="0"/>
              </w:rPr>
              <w:t>offen</w:t>
            </w:r>
            <w:r>
              <w:rPr>
                <w:rFonts w:cs="Arial"/>
                <w:i w:val="0"/>
                <w:iCs w:val="0"/>
              </w:rPr>
              <w:t>ding</w:t>
            </w:r>
            <w:r w:rsidRPr="00B31851">
              <w:rPr>
                <w:rFonts w:cs="Arial"/>
                <w:i w:val="0"/>
                <w:iCs w:val="0"/>
              </w:rPr>
              <w:t xml:space="preserve"> under the WC Act to five years, ensures consistency and reflects the seriousness of the offence</w:t>
            </w:r>
            <w:r>
              <w:rPr>
                <w:rFonts w:cs="Arial"/>
                <w:i w:val="0"/>
                <w:iCs w:val="0"/>
              </w:rPr>
              <w:t>.</w:t>
            </w:r>
          </w:p>
        </w:tc>
      </w:tr>
    </w:tbl>
    <w:p w14:paraId="12CB0E82" w14:textId="77777777" w:rsidR="00157AF3" w:rsidRPr="00B31851" w:rsidRDefault="00157AF3" w:rsidP="00E04A2F">
      <w:pPr>
        <w:rPr>
          <w:rFonts w:cs="Arial"/>
          <w:i w:val="0"/>
          <w:iCs w:val="0"/>
        </w:rPr>
      </w:pPr>
    </w:p>
    <w:p w14:paraId="0B43B8EE" w14:textId="38D0352B" w:rsidR="003F73A2" w:rsidRPr="003B657D" w:rsidRDefault="00E04A2F" w:rsidP="003B657D">
      <w:pPr>
        <w:pStyle w:val="ListParagraph"/>
        <w:numPr>
          <w:ilvl w:val="4"/>
          <w:numId w:val="21"/>
        </w:numPr>
        <w:ind w:left="851" w:hanging="425"/>
        <w:rPr>
          <w:rFonts w:cs="Arial"/>
        </w:rPr>
      </w:pPr>
      <w:r w:rsidRPr="00F27811">
        <w:rPr>
          <w:rFonts w:cs="Arial"/>
          <w:b/>
        </w:rPr>
        <w:t>Proportionality s28</w:t>
      </w:r>
      <w:r w:rsidR="00F605D7">
        <w:rPr>
          <w:rFonts w:cs="Arial"/>
          <w:b/>
        </w:rPr>
        <w:t>(2)</w:t>
      </w:r>
      <w:r w:rsidRPr="00F27811">
        <w:rPr>
          <w:rFonts w:cs="Arial"/>
          <w:b/>
        </w:rPr>
        <w:t>(e)</w:t>
      </w:r>
    </w:p>
    <w:tbl>
      <w:tblPr>
        <w:tblStyle w:val="TableGrid"/>
        <w:tblW w:w="0" w:type="auto"/>
        <w:tblLook w:val="04A0" w:firstRow="1" w:lastRow="0" w:firstColumn="1" w:lastColumn="0" w:noHBand="0" w:noVBand="1"/>
      </w:tblPr>
      <w:tblGrid>
        <w:gridCol w:w="1980"/>
        <w:gridCol w:w="7036"/>
      </w:tblGrid>
      <w:tr w:rsidR="00CD11D0" w:rsidRPr="00B31851" w14:paraId="4E30CF30" w14:textId="77777777" w:rsidTr="00941E90">
        <w:tc>
          <w:tcPr>
            <w:tcW w:w="1980" w:type="dxa"/>
          </w:tcPr>
          <w:p w14:paraId="3AAFDD10" w14:textId="77777777" w:rsidR="00CD11D0" w:rsidRPr="00B31851" w:rsidRDefault="00CD11D0">
            <w:pPr>
              <w:rPr>
                <w:rFonts w:cs="Arial"/>
                <w:i w:val="0"/>
                <w:iCs w:val="0"/>
              </w:rPr>
            </w:pPr>
            <w:r w:rsidRPr="00B31851">
              <w:rPr>
                <w:rFonts w:cs="Arial"/>
                <w:i w:val="0"/>
                <w:iCs w:val="0"/>
              </w:rPr>
              <w:t>LSL Act amendment – abrogation of privilege against self-incrimination</w:t>
            </w:r>
          </w:p>
        </w:tc>
        <w:tc>
          <w:tcPr>
            <w:tcW w:w="7036" w:type="dxa"/>
          </w:tcPr>
          <w:p w14:paraId="377EFBE7" w14:textId="5FB6C87E" w:rsidR="009634C8" w:rsidRPr="009634C8" w:rsidRDefault="009634C8" w:rsidP="009634C8">
            <w:pPr>
              <w:rPr>
                <w:rFonts w:cs="Arial"/>
                <w:i w:val="0"/>
                <w:iCs w:val="0"/>
              </w:rPr>
            </w:pPr>
            <w:r w:rsidRPr="009634C8">
              <w:rPr>
                <w:rFonts w:cs="Arial"/>
                <w:i w:val="0"/>
                <w:iCs w:val="0"/>
              </w:rPr>
              <w:t>The limitation on the right to protection against self-incrimination is considered reasonable and demonstrably justified in a free and democratic society, provided that robust safeguards are in place. One of the key safeguards embedded in the legislative framework is the provision of use immunity, which ensures that any information, document, or thing obtained directly or indirectly through compliance with a requirement cannot be used as evidence against the individual in civil or criminal proceedings. This protection is critical in upholding the right against self-incrimination.</w:t>
            </w:r>
          </w:p>
          <w:p w14:paraId="1D92A4D0" w14:textId="77777777" w:rsidR="009634C8" w:rsidRPr="009634C8" w:rsidRDefault="009634C8" w:rsidP="009634C8">
            <w:pPr>
              <w:rPr>
                <w:rFonts w:cs="Arial"/>
                <w:i w:val="0"/>
                <w:iCs w:val="0"/>
              </w:rPr>
            </w:pPr>
            <w:r w:rsidRPr="009634C8">
              <w:rPr>
                <w:rFonts w:cs="Arial"/>
                <w:i w:val="0"/>
                <w:iCs w:val="0"/>
              </w:rPr>
              <w:t>In addition to use immunity, courts may interpret the provision to extend to derivative use immunity, which would prevent the use of evidence obtained as a result of the compelled information. This interpretation would further align the measure with human rights principles by ensuring that individuals are not indirectly penalised for complying with legal obligations to provide information.</w:t>
            </w:r>
          </w:p>
          <w:p w14:paraId="1DC97583" w14:textId="77777777" w:rsidR="009634C8" w:rsidRPr="009634C8" w:rsidRDefault="009634C8" w:rsidP="009634C8">
            <w:pPr>
              <w:rPr>
                <w:rFonts w:cs="Arial"/>
                <w:i w:val="0"/>
                <w:iCs w:val="0"/>
              </w:rPr>
            </w:pPr>
            <w:r w:rsidRPr="009634C8">
              <w:rPr>
                <w:rFonts w:cs="Arial"/>
                <w:i w:val="0"/>
                <w:iCs w:val="0"/>
              </w:rPr>
              <w:t>The immunity provisions are carefully calibrated. They allow for the use of compelled information only in proceedings related to the provision of false or misleading information. This exception is necessary to preserve the integrity of the regulatory regime and to ensure that individuals cannot avoid accountability by providing inaccurate or deceptive responses. It also supports the enforcement of related offences, such as failure to comply with information requests or attend proceedings.</w:t>
            </w:r>
          </w:p>
          <w:p w14:paraId="54ADF409" w14:textId="2A974863" w:rsidR="009634C8" w:rsidRPr="009634C8" w:rsidRDefault="009634C8" w:rsidP="009634C8">
            <w:pPr>
              <w:rPr>
                <w:rFonts w:cs="Arial"/>
                <w:i w:val="0"/>
                <w:iCs w:val="0"/>
              </w:rPr>
            </w:pPr>
            <w:r w:rsidRPr="009634C8">
              <w:rPr>
                <w:rFonts w:cs="Arial"/>
                <w:i w:val="0"/>
                <w:iCs w:val="0"/>
              </w:rPr>
              <w:t xml:space="preserve">Importantly, the information gathered under these provisions is intended to support the </w:t>
            </w:r>
            <w:r w:rsidR="001C6066">
              <w:rPr>
                <w:rFonts w:cs="Arial"/>
                <w:i w:val="0"/>
                <w:iCs w:val="0"/>
              </w:rPr>
              <w:t>WHS C</w:t>
            </w:r>
            <w:r w:rsidRPr="009634C8">
              <w:rPr>
                <w:rFonts w:cs="Arial"/>
                <w:i w:val="0"/>
                <w:iCs w:val="0"/>
              </w:rPr>
              <w:t>ommissioner’s regulatory and investigative functions. Its use against an individual is strictly limited to circumstances where the individual has acted dishonestly or obstructively. This ensures that the powers are not used punitively, but rather to uphold the integrity and effectiveness of the regulatory system.</w:t>
            </w:r>
          </w:p>
          <w:p w14:paraId="3077E81E" w14:textId="41D84AFF" w:rsidR="009634C8" w:rsidRPr="009634C8" w:rsidRDefault="009634C8" w:rsidP="009634C8">
            <w:pPr>
              <w:rPr>
                <w:rFonts w:cs="Arial"/>
                <w:i w:val="0"/>
                <w:iCs w:val="0"/>
              </w:rPr>
            </w:pPr>
            <w:r w:rsidRPr="009634C8">
              <w:rPr>
                <w:rFonts w:cs="Arial"/>
                <w:i w:val="0"/>
                <w:iCs w:val="0"/>
              </w:rPr>
              <w:t>Although prosecutions under these provisions are rare, the ability to use such information in egregious cases</w:t>
            </w:r>
            <w:r w:rsidR="007F0C2B">
              <w:rPr>
                <w:rFonts w:cs="Arial"/>
                <w:i w:val="0"/>
                <w:iCs w:val="0"/>
              </w:rPr>
              <w:t xml:space="preserve">, </w:t>
            </w:r>
            <w:r w:rsidRPr="009634C8">
              <w:rPr>
                <w:rFonts w:cs="Arial"/>
                <w:i w:val="0"/>
                <w:iCs w:val="0"/>
              </w:rPr>
              <w:t>such as where false or misleading information has been provided</w:t>
            </w:r>
            <w:r w:rsidR="007F0C2B">
              <w:rPr>
                <w:rFonts w:cs="Arial"/>
                <w:i w:val="0"/>
                <w:iCs w:val="0"/>
              </w:rPr>
              <w:t xml:space="preserve">, </w:t>
            </w:r>
            <w:r w:rsidRPr="009634C8">
              <w:rPr>
                <w:rFonts w:cs="Arial"/>
                <w:i w:val="0"/>
                <w:iCs w:val="0"/>
              </w:rPr>
              <w:t xml:space="preserve">is </w:t>
            </w:r>
            <w:r w:rsidRPr="009634C8">
              <w:rPr>
                <w:rFonts w:cs="Arial"/>
                <w:i w:val="0"/>
                <w:iCs w:val="0"/>
              </w:rPr>
              <w:lastRenderedPageBreak/>
              <w:t>essential. It ensures that the law remains enforceable and credible, particularly in serious breaches of duty.</w:t>
            </w:r>
          </w:p>
          <w:p w14:paraId="017DB260" w14:textId="1C2985CE" w:rsidR="00A66871" w:rsidRPr="00313FAF" w:rsidRDefault="009634C8">
            <w:pPr>
              <w:rPr>
                <w:rFonts w:cs="Arial"/>
                <w:i w:val="0"/>
                <w:iCs w:val="0"/>
              </w:rPr>
            </w:pPr>
            <w:r w:rsidRPr="009634C8">
              <w:rPr>
                <w:rFonts w:cs="Arial"/>
                <w:i w:val="0"/>
                <w:iCs w:val="0"/>
              </w:rPr>
              <w:t>In considering whether this approach is the least restrictive means reasonably available to achieve the objective, alternative options were examined. These included limiting the scope of the information-gathering powers or removing the exceptions for false or misleading information. However, such alternatives would significantly undermine the regulator’s ability to enforce compliance and maintain the integrity of the scheme. Therefore, it is concluded that no less restrictive but equally effective means are reasonably available to achieve the intended objective.</w:t>
            </w:r>
          </w:p>
        </w:tc>
      </w:tr>
      <w:tr w:rsidR="00361DCB" w:rsidRPr="00B31851" w14:paraId="0034A5ED" w14:textId="77777777" w:rsidTr="00941E90">
        <w:tc>
          <w:tcPr>
            <w:tcW w:w="1980" w:type="dxa"/>
          </w:tcPr>
          <w:p w14:paraId="74C928E3" w14:textId="30B69AB5" w:rsidR="00361DCB" w:rsidRPr="00B31851" w:rsidRDefault="00361DCB"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3A15645C" w14:textId="2507E582" w:rsidR="00361DCB" w:rsidRDefault="00361DCB" w:rsidP="00AC4DCD">
            <w:pPr>
              <w:rPr>
                <w:rFonts w:cs="Arial"/>
                <w:i w:val="0"/>
                <w:iCs w:val="0"/>
              </w:rPr>
            </w:pPr>
            <w:r w:rsidRPr="00B31851">
              <w:rPr>
                <w:rFonts w:cs="Arial"/>
                <w:i w:val="0"/>
                <w:iCs w:val="0"/>
              </w:rPr>
              <w:t xml:space="preserve">The limitation is proportionate to the objective pursued by the amendment, namely, the protection of workers’ entitlements and the effective enforcement of long service leave obligations. The strict liability offence is confined to a specific regulatory context and applies only to clearly defined conduct, such as failure to pay long service leave entitlements upon cessation of employment. The </w:t>
            </w:r>
            <w:r w:rsidR="00AC4DCD">
              <w:rPr>
                <w:rFonts w:cs="Arial"/>
                <w:i w:val="0"/>
                <w:iCs w:val="0"/>
              </w:rPr>
              <w:t xml:space="preserve">maximum </w:t>
            </w:r>
            <w:r w:rsidRPr="00B31851">
              <w:rPr>
                <w:rFonts w:cs="Arial"/>
                <w:i w:val="0"/>
                <w:iCs w:val="0"/>
              </w:rPr>
              <w:t xml:space="preserve">penalty </w:t>
            </w:r>
            <w:r w:rsidR="00E51141" w:rsidRPr="00B31851">
              <w:rPr>
                <w:rFonts w:cs="Arial"/>
                <w:i w:val="0"/>
                <w:iCs w:val="0"/>
              </w:rPr>
              <w:t xml:space="preserve">of </w:t>
            </w:r>
            <w:r w:rsidR="007C65F4" w:rsidRPr="00B31851">
              <w:rPr>
                <w:rFonts w:cs="Arial"/>
                <w:i w:val="0"/>
                <w:iCs w:val="0"/>
              </w:rPr>
              <w:t>50 penalty units under section</w:t>
            </w:r>
            <w:r w:rsidR="009C2A01" w:rsidRPr="00B31851">
              <w:rPr>
                <w:rFonts w:cs="Arial"/>
                <w:i w:val="0"/>
                <w:iCs w:val="0"/>
              </w:rPr>
              <w:t xml:space="preserve"> 11A</w:t>
            </w:r>
            <w:r w:rsidR="00AC4DCD">
              <w:rPr>
                <w:rFonts w:cs="Arial"/>
                <w:i w:val="0"/>
                <w:iCs w:val="0"/>
              </w:rPr>
              <w:t xml:space="preserve"> </w:t>
            </w:r>
            <w:r w:rsidR="009C2A01" w:rsidRPr="00B31851">
              <w:rPr>
                <w:rFonts w:cs="Arial"/>
                <w:i w:val="0"/>
                <w:iCs w:val="0"/>
              </w:rPr>
              <w:t>(5) of the LSL Act</w:t>
            </w:r>
            <w:r w:rsidRPr="00B31851">
              <w:rPr>
                <w:rFonts w:cs="Arial"/>
                <w:i w:val="0"/>
                <w:iCs w:val="0"/>
              </w:rPr>
              <w:t xml:space="preserve"> is </w:t>
            </w:r>
            <w:r w:rsidR="00792DA2">
              <w:rPr>
                <w:rFonts w:cs="Arial"/>
                <w:i w:val="0"/>
                <w:iCs w:val="0"/>
              </w:rPr>
              <w:t>in accordance with the Guide for Framing Offences</w:t>
            </w:r>
            <w:r w:rsidR="00792DA2" w:rsidRPr="00B31851">
              <w:rPr>
                <w:rFonts w:cs="Arial"/>
                <w:i w:val="0"/>
                <w:iCs w:val="0"/>
              </w:rPr>
              <w:t xml:space="preserve"> </w:t>
            </w:r>
            <w:r w:rsidRPr="00B31851">
              <w:rPr>
                <w:rFonts w:cs="Arial"/>
                <w:i w:val="0"/>
                <w:iCs w:val="0"/>
              </w:rPr>
              <w:t>and appropriate to the nature of the offence</w:t>
            </w:r>
            <w:r w:rsidR="009C2A01" w:rsidRPr="00B31851">
              <w:rPr>
                <w:rFonts w:cs="Arial"/>
                <w:i w:val="0"/>
                <w:iCs w:val="0"/>
              </w:rPr>
              <w:t>.</w:t>
            </w:r>
            <w:r w:rsidR="003256E2">
              <w:rPr>
                <w:rFonts w:cs="Arial"/>
                <w:i w:val="0"/>
                <w:iCs w:val="0"/>
              </w:rPr>
              <w:t xml:space="preserve"> </w:t>
            </w:r>
            <w:r w:rsidR="001E3F51">
              <w:rPr>
                <w:rFonts w:cs="Arial"/>
                <w:i w:val="0"/>
                <w:iCs w:val="0"/>
              </w:rPr>
              <w:t>This is reflective of the impact of</w:t>
            </w:r>
            <w:r w:rsidR="00356847">
              <w:rPr>
                <w:rFonts w:cs="Arial"/>
                <w:i w:val="0"/>
                <w:iCs w:val="0"/>
              </w:rPr>
              <w:t xml:space="preserve"> failure to comply with the provision </w:t>
            </w:r>
            <w:r w:rsidR="001E3F51">
              <w:rPr>
                <w:rFonts w:cs="Arial"/>
                <w:i w:val="0"/>
                <w:iCs w:val="0"/>
              </w:rPr>
              <w:t xml:space="preserve">which </w:t>
            </w:r>
            <w:r w:rsidR="00356847">
              <w:rPr>
                <w:rFonts w:cs="Arial"/>
                <w:i w:val="0"/>
                <w:iCs w:val="0"/>
              </w:rPr>
              <w:t>could result in serious financial harm to the former employee.</w:t>
            </w:r>
            <w:r w:rsidR="009C2A01" w:rsidRPr="00B31851">
              <w:rPr>
                <w:rFonts w:cs="Arial"/>
                <w:i w:val="0"/>
                <w:iCs w:val="0"/>
              </w:rPr>
              <w:t xml:space="preserve"> The</w:t>
            </w:r>
            <w:r w:rsidRPr="00B31851">
              <w:rPr>
                <w:rFonts w:cs="Arial"/>
                <w:i w:val="0"/>
                <w:iCs w:val="0"/>
              </w:rPr>
              <w:t xml:space="preserve"> provision preserves access to defences such as mistake of fact under the </w:t>
            </w:r>
            <w:r w:rsidRPr="00AC4DCD">
              <w:rPr>
                <w:rFonts w:cs="Arial"/>
              </w:rPr>
              <w:t>Criminal Code 2002</w:t>
            </w:r>
            <w:r w:rsidRPr="00B31851">
              <w:rPr>
                <w:rFonts w:cs="Arial"/>
                <w:i w:val="0"/>
                <w:iCs w:val="0"/>
              </w:rPr>
              <w:t xml:space="preserve">. These safeguards ensure that the limitation does not go further than necessary to achieve its purpose. The amendment strikes a fair balance between the public interest in upholding employment standards and the rights of individuals subject to regulatory obligations. </w:t>
            </w:r>
          </w:p>
          <w:p w14:paraId="6099D5A5" w14:textId="77777777" w:rsidR="003728E3" w:rsidRDefault="003728E3" w:rsidP="00AC4DCD">
            <w:pPr>
              <w:rPr>
                <w:rFonts w:cs="Arial"/>
                <w:i w:val="0"/>
                <w:iCs w:val="0"/>
              </w:rPr>
            </w:pPr>
            <w:r w:rsidRPr="00B31851">
              <w:rPr>
                <w:rFonts w:cs="Arial"/>
                <w:i w:val="0"/>
                <w:iCs w:val="0"/>
              </w:rPr>
              <w:t>While strict liability offences may be justified in regulatory contexts, such as employment law, where parties are expected to understand and comply with clear obligations, the limitation must still be proportionate and necessary. In this case, the offence targets a specific and time-bound obligation (payment within 90 days), which is central to protecting workers’ entitlements. However, because it allows for criminal liability without fault, safeguards such as statutory defences (e.g. mistake of fact), transparent enforcement guidelines, and ensuring that penalties are in place, when assessing to the nature of the breach.</w:t>
            </w:r>
          </w:p>
          <w:p w14:paraId="64327EBB" w14:textId="4CDDDC47" w:rsidR="004A16B2" w:rsidRPr="00B31851" w:rsidRDefault="004A16B2" w:rsidP="00AC4DCD">
            <w:pPr>
              <w:rPr>
                <w:rFonts w:cs="Arial"/>
                <w:i w:val="0"/>
                <w:iCs w:val="0"/>
              </w:rPr>
            </w:pPr>
            <w:r>
              <w:rPr>
                <w:rFonts w:cs="Arial"/>
                <w:i w:val="0"/>
                <w:iCs w:val="0"/>
              </w:rPr>
              <w:t>As</w:t>
            </w:r>
            <w:r w:rsidRPr="00B31851">
              <w:rPr>
                <w:rFonts w:cs="Arial"/>
                <w:i w:val="0"/>
                <w:iCs w:val="0"/>
              </w:rPr>
              <w:t xml:space="preserve"> duty holders are expected to know and uphold their obligations, it is justifiable to exclude the fault element in order to promote accountability and deterrence. The application of strict liability ensures that relevant persons consistently meet their obligations and act appropriately to protect workers’ entitlements. This approach supports the integrity of the </w:t>
            </w:r>
            <w:r w:rsidRPr="00B31851">
              <w:rPr>
                <w:rFonts w:cs="Arial"/>
                <w:i w:val="0"/>
                <w:iCs w:val="0"/>
              </w:rPr>
              <w:lastRenderedPageBreak/>
              <w:t>regulatory framework and reflects a proportionate response to the risks posed by non-</w:t>
            </w:r>
            <w:r w:rsidRPr="00323BFE">
              <w:rPr>
                <w:rFonts w:cs="Arial"/>
                <w:i w:val="0"/>
                <w:iCs w:val="0"/>
              </w:rPr>
              <w:t>compliance.</w:t>
            </w:r>
          </w:p>
        </w:tc>
      </w:tr>
      <w:tr w:rsidR="00CD11D0" w:rsidRPr="00B31851" w14:paraId="39CE4713" w14:textId="77777777" w:rsidTr="00941E90">
        <w:tc>
          <w:tcPr>
            <w:tcW w:w="1980" w:type="dxa"/>
          </w:tcPr>
          <w:p w14:paraId="44416A82" w14:textId="1981A094" w:rsidR="000E0F3C" w:rsidRPr="00B31851" w:rsidRDefault="00AC6C23">
            <w:pPr>
              <w:rPr>
                <w:rFonts w:cs="Arial"/>
                <w:i w:val="0"/>
                <w:iCs w:val="0"/>
              </w:rPr>
            </w:pPr>
            <w:r w:rsidRPr="00B31851">
              <w:rPr>
                <w:rFonts w:cs="Arial"/>
                <w:i w:val="0"/>
                <w:iCs w:val="0"/>
              </w:rPr>
              <w:lastRenderedPageBreak/>
              <w:t>WHS Act amendment – statutory limitation period</w:t>
            </w:r>
          </w:p>
        </w:tc>
        <w:tc>
          <w:tcPr>
            <w:tcW w:w="7036" w:type="dxa"/>
          </w:tcPr>
          <w:p w14:paraId="4420AB06" w14:textId="538E12B8" w:rsidR="000E0F3C" w:rsidRDefault="000E0F3C">
            <w:pPr>
              <w:rPr>
                <w:rFonts w:cs="Arial"/>
                <w:i w:val="0"/>
                <w:iCs w:val="0"/>
              </w:rPr>
            </w:pPr>
            <w:r w:rsidRPr="00B31851">
              <w:rPr>
                <w:rFonts w:cs="Arial"/>
                <w:i w:val="0"/>
                <w:iCs w:val="0"/>
              </w:rPr>
              <w:t xml:space="preserve">By allowing courts to grant leave to prosecute out of time where it is in the interests of justice, the amendment introduces a balanced and discretionary mechanism that supports the paramount regulatory objective of accountability and deterrence, while preserving fairness for the accused. </w:t>
            </w:r>
          </w:p>
          <w:p w14:paraId="43892386" w14:textId="20C0B788" w:rsidR="002E5F88" w:rsidRPr="00B31851" w:rsidRDefault="00687216">
            <w:pPr>
              <w:rPr>
                <w:rFonts w:cs="Arial"/>
                <w:i w:val="0"/>
                <w:iCs w:val="0"/>
              </w:rPr>
            </w:pPr>
            <w:r w:rsidRPr="00B31851">
              <w:rPr>
                <w:rFonts w:cs="Arial"/>
                <w:i w:val="0"/>
                <w:iCs w:val="0"/>
              </w:rPr>
              <w:t xml:space="preserve">Maintaining fixed limitation periods without exception has proven inadequate in complex WHS matters. The proposed judicial discretion is </w:t>
            </w:r>
            <w:r w:rsidR="003B66D1">
              <w:rPr>
                <w:rFonts w:cs="Arial"/>
                <w:i w:val="0"/>
                <w:iCs w:val="0"/>
              </w:rPr>
              <w:t>the</w:t>
            </w:r>
            <w:r w:rsidRPr="00B31851">
              <w:rPr>
                <w:rFonts w:cs="Arial"/>
                <w:i w:val="0"/>
                <w:iCs w:val="0"/>
              </w:rPr>
              <w:t> le</w:t>
            </w:r>
            <w:r w:rsidR="003B66D1">
              <w:rPr>
                <w:rFonts w:cs="Arial"/>
                <w:i w:val="0"/>
                <w:iCs w:val="0"/>
              </w:rPr>
              <w:t>ast</w:t>
            </w:r>
            <w:r w:rsidRPr="00B31851">
              <w:rPr>
                <w:rFonts w:cs="Arial"/>
                <w:i w:val="0"/>
                <w:iCs w:val="0"/>
              </w:rPr>
              <w:t xml:space="preserve"> restrictive and more balanced approach, </w:t>
            </w:r>
            <w:r w:rsidR="003B66D1">
              <w:rPr>
                <w:rFonts w:cs="Arial"/>
                <w:i w:val="0"/>
                <w:iCs w:val="0"/>
              </w:rPr>
              <w:t xml:space="preserve">as it </w:t>
            </w:r>
            <w:r w:rsidRPr="00B31851">
              <w:rPr>
                <w:rFonts w:cs="Arial"/>
                <w:i w:val="0"/>
                <w:iCs w:val="0"/>
              </w:rPr>
              <w:t>ensur</w:t>
            </w:r>
            <w:r w:rsidR="003B66D1">
              <w:rPr>
                <w:rFonts w:cs="Arial"/>
                <w:i w:val="0"/>
                <w:iCs w:val="0"/>
              </w:rPr>
              <w:t>es</w:t>
            </w:r>
            <w:r w:rsidRPr="00B31851">
              <w:rPr>
                <w:rFonts w:cs="Arial"/>
                <w:i w:val="0"/>
                <w:iCs w:val="0"/>
              </w:rPr>
              <w:t xml:space="preserve"> fairness to both regulators and accused persons</w:t>
            </w:r>
            <w:r w:rsidR="00A24E77">
              <w:rPr>
                <w:rFonts w:cs="Arial"/>
                <w:i w:val="0"/>
                <w:iCs w:val="0"/>
              </w:rPr>
              <w:t>,</w:t>
            </w:r>
            <w:r w:rsidRPr="00B31851">
              <w:rPr>
                <w:rFonts w:cs="Arial"/>
                <w:i w:val="0"/>
                <w:iCs w:val="0"/>
              </w:rPr>
              <w:t xml:space="preserve"> </w:t>
            </w:r>
            <w:r w:rsidR="00A24E77">
              <w:rPr>
                <w:rFonts w:cs="Arial"/>
                <w:i w:val="0"/>
                <w:iCs w:val="0"/>
              </w:rPr>
              <w:t>a</w:t>
            </w:r>
            <w:r w:rsidR="001D1382">
              <w:rPr>
                <w:rFonts w:cs="Arial"/>
                <w:i w:val="0"/>
                <w:iCs w:val="0"/>
              </w:rPr>
              <w:t xml:space="preserve">s opposed to </w:t>
            </w:r>
            <w:r w:rsidR="006601D8">
              <w:rPr>
                <w:rFonts w:cs="Arial"/>
                <w:i w:val="0"/>
                <w:iCs w:val="0"/>
              </w:rPr>
              <w:t>not having a judicial discretion to allow prosecution</w:t>
            </w:r>
            <w:r w:rsidR="00AD0FD9">
              <w:rPr>
                <w:rFonts w:cs="Arial"/>
                <w:i w:val="0"/>
                <w:iCs w:val="0"/>
              </w:rPr>
              <w:t xml:space="preserve"> after the expiry of the time limitation. </w:t>
            </w:r>
            <w:r w:rsidRPr="00B31851">
              <w:rPr>
                <w:rFonts w:cs="Arial"/>
                <w:i w:val="0"/>
                <w:iCs w:val="0"/>
              </w:rPr>
              <w:t xml:space="preserve">The limitation applies only in </w:t>
            </w:r>
            <w:r w:rsidR="00486607">
              <w:rPr>
                <w:rFonts w:cs="Arial"/>
                <w:i w:val="0"/>
                <w:iCs w:val="0"/>
              </w:rPr>
              <w:t xml:space="preserve">specific </w:t>
            </w:r>
            <w:r w:rsidRPr="00B31851">
              <w:rPr>
                <w:rFonts w:cs="Arial"/>
                <w:i w:val="0"/>
                <w:iCs w:val="0"/>
              </w:rPr>
              <w:t xml:space="preserve">cases. </w:t>
            </w:r>
            <w:r w:rsidR="004665B1" w:rsidRPr="00B31851">
              <w:rPr>
                <w:rFonts w:cs="Arial"/>
                <w:i w:val="0"/>
                <w:iCs w:val="0"/>
              </w:rPr>
              <w:t>The</w:t>
            </w:r>
            <w:r w:rsidRPr="00B31851">
              <w:rPr>
                <w:rFonts w:cs="Arial"/>
                <w:i w:val="0"/>
                <w:iCs w:val="0"/>
              </w:rPr>
              <w:t xml:space="preserve"> accused retains all rights to challenge evidence, present a defence, and seek remedies for any prejudice caused by delay.</w:t>
            </w:r>
            <w:r w:rsidR="002E5F88" w:rsidRPr="00B31851">
              <w:rPr>
                <w:rFonts w:cs="Arial"/>
                <w:i w:val="0"/>
                <w:iCs w:val="0"/>
              </w:rPr>
              <w:t xml:space="preserve"> The cohort of individuals that this amendment may limit the rights of is small, noting that </w:t>
            </w:r>
            <w:r w:rsidR="007D3EAF" w:rsidRPr="00B31851">
              <w:rPr>
                <w:rFonts w:cs="Arial"/>
                <w:i w:val="0"/>
                <w:iCs w:val="0"/>
              </w:rPr>
              <w:t>most</w:t>
            </w:r>
            <w:r w:rsidR="002E5F88" w:rsidRPr="00B31851">
              <w:rPr>
                <w:rFonts w:cs="Arial"/>
                <w:i w:val="0"/>
                <w:iCs w:val="0"/>
              </w:rPr>
              <w:t xml:space="preserve"> businesses in this context operate with a corporate structure. </w:t>
            </w:r>
            <w:r w:rsidR="00423A42" w:rsidRPr="00B31851">
              <w:rPr>
                <w:rFonts w:cs="Arial"/>
                <w:i w:val="0"/>
                <w:iCs w:val="0"/>
              </w:rPr>
              <w:t>The court’s role ensures that this power is not exercised arbitrarily or excessively, but only in circumstances where the delay is justified, and the prosecution remains fair.</w:t>
            </w:r>
            <w:r w:rsidR="00A24E77">
              <w:rPr>
                <w:rFonts w:cs="Arial"/>
                <w:i w:val="0"/>
                <w:iCs w:val="0"/>
              </w:rPr>
              <w:t xml:space="preserve"> </w:t>
            </w:r>
            <w:r w:rsidR="00A24E77" w:rsidRPr="001A55F3">
              <w:rPr>
                <w:rFonts w:cs="Arial"/>
                <w:i w:val="0"/>
              </w:rPr>
              <w:t>What is reasonable has to be assessed in the</w:t>
            </w:r>
            <w:r w:rsidR="00A24E77">
              <w:rPr>
                <w:rFonts w:cs="Arial"/>
                <w:i w:val="0"/>
              </w:rPr>
              <w:t xml:space="preserve"> </w:t>
            </w:r>
            <w:r w:rsidR="00A24E77" w:rsidRPr="001A55F3">
              <w:rPr>
                <w:rFonts w:cs="Arial"/>
                <w:i w:val="0"/>
              </w:rPr>
              <w:t>circumstances of each case, considering mainly the complexity of the case, the conduct</w:t>
            </w:r>
            <w:r w:rsidR="00A24E77">
              <w:rPr>
                <w:rFonts w:cs="Arial"/>
                <w:i w:val="0"/>
              </w:rPr>
              <w:t xml:space="preserve"> </w:t>
            </w:r>
            <w:r w:rsidR="00A24E77" w:rsidRPr="001A55F3">
              <w:rPr>
                <w:rFonts w:cs="Arial"/>
                <w:i w:val="0"/>
              </w:rPr>
              <w:t>of the accused, and the manner in which the matter was dealt with by the administrative and</w:t>
            </w:r>
            <w:r w:rsidR="00A24E77">
              <w:rPr>
                <w:rFonts w:cs="Arial"/>
                <w:i w:val="0"/>
              </w:rPr>
              <w:t xml:space="preserve"> </w:t>
            </w:r>
            <w:r w:rsidR="00A24E77" w:rsidRPr="001A55F3">
              <w:rPr>
                <w:rFonts w:cs="Arial"/>
                <w:i w:val="0"/>
              </w:rPr>
              <w:t>judicial authorities.</w:t>
            </w:r>
          </w:p>
          <w:p w14:paraId="1C9FCED3" w14:textId="58D09E2E" w:rsidR="00CD11D0" w:rsidRPr="00B31851" w:rsidRDefault="00687216">
            <w:pPr>
              <w:rPr>
                <w:rFonts w:cs="Arial"/>
                <w:i w:val="0"/>
                <w:iCs w:val="0"/>
              </w:rPr>
            </w:pPr>
            <w:r w:rsidRPr="00B31851">
              <w:rPr>
                <w:rFonts w:cs="Arial"/>
                <w:i w:val="0"/>
                <w:iCs w:val="0"/>
              </w:rPr>
              <w:t xml:space="preserve">Further, </w:t>
            </w:r>
            <w:r w:rsidR="007D3EAF">
              <w:rPr>
                <w:rFonts w:cs="Arial"/>
                <w:i w:val="0"/>
                <w:iCs w:val="0"/>
              </w:rPr>
              <w:t>should</w:t>
            </w:r>
            <w:r w:rsidRPr="00B31851">
              <w:rPr>
                <w:rFonts w:cs="Arial"/>
                <w:i w:val="0"/>
                <w:iCs w:val="0"/>
              </w:rPr>
              <w:t xml:space="preserve"> judicial discretion grant the extension to prosecute under the WHS Act, an accused person may seek remedies such as dismissal of proceedings or challenge the extension based on prejudice, including loss of evidence or inability to mount a fair defence. While the extension may serve public interest in enforcement, it must be balanced against the accused’s right to a fair trial and protection from undue delay.</w:t>
            </w:r>
            <w:r w:rsidR="00E860A3" w:rsidRPr="00B31851">
              <w:rPr>
                <w:rFonts w:cs="Arial"/>
                <w:i w:val="0"/>
                <w:iCs w:val="0"/>
              </w:rPr>
              <w:t xml:space="preserve"> However, the amendment does not remove time limits entirely, it introduces a judicial safeguard to assess whether an out-of-time prosecution is justified.</w:t>
            </w:r>
          </w:p>
        </w:tc>
      </w:tr>
      <w:tr w:rsidR="009E4DF5" w:rsidRPr="00B31851" w14:paraId="2BB5CBBC" w14:textId="77777777" w:rsidTr="00941E90">
        <w:tc>
          <w:tcPr>
            <w:tcW w:w="1980" w:type="dxa"/>
          </w:tcPr>
          <w:p w14:paraId="6CC193AB" w14:textId="640F3D9B" w:rsidR="009E4DF5" w:rsidRPr="00B31851" w:rsidRDefault="009E4DF5">
            <w:pPr>
              <w:rPr>
                <w:rFonts w:cs="Arial"/>
                <w:i w:val="0"/>
                <w:iCs w:val="0"/>
              </w:rPr>
            </w:pPr>
            <w:r w:rsidRPr="00B31851">
              <w:rPr>
                <w:rFonts w:cs="Arial"/>
                <w:i w:val="0"/>
                <w:iCs w:val="0"/>
              </w:rPr>
              <w:t>WHS Act amendment – s39A</w:t>
            </w:r>
            <w:r w:rsidR="00DE2314">
              <w:rPr>
                <w:rFonts w:cs="Arial"/>
                <w:i w:val="0"/>
                <w:iCs w:val="0"/>
              </w:rPr>
              <w:t xml:space="preserve"> </w:t>
            </w:r>
            <w:r w:rsidRPr="00B31851">
              <w:rPr>
                <w:rFonts w:cs="Arial"/>
                <w:i w:val="0"/>
                <w:iCs w:val="0"/>
              </w:rPr>
              <w:t>(1) and (2) strict liability offences</w:t>
            </w:r>
          </w:p>
        </w:tc>
        <w:tc>
          <w:tcPr>
            <w:tcW w:w="7036" w:type="dxa"/>
          </w:tcPr>
          <w:p w14:paraId="19080E46" w14:textId="3C78849B" w:rsidR="00EF59CC" w:rsidRPr="00EF59CC" w:rsidRDefault="00EF59CC" w:rsidP="00EF59CC">
            <w:pPr>
              <w:rPr>
                <w:rFonts w:cs="Arial"/>
                <w:i w:val="0"/>
                <w:iCs w:val="0"/>
              </w:rPr>
            </w:pPr>
            <w:r w:rsidRPr="00EF59CC">
              <w:rPr>
                <w:rFonts w:cs="Arial"/>
                <w:i w:val="0"/>
                <w:iCs w:val="0"/>
              </w:rPr>
              <w:t xml:space="preserve">Strict liability offences </w:t>
            </w:r>
            <w:r w:rsidR="00254757">
              <w:rPr>
                <w:rFonts w:cs="Arial"/>
                <w:i w:val="0"/>
                <w:iCs w:val="0"/>
              </w:rPr>
              <w:t xml:space="preserve">under the WHS </w:t>
            </w:r>
            <w:r w:rsidRPr="00EF59CC">
              <w:rPr>
                <w:rFonts w:cs="Arial"/>
                <w:i w:val="0"/>
                <w:iCs w:val="0"/>
              </w:rPr>
              <w:t>framework serve a critical regulatory function by clearly identifying the essential elements of compliance that duty holders</w:t>
            </w:r>
            <w:r w:rsidR="00254757">
              <w:rPr>
                <w:rFonts w:cs="Arial"/>
                <w:i w:val="0"/>
                <w:iCs w:val="0"/>
              </w:rPr>
              <w:t xml:space="preserve">, </w:t>
            </w:r>
            <w:r w:rsidRPr="00EF59CC">
              <w:rPr>
                <w:rFonts w:cs="Arial"/>
                <w:i w:val="0"/>
                <w:iCs w:val="0"/>
              </w:rPr>
              <w:t>such as persons PCBUs</w:t>
            </w:r>
            <w:r w:rsidR="00254757">
              <w:rPr>
                <w:rFonts w:cs="Arial"/>
                <w:i w:val="0"/>
                <w:iCs w:val="0"/>
              </w:rPr>
              <w:t xml:space="preserve">, </w:t>
            </w:r>
            <w:r w:rsidRPr="00EF59CC">
              <w:rPr>
                <w:rFonts w:cs="Arial"/>
                <w:i w:val="0"/>
                <w:iCs w:val="0"/>
              </w:rPr>
              <w:t>must uphold to maintain a safe workplace. These offences are narrowly targeted and relate specifically to procedural obligations, such as the notification of notifiable incidents, rather than the circumstances of the incident itself. This distinction ensures that the offence is focused on the failure to communicate vital safety information, not on attributing blame for the incident.</w:t>
            </w:r>
          </w:p>
          <w:p w14:paraId="432CCCAC" w14:textId="248B7430" w:rsidR="00EF59CC" w:rsidRPr="00EF59CC" w:rsidRDefault="00EF59CC" w:rsidP="00EF59CC">
            <w:pPr>
              <w:rPr>
                <w:rFonts w:cs="Arial"/>
                <w:i w:val="0"/>
                <w:iCs w:val="0"/>
              </w:rPr>
            </w:pPr>
            <w:r w:rsidRPr="00EF59CC">
              <w:rPr>
                <w:rFonts w:cs="Arial"/>
                <w:i w:val="0"/>
                <w:iCs w:val="0"/>
              </w:rPr>
              <w:t xml:space="preserve">The rationale for imposing strict liability in this context is well-established. It is generally accepted that strict liability is appropriate in regulatory schemes where public health and </w:t>
            </w:r>
            <w:r w:rsidRPr="00EF59CC">
              <w:rPr>
                <w:rFonts w:cs="Arial"/>
                <w:i w:val="0"/>
                <w:iCs w:val="0"/>
              </w:rPr>
              <w:lastRenderedPageBreak/>
              <w:t>safety are at stake and where duty holders operate in a professional capacity and are expected to be aware of their legal obligations</w:t>
            </w:r>
            <w:r w:rsidR="00254757">
              <w:rPr>
                <w:rFonts w:cs="Arial"/>
                <w:i w:val="0"/>
                <w:iCs w:val="0"/>
              </w:rPr>
              <w:t xml:space="preserve">. </w:t>
            </w:r>
            <w:r w:rsidRPr="00EF59CC">
              <w:rPr>
                <w:rFonts w:cs="Arial"/>
                <w:i w:val="0"/>
                <w:iCs w:val="0"/>
              </w:rPr>
              <w:t>The defence of honest and reasonable mistake of fact, as provided under the </w:t>
            </w:r>
            <w:r w:rsidRPr="00EF59CC">
              <w:rPr>
                <w:rFonts w:cs="Arial"/>
              </w:rPr>
              <w:t>Criminal Code 2002</w:t>
            </w:r>
            <w:r w:rsidRPr="00EF59CC">
              <w:rPr>
                <w:rFonts w:cs="Arial"/>
                <w:i w:val="0"/>
                <w:iCs w:val="0"/>
              </w:rPr>
              <w:t>, remains available, preserving fairness and ensuring that individuals are not penalised for genuine errors.</w:t>
            </w:r>
          </w:p>
          <w:p w14:paraId="3BCF12BD" w14:textId="23FE7DEB" w:rsidR="00EF59CC" w:rsidRPr="00EF59CC" w:rsidRDefault="00EF59CC" w:rsidP="00EF59CC">
            <w:pPr>
              <w:rPr>
                <w:rFonts w:cs="Arial"/>
                <w:i w:val="0"/>
                <w:iCs w:val="0"/>
              </w:rPr>
            </w:pPr>
            <w:r w:rsidRPr="00EF59CC">
              <w:rPr>
                <w:rFonts w:cs="Arial"/>
                <w:i w:val="0"/>
                <w:iCs w:val="0"/>
              </w:rPr>
              <w:t>Importantly, the offences do not impose burdensome requirements. They align with existing duties under the WHS framework and are designed to ensure timely and accurate reporting of incidents that may affect worker safety and the broader ACT community. The penalties associated with these offences are tiered and proportionate to the seriousness of the breach, reflecting the regulatory nature of the offence rather than a punitive criminal sanction </w:t>
            </w:r>
          </w:p>
          <w:p w14:paraId="3BDF0987" w14:textId="5B3755DE" w:rsidR="00EF59CC" w:rsidRPr="00EF59CC" w:rsidRDefault="00B715E5" w:rsidP="00EF59CC">
            <w:pPr>
              <w:rPr>
                <w:rFonts w:cs="Arial"/>
                <w:i w:val="0"/>
                <w:iCs w:val="0"/>
              </w:rPr>
            </w:pPr>
            <w:r>
              <w:rPr>
                <w:rFonts w:cs="Arial"/>
                <w:i w:val="0"/>
                <w:iCs w:val="0"/>
              </w:rPr>
              <w:t>While</w:t>
            </w:r>
            <w:r w:rsidR="00EF59CC" w:rsidRPr="00EF59CC">
              <w:rPr>
                <w:rFonts w:cs="Arial"/>
                <w:i w:val="0"/>
                <w:iCs w:val="0"/>
              </w:rPr>
              <w:t xml:space="preserve"> strict liability offences do engage the right to be presumed innocent under section 22</w:t>
            </w:r>
            <w:r w:rsidR="00185F82">
              <w:rPr>
                <w:rFonts w:cs="Arial"/>
                <w:i w:val="0"/>
                <w:iCs w:val="0"/>
              </w:rPr>
              <w:t xml:space="preserve"> </w:t>
            </w:r>
            <w:r w:rsidR="00EF59CC" w:rsidRPr="00EF59CC">
              <w:rPr>
                <w:rFonts w:cs="Arial"/>
                <w:i w:val="0"/>
                <w:iCs w:val="0"/>
              </w:rPr>
              <w:t xml:space="preserve">(1) of </w:t>
            </w:r>
            <w:r>
              <w:rPr>
                <w:rFonts w:cs="Arial"/>
                <w:i w:val="0"/>
                <w:iCs w:val="0"/>
              </w:rPr>
              <w:t>the HR Act,</w:t>
            </w:r>
            <w:r w:rsidR="00EF59CC" w:rsidRPr="00EF59CC">
              <w:rPr>
                <w:rFonts w:cs="Arial"/>
                <w:i w:val="0"/>
                <w:iCs w:val="0"/>
              </w:rPr>
              <w:t xml:space="preserve"> this limitation is considered reasonable and proportionate. The offences apply only to the physical elements of the conduct, and do not remove the availability of defences or the requirement for the prosecution to prove the act beyond reasonable doubt</w:t>
            </w:r>
            <w:r w:rsidR="00EF59CC">
              <w:rPr>
                <w:rFonts w:cs="Arial"/>
                <w:i w:val="0"/>
                <w:iCs w:val="0"/>
              </w:rPr>
              <w:t xml:space="preserve">. </w:t>
            </w:r>
            <w:r w:rsidR="00EF59CC" w:rsidRPr="00EF59CC">
              <w:rPr>
                <w:rFonts w:cs="Arial"/>
                <w:i w:val="0"/>
                <w:iCs w:val="0"/>
              </w:rPr>
              <w:t>The offences are narrowly framed and do not impose reverse burdens of proof or mandatory sentencing, which would raise more significant human rights concerns.</w:t>
            </w:r>
          </w:p>
          <w:p w14:paraId="767D5B61" w14:textId="77777777" w:rsidR="00EF59CC" w:rsidRPr="00EF59CC" w:rsidRDefault="00EF59CC" w:rsidP="00EF59CC">
            <w:pPr>
              <w:rPr>
                <w:rFonts w:cs="Arial"/>
                <w:i w:val="0"/>
                <w:iCs w:val="0"/>
              </w:rPr>
            </w:pPr>
            <w:r w:rsidRPr="00EF59CC">
              <w:rPr>
                <w:rFonts w:cs="Arial"/>
                <w:i w:val="0"/>
                <w:iCs w:val="0"/>
              </w:rPr>
              <w:t>In assessing whether this approach is the least restrictive means reasonably available to achieve the objective, alternative models were considered. These included fault-based offences or administrative penalties. However, these alternatives were found to be less effective in ensuring compliance, particularly in a regulatory context where timely notification is essential and where duty holders are expected to be proactive in fulfilling their obligations. Fault-based offences would require proof of intent or negligence, which could undermine the deterrent effect and delay enforcement actions.</w:t>
            </w:r>
          </w:p>
          <w:p w14:paraId="13A33049" w14:textId="77777777" w:rsidR="005B5218" w:rsidRDefault="00EF59CC">
            <w:pPr>
              <w:rPr>
                <w:rFonts w:cs="Arial"/>
                <w:i w:val="0"/>
                <w:iCs w:val="0"/>
              </w:rPr>
            </w:pPr>
            <w:r w:rsidRPr="00EF59CC">
              <w:rPr>
                <w:rFonts w:cs="Arial"/>
                <w:i w:val="0"/>
                <w:iCs w:val="0"/>
              </w:rPr>
              <w:t>Therefore, it is considered that no less restrictive but equally effective means are reasonably available to achieve the objective of ensuring workplace safety through prompt and accurate incident reporting. The strict liability model strikes an appropriate balance between regulatory efficiency, fairness, and the protection of human rights.</w:t>
            </w:r>
          </w:p>
          <w:p w14:paraId="594AF56A" w14:textId="660F0806" w:rsidR="001E3F51" w:rsidRPr="00B31851" w:rsidRDefault="001E3F51">
            <w:pPr>
              <w:rPr>
                <w:rFonts w:cs="Arial"/>
                <w:i w:val="0"/>
                <w:iCs w:val="0"/>
              </w:rPr>
            </w:pPr>
            <w:r>
              <w:rPr>
                <w:rFonts w:cs="Arial"/>
                <w:i w:val="0"/>
                <w:iCs w:val="0"/>
              </w:rPr>
              <w:t>Furthermore, Safe Work Australia</w:t>
            </w:r>
            <w:r w:rsidRPr="001C5E61">
              <w:rPr>
                <w:rFonts w:cs="Arial"/>
                <w:i w:val="0"/>
                <w:iCs w:val="0"/>
              </w:rPr>
              <w:t xml:space="preserve"> continues to play a central role in maintaining and evaluating the model WHS laws. It supports ongoing legislative development and monitors implementation across jurisdictions to ensure the laws remain responsive to emerging risks and workplace changes</w:t>
            </w:r>
            <w:r>
              <w:rPr>
                <w:rFonts w:cs="Arial"/>
                <w:i w:val="0"/>
                <w:iCs w:val="0"/>
              </w:rPr>
              <w:t xml:space="preserve">. </w:t>
            </w:r>
          </w:p>
        </w:tc>
      </w:tr>
      <w:tr w:rsidR="00CD11D0" w:rsidRPr="00B31851" w14:paraId="77DE2FFC" w14:textId="77777777" w:rsidTr="00941E90">
        <w:tc>
          <w:tcPr>
            <w:tcW w:w="1980" w:type="dxa"/>
          </w:tcPr>
          <w:p w14:paraId="39897640" w14:textId="3F2F9F1C" w:rsidR="00CD11D0" w:rsidRPr="00B31851" w:rsidRDefault="00AC6C23">
            <w:pPr>
              <w:rPr>
                <w:rFonts w:cs="Arial"/>
                <w:i w:val="0"/>
                <w:iCs w:val="0"/>
              </w:rPr>
            </w:pPr>
            <w:r w:rsidRPr="00B31851">
              <w:rPr>
                <w:rFonts w:cs="Arial"/>
                <w:i w:val="0"/>
                <w:iCs w:val="0"/>
              </w:rPr>
              <w:lastRenderedPageBreak/>
              <w:t>WC Act amendment – statutory limitation period</w:t>
            </w:r>
          </w:p>
        </w:tc>
        <w:tc>
          <w:tcPr>
            <w:tcW w:w="7036" w:type="dxa"/>
          </w:tcPr>
          <w:p w14:paraId="0457B2CC" w14:textId="68D7B387" w:rsidR="007B2279" w:rsidRDefault="007B2279" w:rsidP="003E20A0">
            <w:pPr>
              <w:rPr>
                <w:rFonts w:cs="Arial"/>
                <w:i w:val="0"/>
                <w:iCs w:val="0"/>
              </w:rPr>
            </w:pPr>
            <w:r>
              <w:rPr>
                <w:rFonts w:cs="Arial"/>
                <w:i w:val="0"/>
                <w:iCs w:val="0"/>
              </w:rPr>
              <w:t xml:space="preserve">It is difficult for the </w:t>
            </w:r>
            <w:r w:rsidR="00680885">
              <w:rPr>
                <w:rFonts w:cs="Arial"/>
                <w:i w:val="0"/>
                <w:iCs w:val="0"/>
              </w:rPr>
              <w:t>r</w:t>
            </w:r>
            <w:r>
              <w:rPr>
                <w:rFonts w:cs="Arial"/>
                <w:i w:val="0"/>
                <w:iCs w:val="0"/>
              </w:rPr>
              <w:t xml:space="preserve">egulator to ensure that each PCBU holds a current comprehensive insurance policy. Noting that the cycle of </w:t>
            </w:r>
            <w:r w:rsidR="008438F5">
              <w:rPr>
                <w:rFonts w:cs="Arial"/>
                <w:i w:val="0"/>
                <w:iCs w:val="0"/>
              </w:rPr>
              <w:t xml:space="preserve">an </w:t>
            </w:r>
            <w:r w:rsidR="005920CC">
              <w:rPr>
                <w:rFonts w:cs="Arial"/>
                <w:i w:val="0"/>
                <w:iCs w:val="0"/>
              </w:rPr>
              <w:t xml:space="preserve">insurance policy </w:t>
            </w:r>
            <w:r w:rsidR="008438F5">
              <w:rPr>
                <w:rFonts w:cs="Arial"/>
                <w:i w:val="0"/>
                <w:iCs w:val="0"/>
              </w:rPr>
              <w:t xml:space="preserve">is </w:t>
            </w:r>
            <w:r w:rsidR="0082300E">
              <w:rPr>
                <w:rFonts w:cs="Arial"/>
                <w:i w:val="0"/>
                <w:iCs w:val="0"/>
              </w:rPr>
              <w:t>typically annu</w:t>
            </w:r>
            <w:r w:rsidR="009131BB">
              <w:rPr>
                <w:rFonts w:cs="Arial"/>
                <w:i w:val="0"/>
                <w:iCs w:val="0"/>
              </w:rPr>
              <w:t>al</w:t>
            </w:r>
            <w:r w:rsidR="00857E16">
              <w:rPr>
                <w:rFonts w:cs="Arial"/>
                <w:i w:val="0"/>
                <w:iCs w:val="0"/>
              </w:rPr>
              <w:t>,</w:t>
            </w:r>
            <w:r w:rsidR="009131BB">
              <w:rPr>
                <w:rFonts w:cs="Arial"/>
                <w:i w:val="0"/>
                <w:iCs w:val="0"/>
              </w:rPr>
              <w:t xml:space="preserve"> and coverage details can change throughout the year due to renewal, cancellations or </w:t>
            </w:r>
            <w:r w:rsidR="009131BB">
              <w:rPr>
                <w:rFonts w:cs="Arial"/>
                <w:i w:val="0"/>
                <w:iCs w:val="0"/>
              </w:rPr>
              <w:lastRenderedPageBreak/>
              <w:t>adjustments.</w:t>
            </w:r>
            <w:r w:rsidR="006F6993">
              <w:rPr>
                <w:rFonts w:cs="Arial"/>
                <w:i w:val="0"/>
                <w:iCs w:val="0"/>
              </w:rPr>
              <w:t xml:space="preserve"> This creates </w:t>
            </w:r>
            <w:r w:rsidR="00857E16">
              <w:rPr>
                <w:rFonts w:cs="Arial"/>
                <w:i w:val="0"/>
                <w:iCs w:val="0"/>
              </w:rPr>
              <w:t>challenges</w:t>
            </w:r>
            <w:r w:rsidR="006F6993">
              <w:rPr>
                <w:rFonts w:cs="Arial"/>
                <w:i w:val="0"/>
                <w:iCs w:val="0"/>
              </w:rPr>
              <w:t xml:space="preserve"> for monitoring compliance</w:t>
            </w:r>
            <w:r w:rsidR="00857E16">
              <w:rPr>
                <w:rFonts w:cs="Arial"/>
                <w:i w:val="0"/>
                <w:iCs w:val="0"/>
              </w:rPr>
              <w:t xml:space="preserve"> in real time which in turn can make enforcement within a 1-year prosecution timeframe impractical in many circumstances.</w:t>
            </w:r>
          </w:p>
          <w:p w14:paraId="308CD487" w14:textId="5B5EB82A" w:rsidR="004E2E2D" w:rsidRDefault="004E2E2D" w:rsidP="003E20A0">
            <w:pPr>
              <w:rPr>
                <w:rFonts w:cs="Arial"/>
                <w:i w:val="0"/>
                <w:iCs w:val="0"/>
              </w:rPr>
            </w:pPr>
            <w:r>
              <w:rPr>
                <w:rFonts w:cs="Arial"/>
                <w:i w:val="0"/>
                <w:iCs w:val="0"/>
              </w:rPr>
              <w:t>The amendment to extend the prosecution timeframe</w:t>
            </w:r>
            <w:r w:rsidR="00887F0E">
              <w:rPr>
                <w:rFonts w:cs="Arial"/>
                <w:i w:val="0"/>
                <w:iCs w:val="0"/>
              </w:rPr>
              <w:t xml:space="preserve"> for an offence</w:t>
            </w:r>
            <w:r w:rsidR="00C33D8C">
              <w:rPr>
                <w:rFonts w:cs="Arial"/>
                <w:i w:val="0"/>
                <w:iCs w:val="0"/>
              </w:rPr>
              <w:t xml:space="preserve"> against section 147A of the WC Act</w:t>
            </w:r>
            <w:r w:rsidR="00E11FAA">
              <w:rPr>
                <w:rFonts w:cs="Arial"/>
                <w:i w:val="0"/>
                <w:iCs w:val="0"/>
              </w:rPr>
              <w:t xml:space="preserve"> to 5 years is </w:t>
            </w:r>
            <w:r w:rsidR="00054FA2">
              <w:rPr>
                <w:rFonts w:cs="Arial"/>
                <w:i w:val="0"/>
                <w:iCs w:val="0"/>
              </w:rPr>
              <w:t xml:space="preserve">a </w:t>
            </w:r>
            <w:r w:rsidR="00E11FAA">
              <w:rPr>
                <w:rFonts w:cs="Arial"/>
                <w:i w:val="0"/>
                <w:iCs w:val="0"/>
              </w:rPr>
              <w:t xml:space="preserve">proportionate and </w:t>
            </w:r>
            <w:r w:rsidR="00054FA2">
              <w:rPr>
                <w:rFonts w:cs="Arial"/>
                <w:i w:val="0"/>
                <w:iCs w:val="0"/>
              </w:rPr>
              <w:t>necessary</w:t>
            </w:r>
            <w:r w:rsidR="00E11FAA">
              <w:rPr>
                <w:rFonts w:cs="Arial"/>
                <w:i w:val="0"/>
                <w:iCs w:val="0"/>
              </w:rPr>
              <w:t xml:space="preserve"> </w:t>
            </w:r>
            <w:r w:rsidR="00054FA2">
              <w:rPr>
                <w:rFonts w:cs="Arial"/>
                <w:i w:val="0"/>
                <w:iCs w:val="0"/>
              </w:rPr>
              <w:t xml:space="preserve">reform aimed at </w:t>
            </w:r>
            <w:r w:rsidR="003B2211">
              <w:rPr>
                <w:rFonts w:cs="Arial"/>
                <w:i w:val="0"/>
                <w:iCs w:val="0"/>
              </w:rPr>
              <w:t>strengthening</w:t>
            </w:r>
            <w:r w:rsidR="00054FA2">
              <w:rPr>
                <w:rFonts w:cs="Arial"/>
                <w:i w:val="0"/>
                <w:iCs w:val="0"/>
              </w:rPr>
              <w:t xml:space="preserve"> regulatory </w:t>
            </w:r>
            <w:r w:rsidR="002B05CF">
              <w:rPr>
                <w:rFonts w:cs="Arial"/>
                <w:i w:val="0"/>
                <w:iCs w:val="0"/>
              </w:rPr>
              <w:t xml:space="preserve">enforcement. It also </w:t>
            </w:r>
            <w:r w:rsidR="00780407">
              <w:rPr>
                <w:rFonts w:cs="Arial"/>
                <w:i w:val="0"/>
                <w:iCs w:val="0"/>
              </w:rPr>
              <w:t>ensures</w:t>
            </w:r>
            <w:r w:rsidR="002B05CF">
              <w:rPr>
                <w:rFonts w:cs="Arial"/>
                <w:i w:val="0"/>
                <w:iCs w:val="0"/>
              </w:rPr>
              <w:t xml:space="preserve"> </w:t>
            </w:r>
            <w:r w:rsidR="003B2211">
              <w:rPr>
                <w:rFonts w:cs="Arial"/>
                <w:i w:val="0"/>
                <w:iCs w:val="0"/>
              </w:rPr>
              <w:t>accountability</w:t>
            </w:r>
            <w:r w:rsidR="002B05CF">
              <w:rPr>
                <w:rFonts w:cs="Arial"/>
                <w:i w:val="0"/>
                <w:iCs w:val="0"/>
              </w:rPr>
              <w:t xml:space="preserve"> for employers who fail to maintain compulsory workers compensation insurance. The change is suitable because it directly </w:t>
            </w:r>
            <w:r w:rsidR="003B2211">
              <w:rPr>
                <w:rFonts w:cs="Arial"/>
                <w:i w:val="0"/>
                <w:iCs w:val="0"/>
              </w:rPr>
              <w:t>supports</w:t>
            </w:r>
            <w:r w:rsidR="002B05CF">
              <w:rPr>
                <w:rFonts w:cs="Arial"/>
                <w:i w:val="0"/>
                <w:iCs w:val="0"/>
              </w:rPr>
              <w:t xml:space="preserve"> the legislative </w:t>
            </w:r>
            <w:r w:rsidR="003B2211">
              <w:rPr>
                <w:rFonts w:cs="Arial"/>
                <w:i w:val="0"/>
                <w:iCs w:val="0"/>
              </w:rPr>
              <w:t>objective</w:t>
            </w:r>
            <w:r w:rsidR="002B05CF">
              <w:rPr>
                <w:rFonts w:cs="Arial"/>
                <w:i w:val="0"/>
                <w:iCs w:val="0"/>
              </w:rPr>
              <w:t xml:space="preserve"> of the WC Act</w:t>
            </w:r>
            <w:r w:rsidR="00DC13D3">
              <w:rPr>
                <w:rFonts w:cs="Arial"/>
                <w:i w:val="0"/>
                <w:iCs w:val="0"/>
              </w:rPr>
              <w:t xml:space="preserve"> in protecting workers by allowing su</w:t>
            </w:r>
            <w:r w:rsidR="00083BB8">
              <w:rPr>
                <w:rFonts w:cs="Arial"/>
                <w:i w:val="0"/>
                <w:iCs w:val="0"/>
              </w:rPr>
              <w:t xml:space="preserve">fficient time for the </w:t>
            </w:r>
            <w:r w:rsidR="00E415CA">
              <w:rPr>
                <w:rFonts w:cs="Arial"/>
                <w:i w:val="0"/>
                <w:iCs w:val="0"/>
              </w:rPr>
              <w:t>r</w:t>
            </w:r>
            <w:r w:rsidR="003B2211">
              <w:rPr>
                <w:rFonts w:cs="Arial"/>
                <w:i w:val="0"/>
                <w:iCs w:val="0"/>
              </w:rPr>
              <w:t>egulator</w:t>
            </w:r>
            <w:r w:rsidR="00083BB8">
              <w:rPr>
                <w:rFonts w:cs="Arial"/>
                <w:i w:val="0"/>
                <w:iCs w:val="0"/>
              </w:rPr>
              <w:t xml:space="preserve"> to investigate and respond to breaches</w:t>
            </w:r>
            <w:r w:rsidR="007B397D">
              <w:rPr>
                <w:rFonts w:cs="Arial"/>
                <w:i w:val="0"/>
                <w:iCs w:val="0"/>
              </w:rPr>
              <w:t xml:space="preserve">, </w:t>
            </w:r>
            <w:r w:rsidR="003B2211">
              <w:rPr>
                <w:rFonts w:cs="Arial"/>
                <w:i w:val="0"/>
                <w:iCs w:val="0"/>
              </w:rPr>
              <w:t>particularly</w:t>
            </w:r>
            <w:r w:rsidR="007B397D">
              <w:rPr>
                <w:rFonts w:cs="Arial"/>
                <w:i w:val="0"/>
                <w:iCs w:val="0"/>
              </w:rPr>
              <w:t xml:space="preserve"> those that are systemic or are only discovered after </w:t>
            </w:r>
            <w:r w:rsidR="003B2211">
              <w:rPr>
                <w:rFonts w:cs="Arial"/>
                <w:i w:val="0"/>
                <w:iCs w:val="0"/>
              </w:rPr>
              <w:t xml:space="preserve">significant delay. </w:t>
            </w:r>
          </w:p>
          <w:p w14:paraId="1A714F87" w14:textId="77777777" w:rsidR="00913A82" w:rsidRDefault="0043605A" w:rsidP="003E20A0">
            <w:pPr>
              <w:rPr>
                <w:rFonts w:cs="Arial"/>
                <w:i w:val="0"/>
                <w:iCs w:val="0"/>
              </w:rPr>
            </w:pPr>
            <w:r w:rsidRPr="00941E90">
              <w:rPr>
                <w:rFonts w:cs="Arial"/>
                <w:i w:val="0"/>
                <w:iCs w:val="0"/>
              </w:rPr>
              <w:t>It is necessary because no less restrictive alternative</w:t>
            </w:r>
            <w:r>
              <w:rPr>
                <w:rFonts w:cs="Arial"/>
                <w:i w:val="0"/>
                <w:iCs w:val="0"/>
              </w:rPr>
              <w:t xml:space="preserve">, </w:t>
            </w:r>
            <w:r w:rsidRPr="00941E90">
              <w:rPr>
                <w:rFonts w:cs="Arial"/>
                <w:i w:val="0"/>
                <w:iCs w:val="0"/>
              </w:rPr>
              <w:t>such as relying solely on civil remedies or administrative penalties</w:t>
            </w:r>
            <w:r>
              <w:rPr>
                <w:rFonts w:cs="Arial"/>
                <w:i w:val="0"/>
                <w:iCs w:val="0"/>
              </w:rPr>
              <w:t xml:space="preserve">, </w:t>
            </w:r>
            <w:r w:rsidRPr="00941E90">
              <w:rPr>
                <w:rFonts w:cs="Arial"/>
                <w:i w:val="0"/>
                <w:iCs w:val="0"/>
              </w:rPr>
              <w:t xml:space="preserve">would achieve the same deterrent effect or uphold the seriousness of the offence. These alternatives often lack the public denunciation and legal weight of criminal prosecution, especially in cases involving repeated or deliberate non-compliance. </w:t>
            </w:r>
          </w:p>
          <w:p w14:paraId="78C7D4A4" w14:textId="77777777" w:rsidR="00CD11D0" w:rsidRDefault="0043605A">
            <w:pPr>
              <w:rPr>
                <w:rFonts w:cs="Arial"/>
                <w:i w:val="0"/>
                <w:iCs w:val="0"/>
              </w:rPr>
            </w:pPr>
            <w:r w:rsidRPr="00941E90">
              <w:rPr>
                <w:rFonts w:cs="Arial"/>
                <w:i w:val="0"/>
                <w:iCs w:val="0"/>
              </w:rPr>
              <w:t xml:space="preserve">Importantly, the amendment is proportionate in the strict sense, as it does not introduce new offences or increase </w:t>
            </w:r>
            <w:r w:rsidRPr="0043605A">
              <w:rPr>
                <w:rFonts w:cs="Arial"/>
                <w:i w:val="0"/>
                <w:iCs w:val="0"/>
              </w:rPr>
              <w:t>penalties but</w:t>
            </w:r>
            <w:r w:rsidRPr="00941E90">
              <w:rPr>
                <w:rFonts w:cs="Arial"/>
                <w:i w:val="0"/>
                <w:iCs w:val="0"/>
              </w:rPr>
              <w:t xml:space="preserve"> simply extends the window for enforcement</w:t>
            </w:r>
            <w:r w:rsidR="00FC6EF9">
              <w:rPr>
                <w:rFonts w:cs="Arial"/>
                <w:i w:val="0"/>
                <w:iCs w:val="0"/>
              </w:rPr>
              <w:t xml:space="preserve"> of this particular section</w:t>
            </w:r>
            <w:r w:rsidRPr="00941E90">
              <w:rPr>
                <w:rFonts w:cs="Arial"/>
                <w:i w:val="0"/>
                <w:iCs w:val="0"/>
              </w:rPr>
              <w:t>. This ensures that serious breaches can be prosecuted even if discovered late, without imposing undue burden on compliant employers. Overall, the reform balances the rights of employers with the public interest in maintaining a robust and fair workers compensation system.</w:t>
            </w:r>
          </w:p>
          <w:p w14:paraId="698A40A0" w14:textId="7F49A23E" w:rsidR="001E3F51" w:rsidRPr="00B31851" w:rsidRDefault="001E3F51">
            <w:pPr>
              <w:rPr>
                <w:rFonts w:cs="Arial"/>
                <w:i w:val="0"/>
                <w:iCs w:val="0"/>
              </w:rPr>
            </w:pPr>
            <w:r>
              <w:rPr>
                <w:rFonts w:cs="Arial"/>
                <w:i w:val="0"/>
                <w:iCs w:val="0"/>
              </w:rPr>
              <w:t>A</w:t>
            </w:r>
            <w:r w:rsidRPr="00FA2DCA">
              <w:rPr>
                <w:rFonts w:cs="Arial"/>
                <w:i w:val="0"/>
                <w:iCs w:val="0"/>
              </w:rPr>
              <w:t>ppropriate safeguards, such as </w:t>
            </w:r>
            <w:r w:rsidRPr="00941E90">
              <w:rPr>
                <w:rFonts w:cs="Arial"/>
                <w:i w:val="0"/>
                <w:iCs w:val="0"/>
              </w:rPr>
              <w:t>use immunity provisions</w:t>
            </w:r>
            <w:r w:rsidRPr="00FA2DCA">
              <w:rPr>
                <w:rFonts w:cs="Arial"/>
                <w:i w:val="0"/>
                <w:iCs w:val="0"/>
              </w:rPr>
              <w:t xml:space="preserve"> that prevent compelled information from being used in criminal proceedings, are included, </w:t>
            </w:r>
            <w:r>
              <w:rPr>
                <w:rFonts w:cs="Arial"/>
                <w:i w:val="0"/>
                <w:iCs w:val="0"/>
              </w:rPr>
              <w:t>which makes the</w:t>
            </w:r>
            <w:r w:rsidRPr="00FA2DCA">
              <w:rPr>
                <w:rFonts w:cs="Arial"/>
                <w:i w:val="0"/>
                <w:iCs w:val="0"/>
              </w:rPr>
              <w:t xml:space="preserve"> limitation </w:t>
            </w:r>
            <w:r>
              <w:rPr>
                <w:rFonts w:cs="Arial"/>
                <w:i w:val="0"/>
                <w:iCs w:val="0"/>
              </w:rPr>
              <w:t>even more</w:t>
            </w:r>
            <w:r w:rsidRPr="00FA2DCA">
              <w:rPr>
                <w:rFonts w:cs="Arial"/>
                <w:i w:val="0"/>
                <w:iCs w:val="0"/>
              </w:rPr>
              <w:t xml:space="preserve"> </w:t>
            </w:r>
            <w:r>
              <w:rPr>
                <w:rFonts w:cs="Arial"/>
                <w:i w:val="0"/>
                <w:iCs w:val="0"/>
              </w:rPr>
              <w:t>proportionate</w:t>
            </w:r>
            <w:r w:rsidRPr="00FA2DCA">
              <w:rPr>
                <w:rFonts w:cs="Arial"/>
                <w:i w:val="0"/>
                <w:iCs w:val="0"/>
              </w:rPr>
              <w:t>. These safeguards help balance individual rights with the broader need to protect workers and uphold public safety.</w:t>
            </w:r>
          </w:p>
        </w:tc>
      </w:tr>
    </w:tbl>
    <w:p w14:paraId="4F215DC5" w14:textId="77777777" w:rsidR="00FB2A60" w:rsidRPr="00B31851" w:rsidRDefault="00FB2A60" w:rsidP="00BF0AEB">
      <w:pPr>
        <w:rPr>
          <w:rFonts w:cs="Arial"/>
          <w:i w:val="0"/>
          <w:iCs w:val="0"/>
          <w:u w:val="single"/>
        </w:rPr>
      </w:pPr>
    </w:p>
    <w:p w14:paraId="1DABBB21" w14:textId="0C2AC9D3" w:rsidR="005F21DB" w:rsidRPr="00BA7229" w:rsidRDefault="00DC6A06" w:rsidP="005F21DB">
      <w:pPr>
        <w:rPr>
          <w:rFonts w:cs="Arial"/>
          <w:u w:val="single"/>
        </w:rPr>
      </w:pPr>
      <w:r>
        <w:rPr>
          <w:rFonts w:cs="Arial"/>
          <w:u w:val="single"/>
        </w:rPr>
        <w:t>W</w:t>
      </w:r>
      <w:r w:rsidR="005F21DB" w:rsidRPr="00BA7229">
        <w:rPr>
          <w:rFonts w:cs="Arial"/>
          <w:u w:val="single"/>
        </w:rPr>
        <w:t>C Act amendments (</w:t>
      </w:r>
      <w:r w:rsidR="006473B7">
        <w:rPr>
          <w:rFonts w:cs="Arial"/>
          <w:u w:val="single"/>
        </w:rPr>
        <w:t>new</w:t>
      </w:r>
      <w:r w:rsidR="005F21DB" w:rsidRPr="00BA7229">
        <w:rPr>
          <w:rFonts w:cs="Arial"/>
          <w:u w:val="single"/>
        </w:rPr>
        <w:t xml:space="preserve"> payment</w:t>
      </w:r>
      <w:r w:rsidR="006473B7">
        <w:rPr>
          <w:rFonts w:cs="Arial"/>
          <w:u w:val="single"/>
        </w:rPr>
        <w:t xml:space="preserve"> type</w:t>
      </w:r>
      <w:r w:rsidR="005F21DB" w:rsidRPr="00BA7229">
        <w:rPr>
          <w:rFonts w:cs="Arial"/>
          <w:u w:val="single"/>
        </w:rPr>
        <w:t>) – rights limited</w:t>
      </w:r>
    </w:p>
    <w:p w14:paraId="6036A0D3" w14:textId="4398D3DB"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Nature of the right and limitation (section 28(2)(a</w:t>
      </w:r>
      <w:r w:rsidRPr="00AA21D2">
        <w:rPr>
          <w:rFonts w:cs="Arial"/>
          <w:b/>
          <w:bCs/>
        </w:rPr>
        <w:t>) and (c</w:t>
      </w:r>
      <w:r w:rsidRPr="00AA21D2">
        <w:rPr>
          <w:rFonts w:cs="Arial"/>
          <w:b/>
        </w:rPr>
        <w:t>))</w:t>
      </w:r>
    </w:p>
    <w:p w14:paraId="2AC4B59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bookmarkStart w:id="2" w:name="_Hlk206593529"/>
      <w:r w:rsidRPr="005B1A04">
        <w:rPr>
          <w:rFonts w:cs="Arial"/>
          <w:i w:val="0"/>
          <w:iCs w:val="0"/>
          <w:kern w:val="0"/>
          <w:lang w:eastAsia="en-AU"/>
          <w14:ligatures w14:val="none"/>
        </w:rPr>
        <w:t>The limitation imposed by amendments to the WC Act, new part 4.9 in clause 28 of the Bill, introducing an initiative to meet the immediate impact on household members following the death of a worker results in overlapping impacts on several key rights under the HR Act that are addressed below. These include:</w:t>
      </w:r>
    </w:p>
    <w:p w14:paraId="57763944"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the right to recognition and equality before the law</w:t>
      </w:r>
    </w:p>
    <w:p w14:paraId="6D7FCB61"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the right to protection of the family and children, and</w:t>
      </w:r>
    </w:p>
    <w:p w14:paraId="5AAA34BC"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cultural and other rights of Aboriginal Torres Strait Islander peoples and other minorities.</w:t>
      </w:r>
    </w:p>
    <w:p w14:paraId="4EB5EABC" w14:textId="512F30E1"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lastRenderedPageBreak/>
        <w:t>While each of these rights are distinct, they are closely interconnected in this context, as the limitations engaged relate</w:t>
      </w:r>
      <w:r w:rsidR="001761D2">
        <w:rPr>
          <w:rFonts w:cs="Arial"/>
          <w:i w:val="0"/>
          <w:iCs w:val="0"/>
          <w:kern w:val="0"/>
          <w:lang w:eastAsia="en-AU"/>
          <w14:ligatures w14:val="none"/>
        </w:rPr>
        <w:t xml:space="preserve"> to</w:t>
      </w:r>
      <w:r w:rsidRPr="005B1A04">
        <w:rPr>
          <w:rFonts w:cs="Arial"/>
          <w:i w:val="0"/>
          <w:iCs w:val="0"/>
          <w:kern w:val="0"/>
          <w:lang w:eastAsia="en-AU"/>
          <w14:ligatures w14:val="none"/>
        </w:rPr>
        <w:t xml:space="preserve"> who may access the new compensation payment on the death of a worker. </w:t>
      </w:r>
    </w:p>
    <w:p w14:paraId="33FB115A" w14:textId="3C671386"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Specifically, the amendment identifies those who may access the new payment as a domestic partner, child and/or parent including a stepchild and stepparent, who lived with the deceased worker at some point in the 6-months preceding the loss. This enables the payment to be directed to those most likely to bear an immediate burden following the worker’s death while being able to achieve the intended purpose of a streamlined payment available immediately after a workplace death. This payment is in addition to other workers’ compensation payments on the death of a worker that would be available to compensate financial dependants under the WC Act.</w:t>
      </w:r>
    </w:p>
    <w:p w14:paraId="41D5887B"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8, recognition and equality before the law</w:t>
      </w:r>
    </w:p>
    <w:p w14:paraId="37E1A7E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8 of the HR Act affirms that everyone is equal before the law and has the same right to equal and effective protection against discrimination. </w:t>
      </w:r>
    </w:p>
    <w:p w14:paraId="0CC8CF0C" w14:textId="3BA80049" w:rsid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 limitation on this right is considered to be engaged in so far as the payment is only being made available to certain household members of the deceased worker and may, as a result, exclude in some circumstances others who might also live in the household with the deceased or have culturally significant caring relationship with the worker. </w:t>
      </w:r>
    </w:p>
    <w:p w14:paraId="1DB382A9"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11</w:t>
      </w:r>
      <w:r>
        <w:rPr>
          <w:rFonts w:cs="Arial"/>
          <w:kern w:val="0"/>
          <w:lang w:eastAsia="en-AU"/>
          <w14:ligatures w14:val="none"/>
        </w:rPr>
        <w:t>,</w:t>
      </w:r>
      <w:r w:rsidRPr="000C1D9D">
        <w:rPr>
          <w:rFonts w:cs="Arial"/>
          <w:kern w:val="0"/>
          <w:lang w:eastAsia="en-AU"/>
          <w14:ligatures w14:val="none"/>
        </w:rPr>
        <w:t xml:space="preserve"> protection of the family and children</w:t>
      </w:r>
    </w:p>
    <w:p w14:paraId="0AA856E7"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11 of the HR Act recognises the family as a fundamental unit of society entitled to protection. These rights ensure individuals in family relationships are treated fairly. </w:t>
      </w:r>
    </w:p>
    <w:p w14:paraId="771A96A9"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Similar to the engagement of rights under section 8 of the HR Act, this right may be engaged as a result of access to the new payment being provided to specified immediate family members that have resided with the worker at some time within the 6 months before the death of the worker. Relevantly, a </w:t>
      </w:r>
      <w:r w:rsidRPr="005B1A04">
        <w:rPr>
          <w:rFonts w:cs="Arial"/>
          <w:i w:val="0"/>
          <w:iCs w:val="0"/>
          <w:color w:val="0D0D0D" w:themeColor="text1" w:themeTint="F2"/>
        </w:rPr>
        <w:t>domestic partner, children, step-children, parents and step-parents of workers who die at work and who had at some time in the six-months prior to their death, lived with the worker will be able to access this new payment type.</w:t>
      </w:r>
    </w:p>
    <w:p w14:paraId="5212BAD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It is however acknowledged that a limitation may derive from some instances where the specified family members may mean that some other family members that may also have resided with the worker would not be able to access this payment. </w:t>
      </w:r>
    </w:p>
    <w:p w14:paraId="3395D3A5"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27</w:t>
      </w:r>
      <w:r>
        <w:rPr>
          <w:rFonts w:cs="Arial"/>
          <w:kern w:val="0"/>
          <w:lang w:eastAsia="en-AU"/>
          <w14:ligatures w14:val="none"/>
        </w:rPr>
        <w:t>,</w:t>
      </w:r>
      <w:r w:rsidRPr="000C1D9D">
        <w:rPr>
          <w:rFonts w:cs="Arial"/>
          <w:kern w:val="0"/>
          <w:lang w:eastAsia="en-AU"/>
          <w14:ligatures w14:val="none"/>
        </w:rPr>
        <w:t xml:space="preserve"> cultural and other rights of Aboriginal Torres Strait Islander peoples and other minorities</w:t>
      </w:r>
    </w:p>
    <w:p w14:paraId="15E5341D"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27 of the HR Act protects every individual’s right to enjoy their culture, practice their religion and use their language. The concept of family and caregiving relationships can be broad and often deeply rooted in cultural traditions. </w:t>
      </w:r>
    </w:p>
    <w:p w14:paraId="150D07D7" w14:textId="77777777" w:rsidR="005F21DB" w:rsidRPr="005B1A04" w:rsidRDefault="005F21DB" w:rsidP="005F21DB">
      <w:pPr>
        <w:spacing w:before="100" w:beforeAutospacing="1" w:after="100" w:afterAutospacing="1" w:line="240" w:lineRule="auto"/>
        <w:rPr>
          <w:rFonts w:cs="Arial"/>
          <w:i w:val="0"/>
          <w:iCs w:val="0"/>
          <w:color w:val="0D0D0D" w:themeColor="text1" w:themeTint="F2"/>
        </w:rPr>
      </w:pPr>
      <w:r w:rsidRPr="005B1A04">
        <w:rPr>
          <w:rFonts w:cs="Arial"/>
          <w:i w:val="0"/>
          <w:iCs w:val="0"/>
          <w:kern w:val="0"/>
          <w:lang w:eastAsia="en-AU"/>
          <w14:ligatures w14:val="none"/>
        </w:rPr>
        <w:t xml:space="preserve">As for the other rights above, this right may be engaged as a result of access to the new payment being provided to specified immediate family members that have </w:t>
      </w:r>
      <w:r w:rsidRPr="005B1A04">
        <w:rPr>
          <w:rFonts w:cs="Arial"/>
          <w:i w:val="0"/>
          <w:iCs w:val="0"/>
          <w:kern w:val="0"/>
          <w:lang w:eastAsia="en-AU"/>
          <w14:ligatures w14:val="none"/>
        </w:rPr>
        <w:lastRenderedPageBreak/>
        <w:t xml:space="preserve">resided with the worker at some time within the 6 months before the death of the worker. Relevantly, a </w:t>
      </w:r>
      <w:r w:rsidRPr="005B1A04">
        <w:rPr>
          <w:rFonts w:cs="Arial"/>
          <w:i w:val="0"/>
          <w:iCs w:val="0"/>
          <w:color w:val="0D0D0D" w:themeColor="text1" w:themeTint="F2"/>
        </w:rPr>
        <w:t>domestic partner, children, step-children, parents and step</w:t>
      </w:r>
      <w:r w:rsidRPr="005B1A04">
        <w:rPr>
          <w:rFonts w:cs="Arial"/>
          <w:i w:val="0"/>
          <w:iCs w:val="0"/>
          <w:color w:val="0D0D0D" w:themeColor="text1" w:themeTint="F2"/>
        </w:rPr>
        <w:noBreakHyphen/>
        <w:t>parents of workers who die at work and who had at some time in the six-months prior to their death, lived with the worker will be able to access this new payment type.</w:t>
      </w:r>
    </w:p>
    <w:p w14:paraId="2FF28BA3"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There may be instances where this right is engaged in so far as the new payment is limited to some family relationships within a household, where it does not extend to all culturally diverse familial or Aboriginal Torres Strait Islander people kinship relationships. </w:t>
      </w:r>
    </w:p>
    <w:bookmarkEnd w:id="2"/>
    <w:p w14:paraId="06E3BF77" w14:textId="59046162"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Legitimate purpose (section 28(2)(b))</w:t>
      </w:r>
    </w:p>
    <w:p w14:paraId="6A34E423"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There is national recognition that industrial deaths have catastrophic and lifelong effects. </w:t>
      </w:r>
    </w:p>
    <w:p w14:paraId="0A20FD7E"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In 2018, the Australian Senate carried out an inquiry into the </w:t>
      </w:r>
      <w:r w:rsidRPr="005B1A04">
        <w:rPr>
          <w:rFonts w:eastAsia="Arial" w:cs="Arial"/>
          <w:i w:val="0"/>
          <w:iCs w:val="0"/>
        </w:rPr>
        <w:t>prevention, investigation and prosecution of industrial deaths in Australia.</w:t>
      </w:r>
      <w:r w:rsidRPr="005B1A04">
        <w:rPr>
          <w:rFonts w:cs="Arial"/>
          <w:i w:val="0"/>
          <w:iCs w:val="0"/>
          <w:lang w:eastAsia="en-AU"/>
        </w:rPr>
        <w:t xml:space="preserve"> The inquiry highlighted the devastating personal, social and economic effects of a death on families of the deceased worker. </w:t>
      </w:r>
    </w:p>
    <w:p w14:paraId="2EA97808"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In 2020 Safe Work Australia, the national policy body conducted in-depth work which has resulted in the development of the National Principles. The National Principles are intended for jurisdictions to</w:t>
      </w:r>
      <w:r w:rsidRPr="005B1A04">
        <w:rPr>
          <w:rFonts w:eastAsia="Arial" w:cs="Arial"/>
          <w:i w:val="0"/>
          <w:iCs w:val="0"/>
        </w:rPr>
        <w:t xml:space="preserve"> provide a high-level framework to implement family-centred policies and practices at the operational level to support bereaved families impacted by an industrial death. Key concepts featured in the National Principles are “timeliness” and “support”. </w:t>
      </w:r>
    </w:p>
    <w:p w14:paraId="366E99A8" w14:textId="240EFE53"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establishment of the provision promotes the National Principle</w:t>
      </w:r>
      <w:r w:rsidR="006B61AC">
        <w:rPr>
          <w:rFonts w:cs="Arial"/>
          <w:i w:val="0"/>
          <w:iCs w:val="0"/>
          <w:lang w:eastAsia="en-AU"/>
        </w:rPr>
        <w:t>s</w:t>
      </w:r>
      <w:r w:rsidRPr="005B1A04">
        <w:rPr>
          <w:rFonts w:cs="Arial"/>
          <w:i w:val="0"/>
          <w:iCs w:val="0"/>
          <w:lang w:eastAsia="en-AU"/>
        </w:rPr>
        <w:t xml:space="preserve"> and addresses compensation gap</w:t>
      </w:r>
      <w:r w:rsidR="007603D5">
        <w:rPr>
          <w:rFonts w:cs="Arial"/>
          <w:i w:val="0"/>
          <w:iCs w:val="0"/>
          <w:lang w:eastAsia="en-AU"/>
        </w:rPr>
        <w:t>s</w:t>
      </w:r>
      <w:r w:rsidRPr="005B1A04">
        <w:rPr>
          <w:rFonts w:cs="Arial"/>
          <w:i w:val="0"/>
          <w:iCs w:val="0"/>
          <w:lang w:eastAsia="en-AU"/>
        </w:rPr>
        <w:t xml:space="preserve"> by alleviating immediate financial burden through financial payment to impacted families in a timely manner. Whilst the </w:t>
      </w:r>
      <w:r w:rsidR="006B61AC">
        <w:rPr>
          <w:rFonts w:cs="Arial"/>
          <w:i w:val="0"/>
          <w:iCs w:val="0"/>
          <w:lang w:eastAsia="en-AU"/>
        </w:rPr>
        <w:t>WC Act</w:t>
      </w:r>
      <w:r w:rsidRPr="005B1A04">
        <w:rPr>
          <w:rFonts w:cs="Arial"/>
          <w:i w:val="0"/>
          <w:iCs w:val="0"/>
          <w:lang w:eastAsia="en-AU"/>
        </w:rPr>
        <w:t xml:space="preserve"> already provides for death benefit payment under section 77, this provision maintains determination of liability for a claim to be successful. The claims under section 77 can be a prolonged process as it can be complex, requiring evidentiary proof and in some circumstances needing the </w:t>
      </w:r>
      <w:r w:rsidRPr="005B1A04">
        <w:rPr>
          <w:rFonts w:eastAsia="Arial" w:cs="Arial"/>
          <w:i w:val="0"/>
          <w:iCs w:val="0"/>
        </w:rPr>
        <w:t>process for handling disputes related to compensation claims, including the need for an insurer to either accept liability and pay the claim or refer the matter to the Courts for determination. Compensation payment under section 77 may not assist in the immediate need and may not be guaranteed</w:t>
      </w:r>
      <w:r w:rsidRPr="005B1A04">
        <w:rPr>
          <w:rFonts w:cs="Arial"/>
          <w:i w:val="0"/>
          <w:iCs w:val="0"/>
          <w:lang w:eastAsia="en-AU"/>
        </w:rPr>
        <w:t xml:space="preserve">. </w:t>
      </w:r>
    </w:p>
    <w:p w14:paraId="4C099833" w14:textId="5D6BB6EF"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Research has shown that for every worker killed in a workplace, there will typically be 12-20 family members, close friends and colleagues who will be affected by the death. The purpose of the household (cohabitation) requirement is to </w:t>
      </w:r>
      <w:r w:rsidR="007E0DB9" w:rsidRPr="007E0DB9">
        <w:rPr>
          <w:rFonts w:cs="Arial"/>
          <w:i w:val="0"/>
          <w:iCs w:val="0"/>
          <w:lang w:eastAsia="en-AU"/>
        </w:rPr>
        <w:t>establish an objective and administratively simple eligibility test that is able to be applied very quickly, while directing payment to family members most likely to incur immediate and urgent financial pressure.</w:t>
      </w:r>
      <w:r w:rsidRPr="005B1A04">
        <w:rPr>
          <w:rFonts w:cs="Arial"/>
          <w:i w:val="0"/>
          <w:iCs w:val="0"/>
          <w:lang w:eastAsia="en-AU"/>
        </w:rPr>
        <w:t xml:space="preserve"> This approach not only supports administrative certainty</w:t>
      </w:r>
      <w:r w:rsidR="009625C7">
        <w:rPr>
          <w:rFonts w:cs="Arial"/>
          <w:i w:val="0"/>
          <w:iCs w:val="0"/>
          <w:lang w:eastAsia="en-AU"/>
        </w:rPr>
        <w:t xml:space="preserve"> </w:t>
      </w:r>
      <w:r w:rsidRPr="005B1A04">
        <w:rPr>
          <w:rFonts w:cs="Arial"/>
          <w:i w:val="0"/>
          <w:iCs w:val="0"/>
          <w:lang w:eastAsia="en-AU"/>
        </w:rPr>
        <w:t>and ensures employer-funded statutory schemes are distributed fairly and proportionately.</w:t>
      </w:r>
    </w:p>
    <w:p w14:paraId="2720B206" w14:textId="1F59013C"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limitation is necessary to ensure that </w:t>
      </w:r>
      <w:r w:rsidR="00344B96" w:rsidRPr="00344B96">
        <w:rPr>
          <w:rFonts w:cs="Arial"/>
          <w:i w:val="0"/>
          <w:iCs w:val="0"/>
          <w:lang w:eastAsia="en-AU"/>
        </w:rPr>
        <w:t xml:space="preserve">the limited amount of additional compensation is directed quickly to those family members most likely to incur and be </w:t>
      </w:r>
      <w:r w:rsidR="00344B96" w:rsidRPr="00344B96">
        <w:rPr>
          <w:rFonts w:cs="Arial"/>
          <w:i w:val="0"/>
          <w:iCs w:val="0"/>
          <w:lang w:eastAsia="en-AU"/>
        </w:rPr>
        <w:lastRenderedPageBreak/>
        <w:t>responsible for meeting the immediate financial impact of a work related death</w:t>
      </w:r>
      <w:r w:rsidRPr="005B1A04">
        <w:rPr>
          <w:rFonts w:cs="Arial"/>
          <w:i w:val="0"/>
          <w:iCs w:val="0"/>
          <w:lang w:eastAsia="en-AU"/>
        </w:rPr>
        <w:t xml:space="preserve">. This secures the integrity, sustainability and economic viability of the workers compensation scheme remaining intact. </w:t>
      </w:r>
    </w:p>
    <w:p w14:paraId="2C5A4D53" w14:textId="77777777" w:rsidR="005F21DB" w:rsidRDefault="005F21DB" w:rsidP="005F21DB">
      <w:pPr>
        <w:spacing w:beforeAutospacing="1" w:afterAutospacing="1" w:line="240" w:lineRule="auto"/>
        <w:rPr>
          <w:rFonts w:cs="Arial"/>
          <w:i w:val="0"/>
          <w:lang w:eastAsia="en-AU"/>
        </w:rPr>
      </w:pPr>
      <w:r w:rsidRPr="3DB157F3">
        <w:rPr>
          <w:rFonts w:cs="Arial"/>
          <w:lang w:eastAsia="en-AU"/>
        </w:rPr>
        <w:t>Section 8</w:t>
      </w:r>
      <w:r>
        <w:rPr>
          <w:rFonts w:cs="Arial"/>
          <w:lang w:eastAsia="en-AU"/>
        </w:rPr>
        <w:t>,</w:t>
      </w:r>
      <w:r w:rsidRPr="3DB157F3">
        <w:rPr>
          <w:rFonts w:cs="Arial"/>
          <w:lang w:eastAsia="en-AU"/>
        </w:rPr>
        <w:t xml:space="preserve"> equality before the law</w:t>
      </w:r>
    </w:p>
    <w:p w14:paraId="1F552506"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provision intends to provide immediate financial support to a worker’s household in the event of a work-related death and is limited to members of the household as defined under the provision, with each having equal rights to make claim for compensation under the provision. It is a small immediate payment of either $5,000 or $10,000 intended to help meet household needs following a workplace death in addition to other workers compensation benefits that may be claimed.</w:t>
      </w:r>
    </w:p>
    <w:p w14:paraId="207A0FAE"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limitation is premised on the direct impact of the death to close family members, allowing for streamlined payment processes that is not tied to lengthy processes requiring determination of liability or financial dependency. </w:t>
      </w:r>
    </w:p>
    <w:p w14:paraId="05B8380B"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Members who fall under a broader category of family may be entitled to other compensatory entitlements under the WC Act. </w:t>
      </w:r>
    </w:p>
    <w:p w14:paraId="074AA975" w14:textId="515CE83F" w:rsidR="005F21DB" w:rsidRDefault="005F21DB" w:rsidP="00AF5CC8">
      <w:pPr>
        <w:keepNext/>
        <w:spacing w:beforeAutospacing="1" w:afterAutospacing="1" w:line="240" w:lineRule="auto"/>
        <w:rPr>
          <w:rFonts w:cs="Arial"/>
          <w:i w:val="0"/>
          <w:lang w:eastAsia="en-AU"/>
        </w:rPr>
      </w:pPr>
      <w:r w:rsidRPr="44985500">
        <w:rPr>
          <w:rFonts w:cs="Arial"/>
          <w:lang w:eastAsia="en-AU"/>
        </w:rPr>
        <w:t>Section 11</w:t>
      </w:r>
      <w:r>
        <w:rPr>
          <w:rFonts w:cs="Arial"/>
          <w:lang w:eastAsia="en-AU"/>
        </w:rPr>
        <w:t>,</w:t>
      </w:r>
      <w:r w:rsidRPr="44985500">
        <w:rPr>
          <w:rFonts w:cs="Arial"/>
          <w:lang w:eastAsia="en-AU"/>
        </w:rPr>
        <w:t xml:space="preserve"> protection of the family and children</w:t>
      </w:r>
    </w:p>
    <w:p w14:paraId="5653AE77"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WC Act establishes a range of compensation benefits, including those payable in response to worker deaths, to ensure a worker’s family and dependent children are financially cared for.  These existing measures, which include lump sum payments, payments for funeral expenses and weekly compensation arrangements, are not impacted by the new provision. </w:t>
      </w:r>
    </w:p>
    <w:p w14:paraId="6358F793" w14:textId="2A3EE345"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immediate crisis payment recognises that compensation payable to dependents or family members may not be made in the immediate term of crisis following a workers’ death</w:t>
      </w:r>
      <w:r w:rsidR="00AC6B6F">
        <w:rPr>
          <w:rFonts w:cs="Arial"/>
          <w:i w:val="0"/>
          <w:iCs w:val="0"/>
          <w:lang w:eastAsia="en-AU"/>
        </w:rPr>
        <w:t>,</w:t>
      </w:r>
      <w:r w:rsidRPr="005B1A04">
        <w:rPr>
          <w:rFonts w:cs="Arial"/>
          <w:i w:val="0"/>
          <w:iCs w:val="0"/>
          <w:lang w:eastAsia="en-AU"/>
        </w:rPr>
        <w:t xml:space="preserve"> particularly where compensation if arrangements for dependent children need to be considered by the court.  As such, the immediate payment amount is not restricted by evidentiary obligations to demonstrate financial dependence, but by the relationship of the household.  </w:t>
      </w:r>
    </w:p>
    <w:p w14:paraId="671EB544" w14:textId="7A8FA6E9"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This approach allows the least restrictive mechanism for payment ensuring it reaches the household when it</w:t>
      </w:r>
      <w:r w:rsidR="00C54B4E">
        <w:rPr>
          <w:rFonts w:cs="Arial"/>
          <w:i w:val="0"/>
          <w:iCs w:val="0"/>
          <w:lang w:eastAsia="en-AU"/>
        </w:rPr>
        <w:t xml:space="preserve"> i</w:t>
      </w:r>
      <w:r w:rsidRPr="005B1A04">
        <w:rPr>
          <w:rFonts w:cs="Arial"/>
          <w:i w:val="0"/>
          <w:iCs w:val="0"/>
          <w:lang w:eastAsia="en-AU"/>
        </w:rPr>
        <w:t xml:space="preserve">s </w:t>
      </w:r>
      <w:r w:rsidR="00C54B4E">
        <w:rPr>
          <w:rFonts w:cs="Arial"/>
          <w:i w:val="0"/>
          <w:iCs w:val="0"/>
          <w:lang w:eastAsia="en-AU"/>
        </w:rPr>
        <w:t xml:space="preserve">most </w:t>
      </w:r>
      <w:r w:rsidRPr="005B1A04">
        <w:rPr>
          <w:rFonts w:cs="Arial"/>
          <w:i w:val="0"/>
          <w:iCs w:val="0"/>
          <w:lang w:eastAsia="en-AU"/>
        </w:rPr>
        <w:t xml:space="preserve">needed.  </w:t>
      </w:r>
    </w:p>
    <w:p w14:paraId="201CDD01" w14:textId="77777777" w:rsidR="005F21DB" w:rsidRDefault="005F21DB" w:rsidP="005F21DB">
      <w:pPr>
        <w:spacing w:beforeAutospacing="1" w:afterAutospacing="1" w:line="240" w:lineRule="auto"/>
        <w:rPr>
          <w:rFonts w:cs="Arial"/>
          <w:lang w:eastAsia="en-AU"/>
        </w:rPr>
      </w:pPr>
      <w:r w:rsidRPr="0C4A1CDD">
        <w:rPr>
          <w:rFonts w:cs="Arial"/>
          <w:lang w:eastAsia="en-AU"/>
        </w:rPr>
        <w:t>Section 27</w:t>
      </w:r>
      <w:r>
        <w:rPr>
          <w:rFonts w:cs="Arial"/>
          <w:lang w:eastAsia="en-AU"/>
        </w:rPr>
        <w:t>,</w:t>
      </w:r>
      <w:r w:rsidRPr="25FFA854">
        <w:rPr>
          <w:rFonts w:cs="Arial"/>
          <w:lang w:eastAsia="en-AU"/>
        </w:rPr>
        <w:t xml:space="preserve"> </w:t>
      </w:r>
      <w:r w:rsidRPr="25FFA854">
        <w:rPr>
          <w:rFonts w:eastAsia="Arial" w:cs="Arial"/>
        </w:rPr>
        <w:t>Cultural and other rights of Aboriginal and Torres Strait Islander peoples and other minorities</w:t>
      </w:r>
    </w:p>
    <w:p w14:paraId="0E57270A" w14:textId="3D643830"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In addition to the above explanation of the legitimate purpose of the new payment, in relation to this right the legitimate purpose of the household requirement is needed to ensure that the payment is provided to those directly impacted following the death of a worker consistent with the policy intent of helping to meet immediate household needs. Thus ensuring that this payment is able to be made immediately, in instances where liability is likely not to have been determined yet.</w:t>
      </w:r>
    </w:p>
    <w:p w14:paraId="40815C89"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Through this policy, the payment provides immediate financial support that helps members of the workers immediate family and may otherwise experience financial hardship as a result of the death.</w:t>
      </w:r>
    </w:p>
    <w:p w14:paraId="3DC7CC8F" w14:textId="6617758B"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lastRenderedPageBreak/>
        <w:t>Rational connection between the limitation and the purpose (section</w:t>
      </w:r>
      <w:r w:rsidR="00AD08C9">
        <w:rPr>
          <w:rFonts w:cs="Arial"/>
          <w:b/>
        </w:rPr>
        <w:t> </w:t>
      </w:r>
      <w:r w:rsidRPr="00AA21D2">
        <w:rPr>
          <w:rFonts w:cs="Arial"/>
          <w:b/>
        </w:rPr>
        <w:t>28(2)(d))</w:t>
      </w:r>
    </w:p>
    <w:p w14:paraId="34FF6D28" w14:textId="77777777" w:rsidR="005F21DB" w:rsidRPr="005B1A04" w:rsidRDefault="005F21DB" w:rsidP="005F21DB">
      <w:pPr>
        <w:rPr>
          <w:rFonts w:cs="Arial"/>
          <w:i w:val="0"/>
          <w:iCs w:val="0"/>
          <w:lang w:eastAsia="en-AU"/>
        </w:rPr>
      </w:pPr>
      <w:r w:rsidRPr="005B1A04">
        <w:rPr>
          <w:rFonts w:cs="Arial"/>
          <w:i w:val="0"/>
          <w:iCs w:val="0"/>
          <w:lang w:eastAsia="en-AU"/>
        </w:rPr>
        <w:t xml:space="preserve">There is a rational connection between limiting the eligibility and the aim of the amendment to provide quick and consistent payments. The specified cohort of eligible individuals achieves the administrative purpose of determining entitlement without ambiguity ensuring a timely payment during a time of crisis. These eligibility requirements provide a simple and clear understanding for all, reduces the risk of multiple or competing claims, and avoids complex cultural or relational assessment that might otherwise delay the payment. </w:t>
      </w:r>
    </w:p>
    <w:p w14:paraId="460B5DE4" w14:textId="77777777" w:rsidR="005F21DB" w:rsidRPr="005B1A04" w:rsidRDefault="005F21DB" w:rsidP="005F21DB">
      <w:pPr>
        <w:rPr>
          <w:rFonts w:cs="Arial"/>
          <w:i w:val="0"/>
          <w:iCs w:val="0"/>
          <w:lang w:eastAsia="en-AU"/>
        </w:rPr>
      </w:pPr>
      <w:r w:rsidRPr="005B1A04">
        <w:rPr>
          <w:rFonts w:cs="Arial"/>
          <w:i w:val="0"/>
          <w:iCs w:val="0"/>
          <w:lang w:eastAsia="en-AU"/>
        </w:rPr>
        <w:t>The amendment creates a clear and streamlined framework for payment decisions, minimising delays and achieving its purpose to alleviate some financial strain during a tragic and difficult time. It avoids subjective determinations of relationship closeness and dependency.</w:t>
      </w:r>
    </w:p>
    <w:p w14:paraId="3D1DBCCF" w14:textId="77777777" w:rsidR="005F21DB" w:rsidRPr="005B1A04" w:rsidRDefault="005F21DB" w:rsidP="005F21DB">
      <w:pPr>
        <w:rPr>
          <w:rFonts w:cs="Arial"/>
          <w:i w:val="0"/>
          <w:iCs w:val="0"/>
          <w:lang w:eastAsia="en-AU"/>
        </w:rPr>
      </w:pPr>
      <w:r w:rsidRPr="005B1A04">
        <w:rPr>
          <w:rFonts w:cs="Arial"/>
          <w:i w:val="0"/>
          <w:iCs w:val="0"/>
          <w:lang w:eastAsia="en-AU"/>
        </w:rPr>
        <w:t>The six-month residential requirement is rationally connected to the purpose, being to provide a clear and objective threshold and ensure the compensation reflects the immediate need. Relevantly, it is an evidentiary requirement and is not intended to mean that the person must have physically lived with the worker for the full 6 months in order to receive the payment.</w:t>
      </w:r>
    </w:p>
    <w:p w14:paraId="38E127E4" w14:textId="77777777" w:rsidR="005F21DB" w:rsidRPr="00193EFC" w:rsidRDefault="005F21DB" w:rsidP="005F21DB">
      <w:pPr>
        <w:rPr>
          <w:rFonts w:cs="Arial"/>
          <w:lang w:eastAsia="en-AU"/>
        </w:rPr>
      </w:pPr>
      <w:r w:rsidRPr="005B1A04">
        <w:rPr>
          <w:rFonts w:cs="Arial"/>
          <w:i w:val="0"/>
          <w:iCs w:val="0"/>
          <w:lang w:eastAsia="en-AU"/>
        </w:rPr>
        <w:t>The household requirement, along with the specified family members eligible to receive the payment will mean that this small additional payment to existing workers compensation benefits is able to be paid and is paid to assist in meeting immediate household needs following a workplace death</w:t>
      </w:r>
      <w:r>
        <w:rPr>
          <w:rFonts w:cs="Arial"/>
          <w:lang w:eastAsia="en-AU"/>
        </w:rPr>
        <w:t>.</w:t>
      </w:r>
    </w:p>
    <w:p w14:paraId="30C435BD" w14:textId="2D055267"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Proportionality section 28(2)(e))</w:t>
      </w:r>
    </w:p>
    <w:p w14:paraId="724E5A5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While there may be less restrictive means such as removing the household requirement or expanding the specified recipients of the payment these would need to be given careful consideration to ensure that they do not undermine the policy intent of immediate access to financial support for household needs or create other unintended inequities.</w:t>
      </w:r>
    </w:p>
    <w:p w14:paraId="42EBBA4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This is particularly the case where it is likely that an expansion of recipients would introduce factors that have the effect of delaying payment because they require the assessment of priority of needs arising from the death of the worker and genuine relationship determinations.</w:t>
      </w:r>
    </w:p>
    <w:p w14:paraId="68562283"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On balance, the current limitation is considered proportionate given the size and intended purpose of the payment, particularly as mechanisms of a review are available which will allow the application of the criteria to be considered in individual cases, for example regarding situations where a family member may be considered to have lived with the worker for a period during the last six months.</w:t>
      </w:r>
    </w:p>
    <w:p w14:paraId="4B76EAEF"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While the impact of the limitation is moderate and may exclude certain individuals from receiving the payment this is necessary and proportionate to balance the need for fair access to compensation payments and the responsible management of financial resources, being the premiums collected from compulsory insurance policies. </w:t>
      </w:r>
    </w:p>
    <w:p w14:paraId="2C1FA985"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lastRenderedPageBreak/>
        <w:t xml:space="preserve">Further, the provision establishes a regulation making power that will allow for other areas of immediate need for financial compensation in the event of a workplace death to be considered and developed. It is the intent that this regulation will be developed in consultation with stakeholders, including the Justice and Community Safety Directorate (JACS) Human Rights and Social Policy team. </w:t>
      </w:r>
    </w:p>
    <w:p w14:paraId="55B70CDC"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8, recognition and equality before the law</w:t>
      </w:r>
    </w:p>
    <w:p w14:paraId="6A7540F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 provision intends to assist in meeting immediate household needs arising from a worker death which has necessitated an adjustment to the broader definition of family member applied to the WC Act for existing statutory benefits that may be available. </w:t>
      </w:r>
    </w:p>
    <w:p w14:paraId="2F49426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In doing so, those household members, as defined by the provision, are equally able to make a claim for the crisis payment. The payment may also be made without requiring financial dependency to be established.</w:t>
      </w:r>
    </w:p>
    <w:p w14:paraId="288555FE"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In order to allow the payment to reasonably be made prior to a liability determination it is necessary to target the recipients to ensure it is directed to household members that are expected to bear the greatest need arising from the worker’s death.</w:t>
      </w:r>
    </w:p>
    <w:p w14:paraId="1E40AC52"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Further, as the payment is not tied to financial dependency and applies a clear list of who is eligible for the payment, this makes the administrative process for both the family member applying and the insurer in making the payment easier and quicker due to the streamlined requirements, will not unnecessarily delay the payment and will ensure it reaches and assists in meeting the deceased worker’s household demands.</w:t>
      </w:r>
    </w:p>
    <w:p w14:paraId="321F7E5C"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11</w:t>
      </w:r>
      <w:r>
        <w:rPr>
          <w:rFonts w:cs="Arial"/>
          <w:kern w:val="0"/>
          <w:lang w:eastAsia="en-AU"/>
          <w14:ligatures w14:val="none"/>
        </w:rPr>
        <w:t xml:space="preserve"> –</w:t>
      </w:r>
      <w:r w:rsidRPr="000C1D9D">
        <w:rPr>
          <w:rFonts w:cs="Arial"/>
          <w:kern w:val="0"/>
          <w:lang w:eastAsia="en-AU"/>
          <w14:ligatures w14:val="none"/>
        </w:rPr>
        <w:t xml:space="preserve"> protection of the family and children</w:t>
      </w:r>
    </w:p>
    <w:p w14:paraId="7D3F6E94"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The amendments in this Bill allow for immediate financial support to a worker’s household in the event of a work-related death.  </w:t>
      </w:r>
    </w:p>
    <w:p w14:paraId="058217D5" w14:textId="0BFCD845"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Existing death benefits available under the WC Act are available to dependents of a deceased worker where the dependent is totally or partly dependent on the workers’ earnings and a member of the workers’ family. These existing compensation benefits are not impacted by the new provision and includes death benefits that are payable to children not limited by household or residential status to the </w:t>
      </w:r>
      <w:r w:rsidR="00EA2AD4">
        <w:rPr>
          <w:rFonts w:cs="Arial"/>
          <w:i w:val="0"/>
          <w:iCs w:val="0"/>
          <w:lang w:eastAsia="en-AU"/>
        </w:rPr>
        <w:t xml:space="preserve">deceased </w:t>
      </w:r>
      <w:r w:rsidRPr="005B1A04">
        <w:rPr>
          <w:rFonts w:cs="Arial"/>
          <w:i w:val="0"/>
          <w:iCs w:val="0"/>
          <w:lang w:eastAsia="en-AU"/>
        </w:rPr>
        <w:t>worker</w:t>
      </w:r>
      <w:r w:rsidR="00EA2AD4">
        <w:rPr>
          <w:rFonts w:cs="Arial"/>
          <w:i w:val="0"/>
          <w:iCs w:val="0"/>
          <w:lang w:eastAsia="en-AU"/>
        </w:rPr>
        <w:t xml:space="preserve"> </w:t>
      </w:r>
      <w:r w:rsidRPr="005B1A04">
        <w:rPr>
          <w:rFonts w:cs="Arial"/>
          <w:i w:val="0"/>
          <w:iCs w:val="0"/>
          <w:lang w:eastAsia="en-AU"/>
        </w:rPr>
        <w:t>– on the basis that the child is financia</w:t>
      </w:r>
      <w:r w:rsidR="000C4ADA">
        <w:rPr>
          <w:rFonts w:cs="Arial"/>
          <w:i w:val="0"/>
          <w:iCs w:val="0"/>
          <w:lang w:eastAsia="en-AU"/>
        </w:rPr>
        <w:t>l</w:t>
      </w:r>
      <w:r w:rsidRPr="005B1A04">
        <w:rPr>
          <w:rFonts w:cs="Arial"/>
          <w:i w:val="0"/>
          <w:iCs w:val="0"/>
          <w:lang w:eastAsia="en-AU"/>
        </w:rPr>
        <w:t>l</w:t>
      </w:r>
      <w:r w:rsidR="000C4ADA">
        <w:rPr>
          <w:rFonts w:cs="Arial"/>
          <w:i w:val="0"/>
          <w:iCs w:val="0"/>
          <w:lang w:eastAsia="en-AU"/>
        </w:rPr>
        <w:t>y</w:t>
      </w:r>
      <w:r w:rsidRPr="005B1A04">
        <w:rPr>
          <w:rFonts w:cs="Arial"/>
          <w:i w:val="0"/>
          <w:iCs w:val="0"/>
          <w:lang w:eastAsia="en-AU"/>
        </w:rPr>
        <w:t xml:space="preserve"> dependent on the deceased workers’ earnings.  </w:t>
      </w:r>
    </w:p>
    <w:p w14:paraId="6AD907CA"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With this in mind, the new (additional) payment has been targeted to allow for a more immediate payment to meet the deceased worker’s immediate household members’ needs where payment is not tied to complex assessments of financial dependency.</w:t>
      </w:r>
    </w:p>
    <w:p w14:paraId="230CC02E" w14:textId="61EB283D"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Broadening the possible recipients of this payment has been carefully considered, and noting the regulation-making power should be carefully considered in the future, to ensure that any unintended consequences are mitigated and do not detract from the intended purpose of the payment. For instance, if cast widely even where a genuine relationship may be demonstrated it could be possible for the total payment cap to be reached before those bearing the greatest need have had an opportunity to apply. Conversely, and contrary to the intended immediacy of the payment proximate to the death of the worker, an insurer may alternatively decide to wait until the full </w:t>
      </w:r>
      <w:r w:rsidR="00306AEE">
        <w:rPr>
          <w:rFonts w:cs="Arial"/>
          <w:i w:val="0"/>
          <w:iCs w:val="0"/>
          <w:lang w:eastAsia="en-AU"/>
        </w:rPr>
        <w:lastRenderedPageBreak/>
        <w:t>3</w:t>
      </w:r>
      <w:r w:rsidR="00962F20">
        <w:rPr>
          <w:rFonts w:cs="Arial"/>
          <w:i w:val="0"/>
          <w:iCs w:val="0"/>
          <w:lang w:eastAsia="en-AU"/>
        </w:rPr>
        <w:t> </w:t>
      </w:r>
      <w:r w:rsidRPr="005B1A04">
        <w:rPr>
          <w:rFonts w:cs="Arial"/>
          <w:i w:val="0"/>
          <w:iCs w:val="0"/>
          <w:lang w:eastAsia="en-AU"/>
        </w:rPr>
        <w:t>months has elapsed and all possible applications are received before making any payments to ensure an equitable distribution of the payment.</w:t>
      </w:r>
    </w:p>
    <w:p w14:paraId="3B35587D"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On this basis the limitations applying to who may receive this payment are considered to be proportionate and justified in the context of the size and intended purpose of the new payment within the objectives of the WC Act.</w:t>
      </w:r>
    </w:p>
    <w:p w14:paraId="08907A99"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27 cultural and other rights of Aboriginal Torres Strait Islander peoples and other minorities</w:t>
      </w:r>
    </w:p>
    <w:p w14:paraId="29BBE220"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Aboriginal and Torres Strait Islander peoples hold distinct cultural rights, including rights to kinship ties and recognition of shared family and community responsibility for the upbringing of children. The mechanism to allow for a payment to be made to alleviate the immediate impact on a worker’s household does not lessen the Territory’s commitment to uphold and affirm the cultural rights of Aboriginal and Torres Strait Islander people. </w:t>
      </w:r>
    </w:p>
    <w:p w14:paraId="27DEB55A"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The new payment has been designed in recognition of the immediate hardship that families may face following a workplace death; it seeks to establish a simplified mechanism where family members of the deceased are able to access financial assistance within the workers compensation infrastructure, to assist in alleviating immediate financial hardship on the household.</w:t>
      </w:r>
      <w:r w:rsidRPr="005B1A04">
        <w:rPr>
          <w:rFonts w:cs="Arial"/>
          <w:i w:val="0"/>
          <w:iCs w:val="0"/>
          <w:kern w:val="0"/>
          <w:lang w:eastAsia="en-AU"/>
          <w14:ligatures w14:val="none"/>
        </w:rPr>
        <w:br/>
      </w:r>
      <w:r w:rsidRPr="005B1A04">
        <w:rPr>
          <w:rFonts w:cs="Arial"/>
          <w:i w:val="0"/>
          <w:iCs w:val="0"/>
          <w:kern w:val="0"/>
          <w:lang w:eastAsia="en-AU"/>
          <w14:ligatures w14:val="none"/>
        </w:rPr>
        <w:br/>
        <w:t xml:space="preserve">The payment is in addition to other existing statutory compensation available where a worker suffers a work-related injury, including death and specifically contemplates all financial dependents of the injured or deceased worker. </w:t>
      </w:r>
    </w:p>
    <w:p w14:paraId="25DFFB5D"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As an additional but small payment under workers compensation laws, it is intended as a mechanism for close family members to access an interim or early lump sum payment that is able to meet the immediate impact on household members of a worker’s death. Extensive expansion of those who can receive the payment outside of those immediately connected to the worker household would likely require additional administrative burden akin to existing compensation payment types, such as a financial dependency, and may detract from the immediacy and purpose of the payment.  </w:t>
      </w:r>
    </w:p>
    <w:p w14:paraId="177CB576" w14:textId="6B046706" w:rsidR="7F6A00BD" w:rsidRPr="00B31851" w:rsidRDefault="7F6A00BD">
      <w:pPr>
        <w:rPr>
          <w:i w:val="0"/>
          <w:iCs w:val="0"/>
        </w:rPr>
      </w:pPr>
      <w:r w:rsidRPr="00B31851">
        <w:rPr>
          <w:i w:val="0"/>
          <w:iCs w:val="0"/>
        </w:rPr>
        <w:br w:type="page"/>
      </w:r>
    </w:p>
    <w:bookmarkEnd w:id="1"/>
    <w:p w14:paraId="15420702" w14:textId="337AE40E" w:rsidR="00E90DF9" w:rsidRPr="007158FB" w:rsidRDefault="008D1719" w:rsidP="008D1719">
      <w:pPr>
        <w:keepNext/>
        <w:keepLines/>
        <w:pageBreakBefore/>
        <w:spacing w:before="240" w:after="240" w:line="240" w:lineRule="auto"/>
        <w:ind w:right="0"/>
        <w:outlineLvl w:val="1"/>
        <w:rPr>
          <w:rFonts w:eastAsiaTheme="majorEastAsia" w:cs="Arial"/>
          <w:b/>
          <w:i w:val="0"/>
          <w:iCs w:val="0"/>
          <w:kern w:val="0"/>
          <w14:ligatures w14:val="none"/>
        </w:rPr>
      </w:pPr>
      <w:r w:rsidRPr="008D1719">
        <w:rPr>
          <w:rFonts w:eastAsiaTheme="majorEastAsia" w:cs="Arial"/>
          <w:b/>
          <w:i w:val="0"/>
          <w:iCs w:val="0"/>
          <w:kern w:val="0"/>
          <w14:ligatures w14:val="none"/>
        </w:rPr>
        <w:lastRenderedPageBreak/>
        <w:t>CLAUSE NOTES</w:t>
      </w:r>
    </w:p>
    <w:p w14:paraId="7D00B1C5" w14:textId="1EB0CB94" w:rsidR="00E16E99" w:rsidRPr="007158FB" w:rsidRDefault="00E16E99" w:rsidP="00D30B9E">
      <w:pPr>
        <w:rPr>
          <w:rFonts w:cs="Arial"/>
          <w:b/>
          <w:bCs/>
          <w:i w:val="0"/>
          <w:iCs w:val="0"/>
        </w:rPr>
      </w:pPr>
      <w:r w:rsidRPr="007158FB">
        <w:rPr>
          <w:rFonts w:cs="Arial"/>
          <w:b/>
          <w:bCs/>
          <w:i w:val="0"/>
          <w:iCs w:val="0"/>
        </w:rPr>
        <w:t>Part 1</w:t>
      </w:r>
      <w:r w:rsidRPr="007158FB">
        <w:rPr>
          <w:rFonts w:cs="Arial"/>
          <w:b/>
          <w:bCs/>
          <w:i w:val="0"/>
          <w:iCs w:val="0"/>
        </w:rPr>
        <w:tab/>
      </w:r>
      <w:r w:rsidRPr="007158FB">
        <w:rPr>
          <w:rFonts w:cs="Arial"/>
          <w:b/>
          <w:bCs/>
          <w:i w:val="0"/>
          <w:iCs w:val="0"/>
        </w:rPr>
        <w:tab/>
        <w:t>Preliminary</w:t>
      </w:r>
    </w:p>
    <w:p w14:paraId="21139D56"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1</w:t>
      </w:r>
      <w:r w:rsidRPr="007158FB">
        <w:rPr>
          <w:rFonts w:eastAsiaTheme="majorEastAsia" w:cs="Arial"/>
          <w:b/>
          <w:i w:val="0"/>
          <w:iCs w:val="0"/>
          <w:kern w:val="0"/>
          <w14:ligatures w14:val="none"/>
        </w:rPr>
        <w:tab/>
        <w:t>Name of Act</w:t>
      </w:r>
    </w:p>
    <w:p w14:paraId="1FB0108A" w14:textId="3F8F5166" w:rsidR="00E16E99" w:rsidRPr="007158FB" w:rsidRDefault="00E16E99" w:rsidP="00D30B9E">
      <w:pPr>
        <w:rPr>
          <w:rFonts w:cs="Arial"/>
          <w:i w:val="0"/>
          <w:iCs w:val="0"/>
        </w:rPr>
      </w:pPr>
      <w:r w:rsidRPr="007158FB">
        <w:rPr>
          <w:rFonts w:cs="Arial"/>
          <w:i w:val="0"/>
          <w:iCs w:val="0"/>
        </w:rPr>
        <w:t>This clause provides the name of the Act</w:t>
      </w:r>
      <w:r w:rsidR="00303655" w:rsidRPr="007158FB">
        <w:rPr>
          <w:rFonts w:cs="Arial"/>
          <w:i w:val="0"/>
          <w:iCs w:val="0"/>
        </w:rPr>
        <w:t>,</w:t>
      </w:r>
      <w:r w:rsidRPr="007158FB">
        <w:rPr>
          <w:rFonts w:cs="Arial"/>
          <w:i w:val="0"/>
          <w:iCs w:val="0"/>
        </w:rPr>
        <w:t xml:space="preserve"> </w:t>
      </w:r>
      <w:r w:rsidR="00545233" w:rsidRPr="007158FB">
        <w:rPr>
          <w:rFonts w:cs="Arial"/>
          <w:i w:val="0"/>
          <w:iCs w:val="0"/>
        </w:rPr>
        <w:t>being</w:t>
      </w:r>
      <w:r w:rsidRPr="007158FB">
        <w:rPr>
          <w:rFonts w:cs="Arial"/>
          <w:i w:val="0"/>
          <w:iCs w:val="0"/>
        </w:rPr>
        <w:t xml:space="preserve"> the </w:t>
      </w:r>
      <w:r w:rsidRPr="007158FB">
        <w:rPr>
          <w:rFonts w:cs="Arial"/>
        </w:rPr>
        <w:t>Workplace Legislation Amendment Act 2025</w:t>
      </w:r>
      <w:r w:rsidR="00545233" w:rsidRPr="007158FB">
        <w:rPr>
          <w:rFonts w:cs="Arial"/>
        </w:rPr>
        <w:t xml:space="preserve"> (No </w:t>
      </w:r>
      <w:r w:rsidR="000C5831">
        <w:rPr>
          <w:rFonts w:cs="Arial"/>
        </w:rPr>
        <w:t>3</w:t>
      </w:r>
      <w:r w:rsidR="00545233" w:rsidRPr="007158FB">
        <w:rPr>
          <w:rFonts w:cs="Arial"/>
        </w:rPr>
        <w:t>)</w:t>
      </w:r>
      <w:r w:rsidRPr="007158FB">
        <w:rPr>
          <w:rFonts w:cs="Arial"/>
        </w:rPr>
        <w:t>.</w:t>
      </w:r>
    </w:p>
    <w:p w14:paraId="0887BC45"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2</w:t>
      </w:r>
      <w:r w:rsidRPr="007158FB">
        <w:rPr>
          <w:rFonts w:eastAsiaTheme="majorEastAsia" w:cs="Arial"/>
          <w:b/>
          <w:i w:val="0"/>
          <w:iCs w:val="0"/>
          <w:kern w:val="0"/>
          <w14:ligatures w14:val="none"/>
        </w:rPr>
        <w:tab/>
        <w:t>Commencement</w:t>
      </w:r>
    </w:p>
    <w:p w14:paraId="6F47C088" w14:textId="77777777" w:rsidR="00650A9B" w:rsidRDefault="00E16E99" w:rsidP="00D30B9E">
      <w:pPr>
        <w:rPr>
          <w:rFonts w:cs="Arial"/>
          <w:i w:val="0"/>
          <w:iCs w:val="0"/>
        </w:rPr>
      </w:pPr>
      <w:r w:rsidRPr="007158FB">
        <w:rPr>
          <w:rFonts w:cs="Arial"/>
          <w:i w:val="0"/>
          <w:iCs w:val="0"/>
        </w:rPr>
        <w:t>This clause provides for commencement of the Act, noting that</w:t>
      </w:r>
      <w:r w:rsidR="00650A9B">
        <w:rPr>
          <w:rFonts w:cs="Arial"/>
          <w:i w:val="0"/>
          <w:iCs w:val="0"/>
        </w:rPr>
        <w:t>:</w:t>
      </w:r>
    </w:p>
    <w:p w14:paraId="7F5E5DF3" w14:textId="79A23773" w:rsidR="00303655" w:rsidRPr="00650A9B" w:rsidRDefault="00E16E99" w:rsidP="00650A9B">
      <w:pPr>
        <w:pStyle w:val="ListParagraph"/>
        <w:numPr>
          <w:ilvl w:val="0"/>
          <w:numId w:val="35"/>
        </w:numPr>
        <w:spacing w:after="120"/>
        <w:rPr>
          <w:rFonts w:cs="Arial"/>
          <w:i w:val="0"/>
          <w:iCs w:val="0"/>
        </w:rPr>
      </w:pPr>
      <w:r w:rsidRPr="00650A9B">
        <w:rPr>
          <w:rFonts w:cs="Arial"/>
          <w:i w:val="0"/>
          <w:iCs w:val="0"/>
        </w:rPr>
        <w:t xml:space="preserve">the </w:t>
      </w:r>
      <w:r w:rsidR="00303655" w:rsidRPr="00650A9B">
        <w:rPr>
          <w:rFonts w:cs="Arial"/>
          <w:i w:val="0"/>
          <w:iCs w:val="0"/>
        </w:rPr>
        <w:t>following provisions commence on the day after this Act’s notification day:</w:t>
      </w:r>
    </w:p>
    <w:p w14:paraId="5D8C6A17" w14:textId="2839DEAA"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section 3</w:t>
      </w:r>
    </w:p>
    <w:p w14:paraId="79037E31" w14:textId="291AE140"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 xml:space="preserve">part </w:t>
      </w:r>
      <w:r w:rsidR="00DC6A06">
        <w:rPr>
          <w:rFonts w:cs="Arial"/>
          <w:i w:val="0"/>
          <w:iCs w:val="0"/>
        </w:rPr>
        <w:t>6</w:t>
      </w:r>
    </w:p>
    <w:p w14:paraId="770E378C" w14:textId="296A323A" w:rsidR="00650A9B" w:rsidRPr="00DC6A06" w:rsidRDefault="00303655" w:rsidP="00DC6A06">
      <w:pPr>
        <w:pStyle w:val="ListParagraph"/>
        <w:numPr>
          <w:ilvl w:val="1"/>
          <w:numId w:val="35"/>
        </w:numPr>
        <w:spacing w:after="120"/>
        <w:rPr>
          <w:rFonts w:cs="Arial"/>
          <w:i w:val="0"/>
          <w:iCs w:val="0"/>
        </w:rPr>
      </w:pPr>
      <w:r w:rsidRPr="007158FB">
        <w:rPr>
          <w:rFonts w:cs="Arial"/>
          <w:i w:val="0"/>
          <w:iCs w:val="0"/>
        </w:rPr>
        <w:t>schedule 1</w:t>
      </w:r>
      <w:r w:rsidR="00DC6A06">
        <w:rPr>
          <w:rFonts w:cs="Arial"/>
          <w:i w:val="0"/>
          <w:iCs w:val="0"/>
        </w:rPr>
        <w:t xml:space="preserve"> part 1.4</w:t>
      </w:r>
    </w:p>
    <w:p w14:paraId="27886B13" w14:textId="0721453A" w:rsidR="00303655" w:rsidRPr="007158FB" w:rsidRDefault="00650A9B" w:rsidP="00D30B9E">
      <w:pPr>
        <w:pStyle w:val="ListParagraph"/>
        <w:numPr>
          <w:ilvl w:val="0"/>
          <w:numId w:val="35"/>
        </w:numPr>
        <w:spacing w:after="120"/>
        <w:rPr>
          <w:rFonts w:cs="Arial"/>
          <w:i w:val="0"/>
          <w:iCs w:val="0"/>
        </w:rPr>
      </w:pPr>
      <w:r>
        <w:rPr>
          <w:rFonts w:cs="Arial"/>
          <w:i w:val="0"/>
          <w:iCs w:val="0"/>
        </w:rPr>
        <w:t xml:space="preserve">part </w:t>
      </w:r>
      <w:r w:rsidR="00DC6A06">
        <w:rPr>
          <w:rFonts w:cs="Arial"/>
          <w:i w:val="0"/>
          <w:iCs w:val="0"/>
        </w:rPr>
        <w:t>5</w:t>
      </w:r>
      <w:r w:rsidR="00F74763">
        <w:rPr>
          <w:rFonts w:cs="Arial"/>
          <w:i w:val="0"/>
          <w:iCs w:val="0"/>
        </w:rPr>
        <w:t xml:space="preserve"> will commence on 1 March 2026</w:t>
      </w:r>
      <w:r w:rsidR="00303655" w:rsidRPr="007158FB">
        <w:rPr>
          <w:rFonts w:cs="Arial"/>
          <w:i w:val="0"/>
          <w:iCs w:val="0"/>
        </w:rPr>
        <w:t>.</w:t>
      </w:r>
    </w:p>
    <w:p w14:paraId="47501995" w14:textId="4DDFE257" w:rsidR="00E16E99" w:rsidRPr="007158FB" w:rsidRDefault="00303655" w:rsidP="00D30B9E">
      <w:pPr>
        <w:rPr>
          <w:rFonts w:cs="Arial"/>
          <w:i w:val="0"/>
          <w:iCs w:val="0"/>
        </w:rPr>
      </w:pPr>
      <w:r w:rsidRPr="007158FB">
        <w:rPr>
          <w:rFonts w:cs="Arial"/>
          <w:i w:val="0"/>
          <w:iCs w:val="0"/>
        </w:rPr>
        <w:t xml:space="preserve">All other provisions commence on the </w:t>
      </w:r>
      <w:r w:rsidR="00E16E99" w:rsidRPr="007158FB">
        <w:rPr>
          <w:rFonts w:cs="Arial"/>
          <w:i w:val="0"/>
          <w:iCs w:val="0"/>
        </w:rPr>
        <w:t>7</w:t>
      </w:r>
      <w:r w:rsidR="00E16E99" w:rsidRPr="007158FB">
        <w:rPr>
          <w:rFonts w:cs="Arial"/>
          <w:i w:val="0"/>
          <w:iCs w:val="0"/>
          <w:vertAlign w:val="superscript"/>
        </w:rPr>
        <w:t>th</w:t>
      </w:r>
      <w:r w:rsidR="00E16E99" w:rsidRPr="007158FB">
        <w:rPr>
          <w:rFonts w:cs="Arial"/>
          <w:i w:val="0"/>
          <w:iCs w:val="0"/>
        </w:rPr>
        <w:t xml:space="preserve"> day after </w:t>
      </w:r>
      <w:r w:rsidRPr="007158FB">
        <w:rPr>
          <w:rFonts w:cs="Arial"/>
          <w:i w:val="0"/>
          <w:iCs w:val="0"/>
        </w:rPr>
        <w:t xml:space="preserve">the Act’s notification day. </w:t>
      </w:r>
    </w:p>
    <w:p w14:paraId="5A4E563E" w14:textId="77777777" w:rsidR="00E90DF9" w:rsidRPr="00DF622F"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3</w:t>
      </w:r>
      <w:r w:rsidRPr="007158FB">
        <w:rPr>
          <w:rFonts w:eastAsiaTheme="majorEastAsia" w:cs="Arial"/>
          <w:b/>
          <w:i w:val="0"/>
          <w:iCs w:val="0"/>
          <w:kern w:val="0"/>
          <w14:ligatures w14:val="none"/>
        </w:rPr>
        <w:tab/>
        <w:t>Legislation amended</w:t>
      </w:r>
    </w:p>
    <w:p w14:paraId="0A4F64B0" w14:textId="1547824E" w:rsidR="00E90DF9" w:rsidRPr="007158FB" w:rsidRDefault="00E16E99" w:rsidP="00D30B9E">
      <w:pPr>
        <w:rPr>
          <w:rFonts w:cs="Arial"/>
          <w:i w:val="0"/>
          <w:iCs w:val="0"/>
        </w:rPr>
      </w:pPr>
      <w:r w:rsidRPr="007158FB">
        <w:rPr>
          <w:rFonts w:cs="Arial"/>
          <w:i w:val="0"/>
          <w:iCs w:val="0"/>
        </w:rPr>
        <w:t xml:space="preserve">This clause </w:t>
      </w:r>
      <w:r w:rsidR="00303655" w:rsidRPr="007158FB">
        <w:rPr>
          <w:rFonts w:cs="Arial"/>
          <w:i w:val="0"/>
          <w:iCs w:val="0"/>
        </w:rPr>
        <w:t>lists the legislation which the Act amends including:</w:t>
      </w:r>
    </w:p>
    <w:p w14:paraId="6A1AD808" w14:textId="60ED93F1" w:rsidR="00BE56C2" w:rsidRPr="00DC6A06" w:rsidRDefault="00303655" w:rsidP="00DC6A06">
      <w:pPr>
        <w:pStyle w:val="ListParagraph"/>
        <w:numPr>
          <w:ilvl w:val="0"/>
          <w:numId w:val="3"/>
        </w:numPr>
        <w:spacing w:after="120"/>
        <w:rPr>
          <w:rFonts w:cs="Arial"/>
        </w:rPr>
      </w:pPr>
      <w:r w:rsidRPr="007158FB">
        <w:rPr>
          <w:rFonts w:cs="Arial"/>
        </w:rPr>
        <w:t>Dangerous Substances Act 2004</w:t>
      </w:r>
    </w:p>
    <w:p w14:paraId="4DBD2C01" w14:textId="77777777" w:rsidR="00303655" w:rsidRPr="007158FB" w:rsidRDefault="00303655" w:rsidP="00D30B9E">
      <w:pPr>
        <w:pStyle w:val="ListParagraph"/>
        <w:numPr>
          <w:ilvl w:val="0"/>
          <w:numId w:val="3"/>
        </w:numPr>
        <w:spacing w:after="120"/>
        <w:rPr>
          <w:rFonts w:cs="Arial"/>
        </w:rPr>
      </w:pPr>
      <w:r w:rsidRPr="007158FB">
        <w:rPr>
          <w:rFonts w:cs="Arial"/>
        </w:rPr>
        <w:t>Long Service Leave Act 1976</w:t>
      </w:r>
    </w:p>
    <w:p w14:paraId="30D51362" w14:textId="77777777" w:rsidR="00303655" w:rsidRPr="007158FB" w:rsidRDefault="00303655" w:rsidP="00D30B9E">
      <w:pPr>
        <w:pStyle w:val="ListParagraph"/>
        <w:numPr>
          <w:ilvl w:val="0"/>
          <w:numId w:val="3"/>
        </w:numPr>
        <w:spacing w:after="120"/>
        <w:rPr>
          <w:rFonts w:cs="Arial"/>
        </w:rPr>
      </w:pPr>
      <w:r w:rsidRPr="007158FB">
        <w:rPr>
          <w:rFonts w:cs="Arial"/>
        </w:rPr>
        <w:t>Long Service Leave (Portable Schemes) Act 2009</w:t>
      </w:r>
    </w:p>
    <w:p w14:paraId="6A2575DC" w14:textId="77777777" w:rsidR="00303655" w:rsidRPr="007158FB" w:rsidRDefault="00303655" w:rsidP="00D30B9E">
      <w:pPr>
        <w:pStyle w:val="ListParagraph"/>
        <w:numPr>
          <w:ilvl w:val="0"/>
          <w:numId w:val="3"/>
        </w:numPr>
        <w:spacing w:after="120"/>
        <w:rPr>
          <w:rFonts w:cs="Arial"/>
        </w:rPr>
      </w:pPr>
      <w:r w:rsidRPr="007158FB">
        <w:rPr>
          <w:rFonts w:cs="Arial"/>
        </w:rPr>
        <w:t>Public Sector Workers Compensation Fund Act 2018</w:t>
      </w:r>
    </w:p>
    <w:p w14:paraId="187C9A77" w14:textId="77777777" w:rsidR="00303655" w:rsidRPr="007158FB" w:rsidRDefault="00303655" w:rsidP="00D30B9E">
      <w:pPr>
        <w:pStyle w:val="ListParagraph"/>
        <w:numPr>
          <w:ilvl w:val="0"/>
          <w:numId w:val="3"/>
        </w:numPr>
        <w:spacing w:after="120"/>
        <w:rPr>
          <w:rFonts w:cs="Arial"/>
          <w:i w:val="0"/>
          <w:iCs w:val="0"/>
        </w:rPr>
      </w:pPr>
      <w:r w:rsidRPr="007158FB">
        <w:rPr>
          <w:rFonts w:cs="Arial"/>
        </w:rPr>
        <w:t>Workers Compensation Act 1951</w:t>
      </w:r>
      <w:r w:rsidRPr="007158FB">
        <w:rPr>
          <w:rFonts w:cs="Arial"/>
          <w:i w:val="0"/>
          <w:iCs w:val="0"/>
        </w:rPr>
        <w:t>, and</w:t>
      </w:r>
    </w:p>
    <w:p w14:paraId="2205CE8B" w14:textId="48C90861" w:rsidR="00102A2B" w:rsidRPr="007158FB" w:rsidRDefault="00BE56C2" w:rsidP="00D30B9E">
      <w:pPr>
        <w:pStyle w:val="ListParagraph"/>
        <w:numPr>
          <w:ilvl w:val="0"/>
          <w:numId w:val="3"/>
        </w:numPr>
        <w:spacing w:after="120"/>
        <w:rPr>
          <w:rFonts w:cs="Arial"/>
          <w:i w:val="0"/>
          <w:iCs w:val="0"/>
        </w:rPr>
      </w:pPr>
      <w:r w:rsidRPr="007158FB">
        <w:rPr>
          <w:rFonts w:cs="Arial"/>
        </w:rPr>
        <w:t>Work Health and Safety Act 2011</w:t>
      </w:r>
      <w:r w:rsidR="00303655" w:rsidRPr="007158FB">
        <w:rPr>
          <w:rFonts w:cs="Arial"/>
        </w:rPr>
        <w:t>.</w:t>
      </w:r>
    </w:p>
    <w:p w14:paraId="21627221" w14:textId="74CE1B9A" w:rsidR="00303655" w:rsidRPr="007158FB" w:rsidRDefault="00303655" w:rsidP="00F01A40">
      <w:pPr>
        <w:spacing w:before="240"/>
        <w:rPr>
          <w:rFonts w:cs="Arial"/>
          <w:b/>
          <w:bCs/>
          <w:i w:val="0"/>
          <w:iCs w:val="0"/>
        </w:rPr>
      </w:pPr>
      <w:r w:rsidRPr="007158FB">
        <w:rPr>
          <w:rFonts w:cs="Arial"/>
          <w:b/>
          <w:bCs/>
          <w:i w:val="0"/>
          <w:iCs w:val="0"/>
        </w:rPr>
        <w:t>Part 2</w:t>
      </w:r>
      <w:r w:rsidRPr="007158FB">
        <w:rPr>
          <w:rFonts w:cs="Arial"/>
          <w:b/>
          <w:bCs/>
          <w:i w:val="0"/>
          <w:iCs w:val="0"/>
        </w:rPr>
        <w:tab/>
      </w:r>
      <w:r w:rsidRPr="007158FB">
        <w:rPr>
          <w:rFonts w:cs="Arial"/>
          <w:b/>
          <w:bCs/>
          <w:i w:val="0"/>
          <w:iCs w:val="0"/>
        </w:rPr>
        <w:tab/>
        <w:t>Dangerous Substances Act 2024</w:t>
      </w:r>
    </w:p>
    <w:p w14:paraId="24786EC1" w14:textId="77777777" w:rsidR="002D590D" w:rsidRDefault="00303655" w:rsidP="00DF622F">
      <w:pPr>
        <w:ind w:left="720" w:hanging="720"/>
        <w:rPr>
          <w:rFonts w:eastAsiaTheme="majorEastAsia" w:cs="Arial"/>
          <w:b/>
          <w:i w:val="0"/>
          <w:iCs w:val="0"/>
          <w:kern w:val="0"/>
          <w14:ligatures w14:val="none"/>
        </w:rPr>
      </w:pPr>
      <w:r w:rsidRPr="00A57535">
        <w:rPr>
          <w:rFonts w:eastAsiaTheme="majorEastAsia" w:cs="Arial"/>
          <w:b/>
          <w:i w:val="0"/>
          <w:iCs w:val="0"/>
          <w:kern w:val="0"/>
          <w14:ligatures w14:val="none"/>
        </w:rPr>
        <w:t>Clause 4</w:t>
      </w:r>
      <w:r w:rsidRPr="00A57535">
        <w:rPr>
          <w:rFonts w:eastAsiaTheme="majorEastAsia" w:cs="Arial"/>
          <w:b/>
          <w:i w:val="0"/>
          <w:iCs w:val="0"/>
          <w:kern w:val="0"/>
          <w14:ligatures w14:val="none"/>
        </w:rPr>
        <w:tab/>
      </w:r>
      <w:r w:rsidRPr="00DF622F">
        <w:rPr>
          <w:rFonts w:eastAsiaTheme="majorEastAsia" w:cs="Arial"/>
          <w:b/>
          <w:i w:val="0"/>
          <w:iCs w:val="0"/>
          <w:kern w:val="0"/>
          <w14:ligatures w14:val="none"/>
        </w:rPr>
        <w:t>Inspectors</w:t>
      </w:r>
    </w:p>
    <w:p w14:paraId="58C128F0" w14:textId="3B3DA553" w:rsidR="00303655" w:rsidRPr="00A57535" w:rsidRDefault="002D590D" w:rsidP="002D590D">
      <w:pPr>
        <w:ind w:left="720" w:firstLine="720"/>
        <w:rPr>
          <w:rFonts w:eastAsiaTheme="majorEastAsia" w:cs="Arial"/>
          <w:b/>
          <w:i w:val="0"/>
          <w:iCs w:val="0"/>
          <w:kern w:val="0"/>
          <w14:ligatures w14:val="none"/>
        </w:rPr>
      </w:pPr>
      <w:r>
        <w:rPr>
          <w:rFonts w:eastAsiaTheme="majorEastAsia" w:cs="Arial"/>
          <w:b/>
          <w:i w:val="0"/>
          <w:iCs w:val="0"/>
          <w:kern w:val="0"/>
          <w14:ligatures w14:val="none"/>
        </w:rPr>
        <w:t>N</w:t>
      </w:r>
      <w:r w:rsidR="00303655" w:rsidRPr="00DF622F">
        <w:rPr>
          <w:rFonts w:eastAsiaTheme="majorEastAsia" w:cs="Arial"/>
          <w:b/>
          <w:i w:val="0"/>
          <w:iCs w:val="0"/>
          <w:kern w:val="0"/>
          <w14:ligatures w14:val="none"/>
        </w:rPr>
        <w:t xml:space="preserve">ew section 207(1)(c) </w:t>
      </w:r>
    </w:p>
    <w:p w14:paraId="717BAF34" w14:textId="67EF1D8F" w:rsidR="00084495" w:rsidRPr="00DC6A06" w:rsidRDefault="00303655" w:rsidP="00DC6A06">
      <w:pPr>
        <w:rPr>
          <w:rFonts w:cs="Arial"/>
          <w:b/>
          <w:bCs/>
          <w:i w:val="0"/>
          <w:iCs w:val="0"/>
        </w:rPr>
      </w:pPr>
      <w:r w:rsidRPr="007158FB">
        <w:rPr>
          <w:rFonts w:cs="Arial"/>
          <w:i w:val="0"/>
          <w:iCs w:val="0"/>
        </w:rPr>
        <w:t xml:space="preserve">This provision </w:t>
      </w:r>
      <w:r w:rsidR="00D61D0B">
        <w:rPr>
          <w:rFonts w:cs="Arial"/>
          <w:i w:val="0"/>
          <w:iCs w:val="0"/>
        </w:rPr>
        <w:t>provides that</w:t>
      </w:r>
      <w:r w:rsidR="007158FB" w:rsidRPr="007158FB">
        <w:rPr>
          <w:rFonts w:cs="Arial"/>
          <w:i w:val="0"/>
          <w:iCs w:val="0"/>
        </w:rPr>
        <w:t xml:space="preserve"> </w:t>
      </w:r>
      <w:r w:rsidRPr="007158FB">
        <w:rPr>
          <w:rFonts w:cs="Arial"/>
          <w:i w:val="0"/>
          <w:iCs w:val="0"/>
        </w:rPr>
        <w:t xml:space="preserve">the Work Health and Safety Commissioner </w:t>
      </w:r>
      <w:r w:rsidR="00D61D0B">
        <w:rPr>
          <w:rFonts w:cs="Arial"/>
          <w:i w:val="0"/>
          <w:iCs w:val="0"/>
        </w:rPr>
        <w:t>i</w:t>
      </w:r>
      <w:r w:rsidRPr="007158FB">
        <w:rPr>
          <w:rFonts w:cs="Arial"/>
          <w:i w:val="0"/>
          <w:iCs w:val="0"/>
        </w:rPr>
        <w:t xml:space="preserve">s an inspector under the </w:t>
      </w:r>
      <w:r w:rsidR="007158FB" w:rsidRPr="007158FB">
        <w:rPr>
          <w:rFonts w:cs="Arial"/>
        </w:rPr>
        <w:t>Dangerous Substances Act 2004</w:t>
      </w:r>
      <w:r w:rsidR="007158FB" w:rsidRPr="007158FB">
        <w:rPr>
          <w:rFonts w:cs="Arial"/>
          <w:i w:val="0"/>
          <w:iCs w:val="0"/>
        </w:rPr>
        <w:t>.</w:t>
      </w:r>
    </w:p>
    <w:p w14:paraId="6AB5120D" w14:textId="57BF13F8" w:rsidR="00DF2AA0" w:rsidRPr="007158FB" w:rsidRDefault="00084495" w:rsidP="00F01A40">
      <w:pPr>
        <w:spacing w:before="240"/>
        <w:rPr>
          <w:rFonts w:cs="Arial"/>
          <w:b/>
          <w:bCs/>
          <w:i w:val="0"/>
          <w:iCs w:val="0"/>
        </w:rPr>
      </w:pPr>
      <w:r w:rsidRPr="007158FB">
        <w:rPr>
          <w:rFonts w:cs="Arial"/>
          <w:b/>
          <w:bCs/>
          <w:i w:val="0"/>
          <w:iCs w:val="0"/>
        </w:rPr>
        <w:t>Part</w:t>
      </w:r>
      <w:r w:rsidR="00577405" w:rsidRPr="007158FB">
        <w:rPr>
          <w:rFonts w:cs="Arial"/>
          <w:b/>
          <w:bCs/>
          <w:i w:val="0"/>
          <w:iCs w:val="0"/>
        </w:rPr>
        <w:t xml:space="preserve"> </w:t>
      </w:r>
      <w:r w:rsidR="00DC6A06">
        <w:rPr>
          <w:rFonts w:cs="Arial"/>
          <w:b/>
          <w:bCs/>
          <w:i w:val="0"/>
          <w:iCs w:val="0"/>
        </w:rPr>
        <w:t>3</w:t>
      </w:r>
      <w:r w:rsidR="00577405" w:rsidRPr="007158FB">
        <w:rPr>
          <w:rFonts w:cs="Arial"/>
          <w:b/>
          <w:bCs/>
          <w:i w:val="0"/>
          <w:iCs w:val="0"/>
        </w:rPr>
        <w:tab/>
      </w:r>
      <w:r w:rsidR="00C54436" w:rsidRPr="007158FB">
        <w:rPr>
          <w:rFonts w:cs="Arial"/>
          <w:b/>
          <w:bCs/>
          <w:i w:val="0"/>
          <w:iCs w:val="0"/>
        </w:rPr>
        <w:tab/>
      </w:r>
      <w:r w:rsidR="00B71563" w:rsidRPr="007158FB">
        <w:rPr>
          <w:rFonts w:cs="Arial"/>
          <w:b/>
          <w:bCs/>
          <w:i w:val="0"/>
          <w:iCs w:val="0"/>
        </w:rPr>
        <w:t>Long Service Leave Act 1976</w:t>
      </w:r>
      <w:r w:rsidR="00DF2AA0" w:rsidRPr="007158FB">
        <w:rPr>
          <w:rFonts w:cs="Arial"/>
          <w:b/>
          <w:bCs/>
          <w:i w:val="0"/>
          <w:iCs w:val="0"/>
        </w:rPr>
        <w:t xml:space="preserve"> </w:t>
      </w:r>
    </w:p>
    <w:p w14:paraId="655D8334" w14:textId="0F0DDFA4"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5</w:t>
      </w:r>
      <w:r w:rsidR="00C54436" w:rsidRPr="007158FB">
        <w:rPr>
          <w:rFonts w:cs="Arial"/>
          <w:i w:val="0"/>
          <w:iCs w:val="0"/>
          <w:kern w:val="0"/>
          <w14:ligatures w14:val="none"/>
        </w:rPr>
        <w:tab/>
        <w:t>Manner of payment for leave</w:t>
      </w:r>
    </w:p>
    <w:p w14:paraId="21F15FFD" w14:textId="1352F03F"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Section 8 (4)</w:t>
      </w:r>
    </w:p>
    <w:p w14:paraId="3D7884D9" w14:textId="30115CED" w:rsidR="00C54436" w:rsidRDefault="00C54436" w:rsidP="00D30B9E">
      <w:pPr>
        <w:rPr>
          <w:rFonts w:cs="Arial"/>
          <w:i w:val="0"/>
          <w:iCs w:val="0"/>
        </w:rPr>
      </w:pPr>
      <w:r w:rsidRPr="007158FB">
        <w:rPr>
          <w:rFonts w:cs="Arial"/>
          <w:i w:val="0"/>
          <w:iCs w:val="0"/>
        </w:rPr>
        <w:t>Th</w:t>
      </w:r>
      <w:r w:rsidR="006E7BDE">
        <w:rPr>
          <w:rFonts w:cs="Arial"/>
          <w:i w:val="0"/>
          <w:iCs w:val="0"/>
        </w:rPr>
        <w:t>i</w:t>
      </w:r>
      <w:r w:rsidRPr="007158FB">
        <w:rPr>
          <w:rFonts w:cs="Arial"/>
          <w:i w:val="0"/>
          <w:iCs w:val="0"/>
        </w:rPr>
        <w:t>s section has been omitted</w:t>
      </w:r>
      <w:r w:rsidR="00507FA7">
        <w:rPr>
          <w:rFonts w:cs="Arial"/>
          <w:i w:val="0"/>
          <w:iCs w:val="0"/>
        </w:rPr>
        <w:t xml:space="preserve"> and inserted </w:t>
      </w:r>
      <w:r w:rsidR="005D75B9">
        <w:rPr>
          <w:rFonts w:cs="Arial"/>
          <w:i w:val="0"/>
          <w:iCs w:val="0"/>
        </w:rPr>
        <w:t>as</w:t>
      </w:r>
      <w:r w:rsidR="00942FAC">
        <w:rPr>
          <w:rFonts w:cs="Arial"/>
          <w:i w:val="0"/>
          <w:iCs w:val="0"/>
        </w:rPr>
        <w:t xml:space="preserve"> </w:t>
      </w:r>
      <w:r w:rsidR="00942FAC" w:rsidRPr="00762C53">
        <w:rPr>
          <w:rFonts w:cs="Arial"/>
          <w:i w:val="0"/>
          <w:iCs w:val="0"/>
        </w:rPr>
        <w:t xml:space="preserve">section </w:t>
      </w:r>
      <w:r w:rsidR="006E7BDE" w:rsidRPr="00762C53">
        <w:rPr>
          <w:rFonts w:cs="Arial"/>
          <w:i w:val="0"/>
          <w:iCs w:val="0"/>
        </w:rPr>
        <w:t xml:space="preserve">11A </w:t>
      </w:r>
      <w:r w:rsidR="00942FAC" w:rsidRPr="00762C53">
        <w:rPr>
          <w:rFonts w:cs="Arial"/>
          <w:i w:val="0"/>
          <w:iCs w:val="0"/>
        </w:rPr>
        <w:t xml:space="preserve">under clause </w:t>
      </w:r>
      <w:r w:rsidR="004D3A66" w:rsidRPr="00762C53">
        <w:rPr>
          <w:rFonts w:cs="Arial"/>
          <w:i w:val="0"/>
          <w:iCs w:val="0"/>
        </w:rPr>
        <w:t>6.</w:t>
      </w:r>
    </w:p>
    <w:p w14:paraId="4B5525FA" w14:textId="72CFD40E"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 xml:space="preserve">Clause </w:t>
      </w:r>
      <w:r w:rsidR="00DC6A06">
        <w:rPr>
          <w:rFonts w:cs="Arial"/>
          <w:i w:val="0"/>
          <w:iCs w:val="0"/>
          <w:kern w:val="0"/>
          <w14:ligatures w14:val="none"/>
        </w:rPr>
        <w:t>6</w:t>
      </w:r>
      <w:r w:rsidR="00C54436" w:rsidRPr="007158FB">
        <w:rPr>
          <w:rFonts w:cs="Arial"/>
          <w:i w:val="0"/>
          <w:iCs w:val="0"/>
          <w:kern w:val="0"/>
          <w14:ligatures w14:val="none"/>
        </w:rPr>
        <w:tab/>
        <w:t>Pay in lieu of long service leave</w:t>
      </w:r>
    </w:p>
    <w:p w14:paraId="3E0E3A21" w14:textId="42D8D43D" w:rsidR="00C54436" w:rsidRPr="007158FB" w:rsidRDefault="00C54436" w:rsidP="00AF5CC8">
      <w:pPr>
        <w:keepNext/>
        <w:rPr>
          <w:rFonts w:cs="Arial"/>
          <w:b/>
          <w:bCs/>
          <w:i w:val="0"/>
          <w:iCs w:val="0"/>
        </w:rPr>
      </w:pPr>
      <w:r w:rsidRPr="007158FB">
        <w:rPr>
          <w:rFonts w:cs="Arial"/>
          <w:b/>
          <w:bCs/>
        </w:rPr>
        <w:tab/>
      </w:r>
      <w:r w:rsidRPr="007158FB">
        <w:rPr>
          <w:rFonts w:cs="Arial"/>
          <w:b/>
          <w:bCs/>
        </w:rPr>
        <w:tab/>
      </w:r>
      <w:r w:rsidRPr="007158FB">
        <w:rPr>
          <w:rFonts w:cs="Arial"/>
          <w:b/>
          <w:bCs/>
          <w:i w:val="0"/>
          <w:iCs w:val="0"/>
        </w:rPr>
        <w:t>New section 11A (4) and (5)</w:t>
      </w:r>
    </w:p>
    <w:p w14:paraId="0C19ACA7" w14:textId="335E2716" w:rsidR="00C54436" w:rsidRPr="007158FB" w:rsidRDefault="00C54436" w:rsidP="00D30B9E">
      <w:pPr>
        <w:rPr>
          <w:rFonts w:cs="Arial"/>
          <w:i w:val="0"/>
          <w:iCs w:val="0"/>
        </w:rPr>
      </w:pPr>
      <w:r w:rsidRPr="007158FB">
        <w:rPr>
          <w:rFonts w:cs="Arial"/>
          <w:i w:val="0"/>
          <w:iCs w:val="0"/>
        </w:rPr>
        <w:t>This provision has been added to ensure that employees upon the cessation of employment, if they have long service leave entitlements, are paid within a reasonable timeframe. Under this new provision, an employer is required to pay a person who ceases employment and has long service leave entitlement within 90 days of the cessation of employment.</w:t>
      </w:r>
    </w:p>
    <w:p w14:paraId="69F48F0B" w14:textId="667D23FB" w:rsidR="00C54436" w:rsidRPr="007158FB" w:rsidRDefault="00C54436" w:rsidP="00D30B9E">
      <w:pPr>
        <w:rPr>
          <w:rFonts w:cs="Arial"/>
          <w:i w:val="0"/>
          <w:iCs w:val="0"/>
        </w:rPr>
      </w:pPr>
      <w:r w:rsidRPr="007158FB">
        <w:rPr>
          <w:rFonts w:cs="Arial"/>
          <w:i w:val="0"/>
          <w:iCs w:val="0"/>
        </w:rPr>
        <w:t>It also sets out</w:t>
      </w:r>
      <w:r w:rsidRPr="007158FB" w:rsidDel="00323840">
        <w:rPr>
          <w:rFonts w:cs="Arial"/>
          <w:i w:val="0"/>
          <w:iCs w:val="0"/>
        </w:rPr>
        <w:t xml:space="preserve"> </w:t>
      </w:r>
      <w:r w:rsidRPr="007158FB">
        <w:rPr>
          <w:rFonts w:cs="Arial"/>
          <w:i w:val="0"/>
          <w:iCs w:val="0"/>
        </w:rPr>
        <w:t>where an employer does not pay long service leave entitlements within 90 days after the person ceases employment, then the employer</w:t>
      </w:r>
      <w:r w:rsidRPr="007158FB" w:rsidDel="00323840">
        <w:rPr>
          <w:rFonts w:cs="Arial"/>
          <w:i w:val="0"/>
          <w:iCs w:val="0"/>
        </w:rPr>
        <w:t xml:space="preserve"> </w:t>
      </w:r>
      <w:r w:rsidRPr="007158FB">
        <w:rPr>
          <w:rFonts w:cs="Arial"/>
          <w:i w:val="0"/>
          <w:iCs w:val="0"/>
        </w:rPr>
        <w:t>commits an offence, one of strict liability.</w:t>
      </w:r>
    </w:p>
    <w:p w14:paraId="1C9EBD8A" w14:textId="031D8CE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 xml:space="preserve">7 </w:t>
      </w:r>
      <w:r w:rsidR="00C54436" w:rsidRPr="007158FB">
        <w:rPr>
          <w:rFonts w:cs="Arial"/>
          <w:i w:val="0"/>
          <w:iCs w:val="0"/>
          <w:kern w:val="0"/>
          <w14:ligatures w14:val="none"/>
        </w:rPr>
        <w:t>New Section 12A</w:t>
      </w:r>
    </w:p>
    <w:p w14:paraId="7432762F" w14:textId="7B637B38" w:rsidR="00D30B9E" w:rsidRPr="007158FB" w:rsidRDefault="00D30B9E" w:rsidP="00D30B9E">
      <w:pPr>
        <w:rPr>
          <w:rFonts w:cs="Arial"/>
          <w:i w:val="0"/>
          <w:iCs w:val="0"/>
        </w:rPr>
      </w:pPr>
      <w:r w:rsidRPr="00D30B9E">
        <w:rPr>
          <w:rFonts w:cs="Arial"/>
          <w:i w:val="0"/>
          <w:iCs w:val="0"/>
        </w:rPr>
        <w:t>This section inserts new definitions for the words “at”, “occupier” and “premises” for the purposes of Part 3 of the Act</w:t>
      </w:r>
      <w:r w:rsidRPr="00D30B9E" w:rsidDel="006A7D04">
        <w:rPr>
          <w:rFonts w:cs="Arial"/>
          <w:i w:val="0"/>
          <w:iCs w:val="0"/>
        </w:rPr>
        <w:t>.</w:t>
      </w:r>
    </w:p>
    <w:p w14:paraId="10DA292F" w14:textId="174B738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8</w:t>
      </w:r>
      <w:r w:rsidR="00C54436" w:rsidRPr="007158FB">
        <w:rPr>
          <w:rFonts w:cs="Arial"/>
          <w:i w:val="0"/>
          <w:iCs w:val="0"/>
          <w:kern w:val="0"/>
          <w14:ligatures w14:val="none"/>
        </w:rPr>
        <w:tab/>
        <w:t>Section 13C</w:t>
      </w:r>
    </w:p>
    <w:p w14:paraId="77DDEC8A" w14:textId="68B1A036" w:rsidR="00D30B9E" w:rsidRPr="007158FB" w:rsidRDefault="00D30B9E" w:rsidP="00D30B9E">
      <w:pPr>
        <w:rPr>
          <w:rFonts w:cs="Arial"/>
          <w:i w:val="0"/>
          <w:iCs w:val="0"/>
        </w:rPr>
      </w:pPr>
      <w:r w:rsidRPr="007158FB">
        <w:rPr>
          <w:rFonts w:cs="Arial"/>
          <w:i w:val="0"/>
          <w:iCs w:val="0"/>
        </w:rPr>
        <w:t>This clause provides for several enforcement and compliance tools including:</w:t>
      </w:r>
    </w:p>
    <w:p w14:paraId="059503CD" w14:textId="77777777" w:rsidR="00D30B9E" w:rsidRPr="007158FB" w:rsidRDefault="00D30B9E" w:rsidP="00F74763">
      <w:pPr>
        <w:numPr>
          <w:ilvl w:val="0"/>
          <w:numId w:val="36"/>
        </w:numPr>
        <w:rPr>
          <w:rFonts w:cs="Arial"/>
          <w:i w:val="0"/>
          <w:iCs w:val="0"/>
        </w:rPr>
      </w:pPr>
      <w:r w:rsidRPr="007158FB">
        <w:rPr>
          <w:rFonts w:cs="Arial"/>
          <w:i w:val="0"/>
          <w:iCs w:val="0"/>
        </w:rPr>
        <w:t>powers of authorised officers to enter premises</w:t>
      </w:r>
    </w:p>
    <w:p w14:paraId="259323F9" w14:textId="77777777" w:rsidR="00D30B9E" w:rsidRPr="007158FB" w:rsidRDefault="00D30B9E" w:rsidP="00F74763">
      <w:pPr>
        <w:numPr>
          <w:ilvl w:val="0"/>
          <w:numId w:val="36"/>
        </w:numPr>
        <w:rPr>
          <w:rFonts w:cs="Arial"/>
          <w:i w:val="0"/>
          <w:iCs w:val="0"/>
        </w:rPr>
      </w:pPr>
      <w:r w:rsidRPr="007158FB">
        <w:rPr>
          <w:rFonts w:cs="Arial"/>
          <w:i w:val="0"/>
          <w:iCs w:val="0"/>
        </w:rPr>
        <w:t>production of identity cards by authorised officers</w:t>
      </w:r>
    </w:p>
    <w:p w14:paraId="0010A888" w14:textId="77777777" w:rsidR="00D30B9E" w:rsidRPr="007158FB" w:rsidRDefault="00D30B9E" w:rsidP="00F74763">
      <w:pPr>
        <w:numPr>
          <w:ilvl w:val="0"/>
          <w:numId w:val="36"/>
        </w:numPr>
        <w:rPr>
          <w:rFonts w:cs="Arial"/>
          <w:i w:val="0"/>
          <w:iCs w:val="0"/>
        </w:rPr>
      </w:pPr>
      <w:r w:rsidRPr="007158FB">
        <w:rPr>
          <w:rFonts w:cs="Arial"/>
          <w:i w:val="0"/>
          <w:iCs w:val="0"/>
        </w:rPr>
        <w:t>obtaining of consent to enter premises</w:t>
      </w:r>
    </w:p>
    <w:p w14:paraId="02926AB0" w14:textId="77777777" w:rsidR="00D30B9E" w:rsidRPr="007158FB" w:rsidRDefault="00D30B9E" w:rsidP="00F74763">
      <w:pPr>
        <w:numPr>
          <w:ilvl w:val="0"/>
          <w:numId w:val="36"/>
        </w:numPr>
        <w:rPr>
          <w:rFonts w:cs="Arial"/>
          <w:i w:val="0"/>
          <w:iCs w:val="0"/>
        </w:rPr>
      </w:pPr>
      <w:r w:rsidRPr="007158FB">
        <w:rPr>
          <w:rFonts w:cs="Arial"/>
          <w:i w:val="0"/>
          <w:iCs w:val="0"/>
        </w:rPr>
        <w:t>powers to obtain, inspect and copy information</w:t>
      </w:r>
    </w:p>
    <w:p w14:paraId="53CD3B82" w14:textId="77777777" w:rsidR="00D30B9E" w:rsidRPr="007158FB" w:rsidRDefault="00D30B9E" w:rsidP="00F74763">
      <w:pPr>
        <w:numPr>
          <w:ilvl w:val="0"/>
          <w:numId w:val="36"/>
        </w:numPr>
        <w:rPr>
          <w:rFonts w:cs="Arial"/>
          <w:i w:val="0"/>
          <w:iCs w:val="0"/>
        </w:rPr>
      </w:pPr>
      <w:r w:rsidRPr="007158FB">
        <w:rPr>
          <w:rFonts w:cs="Arial"/>
          <w:i w:val="0"/>
          <w:iCs w:val="0"/>
        </w:rPr>
        <w:t>abrogation of privilege against self-incrimination, and</w:t>
      </w:r>
    </w:p>
    <w:p w14:paraId="7B8FFE10" w14:textId="288C7530" w:rsidR="00D30B9E" w:rsidRDefault="00D30B9E" w:rsidP="00F74763">
      <w:pPr>
        <w:numPr>
          <w:ilvl w:val="0"/>
          <w:numId w:val="36"/>
        </w:numPr>
        <w:rPr>
          <w:rFonts w:cs="Arial"/>
          <w:i w:val="0"/>
          <w:iCs w:val="0"/>
        </w:rPr>
      </w:pPr>
      <w:r w:rsidRPr="007158FB">
        <w:rPr>
          <w:rFonts w:cs="Arial"/>
          <w:i w:val="0"/>
          <w:iCs w:val="0"/>
        </w:rPr>
        <w:t xml:space="preserve">warning to be given by authorised officers. </w:t>
      </w:r>
    </w:p>
    <w:p w14:paraId="6700357F" w14:textId="7B2B616E" w:rsidR="008C5637" w:rsidRPr="00762C53" w:rsidRDefault="008C5637" w:rsidP="002D504D">
      <w:pPr>
        <w:rPr>
          <w:rFonts w:cs="Arial"/>
          <w:i w:val="0"/>
          <w:iCs w:val="0"/>
        </w:rPr>
      </w:pPr>
      <w:r w:rsidRPr="00762C53">
        <w:rPr>
          <w:rFonts w:cs="Arial"/>
          <w:i w:val="0"/>
          <w:iCs w:val="0"/>
        </w:rPr>
        <w:t xml:space="preserve">Powers of an authorised officer to direct a person to give information or documents reasonable required by the officer under </w:t>
      </w:r>
      <w:r w:rsidR="005D75B9" w:rsidRPr="00762C53">
        <w:rPr>
          <w:rFonts w:cs="Arial"/>
          <w:i w:val="0"/>
          <w:iCs w:val="0"/>
        </w:rPr>
        <w:t xml:space="preserve">section </w:t>
      </w:r>
      <w:r w:rsidRPr="00762C53">
        <w:rPr>
          <w:rFonts w:cs="Arial"/>
          <w:i w:val="0"/>
          <w:iCs w:val="0"/>
        </w:rPr>
        <w:t xml:space="preserve">13CC (1) may be exercised </w:t>
      </w:r>
      <w:r w:rsidR="005D75B9" w:rsidRPr="00762C53">
        <w:rPr>
          <w:rFonts w:cs="Arial"/>
          <w:i w:val="0"/>
          <w:iCs w:val="0"/>
        </w:rPr>
        <w:t>without requiring a power of entry on to the premises</w:t>
      </w:r>
      <w:r w:rsidRPr="00762C53">
        <w:rPr>
          <w:rFonts w:cs="Arial"/>
          <w:i w:val="0"/>
          <w:iCs w:val="0"/>
        </w:rPr>
        <w:t xml:space="preserve">.  </w:t>
      </w:r>
    </w:p>
    <w:p w14:paraId="4A0E66B0" w14:textId="283294DE" w:rsidR="004D3A66" w:rsidRPr="00762C53" w:rsidRDefault="008C5637" w:rsidP="004D3A66">
      <w:pPr>
        <w:rPr>
          <w:rFonts w:cs="Arial"/>
          <w:i w:val="0"/>
          <w:iCs w:val="0"/>
        </w:rPr>
      </w:pPr>
      <w:r w:rsidRPr="00762C53">
        <w:rPr>
          <w:rFonts w:cs="Arial"/>
          <w:i w:val="0"/>
          <w:iCs w:val="0"/>
        </w:rPr>
        <w:t xml:space="preserve">Additionally, </w:t>
      </w:r>
      <w:r w:rsidR="004D3A66" w:rsidRPr="00762C53">
        <w:rPr>
          <w:rFonts w:cs="Arial"/>
          <w:i w:val="0"/>
          <w:iCs w:val="0"/>
        </w:rPr>
        <w:t>section 13CD provides that a person is not excused from answering a question or providing information or documents that are required if it incriminates the person or exposes them to a penalty.</w:t>
      </w:r>
    </w:p>
    <w:p w14:paraId="0E11496B" w14:textId="31C1CFA3" w:rsidR="008C5637" w:rsidRDefault="004D3A66" w:rsidP="002D504D">
      <w:pPr>
        <w:rPr>
          <w:rFonts w:cs="Arial"/>
          <w:i w:val="0"/>
          <w:iCs w:val="0"/>
        </w:rPr>
      </w:pPr>
      <w:r w:rsidRPr="00762C53">
        <w:rPr>
          <w:rFonts w:cs="Arial"/>
          <w:i w:val="0"/>
          <w:iCs w:val="0"/>
        </w:rPr>
        <w:t xml:space="preserve">Section 13CD (2) further provides that answering a question or providing information or documents is not admissible in evidence against the person in civil or criminal proceedings, other than for an offence arising out of the false or misleading nature of the answer, information or document. This includes a proceeding </w:t>
      </w:r>
      <w:r w:rsidR="0045778A" w:rsidRPr="00762C53">
        <w:rPr>
          <w:rFonts w:cs="Arial"/>
          <w:i w:val="0"/>
          <w:iCs w:val="0"/>
        </w:rPr>
        <w:t xml:space="preserve">for an offence </w:t>
      </w:r>
      <w:r w:rsidRPr="00762C53">
        <w:rPr>
          <w:rFonts w:cs="Arial"/>
          <w:i w:val="0"/>
          <w:iCs w:val="0"/>
        </w:rPr>
        <w:t>under</w:t>
      </w:r>
      <w:r w:rsidR="0045778A" w:rsidRPr="00762C53">
        <w:rPr>
          <w:rFonts w:cs="Arial"/>
          <w:i w:val="0"/>
          <w:iCs w:val="0"/>
        </w:rPr>
        <w:t xml:space="preserve"> another Act, </w:t>
      </w:r>
      <w:r w:rsidR="008C5637" w:rsidRPr="00762C53">
        <w:rPr>
          <w:rFonts w:cs="Arial"/>
          <w:i w:val="0"/>
          <w:iCs w:val="0"/>
        </w:rPr>
        <w:t xml:space="preserve">for example the </w:t>
      </w:r>
      <w:r w:rsidR="008C5637" w:rsidRPr="00762C53">
        <w:rPr>
          <w:rFonts w:cs="Arial"/>
        </w:rPr>
        <w:t>Criminal Code 2002</w:t>
      </w:r>
      <w:r w:rsidR="008C5637" w:rsidRPr="00762C53">
        <w:rPr>
          <w:rFonts w:cs="Arial"/>
          <w:i w:val="0"/>
          <w:iCs w:val="0"/>
        </w:rPr>
        <w:t xml:space="preserve">. </w:t>
      </w:r>
    </w:p>
    <w:p w14:paraId="06D62A85" w14:textId="680CBD0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9</w:t>
      </w:r>
      <w:r w:rsidR="00C54436" w:rsidRPr="007158FB">
        <w:rPr>
          <w:rFonts w:cs="Arial"/>
          <w:i w:val="0"/>
          <w:iCs w:val="0"/>
          <w:kern w:val="0"/>
          <w14:ligatures w14:val="none"/>
        </w:rPr>
        <w:tab/>
        <w:t>Dictionary, new definitions</w:t>
      </w:r>
    </w:p>
    <w:p w14:paraId="0696C2F5" w14:textId="2D96021F" w:rsidR="00102A2B" w:rsidRDefault="00D30B9E" w:rsidP="00D30B9E">
      <w:pPr>
        <w:rPr>
          <w:rFonts w:cs="Arial"/>
          <w:i w:val="0"/>
          <w:iCs w:val="0"/>
        </w:rPr>
      </w:pPr>
      <w:r w:rsidRPr="00D30B9E">
        <w:rPr>
          <w:rFonts w:cs="Arial"/>
          <w:i w:val="0"/>
          <w:iCs w:val="0"/>
        </w:rPr>
        <w:t xml:space="preserve">This clause adds the newly defined terms arising from this Bill into the dictionary section of the Act. </w:t>
      </w:r>
    </w:p>
    <w:p w14:paraId="18F9D310" w14:textId="77777777" w:rsidR="0045778A" w:rsidRDefault="0045778A" w:rsidP="00D30B9E">
      <w:pPr>
        <w:rPr>
          <w:rFonts w:cs="Arial"/>
          <w:i w:val="0"/>
          <w:iCs w:val="0"/>
        </w:rPr>
      </w:pPr>
    </w:p>
    <w:p w14:paraId="26D5ECF4" w14:textId="77777777" w:rsidR="0045778A" w:rsidRDefault="0045778A" w:rsidP="00D30B9E">
      <w:pPr>
        <w:rPr>
          <w:rFonts w:cs="Arial"/>
          <w:i w:val="0"/>
          <w:iCs w:val="0"/>
        </w:rPr>
      </w:pPr>
    </w:p>
    <w:p w14:paraId="50F02627" w14:textId="77777777" w:rsidR="0045778A" w:rsidRPr="007158FB" w:rsidRDefault="0045778A" w:rsidP="00D30B9E">
      <w:pPr>
        <w:rPr>
          <w:rFonts w:cs="Arial"/>
          <w:i w:val="0"/>
          <w:iCs w:val="0"/>
        </w:rPr>
      </w:pPr>
    </w:p>
    <w:p w14:paraId="3A9B6414" w14:textId="2E621EA1" w:rsidR="00084495" w:rsidRPr="007158FB" w:rsidRDefault="00577405" w:rsidP="00F01A40">
      <w:pPr>
        <w:spacing w:before="240"/>
        <w:rPr>
          <w:rFonts w:cs="Arial"/>
          <w:b/>
          <w:bCs/>
          <w:i w:val="0"/>
          <w:iCs w:val="0"/>
        </w:rPr>
      </w:pPr>
      <w:r w:rsidRPr="007158FB">
        <w:rPr>
          <w:rFonts w:cs="Arial"/>
          <w:b/>
          <w:bCs/>
          <w:i w:val="0"/>
          <w:iCs w:val="0"/>
        </w:rPr>
        <w:lastRenderedPageBreak/>
        <w:t xml:space="preserve">Part </w:t>
      </w:r>
      <w:r w:rsidR="00DC6A06">
        <w:rPr>
          <w:rFonts w:cs="Arial"/>
          <w:b/>
          <w:bCs/>
          <w:i w:val="0"/>
          <w:iCs w:val="0"/>
        </w:rPr>
        <w:t>4</w:t>
      </w:r>
      <w:r w:rsidR="00C25746" w:rsidRPr="007158FB">
        <w:rPr>
          <w:rFonts w:cs="Arial"/>
          <w:b/>
          <w:bCs/>
          <w:i w:val="0"/>
          <w:iCs w:val="0"/>
        </w:rPr>
        <w:tab/>
      </w:r>
      <w:r w:rsidRPr="007158FB">
        <w:rPr>
          <w:rFonts w:cs="Arial"/>
          <w:b/>
          <w:bCs/>
          <w:i w:val="0"/>
          <w:iCs w:val="0"/>
        </w:rPr>
        <w:tab/>
      </w:r>
      <w:r w:rsidR="00B71563" w:rsidRPr="007158FB">
        <w:rPr>
          <w:rFonts w:cs="Arial"/>
          <w:b/>
          <w:bCs/>
          <w:i w:val="0"/>
          <w:iCs w:val="0"/>
        </w:rPr>
        <w:t>Long Service Leave (Portable Schemes) Act 2009</w:t>
      </w:r>
    </w:p>
    <w:p w14:paraId="211FDCE2" w14:textId="2F1C277C" w:rsidR="008D1719" w:rsidRPr="007158FB" w:rsidRDefault="00084495" w:rsidP="00D30B9E">
      <w:pPr>
        <w:keepNext/>
        <w:keepLines/>
        <w:spacing w:line="240" w:lineRule="auto"/>
        <w:ind w:right="0"/>
        <w:outlineLvl w:val="2"/>
        <w:rPr>
          <w:rFonts w:eastAsiaTheme="majorEastAsia" w:cs="Arial"/>
          <w:b/>
          <w:i w:val="0"/>
          <w:iCs w:val="0"/>
          <w:kern w:val="0"/>
          <w14:ligatures w14:val="none"/>
        </w:rPr>
      </w:pPr>
      <w:r w:rsidRPr="007158FB">
        <w:rPr>
          <w:rFonts w:eastAsiaTheme="majorEastAsia" w:cs="Arial"/>
          <w:b/>
          <w:i w:val="0"/>
          <w:iCs w:val="0"/>
          <w:kern w:val="0"/>
          <w14:ligatures w14:val="none"/>
        </w:rPr>
        <w:t xml:space="preserve">Clause </w:t>
      </w:r>
      <w:r w:rsidR="008D1719" w:rsidRPr="007158FB">
        <w:rPr>
          <w:rFonts w:eastAsiaTheme="majorEastAsia" w:cs="Arial"/>
          <w:b/>
          <w:i w:val="0"/>
          <w:iCs w:val="0"/>
          <w:kern w:val="0"/>
          <w14:ligatures w14:val="none"/>
        </w:rPr>
        <w:t>1</w:t>
      </w:r>
      <w:r w:rsidR="00DC6A06">
        <w:rPr>
          <w:rFonts w:eastAsiaTheme="majorEastAsia" w:cs="Arial"/>
          <w:b/>
          <w:i w:val="0"/>
          <w:iCs w:val="0"/>
          <w:kern w:val="0"/>
          <w14:ligatures w14:val="none"/>
        </w:rPr>
        <w:t>0</w:t>
      </w:r>
      <w:r w:rsidR="00C54436" w:rsidRPr="007158FB">
        <w:rPr>
          <w:rFonts w:eastAsiaTheme="majorEastAsia" w:cs="Arial"/>
          <w:b/>
          <w:i w:val="0"/>
          <w:iCs w:val="0"/>
          <w:kern w:val="0"/>
          <w14:ligatures w14:val="none"/>
        </w:rPr>
        <w:tab/>
        <w:t xml:space="preserve">Who is an </w:t>
      </w:r>
      <w:r w:rsidR="00C54436" w:rsidRPr="007158FB">
        <w:rPr>
          <w:rFonts w:eastAsiaTheme="majorEastAsia" w:cs="Arial"/>
          <w:b/>
          <w:kern w:val="0"/>
          <w14:ligatures w14:val="none"/>
        </w:rPr>
        <w:t>employer</w:t>
      </w:r>
      <w:r w:rsidR="00C54436" w:rsidRPr="007158FB">
        <w:rPr>
          <w:rFonts w:eastAsiaTheme="majorEastAsia" w:cs="Arial"/>
          <w:b/>
          <w:i w:val="0"/>
          <w:iCs w:val="0"/>
          <w:kern w:val="0"/>
          <w14:ligatures w14:val="none"/>
        </w:rPr>
        <w:t>?</w:t>
      </w:r>
    </w:p>
    <w:p w14:paraId="12108184" w14:textId="091C5474" w:rsidR="00C54436" w:rsidRPr="007158FB" w:rsidRDefault="00C54436" w:rsidP="00D30B9E">
      <w:pPr>
        <w:keepNext/>
        <w:keepLines/>
        <w:spacing w:line="240" w:lineRule="auto"/>
        <w:ind w:right="0"/>
        <w:outlineLvl w:val="2"/>
        <w:rPr>
          <w:rFonts w:eastAsiaTheme="majorEastAsia" w:cs="Arial"/>
          <w:b/>
          <w:i w:val="0"/>
          <w:iCs w:val="0"/>
          <w:kern w:val="0"/>
          <w14:ligatures w14:val="none"/>
        </w:rPr>
      </w:pPr>
      <w:r w:rsidRPr="007158FB">
        <w:rPr>
          <w:rFonts w:eastAsiaTheme="majorEastAsia" w:cs="Arial"/>
          <w:b/>
          <w:i w:val="0"/>
          <w:iCs w:val="0"/>
          <w:kern w:val="0"/>
          <w14:ligatures w14:val="none"/>
        </w:rPr>
        <w:tab/>
      </w:r>
      <w:r w:rsidRPr="007158FB">
        <w:rPr>
          <w:rFonts w:eastAsiaTheme="majorEastAsia" w:cs="Arial"/>
          <w:b/>
          <w:i w:val="0"/>
          <w:iCs w:val="0"/>
          <w:kern w:val="0"/>
          <w14:ligatures w14:val="none"/>
        </w:rPr>
        <w:tab/>
        <w:t>Section 7 (1)</w:t>
      </w:r>
      <w:r w:rsidR="000C5831">
        <w:rPr>
          <w:rFonts w:eastAsiaTheme="majorEastAsia" w:cs="Arial"/>
          <w:b/>
          <w:i w:val="0"/>
          <w:iCs w:val="0"/>
          <w:kern w:val="0"/>
          <w14:ligatures w14:val="none"/>
        </w:rPr>
        <w:t xml:space="preserve"> (a)</w:t>
      </w:r>
    </w:p>
    <w:p w14:paraId="4483E932" w14:textId="7A269768" w:rsidR="00D30B9E" w:rsidRPr="007158FB" w:rsidRDefault="00D30B9E" w:rsidP="00D30B9E">
      <w:pPr>
        <w:rPr>
          <w:rFonts w:cs="Arial"/>
          <w:i w:val="0"/>
          <w:iCs w:val="0"/>
        </w:rPr>
      </w:pPr>
      <w:r w:rsidRPr="007158FB">
        <w:rPr>
          <w:rFonts w:cs="Arial"/>
          <w:i w:val="0"/>
          <w:iCs w:val="0"/>
        </w:rPr>
        <w:t>This provision amends the services industry as a covered industry for the purposes of who is deemed to be an employer under the Act.</w:t>
      </w:r>
    </w:p>
    <w:p w14:paraId="144E2C56" w14:textId="77777777" w:rsidR="005C560F" w:rsidRDefault="00D30B9E" w:rsidP="00D30B9E">
      <w:pPr>
        <w:rPr>
          <w:rFonts w:eastAsiaTheme="majorEastAsia" w:cs="Arial"/>
          <w:bCs/>
          <w:i w:val="0"/>
          <w:iCs w:val="0"/>
        </w:rPr>
      </w:pPr>
      <w:r w:rsidRPr="007158FB">
        <w:rPr>
          <w:rFonts w:eastAsiaTheme="majorEastAsia" w:cs="Arial"/>
          <w:bCs/>
          <w:i w:val="0"/>
          <w:iCs w:val="0"/>
        </w:rPr>
        <w:t xml:space="preserve">This provision provides for who is an employer within </w:t>
      </w:r>
      <w:r w:rsidR="005C560F">
        <w:rPr>
          <w:rFonts w:eastAsiaTheme="majorEastAsia" w:cs="Arial"/>
          <w:bCs/>
          <w:i w:val="0"/>
          <w:iCs w:val="0"/>
        </w:rPr>
        <w:t>a covered industry and makes it clear that for:</w:t>
      </w:r>
    </w:p>
    <w:p w14:paraId="39B7D989" w14:textId="77777777" w:rsidR="00701396" w:rsidRPr="00701396" w:rsidRDefault="004D5EA2" w:rsidP="005C560F">
      <w:pPr>
        <w:pStyle w:val="ListParagraph"/>
        <w:numPr>
          <w:ilvl w:val="0"/>
          <w:numId w:val="49"/>
        </w:numPr>
        <w:rPr>
          <w:rFonts w:eastAsiaTheme="majorEastAsia" w:cs="Arial"/>
          <w:i w:val="0"/>
          <w:iCs w:val="0"/>
        </w:rPr>
      </w:pPr>
      <w:r>
        <w:rPr>
          <w:rFonts w:eastAsiaTheme="majorEastAsia" w:cs="Arial"/>
          <w:bCs/>
          <w:i w:val="0"/>
          <w:iCs w:val="0"/>
        </w:rPr>
        <w:t>the accommodation and food services industry and the hairdressing and bea</w:t>
      </w:r>
      <w:r w:rsidR="002E46DC">
        <w:rPr>
          <w:rFonts w:eastAsiaTheme="majorEastAsia" w:cs="Arial"/>
          <w:bCs/>
          <w:i w:val="0"/>
          <w:iCs w:val="0"/>
        </w:rPr>
        <w:t>u</w:t>
      </w:r>
      <w:r>
        <w:rPr>
          <w:rFonts w:eastAsiaTheme="majorEastAsia" w:cs="Arial"/>
          <w:bCs/>
          <w:i w:val="0"/>
          <w:iCs w:val="0"/>
        </w:rPr>
        <w:t xml:space="preserve">ty services industry within the services industry scheme </w:t>
      </w:r>
      <w:r w:rsidR="00701396">
        <w:rPr>
          <w:rFonts w:eastAsiaTheme="majorEastAsia" w:cs="Arial"/>
          <w:bCs/>
          <w:i w:val="0"/>
          <w:iCs w:val="0"/>
        </w:rPr>
        <w:t>only</w:t>
      </w:r>
      <w:r>
        <w:rPr>
          <w:rFonts w:eastAsiaTheme="majorEastAsia" w:cs="Arial"/>
          <w:bCs/>
          <w:i w:val="0"/>
          <w:iCs w:val="0"/>
        </w:rPr>
        <w:t xml:space="preserve"> covers those employers </w:t>
      </w:r>
      <w:r w:rsidR="00701396">
        <w:rPr>
          <w:rFonts w:eastAsiaTheme="majorEastAsia" w:cs="Arial"/>
          <w:bCs/>
          <w:i w:val="0"/>
          <w:iCs w:val="0"/>
        </w:rPr>
        <w:t>that engage in these industries as their predominant activity; and</w:t>
      </w:r>
    </w:p>
    <w:p w14:paraId="499E735F" w14:textId="10CDCD6D" w:rsidR="00D30B9E" w:rsidRPr="00301BC4" w:rsidRDefault="00701396" w:rsidP="005C560F">
      <w:pPr>
        <w:pStyle w:val="ListParagraph"/>
        <w:numPr>
          <w:ilvl w:val="0"/>
          <w:numId w:val="49"/>
        </w:numPr>
        <w:rPr>
          <w:rFonts w:eastAsiaTheme="majorEastAsia" w:cs="Arial"/>
          <w:i w:val="0"/>
          <w:iCs w:val="0"/>
        </w:rPr>
      </w:pPr>
      <w:r>
        <w:rPr>
          <w:rFonts w:eastAsiaTheme="majorEastAsia" w:cs="Arial"/>
          <w:bCs/>
          <w:i w:val="0"/>
          <w:iCs w:val="0"/>
        </w:rPr>
        <w:t xml:space="preserve">for all other industries, including the contract cleaning industry within the services industry scheme, </w:t>
      </w:r>
      <w:r w:rsidR="00301BC4">
        <w:rPr>
          <w:rFonts w:eastAsiaTheme="majorEastAsia" w:cs="Arial"/>
          <w:bCs/>
          <w:i w:val="0"/>
          <w:iCs w:val="0"/>
        </w:rPr>
        <w:t>it covers employers that engage to any extent in the covered industry.</w:t>
      </w:r>
    </w:p>
    <w:p w14:paraId="6C1A7CE8" w14:textId="7EBC6C2B"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1</w:t>
      </w:r>
      <w:r w:rsidR="00C54436" w:rsidRPr="007158FB">
        <w:rPr>
          <w:rFonts w:cs="Arial"/>
          <w:i w:val="0"/>
          <w:iCs w:val="0"/>
          <w:kern w:val="0"/>
          <w14:ligatures w14:val="none"/>
        </w:rPr>
        <w:tab/>
        <w:t>Declarations by Minister–additional coverage of Act</w:t>
      </w:r>
    </w:p>
    <w:p w14:paraId="5D4DD486" w14:textId="2900A0EE" w:rsidR="00C54436" w:rsidRPr="007158FB" w:rsidRDefault="00C54436" w:rsidP="00D30B9E">
      <w:pPr>
        <w:rPr>
          <w:rFonts w:cs="Arial"/>
          <w:b/>
          <w:bCs/>
          <w:i w:val="0"/>
          <w:iCs w:val="0"/>
        </w:rPr>
      </w:pPr>
      <w:r w:rsidRPr="007158FB">
        <w:rPr>
          <w:rFonts w:cs="Arial"/>
        </w:rPr>
        <w:tab/>
      </w:r>
      <w:r w:rsidRPr="007158FB">
        <w:rPr>
          <w:rFonts w:cs="Arial"/>
        </w:rPr>
        <w:tab/>
      </w:r>
      <w:r w:rsidRPr="007158FB">
        <w:rPr>
          <w:rFonts w:cs="Arial"/>
          <w:b/>
          <w:bCs/>
          <w:i w:val="0"/>
          <w:iCs w:val="0"/>
        </w:rPr>
        <w:t>Section 12 (4) (b)</w:t>
      </w:r>
    </w:p>
    <w:p w14:paraId="58DF8E0C" w14:textId="4C428847" w:rsidR="00CD5DCC" w:rsidRPr="007158FB" w:rsidRDefault="00CD5DCC" w:rsidP="00D30B9E">
      <w:pPr>
        <w:rPr>
          <w:rFonts w:cs="Arial"/>
          <w:i w:val="0"/>
          <w:iCs w:val="0"/>
        </w:rPr>
      </w:pPr>
      <w:r w:rsidRPr="007158FB">
        <w:rPr>
          <w:rFonts w:cs="Arial"/>
          <w:i w:val="0"/>
          <w:iCs w:val="0"/>
        </w:rPr>
        <w:t xml:space="preserve">This clause omits this section. </w:t>
      </w:r>
    </w:p>
    <w:p w14:paraId="4F36D32E" w14:textId="04CF137E"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2</w:t>
      </w:r>
      <w:r w:rsidR="00C54436" w:rsidRPr="007158FB">
        <w:rPr>
          <w:rFonts w:cs="Arial"/>
          <w:i w:val="0"/>
          <w:iCs w:val="0"/>
          <w:kern w:val="0"/>
          <w14:ligatures w14:val="none"/>
        </w:rPr>
        <w:tab/>
        <w:t>Warning to be given</w:t>
      </w:r>
    </w:p>
    <w:p w14:paraId="5DE1BF16" w14:textId="6045B315"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Section 76B (1)</w:t>
      </w:r>
    </w:p>
    <w:p w14:paraId="67DA32C3" w14:textId="5B5A06E6" w:rsidR="00CD5DCC" w:rsidRPr="007158FB" w:rsidRDefault="00CD5DCC" w:rsidP="00D30B9E">
      <w:pPr>
        <w:rPr>
          <w:rFonts w:cs="Arial"/>
          <w:i w:val="0"/>
          <w:iCs w:val="0"/>
        </w:rPr>
      </w:pPr>
      <w:r w:rsidRPr="007158FB">
        <w:rPr>
          <w:rFonts w:cs="Arial"/>
          <w:i w:val="0"/>
          <w:iCs w:val="0"/>
        </w:rPr>
        <w:t>This clause simplifies the provision.</w:t>
      </w:r>
    </w:p>
    <w:p w14:paraId="156045F6" w14:textId="77B272CB"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3</w:t>
      </w:r>
      <w:r w:rsidR="00C54436" w:rsidRPr="007158FB">
        <w:rPr>
          <w:rFonts w:cs="Arial"/>
          <w:i w:val="0"/>
          <w:iCs w:val="0"/>
          <w:kern w:val="0"/>
          <w14:ligatures w14:val="none"/>
        </w:rPr>
        <w:tab/>
      </w:r>
      <w:r w:rsidR="00CD5DCC" w:rsidRPr="007158FB">
        <w:rPr>
          <w:rFonts w:cs="Arial"/>
          <w:i w:val="0"/>
          <w:iCs w:val="0"/>
          <w:kern w:val="0"/>
          <w14:ligatures w14:val="none"/>
        </w:rPr>
        <w:t>Payment for leave–building and construction industry</w:t>
      </w:r>
    </w:p>
    <w:p w14:paraId="2968B16E" w14:textId="77777777"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Schedule 1, section 1.9 (3)</w:t>
      </w:r>
    </w:p>
    <w:p w14:paraId="05507224" w14:textId="098988AB" w:rsidR="008D1719" w:rsidRPr="007158FB" w:rsidRDefault="00CD5DCC" w:rsidP="00CD5DCC">
      <w:pPr>
        <w:rPr>
          <w:rFonts w:cs="Arial"/>
          <w:i w:val="0"/>
          <w:iCs w:val="0"/>
        </w:rPr>
      </w:pPr>
      <w:r w:rsidRPr="007158FB">
        <w:rPr>
          <w:rFonts w:cs="Arial"/>
          <w:i w:val="0"/>
          <w:iCs w:val="0"/>
        </w:rPr>
        <w:t xml:space="preserve">This provision substitutes the current payment provision and provides better flexibility for when long service leave entitlements can be paid to a worker. This flexibility will ensure that a worker can receive the payment at a time that better suits their financial needs, being either in the 14-day period before they take the long service leave or in any other care, within 21 days after the worker’s application was made. This flexibility recognises that some workers may make applications well in advance </w:t>
      </w:r>
      <w:r w:rsidR="00F74763">
        <w:rPr>
          <w:rFonts w:cs="Arial"/>
          <w:i w:val="0"/>
          <w:iCs w:val="0"/>
        </w:rPr>
        <w:t xml:space="preserve">of </w:t>
      </w:r>
      <w:r w:rsidRPr="007158FB">
        <w:rPr>
          <w:rFonts w:cs="Arial"/>
          <w:i w:val="0"/>
          <w:iCs w:val="0"/>
        </w:rPr>
        <w:t xml:space="preserve">taking leave and may seek payment closer to their </w:t>
      </w:r>
      <w:r w:rsidR="00EC5797">
        <w:rPr>
          <w:rFonts w:cs="Arial"/>
          <w:i w:val="0"/>
          <w:iCs w:val="0"/>
        </w:rPr>
        <w:t xml:space="preserve">time of </w:t>
      </w:r>
      <w:r w:rsidRPr="007158FB">
        <w:rPr>
          <w:rFonts w:cs="Arial"/>
          <w:i w:val="0"/>
          <w:iCs w:val="0"/>
        </w:rPr>
        <w:t>leave. This amendment is made in each relevant Schedule to ensure consistency.</w:t>
      </w:r>
    </w:p>
    <w:p w14:paraId="52EC66A9" w14:textId="31FC4A2A"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4</w:t>
      </w:r>
      <w:r w:rsidR="00CD5DCC" w:rsidRPr="007158FB">
        <w:rPr>
          <w:rFonts w:cs="Arial"/>
          <w:i w:val="0"/>
          <w:iCs w:val="0"/>
          <w:kern w:val="0"/>
          <w14:ligatures w14:val="none"/>
        </w:rPr>
        <w:tab/>
        <w:t xml:space="preserve">What is the </w:t>
      </w:r>
      <w:r w:rsidR="00CD5DCC" w:rsidRPr="007158FB">
        <w:rPr>
          <w:rFonts w:cs="Arial"/>
          <w:kern w:val="0"/>
          <w14:ligatures w14:val="none"/>
        </w:rPr>
        <w:t>services industry</w:t>
      </w:r>
      <w:r w:rsidR="00CD5DCC" w:rsidRPr="007158FB">
        <w:rPr>
          <w:rFonts w:cs="Arial"/>
          <w:i w:val="0"/>
          <w:iCs w:val="0"/>
          <w:kern w:val="0"/>
          <w14:ligatures w14:val="none"/>
        </w:rPr>
        <w:t>?</w:t>
      </w:r>
    </w:p>
    <w:p w14:paraId="522B341D" w14:textId="7D7DEECE"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 xml:space="preserve">Schedule </w:t>
      </w:r>
      <w:r w:rsidRPr="007158FB">
        <w:rPr>
          <w:rFonts w:cs="Arial"/>
          <w:i w:val="0"/>
          <w:iCs w:val="0"/>
          <w:kern w:val="0"/>
          <w14:ligatures w14:val="none"/>
        </w:rPr>
        <w:t>2</w:t>
      </w:r>
      <w:r w:rsidRPr="00CD5DCC">
        <w:rPr>
          <w:rFonts w:cs="Arial"/>
          <w:i w:val="0"/>
          <w:iCs w:val="0"/>
          <w:kern w:val="0"/>
          <w14:ligatures w14:val="none"/>
        </w:rPr>
        <w:t>, section 2.1 (1) (a) (i)</w:t>
      </w:r>
    </w:p>
    <w:p w14:paraId="7A378E2A" w14:textId="7C4CC350" w:rsidR="008D1719" w:rsidRPr="007158FB" w:rsidRDefault="00CD5DCC" w:rsidP="00CD5DCC">
      <w:pPr>
        <w:rPr>
          <w:rFonts w:cs="Arial"/>
          <w:i w:val="0"/>
          <w:iCs w:val="0"/>
        </w:rPr>
      </w:pPr>
      <w:r w:rsidRPr="00CD5DCC">
        <w:rPr>
          <w:rFonts w:cs="Arial"/>
          <w:i w:val="0"/>
          <w:iCs w:val="0"/>
        </w:rPr>
        <w:t>This provision amends “cleaning services industry” to “contract cleaning services industry”. The word “contract” was inadvertently omitted at the time of it merging under the services industry scheme. This amendment does not change the intent of the prior meaning, being that the coverage for cleaning services is limited to contract cleaning services.</w:t>
      </w:r>
    </w:p>
    <w:p w14:paraId="0F3EE5AB" w14:textId="7BA370A5"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1</w:t>
      </w:r>
      <w:r w:rsidR="00DC6A06">
        <w:rPr>
          <w:rFonts w:cs="Arial"/>
          <w:i w:val="0"/>
          <w:iCs w:val="0"/>
          <w:kern w:val="0"/>
          <w14:ligatures w14:val="none"/>
        </w:rPr>
        <w:t>5</w:t>
      </w:r>
      <w:r w:rsidR="00CD5DCC" w:rsidRPr="007158FB">
        <w:rPr>
          <w:rFonts w:cs="Arial"/>
          <w:i w:val="0"/>
          <w:iCs w:val="0"/>
          <w:kern w:val="0"/>
          <w14:ligatures w14:val="none"/>
        </w:rPr>
        <w:tab/>
        <w:t xml:space="preserve">What is </w:t>
      </w:r>
      <w:r w:rsidR="00CD5DCC" w:rsidRPr="007158FB">
        <w:rPr>
          <w:rFonts w:cs="Arial"/>
          <w:kern w:val="0"/>
          <w14:ligatures w14:val="none"/>
        </w:rPr>
        <w:t>services work</w:t>
      </w:r>
      <w:r w:rsidR="00CD5DCC" w:rsidRPr="007158FB">
        <w:rPr>
          <w:rFonts w:cs="Arial"/>
          <w:i w:val="0"/>
          <w:iCs w:val="0"/>
          <w:kern w:val="0"/>
          <w14:ligatures w14:val="none"/>
        </w:rPr>
        <w:t>?</w:t>
      </w:r>
    </w:p>
    <w:p w14:paraId="7AFD8BC9" w14:textId="77777777"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 xml:space="preserve">Schedule 2, section 2.2 (1), definition of </w:t>
      </w:r>
      <w:r w:rsidRPr="00CD5DCC">
        <w:rPr>
          <w:rFonts w:cs="Arial"/>
          <w:kern w:val="0"/>
          <w14:ligatures w14:val="none"/>
        </w:rPr>
        <w:t>services work</w:t>
      </w:r>
      <w:r w:rsidRPr="00CD5DCC">
        <w:rPr>
          <w:rFonts w:cs="Arial"/>
          <w:i w:val="0"/>
          <w:iCs w:val="0"/>
          <w:kern w:val="0"/>
          <w14:ligatures w14:val="none"/>
        </w:rPr>
        <w:t>, paragraph (a)</w:t>
      </w:r>
    </w:p>
    <w:p w14:paraId="4055DF36" w14:textId="6911F758" w:rsidR="008D1719" w:rsidRPr="007158FB" w:rsidRDefault="00CD5DCC" w:rsidP="00CD5DCC">
      <w:pPr>
        <w:rPr>
          <w:rFonts w:cs="Arial"/>
          <w:i w:val="0"/>
          <w:iCs w:val="0"/>
        </w:rPr>
      </w:pPr>
      <w:r w:rsidRPr="007158FB">
        <w:rPr>
          <w:rFonts w:cs="Arial"/>
          <w:i w:val="0"/>
          <w:iCs w:val="0"/>
        </w:rPr>
        <w:t>This provision substitutes “cleaning services” with “contract cleaning services”.</w:t>
      </w:r>
    </w:p>
    <w:p w14:paraId="3961017F" w14:textId="297D938E"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301BC4">
        <w:rPr>
          <w:rFonts w:cs="Arial"/>
          <w:i w:val="0"/>
          <w:iCs w:val="0"/>
          <w:kern w:val="0"/>
          <w14:ligatures w14:val="none"/>
        </w:rPr>
        <w:t>1</w:t>
      </w:r>
      <w:r w:rsidR="00DC6A06">
        <w:rPr>
          <w:rFonts w:cs="Arial"/>
          <w:i w:val="0"/>
          <w:iCs w:val="0"/>
          <w:kern w:val="0"/>
          <w14:ligatures w14:val="none"/>
        </w:rPr>
        <w:t>6</w:t>
      </w:r>
      <w:r w:rsidR="00CD5DCC" w:rsidRPr="007158FB">
        <w:rPr>
          <w:rFonts w:cs="Arial"/>
          <w:i w:val="0"/>
          <w:iCs w:val="0"/>
          <w:kern w:val="0"/>
          <w14:ligatures w14:val="none"/>
        </w:rPr>
        <w:tab/>
        <w:t>Schedule 2, section 2.2 (5)</w:t>
      </w:r>
    </w:p>
    <w:p w14:paraId="6331276A" w14:textId="262428F8" w:rsidR="00102A2B" w:rsidRPr="007158FB" w:rsidRDefault="00102A2B" w:rsidP="00102A2B">
      <w:pPr>
        <w:rPr>
          <w:rFonts w:cs="Arial"/>
          <w:bCs/>
          <w:i w:val="0"/>
          <w:iCs w:val="0"/>
        </w:rPr>
      </w:pPr>
      <w:r w:rsidRPr="00102A2B">
        <w:rPr>
          <w:rFonts w:cs="Arial"/>
          <w:bCs/>
          <w:i w:val="0"/>
          <w:iCs w:val="0"/>
        </w:rPr>
        <w:t>This provision substitutes the definition of “contract cleaning services industry”.</w:t>
      </w:r>
    </w:p>
    <w:p w14:paraId="790A2337" w14:textId="248433E9"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17</w:t>
      </w:r>
      <w:r w:rsidR="00CD5DCC" w:rsidRPr="007158FB">
        <w:rPr>
          <w:rFonts w:cs="Arial"/>
          <w:i w:val="0"/>
          <w:iCs w:val="0"/>
          <w:kern w:val="0"/>
          <w14:ligatures w14:val="none"/>
        </w:rPr>
        <w:tab/>
        <w:t>Payment for leave–services industry</w:t>
      </w:r>
    </w:p>
    <w:p w14:paraId="3B8C7156" w14:textId="4D3FAFC9" w:rsidR="00CD5DCC" w:rsidRPr="007158FB" w:rsidRDefault="00CD5DCC" w:rsidP="00CD5DCC">
      <w:pPr>
        <w:rPr>
          <w:rFonts w:cs="Arial"/>
          <w:b/>
          <w:bCs/>
          <w:i w:val="0"/>
        </w:rPr>
      </w:pPr>
      <w:r w:rsidRPr="007158FB">
        <w:rPr>
          <w:rFonts w:cs="Arial"/>
        </w:rPr>
        <w:tab/>
      </w:r>
      <w:r w:rsidRPr="007158FB">
        <w:rPr>
          <w:rFonts w:cs="Arial"/>
        </w:rPr>
        <w:tab/>
      </w:r>
      <w:r w:rsidRPr="007158FB">
        <w:rPr>
          <w:rFonts w:cs="Arial"/>
          <w:b/>
          <w:bCs/>
          <w:i w:val="0"/>
        </w:rPr>
        <w:t>Schedule 2, section 2.9 (3)</w:t>
      </w:r>
    </w:p>
    <w:p w14:paraId="6451BD27" w14:textId="351C6F9E" w:rsidR="00102A2B" w:rsidRDefault="00102A2B" w:rsidP="00CD5DCC">
      <w:pPr>
        <w:rPr>
          <w:rFonts w:cs="Arial"/>
          <w:i w:val="0"/>
        </w:rPr>
      </w:pPr>
      <w:r w:rsidRPr="00102A2B">
        <w:rPr>
          <w:rFonts w:cs="Arial"/>
          <w:i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i w:val="0"/>
        </w:rPr>
        <w:t xml:space="preserve">for </w:t>
      </w:r>
      <w:r w:rsidR="00EC5797">
        <w:rPr>
          <w:rFonts w:cs="Arial"/>
          <w:i w:val="0"/>
        </w:rPr>
        <w:t xml:space="preserve">the </w:t>
      </w:r>
      <w:r w:rsidRPr="00102A2B">
        <w:rPr>
          <w:rFonts w:cs="Arial"/>
          <w:i w:val="0"/>
        </w:rPr>
        <w:t xml:space="preserve">building and construction industry, community sector industry, and the security industry. </w:t>
      </w:r>
    </w:p>
    <w:p w14:paraId="14F5DDA9" w14:textId="1146DA1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18</w:t>
      </w:r>
      <w:r w:rsidR="00CD5DCC" w:rsidRPr="007158FB">
        <w:rPr>
          <w:rFonts w:cs="Arial"/>
          <w:i w:val="0"/>
          <w:iCs w:val="0"/>
          <w:kern w:val="0"/>
          <w14:ligatures w14:val="none"/>
        </w:rPr>
        <w:tab/>
        <w:t>Payments for leave–community sector industry</w:t>
      </w:r>
    </w:p>
    <w:p w14:paraId="27AC8B76" w14:textId="4CDF5FC5" w:rsidR="00CD5DCC" w:rsidRPr="007158FB" w:rsidRDefault="00CD5DCC" w:rsidP="00AF5CC8">
      <w:pPr>
        <w:keepNext/>
        <w:rPr>
          <w:rFonts w:cs="Arial"/>
          <w:b/>
          <w:bCs/>
          <w:i w:val="0"/>
          <w:iCs w:val="0"/>
        </w:rPr>
      </w:pPr>
      <w:r w:rsidRPr="007158FB">
        <w:rPr>
          <w:rFonts w:cs="Arial"/>
        </w:rPr>
        <w:tab/>
      </w:r>
      <w:r w:rsidRPr="007158FB">
        <w:rPr>
          <w:rFonts w:cs="Arial"/>
        </w:rPr>
        <w:tab/>
      </w:r>
      <w:r w:rsidRPr="007158FB">
        <w:rPr>
          <w:rFonts w:cs="Arial"/>
          <w:b/>
          <w:bCs/>
          <w:i w:val="0"/>
          <w:iCs w:val="0"/>
        </w:rPr>
        <w:t>Schedule 3, section 3.10 (3)</w:t>
      </w:r>
    </w:p>
    <w:p w14:paraId="4C6907AE" w14:textId="2D921B36" w:rsidR="00102A2B" w:rsidRDefault="00102A2B" w:rsidP="00CD5DCC">
      <w:pPr>
        <w:rPr>
          <w:rFonts w:cs="Arial"/>
          <w:bCs/>
          <w:i w:val="0"/>
          <w:iCs w:val="0"/>
        </w:rPr>
      </w:pPr>
      <w:r w:rsidRPr="00102A2B">
        <w:rPr>
          <w:rFonts w:cs="Arial"/>
          <w:bCs/>
          <w:i w:val="0"/>
          <w:iCs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bCs/>
          <w:i w:val="0"/>
          <w:iCs w:val="0"/>
        </w:rPr>
        <w:t xml:space="preserve">for </w:t>
      </w:r>
      <w:r w:rsidR="00ED53E3">
        <w:rPr>
          <w:rFonts w:cs="Arial"/>
          <w:bCs/>
          <w:i w:val="0"/>
          <w:iCs w:val="0"/>
        </w:rPr>
        <w:t xml:space="preserve">the </w:t>
      </w:r>
      <w:r w:rsidRPr="00102A2B">
        <w:rPr>
          <w:rFonts w:cs="Arial"/>
          <w:bCs/>
          <w:i w:val="0"/>
          <w:iCs w:val="0"/>
        </w:rPr>
        <w:t xml:space="preserve">building and construction industry, service industry, and the security industry. </w:t>
      </w:r>
    </w:p>
    <w:p w14:paraId="3745466E" w14:textId="154EC1B9"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19</w:t>
      </w:r>
      <w:r w:rsidR="00CD5DCC" w:rsidRPr="007158FB">
        <w:rPr>
          <w:rFonts w:cs="Arial"/>
          <w:i w:val="0"/>
          <w:iCs w:val="0"/>
          <w:kern w:val="0"/>
          <w14:ligatures w14:val="none"/>
        </w:rPr>
        <w:tab/>
        <w:t>Payments for leave–security industry</w:t>
      </w:r>
    </w:p>
    <w:p w14:paraId="2FBA7F73" w14:textId="322BE820" w:rsidR="00084495"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Schedule 4, section 4.10 (3)</w:t>
      </w:r>
    </w:p>
    <w:p w14:paraId="26DD33C7" w14:textId="58066E39" w:rsidR="00102A2B" w:rsidRPr="007158FB" w:rsidRDefault="00102A2B" w:rsidP="00F01A40">
      <w:pPr>
        <w:rPr>
          <w:rFonts w:cs="Arial"/>
          <w:i w:val="0"/>
          <w:iCs w:val="0"/>
        </w:rPr>
      </w:pPr>
      <w:r w:rsidRPr="00102A2B">
        <w:rPr>
          <w:rFonts w:cs="Arial"/>
          <w:i w:val="0"/>
          <w:iCs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i w:val="0"/>
          <w:iCs w:val="0"/>
        </w:rPr>
        <w:t xml:space="preserve">for the </w:t>
      </w:r>
      <w:r w:rsidRPr="00102A2B">
        <w:rPr>
          <w:rFonts w:cs="Arial"/>
          <w:i w:val="0"/>
          <w:iCs w:val="0"/>
        </w:rPr>
        <w:t xml:space="preserve">building and construction industry, community, and service industry. </w:t>
      </w:r>
    </w:p>
    <w:p w14:paraId="541BE99B" w14:textId="580586AD" w:rsidR="008107C7" w:rsidRPr="007158FB" w:rsidRDefault="008107C7" w:rsidP="008107C7">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0</w:t>
      </w:r>
      <w:r w:rsidRPr="007158FB">
        <w:rPr>
          <w:rFonts w:cs="Arial"/>
          <w:i w:val="0"/>
          <w:iCs w:val="0"/>
          <w:kern w:val="0"/>
          <w14:ligatures w14:val="none"/>
        </w:rPr>
        <w:tab/>
      </w:r>
      <w:r>
        <w:rPr>
          <w:rFonts w:cs="Arial"/>
          <w:i w:val="0"/>
          <w:iCs w:val="0"/>
          <w:kern w:val="0"/>
          <w14:ligatures w14:val="none"/>
        </w:rPr>
        <w:t>Dictionary, new definitions</w:t>
      </w:r>
    </w:p>
    <w:p w14:paraId="514AD37D" w14:textId="73049C5D" w:rsidR="008107C7" w:rsidRPr="007158FB" w:rsidRDefault="008107C7" w:rsidP="008107C7">
      <w:pPr>
        <w:rPr>
          <w:rFonts w:cs="Arial"/>
          <w:i w:val="0"/>
          <w:iCs w:val="0"/>
        </w:rPr>
      </w:pPr>
      <w:r w:rsidRPr="00102A2B">
        <w:rPr>
          <w:rFonts w:cs="Arial"/>
          <w:i w:val="0"/>
          <w:iCs w:val="0"/>
        </w:rPr>
        <w:t xml:space="preserve">This </w:t>
      </w:r>
      <w:r w:rsidR="007E3636">
        <w:rPr>
          <w:rFonts w:cs="Arial"/>
          <w:i w:val="0"/>
          <w:iCs w:val="0"/>
        </w:rPr>
        <w:t xml:space="preserve">clause is consequential on amendments in clause 13 of the Bill and defines </w:t>
      </w:r>
      <w:r w:rsidR="00832E6E">
        <w:rPr>
          <w:rFonts w:cs="Arial"/>
          <w:i w:val="0"/>
          <w:iCs w:val="0"/>
        </w:rPr>
        <w:t xml:space="preserve">references to the accommodation and food services industry and hairdressing and beauty services industry for the purposes of </w:t>
      </w:r>
      <w:r w:rsidR="002C0E77">
        <w:rPr>
          <w:rFonts w:cs="Arial"/>
          <w:i w:val="0"/>
          <w:iCs w:val="0"/>
        </w:rPr>
        <w:t>section 7</w:t>
      </w:r>
      <w:r w:rsidR="00A30F9E">
        <w:rPr>
          <w:rFonts w:cs="Arial"/>
          <w:i w:val="0"/>
          <w:iCs w:val="0"/>
        </w:rPr>
        <w:t xml:space="preserve"> of the Act.</w:t>
      </w:r>
    </w:p>
    <w:p w14:paraId="7F20E008" w14:textId="641ED305" w:rsidR="00577405" w:rsidRPr="007158FB" w:rsidRDefault="00084495"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5</w:t>
      </w:r>
      <w:r w:rsidR="00F01A40" w:rsidRPr="007158FB">
        <w:rPr>
          <w:rFonts w:cs="Arial"/>
          <w:b/>
          <w:bCs/>
          <w:i w:val="0"/>
          <w:iCs w:val="0"/>
        </w:rPr>
        <w:tab/>
      </w:r>
      <w:r w:rsidR="00F01A40" w:rsidRPr="007158FB">
        <w:rPr>
          <w:rFonts w:cs="Arial"/>
          <w:b/>
          <w:bCs/>
          <w:i w:val="0"/>
          <w:iCs w:val="0"/>
        </w:rPr>
        <w:tab/>
      </w:r>
      <w:r w:rsidR="00B71563" w:rsidRPr="007158FB">
        <w:rPr>
          <w:rFonts w:cs="Arial"/>
          <w:b/>
          <w:bCs/>
          <w:i w:val="0"/>
          <w:iCs w:val="0"/>
        </w:rPr>
        <w:t>Public Sector Workers Compensation Fund Act 2018</w:t>
      </w:r>
    </w:p>
    <w:p w14:paraId="034C5CB6" w14:textId="1132761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21</w:t>
      </w:r>
      <w:r w:rsidR="00CD5DCC" w:rsidRPr="007158FB">
        <w:rPr>
          <w:rFonts w:cs="Arial"/>
          <w:i w:val="0"/>
          <w:iCs w:val="0"/>
          <w:kern w:val="0"/>
          <w14:ligatures w14:val="none"/>
        </w:rPr>
        <w:tab/>
        <w:t>Payments from PSWC fund banking accounts</w:t>
      </w:r>
    </w:p>
    <w:p w14:paraId="753A7FAB" w14:textId="79C7FEF7"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12 (c)</w:t>
      </w:r>
    </w:p>
    <w:p w14:paraId="4ABCC3A2" w14:textId="7F703D49" w:rsidR="00102A2B" w:rsidRDefault="00102A2B" w:rsidP="00CD5DCC">
      <w:pPr>
        <w:rPr>
          <w:rFonts w:cs="Arial"/>
          <w:bCs/>
          <w:i w:val="0"/>
          <w:iCs w:val="0"/>
        </w:rPr>
      </w:pPr>
      <w:r w:rsidRPr="00102A2B">
        <w:rPr>
          <w:rFonts w:cs="Arial"/>
          <w:bCs/>
          <w:i w:val="0"/>
          <w:iCs w:val="0"/>
        </w:rPr>
        <w:t xml:space="preserve">This provision provides clarity regarding payments that can be made from PSWC fund banking accounts to include the reasonable costs of the PSWC commissioner in exercising their functions under the Act including the costs of remuneration, allowances and office accommodation. </w:t>
      </w:r>
    </w:p>
    <w:p w14:paraId="687B2E6F" w14:textId="77777777" w:rsidR="0045778A" w:rsidRPr="007158FB" w:rsidRDefault="0045778A" w:rsidP="00CD5DCC">
      <w:pPr>
        <w:rPr>
          <w:rFonts w:cs="Arial"/>
          <w:bCs/>
          <w:i w:val="0"/>
          <w:iCs w:val="0"/>
        </w:rPr>
      </w:pPr>
    </w:p>
    <w:p w14:paraId="238D6E10" w14:textId="0B31924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2</w:t>
      </w:r>
      <w:r w:rsidR="00DC6A06">
        <w:rPr>
          <w:rFonts w:cs="Arial"/>
          <w:i w:val="0"/>
          <w:iCs w:val="0"/>
          <w:kern w:val="0"/>
          <w14:ligatures w14:val="none"/>
        </w:rPr>
        <w:t>2</w:t>
      </w:r>
      <w:r w:rsidR="00CD5DCC" w:rsidRPr="007158FB">
        <w:rPr>
          <w:rFonts w:cs="Arial"/>
          <w:i w:val="0"/>
          <w:iCs w:val="0"/>
          <w:kern w:val="0"/>
          <w14:ligatures w14:val="none"/>
        </w:rPr>
        <w:tab/>
        <w:t>Functions of PSWC commissioner</w:t>
      </w:r>
    </w:p>
    <w:p w14:paraId="314CC338" w14:textId="134A7A73" w:rsidR="00084495"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New section 19 (ca)</w:t>
      </w:r>
    </w:p>
    <w:p w14:paraId="6F44CFAF" w14:textId="76F9C3C4" w:rsidR="00102A2B" w:rsidRPr="007158FB" w:rsidRDefault="00102A2B" w:rsidP="00CD5DCC">
      <w:pPr>
        <w:rPr>
          <w:rFonts w:cs="Arial"/>
          <w:i w:val="0"/>
          <w:iCs w:val="0"/>
        </w:rPr>
      </w:pPr>
      <w:r w:rsidRPr="00102A2B">
        <w:rPr>
          <w:rFonts w:cs="Arial"/>
          <w:i w:val="0"/>
          <w:iCs w:val="0"/>
        </w:rPr>
        <w:t xml:space="preserve">This provision adds to the PSWC commissioner’s functions under the Act and provides an express function to conduct and support injury prevention initiatives and activities across the ACT Public Service that aim to reduce incidents of work injuries. </w:t>
      </w:r>
    </w:p>
    <w:p w14:paraId="777E2C3C" w14:textId="6937C81F" w:rsidR="00084495" w:rsidRPr="007158FB" w:rsidRDefault="00C25746"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6</w:t>
      </w:r>
      <w:r w:rsidR="00084495" w:rsidRPr="007158FB">
        <w:rPr>
          <w:rFonts w:cs="Arial"/>
          <w:b/>
          <w:bCs/>
          <w:i w:val="0"/>
          <w:iCs w:val="0"/>
        </w:rPr>
        <w:tab/>
      </w:r>
      <w:r w:rsidR="00F01A40" w:rsidRPr="007158FB">
        <w:rPr>
          <w:rFonts w:cs="Arial"/>
          <w:b/>
          <w:bCs/>
          <w:i w:val="0"/>
          <w:iCs w:val="0"/>
        </w:rPr>
        <w:tab/>
      </w:r>
      <w:r w:rsidR="00B71563" w:rsidRPr="007158FB">
        <w:rPr>
          <w:rFonts w:cs="Arial"/>
          <w:b/>
          <w:bCs/>
          <w:i w:val="0"/>
          <w:iCs w:val="0"/>
        </w:rPr>
        <w:t>Workers Compensation Act 1951</w:t>
      </w:r>
    </w:p>
    <w:p w14:paraId="35A7AA6B" w14:textId="0A165D0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3</w:t>
      </w:r>
      <w:r w:rsidR="00CD5DCC" w:rsidRPr="007158FB">
        <w:rPr>
          <w:rFonts w:cs="Arial"/>
          <w:i w:val="0"/>
          <w:iCs w:val="0"/>
          <w:kern w:val="0"/>
          <w14:ligatures w14:val="none"/>
        </w:rPr>
        <w:tab/>
        <w:t>Living outside Australia</w:t>
      </w:r>
    </w:p>
    <w:p w14:paraId="2F9B02DE" w14:textId="41F714CF"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44 (2)</w:t>
      </w:r>
    </w:p>
    <w:p w14:paraId="2E7FB040" w14:textId="1D33B0EC" w:rsidR="00102A2B" w:rsidRPr="007158FB" w:rsidRDefault="00102A2B" w:rsidP="00CD5DCC">
      <w:pPr>
        <w:rPr>
          <w:rFonts w:cs="Arial"/>
          <w:bCs/>
          <w:i w:val="0"/>
          <w:iCs w:val="0"/>
        </w:rPr>
      </w:pPr>
      <w:r w:rsidRPr="00102A2B">
        <w:rPr>
          <w:rFonts w:cs="Arial"/>
          <w:bCs/>
          <w:i w:val="0"/>
          <w:iCs w:val="0"/>
        </w:rPr>
        <w:t>This clause omits the need to have a medical referee certify a document for the purposes of this Act.</w:t>
      </w:r>
    </w:p>
    <w:p w14:paraId="7C4194D2" w14:textId="49BBE26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4</w:t>
      </w:r>
      <w:r w:rsidR="00CD5DCC" w:rsidRPr="007158FB">
        <w:rPr>
          <w:rFonts w:cs="Arial"/>
          <w:i w:val="0"/>
          <w:iCs w:val="0"/>
          <w:kern w:val="0"/>
          <w14:ligatures w14:val="none"/>
        </w:rPr>
        <w:tab/>
        <w:t>Special provisions for HIV/AIDS</w:t>
      </w:r>
    </w:p>
    <w:p w14:paraId="7206E82F" w14:textId="2016CB9F"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60</w:t>
      </w:r>
    </w:p>
    <w:p w14:paraId="0487E6F1" w14:textId="50E16416" w:rsidR="00102A2B" w:rsidRPr="007158FB" w:rsidRDefault="00102A2B" w:rsidP="00CD5DCC">
      <w:pPr>
        <w:rPr>
          <w:rFonts w:cs="Arial"/>
          <w:i w:val="0"/>
          <w:iCs w:val="0"/>
        </w:rPr>
      </w:pPr>
      <w:r w:rsidRPr="00102A2B">
        <w:rPr>
          <w:rFonts w:cs="Arial"/>
          <w:i w:val="0"/>
          <w:iCs w:val="0"/>
        </w:rPr>
        <w:t>This provision removes the previous special provisions which have applied to HIV/AIDS.</w:t>
      </w:r>
    </w:p>
    <w:p w14:paraId="5C19B21B" w14:textId="47D4FE0B" w:rsidR="00102A2B" w:rsidRPr="007158FB" w:rsidRDefault="008D1719" w:rsidP="00102A2B">
      <w:pPr>
        <w:pStyle w:val="Heading3"/>
        <w:spacing w:before="0" w:after="120"/>
        <w:ind w:left="1440" w:hanging="1440"/>
        <w:rPr>
          <w:rFonts w:cs="Arial"/>
          <w:b w:val="0"/>
          <w:bCs w:val="0"/>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5</w:t>
      </w:r>
      <w:r w:rsidR="00CD5DCC" w:rsidRPr="007158FB">
        <w:rPr>
          <w:rFonts w:cs="Arial"/>
          <w:i w:val="0"/>
          <w:iCs w:val="0"/>
          <w:kern w:val="0"/>
          <w14:ligatures w14:val="none"/>
        </w:rPr>
        <w:tab/>
        <w:t>New part 4.9</w:t>
      </w:r>
    </w:p>
    <w:p w14:paraId="28DEB288" w14:textId="0DD4098F" w:rsidR="00102A2B" w:rsidRPr="00102A2B" w:rsidRDefault="00102A2B" w:rsidP="00102A2B">
      <w:pPr>
        <w:rPr>
          <w:rFonts w:cs="Arial"/>
          <w:i w:val="0"/>
          <w:iCs w:val="0"/>
        </w:rPr>
      </w:pPr>
      <w:r w:rsidRPr="00102A2B">
        <w:rPr>
          <w:rFonts w:cs="Arial"/>
          <w:i w:val="0"/>
          <w:iCs w:val="0"/>
        </w:rPr>
        <w:t xml:space="preserve">This </w:t>
      </w:r>
      <w:r w:rsidRPr="007158FB">
        <w:rPr>
          <w:rFonts w:cs="Arial"/>
          <w:i w:val="0"/>
          <w:iCs w:val="0"/>
        </w:rPr>
        <w:t xml:space="preserve">clause provides for </w:t>
      </w:r>
      <w:r w:rsidR="009F0A36">
        <w:rPr>
          <w:rFonts w:cs="Arial"/>
          <w:i w:val="0"/>
          <w:iCs w:val="0"/>
        </w:rPr>
        <w:t xml:space="preserve">a payment to financially support households impacted by the </w:t>
      </w:r>
      <w:r w:rsidRPr="007158FB">
        <w:rPr>
          <w:rFonts w:cs="Arial"/>
          <w:i w:val="0"/>
          <w:iCs w:val="0"/>
        </w:rPr>
        <w:t>workplace death</w:t>
      </w:r>
      <w:r w:rsidR="007C1BA5">
        <w:rPr>
          <w:rFonts w:cs="Arial"/>
          <w:i w:val="0"/>
          <w:iCs w:val="0"/>
        </w:rPr>
        <w:t xml:space="preserve"> of a member of that household</w:t>
      </w:r>
      <w:r w:rsidRPr="007158FB">
        <w:rPr>
          <w:rFonts w:cs="Arial"/>
          <w:i w:val="0"/>
          <w:iCs w:val="0"/>
        </w:rPr>
        <w:t xml:space="preserve">. </w:t>
      </w:r>
      <w:r w:rsidRPr="00102A2B">
        <w:rPr>
          <w:rFonts w:cs="Arial"/>
          <w:bCs/>
          <w:i w:val="0"/>
          <w:iCs w:val="0"/>
        </w:rPr>
        <w:t xml:space="preserve">It provides that, upon application made within </w:t>
      </w:r>
      <w:r w:rsidR="00962F20">
        <w:rPr>
          <w:rFonts w:cs="Arial"/>
          <w:bCs/>
          <w:i w:val="0"/>
          <w:iCs w:val="0"/>
        </w:rPr>
        <w:t>3</w:t>
      </w:r>
      <w:r w:rsidRPr="00102A2B">
        <w:rPr>
          <w:rFonts w:cs="Arial"/>
          <w:bCs/>
          <w:i w:val="0"/>
          <w:iCs w:val="0"/>
        </w:rPr>
        <w:t xml:space="preserve"> months of </w:t>
      </w:r>
      <w:r w:rsidR="007C1BA5">
        <w:rPr>
          <w:rFonts w:cs="Arial"/>
          <w:bCs/>
          <w:i w:val="0"/>
          <w:iCs w:val="0"/>
        </w:rPr>
        <w:t>a</w:t>
      </w:r>
      <w:r w:rsidRPr="00102A2B">
        <w:rPr>
          <w:rFonts w:cs="Arial"/>
          <w:bCs/>
          <w:i w:val="0"/>
          <w:iCs w:val="0"/>
        </w:rPr>
        <w:t xml:space="preserve"> worker’s death, an employer must pay a one-off amount of </w:t>
      </w:r>
      <w:r w:rsidRPr="00102A2B">
        <w:rPr>
          <w:rFonts w:cs="Arial"/>
          <w:i w:val="0"/>
          <w:iCs w:val="0"/>
        </w:rPr>
        <w:t>$10,000 (CPI indexed)</w:t>
      </w:r>
      <w:r w:rsidRPr="00102A2B">
        <w:rPr>
          <w:rFonts w:cs="Arial"/>
          <w:bCs/>
          <w:i w:val="0"/>
          <w:iCs w:val="0"/>
        </w:rPr>
        <w:t xml:space="preserve"> to a domestic partner </w:t>
      </w:r>
      <w:r w:rsidRPr="007158FB">
        <w:rPr>
          <w:rFonts w:cs="Arial"/>
          <w:bCs/>
          <w:i w:val="0"/>
          <w:iCs w:val="0"/>
        </w:rPr>
        <w:t>and/</w:t>
      </w:r>
      <w:r w:rsidRPr="00102A2B">
        <w:rPr>
          <w:rFonts w:cs="Arial"/>
          <w:bCs/>
          <w:i w:val="0"/>
          <w:iCs w:val="0"/>
        </w:rPr>
        <w:t>or </w:t>
      </w:r>
      <w:r w:rsidRPr="00102A2B">
        <w:rPr>
          <w:rFonts w:cs="Arial"/>
          <w:i w:val="0"/>
          <w:iCs w:val="0"/>
        </w:rPr>
        <w:t>$5,000 (CPI indexed)</w:t>
      </w:r>
      <w:r w:rsidRPr="00102A2B">
        <w:rPr>
          <w:rFonts w:cs="Arial"/>
          <w:bCs/>
          <w:i w:val="0"/>
          <w:iCs w:val="0"/>
        </w:rPr>
        <w:t xml:space="preserve"> to any other eligible </w:t>
      </w:r>
      <w:r w:rsidR="002E5579">
        <w:rPr>
          <w:rFonts w:cs="Arial"/>
          <w:bCs/>
          <w:i w:val="0"/>
          <w:iCs w:val="0"/>
        </w:rPr>
        <w:t xml:space="preserve">family </w:t>
      </w:r>
      <w:r w:rsidRPr="00102A2B">
        <w:rPr>
          <w:rFonts w:cs="Arial"/>
          <w:bCs/>
          <w:i w:val="0"/>
          <w:iCs w:val="0"/>
        </w:rPr>
        <w:t>member</w:t>
      </w:r>
      <w:r w:rsidRPr="007158FB">
        <w:rPr>
          <w:rFonts w:cs="Arial"/>
          <w:bCs/>
          <w:i w:val="0"/>
          <w:iCs w:val="0"/>
        </w:rPr>
        <w:t xml:space="preserve"> </w:t>
      </w:r>
      <w:r w:rsidR="002E5579">
        <w:rPr>
          <w:rFonts w:cs="Arial"/>
          <w:bCs/>
          <w:i w:val="0"/>
          <w:iCs w:val="0"/>
        </w:rPr>
        <w:t>of the deceased worker’s household,</w:t>
      </w:r>
      <w:r w:rsidR="002E5579" w:rsidRPr="002E5579">
        <w:rPr>
          <w:rFonts w:cs="Arial"/>
          <w:bCs/>
          <w:i w:val="0"/>
          <w:iCs w:val="0"/>
        </w:rPr>
        <w:t xml:space="preserve"> </w:t>
      </w:r>
      <w:r w:rsidR="002E5579" w:rsidRPr="007158FB">
        <w:rPr>
          <w:rFonts w:cs="Arial"/>
          <w:bCs/>
          <w:i w:val="0"/>
          <w:iCs w:val="0"/>
        </w:rPr>
        <w:t>including a parent and child</w:t>
      </w:r>
      <w:r w:rsidRPr="00102A2B">
        <w:rPr>
          <w:rFonts w:cs="Arial"/>
          <w:bCs/>
          <w:i w:val="0"/>
          <w:iCs w:val="0"/>
        </w:rPr>
        <w:t>. These payments must be made within </w:t>
      </w:r>
      <w:r w:rsidRPr="00102A2B">
        <w:rPr>
          <w:rFonts w:cs="Arial"/>
          <w:i w:val="0"/>
          <w:iCs w:val="0"/>
        </w:rPr>
        <w:t>7 days</w:t>
      </w:r>
      <w:r w:rsidRPr="00102A2B">
        <w:rPr>
          <w:rFonts w:cs="Arial"/>
          <w:bCs/>
          <w:i w:val="0"/>
          <w:iCs w:val="0"/>
        </w:rPr>
        <w:t> of receiving the application, ensuring prompt financial assistance during a period of bereavement.</w:t>
      </w:r>
    </w:p>
    <w:p w14:paraId="066BAEA1" w14:textId="27DE4C96" w:rsidR="00102A2B" w:rsidRDefault="00102A2B" w:rsidP="00102A2B">
      <w:pPr>
        <w:rPr>
          <w:rFonts w:cs="Arial"/>
          <w:bCs/>
          <w:i w:val="0"/>
          <w:iCs w:val="0"/>
        </w:rPr>
      </w:pPr>
      <w:r w:rsidRPr="00102A2B">
        <w:rPr>
          <w:rFonts w:cs="Arial"/>
          <w:bCs/>
          <w:i w:val="0"/>
          <w:iCs w:val="0"/>
        </w:rPr>
        <w:t>The provision sets a </w:t>
      </w:r>
      <w:r w:rsidRPr="00102A2B">
        <w:rPr>
          <w:rFonts w:cs="Arial"/>
          <w:i w:val="0"/>
          <w:iCs w:val="0"/>
        </w:rPr>
        <w:t>maximum total payment cap of</w:t>
      </w:r>
      <w:r w:rsidRPr="00102A2B">
        <w:rPr>
          <w:rFonts w:cs="Arial"/>
          <w:b/>
          <w:bCs/>
          <w:i w:val="0"/>
          <w:iCs w:val="0"/>
        </w:rPr>
        <w:t xml:space="preserve"> </w:t>
      </w:r>
      <w:r w:rsidRPr="00102A2B">
        <w:rPr>
          <w:rFonts w:cs="Arial"/>
          <w:i w:val="0"/>
          <w:iCs w:val="0"/>
        </w:rPr>
        <w:t>$50,000 (CPI indexed)</w:t>
      </w:r>
      <w:r w:rsidRPr="00102A2B">
        <w:rPr>
          <w:rFonts w:cs="Arial"/>
          <w:bCs/>
          <w:i w:val="0"/>
          <w:iCs w:val="0"/>
        </w:rPr>
        <w:t xml:space="preserve"> across all applicants. Importantly, these payments </w:t>
      </w:r>
      <w:r w:rsidRPr="007158FB">
        <w:rPr>
          <w:rFonts w:cs="Arial"/>
          <w:bCs/>
          <w:i w:val="0"/>
          <w:iCs w:val="0"/>
        </w:rPr>
        <w:t xml:space="preserve">are made on a without prejudice basis and </w:t>
      </w:r>
      <w:r w:rsidRPr="00102A2B">
        <w:rPr>
          <w:rFonts w:cs="Arial"/>
          <w:bCs/>
          <w:i w:val="0"/>
          <w:iCs w:val="0"/>
        </w:rPr>
        <w:t xml:space="preserve">do not affect any other </w:t>
      </w:r>
      <w:r w:rsidRPr="007158FB">
        <w:rPr>
          <w:rFonts w:cs="Arial"/>
          <w:bCs/>
          <w:i w:val="0"/>
          <w:iCs w:val="0"/>
        </w:rPr>
        <w:t xml:space="preserve">statutory </w:t>
      </w:r>
      <w:r w:rsidRPr="00102A2B">
        <w:rPr>
          <w:rFonts w:cs="Arial"/>
          <w:bCs/>
          <w:i w:val="0"/>
          <w:iCs w:val="0"/>
        </w:rPr>
        <w:t xml:space="preserve">compensation entitlements </w:t>
      </w:r>
      <w:r w:rsidR="002E5579">
        <w:rPr>
          <w:rFonts w:cs="Arial"/>
          <w:bCs/>
          <w:i w:val="0"/>
          <w:iCs w:val="0"/>
        </w:rPr>
        <w:t xml:space="preserve">arising </w:t>
      </w:r>
      <w:r w:rsidRPr="00102A2B">
        <w:rPr>
          <w:rFonts w:cs="Arial"/>
          <w:bCs/>
          <w:i w:val="0"/>
          <w:iCs w:val="0"/>
        </w:rPr>
        <w:t>under</w:t>
      </w:r>
      <w:r w:rsidR="002E5579">
        <w:rPr>
          <w:rFonts w:cs="Arial"/>
          <w:bCs/>
          <w:i w:val="0"/>
          <w:iCs w:val="0"/>
        </w:rPr>
        <w:t xml:space="preserve"> the Act</w:t>
      </w:r>
      <w:r w:rsidRPr="00102A2B">
        <w:rPr>
          <w:rFonts w:cs="Arial"/>
          <w:bCs/>
          <w:i w:val="0"/>
          <w:iCs w:val="0"/>
        </w:rPr>
        <w:t xml:space="preserve">. </w:t>
      </w:r>
    </w:p>
    <w:p w14:paraId="7B738D19" w14:textId="3E7F6F3E"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6</w:t>
      </w:r>
      <w:r w:rsidR="00CD5DCC" w:rsidRPr="007158FB">
        <w:rPr>
          <w:rFonts w:cs="Arial"/>
          <w:i w:val="0"/>
          <w:iCs w:val="0"/>
          <w:kern w:val="0"/>
          <w14:ligatures w14:val="none"/>
        </w:rPr>
        <w:tab/>
        <w:t>Inspectors</w:t>
      </w:r>
    </w:p>
    <w:p w14:paraId="61D778A3" w14:textId="4A7A24A8"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New section 188 (3)</w:t>
      </w:r>
    </w:p>
    <w:p w14:paraId="0B8A07B8" w14:textId="342358DD" w:rsidR="00102A2B" w:rsidRPr="007158FB" w:rsidRDefault="00CF1E53" w:rsidP="00CD5DCC">
      <w:pPr>
        <w:rPr>
          <w:rFonts w:cs="Arial"/>
          <w:i w:val="0"/>
          <w:iCs w:val="0"/>
        </w:rPr>
      </w:pPr>
      <w:r w:rsidRPr="007158FB">
        <w:rPr>
          <w:rFonts w:cs="Arial"/>
          <w:i w:val="0"/>
          <w:iCs w:val="0"/>
        </w:rPr>
        <w:t>This clause establishes that the regulator is also an inspector, meaning the regulator may exercise the powers and functions of an inspector.</w:t>
      </w:r>
    </w:p>
    <w:p w14:paraId="1AF8F7FD" w14:textId="1299F130"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27</w:t>
      </w:r>
      <w:r w:rsidR="00CD5DCC" w:rsidRPr="007158FB">
        <w:rPr>
          <w:rFonts w:cs="Arial"/>
          <w:i w:val="0"/>
          <w:iCs w:val="0"/>
          <w:kern w:val="0"/>
          <w14:ligatures w14:val="none"/>
        </w:rPr>
        <w:tab/>
        <w:t>Medical referees</w:t>
      </w:r>
    </w:p>
    <w:p w14:paraId="14BD34D6" w14:textId="47D468BC"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201 (1) and (2)</w:t>
      </w:r>
    </w:p>
    <w:p w14:paraId="7BC5DEE2" w14:textId="3559F9DF" w:rsidR="00CF1E53" w:rsidRPr="007158FB" w:rsidRDefault="00CF1E53" w:rsidP="00CD5DCC">
      <w:pPr>
        <w:rPr>
          <w:rFonts w:cs="Arial"/>
          <w:bCs/>
          <w:i w:val="0"/>
          <w:iCs w:val="0"/>
        </w:rPr>
      </w:pPr>
      <w:r w:rsidRPr="007158FB">
        <w:rPr>
          <w:rFonts w:cs="Arial"/>
          <w:bCs/>
          <w:i w:val="0"/>
          <w:iCs w:val="0"/>
        </w:rPr>
        <w:t xml:space="preserve">This provision substitutes the previous section and gives the regulator the ability to appoint a doctor as a medical referee for the purposes of the </w:t>
      </w:r>
      <w:r w:rsidR="007158FB" w:rsidRPr="007158FB">
        <w:rPr>
          <w:rFonts w:cs="Arial"/>
          <w:bCs/>
        </w:rPr>
        <w:t>Workers Compensation Act 1951</w:t>
      </w:r>
      <w:r w:rsidRPr="007158FB">
        <w:rPr>
          <w:rFonts w:cs="Arial"/>
          <w:bCs/>
          <w:i w:val="0"/>
          <w:iCs w:val="0"/>
        </w:rPr>
        <w:t>. It sets out that the regulator may appoint a doctor as a referee only if satisfied they have the experience and expertise to perform the duties of a medical referee.</w:t>
      </w:r>
    </w:p>
    <w:p w14:paraId="5C4E5AC8" w14:textId="0E65609D"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28</w:t>
      </w:r>
      <w:r w:rsidR="00CD5DCC" w:rsidRPr="007158FB">
        <w:rPr>
          <w:rFonts w:cs="Arial"/>
          <w:i w:val="0"/>
          <w:iCs w:val="0"/>
          <w:kern w:val="0"/>
          <w14:ligatures w14:val="none"/>
        </w:rPr>
        <w:tab/>
        <w:t>New chapter 22</w:t>
      </w:r>
    </w:p>
    <w:p w14:paraId="5E9A50EC" w14:textId="7BCFF485" w:rsidR="00CF1E53" w:rsidRPr="007158FB" w:rsidRDefault="00CF1E53" w:rsidP="00CF1E53">
      <w:pPr>
        <w:rPr>
          <w:rFonts w:cs="Arial"/>
          <w:i w:val="0"/>
          <w:iCs w:val="0"/>
        </w:rPr>
      </w:pPr>
      <w:r w:rsidRPr="007158FB">
        <w:rPr>
          <w:rFonts w:cs="Arial"/>
          <w:i w:val="0"/>
          <w:iCs w:val="0"/>
        </w:rPr>
        <w:t>This clause provides for transitional amendments relating to the application of part</w:t>
      </w:r>
      <w:r w:rsidR="00683C9F">
        <w:rPr>
          <w:rFonts w:cs="Arial"/>
          <w:i w:val="0"/>
          <w:iCs w:val="0"/>
        </w:rPr>
        <w:t> </w:t>
      </w:r>
      <w:r w:rsidRPr="007158FB">
        <w:rPr>
          <w:rFonts w:cs="Arial"/>
          <w:i w:val="0"/>
          <w:iCs w:val="0"/>
        </w:rPr>
        <w:t>4.9 (Payments to families of deceased workers).</w:t>
      </w:r>
    </w:p>
    <w:p w14:paraId="24DDED1B" w14:textId="034C4E7C" w:rsidR="00C25746" w:rsidRPr="007158FB" w:rsidRDefault="008D1719" w:rsidP="00CD5DCC">
      <w:pPr>
        <w:pStyle w:val="Heading3"/>
        <w:spacing w:before="0" w:after="120"/>
        <w:ind w:left="1440" w:hanging="1440"/>
        <w:rPr>
          <w:rFonts w:cs="Arial"/>
          <w:kern w:val="0"/>
          <w14:ligatures w14:val="none"/>
        </w:rPr>
      </w:pPr>
      <w:r w:rsidRPr="007158FB">
        <w:rPr>
          <w:rFonts w:cs="Arial"/>
          <w:i w:val="0"/>
          <w:iCs w:val="0"/>
          <w:kern w:val="0"/>
          <w14:ligatures w14:val="none"/>
        </w:rPr>
        <w:lastRenderedPageBreak/>
        <w:t xml:space="preserve">Clause </w:t>
      </w:r>
      <w:r w:rsidR="00DC6A06">
        <w:rPr>
          <w:rFonts w:cs="Arial"/>
          <w:i w:val="0"/>
          <w:iCs w:val="0"/>
          <w:kern w:val="0"/>
          <w14:ligatures w14:val="none"/>
        </w:rPr>
        <w:t>29</w:t>
      </w:r>
      <w:r w:rsidR="00CD5DCC" w:rsidRPr="007158FB">
        <w:rPr>
          <w:rFonts w:cs="Arial"/>
          <w:i w:val="0"/>
          <w:iCs w:val="0"/>
          <w:kern w:val="0"/>
          <w14:ligatures w14:val="none"/>
        </w:rPr>
        <w:tab/>
        <w:t xml:space="preserve">Dictionary, definition of </w:t>
      </w:r>
      <w:r w:rsidR="00CD5DCC" w:rsidRPr="007158FB">
        <w:rPr>
          <w:rFonts w:cs="Arial"/>
          <w:kern w:val="0"/>
          <w14:ligatures w14:val="none"/>
        </w:rPr>
        <w:t>inspector</w:t>
      </w:r>
    </w:p>
    <w:p w14:paraId="3E05702A" w14:textId="1E1397F2" w:rsidR="00CF1E53" w:rsidRPr="007158FB" w:rsidRDefault="00CF1E53" w:rsidP="00CF1E53">
      <w:pPr>
        <w:rPr>
          <w:rFonts w:cs="Arial"/>
          <w:i w:val="0"/>
          <w:iCs w:val="0"/>
        </w:rPr>
      </w:pPr>
      <w:r w:rsidRPr="007158FB">
        <w:rPr>
          <w:rFonts w:cs="Arial"/>
          <w:bCs/>
          <w:i w:val="0"/>
          <w:iCs w:val="0"/>
        </w:rPr>
        <w:t xml:space="preserve">This clause substitutes the definition of “inspector” to mean an inspector as defined under section 188 of the </w:t>
      </w:r>
      <w:r w:rsidRPr="007158FB">
        <w:rPr>
          <w:rFonts w:cs="Arial"/>
          <w:bCs/>
        </w:rPr>
        <w:t>Workers Compensation Act 1951</w:t>
      </w:r>
      <w:r w:rsidRPr="007158FB">
        <w:rPr>
          <w:rFonts w:cs="Arial"/>
          <w:bCs/>
          <w:i w:val="0"/>
          <w:iCs w:val="0"/>
        </w:rPr>
        <w:t>.</w:t>
      </w:r>
    </w:p>
    <w:p w14:paraId="0BBF1919" w14:textId="3A4E199A" w:rsidR="00577405" w:rsidRPr="007158FB" w:rsidRDefault="00C25746"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7</w:t>
      </w:r>
      <w:r w:rsidRPr="007158FB">
        <w:rPr>
          <w:rFonts w:cs="Arial"/>
          <w:b/>
          <w:bCs/>
          <w:i w:val="0"/>
          <w:iCs w:val="0"/>
        </w:rPr>
        <w:tab/>
      </w:r>
      <w:r w:rsidRPr="007158FB">
        <w:rPr>
          <w:rFonts w:cs="Arial"/>
          <w:b/>
          <w:bCs/>
          <w:i w:val="0"/>
          <w:iCs w:val="0"/>
        </w:rPr>
        <w:tab/>
      </w:r>
      <w:r w:rsidR="00B71563" w:rsidRPr="007158FB">
        <w:rPr>
          <w:rFonts w:cs="Arial"/>
          <w:b/>
          <w:bCs/>
          <w:i w:val="0"/>
          <w:iCs w:val="0"/>
        </w:rPr>
        <w:t>Work Health and Safety Act 2011</w:t>
      </w:r>
    </w:p>
    <w:p w14:paraId="18AB3520" w14:textId="633DE9E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0</w:t>
      </w:r>
      <w:r w:rsidR="00CD5DCC" w:rsidRPr="007158FB">
        <w:rPr>
          <w:rFonts w:cs="Arial"/>
          <w:i w:val="0"/>
          <w:iCs w:val="0"/>
          <w:kern w:val="0"/>
          <w14:ligatures w14:val="none"/>
        </w:rPr>
        <w:tab/>
        <w:t xml:space="preserve">What is a </w:t>
      </w:r>
      <w:r w:rsidR="00CD5DCC" w:rsidRPr="007158FB">
        <w:rPr>
          <w:rFonts w:cs="Arial"/>
          <w:kern w:val="0"/>
          <w14:ligatures w14:val="none"/>
        </w:rPr>
        <w:t>notifiable incident</w:t>
      </w:r>
    </w:p>
    <w:p w14:paraId="3FB8A267" w14:textId="5B40E483" w:rsidR="00CD5DCC" w:rsidRPr="007158FB" w:rsidRDefault="00CD5DCC" w:rsidP="00CD5DCC">
      <w:pPr>
        <w:rPr>
          <w:rFonts w:eastAsiaTheme="majorEastAsia" w:cs="Arial"/>
          <w:b/>
          <w:bCs/>
          <w:kern w:val="0"/>
          <w14:ligatures w14:val="none"/>
        </w:rPr>
      </w:pPr>
      <w:r w:rsidRPr="007158FB">
        <w:rPr>
          <w:rFonts w:eastAsiaTheme="majorEastAsia" w:cs="Arial"/>
          <w:b/>
          <w:bCs/>
          <w:i w:val="0"/>
          <w:iCs w:val="0"/>
          <w:kern w:val="0"/>
          <w14:ligatures w14:val="none"/>
        </w:rPr>
        <w:tab/>
      </w:r>
      <w:r w:rsidRPr="007158FB">
        <w:rPr>
          <w:rFonts w:eastAsiaTheme="majorEastAsia" w:cs="Arial"/>
          <w:b/>
          <w:bCs/>
          <w:i w:val="0"/>
          <w:iCs w:val="0"/>
          <w:kern w:val="0"/>
          <w14:ligatures w14:val="none"/>
        </w:rPr>
        <w:tab/>
        <w:t xml:space="preserve">Section 35, definition of </w:t>
      </w:r>
      <w:r w:rsidRPr="007158FB">
        <w:rPr>
          <w:rFonts w:eastAsiaTheme="majorEastAsia" w:cs="Arial"/>
          <w:b/>
          <w:bCs/>
          <w:kern w:val="0"/>
          <w14:ligatures w14:val="none"/>
        </w:rPr>
        <w:t>notifiable incident</w:t>
      </w:r>
    </w:p>
    <w:p w14:paraId="1ED0ACBC" w14:textId="5B06706B" w:rsidR="00CF1E53" w:rsidRPr="007158FB" w:rsidRDefault="00CF1E53" w:rsidP="00CD5DCC">
      <w:pPr>
        <w:rPr>
          <w:rFonts w:cs="Arial"/>
          <w:i w:val="0"/>
          <w:iCs w:val="0"/>
        </w:rPr>
      </w:pPr>
      <w:r w:rsidRPr="007158FB">
        <w:rPr>
          <w:rFonts w:eastAsiaTheme="majorEastAsia" w:cs="Arial"/>
          <w:i w:val="0"/>
          <w:iCs w:val="0"/>
          <w:kern w:val="0"/>
          <w14:ligatures w14:val="none"/>
        </w:rPr>
        <w:t>The existing section 35 defines what a notifiable incident is. The requirement that a notifiable incident must “arise from the conduct of the business or undertaking” is referenced in existing subsection 38 (1). The absence of this requirement i</w:t>
      </w:r>
      <w:r w:rsidR="00C03B92">
        <w:rPr>
          <w:rFonts w:eastAsiaTheme="majorEastAsia" w:cs="Arial"/>
          <w:i w:val="0"/>
          <w:iCs w:val="0"/>
          <w:kern w:val="0"/>
          <w14:ligatures w14:val="none"/>
        </w:rPr>
        <w:t>n</w:t>
      </w:r>
      <w:r w:rsidRPr="007158FB">
        <w:rPr>
          <w:rFonts w:eastAsiaTheme="majorEastAsia" w:cs="Arial"/>
          <w:i w:val="0"/>
          <w:iCs w:val="0"/>
          <w:kern w:val="0"/>
          <w14:ligatures w14:val="none"/>
        </w:rPr>
        <w:t xml:space="preserve"> section 35 may lead to over-notification in some instances. This amendment makes the provision more prominent in order to clarify which incidents are notifiable incidents under Part 3 of the </w:t>
      </w:r>
      <w:r w:rsidRPr="007158FB">
        <w:rPr>
          <w:rFonts w:eastAsiaTheme="majorEastAsia" w:cs="Arial"/>
          <w:kern w:val="0"/>
          <w14:ligatures w14:val="none"/>
        </w:rPr>
        <w:t>Work Health and Safety Act 2011</w:t>
      </w:r>
      <w:r w:rsidRPr="007158FB">
        <w:rPr>
          <w:rFonts w:eastAsiaTheme="majorEastAsia" w:cs="Arial"/>
          <w:i w:val="0"/>
          <w:iCs w:val="0"/>
          <w:kern w:val="0"/>
          <w14:ligatures w14:val="none"/>
        </w:rPr>
        <w:t>.</w:t>
      </w:r>
    </w:p>
    <w:p w14:paraId="7B21C485" w14:textId="11EC32B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1</w:t>
      </w:r>
      <w:r w:rsidR="00CD5DCC" w:rsidRPr="007158FB">
        <w:rPr>
          <w:rFonts w:cs="Arial"/>
          <w:i w:val="0"/>
          <w:iCs w:val="0"/>
          <w:kern w:val="0"/>
          <w14:ligatures w14:val="none"/>
        </w:rPr>
        <w:tab/>
        <w:t>Sections 36 and 37</w:t>
      </w:r>
    </w:p>
    <w:p w14:paraId="67D0756E" w14:textId="77777777" w:rsidR="00CF1E53" w:rsidRPr="00CF1E53" w:rsidRDefault="00CF1E53" w:rsidP="00CF1E53">
      <w:pPr>
        <w:rPr>
          <w:rFonts w:cs="Arial"/>
          <w:i w:val="0"/>
          <w:iCs w:val="0"/>
        </w:rPr>
      </w:pPr>
      <w:r w:rsidRPr="00CF1E53">
        <w:rPr>
          <w:rFonts w:cs="Arial"/>
          <w:i w:val="0"/>
          <w:iCs w:val="0"/>
        </w:rPr>
        <w:t>New paragraphs 36(1)(a) and (b) clarify that the test for whether an injury or illness is a serious injury or illness is an objective test in the sense that they do not require that a person has received the treatment referred to in the provision for an injury or illness to be considered a serious injury or illness. It is intended to capture situations where treatment was not available, for example due to remoteness, where the seriousness of the injury or illness was not recognised or where the injured or ill person refused treatment.</w:t>
      </w:r>
    </w:p>
    <w:p w14:paraId="4335E809" w14:textId="6E74F8C2" w:rsidR="00CF1E53" w:rsidRPr="00CF1E53" w:rsidRDefault="00CF1E53" w:rsidP="00CF1E53">
      <w:pPr>
        <w:rPr>
          <w:rFonts w:cs="Arial"/>
          <w:i w:val="0"/>
          <w:iCs w:val="0"/>
        </w:rPr>
      </w:pPr>
      <w:r w:rsidRPr="00CF1E53">
        <w:rPr>
          <w:rFonts w:cs="Arial"/>
          <w:i w:val="0"/>
          <w:iCs w:val="0"/>
        </w:rPr>
        <w:t>New section 36(1)(</w:t>
      </w:r>
      <w:r w:rsidR="00964A24">
        <w:rPr>
          <w:rFonts w:cs="Arial"/>
          <w:i w:val="0"/>
          <w:iCs w:val="0"/>
        </w:rPr>
        <w:t>d</w:t>
      </w:r>
      <w:r w:rsidRPr="00CF1E53">
        <w:rPr>
          <w:rFonts w:cs="Arial"/>
          <w:i w:val="0"/>
          <w:iCs w:val="0"/>
        </w:rPr>
        <w:t>) supports improved notification of serious injuries and illnesses requiring ‘medical treatment within 48 hours of exposure to a substance’. This definition is also adjusted to capture treatment following exposure to a substance provided by Medical Practitioners, Paramedics, Registered Nurses or Nurse Practitioners and not limited to treatment by a doctor.</w:t>
      </w:r>
    </w:p>
    <w:p w14:paraId="5391A43D" w14:textId="77777777" w:rsidR="00CF1E53" w:rsidRPr="00CF1E53" w:rsidRDefault="00CF1E53" w:rsidP="00CF1E53">
      <w:pPr>
        <w:rPr>
          <w:rFonts w:cs="Arial"/>
          <w:i w:val="0"/>
          <w:iCs w:val="0"/>
        </w:rPr>
      </w:pPr>
      <w:r w:rsidRPr="00CF1E53">
        <w:rPr>
          <w:rFonts w:cs="Arial"/>
          <w:i w:val="0"/>
          <w:iCs w:val="0"/>
        </w:rPr>
        <w:t>This provision updates the definition of a dangerous incident to improve clarity and enforcement. It includes incidents at workplaces that expose people to serious health or safety risks due to immediate or imminent hazards. New inclusions are electrical and arc flash explosions, mobile plant incidents (e.g. overturning or collisions involving machinery like forklifts or quad bikes), and serious falls (e.g. falling between levels, into holes or water, or onto hazardous surfaces). These updates ensure clearer reporting obligations and better protection, even if no injury occurs.</w:t>
      </w:r>
    </w:p>
    <w:p w14:paraId="769C5E09" w14:textId="3A87CF5F" w:rsidR="00CF1E53" w:rsidRPr="007158FB" w:rsidRDefault="00CF1E53" w:rsidP="00CF1E53">
      <w:pPr>
        <w:rPr>
          <w:rFonts w:cs="Arial"/>
          <w:i w:val="0"/>
          <w:iCs w:val="0"/>
        </w:rPr>
      </w:pPr>
      <w:r w:rsidRPr="00CF1E53">
        <w:rPr>
          <w:rFonts w:cs="Arial"/>
          <w:i w:val="0"/>
          <w:iCs w:val="0"/>
        </w:rPr>
        <w:t xml:space="preserve">For example, if a visitor to a worksite falls into a deep trench, this is a serious fall and meets the meaning of a dangerous incident where it exposes </w:t>
      </w:r>
      <w:r w:rsidR="00C03B92">
        <w:rPr>
          <w:rFonts w:cs="Arial"/>
          <w:i w:val="0"/>
          <w:iCs w:val="0"/>
        </w:rPr>
        <w:t xml:space="preserve">the person to </w:t>
      </w:r>
      <w:r w:rsidRPr="00CF1E53">
        <w:rPr>
          <w:rFonts w:cs="Arial"/>
          <w:i w:val="0"/>
          <w:iCs w:val="0"/>
        </w:rPr>
        <w:t xml:space="preserve">a serious risk to safety, even where the person was not injured. In this circumstance, this is a notifiable incident. </w:t>
      </w:r>
    </w:p>
    <w:p w14:paraId="597D0F7C" w14:textId="5D32B686"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2</w:t>
      </w:r>
      <w:r w:rsidR="00CD5DCC" w:rsidRPr="007158FB">
        <w:rPr>
          <w:rFonts w:cs="Arial"/>
          <w:i w:val="0"/>
          <w:iCs w:val="0"/>
          <w:kern w:val="0"/>
          <w14:ligatures w14:val="none"/>
        </w:rPr>
        <w:tab/>
        <w:t>Duty to notify of notifiable incidents</w:t>
      </w:r>
    </w:p>
    <w:p w14:paraId="34CC43F9" w14:textId="5C0AE66D"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38 (1)</w:t>
      </w:r>
    </w:p>
    <w:p w14:paraId="26B05853" w14:textId="402482E9" w:rsidR="00CF1E53" w:rsidRPr="007158FB" w:rsidRDefault="00CF1E53" w:rsidP="00CD5DCC">
      <w:pPr>
        <w:rPr>
          <w:rFonts w:cs="Arial"/>
          <w:i w:val="0"/>
          <w:iCs w:val="0"/>
        </w:rPr>
      </w:pPr>
      <w:r w:rsidRPr="007158FB">
        <w:rPr>
          <w:rFonts w:cs="Arial"/>
          <w:i w:val="0"/>
          <w:iCs w:val="0"/>
        </w:rPr>
        <w:t>This clause omits the wording “arising out of the conduct of the business or undertaking” noting this is context is canvased in clause 33 above.</w:t>
      </w:r>
    </w:p>
    <w:p w14:paraId="2DC7FAEA" w14:textId="43577C6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3</w:t>
      </w:r>
      <w:r w:rsidR="00DC6A06">
        <w:rPr>
          <w:rFonts w:cs="Arial"/>
          <w:i w:val="0"/>
          <w:iCs w:val="0"/>
          <w:kern w:val="0"/>
          <w14:ligatures w14:val="none"/>
        </w:rPr>
        <w:t>3</w:t>
      </w:r>
      <w:r w:rsidR="00CD5DCC" w:rsidRPr="007158FB">
        <w:rPr>
          <w:rFonts w:cs="Arial"/>
          <w:i w:val="0"/>
          <w:iCs w:val="0"/>
          <w:kern w:val="0"/>
          <w14:ligatures w14:val="none"/>
        </w:rPr>
        <w:tab/>
        <w:t>Section 39 heading</w:t>
      </w:r>
    </w:p>
    <w:p w14:paraId="61AE6749" w14:textId="072B5365" w:rsidR="00CF1E53" w:rsidRPr="007158FB" w:rsidRDefault="00CF1E53" w:rsidP="00CF1E53">
      <w:pPr>
        <w:rPr>
          <w:rFonts w:cs="Arial"/>
          <w:b/>
        </w:rPr>
      </w:pPr>
      <w:r w:rsidRPr="00CF1E53">
        <w:rPr>
          <w:rFonts w:cs="Arial"/>
          <w:bCs/>
          <w:i w:val="0"/>
          <w:iCs w:val="0"/>
        </w:rPr>
        <w:t xml:space="preserve">This </w:t>
      </w:r>
      <w:r w:rsidRPr="007158FB">
        <w:rPr>
          <w:rFonts w:cs="Arial"/>
          <w:bCs/>
          <w:i w:val="0"/>
          <w:iCs w:val="0"/>
        </w:rPr>
        <w:t>clause</w:t>
      </w:r>
      <w:r w:rsidRPr="00CF1E53">
        <w:rPr>
          <w:rFonts w:cs="Arial"/>
          <w:bCs/>
          <w:i w:val="0"/>
          <w:iCs w:val="0"/>
        </w:rPr>
        <w:t xml:space="preserve"> amends the heading of section 39 and inserts the words </w:t>
      </w:r>
      <w:r w:rsidRPr="00CF1E53">
        <w:rPr>
          <w:rFonts w:cs="Arial"/>
          <w:i w:val="0"/>
          <w:iCs w:val="0"/>
        </w:rPr>
        <w:t>“duty to preserve incident sites and evidence”.</w:t>
      </w:r>
    </w:p>
    <w:p w14:paraId="6BF1A7F1" w14:textId="4E2B936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4</w:t>
      </w:r>
      <w:r w:rsidR="00CD5DCC" w:rsidRPr="007158FB">
        <w:rPr>
          <w:rFonts w:cs="Arial"/>
          <w:i w:val="0"/>
          <w:iCs w:val="0"/>
          <w:kern w:val="0"/>
          <w14:ligatures w14:val="none"/>
        </w:rPr>
        <w:tab/>
        <w:t>Section 39 (1) and note</w:t>
      </w:r>
    </w:p>
    <w:p w14:paraId="671C1655" w14:textId="5B635303" w:rsidR="00CF1E53" w:rsidRPr="00CF1E53" w:rsidRDefault="00CF1E53" w:rsidP="00CF1E53">
      <w:pPr>
        <w:rPr>
          <w:rFonts w:cs="Arial"/>
          <w:bCs/>
          <w:i w:val="0"/>
          <w:iCs w:val="0"/>
        </w:rPr>
      </w:pPr>
      <w:r w:rsidRPr="00CF1E53">
        <w:rPr>
          <w:rFonts w:cs="Arial"/>
          <w:bCs/>
          <w:i w:val="0"/>
          <w:iCs w:val="0"/>
        </w:rPr>
        <w:t xml:space="preserve">This provision </w:t>
      </w:r>
      <w:r w:rsidRPr="00762C53">
        <w:rPr>
          <w:rFonts w:cs="Arial"/>
          <w:bCs/>
          <w:i w:val="0"/>
          <w:iCs w:val="0"/>
        </w:rPr>
        <w:t xml:space="preserve">updates </w:t>
      </w:r>
      <w:r w:rsidR="006E7BDE" w:rsidRPr="00762C53">
        <w:rPr>
          <w:rFonts w:cs="Arial"/>
          <w:bCs/>
          <w:i w:val="0"/>
          <w:iCs w:val="0"/>
        </w:rPr>
        <w:t>an existing</w:t>
      </w:r>
      <w:r w:rsidRPr="00762C53">
        <w:rPr>
          <w:rFonts w:cs="Arial"/>
          <w:bCs/>
          <w:i w:val="0"/>
          <w:iCs w:val="0"/>
        </w:rPr>
        <w:t xml:space="preserve"> duty to preserve</w:t>
      </w:r>
      <w:r w:rsidRPr="00CF1E53">
        <w:rPr>
          <w:rFonts w:cs="Arial"/>
          <w:bCs/>
          <w:i w:val="0"/>
          <w:iCs w:val="0"/>
        </w:rPr>
        <w:t xml:space="preserve"> an incident site. It requires the person with management or control of a workplace where a notifiable incident has occurred to, as far as reasonably practicable, preserve both the site and any evidence, such as electronic records and witness details, until an inspector releases them. It also allows an inspector to release all or part of the site.</w:t>
      </w:r>
    </w:p>
    <w:p w14:paraId="44150A13" w14:textId="3FD28260" w:rsidR="00CF1E53" w:rsidRPr="007158FB" w:rsidRDefault="00CF1E53" w:rsidP="00CF1E53">
      <w:pPr>
        <w:rPr>
          <w:rFonts w:cs="Arial"/>
          <w:bCs/>
          <w:i w:val="0"/>
          <w:iCs w:val="0"/>
        </w:rPr>
      </w:pPr>
      <w:r w:rsidRPr="00CF1E53">
        <w:rPr>
          <w:rFonts w:cs="Arial"/>
          <w:bCs/>
          <w:i w:val="0"/>
          <w:iCs w:val="0"/>
        </w:rPr>
        <w:t xml:space="preserve">The requirement to preserve the incident site and evidence is subject to what is reasonably practicable. There may be circumstances where it is not reasonably practicable to preserve the site or evidence, for example when doing so may present a risk to a person’s health or safety and immediate action is needed to remove the risk. </w:t>
      </w:r>
    </w:p>
    <w:p w14:paraId="30C4A696" w14:textId="714C9DB5"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5</w:t>
      </w:r>
      <w:r w:rsidR="00CD5DCC" w:rsidRPr="007158FB">
        <w:rPr>
          <w:rFonts w:cs="Arial"/>
          <w:i w:val="0"/>
          <w:iCs w:val="0"/>
          <w:kern w:val="0"/>
          <w14:ligatures w14:val="none"/>
        </w:rPr>
        <w:tab/>
        <w:t>Section 39 (2)</w:t>
      </w:r>
    </w:p>
    <w:p w14:paraId="00F55627" w14:textId="72BEDB80" w:rsidR="00CF1E53" w:rsidRPr="007158FB" w:rsidRDefault="00CF1E53" w:rsidP="00CF1E53">
      <w:pPr>
        <w:rPr>
          <w:rFonts w:cs="Arial"/>
          <w:i w:val="0"/>
          <w:iCs w:val="0"/>
        </w:rPr>
      </w:pPr>
      <w:r w:rsidRPr="00CF1E53">
        <w:rPr>
          <w:rFonts w:cs="Arial"/>
          <w:bCs/>
          <w:i w:val="0"/>
          <w:iCs w:val="0"/>
        </w:rPr>
        <w:t xml:space="preserve">This section is a technical amendment which omits </w:t>
      </w:r>
      <w:r w:rsidRPr="007158FB">
        <w:rPr>
          <w:rFonts w:cs="Arial"/>
          <w:bCs/>
          <w:i w:val="0"/>
          <w:iCs w:val="0"/>
        </w:rPr>
        <w:t>“</w:t>
      </w:r>
      <w:r w:rsidRPr="00CF1E53">
        <w:rPr>
          <w:rFonts w:cs="Arial"/>
          <w:bCs/>
          <w:i w:val="0"/>
          <w:iCs w:val="0"/>
        </w:rPr>
        <w:t>subsection (1)</w:t>
      </w:r>
      <w:r w:rsidRPr="007158FB">
        <w:rPr>
          <w:rFonts w:cs="Arial"/>
          <w:bCs/>
          <w:i w:val="0"/>
          <w:iCs w:val="0"/>
        </w:rPr>
        <w:t>”</w:t>
      </w:r>
      <w:r w:rsidRPr="00CF1E53">
        <w:rPr>
          <w:rFonts w:cs="Arial"/>
          <w:bCs/>
          <w:i w:val="0"/>
          <w:iCs w:val="0"/>
        </w:rPr>
        <w:t xml:space="preserve"> and substitutes in its place, </w:t>
      </w:r>
      <w:r w:rsidRPr="007158FB">
        <w:rPr>
          <w:rFonts w:cs="Arial"/>
          <w:bCs/>
          <w:i w:val="0"/>
          <w:iCs w:val="0"/>
        </w:rPr>
        <w:t>“</w:t>
      </w:r>
      <w:r w:rsidRPr="00CF1E53">
        <w:rPr>
          <w:rFonts w:cs="Arial"/>
          <w:bCs/>
          <w:i w:val="0"/>
          <w:iCs w:val="0"/>
        </w:rPr>
        <w:t>this section</w:t>
      </w:r>
      <w:r w:rsidRPr="007158FB">
        <w:rPr>
          <w:rFonts w:cs="Arial"/>
          <w:bCs/>
          <w:i w:val="0"/>
          <w:iCs w:val="0"/>
        </w:rPr>
        <w:t>”</w:t>
      </w:r>
      <w:r w:rsidRPr="00CF1E53">
        <w:rPr>
          <w:rFonts w:cs="Arial"/>
          <w:bCs/>
          <w:i w:val="0"/>
          <w:iCs w:val="0"/>
        </w:rPr>
        <w:t>.</w:t>
      </w:r>
    </w:p>
    <w:p w14:paraId="0337A0D6" w14:textId="14F09672"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6</w:t>
      </w:r>
      <w:r w:rsidR="00CD5DCC" w:rsidRPr="007158FB">
        <w:rPr>
          <w:rFonts w:cs="Arial"/>
          <w:i w:val="0"/>
          <w:iCs w:val="0"/>
          <w:kern w:val="0"/>
          <w14:ligatures w14:val="none"/>
        </w:rPr>
        <w:tab/>
        <w:t>Section 39 (3)</w:t>
      </w:r>
    </w:p>
    <w:p w14:paraId="20581E2C" w14:textId="161EEC2C" w:rsidR="00CF1E53" w:rsidRPr="007158FB" w:rsidRDefault="00CF1E53" w:rsidP="00CF1E53">
      <w:pPr>
        <w:rPr>
          <w:rFonts w:cs="Arial"/>
          <w:i w:val="0"/>
          <w:iCs w:val="0"/>
        </w:rPr>
      </w:pPr>
      <w:r w:rsidRPr="00CF1E53">
        <w:rPr>
          <w:rFonts w:cs="Arial"/>
          <w:bCs/>
          <w:i w:val="0"/>
          <w:iCs w:val="0"/>
        </w:rPr>
        <w:t>This section is a technical amendment which omits “subsection (1)” and substitutes in its place, “this section”.</w:t>
      </w:r>
    </w:p>
    <w:p w14:paraId="0821EB24" w14:textId="4865D01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37</w:t>
      </w:r>
      <w:r w:rsidR="00CD5DCC" w:rsidRPr="007158FB">
        <w:rPr>
          <w:rFonts w:cs="Arial"/>
          <w:i w:val="0"/>
          <w:iCs w:val="0"/>
          <w:kern w:val="0"/>
          <w14:ligatures w14:val="none"/>
        </w:rPr>
        <w:tab/>
        <w:t>Section 39 (4)</w:t>
      </w:r>
    </w:p>
    <w:p w14:paraId="163E9A9A" w14:textId="0EA5BE17" w:rsidR="00CF1E53" w:rsidRPr="007158FB" w:rsidRDefault="00CF1E53" w:rsidP="00CF1E53">
      <w:pPr>
        <w:rPr>
          <w:rFonts w:cs="Arial"/>
          <w:i w:val="0"/>
          <w:iCs w:val="0"/>
        </w:rPr>
      </w:pPr>
      <w:r w:rsidRPr="00CF1E53">
        <w:rPr>
          <w:rFonts w:cs="Arial"/>
          <w:i w:val="0"/>
          <w:iCs w:val="0"/>
        </w:rPr>
        <w:t>This clause omits the current section</w:t>
      </w:r>
      <w:r w:rsidRPr="007158FB">
        <w:rPr>
          <w:rFonts w:cs="Arial"/>
          <w:i w:val="0"/>
          <w:iCs w:val="0"/>
        </w:rPr>
        <w:t>. This results in the obligation to preserve a</w:t>
      </w:r>
      <w:r w:rsidR="00F01A40" w:rsidRPr="007158FB">
        <w:rPr>
          <w:rFonts w:cs="Arial"/>
          <w:i w:val="0"/>
          <w:iCs w:val="0"/>
        </w:rPr>
        <w:t>n incident</w:t>
      </w:r>
      <w:r w:rsidRPr="007158FB">
        <w:rPr>
          <w:rFonts w:cs="Arial"/>
          <w:i w:val="0"/>
          <w:iCs w:val="0"/>
        </w:rPr>
        <w:t xml:space="preserve"> site </w:t>
      </w:r>
      <w:r w:rsidR="00F01A40" w:rsidRPr="007158FB">
        <w:rPr>
          <w:rFonts w:cs="Arial"/>
          <w:i w:val="0"/>
          <w:iCs w:val="0"/>
        </w:rPr>
        <w:t>to include where a suspected</w:t>
      </w:r>
      <w:r w:rsidRPr="007158FB">
        <w:rPr>
          <w:rFonts w:cs="Arial"/>
          <w:i w:val="0"/>
          <w:iCs w:val="0"/>
        </w:rPr>
        <w:t xml:space="preserve"> </w:t>
      </w:r>
      <w:r w:rsidRPr="00CF1E53">
        <w:rPr>
          <w:rFonts w:cs="Arial"/>
          <w:i w:val="0"/>
          <w:iCs w:val="0"/>
        </w:rPr>
        <w:t>sexual assault incident</w:t>
      </w:r>
      <w:r w:rsidR="00F01A40" w:rsidRPr="007158FB">
        <w:rPr>
          <w:rFonts w:cs="Arial"/>
          <w:i w:val="0"/>
          <w:iCs w:val="0"/>
        </w:rPr>
        <w:t xml:space="preserve"> has occurred</w:t>
      </w:r>
      <w:r w:rsidRPr="007158FB">
        <w:rPr>
          <w:rFonts w:cs="Arial"/>
          <w:i w:val="0"/>
          <w:iCs w:val="0"/>
        </w:rPr>
        <w:t>.</w:t>
      </w:r>
    </w:p>
    <w:p w14:paraId="18467CCE" w14:textId="1DC674F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38</w:t>
      </w:r>
      <w:r w:rsidR="00CD5DCC" w:rsidRPr="007158FB">
        <w:rPr>
          <w:rFonts w:cs="Arial"/>
          <w:i w:val="0"/>
          <w:iCs w:val="0"/>
          <w:kern w:val="0"/>
          <w14:ligatures w14:val="none"/>
        </w:rPr>
        <w:tab/>
        <w:t>New section 39A</w:t>
      </w:r>
    </w:p>
    <w:p w14:paraId="02E0EB32" w14:textId="11A35289" w:rsidR="00F01A40" w:rsidRPr="00F01A40" w:rsidRDefault="00F01A40" w:rsidP="00F01A40">
      <w:pPr>
        <w:rPr>
          <w:rFonts w:cs="Arial"/>
          <w:i w:val="0"/>
          <w:iCs w:val="0"/>
        </w:rPr>
      </w:pPr>
      <w:r w:rsidRPr="00F01A40">
        <w:rPr>
          <w:rFonts w:cs="Arial"/>
          <w:i w:val="0"/>
          <w:iCs w:val="0"/>
        </w:rPr>
        <w:t xml:space="preserve">This </w:t>
      </w:r>
      <w:r w:rsidRPr="007158FB">
        <w:rPr>
          <w:rFonts w:cs="Arial"/>
          <w:i w:val="0"/>
          <w:iCs w:val="0"/>
        </w:rPr>
        <w:t>clause</w:t>
      </w:r>
      <w:r w:rsidRPr="00F01A40">
        <w:rPr>
          <w:rFonts w:cs="Arial"/>
          <w:i w:val="0"/>
          <w:iCs w:val="0"/>
        </w:rPr>
        <w:t xml:space="preserve"> </w:t>
      </w:r>
      <w:r w:rsidRPr="00F01A40">
        <w:rPr>
          <w:rFonts w:cs="Arial"/>
          <w:bCs/>
          <w:i w:val="0"/>
          <w:iCs w:val="0"/>
        </w:rPr>
        <w:t>inserts a duty of a</w:t>
      </w:r>
      <w:r w:rsidRPr="00F01A40">
        <w:rPr>
          <w:rFonts w:cs="Arial"/>
          <w:i w:val="0"/>
          <w:iCs w:val="0"/>
        </w:rPr>
        <w:t xml:space="preserve"> person conducting business or undertaking (PCBU) and </w:t>
      </w:r>
      <w:r w:rsidR="00306AEE">
        <w:rPr>
          <w:rFonts w:cs="Arial"/>
          <w:i w:val="0"/>
          <w:iCs w:val="0"/>
        </w:rPr>
        <w:t xml:space="preserve">a </w:t>
      </w:r>
      <w:r w:rsidRPr="00F01A40">
        <w:rPr>
          <w:rFonts w:cs="Arial"/>
          <w:i w:val="0"/>
          <w:iCs w:val="0"/>
        </w:rPr>
        <w:t>person with management or control</w:t>
      </w:r>
      <w:r w:rsidRPr="00F01A40">
        <w:rPr>
          <w:rFonts w:cs="Arial"/>
          <w:bCs/>
          <w:i w:val="0"/>
          <w:iCs w:val="0"/>
        </w:rPr>
        <w:t xml:space="preserve"> of workplace to notify each other of notifiable incidents. </w:t>
      </w:r>
      <w:r w:rsidR="00306AEE">
        <w:rPr>
          <w:rFonts w:cs="Arial"/>
          <w:bCs/>
          <w:i w:val="0"/>
          <w:iCs w:val="0"/>
        </w:rPr>
        <w:t>T</w:t>
      </w:r>
      <w:r w:rsidRPr="00F01A40">
        <w:rPr>
          <w:rFonts w:cs="Arial"/>
          <w:bCs/>
          <w:i w:val="0"/>
          <w:iCs w:val="0"/>
        </w:rPr>
        <w:t xml:space="preserve">here is no existing express requirement in the </w:t>
      </w:r>
      <w:r w:rsidRPr="007158FB">
        <w:rPr>
          <w:rFonts w:cs="Arial"/>
          <w:bCs/>
        </w:rPr>
        <w:t xml:space="preserve">Work Health and Safety </w:t>
      </w:r>
      <w:r w:rsidRPr="00F01A40">
        <w:rPr>
          <w:rFonts w:cs="Arial"/>
          <w:bCs/>
        </w:rPr>
        <w:t>Act</w:t>
      </w:r>
      <w:r w:rsidRPr="007158FB">
        <w:rPr>
          <w:rFonts w:cs="Arial"/>
          <w:bCs/>
        </w:rPr>
        <w:t xml:space="preserve"> 2011</w:t>
      </w:r>
      <w:r w:rsidRPr="00F01A40">
        <w:rPr>
          <w:rFonts w:cs="Arial"/>
          <w:bCs/>
        </w:rPr>
        <w:t xml:space="preserve"> </w:t>
      </w:r>
      <w:r w:rsidRPr="00F01A40">
        <w:rPr>
          <w:rFonts w:cs="Arial"/>
          <w:bCs/>
          <w:i w:val="0"/>
          <w:iCs w:val="0"/>
        </w:rPr>
        <w:t>for a PCBU or a person with management or control of a workplace (where they are different persons) to notify each other that a notifiable incident has occurred. This may frustrate the ability of duty holders to meet their duties under the Act (for example, to ensure the regulator is notified of a notifiable incident), as a duty holder may be unaware that an incident, in relation to which they have a notification or site preservation duty, has occurred.</w:t>
      </w:r>
    </w:p>
    <w:p w14:paraId="3B860F19" w14:textId="77777777" w:rsidR="00F01A40" w:rsidRPr="007158FB" w:rsidRDefault="00F01A40" w:rsidP="00F01A40">
      <w:pPr>
        <w:rPr>
          <w:rFonts w:cs="Arial"/>
          <w:bCs/>
          <w:i w:val="0"/>
          <w:iCs w:val="0"/>
        </w:rPr>
      </w:pPr>
      <w:r w:rsidRPr="00F01A40">
        <w:rPr>
          <w:rFonts w:cs="Arial"/>
          <w:bCs/>
          <w:i w:val="0"/>
          <w:iCs w:val="0"/>
        </w:rPr>
        <w:t xml:space="preserve">Section 39A inserts a new section at 39A (1) which provides that a PCBU with a duty under section 38 must, immediately after becoming aware of the relevant occurrence activating the duty, ensure that a person with a corresponding duty under section 39 is notified of the matter. </w:t>
      </w:r>
    </w:p>
    <w:p w14:paraId="09AB8CBF" w14:textId="057A2FBD" w:rsidR="00F01A40" w:rsidRPr="00F01A40" w:rsidRDefault="00F01A40" w:rsidP="00F01A40">
      <w:pPr>
        <w:rPr>
          <w:rFonts w:cs="Arial"/>
          <w:bCs/>
          <w:i w:val="0"/>
          <w:iCs w:val="0"/>
        </w:rPr>
      </w:pPr>
      <w:r w:rsidRPr="00F01A40">
        <w:rPr>
          <w:rFonts w:cs="Arial"/>
          <w:bCs/>
          <w:i w:val="0"/>
          <w:iCs w:val="0"/>
        </w:rPr>
        <w:t>Subsection 39A</w:t>
      </w:r>
      <w:r w:rsidRPr="007158FB">
        <w:rPr>
          <w:rFonts w:cs="Arial"/>
          <w:bCs/>
          <w:i w:val="0"/>
          <w:iCs w:val="0"/>
        </w:rPr>
        <w:t xml:space="preserve"> </w:t>
      </w:r>
      <w:r w:rsidRPr="00F01A40">
        <w:rPr>
          <w:rFonts w:cs="Arial"/>
          <w:bCs/>
          <w:i w:val="0"/>
          <w:iCs w:val="0"/>
        </w:rPr>
        <w:t>(2) provides that a person with management or control of a workplace with a duty under section 39 must, immediately after becoming aware of the relevant occurrence activating the duty, ensure a PCBU with a corresponding duty under section 38 is notified of the matter.</w:t>
      </w:r>
    </w:p>
    <w:p w14:paraId="0CAB2EB6" w14:textId="35C3B73C" w:rsidR="00F01A40" w:rsidRPr="007158FB" w:rsidRDefault="00F01A40" w:rsidP="00F01A40">
      <w:pPr>
        <w:rPr>
          <w:rFonts w:cs="Arial"/>
          <w:bCs/>
          <w:i w:val="0"/>
          <w:iCs w:val="0"/>
        </w:rPr>
      </w:pPr>
      <w:r w:rsidRPr="00F01A40">
        <w:rPr>
          <w:rFonts w:cs="Arial"/>
          <w:bCs/>
          <w:i w:val="0"/>
          <w:iCs w:val="0"/>
        </w:rPr>
        <w:lastRenderedPageBreak/>
        <w:t>The maximum penalty for contravening subsections 39A (1) or (2) is a tier D monetary penalty.</w:t>
      </w:r>
    </w:p>
    <w:p w14:paraId="632EA232" w14:textId="1549592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39</w:t>
      </w:r>
      <w:r w:rsidR="00CD5DCC" w:rsidRPr="007158FB">
        <w:rPr>
          <w:rFonts w:cs="Arial"/>
          <w:i w:val="0"/>
          <w:iCs w:val="0"/>
          <w:kern w:val="0"/>
          <w14:ligatures w14:val="none"/>
        </w:rPr>
        <w:tab/>
        <w:t>Limitation period for prosecutions</w:t>
      </w:r>
    </w:p>
    <w:p w14:paraId="30080CCB" w14:textId="534C4E30"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232 (2)</w:t>
      </w:r>
    </w:p>
    <w:p w14:paraId="0639E8F3" w14:textId="52C44499" w:rsidR="00F01A40" w:rsidRPr="00F01A40" w:rsidRDefault="00F01A40" w:rsidP="00F01A40">
      <w:pPr>
        <w:rPr>
          <w:rFonts w:cs="Arial"/>
          <w:i w:val="0"/>
          <w:iCs w:val="0"/>
        </w:rPr>
      </w:pPr>
      <w:r w:rsidRPr="00F01A40">
        <w:rPr>
          <w:rFonts w:cs="Arial"/>
          <w:i w:val="0"/>
          <w:iCs w:val="0"/>
        </w:rPr>
        <w:t xml:space="preserve">This provision introduces a discretionary power for the court to allow a WHS prosecution to proceed outside the standard limitation period, where it is deemed to be in the interests of justice. Under the existing provision, prosecutions for offences under the </w:t>
      </w:r>
      <w:r w:rsidRPr="007158FB">
        <w:rPr>
          <w:rFonts w:cs="Arial"/>
          <w:bCs/>
        </w:rPr>
        <w:t xml:space="preserve">Work Health and Safety </w:t>
      </w:r>
      <w:r w:rsidRPr="00F01A40">
        <w:rPr>
          <w:rFonts w:cs="Arial"/>
          <w:bCs/>
        </w:rPr>
        <w:t>Act</w:t>
      </w:r>
      <w:r w:rsidRPr="007158FB">
        <w:rPr>
          <w:rFonts w:cs="Arial"/>
          <w:bCs/>
        </w:rPr>
        <w:t xml:space="preserve"> 2011</w:t>
      </w:r>
      <w:r w:rsidRPr="00F01A40">
        <w:rPr>
          <w:rFonts w:cs="Arial"/>
          <w:bCs/>
        </w:rPr>
        <w:t xml:space="preserve"> </w:t>
      </w:r>
      <w:r w:rsidRPr="00F01A40">
        <w:rPr>
          <w:rFonts w:cs="Arial"/>
          <w:i w:val="0"/>
          <w:iCs w:val="0"/>
        </w:rPr>
        <w:t>must be commenced within </w:t>
      </w:r>
      <w:r w:rsidR="00306AEE">
        <w:rPr>
          <w:rFonts w:cs="Arial"/>
          <w:i w:val="0"/>
          <w:iCs w:val="0"/>
        </w:rPr>
        <w:t>2</w:t>
      </w:r>
      <w:r w:rsidRPr="00F01A40">
        <w:rPr>
          <w:rFonts w:cs="Arial"/>
          <w:i w:val="0"/>
          <w:iCs w:val="0"/>
        </w:rPr>
        <w:t xml:space="preserve"> years from the date the offence first comes to the notice of the regulator, with some exception</w:t>
      </w:r>
      <w:r w:rsidR="00962F20">
        <w:rPr>
          <w:rFonts w:cs="Arial"/>
          <w:i w:val="0"/>
          <w:iCs w:val="0"/>
        </w:rPr>
        <w:t>s</w:t>
      </w:r>
      <w:r w:rsidRPr="00F01A40">
        <w:rPr>
          <w:rFonts w:cs="Arial"/>
          <w:i w:val="0"/>
          <w:iCs w:val="0"/>
        </w:rPr>
        <w:t>. This rigid timeframe has, in some cases, prevent</w:t>
      </w:r>
      <w:r w:rsidR="00FC4E70">
        <w:rPr>
          <w:rFonts w:cs="Arial"/>
          <w:i w:val="0"/>
          <w:iCs w:val="0"/>
        </w:rPr>
        <w:t>ed</w:t>
      </w:r>
      <w:r w:rsidRPr="00F01A40">
        <w:rPr>
          <w:rFonts w:cs="Arial"/>
          <w:i w:val="0"/>
          <w:iCs w:val="0"/>
        </w:rPr>
        <w:t xml:space="preserve"> legitimate prosecutions from proceeding, particularly where the harm or illness resulting from a workplace incident manifests long after the initial exposure or event, such as</w:t>
      </w:r>
      <w:r w:rsidR="00FC4E70">
        <w:rPr>
          <w:rFonts w:cs="Arial"/>
          <w:i w:val="0"/>
          <w:iCs w:val="0"/>
        </w:rPr>
        <w:t xml:space="preserve"> can occur with</w:t>
      </w:r>
      <w:r w:rsidRPr="00F01A40">
        <w:rPr>
          <w:rFonts w:cs="Arial"/>
          <w:i w:val="0"/>
          <w:iCs w:val="0"/>
        </w:rPr>
        <w:t xml:space="preserve"> silicosis or other delayed-onset occupational diseases.</w:t>
      </w:r>
    </w:p>
    <w:p w14:paraId="1819DF2D" w14:textId="33938F20" w:rsidR="006E24BD" w:rsidRPr="007158FB" w:rsidRDefault="00F01A40" w:rsidP="00CD5DCC">
      <w:pPr>
        <w:rPr>
          <w:rFonts w:cs="Arial"/>
          <w:i w:val="0"/>
          <w:iCs w:val="0"/>
        </w:rPr>
      </w:pPr>
      <w:r w:rsidRPr="00F01A40">
        <w:rPr>
          <w:rFonts w:cs="Arial"/>
          <w:i w:val="0"/>
          <w:iCs w:val="0"/>
        </w:rPr>
        <w:t>This provision replaces subsection (2) and introduces a section which allows a proceeding to be brought after the limitation period with the court’s permission, which can only be granted if the court is satisfied that doing so serves the interests of justice.</w:t>
      </w:r>
    </w:p>
    <w:p w14:paraId="0F11520A" w14:textId="125D5BA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4</w:t>
      </w:r>
      <w:r w:rsidR="00DC6A06">
        <w:rPr>
          <w:rFonts w:cs="Arial"/>
          <w:i w:val="0"/>
          <w:iCs w:val="0"/>
          <w:kern w:val="0"/>
          <w14:ligatures w14:val="none"/>
        </w:rPr>
        <w:t>0</w:t>
      </w:r>
      <w:r w:rsidR="00CD5DCC" w:rsidRPr="007158FB">
        <w:rPr>
          <w:rFonts w:cs="Arial"/>
          <w:i w:val="0"/>
          <w:iCs w:val="0"/>
          <w:kern w:val="0"/>
          <w14:ligatures w14:val="none"/>
        </w:rPr>
        <w:tab/>
        <w:t>Dictionary, note 2</w:t>
      </w:r>
    </w:p>
    <w:p w14:paraId="774B2519" w14:textId="744CC389" w:rsidR="00084495" w:rsidRDefault="00F01A40" w:rsidP="00DF622F">
      <w:pPr>
        <w:rPr>
          <w:rFonts w:cs="Arial"/>
          <w:i w:val="0"/>
          <w:iCs w:val="0"/>
        </w:rPr>
      </w:pPr>
      <w:r w:rsidRPr="00DF622F">
        <w:rPr>
          <w:rFonts w:cs="Arial"/>
          <w:i w:val="0"/>
          <w:iCs w:val="0"/>
        </w:rPr>
        <w:t xml:space="preserve">This section inserts definitions for “doctor”, </w:t>
      </w:r>
      <w:r w:rsidR="00964A24">
        <w:rPr>
          <w:rFonts w:cs="Arial"/>
          <w:i w:val="0"/>
          <w:iCs w:val="0"/>
        </w:rPr>
        <w:t xml:space="preserve">“enrolled nurse” </w:t>
      </w:r>
      <w:r w:rsidRPr="00DF622F">
        <w:rPr>
          <w:rFonts w:cs="Arial"/>
          <w:i w:val="0"/>
          <w:iCs w:val="0"/>
        </w:rPr>
        <w:t>and “nurse”.</w:t>
      </w:r>
    </w:p>
    <w:p w14:paraId="688A1ADE" w14:textId="77777777" w:rsidR="00054139" w:rsidRDefault="00054139" w:rsidP="00DF622F">
      <w:pPr>
        <w:rPr>
          <w:rFonts w:cs="Arial"/>
          <w:i w:val="0"/>
          <w:iCs w:val="0"/>
        </w:rPr>
      </w:pPr>
    </w:p>
    <w:p w14:paraId="3029D266" w14:textId="162ED699" w:rsidR="00ED33B9" w:rsidRPr="007158FB" w:rsidRDefault="00ED33B9" w:rsidP="00D30B9E">
      <w:pPr>
        <w:rPr>
          <w:rFonts w:cs="Arial"/>
          <w:b/>
          <w:bCs/>
          <w:i w:val="0"/>
          <w:iCs w:val="0"/>
        </w:rPr>
      </w:pPr>
      <w:r w:rsidRPr="007158FB">
        <w:rPr>
          <w:rFonts w:cs="Arial"/>
          <w:b/>
          <w:bCs/>
          <w:i w:val="0"/>
          <w:iCs w:val="0"/>
        </w:rPr>
        <w:t xml:space="preserve">Schedule </w:t>
      </w:r>
      <w:r w:rsidR="00DC6A06">
        <w:rPr>
          <w:rFonts w:cs="Arial"/>
          <w:b/>
          <w:bCs/>
          <w:i w:val="0"/>
          <w:iCs w:val="0"/>
        </w:rPr>
        <w:t>1</w:t>
      </w:r>
      <w:r w:rsidRPr="007158FB">
        <w:rPr>
          <w:rFonts w:cs="Arial"/>
          <w:b/>
          <w:bCs/>
          <w:i w:val="0"/>
          <w:iCs w:val="0"/>
        </w:rPr>
        <w:tab/>
        <w:t>Technical amendments</w:t>
      </w:r>
    </w:p>
    <w:p w14:paraId="54F9526C" w14:textId="66DD8413" w:rsidR="008A277D" w:rsidRPr="00862FDF" w:rsidRDefault="008A277D" w:rsidP="008A277D">
      <w:pPr>
        <w:rPr>
          <w:rFonts w:cs="Arial"/>
          <w:i w:val="0"/>
          <w:iCs w:val="0"/>
        </w:rPr>
      </w:pPr>
      <w:r>
        <w:rPr>
          <w:rFonts w:cs="Arial"/>
          <w:i w:val="0"/>
          <w:iCs w:val="0"/>
        </w:rPr>
        <w:t>Explanatory notes have been added to the Bill for the amendments set out below</w:t>
      </w:r>
      <w:r w:rsidRPr="00862FDF">
        <w:rPr>
          <w:rFonts w:cs="Arial"/>
          <w:i w:val="0"/>
          <w:iCs w:val="0"/>
        </w:rPr>
        <w:t>. </w:t>
      </w:r>
    </w:p>
    <w:p w14:paraId="3031BD35" w14:textId="68D01DF3" w:rsidR="00ED33B9" w:rsidRPr="007158FB" w:rsidRDefault="00ED33B9"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.1</w:t>
      </w:r>
      <w:r w:rsidRPr="007158FB">
        <w:rPr>
          <w:rFonts w:cs="Arial"/>
          <w:i w:val="0"/>
          <w:iCs w:val="0"/>
          <w:kern w:val="0"/>
          <w14:ligatures w14:val="none"/>
        </w:rPr>
        <w:tab/>
        <w:t>Dangerous Substances Act 2004</w:t>
      </w:r>
    </w:p>
    <w:p w14:paraId="134FBCE4" w14:textId="60BEFF7B" w:rsidR="00ED33B9" w:rsidRPr="007158FB" w:rsidRDefault="00ED33B9"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.2</w:t>
      </w:r>
      <w:r w:rsidRPr="007158FB">
        <w:rPr>
          <w:rFonts w:cs="Arial"/>
          <w:i w:val="0"/>
          <w:iCs w:val="0"/>
          <w:kern w:val="0"/>
          <w14:ligatures w14:val="none"/>
        </w:rPr>
        <w:tab/>
        <w:t>Long Service Leave Act 1976</w:t>
      </w:r>
    </w:p>
    <w:p w14:paraId="4CF187A4" w14:textId="56E81D00" w:rsidR="00ED33B9"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.3</w:t>
      </w:r>
      <w:r w:rsidRPr="007158FB">
        <w:rPr>
          <w:rFonts w:cs="Arial"/>
          <w:i w:val="0"/>
          <w:iCs w:val="0"/>
          <w:kern w:val="0"/>
          <w14:ligatures w14:val="none"/>
        </w:rPr>
        <w:tab/>
        <w:t>Long Service Leave (Portable Schemes) Act 2009</w:t>
      </w:r>
    </w:p>
    <w:p w14:paraId="77F10FA6" w14:textId="166D447C" w:rsidR="002A2BFA"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.4</w:t>
      </w:r>
      <w:r w:rsidRPr="007158FB">
        <w:rPr>
          <w:rFonts w:cs="Arial"/>
          <w:i w:val="0"/>
          <w:iCs w:val="0"/>
          <w:kern w:val="0"/>
          <w14:ligatures w14:val="none"/>
        </w:rPr>
        <w:tab/>
        <w:t>Workers Compensation Act 1951</w:t>
      </w:r>
    </w:p>
    <w:p w14:paraId="01934733" w14:textId="1D20F2DF" w:rsidR="002A2BFA"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00303655" w:rsidRPr="007158FB">
        <w:rPr>
          <w:rFonts w:cs="Arial"/>
          <w:i w:val="0"/>
          <w:iCs w:val="0"/>
          <w:kern w:val="0"/>
          <w14:ligatures w14:val="none"/>
        </w:rPr>
        <w:t>.5</w:t>
      </w:r>
      <w:r w:rsidR="00303655" w:rsidRPr="007158FB">
        <w:rPr>
          <w:rFonts w:cs="Arial"/>
          <w:i w:val="0"/>
          <w:iCs w:val="0"/>
          <w:kern w:val="0"/>
          <w14:ligatures w14:val="none"/>
        </w:rPr>
        <w:tab/>
        <w:t>Work Health and Safety Act 2011</w:t>
      </w:r>
    </w:p>
    <w:sectPr w:rsidR="002A2BFA" w:rsidRPr="007158FB">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46C7" w14:textId="77777777" w:rsidR="00603D71" w:rsidRDefault="00603D71" w:rsidP="00E90DF9">
      <w:pPr>
        <w:spacing w:after="0" w:line="240" w:lineRule="auto"/>
      </w:pPr>
      <w:r>
        <w:separator/>
      </w:r>
    </w:p>
  </w:endnote>
  <w:endnote w:type="continuationSeparator" w:id="0">
    <w:p w14:paraId="08ED994C" w14:textId="77777777" w:rsidR="00603D71" w:rsidRDefault="00603D71" w:rsidP="00E90DF9">
      <w:pPr>
        <w:spacing w:after="0" w:line="240" w:lineRule="auto"/>
      </w:pPr>
      <w:r>
        <w:continuationSeparator/>
      </w:r>
    </w:p>
  </w:endnote>
  <w:endnote w:type="continuationNotice" w:id="1">
    <w:p w14:paraId="1738B6A3" w14:textId="77777777" w:rsidR="00603D71" w:rsidRDefault="00603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F647" w14:textId="77777777" w:rsidR="00353600" w:rsidRDefault="00353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6F4F" w14:textId="7FE20413" w:rsidR="00A0426B" w:rsidRPr="00353600" w:rsidRDefault="00353600" w:rsidP="00353600">
    <w:pPr>
      <w:pStyle w:val="Footer"/>
      <w:jc w:val="center"/>
      <w:rPr>
        <w:rFonts w:cs="Arial"/>
        <w:i w:val="0"/>
        <w:sz w:val="14"/>
      </w:rPr>
    </w:pPr>
    <w:r w:rsidRPr="00353600">
      <w:rPr>
        <w:rFonts w:cs="Arial"/>
        <w:i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68F3B63C"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rPr>
        <w:i w:val="0"/>
        <w:iCs w:val="0"/>
      </w:rPr>
    </w:pPr>
    <w:r w:rsidRPr="00B65AE8">
      <w:rPr>
        <w:i w:val="0"/>
        <w:iCs w:val="0"/>
      </w:rPr>
      <w:fldChar w:fldCharType="begin"/>
    </w:r>
    <w:r w:rsidRPr="00B65AE8">
      <w:rPr>
        <w:i w:val="0"/>
        <w:iCs w:val="0"/>
      </w:rPr>
      <w:instrText xml:space="preserve"> PAGE   \* MERGEFORMAT </w:instrText>
    </w:r>
    <w:r w:rsidRPr="00B65AE8">
      <w:rPr>
        <w:i w:val="0"/>
        <w:iCs w:val="0"/>
      </w:rPr>
      <w:fldChar w:fldCharType="separate"/>
    </w:r>
    <w:r w:rsidRPr="00B65AE8">
      <w:rPr>
        <w:i w:val="0"/>
        <w:iCs w:val="0"/>
        <w:noProof/>
      </w:rPr>
      <w:t>4</w:t>
    </w:r>
    <w:r w:rsidRPr="00B65AE8">
      <w:rPr>
        <w:i w:val="0"/>
        <w:iCs w:val="0"/>
      </w:rPr>
      <w:fldChar w:fldCharType="end"/>
    </w:r>
  </w:p>
  <w:p w14:paraId="57D85F50" w14:textId="08FC52CE" w:rsidR="00A0426B" w:rsidRPr="00353600" w:rsidRDefault="00353600" w:rsidP="00353600">
    <w:pPr>
      <w:pStyle w:val="Footer"/>
      <w:spacing w:before="60" w:line="240" w:lineRule="auto"/>
      <w:jc w:val="center"/>
      <w:rPr>
        <w:rFonts w:cs="Arial"/>
        <w:i w:val="0"/>
        <w:iCs w:val="0"/>
        <w:sz w:val="14"/>
      </w:rPr>
    </w:pPr>
    <w:r w:rsidRPr="00353600">
      <w:rPr>
        <w:rFonts w:cs="Arial"/>
        <w:i w:val="0"/>
        <w:iCs w:val="0"/>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F6937">
      <w:fldChar w:fldCharType="begin"/>
    </w:r>
    <w:r w:rsidRPr="009F6937">
      <w:instrText xml:space="preserve"> PAGE   \* MERGEFORMAT </w:instrText>
    </w:r>
    <w:r w:rsidRPr="009F6937">
      <w:fldChar w:fldCharType="separate"/>
    </w:r>
    <w:r w:rsidRPr="009F6937">
      <w:rPr>
        <w:noProof/>
      </w:rPr>
      <w:t>1</w:t>
    </w:r>
    <w:r w:rsidRPr="009F6937">
      <w:fldChar w:fldCharType="end"/>
    </w:r>
  </w:p>
  <w:p w14:paraId="0188F02B" w14:textId="1CC33CB3" w:rsidR="00A0426B" w:rsidRPr="00353600" w:rsidRDefault="00353600" w:rsidP="00353600">
    <w:pPr>
      <w:pStyle w:val="Footer"/>
      <w:jc w:val="center"/>
      <w:rPr>
        <w:rFonts w:cs="Arial"/>
        <w:i w:val="0"/>
        <w:sz w:val="14"/>
      </w:rPr>
    </w:pPr>
    <w:r w:rsidRPr="00353600">
      <w:rPr>
        <w:rFonts w:cs="Arial"/>
        <w:i w:val="0"/>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2A79" w14:textId="77777777" w:rsidR="00603D71" w:rsidRDefault="00603D71" w:rsidP="00E90DF9">
      <w:pPr>
        <w:spacing w:after="0" w:line="240" w:lineRule="auto"/>
      </w:pPr>
      <w:r>
        <w:separator/>
      </w:r>
    </w:p>
  </w:footnote>
  <w:footnote w:type="continuationSeparator" w:id="0">
    <w:p w14:paraId="3122DA7E" w14:textId="77777777" w:rsidR="00603D71" w:rsidRDefault="00603D71" w:rsidP="00E90DF9">
      <w:pPr>
        <w:spacing w:after="0" w:line="240" w:lineRule="auto"/>
      </w:pPr>
      <w:r>
        <w:continuationSeparator/>
      </w:r>
    </w:p>
  </w:footnote>
  <w:footnote w:type="continuationNotice" w:id="1">
    <w:p w14:paraId="1D249B18" w14:textId="77777777" w:rsidR="00603D71" w:rsidRDefault="00603D71">
      <w:pPr>
        <w:spacing w:after="0" w:line="240" w:lineRule="auto"/>
      </w:pPr>
    </w:p>
  </w:footnote>
  <w:footnote w:id="2">
    <w:p w14:paraId="0872E364" w14:textId="77777777" w:rsidR="00F95B45" w:rsidRPr="00F5712C" w:rsidRDefault="00F95B45" w:rsidP="00F95B45">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[2024] NSWCCA 105.</w:t>
      </w:r>
    </w:p>
  </w:footnote>
  <w:footnote w:id="3">
    <w:p w14:paraId="54CCFB9B" w14:textId="633091E6" w:rsidR="00640892" w:rsidRPr="00F5712C" w:rsidRDefault="00640892" w:rsidP="00640892">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w:t>
      </w:r>
      <w:hyperlink r:id="rId1" w:history="1">
        <w:r w:rsidR="002A6BA6" w:rsidRPr="00F5712C">
          <w:rPr>
            <w:rStyle w:val="Hyperlink"/>
            <w:rFonts w:ascii="Arial" w:hAnsi="Arial" w:cs="Arial"/>
            <w:i w:val="0"/>
          </w:rPr>
          <w:t>Work Health and Safety</w:t>
        </w:r>
        <w:r w:rsidR="00905BFA" w:rsidRPr="00F5712C">
          <w:rPr>
            <w:rStyle w:val="Hyperlink"/>
            <w:rFonts w:ascii="Arial" w:hAnsi="Arial" w:cs="Arial"/>
            <w:i w:val="0"/>
          </w:rPr>
          <w:t xml:space="preserve"> (Sex Work Code of Practice) Approval 2023</w:t>
        </w:r>
      </w:hyperlink>
      <w:r w:rsidR="00042B10">
        <w:rPr>
          <w:rFonts w:ascii="Arial" w:hAnsi="Arial" w:cs="Arial"/>
          <w:i w:val="0"/>
          <w:iCs w:val="0"/>
        </w:rPr>
        <w:t>.</w:t>
      </w:r>
    </w:p>
  </w:footnote>
  <w:footnote w:id="4">
    <w:p w14:paraId="2A3023C1" w14:textId="77777777" w:rsidR="00BC6199" w:rsidRPr="00F5712C" w:rsidRDefault="00BC6199" w:rsidP="00BC6199">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w:t>
      </w:r>
      <w:hyperlink r:id="rId2" w:history="1">
        <w:r w:rsidRPr="00F5712C">
          <w:rPr>
            <w:rStyle w:val="Hyperlink"/>
            <w:rFonts w:ascii="Arial" w:hAnsi="Arial" w:cs="Arial"/>
            <w:i w:val="0"/>
          </w:rPr>
          <w:t>Legislation (Workers Compensation) Delegation 2024 (No 1)</w:t>
        </w:r>
      </w:hyperlink>
      <w:r w:rsidRPr="00F5712C">
        <w:rPr>
          <w:rFonts w:ascii="Arial" w:hAnsi="Arial" w:cs="Arial"/>
          <w:i w:val="0"/>
        </w:rPr>
        <w:t>.</w:t>
      </w:r>
    </w:p>
  </w:footnote>
  <w:footnote w:id="5">
    <w:p w14:paraId="6B17BAB7" w14:textId="26BE9B1D" w:rsidR="00B41734" w:rsidRPr="00941E90" w:rsidRDefault="00B41734">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3" w:history="1">
        <w:r w:rsidRPr="00941E90">
          <w:rPr>
            <w:rStyle w:val="Hyperlink"/>
            <w:rFonts w:ascii="Arial" w:hAnsi="Arial" w:cs="Arial"/>
            <w:i w:val="0"/>
            <w:lang w:val="en-AU"/>
          </w:rPr>
          <w:t>Work Health and Safety (Office of the Work Health and Safety Commissioner) Compliance and Enforcement Policy 2025-2029 | Notifiable instruments</w:t>
        </w:r>
      </w:hyperlink>
      <w:r w:rsidR="009046F9" w:rsidRPr="00941E90">
        <w:rPr>
          <w:rFonts w:ascii="Arial" w:hAnsi="Arial" w:cs="Arial"/>
          <w:i w:val="0"/>
          <w:iCs w:val="0"/>
        </w:rPr>
        <w:t>.</w:t>
      </w:r>
    </w:p>
  </w:footnote>
  <w:footnote w:id="6">
    <w:p w14:paraId="59B42DC2" w14:textId="35EEBAF5" w:rsidR="006E7A30" w:rsidRPr="00941E90" w:rsidRDefault="006E7A30">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4" w:history="1">
        <w:r w:rsidR="003F73A2" w:rsidRPr="00941E90">
          <w:rPr>
            <w:rStyle w:val="Hyperlink"/>
            <w:rFonts w:ascii="Arial" w:hAnsi="Arial" w:cs="Arial"/>
            <w:i w:val="0"/>
            <w:lang w:val="en-AU"/>
          </w:rPr>
          <w:t>S</w:t>
        </w:r>
        <w:r w:rsidR="003F73A2">
          <w:rPr>
            <w:rStyle w:val="Hyperlink"/>
            <w:rFonts w:ascii="Arial" w:hAnsi="Arial" w:cs="Arial"/>
            <w:i w:val="0"/>
            <w:lang w:val="en-AU"/>
          </w:rPr>
          <w:t xml:space="preserve">tanding Committee on Legal Affairs, Strict and Absolute Liability Offences, February 2008. </w:t>
        </w:r>
      </w:hyperlink>
    </w:p>
  </w:footnote>
  <w:footnote w:id="7">
    <w:p w14:paraId="01DF39A0" w14:textId="6B829EB5" w:rsidR="60450B89" w:rsidRDefault="60450B89" w:rsidP="60450B89">
      <w:pPr>
        <w:pStyle w:val="FootnoteText"/>
        <w:rPr>
          <w:rFonts w:ascii="Arial" w:eastAsia="Arial" w:hAnsi="Arial" w:cs="Arial"/>
          <w:i w:val="0"/>
          <w:iCs w:val="0"/>
        </w:rPr>
      </w:pPr>
      <w:r w:rsidRPr="60450B89">
        <w:rPr>
          <w:rStyle w:val="FootnoteReference"/>
          <w:rFonts w:ascii="Arial" w:eastAsia="Arial" w:hAnsi="Arial" w:cs="Arial"/>
          <w:i w:val="0"/>
          <w:iCs w:val="0"/>
        </w:rPr>
        <w:footnoteRef/>
      </w:r>
      <w:r w:rsidRPr="60450B89">
        <w:rPr>
          <w:rFonts w:ascii="Arial" w:eastAsia="Arial" w:hAnsi="Arial" w:cs="Arial"/>
          <w:i w:val="0"/>
          <w:iCs w:val="0"/>
        </w:rPr>
        <w:t xml:space="preserve"> [2025] ACTMC 2.</w:t>
      </w:r>
    </w:p>
  </w:footnote>
  <w:footnote w:id="8">
    <w:p w14:paraId="0267D681" w14:textId="2D8FBFFB" w:rsidR="007B2E1A" w:rsidRPr="00941E90" w:rsidRDefault="007B2E1A">
      <w:pPr>
        <w:pStyle w:val="FootnoteText"/>
        <w:rPr>
          <w:rFonts w:ascii="Arial" w:hAnsi="Arial" w:cs="Arial"/>
          <w:i w:val="0"/>
          <w:iCs w:val="0"/>
          <w:lang w:val="en-AU"/>
        </w:rPr>
      </w:pPr>
      <w:r w:rsidRPr="00941E90">
        <w:rPr>
          <w:rStyle w:val="FootnoteReference"/>
          <w:rFonts w:ascii="Arial" w:hAnsi="Arial" w:cs="Arial"/>
          <w:i w:val="0"/>
          <w:iCs w:val="0"/>
        </w:rPr>
        <w:footnoteRef/>
      </w:r>
      <w:r w:rsidRPr="00941E90">
        <w:rPr>
          <w:rFonts w:ascii="Arial" w:hAnsi="Arial" w:cs="Arial"/>
          <w:i w:val="0"/>
          <w:iCs w:val="0"/>
        </w:rPr>
        <w:t xml:space="preserve"> </w:t>
      </w:r>
      <w:hyperlink r:id="rId5" w:history="1">
        <w:r w:rsidR="001A61AB" w:rsidRPr="00941E90">
          <w:rPr>
            <w:rStyle w:val="Hyperlink"/>
            <w:rFonts w:ascii="Arial" w:hAnsi="Arial" w:cs="Arial"/>
            <w:i w:val="0"/>
            <w:iCs w:val="0"/>
            <w:lang w:val="en-AU"/>
          </w:rPr>
          <w:t>Guide for framing offences (April 2010)</w:t>
        </w:r>
      </w:hyperlink>
      <w:r w:rsidR="000E65BB">
        <w:rPr>
          <w:rFonts w:ascii="Arial" w:hAnsi="Arial" w:cs="Arial"/>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54B" w14:textId="77777777" w:rsidR="00353600" w:rsidRDefault="00353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6A07" w14:textId="77777777" w:rsidR="00353600" w:rsidRDefault="00353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8EB1" w14:textId="77777777" w:rsidR="00353600" w:rsidRDefault="0035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E1"/>
    <w:multiLevelType w:val="multilevel"/>
    <w:tmpl w:val="1FD69C1C"/>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3"/>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02715BE0"/>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3126747"/>
    <w:multiLevelType w:val="hybridMultilevel"/>
    <w:tmpl w:val="0250F1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07073"/>
    <w:multiLevelType w:val="hybridMultilevel"/>
    <w:tmpl w:val="2842B60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0F5D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96161"/>
    <w:multiLevelType w:val="multilevel"/>
    <w:tmpl w:val="274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B47D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AF0C69"/>
    <w:multiLevelType w:val="hybridMultilevel"/>
    <w:tmpl w:val="8246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64E4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DC93B4"/>
    <w:multiLevelType w:val="hybridMultilevel"/>
    <w:tmpl w:val="23B68064"/>
    <w:lvl w:ilvl="0" w:tplc="E0105852">
      <w:start w:val="1"/>
      <w:numFmt w:val="lowerLetter"/>
      <w:lvlText w:val="%1)"/>
      <w:lvlJc w:val="left"/>
      <w:pPr>
        <w:ind w:left="720" w:hanging="360"/>
      </w:pPr>
      <w:rPr>
        <w:i w:val="0"/>
        <w:iCs w:val="0"/>
      </w:rPr>
    </w:lvl>
    <w:lvl w:ilvl="1" w:tplc="6A781914">
      <w:start w:val="1"/>
      <w:numFmt w:val="lowerLetter"/>
      <w:lvlText w:val="%2."/>
      <w:lvlJc w:val="left"/>
      <w:pPr>
        <w:ind w:left="1440" w:hanging="360"/>
      </w:pPr>
    </w:lvl>
    <w:lvl w:ilvl="2" w:tplc="8332A8B8">
      <w:start w:val="1"/>
      <w:numFmt w:val="lowerRoman"/>
      <w:lvlText w:val="%3."/>
      <w:lvlJc w:val="right"/>
      <w:pPr>
        <w:ind w:left="2160" w:hanging="180"/>
      </w:pPr>
    </w:lvl>
    <w:lvl w:ilvl="3" w:tplc="13BC79AE">
      <w:start w:val="1"/>
      <w:numFmt w:val="decimal"/>
      <w:lvlText w:val="%4."/>
      <w:lvlJc w:val="left"/>
      <w:pPr>
        <w:ind w:left="2880" w:hanging="360"/>
      </w:pPr>
    </w:lvl>
    <w:lvl w:ilvl="4" w:tplc="8A7896B6">
      <w:start w:val="1"/>
      <w:numFmt w:val="lowerLetter"/>
      <w:lvlText w:val="%5."/>
      <w:lvlJc w:val="left"/>
      <w:pPr>
        <w:ind w:left="3600" w:hanging="360"/>
      </w:pPr>
    </w:lvl>
    <w:lvl w:ilvl="5" w:tplc="3BA6CC9A">
      <w:start w:val="1"/>
      <w:numFmt w:val="lowerRoman"/>
      <w:lvlText w:val="%6."/>
      <w:lvlJc w:val="right"/>
      <w:pPr>
        <w:ind w:left="4320" w:hanging="180"/>
      </w:pPr>
    </w:lvl>
    <w:lvl w:ilvl="6" w:tplc="C9CE8CE2">
      <w:start w:val="1"/>
      <w:numFmt w:val="decimal"/>
      <w:lvlText w:val="%7."/>
      <w:lvlJc w:val="left"/>
      <w:pPr>
        <w:ind w:left="5040" w:hanging="360"/>
      </w:pPr>
    </w:lvl>
    <w:lvl w:ilvl="7" w:tplc="403496D6">
      <w:start w:val="1"/>
      <w:numFmt w:val="lowerLetter"/>
      <w:lvlText w:val="%8."/>
      <w:lvlJc w:val="left"/>
      <w:pPr>
        <w:ind w:left="5760" w:hanging="360"/>
      </w:pPr>
    </w:lvl>
    <w:lvl w:ilvl="8" w:tplc="38207AC0">
      <w:start w:val="1"/>
      <w:numFmt w:val="lowerRoman"/>
      <w:lvlText w:val="%9."/>
      <w:lvlJc w:val="right"/>
      <w:pPr>
        <w:ind w:left="6480" w:hanging="180"/>
      </w:pPr>
    </w:lvl>
  </w:abstractNum>
  <w:abstractNum w:abstractNumId="10" w15:restartNumberingAfterBreak="0">
    <w:nsid w:val="1765294D"/>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3FD"/>
    <w:multiLevelType w:val="hybridMultilevel"/>
    <w:tmpl w:val="C9C8B60C"/>
    <w:lvl w:ilvl="0" w:tplc="9A12408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3582F"/>
    <w:multiLevelType w:val="multilevel"/>
    <w:tmpl w:val="7AF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1467B"/>
    <w:multiLevelType w:val="multilevel"/>
    <w:tmpl w:val="E4A2E0D4"/>
    <w:lvl w:ilvl="0">
      <w:start w:val="1"/>
      <w:numFmt w:val="bullet"/>
      <w:lvlText w:val=""/>
      <w:lvlJc w:val="left"/>
      <w:pPr>
        <w:ind w:left="340" w:hanging="340"/>
      </w:pPr>
      <w:rPr>
        <w:rFonts w:ascii="Symbol" w:hAnsi="Symbol"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2583097"/>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3B74993"/>
    <w:multiLevelType w:val="hybridMultilevel"/>
    <w:tmpl w:val="B2029F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D27B3"/>
    <w:multiLevelType w:val="hybridMultilevel"/>
    <w:tmpl w:val="8B06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15D85"/>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2715E5C"/>
    <w:multiLevelType w:val="hybridMultilevel"/>
    <w:tmpl w:val="FC1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852A4"/>
    <w:multiLevelType w:val="hybridMultilevel"/>
    <w:tmpl w:val="60EA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7C26DA"/>
    <w:multiLevelType w:val="hybridMultilevel"/>
    <w:tmpl w:val="7AD49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63DE2"/>
    <w:multiLevelType w:val="multilevel"/>
    <w:tmpl w:val="886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05987"/>
    <w:multiLevelType w:val="hybridMultilevel"/>
    <w:tmpl w:val="64DA7B1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A3B13"/>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4446AD"/>
    <w:multiLevelType w:val="multilevel"/>
    <w:tmpl w:val="E4BE0912"/>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481E681A"/>
    <w:multiLevelType w:val="hybridMultilevel"/>
    <w:tmpl w:val="1B02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16752"/>
    <w:multiLevelType w:val="hybridMultilevel"/>
    <w:tmpl w:val="1CDE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306A48"/>
    <w:multiLevelType w:val="hybridMultilevel"/>
    <w:tmpl w:val="4C00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847E16"/>
    <w:multiLevelType w:val="hybridMultilevel"/>
    <w:tmpl w:val="CD8644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AB517A"/>
    <w:multiLevelType w:val="hybridMultilevel"/>
    <w:tmpl w:val="AAB8D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3806AB"/>
    <w:multiLevelType w:val="hybridMultilevel"/>
    <w:tmpl w:val="19009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75A5622"/>
    <w:multiLevelType w:val="hybridMultilevel"/>
    <w:tmpl w:val="4EC09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9A0AE4"/>
    <w:multiLevelType w:val="hybridMultilevel"/>
    <w:tmpl w:val="33D2511C"/>
    <w:lvl w:ilvl="0" w:tplc="6D62D5C6">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A95261"/>
    <w:multiLevelType w:val="multilevel"/>
    <w:tmpl w:val="ABC408F8"/>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5" w15:restartNumberingAfterBreak="0">
    <w:nsid w:val="5F9511C9"/>
    <w:multiLevelType w:val="hybridMultilevel"/>
    <w:tmpl w:val="15CE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5B3BF6"/>
    <w:multiLevelType w:val="multilevel"/>
    <w:tmpl w:val="3DA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6941D7"/>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FF4604"/>
    <w:multiLevelType w:val="multilevel"/>
    <w:tmpl w:val="A6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B72EA4"/>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0" w15:restartNumberingAfterBreak="0">
    <w:nsid w:val="6AE477C4"/>
    <w:multiLevelType w:val="hybridMultilevel"/>
    <w:tmpl w:val="E57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0B7BA4"/>
    <w:multiLevelType w:val="hybridMultilevel"/>
    <w:tmpl w:val="27D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252227"/>
    <w:multiLevelType w:val="hybridMultilevel"/>
    <w:tmpl w:val="E184380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3" w15:restartNumberingAfterBreak="0">
    <w:nsid w:val="71F636F0"/>
    <w:multiLevelType w:val="hybridMultilevel"/>
    <w:tmpl w:val="8E20E2F6"/>
    <w:lvl w:ilvl="0" w:tplc="7944AC5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29D532F"/>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25434E"/>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6" w15:restartNumberingAfterBreak="0">
    <w:nsid w:val="7A667C57"/>
    <w:multiLevelType w:val="hybridMultilevel"/>
    <w:tmpl w:val="99560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3FE2DF"/>
    <w:multiLevelType w:val="hybridMultilevel"/>
    <w:tmpl w:val="6A629CA0"/>
    <w:lvl w:ilvl="0" w:tplc="15CC883A">
      <w:start w:val="1"/>
      <w:numFmt w:val="decimal"/>
      <w:lvlText w:val="%1."/>
      <w:lvlJc w:val="left"/>
      <w:pPr>
        <w:ind w:left="720" w:hanging="360"/>
      </w:pPr>
    </w:lvl>
    <w:lvl w:ilvl="1" w:tplc="82FA4682">
      <w:start w:val="1"/>
      <w:numFmt w:val="lowerLetter"/>
      <w:lvlText w:val="%2."/>
      <w:lvlJc w:val="left"/>
      <w:pPr>
        <w:ind w:left="1440" w:hanging="360"/>
      </w:pPr>
    </w:lvl>
    <w:lvl w:ilvl="2" w:tplc="6D026D5A">
      <w:start w:val="1"/>
      <w:numFmt w:val="lowerRoman"/>
      <w:lvlText w:val="%3."/>
      <w:lvlJc w:val="right"/>
      <w:pPr>
        <w:ind w:left="2160" w:hanging="180"/>
      </w:pPr>
    </w:lvl>
    <w:lvl w:ilvl="3" w:tplc="121E65FE">
      <w:start w:val="1"/>
      <w:numFmt w:val="decimal"/>
      <w:lvlText w:val="%4."/>
      <w:lvlJc w:val="left"/>
      <w:pPr>
        <w:ind w:left="2880" w:hanging="360"/>
      </w:pPr>
      <w:rPr>
        <w:rFonts w:ascii="Arial" w:hAnsi="Arial" w:cs="Arial" w:hint="default"/>
        <w:b/>
        <w:bCs/>
        <w:i/>
        <w:iCs/>
        <w:sz w:val="24"/>
        <w:szCs w:val="24"/>
      </w:rPr>
    </w:lvl>
    <w:lvl w:ilvl="4" w:tplc="A0F0ADA2">
      <w:start w:val="1"/>
      <w:numFmt w:val="lowerLetter"/>
      <w:lvlText w:val="%5."/>
      <w:lvlJc w:val="left"/>
      <w:pPr>
        <w:ind w:left="3600" w:hanging="360"/>
      </w:pPr>
    </w:lvl>
    <w:lvl w:ilvl="5" w:tplc="AABA0FCC">
      <w:start w:val="1"/>
      <w:numFmt w:val="lowerRoman"/>
      <w:lvlText w:val="%6."/>
      <w:lvlJc w:val="right"/>
      <w:pPr>
        <w:ind w:left="4320" w:hanging="180"/>
      </w:pPr>
    </w:lvl>
    <w:lvl w:ilvl="6" w:tplc="4A90D03E">
      <w:start w:val="1"/>
      <w:numFmt w:val="decimal"/>
      <w:lvlText w:val="%7."/>
      <w:lvlJc w:val="left"/>
      <w:pPr>
        <w:ind w:left="5040" w:hanging="360"/>
      </w:pPr>
    </w:lvl>
    <w:lvl w:ilvl="7" w:tplc="8B721246">
      <w:start w:val="1"/>
      <w:numFmt w:val="lowerLetter"/>
      <w:lvlText w:val="%8."/>
      <w:lvlJc w:val="left"/>
      <w:pPr>
        <w:ind w:left="5760" w:hanging="360"/>
      </w:pPr>
    </w:lvl>
    <w:lvl w:ilvl="8" w:tplc="7728D352">
      <w:start w:val="1"/>
      <w:numFmt w:val="lowerRoman"/>
      <w:lvlText w:val="%9."/>
      <w:lvlJc w:val="right"/>
      <w:pPr>
        <w:ind w:left="6480" w:hanging="180"/>
      </w:pPr>
    </w:lvl>
  </w:abstractNum>
  <w:abstractNum w:abstractNumId="48" w15:restartNumberingAfterBreak="0">
    <w:nsid w:val="7E63638F"/>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757861">
    <w:abstractNumId w:val="9"/>
  </w:num>
  <w:num w:numId="2" w16cid:durableId="2039040636">
    <w:abstractNumId w:val="23"/>
  </w:num>
  <w:num w:numId="3" w16cid:durableId="1743795284">
    <w:abstractNumId w:val="19"/>
  </w:num>
  <w:num w:numId="4" w16cid:durableId="1446463827">
    <w:abstractNumId w:val="15"/>
  </w:num>
  <w:num w:numId="5" w16cid:durableId="337461117">
    <w:abstractNumId w:val="18"/>
  </w:num>
  <w:num w:numId="6" w16cid:durableId="219247979">
    <w:abstractNumId w:val="39"/>
  </w:num>
  <w:num w:numId="7" w16cid:durableId="1478840301">
    <w:abstractNumId w:val="46"/>
  </w:num>
  <w:num w:numId="8" w16cid:durableId="2071686171">
    <w:abstractNumId w:val="11"/>
  </w:num>
  <w:num w:numId="9" w16cid:durableId="228393235">
    <w:abstractNumId w:val="33"/>
  </w:num>
  <w:num w:numId="10" w16cid:durableId="1730110821">
    <w:abstractNumId w:val="12"/>
  </w:num>
  <w:num w:numId="11" w16cid:durableId="1909264480">
    <w:abstractNumId w:val="44"/>
  </w:num>
  <w:num w:numId="12" w16cid:durableId="1090466560">
    <w:abstractNumId w:val="47"/>
  </w:num>
  <w:num w:numId="13" w16cid:durableId="1223256438">
    <w:abstractNumId w:val="32"/>
  </w:num>
  <w:num w:numId="14" w16cid:durableId="426123731">
    <w:abstractNumId w:val="29"/>
  </w:num>
  <w:num w:numId="15" w16cid:durableId="1483691632">
    <w:abstractNumId w:val="43"/>
  </w:num>
  <w:num w:numId="16" w16cid:durableId="2029942330">
    <w:abstractNumId w:val="4"/>
  </w:num>
  <w:num w:numId="17" w16cid:durableId="70468787">
    <w:abstractNumId w:val="24"/>
  </w:num>
  <w:num w:numId="18" w16cid:durableId="1683042784">
    <w:abstractNumId w:val="22"/>
  </w:num>
  <w:num w:numId="19" w16cid:durableId="1852378571">
    <w:abstractNumId w:val="6"/>
  </w:num>
  <w:num w:numId="20" w16cid:durableId="982546317">
    <w:abstractNumId w:val="8"/>
  </w:num>
  <w:num w:numId="21" w16cid:durableId="869999858">
    <w:abstractNumId w:val="0"/>
  </w:num>
  <w:num w:numId="22" w16cid:durableId="539050700">
    <w:abstractNumId w:val="25"/>
  </w:num>
  <w:num w:numId="23" w16cid:durableId="1994332364">
    <w:abstractNumId w:val="5"/>
  </w:num>
  <w:num w:numId="24" w16cid:durableId="810748650">
    <w:abstractNumId w:val="31"/>
  </w:num>
  <w:num w:numId="25" w16cid:durableId="283705474">
    <w:abstractNumId w:val="38"/>
  </w:num>
  <w:num w:numId="26" w16cid:durableId="1190484723">
    <w:abstractNumId w:val="35"/>
  </w:num>
  <w:num w:numId="27" w16cid:durableId="1584684272">
    <w:abstractNumId w:val="16"/>
  </w:num>
  <w:num w:numId="28" w16cid:durableId="786392057">
    <w:abstractNumId w:val="36"/>
  </w:num>
  <w:num w:numId="29" w16cid:durableId="971791631">
    <w:abstractNumId w:val="48"/>
  </w:num>
  <w:num w:numId="30" w16cid:durableId="313917536">
    <w:abstractNumId w:val="37"/>
  </w:num>
  <w:num w:numId="31" w16cid:durableId="356928300">
    <w:abstractNumId w:val="7"/>
  </w:num>
  <w:num w:numId="32" w16cid:durableId="2016417804">
    <w:abstractNumId w:val="26"/>
  </w:num>
  <w:num w:numId="33" w16cid:durableId="1467549904">
    <w:abstractNumId w:val="13"/>
  </w:num>
  <w:num w:numId="34" w16cid:durableId="1961951254">
    <w:abstractNumId w:val="40"/>
  </w:num>
  <w:num w:numId="35" w16cid:durableId="197819111">
    <w:abstractNumId w:val="27"/>
  </w:num>
  <w:num w:numId="36" w16cid:durableId="956444603">
    <w:abstractNumId w:val="10"/>
  </w:num>
  <w:num w:numId="37" w16cid:durableId="1955166245">
    <w:abstractNumId w:val="41"/>
  </w:num>
  <w:num w:numId="38" w16cid:durableId="1970477750">
    <w:abstractNumId w:val="45"/>
  </w:num>
  <w:num w:numId="39" w16cid:durableId="1455826310">
    <w:abstractNumId w:val="17"/>
  </w:num>
  <w:num w:numId="40" w16cid:durableId="1322931603">
    <w:abstractNumId w:val="20"/>
  </w:num>
  <w:num w:numId="41" w16cid:durableId="1132403728">
    <w:abstractNumId w:val="28"/>
  </w:num>
  <w:num w:numId="42" w16cid:durableId="947855859">
    <w:abstractNumId w:val="3"/>
  </w:num>
  <w:num w:numId="43" w16cid:durableId="1230339330">
    <w:abstractNumId w:val="2"/>
  </w:num>
  <w:num w:numId="44" w16cid:durableId="346980319">
    <w:abstractNumId w:val="34"/>
  </w:num>
  <w:num w:numId="45" w16cid:durableId="1927034401">
    <w:abstractNumId w:val="30"/>
  </w:num>
  <w:num w:numId="46" w16cid:durableId="1335106380">
    <w:abstractNumId w:val="42"/>
  </w:num>
  <w:num w:numId="47" w16cid:durableId="1849363394">
    <w:abstractNumId w:val="1"/>
  </w:num>
  <w:num w:numId="48" w16cid:durableId="523448782">
    <w:abstractNumId w:val="14"/>
  </w:num>
  <w:num w:numId="49" w16cid:durableId="181124906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533"/>
    <w:rsid w:val="00000811"/>
    <w:rsid w:val="00000DDC"/>
    <w:rsid w:val="00001827"/>
    <w:rsid w:val="00001CDF"/>
    <w:rsid w:val="00002312"/>
    <w:rsid w:val="00002390"/>
    <w:rsid w:val="00002B14"/>
    <w:rsid w:val="00002D8C"/>
    <w:rsid w:val="0000358B"/>
    <w:rsid w:val="000037BA"/>
    <w:rsid w:val="00003A7D"/>
    <w:rsid w:val="00003F72"/>
    <w:rsid w:val="0000458D"/>
    <w:rsid w:val="00004CD5"/>
    <w:rsid w:val="00004D2C"/>
    <w:rsid w:val="0000517B"/>
    <w:rsid w:val="000053A4"/>
    <w:rsid w:val="00005466"/>
    <w:rsid w:val="0000550C"/>
    <w:rsid w:val="00005577"/>
    <w:rsid w:val="00005B5A"/>
    <w:rsid w:val="000060D6"/>
    <w:rsid w:val="00006435"/>
    <w:rsid w:val="0000659D"/>
    <w:rsid w:val="00006866"/>
    <w:rsid w:val="00006A56"/>
    <w:rsid w:val="00006D80"/>
    <w:rsid w:val="0000701A"/>
    <w:rsid w:val="00007429"/>
    <w:rsid w:val="00007644"/>
    <w:rsid w:val="00007C39"/>
    <w:rsid w:val="00010696"/>
    <w:rsid w:val="00010D3C"/>
    <w:rsid w:val="0001106D"/>
    <w:rsid w:val="000110AA"/>
    <w:rsid w:val="0001259D"/>
    <w:rsid w:val="00012834"/>
    <w:rsid w:val="00012915"/>
    <w:rsid w:val="00012A28"/>
    <w:rsid w:val="00012BD8"/>
    <w:rsid w:val="0001312F"/>
    <w:rsid w:val="00013436"/>
    <w:rsid w:val="000148F4"/>
    <w:rsid w:val="00014F00"/>
    <w:rsid w:val="0001539F"/>
    <w:rsid w:val="0001554E"/>
    <w:rsid w:val="000155F6"/>
    <w:rsid w:val="00015B0F"/>
    <w:rsid w:val="00015E83"/>
    <w:rsid w:val="00016CF5"/>
    <w:rsid w:val="00017077"/>
    <w:rsid w:val="000177A2"/>
    <w:rsid w:val="00017AAD"/>
    <w:rsid w:val="00017F7A"/>
    <w:rsid w:val="00020B9D"/>
    <w:rsid w:val="00020CCD"/>
    <w:rsid w:val="000213E7"/>
    <w:rsid w:val="00021A57"/>
    <w:rsid w:val="00021DB6"/>
    <w:rsid w:val="00021EAE"/>
    <w:rsid w:val="0002278A"/>
    <w:rsid w:val="00022C31"/>
    <w:rsid w:val="000230B9"/>
    <w:rsid w:val="000235A8"/>
    <w:rsid w:val="000236A5"/>
    <w:rsid w:val="0002371B"/>
    <w:rsid w:val="00023871"/>
    <w:rsid w:val="00023C23"/>
    <w:rsid w:val="00023DE7"/>
    <w:rsid w:val="00025586"/>
    <w:rsid w:val="000258D0"/>
    <w:rsid w:val="00025A5B"/>
    <w:rsid w:val="00025B49"/>
    <w:rsid w:val="00026530"/>
    <w:rsid w:val="000272D2"/>
    <w:rsid w:val="00030222"/>
    <w:rsid w:val="00030648"/>
    <w:rsid w:val="00030E89"/>
    <w:rsid w:val="00031124"/>
    <w:rsid w:val="0003130B"/>
    <w:rsid w:val="000318F5"/>
    <w:rsid w:val="00031AE5"/>
    <w:rsid w:val="000321C5"/>
    <w:rsid w:val="000325C7"/>
    <w:rsid w:val="00032A5B"/>
    <w:rsid w:val="00032AEB"/>
    <w:rsid w:val="00032D11"/>
    <w:rsid w:val="00032DFF"/>
    <w:rsid w:val="00033099"/>
    <w:rsid w:val="000333D4"/>
    <w:rsid w:val="0003347B"/>
    <w:rsid w:val="000335CB"/>
    <w:rsid w:val="00033C63"/>
    <w:rsid w:val="00033FBF"/>
    <w:rsid w:val="0003448D"/>
    <w:rsid w:val="00034766"/>
    <w:rsid w:val="00034958"/>
    <w:rsid w:val="00034CF9"/>
    <w:rsid w:val="00035BCD"/>
    <w:rsid w:val="00035D35"/>
    <w:rsid w:val="0003628E"/>
    <w:rsid w:val="000366FB"/>
    <w:rsid w:val="0003676C"/>
    <w:rsid w:val="000368E5"/>
    <w:rsid w:val="00036E98"/>
    <w:rsid w:val="00036F3C"/>
    <w:rsid w:val="00036F84"/>
    <w:rsid w:val="000375DC"/>
    <w:rsid w:val="000379EB"/>
    <w:rsid w:val="00037C7A"/>
    <w:rsid w:val="00037D39"/>
    <w:rsid w:val="00040110"/>
    <w:rsid w:val="00040386"/>
    <w:rsid w:val="000406C0"/>
    <w:rsid w:val="00040A14"/>
    <w:rsid w:val="0004111D"/>
    <w:rsid w:val="000413BF"/>
    <w:rsid w:val="000420BF"/>
    <w:rsid w:val="00042217"/>
    <w:rsid w:val="0004229D"/>
    <w:rsid w:val="0004274B"/>
    <w:rsid w:val="0004284C"/>
    <w:rsid w:val="00042B10"/>
    <w:rsid w:val="00042F3B"/>
    <w:rsid w:val="00042FA3"/>
    <w:rsid w:val="00043A0F"/>
    <w:rsid w:val="00043B25"/>
    <w:rsid w:val="00044330"/>
    <w:rsid w:val="00044580"/>
    <w:rsid w:val="000447AB"/>
    <w:rsid w:val="0004494D"/>
    <w:rsid w:val="00044AEE"/>
    <w:rsid w:val="000453F5"/>
    <w:rsid w:val="000456D8"/>
    <w:rsid w:val="00045A68"/>
    <w:rsid w:val="00045BAD"/>
    <w:rsid w:val="00045DD8"/>
    <w:rsid w:val="000464E4"/>
    <w:rsid w:val="0004697C"/>
    <w:rsid w:val="00047433"/>
    <w:rsid w:val="00047554"/>
    <w:rsid w:val="00047B43"/>
    <w:rsid w:val="00050301"/>
    <w:rsid w:val="000504CE"/>
    <w:rsid w:val="00050544"/>
    <w:rsid w:val="000507C1"/>
    <w:rsid w:val="00050A19"/>
    <w:rsid w:val="00050FC5"/>
    <w:rsid w:val="00051679"/>
    <w:rsid w:val="000517F9"/>
    <w:rsid w:val="00051AF6"/>
    <w:rsid w:val="00051C8D"/>
    <w:rsid w:val="00051D06"/>
    <w:rsid w:val="00051D54"/>
    <w:rsid w:val="000523AB"/>
    <w:rsid w:val="0005281B"/>
    <w:rsid w:val="00052D30"/>
    <w:rsid w:val="00053387"/>
    <w:rsid w:val="00053471"/>
    <w:rsid w:val="000534A5"/>
    <w:rsid w:val="00053B51"/>
    <w:rsid w:val="0005402D"/>
    <w:rsid w:val="00054139"/>
    <w:rsid w:val="00054C63"/>
    <w:rsid w:val="00054D38"/>
    <w:rsid w:val="00054FA2"/>
    <w:rsid w:val="00055012"/>
    <w:rsid w:val="00055270"/>
    <w:rsid w:val="00055494"/>
    <w:rsid w:val="00055E87"/>
    <w:rsid w:val="000560BF"/>
    <w:rsid w:val="00056411"/>
    <w:rsid w:val="000564D0"/>
    <w:rsid w:val="0005655F"/>
    <w:rsid w:val="000565DF"/>
    <w:rsid w:val="000566A1"/>
    <w:rsid w:val="000567C1"/>
    <w:rsid w:val="00056E7D"/>
    <w:rsid w:val="00056FA7"/>
    <w:rsid w:val="00057AF8"/>
    <w:rsid w:val="00060FB0"/>
    <w:rsid w:val="00061261"/>
    <w:rsid w:val="00061434"/>
    <w:rsid w:val="000616C3"/>
    <w:rsid w:val="00061776"/>
    <w:rsid w:val="00061BF7"/>
    <w:rsid w:val="00061F8B"/>
    <w:rsid w:val="0006200F"/>
    <w:rsid w:val="00062363"/>
    <w:rsid w:val="00062C35"/>
    <w:rsid w:val="00063292"/>
    <w:rsid w:val="00063631"/>
    <w:rsid w:val="00064592"/>
    <w:rsid w:val="00064CD0"/>
    <w:rsid w:val="00064FC0"/>
    <w:rsid w:val="00065235"/>
    <w:rsid w:val="00065435"/>
    <w:rsid w:val="0006572B"/>
    <w:rsid w:val="00065900"/>
    <w:rsid w:val="00065BA3"/>
    <w:rsid w:val="00065DD6"/>
    <w:rsid w:val="00065FE6"/>
    <w:rsid w:val="00066667"/>
    <w:rsid w:val="00066BAA"/>
    <w:rsid w:val="00066FEE"/>
    <w:rsid w:val="000673CE"/>
    <w:rsid w:val="00067514"/>
    <w:rsid w:val="000677F9"/>
    <w:rsid w:val="00070210"/>
    <w:rsid w:val="00070FFB"/>
    <w:rsid w:val="000714B8"/>
    <w:rsid w:val="000714E1"/>
    <w:rsid w:val="0007160D"/>
    <w:rsid w:val="00071B62"/>
    <w:rsid w:val="00071C09"/>
    <w:rsid w:val="00071D28"/>
    <w:rsid w:val="00071E76"/>
    <w:rsid w:val="000721E7"/>
    <w:rsid w:val="00072441"/>
    <w:rsid w:val="00072940"/>
    <w:rsid w:val="00072E7A"/>
    <w:rsid w:val="00073416"/>
    <w:rsid w:val="00073467"/>
    <w:rsid w:val="000736FC"/>
    <w:rsid w:val="00073D76"/>
    <w:rsid w:val="00074331"/>
    <w:rsid w:val="0007499C"/>
    <w:rsid w:val="00074C7E"/>
    <w:rsid w:val="000750F4"/>
    <w:rsid w:val="00075575"/>
    <w:rsid w:val="00075820"/>
    <w:rsid w:val="0007594F"/>
    <w:rsid w:val="0007597F"/>
    <w:rsid w:val="00075A00"/>
    <w:rsid w:val="0007640D"/>
    <w:rsid w:val="0007661A"/>
    <w:rsid w:val="00077265"/>
    <w:rsid w:val="000778DF"/>
    <w:rsid w:val="00077E7B"/>
    <w:rsid w:val="0008076C"/>
    <w:rsid w:val="00081028"/>
    <w:rsid w:val="000818C3"/>
    <w:rsid w:val="00081BDE"/>
    <w:rsid w:val="00082C1C"/>
    <w:rsid w:val="000830D5"/>
    <w:rsid w:val="0008328D"/>
    <w:rsid w:val="0008345C"/>
    <w:rsid w:val="0008373F"/>
    <w:rsid w:val="00083971"/>
    <w:rsid w:val="00083BB8"/>
    <w:rsid w:val="00084495"/>
    <w:rsid w:val="00084BC4"/>
    <w:rsid w:val="00084CAA"/>
    <w:rsid w:val="0008555C"/>
    <w:rsid w:val="000856BC"/>
    <w:rsid w:val="0008595C"/>
    <w:rsid w:val="00085C05"/>
    <w:rsid w:val="00085EF8"/>
    <w:rsid w:val="0008729C"/>
    <w:rsid w:val="000872EA"/>
    <w:rsid w:val="00087780"/>
    <w:rsid w:val="0008784A"/>
    <w:rsid w:val="0008787D"/>
    <w:rsid w:val="00087A75"/>
    <w:rsid w:val="00087C00"/>
    <w:rsid w:val="00087DB3"/>
    <w:rsid w:val="00090EB7"/>
    <w:rsid w:val="00090F0E"/>
    <w:rsid w:val="00091015"/>
    <w:rsid w:val="000919A1"/>
    <w:rsid w:val="00091A1A"/>
    <w:rsid w:val="00091B9E"/>
    <w:rsid w:val="00091D3A"/>
    <w:rsid w:val="0009237E"/>
    <w:rsid w:val="000924B5"/>
    <w:rsid w:val="000924D1"/>
    <w:rsid w:val="000929C6"/>
    <w:rsid w:val="00092B2C"/>
    <w:rsid w:val="00092DA2"/>
    <w:rsid w:val="00093029"/>
    <w:rsid w:val="00093123"/>
    <w:rsid w:val="00095368"/>
    <w:rsid w:val="00095F47"/>
    <w:rsid w:val="000963B1"/>
    <w:rsid w:val="000964D1"/>
    <w:rsid w:val="00096709"/>
    <w:rsid w:val="00096B40"/>
    <w:rsid w:val="000971E9"/>
    <w:rsid w:val="00097515"/>
    <w:rsid w:val="0009785D"/>
    <w:rsid w:val="00097BBD"/>
    <w:rsid w:val="00097CDD"/>
    <w:rsid w:val="00097F0E"/>
    <w:rsid w:val="000A0021"/>
    <w:rsid w:val="000A00FF"/>
    <w:rsid w:val="000A03F0"/>
    <w:rsid w:val="000A0454"/>
    <w:rsid w:val="000A0DC8"/>
    <w:rsid w:val="000A0DE8"/>
    <w:rsid w:val="000A0F5A"/>
    <w:rsid w:val="000A1085"/>
    <w:rsid w:val="000A12E2"/>
    <w:rsid w:val="000A140E"/>
    <w:rsid w:val="000A153E"/>
    <w:rsid w:val="000A19A3"/>
    <w:rsid w:val="000A24F9"/>
    <w:rsid w:val="000A3134"/>
    <w:rsid w:val="000A35E7"/>
    <w:rsid w:val="000A39D3"/>
    <w:rsid w:val="000A3A3A"/>
    <w:rsid w:val="000A3B76"/>
    <w:rsid w:val="000A3D1D"/>
    <w:rsid w:val="000A3F78"/>
    <w:rsid w:val="000A48C1"/>
    <w:rsid w:val="000A4AE5"/>
    <w:rsid w:val="000A4E95"/>
    <w:rsid w:val="000A576D"/>
    <w:rsid w:val="000A58D4"/>
    <w:rsid w:val="000A5D99"/>
    <w:rsid w:val="000A60F5"/>
    <w:rsid w:val="000A64FA"/>
    <w:rsid w:val="000A6880"/>
    <w:rsid w:val="000A7081"/>
    <w:rsid w:val="000A7418"/>
    <w:rsid w:val="000A74F9"/>
    <w:rsid w:val="000A75F3"/>
    <w:rsid w:val="000A7731"/>
    <w:rsid w:val="000A7EF8"/>
    <w:rsid w:val="000B0805"/>
    <w:rsid w:val="000B08DF"/>
    <w:rsid w:val="000B0C40"/>
    <w:rsid w:val="000B100D"/>
    <w:rsid w:val="000B1091"/>
    <w:rsid w:val="000B1263"/>
    <w:rsid w:val="000B1531"/>
    <w:rsid w:val="000B18B2"/>
    <w:rsid w:val="000B1C52"/>
    <w:rsid w:val="000B2296"/>
    <w:rsid w:val="000B22C8"/>
    <w:rsid w:val="000B242B"/>
    <w:rsid w:val="000B2C70"/>
    <w:rsid w:val="000B2CAD"/>
    <w:rsid w:val="000B2D93"/>
    <w:rsid w:val="000B2DCC"/>
    <w:rsid w:val="000B317D"/>
    <w:rsid w:val="000B3508"/>
    <w:rsid w:val="000B367B"/>
    <w:rsid w:val="000B36F2"/>
    <w:rsid w:val="000B40D1"/>
    <w:rsid w:val="000B4366"/>
    <w:rsid w:val="000B461E"/>
    <w:rsid w:val="000B4782"/>
    <w:rsid w:val="000B488C"/>
    <w:rsid w:val="000B4CE6"/>
    <w:rsid w:val="000B57BA"/>
    <w:rsid w:val="000B5F10"/>
    <w:rsid w:val="000B65B0"/>
    <w:rsid w:val="000B65BF"/>
    <w:rsid w:val="000B6BFD"/>
    <w:rsid w:val="000B77B1"/>
    <w:rsid w:val="000B783D"/>
    <w:rsid w:val="000B7EB1"/>
    <w:rsid w:val="000C0678"/>
    <w:rsid w:val="000C0695"/>
    <w:rsid w:val="000C070E"/>
    <w:rsid w:val="000C12A2"/>
    <w:rsid w:val="000C1473"/>
    <w:rsid w:val="000C1772"/>
    <w:rsid w:val="000C1ACE"/>
    <w:rsid w:val="000C1B02"/>
    <w:rsid w:val="000C1B53"/>
    <w:rsid w:val="000C1DD9"/>
    <w:rsid w:val="000C2055"/>
    <w:rsid w:val="000C22BC"/>
    <w:rsid w:val="000C22F0"/>
    <w:rsid w:val="000C27DC"/>
    <w:rsid w:val="000C2893"/>
    <w:rsid w:val="000C2D88"/>
    <w:rsid w:val="000C3412"/>
    <w:rsid w:val="000C35F7"/>
    <w:rsid w:val="000C3EC4"/>
    <w:rsid w:val="000C4022"/>
    <w:rsid w:val="000C422A"/>
    <w:rsid w:val="000C4ADA"/>
    <w:rsid w:val="000C4C26"/>
    <w:rsid w:val="000C4E62"/>
    <w:rsid w:val="000C54E4"/>
    <w:rsid w:val="000C582C"/>
    <w:rsid w:val="000C5831"/>
    <w:rsid w:val="000C59EB"/>
    <w:rsid w:val="000C615D"/>
    <w:rsid w:val="000C6379"/>
    <w:rsid w:val="000C6B63"/>
    <w:rsid w:val="000C6DE6"/>
    <w:rsid w:val="000C71BE"/>
    <w:rsid w:val="000C7550"/>
    <w:rsid w:val="000C7A8D"/>
    <w:rsid w:val="000C7F35"/>
    <w:rsid w:val="000D05D4"/>
    <w:rsid w:val="000D08E8"/>
    <w:rsid w:val="000D0B59"/>
    <w:rsid w:val="000D0FC9"/>
    <w:rsid w:val="000D12BA"/>
    <w:rsid w:val="000D174C"/>
    <w:rsid w:val="000D18AC"/>
    <w:rsid w:val="000D1B46"/>
    <w:rsid w:val="000D2397"/>
    <w:rsid w:val="000D2451"/>
    <w:rsid w:val="000D2624"/>
    <w:rsid w:val="000D2753"/>
    <w:rsid w:val="000D2931"/>
    <w:rsid w:val="000D2A8E"/>
    <w:rsid w:val="000D330B"/>
    <w:rsid w:val="000D34A5"/>
    <w:rsid w:val="000D34FF"/>
    <w:rsid w:val="000D3C00"/>
    <w:rsid w:val="000D4528"/>
    <w:rsid w:val="000D455A"/>
    <w:rsid w:val="000D4D38"/>
    <w:rsid w:val="000D568D"/>
    <w:rsid w:val="000D5F0C"/>
    <w:rsid w:val="000D606C"/>
    <w:rsid w:val="000D6883"/>
    <w:rsid w:val="000D6A42"/>
    <w:rsid w:val="000D6D21"/>
    <w:rsid w:val="000D6F24"/>
    <w:rsid w:val="000D7747"/>
    <w:rsid w:val="000D78A9"/>
    <w:rsid w:val="000E00F5"/>
    <w:rsid w:val="000E0177"/>
    <w:rsid w:val="000E031B"/>
    <w:rsid w:val="000E08C2"/>
    <w:rsid w:val="000E0F3C"/>
    <w:rsid w:val="000E1BB5"/>
    <w:rsid w:val="000E2327"/>
    <w:rsid w:val="000E24DC"/>
    <w:rsid w:val="000E263A"/>
    <w:rsid w:val="000E2F6C"/>
    <w:rsid w:val="000E3AEA"/>
    <w:rsid w:val="000E3C02"/>
    <w:rsid w:val="000E4247"/>
    <w:rsid w:val="000E448E"/>
    <w:rsid w:val="000E48FF"/>
    <w:rsid w:val="000E4C35"/>
    <w:rsid w:val="000E4DD1"/>
    <w:rsid w:val="000E4FEF"/>
    <w:rsid w:val="000E5CB2"/>
    <w:rsid w:val="000E6255"/>
    <w:rsid w:val="000E65BB"/>
    <w:rsid w:val="000E68F6"/>
    <w:rsid w:val="000E68FB"/>
    <w:rsid w:val="000E6981"/>
    <w:rsid w:val="000E73A7"/>
    <w:rsid w:val="000E76A4"/>
    <w:rsid w:val="000E7784"/>
    <w:rsid w:val="000E7B21"/>
    <w:rsid w:val="000F0325"/>
    <w:rsid w:val="000F0A9D"/>
    <w:rsid w:val="000F10F9"/>
    <w:rsid w:val="000F1ED2"/>
    <w:rsid w:val="000F21EA"/>
    <w:rsid w:val="000F28E6"/>
    <w:rsid w:val="000F2C7D"/>
    <w:rsid w:val="000F31A0"/>
    <w:rsid w:val="000F32C7"/>
    <w:rsid w:val="000F3442"/>
    <w:rsid w:val="000F3500"/>
    <w:rsid w:val="000F3564"/>
    <w:rsid w:val="000F3598"/>
    <w:rsid w:val="000F4475"/>
    <w:rsid w:val="000F4B3B"/>
    <w:rsid w:val="000F4C9C"/>
    <w:rsid w:val="000F4D48"/>
    <w:rsid w:val="000F4DB1"/>
    <w:rsid w:val="000F5177"/>
    <w:rsid w:val="000F5AFF"/>
    <w:rsid w:val="000F6407"/>
    <w:rsid w:val="000F68D2"/>
    <w:rsid w:val="000F6B81"/>
    <w:rsid w:val="000F6C20"/>
    <w:rsid w:val="000F707D"/>
    <w:rsid w:val="000F708F"/>
    <w:rsid w:val="000F755F"/>
    <w:rsid w:val="000F75B4"/>
    <w:rsid w:val="000F7853"/>
    <w:rsid w:val="000F7867"/>
    <w:rsid w:val="000F7A2D"/>
    <w:rsid w:val="000F7D2A"/>
    <w:rsid w:val="001001DC"/>
    <w:rsid w:val="001002CA"/>
    <w:rsid w:val="001002FB"/>
    <w:rsid w:val="00100599"/>
    <w:rsid w:val="00100E17"/>
    <w:rsid w:val="001016D2"/>
    <w:rsid w:val="00101723"/>
    <w:rsid w:val="00101A6D"/>
    <w:rsid w:val="00101E89"/>
    <w:rsid w:val="00101F24"/>
    <w:rsid w:val="00102339"/>
    <w:rsid w:val="00102595"/>
    <w:rsid w:val="00102801"/>
    <w:rsid w:val="00102A2B"/>
    <w:rsid w:val="001033C5"/>
    <w:rsid w:val="001038F5"/>
    <w:rsid w:val="00103D46"/>
    <w:rsid w:val="00103DF3"/>
    <w:rsid w:val="00104438"/>
    <w:rsid w:val="00104704"/>
    <w:rsid w:val="00104761"/>
    <w:rsid w:val="00104AC2"/>
    <w:rsid w:val="0010552E"/>
    <w:rsid w:val="00105618"/>
    <w:rsid w:val="00105EB8"/>
    <w:rsid w:val="00106492"/>
    <w:rsid w:val="0010657C"/>
    <w:rsid w:val="00106720"/>
    <w:rsid w:val="00106C17"/>
    <w:rsid w:val="00106DCD"/>
    <w:rsid w:val="00107F0D"/>
    <w:rsid w:val="00110086"/>
    <w:rsid w:val="001100CC"/>
    <w:rsid w:val="00110328"/>
    <w:rsid w:val="00110880"/>
    <w:rsid w:val="001108BF"/>
    <w:rsid w:val="00110A69"/>
    <w:rsid w:val="00111071"/>
    <w:rsid w:val="00111883"/>
    <w:rsid w:val="00111B16"/>
    <w:rsid w:val="0011204B"/>
    <w:rsid w:val="00112170"/>
    <w:rsid w:val="001127C1"/>
    <w:rsid w:val="00112859"/>
    <w:rsid w:val="001138B8"/>
    <w:rsid w:val="001138DC"/>
    <w:rsid w:val="00113937"/>
    <w:rsid w:val="00113F45"/>
    <w:rsid w:val="00114237"/>
    <w:rsid w:val="0011493F"/>
    <w:rsid w:val="00114D0B"/>
    <w:rsid w:val="00114E20"/>
    <w:rsid w:val="0011526C"/>
    <w:rsid w:val="0011581B"/>
    <w:rsid w:val="00115CC5"/>
    <w:rsid w:val="00115DAA"/>
    <w:rsid w:val="0011621C"/>
    <w:rsid w:val="00116291"/>
    <w:rsid w:val="00117360"/>
    <w:rsid w:val="00117828"/>
    <w:rsid w:val="00117A96"/>
    <w:rsid w:val="00117EC4"/>
    <w:rsid w:val="00120059"/>
    <w:rsid w:val="001201E0"/>
    <w:rsid w:val="00120B86"/>
    <w:rsid w:val="00120C20"/>
    <w:rsid w:val="00121375"/>
    <w:rsid w:val="001217A7"/>
    <w:rsid w:val="001218A3"/>
    <w:rsid w:val="001218FB"/>
    <w:rsid w:val="00121A2A"/>
    <w:rsid w:val="00121FF9"/>
    <w:rsid w:val="0012273F"/>
    <w:rsid w:val="001228E9"/>
    <w:rsid w:val="00123129"/>
    <w:rsid w:val="001231C5"/>
    <w:rsid w:val="00123D01"/>
    <w:rsid w:val="00123D7B"/>
    <w:rsid w:val="001241B9"/>
    <w:rsid w:val="001243F4"/>
    <w:rsid w:val="001245A0"/>
    <w:rsid w:val="0012502C"/>
    <w:rsid w:val="00125127"/>
    <w:rsid w:val="0012561E"/>
    <w:rsid w:val="00125AF6"/>
    <w:rsid w:val="00126407"/>
    <w:rsid w:val="0012678C"/>
    <w:rsid w:val="00126CA8"/>
    <w:rsid w:val="00126D81"/>
    <w:rsid w:val="00126D8D"/>
    <w:rsid w:val="00127220"/>
    <w:rsid w:val="001275BF"/>
    <w:rsid w:val="001276D4"/>
    <w:rsid w:val="00127FAE"/>
    <w:rsid w:val="00130739"/>
    <w:rsid w:val="00130A49"/>
    <w:rsid w:val="0013100E"/>
    <w:rsid w:val="00131064"/>
    <w:rsid w:val="0013114B"/>
    <w:rsid w:val="00131537"/>
    <w:rsid w:val="001316E0"/>
    <w:rsid w:val="001329EF"/>
    <w:rsid w:val="00132AB1"/>
    <w:rsid w:val="00132C54"/>
    <w:rsid w:val="0013351F"/>
    <w:rsid w:val="00133B5C"/>
    <w:rsid w:val="00133BBC"/>
    <w:rsid w:val="00133DC9"/>
    <w:rsid w:val="00134116"/>
    <w:rsid w:val="00134240"/>
    <w:rsid w:val="00134439"/>
    <w:rsid w:val="00134498"/>
    <w:rsid w:val="00134E4C"/>
    <w:rsid w:val="001350C6"/>
    <w:rsid w:val="001351E0"/>
    <w:rsid w:val="001351FA"/>
    <w:rsid w:val="0013572B"/>
    <w:rsid w:val="00135DE7"/>
    <w:rsid w:val="00136345"/>
    <w:rsid w:val="00136737"/>
    <w:rsid w:val="00136902"/>
    <w:rsid w:val="00137053"/>
    <w:rsid w:val="00137433"/>
    <w:rsid w:val="001378E2"/>
    <w:rsid w:val="00137913"/>
    <w:rsid w:val="00137BD1"/>
    <w:rsid w:val="00137D29"/>
    <w:rsid w:val="0013928D"/>
    <w:rsid w:val="001401EA"/>
    <w:rsid w:val="00140200"/>
    <w:rsid w:val="00140698"/>
    <w:rsid w:val="001408E8"/>
    <w:rsid w:val="00140A00"/>
    <w:rsid w:val="001410F5"/>
    <w:rsid w:val="001429D9"/>
    <w:rsid w:val="00142C3C"/>
    <w:rsid w:val="00142E2F"/>
    <w:rsid w:val="001432FD"/>
    <w:rsid w:val="00143399"/>
    <w:rsid w:val="00143818"/>
    <w:rsid w:val="00143A67"/>
    <w:rsid w:val="00143F06"/>
    <w:rsid w:val="00144DB1"/>
    <w:rsid w:val="001456AE"/>
    <w:rsid w:val="00145BEF"/>
    <w:rsid w:val="00145D49"/>
    <w:rsid w:val="00146144"/>
    <w:rsid w:val="0014672B"/>
    <w:rsid w:val="001468FE"/>
    <w:rsid w:val="0014699E"/>
    <w:rsid w:val="00146C88"/>
    <w:rsid w:val="00147346"/>
    <w:rsid w:val="00147362"/>
    <w:rsid w:val="00147393"/>
    <w:rsid w:val="001476F4"/>
    <w:rsid w:val="0014770D"/>
    <w:rsid w:val="001477D9"/>
    <w:rsid w:val="00147829"/>
    <w:rsid w:val="00147A9B"/>
    <w:rsid w:val="00147E56"/>
    <w:rsid w:val="00147ECE"/>
    <w:rsid w:val="00150178"/>
    <w:rsid w:val="00150E4D"/>
    <w:rsid w:val="00151025"/>
    <w:rsid w:val="0015138B"/>
    <w:rsid w:val="001515D6"/>
    <w:rsid w:val="00151655"/>
    <w:rsid w:val="00151DE2"/>
    <w:rsid w:val="00151F40"/>
    <w:rsid w:val="00152190"/>
    <w:rsid w:val="001528A8"/>
    <w:rsid w:val="00153E5A"/>
    <w:rsid w:val="00154753"/>
    <w:rsid w:val="00154A8F"/>
    <w:rsid w:val="00155289"/>
    <w:rsid w:val="001553A0"/>
    <w:rsid w:val="00155C8F"/>
    <w:rsid w:val="00155C97"/>
    <w:rsid w:val="00155D7C"/>
    <w:rsid w:val="00155DF0"/>
    <w:rsid w:val="00155EF6"/>
    <w:rsid w:val="00156CEB"/>
    <w:rsid w:val="00156E91"/>
    <w:rsid w:val="00157348"/>
    <w:rsid w:val="0015756F"/>
    <w:rsid w:val="00157AF3"/>
    <w:rsid w:val="001602E5"/>
    <w:rsid w:val="0016040C"/>
    <w:rsid w:val="00160539"/>
    <w:rsid w:val="001605B1"/>
    <w:rsid w:val="001610F8"/>
    <w:rsid w:val="00161B7D"/>
    <w:rsid w:val="00161B96"/>
    <w:rsid w:val="00161CF8"/>
    <w:rsid w:val="00162049"/>
    <w:rsid w:val="00162111"/>
    <w:rsid w:val="001624DC"/>
    <w:rsid w:val="00162A36"/>
    <w:rsid w:val="00162F8F"/>
    <w:rsid w:val="00162FEC"/>
    <w:rsid w:val="00163AFB"/>
    <w:rsid w:val="00163E08"/>
    <w:rsid w:val="00163F52"/>
    <w:rsid w:val="00164411"/>
    <w:rsid w:val="00164479"/>
    <w:rsid w:val="00164766"/>
    <w:rsid w:val="00164F03"/>
    <w:rsid w:val="00165958"/>
    <w:rsid w:val="0016598E"/>
    <w:rsid w:val="00165A5E"/>
    <w:rsid w:val="00165F1D"/>
    <w:rsid w:val="00165F59"/>
    <w:rsid w:val="001660DE"/>
    <w:rsid w:val="0016673A"/>
    <w:rsid w:val="0016695A"/>
    <w:rsid w:val="001672EA"/>
    <w:rsid w:val="0016752A"/>
    <w:rsid w:val="00167717"/>
    <w:rsid w:val="001701F0"/>
    <w:rsid w:val="0017046F"/>
    <w:rsid w:val="00170627"/>
    <w:rsid w:val="00170B18"/>
    <w:rsid w:val="00170BFA"/>
    <w:rsid w:val="00170CC6"/>
    <w:rsid w:val="001710EB"/>
    <w:rsid w:val="001713BD"/>
    <w:rsid w:val="001718DF"/>
    <w:rsid w:val="00171AED"/>
    <w:rsid w:val="00171ECE"/>
    <w:rsid w:val="00172067"/>
    <w:rsid w:val="00172435"/>
    <w:rsid w:val="00172474"/>
    <w:rsid w:val="001725BC"/>
    <w:rsid w:val="00172676"/>
    <w:rsid w:val="001726A6"/>
    <w:rsid w:val="0017274D"/>
    <w:rsid w:val="00172861"/>
    <w:rsid w:val="00172FAC"/>
    <w:rsid w:val="00173535"/>
    <w:rsid w:val="001737B8"/>
    <w:rsid w:val="0017382C"/>
    <w:rsid w:val="00173883"/>
    <w:rsid w:val="0017406A"/>
    <w:rsid w:val="001741B8"/>
    <w:rsid w:val="00174663"/>
    <w:rsid w:val="00174F8B"/>
    <w:rsid w:val="00175002"/>
    <w:rsid w:val="001751F2"/>
    <w:rsid w:val="00175751"/>
    <w:rsid w:val="001757E9"/>
    <w:rsid w:val="00175C5E"/>
    <w:rsid w:val="001761D2"/>
    <w:rsid w:val="00176608"/>
    <w:rsid w:val="001767AE"/>
    <w:rsid w:val="001778B1"/>
    <w:rsid w:val="0018060C"/>
    <w:rsid w:val="001809C2"/>
    <w:rsid w:val="00180C4F"/>
    <w:rsid w:val="00180CE5"/>
    <w:rsid w:val="00180DB3"/>
    <w:rsid w:val="00180E4B"/>
    <w:rsid w:val="001816C2"/>
    <w:rsid w:val="0018185B"/>
    <w:rsid w:val="00181C54"/>
    <w:rsid w:val="0018214E"/>
    <w:rsid w:val="0018219A"/>
    <w:rsid w:val="001821CA"/>
    <w:rsid w:val="00182BB1"/>
    <w:rsid w:val="00182EF3"/>
    <w:rsid w:val="001830BC"/>
    <w:rsid w:val="001831C7"/>
    <w:rsid w:val="001835AA"/>
    <w:rsid w:val="00183DB3"/>
    <w:rsid w:val="00183E05"/>
    <w:rsid w:val="0018406A"/>
    <w:rsid w:val="0018502E"/>
    <w:rsid w:val="0018503B"/>
    <w:rsid w:val="0018558B"/>
    <w:rsid w:val="0018561B"/>
    <w:rsid w:val="00185788"/>
    <w:rsid w:val="00185D62"/>
    <w:rsid w:val="00185F82"/>
    <w:rsid w:val="001860B3"/>
    <w:rsid w:val="0018660C"/>
    <w:rsid w:val="00186F09"/>
    <w:rsid w:val="00186FEA"/>
    <w:rsid w:val="00187E94"/>
    <w:rsid w:val="001900AF"/>
    <w:rsid w:val="00190486"/>
    <w:rsid w:val="0019074D"/>
    <w:rsid w:val="00190ADF"/>
    <w:rsid w:val="0019102F"/>
    <w:rsid w:val="00191224"/>
    <w:rsid w:val="0019294D"/>
    <w:rsid w:val="00192A42"/>
    <w:rsid w:val="00192CAB"/>
    <w:rsid w:val="00192CE1"/>
    <w:rsid w:val="0019313E"/>
    <w:rsid w:val="00193722"/>
    <w:rsid w:val="00193E56"/>
    <w:rsid w:val="00193F00"/>
    <w:rsid w:val="00194356"/>
    <w:rsid w:val="00194CB2"/>
    <w:rsid w:val="00195433"/>
    <w:rsid w:val="00195761"/>
    <w:rsid w:val="001957EA"/>
    <w:rsid w:val="001958FC"/>
    <w:rsid w:val="0019596A"/>
    <w:rsid w:val="001959B3"/>
    <w:rsid w:val="00195C34"/>
    <w:rsid w:val="00195EE6"/>
    <w:rsid w:val="00196559"/>
    <w:rsid w:val="0019693D"/>
    <w:rsid w:val="00196AC2"/>
    <w:rsid w:val="00196F71"/>
    <w:rsid w:val="0019711C"/>
    <w:rsid w:val="00197B03"/>
    <w:rsid w:val="00197B5D"/>
    <w:rsid w:val="00197F0A"/>
    <w:rsid w:val="001A06C5"/>
    <w:rsid w:val="001A09D9"/>
    <w:rsid w:val="001A0AF7"/>
    <w:rsid w:val="001A0B35"/>
    <w:rsid w:val="001A0D82"/>
    <w:rsid w:val="001A1123"/>
    <w:rsid w:val="001A164B"/>
    <w:rsid w:val="001A16C2"/>
    <w:rsid w:val="001A1822"/>
    <w:rsid w:val="001A1AF9"/>
    <w:rsid w:val="001A1D41"/>
    <w:rsid w:val="001A249C"/>
    <w:rsid w:val="001A299A"/>
    <w:rsid w:val="001A365E"/>
    <w:rsid w:val="001A3E85"/>
    <w:rsid w:val="001A3EB7"/>
    <w:rsid w:val="001A3F50"/>
    <w:rsid w:val="001A3FB2"/>
    <w:rsid w:val="001A4205"/>
    <w:rsid w:val="001A4E36"/>
    <w:rsid w:val="001A4F77"/>
    <w:rsid w:val="001A5589"/>
    <w:rsid w:val="001A55F3"/>
    <w:rsid w:val="001A58FE"/>
    <w:rsid w:val="001A5BB8"/>
    <w:rsid w:val="001A5DCB"/>
    <w:rsid w:val="001A5DD0"/>
    <w:rsid w:val="001A61AB"/>
    <w:rsid w:val="001A68B0"/>
    <w:rsid w:val="001A6A41"/>
    <w:rsid w:val="001A6F6F"/>
    <w:rsid w:val="001A7B9B"/>
    <w:rsid w:val="001B084B"/>
    <w:rsid w:val="001B0F8C"/>
    <w:rsid w:val="001B0F90"/>
    <w:rsid w:val="001B1167"/>
    <w:rsid w:val="001B168D"/>
    <w:rsid w:val="001B1887"/>
    <w:rsid w:val="001B1AEF"/>
    <w:rsid w:val="001B1CF0"/>
    <w:rsid w:val="001B1DEF"/>
    <w:rsid w:val="001B20A7"/>
    <w:rsid w:val="001B210C"/>
    <w:rsid w:val="001B248B"/>
    <w:rsid w:val="001B376D"/>
    <w:rsid w:val="001B376F"/>
    <w:rsid w:val="001B37CF"/>
    <w:rsid w:val="001B3AB9"/>
    <w:rsid w:val="001B3AD2"/>
    <w:rsid w:val="001B3B17"/>
    <w:rsid w:val="001B418A"/>
    <w:rsid w:val="001B4208"/>
    <w:rsid w:val="001B4688"/>
    <w:rsid w:val="001B46C4"/>
    <w:rsid w:val="001B46E3"/>
    <w:rsid w:val="001B48F4"/>
    <w:rsid w:val="001B51E4"/>
    <w:rsid w:val="001B5A6A"/>
    <w:rsid w:val="001B60DB"/>
    <w:rsid w:val="001B643C"/>
    <w:rsid w:val="001B662E"/>
    <w:rsid w:val="001B69D5"/>
    <w:rsid w:val="001B6A40"/>
    <w:rsid w:val="001B6A7E"/>
    <w:rsid w:val="001B6AC3"/>
    <w:rsid w:val="001B6B99"/>
    <w:rsid w:val="001B6DA9"/>
    <w:rsid w:val="001B72EE"/>
    <w:rsid w:val="001B74D1"/>
    <w:rsid w:val="001C0444"/>
    <w:rsid w:val="001C0926"/>
    <w:rsid w:val="001C112C"/>
    <w:rsid w:val="001C11B6"/>
    <w:rsid w:val="001C143D"/>
    <w:rsid w:val="001C14FE"/>
    <w:rsid w:val="001C1B08"/>
    <w:rsid w:val="001C1F9C"/>
    <w:rsid w:val="001C226B"/>
    <w:rsid w:val="001C24DA"/>
    <w:rsid w:val="001C258C"/>
    <w:rsid w:val="001C2AA3"/>
    <w:rsid w:val="001C2DDB"/>
    <w:rsid w:val="001C39DC"/>
    <w:rsid w:val="001C3D0E"/>
    <w:rsid w:val="001C402E"/>
    <w:rsid w:val="001C40A8"/>
    <w:rsid w:val="001C483A"/>
    <w:rsid w:val="001C526C"/>
    <w:rsid w:val="001C52F6"/>
    <w:rsid w:val="001C57AA"/>
    <w:rsid w:val="001C5BF1"/>
    <w:rsid w:val="001C5E61"/>
    <w:rsid w:val="001C6066"/>
    <w:rsid w:val="001C62AA"/>
    <w:rsid w:val="001C6349"/>
    <w:rsid w:val="001C63BC"/>
    <w:rsid w:val="001C64C3"/>
    <w:rsid w:val="001C686D"/>
    <w:rsid w:val="001C688C"/>
    <w:rsid w:val="001C6E1E"/>
    <w:rsid w:val="001C73CF"/>
    <w:rsid w:val="001C7727"/>
    <w:rsid w:val="001C7C2A"/>
    <w:rsid w:val="001C7DD0"/>
    <w:rsid w:val="001C7FFC"/>
    <w:rsid w:val="001D0840"/>
    <w:rsid w:val="001D1382"/>
    <w:rsid w:val="001D1675"/>
    <w:rsid w:val="001D18F6"/>
    <w:rsid w:val="001D1EF9"/>
    <w:rsid w:val="001D1FAB"/>
    <w:rsid w:val="001D2372"/>
    <w:rsid w:val="001D250F"/>
    <w:rsid w:val="001D2873"/>
    <w:rsid w:val="001D2A35"/>
    <w:rsid w:val="001D3392"/>
    <w:rsid w:val="001D3741"/>
    <w:rsid w:val="001D447F"/>
    <w:rsid w:val="001D485D"/>
    <w:rsid w:val="001D5812"/>
    <w:rsid w:val="001D5958"/>
    <w:rsid w:val="001D5A87"/>
    <w:rsid w:val="001D5B33"/>
    <w:rsid w:val="001D5FA7"/>
    <w:rsid w:val="001D628B"/>
    <w:rsid w:val="001D656E"/>
    <w:rsid w:val="001D6772"/>
    <w:rsid w:val="001D7253"/>
    <w:rsid w:val="001D7458"/>
    <w:rsid w:val="001D7984"/>
    <w:rsid w:val="001D7F11"/>
    <w:rsid w:val="001E079B"/>
    <w:rsid w:val="001E0F9E"/>
    <w:rsid w:val="001E15D6"/>
    <w:rsid w:val="001E184A"/>
    <w:rsid w:val="001E1889"/>
    <w:rsid w:val="001E188D"/>
    <w:rsid w:val="001E2052"/>
    <w:rsid w:val="001E2138"/>
    <w:rsid w:val="001E264F"/>
    <w:rsid w:val="001E274D"/>
    <w:rsid w:val="001E2BE1"/>
    <w:rsid w:val="001E3017"/>
    <w:rsid w:val="001E3053"/>
    <w:rsid w:val="001E33E0"/>
    <w:rsid w:val="001E3F51"/>
    <w:rsid w:val="001E43AB"/>
    <w:rsid w:val="001E4732"/>
    <w:rsid w:val="001E610D"/>
    <w:rsid w:val="001E62EE"/>
    <w:rsid w:val="001E63CC"/>
    <w:rsid w:val="001E6486"/>
    <w:rsid w:val="001E65A2"/>
    <w:rsid w:val="001E67CE"/>
    <w:rsid w:val="001E6B6C"/>
    <w:rsid w:val="001E7D5C"/>
    <w:rsid w:val="001F0304"/>
    <w:rsid w:val="001F05D3"/>
    <w:rsid w:val="001F0608"/>
    <w:rsid w:val="001F07D8"/>
    <w:rsid w:val="001F090E"/>
    <w:rsid w:val="001F098D"/>
    <w:rsid w:val="001F0B26"/>
    <w:rsid w:val="001F0C4A"/>
    <w:rsid w:val="001F1025"/>
    <w:rsid w:val="001F1695"/>
    <w:rsid w:val="001F19AC"/>
    <w:rsid w:val="001F1DB5"/>
    <w:rsid w:val="001F29E1"/>
    <w:rsid w:val="001F2D24"/>
    <w:rsid w:val="001F2FD7"/>
    <w:rsid w:val="001F3186"/>
    <w:rsid w:val="001F3269"/>
    <w:rsid w:val="001F3A0D"/>
    <w:rsid w:val="001F3D33"/>
    <w:rsid w:val="001F42B9"/>
    <w:rsid w:val="001F44C2"/>
    <w:rsid w:val="001F475B"/>
    <w:rsid w:val="001F4BEF"/>
    <w:rsid w:val="001F4C14"/>
    <w:rsid w:val="001F4FEA"/>
    <w:rsid w:val="001F50AA"/>
    <w:rsid w:val="001F539A"/>
    <w:rsid w:val="001F54BA"/>
    <w:rsid w:val="001F57F9"/>
    <w:rsid w:val="001F5A15"/>
    <w:rsid w:val="001F5F07"/>
    <w:rsid w:val="001F64B0"/>
    <w:rsid w:val="001F6938"/>
    <w:rsid w:val="001F6A8A"/>
    <w:rsid w:val="001F6C69"/>
    <w:rsid w:val="001F710B"/>
    <w:rsid w:val="001F743F"/>
    <w:rsid w:val="001F7D0D"/>
    <w:rsid w:val="001F7DAC"/>
    <w:rsid w:val="001F7FAD"/>
    <w:rsid w:val="0020057E"/>
    <w:rsid w:val="00200583"/>
    <w:rsid w:val="00200A9E"/>
    <w:rsid w:val="00200B4B"/>
    <w:rsid w:val="00200D91"/>
    <w:rsid w:val="0020131D"/>
    <w:rsid w:val="00201D33"/>
    <w:rsid w:val="00201EDF"/>
    <w:rsid w:val="00201F48"/>
    <w:rsid w:val="002023DF"/>
    <w:rsid w:val="00202CC1"/>
    <w:rsid w:val="00202DD6"/>
    <w:rsid w:val="002036FE"/>
    <w:rsid w:val="00203C13"/>
    <w:rsid w:val="00203CB8"/>
    <w:rsid w:val="00203CC9"/>
    <w:rsid w:val="00203D50"/>
    <w:rsid w:val="00203F35"/>
    <w:rsid w:val="002045D5"/>
    <w:rsid w:val="002047B2"/>
    <w:rsid w:val="002049D4"/>
    <w:rsid w:val="00204A15"/>
    <w:rsid w:val="00204F25"/>
    <w:rsid w:val="00205B33"/>
    <w:rsid w:val="002063D6"/>
    <w:rsid w:val="0020666C"/>
    <w:rsid w:val="00206E58"/>
    <w:rsid w:val="002078A0"/>
    <w:rsid w:val="00207B07"/>
    <w:rsid w:val="00207EA9"/>
    <w:rsid w:val="00210201"/>
    <w:rsid w:val="0021085F"/>
    <w:rsid w:val="00210B02"/>
    <w:rsid w:val="002112CA"/>
    <w:rsid w:val="00211444"/>
    <w:rsid w:val="0021193F"/>
    <w:rsid w:val="00212297"/>
    <w:rsid w:val="002126EE"/>
    <w:rsid w:val="00212B64"/>
    <w:rsid w:val="00213535"/>
    <w:rsid w:val="002139E2"/>
    <w:rsid w:val="00213CF5"/>
    <w:rsid w:val="00213DDD"/>
    <w:rsid w:val="002141F3"/>
    <w:rsid w:val="0021434B"/>
    <w:rsid w:val="0021444D"/>
    <w:rsid w:val="00214A8A"/>
    <w:rsid w:val="00214A9F"/>
    <w:rsid w:val="002151A8"/>
    <w:rsid w:val="002153C3"/>
    <w:rsid w:val="00215A21"/>
    <w:rsid w:val="00215CCA"/>
    <w:rsid w:val="00215F76"/>
    <w:rsid w:val="002162F4"/>
    <w:rsid w:val="0021665A"/>
    <w:rsid w:val="00217377"/>
    <w:rsid w:val="002176C8"/>
    <w:rsid w:val="00217778"/>
    <w:rsid w:val="00217781"/>
    <w:rsid w:val="00217AFC"/>
    <w:rsid w:val="00217D2D"/>
    <w:rsid w:val="00220427"/>
    <w:rsid w:val="0022064E"/>
    <w:rsid w:val="002209D5"/>
    <w:rsid w:val="0022146A"/>
    <w:rsid w:val="00221F1F"/>
    <w:rsid w:val="002221F1"/>
    <w:rsid w:val="00222D8D"/>
    <w:rsid w:val="00222F6C"/>
    <w:rsid w:val="00223E72"/>
    <w:rsid w:val="00224249"/>
    <w:rsid w:val="00224487"/>
    <w:rsid w:val="002245EC"/>
    <w:rsid w:val="002247B9"/>
    <w:rsid w:val="00224F39"/>
    <w:rsid w:val="00224F68"/>
    <w:rsid w:val="00225331"/>
    <w:rsid w:val="002254CC"/>
    <w:rsid w:val="00226308"/>
    <w:rsid w:val="00226936"/>
    <w:rsid w:val="00226AEE"/>
    <w:rsid w:val="00226E83"/>
    <w:rsid w:val="00227666"/>
    <w:rsid w:val="002277BA"/>
    <w:rsid w:val="0022790F"/>
    <w:rsid w:val="00227E9E"/>
    <w:rsid w:val="00227F59"/>
    <w:rsid w:val="00230D38"/>
    <w:rsid w:val="00231208"/>
    <w:rsid w:val="002318A8"/>
    <w:rsid w:val="00231902"/>
    <w:rsid w:val="00232173"/>
    <w:rsid w:val="002329B7"/>
    <w:rsid w:val="00232BFF"/>
    <w:rsid w:val="002334CC"/>
    <w:rsid w:val="002334FB"/>
    <w:rsid w:val="0023370F"/>
    <w:rsid w:val="00234414"/>
    <w:rsid w:val="00234795"/>
    <w:rsid w:val="00234CFA"/>
    <w:rsid w:val="00235272"/>
    <w:rsid w:val="002361F6"/>
    <w:rsid w:val="00236476"/>
    <w:rsid w:val="0023669F"/>
    <w:rsid w:val="00237069"/>
    <w:rsid w:val="00237108"/>
    <w:rsid w:val="00237A49"/>
    <w:rsid w:val="00240063"/>
    <w:rsid w:val="0024036C"/>
    <w:rsid w:val="00240669"/>
    <w:rsid w:val="002408CF"/>
    <w:rsid w:val="002409E1"/>
    <w:rsid w:val="00241087"/>
    <w:rsid w:val="002414B2"/>
    <w:rsid w:val="00241502"/>
    <w:rsid w:val="00241B47"/>
    <w:rsid w:val="002424CC"/>
    <w:rsid w:val="00242B1B"/>
    <w:rsid w:val="002435F5"/>
    <w:rsid w:val="0024370B"/>
    <w:rsid w:val="00243729"/>
    <w:rsid w:val="002437AD"/>
    <w:rsid w:val="002437CE"/>
    <w:rsid w:val="00243C79"/>
    <w:rsid w:val="00243D02"/>
    <w:rsid w:val="0024403A"/>
    <w:rsid w:val="00244254"/>
    <w:rsid w:val="002442C0"/>
    <w:rsid w:val="002447EA"/>
    <w:rsid w:val="00245219"/>
    <w:rsid w:val="0024556F"/>
    <w:rsid w:val="002455DB"/>
    <w:rsid w:val="00245633"/>
    <w:rsid w:val="00245E96"/>
    <w:rsid w:val="002463C2"/>
    <w:rsid w:val="002467F3"/>
    <w:rsid w:val="00246BF9"/>
    <w:rsid w:val="00246DEB"/>
    <w:rsid w:val="00247108"/>
    <w:rsid w:val="0024737F"/>
    <w:rsid w:val="0024744E"/>
    <w:rsid w:val="002474FC"/>
    <w:rsid w:val="002503BF"/>
    <w:rsid w:val="002509E4"/>
    <w:rsid w:val="002513C4"/>
    <w:rsid w:val="002515BE"/>
    <w:rsid w:val="00251837"/>
    <w:rsid w:val="002518B3"/>
    <w:rsid w:val="00251AA3"/>
    <w:rsid w:val="00252448"/>
    <w:rsid w:val="00252661"/>
    <w:rsid w:val="00252827"/>
    <w:rsid w:val="0025295C"/>
    <w:rsid w:val="00252C32"/>
    <w:rsid w:val="0025310C"/>
    <w:rsid w:val="002534A5"/>
    <w:rsid w:val="0025352E"/>
    <w:rsid w:val="002535C0"/>
    <w:rsid w:val="00253B40"/>
    <w:rsid w:val="00253BB3"/>
    <w:rsid w:val="00253E25"/>
    <w:rsid w:val="00254267"/>
    <w:rsid w:val="002544B3"/>
    <w:rsid w:val="002544DB"/>
    <w:rsid w:val="00254757"/>
    <w:rsid w:val="00254BFA"/>
    <w:rsid w:val="00254E3C"/>
    <w:rsid w:val="00254F05"/>
    <w:rsid w:val="00255299"/>
    <w:rsid w:val="0025553B"/>
    <w:rsid w:val="00255C80"/>
    <w:rsid w:val="00255D82"/>
    <w:rsid w:val="00255E96"/>
    <w:rsid w:val="002562F9"/>
    <w:rsid w:val="002564F2"/>
    <w:rsid w:val="0025695F"/>
    <w:rsid w:val="002573C8"/>
    <w:rsid w:val="002578EB"/>
    <w:rsid w:val="00257B79"/>
    <w:rsid w:val="00257C5A"/>
    <w:rsid w:val="002601CB"/>
    <w:rsid w:val="0026022C"/>
    <w:rsid w:val="00260C4A"/>
    <w:rsid w:val="00261F2C"/>
    <w:rsid w:val="0026231E"/>
    <w:rsid w:val="00262BE9"/>
    <w:rsid w:val="00262DD0"/>
    <w:rsid w:val="002630FC"/>
    <w:rsid w:val="00263C6B"/>
    <w:rsid w:val="00263E3F"/>
    <w:rsid w:val="00263EFB"/>
    <w:rsid w:val="002645C9"/>
    <w:rsid w:val="002649A8"/>
    <w:rsid w:val="00264D3A"/>
    <w:rsid w:val="002651ED"/>
    <w:rsid w:val="00265917"/>
    <w:rsid w:val="00265AF5"/>
    <w:rsid w:val="00265B53"/>
    <w:rsid w:val="00265C82"/>
    <w:rsid w:val="0026639A"/>
    <w:rsid w:val="00266591"/>
    <w:rsid w:val="002666CD"/>
    <w:rsid w:val="00266828"/>
    <w:rsid w:val="002672B6"/>
    <w:rsid w:val="00267A7D"/>
    <w:rsid w:val="00267D72"/>
    <w:rsid w:val="002705D0"/>
    <w:rsid w:val="00270B14"/>
    <w:rsid w:val="00270E2E"/>
    <w:rsid w:val="00270F3F"/>
    <w:rsid w:val="00271D53"/>
    <w:rsid w:val="0027253B"/>
    <w:rsid w:val="002725A1"/>
    <w:rsid w:val="00272654"/>
    <w:rsid w:val="002727C7"/>
    <w:rsid w:val="00272D9F"/>
    <w:rsid w:val="00272EA6"/>
    <w:rsid w:val="00273DA7"/>
    <w:rsid w:val="00274684"/>
    <w:rsid w:val="0027497A"/>
    <w:rsid w:val="00274C04"/>
    <w:rsid w:val="00274FFE"/>
    <w:rsid w:val="0027520F"/>
    <w:rsid w:val="002754F1"/>
    <w:rsid w:val="002757F5"/>
    <w:rsid w:val="00275C15"/>
    <w:rsid w:val="00275D62"/>
    <w:rsid w:val="00276847"/>
    <w:rsid w:val="00276E95"/>
    <w:rsid w:val="00277050"/>
    <w:rsid w:val="0027714E"/>
    <w:rsid w:val="00277CD1"/>
    <w:rsid w:val="00277EA0"/>
    <w:rsid w:val="00277F8B"/>
    <w:rsid w:val="002802A4"/>
    <w:rsid w:val="002805CB"/>
    <w:rsid w:val="0028093B"/>
    <w:rsid w:val="00280B0F"/>
    <w:rsid w:val="00280D81"/>
    <w:rsid w:val="0028138B"/>
    <w:rsid w:val="00281745"/>
    <w:rsid w:val="002819C2"/>
    <w:rsid w:val="00281B17"/>
    <w:rsid w:val="00281C56"/>
    <w:rsid w:val="00282B45"/>
    <w:rsid w:val="0028354F"/>
    <w:rsid w:val="00283643"/>
    <w:rsid w:val="00283736"/>
    <w:rsid w:val="00283842"/>
    <w:rsid w:val="00283B3A"/>
    <w:rsid w:val="00283D23"/>
    <w:rsid w:val="0028400E"/>
    <w:rsid w:val="002840E7"/>
    <w:rsid w:val="0028433F"/>
    <w:rsid w:val="002845C6"/>
    <w:rsid w:val="002846AB"/>
    <w:rsid w:val="00284A04"/>
    <w:rsid w:val="00284E77"/>
    <w:rsid w:val="00284E8B"/>
    <w:rsid w:val="002858C0"/>
    <w:rsid w:val="002859BA"/>
    <w:rsid w:val="0028684D"/>
    <w:rsid w:val="0028723C"/>
    <w:rsid w:val="00287B3F"/>
    <w:rsid w:val="00287ECC"/>
    <w:rsid w:val="00287F4A"/>
    <w:rsid w:val="00290257"/>
    <w:rsid w:val="00290386"/>
    <w:rsid w:val="00290A36"/>
    <w:rsid w:val="00290BE1"/>
    <w:rsid w:val="002912D0"/>
    <w:rsid w:val="002914FE"/>
    <w:rsid w:val="00291549"/>
    <w:rsid w:val="002919C2"/>
    <w:rsid w:val="00291C23"/>
    <w:rsid w:val="00291ED5"/>
    <w:rsid w:val="00292721"/>
    <w:rsid w:val="00292ECF"/>
    <w:rsid w:val="002932A2"/>
    <w:rsid w:val="002938D7"/>
    <w:rsid w:val="00293948"/>
    <w:rsid w:val="0029482F"/>
    <w:rsid w:val="002949D1"/>
    <w:rsid w:val="00294DD2"/>
    <w:rsid w:val="00295627"/>
    <w:rsid w:val="0029600D"/>
    <w:rsid w:val="00296372"/>
    <w:rsid w:val="0029699F"/>
    <w:rsid w:val="002969C3"/>
    <w:rsid w:val="00296AD4"/>
    <w:rsid w:val="00296DD7"/>
    <w:rsid w:val="00296EF1"/>
    <w:rsid w:val="00296F94"/>
    <w:rsid w:val="002970C9"/>
    <w:rsid w:val="0029730F"/>
    <w:rsid w:val="00297352"/>
    <w:rsid w:val="00297855"/>
    <w:rsid w:val="00297B23"/>
    <w:rsid w:val="00297D80"/>
    <w:rsid w:val="002A05B3"/>
    <w:rsid w:val="002A0630"/>
    <w:rsid w:val="002A12D7"/>
    <w:rsid w:val="002A12EF"/>
    <w:rsid w:val="002A188C"/>
    <w:rsid w:val="002A1E87"/>
    <w:rsid w:val="002A1F09"/>
    <w:rsid w:val="002A24F4"/>
    <w:rsid w:val="002A291C"/>
    <w:rsid w:val="002A2B2B"/>
    <w:rsid w:val="002A2BD7"/>
    <w:rsid w:val="002A2BF5"/>
    <w:rsid w:val="002A2BFA"/>
    <w:rsid w:val="002A3371"/>
    <w:rsid w:val="002A35B5"/>
    <w:rsid w:val="002A35D2"/>
    <w:rsid w:val="002A379C"/>
    <w:rsid w:val="002A3A90"/>
    <w:rsid w:val="002A3C68"/>
    <w:rsid w:val="002A44EF"/>
    <w:rsid w:val="002A4513"/>
    <w:rsid w:val="002A4B7C"/>
    <w:rsid w:val="002A4BDA"/>
    <w:rsid w:val="002A50A3"/>
    <w:rsid w:val="002A50BF"/>
    <w:rsid w:val="002A53C4"/>
    <w:rsid w:val="002A5D25"/>
    <w:rsid w:val="002A61E7"/>
    <w:rsid w:val="002A636C"/>
    <w:rsid w:val="002A6514"/>
    <w:rsid w:val="002A6796"/>
    <w:rsid w:val="002A688D"/>
    <w:rsid w:val="002A6BA6"/>
    <w:rsid w:val="002A73CD"/>
    <w:rsid w:val="002A77BB"/>
    <w:rsid w:val="002A77E3"/>
    <w:rsid w:val="002A7C2A"/>
    <w:rsid w:val="002A7DB3"/>
    <w:rsid w:val="002A7FC8"/>
    <w:rsid w:val="002B009E"/>
    <w:rsid w:val="002B05CF"/>
    <w:rsid w:val="002B08FD"/>
    <w:rsid w:val="002B0D44"/>
    <w:rsid w:val="002B0EAC"/>
    <w:rsid w:val="002B14CB"/>
    <w:rsid w:val="002B1505"/>
    <w:rsid w:val="002B1777"/>
    <w:rsid w:val="002B1AF4"/>
    <w:rsid w:val="002B1C5B"/>
    <w:rsid w:val="002B1D2A"/>
    <w:rsid w:val="002B1D5F"/>
    <w:rsid w:val="002B1F14"/>
    <w:rsid w:val="002B204C"/>
    <w:rsid w:val="002B2253"/>
    <w:rsid w:val="002B2254"/>
    <w:rsid w:val="002B2702"/>
    <w:rsid w:val="002B2761"/>
    <w:rsid w:val="002B2AED"/>
    <w:rsid w:val="002B335E"/>
    <w:rsid w:val="002B382B"/>
    <w:rsid w:val="002B4405"/>
    <w:rsid w:val="002B487B"/>
    <w:rsid w:val="002B4E0C"/>
    <w:rsid w:val="002B4F19"/>
    <w:rsid w:val="002B5250"/>
    <w:rsid w:val="002B5452"/>
    <w:rsid w:val="002B5548"/>
    <w:rsid w:val="002B576A"/>
    <w:rsid w:val="002B5973"/>
    <w:rsid w:val="002B5E9F"/>
    <w:rsid w:val="002B626E"/>
    <w:rsid w:val="002B6568"/>
    <w:rsid w:val="002B6C00"/>
    <w:rsid w:val="002B736D"/>
    <w:rsid w:val="002B7445"/>
    <w:rsid w:val="002C09FF"/>
    <w:rsid w:val="002C0B0C"/>
    <w:rsid w:val="002C0C56"/>
    <w:rsid w:val="002C0DF0"/>
    <w:rsid w:val="002C0E77"/>
    <w:rsid w:val="002C0E9C"/>
    <w:rsid w:val="002C1972"/>
    <w:rsid w:val="002C1990"/>
    <w:rsid w:val="002C1CCD"/>
    <w:rsid w:val="002C1E73"/>
    <w:rsid w:val="002C2169"/>
    <w:rsid w:val="002C267E"/>
    <w:rsid w:val="002C26AE"/>
    <w:rsid w:val="002C27B9"/>
    <w:rsid w:val="002C2BC0"/>
    <w:rsid w:val="002C2DDD"/>
    <w:rsid w:val="002C2FBF"/>
    <w:rsid w:val="002C3975"/>
    <w:rsid w:val="002C3D1B"/>
    <w:rsid w:val="002C3FE9"/>
    <w:rsid w:val="002C402B"/>
    <w:rsid w:val="002C4466"/>
    <w:rsid w:val="002C4E2B"/>
    <w:rsid w:val="002C4EE4"/>
    <w:rsid w:val="002C5168"/>
    <w:rsid w:val="002C5235"/>
    <w:rsid w:val="002C538C"/>
    <w:rsid w:val="002C53DA"/>
    <w:rsid w:val="002C542D"/>
    <w:rsid w:val="002C60F0"/>
    <w:rsid w:val="002C6511"/>
    <w:rsid w:val="002C6C50"/>
    <w:rsid w:val="002C734C"/>
    <w:rsid w:val="002C7E61"/>
    <w:rsid w:val="002D026E"/>
    <w:rsid w:val="002D032D"/>
    <w:rsid w:val="002D07B2"/>
    <w:rsid w:val="002D09B8"/>
    <w:rsid w:val="002D0B24"/>
    <w:rsid w:val="002D0CB7"/>
    <w:rsid w:val="002D1331"/>
    <w:rsid w:val="002D1B1A"/>
    <w:rsid w:val="002D1E78"/>
    <w:rsid w:val="002D1F47"/>
    <w:rsid w:val="002D228D"/>
    <w:rsid w:val="002D28B2"/>
    <w:rsid w:val="002D29D0"/>
    <w:rsid w:val="002D2B7B"/>
    <w:rsid w:val="002D2D0F"/>
    <w:rsid w:val="002D2D6E"/>
    <w:rsid w:val="002D2F97"/>
    <w:rsid w:val="002D2FF2"/>
    <w:rsid w:val="002D308B"/>
    <w:rsid w:val="002D3412"/>
    <w:rsid w:val="002D3741"/>
    <w:rsid w:val="002D37B8"/>
    <w:rsid w:val="002D38AF"/>
    <w:rsid w:val="002D3F32"/>
    <w:rsid w:val="002D3F87"/>
    <w:rsid w:val="002D4045"/>
    <w:rsid w:val="002D4056"/>
    <w:rsid w:val="002D4366"/>
    <w:rsid w:val="002D4642"/>
    <w:rsid w:val="002D474F"/>
    <w:rsid w:val="002D4A58"/>
    <w:rsid w:val="002D4B6F"/>
    <w:rsid w:val="002D504D"/>
    <w:rsid w:val="002D590D"/>
    <w:rsid w:val="002D5B31"/>
    <w:rsid w:val="002D5D7D"/>
    <w:rsid w:val="002D60E3"/>
    <w:rsid w:val="002D68C0"/>
    <w:rsid w:val="002D68C1"/>
    <w:rsid w:val="002D6C04"/>
    <w:rsid w:val="002D6DA4"/>
    <w:rsid w:val="002D6DAD"/>
    <w:rsid w:val="002D6E47"/>
    <w:rsid w:val="002D7B90"/>
    <w:rsid w:val="002E04F8"/>
    <w:rsid w:val="002E0736"/>
    <w:rsid w:val="002E07BF"/>
    <w:rsid w:val="002E07C8"/>
    <w:rsid w:val="002E07E7"/>
    <w:rsid w:val="002E091C"/>
    <w:rsid w:val="002E0E46"/>
    <w:rsid w:val="002E1F60"/>
    <w:rsid w:val="002E225E"/>
    <w:rsid w:val="002E2ACC"/>
    <w:rsid w:val="002E2CA8"/>
    <w:rsid w:val="002E3016"/>
    <w:rsid w:val="002E3168"/>
    <w:rsid w:val="002E3817"/>
    <w:rsid w:val="002E3B69"/>
    <w:rsid w:val="002E46DC"/>
    <w:rsid w:val="002E48A9"/>
    <w:rsid w:val="002E4A39"/>
    <w:rsid w:val="002E4C95"/>
    <w:rsid w:val="002E52AA"/>
    <w:rsid w:val="002E53C7"/>
    <w:rsid w:val="002E5579"/>
    <w:rsid w:val="002E5675"/>
    <w:rsid w:val="002E5F6B"/>
    <w:rsid w:val="002E5F88"/>
    <w:rsid w:val="002E63C4"/>
    <w:rsid w:val="002E6521"/>
    <w:rsid w:val="002E6962"/>
    <w:rsid w:val="002E69F7"/>
    <w:rsid w:val="002E6B8E"/>
    <w:rsid w:val="002E703A"/>
    <w:rsid w:val="002E72FF"/>
    <w:rsid w:val="002E73D4"/>
    <w:rsid w:val="002E769A"/>
    <w:rsid w:val="002E78A7"/>
    <w:rsid w:val="002E7952"/>
    <w:rsid w:val="002E7B83"/>
    <w:rsid w:val="002E7C93"/>
    <w:rsid w:val="002F03C9"/>
    <w:rsid w:val="002F0422"/>
    <w:rsid w:val="002F0432"/>
    <w:rsid w:val="002F0AC8"/>
    <w:rsid w:val="002F113F"/>
    <w:rsid w:val="002F18BB"/>
    <w:rsid w:val="002F1CFC"/>
    <w:rsid w:val="002F232B"/>
    <w:rsid w:val="002F2380"/>
    <w:rsid w:val="002F2558"/>
    <w:rsid w:val="002F27FD"/>
    <w:rsid w:val="002F2A54"/>
    <w:rsid w:val="002F2BB1"/>
    <w:rsid w:val="002F3401"/>
    <w:rsid w:val="002F3691"/>
    <w:rsid w:val="002F3B23"/>
    <w:rsid w:val="002F3F90"/>
    <w:rsid w:val="002F40A9"/>
    <w:rsid w:val="002F47D3"/>
    <w:rsid w:val="002F4D36"/>
    <w:rsid w:val="002F4F0E"/>
    <w:rsid w:val="002F549E"/>
    <w:rsid w:val="002F54A8"/>
    <w:rsid w:val="002F598A"/>
    <w:rsid w:val="002F5A43"/>
    <w:rsid w:val="002F5FE1"/>
    <w:rsid w:val="002F65B4"/>
    <w:rsid w:val="002F65C7"/>
    <w:rsid w:val="002F6985"/>
    <w:rsid w:val="002F6B48"/>
    <w:rsid w:val="002F709F"/>
    <w:rsid w:val="002F72E2"/>
    <w:rsid w:val="002F78B1"/>
    <w:rsid w:val="002F7C9B"/>
    <w:rsid w:val="003004ED"/>
    <w:rsid w:val="00300571"/>
    <w:rsid w:val="00300619"/>
    <w:rsid w:val="00300A36"/>
    <w:rsid w:val="00300B4B"/>
    <w:rsid w:val="003013C3"/>
    <w:rsid w:val="0030160A"/>
    <w:rsid w:val="00301810"/>
    <w:rsid w:val="00301BC4"/>
    <w:rsid w:val="00301EE5"/>
    <w:rsid w:val="00302273"/>
    <w:rsid w:val="0030262A"/>
    <w:rsid w:val="00302B36"/>
    <w:rsid w:val="00302C62"/>
    <w:rsid w:val="00303655"/>
    <w:rsid w:val="003039AD"/>
    <w:rsid w:val="00303D3A"/>
    <w:rsid w:val="00303EDC"/>
    <w:rsid w:val="003043BF"/>
    <w:rsid w:val="00304E1F"/>
    <w:rsid w:val="00304F24"/>
    <w:rsid w:val="003051EC"/>
    <w:rsid w:val="00305278"/>
    <w:rsid w:val="0030534E"/>
    <w:rsid w:val="0030557C"/>
    <w:rsid w:val="00305757"/>
    <w:rsid w:val="003057FC"/>
    <w:rsid w:val="00305D7D"/>
    <w:rsid w:val="00305ED7"/>
    <w:rsid w:val="0030682C"/>
    <w:rsid w:val="00306A9C"/>
    <w:rsid w:val="00306AEE"/>
    <w:rsid w:val="00306DA0"/>
    <w:rsid w:val="00307036"/>
    <w:rsid w:val="0030754E"/>
    <w:rsid w:val="0030760C"/>
    <w:rsid w:val="003076FA"/>
    <w:rsid w:val="00307EEF"/>
    <w:rsid w:val="00310732"/>
    <w:rsid w:val="0031096B"/>
    <w:rsid w:val="00310D5E"/>
    <w:rsid w:val="00310F8A"/>
    <w:rsid w:val="00311636"/>
    <w:rsid w:val="0031197F"/>
    <w:rsid w:val="00311A20"/>
    <w:rsid w:val="00311EF4"/>
    <w:rsid w:val="00312DE5"/>
    <w:rsid w:val="00312E1A"/>
    <w:rsid w:val="00312E7A"/>
    <w:rsid w:val="00312FD9"/>
    <w:rsid w:val="00313410"/>
    <w:rsid w:val="003134D1"/>
    <w:rsid w:val="00313A94"/>
    <w:rsid w:val="00313AE7"/>
    <w:rsid w:val="00313FAF"/>
    <w:rsid w:val="003142CD"/>
    <w:rsid w:val="00314303"/>
    <w:rsid w:val="0031431E"/>
    <w:rsid w:val="00314405"/>
    <w:rsid w:val="00314550"/>
    <w:rsid w:val="003148BE"/>
    <w:rsid w:val="00314A5F"/>
    <w:rsid w:val="00314A7D"/>
    <w:rsid w:val="00314BBB"/>
    <w:rsid w:val="003152E3"/>
    <w:rsid w:val="003153FB"/>
    <w:rsid w:val="003155AE"/>
    <w:rsid w:val="0031584E"/>
    <w:rsid w:val="00315D7B"/>
    <w:rsid w:val="00315EAE"/>
    <w:rsid w:val="003166DC"/>
    <w:rsid w:val="003167B0"/>
    <w:rsid w:val="00316DF8"/>
    <w:rsid w:val="00316FAC"/>
    <w:rsid w:val="00317A55"/>
    <w:rsid w:val="00317DB8"/>
    <w:rsid w:val="00317FD1"/>
    <w:rsid w:val="003200D3"/>
    <w:rsid w:val="00320123"/>
    <w:rsid w:val="00320227"/>
    <w:rsid w:val="0032023C"/>
    <w:rsid w:val="00320271"/>
    <w:rsid w:val="00320C6E"/>
    <w:rsid w:val="003210DC"/>
    <w:rsid w:val="0032125E"/>
    <w:rsid w:val="00321393"/>
    <w:rsid w:val="0032156B"/>
    <w:rsid w:val="003216AE"/>
    <w:rsid w:val="00321DE2"/>
    <w:rsid w:val="00321E8A"/>
    <w:rsid w:val="00322589"/>
    <w:rsid w:val="003227CC"/>
    <w:rsid w:val="00322A48"/>
    <w:rsid w:val="00322C09"/>
    <w:rsid w:val="00322DCD"/>
    <w:rsid w:val="00322E6C"/>
    <w:rsid w:val="00322E91"/>
    <w:rsid w:val="003230DF"/>
    <w:rsid w:val="00323AB6"/>
    <w:rsid w:val="00323AD6"/>
    <w:rsid w:val="00323BFE"/>
    <w:rsid w:val="00323EC3"/>
    <w:rsid w:val="0032414D"/>
    <w:rsid w:val="003247E7"/>
    <w:rsid w:val="0032487C"/>
    <w:rsid w:val="003256E2"/>
    <w:rsid w:val="0032577C"/>
    <w:rsid w:val="00325D6F"/>
    <w:rsid w:val="0032620E"/>
    <w:rsid w:val="0032620F"/>
    <w:rsid w:val="00326538"/>
    <w:rsid w:val="00326764"/>
    <w:rsid w:val="00326AB0"/>
    <w:rsid w:val="00326DD7"/>
    <w:rsid w:val="00327429"/>
    <w:rsid w:val="003274DA"/>
    <w:rsid w:val="00327649"/>
    <w:rsid w:val="00327B97"/>
    <w:rsid w:val="00330109"/>
    <w:rsid w:val="00330175"/>
    <w:rsid w:val="003307ED"/>
    <w:rsid w:val="003308AE"/>
    <w:rsid w:val="00330BF3"/>
    <w:rsid w:val="00331A02"/>
    <w:rsid w:val="00331AAD"/>
    <w:rsid w:val="00331E96"/>
    <w:rsid w:val="00331F81"/>
    <w:rsid w:val="003320D6"/>
    <w:rsid w:val="00332A14"/>
    <w:rsid w:val="00332DE8"/>
    <w:rsid w:val="00332E52"/>
    <w:rsid w:val="00333299"/>
    <w:rsid w:val="003335CC"/>
    <w:rsid w:val="00333B85"/>
    <w:rsid w:val="00333E83"/>
    <w:rsid w:val="00333F00"/>
    <w:rsid w:val="00334025"/>
    <w:rsid w:val="003343CC"/>
    <w:rsid w:val="003347C7"/>
    <w:rsid w:val="003347ED"/>
    <w:rsid w:val="0033484F"/>
    <w:rsid w:val="00334D3E"/>
    <w:rsid w:val="003353AB"/>
    <w:rsid w:val="00335523"/>
    <w:rsid w:val="003357B1"/>
    <w:rsid w:val="00335E75"/>
    <w:rsid w:val="003364BB"/>
    <w:rsid w:val="00336783"/>
    <w:rsid w:val="0033689C"/>
    <w:rsid w:val="00336C0D"/>
    <w:rsid w:val="003377FF"/>
    <w:rsid w:val="0034002A"/>
    <w:rsid w:val="00340165"/>
    <w:rsid w:val="003406C5"/>
    <w:rsid w:val="00340908"/>
    <w:rsid w:val="00340C5E"/>
    <w:rsid w:val="00341056"/>
    <w:rsid w:val="00341305"/>
    <w:rsid w:val="0034191B"/>
    <w:rsid w:val="00341E23"/>
    <w:rsid w:val="003420BE"/>
    <w:rsid w:val="003421E1"/>
    <w:rsid w:val="00342FA0"/>
    <w:rsid w:val="00342FE6"/>
    <w:rsid w:val="00343197"/>
    <w:rsid w:val="0034333B"/>
    <w:rsid w:val="00343B50"/>
    <w:rsid w:val="00344065"/>
    <w:rsid w:val="00344142"/>
    <w:rsid w:val="00344198"/>
    <w:rsid w:val="00344496"/>
    <w:rsid w:val="00344B96"/>
    <w:rsid w:val="00344CB3"/>
    <w:rsid w:val="00344D2B"/>
    <w:rsid w:val="00344EA7"/>
    <w:rsid w:val="00345127"/>
    <w:rsid w:val="0034525E"/>
    <w:rsid w:val="0034565B"/>
    <w:rsid w:val="00345C0F"/>
    <w:rsid w:val="00345CDB"/>
    <w:rsid w:val="00345E1D"/>
    <w:rsid w:val="00345EAC"/>
    <w:rsid w:val="003461D6"/>
    <w:rsid w:val="00346793"/>
    <w:rsid w:val="00346A4F"/>
    <w:rsid w:val="00346CB2"/>
    <w:rsid w:val="00346DCB"/>
    <w:rsid w:val="00347256"/>
    <w:rsid w:val="00347A03"/>
    <w:rsid w:val="00347D69"/>
    <w:rsid w:val="00347E11"/>
    <w:rsid w:val="00351381"/>
    <w:rsid w:val="0035168D"/>
    <w:rsid w:val="00351C46"/>
    <w:rsid w:val="00351E0C"/>
    <w:rsid w:val="003523A7"/>
    <w:rsid w:val="003524A7"/>
    <w:rsid w:val="003524AD"/>
    <w:rsid w:val="00352826"/>
    <w:rsid w:val="00352C51"/>
    <w:rsid w:val="00352C5A"/>
    <w:rsid w:val="00352CA1"/>
    <w:rsid w:val="00353295"/>
    <w:rsid w:val="003532F5"/>
    <w:rsid w:val="00353378"/>
    <w:rsid w:val="00353600"/>
    <w:rsid w:val="00353A45"/>
    <w:rsid w:val="00354013"/>
    <w:rsid w:val="00354336"/>
    <w:rsid w:val="003545B3"/>
    <w:rsid w:val="00354DE4"/>
    <w:rsid w:val="0035523B"/>
    <w:rsid w:val="00355345"/>
    <w:rsid w:val="00355661"/>
    <w:rsid w:val="003556CD"/>
    <w:rsid w:val="00355A65"/>
    <w:rsid w:val="00355B03"/>
    <w:rsid w:val="00355C65"/>
    <w:rsid w:val="00355EE1"/>
    <w:rsid w:val="00356749"/>
    <w:rsid w:val="00356847"/>
    <w:rsid w:val="00356C7C"/>
    <w:rsid w:val="00356E9A"/>
    <w:rsid w:val="003575F8"/>
    <w:rsid w:val="00357710"/>
    <w:rsid w:val="00357821"/>
    <w:rsid w:val="00357C1C"/>
    <w:rsid w:val="00357D2D"/>
    <w:rsid w:val="00357D33"/>
    <w:rsid w:val="00360018"/>
    <w:rsid w:val="00360101"/>
    <w:rsid w:val="00360A8C"/>
    <w:rsid w:val="00360D0C"/>
    <w:rsid w:val="00361070"/>
    <w:rsid w:val="00361761"/>
    <w:rsid w:val="00361DCB"/>
    <w:rsid w:val="0036203A"/>
    <w:rsid w:val="003620EE"/>
    <w:rsid w:val="00362507"/>
    <w:rsid w:val="003626F7"/>
    <w:rsid w:val="00362736"/>
    <w:rsid w:val="00362D7C"/>
    <w:rsid w:val="00363118"/>
    <w:rsid w:val="003638AF"/>
    <w:rsid w:val="00363D37"/>
    <w:rsid w:val="00363E8E"/>
    <w:rsid w:val="00364F9F"/>
    <w:rsid w:val="003650F0"/>
    <w:rsid w:val="0036644E"/>
    <w:rsid w:val="00366C72"/>
    <w:rsid w:val="00366E89"/>
    <w:rsid w:val="003671F8"/>
    <w:rsid w:val="00367244"/>
    <w:rsid w:val="0036763F"/>
    <w:rsid w:val="003677B8"/>
    <w:rsid w:val="00367B2F"/>
    <w:rsid w:val="00367C33"/>
    <w:rsid w:val="00370574"/>
    <w:rsid w:val="003706A2"/>
    <w:rsid w:val="00371056"/>
    <w:rsid w:val="003711E2"/>
    <w:rsid w:val="0037132C"/>
    <w:rsid w:val="00371B7D"/>
    <w:rsid w:val="00371BC4"/>
    <w:rsid w:val="003728E3"/>
    <w:rsid w:val="00372990"/>
    <w:rsid w:val="003730CA"/>
    <w:rsid w:val="00373530"/>
    <w:rsid w:val="0037364E"/>
    <w:rsid w:val="00373693"/>
    <w:rsid w:val="00373963"/>
    <w:rsid w:val="00374C1A"/>
    <w:rsid w:val="00374E0C"/>
    <w:rsid w:val="00375081"/>
    <w:rsid w:val="00375141"/>
    <w:rsid w:val="00375BC3"/>
    <w:rsid w:val="00375EFF"/>
    <w:rsid w:val="003763DC"/>
    <w:rsid w:val="0037645A"/>
    <w:rsid w:val="00376695"/>
    <w:rsid w:val="0037701F"/>
    <w:rsid w:val="00377AAD"/>
    <w:rsid w:val="00377E80"/>
    <w:rsid w:val="00377F1F"/>
    <w:rsid w:val="00380004"/>
    <w:rsid w:val="00380DB6"/>
    <w:rsid w:val="003811B3"/>
    <w:rsid w:val="003812C4"/>
    <w:rsid w:val="003812E1"/>
    <w:rsid w:val="003818FD"/>
    <w:rsid w:val="00381A89"/>
    <w:rsid w:val="00381CFE"/>
    <w:rsid w:val="00381FAA"/>
    <w:rsid w:val="00382166"/>
    <w:rsid w:val="003826BF"/>
    <w:rsid w:val="00382A8A"/>
    <w:rsid w:val="00382E01"/>
    <w:rsid w:val="00382E44"/>
    <w:rsid w:val="003830B2"/>
    <w:rsid w:val="003835A1"/>
    <w:rsid w:val="003837D8"/>
    <w:rsid w:val="00383A34"/>
    <w:rsid w:val="00383C34"/>
    <w:rsid w:val="00384AA4"/>
    <w:rsid w:val="0038505D"/>
    <w:rsid w:val="003854C3"/>
    <w:rsid w:val="00385AB3"/>
    <w:rsid w:val="00385E06"/>
    <w:rsid w:val="00385F0C"/>
    <w:rsid w:val="00386CC9"/>
    <w:rsid w:val="00386D3F"/>
    <w:rsid w:val="00386D67"/>
    <w:rsid w:val="003874BD"/>
    <w:rsid w:val="003877C7"/>
    <w:rsid w:val="00387D64"/>
    <w:rsid w:val="00387F10"/>
    <w:rsid w:val="0039013F"/>
    <w:rsid w:val="00390A02"/>
    <w:rsid w:val="00390A69"/>
    <w:rsid w:val="00390A6C"/>
    <w:rsid w:val="00391373"/>
    <w:rsid w:val="00391707"/>
    <w:rsid w:val="003917D7"/>
    <w:rsid w:val="00391FA5"/>
    <w:rsid w:val="00391FCD"/>
    <w:rsid w:val="003922BE"/>
    <w:rsid w:val="0039245A"/>
    <w:rsid w:val="00392C9E"/>
    <w:rsid w:val="00392D9E"/>
    <w:rsid w:val="0039325C"/>
    <w:rsid w:val="003933D9"/>
    <w:rsid w:val="003937E7"/>
    <w:rsid w:val="00393805"/>
    <w:rsid w:val="00393AAF"/>
    <w:rsid w:val="00393D23"/>
    <w:rsid w:val="00393EC3"/>
    <w:rsid w:val="00394065"/>
    <w:rsid w:val="003940D9"/>
    <w:rsid w:val="00394269"/>
    <w:rsid w:val="0039452F"/>
    <w:rsid w:val="00394DA1"/>
    <w:rsid w:val="003955F1"/>
    <w:rsid w:val="003964A6"/>
    <w:rsid w:val="003968DD"/>
    <w:rsid w:val="003969AD"/>
    <w:rsid w:val="00396A06"/>
    <w:rsid w:val="003979CD"/>
    <w:rsid w:val="00397CAF"/>
    <w:rsid w:val="003A012B"/>
    <w:rsid w:val="003A02A7"/>
    <w:rsid w:val="003A04C9"/>
    <w:rsid w:val="003A1031"/>
    <w:rsid w:val="003A13A4"/>
    <w:rsid w:val="003A16C8"/>
    <w:rsid w:val="003A18CE"/>
    <w:rsid w:val="003A20B0"/>
    <w:rsid w:val="003A23A8"/>
    <w:rsid w:val="003A2629"/>
    <w:rsid w:val="003A2A30"/>
    <w:rsid w:val="003A2C87"/>
    <w:rsid w:val="003A3024"/>
    <w:rsid w:val="003A3122"/>
    <w:rsid w:val="003A3349"/>
    <w:rsid w:val="003A4596"/>
    <w:rsid w:val="003A459F"/>
    <w:rsid w:val="003A4818"/>
    <w:rsid w:val="003A4C16"/>
    <w:rsid w:val="003A5209"/>
    <w:rsid w:val="003A546D"/>
    <w:rsid w:val="003A5702"/>
    <w:rsid w:val="003A575B"/>
    <w:rsid w:val="003A57EC"/>
    <w:rsid w:val="003A5A5B"/>
    <w:rsid w:val="003A6175"/>
    <w:rsid w:val="003A6238"/>
    <w:rsid w:val="003A6A1C"/>
    <w:rsid w:val="003A7002"/>
    <w:rsid w:val="003A7214"/>
    <w:rsid w:val="003B0386"/>
    <w:rsid w:val="003B1115"/>
    <w:rsid w:val="003B1334"/>
    <w:rsid w:val="003B15F3"/>
    <w:rsid w:val="003B1742"/>
    <w:rsid w:val="003B1954"/>
    <w:rsid w:val="003B20F5"/>
    <w:rsid w:val="003B2211"/>
    <w:rsid w:val="003B24CD"/>
    <w:rsid w:val="003B24D8"/>
    <w:rsid w:val="003B3F8F"/>
    <w:rsid w:val="003B4991"/>
    <w:rsid w:val="003B4E4A"/>
    <w:rsid w:val="003B4E8C"/>
    <w:rsid w:val="003B5051"/>
    <w:rsid w:val="003B5121"/>
    <w:rsid w:val="003B62CC"/>
    <w:rsid w:val="003B63B2"/>
    <w:rsid w:val="003B657D"/>
    <w:rsid w:val="003B66D1"/>
    <w:rsid w:val="003B713F"/>
    <w:rsid w:val="003B7300"/>
    <w:rsid w:val="003B789B"/>
    <w:rsid w:val="003C07A5"/>
    <w:rsid w:val="003C11A5"/>
    <w:rsid w:val="003C12D7"/>
    <w:rsid w:val="003C1303"/>
    <w:rsid w:val="003C1603"/>
    <w:rsid w:val="003C16D6"/>
    <w:rsid w:val="003C1DBA"/>
    <w:rsid w:val="003C25F4"/>
    <w:rsid w:val="003C27A9"/>
    <w:rsid w:val="003C31FF"/>
    <w:rsid w:val="003C374B"/>
    <w:rsid w:val="003C3858"/>
    <w:rsid w:val="003C3D79"/>
    <w:rsid w:val="003C3D99"/>
    <w:rsid w:val="003C410D"/>
    <w:rsid w:val="003C466F"/>
    <w:rsid w:val="003C4906"/>
    <w:rsid w:val="003C4A69"/>
    <w:rsid w:val="003C4F9C"/>
    <w:rsid w:val="003C5C3B"/>
    <w:rsid w:val="003C5DF8"/>
    <w:rsid w:val="003C5FD9"/>
    <w:rsid w:val="003C65C5"/>
    <w:rsid w:val="003C67A4"/>
    <w:rsid w:val="003C6908"/>
    <w:rsid w:val="003C6D85"/>
    <w:rsid w:val="003C7128"/>
    <w:rsid w:val="003C717B"/>
    <w:rsid w:val="003C723F"/>
    <w:rsid w:val="003C73C6"/>
    <w:rsid w:val="003C775B"/>
    <w:rsid w:val="003C7BEC"/>
    <w:rsid w:val="003C7E64"/>
    <w:rsid w:val="003D0260"/>
    <w:rsid w:val="003D02FC"/>
    <w:rsid w:val="003D0311"/>
    <w:rsid w:val="003D07E3"/>
    <w:rsid w:val="003D0BFD"/>
    <w:rsid w:val="003D10E6"/>
    <w:rsid w:val="003D1300"/>
    <w:rsid w:val="003D1456"/>
    <w:rsid w:val="003D16AA"/>
    <w:rsid w:val="003D17A3"/>
    <w:rsid w:val="003D1A10"/>
    <w:rsid w:val="003D212B"/>
    <w:rsid w:val="003D216E"/>
    <w:rsid w:val="003D28C3"/>
    <w:rsid w:val="003D2D52"/>
    <w:rsid w:val="003D2D67"/>
    <w:rsid w:val="003D2FB1"/>
    <w:rsid w:val="003D2FEE"/>
    <w:rsid w:val="003D2FFC"/>
    <w:rsid w:val="003D30E8"/>
    <w:rsid w:val="003D351C"/>
    <w:rsid w:val="003D3BA4"/>
    <w:rsid w:val="003D4107"/>
    <w:rsid w:val="003D413A"/>
    <w:rsid w:val="003D45D1"/>
    <w:rsid w:val="003D485A"/>
    <w:rsid w:val="003D4D75"/>
    <w:rsid w:val="003D4E42"/>
    <w:rsid w:val="003D528D"/>
    <w:rsid w:val="003D5394"/>
    <w:rsid w:val="003D5DA5"/>
    <w:rsid w:val="003D609F"/>
    <w:rsid w:val="003D6C04"/>
    <w:rsid w:val="003D6C75"/>
    <w:rsid w:val="003D7314"/>
    <w:rsid w:val="003D761F"/>
    <w:rsid w:val="003D7E55"/>
    <w:rsid w:val="003E021C"/>
    <w:rsid w:val="003E058C"/>
    <w:rsid w:val="003E058F"/>
    <w:rsid w:val="003E0770"/>
    <w:rsid w:val="003E0791"/>
    <w:rsid w:val="003E09EB"/>
    <w:rsid w:val="003E1097"/>
    <w:rsid w:val="003E1099"/>
    <w:rsid w:val="003E118F"/>
    <w:rsid w:val="003E136D"/>
    <w:rsid w:val="003E144B"/>
    <w:rsid w:val="003E1651"/>
    <w:rsid w:val="003E1DF0"/>
    <w:rsid w:val="003E1F83"/>
    <w:rsid w:val="003E20A0"/>
    <w:rsid w:val="003E20F9"/>
    <w:rsid w:val="003E22BD"/>
    <w:rsid w:val="003E2472"/>
    <w:rsid w:val="003E266D"/>
    <w:rsid w:val="003E2770"/>
    <w:rsid w:val="003E2E17"/>
    <w:rsid w:val="003E2E2E"/>
    <w:rsid w:val="003E3A20"/>
    <w:rsid w:val="003E3D78"/>
    <w:rsid w:val="003E3E47"/>
    <w:rsid w:val="003E425D"/>
    <w:rsid w:val="003E4D3D"/>
    <w:rsid w:val="003E50EB"/>
    <w:rsid w:val="003E5A27"/>
    <w:rsid w:val="003E6A63"/>
    <w:rsid w:val="003E6CA5"/>
    <w:rsid w:val="003E6FA3"/>
    <w:rsid w:val="003E77D4"/>
    <w:rsid w:val="003E7A25"/>
    <w:rsid w:val="003E7C59"/>
    <w:rsid w:val="003E7EFB"/>
    <w:rsid w:val="003F03A7"/>
    <w:rsid w:val="003F03C3"/>
    <w:rsid w:val="003F08B3"/>
    <w:rsid w:val="003F0B05"/>
    <w:rsid w:val="003F1A33"/>
    <w:rsid w:val="003F1CDE"/>
    <w:rsid w:val="003F2211"/>
    <w:rsid w:val="003F26CB"/>
    <w:rsid w:val="003F2D69"/>
    <w:rsid w:val="003F32B8"/>
    <w:rsid w:val="003F333B"/>
    <w:rsid w:val="003F34D3"/>
    <w:rsid w:val="003F3680"/>
    <w:rsid w:val="003F37CE"/>
    <w:rsid w:val="003F425E"/>
    <w:rsid w:val="003F4415"/>
    <w:rsid w:val="003F47F8"/>
    <w:rsid w:val="003F496E"/>
    <w:rsid w:val="003F4A15"/>
    <w:rsid w:val="003F4FEA"/>
    <w:rsid w:val="003F53DC"/>
    <w:rsid w:val="003F5489"/>
    <w:rsid w:val="003F5505"/>
    <w:rsid w:val="003F63FC"/>
    <w:rsid w:val="003F6438"/>
    <w:rsid w:val="003F6588"/>
    <w:rsid w:val="003F6642"/>
    <w:rsid w:val="003F699F"/>
    <w:rsid w:val="003F73A2"/>
    <w:rsid w:val="003F75FF"/>
    <w:rsid w:val="003F7B9C"/>
    <w:rsid w:val="003F7F4B"/>
    <w:rsid w:val="004004B5"/>
    <w:rsid w:val="00400565"/>
    <w:rsid w:val="00400B7C"/>
    <w:rsid w:val="00400D04"/>
    <w:rsid w:val="00400E3A"/>
    <w:rsid w:val="00401055"/>
    <w:rsid w:val="00401585"/>
    <w:rsid w:val="004015CA"/>
    <w:rsid w:val="00401E4C"/>
    <w:rsid w:val="00401F6E"/>
    <w:rsid w:val="0040200F"/>
    <w:rsid w:val="00402051"/>
    <w:rsid w:val="00402502"/>
    <w:rsid w:val="004026BA"/>
    <w:rsid w:val="0040290E"/>
    <w:rsid w:val="00402969"/>
    <w:rsid w:val="00402EDB"/>
    <w:rsid w:val="004036E7"/>
    <w:rsid w:val="00403875"/>
    <w:rsid w:val="00403A59"/>
    <w:rsid w:val="00403CAD"/>
    <w:rsid w:val="0040408A"/>
    <w:rsid w:val="004046AF"/>
    <w:rsid w:val="00404738"/>
    <w:rsid w:val="00404A5D"/>
    <w:rsid w:val="00404EFE"/>
    <w:rsid w:val="004050AE"/>
    <w:rsid w:val="00405473"/>
    <w:rsid w:val="004054FC"/>
    <w:rsid w:val="00405AA6"/>
    <w:rsid w:val="00405BA9"/>
    <w:rsid w:val="004061CE"/>
    <w:rsid w:val="00406C98"/>
    <w:rsid w:val="00407025"/>
    <w:rsid w:val="00407091"/>
    <w:rsid w:val="0040755D"/>
    <w:rsid w:val="00407736"/>
    <w:rsid w:val="004078F8"/>
    <w:rsid w:val="00407919"/>
    <w:rsid w:val="00407CCC"/>
    <w:rsid w:val="004103EB"/>
    <w:rsid w:val="004103FE"/>
    <w:rsid w:val="00410904"/>
    <w:rsid w:val="00411428"/>
    <w:rsid w:val="0041193D"/>
    <w:rsid w:val="00411C05"/>
    <w:rsid w:val="00411C99"/>
    <w:rsid w:val="00411E9E"/>
    <w:rsid w:val="0041256E"/>
    <w:rsid w:val="00412A21"/>
    <w:rsid w:val="0041366B"/>
    <w:rsid w:val="004136E7"/>
    <w:rsid w:val="00413722"/>
    <w:rsid w:val="0041374F"/>
    <w:rsid w:val="00413E9B"/>
    <w:rsid w:val="00415338"/>
    <w:rsid w:val="00415A7F"/>
    <w:rsid w:val="00415B9C"/>
    <w:rsid w:val="00415BC7"/>
    <w:rsid w:val="00415C86"/>
    <w:rsid w:val="00415D0C"/>
    <w:rsid w:val="00416473"/>
    <w:rsid w:val="00416C18"/>
    <w:rsid w:val="00416DD2"/>
    <w:rsid w:val="00417038"/>
    <w:rsid w:val="00417478"/>
    <w:rsid w:val="004175B7"/>
    <w:rsid w:val="004178C8"/>
    <w:rsid w:val="00417B74"/>
    <w:rsid w:val="00417C9D"/>
    <w:rsid w:val="00417D34"/>
    <w:rsid w:val="00421239"/>
    <w:rsid w:val="0042127F"/>
    <w:rsid w:val="00421404"/>
    <w:rsid w:val="004218FF"/>
    <w:rsid w:val="00421CAB"/>
    <w:rsid w:val="0042217E"/>
    <w:rsid w:val="004226FB"/>
    <w:rsid w:val="00422AF1"/>
    <w:rsid w:val="004233A6"/>
    <w:rsid w:val="004233B6"/>
    <w:rsid w:val="00423595"/>
    <w:rsid w:val="004235EB"/>
    <w:rsid w:val="0042360F"/>
    <w:rsid w:val="00423902"/>
    <w:rsid w:val="00423A42"/>
    <w:rsid w:val="00423B68"/>
    <w:rsid w:val="00423C9E"/>
    <w:rsid w:val="00423CC2"/>
    <w:rsid w:val="00424071"/>
    <w:rsid w:val="00424791"/>
    <w:rsid w:val="00424914"/>
    <w:rsid w:val="00425058"/>
    <w:rsid w:val="004251DB"/>
    <w:rsid w:val="004252E9"/>
    <w:rsid w:val="00425345"/>
    <w:rsid w:val="004254F6"/>
    <w:rsid w:val="00425502"/>
    <w:rsid w:val="00425596"/>
    <w:rsid w:val="00426B07"/>
    <w:rsid w:val="00426D6A"/>
    <w:rsid w:val="00426EB0"/>
    <w:rsid w:val="004270C5"/>
    <w:rsid w:val="004272E4"/>
    <w:rsid w:val="004276C9"/>
    <w:rsid w:val="00427B4D"/>
    <w:rsid w:val="00427CB9"/>
    <w:rsid w:val="00427DB6"/>
    <w:rsid w:val="00430029"/>
    <w:rsid w:val="00430851"/>
    <w:rsid w:val="00430900"/>
    <w:rsid w:val="00430CD0"/>
    <w:rsid w:val="004316DE"/>
    <w:rsid w:val="0043187D"/>
    <w:rsid w:val="00432427"/>
    <w:rsid w:val="004324E5"/>
    <w:rsid w:val="00432BED"/>
    <w:rsid w:val="00433464"/>
    <w:rsid w:val="00433559"/>
    <w:rsid w:val="0043388A"/>
    <w:rsid w:val="00434BD2"/>
    <w:rsid w:val="00434E33"/>
    <w:rsid w:val="004351D7"/>
    <w:rsid w:val="0043567B"/>
    <w:rsid w:val="004357A9"/>
    <w:rsid w:val="00435FF8"/>
    <w:rsid w:val="0043605A"/>
    <w:rsid w:val="004362C4"/>
    <w:rsid w:val="004363E4"/>
    <w:rsid w:val="00436A94"/>
    <w:rsid w:val="00436CA9"/>
    <w:rsid w:val="00436CC6"/>
    <w:rsid w:val="0043763A"/>
    <w:rsid w:val="0043773C"/>
    <w:rsid w:val="004378A3"/>
    <w:rsid w:val="004401C7"/>
    <w:rsid w:val="004403D1"/>
    <w:rsid w:val="0044074A"/>
    <w:rsid w:val="00440B33"/>
    <w:rsid w:val="00440BCE"/>
    <w:rsid w:val="00440E46"/>
    <w:rsid w:val="004417E0"/>
    <w:rsid w:val="00441A32"/>
    <w:rsid w:val="00441B45"/>
    <w:rsid w:val="00441B9F"/>
    <w:rsid w:val="00441EC7"/>
    <w:rsid w:val="00441F37"/>
    <w:rsid w:val="00442115"/>
    <w:rsid w:val="004425F9"/>
    <w:rsid w:val="00442905"/>
    <w:rsid w:val="004429E4"/>
    <w:rsid w:val="00442F44"/>
    <w:rsid w:val="00443149"/>
    <w:rsid w:val="0044368F"/>
    <w:rsid w:val="0044375D"/>
    <w:rsid w:val="00443D54"/>
    <w:rsid w:val="004441B2"/>
    <w:rsid w:val="00444242"/>
    <w:rsid w:val="00444744"/>
    <w:rsid w:val="00444C7E"/>
    <w:rsid w:val="004456A0"/>
    <w:rsid w:val="004458CC"/>
    <w:rsid w:val="004458D5"/>
    <w:rsid w:val="00445FDA"/>
    <w:rsid w:val="00446A9E"/>
    <w:rsid w:val="00446C9B"/>
    <w:rsid w:val="0044719C"/>
    <w:rsid w:val="00447561"/>
    <w:rsid w:val="004507CC"/>
    <w:rsid w:val="00451033"/>
    <w:rsid w:val="00451099"/>
    <w:rsid w:val="0045109B"/>
    <w:rsid w:val="004510E3"/>
    <w:rsid w:val="0045174B"/>
    <w:rsid w:val="00451DBE"/>
    <w:rsid w:val="00451F66"/>
    <w:rsid w:val="00452133"/>
    <w:rsid w:val="00452500"/>
    <w:rsid w:val="004529CA"/>
    <w:rsid w:val="00453160"/>
    <w:rsid w:val="004534B7"/>
    <w:rsid w:val="00453686"/>
    <w:rsid w:val="00453EDC"/>
    <w:rsid w:val="00454350"/>
    <w:rsid w:val="0045439E"/>
    <w:rsid w:val="00454714"/>
    <w:rsid w:val="004547CE"/>
    <w:rsid w:val="00454B5D"/>
    <w:rsid w:val="004550E4"/>
    <w:rsid w:val="00455D19"/>
    <w:rsid w:val="0045628A"/>
    <w:rsid w:val="00456B8F"/>
    <w:rsid w:val="0045741A"/>
    <w:rsid w:val="0045774C"/>
    <w:rsid w:val="0045778A"/>
    <w:rsid w:val="00457AAD"/>
    <w:rsid w:val="00457D6E"/>
    <w:rsid w:val="004600B5"/>
    <w:rsid w:val="004601D2"/>
    <w:rsid w:val="00460209"/>
    <w:rsid w:val="00460462"/>
    <w:rsid w:val="00460F69"/>
    <w:rsid w:val="004610D8"/>
    <w:rsid w:val="0046140E"/>
    <w:rsid w:val="00461687"/>
    <w:rsid w:val="004620ED"/>
    <w:rsid w:val="00462252"/>
    <w:rsid w:val="004624B9"/>
    <w:rsid w:val="004624D3"/>
    <w:rsid w:val="00462CF6"/>
    <w:rsid w:val="00463022"/>
    <w:rsid w:val="00463071"/>
    <w:rsid w:val="00463551"/>
    <w:rsid w:val="004643C0"/>
    <w:rsid w:val="004644C5"/>
    <w:rsid w:val="00464AB9"/>
    <w:rsid w:val="00464DCC"/>
    <w:rsid w:val="00465039"/>
    <w:rsid w:val="0046533D"/>
    <w:rsid w:val="0046538A"/>
    <w:rsid w:val="00465418"/>
    <w:rsid w:val="004659A0"/>
    <w:rsid w:val="00465A77"/>
    <w:rsid w:val="00465F29"/>
    <w:rsid w:val="004663C2"/>
    <w:rsid w:val="004665B1"/>
    <w:rsid w:val="0046708B"/>
    <w:rsid w:val="004674D7"/>
    <w:rsid w:val="0046752D"/>
    <w:rsid w:val="00467774"/>
    <w:rsid w:val="004700BA"/>
    <w:rsid w:val="00470121"/>
    <w:rsid w:val="004703A6"/>
    <w:rsid w:val="00470700"/>
    <w:rsid w:val="00470904"/>
    <w:rsid w:val="00470910"/>
    <w:rsid w:val="00471060"/>
    <w:rsid w:val="00471132"/>
    <w:rsid w:val="0047152D"/>
    <w:rsid w:val="00471B59"/>
    <w:rsid w:val="00471E56"/>
    <w:rsid w:val="00472092"/>
    <w:rsid w:val="00472619"/>
    <w:rsid w:val="004728B6"/>
    <w:rsid w:val="004729AF"/>
    <w:rsid w:val="00472C88"/>
    <w:rsid w:val="00472F3B"/>
    <w:rsid w:val="00473280"/>
    <w:rsid w:val="0047341A"/>
    <w:rsid w:val="0047375E"/>
    <w:rsid w:val="00474013"/>
    <w:rsid w:val="0047455F"/>
    <w:rsid w:val="00474A4D"/>
    <w:rsid w:val="00474EF3"/>
    <w:rsid w:val="00474F6D"/>
    <w:rsid w:val="004753A7"/>
    <w:rsid w:val="00476AB9"/>
    <w:rsid w:val="00476AE5"/>
    <w:rsid w:val="00477DC9"/>
    <w:rsid w:val="00480737"/>
    <w:rsid w:val="00480893"/>
    <w:rsid w:val="004809C4"/>
    <w:rsid w:val="00480A8D"/>
    <w:rsid w:val="00480ED9"/>
    <w:rsid w:val="00481058"/>
    <w:rsid w:val="00481084"/>
    <w:rsid w:val="0048171E"/>
    <w:rsid w:val="00481769"/>
    <w:rsid w:val="00481E36"/>
    <w:rsid w:val="00482814"/>
    <w:rsid w:val="00482B55"/>
    <w:rsid w:val="00482F44"/>
    <w:rsid w:val="00482FC9"/>
    <w:rsid w:val="00483053"/>
    <w:rsid w:val="004832F2"/>
    <w:rsid w:val="00483E8B"/>
    <w:rsid w:val="004844C2"/>
    <w:rsid w:val="004847FA"/>
    <w:rsid w:val="004848FF"/>
    <w:rsid w:val="00484C53"/>
    <w:rsid w:val="00484CEF"/>
    <w:rsid w:val="00484E86"/>
    <w:rsid w:val="004853F0"/>
    <w:rsid w:val="0048559A"/>
    <w:rsid w:val="0048576F"/>
    <w:rsid w:val="004861DA"/>
    <w:rsid w:val="0048657D"/>
    <w:rsid w:val="00486607"/>
    <w:rsid w:val="00486E7E"/>
    <w:rsid w:val="0048747E"/>
    <w:rsid w:val="0048753D"/>
    <w:rsid w:val="00487604"/>
    <w:rsid w:val="004876D3"/>
    <w:rsid w:val="00487735"/>
    <w:rsid w:val="0048784C"/>
    <w:rsid w:val="00487885"/>
    <w:rsid w:val="00487893"/>
    <w:rsid w:val="004902FB"/>
    <w:rsid w:val="00490643"/>
    <w:rsid w:val="00490829"/>
    <w:rsid w:val="00490A40"/>
    <w:rsid w:val="00491377"/>
    <w:rsid w:val="0049162F"/>
    <w:rsid w:val="004920A1"/>
    <w:rsid w:val="004921CC"/>
    <w:rsid w:val="0049238B"/>
    <w:rsid w:val="004923E7"/>
    <w:rsid w:val="0049240D"/>
    <w:rsid w:val="00492535"/>
    <w:rsid w:val="00492908"/>
    <w:rsid w:val="00492BD3"/>
    <w:rsid w:val="00492E60"/>
    <w:rsid w:val="00493141"/>
    <w:rsid w:val="004941F8"/>
    <w:rsid w:val="00494244"/>
    <w:rsid w:val="004945C0"/>
    <w:rsid w:val="004948B2"/>
    <w:rsid w:val="00495C89"/>
    <w:rsid w:val="00495CCF"/>
    <w:rsid w:val="0049611D"/>
    <w:rsid w:val="0049637C"/>
    <w:rsid w:val="00496556"/>
    <w:rsid w:val="00496ACC"/>
    <w:rsid w:val="00496BB3"/>
    <w:rsid w:val="00496DFF"/>
    <w:rsid w:val="00497869"/>
    <w:rsid w:val="004979D8"/>
    <w:rsid w:val="004A0123"/>
    <w:rsid w:val="004A031D"/>
    <w:rsid w:val="004A04AD"/>
    <w:rsid w:val="004A06AB"/>
    <w:rsid w:val="004A109A"/>
    <w:rsid w:val="004A13B5"/>
    <w:rsid w:val="004A1412"/>
    <w:rsid w:val="004A16B2"/>
    <w:rsid w:val="004A1BDD"/>
    <w:rsid w:val="004A1C39"/>
    <w:rsid w:val="004A1C74"/>
    <w:rsid w:val="004A1C99"/>
    <w:rsid w:val="004A1F1B"/>
    <w:rsid w:val="004A2024"/>
    <w:rsid w:val="004A289E"/>
    <w:rsid w:val="004A2CE0"/>
    <w:rsid w:val="004A3555"/>
    <w:rsid w:val="004A35A0"/>
    <w:rsid w:val="004A3AF7"/>
    <w:rsid w:val="004A3C51"/>
    <w:rsid w:val="004A3E12"/>
    <w:rsid w:val="004A42F6"/>
    <w:rsid w:val="004A499E"/>
    <w:rsid w:val="004A4A09"/>
    <w:rsid w:val="004A571F"/>
    <w:rsid w:val="004A6CE4"/>
    <w:rsid w:val="004A7B1B"/>
    <w:rsid w:val="004B028A"/>
    <w:rsid w:val="004B039B"/>
    <w:rsid w:val="004B07A9"/>
    <w:rsid w:val="004B098F"/>
    <w:rsid w:val="004B0BC7"/>
    <w:rsid w:val="004B13C1"/>
    <w:rsid w:val="004B180F"/>
    <w:rsid w:val="004B199A"/>
    <w:rsid w:val="004B1A0A"/>
    <w:rsid w:val="004B215E"/>
    <w:rsid w:val="004B2181"/>
    <w:rsid w:val="004B26EC"/>
    <w:rsid w:val="004B27F9"/>
    <w:rsid w:val="004B29AE"/>
    <w:rsid w:val="004B29C3"/>
    <w:rsid w:val="004B2A2D"/>
    <w:rsid w:val="004B2DDE"/>
    <w:rsid w:val="004B31F6"/>
    <w:rsid w:val="004B326F"/>
    <w:rsid w:val="004B32D6"/>
    <w:rsid w:val="004B3DC2"/>
    <w:rsid w:val="004B4190"/>
    <w:rsid w:val="004B490E"/>
    <w:rsid w:val="004B4F52"/>
    <w:rsid w:val="004B5250"/>
    <w:rsid w:val="004B5775"/>
    <w:rsid w:val="004B5B12"/>
    <w:rsid w:val="004B5FD2"/>
    <w:rsid w:val="004B616B"/>
    <w:rsid w:val="004B61D2"/>
    <w:rsid w:val="004B620E"/>
    <w:rsid w:val="004B649E"/>
    <w:rsid w:val="004B7502"/>
    <w:rsid w:val="004B75C2"/>
    <w:rsid w:val="004B776C"/>
    <w:rsid w:val="004B7E38"/>
    <w:rsid w:val="004C03EA"/>
    <w:rsid w:val="004C0DBE"/>
    <w:rsid w:val="004C1CEF"/>
    <w:rsid w:val="004C2F42"/>
    <w:rsid w:val="004C315E"/>
    <w:rsid w:val="004C32C7"/>
    <w:rsid w:val="004C3F32"/>
    <w:rsid w:val="004C4130"/>
    <w:rsid w:val="004C4347"/>
    <w:rsid w:val="004C44FE"/>
    <w:rsid w:val="004C4515"/>
    <w:rsid w:val="004C4746"/>
    <w:rsid w:val="004C4EBB"/>
    <w:rsid w:val="004C5105"/>
    <w:rsid w:val="004C5207"/>
    <w:rsid w:val="004C5295"/>
    <w:rsid w:val="004C56D1"/>
    <w:rsid w:val="004C59D4"/>
    <w:rsid w:val="004C5B78"/>
    <w:rsid w:val="004C5C3D"/>
    <w:rsid w:val="004C5C41"/>
    <w:rsid w:val="004C67B4"/>
    <w:rsid w:val="004C6AFD"/>
    <w:rsid w:val="004C7081"/>
    <w:rsid w:val="004C7A99"/>
    <w:rsid w:val="004C7B07"/>
    <w:rsid w:val="004C7BC9"/>
    <w:rsid w:val="004C7E05"/>
    <w:rsid w:val="004C7E22"/>
    <w:rsid w:val="004D0350"/>
    <w:rsid w:val="004D0F7F"/>
    <w:rsid w:val="004D19A7"/>
    <w:rsid w:val="004D1A12"/>
    <w:rsid w:val="004D1C2E"/>
    <w:rsid w:val="004D1D15"/>
    <w:rsid w:val="004D1E41"/>
    <w:rsid w:val="004D1EE3"/>
    <w:rsid w:val="004D230A"/>
    <w:rsid w:val="004D2A54"/>
    <w:rsid w:val="004D303A"/>
    <w:rsid w:val="004D307F"/>
    <w:rsid w:val="004D3479"/>
    <w:rsid w:val="004D3581"/>
    <w:rsid w:val="004D3886"/>
    <w:rsid w:val="004D38AA"/>
    <w:rsid w:val="004D3A66"/>
    <w:rsid w:val="004D4B1D"/>
    <w:rsid w:val="004D4E28"/>
    <w:rsid w:val="004D52DC"/>
    <w:rsid w:val="004D56D1"/>
    <w:rsid w:val="004D59E3"/>
    <w:rsid w:val="004D5EA2"/>
    <w:rsid w:val="004D5EB9"/>
    <w:rsid w:val="004D63F0"/>
    <w:rsid w:val="004D64C9"/>
    <w:rsid w:val="004D6697"/>
    <w:rsid w:val="004D6D79"/>
    <w:rsid w:val="004D70F4"/>
    <w:rsid w:val="004D7577"/>
    <w:rsid w:val="004D75DC"/>
    <w:rsid w:val="004D7C24"/>
    <w:rsid w:val="004E0430"/>
    <w:rsid w:val="004E0C60"/>
    <w:rsid w:val="004E0E89"/>
    <w:rsid w:val="004E11C5"/>
    <w:rsid w:val="004E26F4"/>
    <w:rsid w:val="004E29DB"/>
    <w:rsid w:val="004E2A21"/>
    <w:rsid w:val="004E2E2D"/>
    <w:rsid w:val="004E3AFB"/>
    <w:rsid w:val="004E3CDD"/>
    <w:rsid w:val="004E3F40"/>
    <w:rsid w:val="004E466C"/>
    <w:rsid w:val="004E488A"/>
    <w:rsid w:val="004E48F5"/>
    <w:rsid w:val="004E522B"/>
    <w:rsid w:val="004E568C"/>
    <w:rsid w:val="004E591A"/>
    <w:rsid w:val="004E5988"/>
    <w:rsid w:val="004E78F3"/>
    <w:rsid w:val="004E7C4E"/>
    <w:rsid w:val="004E7DA3"/>
    <w:rsid w:val="004F00C1"/>
    <w:rsid w:val="004F01AE"/>
    <w:rsid w:val="004F059B"/>
    <w:rsid w:val="004F0A7B"/>
    <w:rsid w:val="004F0CFA"/>
    <w:rsid w:val="004F2003"/>
    <w:rsid w:val="004F20F1"/>
    <w:rsid w:val="004F217D"/>
    <w:rsid w:val="004F26BC"/>
    <w:rsid w:val="004F2900"/>
    <w:rsid w:val="004F2A34"/>
    <w:rsid w:val="004F2A40"/>
    <w:rsid w:val="004F2B21"/>
    <w:rsid w:val="004F2CE4"/>
    <w:rsid w:val="004F2CE7"/>
    <w:rsid w:val="004F2FDE"/>
    <w:rsid w:val="004F3168"/>
    <w:rsid w:val="004F3290"/>
    <w:rsid w:val="004F348B"/>
    <w:rsid w:val="004F3532"/>
    <w:rsid w:val="004F4ED3"/>
    <w:rsid w:val="004F51B0"/>
    <w:rsid w:val="004F52A9"/>
    <w:rsid w:val="004F5688"/>
    <w:rsid w:val="004F5A02"/>
    <w:rsid w:val="004F5D8F"/>
    <w:rsid w:val="004F5FD0"/>
    <w:rsid w:val="004F61EE"/>
    <w:rsid w:val="004F6C21"/>
    <w:rsid w:val="004F6E54"/>
    <w:rsid w:val="004F6EB7"/>
    <w:rsid w:val="004F75B7"/>
    <w:rsid w:val="004F76B0"/>
    <w:rsid w:val="004F775F"/>
    <w:rsid w:val="004F7B03"/>
    <w:rsid w:val="004F7EEE"/>
    <w:rsid w:val="00500074"/>
    <w:rsid w:val="005003B8"/>
    <w:rsid w:val="00500B73"/>
    <w:rsid w:val="005011D5"/>
    <w:rsid w:val="005017B8"/>
    <w:rsid w:val="0050192D"/>
    <w:rsid w:val="00501BF5"/>
    <w:rsid w:val="00502501"/>
    <w:rsid w:val="00502844"/>
    <w:rsid w:val="00502D6C"/>
    <w:rsid w:val="0050322A"/>
    <w:rsid w:val="0050376D"/>
    <w:rsid w:val="00504014"/>
    <w:rsid w:val="005040C6"/>
    <w:rsid w:val="00504276"/>
    <w:rsid w:val="00504411"/>
    <w:rsid w:val="005050EA"/>
    <w:rsid w:val="00506023"/>
    <w:rsid w:val="00506706"/>
    <w:rsid w:val="00506848"/>
    <w:rsid w:val="00506B5B"/>
    <w:rsid w:val="00506C4C"/>
    <w:rsid w:val="00507027"/>
    <w:rsid w:val="0050713F"/>
    <w:rsid w:val="005078CB"/>
    <w:rsid w:val="00507964"/>
    <w:rsid w:val="00507AFA"/>
    <w:rsid w:val="00507FA7"/>
    <w:rsid w:val="00510310"/>
    <w:rsid w:val="00510528"/>
    <w:rsid w:val="0051095F"/>
    <w:rsid w:val="00510C7F"/>
    <w:rsid w:val="00510CF2"/>
    <w:rsid w:val="005110B6"/>
    <w:rsid w:val="00511169"/>
    <w:rsid w:val="00511294"/>
    <w:rsid w:val="0051147A"/>
    <w:rsid w:val="00511B1A"/>
    <w:rsid w:val="00511ECD"/>
    <w:rsid w:val="00512166"/>
    <w:rsid w:val="00512298"/>
    <w:rsid w:val="00512447"/>
    <w:rsid w:val="00512476"/>
    <w:rsid w:val="0051260C"/>
    <w:rsid w:val="0051260F"/>
    <w:rsid w:val="00512A49"/>
    <w:rsid w:val="00512B87"/>
    <w:rsid w:val="00512FD8"/>
    <w:rsid w:val="00513223"/>
    <w:rsid w:val="00513386"/>
    <w:rsid w:val="005136BA"/>
    <w:rsid w:val="0051385E"/>
    <w:rsid w:val="00513B51"/>
    <w:rsid w:val="00513C7E"/>
    <w:rsid w:val="00513E38"/>
    <w:rsid w:val="0051432F"/>
    <w:rsid w:val="00514591"/>
    <w:rsid w:val="00514D18"/>
    <w:rsid w:val="00514F5F"/>
    <w:rsid w:val="00515097"/>
    <w:rsid w:val="0051533D"/>
    <w:rsid w:val="00515656"/>
    <w:rsid w:val="00515994"/>
    <w:rsid w:val="00515D6A"/>
    <w:rsid w:val="00515E8A"/>
    <w:rsid w:val="00515FA2"/>
    <w:rsid w:val="0051641A"/>
    <w:rsid w:val="005164A6"/>
    <w:rsid w:val="00516585"/>
    <w:rsid w:val="0051660D"/>
    <w:rsid w:val="00516F5C"/>
    <w:rsid w:val="00516F71"/>
    <w:rsid w:val="00516F95"/>
    <w:rsid w:val="00517348"/>
    <w:rsid w:val="00517397"/>
    <w:rsid w:val="005174B2"/>
    <w:rsid w:val="0051766D"/>
    <w:rsid w:val="005179C7"/>
    <w:rsid w:val="00517C62"/>
    <w:rsid w:val="00517EDA"/>
    <w:rsid w:val="0052041F"/>
    <w:rsid w:val="00520651"/>
    <w:rsid w:val="00520741"/>
    <w:rsid w:val="005208BE"/>
    <w:rsid w:val="005208DA"/>
    <w:rsid w:val="00520977"/>
    <w:rsid w:val="00520A86"/>
    <w:rsid w:val="00520C04"/>
    <w:rsid w:val="00520E0E"/>
    <w:rsid w:val="005213BB"/>
    <w:rsid w:val="00521D8A"/>
    <w:rsid w:val="00522001"/>
    <w:rsid w:val="00522124"/>
    <w:rsid w:val="00522307"/>
    <w:rsid w:val="00522925"/>
    <w:rsid w:val="0052299D"/>
    <w:rsid w:val="00522A82"/>
    <w:rsid w:val="00522CAB"/>
    <w:rsid w:val="00522EDC"/>
    <w:rsid w:val="00523182"/>
    <w:rsid w:val="005232BB"/>
    <w:rsid w:val="00523345"/>
    <w:rsid w:val="0052339B"/>
    <w:rsid w:val="00523572"/>
    <w:rsid w:val="00523CD6"/>
    <w:rsid w:val="00523FD8"/>
    <w:rsid w:val="00524681"/>
    <w:rsid w:val="005246BC"/>
    <w:rsid w:val="0052495F"/>
    <w:rsid w:val="00524C63"/>
    <w:rsid w:val="00524D5D"/>
    <w:rsid w:val="00525864"/>
    <w:rsid w:val="00525DC4"/>
    <w:rsid w:val="005268C9"/>
    <w:rsid w:val="0052741E"/>
    <w:rsid w:val="00527548"/>
    <w:rsid w:val="005277D2"/>
    <w:rsid w:val="0052793C"/>
    <w:rsid w:val="00527E6E"/>
    <w:rsid w:val="00527F5C"/>
    <w:rsid w:val="0053018C"/>
    <w:rsid w:val="00530894"/>
    <w:rsid w:val="0053105D"/>
    <w:rsid w:val="00531072"/>
    <w:rsid w:val="00531089"/>
    <w:rsid w:val="00531DAE"/>
    <w:rsid w:val="00531DDC"/>
    <w:rsid w:val="00532EAC"/>
    <w:rsid w:val="00532F0F"/>
    <w:rsid w:val="005333B4"/>
    <w:rsid w:val="00534142"/>
    <w:rsid w:val="00534289"/>
    <w:rsid w:val="005342E7"/>
    <w:rsid w:val="00534394"/>
    <w:rsid w:val="00534982"/>
    <w:rsid w:val="005349EF"/>
    <w:rsid w:val="00534DA3"/>
    <w:rsid w:val="00534F86"/>
    <w:rsid w:val="0053503E"/>
    <w:rsid w:val="00535427"/>
    <w:rsid w:val="00535E18"/>
    <w:rsid w:val="0053619F"/>
    <w:rsid w:val="00536618"/>
    <w:rsid w:val="00537035"/>
    <w:rsid w:val="00537C5D"/>
    <w:rsid w:val="00540024"/>
    <w:rsid w:val="0054010B"/>
    <w:rsid w:val="00540225"/>
    <w:rsid w:val="005402EC"/>
    <w:rsid w:val="00540643"/>
    <w:rsid w:val="00540FC2"/>
    <w:rsid w:val="0054111A"/>
    <w:rsid w:val="00541B50"/>
    <w:rsid w:val="005425F5"/>
    <w:rsid w:val="00542847"/>
    <w:rsid w:val="00542E6D"/>
    <w:rsid w:val="00543668"/>
    <w:rsid w:val="00543EBD"/>
    <w:rsid w:val="00544237"/>
    <w:rsid w:val="00544321"/>
    <w:rsid w:val="005447C2"/>
    <w:rsid w:val="00544AD6"/>
    <w:rsid w:val="00545018"/>
    <w:rsid w:val="00545233"/>
    <w:rsid w:val="00545E9C"/>
    <w:rsid w:val="00546207"/>
    <w:rsid w:val="00546345"/>
    <w:rsid w:val="0054655C"/>
    <w:rsid w:val="0054677A"/>
    <w:rsid w:val="00546B53"/>
    <w:rsid w:val="0054716C"/>
    <w:rsid w:val="005471CA"/>
    <w:rsid w:val="00547987"/>
    <w:rsid w:val="00547A74"/>
    <w:rsid w:val="0055010D"/>
    <w:rsid w:val="0055024F"/>
    <w:rsid w:val="0055054D"/>
    <w:rsid w:val="00550DB4"/>
    <w:rsid w:val="00550FD6"/>
    <w:rsid w:val="00551154"/>
    <w:rsid w:val="00551651"/>
    <w:rsid w:val="00551C00"/>
    <w:rsid w:val="00551F12"/>
    <w:rsid w:val="005524E5"/>
    <w:rsid w:val="005526E0"/>
    <w:rsid w:val="00552CCB"/>
    <w:rsid w:val="0055327D"/>
    <w:rsid w:val="0055343D"/>
    <w:rsid w:val="00553CD4"/>
    <w:rsid w:val="00554A92"/>
    <w:rsid w:val="005557E7"/>
    <w:rsid w:val="00555AB2"/>
    <w:rsid w:val="00556390"/>
    <w:rsid w:val="00556635"/>
    <w:rsid w:val="00556A4E"/>
    <w:rsid w:val="00556C9C"/>
    <w:rsid w:val="00557175"/>
    <w:rsid w:val="005572DF"/>
    <w:rsid w:val="00557801"/>
    <w:rsid w:val="0055785A"/>
    <w:rsid w:val="00557F23"/>
    <w:rsid w:val="00560062"/>
    <w:rsid w:val="005608D9"/>
    <w:rsid w:val="00560B5B"/>
    <w:rsid w:val="00560D47"/>
    <w:rsid w:val="005612F9"/>
    <w:rsid w:val="0056194B"/>
    <w:rsid w:val="00561B46"/>
    <w:rsid w:val="00561B9D"/>
    <w:rsid w:val="00561C3D"/>
    <w:rsid w:val="00562157"/>
    <w:rsid w:val="00562788"/>
    <w:rsid w:val="0056295B"/>
    <w:rsid w:val="00562BCD"/>
    <w:rsid w:val="00562DA8"/>
    <w:rsid w:val="00562F8E"/>
    <w:rsid w:val="005632EB"/>
    <w:rsid w:val="00563BDB"/>
    <w:rsid w:val="0056401C"/>
    <w:rsid w:val="005642DC"/>
    <w:rsid w:val="005643B6"/>
    <w:rsid w:val="0056477E"/>
    <w:rsid w:val="00564924"/>
    <w:rsid w:val="00564C43"/>
    <w:rsid w:val="00564CCF"/>
    <w:rsid w:val="00565213"/>
    <w:rsid w:val="00565514"/>
    <w:rsid w:val="005656B4"/>
    <w:rsid w:val="0056570D"/>
    <w:rsid w:val="00565865"/>
    <w:rsid w:val="00565E2D"/>
    <w:rsid w:val="00566562"/>
    <w:rsid w:val="0056675E"/>
    <w:rsid w:val="00566A9F"/>
    <w:rsid w:val="00566D5B"/>
    <w:rsid w:val="00566F00"/>
    <w:rsid w:val="00566FEA"/>
    <w:rsid w:val="005675E5"/>
    <w:rsid w:val="0057028E"/>
    <w:rsid w:val="00570579"/>
    <w:rsid w:val="00570957"/>
    <w:rsid w:val="00570C1F"/>
    <w:rsid w:val="00570DE1"/>
    <w:rsid w:val="00570E17"/>
    <w:rsid w:val="00571616"/>
    <w:rsid w:val="00571640"/>
    <w:rsid w:val="0057164F"/>
    <w:rsid w:val="005716CB"/>
    <w:rsid w:val="00571C2D"/>
    <w:rsid w:val="00571C94"/>
    <w:rsid w:val="00571E72"/>
    <w:rsid w:val="005722E5"/>
    <w:rsid w:val="005723CE"/>
    <w:rsid w:val="0057249F"/>
    <w:rsid w:val="0057263E"/>
    <w:rsid w:val="00572867"/>
    <w:rsid w:val="00573144"/>
    <w:rsid w:val="0057325C"/>
    <w:rsid w:val="005738D8"/>
    <w:rsid w:val="0057394E"/>
    <w:rsid w:val="005742FF"/>
    <w:rsid w:val="0057454F"/>
    <w:rsid w:val="005748B4"/>
    <w:rsid w:val="00574C36"/>
    <w:rsid w:val="00574CAF"/>
    <w:rsid w:val="00574F51"/>
    <w:rsid w:val="005756C5"/>
    <w:rsid w:val="0057582F"/>
    <w:rsid w:val="00576322"/>
    <w:rsid w:val="00577405"/>
    <w:rsid w:val="005774CE"/>
    <w:rsid w:val="00577A1A"/>
    <w:rsid w:val="00577DB7"/>
    <w:rsid w:val="00577F05"/>
    <w:rsid w:val="00577FB1"/>
    <w:rsid w:val="005802BC"/>
    <w:rsid w:val="0058058B"/>
    <w:rsid w:val="00580699"/>
    <w:rsid w:val="00580C23"/>
    <w:rsid w:val="005810A6"/>
    <w:rsid w:val="00581548"/>
    <w:rsid w:val="00581808"/>
    <w:rsid w:val="00581DB9"/>
    <w:rsid w:val="00581F27"/>
    <w:rsid w:val="005827C6"/>
    <w:rsid w:val="005829F2"/>
    <w:rsid w:val="005832A5"/>
    <w:rsid w:val="005832E6"/>
    <w:rsid w:val="00583A71"/>
    <w:rsid w:val="00583AEE"/>
    <w:rsid w:val="00583BC5"/>
    <w:rsid w:val="00583D79"/>
    <w:rsid w:val="0058400C"/>
    <w:rsid w:val="0058444C"/>
    <w:rsid w:val="00584550"/>
    <w:rsid w:val="00584BF6"/>
    <w:rsid w:val="00584D96"/>
    <w:rsid w:val="00585368"/>
    <w:rsid w:val="00585990"/>
    <w:rsid w:val="005860A3"/>
    <w:rsid w:val="00586271"/>
    <w:rsid w:val="00586D3B"/>
    <w:rsid w:val="00586D8C"/>
    <w:rsid w:val="00587080"/>
    <w:rsid w:val="00587893"/>
    <w:rsid w:val="00587BDA"/>
    <w:rsid w:val="00587CD1"/>
    <w:rsid w:val="00587F56"/>
    <w:rsid w:val="0059025C"/>
    <w:rsid w:val="00591077"/>
    <w:rsid w:val="005911B6"/>
    <w:rsid w:val="00591268"/>
    <w:rsid w:val="005914A8"/>
    <w:rsid w:val="00591524"/>
    <w:rsid w:val="00591617"/>
    <w:rsid w:val="0059178F"/>
    <w:rsid w:val="005918BF"/>
    <w:rsid w:val="00591BC8"/>
    <w:rsid w:val="00591CFE"/>
    <w:rsid w:val="005920CC"/>
    <w:rsid w:val="00592D1D"/>
    <w:rsid w:val="00593792"/>
    <w:rsid w:val="00593A05"/>
    <w:rsid w:val="00593AEE"/>
    <w:rsid w:val="00593F64"/>
    <w:rsid w:val="00594A5E"/>
    <w:rsid w:val="00595593"/>
    <w:rsid w:val="005961A6"/>
    <w:rsid w:val="00596661"/>
    <w:rsid w:val="00596ABE"/>
    <w:rsid w:val="00596EBF"/>
    <w:rsid w:val="005972B8"/>
    <w:rsid w:val="00597C67"/>
    <w:rsid w:val="005A0376"/>
    <w:rsid w:val="005A06D8"/>
    <w:rsid w:val="005A0A11"/>
    <w:rsid w:val="005A14E6"/>
    <w:rsid w:val="005A167A"/>
    <w:rsid w:val="005A16C6"/>
    <w:rsid w:val="005A17C1"/>
    <w:rsid w:val="005A1801"/>
    <w:rsid w:val="005A1FE6"/>
    <w:rsid w:val="005A2071"/>
    <w:rsid w:val="005A23D8"/>
    <w:rsid w:val="005A2A31"/>
    <w:rsid w:val="005A2FDF"/>
    <w:rsid w:val="005A34E7"/>
    <w:rsid w:val="005A35AC"/>
    <w:rsid w:val="005A3C56"/>
    <w:rsid w:val="005A3D9F"/>
    <w:rsid w:val="005A3FB7"/>
    <w:rsid w:val="005A3FDA"/>
    <w:rsid w:val="005A40F1"/>
    <w:rsid w:val="005A4A98"/>
    <w:rsid w:val="005A4BCB"/>
    <w:rsid w:val="005A4DCF"/>
    <w:rsid w:val="005A52FC"/>
    <w:rsid w:val="005A66B8"/>
    <w:rsid w:val="005A6997"/>
    <w:rsid w:val="005A6BC9"/>
    <w:rsid w:val="005A6E13"/>
    <w:rsid w:val="005A6FC3"/>
    <w:rsid w:val="005A72C2"/>
    <w:rsid w:val="005A73A0"/>
    <w:rsid w:val="005A78DE"/>
    <w:rsid w:val="005A7B98"/>
    <w:rsid w:val="005A7C86"/>
    <w:rsid w:val="005A7E0C"/>
    <w:rsid w:val="005A7E8F"/>
    <w:rsid w:val="005B0256"/>
    <w:rsid w:val="005B02C3"/>
    <w:rsid w:val="005B0309"/>
    <w:rsid w:val="005B0801"/>
    <w:rsid w:val="005B0897"/>
    <w:rsid w:val="005B12C7"/>
    <w:rsid w:val="005B12E6"/>
    <w:rsid w:val="005B152F"/>
    <w:rsid w:val="005B179E"/>
    <w:rsid w:val="005B1A04"/>
    <w:rsid w:val="005B1AC2"/>
    <w:rsid w:val="005B1C11"/>
    <w:rsid w:val="005B1DEA"/>
    <w:rsid w:val="005B20DC"/>
    <w:rsid w:val="005B2A78"/>
    <w:rsid w:val="005B2DCE"/>
    <w:rsid w:val="005B2DD2"/>
    <w:rsid w:val="005B3425"/>
    <w:rsid w:val="005B3497"/>
    <w:rsid w:val="005B36D9"/>
    <w:rsid w:val="005B37C1"/>
    <w:rsid w:val="005B3807"/>
    <w:rsid w:val="005B3A69"/>
    <w:rsid w:val="005B3AF4"/>
    <w:rsid w:val="005B3B79"/>
    <w:rsid w:val="005B448D"/>
    <w:rsid w:val="005B47C5"/>
    <w:rsid w:val="005B4ACB"/>
    <w:rsid w:val="005B4BE6"/>
    <w:rsid w:val="005B5218"/>
    <w:rsid w:val="005B5272"/>
    <w:rsid w:val="005B5332"/>
    <w:rsid w:val="005B5503"/>
    <w:rsid w:val="005B5B6A"/>
    <w:rsid w:val="005B5BD0"/>
    <w:rsid w:val="005B62DD"/>
    <w:rsid w:val="005B6D88"/>
    <w:rsid w:val="005B74B2"/>
    <w:rsid w:val="005B77FB"/>
    <w:rsid w:val="005B7893"/>
    <w:rsid w:val="005C0016"/>
    <w:rsid w:val="005C0B69"/>
    <w:rsid w:val="005C0E26"/>
    <w:rsid w:val="005C118D"/>
    <w:rsid w:val="005C1255"/>
    <w:rsid w:val="005C18FA"/>
    <w:rsid w:val="005C1B12"/>
    <w:rsid w:val="005C202A"/>
    <w:rsid w:val="005C278A"/>
    <w:rsid w:val="005C33D5"/>
    <w:rsid w:val="005C38B6"/>
    <w:rsid w:val="005C3ADB"/>
    <w:rsid w:val="005C3E34"/>
    <w:rsid w:val="005C414D"/>
    <w:rsid w:val="005C4263"/>
    <w:rsid w:val="005C48B5"/>
    <w:rsid w:val="005C4978"/>
    <w:rsid w:val="005C49E4"/>
    <w:rsid w:val="005C5284"/>
    <w:rsid w:val="005C560F"/>
    <w:rsid w:val="005C60CA"/>
    <w:rsid w:val="005C62A8"/>
    <w:rsid w:val="005C6670"/>
    <w:rsid w:val="005C6F1E"/>
    <w:rsid w:val="005C6FBF"/>
    <w:rsid w:val="005C70DC"/>
    <w:rsid w:val="005C71FE"/>
    <w:rsid w:val="005C78E5"/>
    <w:rsid w:val="005C7966"/>
    <w:rsid w:val="005C7B45"/>
    <w:rsid w:val="005C7E1F"/>
    <w:rsid w:val="005D0221"/>
    <w:rsid w:val="005D02B7"/>
    <w:rsid w:val="005D0464"/>
    <w:rsid w:val="005D057A"/>
    <w:rsid w:val="005D07A8"/>
    <w:rsid w:val="005D0E03"/>
    <w:rsid w:val="005D16F5"/>
    <w:rsid w:val="005D1D89"/>
    <w:rsid w:val="005D2430"/>
    <w:rsid w:val="005D25F5"/>
    <w:rsid w:val="005D2984"/>
    <w:rsid w:val="005D2AB9"/>
    <w:rsid w:val="005D2D49"/>
    <w:rsid w:val="005D3BAA"/>
    <w:rsid w:val="005D3E6C"/>
    <w:rsid w:val="005D4CA9"/>
    <w:rsid w:val="005D4E48"/>
    <w:rsid w:val="005D4EAE"/>
    <w:rsid w:val="005D5001"/>
    <w:rsid w:val="005D52C9"/>
    <w:rsid w:val="005D530A"/>
    <w:rsid w:val="005D5363"/>
    <w:rsid w:val="005D5B73"/>
    <w:rsid w:val="005D5BCD"/>
    <w:rsid w:val="005D5BF5"/>
    <w:rsid w:val="005D6365"/>
    <w:rsid w:val="005D6839"/>
    <w:rsid w:val="005D6924"/>
    <w:rsid w:val="005D69C4"/>
    <w:rsid w:val="005D6D53"/>
    <w:rsid w:val="005D6D89"/>
    <w:rsid w:val="005D6DAA"/>
    <w:rsid w:val="005D6E08"/>
    <w:rsid w:val="005D72F9"/>
    <w:rsid w:val="005D7315"/>
    <w:rsid w:val="005D75B9"/>
    <w:rsid w:val="005D774A"/>
    <w:rsid w:val="005D78C4"/>
    <w:rsid w:val="005E0720"/>
    <w:rsid w:val="005E0B35"/>
    <w:rsid w:val="005E0BA3"/>
    <w:rsid w:val="005E13D3"/>
    <w:rsid w:val="005E14BE"/>
    <w:rsid w:val="005E1A4B"/>
    <w:rsid w:val="005E1EA6"/>
    <w:rsid w:val="005E1F53"/>
    <w:rsid w:val="005E2005"/>
    <w:rsid w:val="005E27F3"/>
    <w:rsid w:val="005E2B1A"/>
    <w:rsid w:val="005E3046"/>
    <w:rsid w:val="005E309C"/>
    <w:rsid w:val="005E3794"/>
    <w:rsid w:val="005E3EE2"/>
    <w:rsid w:val="005E447E"/>
    <w:rsid w:val="005E46EE"/>
    <w:rsid w:val="005E52A5"/>
    <w:rsid w:val="005E5688"/>
    <w:rsid w:val="005E5885"/>
    <w:rsid w:val="005E5D40"/>
    <w:rsid w:val="005E5D66"/>
    <w:rsid w:val="005E5D9E"/>
    <w:rsid w:val="005E5EC7"/>
    <w:rsid w:val="005E5F9B"/>
    <w:rsid w:val="005E61E1"/>
    <w:rsid w:val="005E68D9"/>
    <w:rsid w:val="005E6B71"/>
    <w:rsid w:val="005E6DC9"/>
    <w:rsid w:val="005E713A"/>
    <w:rsid w:val="005E74AF"/>
    <w:rsid w:val="005E77C9"/>
    <w:rsid w:val="005E7C50"/>
    <w:rsid w:val="005E7D25"/>
    <w:rsid w:val="005F01C1"/>
    <w:rsid w:val="005F031E"/>
    <w:rsid w:val="005F0B11"/>
    <w:rsid w:val="005F0B89"/>
    <w:rsid w:val="005F0D4A"/>
    <w:rsid w:val="005F1626"/>
    <w:rsid w:val="005F19E1"/>
    <w:rsid w:val="005F1AA4"/>
    <w:rsid w:val="005F1E0D"/>
    <w:rsid w:val="005F20C5"/>
    <w:rsid w:val="005F2161"/>
    <w:rsid w:val="005F21DB"/>
    <w:rsid w:val="005F2D50"/>
    <w:rsid w:val="005F2E37"/>
    <w:rsid w:val="005F2FC6"/>
    <w:rsid w:val="005F3101"/>
    <w:rsid w:val="005F316A"/>
    <w:rsid w:val="005F3377"/>
    <w:rsid w:val="005F3480"/>
    <w:rsid w:val="005F376C"/>
    <w:rsid w:val="005F43D5"/>
    <w:rsid w:val="005F45F6"/>
    <w:rsid w:val="005F4CCC"/>
    <w:rsid w:val="005F4D73"/>
    <w:rsid w:val="005F4E66"/>
    <w:rsid w:val="005F517F"/>
    <w:rsid w:val="005F51A4"/>
    <w:rsid w:val="005F547A"/>
    <w:rsid w:val="005F5ACC"/>
    <w:rsid w:val="005F6331"/>
    <w:rsid w:val="005F6897"/>
    <w:rsid w:val="005F6932"/>
    <w:rsid w:val="005F694C"/>
    <w:rsid w:val="005F742E"/>
    <w:rsid w:val="005F7477"/>
    <w:rsid w:val="005F755D"/>
    <w:rsid w:val="005F76E5"/>
    <w:rsid w:val="005F7A4B"/>
    <w:rsid w:val="0060044A"/>
    <w:rsid w:val="0060047E"/>
    <w:rsid w:val="00600723"/>
    <w:rsid w:val="0060121E"/>
    <w:rsid w:val="006013CB"/>
    <w:rsid w:val="00601F55"/>
    <w:rsid w:val="00602FEE"/>
    <w:rsid w:val="00603142"/>
    <w:rsid w:val="006034A6"/>
    <w:rsid w:val="00603831"/>
    <w:rsid w:val="00603A1E"/>
    <w:rsid w:val="00603D71"/>
    <w:rsid w:val="006041CC"/>
    <w:rsid w:val="00604367"/>
    <w:rsid w:val="00604553"/>
    <w:rsid w:val="0060503A"/>
    <w:rsid w:val="00605355"/>
    <w:rsid w:val="006053F9"/>
    <w:rsid w:val="006055AE"/>
    <w:rsid w:val="0060595C"/>
    <w:rsid w:val="00605BD5"/>
    <w:rsid w:val="00605E19"/>
    <w:rsid w:val="0060602F"/>
    <w:rsid w:val="00606E4E"/>
    <w:rsid w:val="00607904"/>
    <w:rsid w:val="0061064D"/>
    <w:rsid w:val="006106FF"/>
    <w:rsid w:val="006112ED"/>
    <w:rsid w:val="006115D9"/>
    <w:rsid w:val="006117D8"/>
    <w:rsid w:val="0061188A"/>
    <w:rsid w:val="00611938"/>
    <w:rsid w:val="00611973"/>
    <w:rsid w:val="00611A7F"/>
    <w:rsid w:val="00611CF0"/>
    <w:rsid w:val="006126EF"/>
    <w:rsid w:val="00612A2B"/>
    <w:rsid w:val="006136ED"/>
    <w:rsid w:val="0061390B"/>
    <w:rsid w:val="00613966"/>
    <w:rsid w:val="00613DE3"/>
    <w:rsid w:val="00614581"/>
    <w:rsid w:val="006147CA"/>
    <w:rsid w:val="00614CD9"/>
    <w:rsid w:val="00615047"/>
    <w:rsid w:val="00615583"/>
    <w:rsid w:val="006158F1"/>
    <w:rsid w:val="00615986"/>
    <w:rsid w:val="006159F1"/>
    <w:rsid w:val="00615CB7"/>
    <w:rsid w:val="006161D0"/>
    <w:rsid w:val="0061637B"/>
    <w:rsid w:val="006165D6"/>
    <w:rsid w:val="006166A0"/>
    <w:rsid w:val="00616A66"/>
    <w:rsid w:val="00616B8C"/>
    <w:rsid w:val="00616C6D"/>
    <w:rsid w:val="00617197"/>
    <w:rsid w:val="006172BE"/>
    <w:rsid w:val="00617369"/>
    <w:rsid w:val="006173FD"/>
    <w:rsid w:val="006176EC"/>
    <w:rsid w:val="006177D3"/>
    <w:rsid w:val="006200DE"/>
    <w:rsid w:val="0062020A"/>
    <w:rsid w:val="006204E3"/>
    <w:rsid w:val="00620536"/>
    <w:rsid w:val="00620607"/>
    <w:rsid w:val="00620736"/>
    <w:rsid w:val="00620C97"/>
    <w:rsid w:val="00620F3F"/>
    <w:rsid w:val="00621244"/>
    <w:rsid w:val="00621277"/>
    <w:rsid w:val="00621C27"/>
    <w:rsid w:val="00622861"/>
    <w:rsid w:val="006229DE"/>
    <w:rsid w:val="00622AFC"/>
    <w:rsid w:val="00623441"/>
    <w:rsid w:val="00623816"/>
    <w:rsid w:val="00623C75"/>
    <w:rsid w:val="00623CFD"/>
    <w:rsid w:val="00623D46"/>
    <w:rsid w:val="006242DF"/>
    <w:rsid w:val="00624344"/>
    <w:rsid w:val="006243B5"/>
    <w:rsid w:val="0062454C"/>
    <w:rsid w:val="0062455C"/>
    <w:rsid w:val="00624624"/>
    <w:rsid w:val="006246B0"/>
    <w:rsid w:val="006247A0"/>
    <w:rsid w:val="00624868"/>
    <w:rsid w:val="0062495C"/>
    <w:rsid w:val="00625226"/>
    <w:rsid w:val="006258F8"/>
    <w:rsid w:val="00625F4E"/>
    <w:rsid w:val="006262AB"/>
    <w:rsid w:val="006268DF"/>
    <w:rsid w:val="00626B61"/>
    <w:rsid w:val="00626F10"/>
    <w:rsid w:val="00626F8D"/>
    <w:rsid w:val="00626FCB"/>
    <w:rsid w:val="00626FDB"/>
    <w:rsid w:val="00627035"/>
    <w:rsid w:val="006272CE"/>
    <w:rsid w:val="006275EE"/>
    <w:rsid w:val="00630102"/>
    <w:rsid w:val="006301EA"/>
    <w:rsid w:val="00630427"/>
    <w:rsid w:val="00630928"/>
    <w:rsid w:val="00630B12"/>
    <w:rsid w:val="0063129D"/>
    <w:rsid w:val="00631387"/>
    <w:rsid w:val="00631A31"/>
    <w:rsid w:val="00631A6E"/>
    <w:rsid w:val="00632235"/>
    <w:rsid w:val="006325B5"/>
    <w:rsid w:val="006325EA"/>
    <w:rsid w:val="00632738"/>
    <w:rsid w:val="006327A8"/>
    <w:rsid w:val="0063292B"/>
    <w:rsid w:val="00632A11"/>
    <w:rsid w:val="00632CC0"/>
    <w:rsid w:val="00633052"/>
    <w:rsid w:val="0063344B"/>
    <w:rsid w:val="00633494"/>
    <w:rsid w:val="006336EF"/>
    <w:rsid w:val="006339F4"/>
    <w:rsid w:val="00633E96"/>
    <w:rsid w:val="00634710"/>
    <w:rsid w:val="00634A0C"/>
    <w:rsid w:val="00634B7D"/>
    <w:rsid w:val="006358CA"/>
    <w:rsid w:val="00635C72"/>
    <w:rsid w:val="00636002"/>
    <w:rsid w:val="00636087"/>
    <w:rsid w:val="00637341"/>
    <w:rsid w:val="00637509"/>
    <w:rsid w:val="006378C5"/>
    <w:rsid w:val="00640207"/>
    <w:rsid w:val="00640892"/>
    <w:rsid w:val="00640CEF"/>
    <w:rsid w:val="00641093"/>
    <w:rsid w:val="00641C63"/>
    <w:rsid w:val="00641E87"/>
    <w:rsid w:val="00642134"/>
    <w:rsid w:val="00642B24"/>
    <w:rsid w:val="00642E51"/>
    <w:rsid w:val="00642ECE"/>
    <w:rsid w:val="00643108"/>
    <w:rsid w:val="00643196"/>
    <w:rsid w:val="00643320"/>
    <w:rsid w:val="00643522"/>
    <w:rsid w:val="00643C0A"/>
    <w:rsid w:val="006445BD"/>
    <w:rsid w:val="00644A3B"/>
    <w:rsid w:val="00644EC2"/>
    <w:rsid w:val="00645167"/>
    <w:rsid w:val="00645192"/>
    <w:rsid w:val="006456C5"/>
    <w:rsid w:val="00645B84"/>
    <w:rsid w:val="00645FBC"/>
    <w:rsid w:val="006468F6"/>
    <w:rsid w:val="00646ADA"/>
    <w:rsid w:val="00646D91"/>
    <w:rsid w:val="00646F0F"/>
    <w:rsid w:val="0064737F"/>
    <w:rsid w:val="006473B1"/>
    <w:rsid w:val="006473B7"/>
    <w:rsid w:val="00647556"/>
    <w:rsid w:val="0064768A"/>
    <w:rsid w:val="0064771E"/>
    <w:rsid w:val="00647795"/>
    <w:rsid w:val="006478C5"/>
    <w:rsid w:val="0064790A"/>
    <w:rsid w:val="00647D6C"/>
    <w:rsid w:val="006505A1"/>
    <w:rsid w:val="00650A52"/>
    <w:rsid w:val="00650A9B"/>
    <w:rsid w:val="0065113D"/>
    <w:rsid w:val="00651607"/>
    <w:rsid w:val="00651960"/>
    <w:rsid w:val="006519E7"/>
    <w:rsid w:val="0065273D"/>
    <w:rsid w:val="00652DC6"/>
    <w:rsid w:val="006531D3"/>
    <w:rsid w:val="00653527"/>
    <w:rsid w:val="0065373B"/>
    <w:rsid w:val="006539A7"/>
    <w:rsid w:val="00654728"/>
    <w:rsid w:val="00654E9F"/>
    <w:rsid w:val="00655422"/>
    <w:rsid w:val="006559D7"/>
    <w:rsid w:val="00655CCD"/>
    <w:rsid w:val="0065655C"/>
    <w:rsid w:val="00656C3E"/>
    <w:rsid w:val="00656D90"/>
    <w:rsid w:val="00656E2D"/>
    <w:rsid w:val="006576BB"/>
    <w:rsid w:val="00657777"/>
    <w:rsid w:val="0065791B"/>
    <w:rsid w:val="00657A7E"/>
    <w:rsid w:val="006601D8"/>
    <w:rsid w:val="00660593"/>
    <w:rsid w:val="00660D41"/>
    <w:rsid w:val="006611FB"/>
    <w:rsid w:val="00661284"/>
    <w:rsid w:val="006619B8"/>
    <w:rsid w:val="0066200B"/>
    <w:rsid w:val="00662043"/>
    <w:rsid w:val="00662241"/>
    <w:rsid w:val="00662363"/>
    <w:rsid w:val="0066260F"/>
    <w:rsid w:val="00662B02"/>
    <w:rsid w:val="00662B4A"/>
    <w:rsid w:val="00662D7D"/>
    <w:rsid w:val="00662E3D"/>
    <w:rsid w:val="00663031"/>
    <w:rsid w:val="006636C6"/>
    <w:rsid w:val="00663BAA"/>
    <w:rsid w:val="00663ECD"/>
    <w:rsid w:val="0066459F"/>
    <w:rsid w:val="006647E1"/>
    <w:rsid w:val="00665CA8"/>
    <w:rsid w:val="00666113"/>
    <w:rsid w:val="006664A6"/>
    <w:rsid w:val="006666BE"/>
    <w:rsid w:val="00666799"/>
    <w:rsid w:val="00666E5F"/>
    <w:rsid w:val="00666ED6"/>
    <w:rsid w:val="00666F02"/>
    <w:rsid w:val="006671A6"/>
    <w:rsid w:val="00667302"/>
    <w:rsid w:val="00667694"/>
    <w:rsid w:val="006677A4"/>
    <w:rsid w:val="00667934"/>
    <w:rsid w:val="00667AC9"/>
    <w:rsid w:val="00667DE3"/>
    <w:rsid w:val="00667E33"/>
    <w:rsid w:val="00667E6B"/>
    <w:rsid w:val="00670001"/>
    <w:rsid w:val="006703C3"/>
    <w:rsid w:val="00670643"/>
    <w:rsid w:val="006713E3"/>
    <w:rsid w:val="0067185A"/>
    <w:rsid w:val="00671A25"/>
    <w:rsid w:val="00671D5F"/>
    <w:rsid w:val="0067211A"/>
    <w:rsid w:val="006722F5"/>
    <w:rsid w:val="00672D81"/>
    <w:rsid w:val="00673954"/>
    <w:rsid w:val="00673F0F"/>
    <w:rsid w:val="006741CB"/>
    <w:rsid w:val="006742BF"/>
    <w:rsid w:val="0067500A"/>
    <w:rsid w:val="00675114"/>
    <w:rsid w:val="0067530B"/>
    <w:rsid w:val="00676142"/>
    <w:rsid w:val="0067619C"/>
    <w:rsid w:val="006761CA"/>
    <w:rsid w:val="006768FF"/>
    <w:rsid w:val="00676D6E"/>
    <w:rsid w:val="00677F00"/>
    <w:rsid w:val="00677FB9"/>
    <w:rsid w:val="00677FDC"/>
    <w:rsid w:val="00680221"/>
    <w:rsid w:val="006804D1"/>
    <w:rsid w:val="00680672"/>
    <w:rsid w:val="00680885"/>
    <w:rsid w:val="006811E5"/>
    <w:rsid w:val="0068124D"/>
    <w:rsid w:val="00681572"/>
    <w:rsid w:val="00681733"/>
    <w:rsid w:val="00681A10"/>
    <w:rsid w:val="00681C14"/>
    <w:rsid w:val="00682310"/>
    <w:rsid w:val="00682364"/>
    <w:rsid w:val="00682654"/>
    <w:rsid w:val="00682AC8"/>
    <w:rsid w:val="006831AF"/>
    <w:rsid w:val="006831EF"/>
    <w:rsid w:val="00683577"/>
    <w:rsid w:val="0068362D"/>
    <w:rsid w:val="0068381E"/>
    <w:rsid w:val="00683B9F"/>
    <w:rsid w:val="00683C9F"/>
    <w:rsid w:val="00684101"/>
    <w:rsid w:val="006848EE"/>
    <w:rsid w:val="006849B9"/>
    <w:rsid w:val="00684C4C"/>
    <w:rsid w:val="0068522A"/>
    <w:rsid w:val="00685849"/>
    <w:rsid w:val="006859B9"/>
    <w:rsid w:val="00686291"/>
    <w:rsid w:val="00686656"/>
    <w:rsid w:val="00686A62"/>
    <w:rsid w:val="00686BC6"/>
    <w:rsid w:val="006871CF"/>
    <w:rsid w:val="00687216"/>
    <w:rsid w:val="006879F7"/>
    <w:rsid w:val="00687C3E"/>
    <w:rsid w:val="00687CC5"/>
    <w:rsid w:val="00690322"/>
    <w:rsid w:val="006908BB"/>
    <w:rsid w:val="00690B1B"/>
    <w:rsid w:val="00690CAD"/>
    <w:rsid w:val="00690E34"/>
    <w:rsid w:val="00690E3F"/>
    <w:rsid w:val="00690F06"/>
    <w:rsid w:val="00690F76"/>
    <w:rsid w:val="00690FD0"/>
    <w:rsid w:val="0069138F"/>
    <w:rsid w:val="0069192B"/>
    <w:rsid w:val="00691DC7"/>
    <w:rsid w:val="006925A7"/>
    <w:rsid w:val="00692A21"/>
    <w:rsid w:val="0069321E"/>
    <w:rsid w:val="0069328B"/>
    <w:rsid w:val="00693413"/>
    <w:rsid w:val="006939EC"/>
    <w:rsid w:val="006941FF"/>
    <w:rsid w:val="0069426B"/>
    <w:rsid w:val="00694A66"/>
    <w:rsid w:val="00694FE1"/>
    <w:rsid w:val="00695104"/>
    <w:rsid w:val="00695142"/>
    <w:rsid w:val="0069515C"/>
    <w:rsid w:val="00695C3D"/>
    <w:rsid w:val="006967FC"/>
    <w:rsid w:val="00696C8C"/>
    <w:rsid w:val="00696E1F"/>
    <w:rsid w:val="00697432"/>
    <w:rsid w:val="00697E0C"/>
    <w:rsid w:val="00697E62"/>
    <w:rsid w:val="006A006E"/>
    <w:rsid w:val="006A0302"/>
    <w:rsid w:val="006A04F2"/>
    <w:rsid w:val="006A0928"/>
    <w:rsid w:val="006A0A45"/>
    <w:rsid w:val="006A0A95"/>
    <w:rsid w:val="006A0F25"/>
    <w:rsid w:val="006A187F"/>
    <w:rsid w:val="006A18B6"/>
    <w:rsid w:val="006A230F"/>
    <w:rsid w:val="006A24B6"/>
    <w:rsid w:val="006A2595"/>
    <w:rsid w:val="006A29D4"/>
    <w:rsid w:val="006A2F22"/>
    <w:rsid w:val="006A3AA7"/>
    <w:rsid w:val="006A3B21"/>
    <w:rsid w:val="006A3C01"/>
    <w:rsid w:val="006A44BD"/>
    <w:rsid w:val="006A4AF0"/>
    <w:rsid w:val="006A4AF7"/>
    <w:rsid w:val="006A4E92"/>
    <w:rsid w:val="006A5406"/>
    <w:rsid w:val="006A5537"/>
    <w:rsid w:val="006A5CE9"/>
    <w:rsid w:val="006A641C"/>
    <w:rsid w:val="006A6930"/>
    <w:rsid w:val="006A6BBC"/>
    <w:rsid w:val="006A6E52"/>
    <w:rsid w:val="006A76D7"/>
    <w:rsid w:val="006A785C"/>
    <w:rsid w:val="006A7930"/>
    <w:rsid w:val="006A7B09"/>
    <w:rsid w:val="006A7D34"/>
    <w:rsid w:val="006B0791"/>
    <w:rsid w:val="006B07F3"/>
    <w:rsid w:val="006B11AD"/>
    <w:rsid w:val="006B15F4"/>
    <w:rsid w:val="006B1653"/>
    <w:rsid w:val="006B16E3"/>
    <w:rsid w:val="006B1808"/>
    <w:rsid w:val="006B1AAC"/>
    <w:rsid w:val="006B2023"/>
    <w:rsid w:val="006B2052"/>
    <w:rsid w:val="006B21EC"/>
    <w:rsid w:val="006B257A"/>
    <w:rsid w:val="006B25FC"/>
    <w:rsid w:val="006B28FB"/>
    <w:rsid w:val="006B2B81"/>
    <w:rsid w:val="006B310E"/>
    <w:rsid w:val="006B3291"/>
    <w:rsid w:val="006B3695"/>
    <w:rsid w:val="006B37AD"/>
    <w:rsid w:val="006B3878"/>
    <w:rsid w:val="006B3BB9"/>
    <w:rsid w:val="006B419F"/>
    <w:rsid w:val="006B42BE"/>
    <w:rsid w:val="006B42FB"/>
    <w:rsid w:val="006B4346"/>
    <w:rsid w:val="006B4C9D"/>
    <w:rsid w:val="006B4E98"/>
    <w:rsid w:val="006B5552"/>
    <w:rsid w:val="006B55E0"/>
    <w:rsid w:val="006B5CEC"/>
    <w:rsid w:val="006B6007"/>
    <w:rsid w:val="006B61AC"/>
    <w:rsid w:val="006B6473"/>
    <w:rsid w:val="006B66A3"/>
    <w:rsid w:val="006B6A2A"/>
    <w:rsid w:val="006B769B"/>
    <w:rsid w:val="006B7A16"/>
    <w:rsid w:val="006B7B7C"/>
    <w:rsid w:val="006B7C01"/>
    <w:rsid w:val="006C0093"/>
    <w:rsid w:val="006C00A9"/>
    <w:rsid w:val="006C0468"/>
    <w:rsid w:val="006C081C"/>
    <w:rsid w:val="006C0882"/>
    <w:rsid w:val="006C0B4B"/>
    <w:rsid w:val="006C0E6F"/>
    <w:rsid w:val="006C143C"/>
    <w:rsid w:val="006C16F6"/>
    <w:rsid w:val="006C170D"/>
    <w:rsid w:val="006C1934"/>
    <w:rsid w:val="006C213F"/>
    <w:rsid w:val="006C223D"/>
    <w:rsid w:val="006C23DD"/>
    <w:rsid w:val="006C2430"/>
    <w:rsid w:val="006C289E"/>
    <w:rsid w:val="006C33DD"/>
    <w:rsid w:val="006C3713"/>
    <w:rsid w:val="006C3804"/>
    <w:rsid w:val="006C3988"/>
    <w:rsid w:val="006C3ACF"/>
    <w:rsid w:val="006C3D72"/>
    <w:rsid w:val="006C3EC6"/>
    <w:rsid w:val="006C4085"/>
    <w:rsid w:val="006C4430"/>
    <w:rsid w:val="006C4A1C"/>
    <w:rsid w:val="006C4FC8"/>
    <w:rsid w:val="006C51DD"/>
    <w:rsid w:val="006C5592"/>
    <w:rsid w:val="006C58C1"/>
    <w:rsid w:val="006C6B28"/>
    <w:rsid w:val="006C7307"/>
    <w:rsid w:val="006C76A6"/>
    <w:rsid w:val="006C7872"/>
    <w:rsid w:val="006C7F55"/>
    <w:rsid w:val="006D079E"/>
    <w:rsid w:val="006D0C2F"/>
    <w:rsid w:val="006D1493"/>
    <w:rsid w:val="006D16E3"/>
    <w:rsid w:val="006D1D79"/>
    <w:rsid w:val="006D298E"/>
    <w:rsid w:val="006D2A56"/>
    <w:rsid w:val="006D3290"/>
    <w:rsid w:val="006D3721"/>
    <w:rsid w:val="006D37AD"/>
    <w:rsid w:val="006D3EBE"/>
    <w:rsid w:val="006D43B6"/>
    <w:rsid w:val="006D488E"/>
    <w:rsid w:val="006D48E4"/>
    <w:rsid w:val="006D4CFA"/>
    <w:rsid w:val="006D4F09"/>
    <w:rsid w:val="006D50DB"/>
    <w:rsid w:val="006D5218"/>
    <w:rsid w:val="006D52C1"/>
    <w:rsid w:val="006D549C"/>
    <w:rsid w:val="006D59B2"/>
    <w:rsid w:val="006D5D9F"/>
    <w:rsid w:val="006D5F32"/>
    <w:rsid w:val="006D625F"/>
    <w:rsid w:val="006D6984"/>
    <w:rsid w:val="006D6A12"/>
    <w:rsid w:val="006D6AB0"/>
    <w:rsid w:val="006D6C81"/>
    <w:rsid w:val="006D6EB3"/>
    <w:rsid w:val="006D786C"/>
    <w:rsid w:val="006D7882"/>
    <w:rsid w:val="006D7DB8"/>
    <w:rsid w:val="006E0240"/>
    <w:rsid w:val="006E029C"/>
    <w:rsid w:val="006E04C2"/>
    <w:rsid w:val="006E06E4"/>
    <w:rsid w:val="006E09B7"/>
    <w:rsid w:val="006E0D4B"/>
    <w:rsid w:val="006E0EB7"/>
    <w:rsid w:val="006E0F9B"/>
    <w:rsid w:val="006E1D37"/>
    <w:rsid w:val="006E238E"/>
    <w:rsid w:val="006E24BD"/>
    <w:rsid w:val="006E28E6"/>
    <w:rsid w:val="006E2D65"/>
    <w:rsid w:val="006E2FB9"/>
    <w:rsid w:val="006E3743"/>
    <w:rsid w:val="006E38A2"/>
    <w:rsid w:val="006E3CFA"/>
    <w:rsid w:val="006E3E89"/>
    <w:rsid w:val="006E4020"/>
    <w:rsid w:val="006E4B00"/>
    <w:rsid w:val="006E4BD9"/>
    <w:rsid w:val="006E4E30"/>
    <w:rsid w:val="006E4E60"/>
    <w:rsid w:val="006E4F46"/>
    <w:rsid w:val="006E516D"/>
    <w:rsid w:val="006E53A6"/>
    <w:rsid w:val="006E5407"/>
    <w:rsid w:val="006E553D"/>
    <w:rsid w:val="006E5723"/>
    <w:rsid w:val="006E58A0"/>
    <w:rsid w:val="006E61BC"/>
    <w:rsid w:val="006E61ED"/>
    <w:rsid w:val="006E67B2"/>
    <w:rsid w:val="006E6994"/>
    <w:rsid w:val="006E6AC2"/>
    <w:rsid w:val="006E702A"/>
    <w:rsid w:val="006E7A30"/>
    <w:rsid w:val="006E7B8E"/>
    <w:rsid w:val="006E7BDE"/>
    <w:rsid w:val="006E7F1B"/>
    <w:rsid w:val="006E7FCD"/>
    <w:rsid w:val="006F0CD7"/>
    <w:rsid w:val="006F0E50"/>
    <w:rsid w:val="006F0FF4"/>
    <w:rsid w:val="006F1173"/>
    <w:rsid w:val="006F1282"/>
    <w:rsid w:val="006F1310"/>
    <w:rsid w:val="006F1756"/>
    <w:rsid w:val="006F1E5E"/>
    <w:rsid w:val="006F22DE"/>
    <w:rsid w:val="006F2AF4"/>
    <w:rsid w:val="006F2E4A"/>
    <w:rsid w:val="006F3002"/>
    <w:rsid w:val="006F32FF"/>
    <w:rsid w:val="006F345D"/>
    <w:rsid w:val="006F3745"/>
    <w:rsid w:val="006F3908"/>
    <w:rsid w:val="006F4058"/>
    <w:rsid w:val="006F47FA"/>
    <w:rsid w:val="006F556E"/>
    <w:rsid w:val="006F58FD"/>
    <w:rsid w:val="006F5D6F"/>
    <w:rsid w:val="006F5DE5"/>
    <w:rsid w:val="006F6204"/>
    <w:rsid w:val="006F6350"/>
    <w:rsid w:val="006F6993"/>
    <w:rsid w:val="006F6F96"/>
    <w:rsid w:val="006F6FE0"/>
    <w:rsid w:val="006F70E3"/>
    <w:rsid w:val="006F78E8"/>
    <w:rsid w:val="006F79E1"/>
    <w:rsid w:val="006F7C3E"/>
    <w:rsid w:val="00700099"/>
    <w:rsid w:val="00700248"/>
    <w:rsid w:val="00700A84"/>
    <w:rsid w:val="00701396"/>
    <w:rsid w:val="007016AA"/>
    <w:rsid w:val="00701830"/>
    <w:rsid w:val="0070188E"/>
    <w:rsid w:val="00701A34"/>
    <w:rsid w:val="00701C87"/>
    <w:rsid w:val="007025D9"/>
    <w:rsid w:val="00702AA8"/>
    <w:rsid w:val="00702DBA"/>
    <w:rsid w:val="00702F46"/>
    <w:rsid w:val="00703609"/>
    <w:rsid w:val="007037A5"/>
    <w:rsid w:val="0070455A"/>
    <w:rsid w:val="0070470D"/>
    <w:rsid w:val="007049D3"/>
    <w:rsid w:val="00704D41"/>
    <w:rsid w:val="00704F05"/>
    <w:rsid w:val="007052D8"/>
    <w:rsid w:val="007054DD"/>
    <w:rsid w:val="0070566D"/>
    <w:rsid w:val="0070568D"/>
    <w:rsid w:val="007056F0"/>
    <w:rsid w:val="0070596E"/>
    <w:rsid w:val="007059D0"/>
    <w:rsid w:val="00705B98"/>
    <w:rsid w:val="00705EDB"/>
    <w:rsid w:val="00706092"/>
    <w:rsid w:val="0070623B"/>
    <w:rsid w:val="00706D88"/>
    <w:rsid w:val="0070705C"/>
    <w:rsid w:val="007076B3"/>
    <w:rsid w:val="007076C5"/>
    <w:rsid w:val="00707739"/>
    <w:rsid w:val="0070780F"/>
    <w:rsid w:val="00707C1F"/>
    <w:rsid w:val="00707F8C"/>
    <w:rsid w:val="0071005F"/>
    <w:rsid w:val="007100F4"/>
    <w:rsid w:val="00710331"/>
    <w:rsid w:val="0071044F"/>
    <w:rsid w:val="00710635"/>
    <w:rsid w:val="0071135F"/>
    <w:rsid w:val="0071152F"/>
    <w:rsid w:val="00711637"/>
    <w:rsid w:val="00712EE9"/>
    <w:rsid w:val="00712FA0"/>
    <w:rsid w:val="00713027"/>
    <w:rsid w:val="0071322B"/>
    <w:rsid w:val="00713484"/>
    <w:rsid w:val="0071380E"/>
    <w:rsid w:val="00713844"/>
    <w:rsid w:val="00713907"/>
    <w:rsid w:val="00713910"/>
    <w:rsid w:val="00713B39"/>
    <w:rsid w:val="00713F78"/>
    <w:rsid w:val="0071401D"/>
    <w:rsid w:val="00714022"/>
    <w:rsid w:val="007144D4"/>
    <w:rsid w:val="0071470B"/>
    <w:rsid w:val="00714883"/>
    <w:rsid w:val="00714A57"/>
    <w:rsid w:val="00714D27"/>
    <w:rsid w:val="00714D59"/>
    <w:rsid w:val="00714F81"/>
    <w:rsid w:val="007150A3"/>
    <w:rsid w:val="00715739"/>
    <w:rsid w:val="00715838"/>
    <w:rsid w:val="0071583C"/>
    <w:rsid w:val="007158FB"/>
    <w:rsid w:val="00715917"/>
    <w:rsid w:val="00715CFB"/>
    <w:rsid w:val="00716539"/>
    <w:rsid w:val="00717AF6"/>
    <w:rsid w:val="00717CD1"/>
    <w:rsid w:val="0072010B"/>
    <w:rsid w:val="00720158"/>
    <w:rsid w:val="0072116C"/>
    <w:rsid w:val="007217A4"/>
    <w:rsid w:val="00721C67"/>
    <w:rsid w:val="00721DAE"/>
    <w:rsid w:val="007224A5"/>
    <w:rsid w:val="00722725"/>
    <w:rsid w:val="00722909"/>
    <w:rsid w:val="00722C22"/>
    <w:rsid w:val="0072302F"/>
    <w:rsid w:val="00723BD9"/>
    <w:rsid w:val="00723D29"/>
    <w:rsid w:val="00723FF7"/>
    <w:rsid w:val="0072402F"/>
    <w:rsid w:val="00724040"/>
    <w:rsid w:val="007246CA"/>
    <w:rsid w:val="00724B71"/>
    <w:rsid w:val="00725033"/>
    <w:rsid w:val="007255F7"/>
    <w:rsid w:val="007256E4"/>
    <w:rsid w:val="00725831"/>
    <w:rsid w:val="00725852"/>
    <w:rsid w:val="00725B6E"/>
    <w:rsid w:val="0072658F"/>
    <w:rsid w:val="00726EF2"/>
    <w:rsid w:val="007271B9"/>
    <w:rsid w:val="007271D1"/>
    <w:rsid w:val="00730253"/>
    <w:rsid w:val="007307E2"/>
    <w:rsid w:val="0073089B"/>
    <w:rsid w:val="00730C39"/>
    <w:rsid w:val="00730DC2"/>
    <w:rsid w:val="007314AB"/>
    <w:rsid w:val="00731556"/>
    <w:rsid w:val="007315FF"/>
    <w:rsid w:val="00731840"/>
    <w:rsid w:val="00731B7C"/>
    <w:rsid w:val="00732112"/>
    <w:rsid w:val="007328CD"/>
    <w:rsid w:val="00732F18"/>
    <w:rsid w:val="00733620"/>
    <w:rsid w:val="007338AF"/>
    <w:rsid w:val="00733B86"/>
    <w:rsid w:val="00733E4F"/>
    <w:rsid w:val="00734439"/>
    <w:rsid w:val="00734522"/>
    <w:rsid w:val="00734603"/>
    <w:rsid w:val="007346B5"/>
    <w:rsid w:val="007347BD"/>
    <w:rsid w:val="00734ABA"/>
    <w:rsid w:val="007359F8"/>
    <w:rsid w:val="00735AB9"/>
    <w:rsid w:val="00735D81"/>
    <w:rsid w:val="00735FDE"/>
    <w:rsid w:val="007361F1"/>
    <w:rsid w:val="00736387"/>
    <w:rsid w:val="00736529"/>
    <w:rsid w:val="007365B2"/>
    <w:rsid w:val="00736DDB"/>
    <w:rsid w:val="00736EFF"/>
    <w:rsid w:val="007374BA"/>
    <w:rsid w:val="00737EE2"/>
    <w:rsid w:val="00740315"/>
    <w:rsid w:val="00740385"/>
    <w:rsid w:val="007407EB"/>
    <w:rsid w:val="00740F78"/>
    <w:rsid w:val="00741037"/>
    <w:rsid w:val="007416B6"/>
    <w:rsid w:val="0074182A"/>
    <w:rsid w:val="00741AA5"/>
    <w:rsid w:val="00742065"/>
    <w:rsid w:val="00742CAA"/>
    <w:rsid w:val="007430EB"/>
    <w:rsid w:val="007436B8"/>
    <w:rsid w:val="00743B58"/>
    <w:rsid w:val="00743BB0"/>
    <w:rsid w:val="00743E07"/>
    <w:rsid w:val="007440B1"/>
    <w:rsid w:val="007440C3"/>
    <w:rsid w:val="0074439B"/>
    <w:rsid w:val="00744564"/>
    <w:rsid w:val="007445BE"/>
    <w:rsid w:val="00744D77"/>
    <w:rsid w:val="0074517F"/>
    <w:rsid w:val="0074553F"/>
    <w:rsid w:val="00745A78"/>
    <w:rsid w:val="00745BC3"/>
    <w:rsid w:val="00745C20"/>
    <w:rsid w:val="00745C2B"/>
    <w:rsid w:val="00745CC5"/>
    <w:rsid w:val="007469B5"/>
    <w:rsid w:val="00746B17"/>
    <w:rsid w:val="00746B8E"/>
    <w:rsid w:val="00746C43"/>
    <w:rsid w:val="0074777B"/>
    <w:rsid w:val="0074789E"/>
    <w:rsid w:val="00747BF6"/>
    <w:rsid w:val="00750081"/>
    <w:rsid w:val="007502A1"/>
    <w:rsid w:val="007507E9"/>
    <w:rsid w:val="00750D55"/>
    <w:rsid w:val="007511C3"/>
    <w:rsid w:val="00752698"/>
    <w:rsid w:val="00752898"/>
    <w:rsid w:val="007530F6"/>
    <w:rsid w:val="007532FB"/>
    <w:rsid w:val="00753353"/>
    <w:rsid w:val="007533B9"/>
    <w:rsid w:val="0075344E"/>
    <w:rsid w:val="00753458"/>
    <w:rsid w:val="007534F1"/>
    <w:rsid w:val="00753C61"/>
    <w:rsid w:val="00754457"/>
    <w:rsid w:val="0075483B"/>
    <w:rsid w:val="007549E3"/>
    <w:rsid w:val="00754D39"/>
    <w:rsid w:val="0075529F"/>
    <w:rsid w:val="007553B9"/>
    <w:rsid w:val="00756166"/>
    <w:rsid w:val="00756520"/>
    <w:rsid w:val="00756DAC"/>
    <w:rsid w:val="00756FA9"/>
    <w:rsid w:val="007570D1"/>
    <w:rsid w:val="00757274"/>
    <w:rsid w:val="00757F54"/>
    <w:rsid w:val="007601B2"/>
    <w:rsid w:val="007603B9"/>
    <w:rsid w:val="007603D5"/>
    <w:rsid w:val="007604E8"/>
    <w:rsid w:val="007608D8"/>
    <w:rsid w:val="00760DA0"/>
    <w:rsid w:val="00761071"/>
    <w:rsid w:val="0076111C"/>
    <w:rsid w:val="007614F4"/>
    <w:rsid w:val="00761C9F"/>
    <w:rsid w:val="00762AF1"/>
    <w:rsid w:val="00762C53"/>
    <w:rsid w:val="00763323"/>
    <w:rsid w:val="00763400"/>
    <w:rsid w:val="00763545"/>
    <w:rsid w:val="00763D81"/>
    <w:rsid w:val="00764050"/>
    <w:rsid w:val="00765100"/>
    <w:rsid w:val="00765298"/>
    <w:rsid w:val="00765591"/>
    <w:rsid w:val="007656EE"/>
    <w:rsid w:val="00765E12"/>
    <w:rsid w:val="00765EC6"/>
    <w:rsid w:val="0076634B"/>
    <w:rsid w:val="00766701"/>
    <w:rsid w:val="007667A9"/>
    <w:rsid w:val="00766F23"/>
    <w:rsid w:val="007671EA"/>
    <w:rsid w:val="00767625"/>
    <w:rsid w:val="00767BC1"/>
    <w:rsid w:val="0077046D"/>
    <w:rsid w:val="00770867"/>
    <w:rsid w:val="00770C09"/>
    <w:rsid w:val="00771052"/>
    <w:rsid w:val="00771073"/>
    <w:rsid w:val="00771244"/>
    <w:rsid w:val="00771297"/>
    <w:rsid w:val="007713D5"/>
    <w:rsid w:val="0077146A"/>
    <w:rsid w:val="00771CD9"/>
    <w:rsid w:val="00771F89"/>
    <w:rsid w:val="0077256A"/>
    <w:rsid w:val="00772C6F"/>
    <w:rsid w:val="0077348F"/>
    <w:rsid w:val="0077350C"/>
    <w:rsid w:val="00773687"/>
    <w:rsid w:val="0077395E"/>
    <w:rsid w:val="007740EC"/>
    <w:rsid w:val="00774179"/>
    <w:rsid w:val="007744EE"/>
    <w:rsid w:val="007745B2"/>
    <w:rsid w:val="00774E68"/>
    <w:rsid w:val="007751E8"/>
    <w:rsid w:val="00775386"/>
    <w:rsid w:val="00775857"/>
    <w:rsid w:val="00775EBC"/>
    <w:rsid w:val="007764CF"/>
    <w:rsid w:val="0077662F"/>
    <w:rsid w:val="00776719"/>
    <w:rsid w:val="00776AF5"/>
    <w:rsid w:val="00777290"/>
    <w:rsid w:val="0077788C"/>
    <w:rsid w:val="00777941"/>
    <w:rsid w:val="00777E5F"/>
    <w:rsid w:val="00777EC3"/>
    <w:rsid w:val="00780222"/>
    <w:rsid w:val="00780407"/>
    <w:rsid w:val="00780897"/>
    <w:rsid w:val="00780AEC"/>
    <w:rsid w:val="00780F37"/>
    <w:rsid w:val="00781D9C"/>
    <w:rsid w:val="00781E3D"/>
    <w:rsid w:val="00781EE0"/>
    <w:rsid w:val="00781F4C"/>
    <w:rsid w:val="00782597"/>
    <w:rsid w:val="00782C8D"/>
    <w:rsid w:val="00782DAF"/>
    <w:rsid w:val="00783884"/>
    <w:rsid w:val="00783BC7"/>
    <w:rsid w:val="00783C1E"/>
    <w:rsid w:val="00783C9D"/>
    <w:rsid w:val="00784944"/>
    <w:rsid w:val="00784BCA"/>
    <w:rsid w:val="0078562C"/>
    <w:rsid w:val="007858A5"/>
    <w:rsid w:val="00785DCB"/>
    <w:rsid w:val="00786B1C"/>
    <w:rsid w:val="00787B65"/>
    <w:rsid w:val="00787BC8"/>
    <w:rsid w:val="00787D3C"/>
    <w:rsid w:val="00787EBE"/>
    <w:rsid w:val="0079049F"/>
    <w:rsid w:val="00790537"/>
    <w:rsid w:val="00790ADB"/>
    <w:rsid w:val="00790CDA"/>
    <w:rsid w:val="00791E8B"/>
    <w:rsid w:val="0079226E"/>
    <w:rsid w:val="007922A4"/>
    <w:rsid w:val="0079253F"/>
    <w:rsid w:val="00792DA2"/>
    <w:rsid w:val="0079306D"/>
    <w:rsid w:val="00793160"/>
    <w:rsid w:val="00793A7B"/>
    <w:rsid w:val="00793D9D"/>
    <w:rsid w:val="00793F4D"/>
    <w:rsid w:val="00793FC9"/>
    <w:rsid w:val="007946AE"/>
    <w:rsid w:val="00794912"/>
    <w:rsid w:val="00794BE9"/>
    <w:rsid w:val="0079549A"/>
    <w:rsid w:val="00795709"/>
    <w:rsid w:val="00796B20"/>
    <w:rsid w:val="00797241"/>
    <w:rsid w:val="007972A9"/>
    <w:rsid w:val="007973F9"/>
    <w:rsid w:val="0079799B"/>
    <w:rsid w:val="007979D5"/>
    <w:rsid w:val="00797CF0"/>
    <w:rsid w:val="007A029A"/>
    <w:rsid w:val="007A1518"/>
    <w:rsid w:val="007A192F"/>
    <w:rsid w:val="007A1F09"/>
    <w:rsid w:val="007A252B"/>
    <w:rsid w:val="007A25C3"/>
    <w:rsid w:val="007A2A67"/>
    <w:rsid w:val="007A30B8"/>
    <w:rsid w:val="007A32A3"/>
    <w:rsid w:val="007A3C5E"/>
    <w:rsid w:val="007A3C82"/>
    <w:rsid w:val="007A3CCC"/>
    <w:rsid w:val="007A42A4"/>
    <w:rsid w:val="007A473C"/>
    <w:rsid w:val="007A4776"/>
    <w:rsid w:val="007A4E95"/>
    <w:rsid w:val="007A563E"/>
    <w:rsid w:val="007A5726"/>
    <w:rsid w:val="007A57C3"/>
    <w:rsid w:val="007A5955"/>
    <w:rsid w:val="007A5AC8"/>
    <w:rsid w:val="007A6271"/>
    <w:rsid w:val="007A65E4"/>
    <w:rsid w:val="007A6B90"/>
    <w:rsid w:val="007A719A"/>
    <w:rsid w:val="007A72D1"/>
    <w:rsid w:val="007A7878"/>
    <w:rsid w:val="007B001B"/>
    <w:rsid w:val="007B048E"/>
    <w:rsid w:val="007B049C"/>
    <w:rsid w:val="007B0CFE"/>
    <w:rsid w:val="007B0EC9"/>
    <w:rsid w:val="007B0F27"/>
    <w:rsid w:val="007B11D1"/>
    <w:rsid w:val="007B1465"/>
    <w:rsid w:val="007B154B"/>
    <w:rsid w:val="007B174D"/>
    <w:rsid w:val="007B1857"/>
    <w:rsid w:val="007B1864"/>
    <w:rsid w:val="007B2279"/>
    <w:rsid w:val="007B2466"/>
    <w:rsid w:val="007B2555"/>
    <w:rsid w:val="007B26C1"/>
    <w:rsid w:val="007B2E1A"/>
    <w:rsid w:val="007B2F5A"/>
    <w:rsid w:val="007B3123"/>
    <w:rsid w:val="007B3661"/>
    <w:rsid w:val="007B397D"/>
    <w:rsid w:val="007B3FF5"/>
    <w:rsid w:val="007B407A"/>
    <w:rsid w:val="007B486C"/>
    <w:rsid w:val="007B48D3"/>
    <w:rsid w:val="007B4DEA"/>
    <w:rsid w:val="007B4FC2"/>
    <w:rsid w:val="007B51F1"/>
    <w:rsid w:val="007B53EC"/>
    <w:rsid w:val="007B555C"/>
    <w:rsid w:val="007B55AE"/>
    <w:rsid w:val="007B567C"/>
    <w:rsid w:val="007B6104"/>
    <w:rsid w:val="007B66FB"/>
    <w:rsid w:val="007B6BFC"/>
    <w:rsid w:val="007B6C3F"/>
    <w:rsid w:val="007B736E"/>
    <w:rsid w:val="007B7780"/>
    <w:rsid w:val="007B7AEA"/>
    <w:rsid w:val="007B7C49"/>
    <w:rsid w:val="007B7ED8"/>
    <w:rsid w:val="007C040B"/>
    <w:rsid w:val="007C05EC"/>
    <w:rsid w:val="007C0666"/>
    <w:rsid w:val="007C0C37"/>
    <w:rsid w:val="007C0C76"/>
    <w:rsid w:val="007C1427"/>
    <w:rsid w:val="007C1BA5"/>
    <w:rsid w:val="007C269C"/>
    <w:rsid w:val="007C2725"/>
    <w:rsid w:val="007C27FF"/>
    <w:rsid w:val="007C34E3"/>
    <w:rsid w:val="007C37DC"/>
    <w:rsid w:val="007C3EF6"/>
    <w:rsid w:val="007C4233"/>
    <w:rsid w:val="007C4283"/>
    <w:rsid w:val="007C454B"/>
    <w:rsid w:val="007C4EF9"/>
    <w:rsid w:val="007C5087"/>
    <w:rsid w:val="007C54CE"/>
    <w:rsid w:val="007C6097"/>
    <w:rsid w:val="007C6545"/>
    <w:rsid w:val="007C65F4"/>
    <w:rsid w:val="007C6899"/>
    <w:rsid w:val="007C6DD6"/>
    <w:rsid w:val="007C72A5"/>
    <w:rsid w:val="007C7AA1"/>
    <w:rsid w:val="007C7FB8"/>
    <w:rsid w:val="007D0F67"/>
    <w:rsid w:val="007D132C"/>
    <w:rsid w:val="007D1B64"/>
    <w:rsid w:val="007D1D3B"/>
    <w:rsid w:val="007D2315"/>
    <w:rsid w:val="007D2C7D"/>
    <w:rsid w:val="007D3573"/>
    <w:rsid w:val="007D3C4D"/>
    <w:rsid w:val="007D3EAF"/>
    <w:rsid w:val="007D4178"/>
    <w:rsid w:val="007D4940"/>
    <w:rsid w:val="007D4A02"/>
    <w:rsid w:val="007D4E01"/>
    <w:rsid w:val="007D4E50"/>
    <w:rsid w:val="007D513B"/>
    <w:rsid w:val="007D561A"/>
    <w:rsid w:val="007D5D7B"/>
    <w:rsid w:val="007D6E97"/>
    <w:rsid w:val="007D7540"/>
    <w:rsid w:val="007D7B58"/>
    <w:rsid w:val="007D7FDA"/>
    <w:rsid w:val="007E00F9"/>
    <w:rsid w:val="007E03F5"/>
    <w:rsid w:val="007E0977"/>
    <w:rsid w:val="007E0D95"/>
    <w:rsid w:val="007E0DB9"/>
    <w:rsid w:val="007E1015"/>
    <w:rsid w:val="007E1045"/>
    <w:rsid w:val="007E110F"/>
    <w:rsid w:val="007E168C"/>
    <w:rsid w:val="007E16D0"/>
    <w:rsid w:val="007E1741"/>
    <w:rsid w:val="007E1B27"/>
    <w:rsid w:val="007E1C54"/>
    <w:rsid w:val="007E23B8"/>
    <w:rsid w:val="007E278E"/>
    <w:rsid w:val="007E2AAA"/>
    <w:rsid w:val="007E2C52"/>
    <w:rsid w:val="007E2CC9"/>
    <w:rsid w:val="007E2D08"/>
    <w:rsid w:val="007E2DF7"/>
    <w:rsid w:val="007E2E2C"/>
    <w:rsid w:val="007E323F"/>
    <w:rsid w:val="007E3289"/>
    <w:rsid w:val="007E347A"/>
    <w:rsid w:val="007E3636"/>
    <w:rsid w:val="007E3906"/>
    <w:rsid w:val="007E39E4"/>
    <w:rsid w:val="007E3CD1"/>
    <w:rsid w:val="007E41F2"/>
    <w:rsid w:val="007E4DAF"/>
    <w:rsid w:val="007E5904"/>
    <w:rsid w:val="007E5A48"/>
    <w:rsid w:val="007E5CF8"/>
    <w:rsid w:val="007E5E8A"/>
    <w:rsid w:val="007E5F5E"/>
    <w:rsid w:val="007E600B"/>
    <w:rsid w:val="007E64C8"/>
    <w:rsid w:val="007E6696"/>
    <w:rsid w:val="007E6F00"/>
    <w:rsid w:val="007E78BC"/>
    <w:rsid w:val="007E79E8"/>
    <w:rsid w:val="007E7E2C"/>
    <w:rsid w:val="007F03B7"/>
    <w:rsid w:val="007F0410"/>
    <w:rsid w:val="007F07BA"/>
    <w:rsid w:val="007F0C2B"/>
    <w:rsid w:val="007F0EDF"/>
    <w:rsid w:val="007F1199"/>
    <w:rsid w:val="007F1438"/>
    <w:rsid w:val="007F1612"/>
    <w:rsid w:val="007F1724"/>
    <w:rsid w:val="007F1AD7"/>
    <w:rsid w:val="007F1E2A"/>
    <w:rsid w:val="007F1FCE"/>
    <w:rsid w:val="007F245F"/>
    <w:rsid w:val="007F2704"/>
    <w:rsid w:val="007F2A74"/>
    <w:rsid w:val="007F2E09"/>
    <w:rsid w:val="007F33F4"/>
    <w:rsid w:val="007F3495"/>
    <w:rsid w:val="007F3637"/>
    <w:rsid w:val="007F391C"/>
    <w:rsid w:val="007F3CD7"/>
    <w:rsid w:val="007F3E7A"/>
    <w:rsid w:val="007F3FE6"/>
    <w:rsid w:val="007F4506"/>
    <w:rsid w:val="007F4A01"/>
    <w:rsid w:val="007F4E90"/>
    <w:rsid w:val="007F50AA"/>
    <w:rsid w:val="007F51AD"/>
    <w:rsid w:val="007F5429"/>
    <w:rsid w:val="007F55B5"/>
    <w:rsid w:val="007F565F"/>
    <w:rsid w:val="007F5C0B"/>
    <w:rsid w:val="007F6040"/>
    <w:rsid w:val="007F60A4"/>
    <w:rsid w:val="007F6192"/>
    <w:rsid w:val="007F6848"/>
    <w:rsid w:val="007F6E1C"/>
    <w:rsid w:val="007F7353"/>
    <w:rsid w:val="007F749D"/>
    <w:rsid w:val="007F7561"/>
    <w:rsid w:val="007F7562"/>
    <w:rsid w:val="007F765C"/>
    <w:rsid w:val="007F770E"/>
    <w:rsid w:val="0080064B"/>
    <w:rsid w:val="00800697"/>
    <w:rsid w:val="00800C33"/>
    <w:rsid w:val="00800F7F"/>
    <w:rsid w:val="008014A9"/>
    <w:rsid w:val="00801985"/>
    <w:rsid w:val="00801B1A"/>
    <w:rsid w:val="00801F07"/>
    <w:rsid w:val="008020E9"/>
    <w:rsid w:val="00802414"/>
    <w:rsid w:val="008025AD"/>
    <w:rsid w:val="008026B1"/>
    <w:rsid w:val="00802990"/>
    <w:rsid w:val="00802A46"/>
    <w:rsid w:val="00802D54"/>
    <w:rsid w:val="00803608"/>
    <w:rsid w:val="0080369F"/>
    <w:rsid w:val="00804280"/>
    <w:rsid w:val="00804317"/>
    <w:rsid w:val="00804A05"/>
    <w:rsid w:val="008051FF"/>
    <w:rsid w:val="00805602"/>
    <w:rsid w:val="008056A1"/>
    <w:rsid w:val="00805B44"/>
    <w:rsid w:val="00805E79"/>
    <w:rsid w:val="00805F8A"/>
    <w:rsid w:val="0080625F"/>
    <w:rsid w:val="00806375"/>
    <w:rsid w:val="008064BC"/>
    <w:rsid w:val="0080677E"/>
    <w:rsid w:val="00806B7E"/>
    <w:rsid w:val="00807415"/>
    <w:rsid w:val="00807476"/>
    <w:rsid w:val="008075A0"/>
    <w:rsid w:val="00807DA5"/>
    <w:rsid w:val="00810494"/>
    <w:rsid w:val="008107C7"/>
    <w:rsid w:val="00810E63"/>
    <w:rsid w:val="00811DDA"/>
    <w:rsid w:val="008126EF"/>
    <w:rsid w:val="0081275C"/>
    <w:rsid w:val="00812CC3"/>
    <w:rsid w:val="00812ED4"/>
    <w:rsid w:val="00813601"/>
    <w:rsid w:val="0081397D"/>
    <w:rsid w:val="008141CA"/>
    <w:rsid w:val="0081435B"/>
    <w:rsid w:val="00814E1A"/>
    <w:rsid w:val="00814EA5"/>
    <w:rsid w:val="0081586E"/>
    <w:rsid w:val="00815A93"/>
    <w:rsid w:val="00815DE8"/>
    <w:rsid w:val="00816433"/>
    <w:rsid w:val="0081647C"/>
    <w:rsid w:val="0081652C"/>
    <w:rsid w:val="008172D6"/>
    <w:rsid w:val="00817407"/>
    <w:rsid w:val="008176D1"/>
    <w:rsid w:val="008178D1"/>
    <w:rsid w:val="00817B9C"/>
    <w:rsid w:val="008201FC"/>
    <w:rsid w:val="008209C9"/>
    <w:rsid w:val="0082108D"/>
    <w:rsid w:val="0082191E"/>
    <w:rsid w:val="00821A09"/>
    <w:rsid w:val="00821F37"/>
    <w:rsid w:val="008220D2"/>
    <w:rsid w:val="00822342"/>
    <w:rsid w:val="00822DFE"/>
    <w:rsid w:val="0082300E"/>
    <w:rsid w:val="0082319D"/>
    <w:rsid w:val="00823503"/>
    <w:rsid w:val="00823CCB"/>
    <w:rsid w:val="00824143"/>
    <w:rsid w:val="0082437C"/>
    <w:rsid w:val="0082460C"/>
    <w:rsid w:val="008247BE"/>
    <w:rsid w:val="008247E8"/>
    <w:rsid w:val="00824C41"/>
    <w:rsid w:val="00824F04"/>
    <w:rsid w:val="00825402"/>
    <w:rsid w:val="00825619"/>
    <w:rsid w:val="00825B05"/>
    <w:rsid w:val="00826080"/>
    <w:rsid w:val="00826252"/>
    <w:rsid w:val="008264B1"/>
    <w:rsid w:val="008264E6"/>
    <w:rsid w:val="0082689B"/>
    <w:rsid w:val="00827696"/>
    <w:rsid w:val="0082796A"/>
    <w:rsid w:val="00827AB2"/>
    <w:rsid w:val="00830D50"/>
    <w:rsid w:val="008311BC"/>
    <w:rsid w:val="00831608"/>
    <w:rsid w:val="00831C6A"/>
    <w:rsid w:val="00831D03"/>
    <w:rsid w:val="0083281E"/>
    <w:rsid w:val="00832858"/>
    <w:rsid w:val="008328B5"/>
    <w:rsid w:val="00832E6E"/>
    <w:rsid w:val="008333D8"/>
    <w:rsid w:val="008335D3"/>
    <w:rsid w:val="008337AA"/>
    <w:rsid w:val="00833CC6"/>
    <w:rsid w:val="00834093"/>
    <w:rsid w:val="008340A5"/>
    <w:rsid w:val="00834478"/>
    <w:rsid w:val="00834480"/>
    <w:rsid w:val="0083487D"/>
    <w:rsid w:val="0083525D"/>
    <w:rsid w:val="00836074"/>
    <w:rsid w:val="008363DB"/>
    <w:rsid w:val="00836804"/>
    <w:rsid w:val="00836D5D"/>
    <w:rsid w:val="00836ECD"/>
    <w:rsid w:val="00836EDE"/>
    <w:rsid w:val="008370B1"/>
    <w:rsid w:val="00837537"/>
    <w:rsid w:val="00837803"/>
    <w:rsid w:val="00837D45"/>
    <w:rsid w:val="00840BF8"/>
    <w:rsid w:val="00841009"/>
    <w:rsid w:val="0084107C"/>
    <w:rsid w:val="00841507"/>
    <w:rsid w:val="00841841"/>
    <w:rsid w:val="008419D6"/>
    <w:rsid w:val="00842AF4"/>
    <w:rsid w:val="00843059"/>
    <w:rsid w:val="00843092"/>
    <w:rsid w:val="008431C4"/>
    <w:rsid w:val="00843217"/>
    <w:rsid w:val="00843400"/>
    <w:rsid w:val="008438F5"/>
    <w:rsid w:val="00843C95"/>
    <w:rsid w:val="00844481"/>
    <w:rsid w:val="00844725"/>
    <w:rsid w:val="00844805"/>
    <w:rsid w:val="00844BA1"/>
    <w:rsid w:val="00844CFA"/>
    <w:rsid w:val="00844F42"/>
    <w:rsid w:val="008453A6"/>
    <w:rsid w:val="00845619"/>
    <w:rsid w:val="00845A70"/>
    <w:rsid w:val="00845DFC"/>
    <w:rsid w:val="00846199"/>
    <w:rsid w:val="008461D4"/>
    <w:rsid w:val="00846328"/>
    <w:rsid w:val="0084651F"/>
    <w:rsid w:val="00846A26"/>
    <w:rsid w:val="00846BB9"/>
    <w:rsid w:val="00847805"/>
    <w:rsid w:val="00847BC6"/>
    <w:rsid w:val="00850071"/>
    <w:rsid w:val="008510FC"/>
    <w:rsid w:val="00851D27"/>
    <w:rsid w:val="00851EA2"/>
    <w:rsid w:val="00852139"/>
    <w:rsid w:val="00852313"/>
    <w:rsid w:val="00852662"/>
    <w:rsid w:val="008526A3"/>
    <w:rsid w:val="00852798"/>
    <w:rsid w:val="00852CB4"/>
    <w:rsid w:val="00852E58"/>
    <w:rsid w:val="00852F33"/>
    <w:rsid w:val="00853124"/>
    <w:rsid w:val="008538C2"/>
    <w:rsid w:val="00853A19"/>
    <w:rsid w:val="00853E64"/>
    <w:rsid w:val="00854482"/>
    <w:rsid w:val="008548D3"/>
    <w:rsid w:val="00854C61"/>
    <w:rsid w:val="00854E05"/>
    <w:rsid w:val="00855726"/>
    <w:rsid w:val="00855961"/>
    <w:rsid w:val="00855CAC"/>
    <w:rsid w:val="00855D86"/>
    <w:rsid w:val="00856411"/>
    <w:rsid w:val="00856574"/>
    <w:rsid w:val="00856762"/>
    <w:rsid w:val="00856930"/>
    <w:rsid w:val="00856991"/>
    <w:rsid w:val="00856F39"/>
    <w:rsid w:val="0085718C"/>
    <w:rsid w:val="008579AC"/>
    <w:rsid w:val="00857B97"/>
    <w:rsid w:val="00857C45"/>
    <w:rsid w:val="00857E16"/>
    <w:rsid w:val="00857E2D"/>
    <w:rsid w:val="00857EFE"/>
    <w:rsid w:val="00860047"/>
    <w:rsid w:val="0086025B"/>
    <w:rsid w:val="008607B7"/>
    <w:rsid w:val="0086090F"/>
    <w:rsid w:val="008618FA"/>
    <w:rsid w:val="00862159"/>
    <w:rsid w:val="008621CE"/>
    <w:rsid w:val="0086232D"/>
    <w:rsid w:val="00862359"/>
    <w:rsid w:val="008623DB"/>
    <w:rsid w:val="00862950"/>
    <w:rsid w:val="00863462"/>
    <w:rsid w:val="00863611"/>
    <w:rsid w:val="00863874"/>
    <w:rsid w:val="008641D9"/>
    <w:rsid w:val="0086431A"/>
    <w:rsid w:val="00864396"/>
    <w:rsid w:val="0086451C"/>
    <w:rsid w:val="0086460C"/>
    <w:rsid w:val="00864624"/>
    <w:rsid w:val="0086537D"/>
    <w:rsid w:val="0086548B"/>
    <w:rsid w:val="00865EA1"/>
    <w:rsid w:val="00866735"/>
    <w:rsid w:val="008669C7"/>
    <w:rsid w:val="00866D9E"/>
    <w:rsid w:val="00866F18"/>
    <w:rsid w:val="00866F9D"/>
    <w:rsid w:val="00867186"/>
    <w:rsid w:val="00867448"/>
    <w:rsid w:val="00867A4E"/>
    <w:rsid w:val="00867ADF"/>
    <w:rsid w:val="008710B8"/>
    <w:rsid w:val="0087123B"/>
    <w:rsid w:val="00871311"/>
    <w:rsid w:val="00871435"/>
    <w:rsid w:val="00871441"/>
    <w:rsid w:val="008714C3"/>
    <w:rsid w:val="008716D0"/>
    <w:rsid w:val="00871747"/>
    <w:rsid w:val="008718CE"/>
    <w:rsid w:val="0087218A"/>
    <w:rsid w:val="00872740"/>
    <w:rsid w:val="00872DE6"/>
    <w:rsid w:val="00873420"/>
    <w:rsid w:val="008734BE"/>
    <w:rsid w:val="008745C8"/>
    <w:rsid w:val="00874890"/>
    <w:rsid w:val="00874C67"/>
    <w:rsid w:val="0087530D"/>
    <w:rsid w:val="0087555C"/>
    <w:rsid w:val="00875808"/>
    <w:rsid w:val="00875EFC"/>
    <w:rsid w:val="00875F21"/>
    <w:rsid w:val="008764A6"/>
    <w:rsid w:val="008767EB"/>
    <w:rsid w:val="00876AA5"/>
    <w:rsid w:val="00876B1D"/>
    <w:rsid w:val="00876BFA"/>
    <w:rsid w:val="00876FD1"/>
    <w:rsid w:val="0087724A"/>
    <w:rsid w:val="00877550"/>
    <w:rsid w:val="00877A36"/>
    <w:rsid w:val="00881599"/>
    <w:rsid w:val="008815C2"/>
    <w:rsid w:val="00881E4D"/>
    <w:rsid w:val="00881EAF"/>
    <w:rsid w:val="0088224A"/>
    <w:rsid w:val="0088264C"/>
    <w:rsid w:val="00882747"/>
    <w:rsid w:val="00882775"/>
    <w:rsid w:val="00883053"/>
    <w:rsid w:val="00883776"/>
    <w:rsid w:val="008841AB"/>
    <w:rsid w:val="00884547"/>
    <w:rsid w:val="00884BFF"/>
    <w:rsid w:val="00884D4B"/>
    <w:rsid w:val="00884FC1"/>
    <w:rsid w:val="008851A3"/>
    <w:rsid w:val="008856DF"/>
    <w:rsid w:val="00885728"/>
    <w:rsid w:val="00885805"/>
    <w:rsid w:val="00885871"/>
    <w:rsid w:val="00885B6F"/>
    <w:rsid w:val="00885CFA"/>
    <w:rsid w:val="0088671A"/>
    <w:rsid w:val="0088683E"/>
    <w:rsid w:val="008870A6"/>
    <w:rsid w:val="008871F7"/>
    <w:rsid w:val="00887549"/>
    <w:rsid w:val="00887630"/>
    <w:rsid w:val="00887F0E"/>
    <w:rsid w:val="008905A9"/>
    <w:rsid w:val="00890D97"/>
    <w:rsid w:val="00890E92"/>
    <w:rsid w:val="00891038"/>
    <w:rsid w:val="00891766"/>
    <w:rsid w:val="00891C50"/>
    <w:rsid w:val="00892330"/>
    <w:rsid w:val="008927BE"/>
    <w:rsid w:val="00892978"/>
    <w:rsid w:val="00892E10"/>
    <w:rsid w:val="008932F7"/>
    <w:rsid w:val="00893650"/>
    <w:rsid w:val="0089394C"/>
    <w:rsid w:val="00893BE5"/>
    <w:rsid w:val="00893D8E"/>
    <w:rsid w:val="0089476C"/>
    <w:rsid w:val="00894955"/>
    <w:rsid w:val="00895550"/>
    <w:rsid w:val="00895639"/>
    <w:rsid w:val="00895F50"/>
    <w:rsid w:val="008964A0"/>
    <w:rsid w:val="008967E8"/>
    <w:rsid w:val="00896A46"/>
    <w:rsid w:val="0089723A"/>
    <w:rsid w:val="00897864"/>
    <w:rsid w:val="00897C8B"/>
    <w:rsid w:val="00897D2D"/>
    <w:rsid w:val="00897D88"/>
    <w:rsid w:val="00897DE1"/>
    <w:rsid w:val="008A0226"/>
    <w:rsid w:val="008A0772"/>
    <w:rsid w:val="008A07ED"/>
    <w:rsid w:val="008A087B"/>
    <w:rsid w:val="008A0AE9"/>
    <w:rsid w:val="008A0E5A"/>
    <w:rsid w:val="008A101E"/>
    <w:rsid w:val="008A1845"/>
    <w:rsid w:val="008A188E"/>
    <w:rsid w:val="008A2159"/>
    <w:rsid w:val="008A277D"/>
    <w:rsid w:val="008A3794"/>
    <w:rsid w:val="008A39FB"/>
    <w:rsid w:val="008A3D36"/>
    <w:rsid w:val="008A4382"/>
    <w:rsid w:val="008A472A"/>
    <w:rsid w:val="008A4ACD"/>
    <w:rsid w:val="008A4B69"/>
    <w:rsid w:val="008A505C"/>
    <w:rsid w:val="008A57BB"/>
    <w:rsid w:val="008A5810"/>
    <w:rsid w:val="008A58E0"/>
    <w:rsid w:val="008A62B9"/>
    <w:rsid w:val="008A62EE"/>
    <w:rsid w:val="008A644A"/>
    <w:rsid w:val="008A6FBF"/>
    <w:rsid w:val="008A7014"/>
    <w:rsid w:val="008A72ED"/>
    <w:rsid w:val="008A7476"/>
    <w:rsid w:val="008A9CE3"/>
    <w:rsid w:val="008B0068"/>
    <w:rsid w:val="008B06CC"/>
    <w:rsid w:val="008B06DC"/>
    <w:rsid w:val="008B107C"/>
    <w:rsid w:val="008B175A"/>
    <w:rsid w:val="008B1A72"/>
    <w:rsid w:val="008B1A8B"/>
    <w:rsid w:val="008B1BE3"/>
    <w:rsid w:val="008B1DC1"/>
    <w:rsid w:val="008B1ECA"/>
    <w:rsid w:val="008B1F51"/>
    <w:rsid w:val="008B20AA"/>
    <w:rsid w:val="008B25C1"/>
    <w:rsid w:val="008B2724"/>
    <w:rsid w:val="008B344D"/>
    <w:rsid w:val="008B3D45"/>
    <w:rsid w:val="008B3D5E"/>
    <w:rsid w:val="008B4394"/>
    <w:rsid w:val="008B445A"/>
    <w:rsid w:val="008B46F7"/>
    <w:rsid w:val="008B473D"/>
    <w:rsid w:val="008B4855"/>
    <w:rsid w:val="008B4E8F"/>
    <w:rsid w:val="008B51EF"/>
    <w:rsid w:val="008B570A"/>
    <w:rsid w:val="008B5924"/>
    <w:rsid w:val="008B59AD"/>
    <w:rsid w:val="008B6920"/>
    <w:rsid w:val="008B69BC"/>
    <w:rsid w:val="008B6ED0"/>
    <w:rsid w:val="008B7016"/>
    <w:rsid w:val="008B7059"/>
    <w:rsid w:val="008B70C7"/>
    <w:rsid w:val="008B713B"/>
    <w:rsid w:val="008B7169"/>
    <w:rsid w:val="008B7363"/>
    <w:rsid w:val="008B7B0B"/>
    <w:rsid w:val="008B7FF1"/>
    <w:rsid w:val="008C0048"/>
    <w:rsid w:val="008C0730"/>
    <w:rsid w:val="008C0BEA"/>
    <w:rsid w:val="008C0EA0"/>
    <w:rsid w:val="008C16BD"/>
    <w:rsid w:val="008C1848"/>
    <w:rsid w:val="008C19B3"/>
    <w:rsid w:val="008C2641"/>
    <w:rsid w:val="008C284F"/>
    <w:rsid w:val="008C2B90"/>
    <w:rsid w:val="008C2C3E"/>
    <w:rsid w:val="008C2E3C"/>
    <w:rsid w:val="008C3959"/>
    <w:rsid w:val="008C3D90"/>
    <w:rsid w:val="008C430F"/>
    <w:rsid w:val="008C4A60"/>
    <w:rsid w:val="008C4A7D"/>
    <w:rsid w:val="008C5391"/>
    <w:rsid w:val="008C53E2"/>
    <w:rsid w:val="008C53FC"/>
    <w:rsid w:val="008C5637"/>
    <w:rsid w:val="008C5724"/>
    <w:rsid w:val="008C57C8"/>
    <w:rsid w:val="008C59EF"/>
    <w:rsid w:val="008C5FB8"/>
    <w:rsid w:val="008C611F"/>
    <w:rsid w:val="008C6126"/>
    <w:rsid w:val="008C648A"/>
    <w:rsid w:val="008C657B"/>
    <w:rsid w:val="008C72E4"/>
    <w:rsid w:val="008C797D"/>
    <w:rsid w:val="008C7992"/>
    <w:rsid w:val="008C7EB1"/>
    <w:rsid w:val="008D0034"/>
    <w:rsid w:val="008D03C1"/>
    <w:rsid w:val="008D06C9"/>
    <w:rsid w:val="008D0A0B"/>
    <w:rsid w:val="008D0C37"/>
    <w:rsid w:val="008D141B"/>
    <w:rsid w:val="008D1673"/>
    <w:rsid w:val="008D1719"/>
    <w:rsid w:val="008D1A25"/>
    <w:rsid w:val="008D1C5D"/>
    <w:rsid w:val="008D244C"/>
    <w:rsid w:val="008D2A04"/>
    <w:rsid w:val="008D2F6A"/>
    <w:rsid w:val="008D305C"/>
    <w:rsid w:val="008D31CF"/>
    <w:rsid w:val="008D34D0"/>
    <w:rsid w:val="008D3B6F"/>
    <w:rsid w:val="008D3D3A"/>
    <w:rsid w:val="008D4414"/>
    <w:rsid w:val="008D4A95"/>
    <w:rsid w:val="008D4C7D"/>
    <w:rsid w:val="008D4CA7"/>
    <w:rsid w:val="008D50D6"/>
    <w:rsid w:val="008D5938"/>
    <w:rsid w:val="008D5B10"/>
    <w:rsid w:val="008D5CC8"/>
    <w:rsid w:val="008D645B"/>
    <w:rsid w:val="008D6942"/>
    <w:rsid w:val="008D6C1E"/>
    <w:rsid w:val="008D704A"/>
    <w:rsid w:val="008D72B3"/>
    <w:rsid w:val="008D7AAF"/>
    <w:rsid w:val="008D7ABD"/>
    <w:rsid w:val="008D7B6E"/>
    <w:rsid w:val="008D7D77"/>
    <w:rsid w:val="008E007C"/>
    <w:rsid w:val="008E02C6"/>
    <w:rsid w:val="008E053B"/>
    <w:rsid w:val="008E068C"/>
    <w:rsid w:val="008E0AE5"/>
    <w:rsid w:val="008E0B31"/>
    <w:rsid w:val="008E0C49"/>
    <w:rsid w:val="008E21D4"/>
    <w:rsid w:val="008E249C"/>
    <w:rsid w:val="008E2856"/>
    <w:rsid w:val="008E2977"/>
    <w:rsid w:val="008E2AC7"/>
    <w:rsid w:val="008E2B84"/>
    <w:rsid w:val="008E2E4A"/>
    <w:rsid w:val="008E2FA4"/>
    <w:rsid w:val="008E3235"/>
    <w:rsid w:val="008E3415"/>
    <w:rsid w:val="008E3599"/>
    <w:rsid w:val="008E398A"/>
    <w:rsid w:val="008E3E81"/>
    <w:rsid w:val="008E3F2B"/>
    <w:rsid w:val="008E456A"/>
    <w:rsid w:val="008E472F"/>
    <w:rsid w:val="008E48F2"/>
    <w:rsid w:val="008E4959"/>
    <w:rsid w:val="008E4DEB"/>
    <w:rsid w:val="008E4F39"/>
    <w:rsid w:val="008E4FF4"/>
    <w:rsid w:val="008E54D9"/>
    <w:rsid w:val="008E57F9"/>
    <w:rsid w:val="008E63D7"/>
    <w:rsid w:val="008E6862"/>
    <w:rsid w:val="008E691E"/>
    <w:rsid w:val="008E78B7"/>
    <w:rsid w:val="008E7C9B"/>
    <w:rsid w:val="008E7ED1"/>
    <w:rsid w:val="008F0238"/>
    <w:rsid w:val="008F080F"/>
    <w:rsid w:val="008F115B"/>
    <w:rsid w:val="008F2220"/>
    <w:rsid w:val="008F22D1"/>
    <w:rsid w:val="008F2B1A"/>
    <w:rsid w:val="008F3687"/>
    <w:rsid w:val="008F381B"/>
    <w:rsid w:val="008F38E5"/>
    <w:rsid w:val="008F3DC6"/>
    <w:rsid w:val="008F442E"/>
    <w:rsid w:val="008F474A"/>
    <w:rsid w:val="008F5329"/>
    <w:rsid w:val="008F5387"/>
    <w:rsid w:val="008F552E"/>
    <w:rsid w:val="008F556E"/>
    <w:rsid w:val="008F5C45"/>
    <w:rsid w:val="008F5E3F"/>
    <w:rsid w:val="008F6112"/>
    <w:rsid w:val="008F628C"/>
    <w:rsid w:val="008F631B"/>
    <w:rsid w:val="008F65A7"/>
    <w:rsid w:val="008F6622"/>
    <w:rsid w:val="008F6812"/>
    <w:rsid w:val="008F6FEB"/>
    <w:rsid w:val="008F70D1"/>
    <w:rsid w:val="008F72B8"/>
    <w:rsid w:val="008F7906"/>
    <w:rsid w:val="008F7994"/>
    <w:rsid w:val="008F7E7B"/>
    <w:rsid w:val="008F7F75"/>
    <w:rsid w:val="0090040D"/>
    <w:rsid w:val="009007F8"/>
    <w:rsid w:val="00900810"/>
    <w:rsid w:val="00900C5A"/>
    <w:rsid w:val="00901111"/>
    <w:rsid w:val="0090113A"/>
    <w:rsid w:val="00901150"/>
    <w:rsid w:val="009018C2"/>
    <w:rsid w:val="0090202B"/>
    <w:rsid w:val="0090210B"/>
    <w:rsid w:val="00903E96"/>
    <w:rsid w:val="009040C9"/>
    <w:rsid w:val="009043B0"/>
    <w:rsid w:val="009046F9"/>
    <w:rsid w:val="0090506E"/>
    <w:rsid w:val="009053C6"/>
    <w:rsid w:val="0090569D"/>
    <w:rsid w:val="009056B3"/>
    <w:rsid w:val="00905A53"/>
    <w:rsid w:val="00905B53"/>
    <w:rsid w:val="00905BFA"/>
    <w:rsid w:val="009060E3"/>
    <w:rsid w:val="009064E8"/>
    <w:rsid w:val="009065BB"/>
    <w:rsid w:val="00906CF7"/>
    <w:rsid w:val="00906D87"/>
    <w:rsid w:val="009071EB"/>
    <w:rsid w:val="0090724C"/>
    <w:rsid w:val="009076DA"/>
    <w:rsid w:val="00910240"/>
    <w:rsid w:val="009103D3"/>
    <w:rsid w:val="00910500"/>
    <w:rsid w:val="00910C30"/>
    <w:rsid w:val="00910CCD"/>
    <w:rsid w:val="009118D9"/>
    <w:rsid w:val="00911EB6"/>
    <w:rsid w:val="00911ED2"/>
    <w:rsid w:val="00912315"/>
    <w:rsid w:val="00912384"/>
    <w:rsid w:val="009126C9"/>
    <w:rsid w:val="00912787"/>
    <w:rsid w:val="00912791"/>
    <w:rsid w:val="00912B18"/>
    <w:rsid w:val="00912C13"/>
    <w:rsid w:val="00912E4B"/>
    <w:rsid w:val="009131BB"/>
    <w:rsid w:val="009132A1"/>
    <w:rsid w:val="009132C6"/>
    <w:rsid w:val="009132E6"/>
    <w:rsid w:val="0091371A"/>
    <w:rsid w:val="009138B1"/>
    <w:rsid w:val="00913A82"/>
    <w:rsid w:val="00913B3B"/>
    <w:rsid w:val="00914155"/>
    <w:rsid w:val="0091424A"/>
    <w:rsid w:val="009142A1"/>
    <w:rsid w:val="009144D6"/>
    <w:rsid w:val="009148C8"/>
    <w:rsid w:val="009151FA"/>
    <w:rsid w:val="009158BB"/>
    <w:rsid w:val="00915AF8"/>
    <w:rsid w:val="00915B62"/>
    <w:rsid w:val="00915BE0"/>
    <w:rsid w:val="00915FFE"/>
    <w:rsid w:val="009165BC"/>
    <w:rsid w:val="00916DB6"/>
    <w:rsid w:val="009170D9"/>
    <w:rsid w:val="0091755F"/>
    <w:rsid w:val="0091780C"/>
    <w:rsid w:val="00917B57"/>
    <w:rsid w:val="00917EBC"/>
    <w:rsid w:val="00917F75"/>
    <w:rsid w:val="009205E9"/>
    <w:rsid w:val="00920816"/>
    <w:rsid w:val="0092092F"/>
    <w:rsid w:val="00920CAB"/>
    <w:rsid w:val="00920EDC"/>
    <w:rsid w:val="0092115C"/>
    <w:rsid w:val="00921190"/>
    <w:rsid w:val="00922228"/>
    <w:rsid w:val="009223B7"/>
    <w:rsid w:val="0092250F"/>
    <w:rsid w:val="0092275F"/>
    <w:rsid w:val="00922AA9"/>
    <w:rsid w:val="00922B41"/>
    <w:rsid w:val="00922C25"/>
    <w:rsid w:val="00922EA5"/>
    <w:rsid w:val="00923176"/>
    <w:rsid w:val="00923205"/>
    <w:rsid w:val="0092376C"/>
    <w:rsid w:val="00923CB8"/>
    <w:rsid w:val="00923D11"/>
    <w:rsid w:val="00924152"/>
    <w:rsid w:val="00924810"/>
    <w:rsid w:val="00924E99"/>
    <w:rsid w:val="00925505"/>
    <w:rsid w:val="00925550"/>
    <w:rsid w:val="00925664"/>
    <w:rsid w:val="009257CE"/>
    <w:rsid w:val="0092597B"/>
    <w:rsid w:val="00925A7A"/>
    <w:rsid w:val="00925B70"/>
    <w:rsid w:val="00925B89"/>
    <w:rsid w:val="00925BD1"/>
    <w:rsid w:val="00925ECF"/>
    <w:rsid w:val="009260C4"/>
    <w:rsid w:val="009263AA"/>
    <w:rsid w:val="0092668B"/>
    <w:rsid w:val="00926D60"/>
    <w:rsid w:val="009275BF"/>
    <w:rsid w:val="009276A8"/>
    <w:rsid w:val="00927793"/>
    <w:rsid w:val="009304D6"/>
    <w:rsid w:val="009306E8"/>
    <w:rsid w:val="00930BF7"/>
    <w:rsid w:val="00930BFD"/>
    <w:rsid w:val="00930F41"/>
    <w:rsid w:val="00931105"/>
    <w:rsid w:val="0093154A"/>
    <w:rsid w:val="00931AE5"/>
    <w:rsid w:val="00931C09"/>
    <w:rsid w:val="00931CBE"/>
    <w:rsid w:val="0093254A"/>
    <w:rsid w:val="009325E5"/>
    <w:rsid w:val="00932829"/>
    <w:rsid w:val="00932884"/>
    <w:rsid w:val="00932D1D"/>
    <w:rsid w:val="00933734"/>
    <w:rsid w:val="00933DA5"/>
    <w:rsid w:val="00934184"/>
    <w:rsid w:val="009344C7"/>
    <w:rsid w:val="0093462F"/>
    <w:rsid w:val="00934696"/>
    <w:rsid w:val="009346DA"/>
    <w:rsid w:val="00934704"/>
    <w:rsid w:val="00934957"/>
    <w:rsid w:val="00934A73"/>
    <w:rsid w:val="00934D07"/>
    <w:rsid w:val="009350FE"/>
    <w:rsid w:val="00935386"/>
    <w:rsid w:val="009353A8"/>
    <w:rsid w:val="00935FEE"/>
    <w:rsid w:val="009360A5"/>
    <w:rsid w:val="009360F3"/>
    <w:rsid w:val="00936B08"/>
    <w:rsid w:val="00936B50"/>
    <w:rsid w:val="00936DAA"/>
    <w:rsid w:val="009371E4"/>
    <w:rsid w:val="00937CE2"/>
    <w:rsid w:val="0094048A"/>
    <w:rsid w:val="00940526"/>
    <w:rsid w:val="009406A2"/>
    <w:rsid w:val="00940C13"/>
    <w:rsid w:val="009412EE"/>
    <w:rsid w:val="0094155A"/>
    <w:rsid w:val="00941E90"/>
    <w:rsid w:val="00942224"/>
    <w:rsid w:val="00942412"/>
    <w:rsid w:val="00942578"/>
    <w:rsid w:val="00942A94"/>
    <w:rsid w:val="00942AB6"/>
    <w:rsid w:val="00942AFB"/>
    <w:rsid w:val="00942FAC"/>
    <w:rsid w:val="009434AC"/>
    <w:rsid w:val="00943A02"/>
    <w:rsid w:val="00943CFC"/>
    <w:rsid w:val="0094471A"/>
    <w:rsid w:val="00944A62"/>
    <w:rsid w:val="00945238"/>
    <w:rsid w:val="00945E0C"/>
    <w:rsid w:val="00945F0D"/>
    <w:rsid w:val="009464AC"/>
    <w:rsid w:val="009465EE"/>
    <w:rsid w:val="0094695E"/>
    <w:rsid w:val="00946AAC"/>
    <w:rsid w:val="009472A5"/>
    <w:rsid w:val="00947470"/>
    <w:rsid w:val="009476E8"/>
    <w:rsid w:val="009502D4"/>
    <w:rsid w:val="00950E30"/>
    <w:rsid w:val="0095107B"/>
    <w:rsid w:val="00951670"/>
    <w:rsid w:val="00951A02"/>
    <w:rsid w:val="00952178"/>
    <w:rsid w:val="00952842"/>
    <w:rsid w:val="00952947"/>
    <w:rsid w:val="009539FB"/>
    <w:rsid w:val="009540D6"/>
    <w:rsid w:val="00954257"/>
    <w:rsid w:val="00954BED"/>
    <w:rsid w:val="00954D6A"/>
    <w:rsid w:val="009553FB"/>
    <w:rsid w:val="009558A1"/>
    <w:rsid w:val="00955DE6"/>
    <w:rsid w:val="00955FF2"/>
    <w:rsid w:val="009565C3"/>
    <w:rsid w:val="00956777"/>
    <w:rsid w:val="009571C5"/>
    <w:rsid w:val="00957404"/>
    <w:rsid w:val="0095744B"/>
    <w:rsid w:val="00957CE6"/>
    <w:rsid w:val="00960467"/>
    <w:rsid w:val="00960EA2"/>
    <w:rsid w:val="00961538"/>
    <w:rsid w:val="00961768"/>
    <w:rsid w:val="009621CD"/>
    <w:rsid w:val="009623E9"/>
    <w:rsid w:val="009625C7"/>
    <w:rsid w:val="00962740"/>
    <w:rsid w:val="00962BDF"/>
    <w:rsid w:val="00962D0E"/>
    <w:rsid w:val="00962F20"/>
    <w:rsid w:val="00963464"/>
    <w:rsid w:val="00963479"/>
    <w:rsid w:val="009634C8"/>
    <w:rsid w:val="009636F4"/>
    <w:rsid w:val="00963988"/>
    <w:rsid w:val="00963A4D"/>
    <w:rsid w:val="00963BB4"/>
    <w:rsid w:val="00963EB2"/>
    <w:rsid w:val="00964482"/>
    <w:rsid w:val="009646F2"/>
    <w:rsid w:val="00964A24"/>
    <w:rsid w:val="00964FFF"/>
    <w:rsid w:val="009652A8"/>
    <w:rsid w:val="0096601F"/>
    <w:rsid w:val="0096609C"/>
    <w:rsid w:val="0096664A"/>
    <w:rsid w:val="00966695"/>
    <w:rsid w:val="009668F4"/>
    <w:rsid w:val="009672AD"/>
    <w:rsid w:val="00967303"/>
    <w:rsid w:val="00967A17"/>
    <w:rsid w:val="00967BC3"/>
    <w:rsid w:val="00967C98"/>
    <w:rsid w:val="00967E18"/>
    <w:rsid w:val="00970309"/>
    <w:rsid w:val="00970496"/>
    <w:rsid w:val="009705C3"/>
    <w:rsid w:val="00970906"/>
    <w:rsid w:val="00970BD2"/>
    <w:rsid w:val="009712EB"/>
    <w:rsid w:val="009715BB"/>
    <w:rsid w:val="009715E7"/>
    <w:rsid w:val="00971817"/>
    <w:rsid w:val="00971C85"/>
    <w:rsid w:val="00971D99"/>
    <w:rsid w:val="009720CD"/>
    <w:rsid w:val="00972144"/>
    <w:rsid w:val="0097257C"/>
    <w:rsid w:val="0097294D"/>
    <w:rsid w:val="0097297E"/>
    <w:rsid w:val="00972991"/>
    <w:rsid w:val="00972B35"/>
    <w:rsid w:val="00972C10"/>
    <w:rsid w:val="00972F43"/>
    <w:rsid w:val="00972FCE"/>
    <w:rsid w:val="00973083"/>
    <w:rsid w:val="009735A4"/>
    <w:rsid w:val="00973C67"/>
    <w:rsid w:val="00973CEB"/>
    <w:rsid w:val="00973D0A"/>
    <w:rsid w:val="00973FCF"/>
    <w:rsid w:val="009742CF"/>
    <w:rsid w:val="00974CD2"/>
    <w:rsid w:val="00974D17"/>
    <w:rsid w:val="009751DC"/>
    <w:rsid w:val="00975404"/>
    <w:rsid w:val="009757C8"/>
    <w:rsid w:val="009762D6"/>
    <w:rsid w:val="0097675E"/>
    <w:rsid w:val="00976E67"/>
    <w:rsid w:val="00976F1B"/>
    <w:rsid w:val="00977126"/>
    <w:rsid w:val="00977339"/>
    <w:rsid w:val="009773D4"/>
    <w:rsid w:val="009778E2"/>
    <w:rsid w:val="00977A01"/>
    <w:rsid w:val="00977A35"/>
    <w:rsid w:val="00977FB1"/>
    <w:rsid w:val="00977FE7"/>
    <w:rsid w:val="00980779"/>
    <w:rsid w:val="00980B75"/>
    <w:rsid w:val="00980C92"/>
    <w:rsid w:val="00980D5B"/>
    <w:rsid w:val="00980E5C"/>
    <w:rsid w:val="00981A71"/>
    <w:rsid w:val="009827D7"/>
    <w:rsid w:val="00982A35"/>
    <w:rsid w:val="00982B07"/>
    <w:rsid w:val="009836B2"/>
    <w:rsid w:val="00983855"/>
    <w:rsid w:val="00983A51"/>
    <w:rsid w:val="00983C26"/>
    <w:rsid w:val="0098421F"/>
    <w:rsid w:val="0098476F"/>
    <w:rsid w:val="00984D5C"/>
    <w:rsid w:val="00984DAC"/>
    <w:rsid w:val="00984DEF"/>
    <w:rsid w:val="00984F12"/>
    <w:rsid w:val="00985089"/>
    <w:rsid w:val="009853D5"/>
    <w:rsid w:val="0098556A"/>
    <w:rsid w:val="009857C2"/>
    <w:rsid w:val="009858ED"/>
    <w:rsid w:val="009866D5"/>
    <w:rsid w:val="00986A13"/>
    <w:rsid w:val="00986ABF"/>
    <w:rsid w:val="00986E4E"/>
    <w:rsid w:val="009872A6"/>
    <w:rsid w:val="00987426"/>
    <w:rsid w:val="0098748C"/>
    <w:rsid w:val="00987508"/>
    <w:rsid w:val="0098781A"/>
    <w:rsid w:val="00987DFF"/>
    <w:rsid w:val="00987EA5"/>
    <w:rsid w:val="00987FFA"/>
    <w:rsid w:val="009907FE"/>
    <w:rsid w:val="0099081D"/>
    <w:rsid w:val="00990A1B"/>
    <w:rsid w:val="0099190D"/>
    <w:rsid w:val="00991C57"/>
    <w:rsid w:val="00991E91"/>
    <w:rsid w:val="00991F58"/>
    <w:rsid w:val="00992483"/>
    <w:rsid w:val="00992794"/>
    <w:rsid w:val="00992C7C"/>
    <w:rsid w:val="009932FF"/>
    <w:rsid w:val="009935B4"/>
    <w:rsid w:val="00993B89"/>
    <w:rsid w:val="00993D3B"/>
    <w:rsid w:val="00993DFB"/>
    <w:rsid w:val="0099431E"/>
    <w:rsid w:val="00994459"/>
    <w:rsid w:val="00995B0A"/>
    <w:rsid w:val="00995C13"/>
    <w:rsid w:val="00996348"/>
    <w:rsid w:val="009963C9"/>
    <w:rsid w:val="0099655F"/>
    <w:rsid w:val="0099679E"/>
    <w:rsid w:val="00997AD5"/>
    <w:rsid w:val="00997D60"/>
    <w:rsid w:val="009A001F"/>
    <w:rsid w:val="009A03BE"/>
    <w:rsid w:val="009A09C1"/>
    <w:rsid w:val="009A0BD0"/>
    <w:rsid w:val="009A0D43"/>
    <w:rsid w:val="009A121E"/>
    <w:rsid w:val="009A1346"/>
    <w:rsid w:val="009A15E5"/>
    <w:rsid w:val="009A1EDE"/>
    <w:rsid w:val="009A22AF"/>
    <w:rsid w:val="009A22BF"/>
    <w:rsid w:val="009A2A48"/>
    <w:rsid w:val="009A2EFA"/>
    <w:rsid w:val="009A3692"/>
    <w:rsid w:val="009A3B24"/>
    <w:rsid w:val="009A3E70"/>
    <w:rsid w:val="009A42D7"/>
    <w:rsid w:val="009A4350"/>
    <w:rsid w:val="009A471B"/>
    <w:rsid w:val="009A4888"/>
    <w:rsid w:val="009A50A4"/>
    <w:rsid w:val="009A52AD"/>
    <w:rsid w:val="009A53F4"/>
    <w:rsid w:val="009A6007"/>
    <w:rsid w:val="009A618E"/>
    <w:rsid w:val="009A67A5"/>
    <w:rsid w:val="009A7716"/>
    <w:rsid w:val="009B01D0"/>
    <w:rsid w:val="009B05CC"/>
    <w:rsid w:val="009B05FA"/>
    <w:rsid w:val="009B0620"/>
    <w:rsid w:val="009B0CC0"/>
    <w:rsid w:val="009B12AF"/>
    <w:rsid w:val="009B1488"/>
    <w:rsid w:val="009B1D78"/>
    <w:rsid w:val="009B26AD"/>
    <w:rsid w:val="009B2758"/>
    <w:rsid w:val="009B2D7A"/>
    <w:rsid w:val="009B2EC7"/>
    <w:rsid w:val="009B2EDD"/>
    <w:rsid w:val="009B3532"/>
    <w:rsid w:val="009B396A"/>
    <w:rsid w:val="009B3A46"/>
    <w:rsid w:val="009B3BCE"/>
    <w:rsid w:val="009B3E18"/>
    <w:rsid w:val="009B4CE0"/>
    <w:rsid w:val="009B516C"/>
    <w:rsid w:val="009B53BB"/>
    <w:rsid w:val="009B5D16"/>
    <w:rsid w:val="009B5F74"/>
    <w:rsid w:val="009B608F"/>
    <w:rsid w:val="009B6148"/>
    <w:rsid w:val="009B692E"/>
    <w:rsid w:val="009B700B"/>
    <w:rsid w:val="009B7497"/>
    <w:rsid w:val="009B769B"/>
    <w:rsid w:val="009B79B3"/>
    <w:rsid w:val="009B7BD2"/>
    <w:rsid w:val="009B7D31"/>
    <w:rsid w:val="009B7F8A"/>
    <w:rsid w:val="009C01EA"/>
    <w:rsid w:val="009C03E2"/>
    <w:rsid w:val="009C04ED"/>
    <w:rsid w:val="009C0CDE"/>
    <w:rsid w:val="009C10A3"/>
    <w:rsid w:val="009C1675"/>
    <w:rsid w:val="009C1872"/>
    <w:rsid w:val="009C1C06"/>
    <w:rsid w:val="009C1C44"/>
    <w:rsid w:val="009C29C3"/>
    <w:rsid w:val="009C2A01"/>
    <w:rsid w:val="009C2B71"/>
    <w:rsid w:val="009C2F79"/>
    <w:rsid w:val="009C342D"/>
    <w:rsid w:val="009C367F"/>
    <w:rsid w:val="009C39D0"/>
    <w:rsid w:val="009C3EB2"/>
    <w:rsid w:val="009C40B7"/>
    <w:rsid w:val="009C4D88"/>
    <w:rsid w:val="009C4E5B"/>
    <w:rsid w:val="009C55C2"/>
    <w:rsid w:val="009C62BE"/>
    <w:rsid w:val="009C6406"/>
    <w:rsid w:val="009C7237"/>
    <w:rsid w:val="009C7323"/>
    <w:rsid w:val="009D07A7"/>
    <w:rsid w:val="009D0A22"/>
    <w:rsid w:val="009D0B34"/>
    <w:rsid w:val="009D0D8A"/>
    <w:rsid w:val="009D0F5D"/>
    <w:rsid w:val="009D125E"/>
    <w:rsid w:val="009D1669"/>
    <w:rsid w:val="009D1D91"/>
    <w:rsid w:val="009D2796"/>
    <w:rsid w:val="009D281B"/>
    <w:rsid w:val="009D360D"/>
    <w:rsid w:val="009D389A"/>
    <w:rsid w:val="009D3EA5"/>
    <w:rsid w:val="009D422B"/>
    <w:rsid w:val="009D42E4"/>
    <w:rsid w:val="009D480D"/>
    <w:rsid w:val="009D4A03"/>
    <w:rsid w:val="009D4CDD"/>
    <w:rsid w:val="009D4D99"/>
    <w:rsid w:val="009D5024"/>
    <w:rsid w:val="009D5470"/>
    <w:rsid w:val="009D60BC"/>
    <w:rsid w:val="009D60E8"/>
    <w:rsid w:val="009D6E29"/>
    <w:rsid w:val="009D70DC"/>
    <w:rsid w:val="009D71C6"/>
    <w:rsid w:val="009D7271"/>
    <w:rsid w:val="009D7A26"/>
    <w:rsid w:val="009D7DCD"/>
    <w:rsid w:val="009E04D2"/>
    <w:rsid w:val="009E0569"/>
    <w:rsid w:val="009E0674"/>
    <w:rsid w:val="009E0679"/>
    <w:rsid w:val="009E0822"/>
    <w:rsid w:val="009E0C80"/>
    <w:rsid w:val="009E0DBA"/>
    <w:rsid w:val="009E14C6"/>
    <w:rsid w:val="009E1773"/>
    <w:rsid w:val="009E1E0C"/>
    <w:rsid w:val="009E2555"/>
    <w:rsid w:val="009E299B"/>
    <w:rsid w:val="009E2C1F"/>
    <w:rsid w:val="009E2C55"/>
    <w:rsid w:val="009E2DB2"/>
    <w:rsid w:val="009E4796"/>
    <w:rsid w:val="009E4840"/>
    <w:rsid w:val="009E4970"/>
    <w:rsid w:val="009E4B28"/>
    <w:rsid w:val="009E4DF5"/>
    <w:rsid w:val="009E5A2F"/>
    <w:rsid w:val="009E6139"/>
    <w:rsid w:val="009E6482"/>
    <w:rsid w:val="009E68D4"/>
    <w:rsid w:val="009E7347"/>
    <w:rsid w:val="009E73B7"/>
    <w:rsid w:val="009E73F0"/>
    <w:rsid w:val="009E78B5"/>
    <w:rsid w:val="009E7FC2"/>
    <w:rsid w:val="009F0006"/>
    <w:rsid w:val="009F01D3"/>
    <w:rsid w:val="009F01F2"/>
    <w:rsid w:val="009F0568"/>
    <w:rsid w:val="009F05E8"/>
    <w:rsid w:val="009F0856"/>
    <w:rsid w:val="009F099D"/>
    <w:rsid w:val="009F0A36"/>
    <w:rsid w:val="009F0A6C"/>
    <w:rsid w:val="009F0B22"/>
    <w:rsid w:val="009F0E56"/>
    <w:rsid w:val="009F1722"/>
    <w:rsid w:val="009F18E7"/>
    <w:rsid w:val="009F237F"/>
    <w:rsid w:val="009F264C"/>
    <w:rsid w:val="009F28F6"/>
    <w:rsid w:val="009F3569"/>
    <w:rsid w:val="009F3BB5"/>
    <w:rsid w:val="009F3BC9"/>
    <w:rsid w:val="009F3CFA"/>
    <w:rsid w:val="009F49CC"/>
    <w:rsid w:val="009F4A42"/>
    <w:rsid w:val="009F5221"/>
    <w:rsid w:val="009F59C5"/>
    <w:rsid w:val="009F622C"/>
    <w:rsid w:val="009F62D3"/>
    <w:rsid w:val="009F6725"/>
    <w:rsid w:val="009F6937"/>
    <w:rsid w:val="009F6B1C"/>
    <w:rsid w:val="009F6CD7"/>
    <w:rsid w:val="009F6F27"/>
    <w:rsid w:val="009F7180"/>
    <w:rsid w:val="009F764B"/>
    <w:rsid w:val="009F7A9B"/>
    <w:rsid w:val="009F7B61"/>
    <w:rsid w:val="009F7B99"/>
    <w:rsid w:val="00A00197"/>
    <w:rsid w:val="00A0029D"/>
    <w:rsid w:val="00A002D6"/>
    <w:rsid w:val="00A0065F"/>
    <w:rsid w:val="00A00B04"/>
    <w:rsid w:val="00A00C0A"/>
    <w:rsid w:val="00A00FB9"/>
    <w:rsid w:val="00A0114C"/>
    <w:rsid w:val="00A015AC"/>
    <w:rsid w:val="00A0184E"/>
    <w:rsid w:val="00A01D0C"/>
    <w:rsid w:val="00A02309"/>
    <w:rsid w:val="00A02596"/>
    <w:rsid w:val="00A028DA"/>
    <w:rsid w:val="00A02A36"/>
    <w:rsid w:val="00A034A7"/>
    <w:rsid w:val="00A03708"/>
    <w:rsid w:val="00A038D2"/>
    <w:rsid w:val="00A0426B"/>
    <w:rsid w:val="00A042B3"/>
    <w:rsid w:val="00A043F8"/>
    <w:rsid w:val="00A0443D"/>
    <w:rsid w:val="00A056BC"/>
    <w:rsid w:val="00A05B76"/>
    <w:rsid w:val="00A05D13"/>
    <w:rsid w:val="00A05DFA"/>
    <w:rsid w:val="00A05FC6"/>
    <w:rsid w:val="00A0638E"/>
    <w:rsid w:val="00A06754"/>
    <w:rsid w:val="00A07162"/>
    <w:rsid w:val="00A0747E"/>
    <w:rsid w:val="00A07942"/>
    <w:rsid w:val="00A07E23"/>
    <w:rsid w:val="00A106DE"/>
    <w:rsid w:val="00A106F2"/>
    <w:rsid w:val="00A108EC"/>
    <w:rsid w:val="00A10D4F"/>
    <w:rsid w:val="00A11018"/>
    <w:rsid w:val="00A11025"/>
    <w:rsid w:val="00A119C2"/>
    <w:rsid w:val="00A11E1F"/>
    <w:rsid w:val="00A12304"/>
    <w:rsid w:val="00A12475"/>
    <w:rsid w:val="00A13081"/>
    <w:rsid w:val="00A13549"/>
    <w:rsid w:val="00A1379E"/>
    <w:rsid w:val="00A137D4"/>
    <w:rsid w:val="00A139EB"/>
    <w:rsid w:val="00A13A0A"/>
    <w:rsid w:val="00A13BD1"/>
    <w:rsid w:val="00A14376"/>
    <w:rsid w:val="00A14E65"/>
    <w:rsid w:val="00A15797"/>
    <w:rsid w:val="00A15ED2"/>
    <w:rsid w:val="00A1629E"/>
    <w:rsid w:val="00A16378"/>
    <w:rsid w:val="00A16C87"/>
    <w:rsid w:val="00A16CE5"/>
    <w:rsid w:val="00A16E6F"/>
    <w:rsid w:val="00A16E9E"/>
    <w:rsid w:val="00A16F38"/>
    <w:rsid w:val="00A173F2"/>
    <w:rsid w:val="00A177B6"/>
    <w:rsid w:val="00A202A8"/>
    <w:rsid w:val="00A20606"/>
    <w:rsid w:val="00A20667"/>
    <w:rsid w:val="00A20991"/>
    <w:rsid w:val="00A20D6C"/>
    <w:rsid w:val="00A2121D"/>
    <w:rsid w:val="00A2122F"/>
    <w:rsid w:val="00A21A7F"/>
    <w:rsid w:val="00A21EE3"/>
    <w:rsid w:val="00A22A63"/>
    <w:rsid w:val="00A22BDC"/>
    <w:rsid w:val="00A22FE7"/>
    <w:rsid w:val="00A2302A"/>
    <w:rsid w:val="00A23326"/>
    <w:rsid w:val="00A233C5"/>
    <w:rsid w:val="00A23509"/>
    <w:rsid w:val="00A239DD"/>
    <w:rsid w:val="00A23E03"/>
    <w:rsid w:val="00A24242"/>
    <w:rsid w:val="00A249B0"/>
    <w:rsid w:val="00A24E77"/>
    <w:rsid w:val="00A25503"/>
    <w:rsid w:val="00A258C0"/>
    <w:rsid w:val="00A25C47"/>
    <w:rsid w:val="00A25E41"/>
    <w:rsid w:val="00A25EBB"/>
    <w:rsid w:val="00A2609B"/>
    <w:rsid w:val="00A26255"/>
    <w:rsid w:val="00A262B4"/>
    <w:rsid w:val="00A264B1"/>
    <w:rsid w:val="00A264D1"/>
    <w:rsid w:val="00A267E9"/>
    <w:rsid w:val="00A26933"/>
    <w:rsid w:val="00A26D1D"/>
    <w:rsid w:val="00A26F53"/>
    <w:rsid w:val="00A27A11"/>
    <w:rsid w:val="00A27AEA"/>
    <w:rsid w:val="00A27CC6"/>
    <w:rsid w:val="00A27D8F"/>
    <w:rsid w:val="00A303F0"/>
    <w:rsid w:val="00A304EB"/>
    <w:rsid w:val="00A30D52"/>
    <w:rsid w:val="00A30F9E"/>
    <w:rsid w:val="00A310B9"/>
    <w:rsid w:val="00A315D6"/>
    <w:rsid w:val="00A316BF"/>
    <w:rsid w:val="00A31909"/>
    <w:rsid w:val="00A31BDD"/>
    <w:rsid w:val="00A31D42"/>
    <w:rsid w:val="00A323DA"/>
    <w:rsid w:val="00A32429"/>
    <w:rsid w:val="00A32560"/>
    <w:rsid w:val="00A3283B"/>
    <w:rsid w:val="00A33326"/>
    <w:rsid w:val="00A339DA"/>
    <w:rsid w:val="00A34036"/>
    <w:rsid w:val="00A3427F"/>
    <w:rsid w:val="00A34F9C"/>
    <w:rsid w:val="00A352B8"/>
    <w:rsid w:val="00A358BE"/>
    <w:rsid w:val="00A35C86"/>
    <w:rsid w:val="00A3637A"/>
    <w:rsid w:val="00A36467"/>
    <w:rsid w:val="00A37144"/>
    <w:rsid w:val="00A372C3"/>
    <w:rsid w:val="00A37690"/>
    <w:rsid w:val="00A376A4"/>
    <w:rsid w:val="00A376D4"/>
    <w:rsid w:val="00A379BE"/>
    <w:rsid w:val="00A37B92"/>
    <w:rsid w:val="00A37ED4"/>
    <w:rsid w:val="00A405CA"/>
    <w:rsid w:val="00A40C49"/>
    <w:rsid w:val="00A410E7"/>
    <w:rsid w:val="00A41FB2"/>
    <w:rsid w:val="00A42D14"/>
    <w:rsid w:val="00A430BA"/>
    <w:rsid w:val="00A43429"/>
    <w:rsid w:val="00A437FD"/>
    <w:rsid w:val="00A438E6"/>
    <w:rsid w:val="00A440A2"/>
    <w:rsid w:val="00A4413C"/>
    <w:rsid w:val="00A44407"/>
    <w:rsid w:val="00A444E1"/>
    <w:rsid w:val="00A45248"/>
    <w:rsid w:val="00A45948"/>
    <w:rsid w:val="00A45BB4"/>
    <w:rsid w:val="00A45E49"/>
    <w:rsid w:val="00A45FAB"/>
    <w:rsid w:val="00A46297"/>
    <w:rsid w:val="00A463E5"/>
    <w:rsid w:val="00A46558"/>
    <w:rsid w:val="00A4667B"/>
    <w:rsid w:val="00A468C4"/>
    <w:rsid w:val="00A479F3"/>
    <w:rsid w:val="00A505D7"/>
    <w:rsid w:val="00A5076F"/>
    <w:rsid w:val="00A5091F"/>
    <w:rsid w:val="00A509F1"/>
    <w:rsid w:val="00A50A84"/>
    <w:rsid w:val="00A50AA7"/>
    <w:rsid w:val="00A50DB6"/>
    <w:rsid w:val="00A510BF"/>
    <w:rsid w:val="00A51434"/>
    <w:rsid w:val="00A5149A"/>
    <w:rsid w:val="00A5179B"/>
    <w:rsid w:val="00A5196F"/>
    <w:rsid w:val="00A519E8"/>
    <w:rsid w:val="00A51A15"/>
    <w:rsid w:val="00A51E68"/>
    <w:rsid w:val="00A51EF6"/>
    <w:rsid w:val="00A52650"/>
    <w:rsid w:val="00A53443"/>
    <w:rsid w:val="00A53468"/>
    <w:rsid w:val="00A5369F"/>
    <w:rsid w:val="00A53978"/>
    <w:rsid w:val="00A53B13"/>
    <w:rsid w:val="00A53E70"/>
    <w:rsid w:val="00A542FF"/>
    <w:rsid w:val="00A549D7"/>
    <w:rsid w:val="00A54A34"/>
    <w:rsid w:val="00A54BF7"/>
    <w:rsid w:val="00A54C06"/>
    <w:rsid w:val="00A55238"/>
    <w:rsid w:val="00A553CD"/>
    <w:rsid w:val="00A557D2"/>
    <w:rsid w:val="00A56442"/>
    <w:rsid w:val="00A569F1"/>
    <w:rsid w:val="00A57136"/>
    <w:rsid w:val="00A57535"/>
    <w:rsid w:val="00A57A8C"/>
    <w:rsid w:val="00A57C6B"/>
    <w:rsid w:val="00A57D78"/>
    <w:rsid w:val="00A6026D"/>
    <w:rsid w:val="00A60548"/>
    <w:rsid w:val="00A605AD"/>
    <w:rsid w:val="00A607D8"/>
    <w:rsid w:val="00A60978"/>
    <w:rsid w:val="00A609F0"/>
    <w:rsid w:val="00A60C3A"/>
    <w:rsid w:val="00A60D4E"/>
    <w:rsid w:val="00A62471"/>
    <w:rsid w:val="00A625B7"/>
    <w:rsid w:val="00A6283A"/>
    <w:rsid w:val="00A628C8"/>
    <w:rsid w:val="00A62973"/>
    <w:rsid w:val="00A6298D"/>
    <w:rsid w:val="00A62C2C"/>
    <w:rsid w:val="00A62D28"/>
    <w:rsid w:val="00A62DD2"/>
    <w:rsid w:val="00A63236"/>
    <w:rsid w:val="00A63ACA"/>
    <w:rsid w:val="00A642AA"/>
    <w:rsid w:val="00A64488"/>
    <w:rsid w:val="00A647BB"/>
    <w:rsid w:val="00A64835"/>
    <w:rsid w:val="00A649AE"/>
    <w:rsid w:val="00A64F8C"/>
    <w:rsid w:val="00A65127"/>
    <w:rsid w:val="00A652E6"/>
    <w:rsid w:val="00A654CA"/>
    <w:rsid w:val="00A655AD"/>
    <w:rsid w:val="00A6578A"/>
    <w:rsid w:val="00A6586E"/>
    <w:rsid w:val="00A65E2D"/>
    <w:rsid w:val="00A65F76"/>
    <w:rsid w:val="00A66089"/>
    <w:rsid w:val="00A66302"/>
    <w:rsid w:val="00A66483"/>
    <w:rsid w:val="00A664EC"/>
    <w:rsid w:val="00A66521"/>
    <w:rsid w:val="00A6679A"/>
    <w:rsid w:val="00A66871"/>
    <w:rsid w:val="00A66C79"/>
    <w:rsid w:val="00A66F44"/>
    <w:rsid w:val="00A67065"/>
    <w:rsid w:val="00A67415"/>
    <w:rsid w:val="00A67423"/>
    <w:rsid w:val="00A6747B"/>
    <w:rsid w:val="00A675DF"/>
    <w:rsid w:val="00A70B29"/>
    <w:rsid w:val="00A710AB"/>
    <w:rsid w:val="00A710B9"/>
    <w:rsid w:val="00A72113"/>
    <w:rsid w:val="00A72222"/>
    <w:rsid w:val="00A72328"/>
    <w:rsid w:val="00A7296F"/>
    <w:rsid w:val="00A72A4B"/>
    <w:rsid w:val="00A72F32"/>
    <w:rsid w:val="00A72F4B"/>
    <w:rsid w:val="00A731AF"/>
    <w:rsid w:val="00A732BD"/>
    <w:rsid w:val="00A736DB"/>
    <w:rsid w:val="00A736F3"/>
    <w:rsid w:val="00A7370C"/>
    <w:rsid w:val="00A7445D"/>
    <w:rsid w:val="00A7475D"/>
    <w:rsid w:val="00A74B89"/>
    <w:rsid w:val="00A74D57"/>
    <w:rsid w:val="00A75032"/>
    <w:rsid w:val="00A75165"/>
    <w:rsid w:val="00A75F53"/>
    <w:rsid w:val="00A7661E"/>
    <w:rsid w:val="00A76DE1"/>
    <w:rsid w:val="00A773CC"/>
    <w:rsid w:val="00A77443"/>
    <w:rsid w:val="00A77B5F"/>
    <w:rsid w:val="00A77CAA"/>
    <w:rsid w:val="00A802D4"/>
    <w:rsid w:val="00A80458"/>
    <w:rsid w:val="00A805E0"/>
    <w:rsid w:val="00A80BA3"/>
    <w:rsid w:val="00A80DA4"/>
    <w:rsid w:val="00A81427"/>
    <w:rsid w:val="00A820A0"/>
    <w:rsid w:val="00A8261C"/>
    <w:rsid w:val="00A82640"/>
    <w:rsid w:val="00A828B5"/>
    <w:rsid w:val="00A82AEE"/>
    <w:rsid w:val="00A82E5C"/>
    <w:rsid w:val="00A82EE9"/>
    <w:rsid w:val="00A832BA"/>
    <w:rsid w:val="00A8344C"/>
    <w:rsid w:val="00A83644"/>
    <w:rsid w:val="00A83729"/>
    <w:rsid w:val="00A83C88"/>
    <w:rsid w:val="00A83E8E"/>
    <w:rsid w:val="00A84104"/>
    <w:rsid w:val="00A8510D"/>
    <w:rsid w:val="00A85D14"/>
    <w:rsid w:val="00A861EF"/>
    <w:rsid w:val="00A8693E"/>
    <w:rsid w:val="00A86A31"/>
    <w:rsid w:val="00A86D09"/>
    <w:rsid w:val="00A870CD"/>
    <w:rsid w:val="00A872D1"/>
    <w:rsid w:val="00A878F9"/>
    <w:rsid w:val="00A87A55"/>
    <w:rsid w:val="00A87BA4"/>
    <w:rsid w:val="00A9087F"/>
    <w:rsid w:val="00A90DE4"/>
    <w:rsid w:val="00A90E2C"/>
    <w:rsid w:val="00A911CB"/>
    <w:rsid w:val="00A913A7"/>
    <w:rsid w:val="00A91493"/>
    <w:rsid w:val="00A9260A"/>
    <w:rsid w:val="00A92BD5"/>
    <w:rsid w:val="00A92CEB"/>
    <w:rsid w:val="00A92E99"/>
    <w:rsid w:val="00A933B6"/>
    <w:rsid w:val="00A935DF"/>
    <w:rsid w:val="00A93A64"/>
    <w:rsid w:val="00A93C1E"/>
    <w:rsid w:val="00A9427B"/>
    <w:rsid w:val="00A9454C"/>
    <w:rsid w:val="00A94597"/>
    <w:rsid w:val="00A9476C"/>
    <w:rsid w:val="00A948F5"/>
    <w:rsid w:val="00A94F5D"/>
    <w:rsid w:val="00A953EF"/>
    <w:rsid w:val="00A95921"/>
    <w:rsid w:val="00A95A85"/>
    <w:rsid w:val="00A95E02"/>
    <w:rsid w:val="00A95EE1"/>
    <w:rsid w:val="00A95FD9"/>
    <w:rsid w:val="00A96064"/>
    <w:rsid w:val="00A9625E"/>
    <w:rsid w:val="00A9647D"/>
    <w:rsid w:val="00A965CB"/>
    <w:rsid w:val="00A96C94"/>
    <w:rsid w:val="00A96F87"/>
    <w:rsid w:val="00A97C00"/>
    <w:rsid w:val="00A97F20"/>
    <w:rsid w:val="00AA0895"/>
    <w:rsid w:val="00AA0B12"/>
    <w:rsid w:val="00AA0B8A"/>
    <w:rsid w:val="00AA15A7"/>
    <w:rsid w:val="00AA1B24"/>
    <w:rsid w:val="00AA1B66"/>
    <w:rsid w:val="00AA216D"/>
    <w:rsid w:val="00AA25F6"/>
    <w:rsid w:val="00AA2EF8"/>
    <w:rsid w:val="00AA308F"/>
    <w:rsid w:val="00AA34AD"/>
    <w:rsid w:val="00AA36B5"/>
    <w:rsid w:val="00AA396C"/>
    <w:rsid w:val="00AA39F6"/>
    <w:rsid w:val="00AA3A8E"/>
    <w:rsid w:val="00AA4234"/>
    <w:rsid w:val="00AA4339"/>
    <w:rsid w:val="00AA4C7D"/>
    <w:rsid w:val="00AA4CEB"/>
    <w:rsid w:val="00AA4F82"/>
    <w:rsid w:val="00AA532A"/>
    <w:rsid w:val="00AA57A9"/>
    <w:rsid w:val="00AA5B18"/>
    <w:rsid w:val="00AA651A"/>
    <w:rsid w:val="00AA662B"/>
    <w:rsid w:val="00AA67E9"/>
    <w:rsid w:val="00AA6967"/>
    <w:rsid w:val="00AA6BE4"/>
    <w:rsid w:val="00AA755A"/>
    <w:rsid w:val="00AA7A1B"/>
    <w:rsid w:val="00AA7B90"/>
    <w:rsid w:val="00AA7C76"/>
    <w:rsid w:val="00AB0367"/>
    <w:rsid w:val="00AB0755"/>
    <w:rsid w:val="00AB0FF5"/>
    <w:rsid w:val="00AB12AD"/>
    <w:rsid w:val="00AB16E6"/>
    <w:rsid w:val="00AB18E2"/>
    <w:rsid w:val="00AB1A7A"/>
    <w:rsid w:val="00AB1BF0"/>
    <w:rsid w:val="00AB1BF5"/>
    <w:rsid w:val="00AB2594"/>
    <w:rsid w:val="00AB29BA"/>
    <w:rsid w:val="00AB2D29"/>
    <w:rsid w:val="00AB317B"/>
    <w:rsid w:val="00AB322E"/>
    <w:rsid w:val="00AB3A1D"/>
    <w:rsid w:val="00AB3C71"/>
    <w:rsid w:val="00AB3DFA"/>
    <w:rsid w:val="00AB454C"/>
    <w:rsid w:val="00AB4558"/>
    <w:rsid w:val="00AB4643"/>
    <w:rsid w:val="00AB4713"/>
    <w:rsid w:val="00AB47EF"/>
    <w:rsid w:val="00AB4A24"/>
    <w:rsid w:val="00AB4FA7"/>
    <w:rsid w:val="00AB5752"/>
    <w:rsid w:val="00AB5881"/>
    <w:rsid w:val="00AB67E9"/>
    <w:rsid w:val="00AB6E3E"/>
    <w:rsid w:val="00AB727D"/>
    <w:rsid w:val="00AB765A"/>
    <w:rsid w:val="00AB7B0E"/>
    <w:rsid w:val="00AB7E62"/>
    <w:rsid w:val="00AB7F07"/>
    <w:rsid w:val="00AB7FB2"/>
    <w:rsid w:val="00AC0402"/>
    <w:rsid w:val="00AC098C"/>
    <w:rsid w:val="00AC09BC"/>
    <w:rsid w:val="00AC0C68"/>
    <w:rsid w:val="00AC1790"/>
    <w:rsid w:val="00AC19C9"/>
    <w:rsid w:val="00AC1E50"/>
    <w:rsid w:val="00AC205C"/>
    <w:rsid w:val="00AC34B3"/>
    <w:rsid w:val="00AC3FCE"/>
    <w:rsid w:val="00AC43D0"/>
    <w:rsid w:val="00AC4D37"/>
    <w:rsid w:val="00AC4DCD"/>
    <w:rsid w:val="00AC51AF"/>
    <w:rsid w:val="00AC5402"/>
    <w:rsid w:val="00AC55BE"/>
    <w:rsid w:val="00AC5683"/>
    <w:rsid w:val="00AC5750"/>
    <w:rsid w:val="00AC59F3"/>
    <w:rsid w:val="00AC5D0A"/>
    <w:rsid w:val="00AC5DCC"/>
    <w:rsid w:val="00AC5FA6"/>
    <w:rsid w:val="00AC63C4"/>
    <w:rsid w:val="00AC640D"/>
    <w:rsid w:val="00AC6B6F"/>
    <w:rsid w:val="00AC6BE0"/>
    <w:rsid w:val="00AC6C23"/>
    <w:rsid w:val="00AC763A"/>
    <w:rsid w:val="00AC7B77"/>
    <w:rsid w:val="00AD0179"/>
    <w:rsid w:val="00AD08C9"/>
    <w:rsid w:val="00AD09C5"/>
    <w:rsid w:val="00AD0F76"/>
    <w:rsid w:val="00AD0FD9"/>
    <w:rsid w:val="00AD1447"/>
    <w:rsid w:val="00AD16EC"/>
    <w:rsid w:val="00AD18EA"/>
    <w:rsid w:val="00AD198C"/>
    <w:rsid w:val="00AD242A"/>
    <w:rsid w:val="00AD2754"/>
    <w:rsid w:val="00AD2EB1"/>
    <w:rsid w:val="00AD3511"/>
    <w:rsid w:val="00AD36E7"/>
    <w:rsid w:val="00AD3827"/>
    <w:rsid w:val="00AD39C9"/>
    <w:rsid w:val="00AD4101"/>
    <w:rsid w:val="00AD41BF"/>
    <w:rsid w:val="00AD4697"/>
    <w:rsid w:val="00AD496B"/>
    <w:rsid w:val="00AD4AEB"/>
    <w:rsid w:val="00AD4D08"/>
    <w:rsid w:val="00AD4FB0"/>
    <w:rsid w:val="00AD53D1"/>
    <w:rsid w:val="00AD5BAA"/>
    <w:rsid w:val="00AD5C0A"/>
    <w:rsid w:val="00AD5C45"/>
    <w:rsid w:val="00AD618C"/>
    <w:rsid w:val="00AD622B"/>
    <w:rsid w:val="00AD6486"/>
    <w:rsid w:val="00AD6A19"/>
    <w:rsid w:val="00AD6B5E"/>
    <w:rsid w:val="00AD6DF1"/>
    <w:rsid w:val="00AD7677"/>
    <w:rsid w:val="00AD78E2"/>
    <w:rsid w:val="00AD7A16"/>
    <w:rsid w:val="00AE0326"/>
    <w:rsid w:val="00AE06F7"/>
    <w:rsid w:val="00AE07BE"/>
    <w:rsid w:val="00AE0F48"/>
    <w:rsid w:val="00AE1151"/>
    <w:rsid w:val="00AE1508"/>
    <w:rsid w:val="00AE1D05"/>
    <w:rsid w:val="00AE1EBC"/>
    <w:rsid w:val="00AE217B"/>
    <w:rsid w:val="00AE27F2"/>
    <w:rsid w:val="00AE2BC5"/>
    <w:rsid w:val="00AE2C41"/>
    <w:rsid w:val="00AE2E2B"/>
    <w:rsid w:val="00AE38CB"/>
    <w:rsid w:val="00AE39B2"/>
    <w:rsid w:val="00AE3CC1"/>
    <w:rsid w:val="00AE4576"/>
    <w:rsid w:val="00AE4808"/>
    <w:rsid w:val="00AE4D48"/>
    <w:rsid w:val="00AE4DB2"/>
    <w:rsid w:val="00AE54F9"/>
    <w:rsid w:val="00AE5AA4"/>
    <w:rsid w:val="00AE63D8"/>
    <w:rsid w:val="00AE6B16"/>
    <w:rsid w:val="00AE6BCC"/>
    <w:rsid w:val="00AE6FA9"/>
    <w:rsid w:val="00AE709B"/>
    <w:rsid w:val="00AE7501"/>
    <w:rsid w:val="00AF01D6"/>
    <w:rsid w:val="00AF022A"/>
    <w:rsid w:val="00AF0261"/>
    <w:rsid w:val="00AF07D4"/>
    <w:rsid w:val="00AF0ABE"/>
    <w:rsid w:val="00AF12F9"/>
    <w:rsid w:val="00AF1616"/>
    <w:rsid w:val="00AF1743"/>
    <w:rsid w:val="00AF1A63"/>
    <w:rsid w:val="00AF1AD3"/>
    <w:rsid w:val="00AF1F84"/>
    <w:rsid w:val="00AF2143"/>
    <w:rsid w:val="00AF2202"/>
    <w:rsid w:val="00AF2411"/>
    <w:rsid w:val="00AF2757"/>
    <w:rsid w:val="00AF2ADE"/>
    <w:rsid w:val="00AF2C8F"/>
    <w:rsid w:val="00AF2DE2"/>
    <w:rsid w:val="00AF2F57"/>
    <w:rsid w:val="00AF37F8"/>
    <w:rsid w:val="00AF3B24"/>
    <w:rsid w:val="00AF3E1D"/>
    <w:rsid w:val="00AF45DE"/>
    <w:rsid w:val="00AF4689"/>
    <w:rsid w:val="00AF4B7E"/>
    <w:rsid w:val="00AF58CB"/>
    <w:rsid w:val="00AF5CC8"/>
    <w:rsid w:val="00AF65BB"/>
    <w:rsid w:val="00AF66AD"/>
    <w:rsid w:val="00AF6A39"/>
    <w:rsid w:val="00AF6C7A"/>
    <w:rsid w:val="00AF6F8B"/>
    <w:rsid w:val="00AF6FCC"/>
    <w:rsid w:val="00AF702E"/>
    <w:rsid w:val="00AF7163"/>
    <w:rsid w:val="00AF73B0"/>
    <w:rsid w:val="00AF7CE5"/>
    <w:rsid w:val="00B0013C"/>
    <w:rsid w:val="00B00309"/>
    <w:rsid w:val="00B006C5"/>
    <w:rsid w:val="00B00E1C"/>
    <w:rsid w:val="00B00FB5"/>
    <w:rsid w:val="00B00FC9"/>
    <w:rsid w:val="00B01598"/>
    <w:rsid w:val="00B01665"/>
    <w:rsid w:val="00B01C72"/>
    <w:rsid w:val="00B01F6E"/>
    <w:rsid w:val="00B02C02"/>
    <w:rsid w:val="00B02E4A"/>
    <w:rsid w:val="00B0316F"/>
    <w:rsid w:val="00B03222"/>
    <w:rsid w:val="00B03843"/>
    <w:rsid w:val="00B03943"/>
    <w:rsid w:val="00B03B1A"/>
    <w:rsid w:val="00B046F5"/>
    <w:rsid w:val="00B0484E"/>
    <w:rsid w:val="00B0519B"/>
    <w:rsid w:val="00B05224"/>
    <w:rsid w:val="00B0543B"/>
    <w:rsid w:val="00B055FB"/>
    <w:rsid w:val="00B0595F"/>
    <w:rsid w:val="00B06464"/>
    <w:rsid w:val="00B069DE"/>
    <w:rsid w:val="00B0704D"/>
    <w:rsid w:val="00B07130"/>
    <w:rsid w:val="00B071B7"/>
    <w:rsid w:val="00B07489"/>
    <w:rsid w:val="00B076DB"/>
    <w:rsid w:val="00B0770C"/>
    <w:rsid w:val="00B07F80"/>
    <w:rsid w:val="00B10812"/>
    <w:rsid w:val="00B10AD2"/>
    <w:rsid w:val="00B110F7"/>
    <w:rsid w:val="00B116C6"/>
    <w:rsid w:val="00B116E9"/>
    <w:rsid w:val="00B12E2F"/>
    <w:rsid w:val="00B1393A"/>
    <w:rsid w:val="00B1395D"/>
    <w:rsid w:val="00B13F3A"/>
    <w:rsid w:val="00B141D5"/>
    <w:rsid w:val="00B14E8B"/>
    <w:rsid w:val="00B15393"/>
    <w:rsid w:val="00B15921"/>
    <w:rsid w:val="00B15A2A"/>
    <w:rsid w:val="00B15BCF"/>
    <w:rsid w:val="00B15C52"/>
    <w:rsid w:val="00B15D83"/>
    <w:rsid w:val="00B15E2D"/>
    <w:rsid w:val="00B15FAB"/>
    <w:rsid w:val="00B16118"/>
    <w:rsid w:val="00B1669A"/>
    <w:rsid w:val="00B168F6"/>
    <w:rsid w:val="00B16BD5"/>
    <w:rsid w:val="00B16D89"/>
    <w:rsid w:val="00B17079"/>
    <w:rsid w:val="00B17563"/>
    <w:rsid w:val="00B1787F"/>
    <w:rsid w:val="00B17B30"/>
    <w:rsid w:val="00B2016E"/>
    <w:rsid w:val="00B202F2"/>
    <w:rsid w:val="00B20BBC"/>
    <w:rsid w:val="00B20C8C"/>
    <w:rsid w:val="00B21366"/>
    <w:rsid w:val="00B214D3"/>
    <w:rsid w:val="00B2162D"/>
    <w:rsid w:val="00B21979"/>
    <w:rsid w:val="00B21E69"/>
    <w:rsid w:val="00B21E82"/>
    <w:rsid w:val="00B2208C"/>
    <w:rsid w:val="00B222BE"/>
    <w:rsid w:val="00B228CC"/>
    <w:rsid w:val="00B22C1D"/>
    <w:rsid w:val="00B22FD7"/>
    <w:rsid w:val="00B23090"/>
    <w:rsid w:val="00B240A1"/>
    <w:rsid w:val="00B244D9"/>
    <w:rsid w:val="00B24B1A"/>
    <w:rsid w:val="00B25103"/>
    <w:rsid w:val="00B25382"/>
    <w:rsid w:val="00B25427"/>
    <w:rsid w:val="00B254CD"/>
    <w:rsid w:val="00B259B3"/>
    <w:rsid w:val="00B25BDE"/>
    <w:rsid w:val="00B25D37"/>
    <w:rsid w:val="00B2643E"/>
    <w:rsid w:val="00B269E1"/>
    <w:rsid w:val="00B26CE0"/>
    <w:rsid w:val="00B27020"/>
    <w:rsid w:val="00B2710F"/>
    <w:rsid w:val="00B2787E"/>
    <w:rsid w:val="00B278F2"/>
    <w:rsid w:val="00B27F70"/>
    <w:rsid w:val="00B30288"/>
    <w:rsid w:val="00B30C17"/>
    <w:rsid w:val="00B30E6F"/>
    <w:rsid w:val="00B3103D"/>
    <w:rsid w:val="00B31253"/>
    <w:rsid w:val="00B31851"/>
    <w:rsid w:val="00B31D9A"/>
    <w:rsid w:val="00B320C6"/>
    <w:rsid w:val="00B3211D"/>
    <w:rsid w:val="00B323DE"/>
    <w:rsid w:val="00B32431"/>
    <w:rsid w:val="00B325D2"/>
    <w:rsid w:val="00B32770"/>
    <w:rsid w:val="00B327A7"/>
    <w:rsid w:val="00B32997"/>
    <w:rsid w:val="00B32D33"/>
    <w:rsid w:val="00B3343A"/>
    <w:rsid w:val="00B33A12"/>
    <w:rsid w:val="00B3404F"/>
    <w:rsid w:val="00B3477F"/>
    <w:rsid w:val="00B34D4E"/>
    <w:rsid w:val="00B34E2B"/>
    <w:rsid w:val="00B34F90"/>
    <w:rsid w:val="00B35054"/>
    <w:rsid w:val="00B356E7"/>
    <w:rsid w:val="00B359DF"/>
    <w:rsid w:val="00B35C9D"/>
    <w:rsid w:val="00B361E0"/>
    <w:rsid w:val="00B37B69"/>
    <w:rsid w:val="00B402DD"/>
    <w:rsid w:val="00B40669"/>
    <w:rsid w:val="00B406F1"/>
    <w:rsid w:val="00B4074B"/>
    <w:rsid w:val="00B40AE0"/>
    <w:rsid w:val="00B410A7"/>
    <w:rsid w:val="00B41734"/>
    <w:rsid w:val="00B42270"/>
    <w:rsid w:val="00B42C9E"/>
    <w:rsid w:val="00B4377D"/>
    <w:rsid w:val="00B4381A"/>
    <w:rsid w:val="00B438B1"/>
    <w:rsid w:val="00B43B4E"/>
    <w:rsid w:val="00B43BA1"/>
    <w:rsid w:val="00B4428C"/>
    <w:rsid w:val="00B4439F"/>
    <w:rsid w:val="00B447F7"/>
    <w:rsid w:val="00B44F30"/>
    <w:rsid w:val="00B45776"/>
    <w:rsid w:val="00B457CB"/>
    <w:rsid w:val="00B457CC"/>
    <w:rsid w:val="00B460A5"/>
    <w:rsid w:val="00B461B3"/>
    <w:rsid w:val="00B4645B"/>
    <w:rsid w:val="00B46B02"/>
    <w:rsid w:val="00B46E69"/>
    <w:rsid w:val="00B46F46"/>
    <w:rsid w:val="00B47067"/>
    <w:rsid w:val="00B471DC"/>
    <w:rsid w:val="00B47C12"/>
    <w:rsid w:val="00B50063"/>
    <w:rsid w:val="00B5045C"/>
    <w:rsid w:val="00B504D8"/>
    <w:rsid w:val="00B5156B"/>
    <w:rsid w:val="00B519A9"/>
    <w:rsid w:val="00B51A6F"/>
    <w:rsid w:val="00B51F47"/>
    <w:rsid w:val="00B52BA1"/>
    <w:rsid w:val="00B52D02"/>
    <w:rsid w:val="00B52D4B"/>
    <w:rsid w:val="00B52FA2"/>
    <w:rsid w:val="00B532D0"/>
    <w:rsid w:val="00B544E7"/>
    <w:rsid w:val="00B54535"/>
    <w:rsid w:val="00B54715"/>
    <w:rsid w:val="00B55453"/>
    <w:rsid w:val="00B555CC"/>
    <w:rsid w:val="00B55927"/>
    <w:rsid w:val="00B565A1"/>
    <w:rsid w:val="00B569F2"/>
    <w:rsid w:val="00B56C22"/>
    <w:rsid w:val="00B56C94"/>
    <w:rsid w:val="00B56D59"/>
    <w:rsid w:val="00B56DC1"/>
    <w:rsid w:val="00B57AEF"/>
    <w:rsid w:val="00B57CE4"/>
    <w:rsid w:val="00B600CE"/>
    <w:rsid w:val="00B611DB"/>
    <w:rsid w:val="00B6167A"/>
    <w:rsid w:val="00B616CE"/>
    <w:rsid w:val="00B6262E"/>
    <w:rsid w:val="00B6269B"/>
    <w:rsid w:val="00B62737"/>
    <w:rsid w:val="00B62749"/>
    <w:rsid w:val="00B63031"/>
    <w:rsid w:val="00B63198"/>
    <w:rsid w:val="00B633C3"/>
    <w:rsid w:val="00B63475"/>
    <w:rsid w:val="00B6357F"/>
    <w:rsid w:val="00B63FD3"/>
    <w:rsid w:val="00B64574"/>
    <w:rsid w:val="00B64A36"/>
    <w:rsid w:val="00B64AC6"/>
    <w:rsid w:val="00B64B1E"/>
    <w:rsid w:val="00B6514A"/>
    <w:rsid w:val="00B651B5"/>
    <w:rsid w:val="00B654AB"/>
    <w:rsid w:val="00B65AE8"/>
    <w:rsid w:val="00B66162"/>
    <w:rsid w:val="00B6650B"/>
    <w:rsid w:val="00B66BB5"/>
    <w:rsid w:val="00B66C4E"/>
    <w:rsid w:val="00B679C8"/>
    <w:rsid w:val="00B67ECC"/>
    <w:rsid w:val="00B67F5B"/>
    <w:rsid w:val="00B67FA0"/>
    <w:rsid w:val="00B70147"/>
    <w:rsid w:val="00B701CB"/>
    <w:rsid w:val="00B705F8"/>
    <w:rsid w:val="00B7073C"/>
    <w:rsid w:val="00B71048"/>
    <w:rsid w:val="00B71563"/>
    <w:rsid w:val="00B715A6"/>
    <w:rsid w:val="00B715E5"/>
    <w:rsid w:val="00B7173A"/>
    <w:rsid w:val="00B717C4"/>
    <w:rsid w:val="00B71C3E"/>
    <w:rsid w:val="00B71D0B"/>
    <w:rsid w:val="00B71DF5"/>
    <w:rsid w:val="00B71F91"/>
    <w:rsid w:val="00B71FB5"/>
    <w:rsid w:val="00B728D3"/>
    <w:rsid w:val="00B73B26"/>
    <w:rsid w:val="00B73CE0"/>
    <w:rsid w:val="00B73FE6"/>
    <w:rsid w:val="00B74005"/>
    <w:rsid w:val="00B745FD"/>
    <w:rsid w:val="00B7475A"/>
    <w:rsid w:val="00B754B1"/>
    <w:rsid w:val="00B75AB9"/>
    <w:rsid w:val="00B75CFB"/>
    <w:rsid w:val="00B75E88"/>
    <w:rsid w:val="00B77139"/>
    <w:rsid w:val="00B772DE"/>
    <w:rsid w:val="00B7747F"/>
    <w:rsid w:val="00B77494"/>
    <w:rsid w:val="00B77792"/>
    <w:rsid w:val="00B777A6"/>
    <w:rsid w:val="00B77BE3"/>
    <w:rsid w:val="00B77FAA"/>
    <w:rsid w:val="00B8017B"/>
    <w:rsid w:val="00B804AA"/>
    <w:rsid w:val="00B80C5F"/>
    <w:rsid w:val="00B80DD5"/>
    <w:rsid w:val="00B8122A"/>
    <w:rsid w:val="00B8140E"/>
    <w:rsid w:val="00B816E7"/>
    <w:rsid w:val="00B81BD6"/>
    <w:rsid w:val="00B81D82"/>
    <w:rsid w:val="00B82758"/>
    <w:rsid w:val="00B8284D"/>
    <w:rsid w:val="00B82A1D"/>
    <w:rsid w:val="00B82BFC"/>
    <w:rsid w:val="00B83089"/>
    <w:rsid w:val="00B830C8"/>
    <w:rsid w:val="00B8319E"/>
    <w:rsid w:val="00B832F3"/>
    <w:rsid w:val="00B83755"/>
    <w:rsid w:val="00B83943"/>
    <w:rsid w:val="00B83C34"/>
    <w:rsid w:val="00B84BD0"/>
    <w:rsid w:val="00B85B6B"/>
    <w:rsid w:val="00B85C8D"/>
    <w:rsid w:val="00B86088"/>
    <w:rsid w:val="00B8629B"/>
    <w:rsid w:val="00B86770"/>
    <w:rsid w:val="00B86D96"/>
    <w:rsid w:val="00B8733C"/>
    <w:rsid w:val="00B87362"/>
    <w:rsid w:val="00B87DD1"/>
    <w:rsid w:val="00B901D9"/>
    <w:rsid w:val="00B90739"/>
    <w:rsid w:val="00B91065"/>
    <w:rsid w:val="00B910EF"/>
    <w:rsid w:val="00B9116E"/>
    <w:rsid w:val="00B91173"/>
    <w:rsid w:val="00B9121F"/>
    <w:rsid w:val="00B91634"/>
    <w:rsid w:val="00B92B78"/>
    <w:rsid w:val="00B92CAD"/>
    <w:rsid w:val="00B92FF6"/>
    <w:rsid w:val="00B9318C"/>
    <w:rsid w:val="00B93940"/>
    <w:rsid w:val="00B93C3C"/>
    <w:rsid w:val="00B93E50"/>
    <w:rsid w:val="00B93EC4"/>
    <w:rsid w:val="00B940A4"/>
    <w:rsid w:val="00B9538D"/>
    <w:rsid w:val="00B9572F"/>
    <w:rsid w:val="00B9592F"/>
    <w:rsid w:val="00B96226"/>
    <w:rsid w:val="00B96362"/>
    <w:rsid w:val="00B965D1"/>
    <w:rsid w:val="00B96A4A"/>
    <w:rsid w:val="00B96CC9"/>
    <w:rsid w:val="00B96D2E"/>
    <w:rsid w:val="00B96E6F"/>
    <w:rsid w:val="00B96E97"/>
    <w:rsid w:val="00B9704B"/>
    <w:rsid w:val="00B97328"/>
    <w:rsid w:val="00B97396"/>
    <w:rsid w:val="00B97820"/>
    <w:rsid w:val="00B97B3C"/>
    <w:rsid w:val="00BA066F"/>
    <w:rsid w:val="00BA083F"/>
    <w:rsid w:val="00BA0A16"/>
    <w:rsid w:val="00BA0C05"/>
    <w:rsid w:val="00BA11FF"/>
    <w:rsid w:val="00BA17F9"/>
    <w:rsid w:val="00BA2D0E"/>
    <w:rsid w:val="00BA2E93"/>
    <w:rsid w:val="00BA3007"/>
    <w:rsid w:val="00BA3291"/>
    <w:rsid w:val="00BA3414"/>
    <w:rsid w:val="00BA3568"/>
    <w:rsid w:val="00BA3CBF"/>
    <w:rsid w:val="00BA3F8D"/>
    <w:rsid w:val="00BA4D58"/>
    <w:rsid w:val="00BA4DA7"/>
    <w:rsid w:val="00BA4FBB"/>
    <w:rsid w:val="00BA4FF0"/>
    <w:rsid w:val="00BA509B"/>
    <w:rsid w:val="00BA5A91"/>
    <w:rsid w:val="00BA62B4"/>
    <w:rsid w:val="00BA6F15"/>
    <w:rsid w:val="00BA70CE"/>
    <w:rsid w:val="00BA71E4"/>
    <w:rsid w:val="00BA772B"/>
    <w:rsid w:val="00BA792F"/>
    <w:rsid w:val="00BB00BD"/>
    <w:rsid w:val="00BB0207"/>
    <w:rsid w:val="00BB057A"/>
    <w:rsid w:val="00BB14D1"/>
    <w:rsid w:val="00BB16C2"/>
    <w:rsid w:val="00BB1963"/>
    <w:rsid w:val="00BB1B40"/>
    <w:rsid w:val="00BB1C76"/>
    <w:rsid w:val="00BB2086"/>
    <w:rsid w:val="00BB27CC"/>
    <w:rsid w:val="00BB2F6C"/>
    <w:rsid w:val="00BB34BE"/>
    <w:rsid w:val="00BB362C"/>
    <w:rsid w:val="00BB3754"/>
    <w:rsid w:val="00BB3A94"/>
    <w:rsid w:val="00BB3C67"/>
    <w:rsid w:val="00BB3DB3"/>
    <w:rsid w:val="00BB3E5A"/>
    <w:rsid w:val="00BB409C"/>
    <w:rsid w:val="00BB42C9"/>
    <w:rsid w:val="00BB4383"/>
    <w:rsid w:val="00BB4BAA"/>
    <w:rsid w:val="00BB5543"/>
    <w:rsid w:val="00BB58E8"/>
    <w:rsid w:val="00BB5B2D"/>
    <w:rsid w:val="00BB5E81"/>
    <w:rsid w:val="00BB62AA"/>
    <w:rsid w:val="00BB6412"/>
    <w:rsid w:val="00BB6A29"/>
    <w:rsid w:val="00BB7304"/>
    <w:rsid w:val="00BB75B9"/>
    <w:rsid w:val="00BB7716"/>
    <w:rsid w:val="00BB7947"/>
    <w:rsid w:val="00BB79CA"/>
    <w:rsid w:val="00BB7BD5"/>
    <w:rsid w:val="00BB7CB6"/>
    <w:rsid w:val="00BB7F7A"/>
    <w:rsid w:val="00BC0C0B"/>
    <w:rsid w:val="00BC126D"/>
    <w:rsid w:val="00BC166B"/>
    <w:rsid w:val="00BC2376"/>
    <w:rsid w:val="00BC2F08"/>
    <w:rsid w:val="00BC33E3"/>
    <w:rsid w:val="00BC34AE"/>
    <w:rsid w:val="00BC39D0"/>
    <w:rsid w:val="00BC39F1"/>
    <w:rsid w:val="00BC3A4A"/>
    <w:rsid w:val="00BC43F1"/>
    <w:rsid w:val="00BC47FD"/>
    <w:rsid w:val="00BC4A00"/>
    <w:rsid w:val="00BC4DFD"/>
    <w:rsid w:val="00BC5027"/>
    <w:rsid w:val="00BC54E1"/>
    <w:rsid w:val="00BC586F"/>
    <w:rsid w:val="00BC5DF2"/>
    <w:rsid w:val="00BC6199"/>
    <w:rsid w:val="00BC67BD"/>
    <w:rsid w:val="00BC6864"/>
    <w:rsid w:val="00BC6BAA"/>
    <w:rsid w:val="00BC6C2E"/>
    <w:rsid w:val="00BC75DF"/>
    <w:rsid w:val="00BC7637"/>
    <w:rsid w:val="00BD01F5"/>
    <w:rsid w:val="00BD0891"/>
    <w:rsid w:val="00BD0B2D"/>
    <w:rsid w:val="00BD0F95"/>
    <w:rsid w:val="00BD12B4"/>
    <w:rsid w:val="00BD187A"/>
    <w:rsid w:val="00BD207B"/>
    <w:rsid w:val="00BD2139"/>
    <w:rsid w:val="00BD2187"/>
    <w:rsid w:val="00BD2251"/>
    <w:rsid w:val="00BD2389"/>
    <w:rsid w:val="00BD273F"/>
    <w:rsid w:val="00BD2CEB"/>
    <w:rsid w:val="00BD34C8"/>
    <w:rsid w:val="00BD3504"/>
    <w:rsid w:val="00BD41FF"/>
    <w:rsid w:val="00BD4278"/>
    <w:rsid w:val="00BD4321"/>
    <w:rsid w:val="00BD44E3"/>
    <w:rsid w:val="00BD4A17"/>
    <w:rsid w:val="00BD5A3F"/>
    <w:rsid w:val="00BD6484"/>
    <w:rsid w:val="00BD689A"/>
    <w:rsid w:val="00BD6938"/>
    <w:rsid w:val="00BD6CDF"/>
    <w:rsid w:val="00BD6F85"/>
    <w:rsid w:val="00BD7140"/>
    <w:rsid w:val="00BD76C0"/>
    <w:rsid w:val="00BD7B67"/>
    <w:rsid w:val="00BD7BF2"/>
    <w:rsid w:val="00BE075E"/>
    <w:rsid w:val="00BE094A"/>
    <w:rsid w:val="00BE0E69"/>
    <w:rsid w:val="00BE0E92"/>
    <w:rsid w:val="00BE1680"/>
    <w:rsid w:val="00BE1C52"/>
    <w:rsid w:val="00BE1CA0"/>
    <w:rsid w:val="00BE1E34"/>
    <w:rsid w:val="00BE1F77"/>
    <w:rsid w:val="00BE2459"/>
    <w:rsid w:val="00BE2BF3"/>
    <w:rsid w:val="00BE2D69"/>
    <w:rsid w:val="00BE3194"/>
    <w:rsid w:val="00BE31B5"/>
    <w:rsid w:val="00BE3531"/>
    <w:rsid w:val="00BE367F"/>
    <w:rsid w:val="00BE4020"/>
    <w:rsid w:val="00BE44FA"/>
    <w:rsid w:val="00BE4DD7"/>
    <w:rsid w:val="00BE4DE9"/>
    <w:rsid w:val="00BE564F"/>
    <w:rsid w:val="00BE5656"/>
    <w:rsid w:val="00BE56C2"/>
    <w:rsid w:val="00BE59F3"/>
    <w:rsid w:val="00BE5FF1"/>
    <w:rsid w:val="00BE67E5"/>
    <w:rsid w:val="00BE69D0"/>
    <w:rsid w:val="00BE69DC"/>
    <w:rsid w:val="00BE6BCF"/>
    <w:rsid w:val="00BE6BD8"/>
    <w:rsid w:val="00BE6D3C"/>
    <w:rsid w:val="00BE7477"/>
    <w:rsid w:val="00BE7572"/>
    <w:rsid w:val="00BE7C54"/>
    <w:rsid w:val="00BF04C7"/>
    <w:rsid w:val="00BF0AEB"/>
    <w:rsid w:val="00BF0CA4"/>
    <w:rsid w:val="00BF0CD9"/>
    <w:rsid w:val="00BF0EEE"/>
    <w:rsid w:val="00BF0F2E"/>
    <w:rsid w:val="00BF0F45"/>
    <w:rsid w:val="00BF109A"/>
    <w:rsid w:val="00BF1357"/>
    <w:rsid w:val="00BF151A"/>
    <w:rsid w:val="00BF1769"/>
    <w:rsid w:val="00BF19E2"/>
    <w:rsid w:val="00BF1EC1"/>
    <w:rsid w:val="00BF1EE9"/>
    <w:rsid w:val="00BF238C"/>
    <w:rsid w:val="00BF2E84"/>
    <w:rsid w:val="00BF3607"/>
    <w:rsid w:val="00BF3827"/>
    <w:rsid w:val="00BF386D"/>
    <w:rsid w:val="00BF3FDA"/>
    <w:rsid w:val="00BF4237"/>
    <w:rsid w:val="00BF444C"/>
    <w:rsid w:val="00BF5413"/>
    <w:rsid w:val="00BF58B2"/>
    <w:rsid w:val="00BF5BE0"/>
    <w:rsid w:val="00BF5C7A"/>
    <w:rsid w:val="00BF6568"/>
    <w:rsid w:val="00BF67C4"/>
    <w:rsid w:val="00BF6B95"/>
    <w:rsid w:val="00BF6E04"/>
    <w:rsid w:val="00BF6FFB"/>
    <w:rsid w:val="00BF7065"/>
    <w:rsid w:val="00BF7258"/>
    <w:rsid w:val="00BF7400"/>
    <w:rsid w:val="00BF7537"/>
    <w:rsid w:val="00BF7547"/>
    <w:rsid w:val="00BF7637"/>
    <w:rsid w:val="00BF7D00"/>
    <w:rsid w:val="00BF7D4A"/>
    <w:rsid w:val="00BF7F21"/>
    <w:rsid w:val="00C0060B"/>
    <w:rsid w:val="00C00CCF"/>
    <w:rsid w:val="00C01200"/>
    <w:rsid w:val="00C013D3"/>
    <w:rsid w:val="00C01400"/>
    <w:rsid w:val="00C0172D"/>
    <w:rsid w:val="00C017B8"/>
    <w:rsid w:val="00C01FF6"/>
    <w:rsid w:val="00C029F7"/>
    <w:rsid w:val="00C02B54"/>
    <w:rsid w:val="00C02EA0"/>
    <w:rsid w:val="00C03548"/>
    <w:rsid w:val="00C03591"/>
    <w:rsid w:val="00C036B1"/>
    <w:rsid w:val="00C03905"/>
    <w:rsid w:val="00C03B92"/>
    <w:rsid w:val="00C03D96"/>
    <w:rsid w:val="00C0489E"/>
    <w:rsid w:val="00C04A66"/>
    <w:rsid w:val="00C04B56"/>
    <w:rsid w:val="00C0508F"/>
    <w:rsid w:val="00C0596A"/>
    <w:rsid w:val="00C0611E"/>
    <w:rsid w:val="00C07232"/>
    <w:rsid w:val="00C0783D"/>
    <w:rsid w:val="00C10076"/>
    <w:rsid w:val="00C10217"/>
    <w:rsid w:val="00C10375"/>
    <w:rsid w:val="00C10657"/>
    <w:rsid w:val="00C10A40"/>
    <w:rsid w:val="00C10AD8"/>
    <w:rsid w:val="00C1192A"/>
    <w:rsid w:val="00C119A1"/>
    <w:rsid w:val="00C12A72"/>
    <w:rsid w:val="00C12C2B"/>
    <w:rsid w:val="00C133F2"/>
    <w:rsid w:val="00C135D9"/>
    <w:rsid w:val="00C138D0"/>
    <w:rsid w:val="00C13C62"/>
    <w:rsid w:val="00C14453"/>
    <w:rsid w:val="00C14D1C"/>
    <w:rsid w:val="00C15069"/>
    <w:rsid w:val="00C15291"/>
    <w:rsid w:val="00C15351"/>
    <w:rsid w:val="00C15A90"/>
    <w:rsid w:val="00C15C2A"/>
    <w:rsid w:val="00C16502"/>
    <w:rsid w:val="00C16838"/>
    <w:rsid w:val="00C16A20"/>
    <w:rsid w:val="00C17095"/>
    <w:rsid w:val="00C1722C"/>
    <w:rsid w:val="00C17537"/>
    <w:rsid w:val="00C176EB"/>
    <w:rsid w:val="00C178CA"/>
    <w:rsid w:val="00C17A63"/>
    <w:rsid w:val="00C17AFC"/>
    <w:rsid w:val="00C20605"/>
    <w:rsid w:val="00C206F9"/>
    <w:rsid w:val="00C20C6F"/>
    <w:rsid w:val="00C211A2"/>
    <w:rsid w:val="00C219EB"/>
    <w:rsid w:val="00C22580"/>
    <w:rsid w:val="00C229D3"/>
    <w:rsid w:val="00C232CD"/>
    <w:rsid w:val="00C2334E"/>
    <w:rsid w:val="00C237D0"/>
    <w:rsid w:val="00C23ABC"/>
    <w:rsid w:val="00C24DE6"/>
    <w:rsid w:val="00C24FEF"/>
    <w:rsid w:val="00C25290"/>
    <w:rsid w:val="00C25680"/>
    <w:rsid w:val="00C25746"/>
    <w:rsid w:val="00C258A7"/>
    <w:rsid w:val="00C25D86"/>
    <w:rsid w:val="00C26034"/>
    <w:rsid w:val="00C266D1"/>
    <w:rsid w:val="00C26E02"/>
    <w:rsid w:val="00C273A6"/>
    <w:rsid w:val="00C27B96"/>
    <w:rsid w:val="00C3014C"/>
    <w:rsid w:val="00C311B3"/>
    <w:rsid w:val="00C31845"/>
    <w:rsid w:val="00C31901"/>
    <w:rsid w:val="00C31C51"/>
    <w:rsid w:val="00C327B5"/>
    <w:rsid w:val="00C33074"/>
    <w:rsid w:val="00C334D3"/>
    <w:rsid w:val="00C336BB"/>
    <w:rsid w:val="00C33D8C"/>
    <w:rsid w:val="00C340E7"/>
    <w:rsid w:val="00C34343"/>
    <w:rsid w:val="00C3470C"/>
    <w:rsid w:val="00C35056"/>
    <w:rsid w:val="00C3533E"/>
    <w:rsid w:val="00C356CF"/>
    <w:rsid w:val="00C36597"/>
    <w:rsid w:val="00C36CA3"/>
    <w:rsid w:val="00C36D3D"/>
    <w:rsid w:val="00C3714B"/>
    <w:rsid w:val="00C37542"/>
    <w:rsid w:val="00C37629"/>
    <w:rsid w:val="00C37643"/>
    <w:rsid w:val="00C37895"/>
    <w:rsid w:val="00C37E60"/>
    <w:rsid w:val="00C400FE"/>
    <w:rsid w:val="00C40F47"/>
    <w:rsid w:val="00C4118C"/>
    <w:rsid w:val="00C41571"/>
    <w:rsid w:val="00C41729"/>
    <w:rsid w:val="00C41738"/>
    <w:rsid w:val="00C41A23"/>
    <w:rsid w:val="00C41C6F"/>
    <w:rsid w:val="00C420CF"/>
    <w:rsid w:val="00C42630"/>
    <w:rsid w:val="00C4271A"/>
    <w:rsid w:val="00C427B8"/>
    <w:rsid w:val="00C428F5"/>
    <w:rsid w:val="00C42BD3"/>
    <w:rsid w:val="00C42D55"/>
    <w:rsid w:val="00C42DC3"/>
    <w:rsid w:val="00C430F0"/>
    <w:rsid w:val="00C43485"/>
    <w:rsid w:val="00C43687"/>
    <w:rsid w:val="00C44861"/>
    <w:rsid w:val="00C4566B"/>
    <w:rsid w:val="00C45883"/>
    <w:rsid w:val="00C463CD"/>
    <w:rsid w:val="00C4668B"/>
    <w:rsid w:val="00C4672F"/>
    <w:rsid w:val="00C47209"/>
    <w:rsid w:val="00C47498"/>
    <w:rsid w:val="00C4795B"/>
    <w:rsid w:val="00C50CE8"/>
    <w:rsid w:val="00C50EBF"/>
    <w:rsid w:val="00C50EC9"/>
    <w:rsid w:val="00C50EF2"/>
    <w:rsid w:val="00C51868"/>
    <w:rsid w:val="00C51BE3"/>
    <w:rsid w:val="00C51DF1"/>
    <w:rsid w:val="00C521D5"/>
    <w:rsid w:val="00C52235"/>
    <w:rsid w:val="00C52266"/>
    <w:rsid w:val="00C5227C"/>
    <w:rsid w:val="00C52303"/>
    <w:rsid w:val="00C5232D"/>
    <w:rsid w:val="00C52986"/>
    <w:rsid w:val="00C52CC9"/>
    <w:rsid w:val="00C539F7"/>
    <w:rsid w:val="00C53ED5"/>
    <w:rsid w:val="00C54436"/>
    <w:rsid w:val="00C54513"/>
    <w:rsid w:val="00C54957"/>
    <w:rsid w:val="00C54A3D"/>
    <w:rsid w:val="00C54B4E"/>
    <w:rsid w:val="00C55037"/>
    <w:rsid w:val="00C55095"/>
    <w:rsid w:val="00C5529C"/>
    <w:rsid w:val="00C55514"/>
    <w:rsid w:val="00C55932"/>
    <w:rsid w:val="00C55A38"/>
    <w:rsid w:val="00C55AF6"/>
    <w:rsid w:val="00C55BF7"/>
    <w:rsid w:val="00C5638C"/>
    <w:rsid w:val="00C56A15"/>
    <w:rsid w:val="00C56DE1"/>
    <w:rsid w:val="00C5717E"/>
    <w:rsid w:val="00C573E5"/>
    <w:rsid w:val="00C57483"/>
    <w:rsid w:val="00C57D12"/>
    <w:rsid w:val="00C57D5E"/>
    <w:rsid w:val="00C57DBE"/>
    <w:rsid w:val="00C6000B"/>
    <w:rsid w:val="00C60433"/>
    <w:rsid w:val="00C60C3E"/>
    <w:rsid w:val="00C60D15"/>
    <w:rsid w:val="00C60F97"/>
    <w:rsid w:val="00C612AB"/>
    <w:rsid w:val="00C61457"/>
    <w:rsid w:val="00C61AB5"/>
    <w:rsid w:val="00C61C76"/>
    <w:rsid w:val="00C61E9F"/>
    <w:rsid w:val="00C6220C"/>
    <w:rsid w:val="00C6233E"/>
    <w:rsid w:val="00C62390"/>
    <w:rsid w:val="00C629BE"/>
    <w:rsid w:val="00C62EC2"/>
    <w:rsid w:val="00C63556"/>
    <w:rsid w:val="00C63650"/>
    <w:rsid w:val="00C63BE0"/>
    <w:rsid w:val="00C63FE6"/>
    <w:rsid w:val="00C64A23"/>
    <w:rsid w:val="00C64CB1"/>
    <w:rsid w:val="00C64D1C"/>
    <w:rsid w:val="00C64DB3"/>
    <w:rsid w:val="00C65311"/>
    <w:rsid w:val="00C65492"/>
    <w:rsid w:val="00C65501"/>
    <w:rsid w:val="00C6551F"/>
    <w:rsid w:val="00C662D6"/>
    <w:rsid w:val="00C667F8"/>
    <w:rsid w:val="00C669ED"/>
    <w:rsid w:val="00C674E3"/>
    <w:rsid w:val="00C675F0"/>
    <w:rsid w:val="00C677A5"/>
    <w:rsid w:val="00C678FE"/>
    <w:rsid w:val="00C69B30"/>
    <w:rsid w:val="00C70398"/>
    <w:rsid w:val="00C70822"/>
    <w:rsid w:val="00C709BF"/>
    <w:rsid w:val="00C70B09"/>
    <w:rsid w:val="00C70DB2"/>
    <w:rsid w:val="00C71558"/>
    <w:rsid w:val="00C715D0"/>
    <w:rsid w:val="00C7165A"/>
    <w:rsid w:val="00C718EF"/>
    <w:rsid w:val="00C7208D"/>
    <w:rsid w:val="00C720FD"/>
    <w:rsid w:val="00C72189"/>
    <w:rsid w:val="00C72205"/>
    <w:rsid w:val="00C725C6"/>
    <w:rsid w:val="00C72704"/>
    <w:rsid w:val="00C72CBA"/>
    <w:rsid w:val="00C736CD"/>
    <w:rsid w:val="00C73753"/>
    <w:rsid w:val="00C7380B"/>
    <w:rsid w:val="00C73B1A"/>
    <w:rsid w:val="00C73BF8"/>
    <w:rsid w:val="00C73C13"/>
    <w:rsid w:val="00C741A1"/>
    <w:rsid w:val="00C755F3"/>
    <w:rsid w:val="00C7571B"/>
    <w:rsid w:val="00C758BF"/>
    <w:rsid w:val="00C758C3"/>
    <w:rsid w:val="00C75AE8"/>
    <w:rsid w:val="00C76002"/>
    <w:rsid w:val="00C763AC"/>
    <w:rsid w:val="00C76432"/>
    <w:rsid w:val="00C76668"/>
    <w:rsid w:val="00C76A9F"/>
    <w:rsid w:val="00C76FF0"/>
    <w:rsid w:val="00C7726C"/>
    <w:rsid w:val="00C7744B"/>
    <w:rsid w:val="00C7760F"/>
    <w:rsid w:val="00C7764C"/>
    <w:rsid w:val="00C77D9A"/>
    <w:rsid w:val="00C77EDB"/>
    <w:rsid w:val="00C802FD"/>
    <w:rsid w:val="00C80440"/>
    <w:rsid w:val="00C80AC4"/>
    <w:rsid w:val="00C80DD2"/>
    <w:rsid w:val="00C8106B"/>
    <w:rsid w:val="00C81A75"/>
    <w:rsid w:val="00C81C6B"/>
    <w:rsid w:val="00C82364"/>
    <w:rsid w:val="00C82589"/>
    <w:rsid w:val="00C82779"/>
    <w:rsid w:val="00C82919"/>
    <w:rsid w:val="00C82AC5"/>
    <w:rsid w:val="00C82D2E"/>
    <w:rsid w:val="00C82E06"/>
    <w:rsid w:val="00C82F4F"/>
    <w:rsid w:val="00C83F26"/>
    <w:rsid w:val="00C84548"/>
    <w:rsid w:val="00C86BAB"/>
    <w:rsid w:val="00C87937"/>
    <w:rsid w:val="00C9045B"/>
    <w:rsid w:val="00C90A9E"/>
    <w:rsid w:val="00C91A97"/>
    <w:rsid w:val="00C91D8D"/>
    <w:rsid w:val="00C9246E"/>
    <w:rsid w:val="00C92823"/>
    <w:rsid w:val="00C9313F"/>
    <w:rsid w:val="00C9364F"/>
    <w:rsid w:val="00C93AD6"/>
    <w:rsid w:val="00C93CDC"/>
    <w:rsid w:val="00C93E21"/>
    <w:rsid w:val="00C9441E"/>
    <w:rsid w:val="00C94C11"/>
    <w:rsid w:val="00C94E1C"/>
    <w:rsid w:val="00C9531B"/>
    <w:rsid w:val="00C9532E"/>
    <w:rsid w:val="00C956AC"/>
    <w:rsid w:val="00C959CE"/>
    <w:rsid w:val="00C95DFA"/>
    <w:rsid w:val="00C96321"/>
    <w:rsid w:val="00C96596"/>
    <w:rsid w:val="00C96D13"/>
    <w:rsid w:val="00C96D34"/>
    <w:rsid w:val="00C96E6C"/>
    <w:rsid w:val="00C96EE0"/>
    <w:rsid w:val="00C9701F"/>
    <w:rsid w:val="00C972B2"/>
    <w:rsid w:val="00C97307"/>
    <w:rsid w:val="00C973C3"/>
    <w:rsid w:val="00C9768A"/>
    <w:rsid w:val="00C97959"/>
    <w:rsid w:val="00C97C13"/>
    <w:rsid w:val="00C97D37"/>
    <w:rsid w:val="00C97D3E"/>
    <w:rsid w:val="00CA05ED"/>
    <w:rsid w:val="00CA0705"/>
    <w:rsid w:val="00CA0E63"/>
    <w:rsid w:val="00CA11BC"/>
    <w:rsid w:val="00CA1C85"/>
    <w:rsid w:val="00CA1EFC"/>
    <w:rsid w:val="00CA22ED"/>
    <w:rsid w:val="00CA3362"/>
    <w:rsid w:val="00CA36A5"/>
    <w:rsid w:val="00CA38BC"/>
    <w:rsid w:val="00CA3C8C"/>
    <w:rsid w:val="00CA4427"/>
    <w:rsid w:val="00CA476A"/>
    <w:rsid w:val="00CA4837"/>
    <w:rsid w:val="00CA4896"/>
    <w:rsid w:val="00CA4E90"/>
    <w:rsid w:val="00CA5161"/>
    <w:rsid w:val="00CA51F8"/>
    <w:rsid w:val="00CA533B"/>
    <w:rsid w:val="00CA5BB5"/>
    <w:rsid w:val="00CA5BC5"/>
    <w:rsid w:val="00CA5C29"/>
    <w:rsid w:val="00CA5D00"/>
    <w:rsid w:val="00CA619C"/>
    <w:rsid w:val="00CA625A"/>
    <w:rsid w:val="00CA63DC"/>
    <w:rsid w:val="00CA6CA0"/>
    <w:rsid w:val="00CA6DB2"/>
    <w:rsid w:val="00CA6E22"/>
    <w:rsid w:val="00CA7136"/>
    <w:rsid w:val="00CA71D8"/>
    <w:rsid w:val="00CA7D0A"/>
    <w:rsid w:val="00CA7F24"/>
    <w:rsid w:val="00CA7FBA"/>
    <w:rsid w:val="00CB06CC"/>
    <w:rsid w:val="00CB0710"/>
    <w:rsid w:val="00CB0B0F"/>
    <w:rsid w:val="00CB0BD5"/>
    <w:rsid w:val="00CB0D78"/>
    <w:rsid w:val="00CB0E60"/>
    <w:rsid w:val="00CB1577"/>
    <w:rsid w:val="00CB1968"/>
    <w:rsid w:val="00CB1A17"/>
    <w:rsid w:val="00CB1ABE"/>
    <w:rsid w:val="00CB25D2"/>
    <w:rsid w:val="00CB286F"/>
    <w:rsid w:val="00CB3749"/>
    <w:rsid w:val="00CB3759"/>
    <w:rsid w:val="00CB39C9"/>
    <w:rsid w:val="00CB427B"/>
    <w:rsid w:val="00CB45D0"/>
    <w:rsid w:val="00CB521E"/>
    <w:rsid w:val="00CB53A7"/>
    <w:rsid w:val="00CB53FD"/>
    <w:rsid w:val="00CB55E9"/>
    <w:rsid w:val="00CB59A0"/>
    <w:rsid w:val="00CB59E2"/>
    <w:rsid w:val="00CB5AAA"/>
    <w:rsid w:val="00CB5D61"/>
    <w:rsid w:val="00CB5EE3"/>
    <w:rsid w:val="00CB5F62"/>
    <w:rsid w:val="00CB5FA8"/>
    <w:rsid w:val="00CB66A1"/>
    <w:rsid w:val="00CB6A3D"/>
    <w:rsid w:val="00CB7DD7"/>
    <w:rsid w:val="00CB7ED9"/>
    <w:rsid w:val="00CC0156"/>
    <w:rsid w:val="00CC016B"/>
    <w:rsid w:val="00CC0788"/>
    <w:rsid w:val="00CC09B5"/>
    <w:rsid w:val="00CC0A5E"/>
    <w:rsid w:val="00CC1FA3"/>
    <w:rsid w:val="00CC2129"/>
    <w:rsid w:val="00CC2282"/>
    <w:rsid w:val="00CC2312"/>
    <w:rsid w:val="00CC2440"/>
    <w:rsid w:val="00CC246E"/>
    <w:rsid w:val="00CC251A"/>
    <w:rsid w:val="00CC27A9"/>
    <w:rsid w:val="00CC2EC5"/>
    <w:rsid w:val="00CC312A"/>
    <w:rsid w:val="00CC3724"/>
    <w:rsid w:val="00CC4040"/>
    <w:rsid w:val="00CC40E1"/>
    <w:rsid w:val="00CC4336"/>
    <w:rsid w:val="00CC4339"/>
    <w:rsid w:val="00CC4394"/>
    <w:rsid w:val="00CC4465"/>
    <w:rsid w:val="00CC466A"/>
    <w:rsid w:val="00CC4D57"/>
    <w:rsid w:val="00CC4F89"/>
    <w:rsid w:val="00CC506D"/>
    <w:rsid w:val="00CC6398"/>
    <w:rsid w:val="00CC72C1"/>
    <w:rsid w:val="00CC785D"/>
    <w:rsid w:val="00CC7A0D"/>
    <w:rsid w:val="00CC7E15"/>
    <w:rsid w:val="00CC7E90"/>
    <w:rsid w:val="00CD00B7"/>
    <w:rsid w:val="00CD0A56"/>
    <w:rsid w:val="00CD10EB"/>
    <w:rsid w:val="00CD1149"/>
    <w:rsid w:val="00CD11D0"/>
    <w:rsid w:val="00CD1301"/>
    <w:rsid w:val="00CD152C"/>
    <w:rsid w:val="00CD1CEE"/>
    <w:rsid w:val="00CD2204"/>
    <w:rsid w:val="00CD2219"/>
    <w:rsid w:val="00CD232B"/>
    <w:rsid w:val="00CD2885"/>
    <w:rsid w:val="00CD2B26"/>
    <w:rsid w:val="00CD2B36"/>
    <w:rsid w:val="00CD306A"/>
    <w:rsid w:val="00CD30D9"/>
    <w:rsid w:val="00CD3147"/>
    <w:rsid w:val="00CD3403"/>
    <w:rsid w:val="00CD3552"/>
    <w:rsid w:val="00CD3C03"/>
    <w:rsid w:val="00CD44D6"/>
    <w:rsid w:val="00CD4AAA"/>
    <w:rsid w:val="00CD4F54"/>
    <w:rsid w:val="00CD5125"/>
    <w:rsid w:val="00CD5B6A"/>
    <w:rsid w:val="00CD5D89"/>
    <w:rsid w:val="00CD5DCC"/>
    <w:rsid w:val="00CD6036"/>
    <w:rsid w:val="00CD633F"/>
    <w:rsid w:val="00CD63BB"/>
    <w:rsid w:val="00CD6505"/>
    <w:rsid w:val="00CD6AE1"/>
    <w:rsid w:val="00CD6B8D"/>
    <w:rsid w:val="00CD78D2"/>
    <w:rsid w:val="00CD7DA2"/>
    <w:rsid w:val="00CDAC7E"/>
    <w:rsid w:val="00CE09E0"/>
    <w:rsid w:val="00CE0D6A"/>
    <w:rsid w:val="00CE100F"/>
    <w:rsid w:val="00CE19CB"/>
    <w:rsid w:val="00CE1EA5"/>
    <w:rsid w:val="00CE1EB9"/>
    <w:rsid w:val="00CE1EBE"/>
    <w:rsid w:val="00CE1EC4"/>
    <w:rsid w:val="00CE1FE0"/>
    <w:rsid w:val="00CE2152"/>
    <w:rsid w:val="00CE22FD"/>
    <w:rsid w:val="00CE242A"/>
    <w:rsid w:val="00CE260D"/>
    <w:rsid w:val="00CE34E8"/>
    <w:rsid w:val="00CE4689"/>
    <w:rsid w:val="00CE4E1B"/>
    <w:rsid w:val="00CE5BE8"/>
    <w:rsid w:val="00CE61D6"/>
    <w:rsid w:val="00CE62B0"/>
    <w:rsid w:val="00CE6456"/>
    <w:rsid w:val="00CE67DC"/>
    <w:rsid w:val="00CE6B6A"/>
    <w:rsid w:val="00CE6C72"/>
    <w:rsid w:val="00CE7359"/>
    <w:rsid w:val="00CE75DA"/>
    <w:rsid w:val="00CE7DA2"/>
    <w:rsid w:val="00CF00A5"/>
    <w:rsid w:val="00CF045E"/>
    <w:rsid w:val="00CF04C1"/>
    <w:rsid w:val="00CF0692"/>
    <w:rsid w:val="00CF0729"/>
    <w:rsid w:val="00CF0A08"/>
    <w:rsid w:val="00CF187B"/>
    <w:rsid w:val="00CF1E53"/>
    <w:rsid w:val="00CF1F11"/>
    <w:rsid w:val="00CF2242"/>
    <w:rsid w:val="00CF2687"/>
    <w:rsid w:val="00CF29DF"/>
    <w:rsid w:val="00CF2E6C"/>
    <w:rsid w:val="00CF30C9"/>
    <w:rsid w:val="00CF3530"/>
    <w:rsid w:val="00CF354F"/>
    <w:rsid w:val="00CF38B3"/>
    <w:rsid w:val="00CF3A15"/>
    <w:rsid w:val="00CF40A1"/>
    <w:rsid w:val="00CF41C5"/>
    <w:rsid w:val="00CF46CF"/>
    <w:rsid w:val="00CF4D23"/>
    <w:rsid w:val="00CF5398"/>
    <w:rsid w:val="00CF6112"/>
    <w:rsid w:val="00CF6DE9"/>
    <w:rsid w:val="00CF7019"/>
    <w:rsid w:val="00CF750F"/>
    <w:rsid w:val="00CF76B1"/>
    <w:rsid w:val="00CF7774"/>
    <w:rsid w:val="00CF77A8"/>
    <w:rsid w:val="00D004C2"/>
    <w:rsid w:val="00D0114E"/>
    <w:rsid w:val="00D020A3"/>
    <w:rsid w:val="00D02374"/>
    <w:rsid w:val="00D02E50"/>
    <w:rsid w:val="00D031BE"/>
    <w:rsid w:val="00D031D2"/>
    <w:rsid w:val="00D032D6"/>
    <w:rsid w:val="00D0359F"/>
    <w:rsid w:val="00D039CD"/>
    <w:rsid w:val="00D03B4D"/>
    <w:rsid w:val="00D04241"/>
    <w:rsid w:val="00D04AFB"/>
    <w:rsid w:val="00D04B78"/>
    <w:rsid w:val="00D04D1B"/>
    <w:rsid w:val="00D0534D"/>
    <w:rsid w:val="00D055CF"/>
    <w:rsid w:val="00D05602"/>
    <w:rsid w:val="00D05B81"/>
    <w:rsid w:val="00D05FE9"/>
    <w:rsid w:val="00D064B0"/>
    <w:rsid w:val="00D0677E"/>
    <w:rsid w:val="00D06B33"/>
    <w:rsid w:val="00D06B39"/>
    <w:rsid w:val="00D0761D"/>
    <w:rsid w:val="00D078A6"/>
    <w:rsid w:val="00D079F3"/>
    <w:rsid w:val="00D07B4B"/>
    <w:rsid w:val="00D07E7D"/>
    <w:rsid w:val="00D1038B"/>
    <w:rsid w:val="00D10837"/>
    <w:rsid w:val="00D108B7"/>
    <w:rsid w:val="00D10966"/>
    <w:rsid w:val="00D10F50"/>
    <w:rsid w:val="00D11456"/>
    <w:rsid w:val="00D116EA"/>
    <w:rsid w:val="00D1176F"/>
    <w:rsid w:val="00D117D6"/>
    <w:rsid w:val="00D11A29"/>
    <w:rsid w:val="00D12013"/>
    <w:rsid w:val="00D125AB"/>
    <w:rsid w:val="00D129C7"/>
    <w:rsid w:val="00D12D6E"/>
    <w:rsid w:val="00D12DB9"/>
    <w:rsid w:val="00D13226"/>
    <w:rsid w:val="00D139A8"/>
    <w:rsid w:val="00D14304"/>
    <w:rsid w:val="00D14329"/>
    <w:rsid w:val="00D1494F"/>
    <w:rsid w:val="00D14BF4"/>
    <w:rsid w:val="00D14CEF"/>
    <w:rsid w:val="00D14DC9"/>
    <w:rsid w:val="00D151E2"/>
    <w:rsid w:val="00D152C3"/>
    <w:rsid w:val="00D153FE"/>
    <w:rsid w:val="00D158CB"/>
    <w:rsid w:val="00D15939"/>
    <w:rsid w:val="00D15D68"/>
    <w:rsid w:val="00D160E6"/>
    <w:rsid w:val="00D167E5"/>
    <w:rsid w:val="00D167F2"/>
    <w:rsid w:val="00D169A2"/>
    <w:rsid w:val="00D16CB5"/>
    <w:rsid w:val="00D16EE1"/>
    <w:rsid w:val="00D17936"/>
    <w:rsid w:val="00D20068"/>
    <w:rsid w:val="00D20399"/>
    <w:rsid w:val="00D208B0"/>
    <w:rsid w:val="00D20A53"/>
    <w:rsid w:val="00D20B0B"/>
    <w:rsid w:val="00D20BD9"/>
    <w:rsid w:val="00D214CF"/>
    <w:rsid w:val="00D21949"/>
    <w:rsid w:val="00D2275C"/>
    <w:rsid w:val="00D22861"/>
    <w:rsid w:val="00D22894"/>
    <w:rsid w:val="00D229C0"/>
    <w:rsid w:val="00D22ECA"/>
    <w:rsid w:val="00D23479"/>
    <w:rsid w:val="00D2356E"/>
    <w:rsid w:val="00D2387E"/>
    <w:rsid w:val="00D239B3"/>
    <w:rsid w:val="00D23FD0"/>
    <w:rsid w:val="00D2433D"/>
    <w:rsid w:val="00D246A1"/>
    <w:rsid w:val="00D24715"/>
    <w:rsid w:val="00D24D79"/>
    <w:rsid w:val="00D24DE0"/>
    <w:rsid w:val="00D24DEF"/>
    <w:rsid w:val="00D25474"/>
    <w:rsid w:val="00D2570B"/>
    <w:rsid w:val="00D25A7E"/>
    <w:rsid w:val="00D26320"/>
    <w:rsid w:val="00D26519"/>
    <w:rsid w:val="00D2664D"/>
    <w:rsid w:val="00D266B9"/>
    <w:rsid w:val="00D2685B"/>
    <w:rsid w:val="00D26DE6"/>
    <w:rsid w:val="00D2787B"/>
    <w:rsid w:val="00D3045C"/>
    <w:rsid w:val="00D30824"/>
    <w:rsid w:val="00D30B9E"/>
    <w:rsid w:val="00D30DE4"/>
    <w:rsid w:val="00D30F79"/>
    <w:rsid w:val="00D31582"/>
    <w:rsid w:val="00D316BA"/>
    <w:rsid w:val="00D3184F"/>
    <w:rsid w:val="00D31BD4"/>
    <w:rsid w:val="00D31C11"/>
    <w:rsid w:val="00D32230"/>
    <w:rsid w:val="00D3224A"/>
    <w:rsid w:val="00D3249B"/>
    <w:rsid w:val="00D3299D"/>
    <w:rsid w:val="00D32B80"/>
    <w:rsid w:val="00D33066"/>
    <w:rsid w:val="00D330E3"/>
    <w:rsid w:val="00D33123"/>
    <w:rsid w:val="00D33295"/>
    <w:rsid w:val="00D332AA"/>
    <w:rsid w:val="00D33876"/>
    <w:rsid w:val="00D338D8"/>
    <w:rsid w:val="00D33929"/>
    <w:rsid w:val="00D339AB"/>
    <w:rsid w:val="00D33B3A"/>
    <w:rsid w:val="00D33DF1"/>
    <w:rsid w:val="00D3438F"/>
    <w:rsid w:val="00D34400"/>
    <w:rsid w:val="00D34D35"/>
    <w:rsid w:val="00D34EF6"/>
    <w:rsid w:val="00D35438"/>
    <w:rsid w:val="00D35B8E"/>
    <w:rsid w:val="00D35C0A"/>
    <w:rsid w:val="00D35C41"/>
    <w:rsid w:val="00D36585"/>
    <w:rsid w:val="00D3695F"/>
    <w:rsid w:val="00D36D92"/>
    <w:rsid w:val="00D37616"/>
    <w:rsid w:val="00D37C00"/>
    <w:rsid w:val="00D37E0C"/>
    <w:rsid w:val="00D407DC"/>
    <w:rsid w:val="00D42B09"/>
    <w:rsid w:val="00D42B20"/>
    <w:rsid w:val="00D42E7A"/>
    <w:rsid w:val="00D42F82"/>
    <w:rsid w:val="00D4364C"/>
    <w:rsid w:val="00D438B9"/>
    <w:rsid w:val="00D43A1B"/>
    <w:rsid w:val="00D43A79"/>
    <w:rsid w:val="00D446BE"/>
    <w:rsid w:val="00D44B69"/>
    <w:rsid w:val="00D44CE1"/>
    <w:rsid w:val="00D45312"/>
    <w:rsid w:val="00D45C6D"/>
    <w:rsid w:val="00D45D2E"/>
    <w:rsid w:val="00D45E59"/>
    <w:rsid w:val="00D45E8F"/>
    <w:rsid w:val="00D4612A"/>
    <w:rsid w:val="00D46378"/>
    <w:rsid w:val="00D4662E"/>
    <w:rsid w:val="00D46696"/>
    <w:rsid w:val="00D467FE"/>
    <w:rsid w:val="00D4699F"/>
    <w:rsid w:val="00D46B64"/>
    <w:rsid w:val="00D46C17"/>
    <w:rsid w:val="00D47601"/>
    <w:rsid w:val="00D47D1F"/>
    <w:rsid w:val="00D502D6"/>
    <w:rsid w:val="00D50819"/>
    <w:rsid w:val="00D50A89"/>
    <w:rsid w:val="00D50CAD"/>
    <w:rsid w:val="00D5124B"/>
    <w:rsid w:val="00D52160"/>
    <w:rsid w:val="00D52290"/>
    <w:rsid w:val="00D52C3D"/>
    <w:rsid w:val="00D53990"/>
    <w:rsid w:val="00D53CA8"/>
    <w:rsid w:val="00D53DAE"/>
    <w:rsid w:val="00D5422F"/>
    <w:rsid w:val="00D5424C"/>
    <w:rsid w:val="00D549A4"/>
    <w:rsid w:val="00D553CD"/>
    <w:rsid w:val="00D55B6F"/>
    <w:rsid w:val="00D56142"/>
    <w:rsid w:val="00D56334"/>
    <w:rsid w:val="00D57129"/>
    <w:rsid w:val="00D574ED"/>
    <w:rsid w:val="00D57A7F"/>
    <w:rsid w:val="00D60331"/>
    <w:rsid w:val="00D603C3"/>
    <w:rsid w:val="00D60A39"/>
    <w:rsid w:val="00D60BA8"/>
    <w:rsid w:val="00D60CA5"/>
    <w:rsid w:val="00D60FE2"/>
    <w:rsid w:val="00D611B1"/>
    <w:rsid w:val="00D617D1"/>
    <w:rsid w:val="00D61A66"/>
    <w:rsid w:val="00D61AC8"/>
    <w:rsid w:val="00D61BCF"/>
    <w:rsid w:val="00D61D0B"/>
    <w:rsid w:val="00D6218F"/>
    <w:rsid w:val="00D62440"/>
    <w:rsid w:val="00D6249B"/>
    <w:rsid w:val="00D62C46"/>
    <w:rsid w:val="00D632A8"/>
    <w:rsid w:val="00D63BD6"/>
    <w:rsid w:val="00D64A49"/>
    <w:rsid w:val="00D64EAF"/>
    <w:rsid w:val="00D64F9C"/>
    <w:rsid w:val="00D651ED"/>
    <w:rsid w:val="00D6549B"/>
    <w:rsid w:val="00D6556A"/>
    <w:rsid w:val="00D65914"/>
    <w:rsid w:val="00D65EF7"/>
    <w:rsid w:val="00D65EFC"/>
    <w:rsid w:val="00D66276"/>
    <w:rsid w:val="00D666B7"/>
    <w:rsid w:val="00D66882"/>
    <w:rsid w:val="00D66AC6"/>
    <w:rsid w:val="00D66C78"/>
    <w:rsid w:val="00D670CC"/>
    <w:rsid w:val="00D675CF"/>
    <w:rsid w:val="00D6771D"/>
    <w:rsid w:val="00D67779"/>
    <w:rsid w:val="00D70013"/>
    <w:rsid w:val="00D70513"/>
    <w:rsid w:val="00D70793"/>
    <w:rsid w:val="00D7119D"/>
    <w:rsid w:val="00D711FE"/>
    <w:rsid w:val="00D7141B"/>
    <w:rsid w:val="00D71568"/>
    <w:rsid w:val="00D7189B"/>
    <w:rsid w:val="00D720AC"/>
    <w:rsid w:val="00D720E0"/>
    <w:rsid w:val="00D729F9"/>
    <w:rsid w:val="00D72B34"/>
    <w:rsid w:val="00D72DCD"/>
    <w:rsid w:val="00D7314D"/>
    <w:rsid w:val="00D733B1"/>
    <w:rsid w:val="00D739BD"/>
    <w:rsid w:val="00D73AC4"/>
    <w:rsid w:val="00D73B97"/>
    <w:rsid w:val="00D742F3"/>
    <w:rsid w:val="00D74500"/>
    <w:rsid w:val="00D7484A"/>
    <w:rsid w:val="00D74A70"/>
    <w:rsid w:val="00D74BA1"/>
    <w:rsid w:val="00D757CD"/>
    <w:rsid w:val="00D75A72"/>
    <w:rsid w:val="00D75AB7"/>
    <w:rsid w:val="00D7604E"/>
    <w:rsid w:val="00D766D1"/>
    <w:rsid w:val="00D76A39"/>
    <w:rsid w:val="00D76F03"/>
    <w:rsid w:val="00D77AE8"/>
    <w:rsid w:val="00D800EC"/>
    <w:rsid w:val="00D809D2"/>
    <w:rsid w:val="00D80C33"/>
    <w:rsid w:val="00D811D2"/>
    <w:rsid w:val="00D814F9"/>
    <w:rsid w:val="00D8198D"/>
    <w:rsid w:val="00D82749"/>
    <w:rsid w:val="00D83073"/>
    <w:rsid w:val="00D8391C"/>
    <w:rsid w:val="00D84817"/>
    <w:rsid w:val="00D84BB5"/>
    <w:rsid w:val="00D84C51"/>
    <w:rsid w:val="00D84E5E"/>
    <w:rsid w:val="00D84EFF"/>
    <w:rsid w:val="00D84F6C"/>
    <w:rsid w:val="00D856B7"/>
    <w:rsid w:val="00D8588D"/>
    <w:rsid w:val="00D85E02"/>
    <w:rsid w:val="00D86722"/>
    <w:rsid w:val="00D869EA"/>
    <w:rsid w:val="00D86DD9"/>
    <w:rsid w:val="00D86F64"/>
    <w:rsid w:val="00D87BA9"/>
    <w:rsid w:val="00D900B0"/>
    <w:rsid w:val="00D902A8"/>
    <w:rsid w:val="00D907D0"/>
    <w:rsid w:val="00D90973"/>
    <w:rsid w:val="00D911D9"/>
    <w:rsid w:val="00D918C6"/>
    <w:rsid w:val="00D91905"/>
    <w:rsid w:val="00D9212C"/>
    <w:rsid w:val="00D9233F"/>
    <w:rsid w:val="00D92D41"/>
    <w:rsid w:val="00D92EA0"/>
    <w:rsid w:val="00D93309"/>
    <w:rsid w:val="00D9427E"/>
    <w:rsid w:val="00D9466A"/>
    <w:rsid w:val="00D94716"/>
    <w:rsid w:val="00D94CC1"/>
    <w:rsid w:val="00D94ECC"/>
    <w:rsid w:val="00D95338"/>
    <w:rsid w:val="00D9542D"/>
    <w:rsid w:val="00D9546C"/>
    <w:rsid w:val="00D959D0"/>
    <w:rsid w:val="00D95C2C"/>
    <w:rsid w:val="00D95C6A"/>
    <w:rsid w:val="00D95E30"/>
    <w:rsid w:val="00D96178"/>
    <w:rsid w:val="00D9696A"/>
    <w:rsid w:val="00D96C79"/>
    <w:rsid w:val="00D97DD4"/>
    <w:rsid w:val="00D97E76"/>
    <w:rsid w:val="00DA022A"/>
    <w:rsid w:val="00DA03B4"/>
    <w:rsid w:val="00DA0537"/>
    <w:rsid w:val="00DA0AE5"/>
    <w:rsid w:val="00DA0E14"/>
    <w:rsid w:val="00DA11B8"/>
    <w:rsid w:val="00DA11F9"/>
    <w:rsid w:val="00DA16C1"/>
    <w:rsid w:val="00DA1701"/>
    <w:rsid w:val="00DA1C10"/>
    <w:rsid w:val="00DA2124"/>
    <w:rsid w:val="00DA24DE"/>
    <w:rsid w:val="00DA347F"/>
    <w:rsid w:val="00DA3C01"/>
    <w:rsid w:val="00DA413B"/>
    <w:rsid w:val="00DA42C4"/>
    <w:rsid w:val="00DA4A2B"/>
    <w:rsid w:val="00DA53CD"/>
    <w:rsid w:val="00DA5661"/>
    <w:rsid w:val="00DA56EA"/>
    <w:rsid w:val="00DA57BE"/>
    <w:rsid w:val="00DA5CBD"/>
    <w:rsid w:val="00DA62A3"/>
    <w:rsid w:val="00DA657E"/>
    <w:rsid w:val="00DA66C2"/>
    <w:rsid w:val="00DA7362"/>
    <w:rsid w:val="00DA74D0"/>
    <w:rsid w:val="00DA7C35"/>
    <w:rsid w:val="00DB02BD"/>
    <w:rsid w:val="00DB02EE"/>
    <w:rsid w:val="00DB0583"/>
    <w:rsid w:val="00DB07E2"/>
    <w:rsid w:val="00DB11B3"/>
    <w:rsid w:val="00DB1237"/>
    <w:rsid w:val="00DB1489"/>
    <w:rsid w:val="00DB2127"/>
    <w:rsid w:val="00DB223F"/>
    <w:rsid w:val="00DB277F"/>
    <w:rsid w:val="00DB2A64"/>
    <w:rsid w:val="00DB2B30"/>
    <w:rsid w:val="00DB2CA1"/>
    <w:rsid w:val="00DB2D40"/>
    <w:rsid w:val="00DB31DD"/>
    <w:rsid w:val="00DB3BDC"/>
    <w:rsid w:val="00DB3EED"/>
    <w:rsid w:val="00DB40E7"/>
    <w:rsid w:val="00DB4253"/>
    <w:rsid w:val="00DB4404"/>
    <w:rsid w:val="00DB447D"/>
    <w:rsid w:val="00DB4633"/>
    <w:rsid w:val="00DB48E7"/>
    <w:rsid w:val="00DB4B58"/>
    <w:rsid w:val="00DB4D8B"/>
    <w:rsid w:val="00DB51A0"/>
    <w:rsid w:val="00DB566C"/>
    <w:rsid w:val="00DB5690"/>
    <w:rsid w:val="00DB6028"/>
    <w:rsid w:val="00DB6265"/>
    <w:rsid w:val="00DB63C3"/>
    <w:rsid w:val="00DB6A3C"/>
    <w:rsid w:val="00DB6B8E"/>
    <w:rsid w:val="00DB75BD"/>
    <w:rsid w:val="00DB7F73"/>
    <w:rsid w:val="00DB7FA0"/>
    <w:rsid w:val="00DC00F3"/>
    <w:rsid w:val="00DC0218"/>
    <w:rsid w:val="00DC0444"/>
    <w:rsid w:val="00DC0CA7"/>
    <w:rsid w:val="00DC0D1E"/>
    <w:rsid w:val="00DC13D3"/>
    <w:rsid w:val="00DC1C6F"/>
    <w:rsid w:val="00DC2048"/>
    <w:rsid w:val="00DC2295"/>
    <w:rsid w:val="00DC2391"/>
    <w:rsid w:val="00DC29BC"/>
    <w:rsid w:val="00DC2F65"/>
    <w:rsid w:val="00DC2FD0"/>
    <w:rsid w:val="00DC30D0"/>
    <w:rsid w:val="00DC339C"/>
    <w:rsid w:val="00DC3C67"/>
    <w:rsid w:val="00DC3D47"/>
    <w:rsid w:val="00DC49DC"/>
    <w:rsid w:val="00DC4EC8"/>
    <w:rsid w:val="00DC521A"/>
    <w:rsid w:val="00DC57AE"/>
    <w:rsid w:val="00DC57BB"/>
    <w:rsid w:val="00DC5E8F"/>
    <w:rsid w:val="00DC645C"/>
    <w:rsid w:val="00DC67EF"/>
    <w:rsid w:val="00DC6892"/>
    <w:rsid w:val="00DC6A06"/>
    <w:rsid w:val="00DC708E"/>
    <w:rsid w:val="00DC7A23"/>
    <w:rsid w:val="00DC7A2A"/>
    <w:rsid w:val="00DC7C0F"/>
    <w:rsid w:val="00DD0E11"/>
    <w:rsid w:val="00DD12CE"/>
    <w:rsid w:val="00DD1EC0"/>
    <w:rsid w:val="00DD20E7"/>
    <w:rsid w:val="00DD29AD"/>
    <w:rsid w:val="00DD3096"/>
    <w:rsid w:val="00DD3159"/>
    <w:rsid w:val="00DD44E0"/>
    <w:rsid w:val="00DD45F4"/>
    <w:rsid w:val="00DD4E61"/>
    <w:rsid w:val="00DD51B4"/>
    <w:rsid w:val="00DD5585"/>
    <w:rsid w:val="00DD5D8F"/>
    <w:rsid w:val="00DD604B"/>
    <w:rsid w:val="00DD60F2"/>
    <w:rsid w:val="00DD6FE3"/>
    <w:rsid w:val="00DD7590"/>
    <w:rsid w:val="00DD7BFD"/>
    <w:rsid w:val="00DD7EFF"/>
    <w:rsid w:val="00DE059F"/>
    <w:rsid w:val="00DE0911"/>
    <w:rsid w:val="00DE0BDB"/>
    <w:rsid w:val="00DE0DF0"/>
    <w:rsid w:val="00DE0E4B"/>
    <w:rsid w:val="00DE0F36"/>
    <w:rsid w:val="00DE13D0"/>
    <w:rsid w:val="00DE1D3F"/>
    <w:rsid w:val="00DE1D87"/>
    <w:rsid w:val="00DE1E6C"/>
    <w:rsid w:val="00DE203F"/>
    <w:rsid w:val="00DE2314"/>
    <w:rsid w:val="00DE2BE5"/>
    <w:rsid w:val="00DE2F23"/>
    <w:rsid w:val="00DE2F8E"/>
    <w:rsid w:val="00DE3288"/>
    <w:rsid w:val="00DE3AF3"/>
    <w:rsid w:val="00DE3FD2"/>
    <w:rsid w:val="00DE4613"/>
    <w:rsid w:val="00DE4B13"/>
    <w:rsid w:val="00DE4BF7"/>
    <w:rsid w:val="00DE53C8"/>
    <w:rsid w:val="00DE5B2C"/>
    <w:rsid w:val="00DE5D54"/>
    <w:rsid w:val="00DE6584"/>
    <w:rsid w:val="00DE6C5B"/>
    <w:rsid w:val="00DE6F45"/>
    <w:rsid w:val="00DE7885"/>
    <w:rsid w:val="00DE79FF"/>
    <w:rsid w:val="00DE7A3E"/>
    <w:rsid w:val="00DE7EC1"/>
    <w:rsid w:val="00DF0269"/>
    <w:rsid w:val="00DF02DF"/>
    <w:rsid w:val="00DF0344"/>
    <w:rsid w:val="00DF0B3A"/>
    <w:rsid w:val="00DF0C5D"/>
    <w:rsid w:val="00DF0E2A"/>
    <w:rsid w:val="00DF1C12"/>
    <w:rsid w:val="00DF1C9B"/>
    <w:rsid w:val="00DF1D5D"/>
    <w:rsid w:val="00DF1DFD"/>
    <w:rsid w:val="00DF1EF9"/>
    <w:rsid w:val="00DF1FE4"/>
    <w:rsid w:val="00DF222E"/>
    <w:rsid w:val="00DF2950"/>
    <w:rsid w:val="00DF2AA0"/>
    <w:rsid w:val="00DF2AEF"/>
    <w:rsid w:val="00DF2C3D"/>
    <w:rsid w:val="00DF3267"/>
    <w:rsid w:val="00DF38E4"/>
    <w:rsid w:val="00DF3996"/>
    <w:rsid w:val="00DF3B56"/>
    <w:rsid w:val="00DF3E99"/>
    <w:rsid w:val="00DF4ECE"/>
    <w:rsid w:val="00DF50FB"/>
    <w:rsid w:val="00DF544C"/>
    <w:rsid w:val="00DF622F"/>
    <w:rsid w:val="00DF6492"/>
    <w:rsid w:val="00DF6BAA"/>
    <w:rsid w:val="00DF6C85"/>
    <w:rsid w:val="00DF74B6"/>
    <w:rsid w:val="00DF7BA1"/>
    <w:rsid w:val="00DF7CCF"/>
    <w:rsid w:val="00DF7DD1"/>
    <w:rsid w:val="00DF7F12"/>
    <w:rsid w:val="00E00059"/>
    <w:rsid w:val="00E00BDB"/>
    <w:rsid w:val="00E016E9"/>
    <w:rsid w:val="00E01AF6"/>
    <w:rsid w:val="00E01D52"/>
    <w:rsid w:val="00E01E3A"/>
    <w:rsid w:val="00E020F6"/>
    <w:rsid w:val="00E02B23"/>
    <w:rsid w:val="00E02F11"/>
    <w:rsid w:val="00E033A2"/>
    <w:rsid w:val="00E03BE0"/>
    <w:rsid w:val="00E040FC"/>
    <w:rsid w:val="00E04157"/>
    <w:rsid w:val="00E04301"/>
    <w:rsid w:val="00E04A2F"/>
    <w:rsid w:val="00E04C0A"/>
    <w:rsid w:val="00E050CF"/>
    <w:rsid w:val="00E052FB"/>
    <w:rsid w:val="00E057A0"/>
    <w:rsid w:val="00E058EC"/>
    <w:rsid w:val="00E05925"/>
    <w:rsid w:val="00E05B1C"/>
    <w:rsid w:val="00E05C47"/>
    <w:rsid w:val="00E05CB1"/>
    <w:rsid w:val="00E05EAC"/>
    <w:rsid w:val="00E0687A"/>
    <w:rsid w:val="00E07439"/>
    <w:rsid w:val="00E07B57"/>
    <w:rsid w:val="00E07BD1"/>
    <w:rsid w:val="00E07DF2"/>
    <w:rsid w:val="00E1017E"/>
    <w:rsid w:val="00E101CA"/>
    <w:rsid w:val="00E103F2"/>
    <w:rsid w:val="00E10C7F"/>
    <w:rsid w:val="00E10D3B"/>
    <w:rsid w:val="00E119C7"/>
    <w:rsid w:val="00E11FAA"/>
    <w:rsid w:val="00E127FF"/>
    <w:rsid w:val="00E129D5"/>
    <w:rsid w:val="00E12CA9"/>
    <w:rsid w:val="00E12F2D"/>
    <w:rsid w:val="00E12FED"/>
    <w:rsid w:val="00E1383B"/>
    <w:rsid w:val="00E13ABD"/>
    <w:rsid w:val="00E13F9B"/>
    <w:rsid w:val="00E142CC"/>
    <w:rsid w:val="00E14809"/>
    <w:rsid w:val="00E14C34"/>
    <w:rsid w:val="00E1551B"/>
    <w:rsid w:val="00E1553D"/>
    <w:rsid w:val="00E16017"/>
    <w:rsid w:val="00E163C5"/>
    <w:rsid w:val="00E16872"/>
    <w:rsid w:val="00E16A63"/>
    <w:rsid w:val="00E16BA5"/>
    <w:rsid w:val="00E16E16"/>
    <w:rsid w:val="00E16E99"/>
    <w:rsid w:val="00E16F6F"/>
    <w:rsid w:val="00E174DB"/>
    <w:rsid w:val="00E17B74"/>
    <w:rsid w:val="00E17D27"/>
    <w:rsid w:val="00E2000F"/>
    <w:rsid w:val="00E20071"/>
    <w:rsid w:val="00E2010A"/>
    <w:rsid w:val="00E20115"/>
    <w:rsid w:val="00E21324"/>
    <w:rsid w:val="00E218FF"/>
    <w:rsid w:val="00E21A26"/>
    <w:rsid w:val="00E22856"/>
    <w:rsid w:val="00E22890"/>
    <w:rsid w:val="00E22FCB"/>
    <w:rsid w:val="00E23298"/>
    <w:rsid w:val="00E233D3"/>
    <w:rsid w:val="00E235E7"/>
    <w:rsid w:val="00E23624"/>
    <w:rsid w:val="00E23F91"/>
    <w:rsid w:val="00E2408E"/>
    <w:rsid w:val="00E241E7"/>
    <w:rsid w:val="00E2431F"/>
    <w:rsid w:val="00E24430"/>
    <w:rsid w:val="00E244C2"/>
    <w:rsid w:val="00E245CB"/>
    <w:rsid w:val="00E2491D"/>
    <w:rsid w:val="00E24A9B"/>
    <w:rsid w:val="00E252A8"/>
    <w:rsid w:val="00E25578"/>
    <w:rsid w:val="00E255B3"/>
    <w:rsid w:val="00E2578B"/>
    <w:rsid w:val="00E259E1"/>
    <w:rsid w:val="00E25A3F"/>
    <w:rsid w:val="00E25B7E"/>
    <w:rsid w:val="00E25CAC"/>
    <w:rsid w:val="00E26325"/>
    <w:rsid w:val="00E264BC"/>
    <w:rsid w:val="00E26736"/>
    <w:rsid w:val="00E268C4"/>
    <w:rsid w:val="00E268F9"/>
    <w:rsid w:val="00E26B09"/>
    <w:rsid w:val="00E26EDF"/>
    <w:rsid w:val="00E270BE"/>
    <w:rsid w:val="00E274A3"/>
    <w:rsid w:val="00E3038A"/>
    <w:rsid w:val="00E306FF"/>
    <w:rsid w:val="00E30D98"/>
    <w:rsid w:val="00E318D7"/>
    <w:rsid w:val="00E31EE1"/>
    <w:rsid w:val="00E320C4"/>
    <w:rsid w:val="00E32301"/>
    <w:rsid w:val="00E32C07"/>
    <w:rsid w:val="00E32E03"/>
    <w:rsid w:val="00E32EFF"/>
    <w:rsid w:val="00E332EA"/>
    <w:rsid w:val="00E338D8"/>
    <w:rsid w:val="00E33B06"/>
    <w:rsid w:val="00E33CBD"/>
    <w:rsid w:val="00E33DA0"/>
    <w:rsid w:val="00E33F09"/>
    <w:rsid w:val="00E33F2A"/>
    <w:rsid w:val="00E3462F"/>
    <w:rsid w:val="00E34722"/>
    <w:rsid w:val="00E35AF6"/>
    <w:rsid w:val="00E35D10"/>
    <w:rsid w:val="00E36110"/>
    <w:rsid w:val="00E3612F"/>
    <w:rsid w:val="00E36B3C"/>
    <w:rsid w:val="00E36E7B"/>
    <w:rsid w:val="00E37575"/>
    <w:rsid w:val="00E37754"/>
    <w:rsid w:val="00E37B44"/>
    <w:rsid w:val="00E37BB9"/>
    <w:rsid w:val="00E40E4F"/>
    <w:rsid w:val="00E41208"/>
    <w:rsid w:val="00E415CA"/>
    <w:rsid w:val="00E41601"/>
    <w:rsid w:val="00E41AD3"/>
    <w:rsid w:val="00E41CC2"/>
    <w:rsid w:val="00E41DC8"/>
    <w:rsid w:val="00E42199"/>
    <w:rsid w:val="00E42390"/>
    <w:rsid w:val="00E42DF0"/>
    <w:rsid w:val="00E42F3F"/>
    <w:rsid w:val="00E42FEB"/>
    <w:rsid w:val="00E444D1"/>
    <w:rsid w:val="00E44665"/>
    <w:rsid w:val="00E449A2"/>
    <w:rsid w:val="00E44C93"/>
    <w:rsid w:val="00E44EC3"/>
    <w:rsid w:val="00E45156"/>
    <w:rsid w:val="00E45347"/>
    <w:rsid w:val="00E4574F"/>
    <w:rsid w:val="00E45765"/>
    <w:rsid w:val="00E45B52"/>
    <w:rsid w:val="00E46142"/>
    <w:rsid w:val="00E46194"/>
    <w:rsid w:val="00E46525"/>
    <w:rsid w:val="00E47382"/>
    <w:rsid w:val="00E47530"/>
    <w:rsid w:val="00E47809"/>
    <w:rsid w:val="00E501C0"/>
    <w:rsid w:val="00E502F7"/>
    <w:rsid w:val="00E504B4"/>
    <w:rsid w:val="00E504C1"/>
    <w:rsid w:val="00E504EB"/>
    <w:rsid w:val="00E50531"/>
    <w:rsid w:val="00E5084B"/>
    <w:rsid w:val="00E508B0"/>
    <w:rsid w:val="00E51141"/>
    <w:rsid w:val="00E512B7"/>
    <w:rsid w:val="00E5137A"/>
    <w:rsid w:val="00E5172F"/>
    <w:rsid w:val="00E52191"/>
    <w:rsid w:val="00E521BB"/>
    <w:rsid w:val="00E525C9"/>
    <w:rsid w:val="00E526D4"/>
    <w:rsid w:val="00E526DA"/>
    <w:rsid w:val="00E5295A"/>
    <w:rsid w:val="00E53107"/>
    <w:rsid w:val="00E53535"/>
    <w:rsid w:val="00E5365E"/>
    <w:rsid w:val="00E548FC"/>
    <w:rsid w:val="00E549F2"/>
    <w:rsid w:val="00E55334"/>
    <w:rsid w:val="00E55FED"/>
    <w:rsid w:val="00E56051"/>
    <w:rsid w:val="00E5615E"/>
    <w:rsid w:val="00E5659F"/>
    <w:rsid w:val="00E565EE"/>
    <w:rsid w:val="00E5662D"/>
    <w:rsid w:val="00E566F8"/>
    <w:rsid w:val="00E56A3E"/>
    <w:rsid w:val="00E56AB6"/>
    <w:rsid w:val="00E577BA"/>
    <w:rsid w:val="00E57B73"/>
    <w:rsid w:val="00E6056D"/>
    <w:rsid w:val="00E60FAC"/>
    <w:rsid w:val="00E61CA2"/>
    <w:rsid w:val="00E61D6D"/>
    <w:rsid w:val="00E61E97"/>
    <w:rsid w:val="00E620D7"/>
    <w:rsid w:val="00E625AE"/>
    <w:rsid w:val="00E62A91"/>
    <w:rsid w:val="00E62AB5"/>
    <w:rsid w:val="00E62C26"/>
    <w:rsid w:val="00E62EAC"/>
    <w:rsid w:val="00E63544"/>
    <w:rsid w:val="00E636AA"/>
    <w:rsid w:val="00E63820"/>
    <w:rsid w:val="00E63958"/>
    <w:rsid w:val="00E647C4"/>
    <w:rsid w:val="00E647C9"/>
    <w:rsid w:val="00E6489E"/>
    <w:rsid w:val="00E64D18"/>
    <w:rsid w:val="00E658B9"/>
    <w:rsid w:val="00E65A02"/>
    <w:rsid w:val="00E65C41"/>
    <w:rsid w:val="00E65F9E"/>
    <w:rsid w:val="00E6602C"/>
    <w:rsid w:val="00E66355"/>
    <w:rsid w:val="00E66405"/>
    <w:rsid w:val="00E66EF2"/>
    <w:rsid w:val="00E6729D"/>
    <w:rsid w:val="00E672E9"/>
    <w:rsid w:val="00E6734F"/>
    <w:rsid w:val="00E677CE"/>
    <w:rsid w:val="00E6787F"/>
    <w:rsid w:val="00E67AD1"/>
    <w:rsid w:val="00E70151"/>
    <w:rsid w:val="00E704BF"/>
    <w:rsid w:val="00E709A7"/>
    <w:rsid w:val="00E70FE3"/>
    <w:rsid w:val="00E71430"/>
    <w:rsid w:val="00E7160F"/>
    <w:rsid w:val="00E724A9"/>
    <w:rsid w:val="00E72BFD"/>
    <w:rsid w:val="00E73181"/>
    <w:rsid w:val="00E73273"/>
    <w:rsid w:val="00E732EB"/>
    <w:rsid w:val="00E733B9"/>
    <w:rsid w:val="00E73533"/>
    <w:rsid w:val="00E73F4E"/>
    <w:rsid w:val="00E7499A"/>
    <w:rsid w:val="00E751FC"/>
    <w:rsid w:val="00E756E3"/>
    <w:rsid w:val="00E75802"/>
    <w:rsid w:val="00E75995"/>
    <w:rsid w:val="00E75D23"/>
    <w:rsid w:val="00E75F0B"/>
    <w:rsid w:val="00E75F41"/>
    <w:rsid w:val="00E75F61"/>
    <w:rsid w:val="00E7627F"/>
    <w:rsid w:val="00E76485"/>
    <w:rsid w:val="00E7654B"/>
    <w:rsid w:val="00E769F5"/>
    <w:rsid w:val="00E76DF4"/>
    <w:rsid w:val="00E76F5F"/>
    <w:rsid w:val="00E77454"/>
    <w:rsid w:val="00E77538"/>
    <w:rsid w:val="00E77F64"/>
    <w:rsid w:val="00E8055A"/>
    <w:rsid w:val="00E8059C"/>
    <w:rsid w:val="00E80AB6"/>
    <w:rsid w:val="00E8123D"/>
    <w:rsid w:val="00E8124D"/>
    <w:rsid w:val="00E819B5"/>
    <w:rsid w:val="00E81CC2"/>
    <w:rsid w:val="00E81FFC"/>
    <w:rsid w:val="00E82268"/>
    <w:rsid w:val="00E8239D"/>
    <w:rsid w:val="00E82D7B"/>
    <w:rsid w:val="00E830A7"/>
    <w:rsid w:val="00E832FC"/>
    <w:rsid w:val="00E833D4"/>
    <w:rsid w:val="00E83479"/>
    <w:rsid w:val="00E83598"/>
    <w:rsid w:val="00E83D28"/>
    <w:rsid w:val="00E84415"/>
    <w:rsid w:val="00E84713"/>
    <w:rsid w:val="00E8473E"/>
    <w:rsid w:val="00E84788"/>
    <w:rsid w:val="00E852F8"/>
    <w:rsid w:val="00E85505"/>
    <w:rsid w:val="00E8595E"/>
    <w:rsid w:val="00E85BBE"/>
    <w:rsid w:val="00E85BD3"/>
    <w:rsid w:val="00E85C7E"/>
    <w:rsid w:val="00E85F60"/>
    <w:rsid w:val="00E860A3"/>
    <w:rsid w:val="00E862B2"/>
    <w:rsid w:val="00E86AB5"/>
    <w:rsid w:val="00E86CE7"/>
    <w:rsid w:val="00E86F8B"/>
    <w:rsid w:val="00E87017"/>
    <w:rsid w:val="00E871AE"/>
    <w:rsid w:val="00E871CF"/>
    <w:rsid w:val="00E8763D"/>
    <w:rsid w:val="00E87672"/>
    <w:rsid w:val="00E87A3C"/>
    <w:rsid w:val="00E900C7"/>
    <w:rsid w:val="00E901C6"/>
    <w:rsid w:val="00E904D3"/>
    <w:rsid w:val="00E90838"/>
    <w:rsid w:val="00E90BE0"/>
    <w:rsid w:val="00E90CEE"/>
    <w:rsid w:val="00E90DF9"/>
    <w:rsid w:val="00E912B2"/>
    <w:rsid w:val="00E91DCC"/>
    <w:rsid w:val="00E91DDB"/>
    <w:rsid w:val="00E91F97"/>
    <w:rsid w:val="00E9216E"/>
    <w:rsid w:val="00E92874"/>
    <w:rsid w:val="00E92AD5"/>
    <w:rsid w:val="00E93079"/>
    <w:rsid w:val="00E9323D"/>
    <w:rsid w:val="00E933A3"/>
    <w:rsid w:val="00E937F9"/>
    <w:rsid w:val="00E93909"/>
    <w:rsid w:val="00E93E17"/>
    <w:rsid w:val="00E93E7D"/>
    <w:rsid w:val="00E94798"/>
    <w:rsid w:val="00E94BBB"/>
    <w:rsid w:val="00E95063"/>
    <w:rsid w:val="00E9524D"/>
    <w:rsid w:val="00E95578"/>
    <w:rsid w:val="00E95CC0"/>
    <w:rsid w:val="00E963B6"/>
    <w:rsid w:val="00E968D7"/>
    <w:rsid w:val="00E9749F"/>
    <w:rsid w:val="00E97934"/>
    <w:rsid w:val="00E9794E"/>
    <w:rsid w:val="00EA070E"/>
    <w:rsid w:val="00EA08CB"/>
    <w:rsid w:val="00EA09A5"/>
    <w:rsid w:val="00EA0D30"/>
    <w:rsid w:val="00EA0DBD"/>
    <w:rsid w:val="00EA164E"/>
    <w:rsid w:val="00EA188D"/>
    <w:rsid w:val="00EA19C7"/>
    <w:rsid w:val="00EA1B6D"/>
    <w:rsid w:val="00EA1E3B"/>
    <w:rsid w:val="00EA1F5E"/>
    <w:rsid w:val="00EA260F"/>
    <w:rsid w:val="00EA2832"/>
    <w:rsid w:val="00EA2951"/>
    <w:rsid w:val="00EA2AD4"/>
    <w:rsid w:val="00EA2D42"/>
    <w:rsid w:val="00EA2EF9"/>
    <w:rsid w:val="00EA3491"/>
    <w:rsid w:val="00EA373D"/>
    <w:rsid w:val="00EA39E0"/>
    <w:rsid w:val="00EA3CAF"/>
    <w:rsid w:val="00EA3E97"/>
    <w:rsid w:val="00EA3F07"/>
    <w:rsid w:val="00EA4D03"/>
    <w:rsid w:val="00EA5CB9"/>
    <w:rsid w:val="00EA5E6A"/>
    <w:rsid w:val="00EA61BC"/>
    <w:rsid w:val="00EA688B"/>
    <w:rsid w:val="00EA697E"/>
    <w:rsid w:val="00EA6AA2"/>
    <w:rsid w:val="00EA6AB7"/>
    <w:rsid w:val="00EA6B22"/>
    <w:rsid w:val="00EA6C37"/>
    <w:rsid w:val="00EA6CCB"/>
    <w:rsid w:val="00EA6FD3"/>
    <w:rsid w:val="00EA7350"/>
    <w:rsid w:val="00EA7C80"/>
    <w:rsid w:val="00EA7D20"/>
    <w:rsid w:val="00EA7E1F"/>
    <w:rsid w:val="00EB01C0"/>
    <w:rsid w:val="00EB06E8"/>
    <w:rsid w:val="00EB0787"/>
    <w:rsid w:val="00EB0B2B"/>
    <w:rsid w:val="00EB0D2B"/>
    <w:rsid w:val="00EB0EB4"/>
    <w:rsid w:val="00EB0F18"/>
    <w:rsid w:val="00EB0F3F"/>
    <w:rsid w:val="00EB1014"/>
    <w:rsid w:val="00EB1116"/>
    <w:rsid w:val="00EB1864"/>
    <w:rsid w:val="00EB1982"/>
    <w:rsid w:val="00EB1DD6"/>
    <w:rsid w:val="00EB2309"/>
    <w:rsid w:val="00EB3451"/>
    <w:rsid w:val="00EB3BCA"/>
    <w:rsid w:val="00EB3F5B"/>
    <w:rsid w:val="00EB4716"/>
    <w:rsid w:val="00EB4C31"/>
    <w:rsid w:val="00EB4CA2"/>
    <w:rsid w:val="00EB4FDA"/>
    <w:rsid w:val="00EB5680"/>
    <w:rsid w:val="00EB5D21"/>
    <w:rsid w:val="00EB6415"/>
    <w:rsid w:val="00EB6A36"/>
    <w:rsid w:val="00EB6AAD"/>
    <w:rsid w:val="00EB6B27"/>
    <w:rsid w:val="00EB70A5"/>
    <w:rsid w:val="00EB7118"/>
    <w:rsid w:val="00EB7336"/>
    <w:rsid w:val="00EB771E"/>
    <w:rsid w:val="00EB7867"/>
    <w:rsid w:val="00EB7B4E"/>
    <w:rsid w:val="00EB7C6E"/>
    <w:rsid w:val="00EB7D6E"/>
    <w:rsid w:val="00EC0653"/>
    <w:rsid w:val="00EC06D9"/>
    <w:rsid w:val="00EC075A"/>
    <w:rsid w:val="00EC0927"/>
    <w:rsid w:val="00EC0BC3"/>
    <w:rsid w:val="00EC10EA"/>
    <w:rsid w:val="00EC1FD5"/>
    <w:rsid w:val="00EC21C2"/>
    <w:rsid w:val="00EC2382"/>
    <w:rsid w:val="00EC2483"/>
    <w:rsid w:val="00EC2F94"/>
    <w:rsid w:val="00EC2FF0"/>
    <w:rsid w:val="00EC3B66"/>
    <w:rsid w:val="00EC4097"/>
    <w:rsid w:val="00EC422C"/>
    <w:rsid w:val="00EC4311"/>
    <w:rsid w:val="00EC4705"/>
    <w:rsid w:val="00EC4913"/>
    <w:rsid w:val="00EC497A"/>
    <w:rsid w:val="00EC500F"/>
    <w:rsid w:val="00EC5797"/>
    <w:rsid w:val="00EC57EA"/>
    <w:rsid w:val="00EC58E4"/>
    <w:rsid w:val="00EC5BF6"/>
    <w:rsid w:val="00EC68A8"/>
    <w:rsid w:val="00EC6914"/>
    <w:rsid w:val="00EC69C9"/>
    <w:rsid w:val="00EC6EAF"/>
    <w:rsid w:val="00EC729B"/>
    <w:rsid w:val="00EC773C"/>
    <w:rsid w:val="00ED0699"/>
    <w:rsid w:val="00ED13C9"/>
    <w:rsid w:val="00ED1592"/>
    <w:rsid w:val="00ED16B1"/>
    <w:rsid w:val="00ED18B5"/>
    <w:rsid w:val="00ED1A34"/>
    <w:rsid w:val="00ED1A4F"/>
    <w:rsid w:val="00ED24CA"/>
    <w:rsid w:val="00ED28E4"/>
    <w:rsid w:val="00ED2B05"/>
    <w:rsid w:val="00ED2D2D"/>
    <w:rsid w:val="00ED2EDB"/>
    <w:rsid w:val="00ED2F47"/>
    <w:rsid w:val="00ED2F71"/>
    <w:rsid w:val="00ED31D3"/>
    <w:rsid w:val="00ED32A1"/>
    <w:rsid w:val="00ED33B9"/>
    <w:rsid w:val="00ED381B"/>
    <w:rsid w:val="00ED3AF1"/>
    <w:rsid w:val="00ED42A0"/>
    <w:rsid w:val="00ED42C2"/>
    <w:rsid w:val="00ED45AE"/>
    <w:rsid w:val="00ED4943"/>
    <w:rsid w:val="00ED53E3"/>
    <w:rsid w:val="00ED53E6"/>
    <w:rsid w:val="00ED589D"/>
    <w:rsid w:val="00ED5CE8"/>
    <w:rsid w:val="00ED5D60"/>
    <w:rsid w:val="00ED63E9"/>
    <w:rsid w:val="00ED683D"/>
    <w:rsid w:val="00ED691F"/>
    <w:rsid w:val="00ED6A9D"/>
    <w:rsid w:val="00ED6E27"/>
    <w:rsid w:val="00ED6E31"/>
    <w:rsid w:val="00ED6FC9"/>
    <w:rsid w:val="00ED7180"/>
    <w:rsid w:val="00ED72C4"/>
    <w:rsid w:val="00ED7B24"/>
    <w:rsid w:val="00EE03B8"/>
    <w:rsid w:val="00EE13C1"/>
    <w:rsid w:val="00EE13D0"/>
    <w:rsid w:val="00EE1707"/>
    <w:rsid w:val="00EE19D7"/>
    <w:rsid w:val="00EE1BCA"/>
    <w:rsid w:val="00EE1D85"/>
    <w:rsid w:val="00EE1F70"/>
    <w:rsid w:val="00EE224B"/>
    <w:rsid w:val="00EE272E"/>
    <w:rsid w:val="00EE29ED"/>
    <w:rsid w:val="00EE3033"/>
    <w:rsid w:val="00EE31E0"/>
    <w:rsid w:val="00EE4A79"/>
    <w:rsid w:val="00EE4A95"/>
    <w:rsid w:val="00EE5DEF"/>
    <w:rsid w:val="00EE5EAC"/>
    <w:rsid w:val="00EE6495"/>
    <w:rsid w:val="00EE6657"/>
    <w:rsid w:val="00EE6EFD"/>
    <w:rsid w:val="00EE7397"/>
    <w:rsid w:val="00EE7AB1"/>
    <w:rsid w:val="00EF02C2"/>
    <w:rsid w:val="00EF0C7C"/>
    <w:rsid w:val="00EF10DA"/>
    <w:rsid w:val="00EF1281"/>
    <w:rsid w:val="00EF13A2"/>
    <w:rsid w:val="00EF160B"/>
    <w:rsid w:val="00EF18E3"/>
    <w:rsid w:val="00EF1E8D"/>
    <w:rsid w:val="00EF1EE5"/>
    <w:rsid w:val="00EF2353"/>
    <w:rsid w:val="00EF2719"/>
    <w:rsid w:val="00EF2E45"/>
    <w:rsid w:val="00EF3A74"/>
    <w:rsid w:val="00EF3CA7"/>
    <w:rsid w:val="00EF3FFF"/>
    <w:rsid w:val="00EF438D"/>
    <w:rsid w:val="00EF43EB"/>
    <w:rsid w:val="00EF43F3"/>
    <w:rsid w:val="00EF47E9"/>
    <w:rsid w:val="00EF4859"/>
    <w:rsid w:val="00EF4ACB"/>
    <w:rsid w:val="00EF4D7D"/>
    <w:rsid w:val="00EF4E3E"/>
    <w:rsid w:val="00EF51D9"/>
    <w:rsid w:val="00EF5668"/>
    <w:rsid w:val="00EF5825"/>
    <w:rsid w:val="00EF598A"/>
    <w:rsid w:val="00EF59CC"/>
    <w:rsid w:val="00EF5D1C"/>
    <w:rsid w:val="00EF6146"/>
    <w:rsid w:val="00EF663A"/>
    <w:rsid w:val="00EF67E5"/>
    <w:rsid w:val="00EF6BDB"/>
    <w:rsid w:val="00EF6D81"/>
    <w:rsid w:val="00EF7265"/>
    <w:rsid w:val="00EF7623"/>
    <w:rsid w:val="00EF76EB"/>
    <w:rsid w:val="00EF7948"/>
    <w:rsid w:val="00EF7B05"/>
    <w:rsid w:val="00F00072"/>
    <w:rsid w:val="00F00088"/>
    <w:rsid w:val="00F00400"/>
    <w:rsid w:val="00F00625"/>
    <w:rsid w:val="00F018A4"/>
    <w:rsid w:val="00F019B5"/>
    <w:rsid w:val="00F01A40"/>
    <w:rsid w:val="00F01D2E"/>
    <w:rsid w:val="00F01F17"/>
    <w:rsid w:val="00F0243E"/>
    <w:rsid w:val="00F0295A"/>
    <w:rsid w:val="00F02AC6"/>
    <w:rsid w:val="00F02C3F"/>
    <w:rsid w:val="00F03910"/>
    <w:rsid w:val="00F03E4A"/>
    <w:rsid w:val="00F04353"/>
    <w:rsid w:val="00F04532"/>
    <w:rsid w:val="00F04818"/>
    <w:rsid w:val="00F04AE6"/>
    <w:rsid w:val="00F04DB8"/>
    <w:rsid w:val="00F04E6F"/>
    <w:rsid w:val="00F057B2"/>
    <w:rsid w:val="00F0583A"/>
    <w:rsid w:val="00F06193"/>
    <w:rsid w:val="00F066C2"/>
    <w:rsid w:val="00F06F3D"/>
    <w:rsid w:val="00F07048"/>
    <w:rsid w:val="00F0760C"/>
    <w:rsid w:val="00F07BCE"/>
    <w:rsid w:val="00F07BF8"/>
    <w:rsid w:val="00F103E9"/>
    <w:rsid w:val="00F10A7C"/>
    <w:rsid w:val="00F10A89"/>
    <w:rsid w:val="00F10FAD"/>
    <w:rsid w:val="00F1164D"/>
    <w:rsid w:val="00F11F1E"/>
    <w:rsid w:val="00F1209C"/>
    <w:rsid w:val="00F1259C"/>
    <w:rsid w:val="00F12985"/>
    <w:rsid w:val="00F131C3"/>
    <w:rsid w:val="00F13A21"/>
    <w:rsid w:val="00F13A78"/>
    <w:rsid w:val="00F13CFA"/>
    <w:rsid w:val="00F143D7"/>
    <w:rsid w:val="00F1475B"/>
    <w:rsid w:val="00F1483D"/>
    <w:rsid w:val="00F148BC"/>
    <w:rsid w:val="00F149A2"/>
    <w:rsid w:val="00F14B50"/>
    <w:rsid w:val="00F14E6B"/>
    <w:rsid w:val="00F152B2"/>
    <w:rsid w:val="00F158E0"/>
    <w:rsid w:val="00F16273"/>
    <w:rsid w:val="00F1670D"/>
    <w:rsid w:val="00F16B7D"/>
    <w:rsid w:val="00F16CF0"/>
    <w:rsid w:val="00F20501"/>
    <w:rsid w:val="00F2091C"/>
    <w:rsid w:val="00F20EBD"/>
    <w:rsid w:val="00F21215"/>
    <w:rsid w:val="00F2160E"/>
    <w:rsid w:val="00F21C38"/>
    <w:rsid w:val="00F2255B"/>
    <w:rsid w:val="00F225D9"/>
    <w:rsid w:val="00F22D5C"/>
    <w:rsid w:val="00F2303A"/>
    <w:rsid w:val="00F23046"/>
    <w:rsid w:val="00F234EE"/>
    <w:rsid w:val="00F2357F"/>
    <w:rsid w:val="00F23A7B"/>
    <w:rsid w:val="00F23C03"/>
    <w:rsid w:val="00F240CA"/>
    <w:rsid w:val="00F24C4E"/>
    <w:rsid w:val="00F24C60"/>
    <w:rsid w:val="00F250ED"/>
    <w:rsid w:val="00F25135"/>
    <w:rsid w:val="00F25169"/>
    <w:rsid w:val="00F255E7"/>
    <w:rsid w:val="00F2566A"/>
    <w:rsid w:val="00F25AFB"/>
    <w:rsid w:val="00F25C96"/>
    <w:rsid w:val="00F25D30"/>
    <w:rsid w:val="00F25D52"/>
    <w:rsid w:val="00F25F3B"/>
    <w:rsid w:val="00F26186"/>
    <w:rsid w:val="00F2651B"/>
    <w:rsid w:val="00F269E5"/>
    <w:rsid w:val="00F26AA5"/>
    <w:rsid w:val="00F26E78"/>
    <w:rsid w:val="00F273D0"/>
    <w:rsid w:val="00F275AC"/>
    <w:rsid w:val="00F27811"/>
    <w:rsid w:val="00F27911"/>
    <w:rsid w:val="00F30B5A"/>
    <w:rsid w:val="00F30E3A"/>
    <w:rsid w:val="00F31796"/>
    <w:rsid w:val="00F318C3"/>
    <w:rsid w:val="00F319B6"/>
    <w:rsid w:val="00F32015"/>
    <w:rsid w:val="00F32254"/>
    <w:rsid w:val="00F324CA"/>
    <w:rsid w:val="00F32650"/>
    <w:rsid w:val="00F32674"/>
    <w:rsid w:val="00F336A7"/>
    <w:rsid w:val="00F336D1"/>
    <w:rsid w:val="00F33DC3"/>
    <w:rsid w:val="00F3450B"/>
    <w:rsid w:val="00F34C2A"/>
    <w:rsid w:val="00F3540D"/>
    <w:rsid w:val="00F35799"/>
    <w:rsid w:val="00F35BA0"/>
    <w:rsid w:val="00F35D5A"/>
    <w:rsid w:val="00F36BE5"/>
    <w:rsid w:val="00F36C6B"/>
    <w:rsid w:val="00F36C94"/>
    <w:rsid w:val="00F37626"/>
    <w:rsid w:val="00F400BB"/>
    <w:rsid w:val="00F400C7"/>
    <w:rsid w:val="00F40235"/>
    <w:rsid w:val="00F40CCD"/>
    <w:rsid w:val="00F40E36"/>
    <w:rsid w:val="00F41822"/>
    <w:rsid w:val="00F41EE8"/>
    <w:rsid w:val="00F420EB"/>
    <w:rsid w:val="00F42C90"/>
    <w:rsid w:val="00F43411"/>
    <w:rsid w:val="00F43C50"/>
    <w:rsid w:val="00F43F20"/>
    <w:rsid w:val="00F442C5"/>
    <w:rsid w:val="00F447C3"/>
    <w:rsid w:val="00F44DAF"/>
    <w:rsid w:val="00F44DFB"/>
    <w:rsid w:val="00F44EB7"/>
    <w:rsid w:val="00F45A30"/>
    <w:rsid w:val="00F45ACE"/>
    <w:rsid w:val="00F45CE9"/>
    <w:rsid w:val="00F45DD4"/>
    <w:rsid w:val="00F45E47"/>
    <w:rsid w:val="00F467B6"/>
    <w:rsid w:val="00F4698E"/>
    <w:rsid w:val="00F46AFE"/>
    <w:rsid w:val="00F46FBE"/>
    <w:rsid w:val="00F47776"/>
    <w:rsid w:val="00F477CA"/>
    <w:rsid w:val="00F47B8F"/>
    <w:rsid w:val="00F47CAC"/>
    <w:rsid w:val="00F47CDB"/>
    <w:rsid w:val="00F50011"/>
    <w:rsid w:val="00F500EC"/>
    <w:rsid w:val="00F504FA"/>
    <w:rsid w:val="00F50C25"/>
    <w:rsid w:val="00F50E22"/>
    <w:rsid w:val="00F510F9"/>
    <w:rsid w:val="00F512D9"/>
    <w:rsid w:val="00F5157D"/>
    <w:rsid w:val="00F515D7"/>
    <w:rsid w:val="00F517E6"/>
    <w:rsid w:val="00F519E1"/>
    <w:rsid w:val="00F51E4B"/>
    <w:rsid w:val="00F522B7"/>
    <w:rsid w:val="00F525C1"/>
    <w:rsid w:val="00F52EAF"/>
    <w:rsid w:val="00F532FB"/>
    <w:rsid w:val="00F53A91"/>
    <w:rsid w:val="00F53BEF"/>
    <w:rsid w:val="00F53DC8"/>
    <w:rsid w:val="00F54A03"/>
    <w:rsid w:val="00F55809"/>
    <w:rsid w:val="00F562B9"/>
    <w:rsid w:val="00F56347"/>
    <w:rsid w:val="00F5664E"/>
    <w:rsid w:val="00F56E08"/>
    <w:rsid w:val="00F570AF"/>
    <w:rsid w:val="00F570C1"/>
    <w:rsid w:val="00F5712C"/>
    <w:rsid w:val="00F579FD"/>
    <w:rsid w:val="00F57F76"/>
    <w:rsid w:val="00F605D7"/>
    <w:rsid w:val="00F6087C"/>
    <w:rsid w:val="00F6094E"/>
    <w:rsid w:val="00F60BE8"/>
    <w:rsid w:val="00F60CBF"/>
    <w:rsid w:val="00F60D64"/>
    <w:rsid w:val="00F60E04"/>
    <w:rsid w:val="00F612DD"/>
    <w:rsid w:val="00F616AF"/>
    <w:rsid w:val="00F61938"/>
    <w:rsid w:val="00F61944"/>
    <w:rsid w:val="00F61D9A"/>
    <w:rsid w:val="00F62439"/>
    <w:rsid w:val="00F62BA1"/>
    <w:rsid w:val="00F62E89"/>
    <w:rsid w:val="00F63148"/>
    <w:rsid w:val="00F632C6"/>
    <w:rsid w:val="00F633F6"/>
    <w:rsid w:val="00F6353B"/>
    <w:rsid w:val="00F6382E"/>
    <w:rsid w:val="00F63C80"/>
    <w:rsid w:val="00F63F08"/>
    <w:rsid w:val="00F63F88"/>
    <w:rsid w:val="00F63FD3"/>
    <w:rsid w:val="00F643B1"/>
    <w:rsid w:val="00F64DF2"/>
    <w:rsid w:val="00F6528B"/>
    <w:rsid w:val="00F6590F"/>
    <w:rsid w:val="00F65C04"/>
    <w:rsid w:val="00F66068"/>
    <w:rsid w:val="00F663EE"/>
    <w:rsid w:val="00F665EA"/>
    <w:rsid w:val="00F66673"/>
    <w:rsid w:val="00F669E5"/>
    <w:rsid w:val="00F66F25"/>
    <w:rsid w:val="00F67279"/>
    <w:rsid w:val="00F67A6C"/>
    <w:rsid w:val="00F67B42"/>
    <w:rsid w:val="00F67BD9"/>
    <w:rsid w:val="00F67C9C"/>
    <w:rsid w:val="00F67EEE"/>
    <w:rsid w:val="00F7011E"/>
    <w:rsid w:val="00F702F8"/>
    <w:rsid w:val="00F703B0"/>
    <w:rsid w:val="00F704B4"/>
    <w:rsid w:val="00F7075A"/>
    <w:rsid w:val="00F70796"/>
    <w:rsid w:val="00F70C1F"/>
    <w:rsid w:val="00F70C3B"/>
    <w:rsid w:val="00F70D05"/>
    <w:rsid w:val="00F70E4C"/>
    <w:rsid w:val="00F7149D"/>
    <w:rsid w:val="00F71CE9"/>
    <w:rsid w:val="00F72C9D"/>
    <w:rsid w:val="00F72DAA"/>
    <w:rsid w:val="00F72E44"/>
    <w:rsid w:val="00F72EED"/>
    <w:rsid w:val="00F73B47"/>
    <w:rsid w:val="00F7437D"/>
    <w:rsid w:val="00F74684"/>
    <w:rsid w:val="00F74763"/>
    <w:rsid w:val="00F7489E"/>
    <w:rsid w:val="00F74A4E"/>
    <w:rsid w:val="00F74E23"/>
    <w:rsid w:val="00F74E97"/>
    <w:rsid w:val="00F75312"/>
    <w:rsid w:val="00F75708"/>
    <w:rsid w:val="00F75CB3"/>
    <w:rsid w:val="00F76BFC"/>
    <w:rsid w:val="00F76C7E"/>
    <w:rsid w:val="00F77201"/>
    <w:rsid w:val="00F772FC"/>
    <w:rsid w:val="00F77375"/>
    <w:rsid w:val="00F7797E"/>
    <w:rsid w:val="00F77F57"/>
    <w:rsid w:val="00F77FCC"/>
    <w:rsid w:val="00F803CF"/>
    <w:rsid w:val="00F8068A"/>
    <w:rsid w:val="00F809BD"/>
    <w:rsid w:val="00F80F0B"/>
    <w:rsid w:val="00F80F45"/>
    <w:rsid w:val="00F81199"/>
    <w:rsid w:val="00F813DD"/>
    <w:rsid w:val="00F817B9"/>
    <w:rsid w:val="00F81D03"/>
    <w:rsid w:val="00F81D89"/>
    <w:rsid w:val="00F821C4"/>
    <w:rsid w:val="00F82C9B"/>
    <w:rsid w:val="00F82E96"/>
    <w:rsid w:val="00F833E3"/>
    <w:rsid w:val="00F83482"/>
    <w:rsid w:val="00F83856"/>
    <w:rsid w:val="00F84042"/>
    <w:rsid w:val="00F844FE"/>
    <w:rsid w:val="00F845DF"/>
    <w:rsid w:val="00F846D0"/>
    <w:rsid w:val="00F8475D"/>
    <w:rsid w:val="00F84AE9"/>
    <w:rsid w:val="00F84BE5"/>
    <w:rsid w:val="00F85536"/>
    <w:rsid w:val="00F85ACB"/>
    <w:rsid w:val="00F85BAC"/>
    <w:rsid w:val="00F87349"/>
    <w:rsid w:val="00F87486"/>
    <w:rsid w:val="00F87570"/>
    <w:rsid w:val="00F90102"/>
    <w:rsid w:val="00F90971"/>
    <w:rsid w:val="00F90BAB"/>
    <w:rsid w:val="00F90C05"/>
    <w:rsid w:val="00F90CDA"/>
    <w:rsid w:val="00F91405"/>
    <w:rsid w:val="00F91AE6"/>
    <w:rsid w:val="00F91C78"/>
    <w:rsid w:val="00F91F58"/>
    <w:rsid w:val="00F92C47"/>
    <w:rsid w:val="00F92E47"/>
    <w:rsid w:val="00F9346F"/>
    <w:rsid w:val="00F938FE"/>
    <w:rsid w:val="00F94177"/>
    <w:rsid w:val="00F94258"/>
    <w:rsid w:val="00F94283"/>
    <w:rsid w:val="00F943E3"/>
    <w:rsid w:val="00F94706"/>
    <w:rsid w:val="00F948E5"/>
    <w:rsid w:val="00F949C4"/>
    <w:rsid w:val="00F94BE4"/>
    <w:rsid w:val="00F95B45"/>
    <w:rsid w:val="00F95F26"/>
    <w:rsid w:val="00F96568"/>
    <w:rsid w:val="00F9665E"/>
    <w:rsid w:val="00F967F5"/>
    <w:rsid w:val="00F969B6"/>
    <w:rsid w:val="00F96DEE"/>
    <w:rsid w:val="00F972DE"/>
    <w:rsid w:val="00F97910"/>
    <w:rsid w:val="00F97B03"/>
    <w:rsid w:val="00F97D12"/>
    <w:rsid w:val="00FA0075"/>
    <w:rsid w:val="00FA041C"/>
    <w:rsid w:val="00FA0A3B"/>
    <w:rsid w:val="00FA12E4"/>
    <w:rsid w:val="00FA131F"/>
    <w:rsid w:val="00FA18B7"/>
    <w:rsid w:val="00FA1A96"/>
    <w:rsid w:val="00FA1BB0"/>
    <w:rsid w:val="00FA1DB7"/>
    <w:rsid w:val="00FA2000"/>
    <w:rsid w:val="00FA2350"/>
    <w:rsid w:val="00FA242F"/>
    <w:rsid w:val="00FA289A"/>
    <w:rsid w:val="00FA28CC"/>
    <w:rsid w:val="00FA2A76"/>
    <w:rsid w:val="00FA2AB2"/>
    <w:rsid w:val="00FA2AE0"/>
    <w:rsid w:val="00FA2DCA"/>
    <w:rsid w:val="00FA2FE3"/>
    <w:rsid w:val="00FA3262"/>
    <w:rsid w:val="00FA3486"/>
    <w:rsid w:val="00FA3577"/>
    <w:rsid w:val="00FA438B"/>
    <w:rsid w:val="00FA44F0"/>
    <w:rsid w:val="00FA4772"/>
    <w:rsid w:val="00FA47B7"/>
    <w:rsid w:val="00FA4AE7"/>
    <w:rsid w:val="00FA60CB"/>
    <w:rsid w:val="00FA62DA"/>
    <w:rsid w:val="00FA6AD1"/>
    <w:rsid w:val="00FA6ED6"/>
    <w:rsid w:val="00FA71CF"/>
    <w:rsid w:val="00FA72DE"/>
    <w:rsid w:val="00FA7391"/>
    <w:rsid w:val="00FA7594"/>
    <w:rsid w:val="00FB0093"/>
    <w:rsid w:val="00FB057E"/>
    <w:rsid w:val="00FB079F"/>
    <w:rsid w:val="00FB088B"/>
    <w:rsid w:val="00FB0AEA"/>
    <w:rsid w:val="00FB0BAF"/>
    <w:rsid w:val="00FB0D8B"/>
    <w:rsid w:val="00FB0E82"/>
    <w:rsid w:val="00FB11A9"/>
    <w:rsid w:val="00FB1285"/>
    <w:rsid w:val="00FB150F"/>
    <w:rsid w:val="00FB177B"/>
    <w:rsid w:val="00FB2517"/>
    <w:rsid w:val="00FB27A2"/>
    <w:rsid w:val="00FB2A60"/>
    <w:rsid w:val="00FB2CCD"/>
    <w:rsid w:val="00FB344C"/>
    <w:rsid w:val="00FB3E8A"/>
    <w:rsid w:val="00FB41C1"/>
    <w:rsid w:val="00FB46D7"/>
    <w:rsid w:val="00FB4ACB"/>
    <w:rsid w:val="00FB4E9F"/>
    <w:rsid w:val="00FB551E"/>
    <w:rsid w:val="00FB6A1A"/>
    <w:rsid w:val="00FB6A46"/>
    <w:rsid w:val="00FB6DAF"/>
    <w:rsid w:val="00FB7004"/>
    <w:rsid w:val="00FB7378"/>
    <w:rsid w:val="00FB78AF"/>
    <w:rsid w:val="00FB7CC7"/>
    <w:rsid w:val="00FC0673"/>
    <w:rsid w:val="00FC06AC"/>
    <w:rsid w:val="00FC0D71"/>
    <w:rsid w:val="00FC127B"/>
    <w:rsid w:val="00FC141A"/>
    <w:rsid w:val="00FC154E"/>
    <w:rsid w:val="00FC1CE1"/>
    <w:rsid w:val="00FC1E38"/>
    <w:rsid w:val="00FC1E95"/>
    <w:rsid w:val="00FC20B8"/>
    <w:rsid w:val="00FC2636"/>
    <w:rsid w:val="00FC2977"/>
    <w:rsid w:val="00FC2B03"/>
    <w:rsid w:val="00FC32B9"/>
    <w:rsid w:val="00FC3428"/>
    <w:rsid w:val="00FC355D"/>
    <w:rsid w:val="00FC3613"/>
    <w:rsid w:val="00FC3F26"/>
    <w:rsid w:val="00FC42E7"/>
    <w:rsid w:val="00FC4A37"/>
    <w:rsid w:val="00FC4C17"/>
    <w:rsid w:val="00FC4D8E"/>
    <w:rsid w:val="00FC4E70"/>
    <w:rsid w:val="00FC50B5"/>
    <w:rsid w:val="00FC55B1"/>
    <w:rsid w:val="00FC57F2"/>
    <w:rsid w:val="00FC59C0"/>
    <w:rsid w:val="00FC5CAC"/>
    <w:rsid w:val="00FC5E0A"/>
    <w:rsid w:val="00FC6924"/>
    <w:rsid w:val="00FC6EF9"/>
    <w:rsid w:val="00FC7088"/>
    <w:rsid w:val="00FC7156"/>
    <w:rsid w:val="00FC7827"/>
    <w:rsid w:val="00FC784D"/>
    <w:rsid w:val="00FC7A2B"/>
    <w:rsid w:val="00FD06AC"/>
    <w:rsid w:val="00FD0749"/>
    <w:rsid w:val="00FD0926"/>
    <w:rsid w:val="00FD0E43"/>
    <w:rsid w:val="00FD0E7A"/>
    <w:rsid w:val="00FD108F"/>
    <w:rsid w:val="00FD11C3"/>
    <w:rsid w:val="00FD13C5"/>
    <w:rsid w:val="00FD15BB"/>
    <w:rsid w:val="00FD2BEE"/>
    <w:rsid w:val="00FD2C8F"/>
    <w:rsid w:val="00FD2F56"/>
    <w:rsid w:val="00FD3562"/>
    <w:rsid w:val="00FD38CF"/>
    <w:rsid w:val="00FD3B1D"/>
    <w:rsid w:val="00FD4239"/>
    <w:rsid w:val="00FD47D4"/>
    <w:rsid w:val="00FD487C"/>
    <w:rsid w:val="00FD4B11"/>
    <w:rsid w:val="00FD5BEB"/>
    <w:rsid w:val="00FD606B"/>
    <w:rsid w:val="00FD6805"/>
    <w:rsid w:val="00FD6985"/>
    <w:rsid w:val="00FD74B4"/>
    <w:rsid w:val="00FD75B3"/>
    <w:rsid w:val="00FD772B"/>
    <w:rsid w:val="00FD7EE4"/>
    <w:rsid w:val="00FE03C2"/>
    <w:rsid w:val="00FE0550"/>
    <w:rsid w:val="00FE05D5"/>
    <w:rsid w:val="00FE099C"/>
    <w:rsid w:val="00FE0A07"/>
    <w:rsid w:val="00FE0E77"/>
    <w:rsid w:val="00FE1446"/>
    <w:rsid w:val="00FE1562"/>
    <w:rsid w:val="00FE1D6D"/>
    <w:rsid w:val="00FE212F"/>
    <w:rsid w:val="00FE21EC"/>
    <w:rsid w:val="00FE22D1"/>
    <w:rsid w:val="00FE26E8"/>
    <w:rsid w:val="00FE32C2"/>
    <w:rsid w:val="00FE3BCB"/>
    <w:rsid w:val="00FE4ED3"/>
    <w:rsid w:val="00FE4F2D"/>
    <w:rsid w:val="00FE50D2"/>
    <w:rsid w:val="00FE5696"/>
    <w:rsid w:val="00FE56C6"/>
    <w:rsid w:val="00FE5709"/>
    <w:rsid w:val="00FE5754"/>
    <w:rsid w:val="00FE5878"/>
    <w:rsid w:val="00FE5A49"/>
    <w:rsid w:val="00FE5C34"/>
    <w:rsid w:val="00FE5CF0"/>
    <w:rsid w:val="00FE6062"/>
    <w:rsid w:val="00FE69F3"/>
    <w:rsid w:val="00FE720D"/>
    <w:rsid w:val="00FE72B0"/>
    <w:rsid w:val="00FE7979"/>
    <w:rsid w:val="00FE7987"/>
    <w:rsid w:val="00FE7B17"/>
    <w:rsid w:val="00FF0148"/>
    <w:rsid w:val="00FF077B"/>
    <w:rsid w:val="00FF079C"/>
    <w:rsid w:val="00FF09E3"/>
    <w:rsid w:val="00FF0F10"/>
    <w:rsid w:val="00FF0F45"/>
    <w:rsid w:val="00FF1870"/>
    <w:rsid w:val="00FF1A67"/>
    <w:rsid w:val="00FF27A9"/>
    <w:rsid w:val="00FF27BE"/>
    <w:rsid w:val="00FF2ADC"/>
    <w:rsid w:val="00FF307A"/>
    <w:rsid w:val="00FF34A7"/>
    <w:rsid w:val="00FF3705"/>
    <w:rsid w:val="00FF4494"/>
    <w:rsid w:val="00FF460C"/>
    <w:rsid w:val="00FF47A8"/>
    <w:rsid w:val="00FF4AA9"/>
    <w:rsid w:val="00FF50C5"/>
    <w:rsid w:val="00FF5601"/>
    <w:rsid w:val="00FF57E3"/>
    <w:rsid w:val="00FF5D46"/>
    <w:rsid w:val="00FF6475"/>
    <w:rsid w:val="00FF6A76"/>
    <w:rsid w:val="00FF6AA7"/>
    <w:rsid w:val="00FF6C3D"/>
    <w:rsid w:val="00FF6D21"/>
    <w:rsid w:val="00FF792E"/>
    <w:rsid w:val="00FF79C9"/>
    <w:rsid w:val="00FF7AA2"/>
    <w:rsid w:val="00FF7D9C"/>
    <w:rsid w:val="012754D9"/>
    <w:rsid w:val="01372C40"/>
    <w:rsid w:val="015E45EF"/>
    <w:rsid w:val="017B13A5"/>
    <w:rsid w:val="01F692BA"/>
    <w:rsid w:val="023DAB9A"/>
    <w:rsid w:val="0243AC18"/>
    <w:rsid w:val="0244DC5B"/>
    <w:rsid w:val="0259C781"/>
    <w:rsid w:val="0268F051"/>
    <w:rsid w:val="02752139"/>
    <w:rsid w:val="029A7AFB"/>
    <w:rsid w:val="02AA5996"/>
    <w:rsid w:val="02DF9BD6"/>
    <w:rsid w:val="031FBD54"/>
    <w:rsid w:val="03395A27"/>
    <w:rsid w:val="036172C6"/>
    <w:rsid w:val="0381F3FC"/>
    <w:rsid w:val="038DEF83"/>
    <w:rsid w:val="038FEE32"/>
    <w:rsid w:val="039070AF"/>
    <w:rsid w:val="03A6807D"/>
    <w:rsid w:val="03DB9BE4"/>
    <w:rsid w:val="03EEDCF0"/>
    <w:rsid w:val="03EFBFFF"/>
    <w:rsid w:val="03F2A6A3"/>
    <w:rsid w:val="03FE009F"/>
    <w:rsid w:val="043D4F1F"/>
    <w:rsid w:val="046D1D1B"/>
    <w:rsid w:val="04C4A8BD"/>
    <w:rsid w:val="04E15047"/>
    <w:rsid w:val="054F6DF0"/>
    <w:rsid w:val="055EB9E9"/>
    <w:rsid w:val="0565692B"/>
    <w:rsid w:val="056CCBFC"/>
    <w:rsid w:val="0599515A"/>
    <w:rsid w:val="05B90730"/>
    <w:rsid w:val="05BCD41E"/>
    <w:rsid w:val="05C6DB09"/>
    <w:rsid w:val="0615405B"/>
    <w:rsid w:val="063F40A7"/>
    <w:rsid w:val="06A57C3A"/>
    <w:rsid w:val="06A8EC25"/>
    <w:rsid w:val="06D0B3D2"/>
    <w:rsid w:val="0703340B"/>
    <w:rsid w:val="0780D18B"/>
    <w:rsid w:val="079CEA66"/>
    <w:rsid w:val="07D71EE5"/>
    <w:rsid w:val="0804081B"/>
    <w:rsid w:val="080861AC"/>
    <w:rsid w:val="082BBA25"/>
    <w:rsid w:val="08568988"/>
    <w:rsid w:val="08A987AF"/>
    <w:rsid w:val="08B9363E"/>
    <w:rsid w:val="08C75208"/>
    <w:rsid w:val="08DCD67C"/>
    <w:rsid w:val="08EDFC20"/>
    <w:rsid w:val="08F3C8E5"/>
    <w:rsid w:val="093596D0"/>
    <w:rsid w:val="0984F99E"/>
    <w:rsid w:val="09FB6654"/>
    <w:rsid w:val="0A642EAE"/>
    <w:rsid w:val="0A6D37BD"/>
    <w:rsid w:val="0A8E53EE"/>
    <w:rsid w:val="0AED0921"/>
    <w:rsid w:val="0AF6F12F"/>
    <w:rsid w:val="0B0C12C5"/>
    <w:rsid w:val="0B1EC96C"/>
    <w:rsid w:val="0B202E03"/>
    <w:rsid w:val="0B5136B2"/>
    <w:rsid w:val="0B5C103B"/>
    <w:rsid w:val="0B700C30"/>
    <w:rsid w:val="0B85E177"/>
    <w:rsid w:val="0BD87103"/>
    <w:rsid w:val="0BE6B3CF"/>
    <w:rsid w:val="0BE9AC8D"/>
    <w:rsid w:val="0C18356D"/>
    <w:rsid w:val="0C2DB123"/>
    <w:rsid w:val="0C5A6D86"/>
    <w:rsid w:val="0C8BC709"/>
    <w:rsid w:val="0C94D108"/>
    <w:rsid w:val="0CAF845D"/>
    <w:rsid w:val="0CEE92B3"/>
    <w:rsid w:val="0CEFE613"/>
    <w:rsid w:val="0CF70062"/>
    <w:rsid w:val="0D24DF1F"/>
    <w:rsid w:val="0D7A78DC"/>
    <w:rsid w:val="0D9384EC"/>
    <w:rsid w:val="0D9A7393"/>
    <w:rsid w:val="0DA73782"/>
    <w:rsid w:val="0DAFC9AA"/>
    <w:rsid w:val="0DE52AD1"/>
    <w:rsid w:val="0E0E1891"/>
    <w:rsid w:val="0E2E5D5A"/>
    <w:rsid w:val="0E76246C"/>
    <w:rsid w:val="0E843365"/>
    <w:rsid w:val="0E9C7278"/>
    <w:rsid w:val="0E9CCCF9"/>
    <w:rsid w:val="0EB83B96"/>
    <w:rsid w:val="0EB9EBEC"/>
    <w:rsid w:val="0EC138B1"/>
    <w:rsid w:val="0EEAC902"/>
    <w:rsid w:val="0F066704"/>
    <w:rsid w:val="0F0ED665"/>
    <w:rsid w:val="0F20B226"/>
    <w:rsid w:val="0F2C0AAA"/>
    <w:rsid w:val="0F43A38C"/>
    <w:rsid w:val="0F484CCE"/>
    <w:rsid w:val="0F9348CF"/>
    <w:rsid w:val="0FAD12CE"/>
    <w:rsid w:val="0FB0750A"/>
    <w:rsid w:val="0FF5E60D"/>
    <w:rsid w:val="10219101"/>
    <w:rsid w:val="1047F7FC"/>
    <w:rsid w:val="1056BF7E"/>
    <w:rsid w:val="109F2C2C"/>
    <w:rsid w:val="10E63713"/>
    <w:rsid w:val="10E8925A"/>
    <w:rsid w:val="10E94D12"/>
    <w:rsid w:val="10FAB202"/>
    <w:rsid w:val="112EE5FD"/>
    <w:rsid w:val="113DD8A4"/>
    <w:rsid w:val="115C8D09"/>
    <w:rsid w:val="1174514F"/>
    <w:rsid w:val="11803127"/>
    <w:rsid w:val="1182CB9B"/>
    <w:rsid w:val="11A9396F"/>
    <w:rsid w:val="11D03DD8"/>
    <w:rsid w:val="11DAB9E3"/>
    <w:rsid w:val="11DF04AB"/>
    <w:rsid w:val="11E7880D"/>
    <w:rsid w:val="123B2125"/>
    <w:rsid w:val="12639474"/>
    <w:rsid w:val="12710C1A"/>
    <w:rsid w:val="12762609"/>
    <w:rsid w:val="12C7A6B8"/>
    <w:rsid w:val="12CA3EEB"/>
    <w:rsid w:val="12DFC5A6"/>
    <w:rsid w:val="130B881E"/>
    <w:rsid w:val="13288537"/>
    <w:rsid w:val="139450F8"/>
    <w:rsid w:val="13AC2C5F"/>
    <w:rsid w:val="13B63FA5"/>
    <w:rsid w:val="13EF813F"/>
    <w:rsid w:val="140EEF33"/>
    <w:rsid w:val="1423BC33"/>
    <w:rsid w:val="14514424"/>
    <w:rsid w:val="1465F756"/>
    <w:rsid w:val="148A7CFA"/>
    <w:rsid w:val="14B7CCA6"/>
    <w:rsid w:val="14C09010"/>
    <w:rsid w:val="14CE8D6C"/>
    <w:rsid w:val="152E3C51"/>
    <w:rsid w:val="158C26B6"/>
    <w:rsid w:val="15AB1B06"/>
    <w:rsid w:val="161090A2"/>
    <w:rsid w:val="161C4B32"/>
    <w:rsid w:val="1652D40C"/>
    <w:rsid w:val="1676D22D"/>
    <w:rsid w:val="16A70B08"/>
    <w:rsid w:val="16B34CF9"/>
    <w:rsid w:val="17170E9D"/>
    <w:rsid w:val="1722DF27"/>
    <w:rsid w:val="1752DC3B"/>
    <w:rsid w:val="178C89E2"/>
    <w:rsid w:val="17E64EDE"/>
    <w:rsid w:val="17F3591A"/>
    <w:rsid w:val="17F50AE0"/>
    <w:rsid w:val="18179DCD"/>
    <w:rsid w:val="182447F4"/>
    <w:rsid w:val="189362D9"/>
    <w:rsid w:val="18B74037"/>
    <w:rsid w:val="18C41503"/>
    <w:rsid w:val="18D59E5F"/>
    <w:rsid w:val="18FB7D18"/>
    <w:rsid w:val="19070121"/>
    <w:rsid w:val="190E11BD"/>
    <w:rsid w:val="1930CD47"/>
    <w:rsid w:val="194B362D"/>
    <w:rsid w:val="195CBDD4"/>
    <w:rsid w:val="19613031"/>
    <w:rsid w:val="197CED7D"/>
    <w:rsid w:val="19811041"/>
    <w:rsid w:val="19A8ED2C"/>
    <w:rsid w:val="1A2197E0"/>
    <w:rsid w:val="1A64F0EC"/>
    <w:rsid w:val="1A8C8964"/>
    <w:rsid w:val="1A8E58A6"/>
    <w:rsid w:val="1A9540F7"/>
    <w:rsid w:val="1A9CBDC9"/>
    <w:rsid w:val="1AB717FE"/>
    <w:rsid w:val="1ABFC9CA"/>
    <w:rsid w:val="1B070A3F"/>
    <w:rsid w:val="1B294646"/>
    <w:rsid w:val="1B6530C2"/>
    <w:rsid w:val="1B8A606B"/>
    <w:rsid w:val="1BF5A637"/>
    <w:rsid w:val="1BF906DD"/>
    <w:rsid w:val="1C0F1B61"/>
    <w:rsid w:val="1C1767EF"/>
    <w:rsid w:val="1C2DF8B2"/>
    <w:rsid w:val="1C4F6B7C"/>
    <w:rsid w:val="1C5D77BB"/>
    <w:rsid w:val="1C61F4D4"/>
    <w:rsid w:val="1C816593"/>
    <w:rsid w:val="1CAF8264"/>
    <w:rsid w:val="1CEF6C5C"/>
    <w:rsid w:val="1CFC5606"/>
    <w:rsid w:val="1D00B3B1"/>
    <w:rsid w:val="1D3BF717"/>
    <w:rsid w:val="1DE06B4C"/>
    <w:rsid w:val="1DE40998"/>
    <w:rsid w:val="1DEF6F4B"/>
    <w:rsid w:val="1E0711A5"/>
    <w:rsid w:val="1E09961B"/>
    <w:rsid w:val="1E436D2C"/>
    <w:rsid w:val="1EE066A3"/>
    <w:rsid w:val="1EE654E9"/>
    <w:rsid w:val="1EECF6B7"/>
    <w:rsid w:val="1F1780BB"/>
    <w:rsid w:val="1F538B90"/>
    <w:rsid w:val="1F6EC8FC"/>
    <w:rsid w:val="1F797A7A"/>
    <w:rsid w:val="1F855901"/>
    <w:rsid w:val="1F97A1BC"/>
    <w:rsid w:val="1FD291AC"/>
    <w:rsid w:val="1FD8218B"/>
    <w:rsid w:val="1FEC7287"/>
    <w:rsid w:val="2018FE6B"/>
    <w:rsid w:val="20AD34F8"/>
    <w:rsid w:val="20D12842"/>
    <w:rsid w:val="20D77532"/>
    <w:rsid w:val="20E140C9"/>
    <w:rsid w:val="211A256A"/>
    <w:rsid w:val="2131F8B8"/>
    <w:rsid w:val="2135F84F"/>
    <w:rsid w:val="215B6B63"/>
    <w:rsid w:val="2160817A"/>
    <w:rsid w:val="2178E45B"/>
    <w:rsid w:val="218ABAF5"/>
    <w:rsid w:val="219763A0"/>
    <w:rsid w:val="21C75065"/>
    <w:rsid w:val="21C8AC21"/>
    <w:rsid w:val="21F238DF"/>
    <w:rsid w:val="223C9801"/>
    <w:rsid w:val="223E6F35"/>
    <w:rsid w:val="2279AB06"/>
    <w:rsid w:val="227D6179"/>
    <w:rsid w:val="22B276F6"/>
    <w:rsid w:val="22CBBED8"/>
    <w:rsid w:val="22DB229F"/>
    <w:rsid w:val="23372A85"/>
    <w:rsid w:val="235367C7"/>
    <w:rsid w:val="2376B5CE"/>
    <w:rsid w:val="237E133F"/>
    <w:rsid w:val="23A231BF"/>
    <w:rsid w:val="23ED161F"/>
    <w:rsid w:val="240A7D1D"/>
    <w:rsid w:val="2420C01B"/>
    <w:rsid w:val="2445B9E7"/>
    <w:rsid w:val="244BA39B"/>
    <w:rsid w:val="24705767"/>
    <w:rsid w:val="24A93C1C"/>
    <w:rsid w:val="24D37877"/>
    <w:rsid w:val="252CAC1D"/>
    <w:rsid w:val="25413896"/>
    <w:rsid w:val="256EA7AB"/>
    <w:rsid w:val="25773503"/>
    <w:rsid w:val="258E19D8"/>
    <w:rsid w:val="25A41938"/>
    <w:rsid w:val="25C8F456"/>
    <w:rsid w:val="25E0AC67"/>
    <w:rsid w:val="2604AD5B"/>
    <w:rsid w:val="2637E2EF"/>
    <w:rsid w:val="263A630A"/>
    <w:rsid w:val="264C73BE"/>
    <w:rsid w:val="264E5937"/>
    <w:rsid w:val="265EE78B"/>
    <w:rsid w:val="266C7307"/>
    <w:rsid w:val="26B84301"/>
    <w:rsid w:val="26CABE77"/>
    <w:rsid w:val="26D87B2F"/>
    <w:rsid w:val="26F3064E"/>
    <w:rsid w:val="272A70A6"/>
    <w:rsid w:val="27538A00"/>
    <w:rsid w:val="27A9C4B3"/>
    <w:rsid w:val="27B9EAC5"/>
    <w:rsid w:val="27D08476"/>
    <w:rsid w:val="2805FDD8"/>
    <w:rsid w:val="285FBFC5"/>
    <w:rsid w:val="288D1FE8"/>
    <w:rsid w:val="28BDED1F"/>
    <w:rsid w:val="28D87CD4"/>
    <w:rsid w:val="28FEC97C"/>
    <w:rsid w:val="2918E388"/>
    <w:rsid w:val="292D698B"/>
    <w:rsid w:val="299C377A"/>
    <w:rsid w:val="29B43247"/>
    <w:rsid w:val="29CC9FB4"/>
    <w:rsid w:val="29D7C944"/>
    <w:rsid w:val="2A119C2D"/>
    <w:rsid w:val="2A1FD9A3"/>
    <w:rsid w:val="2A50C039"/>
    <w:rsid w:val="2A951CCD"/>
    <w:rsid w:val="2AA57D53"/>
    <w:rsid w:val="2B0130BA"/>
    <w:rsid w:val="2B03EBDD"/>
    <w:rsid w:val="2B0E044F"/>
    <w:rsid w:val="2B16F44E"/>
    <w:rsid w:val="2BBC4BA4"/>
    <w:rsid w:val="2BCAACA2"/>
    <w:rsid w:val="2C24A371"/>
    <w:rsid w:val="2C3006D8"/>
    <w:rsid w:val="2C4EAAF4"/>
    <w:rsid w:val="2C5347F9"/>
    <w:rsid w:val="2CF82A75"/>
    <w:rsid w:val="2D618649"/>
    <w:rsid w:val="2D6A6E03"/>
    <w:rsid w:val="2DBB79EE"/>
    <w:rsid w:val="2DF7DB4B"/>
    <w:rsid w:val="2DF7ED55"/>
    <w:rsid w:val="2E283492"/>
    <w:rsid w:val="2E35AA31"/>
    <w:rsid w:val="2E4ED1B8"/>
    <w:rsid w:val="2E63DF7F"/>
    <w:rsid w:val="2E65B6DC"/>
    <w:rsid w:val="2E8856F4"/>
    <w:rsid w:val="2EBA50B9"/>
    <w:rsid w:val="2EBE291F"/>
    <w:rsid w:val="2EF72574"/>
    <w:rsid w:val="2F002EC2"/>
    <w:rsid w:val="2F0059B5"/>
    <w:rsid w:val="2F2F1EE2"/>
    <w:rsid w:val="2F3B4039"/>
    <w:rsid w:val="2F5846F3"/>
    <w:rsid w:val="2FA493A1"/>
    <w:rsid w:val="2FEC77C4"/>
    <w:rsid w:val="2FFC4D01"/>
    <w:rsid w:val="3044EF00"/>
    <w:rsid w:val="305C8E22"/>
    <w:rsid w:val="308940AA"/>
    <w:rsid w:val="30ADBDEB"/>
    <w:rsid w:val="30CB663D"/>
    <w:rsid w:val="30CF0969"/>
    <w:rsid w:val="30F925B0"/>
    <w:rsid w:val="31145B8C"/>
    <w:rsid w:val="3114FA54"/>
    <w:rsid w:val="311B9D4E"/>
    <w:rsid w:val="314455C6"/>
    <w:rsid w:val="3147CA82"/>
    <w:rsid w:val="314D8100"/>
    <w:rsid w:val="315A7761"/>
    <w:rsid w:val="317E997B"/>
    <w:rsid w:val="31A034F0"/>
    <w:rsid w:val="31B1DBFC"/>
    <w:rsid w:val="320946C7"/>
    <w:rsid w:val="320A97A5"/>
    <w:rsid w:val="3220F2D4"/>
    <w:rsid w:val="32639AD7"/>
    <w:rsid w:val="32B4678B"/>
    <w:rsid w:val="3339A999"/>
    <w:rsid w:val="335643C9"/>
    <w:rsid w:val="338755AA"/>
    <w:rsid w:val="33988F5E"/>
    <w:rsid w:val="33A4D283"/>
    <w:rsid w:val="33D9A7C1"/>
    <w:rsid w:val="34006249"/>
    <w:rsid w:val="34047A1C"/>
    <w:rsid w:val="342137EF"/>
    <w:rsid w:val="3422289D"/>
    <w:rsid w:val="3437172A"/>
    <w:rsid w:val="34413B4F"/>
    <w:rsid w:val="34419BAA"/>
    <w:rsid w:val="346A9BCD"/>
    <w:rsid w:val="348A2761"/>
    <w:rsid w:val="34D0FDB3"/>
    <w:rsid w:val="34E63E23"/>
    <w:rsid w:val="3504D45B"/>
    <w:rsid w:val="35124E16"/>
    <w:rsid w:val="3522A90D"/>
    <w:rsid w:val="3538C54A"/>
    <w:rsid w:val="3546FC43"/>
    <w:rsid w:val="35A9BF6B"/>
    <w:rsid w:val="35C5209F"/>
    <w:rsid w:val="35D66EA0"/>
    <w:rsid w:val="3629B219"/>
    <w:rsid w:val="3635E1DC"/>
    <w:rsid w:val="36408A13"/>
    <w:rsid w:val="3658895D"/>
    <w:rsid w:val="365BD2B8"/>
    <w:rsid w:val="36854EEB"/>
    <w:rsid w:val="3686D172"/>
    <w:rsid w:val="36C47A1D"/>
    <w:rsid w:val="36C9AEDE"/>
    <w:rsid w:val="37713299"/>
    <w:rsid w:val="37A9F1EE"/>
    <w:rsid w:val="37B99202"/>
    <w:rsid w:val="37DDE826"/>
    <w:rsid w:val="3892D951"/>
    <w:rsid w:val="3894D1BD"/>
    <w:rsid w:val="38AA4D3E"/>
    <w:rsid w:val="38E58542"/>
    <w:rsid w:val="390B4335"/>
    <w:rsid w:val="392C4F99"/>
    <w:rsid w:val="39503D8B"/>
    <w:rsid w:val="3963BEC9"/>
    <w:rsid w:val="3970CCB5"/>
    <w:rsid w:val="3970FB40"/>
    <w:rsid w:val="3976F2CD"/>
    <w:rsid w:val="39B85253"/>
    <w:rsid w:val="39C3A3AD"/>
    <w:rsid w:val="39EECF73"/>
    <w:rsid w:val="3A17C057"/>
    <w:rsid w:val="3A19A084"/>
    <w:rsid w:val="3A27AC8D"/>
    <w:rsid w:val="3A2993DA"/>
    <w:rsid w:val="3A597128"/>
    <w:rsid w:val="3A7FDA86"/>
    <w:rsid w:val="3AC9ACC8"/>
    <w:rsid w:val="3AEAA9B5"/>
    <w:rsid w:val="3B105CA0"/>
    <w:rsid w:val="3B13EE46"/>
    <w:rsid w:val="3B26D0B9"/>
    <w:rsid w:val="3B568DA7"/>
    <w:rsid w:val="3B57192A"/>
    <w:rsid w:val="3B75859D"/>
    <w:rsid w:val="3B7A138C"/>
    <w:rsid w:val="3B862A17"/>
    <w:rsid w:val="3BA344A1"/>
    <w:rsid w:val="3BAAD7D6"/>
    <w:rsid w:val="3BD01E78"/>
    <w:rsid w:val="3BF33478"/>
    <w:rsid w:val="3C76DF3F"/>
    <w:rsid w:val="3C777BDB"/>
    <w:rsid w:val="3CAC3B59"/>
    <w:rsid w:val="3CC95230"/>
    <w:rsid w:val="3CF65541"/>
    <w:rsid w:val="3D071FB0"/>
    <w:rsid w:val="3D07BE64"/>
    <w:rsid w:val="3D92D44E"/>
    <w:rsid w:val="3DA20481"/>
    <w:rsid w:val="3DA764C1"/>
    <w:rsid w:val="3DE349A4"/>
    <w:rsid w:val="3DFE428A"/>
    <w:rsid w:val="3E3745CF"/>
    <w:rsid w:val="3E457809"/>
    <w:rsid w:val="3E4CD523"/>
    <w:rsid w:val="3E53CF1C"/>
    <w:rsid w:val="3E5ECF74"/>
    <w:rsid w:val="3E8C4606"/>
    <w:rsid w:val="3F34DCF6"/>
    <w:rsid w:val="3F601FB7"/>
    <w:rsid w:val="3F88673A"/>
    <w:rsid w:val="3F8B4934"/>
    <w:rsid w:val="3FDC4904"/>
    <w:rsid w:val="4004EF44"/>
    <w:rsid w:val="40244A37"/>
    <w:rsid w:val="402856E3"/>
    <w:rsid w:val="408B7374"/>
    <w:rsid w:val="4093B5E0"/>
    <w:rsid w:val="40955C41"/>
    <w:rsid w:val="40A99B7D"/>
    <w:rsid w:val="40B304B0"/>
    <w:rsid w:val="40BD76A5"/>
    <w:rsid w:val="4157E223"/>
    <w:rsid w:val="41705A65"/>
    <w:rsid w:val="41740ECF"/>
    <w:rsid w:val="4188716B"/>
    <w:rsid w:val="41B86E01"/>
    <w:rsid w:val="41B940D5"/>
    <w:rsid w:val="41BDBB60"/>
    <w:rsid w:val="41E6D34D"/>
    <w:rsid w:val="420BE871"/>
    <w:rsid w:val="4232754F"/>
    <w:rsid w:val="42763A53"/>
    <w:rsid w:val="429FA8B4"/>
    <w:rsid w:val="42A6FB40"/>
    <w:rsid w:val="42CBBEDB"/>
    <w:rsid w:val="42D7DEE9"/>
    <w:rsid w:val="42D8B3BD"/>
    <w:rsid w:val="42EE72FA"/>
    <w:rsid w:val="4305A974"/>
    <w:rsid w:val="433674DD"/>
    <w:rsid w:val="43633D1E"/>
    <w:rsid w:val="437E5B07"/>
    <w:rsid w:val="43B2D771"/>
    <w:rsid w:val="43C64E57"/>
    <w:rsid w:val="43CF0CA9"/>
    <w:rsid w:val="43EA1509"/>
    <w:rsid w:val="43F2969E"/>
    <w:rsid w:val="44836CAC"/>
    <w:rsid w:val="44D5C128"/>
    <w:rsid w:val="44F93DB7"/>
    <w:rsid w:val="450D524E"/>
    <w:rsid w:val="450E2E9B"/>
    <w:rsid w:val="452600ED"/>
    <w:rsid w:val="4570E9FA"/>
    <w:rsid w:val="45AF91C7"/>
    <w:rsid w:val="45B4493D"/>
    <w:rsid w:val="45C0E072"/>
    <w:rsid w:val="45C491A4"/>
    <w:rsid w:val="45E4D1F7"/>
    <w:rsid w:val="4620E972"/>
    <w:rsid w:val="464FF783"/>
    <w:rsid w:val="4689A8FE"/>
    <w:rsid w:val="46BF4EFD"/>
    <w:rsid w:val="46C447F7"/>
    <w:rsid w:val="46F651E6"/>
    <w:rsid w:val="470EEFB9"/>
    <w:rsid w:val="471A86C1"/>
    <w:rsid w:val="474075CC"/>
    <w:rsid w:val="474380F3"/>
    <w:rsid w:val="47529A78"/>
    <w:rsid w:val="47869E7E"/>
    <w:rsid w:val="47AFE159"/>
    <w:rsid w:val="47D9911C"/>
    <w:rsid w:val="48A3F006"/>
    <w:rsid w:val="48A7947D"/>
    <w:rsid w:val="48AB54D0"/>
    <w:rsid w:val="48E1F2C3"/>
    <w:rsid w:val="49144312"/>
    <w:rsid w:val="49248A1C"/>
    <w:rsid w:val="493C4838"/>
    <w:rsid w:val="49492BF3"/>
    <w:rsid w:val="49493513"/>
    <w:rsid w:val="49BA8111"/>
    <w:rsid w:val="49C2CC67"/>
    <w:rsid w:val="49D86641"/>
    <w:rsid w:val="4A11E2F7"/>
    <w:rsid w:val="4A2F7F48"/>
    <w:rsid w:val="4A546952"/>
    <w:rsid w:val="4A54CACC"/>
    <w:rsid w:val="4A664BB2"/>
    <w:rsid w:val="4AD8CAF2"/>
    <w:rsid w:val="4AEB6282"/>
    <w:rsid w:val="4AF0E533"/>
    <w:rsid w:val="4AF628F6"/>
    <w:rsid w:val="4B04DD12"/>
    <w:rsid w:val="4B07553C"/>
    <w:rsid w:val="4B1D6A99"/>
    <w:rsid w:val="4B5394D4"/>
    <w:rsid w:val="4B609D08"/>
    <w:rsid w:val="4B8A229D"/>
    <w:rsid w:val="4B9A6027"/>
    <w:rsid w:val="4C00832C"/>
    <w:rsid w:val="4C0A0955"/>
    <w:rsid w:val="4C21600E"/>
    <w:rsid w:val="4CF9A9F8"/>
    <w:rsid w:val="4D15603C"/>
    <w:rsid w:val="4D40D10E"/>
    <w:rsid w:val="4D4387A1"/>
    <w:rsid w:val="4D4A7BB9"/>
    <w:rsid w:val="4D7314EB"/>
    <w:rsid w:val="4D82996F"/>
    <w:rsid w:val="4D98ABF4"/>
    <w:rsid w:val="4DB469D8"/>
    <w:rsid w:val="4DF015FD"/>
    <w:rsid w:val="4E0D2EA1"/>
    <w:rsid w:val="4E22B99D"/>
    <w:rsid w:val="4E5250BB"/>
    <w:rsid w:val="4E8E260F"/>
    <w:rsid w:val="4EA1C89A"/>
    <w:rsid w:val="4ECBA204"/>
    <w:rsid w:val="4ED472C3"/>
    <w:rsid w:val="4F2D583E"/>
    <w:rsid w:val="4F2DEEF3"/>
    <w:rsid w:val="4FAD73CC"/>
    <w:rsid w:val="4FFFD517"/>
    <w:rsid w:val="504C19A3"/>
    <w:rsid w:val="50541B85"/>
    <w:rsid w:val="505D1B34"/>
    <w:rsid w:val="5065D889"/>
    <w:rsid w:val="507430DF"/>
    <w:rsid w:val="5090B17D"/>
    <w:rsid w:val="50A871BB"/>
    <w:rsid w:val="50CCA467"/>
    <w:rsid w:val="5167030D"/>
    <w:rsid w:val="517BD1E6"/>
    <w:rsid w:val="51B51DC6"/>
    <w:rsid w:val="51C0E4F5"/>
    <w:rsid w:val="51CD271D"/>
    <w:rsid w:val="51D6E3C8"/>
    <w:rsid w:val="5242A141"/>
    <w:rsid w:val="524B27DE"/>
    <w:rsid w:val="52B5EBFB"/>
    <w:rsid w:val="52C21B7E"/>
    <w:rsid w:val="52C7008F"/>
    <w:rsid w:val="52F23D03"/>
    <w:rsid w:val="5304A966"/>
    <w:rsid w:val="530841C3"/>
    <w:rsid w:val="5318876E"/>
    <w:rsid w:val="53378958"/>
    <w:rsid w:val="5346EE51"/>
    <w:rsid w:val="534E7A96"/>
    <w:rsid w:val="53AF9FED"/>
    <w:rsid w:val="53F9700D"/>
    <w:rsid w:val="54041330"/>
    <w:rsid w:val="543DD318"/>
    <w:rsid w:val="5476C93A"/>
    <w:rsid w:val="54C11A0E"/>
    <w:rsid w:val="54C7542D"/>
    <w:rsid w:val="54F4B55D"/>
    <w:rsid w:val="55091F4A"/>
    <w:rsid w:val="55331E97"/>
    <w:rsid w:val="554A6E8D"/>
    <w:rsid w:val="55691409"/>
    <w:rsid w:val="556CCB55"/>
    <w:rsid w:val="556E2EE1"/>
    <w:rsid w:val="558F7A06"/>
    <w:rsid w:val="55D14599"/>
    <w:rsid w:val="55D154F5"/>
    <w:rsid w:val="55D40AB6"/>
    <w:rsid w:val="5602C0C4"/>
    <w:rsid w:val="56061B51"/>
    <w:rsid w:val="560A9CA2"/>
    <w:rsid w:val="5610938C"/>
    <w:rsid w:val="56567055"/>
    <w:rsid w:val="565F09A9"/>
    <w:rsid w:val="56D76E51"/>
    <w:rsid w:val="56D786EE"/>
    <w:rsid w:val="56F9BC29"/>
    <w:rsid w:val="572E6998"/>
    <w:rsid w:val="5751682C"/>
    <w:rsid w:val="57977FB7"/>
    <w:rsid w:val="57A8E24F"/>
    <w:rsid w:val="57C5CB22"/>
    <w:rsid w:val="57FB104B"/>
    <w:rsid w:val="5806A63E"/>
    <w:rsid w:val="584B97AB"/>
    <w:rsid w:val="58D83C27"/>
    <w:rsid w:val="59081445"/>
    <w:rsid w:val="5909B790"/>
    <w:rsid w:val="5942F5E9"/>
    <w:rsid w:val="594A0397"/>
    <w:rsid w:val="59516BB8"/>
    <w:rsid w:val="595E130C"/>
    <w:rsid w:val="59890C4D"/>
    <w:rsid w:val="5A13F213"/>
    <w:rsid w:val="5A23B96E"/>
    <w:rsid w:val="5A42F780"/>
    <w:rsid w:val="5A7D3B74"/>
    <w:rsid w:val="5A8EAA0D"/>
    <w:rsid w:val="5AAA2ECF"/>
    <w:rsid w:val="5B0D4D88"/>
    <w:rsid w:val="5B168731"/>
    <w:rsid w:val="5B17B6D0"/>
    <w:rsid w:val="5B35A6F6"/>
    <w:rsid w:val="5B3C5369"/>
    <w:rsid w:val="5B3D7340"/>
    <w:rsid w:val="5B532F28"/>
    <w:rsid w:val="5B5EB582"/>
    <w:rsid w:val="5B7F10A2"/>
    <w:rsid w:val="5B9A5C6C"/>
    <w:rsid w:val="5BC3ECB7"/>
    <w:rsid w:val="5BF2D1C3"/>
    <w:rsid w:val="5BFFAF45"/>
    <w:rsid w:val="5C040C4F"/>
    <w:rsid w:val="5C14BFCF"/>
    <w:rsid w:val="5C3EAC05"/>
    <w:rsid w:val="5C3F0058"/>
    <w:rsid w:val="5C59EBA0"/>
    <w:rsid w:val="5CCB89C1"/>
    <w:rsid w:val="5CF17776"/>
    <w:rsid w:val="5D1A4985"/>
    <w:rsid w:val="5D2FFFC0"/>
    <w:rsid w:val="5D350754"/>
    <w:rsid w:val="5D3BEA58"/>
    <w:rsid w:val="5D5CC9D9"/>
    <w:rsid w:val="5D6DC580"/>
    <w:rsid w:val="5D934164"/>
    <w:rsid w:val="5D9C92CE"/>
    <w:rsid w:val="5DD45871"/>
    <w:rsid w:val="5DD4B311"/>
    <w:rsid w:val="5DE179ED"/>
    <w:rsid w:val="5E39FF59"/>
    <w:rsid w:val="5EBB4C09"/>
    <w:rsid w:val="5EF521BF"/>
    <w:rsid w:val="5EF90D60"/>
    <w:rsid w:val="5F5D322D"/>
    <w:rsid w:val="5F9A5FBA"/>
    <w:rsid w:val="5FB08924"/>
    <w:rsid w:val="5FFF6B5B"/>
    <w:rsid w:val="601E9533"/>
    <w:rsid w:val="6034C58B"/>
    <w:rsid w:val="603D89F7"/>
    <w:rsid w:val="60450B89"/>
    <w:rsid w:val="60671A06"/>
    <w:rsid w:val="6069A90F"/>
    <w:rsid w:val="606CB04C"/>
    <w:rsid w:val="6071BA00"/>
    <w:rsid w:val="6084CF41"/>
    <w:rsid w:val="60C03242"/>
    <w:rsid w:val="60E5A6B9"/>
    <w:rsid w:val="615EF968"/>
    <w:rsid w:val="616066DC"/>
    <w:rsid w:val="6176A45C"/>
    <w:rsid w:val="617A7EF6"/>
    <w:rsid w:val="618185A5"/>
    <w:rsid w:val="618A98B9"/>
    <w:rsid w:val="61B62500"/>
    <w:rsid w:val="61F1608D"/>
    <w:rsid w:val="620CC3B2"/>
    <w:rsid w:val="623D1B9C"/>
    <w:rsid w:val="6245EA92"/>
    <w:rsid w:val="6262330D"/>
    <w:rsid w:val="6269BC19"/>
    <w:rsid w:val="62ED0AB9"/>
    <w:rsid w:val="630CCB6B"/>
    <w:rsid w:val="6375CE5C"/>
    <w:rsid w:val="6378012D"/>
    <w:rsid w:val="6395288A"/>
    <w:rsid w:val="63C09D18"/>
    <w:rsid w:val="63D250BD"/>
    <w:rsid w:val="63F755A6"/>
    <w:rsid w:val="64721CD2"/>
    <w:rsid w:val="64767713"/>
    <w:rsid w:val="64C7955A"/>
    <w:rsid w:val="64D5E784"/>
    <w:rsid w:val="64DB9E21"/>
    <w:rsid w:val="65051EAC"/>
    <w:rsid w:val="6550333E"/>
    <w:rsid w:val="65876C1C"/>
    <w:rsid w:val="658A26F2"/>
    <w:rsid w:val="65BB2F84"/>
    <w:rsid w:val="65D815C7"/>
    <w:rsid w:val="65D8D8B5"/>
    <w:rsid w:val="65F24A17"/>
    <w:rsid w:val="662E1A5F"/>
    <w:rsid w:val="668911A7"/>
    <w:rsid w:val="668CBA99"/>
    <w:rsid w:val="66DF9464"/>
    <w:rsid w:val="66ED62E3"/>
    <w:rsid w:val="670F44B5"/>
    <w:rsid w:val="6734CEB6"/>
    <w:rsid w:val="677840D0"/>
    <w:rsid w:val="67CBCF1A"/>
    <w:rsid w:val="67DB1BC1"/>
    <w:rsid w:val="67EB96C7"/>
    <w:rsid w:val="67F57D83"/>
    <w:rsid w:val="68223DB1"/>
    <w:rsid w:val="6835CA35"/>
    <w:rsid w:val="6840599A"/>
    <w:rsid w:val="689B6A62"/>
    <w:rsid w:val="68EB9977"/>
    <w:rsid w:val="6913CDFB"/>
    <w:rsid w:val="69270B2E"/>
    <w:rsid w:val="6939499A"/>
    <w:rsid w:val="695A97FD"/>
    <w:rsid w:val="696F433D"/>
    <w:rsid w:val="69821940"/>
    <w:rsid w:val="6987A572"/>
    <w:rsid w:val="69C25A91"/>
    <w:rsid w:val="69C9A734"/>
    <w:rsid w:val="69EA6F98"/>
    <w:rsid w:val="69F2E682"/>
    <w:rsid w:val="6A140225"/>
    <w:rsid w:val="6A23B408"/>
    <w:rsid w:val="6A87BEED"/>
    <w:rsid w:val="6AB2433C"/>
    <w:rsid w:val="6AE104C4"/>
    <w:rsid w:val="6B15DDAC"/>
    <w:rsid w:val="6B39B16B"/>
    <w:rsid w:val="6B5F334B"/>
    <w:rsid w:val="6B9D3CB6"/>
    <w:rsid w:val="6B9F94A9"/>
    <w:rsid w:val="6BC70949"/>
    <w:rsid w:val="6BCA8911"/>
    <w:rsid w:val="6BF70954"/>
    <w:rsid w:val="6C08B6A5"/>
    <w:rsid w:val="6C11DE8D"/>
    <w:rsid w:val="6C13F540"/>
    <w:rsid w:val="6C6742F9"/>
    <w:rsid w:val="6C71B902"/>
    <w:rsid w:val="6C95DDD1"/>
    <w:rsid w:val="6CF402DE"/>
    <w:rsid w:val="6CF5A6B3"/>
    <w:rsid w:val="6D400AA4"/>
    <w:rsid w:val="6D5975FF"/>
    <w:rsid w:val="6D97EA4F"/>
    <w:rsid w:val="6DE6E5B4"/>
    <w:rsid w:val="6E729FE7"/>
    <w:rsid w:val="6EA7659F"/>
    <w:rsid w:val="6EACD88C"/>
    <w:rsid w:val="6EC9DD7D"/>
    <w:rsid w:val="6EC9DFAA"/>
    <w:rsid w:val="6EEFCCD4"/>
    <w:rsid w:val="6F1B9489"/>
    <w:rsid w:val="6F61763F"/>
    <w:rsid w:val="6F98DD53"/>
    <w:rsid w:val="6FB6E752"/>
    <w:rsid w:val="6FFDFF45"/>
    <w:rsid w:val="70135FC4"/>
    <w:rsid w:val="7015CB1C"/>
    <w:rsid w:val="7019ED40"/>
    <w:rsid w:val="701FD152"/>
    <w:rsid w:val="7025AC86"/>
    <w:rsid w:val="702B28D4"/>
    <w:rsid w:val="7066D0CA"/>
    <w:rsid w:val="708E3BDF"/>
    <w:rsid w:val="70C02444"/>
    <w:rsid w:val="70D1E209"/>
    <w:rsid w:val="71330328"/>
    <w:rsid w:val="7154D694"/>
    <w:rsid w:val="7173B7CE"/>
    <w:rsid w:val="718401C0"/>
    <w:rsid w:val="71866827"/>
    <w:rsid w:val="718E90FF"/>
    <w:rsid w:val="71E341E5"/>
    <w:rsid w:val="71E62C29"/>
    <w:rsid w:val="723784D8"/>
    <w:rsid w:val="724A2BB8"/>
    <w:rsid w:val="7252C340"/>
    <w:rsid w:val="7272FAF5"/>
    <w:rsid w:val="7279E87D"/>
    <w:rsid w:val="727F4B7F"/>
    <w:rsid w:val="7289FE57"/>
    <w:rsid w:val="72918430"/>
    <w:rsid w:val="7293AE31"/>
    <w:rsid w:val="72BC5A21"/>
    <w:rsid w:val="7337546F"/>
    <w:rsid w:val="7349965B"/>
    <w:rsid w:val="735AF154"/>
    <w:rsid w:val="73EFDD6C"/>
    <w:rsid w:val="740D88D6"/>
    <w:rsid w:val="7435729E"/>
    <w:rsid w:val="74D7B049"/>
    <w:rsid w:val="74F124B1"/>
    <w:rsid w:val="74FEFA2A"/>
    <w:rsid w:val="752FC71E"/>
    <w:rsid w:val="75349E68"/>
    <w:rsid w:val="7554A703"/>
    <w:rsid w:val="75563173"/>
    <w:rsid w:val="75680ECF"/>
    <w:rsid w:val="75823755"/>
    <w:rsid w:val="7587AC01"/>
    <w:rsid w:val="75888982"/>
    <w:rsid w:val="75B539B4"/>
    <w:rsid w:val="75DE2DE2"/>
    <w:rsid w:val="75F56DFD"/>
    <w:rsid w:val="76225C1B"/>
    <w:rsid w:val="76628F00"/>
    <w:rsid w:val="767C5BE5"/>
    <w:rsid w:val="76A97CF3"/>
    <w:rsid w:val="76AFFEB9"/>
    <w:rsid w:val="76BC4AC9"/>
    <w:rsid w:val="76BEE80B"/>
    <w:rsid w:val="76C3810E"/>
    <w:rsid w:val="76E93F54"/>
    <w:rsid w:val="77034CDE"/>
    <w:rsid w:val="7728E624"/>
    <w:rsid w:val="7730C80B"/>
    <w:rsid w:val="773244DA"/>
    <w:rsid w:val="7742B4EA"/>
    <w:rsid w:val="777B8789"/>
    <w:rsid w:val="77954EFE"/>
    <w:rsid w:val="77E505AD"/>
    <w:rsid w:val="77E81D8F"/>
    <w:rsid w:val="77E8EAFC"/>
    <w:rsid w:val="77F8F259"/>
    <w:rsid w:val="785F4EA3"/>
    <w:rsid w:val="78865B3D"/>
    <w:rsid w:val="788C326E"/>
    <w:rsid w:val="78CAB421"/>
    <w:rsid w:val="78EF1D3F"/>
    <w:rsid w:val="79014311"/>
    <w:rsid w:val="79098C38"/>
    <w:rsid w:val="7918EDED"/>
    <w:rsid w:val="792D6D72"/>
    <w:rsid w:val="793F06CC"/>
    <w:rsid w:val="79631B1E"/>
    <w:rsid w:val="79AC80B7"/>
    <w:rsid w:val="79C513A7"/>
    <w:rsid w:val="79D80018"/>
    <w:rsid w:val="79E71E50"/>
    <w:rsid w:val="79EB9030"/>
    <w:rsid w:val="79FF5400"/>
    <w:rsid w:val="7A18C1E8"/>
    <w:rsid w:val="7A1C3826"/>
    <w:rsid w:val="7A4E6ACC"/>
    <w:rsid w:val="7A953AA8"/>
    <w:rsid w:val="7AAD8F53"/>
    <w:rsid w:val="7B0775C3"/>
    <w:rsid w:val="7B084A65"/>
    <w:rsid w:val="7B0CB840"/>
    <w:rsid w:val="7B238732"/>
    <w:rsid w:val="7B255614"/>
    <w:rsid w:val="7B64D744"/>
    <w:rsid w:val="7B666448"/>
    <w:rsid w:val="7B9054E7"/>
    <w:rsid w:val="7B9CB210"/>
    <w:rsid w:val="7B9DE5DE"/>
    <w:rsid w:val="7C17D8D5"/>
    <w:rsid w:val="7C357143"/>
    <w:rsid w:val="7C415B2C"/>
    <w:rsid w:val="7C79147A"/>
    <w:rsid w:val="7C8B47EC"/>
    <w:rsid w:val="7CDA7EEA"/>
    <w:rsid w:val="7CE8EFB5"/>
    <w:rsid w:val="7D2B618E"/>
    <w:rsid w:val="7D5EC16F"/>
    <w:rsid w:val="7D5F1CF6"/>
    <w:rsid w:val="7D7137D8"/>
    <w:rsid w:val="7D942CCC"/>
    <w:rsid w:val="7DAE7408"/>
    <w:rsid w:val="7DB8DA91"/>
    <w:rsid w:val="7DC91EA8"/>
    <w:rsid w:val="7DD79C94"/>
    <w:rsid w:val="7E27BEC1"/>
    <w:rsid w:val="7E93EEC9"/>
    <w:rsid w:val="7E94FC06"/>
    <w:rsid w:val="7E9F32B7"/>
    <w:rsid w:val="7EBB0A3B"/>
    <w:rsid w:val="7EC317F1"/>
    <w:rsid w:val="7F12333D"/>
    <w:rsid w:val="7F2C4583"/>
    <w:rsid w:val="7F6A00BD"/>
    <w:rsid w:val="7F787089"/>
    <w:rsid w:val="7F8A3B6B"/>
    <w:rsid w:val="7F941CA7"/>
    <w:rsid w:val="7F962FBE"/>
    <w:rsid w:val="7F985036"/>
    <w:rsid w:val="7FA6AB79"/>
    <w:rsid w:val="7FB1E13D"/>
    <w:rsid w:val="7FBCE0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89D14476-8577-48B1-B314-78972A8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DA"/>
    <w:pPr>
      <w:spacing w:after="120"/>
      <w:ind w:right="-45"/>
    </w:pPr>
    <w:rPr>
      <w:rFonts w:ascii="Arial" w:eastAsia="Times New Roman" w:hAnsi="Arial"/>
      <w:i/>
      <w:iCs/>
      <w:sz w:val="24"/>
      <w:szCs w:val="24"/>
    </w:rPr>
  </w:style>
  <w:style w:type="paragraph" w:styleId="Heading1">
    <w:name w:val="heading 1"/>
    <w:basedOn w:val="Normal"/>
    <w:next w:val="Normal"/>
    <w:link w:val="Heading1Char"/>
    <w:uiPriority w:val="9"/>
    <w:qFormat/>
    <w:rsid w:val="19811041"/>
    <w:pPr>
      <w:keepNext/>
      <w:keepLines/>
      <w:spacing w:before="120"/>
      <w:outlineLvl w:val="0"/>
    </w:pPr>
    <w:rPr>
      <w:rFonts w:eastAsiaTheme="majorEastAsia"/>
      <w:b/>
      <w:bCs/>
      <w:sz w:val="28"/>
      <w:szCs w:val="28"/>
    </w:rPr>
  </w:style>
  <w:style w:type="paragraph" w:styleId="Heading2">
    <w:name w:val="heading 2"/>
    <w:basedOn w:val="Normal"/>
    <w:next w:val="Normal"/>
    <w:link w:val="Heading2Char"/>
    <w:uiPriority w:val="1"/>
    <w:unhideWhenUsed/>
    <w:qFormat/>
    <w:rsid w:val="19811041"/>
    <w:pPr>
      <w:keepNext/>
      <w:keepLines/>
      <w:spacing w:before="120"/>
      <w:outlineLvl w:val="1"/>
    </w:pPr>
    <w:rPr>
      <w:rFonts w:eastAsiaTheme="majorEastAsia" w:cstheme="majorBidi"/>
      <w:b/>
      <w:bCs/>
    </w:rPr>
  </w:style>
  <w:style w:type="paragraph" w:styleId="Heading3">
    <w:name w:val="heading 3"/>
    <w:basedOn w:val="Normal"/>
    <w:next w:val="Normal"/>
    <w:link w:val="Heading3Char"/>
    <w:uiPriority w:val="1"/>
    <w:unhideWhenUsed/>
    <w:qFormat/>
    <w:rsid w:val="19811041"/>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1"/>
    <w:semiHidden/>
    <w:unhideWhenUsed/>
    <w:qFormat/>
    <w:rsid w:val="19811041"/>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b/>
      <w:bCs/>
      <w:i/>
      <w:iCs/>
      <w:sz w:val="28"/>
      <w:szCs w:val="28"/>
    </w:rPr>
  </w:style>
  <w:style w:type="character" w:customStyle="1" w:styleId="Heading2Char">
    <w:name w:val="Heading 2 Char"/>
    <w:basedOn w:val="DefaultParagraphFont"/>
    <w:link w:val="Heading2"/>
    <w:uiPriority w:val="1"/>
    <w:rsid w:val="00E90DF9"/>
    <w:rPr>
      <w:rFonts w:ascii="Arial" w:eastAsiaTheme="majorEastAsia" w:hAnsi="Arial" w:cstheme="majorBidi"/>
      <w:b/>
      <w:bCs/>
      <w:i/>
      <w:iCs/>
      <w:sz w:val="24"/>
      <w:szCs w:val="24"/>
    </w:rPr>
  </w:style>
  <w:style w:type="character" w:customStyle="1" w:styleId="Heading3Char">
    <w:name w:val="Heading 3 Char"/>
    <w:basedOn w:val="DefaultParagraphFont"/>
    <w:link w:val="Heading3"/>
    <w:uiPriority w:val="1"/>
    <w:rsid w:val="00E90DF9"/>
    <w:rPr>
      <w:rFonts w:ascii="Arial" w:eastAsiaTheme="majorEastAsia" w:hAnsi="Arial" w:cstheme="majorBidi"/>
      <w:b/>
      <w:bCs/>
      <w:i/>
      <w:iCs/>
      <w:sz w:val="24"/>
      <w:szCs w:val="24"/>
    </w:rPr>
  </w:style>
  <w:style w:type="character" w:customStyle="1" w:styleId="Heading4Char">
    <w:name w:val="Heading 4 Char"/>
    <w:basedOn w:val="DefaultParagraphFont"/>
    <w:link w:val="Heading4"/>
    <w:uiPriority w:val="1"/>
    <w:semiHidden/>
    <w:rsid w:val="00E90DF9"/>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rsid w:val="19811041"/>
    <w:pPr>
      <w:spacing w:before="120" w:after="60" w:line="240" w:lineRule="exact"/>
    </w:pPr>
    <w:rPr>
      <w:sz w:val="18"/>
      <w:szCs w:val="18"/>
    </w:rPr>
  </w:style>
  <w:style w:type="character" w:customStyle="1" w:styleId="FooterChar">
    <w:name w:val="Footer Char"/>
    <w:basedOn w:val="DefaultParagraphFont"/>
    <w:link w:val="Footer"/>
    <w:uiPriority w:val="99"/>
    <w:rsid w:val="00E90DF9"/>
    <w:rPr>
      <w:rFonts w:ascii="Arial" w:eastAsia="Times New Roman" w:hAnsi="Arial"/>
      <w:i/>
      <w:iCs/>
      <w:sz w:val="18"/>
      <w:szCs w:val="18"/>
    </w:rPr>
  </w:style>
  <w:style w:type="paragraph" w:styleId="ListParagraph">
    <w:name w:val="List Paragraph"/>
    <w:basedOn w:val="Normal"/>
    <w:link w:val="ListParagraphChar"/>
    <w:uiPriority w:val="34"/>
    <w:qFormat/>
    <w:rsid w:val="19811041"/>
    <w:pPr>
      <w:spacing w:after="0"/>
      <w:ind w:left="720"/>
    </w:pPr>
    <w:rPr>
      <w:rFonts w:cs="Calibri"/>
      <w:lang w:eastAsia="en-AU"/>
    </w:rPr>
  </w:style>
  <w:style w:type="paragraph" w:styleId="FootnoteText">
    <w:name w:val="footnote text"/>
    <w:basedOn w:val="Normal"/>
    <w:link w:val="FootnoteTextChar"/>
    <w:uiPriority w:val="99"/>
    <w:rsid w:val="19811041"/>
    <w:pPr>
      <w:widowControl w:val="0"/>
      <w:spacing w:after="60"/>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i/>
      <w:iCs/>
      <w:sz w:val="20"/>
      <w:szCs w:val="20"/>
      <w:lang w:val="en-GB"/>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basedOn w:val="DefaultParagraphFont"/>
    <w:link w:val="ListParagraph"/>
    <w:uiPriority w:val="34"/>
    <w:qFormat/>
    <w:locked/>
    <w:rsid w:val="00E90DF9"/>
    <w:rPr>
      <w:rFonts w:ascii="Arial" w:eastAsia="Times New Roman" w:hAnsi="Arial" w:cs="Calibri"/>
      <w:i/>
      <w:iCs/>
      <w:sz w:val="24"/>
      <w:szCs w:val="24"/>
      <w:lang w:eastAsia="en-AU"/>
    </w:rPr>
  </w:style>
  <w:style w:type="paragraph" w:styleId="Header">
    <w:name w:val="header"/>
    <w:basedOn w:val="Normal"/>
    <w:link w:val="HeaderChar"/>
    <w:uiPriority w:val="99"/>
    <w:unhideWhenUsed/>
    <w:rsid w:val="19811041"/>
    <w:pPr>
      <w:tabs>
        <w:tab w:val="center" w:pos="4513"/>
        <w:tab w:val="right" w:pos="9026"/>
      </w:tabs>
      <w:spacing w:after="0"/>
    </w:pPr>
  </w:style>
  <w:style w:type="character" w:customStyle="1" w:styleId="HeaderChar">
    <w:name w:val="Header Char"/>
    <w:basedOn w:val="DefaultParagraphFont"/>
    <w:link w:val="Header"/>
    <w:uiPriority w:val="99"/>
    <w:rsid w:val="00607904"/>
    <w:rPr>
      <w:rFonts w:ascii="Arial" w:eastAsia="Times New Roman" w:hAnsi="Arial"/>
      <w:i/>
      <w:iCs/>
      <w:sz w:val="24"/>
      <w:szCs w:val="24"/>
    </w:rPr>
  </w:style>
  <w:style w:type="paragraph" w:styleId="NormalWeb">
    <w:name w:val="Normal (Web)"/>
    <w:basedOn w:val="Normal"/>
    <w:uiPriority w:val="99"/>
    <w:unhideWhenUsed/>
    <w:rsid w:val="19811041"/>
    <w:pPr>
      <w:spacing w:beforeAutospacing="1" w:afterAutospacing="1"/>
    </w:pPr>
    <w:rPr>
      <w:rFonts w:ascii="Times New Roman" w:hAnsi="Times New Roman"/>
      <w:lang w:eastAsia="en-AU"/>
    </w:rPr>
  </w:style>
  <w:style w:type="character" w:styleId="Strong">
    <w:name w:val="Strong"/>
    <w:basedOn w:val="DefaultParagraphFont"/>
    <w:uiPriority w:val="22"/>
    <w:qFormat/>
    <w:rsid w:val="00534DA3"/>
    <w:rPr>
      <w:b/>
      <w:bCs/>
    </w:rPr>
  </w:style>
  <w:style w:type="character" w:styleId="Emphasis">
    <w:name w:val="Emphasis"/>
    <w:basedOn w:val="DefaultParagraphFont"/>
    <w:uiPriority w:val="20"/>
    <w:qFormat/>
    <w:rsid w:val="00780222"/>
    <w:rPr>
      <w:i/>
      <w:iCs/>
    </w:rPr>
  </w:style>
  <w:style w:type="character" w:styleId="CommentReference">
    <w:name w:val="annotation reference"/>
    <w:basedOn w:val="DefaultParagraphFont"/>
    <w:uiPriority w:val="99"/>
    <w:semiHidden/>
    <w:unhideWhenUsed/>
    <w:rsid w:val="0037132C"/>
    <w:rPr>
      <w:sz w:val="16"/>
      <w:szCs w:val="16"/>
    </w:rPr>
  </w:style>
  <w:style w:type="paragraph" w:styleId="CommentText">
    <w:name w:val="annotation text"/>
    <w:basedOn w:val="Normal"/>
    <w:link w:val="CommentTextChar"/>
    <w:uiPriority w:val="99"/>
    <w:unhideWhenUsed/>
    <w:rsid w:val="19811041"/>
    <w:rPr>
      <w:sz w:val="20"/>
      <w:szCs w:val="20"/>
    </w:rPr>
  </w:style>
  <w:style w:type="character" w:customStyle="1" w:styleId="CommentTextChar">
    <w:name w:val="Comment Text Char"/>
    <w:basedOn w:val="DefaultParagraphFont"/>
    <w:link w:val="CommentText"/>
    <w:uiPriority w:val="99"/>
    <w:rsid w:val="0037132C"/>
    <w:rPr>
      <w:rFonts w:ascii="Arial" w:eastAsia="Times New Roman" w:hAnsi="Arial"/>
      <w:i/>
      <w:iCs/>
      <w:sz w:val="20"/>
      <w:szCs w:val="20"/>
    </w:rPr>
  </w:style>
  <w:style w:type="paragraph" w:styleId="CommentSubject">
    <w:name w:val="annotation subject"/>
    <w:basedOn w:val="CommentText"/>
    <w:next w:val="CommentText"/>
    <w:link w:val="CommentSubjectChar"/>
    <w:uiPriority w:val="99"/>
    <w:semiHidden/>
    <w:unhideWhenUsed/>
    <w:rsid w:val="0037132C"/>
    <w:rPr>
      <w:b/>
      <w:bCs/>
    </w:rPr>
  </w:style>
  <w:style w:type="character" w:customStyle="1" w:styleId="CommentSubjectChar">
    <w:name w:val="Comment Subject Char"/>
    <w:basedOn w:val="CommentTextChar"/>
    <w:link w:val="CommentSubject"/>
    <w:uiPriority w:val="99"/>
    <w:semiHidden/>
    <w:rsid w:val="0037132C"/>
    <w:rPr>
      <w:rFonts w:ascii="Calibri" w:eastAsia="Times New Roman" w:hAnsi="Calibri" w:cs="Times New Roman"/>
      <w:b/>
      <w:bCs/>
      <w:i/>
      <w:iCs/>
      <w:kern w:val="0"/>
      <w:sz w:val="20"/>
      <w:szCs w:val="20"/>
      <w14:ligatures w14:val="none"/>
    </w:rPr>
  </w:style>
  <w:style w:type="character" w:styleId="Hyperlink">
    <w:name w:val="Hyperlink"/>
    <w:basedOn w:val="DefaultParagraphFont"/>
    <w:uiPriority w:val="99"/>
    <w:unhideWhenUsed/>
    <w:rsid w:val="063F40A7"/>
    <w:rPr>
      <w:color w:val="0563C1"/>
      <w:u w:val="single"/>
    </w:rPr>
  </w:style>
  <w:style w:type="paragraph" w:customStyle="1" w:styleId="Subheading10">
    <w:name w:val="Subheading 1.0"/>
    <w:basedOn w:val="Normal"/>
    <w:link w:val="Subheading10Char"/>
    <w:uiPriority w:val="1"/>
    <w:qFormat/>
    <w:rsid w:val="19811041"/>
    <w:pPr>
      <w:spacing w:before="120"/>
    </w:pPr>
    <w:rPr>
      <w:rFonts w:eastAsia="Calibri"/>
      <w:b/>
      <w:bCs/>
      <w:sz w:val="26"/>
      <w:szCs w:val="26"/>
      <w:u w:val="single"/>
    </w:rPr>
  </w:style>
  <w:style w:type="character" w:customStyle="1" w:styleId="Subheading10Char">
    <w:name w:val="Subheading 1.0 Char"/>
    <w:basedOn w:val="DefaultParagraphFont"/>
    <w:link w:val="Subheading10"/>
    <w:uiPriority w:val="1"/>
    <w:rsid w:val="00F95B45"/>
    <w:rPr>
      <w:rFonts w:ascii="Arial" w:eastAsia="Calibri" w:hAnsi="Arial"/>
      <w:b/>
      <w:bCs/>
      <w:i/>
      <w:iCs/>
      <w:sz w:val="26"/>
      <w:szCs w:val="26"/>
      <w:u w:val="single"/>
    </w:rPr>
  </w:style>
  <w:style w:type="paragraph" w:customStyle="1" w:styleId="Paragraphtext">
    <w:name w:val="Paragraph text"/>
    <w:basedOn w:val="Normal"/>
    <w:link w:val="ParagraphtextChar"/>
    <w:uiPriority w:val="1"/>
    <w:qFormat/>
    <w:rsid w:val="19811041"/>
    <w:pPr>
      <w:spacing w:before="120"/>
    </w:pPr>
    <w:rPr>
      <w:rFonts w:eastAsia="Calibri"/>
      <w:color w:val="000000" w:themeColor="text1"/>
    </w:rPr>
  </w:style>
  <w:style w:type="character" w:customStyle="1" w:styleId="ParagraphtextChar">
    <w:name w:val="Paragraph text Char"/>
    <w:basedOn w:val="DefaultParagraphFont"/>
    <w:link w:val="Paragraphtext"/>
    <w:uiPriority w:val="1"/>
    <w:rsid w:val="000B2D93"/>
    <w:rPr>
      <w:rFonts w:ascii="Arial" w:eastAsia="Calibri" w:hAnsi="Arial"/>
      <w:i/>
      <w:iCs/>
      <w:color w:val="000000" w:themeColor="text1"/>
      <w:sz w:val="24"/>
      <w:szCs w:val="24"/>
    </w:rPr>
  </w:style>
  <w:style w:type="character" w:styleId="UnresolvedMention">
    <w:name w:val="Unresolved Mention"/>
    <w:basedOn w:val="DefaultParagraphFont"/>
    <w:uiPriority w:val="99"/>
    <w:semiHidden/>
    <w:unhideWhenUsed/>
    <w:rsid w:val="00405BA9"/>
    <w:rPr>
      <w:color w:val="605E5C"/>
      <w:shd w:val="clear" w:color="auto" w:fill="E1DFDD"/>
    </w:rPr>
  </w:style>
  <w:style w:type="paragraph" w:styleId="Revision">
    <w:name w:val="Revision"/>
    <w:hidden/>
    <w:uiPriority w:val="99"/>
    <w:semiHidden/>
    <w:rsid w:val="001C112C"/>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3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B29"/>
    <w:rPr>
      <w:color w:val="2B579A"/>
      <w:shd w:val="clear" w:color="auto" w:fill="E1DFDD"/>
    </w:rPr>
  </w:style>
  <w:style w:type="character" w:styleId="FollowedHyperlink">
    <w:name w:val="FollowedHyperlink"/>
    <w:basedOn w:val="DefaultParagraphFont"/>
    <w:uiPriority w:val="99"/>
    <w:semiHidden/>
    <w:unhideWhenUsed/>
    <w:rsid w:val="003F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8">
      <w:bodyDiv w:val="1"/>
      <w:marLeft w:val="0"/>
      <w:marRight w:val="0"/>
      <w:marTop w:val="0"/>
      <w:marBottom w:val="0"/>
      <w:divBdr>
        <w:top w:val="none" w:sz="0" w:space="0" w:color="auto"/>
        <w:left w:val="none" w:sz="0" w:space="0" w:color="auto"/>
        <w:bottom w:val="none" w:sz="0" w:space="0" w:color="auto"/>
        <w:right w:val="none" w:sz="0" w:space="0" w:color="auto"/>
      </w:divBdr>
      <w:divsChild>
        <w:div w:id="1581670156">
          <w:marLeft w:val="0"/>
          <w:marRight w:val="0"/>
          <w:marTop w:val="0"/>
          <w:marBottom w:val="0"/>
          <w:divBdr>
            <w:top w:val="none" w:sz="0" w:space="0" w:color="auto"/>
            <w:left w:val="none" w:sz="0" w:space="0" w:color="auto"/>
            <w:bottom w:val="none" w:sz="0" w:space="0" w:color="auto"/>
            <w:right w:val="none" w:sz="0" w:space="0" w:color="auto"/>
          </w:divBdr>
        </w:div>
      </w:divsChild>
    </w:div>
    <w:div w:id="11495333">
      <w:bodyDiv w:val="1"/>
      <w:marLeft w:val="0"/>
      <w:marRight w:val="0"/>
      <w:marTop w:val="0"/>
      <w:marBottom w:val="0"/>
      <w:divBdr>
        <w:top w:val="none" w:sz="0" w:space="0" w:color="auto"/>
        <w:left w:val="none" w:sz="0" w:space="0" w:color="auto"/>
        <w:bottom w:val="none" w:sz="0" w:space="0" w:color="auto"/>
        <w:right w:val="none" w:sz="0" w:space="0" w:color="auto"/>
      </w:divBdr>
    </w:div>
    <w:div w:id="12146807">
      <w:bodyDiv w:val="1"/>
      <w:marLeft w:val="0"/>
      <w:marRight w:val="0"/>
      <w:marTop w:val="0"/>
      <w:marBottom w:val="0"/>
      <w:divBdr>
        <w:top w:val="none" w:sz="0" w:space="0" w:color="auto"/>
        <w:left w:val="none" w:sz="0" w:space="0" w:color="auto"/>
        <w:bottom w:val="none" w:sz="0" w:space="0" w:color="auto"/>
        <w:right w:val="none" w:sz="0" w:space="0" w:color="auto"/>
      </w:divBdr>
      <w:divsChild>
        <w:div w:id="655496256">
          <w:marLeft w:val="0"/>
          <w:marRight w:val="0"/>
          <w:marTop w:val="0"/>
          <w:marBottom w:val="0"/>
          <w:divBdr>
            <w:top w:val="none" w:sz="0" w:space="0" w:color="auto"/>
            <w:left w:val="none" w:sz="0" w:space="0" w:color="auto"/>
            <w:bottom w:val="none" w:sz="0" w:space="0" w:color="auto"/>
            <w:right w:val="none" w:sz="0" w:space="0" w:color="auto"/>
          </w:divBdr>
        </w:div>
        <w:div w:id="1462378125">
          <w:marLeft w:val="0"/>
          <w:marRight w:val="0"/>
          <w:marTop w:val="0"/>
          <w:marBottom w:val="0"/>
          <w:divBdr>
            <w:top w:val="none" w:sz="0" w:space="0" w:color="auto"/>
            <w:left w:val="none" w:sz="0" w:space="0" w:color="auto"/>
            <w:bottom w:val="none" w:sz="0" w:space="0" w:color="auto"/>
            <w:right w:val="none" w:sz="0" w:space="0" w:color="auto"/>
          </w:divBdr>
        </w:div>
        <w:div w:id="2046562055">
          <w:marLeft w:val="0"/>
          <w:marRight w:val="0"/>
          <w:marTop w:val="0"/>
          <w:marBottom w:val="0"/>
          <w:divBdr>
            <w:top w:val="none" w:sz="0" w:space="0" w:color="auto"/>
            <w:left w:val="none" w:sz="0" w:space="0" w:color="auto"/>
            <w:bottom w:val="none" w:sz="0" w:space="0" w:color="auto"/>
            <w:right w:val="none" w:sz="0" w:space="0" w:color="auto"/>
          </w:divBdr>
        </w:div>
      </w:divsChild>
    </w:div>
    <w:div w:id="18941890">
      <w:bodyDiv w:val="1"/>
      <w:marLeft w:val="0"/>
      <w:marRight w:val="0"/>
      <w:marTop w:val="0"/>
      <w:marBottom w:val="0"/>
      <w:divBdr>
        <w:top w:val="none" w:sz="0" w:space="0" w:color="auto"/>
        <w:left w:val="none" w:sz="0" w:space="0" w:color="auto"/>
        <w:bottom w:val="none" w:sz="0" w:space="0" w:color="auto"/>
        <w:right w:val="none" w:sz="0" w:space="0" w:color="auto"/>
      </w:divBdr>
    </w:div>
    <w:div w:id="26836198">
      <w:bodyDiv w:val="1"/>
      <w:marLeft w:val="0"/>
      <w:marRight w:val="0"/>
      <w:marTop w:val="0"/>
      <w:marBottom w:val="0"/>
      <w:divBdr>
        <w:top w:val="none" w:sz="0" w:space="0" w:color="auto"/>
        <w:left w:val="none" w:sz="0" w:space="0" w:color="auto"/>
        <w:bottom w:val="none" w:sz="0" w:space="0" w:color="auto"/>
        <w:right w:val="none" w:sz="0" w:space="0" w:color="auto"/>
      </w:divBdr>
      <w:divsChild>
        <w:div w:id="926382699">
          <w:marLeft w:val="0"/>
          <w:marRight w:val="0"/>
          <w:marTop w:val="0"/>
          <w:marBottom w:val="0"/>
          <w:divBdr>
            <w:top w:val="none" w:sz="0" w:space="0" w:color="auto"/>
            <w:left w:val="none" w:sz="0" w:space="0" w:color="auto"/>
            <w:bottom w:val="none" w:sz="0" w:space="0" w:color="auto"/>
            <w:right w:val="none" w:sz="0" w:space="0" w:color="auto"/>
          </w:divBdr>
        </w:div>
        <w:div w:id="1212183540">
          <w:marLeft w:val="0"/>
          <w:marRight w:val="0"/>
          <w:marTop w:val="0"/>
          <w:marBottom w:val="0"/>
          <w:divBdr>
            <w:top w:val="none" w:sz="0" w:space="0" w:color="auto"/>
            <w:left w:val="none" w:sz="0" w:space="0" w:color="auto"/>
            <w:bottom w:val="none" w:sz="0" w:space="0" w:color="auto"/>
            <w:right w:val="none" w:sz="0" w:space="0" w:color="auto"/>
          </w:divBdr>
        </w:div>
        <w:div w:id="1961958254">
          <w:marLeft w:val="0"/>
          <w:marRight w:val="0"/>
          <w:marTop w:val="0"/>
          <w:marBottom w:val="0"/>
          <w:divBdr>
            <w:top w:val="none" w:sz="0" w:space="0" w:color="auto"/>
            <w:left w:val="none" w:sz="0" w:space="0" w:color="auto"/>
            <w:bottom w:val="none" w:sz="0" w:space="0" w:color="auto"/>
            <w:right w:val="none" w:sz="0" w:space="0" w:color="auto"/>
          </w:divBdr>
        </w:div>
        <w:div w:id="2128159354">
          <w:marLeft w:val="0"/>
          <w:marRight w:val="0"/>
          <w:marTop w:val="0"/>
          <w:marBottom w:val="0"/>
          <w:divBdr>
            <w:top w:val="none" w:sz="0" w:space="0" w:color="auto"/>
            <w:left w:val="none" w:sz="0" w:space="0" w:color="auto"/>
            <w:bottom w:val="none" w:sz="0" w:space="0" w:color="auto"/>
            <w:right w:val="none" w:sz="0" w:space="0" w:color="auto"/>
          </w:divBdr>
        </w:div>
      </w:divsChild>
    </w:div>
    <w:div w:id="62334469">
      <w:bodyDiv w:val="1"/>
      <w:marLeft w:val="0"/>
      <w:marRight w:val="0"/>
      <w:marTop w:val="0"/>
      <w:marBottom w:val="0"/>
      <w:divBdr>
        <w:top w:val="none" w:sz="0" w:space="0" w:color="auto"/>
        <w:left w:val="none" w:sz="0" w:space="0" w:color="auto"/>
        <w:bottom w:val="none" w:sz="0" w:space="0" w:color="auto"/>
        <w:right w:val="none" w:sz="0" w:space="0" w:color="auto"/>
      </w:divBdr>
    </w:div>
    <w:div w:id="68694526">
      <w:bodyDiv w:val="1"/>
      <w:marLeft w:val="0"/>
      <w:marRight w:val="0"/>
      <w:marTop w:val="0"/>
      <w:marBottom w:val="0"/>
      <w:divBdr>
        <w:top w:val="none" w:sz="0" w:space="0" w:color="auto"/>
        <w:left w:val="none" w:sz="0" w:space="0" w:color="auto"/>
        <w:bottom w:val="none" w:sz="0" w:space="0" w:color="auto"/>
        <w:right w:val="none" w:sz="0" w:space="0" w:color="auto"/>
      </w:divBdr>
    </w:div>
    <w:div w:id="72942866">
      <w:bodyDiv w:val="1"/>
      <w:marLeft w:val="0"/>
      <w:marRight w:val="0"/>
      <w:marTop w:val="0"/>
      <w:marBottom w:val="0"/>
      <w:divBdr>
        <w:top w:val="none" w:sz="0" w:space="0" w:color="auto"/>
        <w:left w:val="none" w:sz="0" w:space="0" w:color="auto"/>
        <w:bottom w:val="none" w:sz="0" w:space="0" w:color="auto"/>
        <w:right w:val="none" w:sz="0" w:space="0" w:color="auto"/>
      </w:divBdr>
    </w:div>
    <w:div w:id="120419475">
      <w:bodyDiv w:val="1"/>
      <w:marLeft w:val="0"/>
      <w:marRight w:val="0"/>
      <w:marTop w:val="0"/>
      <w:marBottom w:val="0"/>
      <w:divBdr>
        <w:top w:val="none" w:sz="0" w:space="0" w:color="auto"/>
        <w:left w:val="none" w:sz="0" w:space="0" w:color="auto"/>
        <w:bottom w:val="none" w:sz="0" w:space="0" w:color="auto"/>
        <w:right w:val="none" w:sz="0" w:space="0" w:color="auto"/>
      </w:divBdr>
    </w:div>
    <w:div w:id="122311558">
      <w:bodyDiv w:val="1"/>
      <w:marLeft w:val="0"/>
      <w:marRight w:val="0"/>
      <w:marTop w:val="0"/>
      <w:marBottom w:val="0"/>
      <w:divBdr>
        <w:top w:val="none" w:sz="0" w:space="0" w:color="auto"/>
        <w:left w:val="none" w:sz="0" w:space="0" w:color="auto"/>
        <w:bottom w:val="none" w:sz="0" w:space="0" w:color="auto"/>
        <w:right w:val="none" w:sz="0" w:space="0" w:color="auto"/>
      </w:divBdr>
      <w:divsChild>
        <w:div w:id="199099608">
          <w:marLeft w:val="0"/>
          <w:marRight w:val="0"/>
          <w:marTop w:val="0"/>
          <w:marBottom w:val="0"/>
          <w:divBdr>
            <w:top w:val="none" w:sz="0" w:space="0" w:color="auto"/>
            <w:left w:val="none" w:sz="0" w:space="0" w:color="auto"/>
            <w:bottom w:val="none" w:sz="0" w:space="0" w:color="auto"/>
            <w:right w:val="none" w:sz="0" w:space="0" w:color="auto"/>
          </w:divBdr>
        </w:div>
      </w:divsChild>
    </w:div>
    <w:div w:id="127477655">
      <w:bodyDiv w:val="1"/>
      <w:marLeft w:val="0"/>
      <w:marRight w:val="0"/>
      <w:marTop w:val="0"/>
      <w:marBottom w:val="0"/>
      <w:divBdr>
        <w:top w:val="none" w:sz="0" w:space="0" w:color="auto"/>
        <w:left w:val="none" w:sz="0" w:space="0" w:color="auto"/>
        <w:bottom w:val="none" w:sz="0" w:space="0" w:color="auto"/>
        <w:right w:val="none" w:sz="0" w:space="0" w:color="auto"/>
      </w:divBdr>
    </w:div>
    <w:div w:id="139157403">
      <w:bodyDiv w:val="1"/>
      <w:marLeft w:val="0"/>
      <w:marRight w:val="0"/>
      <w:marTop w:val="0"/>
      <w:marBottom w:val="0"/>
      <w:divBdr>
        <w:top w:val="none" w:sz="0" w:space="0" w:color="auto"/>
        <w:left w:val="none" w:sz="0" w:space="0" w:color="auto"/>
        <w:bottom w:val="none" w:sz="0" w:space="0" w:color="auto"/>
        <w:right w:val="none" w:sz="0" w:space="0" w:color="auto"/>
      </w:divBdr>
    </w:div>
    <w:div w:id="184907162">
      <w:bodyDiv w:val="1"/>
      <w:marLeft w:val="0"/>
      <w:marRight w:val="0"/>
      <w:marTop w:val="0"/>
      <w:marBottom w:val="0"/>
      <w:divBdr>
        <w:top w:val="none" w:sz="0" w:space="0" w:color="auto"/>
        <w:left w:val="none" w:sz="0" w:space="0" w:color="auto"/>
        <w:bottom w:val="none" w:sz="0" w:space="0" w:color="auto"/>
        <w:right w:val="none" w:sz="0" w:space="0" w:color="auto"/>
      </w:divBdr>
    </w:div>
    <w:div w:id="192230888">
      <w:bodyDiv w:val="1"/>
      <w:marLeft w:val="0"/>
      <w:marRight w:val="0"/>
      <w:marTop w:val="0"/>
      <w:marBottom w:val="0"/>
      <w:divBdr>
        <w:top w:val="none" w:sz="0" w:space="0" w:color="auto"/>
        <w:left w:val="none" w:sz="0" w:space="0" w:color="auto"/>
        <w:bottom w:val="none" w:sz="0" w:space="0" w:color="auto"/>
        <w:right w:val="none" w:sz="0" w:space="0" w:color="auto"/>
      </w:divBdr>
      <w:divsChild>
        <w:div w:id="546180467">
          <w:marLeft w:val="0"/>
          <w:marRight w:val="0"/>
          <w:marTop w:val="0"/>
          <w:marBottom w:val="0"/>
          <w:divBdr>
            <w:top w:val="none" w:sz="0" w:space="0" w:color="auto"/>
            <w:left w:val="none" w:sz="0" w:space="0" w:color="auto"/>
            <w:bottom w:val="none" w:sz="0" w:space="0" w:color="auto"/>
            <w:right w:val="none" w:sz="0" w:space="0" w:color="auto"/>
          </w:divBdr>
        </w:div>
        <w:div w:id="1047069299">
          <w:marLeft w:val="0"/>
          <w:marRight w:val="0"/>
          <w:marTop w:val="0"/>
          <w:marBottom w:val="0"/>
          <w:divBdr>
            <w:top w:val="none" w:sz="0" w:space="0" w:color="auto"/>
            <w:left w:val="none" w:sz="0" w:space="0" w:color="auto"/>
            <w:bottom w:val="none" w:sz="0" w:space="0" w:color="auto"/>
            <w:right w:val="none" w:sz="0" w:space="0" w:color="auto"/>
          </w:divBdr>
        </w:div>
        <w:div w:id="1681084591">
          <w:marLeft w:val="0"/>
          <w:marRight w:val="0"/>
          <w:marTop w:val="0"/>
          <w:marBottom w:val="0"/>
          <w:divBdr>
            <w:top w:val="none" w:sz="0" w:space="0" w:color="auto"/>
            <w:left w:val="none" w:sz="0" w:space="0" w:color="auto"/>
            <w:bottom w:val="none" w:sz="0" w:space="0" w:color="auto"/>
            <w:right w:val="none" w:sz="0" w:space="0" w:color="auto"/>
          </w:divBdr>
        </w:div>
        <w:div w:id="1709524465">
          <w:marLeft w:val="0"/>
          <w:marRight w:val="0"/>
          <w:marTop w:val="0"/>
          <w:marBottom w:val="0"/>
          <w:divBdr>
            <w:top w:val="none" w:sz="0" w:space="0" w:color="auto"/>
            <w:left w:val="none" w:sz="0" w:space="0" w:color="auto"/>
            <w:bottom w:val="none" w:sz="0" w:space="0" w:color="auto"/>
            <w:right w:val="none" w:sz="0" w:space="0" w:color="auto"/>
          </w:divBdr>
        </w:div>
        <w:div w:id="2132701296">
          <w:marLeft w:val="0"/>
          <w:marRight w:val="0"/>
          <w:marTop w:val="0"/>
          <w:marBottom w:val="0"/>
          <w:divBdr>
            <w:top w:val="none" w:sz="0" w:space="0" w:color="auto"/>
            <w:left w:val="none" w:sz="0" w:space="0" w:color="auto"/>
            <w:bottom w:val="none" w:sz="0" w:space="0" w:color="auto"/>
            <w:right w:val="none" w:sz="0" w:space="0" w:color="auto"/>
          </w:divBdr>
        </w:div>
      </w:divsChild>
    </w:div>
    <w:div w:id="217939724">
      <w:bodyDiv w:val="1"/>
      <w:marLeft w:val="0"/>
      <w:marRight w:val="0"/>
      <w:marTop w:val="0"/>
      <w:marBottom w:val="0"/>
      <w:divBdr>
        <w:top w:val="none" w:sz="0" w:space="0" w:color="auto"/>
        <w:left w:val="none" w:sz="0" w:space="0" w:color="auto"/>
        <w:bottom w:val="none" w:sz="0" w:space="0" w:color="auto"/>
        <w:right w:val="none" w:sz="0" w:space="0" w:color="auto"/>
      </w:divBdr>
    </w:div>
    <w:div w:id="224145841">
      <w:bodyDiv w:val="1"/>
      <w:marLeft w:val="0"/>
      <w:marRight w:val="0"/>
      <w:marTop w:val="0"/>
      <w:marBottom w:val="0"/>
      <w:divBdr>
        <w:top w:val="none" w:sz="0" w:space="0" w:color="auto"/>
        <w:left w:val="none" w:sz="0" w:space="0" w:color="auto"/>
        <w:bottom w:val="none" w:sz="0" w:space="0" w:color="auto"/>
        <w:right w:val="none" w:sz="0" w:space="0" w:color="auto"/>
      </w:divBdr>
    </w:div>
    <w:div w:id="279729956">
      <w:bodyDiv w:val="1"/>
      <w:marLeft w:val="0"/>
      <w:marRight w:val="0"/>
      <w:marTop w:val="0"/>
      <w:marBottom w:val="0"/>
      <w:divBdr>
        <w:top w:val="none" w:sz="0" w:space="0" w:color="auto"/>
        <w:left w:val="none" w:sz="0" w:space="0" w:color="auto"/>
        <w:bottom w:val="none" w:sz="0" w:space="0" w:color="auto"/>
        <w:right w:val="none" w:sz="0" w:space="0" w:color="auto"/>
      </w:divBdr>
    </w:div>
    <w:div w:id="294482511">
      <w:bodyDiv w:val="1"/>
      <w:marLeft w:val="0"/>
      <w:marRight w:val="0"/>
      <w:marTop w:val="0"/>
      <w:marBottom w:val="0"/>
      <w:divBdr>
        <w:top w:val="none" w:sz="0" w:space="0" w:color="auto"/>
        <w:left w:val="none" w:sz="0" w:space="0" w:color="auto"/>
        <w:bottom w:val="none" w:sz="0" w:space="0" w:color="auto"/>
        <w:right w:val="none" w:sz="0" w:space="0" w:color="auto"/>
      </w:divBdr>
      <w:divsChild>
        <w:div w:id="478351982">
          <w:marLeft w:val="0"/>
          <w:marRight w:val="0"/>
          <w:marTop w:val="0"/>
          <w:marBottom w:val="0"/>
          <w:divBdr>
            <w:top w:val="none" w:sz="0" w:space="0" w:color="auto"/>
            <w:left w:val="none" w:sz="0" w:space="0" w:color="auto"/>
            <w:bottom w:val="none" w:sz="0" w:space="0" w:color="auto"/>
            <w:right w:val="none" w:sz="0" w:space="0" w:color="auto"/>
          </w:divBdr>
        </w:div>
      </w:divsChild>
    </w:div>
    <w:div w:id="321084159">
      <w:bodyDiv w:val="1"/>
      <w:marLeft w:val="0"/>
      <w:marRight w:val="0"/>
      <w:marTop w:val="0"/>
      <w:marBottom w:val="0"/>
      <w:divBdr>
        <w:top w:val="none" w:sz="0" w:space="0" w:color="auto"/>
        <w:left w:val="none" w:sz="0" w:space="0" w:color="auto"/>
        <w:bottom w:val="none" w:sz="0" w:space="0" w:color="auto"/>
        <w:right w:val="none" w:sz="0" w:space="0" w:color="auto"/>
      </w:divBdr>
    </w:div>
    <w:div w:id="336352693">
      <w:bodyDiv w:val="1"/>
      <w:marLeft w:val="0"/>
      <w:marRight w:val="0"/>
      <w:marTop w:val="0"/>
      <w:marBottom w:val="0"/>
      <w:divBdr>
        <w:top w:val="none" w:sz="0" w:space="0" w:color="auto"/>
        <w:left w:val="none" w:sz="0" w:space="0" w:color="auto"/>
        <w:bottom w:val="none" w:sz="0" w:space="0" w:color="auto"/>
        <w:right w:val="none" w:sz="0" w:space="0" w:color="auto"/>
      </w:divBdr>
    </w:div>
    <w:div w:id="381562733">
      <w:bodyDiv w:val="1"/>
      <w:marLeft w:val="0"/>
      <w:marRight w:val="0"/>
      <w:marTop w:val="0"/>
      <w:marBottom w:val="0"/>
      <w:divBdr>
        <w:top w:val="none" w:sz="0" w:space="0" w:color="auto"/>
        <w:left w:val="none" w:sz="0" w:space="0" w:color="auto"/>
        <w:bottom w:val="none" w:sz="0" w:space="0" w:color="auto"/>
        <w:right w:val="none" w:sz="0" w:space="0" w:color="auto"/>
      </w:divBdr>
      <w:divsChild>
        <w:div w:id="227616564">
          <w:marLeft w:val="0"/>
          <w:marRight w:val="0"/>
          <w:marTop w:val="0"/>
          <w:marBottom w:val="0"/>
          <w:divBdr>
            <w:top w:val="none" w:sz="0" w:space="0" w:color="auto"/>
            <w:left w:val="none" w:sz="0" w:space="0" w:color="auto"/>
            <w:bottom w:val="none" w:sz="0" w:space="0" w:color="auto"/>
            <w:right w:val="none" w:sz="0" w:space="0" w:color="auto"/>
          </w:divBdr>
        </w:div>
        <w:div w:id="1446466626">
          <w:marLeft w:val="0"/>
          <w:marRight w:val="0"/>
          <w:marTop w:val="0"/>
          <w:marBottom w:val="0"/>
          <w:divBdr>
            <w:top w:val="none" w:sz="0" w:space="0" w:color="auto"/>
            <w:left w:val="none" w:sz="0" w:space="0" w:color="auto"/>
            <w:bottom w:val="none" w:sz="0" w:space="0" w:color="auto"/>
            <w:right w:val="none" w:sz="0" w:space="0" w:color="auto"/>
          </w:divBdr>
        </w:div>
      </w:divsChild>
    </w:div>
    <w:div w:id="385956022">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35177819">
      <w:bodyDiv w:val="1"/>
      <w:marLeft w:val="0"/>
      <w:marRight w:val="0"/>
      <w:marTop w:val="0"/>
      <w:marBottom w:val="0"/>
      <w:divBdr>
        <w:top w:val="none" w:sz="0" w:space="0" w:color="auto"/>
        <w:left w:val="none" w:sz="0" w:space="0" w:color="auto"/>
        <w:bottom w:val="none" w:sz="0" w:space="0" w:color="auto"/>
        <w:right w:val="none" w:sz="0" w:space="0" w:color="auto"/>
      </w:divBdr>
      <w:divsChild>
        <w:div w:id="471606432">
          <w:marLeft w:val="0"/>
          <w:marRight w:val="0"/>
          <w:marTop w:val="0"/>
          <w:marBottom w:val="0"/>
          <w:divBdr>
            <w:top w:val="none" w:sz="0" w:space="0" w:color="auto"/>
            <w:left w:val="none" w:sz="0" w:space="0" w:color="auto"/>
            <w:bottom w:val="none" w:sz="0" w:space="0" w:color="auto"/>
            <w:right w:val="none" w:sz="0" w:space="0" w:color="auto"/>
          </w:divBdr>
        </w:div>
        <w:div w:id="1303849891">
          <w:marLeft w:val="0"/>
          <w:marRight w:val="0"/>
          <w:marTop w:val="0"/>
          <w:marBottom w:val="0"/>
          <w:divBdr>
            <w:top w:val="none" w:sz="0" w:space="0" w:color="auto"/>
            <w:left w:val="none" w:sz="0" w:space="0" w:color="auto"/>
            <w:bottom w:val="none" w:sz="0" w:space="0" w:color="auto"/>
            <w:right w:val="none" w:sz="0" w:space="0" w:color="auto"/>
          </w:divBdr>
        </w:div>
      </w:divsChild>
    </w:div>
    <w:div w:id="462189730">
      <w:bodyDiv w:val="1"/>
      <w:marLeft w:val="0"/>
      <w:marRight w:val="0"/>
      <w:marTop w:val="0"/>
      <w:marBottom w:val="0"/>
      <w:divBdr>
        <w:top w:val="none" w:sz="0" w:space="0" w:color="auto"/>
        <w:left w:val="none" w:sz="0" w:space="0" w:color="auto"/>
        <w:bottom w:val="none" w:sz="0" w:space="0" w:color="auto"/>
        <w:right w:val="none" w:sz="0" w:space="0" w:color="auto"/>
      </w:divBdr>
    </w:div>
    <w:div w:id="472719906">
      <w:bodyDiv w:val="1"/>
      <w:marLeft w:val="0"/>
      <w:marRight w:val="0"/>
      <w:marTop w:val="0"/>
      <w:marBottom w:val="0"/>
      <w:divBdr>
        <w:top w:val="none" w:sz="0" w:space="0" w:color="auto"/>
        <w:left w:val="none" w:sz="0" w:space="0" w:color="auto"/>
        <w:bottom w:val="none" w:sz="0" w:space="0" w:color="auto"/>
        <w:right w:val="none" w:sz="0" w:space="0" w:color="auto"/>
      </w:divBdr>
    </w:div>
    <w:div w:id="475419237">
      <w:bodyDiv w:val="1"/>
      <w:marLeft w:val="0"/>
      <w:marRight w:val="0"/>
      <w:marTop w:val="0"/>
      <w:marBottom w:val="0"/>
      <w:divBdr>
        <w:top w:val="none" w:sz="0" w:space="0" w:color="auto"/>
        <w:left w:val="none" w:sz="0" w:space="0" w:color="auto"/>
        <w:bottom w:val="none" w:sz="0" w:space="0" w:color="auto"/>
        <w:right w:val="none" w:sz="0" w:space="0" w:color="auto"/>
      </w:divBdr>
    </w:div>
    <w:div w:id="492068500">
      <w:bodyDiv w:val="1"/>
      <w:marLeft w:val="0"/>
      <w:marRight w:val="0"/>
      <w:marTop w:val="0"/>
      <w:marBottom w:val="0"/>
      <w:divBdr>
        <w:top w:val="none" w:sz="0" w:space="0" w:color="auto"/>
        <w:left w:val="none" w:sz="0" w:space="0" w:color="auto"/>
        <w:bottom w:val="none" w:sz="0" w:space="0" w:color="auto"/>
        <w:right w:val="none" w:sz="0" w:space="0" w:color="auto"/>
      </w:divBdr>
    </w:div>
    <w:div w:id="503016057">
      <w:bodyDiv w:val="1"/>
      <w:marLeft w:val="0"/>
      <w:marRight w:val="0"/>
      <w:marTop w:val="0"/>
      <w:marBottom w:val="0"/>
      <w:divBdr>
        <w:top w:val="none" w:sz="0" w:space="0" w:color="auto"/>
        <w:left w:val="none" w:sz="0" w:space="0" w:color="auto"/>
        <w:bottom w:val="none" w:sz="0" w:space="0" w:color="auto"/>
        <w:right w:val="none" w:sz="0" w:space="0" w:color="auto"/>
      </w:divBdr>
    </w:div>
    <w:div w:id="512190746">
      <w:bodyDiv w:val="1"/>
      <w:marLeft w:val="0"/>
      <w:marRight w:val="0"/>
      <w:marTop w:val="0"/>
      <w:marBottom w:val="0"/>
      <w:divBdr>
        <w:top w:val="none" w:sz="0" w:space="0" w:color="auto"/>
        <w:left w:val="none" w:sz="0" w:space="0" w:color="auto"/>
        <w:bottom w:val="none" w:sz="0" w:space="0" w:color="auto"/>
        <w:right w:val="none" w:sz="0" w:space="0" w:color="auto"/>
      </w:divBdr>
    </w:div>
    <w:div w:id="527137671">
      <w:bodyDiv w:val="1"/>
      <w:marLeft w:val="0"/>
      <w:marRight w:val="0"/>
      <w:marTop w:val="0"/>
      <w:marBottom w:val="0"/>
      <w:divBdr>
        <w:top w:val="none" w:sz="0" w:space="0" w:color="auto"/>
        <w:left w:val="none" w:sz="0" w:space="0" w:color="auto"/>
        <w:bottom w:val="none" w:sz="0" w:space="0" w:color="auto"/>
        <w:right w:val="none" w:sz="0" w:space="0" w:color="auto"/>
      </w:divBdr>
    </w:div>
    <w:div w:id="530924740">
      <w:bodyDiv w:val="1"/>
      <w:marLeft w:val="0"/>
      <w:marRight w:val="0"/>
      <w:marTop w:val="0"/>
      <w:marBottom w:val="0"/>
      <w:divBdr>
        <w:top w:val="none" w:sz="0" w:space="0" w:color="auto"/>
        <w:left w:val="none" w:sz="0" w:space="0" w:color="auto"/>
        <w:bottom w:val="none" w:sz="0" w:space="0" w:color="auto"/>
        <w:right w:val="none" w:sz="0" w:space="0" w:color="auto"/>
      </w:divBdr>
    </w:div>
    <w:div w:id="573785052">
      <w:bodyDiv w:val="1"/>
      <w:marLeft w:val="0"/>
      <w:marRight w:val="0"/>
      <w:marTop w:val="0"/>
      <w:marBottom w:val="0"/>
      <w:divBdr>
        <w:top w:val="none" w:sz="0" w:space="0" w:color="auto"/>
        <w:left w:val="none" w:sz="0" w:space="0" w:color="auto"/>
        <w:bottom w:val="none" w:sz="0" w:space="0" w:color="auto"/>
        <w:right w:val="none" w:sz="0" w:space="0" w:color="auto"/>
      </w:divBdr>
      <w:divsChild>
        <w:div w:id="24327636">
          <w:marLeft w:val="0"/>
          <w:marRight w:val="0"/>
          <w:marTop w:val="0"/>
          <w:marBottom w:val="0"/>
          <w:divBdr>
            <w:top w:val="none" w:sz="0" w:space="0" w:color="auto"/>
            <w:left w:val="none" w:sz="0" w:space="0" w:color="auto"/>
            <w:bottom w:val="none" w:sz="0" w:space="0" w:color="auto"/>
            <w:right w:val="none" w:sz="0" w:space="0" w:color="auto"/>
          </w:divBdr>
        </w:div>
      </w:divsChild>
    </w:div>
    <w:div w:id="582229598">
      <w:bodyDiv w:val="1"/>
      <w:marLeft w:val="0"/>
      <w:marRight w:val="0"/>
      <w:marTop w:val="0"/>
      <w:marBottom w:val="0"/>
      <w:divBdr>
        <w:top w:val="none" w:sz="0" w:space="0" w:color="auto"/>
        <w:left w:val="none" w:sz="0" w:space="0" w:color="auto"/>
        <w:bottom w:val="none" w:sz="0" w:space="0" w:color="auto"/>
        <w:right w:val="none" w:sz="0" w:space="0" w:color="auto"/>
      </w:divBdr>
    </w:div>
    <w:div w:id="583341811">
      <w:bodyDiv w:val="1"/>
      <w:marLeft w:val="0"/>
      <w:marRight w:val="0"/>
      <w:marTop w:val="0"/>
      <w:marBottom w:val="0"/>
      <w:divBdr>
        <w:top w:val="none" w:sz="0" w:space="0" w:color="auto"/>
        <w:left w:val="none" w:sz="0" w:space="0" w:color="auto"/>
        <w:bottom w:val="none" w:sz="0" w:space="0" w:color="auto"/>
        <w:right w:val="none" w:sz="0" w:space="0" w:color="auto"/>
      </w:divBdr>
    </w:div>
    <w:div w:id="588857127">
      <w:bodyDiv w:val="1"/>
      <w:marLeft w:val="0"/>
      <w:marRight w:val="0"/>
      <w:marTop w:val="0"/>
      <w:marBottom w:val="0"/>
      <w:divBdr>
        <w:top w:val="none" w:sz="0" w:space="0" w:color="auto"/>
        <w:left w:val="none" w:sz="0" w:space="0" w:color="auto"/>
        <w:bottom w:val="none" w:sz="0" w:space="0" w:color="auto"/>
        <w:right w:val="none" w:sz="0" w:space="0" w:color="auto"/>
      </w:divBdr>
    </w:div>
    <w:div w:id="592009729">
      <w:bodyDiv w:val="1"/>
      <w:marLeft w:val="0"/>
      <w:marRight w:val="0"/>
      <w:marTop w:val="0"/>
      <w:marBottom w:val="0"/>
      <w:divBdr>
        <w:top w:val="none" w:sz="0" w:space="0" w:color="auto"/>
        <w:left w:val="none" w:sz="0" w:space="0" w:color="auto"/>
        <w:bottom w:val="none" w:sz="0" w:space="0" w:color="auto"/>
        <w:right w:val="none" w:sz="0" w:space="0" w:color="auto"/>
      </w:divBdr>
    </w:div>
    <w:div w:id="594559962">
      <w:bodyDiv w:val="1"/>
      <w:marLeft w:val="0"/>
      <w:marRight w:val="0"/>
      <w:marTop w:val="0"/>
      <w:marBottom w:val="0"/>
      <w:divBdr>
        <w:top w:val="none" w:sz="0" w:space="0" w:color="auto"/>
        <w:left w:val="none" w:sz="0" w:space="0" w:color="auto"/>
        <w:bottom w:val="none" w:sz="0" w:space="0" w:color="auto"/>
        <w:right w:val="none" w:sz="0" w:space="0" w:color="auto"/>
      </w:divBdr>
    </w:div>
    <w:div w:id="595098763">
      <w:bodyDiv w:val="1"/>
      <w:marLeft w:val="0"/>
      <w:marRight w:val="0"/>
      <w:marTop w:val="0"/>
      <w:marBottom w:val="0"/>
      <w:divBdr>
        <w:top w:val="none" w:sz="0" w:space="0" w:color="auto"/>
        <w:left w:val="none" w:sz="0" w:space="0" w:color="auto"/>
        <w:bottom w:val="none" w:sz="0" w:space="0" w:color="auto"/>
        <w:right w:val="none" w:sz="0" w:space="0" w:color="auto"/>
      </w:divBdr>
    </w:div>
    <w:div w:id="600262967">
      <w:bodyDiv w:val="1"/>
      <w:marLeft w:val="0"/>
      <w:marRight w:val="0"/>
      <w:marTop w:val="0"/>
      <w:marBottom w:val="0"/>
      <w:divBdr>
        <w:top w:val="none" w:sz="0" w:space="0" w:color="auto"/>
        <w:left w:val="none" w:sz="0" w:space="0" w:color="auto"/>
        <w:bottom w:val="none" w:sz="0" w:space="0" w:color="auto"/>
        <w:right w:val="none" w:sz="0" w:space="0" w:color="auto"/>
      </w:divBdr>
    </w:div>
    <w:div w:id="632491372">
      <w:bodyDiv w:val="1"/>
      <w:marLeft w:val="0"/>
      <w:marRight w:val="0"/>
      <w:marTop w:val="0"/>
      <w:marBottom w:val="0"/>
      <w:divBdr>
        <w:top w:val="none" w:sz="0" w:space="0" w:color="auto"/>
        <w:left w:val="none" w:sz="0" w:space="0" w:color="auto"/>
        <w:bottom w:val="none" w:sz="0" w:space="0" w:color="auto"/>
        <w:right w:val="none" w:sz="0" w:space="0" w:color="auto"/>
      </w:divBdr>
    </w:div>
    <w:div w:id="635381646">
      <w:bodyDiv w:val="1"/>
      <w:marLeft w:val="0"/>
      <w:marRight w:val="0"/>
      <w:marTop w:val="0"/>
      <w:marBottom w:val="0"/>
      <w:divBdr>
        <w:top w:val="none" w:sz="0" w:space="0" w:color="auto"/>
        <w:left w:val="none" w:sz="0" w:space="0" w:color="auto"/>
        <w:bottom w:val="none" w:sz="0" w:space="0" w:color="auto"/>
        <w:right w:val="none" w:sz="0" w:space="0" w:color="auto"/>
      </w:divBdr>
    </w:div>
    <w:div w:id="642583546">
      <w:bodyDiv w:val="1"/>
      <w:marLeft w:val="0"/>
      <w:marRight w:val="0"/>
      <w:marTop w:val="0"/>
      <w:marBottom w:val="0"/>
      <w:divBdr>
        <w:top w:val="none" w:sz="0" w:space="0" w:color="auto"/>
        <w:left w:val="none" w:sz="0" w:space="0" w:color="auto"/>
        <w:bottom w:val="none" w:sz="0" w:space="0" w:color="auto"/>
        <w:right w:val="none" w:sz="0" w:space="0" w:color="auto"/>
      </w:divBdr>
    </w:div>
    <w:div w:id="653223898">
      <w:bodyDiv w:val="1"/>
      <w:marLeft w:val="0"/>
      <w:marRight w:val="0"/>
      <w:marTop w:val="0"/>
      <w:marBottom w:val="0"/>
      <w:divBdr>
        <w:top w:val="none" w:sz="0" w:space="0" w:color="auto"/>
        <w:left w:val="none" w:sz="0" w:space="0" w:color="auto"/>
        <w:bottom w:val="none" w:sz="0" w:space="0" w:color="auto"/>
        <w:right w:val="none" w:sz="0" w:space="0" w:color="auto"/>
      </w:divBdr>
    </w:div>
    <w:div w:id="669257888">
      <w:bodyDiv w:val="1"/>
      <w:marLeft w:val="0"/>
      <w:marRight w:val="0"/>
      <w:marTop w:val="0"/>
      <w:marBottom w:val="0"/>
      <w:divBdr>
        <w:top w:val="none" w:sz="0" w:space="0" w:color="auto"/>
        <w:left w:val="none" w:sz="0" w:space="0" w:color="auto"/>
        <w:bottom w:val="none" w:sz="0" w:space="0" w:color="auto"/>
        <w:right w:val="none" w:sz="0" w:space="0" w:color="auto"/>
      </w:divBdr>
    </w:div>
    <w:div w:id="708183119">
      <w:bodyDiv w:val="1"/>
      <w:marLeft w:val="0"/>
      <w:marRight w:val="0"/>
      <w:marTop w:val="0"/>
      <w:marBottom w:val="0"/>
      <w:divBdr>
        <w:top w:val="none" w:sz="0" w:space="0" w:color="auto"/>
        <w:left w:val="none" w:sz="0" w:space="0" w:color="auto"/>
        <w:bottom w:val="none" w:sz="0" w:space="0" w:color="auto"/>
        <w:right w:val="none" w:sz="0" w:space="0" w:color="auto"/>
      </w:divBdr>
    </w:div>
    <w:div w:id="710148669">
      <w:bodyDiv w:val="1"/>
      <w:marLeft w:val="0"/>
      <w:marRight w:val="0"/>
      <w:marTop w:val="0"/>
      <w:marBottom w:val="0"/>
      <w:divBdr>
        <w:top w:val="none" w:sz="0" w:space="0" w:color="auto"/>
        <w:left w:val="none" w:sz="0" w:space="0" w:color="auto"/>
        <w:bottom w:val="none" w:sz="0" w:space="0" w:color="auto"/>
        <w:right w:val="none" w:sz="0" w:space="0" w:color="auto"/>
      </w:divBdr>
    </w:div>
    <w:div w:id="711735126">
      <w:bodyDiv w:val="1"/>
      <w:marLeft w:val="0"/>
      <w:marRight w:val="0"/>
      <w:marTop w:val="0"/>
      <w:marBottom w:val="0"/>
      <w:divBdr>
        <w:top w:val="none" w:sz="0" w:space="0" w:color="auto"/>
        <w:left w:val="none" w:sz="0" w:space="0" w:color="auto"/>
        <w:bottom w:val="none" w:sz="0" w:space="0" w:color="auto"/>
        <w:right w:val="none" w:sz="0" w:space="0" w:color="auto"/>
      </w:divBdr>
    </w:div>
    <w:div w:id="718357680">
      <w:bodyDiv w:val="1"/>
      <w:marLeft w:val="0"/>
      <w:marRight w:val="0"/>
      <w:marTop w:val="0"/>
      <w:marBottom w:val="0"/>
      <w:divBdr>
        <w:top w:val="none" w:sz="0" w:space="0" w:color="auto"/>
        <w:left w:val="none" w:sz="0" w:space="0" w:color="auto"/>
        <w:bottom w:val="none" w:sz="0" w:space="0" w:color="auto"/>
        <w:right w:val="none" w:sz="0" w:space="0" w:color="auto"/>
      </w:divBdr>
    </w:div>
    <w:div w:id="732001428">
      <w:bodyDiv w:val="1"/>
      <w:marLeft w:val="0"/>
      <w:marRight w:val="0"/>
      <w:marTop w:val="0"/>
      <w:marBottom w:val="0"/>
      <w:divBdr>
        <w:top w:val="none" w:sz="0" w:space="0" w:color="auto"/>
        <w:left w:val="none" w:sz="0" w:space="0" w:color="auto"/>
        <w:bottom w:val="none" w:sz="0" w:space="0" w:color="auto"/>
        <w:right w:val="none" w:sz="0" w:space="0" w:color="auto"/>
      </w:divBdr>
    </w:div>
    <w:div w:id="742722643">
      <w:bodyDiv w:val="1"/>
      <w:marLeft w:val="0"/>
      <w:marRight w:val="0"/>
      <w:marTop w:val="0"/>
      <w:marBottom w:val="0"/>
      <w:divBdr>
        <w:top w:val="none" w:sz="0" w:space="0" w:color="auto"/>
        <w:left w:val="none" w:sz="0" w:space="0" w:color="auto"/>
        <w:bottom w:val="none" w:sz="0" w:space="0" w:color="auto"/>
        <w:right w:val="none" w:sz="0" w:space="0" w:color="auto"/>
      </w:divBdr>
    </w:div>
    <w:div w:id="754975548">
      <w:bodyDiv w:val="1"/>
      <w:marLeft w:val="0"/>
      <w:marRight w:val="0"/>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
        <w:div w:id="1582638651">
          <w:marLeft w:val="0"/>
          <w:marRight w:val="0"/>
          <w:marTop w:val="0"/>
          <w:marBottom w:val="0"/>
          <w:divBdr>
            <w:top w:val="none" w:sz="0" w:space="0" w:color="auto"/>
            <w:left w:val="none" w:sz="0" w:space="0" w:color="auto"/>
            <w:bottom w:val="none" w:sz="0" w:space="0" w:color="auto"/>
            <w:right w:val="none" w:sz="0" w:space="0" w:color="auto"/>
          </w:divBdr>
        </w:div>
        <w:div w:id="1610116596">
          <w:marLeft w:val="0"/>
          <w:marRight w:val="0"/>
          <w:marTop w:val="0"/>
          <w:marBottom w:val="0"/>
          <w:divBdr>
            <w:top w:val="none" w:sz="0" w:space="0" w:color="auto"/>
            <w:left w:val="none" w:sz="0" w:space="0" w:color="auto"/>
            <w:bottom w:val="none" w:sz="0" w:space="0" w:color="auto"/>
            <w:right w:val="none" w:sz="0" w:space="0" w:color="auto"/>
          </w:divBdr>
        </w:div>
      </w:divsChild>
    </w:div>
    <w:div w:id="763233547">
      <w:bodyDiv w:val="1"/>
      <w:marLeft w:val="0"/>
      <w:marRight w:val="0"/>
      <w:marTop w:val="0"/>
      <w:marBottom w:val="0"/>
      <w:divBdr>
        <w:top w:val="none" w:sz="0" w:space="0" w:color="auto"/>
        <w:left w:val="none" w:sz="0" w:space="0" w:color="auto"/>
        <w:bottom w:val="none" w:sz="0" w:space="0" w:color="auto"/>
        <w:right w:val="none" w:sz="0" w:space="0" w:color="auto"/>
      </w:divBdr>
    </w:div>
    <w:div w:id="782190247">
      <w:bodyDiv w:val="1"/>
      <w:marLeft w:val="0"/>
      <w:marRight w:val="0"/>
      <w:marTop w:val="0"/>
      <w:marBottom w:val="0"/>
      <w:divBdr>
        <w:top w:val="none" w:sz="0" w:space="0" w:color="auto"/>
        <w:left w:val="none" w:sz="0" w:space="0" w:color="auto"/>
        <w:bottom w:val="none" w:sz="0" w:space="0" w:color="auto"/>
        <w:right w:val="none" w:sz="0" w:space="0" w:color="auto"/>
      </w:divBdr>
    </w:div>
    <w:div w:id="813528110">
      <w:bodyDiv w:val="1"/>
      <w:marLeft w:val="0"/>
      <w:marRight w:val="0"/>
      <w:marTop w:val="0"/>
      <w:marBottom w:val="0"/>
      <w:divBdr>
        <w:top w:val="none" w:sz="0" w:space="0" w:color="auto"/>
        <w:left w:val="none" w:sz="0" w:space="0" w:color="auto"/>
        <w:bottom w:val="none" w:sz="0" w:space="0" w:color="auto"/>
        <w:right w:val="none" w:sz="0" w:space="0" w:color="auto"/>
      </w:divBdr>
    </w:div>
    <w:div w:id="848373478">
      <w:bodyDiv w:val="1"/>
      <w:marLeft w:val="0"/>
      <w:marRight w:val="0"/>
      <w:marTop w:val="0"/>
      <w:marBottom w:val="0"/>
      <w:divBdr>
        <w:top w:val="none" w:sz="0" w:space="0" w:color="auto"/>
        <w:left w:val="none" w:sz="0" w:space="0" w:color="auto"/>
        <w:bottom w:val="none" w:sz="0" w:space="0" w:color="auto"/>
        <w:right w:val="none" w:sz="0" w:space="0" w:color="auto"/>
      </w:divBdr>
      <w:divsChild>
        <w:div w:id="1987859703">
          <w:marLeft w:val="0"/>
          <w:marRight w:val="0"/>
          <w:marTop w:val="0"/>
          <w:marBottom w:val="0"/>
          <w:divBdr>
            <w:top w:val="none" w:sz="0" w:space="0" w:color="auto"/>
            <w:left w:val="none" w:sz="0" w:space="0" w:color="auto"/>
            <w:bottom w:val="none" w:sz="0" w:space="0" w:color="auto"/>
            <w:right w:val="none" w:sz="0" w:space="0" w:color="auto"/>
          </w:divBdr>
        </w:div>
      </w:divsChild>
    </w:div>
    <w:div w:id="877428575">
      <w:bodyDiv w:val="1"/>
      <w:marLeft w:val="0"/>
      <w:marRight w:val="0"/>
      <w:marTop w:val="0"/>
      <w:marBottom w:val="0"/>
      <w:divBdr>
        <w:top w:val="none" w:sz="0" w:space="0" w:color="auto"/>
        <w:left w:val="none" w:sz="0" w:space="0" w:color="auto"/>
        <w:bottom w:val="none" w:sz="0" w:space="0" w:color="auto"/>
        <w:right w:val="none" w:sz="0" w:space="0" w:color="auto"/>
      </w:divBdr>
    </w:div>
    <w:div w:id="878786134">
      <w:bodyDiv w:val="1"/>
      <w:marLeft w:val="0"/>
      <w:marRight w:val="0"/>
      <w:marTop w:val="0"/>
      <w:marBottom w:val="0"/>
      <w:divBdr>
        <w:top w:val="none" w:sz="0" w:space="0" w:color="auto"/>
        <w:left w:val="none" w:sz="0" w:space="0" w:color="auto"/>
        <w:bottom w:val="none" w:sz="0" w:space="0" w:color="auto"/>
        <w:right w:val="none" w:sz="0" w:space="0" w:color="auto"/>
      </w:divBdr>
    </w:div>
    <w:div w:id="913005337">
      <w:bodyDiv w:val="1"/>
      <w:marLeft w:val="0"/>
      <w:marRight w:val="0"/>
      <w:marTop w:val="0"/>
      <w:marBottom w:val="0"/>
      <w:divBdr>
        <w:top w:val="none" w:sz="0" w:space="0" w:color="auto"/>
        <w:left w:val="none" w:sz="0" w:space="0" w:color="auto"/>
        <w:bottom w:val="none" w:sz="0" w:space="0" w:color="auto"/>
        <w:right w:val="none" w:sz="0" w:space="0" w:color="auto"/>
      </w:divBdr>
      <w:divsChild>
        <w:div w:id="16853060">
          <w:marLeft w:val="0"/>
          <w:marRight w:val="0"/>
          <w:marTop w:val="0"/>
          <w:marBottom w:val="0"/>
          <w:divBdr>
            <w:top w:val="none" w:sz="0" w:space="0" w:color="auto"/>
            <w:left w:val="none" w:sz="0" w:space="0" w:color="auto"/>
            <w:bottom w:val="none" w:sz="0" w:space="0" w:color="auto"/>
            <w:right w:val="none" w:sz="0" w:space="0" w:color="auto"/>
          </w:divBdr>
        </w:div>
        <w:div w:id="447746961">
          <w:marLeft w:val="0"/>
          <w:marRight w:val="0"/>
          <w:marTop w:val="0"/>
          <w:marBottom w:val="0"/>
          <w:divBdr>
            <w:top w:val="none" w:sz="0" w:space="0" w:color="auto"/>
            <w:left w:val="none" w:sz="0" w:space="0" w:color="auto"/>
            <w:bottom w:val="none" w:sz="0" w:space="0" w:color="auto"/>
            <w:right w:val="none" w:sz="0" w:space="0" w:color="auto"/>
          </w:divBdr>
        </w:div>
        <w:div w:id="601839362">
          <w:marLeft w:val="0"/>
          <w:marRight w:val="0"/>
          <w:marTop w:val="0"/>
          <w:marBottom w:val="0"/>
          <w:divBdr>
            <w:top w:val="none" w:sz="0" w:space="0" w:color="auto"/>
            <w:left w:val="none" w:sz="0" w:space="0" w:color="auto"/>
            <w:bottom w:val="none" w:sz="0" w:space="0" w:color="auto"/>
            <w:right w:val="none" w:sz="0" w:space="0" w:color="auto"/>
          </w:divBdr>
        </w:div>
        <w:div w:id="1097212376">
          <w:marLeft w:val="0"/>
          <w:marRight w:val="0"/>
          <w:marTop w:val="0"/>
          <w:marBottom w:val="0"/>
          <w:divBdr>
            <w:top w:val="none" w:sz="0" w:space="0" w:color="auto"/>
            <w:left w:val="none" w:sz="0" w:space="0" w:color="auto"/>
            <w:bottom w:val="none" w:sz="0" w:space="0" w:color="auto"/>
            <w:right w:val="none" w:sz="0" w:space="0" w:color="auto"/>
          </w:divBdr>
        </w:div>
        <w:div w:id="1642463987">
          <w:marLeft w:val="0"/>
          <w:marRight w:val="0"/>
          <w:marTop w:val="0"/>
          <w:marBottom w:val="0"/>
          <w:divBdr>
            <w:top w:val="none" w:sz="0" w:space="0" w:color="auto"/>
            <w:left w:val="none" w:sz="0" w:space="0" w:color="auto"/>
            <w:bottom w:val="none" w:sz="0" w:space="0" w:color="auto"/>
            <w:right w:val="none" w:sz="0" w:space="0" w:color="auto"/>
          </w:divBdr>
        </w:div>
        <w:div w:id="2076465434">
          <w:marLeft w:val="0"/>
          <w:marRight w:val="0"/>
          <w:marTop w:val="0"/>
          <w:marBottom w:val="0"/>
          <w:divBdr>
            <w:top w:val="none" w:sz="0" w:space="0" w:color="auto"/>
            <w:left w:val="none" w:sz="0" w:space="0" w:color="auto"/>
            <w:bottom w:val="none" w:sz="0" w:space="0" w:color="auto"/>
            <w:right w:val="none" w:sz="0" w:space="0" w:color="auto"/>
          </w:divBdr>
        </w:div>
      </w:divsChild>
    </w:div>
    <w:div w:id="934289220">
      <w:bodyDiv w:val="1"/>
      <w:marLeft w:val="0"/>
      <w:marRight w:val="0"/>
      <w:marTop w:val="0"/>
      <w:marBottom w:val="0"/>
      <w:divBdr>
        <w:top w:val="none" w:sz="0" w:space="0" w:color="auto"/>
        <w:left w:val="none" w:sz="0" w:space="0" w:color="auto"/>
        <w:bottom w:val="none" w:sz="0" w:space="0" w:color="auto"/>
        <w:right w:val="none" w:sz="0" w:space="0" w:color="auto"/>
      </w:divBdr>
    </w:div>
    <w:div w:id="936409230">
      <w:bodyDiv w:val="1"/>
      <w:marLeft w:val="0"/>
      <w:marRight w:val="0"/>
      <w:marTop w:val="0"/>
      <w:marBottom w:val="0"/>
      <w:divBdr>
        <w:top w:val="none" w:sz="0" w:space="0" w:color="auto"/>
        <w:left w:val="none" w:sz="0" w:space="0" w:color="auto"/>
        <w:bottom w:val="none" w:sz="0" w:space="0" w:color="auto"/>
        <w:right w:val="none" w:sz="0" w:space="0" w:color="auto"/>
      </w:divBdr>
    </w:div>
    <w:div w:id="941686921">
      <w:bodyDiv w:val="1"/>
      <w:marLeft w:val="0"/>
      <w:marRight w:val="0"/>
      <w:marTop w:val="0"/>
      <w:marBottom w:val="0"/>
      <w:divBdr>
        <w:top w:val="none" w:sz="0" w:space="0" w:color="auto"/>
        <w:left w:val="none" w:sz="0" w:space="0" w:color="auto"/>
        <w:bottom w:val="none" w:sz="0" w:space="0" w:color="auto"/>
        <w:right w:val="none" w:sz="0" w:space="0" w:color="auto"/>
      </w:divBdr>
    </w:div>
    <w:div w:id="973019906">
      <w:bodyDiv w:val="1"/>
      <w:marLeft w:val="0"/>
      <w:marRight w:val="0"/>
      <w:marTop w:val="0"/>
      <w:marBottom w:val="0"/>
      <w:divBdr>
        <w:top w:val="none" w:sz="0" w:space="0" w:color="auto"/>
        <w:left w:val="none" w:sz="0" w:space="0" w:color="auto"/>
        <w:bottom w:val="none" w:sz="0" w:space="0" w:color="auto"/>
        <w:right w:val="none" w:sz="0" w:space="0" w:color="auto"/>
      </w:divBdr>
    </w:div>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84251862">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sChild>
    </w:div>
    <w:div w:id="981033591">
      <w:bodyDiv w:val="1"/>
      <w:marLeft w:val="0"/>
      <w:marRight w:val="0"/>
      <w:marTop w:val="0"/>
      <w:marBottom w:val="0"/>
      <w:divBdr>
        <w:top w:val="none" w:sz="0" w:space="0" w:color="auto"/>
        <w:left w:val="none" w:sz="0" w:space="0" w:color="auto"/>
        <w:bottom w:val="none" w:sz="0" w:space="0" w:color="auto"/>
        <w:right w:val="none" w:sz="0" w:space="0" w:color="auto"/>
      </w:divBdr>
    </w:div>
    <w:div w:id="990867072">
      <w:bodyDiv w:val="1"/>
      <w:marLeft w:val="0"/>
      <w:marRight w:val="0"/>
      <w:marTop w:val="0"/>
      <w:marBottom w:val="0"/>
      <w:divBdr>
        <w:top w:val="none" w:sz="0" w:space="0" w:color="auto"/>
        <w:left w:val="none" w:sz="0" w:space="0" w:color="auto"/>
        <w:bottom w:val="none" w:sz="0" w:space="0" w:color="auto"/>
        <w:right w:val="none" w:sz="0" w:space="0" w:color="auto"/>
      </w:divBdr>
    </w:div>
    <w:div w:id="1030256337">
      <w:bodyDiv w:val="1"/>
      <w:marLeft w:val="0"/>
      <w:marRight w:val="0"/>
      <w:marTop w:val="0"/>
      <w:marBottom w:val="0"/>
      <w:divBdr>
        <w:top w:val="none" w:sz="0" w:space="0" w:color="auto"/>
        <w:left w:val="none" w:sz="0" w:space="0" w:color="auto"/>
        <w:bottom w:val="none" w:sz="0" w:space="0" w:color="auto"/>
        <w:right w:val="none" w:sz="0" w:space="0" w:color="auto"/>
      </w:divBdr>
    </w:div>
    <w:div w:id="1031222642">
      <w:bodyDiv w:val="1"/>
      <w:marLeft w:val="0"/>
      <w:marRight w:val="0"/>
      <w:marTop w:val="0"/>
      <w:marBottom w:val="0"/>
      <w:divBdr>
        <w:top w:val="none" w:sz="0" w:space="0" w:color="auto"/>
        <w:left w:val="none" w:sz="0" w:space="0" w:color="auto"/>
        <w:bottom w:val="none" w:sz="0" w:space="0" w:color="auto"/>
        <w:right w:val="none" w:sz="0" w:space="0" w:color="auto"/>
      </w:divBdr>
    </w:div>
    <w:div w:id="1052080143">
      <w:bodyDiv w:val="1"/>
      <w:marLeft w:val="0"/>
      <w:marRight w:val="0"/>
      <w:marTop w:val="0"/>
      <w:marBottom w:val="0"/>
      <w:divBdr>
        <w:top w:val="none" w:sz="0" w:space="0" w:color="auto"/>
        <w:left w:val="none" w:sz="0" w:space="0" w:color="auto"/>
        <w:bottom w:val="none" w:sz="0" w:space="0" w:color="auto"/>
        <w:right w:val="none" w:sz="0" w:space="0" w:color="auto"/>
      </w:divBdr>
      <w:divsChild>
        <w:div w:id="75978649">
          <w:marLeft w:val="0"/>
          <w:marRight w:val="0"/>
          <w:marTop w:val="0"/>
          <w:marBottom w:val="0"/>
          <w:divBdr>
            <w:top w:val="none" w:sz="0" w:space="0" w:color="auto"/>
            <w:left w:val="none" w:sz="0" w:space="0" w:color="auto"/>
            <w:bottom w:val="none" w:sz="0" w:space="0" w:color="auto"/>
            <w:right w:val="none" w:sz="0" w:space="0" w:color="auto"/>
          </w:divBdr>
        </w:div>
        <w:div w:id="587081452">
          <w:marLeft w:val="0"/>
          <w:marRight w:val="0"/>
          <w:marTop w:val="0"/>
          <w:marBottom w:val="0"/>
          <w:divBdr>
            <w:top w:val="none" w:sz="0" w:space="0" w:color="auto"/>
            <w:left w:val="none" w:sz="0" w:space="0" w:color="auto"/>
            <w:bottom w:val="none" w:sz="0" w:space="0" w:color="auto"/>
            <w:right w:val="none" w:sz="0" w:space="0" w:color="auto"/>
          </w:divBdr>
        </w:div>
        <w:div w:id="679704184">
          <w:marLeft w:val="0"/>
          <w:marRight w:val="0"/>
          <w:marTop w:val="0"/>
          <w:marBottom w:val="0"/>
          <w:divBdr>
            <w:top w:val="none" w:sz="0" w:space="0" w:color="auto"/>
            <w:left w:val="none" w:sz="0" w:space="0" w:color="auto"/>
            <w:bottom w:val="none" w:sz="0" w:space="0" w:color="auto"/>
            <w:right w:val="none" w:sz="0" w:space="0" w:color="auto"/>
          </w:divBdr>
        </w:div>
      </w:divsChild>
    </w:div>
    <w:div w:id="1066538540">
      <w:bodyDiv w:val="1"/>
      <w:marLeft w:val="0"/>
      <w:marRight w:val="0"/>
      <w:marTop w:val="0"/>
      <w:marBottom w:val="0"/>
      <w:divBdr>
        <w:top w:val="none" w:sz="0" w:space="0" w:color="auto"/>
        <w:left w:val="none" w:sz="0" w:space="0" w:color="auto"/>
        <w:bottom w:val="none" w:sz="0" w:space="0" w:color="auto"/>
        <w:right w:val="none" w:sz="0" w:space="0" w:color="auto"/>
      </w:divBdr>
    </w:div>
    <w:div w:id="1132595598">
      <w:bodyDiv w:val="1"/>
      <w:marLeft w:val="0"/>
      <w:marRight w:val="0"/>
      <w:marTop w:val="0"/>
      <w:marBottom w:val="0"/>
      <w:divBdr>
        <w:top w:val="none" w:sz="0" w:space="0" w:color="auto"/>
        <w:left w:val="none" w:sz="0" w:space="0" w:color="auto"/>
        <w:bottom w:val="none" w:sz="0" w:space="0" w:color="auto"/>
        <w:right w:val="none" w:sz="0" w:space="0" w:color="auto"/>
      </w:divBdr>
      <w:divsChild>
        <w:div w:id="703096590">
          <w:marLeft w:val="0"/>
          <w:marRight w:val="0"/>
          <w:marTop w:val="0"/>
          <w:marBottom w:val="0"/>
          <w:divBdr>
            <w:top w:val="none" w:sz="0" w:space="0" w:color="auto"/>
            <w:left w:val="none" w:sz="0" w:space="0" w:color="auto"/>
            <w:bottom w:val="none" w:sz="0" w:space="0" w:color="auto"/>
            <w:right w:val="none" w:sz="0" w:space="0" w:color="auto"/>
          </w:divBdr>
        </w:div>
      </w:divsChild>
    </w:div>
    <w:div w:id="1149127752">
      <w:bodyDiv w:val="1"/>
      <w:marLeft w:val="0"/>
      <w:marRight w:val="0"/>
      <w:marTop w:val="0"/>
      <w:marBottom w:val="0"/>
      <w:divBdr>
        <w:top w:val="none" w:sz="0" w:space="0" w:color="auto"/>
        <w:left w:val="none" w:sz="0" w:space="0" w:color="auto"/>
        <w:bottom w:val="none" w:sz="0" w:space="0" w:color="auto"/>
        <w:right w:val="none" w:sz="0" w:space="0" w:color="auto"/>
      </w:divBdr>
      <w:divsChild>
        <w:div w:id="1094977762">
          <w:marLeft w:val="0"/>
          <w:marRight w:val="0"/>
          <w:marTop w:val="0"/>
          <w:marBottom w:val="0"/>
          <w:divBdr>
            <w:top w:val="none" w:sz="0" w:space="0" w:color="auto"/>
            <w:left w:val="none" w:sz="0" w:space="0" w:color="auto"/>
            <w:bottom w:val="none" w:sz="0" w:space="0" w:color="auto"/>
            <w:right w:val="none" w:sz="0" w:space="0" w:color="auto"/>
          </w:divBdr>
        </w:div>
        <w:div w:id="2005544715">
          <w:marLeft w:val="0"/>
          <w:marRight w:val="0"/>
          <w:marTop w:val="0"/>
          <w:marBottom w:val="0"/>
          <w:divBdr>
            <w:top w:val="none" w:sz="0" w:space="0" w:color="auto"/>
            <w:left w:val="none" w:sz="0" w:space="0" w:color="auto"/>
            <w:bottom w:val="none" w:sz="0" w:space="0" w:color="auto"/>
            <w:right w:val="none" w:sz="0" w:space="0" w:color="auto"/>
          </w:divBdr>
        </w:div>
      </w:divsChild>
    </w:div>
    <w:div w:id="1187208433">
      <w:bodyDiv w:val="1"/>
      <w:marLeft w:val="0"/>
      <w:marRight w:val="0"/>
      <w:marTop w:val="0"/>
      <w:marBottom w:val="0"/>
      <w:divBdr>
        <w:top w:val="none" w:sz="0" w:space="0" w:color="auto"/>
        <w:left w:val="none" w:sz="0" w:space="0" w:color="auto"/>
        <w:bottom w:val="none" w:sz="0" w:space="0" w:color="auto"/>
        <w:right w:val="none" w:sz="0" w:space="0" w:color="auto"/>
      </w:divBdr>
      <w:divsChild>
        <w:div w:id="279650291">
          <w:marLeft w:val="0"/>
          <w:marRight w:val="0"/>
          <w:marTop w:val="0"/>
          <w:marBottom w:val="0"/>
          <w:divBdr>
            <w:top w:val="none" w:sz="0" w:space="0" w:color="auto"/>
            <w:left w:val="none" w:sz="0" w:space="0" w:color="auto"/>
            <w:bottom w:val="none" w:sz="0" w:space="0" w:color="auto"/>
            <w:right w:val="none" w:sz="0" w:space="0" w:color="auto"/>
          </w:divBdr>
        </w:div>
        <w:div w:id="1246039036">
          <w:marLeft w:val="0"/>
          <w:marRight w:val="0"/>
          <w:marTop w:val="0"/>
          <w:marBottom w:val="0"/>
          <w:divBdr>
            <w:top w:val="none" w:sz="0" w:space="0" w:color="auto"/>
            <w:left w:val="none" w:sz="0" w:space="0" w:color="auto"/>
            <w:bottom w:val="none" w:sz="0" w:space="0" w:color="auto"/>
            <w:right w:val="none" w:sz="0" w:space="0" w:color="auto"/>
          </w:divBdr>
        </w:div>
        <w:div w:id="1330595381">
          <w:marLeft w:val="0"/>
          <w:marRight w:val="0"/>
          <w:marTop w:val="0"/>
          <w:marBottom w:val="0"/>
          <w:divBdr>
            <w:top w:val="none" w:sz="0" w:space="0" w:color="auto"/>
            <w:left w:val="none" w:sz="0" w:space="0" w:color="auto"/>
            <w:bottom w:val="none" w:sz="0" w:space="0" w:color="auto"/>
            <w:right w:val="none" w:sz="0" w:space="0" w:color="auto"/>
          </w:divBdr>
        </w:div>
        <w:div w:id="1912546596">
          <w:marLeft w:val="0"/>
          <w:marRight w:val="0"/>
          <w:marTop w:val="0"/>
          <w:marBottom w:val="0"/>
          <w:divBdr>
            <w:top w:val="none" w:sz="0" w:space="0" w:color="auto"/>
            <w:left w:val="none" w:sz="0" w:space="0" w:color="auto"/>
            <w:bottom w:val="none" w:sz="0" w:space="0" w:color="auto"/>
            <w:right w:val="none" w:sz="0" w:space="0" w:color="auto"/>
          </w:divBdr>
        </w:div>
        <w:div w:id="2065331956">
          <w:marLeft w:val="0"/>
          <w:marRight w:val="0"/>
          <w:marTop w:val="0"/>
          <w:marBottom w:val="0"/>
          <w:divBdr>
            <w:top w:val="none" w:sz="0" w:space="0" w:color="auto"/>
            <w:left w:val="none" w:sz="0" w:space="0" w:color="auto"/>
            <w:bottom w:val="none" w:sz="0" w:space="0" w:color="auto"/>
            <w:right w:val="none" w:sz="0" w:space="0" w:color="auto"/>
          </w:divBdr>
        </w:div>
      </w:divsChild>
    </w:div>
    <w:div w:id="1233471541">
      <w:bodyDiv w:val="1"/>
      <w:marLeft w:val="0"/>
      <w:marRight w:val="0"/>
      <w:marTop w:val="0"/>
      <w:marBottom w:val="0"/>
      <w:divBdr>
        <w:top w:val="none" w:sz="0" w:space="0" w:color="auto"/>
        <w:left w:val="none" w:sz="0" w:space="0" w:color="auto"/>
        <w:bottom w:val="none" w:sz="0" w:space="0" w:color="auto"/>
        <w:right w:val="none" w:sz="0" w:space="0" w:color="auto"/>
      </w:divBdr>
    </w:div>
    <w:div w:id="1242256431">
      <w:bodyDiv w:val="1"/>
      <w:marLeft w:val="0"/>
      <w:marRight w:val="0"/>
      <w:marTop w:val="0"/>
      <w:marBottom w:val="0"/>
      <w:divBdr>
        <w:top w:val="none" w:sz="0" w:space="0" w:color="auto"/>
        <w:left w:val="none" w:sz="0" w:space="0" w:color="auto"/>
        <w:bottom w:val="none" w:sz="0" w:space="0" w:color="auto"/>
        <w:right w:val="none" w:sz="0" w:space="0" w:color="auto"/>
      </w:divBdr>
    </w:div>
    <w:div w:id="1243291527">
      <w:bodyDiv w:val="1"/>
      <w:marLeft w:val="0"/>
      <w:marRight w:val="0"/>
      <w:marTop w:val="0"/>
      <w:marBottom w:val="0"/>
      <w:divBdr>
        <w:top w:val="none" w:sz="0" w:space="0" w:color="auto"/>
        <w:left w:val="none" w:sz="0" w:space="0" w:color="auto"/>
        <w:bottom w:val="none" w:sz="0" w:space="0" w:color="auto"/>
        <w:right w:val="none" w:sz="0" w:space="0" w:color="auto"/>
      </w:divBdr>
    </w:div>
    <w:div w:id="1253012314">
      <w:bodyDiv w:val="1"/>
      <w:marLeft w:val="0"/>
      <w:marRight w:val="0"/>
      <w:marTop w:val="0"/>
      <w:marBottom w:val="0"/>
      <w:divBdr>
        <w:top w:val="none" w:sz="0" w:space="0" w:color="auto"/>
        <w:left w:val="none" w:sz="0" w:space="0" w:color="auto"/>
        <w:bottom w:val="none" w:sz="0" w:space="0" w:color="auto"/>
        <w:right w:val="none" w:sz="0" w:space="0" w:color="auto"/>
      </w:divBdr>
    </w:div>
    <w:div w:id="1306819341">
      <w:bodyDiv w:val="1"/>
      <w:marLeft w:val="0"/>
      <w:marRight w:val="0"/>
      <w:marTop w:val="0"/>
      <w:marBottom w:val="0"/>
      <w:divBdr>
        <w:top w:val="none" w:sz="0" w:space="0" w:color="auto"/>
        <w:left w:val="none" w:sz="0" w:space="0" w:color="auto"/>
        <w:bottom w:val="none" w:sz="0" w:space="0" w:color="auto"/>
        <w:right w:val="none" w:sz="0" w:space="0" w:color="auto"/>
      </w:divBdr>
    </w:div>
    <w:div w:id="1334066194">
      <w:bodyDiv w:val="1"/>
      <w:marLeft w:val="0"/>
      <w:marRight w:val="0"/>
      <w:marTop w:val="0"/>
      <w:marBottom w:val="0"/>
      <w:divBdr>
        <w:top w:val="none" w:sz="0" w:space="0" w:color="auto"/>
        <w:left w:val="none" w:sz="0" w:space="0" w:color="auto"/>
        <w:bottom w:val="none" w:sz="0" w:space="0" w:color="auto"/>
        <w:right w:val="none" w:sz="0" w:space="0" w:color="auto"/>
      </w:divBdr>
    </w:div>
    <w:div w:id="1344551121">
      <w:bodyDiv w:val="1"/>
      <w:marLeft w:val="0"/>
      <w:marRight w:val="0"/>
      <w:marTop w:val="0"/>
      <w:marBottom w:val="0"/>
      <w:divBdr>
        <w:top w:val="none" w:sz="0" w:space="0" w:color="auto"/>
        <w:left w:val="none" w:sz="0" w:space="0" w:color="auto"/>
        <w:bottom w:val="none" w:sz="0" w:space="0" w:color="auto"/>
        <w:right w:val="none" w:sz="0" w:space="0" w:color="auto"/>
      </w:divBdr>
    </w:div>
    <w:div w:id="1387297474">
      <w:bodyDiv w:val="1"/>
      <w:marLeft w:val="0"/>
      <w:marRight w:val="0"/>
      <w:marTop w:val="0"/>
      <w:marBottom w:val="0"/>
      <w:divBdr>
        <w:top w:val="none" w:sz="0" w:space="0" w:color="auto"/>
        <w:left w:val="none" w:sz="0" w:space="0" w:color="auto"/>
        <w:bottom w:val="none" w:sz="0" w:space="0" w:color="auto"/>
        <w:right w:val="none" w:sz="0" w:space="0" w:color="auto"/>
      </w:divBdr>
    </w:div>
    <w:div w:id="1413232157">
      <w:bodyDiv w:val="1"/>
      <w:marLeft w:val="0"/>
      <w:marRight w:val="0"/>
      <w:marTop w:val="0"/>
      <w:marBottom w:val="0"/>
      <w:divBdr>
        <w:top w:val="none" w:sz="0" w:space="0" w:color="auto"/>
        <w:left w:val="none" w:sz="0" w:space="0" w:color="auto"/>
        <w:bottom w:val="none" w:sz="0" w:space="0" w:color="auto"/>
        <w:right w:val="none" w:sz="0" w:space="0" w:color="auto"/>
      </w:divBdr>
      <w:divsChild>
        <w:div w:id="31576887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629284108">
          <w:marLeft w:val="0"/>
          <w:marRight w:val="0"/>
          <w:marTop w:val="0"/>
          <w:marBottom w:val="0"/>
          <w:divBdr>
            <w:top w:val="none" w:sz="0" w:space="0" w:color="auto"/>
            <w:left w:val="none" w:sz="0" w:space="0" w:color="auto"/>
            <w:bottom w:val="none" w:sz="0" w:space="0" w:color="auto"/>
            <w:right w:val="none" w:sz="0" w:space="0" w:color="auto"/>
          </w:divBdr>
        </w:div>
        <w:div w:id="1041125056">
          <w:marLeft w:val="0"/>
          <w:marRight w:val="0"/>
          <w:marTop w:val="0"/>
          <w:marBottom w:val="0"/>
          <w:divBdr>
            <w:top w:val="none" w:sz="0" w:space="0" w:color="auto"/>
            <w:left w:val="none" w:sz="0" w:space="0" w:color="auto"/>
            <w:bottom w:val="none" w:sz="0" w:space="0" w:color="auto"/>
            <w:right w:val="none" w:sz="0" w:space="0" w:color="auto"/>
          </w:divBdr>
        </w:div>
        <w:div w:id="1286428113">
          <w:marLeft w:val="0"/>
          <w:marRight w:val="0"/>
          <w:marTop w:val="0"/>
          <w:marBottom w:val="0"/>
          <w:divBdr>
            <w:top w:val="none" w:sz="0" w:space="0" w:color="auto"/>
            <w:left w:val="none" w:sz="0" w:space="0" w:color="auto"/>
            <w:bottom w:val="none" w:sz="0" w:space="0" w:color="auto"/>
            <w:right w:val="none" w:sz="0" w:space="0" w:color="auto"/>
          </w:divBdr>
        </w:div>
        <w:div w:id="1416439708">
          <w:marLeft w:val="0"/>
          <w:marRight w:val="0"/>
          <w:marTop w:val="0"/>
          <w:marBottom w:val="0"/>
          <w:divBdr>
            <w:top w:val="none" w:sz="0" w:space="0" w:color="auto"/>
            <w:left w:val="none" w:sz="0" w:space="0" w:color="auto"/>
            <w:bottom w:val="none" w:sz="0" w:space="0" w:color="auto"/>
            <w:right w:val="none" w:sz="0" w:space="0" w:color="auto"/>
          </w:divBdr>
        </w:div>
      </w:divsChild>
    </w:div>
    <w:div w:id="1436631393">
      <w:bodyDiv w:val="1"/>
      <w:marLeft w:val="0"/>
      <w:marRight w:val="0"/>
      <w:marTop w:val="0"/>
      <w:marBottom w:val="0"/>
      <w:divBdr>
        <w:top w:val="none" w:sz="0" w:space="0" w:color="auto"/>
        <w:left w:val="none" w:sz="0" w:space="0" w:color="auto"/>
        <w:bottom w:val="none" w:sz="0" w:space="0" w:color="auto"/>
        <w:right w:val="none" w:sz="0" w:space="0" w:color="auto"/>
      </w:divBdr>
      <w:divsChild>
        <w:div w:id="518742082">
          <w:marLeft w:val="0"/>
          <w:marRight w:val="0"/>
          <w:marTop w:val="0"/>
          <w:marBottom w:val="0"/>
          <w:divBdr>
            <w:top w:val="none" w:sz="0" w:space="0" w:color="auto"/>
            <w:left w:val="none" w:sz="0" w:space="0" w:color="auto"/>
            <w:bottom w:val="none" w:sz="0" w:space="0" w:color="auto"/>
            <w:right w:val="none" w:sz="0" w:space="0" w:color="auto"/>
          </w:divBdr>
        </w:div>
      </w:divsChild>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50664152">
      <w:bodyDiv w:val="1"/>
      <w:marLeft w:val="0"/>
      <w:marRight w:val="0"/>
      <w:marTop w:val="0"/>
      <w:marBottom w:val="0"/>
      <w:divBdr>
        <w:top w:val="none" w:sz="0" w:space="0" w:color="auto"/>
        <w:left w:val="none" w:sz="0" w:space="0" w:color="auto"/>
        <w:bottom w:val="none" w:sz="0" w:space="0" w:color="auto"/>
        <w:right w:val="none" w:sz="0" w:space="0" w:color="auto"/>
      </w:divBdr>
    </w:div>
    <w:div w:id="1451045039">
      <w:bodyDiv w:val="1"/>
      <w:marLeft w:val="0"/>
      <w:marRight w:val="0"/>
      <w:marTop w:val="0"/>
      <w:marBottom w:val="0"/>
      <w:divBdr>
        <w:top w:val="none" w:sz="0" w:space="0" w:color="auto"/>
        <w:left w:val="none" w:sz="0" w:space="0" w:color="auto"/>
        <w:bottom w:val="none" w:sz="0" w:space="0" w:color="auto"/>
        <w:right w:val="none" w:sz="0" w:space="0" w:color="auto"/>
      </w:divBdr>
    </w:div>
    <w:div w:id="1451586825">
      <w:bodyDiv w:val="1"/>
      <w:marLeft w:val="0"/>
      <w:marRight w:val="0"/>
      <w:marTop w:val="0"/>
      <w:marBottom w:val="0"/>
      <w:divBdr>
        <w:top w:val="none" w:sz="0" w:space="0" w:color="auto"/>
        <w:left w:val="none" w:sz="0" w:space="0" w:color="auto"/>
        <w:bottom w:val="none" w:sz="0" w:space="0" w:color="auto"/>
        <w:right w:val="none" w:sz="0" w:space="0" w:color="auto"/>
      </w:divBdr>
    </w:div>
    <w:div w:id="1453280229">
      <w:bodyDiv w:val="1"/>
      <w:marLeft w:val="0"/>
      <w:marRight w:val="0"/>
      <w:marTop w:val="0"/>
      <w:marBottom w:val="0"/>
      <w:divBdr>
        <w:top w:val="none" w:sz="0" w:space="0" w:color="auto"/>
        <w:left w:val="none" w:sz="0" w:space="0" w:color="auto"/>
        <w:bottom w:val="none" w:sz="0" w:space="0" w:color="auto"/>
        <w:right w:val="none" w:sz="0" w:space="0" w:color="auto"/>
      </w:divBdr>
    </w:div>
    <w:div w:id="1469592211">
      <w:bodyDiv w:val="1"/>
      <w:marLeft w:val="0"/>
      <w:marRight w:val="0"/>
      <w:marTop w:val="0"/>
      <w:marBottom w:val="0"/>
      <w:divBdr>
        <w:top w:val="none" w:sz="0" w:space="0" w:color="auto"/>
        <w:left w:val="none" w:sz="0" w:space="0" w:color="auto"/>
        <w:bottom w:val="none" w:sz="0" w:space="0" w:color="auto"/>
        <w:right w:val="none" w:sz="0" w:space="0" w:color="auto"/>
      </w:divBdr>
    </w:div>
    <w:div w:id="1513954138">
      <w:bodyDiv w:val="1"/>
      <w:marLeft w:val="0"/>
      <w:marRight w:val="0"/>
      <w:marTop w:val="0"/>
      <w:marBottom w:val="0"/>
      <w:divBdr>
        <w:top w:val="none" w:sz="0" w:space="0" w:color="auto"/>
        <w:left w:val="none" w:sz="0" w:space="0" w:color="auto"/>
        <w:bottom w:val="none" w:sz="0" w:space="0" w:color="auto"/>
        <w:right w:val="none" w:sz="0" w:space="0" w:color="auto"/>
      </w:divBdr>
    </w:div>
    <w:div w:id="1519931866">
      <w:bodyDiv w:val="1"/>
      <w:marLeft w:val="0"/>
      <w:marRight w:val="0"/>
      <w:marTop w:val="0"/>
      <w:marBottom w:val="0"/>
      <w:divBdr>
        <w:top w:val="none" w:sz="0" w:space="0" w:color="auto"/>
        <w:left w:val="none" w:sz="0" w:space="0" w:color="auto"/>
        <w:bottom w:val="none" w:sz="0" w:space="0" w:color="auto"/>
        <w:right w:val="none" w:sz="0" w:space="0" w:color="auto"/>
      </w:divBdr>
    </w:div>
    <w:div w:id="1536844345">
      <w:bodyDiv w:val="1"/>
      <w:marLeft w:val="0"/>
      <w:marRight w:val="0"/>
      <w:marTop w:val="0"/>
      <w:marBottom w:val="0"/>
      <w:divBdr>
        <w:top w:val="none" w:sz="0" w:space="0" w:color="auto"/>
        <w:left w:val="none" w:sz="0" w:space="0" w:color="auto"/>
        <w:bottom w:val="none" w:sz="0" w:space="0" w:color="auto"/>
        <w:right w:val="none" w:sz="0" w:space="0" w:color="auto"/>
      </w:divBdr>
    </w:div>
    <w:div w:id="1545412806">
      <w:bodyDiv w:val="1"/>
      <w:marLeft w:val="0"/>
      <w:marRight w:val="0"/>
      <w:marTop w:val="0"/>
      <w:marBottom w:val="0"/>
      <w:divBdr>
        <w:top w:val="none" w:sz="0" w:space="0" w:color="auto"/>
        <w:left w:val="none" w:sz="0" w:space="0" w:color="auto"/>
        <w:bottom w:val="none" w:sz="0" w:space="0" w:color="auto"/>
        <w:right w:val="none" w:sz="0" w:space="0" w:color="auto"/>
      </w:divBdr>
    </w:div>
    <w:div w:id="1548450443">
      <w:bodyDiv w:val="1"/>
      <w:marLeft w:val="0"/>
      <w:marRight w:val="0"/>
      <w:marTop w:val="0"/>
      <w:marBottom w:val="0"/>
      <w:divBdr>
        <w:top w:val="none" w:sz="0" w:space="0" w:color="auto"/>
        <w:left w:val="none" w:sz="0" w:space="0" w:color="auto"/>
        <w:bottom w:val="none" w:sz="0" w:space="0" w:color="auto"/>
        <w:right w:val="none" w:sz="0" w:space="0" w:color="auto"/>
      </w:divBdr>
      <w:divsChild>
        <w:div w:id="727415292">
          <w:marLeft w:val="0"/>
          <w:marRight w:val="0"/>
          <w:marTop w:val="0"/>
          <w:marBottom w:val="0"/>
          <w:divBdr>
            <w:top w:val="none" w:sz="0" w:space="0" w:color="auto"/>
            <w:left w:val="none" w:sz="0" w:space="0" w:color="auto"/>
            <w:bottom w:val="none" w:sz="0" w:space="0" w:color="auto"/>
            <w:right w:val="none" w:sz="0" w:space="0" w:color="auto"/>
          </w:divBdr>
        </w:div>
      </w:divsChild>
    </w:div>
    <w:div w:id="1550142031">
      <w:bodyDiv w:val="1"/>
      <w:marLeft w:val="0"/>
      <w:marRight w:val="0"/>
      <w:marTop w:val="0"/>
      <w:marBottom w:val="0"/>
      <w:divBdr>
        <w:top w:val="none" w:sz="0" w:space="0" w:color="auto"/>
        <w:left w:val="none" w:sz="0" w:space="0" w:color="auto"/>
        <w:bottom w:val="none" w:sz="0" w:space="0" w:color="auto"/>
        <w:right w:val="none" w:sz="0" w:space="0" w:color="auto"/>
      </w:divBdr>
      <w:divsChild>
        <w:div w:id="1035425844">
          <w:marLeft w:val="0"/>
          <w:marRight w:val="0"/>
          <w:marTop w:val="0"/>
          <w:marBottom w:val="0"/>
          <w:divBdr>
            <w:top w:val="none" w:sz="0" w:space="0" w:color="auto"/>
            <w:left w:val="none" w:sz="0" w:space="0" w:color="auto"/>
            <w:bottom w:val="none" w:sz="0" w:space="0" w:color="auto"/>
            <w:right w:val="none" w:sz="0" w:space="0" w:color="auto"/>
          </w:divBdr>
        </w:div>
      </w:divsChild>
    </w:div>
    <w:div w:id="1553418837">
      <w:bodyDiv w:val="1"/>
      <w:marLeft w:val="0"/>
      <w:marRight w:val="0"/>
      <w:marTop w:val="0"/>
      <w:marBottom w:val="0"/>
      <w:divBdr>
        <w:top w:val="none" w:sz="0" w:space="0" w:color="auto"/>
        <w:left w:val="none" w:sz="0" w:space="0" w:color="auto"/>
        <w:bottom w:val="none" w:sz="0" w:space="0" w:color="auto"/>
        <w:right w:val="none" w:sz="0" w:space="0" w:color="auto"/>
      </w:divBdr>
    </w:div>
    <w:div w:id="1565994515">
      <w:bodyDiv w:val="1"/>
      <w:marLeft w:val="0"/>
      <w:marRight w:val="0"/>
      <w:marTop w:val="0"/>
      <w:marBottom w:val="0"/>
      <w:divBdr>
        <w:top w:val="none" w:sz="0" w:space="0" w:color="auto"/>
        <w:left w:val="none" w:sz="0" w:space="0" w:color="auto"/>
        <w:bottom w:val="none" w:sz="0" w:space="0" w:color="auto"/>
        <w:right w:val="none" w:sz="0" w:space="0" w:color="auto"/>
      </w:divBdr>
    </w:div>
    <w:div w:id="1578827834">
      <w:bodyDiv w:val="1"/>
      <w:marLeft w:val="0"/>
      <w:marRight w:val="0"/>
      <w:marTop w:val="0"/>
      <w:marBottom w:val="0"/>
      <w:divBdr>
        <w:top w:val="none" w:sz="0" w:space="0" w:color="auto"/>
        <w:left w:val="none" w:sz="0" w:space="0" w:color="auto"/>
        <w:bottom w:val="none" w:sz="0" w:space="0" w:color="auto"/>
        <w:right w:val="none" w:sz="0" w:space="0" w:color="auto"/>
      </w:divBdr>
    </w:div>
    <w:div w:id="1643194034">
      <w:bodyDiv w:val="1"/>
      <w:marLeft w:val="0"/>
      <w:marRight w:val="0"/>
      <w:marTop w:val="0"/>
      <w:marBottom w:val="0"/>
      <w:divBdr>
        <w:top w:val="none" w:sz="0" w:space="0" w:color="auto"/>
        <w:left w:val="none" w:sz="0" w:space="0" w:color="auto"/>
        <w:bottom w:val="none" w:sz="0" w:space="0" w:color="auto"/>
        <w:right w:val="none" w:sz="0" w:space="0" w:color="auto"/>
      </w:divBdr>
      <w:divsChild>
        <w:div w:id="930428014">
          <w:marLeft w:val="0"/>
          <w:marRight w:val="0"/>
          <w:marTop w:val="0"/>
          <w:marBottom w:val="0"/>
          <w:divBdr>
            <w:top w:val="none" w:sz="0" w:space="0" w:color="auto"/>
            <w:left w:val="none" w:sz="0" w:space="0" w:color="auto"/>
            <w:bottom w:val="none" w:sz="0" w:space="0" w:color="auto"/>
            <w:right w:val="none" w:sz="0" w:space="0" w:color="auto"/>
          </w:divBdr>
        </w:div>
        <w:div w:id="1340279915">
          <w:marLeft w:val="0"/>
          <w:marRight w:val="0"/>
          <w:marTop w:val="0"/>
          <w:marBottom w:val="0"/>
          <w:divBdr>
            <w:top w:val="none" w:sz="0" w:space="0" w:color="auto"/>
            <w:left w:val="none" w:sz="0" w:space="0" w:color="auto"/>
            <w:bottom w:val="none" w:sz="0" w:space="0" w:color="auto"/>
            <w:right w:val="none" w:sz="0" w:space="0" w:color="auto"/>
          </w:divBdr>
        </w:div>
        <w:div w:id="1710109703">
          <w:marLeft w:val="0"/>
          <w:marRight w:val="0"/>
          <w:marTop w:val="0"/>
          <w:marBottom w:val="0"/>
          <w:divBdr>
            <w:top w:val="none" w:sz="0" w:space="0" w:color="auto"/>
            <w:left w:val="none" w:sz="0" w:space="0" w:color="auto"/>
            <w:bottom w:val="none" w:sz="0" w:space="0" w:color="auto"/>
            <w:right w:val="none" w:sz="0" w:space="0" w:color="auto"/>
          </w:divBdr>
        </w:div>
        <w:div w:id="1948543749">
          <w:marLeft w:val="0"/>
          <w:marRight w:val="0"/>
          <w:marTop w:val="0"/>
          <w:marBottom w:val="0"/>
          <w:divBdr>
            <w:top w:val="none" w:sz="0" w:space="0" w:color="auto"/>
            <w:left w:val="none" w:sz="0" w:space="0" w:color="auto"/>
            <w:bottom w:val="none" w:sz="0" w:space="0" w:color="auto"/>
            <w:right w:val="none" w:sz="0" w:space="0" w:color="auto"/>
          </w:divBdr>
        </w:div>
        <w:div w:id="2015721613">
          <w:marLeft w:val="0"/>
          <w:marRight w:val="0"/>
          <w:marTop w:val="0"/>
          <w:marBottom w:val="0"/>
          <w:divBdr>
            <w:top w:val="none" w:sz="0" w:space="0" w:color="auto"/>
            <w:left w:val="none" w:sz="0" w:space="0" w:color="auto"/>
            <w:bottom w:val="none" w:sz="0" w:space="0" w:color="auto"/>
            <w:right w:val="none" w:sz="0" w:space="0" w:color="auto"/>
          </w:divBdr>
        </w:div>
      </w:divsChild>
    </w:div>
    <w:div w:id="1643197928">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sChild>
        <w:div w:id="322129641">
          <w:marLeft w:val="0"/>
          <w:marRight w:val="0"/>
          <w:marTop w:val="0"/>
          <w:marBottom w:val="0"/>
          <w:divBdr>
            <w:top w:val="none" w:sz="0" w:space="0" w:color="auto"/>
            <w:left w:val="none" w:sz="0" w:space="0" w:color="auto"/>
            <w:bottom w:val="none" w:sz="0" w:space="0" w:color="auto"/>
            <w:right w:val="none" w:sz="0" w:space="0" w:color="auto"/>
          </w:divBdr>
        </w:div>
        <w:div w:id="708922208">
          <w:marLeft w:val="0"/>
          <w:marRight w:val="0"/>
          <w:marTop w:val="0"/>
          <w:marBottom w:val="0"/>
          <w:divBdr>
            <w:top w:val="none" w:sz="0" w:space="0" w:color="auto"/>
            <w:left w:val="none" w:sz="0" w:space="0" w:color="auto"/>
            <w:bottom w:val="none" w:sz="0" w:space="0" w:color="auto"/>
            <w:right w:val="none" w:sz="0" w:space="0" w:color="auto"/>
          </w:divBdr>
        </w:div>
        <w:div w:id="1067189088">
          <w:marLeft w:val="0"/>
          <w:marRight w:val="0"/>
          <w:marTop w:val="0"/>
          <w:marBottom w:val="0"/>
          <w:divBdr>
            <w:top w:val="none" w:sz="0" w:space="0" w:color="auto"/>
            <w:left w:val="none" w:sz="0" w:space="0" w:color="auto"/>
            <w:bottom w:val="none" w:sz="0" w:space="0" w:color="auto"/>
            <w:right w:val="none" w:sz="0" w:space="0" w:color="auto"/>
          </w:divBdr>
        </w:div>
        <w:div w:id="1982227587">
          <w:marLeft w:val="0"/>
          <w:marRight w:val="0"/>
          <w:marTop w:val="0"/>
          <w:marBottom w:val="0"/>
          <w:divBdr>
            <w:top w:val="none" w:sz="0" w:space="0" w:color="auto"/>
            <w:left w:val="none" w:sz="0" w:space="0" w:color="auto"/>
            <w:bottom w:val="none" w:sz="0" w:space="0" w:color="auto"/>
            <w:right w:val="none" w:sz="0" w:space="0" w:color="auto"/>
          </w:divBdr>
        </w:div>
      </w:divsChild>
    </w:div>
    <w:div w:id="1674993942">
      <w:bodyDiv w:val="1"/>
      <w:marLeft w:val="0"/>
      <w:marRight w:val="0"/>
      <w:marTop w:val="0"/>
      <w:marBottom w:val="0"/>
      <w:divBdr>
        <w:top w:val="none" w:sz="0" w:space="0" w:color="auto"/>
        <w:left w:val="none" w:sz="0" w:space="0" w:color="auto"/>
        <w:bottom w:val="none" w:sz="0" w:space="0" w:color="auto"/>
        <w:right w:val="none" w:sz="0" w:space="0" w:color="auto"/>
      </w:divBdr>
    </w:div>
    <w:div w:id="1686402289">
      <w:bodyDiv w:val="1"/>
      <w:marLeft w:val="0"/>
      <w:marRight w:val="0"/>
      <w:marTop w:val="0"/>
      <w:marBottom w:val="0"/>
      <w:divBdr>
        <w:top w:val="none" w:sz="0" w:space="0" w:color="auto"/>
        <w:left w:val="none" w:sz="0" w:space="0" w:color="auto"/>
        <w:bottom w:val="none" w:sz="0" w:space="0" w:color="auto"/>
        <w:right w:val="none" w:sz="0" w:space="0" w:color="auto"/>
      </w:divBdr>
    </w:div>
    <w:div w:id="1736194618">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1289703236">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 w:id="1818380386">
      <w:bodyDiv w:val="1"/>
      <w:marLeft w:val="0"/>
      <w:marRight w:val="0"/>
      <w:marTop w:val="0"/>
      <w:marBottom w:val="0"/>
      <w:divBdr>
        <w:top w:val="none" w:sz="0" w:space="0" w:color="auto"/>
        <w:left w:val="none" w:sz="0" w:space="0" w:color="auto"/>
        <w:bottom w:val="none" w:sz="0" w:space="0" w:color="auto"/>
        <w:right w:val="none" w:sz="0" w:space="0" w:color="auto"/>
      </w:divBdr>
    </w:div>
    <w:div w:id="1855072693">
      <w:bodyDiv w:val="1"/>
      <w:marLeft w:val="0"/>
      <w:marRight w:val="0"/>
      <w:marTop w:val="0"/>
      <w:marBottom w:val="0"/>
      <w:divBdr>
        <w:top w:val="none" w:sz="0" w:space="0" w:color="auto"/>
        <w:left w:val="none" w:sz="0" w:space="0" w:color="auto"/>
        <w:bottom w:val="none" w:sz="0" w:space="0" w:color="auto"/>
        <w:right w:val="none" w:sz="0" w:space="0" w:color="auto"/>
      </w:divBdr>
    </w:div>
    <w:div w:id="1857763900">
      <w:bodyDiv w:val="1"/>
      <w:marLeft w:val="0"/>
      <w:marRight w:val="0"/>
      <w:marTop w:val="0"/>
      <w:marBottom w:val="0"/>
      <w:divBdr>
        <w:top w:val="none" w:sz="0" w:space="0" w:color="auto"/>
        <w:left w:val="none" w:sz="0" w:space="0" w:color="auto"/>
        <w:bottom w:val="none" w:sz="0" w:space="0" w:color="auto"/>
        <w:right w:val="none" w:sz="0" w:space="0" w:color="auto"/>
      </w:divBdr>
      <w:divsChild>
        <w:div w:id="12270617">
          <w:marLeft w:val="0"/>
          <w:marRight w:val="0"/>
          <w:marTop w:val="0"/>
          <w:marBottom w:val="0"/>
          <w:divBdr>
            <w:top w:val="none" w:sz="0" w:space="0" w:color="auto"/>
            <w:left w:val="none" w:sz="0" w:space="0" w:color="auto"/>
            <w:bottom w:val="none" w:sz="0" w:space="0" w:color="auto"/>
            <w:right w:val="none" w:sz="0" w:space="0" w:color="auto"/>
          </w:divBdr>
        </w:div>
        <w:div w:id="310722051">
          <w:marLeft w:val="0"/>
          <w:marRight w:val="0"/>
          <w:marTop w:val="0"/>
          <w:marBottom w:val="0"/>
          <w:divBdr>
            <w:top w:val="none" w:sz="0" w:space="0" w:color="auto"/>
            <w:left w:val="none" w:sz="0" w:space="0" w:color="auto"/>
            <w:bottom w:val="none" w:sz="0" w:space="0" w:color="auto"/>
            <w:right w:val="none" w:sz="0" w:space="0" w:color="auto"/>
          </w:divBdr>
        </w:div>
        <w:div w:id="554467299">
          <w:marLeft w:val="0"/>
          <w:marRight w:val="0"/>
          <w:marTop w:val="0"/>
          <w:marBottom w:val="0"/>
          <w:divBdr>
            <w:top w:val="none" w:sz="0" w:space="0" w:color="auto"/>
            <w:left w:val="none" w:sz="0" w:space="0" w:color="auto"/>
            <w:bottom w:val="none" w:sz="0" w:space="0" w:color="auto"/>
            <w:right w:val="none" w:sz="0" w:space="0" w:color="auto"/>
          </w:divBdr>
        </w:div>
        <w:div w:id="1237009209">
          <w:marLeft w:val="0"/>
          <w:marRight w:val="0"/>
          <w:marTop w:val="0"/>
          <w:marBottom w:val="0"/>
          <w:divBdr>
            <w:top w:val="none" w:sz="0" w:space="0" w:color="auto"/>
            <w:left w:val="none" w:sz="0" w:space="0" w:color="auto"/>
            <w:bottom w:val="none" w:sz="0" w:space="0" w:color="auto"/>
            <w:right w:val="none" w:sz="0" w:space="0" w:color="auto"/>
          </w:divBdr>
        </w:div>
        <w:div w:id="1539855429">
          <w:marLeft w:val="0"/>
          <w:marRight w:val="0"/>
          <w:marTop w:val="0"/>
          <w:marBottom w:val="0"/>
          <w:divBdr>
            <w:top w:val="none" w:sz="0" w:space="0" w:color="auto"/>
            <w:left w:val="none" w:sz="0" w:space="0" w:color="auto"/>
            <w:bottom w:val="none" w:sz="0" w:space="0" w:color="auto"/>
            <w:right w:val="none" w:sz="0" w:space="0" w:color="auto"/>
          </w:divBdr>
        </w:div>
      </w:divsChild>
    </w:div>
    <w:div w:id="1871651370">
      <w:bodyDiv w:val="1"/>
      <w:marLeft w:val="0"/>
      <w:marRight w:val="0"/>
      <w:marTop w:val="0"/>
      <w:marBottom w:val="0"/>
      <w:divBdr>
        <w:top w:val="none" w:sz="0" w:space="0" w:color="auto"/>
        <w:left w:val="none" w:sz="0" w:space="0" w:color="auto"/>
        <w:bottom w:val="none" w:sz="0" w:space="0" w:color="auto"/>
        <w:right w:val="none" w:sz="0" w:space="0" w:color="auto"/>
      </w:divBdr>
      <w:divsChild>
        <w:div w:id="1519198954">
          <w:marLeft w:val="0"/>
          <w:marRight w:val="0"/>
          <w:marTop w:val="0"/>
          <w:marBottom w:val="0"/>
          <w:divBdr>
            <w:top w:val="none" w:sz="0" w:space="0" w:color="auto"/>
            <w:left w:val="none" w:sz="0" w:space="0" w:color="auto"/>
            <w:bottom w:val="none" w:sz="0" w:space="0" w:color="auto"/>
            <w:right w:val="none" w:sz="0" w:space="0" w:color="auto"/>
          </w:divBdr>
        </w:div>
        <w:div w:id="1531256636">
          <w:marLeft w:val="0"/>
          <w:marRight w:val="0"/>
          <w:marTop w:val="0"/>
          <w:marBottom w:val="0"/>
          <w:divBdr>
            <w:top w:val="none" w:sz="0" w:space="0" w:color="auto"/>
            <w:left w:val="none" w:sz="0" w:space="0" w:color="auto"/>
            <w:bottom w:val="none" w:sz="0" w:space="0" w:color="auto"/>
            <w:right w:val="none" w:sz="0" w:space="0" w:color="auto"/>
          </w:divBdr>
        </w:div>
        <w:div w:id="1943343688">
          <w:marLeft w:val="0"/>
          <w:marRight w:val="0"/>
          <w:marTop w:val="0"/>
          <w:marBottom w:val="0"/>
          <w:divBdr>
            <w:top w:val="none" w:sz="0" w:space="0" w:color="auto"/>
            <w:left w:val="none" w:sz="0" w:space="0" w:color="auto"/>
            <w:bottom w:val="none" w:sz="0" w:space="0" w:color="auto"/>
            <w:right w:val="none" w:sz="0" w:space="0" w:color="auto"/>
          </w:divBdr>
        </w:div>
      </w:divsChild>
    </w:div>
    <w:div w:id="1892958203">
      <w:bodyDiv w:val="1"/>
      <w:marLeft w:val="0"/>
      <w:marRight w:val="0"/>
      <w:marTop w:val="0"/>
      <w:marBottom w:val="0"/>
      <w:divBdr>
        <w:top w:val="none" w:sz="0" w:space="0" w:color="auto"/>
        <w:left w:val="none" w:sz="0" w:space="0" w:color="auto"/>
        <w:bottom w:val="none" w:sz="0" w:space="0" w:color="auto"/>
        <w:right w:val="none" w:sz="0" w:space="0" w:color="auto"/>
      </w:divBdr>
    </w:div>
    <w:div w:id="1902248352">
      <w:bodyDiv w:val="1"/>
      <w:marLeft w:val="0"/>
      <w:marRight w:val="0"/>
      <w:marTop w:val="0"/>
      <w:marBottom w:val="0"/>
      <w:divBdr>
        <w:top w:val="none" w:sz="0" w:space="0" w:color="auto"/>
        <w:left w:val="none" w:sz="0" w:space="0" w:color="auto"/>
        <w:bottom w:val="none" w:sz="0" w:space="0" w:color="auto"/>
        <w:right w:val="none" w:sz="0" w:space="0" w:color="auto"/>
      </w:divBdr>
    </w:div>
    <w:div w:id="1930112891">
      <w:bodyDiv w:val="1"/>
      <w:marLeft w:val="0"/>
      <w:marRight w:val="0"/>
      <w:marTop w:val="0"/>
      <w:marBottom w:val="0"/>
      <w:divBdr>
        <w:top w:val="none" w:sz="0" w:space="0" w:color="auto"/>
        <w:left w:val="none" w:sz="0" w:space="0" w:color="auto"/>
        <w:bottom w:val="none" w:sz="0" w:space="0" w:color="auto"/>
        <w:right w:val="none" w:sz="0" w:space="0" w:color="auto"/>
      </w:divBdr>
    </w:div>
    <w:div w:id="1978871685">
      <w:bodyDiv w:val="1"/>
      <w:marLeft w:val="0"/>
      <w:marRight w:val="0"/>
      <w:marTop w:val="0"/>
      <w:marBottom w:val="0"/>
      <w:divBdr>
        <w:top w:val="none" w:sz="0" w:space="0" w:color="auto"/>
        <w:left w:val="none" w:sz="0" w:space="0" w:color="auto"/>
        <w:bottom w:val="none" w:sz="0" w:space="0" w:color="auto"/>
        <w:right w:val="none" w:sz="0" w:space="0" w:color="auto"/>
      </w:divBdr>
    </w:div>
    <w:div w:id="2055499116">
      <w:bodyDiv w:val="1"/>
      <w:marLeft w:val="0"/>
      <w:marRight w:val="0"/>
      <w:marTop w:val="0"/>
      <w:marBottom w:val="0"/>
      <w:divBdr>
        <w:top w:val="none" w:sz="0" w:space="0" w:color="auto"/>
        <w:left w:val="none" w:sz="0" w:space="0" w:color="auto"/>
        <w:bottom w:val="none" w:sz="0" w:space="0" w:color="auto"/>
        <w:right w:val="none" w:sz="0" w:space="0" w:color="auto"/>
      </w:divBdr>
    </w:div>
    <w:div w:id="2096976996">
      <w:bodyDiv w:val="1"/>
      <w:marLeft w:val="0"/>
      <w:marRight w:val="0"/>
      <w:marTop w:val="0"/>
      <w:marBottom w:val="0"/>
      <w:divBdr>
        <w:top w:val="none" w:sz="0" w:space="0" w:color="auto"/>
        <w:left w:val="none" w:sz="0" w:space="0" w:color="auto"/>
        <w:bottom w:val="none" w:sz="0" w:space="0" w:color="auto"/>
        <w:right w:val="none" w:sz="0" w:space="0" w:color="auto"/>
      </w:divBdr>
      <w:divsChild>
        <w:div w:id="2035959786">
          <w:marLeft w:val="0"/>
          <w:marRight w:val="0"/>
          <w:marTop w:val="0"/>
          <w:marBottom w:val="0"/>
          <w:divBdr>
            <w:top w:val="none" w:sz="0" w:space="0" w:color="auto"/>
            <w:left w:val="none" w:sz="0" w:space="0" w:color="auto"/>
            <w:bottom w:val="none" w:sz="0" w:space="0" w:color="auto"/>
            <w:right w:val="none" w:sz="0" w:space="0" w:color="auto"/>
          </w:divBdr>
        </w:div>
      </w:divsChild>
    </w:div>
    <w:div w:id="2107723366">
      <w:bodyDiv w:val="1"/>
      <w:marLeft w:val="0"/>
      <w:marRight w:val="0"/>
      <w:marTop w:val="0"/>
      <w:marBottom w:val="0"/>
      <w:divBdr>
        <w:top w:val="none" w:sz="0" w:space="0" w:color="auto"/>
        <w:left w:val="none" w:sz="0" w:space="0" w:color="auto"/>
        <w:bottom w:val="none" w:sz="0" w:space="0" w:color="auto"/>
        <w:right w:val="none" w:sz="0" w:space="0" w:color="auto"/>
      </w:divBdr>
    </w:div>
    <w:div w:id="2123959644">
      <w:bodyDiv w:val="1"/>
      <w:marLeft w:val="0"/>
      <w:marRight w:val="0"/>
      <w:marTop w:val="0"/>
      <w:marBottom w:val="0"/>
      <w:divBdr>
        <w:top w:val="none" w:sz="0" w:space="0" w:color="auto"/>
        <w:left w:val="none" w:sz="0" w:space="0" w:color="auto"/>
        <w:bottom w:val="none" w:sz="0" w:space="0" w:color="auto"/>
        <w:right w:val="none" w:sz="0" w:space="0" w:color="auto"/>
      </w:divBdr>
      <w:divsChild>
        <w:div w:id="923491551">
          <w:marLeft w:val="0"/>
          <w:marRight w:val="0"/>
          <w:marTop w:val="0"/>
          <w:marBottom w:val="0"/>
          <w:divBdr>
            <w:top w:val="none" w:sz="0" w:space="0" w:color="auto"/>
            <w:left w:val="none" w:sz="0" w:space="0" w:color="auto"/>
            <w:bottom w:val="none" w:sz="0" w:space="0" w:color="auto"/>
            <w:right w:val="none" w:sz="0" w:space="0" w:color="auto"/>
          </w:divBdr>
        </w:div>
        <w:div w:id="206451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ederation.gov.au/sites/default/files/about/agreements/OHS_IGA.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act.gov.au/ni/2025-192/" TargetMode="External"/><Relationship Id="rId2" Type="http://schemas.openxmlformats.org/officeDocument/2006/relationships/hyperlink" Target="https://legislation.act.gov.au/ni/2024-191/" TargetMode="External"/><Relationship Id="rId1" Type="http://schemas.openxmlformats.org/officeDocument/2006/relationships/hyperlink" Target="https://www.legislation.act.gov.au/View/ni/2023-631/current/html/2023-631.html" TargetMode="External"/><Relationship Id="rId5" Type="http://schemas.openxmlformats.org/officeDocument/2006/relationships/hyperlink" Target="https://www.act.gov.au/__data/assets/pdf_file/0008/2618018/Guide-for-framing-offences-April-2010,-version-2.pdf" TargetMode="External"/><Relationship Id="rId4" Type="http://schemas.openxmlformats.org/officeDocument/2006/relationships/hyperlink" Target="https://www.parliament.act.gov.au/__data/assets/pdf_file/0010/380359/07StrictLia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714FF-0763-4AB7-AA06-EEE3A78D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19117</Words>
  <Characters>107408</Characters>
  <Application>Microsoft Office Word</Application>
  <DocSecurity>0</DocSecurity>
  <Lines>2203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2025-10-28T23:46:00Z</dcterms:created>
  <dcterms:modified xsi:type="dcterms:W3CDTF">2025-10-28T23:46:00Z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