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844C"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2F424921" w14:textId="733107B5" w:rsidR="006815C9" w:rsidRDefault="00EA33BA">
      <w:pPr>
        <w:pStyle w:val="Billname"/>
        <w:spacing w:before="700"/>
      </w:pPr>
      <w:r>
        <w:t xml:space="preserve">Planning (General) Amendment Regulation </w:t>
      </w:r>
      <w:r w:rsidRPr="00DC4DA8">
        <w:t>2025</w:t>
      </w:r>
      <w:r w:rsidR="00196559">
        <w:t xml:space="preserve"> (No 1)</w:t>
      </w:r>
    </w:p>
    <w:p w14:paraId="1CFC31A9" w14:textId="50AD83B2" w:rsidR="006815C9" w:rsidRDefault="00F5371D" w:rsidP="00091D34">
      <w:pPr>
        <w:spacing w:before="340"/>
        <w:rPr>
          <w:rFonts w:ascii="Arial" w:hAnsi="Arial" w:cs="Arial"/>
          <w:b/>
          <w:bCs/>
        </w:rPr>
      </w:pPr>
      <w:r>
        <w:rPr>
          <w:rFonts w:ascii="Arial" w:hAnsi="Arial" w:cs="Arial"/>
          <w:b/>
          <w:bCs/>
        </w:rPr>
        <w:t>Subordinate law SL</w:t>
      </w:r>
      <w:r w:rsidR="00EA33BA">
        <w:rPr>
          <w:rFonts w:ascii="Arial" w:hAnsi="Arial" w:cs="Arial"/>
          <w:b/>
          <w:bCs/>
        </w:rPr>
        <w:t>2025</w:t>
      </w:r>
      <w:r w:rsidR="006815C9">
        <w:rPr>
          <w:rFonts w:ascii="Arial" w:hAnsi="Arial" w:cs="Arial"/>
          <w:b/>
          <w:bCs/>
        </w:rPr>
        <w:t>–</w:t>
      </w:r>
      <w:r w:rsidR="009A43A4">
        <w:rPr>
          <w:rFonts w:ascii="Arial" w:hAnsi="Arial" w:cs="Arial"/>
          <w:b/>
          <w:bCs/>
        </w:rPr>
        <w:t>18</w:t>
      </w:r>
    </w:p>
    <w:p w14:paraId="1209DC7D" w14:textId="4E931DC1" w:rsidR="006815C9" w:rsidRDefault="006815C9" w:rsidP="00091D34">
      <w:pPr>
        <w:pStyle w:val="madeunder"/>
        <w:spacing w:before="300" w:after="0"/>
      </w:pPr>
      <w:r>
        <w:t>made under the</w:t>
      </w:r>
      <w:r w:rsidR="00EA33BA">
        <w:t xml:space="preserve"> </w:t>
      </w:r>
    </w:p>
    <w:p w14:paraId="1F5C74D0" w14:textId="716CB9A4" w:rsidR="006815C9" w:rsidRDefault="00EA33BA" w:rsidP="00091D34">
      <w:pPr>
        <w:pStyle w:val="CoverActName"/>
        <w:spacing w:before="320" w:after="0"/>
        <w:rPr>
          <w:rFonts w:cs="Arial"/>
          <w:sz w:val="20"/>
        </w:rPr>
      </w:pPr>
      <w:r>
        <w:rPr>
          <w:rFonts w:cs="Arial"/>
          <w:sz w:val="20"/>
        </w:rPr>
        <w:t>Planning Act 2023</w:t>
      </w:r>
      <w:r w:rsidR="006815C9">
        <w:rPr>
          <w:rFonts w:cs="Arial"/>
          <w:sz w:val="20"/>
        </w:rPr>
        <w:t xml:space="preserve">, </w:t>
      </w:r>
      <w:r>
        <w:rPr>
          <w:rFonts w:cs="Arial"/>
          <w:sz w:val="20"/>
        </w:rPr>
        <w:t xml:space="preserve">s </w:t>
      </w:r>
      <w:r w:rsidR="00A10F8A">
        <w:rPr>
          <w:rFonts w:cs="Arial"/>
          <w:sz w:val="20"/>
        </w:rPr>
        <w:t xml:space="preserve">523 </w:t>
      </w:r>
      <w:r w:rsidR="006815C9">
        <w:rPr>
          <w:rFonts w:cs="Arial"/>
          <w:sz w:val="20"/>
        </w:rPr>
        <w:t>(</w:t>
      </w:r>
      <w:r w:rsidR="00A10F8A">
        <w:rPr>
          <w:rFonts w:cs="Arial"/>
          <w:sz w:val="20"/>
        </w:rPr>
        <w:t>Regulation-making power</w:t>
      </w:r>
      <w:r w:rsidR="006815C9">
        <w:rPr>
          <w:rFonts w:cs="Arial"/>
          <w:sz w:val="20"/>
        </w:rPr>
        <w:t>)</w:t>
      </w:r>
    </w:p>
    <w:p w14:paraId="38FA1B64"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6DF99E45" w14:textId="77777777" w:rsidR="006815C9" w:rsidRDefault="006815C9">
      <w:pPr>
        <w:pStyle w:val="N-line3"/>
        <w:pBdr>
          <w:bottom w:val="none" w:sz="0" w:space="0" w:color="auto"/>
        </w:pBdr>
      </w:pPr>
    </w:p>
    <w:p w14:paraId="1C39C032" w14:textId="77777777" w:rsidR="006815C9" w:rsidRDefault="006815C9">
      <w:pPr>
        <w:pStyle w:val="N-line3"/>
        <w:pBdr>
          <w:top w:val="single" w:sz="12" w:space="1" w:color="auto"/>
          <w:bottom w:val="none" w:sz="0" w:space="0" w:color="auto"/>
        </w:pBdr>
      </w:pPr>
    </w:p>
    <w:p w14:paraId="1AB664FB" w14:textId="28FB7CB5" w:rsidR="002F591F" w:rsidRDefault="00EA33BA" w:rsidP="00EA33BA">
      <w:r>
        <w:t xml:space="preserve">This explanatory statement relates to the </w:t>
      </w:r>
      <w:r w:rsidRPr="004B163E">
        <w:rPr>
          <w:i/>
          <w:iCs/>
        </w:rPr>
        <w:t>Planning (General) Amendment Regulation 2025</w:t>
      </w:r>
      <w:r w:rsidR="00196559">
        <w:rPr>
          <w:i/>
          <w:iCs/>
        </w:rPr>
        <w:t xml:space="preserve"> (No 1)</w:t>
      </w:r>
      <w:r>
        <w:t xml:space="preserve"> (the </w:t>
      </w:r>
      <w:r w:rsidRPr="00EA33BA">
        <w:rPr>
          <w:b/>
          <w:bCs/>
          <w:i/>
          <w:iCs/>
        </w:rPr>
        <w:t>regulation</w:t>
      </w:r>
      <w:r>
        <w:t xml:space="preserve">) as made by the </w:t>
      </w:r>
      <w:r w:rsidR="002F591F">
        <w:t xml:space="preserve">Executive. </w:t>
      </w:r>
      <w:r w:rsidR="00A012CA">
        <w:t>I</w:t>
      </w:r>
      <w:r w:rsidR="002F591F">
        <w:t xml:space="preserve">t has been prepared to assist the reader of the regulation. It does not form part of the regulation and has not </w:t>
      </w:r>
      <w:r w:rsidR="00A012CA">
        <w:t>b</w:t>
      </w:r>
      <w:r w:rsidR="002F591F">
        <w:t>een endorsed by the Legislative Assembly.</w:t>
      </w:r>
    </w:p>
    <w:p w14:paraId="5E5B52AE" w14:textId="35F09F46" w:rsidR="00EA33BA" w:rsidRPr="00EA33BA" w:rsidRDefault="00EA33BA" w:rsidP="00EA33BA"/>
    <w:bookmarkEnd w:id="0"/>
    <w:p w14:paraId="41F5F112" w14:textId="77777777" w:rsidR="002F591F" w:rsidRDefault="002F591F" w:rsidP="002F591F">
      <w:pPr>
        <w:pStyle w:val="NormalWeb"/>
        <w:shd w:val="clear" w:color="auto" w:fill="FFFFFF"/>
        <w:spacing w:before="0" w:beforeAutospacing="0" w:after="0" w:afterAutospacing="0"/>
        <w:rPr>
          <w:color w:val="000000"/>
        </w:rPr>
      </w:pPr>
      <w:r>
        <w:rPr>
          <w:rStyle w:val="ui-provider"/>
          <w:color w:val="000000"/>
        </w:rPr>
        <w:t>This statement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132E2166" w14:textId="6B1B0D4E" w:rsidR="002F591F" w:rsidRDefault="002F591F" w:rsidP="002F591F">
      <w:pPr>
        <w:pStyle w:val="NormalWeb"/>
        <w:shd w:val="clear" w:color="auto" w:fill="FFFFFF"/>
        <w:spacing w:before="0" w:beforeAutospacing="0" w:after="0" w:afterAutospacing="0"/>
        <w:rPr>
          <w:color w:val="000000"/>
        </w:rPr>
      </w:pPr>
    </w:p>
    <w:p w14:paraId="5D668F0A" w14:textId="0B524FE0" w:rsidR="002F591F" w:rsidRPr="004B163E" w:rsidRDefault="002F591F" w:rsidP="002F591F">
      <w:pPr>
        <w:pStyle w:val="NormalWeb"/>
        <w:shd w:val="clear" w:color="auto" w:fill="FFFFFF"/>
        <w:spacing w:before="0" w:beforeAutospacing="0" w:after="0" w:afterAutospacing="0"/>
        <w:rPr>
          <w:b/>
          <w:bCs/>
          <w:color w:val="000000"/>
        </w:rPr>
      </w:pPr>
      <w:r w:rsidRPr="004B163E">
        <w:rPr>
          <w:b/>
          <w:bCs/>
          <w:color w:val="000000"/>
        </w:rPr>
        <w:t>OVERVIEW</w:t>
      </w:r>
    </w:p>
    <w:p w14:paraId="7448FDDF" w14:textId="0CCBFB8F" w:rsidR="002F591F" w:rsidRDefault="002F591F" w:rsidP="002F591F">
      <w:pPr>
        <w:pStyle w:val="NormalWeb"/>
        <w:shd w:val="clear" w:color="auto" w:fill="FFFFFF"/>
        <w:spacing w:before="0" w:beforeAutospacing="0" w:after="0" w:afterAutospacing="0"/>
        <w:rPr>
          <w:color w:val="000000"/>
        </w:rPr>
      </w:pPr>
      <w:r>
        <w:rPr>
          <w:color w:val="000000"/>
        </w:rPr>
        <w:t xml:space="preserve">This regulation is made under section </w:t>
      </w:r>
      <w:r w:rsidR="000F1786">
        <w:rPr>
          <w:color w:val="000000"/>
        </w:rPr>
        <w:t>523</w:t>
      </w:r>
      <w:r>
        <w:rPr>
          <w:color w:val="000000"/>
        </w:rPr>
        <w:t xml:space="preserve"> of the </w:t>
      </w:r>
      <w:r w:rsidRPr="002F591F">
        <w:rPr>
          <w:i/>
          <w:iCs/>
          <w:color w:val="000000"/>
        </w:rPr>
        <w:t>Planning Act 2023</w:t>
      </w:r>
      <w:r>
        <w:rPr>
          <w:color w:val="000000"/>
        </w:rPr>
        <w:t xml:space="preserve"> (the </w:t>
      </w:r>
      <w:r w:rsidRPr="002F591F">
        <w:rPr>
          <w:b/>
          <w:bCs/>
          <w:i/>
          <w:iCs/>
          <w:color w:val="000000"/>
        </w:rPr>
        <w:t>Act</w:t>
      </w:r>
      <w:r>
        <w:rPr>
          <w:color w:val="000000"/>
        </w:rPr>
        <w:t>)</w:t>
      </w:r>
      <w:r w:rsidR="006A59EF">
        <w:rPr>
          <w:color w:val="000000"/>
        </w:rPr>
        <w:t xml:space="preserve"> to prescribe additional community uses for the purposes of s 291 of the Act</w:t>
      </w:r>
      <w:r>
        <w:rPr>
          <w:color w:val="000000"/>
        </w:rPr>
        <w:t>.</w:t>
      </w:r>
    </w:p>
    <w:p w14:paraId="4D05E989" w14:textId="415D4EFE" w:rsidR="002F591F" w:rsidRDefault="002F591F" w:rsidP="002F591F">
      <w:pPr>
        <w:pStyle w:val="NormalWeb"/>
        <w:shd w:val="clear" w:color="auto" w:fill="FFFFFF"/>
        <w:spacing w:before="0" w:beforeAutospacing="0" w:after="0" w:afterAutospacing="0"/>
        <w:rPr>
          <w:color w:val="000000"/>
        </w:rPr>
      </w:pPr>
    </w:p>
    <w:p w14:paraId="3310B48F" w14:textId="708CDB04" w:rsidR="00A3696A" w:rsidRDefault="002F591F" w:rsidP="002F591F">
      <w:pPr>
        <w:pStyle w:val="NormalWeb"/>
        <w:shd w:val="clear" w:color="auto" w:fill="FFFFFF"/>
        <w:spacing w:before="0" w:beforeAutospacing="0" w:after="0" w:afterAutospacing="0"/>
        <w:rPr>
          <w:color w:val="000000"/>
        </w:rPr>
      </w:pPr>
      <w:r>
        <w:rPr>
          <w:color w:val="000000"/>
        </w:rPr>
        <w:t xml:space="preserve">The </w:t>
      </w:r>
      <w:r w:rsidR="00A012CA">
        <w:rPr>
          <w:color w:val="000000"/>
        </w:rPr>
        <w:t xml:space="preserve">Act </w:t>
      </w:r>
      <w:r>
        <w:rPr>
          <w:color w:val="000000"/>
        </w:rPr>
        <w:t>establishe</w:t>
      </w:r>
      <w:r w:rsidR="004F7500">
        <w:rPr>
          <w:color w:val="000000"/>
        </w:rPr>
        <w:t>s</w:t>
      </w:r>
      <w:r>
        <w:rPr>
          <w:color w:val="000000"/>
        </w:rPr>
        <w:t xml:space="preserve"> the framework for the grant of a </w:t>
      </w:r>
      <w:r w:rsidR="00A012CA">
        <w:rPr>
          <w:color w:val="000000"/>
        </w:rPr>
        <w:t>c</w:t>
      </w:r>
      <w:r w:rsidRPr="004B163E">
        <w:rPr>
          <w:color w:val="000000"/>
        </w:rPr>
        <w:t xml:space="preserve">ommunity </w:t>
      </w:r>
      <w:r w:rsidR="00A012CA">
        <w:rPr>
          <w:color w:val="000000"/>
        </w:rPr>
        <w:t>l</w:t>
      </w:r>
      <w:r w:rsidRPr="004B163E">
        <w:rPr>
          <w:color w:val="000000"/>
        </w:rPr>
        <w:t>ease</w:t>
      </w:r>
      <w:r>
        <w:rPr>
          <w:color w:val="000000"/>
        </w:rPr>
        <w:t xml:space="preserve">. </w:t>
      </w:r>
      <w:r w:rsidR="00A012CA">
        <w:rPr>
          <w:color w:val="000000"/>
        </w:rPr>
        <w:t>Section</w:t>
      </w:r>
      <w:r w:rsidR="00A3696A">
        <w:rPr>
          <w:color w:val="000000"/>
        </w:rPr>
        <w:t> </w:t>
      </w:r>
      <w:r w:rsidR="00A012CA">
        <w:rPr>
          <w:color w:val="000000"/>
        </w:rPr>
        <w:t xml:space="preserve">291 (1) of the Act provides </w:t>
      </w:r>
      <w:r w:rsidR="000F1786">
        <w:rPr>
          <w:color w:val="000000"/>
        </w:rPr>
        <w:t xml:space="preserve">a definition of </w:t>
      </w:r>
      <w:r w:rsidR="00A012CA" w:rsidRPr="004B163E">
        <w:rPr>
          <w:color w:val="000000"/>
        </w:rPr>
        <w:t>c</w:t>
      </w:r>
      <w:r w:rsidRPr="004B163E">
        <w:rPr>
          <w:color w:val="000000"/>
        </w:rPr>
        <w:t xml:space="preserve">ommunity </w:t>
      </w:r>
      <w:r w:rsidR="00A012CA" w:rsidRPr="004B163E">
        <w:rPr>
          <w:color w:val="000000"/>
        </w:rPr>
        <w:t>l</w:t>
      </w:r>
      <w:r w:rsidRPr="004B163E">
        <w:rPr>
          <w:color w:val="000000"/>
        </w:rPr>
        <w:t>ease</w:t>
      </w:r>
      <w:r>
        <w:rPr>
          <w:color w:val="000000"/>
        </w:rPr>
        <w:t xml:space="preserve"> </w:t>
      </w:r>
      <w:r w:rsidR="000F1786">
        <w:rPr>
          <w:color w:val="000000"/>
        </w:rPr>
        <w:t>to mean</w:t>
      </w:r>
      <w:r w:rsidR="00A012CA">
        <w:rPr>
          <w:color w:val="000000"/>
        </w:rPr>
        <w:t xml:space="preserve"> </w:t>
      </w:r>
      <w:r>
        <w:rPr>
          <w:color w:val="000000"/>
        </w:rPr>
        <w:t xml:space="preserve">a concessional lease granted to a community organisation </w:t>
      </w:r>
      <w:r w:rsidR="004F7500">
        <w:rPr>
          <w:color w:val="000000"/>
        </w:rPr>
        <w:t>for 1 or more community lease uses.</w:t>
      </w:r>
      <w:r w:rsidR="000F1786">
        <w:rPr>
          <w:color w:val="000000"/>
        </w:rPr>
        <w:t xml:space="preserve"> Section 291 (1) also provides a definition of community lease use</w:t>
      </w:r>
      <w:r w:rsidR="006A59EF">
        <w:rPr>
          <w:color w:val="000000"/>
        </w:rPr>
        <w:t xml:space="preserve"> to mean a list of community uses, and permits additional community uses to be prescribed by regulation</w:t>
      </w:r>
      <w:r w:rsidR="000F1786">
        <w:rPr>
          <w:color w:val="000000"/>
        </w:rPr>
        <w:t>.</w:t>
      </w:r>
    </w:p>
    <w:p w14:paraId="3CA03CE5" w14:textId="77777777" w:rsidR="008030A9" w:rsidRDefault="008030A9" w:rsidP="002F591F">
      <w:pPr>
        <w:pStyle w:val="NormalWeb"/>
        <w:shd w:val="clear" w:color="auto" w:fill="FFFFFF"/>
        <w:spacing w:before="0" w:beforeAutospacing="0" w:after="0" w:afterAutospacing="0"/>
        <w:rPr>
          <w:color w:val="000000"/>
        </w:rPr>
      </w:pPr>
    </w:p>
    <w:p w14:paraId="7FD23726" w14:textId="38519C15" w:rsidR="00FD0EA8" w:rsidRDefault="008030A9" w:rsidP="002F591F">
      <w:pPr>
        <w:pStyle w:val="NormalWeb"/>
        <w:shd w:val="clear" w:color="auto" w:fill="FFFFFF"/>
        <w:spacing w:before="0" w:beforeAutospacing="0" w:after="0" w:afterAutospacing="0"/>
        <w:rPr>
          <w:color w:val="000000"/>
        </w:rPr>
      </w:pPr>
      <w:r>
        <w:rPr>
          <w:color w:val="000000"/>
        </w:rPr>
        <w:t>The regulation supports the grant of a concessional lease to community organisations for a broader range of community uses. It reinstates the policy framework previously embedded in legislation, which enabled concessional land to be made available to community, charitable and welfare organisations for diverse purposes that benefit the public. The regulation aims to create an inclusive and flexible framework for the Government and the not-for-profit sector to deliver social and community services across the Territory.</w:t>
      </w:r>
    </w:p>
    <w:p w14:paraId="46756D67" w14:textId="02CF771F" w:rsidR="00DC4DA8" w:rsidRDefault="00DC4DA8" w:rsidP="00F4223C">
      <w:pPr>
        <w:pStyle w:val="ListParagraph"/>
        <w:ind w:left="0"/>
        <w:jc w:val="both"/>
      </w:pPr>
    </w:p>
    <w:p w14:paraId="4F22AF80" w14:textId="530EF7F4" w:rsidR="00006ADA" w:rsidRPr="008B3360" w:rsidRDefault="00006ADA" w:rsidP="008B3360">
      <w:pPr>
        <w:rPr>
          <w:b/>
          <w:bCs/>
          <w:color w:val="000000"/>
          <w:shd w:val="clear" w:color="auto" w:fill="FFFFFF"/>
        </w:rPr>
      </w:pPr>
      <w:r w:rsidRPr="008B3360">
        <w:rPr>
          <w:b/>
          <w:bCs/>
          <w:color w:val="000000"/>
          <w:shd w:val="clear" w:color="auto" w:fill="FFFFFF"/>
        </w:rPr>
        <w:t>CONSULTATION ON THE PROPOSED APPROACH</w:t>
      </w:r>
    </w:p>
    <w:p w14:paraId="494DD2B3" w14:textId="4F15281C" w:rsidR="00646981" w:rsidRDefault="00BB62BD" w:rsidP="008B3360">
      <w:pPr>
        <w:rPr>
          <w:color w:val="000000"/>
          <w:szCs w:val="24"/>
          <w:lang w:eastAsia="en-AU"/>
        </w:rPr>
      </w:pPr>
      <w:r>
        <w:rPr>
          <w:color w:val="000000"/>
          <w:szCs w:val="24"/>
          <w:lang w:eastAsia="en-AU"/>
        </w:rPr>
        <w:t xml:space="preserve">In developing the </w:t>
      </w:r>
      <w:r w:rsidR="00D04D2A">
        <w:rPr>
          <w:color w:val="000000"/>
          <w:szCs w:val="24"/>
          <w:lang w:eastAsia="en-AU"/>
        </w:rPr>
        <w:t>regulation,</w:t>
      </w:r>
      <w:r>
        <w:rPr>
          <w:color w:val="000000"/>
          <w:szCs w:val="24"/>
          <w:lang w:eastAsia="en-AU"/>
        </w:rPr>
        <w:t xml:space="preserve"> </w:t>
      </w:r>
      <w:r w:rsidR="00DD5BCD">
        <w:rPr>
          <w:color w:val="000000"/>
          <w:szCs w:val="24"/>
          <w:lang w:eastAsia="en-AU"/>
        </w:rPr>
        <w:t xml:space="preserve">the Health and Community Services Directorate, </w:t>
      </w:r>
      <w:r w:rsidR="00F4223C">
        <w:rPr>
          <w:color w:val="000000"/>
          <w:szCs w:val="24"/>
          <w:lang w:eastAsia="en-AU"/>
        </w:rPr>
        <w:t xml:space="preserve">the </w:t>
      </w:r>
      <w:r w:rsidR="00DD5BCD">
        <w:rPr>
          <w:color w:val="000000"/>
          <w:szCs w:val="24"/>
          <w:lang w:eastAsia="en-AU"/>
        </w:rPr>
        <w:t>Chief Minister, Treasury and Economic Development Directorate</w:t>
      </w:r>
      <w:r w:rsidR="00F4223C">
        <w:rPr>
          <w:color w:val="000000"/>
          <w:szCs w:val="24"/>
          <w:lang w:eastAsia="en-AU"/>
        </w:rPr>
        <w:t>,</w:t>
      </w:r>
      <w:r w:rsidR="00DD5BCD">
        <w:rPr>
          <w:color w:val="000000"/>
          <w:szCs w:val="24"/>
          <w:lang w:eastAsia="en-AU"/>
        </w:rPr>
        <w:t xml:space="preserve"> and the Territory </w:t>
      </w:r>
      <w:r w:rsidR="00DD5BCD">
        <w:rPr>
          <w:color w:val="000000"/>
          <w:szCs w:val="24"/>
          <w:lang w:eastAsia="en-AU"/>
        </w:rPr>
        <w:lastRenderedPageBreak/>
        <w:t>Planning Authority were consulted. Internal consultation was also undertaken within the City and Environment Directorate.</w:t>
      </w:r>
    </w:p>
    <w:p w14:paraId="760AB079" w14:textId="77777777" w:rsidR="00D903A1" w:rsidRDefault="00D903A1" w:rsidP="008B3360">
      <w:pPr>
        <w:rPr>
          <w:b/>
          <w:bCs/>
          <w:color w:val="000000"/>
          <w:szCs w:val="24"/>
          <w:lang w:eastAsia="en-AU"/>
        </w:rPr>
      </w:pPr>
    </w:p>
    <w:p w14:paraId="3B4A9975" w14:textId="106115E3" w:rsidR="00646981" w:rsidRPr="004B163E" w:rsidRDefault="00D903A1" w:rsidP="008B3360">
      <w:pPr>
        <w:rPr>
          <w:b/>
          <w:bCs/>
          <w:color w:val="000000"/>
          <w:szCs w:val="24"/>
          <w:lang w:eastAsia="en-AU"/>
        </w:rPr>
      </w:pPr>
      <w:r>
        <w:rPr>
          <w:b/>
          <w:bCs/>
          <w:color w:val="000000"/>
          <w:szCs w:val="24"/>
          <w:lang w:eastAsia="en-AU"/>
        </w:rPr>
        <w:t>CLI</w:t>
      </w:r>
      <w:r w:rsidR="00D04D2A" w:rsidRPr="004B163E">
        <w:rPr>
          <w:b/>
          <w:bCs/>
          <w:color w:val="000000"/>
          <w:szCs w:val="24"/>
          <w:lang w:eastAsia="en-AU"/>
        </w:rPr>
        <w:t>MATE IMPACT</w:t>
      </w:r>
    </w:p>
    <w:p w14:paraId="0B294E05" w14:textId="58E9E384" w:rsidR="00D04D2A" w:rsidRDefault="00D04D2A" w:rsidP="008B3360">
      <w:pPr>
        <w:rPr>
          <w:color w:val="000000"/>
          <w:szCs w:val="24"/>
          <w:lang w:eastAsia="en-AU"/>
        </w:rPr>
      </w:pPr>
      <w:r>
        <w:rPr>
          <w:color w:val="000000"/>
          <w:szCs w:val="24"/>
          <w:lang w:eastAsia="en-AU"/>
        </w:rPr>
        <w:t>There are no climate change impacts arising from the regulation.</w:t>
      </w:r>
    </w:p>
    <w:p w14:paraId="180A044B" w14:textId="77777777" w:rsidR="00D04D2A" w:rsidRPr="008B3360" w:rsidRDefault="00D04D2A" w:rsidP="008B3360">
      <w:pPr>
        <w:rPr>
          <w:color w:val="000000"/>
          <w:szCs w:val="24"/>
          <w:lang w:eastAsia="en-AU"/>
        </w:rPr>
      </w:pPr>
    </w:p>
    <w:p w14:paraId="23F699B5" w14:textId="27913D30" w:rsidR="005438F1" w:rsidRDefault="005438F1" w:rsidP="005438F1">
      <w:pPr>
        <w:pStyle w:val="NormalWeb"/>
        <w:shd w:val="clear" w:color="auto" w:fill="FFFFFF"/>
        <w:spacing w:before="0" w:beforeAutospacing="0" w:after="0" w:afterAutospacing="0"/>
        <w:rPr>
          <w:color w:val="000000"/>
        </w:rPr>
      </w:pPr>
      <w:r>
        <w:rPr>
          <w:b/>
          <w:bCs/>
          <w:color w:val="000000"/>
        </w:rPr>
        <w:t>REGULATORY IMPACT STATEMENT</w:t>
      </w:r>
      <w:r w:rsidR="00D04D2A">
        <w:rPr>
          <w:b/>
          <w:bCs/>
          <w:color w:val="000000"/>
        </w:rPr>
        <w:t xml:space="preserve"> (RIS)</w:t>
      </w:r>
    </w:p>
    <w:p w14:paraId="46738B39" w14:textId="647A2B7F" w:rsidR="005438F1" w:rsidRDefault="005438F1" w:rsidP="005438F1">
      <w:pPr>
        <w:pStyle w:val="NormalWeb"/>
        <w:shd w:val="clear" w:color="auto" w:fill="FFFFFF"/>
        <w:spacing w:before="0" w:beforeAutospacing="0" w:after="0" w:afterAutospacing="0"/>
        <w:rPr>
          <w:color w:val="000000"/>
        </w:rPr>
      </w:pPr>
      <w:r>
        <w:rPr>
          <w:color w:val="000000"/>
        </w:rPr>
        <w:t xml:space="preserve">Section 34 of </w:t>
      </w:r>
      <w:r w:rsidRPr="004A220C">
        <w:rPr>
          <w:rStyle w:val="Strong1"/>
          <w:i/>
          <w:iCs/>
          <w:color w:val="000000"/>
        </w:rPr>
        <w:t>Legislation Act</w:t>
      </w:r>
      <w:r w:rsidR="00906852">
        <w:rPr>
          <w:rStyle w:val="Strong1"/>
          <w:i/>
          <w:iCs/>
          <w:color w:val="000000"/>
        </w:rPr>
        <w:t xml:space="preserve"> 2001</w:t>
      </w:r>
      <w:r w:rsidRPr="004A220C">
        <w:rPr>
          <w:color w:val="000000"/>
        </w:rPr>
        <w:t xml:space="preserve"> </w:t>
      </w:r>
      <w:r w:rsidR="007B459D">
        <w:rPr>
          <w:color w:val="000000"/>
        </w:rPr>
        <w:t xml:space="preserve">(the </w:t>
      </w:r>
      <w:r w:rsidR="007B459D" w:rsidRPr="004B163E">
        <w:rPr>
          <w:b/>
          <w:bCs/>
          <w:i/>
          <w:iCs/>
          <w:color w:val="000000"/>
        </w:rPr>
        <w:t>Legislation Act</w:t>
      </w:r>
      <w:r w:rsidR="007B459D">
        <w:rPr>
          <w:color w:val="000000"/>
        </w:rPr>
        <w:t xml:space="preserve">) </w:t>
      </w:r>
      <w:r w:rsidRPr="004A220C">
        <w:rPr>
          <w:color w:val="000000"/>
        </w:rPr>
        <w:t>provides</w:t>
      </w:r>
      <w:r>
        <w:rPr>
          <w:color w:val="000000"/>
        </w:rPr>
        <w:t xml:space="preserve"> that if a proposed subordinate law or disallowable instrument (the</w:t>
      </w:r>
      <w:r w:rsidR="004A220C">
        <w:rPr>
          <w:color w:val="000000"/>
        </w:rPr>
        <w:t xml:space="preserve"> </w:t>
      </w:r>
      <w:r>
        <w:rPr>
          <w:rStyle w:val="Strong1"/>
          <w:b/>
          <w:bCs/>
          <w:i/>
          <w:iCs/>
          <w:color w:val="000000"/>
        </w:rPr>
        <w:t>proposed law</w:t>
      </w:r>
      <w:r>
        <w:rPr>
          <w:color w:val="000000"/>
        </w:rPr>
        <w:t>) is likely to impose appreciable costs on the community, or a part of the community, then, before the proposed law is made, the Minister administering the authorising law must arrange for a regulatory impact statement to be prepared for the proposed law.</w:t>
      </w:r>
    </w:p>
    <w:p w14:paraId="614CFDEE" w14:textId="77777777" w:rsidR="005438F1" w:rsidRDefault="005438F1" w:rsidP="005438F1">
      <w:pPr>
        <w:rPr>
          <w:color w:val="000000"/>
        </w:rPr>
      </w:pPr>
    </w:p>
    <w:p w14:paraId="4CD2CEE8" w14:textId="5E37BBED" w:rsidR="005438F1" w:rsidRDefault="005438F1" w:rsidP="005438F1">
      <w:r w:rsidRPr="005438F1">
        <w:rPr>
          <w:color w:val="000000"/>
        </w:rPr>
        <w:t xml:space="preserve">A RIS is not required </w:t>
      </w:r>
      <w:r w:rsidR="00D04D2A">
        <w:rPr>
          <w:color w:val="000000"/>
        </w:rPr>
        <w:t xml:space="preserve">as the </w:t>
      </w:r>
      <w:r w:rsidR="007B459D">
        <w:rPr>
          <w:color w:val="000000"/>
        </w:rPr>
        <w:t>proposed law</w:t>
      </w:r>
      <w:r w:rsidRPr="005438F1">
        <w:rPr>
          <w:color w:val="000000"/>
        </w:rPr>
        <w:t xml:space="preserve"> </w:t>
      </w:r>
      <w:r w:rsidR="00D04D2A">
        <w:rPr>
          <w:color w:val="000000"/>
        </w:rPr>
        <w:t xml:space="preserve">does not impose </w:t>
      </w:r>
      <w:r w:rsidR="007A77A8">
        <w:rPr>
          <w:color w:val="000000"/>
        </w:rPr>
        <w:t xml:space="preserve">any </w:t>
      </w:r>
      <w:r>
        <w:t>appreciable cost</w:t>
      </w:r>
      <w:r w:rsidR="007A77A8">
        <w:t>s</w:t>
      </w:r>
      <w:r>
        <w:t xml:space="preserve"> on the community</w:t>
      </w:r>
      <w:r w:rsidR="00D04D2A">
        <w:t>,</w:t>
      </w:r>
      <w:r>
        <w:t xml:space="preserve"> or </w:t>
      </w:r>
      <w:r w:rsidR="00D04D2A">
        <w:t xml:space="preserve">part of the community under section 34 (1) of the </w:t>
      </w:r>
      <w:r w:rsidR="00D04D2A" w:rsidRPr="007B459D">
        <w:t>Legislation Act</w:t>
      </w:r>
      <w:r w:rsidR="00D04D2A">
        <w:t>.</w:t>
      </w:r>
    </w:p>
    <w:p w14:paraId="1974FEE4" w14:textId="77777777" w:rsidR="005438F1" w:rsidRDefault="005438F1" w:rsidP="005438F1"/>
    <w:p w14:paraId="5B63F884" w14:textId="77777777" w:rsidR="005438F1" w:rsidRDefault="005438F1" w:rsidP="005438F1">
      <w:pPr>
        <w:pStyle w:val="NormalWeb"/>
        <w:shd w:val="clear" w:color="auto" w:fill="FFFFFF"/>
        <w:spacing w:before="0" w:beforeAutospacing="0" w:after="0" w:afterAutospacing="0"/>
        <w:rPr>
          <w:color w:val="000000"/>
        </w:rPr>
      </w:pPr>
      <w:r>
        <w:rPr>
          <w:b/>
          <w:bCs/>
          <w:color w:val="000000"/>
        </w:rPr>
        <w:t>CONSISTENCY WITH HUMAN RIGHTS</w:t>
      </w:r>
    </w:p>
    <w:p w14:paraId="045FE50B" w14:textId="42586168" w:rsidR="00777F79" w:rsidRDefault="00777F79" w:rsidP="005438F1">
      <w:pPr>
        <w:pStyle w:val="NormalWeb"/>
        <w:shd w:val="clear" w:color="auto" w:fill="FFFFFF"/>
        <w:spacing w:before="0" w:beforeAutospacing="0" w:after="0" w:afterAutospacing="0"/>
        <w:rPr>
          <w:color w:val="000000"/>
        </w:rPr>
      </w:pPr>
      <w:r>
        <w:rPr>
          <w:color w:val="000000"/>
        </w:rPr>
        <w:t xml:space="preserve">During the development of the regulation due regard was given to </w:t>
      </w:r>
      <w:r w:rsidR="00BC2389">
        <w:rPr>
          <w:color w:val="000000"/>
        </w:rPr>
        <w:t xml:space="preserve">its </w:t>
      </w:r>
      <w:r>
        <w:rPr>
          <w:color w:val="000000"/>
        </w:rPr>
        <w:t xml:space="preserve">engagement </w:t>
      </w:r>
      <w:r w:rsidR="00BC2389">
        <w:rPr>
          <w:color w:val="000000"/>
        </w:rPr>
        <w:t>with</w:t>
      </w:r>
      <w:r>
        <w:rPr>
          <w:color w:val="000000"/>
        </w:rPr>
        <w:t xml:space="preserve"> rights under the </w:t>
      </w:r>
      <w:r w:rsidRPr="004B163E">
        <w:rPr>
          <w:i/>
          <w:iCs/>
          <w:color w:val="000000"/>
        </w:rPr>
        <w:t>Human Rights Act 2004</w:t>
      </w:r>
      <w:r w:rsidR="00906852">
        <w:rPr>
          <w:color w:val="000000"/>
        </w:rPr>
        <w:t xml:space="preserve"> (the </w:t>
      </w:r>
      <w:r w:rsidR="00906852" w:rsidRPr="004B163E">
        <w:rPr>
          <w:b/>
          <w:bCs/>
          <w:i/>
          <w:iCs/>
          <w:color w:val="000000"/>
        </w:rPr>
        <w:t>HR Act</w:t>
      </w:r>
      <w:r w:rsidR="00906852">
        <w:rPr>
          <w:color w:val="000000"/>
        </w:rPr>
        <w:t>)</w:t>
      </w:r>
      <w:r>
        <w:rPr>
          <w:color w:val="000000"/>
        </w:rPr>
        <w:t xml:space="preserve">. </w:t>
      </w:r>
      <w:r w:rsidR="00BC2389">
        <w:rPr>
          <w:color w:val="000000"/>
        </w:rPr>
        <w:t>The regulation does not engage an individual’s human rights</w:t>
      </w:r>
      <w:r w:rsidR="00906852">
        <w:rPr>
          <w:color w:val="000000"/>
        </w:rPr>
        <w:t xml:space="preserve"> under the HR Act</w:t>
      </w:r>
      <w:r w:rsidR="00BC2389">
        <w:rPr>
          <w:color w:val="000000"/>
        </w:rPr>
        <w:t>.</w:t>
      </w:r>
    </w:p>
    <w:p w14:paraId="51FE0D45" w14:textId="77777777" w:rsidR="005438F1" w:rsidRDefault="005438F1" w:rsidP="005438F1"/>
    <w:p w14:paraId="71D9BF18" w14:textId="3CD3F3F8" w:rsidR="007B459D" w:rsidRPr="004B163E" w:rsidRDefault="007B459D" w:rsidP="005438F1">
      <w:pPr>
        <w:rPr>
          <w:b/>
          <w:bCs/>
        </w:rPr>
      </w:pPr>
      <w:r w:rsidRPr="004B163E">
        <w:rPr>
          <w:b/>
          <w:bCs/>
        </w:rPr>
        <w:t>SCRUTINY COMMITTEE PRINCIPLES</w:t>
      </w:r>
    </w:p>
    <w:p w14:paraId="5F0A7316" w14:textId="5B9DF37D" w:rsidR="007B459D" w:rsidRDefault="007B459D" w:rsidP="005438F1">
      <w:r>
        <w:t>This regulation has been developed in accordance with the Standing Committee for Legal Affairs (Legislative Scrutiny Role) terms of reference</w:t>
      </w:r>
      <w:r w:rsidR="00906852">
        <w:t>, principles and technical and stylistic standards expected by the Assembly.</w:t>
      </w:r>
    </w:p>
    <w:p w14:paraId="112EF757" w14:textId="77777777" w:rsidR="007B459D" w:rsidRDefault="007B459D" w:rsidP="005438F1"/>
    <w:p w14:paraId="039A2014" w14:textId="77777777" w:rsidR="007B459D" w:rsidRDefault="007B459D" w:rsidP="005438F1"/>
    <w:p w14:paraId="6BF06504" w14:textId="55393B6B" w:rsidR="00FD0EA8" w:rsidRPr="004B163E" w:rsidRDefault="00FD0EA8" w:rsidP="005438F1">
      <w:pPr>
        <w:rPr>
          <w:b/>
          <w:bCs/>
        </w:rPr>
      </w:pPr>
      <w:r w:rsidRPr="004B163E">
        <w:rPr>
          <w:b/>
          <w:bCs/>
        </w:rPr>
        <w:t>CLAUSE NOTES</w:t>
      </w:r>
    </w:p>
    <w:p w14:paraId="10502894" w14:textId="77777777" w:rsidR="00FD0EA8" w:rsidRDefault="00FD0EA8" w:rsidP="005438F1"/>
    <w:p w14:paraId="1032A663" w14:textId="5BC5B532" w:rsidR="00FD0EA8" w:rsidRPr="004B163E" w:rsidRDefault="00FD0EA8" w:rsidP="005438F1">
      <w:pPr>
        <w:rPr>
          <w:b/>
          <w:bCs/>
        </w:rPr>
      </w:pPr>
      <w:r w:rsidRPr="004B163E">
        <w:rPr>
          <w:b/>
          <w:bCs/>
        </w:rPr>
        <w:t>Clause 1</w:t>
      </w:r>
      <w:r w:rsidRPr="004B163E">
        <w:rPr>
          <w:b/>
          <w:bCs/>
        </w:rPr>
        <w:tab/>
        <w:t>Name of regulation</w:t>
      </w:r>
    </w:p>
    <w:p w14:paraId="32535E7A" w14:textId="5F3AF17D" w:rsidR="00FD0EA8" w:rsidRDefault="00906852" w:rsidP="005438F1">
      <w:r>
        <w:t xml:space="preserve">This clause provides that the name of the regulation is the </w:t>
      </w:r>
      <w:r w:rsidRPr="004B163E">
        <w:rPr>
          <w:i/>
          <w:iCs/>
        </w:rPr>
        <w:t>Planning (General) Amendment Regulation 2025</w:t>
      </w:r>
      <w:r w:rsidR="00196559">
        <w:rPr>
          <w:i/>
          <w:iCs/>
        </w:rPr>
        <w:t xml:space="preserve"> (No 1)</w:t>
      </w:r>
      <w:r>
        <w:t>.</w:t>
      </w:r>
    </w:p>
    <w:p w14:paraId="14703199" w14:textId="77777777" w:rsidR="00FD0EA8" w:rsidRDefault="00FD0EA8" w:rsidP="005438F1"/>
    <w:p w14:paraId="28AC909A" w14:textId="44C32D81" w:rsidR="00FD0EA8" w:rsidRPr="004B163E" w:rsidRDefault="00FD0EA8" w:rsidP="005438F1">
      <w:pPr>
        <w:rPr>
          <w:b/>
          <w:bCs/>
        </w:rPr>
      </w:pPr>
      <w:r w:rsidRPr="004B163E">
        <w:rPr>
          <w:b/>
          <w:bCs/>
        </w:rPr>
        <w:t>Clause 2</w:t>
      </w:r>
      <w:r w:rsidRPr="004B163E">
        <w:rPr>
          <w:b/>
          <w:bCs/>
        </w:rPr>
        <w:tab/>
        <w:t>Commencement</w:t>
      </w:r>
    </w:p>
    <w:p w14:paraId="15D0216A" w14:textId="5C32E093" w:rsidR="00FD0EA8" w:rsidRDefault="00906852" w:rsidP="005438F1">
      <w:r>
        <w:t>This clause provides that the regulation will commence on the day after its notification day.</w:t>
      </w:r>
    </w:p>
    <w:p w14:paraId="52CFC39A" w14:textId="77777777" w:rsidR="00FD0EA8" w:rsidRDefault="00FD0EA8" w:rsidP="005438F1"/>
    <w:p w14:paraId="77F93AEE" w14:textId="5275FF4E" w:rsidR="00FD0EA8" w:rsidRPr="004B163E" w:rsidRDefault="00FD0EA8" w:rsidP="005438F1">
      <w:pPr>
        <w:rPr>
          <w:b/>
          <w:bCs/>
        </w:rPr>
      </w:pPr>
      <w:r w:rsidRPr="004B163E">
        <w:rPr>
          <w:b/>
          <w:bCs/>
        </w:rPr>
        <w:t>Clause 3</w:t>
      </w:r>
      <w:r w:rsidRPr="004B163E">
        <w:rPr>
          <w:b/>
          <w:bCs/>
        </w:rPr>
        <w:tab/>
        <w:t>Legislation amended</w:t>
      </w:r>
    </w:p>
    <w:p w14:paraId="5A9C9179" w14:textId="77D0BEC4" w:rsidR="00FD0EA8" w:rsidRDefault="00906852" w:rsidP="005438F1">
      <w:r>
        <w:t xml:space="preserve">Clause 3 specifies that the legislation amended by the regulation is the </w:t>
      </w:r>
      <w:r w:rsidRPr="004B163E">
        <w:rPr>
          <w:i/>
          <w:iCs/>
        </w:rPr>
        <w:t>Planning (General) Regulation 2023</w:t>
      </w:r>
      <w:r>
        <w:t>.</w:t>
      </w:r>
    </w:p>
    <w:p w14:paraId="51FEB864" w14:textId="77777777" w:rsidR="00FD0EA8" w:rsidRDefault="00FD0EA8" w:rsidP="005438F1"/>
    <w:p w14:paraId="478DA8D3" w14:textId="179CD9FB" w:rsidR="00FD0EA8" w:rsidRPr="004B163E" w:rsidRDefault="00FD0EA8" w:rsidP="005438F1">
      <w:pPr>
        <w:rPr>
          <w:b/>
          <w:bCs/>
        </w:rPr>
      </w:pPr>
      <w:r w:rsidRPr="004B163E">
        <w:rPr>
          <w:b/>
          <w:bCs/>
        </w:rPr>
        <w:t>Clause 4</w:t>
      </w:r>
      <w:r w:rsidRPr="004B163E">
        <w:rPr>
          <w:b/>
          <w:bCs/>
        </w:rPr>
        <w:tab/>
        <w:t>Part 11 heading</w:t>
      </w:r>
    </w:p>
    <w:p w14:paraId="4AD2D6F1" w14:textId="5EC876F7" w:rsidR="005607C9" w:rsidRDefault="005607C9" w:rsidP="005438F1">
      <w:r>
        <w:t xml:space="preserve">Clause 4 </w:t>
      </w:r>
      <w:r w:rsidR="006A59EF">
        <w:t xml:space="preserve">replaces </w:t>
      </w:r>
      <w:r>
        <w:t xml:space="preserve">the </w:t>
      </w:r>
      <w:r w:rsidR="006A59EF">
        <w:t xml:space="preserve">current </w:t>
      </w:r>
      <w:r>
        <w:t xml:space="preserve">heading of </w:t>
      </w:r>
      <w:r w:rsidR="00F4223C">
        <w:t>P</w:t>
      </w:r>
      <w:r>
        <w:t xml:space="preserve">art 11 </w:t>
      </w:r>
      <w:r w:rsidR="00F4223C">
        <w:t xml:space="preserve">with </w:t>
      </w:r>
      <w:r w:rsidRPr="00F4223C">
        <w:rPr>
          <w:b/>
          <w:bCs/>
        </w:rPr>
        <w:t>Grants of community leases</w:t>
      </w:r>
      <w:r>
        <w:t xml:space="preserve">. This amendment to the heading has been made to align with </w:t>
      </w:r>
      <w:r w:rsidR="009E6C31">
        <w:t>the amendments made</w:t>
      </w:r>
      <w:r>
        <w:t xml:space="preserve"> </w:t>
      </w:r>
      <w:r w:rsidR="009E6C31">
        <w:t>by</w:t>
      </w:r>
      <w:r>
        <w:t xml:space="preserve"> clause 5, as below.</w:t>
      </w:r>
    </w:p>
    <w:p w14:paraId="748E59B3" w14:textId="77777777" w:rsidR="00FD0EA8" w:rsidRDefault="00FD0EA8" w:rsidP="005438F1"/>
    <w:p w14:paraId="5914D3F2" w14:textId="545AAAB8" w:rsidR="00FD0EA8" w:rsidRPr="004B163E" w:rsidRDefault="00FD0EA8" w:rsidP="005438F1">
      <w:pPr>
        <w:rPr>
          <w:b/>
          <w:bCs/>
        </w:rPr>
      </w:pPr>
      <w:r w:rsidRPr="004B163E">
        <w:rPr>
          <w:b/>
          <w:bCs/>
        </w:rPr>
        <w:t>Clause 5</w:t>
      </w:r>
      <w:r w:rsidRPr="004B163E">
        <w:rPr>
          <w:b/>
          <w:bCs/>
        </w:rPr>
        <w:tab/>
        <w:t>New section 64A</w:t>
      </w:r>
    </w:p>
    <w:p w14:paraId="1813DFA4" w14:textId="51B0B92B" w:rsidR="00FD0EA8" w:rsidRDefault="005607C9" w:rsidP="005438F1">
      <w:r>
        <w:t xml:space="preserve">This clause inserts new section </w:t>
      </w:r>
      <w:r w:rsidRPr="004B163E">
        <w:rPr>
          <w:b/>
          <w:bCs/>
        </w:rPr>
        <w:t>64A – Prescribed community lease uses—Act, s</w:t>
      </w:r>
      <w:r w:rsidR="00230191">
        <w:rPr>
          <w:b/>
          <w:bCs/>
        </w:rPr>
        <w:t> </w:t>
      </w:r>
      <w:r w:rsidRPr="004B163E">
        <w:rPr>
          <w:b/>
          <w:bCs/>
        </w:rPr>
        <w:t>291</w:t>
      </w:r>
      <w:r w:rsidR="00230191">
        <w:rPr>
          <w:b/>
          <w:bCs/>
        </w:rPr>
        <w:t> </w:t>
      </w:r>
      <w:r w:rsidRPr="004B163E">
        <w:rPr>
          <w:b/>
          <w:bCs/>
        </w:rPr>
        <w:t xml:space="preserve">(1), </w:t>
      </w:r>
      <w:r w:rsidRPr="004B163E">
        <w:rPr>
          <w:b/>
          <w:bCs/>
          <w:i/>
          <w:iCs/>
        </w:rPr>
        <w:t>def community lease use</w:t>
      </w:r>
      <w:r w:rsidRPr="004B163E">
        <w:rPr>
          <w:b/>
          <w:bCs/>
        </w:rPr>
        <w:t>, par (k)</w:t>
      </w:r>
      <w:r>
        <w:t>.</w:t>
      </w:r>
    </w:p>
    <w:p w14:paraId="17BB2FB5" w14:textId="77777777" w:rsidR="00F201EA" w:rsidRDefault="00F201EA" w:rsidP="005438F1"/>
    <w:p w14:paraId="7D74193F" w14:textId="4B88D98A" w:rsidR="005607C9" w:rsidRDefault="00F201EA" w:rsidP="005438F1">
      <w:r>
        <w:lastRenderedPageBreak/>
        <w:t xml:space="preserve">This clause prescribes that </w:t>
      </w:r>
      <w:r w:rsidRPr="004B163E">
        <w:rPr>
          <w:i/>
          <w:iCs/>
        </w:rPr>
        <w:t>health facility</w:t>
      </w:r>
      <w:r>
        <w:t xml:space="preserve"> and </w:t>
      </w:r>
      <w:r w:rsidRPr="004B163E">
        <w:rPr>
          <w:i/>
          <w:iCs/>
        </w:rPr>
        <w:t>hospital</w:t>
      </w:r>
      <w:r>
        <w:t xml:space="preserve"> are community uses </w:t>
      </w:r>
      <w:r w:rsidR="006A59EF">
        <w:t xml:space="preserve">for the purpose of s 291 of the Act. This </w:t>
      </w:r>
      <w:r>
        <w:t>permit</w:t>
      </w:r>
      <w:r w:rsidR="006A59EF">
        <w:t>s these</w:t>
      </w:r>
      <w:r>
        <w:t xml:space="preserve"> uses </w:t>
      </w:r>
      <w:r w:rsidR="006A59EF">
        <w:t xml:space="preserve">as eligible </w:t>
      </w:r>
      <w:r>
        <w:t>for the grant of a community lease, and that the prescribed uses have the same meaning as in the territory plan.</w:t>
      </w:r>
    </w:p>
    <w:p w14:paraId="797CACFB" w14:textId="77777777" w:rsidR="00FD0EA8" w:rsidRDefault="00FD0EA8" w:rsidP="005438F1"/>
    <w:p w14:paraId="2FD87FBF" w14:textId="4BB0BD23" w:rsidR="00FD0EA8" w:rsidRPr="004B163E" w:rsidRDefault="00FD0EA8" w:rsidP="005438F1">
      <w:pPr>
        <w:rPr>
          <w:b/>
          <w:bCs/>
        </w:rPr>
      </w:pPr>
      <w:r w:rsidRPr="004B163E">
        <w:rPr>
          <w:b/>
          <w:bCs/>
        </w:rPr>
        <w:t>Clause 6</w:t>
      </w:r>
      <w:r w:rsidRPr="004B163E">
        <w:rPr>
          <w:b/>
          <w:bCs/>
        </w:rPr>
        <w:tab/>
        <w:t xml:space="preserve">Dictionary, definition of </w:t>
      </w:r>
      <w:r w:rsidRPr="004B163E">
        <w:rPr>
          <w:b/>
          <w:bCs/>
          <w:i/>
          <w:iCs/>
        </w:rPr>
        <w:t>proposed lease</w:t>
      </w:r>
    </w:p>
    <w:p w14:paraId="30976E34" w14:textId="3187CFA0" w:rsidR="00FD0EA8" w:rsidRDefault="00230191" w:rsidP="005438F1">
      <w:r>
        <w:t xml:space="preserve">This clause </w:t>
      </w:r>
      <w:r w:rsidR="00E07178">
        <w:t xml:space="preserve">replaces the words </w:t>
      </w:r>
      <w:r w:rsidRPr="004B163E">
        <w:rPr>
          <w:b/>
          <w:bCs/>
          <w:i/>
          <w:iCs/>
        </w:rPr>
        <w:t>Community leases—grant by tender</w:t>
      </w:r>
      <w:r>
        <w:t xml:space="preserve"> with </w:t>
      </w:r>
      <w:r w:rsidRPr="004B163E">
        <w:rPr>
          <w:b/>
          <w:bCs/>
          <w:i/>
          <w:iCs/>
        </w:rPr>
        <w:t>Grants of community leases</w:t>
      </w:r>
      <w:r w:rsidR="00D207C5">
        <w:rPr>
          <w:b/>
          <w:bCs/>
        </w:rPr>
        <w:t xml:space="preserve"> </w:t>
      </w:r>
      <w:r w:rsidR="00E07178">
        <w:t xml:space="preserve">from the definition of </w:t>
      </w:r>
      <w:r w:rsidR="00E07178" w:rsidRPr="004B163E">
        <w:rPr>
          <w:b/>
          <w:bCs/>
          <w:i/>
          <w:iCs/>
        </w:rPr>
        <w:t>proposed lease</w:t>
      </w:r>
      <w:r w:rsidR="00E07178">
        <w:t xml:space="preserve"> </w:t>
      </w:r>
      <w:r>
        <w:t>to align with the above amendment</w:t>
      </w:r>
      <w:r w:rsidR="00E07178">
        <w:t xml:space="preserve"> at clause 4</w:t>
      </w:r>
      <w:r>
        <w:t>.</w:t>
      </w:r>
    </w:p>
    <w:p w14:paraId="41CA4F5F" w14:textId="77777777" w:rsidR="00FD0EA8" w:rsidRDefault="00FD0EA8" w:rsidP="005438F1"/>
    <w:p w14:paraId="7EB6E083" w14:textId="77777777" w:rsidR="00FD0EA8" w:rsidRDefault="00FD0EA8" w:rsidP="005438F1"/>
    <w:sectPr w:rsidR="00FD0EA8"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ABF5" w14:textId="77777777" w:rsidR="00AC5B88" w:rsidRDefault="00AC5B88" w:rsidP="006815C9">
      <w:r>
        <w:separator/>
      </w:r>
    </w:p>
  </w:endnote>
  <w:endnote w:type="continuationSeparator" w:id="0">
    <w:p w14:paraId="7C23A717" w14:textId="77777777" w:rsidR="00AC5B88" w:rsidRDefault="00AC5B88"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D5F"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E749" w14:textId="48360778" w:rsidR="00091D34" w:rsidRPr="0014558D" w:rsidRDefault="0014558D" w:rsidP="0014558D">
    <w:pPr>
      <w:pStyle w:val="Footer"/>
      <w:jc w:val="center"/>
      <w:rPr>
        <w:rFonts w:cs="Arial"/>
        <w:sz w:val="14"/>
      </w:rPr>
    </w:pPr>
    <w:r w:rsidRPr="0014558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B9DD"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A163" w14:textId="77777777" w:rsidR="00AC5B88" w:rsidRDefault="00AC5B88" w:rsidP="006815C9">
      <w:r>
        <w:separator/>
      </w:r>
    </w:p>
  </w:footnote>
  <w:footnote w:type="continuationSeparator" w:id="0">
    <w:p w14:paraId="4E8E151E" w14:textId="77777777" w:rsidR="00AC5B88" w:rsidRDefault="00AC5B88"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8A74"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EB2E"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D438"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7260F1"/>
    <w:multiLevelType w:val="hybridMultilevel"/>
    <w:tmpl w:val="16343D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6604C6"/>
    <w:multiLevelType w:val="multilevel"/>
    <w:tmpl w:val="838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132559437">
    <w:abstractNumId w:val="2"/>
  </w:num>
  <w:num w:numId="2" w16cid:durableId="278998374">
    <w:abstractNumId w:val="0"/>
  </w:num>
  <w:num w:numId="3" w16cid:durableId="378284739">
    <w:abstractNumId w:val="3"/>
  </w:num>
  <w:num w:numId="4" w16cid:durableId="620575041">
    <w:abstractNumId w:val="8"/>
  </w:num>
  <w:num w:numId="5" w16cid:durableId="1914773335">
    <w:abstractNumId w:val="10"/>
  </w:num>
  <w:num w:numId="6" w16cid:durableId="390351489">
    <w:abstractNumId w:val="1"/>
  </w:num>
  <w:num w:numId="7" w16cid:durableId="143477435">
    <w:abstractNumId w:val="6"/>
  </w:num>
  <w:num w:numId="8" w16cid:durableId="1324816391">
    <w:abstractNumId w:val="7"/>
  </w:num>
  <w:num w:numId="9" w16cid:durableId="518129757">
    <w:abstractNumId w:val="9"/>
  </w:num>
  <w:num w:numId="10" w16cid:durableId="325286036">
    <w:abstractNumId w:val="4"/>
  </w:num>
  <w:num w:numId="11" w16cid:durableId="17894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6ADA"/>
    <w:rsid w:val="0001058D"/>
    <w:rsid w:val="00040E22"/>
    <w:rsid w:val="000838F2"/>
    <w:rsid w:val="00091D34"/>
    <w:rsid w:val="000F1786"/>
    <w:rsid w:val="0014558D"/>
    <w:rsid w:val="00196559"/>
    <w:rsid w:val="00230191"/>
    <w:rsid w:val="00236B62"/>
    <w:rsid w:val="0028129F"/>
    <w:rsid w:val="002A2437"/>
    <w:rsid w:val="002C45F9"/>
    <w:rsid w:val="002F591F"/>
    <w:rsid w:val="00366F6D"/>
    <w:rsid w:val="00391F4F"/>
    <w:rsid w:val="003C0DF6"/>
    <w:rsid w:val="00415EF2"/>
    <w:rsid w:val="004A220C"/>
    <w:rsid w:val="004B163E"/>
    <w:rsid w:val="004F7500"/>
    <w:rsid w:val="005438F1"/>
    <w:rsid w:val="005607C9"/>
    <w:rsid w:val="00571AA9"/>
    <w:rsid w:val="00575920"/>
    <w:rsid w:val="005C58E3"/>
    <w:rsid w:val="005D55A5"/>
    <w:rsid w:val="00646981"/>
    <w:rsid w:val="006469C0"/>
    <w:rsid w:val="006815C9"/>
    <w:rsid w:val="006A187F"/>
    <w:rsid w:val="006A59EF"/>
    <w:rsid w:val="006C22E8"/>
    <w:rsid w:val="006E7046"/>
    <w:rsid w:val="006E7406"/>
    <w:rsid w:val="00737652"/>
    <w:rsid w:val="00777F79"/>
    <w:rsid w:val="00787FF0"/>
    <w:rsid w:val="007A0191"/>
    <w:rsid w:val="007A77A8"/>
    <w:rsid w:val="007B459D"/>
    <w:rsid w:val="008030A9"/>
    <w:rsid w:val="008511EC"/>
    <w:rsid w:val="00853D4B"/>
    <w:rsid w:val="008B3360"/>
    <w:rsid w:val="008B3F13"/>
    <w:rsid w:val="008E3007"/>
    <w:rsid w:val="00906852"/>
    <w:rsid w:val="0095382D"/>
    <w:rsid w:val="009A43A4"/>
    <w:rsid w:val="009E6C31"/>
    <w:rsid w:val="009F4610"/>
    <w:rsid w:val="00A012CA"/>
    <w:rsid w:val="00A10F8A"/>
    <w:rsid w:val="00A3696A"/>
    <w:rsid w:val="00A42813"/>
    <w:rsid w:val="00AC5B88"/>
    <w:rsid w:val="00AE3268"/>
    <w:rsid w:val="00B93500"/>
    <w:rsid w:val="00BB62BD"/>
    <w:rsid w:val="00BC2389"/>
    <w:rsid w:val="00C1618B"/>
    <w:rsid w:val="00C66403"/>
    <w:rsid w:val="00C6646A"/>
    <w:rsid w:val="00D04D2A"/>
    <w:rsid w:val="00D13C43"/>
    <w:rsid w:val="00D207C5"/>
    <w:rsid w:val="00D903A1"/>
    <w:rsid w:val="00DC4DA8"/>
    <w:rsid w:val="00DD5BCD"/>
    <w:rsid w:val="00E07178"/>
    <w:rsid w:val="00E85D33"/>
    <w:rsid w:val="00EA33BA"/>
    <w:rsid w:val="00F201EA"/>
    <w:rsid w:val="00F4223C"/>
    <w:rsid w:val="00F5371D"/>
    <w:rsid w:val="00FC7D63"/>
    <w:rsid w:val="00FD0EA8"/>
    <w:rsid w:val="00FF5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F7915"/>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NormalWeb">
    <w:name w:val="Normal (Web)"/>
    <w:basedOn w:val="Normal"/>
    <w:uiPriority w:val="99"/>
    <w:semiHidden/>
    <w:unhideWhenUsed/>
    <w:rsid w:val="002F591F"/>
    <w:pPr>
      <w:spacing w:before="100" w:beforeAutospacing="1" w:after="100" w:afterAutospacing="1"/>
    </w:pPr>
    <w:rPr>
      <w:szCs w:val="24"/>
      <w:lang w:eastAsia="en-AU"/>
    </w:rPr>
  </w:style>
  <w:style w:type="character" w:customStyle="1" w:styleId="ui-provider">
    <w:name w:val="ui-provider"/>
    <w:basedOn w:val="DefaultParagraphFont"/>
    <w:rsid w:val="002F591F"/>
  </w:style>
  <w:style w:type="paragraph" w:styleId="ListParagraph">
    <w:name w:val="List Paragraph"/>
    <w:basedOn w:val="Normal"/>
    <w:uiPriority w:val="34"/>
    <w:qFormat/>
    <w:rsid w:val="00DC4DA8"/>
    <w:pPr>
      <w:ind w:left="720"/>
      <w:contextualSpacing/>
    </w:pPr>
  </w:style>
  <w:style w:type="character" w:customStyle="1" w:styleId="Strong1">
    <w:name w:val="Strong1"/>
    <w:basedOn w:val="DefaultParagraphFont"/>
    <w:rsid w:val="005438F1"/>
  </w:style>
  <w:style w:type="paragraph" w:styleId="Revision">
    <w:name w:val="Revision"/>
    <w:hidden/>
    <w:uiPriority w:val="99"/>
    <w:semiHidden/>
    <w:rsid w:val="00A012CA"/>
    <w:rPr>
      <w:sz w:val="24"/>
      <w:lang w:eastAsia="en-US"/>
    </w:rPr>
  </w:style>
  <w:style w:type="character" w:styleId="CommentReference">
    <w:name w:val="annotation reference"/>
    <w:basedOn w:val="DefaultParagraphFont"/>
    <w:uiPriority w:val="99"/>
    <w:semiHidden/>
    <w:unhideWhenUsed/>
    <w:rsid w:val="00FC7D63"/>
    <w:rPr>
      <w:sz w:val="16"/>
      <w:szCs w:val="16"/>
    </w:rPr>
  </w:style>
  <w:style w:type="paragraph" w:styleId="CommentText">
    <w:name w:val="annotation text"/>
    <w:basedOn w:val="Normal"/>
    <w:link w:val="CommentTextChar"/>
    <w:uiPriority w:val="99"/>
    <w:unhideWhenUsed/>
    <w:rsid w:val="00FC7D63"/>
    <w:rPr>
      <w:sz w:val="20"/>
    </w:rPr>
  </w:style>
  <w:style w:type="character" w:customStyle="1" w:styleId="CommentTextChar">
    <w:name w:val="Comment Text Char"/>
    <w:basedOn w:val="DefaultParagraphFont"/>
    <w:link w:val="CommentText"/>
    <w:uiPriority w:val="99"/>
    <w:rsid w:val="00FC7D63"/>
    <w:rPr>
      <w:lang w:eastAsia="en-US"/>
    </w:rPr>
  </w:style>
  <w:style w:type="paragraph" w:styleId="CommentSubject">
    <w:name w:val="annotation subject"/>
    <w:basedOn w:val="CommentText"/>
    <w:next w:val="CommentText"/>
    <w:link w:val="CommentSubjectChar"/>
    <w:uiPriority w:val="99"/>
    <w:semiHidden/>
    <w:unhideWhenUsed/>
    <w:rsid w:val="00FC7D63"/>
    <w:rPr>
      <w:b/>
      <w:bCs/>
    </w:rPr>
  </w:style>
  <w:style w:type="character" w:customStyle="1" w:styleId="CommentSubjectChar">
    <w:name w:val="Comment Subject Char"/>
    <w:basedOn w:val="CommentTextChar"/>
    <w:link w:val="CommentSubject"/>
    <w:uiPriority w:val="99"/>
    <w:semiHidden/>
    <w:rsid w:val="00FC7D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043027">
      <w:bodyDiv w:val="1"/>
      <w:marLeft w:val="0"/>
      <w:marRight w:val="0"/>
      <w:marTop w:val="0"/>
      <w:marBottom w:val="0"/>
      <w:divBdr>
        <w:top w:val="none" w:sz="0" w:space="0" w:color="auto"/>
        <w:left w:val="none" w:sz="0" w:space="0" w:color="auto"/>
        <w:bottom w:val="none" w:sz="0" w:space="0" w:color="auto"/>
        <w:right w:val="none" w:sz="0" w:space="0" w:color="auto"/>
      </w:divBdr>
    </w:div>
    <w:div w:id="836919811">
      <w:bodyDiv w:val="1"/>
      <w:marLeft w:val="0"/>
      <w:marRight w:val="0"/>
      <w:marTop w:val="0"/>
      <w:marBottom w:val="0"/>
      <w:divBdr>
        <w:top w:val="none" w:sz="0" w:space="0" w:color="auto"/>
        <w:left w:val="none" w:sz="0" w:space="0" w:color="auto"/>
        <w:bottom w:val="none" w:sz="0" w:space="0" w:color="auto"/>
        <w:right w:val="none" w:sz="0" w:space="0" w:color="auto"/>
      </w:divBdr>
    </w:div>
    <w:div w:id="898134182">
      <w:bodyDiv w:val="1"/>
      <w:marLeft w:val="0"/>
      <w:marRight w:val="0"/>
      <w:marTop w:val="0"/>
      <w:marBottom w:val="0"/>
      <w:divBdr>
        <w:top w:val="none" w:sz="0" w:space="0" w:color="auto"/>
        <w:left w:val="none" w:sz="0" w:space="0" w:color="auto"/>
        <w:bottom w:val="none" w:sz="0" w:space="0" w:color="auto"/>
        <w:right w:val="none" w:sz="0" w:space="0" w:color="auto"/>
      </w:divBdr>
    </w:div>
    <w:div w:id="1437601939">
      <w:bodyDiv w:val="1"/>
      <w:marLeft w:val="0"/>
      <w:marRight w:val="0"/>
      <w:marTop w:val="0"/>
      <w:marBottom w:val="0"/>
      <w:divBdr>
        <w:top w:val="none" w:sz="0" w:space="0" w:color="auto"/>
        <w:left w:val="none" w:sz="0" w:space="0" w:color="auto"/>
        <w:bottom w:val="none" w:sz="0" w:space="0" w:color="auto"/>
        <w:right w:val="none" w:sz="0" w:space="0" w:color="auto"/>
      </w:divBdr>
    </w:div>
    <w:div w:id="19076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A55767889</value>
    </field>
    <field name="Objective-Title">
      <value order="0">Attachment B - Explanatory Statement</value>
    </field>
    <field name="Objective-Description">
      <value order="0"/>
    </field>
    <field name="Objective-CreationStamp">
      <value order="0">2025-07-23T23:35:14Z</value>
    </field>
    <field name="Objective-IsApproved">
      <value order="0">false</value>
    </field>
    <field name="Objective-IsPublished">
      <value order="0">true</value>
    </field>
    <field name="Objective-DatePublished">
      <value order="0">2025-08-29T06:29:40Z</value>
    </field>
    <field name="Objective-ModificationStamp">
      <value order="0">2025-08-29T06:29:40Z</value>
    </field>
    <field name="Objective-Owner">
      <value order="0">Jessica Hanigan</value>
    </field>
    <field name="Objective-Path">
      <value order="0">Whole of ACT Government:EPSDD - Environment Planning and Sustainable Development Directorate:07. Ministerial, Cabinet and Government Relations:06. Ministerials:2025 - Ministerial Briefs and Correspondence:Development and Implementation:25/0339372 Ministerial-Information Brief - Barr/Steel - Planning (General) Amendment Regulation 2025</value>
    </field>
    <field name="Objective-Parent">
      <value order="0">25/0339372 Ministerial-Information Brief - Barr/Steel - Planning (General) Amendment Regulation 2025</value>
    </field>
    <field name="Objective-State">
      <value order="0">Published</value>
    </field>
    <field name="Objective-VersionId">
      <value order="0">vA72392378</value>
    </field>
    <field name="Objective-Version">
      <value order="0">9.0</value>
    </field>
    <field name="Objective-VersionNumber">
      <value order="0">10</value>
    </field>
    <field name="Objective-VersionComment">
      <value order="0"/>
    </field>
    <field name="Objective-FileNumber">
      <value order="0">1-2025/0339372</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3889</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2025-09-09T05:48:00Z</dcterms:created>
  <dcterms:modified xsi:type="dcterms:W3CDTF">2025-09-09T05:48:00Z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A55767889</vt:lpwstr>
  </property>
  <property fmtid="{D5CDD505-2E9C-101B-9397-08002B2CF9AE}" pid="4" name="Objective-Title">
    <vt:lpwstr>Attachment B - Explanatory Statement</vt:lpwstr>
  </property>
  <property fmtid="{D5CDD505-2E9C-101B-9397-08002B2CF9AE}" pid="5" name="Objective-Description">
    <vt:lpwstr/>
  </property>
  <property fmtid="{D5CDD505-2E9C-101B-9397-08002B2CF9AE}" pid="6" name="Objective-CreationStamp">
    <vt:filetime>2025-07-23T23:35:14Z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2025-08-29T06:29:40Z</vt:filetime>
  </property>
  <property fmtid="{D5CDD505-2E9C-101B-9397-08002B2CF9AE}" pid="10" name="Objective-ModificationStamp">
    <vt:filetime>2025-08-29T06:29:40Z</vt:filetime>
  </property>
  <property fmtid="{D5CDD505-2E9C-101B-9397-08002B2CF9AE}" pid="11" name="Objective-Owner">
    <vt:lpwstr>Jessica Hanigan</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Correspondence:Development and Implementation:25/0339372 Ministerial-Information Brief - Barr/Steel - Planning (General) Amendment Regulation 2025:</vt:lpwstr>
  </property>
  <property fmtid="{D5CDD505-2E9C-101B-9397-08002B2CF9AE}" pid="13" name="Objective-Parent">
    <vt:lpwstr>25/0339372 Ministerial-Information Brief - Barr/Steel - Planning (General) Amendment Regulation 2025</vt:lpwstr>
  </property>
  <property fmtid="{D5CDD505-2E9C-101B-9397-08002B2CF9AE}" pid="14" name="Objective-State">
    <vt:lpwstr>Published</vt:lpwstr>
  </property>
  <property fmtid="{D5CDD505-2E9C-101B-9397-08002B2CF9AE}" pid="15" name="Objective-VersionId">
    <vt:lpwstr>vA72392378</vt:lpwstr>
  </property>
  <property fmtid="{D5CDD505-2E9C-101B-9397-08002B2CF9AE}" pid="16" name="Objective-Version">
    <vt:lpwstr>9.0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1-2025/0339372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Status">
    <vt:lpwstr/>
  </property>
  <property fmtid="{D5CDD505-2E9C-101B-9397-08002B2CF9AE}" pid="34" name="Objective-S28 Exemption Number">
    <vt:lpwstr/>
  </property>
  <property fmtid="{D5CDD505-2E9C-101B-9397-08002B2CF9AE}" pid="35" name="Objective-S28 Exemption">
    <vt:lpwstr/>
  </property>
  <property fmtid="{D5CDD505-2E9C-101B-9397-08002B2CF9AE}" pid="36" name="Objective-S28 Exemption Reason">
    <vt:lpwstr/>
  </property>
  <property fmtid="{D5CDD505-2E9C-101B-9397-08002B2CF9AE}" pid="37" name="Objective-S28 Comments if partial exemption">
    <vt:lpwstr/>
  </property>
  <property fmtid="{D5CDD505-2E9C-101B-9397-08002B2CF9AE}" pid="38" name="Objective-S28 Date Approved">
    <vt:lpwstr/>
  </property>
  <property fmtid="{D5CDD505-2E9C-101B-9397-08002B2CF9AE}" pid="39" name="Objective-Comment">
    <vt:lpwstr/>
  </property>
  <property fmtid="{D5CDD505-2E9C-101B-9397-08002B2CF9AE}" pid="40" name="MSIP_Label_69af8531-eb46-4968-8cb3-105d2f5ea87e_Enabled">
    <vt:lpwstr>true</vt:lpwstr>
  </property>
  <property fmtid="{D5CDD505-2E9C-101B-9397-08002B2CF9AE}" pid="41" name="MSIP_Label_69af8531-eb46-4968-8cb3-105d2f5ea87e_SetDate">
    <vt:lpwstr>2025-07-25T02:56:44Z</vt:lpwstr>
  </property>
  <property fmtid="{D5CDD505-2E9C-101B-9397-08002B2CF9AE}" pid="42" name="MSIP_Label_69af8531-eb46-4968-8cb3-105d2f5ea87e_Method">
    <vt:lpwstr>Standard</vt:lpwstr>
  </property>
  <property fmtid="{D5CDD505-2E9C-101B-9397-08002B2CF9AE}" pid="43" name="MSIP_Label_69af8531-eb46-4968-8cb3-105d2f5ea87e_Name">
    <vt:lpwstr>Official - No Marking</vt:lpwstr>
  </property>
  <property fmtid="{D5CDD505-2E9C-101B-9397-08002B2CF9AE}" pid="44" name="MSIP_Label_69af8531-eb46-4968-8cb3-105d2f5ea87e_SiteId">
    <vt:lpwstr>b46c1908-0334-4236-b978-585ee88e4199</vt:lpwstr>
  </property>
  <property fmtid="{D5CDD505-2E9C-101B-9397-08002B2CF9AE}" pid="45" name="MSIP_Label_69af8531-eb46-4968-8cb3-105d2f5ea87e_ActionId">
    <vt:lpwstr>06e6b962-02ef-41b7-9682-64cdd470a906</vt:lpwstr>
  </property>
  <property fmtid="{D5CDD505-2E9C-101B-9397-08002B2CF9AE}" pid="46" name="MSIP_Label_69af8531-eb46-4968-8cb3-105d2f5ea87e_ContentBits">
    <vt:lpwstr>0</vt:lpwstr>
  </property>
  <property fmtid="{D5CDD505-2E9C-101B-9397-08002B2CF9AE}" pid="47" name="MSIP_Label_69af8531-eb46-4968-8cb3-105d2f5ea87e_Tag">
    <vt:lpwstr>10, 3, 0, 1</vt:lpwstr>
  </property>
  <property fmtid="{D5CDD505-2E9C-101B-9397-08002B2CF9AE}" pid="48" name="CHECKEDOUTFROMJMS">
    <vt:lpwstr/>
  </property>
  <property fmtid="{D5CDD505-2E9C-101B-9397-08002B2CF9AE}" pid="49" name="DMSID">
    <vt:lpwstr>14750487</vt:lpwstr>
  </property>
  <property fmtid="{D5CDD505-2E9C-101B-9397-08002B2CF9AE}" pid="50" name="JMSREQUIREDCHECKIN">
    <vt:lpwstr/>
  </property>
</Properties>
</file>