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CA9" w14:textId="644FE06C"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22F2E50E"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w:t>
      </w:r>
      <w:r w:rsidR="00687077">
        <w:t>5</w:t>
      </w:r>
      <w:r w:rsidR="00E6366A">
        <w:t xml:space="preserve"> (No </w:t>
      </w:r>
      <w:r w:rsidR="0026380E">
        <w:t>3</w:t>
      </w:r>
      <w:r w:rsidR="00E6366A">
        <w:t>)</w:t>
      </w:r>
    </w:p>
    <w:p w14:paraId="401CE1DD" w14:textId="264893AD"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687077">
        <w:rPr>
          <w:rFonts w:ascii="Arial" w:hAnsi="Arial" w:cs="Arial"/>
          <w:b/>
          <w:bCs/>
        </w:rPr>
        <w:t>5</w:t>
      </w:r>
      <w:r w:rsidR="00140C1D">
        <w:rPr>
          <w:rFonts w:ascii="Arial" w:hAnsi="Arial" w:cs="Arial"/>
          <w:b/>
          <w:bCs/>
        </w:rPr>
        <w:t>-254</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6511E3A2"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7E5F099D" w14:textId="4D84482C" w:rsidR="0058243A" w:rsidRDefault="0058243A" w:rsidP="0008670C">
      <w:pPr>
        <w:numPr>
          <w:ilvl w:val="12"/>
          <w:numId w:val="0"/>
        </w:numPr>
        <w:tabs>
          <w:tab w:val="left" w:pos="15168"/>
        </w:tabs>
      </w:pPr>
    </w:p>
    <w:p w14:paraId="7875CF5F" w14:textId="4E4058E5" w:rsidR="00A5250F" w:rsidRDefault="00E6483B" w:rsidP="008C7252">
      <w:pPr>
        <w:pStyle w:val="NormalWeb"/>
        <w:shd w:val="clear" w:color="auto" w:fill="FFFFFF"/>
        <w:spacing w:before="0" w:beforeAutospacing="0" w:after="0" w:afterAutospacing="0"/>
        <w:rPr>
          <w:color w:val="000000"/>
        </w:rPr>
      </w:pPr>
      <w:r>
        <w:rPr>
          <w:color w:val="000000"/>
        </w:rPr>
        <w:t>T</w:t>
      </w:r>
      <w:r w:rsidR="00B35078">
        <w:rPr>
          <w:color w:val="000000"/>
        </w:rPr>
        <w:t>h</w:t>
      </w:r>
      <w:r w:rsidR="00687077">
        <w:rPr>
          <w:color w:val="000000"/>
        </w:rPr>
        <w:t>is</w:t>
      </w:r>
      <w:r w:rsidR="00B35078">
        <w:rPr>
          <w:color w:val="000000"/>
        </w:rPr>
        <w:t xml:space="preserve"> instrument amend</w:t>
      </w:r>
      <w:r>
        <w:rPr>
          <w:color w:val="000000"/>
        </w:rPr>
        <w:t>s</w:t>
      </w:r>
      <w:r w:rsidR="00B35078">
        <w:rPr>
          <w:color w:val="000000"/>
        </w:rPr>
        <w:t xml:space="preserve"> the </w:t>
      </w:r>
      <w:r w:rsidR="0026380E">
        <w:rPr>
          <w:color w:val="000000"/>
        </w:rPr>
        <w:t xml:space="preserve">12-month registration fees for </w:t>
      </w:r>
      <w:r w:rsidR="00AE70F6">
        <w:rPr>
          <w:color w:val="000000"/>
        </w:rPr>
        <w:t xml:space="preserve">light </w:t>
      </w:r>
      <w:r w:rsidR="0026380E">
        <w:rPr>
          <w:color w:val="000000"/>
        </w:rPr>
        <w:t xml:space="preserve">vehicles first registered in the ACT by a registered operator </w:t>
      </w:r>
      <w:r w:rsidR="0014137B">
        <w:rPr>
          <w:color w:val="000000"/>
        </w:rPr>
        <w:t xml:space="preserve">on or </w:t>
      </w:r>
      <w:r w:rsidR="0026380E">
        <w:rPr>
          <w:color w:val="000000"/>
        </w:rPr>
        <w:t xml:space="preserve">after 1 December 2025. The fees for people first registering a </w:t>
      </w:r>
      <w:r w:rsidR="00AE70F6">
        <w:rPr>
          <w:color w:val="000000"/>
        </w:rPr>
        <w:t xml:space="preserve">light </w:t>
      </w:r>
      <w:r w:rsidR="0026380E">
        <w:rPr>
          <w:color w:val="000000"/>
        </w:rPr>
        <w:t>vehicle in the ACT on or after 1 Decemb</w:t>
      </w:r>
      <w:r w:rsidR="00C93E50">
        <w:rPr>
          <w:color w:val="000000"/>
        </w:rPr>
        <w:t>e</w:t>
      </w:r>
      <w:r w:rsidR="0026380E">
        <w:rPr>
          <w:color w:val="000000"/>
        </w:rPr>
        <w:t xml:space="preserve">r 2025 will be charged the full reference fees for emissions-based registration, rather than transition fees </w:t>
      </w:r>
      <w:r w:rsidR="00C93E50">
        <w:rPr>
          <w:color w:val="000000"/>
        </w:rPr>
        <w:t>applying other light vehicles. This is line with Cabinet decision 23/</w:t>
      </w:r>
      <w:r w:rsidR="00704D59">
        <w:rPr>
          <w:color w:val="000000"/>
        </w:rPr>
        <w:t>901</w:t>
      </w:r>
      <w:r w:rsidR="00C93E50">
        <w:rPr>
          <w:color w:val="000000"/>
        </w:rPr>
        <w:t xml:space="preserve"> approv</w:t>
      </w:r>
      <w:r w:rsidR="00AE70F6">
        <w:rPr>
          <w:color w:val="000000"/>
        </w:rPr>
        <w:t>ing</w:t>
      </w:r>
      <w:r w:rsidR="00C93E50">
        <w:rPr>
          <w:color w:val="000000"/>
        </w:rPr>
        <w:t xml:space="preserve"> early application of reference fees and fee amounts in Cabinet decision 24/604.</w:t>
      </w:r>
    </w:p>
    <w:p w14:paraId="7D7AE8EE" w14:textId="77777777" w:rsidR="00135913" w:rsidRDefault="00135913" w:rsidP="008C7252">
      <w:pPr>
        <w:pStyle w:val="NormalWeb"/>
        <w:shd w:val="clear" w:color="auto" w:fill="FFFFFF"/>
        <w:spacing w:before="0" w:beforeAutospacing="0" w:after="0" w:afterAutospacing="0"/>
        <w:rPr>
          <w:color w:val="000000"/>
        </w:rPr>
      </w:pPr>
      <w:bookmarkStart w:id="1" w:name="_Hlk170301318"/>
    </w:p>
    <w:bookmarkEnd w:id="1"/>
    <w:p w14:paraId="56EC6E10" w14:textId="1D9F9D75" w:rsidR="00856329" w:rsidRDefault="00C93E50" w:rsidP="00856329">
      <w:pPr>
        <w:pStyle w:val="NormalWeb"/>
        <w:shd w:val="clear" w:color="auto" w:fill="FFFFFF"/>
        <w:spacing w:before="0" w:beforeAutospacing="0" w:after="0" w:afterAutospacing="0"/>
        <w:rPr>
          <w:color w:val="000000"/>
        </w:rPr>
      </w:pPr>
      <w:r>
        <w:rPr>
          <w:color w:val="000000"/>
        </w:rPr>
        <w:t xml:space="preserve">Items subject to transition fees for light vehicle registration are in Part 1, items </w:t>
      </w:r>
      <w:r w:rsidR="00AE70F6">
        <w:rPr>
          <w:color w:val="000000"/>
        </w:rPr>
        <w:t>1.1.1 to 2.6.4 of schedule 1. Items subject to full reference fees are in Part 1A, items 1A.1.1 to 2A.6.4 of schedule 1.</w:t>
      </w:r>
    </w:p>
    <w:p w14:paraId="49D68849" w14:textId="31F99704" w:rsidR="008C7252" w:rsidRDefault="00A5250F" w:rsidP="008C7252">
      <w:pPr>
        <w:pStyle w:val="NormalWeb"/>
        <w:shd w:val="clear" w:color="auto" w:fill="FFFFFF"/>
        <w:spacing w:before="0" w:beforeAutospacing="0" w:after="0" w:afterAutospacing="0"/>
        <w:rPr>
          <w:color w:val="000000"/>
        </w:rPr>
      </w:pPr>
      <w:r>
        <w:rPr>
          <w:color w:val="000000"/>
        </w:rPr>
        <w:t xml:space="preserve"> </w:t>
      </w:r>
    </w:p>
    <w:p w14:paraId="4D1EC81E" w14:textId="518B8B0C" w:rsidR="008C7252" w:rsidRDefault="008C7252" w:rsidP="008C7252">
      <w:pPr>
        <w:pStyle w:val="NormalWeb"/>
        <w:shd w:val="clear" w:color="auto" w:fill="FFFFFF"/>
        <w:spacing w:before="0" w:beforeAutospacing="0" w:after="0" w:afterAutospacing="0"/>
        <w:rPr>
          <w:color w:val="000000"/>
        </w:rPr>
      </w:pPr>
      <w:r>
        <w:rPr>
          <w:color w:val="000000"/>
        </w:rPr>
        <w:t>Column 1 of schedule 1 lists the item number</w:t>
      </w:r>
      <w:r w:rsidR="008E2B0D">
        <w:rPr>
          <w:color w:val="000000"/>
        </w:rPr>
        <w:t xml:space="preserve"> </w:t>
      </w:r>
      <w:r>
        <w:rPr>
          <w:color w:val="000000"/>
        </w:rPr>
        <w:t>for which the fee is payable.</w:t>
      </w:r>
      <w:r w:rsidR="008E2B0D">
        <w:rPr>
          <w:color w:val="000000"/>
        </w:rPr>
        <w:t xml:space="preserve"> </w:t>
      </w:r>
      <w:r>
        <w:rPr>
          <w:color w:val="000000"/>
        </w:rPr>
        <w:t>Column 2 of schedule 1 describes the service or other matter in relation to the fee payable.</w:t>
      </w:r>
      <w:r w:rsidR="008E2B0D">
        <w:rPr>
          <w:color w:val="000000"/>
        </w:rPr>
        <w:t xml:space="preserve"> </w:t>
      </w:r>
      <w:r>
        <w:rPr>
          <w:color w:val="000000"/>
        </w:rPr>
        <w:t>Column 3 of schedule 1 lists the fee payable for a registration period commencing on or before</w:t>
      </w:r>
      <w:r w:rsidR="008E2B0D">
        <w:rPr>
          <w:color w:val="000000"/>
        </w:rPr>
        <w:t xml:space="preserve"> </w:t>
      </w:r>
      <w:r w:rsidR="005578C2">
        <w:rPr>
          <w:color w:val="000000"/>
        </w:rPr>
        <w:t>3</w:t>
      </w:r>
      <w:r w:rsidR="00AE70F6">
        <w:rPr>
          <w:color w:val="000000"/>
        </w:rPr>
        <w:t>0</w:t>
      </w:r>
      <w:r w:rsidR="00E6483B">
        <w:rPr>
          <w:color w:val="000000"/>
        </w:rPr>
        <w:t xml:space="preserve"> </w:t>
      </w:r>
      <w:r w:rsidR="00AE70F6">
        <w:rPr>
          <w:color w:val="000000"/>
        </w:rPr>
        <w:t>November</w:t>
      </w:r>
      <w:r w:rsidR="00182635">
        <w:rPr>
          <w:color w:val="000000"/>
        </w:rPr>
        <w:t xml:space="preserve"> 2025</w:t>
      </w:r>
      <w:r>
        <w:rPr>
          <w:color w:val="000000"/>
        </w:rPr>
        <w:t>.</w:t>
      </w:r>
      <w:r w:rsidR="008E2B0D">
        <w:rPr>
          <w:color w:val="000000"/>
        </w:rPr>
        <w:t xml:space="preserve"> </w:t>
      </w:r>
      <w:r>
        <w:rPr>
          <w:color w:val="000000"/>
        </w:rPr>
        <w:t>Column 4 of schedule 1 lists the fee payable for a registration period commencing on or after</w:t>
      </w:r>
      <w:r w:rsidR="008E2B0D">
        <w:rPr>
          <w:color w:val="000000"/>
        </w:rPr>
        <w:t xml:space="preserve"> </w:t>
      </w:r>
      <w:r>
        <w:rPr>
          <w:color w:val="000000"/>
        </w:rPr>
        <w:t>1</w:t>
      </w:r>
      <w:r w:rsidR="008E2B0D">
        <w:rPr>
          <w:color w:val="000000"/>
        </w:rPr>
        <w:t xml:space="preserve"> </w:t>
      </w:r>
      <w:r w:rsidR="00AE70F6">
        <w:rPr>
          <w:color w:val="000000"/>
        </w:rPr>
        <w:t>December</w:t>
      </w:r>
      <w:r w:rsidR="00182635">
        <w:rPr>
          <w:color w:val="000000"/>
        </w:rPr>
        <w:t xml:space="preserve"> 2025</w:t>
      </w:r>
      <w:r>
        <w:rPr>
          <w:color w:val="000000"/>
        </w:rPr>
        <w:t>.</w:t>
      </w:r>
    </w:p>
    <w:p w14:paraId="30F00A8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03D1B365" w14:textId="011D6411" w:rsidR="008C7252" w:rsidRDefault="008C7252" w:rsidP="008C7252">
      <w:pPr>
        <w:pStyle w:val="NormalWeb"/>
        <w:shd w:val="clear" w:color="auto" w:fill="FFFFFF"/>
        <w:spacing w:before="0" w:beforeAutospacing="0" w:after="0" w:afterAutospacing="0"/>
        <w:rPr>
          <w:color w:val="000000"/>
        </w:rPr>
      </w:pPr>
      <w:r>
        <w:rPr>
          <w:color w:val="000000"/>
        </w:rPr>
        <w:t>Schedules</w:t>
      </w:r>
      <w:r w:rsidR="008E2B0D">
        <w:rPr>
          <w:color w:val="000000"/>
        </w:rPr>
        <w:t xml:space="preserve"> </w:t>
      </w:r>
      <w:r>
        <w:rPr>
          <w:color w:val="000000"/>
        </w:rPr>
        <w:t>2</w:t>
      </w:r>
      <w:r w:rsidR="008E2B0D">
        <w:rPr>
          <w:color w:val="000000"/>
        </w:rPr>
        <w:t xml:space="preserve"> </w:t>
      </w:r>
      <w:r>
        <w:rPr>
          <w:color w:val="000000"/>
        </w:rPr>
        <w:t>and 3 provide</w:t>
      </w:r>
      <w:r w:rsidR="008E2B0D">
        <w:rPr>
          <w:color w:val="000000"/>
        </w:rPr>
        <w:t xml:space="preserve"> </w:t>
      </w:r>
      <w:r>
        <w:rPr>
          <w:color w:val="000000"/>
        </w:rPr>
        <w:t xml:space="preserve">for fees applicable to external organisations requesting data sourced from the </w:t>
      </w:r>
      <w:r w:rsidR="008E2B0D">
        <w:rPr>
          <w:color w:val="000000"/>
        </w:rPr>
        <w:t>r</w:t>
      </w:r>
      <w:r>
        <w:rPr>
          <w:color w:val="000000"/>
        </w:rPr>
        <w:t xml:space="preserve">oad </w:t>
      </w:r>
      <w:r w:rsidR="008E2B0D">
        <w:rPr>
          <w:color w:val="000000"/>
        </w:rPr>
        <w:t>t</w:t>
      </w:r>
      <w:r>
        <w:rPr>
          <w:color w:val="000000"/>
        </w:rPr>
        <w:t xml:space="preserve">ransport </w:t>
      </w:r>
      <w:r w:rsidR="008E2B0D">
        <w:rPr>
          <w:color w:val="000000"/>
        </w:rPr>
        <w:t>a</w:t>
      </w:r>
      <w:r>
        <w:rPr>
          <w:color w:val="000000"/>
        </w:rPr>
        <w:t>uthority</w:t>
      </w:r>
      <w:r w:rsidR="008E2B0D">
        <w:rPr>
          <w:color w:val="000000"/>
        </w:rPr>
        <w:t xml:space="preserve"> </w:t>
      </w:r>
      <w:r>
        <w:rPr>
          <w:color w:val="000000"/>
        </w:rPr>
        <w:t>database</w:t>
      </w:r>
      <w:r w:rsidR="008E2B0D">
        <w:rPr>
          <w:color w:val="000000"/>
        </w:rPr>
        <w:t xml:space="preserve"> rego.act</w:t>
      </w:r>
      <w:r>
        <w:rPr>
          <w:color w:val="000000"/>
        </w:rPr>
        <w:t>.</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4E1D6493" w:rsidR="008C7252" w:rsidRDefault="008C7252" w:rsidP="008C7252">
      <w:pPr>
        <w:pStyle w:val="NormalWeb"/>
        <w:shd w:val="clear" w:color="auto" w:fill="FFFFFF"/>
        <w:spacing w:before="0" w:beforeAutospacing="0" w:after="0" w:afterAutospacing="0"/>
        <w:rPr>
          <w:color w:val="000000"/>
        </w:rPr>
      </w:pPr>
      <w:r>
        <w:rPr>
          <w:color w:val="000000"/>
        </w:rPr>
        <w:lastRenderedPageBreak/>
        <w:t>The preference of the Standing Committee on Justice and Community Safety (Legislative Scrutiny Role)</w:t>
      </w:r>
      <w:r w:rsidR="008E2B0D">
        <w:rPr>
          <w:color w:val="000000"/>
        </w:rPr>
        <w:t xml:space="preserve"> </w:t>
      </w:r>
      <w:r>
        <w:rPr>
          <w:color w:val="000000"/>
        </w:rPr>
        <w:t>that</w:t>
      </w:r>
      <w:r w:rsidR="008E2B0D">
        <w:rPr>
          <w:color w:val="000000"/>
        </w:rPr>
        <w:t xml:space="preserve"> </w:t>
      </w:r>
      <w:r>
        <w:rPr>
          <w:color w:val="000000"/>
        </w:rPr>
        <w:t>Instruments or Explanatory Statements identify</w:t>
      </w:r>
      <w:r w:rsidR="008E2B0D">
        <w:rPr>
          <w:color w:val="000000"/>
        </w:rPr>
        <w:t xml:space="preserve"> </w:t>
      </w:r>
      <w:r>
        <w:rPr>
          <w:color w:val="000000"/>
        </w:rPr>
        <w:t>the amount of the old and new fee, any percentage increase and also the reason for any increase in the Instrument or the Explanatory Statement has been taken into account in the preparation of the</w:t>
      </w:r>
      <w:r w:rsidR="008E2B0D">
        <w:rPr>
          <w:color w:val="000000"/>
        </w:rPr>
        <w:t xml:space="preserve"> </w:t>
      </w:r>
      <w:r>
        <w:rPr>
          <w:color w:val="000000"/>
        </w:rPr>
        <w:t>Instrument and the Explanatory Statement.</w:t>
      </w:r>
    </w:p>
    <w:p w14:paraId="5DC913D8" w14:textId="77777777" w:rsidR="006808CF" w:rsidRDefault="006808CF" w:rsidP="008C7252">
      <w:pPr>
        <w:pStyle w:val="NormalWeb"/>
        <w:shd w:val="clear" w:color="auto" w:fill="FFFFFF"/>
        <w:spacing w:before="0" w:beforeAutospacing="0" w:after="0" w:afterAutospacing="0"/>
        <w:rPr>
          <w:color w:val="000000"/>
        </w:rPr>
      </w:pPr>
    </w:p>
    <w:p w14:paraId="6A3A88EF" w14:textId="112026DB" w:rsidR="006808CF" w:rsidRDefault="006808CF" w:rsidP="006808CF">
      <w:pPr>
        <w:autoSpaceDE w:val="0"/>
        <w:autoSpaceDN w:val="0"/>
        <w:adjustRightInd w:val="0"/>
        <w:rPr>
          <w:lang w:eastAsia="en-AU"/>
        </w:rPr>
      </w:pPr>
      <w:bookmarkStart w:id="2" w:name="_Hlk201912973"/>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 xml:space="preserve">The </w:t>
      </w:r>
      <w:r w:rsidR="00704D59">
        <w:rPr>
          <w:lang w:eastAsia="en-AU"/>
        </w:rPr>
        <w:t>introduction of full emissions-based reference fees for vehicles first registered on or after 1 December 2025</w:t>
      </w:r>
      <w:r w:rsidRPr="00D3440A">
        <w:rPr>
          <w:lang w:eastAsia="en-AU"/>
        </w:rPr>
        <w:t xml:space="preserve"> the Government’s policies</w:t>
      </w:r>
      <w:r>
        <w:rPr>
          <w:lang w:eastAsia="en-AU"/>
        </w:rPr>
        <w:t>.</w:t>
      </w:r>
    </w:p>
    <w:p w14:paraId="0B843854" w14:textId="77777777" w:rsidR="00CB2596" w:rsidRDefault="00CB2596" w:rsidP="006808CF">
      <w:pPr>
        <w:autoSpaceDE w:val="0"/>
        <w:autoSpaceDN w:val="0"/>
        <w:adjustRightInd w:val="0"/>
        <w:rPr>
          <w:lang w:eastAsia="en-AU"/>
        </w:rPr>
      </w:pPr>
    </w:p>
    <w:p w14:paraId="59748F67" w14:textId="7017F729" w:rsidR="00CB2596" w:rsidRPr="00FE0761" w:rsidRDefault="00CB2596" w:rsidP="006808CF">
      <w:pPr>
        <w:autoSpaceDE w:val="0"/>
        <w:autoSpaceDN w:val="0"/>
        <w:adjustRightInd w:val="0"/>
        <w:rPr>
          <w:lang w:eastAsia="en-AU"/>
        </w:rPr>
      </w:pPr>
      <w:r>
        <w:rPr>
          <w:lang w:eastAsia="en-AU"/>
        </w:rPr>
        <w:t>This instrument also includes a definition for ‘Register’ in section 11.</w:t>
      </w:r>
    </w:p>
    <w:bookmarkEnd w:id="2"/>
    <w:p w14:paraId="75243B34" w14:textId="77777777" w:rsidR="006808CF" w:rsidRDefault="006808CF" w:rsidP="008C7252">
      <w:pPr>
        <w:pStyle w:val="NormalWeb"/>
        <w:shd w:val="clear" w:color="auto" w:fill="FFFFFF"/>
        <w:spacing w:before="0" w:beforeAutospacing="0" w:after="0" w:afterAutospacing="0"/>
        <w:rPr>
          <w:color w:val="000000"/>
        </w:rPr>
      </w:pPr>
    </w:p>
    <w:p w14:paraId="74E27B9D" w14:textId="77777777" w:rsidR="006808CF" w:rsidRDefault="006808CF" w:rsidP="006808CF">
      <w:pPr>
        <w:pStyle w:val="BodyText"/>
        <w:tabs>
          <w:tab w:val="left" w:pos="2826"/>
          <w:tab w:val="left" w:pos="3480"/>
          <w:tab w:val="left" w:pos="7994"/>
          <w:tab w:val="left" w:pos="9837"/>
        </w:tabs>
      </w:pPr>
      <w:r>
        <w:t>There are no human rights or climate change implications arising from this instrument.</w:t>
      </w:r>
      <w:r w:rsidRPr="00FD5F8D">
        <w:t xml:space="preserve"> </w:t>
      </w:r>
    </w:p>
    <w:p w14:paraId="6DB1BEAD" w14:textId="09BDB6E0" w:rsidR="008C7252" w:rsidRDefault="008C7252" w:rsidP="008C7252">
      <w:pPr>
        <w:pStyle w:val="NormalWeb"/>
        <w:shd w:val="clear" w:color="auto" w:fill="FFFFFF"/>
        <w:spacing w:before="0" w:beforeAutospacing="0" w:after="0" w:afterAutospacing="0"/>
        <w:rPr>
          <w:color w:val="000000"/>
        </w:rPr>
      </w:pPr>
    </w:p>
    <w:p w14:paraId="56ECE0C4" w14:textId="47DB9F86" w:rsidR="008C7252" w:rsidRDefault="008C7252" w:rsidP="008C7252">
      <w:pPr>
        <w:pStyle w:val="NormalWeb"/>
        <w:shd w:val="clear" w:color="auto" w:fill="FFFFFF"/>
        <w:spacing w:before="0" w:beforeAutospacing="0" w:after="0" w:afterAutospacing="0"/>
        <w:rPr>
          <w:color w:val="000000"/>
        </w:rPr>
      </w:pPr>
      <w:r>
        <w:rPr>
          <w:color w:val="000000"/>
        </w:rPr>
        <w:t>This determination is a disallowable instrument and must be presented to the Legislative Assembly within 6 sitting days after its notification pursuant to section 64 of the</w:t>
      </w:r>
      <w:r w:rsidR="008E2B0D">
        <w:rPr>
          <w:color w:val="000000"/>
        </w:rPr>
        <w:t xml:space="preserve"> </w:t>
      </w:r>
      <w:r>
        <w:rPr>
          <w:i/>
          <w:iCs/>
          <w:color w:val="000000"/>
        </w:rPr>
        <w:t>Legislation Act 2001</w:t>
      </w:r>
      <w:r>
        <w:rPr>
          <w:color w:val="000000"/>
        </w:rPr>
        <w:t>.</w:t>
      </w:r>
    </w:p>
    <w:p w14:paraId="60487855" w14:textId="77777777" w:rsidR="00A27FFB" w:rsidRDefault="00A27FFB" w:rsidP="008C7252">
      <w:pPr>
        <w:pStyle w:val="NormalWeb"/>
        <w:shd w:val="clear" w:color="auto" w:fill="FFFFFF"/>
        <w:spacing w:before="0" w:beforeAutospacing="0" w:after="0" w:afterAutospacing="0"/>
        <w:rPr>
          <w:color w:val="000000"/>
        </w:rPr>
      </w:pPr>
    </w:p>
    <w:p w14:paraId="6F013696" w14:textId="77777777" w:rsidR="00A27FFB" w:rsidRPr="00A27FFB" w:rsidRDefault="00A27FFB" w:rsidP="00A27FFB">
      <w:pPr>
        <w:pStyle w:val="NormalWeb"/>
        <w:shd w:val="clear" w:color="auto" w:fill="FFFFFF"/>
        <w:rPr>
          <w:b/>
          <w:bCs/>
          <w:color w:val="000000"/>
        </w:rPr>
      </w:pPr>
      <w:r w:rsidRPr="00A27FFB">
        <w:rPr>
          <w:b/>
          <w:bCs/>
          <w:color w:val="000000"/>
        </w:rPr>
        <w:t>Clause notes</w:t>
      </w:r>
      <w:r w:rsidRPr="00A27FFB">
        <w:rPr>
          <w:b/>
          <w:bCs/>
          <w:color w:val="000000"/>
        </w:rPr>
        <w:tab/>
      </w:r>
    </w:p>
    <w:p w14:paraId="1C98030B" w14:textId="77777777" w:rsidR="00A27FFB" w:rsidRPr="00A27FFB" w:rsidRDefault="00A27FFB" w:rsidP="00A27FFB">
      <w:pPr>
        <w:pStyle w:val="NormalWeb"/>
        <w:shd w:val="clear" w:color="auto" w:fill="FFFFFF"/>
        <w:rPr>
          <w:b/>
          <w:bCs/>
          <w:color w:val="000000"/>
        </w:rPr>
      </w:pPr>
      <w:r w:rsidRPr="00A27FFB">
        <w:rPr>
          <w:b/>
          <w:bCs/>
          <w:color w:val="000000"/>
        </w:rPr>
        <w:t>Clause 1</w:t>
      </w:r>
      <w:r w:rsidRPr="00A27FFB">
        <w:rPr>
          <w:b/>
          <w:bCs/>
          <w:color w:val="000000"/>
        </w:rPr>
        <w:tab/>
        <w:t>Name of instrument</w:t>
      </w:r>
    </w:p>
    <w:p w14:paraId="0EB97BDD" w14:textId="06809C13" w:rsidR="00A27FFB" w:rsidRPr="00A27FFB" w:rsidRDefault="00A27FFB" w:rsidP="00A27FFB">
      <w:pPr>
        <w:pStyle w:val="NormalWeb"/>
        <w:shd w:val="clear" w:color="auto" w:fill="FFFFFF"/>
        <w:rPr>
          <w:color w:val="000000"/>
        </w:rPr>
      </w:pPr>
      <w:r w:rsidRPr="00A27FFB">
        <w:rPr>
          <w:color w:val="000000"/>
        </w:rPr>
        <w:t xml:space="preserve">This clause states that the name of this instrument is the </w:t>
      </w:r>
      <w:r w:rsidRPr="00A27FFB">
        <w:rPr>
          <w:i/>
          <w:iCs/>
          <w:color w:val="000000"/>
        </w:rPr>
        <w:t xml:space="preserve">Road Transport (General) </w:t>
      </w:r>
      <w:r>
        <w:rPr>
          <w:i/>
          <w:iCs/>
          <w:color w:val="000000"/>
        </w:rPr>
        <w:t>Vehicle Registration</w:t>
      </w:r>
      <w:r w:rsidRPr="00A27FFB">
        <w:rPr>
          <w:i/>
          <w:iCs/>
          <w:color w:val="000000"/>
        </w:rPr>
        <w:t xml:space="preserve"> and Related Fees Determination 2025 (No </w:t>
      </w:r>
      <w:r w:rsidR="0026380E">
        <w:rPr>
          <w:i/>
          <w:iCs/>
          <w:color w:val="000000"/>
        </w:rPr>
        <w:t>3</w:t>
      </w:r>
      <w:r w:rsidRPr="00A27FFB">
        <w:rPr>
          <w:i/>
          <w:iCs/>
          <w:color w:val="000000"/>
        </w:rPr>
        <w:t>)</w:t>
      </w:r>
      <w:r w:rsidRPr="00A27FFB">
        <w:rPr>
          <w:color w:val="000000"/>
        </w:rPr>
        <w:t>.</w:t>
      </w:r>
    </w:p>
    <w:p w14:paraId="7CD18FF8" w14:textId="77777777" w:rsidR="00A27FFB" w:rsidRPr="00A27FFB" w:rsidRDefault="00A27FFB" w:rsidP="00A27FFB">
      <w:pPr>
        <w:pStyle w:val="NormalWeb"/>
        <w:shd w:val="clear" w:color="auto" w:fill="FFFFFF"/>
        <w:rPr>
          <w:b/>
          <w:bCs/>
          <w:color w:val="000000"/>
        </w:rPr>
      </w:pPr>
      <w:r w:rsidRPr="00A27FFB">
        <w:rPr>
          <w:b/>
          <w:bCs/>
          <w:color w:val="000000"/>
        </w:rPr>
        <w:t>Clause 2</w:t>
      </w:r>
      <w:r w:rsidRPr="00A27FFB">
        <w:rPr>
          <w:b/>
          <w:bCs/>
          <w:color w:val="000000"/>
        </w:rPr>
        <w:tab/>
        <w:t>Commencement</w:t>
      </w:r>
    </w:p>
    <w:p w14:paraId="0E8D1043" w14:textId="77777777" w:rsidR="00A27FFB" w:rsidRPr="00A27FFB" w:rsidRDefault="00A27FFB" w:rsidP="00A27FFB">
      <w:pPr>
        <w:pStyle w:val="NormalWeb"/>
        <w:shd w:val="clear" w:color="auto" w:fill="FFFFFF"/>
        <w:rPr>
          <w:color w:val="000000"/>
        </w:rPr>
      </w:pPr>
      <w:r w:rsidRPr="00A27FFB">
        <w:rPr>
          <w:color w:val="000000"/>
        </w:rPr>
        <w:t>This clause states that the instrument commences on the day after it is notified.</w:t>
      </w:r>
    </w:p>
    <w:p w14:paraId="54B594DC" w14:textId="77777777" w:rsidR="00A27FFB" w:rsidRPr="00A27FFB" w:rsidRDefault="00A27FFB" w:rsidP="00A27FFB">
      <w:pPr>
        <w:pStyle w:val="NormalWeb"/>
        <w:shd w:val="clear" w:color="auto" w:fill="FFFFFF"/>
        <w:rPr>
          <w:b/>
          <w:bCs/>
          <w:color w:val="000000"/>
        </w:rPr>
      </w:pPr>
      <w:r w:rsidRPr="00A27FFB">
        <w:rPr>
          <w:b/>
          <w:bCs/>
          <w:color w:val="000000"/>
        </w:rPr>
        <w:t>Clause 3</w:t>
      </w:r>
      <w:r w:rsidRPr="00A27FFB">
        <w:rPr>
          <w:b/>
          <w:bCs/>
          <w:color w:val="000000"/>
        </w:rPr>
        <w:tab/>
        <w:t>Revocation</w:t>
      </w:r>
    </w:p>
    <w:p w14:paraId="364E1A18" w14:textId="0A688706" w:rsidR="00A27FFB" w:rsidRPr="00FF5214" w:rsidRDefault="00A27FFB" w:rsidP="00A27FFB">
      <w:pPr>
        <w:ind w:hanging="11"/>
      </w:pPr>
      <w:r w:rsidRPr="00A27FFB">
        <w:rPr>
          <w:color w:val="000000"/>
        </w:rPr>
        <w:t xml:space="preserve">This clause states that </w:t>
      </w:r>
      <w:r w:rsidRPr="00FF5214">
        <w:t xml:space="preserve">Disallowable instrument </w:t>
      </w:r>
      <w:r w:rsidRPr="00783B8B">
        <w:t>DI20</w:t>
      </w:r>
      <w:r>
        <w:t>25-</w:t>
      </w:r>
      <w:r w:rsidR="0026380E">
        <w:t>185</w:t>
      </w:r>
      <w:r>
        <w:t>,</w:t>
      </w:r>
      <w:r w:rsidRPr="00FF5214">
        <w:t xml:space="preserve"> </w:t>
      </w:r>
      <w:r w:rsidRPr="00FF5214">
        <w:rPr>
          <w:i/>
        </w:rPr>
        <w:t>Road Transport (General) Vehicle Registration and Related Fees Determination 20</w:t>
      </w:r>
      <w:r>
        <w:rPr>
          <w:i/>
        </w:rPr>
        <w:t>25</w:t>
      </w:r>
      <w:r w:rsidRPr="00FF5214">
        <w:rPr>
          <w:i/>
        </w:rPr>
        <w:t xml:space="preserve"> (No</w:t>
      </w:r>
      <w:r>
        <w:rPr>
          <w:i/>
        </w:rPr>
        <w:t xml:space="preserve"> </w:t>
      </w:r>
      <w:r w:rsidR="0026380E">
        <w:rPr>
          <w:i/>
        </w:rPr>
        <w:t>2</w:t>
      </w:r>
      <w:r w:rsidRPr="00FF5214">
        <w:rPr>
          <w:i/>
        </w:rPr>
        <w:t>)</w:t>
      </w:r>
      <w:r>
        <w:rPr>
          <w:iCs/>
        </w:rPr>
        <w:t>,</w:t>
      </w:r>
      <w:r w:rsidRPr="00FF5214">
        <w:rPr>
          <w:i/>
        </w:rPr>
        <w:t xml:space="preserve"> </w:t>
      </w:r>
      <w:r w:rsidRPr="00FF5214">
        <w:t>is revoked.</w:t>
      </w:r>
    </w:p>
    <w:p w14:paraId="43DE14B2" w14:textId="77777777" w:rsidR="00A27FFB" w:rsidRPr="00A3105E" w:rsidRDefault="00A27FFB" w:rsidP="00A27FFB">
      <w:pPr>
        <w:pStyle w:val="NormalWeb"/>
        <w:shd w:val="clear" w:color="auto" w:fill="FFFFFF"/>
        <w:rPr>
          <w:b/>
          <w:bCs/>
          <w:color w:val="000000"/>
        </w:rPr>
      </w:pPr>
      <w:r w:rsidRPr="00A3105E">
        <w:rPr>
          <w:b/>
          <w:bCs/>
          <w:color w:val="000000"/>
        </w:rPr>
        <w:t>Clause 4</w:t>
      </w:r>
      <w:r w:rsidRPr="00A3105E">
        <w:rPr>
          <w:b/>
          <w:bCs/>
          <w:color w:val="000000"/>
        </w:rPr>
        <w:tab/>
        <w:t>Determination of fees</w:t>
      </w:r>
    </w:p>
    <w:p w14:paraId="06442306" w14:textId="7F005E5D" w:rsidR="00A27FFB" w:rsidRDefault="00A27FFB" w:rsidP="00A27FFB">
      <w:pPr>
        <w:pStyle w:val="NormalWeb"/>
        <w:shd w:val="clear" w:color="auto" w:fill="FFFFFF"/>
        <w:rPr>
          <w:color w:val="000000"/>
        </w:rPr>
      </w:pPr>
      <w:r w:rsidRPr="00A27FFB">
        <w:rPr>
          <w:color w:val="000000"/>
        </w:rPr>
        <w:t>This clause provides for the</w:t>
      </w:r>
      <w:r>
        <w:rPr>
          <w:color w:val="000000"/>
        </w:rPr>
        <w:t>:</w:t>
      </w:r>
      <w:r w:rsidRPr="00A27FFB">
        <w:rPr>
          <w:color w:val="000000"/>
        </w:rPr>
        <w:t xml:space="preserve"> </w:t>
      </w:r>
    </w:p>
    <w:p w14:paraId="4E0EEB02" w14:textId="0F83DAE3" w:rsidR="00A27FFB" w:rsidRDefault="00A27FFB" w:rsidP="005950AB">
      <w:pPr>
        <w:pStyle w:val="NormalWeb"/>
        <w:numPr>
          <w:ilvl w:val="0"/>
          <w:numId w:val="10"/>
        </w:numPr>
        <w:shd w:val="clear" w:color="auto" w:fill="FFFFFF"/>
        <w:rPr>
          <w:color w:val="000000"/>
        </w:rPr>
      </w:pPr>
      <w:r w:rsidRPr="00A27FFB">
        <w:rPr>
          <w:color w:val="000000"/>
        </w:rPr>
        <w:t>fees payable for</w:t>
      </w:r>
      <w:r>
        <w:rPr>
          <w:color w:val="000000"/>
        </w:rPr>
        <w:t xml:space="preserve"> vehicle registration</w:t>
      </w:r>
      <w:r w:rsidRPr="00A27FFB">
        <w:rPr>
          <w:color w:val="000000"/>
        </w:rPr>
        <w:t xml:space="preserve"> periods </w:t>
      </w:r>
      <w:r>
        <w:rPr>
          <w:color w:val="000000"/>
        </w:rPr>
        <w:t xml:space="preserve">of 12 months in Part 1 </w:t>
      </w:r>
      <w:r w:rsidR="0026380E">
        <w:rPr>
          <w:color w:val="000000"/>
        </w:rPr>
        <w:t xml:space="preserve">and Part 1A </w:t>
      </w:r>
      <w:r>
        <w:rPr>
          <w:color w:val="000000"/>
        </w:rPr>
        <w:t xml:space="preserve">of </w:t>
      </w:r>
      <w:r w:rsidR="005950AB">
        <w:rPr>
          <w:color w:val="000000"/>
        </w:rPr>
        <w:t>S</w:t>
      </w:r>
      <w:r>
        <w:rPr>
          <w:color w:val="000000"/>
        </w:rPr>
        <w:t xml:space="preserve">chedule 1; </w:t>
      </w:r>
    </w:p>
    <w:p w14:paraId="6C726EF4" w14:textId="115341C0" w:rsidR="00A27FFB" w:rsidRDefault="00A27FFB" w:rsidP="005950AB">
      <w:pPr>
        <w:pStyle w:val="NormalWeb"/>
        <w:numPr>
          <w:ilvl w:val="0"/>
          <w:numId w:val="10"/>
        </w:numPr>
        <w:shd w:val="clear" w:color="auto" w:fill="FFFFFF"/>
        <w:rPr>
          <w:color w:val="000000"/>
        </w:rPr>
      </w:pPr>
      <w:r>
        <w:rPr>
          <w:color w:val="000000"/>
        </w:rPr>
        <w:t xml:space="preserve">fees payable for items in part 1 of schedule 1 that are less than 12 months, determined in accordance with the applicable formula set out in part 2 of </w:t>
      </w:r>
      <w:r w:rsidR="005950AB">
        <w:rPr>
          <w:color w:val="000000"/>
        </w:rPr>
        <w:t>S</w:t>
      </w:r>
      <w:r>
        <w:rPr>
          <w:color w:val="000000"/>
        </w:rPr>
        <w:t xml:space="preserve">chedule 1; </w:t>
      </w:r>
    </w:p>
    <w:p w14:paraId="11E178C7" w14:textId="7E8DF443" w:rsidR="00A27FFB" w:rsidRDefault="00A27FFB" w:rsidP="005950AB">
      <w:pPr>
        <w:pStyle w:val="NormalWeb"/>
        <w:numPr>
          <w:ilvl w:val="0"/>
          <w:numId w:val="10"/>
        </w:numPr>
        <w:shd w:val="clear" w:color="auto" w:fill="FFFFFF"/>
        <w:rPr>
          <w:color w:val="000000"/>
        </w:rPr>
      </w:pPr>
      <w:r w:rsidRPr="00A27FFB">
        <w:rPr>
          <w:color w:val="000000"/>
        </w:rPr>
        <w:lastRenderedPageBreak/>
        <w:t>fees payable for</w:t>
      </w:r>
      <w:r>
        <w:rPr>
          <w:color w:val="000000"/>
        </w:rPr>
        <w:t xml:space="preserve"> vehicle registration</w:t>
      </w:r>
      <w:r w:rsidRPr="00A27FFB">
        <w:rPr>
          <w:color w:val="000000"/>
        </w:rPr>
        <w:t xml:space="preserve"> periods </w:t>
      </w:r>
      <w:r>
        <w:rPr>
          <w:color w:val="000000"/>
        </w:rPr>
        <w:t xml:space="preserve">of 12 months in Part 3 of </w:t>
      </w:r>
      <w:r w:rsidR="005950AB">
        <w:rPr>
          <w:color w:val="000000"/>
        </w:rPr>
        <w:t>S</w:t>
      </w:r>
      <w:r>
        <w:rPr>
          <w:color w:val="000000"/>
        </w:rPr>
        <w:t>chedule 1;</w:t>
      </w:r>
    </w:p>
    <w:p w14:paraId="65A191C3" w14:textId="3351CB68" w:rsidR="00A27FFB" w:rsidRDefault="00A27FFB" w:rsidP="005950AB">
      <w:pPr>
        <w:pStyle w:val="NormalWeb"/>
        <w:numPr>
          <w:ilvl w:val="0"/>
          <w:numId w:val="10"/>
        </w:numPr>
        <w:shd w:val="clear" w:color="auto" w:fill="FFFFFF"/>
        <w:rPr>
          <w:color w:val="000000"/>
        </w:rPr>
      </w:pPr>
      <w:r>
        <w:rPr>
          <w:color w:val="000000"/>
        </w:rPr>
        <w:t xml:space="preserve">fees payable for items in part 4 of </w:t>
      </w:r>
      <w:r w:rsidR="005950AB">
        <w:rPr>
          <w:color w:val="000000"/>
        </w:rPr>
        <w:t>S</w:t>
      </w:r>
      <w:r>
        <w:rPr>
          <w:color w:val="000000"/>
        </w:rPr>
        <w:t xml:space="preserve">chedule 1; and </w:t>
      </w:r>
    </w:p>
    <w:p w14:paraId="39CCBBBE" w14:textId="5070EE10" w:rsidR="00A27FFB" w:rsidRPr="00A27FFB" w:rsidRDefault="00A27FFB" w:rsidP="005950AB">
      <w:pPr>
        <w:pStyle w:val="NormalWeb"/>
        <w:numPr>
          <w:ilvl w:val="0"/>
          <w:numId w:val="10"/>
        </w:numPr>
        <w:shd w:val="clear" w:color="auto" w:fill="FFFFFF"/>
        <w:rPr>
          <w:color w:val="000000"/>
        </w:rPr>
      </w:pPr>
      <w:r>
        <w:rPr>
          <w:color w:val="000000"/>
        </w:rPr>
        <w:t xml:space="preserve">fees payable by external organisations for the provision of data sourced from the Road </w:t>
      </w:r>
      <w:r w:rsidR="005950AB">
        <w:rPr>
          <w:color w:val="000000"/>
        </w:rPr>
        <w:t>Transport</w:t>
      </w:r>
      <w:r>
        <w:rPr>
          <w:color w:val="000000"/>
        </w:rPr>
        <w:t xml:space="preserve"> Authority</w:t>
      </w:r>
      <w:r w:rsidR="005950AB">
        <w:rPr>
          <w:color w:val="000000"/>
        </w:rPr>
        <w:t xml:space="preserve"> database in items in Schedule 2 and Schedule 3. </w:t>
      </w:r>
      <w:r>
        <w:rPr>
          <w:color w:val="000000"/>
        </w:rPr>
        <w:t xml:space="preserve">  </w:t>
      </w:r>
    </w:p>
    <w:p w14:paraId="7E4B4202" w14:textId="77777777" w:rsidR="00A27FFB" w:rsidRPr="005950AB" w:rsidRDefault="00A27FFB" w:rsidP="00A27FFB">
      <w:pPr>
        <w:pStyle w:val="NormalWeb"/>
        <w:shd w:val="clear" w:color="auto" w:fill="FFFFFF"/>
        <w:rPr>
          <w:b/>
          <w:bCs/>
          <w:color w:val="000000"/>
        </w:rPr>
      </w:pPr>
      <w:r w:rsidRPr="005950AB">
        <w:rPr>
          <w:b/>
          <w:bCs/>
          <w:color w:val="000000"/>
        </w:rPr>
        <w:t>Clause 5</w:t>
      </w:r>
      <w:r w:rsidRPr="005950AB">
        <w:rPr>
          <w:b/>
          <w:bCs/>
          <w:color w:val="000000"/>
        </w:rPr>
        <w:tab/>
        <w:t>Payment of fees</w:t>
      </w:r>
    </w:p>
    <w:p w14:paraId="28304CB3" w14:textId="68C53D17" w:rsidR="00A27FFB" w:rsidRPr="00A27FFB" w:rsidRDefault="00A27FFB" w:rsidP="00A27FFB">
      <w:pPr>
        <w:pStyle w:val="NormalWeb"/>
        <w:shd w:val="clear" w:color="auto" w:fill="FFFFFF"/>
        <w:rPr>
          <w:color w:val="000000"/>
        </w:rPr>
      </w:pPr>
      <w:r w:rsidRPr="00A27FFB">
        <w:rPr>
          <w:color w:val="000000"/>
        </w:rPr>
        <w:t>This clause states that a fee for a thing in schedule</w:t>
      </w:r>
      <w:r w:rsidR="005950AB">
        <w:rPr>
          <w:color w:val="000000"/>
        </w:rPr>
        <w:t>s</w:t>
      </w:r>
      <w:r w:rsidRPr="00A27FFB">
        <w:rPr>
          <w:color w:val="000000"/>
        </w:rPr>
        <w:t xml:space="preserve"> 1</w:t>
      </w:r>
      <w:r w:rsidR="005950AB">
        <w:rPr>
          <w:color w:val="000000"/>
        </w:rPr>
        <w:t>, 2 and 3</w:t>
      </w:r>
      <w:r w:rsidRPr="00A27FFB">
        <w:rPr>
          <w:color w:val="000000"/>
        </w:rPr>
        <w:t xml:space="preserve"> is payable to the road transport authority by the applicant for the thing to which the application relates.</w:t>
      </w:r>
      <w:r w:rsidR="005950AB">
        <w:rPr>
          <w:color w:val="000000"/>
        </w:rPr>
        <w:t xml:space="preserve"> This clause also states that </w:t>
      </w:r>
      <w:r w:rsidR="00AE70F6">
        <w:rPr>
          <w:color w:val="000000"/>
        </w:rPr>
        <w:t>a</w:t>
      </w:r>
      <w:r w:rsidR="005950AB">
        <w:t xml:space="preserve">n amount equal to the regulatory component of the heavy vehicle registration fees paid (items </w:t>
      </w:r>
      <w:r w:rsidR="005950AB" w:rsidRPr="00E534E3">
        <w:t>16.1 to 20.3, part 3, schedule 1</w:t>
      </w:r>
      <w:r w:rsidR="005950AB">
        <w:t>) to the road transport authority will be transferred to the National Heavy Vehicle Regulator Fund.</w:t>
      </w:r>
    </w:p>
    <w:p w14:paraId="4080FBB2" w14:textId="5ACB07A3" w:rsidR="005950AB" w:rsidRPr="00AE70F6" w:rsidRDefault="00A27FFB" w:rsidP="00A27FFB">
      <w:pPr>
        <w:pStyle w:val="NormalWeb"/>
        <w:shd w:val="clear" w:color="auto" w:fill="FFFFFF"/>
        <w:rPr>
          <w:b/>
          <w:bCs/>
          <w:lang w:val="en-US"/>
        </w:rPr>
      </w:pPr>
      <w:r w:rsidRPr="005950AB">
        <w:rPr>
          <w:b/>
          <w:bCs/>
          <w:color w:val="000000"/>
        </w:rPr>
        <w:t>Clause 6</w:t>
      </w:r>
      <w:r w:rsidRPr="00A27FFB">
        <w:rPr>
          <w:color w:val="000000"/>
        </w:rPr>
        <w:tab/>
      </w:r>
      <w:r w:rsidR="005950AB" w:rsidRPr="005950AB">
        <w:rPr>
          <w:b/>
          <w:bCs/>
          <w:lang w:val="en-US"/>
        </w:rPr>
        <w:t xml:space="preserve">Discounted fees items 1.1.1 to </w:t>
      </w:r>
      <w:r w:rsidR="00AE70F6">
        <w:rPr>
          <w:b/>
          <w:bCs/>
          <w:lang w:val="en-US"/>
        </w:rPr>
        <w:t>2A.6.4</w:t>
      </w:r>
      <w:r w:rsidR="005950AB" w:rsidRPr="005950AB">
        <w:rPr>
          <w:b/>
          <w:bCs/>
          <w:lang w:val="en-US"/>
        </w:rPr>
        <w:t>—payment of vehicle registration</w:t>
      </w:r>
      <w:r w:rsidR="005950AB" w:rsidRPr="00A27FFB">
        <w:rPr>
          <w:color w:val="000000"/>
        </w:rPr>
        <w:t xml:space="preserve"> </w:t>
      </w:r>
    </w:p>
    <w:p w14:paraId="44D9CD52" w14:textId="4E7BCC2C" w:rsidR="00A27FFB" w:rsidRPr="00A27FFB" w:rsidRDefault="00A27FFB" w:rsidP="005950AB">
      <w:pPr>
        <w:pStyle w:val="NormalWeb"/>
        <w:shd w:val="clear" w:color="auto" w:fill="FFFFFF"/>
        <w:rPr>
          <w:color w:val="000000"/>
        </w:rPr>
      </w:pPr>
      <w:r w:rsidRPr="00A27FFB">
        <w:rPr>
          <w:color w:val="000000"/>
        </w:rPr>
        <w:t xml:space="preserve">This clause </w:t>
      </w:r>
      <w:r w:rsidR="005950AB">
        <w:rPr>
          <w:color w:val="000000"/>
        </w:rPr>
        <w:t>states that</w:t>
      </w:r>
      <w:r w:rsidRPr="00A27FFB">
        <w:rPr>
          <w:color w:val="000000"/>
        </w:rPr>
        <w:t xml:space="preserve"> </w:t>
      </w:r>
      <w:r w:rsidR="005950AB">
        <w:rPr>
          <w:color w:val="000000"/>
        </w:rPr>
        <w:t xml:space="preserve">12-month registration fees in columns 3 or 4 for items </w:t>
      </w:r>
      <w:r w:rsidR="00CB2596">
        <w:t>1.1.1 to 8.13 in part 1 of schedule 1 or in columns 3 or 4 for items 1A.1.1 to 2A.6.4 in part 1A of schedule 1</w:t>
      </w:r>
      <w:r w:rsidR="005950AB">
        <w:rPr>
          <w:color w:val="000000"/>
        </w:rPr>
        <w:t xml:space="preserve"> shall be discounted by 2% if paid in full. </w:t>
      </w:r>
    </w:p>
    <w:p w14:paraId="24A5BCEB" w14:textId="77777777" w:rsidR="005950AB" w:rsidRPr="005950AB" w:rsidRDefault="00A27FFB" w:rsidP="00A27FFB">
      <w:pPr>
        <w:pStyle w:val="NormalWeb"/>
        <w:shd w:val="clear" w:color="auto" w:fill="FFFFFF"/>
        <w:rPr>
          <w:b/>
          <w:bCs/>
          <w:color w:val="000000"/>
        </w:rPr>
      </w:pPr>
      <w:r w:rsidRPr="005950AB">
        <w:rPr>
          <w:b/>
          <w:bCs/>
          <w:color w:val="000000"/>
        </w:rPr>
        <w:t>Clause 7</w:t>
      </w:r>
      <w:r w:rsidRPr="005950AB">
        <w:rPr>
          <w:b/>
          <w:bCs/>
          <w:color w:val="000000"/>
        </w:rPr>
        <w:tab/>
      </w:r>
      <w:r w:rsidR="005950AB" w:rsidRPr="005950AB">
        <w:rPr>
          <w:b/>
          <w:bCs/>
          <w:lang w:val="en-US"/>
        </w:rPr>
        <w:t>Exemption from item 22.3—payment for vehicle’s registration dishonoured</w:t>
      </w:r>
      <w:r w:rsidR="005950AB" w:rsidRPr="005950AB">
        <w:rPr>
          <w:b/>
          <w:bCs/>
          <w:color w:val="000000"/>
        </w:rPr>
        <w:t xml:space="preserve"> </w:t>
      </w:r>
    </w:p>
    <w:p w14:paraId="590F2174" w14:textId="40DD1F2A" w:rsidR="00A27FFB" w:rsidRPr="00A27FFB" w:rsidRDefault="00A27FFB" w:rsidP="005950AB">
      <w:pPr>
        <w:pStyle w:val="NormalWeb"/>
        <w:shd w:val="clear" w:color="auto" w:fill="FFFFFF"/>
        <w:rPr>
          <w:color w:val="000000"/>
        </w:rPr>
      </w:pPr>
      <w:r w:rsidRPr="00A27FFB">
        <w:rPr>
          <w:color w:val="000000"/>
        </w:rPr>
        <w:t xml:space="preserve">This clause provides for a </w:t>
      </w:r>
      <w:r w:rsidR="005950AB" w:rsidRPr="005950AB">
        <w:rPr>
          <w:color w:val="000000"/>
        </w:rPr>
        <w:t xml:space="preserve">fee in columns 3 or 4 for item 22.3 in part 4 of schedule 1 </w:t>
      </w:r>
      <w:r w:rsidR="005950AB">
        <w:rPr>
          <w:color w:val="000000"/>
        </w:rPr>
        <w:t xml:space="preserve">to be </w:t>
      </w:r>
      <w:r w:rsidR="005950AB" w:rsidRPr="005950AB">
        <w:rPr>
          <w:color w:val="000000"/>
        </w:rPr>
        <w:t>not payable in relation to a vehicle if the vehicle’s registration is cancelled because payment for the vehicle’s registration by the former registered operator is dishonoured.</w:t>
      </w:r>
    </w:p>
    <w:p w14:paraId="348353F4" w14:textId="307671F9" w:rsidR="00A27FFB" w:rsidRPr="00277C21" w:rsidRDefault="00A27FFB" w:rsidP="00A27FFB">
      <w:pPr>
        <w:pStyle w:val="NormalWeb"/>
        <w:shd w:val="clear" w:color="auto" w:fill="FFFFFF"/>
        <w:rPr>
          <w:b/>
          <w:bCs/>
          <w:color w:val="000000"/>
        </w:rPr>
      </w:pPr>
      <w:r w:rsidRPr="00277C21">
        <w:rPr>
          <w:b/>
          <w:bCs/>
          <w:color w:val="000000"/>
        </w:rPr>
        <w:t>Clause 8</w:t>
      </w:r>
      <w:r w:rsidRPr="00277C21">
        <w:rPr>
          <w:b/>
          <w:bCs/>
          <w:color w:val="000000"/>
        </w:rPr>
        <w:tab/>
        <w:t xml:space="preserve">Exemption from item </w:t>
      </w:r>
      <w:r w:rsidR="005950AB" w:rsidRPr="00277C21">
        <w:rPr>
          <w:b/>
          <w:bCs/>
          <w:color w:val="000000"/>
        </w:rPr>
        <w:t>26.2</w:t>
      </w:r>
      <w:r w:rsidRPr="00277C21">
        <w:rPr>
          <w:b/>
          <w:bCs/>
          <w:color w:val="000000"/>
        </w:rPr>
        <w:t>—Commonwealth agencies and State and Territory authorities</w:t>
      </w:r>
    </w:p>
    <w:p w14:paraId="2D38984D" w14:textId="03B5E7F4" w:rsidR="00A27FFB" w:rsidRDefault="00A27FFB" w:rsidP="00A27FFB">
      <w:pPr>
        <w:pStyle w:val="NormalWeb"/>
        <w:shd w:val="clear" w:color="auto" w:fill="FFFFFF"/>
        <w:rPr>
          <w:color w:val="000000"/>
        </w:rPr>
      </w:pPr>
      <w:r w:rsidRPr="00A27FFB">
        <w:rPr>
          <w:color w:val="000000"/>
        </w:rPr>
        <w:t xml:space="preserve">This clause provides for a fee in columns 3 or 4 for item </w:t>
      </w:r>
      <w:r w:rsidR="00277C21">
        <w:rPr>
          <w:color w:val="000000"/>
        </w:rPr>
        <w:t>26.2</w:t>
      </w:r>
      <w:r w:rsidRPr="00A27FFB">
        <w:rPr>
          <w:color w:val="000000"/>
        </w:rPr>
        <w:t xml:space="preserve"> in part </w:t>
      </w:r>
      <w:r w:rsidR="00277C21">
        <w:rPr>
          <w:color w:val="000000"/>
        </w:rPr>
        <w:t>4</w:t>
      </w:r>
      <w:r w:rsidRPr="00A27FFB">
        <w:rPr>
          <w:color w:val="000000"/>
        </w:rPr>
        <w:t xml:space="preserve"> of schedule 1 to be not payable if the search of records is requested by a Commonwealth agency or a State or Territory authority and the provision of the results of the search to the agency or authority is required or authorised by law, or reasonably necessary for the enforcement of the criminal law or of a law imposing a pecuniary penalty, or for the protection of the public revenue. </w:t>
      </w:r>
    </w:p>
    <w:p w14:paraId="76BB166E" w14:textId="7056BDDB" w:rsidR="00277C21" w:rsidRPr="00277C21" w:rsidRDefault="00277C21" w:rsidP="00277C21">
      <w:pPr>
        <w:pStyle w:val="NormalWeb"/>
        <w:shd w:val="clear" w:color="auto" w:fill="FFFFFF"/>
        <w:rPr>
          <w:b/>
          <w:bCs/>
          <w:color w:val="000000"/>
        </w:rPr>
      </w:pPr>
      <w:r w:rsidRPr="00277C21">
        <w:rPr>
          <w:b/>
          <w:bCs/>
          <w:color w:val="000000"/>
        </w:rPr>
        <w:t xml:space="preserve">Clause </w:t>
      </w:r>
      <w:r>
        <w:rPr>
          <w:b/>
          <w:bCs/>
          <w:color w:val="000000"/>
        </w:rPr>
        <w:t>9</w:t>
      </w:r>
      <w:r w:rsidRPr="00277C21">
        <w:rPr>
          <w:b/>
          <w:bCs/>
          <w:color w:val="000000"/>
        </w:rPr>
        <w:tab/>
        <w:t>Exemption from item 26.</w:t>
      </w:r>
      <w:r>
        <w:rPr>
          <w:b/>
          <w:bCs/>
          <w:color w:val="000000"/>
        </w:rPr>
        <w:t>3</w:t>
      </w:r>
      <w:r w:rsidRPr="00277C21">
        <w:rPr>
          <w:b/>
          <w:bCs/>
          <w:color w:val="000000"/>
        </w:rPr>
        <w:t>—</w:t>
      </w:r>
      <w:r>
        <w:rPr>
          <w:b/>
          <w:bCs/>
          <w:color w:val="000000"/>
        </w:rPr>
        <w:t>defective and lost registration certificates</w:t>
      </w:r>
    </w:p>
    <w:p w14:paraId="2659D76A" w14:textId="2F709B89" w:rsidR="00A3105E" w:rsidRPr="00FF5214" w:rsidRDefault="00277C21" w:rsidP="00A3105E">
      <w:pPr>
        <w:tabs>
          <w:tab w:val="num" w:pos="1134"/>
        </w:tabs>
        <w:spacing w:before="60" w:after="60"/>
      </w:pPr>
      <w:r w:rsidRPr="00A27FFB">
        <w:rPr>
          <w:color w:val="000000"/>
        </w:rPr>
        <w:t xml:space="preserve">This clause provides for a fee in columns 3 or 4 for item </w:t>
      </w:r>
      <w:r>
        <w:rPr>
          <w:color w:val="000000"/>
        </w:rPr>
        <w:t>26.3</w:t>
      </w:r>
      <w:r w:rsidRPr="00A27FFB">
        <w:rPr>
          <w:color w:val="000000"/>
        </w:rPr>
        <w:t xml:space="preserve"> in part </w:t>
      </w:r>
      <w:r>
        <w:rPr>
          <w:color w:val="000000"/>
        </w:rPr>
        <w:t>4</w:t>
      </w:r>
      <w:r w:rsidRPr="00A27FFB">
        <w:rPr>
          <w:color w:val="000000"/>
        </w:rPr>
        <w:t xml:space="preserve"> of schedule 1 to be not payable if the </w:t>
      </w:r>
      <w:r>
        <w:rPr>
          <w:color w:val="000000"/>
        </w:rPr>
        <w:t xml:space="preserve">replacement of the registration certificate is required because </w:t>
      </w:r>
      <w:r w:rsidR="00A3105E" w:rsidRPr="00FF5214">
        <w:t>of a defect in the manufacture of the certificate</w:t>
      </w:r>
      <w:r w:rsidR="00A3105E">
        <w:t xml:space="preserve"> </w:t>
      </w:r>
      <w:r w:rsidR="00A3105E" w:rsidRPr="00FF5214">
        <w:t>or</w:t>
      </w:r>
      <w:r w:rsidR="00A3105E">
        <w:t xml:space="preserve"> </w:t>
      </w:r>
      <w:r w:rsidR="00A3105E" w:rsidRPr="00FF5214">
        <w:t xml:space="preserve">the certificate was posted to a person but was not received by the person. </w:t>
      </w:r>
    </w:p>
    <w:p w14:paraId="188826FC" w14:textId="7D3A370E" w:rsidR="00A3105E" w:rsidRPr="00A3105E" w:rsidRDefault="00A3105E" w:rsidP="00A3105E">
      <w:pPr>
        <w:pStyle w:val="NormalWeb"/>
        <w:shd w:val="clear" w:color="auto" w:fill="FFFFFF"/>
        <w:rPr>
          <w:b/>
          <w:bCs/>
          <w:color w:val="000000"/>
        </w:rPr>
      </w:pPr>
      <w:r w:rsidRPr="00A3105E">
        <w:rPr>
          <w:b/>
          <w:bCs/>
          <w:color w:val="000000"/>
        </w:rPr>
        <w:t>Clause 10</w:t>
      </w:r>
      <w:r w:rsidRPr="00A3105E">
        <w:rPr>
          <w:b/>
          <w:bCs/>
          <w:color w:val="000000"/>
        </w:rPr>
        <w:tab/>
        <w:t>Goods and Services Tax</w:t>
      </w:r>
    </w:p>
    <w:p w14:paraId="0116499A" w14:textId="626981A4" w:rsidR="00A3105E" w:rsidRPr="00A27FFB" w:rsidRDefault="00A3105E" w:rsidP="00A3105E">
      <w:pPr>
        <w:pStyle w:val="NormalWeb"/>
        <w:shd w:val="clear" w:color="auto" w:fill="FFFFFF"/>
        <w:rPr>
          <w:color w:val="000000"/>
        </w:rPr>
      </w:pPr>
      <w:r>
        <w:rPr>
          <w:color w:val="000000"/>
        </w:rPr>
        <w:t xml:space="preserve">This clauses states that where applicable, fees are inclusive of GST. </w:t>
      </w:r>
    </w:p>
    <w:p w14:paraId="6F378196" w14:textId="7454181B" w:rsidR="00A27FFB" w:rsidRPr="00A3105E" w:rsidRDefault="00A27FFB" w:rsidP="00A27FFB">
      <w:pPr>
        <w:pStyle w:val="NormalWeb"/>
        <w:shd w:val="clear" w:color="auto" w:fill="FFFFFF"/>
        <w:rPr>
          <w:b/>
          <w:bCs/>
          <w:color w:val="000000"/>
        </w:rPr>
      </w:pPr>
      <w:r w:rsidRPr="00A3105E">
        <w:rPr>
          <w:b/>
          <w:bCs/>
          <w:color w:val="000000"/>
        </w:rPr>
        <w:lastRenderedPageBreak/>
        <w:t xml:space="preserve">Clause </w:t>
      </w:r>
      <w:r w:rsidR="00A3105E" w:rsidRPr="00A3105E">
        <w:rPr>
          <w:b/>
          <w:bCs/>
          <w:color w:val="000000"/>
        </w:rPr>
        <w:t>11</w:t>
      </w:r>
      <w:r w:rsidRPr="00A3105E">
        <w:rPr>
          <w:b/>
          <w:bCs/>
          <w:color w:val="000000"/>
        </w:rPr>
        <w:tab/>
        <w:t>Definitions</w:t>
      </w:r>
    </w:p>
    <w:p w14:paraId="3F733980" w14:textId="77777777" w:rsidR="00A27FFB" w:rsidRPr="00A27FFB" w:rsidRDefault="00A27FFB" w:rsidP="00A27FFB">
      <w:pPr>
        <w:pStyle w:val="NormalWeb"/>
        <w:shd w:val="clear" w:color="auto" w:fill="FFFFFF"/>
        <w:rPr>
          <w:color w:val="000000"/>
        </w:rPr>
      </w:pPr>
      <w:r w:rsidRPr="00A27FFB">
        <w:rPr>
          <w:color w:val="000000"/>
        </w:rPr>
        <w:t xml:space="preserve">This clause provides definitions relevant to the interpretation of the instrument. </w:t>
      </w:r>
    </w:p>
    <w:p w14:paraId="5A24CD20" w14:textId="58FE7F00" w:rsidR="00B253B1" w:rsidRDefault="00B253B1" w:rsidP="00B253B1">
      <w:pPr>
        <w:pStyle w:val="NormalWeb"/>
        <w:shd w:val="clear" w:color="auto" w:fill="FFFFFF"/>
        <w:rPr>
          <w:b/>
          <w:bCs/>
          <w:color w:val="000000"/>
        </w:rPr>
      </w:pPr>
      <w:r>
        <w:rPr>
          <w:b/>
          <w:bCs/>
          <w:color w:val="000000"/>
        </w:rPr>
        <w:t>Schedule 1</w:t>
      </w:r>
      <w:r w:rsidRPr="00A3105E">
        <w:rPr>
          <w:b/>
          <w:bCs/>
          <w:color w:val="000000"/>
        </w:rPr>
        <w:tab/>
      </w:r>
      <w:r>
        <w:rPr>
          <w:b/>
          <w:bCs/>
          <w:color w:val="000000"/>
        </w:rPr>
        <w:t>Fees</w:t>
      </w:r>
    </w:p>
    <w:p w14:paraId="4036939D" w14:textId="31C36A1C" w:rsidR="00B253B1" w:rsidRPr="00B253B1" w:rsidRDefault="00B253B1" w:rsidP="00B253B1">
      <w:pPr>
        <w:pStyle w:val="NormalWeb"/>
        <w:shd w:val="clear" w:color="auto" w:fill="FFFFFF"/>
        <w:rPr>
          <w:color w:val="000000"/>
        </w:rPr>
      </w:pPr>
      <w:r w:rsidRPr="00B253B1">
        <w:rPr>
          <w:color w:val="000000"/>
        </w:rPr>
        <w:t>Schedule 1 provides:</w:t>
      </w:r>
    </w:p>
    <w:p w14:paraId="781B4F3A" w14:textId="0CEE81A1" w:rsidR="00B253B1" w:rsidRPr="00B253B1" w:rsidRDefault="00B253B1" w:rsidP="00B253B1">
      <w:pPr>
        <w:pStyle w:val="NormalWeb"/>
        <w:numPr>
          <w:ilvl w:val="0"/>
          <w:numId w:val="12"/>
        </w:numPr>
        <w:shd w:val="clear" w:color="auto" w:fill="FFFFFF"/>
        <w:rPr>
          <w:color w:val="000000"/>
        </w:rPr>
      </w:pPr>
      <w:r w:rsidRPr="00B253B1">
        <w:rPr>
          <w:color w:val="000000"/>
        </w:rPr>
        <w:t>fees for registration of vehicles; formulas for determining registration periods of less than 12 months;</w:t>
      </w:r>
    </w:p>
    <w:p w14:paraId="5FCFE5AB" w14:textId="6B368BD3" w:rsidR="00B253B1" w:rsidRPr="00B253B1" w:rsidRDefault="00B253B1" w:rsidP="00B253B1">
      <w:pPr>
        <w:pStyle w:val="NormalWeb"/>
        <w:numPr>
          <w:ilvl w:val="0"/>
          <w:numId w:val="12"/>
        </w:numPr>
        <w:shd w:val="clear" w:color="auto" w:fill="FFFFFF"/>
        <w:rPr>
          <w:color w:val="000000"/>
        </w:rPr>
      </w:pPr>
      <w:r w:rsidRPr="00B253B1">
        <w:rPr>
          <w:color w:val="000000"/>
        </w:rPr>
        <w:t xml:space="preserve">the road rescue fee; </w:t>
      </w:r>
    </w:p>
    <w:p w14:paraId="12FCB801" w14:textId="34EFB922" w:rsidR="00B253B1" w:rsidRPr="00B253B1" w:rsidRDefault="00B253B1" w:rsidP="00B253B1">
      <w:pPr>
        <w:pStyle w:val="NormalWeb"/>
        <w:numPr>
          <w:ilvl w:val="0"/>
          <w:numId w:val="12"/>
        </w:numPr>
        <w:shd w:val="clear" w:color="auto" w:fill="FFFFFF"/>
        <w:rPr>
          <w:color w:val="000000"/>
        </w:rPr>
      </w:pPr>
      <w:r w:rsidRPr="00B253B1">
        <w:rPr>
          <w:color w:val="000000"/>
        </w:rPr>
        <w:t>vehicle registration administration fees;</w:t>
      </w:r>
    </w:p>
    <w:p w14:paraId="2AF0EFE4" w14:textId="3D0923FF" w:rsidR="00B253B1" w:rsidRPr="00B253B1" w:rsidRDefault="00B253B1" w:rsidP="00B253B1">
      <w:pPr>
        <w:pStyle w:val="NormalWeb"/>
        <w:numPr>
          <w:ilvl w:val="0"/>
          <w:numId w:val="12"/>
        </w:numPr>
        <w:shd w:val="clear" w:color="auto" w:fill="FFFFFF"/>
        <w:rPr>
          <w:color w:val="000000"/>
        </w:rPr>
      </w:pPr>
      <w:r w:rsidRPr="00B253B1">
        <w:rPr>
          <w:color w:val="000000"/>
        </w:rPr>
        <w:t>registration transfer fees;</w:t>
      </w:r>
    </w:p>
    <w:p w14:paraId="5370AD79" w14:textId="77777777" w:rsidR="00B253B1" w:rsidRDefault="00B253B1" w:rsidP="00B253B1">
      <w:pPr>
        <w:pStyle w:val="NormalWeb"/>
        <w:numPr>
          <w:ilvl w:val="0"/>
          <w:numId w:val="12"/>
        </w:numPr>
        <w:shd w:val="clear" w:color="auto" w:fill="FFFFFF"/>
        <w:rPr>
          <w:color w:val="000000"/>
        </w:rPr>
      </w:pPr>
      <w:r w:rsidRPr="00B253B1">
        <w:rPr>
          <w:color w:val="000000"/>
        </w:rPr>
        <w:t xml:space="preserve">fees for vehicle inspections by government </w:t>
      </w:r>
      <w:r>
        <w:rPr>
          <w:color w:val="000000"/>
        </w:rPr>
        <w:t>au</w:t>
      </w:r>
      <w:r w:rsidRPr="00B253B1">
        <w:rPr>
          <w:color w:val="000000"/>
        </w:rPr>
        <w:t xml:space="preserve">thorised examiners; and </w:t>
      </w:r>
    </w:p>
    <w:p w14:paraId="59712098" w14:textId="1E3E347F" w:rsidR="00B253B1" w:rsidRPr="00B253B1" w:rsidRDefault="00B253B1" w:rsidP="00B253B1">
      <w:pPr>
        <w:pStyle w:val="NormalWeb"/>
        <w:numPr>
          <w:ilvl w:val="0"/>
          <w:numId w:val="12"/>
        </w:numPr>
        <w:shd w:val="clear" w:color="auto" w:fill="FFFFFF"/>
        <w:rPr>
          <w:color w:val="000000"/>
        </w:rPr>
      </w:pPr>
      <w:r w:rsidRPr="00B253B1">
        <w:rPr>
          <w:color w:val="000000"/>
        </w:rPr>
        <w:t xml:space="preserve">other registration related fees. </w:t>
      </w:r>
    </w:p>
    <w:p w14:paraId="571E4DEA" w14:textId="29CB5163" w:rsidR="00B253B1" w:rsidRPr="00B253B1" w:rsidRDefault="00B253B1" w:rsidP="00B253B1">
      <w:pPr>
        <w:pStyle w:val="NormalWeb"/>
        <w:shd w:val="clear" w:color="auto" w:fill="FFFFFF"/>
        <w:rPr>
          <w:color w:val="000000"/>
        </w:rPr>
      </w:pPr>
      <w:r>
        <w:rPr>
          <w:b/>
          <w:bCs/>
          <w:color w:val="000000"/>
        </w:rPr>
        <w:t>Schedule 2 &amp; 3</w:t>
      </w:r>
      <w:r w:rsidRPr="00A3105E">
        <w:rPr>
          <w:b/>
          <w:bCs/>
          <w:color w:val="000000"/>
        </w:rPr>
        <w:tab/>
      </w:r>
      <w:r>
        <w:rPr>
          <w:b/>
          <w:bCs/>
          <w:color w:val="000000"/>
        </w:rPr>
        <w:t>Fees for requesting data from the Road Transpo</w:t>
      </w:r>
      <w:r w:rsidRPr="00B253B1">
        <w:rPr>
          <w:b/>
          <w:bCs/>
          <w:color w:val="000000"/>
        </w:rPr>
        <w:t>rt Authority Database</w:t>
      </w:r>
    </w:p>
    <w:p w14:paraId="13567100" w14:textId="0C3008B9" w:rsidR="00B253B1" w:rsidRPr="00B253B1" w:rsidRDefault="00B253B1" w:rsidP="00B253B1">
      <w:pPr>
        <w:pStyle w:val="NormalWeb"/>
        <w:shd w:val="clear" w:color="auto" w:fill="FFFFFF"/>
        <w:rPr>
          <w:color w:val="000000"/>
        </w:rPr>
      </w:pPr>
      <w:r w:rsidRPr="00B253B1">
        <w:rPr>
          <w:color w:val="000000"/>
        </w:rPr>
        <w:t xml:space="preserve">Schedules 2 and 3 provide fees for external organisations to request data from the Road Transport Authority database. </w:t>
      </w:r>
    </w:p>
    <w:p w14:paraId="637AC064" w14:textId="77777777" w:rsidR="00A27FFB" w:rsidRDefault="00A27FFB" w:rsidP="008C7252">
      <w:pPr>
        <w:pStyle w:val="NormalWeb"/>
        <w:shd w:val="clear" w:color="auto" w:fill="FFFFFF"/>
        <w:spacing w:before="0" w:beforeAutospacing="0" w:after="0" w:afterAutospacing="0"/>
        <w:rPr>
          <w:color w:val="000000"/>
        </w:rPr>
      </w:pPr>
    </w:p>
    <w:sectPr w:rsidR="00A27FFB" w:rsidSect="002D6DDC">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2680" w14:textId="77777777" w:rsidR="00E63DF1" w:rsidRDefault="00E63DF1" w:rsidP="00C17FAB">
      <w:r>
        <w:separator/>
      </w:r>
    </w:p>
  </w:endnote>
  <w:endnote w:type="continuationSeparator" w:id="0">
    <w:p w14:paraId="27EBDDCA" w14:textId="77777777" w:rsidR="00E63DF1" w:rsidRDefault="00E63DF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4B2A" w14:textId="77777777" w:rsidR="00373C46" w:rsidRDefault="0037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9380" w14:textId="64092611" w:rsidR="00BB77AF" w:rsidRPr="00373C46" w:rsidRDefault="00373C46" w:rsidP="00373C46">
    <w:pPr>
      <w:pStyle w:val="Footer"/>
      <w:jc w:val="center"/>
      <w:rPr>
        <w:rFonts w:cs="Arial"/>
        <w:sz w:val="14"/>
      </w:rPr>
    </w:pPr>
    <w:r w:rsidRPr="00373C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E613" w14:textId="77777777" w:rsidR="00373C46" w:rsidRDefault="0037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1B8E" w14:textId="77777777" w:rsidR="00E63DF1" w:rsidRDefault="00E63DF1" w:rsidP="00C17FAB">
      <w:r>
        <w:separator/>
      </w:r>
    </w:p>
  </w:footnote>
  <w:footnote w:type="continuationSeparator" w:id="0">
    <w:p w14:paraId="746F7545" w14:textId="77777777" w:rsidR="00E63DF1" w:rsidRDefault="00E63DF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3D8" w14:textId="77777777" w:rsidR="00373C46" w:rsidRDefault="0037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2BC7" w14:textId="77777777" w:rsidR="00373C46" w:rsidRDefault="00373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8DD0" w14:textId="77777777" w:rsidR="00373C46" w:rsidRDefault="0037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A3662FD"/>
    <w:multiLevelType w:val="hybridMultilevel"/>
    <w:tmpl w:val="B2829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44B049F"/>
    <w:multiLevelType w:val="hybridMultilevel"/>
    <w:tmpl w:val="FCB4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4"/>
  </w:num>
  <w:num w:numId="4" w16cid:durableId="1392731800">
    <w:abstractNumId w:val="8"/>
  </w:num>
  <w:num w:numId="5" w16cid:durableId="1740519119">
    <w:abstractNumId w:val="10"/>
  </w:num>
  <w:num w:numId="6" w16cid:durableId="1918054494">
    <w:abstractNumId w:val="1"/>
  </w:num>
  <w:num w:numId="7" w16cid:durableId="272596857">
    <w:abstractNumId w:val="5"/>
  </w:num>
  <w:num w:numId="8" w16cid:durableId="1515152600">
    <w:abstractNumId w:val="7"/>
  </w:num>
  <w:num w:numId="9" w16cid:durableId="842818382">
    <w:abstractNumId w:val="11"/>
  </w:num>
  <w:num w:numId="10" w16cid:durableId="446698345">
    <w:abstractNumId w:val="9"/>
  </w:num>
  <w:num w:numId="11" w16cid:durableId="1074932089">
    <w:abstractNumId w:val="6"/>
  </w:num>
  <w:num w:numId="12" w16cid:durableId="138028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5C97"/>
    <w:rsid w:val="00020B10"/>
    <w:rsid w:val="00030FEB"/>
    <w:rsid w:val="00037459"/>
    <w:rsid w:val="00041E1A"/>
    <w:rsid w:val="00051D81"/>
    <w:rsid w:val="00057C9B"/>
    <w:rsid w:val="0006119E"/>
    <w:rsid w:val="000625BB"/>
    <w:rsid w:val="0008670C"/>
    <w:rsid w:val="00087198"/>
    <w:rsid w:val="0008722A"/>
    <w:rsid w:val="000B58D5"/>
    <w:rsid w:val="000C40D3"/>
    <w:rsid w:val="000C4D1E"/>
    <w:rsid w:val="000D04CA"/>
    <w:rsid w:val="000D2113"/>
    <w:rsid w:val="000D4679"/>
    <w:rsid w:val="000D62E8"/>
    <w:rsid w:val="000E72E0"/>
    <w:rsid w:val="00104BB7"/>
    <w:rsid w:val="00135913"/>
    <w:rsid w:val="00135F35"/>
    <w:rsid w:val="00140C1D"/>
    <w:rsid w:val="00140DC0"/>
    <w:rsid w:val="0014137B"/>
    <w:rsid w:val="00141886"/>
    <w:rsid w:val="00142EC1"/>
    <w:rsid w:val="00151470"/>
    <w:rsid w:val="00155E60"/>
    <w:rsid w:val="0016303D"/>
    <w:rsid w:val="001679D3"/>
    <w:rsid w:val="00182635"/>
    <w:rsid w:val="00186096"/>
    <w:rsid w:val="00191FEE"/>
    <w:rsid w:val="00196D0E"/>
    <w:rsid w:val="0019786C"/>
    <w:rsid w:val="001B0D50"/>
    <w:rsid w:val="001C0861"/>
    <w:rsid w:val="001D06A4"/>
    <w:rsid w:val="001E12BF"/>
    <w:rsid w:val="001F2847"/>
    <w:rsid w:val="00201875"/>
    <w:rsid w:val="00201A7C"/>
    <w:rsid w:val="002060C7"/>
    <w:rsid w:val="00206A1F"/>
    <w:rsid w:val="002142C2"/>
    <w:rsid w:val="002244A6"/>
    <w:rsid w:val="00241202"/>
    <w:rsid w:val="0024126D"/>
    <w:rsid w:val="002427E1"/>
    <w:rsid w:val="002520EC"/>
    <w:rsid w:val="0026380E"/>
    <w:rsid w:val="00266617"/>
    <w:rsid w:val="00277C21"/>
    <w:rsid w:val="00280F29"/>
    <w:rsid w:val="0029113C"/>
    <w:rsid w:val="002913DB"/>
    <w:rsid w:val="00293951"/>
    <w:rsid w:val="002A0BE6"/>
    <w:rsid w:val="002B3A3A"/>
    <w:rsid w:val="002C32AF"/>
    <w:rsid w:val="002C3E0E"/>
    <w:rsid w:val="002D6BDF"/>
    <w:rsid w:val="002D6DDC"/>
    <w:rsid w:val="002D7C60"/>
    <w:rsid w:val="002E324D"/>
    <w:rsid w:val="002E5309"/>
    <w:rsid w:val="002E56D4"/>
    <w:rsid w:val="002F37D0"/>
    <w:rsid w:val="00310983"/>
    <w:rsid w:val="003109C0"/>
    <w:rsid w:val="00316456"/>
    <w:rsid w:val="0032135C"/>
    <w:rsid w:val="00321948"/>
    <w:rsid w:val="00322E36"/>
    <w:rsid w:val="00327AC5"/>
    <w:rsid w:val="00330E43"/>
    <w:rsid w:val="00337D9B"/>
    <w:rsid w:val="00354C08"/>
    <w:rsid w:val="00366FDE"/>
    <w:rsid w:val="00367308"/>
    <w:rsid w:val="003679F6"/>
    <w:rsid w:val="00373C46"/>
    <w:rsid w:val="00380601"/>
    <w:rsid w:val="00392C14"/>
    <w:rsid w:val="003A7E54"/>
    <w:rsid w:val="003B0092"/>
    <w:rsid w:val="003B15C8"/>
    <w:rsid w:val="003D33D2"/>
    <w:rsid w:val="003E07FF"/>
    <w:rsid w:val="004066F4"/>
    <w:rsid w:val="004353CC"/>
    <w:rsid w:val="00453A70"/>
    <w:rsid w:val="004552B8"/>
    <w:rsid w:val="004609CD"/>
    <w:rsid w:val="00463AEF"/>
    <w:rsid w:val="004668AD"/>
    <w:rsid w:val="00487153"/>
    <w:rsid w:val="00492AB6"/>
    <w:rsid w:val="004A0526"/>
    <w:rsid w:val="004A39F0"/>
    <w:rsid w:val="004B713D"/>
    <w:rsid w:val="004C04E4"/>
    <w:rsid w:val="004C16C4"/>
    <w:rsid w:val="004D73F9"/>
    <w:rsid w:val="004F7A8F"/>
    <w:rsid w:val="004F7F0F"/>
    <w:rsid w:val="005233A4"/>
    <w:rsid w:val="005236DF"/>
    <w:rsid w:val="005277DE"/>
    <w:rsid w:val="0053422D"/>
    <w:rsid w:val="0053667D"/>
    <w:rsid w:val="005458AD"/>
    <w:rsid w:val="00546BAF"/>
    <w:rsid w:val="00554BE2"/>
    <w:rsid w:val="005551BE"/>
    <w:rsid w:val="005578C2"/>
    <w:rsid w:val="00561E7A"/>
    <w:rsid w:val="00581C66"/>
    <w:rsid w:val="0058243A"/>
    <w:rsid w:val="0059348F"/>
    <w:rsid w:val="00594691"/>
    <w:rsid w:val="005950AB"/>
    <w:rsid w:val="005C30DA"/>
    <w:rsid w:val="005C4F27"/>
    <w:rsid w:val="00601A00"/>
    <w:rsid w:val="00650E1A"/>
    <w:rsid w:val="0065203C"/>
    <w:rsid w:val="006808CF"/>
    <w:rsid w:val="00687077"/>
    <w:rsid w:val="00687191"/>
    <w:rsid w:val="006913BF"/>
    <w:rsid w:val="00691CFB"/>
    <w:rsid w:val="00693EB9"/>
    <w:rsid w:val="006A187F"/>
    <w:rsid w:val="006A404F"/>
    <w:rsid w:val="006A7DEE"/>
    <w:rsid w:val="006C30F2"/>
    <w:rsid w:val="006D2410"/>
    <w:rsid w:val="006D7EFD"/>
    <w:rsid w:val="006F23B6"/>
    <w:rsid w:val="0070441F"/>
    <w:rsid w:val="00704D59"/>
    <w:rsid w:val="00705B6B"/>
    <w:rsid w:val="00722B19"/>
    <w:rsid w:val="007314E9"/>
    <w:rsid w:val="007346AC"/>
    <w:rsid w:val="0075431A"/>
    <w:rsid w:val="00765305"/>
    <w:rsid w:val="0076538B"/>
    <w:rsid w:val="00770541"/>
    <w:rsid w:val="007738D3"/>
    <w:rsid w:val="007C1A84"/>
    <w:rsid w:val="007D6D72"/>
    <w:rsid w:val="0080171E"/>
    <w:rsid w:val="00801B9A"/>
    <w:rsid w:val="00805B0B"/>
    <w:rsid w:val="00810D76"/>
    <w:rsid w:val="00831311"/>
    <w:rsid w:val="00836D95"/>
    <w:rsid w:val="008408B4"/>
    <w:rsid w:val="00844EC5"/>
    <w:rsid w:val="00856329"/>
    <w:rsid w:val="00863405"/>
    <w:rsid w:val="00866103"/>
    <w:rsid w:val="00876270"/>
    <w:rsid w:val="00886C7C"/>
    <w:rsid w:val="0089460B"/>
    <w:rsid w:val="008A2283"/>
    <w:rsid w:val="008C1753"/>
    <w:rsid w:val="008C7252"/>
    <w:rsid w:val="008E1D95"/>
    <w:rsid w:val="008E2B0D"/>
    <w:rsid w:val="008F1B5A"/>
    <w:rsid w:val="008F40CF"/>
    <w:rsid w:val="008F4184"/>
    <w:rsid w:val="0090050A"/>
    <w:rsid w:val="009460BB"/>
    <w:rsid w:val="009508A5"/>
    <w:rsid w:val="00951CD3"/>
    <w:rsid w:val="00952B5D"/>
    <w:rsid w:val="00995F5E"/>
    <w:rsid w:val="009B1E07"/>
    <w:rsid w:val="009C011A"/>
    <w:rsid w:val="00A27FFB"/>
    <w:rsid w:val="00A3105E"/>
    <w:rsid w:val="00A47ACD"/>
    <w:rsid w:val="00A5250F"/>
    <w:rsid w:val="00A75BFB"/>
    <w:rsid w:val="00A81985"/>
    <w:rsid w:val="00A87DED"/>
    <w:rsid w:val="00A9152A"/>
    <w:rsid w:val="00A923DC"/>
    <w:rsid w:val="00A95B17"/>
    <w:rsid w:val="00A97FB2"/>
    <w:rsid w:val="00AD29D0"/>
    <w:rsid w:val="00AD4881"/>
    <w:rsid w:val="00AD5FD6"/>
    <w:rsid w:val="00AE32B2"/>
    <w:rsid w:val="00AE70F6"/>
    <w:rsid w:val="00B03893"/>
    <w:rsid w:val="00B05C03"/>
    <w:rsid w:val="00B126F0"/>
    <w:rsid w:val="00B253B1"/>
    <w:rsid w:val="00B258DF"/>
    <w:rsid w:val="00B320F7"/>
    <w:rsid w:val="00B32E65"/>
    <w:rsid w:val="00B35078"/>
    <w:rsid w:val="00B44095"/>
    <w:rsid w:val="00B46526"/>
    <w:rsid w:val="00B52FA8"/>
    <w:rsid w:val="00B75791"/>
    <w:rsid w:val="00B817C3"/>
    <w:rsid w:val="00B85D56"/>
    <w:rsid w:val="00B9282B"/>
    <w:rsid w:val="00BA792D"/>
    <w:rsid w:val="00BB3827"/>
    <w:rsid w:val="00BB61FE"/>
    <w:rsid w:val="00BB77AF"/>
    <w:rsid w:val="00BC66E6"/>
    <w:rsid w:val="00BC7B33"/>
    <w:rsid w:val="00BD1EB5"/>
    <w:rsid w:val="00BD26DC"/>
    <w:rsid w:val="00BD66D9"/>
    <w:rsid w:val="00BE7D4D"/>
    <w:rsid w:val="00BF2F20"/>
    <w:rsid w:val="00C0395D"/>
    <w:rsid w:val="00C11585"/>
    <w:rsid w:val="00C17FAB"/>
    <w:rsid w:val="00C22235"/>
    <w:rsid w:val="00C324FA"/>
    <w:rsid w:val="00C32A30"/>
    <w:rsid w:val="00C410DE"/>
    <w:rsid w:val="00C7302B"/>
    <w:rsid w:val="00C74FDD"/>
    <w:rsid w:val="00C827D4"/>
    <w:rsid w:val="00C93E50"/>
    <w:rsid w:val="00CA53AE"/>
    <w:rsid w:val="00CB2596"/>
    <w:rsid w:val="00CB3E3A"/>
    <w:rsid w:val="00CB4D39"/>
    <w:rsid w:val="00CC3444"/>
    <w:rsid w:val="00CD00FA"/>
    <w:rsid w:val="00CD2600"/>
    <w:rsid w:val="00CD3BA4"/>
    <w:rsid w:val="00CD445B"/>
    <w:rsid w:val="00CE2BC6"/>
    <w:rsid w:val="00CE599C"/>
    <w:rsid w:val="00CE77E2"/>
    <w:rsid w:val="00D022C9"/>
    <w:rsid w:val="00D03533"/>
    <w:rsid w:val="00D04F12"/>
    <w:rsid w:val="00D078C2"/>
    <w:rsid w:val="00D10DE6"/>
    <w:rsid w:val="00D252C6"/>
    <w:rsid w:val="00D30418"/>
    <w:rsid w:val="00D32145"/>
    <w:rsid w:val="00D35121"/>
    <w:rsid w:val="00D62E7C"/>
    <w:rsid w:val="00D63FFB"/>
    <w:rsid w:val="00D822CC"/>
    <w:rsid w:val="00D972AA"/>
    <w:rsid w:val="00DA3B00"/>
    <w:rsid w:val="00DA4C1B"/>
    <w:rsid w:val="00DE6D53"/>
    <w:rsid w:val="00E0614F"/>
    <w:rsid w:val="00E07D80"/>
    <w:rsid w:val="00E34E17"/>
    <w:rsid w:val="00E460F7"/>
    <w:rsid w:val="00E5782F"/>
    <w:rsid w:val="00E6366A"/>
    <w:rsid w:val="00E63DF1"/>
    <w:rsid w:val="00E6483B"/>
    <w:rsid w:val="00E6504D"/>
    <w:rsid w:val="00E74512"/>
    <w:rsid w:val="00E844F6"/>
    <w:rsid w:val="00E86F67"/>
    <w:rsid w:val="00EA3D10"/>
    <w:rsid w:val="00EA49FA"/>
    <w:rsid w:val="00EB1E82"/>
    <w:rsid w:val="00EB6A29"/>
    <w:rsid w:val="00EC414F"/>
    <w:rsid w:val="00EC5E8A"/>
    <w:rsid w:val="00ED74E4"/>
    <w:rsid w:val="00EE361D"/>
    <w:rsid w:val="00EF5510"/>
    <w:rsid w:val="00F00BB3"/>
    <w:rsid w:val="00F03985"/>
    <w:rsid w:val="00F04444"/>
    <w:rsid w:val="00F205D2"/>
    <w:rsid w:val="00F212F2"/>
    <w:rsid w:val="00F33673"/>
    <w:rsid w:val="00F355C0"/>
    <w:rsid w:val="00F426D3"/>
    <w:rsid w:val="00F52CE2"/>
    <w:rsid w:val="00F54156"/>
    <w:rsid w:val="00F60424"/>
    <w:rsid w:val="00F70BD9"/>
    <w:rsid w:val="00F83FE7"/>
    <w:rsid w:val="00F95EE9"/>
    <w:rsid w:val="00F97872"/>
    <w:rsid w:val="00F979BB"/>
    <w:rsid w:val="00FA67A2"/>
    <w:rsid w:val="00FB4584"/>
    <w:rsid w:val="00FC4DC7"/>
    <w:rsid w:val="00FD6600"/>
    <w:rsid w:val="00FD6641"/>
    <w:rsid w:val="00FD75CE"/>
    <w:rsid w:val="00FF1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A57238696</value>
    </field>
    <field name="Objective-Title">
      <value order="0">Attachment B - ES - Road Transport (General) Vehicle Registration and Related Feees Determination 2025 (No 3)</value>
    </field>
    <field name="Objective-Description">
      <value order="0"/>
    </field>
    <field name="Objective-CreationStamp">
      <value order="0">2025-09-11T03:59:20Z</value>
    </field>
    <field name="Objective-IsApproved">
      <value order="0">false</value>
    </field>
    <field name="Objective-IsPublished">
      <value order="0">false</value>
    </field>
    <field name="Objective-DatePublished">
      <value order="0"/>
    </field>
    <field name="Objective-ModificationStamp">
      <value order="0">2025-09-22T03:02:25Z</value>
    </field>
    <field name="Objective-Owner">
      <value order="0">Mark Pye</value>
    </field>
    <field name="Objective-Path">
      <value order="0">Whole of ACT Government:TCCS STRUCTURE - Content Restriction Hierarchy:01. Assembly, Cabinet, Ministerial:03. Ministerials:03. Complete:Information Brief (Minister):2025 Information Brief (Minister) (TCCS):TCBS - MIN C2025/01107 - Implementation of early transition to emissions-based registration for light vehicles - Minister Brief</value>
    </field>
    <field name="Objective-Parent">
      <value order="0">TCBS - MIN C2025/01107 - Implementation of early transition to emissions-based registration for light vehicles - Minister Brief</value>
    </field>
    <field name="Objective-State">
      <value order="0">Being Edited</value>
    </field>
    <field name="Objective-VersionId">
      <value order="0">vA73005646</value>
    </field>
    <field name="Objective-Version">
      <value order="0">0.2</value>
    </field>
    <field name="Objective-VersionNumber">
      <value order="0">2</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5794</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2025-09-22T03:05:00Z</dcterms:created>
  <dcterms:modified xsi:type="dcterms:W3CDTF">2025-09-22T03:05:00Z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A57238696</vt:lpwstr>
  </property>
  <property fmtid="{D5CDD505-2E9C-101B-9397-08002B2CF9AE}" pid="4" name="Objective-Title">
    <vt:lpwstr>Attachment B - ES - Road Transport (General) Vehicle Registration and Related Feees Determination 2025 (No 3)</vt:lpwstr>
  </property>
  <property fmtid="{D5CDD505-2E9C-101B-9397-08002B2CF9AE}" pid="5" name="Objective-Comment">
    <vt:lpwstr/>
  </property>
  <property fmtid="{D5CDD505-2E9C-101B-9397-08002B2CF9AE}" pid="6" name="Objective-CreationStamp">
    <vt:filetime>2025-09-11T03:59:20Z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2025-09-22T03:03:03Z</vt:filetime>
  </property>
  <property fmtid="{D5CDD505-2E9C-101B-9397-08002B2CF9AE}" pid="10" name="Objective-ModificationStamp">
    <vt:filetime>2025-09-22T03:03:03Z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C2025/01107 - Implementation of early transition to emissions-based registration for light vehicles - Minister Brief:</vt:lpwstr>
  </property>
  <property fmtid="{D5CDD505-2E9C-101B-9397-08002B2CF9AE}" pid="13" name="Objective-Parent">
    <vt:lpwstr>TCBS - MIN C2025/01107 - Implementation of early transition to emissions-based registration for light vehicles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CHECKEDOUTFROMJMS">
    <vt:lpwstr/>
  </property>
  <property fmtid="{D5CDD505-2E9C-101B-9397-08002B2CF9AE}" pid="42" name="DMSID">
    <vt:lpwstr>13044937</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vA73005646</vt:lpwstr>
  </property>
  <property fmtid="{D5CDD505-2E9C-101B-9397-08002B2CF9AE}" pid="46" name="MSIP_Label_69af8531-eb46-4968-8cb3-105d2f5ea87e_Enabled">
    <vt:lpwstr>true</vt:lpwstr>
  </property>
  <property fmtid="{D5CDD505-2E9C-101B-9397-08002B2CF9AE}" pid="47" name="MSIP_Label_69af8531-eb46-4968-8cb3-105d2f5ea87e_SetDate">
    <vt:lpwstr>2024-05-03T01:19:23Z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e5c9a4d2-73fe-4fca-b28e-12e6f0d5c90e</vt:lpwstr>
  </property>
  <property fmtid="{D5CDD505-2E9C-101B-9397-08002B2CF9AE}" pid="52" name="MSIP_Label_69af8531-eb46-4968-8cb3-105d2f5ea87e_ContentBits">
    <vt:lpwstr>0</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