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3D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0F9872" w14:textId="79E9E412" w:rsidR="00C17FAB" w:rsidRDefault="00585063">
      <w:pPr>
        <w:pStyle w:val="Billname"/>
        <w:spacing w:before="700"/>
      </w:pPr>
      <w:r>
        <w:t>Utilities</w:t>
      </w:r>
      <w:r w:rsidR="00FD75CE">
        <w:t xml:space="preserve"> (</w:t>
      </w:r>
      <w:r>
        <w:t>Annual Licence Fee</w:t>
      </w:r>
      <w:r w:rsidR="008D030D">
        <w:t>s</w:t>
      </w:r>
      <w:r>
        <w:t xml:space="preserve"> Determination 202</w:t>
      </w:r>
      <w:r w:rsidR="005C5046">
        <w:t>5</w:t>
      </w:r>
      <w:r>
        <w:t>-2</w:t>
      </w:r>
      <w:r w:rsidR="005C5046">
        <w:t>6</w:t>
      </w:r>
      <w:r w:rsidR="00FD75CE">
        <w:t>)</w:t>
      </w:r>
      <w:r>
        <w:t xml:space="preserve"> Notice 202</w:t>
      </w:r>
      <w:r w:rsidR="005C5046">
        <w:t>5</w:t>
      </w:r>
    </w:p>
    <w:p w14:paraId="12581460" w14:textId="5B0BF7C7" w:rsidR="00C17FAB" w:rsidRDefault="005C5046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</w:t>
      </w:r>
      <w:r w:rsidR="002D7C60">
        <w:rPr>
          <w:rFonts w:ascii="Arial" w:hAnsi="Arial" w:cs="Arial"/>
          <w:b/>
          <w:bCs/>
        </w:rPr>
        <w:t xml:space="preserve">nstrument </w:t>
      </w:r>
      <w:r>
        <w:rPr>
          <w:rFonts w:ascii="Arial" w:hAnsi="Arial" w:cs="Arial"/>
          <w:b/>
          <w:bCs/>
        </w:rPr>
        <w:t>N</w:t>
      </w:r>
      <w:r w:rsidR="002D7C60">
        <w:rPr>
          <w:rFonts w:ascii="Arial" w:hAnsi="Arial" w:cs="Arial"/>
          <w:b/>
          <w:bCs/>
        </w:rPr>
        <w:t>I</w:t>
      </w:r>
      <w:r w:rsidR="0058506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730489">
        <w:rPr>
          <w:rFonts w:ascii="Arial" w:hAnsi="Arial" w:cs="Arial"/>
          <w:b/>
          <w:bCs/>
        </w:rPr>
        <w:t>520</w:t>
      </w:r>
    </w:p>
    <w:p w14:paraId="58125AE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8E2FBC" w14:textId="77777777" w:rsidR="00585063" w:rsidRDefault="00585063" w:rsidP="0058506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52 (Public notice of licence decisions), section 45 (Determination of fee) and section 53 (Public access to licences etc)</w:t>
      </w:r>
    </w:p>
    <w:p w14:paraId="3804D4C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C6380C7" w14:textId="77777777" w:rsidR="00C17FAB" w:rsidRDefault="00C17FAB">
      <w:pPr>
        <w:pStyle w:val="N-line3"/>
        <w:pBdr>
          <w:bottom w:val="none" w:sz="0" w:space="0" w:color="auto"/>
        </w:pBdr>
      </w:pPr>
    </w:p>
    <w:bookmarkEnd w:id="0"/>
    <w:p w14:paraId="7C27CCEE" w14:textId="20D76AD8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 xml:space="preserve">Section 45(1) of the </w:t>
      </w:r>
      <w:r w:rsidRPr="00E31B51">
        <w:rPr>
          <w:i/>
          <w:iCs/>
          <w:color w:val="000000"/>
        </w:rPr>
        <w:t>Utilities Act 2000</w:t>
      </w:r>
      <w:r w:rsidRPr="00304E95">
        <w:rPr>
          <w:color w:val="000000"/>
        </w:rPr>
        <w:t xml:space="preserve"> (Utilities Act) gives the Independent Competition and Regulatory Commission (ICRC) the authority to determine the annual licence fee payable by each licensed </w:t>
      </w:r>
      <w:r>
        <w:rPr>
          <w:color w:val="000000"/>
        </w:rPr>
        <w:t>utility</w:t>
      </w:r>
      <w:r w:rsidRPr="00304E95">
        <w:rPr>
          <w:color w:val="000000"/>
        </w:rPr>
        <w:t xml:space="preserve"> in the ACT.</w:t>
      </w:r>
    </w:p>
    <w:p w14:paraId="1DEDB3A2" w14:textId="603E35C8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Section 52(1)(</w:t>
      </w:r>
      <w:proofErr w:type="spellStart"/>
      <w:r w:rsidRPr="00304E95">
        <w:rPr>
          <w:color w:val="000000"/>
        </w:rPr>
        <w:t>i</w:t>
      </w:r>
      <w:proofErr w:type="spellEnd"/>
      <w:r w:rsidRPr="00304E95">
        <w:rPr>
          <w:color w:val="000000"/>
        </w:rPr>
        <w:t>) of the Utilities Act requires the ICRC to prepare a notice upon making a determination under section 45. The notice is a notifiable instrument.</w:t>
      </w:r>
    </w:p>
    <w:p w14:paraId="43111A5A" w14:textId="5C7EA028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The four licensees subject to an annual licence fee for 202</w:t>
      </w:r>
      <w:r w:rsidR="005C5046">
        <w:rPr>
          <w:color w:val="000000"/>
        </w:rPr>
        <w:t>5</w:t>
      </w:r>
      <w:r w:rsidRPr="00304E95">
        <w:rPr>
          <w:color w:val="000000"/>
        </w:rPr>
        <w:t>-2</w:t>
      </w:r>
      <w:r w:rsidR="005C5046">
        <w:rPr>
          <w:color w:val="000000"/>
        </w:rPr>
        <w:t>6</w:t>
      </w:r>
      <w:r w:rsidRPr="00304E95">
        <w:rPr>
          <w:color w:val="000000"/>
        </w:rPr>
        <w:t xml:space="preserve"> are the East Australian Pipeline Limited </w:t>
      </w:r>
      <w:r w:rsidR="00784432">
        <w:rPr>
          <w:color w:val="000000"/>
        </w:rPr>
        <w:t xml:space="preserve">(ABN 33 064 629 009) </w:t>
      </w:r>
      <w:r w:rsidRPr="00304E95">
        <w:rPr>
          <w:color w:val="000000"/>
        </w:rPr>
        <w:t>(EAPL, gas transmission services</w:t>
      </w:r>
      <w:r>
        <w:rPr>
          <w:color w:val="000000"/>
        </w:rPr>
        <w:t xml:space="preserve"> provider</w:t>
      </w:r>
      <w:r w:rsidRPr="00304E95">
        <w:rPr>
          <w:color w:val="000000"/>
        </w:rPr>
        <w:t xml:space="preserve">), Icon Water Limited </w:t>
      </w:r>
      <w:r w:rsidR="00784432">
        <w:rPr>
          <w:color w:val="000000"/>
        </w:rPr>
        <w:t xml:space="preserve">(ABN 86 069 381 960) </w:t>
      </w:r>
      <w:r w:rsidRPr="00304E95">
        <w:rPr>
          <w:color w:val="000000"/>
        </w:rPr>
        <w:t>(Icon, water and sewerage services</w:t>
      </w:r>
      <w:r>
        <w:rPr>
          <w:color w:val="000000"/>
        </w:rPr>
        <w:t xml:space="preserve"> provider</w:t>
      </w:r>
      <w:r w:rsidRPr="00304E95">
        <w:rPr>
          <w:color w:val="000000"/>
        </w:rPr>
        <w:t xml:space="preserve">), </w:t>
      </w:r>
      <w:r w:rsidR="00784432">
        <w:rPr>
          <w:color w:val="000000"/>
        </w:rPr>
        <w:t>NSW Electricity Networks Operations Pty Ltd as Trustee for the NSW Electricity Networks Operations Trust (ABN 70 250 995 390) (</w:t>
      </w:r>
      <w:proofErr w:type="spellStart"/>
      <w:r w:rsidR="00A555A9" w:rsidRPr="00304E95">
        <w:rPr>
          <w:color w:val="000000"/>
        </w:rPr>
        <w:t>Transgrid</w:t>
      </w:r>
      <w:proofErr w:type="spellEnd"/>
      <w:r w:rsidR="00784432">
        <w:rPr>
          <w:color w:val="000000"/>
        </w:rPr>
        <w:t>,</w:t>
      </w:r>
      <w:r w:rsidR="00A555A9" w:rsidRPr="00304E95">
        <w:rPr>
          <w:color w:val="000000"/>
        </w:rPr>
        <w:t xml:space="preserve"> electricity transmission and connection services</w:t>
      </w:r>
      <w:r w:rsidR="00A555A9">
        <w:rPr>
          <w:color w:val="000000"/>
        </w:rPr>
        <w:t xml:space="preserve"> provider</w:t>
      </w:r>
      <w:r w:rsidR="00A555A9" w:rsidRPr="00304E95">
        <w:rPr>
          <w:color w:val="000000"/>
        </w:rPr>
        <w:t>)</w:t>
      </w:r>
      <w:r w:rsidR="005C5046">
        <w:rPr>
          <w:color w:val="000000"/>
        </w:rPr>
        <w:t xml:space="preserve">, and </w:t>
      </w:r>
      <w:proofErr w:type="spellStart"/>
      <w:r w:rsidR="005C5046" w:rsidRPr="00304E95">
        <w:rPr>
          <w:color w:val="000000"/>
        </w:rPr>
        <w:t>Lumea</w:t>
      </w:r>
      <w:proofErr w:type="spellEnd"/>
      <w:r w:rsidR="005C5046" w:rsidRPr="00304E95">
        <w:rPr>
          <w:color w:val="000000"/>
        </w:rPr>
        <w:t xml:space="preserve"> Pty Limited</w:t>
      </w:r>
      <w:r w:rsidR="00784432">
        <w:rPr>
          <w:color w:val="000000"/>
        </w:rPr>
        <w:t xml:space="preserve"> as trustee of </w:t>
      </w:r>
      <w:proofErr w:type="spellStart"/>
      <w:r w:rsidR="00784432">
        <w:rPr>
          <w:color w:val="000000"/>
        </w:rPr>
        <w:t>Lumea</w:t>
      </w:r>
      <w:proofErr w:type="spellEnd"/>
      <w:r w:rsidR="00784432">
        <w:rPr>
          <w:color w:val="000000"/>
        </w:rPr>
        <w:t xml:space="preserve"> Trust</w:t>
      </w:r>
      <w:r w:rsidR="005C5046" w:rsidRPr="00304E95">
        <w:rPr>
          <w:color w:val="000000"/>
        </w:rPr>
        <w:t xml:space="preserve"> </w:t>
      </w:r>
      <w:r w:rsidR="00784432">
        <w:rPr>
          <w:color w:val="000000"/>
        </w:rPr>
        <w:t xml:space="preserve">(ABN 94 121 353 950) </w:t>
      </w:r>
      <w:r w:rsidR="005C5046" w:rsidRPr="00304E95">
        <w:rPr>
          <w:color w:val="000000"/>
        </w:rPr>
        <w:t>(</w:t>
      </w:r>
      <w:r w:rsidR="00784432">
        <w:rPr>
          <w:color w:val="000000"/>
        </w:rPr>
        <w:t>‘</w:t>
      </w:r>
      <w:proofErr w:type="spellStart"/>
      <w:r w:rsidR="005C5046" w:rsidRPr="00304E95">
        <w:rPr>
          <w:color w:val="000000"/>
        </w:rPr>
        <w:t>Lumea</w:t>
      </w:r>
      <w:proofErr w:type="spellEnd"/>
      <w:r w:rsidR="00784432">
        <w:rPr>
          <w:color w:val="000000"/>
        </w:rPr>
        <w:t>’</w:t>
      </w:r>
      <w:r w:rsidR="005C5046" w:rsidRPr="00304E95">
        <w:rPr>
          <w:color w:val="000000"/>
        </w:rPr>
        <w:t>, electricity transmission services</w:t>
      </w:r>
      <w:r w:rsidR="005C5046">
        <w:rPr>
          <w:color w:val="000000"/>
        </w:rPr>
        <w:t xml:space="preserve"> provider</w:t>
      </w:r>
      <w:r w:rsidR="005C5046" w:rsidRPr="00304E95">
        <w:rPr>
          <w:color w:val="000000"/>
        </w:rPr>
        <w:t>)</w:t>
      </w:r>
      <w:r w:rsidRPr="00304E95">
        <w:rPr>
          <w:color w:val="000000"/>
        </w:rPr>
        <w:t>.</w:t>
      </w:r>
    </w:p>
    <w:p w14:paraId="022CD9FF" w14:textId="0D12DE10" w:rsidR="00585063" w:rsidRPr="00304E95" w:rsidRDefault="00585063" w:rsidP="0058506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 xml:space="preserve">The licence fee payable by each licensed utility is the amount considered by the ICRC to be a reasonable contribution towards the </w:t>
      </w:r>
      <w:r>
        <w:rPr>
          <w:color w:val="000000"/>
        </w:rPr>
        <w:t xml:space="preserve">regulation </w:t>
      </w:r>
      <w:r w:rsidRPr="00304E95">
        <w:rPr>
          <w:color w:val="000000"/>
        </w:rPr>
        <w:t>costs incurred, or expected to be incurred</w:t>
      </w:r>
      <w:r>
        <w:rPr>
          <w:color w:val="000000"/>
        </w:rPr>
        <w:t>,</w:t>
      </w:r>
      <w:r w:rsidRPr="00304E95">
        <w:rPr>
          <w:color w:val="000000"/>
        </w:rPr>
        <w:t xml:space="preserve"> for 202</w:t>
      </w:r>
      <w:r w:rsidR="005C5046">
        <w:rPr>
          <w:color w:val="000000"/>
        </w:rPr>
        <w:t>5</w:t>
      </w:r>
      <w:r w:rsidRPr="00304E95">
        <w:rPr>
          <w:color w:val="000000"/>
        </w:rPr>
        <w:t>-2</w:t>
      </w:r>
      <w:r w:rsidR="005C5046">
        <w:rPr>
          <w:color w:val="000000"/>
        </w:rPr>
        <w:t>6</w:t>
      </w:r>
      <w:r w:rsidRPr="00304E95">
        <w:rPr>
          <w:color w:val="000000"/>
        </w:rPr>
        <w:t xml:space="preserve"> by the ICRC, the ACT Civil and Administrative Tribunal, and the Utility Technical Regulator.</w:t>
      </w:r>
    </w:p>
    <w:p w14:paraId="095FA77A" w14:textId="35A8AE71" w:rsidR="005637BF" w:rsidRPr="00304E95" w:rsidRDefault="00585063" w:rsidP="00784432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 w:rsidRPr="00304E95">
        <w:rPr>
          <w:color w:val="000000"/>
        </w:rPr>
        <w:t>Where there is an over- or under-estimation of costs for 202</w:t>
      </w:r>
      <w:r w:rsidR="005C5046">
        <w:rPr>
          <w:color w:val="000000"/>
        </w:rPr>
        <w:t>4</w:t>
      </w:r>
      <w:r w:rsidRPr="00304E95">
        <w:rPr>
          <w:color w:val="000000"/>
        </w:rPr>
        <w:t>-2</w:t>
      </w:r>
      <w:r w:rsidR="005C5046">
        <w:rPr>
          <w:color w:val="000000"/>
        </w:rPr>
        <w:t>5</w:t>
      </w:r>
      <w:r w:rsidRPr="00304E95">
        <w:rPr>
          <w:color w:val="000000"/>
        </w:rPr>
        <w:t xml:space="preserve">, the licence fee determination process provides for an adjustment </w:t>
      </w:r>
      <w:r>
        <w:rPr>
          <w:color w:val="000000"/>
        </w:rPr>
        <w:t>for the</w:t>
      </w:r>
      <w:r w:rsidRPr="00304E95">
        <w:rPr>
          <w:color w:val="000000"/>
        </w:rPr>
        <w:t xml:space="preserve"> 202</w:t>
      </w:r>
      <w:r w:rsidR="005C5046">
        <w:rPr>
          <w:color w:val="000000"/>
        </w:rPr>
        <w:t>5</w:t>
      </w:r>
      <w:r w:rsidRPr="00304E95">
        <w:rPr>
          <w:color w:val="000000"/>
        </w:rPr>
        <w:t>-2</w:t>
      </w:r>
      <w:r w:rsidR="005C5046">
        <w:rPr>
          <w:color w:val="000000"/>
        </w:rPr>
        <w:t>6</w:t>
      </w:r>
      <w:r w:rsidRPr="00304E95">
        <w:rPr>
          <w:color w:val="000000"/>
        </w:rPr>
        <w:t xml:space="preserve"> </w:t>
      </w:r>
      <w:r>
        <w:rPr>
          <w:color w:val="000000"/>
        </w:rPr>
        <w:t xml:space="preserve">fees payable </w:t>
      </w:r>
      <w:r w:rsidRPr="00304E95">
        <w:rPr>
          <w:color w:val="000000"/>
        </w:rPr>
        <w:t xml:space="preserve">to account for this over- or under-estimation.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381"/>
        <w:gridCol w:w="1843"/>
      </w:tblGrid>
      <w:tr w:rsidR="00585063" w:rsidRPr="007067EE" w14:paraId="53259115" w14:textId="77777777" w:rsidTr="00F9694B">
        <w:trPr>
          <w:trHeight w:val="278"/>
        </w:trPr>
        <w:tc>
          <w:tcPr>
            <w:tcW w:w="1555" w:type="dxa"/>
            <w:shd w:val="clear" w:color="auto" w:fill="D9D9D9" w:themeFill="background1" w:themeFillShade="D9"/>
          </w:tcPr>
          <w:p w14:paraId="13184487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509A2D2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2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DB81978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B5FFDD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i/>
                <w:iCs/>
                <w:sz w:val="22"/>
                <w:szCs w:val="22"/>
              </w:rPr>
              <w:t>Column 4</w:t>
            </w:r>
          </w:p>
        </w:tc>
      </w:tr>
      <w:tr w:rsidR="00585063" w:rsidRPr="007067EE" w14:paraId="1AF6AD3A" w14:textId="77777777" w:rsidTr="00F9694B">
        <w:trPr>
          <w:trHeight w:val="277"/>
        </w:trPr>
        <w:tc>
          <w:tcPr>
            <w:tcW w:w="1555" w:type="dxa"/>
            <w:shd w:val="clear" w:color="auto" w:fill="D9D9D9" w:themeFill="background1" w:themeFillShade="D9"/>
          </w:tcPr>
          <w:p w14:paraId="633BBDA0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Licensee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5E68BA7" w14:textId="342AF5D6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Fee payable 202</w:t>
            </w:r>
            <w:r w:rsidR="005C5046">
              <w:rPr>
                <w:b/>
                <w:bCs/>
                <w:sz w:val="22"/>
                <w:szCs w:val="22"/>
              </w:rPr>
              <w:t>5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 w:rsidR="005C5046">
              <w:rPr>
                <w:b/>
                <w:bCs/>
                <w:sz w:val="22"/>
                <w:szCs w:val="22"/>
              </w:rPr>
              <w:t>6</w:t>
            </w:r>
            <w:r w:rsidRPr="007067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88480D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($, GST exempt)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F411861" w14:textId="496ABE1F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Fee payable 202</w:t>
            </w:r>
            <w:r w:rsidR="005C5046">
              <w:rPr>
                <w:b/>
                <w:bCs/>
                <w:sz w:val="22"/>
                <w:szCs w:val="22"/>
              </w:rPr>
              <w:t>4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 w:rsidR="005C5046">
              <w:rPr>
                <w:b/>
                <w:bCs/>
                <w:sz w:val="22"/>
                <w:szCs w:val="22"/>
              </w:rPr>
              <w:t>5</w:t>
            </w:r>
            <w:r w:rsidRPr="007067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510C3E" w14:textId="7777777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($, GST exempt)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4F798C" w14:textId="5FC82047" w:rsidR="00585063" w:rsidRPr="007067EE" w:rsidRDefault="00585063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Change from 202</w:t>
            </w:r>
            <w:r w:rsidR="005C5046">
              <w:rPr>
                <w:b/>
                <w:bCs/>
                <w:sz w:val="22"/>
                <w:szCs w:val="22"/>
              </w:rPr>
              <w:t>4</w:t>
            </w:r>
            <w:r w:rsidRPr="007067EE">
              <w:rPr>
                <w:b/>
                <w:bCs/>
                <w:sz w:val="22"/>
                <w:szCs w:val="22"/>
              </w:rPr>
              <w:t>-2</w:t>
            </w:r>
            <w:r w:rsidR="005C5046">
              <w:rPr>
                <w:b/>
                <w:bCs/>
                <w:sz w:val="22"/>
                <w:szCs w:val="22"/>
              </w:rPr>
              <w:t>5</w:t>
            </w:r>
            <w:r w:rsidRPr="007067EE">
              <w:rPr>
                <w:b/>
                <w:bCs/>
                <w:sz w:val="22"/>
                <w:szCs w:val="22"/>
              </w:rPr>
              <w:t xml:space="preserve"> ($)</w:t>
            </w:r>
          </w:p>
        </w:tc>
      </w:tr>
      <w:tr w:rsidR="008650F8" w:rsidRPr="007067EE" w14:paraId="1759E178" w14:textId="77777777" w:rsidTr="006B0417">
        <w:tc>
          <w:tcPr>
            <w:tcW w:w="1555" w:type="dxa"/>
          </w:tcPr>
          <w:p w14:paraId="04605AD9" w14:textId="77777777" w:rsidR="008650F8" w:rsidRPr="007067EE" w:rsidRDefault="008650F8" w:rsidP="008650F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r w:rsidRPr="007067EE">
              <w:rPr>
                <w:sz w:val="22"/>
                <w:szCs w:val="22"/>
              </w:rPr>
              <w:t>EAPL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9F7" w14:textId="28565FE2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>11,145.04</w:t>
            </w:r>
          </w:p>
        </w:tc>
        <w:tc>
          <w:tcPr>
            <w:tcW w:w="2381" w:type="dxa"/>
            <w:vAlign w:val="center"/>
          </w:tcPr>
          <w:p w14:paraId="6B476F57" w14:textId="1EEE4B8B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rFonts w:cstheme="minorHAnsi"/>
                <w:sz w:val="22"/>
                <w:szCs w:val="22"/>
                <w:lang w:eastAsia="en-AU"/>
              </w:rPr>
              <w:t>9,908.40</w:t>
            </w:r>
          </w:p>
        </w:tc>
        <w:tc>
          <w:tcPr>
            <w:tcW w:w="1843" w:type="dxa"/>
          </w:tcPr>
          <w:p w14:paraId="2E874B20" w14:textId="2AB391C6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8650F8">
              <w:rPr>
                <w:sz w:val="22"/>
                <w:szCs w:val="22"/>
              </w:rPr>
              <w:t xml:space="preserve">1,236.64 </w:t>
            </w:r>
          </w:p>
        </w:tc>
      </w:tr>
      <w:tr w:rsidR="008650F8" w:rsidRPr="007067EE" w14:paraId="1D89D0CF" w14:textId="77777777" w:rsidTr="006B0417">
        <w:tc>
          <w:tcPr>
            <w:tcW w:w="1555" w:type="dxa"/>
          </w:tcPr>
          <w:p w14:paraId="6E2B8013" w14:textId="77777777" w:rsidR="008650F8" w:rsidRPr="007067EE" w:rsidRDefault="008650F8" w:rsidP="008650F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r w:rsidRPr="007067EE">
              <w:rPr>
                <w:sz w:val="22"/>
                <w:szCs w:val="22"/>
              </w:rPr>
              <w:t>Icon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DAF" w14:textId="14A9327A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>1,849,903.93</w:t>
            </w:r>
          </w:p>
        </w:tc>
        <w:tc>
          <w:tcPr>
            <w:tcW w:w="2381" w:type="dxa"/>
            <w:vAlign w:val="center"/>
          </w:tcPr>
          <w:p w14:paraId="639421E3" w14:textId="1EDEADBB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rFonts w:cstheme="minorHAnsi"/>
                <w:sz w:val="22"/>
                <w:szCs w:val="22"/>
                <w:lang w:eastAsia="en-AU"/>
              </w:rPr>
              <w:t>1,067,451.15</w:t>
            </w:r>
          </w:p>
        </w:tc>
        <w:tc>
          <w:tcPr>
            <w:tcW w:w="1843" w:type="dxa"/>
          </w:tcPr>
          <w:p w14:paraId="44E4EDF6" w14:textId="45EC1F36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8650F8">
              <w:rPr>
                <w:sz w:val="22"/>
                <w:szCs w:val="22"/>
              </w:rPr>
              <w:t xml:space="preserve">782,452.78 </w:t>
            </w:r>
          </w:p>
        </w:tc>
      </w:tr>
      <w:tr w:rsidR="008650F8" w:rsidRPr="007067EE" w14:paraId="00FF7B57" w14:textId="77777777" w:rsidTr="00A555A9">
        <w:tc>
          <w:tcPr>
            <w:tcW w:w="1555" w:type="dxa"/>
          </w:tcPr>
          <w:p w14:paraId="1E91A50C" w14:textId="520DC870" w:rsidR="008650F8" w:rsidRPr="007067EE" w:rsidRDefault="008650F8" w:rsidP="008650F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Transgrid</w:t>
            </w:r>
            <w:proofErr w:type="spellEnd"/>
          </w:p>
        </w:tc>
        <w:tc>
          <w:tcPr>
            <w:tcW w:w="2409" w:type="dxa"/>
          </w:tcPr>
          <w:p w14:paraId="5475751B" w14:textId="3A022FD6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>63,015.60</w:t>
            </w:r>
          </w:p>
        </w:tc>
        <w:tc>
          <w:tcPr>
            <w:tcW w:w="2381" w:type="dxa"/>
          </w:tcPr>
          <w:p w14:paraId="391A6C0B" w14:textId="3D3C894B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vertAlign w:val="superscript"/>
              </w:rPr>
            </w:pPr>
            <w:r w:rsidRPr="008650F8">
              <w:rPr>
                <w:rFonts w:cstheme="minorHAnsi"/>
                <w:sz w:val="22"/>
                <w:szCs w:val="22"/>
                <w:lang w:eastAsia="en-AU"/>
              </w:rPr>
              <w:t>57,701.99</w:t>
            </w:r>
          </w:p>
        </w:tc>
        <w:tc>
          <w:tcPr>
            <w:tcW w:w="1843" w:type="dxa"/>
          </w:tcPr>
          <w:p w14:paraId="45AFB6AA" w14:textId="0E7642FF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</w:rPr>
            </w:pPr>
            <w:r w:rsidRPr="00865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8650F8">
              <w:rPr>
                <w:sz w:val="22"/>
                <w:szCs w:val="22"/>
              </w:rPr>
              <w:t xml:space="preserve">5,313.61 </w:t>
            </w:r>
          </w:p>
        </w:tc>
      </w:tr>
      <w:tr w:rsidR="008650F8" w:rsidRPr="007067EE" w14:paraId="2710B953" w14:textId="77777777" w:rsidTr="006B0417">
        <w:tc>
          <w:tcPr>
            <w:tcW w:w="1555" w:type="dxa"/>
          </w:tcPr>
          <w:p w14:paraId="4B1C51E4" w14:textId="75995786" w:rsidR="008650F8" w:rsidRPr="007067EE" w:rsidRDefault="008650F8" w:rsidP="008650F8">
            <w:pPr>
              <w:tabs>
                <w:tab w:val="left" w:pos="432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Lumea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69D" w14:textId="00F20375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>2,959.42</w:t>
            </w:r>
          </w:p>
        </w:tc>
        <w:tc>
          <w:tcPr>
            <w:tcW w:w="2381" w:type="dxa"/>
            <w:vAlign w:val="center"/>
          </w:tcPr>
          <w:p w14:paraId="46993642" w14:textId="6BE5FA0A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rFonts w:cstheme="minorHAnsi"/>
                <w:sz w:val="22"/>
                <w:szCs w:val="22"/>
                <w:lang w:eastAsia="en-AU"/>
              </w:rPr>
              <w:t>2,860.31</w:t>
            </w:r>
          </w:p>
        </w:tc>
        <w:tc>
          <w:tcPr>
            <w:tcW w:w="1843" w:type="dxa"/>
          </w:tcPr>
          <w:p w14:paraId="7EC357EA" w14:textId="69F4E516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8650F8">
              <w:rPr>
                <w:sz w:val="22"/>
                <w:szCs w:val="22"/>
              </w:rPr>
              <w:t xml:space="preserve">99.11 </w:t>
            </w:r>
          </w:p>
        </w:tc>
      </w:tr>
      <w:tr w:rsidR="008650F8" w:rsidRPr="007067EE" w14:paraId="2A737762" w14:textId="77777777" w:rsidTr="006B0417">
        <w:tc>
          <w:tcPr>
            <w:tcW w:w="1555" w:type="dxa"/>
          </w:tcPr>
          <w:p w14:paraId="3C699A70" w14:textId="77777777" w:rsidR="008650F8" w:rsidRPr="007067EE" w:rsidRDefault="008650F8" w:rsidP="008650F8">
            <w:pPr>
              <w:tabs>
                <w:tab w:val="left" w:pos="432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7067EE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D8F" w14:textId="5F7B4365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8650F8">
              <w:rPr>
                <w:b/>
                <w:bCs/>
                <w:sz w:val="22"/>
                <w:szCs w:val="22"/>
              </w:rPr>
              <w:t>1,927,023.99</w:t>
            </w:r>
          </w:p>
        </w:tc>
        <w:tc>
          <w:tcPr>
            <w:tcW w:w="2381" w:type="dxa"/>
            <w:vAlign w:val="center"/>
          </w:tcPr>
          <w:p w14:paraId="25817CBE" w14:textId="24385B72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b/>
                <w:bCs/>
                <w:sz w:val="22"/>
                <w:szCs w:val="22"/>
                <w:lang w:eastAsia="en-AU"/>
              </w:rPr>
            </w:pPr>
            <w:r w:rsidRPr="008650F8">
              <w:rPr>
                <w:rFonts w:cstheme="minorHAnsi"/>
                <w:b/>
                <w:bCs/>
                <w:sz w:val="22"/>
                <w:szCs w:val="22"/>
                <w:lang w:eastAsia="en-AU"/>
              </w:rPr>
              <w:t>1,137,921.86</w:t>
            </w:r>
          </w:p>
        </w:tc>
        <w:tc>
          <w:tcPr>
            <w:tcW w:w="1843" w:type="dxa"/>
          </w:tcPr>
          <w:p w14:paraId="739B5E09" w14:textId="73055C86" w:rsidR="008650F8" w:rsidRPr="008650F8" w:rsidRDefault="008650F8" w:rsidP="008650F8">
            <w:pPr>
              <w:tabs>
                <w:tab w:val="left" w:pos="4320"/>
              </w:tabs>
              <w:spacing w:line="276" w:lineRule="auto"/>
              <w:jc w:val="right"/>
              <w:rPr>
                <w:rFonts w:cstheme="minorHAnsi"/>
                <w:b/>
                <w:bCs/>
                <w:sz w:val="22"/>
                <w:szCs w:val="22"/>
                <w:lang w:eastAsia="en-AU"/>
              </w:rPr>
            </w:pPr>
            <w:r w:rsidRPr="008650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8650F8">
              <w:rPr>
                <w:b/>
                <w:bCs/>
                <w:sz w:val="22"/>
                <w:szCs w:val="22"/>
              </w:rPr>
              <w:t xml:space="preserve">789,102.13 </w:t>
            </w:r>
          </w:p>
        </w:tc>
      </w:tr>
    </w:tbl>
    <w:p w14:paraId="1EAB86AC" w14:textId="77777777" w:rsidR="00C17FAB" w:rsidRDefault="00C17FAB" w:rsidP="005637BF"/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6486" w14:textId="77777777" w:rsidR="00510CC1" w:rsidRDefault="00510CC1" w:rsidP="00C17FAB">
      <w:r>
        <w:separator/>
      </w:r>
    </w:p>
  </w:endnote>
  <w:endnote w:type="continuationSeparator" w:id="0">
    <w:p w14:paraId="62ADF919" w14:textId="77777777" w:rsidR="00510CC1" w:rsidRDefault="00510CC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E9A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05F2" w14:textId="7B8127DB" w:rsidR="00DA3B00" w:rsidRPr="00FE0DED" w:rsidRDefault="00FE0DED" w:rsidP="00FE0DED">
    <w:pPr>
      <w:pStyle w:val="Footer"/>
      <w:jc w:val="center"/>
      <w:rPr>
        <w:rFonts w:cs="Arial"/>
        <w:sz w:val="14"/>
      </w:rPr>
    </w:pPr>
    <w:r w:rsidRPr="00FE0D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AD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FB70" w14:textId="77777777" w:rsidR="00510CC1" w:rsidRDefault="00510CC1" w:rsidP="00C17FAB">
      <w:r>
        <w:separator/>
      </w:r>
    </w:p>
  </w:footnote>
  <w:footnote w:type="continuationSeparator" w:id="0">
    <w:p w14:paraId="618DF2A9" w14:textId="77777777" w:rsidR="00510CC1" w:rsidRDefault="00510CC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8E2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EA0A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32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248143">
    <w:abstractNumId w:val="2"/>
  </w:num>
  <w:num w:numId="2" w16cid:durableId="1191840339">
    <w:abstractNumId w:val="0"/>
  </w:num>
  <w:num w:numId="3" w16cid:durableId="1763336325">
    <w:abstractNumId w:val="3"/>
  </w:num>
  <w:num w:numId="4" w16cid:durableId="1271202700">
    <w:abstractNumId w:val="6"/>
  </w:num>
  <w:num w:numId="5" w16cid:durableId="1871408512">
    <w:abstractNumId w:val="7"/>
  </w:num>
  <w:num w:numId="6" w16cid:durableId="2030986533">
    <w:abstractNumId w:val="1"/>
  </w:num>
  <w:num w:numId="7" w16cid:durableId="1842432845">
    <w:abstractNumId w:val="4"/>
  </w:num>
  <w:num w:numId="8" w16cid:durableId="721949700">
    <w:abstractNumId w:val="5"/>
  </w:num>
  <w:num w:numId="9" w16cid:durableId="1282229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B0538"/>
    <w:rsid w:val="0018406A"/>
    <w:rsid w:val="001B75A5"/>
    <w:rsid w:val="002D7C60"/>
    <w:rsid w:val="00307BB8"/>
    <w:rsid w:val="00337C9E"/>
    <w:rsid w:val="004A2742"/>
    <w:rsid w:val="004C0C98"/>
    <w:rsid w:val="00510CC1"/>
    <w:rsid w:val="005637BF"/>
    <w:rsid w:val="00585063"/>
    <w:rsid w:val="005C5046"/>
    <w:rsid w:val="005F77C8"/>
    <w:rsid w:val="00661ACE"/>
    <w:rsid w:val="00730489"/>
    <w:rsid w:val="007346AC"/>
    <w:rsid w:val="00784432"/>
    <w:rsid w:val="007D0915"/>
    <w:rsid w:val="008650F8"/>
    <w:rsid w:val="00896275"/>
    <w:rsid w:val="008D030D"/>
    <w:rsid w:val="009508A5"/>
    <w:rsid w:val="009B4E3F"/>
    <w:rsid w:val="009D7A51"/>
    <w:rsid w:val="00A555A9"/>
    <w:rsid w:val="00A84A94"/>
    <w:rsid w:val="00B10C62"/>
    <w:rsid w:val="00C17FAB"/>
    <w:rsid w:val="00CE599C"/>
    <w:rsid w:val="00DA3B00"/>
    <w:rsid w:val="00DF300D"/>
    <w:rsid w:val="00E148F3"/>
    <w:rsid w:val="00E50C74"/>
    <w:rsid w:val="00EB603B"/>
    <w:rsid w:val="00EC0C33"/>
    <w:rsid w:val="00F57A4C"/>
    <w:rsid w:val="00F83920"/>
    <w:rsid w:val="00FB213B"/>
    <w:rsid w:val="00FD5824"/>
    <w:rsid w:val="00FD75CE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E140F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table" w:styleId="TableGrid">
    <w:name w:val="Table Grid"/>
    <w:basedOn w:val="TableNormal"/>
    <w:uiPriority w:val="59"/>
    <w:rsid w:val="0058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5063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1B75A5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C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C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C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A57297158</value>
    </field>
    <field name="Objective-Title">
      <value order="0">ES - fee 25-26</value>
    </field>
    <field name="Objective-Description">
      <value order="0"/>
    </field>
    <field name="Objective-CreationStamp">
      <value order="0">2025-09-15T02:31:25Z</value>
    </field>
    <field name="Objective-IsApproved">
      <value order="0">false</value>
    </field>
    <field name="Objective-IsPublished">
      <value order="0">true</value>
    </field>
    <field name="Objective-DatePublished">
      <value order="0">2025-09-25T03:53:02Z</value>
    </field>
    <field name="Objective-ModificationStamp">
      <value order="0">2025-09-25T03:53:02Z</value>
    </field>
    <field name="Objective-Owner">
      <value order="0">Sania Rafiq</value>
    </field>
    <field name="Objective-Path">
      <value order="0">Whole of ACT Government:ICRC - Independent Competition and Regulatory Commission:06. UTILITIES LICENSING:02. Fees and Levies:Yearly Fees and Levies:2025 -26 Fees and Levies:05- Instruments:Fee</value>
    </field>
    <field name="Objective-Parent">
      <value order="0">Fee</value>
    </field>
    <field name="Objective-State">
      <value order="0">Published</value>
    </field>
    <field name="Objective-VersionId">
      <value order="0">vA73147452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1791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2025-09-29T00:42:00Z</dcterms:created>
  <dcterms:modified xsi:type="dcterms:W3CDTF">2025-09-29T00:42:00Z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2024-09-23T06:15:33Z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7d1c68e9-222a-4ce4-8cf3-1900040fe29c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A57297158</vt:lpwstr>
  </property>
  <property fmtid="{D5CDD505-2E9C-101B-9397-08002B2CF9AE}" pid="10" name="Objective-Title">
    <vt:lpwstr>ES - fee 25-26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2025-09-15T02:31:25Z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2025-09-25T03:53:02Z</vt:filetime>
  </property>
  <property fmtid="{D5CDD505-2E9C-101B-9397-08002B2CF9AE}" pid="16" name="Objective-ModificationStamp">
    <vt:filetime>2025-09-25T03:53:02Z</vt:filetime>
  </property>
  <property fmtid="{D5CDD505-2E9C-101B-9397-08002B2CF9AE}" pid="17" name="Objective-Owner">
    <vt:lpwstr>Sania Rafiq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Instruments:Fee</vt:lpwstr>
  </property>
  <property fmtid="{D5CDD505-2E9C-101B-9397-08002B2CF9AE}" pid="19" name="Objective-Parent">
    <vt:lpwstr>Fee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vA73147452</vt:lpwstr>
  </property>
  <property fmtid="{D5CDD505-2E9C-101B-9397-08002B2CF9AE}" pid="22" name="Objective-Version">
    <vt:lpwstr>4.0</vt:lpwstr>
  </property>
  <property fmtid="{D5CDD505-2E9C-101B-9397-08002B2CF9AE}" pid="23" name="Objective-VersionNumber">
    <vt:r8>4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HECKEDOUTFROMJMS">
    <vt:lpwstr/>
  </property>
  <property fmtid="{D5CDD505-2E9C-101B-9397-08002B2CF9AE}" pid="47" name="DMSID">
    <vt:lpwstr>14821703</vt:lpwstr>
  </property>
  <property fmtid="{D5CDD505-2E9C-101B-9397-08002B2CF9AE}" pid="48" name="JMSREQUIREDCHECKIN">
    <vt:lpwstr/>
  </property>
</Properties>
</file>