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B7648" w14:textId="77777777" w:rsidR="006815C9" w:rsidRDefault="006815C9">
      <w:pPr>
        <w:spacing w:before="120"/>
        <w:rPr>
          <w:rFonts w:ascii="Arial" w:hAnsi="Arial" w:cs="Arial"/>
        </w:rPr>
      </w:pPr>
      <w:bookmarkStart w:id="0" w:name="_Toc44738651"/>
      <w:r>
        <w:rPr>
          <w:rFonts w:ascii="Arial" w:hAnsi="Arial" w:cs="Arial"/>
        </w:rPr>
        <w:t>Australian Capital Territory</w:t>
      </w:r>
    </w:p>
    <w:p w14:paraId="1D955DF5" w14:textId="3DAF428C" w:rsidR="006815C9" w:rsidRDefault="00A051B7">
      <w:pPr>
        <w:pStyle w:val="Billname"/>
        <w:spacing w:before="700"/>
      </w:pPr>
      <w:r>
        <w:t>Property Developers Regulation 2025</w:t>
      </w:r>
    </w:p>
    <w:p w14:paraId="06424385" w14:textId="460EB643" w:rsidR="006815C9" w:rsidRDefault="00F5371D" w:rsidP="00091D34">
      <w:pPr>
        <w:spacing w:before="340"/>
        <w:rPr>
          <w:rFonts w:ascii="Arial" w:hAnsi="Arial" w:cs="Arial"/>
          <w:b/>
          <w:bCs/>
        </w:rPr>
      </w:pPr>
      <w:r>
        <w:rPr>
          <w:rFonts w:ascii="Arial" w:hAnsi="Arial" w:cs="Arial"/>
          <w:b/>
          <w:bCs/>
        </w:rPr>
        <w:t>Subordinate law SL</w:t>
      </w:r>
      <w:r w:rsidR="00C63C59">
        <w:rPr>
          <w:rFonts w:ascii="Arial" w:hAnsi="Arial" w:cs="Arial"/>
          <w:b/>
          <w:bCs/>
        </w:rPr>
        <w:t>202</w:t>
      </w:r>
      <w:r w:rsidR="00A051B7">
        <w:rPr>
          <w:rFonts w:ascii="Arial" w:hAnsi="Arial" w:cs="Arial"/>
          <w:b/>
          <w:bCs/>
        </w:rPr>
        <w:t>5</w:t>
      </w:r>
      <w:r w:rsidR="006815C9">
        <w:rPr>
          <w:rFonts w:ascii="Arial" w:hAnsi="Arial" w:cs="Arial"/>
          <w:b/>
          <w:bCs/>
        </w:rPr>
        <w:t>–</w:t>
      </w:r>
      <w:r w:rsidR="008A50B0">
        <w:rPr>
          <w:rFonts w:ascii="Arial" w:hAnsi="Arial" w:cs="Arial"/>
          <w:b/>
          <w:bCs/>
        </w:rPr>
        <w:t>20</w:t>
      </w:r>
    </w:p>
    <w:p w14:paraId="3724EBAE" w14:textId="77777777" w:rsidR="006815C9" w:rsidRDefault="006815C9" w:rsidP="00091D34">
      <w:pPr>
        <w:pStyle w:val="madeunder"/>
        <w:spacing w:before="300" w:after="0"/>
      </w:pPr>
      <w:r>
        <w:t xml:space="preserve">made under the  </w:t>
      </w:r>
    </w:p>
    <w:p w14:paraId="1E724C0D" w14:textId="2E6E90DE" w:rsidR="006815C9" w:rsidRDefault="00A051B7" w:rsidP="00091D34">
      <w:pPr>
        <w:pStyle w:val="CoverActName"/>
        <w:spacing w:before="320" w:after="0"/>
        <w:rPr>
          <w:rFonts w:cs="Arial"/>
          <w:sz w:val="20"/>
        </w:rPr>
      </w:pPr>
      <w:r w:rsidRPr="00304917">
        <w:rPr>
          <w:rFonts w:cs="Arial"/>
          <w:sz w:val="20"/>
        </w:rPr>
        <w:t>Property Developers Act 2024</w:t>
      </w:r>
      <w:r w:rsidR="006815C9">
        <w:rPr>
          <w:rFonts w:cs="Arial"/>
          <w:sz w:val="20"/>
        </w:rPr>
        <w:t xml:space="preserve">, </w:t>
      </w:r>
      <w:r w:rsidR="00C63C59">
        <w:rPr>
          <w:rFonts w:cs="Arial"/>
          <w:sz w:val="20"/>
        </w:rPr>
        <w:t xml:space="preserve">s </w:t>
      </w:r>
      <w:r>
        <w:rPr>
          <w:rFonts w:cs="Arial"/>
          <w:sz w:val="20"/>
        </w:rPr>
        <w:t>122</w:t>
      </w:r>
      <w:r w:rsidR="006815C9">
        <w:rPr>
          <w:rFonts w:cs="Arial"/>
          <w:sz w:val="20"/>
        </w:rPr>
        <w:t xml:space="preserve"> (</w:t>
      </w:r>
      <w:bookmarkStart w:id="1" w:name="_Toc120019735"/>
      <w:r w:rsidR="00577FE5" w:rsidRPr="00577FE5">
        <w:rPr>
          <w:rFonts w:cs="Arial"/>
          <w:sz w:val="20"/>
        </w:rPr>
        <w:t>Regulation-making power</w:t>
      </w:r>
      <w:bookmarkEnd w:id="1"/>
      <w:r w:rsidR="006815C9">
        <w:rPr>
          <w:rFonts w:cs="Arial"/>
          <w:sz w:val="20"/>
        </w:rPr>
        <w:t>)</w:t>
      </w:r>
    </w:p>
    <w:p w14:paraId="21DC6066" w14:textId="77777777" w:rsidR="006815C9" w:rsidRDefault="006815C9">
      <w:pPr>
        <w:spacing w:before="360"/>
        <w:ind w:right="565"/>
        <w:rPr>
          <w:rFonts w:ascii="Arial" w:hAnsi="Arial" w:cs="Arial"/>
          <w:b/>
          <w:bCs/>
          <w:sz w:val="28"/>
          <w:szCs w:val="28"/>
        </w:rPr>
      </w:pPr>
      <w:r>
        <w:rPr>
          <w:rFonts w:ascii="Arial" w:hAnsi="Arial" w:cs="Arial"/>
          <w:b/>
          <w:bCs/>
          <w:sz w:val="28"/>
          <w:szCs w:val="28"/>
        </w:rPr>
        <w:t>EXPLANATORY STATEMENT</w:t>
      </w:r>
    </w:p>
    <w:p w14:paraId="1E6ADC15" w14:textId="77777777" w:rsidR="006815C9" w:rsidRDefault="006815C9">
      <w:pPr>
        <w:pStyle w:val="N-line3"/>
        <w:pBdr>
          <w:bottom w:val="none" w:sz="0" w:space="0" w:color="auto"/>
        </w:pBdr>
      </w:pPr>
    </w:p>
    <w:p w14:paraId="0489DFDC" w14:textId="77777777" w:rsidR="006815C9" w:rsidRDefault="006815C9">
      <w:pPr>
        <w:pStyle w:val="N-line3"/>
        <w:pBdr>
          <w:top w:val="single" w:sz="12" w:space="1" w:color="auto"/>
          <w:bottom w:val="none" w:sz="0" w:space="0" w:color="auto"/>
        </w:pBdr>
      </w:pPr>
    </w:p>
    <w:bookmarkEnd w:id="0"/>
    <w:p w14:paraId="42A71127" w14:textId="189903D1" w:rsidR="00AD6A09" w:rsidRDefault="00AD6A09" w:rsidP="00AD6A09">
      <w:r>
        <w:t xml:space="preserve">This explanatory statement relates to the </w:t>
      </w:r>
      <w:r>
        <w:rPr>
          <w:i/>
        </w:rPr>
        <w:t>Property Developers Regulation 2025</w:t>
      </w:r>
      <w:r>
        <w:t xml:space="preserve"> (the </w:t>
      </w:r>
      <w:r w:rsidRPr="00620F86">
        <w:rPr>
          <w:b/>
          <w:bCs/>
          <w:i/>
          <w:iCs/>
        </w:rPr>
        <w:t>regulation</w:t>
      </w:r>
      <w:r>
        <w:t xml:space="preserve">) as made by the Executive. It has been prepared to assist the reader </w:t>
      </w:r>
      <w:r w:rsidR="00354208">
        <w:t xml:space="preserve">of </w:t>
      </w:r>
      <w:r>
        <w:t>the regulation</w:t>
      </w:r>
      <w:r w:rsidR="00354208">
        <w:t>. It does not form part of the regulation and has not been endorsed by the Legislative Assembly</w:t>
      </w:r>
      <w:r>
        <w:t>.</w:t>
      </w:r>
    </w:p>
    <w:p w14:paraId="1E49EE12" w14:textId="77777777" w:rsidR="00AD6A09" w:rsidRDefault="00AD6A09" w:rsidP="00AD6A09"/>
    <w:p w14:paraId="153EE768" w14:textId="4E11D728" w:rsidR="00AD6A09" w:rsidRDefault="00AD6A09" w:rsidP="00AD6A09">
      <w:pPr>
        <w:rPr>
          <w:sz w:val="22"/>
        </w:rPr>
      </w:pPr>
      <w:r>
        <w:rPr>
          <w:rStyle w:val="ui-provider"/>
        </w:rPr>
        <w:t xml:space="preserve">This </w:t>
      </w:r>
      <w:r w:rsidR="001A69A7">
        <w:rPr>
          <w:rStyle w:val="ui-provider"/>
        </w:rPr>
        <w:t>S</w:t>
      </w:r>
      <w:r>
        <w:rPr>
          <w:rStyle w:val="ui-provider"/>
        </w:rPr>
        <w:t>tatement must be read in conjunction with the regulation. It is not, and is not meant to be, a comprehensive description of the regulation. What is said about a provision is not to be taken as an authoritative guide to the meaning of a provision, this being a task for the courts.</w:t>
      </w:r>
    </w:p>
    <w:p w14:paraId="2503690C" w14:textId="77777777" w:rsidR="00CC5305" w:rsidRPr="00645711" w:rsidRDefault="00CC5305" w:rsidP="00CC5305">
      <w:pPr>
        <w:pStyle w:val="longtitle"/>
        <w:shd w:val="clear" w:color="auto" w:fill="FFFFFF"/>
        <w:spacing w:after="120"/>
        <w:rPr>
          <w:b/>
          <w:bCs/>
          <w:color w:val="000000"/>
          <w:sz w:val="26"/>
          <w:szCs w:val="26"/>
        </w:rPr>
      </w:pPr>
      <w:r w:rsidRPr="00645711">
        <w:rPr>
          <w:b/>
          <w:bCs/>
          <w:color w:val="000000"/>
          <w:sz w:val="26"/>
          <w:szCs w:val="26"/>
        </w:rPr>
        <w:t>Overview</w:t>
      </w:r>
    </w:p>
    <w:p w14:paraId="0EE1A523" w14:textId="77777777" w:rsidR="00CC5305" w:rsidRPr="008A059D" w:rsidRDefault="00CC5305" w:rsidP="00CC5305">
      <w:pPr>
        <w:pStyle w:val="longtitle"/>
        <w:shd w:val="clear" w:color="auto" w:fill="FFFFFF"/>
        <w:spacing w:before="0" w:beforeAutospacing="0" w:after="0" w:afterAutospacing="0"/>
        <w:rPr>
          <w:color w:val="000000"/>
          <w:shd w:val="clear" w:color="auto" w:fill="FFFFFF"/>
        </w:rPr>
      </w:pPr>
      <w:r>
        <w:rPr>
          <w:color w:val="000000"/>
        </w:rPr>
        <w:t xml:space="preserve">The </w:t>
      </w:r>
      <w:r>
        <w:rPr>
          <w:i/>
          <w:iCs/>
          <w:color w:val="000000"/>
        </w:rPr>
        <w:t xml:space="preserve">Property Developers Act 2024 </w:t>
      </w:r>
      <w:r>
        <w:rPr>
          <w:color w:val="000000"/>
        </w:rPr>
        <w:t xml:space="preserve">(the </w:t>
      </w:r>
      <w:r w:rsidRPr="00102ED9">
        <w:rPr>
          <w:b/>
          <w:bCs/>
          <w:i/>
          <w:iCs/>
          <w:color w:val="000000"/>
        </w:rPr>
        <w:t>Act</w:t>
      </w:r>
      <w:r>
        <w:rPr>
          <w:color w:val="000000"/>
        </w:rPr>
        <w:t xml:space="preserve">) </w:t>
      </w:r>
      <w:r w:rsidRPr="008A059D">
        <w:rPr>
          <w:color w:val="000000"/>
          <w:shd w:val="clear" w:color="auto" w:fill="FFFFFF"/>
        </w:rPr>
        <w:t>establishes a framework for licensing certain residential property developers, and a regulatory scheme to bring these property developers into the regulatory chain of accountability for building work they are involved in</w:t>
      </w:r>
      <w:r>
        <w:rPr>
          <w:color w:val="000000"/>
          <w:shd w:val="clear" w:color="auto" w:fill="FFFFFF"/>
        </w:rPr>
        <w:t>.</w:t>
      </w:r>
    </w:p>
    <w:p w14:paraId="19FA4A28" w14:textId="77777777" w:rsidR="00421332" w:rsidRDefault="00421332" w:rsidP="005E3194"/>
    <w:p w14:paraId="22C5EF2A" w14:textId="55366662" w:rsidR="00CC5305" w:rsidRDefault="00CC5305" w:rsidP="00CC5305">
      <w:r>
        <w:t>The regulation is made under section 122 of the Act.</w:t>
      </w:r>
    </w:p>
    <w:p w14:paraId="4A03F76C" w14:textId="77777777" w:rsidR="00421332" w:rsidRDefault="00421332" w:rsidP="005E3194"/>
    <w:p w14:paraId="116909DA" w14:textId="4BD26656" w:rsidR="00D935A6" w:rsidRDefault="00D935A6" w:rsidP="005E3194">
      <w:r>
        <w:t>This regulation</w:t>
      </w:r>
      <w:r w:rsidR="00B5176F">
        <w:t>:</w:t>
      </w:r>
    </w:p>
    <w:p w14:paraId="3AF24D94" w14:textId="77777777" w:rsidR="00B5176F" w:rsidRDefault="00B5176F" w:rsidP="005E3194"/>
    <w:p w14:paraId="7EC67D93" w14:textId="13E0F408" w:rsidR="002E1B32" w:rsidRDefault="002E1B32" w:rsidP="00CC5305">
      <w:pPr>
        <w:numPr>
          <w:ilvl w:val="0"/>
          <w:numId w:val="17"/>
        </w:numPr>
        <w:spacing w:after="120"/>
        <w:rPr>
          <w:rFonts w:cstheme="minorHAnsi"/>
          <w:szCs w:val="24"/>
          <w:lang w:eastAsia="en-AU"/>
        </w:rPr>
      </w:pPr>
      <w:r>
        <w:rPr>
          <w:rFonts w:cstheme="minorHAnsi"/>
          <w:szCs w:val="24"/>
          <w:lang w:eastAsia="en-AU"/>
        </w:rPr>
        <w:t>Requires certain information to be included in a licence application and a licence renewal application for a property developer licence.</w:t>
      </w:r>
    </w:p>
    <w:p w14:paraId="034D5578" w14:textId="687A75B1" w:rsidR="00CC5305" w:rsidRPr="00CC5305" w:rsidRDefault="00CC5305" w:rsidP="00CC5305">
      <w:pPr>
        <w:numPr>
          <w:ilvl w:val="0"/>
          <w:numId w:val="17"/>
        </w:numPr>
        <w:spacing w:after="120"/>
        <w:rPr>
          <w:rFonts w:cstheme="minorHAnsi"/>
          <w:szCs w:val="24"/>
          <w:lang w:eastAsia="en-AU"/>
        </w:rPr>
      </w:pPr>
      <w:r w:rsidRPr="00CC5305">
        <w:rPr>
          <w:rFonts w:cstheme="minorHAnsi"/>
          <w:szCs w:val="24"/>
          <w:lang w:eastAsia="en-AU"/>
        </w:rPr>
        <w:t>Requir</w:t>
      </w:r>
      <w:r>
        <w:rPr>
          <w:rFonts w:cstheme="minorHAnsi"/>
          <w:szCs w:val="24"/>
          <w:lang w:eastAsia="en-AU"/>
        </w:rPr>
        <w:t>es</w:t>
      </w:r>
      <w:r w:rsidRPr="00CC5305">
        <w:rPr>
          <w:rFonts w:cstheme="minorHAnsi"/>
          <w:szCs w:val="24"/>
          <w:lang w:eastAsia="en-AU"/>
        </w:rPr>
        <w:t xml:space="preserve"> that certain information </w:t>
      </w:r>
      <w:r w:rsidR="00967295">
        <w:rPr>
          <w:rFonts w:cstheme="minorHAnsi"/>
          <w:szCs w:val="24"/>
          <w:lang w:eastAsia="en-AU"/>
        </w:rPr>
        <w:t xml:space="preserve">that </w:t>
      </w:r>
      <w:r w:rsidRPr="00CC5305">
        <w:rPr>
          <w:rFonts w:cstheme="minorHAnsi"/>
          <w:szCs w:val="24"/>
          <w:lang w:eastAsia="en-AU"/>
        </w:rPr>
        <w:t>must be included on the publicly available register of property developers is included in licence applications</w:t>
      </w:r>
      <w:r w:rsidR="002E1B32">
        <w:rPr>
          <w:rFonts w:cstheme="minorHAnsi"/>
          <w:szCs w:val="24"/>
          <w:lang w:eastAsia="en-AU"/>
        </w:rPr>
        <w:t>.</w:t>
      </w:r>
    </w:p>
    <w:p w14:paraId="48D48090" w14:textId="4095DF07" w:rsidR="00CC5305" w:rsidRPr="00CC5305" w:rsidRDefault="00CC5305" w:rsidP="00CC5305">
      <w:pPr>
        <w:numPr>
          <w:ilvl w:val="0"/>
          <w:numId w:val="17"/>
        </w:numPr>
        <w:spacing w:after="120"/>
        <w:rPr>
          <w:rFonts w:cstheme="minorHAnsi"/>
          <w:szCs w:val="24"/>
          <w:lang w:eastAsia="en-AU"/>
        </w:rPr>
      </w:pPr>
      <w:r w:rsidRPr="00CC5305">
        <w:rPr>
          <w:rFonts w:cstheme="minorHAnsi"/>
          <w:szCs w:val="24"/>
          <w:lang w:eastAsia="en-AU"/>
        </w:rPr>
        <w:t>Exclu</w:t>
      </w:r>
      <w:r w:rsidR="002E1B32">
        <w:rPr>
          <w:rFonts w:cstheme="minorHAnsi"/>
          <w:szCs w:val="24"/>
          <w:lang w:eastAsia="en-AU"/>
        </w:rPr>
        <w:t xml:space="preserve">des </w:t>
      </w:r>
      <w:r w:rsidRPr="00CC5305">
        <w:rPr>
          <w:rFonts w:cstheme="minorHAnsi"/>
          <w:szCs w:val="24"/>
          <w:lang w:eastAsia="en-AU"/>
        </w:rPr>
        <w:t>certain types of people and entities from the broader definition of property developer that is applied in Part 5 of the Act. Excluded people include people providing professional advice, such as consultants, subcontractors</w:t>
      </w:r>
      <w:r w:rsidR="00011FD8">
        <w:rPr>
          <w:rFonts w:cstheme="minorHAnsi"/>
          <w:szCs w:val="24"/>
          <w:lang w:eastAsia="en-AU"/>
        </w:rPr>
        <w:t>,</w:t>
      </w:r>
      <w:r w:rsidRPr="00CC5305">
        <w:rPr>
          <w:rFonts w:cstheme="minorHAnsi"/>
          <w:szCs w:val="24"/>
          <w:lang w:eastAsia="en-AU"/>
        </w:rPr>
        <w:t xml:space="preserve"> certifiers, and financiers.</w:t>
      </w:r>
    </w:p>
    <w:p w14:paraId="1B54E5FB" w14:textId="782E4293" w:rsidR="00CC5305" w:rsidRPr="00CC5305" w:rsidRDefault="002E1B32" w:rsidP="00CC5305">
      <w:pPr>
        <w:numPr>
          <w:ilvl w:val="0"/>
          <w:numId w:val="17"/>
        </w:numPr>
        <w:spacing w:after="120"/>
        <w:rPr>
          <w:rFonts w:cstheme="minorHAnsi"/>
          <w:szCs w:val="24"/>
          <w:lang w:eastAsia="en-AU"/>
        </w:rPr>
      </w:pPr>
      <w:r>
        <w:rPr>
          <w:rFonts w:cstheme="minorHAnsi"/>
          <w:szCs w:val="24"/>
          <w:lang w:eastAsia="en-AU"/>
        </w:rPr>
        <w:lastRenderedPageBreak/>
        <w:t xml:space="preserve">Excludes </w:t>
      </w:r>
      <w:r w:rsidR="00CC5305" w:rsidRPr="00CC5305">
        <w:rPr>
          <w:rFonts w:cstheme="minorHAnsi"/>
          <w:szCs w:val="24"/>
          <w:lang w:eastAsia="en-AU"/>
        </w:rPr>
        <w:t>directors of community housing providers</w:t>
      </w:r>
      <w:r w:rsidR="00CC70CB">
        <w:rPr>
          <w:rFonts w:cstheme="minorHAnsi"/>
          <w:szCs w:val="24"/>
          <w:lang w:eastAsia="en-AU"/>
        </w:rPr>
        <w:t xml:space="preserve"> and directors of wholly owned subsidiaries of community housing providers</w:t>
      </w:r>
      <w:r w:rsidR="00CC5305" w:rsidRPr="00CC5305">
        <w:rPr>
          <w:rFonts w:cstheme="minorHAnsi"/>
          <w:szCs w:val="24"/>
          <w:lang w:eastAsia="en-AU"/>
        </w:rPr>
        <w:t xml:space="preserve"> from the director liability provisions in Part 5 of the Act.</w:t>
      </w:r>
    </w:p>
    <w:p w14:paraId="23079FEF" w14:textId="5BCB04EA" w:rsidR="00CC5305" w:rsidRPr="00CC5305" w:rsidRDefault="002E1B32" w:rsidP="00CC5305">
      <w:pPr>
        <w:numPr>
          <w:ilvl w:val="0"/>
          <w:numId w:val="17"/>
        </w:numPr>
        <w:spacing w:after="120"/>
        <w:rPr>
          <w:rFonts w:cstheme="minorHAnsi"/>
          <w:szCs w:val="24"/>
          <w:lang w:eastAsia="en-AU"/>
        </w:rPr>
      </w:pPr>
      <w:r>
        <w:rPr>
          <w:rFonts w:cstheme="minorHAnsi"/>
          <w:szCs w:val="24"/>
          <w:lang w:eastAsia="en-AU"/>
        </w:rPr>
        <w:t xml:space="preserve">Excludes </w:t>
      </w:r>
      <w:r w:rsidR="00CC5305" w:rsidRPr="00CC5305">
        <w:rPr>
          <w:rFonts w:cstheme="minorHAnsi"/>
          <w:szCs w:val="24"/>
          <w:lang w:eastAsia="en-AU"/>
        </w:rPr>
        <w:t xml:space="preserve">certain aged care providers from </w:t>
      </w:r>
      <w:r>
        <w:rPr>
          <w:rFonts w:cstheme="minorHAnsi"/>
          <w:szCs w:val="24"/>
          <w:lang w:eastAsia="en-AU"/>
        </w:rPr>
        <w:t xml:space="preserve">being subject to the </w:t>
      </w:r>
      <w:r w:rsidR="00CC5305" w:rsidRPr="00CC5305">
        <w:rPr>
          <w:rFonts w:cstheme="minorHAnsi"/>
          <w:szCs w:val="24"/>
          <w:lang w:eastAsia="en-AU"/>
        </w:rPr>
        <w:t xml:space="preserve">Act </w:t>
      </w:r>
      <w:r>
        <w:rPr>
          <w:rFonts w:cstheme="minorHAnsi"/>
          <w:szCs w:val="24"/>
          <w:lang w:eastAsia="en-AU"/>
        </w:rPr>
        <w:t xml:space="preserve">by </w:t>
      </w:r>
      <w:r w:rsidR="00CC70CB">
        <w:rPr>
          <w:rFonts w:cstheme="minorHAnsi"/>
          <w:szCs w:val="24"/>
          <w:lang w:eastAsia="en-AU"/>
        </w:rPr>
        <w:t xml:space="preserve">excluding buildings they construct from the Act’s definition of </w:t>
      </w:r>
      <w:r w:rsidR="00CC70CB" w:rsidRPr="00645711">
        <w:rPr>
          <w:rFonts w:cstheme="minorHAnsi"/>
          <w:i/>
          <w:iCs/>
          <w:szCs w:val="24"/>
          <w:lang w:eastAsia="en-AU"/>
        </w:rPr>
        <w:t>regulated residential building</w:t>
      </w:r>
      <w:r w:rsidR="00CC70CB">
        <w:rPr>
          <w:rFonts w:cstheme="minorHAnsi"/>
          <w:szCs w:val="24"/>
          <w:lang w:eastAsia="en-AU"/>
        </w:rPr>
        <w:t>.</w:t>
      </w:r>
    </w:p>
    <w:p w14:paraId="768F4DD1" w14:textId="1F3976ED" w:rsidR="00CC5305" w:rsidRDefault="00CC5305" w:rsidP="00CC5305">
      <w:pPr>
        <w:numPr>
          <w:ilvl w:val="0"/>
          <w:numId w:val="17"/>
        </w:numPr>
        <w:spacing w:after="120"/>
        <w:rPr>
          <w:rFonts w:cstheme="minorHAnsi"/>
          <w:szCs w:val="24"/>
          <w:lang w:eastAsia="en-AU"/>
        </w:rPr>
      </w:pPr>
      <w:r w:rsidRPr="00CC5305">
        <w:rPr>
          <w:rFonts w:cstheme="minorHAnsi"/>
          <w:szCs w:val="24"/>
          <w:lang w:eastAsia="en-AU"/>
        </w:rPr>
        <w:t>Prescrib</w:t>
      </w:r>
      <w:r w:rsidR="00FD07EA">
        <w:rPr>
          <w:rFonts w:cstheme="minorHAnsi"/>
          <w:szCs w:val="24"/>
          <w:lang w:eastAsia="en-AU"/>
        </w:rPr>
        <w:t>es</w:t>
      </w:r>
      <w:r w:rsidRPr="00CC5305">
        <w:rPr>
          <w:rFonts w:cstheme="minorHAnsi"/>
          <w:szCs w:val="24"/>
          <w:lang w:eastAsia="en-AU"/>
        </w:rPr>
        <w:t xml:space="preserve"> the Code of Practice </w:t>
      </w:r>
      <w:r w:rsidR="007119D0">
        <w:rPr>
          <w:rFonts w:cstheme="minorHAnsi"/>
          <w:szCs w:val="24"/>
          <w:lang w:eastAsia="en-AU"/>
        </w:rPr>
        <w:t xml:space="preserve">under section 117 of the Act applies </w:t>
      </w:r>
      <w:r w:rsidRPr="00CC5305">
        <w:rPr>
          <w:rFonts w:cstheme="minorHAnsi"/>
          <w:szCs w:val="24"/>
          <w:lang w:eastAsia="en-AU"/>
        </w:rPr>
        <w:t xml:space="preserve">to all people </w:t>
      </w:r>
      <w:r w:rsidR="007119D0">
        <w:rPr>
          <w:rFonts w:cstheme="minorHAnsi"/>
          <w:szCs w:val="24"/>
          <w:lang w:eastAsia="en-AU"/>
        </w:rPr>
        <w:t xml:space="preserve">who </w:t>
      </w:r>
      <w:r w:rsidRPr="00CC5305">
        <w:rPr>
          <w:rFonts w:cstheme="minorHAnsi"/>
          <w:szCs w:val="24"/>
          <w:lang w:eastAsia="en-AU"/>
        </w:rPr>
        <w:t>arrange for regulated residential building work</w:t>
      </w:r>
      <w:r w:rsidR="00FD07EA">
        <w:rPr>
          <w:rFonts w:cstheme="minorHAnsi"/>
          <w:szCs w:val="24"/>
          <w:lang w:eastAsia="en-AU"/>
        </w:rPr>
        <w:t>.</w:t>
      </w:r>
    </w:p>
    <w:p w14:paraId="254A35EB" w14:textId="4F4E85E6" w:rsidR="00C448EC" w:rsidRDefault="00354208" w:rsidP="00C448EC">
      <w:r>
        <w:rPr>
          <w:rFonts w:cstheme="minorHAnsi"/>
          <w:szCs w:val="24"/>
          <w:lang w:eastAsia="en-AU"/>
        </w:rPr>
        <w:t>Applications</w:t>
      </w:r>
      <w:r w:rsidR="001E5369">
        <w:t xml:space="preserve"> for property developer licenses </w:t>
      </w:r>
      <w:r w:rsidR="00304917">
        <w:t xml:space="preserve">will be accepted </w:t>
      </w:r>
      <w:r w:rsidR="001E5369">
        <w:t>from 1 October 2025. From 1</w:t>
      </w:r>
      <w:r>
        <w:t> </w:t>
      </w:r>
      <w:r w:rsidR="001E5369">
        <w:t>October 2026 it will be mandatory for certain residential property developers to hold a licence. This regulation supports the commencement of licence applications being accepted</w:t>
      </w:r>
      <w:r w:rsidR="00C448EC">
        <w:t>,</w:t>
      </w:r>
      <w:r w:rsidR="001E5369">
        <w:t xml:space="preserve"> and provides clarity regarding what types of people </w:t>
      </w:r>
      <w:r w:rsidR="00C448EC">
        <w:t>that various provisions in the Act will apply to, and those who will be exempted from the Act or particular provisions in it.</w:t>
      </w:r>
    </w:p>
    <w:p w14:paraId="6089B35F" w14:textId="53509E9B" w:rsidR="008F63E4" w:rsidRDefault="008F63E4" w:rsidP="00645711">
      <w:pPr>
        <w:pStyle w:val="longtitle"/>
        <w:shd w:val="clear" w:color="auto" w:fill="FFFFFF"/>
        <w:spacing w:after="120"/>
        <w:rPr>
          <w:b/>
          <w:bCs/>
          <w:color w:val="000000"/>
          <w:sz w:val="26"/>
          <w:szCs w:val="26"/>
        </w:rPr>
      </w:pPr>
      <w:r>
        <w:rPr>
          <w:b/>
          <w:bCs/>
          <w:color w:val="000000"/>
          <w:sz w:val="26"/>
          <w:szCs w:val="26"/>
        </w:rPr>
        <w:t>Climate Impact</w:t>
      </w:r>
    </w:p>
    <w:p w14:paraId="597F7C4D" w14:textId="17BFE1D3" w:rsidR="008F63E4" w:rsidRPr="00304917" w:rsidRDefault="008F63E4" w:rsidP="00304917">
      <w:pPr>
        <w:rPr>
          <w:color w:val="000000"/>
          <w:szCs w:val="24"/>
        </w:rPr>
      </w:pPr>
      <w:r>
        <w:rPr>
          <w:color w:val="000000"/>
          <w:szCs w:val="24"/>
          <w:lang w:eastAsia="en-AU"/>
        </w:rPr>
        <w:t>There are no climate change impacts arising from the regulation.</w:t>
      </w:r>
    </w:p>
    <w:p w14:paraId="64E319C0" w14:textId="472138B8" w:rsidR="007004CF" w:rsidRPr="00645711" w:rsidRDefault="007004CF" w:rsidP="00645711">
      <w:pPr>
        <w:pStyle w:val="longtitle"/>
        <w:shd w:val="clear" w:color="auto" w:fill="FFFFFF"/>
        <w:spacing w:after="120"/>
        <w:rPr>
          <w:b/>
          <w:bCs/>
          <w:color w:val="000000"/>
          <w:sz w:val="26"/>
          <w:szCs w:val="26"/>
        </w:rPr>
      </w:pPr>
      <w:r w:rsidRPr="00645711">
        <w:rPr>
          <w:b/>
          <w:bCs/>
          <w:color w:val="000000"/>
          <w:sz w:val="26"/>
          <w:szCs w:val="26"/>
        </w:rPr>
        <w:t>Regulatory Impact Statement</w:t>
      </w:r>
    </w:p>
    <w:p w14:paraId="775FCE70" w14:textId="0D7AE69C" w:rsidR="007004CF" w:rsidRPr="00182BCB" w:rsidRDefault="007004CF" w:rsidP="007004CF">
      <w:pPr>
        <w:pStyle w:val="NormalWeb"/>
        <w:shd w:val="clear" w:color="auto" w:fill="FFFFFF"/>
        <w:spacing w:before="0" w:beforeAutospacing="0" w:after="0" w:afterAutospacing="0"/>
      </w:pPr>
      <w:r w:rsidRPr="00182BCB">
        <w:t xml:space="preserve">Section 34 of the </w:t>
      </w:r>
      <w:r w:rsidR="00C64B86" w:rsidRPr="00304917">
        <w:rPr>
          <w:i/>
          <w:iCs/>
        </w:rPr>
        <w:t>Legislation Act 2001</w:t>
      </w:r>
      <w:r w:rsidR="00C64B86">
        <w:t xml:space="preserve"> (the </w:t>
      </w:r>
      <w:r w:rsidRPr="00304917">
        <w:rPr>
          <w:b/>
          <w:bCs/>
          <w:i/>
          <w:iCs/>
        </w:rPr>
        <w:t>Legislation Act</w:t>
      </w:r>
      <w:r w:rsidR="00C64B86">
        <w:t>)</w:t>
      </w:r>
      <w:r w:rsidRPr="00182BCB">
        <w:t xml:space="preserve"> provides that if a proposed subordinate law or disallowable instrument (the </w:t>
      </w:r>
      <w:r w:rsidRPr="000060D2">
        <w:rPr>
          <w:b/>
          <w:bCs/>
          <w:i/>
          <w:iCs/>
        </w:rPr>
        <w:t>proposed law</w:t>
      </w:r>
      <w:r w:rsidRPr="00182BCB">
        <w:t xml:space="preserve">) is likely to impose appreciable costs on the community, or a part of the community, then, before the proposed law is made, the Minister administering the authorising law must arrange for a </w:t>
      </w:r>
      <w:r>
        <w:t>Regulatory Impact Statement (</w:t>
      </w:r>
      <w:r w:rsidRPr="00304917">
        <w:rPr>
          <w:b/>
          <w:bCs/>
          <w:i/>
          <w:iCs/>
        </w:rPr>
        <w:t>RIS</w:t>
      </w:r>
      <w:r>
        <w:t>)</w:t>
      </w:r>
      <w:r w:rsidRPr="00182BCB">
        <w:t xml:space="preserve"> to be prepared for the proposed law.</w:t>
      </w:r>
    </w:p>
    <w:p w14:paraId="317F89E9" w14:textId="77777777" w:rsidR="007004CF" w:rsidRDefault="007004CF" w:rsidP="007004CF">
      <w:pPr>
        <w:pStyle w:val="NormalWeb"/>
        <w:shd w:val="clear" w:color="auto" w:fill="FFFFFF"/>
        <w:spacing w:before="0" w:beforeAutospacing="0" w:after="0" w:afterAutospacing="0"/>
      </w:pPr>
    </w:p>
    <w:p w14:paraId="04DA86CA" w14:textId="6AA7D5EB" w:rsidR="007004CF" w:rsidRDefault="007119D0" w:rsidP="007004CF">
      <w:pPr>
        <w:pStyle w:val="NormalWeb"/>
        <w:shd w:val="clear" w:color="auto" w:fill="FFFFFF"/>
        <w:spacing w:before="0" w:beforeAutospacing="0" w:after="0" w:afterAutospacing="0"/>
      </w:pPr>
      <w:r>
        <w:t>R</w:t>
      </w:r>
      <w:r w:rsidR="007004CF" w:rsidRPr="00182BCB">
        <w:t>egulatory impact was considered by government as part of the policy approval for the Act</w:t>
      </w:r>
      <w:r w:rsidR="00645711">
        <w:t>, including advice on exemptions</w:t>
      </w:r>
      <w:r w:rsidR="007004CF" w:rsidRPr="00182BCB">
        <w:t xml:space="preserve">. </w:t>
      </w:r>
      <w:r w:rsidR="007004CF" w:rsidRPr="008C2EB9">
        <w:t>The</w:t>
      </w:r>
      <w:r w:rsidR="007004CF" w:rsidRPr="00182BCB">
        <w:t xml:space="preserve"> </w:t>
      </w:r>
      <w:r w:rsidR="007004CF" w:rsidRPr="008C2EB9">
        <w:t>Act</w:t>
      </w:r>
      <w:r w:rsidR="007004CF" w:rsidRPr="00182BCB">
        <w:t xml:space="preserve"> </w:t>
      </w:r>
      <w:r w:rsidR="007004CF" w:rsidRPr="008C2EB9">
        <w:t xml:space="preserve">establishes the ACT’s </w:t>
      </w:r>
      <w:r w:rsidR="00685FD4">
        <w:t xml:space="preserve">property </w:t>
      </w:r>
      <w:r w:rsidR="007004CF" w:rsidRPr="00182BCB">
        <w:t xml:space="preserve">developer licensing and regulation </w:t>
      </w:r>
      <w:r w:rsidR="007004CF" w:rsidRPr="008C2EB9">
        <w:t xml:space="preserve">scheme, the requirement </w:t>
      </w:r>
      <w:r w:rsidR="00685FD4">
        <w:t xml:space="preserve">for certain property developers </w:t>
      </w:r>
      <w:r w:rsidR="007004CF" w:rsidRPr="008C2EB9">
        <w:t>to be</w:t>
      </w:r>
      <w:r w:rsidR="007004CF" w:rsidRPr="00182BCB">
        <w:t xml:space="preserve"> licensed</w:t>
      </w:r>
      <w:r w:rsidR="007004CF">
        <w:t>, and</w:t>
      </w:r>
      <w:r w:rsidR="007004CF" w:rsidRPr="008C2EB9">
        <w:t xml:space="preserve"> the obligations on </w:t>
      </w:r>
      <w:r w:rsidR="00685FD4">
        <w:t>these</w:t>
      </w:r>
      <w:r w:rsidR="007004CF" w:rsidRPr="00182BCB">
        <w:t xml:space="preserve"> property developers</w:t>
      </w:r>
      <w:r w:rsidR="00685FD4">
        <w:t>, such as payment of licence fees.</w:t>
      </w:r>
    </w:p>
    <w:p w14:paraId="63FD9EB0" w14:textId="033508B6" w:rsidR="007004CF" w:rsidRDefault="007004CF" w:rsidP="007004CF"/>
    <w:p w14:paraId="2E548AF0" w14:textId="1658AC05" w:rsidR="007004CF" w:rsidRDefault="007004CF" w:rsidP="007004CF">
      <w:r>
        <w:t xml:space="preserve">This regulation does not impose an additional regulatory burden on people that the Act applies to. As such, </w:t>
      </w:r>
      <w:r w:rsidR="006931D1">
        <w:t xml:space="preserve">a </w:t>
      </w:r>
      <w:r>
        <w:t xml:space="preserve">RIS is </w:t>
      </w:r>
      <w:r w:rsidR="006931D1">
        <w:t xml:space="preserve">not </w:t>
      </w:r>
      <w:r w:rsidR="00FE2DE4">
        <w:t>required to support this regulation.</w:t>
      </w:r>
    </w:p>
    <w:p w14:paraId="6A3B4F0C" w14:textId="588E4356" w:rsidR="0031124F" w:rsidRPr="00645711" w:rsidRDefault="00930DEB" w:rsidP="00645711">
      <w:pPr>
        <w:pStyle w:val="longtitle"/>
        <w:shd w:val="clear" w:color="auto" w:fill="FFFFFF"/>
        <w:spacing w:after="120"/>
        <w:rPr>
          <w:b/>
          <w:bCs/>
          <w:color w:val="000000"/>
          <w:sz w:val="26"/>
          <w:szCs w:val="26"/>
        </w:rPr>
      </w:pPr>
      <w:r>
        <w:rPr>
          <w:b/>
          <w:bCs/>
          <w:color w:val="000000"/>
          <w:sz w:val="26"/>
          <w:szCs w:val="26"/>
        </w:rPr>
        <w:t xml:space="preserve">Consistency with </w:t>
      </w:r>
      <w:r w:rsidR="00BA113B" w:rsidRPr="00645711">
        <w:rPr>
          <w:b/>
          <w:bCs/>
          <w:color w:val="000000"/>
          <w:sz w:val="26"/>
          <w:szCs w:val="26"/>
        </w:rPr>
        <w:t>Human Rights</w:t>
      </w:r>
    </w:p>
    <w:p w14:paraId="4E6B2F13" w14:textId="24D53336" w:rsidR="00577FE5" w:rsidRPr="00716448" w:rsidRDefault="00577FE5" w:rsidP="00577FE5">
      <w:pPr>
        <w:pStyle w:val="NormalWeb"/>
        <w:shd w:val="clear" w:color="auto" w:fill="FFFFFF"/>
        <w:spacing w:before="0" w:beforeAutospacing="0" w:after="0" w:afterAutospacing="0"/>
        <w:rPr>
          <w:color w:val="000000"/>
        </w:rPr>
      </w:pPr>
      <w:r>
        <w:rPr>
          <w:rFonts w:ascii="TimesNewRomanPSMT" w:hAnsi="TimesNewRomanPSMT"/>
          <w:color w:val="000000"/>
        </w:rPr>
        <w:t xml:space="preserve">The Standing Committee on </w:t>
      </w:r>
      <w:r w:rsidR="00645711">
        <w:rPr>
          <w:rFonts w:ascii="TimesNewRomanPSMT" w:hAnsi="TimesNewRomanPSMT"/>
          <w:color w:val="000000"/>
        </w:rPr>
        <w:t xml:space="preserve">Legal Affairs </w:t>
      </w:r>
      <w:r>
        <w:rPr>
          <w:rFonts w:ascii="TimesNewRomanPSMT" w:hAnsi="TimesNewRomanPSMT"/>
          <w:color w:val="000000"/>
        </w:rPr>
        <w:t>(Legislative Scrutiny</w:t>
      </w:r>
      <w:r w:rsidR="00645711">
        <w:rPr>
          <w:rFonts w:ascii="TimesNewRomanPSMT" w:hAnsi="TimesNewRomanPSMT"/>
          <w:color w:val="000000"/>
        </w:rPr>
        <w:t xml:space="preserve"> </w:t>
      </w:r>
      <w:r>
        <w:rPr>
          <w:rFonts w:ascii="TimesNewRomanPSMT" w:hAnsi="TimesNewRomanPSMT"/>
          <w:color w:val="000000"/>
        </w:rPr>
        <w:t xml:space="preserve">Role) </w:t>
      </w:r>
      <w:r w:rsidR="006E2DA5">
        <w:rPr>
          <w:rFonts w:ascii="TimesNewRomanPSMT" w:hAnsi="TimesNewRomanPSMT"/>
          <w:color w:val="000000"/>
        </w:rPr>
        <w:t xml:space="preserve">(the </w:t>
      </w:r>
      <w:r w:rsidR="006E2DA5" w:rsidRPr="00304917">
        <w:rPr>
          <w:rFonts w:ascii="TimesNewRomanPSMT" w:hAnsi="TimesNewRomanPSMT"/>
          <w:b/>
          <w:bCs/>
          <w:i/>
          <w:iCs/>
          <w:color w:val="000000"/>
        </w:rPr>
        <w:t>Scrutiny Committee</w:t>
      </w:r>
      <w:r w:rsidR="006E2DA5">
        <w:rPr>
          <w:rFonts w:ascii="TimesNewRomanPSMT" w:hAnsi="TimesNewRomanPSMT"/>
          <w:color w:val="000000"/>
        </w:rPr>
        <w:t xml:space="preserve">) </w:t>
      </w:r>
      <w:r>
        <w:rPr>
          <w:rFonts w:ascii="TimesNewRomanPSMT" w:hAnsi="TimesNewRomanPSMT"/>
          <w:color w:val="000000"/>
        </w:rPr>
        <w:t>terms of reference require consideration of human rights impacts</w:t>
      </w:r>
      <w:r w:rsidR="00645711">
        <w:rPr>
          <w:rFonts w:ascii="TimesNewRomanPSMT" w:hAnsi="TimesNewRomanPSMT"/>
          <w:color w:val="000000"/>
        </w:rPr>
        <w:t xml:space="preserve"> </w:t>
      </w:r>
      <w:r>
        <w:rPr>
          <w:rFonts w:ascii="TimesNewRomanPSMT" w:hAnsi="TimesNewRomanPSMT"/>
          <w:color w:val="000000"/>
        </w:rPr>
        <w:t>of subordinate legislation, among other</w:t>
      </w:r>
      <w:r w:rsidR="00645711">
        <w:rPr>
          <w:rFonts w:ascii="TimesNewRomanPSMT" w:hAnsi="TimesNewRomanPSMT"/>
          <w:color w:val="000000"/>
        </w:rPr>
        <w:t xml:space="preserve"> </w:t>
      </w:r>
      <w:r>
        <w:rPr>
          <w:rFonts w:ascii="TimesNewRomanPSMT" w:hAnsi="TimesNewRomanPSMT"/>
          <w:color w:val="000000"/>
        </w:rPr>
        <w:t>matter</w:t>
      </w:r>
      <w:r w:rsidR="009E79F7">
        <w:rPr>
          <w:rFonts w:ascii="TimesNewRomanPSMT" w:hAnsi="TimesNewRomanPSMT"/>
          <w:color w:val="000000"/>
        </w:rPr>
        <w:t>s</w:t>
      </w:r>
      <w:r w:rsidR="00645711">
        <w:rPr>
          <w:rFonts w:ascii="TimesNewRomanPSMT" w:hAnsi="TimesNewRomanPSMT"/>
          <w:color w:val="000000"/>
        </w:rPr>
        <w:t>,</w:t>
      </w:r>
      <w:r w:rsidR="00716448">
        <w:rPr>
          <w:rFonts w:ascii="TimesNewRomanPSMT" w:hAnsi="TimesNewRomanPSMT"/>
          <w:color w:val="000000"/>
        </w:rPr>
        <w:t xml:space="preserve"> to be assessed for its compatibility with the </w:t>
      </w:r>
      <w:r w:rsidR="00716448">
        <w:rPr>
          <w:rFonts w:ascii="TimesNewRomanPSMT" w:hAnsi="TimesNewRomanPSMT"/>
          <w:i/>
          <w:iCs/>
          <w:color w:val="000000"/>
        </w:rPr>
        <w:t xml:space="preserve">Human Rights Act 2004 </w:t>
      </w:r>
      <w:r w:rsidR="00716448">
        <w:rPr>
          <w:rFonts w:ascii="TimesNewRomanPSMT" w:hAnsi="TimesNewRomanPSMT"/>
          <w:color w:val="000000"/>
        </w:rPr>
        <w:t>(</w:t>
      </w:r>
      <w:r w:rsidR="00645711">
        <w:rPr>
          <w:rFonts w:ascii="TimesNewRomanPSMT" w:hAnsi="TimesNewRomanPSMT"/>
          <w:color w:val="000000"/>
        </w:rPr>
        <w:t xml:space="preserve">the </w:t>
      </w:r>
      <w:r w:rsidR="00716448" w:rsidRPr="00645711">
        <w:rPr>
          <w:rFonts w:ascii="TimesNewRomanPSMT" w:hAnsi="TimesNewRomanPSMT"/>
          <w:b/>
          <w:bCs/>
          <w:i/>
          <w:iCs/>
          <w:color w:val="000000"/>
        </w:rPr>
        <w:t>HRA</w:t>
      </w:r>
      <w:r w:rsidR="00716448">
        <w:rPr>
          <w:rFonts w:ascii="TimesNewRomanPSMT" w:hAnsi="TimesNewRomanPSMT"/>
          <w:color w:val="000000"/>
        </w:rPr>
        <w:t xml:space="preserve">). </w:t>
      </w:r>
    </w:p>
    <w:p w14:paraId="5D047E38" w14:textId="77777777" w:rsidR="0089786C" w:rsidRDefault="0089786C" w:rsidP="0089786C">
      <w:pPr>
        <w:rPr>
          <w:rFonts w:ascii="Arial" w:hAnsi="Arial" w:cs="Arial"/>
          <w:iCs/>
          <w:szCs w:val="24"/>
        </w:rPr>
      </w:pPr>
    </w:p>
    <w:p w14:paraId="754BB6F7" w14:textId="279D6CA5" w:rsidR="00645711" w:rsidRDefault="00645711" w:rsidP="00645711">
      <w:r>
        <w:t xml:space="preserve">A detailed human rights assessment is in the </w:t>
      </w:r>
      <w:r w:rsidR="00C64B86">
        <w:t>e</w:t>
      </w:r>
      <w:r w:rsidR="00C64B86" w:rsidRPr="00304917">
        <w:t xml:space="preserve">xplanatory </w:t>
      </w:r>
      <w:r w:rsidR="00C64B86">
        <w:t>s</w:t>
      </w:r>
      <w:r w:rsidR="00C64B86" w:rsidRPr="00304917">
        <w:t>tatement</w:t>
      </w:r>
      <w:r>
        <w:t xml:space="preserve"> to </w:t>
      </w:r>
      <w:r w:rsidRPr="003B4288">
        <w:t>the</w:t>
      </w:r>
      <w:r>
        <w:t xml:space="preserve"> Property Developers Bill 2023, including consideration of the impact of introducing a property developer licensing scheme in the </w:t>
      </w:r>
      <w:r w:rsidR="00C64B86">
        <w:t>Territory</w:t>
      </w:r>
      <w:r>
        <w:t>.</w:t>
      </w:r>
    </w:p>
    <w:p w14:paraId="25EDFDC3" w14:textId="77777777" w:rsidR="00645711" w:rsidRPr="0089786C" w:rsidRDefault="00645711" w:rsidP="0089786C">
      <w:pPr>
        <w:rPr>
          <w:rFonts w:ascii="Arial" w:hAnsi="Arial" w:cs="Arial"/>
          <w:iCs/>
          <w:szCs w:val="24"/>
        </w:rPr>
      </w:pPr>
    </w:p>
    <w:p w14:paraId="44B87047" w14:textId="38DAB942" w:rsidR="00274278" w:rsidRDefault="000440F8" w:rsidP="00376329">
      <w:pPr>
        <w:rPr>
          <w:szCs w:val="24"/>
        </w:rPr>
      </w:pPr>
      <w:r>
        <w:rPr>
          <w:szCs w:val="24"/>
        </w:rPr>
        <w:lastRenderedPageBreak/>
        <w:t xml:space="preserve">This regulation could be seen to engage and </w:t>
      </w:r>
      <w:r w:rsidR="00AD5D0C">
        <w:rPr>
          <w:szCs w:val="24"/>
        </w:rPr>
        <w:t>limit</w:t>
      </w:r>
      <w:r>
        <w:rPr>
          <w:szCs w:val="24"/>
        </w:rPr>
        <w:t xml:space="preserve"> the </w:t>
      </w:r>
      <w:r w:rsidR="00117480">
        <w:rPr>
          <w:szCs w:val="24"/>
        </w:rPr>
        <w:t xml:space="preserve">right to privacy and </w:t>
      </w:r>
      <w:r w:rsidR="00B92E69">
        <w:rPr>
          <w:szCs w:val="24"/>
        </w:rPr>
        <w:t>reputation</w:t>
      </w:r>
      <w:r w:rsidR="00544C1A">
        <w:rPr>
          <w:szCs w:val="24"/>
        </w:rPr>
        <w:t xml:space="preserve"> under section 12 </w:t>
      </w:r>
      <w:r w:rsidR="00591F3A">
        <w:rPr>
          <w:szCs w:val="24"/>
        </w:rPr>
        <w:t xml:space="preserve">of the HRA by </w:t>
      </w:r>
      <w:r w:rsidR="00AD5D0C">
        <w:rPr>
          <w:szCs w:val="24"/>
        </w:rPr>
        <w:t xml:space="preserve">setting out </w:t>
      </w:r>
      <w:r w:rsidR="001D4A34">
        <w:rPr>
          <w:szCs w:val="24"/>
        </w:rPr>
        <w:t>personal</w:t>
      </w:r>
      <w:r w:rsidR="00BA113B">
        <w:rPr>
          <w:szCs w:val="24"/>
        </w:rPr>
        <w:t xml:space="preserve"> information </w:t>
      </w:r>
      <w:r w:rsidR="00645711">
        <w:rPr>
          <w:szCs w:val="24"/>
        </w:rPr>
        <w:t>required to be provided as part of a licence application, and published on the public register.</w:t>
      </w:r>
    </w:p>
    <w:p w14:paraId="6BEE8BED" w14:textId="77777777" w:rsidR="00376329" w:rsidRDefault="00376329" w:rsidP="0089786C">
      <w:pPr>
        <w:rPr>
          <w:szCs w:val="24"/>
        </w:rPr>
      </w:pPr>
    </w:p>
    <w:p w14:paraId="1076CA29" w14:textId="0492F570" w:rsidR="00B73768" w:rsidRDefault="002B6C74" w:rsidP="00A51422">
      <w:r>
        <w:t xml:space="preserve">The information </w:t>
      </w:r>
      <w:r w:rsidR="00C57B30">
        <w:t xml:space="preserve">gathering and publication requirements established in this regulation are considered </w:t>
      </w:r>
      <w:r w:rsidR="00BF57DE">
        <w:t>demonstrably justified</w:t>
      </w:r>
      <w:r w:rsidR="00C57B30">
        <w:t xml:space="preserve"> </w:t>
      </w:r>
      <w:r w:rsidR="005C1090">
        <w:t>to achieve the</w:t>
      </w:r>
      <w:r w:rsidR="00C57B30">
        <w:t xml:space="preserve"> objectives of the </w:t>
      </w:r>
      <w:r w:rsidR="001319BC">
        <w:t>Act</w:t>
      </w:r>
      <w:r w:rsidR="00A51422">
        <w:t xml:space="preserve">. </w:t>
      </w:r>
      <w:r w:rsidR="00376329">
        <w:t>Section</w:t>
      </w:r>
      <w:r w:rsidR="00C64B86">
        <w:t> </w:t>
      </w:r>
      <w:r w:rsidR="001F7C4D">
        <w:t>28</w:t>
      </w:r>
      <w:r w:rsidR="00C64B86">
        <w:t> </w:t>
      </w:r>
      <w:r w:rsidR="00B73768">
        <w:t>(1)</w:t>
      </w:r>
      <w:r w:rsidR="00520061">
        <w:t xml:space="preserve"> </w:t>
      </w:r>
      <w:r w:rsidR="003A5470">
        <w:t xml:space="preserve">of </w:t>
      </w:r>
      <w:r w:rsidR="00C64B86">
        <w:t xml:space="preserve">the </w:t>
      </w:r>
      <w:r w:rsidR="00376329">
        <w:t>HRA expressly provides</w:t>
      </w:r>
      <w:r w:rsidR="00D21AE7">
        <w:t xml:space="preserve"> that human rights</w:t>
      </w:r>
      <w:r w:rsidR="00376329">
        <w:t xml:space="preserve"> </w:t>
      </w:r>
      <w:r w:rsidR="00B73768" w:rsidRPr="00B73768">
        <w:t>may be subject only to reasonable limits set by laws that can be demonstrably justified in a free and democratic society.</w:t>
      </w:r>
    </w:p>
    <w:p w14:paraId="3269E791" w14:textId="7AB593FA" w:rsidR="006931D1" w:rsidRPr="00645711" w:rsidRDefault="006931D1" w:rsidP="006931D1">
      <w:pPr>
        <w:pStyle w:val="longtitle"/>
        <w:shd w:val="clear" w:color="auto" w:fill="FFFFFF"/>
        <w:spacing w:after="120"/>
        <w:rPr>
          <w:b/>
          <w:bCs/>
          <w:color w:val="000000"/>
          <w:sz w:val="26"/>
          <w:szCs w:val="26"/>
        </w:rPr>
      </w:pPr>
      <w:r w:rsidRPr="00645711">
        <w:rPr>
          <w:b/>
          <w:bCs/>
          <w:color w:val="000000"/>
          <w:sz w:val="26"/>
          <w:szCs w:val="26"/>
        </w:rPr>
        <w:t>Scrutiny Committee Principles</w:t>
      </w:r>
    </w:p>
    <w:p w14:paraId="263720ED" w14:textId="4FEEA770" w:rsidR="00577FE5" w:rsidRDefault="00577FE5" w:rsidP="00577FE5">
      <w:pPr>
        <w:pStyle w:val="NormalWeb"/>
        <w:shd w:val="clear" w:color="auto" w:fill="FFFFFF"/>
        <w:spacing w:before="0" w:beforeAutospacing="0" w:after="0" w:afterAutospacing="0"/>
        <w:rPr>
          <w:color w:val="000000"/>
        </w:rPr>
      </w:pPr>
      <w:r>
        <w:rPr>
          <w:rFonts w:ascii="TimesNewRomanPSMT" w:hAnsi="TimesNewRomanPSMT"/>
          <w:color w:val="000000"/>
        </w:rPr>
        <w:t xml:space="preserve">The regulation </w:t>
      </w:r>
      <w:r w:rsidR="00930DEB">
        <w:rPr>
          <w:rFonts w:ascii="TimesNewRomanPSMT" w:hAnsi="TimesNewRomanPSMT"/>
          <w:color w:val="000000"/>
        </w:rPr>
        <w:t xml:space="preserve">has been developed in accordance </w:t>
      </w:r>
      <w:r>
        <w:rPr>
          <w:rFonts w:ascii="TimesNewRomanPSMT" w:hAnsi="TimesNewRomanPSMT"/>
          <w:color w:val="000000"/>
        </w:rPr>
        <w:t xml:space="preserve">with </w:t>
      </w:r>
      <w:r w:rsidR="006E2DA5">
        <w:rPr>
          <w:rFonts w:ascii="TimesNewRomanPSMT" w:hAnsi="TimesNewRomanPSMT"/>
          <w:color w:val="000000"/>
        </w:rPr>
        <w:t xml:space="preserve">the </w:t>
      </w:r>
      <w:r>
        <w:rPr>
          <w:rFonts w:ascii="TimesNewRomanPSMT" w:hAnsi="TimesNewRomanPSMT"/>
          <w:color w:val="000000"/>
        </w:rPr>
        <w:t>Scrutiny Committee</w:t>
      </w:r>
      <w:r w:rsidR="006E2DA5">
        <w:rPr>
          <w:rFonts w:ascii="TimesNewRomanPSMT" w:hAnsi="TimesNewRomanPSMT"/>
          <w:color w:val="000000"/>
        </w:rPr>
        <w:t>’s</w:t>
      </w:r>
      <w:r>
        <w:rPr>
          <w:rFonts w:ascii="TimesNewRomanPSMT" w:hAnsi="TimesNewRomanPSMT"/>
          <w:color w:val="000000"/>
        </w:rPr>
        <w:t xml:space="preserve"> </w:t>
      </w:r>
      <w:r w:rsidR="006E2DA5">
        <w:rPr>
          <w:rFonts w:ascii="TimesNewRomanPSMT" w:hAnsi="TimesNewRomanPSMT"/>
          <w:color w:val="000000"/>
        </w:rPr>
        <w:t xml:space="preserve">terms of reference, </w:t>
      </w:r>
      <w:r>
        <w:rPr>
          <w:rFonts w:ascii="TimesNewRomanPSMT" w:hAnsi="TimesNewRomanPSMT"/>
          <w:color w:val="000000"/>
        </w:rPr>
        <w:t>principles</w:t>
      </w:r>
      <w:r w:rsidR="006E2DA5">
        <w:rPr>
          <w:rFonts w:ascii="TimesNewRomanPSMT" w:hAnsi="TimesNewRomanPSMT"/>
          <w:color w:val="000000"/>
        </w:rPr>
        <w:t xml:space="preserve"> and technical and stylistic standards expected by the </w:t>
      </w:r>
      <w:r w:rsidR="008F63E4">
        <w:rPr>
          <w:rFonts w:ascii="TimesNewRomanPSMT" w:hAnsi="TimesNewRomanPSMT"/>
          <w:color w:val="000000"/>
        </w:rPr>
        <w:t>Assembly</w:t>
      </w:r>
      <w:r>
        <w:rPr>
          <w:rFonts w:ascii="TimesNewRomanPSMT" w:hAnsi="TimesNewRomanPSMT"/>
          <w:color w:val="000000"/>
        </w:rPr>
        <w:t>.</w:t>
      </w:r>
    </w:p>
    <w:p w14:paraId="32607E19" w14:textId="3F20D69B" w:rsidR="0089786C" w:rsidRPr="00645711" w:rsidRDefault="0089786C" w:rsidP="00645711">
      <w:pPr>
        <w:pStyle w:val="longtitle"/>
        <w:shd w:val="clear" w:color="auto" w:fill="FFFFFF"/>
        <w:spacing w:after="120"/>
        <w:rPr>
          <w:b/>
          <w:bCs/>
          <w:color w:val="000000"/>
          <w:sz w:val="26"/>
          <w:szCs w:val="26"/>
        </w:rPr>
      </w:pPr>
      <w:r w:rsidRPr="00645711">
        <w:rPr>
          <w:b/>
          <w:bCs/>
          <w:color w:val="000000"/>
          <w:sz w:val="26"/>
          <w:szCs w:val="26"/>
        </w:rPr>
        <w:t>CLAUSE</w:t>
      </w:r>
      <w:r w:rsidR="00577FE5" w:rsidRPr="00645711">
        <w:rPr>
          <w:b/>
          <w:bCs/>
          <w:color w:val="000000"/>
          <w:sz w:val="26"/>
          <w:szCs w:val="26"/>
        </w:rPr>
        <w:t xml:space="preserve"> NOTES</w:t>
      </w:r>
    </w:p>
    <w:p w14:paraId="736D607E" w14:textId="7824294C" w:rsidR="00563386" w:rsidRPr="00645711" w:rsidRDefault="00563386" w:rsidP="00645711">
      <w:pPr>
        <w:pStyle w:val="longtitle"/>
        <w:shd w:val="clear" w:color="auto" w:fill="FFFFFF"/>
        <w:spacing w:after="120"/>
        <w:rPr>
          <w:b/>
          <w:bCs/>
          <w:color w:val="000000"/>
          <w:sz w:val="26"/>
          <w:szCs w:val="26"/>
        </w:rPr>
      </w:pPr>
      <w:r w:rsidRPr="00645711">
        <w:rPr>
          <w:b/>
          <w:bCs/>
          <w:color w:val="000000"/>
          <w:sz w:val="26"/>
          <w:szCs w:val="26"/>
        </w:rPr>
        <w:t>Part 1</w:t>
      </w:r>
      <w:r w:rsidR="008F63E4">
        <w:rPr>
          <w:b/>
          <w:bCs/>
          <w:color w:val="000000"/>
          <w:sz w:val="26"/>
          <w:szCs w:val="26"/>
        </w:rPr>
        <w:tab/>
      </w:r>
      <w:r w:rsidR="008F63E4">
        <w:rPr>
          <w:b/>
          <w:bCs/>
          <w:color w:val="000000"/>
          <w:sz w:val="26"/>
          <w:szCs w:val="26"/>
        </w:rPr>
        <w:tab/>
      </w:r>
      <w:r w:rsidRPr="00645711">
        <w:rPr>
          <w:b/>
          <w:bCs/>
          <w:color w:val="000000"/>
          <w:sz w:val="26"/>
          <w:szCs w:val="26"/>
        </w:rPr>
        <w:t>Preliminary</w:t>
      </w:r>
    </w:p>
    <w:p w14:paraId="3AD24AB1" w14:textId="633B425A" w:rsidR="0089786C" w:rsidRPr="00B5176F" w:rsidRDefault="0089786C" w:rsidP="0089786C">
      <w:pPr>
        <w:pStyle w:val="NormalWeb"/>
        <w:shd w:val="clear" w:color="auto" w:fill="FFFFFF"/>
        <w:spacing w:before="360" w:beforeAutospacing="0" w:after="120" w:afterAutospacing="0"/>
        <w:rPr>
          <w:b/>
          <w:bCs/>
          <w:color w:val="000000"/>
        </w:rPr>
      </w:pPr>
      <w:r w:rsidRPr="00B5176F">
        <w:rPr>
          <w:b/>
          <w:bCs/>
          <w:color w:val="000000"/>
        </w:rPr>
        <w:t>Clause 1 </w:t>
      </w:r>
      <w:r w:rsidRPr="00B5176F">
        <w:rPr>
          <w:b/>
          <w:bCs/>
          <w:color w:val="000000"/>
        </w:rPr>
        <w:tab/>
        <w:t>Name of regulation</w:t>
      </w:r>
    </w:p>
    <w:p w14:paraId="30883853" w14:textId="49D10F46" w:rsidR="0089786C" w:rsidRPr="00B5176F" w:rsidRDefault="0089786C" w:rsidP="0089786C">
      <w:pPr>
        <w:pStyle w:val="NormalWeb"/>
        <w:shd w:val="clear" w:color="auto" w:fill="FFFFFF"/>
        <w:spacing w:before="0" w:beforeAutospacing="0" w:after="240" w:afterAutospacing="0"/>
        <w:rPr>
          <w:color w:val="000000"/>
        </w:rPr>
      </w:pPr>
      <w:r w:rsidRPr="00B5176F">
        <w:rPr>
          <w:color w:val="000000"/>
        </w:rPr>
        <w:t>This clause provides that the name of the regulation is the </w:t>
      </w:r>
      <w:r w:rsidRPr="00B5176F">
        <w:rPr>
          <w:i/>
          <w:iCs/>
          <w:color w:val="000000"/>
        </w:rPr>
        <w:t>P</w:t>
      </w:r>
      <w:r w:rsidR="00FA6EB6">
        <w:rPr>
          <w:i/>
          <w:iCs/>
          <w:color w:val="000000"/>
        </w:rPr>
        <w:t>roperty Developers Regulation 2025</w:t>
      </w:r>
      <w:r w:rsidRPr="00B5176F">
        <w:rPr>
          <w:color w:val="000000"/>
        </w:rPr>
        <w:t>.</w:t>
      </w:r>
    </w:p>
    <w:p w14:paraId="74E5A1B0" w14:textId="77777777" w:rsidR="0089786C" w:rsidRPr="00B5176F" w:rsidRDefault="0089786C" w:rsidP="0089786C">
      <w:pPr>
        <w:pStyle w:val="NormalWeb"/>
        <w:shd w:val="clear" w:color="auto" w:fill="FFFFFF"/>
        <w:spacing w:before="360" w:beforeAutospacing="0" w:after="120" w:afterAutospacing="0"/>
        <w:rPr>
          <w:color w:val="000000"/>
        </w:rPr>
      </w:pPr>
      <w:r w:rsidRPr="00B5176F">
        <w:rPr>
          <w:b/>
          <w:bCs/>
          <w:color w:val="000000"/>
        </w:rPr>
        <w:t>Clause 2</w:t>
      </w:r>
      <w:r w:rsidRPr="00B5176F">
        <w:rPr>
          <w:color w:val="000000"/>
        </w:rPr>
        <w:t> </w:t>
      </w:r>
      <w:r w:rsidRPr="00B5176F">
        <w:rPr>
          <w:color w:val="000000"/>
        </w:rPr>
        <w:tab/>
      </w:r>
      <w:r w:rsidRPr="00B5176F">
        <w:rPr>
          <w:b/>
          <w:bCs/>
          <w:color w:val="000000"/>
        </w:rPr>
        <w:t>Commencement</w:t>
      </w:r>
    </w:p>
    <w:p w14:paraId="3E390999" w14:textId="77777777" w:rsidR="00D935A6" w:rsidRPr="00B5176F" w:rsidRDefault="0089786C" w:rsidP="0089786C">
      <w:pPr>
        <w:pStyle w:val="NormalWeb"/>
        <w:shd w:val="clear" w:color="auto" w:fill="FFFFFF"/>
        <w:spacing w:before="0" w:beforeAutospacing="0" w:after="240" w:afterAutospacing="0"/>
        <w:rPr>
          <w:color w:val="000000"/>
        </w:rPr>
      </w:pPr>
      <w:r w:rsidRPr="00B5176F">
        <w:rPr>
          <w:color w:val="000000"/>
        </w:rPr>
        <w:t>This clause provides for the commencement of the regulation</w:t>
      </w:r>
      <w:r w:rsidR="00D935A6" w:rsidRPr="00B5176F">
        <w:rPr>
          <w:color w:val="000000"/>
        </w:rPr>
        <w:t>.</w:t>
      </w:r>
    </w:p>
    <w:p w14:paraId="496F544C" w14:textId="5C9E4885" w:rsidR="002E6F28" w:rsidRDefault="005F56E2" w:rsidP="0089786C">
      <w:pPr>
        <w:pStyle w:val="NormalWeb"/>
        <w:shd w:val="clear" w:color="auto" w:fill="FFFFFF"/>
        <w:spacing w:before="0" w:beforeAutospacing="0" w:after="240" w:afterAutospacing="0"/>
        <w:rPr>
          <w:color w:val="000000"/>
        </w:rPr>
      </w:pPr>
      <w:r>
        <w:rPr>
          <w:color w:val="000000"/>
        </w:rPr>
        <w:t>Parts 1, 3</w:t>
      </w:r>
      <w:r w:rsidR="003D3F51">
        <w:rPr>
          <w:color w:val="000000"/>
        </w:rPr>
        <w:t xml:space="preserve">, </w:t>
      </w:r>
      <w:r>
        <w:rPr>
          <w:color w:val="000000"/>
        </w:rPr>
        <w:t>4</w:t>
      </w:r>
      <w:r w:rsidR="003D3F51">
        <w:rPr>
          <w:color w:val="000000"/>
        </w:rPr>
        <w:t xml:space="preserve"> and 5</w:t>
      </w:r>
      <w:r>
        <w:rPr>
          <w:color w:val="000000"/>
        </w:rPr>
        <w:t xml:space="preserve"> </w:t>
      </w:r>
      <w:r w:rsidR="002E6F28">
        <w:rPr>
          <w:color w:val="000000"/>
        </w:rPr>
        <w:t>commence on the day after its notification</w:t>
      </w:r>
      <w:r w:rsidR="008F63E4">
        <w:rPr>
          <w:color w:val="000000"/>
        </w:rPr>
        <w:t xml:space="preserve"> day</w:t>
      </w:r>
      <w:r w:rsidR="002E6F28">
        <w:rPr>
          <w:color w:val="000000"/>
        </w:rPr>
        <w:t xml:space="preserve">. </w:t>
      </w:r>
    </w:p>
    <w:p w14:paraId="761A04C7" w14:textId="60472A32" w:rsidR="00645711" w:rsidRDefault="00645711" w:rsidP="0089786C">
      <w:pPr>
        <w:pStyle w:val="NormalWeb"/>
        <w:shd w:val="clear" w:color="auto" w:fill="FFFFFF"/>
        <w:spacing w:before="0" w:beforeAutospacing="0" w:after="240" w:afterAutospacing="0"/>
        <w:rPr>
          <w:color w:val="000000"/>
        </w:rPr>
      </w:pPr>
      <w:r>
        <w:rPr>
          <w:color w:val="000000"/>
        </w:rPr>
        <w:t>Part 2 commences on the commencement of section 11 of the Act.</w:t>
      </w:r>
    </w:p>
    <w:p w14:paraId="2878DF77" w14:textId="287E14DB" w:rsidR="0089786C" w:rsidRPr="00B5176F" w:rsidRDefault="002E6F28" w:rsidP="0089786C">
      <w:pPr>
        <w:pStyle w:val="NormalWeb"/>
        <w:shd w:val="clear" w:color="auto" w:fill="FFFFFF"/>
        <w:spacing w:before="0" w:beforeAutospacing="0" w:after="240" w:afterAutospacing="0"/>
        <w:rPr>
          <w:i/>
          <w:iCs/>
          <w:color w:val="000000"/>
        </w:rPr>
      </w:pPr>
      <w:r>
        <w:rPr>
          <w:color w:val="000000"/>
        </w:rPr>
        <w:t xml:space="preserve">Part </w:t>
      </w:r>
      <w:r w:rsidR="003D3F51">
        <w:rPr>
          <w:color w:val="000000"/>
        </w:rPr>
        <w:t>6</w:t>
      </w:r>
      <w:r>
        <w:rPr>
          <w:color w:val="000000"/>
        </w:rPr>
        <w:t xml:space="preserve"> commences on the commencement of schedule 2, part 2.4 of the Act.</w:t>
      </w:r>
    </w:p>
    <w:p w14:paraId="44C4375F" w14:textId="4F0EACD4" w:rsidR="0089786C" w:rsidRPr="00B5176F" w:rsidRDefault="0089786C" w:rsidP="0089786C">
      <w:pPr>
        <w:pStyle w:val="NormalWeb"/>
        <w:shd w:val="clear" w:color="auto" w:fill="FFFFFF"/>
        <w:spacing w:before="360" w:beforeAutospacing="0" w:after="120" w:afterAutospacing="0"/>
        <w:rPr>
          <w:b/>
          <w:bCs/>
          <w:color w:val="000000"/>
        </w:rPr>
      </w:pPr>
      <w:r w:rsidRPr="00B5176F">
        <w:rPr>
          <w:b/>
          <w:bCs/>
          <w:color w:val="000000"/>
        </w:rPr>
        <w:t xml:space="preserve">Clause </w:t>
      </w:r>
      <w:r w:rsidR="00D935A6" w:rsidRPr="00B5176F">
        <w:rPr>
          <w:b/>
          <w:bCs/>
          <w:color w:val="000000"/>
        </w:rPr>
        <w:t>3</w:t>
      </w:r>
      <w:r w:rsidRPr="00B5176F">
        <w:rPr>
          <w:b/>
          <w:bCs/>
          <w:color w:val="000000"/>
        </w:rPr>
        <w:t> </w:t>
      </w:r>
      <w:r w:rsidRPr="00B5176F">
        <w:rPr>
          <w:b/>
          <w:bCs/>
          <w:color w:val="000000"/>
        </w:rPr>
        <w:tab/>
      </w:r>
      <w:r w:rsidR="002E6F28">
        <w:rPr>
          <w:b/>
          <w:bCs/>
          <w:color w:val="000000"/>
        </w:rPr>
        <w:t>Dictionary</w:t>
      </w:r>
    </w:p>
    <w:p w14:paraId="368D09EF" w14:textId="0109110B" w:rsidR="0089786C" w:rsidRPr="00B5176F" w:rsidRDefault="0089786C" w:rsidP="0089786C">
      <w:pPr>
        <w:pStyle w:val="NormalWeb"/>
        <w:shd w:val="clear" w:color="auto" w:fill="FFFFFF"/>
        <w:spacing w:before="0" w:beforeAutospacing="0" w:after="120" w:afterAutospacing="0"/>
        <w:rPr>
          <w:color w:val="000000"/>
        </w:rPr>
      </w:pPr>
      <w:r w:rsidRPr="00B5176F">
        <w:rPr>
          <w:color w:val="000000"/>
        </w:rPr>
        <w:t xml:space="preserve">This clause provides </w:t>
      </w:r>
      <w:r w:rsidR="00292AE1">
        <w:rPr>
          <w:color w:val="000000"/>
        </w:rPr>
        <w:t xml:space="preserve">that the dictionary at the end of the regulation is part of the regulation. </w:t>
      </w:r>
    </w:p>
    <w:p w14:paraId="5B27DE48" w14:textId="2EC9DAC8" w:rsidR="0089786C" w:rsidRPr="00B5176F" w:rsidRDefault="0089786C" w:rsidP="0089786C">
      <w:pPr>
        <w:pStyle w:val="NormalWeb"/>
        <w:shd w:val="clear" w:color="auto" w:fill="FFFFFF"/>
        <w:spacing w:before="360" w:beforeAutospacing="0" w:after="120" w:afterAutospacing="0"/>
        <w:rPr>
          <w:b/>
          <w:bCs/>
          <w:color w:val="000000"/>
        </w:rPr>
      </w:pPr>
      <w:r w:rsidRPr="00B5176F">
        <w:rPr>
          <w:b/>
          <w:bCs/>
          <w:color w:val="000000"/>
        </w:rPr>
        <w:t xml:space="preserve">Clause </w:t>
      </w:r>
      <w:r w:rsidR="00D935A6" w:rsidRPr="00B5176F">
        <w:rPr>
          <w:b/>
          <w:bCs/>
          <w:color w:val="000000"/>
        </w:rPr>
        <w:t>4</w:t>
      </w:r>
      <w:r w:rsidRPr="00B5176F">
        <w:rPr>
          <w:b/>
          <w:bCs/>
          <w:color w:val="000000"/>
        </w:rPr>
        <w:t> </w:t>
      </w:r>
      <w:r w:rsidRPr="00B5176F">
        <w:rPr>
          <w:b/>
          <w:bCs/>
          <w:color w:val="000000"/>
        </w:rPr>
        <w:tab/>
      </w:r>
      <w:r w:rsidR="005A3A03">
        <w:rPr>
          <w:b/>
          <w:bCs/>
          <w:color w:val="000000"/>
        </w:rPr>
        <w:t>Notes</w:t>
      </w:r>
    </w:p>
    <w:p w14:paraId="238765A5" w14:textId="10DAEF5E" w:rsidR="0089786C" w:rsidRDefault="0089786C" w:rsidP="0089786C">
      <w:pPr>
        <w:pStyle w:val="NormalWeb"/>
        <w:shd w:val="clear" w:color="auto" w:fill="FFFFFF"/>
        <w:spacing w:before="0" w:beforeAutospacing="0" w:after="120" w:afterAutospacing="0"/>
        <w:rPr>
          <w:color w:val="000000"/>
        </w:rPr>
      </w:pPr>
      <w:r w:rsidRPr="00727BE6">
        <w:rPr>
          <w:color w:val="000000"/>
        </w:rPr>
        <w:t xml:space="preserve">This clause </w:t>
      </w:r>
      <w:r w:rsidR="00EE79DF">
        <w:rPr>
          <w:color w:val="000000"/>
        </w:rPr>
        <w:t xml:space="preserve">states that any note in the regulation is explanatory and not part of the regulation. </w:t>
      </w:r>
    </w:p>
    <w:p w14:paraId="1C533D97" w14:textId="0F4F7EBC" w:rsidR="0089786C" w:rsidRPr="00645711" w:rsidRDefault="00563386" w:rsidP="00645711">
      <w:pPr>
        <w:pStyle w:val="longtitle"/>
        <w:shd w:val="clear" w:color="auto" w:fill="FFFFFF"/>
        <w:spacing w:after="120"/>
        <w:rPr>
          <w:b/>
          <w:bCs/>
          <w:color w:val="000000"/>
          <w:sz w:val="26"/>
          <w:szCs w:val="26"/>
        </w:rPr>
      </w:pPr>
      <w:r w:rsidRPr="00645711">
        <w:rPr>
          <w:b/>
          <w:bCs/>
          <w:color w:val="000000"/>
          <w:sz w:val="26"/>
          <w:szCs w:val="26"/>
        </w:rPr>
        <w:t>Part 2</w:t>
      </w:r>
      <w:r w:rsidR="008F63E4">
        <w:rPr>
          <w:b/>
          <w:bCs/>
          <w:color w:val="000000"/>
          <w:sz w:val="26"/>
          <w:szCs w:val="26"/>
        </w:rPr>
        <w:tab/>
      </w:r>
      <w:r w:rsidR="008F63E4">
        <w:rPr>
          <w:b/>
          <w:bCs/>
          <w:color w:val="000000"/>
          <w:sz w:val="26"/>
          <w:szCs w:val="26"/>
        </w:rPr>
        <w:tab/>
      </w:r>
      <w:r w:rsidRPr="00645711">
        <w:rPr>
          <w:b/>
          <w:bCs/>
          <w:color w:val="000000"/>
          <w:sz w:val="26"/>
          <w:szCs w:val="26"/>
        </w:rPr>
        <w:t>Licensing of property developers</w:t>
      </w:r>
      <w:r w:rsidR="0089786C" w:rsidRPr="00645711">
        <w:rPr>
          <w:b/>
          <w:bCs/>
          <w:color w:val="000000"/>
          <w:sz w:val="26"/>
          <w:szCs w:val="26"/>
        </w:rPr>
        <w:t xml:space="preserve"> </w:t>
      </w:r>
    </w:p>
    <w:p w14:paraId="24234EDB" w14:textId="150A27B1" w:rsidR="005B55BC" w:rsidRDefault="005B55BC" w:rsidP="00304917">
      <w:pPr>
        <w:pStyle w:val="NormalWeb"/>
        <w:shd w:val="clear" w:color="auto" w:fill="FFFFFF"/>
        <w:spacing w:before="240" w:beforeAutospacing="0" w:after="120" w:afterAutospacing="0"/>
        <w:ind w:left="1440" w:hanging="1440"/>
        <w:rPr>
          <w:b/>
          <w:bCs/>
          <w:color w:val="000000"/>
        </w:rPr>
      </w:pPr>
      <w:r>
        <w:rPr>
          <w:b/>
          <w:bCs/>
          <w:color w:val="000000"/>
        </w:rPr>
        <w:t xml:space="preserve">Clause </w:t>
      </w:r>
      <w:r w:rsidR="003D3F51">
        <w:rPr>
          <w:b/>
          <w:bCs/>
          <w:color w:val="000000"/>
        </w:rPr>
        <w:t>5</w:t>
      </w:r>
      <w:r>
        <w:rPr>
          <w:b/>
          <w:bCs/>
          <w:color w:val="000000"/>
        </w:rPr>
        <w:tab/>
        <w:t>Information to be included in licence application–Act,</w:t>
      </w:r>
      <w:r w:rsidR="008F63E4">
        <w:rPr>
          <w:b/>
          <w:bCs/>
          <w:color w:val="000000"/>
        </w:rPr>
        <w:br/>
      </w:r>
      <w:r>
        <w:rPr>
          <w:b/>
          <w:bCs/>
          <w:color w:val="000000"/>
        </w:rPr>
        <w:t>s 11 (2)</w:t>
      </w:r>
      <w:r w:rsidR="00C845C7">
        <w:rPr>
          <w:b/>
          <w:bCs/>
          <w:color w:val="000000"/>
        </w:rPr>
        <w:t xml:space="preserve"> </w:t>
      </w:r>
      <w:r>
        <w:rPr>
          <w:b/>
          <w:bCs/>
          <w:color w:val="000000"/>
        </w:rPr>
        <w:t>(d)</w:t>
      </w:r>
    </w:p>
    <w:p w14:paraId="3AB0EF4B" w14:textId="1914E32D" w:rsidR="005B55BC" w:rsidRDefault="003D3F51" w:rsidP="005B55BC">
      <w:pPr>
        <w:pStyle w:val="NormalWeb"/>
        <w:shd w:val="clear" w:color="auto" w:fill="FFFFFF"/>
        <w:spacing w:before="0" w:beforeAutospacing="0" w:after="120" w:afterAutospacing="0"/>
        <w:rPr>
          <w:color w:val="000000"/>
        </w:rPr>
      </w:pPr>
      <w:r>
        <w:rPr>
          <w:color w:val="000000"/>
        </w:rPr>
        <w:t>This clause p</w:t>
      </w:r>
      <w:r w:rsidR="005B55BC">
        <w:rPr>
          <w:color w:val="000000"/>
        </w:rPr>
        <w:t>rescribes additional information that all applicants must supply with their licence application</w:t>
      </w:r>
      <w:r w:rsidR="009C2E73">
        <w:rPr>
          <w:color w:val="000000"/>
        </w:rPr>
        <w:t>. This includes:</w:t>
      </w:r>
    </w:p>
    <w:p w14:paraId="787740C3" w14:textId="73BC055C" w:rsidR="003D3F51" w:rsidRDefault="003D3F51" w:rsidP="005B55BC">
      <w:pPr>
        <w:pStyle w:val="Style1"/>
        <w:shd w:val="clear" w:color="auto" w:fill="FFFFFF"/>
        <w:spacing w:after="120"/>
        <w:rPr>
          <w:color w:val="000000"/>
        </w:rPr>
      </w:pPr>
      <w:r>
        <w:rPr>
          <w:color w:val="000000"/>
        </w:rPr>
        <w:lastRenderedPageBreak/>
        <w:t>Some of the information that s</w:t>
      </w:r>
      <w:r w:rsidR="00AD5D0C">
        <w:rPr>
          <w:color w:val="000000"/>
        </w:rPr>
        <w:t>ection</w:t>
      </w:r>
      <w:r>
        <w:rPr>
          <w:color w:val="000000"/>
        </w:rPr>
        <w:t xml:space="preserve"> 25 of the Act requires to be published on the public register of licensed property developers.</w:t>
      </w:r>
    </w:p>
    <w:p w14:paraId="38F04F90" w14:textId="77777777" w:rsidR="003D3F51" w:rsidRDefault="003D3F51" w:rsidP="005B55BC">
      <w:pPr>
        <w:pStyle w:val="Style1"/>
        <w:shd w:val="clear" w:color="auto" w:fill="FFFFFF"/>
        <w:spacing w:after="120"/>
        <w:rPr>
          <w:color w:val="000000"/>
        </w:rPr>
      </w:pPr>
      <w:r>
        <w:rPr>
          <w:color w:val="000000"/>
        </w:rPr>
        <w:t>If the applicant is a corporation:</w:t>
      </w:r>
    </w:p>
    <w:p w14:paraId="6789D4BD" w14:textId="46C8DA8F" w:rsidR="005B55BC" w:rsidRDefault="00BC2AF5" w:rsidP="003D3F51">
      <w:pPr>
        <w:pStyle w:val="Style1"/>
        <w:numPr>
          <w:ilvl w:val="1"/>
          <w:numId w:val="26"/>
        </w:numPr>
        <w:shd w:val="clear" w:color="auto" w:fill="FFFFFF"/>
        <w:spacing w:after="120"/>
        <w:rPr>
          <w:color w:val="000000"/>
        </w:rPr>
      </w:pPr>
      <w:r>
        <w:rPr>
          <w:color w:val="000000"/>
        </w:rPr>
        <w:t>D</w:t>
      </w:r>
      <w:r w:rsidR="005B55BC">
        <w:rPr>
          <w:color w:val="000000"/>
        </w:rPr>
        <w:t xml:space="preserve">irector </w:t>
      </w:r>
      <w:r w:rsidR="003D3F51">
        <w:rPr>
          <w:color w:val="000000"/>
        </w:rPr>
        <w:t>identification</w:t>
      </w:r>
      <w:r w:rsidR="005B55BC">
        <w:rPr>
          <w:color w:val="000000"/>
        </w:rPr>
        <w:t xml:space="preserve"> numbers for current and former directors</w:t>
      </w:r>
      <w:r w:rsidR="003D3F51">
        <w:rPr>
          <w:color w:val="000000"/>
        </w:rPr>
        <w:t xml:space="preserve"> of the corporation.</w:t>
      </w:r>
    </w:p>
    <w:p w14:paraId="2AFF8166" w14:textId="5D743830" w:rsidR="003D3F51" w:rsidRDefault="003D3F51" w:rsidP="003D3F51">
      <w:pPr>
        <w:pStyle w:val="Style1"/>
        <w:numPr>
          <w:ilvl w:val="1"/>
          <w:numId w:val="26"/>
        </w:numPr>
        <w:shd w:val="clear" w:color="auto" w:fill="FFFFFF"/>
        <w:spacing w:after="120"/>
        <w:rPr>
          <w:color w:val="000000"/>
        </w:rPr>
      </w:pPr>
      <w:r w:rsidRPr="003D3F51">
        <w:rPr>
          <w:color w:val="000000"/>
        </w:rPr>
        <w:t>Details about associated entities and former associated entities.</w:t>
      </w:r>
    </w:p>
    <w:p w14:paraId="009A86EB" w14:textId="11CAD4BF" w:rsidR="003D3F51" w:rsidRPr="003D3F51" w:rsidRDefault="003D3F51" w:rsidP="00645711">
      <w:pPr>
        <w:pStyle w:val="Style1"/>
        <w:numPr>
          <w:ilvl w:val="1"/>
          <w:numId w:val="26"/>
        </w:numPr>
        <w:shd w:val="clear" w:color="auto" w:fill="FFFFFF"/>
        <w:spacing w:after="120"/>
        <w:rPr>
          <w:color w:val="000000"/>
        </w:rPr>
      </w:pPr>
      <w:r>
        <w:rPr>
          <w:color w:val="000000"/>
        </w:rPr>
        <w:t>Director identification numbers of current and previous directors of current and former associated entities of the applicant.</w:t>
      </w:r>
    </w:p>
    <w:p w14:paraId="76DF169E" w14:textId="0E91DA49" w:rsidR="005B55BC" w:rsidRDefault="005B55BC" w:rsidP="005B55BC">
      <w:pPr>
        <w:pStyle w:val="Style1"/>
        <w:shd w:val="clear" w:color="auto" w:fill="FFFFFF"/>
        <w:spacing w:after="120"/>
        <w:rPr>
          <w:color w:val="000000"/>
        </w:rPr>
      </w:pPr>
      <w:r>
        <w:rPr>
          <w:color w:val="000000"/>
        </w:rPr>
        <w:t>Evidence of community housing provider registration (if applicable).</w:t>
      </w:r>
    </w:p>
    <w:p w14:paraId="3D249654" w14:textId="33E67879" w:rsidR="00A70E4B" w:rsidRDefault="00A70E4B" w:rsidP="00645711">
      <w:pPr>
        <w:pStyle w:val="Style1"/>
        <w:numPr>
          <w:ilvl w:val="0"/>
          <w:numId w:val="0"/>
        </w:numPr>
        <w:shd w:val="clear" w:color="auto" w:fill="FFFFFF"/>
        <w:spacing w:before="240" w:after="120"/>
        <w:ind w:left="1440" w:hanging="1440"/>
        <w:rPr>
          <w:b/>
          <w:bCs/>
          <w:color w:val="000000"/>
        </w:rPr>
      </w:pPr>
      <w:r>
        <w:rPr>
          <w:b/>
          <w:bCs/>
          <w:color w:val="000000"/>
        </w:rPr>
        <w:t xml:space="preserve">Clause </w:t>
      </w:r>
      <w:r w:rsidR="009C2E73">
        <w:rPr>
          <w:b/>
          <w:bCs/>
          <w:color w:val="000000"/>
        </w:rPr>
        <w:t>6</w:t>
      </w:r>
      <w:r>
        <w:rPr>
          <w:b/>
          <w:bCs/>
          <w:color w:val="000000"/>
        </w:rPr>
        <w:tab/>
      </w:r>
      <w:r w:rsidR="009C2E73">
        <w:rPr>
          <w:b/>
          <w:bCs/>
          <w:color w:val="000000"/>
        </w:rPr>
        <w:t>Information to be included in licence renewal</w:t>
      </w:r>
      <w:r w:rsidR="008F63E4">
        <w:rPr>
          <w:b/>
          <w:bCs/>
          <w:color w:val="000000"/>
        </w:rPr>
        <w:br/>
      </w:r>
      <w:r w:rsidR="009C2E73">
        <w:rPr>
          <w:b/>
          <w:bCs/>
          <w:color w:val="000000"/>
        </w:rPr>
        <w:t>application—Act, s 13 (2) (e)</w:t>
      </w:r>
    </w:p>
    <w:p w14:paraId="0EC03567" w14:textId="58EF40DA" w:rsidR="009C2E73" w:rsidRDefault="009C2E73" w:rsidP="009C2E73">
      <w:pPr>
        <w:pStyle w:val="NormalWeb"/>
        <w:shd w:val="clear" w:color="auto" w:fill="FFFFFF"/>
        <w:spacing w:before="0" w:beforeAutospacing="0" w:after="120" w:afterAutospacing="0"/>
        <w:rPr>
          <w:color w:val="000000"/>
        </w:rPr>
      </w:pPr>
      <w:r>
        <w:rPr>
          <w:color w:val="000000"/>
        </w:rPr>
        <w:t>This clause prescribes additional information that all applicants must supply with applications for a licence renewal. This includes:</w:t>
      </w:r>
    </w:p>
    <w:p w14:paraId="7ECD60BE" w14:textId="7A4AE3D4" w:rsidR="009C2E73" w:rsidRDefault="009C2E73" w:rsidP="009C2E73">
      <w:pPr>
        <w:pStyle w:val="Style1"/>
        <w:shd w:val="clear" w:color="auto" w:fill="FFFFFF"/>
        <w:spacing w:after="120"/>
        <w:rPr>
          <w:color w:val="000000"/>
        </w:rPr>
      </w:pPr>
      <w:r>
        <w:rPr>
          <w:color w:val="000000"/>
        </w:rPr>
        <w:t xml:space="preserve">Some of the information that </w:t>
      </w:r>
      <w:r w:rsidR="008F63E4">
        <w:rPr>
          <w:color w:val="000000"/>
        </w:rPr>
        <w:t>section</w:t>
      </w:r>
      <w:r>
        <w:rPr>
          <w:color w:val="000000"/>
        </w:rPr>
        <w:t xml:space="preserve"> 25 of the Act requires to be published on the public register of licensed property developers.</w:t>
      </w:r>
    </w:p>
    <w:p w14:paraId="28055F4C" w14:textId="77777777" w:rsidR="009C2E73" w:rsidRDefault="009C2E73" w:rsidP="009C2E73">
      <w:pPr>
        <w:pStyle w:val="Style1"/>
        <w:shd w:val="clear" w:color="auto" w:fill="FFFFFF"/>
        <w:spacing w:after="120"/>
        <w:rPr>
          <w:color w:val="000000"/>
        </w:rPr>
      </w:pPr>
      <w:r>
        <w:rPr>
          <w:color w:val="000000"/>
        </w:rPr>
        <w:t>If the applicant is a corporation:</w:t>
      </w:r>
    </w:p>
    <w:p w14:paraId="7125AD44" w14:textId="77777777" w:rsidR="009C2E73" w:rsidRDefault="009C2E73" w:rsidP="009C2E73">
      <w:pPr>
        <w:pStyle w:val="Style1"/>
        <w:numPr>
          <w:ilvl w:val="1"/>
          <w:numId w:val="26"/>
        </w:numPr>
        <w:shd w:val="clear" w:color="auto" w:fill="FFFFFF"/>
        <w:spacing w:after="120"/>
        <w:rPr>
          <w:color w:val="000000"/>
        </w:rPr>
      </w:pPr>
      <w:r>
        <w:rPr>
          <w:color w:val="000000"/>
        </w:rPr>
        <w:t>Director identification numbers for current and former directors of the corporation.</w:t>
      </w:r>
    </w:p>
    <w:p w14:paraId="4D74EE8E" w14:textId="77777777" w:rsidR="009C2E73" w:rsidRDefault="009C2E73" w:rsidP="009C2E73">
      <w:pPr>
        <w:pStyle w:val="Style1"/>
        <w:numPr>
          <w:ilvl w:val="1"/>
          <w:numId w:val="26"/>
        </w:numPr>
        <w:shd w:val="clear" w:color="auto" w:fill="FFFFFF"/>
        <w:spacing w:after="120"/>
        <w:rPr>
          <w:color w:val="000000"/>
        </w:rPr>
      </w:pPr>
      <w:r w:rsidRPr="003D3F51">
        <w:rPr>
          <w:color w:val="000000"/>
        </w:rPr>
        <w:t>Details about associated entities and former associated entities.</w:t>
      </w:r>
    </w:p>
    <w:p w14:paraId="19F0AA4F" w14:textId="77777777" w:rsidR="009C2E73" w:rsidRPr="003D3F51" w:rsidRDefault="009C2E73" w:rsidP="009C2E73">
      <w:pPr>
        <w:pStyle w:val="Style1"/>
        <w:numPr>
          <w:ilvl w:val="1"/>
          <w:numId w:val="26"/>
        </w:numPr>
        <w:shd w:val="clear" w:color="auto" w:fill="FFFFFF"/>
        <w:spacing w:after="120"/>
        <w:rPr>
          <w:color w:val="000000"/>
        </w:rPr>
      </w:pPr>
      <w:r>
        <w:rPr>
          <w:color w:val="000000"/>
        </w:rPr>
        <w:t>Director identification numbers of current and previous directors of current and former associated entities of the applicant.</w:t>
      </w:r>
    </w:p>
    <w:p w14:paraId="40C261AE" w14:textId="77777777" w:rsidR="009C2E73" w:rsidRDefault="009C2E73" w:rsidP="009C2E73">
      <w:pPr>
        <w:pStyle w:val="Style1"/>
        <w:shd w:val="clear" w:color="auto" w:fill="FFFFFF"/>
        <w:spacing w:after="120"/>
        <w:rPr>
          <w:color w:val="000000"/>
        </w:rPr>
      </w:pPr>
      <w:r>
        <w:rPr>
          <w:color w:val="000000"/>
        </w:rPr>
        <w:t>Evidence of community housing provider registration (if applicable).</w:t>
      </w:r>
    </w:p>
    <w:p w14:paraId="372171D1" w14:textId="055CA330" w:rsidR="009C2E73" w:rsidRPr="00645711" w:rsidRDefault="009C2E73" w:rsidP="00304917">
      <w:pPr>
        <w:pStyle w:val="longtitle"/>
        <w:shd w:val="clear" w:color="auto" w:fill="FFFFFF"/>
        <w:spacing w:after="120"/>
        <w:ind w:left="1440" w:hanging="1440"/>
        <w:rPr>
          <w:b/>
          <w:bCs/>
          <w:color w:val="000000"/>
          <w:sz w:val="26"/>
          <w:szCs w:val="26"/>
        </w:rPr>
      </w:pPr>
      <w:r w:rsidRPr="00645711">
        <w:rPr>
          <w:b/>
          <w:bCs/>
          <w:color w:val="000000"/>
          <w:sz w:val="26"/>
          <w:szCs w:val="26"/>
        </w:rPr>
        <w:t>Part 3</w:t>
      </w:r>
      <w:r w:rsidR="008F63E4">
        <w:rPr>
          <w:b/>
          <w:bCs/>
          <w:color w:val="000000"/>
          <w:sz w:val="26"/>
          <w:szCs w:val="26"/>
        </w:rPr>
        <w:tab/>
      </w:r>
      <w:r w:rsidRPr="00645711">
        <w:rPr>
          <w:b/>
          <w:bCs/>
          <w:color w:val="000000"/>
          <w:sz w:val="26"/>
          <w:szCs w:val="26"/>
        </w:rPr>
        <w:t>Action against property</w:t>
      </w:r>
      <w:r w:rsidR="008F63E4">
        <w:rPr>
          <w:b/>
          <w:bCs/>
          <w:color w:val="000000"/>
          <w:sz w:val="26"/>
          <w:szCs w:val="26"/>
        </w:rPr>
        <w:br/>
      </w:r>
      <w:r w:rsidRPr="00645711">
        <w:rPr>
          <w:b/>
          <w:bCs/>
          <w:color w:val="000000"/>
          <w:sz w:val="26"/>
          <w:szCs w:val="26"/>
        </w:rPr>
        <w:t>developers and directors</w:t>
      </w:r>
    </w:p>
    <w:p w14:paraId="7B6DDCB0" w14:textId="26487D99" w:rsidR="00B84B60" w:rsidRDefault="00B84B60" w:rsidP="00304917">
      <w:pPr>
        <w:pStyle w:val="Style1"/>
        <w:numPr>
          <w:ilvl w:val="0"/>
          <w:numId w:val="0"/>
        </w:numPr>
        <w:shd w:val="clear" w:color="auto" w:fill="FFFFFF"/>
        <w:spacing w:before="240" w:after="120"/>
        <w:ind w:left="1440" w:hanging="1440"/>
        <w:rPr>
          <w:b/>
          <w:bCs/>
          <w:color w:val="000000"/>
        </w:rPr>
      </w:pPr>
      <w:r>
        <w:rPr>
          <w:b/>
          <w:bCs/>
          <w:color w:val="000000"/>
        </w:rPr>
        <w:t>Clause 7</w:t>
      </w:r>
      <w:r>
        <w:rPr>
          <w:b/>
          <w:bCs/>
          <w:color w:val="000000"/>
        </w:rPr>
        <w:tab/>
        <w:t>Application—pt 3</w:t>
      </w:r>
    </w:p>
    <w:p w14:paraId="440326D9" w14:textId="0C23A740" w:rsidR="00C845C7" w:rsidRDefault="00C845C7" w:rsidP="00C845C7">
      <w:pPr>
        <w:pStyle w:val="NormalWeb"/>
        <w:shd w:val="clear" w:color="auto" w:fill="FFFFFF"/>
        <w:spacing w:before="0" w:beforeAutospacing="0" w:after="120" w:afterAutospacing="0"/>
        <w:rPr>
          <w:color w:val="000000"/>
        </w:rPr>
      </w:pPr>
      <w:r>
        <w:rPr>
          <w:color w:val="000000"/>
        </w:rPr>
        <w:t>At the time of the Act’s commencement on 11 July 2024, some provisions, such as the parts of the Act enliven the requirement for certain property developers to obtain a property developer licence, had not commenced. However, Part 5 of the Act, which relates to rectification orders, stop work orders, and undertakings against a range of people in relation to serious defects</w:t>
      </w:r>
      <w:r w:rsidR="0032639C">
        <w:rPr>
          <w:color w:val="000000"/>
        </w:rPr>
        <w:t>,</w:t>
      </w:r>
      <w:r>
        <w:rPr>
          <w:color w:val="000000"/>
        </w:rPr>
        <w:t xml:space="preserve"> co</w:t>
      </w:r>
      <w:r w:rsidRPr="00C845C7">
        <w:rPr>
          <w:color w:val="000000"/>
        </w:rPr>
        <w:t>mmen</w:t>
      </w:r>
      <w:r>
        <w:rPr>
          <w:color w:val="000000"/>
        </w:rPr>
        <w:t xml:space="preserve">ced when the Act commenced. </w:t>
      </w:r>
      <w:r w:rsidR="0032639C">
        <w:rPr>
          <w:color w:val="000000"/>
        </w:rPr>
        <w:t>This means that the provisions in Part 5 of the Act</w:t>
      </w:r>
      <w:r>
        <w:rPr>
          <w:color w:val="000000"/>
        </w:rPr>
        <w:t xml:space="preserve"> </w:t>
      </w:r>
      <w:r w:rsidR="0032639C">
        <w:rPr>
          <w:color w:val="000000"/>
        </w:rPr>
        <w:t>may apply to residential development projects that had commenced prior to the licensing requirements being imposed.</w:t>
      </w:r>
    </w:p>
    <w:p w14:paraId="47F62D32" w14:textId="132DA674" w:rsidR="00C845C7" w:rsidRPr="00675FE2" w:rsidRDefault="00C845C7" w:rsidP="00C845C7">
      <w:pPr>
        <w:pStyle w:val="NormalWeb"/>
        <w:shd w:val="clear" w:color="auto" w:fill="FFFFFF"/>
        <w:spacing w:before="0" w:beforeAutospacing="0" w:after="120" w:afterAutospacing="0"/>
        <w:rPr>
          <w:color w:val="000000"/>
        </w:rPr>
      </w:pPr>
      <w:r w:rsidRPr="007338C0">
        <w:rPr>
          <w:color w:val="000000"/>
        </w:rPr>
        <w:t>This clause provides that Part 3 of this regulation applies after 10 July 2024, which was when the Act commenced.</w:t>
      </w:r>
      <w:r>
        <w:rPr>
          <w:color w:val="000000"/>
        </w:rPr>
        <w:t xml:space="preserve"> </w:t>
      </w:r>
      <w:r w:rsidRPr="00675FE2">
        <w:rPr>
          <w:color w:val="000000"/>
        </w:rPr>
        <w:t xml:space="preserve">Part 3 of </w:t>
      </w:r>
      <w:r>
        <w:rPr>
          <w:color w:val="000000"/>
        </w:rPr>
        <w:t>this regulation</w:t>
      </w:r>
      <w:r w:rsidRPr="00675FE2">
        <w:rPr>
          <w:color w:val="000000"/>
        </w:rPr>
        <w:t xml:space="preserve"> commence</w:t>
      </w:r>
      <w:r>
        <w:rPr>
          <w:color w:val="000000"/>
        </w:rPr>
        <w:t>s</w:t>
      </w:r>
      <w:r w:rsidRPr="00675FE2">
        <w:rPr>
          <w:color w:val="000000"/>
        </w:rPr>
        <w:t xml:space="preserve"> prospectively (see </w:t>
      </w:r>
      <w:r>
        <w:rPr>
          <w:color w:val="000000"/>
        </w:rPr>
        <w:t>clause 2 above</w:t>
      </w:r>
      <w:r w:rsidRPr="00675FE2">
        <w:rPr>
          <w:color w:val="000000"/>
        </w:rPr>
        <w:t>)</w:t>
      </w:r>
      <w:r w:rsidR="0032639C">
        <w:rPr>
          <w:color w:val="000000"/>
        </w:rPr>
        <w:t xml:space="preserve"> </w:t>
      </w:r>
      <w:r w:rsidRPr="00675FE2">
        <w:rPr>
          <w:color w:val="000000"/>
        </w:rPr>
        <w:t xml:space="preserve">but </w:t>
      </w:r>
      <w:r>
        <w:rPr>
          <w:color w:val="000000"/>
        </w:rPr>
        <w:t>has</w:t>
      </w:r>
      <w:r w:rsidRPr="00675FE2">
        <w:rPr>
          <w:color w:val="000000"/>
        </w:rPr>
        <w:t xml:space="preserve"> retrospective application. This is because the provisions commence after the notification day of the </w:t>
      </w:r>
      <w:r w:rsidR="00881C1D">
        <w:rPr>
          <w:color w:val="000000"/>
        </w:rPr>
        <w:t>r</w:t>
      </w:r>
      <w:r w:rsidR="00881C1D" w:rsidRPr="00675FE2">
        <w:rPr>
          <w:color w:val="000000"/>
        </w:rPr>
        <w:t>egulation but</w:t>
      </w:r>
      <w:r w:rsidRPr="00675FE2">
        <w:rPr>
          <w:color w:val="000000"/>
        </w:rPr>
        <w:t xml:space="preserve"> have effect to things done before the notification </w:t>
      </w:r>
      <w:r w:rsidRPr="0032639C">
        <w:rPr>
          <w:color w:val="000000"/>
        </w:rPr>
        <w:t>day. Explanation of how the provisions are non</w:t>
      </w:r>
      <w:r w:rsidRPr="0032639C">
        <w:rPr>
          <w:color w:val="000000"/>
        </w:rPr>
        <w:noBreakHyphen/>
        <w:t>prejudicial is included below.</w:t>
      </w:r>
    </w:p>
    <w:p w14:paraId="17F59934" w14:textId="77777777" w:rsidR="00C845C7" w:rsidRDefault="00C845C7">
      <w:pPr>
        <w:pStyle w:val="NormalWeb"/>
        <w:shd w:val="clear" w:color="auto" w:fill="FFFFFF"/>
        <w:spacing w:before="0" w:beforeAutospacing="0" w:after="120" w:afterAutospacing="0"/>
        <w:rPr>
          <w:color w:val="000000"/>
        </w:rPr>
      </w:pPr>
    </w:p>
    <w:p w14:paraId="0E331DD1" w14:textId="033AA237" w:rsidR="006D024C" w:rsidRDefault="006D024C" w:rsidP="00304917">
      <w:pPr>
        <w:pStyle w:val="Style1"/>
        <w:numPr>
          <w:ilvl w:val="0"/>
          <w:numId w:val="0"/>
        </w:numPr>
        <w:shd w:val="clear" w:color="auto" w:fill="FFFFFF"/>
        <w:spacing w:before="240" w:after="120"/>
        <w:ind w:left="1440" w:hanging="1440"/>
        <w:rPr>
          <w:b/>
          <w:bCs/>
          <w:color w:val="000000"/>
        </w:rPr>
      </w:pPr>
      <w:r>
        <w:rPr>
          <w:b/>
          <w:bCs/>
          <w:color w:val="000000"/>
        </w:rPr>
        <w:lastRenderedPageBreak/>
        <w:t xml:space="preserve">Clause </w:t>
      </w:r>
      <w:r w:rsidR="00BC2AF5">
        <w:rPr>
          <w:b/>
          <w:bCs/>
          <w:color w:val="000000"/>
        </w:rPr>
        <w:t>8</w:t>
      </w:r>
      <w:r>
        <w:rPr>
          <w:b/>
          <w:bCs/>
          <w:color w:val="000000"/>
        </w:rPr>
        <w:tab/>
        <w:t xml:space="preserve">People excluded from def of </w:t>
      </w:r>
      <w:r w:rsidRPr="00645711">
        <w:rPr>
          <w:b/>
          <w:bCs/>
          <w:i/>
          <w:iCs/>
          <w:color w:val="000000"/>
        </w:rPr>
        <w:t>property developer</w:t>
      </w:r>
      <w:r>
        <w:rPr>
          <w:b/>
          <w:bCs/>
          <w:color w:val="000000"/>
        </w:rPr>
        <w:t>–Act,</w:t>
      </w:r>
      <w:r w:rsidR="008F63E4">
        <w:rPr>
          <w:b/>
          <w:bCs/>
          <w:color w:val="000000"/>
        </w:rPr>
        <w:br/>
      </w:r>
      <w:r>
        <w:rPr>
          <w:b/>
          <w:bCs/>
          <w:color w:val="000000"/>
        </w:rPr>
        <w:t>s 46 (2)</w:t>
      </w:r>
    </w:p>
    <w:p w14:paraId="2B959A18" w14:textId="5BD8F37F" w:rsidR="00494007" w:rsidRDefault="00BC2AF5" w:rsidP="00B84B60">
      <w:pPr>
        <w:pStyle w:val="Style1"/>
        <w:numPr>
          <w:ilvl w:val="0"/>
          <w:numId w:val="0"/>
        </w:numPr>
        <w:shd w:val="clear" w:color="auto" w:fill="FFFFFF"/>
        <w:spacing w:after="120"/>
        <w:rPr>
          <w:color w:val="000000"/>
        </w:rPr>
      </w:pPr>
      <w:r>
        <w:rPr>
          <w:color w:val="000000"/>
        </w:rPr>
        <w:t>This clause excludes</w:t>
      </w:r>
      <w:r w:rsidR="006D024C">
        <w:rPr>
          <w:color w:val="000000"/>
        </w:rPr>
        <w:t xml:space="preserve"> </w:t>
      </w:r>
      <w:r w:rsidR="00B84B60">
        <w:rPr>
          <w:color w:val="000000"/>
        </w:rPr>
        <w:t xml:space="preserve">a range of </w:t>
      </w:r>
      <w:r w:rsidR="006D024C">
        <w:rPr>
          <w:color w:val="000000"/>
        </w:rPr>
        <w:t xml:space="preserve">people from the definition of a </w:t>
      </w:r>
      <w:r w:rsidR="006D024C" w:rsidRPr="00645711">
        <w:rPr>
          <w:i/>
          <w:iCs/>
          <w:color w:val="000000"/>
        </w:rPr>
        <w:t>property developer</w:t>
      </w:r>
      <w:r w:rsidR="00821D81">
        <w:rPr>
          <w:color w:val="000000"/>
        </w:rPr>
        <w:t xml:space="preserve"> for the purposes of Part 5 of the Act</w:t>
      </w:r>
      <w:r w:rsidR="00B84B60">
        <w:rPr>
          <w:color w:val="000000"/>
        </w:rPr>
        <w:t xml:space="preserve">. These people are excluded as they provide services in relation to residential building </w:t>
      </w:r>
      <w:r w:rsidR="005A4897">
        <w:rPr>
          <w:color w:val="000000"/>
        </w:rPr>
        <w:t>work,</w:t>
      </w:r>
      <w:r w:rsidR="00B84B60">
        <w:rPr>
          <w:color w:val="000000"/>
        </w:rPr>
        <w:t xml:space="preserve"> </w:t>
      </w:r>
      <w:r w:rsidR="00B14CBB">
        <w:rPr>
          <w:color w:val="000000"/>
        </w:rPr>
        <w:t>but</w:t>
      </w:r>
      <w:r w:rsidR="00B84B60">
        <w:rPr>
          <w:color w:val="000000"/>
        </w:rPr>
        <w:t xml:space="preserve"> they will not be subject to rectification orders, stop work orders, or undertakings from the construction occupations registrar in relation to serious defects in regulated residential buildings. This ensures that regulatory action taken under Part 5 of the Act is appropriately directed at people that have primary responsibility for decisions in relation to the work.</w:t>
      </w:r>
      <w:r w:rsidR="00B84B60" w:rsidDel="00B84B60">
        <w:rPr>
          <w:color w:val="000000"/>
        </w:rPr>
        <w:t xml:space="preserve"> </w:t>
      </w:r>
    </w:p>
    <w:p w14:paraId="416AD8C7" w14:textId="3EB6419A" w:rsidR="005E5902" w:rsidRPr="003305AD" w:rsidRDefault="00494007" w:rsidP="003305AD">
      <w:pPr>
        <w:pStyle w:val="Style1"/>
        <w:numPr>
          <w:ilvl w:val="0"/>
          <w:numId w:val="0"/>
        </w:numPr>
        <w:shd w:val="clear" w:color="auto" w:fill="FFFFFF"/>
        <w:spacing w:after="120"/>
      </w:pPr>
      <w:r w:rsidRPr="003305AD">
        <w:rPr>
          <w:color w:val="000000"/>
        </w:rPr>
        <w:t xml:space="preserve">It is appropriate that these exclusions apply retrospectively from the date the </w:t>
      </w:r>
      <w:r w:rsidR="000A1102" w:rsidRPr="003305AD">
        <w:rPr>
          <w:color w:val="000000"/>
        </w:rPr>
        <w:t xml:space="preserve">Act </w:t>
      </w:r>
      <w:r w:rsidRPr="003305AD">
        <w:rPr>
          <w:color w:val="000000"/>
        </w:rPr>
        <w:t>commenced. This clause is removing liabilities that were never intended to apply and is therefore non-prejudicial.</w:t>
      </w:r>
    </w:p>
    <w:p w14:paraId="2DBC11C9" w14:textId="5FEC3FEE" w:rsidR="00821D81" w:rsidRPr="003305AD" w:rsidRDefault="00821D81" w:rsidP="00821D81">
      <w:pPr>
        <w:pStyle w:val="Style1"/>
        <w:numPr>
          <w:ilvl w:val="0"/>
          <w:numId w:val="0"/>
        </w:numPr>
        <w:spacing w:before="240" w:after="240"/>
        <w:rPr>
          <w:b/>
          <w:bCs/>
        </w:rPr>
      </w:pPr>
      <w:r w:rsidRPr="003305AD">
        <w:rPr>
          <w:b/>
          <w:bCs/>
        </w:rPr>
        <w:t xml:space="preserve">Clause </w:t>
      </w:r>
      <w:r w:rsidR="00AC4E8A" w:rsidRPr="003305AD">
        <w:rPr>
          <w:b/>
          <w:bCs/>
        </w:rPr>
        <w:t>9</w:t>
      </w:r>
      <w:r w:rsidRPr="003305AD">
        <w:rPr>
          <w:b/>
          <w:bCs/>
        </w:rPr>
        <w:tab/>
      </w:r>
      <w:r w:rsidR="00AC4E8A" w:rsidRPr="003305AD">
        <w:rPr>
          <w:b/>
          <w:bCs/>
        </w:rPr>
        <w:t>Excluded directors—Act, s 52 (4) (b)</w:t>
      </w:r>
    </w:p>
    <w:p w14:paraId="075A5070" w14:textId="3E8AF18F" w:rsidR="00821D81" w:rsidRDefault="00AD5D0C" w:rsidP="00821D81">
      <w:pPr>
        <w:pStyle w:val="Style1"/>
        <w:numPr>
          <w:ilvl w:val="0"/>
          <w:numId w:val="0"/>
        </w:numPr>
        <w:spacing w:before="240" w:after="240"/>
      </w:pPr>
      <w:r w:rsidRPr="003305AD">
        <w:t>This clause e</w:t>
      </w:r>
      <w:r w:rsidR="00227336" w:rsidRPr="003305AD">
        <w:t>xcludes directors of community housing providers and their wholly owned subsidiaries from the director liability provisions in s 54 (4) (b) of the Act.</w:t>
      </w:r>
      <w:r w:rsidR="00821D81" w:rsidRPr="003305AD">
        <w:t xml:space="preserve"> </w:t>
      </w:r>
      <w:r w:rsidR="00B84B60" w:rsidRPr="003305AD">
        <w:t>These directors are excluded because they are subject to an existing regulatory regime, the National Regulatory System for Community Housing.</w:t>
      </w:r>
      <w:r w:rsidR="00B84B60">
        <w:t xml:space="preserve"> </w:t>
      </w:r>
    </w:p>
    <w:p w14:paraId="3A555B3C" w14:textId="5DFBB7E2" w:rsidR="009373E7" w:rsidRDefault="009373E7" w:rsidP="00821D81">
      <w:pPr>
        <w:pStyle w:val="Style1"/>
        <w:numPr>
          <w:ilvl w:val="0"/>
          <w:numId w:val="0"/>
        </w:numPr>
        <w:spacing w:before="240" w:after="240"/>
      </w:pPr>
      <w:r>
        <w:t>It is appropriate that this exclusion applies retrospect</w:t>
      </w:r>
      <w:r w:rsidR="00640549">
        <w:t>ively from the date the Act commenced. This clause is removing liabilities that were never intended to apply and is therefore non-prejudicial.</w:t>
      </w:r>
    </w:p>
    <w:p w14:paraId="1D244653" w14:textId="67879D8C" w:rsidR="00227336" w:rsidRPr="003305AD" w:rsidRDefault="00227336" w:rsidP="00304917">
      <w:pPr>
        <w:pStyle w:val="longtitle"/>
        <w:shd w:val="clear" w:color="auto" w:fill="FFFFFF"/>
        <w:spacing w:after="120"/>
        <w:ind w:left="1440" w:hanging="1440"/>
        <w:rPr>
          <w:b/>
          <w:bCs/>
          <w:color w:val="000000"/>
          <w:sz w:val="26"/>
          <w:szCs w:val="26"/>
        </w:rPr>
      </w:pPr>
      <w:r w:rsidRPr="003305AD">
        <w:rPr>
          <w:b/>
          <w:bCs/>
          <w:color w:val="000000"/>
          <w:sz w:val="26"/>
          <w:szCs w:val="26"/>
        </w:rPr>
        <w:t>Part 4</w:t>
      </w:r>
      <w:r w:rsidR="002801BB" w:rsidRPr="003305AD">
        <w:rPr>
          <w:b/>
          <w:bCs/>
          <w:color w:val="000000"/>
          <w:sz w:val="26"/>
          <w:szCs w:val="26"/>
        </w:rPr>
        <w:tab/>
      </w:r>
      <w:r w:rsidRPr="003305AD">
        <w:rPr>
          <w:b/>
          <w:bCs/>
          <w:color w:val="000000"/>
          <w:sz w:val="26"/>
          <w:szCs w:val="26"/>
        </w:rPr>
        <w:t>Regulated residential buildings</w:t>
      </w:r>
      <w:r w:rsidR="002801BB" w:rsidRPr="003305AD">
        <w:rPr>
          <w:b/>
          <w:bCs/>
          <w:color w:val="000000"/>
          <w:sz w:val="26"/>
          <w:szCs w:val="26"/>
        </w:rPr>
        <w:br/>
      </w:r>
      <w:r w:rsidRPr="003305AD">
        <w:rPr>
          <w:b/>
          <w:bCs/>
          <w:color w:val="000000"/>
          <w:sz w:val="26"/>
          <w:szCs w:val="26"/>
        </w:rPr>
        <w:t>and residential building work</w:t>
      </w:r>
    </w:p>
    <w:p w14:paraId="347CE3A4" w14:textId="57EA97F1" w:rsidR="00227336" w:rsidRPr="003305AD" w:rsidRDefault="00227336" w:rsidP="00227336">
      <w:pPr>
        <w:pStyle w:val="Style1"/>
        <w:numPr>
          <w:ilvl w:val="0"/>
          <w:numId w:val="0"/>
        </w:numPr>
        <w:spacing w:before="240" w:after="240"/>
        <w:rPr>
          <w:b/>
          <w:bCs/>
        </w:rPr>
      </w:pPr>
      <w:r w:rsidRPr="003305AD">
        <w:rPr>
          <w:b/>
          <w:bCs/>
        </w:rPr>
        <w:t>Clause 10</w:t>
      </w:r>
      <w:r w:rsidRPr="003305AD">
        <w:rPr>
          <w:b/>
          <w:bCs/>
        </w:rPr>
        <w:tab/>
        <w:t>Application—pt 4</w:t>
      </w:r>
    </w:p>
    <w:p w14:paraId="571F88A3" w14:textId="432B645E" w:rsidR="00675FE2" w:rsidRDefault="00227336">
      <w:pPr>
        <w:pStyle w:val="Style1"/>
        <w:numPr>
          <w:ilvl w:val="0"/>
          <w:numId w:val="0"/>
        </w:numPr>
        <w:spacing w:before="240" w:after="240"/>
      </w:pPr>
      <w:r w:rsidRPr="003305AD">
        <w:t xml:space="preserve">This clause provides that </w:t>
      </w:r>
      <w:r w:rsidR="002801BB" w:rsidRPr="003305AD">
        <w:t>part 4</w:t>
      </w:r>
      <w:r w:rsidRPr="003305AD">
        <w:t xml:space="preserve"> of the regulation only applies to a building or building work after 10 July 2024.</w:t>
      </w:r>
      <w:r w:rsidR="00675FE2" w:rsidRPr="003305AD">
        <w:t xml:space="preserve"> Part 4 of this regulation commences prospectively (see clause 2 above</w:t>
      </w:r>
      <w:r w:rsidR="007338C0" w:rsidRPr="003305AD">
        <w:t>) but</w:t>
      </w:r>
      <w:r w:rsidR="00675FE2" w:rsidRPr="003305AD">
        <w:t xml:space="preserve"> has retrospective application. This is because the provisions commence after the notification day of the </w:t>
      </w:r>
      <w:r w:rsidR="007338C0" w:rsidRPr="003305AD">
        <w:t>r</w:t>
      </w:r>
      <w:r w:rsidR="00675FE2" w:rsidRPr="003305AD">
        <w:t>egulation</w:t>
      </w:r>
      <w:r w:rsidR="00640549" w:rsidRPr="003305AD">
        <w:t>,</w:t>
      </w:r>
      <w:r w:rsidR="007338C0" w:rsidRPr="003305AD">
        <w:t xml:space="preserve"> howeve</w:t>
      </w:r>
      <w:r w:rsidR="003305AD" w:rsidRPr="003305AD">
        <w:t>r</w:t>
      </w:r>
      <w:r w:rsidR="007338C0" w:rsidRPr="003305AD">
        <w:t>,</w:t>
      </w:r>
      <w:r w:rsidR="00675FE2" w:rsidRPr="003305AD">
        <w:t xml:space="preserve"> they have effect to things done before the notification day. </w:t>
      </w:r>
    </w:p>
    <w:p w14:paraId="21706F52" w14:textId="77777777" w:rsidR="00640549" w:rsidRDefault="00640549" w:rsidP="00640549">
      <w:pPr>
        <w:pStyle w:val="Style1"/>
        <w:numPr>
          <w:ilvl w:val="0"/>
          <w:numId w:val="0"/>
        </w:numPr>
        <w:spacing w:before="240" w:after="240"/>
      </w:pPr>
      <w:r>
        <w:t>It is appropriate that this exclusion applies retrospectively from the date the Act commenced. This clause is removing liabilities that were never intended to apply and is therefore non-prejudicial.</w:t>
      </w:r>
    </w:p>
    <w:p w14:paraId="13AAAB1B" w14:textId="6FC9B75E" w:rsidR="00227336" w:rsidRDefault="00227336" w:rsidP="00227336">
      <w:pPr>
        <w:pStyle w:val="Style1"/>
        <w:numPr>
          <w:ilvl w:val="0"/>
          <w:numId w:val="0"/>
        </w:numPr>
        <w:shd w:val="clear" w:color="auto" w:fill="FFFFFF"/>
        <w:spacing w:after="120"/>
        <w:rPr>
          <w:color w:val="000000"/>
        </w:rPr>
      </w:pPr>
    </w:p>
    <w:p w14:paraId="372F6741" w14:textId="0EAF9070" w:rsidR="00227336" w:rsidRPr="00227336" w:rsidRDefault="00227336" w:rsidP="00645711">
      <w:pPr>
        <w:pStyle w:val="Style1"/>
        <w:numPr>
          <w:ilvl w:val="0"/>
          <w:numId w:val="0"/>
        </w:numPr>
        <w:spacing w:before="240" w:after="240"/>
        <w:ind w:left="1440" w:hanging="1440"/>
        <w:rPr>
          <w:b/>
          <w:bCs/>
        </w:rPr>
      </w:pPr>
      <w:r>
        <w:rPr>
          <w:b/>
          <w:bCs/>
        </w:rPr>
        <w:t>Clause 11</w:t>
      </w:r>
      <w:r>
        <w:rPr>
          <w:b/>
          <w:bCs/>
        </w:rPr>
        <w:tab/>
        <w:t xml:space="preserve">Excluded buildings—Act, dict, def </w:t>
      </w:r>
      <w:r>
        <w:rPr>
          <w:b/>
          <w:bCs/>
          <w:i/>
          <w:iCs/>
        </w:rPr>
        <w:t>regulated residential</w:t>
      </w:r>
      <w:r w:rsidR="002801BB">
        <w:rPr>
          <w:b/>
          <w:bCs/>
          <w:i/>
          <w:iCs/>
        </w:rPr>
        <w:br/>
      </w:r>
      <w:r>
        <w:rPr>
          <w:b/>
          <w:bCs/>
          <w:i/>
          <w:iCs/>
        </w:rPr>
        <w:t>building</w:t>
      </w:r>
      <w:r>
        <w:rPr>
          <w:b/>
          <w:bCs/>
        </w:rPr>
        <w:t>, par (b)</w:t>
      </w:r>
    </w:p>
    <w:p w14:paraId="2B69ABDB" w14:textId="3626AF7F" w:rsidR="00227336" w:rsidRPr="00640549" w:rsidRDefault="00DF3BDA" w:rsidP="00821D81">
      <w:pPr>
        <w:pStyle w:val="Style1"/>
        <w:numPr>
          <w:ilvl w:val="0"/>
          <w:numId w:val="0"/>
        </w:numPr>
        <w:spacing w:before="240" w:after="240"/>
      </w:pPr>
      <w:r>
        <w:t xml:space="preserve">This clause exempts buildings used by certain aged care providers for retirement villages from the definition of </w:t>
      </w:r>
      <w:r>
        <w:rPr>
          <w:i/>
          <w:iCs/>
        </w:rPr>
        <w:t>regulated residential building</w:t>
      </w:r>
      <w:r>
        <w:t xml:space="preserve"> in the Act.</w:t>
      </w:r>
      <w:r w:rsidR="00640549">
        <w:t xml:space="preserve"> This has the effect of also excluding work on these buildings from the Act’s definition of </w:t>
      </w:r>
      <w:r w:rsidR="00640549">
        <w:rPr>
          <w:i/>
          <w:iCs/>
        </w:rPr>
        <w:t>residential building work</w:t>
      </w:r>
      <w:r w:rsidR="00640549">
        <w:t>.</w:t>
      </w:r>
    </w:p>
    <w:p w14:paraId="565A3594" w14:textId="77777777" w:rsidR="00640549" w:rsidRDefault="00640549" w:rsidP="00640549">
      <w:pPr>
        <w:pStyle w:val="Style1"/>
        <w:numPr>
          <w:ilvl w:val="0"/>
          <w:numId w:val="0"/>
        </w:numPr>
        <w:spacing w:before="240" w:after="240"/>
      </w:pPr>
      <w:r>
        <w:lastRenderedPageBreak/>
        <w:t>It is appropriate that this exclusion applies retrospectively from the date the Act commenced. This clause is removing liabilities that were never intended to apply and is therefore non-prejudicial.</w:t>
      </w:r>
    </w:p>
    <w:p w14:paraId="739E88BF" w14:textId="77777777" w:rsidR="00640549" w:rsidRPr="00DF3BDA" w:rsidRDefault="00640549" w:rsidP="00821D81">
      <w:pPr>
        <w:pStyle w:val="Style1"/>
        <w:numPr>
          <w:ilvl w:val="0"/>
          <w:numId w:val="0"/>
        </w:numPr>
        <w:spacing w:before="240" w:after="240"/>
      </w:pPr>
    </w:p>
    <w:p w14:paraId="5020EA88" w14:textId="77F32488" w:rsidR="00821D81" w:rsidRDefault="00821D81" w:rsidP="00645711">
      <w:pPr>
        <w:pStyle w:val="Style1"/>
        <w:numPr>
          <w:ilvl w:val="0"/>
          <w:numId w:val="0"/>
        </w:numPr>
        <w:spacing w:before="240" w:after="240"/>
        <w:ind w:left="1440" w:hanging="1440"/>
        <w:rPr>
          <w:b/>
          <w:bCs/>
        </w:rPr>
      </w:pPr>
      <w:r>
        <w:rPr>
          <w:b/>
          <w:bCs/>
        </w:rPr>
        <w:t>Clause 1</w:t>
      </w:r>
      <w:r w:rsidR="00DF3BDA">
        <w:rPr>
          <w:b/>
          <w:bCs/>
        </w:rPr>
        <w:t>2</w:t>
      </w:r>
      <w:r>
        <w:rPr>
          <w:b/>
          <w:bCs/>
        </w:rPr>
        <w:tab/>
        <w:t>Excluded building</w:t>
      </w:r>
      <w:r w:rsidR="00DF3BDA">
        <w:rPr>
          <w:b/>
          <w:bCs/>
        </w:rPr>
        <w:t xml:space="preserve"> work</w:t>
      </w:r>
      <w:r>
        <w:rPr>
          <w:b/>
          <w:bCs/>
        </w:rPr>
        <w:t xml:space="preserve">–Act, dict, def </w:t>
      </w:r>
      <w:r>
        <w:rPr>
          <w:b/>
          <w:bCs/>
          <w:i/>
          <w:iCs/>
        </w:rPr>
        <w:t>residential</w:t>
      </w:r>
      <w:r w:rsidR="002801BB">
        <w:rPr>
          <w:b/>
          <w:bCs/>
          <w:i/>
          <w:iCs/>
        </w:rPr>
        <w:br/>
      </w:r>
      <w:r>
        <w:rPr>
          <w:b/>
          <w:bCs/>
          <w:i/>
          <w:iCs/>
        </w:rPr>
        <w:t>building</w:t>
      </w:r>
      <w:r w:rsidR="002801BB">
        <w:rPr>
          <w:b/>
          <w:bCs/>
          <w:i/>
          <w:iCs/>
        </w:rPr>
        <w:t xml:space="preserve"> work</w:t>
      </w:r>
      <w:r>
        <w:rPr>
          <w:b/>
          <w:bCs/>
          <w:i/>
          <w:iCs/>
        </w:rPr>
        <w:t xml:space="preserve">, </w:t>
      </w:r>
      <w:r>
        <w:rPr>
          <w:b/>
          <w:bCs/>
        </w:rPr>
        <w:t>par (b)</w:t>
      </w:r>
    </w:p>
    <w:p w14:paraId="4F2DC4D3" w14:textId="1167BEF2" w:rsidR="00DF3BDA" w:rsidRDefault="00DF3BDA" w:rsidP="00DF3BDA">
      <w:pPr>
        <w:pStyle w:val="Style1"/>
        <w:numPr>
          <w:ilvl w:val="0"/>
          <w:numId w:val="0"/>
        </w:numPr>
        <w:spacing w:before="240" w:after="240"/>
      </w:pPr>
      <w:r>
        <w:t xml:space="preserve">This clause exempts building work undertaken by certain aged care providers for retirement villages from the definition of </w:t>
      </w:r>
      <w:r>
        <w:rPr>
          <w:i/>
          <w:iCs/>
        </w:rPr>
        <w:t>regulated residential building</w:t>
      </w:r>
      <w:r>
        <w:t xml:space="preserve"> in the Act. This means that these aged care providers are exempted from the Act entirely, because the Act only applies to property developers that undertake or arrange for work on </w:t>
      </w:r>
      <w:r>
        <w:rPr>
          <w:i/>
          <w:iCs/>
        </w:rPr>
        <w:t>regulated residential buildings</w:t>
      </w:r>
      <w:r>
        <w:t xml:space="preserve">, or who market or sell off-the-plan </w:t>
      </w:r>
      <w:r>
        <w:rPr>
          <w:i/>
          <w:iCs/>
        </w:rPr>
        <w:t>regulated residential buildings</w:t>
      </w:r>
      <w:r>
        <w:t>.</w:t>
      </w:r>
    </w:p>
    <w:p w14:paraId="4E4CC0F6" w14:textId="77777777" w:rsidR="00640549" w:rsidRDefault="00640549" w:rsidP="00640549">
      <w:pPr>
        <w:pStyle w:val="Style1"/>
        <w:numPr>
          <w:ilvl w:val="0"/>
          <w:numId w:val="0"/>
        </w:numPr>
        <w:spacing w:before="240" w:after="240"/>
      </w:pPr>
      <w:r>
        <w:t>It is appropriate that this exclusion applies retrospectively from the date the Act commenced. This clause is removing liabilities that were never intended to apply and is therefore non-prejudicial.</w:t>
      </w:r>
    </w:p>
    <w:p w14:paraId="17EE7BE2" w14:textId="77777777" w:rsidR="00640549" w:rsidRDefault="00640549" w:rsidP="00DF3BDA">
      <w:pPr>
        <w:pStyle w:val="Style1"/>
        <w:numPr>
          <w:ilvl w:val="0"/>
          <w:numId w:val="0"/>
        </w:numPr>
        <w:spacing w:before="240" w:after="240"/>
      </w:pPr>
    </w:p>
    <w:p w14:paraId="30FCA38B" w14:textId="1A085EB7" w:rsidR="00DF3BDA" w:rsidRPr="00645711" w:rsidRDefault="00DF3BDA" w:rsidP="00645711">
      <w:pPr>
        <w:pStyle w:val="longtitle"/>
        <w:shd w:val="clear" w:color="auto" w:fill="FFFFFF"/>
        <w:spacing w:after="120"/>
        <w:rPr>
          <w:b/>
          <w:bCs/>
          <w:color w:val="000000"/>
          <w:sz w:val="26"/>
          <w:szCs w:val="26"/>
        </w:rPr>
      </w:pPr>
      <w:r w:rsidRPr="00E46E0C">
        <w:rPr>
          <w:b/>
          <w:bCs/>
          <w:color w:val="000000"/>
          <w:sz w:val="26"/>
          <w:szCs w:val="26"/>
        </w:rPr>
        <w:t xml:space="preserve">Part </w:t>
      </w:r>
      <w:r>
        <w:rPr>
          <w:b/>
          <w:bCs/>
          <w:color w:val="000000"/>
          <w:sz w:val="26"/>
          <w:szCs w:val="26"/>
        </w:rPr>
        <w:t>5</w:t>
      </w:r>
      <w:r w:rsidR="002801BB">
        <w:rPr>
          <w:b/>
          <w:bCs/>
          <w:color w:val="000000"/>
          <w:sz w:val="26"/>
          <w:szCs w:val="26"/>
        </w:rPr>
        <w:tab/>
      </w:r>
      <w:r w:rsidR="002801BB">
        <w:rPr>
          <w:b/>
          <w:bCs/>
          <w:color w:val="000000"/>
          <w:sz w:val="26"/>
          <w:szCs w:val="26"/>
        </w:rPr>
        <w:tab/>
      </w:r>
      <w:r>
        <w:rPr>
          <w:b/>
          <w:bCs/>
          <w:color w:val="000000"/>
          <w:sz w:val="26"/>
          <w:szCs w:val="26"/>
        </w:rPr>
        <w:t>Miscellaneous</w:t>
      </w:r>
    </w:p>
    <w:p w14:paraId="049E17CE" w14:textId="2AC03230" w:rsidR="00821D81" w:rsidRDefault="00821D81" w:rsidP="00304917">
      <w:pPr>
        <w:pStyle w:val="Style1"/>
        <w:numPr>
          <w:ilvl w:val="0"/>
          <w:numId w:val="0"/>
        </w:numPr>
        <w:spacing w:before="240" w:after="240"/>
        <w:ind w:left="1440" w:hanging="1440"/>
        <w:rPr>
          <w:b/>
          <w:bCs/>
        </w:rPr>
      </w:pPr>
      <w:r>
        <w:rPr>
          <w:b/>
          <w:bCs/>
        </w:rPr>
        <w:t>Clause 1</w:t>
      </w:r>
      <w:r w:rsidR="00DF3BDA">
        <w:rPr>
          <w:b/>
          <w:bCs/>
        </w:rPr>
        <w:t>3</w:t>
      </w:r>
      <w:r>
        <w:rPr>
          <w:b/>
          <w:bCs/>
        </w:rPr>
        <w:tab/>
      </w:r>
      <w:r w:rsidR="00DF3BDA">
        <w:rPr>
          <w:b/>
          <w:bCs/>
        </w:rPr>
        <w:t>People arranging for residential building work must comply</w:t>
      </w:r>
      <w:r w:rsidR="002801BB">
        <w:rPr>
          <w:b/>
          <w:bCs/>
        </w:rPr>
        <w:br/>
      </w:r>
      <w:r w:rsidR="00DF3BDA">
        <w:rPr>
          <w:b/>
          <w:bCs/>
        </w:rPr>
        <w:t>with code of practice—Act, s 117 (1) (b)</w:t>
      </w:r>
    </w:p>
    <w:p w14:paraId="528025AE" w14:textId="4877E219" w:rsidR="00821D81" w:rsidRDefault="00BB0D1B" w:rsidP="00821D81">
      <w:pPr>
        <w:pStyle w:val="Style1"/>
        <w:numPr>
          <w:ilvl w:val="0"/>
          <w:numId w:val="0"/>
        </w:numPr>
        <w:spacing w:before="240" w:after="240"/>
      </w:pPr>
      <w:r>
        <w:t xml:space="preserve">This clause </w:t>
      </w:r>
      <w:r w:rsidR="00B14CBB">
        <w:t>broadens the operation of the</w:t>
      </w:r>
      <w:r>
        <w:t xml:space="preserve"> code of practice</w:t>
      </w:r>
      <w:r w:rsidR="00B14CBB">
        <w:t xml:space="preserve"> to cover</w:t>
      </w:r>
      <w:r>
        <w:t xml:space="preserve"> all people undertaking work on regulated residential buildings</w:t>
      </w:r>
      <w:r w:rsidR="00B14CBB">
        <w:t xml:space="preserve">, not just </w:t>
      </w:r>
      <w:r w:rsidR="003305AD">
        <w:t xml:space="preserve">licenced </w:t>
      </w:r>
      <w:r w:rsidR="00B14CBB">
        <w:t>property developers</w:t>
      </w:r>
      <w:r>
        <w:t>. This includes Territory-owned entities that are otherwise exempt from requiring a property developer licence.</w:t>
      </w:r>
      <w:r w:rsidR="00B14CBB">
        <w:t xml:space="preserve"> This means that all people building regulated residential properties must operate to the industry best practice standards of behaviour.</w:t>
      </w:r>
    </w:p>
    <w:p w14:paraId="083EF017" w14:textId="2D8549F8" w:rsidR="008B1C64" w:rsidRPr="00645711" w:rsidRDefault="008B1C64" w:rsidP="00645711">
      <w:pPr>
        <w:pStyle w:val="longtitle"/>
        <w:shd w:val="clear" w:color="auto" w:fill="FFFFFF"/>
        <w:spacing w:after="120"/>
        <w:rPr>
          <w:b/>
          <w:bCs/>
          <w:color w:val="000000"/>
          <w:sz w:val="26"/>
          <w:szCs w:val="26"/>
        </w:rPr>
      </w:pPr>
      <w:r w:rsidRPr="00645711">
        <w:rPr>
          <w:b/>
          <w:bCs/>
          <w:color w:val="000000"/>
          <w:sz w:val="26"/>
          <w:szCs w:val="26"/>
        </w:rPr>
        <w:t xml:space="preserve">Part </w:t>
      </w:r>
      <w:r w:rsidR="00BB0D1B">
        <w:rPr>
          <w:b/>
          <w:bCs/>
          <w:color w:val="000000"/>
          <w:sz w:val="26"/>
          <w:szCs w:val="26"/>
        </w:rPr>
        <w:t>6</w:t>
      </w:r>
      <w:r w:rsidR="002801BB">
        <w:rPr>
          <w:b/>
          <w:bCs/>
          <w:color w:val="000000"/>
          <w:sz w:val="26"/>
          <w:szCs w:val="26"/>
        </w:rPr>
        <w:tab/>
      </w:r>
      <w:r w:rsidR="002801BB">
        <w:rPr>
          <w:b/>
          <w:bCs/>
          <w:color w:val="000000"/>
          <w:sz w:val="26"/>
          <w:szCs w:val="26"/>
        </w:rPr>
        <w:tab/>
      </w:r>
      <w:r w:rsidRPr="00645711">
        <w:rPr>
          <w:b/>
          <w:bCs/>
          <w:color w:val="000000"/>
          <w:sz w:val="26"/>
          <w:szCs w:val="26"/>
        </w:rPr>
        <w:t>Delayed amendment</w:t>
      </w:r>
    </w:p>
    <w:p w14:paraId="4D6A87A6" w14:textId="44A9588A" w:rsidR="008B1C64" w:rsidRPr="008B1C64" w:rsidRDefault="008B1C64" w:rsidP="00821D81">
      <w:pPr>
        <w:pStyle w:val="Style1"/>
        <w:numPr>
          <w:ilvl w:val="0"/>
          <w:numId w:val="0"/>
        </w:numPr>
        <w:spacing w:before="240" w:after="240"/>
        <w:rPr>
          <w:b/>
          <w:bCs/>
        </w:rPr>
      </w:pPr>
      <w:r>
        <w:rPr>
          <w:b/>
          <w:bCs/>
        </w:rPr>
        <w:t>Clause 1</w:t>
      </w:r>
      <w:r w:rsidR="00BB0D1B">
        <w:rPr>
          <w:b/>
          <w:bCs/>
        </w:rPr>
        <w:t>4</w:t>
      </w:r>
      <w:r>
        <w:rPr>
          <w:b/>
          <w:bCs/>
        </w:rPr>
        <w:tab/>
        <w:t>Legislation amended</w:t>
      </w:r>
      <w:r w:rsidR="00BB0D1B">
        <w:rPr>
          <w:b/>
          <w:bCs/>
        </w:rPr>
        <w:t>—pt 6</w:t>
      </w:r>
    </w:p>
    <w:p w14:paraId="6A744C4F" w14:textId="77777777" w:rsidR="003305AD" w:rsidRDefault="002801BB" w:rsidP="003305AD">
      <w:pPr>
        <w:pStyle w:val="Style1"/>
        <w:numPr>
          <w:ilvl w:val="0"/>
          <w:numId w:val="0"/>
        </w:numPr>
        <w:spacing w:before="240" w:after="240"/>
        <w:rPr>
          <w:rStyle w:val="CommentReference"/>
        </w:rPr>
      </w:pPr>
      <w:r>
        <w:t xml:space="preserve">This clause provides </w:t>
      </w:r>
      <w:r w:rsidR="008B1C64">
        <w:t>that</w:t>
      </w:r>
      <w:r w:rsidR="00BB0D1B">
        <w:t xml:space="preserve"> </w:t>
      </w:r>
      <w:r>
        <w:t>Part 6</w:t>
      </w:r>
      <w:r w:rsidR="00BB0D1B">
        <w:t xml:space="preserve"> of the </w:t>
      </w:r>
      <w:r w:rsidR="008B1C64">
        <w:t>regulation amends this regulation itself.</w:t>
      </w:r>
      <w:bookmarkStart w:id="2" w:name="_Hlk205810465"/>
    </w:p>
    <w:p w14:paraId="2515DE69" w14:textId="23E79399" w:rsidR="00BB0D1B" w:rsidRPr="003305AD" w:rsidRDefault="003305AD" w:rsidP="003305AD">
      <w:pPr>
        <w:pStyle w:val="Style1"/>
        <w:numPr>
          <w:ilvl w:val="0"/>
          <w:numId w:val="0"/>
        </w:numPr>
        <w:spacing w:before="240" w:after="240"/>
        <w:rPr>
          <w:b/>
          <w:bCs/>
        </w:rPr>
      </w:pPr>
      <w:r>
        <w:rPr>
          <w:b/>
          <w:bCs/>
        </w:rPr>
        <w:t>C</w:t>
      </w:r>
      <w:r w:rsidR="00BB0D1B">
        <w:rPr>
          <w:b/>
          <w:bCs/>
        </w:rPr>
        <w:t>lause 15</w:t>
      </w:r>
      <w:r w:rsidR="00BB0D1B">
        <w:rPr>
          <w:b/>
          <w:bCs/>
        </w:rPr>
        <w:tab/>
        <w:t xml:space="preserve">Section 8 (2), definition of </w:t>
      </w:r>
      <w:r w:rsidR="00BB0D1B">
        <w:rPr>
          <w:b/>
          <w:bCs/>
          <w:i/>
          <w:iCs/>
        </w:rPr>
        <w:t>off-the-plan contract</w:t>
      </w:r>
    </w:p>
    <w:p w14:paraId="6020FE90" w14:textId="21655261" w:rsidR="00D61C4F" w:rsidRPr="00645711" w:rsidRDefault="000001C9" w:rsidP="000001C9">
      <w:pPr>
        <w:pStyle w:val="NormalWeb"/>
        <w:shd w:val="clear" w:color="auto" w:fill="FFFFFF"/>
        <w:spacing w:after="120"/>
        <w:rPr>
          <w:rFonts w:cstheme="minorHAnsi"/>
        </w:rPr>
      </w:pPr>
      <w:r w:rsidRPr="00645711">
        <w:rPr>
          <w:rFonts w:cstheme="minorHAnsi"/>
        </w:rPr>
        <w:t xml:space="preserve">This clause is a consequential amendment to align the definition of </w:t>
      </w:r>
      <w:r>
        <w:rPr>
          <w:rFonts w:cstheme="minorHAnsi"/>
          <w:i/>
          <w:iCs/>
        </w:rPr>
        <w:t>off-the-plan contract</w:t>
      </w:r>
      <w:r>
        <w:rPr>
          <w:rFonts w:cstheme="minorHAnsi"/>
        </w:rPr>
        <w:t>.</w:t>
      </w:r>
      <w:r w:rsidR="0039436A">
        <w:rPr>
          <w:rFonts w:cstheme="minorHAnsi"/>
        </w:rPr>
        <w:t xml:space="preserve"> It has a delayed commencement to align with the commencement of Schedule 2 part 2.4 of the Act.</w:t>
      </w:r>
    </w:p>
    <w:bookmarkEnd w:id="2"/>
    <w:p w14:paraId="2E8FF3D7" w14:textId="31886A43" w:rsidR="000440F8" w:rsidRPr="00B5176F" w:rsidRDefault="000440F8" w:rsidP="0089786C">
      <w:pPr>
        <w:pStyle w:val="NormalWeb"/>
        <w:shd w:val="clear" w:color="auto" w:fill="FFFFFF"/>
        <w:spacing w:after="120"/>
        <w:rPr>
          <w:color w:val="000000"/>
        </w:rPr>
      </w:pPr>
    </w:p>
    <w:sectPr w:rsidR="000440F8" w:rsidRPr="00B5176F" w:rsidSect="00C1618B">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1DCD4" w14:textId="77777777" w:rsidR="00DC30B8" w:rsidRDefault="00DC30B8" w:rsidP="006815C9">
      <w:r>
        <w:separator/>
      </w:r>
    </w:p>
  </w:endnote>
  <w:endnote w:type="continuationSeparator" w:id="0">
    <w:p w14:paraId="52A5586D" w14:textId="77777777" w:rsidR="00DC30B8" w:rsidRDefault="00DC30B8" w:rsidP="00681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786A6" w14:textId="77777777" w:rsidR="00DB38FC" w:rsidRDefault="00DB38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C76B4" w14:textId="5BA033AB" w:rsidR="00091D34" w:rsidRPr="00DB38FC" w:rsidRDefault="00DB38FC" w:rsidP="00DB38FC">
    <w:pPr>
      <w:pStyle w:val="Footer"/>
      <w:jc w:val="center"/>
      <w:rPr>
        <w:rFonts w:cs="Arial"/>
        <w:sz w:val="14"/>
      </w:rPr>
    </w:pPr>
    <w:r w:rsidRPr="00DB38FC">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66367" w14:textId="77777777" w:rsidR="00DB38FC" w:rsidRDefault="00DB38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73A95" w14:textId="77777777" w:rsidR="00DC30B8" w:rsidRDefault="00DC30B8" w:rsidP="006815C9">
      <w:r>
        <w:separator/>
      </w:r>
    </w:p>
  </w:footnote>
  <w:footnote w:type="continuationSeparator" w:id="0">
    <w:p w14:paraId="762A33C5" w14:textId="77777777" w:rsidR="00DC30B8" w:rsidRDefault="00DC30B8" w:rsidP="006815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180B6" w14:textId="77777777" w:rsidR="00DB38FC" w:rsidRDefault="00DB38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D5F64" w14:textId="77777777" w:rsidR="00DB38FC" w:rsidRDefault="00DB38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AAACD" w14:textId="77777777" w:rsidR="00DB38FC" w:rsidRDefault="00DB38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A7C55E5"/>
    <w:multiLevelType w:val="hybridMultilevel"/>
    <w:tmpl w:val="D5B888E8"/>
    <w:lvl w:ilvl="0" w:tplc="9A6484B0">
      <w:numFmt w:val="bullet"/>
      <w:lvlText w:val=""/>
      <w:lvlJc w:val="left"/>
      <w:pPr>
        <w:ind w:left="477" w:hanging="358"/>
      </w:pPr>
      <w:rPr>
        <w:rFonts w:ascii="Symbol" w:eastAsia="Symbol" w:hAnsi="Symbol" w:cs="Symbol" w:hint="default"/>
        <w:b w:val="0"/>
        <w:bCs w:val="0"/>
        <w:i w:val="0"/>
        <w:iCs w:val="0"/>
        <w:w w:val="100"/>
        <w:sz w:val="24"/>
        <w:szCs w:val="24"/>
        <w:lang w:val="en-AU" w:eastAsia="en-US" w:bidi="ar-SA"/>
      </w:rPr>
    </w:lvl>
    <w:lvl w:ilvl="1" w:tplc="ECC4C692">
      <w:numFmt w:val="bullet"/>
      <w:lvlText w:val=""/>
      <w:lvlJc w:val="left"/>
      <w:pPr>
        <w:ind w:left="832" w:hanging="356"/>
      </w:pPr>
      <w:rPr>
        <w:rFonts w:ascii="Symbol" w:eastAsia="Symbol" w:hAnsi="Symbol" w:cs="Symbol" w:hint="default"/>
        <w:b w:val="0"/>
        <w:bCs w:val="0"/>
        <w:i w:val="0"/>
        <w:iCs w:val="0"/>
        <w:w w:val="100"/>
        <w:sz w:val="24"/>
        <w:szCs w:val="24"/>
        <w:lang w:val="en-AU" w:eastAsia="en-US" w:bidi="ar-SA"/>
      </w:rPr>
    </w:lvl>
    <w:lvl w:ilvl="2" w:tplc="4434F874">
      <w:numFmt w:val="bullet"/>
      <w:lvlText w:val="o"/>
      <w:lvlJc w:val="left"/>
      <w:pPr>
        <w:ind w:left="1560" w:hanging="358"/>
      </w:pPr>
      <w:rPr>
        <w:rFonts w:ascii="Courier New" w:eastAsia="Courier New" w:hAnsi="Courier New" w:cs="Courier New" w:hint="default"/>
        <w:b w:val="0"/>
        <w:bCs w:val="0"/>
        <w:i w:val="0"/>
        <w:iCs w:val="0"/>
        <w:w w:val="100"/>
        <w:sz w:val="24"/>
        <w:szCs w:val="24"/>
        <w:lang w:val="en-AU" w:eastAsia="en-US" w:bidi="ar-SA"/>
      </w:rPr>
    </w:lvl>
    <w:lvl w:ilvl="3" w:tplc="3F02B6E2">
      <w:numFmt w:val="bullet"/>
      <w:lvlText w:val="•"/>
      <w:lvlJc w:val="left"/>
      <w:pPr>
        <w:ind w:left="2525" w:hanging="358"/>
      </w:pPr>
      <w:rPr>
        <w:rFonts w:hint="default"/>
        <w:lang w:val="en-AU" w:eastAsia="en-US" w:bidi="ar-SA"/>
      </w:rPr>
    </w:lvl>
    <w:lvl w:ilvl="4" w:tplc="B4B86498">
      <w:numFmt w:val="bullet"/>
      <w:lvlText w:val="•"/>
      <w:lvlJc w:val="left"/>
      <w:pPr>
        <w:ind w:left="3491" w:hanging="358"/>
      </w:pPr>
      <w:rPr>
        <w:rFonts w:hint="default"/>
        <w:lang w:val="en-AU" w:eastAsia="en-US" w:bidi="ar-SA"/>
      </w:rPr>
    </w:lvl>
    <w:lvl w:ilvl="5" w:tplc="8B7C99E8">
      <w:numFmt w:val="bullet"/>
      <w:lvlText w:val="•"/>
      <w:lvlJc w:val="left"/>
      <w:pPr>
        <w:ind w:left="4457" w:hanging="358"/>
      </w:pPr>
      <w:rPr>
        <w:rFonts w:hint="default"/>
        <w:lang w:val="en-AU" w:eastAsia="en-US" w:bidi="ar-SA"/>
      </w:rPr>
    </w:lvl>
    <w:lvl w:ilvl="6" w:tplc="FB6E40A8">
      <w:numFmt w:val="bullet"/>
      <w:lvlText w:val="•"/>
      <w:lvlJc w:val="left"/>
      <w:pPr>
        <w:ind w:left="5423" w:hanging="358"/>
      </w:pPr>
      <w:rPr>
        <w:rFonts w:hint="default"/>
        <w:lang w:val="en-AU" w:eastAsia="en-US" w:bidi="ar-SA"/>
      </w:rPr>
    </w:lvl>
    <w:lvl w:ilvl="7" w:tplc="BBD8E5A6">
      <w:numFmt w:val="bullet"/>
      <w:lvlText w:val="•"/>
      <w:lvlJc w:val="left"/>
      <w:pPr>
        <w:ind w:left="6389" w:hanging="358"/>
      </w:pPr>
      <w:rPr>
        <w:rFonts w:hint="default"/>
        <w:lang w:val="en-AU" w:eastAsia="en-US" w:bidi="ar-SA"/>
      </w:rPr>
    </w:lvl>
    <w:lvl w:ilvl="8" w:tplc="9A82012A">
      <w:numFmt w:val="bullet"/>
      <w:lvlText w:val="•"/>
      <w:lvlJc w:val="left"/>
      <w:pPr>
        <w:ind w:left="7354" w:hanging="358"/>
      </w:pPr>
      <w:rPr>
        <w:rFonts w:hint="default"/>
        <w:lang w:val="en-AU" w:eastAsia="en-US" w:bidi="ar-SA"/>
      </w:rPr>
    </w:lvl>
  </w:abstractNum>
  <w:abstractNum w:abstractNumId="4"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51A10FF"/>
    <w:multiLevelType w:val="hybridMultilevel"/>
    <w:tmpl w:val="AB265670"/>
    <w:lvl w:ilvl="0" w:tplc="0C090019">
      <w:start w:val="1"/>
      <w:numFmt w:val="lowerLetter"/>
      <w:lvlText w:val="%1."/>
      <w:lvlJc w:val="left"/>
      <w:pPr>
        <w:ind w:left="1440" w:hanging="72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266D5EF5"/>
    <w:multiLevelType w:val="hybridMultilevel"/>
    <w:tmpl w:val="AB265670"/>
    <w:lvl w:ilvl="0" w:tplc="FFFFFFFF">
      <w:start w:val="1"/>
      <w:numFmt w:val="lowerLetter"/>
      <w:lvlText w:val="%1."/>
      <w:lvlJc w:val="left"/>
      <w:pPr>
        <w:ind w:left="1440" w:hanging="72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79C3EFA"/>
    <w:multiLevelType w:val="hybridMultilevel"/>
    <w:tmpl w:val="8E02852C"/>
    <w:lvl w:ilvl="0" w:tplc="34367610">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0D924C8"/>
    <w:multiLevelType w:val="hybridMultilevel"/>
    <w:tmpl w:val="5DBEDB40"/>
    <w:lvl w:ilvl="0" w:tplc="34147378">
      <w:start w:val="1"/>
      <w:numFmt w:val="bullet"/>
      <w:pStyle w:val="Style1"/>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10" w15:restartNumberingAfterBreak="0">
    <w:nsid w:val="34555B73"/>
    <w:multiLevelType w:val="hybridMultilevel"/>
    <w:tmpl w:val="25EAFD3E"/>
    <w:lvl w:ilvl="0" w:tplc="C0982C78">
      <w:start w:val="1"/>
      <w:numFmt w:val="decimal"/>
      <w:lvlText w:val="%1."/>
      <w:lvlJc w:val="left"/>
      <w:pPr>
        <w:ind w:left="832" w:hanging="356"/>
      </w:pPr>
      <w:rPr>
        <w:rFonts w:ascii="Arial" w:eastAsia="Arial" w:hAnsi="Arial" w:cs="Arial" w:hint="default"/>
        <w:b w:val="0"/>
        <w:bCs w:val="0"/>
        <w:i w:val="0"/>
        <w:iCs w:val="0"/>
        <w:w w:val="100"/>
        <w:sz w:val="24"/>
        <w:szCs w:val="24"/>
        <w:lang w:val="en-AU" w:eastAsia="en-US" w:bidi="ar-SA"/>
      </w:rPr>
    </w:lvl>
    <w:lvl w:ilvl="1" w:tplc="5A6AFA48">
      <w:start w:val="1"/>
      <w:numFmt w:val="lowerLetter"/>
      <w:lvlText w:val="%2."/>
      <w:lvlJc w:val="left"/>
      <w:pPr>
        <w:ind w:left="904" w:hanging="360"/>
      </w:pPr>
      <w:rPr>
        <w:rFonts w:ascii="Arial" w:eastAsia="Arial" w:hAnsi="Arial" w:cs="Arial" w:hint="default"/>
        <w:b w:val="0"/>
        <w:bCs w:val="0"/>
        <w:i w:val="0"/>
        <w:iCs w:val="0"/>
        <w:w w:val="100"/>
        <w:sz w:val="24"/>
        <w:szCs w:val="24"/>
        <w:lang w:val="en-AU" w:eastAsia="en-US" w:bidi="ar-SA"/>
      </w:rPr>
    </w:lvl>
    <w:lvl w:ilvl="2" w:tplc="37621F30">
      <w:numFmt w:val="bullet"/>
      <w:lvlText w:val="•"/>
      <w:lvlJc w:val="left"/>
      <w:pPr>
        <w:ind w:left="1831" w:hanging="360"/>
      </w:pPr>
      <w:rPr>
        <w:rFonts w:hint="default"/>
        <w:lang w:val="en-AU" w:eastAsia="en-US" w:bidi="ar-SA"/>
      </w:rPr>
    </w:lvl>
    <w:lvl w:ilvl="3" w:tplc="FB0A47CE">
      <w:numFmt w:val="bullet"/>
      <w:lvlText w:val="•"/>
      <w:lvlJc w:val="left"/>
      <w:pPr>
        <w:ind w:left="2763" w:hanging="360"/>
      </w:pPr>
      <w:rPr>
        <w:rFonts w:hint="default"/>
        <w:lang w:val="en-AU" w:eastAsia="en-US" w:bidi="ar-SA"/>
      </w:rPr>
    </w:lvl>
    <w:lvl w:ilvl="4" w:tplc="FB0C9D5E">
      <w:numFmt w:val="bullet"/>
      <w:lvlText w:val="•"/>
      <w:lvlJc w:val="left"/>
      <w:pPr>
        <w:ind w:left="3695" w:hanging="360"/>
      </w:pPr>
      <w:rPr>
        <w:rFonts w:hint="default"/>
        <w:lang w:val="en-AU" w:eastAsia="en-US" w:bidi="ar-SA"/>
      </w:rPr>
    </w:lvl>
    <w:lvl w:ilvl="5" w:tplc="B3BCAF98">
      <w:numFmt w:val="bullet"/>
      <w:lvlText w:val="•"/>
      <w:lvlJc w:val="left"/>
      <w:pPr>
        <w:ind w:left="4627" w:hanging="360"/>
      </w:pPr>
      <w:rPr>
        <w:rFonts w:hint="default"/>
        <w:lang w:val="en-AU" w:eastAsia="en-US" w:bidi="ar-SA"/>
      </w:rPr>
    </w:lvl>
    <w:lvl w:ilvl="6" w:tplc="D13EF0C2">
      <w:numFmt w:val="bullet"/>
      <w:lvlText w:val="•"/>
      <w:lvlJc w:val="left"/>
      <w:pPr>
        <w:ind w:left="5559" w:hanging="360"/>
      </w:pPr>
      <w:rPr>
        <w:rFonts w:hint="default"/>
        <w:lang w:val="en-AU" w:eastAsia="en-US" w:bidi="ar-SA"/>
      </w:rPr>
    </w:lvl>
    <w:lvl w:ilvl="7" w:tplc="E35863AE">
      <w:numFmt w:val="bullet"/>
      <w:lvlText w:val="•"/>
      <w:lvlJc w:val="left"/>
      <w:pPr>
        <w:ind w:left="6490" w:hanging="360"/>
      </w:pPr>
      <w:rPr>
        <w:rFonts w:hint="default"/>
        <w:lang w:val="en-AU" w:eastAsia="en-US" w:bidi="ar-SA"/>
      </w:rPr>
    </w:lvl>
    <w:lvl w:ilvl="8" w:tplc="70E0A724">
      <w:numFmt w:val="bullet"/>
      <w:lvlText w:val="•"/>
      <w:lvlJc w:val="left"/>
      <w:pPr>
        <w:ind w:left="7422" w:hanging="360"/>
      </w:pPr>
      <w:rPr>
        <w:rFonts w:hint="default"/>
        <w:lang w:val="en-AU" w:eastAsia="en-US" w:bidi="ar-SA"/>
      </w:rPr>
    </w:lvl>
  </w:abstractNum>
  <w:abstractNum w:abstractNumId="11" w15:restartNumberingAfterBreak="0">
    <w:nsid w:val="361F1042"/>
    <w:multiLevelType w:val="hybridMultilevel"/>
    <w:tmpl w:val="C2863F52"/>
    <w:lvl w:ilvl="0" w:tplc="34367610">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13"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4" w15:restartNumberingAfterBreak="0">
    <w:nsid w:val="39885083"/>
    <w:multiLevelType w:val="hybridMultilevel"/>
    <w:tmpl w:val="F586A21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5" w15:restartNumberingAfterBreak="0">
    <w:nsid w:val="3A94036A"/>
    <w:multiLevelType w:val="hybridMultilevel"/>
    <w:tmpl w:val="4000B5AC"/>
    <w:lvl w:ilvl="0" w:tplc="267E124C">
      <w:start w:val="1"/>
      <w:numFmt w:val="lowerLetter"/>
      <w:lvlText w:val="%1."/>
      <w:lvlJc w:val="left"/>
      <w:pPr>
        <w:ind w:left="904" w:hanging="360"/>
      </w:pPr>
      <w:rPr>
        <w:rFonts w:ascii="Arial" w:eastAsia="Arial" w:hAnsi="Arial" w:cs="Arial" w:hint="default"/>
        <w:b w:val="0"/>
        <w:bCs w:val="0"/>
        <w:i w:val="0"/>
        <w:iCs w:val="0"/>
        <w:w w:val="100"/>
        <w:sz w:val="24"/>
        <w:szCs w:val="24"/>
        <w:lang w:val="en-AU" w:eastAsia="en-US" w:bidi="ar-SA"/>
      </w:rPr>
    </w:lvl>
    <w:lvl w:ilvl="1" w:tplc="3C86409C">
      <w:numFmt w:val="bullet"/>
      <w:lvlText w:val="•"/>
      <w:lvlJc w:val="left"/>
      <w:pPr>
        <w:ind w:left="1738" w:hanging="360"/>
      </w:pPr>
      <w:rPr>
        <w:rFonts w:hint="default"/>
        <w:lang w:val="en-AU" w:eastAsia="en-US" w:bidi="ar-SA"/>
      </w:rPr>
    </w:lvl>
    <w:lvl w:ilvl="2" w:tplc="263A094C">
      <w:numFmt w:val="bullet"/>
      <w:lvlText w:val="•"/>
      <w:lvlJc w:val="left"/>
      <w:pPr>
        <w:ind w:left="2577" w:hanging="360"/>
      </w:pPr>
      <w:rPr>
        <w:rFonts w:hint="default"/>
        <w:lang w:val="en-AU" w:eastAsia="en-US" w:bidi="ar-SA"/>
      </w:rPr>
    </w:lvl>
    <w:lvl w:ilvl="3" w:tplc="EFD0B7E2">
      <w:numFmt w:val="bullet"/>
      <w:lvlText w:val="•"/>
      <w:lvlJc w:val="left"/>
      <w:pPr>
        <w:ind w:left="3415" w:hanging="360"/>
      </w:pPr>
      <w:rPr>
        <w:rFonts w:hint="default"/>
        <w:lang w:val="en-AU" w:eastAsia="en-US" w:bidi="ar-SA"/>
      </w:rPr>
    </w:lvl>
    <w:lvl w:ilvl="4" w:tplc="E2383532">
      <w:numFmt w:val="bullet"/>
      <w:lvlText w:val="•"/>
      <w:lvlJc w:val="left"/>
      <w:pPr>
        <w:ind w:left="4254" w:hanging="360"/>
      </w:pPr>
      <w:rPr>
        <w:rFonts w:hint="default"/>
        <w:lang w:val="en-AU" w:eastAsia="en-US" w:bidi="ar-SA"/>
      </w:rPr>
    </w:lvl>
    <w:lvl w:ilvl="5" w:tplc="1EB8BAA4">
      <w:numFmt w:val="bullet"/>
      <w:lvlText w:val="•"/>
      <w:lvlJc w:val="left"/>
      <w:pPr>
        <w:ind w:left="5093" w:hanging="360"/>
      </w:pPr>
      <w:rPr>
        <w:rFonts w:hint="default"/>
        <w:lang w:val="en-AU" w:eastAsia="en-US" w:bidi="ar-SA"/>
      </w:rPr>
    </w:lvl>
    <w:lvl w:ilvl="6" w:tplc="B928CEE4">
      <w:numFmt w:val="bullet"/>
      <w:lvlText w:val="•"/>
      <w:lvlJc w:val="left"/>
      <w:pPr>
        <w:ind w:left="5931" w:hanging="360"/>
      </w:pPr>
      <w:rPr>
        <w:rFonts w:hint="default"/>
        <w:lang w:val="en-AU" w:eastAsia="en-US" w:bidi="ar-SA"/>
      </w:rPr>
    </w:lvl>
    <w:lvl w:ilvl="7" w:tplc="ADEA54BA">
      <w:numFmt w:val="bullet"/>
      <w:lvlText w:val="•"/>
      <w:lvlJc w:val="left"/>
      <w:pPr>
        <w:ind w:left="6770" w:hanging="360"/>
      </w:pPr>
      <w:rPr>
        <w:rFonts w:hint="default"/>
        <w:lang w:val="en-AU" w:eastAsia="en-US" w:bidi="ar-SA"/>
      </w:rPr>
    </w:lvl>
    <w:lvl w:ilvl="8" w:tplc="E7F41D04">
      <w:numFmt w:val="bullet"/>
      <w:lvlText w:val="•"/>
      <w:lvlJc w:val="left"/>
      <w:pPr>
        <w:ind w:left="7609" w:hanging="360"/>
      </w:pPr>
      <w:rPr>
        <w:rFonts w:hint="default"/>
        <w:lang w:val="en-AU" w:eastAsia="en-US" w:bidi="ar-SA"/>
      </w:rPr>
    </w:lvl>
  </w:abstractNum>
  <w:abstractNum w:abstractNumId="16" w15:restartNumberingAfterBreak="0">
    <w:nsid w:val="55A84E20"/>
    <w:multiLevelType w:val="hybridMultilevel"/>
    <w:tmpl w:val="D458DEA2"/>
    <w:lvl w:ilvl="0" w:tplc="8BBE69FE">
      <w:start w:val="1"/>
      <w:numFmt w:val="lowerLetter"/>
      <w:lvlText w:val="%1."/>
      <w:lvlJc w:val="left"/>
      <w:pPr>
        <w:ind w:left="720" w:hanging="360"/>
      </w:pPr>
      <w:rPr>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63454CF"/>
    <w:multiLevelType w:val="multilevel"/>
    <w:tmpl w:val="B3E87D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18" w15:restartNumberingAfterBreak="0">
    <w:nsid w:val="5A6945DC"/>
    <w:multiLevelType w:val="hybridMultilevel"/>
    <w:tmpl w:val="AB6E0DDE"/>
    <w:lvl w:ilvl="0" w:tplc="673264FE">
      <w:numFmt w:val="bullet"/>
      <w:lvlText w:val=""/>
      <w:lvlJc w:val="left"/>
      <w:pPr>
        <w:ind w:left="840" w:hanging="360"/>
      </w:pPr>
      <w:rPr>
        <w:rFonts w:ascii="Symbol" w:eastAsia="Symbol" w:hAnsi="Symbol" w:cs="Symbol" w:hint="default"/>
        <w:b w:val="0"/>
        <w:bCs w:val="0"/>
        <w:i w:val="0"/>
        <w:iCs w:val="0"/>
        <w:w w:val="100"/>
        <w:sz w:val="24"/>
        <w:szCs w:val="24"/>
        <w:lang w:val="en-AU" w:eastAsia="en-US" w:bidi="ar-SA"/>
      </w:rPr>
    </w:lvl>
    <w:lvl w:ilvl="1" w:tplc="031A4F38">
      <w:numFmt w:val="bullet"/>
      <w:lvlText w:val="•"/>
      <w:lvlJc w:val="left"/>
      <w:pPr>
        <w:ind w:left="1684" w:hanging="360"/>
      </w:pPr>
      <w:rPr>
        <w:rFonts w:hint="default"/>
        <w:lang w:val="en-AU" w:eastAsia="en-US" w:bidi="ar-SA"/>
      </w:rPr>
    </w:lvl>
    <w:lvl w:ilvl="2" w:tplc="87068A38">
      <w:numFmt w:val="bullet"/>
      <w:lvlText w:val="•"/>
      <w:lvlJc w:val="left"/>
      <w:pPr>
        <w:ind w:left="2529" w:hanging="360"/>
      </w:pPr>
      <w:rPr>
        <w:rFonts w:hint="default"/>
        <w:lang w:val="en-AU" w:eastAsia="en-US" w:bidi="ar-SA"/>
      </w:rPr>
    </w:lvl>
    <w:lvl w:ilvl="3" w:tplc="23C0EA34">
      <w:numFmt w:val="bullet"/>
      <w:lvlText w:val="•"/>
      <w:lvlJc w:val="left"/>
      <w:pPr>
        <w:ind w:left="3373" w:hanging="360"/>
      </w:pPr>
      <w:rPr>
        <w:rFonts w:hint="default"/>
        <w:lang w:val="en-AU" w:eastAsia="en-US" w:bidi="ar-SA"/>
      </w:rPr>
    </w:lvl>
    <w:lvl w:ilvl="4" w:tplc="6EE6CAAC">
      <w:numFmt w:val="bullet"/>
      <w:lvlText w:val="•"/>
      <w:lvlJc w:val="left"/>
      <w:pPr>
        <w:ind w:left="4218" w:hanging="360"/>
      </w:pPr>
      <w:rPr>
        <w:rFonts w:hint="default"/>
        <w:lang w:val="en-AU" w:eastAsia="en-US" w:bidi="ar-SA"/>
      </w:rPr>
    </w:lvl>
    <w:lvl w:ilvl="5" w:tplc="A4A83D66">
      <w:numFmt w:val="bullet"/>
      <w:lvlText w:val="•"/>
      <w:lvlJc w:val="left"/>
      <w:pPr>
        <w:ind w:left="5063" w:hanging="360"/>
      </w:pPr>
      <w:rPr>
        <w:rFonts w:hint="default"/>
        <w:lang w:val="en-AU" w:eastAsia="en-US" w:bidi="ar-SA"/>
      </w:rPr>
    </w:lvl>
    <w:lvl w:ilvl="6" w:tplc="DE40C372">
      <w:numFmt w:val="bullet"/>
      <w:lvlText w:val="•"/>
      <w:lvlJc w:val="left"/>
      <w:pPr>
        <w:ind w:left="5907" w:hanging="360"/>
      </w:pPr>
      <w:rPr>
        <w:rFonts w:hint="default"/>
        <w:lang w:val="en-AU" w:eastAsia="en-US" w:bidi="ar-SA"/>
      </w:rPr>
    </w:lvl>
    <w:lvl w:ilvl="7" w:tplc="672212DE">
      <w:numFmt w:val="bullet"/>
      <w:lvlText w:val="•"/>
      <w:lvlJc w:val="left"/>
      <w:pPr>
        <w:ind w:left="6752" w:hanging="360"/>
      </w:pPr>
      <w:rPr>
        <w:rFonts w:hint="default"/>
        <w:lang w:val="en-AU" w:eastAsia="en-US" w:bidi="ar-SA"/>
      </w:rPr>
    </w:lvl>
    <w:lvl w:ilvl="8" w:tplc="3944453C">
      <w:numFmt w:val="bullet"/>
      <w:lvlText w:val="•"/>
      <w:lvlJc w:val="left"/>
      <w:pPr>
        <w:ind w:left="7597" w:hanging="360"/>
      </w:pPr>
      <w:rPr>
        <w:rFonts w:hint="default"/>
        <w:lang w:val="en-AU" w:eastAsia="en-US" w:bidi="ar-SA"/>
      </w:rPr>
    </w:lvl>
  </w:abstractNum>
  <w:abstractNum w:abstractNumId="19" w15:restartNumberingAfterBreak="0">
    <w:nsid w:val="5B00638E"/>
    <w:multiLevelType w:val="hybridMultilevel"/>
    <w:tmpl w:val="18E8F6EE"/>
    <w:lvl w:ilvl="0" w:tplc="CFB28628">
      <w:start w:val="1"/>
      <w:numFmt w:val="lowerLetter"/>
      <w:lvlText w:val="%1."/>
      <w:lvlJc w:val="left"/>
      <w:pPr>
        <w:ind w:left="904" w:hanging="360"/>
      </w:pPr>
      <w:rPr>
        <w:rFonts w:ascii="Times New Roman" w:eastAsia="Arial" w:hAnsi="Times New Roman" w:cs="Times New Roman" w:hint="default"/>
        <w:b w:val="0"/>
        <w:bCs w:val="0"/>
        <w:i w:val="0"/>
        <w:iCs w:val="0"/>
        <w:w w:val="100"/>
        <w:sz w:val="24"/>
        <w:szCs w:val="24"/>
        <w:lang w:val="en-AU" w:eastAsia="en-US" w:bidi="ar-SA"/>
      </w:rPr>
    </w:lvl>
    <w:lvl w:ilvl="1" w:tplc="31CCD440">
      <w:numFmt w:val="bullet"/>
      <w:lvlText w:val="•"/>
      <w:lvlJc w:val="left"/>
      <w:pPr>
        <w:ind w:left="1738" w:hanging="360"/>
      </w:pPr>
      <w:rPr>
        <w:rFonts w:hint="default"/>
        <w:lang w:val="en-AU" w:eastAsia="en-US" w:bidi="ar-SA"/>
      </w:rPr>
    </w:lvl>
    <w:lvl w:ilvl="2" w:tplc="54E2F600">
      <w:numFmt w:val="bullet"/>
      <w:lvlText w:val="•"/>
      <w:lvlJc w:val="left"/>
      <w:pPr>
        <w:ind w:left="2577" w:hanging="360"/>
      </w:pPr>
      <w:rPr>
        <w:rFonts w:hint="default"/>
        <w:lang w:val="en-AU" w:eastAsia="en-US" w:bidi="ar-SA"/>
      </w:rPr>
    </w:lvl>
    <w:lvl w:ilvl="3" w:tplc="FF2A8686">
      <w:numFmt w:val="bullet"/>
      <w:lvlText w:val="•"/>
      <w:lvlJc w:val="left"/>
      <w:pPr>
        <w:ind w:left="3415" w:hanging="360"/>
      </w:pPr>
      <w:rPr>
        <w:rFonts w:hint="default"/>
        <w:lang w:val="en-AU" w:eastAsia="en-US" w:bidi="ar-SA"/>
      </w:rPr>
    </w:lvl>
    <w:lvl w:ilvl="4" w:tplc="3B245610">
      <w:numFmt w:val="bullet"/>
      <w:lvlText w:val="•"/>
      <w:lvlJc w:val="left"/>
      <w:pPr>
        <w:ind w:left="4254" w:hanging="360"/>
      </w:pPr>
      <w:rPr>
        <w:rFonts w:hint="default"/>
        <w:lang w:val="en-AU" w:eastAsia="en-US" w:bidi="ar-SA"/>
      </w:rPr>
    </w:lvl>
    <w:lvl w:ilvl="5" w:tplc="17686156">
      <w:numFmt w:val="bullet"/>
      <w:lvlText w:val="•"/>
      <w:lvlJc w:val="left"/>
      <w:pPr>
        <w:ind w:left="5093" w:hanging="360"/>
      </w:pPr>
      <w:rPr>
        <w:rFonts w:hint="default"/>
        <w:lang w:val="en-AU" w:eastAsia="en-US" w:bidi="ar-SA"/>
      </w:rPr>
    </w:lvl>
    <w:lvl w:ilvl="6" w:tplc="B55E7CBC">
      <w:numFmt w:val="bullet"/>
      <w:lvlText w:val="•"/>
      <w:lvlJc w:val="left"/>
      <w:pPr>
        <w:ind w:left="5931" w:hanging="360"/>
      </w:pPr>
      <w:rPr>
        <w:rFonts w:hint="default"/>
        <w:lang w:val="en-AU" w:eastAsia="en-US" w:bidi="ar-SA"/>
      </w:rPr>
    </w:lvl>
    <w:lvl w:ilvl="7" w:tplc="AD9A653E">
      <w:numFmt w:val="bullet"/>
      <w:lvlText w:val="•"/>
      <w:lvlJc w:val="left"/>
      <w:pPr>
        <w:ind w:left="6770" w:hanging="360"/>
      </w:pPr>
      <w:rPr>
        <w:rFonts w:hint="default"/>
        <w:lang w:val="en-AU" w:eastAsia="en-US" w:bidi="ar-SA"/>
      </w:rPr>
    </w:lvl>
    <w:lvl w:ilvl="8" w:tplc="5D7A78C0">
      <w:numFmt w:val="bullet"/>
      <w:lvlText w:val="•"/>
      <w:lvlJc w:val="left"/>
      <w:pPr>
        <w:ind w:left="7609" w:hanging="360"/>
      </w:pPr>
      <w:rPr>
        <w:rFonts w:hint="default"/>
        <w:lang w:val="en-AU" w:eastAsia="en-US" w:bidi="ar-SA"/>
      </w:rPr>
    </w:lvl>
  </w:abstractNum>
  <w:abstractNum w:abstractNumId="20" w15:restartNumberingAfterBreak="0">
    <w:nsid w:val="5D554D87"/>
    <w:multiLevelType w:val="hybridMultilevel"/>
    <w:tmpl w:val="4F2E0782"/>
    <w:lvl w:ilvl="0" w:tplc="2BB2B854">
      <w:start w:val="1"/>
      <w:numFmt w:val="decimal"/>
      <w:lvlText w:val="%1."/>
      <w:lvlJc w:val="left"/>
      <w:pPr>
        <w:ind w:left="720" w:hanging="72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610D7394"/>
    <w:multiLevelType w:val="hybridMultilevel"/>
    <w:tmpl w:val="A4E467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9C60C18"/>
    <w:multiLevelType w:val="hybridMultilevel"/>
    <w:tmpl w:val="82381A84"/>
    <w:lvl w:ilvl="0" w:tplc="F3EE7B1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CFD66C1"/>
    <w:multiLevelType w:val="hybridMultilevel"/>
    <w:tmpl w:val="3B04568A"/>
    <w:lvl w:ilvl="0" w:tplc="FFFFFFFF">
      <w:start w:val="1"/>
      <w:numFmt w:val="lowerLetter"/>
      <w:lvlText w:val="%1."/>
      <w:lvlJc w:val="left"/>
      <w:pPr>
        <w:ind w:left="1440" w:hanging="720"/>
      </w:pPr>
      <w:rPr>
        <w:rFonts w:hint="default"/>
      </w:rPr>
    </w:lvl>
    <w:lvl w:ilvl="1" w:tplc="0C09001B">
      <w:start w:val="1"/>
      <w:numFmt w:val="lowerRoman"/>
      <w:lvlText w:val="%2."/>
      <w:lvlJc w:val="righ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16cid:durableId="255020478">
    <w:abstractNumId w:val="2"/>
  </w:num>
  <w:num w:numId="2" w16cid:durableId="2106882723">
    <w:abstractNumId w:val="0"/>
  </w:num>
  <w:num w:numId="3" w16cid:durableId="747579944">
    <w:abstractNumId w:val="4"/>
  </w:num>
  <w:num w:numId="4" w16cid:durableId="1337804231">
    <w:abstractNumId w:val="13"/>
  </w:num>
  <w:num w:numId="5" w16cid:durableId="576747935">
    <w:abstractNumId w:val="24"/>
  </w:num>
  <w:num w:numId="6" w16cid:durableId="2001494507">
    <w:abstractNumId w:val="1"/>
  </w:num>
  <w:num w:numId="7" w16cid:durableId="670568196">
    <w:abstractNumId w:val="9"/>
  </w:num>
  <w:num w:numId="8" w16cid:durableId="1782456229">
    <w:abstractNumId w:val="12"/>
  </w:num>
  <w:num w:numId="9" w16cid:durableId="371270287">
    <w:abstractNumId w:val="17"/>
  </w:num>
  <w:num w:numId="10" w16cid:durableId="2077313484">
    <w:abstractNumId w:val="16"/>
  </w:num>
  <w:num w:numId="11" w16cid:durableId="714231735">
    <w:abstractNumId w:val="21"/>
  </w:num>
  <w:num w:numId="12" w16cid:durableId="347558798">
    <w:abstractNumId w:val="18"/>
  </w:num>
  <w:num w:numId="13" w16cid:durableId="8969414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36802801">
    <w:abstractNumId w:val="20"/>
  </w:num>
  <w:num w:numId="15" w16cid:durableId="1957171012">
    <w:abstractNumId w:val="19"/>
  </w:num>
  <w:num w:numId="16" w16cid:durableId="1818959204">
    <w:abstractNumId w:val="14"/>
  </w:num>
  <w:num w:numId="17" w16cid:durableId="1157303498">
    <w:abstractNumId w:val="5"/>
  </w:num>
  <w:num w:numId="18" w16cid:durableId="1765347249">
    <w:abstractNumId w:val="3"/>
  </w:num>
  <w:num w:numId="19" w16cid:durableId="978725052">
    <w:abstractNumId w:val="15"/>
  </w:num>
  <w:num w:numId="20" w16cid:durableId="2089616082">
    <w:abstractNumId w:val="10"/>
  </w:num>
  <w:num w:numId="21" w16cid:durableId="438835667">
    <w:abstractNumId w:val="6"/>
  </w:num>
  <w:num w:numId="22" w16cid:durableId="929848229">
    <w:abstractNumId w:val="23"/>
  </w:num>
  <w:num w:numId="23" w16cid:durableId="11690291">
    <w:abstractNumId w:val="11"/>
  </w:num>
  <w:num w:numId="24" w16cid:durableId="1849708059">
    <w:abstractNumId w:val="7"/>
  </w:num>
  <w:num w:numId="25" w16cid:durableId="969677115">
    <w:abstractNumId w:val="8"/>
  </w:num>
  <w:num w:numId="26" w16cid:durableId="880091267">
    <w:abstractNumId w:val="8"/>
  </w:num>
  <w:num w:numId="27" w16cid:durableId="2136632226">
    <w:abstractNumId w:val="22"/>
  </w:num>
  <w:num w:numId="28" w16cid:durableId="14112695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71D"/>
    <w:rsid w:val="000001C9"/>
    <w:rsid w:val="000115F6"/>
    <w:rsid w:val="00011FD8"/>
    <w:rsid w:val="00040E22"/>
    <w:rsid w:val="000440F8"/>
    <w:rsid w:val="000630F0"/>
    <w:rsid w:val="00067667"/>
    <w:rsid w:val="000753CD"/>
    <w:rsid w:val="00090125"/>
    <w:rsid w:val="00091D34"/>
    <w:rsid w:val="000A1102"/>
    <w:rsid w:val="000A718C"/>
    <w:rsid w:val="000B6B20"/>
    <w:rsid w:val="000C702B"/>
    <w:rsid w:val="000E62E2"/>
    <w:rsid w:val="001104DC"/>
    <w:rsid w:val="00111FAF"/>
    <w:rsid w:val="00117480"/>
    <w:rsid w:val="001222A4"/>
    <w:rsid w:val="001319BC"/>
    <w:rsid w:val="001351E8"/>
    <w:rsid w:val="00142DE2"/>
    <w:rsid w:val="0015155C"/>
    <w:rsid w:val="00172170"/>
    <w:rsid w:val="00173D06"/>
    <w:rsid w:val="00176C38"/>
    <w:rsid w:val="001773C7"/>
    <w:rsid w:val="0018406A"/>
    <w:rsid w:val="00192A8C"/>
    <w:rsid w:val="00195B01"/>
    <w:rsid w:val="001A69A7"/>
    <w:rsid w:val="001C6915"/>
    <w:rsid w:val="001D4A34"/>
    <w:rsid w:val="001E5369"/>
    <w:rsid w:val="001F7C4D"/>
    <w:rsid w:val="00202DE3"/>
    <w:rsid w:val="002052C4"/>
    <w:rsid w:val="0021737C"/>
    <w:rsid w:val="00227336"/>
    <w:rsid w:val="0024105F"/>
    <w:rsid w:val="002416EE"/>
    <w:rsid w:val="00247AD8"/>
    <w:rsid w:val="002577FD"/>
    <w:rsid w:val="0027076D"/>
    <w:rsid w:val="00274278"/>
    <w:rsid w:val="002801BB"/>
    <w:rsid w:val="00281204"/>
    <w:rsid w:val="0028129F"/>
    <w:rsid w:val="00282E7A"/>
    <w:rsid w:val="00287405"/>
    <w:rsid w:val="002912DD"/>
    <w:rsid w:val="00292AE1"/>
    <w:rsid w:val="002B03A9"/>
    <w:rsid w:val="002B0AFB"/>
    <w:rsid w:val="002B504F"/>
    <w:rsid w:val="002B6C74"/>
    <w:rsid w:val="002C4655"/>
    <w:rsid w:val="002E1B32"/>
    <w:rsid w:val="002E27F7"/>
    <w:rsid w:val="002E597D"/>
    <w:rsid w:val="002E6F28"/>
    <w:rsid w:val="002F1264"/>
    <w:rsid w:val="002F3152"/>
    <w:rsid w:val="00304917"/>
    <w:rsid w:val="0031124F"/>
    <w:rsid w:val="0032639C"/>
    <w:rsid w:val="003305AD"/>
    <w:rsid w:val="00335395"/>
    <w:rsid w:val="00354208"/>
    <w:rsid w:val="00355CC6"/>
    <w:rsid w:val="00367D71"/>
    <w:rsid w:val="00370B47"/>
    <w:rsid w:val="00376329"/>
    <w:rsid w:val="00384254"/>
    <w:rsid w:val="0039436A"/>
    <w:rsid w:val="003A3CDA"/>
    <w:rsid w:val="003A5470"/>
    <w:rsid w:val="003B4288"/>
    <w:rsid w:val="003C0D1F"/>
    <w:rsid w:val="003D0A12"/>
    <w:rsid w:val="003D37F8"/>
    <w:rsid w:val="003D3F51"/>
    <w:rsid w:val="003E0C87"/>
    <w:rsid w:val="0040543E"/>
    <w:rsid w:val="004119D3"/>
    <w:rsid w:val="00417321"/>
    <w:rsid w:val="00421332"/>
    <w:rsid w:val="004229A6"/>
    <w:rsid w:val="00437B3B"/>
    <w:rsid w:val="00446B1D"/>
    <w:rsid w:val="00450F3A"/>
    <w:rsid w:val="004563C6"/>
    <w:rsid w:val="004720A0"/>
    <w:rsid w:val="00494007"/>
    <w:rsid w:val="004B42D6"/>
    <w:rsid w:val="004B73FB"/>
    <w:rsid w:val="004B7638"/>
    <w:rsid w:val="004C3922"/>
    <w:rsid w:val="004E2FA3"/>
    <w:rsid w:val="004E774B"/>
    <w:rsid w:val="00520061"/>
    <w:rsid w:val="00521BCA"/>
    <w:rsid w:val="0052393D"/>
    <w:rsid w:val="0053327A"/>
    <w:rsid w:val="00544C1A"/>
    <w:rsid w:val="00563386"/>
    <w:rsid w:val="00577FE5"/>
    <w:rsid w:val="00591F3A"/>
    <w:rsid w:val="00592984"/>
    <w:rsid w:val="005A3A03"/>
    <w:rsid w:val="005A4897"/>
    <w:rsid w:val="005B55BC"/>
    <w:rsid w:val="005C1090"/>
    <w:rsid w:val="005E3194"/>
    <w:rsid w:val="005E5902"/>
    <w:rsid w:val="005F0CC7"/>
    <w:rsid w:val="005F3E88"/>
    <w:rsid w:val="005F53AC"/>
    <w:rsid w:val="005F56E2"/>
    <w:rsid w:val="00602ADC"/>
    <w:rsid w:val="00610564"/>
    <w:rsid w:val="00633A52"/>
    <w:rsid w:val="00634F0D"/>
    <w:rsid w:val="0064002D"/>
    <w:rsid w:val="00640549"/>
    <w:rsid w:val="00640AB1"/>
    <w:rsid w:val="006434AD"/>
    <w:rsid w:val="00645711"/>
    <w:rsid w:val="00672787"/>
    <w:rsid w:val="00675FE2"/>
    <w:rsid w:val="006815C9"/>
    <w:rsid w:val="00685FD4"/>
    <w:rsid w:val="00690876"/>
    <w:rsid w:val="006931D1"/>
    <w:rsid w:val="00693FEA"/>
    <w:rsid w:val="00694E0B"/>
    <w:rsid w:val="006950E3"/>
    <w:rsid w:val="006B5295"/>
    <w:rsid w:val="006D024C"/>
    <w:rsid w:val="006D49C5"/>
    <w:rsid w:val="006D7548"/>
    <w:rsid w:val="006D755F"/>
    <w:rsid w:val="006E2DA5"/>
    <w:rsid w:val="006E7046"/>
    <w:rsid w:val="006F6724"/>
    <w:rsid w:val="007004CF"/>
    <w:rsid w:val="007053E6"/>
    <w:rsid w:val="0070738A"/>
    <w:rsid w:val="007119D0"/>
    <w:rsid w:val="00712722"/>
    <w:rsid w:val="00712987"/>
    <w:rsid w:val="00716448"/>
    <w:rsid w:val="00727BE6"/>
    <w:rsid w:val="007338C0"/>
    <w:rsid w:val="00742B26"/>
    <w:rsid w:val="00743279"/>
    <w:rsid w:val="00751295"/>
    <w:rsid w:val="00754576"/>
    <w:rsid w:val="007605E0"/>
    <w:rsid w:val="007643A7"/>
    <w:rsid w:val="00771199"/>
    <w:rsid w:val="007873BB"/>
    <w:rsid w:val="00787D52"/>
    <w:rsid w:val="007A6EF0"/>
    <w:rsid w:val="007E5303"/>
    <w:rsid w:val="007F49B5"/>
    <w:rsid w:val="00801E4F"/>
    <w:rsid w:val="00821D81"/>
    <w:rsid w:val="00827574"/>
    <w:rsid w:val="008511EC"/>
    <w:rsid w:val="00853EA3"/>
    <w:rsid w:val="00881C1D"/>
    <w:rsid w:val="00894CE0"/>
    <w:rsid w:val="0089786C"/>
    <w:rsid w:val="008A30EF"/>
    <w:rsid w:val="008A50B0"/>
    <w:rsid w:val="008B1870"/>
    <w:rsid w:val="008B1C64"/>
    <w:rsid w:val="008B3F13"/>
    <w:rsid w:val="008F63E4"/>
    <w:rsid w:val="0090603B"/>
    <w:rsid w:val="00930DEB"/>
    <w:rsid w:val="009329D0"/>
    <w:rsid w:val="009373E7"/>
    <w:rsid w:val="00951B69"/>
    <w:rsid w:val="00957776"/>
    <w:rsid w:val="00967295"/>
    <w:rsid w:val="00981F3E"/>
    <w:rsid w:val="009A005E"/>
    <w:rsid w:val="009A3D57"/>
    <w:rsid w:val="009B2D9B"/>
    <w:rsid w:val="009C2E73"/>
    <w:rsid w:val="009D128A"/>
    <w:rsid w:val="009E79F7"/>
    <w:rsid w:val="009F19B2"/>
    <w:rsid w:val="009F4D6D"/>
    <w:rsid w:val="00A051B7"/>
    <w:rsid w:val="00A06E3A"/>
    <w:rsid w:val="00A11109"/>
    <w:rsid w:val="00A3286D"/>
    <w:rsid w:val="00A42221"/>
    <w:rsid w:val="00A44DA6"/>
    <w:rsid w:val="00A51422"/>
    <w:rsid w:val="00A65E94"/>
    <w:rsid w:val="00A70E4B"/>
    <w:rsid w:val="00A75C27"/>
    <w:rsid w:val="00A97CD2"/>
    <w:rsid w:val="00AC3593"/>
    <w:rsid w:val="00AC4E8A"/>
    <w:rsid w:val="00AD5D0C"/>
    <w:rsid w:val="00AD6A09"/>
    <w:rsid w:val="00AE15CA"/>
    <w:rsid w:val="00AE405D"/>
    <w:rsid w:val="00B139FA"/>
    <w:rsid w:val="00B14CBB"/>
    <w:rsid w:val="00B40734"/>
    <w:rsid w:val="00B45C0F"/>
    <w:rsid w:val="00B5176F"/>
    <w:rsid w:val="00B70C81"/>
    <w:rsid w:val="00B73768"/>
    <w:rsid w:val="00B84B60"/>
    <w:rsid w:val="00B85DC5"/>
    <w:rsid w:val="00B92E69"/>
    <w:rsid w:val="00B97ECB"/>
    <w:rsid w:val="00BA113B"/>
    <w:rsid w:val="00BB0D1B"/>
    <w:rsid w:val="00BB553A"/>
    <w:rsid w:val="00BC1376"/>
    <w:rsid w:val="00BC2AF5"/>
    <w:rsid w:val="00BC6493"/>
    <w:rsid w:val="00BE331A"/>
    <w:rsid w:val="00BE36CC"/>
    <w:rsid w:val="00BF57DE"/>
    <w:rsid w:val="00C10DE2"/>
    <w:rsid w:val="00C14407"/>
    <w:rsid w:val="00C1618B"/>
    <w:rsid w:val="00C2307D"/>
    <w:rsid w:val="00C328D7"/>
    <w:rsid w:val="00C448EC"/>
    <w:rsid w:val="00C4509F"/>
    <w:rsid w:val="00C56D72"/>
    <w:rsid w:val="00C574F7"/>
    <w:rsid w:val="00C57668"/>
    <w:rsid w:val="00C57B30"/>
    <w:rsid w:val="00C63C59"/>
    <w:rsid w:val="00C64B86"/>
    <w:rsid w:val="00C740EC"/>
    <w:rsid w:val="00C77097"/>
    <w:rsid w:val="00C841EE"/>
    <w:rsid w:val="00C845C7"/>
    <w:rsid w:val="00C942B1"/>
    <w:rsid w:val="00C96F64"/>
    <w:rsid w:val="00CA5A1D"/>
    <w:rsid w:val="00CC5305"/>
    <w:rsid w:val="00CC70CB"/>
    <w:rsid w:val="00CC7DE6"/>
    <w:rsid w:val="00CD5F2B"/>
    <w:rsid w:val="00CF1F89"/>
    <w:rsid w:val="00D21AE7"/>
    <w:rsid w:val="00D25376"/>
    <w:rsid w:val="00D259BF"/>
    <w:rsid w:val="00D34AC3"/>
    <w:rsid w:val="00D55FD8"/>
    <w:rsid w:val="00D61C4F"/>
    <w:rsid w:val="00D655C3"/>
    <w:rsid w:val="00D67B1C"/>
    <w:rsid w:val="00D821DA"/>
    <w:rsid w:val="00D86CF5"/>
    <w:rsid w:val="00D935A6"/>
    <w:rsid w:val="00DA4ECF"/>
    <w:rsid w:val="00DA6487"/>
    <w:rsid w:val="00DB38FC"/>
    <w:rsid w:val="00DC30B8"/>
    <w:rsid w:val="00DC3F68"/>
    <w:rsid w:val="00DD6ABE"/>
    <w:rsid w:val="00DF3BDA"/>
    <w:rsid w:val="00DF7446"/>
    <w:rsid w:val="00E01A44"/>
    <w:rsid w:val="00E02A27"/>
    <w:rsid w:val="00E10373"/>
    <w:rsid w:val="00E24E56"/>
    <w:rsid w:val="00E36FD9"/>
    <w:rsid w:val="00E4671B"/>
    <w:rsid w:val="00E578C3"/>
    <w:rsid w:val="00E90EBE"/>
    <w:rsid w:val="00ED4998"/>
    <w:rsid w:val="00EE6849"/>
    <w:rsid w:val="00EE79DF"/>
    <w:rsid w:val="00EF0E37"/>
    <w:rsid w:val="00F35AC9"/>
    <w:rsid w:val="00F4440D"/>
    <w:rsid w:val="00F5371D"/>
    <w:rsid w:val="00F716FE"/>
    <w:rsid w:val="00FA340F"/>
    <w:rsid w:val="00FA6EB6"/>
    <w:rsid w:val="00FB0190"/>
    <w:rsid w:val="00FB4CB7"/>
    <w:rsid w:val="00FD07EA"/>
    <w:rsid w:val="00FE2D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E60497"/>
  <w15:docId w15:val="{C9C50957-B8BC-4263-B06A-CD88E6AC4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18B"/>
    <w:rPr>
      <w:sz w:val="24"/>
      <w:lang w:eastAsia="en-US"/>
    </w:rPr>
  </w:style>
  <w:style w:type="paragraph" w:styleId="Heading1">
    <w:name w:val="heading 1"/>
    <w:basedOn w:val="Normal"/>
    <w:next w:val="Normal"/>
    <w:qFormat/>
    <w:rsid w:val="00C1618B"/>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C1618B"/>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C1618B"/>
    <w:pPr>
      <w:keepNext/>
      <w:pBdr>
        <w:right w:val="single" w:sz="4" w:space="4" w:color="auto"/>
      </w:pBdr>
      <w:outlineLvl w:val="2"/>
    </w:pPr>
    <w:rPr>
      <w:i/>
      <w:iCs/>
      <w:sz w:val="22"/>
      <w:szCs w:val="22"/>
    </w:rPr>
  </w:style>
  <w:style w:type="paragraph" w:styleId="Heading4">
    <w:name w:val="heading 4"/>
    <w:basedOn w:val="Normal"/>
    <w:next w:val="Normal"/>
    <w:qFormat/>
    <w:rsid w:val="00C1618B"/>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1618B"/>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C1618B"/>
    <w:pPr>
      <w:tabs>
        <w:tab w:val="left" w:pos="2880"/>
      </w:tabs>
      <w:spacing w:before="120" w:after="60" w:line="240" w:lineRule="exact"/>
    </w:pPr>
    <w:rPr>
      <w:rFonts w:ascii="Arial" w:hAnsi="Arial"/>
      <w:sz w:val="18"/>
    </w:rPr>
  </w:style>
  <w:style w:type="paragraph" w:customStyle="1" w:styleId="Billname">
    <w:name w:val="Billname"/>
    <w:basedOn w:val="Normal"/>
    <w:rsid w:val="00C1618B"/>
    <w:pPr>
      <w:tabs>
        <w:tab w:val="left" w:pos="2400"/>
        <w:tab w:val="left" w:pos="2880"/>
      </w:tabs>
      <w:spacing w:before="1220" w:after="100"/>
    </w:pPr>
    <w:rPr>
      <w:rFonts w:ascii="Arial" w:hAnsi="Arial"/>
      <w:b/>
      <w:sz w:val="40"/>
    </w:rPr>
  </w:style>
  <w:style w:type="paragraph" w:customStyle="1" w:styleId="Amain">
    <w:name w:val="A main"/>
    <w:basedOn w:val="Normal"/>
    <w:rsid w:val="00C1618B"/>
    <w:pPr>
      <w:tabs>
        <w:tab w:val="right" w:pos="500"/>
        <w:tab w:val="left" w:pos="700"/>
      </w:tabs>
      <w:spacing w:before="80" w:after="60"/>
      <w:ind w:left="700" w:hanging="700"/>
      <w:jc w:val="both"/>
      <w:outlineLvl w:val="5"/>
    </w:pPr>
  </w:style>
  <w:style w:type="paragraph" w:customStyle="1" w:styleId="N-line3">
    <w:name w:val="N-line3"/>
    <w:basedOn w:val="Normal"/>
    <w:next w:val="Normal"/>
    <w:rsid w:val="00C1618B"/>
    <w:pPr>
      <w:pBdr>
        <w:bottom w:val="single" w:sz="12" w:space="1" w:color="auto"/>
      </w:pBdr>
      <w:jc w:val="both"/>
    </w:pPr>
  </w:style>
  <w:style w:type="paragraph" w:customStyle="1" w:styleId="madeunder">
    <w:name w:val="made under"/>
    <w:basedOn w:val="Normal"/>
    <w:rsid w:val="00C1618B"/>
    <w:pPr>
      <w:spacing w:before="180" w:after="60"/>
      <w:jc w:val="both"/>
    </w:pPr>
  </w:style>
  <w:style w:type="paragraph" w:customStyle="1" w:styleId="CoverActName">
    <w:name w:val="CoverActName"/>
    <w:basedOn w:val="Normal"/>
    <w:rsid w:val="00C1618B"/>
    <w:pPr>
      <w:tabs>
        <w:tab w:val="left" w:pos="2600"/>
      </w:tabs>
      <w:spacing w:before="200" w:after="60"/>
      <w:jc w:val="both"/>
    </w:pPr>
    <w:rPr>
      <w:rFonts w:ascii="Arial" w:hAnsi="Arial"/>
      <w:b/>
    </w:rPr>
  </w:style>
  <w:style w:type="paragraph" w:customStyle="1" w:styleId="06Copyright">
    <w:name w:val="06Copyright"/>
    <w:basedOn w:val="Normal"/>
    <w:rsid w:val="00C1618B"/>
    <w:pPr>
      <w:tabs>
        <w:tab w:val="left" w:pos="2880"/>
      </w:tabs>
    </w:pPr>
  </w:style>
  <w:style w:type="paragraph" w:customStyle="1" w:styleId="Apara">
    <w:name w:val="A para"/>
    <w:basedOn w:val="Normal"/>
    <w:rsid w:val="00C1618B"/>
    <w:pPr>
      <w:numPr>
        <w:ilvl w:val="6"/>
        <w:numId w:val="9"/>
      </w:numPr>
      <w:spacing w:before="80" w:after="60"/>
      <w:jc w:val="both"/>
      <w:outlineLvl w:val="6"/>
    </w:pPr>
  </w:style>
  <w:style w:type="paragraph" w:customStyle="1" w:styleId="Asubpara">
    <w:name w:val="A subpara"/>
    <w:basedOn w:val="Normal"/>
    <w:rsid w:val="00C1618B"/>
    <w:pPr>
      <w:numPr>
        <w:ilvl w:val="7"/>
        <w:numId w:val="9"/>
      </w:numPr>
      <w:spacing w:before="80" w:after="60"/>
      <w:jc w:val="both"/>
      <w:outlineLvl w:val="7"/>
    </w:pPr>
  </w:style>
  <w:style w:type="paragraph" w:customStyle="1" w:styleId="Asubsubpara">
    <w:name w:val="A subsubpara"/>
    <w:basedOn w:val="Normal"/>
    <w:rsid w:val="00C1618B"/>
    <w:pPr>
      <w:numPr>
        <w:ilvl w:val="8"/>
        <w:numId w:val="9"/>
      </w:numPr>
      <w:spacing w:before="80" w:after="60"/>
      <w:jc w:val="both"/>
      <w:outlineLvl w:val="8"/>
    </w:pPr>
  </w:style>
  <w:style w:type="paragraph" w:customStyle="1" w:styleId="AH5Sec">
    <w:name w:val="A H5 Sec"/>
    <w:basedOn w:val="Normal"/>
    <w:next w:val="Amain"/>
    <w:rsid w:val="00C1618B"/>
    <w:pPr>
      <w:keepNext/>
      <w:numPr>
        <w:ilvl w:val="4"/>
        <w:numId w:val="1"/>
      </w:numPr>
      <w:spacing w:before="180" w:after="60"/>
      <w:outlineLvl w:val="4"/>
    </w:pPr>
    <w:rPr>
      <w:rFonts w:ascii="Arial" w:hAnsi="Arial"/>
      <w:b/>
    </w:rPr>
  </w:style>
  <w:style w:type="paragraph" w:styleId="Header">
    <w:name w:val="header"/>
    <w:basedOn w:val="Normal"/>
    <w:semiHidden/>
    <w:rsid w:val="00C1618B"/>
    <w:pPr>
      <w:tabs>
        <w:tab w:val="left" w:pos="2880"/>
        <w:tab w:val="center" w:pos="4153"/>
        <w:tab w:val="right" w:pos="8306"/>
      </w:tabs>
    </w:pPr>
  </w:style>
  <w:style w:type="paragraph" w:customStyle="1" w:styleId="ref">
    <w:name w:val="ref"/>
    <w:basedOn w:val="Normal"/>
    <w:next w:val="Normal"/>
    <w:rsid w:val="00C1618B"/>
    <w:pPr>
      <w:spacing w:after="60"/>
      <w:jc w:val="both"/>
    </w:pPr>
    <w:rPr>
      <w:sz w:val="18"/>
    </w:rPr>
  </w:style>
  <w:style w:type="character" w:customStyle="1" w:styleId="CharDivText">
    <w:name w:val="CharDivText"/>
    <w:basedOn w:val="DefaultParagraphFont"/>
    <w:rsid w:val="00C1618B"/>
  </w:style>
  <w:style w:type="paragraph" w:customStyle="1" w:styleId="CoverInForce">
    <w:name w:val="CoverInForce"/>
    <w:basedOn w:val="Normal"/>
    <w:rsid w:val="00C1618B"/>
    <w:pPr>
      <w:tabs>
        <w:tab w:val="left" w:pos="2600"/>
      </w:tabs>
      <w:spacing w:before="200" w:after="60"/>
      <w:jc w:val="both"/>
    </w:pPr>
    <w:rPr>
      <w:rFonts w:ascii="Arial" w:hAnsi="Arial"/>
    </w:rPr>
  </w:style>
  <w:style w:type="paragraph" w:customStyle="1" w:styleId="AFHdg">
    <w:name w:val="AFHdg"/>
    <w:basedOn w:val="Normal"/>
    <w:rsid w:val="00C1618B"/>
    <w:pPr>
      <w:tabs>
        <w:tab w:val="left" w:pos="2600"/>
      </w:tabs>
      <w:spacing w:before="80" w:after="60"/>
      <w:jc w:val="both"/>
    </w:pPr>
    <w:rPr>
      <w:rFonts w:ascii="Arial" w:hAnsi="Arial"/>
      <w:b/>
      <w:sz w:val="32"/>
    </w:rPr>
  </w:style>
  <w:style w:type="paragraph" w:customStyle="1" w:styleId="ApprFormHd">
    <w:name w:val="ApprFormHd"/>
    <w:basedOn w:val="Normal"/>
    <w:rsid w:val="00C1618B"/>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C1618B"/>
  </w:style>
  <w:style w:type="paragraph" w:customStyle="1" w:styleId="Aparabullet">
    <w:name w:val="A para bullet"/>
    <w:basedOn w:val="Normal"/>
    <w:rsid w:val="00C1618B"/>
    <w:pPr>
      <w:numPr>
        <w:numId w:val="4"/>
      </w:numPr>
    </w:pPr>
  </w:style>
  <w:style w:type="paragraph" w:styleId="TOC1">
    <w:name w:val="toc 1"/>
    <w:basedOn w:val="Normal"/>
    <w:next w:val="Normal"/>
    <w:autoRedefine/>
    <w:semiHidden/>
    <w:rsid w:val="00C1618B"/>
  </w:style>
  <w:style w:type="paragraph" w:styleId="TOC2">
    <w:name w:val="toc 2"/>
    <w:basedOn w:val="Normal"/>
    <w:next w:val="Normal"/>
    <w:autoRedefine/>
    <w:semiHidden/>
    <w:rsid w:val="00C1618B"/>
    <w:pPr>
      <w:ind w:left="240"/>
    </w:pPr>
  </w:style>
  <w:style w:type="paragraph" w:styleId="TOC3">
    <w:name w:val="toc 3"/>
    <w:basedOn w:val="Normal"/>
    <w:next w:val="Normal"/>
    <w:autoRedefine/>
    <w:semiHidden/>
    <w:rsid w:val="00C1618B"/>
    <w:pPr>
      <w:ind w:left="480"/>
    </w:pPr>
  </w:style>
  <w:style w:type="paragraph" w:styleId="TOC4">
    <w:name w:val="toc 4"/>
    <w:basedOn w:val="Normal"/>
    <w:next w:val="Normal"/>
    <w:autoRedefine/>
    <w:semiHidden/>
    <w:rsid w:val="00C1618B"/>
    <w:pPr>
      <w:ind w:left="720"/>
    </w:pPr>
  </w:style>
  <w:style w:type="paragraph" w:styleId="TOC5">
    <w:name w:val="toc 5"/>
    <w:basedOn w:val="Normal"/>
    <w:next w:val="Normal"/>
    <w:autoRedefine/>
    <w:semiHidden/>
    <w:rsid w:val="00C1618B"/>
    <w:pPr>
      <w:ind w:left="960"/>
    </w:pPr>
  </w:style>
  <w:style w:type="paragraph" w:styleId="TOC6">
    <w:name w:val="toc 6"/>
    <w:basedOn w:val="Normal"/>
    <w:next w:val="Normal"/>
    <w:autoRedefine/>
    <w:semiHidden/>
    <w:rsid w:val="00C1618B"/>
    <w:pPr>
      <w:ind w:left="1200"/>
    </w:pPr>
  </w:style>
  <w:style w:type="paragraph" w:styleId="TOC7">
    <w:name w:val="toc 7"/>
    <w:basedOn w:val="Normal"/>
    <w:next w:val="Normal"/>
    <w:autoRedefine/>
    <w:semiHidden/>
    <w:rsid w:val="00C1618B"/>
    <w:pPr>
      <w:ind w:left="1440"/>
    </w:pPr>
  </w:style>
  <w:style w:type="paragraph" w:styleId="TOC8">
    <w:name w:val="toc 8"/>
    <w:basedOn w:val="Normal"/>
    <w:next w:val="Normal"/>
    <w:autoRedefine/>
    <w:semiHidden/>
    <w:rsid w:val="00C1618B"/>
    <w:pPr>
      <w:ind w:left="1680"/>
    </w:pPr>
  </w:style>
  <w:style w:type="paragraph" w:styleId="TOC9">
    <w:name w:val="toc 9"/>
    <w:basedOn w:val="Normal"/>
    <w:next w:val="Normal"/>
    <w:autoRedefine/>
    <w:semiHidden/>
    <w:rsid w:val="00C1618B"/>
    <w:pPr>
      <w:ind w:left="1920"/>
    </w:pPr>
  </w:style>
  <w:style w:type="character" w:styleId="Hyperlink">
    <w:name w:val="Hyperlink"/>
    <w:basedOn w:val="DefaultParagraphFont"/>
    <w:semiHidden/>
    <w:rsid w:val="00C1618B"/>
    <w:rPr>
      <w:color w:val="0000FF"/>
      <w:u w:val="single"/>
    </w:rPr>
  </w:style>
  <w:style w:type="paragraph" w:styleId="BodyTextIndent">
    <w:name w:val="Body Text Indent"/>
    <w:basedOn w:val="Normal"/>
    <w:semiHidden/>
    <w:rsid w:val="00C1618B"/>
    <w:pPr>
      <w:spacing w:before="120" w:after="60"/>
      <w:ind w:left="709"/>
    </w:pPr>
  </w:style>
  <w:style w:type="paragraph" w:customStyle="1" w:styleId="Minister">
    <w:name w:val="Minister"/>
    <w:basedOn w:val="Normal"/>
    <w:rsid w:val="00C1618B"/>
    <w:pPr>
      <w:spacing w:before="880" w:after="60"/>
      <w:jc w:val="right"/>
    </w:pPr>
    <w:rPr>
      <w:caps/>
      <w:szCs w:val="24"/>
    </w:rPr>
  </w:style>
  <w:style w:type="paragraph" w:customStyle="1" w:styleId="DateLine">
    <w:name w:val="DateLine"/>
    <w:basedOn w:val="Normal"/>
    <w:rsid w:val="00C1618B"/>
    <w:pPr>
      <w:tabs>
        <w:tab w:val="left" w:pos="4320"/>
      </w:tabs>
      <w:spacing w:before="80" w:after="60"/>
      <w:jc w:val="both"/>
    </w:pPr>
    <w:rPr>
      <w:szCs w:val="24"/>
    </w:rPr>
  </w:style>
  <w:style w:type="paragraph" w:customStyle="1" w:styleId="MinisterWord">
    <w:name w:val="MinisterWord"/>
    <w:basedOn w:val="Normal"/>
    <w:rsid w:val="00C1618B"/>
    <w:pPr>
      <w:tabs>
        <w:tab w:val="left" w:pos="2880"/>
      </w:tabs>
      <w:jc w:val="right"/>
    </w:pPr>
    <w:rPr>
      <w:szCs w:val="24"/>
    </w:rPr>
  </w:style>
  <w:style w:type="character" w:styleId="FollowedHyperlink">
    <w:name w:val="FollowedHyperlink"/>
    <w:basedOn w:val="DefaultParagraphFont"/>
    <w:semiHidden/>
    <w:rsid w:val="00C1618B"/>
    <w:rPr>
      <w:color w:val="800080"/>
      <w:u w:val="single"/>
    </w:rPr>
  </w:style>
  <w:style w:type="character" w:styleId="FootnoteReference">
    <w:name w:val="footnote reference"/>
    <w:basedOn w:val="DefaultParagraphFont"/>
    <w:semiHidden/>
    <w:rsid w:val="00C1618B"/>
    <w:rPr>
      <w:rFonts w:ascii="Times New Roman" w:hAnsi="Times New Roman" w:cs="Times New Roman"/>
      <w:sz w:val="24"/>
      <w:szCs w:val="24"/>
      <w:vertAlign w:val="superscript"/>
    </w:rPr>
  </w:style>
  <w:style w:type="paragraph" w:styleId="FootnoteText">
    <w:name w:val="footnote text"/>
    <w:basedOn w:val="Normal"/>
    <w:semiHidden/>
    <w:rsid w:val="00C1618B"/>
    <w:pPr>
      <w:spacing w:before="80" w:after="60"/>
      <w:jc w:val="both"/>
    </w:pPr>
    <w:rPr>
      <w:szCs w:val="24"/>
    </w:rPr>
  </w:style>
  <w:style w:type="paragraph" w:customStyle="1" w:styleId="ShadedSchClause">
    <w:name w:val="Shaded Sch Clause"/>
    <w:basedOn w:val="Normal"/>
    <w:next w:val="Normal"/>
    <w:rsid w:val="00C1618B"/>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C1618B"/>
  </w:style>
  <w:style w:type="character" w:customStyle="1" w:styleId="ui-provider">
    <w:name w:val="ui-provider"/>
    <w:basedOn w:val="DefaultParagraphFont"/>
    <w:rsid w:val="00C63C59"/>
  </w:style>
  <w:style w:type="paragraph" w:styleId="NormalWeb">
    <w:name w:val="Normal (Web)"/>
    <w:basedOn w:val="Normal"/>
    <w:uiPriority w:val="99"/>
    <w:unhideWhenUsed/>
    <w:rsid w:val="0031124F"/>
    <w:pPr>
      <w:spacing w:before="100" w:beforeAutospacing="1" w:after="100" w:afterAutospacing="1"/>
    </w:pPr>
    <w:rPr>
      <w:szCs w:val="24"/>
      <w:lang w:eastAsia="en-AU"/>
    </w:rPr>
  </w:style>
  <w:style w:type="paragraph" w:styleId="ListParagraph">
    <w:name w:val="List Paragraph"/>
    <w:basedOn w:val="Normal"/>
    <w:uiPriority w:val="1"/>
    <w:qFormat/>
    <w:rsid w:val="0015155C"/>
    <w:pPr>
      <w:ind w:left="720"/>
      <w:contextualSpacing/>
    </w:pPr>
  </w:style>
  <w:style w:type="paragraph" w:styleId="BodyText">
    <w:name w:val="Body Text"/>
    <w:basedOn w:val="Normal"/>
    <w:link w:val="BodyTextChar"/>
    <w:uiPriority w:val="99"/>
    <w:semiHidden/>
    <w:unhideWhenUsed/>
    <w:rsid w:val="005E3194"/>
    <w:pPr>
      <w:spacing w:after="120"/>
    </w:pPr>
  </w:style>
  <w:style w:type="character" w:customStyle="1" w:styleId="BodyTextChar">
    <w:name w:val="Body Text Char"/>
    <w:basedOn w:val="DefaultParagraphFont"/>
    <w:link w:val="BodyText"/>
    <w:uiPriority w:val="99"/>
    <w:semiHidden/>
    <w:rsid w:val="005E3194"/>
    <w:rPr>
      <w:sz w:val="24"/>
      <w:lang w:eastAsia="en-US"/>
    </w:rPr>
  </w:style>
  <w:style w:type="character" w:customStyle="1" w:styleId="Calibri12">
    <w:name w:val="Calibri 12"/>
    <w:basedOn w:val="DefaultParagraphFont"/>
    <w:uiPriority w:val="1"/>
    <w:qFormat/>
    <w:rsid w:val="004B73FB"/>
    <w:rPr>
      <w:rFonts w:ascii="Calibri" w:hAnsi="Calibri"/>
      <w:sz w:val="24"/>
    </w:rPr>
  </w:style>
  <w:style w:type="character" w:styleId="CommentReference">
    <w:name w:val="annotation reference"/>
    <w:basedOn w:val="DefaultParagraphFont"/>
    <w:uiPriority w:val="99"/>
    <w:unhideWhenUsed/>
    <w:rsid w:val="008A30EF"/>
    <w:rPr>
      <w:sz w:val="16"/>
      <w:szCs w:val="16"/>
    </w:rPr>
  </w:style>
  <w:style w:type="paragraph" w:styleId="CommentText">
    <w:name w:val="annotation text"/>
    <w:basedOn w:val="Normal"/>
    <w:link w:val="CommentTextChar"/>
    <w:uiPriority w:val="99"/>
    <w:unhideWhenUsed/>
    <w:rsid w:val="008A30EF"/>
    <w:rPr>
      <w:sz w:val="20"/>
    </w:rPr>
  </w:style>
  <w:style w:type="character" w:customStyle="1" w:styleId="CommentTextChar">
    <w:name w:val="Comment Text Char"/>
    <w:basedOn w:val="DefaultParagraphFont"/>
    <w:link w:val="CommentText"/>
    <w:uiPriority w:val="99"/>
    <w:rsid w:val="008A30EF"/>
    <w:rPr>
      <w:lang w:eastAsia="en-US"/>
    </w:rPr>
  </w:style>
  <w:style w:type="paragraph" w:styleId="CommentSubject">
    <w:name w:val="annotation subject"/>
    <w:basedOn w:val="CommentText"/>
    <w:next w:val="CommentText"/>
    <w:link w:val="CommentSubjectChar"/>
    <w:uiPriority w:val="99"/>
    <w:semiHidden/>
    <w:unhideWhenUsed/>
    <w:rsid w:val="008A30EF"/>
    <w:rPr>
      <w:b/>
      <w:bCs/>
    </w:rPr>
  </w:style>
  <w:style w:type="character" w:customStyle="1" w:styleId="CommentSubjectChar">
    <w:name w:val="Comment Subject Char"/>
    <w:basedOn w:val="CommentTextChar"/>
    <w:link w:val="CommentSubject"/>
    <w:uiPriority w:val="99"/>
    <w:semiHidden/>
    <w:rsid w:val="008A30EF"/>
    <w:rPr>
      <w:b/>
      <w:bCs/>
      <w:lang w:eastAsia="en-US"/>
    </w:rPr>
  </w:style>
  <w:style w:type="paragraph" w:styleId="Revision">
    <w:name w:val="Revision"/>
    <w:hidden/>
    <w:uiPriority w:val="99"/>
    <w:semiHidden/>
    <w:rsid w:val="002B504F"/>
    <w:rPr>
      <w:sz w:val="24"/>
      <w:lang w:eastAsia="en-US"/>
    </w:rPr>
  </w:style>
  <w:style w:type="paragraph" w:customStyle="1" w:styleId="Style1">
    <w:name w:val="Style1"/>
    <w:basedOn w:val="Normal"/>
    <w:rsid w:val="005B55BC"/>
    <w:pPr>
      <w:numPr>
        <w:numId w:val="26"/>
      </w:numPr>
    </w:pPr>
  </w:style>
  <w:style w:type="paragraph" w:customStyle="1" w:styleId="longtitle">
    <w:name w:val="longtitle"/>
    <w:basedOn w:val="Normal"/>
    <w:rsid w:val="00CC5305"/>
    <w:pPr>
      <w:spacing w:before="100" w:beforeAutospacing="1" w:after="100" w:afterAutospacing="1"/>
    </w:pPr>
    <w:rPr>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418910">
      <w:bodyDiv w:val="1"/>
      <w:marLeft w:val="0"/>
      <w:marRight w:val="0"/>
      <w:marTop w:val="0"/>
      <w:marBottom w:val="0"/>
      <w:divBdr>
        <w:top w:val="none" w:sz="0" w:space="0" w:color="auto"/>
        <w:left w:val="none" w:sz="0" w:space="0" w:color="auto"/>
        <w:bottom w:val="none" w:sz="0" w:space="0" w:color="auto"/>
        <w:right w:val="none" w:sz="0" w:space="0" w:color="auto"/>
      </w:divBdr>
    </w:div>
    <w:div w:id="891313100">
      <w:bodyDiv w:val="1"/>
      <w:marLeft w:val="0"/>
      <w:marRight w:val="0"/>
      <w:marTop w:val="0"/>
      <w:marBottom w:val="0"/>
      <w:divBdr>
        <w:top w:val="none" w:sz="0" w:space="0" w:color="auto"/>
        <w:left w:val="none" w:sz="0" w:space="0" w:color="auto"/>
        <w:bottom w:val="none" w:sz="0" w:space="0" w:color="auto"/>
        <w:right w:val="none" w:sz="0" w:space="0" w:color="auto"/>
      </w:divBdr>
    </w:div>
    <w:div w:id="944578181">
      <w:bodyDiv w:val="1"/>
      <w:marLeft w:val="0"/>
      <w:marRight w:val="0"/>
      <w:marTop w:val="0"/>
      <w:marBottom w:val="0"/>
      <w:divBdr>
        <w:top w:val="none" w:sz="0" w:space="0" w:color="auto"/>
        <w:left w:val="none" w:sz="0" w:space="0" w:color="auto"/>
        <w:bottom w:val="none" w:sz="0" w:space="0" w:color="auto"/>
        <w:right w:val="none" w:sz="0" w:space="0" w:color="auto"/>
      </w:divBdr>
    </w:div>
    <w:div w:id="1135292910">
      <w:bodyDiv w:val="1"/>
      <w:marLeft w:val="0"/>
      <w:marRight w:val="0"/>
      <w:marTop w:val="0"/>
      <w:marBottom w:val="0"/>
      <w:divBdr>
        <w:top w:val="none" w:sz="0" w:space="0" w:color="auto"/>
        <w:left w:val="none" w:sz="0" w:space="0" w:color="auto"/>
        <w:bottom w:val="none" w:sz="0" w:space="0" w:color="auto"/>
        <w:right w:val="none" w:sz="0" w:space="0" w:color="auto"/>
      </w:divBdr>
    </w:div>
    <w:div w:id="1326057131">
      <w:bodyDiv w:val="1"/>
      <w:marLeft w:val="0"/>
      <w:marRight w:val="0"/>
      <w:marTop w:val="0"/>
      <w:marBottom w:val="0"/>
      <w:divBdr>
        <w:top w:val="none" w:sz="0" w:space="0" w:color="auto"/>
        <w:left w:val="none" w:sz="0" w:space="0" w:color="auto"/>
        <w:bottom w:val="none" w:sz="0" w:space="0" w:color="auto"/>
        <w:right w:val="none" w:sz="0" w:space="0" w:color="auto"/>
      </w:divBdr>
    </w:div>
    <w:div w:id="1516730695">
      <w:bodyDiv w:val="1"/>
      <w:marLeft w:val="0"/>
      <w:marRight w:val="0"/>
      <w:marTop w:val="0"/>
      <w:marBottom w:val="0"/>
      <w:divBdr>
        <w:top w:val="none" w:sz="0" w:space="0" w:color="auto"/>
        <w:left w:val="none" w:sz="0" w:space="0" w:color="auto"/>
        <w:bottom w:val="none" w:sz="0" w:space="0" w:color="auto"/>
        <w:right w:val="none" w:sz="0" w:space="0" w:color="auto"/>
      </w:divBdr>
    </w:div>
    <w:div w:id="1539663422">
      <w:bodyDiv w:val="1"/>
      <w:marLeft w:val="0"/>
      <w:marRight w:val="0"/>
      <w:marTop w:val="0"/>
      <w:marBottom w:val="0"/>
      <w:divBdr>
        <w:top w:val="none" w:sz="0" w:space="0" w:color="auto"/>
        <w:left w:val="none" w:sz="0" w:space="0" w:color="auto"/>
        <w:bottom w:val="none" w:sz="0" w:space="0" w:color="auto"/>
        <w:right w:val="none" w:sz="0" w:space="0" w:color="auto"/>
      </w:divBdr>
    </w:div>
    <w:div w:id="2146265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A51618754</value>
    </field>
    <field name="Objective-Title">
      <value order="0">Property Developers Regulation 2025 - Explanatory Statement</value>
    </field>
    <field name="Objective-Description">
      <value order="0"/>
    </field>
    <field name="Objective-CreationStamp">
      <value order="0">2025-04-15T03:31:37Z</value>
    </field>
    <field name="Objective-IsApproved">
      <value order="0">false</value>
    </field>
    <field name="Objective-IsPublished">
      <value order="0">true</value>
    </field>
    <field name="Objective-DatePublished">
      <value order="0">2025-09-09T04:02:44Z</value>
    </field>
    <field name="Objective-ModificationStamp">
      <value order="0">2025-09-09T04:02:44Z</value>
    </field>
    <field name="Objective-Owner">
      <value order="0">Peter Volis</value>
    </field>
    <field name="Objective-Path">
      <value order="0">Whole of ACT Government:EPSDD - Environment Planning and Sustainable Development Directorate:DIVISION - Planning and Urban Policy:Branch - Building Reform:03. Focus Area - Practitioner Regulation:02. Developer Regulation:07A. Developer Licensing and Regulation Bill:07. Instruments and regulations:02. Draft Regulations and Amendments:3. Property Developers Regulation 2025:3. Explanatory Statement</value>
    </field>
    <field name="Objective-Parent">
      <value order="0">3. Explanatory Statement</value>
    </field>
    <field name="Objective-State">
      <value order="0">Published</value>
    </field>
    <field name="Objective-VersionId">
      <value order="0">vA72619171</value>
    </field>
    <field name="Objective-Version">
      <value order="0">17.0</value>
    </field>
    <field name="Objective-VersionNumber">
      <value order="0">34</value>
    </field>
    <field name="Objective-VersionComment">
      <value order="0"/>
    </field>
    <field name="Objective-FileNumber">
      <value order="0"/>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1929</Words>
  <Characters>10612</Characters>
  <Application>Microsoft Office Word</Application>
  <DocSecurity>0</DocSecurity>
  <Lines>220</Lines>
  <Paragraphs>90</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2006-03-31T04:28:00Z</cp:lastPrinted>
  <dcterms:created xsi:type="dcterms:W3CDTF">2025-10-14T03:22:00Z</dcterms:created>
  <dcterms:modified xsi:type="dcterms:W3CDTF">2025-10-14T03:22:00Z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A51618754</vt:lpwstr>
  </property>
  <property fmtid="{D5CDD505-2E9C-101B-9397-08002B2CF9AE}" pid="4" name="Objective-Title">
    <vt:lpwstr>Property Developers Regulation 2025 - Explanatory Statement</vt:lpwstr>
  </property>
  <property fmtid="{D5CDD505-2E9C-101B-9397-08002B2CF9AE}" pid="5" name="Objective-Description">
    <vt:lpwstr/>
  </property>
  <property fmtid="{D5CDD505-2E9C-101B-9397-08002B2CF9AE}" pid="6" name="Objective-CreationStamp">
    <vt:filetime>2025-04-15T03:31:37Z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2025-09-09T04:02:44Z</vt:filetime>
  </property>
  <property fmtid="{D5CDD505-2E9C-101B-9397-08002B2CF9AE}" pid="10" name="Objective-ModificationStamp">
    <vt:filetime>2025-09-09T04:02:44Z</vt:filetime>
  </property>
  <property fmtid="{D5CDD505-2E9C-101B-9397-08002B2CF9AE}" pid="11" name="Objective-Owner">
    <vt:lpwstr>Peter Volis</vt:lpwstr>
  </property>
  <property fmtid="{D5CDD505-2E9C-101B-9397-08002B2CF9AE}" pid="12" name="Objective-Path">
    <vt:lpwstr>Whole of ACT Government:EPSDD - Environment Planning and Sustainable Development Directorate:DIVISION - Planning and Urban Policy:Branch - Building Reform:03. Focus Area - Practitioner Regulation:02. Developer Regulation:07A. Developer Licensing and Regulation Bill:07. Instruments and regulations:02. Draft Regulations and Amendments:3. Property Developers Regulation 2025:3. Explanatory Statement</vt:lpwstr>
  </property>
  <property fmtid="{D5CDD505-2E9C-101B-9397-08002B2CF9AE}" pid="13" name="Objective-Parent">
    <vt:lpwstr>3. Explanatory Statement</vt:lpwstr>
  </property>
  <property fmtid="{D5CDD505-2E9C-101B-9397-08002B2CF9AE}" pid="14" name="Objective-State">
    <vt:lpwstr>Published</vt:lpwstr>
  </property>
  <property fmtid="{D5CDD505-2E9C-101B-9397-08002B2CF9AE}" pid="15" name="Objective-VersionId">
    <vt:lpwstr>vA72619171</vt:lpwstr>
  </property>
  <property fmtid="{D5CDD505-2E9C-101B-9397-08002B2CF9AE}" pid="16" name="Objective-Version">
    <vt:lpwstr>17.0</vt:lpwstr>
  </property>
  <property fmtid="{D5CDD505-2E9C-101B-9397-08002B2CF9AE}" pid="17" name="Objective-VersionNumber">
    <vt:r8>34</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
  </property>
  <property fmtid="{D5CDD505-2E9C-101B-9397-08002B2CF9AE}" pid="21" name="Objective-Caveats">
    <vt:lpwstr/>
  </property>
  <property fmtid="{D5CDD505-2E9C-101B-9397-08002B2CF9AE}" pid="22" name="Objective-Owner Agency">
    <vt:lpwstr>EPSDD</vt:lpwstr>
  </property>
  <property fmtid="{D5CDD505-2E9C-101B-9397-08002B2CF9AE}" pid="23" name="Objective-Document Type">
    <vt:lpwstr>0-Document</vt:lpwstr>
  </property>
  <property fmtid="{D5CDD505-2E9C-101B-9397-08002B2CF9AE}" pid="24" name="Objective-Language">
    <vt:lpwstr>English (en)</vt:lpwstr>
  </property>
  <property fmtid="{D5CDD505-2E9C-101B-9397-08002B2CF9AE}" pid="25" name="Objective-Jurisdiction">
    <vt:lpwstr>ACT</vt:lpwstr>
  </property>
  <property fmtid="{D5CDD505-2E9C-101B-9397-08002B2CF9AE}" pid="26" name="Objective-Customers">
    <vt:lpwstr/>
  </property>
  <property fmtid="{D5CDD505-2E9C-101B-9397-08002B2CF9AE}" pid="27" name="Objective-Places">
    <vt:lpwstr/>
  </property>
  <property fmtid="{D5CDD505-2E9C-101B-9397-08002B2CF9AE}" pid="28" name="Objective-Transaction Reference">
    <vt:lpwstr/>
  </property>
  <property fmtid="{D5CDD505-2E9C-101B-9397-08002B2CF9AE}" pid="29" name="Objective-Document Created By">
    <vt:lpwstr/>
  </property>
  <property fmtid="{D5CDD505-2E9C-101B-9397-08002B2CF9AE}" pid="30" name="Objective-Document Created On">
    <vt:lpwstr/>
  </property>
  <property fmtid="{D5CDD505-2E9C-101B-9397-08002B2CF9AE}" pid="31" name="Objective-Covers Period From">
    <vt:lpwstr/>
  </property>
  <property fmtid="{D5CDD505-2E9C-101B-9397-08002B2CF9AE}" pid="32" name="Objective-Covers Period To">
    <vt:lpwstr/>
  </property>
  <property fmtid="{D5CDD505-2E9C-101B-9397-08002B2CF9AE}" pid="33" name="Objective-Comment">
    <vt:lpwstr/>
  </property>
  <property fmtid="{D5CDD505-2E9C-101B-9397-08002B2CF9AE}" pid="34" name="Objective-Status">
    <vt:lpwstr/>
  </property>
  <property fmtid="{D5CDD505-2E9C-101B-9397-08002B2CF9AE}" pid="35" name="MSIP_Label_69af8531-eb46-4968-8cb3-105d2f5ea87e_Enabled">
    <vt:lpwstr>true</vt:lpwstr>
  </property>
  <property fmtid="{D5CDD505-2E9C-101B-9397-08002B2CF9AE}" pid="36" name="MSIP_Label_69af8531-eb46-4968-8cb3-105d2f5ea87e_SetDate">
    <vt:lpwstr>2025-04-15T07:04:05Z</vt:lpwstr>
  </property>
  <property fmtid="{D5CDD505-2E9C-101B-9397-08002B2CF9AE}" pid="37" name="MSIP_Label_69af8531-eb46-4968-8cb3-105d2f5ea87e_Method">
    <vt:lpwstr>Standard</vt:lpwstr>
  </property>
  <property fmtid="{D5CDD505-2E9C-101B-9397-08002B2CF9AE}" pid="38" name="MSIP_Label_69af8531-eb46-4968-8cb3-105d2f5ea87e_Name">
    <vt:lpwstr>Official - No Marking</vt:lpwstr>
  </property>
  <property fmtid="{D5CDD505-2E9C-101B-9397-08002B2CF9AE}" pid="39" name="MSIP_Label_69af8531-eb46-4968-8cb3-105d2f5ea87e_SiteId">
    <vt:lpwstr>b46c1908-0334-4236-b978-585ee88e4199</vt:lpwstr>
  </property>
  <property fmtid="{D5CDD505-2E9C-101B-9397-08002B2CF9AE}" pid="40" name="MSIP_Label_69af8531-eb46-4968-8cb3-105d2f5ea87e_ActionId">
    <vt:lpwstr>94fb2a3d-2de1-4220-afb5-496de7d556f4</vt:lpwstr>
  </property>
  <property fmtid="{D5CDD505-2E9C-101B-9397-08002B2CF9AE}" pid="41" name="MSIP_Label_69af8531-eb46-4968-8cb3-105d2f5ea87e_ContentBits">
    <vt:lpwstr>0</vt:lpwstr>
  </property>
  <property fmtid="{D5CDD505-2E9C-101B-9397-08002B2CF9AE}" pid="42" name="MSIP_Label_69af8531-eb46-4968-8cb3-105d2f5ea87e_Tag">
    <vt:lpwstr>10, 3, 0, 1</vt:lpwstr>
  </property>
  <property fmtid="{D5CDD505-2E9C-101B-9397-08002B2CF9AE}" pid="43" name="Objective-S28 Exemption Number">
    <vt:lpwstr/>
  </property>
  <property fmtid="{D5CDD505-2E9C-101B-9397-08002B2CF9AE}" pid="44" name="Objective-S28 Exemption">
    <vt:lpwstr/>
  </property>
  <property fmtid="{D5CDD505-2E9C-101B-9397-08002B2CF9AE}" pid="45" name="Objective-S28 Exemption Reason">
    <vt:lpwstr/>
  </property>
  <property fmtid="{D5CDD505-2E9C-101B-9397-08002B2CF9AE}" pid="46" name="Objective-S28 Comments if partial exemption">
    <vt:lpwstr/>
  </property>
  <property fmtid="{D5CDD505-2E9C-101B-9397-08002B2CF9AE}" pid="47" name="Objective-S28 Date Approved">
    <vt:lpwstr/>
  </property>
</Properties>
</file>