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616DA7E0"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E06A08">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861813D" w:rsidR="00E90DF9" w:rsidRPr="00BB387E" w:rsidRDefault="00FA2607" w:rsidP="00E90DF9">
      <w:pPr>
        <w:spacing w:after="0"/>
        <w:jc w:val="center"/>
        <w:rPr>
          <w:rFonts w:ascii="Arial" w:hAnsi="Arial" w:cs="Arial"/>
          <w:b/>
          <w:sz w:val="24"/>
          <w:szCs w:val="24"/>
        </w:rPr>
      </w:pPr>
      <w:r>
        <w:rPr>
          <w:rFonts w:ascii="Arial" w:hAnsi="Arial" w:cs="Arial"/>
          <w:b/>
          <w:sz w:val="24"/>
          <w:szCs w:val="24"/>
        </w:rPr>
        <w:t>ELEVENTH</w:t>
      </w:r>
      <w:r w:rsidR="00E90DF9">
        <w:rPr>
          <w:rFonts w:ascii="Arial" w:hAnsi="Arial" w:cs="Arial"/>
          <w:b/>
          <w:sz w:val="24"/>
          <w:szCs w:val="24"/>
        </w:rPr>
        <w:t xml:space="preserve">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09E55468" w:rsidR="00E90DF9" w:rsidRDefault="00750124" w:rsidP="00E90DF9">
      <w:pPr>
        <w:spacing w:after="0"/>
        <w:jc w:val="center"/>
        <w:rPr>
          <w:rFonts w:ascii="Arial" w:hAnsi="Arial" w:cs="Arial"/>
          <w:b/>
          <w:sz w:val="24"/>
          <w:szCs w:val="24"/>
        </w:rPr>
      </w:pPr>
      <w:r>
        <w:rPr>
          <w:rFonts w:ascii="Arial" w:hAnsi="Arial" w:cs="Arial"/>
          <w:b/>
          <w:sz w:val="24"/>
          <w:szCs w:val="24"/>
        </w:rPr>
        <w:t>GOVERNMENT AMENDMENT</w:t>
      </w:r>
    </w:p>
    <w:p w14:paraId="2DCD3CB8" w14:textId="028558AA" w:rsidR="00750124" w:rsidRPr="00BB387E" w:rsidRDefault="00750124" w:rsidP="00E90DF9">
      <w:pPr>
        <w:spacing w:after="0"/>
        <w:jc w:val="center"/>
        <w:rPr>
          <w:rFonts w:ascii="Arial" w:hAnsi="Arial" w:cs="Arial"/>
          <w:b/>
          <w:sz w:val="24"/>
          <w:szCs w:val="24"/>
        </w:rPr>
      </w:pPr>
    </w:p>
    <w:p w14:paraId="699FB34E" w14:textId="77777777" w:rsidR="00E06A08" w:rsidRDefault="00E06A08" w:rsidP="00E90DF9">
      <w:pPr>
        <w:spacing w:after="0"/>
        <w:jc w:val="center"/>
        <w:rPr>
          <w:rFonts w:ascii="Arial" w:hAnsi="Arial" w:cs="Arial"/>
          <w:b/>
          <w:bCs/>
          <w:sz w:val="24"/>
          <w:szCs w:val="24"/>
        </w:rPr>
      </w:pPr>
      <w:r w:rsidRPr="00E06A08">
        <w:rPr>
          <w:rFonts w:ascii="Arial" w:hAnsi="Arial" w:cs="Arial"/>
          <w:b/>
          <w:bCs/>
          <w:sz w:val="24"/>
          <w:szCs w:val="24"/>
        </w:rPr>
        <w:t xml:space="preserve">BUILDING AND CONSTRUCTION LEGISLATION AMENDMENT BILL 2025 </w:t>
      </w:r>
    </w:p>
    <w:p w14:paraId="23C1CDE7" w14:textId="6957D553" w:rsidR="00E90DF9" w:rsidRPr="00BB387E" w:rsidRDefault="00E06A08" w:rsidP="00E90DF9">
      <w:pPr>
        <w:spacing w:after="0"/>
        <w:jc w:val="center"/>
        <w:rPr>
          <w:rFonts w:ascii="Arial" w:hAnsi="Arial" w:cs="Arial"/>
          <w:b/>
          <w:bCs/>
          <w:sz w:val="24"/>
          <w:szCs w:val="24"/>
        </w:rPr>
      </w:pPr>
      <w:r w:rsidRPr="00E06A08">
        <w:rPr>
          <w:rFonts w:ascii="Arial" w:hAnsi="Arial" w:cs="Arial"/>
          <w:b/>
          <w:bCs/>
          <w:sz w:val="24"/>
          <w:szCs w:val="24"/>
        </w:rPr>
        <w:t>(NO 2)</w:t>
      </w:r>
    </w:p>
    <w:p w14:paraId="5D04CAEB" w14:textId="77777777" w:rsidR="00E90DF9" w:rsidRPr="00BB387E" w:rsidRDefault="00E90DF9" w:rsidP="00E90DF9">
      <w:pPr>
        <w:spacing w:after="0"/>
        <w:jc w:val="center"/>
        <w:rPr>
          <w:rFonts w:ascii="Arial" w:hAnsi="Arial" w:cs="Arial"/>
          <w:b/>
          <w:sz w:val="24"/>
          <w:szCs w:val="24"/>
        </w:rPr>
      </w:pPr>
    </w:p>
    <w:p w14:paraId="6A16DB78" w14:textId="77777777" w:rsidR="00750124" w:rsidRDefault="006D01DD" w:rsidP="00E90DF9">
      <w:pPr>
        <w:spacing w:after="0"/>
        <w:jc w:val="center"/>
        <w:rPr>
          <w:rFonts w:ascii="Arial" w:hAnsi="Arial" w:cs="Arial"/>
          <w:b/>
          <w:bCs/>
          <w:sz w:val="24"/>
          <w:szCs w:val="24"/>
        </w:rPr>
      </w:pPr>
      <w:r>
        <w:rPr>
          <w:rFonts w:ascii="Arial" w:hAnsi="Arial" w:cs="Arial"/>
          <w:b/>
          <w:bCs/>
          <w:sz w:val="24"/>
          <w:szCs w:val="24"/>
        </w:rPr>
        <w:t xml:space="preserve">SUPPLEMENTARY </w:t>
      </w:r>
      <w:r w:rsidR="00E90DF9" w:rsidRPr="00BB387E">
        <w:rPr>
          <w:rFonts w:ascii="Arial" w:hAnsi="Arial" w:cs="Arial"/>
          <w:b/>
          <w:bCs/>
          <w:sz w:val="24"/>
          <w:szCs w:val="24"/>
        </w:rPr>
        <w:t>EXPLANATORY STATEMENT</w:t>
      </w:r>
    </w:p>
    <w:p w14:paraId="664BEC68" w14:textId="4BBC0C08" w:rsidR="00E90DF9" w:rsidRDefault="00E90DF9" w:rsidP="00E90DF9">
      <w:pPr>
        <w:spacing w:after="0"/>
        <w:jc w:val="center"/>
        <w:rPr>
          <w:rFonts w:ascii="Arial" w:hAnsi="Arial" w:cs="Arial"/>
          <w:b/>
          <w:bCs/>
          <w:sz w:val="24"/>
          <w:szCs w:val="24"/>
        </w:rPr>
      </w:pP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94011A">
      <w:pPr>
        <w:keepNext/>
        <w:widowControl w:val="0"/>
        <w:spacing w:after="0"/>
        <w:ind w:right="95"/>
        <w:jc w:val="right"/>
        <w:outlineLvl w:val="7"/>
        <w:rPr>
          <w:rFonts w:ascii="Arial" w:hAnsi="Arial" w:cs="Arial"/>
          <w:b/>
          <w:bCs/>
          <w:sz w:val="24"/>
          <w:szCs w:val="24"/>
        </w:rPr>
      </w:pPr>
      <w:r w:rsidRPr="00BB387E">
        <w:rPr>
          <w:rFonts w:ascii="Arial" w:hAnsi="Arial" w:cs="Arial"/>
          <w:b/>
          <w:bCs/>
          <w:sz w:val="24"/>
          <w:szCs w:val="24"/>
        </w:rPr>
        <w:t>Presented by</w:t>
      </w:r>
    </w:p>
    <w:p w14:paraId="340671F6" w14:textId="1AC3989D" w:rsidR="00E90DF9" w:rsidRDefault="00E06A08" w:rsidP="0094011A">
      <w:pPr>
        <w:spacing w:after="0"/>
        <w:ind w:right="95"/>
        <w:jc w:val="right"/>
        <w:rPr>
          <w:rFonts w:ascii="Arial" w:hAnsi="Arial" w:cs="Arial"/>
          <w:b/>
          <w:bCs/>
          <w:sz w:val="24"/>
          <w:szCs w:val="24"/>
        </w:rPr>
      </w:pPr>
      <w:r>
        <w:rPr>
          <w:rFonts w:ascii="Arial" w:hAnsi="Arial" w:cs="Arial"/>
          <w:b/>
          <w:bCs/>
          <w:sz w:val="24"/>
          <w:szCs w:val="24"/>
        </w:rPr>
        <w:t>Chris Steel MLA</w:t>
      </w:r>
    </w:p>
    <w:p w14:paraId="3CEAEA4C" w14:textId="09A2A5B4" w:rsidR="0094011A" w:rsidRPr="0094011A" w:rsidRDefault="00E06A08" w:rsidP="0094011A">
      <w:pPr>
        <w:autoSpaceDE w:val="0"/>
        <w:autoSpaceDN w:val="0"/>
        <w:adjustRightInd w:val="0"/>
        <w:spacing w:after="120" w:line="240" w:lineRule="auto"/>
        <w:ind w:right="95"/>
        <w:jc w:val="right"/>
        <w:rPr>
          <w:rFonts w:ascii="Arial" w:hAnsi="Arial" w:cs="Arial"/>
          <w:b/>
          <w:bCs/>
          <w:sz w:val="24"/>
          <w:szCs w:val="24"/>
        </w:rPr>
      </w:pPr>
      <w:r>
        <w:rPr>
          <w:rFonts w:ascii="Arial" w:hAnsi="Arial" w:cs="Arial"/>
          <w:b/>
          <w:bCs/>
          <w:sz w:val="24"/>
          <w:szCs w:val="24"/>
        </w:rPr>
        <w:t>Minister for Planning and Sustainable Development</w:t>
      </w:r>
    </w:p>
    <w:p w14:paraId="722CCE31" w14:textId="1654712B" w:rsidR="00E90DF9" w:rsidRPr="00BB387E" w:rsidRDefault="00370835" w:rsidP="0094011A">
      <w:pPr>
        <w:spacing w:after="0"/>
        <w:ind w:right="95"/>
        <w:jc w:val="right"/>
        <w:rPr>
          <w:rFonts w:ascii="Arial" w:hAnsi="Arial" w:cs="Arial"/>
          <w:b/>
          <w:bCs/>
          <w:sz w:val="24"/>
          <w:szCs w:val="24"/>
        </w:rPr>
      </w:pPr>
      <w:r>
        <w:rPr>
          <w:rFonts w:ascii="Arial" w:hAnsi="Arial" w:cs="Arial"/>
          <w:b/>
          <w:bCs/>
          <w:sz w:val="24"/>
          <w:szCs w:val="24"/>
        </w:rPr>
        <w:t xml:space="preserve">December </w:t>
      </w:r>
      <w:r w:rsidR="00E06A08">
        <w:rPr>
          <w:rFonts w:ascii="Arial" w:hAnsi="Arial" w:cs="Arial"/>
          <w:b/>
          <w:bCs/>
          <w:sz w:val="24"/>
          <w:szCs w:val="24"/>
        </w:rPr>
        <w:t>2025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A16A97">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5781060A" w14:textId="4CCAB777" w:rsidR="0094011A" w:rsidRPr="0094011A" w:rsidRDefault="00E06A08" w:rsidP="0094011A">
      <w:pPr>
        <w:pStyle w:val="Heading1"/>
        <w:jc w:val="center"/>
      </w:pPr>
      <w:r w:rsidRPr="00E06A08">
        <w:lastRenderedPageBreak/>
        <w:t>BUILDING AND CONSTRUCTION LEGISLATION AMENDMENT BILL 2025 (NO 2)</w:t>
      </w:r>
    </w:p>
    <w:p w14:paraId="791A60D0" w14:textId="77777777" w:rsidR="00E90DF9" w:rsidRDefault="00E90DF9" w:rsidP="00E90DF9">
      <w:pPr>
        <w:spacing w:after="0"/>
        <w:contextualSpacing/>
        <w:rPr>
          <w:rFonts w:ascii="Arial" w:hAnsi="Arial" w:cs="Arial"/>
          <w:bCs/>
          <w:sz w:val="24"/>
          <w:szCs w:val="24"/>
        </w:rPr>
      </w:pPr>
    </w:p>
    <w:p w14:paraId="45FD2D01" w14:textId="4A7DAD92" w:rsidR="009508D4" w:rsidRDefault="00050D43" w:rsidP="00513959">
      <w:pPr>
        <w:spacing w:after="240" w:line="240" w:lineRule="auto"/>
        <w:rPr>
          <w:rFonts w:ascii="Arial" w:hAnsi="Arial" w:cs="Arial"/>
          <w:sz w:val="24"/>
          <w:szCs w:val="24"/>
        </w:rPr>
      </w:pPr>
      <w:r>
        <w:rPr>
          <w:rFonts w:ascii="Arial" w:hAnsi="Arial" w:cs="Arial"/>
          <w:sz w:val="24"/>
          <w:szCs w:val="24"/>
        </w:rPr>
        <w:t xml:space="preserve">This </w:t>
      </w:r>
      <w:r w:rsidR="006D01DD">
        <w:rPr>
          <w:rFonts w:ascii="Arial" w:hAnsi="Arial" w:cs="Arial"/>
          <w:sz w:val="24"/>
          <w:szCs w:val="24"/>
        </w:rPr>
        <w:t xml:space="preserve">supplementary </w:t>
      </w:r>
      <w:r>
        <w:rPr>
          <w:rFonts w:ascii="Arial" w:hAnsi="Arial" w:cs="Arial"/>
          <w:sz w:val="24"/>
          <w:szCs w:val="24"/>
        </w:rPr>
        <w:t>explanatory statement relates to</w:t>
      </w:r>
      <w:r w:rsidR="006D01DD">
        <w:rPr>
          <w:rFonts w:ascii="Arial" w:hAnsi="Arial" w:cs="Arial"/>
          <w:sz w:val="24"/>
          <w:szCs w:val="24"/>
        </w:rPr>
        <w:t xml:space="preserve"> a Government </w:t>
      </w:r>
      <w:r w:rsidR="00C40A4A">
        <w:rPr>
          <w:rFonts w:ascii="Arial" w:hAnsi="Arial" w:cs="Arial"/>
          <w:sz w:val="24"/>
          <w:szCs w:val="24"/>
        </w:rPr>
        <w:t>a</w:t>
      </w:r>
      <w:r w:rsidR="006D01DD">
        <w:rPr>
          <w:rFonts w:ascii="Arial" w:hAnsi="Arial" w:cs="Arial"/>
          <w:sz w:val="24"/>
          <w:szCs w:val="24"/>
        </w:rPr>
        <w:t xml:space="preserve">mendment </w:t>
      </w:r>
      <w:r w:rsidR="00FA2607">
        <w:rPr>
          <w:rFonts w:ascii="Arial" w:hAnsi="Arial" w:cs="Arial"/>
          <w:sz w:val="24"/>
          <w:szCs w:val="24"/>
        </w:rPr>
        <w:t xml:space="preserve">(the </w:t>
      </w:r>
      <w:r w:rsidR="00FA2607" w:rsidRPr="00BE4C7F">
        <w:rPr>
          <w:rFonts w:ascii="Arial" w:hAnsi="Arial" w:cs="Arial"/>
          <w:b/>
          <w:bCs/>
          <w:i/>
          <w:iCs/>
          <w:sz w:val="24"/>
          <w:szCs w:val="24"/>
        </w:rPr>
        <w:t>amendment</w:t>
      </w:r>
      <w:r w:rsidR="00FA2607">
        <w:rPr>
          <w:rFonts w:ascii="Arial" w:hAnsi="Arial" w:cs="Arial"/>
          <w:sz w:val="24"/>
          <w:szCs w:val="24"/>
        </w:rPr>
        <w:t xml:space="preserve">) </w:t>
      </w:r>
      <w:r w:rsidR="006D01DD">
        <w:rPr>
          <w:rFonts w:ascii="Arial" w:hAnsi="Arial" w:cs="Arial"/>
          <w:sz w:val="24"/>
          <w:szCs w:val="24"/>
        </w:rPr>
        <w:t>to</w:t>
      </w:r>
      <w:r>
        <w:rPr>
          <w:rFonts w:ascii="Arial" w:hAnsi="Arial" w:cs="Arial"/>
          <w:sz w:val="24"/>
          <w:szCs w:val="24"/>
        </w:rPr>
        <w:t xml:space="preserve"> the </w:t>
      </w:r>
      <w:r w:rsidR="00E06A08" w:rsidRPr="00E06A08">
        <w:rPr>
          <w:rFonts w:ascii="Arial" w:hAnsi="Arial" w:cs="Arial"/>
          <w:sz w:val="24"/>
          <w:szCs w:val="24"/>
        </w:rPr>
        <w:t>Building and Construction Legislation Amendment Bill 2025 (No</w:t>
      </w:r>
      <w:r w:rsidR="00FA2607">
        <w:rPr>
          <w:rFonts w:ascii="Arial" w:hAnsi="Arial" w:cs="Arial"/>
          <w:sz w:val="24"/>
          <w:szCs w:val="24"/>
        </w:rPr>
        <w:t> </w:t>
      </w:r>
      <w:r w:rsidR="00E06A08" w:rsidRPr="00E06A08">
        <w:rPr>
          <w:rFonts w:ascii="Arial" w:hAnsi="Arial" w:cs="Arial"/>
          <w:sz w:val="24"/>
          <w:szCs w:val="24"/>
        </w:rPr>
        <w:t xml:space="preserve">2) </w:t>
      </w:r>
      <w:r>
        <w:rPr>
          <w:rFonts w:ascii="Arial" w:hAnsi="Arial" w:cs="Arial"/>
          <w:sz w:val="24"/>
          <w:szCs w:val="24"/>
        </w:rPr>
        <w:t xml:space="preserve">(the </w:t>
      </w:r>
      <w:r>
        <w:rPr>
          <w:rFonts w:ascii="Arial" w:hAnsi="Arial" w:cs="Arial"/>
          <w:b/>
          <w:bCs/>
          <w:i/>
          <w:iCs/>
          <w:sz w:val="24"/>
          <w:szCs w:val="24"/>
        </w:rPr>
        <w:t>b</w:t>
      </w:r>
      <w:r w:rsidRPr="00466151">
        <w:rPr>
          <w:rFonts w:ascii="Arial" w:hAnsi="Arial" w:cs="Arial"/>
          <w:b/>
          <w:bCs/>
          <w:i/>
          <w:iCs/>
          <w:sz w:val="24"/>
          <w:szCs w:val="24"/>
        </w:rPr>
        <w:t>ill</w:t>
      </w:r>
      <w:r>
        <w:rPr>
          <w:rFonts w:ascii="Arial" w:hAnsi="Arial" w:cs="Arial"/>
          <w:sz w:val="24"/>
          <w:szCs w:val="24"/>
        </w:rPr>
        <w:t>)</w:t>
      </w:r>
      <w:r w:rsidR="009508D4">
        <w:rPr>
          <w:rFonts w:ascii="Arial" w:hAnsi="Arial" w:cs="Arial"/>
          <w:sz w:val="24"/>
          <w:szCs w:val="24"/>
        </w:rPr>
        <w:t>. It has been prepared to assist the reader of the bill and to help inform debate. It does not form part of the bill or the amendment.</w:t>
      </w:r>
    </w:p>
    <w:p w14:paraId="0450C32E" w14:textId="4EE86951" w:rsidR="00030D03" w:rsidRDefault="00030D03" w:rsidP="00513959">
      <w:pPr>
        <w:spacing w:after="240" w:line="240" w:lineRule="auto"/>
        <w:rPr>
          <w:rFonts w:ascii="Arial" w:hAnsi="Arial" w:cs="Arial"/>
          <w:sz w:val="24"/>
          <w:szCs w:val="24"/>
        </w:rPr>
      </w:pPr>
      <w:r>
        <w:rPr>
          <w:rFonts w:ascii="Arial" w:hAnsi="Arial" w:cs="Arial"/>
          <w:sz w:val="24"/>
          <w:szCs w:val="24"/>
        </w:rPr>
        <w:t>The information provided in this supplementary explanatory statement also responds to comments made the Standing Committee on Legal Affairs (Legislative Scrutiny Role) in its Scrutiny Report 13.</w:t>
      </w:r>
    </w:p>
    <w:p w14:paraId="4DFE1565" w14:textId="4B5F7929" w:rsidR="00050D43" w:rsidRDefault="00050D43" w:rsidP="00513959">
      <w:pPr>
        <w:spacing w:after="0" w:line="240" w:lineRule="auto"/>
        <w:rPr>
          <w:rFonts w:ascii="Arial" w:hAnsi="Arial" w:cs="Arial"/>
          <w:sz w:val="24"/>
          <w:szCs w:val="24"/>
        </w:rPr>
      </w:pPr>
      <w:r>
        <w:rPr>
          <w:rFonts w:ascii="Arial" w:hAnsi="Arial" w:cs="Arial"/>
          <w:sz w:val="24"/>
          <w:szCs w:val="24"/>
        </w:rPr>
        <w:t>The statement must be read in conjunction with the bill</w:t>
      </w:r>
      <w:r w:rsidR="006D01DD">
        <w:rPr>
          <w:rFonts w:ascii="Arial" w:hAnsi="Arial" w:cs="Arial"/>
          <w:sz w:val="24"/>
          <w:szCs w:val="24"/>
        </w:rPr>
        <w:t xml:space="preserve"> and the explanatory statement </w:t>
      </w:r>
      <w:r w:rsidR="000B712F">
        <w:rPr>
          <w:rFonts w:ascii="Arial" w:hAnsi="Arial" w:cs="Arial"/>
          <w:sz w:val="24"/>
          <w:szCs w:val="24"/>
        </w:rPr>
        <w:t>prepared in support of the bill, as introduced in</w:t>
      </w:r>
      <w:r w:rsidR="006D01DD">
        <w:rPr>
          <w:rFonts w:ascii="Arial" w:hAnsi="Arial" w:cs="Arial"/>
          <w:sz w:val="24"/>
          <w:szCs w:val="24"/>
        </w:rPr>
        <w:t xml:space="preserve"> the Legislative Assembly </w:t>
      </w:r>
      <w:r w:rsidR="009508D4">
        <w:rPr>
          <w:rFonts w:ascii="Arial" w:hAnsi="Arial" w:cs="Arial"/>
          <w:sz w:val="24"/>
          <w:szCs w:val="24"/>
        </w:rPr>
        <w:t>o</w:t>
      </w:r>
      <w:r w:rsidR="006D01DD">
        <w:rPr>
          <w:rFonts w:ascii="Arial" w:hAnsi="Arial" w:cs="Arial"/>
          <w:sz w:val="24"/>
          <w:szCs w:val="24"/>
        </w:rPr>
        <w:t xml:space="preserve">n </w:t>
      </w:r>
      <w:r w:rsidR="009508D4">
        <w:rPr>
          <w:rFonts w:ascii="Arial" w:hAnsi="Arial" w:cs="Arial"/>
          <w:sz w:val="24"/>
          <w:szCs w:val="24"/>
        </w:rPr>
        <w:t xml:space="preserve">23 </w:t>
      </w:r>
      <w:r w:rsidR="00E06A08">
        <w:rPr>
          <w:rFonts w:ascii="Arial" w:hAnsi="Arial" w:cs="Arial"/>
          <w:sz w:val="24"/>
          <w:szCs w:val="24"/>
        </w:rPr>
        <w:t>October 2025</w:t>
      </w:r>
      <w:r>
        <w:rPr>
          <w:rFonts w:ascii="Arial" w:hAnsi="Arial" w:cs="Arial"/>
          <w:sz w:val="24"/>
          <w:szCs w:val="24"/>
        </w:rPr>
        <w:t>. It is not, and is not meant to be, a comprehensive description of the bill</w:t>
      </w:r>
      <w:r w:rsidR="009508D4">
        <w:rPr>
          <w:rFonts w:ascii="Arial" w:hAnsi="Arial" w:cs="Arial"/>
          <w:sz w:val="24"/>
          <w:szCs w:val="24"/>
        </w:rPr>
        <w:t xml:space="preserve"> or the amendment</w:t>
      </w:r>
      <w:r>
        <w:rPr>
          <w:rFonts w:ascii="Arial" w:hAnsi="Arial" w:cs="Arial"/>
          <w:sz w:val="24"/>
          <w:szCs w:val="24"/>
        </w:rPr>
        <w:t>. What is said about a provision is not to be taken as an authoritative guide to the meaning of a provi</w:t>
      </w:r>
      <w:r w:rsidR="0003107C">
        <w:rPr>
          <w:rFonts w:ascii="Arial" w:hAnsi="Arial" w:cs="Arial"/>
          <w:sz w:val="24"/>
          <w:szCs w:val="24"/>
        </w:rPr>
        <w:t>sion</w:t>
      </w:r>
      <w:r>
        <w:rPr>
          <w:rFonts w:ascii="Arial" w:hAnsi="Arial" w:cs="Arial"/>
          <w:sz w:val="24"/>
          <w:szCs w:val="24"/>
        </w:rPr>
        <w:t>, this being a task for the courts.</w:t>
      </w:r>
    </w:p>
    <w:p w14:paraId="3735CFA3" w14:textId="77777777" w:rsidR="00E90DF9" w:rsidRPr="00834FC9" w:rsidRDefault="00E90DF9" w:rsidP="00E90DF9">
      <w:pPr>
        <w:spacing w:after="0"/>
        <w:rPr>
          <w:rFonts w:ascii="Arial" w:hAnsi="Arial" w:cs="Arial"/>
          <w:bCs/>
          <w:sz w:val="24"/>
          <w:szCs w:val="24"/>
          <w:highlight w:val="yellow"/>
        </w:rPr>
      </w:pPr>
    </w:p>
    <w:p w14:paraId="266B7B2E" w14:textId="50FE5A60" w:rsidR="00E90DF9" w:rsidRDefault="00E90DF9" w:rsidP="00E90DF9">
      <w:pPr>
        <w:pStyle w:val="Heading2"/>
      </w:pPr>
      <w:r>
        <w:t xml:space="preserve">OVERVIEW OF THE </w:t>
      </w:r>
      <w:r w:rsidR="00DC6FB1">
        <w:t xml:space="preserve">GOVERNMENT AMENDMENT </w:t>
      </w:r>
    </w:p>
    <w:p w14:paraId="1FE47663" w14:textId="57FCC64F" w:rsidR="00E06A08" w:rsidRPr="00E06A08" w:rsidRDefault="0094011A" w:rsidP="00513959">
      <w:pPr>
        <w:spacing w:after="240" w:line="240" w:lineRule="auto"/>
        <w:rPr>
          <w:rFonts w:ascii="Arial" w:hAnsi="Arial" w:cs="Arial"/>
          <w:sz w:val="24"/>
          <w:szCs w:val="24"/>
        </w:rPr>
      </w:pPr>
      <w:bookmarkStart w:id="0" w:name="_Hlk160442616"/>
      <w:r w:rsidRPr="005A73E1">
        <w:rPr>
          <w:rFonts w:ascii="Arial" w:hAnsi="Arial" w:cs="Arial"/>
          <w:sz w:val="24"/>
          <w:szCs w:val="24"/>
        </w:rPr>
        <w:t>The amend</w:t>
      </w:r>
      <w:r w:rsidR="006D01DD" w:rsidRPr="005A73E1">
        <w:rPr>
          <w:rFonts w:ascii="Arial" w:hAnsi="Arial" w:cs="Arial"/>
          <w:sz w:val="24"/>
          <w:szCs w:val="24"/>
        </w:rPr>
        <w:t xml:space="preserve">ment </w:t>
      </w:r>
      <w:r w:rsidR="00EC6656">
        <w:rPr>
          <w:rFonts w:ascii="Arial" w:hAnsi="Arial" w:cs="Arial"/>
          <w:sz w:val="24"/>
          <w:szCs w:val="24"/>
        </w:rPr>
        <w:t xml:space="preserve">to the bill </w:t>
      </w:r>
      <w:r w:rsidR="00C40A4A">
        <w:rPr>
          <w:rFonts w:ascii="Arial" w:hAnsi="Arial" w:cs="Arial"/>
          <w:sz w:val="24"/>
          <w:szCs w:val="24"/>
        </w:rPr>
        <w:t xml:space="preserve">relates </w:t>
      </w:r>
      <w:r w:rsidR="008F22A6">
        <w:rPr>
          <w:rFonts w:ascii="Arial" w:hAnsi="Arial" w:cs="Arial"/>
          <w:sz w:val="24"/>
          <w:szCs w:val="24"/>
        </w:rPr>
        <w:t xml:space="preserve">to </w:t>
      </w:r>
      <w:r w:rsidR="00E06A08">
        <w:rPr>
          <w:rFonts w:ascii="Arial" w:hAnsi="Arial" w:cs="Arial"/>
          <w:sz w:val="24"/>
          <w:szCs w:val="24"/>
        </w:rPr>
        <w:t>the</w:t>
      </w:r>
      <w:r w:rsidR="00E06A08" w:rsidRPr="00E06A08">
        <w:rPr>
          <w:rFonts w:ascii="Arial" w:hAnsi="Arial" w:cs="Arial"/>
          <w:sz w:val="24"/>
          <w:szCs w:val="24"/>
        </w:rPr>
        <w:t xml:space="preserve"> commencement provision </w:t>
      </w:r>
      <w:r w:rsidR="00EC6656">
        <w:rPr>
          <w:rFonts w:ascii="Arial" w:hAnsi="Arial" w:cs="Arial"/>
          <w:sz w:val="24"/>
          <w:szCs w:val="24"/>
        </w:rPr>
        <w:t xml:space="preserve">for </w:t>
      </w:r>
      <w:r w:rsidR="008F65E9">
        <w:rPr>
          <w:rFonts w:ascii="Arial" w:hAnsi="Arial" w:cs="Arial"/>
          <w:sz w:val="24"/>
          <w:szCs w:val="24"/>
        </w:rPr>
        <w:t>clause</w:t>
      </w:r>
      <w:r w:rsidR="00DC21A9">
        <w:rPr>
          <w:rFonts w:ascii="Arial" w:hAnsi="Arial" w:cs="Arial"/>
          <w:sz w:val="24"/>
          <w:szCs w:val="24"/>
        </w:rPr>
        <w:t>s</w:t>
      </w:r>
      <w:r w:rsidR="00EC6656">
        <w:rPr>
          <w:rFonts w:ascii="Arial" w:hAnsi="Arial" w:cs="Arial"/>
          <w:sz w:val="24"/>
          <w:szCs w:val="24"/>
        </w:rPr>
        <w:t xml:space="preserve"> </w:t>
      </w:r>
      <w:r w:rsidR="00DC21A9">
        <w:rPr>
          <w:rFonts w:ascii="Arial" w:hAnsi="Arial" w:cs="Arial"/>
          <w:sz w:val="24"/>
          <w:szCs w:val="24"/>
        </w:rPr>
        <w:t xml:space="preserve">3 and </w:t>
      </w:r>
      <w:r w:rsidR="00EC6656">
        <w:rPr>
          <w:rFonts w:ascii="Arial" w:hAnsi="Arial" w:cs="Arial"/>
          <w:sz w:val="24"/>
          <w:szCs w:val="24"/>
        </w:rPr>
        <w:t xml:space="preserve">56 to 59. It was intended that </w:t>
      </w:r>
      <w:r w:rsidR="008F65E9">
        <w:rPr>
          <w:rFonts w:ascii="Arial" w:hAnsi="Arial" w:cs="Arial"/>
          <w:sz w:val="24"/>
          <w:szCs w:val="24"/>
        </w:rPr>
        <w:t>clauses</w:t>
      </w:r>
      <w:r w:rsidR="00EC6656">
        <w:rPr>
          <w:rFonts w:ascii="Arial" w:hAnsi="Arial" w:cs="Arial"/>
          <w:sz w:val="24"/>
          <w:szCs w:val="24"/>
        </w:rPr>
        <w:t xml:space="preserve"> </w:t>
      </w:r>
      <w:r w:rsidR="00DC21A9">
        <w:rPr>
          <w:rFonts w:ascii="Arial" w:hAnsi="Arial" w:cs="Arial"/>
          <w:sz w:val="24"/>
          <w:szCs w:val="24"/>
        </w:rPr>
        <w:t xml:space="preserve">3 and </w:t>
      </w:r>
      <w:r w:rsidR="00EC6656">
        <w:rPr>
          <w:rFonts w:ascii="Arial" w:hAnsi="Arial" w:cs="Arial"/>
          <w:sz w:val="24"/>
          <w:szCs w:val="24"/>
        </w:rPr>
        <w:t xml:space="preserve">56 to 59 would </w:t>
      </w:r>
      <w:r w:rsidR="00E06A08" w:rsidRPr="00E06A08">
        <w:rPr>
          <w:rFonts w:ascii="Arial" w:hAnsi="Arial" w:cs="Arial"/>
          <w:sz w:val="24"/>
          <w:szCs w:val="24"/>
        </w:rPr>
        <w:t xml:space="preserve">commence </w:t>
      </w:r>
      <w:r w:rsidR="00EC6656">
        <w:rPr>
          <w:rFonts w:ascii="Arial" w:hAnsi="Arial" w:cs="Arial"/>
          <w:sz w:val="24"/>
          <w:szCs w:val="24"/>
        </w:rPr>
        <w:t xml:space="preserve">in concert with the commencement </w:t>
      </w:r>
      <w:r w:rsidR="00E06A08" w:rsidRPr="00E06A08">
        <w:rPr>
          <w:rFonts w:ascii="Arial" w:hAnsi="Arial" w:cs="Arial"/>
          <w:sz w:val="24"/>
          <w:szCs w:val="24"/>
        </w:rPr>
        <w:t>of section</w:t>
      </w:r>
      <w:r w:rsidR="00DC21A9">
        <w:rPr>
          <w:rFonts w:ascii="Arial" w:hAnsi="Arial" w:cs="Arial"/>
          <w:sz w:val="24"/>
          <w:szCs w:val="24"/>
        </w:rPr>
        <w:t> </w:t>
      </w:r>
      <w:r w:rsidR="00E06A08" w:rsidRPr="00E06A08">
        <w:rPr>
          <w:rFonts w:ascii="Arial" w:hAnsi="Arial" w:cs="Arial"/>
          <w:sz w:val="24"/>
          <w:szCs w:val="24"/>
        </w:rPr>
        <w:t xml:space="preserve">25 of the </w:t>
      </w:r>
      <w:r w:rsidR="00E06A08" w:rsidRPr="00E06A08">
        <w:rPr>
          <w:rFonts w:ascii="Arial" w:hAnsi="Arial" w:cs="Arial"/>
          <w:i/>
          <w:iCs/>
          <w:sz w:val="24"/>
          <w:szCs w:val="24"/>
        </w:rPr>
        <w:t>Property Developers Act 2024</w:t>
      </w:r>
      <w:r w:rsidR="00EB65BE">
        <w:rPr>
          <w:rFonts w:ascii="Arial" w:hAnsi="Arial" w:cs="Arial"/>
          <w:sz w:val="24"/>
          <w:szCs w:val="24"/>
        </w:rPr>
        <w:t xml:space="preserve"> (the </w:t>
      </w:r>
      <w:r w:rsidR="00EB65BE" w:rsidRPr="00BE4C7F">
        <w:rPr>
          <w:rFonts w:ascii="Arial" w:hAnsi="Arial" w:cs="Arial"/>
          <w:b/>
          <w:bCs/>
          <w:i/>
          <w:iCs/>
          <w:sz w:val="24"/>
          <w:szCs w:val="24"/>
        </w:rPr>
        <w:t>PD Act</w:t>
      </w:r>
      <w:r w:rsidR="00EB65BE">
        <w:rPr>
          <w:rFonts w:ascii="Arial" w:hAnsi="Arial" w:cs="Arial"/>
          <w:sz w:val="24"/>
          <w:szCs w:val="24"/>
        </w:rPr>
        <w:t>)</w:t>
      </w:r>
      <w:r w:rsidR="00E06A08" w:rsidRPr="00E06A08">
        <w:rPr>
          <w:rFonts w:ascii="Arial" w:hAnsi="Arial" w:cs="Arial"/>
          <w:sz w:val="24"/>
          <w:szCs w:val="24"/>
        </w:rPr>
        <w:t xml:space="preserve">. When the </w:t>
      </w:r>
      <w:r w:rsidR="00EC6656">
        <w:rPr>
          <w:rFonts w:ascii="Arial" w:hAnsi="Arial" w:cs="Arial"/>
          <w:sz w:val="24"/>
          <w:szCs w:val="24"/>
        </w:rPr>
        <w:t>b</w:t>
      </w:r>
      <w:r w:rsidR="00E06A08" w:rsidRPr="00E06A08">
        <w:rPr>
          <w:rFonts w:ascii="Arial" w:hAnsi="Arial" w:cs="Arial"/>
          <w:sz w:val="24"/>
          <w:szCs w:val="24"/>
        </w:rPr>
        <w:t xml:space="preserve">ill was presented on 23 October 2025, section 25 of the </w:t>
      </w:r>
      <w:r w:rsidR="008F65E9">
        <w:rPr>
          <w:rFonts w:ascii="Arial" w:hAnsi="Arial" w:cs="Arial"/>
          <w:sz w:val="24"/>
          <w:szCs w:val="24"/>
        </w:rPr>
        <w:t>PD Act</w:t>
      </w:r>
      <w:r w:rsidR="00E06A08" w:rsidRPr="00E06A08">
        <w:rPr>
          <w:rFonts w:ascii="Arial" w:hAnsi="Arial" w:cs="Arial"/>
          <w:sz w:val="24"/>
          <w:szCs w:val="24"/>
        </w:rPr>
        <w:t xml:space="preserve"> had not yet commenced. However, </w:t>
      </w:r>
      <w:r w:rsidR="00EC6656">
        <w:rPr>
          <w:rFonts w:ascii="Arial" w:hAnsi="Arial" w:cs="Arial"/>
          <w:sz w:val="24"/>
          <w:szCs w:val="24"/>
        </w:rPr>
        <w:t xml:space="preserve">since the introduction of the bill, the relevant provision of the </w:t>
      </w:r>
      <w:r w:rsidR="008F65E9" w:rsidRPr="00BE4C7F">
        <w:rPr>
          <w:rFonts w:ascii="Arial" w:hAnsi="Arial" w:cs="Arial"/>
          <w:sz w:val="24"/>
          <w:szCs w:val="24"/>
        </w:rPr>
        <w:t>PD Act</w:t>
      </w:r>
      <w:r w:rsidR="00EC6656" w:rsidRPr="00BE4C7F">
        <w:rPr>
          <w:rFonts w:ascii="Arial" w:hAnsi="Arial" w:cs="Arial"/>
          <w:sz w:val="24"/>
          <w:szCs w:val="24"/>
        </w:rPr>
        <w:t xml:space="preserve"> has </w:t>
      </w:r>
      <w:r w:rsidR="00E06A08" w:rsidRPr="00E06A08">
        <w:rPr>
          <w:rFonts w:ascii="Arial" w:hAnsi="Arial" w:cs="Arial"/>
          <w:sz w:val="24"/>
          <w:szCs w:val="24"/>
        </w:rPr>
        <w:t>commence</w:t>
      </w:r>
      <w:r w:rsidR="00DC21A9">
        <w:rPr>
          <w:rFonts w:ascii="Arial" w:hAnsi="Arial" w:cs="Arial"/>
          <w:sz w:val="24"/>
          <w:szCs w:val="24"/>
        </w:rPr>
        <w:t>d</w:t>
      </w:r>
      <w:r w:rsidR="00EC6656">
        <w:rPr>
          <w:rFonts w:ascii="Arial" w:hAnsi="Arial" w:cs="Arial"/>
          <w:sz w:val="24"/>
          <w:szCs w:val="24"/>
        </w:rPr>
        <w:t>.</w:t>
      </w:r>
    </w:p>
    <w:p w14:paraId="21FC41D8" w14:textId="6700800F" w:rsidR="00780F63" w:rsidRDefault="00E06A08" w:rsidP="00513959">
      <w:pPr>
        <w:spacing w:after="240" w:line="240" w:lineRule="auto"/>
        <w:rPr>
          <w:rFonts w:ascii="Arial" w:hAnsi="Arial" w:cs="Arial"/>
          <w:sz w:val="24"/>
          <w:szCs w:val="24"/>
        </w:rPr>
      </w:pPr>
      <w:r w:rsidRPr="00E06A08">
        <w:rPr>
          <w:rFonts w:ascii="Arial" w:hAnsi="Arial" w:cs="Arial"/>
          <w:sz w:val="24"/>
          <w:szCs w:val="24"/>
        </w:rPr>
        <w:t xml:space="preserve">As a result, the </w:t>
      </w:r>
      <w:r w:rsidR="00EB65BE">
        <w:rPr>
          <w:rFonts w:ascii="Arial" w:hAnsi="Arial" w:cs="Arial"/>
          <w:sz w:val="24"/>
          <w:szCs w:val="24"/>
        </w:rPr>
        <w:t>related commencement clause has been superseded.</w:t>
      </w:r>
      <w:r w:rsidRPr="00E06A08">
        <w:rPr>
          <w:rFonts w:ascii="Arial" w:hAnsi="Arial" w:cs="Arial"/>
          <w:sz w:val="24"/>
          <w:szCs w:val="24"/>
        </w:rPr>
        <w:t xml:space="preserve"> </w:t>
      </w:r>
      <w:r w:rsidR="001B56ED">
        <w:rPr>
          <w:rFonts w:ascii="Arial" w:hAnsi="Arial" w:cs="Arial"/>
          <w:sz w:val="24"/>
          <w:szCs w:val="24"/>
        </w:rPr>
        <w:t>T</w:t>
      </w:r>
      <w:r w:rsidR="00EB65BE">
        <w:rPr>
          <w:rFonts w:ascii="Arial" w:hAnsi="Arial" w:cs="Arial"/>
          <w:sz w:val="24"/>
          <w:szCs w:val="24"/>
        </w:rPr>
        <w:t xml:space="preserve">his </w:t>
      </w:r>
      <w:r w:rsidRPr="00E06A08">
        <w:rPr>
          <w:rFonts w:ascii="Arial" w:hAnsi="Arial" w:cs="Arial"/>
          <w:sz w:val="24"/>
          <w:szCs w:val="24"/>
        </w:rPr>
        <w:t xml:space="preserve">amendment updates the commencement provision so that </w:t>
      </w:r>
      <w:r w:rsidR="008F65E9">
        <w:rPr>
          <w:rFonts w:ascii="Arial" w:hAnsi="Arial" w:cs="Arial"/>
          <w:sz w:val="24"/>
          <w:szCs w:val="24"/>
        </w:rPr>
        <w:t>clauses</w:t>
      </w:r>
      <w:r w:rsidRPr="00E06A08">
        <w:rPr>
          <w:rFonts w:ascii="Arial" w:hAnsi="Arial" w:cs="Arial"/>
          <w:sz w:val="24"/>
          <w:szCs w:val="24"/>
        </w:rPr>
        <w:t xml:space="preserve"> </w:t>
      </w:r>
      <w:r w:rsidR="000A075A">
        <w:rPr>
          <w:rFonts w:ascii="Arial" w:hAnsi="Arial" w:cs="Arial"/>
          <w:sz w:val="24"/>
          <w:szCs w:val="24"/>
        </w:rPr>
        <w:t xml:space="preserve">3 and </w:t>
      </w:r>
      <w:r w:rsidRPr="00E06A08">
        <w:rPr>
          <w:rFonts w:ascii="Arial" w:hAnsi="Arial" w:cs="Arial"/>
          <w:sz w:val="24"/>
          <w:szCs w:val="24"/>
        </w:rPr>
        <w:t>56</w:t>
      </w:r>
      <w:r w:rsidR="00EB65BE">
        <w:rPr>
          <w:rFonts w:ascii="Arial" w:hAnsi="Arial" w:cs="Arial"/>
          <w:sz w:val="24"/>
          <w:szCs w:val="24"/>
        </w:rPr>
        <w:t xml:space="preserve"> to </w:t>
      </w:r>
      <w:r w:rsidRPr="00E06A08">
        <w:rPr>
          <w:rFonts w:ascii="Arial" w:hAnsi="Arial" w:cs="Arial"/>
          <w:sz w:val="24"/>
          <w:szCs w:val="24"/>
        </w:rPr>
        <w:t>59 commence on the day after notification</w:t>
      </w:r>
      <w:r>
        <w:rPr>
          <w:rFonts w:ascii="Arial" w:hAnsi="Arial" w:cs="Arial"/>
          <w:sz w:val="24"/>
          <w:szCs w:val="24"/>
        </w:rPr>
        <w:t>.</w:t>
      </w:r>
    </w:p>
    <w:bookmarkEnd w:id="0"/>
    <w:p w14:paraId="25E5EC3A" w14:textId="44996B06" w:rsidR="00E90DF9" w:rsidRPr="00A476B9" w:rsidRDefault="00E90DF9" w:rsidP="00EC28FA">
      <w:pPr>
        <w:pStyle w:val="Heading2"/>
      </w:pPr>
      <w:r w:rsidRPr="00A476B9">
        <w:t>CONSULTATION ON THE PROPOSED APPROACH</w:t>
      </w:r>
    </w:p>
    <w:p w14:paraId="0D4735F8" w14:textId="158EE5D5" w:rsidR="00C40A4A" w:rsidRDefault="00D03C0F" w:rsidP="00513959">
      <w:pPr>
        <w:autoSpaceDE w:val="0"/>
        <w:autoSpaceDN w:val="0"/>
        <w:adjustRightInd w:val="0"/>
        <w:spacing w:after="0" w:line="240" w:lineRule="auto"/>
        <w:rPr>
          <w:rFonts w:ascii="Arial" w:hAnsi="Arial" w:cs="Arial"/>
          <w:sz w:val="24"/>
          <w:szCs w:val="24"/>
        </w:rPr>
      </w:pPr>
      <w:bookmarkStart w:id="1" w:name="_Hlk160447481"/>
      <w:r w:rsidRPr="00EC28FA">
        <w:rPr>
          <w:rFonts w:ascii="Arial" w:hAnsi="Arial" w:cs="Arial"/>
          <w:sz w:val="24"/>
          <w:szCs w:val="24"/>
        </w:rPr>
        <w:t>T</w:t>
      </w:r>
      <w:r w:rsidR="0094011A" w:rsidRPr="00EC28FA">
        <w:rPr>
          <w:rFonts w:ascii="Arial" w:hAnsi="Arial" w:cs="Arial"/>
          <w:sz w:val="24"/>
          <w:szCs w:val="24"/>
        </w:rPr>
        <w:t xml:space="preserve">he Government consulted with the </w:t>
      </w:r>
      <w:r w:rsidR="00E06A08" w:rsidRPr="00E06A08">
        <w:rPr>
          <w:rFonts w:ascii="Arial" w:hAnsi="Arial" w:cs="Arial"/>
          <w:sz w:val="24"/>
          <w:szCs w:val="24"/>
        </w:rPr>
        <w:t>Parliamentary Counsel’s Office</w:t>
      </w:r>
      <w:r w:rsidR="00370835">
        <w:rPr>
          <w:rFonts w:ascii="Arial" w:hAnsi="Arial" w:cs="Arial"/>
          <w:sz w:val="24"/>
          <w:szCs w:val="24"/>
        </w:rPr>
        <w:t xml:space="preserve"> and the Human Rights Scrutiny team</w:t>
      </w:r>
      <w:r w:rsidR="0094011A" w:rsidRPr="00EC28FA">
        <w:rPr>
          <w:rFonts w:ascii="Arial" w:hAnsi="Arial" w:cs="Arial"/>
          <w:sz w:val="24"/>
          <w:szCs w:val="24"/>
        </w:rPr>
        <w:t xml:space="preserve"> </w:t>
      </w:r>
      <w:r w:rsidR="00370835">
        <w:rPr>
          <w:rFonts w:ascii="Arial" w:hAnsi="Arial" w:cs="Arial"/>
          <w:sz w:val="24"/>
          <w:szCs w:val="24"/>
        </w:rPr>
        <w:t xml:space="preserve">in the Justice and Community Safety Directorate </w:t>
      </w:r>
      <w:r w:rsidRPr="00EC28FA">
        <w:rPr>
          <w:rFonts w:ascii="Arial" w:hAnsi="Arial" w:cs="Arial"/>
          <w:sz w:val="24"/>
          <w:szCs w:val="24"/>
        </w:rPr>
        <w:t>on the Government amendments</w:t>
      </w:r>
      <w:bookmarkStart w:id="2" w:name="_Hlk160442642"/>
      <w:bookmarkEnd w:id="1"/>
      <w:r w:rsidRPr="00EC28FA">
        <w:rPr>
          <w:rFonts w:ascii="Arial" w:hAnsi="Arial" w:cs="Arial"/>
          <w:sz w:val="24"/>
          <w:szCs w:val="24"/>
        </w:rPr>
        <w:t>.</w:t>
      </w:r>
    </w:p>
    <w:p w14:paraId="177E4992" w14:textId="77777777" w:rsidR="00DD597F" w:rsidRPr="00DD597F" w:rsidRDefault="00DD597F" w:rsidP="00DD597F">
      <w:pPr>
        <w:spacing w:after="0"/>
        <w:rPr>
          <w:rFonts w:ascii="Arial" w:hAnsi="Arial" w:cs="Arial"/>
          <w:bCs/>
          <w:sz w:val="24"/>
          <w:szCs w:val="24"/>
          <w:highlight w:val="yellow"/>
        </w:rPr>
      </w:pPr>
    </w:p>
    <w:bookmarkEnd w:id="2"/>
    <w:p w14:paraId="23CB6687" w14:textId="0B517A49" w:rsidR="00CF76B1" w:rsidRPr="00A476B9" w:rsidRDefault="00CF76B1" w:rsidP="00DD597F">
      <w:pPr>
        <w:pStyle w:val="Heading2"/>
      </w:pPr>
      <w:r w:rsidRPr="00A476B9">
        <w:t>CLIMATE IMPACT</w:t>
      </w:r>
    </w:p>
    <w:p w14:paraId="2149DA83" w14:textId="2BE2C7AF" w:rsidR="0094011A" w:rsidRDefault="0094011A" w:rsidP="0094011A">
      <w:pPr>
        <w:spacing w:after="240" w:line="360" w:lineRule="auto"/>
        <w:rPr>
          <w:rFonts w:ascii="Arial" w:hAnsi="Arial" w:cs="Arial"/>
          <w:sz w:val="24"/>
          <w:szCs w:val="24"/>
        </w:rPr>
      </w:pPr>
      <w:r>
        <w:rPr>
          <w:rFonts w:ascii="Arial" w:hAnsi="Arial" w:cs="Arial"/>
          <w:sz w:val="24"/>
          <w:szCs w:val="24"/>
        </w:rPr>
        <w:t xml:space="preserve">This </w:t>
      </w:r>
      <w:r w:rsidR="006D01DD">
        <w:rPr>
          <w:rFonts w:ascii="Arial" w:hAnsi="Arial" w:cs="Arial"/>
          <w:sz w:val="24"/>
          <w:szCs w:val="24"/>
        </w:rPr>
        <w:t>amendment has</w:t>
      </w:r>
      <w:r>
        <w:rPr>
          <w:rFonts w:ascii="Arial" w:hAnsi="Arial" w:cs="Arial"/>
          <w:sz w:val="24"/>
          <w:szCs w:val="24"/>
        </w:rPr>
        <w:t xml:space="preserve"> no impact on climate change.</w:t>
      </w:r>
    </w:p>
    <w:p w14:paraId="1E002791" w14:textId="13B1C834" w:rsidR="00E90DF9" w:rsidRDefault="00E90DF9" w:rsidP="00E90DF9">
      <w:pPr>
        <w:pStyle w:val="Heading2"/>
      </w:pPr>
      <w:r>
        <w:t xml:space="preserve">CONSISTENCY WITH </w:t>
      </w:r>
      <w:r w:rsidRPr="008C225D">
        <w:t>HUMAN RIGHTS</w:t>
      </w:r>
    </w:p>
    <w:p w14:paraId="4DC26A56" w14:textId="34A359D4" w:rsidR="00105DA0" w:rsidRDefault="00105DA0" w:rsidP="00513959">
      <w:pPr>
        <w:spacing w:after="240" w:line="240" w:lineRule="auto"/>
        <w:rPr>
          <w:rFonts w:ascii="Arial" w:hAnsi="Arial" w:cs="Arial"/>
          <w:sz w:val="24"/>
          <w:szCs w:val="24"/>
        </w:rPr>
      </w:pPr>
      <w:r>
        <w:rPr>
          <w:rFonts w:ascii="Arial" w:hAnsi="Arial" w:cs="Arial"/>
          <w:sz w:val="24"/>
          <w:szCs w:val="24"/>
        </w:rPr>
        <w:t xml:space="preserve">While due regard was given to the compatibility with human rights </w:t>
      </w:r>
      <w:r w:rsidRPr="00A476B9">
        <w:rPr>
          <w:rFonts w:ascii="Arial" w:hAnsi="Arial" w:cs="Arial"/>
          <w:sz w:val="24"/>
          <w:szCs w:val="24"/>
        </w:rPr>
        <w:t>as set out in the </w:t>
      </w:r>
      <w:r w:rsidRPr="00A476B9">
        <w:rPr>
          <w:rFonts w:ascii="Arial" w:hAnsi="Arial" w:cs="Arial"/>
          <w:i/>
          <w:iCs/>
          <w:sz w:val="24"/>
          <w:szCs w:val="24"/>
        </w:rPr>
        <w:t>Human Rights Act 2004</w:t>
      </w:r>
      <w:r>
        <w:rPr>
          <w:rFonts w:ascii="Arial" w:hAnsi="Arial" w:cs="Arial"/>
          <w:sz w:val="24"/>
          <w:szCs w:val="24"/>
        </w:rPr>
        <w:t xml:space="preserve"> (the </w:t>
      </w:r>
      <w:r w:rsidRPr="00864A6C">
        <w:rPr>
          <w:rFonts w:ascii="Arial" w:hAnsi="Arial" w:cs="Arial"/>
          <w:b/>
          <w:bCs/>
          <w:i/>
          <w:iCs/>
          <w:sz w:val="24"/>
          <w:szCs w:val="24"/>
        </w:rPr>
        <w:t>HRA</w:t>
      </w:r>
      <w:r>
        <w:rPr>
          <w:rFonts w:ascii="Arial" w:hAnsi="Arial" w:cs="Arial"/>
          <w:sz w:val="24"/>
          <w:szCs w:val="24"/>
        </w:rPr>
        <w:t>) d</w:t>
      </w:r>
      <w:r w:rsidR="0094011A" w:rsidRPr="00A476B9">
        <w:rPr>
          <w:rFonts w:ascii="Arial" w:hAnsi="Arial" w:cs="Arial"/>
          <w:sz w:val="24"/>
          <w:szCs w:val="24"/>
        </w:rPr>
        <w:t xml:space="preserve">uring the development of the </w:t>
      </w:r>
      <w:r w:rsidR="0003107C" w:rsidRPr="00A476B9">
        <w:rPr>
          <w:rFonts w:ascii="Arial" w:hAnsi="Arial" w:cs="Arial"/>
          <w:sz w:val="24"/>
          <w:szCs w:val="24"/>
        </w:rPr>
        <w:t>b</w:t>
      </w:r>
      <w:r w:rsidR="0094011A" w:rsidRPr="00A476B9">
        <w:rPr>
          <w:rFonts w:ascii="Arial" w:hAnsi="Arial" w:cs="Arial"/>
          <w:sz w:val="24"/>
          <w:szCs w:val="24"/>
        </w:rPr>
        <w:t>ill</w:t>
      </w:r>
      <w:r>
        <w:rPr>
          <w:rFonts w:ascii="Arial" w:hAnsi="Arial" w:cs="Arial"/>
          <w:sz w:val="24"/>
          <w:szCs w:val="24"/>
        </w:rPr>
        <w:t>, the further analysis of the rights engaged has been included in this supplementary explanatory statement for completeness.</w:t>
      </w:r>
    </w:p>
    <w:p w14:paraId="2FBA51FE" w14:textId="53BCCDF3" w:rsidR="00105DA0" w:rsidRDefault="00105DA0" w:rsidP="00513959">
      <w:pPr>
        <w:spacing w:after="240" w:line="240" w:lineRule="auto"/>
        <w:rPr>
          <w:rFonts w:ascii="Arial" w:hAnsi="Arial" w:cs="Arial"/>
          <w:sz w:val="24"/>
          <w:szCs w:val="24"/>
        </w:rPr>
      </w:pPr>
      <w:r>
        <w:rPr>
          <w:rFonts w:ascii="Arial" w:hAnsi="Arial" w:cs="Arial"/>
          <w:sz w:val="24"/>
          <w:szCs w:val="24"/>
        </w:rPr>
        <w:t xml:space="preserve">The below discussion relates to </w:t>
      </w:r>
      <w:r w:rsidR="00A43846" w:rsidRPr="00A43846">
        <w:rPr>
          <w:rFonts w:ascii="Arial" w:hAnsi="Arial" w:cs="Arial"/>
          <w:sz w:val="24"/>
          <w:szCs w:val="24"/>
        </w:rPr>
        <w:t>the limitation on rights in criminal proceedings under section 22 of the</w:t>
      </w:r>
      <w:r w:rsidR="00370835">
        <w:rPr>
          <w:rFonts w:ascii="Arial" w:hAnsi="Arial" w:cs="Arial"/>
          <w:sz w:val="24"/>
          <w:szCs w:val="24"/>
        </w:rPr>
        <w:t xml:space="preserve"> </w:t>
      </w:r>
      <w:r w:rsidR="00A43846" w:rsidRPr="00A43846">
        <w:rPr>
          <w:rFonts w:ascii="Arial" w:hAnsi="Arial" w:cs="Arial"/>
          <w:sz w:val="24"/>
          <w:szCs w:val="24"/>
        </w:rPr>
        <w:t>HRA</w:t>
      </w:r>
      <w:r>
        <w:rPr>
          <w:rFonts w:ascii="Arial" w:hAnsi="Arial" w:cs="Arial"/>
          <w:sz w:val="24"/>
          <w:szCs w:val="24"/>
        </w:rPr>
        <w:t>. In particular,</w:t>
      </w:r>
      <w:r w:rsidR="00A43846">
        <w:rPr>
          <w:rFonts w:ascii="Arial" w:hAnsi="Arial" w:cs="Arial"/>
          <w:sz w:val="24"/>
          <w:szCs w:val="24"/>
        </w:rPr>
        <w:t xml:space="preserve"> </w:t>
      </w:r>
      <w:r>
        <w:rPr>
          <w:rFonts w:ascii="Arial" w:hAnsi="Arial" w:cs="Arial"/>
          <w:sz w:val="24"/>
          <w:szCs w:val="24"/>
        </w:rPr>
        <w:t>the</w:t>
      </w:r>
      <w:r w:rsidR="00A43846">
        <w:rPr>
          <w:rFonts w:ascii="Arial" w:hAnsi="Arial" w:cs="Arial"/>
          <w:sz w:val="24"/>
          <w:szCs w:val="24"/>
        </w:rPr>
        <w:t xml:space="preserve"> a</w:t>
      </w:r>
      <w:r w:rsidR="00A43846" w:rsidRPr="00A43846">
        <w:rPr>
          <w:rFonts w:ascii="Arial" w:hAnsi="Arial" w:cs="Arial"/>
          <w:sz w:val="24"/>
          <w:szCs w:val="24"/>
        </w:rPr>
        <w:t xml:space="preserve">mendments to sections 83M and 83OB of the </w:t>
      </w:r>
      <w:r w:rsidR="00A43846" w:rsidRPr="00513959">
        <w:rPr>
          <w:rFonts w:ascii="Arial" w:hAnsi="Arial" w:cs="Arial"/>
          <w:i/>
          <w:iCs/>
          <w:sz w:val="24"/>
          <w:szCs w:val="24"/>
        </w:rPr>
        <w:t>Building Act 2004</w:t>
      </w:r>
      <w:r>
        <w:rPr>
          <w:rFonts w:ascii="Arial" w:hAnsi="Arial" w:cs="Arial"/>
          <w:sz w:val="24"/>
          <w:szCs w:val="24"/>
        </w:rPr>
        <w:t>, as proposed by</w:t>
      </w:r>
      <w:r w:rsidR="00A43846" w:rsidRPr="00A43846">
        <w:rPr>
          <w:rFonts w:ascii="Arial" w:hAnsi="Arial" w:cs="Arial"/>
          <w:sz w:val="24"/>
          <w:szCs w:val="24"/>
        </w:rPr>
        <w:t xml:space="preserve"> th</w:t>
      </w:r>
      <w:r>
        <w:rPr>
          <w:rFonts w:ascii="Arial" w:hAnsi="Arial" w:cs="Arial"/>
          <w:sz w:val="24"/>
          <w:szCs w:val="24"/>
        </w:rPr>
        <w:t>is</w:t>
      </w:r>
      <w:r w:rsidR="00A43846" w:rsidRPr="00A43846">
        <w:rPr>
          <w:rFonts w:ascii="Arial" w:hAnsi="Arial" w:cs="Arial"/>
          <w:sz w:val="24"/>
          <w:szCs w:val="24"/>
        </w:rPr>
        <w:t xml:space="preserve"> </w:t>
      </w:r>
      <w:r>
        <w:rPr>
          <w:rFonts w:ascii="Arial" w:hAnsi="Arial" w:cs="Arial"/>
          <w:sz w:val="24"/>
          <w:szCs w:val="24"/>
        </w:rPr>
        <w:t>bill</w:t>
      </w:r>
      <w:r w:rsidR="00EF7797">
        <w:rPr>
          <w:rFonts w:ascii="Arial" w:hAnsi="Arial" w:cs="Arial"/>
          <w:sz w:val="24"/>
          <w:szCs w:val="24"/>
        </w:rPr>
        <w:t>.</w:t>
      </w:r>
    </w:p>
    <w:p w14:paraId="11C505A4" w14:textId="5EC4E054" w:rsidR="00A43846" w:rsidRDefault="00EF7797" w:rsidP="00513959">
      <w:pPr>
        <w:spacing w:after="240" w:line="240" w:lineRule="auto"/>
        <w:rPr>
          <w:rFonts w:ascii="Arial" w:hAnsi="Arial" w:cs="Arial"/>
          <w:sz w:val="24"/>
          <w:szCs w:val="24"/>
        </w:rPr>
      </w:pPr>
      <w:r w:rsidRPr="00EF7797">
        <w:rPr>
          <w:rFonts w:ascii="Arial" w:hAnsi="Arial" w:cs="Arial"/>
          <w:sz w:val="24"/>
          <w:szCs w:val="24"/>
        </w:rPr>
        <w:lastRenderedPageBreak/>
        <w:t xml:space="preserve">The amendments in this </w:t>
      </w:r>
      <w:r w:rsidR="00105DA0">
        <w:rPr>
          <w:rFonts w:ascii="Arial" w:hAnsi="Arial" w:cs="Arial"/>
          <w:sz w:val="24"/>
          <w:szCs w:val="24"/>
        </w:rPr>
        <w:t>b</w:t>
      </w:r>
      <w:r w:rsidRPr="00EF7797">
        <w:rPr>
          <w:rFonts w:ascii="Arial" w:hAnsi="Arial" w:cs="Arial"/>
          <w:sz w:val="24"/>
          <w:szCs w:val="24"/>
        </w:rPr>
        <w:t xml:space="preserve">ill do not expand the scope of existing strict liability offences. </w:t>
      </w:r>
      <w:r w:rsidR="00105DA0">
        <w:rPr>
          <w:rFonts w:ascii="Arial" w:hAnsi="Arial" w:cs="Arial"/>
          <w:sz w:val="24"/>
          <w:szCs w:val="24"/>
        </w:rPr>
        <w:t>Rather, t</w:t>
      </w:r>
      <w:r w:rsidRPr="00EF7797">
        <w:rPr>
          <w:rFonts w:ascii="Arial" w:hAnsi="Arial" w:cs="Arial"/>
          <w:sz w:val="24"/>
          <w:szCs w:val="24"/>
        </w:rPr>
        <w:t>hey primarily update terminology to reflect current practice and clarify what documentation can be used to demonstrate compliance with swimming pool safety requirements. These changes make the process less cumbersome for pool owners and occupiers, ensuring obligations are clear and compliance can be demonstrated more easily through specified documents</w:t>
      </w:r>
      <w:r w:rsidR="00932A37">
        <w:rPr>
          <w:rFonts w:ascii="Arial" w:hAnsi="Arial" w:cs="Arial"/>
          <w:sz w:val="24"/>
          <w:szCs w:val="24"/>
        </w:rPr>
        <w:t>,</w:t>
      </w:r>
      <w:r w:rsidRPr="00EF7797">
        <w:rPr>
          <w:rFonts w:ascii="Arial" w:hAnsi="Arial" w:cs="Arial"/>
          <w:sz w:val="24"/>
          <w:szCs w:val="24"/>
        </w:rPr>
        <w:t xml:space="preserve"> such as compliance status certificates for all safety barriers.</w:t>
      </w:r>
    </w:p>
    <w:p w14:paraId="2A2ADD73" w14:textId="4FE09BFD" w:rsidR="00A43846" w:rsidRDefault="00EF7797" w:rsidP="00513959">
      <w:pPr>
        <w:spacing w:after="240" w:line="240" w:lineRule="auto"/>
        <w:rPr>
          <w:rFonts w:ascii="Arial" w:hAnsi="Arial" w:cs="Arial"/>
          <w:sz w:val="24"/>
          <w:szCs w:val="24"/>
        </w:rPr>
      </w:pPr>
      <w:r w:rsidRPr="00EF7797">
        <w:rPr>
          <w:rFonts w:ascii="Arial" w:hAnsi="Arial" w:cs="Arial"/>
          <w:sz w:val="24"/>
          <w:szCs w:val="24"/>
        </w:rPr>
        <w:t>A human rights assessment has been undertaken in accordance with section 28 of the HRA. The Government considers that while the amendments engage and limit the right to be presumed innocent under section 22, the limitation is reasonable and demonstrably justified.</w:t>
      </w:r>
    </w:p>
    <w:p w14:paraId="688354F3" w14:textId="77777777" w:rsidR="00EF7797" w:rsidRPr="00513959" w:rsidRDefault="00EF7797" w:rsidP="00DD597F">
      <w:pPr>
        <w:spacing w:after="240" w:line="360" w:lineRule="auto"/>
        <w:rPr>
          <w:rFonts w:ascii="Arial" w:hAnsi="Arial" w:cs="Arial"/>
          <w:b/>
          <w:bCs/>
          <w:sz w:val="24"/>
          <w:szCs w:val="24"/>
        </w:rPr>
      </w:pPr>
      <w:r w:rsidRPr="00513959">
        <w:rPr>
          <w:rFonts w:ascii="Arial" w:hAnsi="Arial" w:cs="Arial"/>
          <w:b/>
          <w:bCs/>
          <w:sz w:val="24"/>
          <w:szCs w:val="24"/>
        </w:rPr>
        <w:t>Limitation on rights in criminal proceedings (s 22 HRA) – strict liability offences</w:t>
      </w:r>
    </w:p>
    <w:p w14:paraId="20E2A2D2" w14:textId="77777777" w:rsidR="00EF7797" w:rsidRDefault="00EF7797" w:rsidP="00EF7797">
      <w:pPr>
        <w:rPr>
          <w:rFonts w:ascii="Arial" w:eastAsiaTheme="majorEastAsia" w:hAnsi="Arial" w:cs="Arial"/>
          <w:b/>
          <w:bCs/>
          <w:sz w:val="24"/>
          <w:szCs w:val="24"/>
        </w:rPr>
      </w:pPr>
      <w:r w:rsidRPr="00EF7797">
        <w:rPr>
          <w:rFonts w:ascii="Arial" w:eastAsiaTheme="majorEastAsia" w:hAnsi="Arial" w:cs="Arial"/>
          <w:b/>
          <w:bCs/>
          <w:i/>
          <w:iCs/>
          <w:sz w:val="24"/>
          <w:szCs w:val="24"/>
        </w:rPr>
        <w:t>Nature of the right and the limitation (s 28 (a) and (c))</w:t>
      </w:r>
      <w:r w:rsidRPr="00EF7797">
        <w:rPr>
          <w:rFonts w:ascii="Arial" w:eastAsiaTheme="majorEastAsia" w:hAnsi="Arial" w:cs="Arial"/>
          <w:b/>
          <w:bCs/>
          <w:sz w:val="24"/>
          <w:szCs w:val="24"/>
        </w:rPr>
        <w:t> </w:t>
      </w:r>
    </w:p>
    <w:p w14:paraId="52FC7F55" w14:textId="3EBF53D2" w:rsidR="00EF7797" w:rsidRDefault="00EF7797" w:rsidP="00EF7797">
      <w:pPr>
        <w:rPr>
          <w:rFonts w:ascii="Arial" w:eastAsiaTheme="majorEastAsia" w:hAnsi="Arial" w:cs="Arial"/>
          <w:sz w:val="24"/>
          <w:szCs w:val="24"/>
        </w:rPr>
      </w:pPr>
      <w:r w:rsidRPr="00513959">
        <w:rPr>
          <w:rFonts w:ascii="Arial" w:eastAsiaTheme="majorEastAsia" w:hAnsi="Arial" w:cs="Arial"/>
          <w:sz w:val="24"/>
          <w:szCs w:val="24"/>
        </w:rPr>
        <w:t>Section 22</w:t>
      </w:r>
      <w:r w:rsidR="00932A37">
        <w:rPr>
          <w:rFonts w:ascii="Arial" w:eastAsiaTheme="majorEastAsia" w:hAnsi="Arial" w:cs="Arial"/>
          <w:sz w:val="24"/>
          <w:szCs w:val="24"/>
        </w:rPr>
        <w:t> </w:t>
      </w:r>
      <w:r w:rsidRPr="00513959">
        <w:rPr>
          <w:rFonts w:ascii="Arial" w:eastAsiaTheme="majorEastAsia" w:hAnsi="Arial" w:cs="Arial"/>
          <w:sz w:val="24"/>
          <w:szCs w:val="24"/>
        </w:rPr>
        <w:t>(1) of the HRA provides that everyone charged with a criminal offence has the right to be presumed innocent until proven guilty according to law. This presumption of innocence requires the prosecution to prove all elements of an offence beyond reasonable doubt</w:t>
      </w:r>
      <w:r>
        <w:rPr>
          <w:rFonts w:ascii="Arial" w:eastAsiaTheme="majorEastAsia" w:hAnsi="Arial" w:cs="Arial"/>
          <w:sz w:val="24"/>
          <w:szCs w:val="24"/>
        </w:rPr>
        <w:t xml:space="preserve">. </w:t>
      </w:r>
    </w:p>
    <w:p w14:paraId="089D9116" w14:textId="1CAF3FAD" w:rsidR="00EF7797" w:rsidRDefault="00EF7797" w:rsidP="00EF7797">
      <w:pPr>
        <w:rPr>
          <w:rFonts w:ascii="Arial" w:eastAsiaTheme="majorEastAsia" w:hAnsi="Arial" w:cs="Arial"/>
          <w:sz w:val="24"/>
          <w:szCs w:val="24"/>
        </w:rPr>
      </w:pPr>
      <w:r w:rsidRPr="00EF7797">
        <w:rPr>
          <w:rFonts w:ascii="Arial" w:eastAsiaTheme="majorEastAsia" w:hAnsi="Arial" w:cs="Arial"/>
          <w:sz w:val="24"/>
          <w:szCs w:val="24"/>
        </w:rPr>
        <w:t xml:space="preserve">The amendments in this </w:t>
      </w:r>
      <w:r w:rsidR="00932A37">
        <w:rPr>
          <w:rFonts w:ascii="Arial" w:eastAsiaTheme="majorEastAsia" w:hAnsi="Arial" w:cs="Arial"/>
          <w:sz w:val="24"/>
          <w:szCs w:val="24"/>
        </w:rPr>
        <w:t>b</w:t>
      </w:r>
      <w:r w:rsidRPr="00EF7797">
        <w:rPr>
          <w:rFonts w:ascii="Arial" w:eastAsiaTheme="majorEastAsia" w:hAnsi="Arial" w:cs="Arial"/>
          <w:sz w:val="24"/>
          <w:szCs w:val="24"/>
        </w:rPr>
        <w:t xml:space="preserve">ill engage and limit this right because they relate to strict liability offences under the </w:t>
      </w:r>
      <w:r w:rsidRPr="00513959">
        <w:rPr>
          <w:rFonts w:ascii="Arial" w:eastAsiaTheme="majorEastAsia" w:hAnsi="Arial" w:cs="Arial"/>
          <w:i/>
          <w:iCs/>
          <w:sz w:val="24"/>
          <w:szCs w:val="24"/>
        </w:rPr>
        <w:t>Building Act 2004</w:t>
      </w:r>
      <w:r w:rsidRPr="00EF7797">
        <w:rPr>
          <w:rFonts w:ascii="Arial" w:eastAsiaTheme="majorEastAsia" w:hAnsi="Arial" w:cs="Arial"/>
          <w:sz w:val="24"/>
          <w:szCs w:val="24"/>
        </w:rPr>
        <w:t>. Strict liability offences remove the need for the prosecution to prove a fault element (such as intention, knowledge, recklessness, or negligence).</w:t>
      </w:r>
    </w:p>
    <w:p w14:paraId="3B635833" w14:textId="77777777" w:rsidR="00EF7797" w:rsidRPr="00EF7797" w:rsidRDefault="00EF7797" w:rsidP="00EF7797">
      <w:pPr>
        <w:rPr>
          <w:rFonts w:ascii="Arial" w:eastAsiaTheme="majorEastAsia" w:hAnsi="Arial" w:cs="Arial"/>
          <w:sz w:val="24"/>
          <w:szCs w:val="24"/>
        </w:rPr>
      </w:pPr>
      <w:r w:rsidRPr="00EF7797">
        <w:rPr>
          <w:rFonts w:ascii="Arial" w:eastAsiaTheme="majorEastAsia" w:hAnsi="Arial" w:cs="Arial"/>
          <w:sz w:val="24"/>
          <w:szCs w:val="24"/>
        </w:rPr>
        <w:t xml:space="preserve">The amendments make </w:t>
      </w:r>
      <w:r w:rsidRPr="00513959">
        <w:rPr>
          <w:rFonts w:ascii="Arial" w:eastAsiaTheme="majorEastAsia" w:hAnsi="Arial" w:cs="Arial"/>
          <w:sz w:val="24"/>
          <w:szCs w:val="24"/>
        </w:rPr>
        <w:t>minor changes</w:t>
      </w:r>
      <w:r w:rsidRPr="00EF7797">
        <w:rPr>
          <w:rFonts w:ascii="Arial" w:eastAsiaTheme="majorEastAsia" w:hAnsi="Arial" w:cs="Arial"/>
          <w:sz w:val="24"/>
          <w:szCs w:val="24"/>
        </w:rPr>
        <w:t xml:space="preserve"> to the elements of existing strict liability offences at:</w:t>
      </w:r>
    </w:p>
    <w:p w14:paraId="6D3B8008" w14:textId="77777777" w:rsidR="00EF7797" w:rsidRPr="00EF7797" w:rsidRDefault="00EF7797" w:rsidP="00EF7797">
      <w:pPr>
        <w:numPr>
          <w:ilvl w:val="0"/>
          <w:numId w:val="6"/>
        </w:numPr>
        <w:rPr>
          <w:rFonts w:ascii="Arial" w:eastAsiaTheme="majorEastAsia" w:hAnsi="Arial" w:cs="Arial"/>
          <w:sz w:val="24"/>
          <w:szCs w:val="24"/>
        </w:rPr>
      </w:pPr>
      <w:r w:rsidRPr="00513959">
        <w:rPr>
          <w:rFonts w:ascii="Arial" w:eastAsiaTheme="majorEastAsia" w:hAnsi="Arial" w:cs="Arial"/>
          <w:sz w:val="24"/>
          <w:szCs w:val="24"/>
        </w:rPr>
        <w:t>Section 83M</w:t>
      </w:r>
      <w:r w:rsidRPr="00EF7797">
        <w:rPr>
          <w:rFonts w:ascii="Arial" w:eastAsiaTheme="majorEastAsia" w:hAnsi="Arial" w:cs="Arial"/>
          <w:sz w:val="24"/>
          <w:szCs w:val="24"/>
        </w:rPr>
        <w:t xml:space="preserve"> of the </w:t>
      </w:r>
      <w:r w:rsidRPr="00513959">
        <w:rPr>
          <w:rFonts w:ascii="Arial" w:eastAsiaTheme="majorEastAsia" w:hAnsi="Arial" w:cs="Arial"/>
          <w:i/>
          <w:iCs/>
          <w:sz w:val="24"/>
          <w:szCs w:val="24"/>
        </w:rPr>
        <w:t>Building Act 2004</w:t>
      </w:r>
      <w:r w:rsidRPr="00EF7797">
        <w:rPr>
          <w:rFonts w:ascii="Arial" w:eastAsiaTheme="majorEastAsia" w:hAnsi="Arial" w:cs="Arial"/>
          <w:sz w:val="24"/>
          <w:szCs w:val="24"/>
        </w:rPr>
        <w:t>; and</w:t>
      </w:r>
    </w:p>
    <w:p w14:paraId="1EAB9524" w14:textId="5C684143" w:rsidR="00EF7797" w:rsidRPr="00EF7797" w:rsidRDefault="00EF7797" w:rsidP="00EF7797">
      <w:pPr>
        <w:numPr>
          <w:ilvl w:val="0"/>
          <w:numId w:val="6"/>
        </w:numPr>
        <w:rPr>
          <w:rFonts w:ascii="Arial" w:eastAsiaTheme="majorEastAsia" w:hAnsi="Arial" w:cs="Arial"/>
          <w:sz w:val="24"/>
          <w:szCs w:val="24"/>
        </w:rPr>
      </w:pPr>
      <w:r w:rsidRPr="00513959">
        <w:rPr>
          <w:rFonts w:ascii="Arial" w:eastAsiaTheme="majorEastAsia" w:hAnsi="Arial" w:cs="Arial"/>
          <w:sz w:val="24"/>
          <w:szCs w:val="24"/>
        </w:rPr>
        <w:t>Section 83OB</w:t>
      </w:r>
      <w:r w:rsidRPr="00EF7797">
        <w:rPr>
          <w:rFonts w:ascii="Arial" w:eastAsiaTheme="majorEastAsia" w:hAnsi="Arial" w:cs="Arial"/>
          <w:sz w:val="24"/>
          <w:szCs w:val="24"/>
        </w:rPr>
        <w:t xml:space="preserve">, inserted by the </w:t>
      </w:r>
      <w:r w:rsidRPr="00513959">
        <w:rPr>
          <w:rFonts w:ascii="Arial" w:eastAsiaTheme="majorEastAsia" w:hAnsi="Arial" w:cs="Arial"/>
          <w:i/>
          <w:iCs/>
          <w:sz w:val="24"/>
          <w:szCs w:val="24"/>
        </w:rPr>
        <w:t>Building (Swimming Pool Safety) Legislation Amendment Act 2023</w:t>
      </w:r>
      <w:r w:rsidRPr="00EF7797">
        <w:rPr>
          <w:rFonts w:ascii="Arial" w:eastAsiaTheme="majorEastAsia" w:hAnsi="Arial" w:cs="Arial"/>
          <w:sz w:val="24"/>
          <w:szCs w:val="24"/>
        </w:rPr>
        <w:t xml:space="preserve"> (</w:t>
      </w:r>
      <w:r w:rsidR="00513959">
        <w:rPr>
          <w:rFonts w:ascii="Arial" w:eastAsiaTheme="majorEastAsia" w:hAnsi="Arial" w:cs="Arial"/>
          <w:sz w:val="24"/>
          <w:szCs w:val="24"/>
        </w:rPr>
        <w:t>due to commence 1 May 2028</w:t>
      </w:r>
      <w:r w:rsidRPr="00EF7797">
        <w:rPr>
          <w:rFonts w:ascii="Arial" w:eastAsiaTheme="majorEastAsia" w:hAnsi="Arial" w:cs="Arial"/>
          <w:sz w:val="24"/>
          <w:szCs w:val="24"/>
        </w:rPr>
        <w:t>).</w:t>
      </w:r>
    </w:p>
    <w:p w14:paraId="69546348" w14:textId="5496D253" w:rsidR="00EF7797" w:rsidRDefault="00EF7797" w:rsidP="00EF7797">
      <w:pPr>
        <w:rPr>
          <w:rFonts w:ascii="Arial" w:eastAsiaTheme="majorEastAsia" w:hAnsi="Arial" w:cs="Arial"/>
          <w:sz w:val="24"/>
          <w:szCs w:val="24"/>
        </w:rPr>
      </w:pPr>
      <w:r>
        <w:rPr>
          <w:rFonts w:ascii="Arial" w:eastAsiaTheme="majorEastAsia" w:hAnsi="Arial" w:cs="Arial"/>
          <w:sz w:val="24"/>
          <w:szCs w:val="24"/>
        </w:rPr>
        <w:t>The amendments introduce a definition for “relevant documents</w:t>
      </w:r>
      <w:r w:rsidR="00932A37">
        <w:rPr>
          <w:rFonts w:ascii="Arial" w:eastAsiaTheme="majorEastAsia" w:hAnsi="Arial" w:cs="Arial"/>
          <w:sz w:val="24"/>
          <w:szCs w:val="24"/>
        </w:rPr>
        <w:t>”</w:t>
      </w:r>
      <w:r>
        <w:rPr>
          <w:rFonts w:ascii="Arial" w:eastAsiaTheme="majorEastAsia" w:hAnsi="Arial" w:cs="Arial"/>
          <w:sz w:val="24"/>
          <w:szCs w:val="24"/>
        </w:rPr>
        <w:t xml:space="preserve"> </w:t>
      </w:r>
      <w:r w:rsidR="00932A37">
        <w:rPr>
          <w:rFonts w:ascii="Arial" w:eastAsiaTheme="majorEastAsia" w:hAnsi="Arial" w:cs="Arial"/>
          <w:sz w:val="24"/>
          <w:szCs w:val="24"/>
        </w:rPr>
        <w:t xml:space="preserve">to </w:t>
      </w:r>
      <w:r>
        <w:rPr>
          <w:rFonts w:ascii="Arial" w:eastAsiaTheme="majorEastAsia" w:hAnsi="Arial" w:cs="Arial"/>
          <w:sz w:val="24"/>
          <w:szCs w:val="24"/>
        </w:rPr>
        <w:t xml:space="preserve">clarify the manner in which a person is able to demonstrate compliance. </w:t>
      </w:r>
      <w:r w:rsidRPr="00EF7797">
        <w:rPr>
          <w:rFonts w:ascii="Arial" w:eastAsiaTheme="majorEastAsia" w:hAnsi="Arial" w:cs="Arial"/>
          <w:sz w:val="24"/>
          <w:szCs w:val="24"/>
        </w:rPr>
        <w:t>These changes do not expand the scope of the offences beyond their original intent but ensure clarity and enforceability.</w:t>
      </w:r>
    </w:p>
    <w:p w14:paraId="07A93A1E" w14:textId="563B55FB" w:rsidR="00EF7797" w:rsidRPr="00513959" w:rsidRDefault="00EF7797" w:rsidP="00EF7797">
      <w:pPr>
        <w:rPr>
          <w:rFonts w:ascii="Arial" w:eastAsiaTheme="majorEastAsia" w:hAnsi="Arial" w:cs="Arial"/>
          <w:b/>
          <w:bCs/>
          <w:i/>
          <w:iCs/>
          <w:sz w:val="24"/>
          <w:szCs w:val="24"/>
        </w:rPr>
      </w:pPr>
      <w:r w:rsidRPr="00513959">
        <w:rPr>
          <w:rFonts w:ascii="Arial" w:eastAsiaTheme="majorEastAsia" w:hAnsi="Arial" w:cs="Arial"/>
          <w:b/>
          <w:bCs/>
          <w:i/>
          <w:iCs/>
          <w:sz w:val="24"/>
          <w:szCs w:val="24"/>
        </w:rPr>
        <w:t>Legitimate purpose (s 28</w:t>
      </w:r>
      <w:r w:rsidR="00851D12">
        <w:rPr>
          <w:rFonts w:ascii="Arial" w:eastAsiaTheme="majorEastAsia" w:hAnsi="Arial" w:cs="Arial"/>
          <w:b/>
          <w:bCs/>
          <w:i/>
          <w:iCs/>
          <w:sz w:val="24"/>
          <w:szCs w:val="24"/>
        </w:rPr>
        <w:t xml:space="preserve"> </w:t>
      </w:r>
      <w:r w:rsidRPr="00513959">
        <w:rPr>
          <w:rFonts w:ascii="Arial" w:eastAsiaTheme="majorEastAsia" w:hAnsi="Arial" w:cs="Arial"/>
          <w:b/>
          <w:bCs/>
          <w:i/>
          <w:iCs/>
          <w:sz w:val="24"/>
          <w:szCs w:val="24"/>
        </w:rPr>
        <w:t>(2)</w:t>
      </w:r>
      <w:r w:rsidR="00851D12">
        <w:rPr>
          <w:rFonts w:ascii="Arial" w:eastAsiaTheme="majorEastAsia" w:hAnsi="Arial" w:cs="Arial"/>
          <w:b/>
          <w:bCs/>
          <w:i/>
          <w:iCs/>
          <w:sz w:val="24"/>
          <w:szCs w:val="24"/>
        </w:rPr>
        <w:t xml:space="preserve"> </w:t>
      </w:r>
      <w:r w:rsidRPr="00513959">
        <w:rPr>
          <w:rFonts w:ascii="Arial" w:eastAsiaTheme="majorEastAsia" w:hAnsi="Arial" w:cs="Arial"/>
          <w:b/>
          <w:bCs/>
          <w:i/>
          <w:iCs/>
          <w:sz w:val="24"/>
          <w:szCs w:val="24"/>
        </w:rPr>
        <w:t>(b)</w:t>
      </w:r>
    </w:p>
    <w:p w14:paraId="15EDB2F7" w14:textId="32B92CBF" w:rsidR="00EF7797" w:rsidRPr="001C4758" w:rsidRDefault="00EF7797" w:rsidP="00EF7797">
      <w:pPr>
        <w:spacing w:after="240" w:line="360" w:lineRule="auto"/>
        <w:rPr>
          <w:rFonts w:ascii="Arial" w:eastAsiaTheme="majorEastAsia" w:hAnsi="Arial" w:cs="Arial"/>
          <w:sz w:val="24"/>
          <w:szCs w:val="24"/>
        </w:rPr>
      </w:pPr>
      <w:r w:rsidRPr="001C4758">
        <w:rPr>
          <w:rFonts w:ascii="Arial" w:eastAsiaTheme="majorEastAsia" w:hAnsi="Arial" w:cs="Arial"/>
          <w:sz w:val="24"/>
          <w:szCs w:val="24"/>
        </w:rPr>
        <w:t xml:space="preserve">The legitimate objective of this limitation is to support the objective of the </w:t>
      </w:r>
      <w:r w:rsidR="00932A37" w:rsidRPr="001C4758">
        <w:rPr>
          <w:rFonts w:ascii="Arial" w:eastAsiaTheme="majorEastAsia" w:hAnsi="Arial" w:cs="Arial"/>
          <w:sz w:val="24"/>
          <w:szCs w:val="24"/>
        </w:rPr>
        <w:t>b</w:t>
      </w:r>
      <w:r w:rsidRPr="001C4758">
        <w:rPr>
          <w:rFonts w:ascii="Arial" w:eastAsiaTheme="majorEastAsia" w:hAnsi="Arial" w:cs="Arial"/>
          <w:sz w:val="24"/>
          <w:szCs w:val="24"/>
        </w:rPr>
        <w:t>ill, which is to promote the right to life by:</w:t>
      </w:r>
    </w:p>
    <w:p w14:paraId="5AF7652D" w14:textId="77777777" w:rsidR="00EF7797" w:rsidRPr="00513959" w:rsidRDefault="00EF7797" w:rsidP="00513959">
      <w:pPr>
        <w:pStyle w:val="ListParagraph"/>
        <w:numPr>
          <w:ilvl w:val="0"/>
          <w:numId w:val="7"/>
        </w:numPr>
        <w:spacing w:after="240" w:line="360" w:lineRule="auto"/>
        <w:rPr>
          <w:rFonts w:ascii="Arial" w:hAnsi="Arial" w:cs="Arial"/>
          <w:sz w:val="24"/>
          <w:szCs w:val="24"/>
        </w:rPr>
      </w:pPr>
      <w:r w:rsidRPr="00513959">
        <w:rPr>
          <w:rFonts w:ascii="Arial" w:hAnsi="Arial" w:cs="Arial"/>
          <w:sz w:val="24"/>
          <w:szCs w:val="24"/>
        </w:rPr>
        <w:t>Protecting the public by ensuring home swimming pools and spas in the ACT are fenced in accordance with modern safety standards, and</w:t>
      </w:r>
    </w:p>
    <w:p w14:paraId="787DFD6A" w14:textId="5FF15912" w:rsidR="00EF7797" w:rsidRPr="00513959" w:rsidRDefault="00EF7797" w:rsidP="00513959">
      <w:pPr>
        <w:pStyle w:val="ListParagraph"/>
        <w:numPr>
          <w:ilvl w:val="0"/>
          <w:numId w:val="7"/>
        </w:numPr>
        <w:spacing w:after="240" w:line="360" w:lineRule="auto"/>
        <w:rPr>
          <w:rFonts w:ascii="Arial" w:hAnsi="Arial" w:cs="Arial"/>
          <w:sz w:val="24"/>
          <w:szCs w:val="24"/>
        </w:rPr>
      </w:pPr>
      <w:r w:rsidRPr="00513959">
        <w:rPr>
          <w:rFonts w:ascii="Arial" w:hAnsi="Arial" w:cs="Arial"/>
          <w:sz w:val="24"/>
          <w:szCs w:val="24"/>
        </w:rPr>
        <w:lastRenderedPageBreak/>
        <w:t>Upholding safety standards for home swimming pools and spas in the ACT.</w:t>
      </w:r>
    </w:p>
    <w:p w14:paraId="1B43FE36" w14:textId="7DE6EE3F" w:rsidR="00EF7797" w:rsidRDefault="00EF7797" w:rsidP="00EF7797">
      <w:pPr>
        <w:rPr>
          <w:rFonts w:ascii="Arial" w:eastAsiaTheme="majorEastAsia" w:hAnsi="Arial" w:cs="Arial"/>
          <w:b/>
          <w:bCs/>
          <w:i/>
          <w:iCs/>
          <w:sz w:val="24"/>
          <w:szCs w:val="24"/>
        </w:rPr>
      </w:pPr>
      <w:r w:rsidRPr="00513959">
        <w:rPr>
          <w:rFonts w:ascii="Arial" w:eastAsiaTheme="majorEastAsia" w:hAnsi="Arial" w:cs="Arial"/>
          <w:b/>
          <w:bCs/>
          <w:i/>
          <w:iCs/>
          <w:sz w:val="24"/>
          <w:szCs w:val="24"/>
        </w:rPr>
        <w:t>Rational connection between the limitation and the purpose (s28 (d))</w:t>
      </w:r>
    </w:p>
    <w:p w14:paraId="091B216F" w14:textId="77777777" w:rsidR="006A059F" w:rsidRPr="00513959" w:rsidRDefault="006A059F" w:rsidP="00513959">
      <w:pPr>
        <w:spacing w:line="240" w:lineRule="auto"/>
        <w:rPr>
          <w:rFonts w:ascii="Arial" w:eastAsiaTheme="majorEastAsia" w:hAnsi="Arial" w:cs="Arial"/>
          <w:sz w:val="24"/>
          <w:szCs w:val="24"/>
        </w:rPr>
      </w:pPr>
      <w:r w:rsidRPr="00513959">
        <w:rPr>
          <w:rFonts w:ascii="Arial" w:eastAsiaTheme="majorEastAsia" w:hAnsi="Arial" w:cs="Arial"/>
          <w:sz w:val="24"/>
          <w:szCs w:val="24"/>
        </w:rPr>
        <w:t>The limitation is rationally connected to the purpose because the amendments directly support the effectiveness of the swimming pool safety framework. By introducing a definition and updating terminology, the amendments increase the range of documents that can be used to demonstrate compliance. This ensures that pool owners and occupiers clearly understand what evidence is acceptable to prove compliance with safety requirements.</w:t>
      </w:r>
    </w:p>
    <w:p w14:paraId="48777FBB" w14:textId="70DE4BC1" w:rsidR="00EF7797" w:rsidRDefault="006A059F" w:rsidP="00513959">
      <w:pPr>
        <w:spacing w:line="240" w:lineRule="auto"/>
        <w:rPr>
          <w:rFonts w:ascii="Arial" w:eastAsiaTheme="majorEastAsia" w:hAnsi="Arial" w:cs="Arial"/>
          <w:sz w:val="24"/>
          <w:szCs w:val="24"/>
        </w:rPr>
      </w:pPr>
      <w:r w:rsidRPr="00513959">
        <w:rPr>
          <w:rFonts w:ascii="Arial" w:eastAsiaTheme="majorEastAsia" w:hAnsi="Arial" w:cs="Arial"/>
          <w:sz w:val="24"/>
          <w:szCs w:val="24"/>
        </w:rPr>
        <w:t>Without these clarifications, there is a risk of uncertainty or inconsistency in compliance processes, which could undermine enforcement and compromise safety outcomes. By making compliance pathways clearer and more practical, the amendments help achieve the legitimate purpose of protecting life and preventing accidental drownings. In short, the limitation (strict liability) ensures accountability for compliance obligations, and the amendments make those obligations easier to understand and meet.</w:t>
      </w:r>
    </w:p>
    <w:p w14:paraId="31B8C136" w14:textId="2C836939" w:rsidR="006A059F" w:rsidRPr="00513959" w:rsidRDefault="006A059F" w:rsidP="006A059F">
      <w:pPr>
        <w:rPr>
          <w:rFonts w:ascii="Arial" w:eastAsiaTheme="majorEastAsia" w:hAnsi="Arial" w:cs="Arial"/>
          <w:b/>
          <w:bCs/>
          <w:i/>
          <w:iCs/>
          <w:sz w:val="24"/>
          <w:szCs w:val="24"/>
        </w:rPr>
      </w:pPr>
      <w:r w:rsidRPr="00513959">
        <w:rPr>
          <w:rFonts w:ascii="Arial" w:eastAsiaTheme="majorEastAsia" w:hAnsi="Arial" w:cs="Arial"/>
          <w:b/>
          <w:bCs/>
          <w:i/>
          <w:iCs/>
          <w:sz w:val="24"/>
          <w:szCs w:val="24"/>
        </w:rPr>
        <w:t>Proportionality (s 28(2)(e))</w:t>
      </w:r>
    </w:p>
    <w:p w14:paraId="54244A05" w14:textId="77777777" w:rsidR="006A059F" w:rsidRPr="00513959" w:rsidRDefault="006A059F" w:rsidP="00513959">
      <w:pPr>
        <w:rPr>
          <w:rFonts w:ascii="Arial" w:eastAsiaTheme="majorEastAsia" w:hAnsi="Arial" w:cs="Arial"/>
          <w:sz w:val="24"/>
          <w:szCs w:val="24"/>
        </w:rPr>
      </w:pPr>
      <w:r w:rsidRPr="00513959">
        <w:rPr>
          <w:rFonts w:ascii="Arial" w:eastAsiaTheme="majorEastAsia" w:hAnsi="Arial" w:cs="Arial"/>
          <w:sz w:val="24"/>
          <w:szCs w:val="24"/>
        </w:rPr>
        <w:t>The limitation is proportionate because it achieves an essential public safety objective while imposing only a minimal restriction on rights. These offences concern administrative compliance obligations—such as lodging documentation to confirm pool safety—rather than inherently criminal conduct. The penalties are modest and consistent with the regulatory framework, reflecting the seriousness of the safety risk without being punitive.</w:t>
      </w:r>
    </w:p>
    <w:p w14:paraId="0F387284" w14:textId="77777777" w:rsidR="006A059F" w:rsidRPr="00513959" w:rsidRDefault="006A059F" w:rsidP="00513959">
      <w:pPr>
        <w:rPr>
          <w:rFonts w:ascii="Arial" w:eastAsiaTheme="majorEastAsia" w:hAnsi="Arial" w:cs="Arial"/>
          <w:sz w:val="24"/>
          <w:szCs w:val="24"/>
        </w:rPr>
      </w:pPr>
      <w:r w:rsidRPr="00513959">
        <w:rPr>
          <w:rFonts w:ascii="Arial" w:eastAsiaTheme="majorEastAsia" w:hAnsi="Arial" w:cs="Arial"/>
          <w:sz w:val="24"/>
          <w:szCs w:val="24"/>
        </w:rPr>
        <w:t>Pool owners and occupiers are directly engaged in a regulated activity that carries significant safety risks. It is reasonable to expect them to understand and comply with documentation requirements, particularly as the amendments clarify what documents can be used to demonstrate compliance. This clarity reduces ambiguity and makes compliance less burdensome.</w:t>
      </w:r>
    </w:p>
    <w:p w14:paraId="038DFD7C" w14:textId="77777777" w:rsidR="006A059F" w:rsidRPr="00513959" w:rsidRDefault="006A059F" w:rsidP="00513959">
      <w:pPr>
        <w:rPr>
          <w:rFonts w:ascii="Arial" w:eastAsiaTheme="majorEastAsia" w:hAnsi="Arial" w:cs="Arial"/>
          <w:sz w:val="24"/>
          <w:szCs w:val="24"/>
        </w:rPr>
      </w:pPr>
      <w:r w:rsidRPr="00513959">
        <w:rPr>
          <w:rFonts w:ascii="Arial" w:eastAsiaTheme="majorEastAsia" w:hAnsi="Arial" w:cs="Arial"/>
          <w:sz w:val="24"/>
          <w:szCs w:val="24"/>
        </w:rPr>
        <w:t>Importantly, the amendments do not create new substantive obligations or expand the scope of the offences. They simply update terminology and introduce a definition to make compliance clearer and more practical. Safeguards remain in place, including the defence of honest and reasonable mistake of fact, ensuring that individuals are not penalised for genuine errors.</w:t>
      </w:r>
    </w:p>
    <w:p w14:paraId="7942351E" w14:textId="77777777" w:rsidR="006A059F" w:rsidRDefault="006A059F" w:rsidP="00513959">
      <w:pPr>
        <w:rPr>
          <w:rFonts w:ascii="Arial" w:eastAsiaTheme="majorEastAsia" w:hAnsi="Arial" w:cs="Arial"/>
          <w:sz w:val="24"/>
          <w:szCs w:val="24"/>
        </w:rPr>
      </w:pPr>
      <w:r w:rsidRPr="00513959">
        <w:rPr>
          <w:rFonts w:ascii="Arial" w:eastAsiaTheme="majorEastAsia" w:hAnsi="Arial" w:cs="Arial"/>
          <w:sz w:val="24"/>
          <w:szCs w:val="24"/>
        </w:rPr>
        <w:t>By improving clarity and certainty around compliance requirements, the amendments strengthen enforcement of pool safety standards, which are critical to preventing accidental drownings and protecting life. On balance, the limitation is minimal, clearly justified by the legitimate purpose of protecting life, and accompanied by safeguards that prevent unfair outcomes. It is therefore reasonable and demonstrably justified under section 28 of the HRA.</w:t>
      </w:r>
    </w:p>
    <w:p w14:paraId="02FBD32D" w14:textId="77777777" w:rsidR="006A059F" w:rsidRPr="00513959" w:rsidRDefault="006A059F" w:rsidP="006A059F">
      <w:pPr>
        <w:spacing w:after="120" w:line="240" w:lineRule="auto"/>
        <w:rPr>
          <w:rFonts w:ascii="Arial" w:eastAsiaTheme="majorEastAsia" w:hAnsi="Arial" w:cs="Arial"/>
          <w:sz w:val="24"/>
          <w:szCs w:val="24"/>
        </w:rPr>
      </w:pPr>
    </w:p>
    <w:p w14:paraId="16AF5C61" w14:textId="77777777" w:rsidR="001C4758" w:rsidRDefault="001C4758" w:rsidP="002A24E8">
      <w:pPr>
        <w:spacing w:after="120" w:line="240" w:lineRule="auto"/>
        <w:rPr>
          <w:rFonts w:ascii="Arial" w:eastAsiaTheme="majorEastAsia" w:hAnsi="Arial" w:cstheme="majorBidi"/>
          <w:b/>
          <w:sz w:val="24"/>
          <w:szCs w:val="26"/>
        </w:rPr>
      </w:pPr>
    </w:p>
    <w:p w14:paraId="552E25C2" w14:textId="77777777" w:rsidR="001C4758" w:rsidRDefault="001C4758" w:rsidP="002A24E8">
      <w:pPr>
        <w:spacing w:after="120" w:line="240" w:lineRule="auto"/>
        <w:rPr>
          <w:rFonts w:ascii="Arial" w:eastAsiaTheme="majorEastAsia" w:hAnsi="Arial" w:cstheme="majorBidi"/>
          <w:b/>
          <w:sz w:val="24"/>
          <w:szCs w:val="26"/>
        </w:rPr>
      </w:pPr>
    </w:p>
    <w:p w14:paraId="361407E0" w14:textId="0F76A1E9" w:rsidR="002A24E8" w:rsidRPr="002A24E8" w:rsidRDefault="002A24E8" w:rsidP="002A24E8">
      <w:pPr>
        <w:spacing w:after="120" w:line="240" w:lineRule="auto"/>
        <w:rPr>
          <w:rFonts w:ascii="Arial" w:eastAsiaTheme="majorEastAsia" w:hAnsi="Arial" w:cstheme="majorBidi"/>
          <w:b/>
          <w:sz w:val="24"/>
          <w:szCs w:val="26"/>
        </w:rPr>
      </w:pPr>
      <w:r w:rsidRPr="002A24E8">
        <w:rPr>
          <w:rFonts w:ascii="Arial" w:eastAsiaTheme="majorEastAsia" w:hAnsi="Arial" w:cstheme="majorBidi"/>
          <w:b/>
          <w:sz w:val="24"/>
          <w:szCs w:val="26"/>
        </w:rPr>
        <w:t>CLAUSE NOTE</w:t>
      </w:r>
    </w:p>
    <w:p w14:paraId="12D6CC01" w14:textId="77777777" w:rsidR="002A24E8" w:rsidRPr="00BE4C7F" w:rsidRDefault="002A24E8" w:rsidP="002A24E8">
      <w:pPr>
        <w:autoSpaceDE w:val="0"/>
        <w:autoSpaceDN w:val="0"/>
        <w:adjustRightInd w:val="0"/>
        <w:spacing w:after="0" w:line="240" w:lineRule="auto"/>
        <w:rPr>
          <w:rFonts w:ascii="Arial" w:hAnsi="Arial" w:cs="Arial"/>
          <w:b/>
          <w:bCs/>
          <w:color w:val="000000" w:themeColor="text1"/>
          <w:sz w:val="24"/>
          <w:szCs w:val="24"/>
        </w:rPr>
      </w:pPr>
      <w:r w:rsidRPr="00BE4C7F">
        <w:rPr>
          <w:rFonts w:ascii="Arial" w:eastAsia="Calibri" w:hAnsi="Arial" w:cs="Arial"/>
          <w:b/>
          <w:bCs/>
          <w:color w:val="000000" w:themeColor="text1"/>
          <w:sz w:val="24"/>
          <w:szCs w:val="24"/>
          <w:u w:val="single"/>
        </w:rPr>
        <w:t>Government Amendment 1</w:t>
      </w:r>
    </w:p>
    <w:p w14:paraId="555D04D3" w14:textId="5535E415" w:rsidR="002A24E8" w:rsidRPr="00BE4C7F" w:rsidRDefault="002A24E8" w:rsidP="002A24E8">
      <w:pPr>
        <w:autoSpaceDE w:val="0"/>
        <w:autoSpaceDN w:val="0"/>
        <w:adjustRightInd w:val="0"/>
        <w:spacing w:after="0" w:line="240" w:lineRule="auto"/>
        <w:rPr>
          <w:rFonts w:ascii="Arial" w:hAnsi="Arial" w:cs="Arial"/>
          <w:b/>
          <w:bCs/>
          <w:color w:val="000000" w:themeColor="text1"/>
          <w:sz w:val="24"/>
          <w:szCs w:val="24"/>
        </w:rPr>
      </w:pPr>
      <w:r w:rsidRPr="00BE4C7F">
        <w:rPr>
          <w:rFonts w:ascii="Arial" w:hAnsi="Arial" w:cs="Arial"/>
          <w:b/>
          <w:bCs/>
          <w:color w:val="000000" w:themeColor="text1"/>
          <w:sz w:val="24"/>
          <w:szCs w:val="24"/>
        </w:rPr>
        <w:t xml:space="preserve">Clause </w:t>
      </w:r>
      <w:r w:rsidR="00E06A08" w:rsidRPr="00BE4C7F">
        <w:rPr>
          <w:rFonts w:ascii="Arial" w:hAnsi="Arial" w:cs="Arial"/>
          <w:b/>
          <w:bCs/>
          <w:color w:val="000000" w:themeColor="text1"/>
          <w:sz w:val="24"/>
          <w:szCs w:val="24"/>
        </w:rPr>
        <w:t>2 (4)</w:t>
      </w:r>
    </w:p>
    <w:p w14:paraId="4D24BFAC" w14:textId="42D53206" w:rsidR="00EB65BE" w:rsidRPr="001C4758" w:rsidRDefault="002A24E8" w:rsidP="001C4758">
      <w:pPr>
        <w:rPr>
          <w:rFonts w:ascii="Arial" w:eastAsiaTheme="majorEastAsia" w:hAnsi="Arial" w:cs="Arial"/>
          <w:sz w:val="24"/>
          <w:szCs w:val="24"/>
        </w:rPr>
      </w:pPr>
      <w:r w:rsidRPr="001C4758">
        <w:rPr>
          <w:rFonts w:ascii="Arial" w:eastAsiaTheme="majorEastAsia" w:hAnsi="Arial" w:cs="Arial"/>
          <w:sz w:val="24"/>
          <w:szCs w:val="24"/>
        </w:rPr>
        <w:t xml:space="preserve">The amendment </w:t>
      </w:r>
      <w:r w:rsidR="008F22A6" w:rsidRPr="001C4758">
        <w:rPr>
          <w:rFonts w:ascii="Arial" w:eastAsiaTheme="majorEastAsia" w:hAnsi="Arial" w:cs="Arial"/>
          <w:sz w:val="24"/>
          <w:szCs w:val="24"/>
        </w:rPr>
        <w:t xml:space="preserve">updates the commencement provision in clause 2 (4) of the Building and Construction Legislation Amendment Bill 2025 (No 2). The original provision linked the commencement of </w:t>
      </w:r>
      <w:r w:rsidR="008F65E9" w:rsidRPr="001C4758">
        <w:rPr>
          <w:rFonts w:ascii="Arial" w:eastAsiaTheme="majorEastAsia" w:hAnsi="Arial" w:cs="Arial"/>
          <w:sz w:val="24"/>
          <w:szCs w:val="24"/>
        </w:rPr>
        <w:t xml:space="preserve">clauses </w:t>
      </w:r>
      <w:r w:rsidR="00DC21A9" w:rsidRPr="001C4758">
        <w:rPr>
          <w:rFonts w:ascii="Arial" w:eastAsiaTheme="majorEastAsia" w:hAnsi="Arial" w:cs="Arial"/>
          <w:sz w:val="24"/>
          <w:szCs w:val="24"/>
        </w:rPr>
        <w:t xml:space="preserve">3 and </w:t>
      </w:r>
      <w:r w:rsidR="008F22A6" w:rsidRPr="001C4758">
        <w:rPr>
          <w:rFonts w:ascii="Arial" w:eastAsiaTheme="majorEastAsia" w:hAnsi="Arial" w:cs="Arial"/>
          <w:sz w:val="24"/>
          <w:szCs w:val="24"/>
        </w:rPr>
        <w:t>56</w:t>
      </w:r>
      <w:r w:rsidR="00EB65BE" w:rsidRPr="001C4758">
        <w:rPr>
          <w:rFonts w:ascii="Arial" w:eastAsiaTheme="majorEastAsia" w:hAnsi="Arial" w:cs="Arial"/>
          <w:sz w:val="24"/>
          <w:szCs w:val="24"/>
        </w:rPr>
        <w:t xml:space="preserve"> to </w:t>
      </w:r>
      <w:r w:rsidR="008F22A6" w:rsidRPr="001C4758">
        <w:rPr>
          <w:rFonts w:ascii="Arial" w:eastAsiaTheme="majorEastAsia" w:hAnsi="Arial" w:cs="Arial"/>
          <w:sz w:val="24"/>
          <w:szCs w:val="24"/>
        </w:rPr>
        <w:t>59</w:t>
      </w:r>
      <w:r w:rsidR="00EB65BE" w:rsidRPr="001C4758">
        <w:rPr>
          <w:rFonts w:ascii="Arial" w:eastAsiaTheme="majorEastAsia" w:hAnsi="Arial" w:cs="Arial"/>
          <w:sz w:val="24"/>
          <w:szCs w:val="24"/>
        </w:rPr>
        <w:t>,</w:t>
      </w:r>
      <w:r w:rsidR="008F22A6" w:rsidRPr="001C4758">
        <w:rPr>
          <w:rFonts w:ascii="Arial" w:eastAsiaTheme="majorEastAsia" w:hAnsi="Arial" w:cs="Arial"/>
          <w:sz w:val="24"/>
          <w:szCs w:val="24"/>
        </w:rPr>
        <w:t xml:space="preserve"> </w:t>
      </w:r>
      <w:r w:rsidR="00EB65BE" w:rsidRPr="001C4758">
        <w:rPr>
          <w:rFonts w:ascii="Arial" w:eastAsiaTheme="majorEastAsia" w:hAnsi="Arial" w:cs="Arial"/>
          <w:sz w:val="24"/>
          <w:szCs w:val="24"/>
        </w:rPr>
        <w:t xml:space="preserve">with the commencement of </w:t>
      </w:r>
      <w:r w:rsidR="008F22A6" w:rsidRPr="001C4758">
        <w:rPr>
          <w:rFonts w:ascii="Arial" w:eastAsiaTheme="majorEastAsia" w:hAnsi="Arial" w:cs="Arial"/>
          <w:sz w:val="24"/>
          <w:szCs w:val="24"/>
        </w:rPr>
        <w:t xml:space="preserve">section 25 of the </w:t>
      </w:r>
      <w:r w:rsidR="00780F63" w:rsidRPr="001C4758">
        <w:rPr>
          <w:rFonts w:ascii="Arial" w:eastAsiaTheme="majorEastAsia" w:hAnsi="Arial" w:cs="Arial"/>
          <w:sz w:val="24"/>
          <w:szCs w:val="24"/>
        </w:rPr>
        <w:t>PD Act</w:t>
      </w:r>
      <w:r w:rsidR="008F22A6" w:rsidRPr="001C4758">
        <w:rPr>
          <w:rFonts w:ascii="Arial" w:eastAsiaTheme="majorEastAsia" w:hAnsi="Arial" w:cs="Arial"/>
          <w:sz w:val="24"/>
          <w:szCs w:val="24"/>
        </w:rPr>
        <w:t>.</w:t>
      </w:r>
    </w:p>
    <w:p w14:paraId="3874F322" w14:textId="3207B0B2" w:rsidR="006A059F" w:rsidRPr="001C4758" w:rsidRDefault="00EB65BE" w:rsidP="001C4758">
      <w:pPr>
        <w:rPr>
          <w:rFonts w:ascii="Arial" w:eastAsiaTheme="majorEastAsia" w:hAnsi="Arial" w:cs="Arial"/>
          <w:sz w:val="24"/>
          <w:szCs w:val="24"/>
        </w:rPr>
      </w:pPr>
      <w:r w:rsidRPr="001C4758">
        <w:rPr>
          <w:rFonts w:ascii="Arial" w:eastAsiaTheme="majorEastAsia" w:hAnsi="Arial" w:cs="Arial"/>
          <w:sz w:val="24"/>
          <w:szCs w:val="24"/>
        </w:rPr>
        <w:t>As</w:t>
      </w:r>
      <w:r w:rsidR="008F22A6" w:rsidRPr="001C4758">
        <w:rPr>
          <w:rFonts w:ascii="Arial" w:eastAsiaTheme="majorEastAsia" w:hAnsi="Arial" w:cs="Arial"/>
          <w:sz w:val="24"/>
          <w:szCs w:val="24"/>
        </w:rPr>
        <w:t xml:space="preserve"> section 25 </w:t>
      </w:r>
      <w:r w:rsidRPr="001C4758">
        <w:rPr>
          <w:rFonts w:ascii="Arial" w:eastAsiaTheme="majorEastAsia" w:hAnsi="Arial" w:cs="Arial"/>
          <w:sz w:val="24"/>
          <w:szCs w:val="24"/>
        </w:rPr>
        <w:t xml:space="preserve">of the </w:t>
      </w:r>
      <w:r w:rsidR="00780F63" w:rsidRPr="001C4758">
        <w:rPr>
          <w:rFonts w:ascii="Arial" w:eastAsiaTheme="majorEastAsia" w:hAnsi="Arial" w:cs="Arial"/>
          <w:sz w:val="24"/>
          <w:szCs w:val="24"/>
        </w:rPr>
        <w:t>PD Act</w:t>
      </w:r>
      <w:r w:rsidRPr="001C4758">
        <w:rPr>
          <w:rFonts w:ascii="Arial" w:eastAsiaTheme="majorEastAsia" w:hAnsi="Arial" w:cs="Arial"/>
          <w:sz w:val="24"/>
          <w:szCs w:val="24"/>
        </w:rPr>
        <w:t xml:space="preserve"> </w:t>
      </w:r>
      <w:r w:rsidR="008F22A6" w:rsidRPr="001C4758">
        <w:rPr>
          <w:rFonts w:ascii="Arial" w:eastAsiaTheme="majorEastAsia" w:hAnsi="Arial" w:cs="Arial"/>
          <w:sz w:val="24"/>
          <w:szCs w:val="24"/>
        </w:rPr>
        <w:t>commenced</w:t>
      </w:r>
      <w:r w:rsidRPr="001C4758">
        <w:rPr>
          <w:rFonts w:ascii="Arial" w:eastAsiaTheme="majorEastAsia" w:hAnsi="Arial" w:cs="Arial"/>
          <w:sz w:val="24"/>
          <w:szCs w:val="24"/>
        </w:rPr>
        <w:t xml:space="preserve"> following the introduction of this bill</w:t>
      </w:r>
      <w:r w:rsidR="008F22A6" w:rsidRPr="001C4758">
        <w:rPr>
          <w:rFonts w:ascii="Arial" w:eastAsiaTheme="majorEastAsia" w:hAnsi="Arial" w:cs="Arial"/>
          <w:sz w:val="24"/>
          <w:szCs w:val="24"/>
        </w:rPr>
        <w:t xml:space="preserve">, the current drafting no longer aligns with the intended timing. The amendment substitutes clause 2 (4) to provide that </w:t>
      </w:r>
      <w:r w:rsidR="008F65E9" w:rsidRPr="001C4758">
        <w:rPr>
          <w:rFonts w:ascii="Arial" w:eastAsiaTheme="majorEastAsia" w:hAnsi="Arial" w:cs="Arial"/>
          <w:sz w:val="24"/>
          <w:szCs w:val="24"/>
        </w:rPr>
        <w:t>clauses</w:t>
      </w:r>
      <w:r w:rsidR="008F22A6" w:rsidRPr="001C4758">
        <w:rPr>
          <w:rFonts w:ascii="Arial" w:eastAsiaTheme="majorEastAsia" w:hAnsi="Arial" w:cs="Arial"/>
          <w:sz w:val="24"/>
          <w:szCs w:val="24"/>
        </w:rPr>
        <w:t xml:space="preserve"> 3 and 56</w:t>
      </w:r>
      <w:r w:rsidR="008F65E9" w:rsidRPr="001C4758">
        <w:rPr>
          <w:rFonts w:ascii="Arial" w:eastAsiaTheme="majorEastAsia" w:hAnsi="Arial" w:cs="Arial"/>
          <w:sz w:val="24"/>
          <w:szCs w:val="24"/>
        </w:rPr>
        <w:t xml:space="preserve"> to</w:t>
      </w:r>
      <w:r w:rsidR="00BE4C7F" w:rsidRPr="001C4758">
        <w:rPr>
          <w:rFonts w:ascii="Arial" w:eastAsiaTheme="majorEastAsia" w:hAnsi="Arial" w:cs="Arial"/>
          <w:sz w:val="24"/>
          <w:szCs w:val="24"/>
        </w:rPr>
        <w:t xml:space="preserve"> </w:t>
      </w:r>
      <w:r w:rsidR="008F22A6" w:rsidRPr="001C4758">
        <w:rPr>
          <w:rFonts w:ascii="Arial" w:eastAsiaTheme="majorEastAsia" w:hAnsi="Arial" w:cs="Arial"/>
          <w:sz w:val="24"/>
          <w:szCs w:val="24"/>
        </w:rPr>
        <w:t xml:space="preserve">59 commence on the day after </w:t>
      </w:r>
      <w:r w:rsidR="007B3135" w:rsidRPr="001C4758">
        <w:rPr>
          <w:rFonts w:ascii="Arial" w:eastAsiaTheme="majorEastAsia" w:hAnsi="Arial" w:cs="Arial"/>
          <w:sz w:val="24"/>
          <w:szCs w:val="24"/>
        </w:rPr>
        <w:t xml:space="preserve">the </w:t>
      </w:r>
      <w:r w:rsidR="008F22A6" w:rsidRPr="001C4758">
        <w:rPr>
          <w:rFonts w:ascii="Arial" w:eastAsiaTheme="majorEastAsia" w:hAnsi="Arial" w:cs="Arial"/>
          <w:sz w:val="24"/>
          <w:szCs w:val="24"/>
        </w:rPr>
        <w:t>notification day</w:t>
      </w:r>
      <w:r w:rsidRPr="001C4758">
        <w:rPr>
          <w:rFonts w:ascii="Arial" w:eastAsiaTheme="majorEastAsia" w:hAnsi="Arial" w:cs="Arial"/>
          <w:sz w:val="24"/>
          <w:szCs w:val="24"/>
        </w:rPr>
        <w:t xml:space="preserve"> of the Act</w:t>
      </w:r>
      <w:r w:rsidR="008F22A6" w:rsidRPr="001C4758">
        <w:rPr>
          <w:rFonts w:ascii="Arial" w:eastAsiaTheme="majorEastAsia" w:hAnsi="Arial" w:cs="Arial"/>
          <w:sz w:val="24"/>
          <w:szCs w:val="24"/>
        </w:rPr>
        <w:t>. This is a minor and technical change to ensure timely commencement and consistency with legislative intent.</w:t>
      </w:r>
    </w:p>
    <w:sectPr w:rsidR="006A059F" w:rsidRPr="001C4758" w:rsidSect="00A16A97">
      <w:headerReference w:type="even" r:id="rId17"/>
      <w:headerReference w:type="default" r:id="rId18"/>
      <w:footerReference w:type="default" r:id="rId19"/>
      <w:headerReference w:type="first" r:id="rId20"/>
      <w:footerReference w:type="first" r:id="rId21"/>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11A9" w14:textId="77777777" w:rsidR="00470028" w:rsidRDefault="00470028" w:rsidP="00E90DF9">
      <w:pPr>
        <w:spacing w:after="0" w:line="240" w:lineRule="auto"/>
      </w:pPr>
      <w:r>
        <w:separator/>
      </w:r>
    </w:p>
  </w:endnote>
  <w:endnote w:type="continuationSeparator" w:id="0">
    <w:p w14:paraId="425BF489" w14:textId="77777777" w:rsidR="00470028" w:rsidRDefault="00470028"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F183" w14:textId="77777777" w:rsidR="00156804" w:rsidRDefault="00156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E03C" w14:textId="27FF3C74" w:rsidR="00AF330D" w:rsidRPr="00156804" w:rsidRDefault="00156804" w:rsidP="00156804">
    <w:pPr>
      <w:pStyle w:val="Footer"/>
      <w:jc w:val="center"/>
      <w:rPr>
        <w:rFonts w:cs="Arial"/>
        <w:sz w:val="14"/>
      </w:rPr>
    </w:pPr>
    <w:r w:rsidRPr="0015680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9A3C121" w14:textId="07F62FA9" w:rsidR="00AF330D" w:rsidRPr="00156804" w:rsidRDefault="00156804" w:rsidP="00156804">
    <w:pPr>
      <w:pStyle w:val="Footer"/>
      <w:spacing w:before="60" w:line="240" w:lineRule="auto"/>
      <w:jc w:val="center"/>
      <w:rPr>
        <w:rFonts w:cs="Arial"/>
        <w:sz w:val="14"/>
      </w:rPr>
    </w:pPr>
    <w:r w:rsidRPr="0015680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D50AD0F" w14:textId="05BEE8D0" w:rsidR="00AF330D" w:rsidRPr="00156804" w:rsidRDefault="00156804" w:rsidP="00156804">
    <w:pPr>
      <w:pStyle w:val="Footer"/>
      <w:jc w:val="center"/>
      <w:rPr>
        <w:rFonts w:cs="Arial"/>
        <w:sz w:val="14"/>
      </w:rPr>
    </w:pPr>
    <w:r w:rsidRPr="0015680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CC8C" w14:textId="77777777" w:rsidR="00470028" w:rsidRDefault="00470028" w:rsidP="00E90DF9">
      <w:pPr>
        <w:spacing w:after="0" w:line="240" w:lineRule="auto"/>
      </w:pPr>
      <w:r>
        <w:separator/>
      </w:r>
    </w:p>
  </w:footnote>
  <w:footnote w:type="continuationSeparator" w:id="0">
    <w:p w14:paraId="068EF7C8" w14:textId="77777777" w:rsidR="00470028" w:rsidRDefault="00470028"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5E32" w14:textId="77777777" w:rsidR="00156804" w:rsidRDefault="00156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C336" w14:textId="77777777" w:rsidR="00156804" w:rsidRDefault="00156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FAAC" w14:textId="77777777" w:rsidR="00156804" w:rsidRDefault="001568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4B55" w14:textId="1BB85A32" w:rsidR="00FF4B8F" w:rsidRDefault="00FF4B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B1DE" w14:textId="0A68E1B2" w:rsidR="00FF4B8F" w:rsidRDefault="00FF4B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3347" w14:textId="15A2A59E" w:rsidR="00FF4B8F" w:rsidRDefault="00FF4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8F2E26"/>
    <w:multiLevelType w:val="hybridMultilevel"/>
    <w:tmpl w:val="2EAE2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77B95"/>
    <w:multiLevelType w:val="hybridMultilevel"/>
    <w:tmpl w:val="40B6D22A"/>
    <w:lvl w:ilvl="0" w:tplc="E1843928">
      <w:start w:val="1"/>
      <w:numFmt w:val="bullet"/>
      <w:pStyle w:val="Tablelistbullet"/>
      <w:lvlText w:val=""/>
      <w:lvlJc w:val="left"/>
      <w:pPr>
        <w:ind w:left="3555" w:hanging="360"/>
      </w:pPr>
      <w:rPr>
        <w:rFonts w:ascii="Symbol" w:hAnsi="Symbol" w:hint="default"/>
        <w:vertAlign w:val="baseline"/>
      </w:rPr>
    </w:lvl>
    <w:lvl w:ilvl="1" w:tplc="FFFFFFFF">
      <w:start w:val="1"/>
      <w:numFmt w:val="bullet"/>
      <w:lvlText w:val="o"/>
      <w:lvlJc w:val="left"/>
      <w:pPr>
        <w:ind w:left="4275" w:hanging="360"/>
      </w:pPr>
      <w:rPr>
        <w:rFonts w:ascii="Courier New" w:hAnsi="Courier New" w:cs="Courier New" w:hint="default"/>
      </w:rPr>
    </w:lvl>
    <w:lvl w:ilvl="2" w:tplc="FFFFFFFF">
      <w:start w:val="1"/>
      <w:numFmt w:val="bullet"/>
      <w:lvlText w:val=""/>
      <w:lvlJc w:val="left"/>
      <w:pPr>
        <w:ind w:left="4995" w:hanging="360"/>
      </w:pPr>
      <w:rPr>
        <w:rFonts w:ascii="Wingdings" w:hAnsi="Wingdings" w:hint="default"/>
      </w:rPr>
    </w:lvl>
    <w:lvl w:ilvl="3" w:tplc="FFFFFFFF">
      <w:start w:val="1"/>
      <w:numFmt w:val="bullet"/>
      <w:lvlText w:val=""/>
      <w:lvlJc w:val="left"/>
      <w:pPr>
        <w:ind w:left="5715" w:hanging="360"/>
      </w:pPr>
      <w:rPr>
        <w:rFonts w:ascii="Symbol" w:hAnsi="Symbol" w:hint="default"/>
      </w:rPr>
    </w:lvl>
    <w:lvl w:ilvl="4" w:tplc="FFFFFFFF">
      <w:start w:val="1"/>
      <w:numFmt w:val="bullet"/>
      <w:lvlText w:val="o"/>
      <w:lvlJc w:val="left"/>
      <w:pPr>
        <w:ind w:left="6435" w:hanging="360"/>
      </w:pPr>
      <w:rPr>
        <w:rFonts w:ascii="Courier New" w:hAnsi="Courier New" w:cs="Courier New" w:hint="default"/>
      </w:rPr>
    </w:lvl>
    <w:lvl w:ilvl="5" w:tplc="FFFFFFFF">
      <w:start w:val="1"/>
      <w:numFmt w:val="bullet"/>
      <w:lvlText w:val=""/>
      <w:lvlJc w:val="left"/>
      <w:pPr>
        <w:ind w:left="7155" w:hanging="360"/>
      </w:pPr>
      <w:rPr>
        <w:rFonts w:ascii="Wingdings" w:hAnsi="Wingdings" w:hint="default"/>
      </w:rPr>
    </w:lvl>
    <w:lvl w:ilvl="6" w:tplc="FFFFFFFF">
      <w:start w:val="1"/>
      <w:numFmt w:val="bullet"/>
      <w:lvlText w:val=""/>
      <w:lvlJc w:val="left"/>
      <w:pPr>
        <w:ind w:left="7875" w:hanging="360"/>
      </w:pPr>
      <w:rPr>
        <w:rFonts w:ascii="Symbol" w:hAnsi="Symbol" w:hint="default"/>
      </w:rPr>
    </w:lvl>
    <w:lvl w:ilvl="7" w:tplc="FFFFFFFF">
      <w:start w:val="1"/>
      <w:numFmt w:val="bullet"/>
      <w:lvlText w:val="o"/>
      <w:lvlJc w:val="left"/>
      <w:pPr>
        <w:ind w:left="8595" w:hanging="360"/>
      </w:pPr>
      <w:rPr>
        <w:rFonts w:ascii="Courier New" w:hAnsi="Courier New" w:cs="Courier New" w:hint="default"/>
      </w:rPr>
    </w:lvl>
    <w:lvl w:ilvl="8" w:tplc="FFFFFFFF">
      <w:start w:val="1"/>
      <w:numFmt w:val="bullet"/>
      <w:lvlText w:val=""/>
      <w:lvlJc w:val="left"/>
      <w:pPr>
        <w:ind w:left="9315" w:hanging="360"/>
      </w:pPr>
      <w:rPr>
        <w:rFonts w:ascii="Wingdings" w:hAnsi="Wingdings" w:hint="default"/>
      </w:rPr>
    </w:lvl>
  </w:abstractNum>
  <w:abstractNum w:abstractNumId="3" w15:restartNumberingAfterBreak="0">
    <w:nsid w:val="2BE24211"/>
    <w:multiLevelType w:val="hybridMultilevel"/>
    <w:tmpl w:val="7F64A1F6"/>
    <w:lvl w:ilvl="0" w:tplc="E27E82DA">
      <w:start w:val="1"/>
      <w:numFmt w:val="decimal"/>
      <w:pStyle w:val="Recommendation1"/>
      <w:lvlText w:val="%1)"/>
      <w:lvlJc w:val="left"/>
      <w:pPr>
        <w:ind w:left="644"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rPr>
        <w:rFonts w:hint="default"/>
      </w:rPr>
    </w:lvl>
    <w:lvl w:ilvl="3" w:tplc="6854F13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310E55"/>
    <w:multiLevelType w:val="multilevel"/>
    <w:tmpl w:val="2554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3796F"/>
    <w:multiLevelType w:val="hybridMultilevel"/>
    <w:tmpl w:val="E0FCAE14"/>
    <w:lvl w:ilvl="0" w:tplc="AA8A232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2E374B"/>
    <w:multiLevelType w:val="hybridMultilevel"/>
    <w:tmpl w:val="B0F664D8"/>
    <w:lvl w:ilvl="0" w:tplc="31A8598C">
      <w:start w:val="1"/>
      <w:numFmt w:val="lowerRoman"/>
      <w:lvlText w:val="(%1)"/>
      <w:lvlJc w:val="left"/>
      <w:pPr>
        <w:ind w:left="1080" w:hanging="720"/>
      </w:pPr>
      <w:rPr>
        <w:rFonts w:asciiTheme="minorHAnsi" w:hAnsiTheme="minorHAnsi" w:hint="default"/>
        <w:color w:val="000000" w:themeColor="text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0"/>
  </w:num>
  <w:num w:numId="2" w16cid:durableId="972558757">
    <w:abstractNumId w:val="3"/>
  </w:num>
  <w:num w:numId="3" w16cid:durableId="441196027">
    <w:abstractNumId w:val="5"/>
  </w:num>
  <w:num w:numId="4" w16cid:durableId="542325787">
    <w:abstractNumId w:val="2"/>
  </w:num>
  <w:num w:numId="5" w16cid:durableId="1986472245">
    <w:abstractNumId w:val="6"/>
  </w:num>
  <w:num w:numId="6" w16cid:durableId="729420957">
    <w:abstractNumId w:val="4"/>
  </w:num>
  <w:num w:numId="7" w16cid:durableId="1446148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30D03"/>
    <w:rsid w:val="0003107C"/>
    <w:rsid w:val="00050D43"/>
    <w:rsid w:val="00071166"/>
    <w:rsid w:val="00071994"/>
    <w:rsid w:val="0009745B"/>
    <w:rsid w:val="000A075A"/>
    <w:rsid w:val="000A3223"/>
    <w:rsid w:val="000B6E33"/>
    <w:rsid w:val="000B712F"/>
    <w:rsid w:val="000F0A83"/>
    <w:rsid w:val="00105DA0"/>
    <w:rsid w:val="00134AAB"/>
    <w:rsid w:val="00156804"/>
    <w:rsid w:val="0016726B"/>
    <w:rsid w:val="001B56ED"/>
    <w:rsid w:val="001C4758"/>
    <w:rsid w:val="00214CEB"/>
    <w:rsid w:val="002162F4"/>
    <w:rsid w:val="00281AAA"/>
    <w:rsid w:val="002A24E8"/>
    <w:rsid w:val="002C0361"/>
    <w:rsid w:val="002C363A"/>
    <w:rsid w:val="002D4165"/>
    <w:rsid w:val="002F2A6A"/>
    <w:rsid w:val="00355052"/>
    <w:rsid w:val="00364752"/>
    <w:rsid w:val="00370835"/>
    <w:rsid w:val="00377874"/>
    <w:rsid w:val="003A46B8"/>
    <w:rsid w:val="003D1C31"/>
    <w:rsid w:val="003E3D7C"/>
    <w:rsid w:val="004020BB"/>
    <w:rsid w:val="004151F7"/>
    <w:rsid w:val="00435C1E"/>
    <w:rsid w:val="00445B9B"/>
    <w:rsid w:val="004519EE"/>
    <w:rsid w:val="00460CCC"/>
    <w:rsid w:val="00470028"/>
    <w:rsid w:val="00475909"/>
    <w:rsid w:val="004B7C2C"/>
    <w:rsid w:val="00513959"/>
    <w:rsid w:val="00530F34"/>
    <w:rsid w:val="00531298"/>
    <w:rsid w:val="0057233A"/>
    <w:rsid w:val="00582E69"/>
    <w:rsid w:val="005A73E1"/>
    <w:rsid w:val="005B0897"/>
    <w:rsid w:val="005E74AF"/>
    <w:rsid w:val="005F22CE"/>
    <w:rsid w:val="006469CF"/>
    <w:rsid w:val="00683A3B"/>
    <w:rsid w:val="00694A8A"/>
    <w:rsid w:val="00696921"/>
    <w:rsid w:val="006A059F"/>
    <w:rsid w:val="006C1632"/>
    <w:rsid w:val="006D01DD"/>
    <w:rsid w:val="006E5AD8"/>
    <w:rsid w:val="006F6037"/>
    <w:rsid w:val="0071078B"/>
    <w:rsid w:val="00717184"/>
    <w:rsid w:val="007173FB"/>
    <w:rsid w:val="007442FE"/>
    <w:rsid w:val="00750124"/>
    <w:rsid w:val="00780F63"/>
    <w:rsid w:val="007B3135"/>
    <w:rsid w:val="00810494"/>
    <w:rsid w:val="00851D12"/>
    <w:rsid w:val="0086674E"/>
    <w:rsid w:val="0089389F"/>
    <w:rsid w:val="00893A8E"/>
    <w:rsid w:val="008A0C7E"/>
    <w:rsid w:val="008C648A"/>
    <w:rsid w:val="008F22A6"/>
    <w:rsid w:val="008F65E9"/>
    <w:rsid w:val="0090351B"/>
    <w:rsid w:val="009118E6"/>
    <w:rsid w:val="00921A08"/>
    <w:rsid w:val="00932A37"/>
    <w:rsid w:val="00935EF2"/>
    <w:rsid w:val="0094011A"/>
    <w:rsid w:val="009461B7"/>
    <w:rsid w:val="009508D4"/>
    <w:rsid w:val="00A0052E"/>
    <w:rsid w:val="00A16A97"/>
    <w:rsid w:val="00A257F4"/>
    <w:rsid w:val="00A43846"/>
    <w:rsid w:val="00A476B9"/>
    <w:rsid w:val="00A53E70"/>
    <w:rsid w:val="00AF330D"/>
    <w:rsid w:val="00AF6586"/>
    <w:rsid w:val="00B00B6B"/>
    <w:rsid w:val="00B012C8"/>
    <w:rsid w:val="00B10812"/>
    <w:rsid w:val="00B10857"/>
    <w:rsid w:val="00B91983"/>
    <w:rsid w:val="00BA0A16"/>
    <w:rsid w:val="00BE4C7F"/>
    <w:rsid w:val="00BF66EC"/>
    <w:rsid w:val="00C2789C"/>
    <w:rsid w:val="00C40A4A"/>
    <w:rsid w:val="00CB58FB"/>
    <w:rsid w:val="00CE4142"/>
    <w:rsid w:val="00CF3F6C"/>
    <w:rsid w:val="00CF76B1"/>
    <w:rsid w:val="00D03C0F"/>
    <w:rsid w:val="00D15695"/>
    <w:rsid w:val="00D246A0"/>
    <w:rsid w:val="00D6331C"/>
    <w:rsid w:val="00D80925"/>
    <w:rsid w:val="00DC09AB"/>
    <w:rsid w:val="00DC21A9"/>
    <w:rsid w:val="00DC6FB1"/>
    <w:rsid w:val="00DD597F"/>
    <w:rsid w:val="00DE55F4"/>
    <w:rsid w:val="00E06A08"/>
    <w:rsid w:val="00E07B57"/>
    <w:rsid w:val="00E12CBF"/>
    <w:rsid w:val="00E2171B"/>
    <w:rsid w:val="00E30313"/>
    <w:rsid w:val="00E8445F"/>
    <w:rsid w:val="00E90DF9"/>
    <w:rsid w:val="00EB65BE"/>
    <w:rsid w:val="00EC28FA"/>
    <w:rsid w:val="00EC6656"/>
    <w:rsid w:val="00EF7797"/>
    <w:rsid w:val="00F67044"/>
    <w:rsid w:val="00FA2607"/>
    <w:rsid w:val="00FD0034"/>
    <w:rsid w:val="00FF0B52"/>
    <w:rsid w:val="00FF4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unhideWhenUsed/>
    <w:rsid w:val="0094011A"/>
    <w:pPr>
      <w:spacing w:before="100" w:beforeAutospacing="1" w:after="100" w:afterAutospacing="1" w:line="240" w:lineRule="auto"/>
    </w:pPr>
    <w:rPr>
      <w:rFonts w:ascii="Times New Roman" w:hAnsi="Times New Roman"/>
      <w:sz w:val="24"/>
      <w:szCs w:val="24"/>
      <w:lang w:eastAsia="en-AU"/>
    </w:rPr>
  </w:style>
  <w:style w:type="paragraph" w:customStyle="1" w:styleId="Apara">
    <w:name w:val="A para"/>
    <w:basedOn w:val="Normal"/>
    <w:link w:val="AparaChar"/>
    <w:rsid w:val="0094011A"/>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character" w:customStyle="1" w:styleId="AparaChar">
    <w:name w:val="A para Char"/>
    <w:basedOn w:val="DefaultParagraphFont"/>
    <w:link w:val="Apara"/>
    <w:locked/>
    <w:rsid w:val="0094011A"/>
    <w:rPr>
      <w:rFonts w:ascii="Times New Roman" w:eastAsia="Times New Roman" w:hAnsi="Times New Roman" w:cs="Times New Roman"/>
      <w:kern w:val="0"/>
      <w:sz w:val="24"/>
      <w:szCs w:val="20"/>
      <w14:ligatures w14:val="none"/>
    </w:rPr>
  </w:style>
  <w:style w:type="paragraph" w:customStyle="1" w:styleId="Recommendation1">
    <w:name w:val="Recommendation 1"/>
    <w:qFormat/>
    <w:rsid w:val="0094011A"/>
    <w:pPr>
      <w:numPr>
        <w:numId w:val="2"/>
      </w:numPr>
      <w:tabs>
        <w:tab w:val="left" w:pos="425"/>
      </w:tabs>
      <w:spacing w:before="240" w:after="0" w:line="276" w:lineRule="auto"/>
    </w:pPr>
    <w:rPr>
      <w:rFonts w:eastAsiaTheme="minorEastAsia"/>
      <w:kern w:val="0"/>
      <w:sz w:val="24"/>
      <w:szCs w:val="24"/>
      <w14:ligatures w14:val="none"/>
    </w:rPr>
  </w:style>
  <w:style w:type="paragraph" w:customStyle="1" w:styleId="Tablelistbullet">
    <w:name w:val="Table list bullet"/>
    <w:basedOn w:val="Normal"/>
    <w:rsid w:val="0094011A"/>
    <w:pPr>
      <w:numPr>
        <w:numId w:val="4"/>
      </w:numPr>
      <w:spacing w:before="120" w:after="120" w:line="240" w:lineRule="auto"/>
    </w:pPr>
    <w:rPr>
      <w:rFonts w:ascii="Arial" w:eastAsiaTheme="minorHAnsi" w:hAnsi="Arial" w:cs="Arial"/>
      <w:sz w:val="20"/>
      <w:szCs w:val="20"/>
    </w:rPr>
  </w:style>
  <w:style w:type="paragraph" w:styleId="Header">
    <w:name w:val="header"/>
    <w:basedOn w:val="Normal"/>
    <w:link w:val="HeaderChar"/>
    <w:uiPriority w:val="99"/>
    <w:unhideWhenUsed/>
    <w:rsid w:val="00FF4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B8F"/>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DC6FB1"/>
    <w:rPr>
      <w:sz w:val="16"/>
      <w:szCs w:val="16"/>
    </w:rPr>
  </w:style>
  <w:style w:type="paragraph" w:styleId="CommentText">
    <w:name w:val="annotation text"/>
    <w:basedOn w:val="Normal"/>
    <w:link w:val="CommentTextChar"/>
    <w:uiPriority w:val="99"/>
    <w:unhideWhenUsed/>
    <w:rsid w:val="00DC6FB1"/>
    <w:pPr>
      <w:spacing w:line="240" w:lineRule="auto"/>
    </w:pPr>
    <w:rPr>
      <w:sz w:val="20"/>
      <w:szCs w:val="20"/>
    </w:rPr>
  </w:style>
  <w:style w:type="character" w:customStyle="1" w:styleId="CommentTextChar">
    <w:name w:val="Comment Text Char"/>
    <w:basedOn w:val="DefaultParagraphFont"/>
    <w:link w:val="CommentText"/>
    <w:uiPriority w:val="99"/>
    <w:rsid w:val="00DC6FB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6FB1"/>
    <w:rPr>
      <w:b/>
      <w:bCs/>
    </w:rPr>
  </w:style>
  <w:style w:type="character" w:customStyle="1" w:styleId="CommentSubjectChar">
    <w:name w:val="Comment Subject Char"/>
    <w:basedOn w:val="CommentTextChar"/>
    <w:link w:val="CommentSubject"/>
    <w:uiPriority w:val="99"/>
    <w:semiHidden/>
    <w:rsid w:val="00DC6FB1"/>
    <w:rPr>
      <w:rFonts w:ascii="Calibri" w:eastAsia="Times New Roman" w:hAnsi="Calibri" w:cs="Times New Roman"/>
      <w:b/>
      <w:bCs/>
      <w:kern w:val="0"/>
      <w:sz w:val="20"/>
      <w:szCs w:val="20"/>
      <w14:ligatures w14:val="none"/>
    </w:rPr>
  </w:style>
  <w:style w:type="paragraph" w:customStyle="1" w:styleId="Default">
    <w:name w:val="Default"/>
    <w:rsid w:val="0090351B"/>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 w:type="character" w:styleId="Hyperlink">
    <w:name w:val="Hyperlink"/>
    <w:basedOn w:val="DefaultParagraphFont"/>
    <w:uiPriority w:val="99"/>
    <w:unhideWhenUsed/>
    <w:rsid w:val="003E3D7C"/>
    <w:rPr>
      <w:color w:val="0563C1" w:themeColor="hyperlink"/>
      <w:u w:val="single"/>
    </w:rPr>
  </w:style>
  <w:style w:type="character" w:styleId="UnresolvedMention">
    <w:name w:val="Unresolved Mention"/>
    <w:basedOn w:val="DefaultParagraphFont"/>
    <w:uiPriority w:val="99"/>
    <w:semiHidden/>
    <w:unhideWhenUsed/>
    <w:rsid w:val="003E3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8256">
      <w:bodyDiv w:val="1"/>
      <w:marLeft w:val="0"/>
      <w:marRight w:val="0"/>
      <w:marTop w:val="0"/>
      <w:marBottom w:val="0"/>
      <w:divBdr>
        <w:top w:val="none" w:sz="0" w:space="0" w:color="auto"/>
        <w:left w:val="none" w:sz="0" w:space="0" w:color="auto"/>
        <w:bottom w:val="none" w:sz="0" w:space="0" w:color="auto"/>
        <w:right w:val="none" w:sz="0" w:space="0" w:color="auto"/>
      </w:divBdr>
    </w:div>
    <w:div w:id="513421597">
      <w:bodyDiv w:val="1"/>
      <w:marLeft w:val="0"/>
      <w:marRight w:val="0"/>
      <w:marTop w:val="0"/>
      <w:marBottom w:val="0"/>
      <w:divBdr>
        <w:top w:val="none" w:sz="0" w:space="0" w:color="auto"/>
        <w:left w:val="none" w:sz="0" w:space="0" w:color="auto"/>
        <w:bottom w:val="none" w:sz="0" w:space="0" w:color="auto"/>
        <w:right w:val="none" w:sz="0" w:space="0" w:color="auto"/>
      </w:divBdr>
    </w:div>
    <w:div w:id="662588187">
      <w:bodyDiv w:val="1"/>
      <w:marLeft w:val="0"/>
      <w:marRight w:val="0"/>
      <w:marTop w:val="0"/>
      <w:marBottom w:val="0"/>
      <w:divBdr>
        <w:top w:val="none" w:sz="0" w:space="0" w:color="auto"/>
        <w:left w:val="none" w:sz="0" w:space="0" w:color="auto"/>
        <w:bottom w:val="none" w:sz="0" w:space="0" w:color="auto"/>
        <w:right w:val="none" w:sz="0" w:space="0" w:color="auto"/>
      </w:divBdr>
    </w:div>
    <w:div w:id="695890849">
      <w:bodyDiv w:val="1"/>
      <w:marLeft w:val="0"/>
      <w:marRight w:val="0"/>
      <w:marTop w:val="0"/>
      <w:marBottom w:val="0"/>
      <w:divBdr>
        <w:top w:val="none" w:sz="0" w:space="0" w:color="auto"/>
        <w:left w:val="none" w:sz="0" w:space="0" w:color="auto"/>
        <w:bottom w:val="none" w:sz="0" w:space="0" w:color="auto"/>
        <w:right w:val="none" w:sz="0" w:space="0" w:color="auto"/>
      </w:divBdr>
    </w:div>
    <w:div w:id="1001277565">
      <w:bodyDiv w:val="1"/>
      <w:marLeft w:val="0"/>
      <w:marRight w:val="0"/>
      <w:marTop w:val="0"/>
      <w:marBottom w:val="0"/>
      <w:divBdr>
        <w:top w:val="none" w:sz="0" w:space="0" w:color="auto"/>
        <w:left w:val="none" w:sz="0" w:space="0" w:color="auto"/>
        <w:bottom w:val="none" w:sz="0" w:space="0" w:color="auto"/>
        <w:right w:val="none" w:sz="0" w:space="0" w:color="auto"/>
      </w:divBdr>
    </w:div>
    <w:div w:id="1192692743">
      <w:bodyDiv w:val="1"/>
      <w:marLeft w:val="0"/>
      <w:marRight w:val="0"/>
      <w:marTop w:val="0"/>
      <w:marBottom w:val="0"/>
      <w:divBdr>
        <w:top w:val="none" w:sz="0" w:space="0" w:color="auto"/>
        <w:left w:val="none" w:sz="0" w:space="0" w:color="auto"/>
        <w:bottom w:val="none" w:sz="0" w:space="0" w:color="auto"/>
        <w:right w:val="none" w:sz="0" w:space="0" w:color="auto"/>
      </w:divBdr>
    </w:div>
    <w:div w:id="1761832702">
      <w:bodyDiv w:val="1"/>
      <w:marLeft w:val="0"/>
      <w:marRight w:val="0"/>
      <w:marTop w:val="0"/>
      <w:marBottom w:val="0"/>
      <w:divBdr>
        <w:top w:val="none" w:sz="0" w:space="0" w:color="auto"/>
        <w:left w:val="none" w:sz="0" w:space="0" w:color="auto"/>
        <w:bottom w:val="none" w:sz="0" w:space="0" w:color="auto"/>
        <w:right w:val="none" w:sz="0" w:space="0" w:color="auto"/>
      </w:divBdr>
    </w:div>
    <w:div w:id="1791585332">
      <w:bodyDiv w:val="1"/>
      <w:marLeft w:val="0"/>
      <w:marRight w:val="0"/>
      <w:marTop w:val="0"/>
      <w:marBottom w:val="0"/>
      <w:divBdr>
        <w:top w:val="none" w:sz="0" w:space="0" w:color="auto"/>
        <w:left w:val="none" w:sz="0" w:space="0" w:color="auto"/>
        <w:bottom w:val="none" w:sz="0" w:space="0" w:color="auto"/>
        <w:right w:val="none" w:sz="0" w:space="0" w:color="auto"/>
      </w:divBdr>
    </w:div>
    <w:div w:id="1855682698">
      <w:bodyDiv w:val="1"/>
      <w:marLeft w:val="0"/>
      <w:marRight w:val="0"/>
      <w:marTop w:val="0"/>
      <w:marBottom w:val="0"/>
      <w:divBdr>
        <w:top w:val="none" w:sz="0" w:space="0" w:color="auto"/>
        <w:left w:val="none" w:sz="0" w:space="0" w:color="auto"/>
        <w:bottom w:val="none" w:sz="0" w:space="0" w:color="auto"/>
        <w:right w:val="none" w:sz="0" w:space="0" w:color="auto"/>
      </w:divBdr>
    </w:div>
    <w:div w:id="1872061742">
      <w:bodyDiv w:val="1"/>
      <w:marLeft w:val="0"/>
      <w:marRight w:val="0"/>
      <w:marTop w:val="0"/>
      <w:marBottom w:val="0"/>
      <w:divBdr>
        <w:top w:val="none" w:sz="0" w:space="0" w:color="auto"/>
        <w:left w:val="none" w:sz="0" w:space="0" w:color="auto"/>
        <w:bottom w:val="none" w:sz="0" w:space="0" w:color="auto"/>
        <w:right w:val="none" w:sz="0" w:space="0" w:color="auto"/>
      </w:divBdr>
    </w:div>
    <w:div w:id="198534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A58271861</value>
    </field>
    <field name="Objective-Title">
      <value order="0">10.Building and Construction Legislation Amendment Bill 2025 (No 2) - Supplementary explanatory statement</value>
    </field>
    <field name="Objective-Description">
      <value order="0"/>
    </field>
    <field name="Objective-CreationStamp">
      <value order="0">2025-11-12T04:58:11Z</value>
    </field>
    <field name="Objective-IsApproved">
      <value order="0">false</value>
    </field>
    <field name="Objective-IsPublished">
      <value order="0">true</value>
    </field>
    <field name="Objective-DatePublished">
      <value order="0">2025-11-27T22:22:19Z</value>
    </field>
    <field name="Objective-ModificationStamp">
      <value order="0">2025-11-27T22:22:19Z</value>
    </field>
    <field name="Objective-Owner">
      <value order="0">Kym Radic</value>
    </field>
    <field name="Objective-Path">
      <value order="0">Whole of ACT Government:EPSDD - Environment Planning and Sustainable Development Directorate:07. Ministerial, Cabinet and Government Relations:05. Cabinet:02. ACTIVE Cabinet Submissions:00. Waiting on Decision - Next Steps (Assembly/Instruments):25/498 - Cabinet - Building and Construction Legislation Amendment Bill 2025 (No 2) - Agreement to Introduce:04. Assembly:02. Debate</value>
    </field>
    <field name="Objective-Parent">
      <value order="0">02. Debate</value>
    </field>
    <field name="Objective-State">
      <value order="0">Published</value>
    </field>
    <field name="Objective-VersionId">
      <value order="0">vA74318156</value>
    </field>
    <field name="Objective-Version">
      <value order="0">13.0</value>
    </field>
    <field name="Objective-VersionNumber">
      <value order="0">13</value>
    </field>
    <field name="Objective-VersionComment">
      <value order="0"/>
    </field>
    <field name="Objective-FileNumber">
      <value order="0">1-2025/0153492</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7172</Characters>
  <Application>Microsoft Office Word</Application>
  <DocSecurity>0</DocSecurity>
  <Lines>171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2026-02-02T23:39:00Z</dcterms:created>
  <dcterms:modified xsi:type="dcterms:W3CDTF">2026-02-02T23:39:00Z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Division">
    <vt:lpwstr>Corporate Services and Operations</vt:lpwstr>
  </property>
  <property fmtid="{D5CDD505-2E9C-101B-9397-08002B2CF9AE}" pid="4" name="Objective-Section">
    <vt:lpwstr>GCL</vt:lpwstr>
  </property>
  <property fmtid="{D5CDD505-2E9C-101B-9397-08002B2CF9AE}" pid="5" name="Objective-Officer">
    <vt:lpwstr>Adam Roach</vt:lpwstr>
  </property>
  <property fmtid="{D5CDD505-2E9C-101B-9397-08002B2CF9AE}" pid="6" name="Objective-Document Approved By">
    <vt:lpwstr>Adam Roach</vt:lpwstr>
  </property>
  <property fmtid="{D5CDD505-2E9C-101B-9397-08002B2CF9AE}" pid="7" name="Objective-Home Agency">
    <vt:lpwstr>EPSDD</vt:lpwstr>
  </property>
  <property fmtid="{D5CDD505-2E9C-101B-9397-08002B2CF9AE}" pid="8" name="Objective-Comment">
    <vt:lpwstr/>
  </property>
  <property fmtid="{D5CDD505-2E9C-101B-9397-08002B2CF9AE}" pid="9" name="MSIP_Label_69af8531-eb46-4968-8cb3-105d2f5ea87e_Enabled">
    <vt:lpwstr>true</vt:lpwstr>
  </property>
  <property fmtid="{D5CDD505-2E9C-101B-9397-08002B2CF9AE}" pid="10" name="MSIP_Label_69af8531-eb46-4968-8cb3-105d2f5ea87e_SetDate">
    <vt:lpwstr>2024-06-06T02:40:48Z</vt:lpwstr>
  </property>
  <property fmtid="{D5CDD505-2E9C-101B-9397-08002B2CF9AE}" pid="11" name="MSIP_Label_69af8531-eb46-4968-8cb3-105d2f5ea87e_Method">
    <vt:lpwstr>Standard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209c16a8-b738-4ea4-8798-13e47166425a</vt:lpwstr>
  </property>
  <property fmtid="{D5CDD505-2E9C-101B-9397-08002B2CF9AE}" pid="15" name="MSIP_Label_69af8531-eb46-4968-8cb3-105d2f5ea87e_ContentBits">
    <vt:lpwstr>0</vt:lpwstr>
  </property>
  <property fmtid="{D5CDD505-2E9C-101B-9397-08002B2CF9AE}" pid="16" name="Customer-Id">
    <vt:lpwstr>4FEB93B0D38B3BDFE05400144FFB2061</vt:lpwstr>
  </property>
  <property fmtid="{D5CDD505-2E9C-101B-9397-08002B2CF9AE}" pid="17" name="Objective-Id">
    <vt:lpwstr>A58271861</vt:lpwstr>
  </property>
  <property fmtid="{D5CDD505-2E9C-101B-9397-08002B2CF9AE}" pid="18" name="Objective-Title">
    <vt:lpwstr>10.Building and Construction Legislation Amendment Bill 2025 (No 2) - Supplementary explanatory statement</vt:lpwstr>
  </property>
  <property fmtid="{D5CDD505-2E9C-101B-9397-08002B2CF9AE}" pid="19" name="Objective-Description">
    <vt:lpwstr/>
  </property>
  <property fmtid="{D5CDD505-2E9C-101B-9397-08002B2CF9AE}" pid="20" name="Objective-CreationStamp">
    <vt:filetime>2025-11-12T04:58:11Z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2025-11-27T22:22:19Z</vt:filetime>
  </property>
  <property fmtid="{D5CDD505-2E9C-101B-9397-08002B2CF9AE}" pid="24" name="Objective-ModificationStamp">
    <vt:filetime>2025-11-27T22:22:19Z</vt:filetime>
  </property>
  <property fmtid="{D5CDD505-2E9C-101B-9397-08002B2CF9AE}" pid="25" name="Objective-Owner">
    <vt:lpwstr>Kym Radic</vt:lpwstr>
  </property>
  <property fmtid="{D5CDD505-2E9C-101B-9397-08002B2CF9AE}" pid="26" name="Objective-Path">
    <vt:lpwstr>Whole of ACT Government:EPSDD - Environment Planning and Sustainable Development Directorate:07. Ministerial, Cabinet and Government Relations:05. Cabinet:02. ACTIVE Cabinet Submissions:00. Waiting on Decision - Next Steps (Assembly/Instruments):25/498 - Cabinet - Building and Construction Legislation Amendment Bill 2025 (No 2) - Agreement to Introduce:04. Assembly:02. Debate</vt:lpwstr>
  </property>
  <property fmtid="{D5CDD505-2E9C-101B-9397-08002B2CF9AE}" pid="27" name="Objective-Parent">
    <vt:lpwstr>02. Debate</vt:lpwstr>
  </property>
  <property fmtid="{D5CDD505-2E9C-101B-9397-08002B2CF9AE}" pid="28" name="Objective-State">
    <vt:lpwstr>Published</vt:lpwstr>
  </property>
  <property fmtid="{D5CDD505-2E9C-101B-9397-08002B2CF9AE}" pid="29" name="Objective-VersionId">
    <vt:lpwstr>vA74318156</vt:lpwstr>
  </property>
  <property fmtid="{D5CDD505-2E9C-101B-9397-08002B2CF9AE}" pid="30" name="Objective-Version">
    <vt:lpwstr>13.0</vt:lpwstr>
  </property>
  <property fmtid="{D5CDD505-2E9C-101B-9397-08002B2CF9AE}" pid="31" name="Objective-VersionNumber">
    <vt:r8>13</vt:r8>
  </property>
  <property fmtid="{D5CDD505-2E9C-101B-9397-08002B2CF9AE}" pid="32" name="Objective-VersionComment">
    <vt:lpwstr/>
  </property>
  <property fmtid="{D5CDD505-2E9C-101B-9397-08002B2CF9AE}" pid="33" name="Objective-FileNumber">
    <vt:lpwstr>1-2025/0153492</vt:lpwstr>
  </property>
  <property fmtid="{D5CDD505-2E9C-101B-9397-08002B2CF9AE}" pid="34" name="Objective-Classification">
    <vt:lpwstr/>
  </property>
  <property fmtid="{D5CDD505-2E9C-101B-9397-08002B2CF9AE}" pid="35" name="Objective-Caveats">
    <vt:lpwstr/>
  </property>
  <property fmtid="{D5CDD505-2E9C-101B-9397-08002B2CF9AE}" pid="36" name="Objective-Owner Agency">
    <vt:lpwstr>EPSDD</vt:lpwstr>
  </property>
  <property fmtid="{D5CDD505-2E9C-101B-9397-08002B2CF9AE}" pid="37" name="Objective-Document Type">
    <vt:lpwstr>0-Document</vt:lpwstr>
  </property>
  <property fmtid="{D5CDD505-2E9C-101B-9397-08002B2CF9AE}" pid="38" name="Objective-Language">
    <vt:lpwstr>English (en)</vt:lpwstr>
  </property>
  <property fmtid="{D5CDD505-2E9C-101B-9397-08002B2CF9AE}" pid="39" name="Objective-Jurisdiction">
    <vt:lpwstr>ACT</vt:lpwstr>
  </property>
  <property fmtid="{D5CDD505-2E9C-101B-9397-08002B2CF9AE}" pid="40" name="Objective-Customers">
    <vt:lpwstr/>
  </property>
  <property fmtid="{D5CDD505-2E9C-101B-9397-08002B2CF9AE}" pid="41" name="Objective-Places">
    <vt:lpwstr/>
  </property>
  <property fmtid="{D5CDD505-2E9C-101B-9397-08002B2CF9AE}" pid="42" name="Objective-Transaction Reference">
    <vt:lpwstr/>
  </property>
  <property fmtid="{D5CDD505-2E9C-101B-9397-08002B2CF9AE}" pid="43" name="Objective-Document Created By">
    <vt:lpwstr/>
  </property>
  <property fmtid="{D5CDD505-2E9C-101B-9397-08002B2CF9AE}" pid="44" name="Objective-Document Created On">
    <vt:lpwstr/>
  </property>
  <property fmtid="{D5CDD505-2E9C-101B-9397-08002B2CF9AE}" pid="45" name="Objective-Covers Period From">
    <vt:lpwstr/>
  </property>
  <property fmtid="{D5CDD505-2E9C-101B-9397-08002B2CF9AE}" pid="46" name="Objective-Covers Period To">
    <vt:lpwstr/>
  </property>
  <property fmtid="{D5CDD505-2E9C-101B-9397-08002B2CF9AE}" pid="47" name="Objective-Status">
    <vt:lpwstr/>
  </property>
  <property fmtid="{D5CDD505-2E9C-101B-9397-08002B2CF9AE}" pid="48" name="Objective-S28 Exemption Number">
    <vt:lpwstr/>
  </property>
  <property fmtid="{D5CDD505-2E9C-101B-9397-08002B2CF9AE}" pid="49" name="Objective-S28 Exemption">
    <vt:lpwstr/>
  </property>
  <property fmtid="{D5CDD505-2E9C-101B-9397-08002B2CF9AE}" pid="50" name="Objective-S28 Exemption Reason">
    <vt:lpwstr/>
  </property>
  <property fmtid="{D5CDD505-2E9C-101B-9397-08002B2CF9AE}" pid="51" name="Objective-S28 Comments if partial exemption">
    <vt:lpwstr/>
  </property>
  <property fmtid="{D5CDD505-2E9C-101B-9397-08002B2CF9AE}" pid="52" name="Objective-S28 Date Approved">
    <vt:lpwstr/>
  </property>
</Properties>
</file>