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406CD" w14:textId="77777777" w:rsidR="008546F5" w:rsidRDefault="00734B27" w:rsidP="004625E9">
      <w:pPr>
        <w:spacing w:after="120" w:line="276" w:lineRule="auto"/>
        <w:jc w:val="center"/>
        <w:rPr>
          <w:rFonts w:ascii="Arial"/>
          <w:b/>
          <w:sz w:val="24"/>
        </w:rPr>
      </w:pPr>
      <w:r>
        <w:rPr>
          <w:rFonts w:ascii="Arial"/>
          <w:b/>
          <w:spacing w:val="-4"/>
          <w:sz w:val="24"/>
        </w:rPr>
        <w:t>2025</w:t>
      </w:r>
    </w:p>
    <w:p w14:paraId="238406CE" w14:textId="77777777" w:rsidR="008546F5" w:rsidRDefault="008546F5" w:rsidP="004625E9">
      <w:pPr>
        <w:pStyle w:val="BodyText"/>
        <w:spacing w:after="120" w:line="276" w:lineRule="auto"/>
        <w:ind w:left="0"/>
        <w:rPr>
          <w:rFonts w:ascii="Arial"/>
          <w:b/>
          <w:sz w:val="24"/>
        </w:rPr>
      </w:pPr>
    </w:p>
    <w:p w14:paraId="238406CF" w14:textId="77777777" w:rsidR="008546F5" w:rsidRDefault="008546F5" w:rsidP="004625E9">
      <w:pPr>
        <w:pStyle w:val="BodyText"/>
        <w:spacing w:after="120" w:line="276" w:lineRule="auto"/>
        <w:ind w:left="0"/>
        <w:rPr>
          <w:rFonts w:ascii="Arial"/>
          <w:b/>
          <w:sz w:val="24"/>
        </w:rPr>
      </w:pPr>
    </w:p>
    <w:p w14:paraId="238406D0" w14:textId="77777777" w:rsidR="008546F5" w:rsidRDefault="008546F5" w:rsidP="004625E9">
      <w:pPr>
        <w:pStyle w:val="BodyText"/>
        <w:spacing w:after="120" w:line="276" w:lineRule="auto"/>
        <w:ind w:left="0"/>
        <w:rPr>
          <w:rFonts w:ascii="Arial"/>
          <w:b/>
          <w:sz w:val="24"/>
        </w:rPr>
      </w:pPr>
    </w:p>
    <w:p w14:paraId="238406D4" w14:textId="77777777" w:rsidR="008546F5" w:rsidRDefault="00734B27" w:rsidP="004625E9">
      <w:pPr>
        <w:spacing w:after="120" w:line="276" w:lineRule="auto"/>
        <w:ind w:left="1477" w:right="1475"/>
        <w:jc w:val="center"/>
        <w:rPr>
          <w:rFonts w:ascii="Arial"/>
          <w:b/>
          <w:sz w:val="24"/>
        </w:rPr>
      </w:pPr>
      <w:r>
        <w:rPr>
          <w:rFonts w:ascii="Arial"/>
          <w:b/>
          <w:sz w:val="24"/>
        </w:rPr>
        <w:t>THE</w:t>
      </w:r>
      <w:r>
        <w:rPr>
          <w:rFonts w:ascii="Arial"/>
          <w:b/>
          <w:spacing w:val="-9"/>
          <w:sz w:val="24"/>
        </w:rPr>
        <w:t xml:space="preserve"> </w:t>
      </w:r>
      <w:r>
        <w:rPr>
          <w:rFonts w:ascii="Arial"/>
          <w:b/>
          <w:sz w:val="24"/>
        </w:rPr>
        <w:t>LEGISLATIVE</w:t>
      </w:r>
      <w:r>
        <w:rPr>
          <w:rFonts w:ascii="Arial"/>
          <w:b/>
          <w:spacing w:val="-9"/>
          <w:sz w:val="24"/>
        </w:rPr>
        <w:t xml:space="preserve"> </w:t>
      </w:r>
      <w:r>
        <w:rPr>
          <w:rFonts w:ascii="Arial"/>
          <w:b/>
          <w:sz w:val="24"/>
        </w:rPr>
        <w:t>ASSEMBLY</w:t>
      </w:r>
      <w:r>
        <w:rPr>
          <w:rFonts w:ascii="Arial"/>
          <w:b/>
          <w:spacing w:val="-9"/>
          <w:sz w:val="24"/>
        </w:rPr>
        <w:t xml:space="preserve"> </w:t>
      </w:r>
      <w:r>
        <w:rPr>
          <w:rFonts w:ascii="Arial"/>
          <w:b/>
          <w:sz w:val="24"/>
        </w:rPr>
        <w:t>FOR</w:t>
      </w:r>
      <w:r>
        <w:rPr>
          <w:rFonts w:ascii="Arial"/>
          <w:b/>
          <w:spacing w:val="-10"/>
          <w:sz w:val="24"/>
        </w:rPr>
        <w:t xml:space="preserve"> </w:t>
      </w:r>
      <w:r>
        <w:rPr>
          <w:rFonts w:ascii="Arial"/>
          <w:b/>
          <w:sz w:val="24"/>
        </w:rPr>
        <w:t>THE AUSTRALIAN CAPITAL TERRITORY</w:t>
      </w:r>
    </w:p>
    <w:p w14:paraId="238406D5" w14:textId="77777777" w:rsidR="008546F5" w:rsidRDefault="008546F5" w:rsidP="004625E9">
      <w:pPr>
        <w:pStyle w:val="BodyText"/>
        <w:spacing w:after="120" w:line="276" w:lineRule="auto"/>
        <w:ind w:left="0"/>
        <w:rPr>
          <w:rFonts w:ascii="Arial"/>
          <w:b/>
          <w:sz w:val="24"/>
        </w:rPr>
      </w:pPr>
    </w:p>
    <w:p w14:paraId="238406D6" w14:textId="77777777" w:rsidR="008546F5" w:rsidRDefault="008546F5" w:rsidP="004625E9">
      <w:pPr>
        <w:pStyle w:val="BodyText"/>
        <w:spacing w:after="120" w:line="276" w:lineRule="auto"/>
        <w:ind w:left="0"/>
        <w:rPr>
          <w:rFonts w:ascii="Arial"/>
          <w:b/>
          <w:sz w:val="24"/>
        </w:rPr>
      </w:pPr>
    </w:p>
    <w:p w14:paraId="238406D7" w14:textId="77777777" w:rsidR="008546F5" w:rsidRDefault="008546F5" w:rsidP="004625E9">
      <w:pPr>
        <w:pStyle w:val="BodyText"/>
        <w:spacing w:after="120" w:line="276" w:lineRule="auto"/>
        <w:ind w:left="0"/>
        <w:rPr>
          <w:rFonts w:ascii="Arial"/>
          <w:b/>
          <w:sz w:val="24"/>
        </w:rPr>
      </w:pPr>
    </w:p>
    <w:p w14:paraId="238406D8" w14:textId="77777777" w:rsidR="008546F5" w:rsidRDefault="00734B27" w:rsidP="004625E9">
      <w:pPr>
        <w:spacing w:after="120" w:line="276" w:lineRule="auto"/>
        <w:jc w:val="center"/>
        <w:rPr>
          <w:rFonts w:ascii="Arial"/>
          <w:b/>
          <w:sz w:val="24"/>
        </w:rPr>
      </w:pPr>
      <w:r>
        <w:rPr>
          <w:rFonts w:ascii="Arial"/>
          <w:b/>
          <w:sz w:val="24"/>
        </w:rPr>
        <w:t>ELEVENTH</w:t>
      </w:r>
      <w:r>
        <w:rPr>
          <w:rFonts w:ascii="Arial"/>
          <w:b/>
          <w:spacing w:val="-6"/>
          <w:sz w:val="24"/>
        </w:rPr>
        <w:t xml:space="preserve"> </w:t>
      </w:r>
      <w:r>
        <w:rPr>
          <w:rFonts w:ascii="Arial"/>
          <w:b/>
          <w:spacing w:val="-2"/>
          <w:sz w:val="24"/>
        </w:rPr>
        <w:t>ASSEMBLY</w:t>
      </w:r>
    </w:p>
    <w:p w14:paraId="238406D9" w14:textId="77777777" w:rsidR="008546F5" w:rsidRDefault="008546F5" w:rsidP="004625E9">
      <w:pPr>
        <w:pStyle w:val="BodyText"/>
        <w:spacing w:after="120" w:line="276" w:lineRule="auto"/>
        <w:ind w:left="0"/>
        <w:rPr>
          <w:rFonts w:ascii="Arial"/>
          <w:b/>
          <w:sz w:val="24"/>
        </w:rPr>
      </w:pPr>
    </w:p>
    <w:p w14:paraId="238406DA" w14:textId="77777777" w:rsidR="008546F5" w:rsidRDefault="008546F5" w:rsidP="004625E9">
      <w:pPr>
        <w:pStyle w:val="BodyText"/>
        <w:spacing w:after="120" w:line="276" w:lineRule="auto"/>
        <w:ind w:left="0"/>
        <w:rPr>
          <w:rFonts w:ascii="Arial"/>
          <w:b/>
          <w:sz w:val="24"/>
        </w:rPr>
      </w:pPr>
    </w:p>
    <w:p w14:paraId="238406DC" w14:textId="77777777" w:rsidR="008546F5" w:rsidRDefault="008546F5" w:rsidP="004625E9">
      <w:pPr>
        <w:pStyle w:val="BodyText"/>
        <w:spacing w:after="120" w:line="276" w:lineRule="auto"/>
        <w:ind w:left="0"/>
        <w:rPr>
          <w:rFonts w:ascii="Arial"/>
          <w:b/>
          <w:sz w:val="24"/>
        </w:rPr>
      </w:pPr>
    </w:p>
    <w:p w14:paraId="238406DD" w14:textId="77777777" w:rsidR="008546F5" w:rsidRDefault="008546F5" w:rsidP="004625E9">
      <w:pPr>
        <w:pStyle w:val="BodyText"/>
        <w:spacing w:after="120" w:line="276" w:lineRule="auto"/>
        <w:ind w:left="0"/>
        <w:rPr>
          <w:rFonts w:ascii="Arial"/>
          <w:b/>
          <w:sz w:val="24"/>
        </w:rPr>
      </w:pPr>
    </w:p>
    <w:p w14:paraId="238406DE" w14:textId="77777777" w:rsidR="008546F5" w:rsidRDefault="008546F5" w:rsidP="004625E9">
      <w:pPr>
        <w:pStyle w:val="BodyText"/>
        <w:spacing w:after="120" w:line="276" w:lineRule="auto"/>
        <w:ind w:left="0"/>
        <w:rPr>
          <w:rFonts w:ascii="Arial"/>
          <w:b/>
          <w:sz w:val="24"/>
        </w:rPr>
      </w:pPr>
    </w:p>
    <w:p w14:paraId="5B23366A" w14:textId="743F08B0" w:rsidR="00BC2CEC" w:rsidRPr="00F32959" w:rsidRDefault="00566E4C" w:rsidP="004625E9">
      <w:pPr>
        <w:spacing w:after="120" w:line="276" w:lineRule="auto"/>
        <w:ind w:left="4"/>
        <w:jc w:val="center"/>
        <w:rPr>
          <w:rFonts w:ascii="Arial"/>
          <w:b/>
          <w:spacing w:val="-4"/>
          <w:sz w:val="24"/>
        </w:rPr>
      </w:pPr>
      <w:r>
        <w:rPr>
          <w:rFonts w:ascii="Arial"/>
          <w:b/>
          <w:sz w:val="24"/>
        </w:rPr>
        <w:t>J</w:t>
      </w:r>
      <w:r w:rsidR="00BC2CEC">
        <w:rPr>
          <w:rFonts w:ascii="Arial"/>
          <w:b/>
          <w:sz w:val="24"/>
        </w:rPr>
        <w:t>uries</w:t>
      </w:r>
      <w:r>
        <w:rPr>
          <w:rFonts w:ascii="Arial"/>
          <w:b/>
          <w:spacing w:val="-1"/>
          <w:sz w:val="24"/>
        </w:rPr>
        <w:t xml:space="preserve"> </w:t>
      </w:r>
      <w:r w:rsidR="00100AD7">
        <w:rPr>
          <w:rFonts w:ascii="Arial"/>
          <w:b/>
          <w:spacing w:val="-1"/>
          <w:sz w:val="24"/>
        </w:rPr>
        <w:t xml:space="preserve">(Peremptory Challenges) </w:t>
      </w:r>
      <w:r>
        <w:rPr>
          <w:rFonts w:ascii="Arial"/>
          <w:b/>
          <w:sz w:val="24"/>
        </w:rPr>
        <w:t>Amendment</w:t>
      </w:r>
      <w:r>
        <w:rPr>
          <w:rFonts w:ascii="Arial"/>
          <w:b/>
          <w:spacing w:val="-4"/>
          <w:sz w:val="24"/>
        </w:rPr>
        <w:t xml:space="preserve"> </w:t>
      </w:r>
      <w:r>
        <w:rPr>
          <w:rFonts w:ascii="Arial"/>
          <w:b/>
          <w:sz w:val="24"/>
        </w:rPr>
        <w:t>Bill</w:t>
      </w:r>
      <w:r>
        <w:rPr>
          <w:rFonts w:ascii="Arial"/>
          <w:b/>
          <w:spacing w:val="-4"/>
          <w:sz w:val="24"/>
        </w:rPr>
        <w:t xml:space="preserve"> </w:t>
      </w:r>
      <w:r>
        <w:rPr>
          <w:rFonts w:ascii="Arial"/>
          <w:b/>
          <w:sz w:val="24"/>
        </w:rPr>
        <w:t xml:space="preserve">2025 </w:t>
      </w:r>
    </w:p>
    <w:p w14:paraId="7236E69D" w14:textId="77777777" w:rsidR="004625E9" w:rsidRDefault="004625E9" w:rsidP="004625E9">
      <w:pPr>
        <w:spacing w:after="120" w:line="276" w:lineRule="auto"/>
        <w:ind w:left="4"/>
        <w:jc w:val="center"/>
        <w:rPr>
          <w:rFonts w:ascii="Arial"/>
          <w:b/>
          <w:sz w:val="24"/>
        </w:rPr>
      </w:pPr>
    </w:p>
    <w:p w14:paraId="31CC3CCD" w14:textId="77777777" w:rsidR="004625E9" w:rsidRDefault="004625E9" w:rsidP="004625E9">
      <w:pPr>
        <w:spacing w:after="120" w:line="276" w:lineRule="auto"/>
        <w:ind w:left="4"/>
        <w:jc w:val="center"/>
        <w:rPr>
          <w:rFonts w:ascii="Arial"/>
          <w:b/>
          <w:sz w:val="24"/>
        </w:rPr>
      </w:pPr>
    </w:p>
    <w:p w14:paraId="238406DF" w14:textId="3F3A11DE" w:rsidR="008546F5" w:rsidRDefault="00734B27" w:rsidP="004625E9">
      <w:pPr>
        <w:spacing w:after="120" w:line="276" w:lineRule="auto"/>
        <w:ind w:left="4"/>
        <w:jc w:val="center"/>
        <w:rPr>
          <w:rFonts w:ascii="Arial"/>
          <w:b/>
          <w:sz w:val="24"/>
        </w:rPr>
      </w:pPr>
      <w:r>
        <w:rPr>
          <w:rFonts w:ascii="Arial"/>
          <w:b/>
          <w:sz w:val="24"/>
        </w:rPr>
        <w:t>EXPLANATORY STATEMENT</w:t>
      </w:r>
    </w:p>
    <w:p w14:paraId="238406E0" w14:textId="77777777" w:rsidR="008546F5" w:rsidRDefault="008546F5" w:rsidP="004625E9">
      <w:pPr>
        <w:pStyle w:val="BodyText"/>
        <w:spacing w:after="120" w:line="276" w:lineRule="auto"/>
        <w:ind w:left="0"/>
        <w:rPr>
          <w:rFonts w:ascii="Arial"/>
          <w:b/>
          <w:sz w:val="24"/>
        </w:rPr>
      </w:pPr>
    </w:p>
    <w:p w14:paraId="238406E1" w14:textId="77777777" w:rsidR="008546F5" w:rsidRDefault="008546F5" w:rsidP="004625E9">
      <w:pPr>
        <w:pStyle w:val="BodyText"/>
        <w:spacing w:after="120" w:line="276" w:lineRule="auto"/>
        <w:ind w:left="0"/>
        <w:rPr>
          <w:rFonts w:ascii="Arial"/>
          <w:b/>
          <w:sz w:val="24"/>
        </w:rPr>
      </w:pPr>
    </w:p>
    <w:p w14:paraId="238406EA" w14:textId="77777777" w:rsidR="008546F5" w:rsidRDefault="008546F5" w:rsidP="004625E9">
      <w:pPr>
        <w:pStyle w:val="BodyText"/>
        <w:spacing w:after="120" w:line="276" w:lineRule="auto"/>
        <w:ind w:left="0"/>
        <w:rPr>
          <w:rFonts w:ascii="Arial"/>
          <w:b/>
          <w:sz w:val="24"/>
        </w:rPr>
      </w:pPr>
    </w:p>
    <w:p w14:paraId="238406EB" w14:textId="77777777" w:rsidR="008546F5" w:rsidRDefault="008546F5" w:rsidP="004625E9">
      <w:pPr>
        <w:pStyle w:val="BodyText"/>
        <w:spacing w:after="120" w:line="276" w:lineRule="auto"/>
        <w:ind w:left="0"/>
        <w:rPr>
          <w:rFonts w:ascii="Arial"/>
          <w:b/>
          <w:sz w:val="24"/>
        </w:rPr>
      </w:pPr>
    </w:p>
    <w:p w14:paraId="238406EC" w14:textId="77777777" w:rsidR="008546F5" w:rsidRDefault="008546F5" w:rsidP="004625E9">
      <w:pPr>
        <w:pStyle w:val="BodyText"/>
        <w:spacing w:after="120" w:line="276" w:lineRule="auto"/>
        <w:ind w:left="0"/>
        <w:rPr>
          <w:rFonts w:ascii="Arial"/>
          <w:b/>
          <w:sz w:val="24"/>
        </w:rPr>
      </w:pPr>
    </w:p>
    <w:p w14:paraId="238406ED" w14:textId="77777777" w:rsidR="008546F5" w:rsidRDefault="008546F5" w:rsidP="004625E9">
      <w:pPr>
        <w:pStyle w:val="BodyText"/>
        <w:spacing w:after="120" w:line="276" w:lineRule="auto"/>
        <w:ind w:left="0"/>
        <w:rPr>
          <w:rFonts w:ascii="Arial"/>
          <w:b/>
          <w:sz w:val="24"/>
        </w:rPr>
      </w:pPr>
    </w:p>
    <w:p w14:paraId="238406EE" w14:textId="77777777" w:rsidR="008546F5" w:rsidRDefault="008546F5" w:rsidP="004625E9">
      <w:pPr>
        <w:pStyle w:val="BodyText"/>
        <w:spacing w:after="120" w:line="276" w:lineRule="auto"/>
        <w:ind w:left="0"/>
        <w:rPr>
          <w:rFonts w:ascii="Arial"/>
          <w:b/>
          <w:sz w:val="24"/>
        </w:rPr>
      </w:pPr>
    </w:p>
    <w:p w14:paraId="238406EF" w14:textId="77777777" w:rsidR="008546F5" w:rsidRDefault="008546F5" w:rsidP="004625E9">
      <w:pPr>
        <w:pStyle w:val="BodyText"/>
        <w:spacing w:after="120" w:line="276" w:lineRule="auto"/>
        <w:ind w:left="0"/>
        <w:rPr>
          <w:rFonts w:ascii="Arial"/>
          <w:b/>
          <w:sz w:val="24"/>
        </w:rPr>
      </w:pPr>
    </w:p>
    <w:p w14:paraId="238406F0" w14:textId="77777777" w:rsidR="008546F5" w:rsidRDefault="008546F5" w:rsidP="004625E9">
      <w:pPr>
        <w:pStyle w:val="BodyText"/>
        <w:spacing w:after="120" w:line="276" w:lineRule="auto"/>
        <w:ind w:left="0"/>
        <w:rPr>
          <w:rFonts w:ascii="Arial"/>
          <w:b/>
          <w:sz w:val="24"/>
        </w:rPr>
      </w:pPr>
    </w:p>
    <w:p w14:paraId="238406F1" w14:textId="77777777" w:rsidR="008546F5" w:rsidRDefault="008546F5" w:rsidP="004625E9">
      <w:pPr>
        <w:pStyle w:val="BodyText"/>
        <w:spacing w:after="120" w:line="276" w:lineRule="auto"/>
        <w:ind w:left="0"/>
        <w:rPr>
          <w:rFonts w:ascii="Arial"/>
          <w:b/>
          <w:sz w:val="24"/>
        </w:rPr>
      </w:pPr>
    </w:p>
    <w:p w14:paraId="5F0AF56C" w14:textId="03C84EC8" w:rsidR="00F32959" w:rsidRDefault="00734B27" w:rsidP="004625E9">
      <w:pPr>
        <w:spacing w:line="276" w:lineRule="auto"/>
        <w:ind w:left="4395" w:right="703" w:firstLine="2461"/>
        <w:jc w:val="right"/>
        <w:rPr>
          <w:rFonts w:ascii="Arial"/>
          <w:b/>
          <w:sz w:val="24"/>
        </w:rPr>
      </w:pPr>
      <w:r>
        <w:rPr>
          <w:rFonts w:ascii="Arial"/>
          <w:b/>
          <w:sz w:val="24"/>
        </w:rPr>
        <w:t>Presented</w:t>
      </w:r>
      <w:r>
        <w:rPr>
          <w:rFonts w:ascii="Arial"/>
          <w:b/>
          <w:spacing w:val="-17"/>
          <w:sz w:val="24"/>
        </w:rPr>
        <w:t xml:space="preserve"> </w:t>
      </w:r>
      <w:r>
        <w:rPr>
          <w:rFonts w:ascii="Arial"/>
          <w:b/>
          <w:sz w:val="24"/>
        </w:rPr>
        <w:t>by</w:t>
      </w:r>
      <w:r w:rsidR="00FD7734">
        <w:rPr>
          <w:rFonts w:ascii="Arial"/>
          <w:b/>
          <w:sz w:val="24"/>
        </w:rPr>
        <w:t xml:space="preserve"> </w:t>
      </w:r>
      <w:r>
        <w:rPr>
          <w:rFonts w:ascii="Arial"/>
          <w:b/>
          <w:sz w:val="24"/>
        </w:rPr>
        <w:t>Mr</w:t>
      </w:r>
      <w:r>
        <w:rPr>
          <w:rFonts w:ascii="Arial"/>
          <w:b/>
          <w:spacing w:val="-11"/>
          <w:sz w:val="24"/>
        </w:rPr>
        <w:t xml:space="preserve"> </w:t>
      </w:r>
      <w:r w:rsidR="00F32959">
        <w:rPr>
          <w:rFonts w:ascii="Arial"/>
          <w:b/>
          <w:sz w:val="24"/>
        </w:rPr>
        <w:t>Taimus Werner-Gibbings</w:t>
      </w:r>
      <w:r>
        <w:rPr>
          <w:rFonts w:ascii="Arial"/>
          <w:b/>
          <w:spacing w:val="-11"/>
          <w:sz w:val="24"/>
        </w:rPr>
        <w:t xml:space="preserve"> </w:t>
      </w:r>
      <w:r>
        <w:rPr>
          <w:rFonts w:ascii="Arial"/>
          <w:b/>
          <w:sz w:val="24"/>
        </w:rPr>
        <w:t>MLA</w:t>
      </w:r>
    </w:p>
    <w:p w14:paraId="49BD3C5E" w14:textId="37619D98" w:rsidR="00214E9C" w:rsidRDefault="00214E9C" w:rsidP="004625E9">
      <w:pPr>
        <w:spacing w:line="276" w:lineRule="auto"/>
        <w:ind w:left="4395" w:right="703" w:firstLine="283"/>
        <w:jc w:val="right"/>
        <w:rPr>
          <w:rFonts w:ascii="Arial"/>
          <w:b/>
          <w:sz w:val="24"/>
        </w:rPr>
      </w:pPr>
      <w:r>
        <w:rPr>
          <w:rFonts w:ascii="Arial"/>
          <w:b/>
          <w:sz w:val="24"/>
        </w:rPr>
        <w:t>Member for Brindabella</w:t>
      </w:r>
    </w:p>
    <w:p w14:paraId="238406F3" w14:textId="1C00C956" w:rsidR="008546F5" w:rsidRDefault="00FD7734" w:rsidP="004625E9">
      <w:pPr>
        <w:spacing w:line="276" w:lineRule="auto"/>
        <w:ind w:left="5364" w:right="703" w:firstLine="23"/>
        <w:jc w:val="right"/>
        <w:rPr>
          <w:rFonts w:ascii="Arial"/>
          <w:b/>
          <w:sz w:val="24"/>
        </w:rPr>
      </w:pPr>
      <w:r>
        <w:rPr>
          <w:rFonts w:ascii="Arial"/>
          <w:b/>
          <w:sz w:val="24"/>
        </w:rPr>
        <w:t>December</w:t>
      </w:r>
      <w:r w:rsidR="00214E9C">
        <w:rPr>
          <w:rFonts w:ascii="Arial"/>
          <w:b/>
          <w:sz w:val="24"/>
        </w:rPr>
        <w:t xml:space="preserve"> 202</w:t>
      </w:r>
      <w:r>
        <w:rPr>
          <w:rFonts w:ascii="Arial"/>
          <w:b/>
          <w:spacing w:val="-4"/>
          <w:sz w:val="24"/>
        </w:rPr>
        <w:t>5</w:t>
      </w:r>
    </w:p>
    <w:p w14:paraId="238406F4" w14:textId="77777777" w:rsidR="008546F5" w:rsidRDefault="008546F5" w:rsidP="004625E9">
      <w:pPr>
        <w:spacing w:after="120" w:line="276" w:lineRule="auto"/>
        <w:jc w:val="both"/>
        <w:rPr>
          <w:rFonts w:ascii="Arial"/>
          <w:b/>
          <w:sz w:val="24"/>
        </w:rPr>
        <w:sectPr w:rsidR="008546F5" w:rsidSect="001F6A8A">
          <w:headerReference w:type="even" r:id="rId8"/>
          <w:headerReference w:type="default" r:id="rId9"/>
          <w:footerReference w:type="even" r:id="rId10"/>
          <w:footerReference w:type="default" r:id="rId11"/>
          <w:headerReference w:type="first" r:id="rId12"/>
          <w:footerReference w:type="first" r:id="rId13"/>
          <w:type w:val="continuous"/>
          <w:pgSz w:w="11910" w:h="16840"/>
          <w:pgMar w:top="1340" w:right="1417" w:bottom="860" w:left="1417" w:header="0" w:footer="454" w:gutter="0"/>
          <w:pgNumType w:start="1"/>
          <w:cols w:space="720"/>
          <w:docGrid w:linePitch="299"/>
        </w:sectPr>
      </w:pPr>
    </w:p>
    <w:p w14:paraId="238406F5" w14:textId="7A6A21C5" w:rsidR="008546F5" w:rsidRPr="00E408B4" w:rsidRDefault="00122951" w:rsidP="00E408B4">
      <w:pPr>
        <w:pStyle w:val="BodyText"/>
      </w:pPr>
      <w:r w:rsidRPr="00E408B4">
        <w:rPr>
          <w:spacing w:val="-2"/>
          <w:w w:val="105"/>
          <w:u w:val="single"/>
        </w:rPr>
        <w:lastRenderedPageBreak/>
        <w:t>INTRODUCTION</w:t>
      </w:r>
    </w:p>
    <w:p w14:paraId="238406F7" w14:textId="68C6712E" w:rsidR="008546F5" w:rsidRPr="00E408B4" w:rsidRDefault="00734B27" w:rsidP="00E408B4">
      <w:pPr>
        <w:pStyle w:val="BodyText"/>
        <w:spacing w:after="120"/>
        <w:jc w:val="both"/>
      </w:pPr>
      <w:r w:rsidRPr="00E408B4">
        <w:rPr>
          <w:w w:val="105"/>
        </w:rPr>
        <w:t>This</w:t>
      </w:r>
      <w:r w:rsidRPr="00E408B4">
        <w:rPr>
          <w:spacing w:val="-7"/>
          <w:w w:val="105"/>
        </w:rPr>
        <w:t xml:space="preserve"> </w:t>
      </w:r>
      <w:r w:rsidRPr="00E408B4">
        <w:rPr>
          <w:w w:val="105"/>
        </w:rPr>
        <w:t>explanatory</w:t>
      </w:r>
      <w:r w:rsidRPr="00E408B4">
        <w:rPr>
          <w:spacing w:val="-4"/>
          <w:w w:val="105"/>
        </w:rPr>
        <w:t xml:space="preserve"> </w:t>
      </w:r>
      <w:r w:rsidRPr="00E408B4">
        <w:rPr>
          <w:w w:val="105"/>
        </w:rPr>
        <w:t>statement</w:t>
      </w:r>
      <w:r w:rsidRPr="00E408B4">
        <w:rPr>
          <w:spacing w:val="-7"/>
          <w:w w:val="105"/>
        </w:rPr>
        <w:t xml:space="preserve"> </w:t>
      </w:r>
      <w:r w:rsidRPr="00E408B4">
        <w:rPr>
          <w:w w:val="105"/>
        </w:rPr>
        <w:t>relates</w:t>
      </w:r>
      <w:r w:rsidRPr="00E408B4">
        <w:rPr>
          <w:spacing w:val="-4"/>
          <w:w w:val="105"/>
        </w:rPr>
        <w:t xml:space="preserve"> </w:t>
      </w:r>
      <w:r w:rsidRPr="00E408B4">
        <w:rPr>
          <w:w w:val="105"/>
        </w:rPr>
        <w:t>to</w:t>
      </w:r>
      <w:r w:rsidRPr="00E408B4">
        <w:rPr>
          <w:spacing w:val="-7"/>
          <w:w w:val="105"/>
        </w:rPr>
        <w:t xml:space="preserve"> </w:t>
      </w:r>
      <w:r w:rsidRPr="00E408B4">
        <w:rPr>
          <w:w w:val="105"/>
        </w:rPr>
        <w:t>the</w:t>
      </w:r>
      <w:r w:rsidRPr="00E408B4">
        <w:rPr>
          <w:spacing w:val="-6"/>
          <w:w w:val="105"/>
        </w:rPr>
        <w:t xml:space="preserve"> </w:t>
      </w:r>
      <w:r w:rsidR="00D67874" w:rsidRPr="00E408B4">
        <w:rPr>
          <w:i/>
          <w:iCs/>
          <w:w w:val="105"/>
        </w:rPr>
        <w:t>Juries</w:t>
      </w:r>
      <w:r w:rsidRPr="00E408B4">
        <w:rPr>
          <w:i/>
          <w:iCs/>
          <w:spacing w:val="-4"/>
          <w:w w:val="105"/>
        </w:rPr>
        <w:t xml:space="preserve"> </w:t>
      </w:r>
      <w:r w:rsidR="00100AD7" w:rsidRPr="00E408B4">
        <w:rPr>
          <w:i/>
          <w:iCs/>
          <w:spacing w:val="-4"/>
          <w:w w:val="105"/>
        </w:rPr>
        <w:t xml:space="preserve">(Peremptory Challenges) </w:t>
      </w:r>
      <w:r w:rsidRPr="00E408B4">
        <w:rPr>
          <w:i/>
          <w:iCs/>
          <w:w w:val="105"/>
        </w:rPr>
        <w:t>Amendment</w:t>
      </w:r>
      <w:r w:rsidRPr="00E408B4">
        <w:rPr>
          <w:i/>
          <w:iCs/>
          <w:spacing w:val="-5"/>
          <w:w w:val="105"/>
        </w:rPr>
        <w:t xml:space="preserve"> </w:t>
      </w:r>
      <w:r w:rsidRPr="00E408B4">
        <w:rPr>
          <w:i/>
          <w:iCs/>
          <w:w w:val="105"/>
        </w:rPr>
        <w:t>Bill</w:t>
      </w:r>
      <w:r w:rsidRPr="00E408B4">
        <w:rPr>
          <w:i/>
          <w:iCs/>
          <w:spacing w:val="-7"/>
          <w:w w:val="105"/>
        </w:rPr>
        <w:t xml:space="preserve"> </w:t>
      </w:r>
      <w:r w:rsidRPr="00E408B4">
        <w:rPr>
          <w:i/>
          <w:iCs/>
          <w:w w:val="105"/>
        </w:rPr>
        <w:t>2025</w:t>
      </w:r>
      <w:r w:rsidRPr="00E408B4">
        <w:rPr>
          <w:spacing w:val="-3"/>
          <w:w w:val="105"/>
        </w:rPr>
        <w:t xml:space="preserve"> </w:t>
      </w:r>
      <w:r w:rsidRPr="00E408B4">
        <w:rPr>
          <w:w w:val="105"/>
        </w:rPr>
        <w:t>as</w:t>
      </w:r>
      <w:r w:rsidRPr="00E408B4">
        <w:rPr>
          <w:spacing w:val="-4"/>
          <w:w w:val="105"/>
        </w:rPr>
        <w:t xml:space="preserve"> </w:t>
      </w:r>
      <w:r w:rsidRPr="00E408B4">
        <w:rPr>
          <w:w w:val="105"/>
        </w:rPr>
        <w:t>presented</w:t>
      </w:r>
      <w:r w:rsidRPr="00E408B4">
        <w:rPr>
          <w:spacing w:val="-4"/>
          <w:w w:val="105"/>
        </w:rPr>
        <w:t xml:space="preserve"> </w:t>
      </w:r>
      <w:r w:rsidRPr="00E408B4">
        <w:rPr>
          <w:w w:val="105"/>
        </w:rPr>
        <w:t>to</w:t>
      </w:r>
      <w:r w:rsidRPr="00E408B4">
        <w:rPr>
          <w:spacing w:val="-4"/>
          <w:w w:val="105"/>
        </w:rPr>
        <w:t xml:space="preserve"> </w:t>
      </w:r>
      <w:r w:rsidRPr="00E408B4">
        <w:rPr>
          <w:w w:val="105"/>
        </w:rPr>
        <w:t>the</w:t>
      </w:r>
      <w:r w:rsidRPr="00E408B4">
        <w:rPr>
          <w:spacing w:val="-6"/>
          <w:w w:val="105"/>
        </w:rPr>
        <w:t xml:space="preserve"> </w:t>
      </w:r>
      <w:r w:rsidRPr="00E408B4">
        <w:rPr>
          <w:w w:val="105"/>
        </w:rPr>
        <w:t>Legislative</w:t>
      </w:r>
      <w:r w:rsidRPr="00E408B4">
        <w:rPr>
          <w:spacing w:val="-4"/>
          <w:w w:val="105"/>
        </w:rPr>
        <w:t xml:space="preserve"> </w:t>
      </w:r>
      <w:r w:rsidRPr="00E408B4">
        <w:rPr>
          <w:w w:val="105"/>
        </w:rPr>
        <w:t>Assembly.</w:t>
      </w:r>
      <w:r w:rsidRPr="00E408B4">
        <w:rPr>
          <w:spacing w:val="-3"/>
          <w:w w:val="105"/>
        </w:rPr>
        <w:t xml:space="preserve"> </w:t>
      </w:r>
      <w:r w:rsidRPr="00E408B4">
        <w:rPr>
          <w:w w:val="105"/>
        </w:rPr>
        <w:t>It</w:t>
      </w:r>
      <w:r w:rsidRPr="00E408B4">
        <w:rPr>
          <w:spacing w:val="-2"/>
          <w:w w:val="105"/>
        </w:rPr>
        <w:t xml:space="preserve"> </w:t>
      </w:r>
      <w:r w:rsidRPr="00E408B4">
        <w:rPr>
          <w:w w:val="105"/>
        </w:rPr>
        <w:t>has</w:t>
      </w:r>
      <w:r w:rsidRPr="00E408B4">
        <w:rPr>
          <w:spacing w:val="-4"/>
          <w:w w:val="105"/>
        </w:rPr>
        <w:t xml:space="preserve"> </w:t>
      </w:r>
      <w:r w:rsidRPr="00E408B4">
        <w:rPr>
          <w:w w:val="105"/>
        </w:rPr>
        <w:t>been</w:t>
      </w:r>
      <w:r w:rsidRPr="00E408B4">
        <w:rPr>
          <w:spacing w:val="-5"/>
          <w:w w:val="105"/>
        </w:rPr>
        <w:t xml:space="preserve"> </w:t>
      </w:r>
      <w:r w:rsidRPr="00E408B4">
        <w:rPr>
          <w:w w:val="105"/>
        </w:rPr>
        <w:t>prepared</w:t>
      </w:r>
      <w:r w:rsidRPr="00E408B4">
        <w:rPr>
          <w:spacing w:val="-4"/>
          <w:w w:val="105"/>
        </w:rPr>
        <w:t xml:space="preserve"> </w:t>
      </w:r>
      <w:r w:rsidRPr="00E408B4">
        <w:rPr>
          <w:w w:val="105"/>
        </w:rPr>
        <w:t>in order</w:t>
      </w:r>
      <w:r w:rsidRPr="00E408B4">
        <w:rPr>
          <w:spacing w:val="-1"/>
          <w:w w:val="105"/>
        </w:rPr>
        <w:t xml:space="preserve"> </w:t>
      </w:r>
      <w:r w:rsidRPr="00E408B4">
        <w:rPr>
          <w:w w:val="105"/>
        </w:rPr>
        <w:t>to</w:t>
      </w:r>
      <w:r w:rsidRPr="00E408B4">
        <w:rPr>
          <w:spacing w:val="-4"/>
          <w:w w:val="105"/>
        </w:rPr>
        <w:t xml:space="preserve"> </w:t>
      </w:r>
      <w:r w:rsidRPr="00E408B4">
        <w:rPr>
          <w:w w:val="105"/>
        </w:rPr>
        <w:t>assist</w:t>
      </w:r>
      <w:r w:rsidRPr="00E408B4">
        <w:rPr>
          <w:spacing w:val="-4"/>
          <w:w w:val="105"/>
        </w:rPr>
        <w:t xml:space="preserve"> </w:t>
      </w:r>
      <w:r w:rsidRPr="00E408B4">
        <w:rPr>
          <w:w w:val="105"/>
        </w:rPr>
        <w:t>the</w:t>
      </w:r>
      <w:r w:rsidRPr="00E408B4">
        <w:rPr>
          <w:spacing w:val="-5"/>
          <w:w w:val="105"/>
        </w:rPr>
        <w:t xml:space="preserve"> </w:t>
      </w:r>
      <w:r w:rsidRPr="00E408B4">
        <w:rPr>
          <w:w w:val="105"/>
        </w:rPr>
        <w:t>reader</w:t>
      </w:r>
      <w:r w:rsidRPr="00E408B4">
        <w:rPr>
          <w:spacing w:val="-6"/>
          <w:w w:val="105"/>
        </w:rPr>
        <w:t xml:space="preserve"> </w:t>
      </w:r>
      <w:r w:rsidRPr="00E408B4">
        <w:rPr>
          <w:w w:val="105"/>
        </w:rPr>
        <w:t>of</w:t>
      </w:r>
      <w:r w:rsidRPr="00E408B4">
        <w:rPr>
          <w:spacing w:val="-3"/>
          <w:w w:val="105"/>
        </w:rPr>
        <w:t xml:space="preserve"> </w:t>
      </w:r>
      <w:r w:rsidRPr="00E408B4">
        <w:rPr>
          <w:w w:val="105"/>
        </w:rPr>
        <w:t>the</w:t>
      </w:r>
      <w:r w:rsidRPr="00E408B4">
        <w:rPr>
          <w:spacing w:val="-5"/>
          <w:w w:val="105"/>
        </w:rPr>
        <w:t xml:space="preserve"> </w:t>
      </w:r>
      <w:r w:rsidRPr="00E408B4">
        <w:rPr>
          <w:w w:val="105"/>
        </w:rPr>
        <w:t>bill</w:t>
      </w:r>
      <w:r w:rsidRPr="00E408B4">
        <w:rPr>
          <w:spacing w:val="-4"/>
          <w:w w:val="105"/>
        </w:rPr>
        <w:t xml:space="preserve"> </w:t>
      </w:r>
      <w:r w:rsidRPr="00E408B4">
        <w:rPr>
          <w:w w:val="105"/>
        </w:rPr>
        <w:t>and</w:t>
      </w:r>
      <w:r w:rsidRPr="00E408B4">
        <w:rPr>
          <w:spacing w:val="-1"/>
          <w:w w:val="105"/>
        </w:rPr>
        <w:t xml:space="preserve"> </w:t>
      </w:r>
      <w:r w:rsidRPr="00E408B4">
        <w:rPr>
          <w:w w:val="105"/>
        </w:rPr>
        <w:t>to</w:t>
      </w:r>
      <w:r w:rsidRPr="00E408B4">
        <w:rPr>
          <w:spacing w:val="-4"/>
          <w:w w:val="105"/>
        </w:rPr>
        <w:t xml:space="preserve"> </w:t>
      </w:r>
      <w:r w:rsidRPr="00E408B4">
        <w:rPr>
          <w:w w:val="105"/>
        </w:rPr>
        <w:t>help</w:t>
      </w:r>
      <w:r w:rsidRPr="00E408B4">
        <w:rPr>
          <w:spacing w:val="-3"/>
          <w:w w:val="105"/>
        </w:rPr>
        <w:t xml:space="preserve"> </w:t>
      </w:r>
      <w:r w:rsidRPr="00E408B4">
        <w:rPr>
          <w:w w:val="105"/>
        </w:rPr>
        <w:t>inform</w:t>
      </w:r>
      <w:r w:rsidRPr="00E408B4">
        <w:rPr>
          <w:spacing w:val="-3"/>
          <w:w w:val="105"/>
        </w:rPr>
        <w:t xml:space="preserve"> </w:t>
      </w:r>
      <w:r w:rsidRPr="00E408B4">
        <w:rPr>
          <w:w w:val="105"/>
        </w:rPr>
        <w:t>debate</w:t>
      </w:r>
      <w:r w:rsidRPr="00E408B4">
        <w:rPr>
          <w:spacing w:val="-3"/>
          <w:w w:val="105"/>
        </w:rPr>
        <w:t xml:space="preserve"> </w:t>
      </w:r>
      <w:r w:rsidRPr="00E408B4">
        <w:rPr>
          <w:w w:val="105"/>
        </w:rPr>
        <w:t>on</w:t>
      </w:r>
      <w:r w:rsidRPr="00E408B4">
        <w:rPr>
          <w:spacing w:val="-3"/>
          <w:w w:val="105"/>
        </w:rPr>
        <w:t xml:space="preserve"> </w:t>
      </w:r>
      <w:r w:rsidRPr="00E408B4">
        <w:rPr>
          <w:w w:val="105"/>
        </w:rPr>
        <w:t>it.</w:t>
      </w:r>
      <w:r w:rsidRPr="00E408B4">
        <w:rPr>
          <w:spacing w:val="-5"/>
          <w:w w:val="105"/>
        </w:rPr>
        <w:t xml:space="preserve"> </w:t>
      </w:r>
      <w:r w:rsidRPr="00E408B4">
        <w:rPr>
          <w:w w:val="105"/>
        </w:rPr>
        <w:t>It</w:t>
      </w:r>
      <w:r w:rsidRPr="00E408B4">
        <w:rPr>
          <w:spacing w:val="-3"/>
          <w:w w:val="105"/>
        </w:rPr>
        <w:t xml:space="preserve"> </w:t>
      </w:r>
      <w:r w:rsidRPr="00E408B4">
        <w:rPr>
          <w:w w:val="105"/>
        </w:rPr>
        <w:t>does</w:t>
      </w:r>
      <w:r w:rsidRPr="00E408B4">
        <w:rPr>
          <w:spacing w:val="-4"/>
          <w:w w:val="105"/>
        </w:rPr>
        <w:t xml:space="preserve"> </w:t>
      </w:r>
      <w:r w:rsidRPr="00E408B4">
        <w:rPr>
          <w:w w:val="105"/>
        </w:rPr>
        <w:t>not</w:t>
      </w:r>
      <w:r w:rsidRPr="00E408B4">
        <w:rPr>
          <w:spacing w:val="-4"/>
          <w:w w:val="105"/>
        </w:rPr>
        <w:t xml:space="preserve"> </w:t>
      </w:r>
      <w:r w:rsidRPr="00E408B4">
        <w:rPr>
          <w:w w:val="105"/>
        </w:rPr>
        <w:t>form</w:t>
      </w:r>
      <w:r w:rsidRPr="00E408B4">
        <w:rPr>
          <w:spacing w:val="-2"/>
          <w:w w:val="105"/>
        </w:rPr>
        <w:t xml:space="preserve"> </w:t>
      </w:r>
      <w:r w:rsidRPr="00E408B4">
        <w:rPr>
          <w:w w:val="105"/>
        </w:rPr>
        <w:t>part</w:t>
      </w:r>
      <w:r w:rsidRPr="00E408B4">
        <w:rPr>
          <w:spacing w:val="-3"/>
          <w:w w:val="105"/>
        </w:rPr>
        <w:t xml:space="preserve"> </w:t>
      </w:r>
      <w:r w:rsidRPr="00E408B4">
        <w:rPr>
          <w:w w:val="105"/>
        </w:rPr>
        <w:t>of</w:t>
      </w:r>
      <w:r w:rsidRPr="00E408B4">
        <w:rPr>
          <w:spacing w:val="-3"/>
          <w:w w:val="105"/>
        </w:rPr>
        <w:t xml:space="preserve"> </w:t>
      </w:r>
      <w:r w:rsidRPr="00E408B4">
        <w:rPr>
          <w:w w:val="105"/>
        </w:rPr>
        <w:t>the bill and has not been endorsed by the Assembly.</w:t>
      </w:r>
    </w:p>
    <w:p w14:paraId="238406F8" w14:textId="69D93437" w:rsidR="008546F5" w:rsidRPr="00E408B4" w:rsidRDefault="00734B27" w:rsidP="00E408B4">
      <w:pPr>
        <w:pStyle w:val="BodyText"/>
        <w:spacing w:after="120"/>
        <w:jc w:val="both"/>
      </w:pPr>
      <w:r w:rsidRPr="00E408B4">
        <w:rPr>
          <w:w w:val="105"/>
        </w:rPr>
        <w:t>The Statement must be read in conjunction with the</w:t>
      </w:r>
      <w:r w:rsidRPr="00E408B4">
        <w:rPr>
          <w:spacing w:val="-2"/>
          <w:w w:val="105"/>
        </w:rPr>
        <w:t xml:space="preserve"> </w:t>
      </w:r>
      <w:r w:rsidRPr="00E408B4">
        <w:rPr>
          <w:w w:val="105"/>
        </w:rPr>
        <w:t>bill. It is not,</w:t>
      </w:r>
      <w:r w:rsidRPr="00E408B4">
        <w:rPr>
          <w:spacing w:val="-2"/>
          <w:w w:val="105"/>
        </w:rPr>
        <w:t xml:space="preserve"> </w:t>
      </w:r>
      <w:r w:rsidRPr="00E408B4">
        <w:rPr>
          <w:w w:val="105"/>
        </w:rPr>
        <w:t>and is not meant to be, a comprehensive</w:t>
      </w:r>
      <w:r w:rsidRPr="00E408B4">
        <w:rPr>
          <w:spacing w:val="-3"/>
          <w:w w:val="105"/>
        </w:rPr>
        <w:t xml:space="preserve"> </w:t>
      </w:r>
      <w:r w:rsidRPr="00E408B4">
        <w:rPr>
          <w:w w:val="105"/>
        </w:rPr>
        <w:t>description</w:t>
      </w:r>
      <w:r w:rsidRPr="00E408B4">
        <w:rPr>
          <w:spacing w:val="-3"/>
          <w:w w:val="105"/>
        </w:rPr>
        <w:t xml:space="preserve"> </w:t>
      </w:r>
      <w:r w:rsidRPr="00E408B4">
        <w:rPr>
          <w:w w:val="105"/>
        </w:rPr>
        <w:t>of</w:t>
      </w:r>
      <w:r w:rsidRPr="00E408B4">
        <w:rPr>
          <w:spacing w:val="-3"/>
          <w:w w:val="105"/>
        </w:rPr>
        <w:t xml:space="preserve"> </w:t>
      </w:r>
      <w:r w:rsidRPr="00E408B4">
        <w:rPr>
          <w:w w:val="105"/>
        </w:rPr>
        <w:t>the</w:t>
      </w:r>
      <w:r w:rsidRPr="00E408B4">
        <w:rPr>
          <w:spacing w:val="-6"/>
          <w:w w:val="105"/>
        </w:rPr>
        <w:t xml:space="preserve"> </w:t>
      </w:r>
      <w:r w:rsidR="00B776A5">
        <w:rPr>
          <w:spacing w:val="-6"/>
          <w:w w:val="105"/>
        </w:rPr>
        <w:t>B</w:t>
      </w:r>
      <w:r w:rsidRPr="00E408B4">
        <w:rPr>
          <w:w w:val="105"/>
        </w:rPr>
        <w:t>ill.</w:t>
      </w:r>
      <w:r w:rsidRPr="00E408B4">
        <w:rPr>
          <w:spacing w:val="-6"/>
          <w:w w:val="105"/>
        </w:rPr>
        <w:t xml:space="preserve"> </w:t>
      </w:r>
      <w:r w:rsidRPr="00E408B4">
        <w:rPr>
          <w:w w:val="105"/>
        </w:rPr>
        <w:t>What</w:t>
      </w:r>
      <w:r w:rsidRPr="00E408B4">
        <w:rPr>
          <w:spacing w:val="-5"/>
          <w:w w:val="105"/>
        </w:rPr>
        <w:t xml:space="preserve"> </w:t>
      </w:r>
      <w:r w:rsidRPr="00E408B4">
        <w:rPr>
          <w:w w:val="105"/>
        </w:rPr>
        <w:t>is</w:t>
      </w:r>
      <w:r w:rsidRPr="00E408B4">
        <w:rPr>
          <w:spacing w:val="-3"/>
          <w:w w:val="105"/>
        </w:rPr>
        <w:t xml:space="preserve"> </w:t>
      </w:r>
      <w:r w:rsidRPr="00E408B4">
        <w:rPr>
          <w:w w:val="105"/>
        </w:rPr>
        <w:t>said</w:t>
      </w:r>
      <w:r w:rsidRPr="00E408B4">
        <w:rPr>
          <w:spacing w:val="-3"/>
          <w:w w:val="105"/>
        </w:rPr>
        <w:t xml:space="preserve"> </w:t>
      </w:r>
      <w:r w:rsidRPr="00E408B4">
        <w:rPr>
          <w:w w:val="105"/>
        </w:rPr>
        <w:t>about</w:t>
      </w:r>
      <w:r w:rsidRPr="00E408B4">
        <w:rPr>
          <w:spacing w:val="-1"/>
          <w:w w:val="105"/>
        </w:rPr>
        <w:t xml:space="preserve"> </w:t>
      </w:r>
      <w:r w:rsidRPr="00E408B4">
        <w:rPr>
          <w:w w:val="105"/>
        </w:rPr>
        <w:t>a</w:t>
      </w:r>
      <w:r w:rsidRPr="00E408B4">
        <w:rPr>
          <w:spacing w:val="-5"/>
          <w:w w:val="105"/>
        </w:rPr>
        <w:t xml:space="preserve"> </w:t>
      </w:r>
      <w:r w:rsidRPr="00E408B4">
        <w:rPr>
          <w:w w:val="105"/>
        </w:rPr>
        <w:t>provision</w:t>
      </w:r>
      <w:r w:rsidRPr="00E408B4">
        <w:rPr>
          <w:spacing w:val="-3"/>
          <w:w w:val="105"/>
        </w:rPr>
        <w:t xml:space="preserve"> </w:t>
      </w:r>
      <w:r w:rsidRPr="00E408B4">
        <w:rPr>
          <w:w w:val="105"/>
        </w:rPr>
        <w:t>is</w:t>
      </w:r>
      <w:r w:rsidRPr="00E408B4">
        <w:rPr>
          <w:spacing w:val="-3"/>
          <w:w w:val="105"/>
        </w:rPr>
        <w:t xml:space="preserve"> </w:t>
      </w:r>
      <w:r w:rsidRPr="00E408B4">
        <w:rPr>
          <w:w w:val="105"/>
        </w:rPr>
        <w:t>not</w:t>
      </w:r>
      <w:r w:rsidRPr="00E408B4">
        <w:rPr>
          <w:spacing w:val="-1"/>
          <w:w w:val="105"/>
        </w:rPr>
        <w:t xml:space="preserve"> </w:t>
      </w:r>
      <w:r w:rsidRPr="00E408B4">
        <w:rPr>
          <w:w w:val="105"/>
        </w:rPr>
        <w:t>to</w:t>
      </w:r>
      <w:r w:rsidRPr="00E408B4">
        <w:rPr>
          <w:spacing w:val="-1"/>
          <w:w w:val="105"/>
        </w:rPr>
        <w:t xml:space="preserve"> </w:t>
      </w:r>
      <w:r w:rsidRPr="00E408B4">
        <w:rPr>
          <w:w w:val="105"/>
        </w:rPr>
        <w:t>be</w:t>
      </w:r>
      <w:r w:rsidRPr="00E408B4">
        <w:rPr>
          <w:spacing w:val="-3"/>
          <w:w w:val="105"/>
        </w:rPr>
        <w:t xml:space="preserve"> </w:t>
      </w:r>
      <w:r w:rsidRPr="00E408B4">
        <w:rPr>
          <w:w w:val="105"/>
        </w:rPr>
        <w:t>taken</w:t>
      </w:r>
      <w:r w:rsidRPr="00E408B4">
        <w:rPr>
          <w:spacing w:val="-5"/>
          <w:w w:val="105"/>
        </w:rPr>
        <w:t xml:space="preserve"> </w:t>
      </w:r>
      <w:r w:rsidRPr="00E408B4">
        <w:rPr>
          <w:w w:val="105"/>
        </w:rPr>
        <w:t>as</w:t>
      </w:r>
      <w:r w:rsidRPr="00E408B4">
        <w:rPr>
          <w:spacing w:val="-3"/>
          <w:w w:val="105"/>
        </w:rPr>
        <w:t xml:space="preserve"> </w:t>
      </w:r>
      <w:r w:rsidRPr="00E408B4">
        <w:rPr>
          <w:w w:val="105"/>
        </w:rPr>
        <w:t>an authoritative guide to the meaning of a provision, this being a task for the courts.</w:t>
      </w:r>
    </w:p>
    <w:p w14:paraId="238406F9" w14:textId="16B9615F" w:rsidR="008546F5" w:rsidRPr="00E408B4" w:rsidRDefault="00122951" w:rsidP="00E408B4">
      <w:pPr>
        <w:pStyle w:val="BodyText"/>
        <w:rPr>
          <w:u w:val="single"/>
        </w:rPr>
      </w:pPr>
      <w:r w:rsidRPr="00E408B4">
        <w:rPr>
          <w:u w:val="single"/>
        </w:rPr>
        <w:t>OVERVIEW</w:t>
      </w:r>
    </w:p>
    <w:p w14:paraId="5E113651" w14:textId="7A023621" w:rsidR="00122951" w:rsidRPr="00E408B4" w:rsidRDefault="00C6785C" w:rsidP="00E408B4">
      <w:pPr>
        <w:pStyle w:val="BodyText"/>
        <w:spacing w:after="120"/>
      </w:pPr>
      <w:r w:rsidRPr="00E408B4">
        <w:t xml:space="preserve">The purpose of this bill is </w:t>
      </w:r>
      <w:r w:rsidR="000E5DC8" w:rsidRPr="00E408B4">
        <w:t xml:space="preserve">to improve the representativeness of ACT juries and </w:t>
      </w:r>
      <w:r w:rsidRPr="00E408B4">
        <w:t xml:space="preserve">to </w:t>
      </w:r>
      <w:r w:rsidR="002D27CC" w:rsidRPr="00E408B4">
        <w:t>reduce the time and cost associated with jury empanelment in a criminal trial</w:t>
      </w:r>
      <w:r w:rsidR="0054666B" w:rsidRPr="00E408B4">
        <w:t xml:space="preserve">. </w:t>
      </w:r>
    </w:p>
    <w:p w14:paraId="6C66E260" w14:textId="79E269AB" w:rsidR="0054666B" w:rsidRPr="00E408B4" w:rsidRDefault="007520AB" w:rsidP="00E408B4">
      <w:pPr>
        <w:pStyle w:val="BodyText"/>
        <w:rPr>
          <w:u w:val="single"/>
        </w:rPr>
      </w:pPr>
      <w:r>
        <w:rPr>
          <w:u w:val="single"/>
        </w:rPr>
        <w:t>Terminology in this Explanatory Statement</w:t>
      </w:r>
    </w:p>
    <w:p w14:paraId="1796ACF9" w14:textId="5F91F091" w:rsidR="00627530" w:rsidRPr="00E408B4" w:rsidRDefault="00627530" w:rsidP="00E408B4">
      <w:pPr>
        <w:spacing w:after="120"/>
        <w:jc w:val="both"/>
      </w:pPr>
      <w:r w:rsidRPr="00E408B4">
        <w:t xml:space="preserve">A </w:t>
      </w:r>
      <w:r w:rsidRPr="00E408B4">
        <w:rPr>
          <w:i/>
          <w:iCs/>
        </w:rPr>
        <w:t>peremptory challenge</w:t>
      </w:r>
      <w:r w:rsidRPr="00E408B4">
        <w:t xml:space="preserve"> is part of the jury selection process, in which one party (</w:t>
      </w:r>
      <w:r w:rsidR="000E5DC8" w:rsidRPr="00E408B4">
        <w:t>Defence or P</w:t>
      </w:r>
      <w:r w:rsidRPr="00E408B4">
        <w:t xml:space="preserve">rosecution) refuses to allow a specific potential juror to sit on a jury, without giving any reason or cause. </w:t>
      </w:r>
    </w:p>
    <w:p w14:paraId="0A769C8F" w14:textId="428F7432" w:rsidR="00627530" w:rsidRPr="00E408B4" w:rsidRDefault="00627530" w:rsidP="00E408B4">
      <w:pPr>
        <w:spacing w:after="120"/>
        <w:jc w:val="both"/>
      </w:pPr>
      <w:r w:rsidRPr="00E408B4">
        <w:t xml:space="preserve">A </w:t>
      </w:r>
      <w:r w:rsidRPr="00E408B4">
        <w:rPr>
          <w:i/>
          <w:iCs/>
        </w:rPr>
        <w:t>challenge with cause</w:t>
      </w:r>
      <w:r w:rsidRPr="00E408B4">
        <w:t xml:space="preserve"> requires the party to provide a justifiable reason for the challenge</w:t>
      </w:r>
      <w:r w:rsidR="007A7669" w:rsidRPr="00E408B4">
        <w:t xml:space="preserve"> to the potential juror</w:t>
      </w:r>
      <w:r w:rsidRPr="00E408B4">
        <w:t xml:space="preserve">. No Australian jurisdiction has numerical limits on challenges with a cause, but they are limited in practice because the challenger must justify their challenge and provide evidence, if required. </w:t>
      </w:r>
    </w:p>
    <w:p w14:paraId="0360D419" w14:textId="2A15B01F" w:rsidR="00627530" w:rsidRPr="00E408B4" w:rsidRDefault="00627530" w:rsidP="00E408B4">
      <w:pPr>
        <w:spacing w:after="120"/>
        <w:jc w:val="both"/>
      </w:pPr>
      <w:r w:rsidRPr="00E408B4">
        <w:t xml:space="preserve">In this context, a </w:t>
      </w:r>
      <w:r w:rsidRPr="00E408B4">
        <w:rPr>
          <w:i/>
          <w:iCs/>
        </w:rPr>
        <w:t>characteristic</w:t>
      </w:r>
      <w:r w:rsidRPr="00E408B4">
        <w:t xml:space="preserve"> is an observable feature of a potential juror, such as age, gender</w:t>
      </w:r>
      <w:r w:rsidR="00A7401D" w:rsidRPr="00E408B4">
        <w:t>,</w:t>
      </w:r>
      <w:r w:rsidRPr="00E408B4">
        <w:t xml:space="preserve"> ethnicity</w:t>
      </w:r>
      <w:r w:rsidR="00A7401D" w:rsidRPr="00E408B4">
        <w:t xml:space="preserve"> or physical disability</w:t>
      </w:r>
      <w:r w:rsidRPr="00E408B4">
        <w:t xml:space="preserve">. It is </w:t>
      </w:r>
      <w:r w:rsidR="00985445" w:rsidRPr="00E408B4">
        <w:t>different</w:t>
      </w:r>
      <w:r w:rsidRPr="00E408B4">
        <w:t xml:space="preserve"> from a</w:t>
      </w:r>
      <w:r w:rsidR="00985445" w:rsidRPr="00E408B4">
        <w:t xml:space="preserve"> </w:t>
      </w:r>
      <w:r w:rsidRPr="00E408B4">
        <w:rPr>
          <w:i/>
          <w:iCs/>
        </w:rPr>
        <w:t>behaviour</w:t>
      </w:r>
      <w:r w:rsidRPr="00E408B4">
        <w:t xml:space="preserve">, which is something that a potential juror does, </w:t>
      </w:r>
      <w:r w:rsidR="000E5DC8" w:rsidRPr="00E408B4">
        <w:t>rather than how they appear</w:t>
      </w:r>
      <w:r w:rsidRPr="00E408B4">
        <w:t>.</w:t>
      </w:r>
    </w:p>
    <w:p w14:paraId="172B234B" w14:textId="33D95D36" w:rsidR="0054666B" w:rsidRPr="00E408B4" w:rsidRDefault="00A7401D" w:rsidP="00E408B4">
      <w:pPr>
        <w:pStyle w:val="BodyText"/>
        <w:ind w:left="0"/>
        <w:rPr>
          <w:u w:val="single"/>
        </w:rPr>
      </w:pPr>
      <w:r w:rsidRPr="00E408B4">
        <w:rPr>
          <w:u w:val="single"/>
        </w:rPr>
        <w:t>Rationale</w:t>
      </w:r>
    </w:p>
    <w:p w14:paraId="0A1D2F27" w14:textId="72D5A1DD" w:rsidR="00C15F99" w:rsidRPr="00E408B4" w:rsidRDefault="000E5DC8" w:rsidP="00E408B4">
      <w:pPr>
        <w:widowControl/>
        <w:spacing w:after="120"/>
        <w:jc w:val="both"/>
        <w:rPr>
          <w:rFonts w:asciiTheme="minorHAnsi" w:hAnsiTheme="minorHAnsi" w:cstheme="minorHAnsi"/>
        </w:rPr>
      </w:pPr>
      <w:r w:rsidRPr="00E408B4">
        <w:rPr>
          <w:rFonts w:asciiTheme="minorHAnsi" w:hAnsiTheme="minorHAnsi" w:cstheme="minorHAnsi"/>
        </w:rPr>
        <w:t>Peremptory challenge</w:t>
      </w:r>
      <w:r w:rsidR="00C15F99" w:rsidRPr="00E408B4">
        <w:rPr>
          <w:rFonts w:asciiTheme="minorHAnsi" w:hAnsiTheme="minorHAnsi" w:cstheme="minorHAnsi"/>
        </w:rPr>
        <w:t>s are often based on observable characteristics, such as apparent age, ethnicity</w:t>
      </w:r>
      <w:r w:rsidRPr="00E408B4">
        <w:rPr>
          <w:rFonts w:asciiTheme="minorHAnsi" w:hAnsiTheme="minorHAnsi" w:cstheme="minorHAnsi"/>
        </w:rPr>
        <w:t xml:space="preserve">, </w:t>
      </w:r>
      <w:r w:rsidR="00C15F99" w:rsidRPr="00E408B4">
        <w:rPr>
          <w:rFonts w:asciiTheme="minorHAnsi" w:hAnsiTheme="minorHAnsi" w:cstheme="minorHAnsi"/>
        </w:rPr>
        <w:t>gender</w:t>
      </w:r>
      <w:r w:rsidRPr="00E408B4">
        <w:rPr>
          <w:rFonts w:asciiTheme="minorHAnsi" w:hAnsiTheme="minorHAnsi" w:cstheme="minorHAnsi"/>
        </w:rPr>
        <w:t xml:space="preserve"> or physical disability</w:t>
      </w:r>
      <w:r w:rsidR="00C15F99" w:rsidRPr="00E408B4">
        <w:rPr>
          <w:rFonts w:asciiTheme="minorHAnsi" w:hAnsiTheme="minorHAnsi" w:cstheme="minorHAnsi"/>
        </w:rPr>
        <w:t xml:space="preserve">, and excluding potential jurors on this basis reduces the diversity and representativeness of juries. For example, in 2018-19 in Victoria, 70% of </w:t>
      </w:r>
      <w:r w:rsidRPr="00E408B4">
        <w:rPr>
          <w:rFonts w:asciiTheme="minorHAnsi" w:hAnsiTheme="minorHAnsi" w:cstheme="minorHAnsi"/>
        </w:rPr>
        <w:t>peremptory challenge</w:t>
      </w:r>
      <w:r w:rsidR="00C15F99" w:rsidRPr="00E408B4">
        <w:rPr>
          <w:rFonts w:asciiTheme="minorHAnsi" w:hAnsiTheme="minorHAnsi" w:cstheme="minorHAnsi"/>
        </w:rPr>
        <w:t>s were against women, resulting in Victorian juries having a lower proportion of women than in the general community</w:t>
      </w:r>
      <w:r w:rsidR="007029E4" w:rsidRPr="00E408B4">
        <w:rPr>
          <w:rStyle w:val="FootnoteReference"/>
          <w:rFonts w:asciiTheme="minorHAnsi" w:hAnsiTheme="minorHAnsi" w:cstheme="minorHAnsi"/>
        </w:rPr>
        <w:footnoteReference w:id="1"/>
      </w:r>
      <w:r w:rsidR="00C15F99" w:rsidRPr="00E408B4">
        <w:rPr>
          <w:rFonts w:asciiTheme="minorHAnsi" w:hAnsiTheme="minorHAnsi" w:cstheme="minorHAnsi"/>
        </w:rPr>
        <w:t xml:space="preserve">. </w:t>
      </w:r>
    </w:p>
    <w:p w14:paraId="23680461" w14:textId="5F540B47" w:rsidR="000E5DC8" w:rsidRPr="00E408B4" w:rsidRDefault="00DC654E" w:rsidP="00E408B4">
      <w:pPr>
        <w:widowControl/>
        <w:spacing w:after="120"/>
        <w:jc w:val="both"/>
        <w:rPr>
          <w:rFonts w:asciiTheme="minorHAnsi" w:hAnsiTheme="minorHAnsi" w:cstheme="minorHAnsi"/>
        </w:rPr>
      </w:pPr>
      <w:r>
        <w:rPr>
          <w:rFonts w:asciiTheme="minorHAnsi" w:hAnsiTheme="minorHAnsi" w:cstheme="minorHAnsi"/>
        </w:rPr>
        <w:t>In addition to the potential discriminatory application, allowing for a h</w:t>
      </w:r>
      <w:r w:rsidRPr="00E408B4">
        <w:rPr>
          <w:rFonts w:asciiTheme="minorHAnsi" w:hAnsiTheme="minorHAnsi" w:cstheme="minorHAnsi"/>
        </w:rPr>
        <w:t xml:space="preserve">igh number of </w:t>
      </w:r>
      <w:r>
        <w:rPr>
          <w:rFonts w:asciiTheme="minorHAnsi" w:hAnsiTheme="minorHAnsi" w:cstheme="minorHAnsi"/>
        </w:rPr>
        <w:t xml:space="preserve">peremptory </w:t>
      </w:r>
      <w:r w:rsidRPr="00E408B4">
        <w:rPr>
          <w:rFonts w:asciiTheme="minorHAnsi" w:hAnsiTheme="minorHAnsi" w:cstheme="minorHAnsi"/>
        </w:rPr>
        <w:t>challenges prolong</w:t>
      </w:r>
      <w:r>
        <w:rPr>
          <w:rFonts w:asciiTheme="minorHAnsi" w:hAnsiTheme="minorHAnsi" w:cstheme="minorHAnsi"/>
        </w:rPr>
        <w:t>s the</w:t>
      </w:r>
      <w:r w:rsidRPr="00E408B4">
        <w:rPr>
          <w:rFonts w:asciiTheme="minorHAnsi" w:hAnsiTheme="minorHAnsi" w:cstheme="minorHAnsi"/>
        </w:rPr>
        <w:t xml:space="preserve"> jury empanelment</w:t>
      </w:r>
      <w:r>
        <w:rPr>
          <w:rFonts w:asciiTheme="minorHAnsi" w:hAnsiTheme="minorHAnsi" w:cstheme="minorHAnsi"/>
        </w:rPr>
        <w:t xml:space="preserve"> process which can</w:t>
      </w:r>
      <w:r w:rsidRPr="005861E0">
        <w:rPr>
          <w:rFonts w:asciiTheme="minorHAnsi" w:hAnsiTheme="minorHAnsi" w:cstheme="minorHAnsi"/>
        </w:rPr>
        <w:t xml:space="preserve"> </w:t>
      </w:r>
      <w:r>
        <w:rPr>
          <w:rFonts w:asciiTheme="minorHAnsi" w:hAnsiTheme="minorHAnsi" w:cstheme="minorHAnsi"/>
        </w:rPr>
        <w:t>cause unnecessary stress for potential jurors, as well as cause delays to criminal proceedings, negatively impacting the accused</w:t>
      </w:r>
      <w:r w:rsidRPr="00E408B4">
        <w:rPr>
          <w:rFonts w:asciiTheme="minorHAnsi" w:hAnsiTheme="minorHAnsi" w:cstheme="minorHAnsi"/>
        </w:rPr>
        <w:t>,</w:t>
      </w:r>
      <w:r>
        <w:rPr>
          <w:rFonts w:asciiTheme="minorHAnsi" w:hAnsiTheme="minorHAnsi" w:cstheme="minorHAnsi"/>
        </w:rPr>
        <w:t xml:space="preserve"> victims and witnesses. It can also</w:t>
      </w:r>
      <w:r w:rsidRPr="00E408B4">
        <w:rPr>
          <w:rFonts w:asciiTheme="minorHAnsi" w:hAnsiTheme="minorHAnsi" w:cstheme="minorHAnsi"/>
        </w:rPr>
        <w:t xml:space="preserve"> increase administrative costs </w:t>
      </w:r>
      <w:r>
        <w:rPr>
          <w:rFonts w:asciiTheme="minorHAnsi" w:hAnsiTheme="minorHAnsi" w:cstheme="minorHAnsi"/>
        </w:rPr>
        <w:t xml:space="preserve">for the court, the Prosecution, as well as increased legal fees for the accused (which in some cases </w:t>
      </w:r>
      <w:r w:rsidR="00B776A5">
        <w:rPr>
          <w:rFonts w:asciiTheme="minorHAnsi" w:hAnsiTheme="minorHAnsi" w:cstheme="minorHAnsi"/>
        </w:rPr>
        <w:t>are</w:t>
      </w:r>
      <w:r>
        <w:rPr>
          <w:rFonts w:asciiTheme="minorHAnsi" w:hAnsiTheme="minorHAnsi" w:cstheme="minorHAnsi"/>
        </w:rPr>
        <w:t xml:space="preserve"> borne by Legal Aid). While not a typical</w:t>
      </w:r>
      <w:r w:rsidRPr="00E408B4">
        <w:rPr>
          <w:rFonts w:asciiTheme="minorHAnsi" w:hAnsiTheme="minorHAnsi" w:cstheme="minorHAnsi"/>
        </w:rPr>
        <w:t xml:space="preserve"> </w:t>
      </w:r>
      <w:r w:rsidR="000E5DC8" w:rsidRPr="00E408B4">
        <w:rPr>
          <w:rFonts w:asciiTheme="minorHAnsi" w:hAnsiTheme="minorHAnsi" w:cstheme="minorHAnsi"/>
        </w:rPr>
        <w:t>example, at the 2009 trial of Abdul Benbrika and his associates, over 2,000 citizens had to be summoned in order to empanel one jury, and over 1,000 had to attend court over two days for the empanelment process</w:t>
      </w:r>
      <w:r w:rsidR="000E5DC8" w:rsidRPr="00E408B4">
        <w:rPr>
          <w:rStyle w:val="FootnoteReference"/>
          <w:rFonts w:asciiTheme="minorHAnsi" w:hAnsiTheme="minorHAnsi" w:cstheme="minorHAnsi"/>
        </w:rPr>
        <w:footnoteReference w:id="2"/>
      </w:r>
      <w:r w:rsidR="000E5DC8" w:rsidRPr="00E408B4">
        <w:rPr>
          <w:rFonts w:asciiTheme="minorHAnsi" w:hAnsiTheme="minorHAnsi" w:cstheme="minorHAnsi"/>
        </w:rPr>
        <w:t>. Trials can cost thousands of dollars per hour and any saving in time is also a saving in funds. Furthermore, empaneling a large number of potential jurors is a substantial financial cost to the employers of the potential jurors, and the jurors themselves</w:t>
      </w:r>
      <w:r w:rsidR="00B776A5">
        <w:rPr>
          <w:rFonts w:asciiTheme="minorHAnsi" w:hAnsiTheme="minorHAnsi" w:cstheme="minorHAnsi"/>
        </w:rPr>
        <w:t>,</w:t>
      </w:r>
      <w:r w:rsidR="000E5DC8" w:rsidRPr="00E408B4">
        <w:rPr>
          <w:rFonts w:asciiTheme="minorHAnsi" w:hAnsiTheme="minorHAnsi" w:cstheme="minorHAnsi"/>
        </w:rPr>
        <w:t xml:space="preserve"> if they are self-employed.   </w:t>
      </w:r>
    </w:p>
    <w:p w14:paraId="1CA6AD08" w14:textId="5EE5F43E" w:rsidR="00C15F99" w:rsidRDefault="00DC654E" w:rsidP="00E408B4">
      <w:pPr>
        <w:widowControl/>
        <w:spacing w:after="120"/>
        <w:jc w:val="both"/>
        <w:rPr>
          <w:rFonts w:asciiTheme="minorHAnsi" w:hAnsiTheme="minorHAnsi" w:cstheme="minorHAnsi"/>
        </w:rPr>
      </w:pPr>
      <w:r>
        <w:rPr>
          <w:rFonts w:asciiTheme="minorHAnsi" w:hAnsiTheme="minorHAnsi" w:cstheme="minorHAnsi"/>
        </w:rPr>
        <w:t xml:space="preserve">While some overseas jurisdictions have abolished peremptory challenges (the United Kingdom in 1988, and Canada in 2019), this is not proposed for the ACT. This is because </w:t>
      </w:r>
      <w:r w:rsidR="00C15F99" w:rsidRPr="00E408B4">
        <w:rPr>
          <w:rFonts w:asciiTheme="minorHAnsi" w:hAnsiTheme="minorHAnsi" w:cstheme="minorHAnsi"/>
        </w:rPr>
        <w:t>there may be circumstances in which the behaviour of potential jurors, rather than their observable characteristics, may lead to concern for the Defence or Prosecution, but th</w:t>
      </w:r>
      <w:r w:rsidR="008F3800" w:rsidRPr="00E408B4">
        <w:rPr>
          <w:rFonts w:asciiTheme="minorHAnsi" w:hAnsiTheme="minorHAnsi" w:cstheme="minorHAnsi"/>
        </w:rPr>
        <w:t xml:space="preserve">e </w:t>
      </w:r>
      <w:r w:rsidR="00C15F99" w:rsidRPr="00E408B4">
        <w:rPr>
          <w:rFonts w:asciiTheme="minorHAnsi" w:hAnsiTheme="minorHAnsi" w:cstheme="minorHAnsi"/>
        </w:rPr>
        <w:t xml:space="preserve">behaviour may not meet the standard of proof that can be required for a challenge with cause. For example, a potential juror glaring at the </w:t>
      </w:r>
      <w:r>
        <w:rPr>
          <w:rFonts w:asciiTheme="minorHAnsi" w:hAnsiTheme="minorHAnsi" w:cstheme="minorHAnsi"/>
        </w:rPr>
        <w:t>accused</w:t>
      </w:r>
      <w:r w:rsidR="00C15F99" w:rsidRPr="00E408B4">
        <w:rPr>
          <w:rFonts w:asciiTheme="minorHAnsi" w:hAnsiTheme="minorHAnsi" w:cstheme="minorHAnsi"/>
        </w:rPr>
        <w:t xml:space="preserve">, reacting strongly to the nature of the charges or behaving in a flippant manner, might be behaviours </w:t>
      </w:r>
      <w:r w:rsidR="00C15F99" w:rsidRPr="00E408B4">
        <w:rPr>
          <w:rFonts w:asciiTheme="minorHAnsi" w:hAnsiTheme="minorHAnsi" w:cstheme="minorHAnsi"/>
        </w:rPr>
        <w:lastRenderedPageBreak/>
        <w:t xml:space="preserve">that suggest a potential bias, </w:t>
      </w:r>
      <w:r w:rsidR="00163846" w:rsidRPr="00E408B4">
        <w:rPr>
          <w:rFonts w:asciiTheme="minorHAnsi" w:hAnsiTheme="minorHAnsi" w:cstheme="minorHAnsi"/>
        </w:rPr>
        <w:t xml:space="preserve">and </w:t>
      </w:r>
      <w:r w:rsidR="00EF5C55" w:rsidRPr="00E408B4">
        <w:rPr>
          <w:rFonts w:asciiTheme="minorHAnsi" w:hAnsiTheme="minorHAnsi" w:cstheme="minorHAnsi"/>
        </w:rPr>
        <w:t xml:space="preserve">the parties should have the right to challenge a potential juror with such behaviours, without </w:t>
      </w:r>
      <w:r w:rsidR="00565E7C" w:rsidRPr="00E408B4">
        <w:rPr>
          <w:rFonts w:asciiTheme="minorHAnsi" w:hAnsiTheme="minorHAnsi" w:cstheme="minorHAnsi"/>
        </w:rPr>
        <w:t xml:space="preserve">needing to prove unequivocally that the </w:t>
      </w:r>
      <w:r w:rsidR="00260719" w:rsidRPr="00E408B4">
        <w:rPr>
          <w:rFonts w:asciiTheme="minorHAnsi" w:hAnsiTheme="minorHAnsi" w:cstheme="minorHAnsi"/>
        </w:rPr>
        <w:t xml:space="preserve">potential juror held that bias. </w:t>
      </w:r>
    </w:p>
    <w:p w14:paraId="4E428C19" w14:textId="77777777" w:rsidR="00DC654E" w:rsidRDefault="00DC654E" w:rsidP="00DC654E">
      <w:pPr>
        <w:widowControl/>
        <w:spacing w:after="120"/>
        <w:jc w:val="both"/>
        <w:rPr>
          <w:rStyle w:val="PlaceholderText"/>
          <w:rFonts w:asciiTheme="minorHAnsi" w:hAnsiTheme="minorHAnsi" w:cstheme="minorHAnsi"/>
          <w:color w:val="auto"/>
        </w:rPr>
      </w:pPr>
      <w:r>
        <w:rPr>
          <w:rStyle w:val="PlaceholderText"/>
          <w:rFonts w:asciiTheme="minorHAnsi" w:hAnsiTheme="minorHAnsi" w:cstheme="minorHAnsi"/>
          <w:color w:val="auto"/>
        </w:rPr>
        <w:t xml:space="preserve">The number of peremptory challenges available to the Defence and Prosecution varies across Australian jurisdictions. In the ACT, the Defence and Prosecution are entitled to eight peremptory challenges to potential jurors; where there are multiple accused being tried together, there are eight peremptory challenges per accused person (section 34 of the </w:t>
      </w:r>
      <w:r w:rsidRPr="00CD3A4F">
        <w:rPr>
          <w:rStyle w:val="PlaceholderText"/>
          <w:rFonts w:asciiTheme="minorHAnsi" w:hAnsiTheme="minorHAnsi" w:cstheme="minorHAnsi"/>
          <w:i/>
          <w:iCs/>
          <w:color w:val="auto"/>
        </w:rPr>
        <w:t>Juries Act 1967</w:t>
      </w:r>
      <w:r>
        <w:rPr>
          <w:rStyle w:val="PlaceholderText"/>
          <w:rFonts w:asciiTheme="minorHAnsi" w:hAnsiTheme="minorHAnsi" w:cstheme="minorHAnsi"/>
          <w:color w:val="auto"/>
        </w:rPr>
        <w:t xml:space="preserve">). </w:t>
      </w:r>
    </w:p>
    <w:p w14:paraId="6C63DDD8" w14:textId="480BE623" w:rsidR="00DC654E" w:rsidRPr="00E408B4" w:rsidRDefault="00DC654E" w:rsidP="00DC654E">
      <w:pPr>
        <w:widowControl/>
        <w:spacing w:after="120"/>
        <w:jc w:val="both"/>
        <w:rPr>
          <w:rStyle w:val="PlaceholderText"/>
          <w:rFonts w:asciiTheme="minorHAnsi" w:hAnsiTheme="minorHAnsi" w:cstheme="minorHAnsi"/>
          <w:color w:val="auto"/>
        </w:rPr>
      </w:pPr>
      <w:r>
        <w:rPr>
          <w:rStyle w:val="PlaceholderText"/>
          <w:rFonts w:asciiTheme="minorHAnsi" w:hAnsiTheme="minorHAnsi" w:cstheme="minorHAnsi"/>
          <w:color w:val="auto"/>
        </w:rPr>
        <w:t xml:space="preserve">Reducing the number of peremptory challenges would bring the ACT more in line with other jurisdictions. In New South Wales, Victoria, South Australia and Western Australia, the </w:t>
      </w:r>
      <w:r w:rsidRPr="00E408B4">
        <w:t>number of peremptory challenges permitted</w:t>
      </w:r>
      <w:r>
        <w:t xml:space="preserve"> is three. In Queensland, the number of peremptory challenges is eight, while in Tasmania and the Northern Territory, the number of peremptory challenges is six (except for serious offences such as murder in the Northern Territory, when it is twelve).</w:t>
      </w:r>
    </w:p>
    <w:p w14:paraId="4148D8C8" w14:textId="243E874F" w:rsidR="00C15F99" w:rsidRPr="00E408B4" w:rsidRDefault="00C15F99" w:rsidP="00E408B4">
      <w:pPr>
        <w:widowControl/>
        <w:spacing w:after="120"/>
        <w:rPr>
          <w:rStyle w:val="PlaceholderText"/>
          <w:rFonts w:asciiTheme="minorHAnsi" w:hAnsiTheme="minorHAnsi" w:cstheme="minorHAnsi"/>
          <w:color w:val="auto"/>
        </w:rPr>
      </w:pPr>
      <w:r w:rsidRPr="00E408B4">
        <w:rPr>
          <w:rStyle w:val="PlaceholderText"/>
          <w:rFonts w:asciiTheme="minorHAnsi" w:hAnsiTheme="minorHAnsi" w:cstheme="minorHAnsi"/>
          <w:color w:val="auto"/>
        </w:rPr>
        <w:t>It is essential that the entitlement to an unlimited number of challenges for cause remains</w:t>
      </w:r>
      <w:r w:rsidR="00260719" w:rsidRPr="00E408B4">
        <w:rPr>
          <w:rStyle w:val="PlaceholderText"/>
          <w:rFonts w:asciiTheme="minorHAnsi" w:hAnsiTheme="minorHAnsi" w:cstheme="minorHAnsi"/>
          <w:color w:val="auto"/>
        </w:rPr>
        <w:t xml:space="preserve">, to ensure </w:t>
      </w:r>
      <w:r w:rsidR="00403EFD" w:rsidRPr="00E408B4">
        <w:rPr>
          <w:rStyle w:val="PlaceholderText"/>
          <w:rFonts w:asciiTheme="minorHAnsi" w:hAnsiTheme="minorHAnsi" w:cstheme="minorHAnsi"/>
          <w:color w:val="auto"/>
        </w:rPr>
        <w:t xml:space="preserve">a fair trial for the </w:t>
      </w:r>
      <w:r w:rsidR="00DC654E">
        <w:rPr>
          <w:rStyle w:val="PlaceholderText"/>
          <w:rFonts w:asciiTheme="minorHAnsi" w:hAnsiTheme="minorHAnsi" w:cstheme="minorHAnsi"/>
          <w:color w:val="auto"/>
        </w:rPr>
        <w:t>accused</w:t>
      </w:r>
      <w:r w:rsidR="00403EFD" w:rsidRPr="00E408B4">
        <w:rPr>
          <w:rStyle w:val="PlaceholderText"/>
          <w:rFonts w:asciiTheme="minorHAnsi" w:hAnsiTheme="minorHAnsi" w:cstheme="minorHAnsi"/>
          <w:color w:val="auto"/>
        </w:rPr>
        <w:t xml:space="preserve">. </w:t>
      </w:r>
      <w:r w:rsidRPr="00E408B4">
        <w:rPr>
          <w:rStyle w:val="PlaceholderText"/>
          <w:rFonts w:asciiTheme="minorHAnsi" w:hAnsiTheme="minorHAnsi" w:cstheme="minorHAnsi"/>
          <w:color w:val="auto"/>
        </w:rPr>
        <w:t xml:space="preserve"> </w:t>
      </w:r>
    </w:p>
    <w:p w14:paraId="23840706" w14:textId="754BD93C" w:rsidR="008546F5" w:rsidRPr="00E408B4" w:rsidRDefault="006D14C6" w:rsidP="00E408B4">
      <w:pPr>
        <w:pStyle w:val="BodyText"/>
      </w:pPr>
      <w:r w:rsidRPr="00E408B4">
        <w:rPr>
          <w:u w:val="single"/>
        </w:rPr>
        <w:t>HUMAN</w:t>
      </w:r>
      <w:r w:rsidRPr="00E408B4">
        <w:rPr>
          <w:spacing w:val="30"/>
          <w:u w:val="single"/>
        </w:rPr>
        <w:t xml:space="preserve"> </w:t>
      </w:r>
      <w:r w:rsidRPr="00E408B4">
        <w:rPr>
          <w:u w:val="single"/>
        </w:rPr>
        <w:t>RIGHTS</w:t>
      </w:r>
      <w:r w:rsidRPr="00E408B4">
        <w:rPr>
          <w:spacing w:val="30"/>
          <w:u w:val="single"/>
        </w:rPr>
        <w:t xml:space="preserve"> </w:t>
      </w:r>
      <w:r w:rsidRPr="00E408B4">
        <w:rPr>
          <w:spacing w:val="-2"/>
          <w:u w:val="single"/>
        </w:rPr>
        <w:t>ISSUES</w:t>
      </w:r>
    </w:p>
    <w:p w14:paraId="12C66E20" w14:textId="77777777" w:rsidR="00DC654E" w:rsidRDefault="00DC654E" w:rsidP="00B776A5">
      <w:pPr>
        <w:pStyle w:val="BodyText"/>
        <w:spacing w:after="120"/>
        <w:ind w:right="84"/>
        <w:jc w:val="both"/>
        <w:rPr>
          <w:w w:val="105"/>
        </w:rPr>
      </w:pPr>
      <w:r w:rsidRPr="001E276A">
        <w:rPr>
          <w:w w:val="105"/>
        </w:rPr>
        <w:t>During the development of this Bill due regard was given to its compatibility with human rights as set out in the</w:t>
      </w:r>
      <w:r>
        <w:rPr>
          <w:w w:val="105"/>
        </w:rPr>
        <w:t xml:space="preserve"> </w:t>
      </w:r>
      <w:r>
        <w:rPr>
          <w:i/>
          <w:iCs/>
          <w:w w:val="105"/>
        </w:rPr>
        <w:t>Human Rights Act 2024</w:t>
      </w:r>
      <w:r>
        <w:rPr>
          <w:w w:val="105"/>
        </w:rPr>
        <w:t xml:space="preserve"> (the </w:t>
      </w:r>
      <w:r w:rsidRPr="001E276A">
        <w:rPr>
          <w:w w:val="105"/>
        </w:rPr>
        <w:t>HR Act</w:t>
      </w:r>
      <w:r>
        <w:rPr>
          <w:w w:val="105"/>
        </w:rPr>
        <w:t xml:space="preserve">). </w:t>
      </w:r>
    </w:p>
    <w:p w14:paraId="617B70FA" w14:textId="77777777" w:rsidR="00DC654E" w:rsidRPr="00572068" w:rsidRDefault="00DC654E" w:rsidP="00B776A5">
      <w:pPr>
        <w:pStyle w:val="BodyText"/>
        <w:spacing w:after="120"/>
        <w:ind w:right="84"/>
        <w:jc w:val="both"/>
        <w:rPr>
          <w:w w:val="105"/>
          <w:lang w:val="en-AU"/>
        </w:rPr>
      </w:pPr>
      <w:r>
        <w:rPr>
          <w:w w:val="105"/>
          <w:lang w:val="en-AU"/>
        </w:rPr>
        <w:t>The Bill engages s</w:t>
      </w:r>
      <w:r w:rsidRPr="00572068">
        <w:rPr>
          <w:w w:val="105"/>
          <w:lang w:val="en-AU"/>
        </w:rPr>
        <w:t>ection 21(1) of the HR Act</w:t>
      </w:r>
      <w:r>
        <w:rPr>
          <w:w w:val="105"/>
          <w:lang w:val="en-AU"/>
        </w:rPr>
        <w:t xml:space="preserve"> which</w:t>
      </w:r>
      <w:r w:rsidRPr="00572068">
        <w:rPr>
          <w:w w:val="105"/>
          <w:lang w:val="en-AU"/>
        </w:rPr>
        <w:t xml:space="preserve"> provides that everyone has the right to have criminal charges, and rights and obligations recognised by law, decided by a competent, independent and impartial court or tribunal after a fair and public hearing (“right to a fair trial”).</w:t>
      </w:r>
    </w:p>
    <w:p w14:paraId="57AA1F3B" w14:textId="77777777" w:rsidR="00DC654E" w:rsidRDefault="00DC654E" w:rsidP="00B776A5">
      <w:pPr>
        <w:pStyle w:val="BodyText"/>
        <w:spacing w:after="120"/>
        <w:ind w:right="84"/>
        <w:jc w:val="both"/>
        <w:rPr>
          <w:w w:val="105"/>
        </w:rPr>
      </w:pPr>
      <w:r w:rsidRPr="00572068">
        <w:rPr>
          <w:w w:val="105"/>
          <w:lang w:val="en-AU"/>
        </w:rPr>
        <w:t>The ACT’s criminal trial system permits, and for some offences requires, a trial by jury.</w:t>
      </w:r>
      <w:r>
        <w:rPr>
          <w:w w:val="105"/>
        </w:rPr>
        <w:t xml:space="preserve"> </w:t>
      </w:r>
      <w:r>
        <w:rPr>
          <w:w w:val="105"/>
          <w:lang w:val="en-AU"/>
        </w:rPr>
        <w:t xml:space="preserve">Being able to challenge potential jurors (either on a peremptory or ‘with cause’ basis) allows the accused to have input into the composition of a jury.  </w:t>
      </w:r>
    </w:p>
    <w:p w14:paraId="347CF04D" w14:textId="77777777" w:rsidR="00DC654E" w:rsidRDefault="00DC654E" w:rsidP="00B776A5">
      <w:pPr>
        <w:pStyle w:val="BodyText"/>
        <w:spacing w:after="120"/>
        <w:ind w:right="84"/>
        <w:jc w:val="both"/>
        <w:rPr>
          <w:w w:val="105"/>
          <w:lang w:val="en-AU"/>
        </w:rPr>
      </w:pPr>
      <w:r>
        <w:rPr>
          <w:w w:val="105"/>
        </w:rPr>
        <w:t xml:space="preserve">The impartiality of jurors is important in promoting the right to a fair trial, but also in promoting equality before the law (section 8 of the HR Act). </w:t>
      </w:r>
    </w:p>
    <w:p w14:paraId="381B99F5" w14:textId="77777777" w:rsidR="00DC654E" w:rsidRDefault="00DC654E" w:rsidP="00B776A5">
      <w:pPr>
        <w:pStyle w:val="BodyText"/>
        <w:spacing w:after="120"/>
        <w:ind w:right="84"/>
        <w:jc w:val="both"/>
        <w:rPr>
          <w:w w:val="105"/>
          <w:lang w:val="en-AU"/>
        </w:rPr>
      </w:pPr>
      <w:r>
        <w:rPr>
          <w:w w:val="105"/>
          <w:lang w:val="en-AU"/>
        </w:rPr>
        <w:t xml:space="preserve">The Bill will reduce the number of peremptory challenges to prospective jurors. The intended purpose of the amendments is to address concerns that its use, based on the appearance of the juror, is arbitrary and relies on stereotypes and rather than fairness. Peremptory challenges can be discriminatory and impact the representative nature of </w:t>
      </w:r>
      <w:r w:rsidRPr="0057184E">
        <w:rPr>
          <w:w w:val="105"/>
        </w:rPr>
        <w:t>juries by eliminating people with certain</w:t>
      </w:r>
      <w:r>
        <w:rPr>
          <w:w w:val="105"/>
        </w:rPr>
        <w:t xml:space="preserve"> apparent</w:t>
      </w:r>
      <w:r w:rsidRPr="0057184E">
        <w:rPr>
          <w:w w:val="105"/>
        </w:rPr>
        <w:t xml:space="preserve"> characteristics</w:t>
      </w:r>
      <w:r>
        <w:rPr>
          <w:w w:val="105"/>
        </w:rPr>
        <w:t>.</w:t>
      </w:r>
    </w:p>
    <w:p w14:paraId="15EE19A2" w14:textId="77777777" w:rsidR="00DC654E" w:rsidRDefault="00DC654E" w:rsidP="00B776A5">
      <w:pPr>
        <w:pStyle w:val="BodyText"/>
        <w:spacing w:after="120"/>
        <w:ind w:right="84"/>
        <w:jc w:val="both"/>
        <w:rPr>
          <w:w w:val="105"/>
          <w:lang w:val="en-AU"/>
        </w:rPr>
      </w:pPr>
      <w:r>
        <w:rPr>
          <w:w w:val="105"/>
          <w:lang w:val="en-AU"/>
        </w:rPr>
        <w:t xml:space="preserve">It is not considered </w:t>
      </w:r>
      <w:r w:rsidRPr="00A122D2">
        <w:rPr>
          <w:w w:val="105"/>
          <w:lang w:val="en-AU"/>
        </w:rPr>
        <w:t xml:space="preserve">that </w:t>
      </w:r>
      <w:r>
        <w:rPr>
          <w:w w:val="105"/>
          <w:lang w:val="en-AU"/>
        </w:rPr>
        <w:t xml:space="preserve">the </w:t>
      </w:r>
      <w:r w:rsidRPr="00A122D2">
        <w:rPr>
          <w:w w:val="105"/>
          <w:lang w:val="en-AU"/>
        </w:rPr>
        <w:t>reduction</w:t>
      </w:r>
      <w:r>
        <w:rPr>
          <w:w w:val="105"/>
          <w:lang w:val="en-AU"/>
        </w:rPr>
        <w:t xml:space="preserve"> to the number of peremptory challenges</w:t>
      </w:r>
      <w:r w:rsidRPr="00A122D2">
        <w:rPr>
          <w:w w:val="105"/>
          <w:lang w:val="en-AU"/>
        </w:rPr>
        <w:t xml:space="preserve"> will limit the right to a fair hearing.</w:t>
      </w:r>
      <w:r>
        <w:rPr>
          <w:w w:val="105"/>
          <w:lang w:val="en-AU"/>
        </w:rPr>
        <w:t xml:space="preserve"> The Bill does not alter the right to trial by jury for eligible offences and does not remove the power to challenge jurors for cause, which remains as a key procedural safeguard. </w:t>
      </w:r>
    </w:p>
    <w:p w14:paraId="6A5A1638" w14:textId="77777777" w:rsidR="00DC654E" w:rsidRDefault="00DC654E" w:rsidP="00B776A5">
      <w:pPr>
        <w:pStyle w:val="BodyText"/>
        <w:spacing w:after="120"/>
        <w:ind w:right="84"/>
        <w:jc w:val="both"/>
        <w:rPr>
          <w:w w:val="105"/>
          <w:lang w:val="en-AU"/>
        </w:rPr>
      </w:pPr>
      <w:r>
        <w:rPr>
          <w:w w:val="105"/>
          <w:lang w:val="en-AU"/>
        </w:rPr>
        <w:t xml:space="preserve">Unlike peremptory challenges, a challenge for cause requires a reason grounded in fact, not a stereotype or intuition. This ensures that input into jury selection is directed to actual fairness concerns, not subjective impressions or discriminatory assumptions. Challenge for cause allows jurors to be removed where there is a substantial risk of bias, ensuring impartiality, judicial oversight and transparency in the jury empanelment process. </w:t>
      </w:r>
    </w:p>
    <w:p w14:paraId="2384070B" w14:textId="08B1886C" w:rsidR="008546F5" w:rsidRPr="00E408B4" w:rsidRDefault="006D14C6" w:rsidP="00E408B4">
      <w:pPr>
        <w:pStyle w:val="BodyText"/>
      </w:pPr>
      <w:r w:rsidRPr="00E408B4">
        <w:rPr>
          <w:w w:val="110"/>
          <w:u w:val="single"/>
        </w:rPr>
        <w:t>CLAUSE</w:t>
      </w:r>
      <w:r w:rsidRPr="00E408B4">
        <w:rPr>
          <w:spacing w:val="-7"/>
          <w:w w:val="110"/>
          <w:u w:val="single"/>
        </w:rPr>
        <w:t xml:space="preserve"> </w:t>
      </w:r>
      <w:r w:rsidR="00846E33" w:rsidRPr="00E408B4">
        <w:rPr>
          <w:spacing w:val="-7"/>
          <w:w w:val="110"/>
          <w:u w:val="single"/>
        </w:rPr>
        <w:t>NOTES</w:t>
      </w:r>
    </w:p>
    <w:p w14:paraId="2384070C" w14:textId="77777777" w:rsidR="008546F5" w:rsidRPr="00E408B4" w:rsidRDefault="00734B27" w:rsidP="00734B27">
      <w:pPr>
        <w:pStyle w:val="BodyText"/>
      </w:pPr>
      <w:r w:rsidRPr="00E408B4">
        <w:rPr>
          <w:w w:val="110"/>
          <w:u w:val="single"/>
        </w:rPr>
        <w:t>Clause</w:t>
      </w:r>
      <w:r w:rsidRPr="00E408B4">
        <w:rPr>
          <w:spacing w:val="-13"/>
          <w:w w:val="110"/>
          <w:u w:val="single"/>
        </w:rPr>
        <w:t xml:space="preserve"> </w:t>
      </w:r>
      <w:r w:rsidRPr="00E408B4">
        <w:rPr>
          <w:w w:val="110"/>
          <w:u w:val="single"/>
        </w:rPr>
        <w:t>1</w:t>
      </w:r>
      <w:r w:rsidRPr="00E408B4">
        <w:rPr>
          <w:spacing w:val="-12"/>
          <w:w w:val="110"/>
          <w:u w:val="single"/>
        </w:rPr>
        <w:t xml:space="preserve"> </w:t>
      </w:r>
      <w:r w:rsidRPr="00E408B4">
        <w:rPr>
          <w:w w:val="110"/>
          <w:u w:val="single"/>
        </w:rPr>
        <w:t>-</w:t>
      </w:r>
      <w:r w:rsidRPr="00E408B4">
        <w:rPr>
          <w:spacing w:val="-11"/>
          <w:w w:val="110"/>
          <w:u w:val="single"/>
        </w:rPr>
        <w:t xml:space="preserve"> </w:t>
      </w:r>
      <w:r w:rsidRPr="00E408B4">
        <w:rPr>
          <w:w w:val="110"/>
          <w:u w:val="single"/>
        </w:rPr>
        <w:t>Name</w:t>
      </w:r>
      <w:r w:rsidRPr="00E408B4">
        <w:rPr>
          <w:spacing w:val="-13"/>
          <w:w w:val="110"/>
          <w:u w:val="single"/>
        </w:rPr>
        <w:t xml:space="preserve"> </w:t>
      </w:r>
      <w:r w:rsidRPr="00E408B4">
        <w:rPr>
          <w:w w:val="110"/>
          <w:u w:val="single"/>
        </w:rPr>
        <w:t>of</w:t>
      </w:r>
      <w:r w:rsidRPr="00E408B4">
        <w:rPr>
          <w:spacing w:val="-12"/>
          <w:w w:val="110"/>
          <w:u w:val="single"/>
        </w:rPr>
        <w:t xml:space="preserve"> </w:t>
      </w:r>
      <w:r w:rsidRPr="00E408B4">
        <w:rPr>
          <w:spacing w:val="-5"/>
          <w:w w:val="110"/>
          <w:u w:val="single"/>
        </w:rPr>
        <w:t>Act</w:t>
      </w:r>
    </w:p>
    <w:p w14:paraId="2384070E" w14:textId="36418D31" w:rsidR="008546F5" w:rsidRPr="00E408B4" w:rsidRDefault="00100AD7" w:rsidP="00E408B4">
      <w:pPr>
        <w:pStyle w:val="BodyText"/>
        <w:spacing w:after="120"/>
        <w:ind w:left="0"/>
      </w:pPr>
      <w:r w:rsidRPr="00E408B4">
        <w:rPr>
          <w:w w:val="105"/>
          <w:lang w:val="en-AU"/>
        </w:rPr>
        <w:t xml:space="preserve">This </w:t>
      </w:r>
      <w:r w:rsidR="007520AB">
        <w:rPr>
          <w:w w:val="105"/>
          <w:lang w:val="en-AU"/>
        </w:rPr>
        <w:t>clause provides that the short ti</w:t>
      </w:r>
      <w:r w:rsidR="00B776A5">
        <w:rPr>
          <w:w w:val="105"/>
          <w:lang w:val="en-AU"/>
        </w:rPr>
        <w:t>t</w:t>
      </w:r>
      <w:r w:rsidR="007520AB">
        <w:rPr>
          <w:w w:val="105"/>
          <w:lang w:val="en-AU"/>
        </w:rPr>
        <w:t xml:space="preserve">le for this </w:t>
      </w:r>
      <w:r w:rsidRPr="00E408B4">
        <w:rPr>
          <w:w w:val="105"/>
          <w:lang w:val="en-AU"/>
        </w:rPr>
        <w:t xml:space="preserve">Act </w:t>
      </w:r>
      <w:r w:rsidR="007520AB">
        <w:rPr>
          <w:w w:val="105"/>
          <w:lang w:val="en-AU"/>
        </w:rPr>
        <w:t>will be</w:t>
      </w:r>
      <w:r w:rsidRPr="00E408B4">
        <w:rPr>
          <w:w w:val="105"/>
          <w:lang w:val="en-AU"/>
        </w:rPr>
        <w:t xml:space="preserve"> the </w:t>
      </w:r>
      <w:r w:rsidRPr="00E408B4">
        <w:rPr>
          <w:i/>
          <w:iCs/>
          <w:w w:val="105"/>
          <w:lang w:val="en-AU"/>
        </w:rPr>
        <w:t>Juries (Peremptory Challenges) Amendment Act 2025</w:t>
      </w:r>
      <w:r w:rsidRPr="00E408B4">
        <w:rPr>
          <w:w w:val="105"/>
          <w:lang w:val="en-AU"/>
        </w:rPr>
        <w:t>.</w:t>
      </w:r>
    </w:p>
    <w:p w14:paraId="2384070F" w14:textId="77777777" w:rsidR="008546F5" w:rsidRPr="00E408B4" w:rsidRDefault="00734B27" w:rsidP="00734B27">
      <w:pPr>
        <w:pStyle w:val="BodyText"/>
      </w:pPr>
      <w:r w:rsidRPr="00E408B4">
        <w:rPr>
          <w:w w:val="110"/>
          <w:u w:val="single"/>
        </w:rPr>
        <w:t>Clause</w:t>
      </w:r>
      <w:r w:rsidRPr="00E408B4">
        <w:rPr>
          <w:spacing w:val="-4"/>
          <w:w w:val="110"/>
          <w:u w:val="single"/>
        </w:rPr>
        <w:t xml:space="preserve"> </w:t>
      </w:r>
      <w:r w:rsidRPr="00E408B4">
        <w:rPr>
          <w:w w:val="110"/>
          <w:u w:val="single"/>
        </w:rPr>
        <w:t>2</w:t>
      </w:r>
      <w:r w:rsidRPr="00E408B4">
        <w:rPr>
          <w:spacing w:val="-3"/>
          <w:w w:val="110"/>
          <w:u w:val="single"/>
        </w:rPr>
        <w:t xml:space="preserve"> </w:t>
      </w:r>
      <w:r w:rsidRPr="00E408B4">
        <w:rPr>
          <w:w w:val="110"/>
          <w:u w:val="single"/>
        </w:rPr>
        <w:t>-</w:t>
      </w:r>
      <w:r w:rsidRPr="00E408B4">
        <w:rPr>
          <w:spacing w:val="-6"/>
          <w:w w:val="110"/>
          <w:u w:val="single"/>
        </w:rPr>
        <w:t xml:space="preserve"> </w:t>
      </w:r>
      <w:r w:rsidRPr="00E408B4">
        <w:rPr>
          <w:spacing w:val="-2"/>
          <w:w w:val="110"/>
          <w:u w:val="single"/>
        </w:rPr>
        <w:t>Commencement</w:t>
      </w:r>
    </w:p>
    <w:p w14:paraId="347BF91E" w14:textId="51B0C7D0" w:rsidR="00E03F53" w:rsidRPr="00E408B4" w:rsidRDefault="00734B27" w:rsidP="00E408B4">
      <w:pPr>
        <w:pStyle w:val="BodyText"/>
        <w:spacing w:after="120"/>
        <w:rPr>
          <w:w w:val="105"/>
          <w:lang w:val="en-AU"/>
        </w:rPr>
      </w:pPr>
      <w:r w:rsidRPr="00E408B4">
        <w:rPr>
          <w:w w:val="105"/>
        </w:rPr>
        <w:t>This</w:t>
      </w:r>
      <w:r w:rsidRPr="00E408B4">
        <w:rPr>
          <w:spacing w:val="-6"/>
          <w:w w:val="105"/>
        </w:rPr>
        <w:t xml:space="preserve"> </w:t>
      </w:r>
      <w:r w:rsidR="007520AB">
        <w:rPr>
          <w:spacing w:val="-6"/>
          <w:w w:val="105"/>
        </w:rPr>
        <w:t xml:space="preserve">clause provides that the </w:t>
      </w:r>
      <w:r w:rsidRPr="00E408B4">
        <w:rPr>
          <w:w w:val="105"/>
        </w:rPr>
        <w:t>Act</w:t>
      </w:r>
      <w:r w:rsidRPr="00E408B4">
        <w:rPr>
          <w:spacing w:val="-3"/>
          <w:w w:val="105"/>
        </w:rPr>
        <w:t xml:space="preserve"> </w:t>
      </w:r>
      <w:r w:rsidRPr="00E408B4">
        <w:rPr>
          <w:w w:val="105"/>
        </w:rPr>
        <w:t>commences</w:t>
      </w:r>
      <w:r w:rsidRPr="00E408B4">
        <w:rPr>
          <w:spacing w:val="-3"/>
          <w:w w:val="105"/>
        </w:rPr>
        <w:t xml:space="preserve"> </w:t>
      </w:r>
      <w:r w:rsidR="00E03F53" w:rsidRPr="00E408B4">
        <w:rPr>
          <w:spacing w:val="-3"/>
          <w:w w:val="105"/>
        </w:rPr>
        <w:t xml:space="preserve">6 </w:t>
      </w:r>
      <w:r w:rsidR="00E03F53" w:rsidRPr="00E408B4">
        <w:rPr>
          <w:w w:val="105"/>
          <w:lang w:val="en-AU"/>
        </w:rPr>
        <w:t xml:space="preserve">months after its notification day. </w:t>
      </w:r>
    </w:p>
    <w:p w14:paraId="23840711" w14:textId="57640E0D" w:rsidR="008546F5" w:rsidRPr="00E408B4" w:rsidRDefault="00734B27" w:rsidP="00734B27">
      <w:pPr>
        <w:pStyle w:val="BodyText"/>
      </w:pPr>
      <w:r w:rsidRPr="00E408B4">
        <w:rPr>
          <w:w w:val="110"/>
          <w:u w:val="single"/>
        </w:rPr>
        <w:t>Clause</w:t>
      </w:r>
      <w:r w:rsidRPr="00E408B4">
        <w:rPr>
          <w:spacing w:val="-13"/>
          <w:w w:val="110"/>
          <w:u w:val="single"/>
        </w:rPr>
        <w:t xml:space="preserve"> </w:t>
      </w:r>
      <w:r w:rsidRPr="00E408B4">
        <w:rPr>
          <w:w w:val="110"/>
          <w:u w:val="single"/>
        </w:rPr>
        <w:t>3</w:t>
      </w:r>
      <w:r w:rsidRPr="00E408B4">
        <w:rPr>
          <w:spacing w:val="-12"/>
          <w:w w:val="110"/>
          <w:u w:val="single"/>
        </w:rPr>
        <w:t xml:space="preserve"> </w:t>
      </w:r>
      <w:r w:rsidRPr="00E408B4">
        <w:rPr>
          <w:w w:val="110"/>
          <w:u w:val="single"/>
        </w:rPr>
        <w:t>-</w:t>
      </w:r>
      <w:r w:rsidRPr="00E408B4">
        <w:rPr>
          <w:spacing w:val="-11"/>
          <w:w w:val="110"/>
          <w:u w:val="single"/>
        </w:rPr>
        <w:t xml:space="preserve"> </w:t>
      </w:r>
      <w:r w:rsidRPr="00E408B4">
        <w:rPr>
          <w:w w:val="110"/>
          <w:u w:val="single"/>
        </w:rPr>
        <w:t>Legislation</w:t>
      </w:r>
      <w:r w:rsidRPr="00E408B4">
        <w:rPr>
          <w:spacing w:val="-13"/>
          <w:w w:val="110"/>
          <w:u w:val="single"/>
        </w:rPr>
        <w:t xml:space="preserve"> </w:t>
      </w:r>
      <w:r w:rsidRPr="00E408B4">
        <w:rPr>
          <w:spacing w:val="-2"/>
          <w:w w:val="110"/>
          <w:u w:val="single"/>
        </w:rPr>
        <w:t>amended</w:t>
      </w:r>
    </w:p>
    <w:p w14:paraId="23840713" w14:textId="3AACD41A" w:rsidR="008546F5" w:rsidRPr="00E408B4" w:rsidRDefault="00147921" w:rsidP="00E408B4">
      <w:pPr>
        <w:pStyle w:val="BodyText"/>
        <w:spacing w:after="120"/>
        <w:ind w:left="0"/>
      </w:pPr>
      <w:r w:rsidRPr="00E408B4">
        <w:rPr>
          <w:w w:val="105"/>
          <w:lang w:val="en-AU"/>
        </w:rPr>
        <w:t xml:space="preserve">This </w:t>
      </w:r>
      <w:r w:rsidR="007520AB">
        <w:rPr>
          <w:w w:val="105"/>
          <w:lang w:val="en-AU"/>
        </w:rPr>
        <w:t xml:space="preserve">clause provides that the </w:t>
      </w:r>
      <w:r w:rsidRPr="00E408B4">
        <w:rPr>
          <w:w w:val="105"/>
          <w:lang w:val="en-AU"/>
        </w:rPr>
        <w:t xml:space="preserve">Act </w:t>
      </w:r>
      <w:r w:rsidR="007520AB">
        <w:rPr>
          <w:w w:val="105"/>
          <w:lang w:val="en-AU"/>
        </w:rPr>
        <w:t xml:space="preserve">to be </w:t>
      </w:r>
      <w:r w:rsidRPr="00E408B4">
        <w:rPr>
          <w:w w:val="105"/>
          <w:lang w:val="en-AU"/>
        </w:rPr>
        <w:t>amend</w:t>
      </w:r>
      <w:r w:rsidR="007520AB">
        <w:rPr>
          <w:w w:val="105"/>
          <w:lang w:val="en-AU"/>
        </w:rPr>
        <w:t>ed is</w:t>
      </w:r>
      <w:r w:rsidRPr="00E408B4">
        <w:rPr>
          <w:w w:val="105"/>
          <w:lang w:val="en-AU"/>
        </w:rPr>
        <w:t xml:space="preserve"> the </w:t>
      </w:r>
      <w:r w:rsidRPr="00E408B4">
        <w:rPr>
          <w:i/>
          <w:iCs/>
          <w:w w:val="105"/>
          <w:lang w:val="en-AU"/>
        </w:rPr>
        <w:t>Juries Act 1967</w:t>
      </w:r>
      <w:r w:rsidRPr="00E408B4">
        <w:rPr>
          <w:w w:val="105"/>
          <w:lang w:val="en-AU"/>
        </w:rPr>
        <w:t>.</w:t>
      </w:r>
    </w:p>
    <w:p w14:paraId="21EA6BE8" w14:textId="77777777" w:rsidR="00B776A5" w:rsidRDefault="00B776A5" w:rsidP="00734B27">
      <w:pPr>
        <w:pStyle w:val="BodyText"/>
        <w:rPr>
          <w:w w:val="105"/>
          <w:u w:val="single"/>
        </w:rPr>
      </w:pPr>
    </w:p>
    <w:p w14:paraId="23840714" w14:textId="0BD267F2" w:rsidR="008546F5" w:rsidRPr="00E408B4" w:rsidRDefault="00734B27" w:rsidP="006216C3">
      <w:pPr>
        <w:pStyle w:val="BodyText"/>
        <w:keepNext/>
        <w:keepLines/>
      </w:pPr>
      <w:r w:rsidRPr="00E408B4">
        <w:rPr>
          <w:w w:val="105"/>
          <w:u w:val="single"/>
        </w:rPr>
        <w:lastRenderedPageBreak/>
        <w:t>Clause</w:t>
      </w:r>
      <w:r w:rsidRPr="00E408B4">
        <w:rPr>
          <w:spacing w:val="1"/>
          <w:w w:val="105"/>
          <w:u w:val="single"/>
        </w:rPr>
        <w:t xml:space="preserve"> </w:t>
      </w:r>
      <w:r w:rsidRPr="00E408B4">
        <w:rPr>
          <w:w w:val="105"/>
          <w:u w:val="single"/>
        </w:rPr>
        <w:t>4</w:t>
      </w:r>
      <w:r w:rsidRPr="00E408B4">
        <w:rPr>
          <w:spacing w:val="2"/>
          <w:w w:val="105"/>
          <w:u w:val="single"/>
        </w:rPr>
        <w:t xml:space="preserve"> </w:t>
      </w:r>
      <w:r w:rsidRPr="00E408B4">
        <w:rPr>
          <w:w w:val="105"/>
          <w:u w:val="single"/>
        </w:rPr>
        <w:t>-</w:t>
      </w:r>
      <w:r w:rsidRPr="00E408B4">
        <w:rPr>
          <w:spacing w:val="2"/>
          <w:w w:val="105"/>
          <w:u w:val="single"/>
        </w:rPr>
        <w:t xml:space="preserve"> </w:t>
      </w:r>
      <w:r w:rsidR="00147921" w:rsidRPr="00E408B4">
        <w:rPr>
          <w:w w:val="105"/>
          <w:u w:val="single"/>
          <w:lang w:val="en-AU"/>
        </w:rPr>
        <w:t>Expanded juries in some criminal trials Section 31A (3)</w:t>
      </w:r>
    </w:p>
    <w:p w14:paraId="63834979" w14:textId="2645AF59" w:rsidR="007E3ED1" w:rsidRPr="00E408B4" w:rsidRDefault="00734B27" w:rsidP="006216C3">
      <w:pPr>
        <w:pStyle w:val="BodyText"/>
        <w:keepNext/>
        <w:keepLines/>
        <w:spacing w:after="120"/>
        <w:rPr>
          <w:spacing w:val="-2"/>
        </w:rPr>
      </w:pPr>
      <w:r w:rsidRPr="00E408B4">
        <w:t>This</w:t>
      </w:r>
      <w:r w:rsidRPr="00E408B4">
        <w:rPr>
          <w:spacing w:val="17"/>
        </w:rPr>
        <w:t xml:space="preserve"> </w:t>
      </w:r>
      <w:r w:rsidRPr="00E408B4">
        <w:t>clause</w:t>
      </w:r>
      <w:r w:rsidR="00906680">
        <w:t xml:space="preserve"> </w:t>
      </w:r>
      <w:r w:rsidR="007E3ED1">
        <w:t>refers</w:t>
      </w:r>
      <w:r w:rsidR="00906680">
        <w:t xml:space="preserve"> to Section</w:t>
      </w:r>
      <w:r w:rsidR="007E3ED1">
        <w:t xml:space="preserve"> 34</w:t>
      </w:r>
      <w:r w:rsidR="00906680">
        <w:t xml:space="preserve">, in which this Bill will </w:t>
      </w:r>
      <w:r w:rsidR="007E3ED1" w:rsidRPr="00E408B4">
        <w:t>reduce the number of peremptory challenges for juries of 12 people from eight (8) to four (4)</w:t>
      </w:r>
      <w:r w:rsidR="007E3ED1" w:rsidRPr="00E408B4">
        <w:rPr>
          <w:spacing w:val="-2"/>
        </w:rPr>
        <w:t>.</w:t>
      </w:r>
    </w:p>
    <w:p w14:paraId="75261A8E" w14:textId="3EA6A583" w:rsidR="00906680" w:rsidRPr="00E408B4" w:rsidRDefault="00906680" w:rsidP="007E3ED1">
      <w:pPr>
        <w:pStyle w:val="BodyText"/>
      </w:pPr>
      <w:r w:rsidRPr="00E408B4">
        <w:rPr>
          <w:w w:val="105"/>
          <w:u w:val="single"/>
        </w:rPr>
        <w:t>Clause</w:t>
      </w:r>
      <w:r w:rsidRPr="00E408B4">
        <w:rPr>
          <w:spacing w:val="1"/>
          <w:w w:val="105"/>
          <w:u w:val="single"/>
        </w:rPr>
        <w:t xml:space="preserve"> </w:t>
      </w:r>
      <w:r>
        <w:rPr>
          <w:spacing w:val="1"/>
          <w:w w:val="105"/>
          <w:u w:val="single"/>
        </w:rPr>
        <w:t>5</w:t>
      </w:r>
      <w:r w:rsidRPr="00E408B4">
        <w:rPr>
          <w:spacing w:val="2"/>
          <w:w w:val="105"/>
          <w:u w:val="single"/>
        </w:rPr>
        <w:t xml:space="preserve"> </w:t>
      </w:r>
      <w:r w:rsidRPr="00E408B4">
        <w:rPr>
          <w:w w:val="105"/>
          <w:u w:val="single"/>
        </w:rPr>
        <w:t>-</w:t>
      </w:r>
      <w:r w:rsidRPr="00E408B4">
        <w:rPr>
          <w:spacing w:val="2"/>
          <w:w w:val="105"/>
          <w:u w:val="single"/>
        </w:rPr>
        <w:t xml:space="preserve"> </w:t>
      </w:r>
      <w:r w:rsidRPr="00E408B4">
        <w:rPr>
          <w:w w:val="105"/>
          <w:u w:val="single"/>
          <w:lang w:val="en-AU"/>
        </w:rPr>
        <w:t>Section 31A (3)</w:t>
      </w:r>
      <w:r>
        <w:rPr>
          <w:w w:val="105"/>
          <w:u w:val="single"/>
          <w:lang w:val="en-AU"/>
        </w:rPr>
        <w:t xml:space="preserve"> (a) to (c)</w:t>
      </w:r>
    </w:p>
    <w:p w14:paraId="51D5AACD" w14:textId="77777777" w:rsidR="00906680" w:rsidRDefault="00906680" w:rsidP="00906680">
      <w:pPr>
        <w:pStyle w:val="BodyText"/>
        <w:spacing w:after="120"/>
        <w:rPr>
          <w:spacing w:val="-2"/>
        </w:rPr>
      </w:pPr>
      <w:r w:rsidRPr="00E408B4">
        <w:t>This</w:t>
      </w:r>
      <w:r w:rsidRPr="00E408B4">
        <w:rPr>
          <w:spacing w:val="17"/>
        </w:rPr>
        <w:t xml:space="preserve"> </w:t>
      </w:r>
      <w:r w:rsidRPr="00E408B4">
        <w:t>clause</w:t>
      </w:r>
      <w:r w:rsidRPr="00E408B4">
        <w:rPr>
          <w:spacing w:val="18"/>
        </w:rPr>
        <w:t xml:space="preserve"> </w:t>
      </w:r>
      <w:r w:rsidRPr="00E408B4">
        <w:t>reduces the number of peremptory challenges for juries of specified sizes by four (4) in each case</w:t>
      </w:r>
      <w:r w:rsidRPr="00E408B4">
        <w:rPr>
          <w:spacing w:val="-2"/>
        </w:rPr>
        <w:t>.</w:t>
      </w:r>
    </w:p>
    <w:p w14:paraId="39349B88" w14:textId="7246EEF3" w:rsidR="00F8122C" w:rsidRPr="00E408B4" w:rsidRDefault="00F8122C" w:rsidP="00734B27">
      <w:pPr>
        <w:pStyle w:val="BodyText"/>
        <w:rPr>
          <w:u w:val="single"/>
        </w:rPr>
      </w:pPr>
      <w:r w:rsidRPr="00E408B4">
        <w:rPr>
          <w:spacing w:val="-2"/>
          <w:u w:val="single"/>
        </w:rPr>
        <w:t xml:space="preserve">Clause </w:t>
      </w:r>
      <w:r w:rsidR="00906680">
        <w:rPr>
          <w:spacing w:val="-2"/>
          <w:u w:val="single"/>
        </w:rPr>
        <w:t>6</w:t>
      </w:r>
      <w:r w:rsidRPr="00E408B4">
        <w:rPr>
          <w:spacing w:val="-2"/>
          <w:u w:val="single"/>
        </w:rPr>
        <w:t xml:space="preserve"> - </w:t>
      </w:r>
      <w:r w:rsidR="00781043" w:rsidRPr="00E408B4">
        <w:rPr>
          <w:spacing w:val="-2"/>
          <w:u w:val="single"/>
          <w:lang w:val="en-AU"/>
        </w:rPr>
        <w:t>Challenges at criminal trials Section 34 (1) (a) and (2) (a)</w:t>
      </w:r>
    </w:p>
    <w:p w14:paraId="1A3F7817" w14:textId="0515EC16" w:rsidR="005D6BD4" w:rsidRPr="00E408B4" w:rsidRDefault="005D6BD4" w:rsidP="00E408B4">
      <w:pPr>
        <w:pStyle w:val="BodyText"/>
        <w:spacing w:after="120"/>
        <w:rPr>
          <w:spacing w:val="-2"/>
        </w:rPr>
      </w:pPr>
      <w:r w:rsidRPr="00E408B4">
        <w:t>This</w:t>
      </w:r>
      <w:r w:rsidRPr="00E408B4">
        <w:rPr>
          <w:spacing w:val="17"/>
        </w:rPr>
        <w:t xml:space="preserve"> </w:t>
      </w:r>
      <w:r w:rsidRPr="00E408B4">
        <w:t>clause</w:t>
      </w:r>
      <w:r w:rsidRPr="00E408B4">
        <w:rPr>
          <w:spacing w:val="18"/>
        </w:rPr>
        <w:t xml:space="preserve"> </w:t>
      </w:r>
      <w:r w:rsidRPr="00E408B4">
        <w:t xml:space="preserve">reduces the number of peremptory challenges for juries of </w:t>
      </w:r>
      <w:r w:rsidR="00EB4AA1" w:rsidRPr="00E408B4">
        <w:t>12 people</w:t>
      </w:r>
      <w:r w:rsidR="00615421" w:rsidRPr="00E408B4">
        <w:t xml:space="preserve"> from eight (8) to</w:t>
      </w:r>
      <w:r w:rsidRPr="00E408B4">
        <w:t xml:space="preserve"> four (4)</w:t>
      </w:r>
      <w:r w:rsidRPr="00E408B4">
        <w:rPr>
          <w:spacing w:val="-2"/>
        </w:rPr>
        <w:t>.</w:t>
      </w:r>
    </w:p>
    <w:p w14:paraId="3E701728" w14:textId="77777777" w:rsidR="008546F5" w:rsidRPr="00E408B4" w:rsidRDefault="008546F5" w:rsidP="00E408B4">
      <w:pPr>
        <w:pStyle w:val="BodyText"/>
        <w:spacing w:after="120"/>
      </w:pPr>
    </w:p>
    <w:p w14:paraId="2384074E" w14:textId="1F8EA486" w:rsidR="008546F5" w:rsidRPr="00E408B4" w:rsidRDefault="008546F5" w:rsidP="00E408B4">
      <w:pPr>
        <w:pStyle w:val="BodyText"/>
        <w:spacing w:after="120"/>
        <w:ind w:right="84"/>
      </w:pPr>
    </w:p>
    <w:sectPr w:rsidR="008546F5" w:rsidRPr="00E408B4" w:rsidSect="001F6A8A">
      <w:pgSz w:w="11910" w:h="16840"/>
      <w:pgMar w:top="1340" w:right="1417" w:bottom="860" w:left="1417"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3096A" w14:textId="77777777" w:rsidR="000467BC" w:rsidRDefault="000467BC">
      <w:r>
        <w:separator/>
      </w:r>
    </w:p>
  </w:endnote>
  <w:endnote w:type="continuationSeparator" w:id="0">
    <w:p w14:paraId="551F2FF0" w14:textId="77777777" w:rsidR="000467BC" w:rsidRDefault="0004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7830" w14:textId="77777777" w:rsidR="00E56924" w:rsidRDefault="00E56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7ACE" w14:textId="034171B7" w:rsidR="001F6A8A" w:rsidRPr="00E56924" w:rsidRDefault="00E56924" w:rsidP="00E56924">
    <w:pPr>
      <w:pStyle w:val="BodyText"/>
      <w:spacing w:after="120" w:line="276" w:lineRule="auto"/>
      <w:ind w:left="0"/>
      <w:jc w:val="center"/>
      <w:rPr>
        <w:rFonts w:ascii="Arial" w:hAnsi="Arial" w:cs="Arial"/>
        <w:bCs/>
        <w:sz w:val="14"/>
        <w:szCs w:val="12"/>
      </w:rPr>
    </w:pPr>
    <w:r w:rsidRPr="00E56924">
      <w:rPr>
        <w:rFonts w:ascii="Arial" w:hAnsi="Arial" w:cs="Arial"/>
        <w:bCs/>
        <w:sz w:val="14"/>
        <w:szCs w:val="12"/>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625D" w14:textId="77777777" w:rsidR="00E56924" w:rsidRDefault="00E56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FAE8E" w14:textId="77777777" w:rsidR="000467BC" w:rsidRDefault="000467BC">
      <w:r>
        <w:separator/>
      </w:r>
    </w:p>
  </w:footnote>
  <w:footnote w:type="continuationSeparator" w:id="0">
    <w:p w14:paraId="0CF3B905" w14:textId="77777777" w:rsidR="000467BC" w:rsidRDefault="000467BC">
      <w:r>
        <w:continuationSeparator/>
      </w:r>
    </w:p>
  </w:footnote>
  <w:footnote w:id="1">
    <w:p w14:paraId="3111AC59" w14:textId="2B8EDCA0" w:rsidR="00700B16" w:rsidRPr="00700B16" w:rsidRDefault="007029E4" w:rsidP="00700B16">
      <w:pPr>
        <w:pStyle w:val="FootnoteText"/>
        <w:rPr>
          <w:i/>
          <w:iCs/>
        </w:rPr>
      </w:pPr>
      <w:r w:rsidRPr="00700B16">
        <w:rPr>
          <w:rStyle w:val="FootnoteReference"/>
        </w:rPr>
        <w:footnoteRef/>
      </w:r>
      <w:r w:rsidRPr="00700B16">
        <w:t xml:space="preserve"> Victorian </w:t>
      </w:r>
      <w:r w:rsidR="00700B16" w:rsidRPr="00700B16">
        <w:t xml:space="preserve">Law Reform Commission (2022) </w:t>
      </w:r>
      <w:r w:rsidR="00700B16" w:rsidRPr="00700B16">
        <w:rPr>
          <w:i/>
          <w:iCs/>
        </w:rPr>
        <w:t>Inclusive Juries</w:t>
      </w:r>
      <w:r w:rsidR="00700B16" w:rsidRPr="00700B16">
        <w:rPr>
          <w:b/>
          <w:bCs/>
          <w:i/>
          <w:iCs/>
        </w:rPr>
        <w:t xml:space="preserve"> </w:t>
      </w:r>
      <w:r w:rsidR="00700B16" w:rsidRPr="00700B16">
        <w:rPr>
          <w:i/>
          <w:iCs/>
        </w:rPr>
        <w:t>— Access for People Who Are Deaf, Hard of Hearing,</w:t>
      </w:r>
    </w:p>
    <w:p w14:paraId="0D33821B" w14:textId="36EEC7AA" w:rsidR="007029E4" w:rsidRPr="00700B16" w:rsidRDefault="00700B16" w:rsidP="00700B16">
      <w:pPr>
        <w:pStyle w:val="FootnoteText"/>
      </w:pPr>
      <w:r w:rsidRPr="00700B16">
        <w:rPr>
          <w:i/>
          <w:iCs/>
        </w:rPr>
        <w:t xml:space="preserve">Blind or Have Low Vision </w:t>
      </w:r>
      <w:r w:rsidRPr="00700B16">
        <w:rPr>
          <w:i/>
          <w:iCs/>
          <w:lang w:val="en-US"/>
        </w:rPr>
        <w:t>Report</w:t>
      </w:r>
      <w:r w:rsidRPr="00700B16">
        <w:rPr>
          <w:lang w:val="en-US"/>
        </w:rPr>
        <w:t xml:space="preserve">, </w:t>
      </w:r>
      <w:r w:rsidRPr="00700B16">
        <w:t>p.36</w:t>
      </w:r>
    </w:p>
  </w:footnote>
  <w:footnote w:id="2">
    <w:p w14:paraId="687CC53E" w14:textId="77777777" w:rsidR="000E5DC8" w:rsidRPr="00DC2FBA" w:rsidRDefault="000E5DC8" w:rsidP="000E5DC8">
      <w:pPr>
        <w:pStyle w:val="FootnoteText"/>
      </w:pPr>
      <w:r w:rsidRPr="00DC2FBA">
        <w:rPr>
          <w:rStyle w:val="FootnoteReference"/>
        </w:rPr>
        <w:footnoteRef/>
      </w:r>
      <w:r w:rsidRPr="00DC2FBA">
        <w:t xml:space="preserve"> Horan, J. &amp; Goodman-Delahunty, J. (2010) ‘Challenging the peremptory challenge system</w:t>
      </w:r>
    </w:p>
    <w:p w14:paraId="15A7CAB8" w14:textId="77777777" w:rsidR="000E5DC8" w:rsidRPr="00DC2FBA" w:rsidRDefault="000E5DC8" w:rsidP="000E5DC8">
      <w:pPr>
        <w:pStyle w:val="FootnoteText"/>
      </w:pPr>
      <w:r w:rsidRPr="00DC2FBA">
        <w:rPr>
          <w:lang w:val="en-US"/>
        </w:rPr>
        <w:t>in Australia’, Criminal Law Journal, vol. 34, pp.167-186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237E" w14:textId="77777777" w:rsidR="00E56924" w:rsidRDefault="00E56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33B4" w14:textId="77777777" w:rsidR="00E56924" w:rsidRDefault="00E569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AD80" w14:textId="77777777" w:rsidR="00E56924" w:rsidRDefault="00E56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543D4"/>
    <w:multiLevelType w:val="hybridMultilevel"/>
    <w:tmpl w:val="3DA097B0"/>
    <w:lvl w:ilvl="0" w:tplc="C652B996">
      <w:start w:val="1"/>
      <w:numFmt w:val="lowerLetter"/>
      <w:lvlText w:val="(%1)"/>
      <w:lvlJc w:val="left"/>
      <w:pPr>
        <w:ind w:left="316" w:hanging="293"/>
      </w:pPr>
      <w:rPr>
        <w:rFonts w:ascii="Calibri" w:eastAsia="Calibri" w:hAnsi="Calibri" w:cs="Calibri" w:hint="default"/>
        <w:b w:val="0"/>
        <w:bCs w:val="0"/>
        <w:i w:val="0"/>
        <w:iCs w:val="0"/>
        <w:spacing w:val="0"/>
        <w:w w:val="103"/>
        <w:sz w:val="22"/>
        <w:szCs w:val="22"/>
        <w:lang w:val="en-US" w:eastAsia="en-US" w:bidi="ar-SA"/>
      </w:rPr>
    </w:lvl>
    <w:lvl w:ilvl="1" w:tplc="67A22C88">
      <w:numFmt w:val="bullet"/>
      <w:lvlText w:val="•"/>
      <w:lvlJc w:val="left"/>
      <w:pPr>
        <w:ind w:left="1195" w:hanging="293"/>
      </w:pPr>
      <w:rPr>
        <w:rFonts w:hint="default"/>
        <w:lang w:val="en-US" w:eastAsia="en-US" w:bidi="ar-SA"/>
      </w:rPr>
    </w:lvl>
    <w:lvl w:ilvl="2" w:tplc="B08204F2">
      <w:numFmt w:val="bullet"/>
      <w:lvlText w:val="•"/>
      <w:lvlJc w:val="left"/>
      <w:pPr>
        <w:ind w:left="2070" w:hanging="293"/>
      </w:pPr>
      <w:rPr>
        <w:rFonts w:hint="default"/>
        <w:lang w:val="en-US" w:eastAsia="en-US" w:bidi="ar-SA"/>
      </w:rPr>
    </w:lvl>
    <w:lvl w:ilvl="3" w:tplc="25CED7C0">
      <w:numFmt w:val="bullet"/>
      <w:lvlText w:val="•"/>
      <w:lvlJc w:val="left"/>
      <w:pPr>
        <w:ind w:left="2945" w:hanging="293"/>
      </w:pPr>
      <w:rPr>
        <w:rFonts w:hint="default"/>
        <w:lang w:val="en-US" w:eastAsia="en-US" w:bidi="ar-SA"/>
      </w:rPr>
    </w:lvl>
    <w:lvl w:ilvl="4" w:tplc="854E9508">
      <w:numFmt w:val="bullet"/>
      <w:lvlText w:val="•"/>
      <w:lvlJc w:val="left"/>
      <w:pPr>
        <w:ind w:left="3820" w:hanging="293"/>
      </w:pPr>
      <w:rPr>
        <w:rFonts w:hint="default"/>
        <w:lang w:val="en-US" w:eastAsia="en-US" w:bidi="ar-SA"/>
      </w:rPr>
    </w:lvl>
    <w:lvl w:ilvl="5" w:tplc="C45A5064">
      <w:numFmt w:val="bullet"/>
      <w:lvlText w:val="•"/>
      <w:lvlJc w:val="left"/>
      <w:pPr>
        <w:ind w:left="4696" w:hanging="293"/>
      </w:pPr>
      <w:rPr>
        <w:rFonts w:hint="default"/>
        <w:lang w:val="en-US" w:eastAsia="en-US" w:bidi="ar-SA"/>
      </w:rPr>
    </w:lvl>
    <w:lvl w:ilvl="6" w:tplc="72B6441E">
      <w:numFmt w:val="bullet"/>
      <w:lvlText w:val="•"/>
      <w:lvlJc w:val="left"/>
      <w:pPr>
        <w:ind w:left="5571" w:hanging="293"/>
      </w:pPr>
      <w:rPr>
        <w:rFonts w:hint="default"/>
        <w:lang w:val="en-US" w:eastAsia="en-US" w:bidi="ar-SA"/>
      </w:rPr>
    </w:lvl>
    <w:lvl w:ilvl="7" w:tplc="A092B3CC">
      <w:numFmt w:val="bullet"/>
      <w:lvlText w:val="•"/>
      <w:lvlJc w:val="left"/>
      <w:pPr>
        <w:ind w:left="6446" w:hanging="293"/>
      </w:pPr>
      <w:rPr>
        <w:rFonts w:hint="default"/>
        <w:lang w:val="en-US" w:eastAsia="en-US" w:bidi="ar-SA"/>
      </w:rPr>
    </w:lvl>
    <w:lvl w:ilvl="8" w:tplc="3CD40D5C">
      <w:numFmt w:val="bullet"/>
      <w:lvlText w:val="•"/>
      <w:lvlJc w:val="left"/>
      <w:pPr>
        <w:ind w:left="7321" w:hanging="293"/>
      </w:pPr>
      <w:rPr>
        <w:rFonts w:hint="default"/>
        <w:lang w:val="en-US" w:eastAsia="en-US" w:bidi="ar-SA"/>
      </w:rPr>
    </w:lvl>
  </w:abstractNum>
  <w:abstractNum w:abstractNumId="1" w15:restartNumberingAfterBreak="0">
    <w:nsid w:val="291D70CC"/>
    <w:multiLevelType w:val="hybridMultilevel"/>
    <w:tmpl w:val="2B640446"/>
    <w:lvl w:ilvl="0" w:tplc="66F05AA8">
      <w:start w:val="1"/>
      <w:numFmt w:val="lowerLetter"/>
      <w:lvlText w:val="(%1)"/>
      <w:lvlJc w:val="left"/>
      <w:pPr>
        <w:ind w:left="23" w:hanging="291"/>
      </w:pPr>
      <w:rPr>
        <w:rFonts w:ascii="Calibri" w:eastAsia="Calibri" w:hAnsi="Calibri" w:cs="Calibri" w:hint="default"/>
        <w:b w:val="0"/>
        <w:bCs w:val="0"/>
        <w:i w:val="0"/>
        <w:iCs w:val="0"/>
        <w:spacing w:val="0"/>
        <w:w w:val="103"/>
        <w:sz w:val="22"/>
        <w:szCs w:val="22"/>
        <w:lang w:val="en-US" w:eastAsia="en-US" w:bidi="ar-SA"/>
      </w:rPr>
    </w:lvl>
    <w:lvl w:ilvl="1" w:tplc="7D049808">
      <w:numFmt w:val="bullet"/>
      <w:lvlText w:val="•"/>
      <w:lvlJc w:val="left"/>
      <w:pPr>
        <w:ind w:left="925" w:hanging="291"/>
      </w:pPr>
      <w:rPr>
        <w:rFonts w:hint="default"/>
        <w:lang w:val="en-US" w:eastAsia="en-US" w:bidi="ar-SA"/>
      </w:rPr>
    </w:lvl>
    <w:lvl w:ilvl="2" w:tplc="E67488F6">
      <w:numFmt w:val="bullet"/>
      <w:lvlText w:val="•"/>
      <w:lvlJc w:val="left"/>
      <w:pPr>
        <w:ind w:left="1830" w:hanging="291"/>
      </w:pPr>
      <w:rPr>
        <w:rFonts w:hint="default"/>
        <w:lang w:val="en-US" w:eastAsia="en-US" w:bidi="ar-SA"/>
      </w:rPr>
    </w:lvl>
    <w:lvl w:ilvl="3" w:tplc="B6846770">
      <w:numFmt w:val="bullet"/>
      <w:lvlText w:val="•"/>
      <w:lvlJc w:val="left"/>
      <w:pPr>
        <w:ind w:left="2735" w:hanging="291"/>
      </w:pPr>
      <w:rPr>
        <w:rFonts w:hint="default"/>
        <w:lang w:val="en-US" w:eastAsia="en-US" w:bidi="ar-SA"/>
      </w:rPr>
    </w:lvl>
    <w:lvl w:ilvl="4" w:tplc="D0EC86B8">
      <w:numFmt w:val="bullet"/>
      <w:lvlText w:val="•"/>
      <w:lvlJc w:val="left"/>
      <w:pPr>
        <w:ind w:left="3640" w:hanging="291"/>
      </w:pPr>
      <w:rPr>
        <w:rFonts w:hint="default"/>
        <w:lang w:val="en-US" w:eastAsia="en-US" w:bidi="ar-SA"/>
      </w:rPr>
    </w:lvl>
    <w:lvl w:ilvl="5" w:tplc="B25621A2">
      <w:numFmt w:val="bullet"/>
      <w:lvlText w:val="•"/>
      <w:lvlJc w:val="left"/>
      <w:pPr>
        <w:ind w:left="4546" w:hanging="291"/>
      </w:pPr>
      <w:rPr>
        <w:rFonts w:hint="default"/>
        <w:lang w:val="en-US" w:eastAsia="en-US" w:bidi="ar-SA"/>
      </w:rPr>
    </w:lvl>
    <w:lvl w:ilvl="6" w:tplc="9E6AE87A">
      <w:numFmt w:val="bullet"/>
      <w:lvlText w:val="•"/>
      <w:lvlJc w:val="left"/>
      <w:pPr>
        <w:ind w:left="5451" w:hanging="291"/>
      </w:pPr>
      <w:rPr>
        <w:rFonts w:hint="default"/>
        <w:lang w:val="en-US" w:eastAsia="en-US" w:bidi="ar-SA"/>
      </w:rPr>
    </w:lvl>
    <w:lvl w:ilvl="7" w:tplc="4D868F6E">
      <w:numFmt w:val="bullet"/>
      <w:lvlText w:val="•"/>
      <w:lvlJc w:val="left"/>
      <w:pPr>
        <w:ind w:left="6356" w:hanging="291"/>
      </w:pPr>
      <w:rPr>
        <w:rFonts w:hint="default"/>
        <w:lang w:val="en-US" w:eastAsia="en-US" w:bidi="ar-SA"/>
      </w:rPr>
    </w:lvl>
    <w:lvl w:ilvl="8" w:tplc="E076B546">
      <w:numFmt w:val="bullet"/>
      <w:lvlText w:val="•"/>
      <w:lvlJc w:val="left"/>
      <w:pPr>
        <w:ind w:left="7261" w:hanging="291"/>
      </w:pPr>
      <w:rPr>
        <w:rFonts w:hint="default"/>
        <w:lang w:val="en-US" w:eastAsia="en-US" w:bidi="ar-SA"/>
      </w:rPr>
    </w:lvl>
  </w:abstractNum>
  <w:abstractNum w:abstractNumId="2" w15:restartNumberingAfterBreak="0">
    <w:nsid w:val="2E065537"/>
    <w:multiLevelType w:val="hybridMultilevel"/>
    <w:tmpl w:val="AC9C6736"/>
    <w:lvl w:ilvl="0" w:tplc="0BE6CDF8">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2AFEDEF6">
      <w:numFmt w:val="bullet"/>
      <w:lvlText w:val="•"/>
      <w:lvlJc w:val="left"/>
      <w:pPr>
        <w:ind w:left="1573" w:hanging="360"/>
      </w:pPr>
      <w:rPr>
        <w:rFonts w:hint="default"/>
        <w:lang w:val="en-US" w:eastAsia="en-US" w:bidi="ar-SA"/>
      </w:rPr>
    </w:lvl>
    <w:lvl w:ilvl="2" w:tplc="0F520430">
      <w:numFmt w:val="bullet"/>
      <w:lvlText w:val="•"/>
      <w:lvlJc w:val="left"/>
      <w:pPr>
        <w:ind w:left="2406" w:hanging="360"/>
      </w:pPr>
      <w:rPr>
        <w:rFonts w:hint="default"/>
        <w:lang w:val="en-US" w:eastAsia="en-US" w:bidi="ar-SA"/>
      </w:rPr>
    </w:lvl>
    <w:lvl w:ilvl="3" w:tplc="0C58F4CC">
      <w:numFmt w:val="bullet"/>
      <w:lvlText w:val="•"/>
      <w:lvlJc w:val="left"/>
      <w:pPr>
        <w:ind w:left="3239" w:hanging="360"/>
      </w:pPr>
      <w:rPr>
        <w:rFonts w:hint="default"/>
        <w:lang w:val="en-US" w:eastAsia="en-US" w:bidi="ar-SA"/>
      </w:rPr>
    </w:lvl>
    <w:lvl w:ilvl="4" w:tplc="D03E4F22">
      <w:numFmt w:val="bullet"/>
      <w:lvlText w:val="•"/>
      <w:lvlJc w:val="left"/>
      <w:pPr>
        <w:ind w:left="4072" w:hanging="360"/>
      </w:pPr>
      <w:rPr>
        <w:rFonts w:hint="default"/>
        <w:lang w:val="en-US" w:eastAsia="en-US" w:bidi="ar-SA"/>
      </w:rPr>
    </w:lvl>
    <w:lvl w:ilvl="5" w:tplc="376A7076">
      <w:numFmt w:val="bullet"/>
      <w:lvlText w:val="•"/>
      <w:lvlJc w:val="left"/>
      <w:pPr>
        <w:ind w:left="4906" w:hanging="360"/>
      </w:pPr>
      <w:rPr>
        <w:rFonts w:hint="default"/>
        <w:lang w:val="en-US" w:eastAsia="en-US" w:bidi="ar-SA"/>
      </w:rPr>
    </w:lvl>
    <w:lvl w:ilvl="6" w:tplc="F0FA439E">
      <w:numFmt w:val="bullet"/>
      <w:lvlText w:val="•"/>
      <w:lvlJc w:val="left"/>
      <w:pPr>
        <w:ind w:left="5739" w:hanging="360"/>
      </w:pPr>
      <w:rPr>
        <w:rFonts w:hint="default"/>
        <w:lang w:val="en-US" w:eastAsia="en-US" w:bidi="ar-SA"/>
      </w:rPr>
    </w:lvl>
    <w:lvl w:ilvl="7" w:tplc="913E9D1E">
      <w:numFmt w:val="bullet"/>
      <w:lvlText w:val="•"/>
      <w:lvlJc w:val="left"/>
      <w:pPr>
        <w:ind w:left="6572" w:hanging="360"/>
      </w:pPr>
      <w:rPr>
        <w:rFonts w:hint="default"/>
        <w:lang w:val="en-US" w:eastAsia="en-US" w:bidi="ar-SA"/>
      </w:rPr>
    </w:lvl>
    <w:lvl w:ilvl="8" w:tplc="016A9F32">
      <w:numFmt w:val="bullet"/>
      <w:lvlText w:val="•"/>
      <w:lvlJc w:val="left"/>
      <w:pPr>
        <w:ind w:left="7405" w:hanging="360"/>
      </w:pPr>
      <w:rPr>
        <w:rFonts w:hint="default"/>
        <w:lang w:val="en-US" w:eastAsia="en-US" w:bidi="ar-SA"/>
      </w:rPr>
    </w:lvl>
  </w:abstractNum>
  <w:num w:numId="1" w16cid:durableId="1841390977">
    <w:abstractNumId w:val="0"/>
  </w:num>
  <w:num w:numId="2" w16cid:durableId="1355888700">
    <w:abstractNumId w:val="1"/>
  </w:num>
  <w:num w:numId="3" w16cid:durableId="1174800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F5"/>
    <w:rsid w:val="000467BC"/>
    <w:rsid w:val="000C4318"/>
    <w:rsid w:val="000E5DC8"/>
    <w:rsid w:val="000F66BF"/>
    <w:rsid w:val="00100AD7"/>
    <w:rsid w:val="00122951"/>
    <w:rsid w:val="00135986"/>
    <w:rsid w:val="00147921"/>
    <w:rsid w:val="00163846"/>
    <w:rsid w:val="001A4276"/>
    <w:rsid w:val="001B71B6"/>
    <w:rsid w:val="001F0086"/>
    <w:rsid w:val="001F6A8A"/>
    <w:rsid w:val="00214E9C"/>
    <w:rsid w:val="00260719"/>
    <w:rsid w:val="002672DF"/>
    <w:rsid w:val="002B3D10"/>
    <w:rsid w:val="002D27CC"/>
    <w:rsid w:val="002D5C48"/>
    <w:rsid w:val="0031034C"/>
    <w:rsid w:val="003357BE"/>
    <w:rsid w:val="00383E21"/>
    <w:rsid w:val="003A4FD5"/>
    <w:rsid w:val="00403EFD"/>
    <w:rsid w:val="004149D8"/>
    <w:rsid w:val="004625E9"/>
    <w:rsid w:val="004B2AE9"/>
    <w:rsid w:val="004E3A9D"/>
    <w:rsid w:val="005173B3"/>
    <w:rsid w:val="00523A0D"/>
    <w:rsid w:val="0054666B"/>
    <w:rsid w:val="00565E7C"/>
    <w:rsid w:val="00566E4C"/>
    <w:rsid w:val="00574DC8"/>
    <w:rsid w:val="005C5C04"/>
    <w:rsid w:val="005D6BD4"/>
    <w:rsid w:val="005E46F5"/>
    <w:rsid w:val="00615421"/>
    <w:rsid w:val="006216C3"/>
    <w:rsid w:val="00627530"/>
    <w:rsid w:val="006A1717"/>
    <w:rsid w:val="006A5217"/>
    <w:rsid w:val="006B2BF5"/>
    <w:rsid w:val="006D14C6"/>
    <w:rsid w:val="00700B16"/>
    <w:rsid w:val="007029E4"/>
    <w:rsid w:val="007141B8"/>
    <w:rsid w:val="00734B27"/>
    <w:rsid w:val="00751CDE"/>
    <w:rsid w:val="007520AB"/>
    <w:rsid w:val="00781043"/>
    <w:rsid w:val="0079499C"/>
    <w:rsid w:val="007A7669"/>
    <w:rsid w:val="007E3ED1"/>
    <w:rsid w:val="00846E33"/>
    <w:rsid w:val="008546F5"/>
    <w:rsid w:val="00886882"/>
    <w:rsid w:val="008D5464"/>
    <w:rsid w:val="008F3800"/>
    <w:rsid w:val="00906680"/>
    <w:rsid w:val="00985445"/>
    <w:rsid w:val="009A6CD4"/>
    <w:rsid w:val="009B22B4"/>
    <w:rsid w:val="00A56922"/>
    <w:rsid w:val="00A60D99"/>
    <w:rsid w:val="00A7401D"/>
    <w:rsid w:val="00AE3265"/>
    <w:rsid w:val="00AE6FB9"/>
    <w:rsid w:val="00B776A5"/>
    <w:rsid w:val="00BC2CEC"/>
    <w:rsid w:val="00C05D41"/>
    <w:rsid w:val="00C15F99"/>
    <w:rsid w:val="00C17676"/>
    <w:rsid w:val="00C472AD"/>
    <w:rsid w:val="00C557B6"/>
    <w:rsid w:val="00C6785C"/>
    <w:rsid w:val="00CB4CCF"/>
    <w:rsid w:val="00CC72F7"/>
    <w:rsid w:val="00CD3674"/>
    <w:rsid w:val="00D40872"/>
    <w:rsid w:val="00D67874"/>
    <w:rsid w:val="00D76B1D"/>
    <w:rsid w:val="00D83E66"/>
    <w:rsid w:val="00DC2FBA"/>
    <w:rsid w:val="00DC654E"/>
    <w:rsid w:val="00E03F53"/>
    <w:rsid w:val="00E408B4"/>
    <w:rsid w:val="00E56924"/>
    <w:rsid w:val="00E66F49"/>
    <w:rsid w:val="00EB4AA1"/>
    <w:rsid w:val="00EF5C55"/>
    <w:rsid w:val="00F17A47"/>
    <w:rsid w:val="00F32959"/>
    <w:rsid w:val="00F44C1F"/>
    <w:rsid w:val="00F5507E"/>
    <w:rsid w:val="00F8122C"/>
    <w:rsid w:val="00FB0197"/>
    <w:rsid w:val="00FD773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8406CD"/>
  <w15:docId w15:val="{96DB2E2B-313F-4410-B76B-1FD296F5D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ListParagraph">
    <w:name w:val="List Paragraph"/>
    <w:basedOn w:val="Normal"/>
    <w:uiPriority w:val="1"/>
    <w:qFormat/>
    <w:pPr>
      <w:ind w:left="318" w:hanging="360"/>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627530"/>
    <w:pPr>
      <w:widowControl/>
      <w:autoSpaceDE/>
      <w:autoSpaceDN/>
    </w:pPr>
    <w:rPr>
      <w:rFonts w:asciiTheme="minorHAnsi" w:eastAsiaTheme="minorEastAsia" w:hAnsiTheme="minorHAnsi" w:cstheme="minorBidi"/>
      <w:kern w:val="2"/>
      <w:sz w:val="20"/>
      <w:szCs w:val="20"/>
      <w:lang w:val="en-AU" w:eastAsia="zh-CN"/>
      <w14:ligatures w14:val="standardContextual"/>
    </w:rPr>
  </w:style>
  <w:style w:type="character" w:customStyle="1" w:styleId="FootnoteTextChar">
    <w:name w:val="Footnote Text Char"/>
    <w:basedOn w:val="DefaultParagraphFont"/>
    <w:link w:val="FootnoteText"/>
    <w:uiPriority w:val="99"/>
    <w:semiHidden/>
    <w:rsid w:val="00627530"/>
    <w:rPr>
      <w:rFonts w:eastAsiaTheme="minorEastAsia"/>
      <w:kern w:val="2"/>
      <w:sz w:val="20"/>
      <w:szCs w:val="20"/>
      <w:lang w:val="en-AU" w:eastAsia="zh-CN"/>
      <w14:ligatures w14:val="standardContextual"/>
    </w:rPr>
  </w:style>
  <w:style w:type="character" w:styleId="FootnoteReference">
    <w:name w:val="footnote reference"/>
    <w:basedOn w:val="DefaultParagraphFont"/>
    <w:uiPriority w:val="99"/>
    <w:semiHidden/>
    <w:unhideWhenUsed/>
    <w:rsid w:val="00627530"/>
    <w:rPr>
      <w:vertAlign w:val="superscript"/>
    </w:rPr>
  </w:style>
  <w:style w:type="character" w:styleId="PlaceholderText">
    <w:name w:val="Placeholder Text"/>
    <w:basedOn w:val="DefaultParagraphFont"/>
    <w:uiPriority w:val="99"/>
    <w:semiHidden/>
    <w:rsid w:val="00C15F99"/>
    <w:rPr>
      <w:color w:val="808080"/>
    </w:rPr>
  </w:style>
  <w:style w:type="paragraph" w:styleId="Header">
    <w:name w:val="header"/>
    <w:basedOn w:val="Normal"/>
    <w:link w:val="HeaderChar"/>
    <w:uiPriority w:val="99"/>
    <w:unhideWhenUsed/>
    <w:rsid w:val="00751CDE"/>
    <w:pPr>
      <w:tabs>
        <w:tab w:val="center" w:pos="4513"/>
        <w:tab w:val="right" w:pos="9026"/>
      </w:tabs>
    </w:pPr>
  </w:style>
  <w:style w:type="character" w:customStyle="1" w:styleId="HeaderChar">
    <w:name w:val="Header Char"/>
    <w:basedOn w:val="DefaultParagraphFont"/>
    <w:link w:val="Header"/>
    <w:uiPriority w:val="99"/>
    <w:rsid w:val="00751CDE"/>
    <w:rPr>
      <w:rFonts w:ascii="Calibri" w:eastAsia="Calibri" w:hAnsi="Calibri" w:cs="Calibri"/>
    </w:rPr>
  </w:style>
  <w:style w:type="paragraph" w:styleId="Footer">
    <w:name w:val="footer"/>
    <w:basedOn w:val="Normal"/>
    <w:link w:val="FooterChar"/>
    <w:uiPriority w:val="99"/>
    <w:unhideWhenUsed/>
    <w:rsid w:val="00751CDE"/>
    <w:pPr>
      <w:tabs>
        <w:tab w:val="center" w:pos="4513"/>
        <w:tab w:val="right" w:pos="9026"/>
      </w:tabs>
    </w:pPr>
  </w:style>
  <w:style w:type="character" w:customStyle="1" w:styleId="FooterChar">
    <w:name w:val="Footer Char"/>
    <w:basedOn w:val="DefaultParagraphFont"/>
    <w:link w:val="Footer"/>
    <w:uiPriority w:val="99"/>
    <w:rsid w:val="00751CD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62B9D-F4EB-4BF5-AF32-4951DE45C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1286</Words>
  <Characters>6639</Characters>
  <Application>Microsoft Office Word</Application>
  <DocSecurity>0</DocSecurity>
  <Lines>134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PCODCS</cp:lastModifiedBy>
  <cp:revision>4</cp:revision>
  <dcterms:created xsi:type="dcterms:W3CDTF">2025-12-03T00:47:00Z</dcterms:created>
  <dcterms:modified xsi:type="dcterms:W3CDTF">2025-12-03T00:47:00Z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Microsoft® Word for Microsoft 365</vt:lpwstr>
  </property>
  <property fmtid="{D5CDD505-2E9C-101B-9397-08002B2CF9AE}" pid="4" name="LastSaved">
    <vt:filetime>2025-10-17T00:00:00Z</vt:filetime>
  </property>
  <property fmtid="{D5CDD505-2E9C-101B-9397-08002B2CF9AE}" pid="5" name="MSIP_Label_69af8531-eb46-4968-8cb3-105d2f5ea87e_ActionId">
    <vt:lpwstr>0edf8c5a-c0dd-420c-98d7-2b925ff8b980</vt:lpwstr>
  </property>
  <property fmtid="{D5CDD505-2E9C-101B-9397-08002B2CF9AE}" pid="6" name="MSIP_Label_69af8531-eb46-4968-8cb3-105d2f5ea87e_ContentBits">
    <vt:lpwstr>0</vt:lpwstr>
  </property>
  <property fmtid="{D5CDD505-2E9C-101B-9397-08002B2CF9AE}" pid="7" name="MSIP_Label_69af8531-eb46-4968-8cb3-105d2f5ea87e_Enabled">
    <vt:lpwstr>true</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etDate">
    <vt:lpwstr>2025-06-25T00:31:24Z</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Tag">
    <vt:lpwstr>10, 3, 0, 1</vt:lpwstr>
  </property>
  <property fmtid="{D5CDD505-2E9C-101B-9397-08002B2CF9AE}" pid="13" name="Producer">
    <vt:lpwstr>Microsoft® Word for Microsoft 365</vt:lpwstr>
  </property>
</Properties>
</file>