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4C02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A0CF9B" w14:textId="4C38E4DC" w:rsidR="00C17FAB" w:rsidRDefault="009924B5">
      <w:pPr>
        <w:pStyle w:val="Billname"/>
        <w:spacing w:before="700"/>
      </w:pPr>
      <w:bookmarkStart w:id="1" w:name="_Hlk211937845"/>
      <w:r>
        <w:t xml:space="preserve">Road Transport (Public Passenger Services) Public </w:t>
      </w:r>
      <w:r w:rsidRPr="005D03EE">
        <w:t>Transport Fares Determination 20</w:t>
      </w:r>
      <w:r>
        <w:t>25 (No 1)</w:t>
      </w:r>
      <w:bookmarkEnd w:id="1"/>
    </w:p>
    <w:p w14:paraId="0E492FD9" w14:textId="663D4D4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924B5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6E00DC">
        <w:rPr>
          <w:rFonts w:ascii="Arial" w:hAnsi="Arial" w:cs="Arial"/>
          <w:b/>
          <w:bCs/>
        </w:rPr>
        <w:t>314</w:t>
      </w:r>
    </w:p>
    <w:p w14:paraId="28BD56B3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2B3D3B8" w14:textId="459227D7" w:rsidR="00C17FAB" w:rsidRDefault="009924B5" w:rsidP="00DA3B00">
      <w:pPr>
        <w:pStyle w:val="CoverActName"/>
        <w:spacing w:before="320" w:after="0"/>
        <w:rPr>
          <w:rFonts w:cs="Arial"/>
          <w:sz w:val="20"/>
        </w:rPr>
      </w:pPr>
      <w:r w:rsidRPr="009924B5">
        <w:rPr>
          <w:rFonts w:cs="Arial"/>
          <w:sz w:val="20"/>
        </w:rPr>
        <w:t>Road Transport (Public Passenger Services) Act 2001, section 23 (Regular route services¬—power to determine maximum fares) and section 27C (Light rail services – power to determine fares)</w:t>
      </w:r>
    </w:p>
    <w:p w14:paraId="47CDE04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0220AF7" w14:textId="77777777" w:rsidR="00C17FAB" w:rsidRDefault="00C17FAB">
      <w:pPr>
        <w:pStyle w:val="N-line3"/>
        <w:pBdr>
          <w:bottom w:val="none" w:sz="0" w:space="0" w:color="auto"/>
        </w:pBdr>
      </w:pPr>
    </w:p>
    <w:p w14:paraId="750B8A4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EB9B076" w14:textId="5CA30E9A" w:rsidR="009924B5" w:rsidRPr="00707CE5" w:rsidRDefault="009924B5" w:rsidP="009924B5">
      <w:pPr>
        <w:autoSpaceDE w:val="0"/>
        <w:autoSpaceDN w:val="0"/>
        <w:adjustRightInd w:val="0"/>
        <w:rPr>
          <w:szCs w:val="24"/>
        </w:rPr>
      </w:pPr>
      <w:r w:rsidRPr="00707CE5">
        <w:rPr>
          <w:szCs w:val="24"/>
        </w:rPr>
        <w:t xml:space="preserve">This instrument </w:t>
      </w:r>
      <w:r w:rsidR="00167F73">
        <w:rPr>
          <w:szCs w:val="24"/>
        </w:rPr>
        <w:t>determines</w:t>
      </w:r>
      <w:r w:rsidRPr="00707CE5">
        <w:rPr>
          <w:szCs w:val="24"/>
        </w:rPr>
        <w:t xml:space="preserve"> maximum fares charged to custo</w:t>
      </w:r>
      <w:r>
        <w:rPr>
          <w:szCs w:val="24"/>
        </w:rPr>
        <w:t>mers using Transport Canberra bus and light rail services</w:t>
      </w:r>
      <w:r w:rsidRPr="00707CE5">
        <w:rPr>
          <w:szCs w:val="24"/>
        </w:rPr>
        <w:t>.</w:t>
      </w:r>
      <w:r>
        <w:rPr>
          <w:szCs w:val="24"/>
        </w:rPr>
        <w:t xml:space="preserve"> </w:t>
      </w:r>
      <w:r w:rsidRPr="00707CE5">
        <w:rPr>
          <w:szCs w:val="24"/>
        </w:rPr>
        <w:t xml:space="preserve">The instrument revokes the </w:t>
      </w:r>
      <w:r w:rsidRPr="00707CE5">
        <w:rPr>
          <w:i/>
          <w:szCs w:val="24"/>
        </w:rPr>
        <w:t>Road Transport (Public Passenger Services) Regular Route Services Maximum Fares Determination</w:t>
      </w:r>
      <w:r w:rsidR="00167F73">
        <w:rPr>
          <w:i/>
          <w:szCs w:val="24"/>
        </w:rPr>
        <w:t> </w:t>
      </w:r>
      <w:r w:rsidRPr="00707CE5">
        <w:rPr>
          <w:i/>
          <w:szCs w:val="24"/>
        </w:rPr>
        <w:t>20</w:t>
      </w:r>
      <w:r>
        <w:rPr>
          <w:i/>
          <w:szCs w:val="24"/>
        </w:rPr>
        <w:t>24</w:t>
      </w:r>
      <w:r w:rsidRPr="00707CE5">
        <w:rPr>
          <w:i/>
          <w:szCs w:val="24"/>
        </w:rPr>
        <w:t xml:space="preserve"> </w:t>
      </w:r>
      <w:r w:rsidRPr="00707CE5">
        <w:rPr>
          <w:szCs w:val="24"/>
        </w:rPr>
        <w:t>(</w:t>
      </w:r>
      <w:r w:rsidRPr="001C32DA">
        <w:rPr>
          <w:szCs w:val="24"/>
        </w:rPr>
        <w:t>DI20</w:t>
      </w:r>
      <w:r>
        <w:rPr>
          <w:szCs w:val="24"/>
        </w:rPr>
        <w:t>24</w:t>
      </w:r>
      <w:r w:rsidRPr="001C32DA">
        <w:rPr>
          <w:szCs w:val="24"/>
        </w:rPr>
        <w:t>–</w:t>
      </w:r>
      <w:r>
        <w:rPr>
          <w:szCs w:val="24"/>
        </w:rPr>
        <w:t>321</w:t>
      </w:r>
      <w:r w:rsidRPr="00707CE5">
        <w:rPr>
          <w:szCs w:val="24"/>
        </w:rPr>
        <w:t>).</w:t>
      </w:r>
    </w:p>
    <w:p w14:paraId="34B39328" w14:textId="77777777" w:rsidR="009924B5" w:rsidRPr="00707CE5" w:rsidRDefault="009924B5" w:rsidP="009924B5">
      <w:pPr>
        <w:autoSpaceDE w:val="0"/>
        <w:autoSpaceDN w:val="0"/>
        <w:adjustRightInd w:val="0"/>
        <w:rPr>
          <w:szCs w:val="24"/>
        </w:rPr>
      </w:pPr>
    </w:p>
    <w:p w14:paraId="68213BC6" w14:textId="2B688B13" w:rsidR="009924B5" w:rsidRDefault="009924B5" w:rsidP="009924B5">
      <w:pPr>
        <w:autoSpaceDE w:val="0"/>
        <w:autoSpaceDN w:val="0"/>
        <w:adjustRightInd w:val="0"/>
        <w:rPr>
          <w:szCs w:val="24"/>
        </w:rPr>
      </w:pPr>
      <w:r w:rsidRPr="00707CE5">
        <w:rPr>
          <w:szCs w:val="24"/>
        </w:rPr>
        <w:t xml:space="preserve">The instrument </w:t>
      </w:r>
      <w:r w:rsidR="00D15323">
        <w:rPr>
          <w:szCs w:val="24"/>
        </w:rPr>
        <w:t>determines</w:t>
      </w:r>
      <w:r w:rsidRPr="00707CE5">
        <w:rPr>
          <w:szCs w:val="24"/>
        </w:rPr>
        <w:t xml:space="preserve"> the </w:t>
      </w:r>
      <w:r>
        <w:rPr>
          <w:szCs w:val="24"/>
        </w:rPr>
        <w:t xml:space="preserve">maximum </w:t>
      </w:r>
      <w:r w:rsidRPr="00707CE5">
        <w:rPr>
          <w:szCs w:val="24"/>
        </w:rPr>
        <w:t xml:space="preserve">fares </w:t>
      </w:r>
      <w:r>
        <w:rPr>
          <w:szCs w:val="24"/>
        </w:rPr>
        <w:t xml:space="preserve">payable </w:t>
      </w:r>
      <w:r w:rsidRPr="00707CE5">
        <w:rPr>
          <w:szCs w:val="24"/>
        </w:rPr>
        <w:t xml:space="preserve">for </w:t>
      </w:r>
      <w:r>
        <w:rPr>
          <w:szCs w:val="24"/>
        </w:rPr>
        <w:t xml:space="preserve">travel on regular route bus services provided by Transport Canberra and on light rail services by holders of </w:t>
      </w:r>
      <w:r w:rsidRPr="00707CE5">
        <w:rPr>
          <w:szCs w:val="24"/>
        </w:rPr>
        <w:t>MyWay</w:t>
      </w:r>
      <w:r>
        <w:rPr>
          <w:szCs w:val="24"/>
        </w:rPr>
        <w:t>+</w:t>
      </w:r>
      <w:r w:rsidRPr="00707CE5">
        <w:rPr>
          <w:szCs w:val="24"/>
        </w:rPr>
        <w:t xml:space="preserve"> </w:t>
      </w:r>
      <w:r>
        <w:rPr>
          <w:szCs w:val="24"/>
        </w:rPr>
        <w:t xml:space="preserve">tokens, including single use tickets, </w:t>
      </w:r>
      <w:r w:rsidR="00090305">
        <w:rPr>
          <w:szCs w:val="24"/>
        </w:rPr>
        <w:t>commencing</w:t>
      </w:r>
      <w:r>
        <w:rPr>
          <w:szCs w:val="24"/>
        </w:rPr>
        <w:t xml:space="preserve"> </w:t>
      </w:r>
      <w:r w:rsidR="00167F73">
        <w:rPr>
          <w:szCs w:val="24"/>
        </w:rPr>
        <w:t>on</w:t>
      </w:r>
      <w:r>
        <w:rPr>
          <w:szCs w:val="24"/>
        </w:rPr>
        <w:t xml:space="preserve"> </w:t>
      </w:r>
      <w:r w:rsidR="00167F73">
        <w:rPr>
          <w:szCs w:val="24"/>
        </w:rPr>
        <w:t>1</w:t>
      </w:r>
      <w:r w:rsidR="004351AA">
        <w:rPr>
          <w:szCs w:val="24"/>
        </w:rPr>
        <w:t>0</w:t>
      </w:r>
      <w:r w:rsidR="00167F73">
        <w:rPr>
          <w:szCs w:val="24"/>
        </w:rPr>
        <w:t xml:space="preserve"> </w:t>
      </w:r>
      <w:r w:rsidRPr="00DB4934">
        <w:rPr>
          <w:szCs w:val="24"/>
        </w:rPr>
        <w:t>January 202</w:t>
      </w:r>
      <w:r>
        <w:rPr>
          <w:szCs w:val="24"/>
        </w:rPr>
        <w:t>6</w:t>
      </w:r>
      <w:r w:rsidRPr="00DB4934">
        <w:rPr>
          <w:szCs w:val="24"/>
        </w:rPr>
        <w:t>.</w:t>
      </w:r>
    </w:p>
    <w:p w14:paraId="5DFEF764" w14:textId="77777777" w:rsidR="009924B5" w:rsidRDefault="009924B5" w:rsidP="009924B5">
      <w:pPr>
        <w:autoSpaceDE w:val="0"/>
        <w:autoSpaceDN w:val="0"/>
        <w:adjustRightInd w:val="0"/>
        <w:rPr>
          <w:szCs w:val="24"/>
        </w:rPr>
      </w:pPr>
    </w:p>
    <w:p w14:paraId="196596B7" w14:textId="0B1145E6" w:rsidR="009924B5" w:rsidRDefault="009924B5" w:rsidP="009924B5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Public transport fares have increased by</w:t>
      </w:r>
      <w:r w:rsidRPr="00D65D21">
        <w:rPr>
          <w:szCs w:val="24"/>
        </w:rPr>
        <w:t xml:space="preserve"> </w:t>
      </w:r>
      <w:r>
        <w:rPr>
          <w:szCs w:val="24"/>
        </w:rPr>
        <w:t>2.75</w:t>
      </w:r>
      <w:r w:rsidRPr="00D65D21">
        <w:rPr>
          <w:szCs w:val="24"/>
        </w:rPr>
        <w:t xml:space="preserve"> </w:t>
      </w:r>
      <w:r>
        <w:rPr>
          <w:szCs w:val="24"/>
        </w:rPr>
        <w:t xml:space="preserve">percent, in accordance with the Consumer Price Index (CPI), from those fares set in </w:t>
      </w:r>
      <w:r w:rsidRPr="00707CE5">
        <w:rPr>
          <w:szCs w:val="24"/>
        </w:rPr>
        <w:t xml:space="preserve">the </w:t>
      </w:r>
      <w:r w:rsidRPr="00707CE5">
        <w:rPr>
          <w:i/>
          <w:szCs w:val="24"/>
        </w:rPr>
        <w:t xml:space="preserve">Road Transport (Public Passenger Services) Regular Route Services Maximum </w:t>
      </w:r>
      <w:r w:rsidRPr="00057CA7">
        <w:rPr>
          <w:i/>
          <w:szCs w:val="24"/>
        </w:rPr>
        <w:t>Fares Determination 20</w:t>
      </w:r>
      <w:r>
        <w:rPr>
          <w:i/>
          <w:szCs w:val="24"/>
        </w:rPr>
        <w:t xml:space="preserve">24 </w:t>
      </w:r>
      <w:r w:rsidRPr="00057CA7">
        <w:rPr>
          <w:szCs w:val="24"/>
        </w:rPr>
        <w:t>(DI20</w:t>
      </w:r>
      <w:r>
        <w:rPr>
          <w:szCs w:val="24"/>
        </w:rPr>
        <w:t>24</w:t>
      </w:r>
      <w:r w:rsidRPr="00057CA7">
        <w:rPr>
          <w:szCs w:val="24"/>
        </w:rPr>
        <w:t>–</w:t>
      </w:r>
      <w:r>
        <w:rPr>
          <w:szCs w:val="24"/>
        </w:rPr>
        <w:t>321</w:t>
      </w:r>
      <w:r w:rsidRPr="00057CA7">
        <w:rPr>
          <w:szCs w:val="24"/>
        </w:rPr>
        <w:t xml:space="preserve">). </w:t>
      </w:r>
      <w:r>
        <w:rPr>
          <w:szCs w:val="24"/>
        </w:rPr>
        <w:t>Single use fares, previously known as c</w:t>
      </w:r>
      <w:r w:rsidRPr="00057CA7">
        <w:rPr>
          <w:szCs w:val="24"/>
        </w:rPr>
        <w:t>ash fares</w:t>
      </w:r>
      <w:r>
        <w:rPr>
          <w:szCs w:val="24"/>
        </w:rPr>
        <w:t>,</w:t>
      </w:r>
      <w:r w:rsidRPr="00057CA7">
        <w:rPr>
          <w:szCs w:val="24"/>
        </w:rPr>
        <w:t xml:space="preserve"> for adult</w:t>
      </w:r>
      <w:r>
        <w:rPr>
          <w:szCs w:val="24"/>
        </w:rPr>
        <w:t xml:space="preserve"> or concession</w:t>
      </w:r>
      <w:r w:rsidRPr="00057CA7">
        <w:rPr>
          <w:szCs w:val="24"/>
        </w:rPr>
        <w:t xml:space="preserve"> passengers have </w:t>
      </w:r>
      <w:r>
        <w:rPr>
          <w:szCs w:val="24"/>
        </w:rPr>
        <w:t xml:space="preserve">increased by around 2.75 percent. Fares are no longer rounded to the nearest 10 cents with cash no longer accepted on buses or at Ticket Vending Machines. </w:t>
      </w:r>
    </w:p>
    <w:p w14:paraId="6953A6B8" w14:textId="77777777" w:rsidR="009924B5" w:rsidRDefault="009924B5" w:rsidP="009924B5">
      <w:pPr>
        <w:autoSpaceDE w:val="0"/>
        <w:autoSpaceDN w:val="0"/>
        <w:adjustRightInd w:val="0"/>
        <w:rPr>
          <w:szCs w:val="24"/>
        </w:rPr>
      </w:pPr>
    </w:p>
    <w:p w14:paraId="56C4E337" w14:textId="492FE28B" w:rsidR="00C17FAB" w:rsidRDefault="009924B5" w:rsidP="009924B5">
      <w:pPr>
        <w:rPr>
          <w:szCs w:val="24"/>
        </w:rPr>
      </w:pPr>
      <w:r>
        <w:rPr>
          <w:szCs w:val="24"/>
        </w:rPr>
        <w:t>The definitions and validity arrangements listed in this instrument, including MyWay+ Pass and MyWay+ single use and daily tickets have been clarified to remove any possible ambiguity on the validity period and conditions of these tickets.</w:t>
      </w:r>
    </w:p>
    <w:p w14:paraId="4AFFA313" w14:textId="77777777" w:rsidR="009924B5" w:rsidRDefault="009924B5" w:rsidP="009924B5"/>
    <w:p w14:paraId="3A1A1721" w14:textId="49223230" w:rsidR="00D15323" w:rsidRDefault="00000324" w:rsidP="009924B5">
      <w:pPr>
        <w:sectPr w:rsidR="00D15323" w:rsidSect="007346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t>The following tables display the fees from the previous determination alongside the new fees.</w:t>
      </w:r>
    </w:p>
    <w:p w14:paraId="4DE549F0" w14:textId="20DC10DA" w:rsidR="0029443E" w:rsidRPr="00670754" w:rsidRDefault="0029443E" w:rsidP="002944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A - </w:t>
      </w:r>
      <w:r w:rsidRPr="00D540E2">
        <w:rPr>
          <w:rFonts w:ascii="Arial" w:hAnsi="Arial" w:cs="Arial"/>
          <w:b/>
          <w:bCs/>
        </w:rPr>
        <w:t xml:space="preserve">Maximum fares </w:t>
      </w:r>
      <w:r>
        <w:rPr>
          <w:rFonts w:ascii="Arial" w:hAnsi="Arial" w:cs="Arial"/>
          <w:b/>
          <w:bCs/>
        </w:rPr>
        <w:t xml:space="preserve">and fare caps </w:t>
      </w:r>
      <w:r w:rsidRPr="00D540E2">
        <w:rPr>
          <w:rFonts w:ascii="Arial" w:hAnsi="Arial" w:cs="Arial"/>
          <w:b/>
          <w:bCs/>
        </w:rPr>
        <w:t>payable using MyWay+ Smart Card</w:t>
      </w:r>
      <w:r>
        <w:rPr>
          <w:rFonts w:ascii="Arial" w:hAnsi="Arial" w:cs="Arial"/>
          <w:b/>
          <w:bCs/>
        </w:rPr>
        <w:t>, MyWay+ Pass</w:t>
      </w:r>
      <w:r w:rsidRPr="00D540E2"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>a</w:t>
      </w:r>
      <w:r w:rsidRPr="00D540E2">
        <w:rPr>
          <w:rFonts w:ascii="Arial" w:hAnsi="Arial" w:cs="Arial"/>
          <w:b/>
          <w:bCs/>
        </w:rPr>
        <w:t>pproved payment</w:t>
      </w:r>
      <w:r>
        <w:rPr>
          <w:rFonts w:ascii="Arial" w:hAnsi="Arial" w:cs="Arial"/>
          <w:b/>
          <w:bCs/>
        </w:rPr>
        <w:t xml:space="preserve"> </w:t>
      </w:r>
      <w:r w:rsidRPr="00D540E2">
        <w:rPr>
          <w:rFonts w:ascii="Arial" w:hAnsi="Arial" w:cs="Arial"/>
          <w:b/>
          <w:bCs/>
        </w:rPr>
        <w:t>devices</w:t>
      </w:r>
    </w:p>
    <w:p w14:paraId="4902FB56" w14:textId="77777777" w:rsidR="005C565A" w:rsidRDefault="005C565A" w:rsidP="00FC09A3"/>
    <w:p w14:paraId="2E3C00C5" w14:textId="77777777" w:rsidR="0029443E" w:rsidRDefault="0029443E" w:rsidP="00FC09A3"/>
    <w:tbl>
      <w:tblPr>
        <w:tblStyle w:val="TableGrid1"/>
        <w:tblW w:w="14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415"/>
        <w:gridCol w:w="1415"/>
        <w:gridCol w:w="1415"/>
        <w:gridCol w:w="1415"/>
        <w:gridCol w:w="1415"/>
        <w:gridCol w:w="1415"/>
        <w:gridCol w:w="1415"/>
        <w:gridCol w:w="1415"/>
        <w:gridCol w:w="1439"/>
      </w:tblGrid>
      <w:tr w:rsidR="00FC09A3" w:rsidRPr="0040604A" w14:paraId="5F12E40B" w14:textId="77777777" w:rsidTr="00620E66">
        <w:trPr>
          <w:trHeight w:val="709"/>
        </w:trPr>
        <w:tc>
          <w:tcPr>
            <w:tcW w:w="1719" w:type="dxa"/>
            <w:vMerge w:val="restart"/>
          </w:tcPr>
          <w:p w14:paraId="6067F5E2" w14:textId="77777777" w:rsidR="00FC09A3" w:rsidRPr="0040604A" w:rsidRDefault="00FC09A3" w:rsidP="00620E66"/>
        </w:tc>
        <w:tc>
          <w:tcPr>
            <w:tcW w:w="2830" w:type="dxa"/>
            <w:gridSpan w:val="2"/>
          </w:tcPr>
          <w:p w14:paraId="0F50D9D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Standard </w:t>
            </w:r>
            <w:r w:rsidRPr="001C1344">
              <w:rPr>
                <w:rFonts w:ascii="Times New Roman" w:hAnsi="Times New Roman"/>
                <w:b/>
                <w:bCs/>
              </w:rPr>
              <w:t>Fare or Cap</w:t>
            </w:r>
          </w:p>
        </w:tc>
        <w:tc>
          <w:tcPr>
            <w:tcW w:w="2830" w:type="dxa"/>
            <w:gridSpan w:val="2"/>
          </w:tcPr>
          <w:p w14:paraId="2BC1AE73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830" w:type="dxa"/>
            <w:gridSpan w:val="2"/>
          </w:tcPr>
          <w:p w14:paraId="404E451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 Student Fare</w:t>
            </w:r>
          </w:p>
        </w:tc>
        <w:tc>
          <w:tcPr>
            <w:tcW w:w="2830" w:type="dxa"/>
            <w:gridSpan w:val="2"/>
          </w:tcPr>
          <w:p w14:paraId="15BDA953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Tertiary Student Fare</w:t>
            </w:r>
          </w:p>
        </w:tc>
        <w:tc>
          <w:tcPr>
            <w:tcW w:w="1439" w:type="dxa"/>
          </w:tcPr>
          <w:p w14:paraId="28159571" w14:textId="77777777" w:rsidR="00FC09A3" w:rsidRPr="0040604A" w:rsidRDefault="00FC09A3" w:rsidP="00620E66">
            <w:pPr>
              <w:jc w:val="center"/>
            </w:pPr>
          </w:p>
        </w:tc>
      </w:tr>
      <w:tr w:rsidR="00FC09A3" w:rsidRPr="0040604A" w14:paraId="1A89F2F1" w14:textId="77777777" w:rsidTr="00620E66">
        <w:trPr>
          <w:trHeight w:val="183"/>
        </w:trPr>
        <w:tc>
          <w:tcPr>
            <w:tcW w:w="1719" w:type="dxa"/>
            <w:vMerge/>
          </w:tcPr>
          <w:p w14:paraId="72C36B96" w14:textId="77777777" w:rsidR="00FC09A3" w:rsidRPr="0040604A" w:rsidRDefault="00FC09A3" w:rsidP="00620E66"/>
        </w:tc>
        <w:tc>
          <w:tcPr>
            <w:tcW w:w="1415" w:type="dxa"/>
            <w:vAlign w:val="center"/>
          </w:tcPr>
          <w:p w14:paraId="4E03416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5" w:type="dxa"/>
            <w:vAlign w:val="center"/>
          </w:tcPr>
          <w:p w14:paraId="6DF17D4F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15" w:type="dxa"/>
            <w:vAlign w:val="center"/>
          </w:tcPr>
          <w:p w14:paraId="64613EE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5" w:type="dxa"/>
            <w:vAlign w:val="center"/>
          </w:tcPr>
          <w:p w14:paraId="01B7F46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15" w:type="dxa"/>
            <w:vAlign w:val="center"/>
          </w:tcPr>
          <w:p w14:paraId="0928A36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5" w:type="dxa"/>
            <w:vAlign w:val="center"/>
          </w:tcPr>
          <w:p w14:paraId="7711B44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15" w:type="dxa"/>
            <w:vAlign w:val="center"/>
          </w:tcPr>
          <w:p w14:paraId="7D3D32E3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5" w:type="dxa"/>
            <w:vAlign w:val="center"/>
          </w:tcPr>
          <w:p w14:paraId="2FD6272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39" w:type="dxa"/>
            <w:vAlign w:val="center"/>
          </w:tcPr>
          <w:p w14:paraId="45A9B4C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FC09A3" w:rsidRPr="0040604A" w14:paraId="0F0B7E90" w14:textId="77777777" w:rsidTr="00620E66">
        <w:trPr>
          <w:trHeight w:val="709"/>
        </w:trPr>
        <w:tc>
          <w:tcPr>
            <w:tcW w:w="1719" w:type="dxa"/>
          </w:tcPr>
          <w:p w14:paraId="3939D28E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Peak single trip</w:t>
            </w:r>
          </w:p>
        </w:tc>
        <w:tc>
          <w:tcPr>
            <w:tcW w:w="1415" w:type="dxa"/>
            <w:vAlign w:val="center"/>
          </w:tcPr>
          <w:p w14:paraId="7A4F649A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$3.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1C134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5" w:type="dxa"/>
            <w:vAlign w:val="center"/>
          </w:tcPr>
          <w:p w14:paraId="52D3720A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$3.</w:t>
            </w: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415" w:type="dxa"/>
            <w:vAlign w:val="center"/>
          </w:tcPr>
          <w:p w14:paraId="14CABA7C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4060DA2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15" w:type="dxa"/>
            <w:vAlign w:val="center"/>
          </w:tcPr>
          <w:p w14:paraId="5E9DB8FF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63CEFCA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15" w:type="dxa"/>
            <w:vAlign w:val="center"/>
          </w:tcPr>
          <w:p w14:paraId="16BE9F3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29EE6B4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39" w:type="dxa"/>
            <w:vAlign w:val="center"/>
          </w:tcPr>
          <w:p w14:paraId="3A955C8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75</w:t>
            </w:r>
            <w:r w:rsidRPr="001C1344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FC09A3" w:rsidRPr="0040604A" w14:paraId="07FD9B75" w14:textId="77777777" w:rsidTr="00620E66">
        <w:trPr>
          <w:trHeight w:val="689"/>
        </w:trPr>
        <w:tc>
          <w:tcPr>
            <w:tcW w:w="1719" w:type="dxa"/>
          </w:tcPr>
          <w:p w14:paraId="470313C8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O</w:t>
            </w:r>
            <w:r w:rsidRPr="001C1344">
              <w:rPr>
                <w:rFonts w:ascii="Times New Roman" w:hAnsi="Times New Roman"/>
                <w:color w:val="000000"/>
                <w:lang w:eastAsia="en-AU"/>
              </w:rPr>
              <w:t>ff-peak single trip</w:t>
            </w:r>
          </w:p>
        </w:tc>
        <w:tc>
          <w:tcPr>
            <w:tcW w:w="1415" w:type="dxa"/>
            <w:vAlign w:val="center"/>
          </w:tcPr>
          <w:p w14:paraId="5C1AC5B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</w:t>
            </w: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415" w:type="dxa"/>
            <w:vAlign w:val="center"/>
          </w:tcPr>
          <w:p w14:paraId="0A1F99B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</w:t>
            </w: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15" w:type="dxa"/>
            <w:vAlign w:val="center"/>
          </w:tcPr>
          <w:p w14:paraId="795960C3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</w:t>
            </w: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5" w:type="dxa"/>
            <w:vAlign w:val="center"/>
          </w:tcPr>
          <w:p w14:paraId="74E2242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5" w:type="dxa"/>
            <w:vAlign w:val="center"/>
          </w:tcPr>
          <w:p w14:paraId="2290F99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2EC46D4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15" w:type="dxa"/>
            <w:vAlign w:val="center"/>
          </w:tcPr>
          <w:p w14:paraId="40A0F89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7A6D6A6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439" w:type="dxa"/>
            <w:vAlign w:val="center"/>
          </w:tcPr>
          <w:p w14:paraId="52970DEA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7974">
              <w:rPr>
                <w:rFonts w:ascii="Times New Roman" w:hAnsi="Times New Roman"/>
                <w:color w:val="000000"/>
              </w:rPr>
              <w:t>2.75%</w:t>
            </w:r>
          </w:p>
        </w:tc>
      </w:tr>
      <w:tr w:rsidR="00FC09A3" w:rsidRPr="0040604A" w14:paraId="0EE6AEBF" w14:textId="77777777" w:rsidTr="00620E66">
        <w:trPr>
          <w:trHeight w:val="709"/>
        </w:trPr>
        <w:tc>
          <w:tcPr>
            <w:tcW w:w="1719" w:type="dxa"/>
          </w:tcPr>
          <w:p w14:paraId="27419BFD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 xml:space="preserve">School day </w:t>
            </w:r>
            <w:r>
              <w:rPr>
                <w:rFonts w:ascii="Times New Roman" w:hAnsi="Times New Roman"/>
                <w:color w:val="000000"/>
                <w:lang w:eastAsia="en-AU"/>
              </w:rPr>
              <w:t>trip</w:t>
            </w:r>
          </w:p>
        </w:tc>
        <w:tc>
          <w:tcPr>
            <w:tcW w:w="2830" w:type="dxa"/>
            <w:gridSpan w:val="2"/>
            <w:vAlign w:val="center"/>
          </w:tcPr>
          <w:p w14:paraId="1B0A138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Not applicable</w:t>
            </w:r>
          </w:p>
        </w:tc>
        <w:tc>
          <w:tcPr>
            <w:tcW w:w="2830" w:type="dxa"/>
            <w:gridSpan w:val="2"/>
            <w:vAlign w:val="center"/>
          </w:tcPr>
          <w:p w14:paraId="6C9AE02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Not applicable</w:t>
            </w:r>
          </w:p>
        </w:tc>
        <w:tc>
          <w:tcPr>
            <w:tcW w:w="1415" w:type="dxa"/>
            <w:vAlign w:val="center"/>
          </w:tcPr>
          <w:p w14:paraId="0C95288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14:paraId="5140BB7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30" w:type="dxa"/>
            <w:gridSpan w:val="2"/>
            <w:vAlign w:val="center"/>
          </w:tcPr>
          <w:p w14:paraId="3B64270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Not applicable</w:t>
            </w:r>
          </w:p>
        </w:tc>
        <w:tc>
          <w:tcPr>
            <w:tcW w:w="1439" w:type="dxa"/>
            <w:vAlign w:val="center"/>
          </w:tcPr>
          <w:p w14:paraId="0C3957B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75</w:t>
            </w:r>
            <w:r w:rsidRPr="001C1344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FC09A3" w:rsidRPr="0040604A" w14:paraId="215ADDF9" w14:textId="77777777" w:rsidTr="00620E66">
        <w:trPr>
          <w:trHeight w:val="89"/>
        </w:trPr>
        <w:tc>
          <w:tcPr>
            <w:tcW w:w="1719" w:type="dxa"/>
            <w:vAlign w:val="center"/>
          </w:tcPr>
          <w:p w14:paraId="42CA8FC2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 xml:space="preserve">Default fare </w:t>
            </w:r>
          </w:p>
        </w:tc>
        <w:tc>
          <w:tcPr>
            <w:tcW w:w="1415" w:type="dxa"/>
            <w:vAlign w:val="center"/>
          </w:tcPr>
          <w:p w14:paraId="6FF9CC0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</w:t>
            </w: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415" w:type="dxa"/>
            <w:vAlign w:val="center"/>
          </w:tcPr>
          <w:p w14:paraId="5D16395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5" w:type="dxa"/>
            <w:vAlign w:val="center"/>
          </w:tcPr>
          <w:p w14:paraId="38A262A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</w:t>
            </w: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5" w:type="dxa"/>
            <w:vAlign w:val="center"/>
          </w:tcPr>
          <w:p w14:paraId="48AF3BF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5" w:type="dxa"/>
            <w:vAlign w:val="center"/>
          </w:tcPr>
          <w:p w14:paraId="059B6AE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</w:t>
            </w: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5" w:type="dxa"/>
            <w:vAlign w:val="center"/>
          </w:tcPr>
          <w:p w14:paraId="3660543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5" w:type="dxa"/>
            <w:vAlign w:val="center"/>
          </w:tcPr>
          <w:p w14:paraId="288C96D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</w:t>
            </w: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5" w:type="dxa"/>
            <w:vAlign w:val="center"/>
          </w:tcPr>
          <w:p w14:paraId="348327B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39" w:type="dxa"/>
            <w:vAlign w:val="center"/>
          </w:tcPr>
          <w:p w14:paraId="26979C7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EF7974">
              <w:rPr>
                <w:rFonts w:ascii="Times New Roman" w:hAnsi="Times New Roman"/>
                <w:color w:val="000000"/>
              </w:rPr>
              <w:t>2.75%</w:t>
            </w:r>
          </w:p>
        </w:tc>
      </w:tr>
    </w:tbl>
    <w:p w14:paraId="5B6F3932" w14:textId="77777777" w:rsidR="0029443E" w:rsidRDefault="0029443E" w:rsidP="00FC09A3"/>
    <w:p w14:paraId="6642A184" w14:textId="77777777" w:rsidR="0029443E" w:rsidRDefault="0029443E" w:rsidP="00FC09A3"/>
    <w:p w14:paraId="4C0BA51E" w14:textId="5120E7BF" w:rsidR="0029443E" w:rsidRDefault="0029443E" w:rsidP="002944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B - </w:t>
      </w:r>
      <w:r w:rsidRPr="00670754">
        <w:rPr>
          <w:rFonts w:ascii="Arial" w:hAnsi="Arial" w:cs="Arial"/>
          <w:b/>
          <w:bCs/>
        </w:rPr>
        <w:t>Fare caps for MyWay+ Smart Card</w:t>
      </w:r>
      <w:r>
        <w:rPr>
          <w:rFonts w:ascii="Arial" w:hAnsi="Arial" w:cs="Arial"/>
          <w:b/>
          <w:bCs/>
        </w:rPr>
        <w:t>, MyWay+ Pass</w:t>
      </w:r>
      <w:r w:rsidRPr="00670754">
        <w:rPr>
          <w:rFonts w:ascii="Arial" w:hAnsi="Arial" w:cs="Arial"/>
          <w:b/>
          <w:bCs/>
        </w:rPr>
        <w:t xml:space="preserve"> and Approved payment device fares</w:t>
      </w:r>
      <w:r>
        <w:rPr>
          <w:rFonts w:ascii="Arial" w:hAnsi="Arial" w:cs="Arial"/>
          <w:b/>
          <w:bCs/>
        </w:rPr>
        <w:t xml:space="preserve"> in Part A</w:t>
      </w:r>
    </w:p>
    <w:p w14:paraId="6F5E6818" w14:textId="77777777" w:rsidR="0029443E" w:rsidRPr="00FC09A3" w:rsidRDefault="0029443E" w:rsidP="00FC09A3"/>
    <w:p w14:paraId="1F22B85A" w14:textId="77777777" w:rsidR="0029443E" w:rsidRPr="00FC09A3" w:rsidRDefault="0029443E" w:rsidP="00FC09A3"/>
    <w:tbl>
      <w:tblPr>
        <w:tblStyle w:val="TableGrid1"/>
        <w:tblW w:w="14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1408"/>
        <w:gridCol w:w="1410"/>
        <w:gridCol w:w="1409"/>
        <w:gridCol w:w="1410"/>
        <w:gridCol w:w="1409"/>
        <w:gridCol w:w="1410"/>
        <w:gridCol w:w="1409"/>
        <w:gridCol w:w="1410"/>
        <w:gridCol w:w="1433"/>
      </w:tblGrid>
      <w:tr w:rsidR="00FC09A3" w:rsidRPr="0040604A" w14:paraId="5949FD40" w14:textId="77777777" w:rsidTr="00620E66">
        <w:trPr>
          <w:trHeight w:val="709"/>
        </w:trPr>
        <w:tc>
          <w:tcPr>
            <w:tcW w:w="1770" w:type="dxa"/>
            <w:vMerge w:val="restart"/>
          </w:tcPr>
          <w:p w14:paraId="6C9507E0" w14:textId="77777777" w:rsidR="00FC09A3" w:rsidRPr="0040604A" w:rsidRDefault="00FC09A3" w:rsidP="00620E66"/>
        </w:tc>
        <w:tc>
          <w:tcPr>
            <w:tcW w:w="2818" w:type="dxa"/>
            <w:gridSpan w:val="2"/>
          </w:tcPr>
          <w:p w14:paraId="2C5C164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Standard </w:t>
            </w:r>
            <w:r w:rsidRPr="001C1344">
              <w:rPr>
                <w:rFonts w:ascii="Times New Roman" w:hAnsi="Times New Roman"/>
                <w:b/>
                <w:bCs/>
              </w:rPr>
              <w:t>Fare or Cap</w:t>
            </w:r>
          </w:p>
        </w:tc>
        <w:tc>
          <w:tcPr>
            <w:tcW w:w="2819" w:type="dxa"/>
            <w:gridSpan w:val="2"/>
          </w:tcPr>
          <w:p w14:paraId="63CFB66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819" w:type="dxa"/>
            <w:gridSpan w:val="2"/>
          </w:tcPr>
          <w:p w14:paraId="3294622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 Student Fare</w:t>
            </w:r>
          </w:p>
        </w:tc>
        <w:tc>
          <w:tcPr>
            <w:tcW w:w="2819" w:type="dxa"/>
            <w:gridSpan w:val="2"/>
          </w:tcPr>
          <w:p w14:paraId="0185835A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Tertiary Student Fare</w:t>
            </w:r>
          </w:p>
        </w:tc>
        <w:tc>
          <w:tcPr>
            <w:tcW w:w="1433" w:type="dxa"/>
          </w:tcPr>
          <w:p w14:paraId="7A0CD4BB" w14:textId="77777777" w:rsidR="00FC09A3" w:rsidRPr="0040604A" w:rsidRDefault="00FC09A3" w:rsidP="00620E66">
            <w:pPr>
              <w:jc w:val="center"/>
            </w:pPr>
          </w:p>
        </w:tc>
      </w:tr>
      <w:tr w:rsidR="00FC09A3" w:rsidRPr="0040604A" w14:paraId="596BB801" w14:textId="77777777" w:rsidTr="00620E66">
        <w:trPr>
          <w:trHeight w:val="183"/>
        </w:trPr>
        <w:tc>
          <w:tcPr>
            <w:tcW w:w="1770" w:type="dxa"/>
            <w:vMerge/>
          </w:tcPr>
          <w:p w14:paraId="06855440" w14:textId="77777777" w:rsidR="00FC09A3" w:rsidRPr="0040604A" w:rsidRDefault="00FC09A3" w:rsidP="00620E66"/>
        </w:tc>
        <w:tc>
          <w:tcPr>
            <w:tcW w:w="1408" w:type="dxa"/>
            <w:vAlign w:val="center"/>
          </w:tcPr>
          <w:p w14:paraId="43FDC01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78C0007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78DE863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0BD07DD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58789D6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263BAC1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5A46049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4B2ACF9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33" w:type="dxa"/>
            <w:vAlign w:val="center"/>
          </w:tcPr>
          <w:p w14:paraId="446B0A0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FC09A3" w:rsidRPr="0040604A" w14:paraId="42406065" w14:textId="77777777" w:rsidTr="00620E66">
        <w:trPr>
          <w:trHeight w:val="709"/>
        </w:trPr>
        <w:tc>
          <w:tcPr>
            <w:tcW w:w="1770" w:type="dxa"/>
          </w:tcPr>
          <w:p w14:paraId="147EF0EE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Weekday daily cap</w:t>
            </w:r>
          </w:p>
        </w:tc>
        <w:tc>
          <w:tcPr>
            <w:tcW w:w="1408" w:type="dxa"/>
            <w:vAlign w:val="center"/>
          </w:tcPr>
          <w:p w14:paraId="64EDA9E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$9.</w:t>
            </w: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410" w:type="dxa"/>
            <w:vAlign w:val="center"/>
          </w:tcPr>
          <w:p w14:paraId="0C9B31A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09" w:type="dxa"/>
            <w:vAlign w:val="center"/>
          </w:tcPr>
          <w:p w14:paraId="38CB778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410" w:type="dxa"/>
            <w:vAlign w:val="center"/>
          </w:tcPr>
          <w:p w14:paraId="70B55CE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409" w:type="dxa"/>
            <w:vAlign w:val="center"/>
          </w:tcPr>
          <w:p w14:paraId="78BA8C4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410" w:type="dxa"/>
            <w:vAlign w:val="center"/>
          </w:tcPr>
          <w:p w14:paraId="27A4184C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409" w:type="dxa"/>
            <w:vAlign w:val="center"/>
          </w:tcPr>
          <w:p w14:paraId="5D44DE5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410" w:type="dxa"/>
            <w:vAlign w:val="center"/>
          </w:tcPr>
          <w:p w14:paraId="3613B64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433" w:type="dxa"/>
            <w:vAlign w:val="center"/>
          </w:tcPr>
          <w:p w14:paraId="2D44C4D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  <w:lang w:eastAsia="en-AU"/>
              </w:rPr>
            </w:pPr>
            <w:r w:rsidRPr="0053047A">
              <w:rPr>
                <w:rFonts w:ascii="Times New Roman" w:hAnsi="Times New Roman"/>
                <w:color w:val="000000"/>
                <w:lang w:eastAsia="en-AU"/>
              </w:rPr>
              <w:t>2.75%</w:t>
            </w:r>
          </w:p>
        </w:tc>
      </w:tr>
      <w:tr w:rsidR="00FC09A3" w:rsidRPr="0040604A" w14:paraId="6F602678" w14:textId="77777777" w:rsidTr="00620E66">
        <w:trPr>
          <w:trHeight w:val="689"/>
        </w:trPr>
        <w:tc>
          <w:tcPr>
            <w:tcW w:w="1770" w:type="dxa"/>
          </w:tcPr>
          <w:p w14:paraId="3ABED8EF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Weekend/public holiday daily cap</w:t>
            </w:r>
          </w:p>
        </w:tc>
        <w:tc>
          <w:tcPr>
            <w:tcW w:w="1408" w:type="dxa"/>
            <w:vAlign w:val="center"/>
          </w:tcPr>
          <w:p w14:paraId="4695254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$6.05</w:t>
            </w:r>
          </w:p>
        </w:tc>
        <w:tc>
          <w:tcPr>
            <w:tcW w:w="1410" w:type="dxa"/>
            <w:vAlign w:val="center"/>
          </w:tcPr>
          <w:p w14:paraId="62C440E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$6.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409" w:type="dxa"/>
            <w:vAlign w:val="center"/>
          </w:tcPr>
          <w:p w14:paraId="1DFAC08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410" w:type="dxa"/>
            <w:vAlign w:val="center"/>
          </w:tcPr>
          <w:p w14:paraId="37B8B00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09" w:type="dxa"/>
            <w:vAlign w:val="center"/>
          </w:tcPr>
          <w:p w14:paraId="4345736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410" w:type="dxa"/>
            <w:vAlign w:val="center"/>
          </w:tcPr>
          <w:p w14:paraId="5A690A1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09" w:type="dxa"/>
            <w:vAlign w:val="center"/>
          </w:tcPr>
          <w:p w14:paraId="0AB5D04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410" w:type="dxa"/>
            <w:vAlign w:val="center"/>
          </w:tcPr>
          <w:p w14:paraId="7C031FA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33" w:type="dxa"/>
            <w:vAlign w:val="center"/>
          </w:tcPr>
          <w:p w14:paraId="1EE26C4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  <w:lang w:eastAsia="en-AU"/>
              </w:rPr>
            </w:pPr>
            <w:r w:rsidRPr="00EF7974">
              <w:rPr>
                <w:rFonts w:ascii="Times New Roman" w:hAnsi="Times New Roman"/>
                <w:color w:val="000000"/>
                <w:lang w:eastAsia="en-AU"/>
              </w:rPr>
              <w:t>2.75%</w:t>
            </w:r>
          </w:p>
        </w:tc>
      </w:tr>
      <w:tr w:rsidR="00FC09A3" w:rsidRPr="0040604A" w14:paraId="3FE78CA9" w14:textId="77777777" w:rsidTr="00620E66">
        <w:trPr>
          <w:trHeight w:val="709"/>
        </w:trPr>
        <w:tc>
          <w:tcPr>
            <w:tcW w:w="1770" w:type="dxa"/>
            <w:vAlign w:val="center"/>
          </w:tcPr>
          <w:p w14:paraId="56B0CB85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lastRenderedPageBreak/>
              <w:t>Default after cap fare</w:t>
            </w:r>
            <w:r>
              <w:rPr>
                <w:rFonts w:ascii="Times New Roman" w:hAnsi="Times New Roman"/>
                <w:color w:val="000000"/>
                <w:lang w:eastAsia="en-AU"/>
              </w:rPr>
              <w:t xml:space="preserve"> for failure to tag on or off</w:t>
            </w:r>
          </w:p>
        </w:tc>
        <w:tc>
          <w:tcPr>
            <w:tcW w:w="2818" w:type="dxa"/>
            <w:gridSpan w:val="2"/>
            <w:vAlign w:val="center"/>
          </w:tcPr>
          <w:p w14:paraId="577C85F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$1.83</w:t>
            </w:r>
          </w:p>
        </w:tc>
        <w:tc>
          <w:tcPr>
            <w:tcW w:w="2819" w:type="dxa"/>
            <w:gridSpan w:val="2"/>
            <w:vAlign w:val="center"/>
          </w:tcPr>
          <w:p w14:paraId="5F2BDD4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$1.8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09" w:type="dxa"/>
            <w:vAlign w:val="center"/>
          </w:tcPr>
          <w:p w14:paraId="30D4950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410" w:type="dxa"/>
            <w:vAlign w:val="center"/>
          </w:tcPr>
          <w:p w14:paraId="66661C23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09" w:type="dxa"/>
            <w:vAlign w:val="center"/>
          </w:tcPr>
          <w:p w14:paraId="7652487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410" w:type="dxa"/>
            <w:vAlign w:val="center"/>
          </w:tcPr>
          <w:p w14:paraId="4DB2468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33" w:type="dxa"/>
            <w:vAlign w:val="center"/>
          </w:tcPr>
          <w:p w14:paraId="4B48B8D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75</w:t>
            </w:r>
            <w:r w:rsidRPr="001C1344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FC09A3" w:rsidRPr="0040604A" w14:paraId="58EC12FE" w14:textId="77777777" w:rsidTr="00620E66">
        <w:trPr>
          <w:trHeight w:val="89"/>
        </w:trPr>
        <w:tc>
          <w:tcPr>
            <w:tcW w:w="1770" w:type="dxa"/>
            <w:vAlign w:val="center"/>
          </w:tcPr>
          <w:p w14:paraId="310BFB99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Monthly journey cap</w:t>
            </w:r>
          </w:p>
        </w:tc>
        <w:tc>
          <w:tcPr>
            <w:tcW w:w="2818" w:type="dxa"/>
            <w:gridSpan w:val="2"/>
            <w:vAlign w:val="center"/>
          </w:tcPr>
          <w:p w14:paraId="33BFEC0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2819" w:type="dxa"/>
            <w:gridSpan w:val="2"/>
            <w:vAlign w:val="center"/>
          </w:tcPr>
          <w:p w14:paraId="64CDD0E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2819" w:type="dxa"/>
            <w:gridSpan w:val="2"/>
            <w:vAlign w:val="center"/>
          </w:tcPr>
          <w:p w14:paraId="46D344D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1C1344">
              <w:rPr>
                <w:rFonts w:ascii="Times New Roman" w:hAnsi="Times New Roman"/>
                <w:color w:val="000000"/>
              </w:rPr>
              <w:t>0 paid journeys</w:t>
            </w:r>
          </w:p>
        </w:tc>
        <w:tc>
          <w:tcPr>
            <w:tcW w:w="2819" w:type="dxa"/>
            <w:gridSpan w:val="2"/>
            <w:vAlign w:val="center"/>
          </w:tcPr>
          <w:p w14:paraId="3205DF8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1433" w:type="dxa"/>
          </w:tcPr>
          <w:p w14:paraId="265D009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37AEA07" w14:textId="77777777" w:rsidR="0029443E" w:rsidRPr="00FC09A3" w:rsidRDefault="0029443E" w:rsidP="00FC09A3"/>
    <w:p w14:paraId="3D8D406C" w14:textId="77777777" w:rsidR="0029443E" w:rsidRPr="00FC09A3" w:rsidRDefault="0029443E" w:rsidP="00FC09A3"/>
    <w:p w14:paraId="5D026B0A" w14:textId="70FAC347" w:rsidR="0029443E" w:rsidRDefault="0029443E" w:rsidP="00FC09A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PART C - </w:t>
      </w:r>
      <w:r w:rsidRPr="00D540E2">
        <w:rPr>
          <w:rFonts w:ascii="Arial" w:hAnsi="Arial" w:cs="Arial"/>
          <w:b/>
          <w:bCs/>
        </w:rPr>
        <w:t xml:space="preserve">MyWay+ </w:t>
      </w:r>
      <w:r>
        <w:rPr>
          <w:rFonts w:ascii="Arial" w:hAnsi="Arial" w:cs="Arial"/>
          <w:b/>
          <w:bCs/>
        </w:rPr>
        <w:t>S</w:t>
      </w:r>
      <w:r w:rsidRPr="00D540E2">
        <w:rPr>
          <w:rFonts w:ascii="Arial" w:hAnsi="Arial" w:cs="Arial"/>
          <w:b/>
          <w:bCs/>
        </w:rPr>
        <w:t xml:space="preserve">ingle </w:t>
      </w:r>
      <w:r>
        <w:rPr>
          <w:rFonts w:ascii="Arial" w:hAnsi="Arial" w:cs="Arial"/>
          <w:b/>
          <w:bCs/>
        </w:rPr>
        <w:t xml:space="preserve">use and </w:t>
      </w:r>
      <w:r w:rsidRPr="00D540E2">
        <w:rPr>
          <w:rFonts w:ascii="Arial" w:hAnsi="Arial" w:cs="Arial"/>
          <w:b/>
          <w:bCs/>
        </w:rPr>
        <w:t>daily trip fares</w:t>
      </w:r>
    </w:p>
    <w:p w14:paraId="1455BC23" w14:textId="77777777" w:rsidR="0029443E" w:rsidRDefault="0029443E" w:rsidP="0029443E"/>
    <w:p w14:paraId="46B5AF7F" w14:textId="55823EB5" w:rsidR="00FC09A3" w:rsidRDefault="00FC09A3" w:rsidP="0029443E"/>
    <w:tbl>
      <w:tblPr>
        <w:tblStyle w:val="TableGrid1"/>
        <w:tblW w:w="14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1408"/>
        <w:gridCol w:w="1410"/>
        <w:gridCol w:w="1409"/>
        <w:gridCol w:w="1410"/>
        <w:gridCol w:w="1409"/>
        <w:gridCol w:w="1410"/>
        <w:gridCol w:w="1409"/>
        <w:gridCol w:w="1410"/>
        <w:gridCol w:w="1433"/>
      </w:tblGrid>
      <w:tr w:rsidR="00FC09A3" w:rsidRPr="0040604A" w14:paraId="16BDB325" w14:textId="77777777" w:rsidTr="00620E66">
        <w:trPr>
          <w:trHeight w:val="709"/>
        </w:trPr>
        <w:tc>
          <w:tcPr>
            <w:tcW w:w="1770" w:type="dxa"/>
            <w:vMerge w:val="restart"/>
          </w:tcPr>
          <w:p w14:paraId="3DBA3A08" w14:textId="77777777" w:rsidR="00FC09A3" w:rsidRPr="0040604A" w:rsidRDefault="00FC09A3" w:rsidP="00620E66"/>
        </w:tc>
        <w:tc>
          <w:tcPr>
            <w:tcW w:w="2818" w:type="dxa"/>
            <w:gridSpan w:val="2"/>
          </w:tcPr>
          <w:p w14:paraId="2C511348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Standard </w:t>
            </w:r>
            <w:r w:rsidRPr="001C1344">
              <w:rPr>
                <w:rFonts w:ascii="Times New Roman" w:hAnsi="Times New Roman"/>
                <w:b/>
                <w:bCs/>
              </w:rPr>
              <w:t>Fare or Cap</w:t>
            </w:r>
          </w:p>
        </w:tc>
        <w:tc>
          <w:tcPr>
            <w:tcW w:w="2819" w:type="dxa"/>
            <w:gridSpan w:val="2"/>
          </w:tcPr>
          <w:p w14:paraId="3D5D8AD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819" w:type="dxa"/>
            <w:gridSpan w:val="2"/>
          </w:tcPr>
          <w:p w14:paraId="48A46A91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 Student Fare</w:t>
            </w:r>
          </w:p>
        </w:tc>
        <w:tc>
          <w:tcPr>
            <w:tcW w:w="2819" w:type="dxa"/>
            <w:gridSpan w:val="2"/>
          </w:tcPr>
          <w:p w14:paraId="66991E4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Tertiary Student Fare</w:t>
            </w:r>
          </w:p>
        </w:tc>
        <w:tc>
          <w:tcPr>
            <w:tcW w:w="1433" w:type="dxa"/>
          </w:tcPr>
          <w:p w14:paraId="1B2C8A2D" w14:textId="77777777" w:rsidR="00FC09A3" w:rsidRPr="0040604A" w:rsidRDefault="00FC09A3" w:rsidP="00620E66">
            <w:pPr>
              <w:jc w:val="center"/>
            </w:pPr>
          </w:p>
        </w:tc>
      </w:tr>
      <w:tr w:rsidR="00FC09A3" w:rsidRPr="0040604A" w14:paraId="79E499F2" w14:textId="77777777" w:rsidTr="00620E66">
        <w:trPr>
          <w:trHeight w:val="183"/>
        </w:trPr>
        <w:tc>
          <w:tcPr>
            <w:tcW w:w="1770" w:type="dxa"/>
            <w:vMerge/>
          </w:tcPr>
          <w:p w14:paraId="068E6145" w14:textId="77777777" w:rsidR="00FC09A3" w:rsidRPr="0040604A" w:rsidRDefault="00FC09A3" w:rsidP="00620E66"/>
        </w:tc>
        <w:tc>
          <w:tcPr>
            <w:tcW w:w="1408" w:type="dxa"/>
            <w:vAlign w:val="center"/>
          </w:tcPr>
          <w:p w14:paraId="1F364AD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00E1EB7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76138B3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66D0023C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54F2B3F4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7DEE70A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09" w:type="dxa"/>
            <w:vAlign w:val="center"/>
          </w:tcPr>
          <w:p w14:paraId="3F64AEC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1410" w:type="dxa"/>
            <w:vAlign w:val="center"/>
          </w:tcPr>
          <w:p w14:paraId="1491E8BB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0</w:t>
            </w: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 xml:space="preserve"> January 202</w:t>
            </w:r>
            <w:r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6</w:t>
            </w:r>
          </w:p>
        </w:tc>
        <w:tc>
          <w:tcPr>
            <w:tcW w:w="1433" w:type="dxa"/>
            <w:vAlign w:val="center"/>
          </w:tcPr>
          <w:p w14:paraId="3C99F8A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FC09A3" w:rsidRPr="0040604A" w14:paraId="169DE5C0" w14:textId="77777777" w:rsidTr="00620E66">
        <w:trPr>
          <w:trHeight w:val="709"/>
        </w:trPr>
        <w:tc>
          <w:tcPr>
            <w:tcW w:w="1770" w:type="dxa"/>
          </w:tcPr>
          <w:p w14:paraId="51F2C81B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Single trip</w:t>
            </w:r>
          </w:p>
        </w:tc>
        <w:tc>
          <w:tcPr>
            <w:tcW w:w="1408" w:type="dxa"/>
            <w:vAlign w:val="center"/>
          </w:tcPr>
          <w:p w14:paraId="69F3A2E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$5.15</w:t>
            </w:r>
          </w:p>
        </w:tc>
        <w:tc>
          <w:tcPr>
            <w:tcW w:w="1410" w:type="dxa"/>
            <w:vAlign w:val="center"/>
          </w:tcPr>
          <w:p w14:paraId="42BE464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$5.</w:t>
            </w: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409" w:type="dxa"/>
            <w:vAlign w:val="center"/>
          </w:tcPr>
          <w:p w14:paraId="1899CB2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$2.58</w:t>
            </w:r>
          </w:p>
        </w:tc>
        <w:tc>
          <w:tcPr>
            <w:tcW w:w="1410" w:type="dxa"/>
            <w:vAlign w:val="center"/>
          </w:tcPr>
          <w:p w14:paraId="5F13A96D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</w:t>
            </w:r>
            <w:r>
              <w:rPr>
                <w:rFonts w:ascii="Times New Roman" w:hAnsi="Times New Roman"/>
                <w:color w:val="000000"/>
                <w:lang w:eastAsia="en-AU"/>
              </w:rPr>
              <w:t>65</w:t>
            </w:r>
          </w:p>
        </w:tc>
        <w:tc>
          <w:tcPr>
            <w:tcW w:w="1409" w:type="dxa"/>
            <w:vAlign w:val="center"/>
          </w:tcPr>
          <w:p w14:paraId="1057AA05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$2.58</w:t>
            </w:r>
          </w:p>
        </w:tc>
        <w:tc>
          <w:tcPr>
            <w:tcW w:w="1410" w:type="dxa"/>
            <w:vAlign w:val="center"/>
          </w:tcPr>
          <w:p w14:paraId="0E22391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</w:t>
            </w:r>
            <w:r>
              <w:rPr>
                <w:rFonts w:ascii="Times New Roman" w:hAnsi="Times New Roman"/>
                <w:color w:val="000000"/>
                <w:lang w:eastAsia="en-AU"/>
              </w:rPr>
              <w:t>65</w:t>
            </w:r>
          </w:p>
        </w:tc>
        <w:tc>
          <w:tcPr>
            <w:tcW w:w="1409" w:type="dxa"/>
            <w:vAlign w:val="center"/>
          </w:tcPr>
          <w:p w14:paraId="51F5E95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$2.58</w:t>
            </w:r>
          </w:p>
        </w:tc>
        <w:tc>
          <w:tcPr>
            <w:tcW w:w="1410" w:type="dxa"/>
            <w:vAlign w:val="center"/>
          </w:tcPr>
          <w:p w14:paraId="6204DC2F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</w:t>
            </w:r>
            <w:r>
              <w:rPr>
                <w:rFonts w:ascii="Times New Roman" w:hAnsi="Times New Roman"/>
                <w:color w:val="000000"/>
                <w:lang w:eastAsia="en-AU"/>
              </w:rPr>
              <w:t>65</w:t>
            </w:r>
          </w:p>
        </w:tc>
        <w:tc>
          <w:tcPr>
            <w:tcW w:w="1433" w:type="dxa"/>
            <w:vAlign w:val="center"/>
          </w:tcPr>
          <w:p w14:paraId="6F7FD867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  <w:lang w:eastAsia="en-AU"/>
              </w:rPr>
            </w:pPr>
            <w:r w:rsidRPr="00EF1F3E">
              <w:rPr>
                <w:rFonts w:ascii="Times New Roman" w:hAnsi="Times New Roman"/>
                <w:color w:val="000000"/>
                <w:lang w:eastAsia="en-AU"/>
              </w:rPr>
              <w:t>2.75%</w:t>
            </w:r>
          </w:p>
        </w:tc>
      </w:tr>
      <w:tr w:rsidR="00FC09A3" w:rsidRPr="0040604A" w14:paraId="4155AB69" w14:textId="77777777" w:rsidTr="00620E66">
        <w:trPr>
          <w:trHeight w:val="689"/>
        </w:trPr>
        <w:tc>
          <w:tcPr>
            <w:tcW w:w="1770" w:type="dxa"/>
          </w:tcPr>
          <w:p w14:paraId="4283B3D1" w14:textId="77777777" w:rsidR="00FC09A3" w:rsidRPr="001C1344" w:rsidRDefault="00FC09A3" w:rsidP="00620E66">
            <w:pPr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Daily ticket</w:t>
            </w:r>
          </w:p>
        </w:tc>
        <w:tc>
          <w:tcPr>
            <w:tcW w:w="1408" w:type="dxa"/>
            <w:vAlign w:val="center"/>
          </w:tcPr>
          <w:p w14:paraId="5196343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$9.</w:t>
            </w: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410" w:type="dxa"/>
            <w:vAlign w:val="center"/>
          </w:tcPr>
          <w:p w14:paraId="0A5CF86C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1C134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09" w:type="dxa"/>
            <w:vAlign w:val="center"/>
          </w:tcPr>
          <w:p w14:paraId="2BB2F8B0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$4.94</w:t>
            </w:r>
          </w:p>
        </w:tc>
        <w:tc>
          <w:tcPr>
            <w:tcW w:w="1410" w:type="dxa"/>
            <w:vAlign w:val="center"/>
          </w:tcPr>
          <w:p w14:paraId="0BFB4D4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</w:t>
            </w:r>
            <w:r>
              <w:rPr>
                <w:rFonts w:ascii="Times New Roman" w:hAnsi="Times New Roman"/>
                <w:color w:val="000000"/>
                <w:lang w:eastAsia="en-AU"/>
              </w:rPr>
              <w:t>5.08</w:t>
            </w:r>
          </w:p>
        </w:tc>
        <w:tc>
          <w:tcPr>
            <w:tcW w:w="1409" w:type="dxa"/>
            <w:vAlign w:val="center"/>
          </w:tcPr>
          <w:p w14:paraId="42D098B9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$4.94</w:t>
            </w:r>
          </w:p>
        </w:tc>
        <w:tc>
          <w:tcPr>
            <w:tcW w:w="1410" w:type="dxa"/>
            <w:vAlign w:val="center"/>
          </w:tcPr>
          <w:p w14:paraId="577FDBAE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</w:t>
            </w:r>
            <w:r>
              <w:rPr>
                <w:rFonts w:ascii="Times New Roman" w:hAnsi="Times New Roman"/>
                <w:color w:val="000000"/>
                <w:lang w:eastAsia="en-AU"/>
              </w:rPr>
              <w:t>5.08</w:t>
            </w:r>
          </w:p>
        </w:tc>
        <w:tc>
          <w:tcPr>
            <w:tcW w:w="1409" w:type="dxa"/>
            <w:vAlign w:val="center"/>
          </w:tcPr>
          <w:p w14:paraId="5F1B8052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$4.94</w:t>
            </w:r>
          </w:p>
        </w:tc>
        <w:tc>
          <w:tcPr>
            <w:tcW w:w="1410" w:type="dxa"/>
            <w:vAlign w:val="center"/>
          </w:tcPr>
          <w:p w14:paraId="3D16A906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</w:t>
            </w:r>
            <w:r>
              <w:rPr>
                <w:rFonts w:ascii="Times New Roman" w:hAnsi="Times New Roman"/>
                <w:color w:val="000000"/>
                <w:lang w:eastAsia="en-AU"/>
              </w:rPr>
              <w:t>5.08</w:t>
            </w:r>
          </w:p>
        </w:tc>
        <w:tc>
          <w:tcPr>
            <w:tcW w:w="1433" w:type="dxa"/>
            <w:vAlign w:val="center"/>
          </w:tcPr>
          <w:p w14:paraId="295F1FDA" w14:textId="77777777" w:rsidR="00FC09A3" w:rsidRPr="001C1344" w:rsidRDefault="00FC09A3" w:rsidP="00620E66">
            <w:pPr>
              <w:jc w:val="center"/>
              <w:rPr>
                <w:rFonts w:ascii="Times New Roman" w:hAnsi="Times New Roman"/>
                <w:color w:val="000000"/>
                <w:lang w:eastAsia="en-AU"/>
              </w:rPr>
            </w:pPr>
            <w:r w:rsidRPr="00EF1F3E">
              <w:rPr>
                <w:rFonts w:ascii="Times New Roman" w:hAnsi="Times New Roman"/>
                <w:color w:val="000000"/>
                <w:lang w:eastAsia="en-AU"/>
              </w:rPr>
              <w:t>2.75%</w:t>
            </w:r>
          </w:p>
        </w:tc>
      </w:tr>
    </w:tbl>
    <w:p w14:paraId="3ED2F2D2" w14:textId="77777777" w:rsidR="00FC09A3" w:rsidRDefault="00FC09A3" w:rsidP="0029443E"/>
    <w:p w14:paraId="7476DE16" w14:textId="77777777" w:rsidR="00FC09A3" w:rsidRPr="0029443E" w:rsidRDefault="00FC09A3" w:rsidP="0029443E"/>
    <w:sectPr w:rsidR="00FC09A3" w:rsidRPr="0029443E" w:rsidSect="00FC09A3">
      <w:footerReference w:type="default" r:id="rId14"/>
      <w:pgSz w:w="16839" w:h="11907" w:orient="landscape" w:code="9"/>
      <w:pgMar w:top="964" w:right="851" w:bottom="851" w:left="85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F1C2" w14:textId="77777777" w:rsidR="00CC41FF" w:rsidRDefault="00CC41FF" w:rsidP="00C17FAB">
      <w:r>
        <w:separator/>
      </w:r>
    </w:p>
  </w:endnote>
  <w:endnote w:type="continuationSeparator" w:id="0">
    <w:p w14:paraId="4576A2A7" w14:textId="77777777" w:rsidR="00CC41FF" w:rsidRDefault="00CC41F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DDB1" w14:textId="77777777" w:rsidR="001F3162" w:rsidRDefault="001F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DD3B" w14:textId="02095A6E" w:rsidR="001F3162" w:rsidRPr="001F3162" w:rsidRDefault="001F3162" w:rsidP="001F3162">
    <w:pPr>
      <w:pStyle w:val="Footer"/>
      <w:jc w:val="center"/>
      <w:rPr>
        <w:rFonts w:cs="Arial"/>
        <w:sz w:val="14"/>
      </w:rPr>
    </w:pPr>
    <w:r w:rsidRPr="001F31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516B" w14:textId="77777777" w:rsidR="001F3162" w:rsidRDefault="001F31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7A46" w14:textId="3BDED84C" w:rsidR="00FC09A3" w:rsidRPr="001F3162" w:rsidRDefault="001F3162" w:rsidP="001F3162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1F3162">
      <w:rPr>
        <w:rFonts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00B1" w14:textId="77777777" w:rsidR="00CC41FF" w:rsidRDefault="00CC41FF" w:rsidP="00C17FAB">
      <w:r>
        <w:separator/>
      </w:r>
    </w:p>
  </w:footnote>
  <w:footnote w:type="continuationSeparator" w:id="0">
    <w:p w14:paraId="6B6C4657" w14:textId="77777777" w:rsidR="00CC41FF" w:rsidRDefault="00CC41F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8EE4" w14:textId="77777777" w:rsidR="001F3162" w:rsidRDefault="001F3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DDFD" w14:textId="77777777" w:rsidR="001F3162" w:rsidRDefault="001F3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B555" w14:textId="77777777" w:rsidR="001F3162" w:rsidRDefault="001F3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4615115">
    <w:abstractNumId w:val="2"/>
  </w:num>
  <w:num w:numId="2" w16cid:durableId="1559900013">
    <w:abstractNumId w:val="0"/>
  </w:num>
  <w:num w:numId="3" w16cid:durableId="1517498612">
    <w:abstractNumId w:val="3"/>
  </w:num>
  <w:num w:numId="4" w16cid:durableId="924612826">
    <w:abstractNumId w:val="6"/>
  </w:num>
  <w:num w:numId="5" w16cid:durableId="621037692">
    <w:abstractNumId w:val="7"/>
  </w:num>
  <w:num w:numId="6" w16cid:durableId="991566069">
    <w:abstractNumId w:val="1"/>
  </w:num>
  <w:num w:numId="7" w16cid:durableId="387998345">
    <w:abstractNumId w:val="4"/>
  </w:num>
  <w:num w:numId="8" w16cid:durableId="1937784614">
    <w:abstractNumId w:val="5"/>
  </w:num>
  <w:num w:numId="9" w16cid:durableId="93042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0324"/>
    <w:rsid w:val="000325B8"/>
    <w:rsid w:val="00067D18"/>
    <w:rsid w:val="00090305"/>
    <w:rsid w:val="00167F73"/>
    <w:rsid w:val="001F3162"/>
    <w:rsid w:val="0029443E"/>
    <w:rsid w:val="002D7C60"/>
    <w:rsid w:val="002E3AE0"/>
    <w:rsid w:val="003071E4"/>
    <w:rsid w:val="00315D7C"/>
    <w:rsid w:val="004351AA"/>
    <w:rsid w:val="005C565A"/>
    <w:rsid w:val="00615088"/>
    <w:rsid w:val="006B0991"/>
    <w:rsid w:val="006C6206"/>
    <w:rsid w:val="006E00DC"/>
    <w:rsid w:val="006F2517"/>
    <w:rsid w:val="007346AC"/>
    <w:rsid w:val="007643B3"/>
    <w:rsid w:val="00772A9D"/>
    <w:rsid w:val="00795317"/>
    <w:rsid w:val="00826E58"/>
    <w:rsid w:val="00873A14"/>
    <w:rsid w:val="008A7D07"/>
    <w:rsid w:val="00945DFC"/>
    <w:rsid w:val="009508A5"/>
    <w:rsid w:val="009924B5"/>
    <w:rsid w:val="00A14C48"/>
    <w:rsid w:val="00B5299B"/>
    <w:rsid w:val="00B82818"/>
    <w:rsid w:val="00C12876"/>
    <w:rsid w:val="00C17FAB"/>
    <w:rsid w:val="00C363DC"/>
    <w:rsid w:val="00C722D6"/>
    <w:rsid w:val="00CA5F6D"/>
    <w:rsid w:val="00CC41FF"/>
    <w:rsid w:val="00CD68D4"/>
    <w:rsid w:val="00CE599C"/>
    <w:rsid w:val="00CF699D"/>
    <w:rsid w:val="00D15323"/>
    <w:rsid w:val="00D573EB"/>
    <w:rsid w:val="00DA3B00"/>
    <w:rsid w:val="00DD6EAC"/>
    <w:rsid w:val="00DE0EE6"/>
    <w:rsid w:val="00E0346E"/>
    <w:rsid w:val="00ED558A"/>
    <w:rsid w:val="00F37AD3"/>
    <w:rsid w:val="00FB0197"/>
    <w:rsid w:val="00FB5A8A"/>
    <w:rsid w:val="00FC09A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AB124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rsid w:val="009924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24B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4B5"/>
    <w:rPr>
      <w:rFonts w:ascii="Calibri" w:hAnsi="Calibri"/>
      <w:lang w:eastAsia="en-US"/>
    </w:rPr>
  </w:style>
  <w:style w:type="paragraph" w:styleId="Revision">
    <w:name w:val="Revision"/>
    <w:hidden/>
    <w:uiPriority w:val="99"/>
    <w:semiHidden/>
    <w:rsid w:val="009924B5"/>
    <w:rPr>
      <w:sz w:val="24"/>
      <w:lang w:eastAsia="en-US"/>
    </w:rPr>
  </w:style>
  <w:style w:type="table" w:styleId="TableGrid">
    <w:name w:val="Table Grid"/>
    <w:basedOn w:val="TableNormal"/>
    <w:uiPriority w:val="59"/>
    <w:rsid w:val="006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565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A8A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A8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A58280139</value>
    </field>
    <field name="Objective-Title">
      <value order="0">Attachment B - Explanatory Statement - Public Transport Fare Determination</value>
    </field>
    <field name="Objective-Description">
      <value order="0"/>
    </field>
    <field name="Objective-CreationStamp">
      <value order="0">2025-11-13T00:43:02Z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2025-12-11T00:23:43Z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S2025/01389 - 2026 Public Transport Fares Determination - Minister Brief</value>
    </field>
    <field name="Objective-Parent">
      <value order="0">TCBS - MIN S2025/01389 - 2026 Public Transport Fares Determination - Minister Brief</value>
    </field>
    <field name="Objective-State">
      <value order="0">Being Edited</value>
    </field>
    <field name="Objective-VersionId">
      <value order="0">vA74572614</value>
    </field>
    <field name="Objective-Version">
      <value order="0">9.1</value>
    </field>
    <field name="Objective-VersionNumber">
      <value order="0">10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3028</Characters>
  <Application>Microsoft Office Word</Application>
  <DocSecurity>0</DocSecurity>
  <Lines>257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2025-12-11T23:54:00Z</dcterms:created>
  <dcterms:modified xsi:type="dcterms:W3CDTF">2025-12-11T23:54:00Z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2025-10-21T00:48:06Z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6cf84480-df31-416c-9cb9-5babfffe7f4b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A58280139</vt:lpwstr>
  </property>
  <property fmtid="{D5CDD505-2E9C-101B-9397-08002B2CF9AE}" pid="13" name="Objective-Title">
    <vt:lpwstr>Attachment B - Explanatory Statement - Public Transport Fare Determination</vt:lpwstr>
  </property>
  <property fmtid="{D5CDD505-2E9C-101B-9397-08002B2CF9AE}" pid="14" name="Objective-Description">
    <vt:lpwstr/>
  </property>
  <property fmtid="{D5CDD505-2E9C-101B-9397-08002B2CF9AE}" pid="15" name="Objective-CreationStamp">
    <vt:filetime>2025-11-13T00:43:02Z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2025-12-11T01:21:50Z</vt:filetime>
  </property>
  <property fmtid="{D5CDD505-2E9C-101B-9397-08002B2CF9AE}" pid="19" name="Objective-ModificationStamp">
    <vt:filetime>2025-12-11T01:21:50Z</vt:filetime>
  </property>
  <property fmtid="{D5CDD505-2E9C-101B-9397-08002B2CF9AE}" pid="20" name="Objective-Owner">
    <vt:lpwstr>Gregory Mirenda</vt:lpwstr>
  </property>
  <property fmtid="{D5CDD505-2E9C-101B-9397-08002B2CF9AE}" pid="21" name="Objective-Path">
    <vt:lpwstr>Whole of ACT Government:TCCS STRUCTURE - Content Restriction Hierarchy:01. Assembly, Cabinet, Ministerial:03. Ministerials:02. Active:Minister Brief :TCBS - MIN S2025/01389 - 2026 Public Transport Fares Determination - Minister Brief:</vt:lpwstr>
  </property>
  <property fmtid="{D5CDD505-2E9C-101B-9397-08002B2CF9AE}" pid="22" name="Objective-Parent">
    <vt:lpwstr>TCBS - MIN S2025/01389 - 2026 Public Transport Fares Determination - Minister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vA74572614</vt:lpwstr>
  </property>
  <property fmtid="{D5CDD505-2E9C-101B-9397-08002B2CF9AE}" pid="25" name="Objective-Version">
    <vt:lpwstr>10.0</vt:lpwstr>
  </property>
  <property fmtid="{D5CDD505-2E9C-101B-9397-08002B2CF9AE}" pid="26" name="Objective-VersionNumber">
    <vt:r8>10</vt:r8>
  </property>
  <property fmtid="{D5CDD505-2E9C-101B-9397-08002B2CF9AE}" pid="27" name="Objective-VersionComment">
    <vt:lpwstr/>
  </property>
  <property fmtid="{D5CDD505-2E9C-101B-9397-08002B2CF9AE}" pid="28" name="Objective-FileNumber">
    <vt:lpwstr>qA1171827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