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D1DC" w14:textId="77777777" w:rsidR="00EB66D2" w:rsidRPr="0027237A" w:rsidRDefault="00EB66D2" w:rsidP="0027237A">
      <w:pPr>
        <w:spacing w:before="120" w:after="0" w:line="240" w:lineRule="auto"/>
        <w:rPr>
          <w:rFonts w:ascii="Arial" w:eastAsia="Times New Roman" w:hAnsi="Arial" w:cs="Arial"/>
          <w:kern w:val="0"/>
          <w:szCs w:val="20"/>
          <w14:ligatures w14:val="none"/>
        </w:rPr>
      </w:pPr>
      <w:r w:rsidRPr="0027237A">
        <w:rPr>
          <w:rFonts w:ascii="Arial" w:eastAsia="Times New Roman" w:hAnsi="Arial" w:cs="Arial"/>
          <w:kern w:val="0"/>
          <w:szCs w:val="20"/>
          <w14:ligatures w14:val="none"/>
        </w:rPr>
        <w:t>Australian Capital Territory</w:t>
      </w:r>
    </w:p>
    <w:p w14:paraId="45856373" w14:textId="01ED8C64" w:rsidR="00EB66D2" w:rsidRPr="0027237A" w:rsidRDefault="00EB66D2" w:rsidP="0027237A">
      <w:pPr>
        <w:pStyle w:val="Billname"/>
        <w:spacing w:before="700"/>
        <w:rPr>
          <w:b w:val="0"/>
          <w:bCs/>
        </w:rPr>
      </w:pPr>
      <w:r w:rsidRPr="0027237A">
        <w:rPr>
          <w:b w:val="0"/>
          <w:bCs/>
        </w:rPr>
        <w:t>Land Tax (</w:t>
      </w:r>
      <w:r w:rsidR="00C22256" w:rsidRPr="0027237A">
        <w:rPr>
          <w:b w:val="0"/>
          <w:bCs/>
        </w:rPr>
        <w:t>Block 6 Section 25 Ainslie</w:t>
      </w:r>
      <w:r w:rsidRPr="0027237A">
        <w:rPr>
          <w:b w:val="0"/>
          <w:bCs/>
        </w:rPr>
        <w:t>) Exemption 2025</w:t>
      </w:r>
    </w:p>
    <w:p w14:paraId="59D0D1C2" w14:textId="16DCB90B" w:rsidR="00EB66D2" w:rsidRPr="0027237A" w:rsidRDefault="00EB66D2" w:rsidP="0027237A">
      <w:pPr>
        <w:spacing w:before="340" w:after="0" w:line="240" w:lineRule="auto"/>
        <w:rPr>
          <w:rFonts w:ascii="Arial" w:eastAsia="Times New Roman" w:hAnsi="Arial" w:cs="Arial"/>
          <w:b/>
          <w:bCs/>
          <w:kern w:val="0"/>
          <w:szCs w:val="20"/>
          <w14:ligatures w14:val="none"/>
        </w:rPr>
      </w:pPr>
      <w:r w:rsidRPr="0027237A">
        <w:rPr>
          <w:rFonts w:ascii="Arial" w:eastAsia="Times New Roman" w:hAnsi="Arial" w:cs="Arial"/>
          <w:b/>
          <w:bCs/>
          <w:kern w:val="0"/>
          <w:szCs w:val="20"/>
          <w14:ligatures w14:val="none"/>
        </w:rPr>
        <w:t>Notifiable Instrument NI 2025-</w:t>
      </w:r>
      <w:r w:rsidR="00E35971" w:rsidRPr="0027237A">
        <w:rPr>
          <w:rFonts w:ascii="Arial" w:eastAsia="Times New Roman" w:hAnsi="Arial" w:cs="Arial"/>
          <w:b/>
          <w:bCs/>
          <w:kern w:val="0"/>
          <w:szCs w:val="20"/>
          <w14:ligatures w14:val="none"/>
        </w:rPr>
        <w:t>692</w:t>
      </w:r>
    </w:p>
    <w:p w14:paraId="52127949" w14:textId="173B864D" w:rsidR="00EB66D2" w:rsidRPr="00EB66D2" w:rsidRDefault="00EB66D2" w:rsidP="0027237A">
      <w:pPr>
        <w:pStyle w:val="madeunder"/>
        <w:spacing w:before="300" w:after="0"/>
      </w:pPr>
      <w:r w:rsidRPr="00EB66D2">
        <w:t>made under th</w:t>
      </w:r>
      <w:r>
        <w:t>e</w:t>
      </w:r>
    </w:p>
    <w:p w14:paraId="55B37C8A" w14:textId="77777777" w:rsidR="00EB66D2" w:rsidRPr="0027237A" w:rsidRDefault="00EB66D2" w:rsidP="0027237A">
      <w:pPr>
        <w:pStyle w:val="CoverActName"/>
        <w:spacing w:before="320" w:after="0"/>
        <w:rPr>
          <w:rFonts w:cs="Arial"/>
          <w:sz w:val="20"/>
        </w:rPr>
      </w:pPr>
      <w:r w:rsidRPr="0027237A">
        <w:rPr>
          <w:rFonts w:cs="Arial"/>
          <w:i/>
          <w:iCs/>
          <w:sz w:val="20"/>
        </w:rPr>
        <w:t>Land Tax Act 2004</w:t>
      </w:r>
      <w:r w:rsidRPr="0027237A">
        <w:rPr>
          <w:rFonts w:cs="Arial"/>
          <w:sz w:val="20"/>
        </w:rPr>
        <w:t>, section 34(1) (Exemption from land tax)</w:t>
      </w:r>
    </w:p>
    <w:p w14:paraId="44E79AD5" w14:textId="77777777" w:rsidR="00EB66D2" w:rsidRPr="0027237A" w:rsidRDefault="00EB66D2" w:rsidP="0027237A">
      <w:pPr>
        <w:spacing w:before="360" w:after="0" w:line="240" w:lineRule="auto"/>
        <w:ind w:right="565"/>
        <w:rPr>
          <w:rFonts w:ascii="Arial" w:eastAsia="Times New Roman" w:hAnsi="Arial" w:cs="Arial"/>
          <w:b/>
          <w:bCs/>
          <w:kern w:val="0"/>
          <w:sz w:val="28"/>
          <w:szCs w:val="28"/>
          <w14:ligatures w14:val="none"/>
        </w:rPr>
      </w:pPr>
      <w:r w:rsidRPr="0027237A">
        <w:rPr>
          <w:rFonts w:ascii="Arial" w:eastAsia="Times New Roman" w:hAnsi="Arial" w:cs="Arial"/>
          <w:b/>
          <w:bCs/>
          <w:kern w:val="0"/>
          <w:sz w:val="28"/>
          <w:szCs w:val="28"/>
          <w14:ligatures w14:val="none"/>
        </w:rPr>
        <w:t>EXPLANATORY STATEMENT</w:t>
      </w:r>
    </w:p>
    <w:p w14:paraId="4F67CBD7" w14:textId="77777777" w:rsidR="0027237A" w:rsidRDefault="0027237A" w:rsidP="0027237A">
      <w:pPr>
        <w:pStyle w:val="N-line3"/>
        <w:pBdr>
          <w:bottom w:val="none" w:sz="0" w:space="0" w:color="auto"/>
        </w:pBdr>
      </w:pPr>
    </w:p>
    <w:p w14:paraId="5C03DA76" w14:textId="77777777" w:rsidR="0027237A" w:rsidRDefault="0027237A" w:rsidP="0027237A">
      <w:pPr>
        <w:pStyle w:val="N-line3"/>
        <w:pBdr>
          <w:top w:val="single" w:sz="12" w:space="1" w:color="auto"/>
          <w:bottom w:val="none" w:sz="0" w:space="0" w:color="auto"/>
        </w:pBdr>
      </w:pPr>
    </w:p>
    <w:p w14:paraId="196ED00E" w14:textId="3A9DB64F" w:rsidR="00EB66D2" w:rsidRPr="00EB66D2" w:rsidRDefault="00EB66D2" w:rsidP="00EB66D2">
      <w:pPr>
        <w:kinsoku w:val="0"/>
        <w:overflowPunct w:val="0"/>
        <w:autoSpaceDE w:val="0"/>
        <w:autoSpaceDN w:val="0"/>
        <w:adjustRightInd w:val="0"/>
        <w:spacing w:after="0" w:line="20" w:lineRule="exact"/>
        <w:ind w:left="73" w:right="-29"/>
        <w:rPr>
          <w:rFonts w:ascii="Arial" w:hAnsi="Arial" w:cs="Arial"/>
          <w:kern w:val="0"/>
          <w:sz w:val="2"/>
          <w:szCs w:val="2"/>
        </w:rPr>
      </w:pPr>
    </w:p>
    <w:p w14:paraId="4B307A15" w14:textId="489D7788" w:rsidR="00EB66D2" w:rsidRPr="00EB66D2" w:rsidRDefault="00EB66D2" w:rsidP="0027237A">
      <w:pPr>
        <w:kinsoku w:val="0"/>
        <w:overflowPunct w:val="0"/>
        <w:autoSpaceDE w:val="0"/>
        <w:autoSpaceDN w:val="0"/>
        <w:adjustRightInd w:val="0"/>
        <w:spacing w:after="0" w:line="240" w:lineRule="auto"/>
        <w:rPr>
          <w:rFonts w:ascii="Times New Roman" w:hAnsi="Times New Roman" w:cs="Times New Roman"/>
          <w:b/>
          <w:bCs/>
          <w:spacing w:val="-2"/>
          <w:w w:val="105"/>
          <w:kern w:val="0"/>
          <w:sz w:val="23"/>
          <w:szCs w:val="23"/>
        </w:rPr>
      </w:pPr>
      <w:r w:rsidRPr="00EB66D2">
        <w:rPr>
          <w:rFonts w:ascii="Times New Roman" w:hAnsi="Times New Roman" w:cs="Times New Roman"/>
          <w:b/>
          <w:bCs/>
          <w:spacing w:val="-2"/>
          <w:w w:val="105"/>
          <w:kern w:val="0"/>
          <w:sz w:val="23"/>
          <w:szCs w:val="23"/>
        </w:rPr>
        <w:t>Background</w:t>
      </w:r>
    </w:p>
    <w:p w14:paraId="1DC85F08" w14:textId="77777777" w:rsidR="00EB66D2" w:rsidRPr="00EB66D2" w:rsidRDefault="00EB66D2" w:rsidP="0027237A">
      <w:pPr>
        <w:kinsoku w:val="0"/>
        <w:overflowPunct w:val="0"/>
        <w:autoSpaceDE w:val="0"/>
        <w:autoSpaceDN w:val="0"/>
        <w:adjustRightInd w:val="0"/>
        <w:spacing w:before="16" w:after="0" w:line="240" w:lineRule="auto"/>
        <w:rPr>
          <w:rFonts w:ascii="Times New Roman" w:hAnsi="Times New Roman" w:cs="Times New Roman"/>
          <w:b/>
          <w:bCs/>
          <w:kern w:val="0"/>
          <w:sz w:val="23"/>
          <w:szCs w:val="23"/>
        </w:rPr>
      </w:pPr>
    </w:p>
    <w:p w14:paraId="21C34E89" w14:textId="088E85AA" w:rsidR="00DD343F" w:rsidRDefault="00DD343F" w:rsidP="0027237A">
      <w:pPr>
        <w:kinsoku w:val="0"/>
        <w:overflowPunct w:val="0"/>
        <w:autoSpaceDE w:val="0"/>
        <w:autoSpaceDN w:val="0"/>
        <w:adjustRightInd w:val="0"/>
        <w:spacing w:after="0" w:line="240" w:lineRule="auto"/>
        <w:ind w:firstLine="4"/>
        <w:jc w:val="both"/>
        <w:rPr>
          <w:rFonts w:ascii="Times New Roman" w:hAnsi="Times New Roman" w:cs="Times New Roman"/>
          <w:kern w:val="0"/>
        </w:rPr>
      </w:pPr>
      <w:r>
        <w:rPr>
          <w:rFonts w:ascii="Times New Roman" w:hAnsi="Times New Roman" w:cs="Times New Roman"/>
          <w:kern w:val="0"/>
        </w:rPr>
        <w:t>Under the</w:t>
      </w:r>
      <w:r w:rsidR="00EB66D2" w:rsidRPr="003A5DDF">
        <w:rPr>
          <w:rFonts w:ascii="Times New Roman" w:hAnsi="Times New Roman" w:cs="Times New Roman"/>
          <w:kern w:val="0"/>
        </w:rPr>
        <w:t xml:space="preserve"> </w:t>
      </w:r>
      <w:r w:rsidR="00EB66D2" w:rsidRPr="003A5DDF">
        <w:rPr>
          <w:rFonts w:ascii="Times New Roman" w:hAnsi="Times New Roman" w:cs="Times New Roman"/>
          <w:i/>
          <w:iCs/>
          <w:kern w:val="0"/>
        </w:rPr>
        <w:t>Land Tax Act 2004</w:t>
      </w:r>
      <w:r w:rsidR="00EB66D2" w:rsidRPr="003A5DDF">
        <w:rPr>
          <w:rFonts w:ascii="Times New Roman" w:hAnsi="Times New Roman" w:cs="Times New Roman"/>
          <w:kern w:val="0"/>
        </w:rPr>
        <w:t xml:space="preserve"> (</w:t>
      </w:r>
      <w:r w:rsidR="00F25A3C">
        <w:rPr>
          <w:rFonts w:ascii="Times New Roman" w:hAnsi="Times New Roman" w:cs="Times New Roman"/>
          <w:kern w:val="0"/>
        </w:rPr>
        <w:t xml:space="preserve">the </w:t>
      </w:r>
      <w:r w:rsidR="00EB66D2" w:rsidRPr="003A5DDF">
        <w:rPr>
          <w:rFonts w:ascii="Times New Roman" w:hAnsi="Times New Roman" w:cs="Times New Roman"/>
          <w:kern w:val="0"/>
        </w:rPr>
        <w:t>A</w:t>
      </w:r>
      <w:r>
        <w:rPr>
          <w:rFonts w:ascii="Times New Roman" w:hAnsi="Times New Roman" w:cs="Times New Roman"/>
          <w:kern w:val="0"/>
        </w:rPr>
        <w:t>ct</w:t>
      </w:r>
      <w:r w:rsidR="00EB66D2" w:rsidRPr="003A5DDF">
        <w:rPr>
          <w:rFonts w:ascii="Times New Roman" w:hAnsi="Times New Roman" w:cs="Times New Roman"/>
          <w:kern w:val="0"/>
        </w:rPr>
        <w:t>)</w:t>
      </w:r>
      <w:r w:rsidR="00632427">
        <w:rPr>
          <w:rFonts w:ascii="Times New Roman" w:hAnsi="Times New Roman" w:cs="Times New Roman"/>
          <w:kern w:val="0"/>
        </w:rPr>
        <w:t>, in the Territory, where</w:t>
      </w:r>
      <w:r>
        <w:rPr>
          <w:rFonts w:ascii="Times New Roman" w:hAnsi="Times New Roman" w:cs="Times New Roman"/>
          <w:kern w:val="0"/>
        </w:rPr>
        <w:t xml:space="preserve"> a parcel of</w:t>
      </w:r>
      <w:r w:rsidR="00632427">
        <w:rPr>
          <w:rFonts w:ascii="Times New Roman" w:hAnsi="Times New Roman" w:cs="Times New Roman"/>
          <w:kern w:val="0"/>
        </w:rPr>
        <w:t xml:space="preserve"> rateable </w:t>
      </w:r>
      <w:r>
        <w:rPr>
          <w:rFonts w:ascii="Times New Roman" w:hAnsi="Times New Roman" w:cs="Times New Roman"/>
          <w:kern w:val="0"/>
        </w:rPr>
        <w:t>land</w:t>
      </w:r>
      <w:r w:rsidR="00632427">
        <w:rPr>
          <w:rFonts w:ascii="Times New Roman" w:hAnsi="Times New Roman" w:cs="Times New Roman"/>
          <w:kern w:val="0"/>
        </w:rPr>
        <w:t xml:space="preserve"> that is residential land is </w:t>
      </w:r>
      <w:r w:rsidR="00EB66D2" w:rsidRPr="003A5DDF">
        <w:rPr>
          <w:rFonts w:ascii="Times New Roman" w:hAnsi="Times New Roman" w:cs="Times New Roman"/>
          <w:kern w:val="0"/>
        </w:rPr>
        <w:t>owned by a corporation or trustee</w:t>
      </w:r>
      <w:r w:rsidR="00632427">
        <w:rPr>
          <w:rFonts w:ascii="Times New Roman" w:hAnsi="Times New Roman" w:cs="Times New Roman"/>
          <w:kern w:val="0"/>
        </w:rPr>
        <w:t>, the parcel</w:t>
      </w:r>
      <w:r>
        <w:rPr>
          <w:rFonts w:ascii="Times New Roman" w:hAnsi="Times New Roman" w:cs="Times New Roman"/>
          <w:kern w:val="0"/>
        </w:rPr>
        <w:t xml:space="preserve"> </w:t>
      </w:r>
      <w:r w:rsidR="009027B8">
        <w:rPr>
          <w:rFonts w:ascii="Times New Roman" w:hAnsi="Times New Roman" w:cs="Times New Roman"/>
          <w:kern w:val="0"/>
        </w:rPr>
        <w:t xml:space="preserve">is </w:t>
      </w:r>
      <w:r>
        <w:rPr>
          <w:rFonts w:ascii="Times New Roman" w:hAnsi="Times New Roman" w:cs="Times New Roman"/>
          <w:kern w:val="0"/>
        </w:rPr>
        <w:t xml:space="preserve">subject to </w:t>
      </w:r>
      <w:r w:rsidR="00EB66D2" w:rsidRPr="003A5DDF">
        <w:rPr>
          <w:rFonts w:ascii="Times New Roman" w:hAnsi="Times New Roman" w:cs="Times New Roman"/>
          <w:kern w:val="0"/>
        </w:rPr>
        <w:t>land tax</w:t>
      </w:r>
      <w:r>
        <w:rPr>
          <w:rFonts w:ascii="Times New Roman" w:hAnsi="Times New Roman" w:cs="Times New Roman"/>
          <w:kern w:val="0"/>
        </w:rPr>
        <w:t xml:space="preserve">. </w:t>
      </w:r>
      <w:r w:rsidR="00632427">
        <w:rPr>
          <w:rFonts w:ascii="Times New Roman" w:hAnsi="Times New Roman" w:cs="Times New Roman"/>
          <w:kern w:val="0"/>
        </w:rPr>
        <w:t>S</w:t>
      </w:r>
      <w:r>
        <w:rPr>
          <w:rFonts w:ascii="Times New Roman" w:hAnsi="Times New Roman" w:cs="Times New Roman"/>
          <w:kern w:val="0"/>
        </w:rPr>
        <w:t xml:space="preserve">ome limited exemptions </w:t>
      </w:r>
      <w:r w:rsidR="00632427">
        <w:rPr>
          <w:rFonts w:ascii="Times New Roman" w:hAnsi="Times New Roman" w:cs="Times New Roman"/>
          <w:kern w:val="0"/>
        </w:rPr>
        <w:t>from land tax ma</w:t>
      </w:r>
      <w:r w:rsidR="008B0C00">
        <w:rPr>
          <w:rFonts w:ascii="Times New Roman" w:hAnsi="Times New Roman" w:cs="Times New Roman"/>
          <w:kern w:val="0"/>
        </w:rPr>
        <w:t xml:space="preserve">y </w:t>
      </w:r>
      <w:r>
        <w:rPr>
          <w:rFonts w:ascii="Times New Roman" w:hAnsi="Times New Roman" w:cs="Times New Roman"/>
          <w:kern w:val="0"/>
        </w:rPr>
        <w:t>apply,</w:t>
      </w:r>
      <w:r w:rsidR="00EB66D2" w:rsidRPr="003A5DDF">
        <w:rPr>
          <w:rFonts w:ascii="Times New Roman" w:hAnsi="Times New Roman" w:cs="Times New Roman"/>
          <w:kern w:val="0"/>
        </w:rPr>
        <w:t xml:space="preserve"> such as</w:t>
      </w:r>
      <w:r>
        <w:rPr>
          <w:rFonts w:ascii="Times New Roman" w:hAnsi="Times New Roman" w:cs="Times New Roman"/>
          <w:kern w:val="0"/>
        </w:rPr>
        <w:t>,</w:t>
      </w:r>
      <w:r w:rsidR="00EB66D2" w:rsidRPr="003A5DDF">
        <w:rPr>
          <w:rFonts w:ascii="Times New Roman" w:hAnsi="Times New Roman" w:cs="Times New Roman"/>
          <w:kern w:val="0"/>
        </w:rPr>
        <w:t xml:space="preserve"> </w:t>
      </w:r>
      <w:r>
        <w:rPr>
          <w:rFonts w:ascii="Times New Roman" w:hAnsi="Times New Roman" w:cs="Times New Roman"/>
          <w:kern w:val="0"/>
        </w:rPr>
        <w:t>where the parcel is a</w:t>
      </w:r>
      <w:r w:rsidR="00EB66D2" w:rsidRPr="003A5DDF">
        <w:rPr>
          <w:rFonts w:ascii="Times New Roman" w:hAnsi="Times New Roman" w:cs="Times New Roman"/>
          <w:kern w:val="0"/>
        </w:rPr>
        <w:t xml:space="preserve"> rural land, </w:t>
      </w:r>
      <w:r>
        <w:rPr>
          <w:rFonts w:ascii="Times New Roman" w:hAnsi="Times New Roman" w:cs="Times New Roman"/>
          <w:kern w:val="0"/>
        </w:rPr>
        <w:t>the</w:t>
      </w:r>
      <w:r w:rsidR="00EB66D2" w:rsidRPr="003A5DDF">
        <w:rPr>
          <w:rFonts w:ascii="Times New Roman" w:hAnsi="Times New Roman" w:cs="Times New Roman"/>
          <w:kern w:val="0"/>
        </w:rPr>
        <w:t xml:space="preserve"> </w:t>
      </w:r>
      <w:r>
        <w:rPr>
          <w:rFonts w:ascii="Times New Roman" w:hAnsi="Times New Roman" w:cs="Times New Roman"/>
          <w:kern w:val="0"/>
        </w:rPr>
        <w:t xml:space="preserve">parcel is leased for </w:t>
      </w:r>
      <w:r w:rsidR="00EB66D2" w:rsidRPr="003A5DDF">
        <w:rPr>
          <w:rFonts w:ascii="Times New Roman" w:hAnsi="Times New Roman" w:cs="Times New Roman"/>
          <w:kern w:val="0"/>
        </w:rPr>
        <w:t>a retirement village, nursing home</w:t>
      </w:r>
      <w:r>
        <w:rPr>
          <w:rFonts w:ascii="Times New Roman" w:hAnsi="Times New Roman" w:cs="Times New Roman"/>
          <w:kern w:val="0"/>
        </w:rPr>
        <w:t xml:space="preserve">, </w:t>
      </w:r>
      <w:r w:rsidR="00EB66D2" w:rsidRPr="003A5DDF">
        <w:rPr>
          <w:rFonts w:ascii="Times New Roman" w:hAnsi="Times New Roman" w:cs="Times New Roman"/>
          <w:kern w:val="0"/>
        </w:rPr>
        <w:t>or</w:t>
      </w:r>
      <w:r>
        <w:rPr>
          <w:rFonts w:ascii="Times New Roman" w:hAnsi="Times New Roman" w:cs="Times New Roman"/>
          <w:kern w:val="0"/>
        </w:rPr>
        <w:t xml:space="preserve"> a parcel is held under a development lease by a corporation or owned by a not</w:t>
      </w:r>
      <w:r w:rsidR="00EB66D2" w:rsidRPr="003A5DDF">
        <w:rPr>
          <w:rFonts w:ascii="Times New Roman" w:hAnsi="Times New Roman" w:cs="Times New Roman"/>
          <w:kern w:val="0"/>
        </w:rPr>
        <w:t xml:space="preserve">-for-profit housing </w:t>
      </w:r>
      <w:r w:rsidR="00F94B1D" w:rsidRPr="003A5DDF">
        <w:rPr>
          <w:rFonts w:ascii="Times New Roman" w:hAnsi="Times New Roman" w:cs="Times New Roman"/>
          <w:kern w:val="0"/>
        </w:rPr>
        <w:t>corporation</w:t>
      </w:r>
      <w:r w:rsidR="00EB66D2" w:rsidRPr="003A5DDF">
        <w:rPr>
          <w:rFonts w:ascii="Times New Roman" w:hAnsi="Times New Roman" w:cs="Times New Roman"/>
          <w:kern w:val="0"/>
        </w:rPr>
        <w:t xml:space="preserve">. </w:t>
      </w:r>
    </w:p>
    <w:p w14:paraId="0FBFE1F1" w14:textId="77777777" w:rsidR="00DD343F" w:rsidRDefault="00DD343F" w:rsidP="0027237A">
      <w:pPr>
        <w:kinsoku w:val="0"/>
        <w:overflowPunct w:val="0"/>
        <w:autoSpaceDE w:val="0"/>
        <w:autoSpaceDN w:val="0"/>
        <w:adjustRightInd w:val="0"/>
        <w:spacing w:after="0" w:line="240" w:lineRule="auto"/>
        <w:ind w:firstLine="4"/>
        <w:jc w:val="both"/>
        <w:rPr>
          <w:rFonts w:ascii="Times New Roman" w:hAnsi="Times New Roman" w:cs="Times New Roman"/>
          <w:kern w:val="0"/>
        </w:rPr>
      </w:pPr>
    </w:p>
    <w:p w14:paraId="7391AA27" w14:textId="08E2E92A" w:rsidR="008B0C00" w:rsidRDefault="009027B8" w:rsidP="0027237A">
      <w:pPr>
        <w:kinsoku w:val="0"/>
        <w:overflowPunct w:val="0"/>
        <w:autoSpaceDE w:val="0"/>
        <w:autoSpaceDN w:val="0"/>
        <w:adjustRightInd w:val="0"/>
        <w:spacing w:after="0" w:line="240" w:lineRule="auto"/>
        <w:ind w:firstLine="4"/>
        <w:jc w:val="both"/>
        <w:rPr>
          <w:rFonts w:ascii="Times New Roman" w:hAnsi="Times New Roman" w:cs="Times New Roman"/>
          <w:kern w:val="0"/>
        </w:rPr>
      </w:pPr>
      <w:r>
        <w:rPr>
          <w:rFonts w:ascii="Times New Roman" w:hAnsi="Times New Roman" w:cs="Times New Roman"/>
          <w:kern w:val="0"/>
        </w:rPr>
        <w:t>S</w:t>
      </w:r>
      <w:r w:rsidR="00F94B1D" w:rsidRPr="003A5DDF">
        <w:rPr>
          <w:rFonts w:ascii="Times New Roman" w:hAnsi="Times New Roman" w:cs="Times New Roman"/>
          <w:kern w:val="0"/>
        </w:rPr>
        <w:t xml:space="preserve">ection 11A </w:t>
      </w:r>
      <w:r w:rsidR="00B968A2">
        <w:rPr>
          <w:rFonts w:ascii="Times New Roman" w:hAnsi="Times New Roman" w:cs="Times New Roman"/>
          <w:kern w:val="0"/>
        </w:rPr>
        <w:t>of the Act</w:t>
      </w:r>
      <w:r>
        <w:rPr>
          <w:rFonts w:ascii="Times New Roman" w:hAnsi="Times New Roman" w:cs="Times New Roman"/>
          <w:kern w:val="0"/>
        </w:rPr>
        <w:t xml:space="preserve"> </w:t>
      </w:r>
      <w:r w:rsidR="00F94B1D" w:rsidRPr="003A5DDF">
        <w:rPr>
          <w:rFonts w:ascii="Times New Roman" w:hAnsi="Times New Roman" w:cs="Times New Roman"/>
          <w:kern w:val="0"/>
        </w:rPr>
        <w:t>provid</w:t>
      </w:r>
      <w:r w:rsidR="00B968A2">
        <w:rPr>
          <w:rFonts w:ascii="Times New Roman" w:hAnsi="Times New Roman" w:cs="Times New Roman"/>
          <w:kern w:val="0"/>
        </w:rPr>
        <w:t>es</w:t>
      </w:r>
      <w:r w:rsidR="00F94B1D" w:rsidRPr="003A5DDF">
        <w:rPr>
          <w:rFonts w:ascii="Times New Roman" w:hAnsi="Times New Roman" w:cs="Times New Roman"/>
          <w:kern w:val="0"/>
        </w:rPr>
        <w:t xml:space="preserve"> </w:t>
      </w:r>
      <w:r w:rsidR="00632427">
        <w:rPr>
          <w:rFonts w:ascii="Times New Roman" w:hAnsi="Times New Roman" w:cs="Times New Roman"/>
          <w:kern w:val="0"/>
        </w:rPr>
        <w:t>an owner of a parcel</w:t>
      </w:r>
      <w:r w:rsidR="008B0C00">
        <w:rPr>
          <w:rFonts w:ascii="Times New Roman" w:hAnsi="Times New Roman" w:cs="Times New Roman"/>
          <w:kern w:val="0"/>
        </w:rPr>
        <w:t xml:space="preserve"> of land</w:t>
      </w:r>
      <w:r w:rsidR="00632427">
        <w:rPr>
          <w:rFonts w:ascii="Times New Roman" w:hAnsi="Times New Roman" w:cs="Times New Roman"/>
          <w:kern w:val="0"/>
        </w:rPr>
        <w:t xml:space="preserve"> </w:t>
      </w:r>
      <w:r w:rsidR="00F94B1D" w:rsidRPr="003A5DDF">
        <w:rPr>
          <w:rFonts w:ascii="Times New Roman" w:hAnsi="Times New Roman" w:cs="Times New Roman"/>
          <w:kern w:val="0"/>
        </w:rPr>
        <w:t xml:space="preserve">an exemption from land tax if </w:t>
      </w:r>
      <w:r w:rsidR="008B0C00">
        <w:rPr>
          <w:rFonts w:ascii="Times New Roman" w:hAnsi="Times New Roman" w:cs="Times New Roman"/>
          <w:kern w:val="0"/>
        </w:rPr>
        <w:t>the</w:t>
      </w:r>
      <w:r w:rsidR="00F94B1D" w:rsidRPr="003A5DDF">
        <w:rPr>
          <w:rFonts w:ascii="Times New Roman" w:hAnsi="Times New Roman" w:cs="Times New Roman"/>
          <w:kern w:val="0"/>
        </w:rPr>
        <w:t xml:space="preserve"> </w:t>
      </w:r>
      <w:r w:rsidR="00B968A2">
        <w:rPr>
          <w:rFonts w:ascii="Times New Roman" w:hAnsi="Times New Roman" w:cs="Times New Roman"/>
          <w:kern w:val="0"/>
        </w:rPr>
        <w:t>parcel is</w:t>
      </w:r>
      <w:r w:rsidR="008B0C00">
        <w:rPr>
          <w:rFonts w:ascii="Times New Roman" w:hAnsi="Times New Roman" w:cs="Times New Roman"/>
          <w:kern w:val="0"/>
        </w:rPr>
        <w:t>:</w:t>
      </w:r>
    </w:p>
    <w:p w14:paraId="4B7AEB6D" w14:textId="77777777" w:rsidR="008B0C00" w:rsidRDefault="008B0C00" w:rsidP="0027237A">
      <w:pPr>
        <w:kinsoku w:val="0"/>
        <w:overflowPunct w:val="0"/>
        <w:autoSpaceDE w:val="0"/>
        <w:autoSpaceDN w:val="0"/>
        <w:adjustRightInd w:val="0"/>
        <w:spacing w:after="0" w:line="240" w:lineRule="auto"/>
        <w:ind w:firstLine="4"/>
        <w:jc w:val="both"/>
        <w:rPr>
          <w:rFonts w:ascii="Times New Roman" w:hAnsi="Times New Roman" w:cs="Times New Roman"/>
          <w:kern w:val="0"/>
        </w:rPr>
      </w:pPr>
    </w:p>
    <w:p w14:paraId="604AAE46" w14:textId="77777777" w:rsidR="008B0C00" w:rsidRPr="00293201" w:rsidRDefault="00B968A2" w:rsidP="0027237A">
      <w:pPr>
        <w:pStyle w:val="ListParagraph"/>
        <w:numPr>
          <w:ilvl w:val="0"/>
          <w:numId w:val="2"/>
        </w:numPr>
        <w:kinsoku w:val="0"/>
        <w:overflowPunct w:val="0"/>
        <w:autoSpaceDE w:val="0"/>
        <w:autoSpaceDN w:val="0"/>
        <w:adjustRightInd w:val="0"/>
        <w:spacing w:after="0" w:line="240" w:lineRule="auto"/>
        <w:ind w:left="851" w:hanging="567"/>
        <w:jc w:val="both"/>
        <w:rPr>
          <w:rFonts w:ascii="Times New Roman" w:hAnsi="Times New Roman" w:cs="Times New Roman"/>
          <w:spacing w:val="19"/>
          <w:kern w:val="0"/>
        </w:rPr>
      </w:pPr>
      <w:r w:rsidRPr="00293201">
        <w:rPr>
          <w:rFonts w:ascii="Times New Roman" w:hAnsi="Times New Roman" w:cs="Times New Roman"/>
          <w:kern w:val="0"/>
        </w:rPr>
        <w:t>owned by someone other than a corporation or trustee</w:t>
      </w:r>
      <w:r w:rsidR="008B0C00" w:rsidRPr="00293201">
        <w:rPr>
          <w:rFonts w:ascii="Times New Roman" w:hAnsi="Times New Roman" w:cs="Times New Roman"/>
          <w:kern w:val="0"/>
        </w:rPr>
        <w:t xml:space="preserve">, </w:t>
      </w:r>
      <w:r w:rsidRPr="00293201">
        <w:rPr>
          <w:rFonts w:ascii="Times New Roman" w:hAnsi="Times New Roman" w:cs="Times New Roman"/>
          <w:kern w:val="0"/>
        </w:rPr>
        <w:t xml:space="preserve">and </w:t>
      </w:r>
    </w:p>
    <w:p w14:paraId="5ED3F84B" w14:textId="77777777" w:rsidR="008B0C00" w:rsidRPr="00293201" w:rsidRDefault="008B0C00" w:rsidP="0027237A">
      <w:pPr>
        <w:pStyle w:val="ListParagraph"/>
        <w:kinsoku w:val="0"/>
        <w:overflowPunct w:val="0"/>
        <w:autoSpaceDE w:val="0"/>
        <w:autoSpaceDN w:val="0"/>
        <w:adjustRightInd w:val="0"/>
        <w:spacing w:after="0" w:line="240" w:lineRule="auto"/>
        <w:ind w:left="459"/>
        <w:jc w:val="both"/>
        <w:rPr>
          <w:rFonts w:ascii="Times New Roman" w:hAnsi="Times New Roman" w:cs="Times New Roman"/>
          <w:spacing w:val="19"/>
          <w:kern w:val="0"/>
        </w:rPr>
      </w:pPr>
    </w:p>
    <w:p w14:paraId="017C9C77" w14:textId="20C0E387" w:rsidR="008B0C00" w:rsidRPr="00293201" w:rsidRDefault="00F94B1D" w:rsidP="0027237A">
      <w:pPr>
        <w:pStyle w:val="ListParagraph"/>
        <w:numPr>
          <w:ilvl w:val="0"/>
          <w:numId w:val="2"/>
        </w:numPr>
        <w:kinsoku w:val="0"/>
        <w:overflowPunct w:val="0"/>
        <w:autoSpaceDE w:val="0"/>
        <w:autoSpaceDN w:val="0"/>
        <w:adjustRightInd w:val="0"/>
        <w:spacing w:after="0" w:line="240" w:lineRule="auto"/>
        <w:ind w:left="851" w:hanging="567"/>
        <w:jc w:val="both"/>
        <w:rPr>
          <w:rFonts w:ascii="Times New Roman" w:hAnsi="Times New Roman" w:cs="Times New Roman"/>
          <w:spacing w:val="19"/>
          <w:kern w:val="0"/>
        </w:rPr>
      </w:pPr>
      <w:r w:rsidRPr="00293201">
        <w:rPr>
          <w:rFonts w:ascii="Times New Roman" w:hAnsi="Times New Roman" w:cs="Times New Roman"/>
          <w:kern w:val="0"/>
        </w:rPr>
        <w:t xml:space="preserve">occupied </w:t>
      </w:r>
      <w:r w:rsidR="003A5DDF" w:rsidRPr="00293201">
        <w:rPr>
          <w:rFonts w:ascii="Times New Roman" w:hAnsi="Times New Roman" w:cs="Times New Roman"/>
          <w:kern w:val="0"/>
        </w:rPr>
        <w:t>as the</w:t>
      </w:r>
      <w:r w:rsidRPr="00293201">
        <w:rPr>
          <w:rFonts w:ascii="Times New Roman" w:hAnsi="Times New Roman" w:cs="Times New Roman"/>
          <w:kern w:val="0"/>
        </w:rPr>
        <w:t xml:space="preserve"> </w:t>
      </w:r>
      <w:r w:rsidR="008B0C00">
        <w:rPr>
          <w:rFonts w:ascii="Times New Roman" w:hAnsi="Times New Roman" w:cs="Times New Roman"/>
          <w:kern w:val="0"/>
        </w:rPr>
        <w:t>‘</w:t>
      </w:r>
      <w:r w:rsidRPr="00293201">
        <w:rPr>
          <w:rFonts w:ascii="Times New Roman" w:hAnsi="Times New Roman" w:cs="Times New Roman"/>
          <w:kern w:val="0"/>
        </w:rPr>
        <w:t>principal place of residence</w:t>
      </w:r>
      <w:r w:rsidR="008B0C00">
        <w:rPr>
          <w:rFonts w:ascii="Times New Roman" w:hAnsi="Times New Roman" w:cs="Times New Roman"/>
          <w:kern w:val="0"/>
        </w:rPr>
        <w:t>’</w:t>
      </w:r>
      <w:r w:rsidR="00B968A2" w:rsidRPr="00293201">
        <w:rPr>
          <w:rFonts w:ascii="Times New Roman" w:hAnsi="Times New Roman" w:cs="Times New Roman"/>
          <w:kern w:val="0"/>
        </w:rPr>
        <w:t xml:space="preserve"> </w:t>
      </w:r>
      <w:r w:rsidR="00877A45" w:rsidRPr="00293201">
        <w:rPr>
          <w:rFonts w:ascii="Times New Roman" w:hAnsi="Times New Roman" w:cs="Times New Roman"/>
          <w:kern w:val="0"/>
        </w:rPr>
        <w:t>of one</w:t>
      </w:r>
      <w:r w:rsidR="00522739" w:rsidRPr="00293201">
        <w:rPr>
          <w:rFonts w:ascii="Times New Roman" w:hAnsi="Times New Roman" w:cs="Times New Roman"/>
          <w:kern w:val="0"/>
        </w:rPr>
        <w:t xml:space="preserve"> </w:t>
      </w:r>
      <w:r w:rsidRPr="00293201">
        <w:rPr>
          <w:rFonts w:ascii="Times New Roman" w:hAnsi="Times New Roman" w:cs="Times New Roman"/>
          <w:kern w:val="0"/>
        </w:rPr>
        <w:t>or more owners of the parcel of land</w:t>
      </w:r>
      <w:r w:rsidR="00B968A2" w:rsidRPr="00293201">
        <w:rPr>
          <w:rFonts w:ascii="Times New Roman" w:hAnsi="Times New Roman" w:cs="Times New Roman"/>
          <w:kern w:val="0"/>
        </w:rPr>
        <w:t>.</w:t>
      </w:r>
    </w:p>
    <w:p w14:paraId="54DA7139" w14:textId="77777777" w:rsidR="008B0C00" w:rsidRDefault="008B0C00" w:rsidP="0027237A">
      <w:pPr>
        <w:kinsoku w:val="0"/>
        <w:overflowPunct w:val="0"/>
        <w:autoSpaceDE w:val="0"/>
        <w:autoSpaceDN w:val="0"/>
        <w:adjustRightInd w:val="0"/>
        <w:spacing w:after="0" w:line="240" w:lineRule="auto"/>
        <w:jc w:val="both"/>
        <w:rPr>
          <w:rFonts w:ascii="Times New Roman" w:hAnsi="Times New Roman" w:cs="Times New Roman"/>
          <w:kern w:val="0"/>
        </w:rPr>
      </w:pPr>
    </w:p>
    <w:p w14:paraId="6D6A5E22" w14:textId="1B272DD6" w:rsidR="00EB66D2" w:rsidRPr="00293201" w:rsidRDefault="009027B8" w:rsidP="0027237A">
      <w:pPr>
        <w:kinsoku w:val="0"/>
        <w:overflowPunct w:val="0"/>
        <w:autoSpaceDE w:val="0"/>
        <w:autoSpaceDN w:val="0"/>
        <w:adjustRightInd w:val="0"/>
        <w:spacing w:after="0" w:line="240" w:lineRule="auto"/>
        <w:jc w:val="both"/>
        <w:rPr>
          <w:rFonts w:ascii="Times New Roman" w:hAnsi="Times New Roman" w:cs="Times New Roman"/>
          <w:spacing w:val="19"/>
          <w:kern w:val="0"/>
        </w:rPr>
      </w:pPr>
      <w:r>
        <w:rPr>
          <w:rFonts w:ascii="Times New Roman" w:hAnsi="Times New Roman" w:cs="Times New Roman"/>
          <w:kern w:val="0"/>
        </w:rPr>
        <w:t>T</w:t>
      </w:r>
      <w:r w:rsidR="00B968A2" w:rsidRPr="00293201">
        <w:rPr>
          <w:rFonts w:ascii="Times New Roman" w:hAnsi="Times New Roman" w:cs="Times New Roman"/>
          <w:kern w:val="0"/>
        </w:rPr>
        <w:t xml:space="preserve">he </w:t>
      </w:r>
      <w:r w:rsidR="008B0C00">
        <w:rPr>
          <w:rFonts w:ascii="Times New Roman" w:hAnsi="Times New Roman" w:cs="Times New Roman"/>
          <w:kern w:val="0"/>
        </w:rPr>
        <w:t>‘</w:t>
      </w:r>
      <w:r w:rsidR="0016013F">
        <w:rPr>
          <w:rFonts w:ascii="Times New Roman" w:hAnsi="Times New Roman" w:cs="Times New Roman"/>
          <w:kern w:val="0"/>
        </w:rPr>
        <w:t>principal place of residence</w:t>
      </w:r>
      <w:r w:rsidR="00B968A2" w:rsidRPr="00293201">
        <w:rPr>
          <w:rFonts w:ascii="Times New Roman" w:hAnsi="Times New Roman" w:cs="Times New Roman"/>
          <w:kern w:val="0"/>
        </w:rPr>
        <w:t xml:space="preserve"> exemption</w:t>
      </w:r>
      <w:r w:rsidR="008B0C00">
        <w:rPr>
          <w:rFonts w:ascii="Times New Roman" w:hAnsi="Times New Roman" w:cs="Times New Roman"/>
          <w:kern w:val="0"/>
        </w:rPr>
        <w:t>’</w:t>
      </w:r>
      <w:r w:rsidR="00B968A2" w:rsidRPr="00293201">
        <w:rPr>
          <w:rFonts w:ascii="Times New Roman" w:hAnsi="Times New Roman" w:cs="Times New Roman"/>
          <w:kern w:val="0"/>
        </w:rPr>
        <w:t xml:space="preserve"> </w:t>
      </w:r>
      <w:r w:rsidR="00F94B1D" w:rsidRPr="00293201">
        <w:rPr>
          <w:rFonts w:ascii="Times New Roman" w:hAnsi="Times New Roman" w:cs="Times New Roman"/>
          <w:kern w:val="0"/>
        </w:rPr>
        <w:t>d</w:t>
      </w:r>
      <w:r w:rsidR="00B968A2" w:rsidRPr="00293201">
        <w:rPr>
          <w:rFonts w:ascii="Times New Roman" w:hAnsi="Times New Roman" w:cs="Times New Roman"/>
          <w:kern w:val="0"/>
        </w:rPr>
        <w:t>oes</w:t>
      </w:r>
      <w:r w:rsidR="00F94B1D" w:rsidRPr="00293201">
        <w:rPr>
          <w:rFonts w:ascii="Times New Roman" w:hAnsi="Times New Roman" w:cs="Times New Roman"/>
          <w:kern w:val="0"/>
        </w:rPr>
        <w:t xml:space="preserve"> not apply to </w:t>
      </w:r>
      <w:r w:rsidR="00B968A2" w:rsidRPr="00293201">
        <w:rPr>
          <w:rFonts w:ascii="Times New Roman" w:hAnsi="Times New Roman" w:cs="Times New Roman"/>
          <w:kern w:val="0"/>
        </w:rPr>
        <w:t xml:space="preserve">a parcel of land </w:t>
      </w:r>
      <w:r w:rsidR="00F94B1D" w:rsidRPr="00293201">
        <w:rPr>
          <w:rFonts w:ascii="Times New Roman" w:hAnsi="Times New Roman" w:cs="Times New Roman"/>
          <w:kern w:val="0"/>
        </w:rPr>
        <w:t xml:space="preserve">owned by </w:t>
      </w:r>
      <w:r w:rsidR="008B0C00">
        <w:rPr>
          <w:rFonts w:ascii="Times New Roman" w:hAnsi="Times New Roman" w:cs="Times New Roman"/>
          <w:kern w:val="0"/>
        </w:rPr>
        <w:t xml:space="preserve">a person who is </w:t>
      </w:r>
      <w:r w:rsidR="00F94B1D" w:rsidRPr="00293201">
        <w:rPr>
          <w:rFonts w:ascii="Times New Roman" w:hAnsi="Times New Roman" w:cs="Times New Roman"/>
          <w:kern w:val="0"/>
        </w:rPr>
        <w:t>a corporation or trustee.</w:t>
      </w:r>
    </w:p>
    <w:p w14:paraId="3492FA4E" w14:textId="7C3F9B74" w:rsidR="00EB66D2" w:rsidRPr="00EB66D2" w:rsidRDefault="00293201" w:rsidP="0027237A">
      <w:pPr>
        <w:kinsoku w:val="0"/>
        <w:overflowPunct w:val="0"/>
        <w:autoSpaceDE w:val="0"/>
        <w:autoSpaceDN w:val="0"/>
        <w:adjustRightInd w:val="0"/>
        <w:spacing w:before="251" w:after="0" w:line="240" w:lineRule="auto"/>
        <w:jc w:val="both"/>
        <w:rPr>
          <w:rFonts w:ascii="Times New Roman" w:hAnsi="Times New Roman" w:cs="Times New Roman"/>
          <w:b/>
          <w:bCs/>
          <w:spacing w:val="-2"/>
          <w:w w:val="105"/>
          <w:kern w:val="0"/>
          <w:sz w:val="23"/>
          <w:szCs w:val="23"/>
        </w:rPr>
      </w:pPr>
      <w:r>
        <w:rPr>
          <w:rFonts w:ascii="Times New Roman" w:hAnsi="Times New Roman" w:cs="Times New Roman"/>
          <w:b/>
          <w:bCs/>
          <w:spacing w:val="-2"/>
          <w:w w:val="105"/>
          <w:kern w:val="0"/>
          <w:sz w:val="23"/>
          <w:szCs w:val="23"/>
        </w:rPr>
        <w:t>E</w:t>
      </w:r>
      <w:r w:rsidR="00EB66D2" w:rsidRPr="00EB66D2">
        <w:rPr>
          <w:rFonts w:ascii="Times New Roman" w:hAnsi="Times New Roman" w:cs="Times New Roman"/>
          <w:b/>
          <w:bCs/>
          <w:spacing w:val="-2"/>
          <w:w w:val="105"/>
          <w:kern w:val="0"/>
          <w:sz w:val="23"/>
          <w:szCs w:val="23"/>
        </w:rPr>
        <w:t>xemption</w:t>
      </w:r>
    </w:p>
    <w:p w14:paraId="059947A6" w14:textId="77777777" w:rsidR="00EB66D2" w:rsidRPr="00EB66D2" w:rsidRDefault="00EB66D2" w:rsidP="0027237A">
      <w:pPr>
        <w:kinsoku w:val="0"/>
        <w:overflowPunct w:val="0"/>
        <w:autoSpaceDE w:val="0"/>
        <w:autoSpaceDN w:val="0"/>
        <w:adjustRightInd w:val="0"/>
        <w:spacing w:before="15" w:after="0" w:line="240" w:lineRule="auto"/>
        <w:jc w:val="both"/>
        <w:rPr>
          <w:rFonts w:ascii="Times New Roman" w:hAnsi="Times New Roman" w:cs="Times New Roman"/>
          <w:b/>
          <w:bCs/>
          <w:kern w:val="0"/>
          <w:sz w:val="23"/>
          <w:szCs w:val="23"/>
        </w:rPr>
      </w:pPr>
    </w:p>
    <w:p w14:paraId="29E55FD3" w14:textId="3E3AC24A" w:rsidR="00B968A2" w:rsidRDefault="00EB66D2" w:rsidP="0027237A">
      <w:pPr>
        <w:kinsoku w:val="0"/>
        <w:overflowPunct w:val="0"/>
        <w:autoSpaceDE w:val="0"/>
        <w:autoSpaceDN w:val="0"/>
        <w:adjustRightInd w:val="0"/>
        <w:spacing w:after="0" w:line="240" w:lineRule="auto"/>
        <w:ind w:right="183"/>
        <w:jc w:val="both"/>
        <w:rPr>
          <w:rFonts w:ascii="Times New Roman" w:hAnsi="Times New Roman" w:cs="Times New Roman"/>
          <w:kern w:val="0"/>
        </w:rPr>
      </w:pPr>
      <w:r w:rsidRPr="00EB66D2">
        <w:rPr>
          <w:rFonts w:ascii="Times New Roman" w:hAnsi="Times New Roman" w:cs="Times New Roman"/>
          <w:kern w:val="0"/>
        </w:rPr>
        <w:t>This</w:t>
      </w:r>
      <w:r w:rsidRPr="00EB66D2">
        <w:rPr>
          <w:rFonts w:ascii="Times New Roman" w:hAnsi="Times New Roman" w:cs="Times New Roman"/>
          <w:spacing w:val="-3"/>
          <w:kern w:val="0"/>
        </w:rPr>
        <w:t xml:space="preserve"> </w:t>
      </w:r>
      <w:r w:rsidRPr="00EB66D2">
        <w:rPr>
          <w:rFonts w:ascii="Times New Roman" w:hAnsi="Times New Roman" w:cs="Times New Roman"/>
          <w:kern w:val="0"/>
        </w:rPr>
        <w:t>instrument</w:t>
      </w:r>
      <w:r w:rsidRPr="00EB66D2">
        <w:rPr>
          <w:rFonts w:ascii="Times New Roman" w:hAnsi="Times New Roman" w:cs="Times New Roman"/>
          <w:spacing w:val="17"/>
          <w:kern w:val="0"/>
        </w:rPr>
        <w:t xml:space="preserve"> </w:t>
      </w:r>
      <w:r w:rsidRPr="00EB66D2">
        <w:rPr>
          <w:rFonts w:ascii="Times New Roman" w:hAnsi="Times New Roman" w:cs="Times New Roman"/>
          <w:kern w:val="0"/>
        </w:rPr>
        <w:t xml:space="preserve">provides </w:t>
      </w:r>
      <w:r w:rsidR="00B968A2">
        <w:rPr>
          <w:rFonts w:ascii="Times New Roman" w:hAnsi="Times New Roman" w:cs="Times New Roman"/>
          <w:kern w:val="0"/>
        </w:rPr>
        <w:t xml:space="preserve">the ‘corporate' owner </w:t>
      </w:r>
      <w:r w:rsidRPr="00EB66D2">
        <w:rPr>
          <w:rFonts w:ascii="Times New Roman" w:hAnsi="Times New Roman" w:cs="Times New Roman"/>
          <w:kern w:val="0"/>
        </w:rPr>
        <w:t>of</w:t>
      </w:r>
      <w:r w:rsidRPr="00EB66D2">
        <w:rPr>
          <w:rFonts w:ascii="Times New Roman" w:hAnsi="Times New Roman" w:cs="Times New Roman"/>
          <w:spacing w:val="-1"/>
          <w:kern w:val="0"/>
        </w:rPr>
        <w:t xml:space="preserve"> </w:t>
      </w:r>
      <w:r w:rsidR="00B968A2">
        <w:rPr>
          <w:rFonts w:ascii="Times New Roman" w:hAnsi="Times New Roman" w:cs="Times New Roman"/>
          <w:spacing w:val="-1"/>
          <w:kern w:val="0"/>
        </w:rPr>
        <w:t xml:space="preserve">the parcel of </w:t>
      </w:r>
      <w:r w:rsidRPr="00EB66D2">
        <w:rPr>
          <w:rFonts w:ascii="Times New Roman" w:hAnsi="Times New Roman" w:cs="Times New Roman"/>
          <w:kern w:val="0"/>
        </w:rPr>
        <w:t>land</w:t>
      </w:r>
      <w:r w:rsidRPr="00EB66D2">
        <w:rPr>
          <w:rFonts w:ascii="Times New Roman" w:hAnsi="Times New Roman" w:cs="Times New Roman"/>
          <w:spacing w:val="-1"/>
          <w:kern w:val="0"/>
        </w:rPr>
        <w:t xml:space="preserve"> </w:t>
      </w:r>
      <w:r w:rsidR="00B968A2">
        <w:rPr>
          <w:rFonts w:ascii="Times New Roman" w:hAnsi="Times New Roman" w:cs="Times New Roman"/>
          <w:spacing w:val="-1"/>
          <w:kern w:val="0"/>
        </w:rPr>
        <w:t xml:space="preserve">located on </w:t>
      </w:r>
      <w:r w:rsidR="009D25D6" w:rsidRPr="009D25D6">
        <w:rPr>
          <w:rFonts w:ascii="Times New Roman" w:hAnsi="Times New Roman" w:cs="Times New Roman"/>
          <w:spacing w:val="-3"/>
          <w:kern w:val="0"/>
        </w:rPr>
        <w:t xml:space="preserve">Block 6 Section 25 Ainslie </w:t>
      </w:r>
      <w:r w:rsidR="00F94B1D" w:rsidRPr="003A5DDF">
        <w:rPr>
          <w:rFonts w:ascii="Times New Roman" w:hAnsi="Times New Roman" w:cs="Times New Roman"/>
          <w:spacing w:val="-3"/>
          <w:kern w:val="0"/>
        </w:rPr>
        <w:t xml:space="preserve">also known </w:t>
      </w:r>
      <w:r w:rsidR="00F94B1D" w:rsidRPr="009D25D6">
        <w:rPr>
          <w:rFonts w:ascii="Times New Roman" w:hAnsi="Times New Roman" w:cs="Times New Roman"/>
          <w:kern w:val="0"/>
        </w:rPr>
        <w:t xml:space="preserve">as </w:t>
      </w:r>
      <w:r w:rsidR="009D25D6" w:rsidRPr="009D25D6">
        <w:rPr>
          <w:rFonts w:ascii="Times New Roman" w:hAnsi="Times New Roman" w:cs="Times New Roman"/>
          <w:kern w:val="0"/>
        </w:rPr>
        <w:t>24 Angas Street, Ainslie</w:t>
      </w:r>
      <w:r w:rsidR="00F94B1D" w:rsidRPr="009D25D6">
        <w:rPr>
          <w:rFonts w:ascii="Times New Roman" w:hAnsi="Times New Roman" w:cs="Times New Roman"/>
          <w:kern w:val="0"/>
        </w:rPr>
        <w:t xml:space="preserve"> ACT </w:t>
      </w:r>
      <w:r w:rsidR="009D25D6" w:rsidRPr="009D25D6">
        <w:rPr>
          <w:rFonts w:ascii="Times New Roman" w:hAnsi="Times New Roman" w:cs="Times New Roman"/>
          <w:kern w:val="0"/>
        </w:rPr>
        <w:t xml:space="preserve">2602 </w:t>
      </w:r>
      <w:r w:rsidR="003A5DDF" w:rsidRPr="009D25D6">
        <w:rPr>
          <w:rFonts w:ascii="Times New Roman" w:hAnsi="Times New Roman" w:cs="Times New Roman"/>
          <w:kern w:val="0"/>
        </w:rPr>
        <w:t>(the</w:t>
      </w:r>
      <w:r w:rsidR="00F94B1D" w:rsidRPr="009D25D6">
        <w:rPr>
          <w:rFonts w:ascii="Times New Roman" w:hAnsi="Times New Roman" w:cs="Times New Roman"/>
          <w:kern w:val="0"/>
        </w:rPr>
        <w:t xml:space="preserve"> </w:t>
      </w:r>
      <w:r w:rsidR="00B968A2">
        <w:rPr>
          <w:rFonts w:ascii="Times New Roman" w:hAnsi="Times New Roman" w:cs="Times New Roman"/>
          <w:kern w:val="0"/>
        </w:rPr>
        <w:t>land</w:t>
      </w:r>
      <w:r w:rsidR="00F94B1D" w:rsidRPr="009D25D6">
        <w:rPr>
          <w:rFonts w:ascii="Times New Roman" w:hAnsi="Times New Roman" w:cs="Times New Roman"/>
          <w:kern w:val="0"/>
        </w:rPr>
        <w:t>)</w:t>
      </w:r>
      <w:r w:rsidR="00B968A2">
        <w:rPr>
          <w:rFonts w:ascii="Times New Roman" w:hAnsi="Times New Roman" w:cs="Times New Roman"/>
          <w:kern w:val="0"/>
        </w:rPr>
        <w:t xml:space="preserve"> an </w:t>
      </w:r>
      <w:r w:rsidR="00B968A2" w:rsidRPr="00EB66D2">
        <w:rPr>
          <w:rFonts w:ascii="Times New Roman" w:hAnsi="Times New Roman" w:cs="Times New Roman"/>
          <w:kern w:val="0"/>
        </w:rPr>
        <w:t>exemption from</w:t>
      </w:r>
      <w:r w:rsidR="00B968A2" w:rsidRPr="00EB66D2">
        <w:rPr>
          <w:rFonts w:ascii="Times New Roman" w:hAnsi="Times New Roman" w:cs="Times New Roman"/>
          <w:spacing w:val="-2"/>
          <w:kern w:val="0"/>
        </w:rPr>
        <w:t xml:space="preserve"> </w:t>
      </w:r>
      <w:r w:rsidR="00B968A2" w:rsidRPr="00EB66D2">
        <w:rPr>
          <w:rFonts w:ascii="Times New Roman" w:hAnsi="Times New Roman" w:cs="Times New Roman"/>
          <w:kern w:val="0"/>
        </w:rPr>
        <w:t>payment</w:t>
      </w:r>
      <w:r w:rsidR="00B968A2">
        <w:rPr>
          <w:rFonts w:ascii="Times New Roman" w:hAnsi="Times New Roman" w:cs="Times New Roman"/>
          <w:kern w:val="0"/>
        </w:rPr>
        <w:t xml:space="preserve"> of land tax </w:t>
      </w:r>
      <w:r w:rsidR="008B0C00">
        <w:rPr>
          <w:rFonts w:ascii="Times New Roman" w:hAnsi="Times New Roman" w:cs="Times New Roman"/>
          <w:kern w:val="0"/>
        </w:rPr>
        <w:t xml:space="preserve">which </w:t>
      </w:r>
      <w:r w:rsidR="006938F6">
        <w:rPr>
          <w:rFonts w:ascii="Times New Roman" w:hAnsi="Times New Roman" w:cs="Times New Roman"/>
          <w:kern w:val="0"/>
        </w:rPr>
        <w:t xml:space="preserve">would be </w:t>
      </w:r>
      <w:r w:rsidR="00B968A2">
        <w:rPr>
          <w:rFonts w:ascii="Times New Roman" w:hAnsi="Times New Roman" w:cs="Times New Roman"/>
          <w:kern w:val="0"/>
        </w:rPr>
        <w:t xml:space="preserve">otherwise imposed under section 9 of the Act. </w:t>
      </w:r>
    </w:p>
    <w:p w14:paraId="3BA7260E" w14:textId="77777777" w:rsidR="00B968A2" w:rsidRDefault="00B968A2" w:rsidP="0027237A">
      <w:pPr>
        <w:kinsoku w:val="0"/>
        <w:overflowPunct w:val="0"/>
        <w:autoSpaceDE w:val="0"/>
        <w:autoSpaceDN w:val="0"/>
        <w:adjustRightInd w:val="0"/>
        <w:spacing w:after="0" w:line="240" w:lineRule="auto"/>
        <w:jc w:val="both"/>
        <w:rPr>
          <w:rFonts w:ascii="Times New Roman" w:hAnsi="Times New Roman" w:cs="Times New Roman"/>
          <w:kern w:val="0"/>
        </w:rPr>
      </w:pPr>
    </w:p>
    <w:p w14:paraId="75C02D5D" w14:textId="4FCEA750" w:rsidR="0005107F" w:rsidRPr="00D40623" w:rsidRDefault="00B968A2" w:rsidP="0027237A">
      <w:pPr>
        <w:kinsoku w:val="0"/>
        <w:overflowPunct w:val="0"/>
        <w:autoSpaceDE w:val="0"/>
        <w:autoSpaceDN w:val="0"/>
        <w:adjustRightInd w:val="0"/>
        <w:spacing w:after="0" w:line="240" w:lineRule="auto"/>
        <w:ind w:right="211"/>
        <w:jc w:val="both"/>
        <w:rPr>
          <w:rFonts w:ascii="Times New Roman" w:hAnsi="Times New Roman" w:cs="Times New Roman"/>
          <w:kern w:val="0"/>
        </w:rPr>
      </w:pPr>
      <w:r w:rsidRPr="00D40623">
        <w:rPr>
          <w:rFonts w:ascii="Times New Roman" w:hAnsi="Times New Roman" w:cs="Times New Roman"/>
          <w:kern w:val="0"/>
        </w:rPr>
        <w:t xml:space="preserve">The purpose of this exemption is to </w:t>
      </w:r>
      <w:r w:rsidR="00EB66D2" w:rsidRPr="00D40623">
        <w:rPr>
          <w:rFonts w:ascii="Times New Roman" w:hAnsi="Times New Roman" w:cs="Times New Roman"/>
          <w:kern w:val="0"/>
        </w:rPr>
        <w:t xml:space="preserve">recognise </w:t>
      </w:r>
      <w:r w:rsidRPr="00D40623">
        <w:rPr>
          <w:rFonts w:ascii="Times New Roman" w:hAnsi="Times New Roman" w:cs="Times New Roman"/>
          <w:kern w:val="0"/>
        </w:rPr>
        <w:t xml:space="preserve">the </w:t>
      </w:r>
      <w:r w:rsidR="001B250D" w:rsidRPr="00D40623">
        <w:rPr>
          <w:rFonts w:ascii="Times New Roman" w:hAnsi="Times New Roman" w:cs="Times New Roman"/>
          <w:kern w:val="0"/>
        </w:rPr>
        <w:t>arrangement in place for the ownership of the land</w:t>
      </w:r>
      <w:r w:rsidR="001C5D89" w:rsidRPr="00393D8F">
        <w:rPr>
          <w:rFonts w:ascii="Times New Roman" w:hAnsi="Times New Roman" w:cs="Times New Roman"/>
          <w:kern w:val="0"/>
        </w:rPr>
        <w:t xml:space="preserve"> in relation to the</w:t>
      </w:r>
      <w:r w:rsidR="001C5D89" w:rsidRPr="00D40623">
        <w:rPr>
          <w:rFonts w:ascii="Times New Roman" w:hAnsi="Times New Roman" w:cs="Times New Roman"/>
          <w:kern w:val="0"/>
        </w:rPr>
        <w:t xml:space="preserve"> current corporate owner</w:t>
      </w:r>
      <w:r w:rsidR="001B250D" w:rsidRPr="00D40623">
        <w:rPr>
          <w:rFonts w:ascii="Times New Roman" w:hAnsi="Times New Roman" w:cs="Times New Roman"/>
          <w:kern w:val="0"/>
        </w:rPr>
        <w:t>. The arrangement was made in accordance with the</w:t>
      </w:r>
      <w:r w:rsidR="009D25D6" w:rsidRPr="00D40623">
        <w:rPr>
          <w:rFonts w:ascii="Times New Roman" w:hAnsi="Times New Roman" w:cs="Times New Roman"/>
          <w:kern w:val="0"/>
        </w:rPr>
        <w:t xml:space="preserve"> ACT Government’s </w:t>
      </w:r>
      <w:r w:rsidRPr="00D40623">
        <w:rPr>
          <w:rFonts w:ascii="Times New Roman" w:hAnsi="Times New Roman" w:cs="Times New Roman"/>
          <w:kern w:val="0"/>
        </w:rPr>
        <w:t>‘</w:t>
      </w:r>
      <w:r w:rsidR="00877A45" w:rsidRPr="00D40623">
        <w:rPr>
          <w:rFonts w:ascii="Times New Roman" w:hAnsi="Times New Roman" w:cs="Times New Roman"/>
          <w:kern w:val="0"/>
        </w:rPr>
        <w:t>Demonstration Housing</w:t>
      </w:r>
      <w:r w:rsidR="009D25D6" w:rsidRPr="00D40623">
        <w:rPr>
          <w:rFonts w:ascii="Times New Roman" w:hAnsi="Times New Roman" w:cs="Times New Roman"/>
          <w:kern w:val="0"/>
        </w:rPr>
        <w:t xml:space="preserve"> Project</w:t>
      </w:r>
      <w:r w:rsidRPr="00D40623">
        <w:rPr>
          <w:rFonts w:ascii="Times New Roman" w:hAnsi="Times New Roman" w:cs="Times New Roman"/>
          <w:kern w:val="0"/>
        </w:rPr>
        <w:t xml:space="preserve">’ also known as ‘co-housing’ </w:t>
      </w:r>
      <w:r w:rsidR="00293201" w:rsidRPr="00D40623">
        <w:rPr>
          <w:rFonts w:ascii="Times New Roman" w:hAnsi="Times New Roman" w:cs="Times New Roman"/>
          <w:kern w:val="0"/>
        </w:rPr>
        <w:t>which i</w:t>
      </w:r>
      <w:r w:rsidRPr="00D40623">
        <w:rPr>
          <w:rFonts w:ascii="Times New Roman" w:hAnsi="Times New Roman" w:cs="Times New Roman"/>
          <w:kern w:val="0"/>
        </w:rPr>
        <w:t xml:space="preserve">s a permissible development on the land under the </w:t>
      </w:r>
      <w:r w:rsidRPr="00D40623">
        <w:rPr>
          <w:rFonts w:ascii="Times New Roman" w:hAnsi="Times New Roman" w:cs="Times New Roman"/>
          <w:i/>
          <w:iCs/>
          <w:kern w:val="0"/>
        </w:rPr>
        <w:t>Territory Plan 2023</w:t>
      </w:r>
      <w:r w:rsidR="00F94B1D" w:rsidRPr="00D40623">
        <w:rPr>
          <w:rFonts w:ascii="Times New Roman" w:hAnsi="Times New Roman" w:cs="Times New Roman"/>
          <w:kern w:val="0"/>
        </w:rPr>
        <w:t>.</w:t>
      </w:r>
      <w:r w:rsidR="008B0C00" w:rsidRPr="00D40623">
        <w:rPr>
          <w:rFonts w:ascii="Times New Roman" w:hAnsi="Times New Roman" w:cs="Times New Roman"/>
          <w:kern w:val="0"/>
        </w:rPr>
        <w:t xml:space="preserve"> </w:t>
      </w:r>
    </w:p>
    <w:p w14:paraId="4FDFFF7F" w14:textId="77777777" w:rsidR="006938F6" w:rsidRPr="00D40623" w:rsidRDefault="006938F6" w:rsidP="0027237A">
      <w:pPr>
        <w:kinsoku w:val="0"/>
        <w:overflowPunct w:val="0"/>
        <w:autoSpaceDE w:val="0"/>
        <w:autoSpaceDN w:val="0"/>
        <w:adjustRightInd w:val="0"/>
        <w:spacing w:after="0" w:line="240" w:lineRule="auto"/>
        <w:jc w:val="both"/>
        <w:rPr>
          <w:rFonts w:ascii="Times New Roman" w:hAnsi="Times New Roman" w:cs="Times New Roman"/>
          <w:kern w:val="0"/>
        </w:rPr>
      </w:pPr>
    </w:p>
    <w:p w14:paraId="269B2B15" w14:textId="1C5108F0" w:rsidR="00C46F59" w:rsidRDefault="00C46F59" w:rsidP="0027237A">
      <w:pPr>
        <w:kinsoku w:val="0"/>
        <w:overflowPunct w:val="0"/>
        <w:autoSpaceDE w:val="0"/>
        <w:autoSpaceDN w:val="0"/>
        <w:adjustRightInd w:val="0"/>
        <w:spacing w:after="0" w:line="240" w:lineRule="auto"/>
        <w:ind w:right="94"/>
        <w:jc w:val="both"/>
        <w:rPr>
          <w:rFonts w:ascii="Times New Roman" w:hAnsi="Times New Roman" w:cs="Times New Roman"/>
          <w:kern w:val="0"/>
        </w:rPr>
      </w:pPr>
      <w:r w:rsidRPr="00D40623">
        <w:rPr>
          <w:rFonts w:ascii="Times New Roman" w:hAnsi="Times New Roman" w:cs="Times New Roman"/>
          <w:kern w:val="0"/>
        </w:rPr>
        <w:t>Under the Act, land tax is imposed on each parcel of rateable land that is residential land, unless the parcel of land is exempt from land tax. There is no land tax exemption for parcels of land that are</w:t>
      </w:r>
      <w:r w:rsidR="00F25A3C" w:rsidRPr="00D40623">
        <w:rPr>
          <w:rFonts w:ascii="Times New Roman" w:hAnsi="Times New Roman" w:cs="Times New Roman"/>
          <w:kern w:val="0"/>
        </w:rPr>
        <w:t xml:space="preserve"> used </w:t>
      </w:r>
      <w:r w:rsidRPr="00D40623">
        <w:rPr>
          <w:rFonts w:ascii="Times New Roman" w:hAnsi="Times New Roman" w:cs="Times New Roman"/>
          <w:kern w:val="0"/>
        </w:rPr>
        <w:t>as part of a co-housing arrangement.</w:t>
      </w:r>
    </w:p>
    <w:p w14:paraId="11828617" w14:textId="77777777" w:rsidR="00C46F59" w:rsidRDefault="00C46F59" w:rsidP="0027237A">
      <w:pPr>
        <w:kinsoku w:val="0"/>
        <w:overflowPunct w:val="0"/>
        <w:autoSpaceDE w:val="0"/>
        <w:autoSpaceDN w:val="0"/>
        <w:adjustRightInd w:val="0"/>
        <w:spacing w:after="0" w:line="240" w:lineRule="auto"/>
        <w:jc w:val="both"/>
        <w:rPr>
          <w:rFonts w:ascii="Times New Roman" w:hAnsi="Times New Roman" w:cs="Times New Roman"/>
          <w:kern w:val="0"/>
        </w:rPr>
      </w:pPr>
    </w:p>
    <w:p w14:paraId="224F8B5B" w14:textId="6BD0A22C" w:rsidR="009D25D6" w:rsidRDefault="008B0C00" w:rsidP="0027237A">
      <w:pPr>
        <w:kinsoku w:val="0"/>
        <w:overflowPunct w:val="0"/>
        <w:autoSpaceDE w:val="0"/>
        <w:autoSpaceDN w:val="0"/>
        <w:adjustRightInd w:val="0"/>
        <w:spacing w:after="0" w:line="240" w:lineRule="auto"/>
        <w:ind w:right="94"/>
        <w:jc w:val="both"/>
        <w:rPr>
          <w:rFonts w:ascii="Times New Roman" w:hAnsi="Times New Roman" w:cs="Times New Roman"/>
          <w:kern w:val="0"/>
        </w:rPr>
      </w:pPr>
      <w:r>
        <w:rPr>
          <w:rFonts w:ascii="Times New Roman" w:hAnsi="Times New Roman" w:cs="Times New Roman"/>
          <w:kern w:val="0"/>
        </w:rPr>
        <w:t>As the land is registered to a</w:t>
      </w:r>
      <w:r w:rsidR="006938F6">
        <w:rPr>
          <w:rFonts w:ascii="Times New Roman" w:hAnsi="Times New Roman" w:cs="Times New Roman"/>
          <w:kern w:val="0"/>
        </w:rPr>
        <w:t>n owner who is a</w:t>
      </w:r>
      <w:r>
        <w:rPr>
          <w:rFonts w:ascii="Times New Roman" w:hAnsi="Times New Roman" w:cs="Times New Roman"/>
          <w:kern w:val="0"/>
        </w:rPr>
        <w:t xml:space="preserve"> </w:t>
      </w:r>
      <w:r w:rsidR="006938F6">
        <w:rPr>
          <w:rFonts w:ascii="Times New Roman" w:hAnsi="Times New Roman" w:cs="Times New Roman"/>
          <w:kern w:val="0"/>
        </w:rPr>
        <w:t>‘</w:t>
      </w:r>
      <w:r>
        <w:rPr>
          <w:rFonts w:ascii="Times New Roman" w:hAnsi="Times New Roman" w:cs="Times New Roman"/>
          <w:kern w:val="0"/>
        </w:rPr>
        <w:t>corporation</w:t>
      </w:r>
      <w:r w:rsidR="006938F6">
        <w:rPr>
          <w:rFonts w:ascii="Times New Roman" w:hAnsi="Times New Roman" w:cs="Times New Roman"/>
          <w:kern w:val="0"/>
        </w:rPr>
        <w:t>’</w:t>
      </w:r>
      <w:r>
        <w:rPr>
          <w:rFonts w:ascii="Times New Roman" w:hAnsi="Times New Roman" w:cs="Times New Roman"/>
          <w:kern w:val="0"/>
        </w:rPr>
        <w:t xml:space="preserve"> instead of a natural person, notwithstanding that </w:t>
      </w:r>
      <w:r w:rsidR="00293201">
        <w:rPr>
          <w:rFonts w:ascii="Times New Roman" w:hAnsi="Times New Roman" w:cs="Times New Roman"/>
          <w:kern w:val="0"/>
        </w:rPr>
        <w:t xml:space="preserve">all </w:t>
      </w:r>
      <w:r>
        <w:rPr>
          <w:rFonts w:ascii="Times New Roman" w:hAnsi="Times New Roman" w:cs="Times New Roman"/>
          <w:kern w:val="0"/>
        </w:rPr>
        <w:t xml:space="preserve">the shareholders (also the owners of the corporation) intend to physically occupy </w:t>
      </w:r>
      <w:r w:rsidR="00293201">
        <w:rPr>
          <w:rFonts w:ascii="Times New Roman" w:hAnsi="Times New Roman" w:cs="Times New Roman"/>
          <w:kern w:val="0"/>
        </w:rPr>
        <w:t xml:space="preserve">(live in) </w:t>
      </w:r>
      <w:r>
        <w:rPr>
          <w:rFonts w:ascii="Times New Roman" w:hAnsi="Times New Roman" w:cs="Times New Roman"/>
          <w:kern w:val="0"/>
        </w:rPr>
        <w:t xml:space="preserve">the </w:t>
      </w:r>
      <w:r w:rsidR="00293201">
        <w:rPr>
          <w:rFonts w:ascii="Times New Roman" w:hAnsi="Times New Roman" w:cs="Times New Roman"/>
          <w:kern w:val="0"/>
        </w:rPr>
        <w:t xml:space="preserve">corresponding </w:t>
      </w:r>
      <w:r>
        <w:rPr>
          <w:rFonts w:ascii="Times New Roman" w:hAnsi="Times New Roman" w:cs="Times New Roman"/>
          <w:kern w:val="0"/>
        </w:rPr>
        <w:t>dwelling</w:t>
      </w:r>
      <w:r w:rsidR="00F25A3C">
        <w:rPr>
          <w:rFonts w:ascii="Times New Roman" w:hAnsi="Times New Roman" w:cs="Times New Roman"/>
          <w:kern w:val="0"/>
        </w:rPr>
        <w:t>s</w:t>
      </w:r>
      <w:r>
        <w:rPr>
          <w:rFonts w:ascii="Times New Roman" w:hAnsi="Times New Roman" w:cs="Times New Roman"/>
          <w:kern w:val="0"/>
        </w:rPr>
        <w:t xml:space="preserve"> on the land, the </w:t>
      </w:r>
      <w:r w:rsidR="006938F6">
        <w:rPr>
          <w:rFonts w:ascii="Times New Roman" w:hAnsi="Times New Roman" w:cs="Times New Roman"/>
          <w:kern w:val="0"/>
        </w:rPr>
        <w:t>‘</w:t>
      </w:r>
      <w:r w:rsidR="0016013F">
        <w:rPr>
          <w:rFonts w:ascii="Times New Roman" w:hAnsi="Times New Roman" w:cs="Times New Roman"/>
          <w:kern w:val="0"/>
        </w:rPr>
        <w:t>principal place of residence</w:t>
      </w:r>
      <w:r>
        <w:rPr>
          <w:rFonts w:ascii="Times New Roman" w:hAnsi="Times New Roman" w:cs="Times New Roman"/>
          <w:kern w:val="0"/>
        </w:rPr>
        <w:t xml:space="preserve"> exemption</w:t>
      </w:r>
      <w:r w:rsidR="006938F6">
        <w:rPr>
          <w:rFonts w:ascii="Times New Roman" w:hAnsi="Times New Roman" w:cs="Times New Roman"/>
          <w:kern w:val="0"/>
        </w:rPr>
        <w:t>’</w:t>
      </w:r>
      <w:r>
        <w:rPr>
          <w:rFonts w:ascii="Times New Roman" w:hAnsi="Times New Roman" w:cs="Times New Roman"/>
          <w:kern w:val="0"/>
        </w:rPr>
        <w:t xml:space="preserve"> does not apply. </w:t>
      </w:r>
    </w:p>
    <w:p w14:paraId="352B3E0C" w14:textId="77777777" w:rsidR="009D25D6" w:rsidRDefault="009D25D6" w:rsidP="0027237A">
      <w:pPr>
        <w:kinsoku w:val="0"/>
        <w:overflowPunct w:val="0"/>
        <w:autoSpaceDE w:val="0"/>
        <w:autoSpaceDN w:val="0"/>
        <w:adjustRightInd w:val="0"/>
        <w:spacing w:after="0" w:line="240" w:lineRule="auto"/>
        <w:jc w:val="both"/>
        <w:rPr>
          <w:rFonts w:ascii="Times New Roman" w:hAnsi="Times New Roman" w:cs="Times New Roman"/>
          <w:kern w:val="0"/>
        </w:rPr>
      </w:pPr>
    </w:p>
    <w:p w14:paraId="427FAF75" w14:textId="35D0C9B6" w:rsidR="00A803FE" w:rsidRDefault="00C46F59" w:rsidP="0027237A">
      <w:pPr>
        <w:kinsoku w:val="0"/>
        <w:overflowPunct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The purpose of th</w:t>
      </w:r>
      <w:r w:rsidR="001C5D89">
        <w:rPr>
          <w:rFonts w:ascii="Times New Roman" w:hAnsi="Times New Roman" w:cs="Times New Roman"/>
          <w:kern w:val="0"/>
        </w:rPr>
        <w:t>is</w:t>
      </w:r>
      <w:r>
        <w:rPr>
          <w:rFonts w:ascii="Times New Roman" w:hAnsi="Times New Roman" w:cs="Times New Roman"/>
          <w:kern w:val="0"/>
        </w:rPr>
        <w:t xml:space="preserve"> exemption is to </w:t>
      </w:r>
      <w:r w:rsidR="00A803FE">
        <w:rPr>
          <w:rFonts w:ascii="Times New Roman" w:hAnsi="Times New Roman" w:cs="Times New Roman"/>
          <w:kern w:val="0"/>
        </w:rPr>
        <w:t xml:space="preserve">exempt </w:t>
      </w:r>
      <w:r w:rsidR="00664813">
        <w:rPr>
          <w:rFonts w:ascii="Times New Roman" w:hAnsi="Times New Roman" w:cs="Times New Roman"/>
          <w:kern w:val="0"/>
        </w:rPr>
        <w:t>the land</w:t>
      </w:r>
      <w:r w:rsidR="00A803FE">
        <w:rPr>
          <w:rFonts w:ascii="Times New Roman" w:hAnsi="Times New Roman" w:cs="Times New Roman"/>
          <w:kern w:val="0"/>
        </w:rPr>
        <w:t xml:space="preserve"> from land </w:t>
      </w:r>
      <w:r w:rsidR="001C5D89">
        <w:rPr>
          <w:rFonts w:ascii="Times New Roman" w:hAnsi="Times New Roman" w:cs="Times New Roman"/>
          <w:kern w:val="0"/>
        </w:rPr>
        <w:t xml:space="preserve">tax </w:t>
      </w:r>
      <w:r w:rsidR="001C3A28">
        <w:rPr>
          <w:rFonts w:ascii="Times New Roman" w:hAnsi="Times New Roman" w:cs="Times New Roman"/>
          <w:kern w:val="0"/>
        </w:rPr>
        <w:t xml:space="preserve">due to the </w:t>
      </w:r>
      <w:r w:rsidR="00A803FE">
        <w:rPr>
          <w:rFonts w:ascii="Times New Roman" w:hAnsi="Times New Roman" w:cs="Times New Roman"/>
          <w:kern w:val="0"/>
        </w:rPr>
        <w:t xml:space="preserve">co-housing arrangement </w:t>
      </w:r>
      <w:r w:rsidR="001C3A28">
        <w:rPr>
          <w:rFonts w:ascii="Times New Roman" w:hAnsi="Times New Roman" w:cs="Times New Roman"/>
          <w:kern w:val="0"/>
        </w:rPr>
        <w:t xml:space="preserve">that is </w:t>
      </w:r>
      <w:r w:rsidR="00F25A3C">
        <w:rPr>
          <w:rFonts w:ascii="Times New Roman" w:hAnsi="Times New Roman" w:cs="Times New Roman"/>
          <w:kern w:val="0"/>
        </w:rPr>
        <w:t xml:space="preserve">in </w:t>
      </w:r>
      <w:r w:rsidR="001C3A28">
        <w:rPr>
          <w:rFonts w:ascii="Times New Roman" w:hAnsi="Times New Roman" w:cs="Times New Roman"/>
          <w:kern w:val="0"/>
        </w:rPr>
        <w:t>place</w:t>
      </w:r>
      <w:r w:rsidR="00A803FE">
        <w:rPr>
          <w:rFonts w:ascii="Times New Roman" w:hAnsi="Times New Roman" w:cs="Times New Roman"/>
          <w:kern w:val="0"/>
        </w:rPr>
        <w:t xml:space="preserve">. </w:t>
      </w:r>
    </w:p>
    <w:p w14:paraId="731713A6" w14:textId="77777777" w:rsidR="00A803FE" w:rsidRDefault="00A803FE" w:rsidP="0027237A">
      <w:pPr>
        <w:kinsoku w:val="0"/>
        <w:overflowPunct w:val="0"/>
        <w:autoSpaceDE w:val="0"/>
        <w:autoSpaceDN w:val="0"/>
        <w:adjustRightInd w:val="0"/>
        <w:spacing w:after="0" w:line="240" w:lineRule="auto"/>
        <w:rPr>
          <w:rFonts w:ascii="Times New Roman" w:hAnsi="Times New Roman" w:cs="Times New Roman"/>
          <w:kern w:val="0"/>
        </w:rPr>
      </w:pPr>
    </w:p>
    <w:p w14:paraId="33640D78" w14:textId="607EA5E1" w:rsidR="00C47F05" w:rsidRDefault="00F94B1D" w:rsidP="0027237A">
      <w:pPr>
        <w:kinsoku w:val="0"/>
        <w:overflowPunct w:val="0"/>
        <w:autoSpaceDE w:val="0"/>
        <w:autoSpaceDN w:val="0"/>
        <w:adjustRightInd w:val="0"/>
        <w:spacing w:after="0" w:line="240" w:lineRule="auto"/>
        <w:ind w:right="183"/>
        <w:jc w:val="both"/>
        <w:rPr>
          <w:rFonts w:ascii="Times New Roman" w:hAnsi="Times New Roman" w:cs="Times New Roman"/>
          <w:kern w:val="0"/>
        </w:rPr>
      </w:pPr>
      <w:r w:rsidRPr="009D25D6">
        <w:rPr>
          <w:rFonts w:ascii="Times New Roman" w:hAnsi="Times New Roman" w:cs="Times New Roman"/>
          <w:kern w:val="0"/>
        </w:rPr>
        <w:t>Th</w:t>
      </w:r>
      <w:r w:rsidR="00FB12AC">
        <w:rPr>
          <w:rFonts w:ascii="Times New Roman" w:hAnsi="Times New Roman" w:cs="Times New Roman"/>
          <w:kern w:val="0"/>
        </w:rPr>
        <w:t>is</w:t>
      </w:r>
      <w:r w:rsidRPr="009D25D6">
        <w:rPr>
          <w:rFonts w:ascii="Times New Roman" w:hAnsi="Times New Roman" w:cs="Times New Roman"/>
          <w:kern w:val="0"/>
        </w:rPr>
        <w:t xml:space="preserve"> instrument</w:t>
      </w:r>
      <w:r w:rsidR="008B0C00">
        <w:rPr>
          <w:rFonts w:ascii="Times New Roman" w:hAnsi="Times New Roman" w:cs="Times New Roman"/>
          <w:kern w:val="0"/>
        </w:rPr>
        <w:t xml:space="preserve"> </w:t>
      </w:r>
      <w:r w:rsidRPr="009D25D6">
        <w:rPr>
          <w:rFonts w:ascii="Times New Roman" w:hAnsi="Times New Roman" w:cs="Times New Roman"/>
          <w:kern w:val="0"/>
        </w:rPr>
        <w:t>only allow</w:t>
      </w:r>
      <w:r w:rsidR="001C3A28">
        <w:rPr>
          <w:rFonts w:ascii="Times New Roman" w:hAnsi="Times New Roman" w:cs="Times New Roman"/>
          <w:kern w:val="0"/>
        </w:rPr>
        <w:t>s</w:t>
      </w:r>
      <w:r w:rsidRPr="009D25D6">
        <w:rPr>
          <w:rFonts w:ascii="Times New Roman" w:hAnsi="Times New Roman" w:cs="Times New Roman"/>
          <w:kern w:val="0"/>
        </w:rPr>
        <w:t xml:space="preserve"> </w:t>
      </w:r>
      <w:r w:rsidR="006938F6">
        <w:rPr>
          <w:rFonts w:ascii="Times New Roman" w:hAnsi="Times New Roman" w:cs="Times New Roman"/>
          <w:kern w:val="0"/>
        </w:rPr>
        <w:t>the</w:t>
      </w:r>
      <w:r w:rsidRPr="009D25D6">
        <w:rPr>
          <w:rFonts w:ascii="Times New Roman" w:hAnsi="Times New Roman" w:cs="Times New Roman"/>
          <w:kern w:val="0"/>
        </w:rPr>
        <w:t xml:space="preserve"> exemption </w:t>
      </w:r>
      <w:r w:rsidR="00FB12AC">
        <w:rPr>
          <w:rFonts w:ascii="Times New Roman" w:hAnsi="Times New Roman" w:cs="Times New Roman"/>
          <w:kern w:val="0"/>
        </w:rPr>
        <w:t xml:space="preserve">if </w:t>
      </w:r>
      <w:r w:rsidRPr="009D25D6">
        <w:rPr>
          <w:rFonts w:ascii="Times New Roman" w:hAnsi="Times New Roman" w:cs="Times New Roman"/>
          <w:kern w:val="0"/>
        </w:rPr>
        <w:t>the</w:t>
      </w:r>
      <w:r w:rsidR="00FB12AC">
        <w:rPr>
          <w:rFonts w:ascii="Times New Roman" w:hAnsi="Times New Roman" w:cs="Times New Roman"/>
          <w:kern w:val="0"/>
        </w:rPr>
        <w:t xml:space="preserve"> (registered)</w:t>
      </w:r>
      <w:r w:rsidRPr="009D25D6">
        <w:rPr>
          <w:rFonts w:ascii="Times New Roman" w:hAnsi="Times New Roman" w:cs="Times New Roman"/>
          <w:kern w:val="0"/>
        </w:rPr>
        <w:t xml:space="preserve"> title o</w:t>
      </w:r>
      <w:r w:rsidR="00FB12AC">
        <w:rPr>
          <w:rFonts w:ascii="Times New Roman" w:hAnsi="Times New Roman" w:cs="Times New Roman"/>
          <w:kern w:val="0"/>
        </w:rPr>
        <w:t xml:space="preserve">f </w:t>
      </w:r>
      <w:r w:rsidRPr="009D25D6">
        <w:rPr>
          <w:rFonts w:ascii="Times New Roman" w:hAnsi="Times New Roman" w:cs="Times New Roman"/>
          <w:kern w:val="0"/>
        </w:rPr>
        <w:t xml:space="preserve">the </w:t>
      </w:r>
      <w:r w:rsidR="00B968A2">
        <w:rPr>
          <w:rFonts w:ascii="Times New Roman" w:hAnsi="Times New Roman" w:cs="Times New Roman"/>
          <w:kern w:val="0"/>
        </w:rPr>
        <w:t>land</w:t>
      </w:r>
      <w:r w:rsidR="00B968A2" w:rsidRPr="009D25D6">
        <w:rPr>
          <w:rFonts w:ascii="Times New Roman" w:hAnsi="Times New Roman" w:cs="Times New Roman"/>
          <w:kern w:val="0"/>
        </w:rPr>
        <w:t xml:space="preserve"> </w:t>
      </w:r>
      <w:r w:rsidRPr="009D25D6">
        <w:rPr>
          <w:rFonts w:ascii="Times New Roman" w:hAnsi="Times New Roman" w:cs="Times New Roman"/>
          <w:kern w:val="0"/>
        </w:rPr>
        <w:t xml:space="preserve">remains </w:t>
      </w:r>
      <w:r w:rsidR="00FB12AC">
        <w:rPr>
          <w:rFonts w:ascii="Times New Roman" w:hAnsi="Times New Roman" w:cs="Times New Roman"/>
          <w:kern w:val="0"/>
        </w:rPr>
        <w:t xml:space="preserve">exclusively </w:t>
      </w:r>
      <w:r w:rsidRPr="009D25D6">
        <w:rPr>
          <w:rFonts w:ascii="Times New Roman" w:hAnsi="Times New Roman" w:cs="Times New Roman"/>
          <w:kern w:val="0"/>
        </w:rPr>
        <w:t>in the name of</w:t>
      </w:r>
      <w:r w:rsidR="00522739">
        <w:rPr>
          <w:rFonts w:ascii="Times New Roman" w:hAnsi="Times New Roman" w:cs="Times New Roman"/>
          <w:kern w:val="0"/>
        </w:rPr>
        <w:t xml:space="preserve"> </w:t>
      </w:r>
      <w:r w:rsidR="008B0C00">
        <w:rPr>
          <w:rFonts w:ascii="Times New Roman" w:hAnsi="Times New Roman" w:cs="Times New Roman"/>
          <w:kern w:val="0"/>
        </w:rPr>
        <w:t>the</w:t>
      </w:r>
      <w:r w:rsidR="00522739">
        <w:rPr>
          <w:rFonts w:ascii="Times New Roman" w:hAnsi="Times New Roman" w:cs="Times New Roman"/>
          <w:kern w:val="0"/>
        </w:rPr>
        <w:t xml:space="preserve"> </w:t>
      </w:r>
      <w:r w:rsidR="00B968A2">
        <w:rPr>
          <w:rFonts w:ascii="Times New Roman" w:hAnsi="Times New Roman" w:cs="Times New Roman"/>
          <w:kern w:val="0"/>
        </w:rPr>
        <w:t xml:space="preserve">owner </w:t>
      </w:r>
      <w:r w:rsidR="008B0C00">
        <w:rPr>
          <w:rFonts w:ascii="Times New Roman" w:hAnsi="Times New Roman" w:cs="Times New Roman"/>
          <w:kern w:val="0"/>
        </w:rPr>
        <w:t>‘</w:t>
      </w:r>
      <w:proofErr w:type="spellStart"/>
      <w:r w:rsidR="009D25D6" w:rsidRPr="009D25D6">
        <w:rPr>
          <w:rFonts w:ascii="Times New Roman" w:hAnsi="Times New Roman" w:cs="Times New Roman"/>
          <w:kern w:val="0"/>
        </w:rPr>
        <w:t>Stellulata</w:t>
      </w:r>
      <w:proofErr w:type="spellEnd"/>
      <w:r w:rsidR="009D25D6" w:rsidRPr="009D25D6">
        <w:rPr>
          <w:rFonts w:ascii="Times New Roman" w:hAnsi="Times New Roman" w:cs="Times New Roman"/>
          <w:kern w:val="0"/>
        </w:rPr>
        <w:t xml:space="preserve"> Pty </w:t>
      </w:r>
      <w:r w:rsidR="00FB12AC" w:rsidRPr="009D25D6">
        <w:rPr>
          <w:rFonts w:ascii="Times New Roman" w:hAnsi="Times New Roman" w:cs="Times New Roman"/>
          <w:kern w:val="0"/>
        </w:rPr>
        <w:t>Ltd (</w:t>
      </w:r>
      <w:r w:rsidR="009D25D6" w:rsidRPr="009D25D6">
        <w:rPr>
          <w:rFonts w:ascii="Times New Roman" w:hAnsi="Times New Roman" w:cs="Times New Roman"/>
          <w:kern w:val="0"/>
        </w:rPr>
        <w:t>ACN 626 741 857)</w:t>
      </w:r>
      <w:r w:rsidR="008B0C00">
        <w:rPr>
          <w:rFonts w:ascii="Times New Roman" w:hAnsi="Times New Roman" w:cs="Times New Roman"/>
          <w:kern w:val="0"/>
        </w:rPr>
        <w:t>’</w:t>
      </w:r>
      <w:r w:rsidR="001C3A28">
        <w:rPr>
          <w:rFonts w:ascii="Times New Roman" w:hAnsi="Times New Roman" w:cs="Times New Roman"/>
          <w:kern w:val="0"/>
        </w:rPr>
        <w:t xml:space="preserve"> under a co-housing arrangement</w:t>
      </w:r>
      <w:r w:rsidR="003A5DDF" w:rsidRPr="009D25D6">
        <w:rPr>
          <w:rFonts w:ascii="Times New Roman" w:hAnsi="Times New Roman" w:cs="Times New Roman"/>
          <w:kern w:val="0"/>
        </w:rPr>
        <w:t>.</w:t>
      </w:r>
      <w:r w:rsidR="00FB12AC">
        <w:rPr>
          <w:rFonts w:ascii="Times New Roman" w:hAnsi="Times New Roman" w:cs="Times New Roman"/>
          <w:kern w:val="0"/>
        </w:rPr>
        <w:t xml:space="preserve"> </w:t>
      </w:r>
      <w:r w:rsidR="009027B8">
        <w:rPr>
          <w:rFonts w:ascii="Times New Roman" w:hAnsi="Times New Roman" w:cs="Times New Roman"/>
          <w:kern w:val="0"/>
        </w:rPr>
        <w:t xml:space="preserve">Further, </w:t>
      </w:r>
      <w:r w:rsidR="007C0E71">
        <w:rPr>
          <w:rFonts w:ascii="Times New Roman" w:hAnsi="Times New Roman" w:cs="Times New Roman"/>
          <w:kern w:val="0"/>
        </w:rPr>
        <w:t>each of</w:t>
      </w:r>
      <w:r w:rsidR="00681DBB">
        <w:rPr>
          <w:rFonts w:ascii="Times New Roman" w:hAnsi="Times New Roman" w:cs="Times New Roman"/>
          <w:kern w:val="0"/>
        </w:rPr>
        <w:t xml:space="preserve"> </w:t>
      </w:r>
      <w:r w:rsidR="007C0E71">
        <w:rPr>
          <w:rFonts w:ascii="Times New Roman" w:hAnsi="Times New Roman" w:cs="Times New Roman"/>
          <w:kern w:val="0"/>
        </w:rPr>
        <w:t>the</w:t>
      </w:r>
      <w:r w:rsidR="00F25A3C">
        <w:rPr>
          <w:rFonts w:ascii="Times New Roman" w:hAnsi="Times New Roman" w:cs="Times New Roman"/>
          <w:kern w:val="0"/>
        </w:rPr>
        <w:t xml:space="preserve"> </w:t>
      </w:r>
      <w:r w:rsidR="007C0E71">
        <w:rPr>
          <w:rFonts w:ascii="Times New Roman" w:hAnsi="Times New Roman" w:cs="Times New Roman"/>
          <w:kern w:val="0"/>
        </w:rPr>
        <w:t>corresponding dwellings</w:t>
      </w:r>
      <w:r w:rsidR="00FB12AC">
        <w:rPr>
          <w:rFonts w:ascii="Times New Roman" w:hAnsi="Times New Roman" w:cs="Times New Roman"/>
          <w:kern w:val="0"/>
        </w:rPr>
        <w:t xml:space="preserve"> on the land </w:t>
      </w:r>
      <w:r w:rsidR="009027B8">
        <w:rPr>
          <w:rFonts w:ascii="Times New Roman" w:hAnsi="Times New Roman" w:cs="Times New Roman"/>
          <w:kern w:val="0"/>
        </w:rPr>
        <w:t>must be</w:t>
      </w:r>
      <w:r w:rsidR="00FB12AC">
        <w:rPr>
          <w:rFonts w:ascii="Times New Roman" w:hAnsi="Times New Roman" w:cs="Times New Roman"/>
          <w:kern w:val="0"/>
        </w:rPr>
        <w:t xml:space="preserve"> physically occupied (lived in) by the company’s shareholders as </w:t>
      </w:r>
      <w:r w:rsidR="00681DBB">
        <w:rPr>
          <w:rFonts w:ascii="Times New Roman" w:hAnsi="Times New Roman" w:cs="Times New Roman"/>
          <w:kern w:val="0"/>
        </w:rPr>
        <w:t>their principal place of residence</w:t>
      </w:r>
      <w:r w:rsidR="00FB12AC">
        <w:rPr>
          <w:rFonts w:ascii="Times New Roman" w:hAnsi="Times New Roman" w:cs="Times New Roman"/>
          <w:kern w:val="0"/>
        </w:rPr>
        <w:t xml:space="preserve">. </w:t>
      </w:r>
    </w:p>
    <w:p w14:paraId="0C77846D" w14:textId="77777777" w:rsidR="00C47F05" w:rsidRDefault="00C47F05" w:rsidP="0027237A">
      <w:pPr>
        <w:kinsoku w:val="0"/>
        <w:overflowPunct w:val="0"/>
        <w:autoSpaceDE w:val="0"/>
        <w:autoSpaceDN w:val="0"/>
        <w:adjustRightInd w:val="0"/>
        <w:spacing w:after="0" w:line="240" w:lineRule="auto"/>
        <w:jc w:val="both"/>
        <w:rPr>
          <w:rFonts w:ascii="Times New Roman" w:hAnsi="Times New Roman" w:cs="Times New Roman"/>
          <w:kern w:val="0"/>
        </w:rPr>
      </w:pPr>
    </w:p>
    <w:p w14:paraId="531C51D2" w14:textId="55201CA9" w:rsidR="00DC0376" w:rsidRDefault="00EB66D2" w:rsidP="0027237A">
      <w:pPr>
        <w:kinsoku w:val="0"/>
        <w:overflowPunct w:val="0"/>
        <w:autoSpaceDE w:val="0"/>
        <w:autoSpaceDN w:val="0"/>
        <w:adjustRightInd w:val="0"/>
        <w:spacing w:after="0" w:line="240" w:lineRule="auto"/>
        <w:ind w:right="57"/>
        <w:jc w:val="both"/>
        <w:rPr>
          <w:rFonts w:ascii="Times New Roman" w:hAnsi="Times New Roman" w:cs="Times New Roman"/>
          <w:kern w:val="0"/>
        </w:rPr>
      </w:pPr>
      <w:bookmarkStart w:id="0" w:name="_Hlk214617625"/>
      <w:r w:rsidRPr="00EB66D2">
        <w:rPr>
          <w:rFonts w:ascii="Times New Roman" w:hAnsi="Times New Roman" w:cs="Times New Roman"/>
          <w:kern w:val="0"/>
        </w:rPr>
        <w:t xml:space="preserve">If the </w:t>
      </w:r>
      <w:r w:rsidR="00FB12AC">
        <w:rPr>
          <w:rFonts w:ascii="Times New Roman" w:hAnsi="Times New Roman" w:cs="Times New Roman"/>
          <w:kern w:val="0"/>
        </w:rPr>
        <w:t xml:space="preserve">land </w:t>
      </w:r>
      <w:r w:rsidRPr="00EB66D2">
        <w:rPr>
          <w:rFonts w:ascii="Times New Roman" w:hAnsi="Times New Roman" w:cs="Times New Roman"/>
          <w:kern w:val="0"/>
        </w:rPr>
        <w:t xml:space="preserve">is </w:t>
      </w:r>
      <w:r w:rsidR="00F94B1D" w:rsidRPr="003A5DDF">
        <w:rPr>
          <w:rFonts w:ascii="Times New Roman" w:hAnsi="Times New Roman" w:cs="Times New Roman"/>
          <w:kern w:val="0"/>
        </w:rPr>
        <w:t xml:space="preserve">transferred out of the name of the </w:t>
      </w:r>
      <w:r w:rsidR="003A5DDF" w:rsidRPr="003A5DDF">
        <w:rPr>
          <w:rFonts w:ascii="Times New Roman" w:hAnsi="Times New Roman" w:cs="Times New Roman"/>
          <w:kern w:val="0"/>
        </w:rPr>
        <w:t xml:space="preserve">current </w:t>
      </w:r>
      <w:r w:rsidR="00FB12AC">
        <w:rPr>
          <w:rFonts w:ascii="Times New Roman" w:hAnsi="Times New Roman" w:cs="Times New Roman"/>
          <w:kern w:val="0"/>
        </w:rPr>
        <w:t xml:space="preserve">owner </w:t>
      </w:r>
      <w:r w:rsidR="0016013F">
        <w:rPr>
          <w:rFonts w:ascii="Times New Roman" w:hAnsi="Times New Roman" w:cs="Times New Roman"/>
          <w:kern w:val="0"/>
        </w:rPr>
        <w:t>‘</w:t>
      </w:r>
      <w:proofErr w:type="spellStart"/>
      <w:r w:rsidR="0016013F" w:rsidRPr="009D25D6">
        <w:rPr>
          <w:rFonts w:ascii="Times New Roman" w:hAnsi="Times New Roman" w:cs="Times New Roman"/>
          <w:kern w:val="0"/>
        </w:rPr>
        <w:t>Stellulata</w:t>
      </w:r>
      <w:proofErr w:type="spellEnd"/>
      <w:r w:rsidR="0016013F" w:rsidRPr="009D25D6">
        <w:rPr>
          <w:rFonts w:ascii="Times New Roman" w:hAnsi="Times New Roman" w:cs="Times New Roman"/>
          <w:kern w:val="0"/>
        </w:rPr>
        <w:t xml:space="preserve"> Pty Ltd (ACN 626 741 857)</w:t>
      </w:r>
      <w:r w:rsidR="00F25A3C">
        <w:rPr>
          <w:rFonts w:ascii="Times New Roman" w:hAnsi="Times New Roman" w:cs="Times New Roman"/>
          <w:kern w:val="0"/>
        </w:rPr>
        <w:t xml:space="preserve"> or any alteration to the title is made</w:t>
      </w:r>
      <w:r w:rsidR="0016013F">
        <w:rPr>
          <w:rFonts w:ascii="Times New Roman" w:hAnsi="Times New Roman" w:cs="Times New Roman"/>
          <w:kern w:val="0"/>
        </w:rPr>
        <w:t>’</w:t>
      </w:r>
      <w:r w:rsidR="00681DBB">
        <w:rPr>
          <w:rFonts w:ascii="Times New Roman" w:hAnsi="Times New Roman" w:cs="Times New Roman"/>
          <w:kern w:val="0"/>
        </w:rPr>
        <w:t xml:space="preserve">, </w:t>
      </w:r>
      <w:r w:rsidR="00FB12AC">
        <w:rPr>
          <w:rFonts w:ascii="Times New Roman" w:hAnsi="Times New Roman" w:cs="Times New Roman"/>
          <w:kern w:val="0"/>
        </w:rPr>
        <w:t>th</w:t>
      </w:r>
      <w:r w:rsidR="0016013F">
        <w:rPr>
          <w:rFonts w:ascii="Times New Roman" w:hAnsi="Times New Roman" w:cs="Times New Roman"/>
          <w:kern w:val="0"/>
        </w:rPr>
        <w:t>is</w:t>
      </w:r>
      <w:r w:rsidR="00FB12AC">
        <w:rPr>
          <w:rFonts w:ascii="Times New Roman" w:hAnsi="Times New Roman" w:cs="Times New Roman"/>
          <w:kern w:val="0"/>
        </w:rPr>
        <w:t xml:space="preserve"> land tax exemption will </w:t>
      </w:r>
      <w:r w:rsidR="001B3934" w:rsidRPr="00EB66D2">
        <w:rPr>
          <w:rFonts w:ascii="Times New Roman" w:hAnsi="Times New Roman" w:cs="Times New Roman"/>
          <w:kern w:val="0"/>
        </w:rPr>
        <w:t>cease</w:t>
      </w:r>
      <w:r w:rsidR="001B3934">
        <w:rPr>
          <w:rFonts w:ascii="Times New Roman" w:hAnsi="Times New Roman" w:cs="Times New Roman"/>
          <w:kern w:val="0"/>
        </w:rPr>
        <w:t xml:space="preserve">. </w:t>
      </w:r>
      <w:r w:rsidR="00C47F05">
        <w:rPr>
          <w:rFonts w:ascii="Times New Roman" w:hAnsi="Times New Roman" w:cs="Times New Roman"/>
          <w:kern w:val="0"/>
        </w:rPr>
        <w:t xml:space="preserve">This exemption will also cease </w:t>
      </w:r>
      <w:r w:rsidR="00FB12AC">
        <w:rPr>
          <w:rFonts w:ascii="Times New Roman" w:hAnsi="Times New Roman" w:cs="Times New Roman"/>
          <w:kern w:val="0"/>
        </w:rPr>
        <w:t>i</w:t>
      </w:r>
      <w:r w:rsidR="001B3934">
        <w:rPr>
          <w:rFonts w:ascii="Times New Roman" w:hAnsi="Times New Roman" w:cs="Times New Roman"/>
          <w:kern w:val="0"/>
        </w:rPr>
        <w:t>f</w:t>
      </w:r>
      <w:r w:rsidR="00C47F05">
        <w:rPr>
          <w:rFonts w:ascii="Times New Roman" w:hAnsi="Times New Roman" w:cs="Times New Roman"/>
          <w:kern w:val="0"/>
        </w:rPr>
        <w:t xml:space="preserve">, at any time, </w:t>
      </w:r>
      <w:r w:rsidR="009D5F6F">
        <w:rPr>
          <w:rFonts w:ascii="Times New Roman" w:hAnsi="Times New Roman" w:cs="Times New Roman"/>
          <w:kern w:val="0"/>
        </w:rPr>
        <w:t>any</w:t>
      </w:r>
      <w:r w:rsidR="001B3934">
        <w:rPr>
          <w:rFonts w:ascii="Times New Roman" w:hAnsi="Times New Roman" w:cs="Times New Roman"/>
          <w:kern w:val="0"/>
        </w:rPr>
        <w:t xml:space="preserve"> dwelling </w:t>
      </w:r>
      <w:r w:rsidR="00C47F05">
        <w:rPr>
          <w:rFonts w:ascii="Times New Roman" w:hAnsi="Times New Roman" w:cs="Times New Roman"/>
          <w:kern w:val="0"/>
        </w:rPr>
        <w:t xml:space="preserve">on the land </w:t>
      </w:r>
      <w:r w:rsidR="009D5F6F">
        <w:rPr>
          <w:rFonts w:ascii="Times New Roman" w:hAnsi="Times New Roman" w:cs="Times New Roman"/>
          <w:kern w:val="0"/>
        </w:rPr>
        <w:t xml:space="preserve">is </w:t>
      </w:r>
      <w:r w:rsidR="00522739">
        <w:rPr>
          <w:rFonts w:ascii="Times New Roman" w:hAnsi="Times New Roman" w:cs="Times New Roman"/>
          <w:kern w:val="0"/>
        </w:rPr>
        <w:t xml:space="preserve">not </w:t>
      </w:r>
      <w:r w:rsidR="0016013F">
        <w:rPr>
          <w:rFonts w:ascii="Times New Roman" w:hAnsi="Times New Roman" w:cs="Times New Roman"/>
          <w:kern w:val="0"/>
        </w:rPr>
        <w:t xml:space="preserve">physically </w:t>
      </w:r>
      <w:r w:rsidR="00522739">
        <w:rPr>
          <w:rFonts w:ascii="Times New Roman" w:hAnsi="Times New Roman" w:cs="Times New Roman"/>
          <w:kern w:val="0"/>
        </w:rPr>
        <w:t>occupied</w:t>
      </w:r>
      <w:r w:rsidR="00C47F05">
        <w:rPr>
          <w:rFonts w:ascii="Times New Roman" w:hAnsi="Times New Roman" w:cs="Times New Roman"/>
          <w:kern w:val="0"/>
        </w:rPr>
        <w:t xml:space="preserve"> by the</w:t>
      </w:r>
      <w:r w:rsidR="0016013F">
        <w:rPr>
          <w:rFonts w:ascii="Times New Roman" w:hAnsi="Times New Roman" w:cs="Times New Roman"/>
          <w:kern w:val="0"/>
        </w:rPr>
        <w:t xml:space="preserve"> </w:t>
      </w:r>
      <w:r w:rsidR="00C47F05">
        <w:rPr>
          <w:rFonts w:ascii="Times New Roman" w:hAnsi="Times New Roman" w:cs="Times New Roman"/>
          <w:kern w:val="0"/>
        </w:rPr>
        <w:t>company</w:t>
      </w:r>
      <w:r w:rsidR="006938F6">
        <w:rPr>
          <w:rFonts w:ascii="Times New Roman" w:hAnsi="Times New Roman" w:cs="Times New Roman"/>
          <w:kern w:val="0"/>
        </w:rPr>
        <w:t>’s (</w:t>
      </w:r>
      <w:r w:rsidR="0016013F">
        <w:rPr>
          <w:rFonts w:ascii="Times New Roman" w:hAnsi="Times New Roman" w:cs="Times New Roman"/>
          <w:kern w:val="0"/>
        </w:rPr>
        <w:t>owner</w:t>
      </w:r>
      <w:r w:rsidR="007C0E71">
        <w:rPr>
          <w:rFonts w:ascii="Times New Roman" w:hAnsi="Times New Roman" w:cs="Times New Roman"/>
          <w:kern w:val="0"/>
        </w:rPr>
        <w:t>’s</w:t>
      </w:r>
      <w:r w:rsidR="006938F6">
        <w:rPr>
          <w:rFonts w:ascii="Times New Roman" w:hAnsi="Times New Roman" w:cs="Times New Roman"/>
          <w:kern w:val="0"/>
        </w:rPr>
        <w:t>)</w:t>
      </w:r>
      <w:r w:rsidR="00C47F05">
        <w:rPr>
          <w:rFonts w:ascii="Times New Roman" w:hAnsi="Times New Roman" w:cs="Times New Roman"/>
          <w:kern w:val="0"/>
        </w:rPr>
        <w:t xml:space="preserve"> shareholder</w:t>
      </w:r>
      <w:r w:rsidR="009D5F6F">
        <w:rPr>
          <w:rFonts w:ascii="Times New Roman" w:hAnsi="Times New Roman" w:cs="Times New Roman"/>
          <w:kern w:val="0"/>
        </w:rPr>
        <w:t xml:space="preserve"> that is entitled to the right to occupy the respective dwelling,</w:t>
      </w:r>
      <w:r w:rsidR="0016013F">
        <w:rPr>
          <w:rFonts w:ascii="Times New Roman" w:hAnsi="Times New Roman" w:cs="Times New Roman"/>
          <w:kern w:val="0"/>
        </w:rPr>
        <w:t xml:space="preserve"> </w:t>
      </w:r>
      <w:r w:rsidR="00522739">
        <w:rPr>
          <w:rFonts w:ascii="Times New Roman" w:hAnsi="Times New Roman" w:cs="Times New Roman"/>
          <w:kern w:val="0"/>
        </w:rPr>
        <w:t>as the</w:t>
      </w:r>
      <w:r w:rsidR="0016013F">
        <w:rPr>
          <w:rFonts w:ascii="Times New Roman" w:hAnsi="Times New Roman" w:cs="Times New Roman"/>
          <w:kern w:val="0"/>
        </w:rPr>
        <w:t>ir</w:t>
      </w:r>
      <w:r w:rsidR="00522739">
        <w:rPr>
          <w:rFonts w:ascii="Times New Roman" w:hAnsi="Times New Roman" w:cs="Times New Roman"/>
          <w:kern w:val="0"/>
        </w:rPr>
        <w:t xml:space="preserve"> principal place of residence</w:t>
      </w:r>
      <w:r w:rsidR="009027B8">
        <w:rPr>
          <w:rFonts w:ascii="Times New Roman" w:hAnsi="Times New Roman" w:cs="Times New Roman"/>
          <w:kern w:val="0"/>
        </w:rPr>
        <w:t xml:space="preserve">. </w:t>
      </w:r>
      <w:bookmarkEnd w:id="0"/>
      <w:r w:rsidR="009027B8">
        <w:rPr>
          <w:rFonts w:ascii="Times New Roman" w:hAnsi="Times New Roman" w:cs="Times New Roman"/>
          <w:kern w:val="0"/>
        </w:rPr>
        <w:t xml:space="preserve">For example, </w:t>
      </w:r>
      <w:r w:rsidR="006938F6">
        <w:rPr>
          <w:rFonts w:ascii="Times New Roman" w:hAnsi="Times New Roman" w:cs="Times New Roman"/>
          <w:kern w:val="0"/>
        </w:rPr>
        <w:t>if the dwelling is</w:t>
      </w:r>
      <w:r w:rsidR="00FB12AC">
        <w:rPr>
          <w:rFonts w:ascii="Times New Roman" w:hAnsi="Times New Roman" w:cs="Times New Roman"/>
          <w:kern w:val="0"/>
        </w:rPr>
        <w:t xml:space="preserve"> </w:t>
      </w:r>
      <w:r w:rsidR="007C0E71">
        <w:rPr>
          <w:rFonts w:ascii="Times New Roman" w:hAnsi="Times New Roman" w:cs="Times New Roman"/>
          <w:kern w:val="0"/>
        </w:rPr>
        <w:t xml:space="preserve">left vacant. </w:t>
      </w:r>
      <w:r w:rsidR="00293201">
        <w:rPr>
          <w:rFonts w:ascii="Times New Roman" w:hAnsi="Times New Roman" w:cs="Times New Roman"/>
          <w:kern w:val="0"/>
        </w:rPr>
        <w:t>In which case,</w:t>
      </w:r>
      <w:r w:rsidR="009027B8">
        <w:rPr>
          <w:rFonts w:ascii="Times New Roman" w:hAnsi="Times New Roman" w:cs="Times New Roman"/>
          <w:kern w:val="0"/>
        </w:rPr>
        <w:t xml:space="preserve"> this exemption will cease to apply</w:t>
      </w:r>
      <w:r w:rsidR="00522739">
        <w:rPr>
          <w:rFonts w:ascii="Times New Roman" w:hAnsi="Times New Roman" w:cs="Times New Roman"/>
          <w:kern w:val="0"/>
        </w:rPr>
        <w:t xml:space="preserve">. </w:t>
      </w:r>
      <w:r w:rsidR="001B3934">
        <w:rPr>
          <w:rFonts w:ascii="Times New Roman" w:hAnsi="Times New Roman" w:cs="Times New Roman"/>
          <w:kern w:val="0"/>
        </w:rPr>
        <w:t xml:space="preserve"> </w:t>
      </w:r>
      <w:r w:rsidR="007C0E71">
        <w:rPr>
          <w:rFonts w:ascii="Times New Roman" w:hAnsi="Times New Roman" w:cs="Times New Roman"/>
          <w:kern w:val="0"/>
        </w:rPr>
        <w:t>However,</w:t>
      </w:r>
      <w:r w:rsidR="00F25A3C">
        <w:rPr>
          <w:rFonts w:ascii="Times New Roman" w:hAnsi="Times New Roman" w:cs="Times New Roman"/>
          <w:kern w:val="0"/>
        </w:rPr>
        <w:t xml:space="preserve"> the exemption will continue to apply in the event of </w:t>
      </w:r>
      <w:r w:rsidR="007C0E71">
        <w:rPr>
          <w:rFonts w:ascii="Times New Roman" w:hAnsi="Times New Roman" w:cs="Times New Roman"/>
          <w:kern w:val="0"/>
        </w:rPr>
        <w:t>a</w:t>
      </w:r>
      <w:r w:rsidR="00F25A3C">
        <w:rPr>
          <w:rFonts w:ascii="Times New Roman" w:hAnsi="Times New Roman" w:cs="Times New Roman"/>
          <w:kern w:val="0"/>
        </w:rPr>
        <w:t xml:space="preserve"> death of one or more shareholders until such time the shares are transferred to a</w:t>
      </w:r>
      <w:r w:rsidR="00152372">
        <w:rPr>
          <w:rFonts w:ascii="Times New Roman" w:hAnsi="Times New Roman" w:cs="Times New Roman"/>
          <w:kern w:val="0"/>
        </w:rPr>
        <w:t xml:space="preserve"> new </w:t>
      </w:r>
      <w:r w:rsidR="00F25A3C">
        <w:rPr>
          <w:rFonts w:ascii="Times New Roman" w:hAnsi="Times New Roman" w:cs="Times New Roman"/>
          <w:kern w:val="0"/>
        </w:rPr>
        <w:t>person</w:t>
      </w:r>
      <w:r w:rsidR="00152372">
        <w:rPr>
          <w:rFonts w:ascii="Times New Roman" w:hAnsi="Times New Roman" w:cs="Times New Roman"/>
          <w:kern w:val="0"/>
        </w:rPr>
        <w:t xml:space="preserve"> (who is not </w:t>
      </w:r>
      <w:r w:rsidR="00DC0376">
        <w:rPr>
          <w:rFonts w:ascii="Times New Roman" w:hAnsi="Times New Roman" w:cs="Times New Roman"/>
          <w:kern w:val="0"/>
        </w:rPr>
        <w:t>a</w:t>
      </w:r>
      <w:r w:rsidR="00152372">
        <w:rPr>
          <w:rFonts w:ascii="Times New Roman" w:hAnsi="Times New Roman" w:cs="Times New Roman"/>
          <w:kern w:val="0"/>
        </w:rPr>
        <w:t xml:space="preserve"> shareholder already holding the right to occupy a corresponding dwelling</w:t>
      </w:r>
      <w:r w:rsidR="00DC0376">
        <w:rPr>
          <w:rFonts w:ascii="Times New Roman" w:hAnsi="Times New Roman" w:cs="Times New Roman"/>
          <w:kern w:val="0"/>
        </w:rPr>
        <w:t xml:space="preserve"> as their principal place of residence</w:t>
      </w:r>
      <w:r w:rsidR="00152372">
        <w:rPr>
          <w:rFonts w:ascii="Times New Roman" w:hAnsi="Times New Roman" w:cs="Times New Roman"/>
          <w:kern w:val="0"/>
        </w:rPr>
        <w:t>)</w:t>
      </w:r>
      <w:r w:rsidR="00F25A3C">
        <w:rPr>
          <w:rFonts w:ascii="Times New Roman" w:hAnsi="Times New Roman" w:cs="Times New Roman"/>
          <w:kern w:val="0"/>
        </w:rPr>
        <w:t xml:space="preserve"> or until after 2 years from the date of death of the shareholder/s, </w:t>
      </w:r>
      <w:r w:rsidR="00DC0376">
        <w:rPr>
          <w:rFonts w:ascii="Times New Roman" w:hAnsi="Times New Roman" w:cs="Times New Roman"/>
          <w:kern w:val="0"/>
        </w:rPr>
        <w:t>whichever</w:t>
      </w:r>
      <w:r w:rsidR="00F25A3C">
        <w:rPr>
          <w:rFonts w:ascii="Times New Roman" w:hAnsi="Times New Roman" w:cs="Times New Roman"/>
          <w:kern w:val="0"/>
        </w:rPr>
        <w:t xml:space="preserve"> occurs first. </w:t>
      </w:r>
    </w:p>
    <w:p w14:paraId="51B62FD5" w14:textId="77777777" w:rsidR="00DC0376" w:rsidRDefault="00DC0376" w:rsidP="0027237A">
      <w:pPr>
        <w:kinsoku w:val="0"/>
        <w:overflowPunct w:val="0"/>
        <w:autoSpaceDE w:val="0"/>
        <w:autoSpaceDN w:val="0"/>
        <w:adjustRightInd w:val="0"/>
        <w:spacing w:after="0" w:line="240" w:lineRule="auto"/>
        <w:jc w:val="both"/>
        <w:rPr>
          <w:rFonts w:ascii="Times New Roman" w:hAnsi="Times New Roman" w:cs="Times New Roman"/>
          <w:kern w:val="0"/>
        </w:rPr>
      </w:pPr>
    </w:p>
    <w:p w14:paraId="225A2D99" w14:textId="3BFF719C" w:rsidR="00664813" w:rsidRDefault="007C0E71" w:rsidP="0027237A">
      <w:pPr>
        <w:kinsoku w:val="0"/>
        <w:overflowPunct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If any corresponding dwelling is rented at any time including during the </w:t>
      </w:r>
      <w:r w:rsidR="00D32F7C">
        <w:rPr>
          <w:rFonts w:ascii="Times New Roman" w:hAnsi="Times New Roman" w:cs="Times New Roman"/>
          <w:kern w:val="0"/>
        </w:rPr>
        <w:t>2-year</w:t>
      </w:r>
      <w:r>
        <w:rPr>
          <w:rFonts w:ascii="Times New Roman" w:hAnsi="Times New Roman" w:cs="Times New Roman"/>
          <w:kern w:val="0"/>
        </w:rPr>
        <w:t xml:space="preserve"> period after the death of a shareholder, the exemption will cease to apply. </w:t>
      </w:r>
    </w:p>
    <w:p w14:paraId="612ED4A3" w14:textId="77777777" w:rsidR="00664813" w:rsidRDefault="00664813" w:rsidP="0027237A">
      <w:pPr>
        <w:kinsoku w:val="0"/>
        <w:overflowPunct w:val="0"/>
        <w:autoSpaceDE w:val="0"/>
        <w:autoSpaceDN w:val="0"/>
        <w:adjustRightInd w:val="0"/>
        <w:spacing w:after="0" w:line="240" w:lineRule="auto"/>
        <w:jc w:val="both"/>
        <w:rPr>
          <w:rFonts w:ascii="Times New Roman" w:hAnsi="Times New Roman" w:cs="Times New Roman"/>
          <w:kern w:val="0"/>
        </w:rPr>
      </w:pPr>
    </w:p>
    <w:p w14:paraId="34293463" w14:textId="78940272" w:rsidR="00EB66D2" w:rsidRPr="00EB66D2" w:rsidRDefault="00EB66D2" w:rsidP="0027237A">
      <w:pPr>
        <w:kinsoku w:val="0"/>
        <w:overflowPunct w:val="0"/>
        <w:autoSpaceDE w:val="0"/>
        <w:autoSpaceDN w:val="0"/>
        <w:adjustRightInd w:val="0"/>
        <w:spacing w:after="0" w:line="240" w:lineRule="auto"/>
        <w:jc w:val="both"/>
        <w:rPr>
          <w:rFonts w:ascii="Times New Roman" w:hAnsi="Times New Roman" w:cs="Times New Roman"/>
          <w:kern w:val="0"/>
        </w:rPr>
      </w:pPr>
      <w:r w:rsidRPr="00EB66D2">
        <w:rPr>
          <w:rFonts w:ascii="Times New Roman" w:hAnsi="Times New Roman" w:cs="Times New Roman"/>
          <w:kern w:val="0"/>
        </w:rPr>
        <w:t>This instrument</w:t>
      </w:r>
      <w:r w:rsidRPr="00EB66D2">
        <w:rPr>
          <w:rFonts w:ascii="Times New Roman" w:hAnsi="Times New Roman" w:cs="Times New Roman"/>
          <w:spacing w:val="20"/>
          <w:kern w:val="0"/>
        </w:rPr>
        <w:t xml:space="preserve"> </w:t>
      </w:r>
      <w:r w:rsidRPr="00EB66D2">
        <w:rPr>
          <w:rFonts w:ascii="Times New Roman" w:hAnsi="Times New Roman" w:cs="Times New Roman"/>
          <w:kern w:val="0"/>
        </w:rPr>
        <w:t>has effect from</w:t>
      </w:r>
      <w:r w:rsidR="001B3934">
        <w:rPr>
          <w:rFonts w:ascii="Times New Roman" w:hAnsi="Times New Roman" w:cs="Times New Roman"/>
          <w:kern w:val="0"/>
        </w:rPr>
        <w:t xml:space="preserve"> the day after the instrument is notified</w:t>
      </w:r>
      <w:r w:rsidRPr="00EB66D2">
        <w:rPr>
          <w:rFonts w:ascii="Times New Roman" w:hAnsi="Times New Roman" w:cs="Times New Roman"/>
          <w:kern w:val="0"/>
        </w:rPr>
        <w:t>.</w:t>
      </w:r>
    </w:p>
    <w:sectPr w:rsidR="00EB66D2" w:rsidRPr="00EB66D2" w:rsidSect="0027237A">
      <w:headerReference w:type="even" r:id="rId7"/>
      <w:headerReference w:type="default" r:id="rId8"/>
      <w:footerReference w:type="even" r:id="rId9"/>
      <w:footerReference w:type="default" r:id="rId10"/>
      <w:headerReference w:type="first" r:id="rId11"/>
      <w:footerReference w:type="first" r:id="rId12"/>
      <w:pgSz w:w="11910" w:h="16840" w:code="9"/>
      <w:pgMar w:top="1440" w:right="1797" w:bottom="1440" w:left="17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37304" w14:textId="77777777" w:rsidR="002917A9" w:rsidRDefault="002917A9" w:rsidP="00DB076C">
      <w:pPr>
        <w:spacing w:after="0" w:line="240" w:lineRule="auto"/>
      </w:pPr>
      <w:r>
        <w:separator/>
      </w:r>
    </w:p>
  </w:endnote>
  <w:endnote w:type="continuationSeparator" w:id="0">
    <w:p w14:paraId="450E8563" w14:textId="77777777" w:rsidR="002917A9" w:rsidRDefault="002917A9" w:rsidP="00DB0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618E" w14:textId="77777777" w:rsidR="001166FD" w:rsidRDefault="00116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0CA7" w14:textId="32D378C8" w:rsidR="00DB076C" w:rsidRPr="001166FD" w:rsidRDefault="001166FD" w:rsidP="001166FD">
    <w:pPr>
      <w:pStyle w:val="Footer"/>
      <w:jc w:val="center"/>
      <w:rPr>
        <w:rFonts w:ascii="Arial" w:hAnsi="Arial" w:cs="Arial"/>
        <w:sz w:val="14"/>
      </w:rPr>
    </w:pPr>
    <w:r w:rsidRPr="001166F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A291" w14:textId="77777777" w:rsidR="001166FD" w:rsidRDefault="00116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F1F6" w14:textId="77777777" w:rsidR="002917A9" w:rsidRDefault="002917A9" w:rsidP="00DB076C">
      <w:pPr>
        <w:spacing w:after="0" w:line="240" w:lineRule="auto"/>
      </w:pPr>
      <w:r>
        <w:separator/>
      </w:r>
    </w:p>
  </w:footnote>
  <w:footnote w:type="continuationSeparator" w:id="0">
    <w:p w14:paraId="1FC53BE6" w14:textId="77777777" w:rsidR="002917A9" w:rsidRDefault="002917A9" w:rsidP="00DB0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C910" w14:textId="77777777" w:rsidR="001166FD" w:rsidRDefault="00116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6812" w14:textId="77777777" w:rsidR="001166FD" w:rsidRDefault="00116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C785" w14:textId="77777777" w:rsidR="001166FD" w:rsidRDefault="00116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812" w:hanging="718"/>
      </w:pPr>
      <w:rPr>
        <w:rFonts w:ascii="Times New Roman" w:hAnsi="Times New Roman" w:cs="Times New Roman"/>
        <w:b w:val="0"/>
        <w:bCs w:val="0"/>
        <w:i w:val="0"/>
        <w:iCs w:val="0"/>
        <w:spacing w:val="0"/>
        <w:w w:val="104"/>
        <w:sz w:val="24"/>
        <w:szCs w:val="24"/>
      </w:rPr>
    </w:lvl>
    <w:lvl w:ilvl="1">
      <w:numFmt w:val="bullet"/>
      <w:lvlText w:val="•"/>
      <w:lvlJc w:val="left"/>
      <w:pPr>
        <w:ind w:left="1588" w:hanging="718"/>
      </w:pPr>
    </w:lvl>
    <w:lvl w:ilvl="2">
      <w:numFmt w:val="bullet"/>
      <w:lvlText w:val="•"/>
      <w:lvlJc w:val="left"/>
      <w:pPr>
        <w:ind w:left="2356" w:hanging="718"/>
      </w:pPr>
    </w:lvl>
    <w:lvl w:ilvl="3">
      <w:numFmt w:val="bullet"/>
      <w:lvlText w:val="•"/>
      <w:lvlJc w:val="left"/>
      <w:pPr>
        <w:ind w:left="3125" w:hanging="718"/>
      </w:pPr>
    </w:lvl>
    <w:lvl w:ilvl="4">
      <w:numFmt w:val="bullet"/>
      <w:lvlText w:val="•"/>
      <w:lvlJc w:val="left"/>
      <w:pPr>
        <w:ind w:left="3893" w:hanging="718"/>
      </w:pPr>
    </w:lvl>
    <w:lvl w:ilvl="5">
      <w:numFmt w:val="bullet"/>
      <w:lvlText w:val="•"/>
      <w:lvlJc w:val="left"/>
      <w:pPr>
        <w:ind w:left="4662" w:hanging="718"/>
      </w:pPr>
    </w:lvl>
    <w:lvl w:ilvl="6">
      <w:numFmt w:val="bullet"/>
      <w:lvlText w:val="•"/>
      <w:lvlJc w:val="left"/>
      <w:pPr>
        <w:ind w:left="5430" w:hanging="718"/>
      </w:pPr>
    </w:lvl>
    <w:lvl w:ilvl="7">
      <w:numFmt w:val="bullet"/>
      <w:lvlText w:val="•"/>
      <w:lvlJc w:val="left"/>
      <w:pPr>
        <w:ind w:left="6198" w:hanging="718"/>
      </w:pPr>
    </w:lvl>
    <w:lvl w:ilvl="8">
      <w:numFmt w:val="bullet"/>
      <w:lvlText w:val="•"/>
      <w:lvlJc w:val="left"/>
      <w:pPr>
        <w:ind w:left="6967" w:hanging="718"/>
      </w:pPr>
    </w:lvl>
  </w:abstractNum>
  <w:abstractNum w:abstractNumId="1" w15:restartNumberingAfterBreak="0">
    <w:nsid w:val="0BFB41D7"/>
    <w:multiLevelType w:val="hybridMultilevel"/>
    <w:tmpl w:val="0A5CC538"/>
    <w:lvl w:ilvl="0" w:tplc="87683920">
      <w:start w:val="1"/>
      <w:numFmt w:val="lowerLetter"/>
      <w:lvlText w:val="(%1)"/>
      <w:lvlJc w:val="left"/>
      <w:pPr>
        <w:ind w:left="459" w:hanging="360"/>
      </w:pPr>
      <w:rPr>
        <w:rFonts w:hint="default"/>
      </w:rPr>
    </w:lvl>
    <w:lvl w:ilvl="1" w:tplc="0C090019" w:tentative="1">
      <w:start w:val="1"/>
      <w:numFmt w:val="lowerLetter"/>
      <w:lvlText w:val="%2."/>
      <w:lvlJc w:val="left"/>
      <w:pPr>
        <w:ind w:left="1179" w:hanging="360"/>
      </w:pPr>
    </w:lvl>
    <w:lvl w:ilvl="2" w:tplc="0C09001B" w:tentative="1">
      <w:start w:val="1"/>
      <w:numFmt w:val="lowerRoman"/>
      <w:lvlText w:val="%3."/>
      <w:lvlJc w:val="right"/>
      <w:pPr>
        <w:ind w:left="1899" w:hanging="180"/>
      </w:pPr>
    </w:lvl>
    <w:lvl w:ilvl="3" w:tplc="0C09000F" w:tentative="1">
      <w:start w:val="1"/>
      <w:numFmt w:val="decimal"/>
      <w:lvlText w:val="%4."/>
      <w:lvlJc w:val="left"/>
      <w:pPr>
        <w:ind w:left="2619" w:hanging="360"/>
      </w:pPr>
    </w:lvl>
    <w:lvl w:ilvl="4" w:tplc="0C090019" w:tentative="1">
      <w:start w:val="1"/>
      <w:numFmt w:val="lowerLetter"/>
      <w:lvlText w:val="%5."/>
      <w:lvlJc w:val="left"/>
      <w:pPr>
        <w:ind w:left="3339" w:hanging="360"/>
      </w:pPr>
    </w:lvl>
    <w:lvl w:ilvl="5" w:tplc="0C09001B" w:tentative="1">
      <w:start w:val="1"/>
      <w:numFmt w:val="lowerRoman"/>
      <w:lvlText w:val="%6."/>
      <w:lvlJc w:val="right"/>
      <w:pPr>
        <w:ind w:left="4059" w:hanging="180"/>
      </w:pPr>
    </w:lvl>
    <w:lvl w:ilvl="6" w:tplc="0C09000F" w:tentative="1">
      <w:start w:val="1"/>
      <w:numFmt w:val="decimal"/>
      <w:lvlText w:val="%7."/>
      <w:lvlJc w:val="left"/>
      <w:pPr>
        <w:ind w:left="4779" w:hanging="360"/>
      </w:pPr>
    </w:lvl>
    <w:lvl w:ilvl="7" w:tplc="0C090019" w:tentative="1">
      <w:start w:val="1"/>
      <w:numFmt w:val="lowerLetter"/>
      <w:lvlText w:val="%8."/>
      <w:lvlJc w:val="left"/>
      <w:pPr>
        <w:ind w:left="5499" w:hanging="360"/>
      </w:pPr>
    </w:lvl>
    <w:lvl w:ilvl="8" w:tplc="0C09001B" w:tentative="1">
      <w:start w:val="1"/>
      <w:numFmt w:val="lowerRoman"/>
      <w:lvlText w:val="%9."/>
      <w:lvlJc w:val="right"/>
      <w:pPr>
        <w:ind w:left="6219" w:hanging="180"/>
      </w:pPr>
    </w:lvl>
  </w:abstractNum>
  <w:num w:numId="1" w16cid:durableId="855654254">
    <w:abstractNumId w:val="0"/>
  </w:num>
  <w:num w:numId="2" w16cid:durableId="2090152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D2"/>
    <w:rsid w:val="0005107F"/>
    <w:rsid w:val="001009C1"/>
    <w:rsid w:val="001166FD"/>
    <w:rsid w:val="00123CE9"/>
    <w:rsid w:val="00152372"/>
    <w:rsid w:val="0016013F"/>
    <w:rsid w:val="001B250D"/>
    <w:rsid w:val="001B3934"/>
    <w:rsid w:val="001C3A28"/>
    <w:rsid w:val="001C5D89"/>
    <w:rsid w:val="001E7BCF"/>
    <w:rsid w:val="001F3148"/>
    <w:rsid w:val="0027237A"/>
    <w:rsid w:val="0028335A"/>
    <w:rsid w:val="002917A9"/>
    <w:rsid w:val="00293201"/>
    <w:rsid w:val="002A1316"/>
    <w:rsid w:val="00303302"/>
    <w:rsid w:val="00392636"/>
    <w:rsid w:val="003A1B43"/>
    <w:rsid w:val="003A5DDF"/>
    <w:rsid w:val="003D7371"/>
    <w:rsid w:val="00406B72"/>
    <w:rsid w:val="00460B59"/>
    <w:rsid w:val="004B729A"/>
    <w:rsid w:val="00522739"/>
    <w:rsid w:val="005B307E"/>
    <w:rsid w:val="005C0E36"/>
    <w:rsid w:val="005E315B"/>
    <w:rsid w:val="0061592E"/>
    <w:rsid w:val="00632427"/>
    <w:rsid w:val="006349F9"/>
    <w:rsid w:val="00664813"/>
    <w:rsid w:val="00681DBB"/>
    <w:rsid w:val="006938F6"/>
    <w:rsid w:val="006D619E"/>
    <w:rsid w:val="00741820"/>
    <w:rsid w:val="0079297B"/>
    <w:rsid w:val="007C0E71"/>
    <w:rsid w:val="00805EBE"/>
    <w:rsid w:val="00845A0D"/>
    <w:rsid w:val="00877A45"/>
    <w:rsid w:val="008B0C00"/>
    <w:rsid w:val="009027B8"/>
    <w:rsid w:val="009D25D6"/>
    <w:rsid w:val="009D5F6F"/>
    <w:rsid w:val="009E1DBA"/>
    <w:rsid w:val="00A25D0B"/>
    <w:rsid w:val="00A803FE"/>
    <w:rsid w:val="00AE62E8"/>
    <w:rsid w:val="00B05AC4"/>
    <w:rsid w:val="00B25EE6"/>
    <w:rsid w:val="00B531F2"/>
    <w:rsid w:val="00B578B2"/>
    <w:rsid w:val="00B656DD"/>
    <w:rsid w:val="00B968A2"/>
    <w:rsid w:val="00BA29C8"/>
    <w:rsid w:val="00C22256"/>
    <w:rsid w:val="00C230EB"/>
    <w:rsid w:val="00C35448"/>
    <w:rsid w:val="00C46F59"/>
    <w:rsid w:val="00C47F05"/>
    <w:rsid w:val="00C93A39"/>
    <w:rsid w:val="00D11524"/>
    <w:rsid w:val="00D32F7C"/>
    <w:rsid w:val="00D40623"/>
    <w:rsid w:val="00D41715"/>
    <w:rsid w:val="00DB076C"/>
    <w:rsid w:val="00DC0376"/>
    <w:rsid w:val="00DD343F"/>
    <w:rsid w:val="00E35971"/>
    <w:rsid w:val="00E83D83"/>
    <w:rsid w:val="00EB66D2"/>
    <w:rsid w:val="00EC2B80"/>
    <w:rsid w:val="00F25A3C"/>
    <w:rsid w:val="00F82902"/>
    <w:rsid w:val="00F94B1D"/>
    <w:rsid w:val="00FB12AC"/>
    <w:rsid w:val="00FC2088"/>
    <w:rsid w:val="00FC470E"/>
    <w:rsid w:val="00FD15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3626B"/>
  <w15:chartTrackingRefBased/>
  <w15:docId w15:val="{788B47CD-FC05-42A8-8711-D2EAC6D6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6D2"/>
    <w:rPr>
      <w:rFonts w:eastAsiaTheme="majorEastAsia" w:cstheme="majorBidi"/>
      <w:color w:val="272727" w:themeColor="text1" w:themeTint="D8"/>
    </w:rPr>
  </w:style>
  <w:style w:type="paragraph" w:styleId="Title">
    <w:name w:val="Title"/>
    <w:basedOn w:val="Normal"/>
    <w:next w:val="Normal"/>
    <w:link w:val="TitleChar"/>
    <w:uiPriority w:val="10"/>
    <w:qFormat/>
    <w:rsid w:val="00EB6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6D2"/>
    <w:pPr>
      <w:spacing w:before="160"/>
      <w:jc w:val="center"/>
    </w:pPr>
    <w:rPr>
      <w:i/>
      <w:iCs/>
      <w:color w:val="404040" w:themeColor="text1" w:themeTint="BF"/>
    </w:rPr>
  </w:style>
  <w:style w:type="character" w:customStyle="1" w:styleId="QuoteChar">
    <w:name w:val="Quote Char"/>
    <w:basedOn w:val="DefaultParagraphFont"/>
    <w:link w:val="Quote"/>
    <w:uiPriority w:val="29"/>
    <w:rsid w:val="00EB66D2"/>
    <w:rPr>
      <w:i/>
      <w:iCs/>
      <w:color w:val="404040" w:themeColor="text1" w:themeTint="BF"/>
    </w:rPr>
  </w:style>
  <w:style w:type="paragraph" w:styleId="ListParagraph">
    <w:name w:val="List Paragraph"/>
    <w:basedOn w:val="Normal"/>
    <w:uiPriority w:val="34"/>
    <w:qFormat/>
    <w:rsid w:val="00EB66D2"/>
    <w:pPr>
      <w:ind w:left="720"/>
      <w:contextualSpacing/>
    </w:pPr>
  </w:style>
  <w:style w:type="character" w:styleId="IntenseEmphasis">
    <w:name w:val="Intense Emphasis"/>
    <w:basedOn w:val="DefaultParagraphFont"/>
    <w:uiPriority w:val="21"/>
    <w:qFormat/>
    <w:rsid w:val="00EB66D2"/>
    <w:rPr>
      <w:i/>
      <w:iCs/>
      <w:color w:val="0F4761" w:themeColor="accent1" w:themeShade="BF"/>
    </w:rPr>
  </w:style>
  <w:style w:type="paragraph" w:styleId="IntenseQuote">
    <w:name w:val="Intense Quote"/>
    <w:basedOn w:val="Normal"/>
    <w:next w:val="Normal"/>
    <w:link w:val="IntenseQuoteChar"/>
    <w:uiPriority w:val="30"/>
    <w:qFormat/>
    <w:rsid w:val="00EB6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6D2"/>
    <w:rPr>
      <w:i/>
      <w:iCs/>
      <w:color w:val="0F4761" w:themeColor="accent1" w:themeShade="BF"/>
    </w:rPr>
  </w:style>
  <w:style w:type="character" w:styleId="IntenseReference">
    <w:name w:val="Intense Reference"/>
    <w:basedOn w:val="DefaultParagraphFont"/>
    <w:uiPriority w:val="32"/>
    <w:qFormat/>
    <w:rsid w:val="00EB66D2"/>
    <w:rPr>
      <w:b/>
      <w:bCs/>
      <w:smallCaps/>
      <w:color w:val="0F4761" w:themeColor="accent1" w:themeShade="BF"/>
      <w:spacing w:val="5"/>
    </w:rPr>
  </w:style>
  <w:style w:type="paragraph" w:styleId="Revision">
    <w:name w:val="Revision"/>
    <w:hidden/>
    <w:uiPriority w:val="99"/>
    <w:semiHidden/>
    <w:rsid w:val="00522739"/>
    <w:pPr>
      <w:spacing w:after="0" w:line="240" w:lineRule="auto"/>
    </w:pPr>
  </w:style>
  <w:style w:type="character" w:styleId="CommentReference">
    <w:name w:val="annotation reference"/>
    <w:basedOn w:val="DefaultParagraphFont"/>
    <w:uiPriority w:val="99"/>
    <w:semiHidden/>
    <w:unhideWhenUsed/>
    <w:rsid w:val="00B968A2"/>
    <w:rPr>
      <w:sz w:val="16"/>
      <w:szCs w:val="16"/>
    </w:rPr>
  </w:style>
  <w:style w:type="paragraph" w:styleId="CommentText">
    <w:name w:val="annotation text"/>
    <w:basedOn w:val="Normal"/>
    <w:link w:val="CommentTextChar"/>
    <w:uiPriority w:val="99"/>
    <w:unhideWhenUsed/>
    <w:rsid w:val="00B968A2"/>
    <w:pPr>
      <w:spacing w:line="240" w:lineRule="auto"/>
    </w:pPr>
    <w:rPr>
      <w:sz w:val="20"/>
      <w:szCs w:val="20"/>
    </w:rPr>
  </w:style>
  <w:style w:type="character" w:customStyle="1" w:styleId="CommentTextChar">
    <w:name w:val="Comment Text Char"/>
    <w:basedOn w:val="DefaultParagraphFont"/>
    <w:link w:val="CommentText"/>
    <w:uiPriority w:val="99"/>
    <w:rsid w:val="00B968A2"/>
    <w:rPr>
      <w:sz w:val="20"/>
      <w:szCs w:val="20"/>
    </w:rPr>
  </w:style>
  <w:style w:type="paragraph" w:styleId="CommentSubject">
    <w:name w:val="annotation subject"/>
    <w:basedOn w:val="CommentText"/>
    <w:next w:val="CommentText"/>
    <w:link w:val="CommentSubjectChar"/>
    <w:uiPriority w:val="99"/>
    <w:semiHidden/>
    <w:unhideWhenUsed/>
    <w:rsid w:val="00B968A2"/>
    <w:rPr>
      <w:b/>
      <w:bCs/>
    </w:rPr>
  </w:style>
  <w:style w:type="character" w:customStyle="1" w:styleId="CommentSubjectChar">
    <w:name w:val="Comment Subject Char"/>
    <w:basedOn w:val="CommentTextChar"/>
    <w:link w:val="CommentSubject"/>
    <w:uiPriority w:val="99"/>
    <w:semiHidden/>
    <w:rsid w:val="00B968A2"/>
    <w:rPr>
      <w:b/>
      <w:bCs/>
      <w:sz w:val="20"/>
      <w:szCs w:val="20"/>
    </w:rPr>
  </w:style>
  <w:style w:type="paragraph" w:styleId="Header">
    <w:name w:val="header"/>
    <w:basedOn w:val="Normal"/>
    <w:link w:val="HeaderChar"/>
    <w:uiPriority w:val="99"/>
    <w:unhideWhenUsed/>
    <w:rsid w:val="00DB0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76C"/>
  </w:style>
  <w:style w:type="paragraph" w:styleId="Footer">
    <w:name w:val="footer"/>
    <w:basedOn w:val="Normal"/>
    <w:link w:val="FooterChar"/>
    <w:uiPriority w:val="99"/>
    <w:unhideWhenUsed/>
    <w:rsid w:val="00DB0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76C"/>
  </w:style>
  <w:style w:type="paragraph" w:customStyle="1" w:styleId="Billname">
    <w:name w:val="Billname"/>
    <w:basedOn w:val="Normal"/>
    <w:rsid w:val="0027237A"/>
    <w:pPr>
      <w:tabs>
        <w:tab w:val="left" w:pos="2400"/>
        <w:tab w:val="left" w:pos="2880"/>
      </w:tabs>
      <w:spacing w:before="1220" w:after="100" w:line="240" w:lineRule="auto"/>
    </w:pPr>
    <w:rPr>
      <w:rFonts w:ascii="Arial" w:eastAsia="Times New Roman" w:hAnsi="Arial" w:cs="Times New Roman"/>
      <w:b/>
      <w:kern w:val="0"/>
      <w:sz w:val="40"/>
      <w:szCs w:val="20"/>
      <w14:ligatures w14:val="none"/>
    </w:rPr>
  </w:style>
  <w:style w:type="paragraph" w:customStyle="1" w:styleId="madeunder">
    <w:name w:val="made under"/>
    <w:basedOn w:val="Normal"/>
    <w:rsid w:val="0027237A"/>
    <w:pPr>
      <w:spacing w:before="180" w:after="60" w:line="240" w:lineRule="auto"/>
      <w:jc w:val="both"/>
    </w:pPr>
    <w:rPr>
      <w:rFonts w:ascii="Times New Roman" w:eastAsia="Times New Roman" w:hAnsi="Times New Roman" w:cs="Times New Roman"/>
      <w:kern w:val="0"/>
      <w:szCs w:val="20"/>
      <w14:ligatures w14:val="none"/>
    </w:rPr>
  </w:style>
  <w:style w:type="paragraph" w:customStyle="1" w:styleId="CoverActName">
    <w:name w:val="CoverActName"/>
    <w:basedOn w:val="Normal"/>
    <w:rsid w:val="0027237A"/>
    <w:pPr>
      <w:tabs>
        <w:tab w:val="left" w:pos="2600"/>
      </w:tabs>
      <w:spacing w:before="200" w:after="60" w:line="240" w:lineRule="auto"/>
      <w:jc w:val="both"/>
    </w:pPr>
    <w:rPr>
      <w:rFonts w:ascii="Arial" w:eastAsia="Times New Roman" w:hAnsi="Arial" w:cs="Times New Roman"/>
      <w:b/>
      <w:kern w:val="0"/>
      <w:szCs w:val="20"/>
      <w14:ligatures w14:val="none"/>
    </w:rPr>
  </w:style>
  <w:style w:type="paragraph" w:customStyle="1" w:styleId="N-line3">
    <w:name w:val="N-line3"/>
    <w:basedOn w:val="Normal"/>
    <w:next w:val="Normal"/>
    <w:rsid w:val="0027237A"/>
    <w:pPr>
      <w:pBdr>
        <w:bottom w:val="single" w:sz="12" w:space="1" w:color="auto"/>
      </w:pBdr>
      <w:spacing w:after="0" w:line="240" w:lineRule="auto"/>
      <w:jc w:val="both"/>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3191</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Shani</dc:creator>
  <cp:keywords/>
  <dc:description/>
  <cp:lastModifiedBy>PCODCS</cp:lastModifiedBy>
  <cp:revision>4</cp:revision>
  <dcterms:created xsi:type="dcterms:W3CDTF">2025-12-21T23:59:00Z</dcterms:created>
  <dcterms:modified xsi:type="dcterms:W3CDTF">2025-12-21T23:59:00Z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2025-10-16T01:26:02Z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f02e7134-6411-4369-8014-f634f61e9bf1</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