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CC03" w14:textId="77777777" w:rsidR="005B1978" w:rsidRDefault="005B1978" w:rsidP="005B1978">
      <w:pPr>
        <w:spacing w:before="120"/>
      </w:pPr>
      <w:r>
        <w:t>Australian Capital Territory</w:t>
      </w:r>
    </w:p>
    <w:p w14:paraId="1E7C1AD8" w14:textId="7CE716BA" w:rsidR="00AE312F" w:rsidRPr="00104503" w:rsidRDefault="00AE312F" w:rsidP="0068362E">
      <w:pPr>
        <w:tabs>
          <w:tab w:val="left" w:pos="2400"/>
          <w:tab w:val="left" w:pos="2880"/>
        </w:tabs>
        <w:spacing w:before="700" w:after="100"/>
        <w:rPr>
          <w:rFonts w:cs="Times New Roman"/>
          <w:b/>
          <w:sz w:val="40"/>
          <w:szCs w:val="20"/>
        </w:rPr>
      </w:pPr>
      <w:r w:rsidRPr="00104503">
        <w:rPr>
          <w:rFonts w:cs="Times New Roman"/>
          <w:b/>
          <w:sz w:val="40"/>
          <w:szCs w:val="20"/>
        </w:rPr>
        <w:t>Urban Forest</w:t>
      </w:r>
      <w:r>
        <w:rPr>
          <w:rFonts w:cs="Times New Roman"/>
          <w:b/>
          <w:sz w:val="40"/>
          <w:szCs w:val="20"/>
        </w:rPr>
        <w:t xml:space="preserve"> (Molonglo Town Centre)</w:t>
      </w:r>
      <w:r w:rsidRPr="00104503">
        <w:rPr>
          <w:rFonts w:cs="Times New Roman"/>
          <w:b/>
          <w:sz w:val="40"/>
          <w:szCs w:val="20"/>
        </w:rPr>
        <w:t xml:space="preserve"> Declaration 202</w:t>
      </w:r>
      <w:r w:rsidR="0068362E">
        <w:rPr>
          <w:rFonts w:cs="Times New Roman"/>
          <w:b/>
          <w:sz w:val="40"/>
          <w:szCs w:val="20"/>
        </w:rPr>
        <w:t>6</w:t>
      </w:r>
      <w:r w:rsidR="00D46F14">
        <w:rPr>
          <w:rFonts w:cs="Times New Roman"/>
          <w:b/>
          <w:sz w:val="40"/>
          <w:szCs w:val="20"/>
        </w:rPr>
        <w:t xml:space="preserve"> (No 1)</w:t>
      </w:r>
    </w:p>
    <w:p w14:paraId="7600B529" w14:textId="42F6743B" w:rsidR="000E0B61" w:rsidRDefault="000E0B61" w:rsidP="005B1978">
      <w:pPr>
        <w:pStyle w:val="madeunder"/>
        <w:spacing w:before="240" w:after="120"/>
        <w:rPr>
          <w:b/>
          <w:bCs/>
        </w:rPr>
      </w:pPr>
      <w:r w:rsidRPr="000E0B61">
        <w:rPr>
          <w:b/>
          <w:bCs/>
        </w:rPr>
        <w:t xml:space="preserve">Disallowable instrument </w:t>
      </w:r>
      <w:r w:rsidR="006E051A" w:rsidRPr="00104503">
        <w:rPr>
          <w:b/>
          <w:bCs/>
          <w:szCs w:val="20"/>
        </w:rPr>
        <w:t>DI</w:t>
      </w:r>
      <w:r w:rsidR="006E051A" w:rsidRPr="00104503">
        <w:rPr>
          <w:b/>
          <w:bCs/>
          <w:iCs/>
          <w:szCs w:val="20"/>
        </w:rPr>
        <w:t>202</w:t>
      </w:r>
      <w:r w:rsidR="006E051A">
        <w:rPr>
          <w:b/>
          <w:bCs/>
          <w:iCs/>
          <w:szCs w:val="20"/>
        </w:rPr>
        <w:t>6</w:t>
      </w:r>
      <w:r w:rsidR="006E051A" w:rsidRPr="00104503">
        <w:rPr>
          <w:b/>
          <w:bCs/>
          <w:szCs w:val="20"/>
        </w:rPr>
        <w:t>–</w:t>
      </w:r>
      <w:r w:rsidR="00BF7C4E">
        <w:rPr>
          <w:b/>
          <w:bCs/>
          <w:szCs w:val="20"/>
        </w:rPr>
        <w:t>14</w:t>
      </w:r>
    </w:p>
    <w:p w14:paraId="182FA85C" w14:textId="779A501F" w:rsidR="005B1978" w:rsidRDefault="005B1978" w:rsidP="005B1978">
      <w:pPr>
        <w:pStyle w:val="madeunder"/>
        <w:spacing w:before="240" w:after="120"/>
        <w:rPr>
          <w:rFonts w:ascii="Times New Roman" w:hAnsi="Times New Roman" w:cs="Times New Roman"/>
        </w:rPr>
      </w:pPr>
      <w:r>
        <w:rPr>
          <w:rFonts w:ascii="Times New Roman" w:hAnsi="Times New Roman" w:cs="Times New Roman"/>
        </w:rPr>
        <w:t>made under the</w:t>
      </w:r>
    </w:p>
    <w:p w14:paraId="334A2CAA" w14:textId="5BCFF0C9" w:rsidR="002F1BED" w:rsidRDefault="002F1BED" w:rsidP="0068362E">
      <w:pPr>
        <w:pStyle w:val="CoverActName"/>
        <w:spacing w:before="320" w:after="0"/>
        <w:jc w:val="left"/>
        <w:rPr>
          <w:sz w:val="20"/>
        </w:rPr>
      </w:pPr>
      <w:r>
        <w:rPr>
          <w:i/>
          <w:iCs/>
          <w:sz w:val="20"/>
        </w:rPr>
        <w:t>Urban Forest</w:t>
      </w:r>
      <w:r w:rsidRPr="00044572">
        <w:rPr>
          <w:i/>
          <w:iCs/>
          <w:sz w:val="20"/>
        </w:rPr>
        <w:t xml:space="preserve"> Act</w:t>
      </w:r>
      <w:r>
        <w:rPr>
          <w:i/>
          <w:iCs/>
          <w:sz w:val="20"/>
        </w:rPr>
        <w:t xml:space="preserve"> 2023</w:t>
      </w:r>
      <w:r>
        <w:rPr>
          <w:sz w:val="20"/>
        </w:rPr>
        <w:t>, section 137 (Power to apply or disapply legislation to entities or activities)</w:t>
      </w:r>
    </w:p>
    <w:p w14:paraId="69276084" w14:textId="56F48D04" w:rsidR="005B1978" w:rsidRPr="00CB0432" w:rsidRDefault="005B1978" w:rsidP="001A1B47">
      <w:pPr>
        <w:pStyle w:val="Heading1"/>
        <w:ind w:left="0"/>
      </w:pPr>
      <w:r w:rsidRPr="00CB0432">
        <w:t>EXPLANATORY STATEMENT</w:t>
      </w:r>
    </w:p>
    <w:p w14:paraId="26AE8730" w14:textId="77777777" w:rsidR="005B1978" w:rsidRDefault="005B1978" w:rsidP="005B1978">
      <w:pPr>
        <w:pStyle w:val="N-line3"/>
        <w:pBdr>
          <w:bottom w:val="none" w:sz="0" w:space="0" w:color="auto"/>
        </w:pBdr>
        <w:rPr>
          <w:rFonts w:ascii="Times New Roman" w:hAnsi="Times New Roman" w:cs="Times New Roman"/>
        </w:rPr>
      </w:pPr>
    </w:p>
    <w:p w14:paraId="1085111C" w14:textId="77777777" w:rsidR="005B1978" w:rsidRPr="00911D8D" w:rsidRDefault="005B1978" w:rsidP="00911D8D">
      <w:pPr>
        <w:pStyle w:val="N-line3"/>
        <w:pBdr>
          <w:top w:val="single" w:sz="12" w:space="1" w:color="auto"/>
          <w:bottom w:val="none" w:sz="0" w:space="0" w:color="auto"/>
        </w:pBdr>
        <w:spacing w:after="120"/>
        <w:rPr>
          <w:rFonts w:ascii="Times New Roman" w:hAnsi="Times New Roman" w:cs="Times New Roman"/>
        </w:rPr>
      </w:pPr>
    </w:p>
    <w:p w14:paraId="26E0E0AD" w14:textId="58EFE399" w:rsidR="00180ECE" w:rsidRPr="00911D8D" w:rsidRDefault="000E0B61" w:rsidP="00F57C39">
      <w:pPr>
        <w:tabs>
          <w:tab w:val="left" w:pos="2600"/>
        </w:tabs>
        <w:autoSpaceDE w:val="0"/>
        <w:autoSpaceDN w:val="0"/>
        <w:adjustRightInd w:val="0"/>
        <w:spacing w:before="240" w:after="240"/>
        <w:rPr>
          <w:rFonts w:ascii="Times New Roman" w:hAnsi="Times New Roman" w:cs="Times New Roman"/>
        </w:rPr>
      </w:pPr>
      <w:r w:rsidRPr="00911D8D">
        <w:rPr>
          <w:rFonts w:ascii="Times New Roman" w:hAnsi="Times New Roman" w:cs="Times New Roman"/>
        </w:rPr>
        <w:t>Section 13</w:t>
      </w:r>
      <w:r w:rsidR="002F1BED" w:rsidRPr="00911D8D">
        <w:rPr>
          <w:rFonts w:ascii="Times New Roman" w:hAnsi="Times New Roman" w:cs="Times New Roman"/>
        </w:rPr>
        <w:t>7</w:t>
      </w:r>
      <w:r w:rsidRPr="00911D8D">
        <w:rPr>
          <w:rFonts w:ascii="Times New Roman" w:hAnsi="Times New Roman" w:cs="Times New Roman"/>
        </w:rPr>
        <w:t xml:space="preserve"> </w:t>
      </w:r>
      <w:r w:rsidR="00F5708E" w:rsidRPr="00911D8D">
        <w:rPr>
          <w:rFonts w:ascii="Times New Roman" w:hAnsi="Times New Roman" w:cs="Times New Roman"/>
        </w:rPr>
        <w:t>(1)</w:t>
      </w:r>
      <w:r w:rsidR="00180ECE" w:rsidRPr="00911D8D">
        <w:rPr>
          <w:rFonts w:ascii="Times New Roman" w:hAnsi="Times New Roman" w:cs="Times New Roman"/>
        </w:rPr>
        <w:t xml:space="preserve"> </w:t>
      </w:r>
      <w:r w:rsidR="00F5708E" w:rsidRPr="00911D8D">
        <w:rPr>
          <w:rFonts w:ascii="Times New Roman" w:hAnsi="Times New Roman" w:cs="Times New Roman"/>
        </w:rPr>
        <w:t xml:space="preserve">(b) </w:t>
      </w:r>
      <w:r w:rsidRPr="00911D8D">
        <w:rPr>
          <w:rFonts w:ascii="Times New Roman" w:hAnsi="Times New Roman" w:cs="Times New Roman"/>
        </w:rPr>
        <w:t>of the</w:t>
      </w:r>
      <w:r w:rsidR="00EE42AB" w:rsidRPr="00911D8D">
        <w:rPr>
          <w:rFonts w:ascii="Times New Roman" w:hAnsi="Times New Roman" w:cs="Times New Roman"/>
        </w:rPr>
        <w:t xml:space="preserve"> </w:t>
      </w:r>
      <w:r w:rsidR="007B6BC5" w:rsidRPr="00911D8D">
        <w:rPr>
          <w:rFonts w:ascii="Times New Roman" w:hAnsi="Times New Roman" w:cs="Times New Roman"/>
          <w:i/>
          <w:iCs/>
        </w:rPr>
        <w:t>Urban Forest Act 2023</w:t>
      </w:r>
      <w:r w:rsidR="00EE42AB" w:rsidRPr="00911D8D">
        <w:rPr>
          <w:rFonts w:ascii="Times New Roman" w:hAnsi="Times New Roman" w:cs="Times New Roman"/>
        </w:rPr>
        <w:t xml:space="preserve"> </w:t>
      </w:r>
      <w:r w:rsidR="00DB31EA" w:rsidRPr="00911D8D">
        <w:rPr>
          <w:rFonts w:ascii="Times New Roman" w:hAnsi="Times New Roman" w:cs="Times New Roman"/>
        </w:rPr>
        <w:t xml:space="preserve">(the </w:t>
      </w:r>
      <w:r w:rsidR="00DB31EA" w:rsidRPr="0068362E">
        <w:rPr>
          <w:rFonts w:ascii="Times New Roman" w:hAnsi="Times New Roman" w:cs="Times New Roman"/>
          <w:b/>
          <w:bCs/>
          <w:i/>
          <w:iCs/>
        </w:rPr>
        <w:t>Act</w:t>
      </w:r>
      <w:r w:rsidR="00DB31EA" w:rsidRPr="00911D8D">
        <w:rPr>
          <w:rFonts w:ascii="Times New Roman" w:hAnsi="Times New Roman" w:cs="Times New Roman"/>
        </w:rPr>
        <w:t xml:space="preserve">) </w:t>
      </w:r>
      <w:r w:rsidRPr="00911D8D">
        <w:rPr>
          <w:rFonts w:ascii="Times New Roman" w:hAnsi="Times New Roman" w:cs="Times New Roman"/>
        </w:rPr>
        <w:t xml:space="preserve">allows the Minister to declare that a provision of the </w:t>
      </w:r>
      <w:r w:rsidR="007B6BC5" w:rsidRPr="00911D8D">
        <w:rPr>
          <w:rFonts w:ascii="Times New Roman" w:hAnsi="Times New Roman" w:cs="Times New Roman"/>
        </w:rPr>
        <w:t>Act</w:t>
      </w:r>
      <w:r w:rsidRPr="00911D8D">
        <w:rPr>
          <w:rFonts w:ascii="Times New Roman" w:hAnsi="Times New Roman" w:cs="Times New Roman"/>
        </w:rPr>
        <w:t xml:space="preserve"> does not apply to a </w:t>
      </w:r>
      <w:r w:rsidR="001F6A21" w:rsidRPr="00911D8D">
        <w:rPr>
          <w:rFonts w:ascii="Times New Roman" w:hAnsi="Times New Roman" w:cs="Times New Roman"/>
        </w:rPr>
        <w:t>stated entity or activity</w:t>
      </w:r>
      <w:r w:rsidRPr="00911D8D">
        <w:rPr>
          <w:rFonts w:ascii="Times New Roman" w:hAnsi="Times New Roman" w:cs="Times New Roman"/>
        </w:rPr>
        <w:t>.</w:t>
      </w:r>
      <w:r w:rsidR="00911D8D" w:rsidRPr="00911D8D">
        <w:rPr>
          <w:rFonts w:ascii="Times New Roman" w:hAnsi="Times New Roman" w:cs="Times New Roman"/>
        </w:rPr>
        <w:t xml:space="preserve"> </w:t>
      </w:r>
      <w:r w:rsidR="00180ECE" w:rsidRPr="00911D8D">
        <w:rPr>
          <w:rFonts w:ascii="Times New Roman" w:hAnsi="Times New Roman" w:cs="Times New Roman"/>
        </w:rPr>
        <w:t>Section</w:t>
      </w:r>
      <w:r w:rsidR="0068362E">
        <w:rPr>
          <w:rFonts w:ascii="Times New Roman" w:hAnsi="Times New Roman" w:cs="Times New Roman"/>
        </w:rPr>
        <w:t> </w:t>
      </w:r>
      <w:r w:rsidR="00180ECE" w:rsidRPr="00911D8D">
        <w:rPr>
          <w:rFonts w:ascii="Times New Roman" w:hAnsi="Times New Roman" w:cs="Times New Roman"/>
        </w:rPr>
        <w:t xml:space="preserve">48 (1) (b) of the </w:t>
      </w:r>
      <w:r w:rsidR="00180ECE" w:rsidRPr="00911D8D">
        <w:rPr>
          <w:rFonts w:ascii="Times New Roman" w:hAnsi="Times New Roman" w:cs="Times New Roman"/>
          <w:i/>
          <w:iCs/>
        </w:rPr>
        <w:t>Legislation Act 2001</w:t>
      </w:r>
      <w:r w:rsidR="00180ECE" w:rsidRPr="00911D8D">
        <w:rPr>
          <w:rFonts w:ascii="Times New Roman" w:hAnsi="Times New Roman" w:cs="Times New Roman"/>
        </w:rPr>
        <w:t xml:space="preserve"> provides that a power given under an Act to make a statutory instrument includes the power to make an instrument that applies differently by reference to stated exceptions or factors.</w:t>
      </w:r>
    </w:p>
    <w:p w14:paraId="3A0CAD5A" w14:textId="77777777" w:rsidR="008A1564" w:rsidRDefault="008A1564" w:rsidP="00F57C39">
      <w:pPr>
        <w:tabs>
          <w:tab w:val="left" w:pos="2600"/>
        </w:tabs>
        <w:autoSpaceDE w:val="0"/>
        <w:autoSpaceDN w:val="0"/>
        <w:adjustRightInd w:val="0"/>
        <w:spacing w:before="240" w:after="240"/>
        <w:rPr>
          <w:rFonts w:ascii="Times New Roman" w:hAnsi="Times New Roman" w:cs="Times New Roman"/>
          <w:b/>
          <w:bCs/>
        </w:rPr>
      </w:pPr>
      <w:r w:rsidRPr="00911D8D">
        <w:rPr>
          <w:rFonts w:ascii="Times New Roman" w:hAnsi="Times New Roman" w:cs="Times New Roman"/>
          <w:b/>
          <w:bCs/>
        </w:rPr>
        <w:t>Overview</w:t>
      </w:r>
    </w:p>
    <w:p w14:paraId="0C121E6E" w14:textId="7717A02A" w:rsidR="006C30E0" w:rsidRDefault="0001445D" w:rsidP="00F57C39">
      <w:pPr>
        <w:tabs>
          <w:tab w:val="left" w:pos="2600"/>
        </w:tabs>
        <w:autoSpaceDE w:val="0"/>
        <w:autoSpaceDN w:val="0"/>
        <w:adjustRightInd w:val="0"/>
        <w:spacing w:before="240" w:after="240"/>
        <w:rPr>
          <w:rFonts w:ascii="Times New Roman" w:hAnsi="Times New Roman" w:cs="Times New Roman"/>
        </w:rPr>
      </w:pPr>
      <w:r>
        <w:rPr>
          <w:rFonts w:ascii="Times New Roman" w:hAnsi="Times New Roman" w:cs="Times New Roman"/>
        </w:rPr>
        <w:t xml:space="preserve">The Act commenced on 1 January 2024 and repealed and replaced the </w:t>
      </w:r>
      <w:r>
        <w:rPr>
          <w:rFonts w:ascii="Times New Roman" w:hAnsi="Times New Roman" w:cs="Times New Roman"/>
          <w:i/>
          <w:iCs/>
        </w:rPr>
        <w:t>Tree Protection Act 2005</w:t>
      </w:r>
      <w:r>
        <w:rPr>
          <w:rFonts w:ascii="Times New Roman" w:hAnsi="Times New Roman" w:cs="Times New Roman"/>
        </w:rPr>
        <w:t xml:space="preserve">. The </w:t>
      </w:r>
      <w:r w:rsidR="0068362E">
        <w:rPr>
          <w:rFonts w:ascii="Times New Roman" w:hAnsi="Times New Roman" w:cs="Times New Roman"/>
        </w:rPr>
        <w:t>r</w:t>
      </w:r>
      <w:r w:rsidR="004A4D73">
        <w:rPr>
          <w:rFonts w:ascii="Times New Roman" w:hAnsi="Times New Roman" w:cs="Times New Roman"/>
        </w:rPr>
        <w:t xml:space="preserve">evised </w:t>
      </w:r>
      <w:r w:rsidR="0068362E">
        <w:rPr>
          <w:rFonts w:ascii="Times New Roman" w:hAnsi="Times New Roman" w:cs="Times New Roman"/>
        </w:rPr>
        <w:t>e</w:t>
      </w:r>
      <w:r w:rsidR="004A4D73">
        <w:rPr>
          <w:rFonts w:ascii="Times New Roman" w:hAnsi="Times New Roman" w:cs="Times New Roman"/>
        </w:rPr>
        <w:t xml:space="preserve">xplanatory </w:t>
      </w:r>
      <w:r w:rsidR="0068362E">
        <w:rPr>
          <w:rFonts w:ascii="Times New Roman" w:hAnsi="Times New Roman" w:cs="Times New Roman"/>
        </w:rPr>
        <w:t>s</w:t>
      </w:r>
      <w:r w:rsidR="004A4D73">
        <w:rPr>
          <w:rFonts w:ascii="Times New Roman" w:hAnsi="Times New Roman" w:cs="Times New Roman"/>
        </w:rPr>
        <w:t xml:space="preserve">tatement </w:t>
      </w:r>
      <w:r w:rsidR="005239DB">
        <w:rPr>
          <w:rFonts w:ascii="Times New Roman" w:hAnsi="Times New Roman" w:cs="Times New Roman"/>
        </w:rPr>
        <w:t xml:space="preserve">(the </w:t>
      </w:r>
      <w:r w:rsidR="005239DB" w:rsidRPr="0068362E">
        <w:rPr>
          <w:rFonts w:ascii="Times New Roman" w:hAnsi="Times New Roman" w:cs="Times New Roman"/>
          <w:b/>
          <w:bCs/>
          <w:i/>
          <w:iCs/>
        </w:rPr>
        <w:t>Act’s ES</w:t>
      </w:r>
      <w:r w:rsidR="005239DB">
        <w:rPr>
          <w:rFonts w:ascii="Times New Roman" w:hAnsi="Times New Roman" w:cs="Times New Roman"/>
        </w:rPr>
        <w:t xml:space="preserve">) </w:t>
      </w:r>
      <w:r w:rsidR="004A4D73">
        <w:rPr>
          <w:rFonts w:ascii="Times New Roman" w:hAnsi="Times New Roman" w:cs="Times New Roman"/>
        </w:rPr>
        <w:t xml:space="preserve">that accompanied the bill </w:t>
      </w:r>
      <w:r w:rsidR="00D73B03">
        <w:rPr>
          <w:rFonts w:ascii="Times New Roman" w:hAnsi="Times New Roman" w:cs="Times New Roman"/>
        </w:rPr>
        <w:t>stated that an objective was to extend protections to the most valuable trees in future urban areas</w:t>
      </w:r>
      <w:r w:rsidR="005239DB">
        <w:rPr>
          <w:rFonts w:ascii="Times New Roman" w:hAnsi="Times New Roman" w:cs="Times New Roman"/>
        </w:rPr>
        <w:t xml:space="preserve">. The Act’s ES also stated that </w:t>
      </w:r>
      <w:r w:rsidR="00D05090">
        <w:rPr>
          <w:rFonts w:ascii="Times New Roman" w:hAnsi="Times New Roman" w:cs="Times New Roman"/>
        </w:rPr>
        <w:t xml:space="preserve">the legislation would extend this protection to “registered and remnant trees in future urban areas”. </w:t>
      </w:r>
    </w:p>
    <w:p w14:paraId="621F7C3F" w14:textId="2C582572" w:rsidR="008F1190" w:rsidRDefault="006D300A" w:rsidP="00F57C39">
      <w:pPr>
        <w:tabs>
          <w:tab w:val="left" w:pos="2600"/>
        </w:tabs>
        <w:autoSpaceDE w:val="0"/>
        <w:autoSpaceDN w:val="0"/>
        <w:adjustRightInd w:val="0"/>
        <w:spacing w:before="240" w:after="240"/>
        <w:rPr>
          <w:rFonts w:ascii="Times New Roman" w:hAnsi="Times New Roman" w:cs="Times New Roman"/>
        </w:rPr>
      </w:pPr>
      <w:r>
        <w:rPr>
          <w:rFonts w:ascii="Times New Roman" w:hAnsi="Times New Roman" w:cs="Times New Roman"/>
        </w:rPr>
        <w:t xml:space="preserve">A drafting error </w:t>
      </w:r>
      <w:r w:rsidR="00BB43D4">
        <w:rPr>
          <w:rFonts w:ascii="Times New Roman" w:hAnsi="Times New Roman" w:cs="Times New Roman"/>
        </w:rPr>
        <w:t>has resulted in an unintended consequence of extending protection to all trees in future urban areas</w:t>
      </w:r>
      <w:r w:rsidR="00312C81">
        <w:rPr>
          <w:rFonts w:ascii="Times New Roman" w:hAnsi="Times New Roman" w:cs="Times New Roman"/>
        </w:rPr>
        <w:t xml:space="preserve">, rather than just registered and regulated trees. </w:t>
      </w:r>
      <w:r w:rsidR="00E173FE">
        <w:rPr>
          <w:rFonts w:ascii="Times New Roman" w:hAnsi="Times New Roman" w:cs="Times New Roman"/>
        </w:rPr>
        <w:t xml:space="preserve">The way that protection is provided is: </w:t>
      </w:r>
    </w:p>
    <w:p w14:paraId="7A6CD455" w14:textId="1F151508" w:rsidR="00E173FE" w:rsidRDefault="004A60A7" w:rsidP="00F57C39">
      <w:pPr>
        <w:pStyle w:val="ListParagraph"/>
        <w:numPr>
          <w:ilvl w:val="0"/>
          <w:numId w:val="7"/>
        </w:numPr>
        <w:tabs>
          <w:tab w:val="left" w:pos="2600"/>
        </w:tabs>
        <w:autoSpaceDE w:val="0"/>
        <w:autoSpaceDN w:val="0"/>
        <w:adjustRightInd w:val="0"/>
        <w:spacing w:before="240" w:after="240"/>
        <w:rPr>
          <w:rFonts w:ascii="Times New Roman" w:hAnsi="Times New Roman" w:cs="Times New Roman"/>
        </w:rPr>
      </w:pPr>
      <w:r>
        <w:rPr>
          <w:rFonts w:ascii="Times New Roman" w:hAnsi="Times New Roman" w:cs="Times New Roman"/>
        </w:rPr>
        <w:t>S</w:t>
      </w:r>
      <w:r w:rsidR="0056381B" w:rsidRPr="00E173FE">
        <w:rPr>
          <w:rFonts w:ascii="Times New Roman" w:hAnsi="Times New Roman" w:cs="Times New Roman"/>
        </w:rPr>
        <w:t>ection 8 of the Act</w:t>
      </w:r>
      <w:r w:rsidR="00FA4D04" w:rsidRPr="00E173FE">
        <w:rPr>
          <w:rFonts w:ascii="Times New Roman" w:hAnsi="Times New Roman" w:cs="Times New Roman"/>
        </w:rPr>
        <w:t xml:space="preserve"> </w:t>
      </w:r>
      <w:r w:rsidR="0056381B" w:rsidRPr="00E173FE">
        <w:rPr>
          <w:rFonts w:ascii="Times New Roman" w:hAnsi="Times New Roman" w:cs="Times New Roman"/>
        </w:rPr>
        <w:t xml:space="preserve">defines </w:t>
      </w:r>
      <w:r w:rsidR="0056381B" w:rsidRPr="0068362E">
        <w:rPr>
          <w:rFonts w:ascii="Times New Roman" w:hAnsi="Times New Roman" w:cs="Times New Roman"/>
          <w:b/>
          <w:bCs/>
          <w:i/>
          <w:iCs/>
        </w:rPr>
        <w:t>built up urban area</w:t>
      </w:r>
      <w:r w:rsidR="0056381B" w:rsidRPr="00E173FE">
        <w:rPr>
          <w:rFonts w:ascii="Times New Roman" w:hAnsi="Times New Roman" w:cs="Times New Roman"/>
        </w:rPr>
        <w:t xml:space="preserve"> for the purpose of application of the Act</w:t>
      </w:r>
      <w:r w:rsidR="00D41FA6">
        <w:rPr>
          <w:rFonts w:ascii="Times New Roman" w:hAnsi="Times New Roman" w:cs="Times New Roman"/>
        </w:rPr>
        <w:t>, which</w:t>
      </w:r>
      <w:r w:rsidR="0056381B" w:rsidRPr="00E173FE">
        <w:rPr>
          <w:rFonts w:ascii="Times New Roman" w:hAnsi="Times New Roman" w:cs="Times New Roman"/>
        </w:rPr>
        <w:t xml:space="preserve"> includes a number of zones identified in the Territory Plan. </w:t>
      </w:r>
      <w:r w:rsidR="004E2D52" w:rsidRPr="00E173FE">
        <w:rPr>
          <w:rFonts w:ascii="Times New Roman" w:hAnsi="Times New Roman" w:cs="Times New Roman"/>
        </w:rPr>
        <w:t xml:space="preserve">Specifically, residential zones (RZ), commercial zones (CZ), community facility zone (CFZ), industrial zones (IZ) and </w:t>
      </w:r>
      <w:r w:rsidR="00274785" w:rsidRPr="00E173FE">
        <w:rPr>
          <w:rFonts w:ascii="Times New Roman" w:hAnsi="Times New Roman" w:cs="Times New Roman"/>
        </w:rPr>
        <w:t>urban open space zone (PRZ1)</w:t>
      </w:r>
      <w:r w:rsidR="00E173FE">
        <w:rPr>
          <w:rFonts w:ascii="Times New Roman" w:hAnsi="Times New Roman" w:cs="Times New Roman"/>
        </w:rPr>
        <w:t xml:space="preserve">; and </w:t>
      </w:r>
    </w:p>
    <w:p w14:paraId="696854A2" w14:textId="77777777" w:rsidR="00E173FE" w:rsidRDefault="00E173FE" w:rsidP="00E173FE">
      <w:pPr>
        <w:pStyle w:val="ListParagraph"/>
        <w:tabs>
          <w:tab w:val="left" w:pos="2600"/>
        </w:tabs>
        <w:autoSpaceDE w:val="0"/>
        <w:autoSpaceDN w:val="0"/>
        <w:adjustRightInd w:val="0"/>
        <w:spacing w:before="240" w:after="240"/>
        <w:rPr>
          <w:rFonts w:ascii="Times New Roman" w:hAnsi="Times New Roman" w:cs="Times New Roman"/>
        </w:rPr>
      </w:pPr>
    </w:p>
    <w:p w14:paraId="01B24F01" w14:textId="22CAA73B" w:rsidR="00A565F7" w:rsidRDefault="004A60A7" w:rsidP="00F57C39">
      <w:pPr>
        <w:pStyle w:val="ListParagraph"/>
        <w:numPr>
          <w:ilvl w:val="0"/>
          <w:numId w:val="7"/>
        </w:numPr>
        <w:tabs>
          <w:tab w:val="left" w:pos="2600"/>
        </w:tabs>
        <w:autoSpaceDE w:val="0"/>
        <w:autoSpaceDN w:val="0"/>
        <w:adjustRightInd w:val="0"/>
        <w:spacing w:before="240" w:after="240"/>
        <w:rPr>
          <w:rFonts w:ascii="Times New Roman" w:hAnsi="Times New Roman" w:cs="Times New Roman"/>
        </w:rPr>
      </w:pPr>
      <w:r>
        <w:rPr>
          <w:rFonts w:ascii="Times New Roman" w:hAnsi="Times New Roman" w:cs="Times New Roman"/>
        </w:rPr>
        <w:t>S</w:t>
      </w:r>
      <w:r w:rsidR="00C56860" w:rsidRPr="00E173FE">
        <w:rPr>
          <w:rFonts w:ascii="Times New Roman" w:hAnsi="Times New Roman" w:cs="Times New Roman"/>
        </w:rPr>
        <w:t xml:space="preserve">ection 9 (a) (iii) of the Act </w:t>
      </w:r>
      <w:r w:rsidR="00104540" w:rsidRPr="00E173FE">
        <w:rPr>
          <w:rFonts w:ascii="Times New Roman" w:hAnsi="Times New Roman" w:cs="Times New Roman"/>
        </w:rPr>
        <w:t>includes with</w:t>
      </w:r>
      <w:r w:rsidR="00C56860" w:rsidRPr="00E173FE">
        <w:rPr>
          <w:rFonts w:ascii="Times New Roman" w:hAnsi="Times New Roman" w:cs="Times New Roman"/>
        </w:rPr>
        <w:t xml:space="preserve">in the definition of </w:t>
      </w:r>
      <w:r w:rsidR="00C56860" w:rsidRPr="0068362E">
        <w:rPr>
          <w:rFonts w:ascii="Times New Roman" w:hAnsi="Times New Roman" w:cs="Times New Roman"/>
          <w:b/>
          <w:bCs/>
          <w:i/>
          <w:iCs/>
        </w:rPr>
        <w:t xml:space="preserve">protected </w:t>
      </w:r>
      <w:r w:rsidR="009B282C" w:rsidRPr="0068362E">
        <w:rPr>
          <w:rFonts w:ascii="Times New Roman" w:hAnsi="Times New Roman" w:cs="Times New Roman"/>
          <w:b/>
          <w:bCs/>
          <w:i/>
          <w:iCs/>
        </w:rPr>
        <w:t>tree</w:t>
      </w:r>
      <w:r w:rsidR="00D75ADD">
        <w:rPr>
          <w:rFonts w:ascii="Times New Roman" w:hAnsi="Times New Roman" w:cs="Times New Roman"/>
        </w:rPr>
        <w:t xml:space="preserve"> </w:t>
      </w:r>
      <w:r w:rsidR="00104540" w:rsidRPr="00E173FE">
        <w:rPr>
          <w:rFonts w:ascii="Times New Roman" w:hAnsi="Times New Roman" w:cs="Times New Roman"/>
        </w:rPr>
        <w:t xml:space="preserve">trees </w:t>
      </w:r>
      <w:r w:rsidR="009B282C" w:rsidRPr="00E173FE">
        <w:rPr>
          <w:rFonts w:ascii="Times New Roman" w:hAnsi="Times New Roman" w:cs="Times New Roman"/>
        </w:rPr>
        <w:t xml:space="preserve">located in the </w:t>
      </w:r>
      <w:r w:rsidR="0056381B" w:rsidRPr="00E173FE">
        <w:rPr>
          <w:rFonts w:ascii="Times New Roman" w:hAnsi="Times New Roman" w:cs="Times New Roman"/>
        </w:rPr>
        <w:t>built-up</w:t>
      </w:r>
      <w:r w:rsidR="009B282C" w:rsidRPr="00E173FE">
        <w:rPr>
          <w:rFonts w:ascii="Times New Roman" w:hAnsi="Times New Roman" w:cs="Times New Roman"/>
        </w:rPr>
        <w:t xml:space="preserve"> urban area </w:t>
      </w:r>
      <w:r w:rsidR="0056381B" w:rsidRPr="00E173FE">
        <w:rPr>
          <w:rFonts w:ascii="Times New Roman" w:hAnsi="Times New Roman" w:cs="Times New Roman"/>
        </w:rPr>
        <w:t>on public land.</w:t>
      </w:r>
    </w:p>
    <w:p w14:paraId="308D95AF" w14:textId="77777777" w:rsidR="00A565F7" w:rsidRPr="00A565F7" w:rsidRDefault="00A565F7" w:rsidP="00A565F7">
      <w:pPr>
        <w:pStyle w:val="ListParagraph"/>
        <w:rPr>
          <w:rFonts w:ascii="Times New Roman" w:hAnsi="Times New Roman" w:cs="Times New Roman"/>
        </w:rPr>
      </w:pPr>
    </w:p>
    <w:p w14:paraId="709C46B3" w14:textId="63385EF1" w:rsidR="001C3639" w:rsidRPr="00A565F7" w:rsidRDefault="001C3639" w:rsidP="00F57C39">
      <w:pPr>
        <w:pStyle w:val="ListParagraph"/>
        <w:numPr>
          <w:ilvl w:val="0"/>
          <w:numId w:val="7"/>
        </w:numPr>
        <w:tabs>
          <w:tab w:val="left" w:pos="2600"/>
        </w:tabs>
        <w:autoSpaceDE w:val="0"/>
        <w:autoSpaceDN w:val="0"/>
        <w:adjustRightInd w:val="0"/>
        <w:spacing w:before="240" w:after="240"/>
        <w:rPr>
          <w:rFonts w:ascii="Times New Roman" w:hAnsi="Times New Roman" w:cs="Times New Roman"/>
        </w:rPr>
      </w:pPr>
      <w:r w:rsidRPr="00A565F7">
        <w:rPr>
          <w:rFonts w:ascii="Times New Roman" w:hAnsi="Times New Roman" w:cs="Times New Roman"/>
        </w:rPr>
        <w:t xml:space="preserve">The </w:t>
      </w:r>
      <w:r w:rsidR="006150ED" w:rsidRPr="00A565F7">
        <w:rPr>
          <w:rFonts w:ascii="Times New Roman" w:hAnsi="Times New Roman" w:cs="Times New Roman"/>
        </w:rPr>
        <w:t>blocks</w:t>
      </w:r>
      <w:r w:rsidRPr="00A565F7">
        <w:rPr>
          <w:rFonts w:ascii="Times New Roman" w:hAnsi="Times New Roman" w:cs="Times New Roman"/>
        </w:rPr>
        <w:t xml:space="preserve"> </w:t>
      </w:r>
      <w:r w:rsidR="00456A81" w:rsidRPr="00A565F7">
        <w:rPr>
          <w:rFonts w:ascii="Times New Roman" w:hAnsi="Times New Roman" w:cs="Times New Roman"/>
        </w:rPr>
        <w:t xml:space="preserve">that </w:t>
      </w:r>
      <w:r w:rsidR="006150ED" w:rsidRPr="00A565F7">
        <w:rPr>
          <w:rFonts w:ascii="Times New Roman" w:hAnsi="Times New Roman" w:cs="Times New Roman"/>
        </w:rPr>
        <w:t xml:space="preserve">are </w:t>
      </w:r>
      <w:r w:rsidR="00456A81" w:rsidRPr="00A565F7">
        <w:rPr>
          <w:rFonts w:ascii="Times New Roman" w:hAnsi="Times New Roman" w:cs="Times New Roman"/>
        </w:rPr>
        <w:t xml:space="preserve">proposed to be developed into the </w:t>
      </w:r>
      <w:r w:rsidR="00590751" w:rsidRPr="00A565F7">
        <w:rPr>
          <w:rFonts w:ascii="Times New Roman" w:hAnsi="Times New Roman" w:cs="Times New Roman"/>
        </w:rPr>
        <w:t xml:space="preserve">Molonglo Town Centre </w:t>
      </w:r>
      <w:r w:rsidR="00744E99">
        <w:rPr>
          <w:rFonts w:ascii="Times New Roman" w:hAnsi="Times New Roman" w:cs="Times New Roman"/>
        </w:rPr>
        <w:t>(</w:t>
      </w:r>
      <w:r w:rsidR="00744E99" w:rsidRPr="0068362E">
        <w:rPr>
          <w:rFonts w:ascii="Times New Roman" w:hAnsi="Times New Roman" w:cs="Times New Roman"/>
          <w:b/>
          <w:bCs/>
          <w:i/>
          <w:iCs/>
        </w:rPr>
        <w:t>MTC</w:t>
      </w:r>
      <w:r w:rsidR="00744E99">
        <w:rPr>
          <w:rFonts w:ascii="Times New Roman" w:hAnsi="Times New Roman" w:cs="Times New Roman"/>
        </w:rPr>
        <w:t xml:space="preserve">) </w:t>
      </w:r>
      <w:r w:rsidR="006150ED" w:rsidRPr="00A565F7">
        <w:rPr>
          <w:rFonts w:ascii="Times New Roman" w:hAnsi="Times New Roman" w:cs="Times New Roman"/>
        </w:rPr>
        <w:t xml:space="preserve">are </w:t>
      </w:r>
      <w:r w:rsidR="00FB3A11">
        <w:rPr>
          <w:rFonts w:ascii="Times New Roman" w:hAnsi="Times New Roman" w:cs="Times New Roman"/>
        </w:rPr>
        <w:t xml:space="preserve">public land and </w:t>
      </w:r>
      <w:r w:rsidR="006150ED" w:rsidRPr="00A565F7">
        <w:rPr>
          <w:rFonts w:ascii="Times New Roman" w:hAnsi="Times New Roman" w:cs="Times New Roman"/>
        </w:rPr>
        <w:t xml:space="preserve">zoned various zones under the Territory Plan, with each block zoned at least one of the zones contained in section 8 of the Act. </w:t>
      </w:r>
      <w:r w:rsidR="002B0812" w:rsidRPr="00A565F7">
        <w:rPr>
          <w:rFonts w:ascii="Times New Roman" w:hAnsi="Times New Roman" w:cs="Times New Roman"/>
        </w:rPr>
        <w:lastRenderedPageBreak/>
        <w:t xml:space="preserve">This has the result of including the land within the definition of </w:t>
      </w:r>
      <w:r w:rsidR="00E173FE" w:rsidRPr="00A565F7">
        <w:rPr>
          <w:rFonts w:ascii="Times New Roman" w:hAnsi="Times New Roman" w:cs="Times New Roman"/>
        </w:rPr>
        <w:t>built-up</w:t>
      </w:r>
      <w:r w:rsidR="002B0812" w:rsidRPr="00A565F7">
        <w:rPr>
          <w:rFonts w:ascii="Times New Roman" w:hAnsi="Times New Roman" w:cs="Times New Roman"/>
        </w:rPr>
        <w:t xml:space="preserve"> urban area and </w:t>
      </w:r>
      <w:r w:rsidR="00C869FE" w:rsidRPr="00A565F7">
        <w:rPr>
          <w:rFonts w:ascii="Times New Roman" w:hAnsi="Times New Roman" w:cs="Times New Roman"/>
        </w:rPr>
        <w:t xml:space="preserve">triggers section 9 (a) (iii), making all trees on the land protected trees. </w:t>
      </w:r>
    </w:p>
    <w:p w14:paraId="5F2A3871" w14:textId="61950DFF" w:rsidR="006D300A" w:rsidRDefault="001C3639" w:rsidP="00F57C39">
      <w:pPr>
        <w:tabs>
          <w:tab w:val="left" w:pos="2600"/>
        </w:tabs>
        <w:autoSpaceDE w:val="0"/>
        <w:autoSpaceDN w:val="0"/>
        <w:adjustRightInd w:val="0"/>
        <w:spacing w:before="240" w:after="240"/>
        <w:rPr>
          <w:rFonts w:ascii="Times New Roman" w:hAnsi="Times New Roman" w:cs="Times New Roman"/>
        </w:rPr>
      </w:pPr>
      <w:r>
        <w:rPr>
          <w:rFonts w:ascii="Times New Roman" w:hAnsi="Times New Roman" w:cs="Times New Roman"/>
        </w:rPr>
        <w:t xml:space="preserve">The original intent </w:t>
      </w:r>
      <w:r w:rsidR="006773DC">
        <w:rPr>
          <w:rFonts w:ascii="Times New Roman" w:hAnsi="Times New Roman" w:cs="Times New Roman"/>
        </w:rPr>
        <w:t xml:space="preserve">to apply protection to only registered and remnant trees is reflected in </w:t>
      </w:r>
      <w:r w:rsidR="0041691C">
        <w:rPr>
          <w:rFonts w:ascii="Times New Roman" w:hAnsi="Times New Roman" w:cs="Times New Roman"/>
        </w:rPr>
        <w:t>s</w:t>
      </w:r>
      <w:r w:rsidR="000E2207">
        <w:rPr>
          <w:rFonts w:ascii="Times New Roman" w:hAnsi="Times New Roman" w:cs="Times New Roman"/>
        </w:rPr>
        <w:t xml:space="preserve">ection </w:t>
      </w:r>
      <w:r w:rsidR="00E15EED">
        <w:rPr>
          <w:rFonts w:ascii="Times New Roman" w:hAnsi="Times New Roman" w:cs="Times New Roman"/>
        </w:rPr>
        <w:t>9 of the Act</w:t>
      </w:r>
      <w:r w:rsidR="00F33B88">
        <w:rPr>
          <w:rFonts w:ascii="Times New Roman" w:hAnsi="Times New Roman" w:cs="Times New Roman"/>
        </w:rPr>
        <w:t xml:space="preserve">, which </w:t>
      </w:r>
      <w:r w:rsidR="00E15EED">
        <w:rPr>
          <w:rFonts w:ascii="Times New Roman" w:hAnsi="Times New Roman" w:cs="Times New Roman"/>
        </w:rPr>
        <w:t xml:space="preserve">defines what constitutes a protected tree, with </w:t>
      </w:r>
      <w:r w:rsidR="0068362E">
        <w:rPr>
          <w:rFonts w:ascii="Times New Roman" w:hAnsi="Times New Roman" w:cs="Times New Roman"/>
        </w:rPr>
        <w:t>paragraph</w:t>
      </w:r>
      <w:r w:rsidR="00E15EED">
        <w:rPr>
          <w:rFonts w:ascii="Times New Roman" w:hAnsi="Times New Roman" w:cs="Times New Roman"/>
        </w:rPr>
        <w:t xml:space="preserve"> (b) </w:t>
      </w:r>
      <w:r w:rsidR="00F33B88">
        <w:rPr>
          <w:rFonts w:ascii="Times New Roman" w:hAnsi="Times New Roman" w:cs="Times New Roman"/>
        </w:rPr>
        <w:t xml:space="preserve">specifying that a protected tree </w:t>
      </w:r>
      <w:r w:rsidR="00F97D0C">
        <w:rPr>
          <w:rFonts w:ascii="Times New Roman" w:hAnsi="Times New Roman" w:cs="Times New Roman"/>
        </w:rPr>
        <w:t xml:space="preserve">includes a </w:t>
      </w:r>
      <w:r w:rsidR="00EA0D5C">
        <w:rPr>
          <w:rFonts w:ascii="Times New Roman" w:hAnsi="Times New Roman" w:cs="Times New Roman"/>
        </w:rPr>
        <w:t xml:space="preserve">registered or remnant tree on land in a future urban area or an area that is the subject of a subdivision design application. </w:t>
      </w:r>
    </w:p>
    <w:p w14:paraId="1580741B" w14:textId="3EDD3603" w:rsidR="009125A1" w:rsidRDefault="00896935" w:rsidP="00F57C39">
      <w:pPr>
        <w:tabs>
          <w:tab w:val="left" w:pos="2600"/>
        </w:tabs>
        <w:autoSpaceDE w:val="0"/>
        <w:autoSpaceDN w:val="0"/>
        <w:adjustRightInd w:val="0"/>
        <w:spacing w:before="240" w:after="240"/>
        <w:rPr>
          <w:rFonts w:ascii="Times New Roman" w:hAnsi="Times New Roman" w:cs="Times New Roman"/>
        </w:rPr>
      </w:pPr>
      <w:r>
        <w:rPr>
          <w:rFonts w:ascii="Times New Roman" w:hAnsi="Times New Roman" w:cs="Times New Roman"/>
        </w:rPr>
        <w:t xml:space="preserve">Despite the </w:t>
      </w:r>
      <w:r w:rsidR="00F209C2">
        <w:rPr>
          <w:rFonts w:ascii="Times New Roman" w:hAnsi="Times New Roman" w:cs="Times New Roman"/>
        </w:rPr>
        <w:t xml:space="preserve">provisions applying in an unintended way, the </w:t>
      </w:r>
      <w:r w:rsidR="0068362E">
        <w:rPr>
          <w:rFonts w:ascii="Times New Roman" w:hAnsi="Times New Roman" w:cs="Times New Roman"/>
        </w:rPr>
        <w:t>Suburban Land Agency (</w:t>
      </w:r>
      <w:r w:rsidR="00F209C2" w:rsidRPr="0068362E">
        <w:rPr>
          <w:rFonts w:ascii="Times New Roman" w:hAnsi="Times New Roman" w:cs="Times New Roman"/>
          <w:b/>
          <w:bCs/>
          <w:i/>
          <w:iCs/>
        </w:rPr>
        <w:t>SLA</w:t>
      </w:r>
      <w:r w:rsidR="0068362E">
        <w:rPr>
          <w:rFonts w:ascii="Times New Roman" w:hAnsi="Times New Roman" w:cs="Times New Roman"/>
        </w:rPr>
        <w:t>)</w:t>
      </w:r>
      <w:r w:rsidR="00F209C2">
        <w:rPr>
          <w:rFonts w:ascii="Times New Roman" w:hAnsi="Times New Roman" w:cs="Times New Roman"/>
        </w:rPr>
        <w:t xml:space="preserve"> has made significant effort to retain </w:t>
      </w:r>
      <w:r w:rsidR="008F4006">
        <w:rPr>
          <w:rFonts w:ascii="Times New Roman" w:hAnsi="Times New Roman" w:cs="Times New Roman"/>
        </w:rPr>
        <w:t xml:space="preserve">as many trees as possible. This has been done in line with the Urban Forest Strategy </w:t>
      </w:r>
      <w:r w:rsidR="001142F2">
        <w:rPr>
          <w:rFonts w:ascii="Times New Roman" w:hAnsi="Times New Roman" w:cs="Times New Roman"/>
        </w:rPr>
        <w:t>2021-2045</w:t>
      </w:r>
      <w:r w:rsidR="00B71F2E">
        <w:rPr>
          <w:rFonts w:ascii="Times New Roman" w:hAnsi="Times New Roman" w:cs="Times New Roman"/>
        </w:rPr>
        <w:t xml:space="preserve">, which acknowledges that </w:t>
      </w:r>
      <w:r w:rsidR="000D2443">
        <w:rPr>
          <w:rFonts w:ascii="Times New Roman" w:hAnsi="Times New Roman" w:cs="Times New Roman"/>
        </w:rPr>
        <w:t xml:space="preserve">trees provide shade to cool urban areas, reduce stormwater flows and </w:t>
      </w:r>
      <w:r w:rsidR="009F00A6">
        <w:rPr>
          <w:rFonts w:ascii="Times New Roman" w:hAnsi="Times New Roman" w:cs="Times New Roman"/>
        </w:rPr>
        <w:t xml:space="preserve">reduce </w:t>
      </w:r>
      <w:r w:rsidR="00F11BC2">
        <w:rPr>
          <w:rFonts w:ascii="Times New Roman" w:hAnsi="Times New Roman" w:cs="Times New Roman"/>
        </w:rPr>
        <w:t>airborne</w:t>
      </w:r>
      <w:r w:rsidR="009F00A6">
        <w:rPr>
          <w:rFonts w:ascii="Times New Roman" w:hAnsi="Times New Roman" w:cs="Times New Roman"/>
        </w:rPr>
        <w:t xml:space="preserve"> pollution and </w:t>
      </w:r>
      <w:r w:rsidR="00F11BC2">
        <w:rPr>
          <w:rFonts w:ascii="Times New Roman" w:hAnsi="Times New Roman" w:cs="Times New Roman"/>
        </w:rPr>
        <w:t>greenhouse gas emissions.</w:t>
      </w:r>
    </w:p>
    <w:p w14:paraId="28DA9D13" w14:textId="77777777" w:rsidR="00C94ABA" w:rsidRDefault="009125A1" w:rsidP="708E8B19">
      <w:pPr>
        <w:autoSpaceDE w:val="0"/>
        <w:autoSpaceDN w:val="0"/>
        <w:adjustRightInd w:val="0"/>
        <w:spacing w:before="240" w:after="240"/>
        <w:rPr>
          <w:rFonts w:ascii="Times New Roman" w:hAnsi="Times New Roman" w:cs="Times New Roman"/>
        </w:rPr>
      </w:pPr>
      <w:r w:rsidRPr="708E8B19">
        <w:rPr>
          <w:rFonts w:ascii="Times New Roman" w:hAnsi="Times New Roman" w:cs="Times New Roman"/>
        </w:rPr>
        <w:t xml:space="preserve">In balancing the </w:t>
      </w:r>
      <w:r w:rsidR="00295ACB" w:rsidRPr="708E8B19">
        <w:rPr>
          <w:rFonts w:ascii="Times New Roman" w:hAnsi="Times New Roman" w:cs="Times New Roman"/>
        </w:rPr>
        <w:t xml:space="preserve">need to retain established trees </w:t>
      </w:r>
      <w:r w:rsidR="00490BDB" w:rsidRPr="708E8B19">
        <w:rPr>
          <w:rFonts w:ascii="Times New Roman" w:hAnsi="Times New Roman" w:cs="Times New Roman"/>
        </w:rPr>
        <w:t>there is a need to a</w:t>
      </w:r>
      <w:r w:rsidR="002F0F6C" w:rsidRPr="708E8B19">
        <w:rPr>
          <w:rFonts w:ascii="Times New Roman" w:hAnsi="Times New Roman" w:cs="Times New Roman"/>
        </w:rPr>
        <w:t>cknowledge this must also be balanced with</w:t>
      </w:r>
      <w:r w:rsidR="00295ACB" w:rsidRPr="708E8B19">
        <w:rPr>
          <w:rFonts w:ascii="Times New Roman" w:hAnsi="Times New Roman" w:cs="Times New Roman"/>
        </w:rPr>
        <w:t xml:space="preserve"> other </w:t>
      </w:r>
      <w:r w:rsidR="00AB6CA8" w:rsidRPr="708E8B19">
        <w:rPr>
          <w:rFonts w:ascii="Times New Roman" w:hAnsi="Times New Roman" w:cs="Times New Roman"/>
        </w:rPr>
        <w:t xml:space="preserve">outcomes including </w:t>
      </w:r>
      <w:r w:rsidR="006A285B" w:rsidRPr="708E8B19">
        <w:rPr>
          <w:rFonts w:ascii="Times New Roman" w:hAnsi="Times New Roman" w:cs="Times New Roman"/>
        </w:rPr>
        <w:t>housing, social,</w:t>
      </w:r>
      <w:r w:rsidR="00021F7D">
        <w:rPr>
          <w:rFonts w:ascii="Times New Roman" w:hAnsi="Times New Roman" w:cs="Times New Roman"/>
        </w:rPr>
        <w:t xml:space="preserve"> </w:t>
      </w:r>
      <w:r w:rsidR="006A285B" w:rsidRPr="708E8B19">
        <w:rPr>
          <w:rFonts w:ascii="Times New Roman" w:hAnsi="Times New Roman" w:cs="Times New Roman"/>
        </w:rPr>
        <w:t>community</w:t>
      </w:r>
      <w:r w:rsidR="00021F7D">
        <w:rPr>
          <w:rFonts w:ascii="Times New Roman" w:hAnsi="Times New Roman" w:cs="Times New Roman"/>
        </w:rPr>
        <w:t xml:space="preserve">, </w:t>
      </w:r>
      <w:r w:rsidRPr="708E8B19">
        <w:rPr>
          <w:rFonts w:ascii="Times New Roman" w:hAnsi="Times New Roman" w:cs="Times New Roman"/>
        </w:rPr>
        <w:t>ecological and conservation</w:t>
      </w:r>
      <w:r w:rsidR="00AB6CA8" w:rsidRPr="708E8B19">
        <w:rPr>
          <w:rFonts w:ascii="Times New Roman" w:hAnsi="Times New Roman" w:cs="Times New Roman"/>
        </w:rPr>
        <w:t xml:space="preserve"> outcomes. </w:t>
      </w:r>
      <w:r w:rsidR="6BCE5A82" w:rsidRPr="708E8B19">
        <w:rPr>
          <w:rFonts w:ascii="Times New Roman" w:hAnsi="Times New Roman" w:cs="Times New Roman"/>
        </w:rPr>
        <w:t xml:space="preserve">The </w:t>
      </w:r>
      <w:r w:rsidR="00EB3AF2">
        <w:rPr>
          <w:rFonts w:ascii="Times New Roman" w:hAnsi="Times New Roman" w:cs="Times New Roman"/>
        </w:rPr>
        <w:t>MTC</w:t>
      </w:r>
      <w:r w:rsidR="6647B854" w:rsidRPr="708E8B19">
        <w:rPr>
          <w:rFonts w:ascii="Times New Roman" w:hAnsi="Times New Roman" w:cs="Times New Roman"/>
        </w:rPr>
        <w:t xml:space="preserve"> is being planned to make best use of limited land through a well-considered urban structure that </w:t>
      </w:r>
      <w:r w:rsidR="00EB3AF2">
        <w:rPr>
          <w:rFonts w:ascii="Times New Roman" w:hAnsi="Times New Roman" w:cs="Times New Roman"/>
        </w:rPr>
        <w:t xml:space="preserve">will </w:t>
      </w:r>
      <w:r w:rsidR="6647B854" w:rsidRPr="708E8B19">
        <w:rPr>
          <w:rFonts w:ascii="Times New Roman" w:hAnsi="Times New Roman" w:cs="Times New Roman"/>
        </w:rPr>
        <w:t>support around 7,000 dwellings, retail and commercial development, ACT Government buildings and services, and high</w:t>
      </w:r>
      <w:r w:rsidR="00021F7D">
        <w:rPr>
          <w:rFonts w:ascii="Times New Roman" w:hAnsi="Times New Roman" w:cs="Times New Roman"/>
        </w:rPr>
        <w:t>-</w:t>
      </w:r>
      <w:r w:rsidR="6647B854" w:rsidRPr="708E8B19">
        <w:rPr>
          <w:rFonts w:ascii="Times New Roman" w:hAnsi="Times New Roman" w:cs="Times New Roman"/>
        </w:rPr>
        <w:t xml:space="preserve">quality public spaces. The proposed tree retention reduces the developable area requiring MTC to be a compact higher density town centre to achieve the development yield, services and facilities required for the Molonglo Valley. </w:t>
      </w:r>
    </w:p>
    <w:p w14:paraId="42F57C4A" w14:textId="77777777" w:rsidR="00DA5597" w:rsidRDefault="00C94ABA" w:rsidP="708E8B19">
      <w:pPr>
        <w:autoSpaceDE w:val="0"/>
        <w:autoSpaceDN w:val="0"/>
        <w:adjustRightInd w:val="0"/>
        <w:spacing w:before="240" w:after="240"/>
        <w:rPr>
          <w:rFonts w:ascii="Times New Roman" w:hAnsi="Times New Roman" w:cs="Times New Roman"/>
        </w:rPr>
      </w:pPr>
      <w:r>
        <w:rPr>
          <w:rFonts w:ascii="Times New Roman" w:hAnsi="Times New Roman" w:cs="Times New Roman"/>
        </w:rPr>
        <w:t>C</w:t>
      </w:r>
      <w:r w:rsidR="3583E86A" w:rsidRPr="708E8B19">
        <w:rPr>
          <w:rFonts w:ascii="Times New Roman" w:hAnsi="Times New Roman" w:cs="Times New Roman"/>
        </w:rPr>
        <w:t>onsideration of Green Star is also informing the approach, ensuring environmental and social sustainability, climate resilience and environmental outcomes are embedded in the design from the outset</w:t>
      </w:r>
      <w:r w:rsidR="2956645A" w:rsidRPr="708E8B19">
        <w:rPr>
          <w:rFonts w:ascii="Times New Roman" w:hAnsi="Times New Roman" w:cs="Times New Roman"/>
        </w:rPr>
        <w:t xml:space="preserve">. </w:t>
      </w:r>
      <w:r w:rsidR="6647B854" w:rsidRPr="708E8B19">
        <w:rPr>
          <w:rFonts w:ascii="Times New Roman" w:hAnsi="Times New Roman" w:cs="Times New Roman"/>
        </w:rPr>
        <w:t>To support a higher density town centre</w:t>
      </w:r>
      <w:r w:rsidR="00EB3AF2">
        <w:rPr>
          <w:rFonts w:ascii="Times New Roman" w:hAnsi="Times New Roman" w:cs="Times New Roman"/>
        </w:rPr>
        <w:t>,</w:t>
      </w:r>
      <w:r w:rsidR="6647B854" w:rsidRPr="708E8B19">
        <w:rPr>
          <w:rFonts w:ascii="Times New Roman" w:hAnsi="Times New Roman" w:cs="Times New Roman"/>
        </w:rPr>
        <w:t xml:space="preserve"> integration of active travel, public transport and open space recreation opportunities are proposed to achieve a walkable town centre and reduction in motor vehicle usage. </w:t>
      </w:r>
    </w:p>
    <w:p w14:paraId="52321F99" w14:textId="6CBA2B6F" w:rsidR="009125A1" w:rsidRDefault="6647B854" w:rsidP="708E8B19">
      <w:pPr>
        <w:autoSpaceDE w:val="0"/>
        <w:autoSpaceDN w:val="0"/>
        <w:adjustRightInd w:val="0"/>
        <w:spacing w:before="240" w:after="240"/>
        <w:rPr>
          <w:rFonts w:ascii="Times New Roman" w:hAnsi="Times New Roman" w:cs="Times New Roman"/>
        </w:rPr>
      </w:pPr>
      <w:r w:rsidRPr="708E8B19">
        <w:rPr>
          <w:rFonts w:ascii="Times New Roman" w:hAnsi="Times New Roman" w:cs="Times New Roman"/>
        </w:rPr>
        <w:t xml:space="preserve">The updated masterplan coordinates built form, orientation and microclimate design to ensure comfortable streets and strong urban amenity, and draws on a Designing with Country framework that recognises the cultural significance of sky country, deep country and water country. This includes bringing water meaningfully into the urban environment through the integration of waterways and ponds in a way that reflects their cultural importance and strengthens connections between people, place and landscape. Environmental requirements under the </w:t>
      </w:r>
      <w:r w:rsidRPr="0013057B">
        <w:rPr>
          <w:rFonts w:ascii="Times New Roman" w:hAnsi="Times New Roman" w:cs="Times New Roman"/>
          <w:i/>
          <w:iCs/>
        </w:rPr>
        <w:t>Urban Forest Act</w:t>
      </w:r>
      <w:r w:rsidR="0013057B" w:rsidRPr="0013057B">
        <w:rPr>
          <w:rFonts w:ascii="Times New Roman" w:hAnsi="Times New Roman" w:cs="Times New Roman"/>
          <w:i/>
          <w:iCs/>
        </w:rPr>
        <w:t xml:space="preserve"> 2023</w:t>
      </w:r>
      <w:r w:rsidRPr="708E8B19">
        <w:rPr>
          <w:rFonts w:ascii="Times New Roman" w:hAnsi="Times New Roman" w:cs="Times New Roman"/>
        </w:rPr>
        <w:t xml:space="preserve">, </w:t>
      </w:r>
      <w:r w:rsidRPr="00EB3AF2">
        <w:rPr>
          <w:rFonts w:ascii="Times New Roman" w:hAnsi="Times New Roman" w:cs="Times New Roman"/>
          <w:i/>
          <w:iCs/>
        </w:rPr>
        <w:t xml:space="preserve">Nature Conservation Act </w:t>
      </w:r>
      <w:r w:rsidR="00EB3AF2" w:rsidRPr="00EB3AF2">
        <w:rPr>
          <w:rFonts w:ascii="Times New Roman" w:hAnsi="Times New Roman" w:cs="Times New Roman"/>
          <w:i/>
          <w:iCs/>
        </w:rPr>
        <w:t>2014</w:t>
      </w:r>
      <w:r w:rsidR="00EB3AF2">
        <w:rPr>
          <w:rFonts w:ascii="Times New Roman" w:hAnsi="Times New Roman" w:cs="Times New Roman"/>
        </w:rPr>
        <w:t xml:space="preserve"> </w:t>
      </w:r>
      <w:r w:rsidRPr="708E8B19">
        <w:rPr>
          <w:rFonts w:ascii="Times New Roman" w:hAnsi="Times New Roman" w:cs="Times New Roman"/>
        </w:rPr>
        <w:t xml:space="preserve">and </w:t>
      </w:r>
      <w:r w:rsidR="00513C93">
        <w:rPr>
          <w:rFonts w:ascii="Times New Roman" w:hAnsi="Times New Roman" w:cs="Times New Roman"/>
        </w:rPr>
        <w:t>Commonwealth</w:t>
      </w:r>
      <w:r w:rsidRPr="708E8B19">
        <w:rPr>
          <w:rFonts w:ascii="Times New Roman" w:hAnsi="Times New Roman" w:cs="Times New Roman"/>
        </w:rPr>
        <w:t xml:space="preserve"> approvals are being actively managed, with the Molonglo River Reserve serving as the designated environmental offset for necessary disturbance.</w:t>
      </w:r>
    </w:p>
    <w:p w14:paraId="5BBE1709" w14:textId="3919B84F" w:rsidR="002F572F" w:rsidRDefault="006C29E6" w:rsidP="00F57C39">
      <w:pPr>
        <w:tabs>
          <w:tab w:val="left" w:pos="2600"/>
        </w:tabs>
        <w:autoSpaceDE w:val="0"/>
        <w:autoSpaceDN w:val="0"/>
        <w:adjustRightInd w:val="0"/>
        <w:spacing w:before="240" w:after="240"/>
        <w:rPr>
          <w:rFonts w:ascii="Times New Roman" w:hAnsi="Times New Roman" w:cs="Times New Roman"/>
        </w:rPr>
      </w:pPr>
      <w:r w:rsidRPr="6999B445">
        <w:rPr>
          <w:rFonts w:ascii="Times New Roman" w:hAnsi="Times New Roman" w:cs="Times New Roman"/>
        </w:rPr>
        <w:t>In</w:t>
      </w:r>
      <w:r w:rsidR="00744E99" w:rsidRPr="6999B445">
        <w:rPr>
          <w:rFonts w:ascii="Times New Roman" w:hAnsi="Times New Roman" w:cs="Times New Roman"/>
        </w:rPr>
        <w:t xml:space="preserve"> preparing a </w:t>
      </w:r>
      <w:r w:rsidR="22528E95" w:rsidRPr="6999B445">
        <w:rPr>
          <w:rFonts w:ascii="Times New Roman" w:hAnsi="Times New Roman" w:cs="Times New Roman"/>
        </w:rPr>
        <w:t xml:space="preserve">masterplan </w:t>
      </w:r>
      <w:r w:rsidR="00744E99" w:rsidRPr="6999B445">
        <w:rPr>
          <w:rFonts w:ascii="Times New Roman" w:hAnsi="Times New Roman" w:cs="Times New Roman"/>
        </w:rPr>
        <w:t>design for the MTC</w:t>
      </w:r>
      <w:r w:rsidR="00CD1CA7" w:rsidRPr="6999B445">
        <w:rPr>
          <w:rFonts w:ascii="Times New Roman" w:hAnsi="Times New Roman" w:cs="Times New Roman"/>
        </w:rPr>
        <w:t xml:space="preserve">, the SLA </w:t>
      </w:r>
      <w:r w:rsidR="19016E46" w:rsidRPr="6999B445">
        <w:rPr>
          <w:rFonts w:ascii="Times New Roman" w:hAnsi="Times New Roman" w:cs="Times New Roman"/>
        </w:rPr>
        <w:t xml:space="preserve">investigated </w:t>
      </w:r>
      <w:r w:rsidR="00CD1CA7" w:rsidRPr="6999B445">
        <w:rPr>
          <w:rFonts w:ascii="Times New Roman" w:hAnsi="Times New Roman" w:cs="Times New Roman"/>
        </w:rPr>
        <w:t xml:space="preserve">design options at both ends of the spectrum: retaining as many trees as possible and removing as many trees as would be required to gain a maximum dwelling yield. </w:t>
      </w:r>
      <w:r w:rsidR="008E038C" w:rsidRPr="6999B445">
        <w:rPr>
          <w:rFonts w:ascii="Times New Roman" w:hAnsi="Times New Roman" w:cs="Times New Roman"/>
        </w:rPr>
        <w:t>Neither option is considered suitable</w:t>
      </w:r>
      <w:r w:rsidR="0029348F" w:rsidRPr="6999B445">
        <w:rPr>
          <w:rFonts w:ascii="Times New Roman" w:hAnsi="Times New Roman" w:cs="Times New Roman"/>
        </w:rPr>
        <w:t>. T</w:t>
      </w:r>
      <w:r w:rsidR="008E038C" w:rsidRPr="6999B445">
        <w:rPr>
          <w:rFonts w:ascii="Times New Roman" w:hAnsi="Times New Roman" w:cs="Times New Roman"/>
        </w:rPr>
        <w:t>he option that retains maximum trees sacrifices design elements which are required for a</w:t>
      </w:r>
      <w:r w:rsidR="0029348F" w:rsidRPr="6999B445">
        <w:rPr>
          <w:rFonts w:ascii="Times New Roman" w:hAnsi="Times New Roman" w:cs="Times New Roman"/>
        </w:rPr>
        <w:t xml:space="preserve"> </w:t>
      </w:r>
      <w:r w:rsidR="007F7326" w:rsidRPr="6999B445">
        <w:rPr>
          <w:rFonts w:ascii="Times New Roman" w:hAnsi="Times New Roman" w:cs="Times New Roman"/>
        </w:rPr>
        <w:t xml:space="preserve">functional town centre that will meet the needs of Molonglo residents for decades to come, Conversely, an approach to achieve maximum </w:t>
      </w:r>
      <w:r w:rsidR="00223DF2" w:rsidRPr="6999B445">
        <w:rPr>
          <w:rFonts w:ascii="Times New Roman" w:hAnsi="Times New Roman" w:cs="Times New Roman"/>
        </w:rPr>
        <w:t xml:space="preserve">dwelling yield sacrifices too many protected trees and important waterways. </w:t>
      </w:r>
      <w:r w:rsidR="002F572F" w:rsidRPr="6999B445">
        <w:rPr>
          <w:rFonts w:ascii="Times New Roman" w:hAnsi="Times New Roman" w:cs="Times New Roman"/>
        </w:rPr>
        <w:t xml:space="preserve">The design on which this instrument is predicated seeks to balance the need for a functional, lively, economically viable town centre with the need to conserve protected species as established mature trees. </w:t>
      </w:r>
      <w:r w:rsidR="00552195" w:rsidRPr="6999B445">
        <w:rPr>
          <w:rFonts w:ascii="Times New Roman" w:hAnsi="Times New Roman" w:cs="Times New Roman"/>
        </w:rPr>
        <w:t xml:space="preserve">This </w:t>
      </w:r>
      <w:r w:rsidR="00CF0715" w:rsidRPr="6999B445">
        <w:rPr>
          <w:rFonts w:ascii="Times New Roman" w:hAnsi="Times New Roman" w:cs="Times New Roman"/>
        </w:rPr>
        <w:t xml:space="preserve">balanced outcome currently falls short of the 7,000 </w:t>
      </w:r>
      <w:r w:rsidR="00CF0715" w:rsidRPr="6999B445">
        <w:rPr>
          <w:rFonts w:ascii="Times New Roman" w:hAnsi="Times New Roman" w:cs="Times New Roman"/>
        </w:rPr>
        <w:lastRenderedPageBreak/>
        <w:t>dwelling yield indicated for MTC</w:t>
      </w:r>
      <w:r w:rsidR="00FE1CAC" w:rsidRPr="6999B445">
        <w:rPr>
          <w:rFonts w:ascii="Times New Roman" w:hAnsi="Times New Roman" w:cs="Times New Roman"/>
        </w:rPr>
        <w:t xml:space="preserve">, however, is </w:t>
      </w:r>
      <w:r w:rsidR="00EF7C3E" w:rsidRPr="6999B445">
        <w:rPr>
          <w:rFonts w:ascii="Times New Roman" w:hAnsi="Times New Roman" w:cs="Times New Roman"/>
        </w:rPr>
        <w:t>considered to be an appropriate trade-off to preserve environmental, biodiversity and conservation outcomes</w:t>
      </w:r>
      <w:r w:rsidR="00CF0715" w:rsidRPr="6999B445">
        <w:rPr>
          <w:rFonts w:ascii="Times New Roman" w:hAnsi="Times New Roman" w:cs="Times New Roman"/>
        </w:rPr>
        <w:t xml:space="preserve">. </w:t>
      </w:r>
      <w:r w:rsidR="00EF7C3E" w:rsidRPr="6999B445">
        <w:rPr>
          <w:rFonts w:ascii="Times New Roman" w:hAnsi="Times New Roman" w:cs="Times New Roman"/>
        </w:rPr>
        <w:t>Potential to uplift yield through additional height is being investigated by the</w:t>
      </w:r>
      <w:r w:rsidR="00CF0715" w:rsidRPr="6999B445">
        <w:rPr>
          <w:rFonts w:ascii="Times New Roman" w:hAnsi="Times New Roman" w:cs="Times New Roman"/>
        </w:rPr>
        <w:t xml:space="preserve"> SLA and the City and Environment Directorate.</w:t>
      </w:r>
    </w:p>
    <w:p w14:paraId="45392F8D" w14:textId="77777777" w:rsidR="00EA06FB" w:rsidRPr="00911D8D" w:rsidRDefault="00EA06FB" w:rsidP="00F57C39">
      <w:pPr>
        <w:pStyle w:val="normalweb"/>
        <w:shd w:val="clear" w:color="auto" w:fill="FFFFFF"/>
        <w:spacing w:before="240" w:beforeAutospacing="0" w:after="240" w:afterAutospacing="0"/>
        <w:ind w:left="720" w:hanging="720"/>
        <w:rPr>
          <w:color w:val="000000"/>
        </w:rPr>
      </w:pPr>
      <w:r w:rsidRPr="00911D8D">
        <w:rPr>
          <w:b/>
          <w:bCs/>
          <w:color w:val="000000"/>
        </w:rPr>
        <w:t>Human Rights</w:t>
      </w:r>
    </w:p>
    <w:p w14:paraId="1D451654" w14:textId="77777777" w:rsidR="00EB3AF2" w:rsidRDefault="00EB3AF2" w:rsidP="00F57C39">
      <w:pPr>
        <w:tabs>
          <w:tab w:val="left" w:pos="2600"/>
        </w:tabs>
        <w:autoSpaceDE w:val="0"/>
        <w:autoSpaceDN w:val="0"/>
        <w:adjustRightInd w:val="0"/>
        <w:spacing w:before="240" w:after="240"/>
        <w:rPr>
          <w:rFonts w:ascii="Times New Roman" w:hAnsi="Times New Roman" w:cs="Times New Roman"/>
        </w:rPr>
      </w:pPr>
      <w:r>
        <w:rPr>
          <w:rFonts w:ascii="Times New Roman" w:hAnsi="Times New Roman" w:cs="Times New Roman"/>
        </w:rPr>
        <w:t>The HR Act requires public authorities to act consistently with human rights. Section 40B specifically makes it unlawful for a public authority to fail to give proper consideration to a relevant human right.</w:t>
      </w:r>
    </w:p>
    <w:p w14:paraId="43D8D5D3" w14:textId="1BE715AE" w:rsidR="002C3A3B" w:rsidRDefault="009078FD" w:rsidP="00F57C39">
      <w:pPr>
        <w:tabs>
          <w:tab w:val="left" w:pos="2600"/>
        </w:tabs>
        <w:autoSpaceDE w:val="0"/>
        <w:autoSpaceDN w:val="0"/>
        <w:adjustRightInd w:val="0"/>
        <w:spacing w:before="240" w:after="240"/>
        <w:rPr>
          <w:rFonts w:ascii="Times New Roman" w:hAnsi="Times New Roman" w:cs="Times New Roman"/>
        </w:rPr>
      </w:pPr>
      <w:r>
        <w:rPr>
          <w:rFonts w:ascii="Times New Roman" w:hAnsi="Times New Roman" w:cs="Times New Roman"/>
        </w:rPr>
        <w:t xml:space="preserve">On 17 September 2025 the ACT Legislative Assembly passed the </w:t>
      </w:r>
      <w:r w:rsidRPr="0068362E">
        <w:rPr>
          <w:rFonts w:ascii="Times New Roman" w:hAnsi="Times New Roman" w:cs="Times New Roman"/>
          <w:i/>
          <w:iCs/>
        </w:rPr>
        <w:t xml:space="preserve">Human Rights (Housing) Amendment </w:t>
      </w:r>
      <w:r w:rsidR="0068362E" w:rsidRPr="0068362E">
        <w:rPr>
          <w:rFonts w:ascii="Times New Roman" w:hAnsi="Times New Roman" w:cs="Times New Roman"/>
          <w:i/>
          <w:iCs/>
        </w:rPr>
        <w:t>Act</w:t>
      </w:r>
      <w:r w:rsidRPr="0068362E">
        <w:rPr>
          <w:rFonts w:ascii="Times New Roman" w:hAnsi="Times New Roman" w:cs="Times New Roman"/>
          <w:i/>
          <w:iCs/>
        </w:rPr>
        <w:t xml:space="preserve"> 2025</w:t>
      </w:r>
      <w:r w:rsidR="003948D3">
        <w:rPr>
          <w:rFonts w:ascii="Times New Roman" w:hAnsi="Times New Roman" w:cs="Times New Roman"/>
        </w:rPr>
        <w:t xml:space="preserve"> (the </w:t>
      </w:r>
      <w:r w:rsidR="003948D3" w:rsidRPr="0068362E">
        <w:rPr>
          <w:rFonts w:ascii="Times New Roman" w:hAnsi="Times New Roman" w:cs="Times New Roman"/>
          <w:b/>
          <w:bCs/>
          <w:i/>
          <w:iCs/>
        </w:rPr>
        <w:t xml:space="preserve">Housing </w:t>
      </w:r>
      <w:r w:rsidR="0068362E" w:rsidRPr="0068362E">
        <w:rPr>
          <w:rFonts w:ascii="Times New Roman" w:hAnsi="Times New Roman" w:cs="Times New Roman"/>
          <w:b/>
          <w:bCs/>
          <w:i/>
          <w:iCs/>
        </w:rPr>
        <w:t>Act</w:t>
      </w:r>
      <w:r w:rsidR="003948D3">
        <w:rPr>
          <w:rFonts w:ascii="Times New Roman" w:hAnsi="Times New Roman" w:cs="Times New Roman"/>
        </w:rPr>
        <w:t>)</w:t>
      </w:r>
      <w:r>
        <w:rPr>
          <w:rFonts w:ascii="Times New Roman" w:hAnsi="Times New Roman" w:cs="Times New Roman"/>
        </w:rPr>
        <w:t xml:space="preserve">. </w:t>
      </w:r>
      <w:r w:rsidR="003948D3">
        <w:rPr>
          <w:rFonts w:ascii="Times New Roman" w:hAnsi="Times New Roman" w:cs="Times New Roman"/>
        </w:rPr>
        <w:t xml:space="preserve">The Housing </w:t>
      </w:r>
      <w:r w:rsidR="00EB3AF2">
        <w:rPr>
          <w:rFonts w:ascii="Times New Roman" w:hAnsi="Times New Roman" w:cs="Times New Roman"/>
        </w:rPr>
        <w:t>Act</w:t>
      </w:r>
      <w:r w:rsidR="003948D3">
        <w:rPr>
          <w:rFonts w:ascii="Times New Roman" w:hAnsi="Times New Roman" w:cs="Times New Roman"/>
        </w:rPr>
        <w:t xml:space="preserve"> </w:t>
      </w:r>
      <w:r w:rsidR="00786886">
        <w:rPr>
          <w:rFonts w:ascii="Times New Roman" w:hAnsi="Times New Roman" w:cs="Times New Roman"/>
        </w:rPr>
        <w:t xml:space="preserve">introduces new section 27D into the </w:t>
      </w:r>
      <w:r w:rsidR="00786886">
        <w:rPr>
          <w:rFonts w:ascii="Times New Roman" w:hAnsi="Times New Roman" w:cs="Times New Roman"/>
          <w:i/>
          <w:iCs/>
        </w:rPr>
        <w:t>Human Rights Act 2004</w:t>
      </w:r>
      <w:r w:rsidR="0081090A">
        <w:rPr>
          <w:rFonts w:ascii="Times New Roman" w:hAnsi="Times New Roman" w:cs="Times New Roman"/>
          <w:i/>
          <w:iCs/>
        </w:rPr>
        <w:t xml:space="preserve"> </w:t>
      </w:r>
      <w:r w:rsidR="0081090A">
        <w:rPr>
          <w:rFonts w:ascii="Times New Roman" w:hAnsi="Times New Roman" w:cs="Times New Roman"/>
        </w:rPr>
        <w:t xml:space="preserve">(the </w:t>
      </w:r>
      <w:r w:rsidR="0081090A" w:rsidRPr="0068362E">
        <w:rPr>
          <w:rFonts w:ascii="Times New Roman" w:hAnsi="Times New Roman" w:cs="Times New Roman"/>
          <w:b/>
          <w:bCs/>
          <w:i/>
          <w:iCs/>
        </w:rPr>
        <w:t>HR Act</w:t>
      </w:r>
      <w:r w:rsidR="0081090A">
        <w:rPr>
          <w:rFonts w:ascii="Times New Roman" w:hAnsi="Times New Roman" w:cs="Times New Roman"/>
        </w:rPr>
        <w:t>)</w:t>
      </w:r>
      <w:r w:rsidR="00786886">
        <w:rPr>
          <w:rFonts w:ascii="Times New Roman" w:hAnsi="Times New Roman" w:cs="Times New Roman"/>
        </w:rPr>
        <w:t xml:space="preserve">. Section 27D </w:t>
      </w:r>
      <w:r w:rsidR="00617FA3">
        <w:rPr>
          <w:rFonts w:ascii="Times New Roman" w:hAnsi="Times New Roman" w:cs="Times New Roman"/>
        </w:rPr>
        <w:t>recognises that everyone has a right to adequate housing</w:t>
      </w:r>
      <w:r w:rsidR="008F692D">
        <w:rPr>
          <w:rFonts w:ascii="Times New Roman" w:hAnsi="Times New Roman" w:cs="Times New Roman"/>
        </w:rPr>
        <w:t>. This provision will commence on 1</w:t>
      </w:r>
      <w:r w:rsidR="0068362E">
        <w:rPr>
          <w:rFonts w:ascii="Times New Roman" w:hAnsi="Times New Roman" w:cs="Times New Roman"/>
        </w:rPr>
        <w:t> </w:t>
      </w:r>
      <w:r w:rsidR="008F692D">
        <w:rPr>
          <w:rFonts w:ascii="Times New Roman" w:hAnsi="Times New Roman" w:cs="Times New Roman"/>
        </w:rPr>
        <w:t xml:space="preserve">January 2027. </w:t>
      </w:r>
    </w:p>
    <w:p w14:paraId="21B5CAD8" w14:textId="78530535" w:rsidR="00EA06FB" w:rsidRDefault="002C3A3B" w:rsidP="00F57C39">
      <w:pPr>
        <w:tabs>
          <w:tab w:val="left" w:pos="2600"/>
        </w:tabs>
        <w:autoSpaceDE w:val="0"/>
        <w:autoSpaceDN w:val="0"/>
        <w:adjustRightInd w:val="0"/>
        <w:spacing w:before="240" w:after="240"/>
        <w:rPr>
          <w:rFonts w:ascii="Times New Roman" w:hAnsi="Times New Roman" w:cs="Times New Roman"/>
        </w:rPr>
      </w:pPr>
      <w:r>
        <w:rPr>
          <w:rFonts w:ascii="Times New Roman" w:hAnsi="Times New Roman" w:cs="Times New Roman"/>
        </w:rPr>
        <w:t xml:space="preserve">The development of the Molonglo Town Centre will provide </w:t>
      </w:r>
      <w:r w:rsidR="003A2292">
        <w:rPr>
          <w:rFonts w:ascii="Times New Roman" w:hAnsi="Times New Roman" w:cs="Times New Roman"/>
        </w:rPr>
        <w:t>additional housing for residents in the ACT</w:t>
      </w:r>
      <w:r w:rsidR="005B20D9">
        <w:rPr>
          <w:rFonts w:ascii="Times New Roman" w:hAnsi="Times New Roman" w:cs="Times New Roman"/>
        </w:rPr>
        <w:t xml:space="preserve">, supporting access to housing. </w:t>
      </w:r>
      <w:r w:rsidR="007556C0">
        <w:rPr>
          <w:rFonts w:ascii="Times New Roman" w:hAnsi="Times New Roman" w:cs="Times New Roman"/>
        </w:rPr>
        <w:t xml:space="preserve">This instrument </w:t>
      </w:r>
      <w:r w:rsidR="009501DE">
        <w:rPr>
          <w:rFonts w:ascii="Times New Roman" w:hAnsi="Times New Roman" w:cs="Times New Roman"/>
        </w:rPr>
        <w:t>remove</w:t>
      </w:r>
      <w:r w:rsidR="00445AD6">
        <w:rPr>
          <w:rFonts w:ascii="Times New Roman" w:hAnsi="Times New Roman" w:cs="Times New Roman"/>
        </w:rPr>
        <w:t xml:space="preserve">s </w:t>
      </w:r>
      <w:r w:rsidR="009501DE">
        <w:rPr>
          <w:rFonts w:ascii="Times New Roman" w:hAnsi="Times New Roman" w:cs="Times New Roman"/>
        </w:rPr>
        <w:t xml:space="preserve">legislative barriers to </w:t>
      </w:r>
      <w:r w:rsidR="00445AD6">
        <w:rPr>
          <w:rFonts w:ascii="Times New Roman" w:hAnsi="Times New Roman" w:cs="Times New Roman"/>
        </w:rPr>
        <w:t xml:space="preserve">permit removal of </w:t>
      </w:r>
      <w:r w:rsidR="00B73D17">
        <w:rPr>
          <w:rFonts w:ascii="Times New Roman" w:hAnsi="Times New Roman" w:cs="Times New Roman"/>
        </w:rPr>
        <w:t>protected</w:t>
      </w:r>
      <w:r w:rsidR="00445AD6">
        <w:rPr>
          <w:rFonts w:ascii="Times New Roman" w:hAnsi="Times New Roman" w:cs="Times New Roman"/>
        </w:rPr>
        <w:t xml:space="preserve"> trees in order to allow </w:t>
      </w:r>
      <w:r w:rsidR="00B73D17">
        <w:rPr>
          <w:rFonts w:ascii="Times New Roman" w:hAnsi="Times New Roman" w:cs="Times New Roman"/>
        </w:rPr>
        <w:t>development</w:t>
      </w:r>
      <w:r w:rsidR="009501DE">
        <w:rPr>
          <w:rFonts w:ascii="Times New Roman" w:hAnsi="Times New Roman" w:cs="Times New Roman"/>
        </w:rPr>
        <w:t xml:space="preserve"> </w:t>
      </w:r>
      <w:r w:rsidR="00B73D17">
        <w:rPr>
          <w:rFonts w:ascii="Times New Roman" w:hAnsi="Times New Roman" w:cs="Times New Roman"/>
        </w:rPr>
        <w:t xml:space="preserve">to occur. </w:t>
      </w:r>
    </w:p>
    <w:p w14:paraId="17CFE1C5" w14:textId="27C9BA2C" w:rsidR="00A65902" w:rsidRPr="00786886" w:rsidRDefault="00A65902" w:rsidP="00F57C39">
      <w:pPr>
        <w:tabs>
          <w:tab w:val="left" w:pos="2600"/>
        </w:tabs>
        <w:autoSpaceDE w:val="0"/>
        <w:autoSpaceDN w:val="0"/>
        <w:adjustRightInd w:val="0"/>
        <w:spacing w:before="240" w:after="240"/>
        <w:rPr>
          <w:rFonts w:ascii="Times New Roman" w:hAnsi="Times New Roman" w:cs="Times New Roman"/>
        </w:rPr>
      </w:pPr>
      <w:r>
        <w:rPr>
          <w:rFonts w:ascii="Times New Roman" w:hAnsi="Times New Roman" w:cs="Times New Roman"/>
        </w:rPr>
        <w:t xml:space="preserve">Section 27C of the HR Act provides a right to a clean healthy and sustainable environment. </w:t>
      </w:r>
      <w:r w:rsidR="009861AD">
        <w:rPr>
          <w:rFonts w:ascii="Times New Roman" w:hAnsi="Times New Roman" w:cs="Times New Roman"/>
        </w:rPr>
        <w:t xml:space="preserve">The </w:t>
      </w:r>
      <w:r w:rsidR="001F6142">
        <w:rPr>
          <w:rFonts w:ascii="Times New Roman" w:hAnsi="Times New Roman" w:cs="Times New Roman"/>
        </w:rPr>
        <w:t xml:space="preserve">design of the town centre for Molonglo has taken environmental sustainability into account and aims to provide connected open green spaces. </w:t>
      </w:r>
    </w:p>
    <w:p w14:paraId="0E96B421" w14:textId="77777777" w:rsidR="00285A50" w:rsidRPr="00911D8D" w:rsidRDefault="00285A50" w:rsidP="00F57C39">
      <w:pPr>
        <w:pStyle w:val="normalweb"/>
        <w:keepNext/>
        <w:shd w:val="clear" w:color="auto" w:fill="FFFFFF"/>
        <w:spacing w:before="240" w:beforeAutospacing="0" w:after="240" w:afterAutospacing="0"/>
        <w:ind w:left="720" w:hanging="720"/>
        <w:rPr>
          <w:color w:val="000000"/>
        </w:rPr>
      </w:pPr>
      <w:r w:rsidRPr="00911D8D">
        <w:rPr>
          <w:b/>
          <w:bCs/>
          <w:color w:val="000000"/>
        </w:rPr>
        <w:t>Climate Change</w:t>
      </w:r>
    </w:p>
    <w:p w14:paraId="61561EC4" w14:textId="4EA3801C" w:rsidR="00F30289" w:rsidRDefault="002B360E" w:rsidP="00F57C39">
      <w:pPr>
        <w:tabs>
          <w:tab w:val="left" w:pos="2600"/>
        </w:tabs>
        <w:autoSpaceDE w:val="0"/>
        <w:autoSpaceDN w:val="0"/>
        <w:adjustRightInd w:val="0"/>
        <w:spacing w:before="240" w:after="240"/>
        <w:rPr>
          <w:rFonts w:ascii="Times New Roman" w:hAnsi="Times New Roman" w:cs="Times New Roman"/>
        </w:rPr>
      </w:pPr>
      <w:r>
        <w:rPr>
          <w:rFonts w:ascii="Times New Roman" w:hAnsi="Times New Roman" w:cs="Times New Roman"/>
        </w:rPr>
        <w:t xml:space="preserve">While the removal of trees may have an impact on climate change, it is negligible in the scheme of trees retained and other environmental factors. </w:t>
      </w:r>
    </w:p>
    <w:p w14:paraId="4451705D" w14:textId="77777777" w:rsidR="00331C2B" w:rsidRPr="00331C2B" w:rsidRDefault="00331C2B" w:rsidP="00331C2B">
      <w:pPr>
        <w:tabs>
          <w:tab w:val="left" w:pos="2600"/>
        </w:tabs>
        <w:autoSpaceDE w:val="0"/>
        <w:autoSpaceDN w:val="0"/>
        <w:adjustRightInd w:val="0"/>
        <w:spacing w:before="240" w:after="240"/>
        <w:rPr>
          <w:rFonts w:ascii="Times New Roman" w:hAnsi="Times New Roman" w:cs="Times New Roman"/>
          <w:b/>
          <w:bCs/>
        </w:rPr>
      </w:pPr>
      <w:r w:rsidRPr="00331C2B">
        <w:rPr>
          <w:rFonts w:ascii="Times New Roman" w:hAnsi="Times New Roman" w:cs="Times New Roman"/>
          <w:b/>
          <w:bCs/>
        </w:rPr>
        <w:t>Outline of Provisions</w:t>
      </w:r>
    </w:p>
    <w:p w14:paraId="035087A4" w14:textId="77777777" w:rsidR="00331C2B" w:rsidRPr="00331C2B" w:rsidRDefault="00331C2B" w:rsidP="00331C2B">
      <w:pPr>
        <w:tabs>
          <w:tab w:val="left" w:pos="2600"/>
        </w:tabs>
        <w:autoSpaceDE w:val="0"/>
        <w:autoSpaceDN w:val="0"/>
        <w:adjustRightInd w:val="0"/>
        <w:spacing w:before="240" w:after="240"/>
        <w:rPr>
          <w:rFonts w:ascii="Times New Roman" w:hAnsi="Times New Roman" w:cs="Times New Roman"/>
          <w:i/>
          <w:iCs/>
        </w:rPr>
      </w:pPr>
      <w:r w:rsidRPr="00331C2B">
        <w:rPr>
          <w:rFonts w:ascii="Times New Roman" w:hAnsi="Times New Roman" w:cs="Times New Roman"/>
          <w:i/>
          <w:iCs/>
        </w:rPr>
        <w:t>Clause 1</w:t>
      </w:r>
    </w:p>
    <w:p w14:paraId="4370489D" w14:textId="77777777" w:rsidR="00331C2B" w:rsidRPr="00331C2B" w:rsidRDefault="00331C2B" w:rsidP="00331C2B">
      <w:pPr>
        <w:tabs>
          <w:tab w:val="left" w:pos="2600"/>
        </w:tabs>
        <w:autoSpaceDE w:val="0"/>
        <w:autoSpaceDN w:val="0"/>
        <w:adjustRightInd w:val="0"/>
        <w:spacing w:before="240" w:after="240"/>
        <w:rPr>
          <w:rFonts w:ascii="Times New Roman" w:hAnsi="Times New Roman" w:cs="Times New Roman"/>
        </w:rPr>
      </w:pPr>
      <w:r w:rsidRPr="00331C2B">
        <w:rPr>
          <w:rFonts w:ascii="Times New Roman" w:hAnsi="Times New Roman" w:cs="Times New Roman"/>
        </w:rPr>
        <w:t xml:space="preserve">Clause 1 sets out the name of the instrument. </w:t>
      </w:r>
    </w:p>
    <w:p w14:paraId="6D6348A5" w14:textId="77777777" w:rsidR="00331C2B" w:rsidRPr="00331C2B" w:rsidRDefault="00331C2B" w:rsidP="00331C2B">
      <w:pPr>
        <w:tabs>
          <w:tab w:val="left" w:pos="2600"/>
        </w:tabs>
        <w:autoSpaceDE w:val="0"/>
        <w:autoSpaceDN w:val="0"/>
        <w:adjustRightInd w:val="0"/>
        <w:spacing w:before="240" w:after="240"/>
        <w:rPr>
          <w:rFonts w:ascii="Times New Roman" w:hAnsi="Times New Roman" w:cs="Times New Roman"/>
          <w:i/>
          <w:iCs/>
        </w:rPr>
      </w:pPr>
      <w:r w:rsidRPr="00331C2B">
        <w:rPr>
          <w:rFonts w:ascii="Times New Roman" w:hAnsi="Times New Roman" w:cs="Times New Roman"/>
          <w:i/>
          <w:iCs/>
        </w:rPr>
        <w:t>Clause 2</w:t>
      </w:r>
    </w:p>
    <w:p w14:paraId="14E6C4A0" w14:textId="77777777" w:rsidR="00331C2B" w:rsidRPr="00331C2B" w:rsidRDefault="00331C2B" w:rsidP="00331C2B">
      <w:pPr>
        <w:tabs>
          <w:tab w:val="left" w:pos="2600"/>
        </w:tabs>
        <w:autoSpaceDE w:val="0"/>
        <w:autoSpaceDN w:val="0"/>
        <w:adjustRightInd w:val="0"/>
        <w:spacing w:before="240" w:after="240"/>
        <w:rPr>
          <w:rFonts w:ascii="Times New Roman" w:hAnsi="Times New Roman" w:cs="Times New Roman"/>
        </w:rPr>
      </w:pPr>
      <w:r w:rsidRPr="00331C2B">
        <w:rPr>
          <w:rFonts w:ascii="Times New Roman" w:hAnsi="Times New Roman" w:cs="Times New Roman"/>
        </w:rPr>
        <w:t xml:space="preserve">Clause 2 sets out the commencement date of the instrument, being the day after the day it is notified. </w:t>
      </w:r>
    </w:p>
    <w:p w14:paraId="6E5053DF" w14:textId="77777777" w:rsidR="00331C2B" w:rsidRPr="00331C2B" w:rsidRDefault="00331C2B" w:rsidP="00331C2B">
      <w:pPr>
        <w:tabs>
          <w:tab w:val="left" w:pos="2600"/>
        </w:tabs>
        <w:autoSpaceDE w:val="0"/>
        <w:autoSpaceDN w:val="0"/>
        <w:adjustRightInd w:val="0"/>
        <w:spacing w:before="240" w:after="240"/>
        <w:rPr>
          <w:rFonts w:ascii="Times New Roman" w:hAnsi="Times New Roman" w:cs="Times New Roman"/>
          <w:i/>
          <w:iCs/>
        </w:rPr>
      </w:pPr>
      <w:r w:rsidRPr="00331C2B">
        <w:rPr>
          <w:rFonts w:ascii="Times New Roman" w:hAnsi="Times New Roman" w:cs="Times New Roman"/>
          <w:i/>
          <w:iCs/>
        </w:rPr>
        <w:t>Clause 3</w:t>
      </w:r>
    </w:p>
    <w:p w14:paraId="1AAE8853" w14:textId="77777777" w:rsidR="00331C2B" w:rsidRPr="00331C2B" w:rsidRDefault="00331C2B" w:rsidP="00331C2B">
      <w:pPr>
        <w:tabs>
          <w:tab w:val="left" w:pos="2600"/>
        </w:tabs>
        <w:autoSpaceDE w:val="0"/>
        <w:autoSpaceDN w:val="0"/>
        <w:adjustRightInd w:val="0"/>
        <w:spacing w:before="240" w:after="240"/>
        <w:rPr>
          <w:rFonts w:ascii="Times New Roman" w:hAnsi="Times New Roman" w:cs="Times New Roman"/>
        </w:rPr>
      </w:pPr>
      <w:r w:rsidRPr="00331C2B">
        <w:rPr>
          <w:rFonts w:ascii="Times New Roman" w:hAnsi="Times New Roman" w:cs="Times New Roman"/>
        </w:rPr>
        <w:t xml:space="preserve">Clause 3 sets out the declaration being made. Specifically, clause 3 sets out that the </w:t>
      </w:r>
      <w:r w:rsidRPr="00331C2B">
        <w:rPr>
          <w:rFonts w:ascii="Times New Roman" w:hAnsi="Times New Roman" w:cs="Times New Roman"/>
          <w:i/>
          <w:iCs/>
        </w:rPr>
        <w:t xml:space="preserve">Urban Forest Act 2023 </w:t>
      </w:r>
      <w:r w:rsidRPr="00331C2B">
        <w:rPr>
          <w:rFonts w:ascii="Times New Roman" w:hAnsi="Times New Roman" w:cs="Times New Roman"/>
        </w:rPr>
        <w:t xml:space="preserve">does not apply to the Suburban Land Agency on certain land in Molonglo. </w:t>
      </w:r>
    </w:p>
    <w:p w14:paraId="78953B5C" w14:textId="77777777" w:rsidR="00331C2B" w:rsidRPr="00331C2B" w:rsidRDefault="00331C2B" w:rsidP="00331C2B">
      <w:pPr>
        <w:tabs>
          <w:tab w:val="left" w:pos="2600"/>
        </w:tabs>
        <w:autoSpaceDE w:val="0"/>
        <w:autoSpaceDN w:val="0"/>
        <w:adjustRightInd w:val="0"/>
        <w:spacing w:before="240" w:after="240"/>
        <w:rPr>
          <w:rFonts w:ascii="Times New Roman" w:hAnsi="Times New Roman" w:cs="Times New Roman"/>
        </w:rPr>
      </w:pPr>
      <w:r w:rsidRPr="00331C2B">
        <w:rPr>
          <w:rFonts w:ascii="Times New Roman" w:hAnsi="Times New Roman" w:cs="Times New Roman"/>
          <w:i/>
          <w:iCs/>
        </w:rPr>
        <w:t>Clause 4</w:t>
      </w:r>
    </w:p>
    <w:p w14:paraId="10131DCE" w14:textId="77777777" w:rsidR="00331C2B" w:rsidRPr="00331C2B" w:rsidRDefault="00331C2B" w:rsidP="00331C2B">
      <w:pPr>
        <w:tabs>
          <w:tab w:val="left" w:pos="2600"/>
        </w:tabs>
        <w:autoSpaceDE w:val="0"/>
        <w:autoSpaceDN w:val="0"/>
        <w:adjustRightInd w:val="0"/>
        <w:spacing w:before="240" w:after="240"/>
        <w:rPr>
          <w:rFonts w:ascii="Times New Roman" w:hAnsi="Times New Roman" w:cs="Times New Roman"/>
        </w:rPr>
      </w:pPr>
      <w:r w:rsidRPr="00331C2B">
        <w:rPr>
          <w:rFonts w:ascii="Times New Roman" w:hAnsi="Times New Roman" w:cs="Times New Roman"/>
        </w:rPr>
        <w:t xml:space="preserve">Clause 4 sets out the conditions by which activities are permitted under the declaration being made under clause 3. Specifically, this clause requires SLA retain a </w:t>
      </w:r>
      <w:r w:rsidRPr="00331C2B">
        <w:rPr>
          <w:rFonts w:ascii="Times New Roman" w:hAnsi="Times New Roman" w:cs="Times New Roman"/>
        </w:rPr>
        <w:lastRenderedPageBreak/>
        <w:t xml:space="preserve">number of trees including all registered trees, all hollow bearing trees, and all wedge tailed Eagle Habitat Trees. This clause sets out the trees identified as Schedule 1.  </w:t>
      </w:r>
    </w:p>
    <w:p w14:paraId="4EA4ED83" w14:textId="77777777" w:rsidR="00331C2B" w:rsidRPr="00331C2B" w:rsidRDefault="00331C2B" w:rsidP="00331C2B">
      <w:pPr>
        <w:tabs>
          <w:tab w:val="left" w:pos="2600"/>
        </w:tabs>
        <w:autoSpaceDE w:val="0"/>
        <w:autoSpaceDN w:val="0"/>
        <w:adjustRightInd w:val="0"/>
        <w:spacing w:before="240" w:after="240"/>
        <w:rPr>
          <w:rFonts w:ascii="Times New Roman" w:hAnsi="Times New Roman" w:cs="Times New Roman"/>
          <w:i/>
          <w:iCs/>
        </w:rPr>
      </w:pPr>
      <w:r w:rsidRPr="00331C2B">
        <w:rPr>
          <w:rFonts w:ascii="Times New Roman" w:hAnsi="Times New Roman" w:cs="Times New Roman"/>
          <w:i/>
          <w:iCs/>
        </w:rPr>
        <w:t>Clause 5</w:t>
      </w:r>
    </w:p>
    <w:p w14:paraId="28389807" w14:textId="77777777" w:rsidR="00331C2B" w:rsidRPr="00331C2B" w:rsidRDefault="00331C2B" w:rsidP="00331C2B">
      <w:pPr>
        <w:tabs>
          <w:tab w:val="left" w:pos="2600"/>
        </w:tabs>
        <w:autoSpaceDE w:val="0"/>
        <w:autoSpaceDN w:val="0"/>
        <w:adjustRightInd w:val="0"/>
        <w:spacing w:before="240" w:after="240"/>
        <w:rPr>
          <w:rFonts w:ascii="Times New Roman" w:hAnsi="Times New Roman" w:cs="Times New Roman"/>
        </w:rPr>
      </w:pPr>
      <w:r w:rsidRPr="00331C2B">
        <w:rPr>
          <w:rFonts w:ascii="Times New Roman" w:hAnsi="Times New Roman" w:cs="Times New Roman"/>
        </w:rPr>
        <w:t xml:space="preserve">Clause 5 contains definitions for the purpose of the instrument. </w:t>
      </w:r>
    </w:p>
    <w:p w14:paraId="69002FEF" w14:textId="77777777" w:rsidR="00331C2B" w:rsidRPr="00911D8D" w:rsidRDefault="00331C2B" w:rsidP="00F57C39">
      <w:pPr>
        <w:tabs>
          <w:tab w:val="left" w:pos="2600"/>
        </w:tabs>
        <w:autoSpaceDE w:val="0"/>
        <w:autoSpaceDN w:val="0"/>
        <w:adjustRightInd w:val="0"/>
        <w:spacing w:before="240" w:after="240"/>
        <w:rPr>
          <w:rFonts w:ascii="Times New Roman" w:hAnsi="Times New Roman" w:cs="Times New Roman"/>
        </w:rPr>
      </w:pPr>
    </w:p>
    <w:sectPr w:rsidR="00331C2B" w:rsidRPr="00911D8D">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99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1380" w14:textId="77777777" w:rsidR="000C3C11" w:rsidRDefault="000C3C11">
      <w:r>
        <w:separator/>
      </w:r>
    </w:p>
  </w:endnote>
  <w:endnote w:type="continuationSeparator" w:id="0">
    <w:p w14:paraId="1C217967" w14:textId="77777777" w:rsidR="000C3C11" w:rsidRDefault="000C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A9B5" w14:textId="77777777" w:rsidR="00AE5325" w:rsidRDefault="00AE5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67D0" w14:textId="6D5CEBA0" w:rsidR="00AE5325" w:rsidRPr="00804C4B" w:rsidRDefault="00804C4B" w:rsidP="00804C4B">
    <w:pPr>
      <w:pStyle w:val="Footer"/>
      <w:jc w:val="center"/>
      <w:rPr>
        <w:sz w:val="14"/>
      </w:rPr>
    </w:pPr>
    <w:r w:rsidRPr="00804C4B">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1F2E" w14:textId="29C7B44E" w:rsidR="00AE5325" w:rsidRPr="00804C4B" w:rsidRDefault="00804C4B" w:rsidP="00804C4B">
    <w:pPr>
      <w:pStyle w:val="Footer"/>
      <w:jc w:val="center"/>
      <w:rPr>
        <w:sz w:val="14"/>
      </w:rPr>
    </w:pPr>
    <w:r w:rsidRPr="00804C4B">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AC70" w14:textId="77777777" w:rsidR="000C3C11" w:rsidRDefault="000C3C11">
      <w:r>
        <w:separator/>
      </w:r>
    </w:p>
  </w:footnote>
  <w:footnote w:type="continuationSeparator" w:id="0">
    <w:p w14:paraId="62F9427E" w14:textId="77777777" w:rsidR="000C3C11" w:rsidRDefault="000C3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8C02" w14:textId="77777777" w:rsidR="00AE5325" w:rsidRDefault="00AE5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A086" w14:textId="77777777" w:rsidR="00AE5325" w:rsidRDefault="00AE53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3694" w14:textId="77777777" w:rsidR="00AE5325" w:rsidRDefault="00AE5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62B0C"/>
    <w:multiLevelType w:val="hybridMultilevel"/>
    <w:tmpl w:val="3F006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D6402C"/>
    <w:multiLevelType w:val="hybridMultilevel"/>
    <w:tmpl w:val="7284981C"/>
    <w:lvl w:ilvl="0" w:tplc="3CFC1238">
      <w:numFmt w:val="bullet"/>
      <w:lvlText w:val="-"/>
      <w:lvlJc w:val="left"/>
      <w:pPr>
        <w:ind w:left="2955" w:hanging="360"/>
      </w:pPr>
      <w:rPr>
        <w:rFonts w:ascii="Times New Roman" w:eastAsia="Times New Roman" w:hAnsi="Times New Roman" w:cs="Times New Roman" w:hint="default"/>
      </w:rPr>
    </w:lvl>
    <w:lvl w:ilvl="1" w:tplc="0C090003" w:tentative="1">
      <w:start w:val="1"/>
      <w:numFmt w:val="bullet"/>
      <w:lvlText w:val="o"/>
      <w:lvlJc w:val="left"/>
      <w:pPr>
        <w:ind w:left="3675" w:hanging="360"/>
      </w:pPr>
      <w:rPr>
        <w:rFonts w:ascii="Courier New" w:hAnsi="Courier New" w:cs="Courier New" w:hint="default"/>
      </w:rPr>
    </w:lvl>
    <w:lvl w:ilvl="2" w:tplc="0C090005" w:tentative="1">
      <w:start w:val="1"/>
      <w:numFmt w:val="bullet"/>
      <w:lvlText w:val=""/>
      <w:lvlJc w:val="left"/>
      <w:pPr>
        <w:ind w:left="4395" w:hanging="360"/>
      </w:pPr>
      <w:rPr>
        <w:rFonts w:ascii="Wingdings" w:hAnsi="Wingdings" w:hint="default"/>
      </w:rPr>
    </w:lvl>
    <w:lvl w:ilvl="3" w:tplc="0C090001" w:tentative="1">
      <w:start w:val="1"/>
      <w:numFmt w:val="bullet"/>
      <w:lvlText w:val=""/>
      <w:lvlJc w:val="left"/>
      <w:pPr>
        <w:ind w:left="5115" w:hanging="360"/>
      </w:pPr>
      <w:rPr>
        <w:rFonts w:ascii="Symbol" w:hAnsi="Symbol" w:hint="default"/>
      </w:rPr>
    </w:lvl>
    <w:lvl w:ilvl="4" w:tplc="0C090003" w:tentative="1">
      <w:start w:val="1"/>
      <w:numFmt w:val="bullet"/>
      <w:lvlText w:val="o"/>
      <w:lvlJc w:val="left"/>
      <w:pPr>
        <w:ind w:left="5835" w:hanging="360"/>
      </w:pPr>
      <w:rPr>
        <w:rFonts w:ascii="Courier New" w:hAnsi="Courier New" w:cs="Courier New" w:hint="default"/>
      </w:rPr>
    </w:lvl>
    <w:lvl w:ilvl="5" w:tplc="0C090005" w:tentative="1">
      <w:start w:val="1"/>
      <w:numFmt w:val="bullet"/>
      <w:lvlText w:val=""/>
      <w:lvlJc w:val="left"/>
      <w:pPr>
        <w:ind w:left="6555" w:hanging="360"/>
      </w:pPr>
      <w:rPr>
        <w:rFonts w:ascii="Wingdings" w:hAnsi="Wingdings" w:hint="default"/>
      </w:rPr>
    </w:lvl>
    <w:lvl w:ilvl="6" w:tplc="0C090001" w:tentative="1">
      <w:start w:val="1"/>
      <w:numFmt w:val="bullet"/>
      <w:lvlText w:val=""/>
      <w:lvlJc w:val="left"/>
      <w:pPr>
        <w:ind w:left="7275" w:hanging="360"/>
      </w:pPr>
      <w:rPr>
        <w:rFonts w:ascii="Symbol" w:hAnsi="Symbol" w:hint="default"/>
      </w:rPr>
    </w:lvl>
    <w:lvl w:ilvl="7" w:tplc="0C090003" w:tentative="1">
      <w:start w:val="1"/>
      <w:numFmt w:val="bullet"/>
      <w:lvlText w:val="o"/>
      <w:lvlJc w:val="left"/>
      <w:pPr>
        <w:ind w:left="7995" w:hanging="360"/>
      </w:pPr>
      <w:rPr>
        <w:rFonts w:ascii="Courier New" w:hAnsi="Courier New" w:cs="Courier New" w:hint="default"/>
      </w:rPr>
    </w:lvl>
    <w:lvl w:ilvl="8" w:tplc="0C090005" w:tentative="1">
      <w:start w:val="1"/>
      <w:numFmt w:val="bullet"/>
      <w:lvlText w:val=""/>
      <w:lvlJc w:val="left"/>
      <w:pPr>
        <w:ind w:left="8715" w:hanging="360"/>
      </w:pPr>
      <w:rPr>
        <w:rFonts w:ascii="Wingdings" w:hAnsi="Wingdings" w:hint="default"/>
      </w:rPr>
    </w:lvl>
  </w:abstractNum>
  <w:abstractNum w:abstractNumId="2" w15:restartNumberingAfterBreak="0">
    <w:nsid w:val="31216F3F"/>
    <w:multiLevelType w:val="hybridMultilevel"/>
    <w:tmpl w:val="0BA05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81331B"/>
    <w:multiLevelType w:val="hybridMultilevel"/>
    <w:tmpl w:val="2DEC1716"/>
    <w:lvl w:ilvl="0" w:tplc="05CCBE1E">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2D7AAD"/>
    <w:multiLevelType w:val="hybridMultilevel"/>
    <w:tmpl w:val="F9FCE978"/>
    <w:lvl w:ilvl="0" w:tplc="5E3695A4">
      <w:start w:val="1"/>
      <w:numFmt w:val="decimal"/>
      <w:pStyle w:val="CS-RecommendationList"/>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5EAC274F"/>
    <w:multiLevelType w:val="hybridMultilevel"/>
    <w:tmpl w:val="76F29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2A7798"/>
    <w:multiLevelType w:val="hybridMultilevel"/>
    <w:tmpl w:val="A1EEC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92383269">
    <w:abstractNumId w:val="3"/>
  </w:num>
  <w:num w:numId="2" w16cid:durableId="468282061">
    <w:abstractNumId w:val="5"/>
  </w:num>
  <w:num w:numId="3" w16cid:durableId="181826183">
    <w:abstractNumId w:val="4"/>
  </w:num>
  <w:num w:numId="4" w16cid:durableId="718240096">
    <w:abstractNumId w:val="0"/>
  </w:num>
  <w:num w:numId="5" w16cid:durableId="544950641">
    <w:abstractNumId w:val="2"/>
  </w:num>
  <w:num w:numId="6" w16cid:durableId="1438675184">
    <w:abstractNumId w:val="7"/>
  </w:num>
  <w:num w:numId="7" w16cid:durableId="1816019640">
    <w:abstractNumId w:val="6"/>
  </w:num>
  <w:num w:numId="8" w16cid:durableId="562374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78"/>
    <w:rsid w:val="00007FB2"/>
    <w:rsid w:val="0001445D"/>
    <w:rsid w:val="0002046E"/>
    <w:rsid w:val="00021F7D"/>
    <w:rsid w:val="0002354D"/>
    <w:rsid w:val="0002394F"/>
    <w:rsid w:val="0003007E"/>
    <w:rsid w:val="00040075"/>
    <w:rsid w:val="00081F9C"/>
    <w:rsid w:val="00095334"/>
    <w:rsid w:val="0009588E"/>
    <w:rsid w:val="00096B90"/>
    <w:rsid w:val="00097F88"/>
    <w:rsid w:val="000A13ED"/>
    <w:rsid w:val="000A1996"/>
    <w:rsid w:val="000C3C11"/>
    <w:rsid w:val="000D2443"/>
    <w:rsid w:val="000E0B61"/>
    <w:rsid w:val="000E13A6"/>
    <w:rsid w:val="000E2207"/>
    <w:rsid w:val="000E6220"/>
    <w:rsid w:val="00104540"/>
    <w:rsid w:val="0010456C"/>
    <w:rsid w:val="0011097C"/>
    <w:rsid w:val="00111D01"/>
    <w:rsid w:val="00113443"/>
    <w:rsid w:val="001142F2"/>
    <w:rsid w:val="001155CF"/>
    <w:rsid w:val="00116482"/>
    <w:rsid w:val="00121064"/>
    <w:rsid w:val="00122AC6"/>
    <w:rsid w:val="00124532"/>
    <w:rsid w:val="00127ADA"/>
    <w:rsid w:val="0013057B"/>
    <w:rsid w:val="00136367"/>
    <w:rsid w:val="00136AE5"/>
    <w:rsid w:val="00143690"/>
    <w:rsid w:val="001500A0"/>
    <w:rsid w:val="00151836"/>
    <w:rsid w:val="0015311D"/>
    <w:rsid w:val="00167D8F"/>
    <w:rsid w:val="001709AD"/>
    <w:rsid w:val="00172E98"/>
    <w:rsid w:val="001741DE"/>
    <w:rsid w:val="00180B48"/>
    <w:rsid w:val="00180ECE"/>
    <w:rsid w:val="00187AE0"/>
    <w:rsid w:val="00195454"/>
    <w:rsid w:val="00196817"/>
    <w:rsid w:val="001A1B47"/>
    <w:rsid w:val="001A3B4E"/>
    <w:rsid w:val="001B075E"/>
    <w:rsid w:val="001B36B9"/>
    <w:rsid w:val="001B39F1"/>
    <w:rsid w:val="001C3639"/>
    <w:rsid w:val="001C43C1"/>
    <w:rsid w:val="001C4D7E"/>
    <w:rsid w:val="001C69A8"/>
    <w:rsid w:val="001E0292"/>
    <w:rsid w:val="001E6935"/>
    <w:rsid w:val="001E79CE"/>
    <w:rsid w:val="001F0835"/>
    <w:rsid w:val="001F411B"/>
    <w:rsid w:val="001F6142"/>
    <w:rsid w:val="001F6A21"/>
    <w:rsid w:val="00206231"/>
    <w:rsid w:val="002072E8"/>
    <w:rsid w:val="00211D72"/>
    <w:rsid w:val="00216185"/>
    <w:rsid w:val="00223DF2"/>
    <w:rsid w:val="00235215"/>
    <w:rsid w:val="00240466"/>
    <w:rsid w:val="002417A9"/>
    <w:rsid w:val="00241B45"/>
    <w:rsid w:val="0024739E"/>
    <w:rsid w:val="002578AF"/>
    <w:rsid w:val="002605FA"/>
    <w:rsid w:val="00266EC6"/>
    <w:rsid w:val="002711C9"/>
    <w:rsid w:val="00274785"/>
    <w:rsid w:val="002837A1"/>
    <w:rsid w:val="00285A50"/>
    <w:rsid w:val="00291076"/>
    <w:rsid w:val="00292087"/>
    <w:rsid w:val="0029348F"/>
    <w:rsid w:val="00294558"/>
    <w:rsid w:val="00295ACB"/>
    <w:rsid w:val="002A62B1"/>
    <w:rsid w:val="002A7C2E"/>
    <w:rsid w:val="002B0812"/>
    <w:rsid w:val="002B360E"/>
    <w:rsid w:val="002B7D05"/>
    <w:rsid w:val="002C3A3B"/>
    <w:rsid w:val="002C7A97"/>
    <w:rsid w:val="002D425D"/>
    <w:rsid w:val="002E0580"/>
    <w:rsid w:val="002F0F6C"/>
    <w:rsid w:val="002F1BED"/>
    <w:rsid w:val="002F2BB7"/>
    <w:rsid w:val="002F5662"/>
    <w:rsid w:val="002F572F"/>
    <w:rsid w:val="00302565"/>
    <w:rsid w:val="00307804"/>
    <w:rsid w:val="00312C81"/>
    <w:rsid w:val="00316AE4"/>
    <w:rsid w:val="003301E6"/>
    <w:rsid w:val="00331C2B"/>
    <w:rsid w:val="00334538"/>
    <w:rsid w:val="00344F5F"/>
    <w:rsid w:val="0035386A"/>
    <w:rsid w:val="00360A23"/>
    <w:rsid w:val="00363E47"/>
    <w:rsid w:val="00364686"/>
    <w:rsid w:val="00372320"/>
    <w:rsid w:val="003948D3"/>
    <w:rsid w:val="00394C95"/>
    <w:rsid w:val="003A2292"/>
    <w:rsid w:val="003A2D23"/>
    <w:rsid w:val="003A3644"/>
    <w:rsid w:val="003A44D9"/>
    <w:rsid w:val="003A7A67"/>
    <w:rsid w:val="003B3CDA"/>
    <w:rsid w:val="003C0166"/>
    <w:rsid w:val="003C028B"/>
    <w:rsid w:val="003D35B8"/>
    <w:rsid w:val="003D6C79"/>
    <w:rsid w:val="003D72EB"/>
    <w:rsid w:val="003E0DAD"/>
    <w:rsid w:val="003F7295"/>
    <w:rsid w:val="0041691C"/>
    <w:rsid w:val="00426979"/>
    <w:rsid w:val="00426ECB"/>
    <w:rsid w:val="0043288F"/>
    <w:rsid w:val="004330D4"/>
    <w:rsid w:val="004342D0"/>
    <w:rsid w:val="004406CE"/>
    <w:rsid w:val="004435C9"/>
    <w:rsid w:val="00445AD6"/>
    <w:rsid w:val="00445B9B"/>
    <w:rsid w:val="00456A81"/>
    <w:rsid w:val="00456F13"/>
    <w:rsid w:val="00465EBE"/>
    <w:rsid w:val="00477E7A"/>
    <w:rsid w:val="00485977"/>
    <w:rsid w:val="00490BDB"/>
    <w:rsid w:val="00491AC4"/>
    <w:rsid w:val="00494592"/>
    <w:rsid w:val="004956FF"/>
    <w:rsid w:val="004A4D73"/>
    <w:rsid w:val="004A5848"/>
    <w:rsid w:val="004A60A7"/>
    <w:rsid w:val="004A6553"/>
    <w:rsid w:val="004A77C7"/>
    <w:rsid w:val="004B3D9E"/>
    <w:rsid w:val="004C3BFD"/>
    <w:rsid w:val="004D0909"/>
    <w:rsid w:val="004D2D8B"/>
    <w:rsid w:val="004E2D52"/>
    <w:rsid w:val="004E4211"/>
    <w:rsid w:val="004E75FF"/>
    <w:rsid w:val="004F3EE5"/>
    <w:rsid w:val="0050206B"/>
    <w:rsid w:val="00507868"/>
    <w:rsid w:val="00511641"/>
    <w:rsid w:val="00513C93"/>
    <w:rsid w:val="00514504"/>
    <w:rsid w:val="005166A3"/>
    <w:rsid w:val="005209C4"/>
    <w:rsid w:val="00523163"/>
    <w:rsid w:val="005239DB"/>
    <w:rsid w:val="00525725"/>
    <w:rsid w:val="005267B9"/>
    <w:rsid w:val="00526B0D"/>
    <w:rsid w:val="00526E5A"/>
    <w:rsid w:val="005401CC"/>
    <w:rsid w:val="00550AA1"/>
    <w:rsid w:val="00551D36"/>
    <w:rsid w:val="00552195"/>
    <w:rsid w:val="0056381B"/>
    <w:rsid w:val="005667B2"/>
    <w:rsid w:val="00572C28"/>
    <w:rsid w:val="00574E1F"/>
    <w:rsid w:val="0058155F"/>
    <w:rsid w:val="00586B00"/>
    <w:rsid w:val="00590376"/>
    <w:rsid w:val="0059047A"/>
    <w:rsid w:val="00590751"/>
    <w:rsid w:val="00590D14"/>
    <w:rsid w:val="005A37CE"/>
    <w:rsid w:val="005A5791"/>
    <w:rsid w:val="005B0DD0"/>
    <w:rsid w:val="005B1978"/>
    <w:rsid w:val="005B1D1C"/>
    <w:rsid w:val="005B20D9"/>
    <w:rsid w:val="005B24B9"/>
    <w:rsid w:val="005B378C"/>
    <w:rsid w:val="005C23D0"/>
    <w:rsid w:val="005C601B"/>
    <w:rsid w:val="005D596D"/>
    <w:rsid w:val="005E2C73"/>
    <w:rsid w:val="005E60BF"/>
    <w:rsid w:val="005F0EB0"/>
    <w:rsid w:val="005F68A5"/>
    <w:rsid w:val="006047AF"/>
    <w:rsid w:val="00606FE9"/>
    <w:rsid w:val="006150ED"/>
    <w:rsid w:val="00617FA3"/>
    <w:rsid w:val="00621156"/>
    <w:rsid w:val="00670A46"/>
    <w:rsid w:val="0067404F"/>
    <w:rsid w:val="006773DC"/>
    <w:rsid w:val="0068362E"/>
    <w:rsid w:val="00687C73"/>
    <w:rsid w:val="006A20E4"/>
    <w:rsid w:val="006A285B"/>
    <w:rsid w:val="006A7C67"/>
    <w:rsid w:val="006B16CF"/>
    <w:rsid w:val="006B1807"/>
    <w:rsid w:val="006B7757"/>
    <w:rsid w:val="006C29E6"/>
    <w:rsid w:val="006C30E0"/>
    <w:rsid w:val="006D0CBA"/>
    <w:rsid w:val="006D300A"/>
    <w:rsid w:val="006D304A"/>
    <w:rsid w:val="006D7D11"/>
    <w:rsid w:val="006E051A"/>
    <w:rsid w:val="00713B13"/>
    <w:rsid w:val="007170D8"/>
    <w:rsid w:val="00735147"/>
    <w:rsid w:val="00736985"/>
    <w:rsid w:val="00744E99"/>
    <w:rsid w:val="00745846"/>
    <w:rsid w:val="007556C0"/>
    <w:rsid w:val="007563BB"/>
    <w:rsid w:val="00761671"/>
    <w:rsid w:val="007773EE"/>
    <w:rsid w:val="00786886"/>
    <w:rsid w:val="007946C1"/>
    <w:rsid w:val="007A4B85"/>
    <w:rsid w:val="007A74B9"/>
    <w:rsid w:val="007B189D"/>
    <w:rsid w:val="007B1BD1"/>
    <w:rsid w:val="007B3124"/>
    <w:rsid w:val="007B556D"/>
    <w:rsid w:val="007B6019"/>
    <w:rsid w:val="007B6BC5"/>
    <w:rsid w:val="007C1FE8"/>
    <w:rsid w:val="007D5BA5"/>
    <w:rsid w:val="007D5DB5"/>
    <w:rsid w:val="007F1B90"/>
    <w:rsid w:val="007F7326"/>
    <w:rsid w:val="007F7AFE"/>
    <w:rsid w:val="00801598"/>
    <w:rsid w:val="00804C4B"/>
    <w:rsid w:val="008060EB"/>
    <w:rsid w:val="0081090A"/>
    <w:rsid w:val="00820420"/>
    <w:rsid w:val="0083264D"/>
    <w:rsid w:val="00892DEB"/>
    <w:rsid w:val="00893A4F"/>
    <w:rsid w:val="008952F3"/>
    <w:rsid w:val="00896935"/>
    <w:rsid w:val="008A1564"/>
    <w:rsid w:val="008A1E70"/>
    <w:rsid w:val="008A3CBC"/>
    <w:rsid w:val="008A7DD6"/>
    <w:rsid w:val="008C04AE"/>
    <w:rsid w:val="008C3BF6"/>
    <w:rsid w:val="008D4F75"/>
    <w:rsid w:val="008E038C"/>
    <w:rsid w:val="008F1190"/>
    <w:rsid w:val="008F4006"/>
    <w:rsid w:val="008F692D"/>
    <w:rsid w:val="009078FD"/>
    <w:rsid w:val="00911D8D"/>
    <w:rsid w:val="009125A1"/>
    <w:rsid w:val="00916DE4"/>
    <w:rsid w:val="00920ADF"/>
    <w:rsid w:val="00925C62"/>
    <w:rsid w:val="00926E4D"/>
    <w:rsid w:val="00933880"/>
    <w:rsid w:val="00933AEF"/>
    <w:rsid w:val="009367FE"/>
    <w:rsid w:val="009473A6"/>
    <w:rsid w:val="009501DE"/>
    <w:rsid w:val="0096082A"/>
    <w:rsid w:val="00977068"/>
    <w:rsid w:val="00977389"/>
    <w:rsid w:val="0098126F"/>
    <w:rsid w:val="00984D5E"/>
    <w:rsid w:val="009851AA"/>
    <w:rsid w:val="0098573D"/>
    <w:rsid w:val="009861AD"/>
    <w:rsid w:val="00987F1E"/>
    <w:rsid w:val="00990DF6"/>
    <w:rsid w:val="0099170A"/>
    <w:rsid w:val="00997F91"/>
    <w:rsid w:val="009A4AEB"/>
    <w:rsid w:val="009A5888"/>
    <w:rsid w:val="009B282C"/>
    <w:rsid w:val="009C1550"/>
    <w:rsid w:val="009D08E9"/>
    <w:rsid w:val="009D1230"/>
    <w:rsid w:val="009D48F0"/>
    <w:rsid w:val="009D786F"/>
    <w:rsid w:val="009E105B"/>
    <w:rsid w:val="009E6330"/>
    <w:rsid w:val="009E7425"/>
    <w:rsid w:val="009E74CA"/>
    <w:rsid w:val="009F00A6"/>
    <w:rsid w:val="009F1E00"/>
    <w:rsid w:val="00A00A78"/>
    <w:rsid w:val="00A07F08"/>
    <w:rsid w:val="00A07F6D"/>
    <w:rsid w:val="00A152AA"/>
    <w:rsid w:val="00A158C6"/>
    <w:rsid w:val="00A24BEB"/>
    <w:rsid w:val="00A3713F"/>
    <w:rsid w:val="00A371D4"/>
    <w:rsid w:val="00A45E5F"/>
    <w:rsid w:val="00A5495E"/>
    <w:rsid w:val="00A54BEB"/>
    <w:rsid w:val="00A565F7"/>
    <w:rsid w:val="00A569DC"/>
    <w:rsid w:val="00A611E3"/>
    <w:rsid w:val="00A65902"/>
    <w:rsid w:val="00A67A94"/>
    <w:rsid w:val="00A67B37"/>
    <w:rsid w:val="00A74653"/>
    <w:rsid w:val="00A84A06"/>
    <w:rsid w:val="00A922CB"/>
    <w:rsid w:val="00AA706B"/>
    <w:rsid w:val="00AA745E"/>
    <w:rsid w:val="00AB00AC"/>
    <w:rsid w:val="00AB6CA8"/>
    <w:rsid w:val="00AC1406"/>
    <w:rsid w:val="00AC6CFB"/>
    <w:rsid w:val="00AD3779"/>
    <w:rsid w:val="00AD424E"/>
    <w:rsid w:val="00AD5836"/>
    <w:rsid w:val="00AD6BF7"/>
    <w:rsid w:val="00AD6C7C"/>
    <w:rsid w:val="00AD7758"/>
    <w:rsid w:val="00AE312F"/>
    <w:rsid w:val="00AE5325"/>
    <w:rsid w:val="00B03350"/>
    <w:rsid w:val="00B10D77"/>
    <w:rsid w:val="00B13A3B"/>
    <w:rsid w:val="00B14EA4"/>
    <w:rsid w:val="00B1541E"/>
    <w:rsid w:val="00B33C5F"/>
    <w:rsid w:val="00B44FAC"/>
    <w:rsid w:val="00B459DD"/>
    <w:rsid w:val="00B541A6"/>
    <w:rsid w:val="00B5646F"/>
    <w:rsid w:val="00B5675B"/>
    <w:rsid w:val="00B629F6"/>
    <w:rsid w:val="00B63E2C"/>
    <w:rsid w:val="00B71F2E"/>
    <w:rsid w:val="00B73D17"/>
    <w:rsid w:val="00B77D27"/>
    <w:rsid w:val="00B85DE4"/>
    <w:rsid w:val="00B974DB"/>
    <w:rsid w:val="00B97FEB"/>
    <w:rsid w:val="00BA4F4E"/>
    <w:rsid w:val="00BA67AF"/>
    <w:rsid w:val="00BB26EA"/>
    <w:rsid w:val="00BB43D4"/>
    <w:rsid w:val="00BB6A31"/>
    <w:rsid w:val="00BC595F"/>
    <w:rsid w:val="00BD1E05"/>
    <w:rsid w:val="00BD2B9C"/>
    <w:rsid w:val="00BD4148"/>
    <w:rsid w:val="00BE2674"/>
    <w:rsid w:val="00BE289B"/>
    <w:rsid w:val="00BF2D05"/>
    <w:rsid w:val="00BF75E0"/>
    <w:rsid w:val="00BF7C4E"/>
    <w:rsid w:val="00C0073C"/>
    <w:rsid w:val="00C03A0E"/>
    <w:rsid w:val="00C0777C"/>
    <w:rsid w:val="00C13F2A"/>
    <w:rsid w:val="00C31A1C"/>
    <w:rsid w:val="00C31B14"/>
    <w:rsid w:val="00C31EB2"/>
    <w:rsid w:val="00C331AB"/>
    <w:rsid w:val="00C40EA8"/>
    <w:rsid w:val="00C4291F"/>
    <w:rsid w:val="00C50A3B"/>
    <w:rsid w:val="00C559EA"/>
    <w:rsid w:val="00C56860"/>
    <w:rsid w:val="00C56868"/>
    <w:rsid w:val="00C57881"/>
    <w:rsid w:val="00C614AC"/>
    <w:rsid w:val="00C625EC"/>
    <w:rsid w:val="00C64B2F"/>
    <w:rsid w:val="00C65085"/>
    <w:rsid w:val="00C67C67"/>
    <w:rsid w:val="00C732E6"/>
    <w:rsid w:val="00C75962"/>
    <w:rsid w:val="00C77A81"/>
    <w:rsid w:val="00C8691E"/>
    <w:rsid w:val="00C869FE"/>
    <w:rsid w:val="00C90C28"/>
    <w:rsid w:val="00C940D3"/>
    <w:rsid w:val="00C94ABA"/>
    <w:rsid w:val="00CB0C25"/>
    <w:rsid w:val="00CC2677"/>
    <w:rsid w:val="00CC3145"/>
    <w:rsid w:val="00CC61D8"/>
    <w:rsid w:val="00CD1CA7"/>
    <w:rsid w:val="00CD2205"/>
    <w:rsid w:val="00CD500D"/>
    <w:rsid w:val="00CD6A46"/>
    <w:rsid w:val="00CD6A8B"/>
    <w:rsid w:val="00CE778C"/>
    <w:rsid w:val="00CE7D7E"/>
    <w:rsid w:val="00CF0715"/>
    <w:rsid w:val="00CF0BD4"/>
    <w:rsid w:val="00CF18AB"/>
    <w:rsid w:val="00D03461"/>
    <w:rsid w:val="00D05090"/>
    <w:rsid w:val="00D12A0F"/>
    <w:rsid w:val="00D24D7C"/>
    <w:rsid w:val="00D32769"/>
    <w:rsid w:val="00D41FA6"/>
    <w:rsid w:val="00D467D1"/>
    <w:rsid w:val="00D46F14"/>
    <w:rsid w:val="00D50122"/>
    <w:rsid w:val="00D54A71"/>
    <w:rsid w:val="00D73B03"/>
    <w:rsid w:val="00D75ADD"/>
    <w:rsid w:val="00D76506"/>
    <w:rsid w:val="00D830C5"/>
    <w:rsid w:val="00D90107"/>
    <w:rsid w:val="00DA5597"/>
    <w:rsid w:val="00DA7009"/>
    <w:rsid w:val="00DA7242"/>
    <w:rsid w:val="00DB12C8"/>
    <w:rsid w:val="00DB31EA"/>
    <w:rsid w:val="00DC7CB8"/>
    <w:rsid w:val="00DD7AB7"/>
    <w:rsid w:val="00DD7B72"/>
    <w:rsid w:val="00DE49D3"/>
    <w:rsid w:val="00E02D57"/>
    <w:rsid w:val="00E06651"/>
    <w:rsid w:val="00E15EED"/>
    <w:rsid w:val="00E173FE"/>
    <w:rsid w:val="00E17901"/>
    <w:rsid w:val="00E33A29"/>
    <w:rsid w:val="00E4331C"/>
    <w:rsid w:val="00E4350D"/>
    <w:rsid w:val="00E53BD5"/>
    <w:rsid w:val="00E53C09"/>
    <w:rsid w:val="00E60F22"/>
    <w:rsid w:val="00E71383"/>
    <w:rsid w:val="00E732A5"/>
    <w:rsid w:val="00E932BB"/>
    <w:rsid w:val="00EA06FB"/>
    <w:rsid w:val="00EA0D5C"/>
    <w:rsid w:val="00EB3AF2"/>
    <w:rsid w:val="00EC13EF"/>
    <w:rsid w:val="00EC483D"/>
    <w:rsid w:val="00EC510F"/>
    <w:rsid w:val="00EC5597"/>
    <w:rsid w:val="00EC6BFE"/>
    <w:rsid w:val="00ED0041"/>
    <w:rsid w:val="00ED1A2B"/>
    <w:rsid w:val="00ED37D0"/>
    <w:rsid w:val="00ED383E"/>
    <w:rsid w:val="00EE42AB"/>
    <w:rsid w:val="00EE71D6"/>
    <w:rsid w:val="00EF76BB"/>
    <w:rsid w:val="00EF77E5"/>
    <w:rsid w:val="00EF7C3E"/>
    <w:rsid w:val="00F042C8"/>
    <w:rsid w:val="00F11BC2"/>
    <w:rsid w:val="00F209C2"/>
    <w:rsid w:val="00F30289"/>
    <w:rsid w:val="00F30908"/>
    <w:rsid w:val="00F31D52"/>
    <w:rsid w:val="00F33B88"/>
    <w:rsid w:val="00F549BF"/>
    <w:rsid w:val="00F5708E"/>
    <w:rsid w:val="00F57C39"/>
    <w:rsid w:val="00F61F93"/>
    <w:rsid w:val="00F66977"/>
    <w:rsid w:val="00F81E4E"/>
    <w:rsid w:val="00F824DF"/>
    <w:rsid w:val="00F828F8"/>
    <w:rsid w:val="00F8634A"/>
    <w:rsid w:val="00F87E0C"/>
    <w:rsid w:val="00F97D0C"/>
    <w:rsid w:val="00FA1BF7"/>
    <w:rsid w:val="00FA4D04"/>
    <w:rsid w:val="00FA5EA8"/>
    <w:rsid w:val="00FB0197"/>
    <w:rsid w:val="00FB3A11"/>
    <w:rsid w:val="00FC1DD9"/>
    <w:rsid w:val="00FC53F0"/>
    <w:rsid w:val="00FC5EEE"/>
    <w:rsid w:val="00FD74C1"/>
    <w:rsid w:val="00FE00D2"/>
    <w:rsid w:val="00FE1CAC"/>
    <w:rsid w:val="077F335D"/>
    <w:rsid w:val="19016E46"/>
    <w:rsid w:val="22528E95"/>
    <w:rsid w:val="2956645A"/>
    <w:rsid w:val="3583E86A"/>
    <w:rsid w:val="3C3EE278"/>
    <w:rsid w:val="59C37760"/>
    <w:rsid w:val="6142E69C"/>
    <w:rsid w:val="6647B854"/>
    <w:rsid w:val="6999B445"/>
    <w:rsid w:val="6BCE5A82"/>
    <w:rsid w:val="708E8B19"/>
    <w:rsid w:val="72A2CCA0"/>
    <w:rsid w:val="7746FA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5251D"/>
  <w15:chartTrackingRefBased/>
  <w15:docId w15:val="{4B86F9C9-CDB5-4CBB-8088-6AF8BEC3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AB7"/>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9"/>
    <w:qFormat/>
    <w:rsid w:val="005B1978"/>
    <w:pPr>
      <w:keepNext/>
      <w:spacing w:before="360"/>
      <w:ind w:left="851" w:right="56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1978"/>
    <w:rPr>
      <w:rFonts w:ascii="Arial" w:eastAsia="Times New Roman" w:hAnsi="Arial" w:cs="Arial"/>
      <w:b/>
      <w:bCs/>
      <w:sz w:val="28"/>
      <w:szCs w:val="28"/>
    </w:rPr>
  </w:style>
  <w:style w:type="paragraph" w:styleId="Header">
    <w:name w:val="header"/>
    <w:basedOn w:val="Normal"/>
    <w:link w:val="HeaderChar"/>
    <w:uiPriority w:val="99"/>
    <w:rsid w:val="005B1978"/>
    <w:pPr>
      <w:tabs>
        <w:tab w:val="center" w:pos="4320"/>
        <w:tab w:val="right" w:pos="8640"/>
      </w:tabs>
    </w:pPr>
  </w:style>
  <w:style w:type="character" w:customStyle="1" w:styleId="HeaderChar">
    <w:name w:val="Header Char"/>
    <w:basedOn w:val="DefaultParagraphFont"/>
    <w:link w:val="Header"/>
    <w:uiPriority w:val="99"/>
    <w:rsid w:val="005B1978"/>
    <w:rPr>
      <w:rFonts w:ascii="Arial" w:eastAsia="Times New Roman" w:hAnsi="Arial" w:cs="Arial"/>
      <w:sz w:val="24"/>
      <w:szCs w:val="24"/>
    </w:rPr>
  </w:style>
  <w:style w:type="paragraph" w:styleId="Footer">
    <w:name w:val="footer"/>
    <w:basedOn w:val="Normal"/>
    <w:link w:val="FooterChar"/>
    <w:uiPriority w:val="99"/>
    <w:rsid w:val="005B1978"/>
    <w:pPr>
      <w:tabs>
        <w:tab w:val="center" w:pos="4320"/>
        <w:tab w:val="right" w:pos="8640"/>
      </w:tabs>
    </w:pPr>
  </w:style>
  <w:style w:type="character" w:customStyle="1" w:styleId="FooterChar">
    <w:name w:val="Footer Char"/>
    <w:basedOn w:val="DefaultParagraphFont"/>
    <w:link w:val="Footer"/>
    <w:uiPriority w:val="99"/>
    <w:rsid w:val="005B1978"/>
    <w:rPr>
      <w:rFonts w:ascii="Arial" w:eastAsia="Times New Roman" w:hAnsi="Arial" w:cs="Arial"/>
      <w:sz w:val="24"/>
      <w:szCs w:val="24"/>
    </w:rPr>
  </w:style>
  <w:style w:type="paragraph" w:customStyle="1" w:styleId="Billname">
    <w:name w:val="Billname"/>
    <w:basedOn w:val="Normal"/>
    <w:rsid w:val="005B1978"/>
    <w:pPr>
      <w:tabs>
        <w:tab w:val="left" w:pos="2400"/>
        <w:tab w:val="left" w:pos="2880"/>
      </w:tabs>
      <w:spacing w:before="1220" w:after="100"/>
    </w:pPr>
    <w:rPr>
      <w:b/>
      <w:bCs/>
      <w:sz w:val="40"/>
      <w:szCs w:val="40"/>
    </w:rPr>
  </w:style>
  <w:style w:type="paragraph" w:customStyle="1" w:styleId="N-line3">
    <w:name w:val="N-line3"/>
    <w:basedOn w:val="Normal"/>
    <w:next w:val="Normal"/>
    <w:uiPriority w:val="99"/>
    <w:rsid w:val="005B1978"/>
    <w:pPr>
      <w:pBdr>
        <w:bottom w:val="single" w:sz="12" w:space="1" w:color="auto"/>
      </w:pBdr>
      <w:jc w:val="both"/>
    </w:pPr>
  </w:style>
  <w:style w:type="paragraph" w:customStyle="1" w:styleId="madeunder">
    <w:name w:val="made under"/>
    <w:basedOn w:val="Normal"/>
    <w:uiPriority w:val="99"/>
    <w:rsid w:val="005B1978"/>
    <w:pPr>
      <w:spacing w:before="180" w:after="60"/>
      <w:jc w:val="both"/>
    </w:pPr>
  </w:style>
  <w:style w:type="paragraph" w:customStyle="1" w:styleId="CoverActName">
    <w:name w:val="CoverActName"/>
    <w:basedOn w:val="Normal"/>
    <w:rsid w:val="005B1978"/>
    <w:pPr>
      <w:tabs>
        <w:tab w:val="left" w:pos="2600"/>
      </w:tabs>
      <w:spacing w:before="200" w:after="60"/>
      <w:jc w:val="both"/>
    </w:pPr>
    <w:rPr>
      <w:b/>
      <w:bCs/>
    </w:rPr>
  </w:style>
  <w:style w:type="paragraph" w:customStyle="1" w:styleId="CS-RecommendationList">
    <w:name w:val="CS - Recommendation List"/>
    <w:basedOn w:val="Normal"/>
    <w:qFormat/>
    <w:rsid w:val="005B1978"/>
    <w:pPr>
      <w:numPr>
        <w:numId w:val="2"/>
      </w:numPr>
      <w:spacing w:after="240"/>
      <w:ind w:left="851" w:hanging="425"/>
      <w:contextualSpacing/>
    </w:pPr>
    <w:rPr>
      <w:rFonts w:ascii="Calibri" w:hAnsi="Calibri" w:cs="Calibri"/>
      <w:iCs/>
    </w:rPr>
  </w:style>
  <w:style w:type="paragraph" w:customStyle="1" w:styleId="CS-Paragraphnumbering">
    <w:name w:val="CS - Paragraph numbering"/>
    <w:basedOn w:val="Normal"/>
    <w:rsid w:val="005B1978"/>
    <w:pPr>
      <w:numPr>
        <w:numId w:val="3"/>
      </w:numPr>
      <w:spacing w:after="120" w:line="276" w:lineRule="auto"/>
      <w:ind w:left="567" w:right="-45" w:hanging="567"/>
    </w:pPr>
    <w:rPr>
      <w:rFonts w:asciiTheme="minorHAnsi" w:eastAsiaTheme="minorHAnsi" w:hAnsiTheme="minorHAnsi" w:cstheme="minorBidi"/>
    </w:rPr>
  </w:style>
  <w:style w:type="character" w:styleId="CommentReference">
    <w:name w:val="annotation reference"/>
    <w:basedOn w:val="DefaultParagraphFont"/>
    <w:uiPriority w:val="99"/>
    <w:rsid w:val="005B1978"/>
    <w:rPr>
      <w:sz w:val="16"/>
      <w:szCs w:val="16"/>
    </w:rPr>
  </w:style>
  <w:style w:type="paragraph" w:styleId="CommentText">
    <w:name w:val="annotation text"/>
    <w:basedOn w:val="Normal"/>
    <w:link w:val="CommentTextChar"/>
    <w:uiPriority w:val="99"/>
    <w:rsid w:val="005B1978"/>
    <w:rPr>
      <w:sz w:val="20"/>
      <w:szCs w:val="20"/>
    </w:rPr>
  </w:style>
  <w:style w:type="character" w:customStyle="1" w:styleId="CommentTextChar">
    <w:name w:val="Comment Text Char"/>
    <w:basedOn w:val="DefaultParagraphFont"/>
    <w:link w:val="CommentText"/>
    <w:uiPriority w:val="99"/>
    <w:rsid w:val="005B1978"/>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933880"/>
    <w:rPr>
      <w:b/>
      <w:bCs/>
    </w:rPr>
  </w:style>
  <w:style w:type="character" w:customStyle="1" w:styleId="CommentSubjectChar">
    <w:name w:val="Comment Subject Char"/>
    <w:basedOn w:val="CommentTextChar"/>
    <w:link w:val="CommentSubject"/>
    <w:uiPriority w:val="99"/>
    <w:semiHidden/>
    <w:rsid w:val="00933880"/>
    <w:rPr>
      <w:rFonts w:ascii="Arial" w:eastAsia="Times New Roman" w:hAnsi="Arial" w:cs="Arial"/>
      <w:b/>
      <w:bCs/>
      <w:sz w:val="20"/>
      <w:szCs w:val="20"/>
    </w:rPr>
  </w:style>
  <w:style w:type="paragraph" w:styleId="Revision">
    <w:name w:val="Revision"/>
    <w:hidden/>
    <w:uiPriority w:val="99"/>
    <w:semiHidden/>
    <w:rsid w:val="00A67B37"/>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A1B47"/>
    <w:pPr>
      <w:ind w:left="720"/>
      <w:contextualSpacing/>
    </w:pPr>
  </w:style>
  <w:style w:type="paragraph" w:styleId="FootnoteText">
    <w:name w:val="footnote text"/>
    <w:basedOn w:val="Normal"/>
    <w:link w:val="FootnoteTextChar"/>
    <w:uiPriority w:val="99"/>
    <w:semiHidden/>
    <w:unhideWhenUsed/>
    <w:rsid w:val="00B10D77"/>
    <w:rPr>
      <w:sz w:val="20"/>
      <w:szCs w:val="20"/>
    </w:rPr>
  </w:style>
  <w:style w:type="character" w:customStyle="1" w:styleId="FootnoteTextChar">
    <w:name w:val="Footnote Text Char"/>
    <w:basedOn w:val="DefaultParagraphFont"/>
    <w:link w:val="FootnoteText"/>
    <w:uiPriority w:val="99"/>
    <w:semiHidden/>
    <w:rsid w:val="00B10D77"/>
    <w:rPr>
      <w:rFonts w:ascii="Arial" w:eastAsia="Times New Roman" w:hAnsi="Arial" w:cs="Arial"/>
      <w:sz w:val="20"/>
      <w:szCs w:val="20"/>
    </w:rPr>
  </w:style>
  <w:style w:type="character" w:styleId="FootnoteReference">
    <w:name w:val="footnote reference"/>
    <w:basedOn w:val="DefaultParagraphFont"/>
    <w:uiPriority w:val="99"/>
    <w:semiHidden/>
    <w:unhideWhenUsed/>
    <w:rsid w:val="00B10D77"/>
    <w:rPr>
      <w:vertAlign w:val="superscript"/>
    </w:rPr>
  </w:style>
  <w:style w:type="character" w:styleId="Hyperlink">
    <w:name w:val="Hyperlink"/>
    <w:basedOn w:val="DefaultParagraphFont"/>
    <w:uiPriority w:val="99"/>
    <w:unhideWhenUsed/>
    <w:rsid w:val="00C13F2A"/>
    <w:rPr>
      <w:color w:val="0563C1" w:themeColor="hyperlink"/>
      <w:u w:val="single"/>
    </w:rPr>
  </w:style>
  <w:style w:type="character" w:styleId="UnresolvedMention">
    <w:name w:val="Unresolved Mention"/>
    <w:basedOn w:val="DefaultParagraphFont"/>
    <w:uiPriority w:val="99"/>
    <w:semiHidden/>
    <w:unhideWhenUsed/>
    <w:rsid w:val="00C13F2A"/>
    <w:rPr>
      <w:color w:val="605E5C"/>
      <w:shd w:val="clear" w:color="auto" w:fill="E1DFDD"/>
    </w:rPr>
  </w:style>
  <w:style w:type="paragraph" w:customStyle="1" w:styleId="normalweb">
    <w:name w:val="normalweb"/>
    <w:basedOn w:val="Normal"/>
    <w:rsid w:val="004E4211"/>
    <w:pPr>
      <w:spacing w:before="100" w:beforeAutospacing="1" w:after="100" w:afterAutospacing="1"/>
    </w:pPr>
    <w:rPr>
      <w:rFonts w:ascii="Times New Roman" w:hAnsi="Times New Roman" w:cs="Times New Roman"/>
      <w:lang w:eastAsia="en-AU"/>
    </w:rPr>
  </w:style>
  <w:style w:type="paragraph" w:customStyle="1" w:styleId="Amainreturn">
    <w:name w:val="A main return"/>
    <w:basedOn w:val="Normal"/>
    <w:link w:val="AmainreturnChar"/>
    <w:rsid w:val="00266EC6"/>
    <w:pPr>
      <w:spacing w:before="140"/>
      <w:ind w:left="1100"/>
      <w:jc w:val="both"/>
    </w:pPr>
    <w:rPr>
      <w:rFonts w:ascii="Times New Roman" w:hAnsi="Times New Roman" w:cs="Times New Roman"/>
      <w:szCs w:val="20"/>
    </w:rPr>
  </w:style>
  <w:style w:type="character" w:customStyle="1" w:styleId="AmainreturnChar">
    <w:name w:val="A main return Char"/>
    <w:basedOn w:val="DefaultParagraphFont"/>
    <w:link w:val="Amainreturn"/>
    <w:locked/>
    <w:rsid w:val="00266EC6"/>
    <w:rPr>
      <w:rFonts w:ascii="Times New Roman" w:eastAsia="Times New Roman" w:hAnsi="Times New Roman" w:cs="Times New Roman"/>
      <w:sz w:val="24"/>
      <w:szCs w:val="20"/>
    </w:rPr>
  </w:style>
  <w:style w:type="paragraph" w:customStyle="1" w:styleId="Amain">
    <w:name w:val="A main"/>
    <w:basedOn w:val="Normal"/>
    <w:rsid w:val="00291076"/>
    <w:pPr>
      <w:tabs>
        <w:tab w:val="right" w:pos="900"/>
        <w:tab w:val="left" w:pos="1100"/>
      </w:tabs>
      <w:spacing w:before="140"/>
      <w:ind w:left="1100" w:hanging="1100"/>
      <w:jc w:val="both"/>
      <w:outlineLvl w:val="5"/>
    </w:pPr>
    <w:rPr>
      <w:rFonts w:ascii="Times New Roman" w:hAnsi="Times New Roman" w:cs="Times New Roman"/>
      <w:szCs w:val="20"/>
    </w:rPr>
  </w:style>
  <w:style w:type="paragraph" w:customStyle="1" w:styleId="Apara">
    <w:name w:val="A para"/>
    <w:basedOn w:val="Normal"/>
    <w:rsid w:val="00291076"/>
    <w:pPr>
      <w:tabs>
        <w:tab w:val="right" w:pos="1400"/>
        <w:tab w:val="left" w:pos="1600"/>
      </w:tabs>
      <w:spacing w:before="140"/>
      <w:ind w:left="1600" w:hanging="1600"/>
      <w:jc w:val="both"/>
      <w:outlineLvl w:val="6"/>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9229">
      <w:bodyDiv w:val="1"/>
      <w:marLeft w:val="0"/>
      <w:marRight w:val="0"/>
      <w:marTop w:val="0"/>
      <w:marBottom w:val="0"/>
      <w:divBdr>
        <w:top w:val="none" w:sz="0" w:space="0" w:color="auto"/>
        <w:left w:val="none" w:sz="0" w:space="0" w:color="auto"/>
        <w:bottom w:val="none" w:sz="0" w:space="0" w:color="auto"/>
        <w:right w:val="none" w:sz="0" w:space="0" w:color="auto"/>
      </w:divBdr>
      <w:divsChild>
        <w:div w:id="452599599">
          <w:marLeft w:val="0"/>
          <w:marRight w:val="0"/>
          <w:marTop w:val="0"/>
          <w:marBottom w:val="0"/>
          <w:divBdr>
            <w:top w:val="none" w:sz="0" w:space="0" w:color="auto"/>
            <w:left w:val="none" w:sz="0" w:space="0" w:color="auto"/>
            <w:bottom w:val="none" w:sz="0" w:space="0" w:color="auto"/>
            <w:right w:val="none" w:sz="0" w:space="0" w:color="auto"/>
          </w:divBdr>
        </w:div>
        <w:div w:id="1563052995">
          <w:marLeft w:val="0"/>
          <w:marRight w:val="0"/>
          <w:marTop w:val="0"/>
          <w:marBottom w:val="0"/>
          <w:divBdr>
            <w:top w:val="none" w:sz="0" w:space="0" w:color="auto"/>
            <w:left w:val="none" w:sz="0" w:space="0" w:color="auto"/>
            <w:bottom w:val="none" w:sz="0" w:space="0" w:color="auto"/>
            <w:right w:val="none" w:sz="0" w:space="0" w:color="auto"/>
          </w:divBdr>
        </w:div>
      </w:divsChild>
    </w:div>
    <w:div w:id="376860410">
      <w:bodyDiv w:val="1"/>
      <w:marLeft w:val="0"/>
      <w:marRight w:val="0"/>
      <w:marTop w:val="0"/>
      <w:marBottom w:val="0"/>
      <w:divBdr>
        <w:top w:val="none" w:sz="0" w:space="0" w:color="auto"/>
        <w:left w:val="none" w:sz="0" w:space="0" w:color="auto"/>
        <w:bottom w:val="none" w:sz="0" w:space="0" w:color="auto"/>
        <w:right w:val="none" w:sz="0" w:space="0" w:color="auto"/>
      </w:divBdr>
    </w:div>
    <w:div w:id="100554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A59924328</value>
    </field>
    <field name="Objective-Title">
      <value order="0">Attachment B - ES - MTC</value>
    </field>
    <field name="Objective-Description">
      <value order="0"/>
    </field>
    <field name="Objective-CreationStamp">
      <value order="0">2026-01-26T23:17:28Z</value>
    </field>
    <field name="Objective-IsApproved">
      <value order="0">false</value>
    </field>
    <field name="Objective-IsPublished">
      <value order="0">true</value>
    </field>
    <field name="Objective-DatePublished">
      <value order="0">2026-02-22T06:02:58Z</value>
    </field>
    <field name="Objective-ModificationStamp">
      <value order="0">2026-02-22T06:02:58Z</value>
    </field>
    <field name="Objective-Owner">
      <value order="0">Kirra Cox</value>
    </field>
    <field name="Objective-Path">
      <value order="0">Whole of ACT Government:TCCS STRUCTURE - Content Restriction Hierarchy:01. Assembly, Cabinet, Ministerial:03. Ministerials:03. Complete:Information Brief (Minister):2026 Information Brief (Minister) (TCCS):TCBS - MIN C2026/00052 - Disapplication of the Urban Forest Act to Molonglo Town Centre - Minister Brief</value>
    </field>
    <field name="Objective-Parent">
      <value order="0">TCBS - MIN C2026/00052 - Disapplication of the Urban Forest Act to Molonglo Town Centre - Minister Brief</value>
    </field>
    <field name="Objective-State">
      <value order="0">Published</value>
    </field>
    <field name="Objective-VersionId">
      <value order="0">vA76520735</value>
    </field>
    <field name="Objective-Version">
      <value order="0">10.0</value>
    </field>
    <field name="Objective-VersionNumber">
      <value order="0">11</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9A112CA7-F5EB-41A2-84AA-04B920F0888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1228</Words>
  <Characters>6559</Characters>
  <Application>Microsoft Office Word</Application>
  <DocSecurity>0</DocSecurity>
  <Lines>121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Silva, Bianca</dc:creator>
  <cp:keywords>2</cp:keywords>
  <dc:description/>
  <cp:lastModifiedBy>PCODCS</cp:lastModifiedBy>
  <cp:revision>4</cp:revision>
  <dcterms:created xsi:type="dcterms:W3CDTF">2026-02-22T23:09:00Z</dcterms:created>
  <dcterms:modified xsi:type="dcterms:W3CDTF">2026-02-22T23:09:00Z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M Author">
    <vt:lpwstr/>
  </property>
  <property fmtid="{D5CDD505-2E9C-101B-9397-08002B2CF9AE}" pid="5" name="Objective-OM Author Organisation">
    <vt:lpwstr/>
  </property>
  <property fmtid="{D5CDD505-2E9C-101B-9397-08002B2CF9AE}" pid="6" name="Objective-OM Author Type">
    <vt:lpwstr/>
  </property>
  <property fmtid="{D5CDD505-2E9C-101B-9397-08002B2CF9AE}" pid="7" name="Objective-OM Date Received">
    <vt:lpwstr/>
  </property>
  <property fmtid="{D5CDD505-2E9C-101B-9397-08002B2CF9AE}" pid="8" name="Objective-OM Date of Document">
    <vt:lpwstr/>
  </property>
  <property fmtid="{D5CDD505-2E9C-101B-9397-08002B2CF9AE}" pid="9" name="Objective-OM External Reference">
    <vt:lpwstr/>
  </property>
  <property fmtid="{D5CDD505-2E9C-101B-9397-08002B2CF9AE}" pid="10" name="Objective-OM Reference">
    <vt:lpwstr/>
  </property>
  <property fmtid="{D5CDD505-2E9C-101B-9397-08002B2CF9AE}" pid="11" name="Objective-OM Topic">
    <vt:lpwstr/>
  </property>
  <property fmtid="{D5CDD505-2E9C-101B-9397-08002B2CF9AE}" pid="12" name="Objective-Suburb">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2025-08-20T23:48:29Z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640d1678-e542-419f-9d8a-92b89c24ff30</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y fmtid="{D5CDD505-2E9C-101B-9397-08002B2CF9AE}" pid="21" name="DMSID">
    <vt:lpwstr>15261366</vt:lpwstr>
  </property>
  <property fmtid="{D5CDD505-2E9C-101B-9397-08002B2CF9AE}" pid="22" name="CHECKEDOUTFROMJMS">
    <vt:lpwstr/>
  </property>
  <property fmtid="{D5CDD505-2E9C-101B-9397-08002B2CF9AE}" pid="23" name="JMSREQUIREDCHECKIN">
    <vt:lpwstr/>
  </property>
  <property fmtid="{D5CDD505-2E9C-101B-9397-08002B2CF9AE}" pid="24" name="Customer-Id">
    <vt:lpwstr>4FEB93B0D38B3BDFE05400144FFB2061</vt:lpwstr>
  </property>
  <property fmtid="{D5CDD505-2E9C-101B-9397-08002B2CF9AE}" pid="25" name="Objective-Id">
    <vt:lpwstr>A59924328</vt:lpwstr>
  </property>
  <property fmtid="{D5CDD505-2E9C-101B-9397-08002B2CF9AE}" pid="26" name="Objective-Title">
    <vt:lpwstr>Attachment B - ES - MTC</vt:lpwstr>
  </property>
  <property fmtid="{D5CDD505-2E9C-101B-9397-08002B2CF9AE}" pid="27" name="Objective-Description">
    <vt:lpwstr/>
  </property>
  <property fmtid="{D5CDD505-2E9C-101B-9397-08002B2CF9AE}" pid="28" name="Objective-CreationStamp">
    <vt:filetime>2026-01-26T23:17:28Z</vt:filetime>
  </property>
  <property fmtid="{D5CDD505-2E9C-101B-9397-08002B2CF9AE}" pid="29" name="Objective-IsApproved">
    <vt:bool>false</vt:bool>
  </property>
  <property fmtid="{D5CDD505-2E9C-101B-9397-08002B2CF9AE}" pid="30" name="Objective-IsPublished">
    <vt:bool>true</vt:bool>
  </property>
  <property fmtid="{D5CDD505-2E9C-101B-9397-08002B2CF9AE}" pid="31" name="Objective-DatePublished">
    <vt:filetime>2026-02-22T06:02:58Z</vt:filetime>
  </property>
  <property fmtid="{D5CDD505-2E9C-101B-9397-08002B2CF9AE}" pid="32" name="Objective-ModificationStamp">
    <vt:filetime>2026-02-22T06:02:58Z</vt:filetime>
  </property>
  <property fmtid="{D5CDD505-2E9C-101B-9397-08002B2CF9AE}" pid="33" name="Objective-Owner">
    <vt:lpwstr>Kirra Cox</vt:lpwstr>
  </property>
  <property fmtid="{D5CDD505-2E9C-101B-9397-08002B2CF9AE}" pid="34" name="Objective-Path">
    <vt:lpwstr>Whole of ACT Government:TCCS STRUCTURE - Content Restriction Hierarchy:01. Assembly, Cabinet, Ministerial:03. Ministerials:03. Complete:Information Brief (Minister):2026 Information Brief (Minister) (TCCS):TCBS - MIN C2026/00052 - Disapplication of the Urban Forest Act to Molonglo Town Centre - Minister Brief:</vt:lpwstr>
  </property>
  <property fmtid="{D5CDD505-2E9C-101B-9397-08002B2CF9AE}" pid="35" name="Objective-Parent">
    <vt:lpwstr>TCBS - MIN C2026/00052 - Disapplication of the Urban Forest Act to Molonglo Town Centre - Minister Brief</vt:lpwstr>
  </property>
  <property fmtid="{D5CDD505-2E9C-101B-9397-08002B2CF9AE}" pid="36" name="Objective-State">
    <vt:lpwstr>Published</vt:lpwstr>
  </property>
  <property fmtid="{D5CDD505-2E9C-101B-9397-08002B2CF9AE}" pid="37" name="Objective-VersionId">
    <vt:lpwstr>vA76520735</vt:lpwstr>
  </property>
  <property fmtid="{D5CDD505-2E9C-101B-9397-08002B2CF9AE}" pid="38" name="Objective-Version">
    <vt:lpwstr>10.0</vt:lpwstr>
  </property>
  <property fmtid="{D5CDD505-2E9C-101B-9397-08002B2CF9AE}" pid="39" name="Objective-VersionNumber">
    <vt:r8>11</vt:r8>
  </property>
  <property fmtid="{D5CDD505-2E9C-101B-9397-08002B2CF9AE}" pid="40" name="Objective-VersionComment">
    <vt:lpwstr/>
  </property>
  <property fmtid="{D5CDD505-2E9C-101B-9397-08002B2CF9AE}" pid="41" name="Objective-FileNumber">
    <vt:lpwstr>qA2147601</vt:lpwstr>
  </property>
  <property fmtid="{D5CDD505-2E9C-101B-9397-08002B2CF9AE}" pid="42" name="Objective-Classification">
    <vt:lpwstr>[Inherited - none]</vt:lpwstr>
  </property>
  <property fmtid="{D5CDD505-2E9C-101B-9397-08002B2CF9AE}" pid="43" name="Objective-Caveats">
    <vt:lpwstr/>
  </property>
  <property fmtid="{D5CDD505-2E9C-101B-9397-08002B2CF9AE}" pid="44" name="Objective-Owner Agency">
    <vt:lpwstr>TCCS</vt:lpwstr>
  </property>
  <property fmtid="{D5CDD505-2E9C-101B-9397-08002B2CF9AE}" pid="45" name="Objective-Document Type">
    <vt:lpwstr>0-Document</vt:lpwstr>
  </property>
  <property fmtid="{D5CDD505-2E9C-101B-9397-08002B2CF9AE}" pid="46" name="Objective-Language">
    <vt:lpwstr>English (en)</vt:lpwstr>
  </property>
  <property fmtid="{D5CDD505-2E9C-101B-9397-08002B2CF9AE}" pid="47" name="Objective-Jurisdiction">
    <vt:lpwstr>ACT</vt:lpwstr>
  </property>
  <property fmtid="{D5CDD505-2E9C-101B-9397-08002B2CF9AE}" pid="48" name="Objective-Customers">
    <vt:lpwstr/>
  </property>
  <property fmtid="{D5CDD505-2E9C-101B-9397-08002B2CF9AE}" pid="49" name="Objective-Places">
    <vt:lpwstr/>
  </property>
  <property fmtid="{D5CDD505-2E9C-101B-9397-08002B2CF9AE}" pid="50" name="Objective-Transaction Reference">
    <vt:lpwstr/>
  </property>
  <property fmtid="{D5CDD505-2E9C-101B-9397-08002B2CF9AE}" pid="51" name="Objective-Document Created By">
    <vt:lpwstr/>
  </property>
  <property fmtid="{D5CDD505-2E9C-101B-9397-08002B2CF9AE}" pid="52" name="Objective-Document Created On">
    <vt:lpwstr/>
  </property>
  <property fmtid="{D5CDD505-2E9C-101B-9397-08002B2CF9AE}" pid="53" name="Objective-Covers Period From">
    <vt:lpwstr/>
  </property>
  <property fmtid="{D5CDD505-2E9C-101B-9397-08002B2CF9AE}" pid="54" name="Objective-Covers Period To">
    <vt:lpwstr/>
  </property>
  <property fmtid="{D5CDD505-2E9C-101B-9397-08002B2CF9AE}" pid="55" name="Objective-Status">
    <vt:lpwstr/>
  </property>
  <property fmtid="{D5CDD505-2E9C-101B-9397-08002B2CF9AE}" pid="56" name="Objective-S28 Exemption Number">
    <vt:lpwstr/>
  </property>
  <property fmtid="{D5CDD505-2E9C-101B-9397-08002B2CF9AE}" pid="57" name="Objective-S28 Exemption">
    <vt:lpwstr/>
  </property>
  <property fmtid="{D5CDD505-2E9C-101B-9397-08002B2CF9AE}" pid="58" name="Objective-S28 Exemption Reason">
    <vt:lpwstr/>
  </property>
  <property fmtid="{D5CDD505-2E9C-101B-9397-08002B2CF9AE}" pid="59" name="Objective-S28 Comments if partial exemption">
    <vt:lpwstr/>
  </property>
  <property fmtid="{D5CDD505-2E9C-101B-9397-08002B2CF9AE}" pid="60" name="Objective-S28 Date Approved">
    <vt:lpwstr/>
  </property>
</Properties>
</file>