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E665"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3BA3A38F" w14:textId="75A6554F" w:rsidR="005A69B8" w:rsidRPr="005A69B8" w:rsidRDefault="005A69B8" w:rsidP="005A69B8">
      <w:pPr>
        <w:spacing w:before="240" w:after="60"/>
        <w:rPr>
          <w:rFonts w:ascii="Arial" w:hAnsi="Arial"/>
          <w:b/>
          <w:bCs/>
          <w:sz w:val="40"/>
        </w:rPr>
      </w:pPr>
      <w:r w:rsidRPr="005A69B8">
        <w:rPr>
          <w:rFonts w:ascii="Arial" w:hAnsi="Arial"/>
          <w:b/>
          <w:bCs/>
          <w:sz w:val="40"/>
        </w:rPr>
        <w:t>Remuneration Tribunal (F</w:t>
      </w:r>
      <w:r w:rsidR="00FF0592">
        <w:rPr>
          <w:rFonts w:ascii="Arial" w:hAnsi="Arial"/>
          <w:b/>
          <w:bCs/>
          <w:sz w:val="40"/>
        </w:rPr>
        <w:t>ees and Allowances of Members) D</w:t>
      </w:r>
      <w:r w:rsidR="009674AF">
        <w:rPr>
          <w:rFonts w:ascii="Arial" w:hAnsi="Arial"/>
          <w:b/>
          <w:bCs/>
          <w:sz w:val="40"/>
        </w:rPr>
        <w:t>etermination 20</w:t>
      </w:r>
      <w:r w:rsidR="009F2688">
        <w:rPr>
          <w:rFonts w:ascii="Arial" w:hAnsi="Arial"/>
          <w:b/>
          <w:bCs/>
          <w:sz w:val="40"/>
        </w:rPr>
        <w:t>2</w:t>
      </w:r>
      <w:r w:rsidR="005E1599">
        <w:rPr>
          <w:rFonts w:ascii="Arial" w:hAnsi="Arial"/>
          <w:b/>
          <w:bCs/>
          <w:sz w:val="40"/>
        </w:rPr>
        <w:t>6</w:t>
      </w:r>
    </w:p>
    <w:p w14:paraId="0FC669F6" w14:textId="4AD28D86" w:rsidR="00F14B89" w:rsidRDefault="005D70F1" w:rsidP="005A69B8">
      <w:pPr>
        <w:spacing w:before="240" w:after="60"/>
        <w:rPr>
          <w:rFonts w:ascii="Arial" w:hAnsi="Arial" w:cs="Arial"/>
          <w:b/>
          <w:bCs/>
        </w:rPr>
      </w:pPr>
      <w:r>
        <w:rPr>
          <w:rFonts w:ascii="Arial" w:hAnsi="Arial" w:cs="Arial"/>
          <w:b/>
          <w:bCs/>
        </w:rPr>
        <w:t xml:space="preserve">Disallowable instrument </w:t>
      </w:r>
      <w:r w:rsidR="009674AF">
        <w:rPr>
          <w:rFonts w:ascii="Arial" w:hAnsi="Arial" w:cs="Arial"/>
          <w:b/>
          <w:bCs/>
        </w:rPr>
        <w:t>DI20</w:t>
      </w:r>
      <w:r w:rsidR="009F2688">
        <w:rPr>
          <w:rFonts w:ascii="Arial" w:hAnsi="Arial" w:cs="Arial"/>
          <w:b/>
          <w:bCs/>
        </w:rPr>
        <w:t>2</w:t>
      </w:r>
      <w:r w:rsidR="005E1599">
        <w:rPr>
          <w:rFonts w:ascii="Arial" w:hAnsi="Arial" w:cs="Arial"/>
          <w:b/>
          <w:bCs/>
        </w:rPr>
        <w:t>6</w:t>
      </w:r>
      <w:r w:rsidR="005A69B8" w:rsidRPr="005A69B8">
        <w:rPr>
          <w:rFonts w:ascii="Arial" w:hAnsi="Arial" w:cs="Arial"/>
          <w:b/>
          <w:bCs/>
        </w:rPr>
        <w:t>–</w:t>
      </w:r>
      <w:r w:rsidR="00675F93">
        <w:rPr>
          <w:rFonts w:ascii="Arial" w:hAnsi="Arial" w:cs="Arial"/>
          <w:b/>
          <w:bCs/>
        </w:rPr>
        <w:t>17</w:t>
      </w:r>
    </w:p>
    <w:p w14:paraId="49DBC102" w14:textId="77777777" w:rsidR="005D70F1" w:rsidRDefault="005D70F1" w:rsidP="005A69B8">
      <w:pPr>
        <w:spacing w:before="240" w:after="60"/>
      </w:pPr>
      <w:r>
        <w:t xml:space="preserve">made under the  </w:t>
      </w:r>
    </w:p>
    <w:p w14:paraId="0E883DE0" w14:textId="77777777" w:rsidR="005D70F1" w:rsidRPr="005A69B8" w:rsidRDefault="005A69B8">
      <w:pPr>
        <w:pStyle w:val="CoverActName"/>
        <w:rPr>
          <w:sz w:val="20"/>
        </w:rPr>
      </w:pPr>
      <w:r>
        <w:rPr>
          <w:sz w:val="20"/>
        </w:rPr>
        <w:t>Remuneration Tribunal Act 1995, section 20 (</w:t>
      </w:r>
      <w:r w:rsidRPr="0056589B">
        <w:rPr>
          <w:sz w:val="20"/>
        </w:rPr>
        <w:t>Determination of fees and allowances of members</w:t>
      </w:r>
      <w:r>
        <w:rPr>
          <w:sz w:val="20"/>
        </w:rPr>
        <w:t>)</w:t>
      </w:r>
    </w:p>
    <w:p w14:paraId="1BBA6D2E"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59FB3708" w14:textId="77777777" w:rsidR="005D70F1" w:rsidRDefault="005D70F1">
      <w:pPr>
        <w:pStyle w:val="N-line3"/>
        <w:pBdr>
          <w:bottom w:val="none" w:sz="0" w:space="0" w:color="auto"/>
        </w:pBdr>
      </w:pPr>
    </w:p>
    <w:p w14:paraId="157B0606" w14:textId="77777777" w:rsidR="005D70F1" w:rsidRDefault="005D70F1">
      <w:pPr>
        <w:pStyle w:val="N-line3"/>
        <w:pBdr>
          <w:top w:val="single" w:sz="12" w:space="1" w:color="auto"/>
          <w:bottom w:val="none" w:sz="0" w:space="0" w:color="auto"/>
        </w:pBdr>
      </w:pPr>
    </w:p>
    <w:bookmarkEnd w:id="0"/>
    <w:p w14:paraId="2BA2DF09" w14:textId="77777777" w:rsidR="005A69B8" w:rsidRPr="005A69B8" w:rsidRDefault="005A69B8" w:rsidP="005A69B8">
      <w:pPr>
        <w:rPr>
          <w:u w:val="single"/>
        </w:rPr>
      </w:pPr>
      <w:r w:rsidRPr="005A69B8">
        <w:rPr>
          <w:u w:val="single"/>
        </w:rPr>
        <w:t>Legislative Context</w:t>
      </w:r>
    </w:p>
    <w:p w14:paraId="2253215B" w14:textId="77777777" w:rsidR="005A69B8" w:rsidRPr="005A69B8" w:rsidRDefault="005A69B8" w:rsidP="005A69B8"/>
    <w:p w14:paraId="6A3365AA" w14:textId="77777777" w:rsidR="005A69B8" w:rsidRPr="005A69B8" w:rsidRDefault="005A69B8" w:rsidP="005A69B8">
      <w:r w:rsidRPr="005A69B8">
        <w:t xml:space="preserve">The </w:t>
      </w:r>
      <w:r w:rsidRPr="005A69B8">
        <w:rPr>
          <w:i/>
        </w:rPr>
        <w:t>Remuneration Tribunal Act 1995</w:t>
      </w:r>
      <w:r w:rsidRPr="005A69B8">
        <w:t xml:space="preserve"> (the Act) established the Remuneration Tribunal (the Tribunal).  The Tribunal may be constituted by the appointment of one member and may consist of not more than three members.  Where more than one member is appointed, a member is appointed to be the chairperson.</w:t>
      </w:r>
    </w:p>
    <w:p w14:paraId="50D02125" w14:textId="77777777" w:rsidR="005A69B8" w:rsidRPr="005A69B8" w:rsidRDefault="005A69B8" w:rsidP="005A69B8"/>
    <w:p w14:paraId="5B9461FB" w14:textId="77777777" w:rsidR="005A69B8" w:rsidRPr="005A69B8" w:rsidRDefault="005A69B8" w:rsidP="005A69B8">
      <w:r w:rsidRPr="005A69B8">
        <w:t>Under section 20 of the Act</w:t>
      </w:r>
      <w:r w:rsidR="002F50EC">
        <w:t>,</w:t>
      </w:r>
      <w:r w:rsidRPr="005A69B8">
        <w:t xml:space="preserve"> the Chief Minister may determine the fees and allowances payable to members of the Tribunal.</w:t>
      </w:r>
    </w:p>
    <w:p w14:paraId="667FB658" w14:textId="77777777" w:rsidR="005A69B8" w:rsidRPr="005A69B8" w:rsidRDefault="005A69B8" w:rsidP="005A69B8"/>
    <w:p w14:paraId="4C8337D8" w14:textId="77777777" w:rsidR="005A69B8" w:rsidRPr="005A69B8" w:rsidRDefault="005A69B8" w:rsidP="005A69B8">
      <w:pPr>
        <w:rPr>
          <w:u w:val="single"/>
        </w:rPr>
      </w:pPr>
      <w:r w:rsidRPr="005A69B8">
        <w:rPr>
          <w:u w:val="single"/>
        </w:rPr>
        <w:t>Background</w:t>
      </w:r>
    </w:p>
    <w:p w14:paraId="61022632" w14:textId="77777777" w:rsidR="005A69B8" w:rsidRPr="005A69B8" w:rsidRDefault="005A69B8" w:rsidP="005A69B8"/>
    <w:p w14:paraId="0CBA5DD6" w14:textId="644F98F6" w:rsidR="002F7294" w:rsidRDefault="005A69B8" w:rsidP="00E00C11">
      <w:r w:rsidRPr="005A69B8">
        <w:t>The remuneration increase maintain</w:t>
      </w:r>
      <w:r w:rsidR="001C60D2">
        <w:t>s</w:t>
      </w:r>
      <w:r w:rsidRPr="005A69B8">
        <w:t xml:space="preserve"> appropriate relativity with </w:t>
      </w:r>
      <w:r w:rsidR="002B7225">
        <w:t xml:space="preserve">similar </w:t>
      </w:r>
      <w:r w:rsidR="00E00C11">
        <w:br/>
      </w:r>
      <w:r w:rsidR="00E8090C">
        <w:t xml:space="preserve">part-time </w:t>
      </w:r>
      <w:r w:rsidRPr="005A69B8">
        <w:t>public offic</w:t>
      </w:r>
      <w:r w:rsidR="00E8090C">
        <w:t>e holders</w:t>
      </w:r>
      <w:r w:rsidRPr="005A69B8">
        <w:t xml:space="preserve"> in the ACT public sector</w:t>
      </w:r>
      <w:r w:rsidR="002B7225">
        <w:t>, and to some extent, with similar tribunals elsewhere in Australia</w:t>
      </w:r>
      <w:r w:rsidR="00E1366D">
        <w:t>.</w:t>
      </w:r>
      <w:r w:rsidR="00C473C3">
        <w:t xml:space="preserve"> </w:t>
      </w:r>
    </w:p>
    <w:p w14:paraId="4178634D" w14:textId="77777777" w:rsidR="002F7294" w:rsidRDefault="002F7294" w:rsidP="00E00C11"/>
    <w:p w14:paraId="2956F00A" w14:textId="5CF197AA" w:rsidR="002F7294" w:rsidRPr="005A69B8" w:rsidRDefault="002F7294" w:rsidP="00E00C11">
      <w:r w:rsidRPr="002F7294">
        <w:t>Th</w:t>
      </w:r>
      <w:r>
        <w:t>e</w:t>
      </w:r>
      <w:r w:rsidRPr="002F7294">
        <w:t xml:space="preserve"> retrospective commencement is intentional and reflects the Tribunal’s established remuneration cycle. </w:t>
      </w:r>
      <w:r w:rsidR="002C6114">
        <w:t xml:space="preserve">The retrospective commencement is not prejudicial to anyone except the Territory. </w:t>
      </w:r>
    </w:p>
    <w:p w14:paraId="113EC60A" w14:textId="77777777" w:rsidR="005A69B8" w:rsidRPr="005A69B8" w:rsidRDefault="005A69B8" w:rsidP="005A69B8"/>
    <w:p w14:paraId="304020A9" w14:textId="77777777" w:rsidR="005A69B8" w:rsidRPr="005A69B8" w:rsidRDefault="005A69B8" w:rsidP="005A69B8">
      <w:pPr>
        <w:rPr>
          <w:u w:val="single"/>
        </w:rPr>
      </w:pPr>
      <w:r w:rsidRPr="005A69B8">
        <w:rPr>
          <w:u w:val="single"/>
        </w:rPr>
        <w:t>Decision</w:t>
      </w:r>
    </w:p>
    <w:p w14:paraId="2731C19F" w14:textId="77777777" w:rsidR="005A69B8" w:rsidRPr="005A69B8" w:rsidRDefault="005A69B8" w:rsidP="005A69B8"/>
    <w:p w14:paraId="3ADDBC84" w14:textId="77777777" w:rsidR="00E00C11" w:rsidRDefault="005A69B8" w:rsidP="005A69B8">
      <w:r w:rsidRPr="005A69B8">
        <w:t xml:space="preserve">This instrument </w:t>
      </w:r>
      <w:r w:rsidR="00E83827">
        <w:t>adjusts</w:t>
      </w:r>
      <w:r w:rsidRPr="005A69B8">
        <w:t xml:space="preserve"> the level of r</w:t>
      </w:r>
      <w:r w:rsidR="009674AF">
        <w:t>emuneration payable</w:t>
      </w:r>
      <w:r w:rsidR="00E00C11">
        <w:t xml:space="preserve"> to </w:t>
      </w:r>
      <w:r w:rsidR="003F3DD1">
        <w:t xml:space="preserve">the members of the Tribunal to </w:t>
      </w:r>
      <w:r w:rsidR="00E00C11">
        <w:t>the following amounts:</w:t>
      </w:r>
    </w:p>
    <w:p w14:paraId="6795DFEE" w14:textId="4E954600" w:rsidR="00E00C11" w:rsidRDefault="00806474" w:rsidP="00E00C11">
      <w:pPr>
        <w:pStyle w:val="ListParagraph"/>
        <w:numPr>
          <w:ilvl w:val="0"/>
          <w:numId w:val="10"/>
        </w:numPr>
      </w:pPr>
      <w:r>
        <w:t>Chair</w:t>
      </w:r>
      <w:r w:rsidR="00E00C11">
        <w:t>: $3</w:t>
      </w:r>
      <w:r w:rsidR="005E1599">
        <w:t>6,190</w:t>
      </w:r>
      <w:r w:rsidR="003F3DD1">
        <w:t xml:space="preserve"> per annum</w:t>
      </w:r>
      <w:r w:rsidR="00E00C11">
        <w:t>;</w:t>
      </w:r>
      <w:r>
        <w:t xml:space="preserve"> and </w:t>
      </w:r>
    </w:p>
    <w:p w14:paraId="7BBC8E57" w14:textId="079C968C" w:rsidR="00E00C11" w:rsidRPr="00E00C11" w:rsidRDefault="00806474" w:rsidP="00E00C11">
      <w:pPr>
        <w:pStyle w:val="ListParagraph"/>
        <w:numPr>
          <w:ilvl w:val="0"/>
          <w:numId w:val="10"/>
        </w:numPr>
        <w:rPr>
          <w:color w:val="000000" w:themeColor="text1"/>
        </w:rPr>
      </w:pPr>
      <w:r w:rsidRPr="00E00C11">
        <w:rPr>
          <w:color w:val="000000" w:themeColor="text1"/>
        </w:rPr>
        <w:t>M</w:t>
      </w:r>
      <w:r w:rsidR="009674AF" w:rsidRPr="00E00C11">
        <w:rPr>
          <w:color w:val="000000" w:themeColor="text1"/>
        </w:rPr>
        <w:t>embers</w:t>
      </w:r>
      <w:r w:rsidR="00E00C11" w:rsidRPr="00E00C11">
        <w:rPr>
          <w:color w:val="000000" w:themeColor="text1"/>
        </w:rPr>
        <w:t>: $</w:t>
      </w:r>
      <w:r w:rsidR="00CD12B2">
        <w:rPr>
          <w:color w:val="000000" w:themeColor="text1"/>
        </w:rPr>
        <w:t>2</w:t>
      </w:r>
      <w:r w:rsidR="005E1599">
        <w:rPr>
          <w:color w:val="000000" w:themeColor="text1"/>
        </w:rPr>
        <w:t>1,725</w:t>
      </w:r>
      <w:r w:rsidR="003F3DD1">
        <w:rPr>
          <w:color w:val="000000" w:themeColor="text1"/>
        </w:rPr>
        <w:t xml:space="preserve"> per annum</w:t>
      </w:r>
      <w:r w:rsidR="009674AF" w:rsidRPr="00E00C11">
        <w:rPr>
          <w:color w:val="000000" w:themeColor="text1"/>
        </w:rPr>
        <w:t xml:space="preserve">. </w:t>
      </w:r>
    </w:p>
    <w:p w14:paraId="0BAD9A7E" w14:textId="77777777" w:rsidR="0029571F" w:rsidRDefault="0029571F" w:rsidP="000C4A8A">
      <w:pPr>
        <w:rPr>
          <w:color w:val="000000" w:themeColor="text1"/>
        </w:rPr>
      </w:pPr>
    </w:p>
    <w:p w14:paraId="1E0C830E" w14:textId="77777777" w:rsidR="000C4A8A" w:rsidRDefault="000C4A8A" w:rsidP="000C4A8A">
      <w:pPr>
        <w:rPr>
          <w:color w:val="000000" w:themeColor="text1"/>
        </w:rPr>
      </w:pPr>
      <w:r w:rsidRPr="00E00C11">
        <w:rPr>
          <w:color w:val="000000" w:themeColor="text1"/>
        </w:rPr>
        <w:t xml:space="preserve">Other entitlements and allowances are consistent with all other ACT Part-time Public Office Holders. </w:t>
      </w:r>
    </w:p>
    <w:p w14:paraId="0E0792BE" w14:textId="77777777" w:rsidR="002F7294" w:rsidRDefault="002F7294" w:rsidP="000C4A8A">
      <w:pPr>
        <w:rPr>
          <w:color w:val="000000" w:themeColor="text1"/>
        </w:rPr>
      </w:pPr>
    </w:p>
    <w:p w14:paraId="610C7B2A" w14:textId="77777777" w:rsidR="000C4A8A" w:rsidRDefault="000C4A8A"/>
    <w:sectPr w:rsidR="000C4A8A"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AAB7" w14:textId="77777777" w:rsidR="0097019C" w:rsidRDefault="0097019C">
      <w:r>
        <w:separator/>
      </w:r>
    </w:p>
  </w:endnote>
  <w:endnote w:type="continuationSeparator" w:id="0">
    <w:p w14:paraId="6E713951" w14:textId="77777777" w:rsidR="0097019C" w:rsidRDefault="0097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E4F5" w14:textId="77777777" w:rsidR="00FC000C" w:rsidRDefault="00FC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1624" w14:textId="5AF57758" w:rsidR="004C4A40" w:rsidRPr="00FC000C" w:rsidRDefault="00FC000C" w:rsidP="00FC000C">
    <w:pPr>
      <w:pStyle w:val="Footer"/>
      <w:spacing w:before="0" w:after="0" w:line="240" w:lineRule="auto"/>
      <w:jc w:val="center"/>
      <w:rPr>
        <w:rFonts w:cs="Arial"/>
        <w:sz w:val="14"/>
      </w:rPr>
    </w:pPr>
    <w:r w:rsidRPr="00FC00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7140" w14:textId="77777777" w:rsidR="00FC000C" w:rsidRDefault="00FC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0B8A" w14:textId="77777777" w:rsidR="0097019C" w:rsidRDefault="0097019C">
      <w:r>
        <w:separator/>
      </w:r>
    </w:p>
  </w:footnote>
  <w:footnote w:type="continuationSeparator" w:id="0">
    <w:p w14:paraId="51219227" w14:textId="77777777" w:rsidR="0097019C" w:rsidRDefault="0097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64F" w14:textId="77777777" w:rsidR="00FC000C" w:rsidRDefault="00FC0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C156" w14:textId="77777777" w:rsidR="00FC000C" w:rsidRDefault="00FC0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CEEF" w14:textId="77777777" w:rsidR="00FC000C" w:rsidRDefault="00FC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85294"/>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1BCD2C3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72D7AAD"/>
    <w:multiLevelType w:val="hybridMultilevel"/>
    <w:tmpl w:val="FFFFFFFF"/>
    <w:lvl w:ilvl="0" w:tplc="E728906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017318217">
    <w:abstractNumId w:val="2"/>
  </w:num>
  <w:num w:numId="2" w16cid:durableId="532349285">
    <w:abstractNumId w:val="0"/>
  </w:num>
  <w:num w:numId="3" w16cid:durableId="1058675566">
    <w:abstractNumId w:val="3"/>
  </w:num>
  <w:num w:numId="4" w16cid:durableId="2134204195">
    <w:abstractNumId w:val="8"/>
  </w:num>
  <w:num w:numId="5" w16cid:durableId="400562998">
    <w:abstractNumId w:val="10"/>
  </w:num>
  <w:num w:numId="6" w16cid:durableId="325016650">
    <w:abstractNumId w:val="1"/>
  </w:num>
  <w:num w:numId="7" w16cid:durableId="1348141982">
    <w:abstractNumId w:val="6"/>
  </w:num>
  <w:num w:numId="8" w16cid:durableId="1638608883">
    <w:abstractNumId w:val="7"/>
  </w:num>
  <w:num w:numId="9" w16cid:durableId="722214827">
    <w:abstractNumId w:val="4"/>
  </w:num>
  <w:num w:numId="10" w16cid:durableId="617297460">
    <w:abstractNumId w:val="5"/>
  </w:num>
  <w:num w:numId="11" w16cid:durableId="525677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47CE"/>
    <w:rsid w:val="000311D2"/>
    <w:rsid w:val="000470C3"/>
    <w:rsid w:val="00081CA7"/>
    <w:rsid w:val="00091178"/>
    <w:rsid w:val="000C4A8A"/>
    <w:rsid w:val="00140EE5"/>
    <w:rsid w:val="001A2A89"/>
    <w:rsid w:val="001C60D2"/>
    <w:rsid w:val="001E24FA"/>
    <w:rsid w:val="0020469B"/>
    <w:rsid w:val="00230EB4"/>
    <w:rsid w:val="00250990"/>
    <w:rsid w:val="0029571F"/>
    <w:rsid w:val="002B7225"/>
    <w:rsid w:val="002C5E87"/>
    <w:rsid w:val="002C6114"/>
    <w:rsid w:val="002D5169"/>
    <w:rsid w:val="002F50EC"/>
    <w:rsid w:val="002F5243"/>
    <w:rsid w:val="002F7294"/>
    <w:rsid w:val="003F1800"/>
    <w:rsid w:val="003F3DD1"/>
    <w:rsid w:val="00423EC7"/>
    <w:rsid w:val="004272DD"/>
    <w:rsid w:val="004545D0"/>
    <w:rsid w:val="00471C05"/>
    <w:rsid w:val="00484658"/>
    <w:rsid w:val="004C4A40"/>
    <w:rsid w:val="004C505F"/>
    <w:rsid w:val="0056589B"/>
    <w:rsid w:val="00566364"/>
    <w:rsid w:val="005A69B8"/>
    <w:rsid w:val="005D70F1"/>
    <w:rsid w:val="005E1599"/>
    <w:rsid w:val="005E77A0"/>
    <w:rsid w:val="006120D6"/>
    <w:rsid w:val="0064757F"/>
    <w:rsid w:val="00675F93"/>
    <w:rsid w:val="006B33A2"/>
    <w:rsid w:val="006F50C5"/>
    <w:rsid w:val="007309D4"/>
    <w:rsid w:val="007769F7"/>
    <w:rsid w:val="00806474"/>
    <w:rsid w:val="00892CD2"/>
    <w:rsid w:val="008E0C38"/>
    <w:rsid w:val="008E1AC6"/>
    <w:rsid w:val="009016DD"/>
    <w:rsid w:val="009674AF"/>
    <w:rsid w:val="0097019C"/>
    <w:rsid w:val="009B1096"/>
    <w:rsid w:val="009F2688"/>
    <w:rsid w:val="00A45B80"/>
    <w:rsid w:val="00AD1271"/>
    <w:rsid w:val="00B35F30"/>
    <w:rsid w:val="00B37194"/>
    <w:rsid w:val="00B54737"/>
    <w:rsid w:val="00B54842"/>
    <w:rsid w:val="00BC0DA0"/>
    <w:rsid w:val="00BF3860"/>
    <w:rsid w:val="00C11E02"/>
    <w:rsid w:val="00C4252F"/>
    <w:rsid w:val="00C473C3"/>
    <w:rsid w:val="00C863D7"/>
    <w:rsid w:val="00CD12B2"/>
    <w:rsid w:val="00CE2FE7"/>
    <w:rsid w:val="00D17EDA"/>
    <w:rsid w:val="00DC5F5D"/>
    <w:rsid w:val="00DC709C"/>
    <w:rsid w:val="00DE204C"/>
    <w:rsid w:val="00E00C11"/>
    <w:rsid w:val="00E1366D"/>
    <w:rsid w:val="00E8090C"/>
    <w:rsid w:val="00E83827"/>
    <w:rsid w:val="00E93106"/>
    <w:rsid w:val="00E93369"/>
    <w:rsid w:val="00ED0B4C"/>
    <w:rsid w:val="00F14B89"/>
    <w:rsid w:val="00F250E7"/>
    <w:rsid w:val="00F851E9"/>
    <w:rsid w:val="00F91CE3"/>
    <w:rsid w:val="00F944D4"/>
    <w:rsid w:val="00FC000C"/>
    <w:rsid w:val="00FF0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0AD6C"/>
  <w14:defaultImageDpi w14:val="0"/>
  <w15:docId w15:val="{2DF1217E-6A04-484D-8AF8-F87FF0D3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7A0"/>
    <w:rPr>
      <w:sz w:val="24"/>
      <w:lang w:eastAsia="en-US"/>
    </w:rPr>
  </w:style>
  <w:style w:type="paragraph" w:styleId="Heading1">
    <w:name w:val="heading 1"/>
    <w:basedOn w:val="Normal"/>
    <w:next w:val="Normal"/>
    <w:link w:val="Heading1Char"/>
    <w:uiPriority w:val="9"/>
    <w:qFormat/>
    <w:rsid w:val="005E77A0"/>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5E77A0"/>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5E77A0"/>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5E77A0"/>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5E77A0"/>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5E77A0"/>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5E77A0"/>
    <w:pPr>
      <w:tabs>
        <w:tab w:val="left" w:pos="2400"/>
        <w:tab w:val="left" w:pos="2880"/>
      </w:tabs>
      <w:spacing w:before="1220" w:after="100"/>
    </w:pPr>
    <w:rPr>
      <w:rFonts w:ascii="Arial" w:hAnsi="Arial"/>
      <w:b/>
      <w:sz w:val="40"/>
    </w:rPr>
  </w:style>
  <w:style w:type="paragraph" w:customStyle="1" w:styleId="Amain">
    <w:name w:val="A main"/>
    <w:basedOn w:val="Normal"/>
    <w:rsid w:val="005E77A0"/>
    <w:pPr>
      <w:tabs>
        <w:tab w:val="right" w:pos="500"/>
        <w:tab w:val="left" w:pos="700"/>
      </w:tabs>
      <w:spacing w:before="80" w:after="60"/>
      <w:ind w:left="700" w:hanging="700"/>
      <w:jc w:val="both"/>
      <w:outlineLvl w:val="5"/>
    </w:pPr>
  </w:style>
  <w:style w:type="paragraph" w:customStyle="1" w:styleId="N-line3">
    <w:name w:val="N-line3"/>
    <w:basedOn w:val="Normal"/>
    <w:next w:val="Normal"/>
    <w:rsid w:val="005E77A0"/>
    <w:pPr>
      <w:pBdr>
        <w:bottom w:val="single" w:sz="12" w:space="1" w:color="auto"/>
      </w:pBdr>
      <w:jc w:val="both"/>
    </w:pPr>
  </w:style>
  <w:style w:type="paragraph" w:customStyle="1" w:styleId="madeunder">
    <w:name w:val="made under"/>
    <w:basedOn w:val="Normal"/>
    <w:rsid w:val="005E77A0"/>
    <w:pPr>
      <w:spacing w:before="180" w:after="60"/>
      <w:jc w:val="both"/>
    </w:pPr>
  </w:style>
  <w:style w:type="paragraph" w:customStyle="1" w:styleId="CoverActName">
    <w:name w:val="CoverActName"/>
    <w:basedOn w:val="Normal"/>
    <w:uiPriority w:val="99"/>
    <w:rsid w:val="005E77A0"/>
    <w:pPr>
      <w:tabs>
        <w:tab w:val="left" w:pos="2600"/>
      </w:tabs>
      <w:spacing w:before="200" w:after="60"/>
      <w:jc w:val="both"/>
    </w:pPr>
    <w:rPr>
      <w:rFonts w:ascii="Arial" w:hAnsi="Arial"/>
      <w:b/>
    </w:rPr>
  </w:style>
  <w:style w:type="paragraph" w:customStyle="1" w:styleId="06Copyright">
    <w:name w:val="06Copyright"/>
    <w:basedOn w:val="Normal"/>
    <w:rsid w:val="005E77A0"/>
    <w:pPr>
      <w:tabs>
        <w:tab w:val="left" w:pos="2880"/>
      </w:tabs>
    </w:pPr>
  </w:style>
  <w:style w:type="paragraph" w:customStyle="1" w:styleId="Apara">
    <w:name w:val="A para"/>
    <w:basedOn w:val="Normal"/>
    <w:rsid w:val="005E77A0"/>
    <w:pPr>
      <w:numPr>
        <w:ilvl w:val="6"/>
        <w:numId w:val="9"/>
      </w:numPr>
      <w:spacing w:before="80" w:after="60"/>
      <w:jc w:val="both"/>
      <w:outlineLvl w:val="6"/>
    </w:pPr>
  </w:style>
  <w:style w:type="paragraph" w:customStyle="1" w:styleId="Asubpara">
    <w:name w:val="A subpara"/>
    <w:basedOn w:val="Normal"/>
    <w:rsid w:val="005E77A0"/>
    <w:pPr>
      <w:numPr>
        <w:ilvl w:val="7"/>
        <w:numId w:val="9"/>
      </w:numPr>
      <w:spacing w:before="80" w:after="60"/>
      <w:jc w:val="both"/>
      <w:outlineLvl w:val="7"/>
    </w:pPr>
  </w:style>
  <w:style w:type="paragraph" w:customStyle="1" w:styleId="Asubsubpara">
    <w:name w:val="A subsubpara"/>
    <w:basedOn w:val="Normal"/>
    <w:rsid w:val="005E77A0"/>
    <w:pPr>
      <w:numPr>
        <w:ilvl w:val="8"/>
        <w:numId w:val="9"/>
      </w:numPr>
      <w:spacing w:before="80" w:after="60"/>
      <w:jc w:val="both"/>
      <w:outlineLvl w:val="8"/>
    </w:pPr>
  </w:style>
  <w:style w:type="paragraph" w:customStyle="1" w:styleId="AH5Sec">
    <w:name w:val="A H5 Sec"/>
    <w:basedOn w:val="Normal"/>
    <w:next w:val="Amain"/>
    <w:rsid w:val="005E77A0"/>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5E77A0"/>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5E77A0"/>
    <w:pPr>
      <w:spacing w:after="60"/>
      <w:jc w:val="both"/>
    </w:pPr>
    <w:rPr>
      <w:sz w:val="18"/>
    </w:rPr>
  </w:style>
  <w:style w:type="character" w:customStyle="1" w:styleId="CharDivText">
    <w:name w:val="CharDivText"/>
    <w:basedOn w:val="DefaultParagraphFont"/>
    <w:rsid w:val="005E77A0"/>
    <w:rPr>
      <w:rFonts w:cs="Times New Roman"/>
    </w:rPr>
  </w:style>
  <w:style w:type="paragraph" w:customStyle="1" w:styleId="CoverInForce">
    <w:name w:val="CoverInForce"/>
    <w:basedOn w:val="Normal"/>
    <w:rsid w:val="005E77A0"/>
    <w:pPr>
      <w:tabs>
        <w:tab w:val="left" w:pos="2600"/>
      </w:tabs>
      <w:spacing w:before="200" w:after="60"/>
      <w:jc w:val="both"/>
    </w:pPr>
    <w:rPr>
      <w:rFonts w:ascii="Arial" w:hAnsi="Arial"/>
    </w:rPr>
  </w:style>
  <w:style w:type="paragraph" w:customStyle="1" w:styleId="AFHdg">
    <w:name w:val="AFHdg"/>
    <w:basedOn w:val="Normal"/>
    <w:rsid w:val="005E77A0"/>
    <w:pPr>
      <w:tabs>
        <w:tab w:val="left" w:pos="2600"/>
      </w:tabs>
      <w:spacing w:before="80" w:after="60"/>
      <w:jc w:val="both"/>
    </w:pPr>
    <w:rPr>
      <w:rFonts w:ascii="Arial" w:hAnsi="Arial"/>
      <w:b/>
      <w:sz w:val="32"/>
    </w:rPr>
  </w:style>
  <w:style w:type="paragraph" w:customStyle="1" w:styleId="ApprFormHd">
    <w:name w:val="ApprFormHd"/>
    <w:basedOn w:val="Normal"/>
    <w:rsid w:val="005E77A0"/>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5E77A0"/>
    <w:rPr>
      <w:rFonts w:cs="Times New Roman"/>
    </w:rPr>
  </w:style>
  <w:style w:type="paragraph" w:customStyle="1" w:styleId="Aparabullet">
    <w:name w:val="A para bullet"/>
    <w:basedOn w:val="Normal"/>
    <w:rsid w:val="005E77A0"/>
    <w:pPr>
      <w:numPr>
        <w:numId w:val="4"/>
      </w:numPr>
    </w:pPr>
  </w:style>
  <w:style w:type="paragraph" w:styleId="TOC1">
    <w:name w:val="toc 1"/>
    <w:basedOn w:val="Normal"/>
    <w:next w:val="Normal"/>
    <w:autoRedefine/>
    <w:uiPriority w:val="39"/>
    <w:semiHidden/>
    <w:rsid w:val="005E77A0"/>
  </w:style>
  <w:style w:type="paragraph" w:styleId="TOC2">
    <w:name w:val="toc 2"/>
    <w:basedOn w:val="Normal"/>
    <w:next w:val="Normal"/>
    <w:autoRedefine/>
    <w:uiPriority w:val="39"/>
    <w:semiHidden/>
    <w:rsid w:val="005E77A0"/>
    <w:pPr>
      <w:ind w:left="240"/>
    </w:pPr>
  </w:style>
  <w:style w:type="paragraph" w:styleId="TOC3">
    <w:name w:val="toc 3"/>
    <w:basedOn w:val="Normal"/>
    <w:next w:val="Normal"/>
    <w:autoRedefine/>
    <w:uiPriority w:val="39"/>
    <w:semiHidden/>
    <w:rsid w:val="005E77A0"/>
    <w:pPr>
      <w:ind w:left="480"/>
    </w:pPr>
  </w:style>
  <w:style w:type="paragraph" w:styleId="TOC4">
    <w:name w:val="toc 4"/>
    <w:basedOn w:val="Normal"/>
    <w:next w:val="Normal"/>
    <w:autoRedefine/>
    <w:uiPriority w:val="39"/>
    <w:semiHidden/>
    <w:rsid w:val="005E77A0"/>
    <w:pPr>
      <w:ind w:left="720"/>
    </w:pPr>
  </w:style>
  <w:style w:type="paragraph" w:styleId="TOC5">
    <w:name w:val="toc 5"/>
    <w:basedOn w:val="Normal"/>
    <w:next w:val="Normal"/>
    <w:autoRedefine/>
    <w:uiPriority w:val="39"/>
    <w:semiHidden/>
    <w:rsid w:val="005E77A0"/>
    <w:pPr>
      <w:ind w:left="960"/>
    </w:pPr>
  </w:style>
  <w:style w:type="paragraph" w:styleId="TOC6">
    <w:name w:val="toc 6"/>
    <w:basedOn w:val="Normal"/>
    <w:next w:val="Normal"/>
    <w:autoRedefine/>
    <w:uiPriority w:val="39"/>
    <w:semiHidden/>
    <w:rsid w:val="005E77A0"/>
    <w:pPr>
      <w:ind w:left="1200"/>
    </w:pPr>
  </w:style>
  <w:style w:type="paragraph" w:styleId="TOC7">
    <w:name w:val="toc 7"/>
    <w:basedOn w:val="Normal"/>
    <w:next w:val="Normal"/>
    <w:autoRedefine/>
    <w:uiPriority w:val="39"/>
    <w:semiHidden/>
    <w:rsid w:val="005E77A0"/>
    <w:pPr>
      <w:ind w:left="1440"/>
    </w:pPr>
  </w:style>
  <w:style w:type="paragraph" w:styleId="TOC8">
    <w:name w:val="toc 8"/>
    <w:basedOn w:val="Normal"/>
    <w:next w:val="Normal"/>
    <w:autoRedefine/>
    <w:uiPriority w:val="39"/>
    <w:semiHidden/>
    <w:rsid w:val="005E77A0"/>
    <w:pPr>
      <w:ind w:left="1680"/>
    </w:pPr>
  </w:style>
  <w:style w:type="paragraph" w:styleId="TOC9">
    <w:name w:val="toc 9"/>
    <w:basedOn w:val="Normal"/>
    <w:next w:val="Normal"/>
    <w:autoRedefine/>
    <w:uiPriority w:val="39"/>
    <w:semiHidden/>
    <w:rsid w:val="005E77A0"/>
    <w:pPr>
      <w:ind w:left="1920"/>
    </w:pPr>
  </w:style>
  <w:style w:type="character" w:styleId="Hyperlink">
    <w:name w:val="Hyperlink"/>
    <w:basedOn w:val="DefaultParagraphFont"/>
    <w:uiPriority w:val="99"/>
    <w:rsid w:val="005E77A0"/>
    <w:rPr>
      <w:rFonts w:cs="Times New Roman"/>
      <w:color w:val="0000FF"/>
      <w:u w:val="single"/>
    </w:rPr>
  </w:style>
  <w:style w:type="paragraph" w:styleId="BodyTextIndent">
    <w:name w:val="Body Text Indent"/>
    <w:basedOn w:val="Normal"/>
    <w:link w:val="BodyTextIndentChar"/>
    <w:uiPriority w:val="99"/>
    <w:rsid w:val="005E77A0"/>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5E77A0"/>
    <w:pPr>
      <w:spacing w:before="880" w:after="60"/>
      <w:jc w:val="right"/>
    </w:pPr>
    <w:rPr>
      <w:caps/>
      <w:szCs w:val="24"/>
    </w:rPr>
  </w:style>
  <w:style w:type="paragraph" w:customStyle="1" w:styleId="DateLine">
    <w:name w:val="DateLine"/>
    <w:basedOn w:val="Normal"/>
    <w:rsid w:val="005E77A0"/>
    <w:pPr>
      <w:tabs>
        <w:tab w:val="left" w:pos="4320"/>
      </w:tabs>
      <w:spacing w:before="80" w:after="60"/>
      <w:jc w:val="both"/>
    </w:pPr>
    <w:rPr>
      <w:szCs w:val="24"/>
    </w:rPr>
  </w:style>
  <w:style w:type="paragraph" w:customStyle="1" w:styleId="MinisterWord">
    <w:name w:val="MinisterWord"/>
    <w:basedOn w:val="Normal"/>
    <w:rsid w:val="005E77A0"/>
    <w:pPr>
      <w:tabs>
        <w:tab w:val="left" w:pos="2880"/>
      </w:tabs>
      <w:jc w:val="right"/>
    </w:pPr>
    <w:rPr>
      <w:szCs w:val="24"/>
    </w:rPr>
  </w:style>
  <w:style w:type="character" w:styleId="FollowedHyperlink">
    <w:name w:val="FollowedHyperlink"/>
    <w:basedOn w:val="DefaultParagraphFont"/>
    <w:uiPriority w:val="99"/>
    <w:rsid w:val="005E77A0"/>
    <w:rPr>
      <w:rFonts w:cs="Times New Roman"/>
      <w:color w:val="800080"/>
      <w:u w:val="single"/>
    </w:rPr>
  </w:style>
  <w:style w:type="character" w:styleId="FootnoteReference">
    <w:name w:val="footnote reference"/>
    <w:basedOn w:val="DefaultParagraphFont"/>
    <w:uiPriority w:val="99"/>
    <w:semiHidden/>
    <w:rsid w:val="005E77A0"/>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5E77A0"/>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5E77A0"/>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5E77A0"/>
    <w:rPr>
      <w:rFonts w:cs="Times New Roman"/>
    </w:rPr>
  </w:style>
  <w:style w:type="paragraph" w:styleId="ListParagraph">
    <w:name w:val="List Paragraph"/>
    <w:basedOn w:val="Normal"/>
    <w:uiPriority w:val="34"/>
    <w:qFormat/>
    <w:rsid w:val="00E00C11"/>
    <w:pPr>
      <w:ind w:left="720"/>
      <w:contextualSpacing/>
    </w:pPr>
  </w:style>
  <w:style w:type="character" w:customStyle="1" w:styleId="Calibri12">
    <w:name w:val="Calibri 12"/>
    <w:basedOn w:val="DefaultParagraphFont"/>
    <w:uiPriority w:val="1"/>
    <w:qFormat/>
    <w:rsid w:val="000C4A8A"/>
    <w:rPr>
      <w:rFonts w:ascii="Calibri" w:hAnsi="Calibri" w:cs="Times New Roman"/>
      <w:sz w:val="24"/>
    </w:rPr>
  </w:style>
  <w:style w:type="table" w:styleId="TableGrid">
    <w:name w:val="Table Grid"/>
    <w:basedOn w:val="TableNormal"/>
    <w:uiPriority w:val="59"/>
    <w:rsid w:val="000C4A8A"/>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6364"/>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72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1191</Characters>
  <Application>Microsoft Office Word</Application>
  <DocSecurity>0</DocSecurity>
  <Lines>41</Lines>
  <Paragraphs>17</Paragraphs>
  <ScaleCrop>false</ScaleCrop>
  <Company>InTACT</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2026-03-09T23:51:00Z</dcterms:created>
  <dcterms:modified xsi:type="dcterms:W3CDTF">2026-03-09T23:51:00Z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2025-09-10T02:31:46Z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8d1e6933-f322-499d-9f89-943a6f68de23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15302083</vt:lpwstr>
  </property>
  <property fmtid="{D5CDD505-2E9C-101B-9397-08002B2CF9AE}" pid="11" name="CHECKEDOUTFROMJMS">
    <vt:lpwstr/>
  </property>
  <property fmtid="{D5CDD505-2E9C-101B-9397-08002B2CF9AE}" pid="12" name="JMSREQUIREDCHECKIN">
    <vt:lpwstr/>
  </property>
</Properties>
</file>