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4CFC" w14:textId="77777777" w:rsidR="007A2A8B" w:rsidRPr="006B3142" w:rsidRDefault="007A2A8B" w:rsidP="00E2702B">
      <w:pPr>
        <w:spacing w:before="120"/>
        <w:rPr>
          <w:rFonts w:ascii="Arial" w:hAnsi="Arial" w:cs="Arial"/>
          <w:szCs w:val="20"/>
        </w:rPr>
      </w:pPr>
      <w:smartTag w:uri="urn:schemas-microsoft-com:office:smarttags" w:element="place">
        <w:smartTag w:uri="urn:schemas-microsoft-com:office:smarttags" w:element="State">
          <w:r w:rsidRPr="006B3142">
            <w:rPr>
              <w:rFonts w:ascii="Arial" w:hAnsi="Arial" w:cs="Arial"/>
              <w:szCs w:val="20"/>
            </w:rPr>
            <w:t>Australian Capital Territory</w:t>
          </w:r>
        </w:smartTag>
      </w:smartTag>
    </w:p>
    <w:p w14:paraId="33C13E2F" w14:textId="25DAD1C6" w:rsidR="00884A32" w:rsidRPr="006B3142" w:rsidRDefault="00884A32" w:rsidP="00884A32">
      <w:pPr>
        <w:pStyle w:val="Billname"/>
        <w:spacing w:before="700"/>
        <w:rPr>
          <w:rFonts w:cs="Times New Roman"/>
          <w:bCs w:val="0"/>
          <w:szCs w:val="20"/>
        </w:rPr>
      </w:pPr>
      <w:r w:rsidRPr="006B3142">
        <w:rPr>
          <w:rFonts w:cs="Times New Roman"/>
          <w:bCs w:val="0"/>
          <w:szCs w:val="20"/>
        </w:rPr>
        <w:t>Building (ACT Appendix to the</w:t>
      </w:r>
      <w:r w:rsidR="0048344C" w:rsidRPr="006B3142">
        <w:rPr>
          <w:rFonts w:cs="Times New Roman"/>
          <w:bCs w:val="0"/>
          <w:szCs w:val="20"/>
        </w:rPr>
        <w:t xml:space="preserve"> </w:t>
      </w:r>
      <w:r w:rsidRPr="006B3142">
        <w:rPr>
          <w:rFonts w:cs="Times New Roman"/>
          <w:bCs w:val="0"/>
          <w:szCs w:val="20"/>
        </w:rPr>
        <w:t>Building Code)</w:t>
      </w:r>
      <w:r w:rsidR="00B6038F" w:rsidRPr="006B3142">
        <w:rPr>
          <w:rFonts w:cs="Times New Roman"/>
          <w:bCs w:val="0"/>
          <w:szCs w:val="20"/>
        </w:rPr>
        <w:t xml:space="preserve"> </w:t>
      </w:r>
      <w:r w:rsidRPr="006B3142">
        <w:rPr>
          <w:rFonts w:cs="Times New Roman"/>
          <w:bCs w:val="0"/>
          <w:szCs w:val="20"/>
        </w:rPr>
        <w:t xml:space="preserve">Determination </w:t>
      </w:r>
      <w:r w:rsidR="00F46A9B" w:rsidRPr="006B3142">
        <w:rPr>
          <w:rFonts w:cs="Times New Roman"/>
          <w:bCs w:val="0"/>
          <w:szCs w:val="20"/>
        </w:rPr>
        <w:t>2026</w:t>
      </w:r>
      <w:r w:rsidR="00E2702B">
        <w:rPr>
          <w:rFonts w:cs="Times New Roman"/>
          <w:bCs w:val="0"/>
          <w:szCs w:val="20"/>
        </w:rPr>
        <w:t xml:space="preserve"> (No 2)</w:t>
      </w:r>
    </w:p>
    <w:p w14:paraId="177B545D" w14:textId="007A0F01"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38751C">
        <w:rPr>
          <w:rFonts w:ascii="Arial" w:hAnsi="Arial" w:cs="Arial"/>
          <w:b/>
          <w:bCs/>
        </w:rPr>
        <w:t>i</w:t>
      </w:r>
      <w:r>
        <w:rPr>
          <w:rFonts w:ascii="Arial" w:hAnsi="Arial" w:cs="Arial"/>
          <w:b/>
          <w:bCs/>
        </w:rPr>
        <w:t xml:space="preserve">nstrument </w:t>
      </w:r>
      <w:bookmarkStart w:id="0" w:name="_Hlk133235645"/>
      <w:r w:rsidR="00F46A9B">
        <w:rPr>
          <w:rFonts w:ascii="Arial" w:hAnsi="Arial" w:cs="Arial"/>
          <w:b/>
          <w:bCs/>
        </w:rPr>
        <w:t>DI2026</w:t>
      </w:r>
      <w:bookmarkEnd w:id="0"/>
      <w:r w:rsidR="00780776">
        <w:rPr>
          <w:rFonts w:ascii="Arial" w:hAnsi="Arial" w:cs="Arial"/>
          <w:b/>
          <w:bCs/>
        </w:rPr>
        <w:t>-56</w:t>
      </w:r>
    </w:p>
    <w:p w14:paraId="71602B9B" w14:textId="77777777" w:rsidR="007A2A8B" w:rsidRDefault="007A2A8B" w:rsidP="0072165A">
      <w:pPr>
        <w:pStyle w:val="madeunder"/>
        <w:spacing w:before="300" w:after="0"/>
      </w:pPr>
      <w:r>
        <w:t>made under the</w:t>
      </w:r>
    </w:p>
    <w:p w14:paraId="1175BF84" w14:textId="77777777" w:rsidR="00D868EC" w:rsidRDefault="00B6038F" w:rsidP="0038751C">
      <w:pPr>
        <w:pStyle w:val="CoverActName"/>
        <w:spacing w:before="320" w:after="0"/>
        <w:jc w:val="left"/>
        <w:rPr>
          <w:sz w:val="20"/>
          <w:szCs w:val="20"/>
        </w:rPr>
      </w:pPr>
      <w:r>
        <w:rPr>
          <w:sz w:val="20"/>
          <w:szCs w:val="20"/>
        </w:rPr>
        <w:t>Building Act</w:t>
      </w:r>
      <w:r w:rsidR="000D2583">
        <w:rPr>
          <w:sz w:val="20"/>
          <w:szCs w:val="20"/>
        </w:rPr>
        <w:t xml:space="preserve"> 2004</w:t>
      </w:r>
      <w:r>
        <w:rPr>
          <w:sz w:val="20"/>
          <w:szCs w:val="20"/>
        </w:rPr>
        <w:t xml:space="preserve">, </w:t>
      </w:r>
      <w:r w:rsidR="009E5A23">
        <w:rPr>
          <w:sz w:val="20"/>
          <w:szCs w:val="20"/>
        </w:rPr>
        <w:t xml:space="preserve">s </w:t>
      </w:r>
      <w:r>
        <w:rPr>
          <w:sz w:val="20"/>
          <w:szCs w:val="20"/>
        </w:rPr>
        <w:t>136</w:t>
      </w:r>
      <w:r w:rsidR="00884A32">
        <w:rPr>
          <w:sz w:val="20"/>
          <w:szCs w:val="20"/>
        </w:rPr>
        <w:t xml:space="preserve"> (Building code</w:t>
      </w:r>
      <w:r w:rsidR="00D868EC" w:rsidRPr="00D868EC">
        <w:rPr>
          <w:sz w:val="20"/>
          <w:szCs w:val="20"/>
        </w:rPr>
        <w:t>)</w:t>
      </w:r>
    </w:p>
    <w:p w14:paraId="6D40D523" w14:textId="77777777" w:rsidR="007A2A8B" w:rsidRDefault="007A2A8B" w:rsidP="0038751C">
      <w:pPr>
        <w:pStyle w:val="CoverActName"/>
        <w:spacing w:before="360" w:after="0"/>
        <w:rPr>
          <w:b w:val="0"/>
          <w:bCs w:val="0"/>
          <w:sz w:val="28"/>
          <w:szCs w:val="28"/>
        </w:rPr>
      </w:pPr>
      <w:r>
        <w:rPr>
          <w:sz w:val="28"/>
          <w:szCs w:val="28"/>
        </w:rPr>
        <w:t>EXPLANATORY STATEMENT</w:t>
      </w:r>
    </w:p>
    <w:p w14:paraId="6B3D83AB"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31F11CF3" w14:textId="77777777" w:rsidR="007A2A8B" w:rsidRPr="0072165A" w:rsidRDefault="007A2A8B">
      <w:pPr>
        <w:pStyle w:val="Header"/>
        <w:tabs>
          <w:tab w:val="clear" w:pos="4153"/>
          <w:tab w:val="clear" w:pos="8306"/>
        </w:tabs>
        <w:rPr>
          <w:bCs/>
        </w:rPr>
      </w:pPr>
    </w:p>
    <w:p w14:paraId="2053763C" w14:textId="77777777" w:rsidR="006B3142" w:rsidRDefault="006B3142" w:rsidP="006B3142">
      <w:pPr>
        <w:spacing w:after="160" w:line="259" w:lineRule="auto"/>
        <w:rPr>
          <w:b/>
        </w:rPr>
      </w:pPr>
      <w:r>
        <w:rPr>
          <w:b/>
        </w:rPr>
        <w:t>Introduction</w:t>
      </w:r>
    </w:p>
    <w:p w14:paraId="3FE81A14" w14:textId="073F071E" w:rsidR="006B3142" w:rsidRDefault="006B3142" w:rsidP="006B3142">
      <w:pPr>
        <w:rPr>
          <w:bCs/>
        </w:rPr>
      </w:pPr>
      <w:r w:rsidRPr="00762EB2">
        <w:rPr>
          <w:bCs/>
        </w:rPr>
        <w:t>This</w:t>
      </w:r>
      <w:r>
        <w:rPr>
          <w:bCs/>
        </w:rPr>
        <w:t xml:space="preserve"> explanatory statement relates to the </w:t>
      </w:r>
      <w:r w:rsidRPr="00E2702B">
        <w:rPr>
          <w:bCs/>
          <w:i/>
          <w:iCs/>
        </w:rPr>
        <w:t>Building (ACT Appendix to the Building Code) Determination 2026</w:t>
      </w:r>
      <w:r w:rsidR="00E2702B">
        <w:rPr>
          <w:bCs/>
          <w:i/>
          <w:iCs/>
        </w:rPr>
        <w:t xml:space="preserve"> (No 2)</w:t>
      </w:r>
      <w:r>
        <w:rPr>
          <w:bCs/>
        </w:rPr>
        <w:t xml:space="preserve"> (the </w:t>
      </w:r>
      <w:r w:rsidRPr="00E2702B">
        <w:rPr>
          <w:b/>
          <w:i/>
          <w:iCs/>
        </w:rPr>
        <w:t>instrument</w:t>
      </w:r>
      <w:r>
        <w:rPr>
          <w:bCs/>
        </w:rPr>
        <w:t xml:space="preserve">) as made by the Minister and presented to the Legislative Assembly (the </w:t>
      </w:r>
      <w:r w:rsidRPr="00762EB2">
        <w:rPr>
          <w:b/>
          <w:i/>
          <w:iCs/>
        </w:rPr>
        <w:t>Assembly</w:t>
      </w:r>
      <w:r>
        <w:rPr>
          <w:bCs/>
        </w:rPr>
        <w:t xml:space="preserve">). </w:t>
      </w:r>
      <w:r w:rsidRPr="00D61A65">
        <w:rPr>
          <w:bCs/>
        </w:rPr>
        <w:t>It has been prepared in order to assist the reader of the instrument. It does not form part of the instrument and has not been endorsed by the Assembly.</w:t>
      </w:r>
    </w:p>
    <w:p w14:paraId="472E4BE6" w14:textId="463D45DC" w:rsidR="006B3142" w:rsidRDefault="006B3142" w:rsidP="006B3142">
      <w:pPr>
        <w:spacing w:after="160" w:line="259" w:lineRule="auto"/>
        <w:rPr>
          <w:b/>
        </w:rPr>
      </w:pPr>
    </w:p>
    <w:p w14:paraId="09F06A6D" w14:textId="12F474B7" w:rsidR="00036F02" w:rsidRDefault="00CE1CAB" w:rsidP="00036F02">
      <w:pPr>
        <w:spacing w:after="160" w:line="259" w:lineRule="auto"/>
        <w:rPr>
          <w:b/>
        </w:rPr>
      </w:pPr>
      <w:r w:rsidRPr="004E2275">
        <w:rPr>
          <w:b/>
        </w:rPr>
        <w:t>Overview</w:t>
      </w:r>
    </w:p>
    <w:p w14:paraId="672F8A66" w14:textId="77777777" w:rsidR="00036F02" w:rsidRPr="00036F02" w:rsidRDefault="00036F02" w:rsidP="00036F02">
      <w:pPr>
        <w:ind w:right="-356"/>
        <w:jc w:val="both"/>
      </w:pPr>
      <w:r w:rsidRPr="00036F02">
        <w:t xml:space="preserve">This instrument is made under section 136 of the </w:t>
      </w:r>
      <w:r w:rsidRPr="00036F02">
        <w:rPr>
          <w:i/>
          <w:iCs/>
        </w:rPr>
        <w:t>Building Act 2004</w:t>
      </w:r>
      <w:r>
        <w:t xml:space="preserve"> (the </w:t>
      </w:r>
      <w:r w:rsidRPr="0055663E">
        <w:rPr>
          <w:b/>
          <w:bCs/>
          <w:i/>
          <w:iCs/>
        </w:rPr>
        <w:t>Act</w:t>
      </w:r>
      <w:r>
        <w:t>).</w:t>
      </w:r>
    </w:p>
    <w:p w14:paraId="25DD4ABD" w14:textId="77777777" w:rsidR="00036F02" w:rsidRDefault="00036F02" w:rsidP="00366411">
      <w:pPr>
        <w:ind w:right="-356"/>
        <w:jc w:val="both"/>
      </w:pPr>
    </w:p>
    <w:p w14:paraId="35890CC7" w14:textId="461E4EB0" w:rsidR="00036F02" w:rsidRDefault="00036F02" w:rsidP="00414DB9">
      <w:pPr>
        <w:ind w:right="-356"/>
      </w:pPr>
      <w:r>
        <w:t xml:space="preserve">The Building Code of Australia </w:t>
      </w:r>
      <w:r w:rsidR="00816CE0">
        <w:t>(</w:t>
      </w:r>
      <w:r w:rsidR="006B3142">
        <w:t xml:space="preserve">the </w:t>
      </w:r>
      <w:r w:rsidR="00816CE0" w:rsidRPr="0055663E">
        <w:rPr>
          <w:b/>
          <w:bCs/>
          <w:i/>
          <w:iCs/>
        </w:rPr>
        <w:t>BCA</w:t>
      </w:r>
      <w:r w:rsidR="00816CE0">
        <w:t xml:space="preserve">) </w:t>
      </w:r>
      <w:r>
        <w:t>is developed and published by the Australian Building Codes Board (</w:t>
      </w:r>
      <w:r w:rsidR="006B3142">
        <w:t xml:space="preserve">the </w:t>
      </w:r>
      <w:r w:rsidRPr="0055663E">
        <w:rPr>
          <w:b/>
          <w:bCs/>
          <w:i/>
          <w:iCs/>
        </w:rPr>
        <w:t>ABCB</w:t>
      </w:r>
      <w:r>
        <w:t xml:space="preserve">). The ACT is represented on the ABCB along with representatives from all States, the Northern Territory, the </w:t>
      </w:r>
      <w:r w:rsidR="006D70B4">
        <w:t xml:space="preserve">Australian </w:t>
      </w:r>
      <w:r>
        <w:t>Government and the building industry.</w:t>
      </w:r>
    </w:p>
    <w:p w14:paraId="65BBF925" w14:textId="77777777" w:rsidR="00036F02" w:rsidRDefault="00036F02" w:rsidP="00366411">
      <w:pPr>
        <w:ind w:right="-356"/>
        <w:jc w:val="both"/>
      </w:pPr>
    </w:p>
    <w:p w14:paraId="7751EBE3" w14:textId="77777777" w:rsidR="00B6038F" w:rsidRDefault="00036F02" w:rsidP="00414DB9">
      <w:pPr>
        <w:ind w:right="-356"/>
      </w:pPr>
      <w:r>
        <w:t>The Act, s</w:t>
      </w:r>
      <w:r w:rsidR="00884A32">
        <w:t>ection 136</w:t>
      </w:r>
      <w:r>
        <w:t xml:space="preserve">, </w:t>
      </w:r>
      <w:r w:rsidR="00B6038F">
        <w:t xml:space="preserve">adopts </w:t>
      </w:r>
      <w:r w:rsidR="00884A32">
        <w:t xml:space="preserve">the </w:t>
      </w:r>
      <w:r w:rsidR="00B6038F">
        <w:t xml:space="preserve">BCA including any </w:t>
      </w:r>
      <w:r w:rsidR="00884A32">
        <w:t>ACT</w:t>
      </w:r>
      <w:r w:rsidR="00B6038F">
        <w:t>-specific</w:t>
      </w:r>
      <w:r w:rsidR="00884A32">
        <w:t xml:space="preserve"> requirements as published in the appendices of volume</w:t>
      </w:r>
      <w:r w:rsidR="002F7093">
        <w:t>s</w:t>
      </w:r>
      <w:r w:rsidR="00884A32">
        <w:t xml:space="preserve"> one and two of the BCA</w:t>
      </w:r>
      <w:r w:rsidR="00B6038F">
        <w:t xml:space="preserve"> as part of the building code for the purposes of the Act</w:t>
      </w:r>
      <w:r w:rsidR="00884A32">
        <w:t>.</w:t>
      </w:r>
    </w:p>
    <w:p w14:paraId="1CD34F70" w14:textId="77777777" w:rsidR="00B6038F" w:rsidRDefault="00B6038F" w:rsidP="00884A32">
      <w:pPr>
        <w:ind w:right="-356"/>
        <w:jc w:val="both"/>
      </w:pPr>
    </w:p>
    <w:p w14:paraId="719B4BC8" w14:textId="77B84C20" w:rsidR="00B6038F" w:rsidRDefault="00B6038F" w:rsidP="00414DB9">
      <w:pPr>
        <w:ind w:right="-356"/>
      </w:pPr>
      <w:r>
        <w:t xml:space="preserve">Section 136 (3) of the Act </w:t>
      </w:r>
      <w:r w:rsidR="00036F02">
        <w:t>entitles</w:t>
      </w:r>
      <w:r>
        <w:t xml:space="preserve"> the Minister to make </w:t>
      </w:r>
      <w:r w:rsidR="009F74FD">
        <w:t xml:space="preserve">an </w:t>
      </w:r>
      <w:r>
        <w:t>ACT appendi</w:t>
      </w:r>
      <w:r w:rsidR="009F74FD">
        <w:t>x</w:t>
      </w:r>
      <w:r>
        <w:t xml:space="preserve"> to the </w:t>
      </w:r>
      <w:r w:rsidR="00816CE0">
        <w:t>BCA</w:t>
      </w:r>
      <w:r>
        <w:t xml:space="preserve"> to provide a mechanism for the ACT to amend the BCA from time to time, including to amend the date an</w:t>
      </w:r>
      <w:r w:rsidR="003D109B">
        <w:t>d</w:t>
      </w:r>
      <w:r>
        <w:t xml:space="preserve"> edition of the BCA, or a provision of the BCA</w:t>
      </w:r>
      <w:r w:rsidR="003D109B">
        <w:t>.</w:t>
      </w:r>
      <w:r>
        <w:t xml:space="preserve"> </w:t>
      </w:r>
    </w:p>
    <w:p w14:paraId="744D6BDF" w14:textId="59303AC7" w:rsidR="002A0D3D" w:rsidRDefault="002A0D3D" w:rsidP="00414DB9">
      <w:pPr>
        <w:ind w:right="-356"/>
      </w:pPr>
    </w:p>
    <w:p w14:paraId="29E69916" w14:textId="3B4DDE87" w:rsidR="00EB3429" w:rsidRDefault="00884A32" w:rsidP="00414DB9">
      <w:pPr>
        <w:ind w:right="-356"/>
      </w:pPr>
      <w:r>
        <w:t xml:space="preserve">The </w:t>
      </w:r>
      <w:r w:rsidR="00B6038F">
        <w:t xml:space="preserve">BCA </w:t>
      </w:r>
      <w:r>
        <w:t xml:space="preserve">is divided into </w:t>
      </w:r>
      <w:r w:rsidR="003C1874">
        <w:t>two</w:t>
      </w:r>
      <w:r>
        <w:t xml:space="preserve"> volumes. Volume 1 deals with </w:t>
      </w:r>
      <w:r w:rsidR="00EB3429">
        <w:t xml:space="preserve">all </w:t>
      </w:r>
      <w:r>
        <w:t>class 2 to class 9 buildings,</w:t>
      </w:r>
      <w:r w:rsidR="00EB3429">
        <w:t xml:space="preserve"> </w:t>
      </w:r>
      <w:r w:rsidR="00EB3429" w:rsidRPr="00EB3429">
        <w:t xml:space="preserve">access requirements for people with a disability in </w:t>
      </w:r>
      <w:r w:rsidR="00DF5BEA">
        <w:t>c</w:t>
      </w:r>
      <w:r w:rsidR="00EB3429" w:rsidRPr="00EB3429">
        <w:t xml:space="preserve">lass 1b and 10a buildings and certain </w:t>
      </w:r>
      <w:r w:rsidR="00DF5BEA">
        <w:t>c</w:t>
      </w:r>
      <w:r w:rsidR="00EB3429" w:rsidRPr="00EB3429">
        <w:t xml:space="preserve">lass 10b structures including access requirements for people with a disability in </w:t>
      </w:r>
      <w:r w:rsidR="00DF5BEA">
        <w:t>c</w:t>
      </w:r>
      <w:r w:rsidR="00EB3429" w:rsidRPr="00EB3429">
        <w:t>lass 10b</w:t>
      </w:r>
      <w:r w:rsidR="00EB3429">
        <w:t xml:space="preserve"> </w:t>
      </w:r>
      <w:r w:rsidR="00EB3429" w:rsidRPr="00EB3429">
        <w:t>swimming pools</w:t>
      </w:r>
      <w:r w:rsidR="00EB3429">
        <w:t xml:space="preserve">. Class 2 to class 9 buildings as classified under the </w:t>
      </w:r>
      <w:r w:rsidR="00CE1CAB">
        <w:t xml:space="preserve">BCA </w:t>
      </w:r>
      <w:r w:rsidR="00EB3429">
        <w:t>include apartments, commercial residential buildings such as motels, and non-residential buildings.</w:t>
      </w:r>
    </w:p>
    <w:p w14:paraId="0E8BA4F5" w14:textId="77777777" w:rsidR="00EB3429" w:rsidRDefault="00EB3429" w:rsidP="00884A32">
      <w:pPr>
        <w:ind w:right="-356"/>
        <w:jc w:val="both"/>
      </w:pPr>
    </w:p>
    <w:p w14:paraId="1E43F4D1" w14:textId="2D4D3DAB" w:rsidR="00884A32" w:rsidRDefault="00884A32" w:rsidP="00414DB9">
      <w:pPr>
        <w:ind w:right="-356"/>
      </w:pPr>
      <w:r>
        <w:t xml:space="preserve">Volume 2 </w:t>
      </w:r>
      <w:r w:rsidR="00CE1CAB">
        <w:t xml:space="preserve">of the BCA </w:t>
      </w:r>
      <w:r>
        <w:t xml:space="preserve">deals with </w:t>
      </w:r>
      <w:r w:rsidR="00DF5BEA">
        <w:t>c</w:t>
      </w:r>
      <w:r w:rsidR="00EB3429" w:rsidRPr="00EB3429">
        <w:t xml:space="preserve">lass 1 and 10a buildings (other than access requirements for people with a disability in </w:t>
      </w:r>
      <w:r w:rsidR="00DF5BEA">
        <w:t>c</w:t>
      </w:r>
      <w:r w:rsidR="00EB3429" w:rsidRPr="00EB3429">
        <w:t xml:space="preserve">lass 1b and 10a buildings), certain </w:t>
      </w:r>
      <w:r w:rsidR="00DF5BEA">
        <w:t>c</w:t>
      </w:r>
      <w:r w:rsidR="00EB3429" w:rsidRPr="00EB3429">
        <w:t xml:space="preserve">lass 10b structures (other than access requirements for people with a disability in </w:t>
      </w:r>
      <w:r w:rsidR="00DF5BEA">
        <w:t>c</w:t>
      </w:r>
      <w:r w:rsidR="00EB3429" w:rsidRPr="00EB3429">
        <w:t xml:space="preserve">lass 10b swimming pools) and </w:t>
      </w:r>
      <w:r w:rsidR="00DF5BEA">
        <w:t>c</w:t>
      </w:r>
      <w:r w:rsidR="00EB3429" w:rsidRPr="00EB3429">
        <w:t xml:space="preserve">lass 10c private bushfire shelters. </w:t>
      </w:r>
      <w:r w:rsidR="00EB3429">
        <w:t>C</w:t>
      </w:r>
      <w:r>
        <w:t>lass 1 and class 10 buildings</w:t>
      </w:r>
      <w:r w:rsidR="00EB3429">
        <w:t xml:space="preserve"> as classified under the </w:t>
      </w:r>
      <w:r w:rsidR="00CE1CAB">
        <w:t xml:space="preserve">BCA </w:t>
      </w:r>
      <w:r>
        <w:t>include standard houses and non-habitable buildings such as garages, sheds, swimming pools and structures. A third volume, the Plumbing Code of Australia, together with BCA volumes 1 and 2</w:t>
      </w:r>
      <w:r w:rsidR="0055663E">
        <w:t>,</w:t>
      </w:r>
      <w:r>
        <w:t xml:space="preserve"> comprise the National Construction Code</w:t>
      </w:r>
      <w:r w:rsidR="006B3142">
        <w:t xml:space="preserve"> (the </w:t>
      </w:r>
      <w:r w:rsidR="006B3142" w:rsidRPr="00E2702B">
        <w:rPr>
          <w:b/>
          <w:bCs/>
          <w:i/>
          <w:iCs/>
        </w:rPr>
        <w:t>NCC</w:t>
      </w:r>
      <w:r w:rsidR="006B3142">
        <w:t>)</w:t>
      </w:r>
      <w:r>
        <w:t>.</w:t>
      </w:r>
    </w:p>
    <w:p w14:paraId="1ED7334B" w14:textId="77777777" w:rsidR="006B3142" w:rsidRDefault="006B3142" w:rsidP="00E44DCC">
      <w:pPr>
        <w:ind w:right="-356"/>
      </w:pPr>
    </w:p>
    <w:p w14:paraId="0F2C12BE" w14:textId="4618C26C" w:rsidR="00E44DCC" w:rsidRDefault="00E44DCC" w:rsidP="00E44DCC">
      <w:pPr>
        <w:ind w:right="-356"/>
      </w:pPr>
      <w:r>
        <w:t xml:space="preserve">Related to Volume 2 are the ABCB Housing Provisions. The ABCB Housing Provisions contain Deemed-to-Satisfy Provisions that are considered acceptable forms of construction that meet the requirements for complying with Volume </w:t>
      </w:r>
      <w:r w:rsidR="006B3142">
        <w:t>2</w:t>
      </w:r>
      <w:r>
        <w:t>.</w:t>
      </w:r>
    </w:p>
    <w:p w14:paraId="5EC8E041" w14:textId="77777777" w:rsidR="006D70B4" w:rsidRDefault="006D70B4" w:rsidP="00414DB9">
      <w:pPr>
        <w:ind w:right="-356"/>
      </w:pPr>
    </w:p>
    <w:p w14:paraId="7F61CE8D" w14:textId="6552163E" w:rsidR="00F674C8" w:rsidRDefault="00366411" w:rsidP="00414DB9">
      <w:pPr>
        <w:ind w:right="-356"/>
      </w:pPr>
      <w:r>
        <w:t xml:space="preserve">The BCA and </w:t>
      </w:r>
      <w:r w:rsidR="006B3142">
        <w:t xml:space="preserve">the </w:t>
      </w:r>
      <w:r>
        <w:t>ACT appendi</w:t>
      </w:r>
      <w:r w:rsidR="00FD7838">
        <w:t>x</w:t>
      </w:r>
      <w:r>
        <w:t xml:space="preserve"> form part of ACT law. The published ACT appendi</w:t>
      </w:r>
      <w:r w:rsidR="00FD7838">
        <w:t>ces</w:t>
      </w:r>
      <w:r>
        <w:t xml:space="preserve"> in Volumes 1 and 2 of the </w:t>
      </w:r>
      <w:r w:rsidR="00F46A9B">
        <w:t xml:space="preserve">2025 </w:t>
      </w:r>
      <w:r>
        <w:t>BCA</w:t>
      </w:r>
      <w:r w:rsidR="00FD7838">
        <w:t xml:space="preserve"> (published on the ABCB website)</w:t>
      </w:r>
      <w:r>
        <w:t xml:space="preserve"> do not include specific provisions</w:t>
      </w:r>
      <w:r w:rsidR="006B3142">
        <w:t>,</w:t>
      </w:r>
      <w:r>
        <w:t xml:space="preserve"> but instead refer readers to the ACT Legislation Register</w:t>
      </w:r>
      <w:r w:rsidR="006B3142">
        <w:t xml:space="preserve"> (the </w:t>
      </w:r>
      <w:r w:rsidR="006B3142" w:rsidRPr="00E2702B">
        <w:rPr>
          <w:b/>
          <w:bCs/>
          <w:i/>
          <w:iCs/>
        </w:rPr>
        <w:t>Legislation Register</w:t>
      </w:r>
      <w:r w:rsidR="006B3142">
        <w:t>)</w:t>
      </w:r>
      <w:r w:rsidR="00F674C8">
        <w:t>,</w:t>
      </w:r>
      <w:r w:rsidR="00F674C8" w:rsidRPr="00F674C8">
        <w:t xml:space="preserve"> </w:t>
      </w:r>
      <w:r w:rsidR="00F674C8">
        <w:t>where all instruments made under the Act can be found</w:t>
      </w:r>
      <w:r w:rsidR="00FD7838">
        <w:t>, including the ACT appendix to the BCA</w:t>
      </w:r>
      <w:r w:rsidR="00F674C8">
        <w:t xml:space="preserve">. This is so that there is a single </w:t>
      </w:r>
      <w:r w:rsidR="00FD7838">
        <w:t xml:space="preserve">source </w:t>
      </w:r>
      <w:r w:rsidR="00F674C8">
        <w:t>for</w:t>
      </w:r>
      <w:r w:rsidR="00FD7838">
        <w:t xml:space="preserve"> the</w:t>
      </w:r>
      <w:r w:rsidR="00F674C8">
        <w:t xml:space="preserve"> ACT appendi</w:t>
      </w:r>
      <w:r w:rsidR="00FD7838">
        <w:t>x to the BCA</w:t>
      </w:r>
      <w:r w:rsidR="00F674C8">
        <w:t>, and a single version published as current at any one time, which can be amended as required.</w:t>
      </w:r>
    </w:p>
    <w:p w14:paraId="663DE1D8" w14:textId="77777777" w:rsidR="00366411" w:rsidRDefault="00366411" w:rsidP="00884A32">
      <w:pPr>
        <w:ind w:right="-356"/>
        <w:jc w:val="both"/>
      </w:pPr>
    </w:p>
    <w:p w14:paraId="6F0E0796" w14:textId="77777777" w:rsidR="00884A32" w:rsidRDefault="00884A32" w:rsidP="00884A32">
      <w:pPr>
        <w:ind w:right="-356"/>
        <w:jc w:val="both"/>
      </w:pPr>
      <w:bookmarkStart w:id="1" w:name="_Hlk134525534"/>
      <w:r>
        <w:t>The ACT appendi</w:t>
      </w:r>
      <w:r w:rsidR="00FD7838">
        <w:t>x</w:t>
      </w:r>
      <w:r>
        <w:t xml:space="preserve"> only appl</w:t>
      </w:r>
      <w:r w:rsidR="00FD7838">
        <w:t>ies</w:t>
      </w:r>
      <w:r>
        <w:t xml:space="preserve"> to the ACT and Jervis Bay Territory.</w:t>
      </w:r>
    </w:p>
    <w:p w14:paraId="2B825B6B" w14:textId="77777777" w:rsidR="009633BA" w:rsidRDefault="009633BA" w:rsidP="00884A32">
      <w:pPr>
        <w:ind w:right="-356"/>
        <w:jc w:val="both"/>
      </w:pPr>
    </w:p>
    <w:p w14:paraId="729E3658" w14:textId="659ABFE5" w:rsidR="00CC4045" w:rsidRPr="00CC4045" w:rsidRDefault="00CC4045" w:rsidP="00CC4045">
      <w:pPr>
        <w:ind w:right="-356"/>
        <w:jc w:val="both"/>
      </w:pPr>
      <w:r w:rsidRPr="00CC4045">
        <w:t xml:space="preserve">This version of the instrument makes minor edits to the </w:t>
      </w:r>
      <w:r w:rsidRPr="00CC4045">
        <w:rPr>
          <w:i/>
          <w:iCs/>
        </w:rPr>
        <w:t>Building (ACT Appendix to the Building Code) Determination 202</w:t>
      </w:r>
      <w:r w:rsidR="0010179F">
        <w:rPr>
          <w:i/>
          <w:iCs/>
        </w:rPr>
        <w:t>6</w:t>
      </w:r>
      <w:r w:rsidRPr="00CC4045">
        <w:t xml:space="preserve"> </w:t>
      </w:r>
      <w:r w:rsidR="006D70B4">
        <w:t>(</w:t>
      </w:r>
      <w:r w:rsidR="008051F9" w:rsidRPr="008051F9">
        <w:t>DI2026–42</w:t>
      </w:r>
      <w:r w:rsidR="006D70B4">
        <w:t xml:space="preserve">) </w:t>
      </w:r>
      <w:r w:rsidRPr="00CC4045">
        <w:t>to:</w:t>
      </w:r>
    </w:p>
    <w:p w14:paraId="11D1C7C7" w14:textId="288C72CA" w:rsidR="00CC4045" w:rsidRPr="00CC4045" w:rsidRDefault="00F56504" w:rsidP="00E2702B">
      <w:pPr>
        <w:pStyle w:val="ListParagraph"/>
        <w:numPr>
          <w:ilvl w:val="0"/>
          <w:numId w:val="19"/>
        </w:numPr>
        <w:spacing w:before="120" w:after="120"/>
        <w:ind w:left="714" w:right="-357" w:hanging="357"/>
        <w:contextualSpacing w:val="0"/>
      </w:pPr>
      <w:r>
        <w:rPr>
          <w:iCs w:val="0"/>
        </w:rPr>
        <w:t xml:space="preserve">update references </w:t>
      </w:r>
      <w:r w:rsidR="003144E5">
        <w:rPr>
          <w:iCs w:val="0"/>
        </w:rPr>
        <w:t xml:space="preserve">to Standards </w:t>
      </w:r>
      <w:r>
        <w:rPr>
          <w:iCs w:val="0"/>
        </w:rPr>
        <w:t xml:space="preserve">from the 2022 version of </w:t>
      </w:r>
      <w:r w:rsidR="00C82513">
        <w:rPr>
          <w:iCs w:val="0"/>
        </w:rPr>
        <w:t xml:space="preserve">the </w:t>
      </w:r>
      <w:r w:rsidR="00E22AF8">
        <w:rPr>
          <w:iCs w:val="0"/>
        </w:rPr>
        <w:t>BCA</w:t>
      </w:r>
      <w:r w:rsidR="00FE43B6">
        <w:t xml:space="preserve"> to the 2025 version</w:t>
      </w:r>
      <w:r w:rsidR="003144E5">
        <w:t xml:space="preserve"> where these have been </w:t>
      </w:r>
      <w:r w:rsidR="00C82513">
        <w:t>changed</w:t>
      </w:r>
      <w:r w:rsidR="00FE43B6">
        <w:t>;</w:t>
      </w:r>
      <w:r>
        <w:rPr>
          <w:iCs w:val="0"/>
        </w:rPr>
        <w:t xml:space="preserve"> </w:t>
      </w:r>
      <w:r w:rsidR="00CC4045" w:rsidRPr="00CC4045">
        <w:rPr>
          <w:iCs w:val="0"/>
        </w:rPr>
        <w:t>and</w:t>
      </w:r>
    </w:p>
    <w:p w14:paraId="2C86EA39" w14:textId="4C1D0D71" w:rsidR="00CC4045" w:rsidRDefault="00E44DCC">
      <w:pPr>
        <w:pStyle w:val="ListParagraph"/>
        <w:numPr>
          <w:ilvl w:val="0"/>
          <w:numId w:val="19"/>
        </w:numPr>
        <w:spacing w:before="120" w:after="120"/>
        <w:ind w:left="714" w:right="-357" w:hanging="357"/>
        <w:contextualSpacing w:val="0"/>
      </w:pPr>
      <w:r>
        <w:t>provide existing buildings with an exemption to meet the updated Water Management provisions of Part F of Volume 1 of the BCA.</w:t>
      </w:r>
    </w:p>
    <w:p w14:paraId="5C6FBAC9" w14:textId="32ABEDB3" w:rsidR="000071F0" w:rsidRDefault="000071F0" w:rsidP="00E2702B">
      <w:r w:rsidRPr="000071F0">
        <w:t xml:space="preserve">As a result, </w:t>
      </w:r>
      <w:r w:rsidR="008051F9" w:rsidRPr="008051F9">
        <w:t>DI2026–42</w:t>
      </w:r>
      <w:r w:rsidRPr="000071F0">
        <w:t xml:space="preserve"> will only be in effect for a short period. This instrument was implemented to </w:t>
      </w:r>
      <w:r w:rsidR="00127103" w:rsidRPr="00127103">
        <w:t>enable rapid implementation</w:t>
      </w:r>
      <w:r w:rsidR="00127103">
        <w:t xml:space="preserve"> of </w:t>
      </w:r>
      <w:r w:rsidRPr="000071F0">
        <w:t>several important construction productivity reforms, including measures relating to energy efficiency. These reforms are preserved in the current instrume</w:t>
      </w:r>
      <w:r>
        <w:t>nt.</w:t>
      </w:r>
    </w:p>
    <w:bookmarkEnd w:id="1"/>
    <w:p w14:paraId="084609D2" w14:textId="77777777" w:rsidR="008D2B37" w:rsidRDefault="008D2B37" w:rsidP="00E2702B"/>
    <w:p w14:paraId="01F36860" w14:textId="67DF9DDF" w:rsidR="00884A32" w:rsidRPr="00414DB9" w:rsidRDefault="000E39C3" w:rsidP="00CE1CAB">
      <w:pPr>
        <w:spacing w:after="160" w:line="259" w:lineRule="auto"/>
        <w:rPr>
          <w:b/>
        </w:rPr>
      </w:pPr>
      <w:r w:rsidRPr="00414DB9">
        <w:rPr>
          <w:b/>
        </w:rPr>
        <w:t xml:space="preserve">Adoption date of the </w:t>
      </w:r>
      <w:r w:rsidR="000C7B5C" w:rsidRPr="00414DB9">
        <w:rPr>
          <w:b/>
        </w:rPr>
        <w:t>202</w:t>
      </w:r>
      <w:r w:rsidR="000C7B5C">
        <w:rPr>
          <w:b/>
        </w:rPr>
        <w:t>5</w:t>
      </w:r>
      <w:r w:rsidR="000C7B5C" w:rsidRPr="00414DB9">
        <w:rPr>
          <w:b/>
        </w:rPr>
        <w:t xml:space="preserve"> </w:t>
      </w:r>
      <w:r w:rsidRPr="00414DB9">
        <w:rPr>
          <w:b/>
        </w:rPr>
        <w:t>Building Code of Australia</w:t>
      </w:r>
    </w:p>
    <w:p w14:paraId="5170CC61" w14:textId="7AE0252E" w:rsidR="009937F4" w:rsidRDefault="00054C22" w:rsidP="00414DB9">
      <w:pPr>
        <w:autoSpaceDE w:val="0"/>
        <w:autoSpaceDN w:val="0"/>
        <w:adjustRightInd w:val="0"/>
        <w:ind w:right="-356"/>
      </w:pPr>
      <w:r>
        <w:t xml:space="preserve">Each volume of the BCA includes an assumed adoption date for each </w:t>
      </w:r>
      <w:r w:rsidR="006B3142">
        <w:t>S</w:t>
      </w:r>
      <w:r>
        <w:t>tate</w:t>
      </w:r>
      <w:r w:rsidR="006B3142">
        <w:t>,</w:t>
      </w:r>
      <w:r>
        <w:t xml:space="preserve"> </w:t>
      </w:r>
      <w:r w:rsidR="006B3142">
        <w:t>T</w:t>
      </w:r>
      <w:r>
        <w:t xml:space="preserve">erritory and the </w:t>
      </w:r>
      <w:r w:rsidR="006D70B4">
        <w:t xml:space="preserve">Australian </w:t>
      </w:r>
      <w:r>
        <w:t>Government</w:t>
      </w:r>
      <w:r w:rsidR="005C69DC">
        <w:t>, and for the ACT this is</w:t>
      </w:r>
      <w:r>
        <w:t xml:space="preserve"> 1 May </w:t>
      </w:r>
      <w:r w:rsidR="000C7B5C">
        <w:t>202</w:t>
      </w:r>
      <w:r w:rsidR="00BC4079">
        <w:t>6</w:t>
      </w:r>
      <w:r w:rsidR="00C47B45">
        <w:t>.</w:t>
      </w:r>
      <w:r>
        <w:t xml:space="preserve"> </w:t>
      </w:r>
      <w:r w:rsidR="005C69DC">
        <w:t xml:space="preserve">From this date </w:t>
      </w:r>
      <w:r w:rsidR="0055376C">
        <w:t>people</w:t>
      </w:r>
      <w:r w:rsidR="005C69DC">
        <w:t xml:space="preserve"> will be able to refer to </w:t>
      </w:r>
      <w:r w:rsidR="00BC4079">
        <w:t>BCA</w:t>
      </w:r>
      <w:r w:rsidR="005C69DC">
        <w:t xml:space="preserve"> 2025 provisions when making an application for Building Approval.</w:t>
      </w:r>
    </w:p>
    <w:p w14:paraId="134FBBE2" w14:textId="77777777" w:rsidR="009937F4" w:rsidRDefault="009937F4" w:rsidP="00414DB9">
      <w:pPr>
        <w:autoSpaceDE w:val="0"/>
        <w:autoSpaceDN w:val="0"/>
        <w:adjustRightInd w:val="0"/>
        <w:ind w:right="-356"/>
      </w:pPr>
    </w:p>
    <w:p w14:paraId="40308FB9" w14:textId="737EDB8C" w:rsidR="00054C22" w:rsidRDefault="001941ED" w:rsidP="00414DB9">
      <w:pPr>
        <w:autoSpaceDE w:val="0"/>
        <w:autoSpaceDN w:val="0"/>
        <w:adjustRightInd w:val="0"/>
        <w:ind w:right="-356"/>
      </w:pPr>
      <w:r>
        <w:t xml:space="preserve">Some </w:t>
      </w:r>
      <w:r w:rsidR="00ED6517">
        <w:t>S</w:t>
      </w:r>
      <w:r>
        <w:t xml:space="preserve">tates and </w:t>
      </w:r>
      <w:r w:rsidR="00ED6517">
        <w:t>T</w:t>
      </w:r>
      <w:r>
        <w:t xml:space="preserve">erritories include </w:t>
      </w:r>
      <w:r w:rsidR="00054C22">
        <w:t>automatic transitional provisions in their enabling laws, under which the provisions of the BCA do not come into effect until a specified period after the adoption date published in the BCA. The ACT does not have automatic transitional provisions. Instead, a decision on transitional provisions or later adoption is made based on the nature and effect of the changes in a new edition.</w:t>
      </w:r>
    </w:p>
    <w:p w14:paraId="7B2A617E" w14:textId="5AA7717F" w:rsidR="00D0495F" w:rsidRDefault="00D0495F" w:rsidP="00414DB9">
      <w:pPr>
        <w:autoSpaceDE w:val="0"/>
        <w:autoSpaceDN w:val="0"/>
        <w:adjustRightInd w:val="0"/>
        <w:ind w:right="-356"/>
      </w:pPr>
    </w:p>
    <w:p w14:paraId="756A3F7D" w14:textId="6BE54DD1" w:rsidR="001B70CF" w:rsidRDefault="00BC4079" w:rsidP="00DB2BD1">
      <w:pPr>
        <w:autoSpaceDE w:val="0"/>
        <w:autoSpaceDN w:val="0"/>
        <w:adjustRightInd w:val="0"/>
        <w:ind w:right="-356"/>
      </w:pPr>
      <w:r>
        <w:lastRenderedPageBreak/>
        <w:t>For BCA 2025</w:t>
      </w:r>
      <w:r w:rsidR="00ED6517">
        <w:t>,</w:t>
      </w:r>
      <w:r>
        <w:t xml:space="preserve"> a 12-month transition period will be implemented. </w:t>
      </w:r>
      <w:r w:rsidR="001B70CF">
        <w:t>This means that f</w:t>
      </w:r>
      <w:r w:rsidR="001B70CF" w:rsidRPr="001B70CF">
        <w:t xml:space="preserve">rom </w:t>
      </w:r>
      <w:r w:rsidR="0055376C">
        <w:t>commencement of this instrument</w:t>
      </w:r>
      <w:r w:rsidR="001B70CF" w:rsidRPr="001B70CF">
        <w:t xml:space="preserve"> until 30 April 2027 either </w:t>
      </w:r>
      <w:r w:rsidR="00ED6517">
        <w:t xml:space="preserve">the </w:t>
      </w:r>
      <w:r w:rsidR="001B70CF">
        <w:t>BCA</w:t>
      </w:r>
      <w:r w:rsidR="001B70CF" w:rsidRPr="001B70CF">
        <w:t xml:space="preserve"> 2022 or </w:t>
      </w:r>
      <w:r w:rsidR="00ED6517">
        <w:t xml:space="preserve">the </w:t>
      </w:r>
      <w:r w:rsidR="001B70CF">
        <w:t>BCA</w:t>
      </w:r>
      <w:r w:rsidR="001B70CF" w:rsidRPr="001B70CF">
        <w:t xml:space="preserve"> 2025 may be used. </w:t>
      </w:r>
      <w:r w:rsidR="00E22AF8" w:rsidRPr="00E22AF8">
        <w:t xml:space="preserve">However, from the outset of a new project, the version of the </w:t>
      </w:r>
      <w:r w:rsidR="00E22AF8">
        <w:t>B</w:t>
      </w:r>
      <w:r w:rsidR="00E22AF8" w:rsidRPr="00E22AF8">
        <w:t xml:space="preserve">CA (either the </w:t>
      </w:r>
      <w:r w:rsidR="00E22AF8">
        <w:t>B</w:t>
      </w:r>
      <w:r w:rsidR="00E22AF8" w:rsidRPr="00E22AF8">
        <w:t xml:space="preserve">CA 2022 or the </w:t>
      </w:r>
      <w:r w:rsidR="00E22AF8">
        <w:t>B</w:t>
      </w:r>
      <w:r w:rsidR="00E22AF8" w:rsidRPr="00E22AF8">
        <w:t xml:space="preserve">CA 2025) that the new project is complying with, must be clearly nominated, and a project cannot comply with a mix of regulations from each version. </w:t>
      </w:r>
    </w:p>
    <w:p w14:paraId="4CBFAB9E" w14:textId="77777777" w:rsidR="001B70CF" w:rsidRDefault="001B70CF" w:rsidP="00DB2BD1">
      <w:pPr>
        <w:autoSpaceDE w:val="0"/>
        <w:autoSpaceDN w:val="0"/>
        <w:adjustRightInd w:val="0"/>
        <w:ind w:right="-356"/>
      </w:pPr>
    </w:p>
    <w:p w14:paraId="4898B498" w14:textId="13E93AD8" w:rsidR="00D34127" w:rsidRDefault="001B70CF" w:rsidP="00DB2BD1">
      <w:pPr>
        <w:autoSpaceDE w:val="0"/>
        <w:autoSpaceDN w:val="0"/>
        <w:adjustRightInd w:val="0"/>
        <w:ind w:right="-356"/>
      </w:pPr>
      <w:r>
        <w:t xml:space="preserve">To allow for </w:t>
      </w:r>
      <w:r w:rsidR="00ED6517">
        <w:t>the above</w:t>
      </w:r>
      <w:r>
        <w:t xml:space="preserve"> transition</w:t>
      </w:r>
      <w:r w:rsidR="00FE43B6">
        <w:t>,</w:t>
      </w:r>
      <w:r>
        <w:t xml:space="preserve"> this instrument contains two </w:t>
      </w:r>
      <w:r w:rsidR="00ED6517">
        <w:t>s</w:t>
      </w:r>
      <w:r>
        <w:t xml:space="preserve">chedules. Schedule 1 </w:t>
      </w:r>
      <w:r w:rsidR="00CC4045">
        <w:t xml:space="preserve">contains the ACT Appendix to the BCA that </w:t>
      </w:r>
      <w:r w:rsidR="00BC4079">
        <w:t>appl</w:t>
      </w:r>
      <w:r w:rsidR="0055376C">
        <w:t>ies</w:t>
      </w:r>
      <w:r w:rsidR="00BC4079">
        <w:t xml:space="preserve"> </w:t>
      </w:r>
      <w:r w:rsidR="00D34127">
        <w:t xml:space="preserve">from </w:t>
      </w:r>
      <w:r w:rsidR="007E19D8">
        <w:t>commencement</w:t>
      </w:r>
      <w:r w:rsidR="0055376C">
        <w:t xml:space="preserve"> of this instrument</w:t>
      </w:r>
      <w:r>
        <w:t xml:space="preserve"> to 30</w:t>
      </w:r>
      <w:r w:rsidR="00CF55C0">
        <w:t> </w:t>
      </w:r>
      <w:r>
        <w:t xml:space="preserve">April 2027 </w:t>
      </w:r>
      <w:r w:rsidR="00C91B72">
        <w:t>for use with</w:t>
      </w:r>
      <w:r>
        <w:t xml:space="preserve"> BCA 2022</w:t>
      </w:r>
      <w:r w:rsidR="005C69DC">
        <w:t xml:space="preserve">. </w:t>
      </w:r>
      <w:r>
        <w:t>S</w:t>
      </w:r>
      <w:r w:rsidR="00D34127">
        <w:t xml:space="preserve">chedule </w:t>
      </w:r>
      <w:r>
        <w:t>2</w:t>
      </w:r>
      <w:r w:rsidR="00FE43B6" w:rsidRPr="00FE43B6">
        <w:t xml:space="preserve"> </w:t>
      </w:r>
      <w:r w:rsidR="00FE43B6">
        <w:t xml:space="preserve">contains the ACT Appendix </w:t>
      </w:r>
      <w:r w:rsidR="00C91B72">
        <w:t>for use with</w:t>
      </w:r>
      <w:r w:rsidR="00FE43B6">
        <w:t xml:space="preserve"> BCA 2025. </w:t>
      </w:r>
      <w:r w:rsidR="00C91B72">
        <w:t>While i</w:t>
      </w:r>
      <w:r w:rsidR="00FE43B6">
        <w:t>t</w:t>
      </w:r>
      <w:r>
        <w:t xml:space="preserve"> </w:t>
      </w:r>
      <w:r w:rsidR="00C91B72">
        <w:t>is option</w:t>
      </w:r>
      <w:r w:rsidR="0055376C">
        <w:t>al</w:t>
      </w:r>
      <w:r w:rsidR="00C91B72">
        <w:t xml:space="preserve"> to use </w:t>
      </w:r>
      <w:r>
        <w:t xml:space="preserve">from </w:t>
      </w:r>
      <w:r w:rsidR="0055376C">
        <w:t>commencement of this instrument</w:t>
      </w:r>
      <w:r w:rsidR="00C91B72">
        <w:t xml:space="preserve">, </w:t>
      </w:r>
      <w:r w:rsidR="007E19D8">
        <w:t>BCA 2025</w:t>
      </w:r>
      <w:r w:rsidR="00C91B72">
        <w:t xml:space="preserve"> will be mandatory</w:t>
      </w:r>
      <w:r>
        <w:t xml:space="preserve"> from 1 May 2027</w:t>
      </w:r>
      <w:r w:rsidR="00FE43B6">
        <w:t>.</w:t>
      </w:r>
    </w:p>
    <w:p w14:paraId="49A57AAC" w14:textId="77777777" w:rsidR="00D34127" w:rsidRDefault="00D34127" w:rsidP="00DB2BD1">
      <w:pPr>
        <w:autoSpaceDE w:val="0"/>
        <w:autoSpaceDN w:val="0"/>
        <w:adjustRightInd w:val="0"/>
        <w:ind w:right="-356"/>
      </w:pPr>
    </w:p>
    <w:p w14:paraId="61BB1B1E" w14:textId="7C2E7416" w:rsidR="00DB2BD1" w:rsidRDefault="00D34127" w:rsidP="005C69DC">
      <w:pPr>
        <w:autoSpaceDE w:val="0"/>
        <w:autoSpaceDN w:val="0"/>
        <w:adjustRightInd w:val="0"/>
        <w:ind w:right="-356"/>
      </w:pPr>
      <w:r>
        <w:t>Further</w:t>
      </w:r>
      <w:r w:rsidR="00FE43B6">
        <w:t>more,</w:t>
      </w:r>
      <w:r w:rsidR="001B70CF">
        <w:t xml:space="preserve"> to provide certainty to </w:t>
      </w:r>
      <w:r w:rsidR="002B6FED">
        <w:t>substantially</w:t>
      </w:r>
      <w:r w:rsidR="001B70CF">
        <w:t xml:space="preserve"> progressed projects</w:t>
      </w:r>
      <w:r>
        <w:t xml:space="preserve">, where a </w:t>
      </w:r>
      <w:r w:rsidR="00C91B72">
        <w:t>D</w:t>
      </w:r>
      <w:r w:rsidRPr="00D34127">
        <w:t xml:space="preserve">evelopment or </w:t>
      </w:r>
      <w:r w:rsidR="00C91B72">
        <w:t>W</w:t>
      </w:r>
      <w:r w:rsidRPr="00D34127">
        <w:t xml:space="preserve">orks </w:t>
      </w:r>
      <w:r w:rsidR="00C91B72">
        <w:t>A</w:t>
      </w:r>
      <w:r w:rsidRPr="00D34127">
        <w:t>pproval (</w:t>
      </w:r>
      <w:r w:rsidR="002B6FED">
        <w:t xml:space="preserve">depending on </w:t>
      </w:r>
      <w:r w:rsidRPr="00D34127">
        <w:t xml:space="preserve">ACT </w:t>
      </w:r>
      <w:r w:rsidR="004609A2">
        <w:t>Government Territory Planning Authority</w:t>
      </w:r>
      <w:r w:rsidR="00034D25">
        <w:t xml:space="preserve"> (TPA)</w:t>
      </w:r>
      <w:r w:rsidR="004609A2" w:rsidRPr="00D34127">
        <w:t xml:space="preserve"> </w:t>
      </w:r>
      <w:r w:rsidR="004609A2">
        <w:t>or</w:t>
      </w:r>
      <w:r w:rsidRPr="00D34127">
        <w:t xml:space="preserve"> N</w:t>
      </w:r>
      <w:r w:rsidR="002B6FED">
        <w:t xml:space="preserve">ational </w:t>
      </w:r>
      <w:r w:rsidRPr="00D34127">
        <w:t>C</w:t>
      </w:r>
      <w:r w:rsidR="002B6FED">
        <w:t xml:space="preserve">apital </w:t>
      </w:r>
      <w:r w:rsidRPr="00D34127">
        <w:t>A</w:t>
      </w:r>
      <w:r w:rsidR="002B6FED">
        <w:t>uthority</w:t>
      </w:r>
      <w:r w:rsidRPr="00D34127">
        <w:t xml:space="preserve"> jurisdictions) </w:t>
      </w:r>
      <w:r w:rsidR="002B6FED">
        <w:t>is</w:t>
      </w:r>
      <w:r>
        <w:t xml:space="preserve"> </w:t>
      </w:r>
      <w:r w:rsidR="0055376C">
        <w:t>l</w:t>
      </w:r>
      <w:r w:rsidRPr="00D34127">
        <w:t xml:space="preserve">odged before 1 </w:t>
      </w:r>
      <w:r w:rsidR="00BC4079">
        <w:t>November</w:t>
      </w:r>
      <w:r w:rsidRPr="00D34127">
        <w:t xml:space="preserve"> 2026</w:t>
      </w:r>
      <w:r>
        <w:t>, the project</w:t>
      </w:r>
      <w:r w:rsidRPr="00D34127">
        <w:t xml:space="preserve"> may continue to apply for </w:t>
      </w:r>
      <w:r w:rsidR="00ED6517">
        <w:t>b</w:t>
      </w:r>
      <w:r w:rsidRPr="00D34127">
        <w:t xml:space="preserve">uilding </w:t>
      </w:r>
      <w:r w:rsidR="00ED6517">
        <w:t>A</w:t>
      </w:r>
      <w:r w:rsidRPr="00D34127">
        <w:t xml:space="preserve">pproval under </w:t>
      </w:r>
      <w:r w:rsidR="00FE43B6">
        <w:t>BCA</w:t>
      </w:r>
      <w:r w:rsidRPr="00D34127">
        <w:t xml:space="preserve"> 2022 and the ACT 202</w:t>
      </w:r>
      <w:r w:rsidR="007E19D8">
        <w:t>2</w:t>
      </w:r>
      <w:r w:rsidRPr="00D34127">
        <w:t xml:space="preserve"> Appendix.</w:t>
      </w:r>
      <w:r>
        <w:t xml:space="preserve"> </w:t>
      </w:r>
      <w:r w:rsidR="00055EB9" w:rsidRPr="00055EB9">
        <w:t>Lodged means that a Completeness Check ha</w:t>
      </w:r>
      <w:r w:rsidR="00CE783C">
        <w:t xml:space="preserve">s </w:t>
      </w:r>
      <w:r w:rsidR="00055EB9" w:rsidRPr="00055EB9">
        <w:t xml:space="preserve">been finalised for the project to the satisfaction of the </w:t>
      </w:r>
      <w:r w:rsidR="00CE783C">
        <w:t>TPA</w:t>
      </w:r>
      <w:r w:rsidR="00055EB9" w:rsidRPr="00055EB9">
        <w:t xml:space="preserve"> and all relevant </w:t>
      </w:r>
      <w:r w:rsidR="00CE783C">
        <w:t>D</w:t>
      </w:r>
      <w:r w:rsidR="00055EB9" w:rsidRPr="00055EB9">
        <w:t xml:space="preserve">evelopment or </w:t>
      </w:r>
      <w:r w:rsidR="00CE783C">
        <w:t>W</w:t>
      </w:r>
      <w:r w:rsidR="00055EB9" w:rsidRPr="00055EB9">
        <w:t xml:space="preserve">orks </w:t>
      </w:r>
      <w:r w:rsidR="00CE783C">
        <w:t>a</w:t>
      </w:r>
      <w:r w:rsidR="00055EB9" w:rsidRPr="00055EB9">
        <w:t>pplication fees have been paid by the applicant</w:t>
      </w:r>
      <w:r w:rsidR="00ED6517">
        <w:t xml:space="preserve">. </w:t>
      </w:r>
      <w:r w:rsidR="0055376C">
        <w:t xml:space="preserve">This will remain possible until the Development or Works Approval expires. </w:t>
      </w:r>
      <w:r w:rsidR="0055376C" w:rsidDel="0055376C">
        <w:t xml:space="preserve"> </w:t>
      </w:r>
    </w:p>
    <w:p w14:paraId="08BF9A8C" w14:textId="77777777" w:rsidR="00C42C12" w:rsidRDefault="00C42C12" w:rsidP="00DB2BD1">
      <w:pPr>
        <w:autoSpaceDE w:val="0"/>
        <w:autoSpaceDN w:val="0"/>
        <w:adjustRightInd w:val="0"/>
        <w:ind w:right="-356"/>
      </w:pPr>
    </w:p>
    <w:p w14:paraId="38BC6C14" w14:textId="54057D6D" w:rsidR="004F5844" w:rsidRDefault="004F5844" w:rsidP="004F5844">
      <w:pPr>
        <w:keepNext/>
        <w:autoSpaceDE w:val="0"/>
        <w:autoSpaceDN w:val="0"/>
        <w:adjustRightInd w:val="0"/>
        <w:spacing w:after="160"/>
        <w:rPr>
          <w:b/>
          <w:lang w:eastAsia="en-AU"/>
        </w:rPr>
      </w:pPr>
      <w:r>
        <w:rPr>
          <w:b/>
          <w:lang w:eastAsia="en-AU"/>
        </w:rPr>
        <w:t>Regulatory Impact Statement (RIS)</w:t>
      </w:r>
    </w:p>
    <w:p w14:paraId="2F8B1555" w14:textId="2C92F77B" w:rsidR="004F5844" w:rsidRDefault="004F5844" w:rsidP="00414DB9">
      <w:pPr>
        <w:autoSpaceDE w:val="0"/>
        <w:autoSpaceDN w:val="0"/>
        <w:adjustRightInd w:val="0"/>
        <w:spacing w:after="240"/>
        <w:ind w:right="-334"/>
        <w:rPr>
          <w:lang w:eastAsia="en-AU"/>
        </w:rPr>
      </w:pPr>
      <w:r>
        <w:rPr>
          <w:lang w:eastAsia="en-AU"/>
        </w:rPr>
        <w:t xml:space="preserve">Section 34 of the </w:t>
      </w:r>
      <w:r w:rsidRPr="00742E7C">
        <w:rPr>
          <w:i/>
          <w:lang w:eastAsia="en-AU"/>
        </w:rPr>
        <w:t xml:space="preserve">Legislation Act </w:t>
      </w:r>
      <w:r w:rsidR="00167466" w:rsidRPr="00742E7C">
        <w:rPr>
          <w:i/>
          <w:lang w:eastAsia="en-AU"/>
        </w:rPr>
        <w:t>2001</w:t>
      </w:r>
      <w:r w:rsidR="00167466">
        <w:rPr>
          <w:iCs/>
          <w:lang w:eastAsia="en-AU"/>
        </w:rPr>
        <w:t xml:space="preserve"> </w:t>
      </w:r>
      <w:r w:rsidR="00CF55C0">
        <w:rPr>
          <w:iCs/>
          <w:lang w:eastAsia="en-AU"/>
        </w:rPr>
        <w:t xml:space="preserve">(the </w:t>
      </w:r>
      <w:r w:rsidR="00CF55C0" w:rsidRPr="00E2702B">
        <w:rPr>
          <w:b/>
          <w:bCs/>
          <w:i/>
          <w:lang w:eastAsia="en-AU"/>
        </w:rPr>
        <w:t>Legislation Act</w:t>
      </w:r>
      <w:r w:rsidR="00CF55C0">
        <w:rPr>
          <w:iCs/>
          <w:lang w:eastAsia="en-AU"/>
        </w:rPr>
        <w:t xml:space="preserve">) </w:t>
      </w:r>
      <w:r>
        <w:rPr>
          <w:lang w:eastAsia="en-AU"/>
        </w:rPr>
        <w:t xml:space="preserve">provides that if a proposed subordinate law or disallowable instrument (the proposed law) is likely to impose appreciable costs on the community, or a part of the community, then, before the proposed law is made, the Minister administering the authorising law must arrange for a </w:t>
      </w:r>
      <w:r w:rsidR="00CF55C0">
        <w:rPr>
          <w:lang w:eastAsia="en-AU"/>
        </w:rPr>
        <w:t>RIS</w:t>
      </w:r>
      <w:r>
        <w:rPr>
          <w:lang w:eastAsia="en-AU"/>
        </w:rPr>
        <w:t xml:space="preserve"> to be prepared for the proposed law.</w:t>
      </w:r>
    </w:p>
    <w:p w14:paraId="70C649EB" w14:textId="7AE0798B" w:rsidR="00141CFF" w:rsidRDefault="00141CFF" w:rsidP="00C53E02">
      <w:pPr>
        <w:autoSpaceDE w:val="0"/>
        <w:autoSpaceDN w:val="0"/>
        <w:adjustRightInd w:val="0"/>
        <w:spacing w:after="240"/>
      </w:pPr>
      <w:r>
        <w:t xml:space="preserve">A RIS is not required for the ACT variations </w:t>
      </w:r>
      <w:r w:rsidR="001E4690">
        <w:t xml:space="preserve">contained in this instrument </w:t>
      </w:r>
      <w:r>
        <w:t xml:space="preserve">to the </w:t>
      </w:r>
      <w:r w:rsidR="00120F8A">
        <w:t xml:space="preserve">2025 </w:t>
      </w:r>
      <w:r>
        <w:t xml:space="preserve">BCA </w:t>
      </w:r>
      <w:r w:rsidR="0014366C">
        <w:t xml:space="preserve">as </w:t>
      </w:r>
      <w:r w:rsidR="00C938CF">
        <w:t>it is</w:t>
      </w:r>
      <w:r w:rsidR="0014366C">
        <w:t xml:space="preserve"> not considered to be likely to impose appreciable costs on the community or a part of the community. The </w:t>
      </w:r>
      <w:r w:rsidR="00FE43B6">
        <w:t xml:space="preserve">vast majority of </w:t>
      </w:r>
      <w:r w:rsidR="0014366C">
        <w:t xml:space="preserve">ACT variations only apply to </w:t>
      </w:r>
      <w:r w:rsidR="0014366C" w:rsidRPr="0014366C">
        <w:t xml:space="preserve">existing buildings and lower the cost burden because they allow for certain things not to be complied with, or give alternative, easier requirements as options. None of the ACT variations increase costs above what the ABCB </w:t>
      </w:r>
      <w:r w:rsidR="00C938CF">
        <w:t>RIS</w:t>
      </w:r>
      <w:r w:rsidR="0014366C" w:rsidRPr="0014366C">
        <w:t xml:space="preserve"> for the </w:t>
      </w:r>
      <w:r w:rsidR="00120F8A" w:rsidRPr="0014366C">
        <w:t>202</w:t>
      </w:r>
      <w:r w:rsidR="00120F8A">
        <w:t>5</w:t>
      </w:r>
      <w:r w:rsidR="00120F8A" w:rsidRPr="0014366C">
        <w:t xml:space="preserve"> </w:t>
      </w:r>
      <w:r w:rsidR="0014366C" w:rsidRPr="0014366C">
        <w:t>BCA</w:t>
      </w:r>
      <w:r w:rsidR="00D40254">
        <w:t xml:space="preserve"> found</w:t>
      </w:r>
      <w:r w:rsidR="0014366C">
        <w:t>.</w:t>
      </w:r>
    </w:p>
    <w:p w14:paraId="00220309" w14:textId="6033FF97" w:rsidR="00323693" w:rsidRDefault="00323693" w:rsidP="00C53E02">
      <w:pPr>
        <w:autoSpaceDE w:val="0"/>
        <w:autoSpaceDN w:val="0"/>
        <w:adjustRightInd w:val="0"/>
        <w:spacing w:after="240"/>
        <w:rPr>
          <w:lang w:eastAsia="en-AU"/>
        </w:rPr>
      </w:pPr>
      <w:r>
        <w:rPr>
          <w:lang w:eastAsia="en-AU"/>
        </w:rPr>
        <w:t xml:space="preserve">This instrument is not the primary mechanism for adopting the 2025 BCA, which is adopted by force of the </w:t>
      </w:r>
      <w:r w:rsidRPr="005A6DCF">
        <w:rPr>
          <w:lang w:eastAsia="en-AU"/>
        </w:rPr>
        <w:t>Act</w:t>
      </w:r>
      <w:r>
        <w:rPr>
          <w:lang w:eastAsia="en-AU"/>
        </w:rPr>
        <w:t xml:space="preserve">. In relation to the new standards in the BCA, section 36 (1) (h) of the Legislation Act provides that a RIS is not required for </w:t>
      </w:r>
      <w:r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Pr>
          <w:lang w:eastAsia="en-AU"/>
        </w:rPr>
        <w:t>. The ABCB has undertaken and published on its website (</w:t>
      </w:r>
      <w:hyperlink r:id="rId10" w:history="1">
        <w:r w:rsidRPr="00B346B1">
          <w:rPr>
            <w:rStyle w:val="Hyperlink"/>
            <w:lang w:eastAsia="en-AU"/>
          </w:rPr>
          <w:t>www.abcb.gov.au</w:t>
        </w:r>
      </w:hyperlink>
      <w:r>
        <w:rPr>
          <w:lang w:eastAsia="en-AU"/>
        </w:rPr>
        <w:t>) comprehensive regulatory impact analysis, including regulatory impact statements, for the changed regulatory structure provided by 2025 BCA.</w:t>
      </w:r>
    </w:p>
    <w:p w14:paraId="3320ECD9" w14:textId="69CFBC90" w:rsidR="004F5844" w:rsidRDefault="004F5844" w:rsidP="00192F90">
      <w:pPr>
        <w:keepNext/>
        <w:autoSpaceDE w:val="0"/>
        <w:autoSpaceDN w:val="0"/>
        <w:adjustRightInd w:val="0"/>
        <w:spacing w:after="160"/>
        <w:rPr>
          <w:b/>
          <w:color w:val="000000"/>
        </w:rPr>
      </w:pPr>
      <w:r>
        <w:rPr>
          <w:b/>
          <w:color w:val="000000"/>
        </w:rPr>
        <w:t>Human Rights</w:t>
      </w:r>
      <w:r w:rsidR="00C938CF">
        <w:rPr>
          <w:b/>
          <w:color w:val="000000"/>
        </w:rPr>
        <w:t xml:space="preserve"> Impacts</w:t>
      </w:r>
    </w:p>
    <w:p w14:paraId="6A1B4865" w14:textId="77777777" w:rsidR="007755B7" w:rsidRPr="00B652B5" w:rsidRDefault="007755B7" w:rsidP="007755B7">
      <w:pPr>
        <w:autoSpaceDE w:val="0"/>
        <w:autoSpaceDN w:val="0"/>
        <w:adjustRightInd w:val="0"/>
        <w:spacing w:after="240"/>
        <w:rPr>
          <w:lang w:eastAsia="en-AU"/>
        </w:rPr>
      </w:pPr>
      <w:r w:rsidRPr="00B652B5">
        <w:rPr>
          <w:lang w:eastAsia="en-AU"/>
        </w:rPr>
        <w:t>During the development of the instrument</w:t>
      </w:r>
      <w:r>
        <w:rPr>
          <w:lang w:eastAsia="en-AU"/>
        </w:rPr>
        <w:t>,</w:t>
      </w:r>
      <w:r w:rsidRPr="00B652B5">
        <w:rPr>
          <w:lang w:eastAsia="en-AU"/>
        </w:rPr>
        <w:t xml:space="preserve"> due regard was given to its engagement with human rights under the </w:t>
      </w:r>
      <w:r w:rsidRPr="00486BC8">
        <w:rPr>
          <w:i/>
          <w:iCs/>
          <w:lang w:eastAsia="en-AU"/>
        </w:rPr>
        <w:t>Human Rights Act 2004</w:t>
      </w:r>
      <w:r w:rsidRPr="00B652B5">
        <w:rPr>
          <w:lang w:eastAsia="en-AU"/>
        </w:rPr>
        <w:t xml:space="preserve"> (the </w:t>
      </w:r>
      <w:r w:rsidRPr="00486BC8">
        <w:rPr>
          <w:b/>
          <w:bCs/>
          <w:i/>
          <w:iCs/>
          <w:lang w:eastAsia="en-AU"/>
        </w:rPr>
        <w:t>HR Act</w:t>
      </w:r>
      <w:r w:rsidRPr="00B652B5">
        <w:rPr>
          <w:lang w:eastAsia="en-AU"/>
        </w:rPr>
        <w:t xml:space="preserve">). This instrument </w:t>
      </w:r>
      <w:r w:rsidRPr="00B652B5">
        <w:rPr>
          <w:lang w:eastAsia="en-AU"/>
        </w:rPr>
        <w:lastRenderedPageBreak/>
        <w:t xml:space="preserve">engages with an individual’s right to a healthy environment, under section 27C of the HR Act. </w:t>
      </w:r>
    </w:p>
    <w:p w14:paraId="112B1BB9" w14:textId="036ACE6A" w:rsidR="008E3FE3" w:rsidRDefault="00896ED5" w:rsidP="00414DB9">
      <w:pPr>
        <w:pStyle w:val="Header"/>
        <w:tabs>
          <w:tab w:val="left" w:pos="720"/>
        </w:tabs>
        <w:spacing w:after="240"/>
      </w:pPr>
      <w:r w:rsidRPr="00896ED5">
        <w:t xml:space="preserve">The proposed provisions in </w:t>
      </w:r>
      <w:r w:rsidR="00050EF4">
        <w:t>BCA</w:t>
      </w:r>
      <w:r w:rsidRPr="00896ED5">
        <w:t xml:space="preserve"> 2025 support reductions in building emissions </w:t>
      </w:r>
      <w:r w:rsidR="00C051BF">
        <w:t xml:space="preserve">from energy efficiency </w:t>
      </w:r>
      <w:r w:rsidRPr="00896ED5">
        <w:t>and improve air quality in our city, both inside and outside our buildings</w:t>
      </w:r>
      <w:r w:rsidR="00C051BF">
        <w:t xml:space="preserve"> from reducing the consumption of fossil fuels</w:t>
      </w:r>
      <w:r w:rsidRPr="00896ED5">
        <w:t xml:space="preserve">. </w:t>
      </w:r>
      <w:r w:rsidR="004F5844">
        <w:t xml:space="preserve"> </w:t>
      </w:r>
    </w:p>
    <w:p w14:paraId="00B905C5" w14:textId="2E6FB8D3" w:rsidR="004F5844" w:rsidRPr="00E2702B" w:rsidRDefault="00610614" w:rsidP="00E2702B">
      <w:pPr>
        <w:keepNext/>
        <w:autoSpaceDE w:val="0"/>
        <w:autoSpaceDN w:val="0"/>
        <w:adjustRightInd w:val="0"/>
        <w:spacing w:after="160"/>
        <w:rPr>
          <w:b/>
          <w:color w:val="000000"/>
        </w:rPr>
      </w:pPr>
      <w:r w:rsidRPr="00E2702B">
        <w:rPr>
          <w:b/>
          <w:color w:val="000000"/>
        </w:rPr>
        <w:t>Clause Notes</w:t>
      </w:r>
    </w:p>
    <w:p w14:paraId="3B830EFB" w14:textId="41254697" w:rsidR="0011364A" w:rsidRDefault="0011364A" w:rsidP="0011364A">
      <w:pPr>
        <w:pStyle w:val="NormalWeb"/>
        <w:shd w:val="clear" w:color="auto" w:fill="FFFFFF"/>
        <w:spacing w:before="0" w:beforeAutospacing="0" w:after="0" w:afterAutospacing="0"/>
        <w:rPr>
          <w:color w:val="000000"/>
        </w:rPr>
      </w:pPr>
      <w:r>
        <w:rPr>
          <w:color w:val="000000"/>
        </w:rPr>
        <w:t xml:space="preserve">Clause 1 names the instrument the </w:t>
      </w:r>
      <w:r w:rsidRPr="0011364A">
        <w:rPr>
          <w:i/>
          <w:iCs/>
          <w:color w:val="000000"/>
        </w:rPr>
        <w:t>B</w:t>
      </w:r>
      <w:r>
        <w:rPr>
          <w:i/>
          <w:iCs/>
        </w:rPr>
        <w:t>uilding (</w:t>
      </w:r>
      <w:r w:rsidRPr="00EE07F2">
        <w:rPr>
          <w:i/>
          <w:iCs/>
        </w:rPr>
        <w:t xml:space="preserve">ACT Appendix to the </w:t>
      </w:r>
      <w:r>
        <w:rPr>
          <w:i/>
          <w:iCs/>
        </w:rPr>
        <w:t>Building</w:t>
      </w:r>
      <w:r w:rsidRPr="00EE07F2">
        <w:rPr>
          <w:i/>
          <w:iCs/>
        </w:rPr>
        <w:t xml:space="preserve"> Code) Determination </w:t>
      </w:r>
      <w:r w:rsidR="003E03A5" w:rsidRPr="00EE07F2">
        <w:rPr>
          <w:i/>
          <w:iCs/>
        </w:rPr>
        <w:t>20</w:t>
      </w:r>
      <w:r w:rsidR="003E03A5">
        <w:rPr>
          <w:i/>
          <w:iCs/>
        </w:rPr>
        <w:t>26</w:t>
      </w:r>
      <w:r w:rsidR="00425835">
        <w:rPr>
          <w:i/>
          <w:iCs/>
        </w:rPr>
        <w:t xml:space="preserve"> (No 2)</w:t>
      </w:r>
      <w:r w:rsidR="007A10B7">
        <w:t>.</w:t>
      </w:r>
    </w:p>
    <w:p w14:paraId="657DC7D6"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25685920" w14:textId="0A4608B0" w:rsidR="0011364A" w:rsidRDefault="0011364A" w:rsidP="0011364A">
      <w:pPr>
        <w:pStyle w:val="NormalWeb"/>
        <w:shd w:val="clear" w:color="auto" w:fill="FFFFFF"/>
        <w:spacing w:before="0" w:beforeAutospacing="0" w:after="0" w:afterAutospacing="0"/>
        <w:rPr>
          <w:color w:val="000000"/>
        </w:rPr>
      </w:pPr>
      <w:r>
        <w:rPr>
          <w:color w:val="000000"/>
        </w:rPr>
        <w:t xml:space="preserve">Clause 2 provides that this instrument commences on the day after </w:t>
      </w:r>
      <w:r w:rsidR="00167466">
        <w:rPr>
          <w:color w:val="000000"/>
        </w:rPr>
        <w:t xml:space="preserve">its </w:t>
      </w:r>
      <w:r>
        <w:rPr>
          <w:color w:val="000000"/>
        </w:rPr>
        <w:t>notification</w:t>
      </w:r>
      <w:r w:rsidR="00167466">
        <w:rPr>
          <w:color w:val="000000"/>
        </w:rPr>
        <w:t xml:space="preserve"> day</w:t>
      </w:r>
      <w:r>
        <w:rPr>
          <w:color w:val="000000"/>
        </w:rPr>
        <w:t>.</w:t>
      </w:r>
    </w:p>
    <w:p w14:paraId="2F2FE82F"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5BEB1875" w14:textId="3C6141A4" w:rsidR="0011364A" w:rsidRDefault="0011364A" w:rsidP="0011364A">
      <w:pPr>
        <w:pStyle w:val="NormalWeb"/>
        <w:shd w:val="clear" w:color="auto" w:fill="FFFFFF"/>
        <w:spacing w:before="0" w:beforeAutospacing="0" w:after="0" w:afterAutospacing="0"/>
        <w:rPr>
          <w:color w:val="000000"/>
        </w:rPr>
      </w:pPr>
      <w:r>
        <w:rPr>
          <w:color w:val="000000"/>
        </w:rPr>
        <w:t xml:space="preserve">Clause 3 contains the approval of schedules 1 and 2 of the instrument. </w:t>
      </w:r>
    </w:p>
    <w:p w14:paraId="1453D7DD" w14:textId="6F8CE4D1" w:rsidR="0011364A" w:rsidRDefault="0011364A" w:rsidP="0011364A">
      <w:pPr>
        <w:pStyle w:val="NormalWeb"/>
        <w:shd w:val="clear" w:color="auto" w:fill="FFFFFF"/>
        <w:spacing w:before="0" w:beforeAutospacing="0" w:after="0" w:afterAutospacing="0"/>
        <w:rPr>
          <w:color w:val="000000"/>
        </w:rPr>
      </w:pPr>
    </w:p>
    <w:p w14:paraId="0DEAF71D" w14:textId="19AA35A5" w:rsidR="00167466" w:rsidRDefault="0011364A" w:rsidP="00167466">
      <w:pPr>
        <w:pStyle w:val="NormalWeb"/>
        <w:shd w:val="clear" w:color="auto" w:fill="FFFFFF"/>
        <w:spacing w:before="0" w:beforeAutospacing="0" w:after="0" w:afterAutospacing="0"/>
        <w:rPr>
          <w:color w:val="000000"/>
        </w:rPr>
      </w:pPr>
      <w:r>
        <w:rPr>
          <w:color w:val="000000"/>
        </w:rPr>
        <w:t xml:space="preserve">Clause 4 provides for when schedule 1 </w:t>
      </w:r>
      <w:r w:rsidR="008D188C">
        <w:rPr>
          <w:color w:val="000000"/>
        </w:rPr>
        <w:t xml:space="preserve">and schedule 2 </w:t>
      </w:r>
      <w:r>
        <w:rPr>
          <w:color w:val="000000"/>
        </w:rPr>
        <w:t>of t</w:t>
      </w:r>
      <w:r w:rsidR="004E1EF0">
        <w:rPr>
          <w:color w:val="000000"/>
        </w:rPr>
        <w:t>his</w:t>
      </w:r>
      <w:r>
        <w:rPr>
          <w:color w:val="000000"/>
        </w:rPr>
        <w:t xml:space="preserve"> instrument applies</w:t>
      </w:r>
      <w:r w:rsidR="00167466">
        <w:rPr>
          <w:color w:val="000000"/>
        </w:rPr>
        <w:t>.</w:t>
      </w:r>
    </w:p>
    <w:p w14:paraId="56E303F5" w14:textId="77777777" w:rsidR="0011364A" w:rsidRDefault="0011364A" w:rsidP="0011364A">
      <w:pPr>
        <w:autoSpaceDE w:val="0"/>
        <w:autoSpaceDN w:val="0"/>
        <w:adjustRightInd w:val="0"/>
        <w:ind w:right="-356"/>
      </w:pPr>
    </w:p>
    <w:p w14:paraId="13264644" w14:textId="71F1CCD1" w:rsidR="00CC4045" w:rsidRDefault="0011364A" w:rsidP="0011364A">
      <w:pPr>
        <w:autoSpaceDE w:val="0"/>
        <w:autoSpaceDN w:val="0"/>
        <w:adjustRightInd w:val="0"/>
        <w:ind w:right="-356"/>
      </w:pPr>
      <w:r>
        <w:t xml:space="preserve">Clause 5 displaces the requirement in the </w:t>
      </w:r>
      <w:r w:rsidRPr="00742E7C">
        <w:rPr>
          <w:iCs/>
        </w:rPr>
        <w:t>Legislation Act</w:t>
      </w:r>
      <w:r>
        <w:t xml:space="preserve">, section 47 (5). Section 47 (5) provides that </w:t>
      </w:r>
      <w:r w:rsidRPr="00166C2B">
        <w:t xml:space="preserve">the text </w:t>
      </w:r>
      <w:r>
        <w:t>of an instrument applied as in force at a particular time</w:t>
      </w:r>
      <w:r w:rsidRPr="00166C2B">
        <w:t xml:space="preserve"> is taken to be a notifiable instrument made under the relevant instrument</w:t>
      </w:r>
      <w:r>
        <w:t>, and therefore</w:t>
      </w:r>
      <w:r w:rsidR="00726911">
        <w:t>,</w:t>
      </w:r>
      <w:r>
        <w:t xml:space="preserve"> must be published on the Legislation Register. </w:t>
      </w:r>
    </w:p>
    <w:p w14:paraId="53A2A8D4" w14:textId="77777777" w:rsidR="00CC4045" w:rsidRDefault="00CC4045" w:rsidP="0011364A">
      <w:pPr>
        <w:autoSpaceDE w:val="0"/>
        <w:autoSpaceDN w:val="0"/>
        <w:adjustRightInd w:val="0"/>
        <w:ind w:right="-356"/>
      </w:pPr>
    </w:p>
    <w:p w14:paraId="4710AEF4" w14:textId="7631A029" w:rsidR="0011364A" w:rsidRDefault="0011364A" w:rsidP="0011364A">
      <w:pPr>
        <w:autoSpaceDE w:val="0"/>
        <w:autoSpaceDN w:val="0"/>
        <w:adjustRightInd w:val="0"/>
        <w:ind w:right="-356"/>
      </w:pPr>
      <w:r>
        <w:t xml:space="preserve">Copyright </w:t>
      </w:r>
      <w:r w:rsidR="007309FE">
        <w:t>of</w:t>
      </w:r>
      <w:r>
        <w:t xml:space="preserve"> the BCA is collectively owned by the Australian Government and the </w:t>
      </w:r>
      <w:r w:rsidR="00C938CF">
        <w:t>S</w:t>
      </w:r>
      <w:r>
        <w:t xml:space="preserve">tates and </w:t>
      </w:r>
      <w:r w:rsidR="00C938CF">
        <w:t>T</w:t>
      </w:r>
      <w:r>
        <w:t>erritories.</w:t>
      </w:r>
      <w:r w:rsidR="00CC4045">
        <w:t xml:space="preserve"> </w:t>
      </w:r>
      <w:r>
        <w:t>The arrangement between jurisdictions is that the BCA will be published on behalf of the jurisdictions in a single place by the ABCB. It would not be appropriate to publicly notify the code on an ACT Government website. The notes to section 5 of the instrument describe alternative access to the BCA as it is not being notified on the Legislation Register.</w:t>
      </w:r>
    </w:p>
    <w:p w14:paraId="4EC64F7C" w14:textId="77777777" w:rsidR="00CC4045" w:rsidRDefault="00CC4045" w:rsidP="0011364A">
      <w:pPr>
        <w:autoSpaceDE w:val="0"/>
        <w:autoSpaceDN w:val="0"/>
        <w:adjustRightInd w:val="0"/>
        <w:ind w:right="-356"/>
      </w:pPr>
    </w:p>
    <w:p w14:paraId="501F49EF" w14:textId="21FB04C7" w:rsidR="00587A5D" w:rsidRDefault="00CC4045" w:rsidP="00587A5D">
      <w:pPr>
        <w:autoSpaceDE w:val="0"/>
        <w:autoSpaceDN w:val="0"/>
        <w:adjustRightInd w:val="0"/>
        <w:ind w:right="-356"/>
      </w:pPr>
      <w:r>
        <w:t>The BCA incorporates a number of Australian Standards, Australian/New Zealand Standards and International Standards.</w:t>
      </w:r>
      <w:r w:rsidR="007A10B7">
        <w:t xml:space="preserve"> The standards are technical standards used by the building and construction sector to meet regulatory requirements across jurisdictions. </w:t>
      </w:r>
      <w:r w:rsidR="00587A5D">
        <w:t>The sector is generally expected to have knowledge of the standards relevant to undertaking their professional services. It is noted that there are often two or more versions of the Building Code applicable to building</w:t>
      </w:r>
      <w:r w:rsidR="00587A5D">
        <w:rPr>
          <w:spacing w:val="-2"/>
        </w:rPr>
        <w:t xml:space="preserve"> </w:t>
      </w:r>
      <w:r w:rsidR="00587A5D">
        <w:t>work at any</w:t>
      </w:r>
      <w:r w:rsidR="00587A5D">
        <w:rPr>
          <w:spacing w:val="-1"/>
        </w:rPr>
        <w:t xml:space="preserve"> </w:t>
      </w:r>
      <w:r w:rsidR="00587A5D">
        <w:t>one time</w:t>
      </w:r>
      <w:r w:rsidR="00587A5D">
        <w:rPr>
          <w:spacing w:val="-1"/>
        </w:rPr>
        <w:t xml:space="preserve"> </w:t>
      </w:r>
      <w:r w:rsidR="00587A5D">
        <w:t>and</w:t>
      </w:r>
      <w:r w:rsidR="00587A5D">
        <w:rPr>
          <w:spacing w:val="-4"/>
        </w:rPr>
        <w:t xml:space="preserve"> </w:t>
      </w:r>
      <w:r w:rsidR="00587A5D">
        <w:t>as</w:t>
      </w:r>
      <w:r w:rsidR="00587A5D">
        <w:rPr>
          <w:spacing w:val="-4"/>
        </w:rPr>
        <w:t xml:space="preserve"> </w:t>
      </w:r>
      <w:r w:rsidR="00587A5D">
        <w:t>such there</w:t>
      </w:r>
      <w:r w:rsidR="00587A5D">
        <w:rPr>
          <w:spacing w:val="-4"/>
        </w:rPr>
        <w:t xml:space="preserve"> </w:t>
      </w:r>
      <w:r w:rsidR="00587A5D">
        <w:t>are</w:t>
      </w:r>
      <w:r w:rsidR="00587A5D">
        <w:rPr>
          <w:spacing w:val="-4"/>
        </w:rPr>
        <w:t xml:space="preserve"> </w:t>
      </w:r>
      <w:r w:rsidR="00587A5D">
        <w:t>a</w:t>
      </w:r>
      <w:r w:rsidR="00587A5D">
        <w:rPr>
          <w:spacing w:val="-4"/>
        </w:rPr>
        <w:t xml:space="preserve"> </w:t>
      </w:r>
      <w:r w:rsidR="00587A5D">
        <w:t>significant</w:t>
      </w:r>
      <w:r w:rsidR="00587A5D">
        <w:rPr>
          <w:spacing w:val="-2"/>
        </w:rPr>
        <w:t xml:space="preserve"> </w:t>
      </w:r>
      <w:r w:rsidR="00587A5D">
        <w:t>number</w:t>
      </w:r>
      <w:r w:rsidR="00587A5D">
        <w:rPr>
          <w:spacing w:val="-5"/>
        </w:rPr>
        <w:t xml:space="preserve"> </w:t>
      </w:r>
      <w:r w:rsidR="00587A5D">
        <w:t>of</w:t>
      </w:r>
      <w:r w:rsidR="00587A5D">
        <w:rPr>
          <w:spacing w:val="-3"/>
        </w:rPr>
        <w:t xml:space="preserve"> </w:t>
      </w:r>
      <w:r w:rsidR="00587A5D">
        <w:t>Australian</w:t>
      </w:r>
      <w:r w:rsidR="00587A5D">
        <w:rPr>
          <w:spacing w:val="-4"/>
        </w:rPr>
        <w:t xml:space="preserve"> </w:t>
      </w:r>
      <w:r w:rsidR="00587A5D">
        <w:t>Standards</w:t>
      </w:r>
      <w:r w:rsidR="00587A5D">
        <w:rPr>
          <w:spacing w:val="-4"/>
        </w:rPr>
        <w:t xml:space="preserve"> </w:t>
      </w:r>
      <w:r w:rsidR="00587A5D">
        <w:t>and versions</w:t>
      </w:r>
      <w:r w:rsidR="00587A5D">
        <w:rPr>
          <w:spacing w:val="-4"/>
        </w:rPr>
        <w:t xml:space="preserve"> </w:t>
      </w:r>
      <w:r w:rsidR="00587A5D">
        <w:t>of</w:t>
      </w:r>
      <w:r w:rsidR="00587A5D">
        <w:rPr>
          <w:spacing w:val="-3"/>
        </w:rPr>
        <w:t xml:space="preserve"> </w:t>
      </w:r>
      <w:r w:rsidR="00587A5D">
        <w:t>Australian Standards that industry and regulators require access to.</w:t>
      </w:r>
    </w:p>
    <w:p w14:paraId="1F0BAF97" w14:textId="5B642446" w:rsidR="007A10B7" w:rsidRDefault="007A10B7" w:rsidP="007A10B7">
      <w:pPr>
        <w:autoSpaceDE w:val="0"/>
        <w:autoSpaceDN w:val="0"/>
        <w:adjustRightInd w:val="0"/>
        <w:ind w:right="-356"/>
      </w:pPr>
    </w:p>
    <w:p w14:paraId="4AB2B81F" w14:textId="4181D6FF" w:rsidR="007A10B7" w:rsidRDefault="00587A5D" w:rsidP="0011364A">
      <w:pPr>
        <w:autoSpaceDE w:val="0"/>
        <w:autoSpaceDN w:val="0"/>
        <w:adjustRightInd w:val="0"/>
        <w:ind w:right="-356"/>
      </w:pPr>
      <w:r>
        <w:t xml:space="preserve">The standards referenced in the BCA are available for purchase from </w:t>
      </w:r>
      <w:hyperlink r:id="rId11" w:history="1">
        <w:r w:rsidRPr="006E6C5A">
          <w:rPr>
            <w:rStyle w:val="Hyperlink"/>
          </w:rPr>
          <w:t>www.standards.org.au</w:t>
        </w:r>
      </w:hyperlink>
      <w:r>
        <w:t xml:space="preserve">. </w:t>
      </w:r>
      <w:r w:rsidR="007A10B7">
        <w:t>There are challenges relating to the ability to provide public access to Australian Standards due to copyright issues.</w:t>
      </w:r>
    </w:p>
    <w:p w14:paraId="73512EB2" w14:textId="77777777" w:rsidR="007A10B7" w:rsidRDefault="007A10B7" w:rsidP="0011364A">
      <w:pPr>
        <w:autoSpaceDE w:val="0"/>
        <w:autoSpaceDN w:val="0"/>
        <w:adjustRightInd w:val="0"/>
        <w:ind w:right="-356"/>
      </w:pPr>
    </w:p>
    <w:p w14:paraId="7E3C4091" w14:textId="785DFDD2" w:rsidR="007A10B7" w:rsidRDefault="007A10B7" w:rsidP="007A10B7">
      <w:pPr>
        <w:autoSpaceDE w:val="0"/>
        <w:autoSpaceDN w:val="0"/>
        <w:adjustRightInd w:val="0"/>
        <w:ind w:right="-356"/>
      </w:pPr>
      <w:r>
        <w:t>Standards Australia has recently released an initiative (Reader Room) that provides limited, no-fee access to the entire catalogue of Australian Standards for non- commercial</w:t>
      </w:r>
      <w:r>
        <w:rPr>
          <w:spacing w:val="-4"/>
        </w:rPr>
        <w:t xml:space="preserve"> </w:t>
      </w:r>
      <w:r>
        <w:t>purposes,</w:t>
      </w:r>
      <w:r>
        <w:rPr>
          <w:spacing w:val="-5"/>
        </w:rPr>
        <w:t xml:space="preserve"> </w:t>
      </w:r>
      <w:r>
        <w:t>that</w:t>
      </w:r>
      <w:r>
        <w:rPr>
          <w:spacing w:val="-5"/>
        </w:rPr>
        <w:t xml:space="preserve"> </w:t>
      </w:r>
      <w:r>
        <w:t>is</w:t>
      </w:r>
      <w:r>
        <w:rPr>
          <w:spacing w:val="-3"/>
        </w:rPr>
        <w:t xml:space="preserve"> </w:t>
      </w:r>
      <w:r>
        <w:t>for</w:t>
      </w:r>
      <w:r>
        <w:rPr>
          <w:spacing w:val="-4"/>
        </w:rPr>
        <w:t xml:space="preserve"> </w:t>
      </w:r>
      <w:r>
        <w:t>personal,</w:t>
      </w:r>
      <w:r>
        <w:rPr>
          <w:spacing w:val="-1"/>
        </w:rPr>
        <w:t xml:space="preserve"> </w:t>
      </w:r>
      <w:r>
        <w:t>domestic</w:t>
      </w:r>
      <w:r>
        <w:rPr>
          <w:spacing w:val="-6"/>
        </w:rPr>
        <w:t xml:space="preserve"> </w:t>
      </w:r>
      <w:r>
        <w:t>or</w:t>
      </w:r>
      <w:r>
        <w:rPr>
          <w:spacing w:val="-4"/>
        </w:rPr>
        <w:t xml:space="preserve"> </w:t>
      </w:r>
      <w:r>
        <w:t>household</w:t>
      </w:r>
      <w:r>
        <w:rPr>
          <w:spacing w:val="-3"/>
        </w:rPr>
        <w:t xml:space="preserve"> </w:t>
      </w:r>
      <w:r>
        <w:t>use.</w:t>
      </w:r>
      <w:r>
        <w:rPr>
          <w:spacing w:val="-5"/>
        </w:rPr>
        <w:t xml:space="preserve"> </w:t>
      </w:r>
      <w:r>
        <w:t xml:space="preserve">This initiative provides access for free to a maximum of three standards every 12 months, with access for 24 hours at a time. The Reader Room is available at </w:t>
      </w:r>
      <w:hyperlink r:id="rId12" w:history="1">
        <w:r w:rsidR="00587A5D" w:rsidRPr="006E6C5A">
          <w:rPr>
            <w:rStyle w:val="Hyperlink"/>
          </w:rPr>
          <w:t>https://readerroom.standards.org.au/</w:t>
        </w:r>
      </w:hyperlink>
      <w:r>
        <w:t>.</w:t>
      </w:r>
    </w:p>
    <w:p w14:paraId="11EAE780" w14:textId="77777777" w:rsidR="00587A5D" w:rsidRDefault="00587A5D" w:rsidP="007A10B7">
      <w:pPr>
        <w:autoSpaceDE w:val="0"/>
        <w:autoSpaceDN w:val="0"/>
        <w:adjustRightInd w:val="0"/>
        <w:ind w:right="-356"/>
      </w:pPr>
    </w:p>
    <w:p w14:paraId="1D22A674" w14:textId="4A72C22E" w:rsidR="0011364A" w:rsidRDefault="0011364A" w:rsidP="0011364A">
      <w:pPr>
        <w:pStyle w:val="NormalWeb"/>
        <w:shd w:val="clear" w:color="auto" w:fill="FFFFFF"/>
        <w:spacing w:before="0" w:beforeAutospacing="0" w:after="0" w:afterAutospacing="0"/>
        <w:rPr>
          <w:color w:val="000000"/>
        </w:rPr>
      </w:pPr>
      <w:r>
        <w:rPr>
          <w:color w:val="000000"/>
        </w:rPr>
        <w:t xml:space="preserve">Clause 6 revokes the </w:t>
      </w:r>
      <w:r w:rsidR="004E1EF0" w:rsidRPr="0011364A">
        <w:rPr>
          <w:i/>
          <w:iCs/>
          <w:color w:val="000000"/>
        </w:rPr>
        <w:t>B</w:t>
      </w:r>
      <w:r w:rsidR="004E1EF0">
        <w:rPr>
          <w:i/>
          <w:iCs/>
        </w:rPr>
        <w:t>uilding (</w:t>
      </w:r>
      <w:r w:rsidR="004E1EF0" w:rsidRPr="00EE07F2">
        <w:rPr>
          <w:i/>
          <w:iCs/>
        </w:rPr>
        <w:t xml:space="preserve">ACT Appendix to the </w:t>
      </w:r>
      <w:r w:rsidR="004E1EF0">
        <w:rPr>
          <w:i/>
          <w:iCs/>
        </w:rPr>
        <w:t>Building</w:t>
      </w:r>
      <w:r w:rsidR="004E1EF0" w:rsidRPr="00EE07F2">
        <w:rPr>
          <w:i/>
          <w:iCs/>
        </w:rPr>
        <w:t xml:space="preserve"> Code) Determination 20</w:t>
      </w:r>
      <w:r w:rsidR="004E1EF0">
        <w:rPr>
          <w:i/>
          <w:iCs/>
        </w:rPr>
        <w:t>2</w:t>
      </w:r>
      <w:r w:rsidR="0010179F">
        <w:rPr>
          <w:i/>
          <w:iCs/>
        </w:rPr>
        <w:t>6</w:t>
      </w:r>
      <w:r w:rsidR="004E1EF0" w:rsidRPr="007A10B7">
        <w:t xml:space="preserve"> </w:t>
      </w:r>
      <w:r>
        <w:rPr>
          <w:color w:val="000000"/>
        </w:rPr>
        <w:t>that is replaced by this instrument.</w:t>
      </w:r>
    </w:p>
    <w:p w14:paraId="3C2FBB2C" w14:textId="53126F7C" w:rsidR="00640143" w:rsidRDefault="00640143" w:rsidP="0011364A">
      <w:pPr>
        <w:pStyle w:val="NormalWeb"/>
        <w:shd w:val="clear" w:color="auto" w:fill="FFFFFF"/>
        <w:spacing w:before="0" w:beforeAutospacing="0" w:after="0" w:afterAutospacing="0"/>
        <w:rPr>
          <w:color w:val="000000"/>
        </w:rPr>
      </w:pPr>
    </w:p>
    <w:p w14:paraId="054BCB1B" w14:textId="1C05202F" w:rsidR="00640143" w:rsidRPr="00F00108" w:rsidRDefault="00640143" w:rsidP="003C6D5D">
      <w:pPr>
        <w:pStyle w:val="NormalWeb"/>
        <w:shd w:val="clear" w:color="auto" w:fill="FFFFFF"/>
        <w:spacing w:before="0" w:beforeAutospacing="0" w:after="0" w:afterAutospacing="0"/>
        <w:rPr>
          <w:color w:val="000000"/>
        </w:rPr>
      </w:pPr>
      <w:r>
        <w:rPr>
          <w:color w:val="000000"/>
        </w:rPr>
        <w:t>Schedule 1 is the ACT Appendix of the Building Code that</w:t>
      </w:r>
      <w:r w:rsidR="005671EC">
        <w:rPr>
          <w:color w:val="000000"/>
        </w:rPr>
        <w:t>,</w:t>
      </w:r>
      <w:r>
        <w:rPr>
          <w:color w:val="000000"/>
        </w:rPr>
        <w:t xml:space="preserve"> </w:t>
      </w:r>
      <w:r w:rsidR="00323693">
        <w:rPr>
          <w:color w:val="000000"/>
        </w:rPr>
        <w:t xml:space="preserve">depending on the </w:t>
      </w:r>
      <w:r w:rsidR="005671EC">
        <w:rPr>
          <w:color w:val="000000"/>
        </w:rPr>
        <w:t xml:space="preserve">circumstances, </w:t>
      </w:r>
      <w:r w:rsidR="00050EF4">
        <w:rPr>
          <w:color w:val="000000"/>
        </w:rPr>
        <w:t xml:space="preserve">may apply </w:t>
      </w:r>
      <w:r>
        <w:rPr>
          <w:color w:val="000000"/>
        </w:rPr>
        <w:t xml:space="preserve">from </w:t>
      </w:r>
      <w:r w:rsidR="00323693">
        <w:rPr>
          <w:color w:val="000000"/>
        </w:rPr>
        <w:t>commencement of this instrument</w:t>
      </w:r>
      <w:r w:rsidR="003C6D5D">
        <w:rPr>
          <w:color w:val="000000"/>
        </w:rPr>
        <w:t xml:space="preserve"> </w:t>
      </w:r>
      <w:r>
        <w:rPr>
          <w:color w:val="000000"/>
        </w:rPr>
        <w:t xml:space="preserve">to </w:t>
      </w:r>
      <w:r w:rsidR="00050EF4">
        <w:rPr>
          <w:color w:val="000000"/>
        </w:rPr>
        <w:t>30 April 2027</w:t>
      </w:r>
      <w:r>
        <w:rPr>
          <w:color w:val="000000"/>
        </w:rPr>
        <w:t>.</w:t>
      </w:r>
    </w:p>
    <w:p w14:paraId="281F71A4" w14:textId="48BE30D1" w:rsidR="00640143" w:rsidRDefault="00640143" w:rsidP="003C6D5D">
      <w:pPr>
        <w:pStyle w:val="NormalWeb"/>
        <w:shd w:val="clear" w:color="auto" w:fill="FFFFFF"/>
        <w:spacing w:before="0" w:beforeAutospacing="0" w:after="0" w:afterAutospacing="0"/>
        <w:rPr>
          <w:color w:val="000000"/>
        </w:rPr>
      </w:pPr>
    </w:p>
    <w:p w14:paraId="603927A9" w14:textId="6DC9B11A" w:rsidR="00640143" w:rsidRDefault="00640143" w:rsidP="00E2702B">
      <w:pPr>
        <w:pStyle w:val="NormalWeb"/>
        <w:shd w:val="clear" w:color="auto" w:fill="FFFFFF"/>
        <w:spacing w:before="0" w:beforeAutospacing="0" w:after="0" w:afterAutospacing="0"/>
      </w:pPr>
      <w:r>
        <w:rPr>
          <w:color w:val="000000"/>
        </w:rPr>
        <w:t>Schedule 2 is the ACT Appendix to the Building Code that</w:t>
      </w:r>
      <w:r w:rsidR="00323693">
        <w:rPr>
          <w:color w:val="000000"/>
        </w:rPr>
        <w:t xml:space="preserve"> a builder</w:t>
      </w:r>
      <w:r w:rsidR="005671EC">
        <w:rPr>
          <w:color w:val="000000"/>
        </w:rPr>
        <w:t xml:space="preserve"> </w:t>
      </w:r>
      <w:r w:rsidR="00323693">
        <w:rPr>
          <w:color w:val="000000"/>
        </w:rPr>
        <w:t>may</w:t>
      </w:r>
      <w:r>
        <w:rPr>
          <w:color w:val="000000"/>
        </w:rPr>
        <w:t xml:space="preserve"> </w:t>
      </w:r>
      <w:r w:rsidR="00050EF4">
        <w:rPr>
          <w:color w:val="000000"/>
        </w:rPr>
        <w:t xml:space="preserve">apply </w:t>
      </w:r>
      <w:r>
        <w:rPr>
          <w:color w:val="000000"/>
        </w:rPr>
        <w:t xml:space="preserve">from </w:t>
      </w:r>
      <w:r w:rsidR="00323693">
        <w:rPr>
          <w:color w:val="000000"/>
        </w:rPr>
        <w:t>commencement of this instrument</w:t>
      </w:r>
      <w:r w:rsidR="00050EF4">
        <w:rPr>
          <w:color w:val="000000"/>
        </w:rPr>
        <w:t xml:space="preserve"> and </w:t>
      </w:r>
      <w:r w:rsidR="007309FE">
        <w:rPr>
          <w:color w:val="000000"/>
        </w:rPr>
        <w:t>which must</w:t>
      </w:r>
      <w:r w:rsidR="00323693">
        <w:rPr>
          <w:color w:val="000000"/>
        </w:rPr>
        <w:t xml:space="preserve"> </w:t>
      </w:r>
      <w:r w:rsidR="00050EF4">
        <w:rPr>
          <w:color w:val="000000"/>
        </w:rPr>
        <w:t>appl</w:t>
      </w:r>
      <w:r w:rsidR="00323693">
        <w:rPr>
          <w:color w:val="000000"/>
        </w:rPr>
        <w:t>y</w:t>
      </w:r>
      <w:r w:rsidR="00050EF4">
        <w:rPr>
          <w:color w:val="000000"/>
        </w:rPr>
        <w:t xml:space="preserve"> from 1 May 2027</w:t>
      </w:r>
      <w:r>
        <w:rPr>
          <w:color w:val="000000"/>
        </w:rPr>
        <w:t>.</w:t>
      </w:r>
    </w:p>
    <w:p w14:paraId="3400EC81" w14:textId="670D79B0" w:rsidR="00640143" w:rsidRDefault="00640143" w:rsidP="00E2702B">
      <w:pPr>
        <w:autoSpaceDE w:val="0"/>
        <w:autoSpaceDN w:val="0"/>
        <w:adjustRightInd w:val="0"/>
        <w:ind w:right="-356"/>
      </w:pPr>
    </w:p>
    <w:sectPr w:rsidR="00640143" w:rsidSect="0072165A">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868A" w14:textId="77777777" w:rsidR="009F6944" w:rsidRDefault="009F6944" w:rsidP="0072165A">
      <w:r>
        <w:separator/>
      </w:r>
    </w:p>
  </w:endnote>
  <w:endnote w:type="continuationSeparator" w:id="0">
    <w:p w14:paraId="19A4B422" w14:textId="77777777" w:rsidR="009F6944" w:rsidRDefault="009F6944"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46D" w14:textId="77777777" w:rsidR="00C54E89" w:rsidRDefault="00C5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88C9" w14:textId="17244A14" w:rsidR="00862DFE" w:rsidRPr="00C54E89" w:rsidRDefault="00C54E89" w:rsidP="00C54E89">
    <w:pPr>
      <w:pStyle w:val="Footer"/>
      <w:jc w:val="center"/>
      <w:rPr>
        <w:rFonts w:ascii="Arial" w:hAnsi="Arial" w:cs="Arial"/>
        <w:sz w:val="14"/>
      </w:rPr>
    </w:pPr>
    <w:r w:rsidRPr="00C54E8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2F1" w14:textId="77777777" w:rsidR="00C54E89" w:rsidRDefault="00C5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C5B7" w14:textId="77777777" w:rsidR="009F6944" w:rsidRDefault="009F6944" w:rsidP="0072165A">
      <w:r>
        <w:separator/>
      </w:r>
    </w:p>
  </w:footnote>
  <w:footnote w:type="continuationSeparator" w:id="0">
    <w:p w14:paraId="0746840F" w14:textId="77777777" w:rsidR="009F6944" w:rsidRDefault="009F6944"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6732" w14:textId="77777777" w:rsidR="00C54E89" w:rsidRDefault="00C5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9817" w14:textId="77777777" w:rsidR="00C54E89" w:rsidRDefault="00C54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ED7A" w14:textId="77777777" w:rsidR="00C54E89" w:rsidRDefault="00C5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3F85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663A"/>
    <w:multiLevelType w:val="hybridMultilevel"/>
    <w:tmpl w:val="FFFFFFFF"/>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0B6F40F7"/>
    <w:multiLevelType w:val="hybridMultilevel"/>
    <w:tmpl w:val="FFFFFFFF"/>
    <w:lvl w:ilvl="0" w:tplc="0C090001">
      <w:start w:val="1"/>
      <w:numFmt w:val="bullet"/>
      <w:lvlText w:val=""/>
      <w:lvlJc w:val="left"/>
      <w:pPr>
        <w:ind w:left="720" w:hanging="360"/>
      </w:pPr>
      <w:rPr>
        <w:rFonts w:ascii="Symbol" w:hAnsi="Symbol" w:hint="default"/>
      </w:rPr>
    </w:lvl>
    <w:lvl w:ilvl="1" w:tplc="FFFFFFFF">
      <w:start w:val="45"/>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911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92A53"/>
    <w:multiLevelType w:val="hybridMultilevel"/>
    <w:tmpl w:val="A64A147A"/>
    <w:lvl w:ilvl="0" w:tplc="CA64EE5A">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AF5F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7" w15:restartNumberingAfterBreak="0">
    <w:nsid w:val="1930040E"/>
    <w:multiLevelType w:val="hybridMultilevel"/>
    <w:tmpl w:val="FFFFFFFF"/>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AB8399C"/>
    <w:multiLevelType w:val="hybridMultilevel"/>
    <w:tmpl w:val="B2804D26"/>
    <w:lvl w:ilvl="0" w:tplc="0C090001">
      <w:start w:val="1"/>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C878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0" w15:restartNumberingAfterBreak="0">
    <w:nsid w:val="335872B8"/>
    <w:multiLevelType w:val="hybridMultilevel"/>
    <w:tmpl w:val="FFFFFFFF"/>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04ECB"/>
    <w:multiLevelType w:val="hybridMultilevel"/>
    <w:tmpl w:val="2004B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02938"/>
    <w:multiLevelType w:val="hybridMultilevel"/>
    <w:tmpl w:val="FFFFFFFF"/>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01539"/>
    <w:multiLevelType w:val="hybridMultilevel"/>
    <w:tmpl w:val="A31E30B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15:restartNumberingAfterBreak="0">
    <w:nsid w:val="51173158"/>
    <w:multiLevelType w:val="singleLevel"/>
    <w:tmpl w:val="FFFFFFFF"/>
    <w:lvl w:ilvl="0">
      <w:start w:val="45"/>
      <w:numFmt w:val="bullet"/>
      <w:lvlText w:val="-"/>
      <w:lvlJc w:val="left"/>
      <w:pPr>
        <w:tabs>
          <w:tab w:val="num" w:pos="360"/>
        </w:tabs>
        <w:ind w:left="360" w:hanging="360"/>
      </w:pPr>
      <w:rPr>
        <w:rFonts w:hint="default"/>
      </w:rPr>
    </w:lvl>
  </w:abstractNum>
  <w:abstractNum w:abstractNumId="16" w15:restartNumberingAfterBreak="0">
    <w:nsid w:val="5A397682"/>
    <w:multiLevelType w:val="hybridMultilevel"/>
    <w:tmpl w:val="FFFFFFFF"/>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C9D2A29"/>
    <w:multiLevelType w:val="hybridMultilevel"/>
    <w:tmpl w:val="FFFFFFFF"/>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01149568">
    <w:abstractNumId w:val="18"/>
  </w:num>
  <w:num w:numId="2" w16cid:durableId="953246236">
    <w:abstractNumId w:val="13"/>
  </w:num>
  <w:num w:numId="3" w16cid:durableId="703166881">
    <w:abstractNumId w:val="17"/>
  </w:num>
  <w:num w:numId="4" w16cid:durableId="1859347132">
    <w:abstractNumId w:val="17"/>
  </w:num>
  <w:num w:numId="5" w16cid:durableId="95289898">
    <w:abstractNumId w:val="15"/>
  </w:num>
  <w:num w:numId="6" w16cid:durableId="1185439794">
    <w:abstractNumId w:val="0"/>
  </w:num>
  <w:num w:numId="7" w16cid:durableId="769159028">
    <w:abstractNumId w:val="6"/>
  </w:num>
  <w:num w:numId="8" w16cid:durableId="2053995717">
    <w:abstractNumId w:val="9"/>
  </w:num>
  <w:num w:numId="9" w16cid:durableId="1656910195">
    <w:abstractNumId w:val="11"/>
  </w:num>
  <w:num w:numId="10" w16cid:durableId="127092056">
    <w:abstractNumId w:val="10"/>
  </w:num>
  <w:num w:numId="11" w16cid:durableId="1917350564">
    <w:abstractNumId w:val="16"/>
  </w:num>
  <w:num w:numId="12" w16cid:durableId="1504783691">
    <w:abstractNumId w:val="7"/>
  </w:num>
  <w:num w:numId="13" w16cid:durableId="1286043534">
    <w:abstractNumId w:val="1"/>
  </w:num>
  <w:num w:numId="14" w16cid:durableId="1617254437">
    <w:abstractNumId w:val="4"/>
  </w:num>
  <w:num w:numId="15" w16cid:durableId="1380862995">
    <w:abstractNumId w:val="3"/>
  </w:num>
  <w:num w:numId="16" w16cid:durableId="702364567">
    <w:abstractNumId w:val="2"/>
  </w:num>
  <w:num w:numId="17" w16cid:durableId="1823616995">
    <w:abstractNumId w:val="8"/>
  </w:num>
  <w:num w:numId="18" w16cid:durableId="325596995">
    <w:abstractNumId w:val="14"/>
  </w:num>
  <w:num w:numId="19" w16cid:durableId="748385969">
    <w:abstractNumId w:val="12"/>
  </w:num>
  <w:num w:numId="20" w16cid:durableId="60302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3"/>
    <w:rsid w:val="00003FDE"/>
    <w:rsid w:val="000071F0"/>
    <w:rsid w:val="00021B33"/>
    <w:rsid w:val="00026981"/>
    <w:rsid w:val="00032112"/>
    <w:rsid w:val="00034D25"/>
    <w:rsid w:val="00036F02"/>
    <w:rsid w:val="000378AB"/>
    <w:rsid w:val="0004299E"/>
    <w:rsid w:val="000431EA"/>
    <w:rsid w:val="00046EC7"/>
    <w:rsid w:val="00050EF4"/>
    <w:rsid w:val="00052EA2"/>
    <w:rsid w:val="00054C22"/>
    <w:rsid w:val="00055EB9"/>
    <w:rsid w:val="00060A33"/>
    <w:rsid w:val="00064A77"/>
    <w:rsid w:val="0007102B"/>
    <w:rsid w:val="0007274D"/>
    <w:rsid w:val="000978AF"/>
    <w:rsid w:val="000A1A53"/>
    <w:rsid w:val="000C7B5C"/>
    <w:rsid w:val="000D2583"/>
    <w:rsid w:val="000D2EDE"/>
    <w:rsid w:val="000D42F2"/>
    <w:rsid w:val="000D4E03"/>
    <w:rsid w:val="000D7A02"/>
    <w:rsid w:val="000E39C3"/>
    <w:rsid w:val="000F3091"/>
    <w:rsid w:val="000F3F4C"/>
    <w:rsid w:val="0010179F"/>
    <w:rsid w:val="00101A99"/>
    <w:rsid w:val="00105FCC"/>
    <w:rsid w:val="0011364A"/>
    <w:rsid w:val="00120F8A"/>
    <w:rsid w:val="001266FD"/>
    <w:rsid w:val="00127103"/>
    <w:rsid w:val="0013502F"/>
    <w:rsid w:val="00140735"/>
    <w:rsid w:val="00141CFF"/>
    <w:rsid w:val="0014366C"/>
    <w:rsid w:val="00143BD9"/>
    <w:rsid w:val="0016000D"/>
    <w:rsid w:val="00166C2B"/>
    <w:rsid w:val="001673C6"/>
    <w:rsid w:val="00167466"/>
    <w:rsid w:val="00167F9D"/>
    <w:rsid w:val="00184F0E"/>
    <w:rsid w:val="00190A7E"/>
    <w:rsid w:val="00192F90"/>
    <w:rsid w:val="001941ED"/>
    <w:rsid w:val="001A378E"/>
    <w:rsid w:val="001B2C48"/>
    <w:rsid w:val="001B2EE7"/>
    <w:rsid w:val="001B377D"/>
    <w:rsid w:val="001B70CF"/>
    <w:rsid w:val="001C6B61"/>
    <w:rsid w:val="001D4367"/>
    <w:rsid w:val="001D5356"/>
    <w:rsid w:val="001E366E"/>
    <w:rsid w:val="001E4563"/>
    <w:rsid w:val="001E4690"/>
    <w:rsid w:val="001F0837"/>
    <w:rsid w:val="001F452F"/>
    <w:rsid w:val="00216137"/>
    <w:rsid w:val="00232A0D"/>
    <w:rsid w:val="00233B84"/>
    <w:rsid w:val="00234B06"/>
    <w:rsid w:val="0024248E"/>
    <w:rsid w:val="00245CDA"/>
    <w:rsid w:val="00246ACC"/>
    <w:rsid w:val="002473D6"/>
    <w:rsid w:val="00250B0F"/>
    <w:rsid w:val="00262752"/>
    <w:rsid w:val="00263D4C"/>
    <w:rsid w:val="002653F2"/>
    <w:rsid w:val="002675EF"/>
    <w:rsid w:val="00271339"/>
    <w:rsid w:val="0028036A"/>
    <w:rsid w:val="00284A72"/>
    <w:rsid w:val="002876A0"/>
    <w:rsid w:val="00287BDE"/>
    <w:rsid w:val="00295BC7"/>
    <w:rsid w:val="00297B6A"/>
    <w:rsid w:val="002A0D3D"/>
    <w:rsid w:val="002B0424"/>
    <w:rsid w:val="002B36FA"/>
    <w:rsid w:val="002B48B8"/>
    <w:rsid w:val="002B540C"/>
    <w:rsid w:val="002B63CA"/>
    <w:rsid w:val="002B6FED"/>
    <w:rsid w:val="002C16C9"/>
    <w:rsid w:val="002C7E2A"/>
    <w:rsid w:val="002D00B0"/>
    <w:rsid w:val="002D3737"/>
    <w:rsid w:val="002E07CE"/>
    <w:rsid w:val="002E61E5"/>
    <w:rsid w:val="002F436A"/>
    <w:rsid w:val="002F7093"/>
    <w:rsid w:val="002F7119"/>
    <w:rsid w:val="0030171A"/>
    <w:rsid w:val="0031200C"/>
    <w:rsid w:val="003144E5"/>
    <w:rsid w:val="00321970"/>
    <w:rsid w:val="00323693"/>
    <w:rsid w:val="00327F70"/>
    <w:rsid w:val="00333EE4"/>
    <w:rsid w:val="003405C0"/>
    <w:rsid w:val="00340B51"/>
    <w:rsid w:val="00351439"/>
    <w:rsid w:val="00356FEB"/>
    <w:rsid w:val="00360CCB"/>
    <w:rsid w:val="0036220E"/>
    <w:rsid w:val="00366411"/>
    <w:rsid w:val="00367AFF"/>
    <w:rsid w:val="00371A93"/>
    <w:rsid w:val="003753B8"/>
    <w:rsid w:val="003772D2"/>
    <w:rsid w:val="0038751C"/>
    <w:rsid w:val="0038776F"/>
    <w:rsid w:val="00393AEF"/>
    <w:rsid w:val="003A4171"/>
    <w:rsid w:val="003B460D"/>
    <w:rsid w:val="003C1595"/>
    <w:rsid w:val="003C1874"/>
    <w:rsid w:val="003C6D5D"/>
    <w:rsid w:val="003D00F2"/>
    <w:rsid w:val="003D109B"/>
    <w:rsid w:val="003E03A5"/>
    <w:rsid w:val="003E6E42"/>
    <w:rsid w:val="003F5433"/>
    <w:rsid w:val="003F5FDA"/>
    <w:rsid w:val="00401091"/>
    <w:rsid w:val="004031D7"/>
    <w:rsid w:val="00403E4C"/>
    <w:rsid w:val="00404806"/>
    <w:rsid w:val="00414DB9"/>
    <w:rsid w:val="00425835"/>
    <w:rsid w:val="004455B3"/>
    <w:rsid w:val="0045410A"/>
    <w:rsid w:val="004609A2"/>
    <w:rsid w:val="00461DD9"/>
    <w:rsid w:val="00461F52"/>
    <w:rsid w:val="00463DD6"/>
    <w:rsid w:val="004743E0"/>
    <w:rsid w:val="00480387"/>
    <w:rsid w:val="0048344C"/>
    <w:rsid w:val="004838CE"/>
    <w:rsid w:val="00490B20"/>
    <w:rsid w:val="004926FF"/>
    <w:rsid w:val="004A035D"/>
    <w:rsid w:val="004A10CE"/>
    <w:rsid w:val="004B25A1"/>
    <w:rsid w:val="004B3F00"/>
    <w:rsid w:val="004C144C"/>
    <w:rsid w:val="004C7F0F"/>
    <w:rsid w:val="004E1EF0"/>
    <w:rsid w:val="004E2275"/>
    <w:rsid w:val="004E445A"/>
    <w:rsid w:val="004E5CF6"/>
    <w:rsid w:val="004F5844"/>
    <w:rsid w:val="004F6272"/>
    <w:rsid w:val="00504BE3"/>
    <w:rsid w:val="00515D65"/>
    <w:rsid w:val="00517DF8"/>
    <w:rsid w:val="00533CA8"/>
    <w:rsid w:val="005340B6"/>
    <w:rsid w:val="00543F67"/>
    <w:rsid w:val="0055376C"/>
    <w:rsid w:val="00555402"/>
    <w:rsid w:val="0055663E"/>
    <w:rsid w:val="005671EC"/>
    <w:rsid w:val="00570BB9"/>
    <w:rsid w:val="00583548"/>
    <w:rsid w:val="00587A5D"/>
    <w:rsid w:val="005A623D"/>
    <w:rsid w:val="005A6DCF"/>
    <w:rsid w:val="005A7662"/>
    <w:rsid w:val="005B407C"/>
    <w:rsid w:val="005C69DC"/>
    <w:rsid w:val="005E08E9"/>
    <w:rsid w:val="00610614"/>
    <w:rsid w:val="00610656"/>
    <w:rsid w:val="0061378D"/>
    <w:rsid w:val="00635DEC"/>
    <w:rsid w:val="00640143"/>
    <w:rsid w:val="006437A1"/>
    <w:rsid w:val="00644116"/>
    <w:rsid w:val="00654D83"/>
    <w:rsid w:val="00654E91"/>
    <w:rsid w:val="0066099B"/>
    <w:rsid w:val="00664497"/>
    <w:rsid w:val="006658A0"/>
    <w:rsid w:val="006A3ED4"/>
    <w:rsid w:val="006B3142"/>
    <w:rsid w:val="006C100C"/>
    <w:rsid w:val="006C1CEC"/>
    <w:rsid w:val="006D1A50"/>
    <w:rsid w:val="006D1B39"/>
    <w:rsid w:val="006D70B4"/>
    <w:rsid w:val="006E557C"/>
    <w:rsid w:val="006F3430"/>
    <w:rsid w:val="006F6A65"/>
    <w:rsid w:val="007154B0"/>
    <w:rsid w:val="0071593D"/>
    <w:rsid w:val="00720F5B"/>
    <w:rsid w:val="0072165A"/>
    <w:rsid w:val="00726911"/>
    <w:rsid w:val="007309FE"/>
    <w:rsid w:val="00742E7C"/>
    <w:rsid w:val="007644D3"/>
    <w:rsid w:val="00766C96"/>
    <w:rsid w:val="00770952"/>
    <w:rsid w:val="0077323E"/>
    <w:rsid w:val="00774A23"/>
    <w:rsid w:val="007755B7"/>
    <w:rsid w:val="007806D9"/>
    <w:rsid w:val="00780776"/>
    <w:rsid w:val="00796171"/>
    <w:rsid w:val="007A10B7"/>
    <w:rsid w:val="007A2A8B"/>
    <w:rsid w:val="007B3CD0"/>
    <w:rsid w:val="007C7066"/>
    <w:rsid w:val="007D0C74"/>
    <w:rsid w:val="007D3D99"/>
    <w:rsid w:val="007E19D8"/>
    <w:rsid w:val="007E5A88"/>
    <w:rsid w:val="0080286E"/>
    <w:rsid w:val="008051F9"/>
    <w:rsid w:val="00811D4E"/>
    <w:rsid w:val="008149C6"/>
    <w:rsid w:val="008163C0"/>
    <w:rsid w:val="00816CE0"/>
    <w:rsid w:val="00816F0A"/>
    <w:rsid w:val="008234C5"/>
    <w:rsid w:val="00832A81"/>
    <w:rsid w:val="00834048"/>
    <w:rsid w:val="00837616"/>
    <w:rsid w:val="00853A2C"/>
    <w:rsid w:val="00857485"/>
    <w:rsid w:val="00862DFE"/>
    <w:rsid w:val="00876B38"/>
    <w:rsid w:val="00884A32"/>
    <w:rsid w:val="00885ED8"/>
    <w:rsid w:val="0089005C"/>
    <w:rsid w:val="00892E8A"/>
    <w:rsid w:val="00896ED5"/>
    <w:rsid w:val="008A376A"/>
    <w:rsid w:val="008B2BFA"/>
    <w:rsid w:val="008C09B9"/>
    <w:rsid w:val="008D062E"/>
    <w:rsid w:val="008D188C"/>
    <w:rsid w:val="008D1D20"/>
    <w:rsid w:val="008D2B37"/>
    <w:rsid w:val="008D497B"/>
    <w:rsid w:val="008E00EA"/>
    <w:rsid w:val="008E0A62"/>
    <w:rsid w:val="008E3FE3"/>
    <w:rsid w:val="008E76CF"/>
    <w:rsid w:val="008F0230"/>
    <w:rsid w:val="008F0FD5"/>
    <w:rsid w:val="008F3EEE"/>
    <w:rsid w:val="008F4626"/>
    <w:rsid w:val="008F4F49"/>
    <w:rsid w:val="00902C4A"/>
    <w:rsid w:val="00903411"/>
    <w:rsid w:val="009048D1"/>
    <w:rsid w:val="00912333"/>
    <w:rsid w:val="009152DB"/>
    <w:rsid w:val="009201A2"/>
    <w:rsid w:val="009305D0"/>
    <w:rsid w:val="00941A6E"/>
    <w:rsid w:val="009504C2"/>
    <w:rsid w:val="009619DF"/>
    <w:rsid w:val="009633BA"/>
    <w:rsid w:val="00964895"/>
    <w:rsid w:val="00972D51"/>
    <w:rsid w:val="00973DDE"/>
    <w:rsid w:val="00987EDC"/>
    <w:rsid w:val="009937F4"/>
    <w:rsid w:val="009A4545"/>
    <w:rsid w:val="009A45B0"/>
    <w:rsid w:val="009A7352"/>
    <w:rsid w:val="009B10B7"/>
    <w:rsid w:val="009B6376"/>
    <w:rsid w:val="009B68A7"/>
    <w:rsid w:val="009D0355"/>
    <w:rsid w:val="009D0427"/>
    <w:rsid w:val="009D0F98"/>
    <w:rsid w:val="009D105E"/>
    <w:rsid w:val="009E0F58"/>
    <w:rsid w:val="009E4009"/>
    <w:rsid w:val="009E5A23"/>
    <w:rsid w:val="009F4DAF"/>
    <w:rsid w:val="009F6944"/>
    <w:rsid w:val="009F74FD"/>
    <w:rsid w:val="00A02FFC"/>
    <w:rsid w:val="00A17BC4"/>
    <w:rsid w:val="00A21703"/>
    <w:rsid w:val="00A23625"/>
    <w:rsid w:val="00A3257C"/>
    <w:rsid w:val="00A47AFE"/>
    <w:rsid w:val="00A51808"/>
    <w:rsid w:val="00A53792"/>
    <w:rsid w:val="00A60AEC"/>
    <w:rsid w:val="00A70C28"/>
    <w:rsid w:val="00A72282"/>
    <w:rsid w:val="00A763D2"/>
    <w:rsid w:val="00A77DBB"/>
    <w:rsid w:val="00A91191"/>
    <w:rsid w:val="00A945B0"/>
    <w:rsid w:val="00A9722A"/>
    <w:rsid w:val="00AA1410"/>
    <w:rsid w:val="00AA3589"/>
    <w:rsid w:val="00AA3DC9"/>
    <w:rsid w:val="00AA4F2B"/>
    <w:rsid w:val="00AC4455"/>
    <w:rsid w:val="00AE43BD"/>
    <w:rsid w:val="00B00A05"/>
    <w:rsid w:val="00B05CE8"/>
    <w:rsid w:val="00B069E8"/>
    <w:rsid w:val="00B1369B"/>
    <w:rsid w:val="00B141B1"/>
    <w:rsid w:val="00B26ADC"/>
    <w:rsid w:val="00B424AD"/>
    <w:rsid w:val="00B439F9"/>
    <w:rsid w:val="00B457CB"/>
    <w:rsid w:val="00B515A5"/>
    <w:rsid w:val="00B6038F"/>
    <w:rsid w:val="00B76A21"/>
    <w:rsid w:val="00B800EB"/>
    <w:rsid w:val="00B9792D"/>
    <w:rsid w:val="00BA6DE5"/>
    <w:rsid w:val="00BC4079"/>
    <w:rsid w:val="00BC7853"/>
    <w:rsid w:val="00BC7D82"/>
    <w:rsid w:val="00BD4042"/>
    <w:rsid w:val="00BF49F8"/>
    <w:rsid w:val="00BF619A"/>
    <w:rsid w:val="00C037C6"/>
    <w:rsid w:val="00C0456F"/>
    <w:rsid w:val="00C051BF"/>
    <w:rsid w:val="00C143AF"/>
    <w:rsid w:val="00C1504A"/>
    <w:rsid w:val="00C33620"/>
    <w:rsid w:val="00C41908"/>
    <w:rsid w:val="00C42C12"/>
    <w:rsid w:val="00C42E3D"/>
    <w:rsid w:val="00C456D1"/>
    <w:rsid w:val="00C47B45"/>
    <w:rsid w:val="00C5103D"/>
    <w:rsid w:val="00C53E02"/>
    <w:rsid w:val="00C54E89"/>
    <w:rsid w:val="00C57E61"/>
    <w:rsid w:val="00C630EF"/>
    <w:rsid w:val="00C81A28"/>
    <w:rsid w:val="00C82513"/>
    <w:rsid w:val="00C848CA"/>
    <w:rsid w:val="00C91B72"/>
    <w:rsid w:val="00C9354B"/>
    <w:rsid w:val="00C938CF"/>
    <w:rsid w:val="00C95871"/>
    <w:rsid w:val="00CA258A"/>
    <w:rsid w:val="00CC0DE5"/>
    <w:rsid w:val="00CC3D66"/>
    <w:rsid w:val="00CC4045"/>
    <w:rsid w:val="00CD68E8"/>
    <w:rsid w:val="00CE1CAB"/>
    <w:rsid w:val="00CE67E4"/>
    <w:rsid w:val="00CE783C"/>
    <w:rsid w:val="00CF55C0"/>
    <w:rsid w:val="00D0495F"/>
    <w:rsid w:val="00D15E4E"/>
    <w:rsid w:val="00D26E38"/>
    <w:rsid w:val="00D27D25"/>
    <w:rsid w:val="00D31476"/>
    <w:rsid w:val="00D338A8"/>
    <w:rsid w:val="00D34127"/>
    <w:rsid w:val="00D40254"/>
    <w:rsid w:val="00D465D1"/>
    <w:rsid w:val="00D5140C"/>
    <w:rsid w:val="00D55293"/>
    <w:rsid w:val="00D57369"/>
    <w:rsid w:val="00D61E80"/>
    <w:rsid w:val="00D754CB"/>
    <w:rsid w:val="00D863AB"/>
    <w:rsid w:val="00D868EC"/>
    <w:rsid w:val="00D9185A"/>
    <w:rsid w:val="00D9209D"/>
    <w:rsid w:val="00D92960"/>
    <w:rsid w:val="00DA2915"/>
    <w:rsid w:val="00DA4B8A"/>
    <w:rsid w:val="00DA6664"/>
    <w:rsid w:val="00DB2BD1"/>
    <w:rsid w:val="00DB5610"/>
    <w:rsid w:val="00DB7392"/>
    <w:rsid w:val="00DC281E"/>
    <w:rsid w:val="00DD3BDE"/>
    <w:rsid w:val="00DD3C85"/>
    <w:rsid w:val="00DF5BEA"/>
    <w:rsid w:val="00DF73B1"/>
    <w:rsid w:val="00E1173A"/>
    <w:rsid w:val="00E12324"/>
    <w:rsid w:val="00E16EAE"/>
    <w:rsid w:val="00E21678"/>
    <w:rsid w:val="00E22AF8"/>
    <w:rsid w:val="00E26CC5"/>
    <w:rsid w:val="00E2702B"/>
    <w:rsid w:val="00E426DD"/>
    <w:rsid w:val="00E435BC"/>
    <w:rsid w:val="00E44DCC"/>
    <w:rsid w:val="00E60319"/>
    <w:rsid w:val="00E826C1"/>
    <w:rsid w:val="00E85722"/>
    <w:rsid w:val="00E865F5"/>
    <w:rsid w:val="00E87D8F"/>
    <w:rsid w:val="00E92EF3"/>
    <w:rsid w:val="00E94D2B"/>
    <w:rsid w:val="00EB2162"/>
    <w:rsid w:val="00EB3429"/>
    <w:rsid w:val="00EC7D6A"/>
    <w:rsid w:val="00ED6517"/>
    <w:rsid w:val="00EE07F2"/>
    <w:rsid w:val="00EE5E1D"/>
    <w:rsid w:val="00EF1AE9"/>
    <w:rsid w:val="00EF469F"/>
    <w:rsid w:val="00F00108"/>
    <w:rsid w:val="00F124AE"/>
    <w:rsid w:val="00F20ABC"/>
    <w:rsid w:val="00F230F9"/>
    <w:rsid w:val="00F37D26"/>
    <w:rsid w:val="00F40C11"/>
    <w:rsid w:val="00F46A9B"/>
    <w:rsid w:val="00F53808"/>
    <w:rsid w:val="00F56504"/>
    <w:rsid w:val="00F64A07"/>
    <w:rsid w:val="00F674C8"/>
    <w:rsid w:val="00F749D7"/>
    <w:rsid w:val="00F837B6"/>
    <w:rsid w:val="00F86A70"/>
    <w:rsid w:val="00F902DE"/>
    <w:rsid w:val="00F94183"/>
    <w:rsid w:val="00FA20EC"/>
    <w:rsid w:val="00FA32A3"/>
    <w:rsid w:val="00FB2B7A"/>
    <w:rsid w:val="00FB312C"/>
    <w:rsid w:val="00FB7B69"/>
    <w:rsid w:val="00FC6703"/>
    <w:rsid w:val="00FD0118"/>
    <w:rsid w:val="00FD1726"/>
    <w:rsid w:val="00FD2419"/>
    <w:rsid w:val="00FD3D72"/>
    <w:rsid w:val="00FD49F9"/>
    <w:rsid w:val="00FD7838"/>
    <w:rsid w:val="00FE024F"/>
    <w:rsid w:val="00FE3575"/>
    <w:rsid w:val="00FE3A74"/>
    <w:rsid w:val="00FE43B6"/>
    <w:rsid w:val="00FE631C"/>
    <w:rsid w:val="00FF26AF"/>
    <w:rsid w:val="00FF68A4"/>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C7B2F04"/>
  <w14:defaultImageDpi w14:val="0"/>
  <w15:docId w15:val="{937CCB61-5082-442A-869E-EA78F9C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246ACC"/>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664497"/>
    <w:pPr>
      <w:widowControl w:val="0"/>
      <w:ind w:left="720"/>
      <w:contextualSpacing/>
    </w:pPr>
    <w:rPr>
      <w:iCs/>
      <w:lang w:val="en-US"/>
    </w:rPr>
  </w:style>
  <w:style w:type="paragraph" w:styleId="NormalWeb">
    <w:name w:val="Normal (Web)"/>
    <w:basedOn w:val="Normal"/>
    <w:uiPriority w:val="99"/>
    <w:unhideWhenUsed/>
    <w:rsid w:val="008E3FE3"/>
    <w:pPr>
      <w:spacing w:before="100" w:beforeAutospacing="1" w:after="100" w:afterAutospacing="1"/>
    </w:pPr>
    <w:rPr>
      <w:lang w:eastAsia="en-AU"/>
    </w:rPr>
  </w:style>
  <w:style w:type="character" w:styleId="Strong">
    <w:name w:val="Strong"/>
    <w:basedOn w:val="DefaultParagraphFont"/>
    <w:uiPriority w:val="22"/>
    <w:qFormat/>
    <w:rsid w:val="00B439F9"/>
    <w:rPr>
      <w:rFonts w:cs="Times New Roman"/>
      <w:b/>
      <w:bCs/>
    </w:rPr>
  </w:style>
  <w:style w:type="paragraph" w:styleId="Revision">
    <w:name w:val="Revision"/>
    <w:hidden/>
    <w:uiPriority w:val="99"/>
    <w:semiHidden/>
    <w:rsid w:val="003D109B"/>
    <w:rPr>
      <w:sz w:val="24"/>
      <w:szCs w:val="24"/>
      <w:lang w:eastAsia="en-US"/>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45410A"/>
    <w:rPr>
      <w:rFonts w:cs="Times New Roman"/>
      <w:iCs/>
      <w:sz w:val="24"/>
      <w:szCs w:val="24"/>
      <w:lang w:val="en-US" w:eastAsia="en-US"/>
    </w:rPr>
  </w:style>
  <w:style w:type="character" w:customStyle="1" w:styleId="cf01">
    <w:name w:val="cf01"/>
    <w:basedOn w:val="DefaultParagraphFont"/>
    <w:rsid w:val="0014366C"/>
    <w:rPr>
      <w:rFonts w:ascii="Segoe UI" w:hAnsi="Segoe UI" w:cs="Segoe UI" w:hint="default"/>
      <w:sz w:val="18"/>
      <w:szCs w:val="18"/>
    </w:rPr>
  </w:style>
  <w:style w:type="paragraph" w:styleId="BodyText">
    <w:name w:val="Body Text"/>
    <w:basedOn w:val="Normal"/>
    <w:link w:val="BodyTextChar"/>
    <w:uiPriority w:val="1"/>
    <w:qFormat/>
    <w:rsid w:val="007A10B7"/>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A10B7"/>
    <w:rPr>
      <w:rFonts w:ascii="Calibri" w:eastAsia="Calibri" w:hAnsi="Calibri" w:cs="Calibri"/>
      <w:sz w:val="24"/>
      <w:szCs w:val="24"/>
      <w:lang w:val="en-US" w:eastAsia="en-US"/>
    </w:rPr>
  </w:style>
  <w:style w:type="character" w:styleId="UnresolvedMention">
    <w:name w:val="Unresolved Mention"/>
    <w:basedOn w:val="DefaultParagraphFont"/>
    <w:uiPriority w:val="99"/>
    <w:semiHidden/>
    <w:unhideWhenUsed/>
    <w:rsid w:val="0058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3291">
      <w:bodyDiv w:val="1"/>
      <w:marLeft w:val="0"/>
      <w:marRight w:val="0"/>
      <w:marTop w:val="0"/>
      <w:marBottom w:val="0"/>
      <w:divBdr>
        <w:top w:val="none" w:sz="0" w:space="0" w:color="auto"/>
        <w:left w:val="none" w:sz="0" w:space="0" w:color="auto"/>
        <w:bottom w:val="none" w:sz="0" w:space="0" w:color="auto"/>
        <w:right w:val="none" w:sz="0" w:space="0" w:color="auto"/>
      </w:divBdr>
    </w:div>
    <w:div w:id="1084185652">
      <w:bodyDiv w:val="1"/>
      <w:marLeft w:val="0"/>
      <w:marRight w:val="0"/>
      <w:marTop w:val="0"/>
      <w:marBottom w:val="0"/>
      <w:divBdr>
        <w:top w:val="none" w:sz="0" w:space="0" w:color="auto"/>
        <w:left w:val="none" w:sz="0" w:space="0" w:color="auto"/>
        <w:bottom w:val="none" w:sz="0" w:space="0" w:color="auto"/>
        <w:right w:val="none" w:sz="0" w:space="0" w:color="auto"/>
      </w:divBdr>
    </w:div>
    <w:div w:id="1134719812">
      <w:marLeft w:val="0"/>
      <w:marRight w:val="0"/>
      <w:marTop w:val="0"/>
      <w:marBottom w:val="0"/>
      <w:divBdr>
        <w:top w:val="none" w:sz="0" w:space="0" w:color="auto"/>
        <w:left w:val="none" w:sz="0" w:space="0" w:color="auto"/>
        <w:bottom w:val="none" w:sz="0" w:space="0" w:color="auto"/>
        <w:right w:val="none" w:sz="0" w:space="0" w:color="auto"/>
      </w:divBdr>
    </w:div>
    <w:div w:id="1134719813">
      <w:marLeft w:val="0"/>
      <w:marRight w:val="0"/>
      <w:marTop w:val="0"/>
      <w:marBottom w:val="0"/>
      <w:divBdr>
        <w:top w:val="none" w:sz="0" w:space="0" w:color="auto"/>
        <w:left w:val="none" w:sz="0" w:space="0" w:color="auto"/>
        <w:bottom w:val="none" w:sz="0" w:space="0" w:color="auto"/>
        <w:right w:val="none" w:sz="0" w:space="0" w:color="auto"/>
      </w:divBdr>
    </w:div>
    <w:div w:id="1134719814">
      <w:marLeft w:val="0"/>
      <w:marRight w:val="0"/>
      <w:marTop w:val="0"/>
      <w:marBottom w:val="0"/>
      <w:divBdr>
        <w:top w:val="none" w:sz="0" w:space="0" w:color="auto"/>
        <w:left w:val="none" w:sz="0" w:space="0" w:color="auto"/>
        <w:bottom w:val="none" w:sz="0" w:space="0" w:color="auto"/>
        <w:right w:val="none" w:sz="0" w:space="0" w:color="auto"/>
      </w:divBdr>
    </w:div>
    <w:div w:id="1134719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aderroom.standards.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ndards.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bcb.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A59992000</value>
    </field>
    <field name="Objective-Title">
      <value order="0">Attachment D - Building (ACT Appendix to the Building Code) Determination 2026 (No 2) - Explanatory Statement</value>
    </field>
    <field name="Objective-Description">
      <value order="0"/>
    </field>
    <field name="Objective-CreationStamp">
      <value order="0">2026-01-28T22:36:50Z</value>
    </field>
    <field name="Objective-IsApproved">
      <value order="0">false</value>
    </field>
    <field name="Objective-IsPublished">
      <value order="0">false</value>
    </field>
    <field name="Objective-DatePublished">
      <value order="0"/>
    </field>
    <field name="Objective-ModificationStamp">
      <value order="0">2026-04-29T06:48:29Z</value>
    </field>
    <field name="Objective-Owner">
      <value order="0">Michael Dodd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alue>
    </field>
    <field name="Objective-Parent">
      <value order="0">26/0047764 Ministerial-Information Brief - Steel - NCC 2025 implementation instruments</value>
    </field>
    <field name="Objective-State">
      <value order="0">Being Edited</value>
    </field>
    <field name="Objective-VersionId">
      <value order="0">vA78127713</value>
    </field>
    <field name="Objective-Version">
      <value order="0">3.1</value>
    </field>
    <field name="Objective-VersionNumber">
      <value order="0">14</value>
    </field>
    <field name="Objective-VersionComment">
      <value order="0"/>
    </field>
    <field name="Objective-FileNumber">
      <value order="0">1-2026/0047764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D4B77D8-8C8D-40BC-98D8-FA2268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9276</Characters>
  <Application>Microsoft Office Word</Application>
  <DocSecurity>0</DocSecurity>
  <Lines>185</Lines>
  <Paragraphs>48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2017-11-15T21:11:00Z</cp:lastPrinted>
  <dcterms:created xsi:type="dcterms:W3CDTF">2026-04-29T06:50:00Z</dcterms:created>
  <dcterms:modified xsi:type="dcterms:W3CDTF">2026-04-29T06:50:00Z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623d6324-093d-4f46-a038-78c85457b607</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2026-01-30T02:03:49Z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323fd565-22b2-4ef9-923a-f08f6e1726c9</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Customer-Id">
    <vt:lpwstr>4FEB93B0D38B3BDFE05400144FFB2061</vt:lpwstr>
  </property>
  <property fmtid="{D5CDD505-2E9C-101B-9397-08002B2CF9AE}" pid="31" name="Objective-Id">
    <vt:lpwstr>A59992000</vt:lpwstr>
  </property>
  <property fmtid="{D5CDD505-2E9C-101B-9397-08002B2CF9AE}" pid="32" name="Objective-Title">
    <vt:lpwstr>Attachment D - Building (ACT Appendix to the Building Code) Determination 2026 (No 2) - Explanatory Statement</vt:lpwstr>
  </property>
  <property fmtid="{D5CDD505-2E9C-101B-9397-08002B2CF9AE}" pid="33" name="Objective-Description">
    <vt:lpwstr/>
  </property>
  <property fmtid="{D5CDD505-2E9C-101B-9397-08002B2CF9AE}" pid="34" name="Objective-CreationStamp">
    <vt:filetime>2026-01-28T23:36:50Z</vt:filetime>
  </property>
  <property fmtid="{D5CDD505-2E9C-101B-9397-08002B2CF9AE}" pid="35" name="Objective-IsApproved">
    <vt:bool>false</vt:bool>
  </property>
  <property fmtid="{D5CDD505-2E9C-101B-9397-08002B2CF9AE}" pid="36" name="Objective-IsPublished">
    <vt:bool>false</vt:bool>
  </property>
  <property fmtid="{D5CDD505-2E9C-101B-9397-08002B2CF9AE}" pid="37" name="Objective-DatePublished">
    <vt:lpwstr/>
  </property>
  <property fmtid="{D5CDD505-2E9C-101B-9397-08002B2CF9AE}" pid="38" name="Objective-ModificationStamp">
    <vt:filetime>2026-04-29T06:48:29Z</vt:filetime>
  </property>
  <property fmtid="{D5CDD505-2E9C-101B-9397-08002B2CF9AE}" pid="39" name="Objective-Owner">
    <vt:lpwstr>Michael Dodd</vt:lpwstr>
  </property>
  <property fmtid="{D5CDD505-2E9C-101B-9397-08002B2CF9AE}" pid="40" name="Objective-Path">
    <vt:lpwstr>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t:lpwstr>
  </property>
  <property fmtid="{D5CDD505-2E9C-101B-9397-08002B2CF9AE}" pid="41" name="Objective-Parent">
    <vt:lpwstr>26/0047764 Ministerial-Information Brief - Steel - NCC 2025 implementation instruments</vt:lpwstr>
  </property>
  <property fmtid="{D5CDD505-2E9C-101B-9397-08002B2CF9AE}" pid="42" name="Objective-State">
    <vt:lpwstr>Being Edited</vt:lpwstr>
  </property>
  <property fmtid="{D5CDD505-2E9C-101B-9397-08002B2CF9AE}" pid="43" name="Objective-VersionId">
    <vt:lpwstr>vA78127713</vt:lpwstr>
  </property>
  <property fmtid="{D5CDD505-2E9C-101B-9397-08002B2CF9AE}" pid="44" name="Objective-Version">
    <vt:lpwstr>3.1</vt:lpwstr>
  </property>
  <property fmtid="{D5CDD505-2E9C-101B-9397-08002B2CF9AE}" pid="45" name="Objective-VersionNumber">
    <vt:r8>14</vt:r8>
  </property>
  <property fmtid="{D5CDD505-2E9C-101B-9397-08002B2CF9AE}" pid="46" name="Objective-VersionComment">
    <vt:lpwstr/>
  </property>
  <property fmtid="{D5CDD505-2E9C-101B-9397-08002B2CF9AE}" pid="47" name="Objective-FileNumber">
    <vt:lpwstr>1-2026/0047764</vt:lpwstr>
  </property>
  <property fmtid="{D5CDD505-2E9C-101B-9397-08002B2CF9AE}" pid="48" name="Objective-Classification">
    <vt:lpwstr>[Inherited - none]</vt:lpwstr>
  </property>
  <property fmtid="{D5CDD505-2E9C-101B-9397-08002B2CF9AE}" pid="49" name="Objective-Caveats">
    <vt:lpwstr/>
  </property>
  <property fmtid="{D5CDD505-2E9C-101B-9397-08002B2CF9AE}" pid="50" name="Objective-Owner Agency">
    <vt:lpwstr>EPSDD</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Status">
    <vt:lpwstr/>
  </property>
  <property fmtid="{D5CDD505-2E9C-101B-9397-08002B2CF9AE}" pid="62" name="Objective-S28 Exemption Number">
    <vt:lpwstr/>
  </property>
  <property fmtid="{D5CDD505-2E9C-101B-9397-08002B2CF9AE}" pid="63" name="Objective-S28 Exemption">
    <vt:lpwstr/>
  </property>
  <property fmtid="{D5CDD505-2E9C-101B-9397-08002B2CF9AE}" pid="64" name="Objective-S28 Exemption Reason">
    <vt:lpwstr/>
  </property>
  <property fmtid="{D5CDD505-2E9C-101B-9397-08002B2CF9AE}" pid="65" name="Objective-S28 Comments if partial exemption">
    <vt:lpwstr/>
  </property>
  <property fmtid="{D5CDD505-2E9C-101B-9397-08002B2CF9AE}" pid="66" name="Objective-S28 Date Approved">
    <vt:lpwstr/>
  </property>
</Properties>
</file>