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31200">
      <w:pPr>
        <w:tabs>
          <w:tab w:val="left" w:pos="1276"/>
        </w:tabs>
        <w:spacing w:after="0"/>
        <w:rPr>
          <w:rFonts w:cs="Arial"/>
          <w:b/>
          <w:bCs/>
          <w:szCs w:val="24"/>
        </w:rPr>
      </w:pPr>
    </w:p>
    <w:p w14:paraId="5C6C9ECA" w14:textId="79CD93EE" w:rsidR="00E90DF9" w:rsidRPr="00BB387E" w:rsidRDefault="00957F5D" w:rsidP="00E90DF9">
      <w:pPr>
        <w:spacing w:after="0"/>
        <w:jc w:val="center"/>
        <w:rPr>
          <w:rFonts w:cs="Arial"/>
          <w:b/>
          <w:bCs/>
          <w:szCs w:val="24"/>
        </w:rPr>
      </w:pPr>
      <w:r>
        <w:rPr>
          <w:rFonts w:cs="Arial"/>
          <w:b/>
          <w:bCs/>
          <w:szCs w:val="24"/>
        </w:rPr>
        <w:t>2026</w:t>
      </w:r>
    </w:p>
    <w:p w14:paraId="4E149149" w14:textId="77777777" w:rsidR="00E90DF9" w:rsidRPr="00BB387E" w:rsidRDefault="00E90DF9" w:rsidP="00E90DF9">
      <w:pPr>
        <w:spacing w:after="0"/>
        <w:jc w:val="center"/>
        <w:rPr>
          <w:rFonts w:cs="Arial"/>
          <w:b/>
          <w:szCs w:val="24"/>
        </w:rPr>
      </w:pPr>
    </w:p>
    <w:p w14:paraId="06167890" w14:textId="77777777" w:rsidR="00E90DF9" w:rsidRPr="00BB387E" w:rsidRDefault="00E90DF9" w:rsidP="00E90DF9">
      <w:pPr>
        <w:spacing w:after="0"/>
        <w:jc w:val="center"/>
        <w:rPr>
          <w:rFonts w:cs="Arial"/>
          <w:b/>
          <w:szCs w:val="24"/>
        </w:rPr>
      </w:pPr>
    </w:p>
    <w:p w14:paraId="271BD407" w14:textId="77777777" w:rsidR="00E90DF9" w:rsidRPr="00BB387E" w:rsidRDefault="00E90DF9" w:rsidP="00E90DF9">
      <w:pPr>
        <w:spacing w:after="0"/>
        <w:jc w:val="center"/>
        <w:rPr>
          <w:rFonts w:cs="Arial"/>
          <w:b/>
          <w:szCs w:val="24"/>
        </w:rPr>
      </w:pPr>
    </w:p>
    <w:p w14:paraId="71A1CE5B" w14:textId="77777777" w:rsidR="00E90DF9" w:rsidRPr="00BB387E" w:rsidRDefault="00E90DF9" w:rsidP="00E90DF9">
      <w:pPr>
        <w:spacing w:after="0"/>
        <w:jc w:val="center"/>
        <w:rPr>
          <w:rFonts w:cs="Arial"/>
          <w:b/>
          <w:szCs w:val="24"/>
        </w:rPr>
      </w:pPr>
    </w:p>
    <w:p w14:paraId="677673A4" w14:textId="77777777" w:rsidR="00E90DF9" w:rsidRPr="00BB387E" w:rsidRDefault="00E90DF9" w:rsidP="00E90DF9">
      <w:pPr>
        <w:spacing w:after="0"/>
        <w:jc w:val="center"/>
        <w:rPr>
          <w:rFonts w:cs="Arial"/>
          <w:b/>
          <w:bCs/>
          <w:szCs w:val="24"/>
        </w:rPr>
      </w:pPr>
    </w:p>
    <w:p w14:paraId="463F3AB6" w14:textId="77777777" w:rsidR="00E90DF9" w:rsidRPr="00BB387E" w:rsidRDefault="00E90DF9" w:rsidP="00E90DF9">
      <w:pPr>
        <w:spacing w:after="0"/>
        <w:jc w:val="center"/>
        <w:rPr>
          <w:rFonts w:cs="Arial"/>
          <w:b/>
          <w:bCs/>
          <w:szCs w:val="24"/>
        </w:rPr>
      </w:pPr>
    </w:p>
    <w:p w14:paraId="02BC33AF" w14:textId="77777777" w:rsidR="00E90DF9" w:rsidRPr="00BB387E" w:rsidRDefault="00E90DF9" w:rsidP="00E90DF9">
      <w:pPr>
        <w:spacing w:after="0"/>
        <w:jc w:val="center"/>
        <w:rPr>
          <w:rFonts w:cs="Arial"/>
          <w:b/>
          <w:bCs/>
          <w:szCs w:val="24"/>
        </w:rPr>
      </w:pPr>
      <w:r w:rsidRPr="00BB387E">
        <w:rPr>
          <w:rFonts w:cs="Arial"/>
          <w:b/>
          <w:bCs/>
          <w:szCs w:val="24"/>
        </w:rPr>
        <w:t>THE LEGISLATIVE ASSEMBLY FOR THE</w:t>
      </w:r>
    </w:p>
    <w:p w14:paraId="091772B4" w14:textId="77777777" w:rsidR="00E90DF9" w:rsidRPr="00BB387E" w:rsidRDefault="00E90DF9" w:rsidP="00E90DF9">
      <w:pPr>
        <w:spacing w:after="0"/>
        <w:jc w:val="center"/>
        <w:rPr>
          <w:rFonts w:cs="Arial"/>
          <w:b/>
          <w:szCs w:val="24"/>
        </w:rPr>
      </w:pPr>
      <w:r w:rsidRPr="00BB387E">
        <w:rPr>
          <w:rFonts w:cs="Arial"/>
          <w:b/>
          <w:bCs/>
          <w:szCs w:val="24"/>
        </w:rPr>
        <w:t>AUSTRALIAN CAPITAL TERRITORY</w:t>
      </w:r>
    </w:p>
    <w:p w14:paraId="63982AB9" w14:textId="77777777" w:rsidR="00E90DF9" w:rsidRPr="00BB387E" w:rsidRDefault="00E90DF9" w:rsidP="00E90DF9">
      <w:pPr>
        <w:spacing w:after="0"/>
        <w:jc w:val="center"/>
        <w:rPr>
          <w:rFonts w:cs="Arial"/>
          <w:b/>
          <w:szCs w:val="24"/>
        </w:rPr>
      </w:pPr>
    </w:p>
    <w:p w14:paraId="5FABE90A" w14:textId="77777777" w:rsidR="00E90DF9" w:rsidRPr="00BB387E" w:rsidRDefault="00E90DF9" w:rsidP="00E90DF9">
      <w:pPr>
        <w:spacing w:after="0"/>
        <w:jc w:val="center"/>
        <w:rPr>
          <w:rFonts w:cs="Arial"/>
          <w:b/>
          <w:szCs w:val="24"/>
        </w:rPr>
      </w:pPr>
    </w:p>
    <w:p w14:paraId="6118207D" w14:textId="77777777" w:rsidR="00E90DF9" w:rsidRPr="00BB387E" w:rsidRDefault="00E90DF9" w:rsidP="00E90DF9">
      <w:pPr>
        <w:spacing w:after="0"/>
        <w:jc w:val="center"/>
        <w:rPr>
          <w:rFonts w:cs="Arial"/>
          <w:b/>
          <w:szCs w:val="24"/>
        </w:rPr>
      </w:pPr>
    </w:p>
    <w:p w14:paraId="75A33EE9" w14:textId="4095B364" w:rsidR="00E90DF9" w:rsidRPr="00BB387E" w:rsidRDefault="009E0822" w:rsidP="00E90DF9">
      <w:pPr>
        <w:spacing w:after="0"/>
        <w:jc w:val="center"/>
        <w:rPr>
          <w:rFonts w:cs="Arial"/>
          <w:b/>
          <w:szCs w:val="24"/>
        </w:rPr>
      </w:pPr>
      <w:r>
        <w:rPr>
          <w:rFonts w:cs="Arial"/>
          <w:b/>
          <w:szCs w:val="24"/>
        </w:rPr>
        <w:t>ELEV</w:t>
      </w:r>
      <w:r w:rsidR="00E90DF9">
        <w:rPr>
          <w:rFonts w:cs="Arial"/>
          <w:b/>
          <w:szCs w:val="24"/>
        </w:rPr>
        <w:t>ENTH ASSEMBLY</w:t>
      </w:r>
    </w:p>
    <w:p w14:paraId="12B1793E" w14:textId="77777777" w:rsidR="00E90DF9" w:rsidRPr="00BB387E" w:rsidRDefault="00E90DF9" w:rsidP="00E90DF9">
      <w:pPr>
        <w:spacing w:after="0"/>
        <w:jc w:val="center"/>
        <w:rPr>
          <w:rFonts w:cs="Arial"/>
          <w:b/>
          <w:szCs w:val="24"/>
        </w:rPr>
      </w:pPr>
    </w:p>
    <w:p w14:paraId="3D84F818" w14:textId="77777777" w:rsidR="00E90DF9" w:rsidRPr="00BB387E" w:rsidRDefault="00E90DF9" w:rsidP="00E90DF9">
      <w:pPr>
        <w:spacing w:after="0"/>
        <w:jc w:val="center"/>
        <w:rPr>
          <w:rFonts w:cs="Arial"/>
          <w:b/>
          <w:szCs w:val="24"/>
        </w:rPr>
      </w:pPr>
    </w:p>
    <w:p w14:paraId="312E8FE1" w14:textId="77777777" w:rsidR="00E90DF9" w:rsidRPr="00BB387E" w:rsidRDefault="00E90DF9" w:rsidP="00E90DF9">
      <w:pPr>
        <w:spacing w:after="0"/>
        <w:jc w:val="center"/>
        <w:rPr>
          <w:rFonts w:cs="Arial"/>
          <w:b/>
          <w:szCs w:val="24"/>
        </w:rPr>
      </w:pPr>
    </w:p>
    <w:p w14:paraId="62527870" w14:textId="77777777" w:rsidR="00E90DF9" w:rsidRPr="00BB387E" w:rsidRDefault="00E90DF9" w:rsidP="00E90DF9">
      <w:pPr>
        <w:spacing w:after="0"/>
        <w:jc w:val="center"/>
        <w:rPr>
          <w:rFonts w:cs="Arial"/>
          <w:b/>
          <w:szCs w:val="24"/>
        </w:rPr>
      </w:pPr>
    </w:p>
    <w:p w14:paraId="10E34864" w14:textId="77777777" w:rsidR="00E90DF9" w:rsidRPr="00BB387E" w:rsidRDefault="00E90DF9" w:rsidP="00E90DF9">
      <w:pPr>
        <w:spacing w:after="0"/>
        <w:jc w:val="center"/>
        <w:rPr>
          <w:rFonts w:cs="Arial"/>
          <w:b/>
          <w:szCs w:val="24"/>
        </w:rPr>
      </w:pPr>
    </w:p>
    <w:p w14:paraId="7A5CE6C9" w14:textId="77777777" w:rsidR="00E90DF9" w:rsidRPr="00BB387E" w:rsidRDefault="00E90DF9" w:rsidP="00E90DF9">
      <w:pPr>
        <w:spacing w:after="0"/>
        <w:jc w:val="center"/>
        <w:rPr>
          <w:rFonts w:cs="Arial"/>
          <w:b/>
          <w:szCs w:val="24"/>
        </w:rPr>
      </w:pPr>
    </w:p>
    <w:p w14:paraId="590EB1A4" w14:textId="4D935336" w:rsidR="00E90DF9" w:rsidRPr="00FE1AD1" w:rsidRDefault="00FE1AD1" w:rsidP="00E90DF9">
      <w:pPr>
        <w:spacing w:after="0"/>
        <w:jc w:val="center"/>
        <w:rPr>
          <w:rFonts w:cs="Arial"/>
          <w:b/>
          <w:bCs/>
          <w:szCs w:val="24"/>
        </w:rPr>
      </w:pPr>
      <w:r w:rsidRPr="00FE1AD1">
        <w:rPr>
          <w:rFonts w:cs="Arial"/>
          <w:b/>
          <w:bCs/>
          <w:szCs w:val="24"/>
        </w:rPr>
        <w:t>BETTER REGULATION LEGISLATION AMENDMENT BILL 202</w:t>
      </w:r>
      <w:r w:rsidR="009E4D50">
        <w:rPr>
          <w:rFonts w:cs="Arial"/>
          <w:b/>
          <w:bCs/>
          <w:szCs w:val="24"/>
        </w:rPr>
        <w:t>6</w:t>
      </w:r>
    </w:p>
    <w:p w14:paraId="23C1CDE7" w14:textId="77777777" w:rsidR="00E90DF9" w:rsidRPr="00BB387E" w:rsidRDefault="00E90DF9" w:rsidP="00E90DF9">
      <w:pPr>
        <w:spacing w:after="0"/>
        <w:jc w:val="center"/>
        <w:rPr>
          <w:rFonts w:cs="Arial"/>
          <w:b/>
          <w:bCs/>
          <w:szCs w:val="24"/>
        </w:rPr>
      </w:pPr>
    </w:p>
    <w:p w14:paraId="5D04CAEB" w14:textId="77777777" w:rsidR="00E90DF9" w:rsidRPr="00BB387E" w:rsidRDefault="00E90DF9" w:rsidP="00E90DF9">
      <w:pPr>
        <w:spacing w:after="0"/>
        <w:jc w:val="center"/>
        <w:rPr>
          <w:rFonts w:cs="Arial"/>
          <w:b/>
          <w:szCs w:val="24"/>
        </w:rPr>
      </w:pPr>
    </w:p>
    <w:p w14:paraId="5398222B" w14:textId="77777777" w:rsidR="00FE1AD1" w:rsidRDefault="00FE1AD1" w:rsidP="00E90DF9">
      <w:pPr>
        <w:spacing w:after="0"/>
        <w:jc w:val="center"/>
        <w:rPr>
          <w:rFonts w:cs="Arial"/>
          <w:b/>
          <w:bCs/>
          <w:szCs w:val="24"/>
        </w:rPr>
      </w:pPr>
    </w:p>
    <w:p w14:paraId="664BEC68" w14:textId="35212513" w:rsidR="00E90DF9" w:rsidRDefault="00E90DF9" w:rsidP="00E90DF9">
      <w:pPr>
        <w:spacing w:after="0"/>
        <w:jc w:val="center"/>
        <w:rPr>
          <w:rFonts w:cs="Arial"/>
          <w:b/>
          <w:bCs/>
          <w:szCs w:val="24"/>
        </w:rPr>
      </w:pPr>
      <w:r w:rsidRPr="00BB387E">
        <w:rPr>
          <w:rFonts w:cs="Arial"/>
          <w:b/>
          <w:bCs/>
          <w:szCs w:val="24"/>
        </w:rPr>
        <w:t>EXPLANATORY STATEMENT</w:t>
      </w:r>
      <w:r>
        <w:rPr>
          <w:rFonts w:cs="Arial"/>
          <w:b/>
          <w:bCs/>
          <w:szCs w:val="24"/>
        </w:rPr>
        <w:t xml:space="preserve"> </w:t>
      </w:r>
    </w:p>
    <w:p w14:paraId="09B948FF" w14:textId="77777777" w:rsidR="00E90DF9" w:rsidRDefault="00E90DF9" w:rsidP="00E90DF9">
      <w:pPr>
        <w:spacing w:after="0"/>
        <w:jc w:val="center"/>
        <w:rPr>
          <w:rFonts w:cs="Arial"/>
          <w:b/>
          <w:bCs/>
          <w:szCs w:val="24"/>
        </w:rPr>
      </w:pPr>
      <w:r>
        <w:rPr>
          <w:rFonts w:cs="Arial"/>
          <w:b/>
          <w:bCs/>
          <w:szCs w:val="24"/>
        </w:rPr>
        <w:t>and</w:t>
      </w:r>
    </w:p>
    <w:p w14:paraId="243211BD" w14:textId="77777777" w:rsidR="00E90DF9" w:rsidRDefault="00E90DF9" w:rsidP="00E90DF9">
      <w:pPr>
        <w:spacing w:after="0"/>
        <w:jc w:val="center"/>
        <w:rPr>
          <w:rFonts w:cs="Arial"/>
          <w:b/>
          <w:bCs/>
          <w:szCs w:val="24"/>
        </w:rPr>
      </w:pPr>
      <w:r>
        <w:rPr>
          <w:rFonts w:cs="Arial"/>
          <w:b/>
          <w:bCs/>
          <w:szCs w:val="24"/>
        </w:rPr>
        <w:t xml:space="preserve"> HUMAN RIGHTS COMPATIBILITY STATEMENT</w:t>
      </w:r>
    </w:p>
    <w:p w14:paraId="2FDF54DB" w14:textId="77777777" w:rsidR="00E90DF9" w:rsidRPr="00BB387E" w:rsidRDefault="00E90DF9" w:rsidP="00E90DF9">
      <w:pPr>
        <w:spacing w:after="0"/>
        <w:jc w:val="center"/>
        <w:rPr>
          <w:rFonts w:cs="Arial"/>
          <w:b/>
          <w:szCs w:val="24"/>
        </w:rPr>
      </w:pPr>
      <w:r>
        <w:rPr>
          <w:rFonts w:cs="Arial"/>
          <w:b/>
          <w:bCs/>
          <w:szCs w:val="24"/>
        </w:rPr>
        <w:t>(</w:t>
      </w:r>
      <w:r w:rsidRPr="00BC3EF0">
        <w:rPr>
          <w:rFonts w:cs="Arial"/>
          <w:b/>
          <w:bCs/>
          <w:i/>
          <w:iCs/>
          <w:szCs w:val="24"/>
        </w:rPr>
        <w:t>Human Rights Act 2004</w:t>
      </w:r>
      <w:r>
        <w:rPr>
          <w:rFonts w:cs="Arial"/>
          <w:b/>
          <w:bCs/>
          <w:szCs w:val="24"/>
        </w:rPr>
        <w:t>, s 37)</w:t>
      </w:r>
    </w:p>
    <w:p w14:paraId="25C71D31" w14:textId="77777777" w:rsidR="00E90DF9" w:rsidRPr="00BB387E" w:rsidRDefault="00E90DF9" w:rsidP="00E90DF9">
      <w:pPr>
        <w:spacing w:after="0"/>
        <w:jc w:val="center"/>
        <w:rPr>
          <w:rFonts w:cs="Arial"/>
          <w:b/>
          <w:szCs w:val="24"/>
        </w:rPr>
      </w:pPr>
    </w:p>
    <w:p w14:paraId="62B7AD27" w14:textId="77777777" w:rsidR="00E90DF9" w:rsidRPr="00BB387E" w:rsidRDefault="00E90DF9" w:rsidP="00E90DF9">
      <w:pPr>
        <w:spacing w:after="0"/>
        <w:jc w:val="center"/>
        <w:rPr>
          <w:rFonts w:cs="Arial"/>
          <w:b/>
          <w:szCs w:val="24"/>
        </w:rPr>
      </w:pPr>
    </w:p>
    <w:p w14:paraId="3B7A8E87" w14:textId="77777777" w:rsidR="00E90DF9" w:rsidRPr="00BB387E" w:rsidRDefault="00E90DF9" w:rsidP="00E90DF9">
      <w:pPr>
        <w:spacing w:after="0"/>
        <w:jc w:val="center"/>
        <w:rPr>
          <w:rFonts w:cs="Arial"/>
          <w:b/>
          <w:szCs w:val="24"/>
        </w:rPr>
      </w:pPr>
    </w:p>
    <w:p w14:paraId="67BAB751" w14:textId="77777777" w:rsidR="00E90DF9" w:rsidRDefault="00E90DF9" w:rsidP="00E90DF9">
      <w:pPr>
        <w:spacing w:after="0"/>
        <w:jc w:val="center"/>
        <w:rPr>
          <w:rFonts w:cs="Arial"/>
          <w:b/>
          <w:szCs w:val="24"/>
        </w:rPr>
      </w:pPr>
    </w:p>
    <w:p w14:paraId="3D25356F" w14:textId="77777777" w:rsidR="00E90DF9" w:rsidRDefault="00E90DF9" w:rsidP="00E90DF9">
      <w:pPr>
        <w:spacing w:after="0"/>
        <w:jc w:val="center"/>
        <w:rPr>
          <w:rFonts w:cs="Arial"/>
          <w:b/>
          <w:szCs w:val="24"/>
        </w:rPr>
      </w:pPr>
    </w:p>
    <w:p w14:paraId="5A9A0527" w14:textId="77777777" w:rsidR="00E90DF9" w:rsidRDefault="00E90DF9" w:rsidP="00E90DF9">
      <w:pPr>
        <w:spacing w:after="0"/>
        <w:jc w:val="center"/>
        <w:rPr>
          <w:rFonts w:cs="Arial"/>
          <w:b/>
          <w:szCs w:val="24"/>
        </w:rPr>
      </w:pPr>
    </w:p>
    <w:p w14:paraId="4CDC9EA3" w14:textId="77777777" w:rsidR="00E90DF9" w:rsidRPr="00BB387E" w:rsidRDefault="00E90DF9" w:rsidP="00E90DF9">
      <w:pPr>
        <w:spacing w:after="0"/>
        <w:jc w:val="center"/>
        <w:rPr>
          <w:rFonts w:cs="Arial"/>
          <w:b/>
          <w:szCs w:val="24"/>
        </w:rPr>
      </w:pPr>
    </w:p>
    <w:p w14:paraId="01179C4F" w14:textId="77777777" w:rsidR="00E90DF9" w:rsidRDefault="00E90DF9" w:rsidP="00E90DF9">
      <w:pPr>
        <w:keepNext/>
        <w:widowControl w:val="0"/>
        <w:spacing w:after="0"/>
        <w:jc w:val="center"/>
        <w:outlineLvl w:val="7"/>
        <w:rPr>
          <w:rFonts w:cs="Arial"/>
          <w:b/>
          <w:bCs/>
          <w:szCs w:val="24"/>
        </w:rPr>
      </w:pPr>
    </w:p>
    <w:p w14:paraId="63FA2BF3" w14:textId="77777777" w:rsidR="00B9385E" w:rsidRDefault="00B9385E" w:rsidP="00E90DF9">
      <w:pPr>
        <w:keepNext/>
        <w:widowControl w:val="0"/>
        <w:spacing w:after="0"/>
        <w:jc w:val="center"/>
        <w:outlineLvl w:val="7"/>
        <w:rPr>
          <w:rFonts w:cs="Arial"/>
          <w:b/>
          <w:bCs/>
          <w:szCs w:val="24"/>
        </w:rPr>
      </w:pPr>
    </w:p>
    <w:p w14:paraId="158291B5" w14:textId="77777777" w:rsidR="00B9385E" w:rsidRDefault="00B9385E" w:rsidP="00E90DF9">
      <w:pPr>
        <w:keepNext/>
        <w:widowControl w:val="0"/>
        <w:spacing w:after="0"/>
        <w:jc w:val="center"/>
        <w:outlineLvl w:val="7"/>
        <w:rPr>
          <w:rFonts w:cs="Arial"/>
          <w:b/>
          <w:bCs/>
          <w:szCs w:val="24"/>
        </w:rPr>
      </w:pPr>
    </w:p>
    <w:p w14:paraId="5C2D898C" w14:textId="77777777" w:rsidR="00B9385E" w:rsidRDefault="00B9385E" w:rsidP="00E90DF9">
      <w:pPr>
        <w:keepNext/>
        <w:widowControl w:val="0"/>
        <w:spacing w:after="0"/>
        <w:jc w:val="center"/>
        <w:outlineLvl w:val="7"/>
        <w:rPr>
          <w:rFonts w:cs="Arial"/>
          <w:b/>
          <w:bCs/>
          <w:szCs w:val="24"/>
        </w:rPr>
      </w:pPr>
    </w:p>
    <w:p w14:paraId="3547463A" w14:textId="77777777" w:rsidR="00B9385E" w:rsidRDefault="00B9385E" w:rsidP="00E90DF9">
      <w:pPr>
        <w:keepNext/>
        <w:widowControl w:val="0"/>
        <w:spacing w:after="0"/>
        <w:jc w:val="center"/>
        <w:outlineLvl w:val="7"/>
        <w:rPr>
          <w:rFonts w:cs="Arial"/>
          <w:b/>
          <w:bCs/>
          <w:szCs w:val="24"/>
        </w:rPr>
      </w:pPr>
    </w:p>
    <w:p w14:paraId="461523AD" w14:textId="77777777" w:rsidR="00E90DF9" w:rsidRPr="00BB387E" w:rsidRDefault="00E90DF9" w:rsidP="00E90DF9">
      <w:pPr>
        <w:keepNext/>
        <w:widowControl w:val="0"/>
        <w:spacing w:after="0"/>
        <w:ind w:right="686"/>
        <w:jc w:val="right"/>
        <w:outlineLvl w:val="7"/>
        <w:rPr>
          <w:rFonts w:cs="Arial"/>
          <w:b/>
          <w:bCs/>
          <w:szCs w:val="24"/>
        </w:rPr>
      </w:pPr>
      <w:r w:rsidRPr="00BB387E">
        <w:rPr>
          <w:rFonts w:cs="Arial"/>
          <w:b/>
          <w:bCs/>
          <w:szCs w:val="24"/>
        </w:rPr>
        <w:t>Presented by</w:t>
      </w:r>
    </w:p>
    <w:p w14:paraId="53C0E24C" w14:textId="77777777" w:rsidR="00FE1AD1" w:rsidRPr="006615DB" w:rsidRDefault="00FE1AD1" w:rsidP="00FE1AD1">
      <w:pPr>
        <w:spacing w:after="0"/>
        <w:ind w:right="686"/>
        <w:jc w:val="right"/>
        <w:rPr>
          <w:rFonts w:cs="Arial"/>
          <w:b/>
          <w:bCs/>
          <w:szCs w:val="24"/>
        </w:rPr>
      </w:pPr>
      <w:r w:rsidRPr="006615DB">
        <w:rPr>
          <w:rFonts w:cs="Arial"/>
          <w:b/>
          <w:bCs/>
          <w:szCs w:val="24"/>
        </w:rPr>
        <w:t>Tara Cheyne MLA</w:t>
      </w:r>
    </w:p>
    <w:p w14:paraId="29B66264" w14:textId="1C574FEA" w:rsidR="00FE1AD1" w:rsidRPr="006615DB" w:rsidRDefault="13E91B2F" w:rsidP="3238681A">
      <w:pPr>
        <w:spacing w:after="0"/>
        <w:ind w:right="686"/>
        <w:jc w:val="right"/>
        <w:rPr>
          <w:rFonts w:cs="Arial"/>
          <w:b/>
          <w:bCs/>
        </w:rPr>
      </w:pPr>
      <w:r w:rsidRPr="3238681A">
        <w:rPr>
          <w:rFonts w:cs="Arial"/>
          <w:b/>
          <w:bCs/>
        </w:rPr>
        <w:t xml:space="preserve">Minister for </w:t>
      </w:r>
      <w:r w:rsidR="00FE1AD1" w:rsidRPr="3238681A">
        <w:rPr>
          <w:rFonts w:cs="Arial"/>
          <w:b/>
          <w:bCs/>
        </w:rPr>
        <w:t>City and Government Services</w:t>
      </w:r>
    </w:p>
    <w:p w14:paraId="54E95591" w14:textId="10D5B094" w:rsidR="00FE1AD1" w:rsidRPr="006615DB" w:rsidRDefault="001169D5" w:rsidP="00FE1AD1">
      <w:pPr>
        <w:spacing w:after="0"/>
        <w:ind w:right="686"/>
        <w:jc w:val="right"/>
        <w:rPr>
          <w:rFonts w:cs="Arial"/>
          <w:b/>
          <w:bCs/>
          <w:szCs w:val="24"/>
        </w:rPr>
      </w:pPr>
      <w:r w:rsidRPr="001169D5">
        <w:rPr>
          <w:rFonts w:cs="Arial"/>
          <w:b/>
          <w:bCs/>
          <w:szCs w:val="24"/>
        </w:rPr>
        <w:t>May 2026</w:t>
      </w:r>
    </w:p>
    <w:p w14:paraId="764EA7E1" w14:textId="3F41ACE8" w:rsidR="00E90DF9" w:rsidRPr="008C3B92" w:rsidRDefault="00C63FAB" w:rsidP="00E90DF9">
      <w:pPr>
        <w:spacing w:after="0" w:line="240" w:lineRule="auto"/>
        <w:rPr>
          <w:rFonts w:cs="Arial"/>
          <w:b/>
          <w:bCs/>
          <w:szCs w:val="24"/>
          <w:u w:val="single"/>
        </w:rPr>
        <w:sectPr w:rsidR="00E90DF9" w:rsidRPr="008C3B92" w:rsidSect="00E1194D">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sdt>
        <w:sdtPr>
          <w:rPr>
            <w:rFonts w:cs="Arial"/>
            <w:b/>
            <w:bCs/>
            <w:szCs w:val="24"/>
            <w:u w:val="single"/>
          </w:rPr>
          <w:id w:val="-1423633877"/>
          <w:docPartObj>
            <w:docPartGallery w:val="Watermarks"/>
          </w:docPartObj>
        </w:sdtPr>
        <w:sdtEndPr/>
        <w:sdtContent>
          <w:r w:rsidR="00A07436" w:rsidRPr="00A07436">
            <w:rPr>
              <w:rFonts w:cs="Arial"/>
              <w:b/>
              <w:bCs/>
              <w:noProof/>
              <w:szCs w:val="24"/>
              <w:u w:val="single"/>
            </w:rPr>
            <mc:AlternateContent>
              <mc:Choice Requires="wps">
                <w:drawing>
                  <wp:anchor distT="0" distB="0" distL="114300" distR="114300" simplePos="0" relativeHeight="251659264"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cs="Arial"/>
          <w:b/>
          <w:bCs/>
          <w:szCs w:val="24"/>
          <w:u w:val="single"/>
        </w:rPr>
        <w:br w:type="page"/>
      </w:r>
    </w:p>
    <w:p w14:paraId="428B67D0" w14:textId="1077890F" w:rsidR="00E90DF9" w:rsidRPr="00BB387E" w:rsidRDefault="00FE1AD1" w:rsidP="00E90DF9">
      <w:pPr>
        <w:pStyle w:val="Heading1"/>
        <w:jc w:val="center"/>
      </w:pPr>
      <w:r>
        <w:lastRenderedPageBreak/>
        <w:t>BETTER REGULATION LEGISLATION AMENDMENT BILL 202</w:t>
      </w:r>
      <w:r w:rsidR="009E4D50">
        <w:t>6</w:t>
      </w:r>
    </w:p>
    <w:p w14:paraId="791A60D0" w14:textId="77777777" w:rsidR="00E90DF9" w:rsidRDefault="00E90DF9" w:rsidP="00E90DF9">
      <w:pPr>
        <w:spacing w:after="0"/>
        <w:contextualSpacing/>
        <w:rPr>
          <w:rFonts w:cs="Arial"/>
          <w:bCs/>
          <w:szCs w:val="24"/>
        </w:rPr>
      </w:pPr>
    </w:p>
    <w:p w14:paraId="504676C6" w14:textId="346E5CCD" w:rsidR="00FE1AD1" w:rsidRDefault="001169D5" w:rsidP="3238681A">
      <w:pPr>
        <w:spacing w:after="0"/>
        <w:contextualSpacing/>
        <w:rPr>
          <w:rFonts w:cs="Arial"/>
        </w:rPr>
      </w:pPr>
      <w:r w:rsidRPr="3238681A">
        <w:rPr>
          <w:rFonts w:eastAsia="Arial" w:cs="Arial"/>
          <w:color w:val="000000" w:themeColor="text1"/>
        </w:rPr>
        <w:t>T</w:t>
      </w:r>
      <w:r w:rsidR="00FE1AD1" w:rsidRPr="3238681A">
        <w:rPr>
          <w:rFonts w:eastAsia="Arial" w:cs="Arial"/>
          <w:color w:val="000000" w:themeColor="text1"/>
        </w:rPr>
        <w:t>his explanatory statement relates to the Better Regulation Legislation Amendment Bill 202</w:t>
      </w:r>
      <w:r w:rsidR="009E4D50" w:rsidRPr="3238681A">
        <w:rPr>
          <w:rFonts w:eastAsia="Arial" w:cs="Arial"/>
          <w:color w:val="000000" w:themeColor="text1"/>
        </w:rPr>
        <w:t>6</w:t>
      </w:r>
      <w:r w:rsidR="00FE1AD1" w:rsidRPr="3238681A">
        <w:rPr>
          <w:rFonts w:eastAsia="Arial" w:cs="Arial"/>
          <w:color w:val="000000" w:themeColor="text1"/>
        </w:rPr>
        <w:t xml:space="preserve"> </w:t>
      </w:r>
      <w:r w:rsidR="5F841B76" w:rsidRPr="3238681A">
        <w:rPr>
          <w:rFonts w:eastAsia="Arial" w:cs="Arial"/>
          <w:color w:val="000000" w:themeColor="text1"/>
        </w:rPr>
        <w:t xml:space="preserve">(the </w:t>
      </w:r>
      <w:r w:rsidR="5F841B76" w:rsidRPr="3238681A">
        <w:rPr>
          <w:rFonts w:eastAsia="Arial" w:cs="Arial"/>
          <w:b/>
          <w:bCs/>
          <w:color w:val="000000" w:themeColor="text1"/>
        </w:rPr>
        <w:t>Bill</w:t>
      </w:r>
      <w:r w:rsidR="5F841B76" w:rsidRPr="3238681A">
        <w:rPr>
          <w:rFonts w:eastAsia="Arial" w:cs="Arial"/>
          <w:color w:val="000000" w:themeColor="text1"/>
        </w:rPr>
        <w:t xml:space="preserve">) </w:t>
      </w:r>
      <w:r w:rsidR="00FE1AD1" w:rsidRPr="3238681A">
        <w:rPr>
          <w:rFonts w:eastAsia="Arial" w:cs="Arial"/>
          <w:color w:val="000000" w:themeColor="text1"/>
        </w:rPr>
        <w:t>as presented to the Legislative Assembly</w:t>
      </w:r>
      <w:r w:rsidR="14650CE5" w:rsidRPr="3238681A">
        <w:rPr>
          <w:rFonts w:eastAsia="Arial" w:cs="Arial"/>
          <w:color w:val="000000" w:themeColor="text1"/>
        </w:rPr>
        <w:t xml:space="preserve"> (the </w:t>
      </w:r>
      <w:r w:rsidR="14650CE5" w:rsidRPr="3238681A">
        <w:rPr>
          <w:rFonts w:eastAsia="Arial" w:cs="Arial"/>
          <w:b/>
          <w:bCs/>
          <w:color w:val="000000" w:themeColor="text1"/>
        </w:rPr>
        <w:t>Assembly</w:t>
      </w:r>
      <w:r w:rsidR="14650CE5" w:rsidRPr="3238681A">
        <w:rPr>
          <w:rFonts w:eastAsia="Arial" w:cs="Arial"/>
          <w:color w:val="000000" w:themeColor="text1"/>
        </w:rPr>
        <w:t>)</w:t>
      </w:r>
      <w:r w:rsidR="00FE1AD1" w:rsidRPr="3238681A">
        <w:rPr>
          <w:rFonts w:eastAsia="Arial" w:cs="Arial"/>
          <w:color w:val="000000" w:themeColor="text1"/>
        </w:rPr>
        <w:t xml:space="preserve">. It has been prepared to assist the reader of the Bill and to help inform debate on it. </w:t>
      </w:r>
      <w:r w:rsidR="45A2B31E" w:rsidRPr="3238681A">
        <w:rPr>
          <w:rFonts w:eastAsia="Arial" w:cs="Arial"/>
          <w:color w:val="000000" w:themeColor="text1"/>
        </w:rPr>
        <w:t>It does not form part of the Bill and has not been endorsed by the Assembly.</w:t>
      </w:r>
    </w:p>
    <w:p w14:paraId="3D757037" w14:textId="010FB46A" w:rsidR="00FE1AD1" w:rsidRDefault="00FE1AD1" w:rsidP="3238681A">
      <w:pPr>
        <w:spacing w:after="0"/>
        <w:contextualSpacing/>
        <w:rPr>
          <w:rFonts w:eastAsia="Arial" w:cs="Arial"/>
          <w:color w:val="000000" w:themeColor="text1"/>
        </w:rPr>
      </w:pPr>
    </w:p>
    <w:p w14:paraId="30992306" w14:textId="79687876" w:rsidR="20CFB7D1" w:rsidRDefault="20CFB7D1" w:rsidP="41F77E41">
      <w:pPr>
        <w:spacing w:after="0"/>
        <w:contextualSpacing/>
        <w:rPr>
          <w:rFonts w:cs="Arial"/>
        </w:rPr>
      </w:pPr>
      <w:r w:rsidRPr="41F77E41">
        <w:rPr>
          <w:rFonts w:eastAsia="Arial" w:cs="Arial"/>
          <w:color w:val="000000" w:themeColor="text1"/>
        </w:rPr>
        <w:t>The statement is to be read in conjunction with the Bill. It is not, and is not meant to be, a comprehensive description of the amendments. What is said about a provision is not to be taken as an authoritative guide to the meaning of a provision, this being a task for the courts.</w:t>
      </w:r>
    </w:p>
    <w:p w14:paraId="51BDA2EF" w14:textId="77777777" w:rsidR="00FE1AD1" w:rsidRDefault="00FE1AD1" w:rsidP="00E90DF9">
      <w:pPr>
        <w:spacing w:after="0"/>
        <w:contextualSpacing/>
        <w:rPr>
          <w:rFonts w:cs="Arial"/>
          <w:bCs/>
          <w:szCs w:val="24"/>
        </w:rPr>
      </w:pPr>
    </w:p>
    <w:p w14:paraId="266B7B2E" w14:textId="77777777" w:rsidR="00E90DF9" w:rsidRDefault="00E90DF9" w:rsidP="00E90DF9">
      <w:pPr>
        <w:pStyle w:val="Heading2"/>
      </w:pPr>
      <w:r>
        <w:t>OVERVIEW OF THE BILL</w:t>
      </w:r>
    </w:p>
    <w:p w14:paraId="0CDBBED1" w14:textId="0D127A98" w:rsidR="7C81E1C6" w:rsidRDefault="7C81E1C6" w:rsidP="49A0317D">
      <w:pPr>
        <w:rPr>
          <w:rFonts w:cs="Arial"/>
        </w:rPr>
      </w:pPr>
      <w:r w:rsidRPr="2CC68585">
        <w:rPr>
          <w:rFonts w:cs="Arial"/>
        </w:rPr>
        <w:t>The purpose of the Bill is to:</w:t>
      </w:r>
    </w:p>
    <w:p w14:paraId="7FEA03A4" w14:textId="4E65A7AD" w:rsidR="7C81E1C6" w:rsidRDefault="7C81E1C6" w:rsidP="49A0317D">
      <w:pPr>
        <w:pStyle w:val="Paragraphtext"/>
        <w:numPr>
          <w:ilvl w:val="1"/>
          <w:numId w:val="19"/>
        </w:numPr>
        <w:spacing w:before="120" w:after="120"/>
        <w:rPr>
          <w:rFonts w:ascii="Arial" w:eastAsia="Arial" w:hAnsi="Arial" w:cs="Arial"/>
          <w:lang w:eastAsia="en-US"/>
        </w:rPr>
      </w:pPr>
      <w:r w:rsidRPr="2CC68585">
        <w:rPr>
          <w:rFonts w:ascii="Arial" w:eastAsia="Arial" w:hAnsi="Arial" w:cs="Arial"/>
          <w:lang w:eastAsia="en-US"/>
        </w:rPr>
        <w:t>improve public access to information and, where relevant, remove regulatory burden;</w:t>
      </w:r>
    </w:p>
    <w:p w14:paraId="50C9E2C2" w14:textId="77777777" w:rsidR="7C81E1C6" w:rsidRDefault="7C81E1C6" w:rsidP="49A0317D">
      <w:pPr>
        <w:pStyle w:val="Paragraphtext"/>
        <w:numPr>
          <w:ilvl w:val="1"/>
          <w:numId w:val="19"/>
        </w:numPr>
        <w:spacing w:before="120" w:after="120"/>
        <w:rPr>
          <w:rFonts w:ascii="Arial" w:eastAsia="Arial" w:hAnsi="Arial" w:cs="Arial"/>
          <w:lang w:eastAsia="en-US"/>
        </w:rPr>
      </w:pPr>
      <w:r w:rsidRPr="2CC68585">
        <w:rPr>
          <w:rFonts w:ascii="Arial" w:eastAsia="Arial" w:hAnsi="Arial" w:cs="Arial"/>
          <w:lang w:eastAsia="en-US"/>
        </w:rPr>
        <w:t xml:space="preserve">ensure legislation remains up-to-date and fit-for-purpose; and </w:t>
      </w:r>
    </w:p>
    <w:p w14:paraId="0A40A746" w14:textId="1851C14E" w:rsidR="7C81E1C6" w:rsidRDefault="7C81E1C6" w:rsidP="49A0317D">
      <w:pPr>
        <w:pStyle w:val="Paragraphtext"/>
        <w:numPr>
          <w:ilvl w:val="1"/>
          <w:numId w:val="19"/>
        </w:numPr>
        <w:spacing w:before="120" w:after="120"/>
        <w:rPr>
          <w:rFonts w:ascii="Arial" w:eastAsia="Arial" w:hAnsi="Arial" w:cs="Arial"/>
          <w:lang w:eastAsia="en-US"/>
        </w:rPr>
      </w:pPr>
      <w:r w:rsidRPr="2CC68585">
        <w:rPr>
          <w:rFonts w:ascii="Arial" w:eastAsia="Arial" w:hAnsi="Arial" w:cs="Arial"/>
          <w:lang w:eastAsia="en-US"/>
        </w:rPr>
        <w:t xml:space="preserve">ensure </w:t>
      </w:r>
      <w:r w:rsidR="4E13A589" w:rsidRPr="2CC68585">
        <w:rPr>
          <w:rFonts w:ascii="Arial" w:eastAsia="Arial" w:hAnsi="Arial" w:cs="Arial"/>
          <w:lang w:eastAsia="en-US"/>
        </w:rPr>
        <w:t xml:space="preserve">alignment between legislation and </w:t>
      </w:r>
      <w:r w:rsidRPr="2CC68585">
        <w:rPr>
          <w:rFonts w:ascii="Arial" w:eastAsia="Arial" w:hAnsi="Arial" w:cs="Arial"/>
          <w:lang w:eastAsia="en-US"/>
        </w:rPr>
        <w:t xml:space="preserve">regulator </w:t>
      </w:r>
      <w:r w:rsidR="7B704CAA" w:rsidRPr="2CC68585">
        <w:rPr>
          <w:rFonts w:ascii="Arial" w:eastAsia="Arial" w:hAnsi="Arial" w:cs="Arial"/>
          <w:lang w:eastAsia="en-US"/>
        </w:rPr>
        <w:t xml:space="preserve">best </w:t>
      </w:r>
      <w:r w:rsidRPr="2CC68585">
        <w:rPr>
          <w:rFonts w:ascii="Arial" w:eastAsia="Arial" w:hAnsi="Arial" w:cs="Arial"/>
          <w:lang w:eastAsia="en-US"/>
        </w:rPr>
        <w:t>practice.</w:t>
      </w:r>
    </w:p>
    <w:p w14:paraId="738F78F5" w14:textId="225F5912" w:rsidR="053B5765" w:rsidRDefault="053B5765" w:rsidP="2CC68585">
      <w:pPr>
        <w:rPr>
          <w:rFonts w:eastAsia="Arial" w:cs="Arial"/>
          <w:szCs w:val="24"/>
        </w:rPr>
      </w:pPr>
      <w:r w:rsidRPr="2CC68585">
        <w:rPr>
          <w:rFonts w:eastAsia="Arial" w:cs="Arial"/>
          <w:color w:val="000000" w:themeColor="text1"/>
          <w:szCs w:val="24"/>
        </w:rPr>
        <w:t>Transparency is an essential aspect for accountability for public agencies and government. Public access to information is an underlying necessity for participation and trust in government. Public registers provide Canberrans with access to meaningful information to make informed commentary, discussion, decisions and understand actions taken by government. Access to certain registers may also increase consumer protection, guard against corruption</w:t>
      </w:r>
      <w:r w:rsidR="11C9C0C6" w:rsidRPr="2CC68585">
        <w:rPr>
          <w:rFonts w:eastAsia="Arial" w:cs="Arial"/>
          <w:color w:val="000000" w:themeColor="text1"/>
          <w:szCs w:val="24"/>
        </w:rPr>
        <w:t>,</w:t>
      </w:r>
      <w:r w:rsidRPr="2CC68585">
        <w:rPr>
          <w:rFonts w:eastAsia="Arial" w:cs="Arial"/>
          <w:color w:val="000000" w:themeColor="text1"/>
          <w:szCs w:val="24"/>
        </w:rPr>
        <w:t xml:space="preserve"> and allow for greater trust in regulators</w:t>
      </w:r>
      <w:r w:rsidR="5E16EE62" w:rsidRPr="2CC68585">
        <w:rPr>
          <w:rFonts w:eastAsia="Arial" w:cs="Arial"/>
          <w:color w:val="000000" w:themeColor="text1"/>
          <w:szCs w:val="24"/>
        </w:rPr>
        <w:t>.</w:t>
      </w:r>
    </w:p>
    <w:p w14:paraId="220B4941" w14:textId="34C5F7D2" w:rsidR="00FE1AD1" w:rsidRDefault="00FE1AD1" w:rsidP="49A0317D">
      <w:pPr>
        <w:rPr>
          <w:rFonts w:cs="Arial"/>
        </w:rPr>
      </w:pPr>
      <w:r w:rsidRPr="2CC68585">
        <w:rPr>
          <w:rFonts w:cs="Arial"/>
        </w:rPr>
        <w:t xml:space="preserve">This Bill is an </w:t>
      </w:r>
      <w:r w:rsidR="00F03B9C" w:rsidRPr="2CC68585">
        <w:rPr>
          <w:rFonts w:cs="Arial"/>
        </w:rPr>
        <w:t>O</w:t>
      </w:r>
      <w:r w:rsidRPr="2CC68585">
        <w:rPr>
          <w:rFonts w:cs="Arial"/>
        </w:rPr>
        <w:t xml:space="preserve">mnibus </w:t>
      </w:r>
      <w:r w:rsidR="00F03B9C" w:rsidRPr="2CC68585">
        <w:rPr>
          <w:rFonts w:cs="Arial"/>
        </w:rPr>
        <w:t>B</w:t>
      </w:r>
      <w:r w:rsidRPr="2CC68585">
        <w:rPr>
          <w:rFonts w:cs="Arial"/>
        </w:rPr>
        <w:t xml:space="preserve">ill which </w:t>
      </w:r>
      <w:r w:rsidR="34C79405" w:rsidRPr="2CC68585">
        <w:rPr>
          <w:rFonts w:cs="Arial"/>
        </w:rPr>
        <w:t xml:space="preserve">will </w:t>
      </w:r>
      <w:r w:rsidRPr="2CC68585">
        <w:rPr>
          <w:rFonts w:cs="Arial"/>
        </w:rPr>
        <w:t xml:space="preserve">amend the following </w:t>
      </w:r>
      <w:r w:rsidR="18C66684" w:rsidRPr="2CC68585">
        <w:rPr>
          <w:rFonts w:cs="Arial"/>
        </w:rPr>
        <w:t xml:space="preserve">18 </w:t>
      </w:r>
      <w:r w:rsidRPr="2CC68585">
        <w:rPr>
          <w:rFonts w:cs="Arial"/>
        </w:rPr>
        <w:t xml:space="preserve">Acts and </w:t>
      </w:r>
      <w:r w:rsidR="0483D16F" w:rsidRPr="2CC68585">
        <w:rPr>
          <w:rFonts w:cs="Arial"/>
        </w:rPr>
        <w:t xml:space="preserve">four </w:t>
      </w:r>
      <w:r w:rsidRPr="2CC68585">
        <w:rPr>
          <w:rFonts w:cs="Arial"/>
        </w:rPr>
        <w:t>Regulations</w:t>
      </w:r>
      <w:r w:rsidR="33A79B6E" w:rsidRPr="2CC68585">
        <w:rPr>
          <w:rFonts w:cs="Arial"/>
        </w:rPr>
        <w:t xml:space="preserve"> to improve public access to information and, where relevant, remove regulatory burden</w:t>
      </w:r>
      <w:r w:rsidRPr="2CC68585">
        <w:rPr>
          <w:rFonts w:cs="Arial"/>
        </w:rPr>
        <w:t>:</w:t>
      </w:r>
    </w:p>
    <w:p w14:paraId="74474FFE" w14:textId="1C5272DA"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ACT Teacher Quality Institute Act 2010</w:t>
      </w:r>
      <w:r w:rsidR="009E4D50">
        <w:rPr>
          <w:rFonts w:ascii="Arial" w:eastAsia="Calibri" w:hAnsi="Arial" w:cs="Arial"/>
          <w:i/>
          <w:iCs/>
          <w:color w:val="auto"/>
          <w:szCs w:val="24"/>
        </w:rPr>
        <w:t xml:space="preserve"> </w:t>
      </w:r>
      <w:r w:rsidR="009E4D50">
        <w:rPr>
          <w:rFonts w:ascii="Arial" w:eastAsia="Calibri" w:hAnsi="Arial" w:cs="Arial"/>
          <w:color w:val="auto"/>
          <w:szCs w:val="24"/>
        </w:rPr>
        <w:t xml:space="preserve">and </w:t>
      </w:r>
      <w:r w:rsidR="009E4D50">
        <w:rPr>
          <w:rFonts w:ascii="Arial" w:eastAsia="Calibri" w:hAnsi="Arial" w:cs="Arial"/>
          <w:i/>
          <w:iCs/>
          <w:color w:val="auto"/>
          <w:szCs w:val="24"/>
        </w:rPr>
        <w:t>ACT Teacher Quality Institute Regulation 2010</w:t>
      </w:r>
    </w:p>
    <w:p w14:paraId="6ED4A640"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 xml:space="preserve">Architects Act 2004 </w:t>
      </w:r>
      <w:r w:rsidRPr="007E645F">
        <w:rPr>
          <w:rFonts w:ascii="Arial" w:eastAsia="Calibri" w:hAnsi="Arial" w:cs="Arial"/>
          <w:color w:val="auto"/>
          <w:szCs w:val="24"/>
        </w:rPr>
        <w:t>and</w:t>
      </w:r>
      <w:r w:rsidRPr="007E645F">
        <w:rPr>
          <w:rFonts w:ascii="Arial" w:eastAsia="Calibri" w:hAnsi="Arial" w:cs="Arial"/>
          <w:i/>
          <w:iCs/>
          <w:color w:val="auto"/>
          <w:szCs w:val="24"/>
        </w:rPr>
        <w:t xml:space="preserve"> Architects Regulation 2004</w:t>
      </w:r>
    </w:p>
    <w:p w14:paraId="6EFAE380"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Board of Senior Secondary Studies Act 1997</w:t>
      </w:r>
    </w:p>
    <w:p w14:paraId="29F6A840"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Building Act 2004</w:t>
      </w:r>
    </w:p>
    <w:p w14:paraId="76A177BD"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Cemeteries and Crematoria Act 2020</w:t>
      </w:r>
    </w:p>
    <w:p w14:paraId="2B7B7B5B"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Climate Change and Greenhouse Gas Reduction Act 2010</w:t>
      </w:r>
    </w:p>
    <w:p w14:paraId="3B3828E7"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Construction Occupations (Licensing) Act 2004</w:t>
      </w:r>
    </w:p>
    <w:p w14:paraId="7485ED66"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 xml:space="preserve">Domestic Animals Act 2000 </w:t>
      </w:r>
      <w:r w:rsidRPr="007E645F">
        <w:rPr>
          <w:rFonts w:ascii="Arial" w:eastAsia="Calibri" w:hAnsi="Arial" w:cs="Arial"/>
          <w:color w:val="auto"/>
          <w:szCs w:val="24"/>
        </w:rPr>
        <w:t>and</w:t>
      </w:r>
      <w:r w:rsidRPr="007E645F">
        <w:rPr>
          <w:rFonts w:ascii="Arial" w:eastAsia="Calibri" w:hAnsi="Arial" w:cs="Arial"/>
          <w:i/>
          <w:iCs/>
          <w:color w:val="auto"/>
          <w:szCs w:val="24"/>
        </w:rPr>
        <w:t xml:space="preserve"> Domestic Animals Regulation 2001</w:t>
      </w:r>
    </w:p>
    <w:p w14:paraId="53373F0E"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Food Act 2001</w:t>
      </w:r>
    </w:p>
    <w:p w14:paraId="097AE896"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Gambling and Racing Control Act 1999</w:t>
      </w:r>
    </w:p>
    <w:p w14:paraId="4B397691"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Gaming Machine Act 2004</w:t>
      </w:r>
    </w:p>
    <w:p w14:paraId="76867BBA"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Gas Safety Act 2000</w:t>
      </w:r>
    </w:p>
    <w:p w14:paraId="7A135EE6" w14:textId="4E6655C7" w:rsidR="007E645F" w:rsidRPr="007E645F" w:rsidRDefault="007E645F" w:rsidP="2CC68585">
      <w:pPr>
        <w:pStyle w:val="Paragraphtext"/>
        <w:numPr>
          <w:ilvl w:val="0"/>
          <w:numId w:val="16"/>
        </w:numPr>
        <w:spacing w:after="0"/>
        <w:rPr>
          <w:rFonts w:ascii="Arial" w:eastAsia="Calibri" w:hAnsi="Arial" w:cs="Arial"/>
          <w:i/>
          <w:iCs/>
          <w:color w:val="auto"/>
        </w:rPr>
      </w:pPr>
      <w:r w:rsidRPr="2CC68585">
        <w:rPr>
          <w:rFonts w:ascii="Arial" w:eastAsia="Calibri" w:hAnsi="Arial" w:cs="Arial"/>
          <w:i/>
          <w:iCs/>
          <w:color w:val="auto"/>
        </w:rPr>
        <w:lastRenderedPageBreak/>
        <w:t>Professional Engineers Act 2023</w:t>
      </w:r>
    </w:p>
    <w:p w14:paraId="542CA181"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Public Health Act 1997</w:t>
      </w:r>
    </w:p>
    <w:p w14:paraId="4F3CA6C2"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 xml:space="preserve">Race and Sports Bookmaking Act 2001 </w:t>
      </w:r>
      <w:r w:rsidRPr="007E645F">
        <w:rPr>
          <w:rFonts w:ascii="Arial" w:eastAsia="Calibri" w:hAnsi="Arial" w:cs="Arial"/>
          <w:color w:val="auto"/>
          <w:szCs w:val="24"/>
        </w:rPr>
        <w:t xml:space="preserve">and </w:t>
      </w:r>
      <w:r w:rsidRPr="007E645F">
        <w:rPr>
          <w:rFonts w:ascii="Arial" w:eastAsia="Calibri" w:hAnsi="Arial" w:cs="Arial"/>
          <w:i/>
          <w:iCs/>
          <w:color w:val="auto"/>
          <w:szCs w:val="24"/>
        </w:rPr>
        <w:t>Race and Sports Bookmaking Regulation 2001</w:t>
      </w:r>
    </w:p>
    <w:p w14:paraId="64D63299"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Radiation Protection Act 2006</w:t>
      </w:r>
    </w:p>
    <w:p w14:paraId="085FF46C"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Utilities (Technical Regulation) Act 2014</w:t>
      </w:r>
    </w:p>
    <w:p w14:paraId="643088BB" w14:textId="77777777" w:rsidR="007E645F" w:rsidRPr="007E645F" w:rsidRDefault="007E645F" w:rsidP="007E645F">
      <w:pPr>
        <w:pStyle w:val="Paragraphtext"/>
        <w:numPr>
          <w:ilvl w:val="0"/>
          <w:numId w:val="16"/>
        </w:numPr>
        <w:spacing w:after="0"/>
        <w:rPr>
          <w:rFonts w:ascii="Arial" w:eastAsia="Calibri" w:hAnsi="Arial" w:cs="Arial"/>
          <w:i/>
          <w:iCs/>
          <w:color w:val="auto"/>
          <w:szCs w:val="24"/>
        </w:rPr>
      </w:pPr>
      <w:r w:rsidRPr="007E645F">
        <w:rPr>
          <w:rFonts w:ascii="Arial" w:eastAsia="Calibri" w:hAnsi="Arial" w:cs="Arial"/>
          <w:i/>
          <w:iCs/>
          <w:color w:val="auto"/>
          <w:szCs w:val="24"/>
        </w:rPr>
        <w:t>Veterinary Practice Act 2018</w:t>
      </w:r>
    </w:p>
    <w:p w14:paraId="731DA8AF" w14:textId="1414BEEE" w:rsidR="007E645F" w:rsidRDefault="007E645F" w:rsidP="2CC68585">
      <w:pPr>
        <w:spacing w:after="0"/>
        <w:ind w:left="720"/>
        <w:rPr>
          <w:rFonts w:eastAsia="Calibri" w:cs="Arial"/>
          <w:i/>
          <w:iCs/>
        </w:rPr>
      </w:pPr>
    </w:p>
    <w:p w14:paraId="68CDAF01" w14:textId="43AFCC2A" w:rsidR="632846AE" w:rsidRDefault="632846AE" w:rsidP="2CC68585">
      <w:pPr>
        <w:pStyle w:val="ListParagraph"/>
        <w:ind w:left="0" w:right="-45"/>
        <w:rPr>
          <w:rFonts w:eastAsia="Arial" w:cs="Arial"/>
        </w:rPr>
      </w:pPr>
      <w:r w:rsidRPr="2CC68585">
        <w:rPr>
          <w:rFonts w:eastAsia="Arial" w:cs="Arial"/>
          <w:szCs w:val="24"/>
          <w:lang w:eastAsia="en-US"/>
        </w:rPr>
        <w:t>These amendments are sum</w:t>
      </w:r>
      <w:r w:rsidR="006B1E5B">
        <w:rPr>
          <w:rFonts w:eastAsia="Arial" w:cs="Arial"/>
          <w:szCs w:val="24"/>
          <w:lang w:eastAsia="en-US"/>
        </w:rPr>
        <w:t>mar</w:t>
      </w:r>
      <w:r w:rsidRPr="2CC68585">
        <w:rPr>
          <w:rFonts w:eastAsia="Arial" w:cs="Arial"/>
          <w:szCs w:val="24"/>
          <w:lang w:eastAsia="en-US"/>
        </w:rPr>
        <w:t>ised as follows:</w:t>
      </w:r>
    </w:p>
    <w:p w14:paraId="1832E608" w14:textId="4F15FC91" w:rsidR="2CC68585" w:rsidRDefault="2CC68585" w:rsidP="2CC68585">
      <w:pPr>
        <w:pStyle w:val="ListParagraph"/>
        <w:ind w:left="0" w:right="-45"/>
        <w:rPr>
          <w:rFonts w:eastAsia="Arial" w:cs="Arial"/>
          <w:szCs w:val="24"/>
          <w:lang w:eastAsia="en-US"/>
        </w:rPr>
      </w:pPr>
    </w:p>
    <w:p w14:paraId="19F14861" w14:textId="21824445" w:rsidR="632846AE" w:rsidRDefault="632846AE" w:rsidP="2CC68585">
      <w:pPr>
        <w:spacing w:after="0"/>
        <w:ind w:right="-45"/>
        <w:rPr>
          <w:rFonts w:eastAsia="Arial" w:cs="Arial"/>
        </w:rPr>
      </w:pPr>
      <w:r w:rsidRPr="2CC68585">
        <w:rPr>
          <w:rFonts w:eastAsia="Arial" w:cs="Arial"/>
          <w:szCs w:val="24"/>
        </w:rPr>
        <w:t>New public registers which will be accessible electronically:</w:t>
      </w:r>
    </w:p>
    <w:p w14:paraId="4FCB98C3" w14:textId="49302715"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Accredited assistance animal registrations.</w:t>
      </w:r>
    </w:p>
    <w:p w14:paraId="3A7A659E" w14:textId="522CA160"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Approvals of gaming machines and peripheral equipment for gaming machines.</w:t>
      </w:r>
    </w:p>
    <w:p w14:paraId="5DED8159" w14:textId="7BD9F32F"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Race bookmaking licences.</w:t>
      </w:r>
    </w:p>
    <w:p w14:paraId="2ED6F6CB" w14:textId="2D84EA0A"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Race bookmaker’s agent licences.</w:t>
      </w:r>
    </w:p>
    <w:p w14:paraId="1910D466" w14:textId="54B757A5"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Sports bookmaking licences.</w:t>
      </w:r>
    </w:p>
    <w:p w14:paraId="45376B0E" w14:textId="075DCE18"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Sports bookmaker’s agent licences.</w:t>
      </w:r>
    </w:p>
    <w:p w14:paraId="698ED88B" w14:textId="6BA1CA99"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Totalisator licences.</w:t>
      </w:r>
    </w:p>
    <w:p w14:paraId="6E5453A4" w14:textId="676B2210"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Building stop notices.</w:t>
      </w:r>
    </w:p>
    <w:p w14:paraId="3E18A019" w14:textId="7026E3B4"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Approved type A and type B gas appliances.</w:t>
      </w:r>
    </w:p>
    <w:p w14:paraId="34A63D15" w14:textId="392A35FC"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Who is licensed to deal with a regulated radiation source.</w:t>
      </w:r>
    </w:p>
    <w:p w14:paraId="371A56CD" w14:textId="4C7649D4"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Public health risk activity licences.</w:t>
      </w:r>
    </w:p>
    <w:p w14:paraId="1C05616A" w14:textId="134BC80D"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Public health procedure licences.</w:t>
      </w:r>
    </w:p>
    <w:p w14:paraId="594031EC" w14:textId="205773B8"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Registered people under the Public Health Act.</w:t>
      </w:r>
    </w:p>
    <w:p w14:paraId="6C5DCF64" w14:textId="23F927A9" w:rsidR="632846AE" w:rsidRDefault="632846AE" w:rsidP="2CC68585">
      <w:pPr>
        <w:pStyle w:val="ListParagraph"/>
        <w:numPr>
          <w:ilvl w:val="0"/>
          <w:numId w:val="2"/>
        </w:numPr>
        <w:ind w:right="-45"/>
        <w:rPr>
          <w:rFonts w:eastAsia="Arial" w:cs="Arial"/>
        </w:rPr>
      </w:pPr>
      <w:r w:rsidRPr="2CC68585">
        <w:rPr>
          <w:rFonts w:eastAsia="Arial" w:cs="Arial"/>
          <w:szCs w:val="24"/>
          <w:lang w:eastAsia="en-US"/>
        </w:rPr>
        <w:t>Food businesses.</w:t>
      </w:r>
    </w:p>
    <w:p w14:paraId="2C94FC55" w14:textId="407EC0B4" w:rsidR="49A0317D" w:rsidRDefault="49A0317D" w:rsidP="48871374">
      <w:pPr>
        <w:pStyle w:val="ListParagraph"/>
        <w:ind w:left="1797" w:right="-45" w:hanging="360"/>
        <w:rPr>
          <w:rFonts w:eastAsia="Arial" w:cs="Arial"/>
        </w:rPr>
      </w:pPr>
    </w:p>
    <w:p w14:paraId="488FF14C" w14:textId="6B7CD4FE" w:rsidR="632846AE" w:rsidRDefault="632846AE" w:rsidP="2CC68585">
      <w:pPr>
        <w:spacing w:after="0"/>
        <w:ind w:right="-45"/>
        <w:rPr>
          <w:rFonts w:eastAsia="Arial" w:cs="Arial"/>
        </w:rPr>
      </w:pPr>
      <w:r w:rsidRPr="2CC68585">
        <w:rPr>
          <w:rFonts w:eastAsia="Arial" w:cs="Arial"/>
          <w:szCs w:val="24"/>
        </w:rPr>
        <w:t>Registers where information was accessible electronically which is now enshrined</w:t>
      </w:r>
      <w:r w:rsidR="0794FCC5" w:rsidRPr="2CC68585">
        <w:rPr>
          <w:rFonts w:eastAsia="Arial" w:cs="Arial"/>
          <w:szCs w:val="24"/>
        </w:rPr>
        <w:t xml:space="preserve"> </w:t>
      </w:r>
      <w:r w:rsidRPr="2CC68585">
        <w:rPr>
          <w:rFonts w:eastAsia="Arial" w:cs="Arial"/>
          <w:szCs w:val="24"/>
        </w:rPr>
        <w:t>in legislation:</w:t>
      </w:r>
    </w:p>
    <w:p w14:paraId="685969DC" w14:textId="5534B680" w:rsidR="632846AE" w:rsidRDefault="632846AE" w:rsidP="2CC68585">
      <w:pPr>
        <w:pStyle w:val="ListParagraph"/>
        <w:numPr>
          <w:ilvl w:val="0"/>
          <w:numId w:val="1"/>
        </w:numPr>
        <w:ind w:right="-45"/>
        <w:rPr>
          <w:rFonts w:eastAsia="Arial" w:cs="Arial"/>
        </w:rPr>
      </w:pPr>
      <w:r w:rsidRPr="2CC68585">
        <w:rPr>
          <w:rFonts w:eastAsia="Arial" w:cs="Arial"/>
          <w:szCs w:val="24"/>
          <w:lang w:eastAsia="en-US"/>
        </w:rPr>
        <w:t>Education programs.</w:t>
      </w:r>
    </w:p>
    <w:p w14:paraId="4D6F60E8" w14:textId="69728D80" w:rsidR="632846AE" w:rsidRDefault="632846AE" w:rsidP="2CC68585">
      <w:pPr>
        <w:pStyle w:val="ListParagraph"/>
        <w:numPr>
          <w:ilvl w:val="0"/>
          <w:numId w:val="1"/>
        </w:numPr>
        <w:rPr>
          <w:rFonts w:eastAsia="Arial" w:cs="Arial"/>
        </w:rPr>
      </w:pPr>
      <w:r w:rsidRPr="2CC68585">
        <w:rPr>
          <w:rFonts w:eastAsia="Arial" w:cs="Arial"/>
          <w:szCs w:val="24"/>
          <w:lang w:eastAsia="en-US"/>
        </w:rPr>
        <w:t>Who is registered to provide architectural services in the ACT.</w:t>
      </w:r>
    </w:p>
    <w:p w14:paraId="5BEC3FB1" w14:textId="7BF59180" w:rsidR="632846AE" w:rsidRDefault="632846AE" w:rsidP="2CC68585">
      <w:pPr>
        <w:pStyle w:val="ListParagraph"/>
        <w:numPr>
          <w:ilvl w:val="0"/>
          <w:numId w:val="1"/>
        </w:numPr>
        <w:rPr>
          <w:rFonts w:eastAsia="Arial" w:cs="Arial"/>
        </w:rPr>
      </w:pPr>
      <w:r w:rsidRPr="2CC68585">
        <w:rPr>
          <w:rFonts w:eastAsia="Arial" w:cs="Arial"/>
          <w:szCs w:val="24"/>
          <w:lang w:eastAsia="en-US"/>
        </w:rPr>
        <w:t>Courses provided under the Board of Senior Secondary Studies legislation.</w:t>
      </w:r>
    </w:p>
    <w:p w14:paraId="1E8265DE" w14:textId="013C699A" w:rsidR="632846AE" w:rsidRDefault="632846AE" w:rsidP="2CC68585">
      <w:pPr>
        <w:pStyle w:val="ListParagraph"/>
        <w:numPr>
          <w:ilvl w:val="0"/>
          <w:numId w:val="1"/>
        </w:numPr>
        <w:rPr>
          <w:rFonts w:eastAsia="Arial" w:cs="Arial"/>
        </w:rPr>
      </w:pPr>
      <w:r w:rsidRPr="2CC68585">
        <w:rPr>
          <w:rFonts w:eastAsia="Arial" w:cs="Arial"/>
          <w:szCs w:val="24"/>
          <w:lang w:eastAsia="en-US"/>
        </w:rPr>
        <w:t>Cemetery and crematoria facilities.</w:t>
      </w:r>
    </w:p>
    <w:p w14:paraId="433CCC67" w14:textId="64388851" w:rsidR="632846AE" w:rsidRDefault="632846AE" w:rsidP="2CC68585">
      <w:pPr>
        <w:pStyle w:val="ListParagraph"/>
        <w:numPr>
          <w:ilvl w:val="0"/>
          <w:numId w:val="1"/>
        </w:numPr>
        <w:rPr>
          <w:rFonts w:eastAsia="Arial" w:cs="Arial"/>
        </w:rPr>
      </w:pPr>
      <w:r w:rsidRPr="2CC68585">
        <w:rPr>
          <w:rFonts w:eastAsia="Arial" w:cs="Arial"/>
          <w:szCs w:val="24"/>
          <w:lang w:eastAsia="en-US"/>
        </w:rPr>
        <w:t>Sector agreements to assist in reducing greenhouse gas emissions and meet legislated targets.</w:t>
      </w:r>
    </w:p>
    <w:p w14:paraId="39EAC1AC" w14:textId="50B55E44" w:rsidR="632846AE" w:rsidRDefault="632846AE" w:rsidP="2CC68585">
      <w:pPr>
        <w:pStyle w:val="ListParagraph"/>
        <w:numPr>
          <w:ilvl w:val="0"/>
          <w:numId w:val="1"/>
        </w:numPr>
        <w:rPr>
          <w:rFonts w:eastAsia="Arial" w:cs="Arial"/>
        </w:rPr>
      </w:pPr>
      <w:r w:rsidRPr="2CC68585">
        <w:rPr>
          <w:rFonts w:eastAsia="Arial" w:cs="Arial"/>
          <w:szCs w:val="24"/>
          <w:lang w:eastAsia="en-US"/>
        </w:rPr>
        <w:t>Construction occupation licensees.</w:t>
      </w:r>
    </w:p>
    <w:p w14:paraId="4C529C14" w14:textId="4969A18B" w:rsidR="632846AE" w:rsidRDefault="008A2E5F" w:rsidP="2CC68585">
      <w:pPr>
        <w:pStyle w:val="ListParagraph"/>
        <w:numPr>
          <w:ilvl w:val="0"/>
          <w:numId w:val="1"/>
        </w:numPr>
        <w:rPr>
          <w:rFonts w:eastAsia="Arial" w:cs="Arial"/>
        </w:rPr>
      </w:pPr>
      <w:r>
        <w:rPr>
          <w:rFonts w:eastAsia="Arial" w:cs="Arial"/>
          <w:szCs w:val="24"/>
          <w:lang w:eastAsia="en-US"/>
        </w:rPr>
        <w:t>Who is registered as as</w:t>
      </w:r>
      <w:r w:rsidR="632846AE" w:rsidRPr="2CC68585">
        <w:rPr>
          <w:rFonts w:eastAsia="Arial" w:cs="Arial"/>
          <w:szCs w:val="24"/>
          <w:lang w:eastAsia="en-US"/>
        </w:rPr>
        <w:t>sistance animal trainers and assessors.</w:t>
      </w:r>
    </w:p>
    <w:p w14:paraId="46DE096D" w14:textId="0969CBBE" w:rsidR="632846AE" w:rsidRDefault="632846AE" w:rsidP="2CC68585">
      <w:pPr>
        <w:pStyle w:val="ListParagraph"/>
        <w:numPr>
          <w:ilvl w:val="0"/>
          <w:numId w:val="1"/>
        </w:numPr>
        <w:rPr>
          <w:rFonts w:eastAsia="Arial" w:cs="Arial"/>
        </w:rPr>
      </w:pPr>
      <w:r w:rsidRPr="2CC68585">
        <w:rPr>
          <w:rFonts w:eastAsia="Arial" w:cs="Arial"/>
          <w:szCs w:val="24"/>
          <w:lang w:eastAsia="en-US"/>
        </w:rPr>
        <w:t>Who is registered as a professional engineer.</w:t>
      </w:r>
    </w:p>
    <w:p w14:paraId="22118E8D" w14:textId="198CC0AE" w:rsidR="632846AE" w:rsidRDefault="632846AE" w:rsidP="2CC68585">
      <w:pPr>
        <w:pStyle w:val="ListParagraph"/>
        <w:numPr>
          <w:ilvl w:val="0"/>
          <w:numId w:val="1"/>
        </w:numPr>
        <w:rPr>
          <w:rFonts w:eastAsia="Arial" w:cs="Arial"/>
        </w:rPr>
      </w:pPr>
      <w:r w:rsidRPr="2CC68585">
        <w:rPr>
          <w:rFonts w:eastAsia="Arial" w:cs="Arial"/>
          <w:szCs w:val="24"/>
          <w:lang w:eastAsia="en-US"/>
        </w:rPr>
        <w:t>Dams in the ACT.</w:t>
      </w:r>
    </w:p>
    <w:p w14:paraId="065DCCDF" w14:textId="5F265BA3" w:rsidR="632846AE" w:rsidRDefault="632846AE" w:rsidP="2CC68585">
      <w:pPr>
        <w:pStyle w:val="ListParagraph"/>
        <w:numPr>
          <w:ilvl w:val="0"/>
          <w:numId w:val="1"/>
        </w:numPr>
        <w:rPr>
          <w:rFonts w:eastAsia="Arial" w:cs="Arial"/>
        </w:rPr>
      </w:pPr>
      <w:r w:rsidRPr="2CC68585">
        <w:rPr>
          <w:rFonts w:eastAsia="Arial" w:cs="Arial"/>
          <w:szCs w:val="24"/>
          <w:lang w:eastAsia="en-US"/>
        </w:rPr>
        <w:t>Veterinary practitioners and veterinary premises.</w:t>
      </w:r>
    </w:p>
    <w:p w14:paraId="683AD054" w14:textId="03C8421A" w:rsidR="49A0317D" w:rsidRDefault="49A0317D" w:rsidP="49A0317D">
      <w:pPr>
        <w:rPr>
          <w:rFonts w:cs="Arial"/>
        </w:rPr>
      </w:pPr>
    </w:p>
    <w:p w14:paraId="75747BA3" w14:textId="15FBBDF4" w:rsidR="28569808" w:rsidRDefault="28569808" w:rsidP="49A0317D">
      <w:pPr>
        <w:rPr>
          <w:rFonts w:cs="Arial"/>
        </w:rPr>
      </w:pPr>
      <w:r w:rsidRPr="2CC68585">
        <w:rPr>
          <w:rFonts w:cs="Arial"/>
        </w:rPr>
        <w:t>The Bill will also make the following additional amendments to four Acts to ensure legislation remains up-to-date, relevant, and removes unnecessary burden:</w:t>
      </w:r>
    </w:p>
    <w:p w14:paraId="4DEE7464" w14:textId="075BC920" w:rsidR="28569808" w:rsidRDefault="4BAE900A" w:rsidP="2CC68585">
      <w:pPr>
        <w:pStyle w:val="ListParagraph"/>
        <w:numPr>
          <w:ilvl w:val="0"/>
          <w:numId w:val="6"/>
        </w:numPr>
        <w:spacing w:after="200" w:line="276" w:lineRule="auto"/>
        <w:rPr>
          <w:rFonts w:cs="Arial"/>
        </w:rPr>
      </w:pPr>
      <w:r w:rsidRPr="2CC68585">
        <w:rPr>
          <w:rFonts w:cs="Arial"/>
        </w:rPr>
        <w:t>a</w:t>
      </w:r>
      <w:r w:rsidR="28569808" w:rsidRPr="2CC68585">
        <w:rPr>
          <w:rFonts w:cs="Arial"/>
        </w:rPr>
        <w:t>mend</w:t>
      </w:r>
      <w:r w:rsidRPr="2CC68585">
        <w:rPr>
          <w:rFonts w:cs="Arial"/>
        </w:rPr>
        <w:t>ments to</w:t>
      </w:r>
      <w:r w:rsidR="28569808" w:rsidRPr="2CC68585">
        <w:rPr>
          <w:rFonts w:cs="Arial"/>
        </w:rPr>
        <w:t xml:space="preserve"> the </w:t>
      </w:r>
      <w:r w:rsidR="28569808" w:rsidRPr="2CC68585">
        <w:rPr>
          <w:rFonts w:cs="Arial"/>
          <w:i/>
          <w:iCs/>
        </w:rPr>
        <w:t>Legislation Act 2001</w:t>
      </w:r>
      <w:r w:rsidR="28569808" w:rsidRPr="2CC68585">
        <w:rPr>
          <w:rFonts w:cs="Arial"/>
        </w:rPr>
        <w:t xml:space="preserve"> to provide for payment neutrality;</w:t>
      </w:r>
    </w:p>
    <w:p w14:paraId="29D86ECC" w14:textId="38D1CC8E" w:rsidR="28569808" w:rsidRDefault="5AF2EA03" w:rsidP="2CC68585">
      <w:pPr>
        <w:pStyle w:val="ListParagraph"/>
        <w:numPr>
          <w:ilvl w:val="0"/>
          <w:numId w:val="6"/>
        </w:numPr>
        <w:spacing w:after="200" w:line="276" w:lineRule="auto"/>
        <w:rPr>
          <w:rFonts w:cs="Arial"/>
        </w:rPr>
      </w:pPr>
      <w:r w:rsidRPr="2CC68585">
        <w:rPr>
          <w:rFonts w:cs="Arial"/>
        </w:rPr>
        <w:lastRenderedPageBreak/>
        <w:t>a</w:t>
      </w:r>
      <w:r w:rsidR="28569808" w:rsidRPr="2CC68585">
        <w:rPr>
          <w:rFonts w:cs="Arial"/>
        </w:rPr>
        <w:t>mend</w:t>
      </w:r>
      <w:r w:rsidRPr="2CC68585">
        <w:rPr>
          <w:rFonts w:cs="Arial"/>
        </w:rPr>
        <w:t xml:space="preserve">ments to </w:t>
      </w:r>
      <w:r w:rsidR="28569808" w:rsidRPr="2CC68585">
        <w:rPr>
          <w:rFonts w:cs="Arial"/>
        </w:rPr>
        <w:t xml:space="preserve">the </w:t>
      </w:r>
      <w:r w:rsidR="28569808" w:rsidRPr="2CC68585">
        <w:rPr>
          <w:rFonts w:cs="Arial"/>
          <w:i/>
          <w:iCs/>
        </w:rPr>
        <w:t>Medicines, Poisons and Therapeutic Goods Act 2008</w:t>
      </w:r>
      <w:r w:rsidR="28569808" w:rsidRPr="2CC68585">
        <w:rPr>
          <w:rFonts w:cs="Arial"/>
        </w:rPr>
        <w:t xml:space="preserve"> to remove administrative burdens on businesses and the regulator by removing an offence provision so a licence-holder no longer has to return a licence if it is amended; </w:t>
      </w:r>
    </w:p>
    <w:p w14:paraId="6726A310" w14:textId="3B02A156" w:rsidR="28569808" w:rsidRDefault="40C6BB09" w:rsidP="2CC68585">
      <w:pPr>
        <w:pStyle w:val="ListParagraph"/>
        <w:numPr>
          <w:ilvl w:val="0"/>
          <w:numId w:val="6"/>
        </w:numPr>
        <w:spacing w:after="200" w:line="276" w:lineRule="auto"/>
        <w:rPr>
          <w:rFonts w:cs="Arial"/>
        </w:rPr>
      </w:pPr>
      <w:r w:rsidRPr="2CC68585">
        <w:rPr>
          <w:rFonts w:cs="Arial"/>
        </w:rPr>
        <w:t>u</w:t>
      </w:r>
      <w:r w:rsidR="28569808" w:rsidRPr="2CC68585">
        <w:rPr>
          <w:rFonts w:cs="Arial"/>
        </w:rPr>
        <w:t>pdat</w:t>
      </w:r>
      <w:r w:rsidRPr="2CC68585">
        <w:rPr>
          <w:rFonts w:cs="Arial"/>
        </w:rPr>
        <w:t xml:space="preserve">ing gender </w:t>
      </w:r>
      <w:r w:rsidR="28569808" w:rsidRPr="2CC68585">
        <w:rPr>
          <w:rFonts w:cs="Arial"/>
        </w:rPr>
        <w:t xml:space="preserve">references in the </w:t>
      </w:r>
      <w:r w:rsidR="28569808" w:rsidRPr="2CC68585">
        <w:rPr>
          <w:rFonts w:cs="Arial"/>
          <w:i/>
          <w:iCs/>
        </w:rPr>
        <w:t>Pool Betting Act 1964</w:t>
      </w:r>
      <w:r w:rsidR="28569808" w:rsidRPr="2CC68585">
        <w:rPr>
          <w:rFonts w:cs="Arial"/>
        </w:rPr>
        <w:t xml:space="preserve"> to provide for gender-neutral language; and</w:t>
      </w:r>
    </w:p>
    <w:p w14:paraId="32612E76" w14:textId="43B43A1B" w:rsidR="28569808" w:rsidRDefault="477BD901" w:rsidP="2CC68585">
      <w:pPr>
        <w:pStyle w:val="ListParagraph"/>
        <w:numPr>
          <w:ilvl w:val="0"/>
          <w:numId w:val="6"/>
        </w:numPr>
        <w:spacing w:after="200" w:line="276" w:lineRule="auto"/>
        <w:rPr>
          <w:rFonts w:cs="Arial"/>
        </w:rPr>
      </w:pPr>
      <w:r w:rsidRPr="2CC68585">
        <w:rPr>
          <w:rFonts w:cs="Arial"/>
        </w:rPr>
        <w:t>a</w:t>
      </w:r>
      <w:r w:rsidR="28569808" w:rsidRPr="2CC68585">
        <w:rPr>
          <w:rFonts w:cs="Arial"/>
        </w:rPr>
        <w:t>mend</w:t>
      </w:r>
      <w:r w:rsidR="59722F2E" w:rsidRPr="2CC68585">
        <w:rPr>
          <w:rFonts w:cs="Arial"/>
        </w:rPr>
        <w:t xml:space="preserve">ments </w:t>
      </w:r>
      <w:r w:rsidRPr="2CC68585">
        <w:rPr>
          <w:rFonts w:cs="Arial"/>
        </w:rPr>
        <w:t>to</w:t>
      </w:r>
      <w:r w:rsidR="28569808" w:rsidRPr="2CC68585">
        <w:rPr>
          <w:rFonts w:cs="Arial"/>
        </w:rPr>
        <w:t xml:space="preserve"> the </w:t>
      </w:r>
      <w:r w:rsidR="28569808" w:rsidRPr="2CC68585">
        <w:rPr>
          <w:rFonts w:cs="Arial"/>
          <w:i/>
          <w:iCs/>
        </w:rPr>
        <w:t>Waste Management and Resource Recovery Act 2016</w:t>
      </w:r>
      <w:r w:rsidR="28569808" w:rsidRPr="2CC68585">
        <w:rPr>
          <w:rFonts w:cs="Arial"/>
        </w:rPr>
        <w:t xml:space="preserve"> to align the legislation with regulator best practice, remove regulatory burdens, and provide for a more agile regulatory framework for licence and registration holders. To increase transparency, a number of amendments will also see more reviewable decisions added to the Act.</w:t>
      </w:r>
    </w:p>
    <w:p w14:paraId="429B07C7" w14:textId="7402360A" w:rsidR="49A0317D" w:rsidRDefault="130F6E15" w:rsidP="2CC68585">
      <w:pPr>
        <w:rPr>
          <w:rFonts w:cs="Arial"/>
          <w:i/>
          <w:iCs/>
        </w:rPr>
      </w:pPr>
      <w:r w:rsidRPr="2CC68585">
        <w:rPr>
          <w:rFonts w:cs="Arial"/>
          <w:i/>
          <w:iCs/>
        </w:rPr>
        <w:t>Technical amendments to existing offences</w:t>
      </w:r>
    </w:p>
    <w:p w14:paraId="32C1DC0E" w14:textId="082BCA5A" w:rsidR="130F6E15" w:rsidRDefault="130F6E15" w:rsidP="2CC68585">
      <w:pPr>
        <w:rPr>
          <w:rFonts w:cs="Arial"/>
        </w:rPr>
      </w:pPr>
      <w:r w:rsidRPr="2CC68585">
        <w:rPr>
          <w:rFonts w:cs="Arial"/>
        </w:rPr>
        <w:t xml:space="preserve">The Bill </w:t>
      </w:r>
      <w:r w:rsidR="3D0E440F" w:rsidRPr="2CC68585">
        <w:rPr>
          <w:rFonts w:cs="Arial"/>
        </w:rPr>
        <w:t xml:space="preserve">also </w:t>
      </w:r>
      <w:r w:rsidRPr="2CC68585">
        <w:rPr>
          <w:rFonts w:cs="Arial"/>
        </w:rPr>
        <w:t>makes technical amendments to a number of offence</w:t>
      </w:r>
      <w:r w:rsidR="04C69E38" w:rsidRPr="2CC68585">
        <w:rPr>
          <w:rFonts w:cs="Arial"/>
        </w:rPr>
        <w:t xml:space="preserve"> provisions </w:t>
      </w:r>
      <w:r w:rsidRPr="2CC68585">
        <w:rPr>
          <w:rFonts w:cs="Arial"/>
        </w:rPr>
        <w:t xml:space="preserve">in </w:t>
      </w:r>
      <w:r w:rsidR="276B0B32" w:rsidRPr="2CC68585">
        <w:rPr>
          <w:rFonts w:cs="Arial"/>
        </w:rPr>
        <w:t xml:space="preserve">current </w:t>
      </w:r>
      <w:r w:rsidRPr="2CC68585">
        <w:rPr>
          <w:rFonts w:cs="Arial"/>
        </w:rPr>
        <w:t>legislation. The</w:t>
      </w:r>
      <w:r w:rsidR="56617C9D" w:rsidRPr="2CC68585">
        <w:rPr>
          <w:rFonts w:cs="Arial"/>
        </w:rPr>
        <w:t xml:space="preserve">se amendments are </w:t>
      </w:r>
      <w:r w:rsidR="6AA61809" w:rsidRPr="2CC68585">
        <w:rPr>
          <w:rFonts w:cs="Arial"/>
        </w:rPr>
        <w:t xml:space="preserve">purely </w:t>
      </w:r>
      <w:r w:rsidR="7A5805A5" w:rsidRPr="2CC68585">
        <w:rPr>
          <w:rFonts w:cs="Arial"/>
        </w:rPr>
        <w:t xml:space="preserve">incidental to other amendments made in this Bill and </w:t>
      </w:r>
      <w:r w:rsidR="1F078F5F" w:rsidRPr="2CC68585">
        <w:rPr>
          <w:rFonts w:cs="Arial"/>
        </w:rPr>
        <w:t xml:space="preserve">are </w:t>
      </w:r>
      <w:r w:rsidR="56617C9D" w:rsidRPr="2CC68585">
        <w:rPr>
          <w:rFonts w:cs="Arial"/>
        </w:rPr>
        <w:t xml:space="preserve">necessary </w:t>
      </w:r>
      <w:r w:rsidR="498E3902" w:rsidRPr="2CC68585">
        <w:rPr>
          <w:rFonts w:cs="Arial"/>
        </w:rPr>
        <w:t xml:space="preserve">to ensure the proper functioning of the regulatory frameworks. </w:t>
      </w:r>
    </w:p>
    <w:p w14:paraId="1CDE9793" w14:textId="17ABA392" w:rsidR="498E3902" w:rsidRDefault="498E3902" w:rsidP="2CC68585">
      <w:pPr>
        <w:rPr>
          <w:rFonts w:cs="Arial"/>
        </w:rPr>
      </w:pPr>
      <w:r w:rsidRPr="2CC68585">
        <w:rPr>
          <w:rFonts w:cs="Arial"/>
        </w:rPr>
        <w:t xml:space="preserve">Three offences are amended in the </w:t>
      </w:r>
      <w:r w:rsidRPr="2CC68585">
        <w:rPr>
          <w:rFonts w:cs="Arial"/>
          <w:i/>
          <w:iCs/>
        </w:rPr>
        <w:t>Public Health Act 1997</w:t>
      </w:r>
      <w:r w:rsidRPr="2CC68585">
        <w:rPr>
          <w:rFonts w:cs="Arial"/>
        </w:rPr>
        <w:t xml:space="preserve"> </w:t>
      </w:r>
      <w:r w:rsidR="1F08B497" w:rsidRPr="2CC68585">
        <w:rPr>
          <w:rFonts w:cs="Arial"/>
        </w:rPr>
        <w:t xml:space="preserve">which are incidental to the amendments </w:t>
      </w:r>
      <w:r w:rsidR="45E5C6A9" w:rsidRPr="2CC68585">
        <w:rPr>
          <w:rFonts w:cs="Arial"/>
        </w:rPr>
        <w:t xml:space="preserve">that </w:t>
      </w:r>
      <w:r w:rsidR="1F08B497" w:rsidRPr="2CC68585">
        <w:rPr>
          <w:rFonts w:cs="Arial"/>
        </w:rPr>
        <w:t xml:space="preserve">the Bill makes to public registers </w:t>
      </w:r>
      <w:r w:rsidR="0D3E32F1" w:rsidRPr="2CC68585">
        <w:rPr>
          <w:rFonts w:cs="Arial"/>
        </w:rPr>
        <w:t xml:space="preserve">provided </w:t>
      </w:r>
      <w:r w:rsidR="1F08B497" w:rsidRPr="2CC68585">
        <w:rPr>
          <w:rFonts w:cs="Arial"/>
        </w:rPr>
        <w:t xml:space="preserve">in the </w:t>
      </w:r>
      <w:r w:rsidR="320A748B" w:rsidRPr="2CC68585">
        <w:rPr>
          <w:rFonts w:cs="Arial"/>
        </w:rPr>
        <w:t>Act. These offences are in relation to the inspection of licences</w:t>
      </w:r>
      <w:r w:rsidR="1F08B497" w:rsidRPr="2CC68585">
        <w:rPr>
          <w:rFonts w:cs="Arial"/>
        </w:rPr>
        <w:t xml:space="preserve"> for licensable public health risk activities</w:t>
      </w:r>
      <w:r w:rsidR="185FD355" w:rsidRPr="2CC68585">
        <w:rPr>
          <w:rFonts w:cs="Arial"/>
        </w:rPr>
        <w:t xml:space="preserve"> (section 42B</w:t>
      </w:r>
      <w:r w:rsidR="3E578D23" w:rsidRPr="2CC68585">
        <w:rPr>
          <w:rFonts w:cs="Arial"/>
        </w:rPr>
        <w:t>)</w:t>
      </w:r>
      <w:r w:rsidR="214CA713" w:rsidRPr="2CC68585">
        <w:rPr>
          <w:rFonts w:cs="Arial"/>
        </w:rPr>
        <w:t xml:space="preserve"> and </w:t>
      </w:r>
      <w:r w:rsidR="185FD355" w:rsidRPr="2CC68585">
        <w:rPr>
          <w:rFonts w:cs="Arial"/>
        </w:rPr>
        <w:t>licensable public health risk procedures (section 56B)</w:t>
      </w:r>
      <w:r w:rsidR="7C8A6C7D" w:rsidRPr="2CC68585">
        <w:rPr>
          <w:rFonts w:cs="Arial"/>
        </w:rPr>
        <w:t>, along with the inspection of records for registered persons (section 56U). The wording of the</w:t>
      </w:r>
      <w:r w:rsidR="1DFAC78E" w:rsidRPr="2CC68585">
        <w:rPr>
          <w:rFonts w:cs="Arial"/>
        </w:rPr>
        <w:t xml:space="preserve"> three provisions </w:t>
      </w:r>
      <w:r w:rsidR="7C8A6C7D" w:rsidRPr="2CC68585">
        <w:rPr>
          <w:rFonts w:cs="Arial"/>
        </w:rPr>
        <w:t xml:space="preserve">is being substituted to align with other amendments in the Bill, </w:t>
      </w:r>
      <w:r w:rsidR="0551E855" w:rsidRPr="2CC68585">
        <w:rPr>
          <w:rFonts w:cs="Arial"/>
        </w:rPr>
        <w:t xml:space="preserve">however, </w:t>
      </w:r>
      <w:r w:rsidR="7C8A6C7D" w:rsidRPr="2CC68585">
        <w:rPr>
          <w:rFonts w:cs="Arial"/>
        </w:rPr>
        <w:t>there is no ch</w:t>
      </w:r>
      <w:r w:rsidR="4DCB4AE7" w:rsidRPr="2CC68585">
        <w:rPr>
          <w:rFonts w:cs="Arial"/>
        </w:rPr>
        <w:t xml:space="preserve">ange to the </w:t>
      </w:r>
      <w:r w:rsidR="2A0C8CE4" w:rsidRPr="2CC68585">
        <w:rPr>
          <w:rFonts w:cs="Arial"/>
        </w:rPr>
        <w:t xml:space="preserve">existing </w:t>
      </w:r>
      <w:r w:rsidR="4DCB4AE7" w:rsidRPr="2CC68585">
        <w:rPr>
          <w:rFonts w:cs="Arial"/>
        </w:rPr>
        <w:t>offence</w:t>
      </w:r>
      <w:r w:rsidR="42A42D11" w:rsidRPr="2CC68585">
        <w:rPr>
          <w:rFonts w:cs="Arial"/>
        </w:rPr>
        <w:t>s</w:t>
      </w:r>
      <w:r w:rsidR="4DCB4AE7" w:rsidRPr="2CC68585">
        <w:rPr>
          <w:rFonts w:cs="Arial"/>
        </w:rPr>
        <w:t xml:space="preserve"> or associated penalty units. </w:t>
      </w:r>
    </w:p>
    <w:p w14:paraId="5B5A10F8" w14:textId="1060E42A" w:rsidR="4DCB4AE7" w:rsidRDefault="4DCB4AE7" w:rsidP="2CC68585">
      <w:pPr>
        <w:rPr>
          <w:rFonts w:cs="Arial"/>
        </w:rPr>
      </w:pPr>
      <w:r w:rsidRPr="2CC68585">
        <w:rPr>
          <w:rFonts w:cs="Arial"/>
        </w:rPr>
        <w:t xml:space="preserve">Additionally, a strict liability offence </w:t>
      </w:r>
      <w:r w:rsidR="61A96343" w:rsidRPr="2CC68585">
        <w:rPr>
          <w:rFonts w:cs="Arial"/>
        </w:rPr>
        <w:t xml:space="preserve">for the contravention of a container approval condition </w:t>
      </w:r>
      <w:r w:rsidRPr="2CC68585">
        <w:rPr>
          <w:rFonts w:cs="Arial"/>
        </w:rPr>
        <w:t xml:space="preserve">is </w:t>
      </w:r>
      <w:r w:rsidR="120B4189" w:rsidRPr="2CC68585">
        <w:rPr>
          <w:rFonts w:cs="Arial"/>
        </w:rPr>
        <w:t xml:space="preserve">being </w:t>
      </w:r>
      <w:r w:rsidRPr="2CC68585">
        <w:rPr>
          <w:rFonts w:cs="Arial"/>
        </w:rPr>
        <w:t xml:space="preserve">amended in the </w:t>
      </w:r>
      <w:r w:rsidRPr="2CC68585">
        <w:rPr>
          <w:rFonts w:cs="Arial"/>
          <w:i/>
          <w:iCs/>
        </w:rPr>
        <w:t>Waste Ma</w:t>
      </w:r>
      <w:r w:rsidR="5CA293D1" w:rsidRPr="2CC68585">
        <w:rPr>
          <w:rFonts w:cs="Arial"/>
          <w:i/>
          <w:iCs/>
        </w:rPr>
        <w:t>nagement and Resource Recovery Act 2016</w:t>
      </w:r>
      <w:r w:rsidR="5CA293D1" w:rsidRPr="2CC68585">
        <w:rPr>
          <w:rFonts w:cs="Arial"/>
        </w:rPr>
        <w:t xml:space="preserve">. </w:t>
      </w:r>
      <w:r w:rsidR="6A086183" w:rsidRPr="2CC68585">
        <w:rPr>
          <w:rFonts w:cs="Arial"/>
        </w:rPr>
        <w:t>The Bill introduces new section 64VA into the Act which contains t</w:t>
      </w:r>
      <w:r w:rsidR="3A3A1AB1" w:rsidRPr="2CC68585">
        <w:rPr>
          <w:rFonts w:cs="Arial"/>
        </w:rPr>
        <w:t xml:space="preserve">his offence which was previously located in sections 64V(8) and (9). The intent of </w:t>
      </w:r>
      <w:r w:rsidR="106D5970" w:rsidRPr="2CC68585">
        <w:rPr>
          <w:rFonts w:cs="Arial"/>
        </w:rPr>
        <w:t>moving this provision is to provide clarity for the offence</w:t>
      </w:r>
      <w:r w:rsidR="00CA69DC">
        <w:rPr>
          <w:rFonts w:cs="Arial"/>
        </w:rPr>
        <w:t xml:space="preserve">. The </w:t>
      </w:r>
      <w:r w:rsidR="2F90A1D5" w:rsidRPr="2CC68585">
        <w:rPr>
          <w:rFonts w:cs="Arial"/>
        </w:rPr>
        <w:t xml:space="preserve">Bill </w:t>
      </w:r>
      <w:r w:rsidR="106D5970" w:rsidRPr="2CC68585">
        <w:rPr>
          <w:rFonts w:cs="Arial"/>
        </w:rPr>
        <w:t>do</w:t>
      </w:r>
      <w:r w:rsidR="63180E20" w:rsidRPr="2CC68585">
        <w:rPr>
          <w:rFonts w:cs="Arial"/>
        </w:rPr>
        <w:t>es</w:t>
      </w:r>
      <w:r w:rsidR="106D5970" w:rsidRPr="2CC68585">
        <w:rPr>
          <w:rFonts w:cs="Arial"/>
        </w:rPr>
        <w:t xml:space="preserve"> not propose a change to the </w:t>
      </w:r>
      <w:r w:rsidR="34F12ABF" w:rsidRPr="2CC68585">
        <w:rPr>
          <w:rFonts w:cs="Arial"/>
        </w:rPr>
        <w:t xml:space="preserve">existing </w:t>
      </w:r>
      <w:r w:rsidR="106D5970" w:rsidRPr="2CC68585">
        <w:rPr>
          <w:rFonts w:cs="Arial"/>
        </w:rPr>
        <w:t>offence</w:t>
      </w:r>
      <w:r w:rsidR="2B6D65F1" w:rsidRPr="2CC68585">
        <w:rPr>
          <w:rFonts w:cs="Arial"/>
        </w:rPr>
        <w:t xml:space="preserve"> or associated penalty units.</w:t>
      </w:r>
      <w:r w:rsidR="104A94F9" w:rsidRPr="2CC68585">
        <w:rPr>
          <w:rFonts w:cs="Arial"/>
        </w:rPr>
        <w:t xml:space="preserve"> </w:t>
      </w:r>
      <w:r w:rsidR="2873C300" w:rsidRPr="2CC68585">
        <w:rPr>
          <w:rFonts w:cs="Arial"/>
        </w:rPr>
        <w:t xml:space="preserve">This strict liability offence was justified when it was introduced into the Act </w:t>
      </w:r>
      <w:r w:rsidR="104A94F9" w:rsidRPr="2CC68585">
        <w:rPr>
          <w:rFonts w:cs="Arial"/>
        </w:rPr>
        <w:t xml:space="preserve">by the Waste Management and Resource Recovery Amendment </w:t>
      </w:r>
      <w:r w:rsidR="11DEE251" w:rsidRPr="2CC68585">
        <w:rPr>
          <w:rFonts w:cs="Arial"/>
        </w:rPr>
        <w:t xml:space="preserve">Bill </w:t>
      </w:r>
      <w:r w:rsidR="104A94F9" w:rsidRPr="2CC68585">
        <w:rPr>
          <w:rFonts w:cs="Arial"/>
        </w:rPr>
        <w:t>2017</w:t>
      </w:r>
      <w:r w:rsidR="3796BE09" w:rsidRPr="2CC68585">
        <w:rPr>
          <w:rFonts w:cs="Arial"/>
        </w:rPr>
        <w:t>, with the Explanatory Statement noting this offence limited the right of the presumption of innocence.</w:t>
      </w:r>
    </w:p>
    <w:p w14:paraId="25E5EC3A" w14:textId="1874AE9F" w:rsidR="00E90DF9" w:rsidRDefault="00E90DF9" w:rsidP="2CC68585">
      <w:pPr>
        <w:rPr>
          <w:rFonts w:cs="Arial"/>
          <w:b/>
          <w:bCs/>
        </w:rPr>
      </w:pPr>
      <w:r w:rsidRPr="2CC68585">
        <w:rPr>
          <w:rFonts w:cs="Arial"/>
          <w:b/>
          <w:bCs/>
        </w:rPr>
        <w:t>CONSULTATION ON THE PROPOSED APPROACH</w:t>
      </w:r>
    </w:p>
    <w:p w14:paraId="385B34AA" w14:textId="4071FA4F" w:rsidR="00E90DF9" w:rsidRDefault="00FE1AD1" w:rsidP="00E90DF9">
      <w:pPr>
        <w:rPr>
          <w:rFonts w:cs="Arial"/>
          <w:i/>
          <w:color w:val="FF0000"/>
          <w:szCs w:val="24"/>
        </w:rPr>
      </w:pPr>
      <w:r w:rsidRPr="2CC68585">
        <w:rPr>
          <w:rFonts w:cs="Arial"/>
        </w:rPr>
        <w:t xml:space="preserve">As the Bill is an Omnibus </w:t>
      </w:r>
      <w:r w:rsidR="00EA054B" w:rsidRPr="2CC68585">
        <w:rPr>
          <w:rFonts w:cs="Arial"/>
        </w:rPr>
        <w:t xml:space="preserve">Amendment </w:t>
      </w:r>
      <w:r w:rsidRPr="2CC68585">
        <w:rPr>
          <w:rFonts w:cs="Arial"/>
        </w:rPr>
        <w:t>Bill, targeted consultation on the Bill was conducted internally with relevant ACT Government agencies only.</w:t>
      </w:r>
    </w:p>
    <w:p w14:paraId="1C3BAD95" w14:textId="01B33A05" w:rsidR="2CC68585" w:rsidRDefault="2CC68585" w:rsidP="2CC68585">
      <w:pPr>
        <w:rPr>
          <w:rFonts w:cs="Arial"/>
          <w:b/>
          <w:bCs/>
        </w:rPr>
      </w:pPr>
    </w:p>
    <w:p w14:paraId="0D29F33F" w14:textId="06079DC2" w:rsidR="2CC68585" w:rsidRDefault="2CC68585" w:rsidP="2CC68585">
      <w:pPr>
        <w:rPr>
          <w:rFonts w:cs="Arial"/>
          <w:b/>
          <w:bCs/>
        </w:rPr>
      </w:pPr>
    </w:p>
    <w:p w14:paraId="23CB6687" w14:textId="7173A279" w:rsidR="00CF76B1" w:rsidRPr="005B0897" w:rsidRDefault="00CF76B1" w:rsidP="00D15AE2">
      <w:pPr>
        <w:rPr>
          <w:rFonts w:cs="Arial"/>
          <w:b/>
          <w:szCs w:val="24"/>
        </w:rPr>
      </w:pPr>
      <w:r w:rsidRPr="005B0897">
        <w:rPr>
          <w:rFonts w:cs="Arial"/>
          <w:b/>
          <w:szCs w:val="24"/>
        </w:rPr>
        <w:lastRenderedPageBreak/>
        <w:t>CLIMATE IMPACT</w:t>
      </w:r>
    </w:p>
    <w:p w14:paraId="693A830B" w14:textId="77777777" w:rsidR="00FE1AD1" w:rsidRDefault="00FE1AD1" w:rsidP="00D15AE2">
      <w:pPr>
        <w:pStyle w:val="Heading2"/>
        <w:spacing w:after="200"/>
        <w:rPr>
          <w:rFonts w:cs="Arial"/>
          <w:b w:val="0"/>
          <w:bCs/>
          <w:color w:val="000000"/>
          <w:szCs w:val="24"/>
        </w:rPr>
      </w:pPr>
      <w:r w:rsidRPr="006615DB">
        <w:rPr>
          <w:rFonts w:cs="Arial"/>
          <w:b w:val="0"/>
          <w:bCs/>
          <w:color w:val="000000"/>
          <w:szCs w:val="24"/>
        </w:rPr>
        <w:t>Not applicable</w:t>
      </w:r>
      <w:r>
        <w:rPr>
          <w:rFonts w:cs="Arial"/>
          <w:b w:val="0"/>
          <w:bCs/>
          <w:color w:val="000000"/>
          <w:szCs w:val="24"/>
        </w:rPr>
        <w:t>.</w:t>
      </w:r>
    </w:p>
    <w:p w14:paraId="1E002791" w14:textId="78540440" w:rsidR="00E90DF9" w:rsidRDefault="00E90DF9" w:rsidP="00D15AE2">
      <w:pPr>
        <w:pStyle w:val="Heading2"/>
        <w:spacing w:before="0" w:after="200"/>
      </w:pPr>
      <w:r>
        <w:t xml:space="preserve">CONSISTENCY WITH </w:t>
      </w:r>
      <w:r w:rsidRPr="008C225D">
        <w:t>HUMAN RIGHTS</w:t>
      </w:r>
    </w:p>
    <w:p w14:paraId="06FAA166" w14:textId="2C28FC8D" w:rsidR="00E90DF9" w:rsidRDefault="20CFB7D1" w:rsidP="3238681A">
      <w:pPr>
        <w:rPr>
          <w:rFonts w:cs="Arial"/>
          <w:i/>
          <w:iCs/>
          <w:color w:val="FF0000"/>
        </w:rPr>
      </w:pPr>
      <w:r w:rsidRPr="3238681A">
        <w:rPr>
          <w:rFonts w:cs="Arial"/>
        </w:rPr>
        <w:t xml:space="preserve">The Bill </w:t>
      </w:r>
      <w:r w:rsidRPr="3238681A">
        <w:rPr>
          <w:rFonts w:cs="Arial"/>
          <w:b/>
          <w:bCs/>
        </w:rPr>
        <w:t>is</w:t>
      </w:r>
      <w:r w:rsidRPr="3238681A">
        <w:rPr>
          <w:rFonts w:cs="Arial"/>
        </w:rPr>
        <w:t xml:space="preserve"> </w:t>
      </w:r>
      <w:r w:rsidRPr="3238681A">
        <w:rPr>
          <w:rFonts w:cs="Arial"/>
          <w:b/>
          <w:bCs/>
        </w:rPr>
        <w:t>not</w:t>
      </w:r>
      <w:r w:rsidRPr="3238681A">
        <w:rPr>
          <w:rFonts w:cs="Arial"/>
        </w:rPr>
        <w:t xml:space="preserve"> a Significant Bill. Significant Bills are bills that have been assessed as likely to have significant engagement of human rights and require more detailed reasoning in relation to compatibility with the </w:t>
      </w:r>
      <w:r w:rsidRPr="3238681A">
        <w:rPr>
          <w:rFonts w:cs="Arial"/>
          <w:i/>
          <w:iCs/>
        </w:rPr>
        <w:t>Human Rights Act 2004</w:t>
      </w:r>
      <w:r w:rsidR="07548D8B" w:rsidRPr="3238681A">
        <w:rPr>
          <w:rFonts w:cs="Arial"/>
        </w:rPr>
        <w:t xml:space="preserve"> (the </w:t>
      </w:r>
      <w:r w:rsidR="07548D8B" w:rsidRPr="3238681A">
        <w:rPr>
          <w:rFonts w:cs="Arial"/>
          <w:b/>
          <w:bCs/>
        </w:rPr>
        <w:t>HR Act</w:t>
      </w:r>
      <w:r w:rsidR="07548D8B" w:rsidRPr="3238681A">
        <w:rPr>
          <w:rFonts w:cs="Arial"/>
        </w:rPr>
        <w:t>)</w:t>
      </w:r>
      <w:r w:rsidR="0D9210A5" w:rsidRPr="3238681A">
        <w:rPr>
          <w:rFonts w:cs="Arial"/>
          <w:i/>
          <w:iCs/>
          <w:color w:val="FF0000"/>
        </w:rPr>
        <w:t xml:space="preserve">. </w:t>
      </w:r>
    </w:p>
    <w:p w14:paraId="3AA827AB" w14:textId="60EFD6C6" w:rsidR="00E90DF9" w:rsidRPr="00CD21EE" w:rsidRDefault="00E90DF9" w:rsidP="00E90DF9">
      <w:pPr>
        <w:rPr>
          <w:rFonts w:cs="Arial"/>
          <w:b/>
          <w:bCs/>
          <w:iCs/>
          <w:szCs w:val="24"/>
        </w:rPr>
      </w:pPr>
      <w:r w:rsidRPr="00CD21EE">
        <w:rPr>
          <w:rFonts w:cs="Arial"/>
          <w:b/>
          <w:bCs/>
          <w:iCs/>
          <w:szCs w:val="24"/>
        </w:rPr>
        <w:t>Rights engaged</w:t>
      </w:r>
    </w:p>
    <w:p w14:paraId="4611E317" w14:textId="721E2607" w:rsidR="00FE1AD1" w:rsidRPr="00CD21EE" w:rsidRDefault="20CFB7D1" w:rsidP="41F77E41">
      <w:pPr>
        <w:rPr>
          <w:rFonts w:eastAsia="Arial" w:cs="Arial"/>
          <w:color w:val="000000" w:themeColor="text1"/>
        </w:rPr>
      </w:pPr>
      <w:r w:rsidRPr="3238681A">
        <w:rPr>
          <w:rFonts w:eastAsia="Arial" w:cs="Arial"/>
          <w:color w:val="000000" w:themeColor="text1"/>
        </w:rPr>
        <w:t xml:space="preserve">The Bill engages the following rights under the </w:t>
      </w:r>
      <w:r w:rsidR="12729F1E" w:rsidRPr="3238681A">
        <w:rPr>
          <w:rFonts w:eastAsia="Arial" w:cs="Arial"/>
          <w:color w:val="000000" w:themeColor="text1"/>
        </w:rPr>
        <w:t>HR Act</w:t>
      </w:r>
      <w:r w:rsidRPr="3238681A">
        <w:rPr>
          <w:rFonts w:eastAsia="Arial" w:cs="Arial"/>
          <w:color w:val="000000" w:themeColor="text1"/>
        </w:rPr>
        <w:t xml:space="preserve">: </w:t>
      </w:r>
    </w:p>
    <w:p w14:paraId="1C3112AF" w14:textId="701DEC48" w:rsidR="00664260" w:rsidRDefault="00664260" w:rsidP="49A0317D">
      <w:pPr>
        <w:pStyle w:val="ListParagraph"/>
        <w:numPr>
          <w:ilvl w:val="0"/>
          <w:numId w:val="20"/>
        </w:numPr>
        <w:spacing w:line="276" w:lineRule="auto"/>
        <w:rPr>
          <w:rFonts w:cs="Arial"/>
        </w:rPr>
      </w:pPr>
      <w:r w:rsidRPr="2CC68585">
        <w:rPr>
          <w:rFonts w:cs="Arial"/>
        </w:rPr>
        <w:t xml:space="preserve">Section 12 – Right to privacy and reputation </w:t>
      </w:r>
      <w:r w:rsidR="0EEAB425" w:rsidRPr="2CC68585">
        <w:rPr>
          <w:rFonts w:cs="Arial"/>
        </w:rPr>
        <w:t>(limited)</w:t>
      </w:r>
      <w:r w:rsidR="00CA69DC">
        <w:rPr>
          <w:rFonts w:cs="Arial"/>
        </w:rPr>
        <w:t>.</w:t>
      </w:r>
    </w:p>
    <w:p w14:paraId="21A6939A" w14:textId="46FE7BDE" w:rsidR="00664260" w:rsidRDefault="00664260" w:rsidP="49A0317D">
      <w:pPr>
        <w:pStyle w:val="ListParagraph"/>
        <w:numPr>
          <w:ilvl w:val="0"/>
          <w:numId w:val="20"/>
        </w:numPr>
        <w:spacing w:line="276" w:lineRule="auto"/>
        <w:rPr>
          <w:rFonts w:cs="Arial"/>
        </w:rPr>
      </w:pPr>
      <w:r w:rsidRPr="2CC68585">
        <w:rPr>
          <w:rFonts w:cs="Arial"/>
        </w:rPr>
        <w:t>Section 16 – Right to freedom of expression</w:t>
      </w:r>
      <w:r w:rsidR="35E003A7" w:rsidRPr="2CC68585">
        <w:rPr>
          <w:rFonts w:cs="Arial"/>
        </w:rPr>
        <w:t xml:space="preserve"> (promoted)</w:t>
      </w:r>
      <w:r w:rsidR="00CA69DC">
        <w:rPr>
          <w:rFonts w:cs="Arial"/>
        </w:rPr>
        <w:t>.</w:t>
      </w:r>
    </w:p>
    <w:p w14:paraId="147B9A06" w14:textId="5EB8A7DD" w:rsidR="00E97A60" w:rsidRDefault="00E97A60" w:rsidP="49A0317D">
      <w:pPr>
        <w:pStyle w:val="ListParagraph"/>
        <w:numPr>
          <w:ilvl w:val="0"/>
          <w:numId w:val="20"/>
        </w:numPr>
        <w:spacing w:line="276" w:lineRule="auto"/>
        <w:rPr>
          <w:rFonts w:cs="Arial"/>
        </w:rPr>
      </w:pPr>
      <w:r>
        <w:rPr>
          <w:rFonts w:cs="Arial"/>
        </w:rPr>
        <w:t>Section 21 – Right to fair trial (promoted).</w:t>
      </w:r>
    </w:p>
    <w:p w14:paraId="0E792E20" w14:textId="2BE2DB47" w:rsidR="00664260" w:rsidRDefault="00664260" w:rsidP="49A0317D">
      <w:pPr>
        <w:pStyle w:val="ListParagraph"/>
        <w:numPr>
          <w:ilvl w:val="0"/>
          <w:numId w:val="20"/>
        </w:numPr>
        <w:spacing w:line="276" w:lineRule="auto"/>
        <w:rPr>
          <w:rFonts w:cs="Arial"/>
        </w:rPr>
      </w:pPr>
      <w:r w:rsidRPr="2CC68585">
        <w:rPr>
          <w:rFonts w:cs="Arial"/>
        </w:rPr>
        <w:t>Section 22 – Rights in criminal proceedings</w:t>
      </w:r>
      <w:r w:rsidR="022C07F7" w:rsidRPr="2CC68585">
        <w:rPr>
          <w:rFonts w:cs="Arial"/>
        </w:rPr>
        <w:t xml:space="preserve"> (limited)</w:t>
      </w:r>
      <w:r w:rsidR="00CA69DC">
        <w:rPr>
          <w:rFonts w:cs="Arial"/>
        </w:rPr>
        <w:t>.</w:t>
      </w:r>
    </w:p>
    <w:p w14:paraId="59EB376C" w14:textId="77777777" w:rsidR="00664260" w:rsidRPr="0076087B" w:rsidRDefault="00664260" w:rsidP="00664260">
      <w:pPr>
        <w:pStyle w:val="ListParagraph"/>
        <w:rPr>
          <w:rFonts w:cs="Arial"/>
          <w:iCs/>
          <w:szCs w:val="24"/>
        </w:rPr>
      </w:pPr>
    </w:p>
    <w:p w14:paraId="2FBA141C" w14:textId="77777777" w:rsidR="00664260" w:rsidRPr="00BC3EF0" w:rsidRDefault="00664260" w:rsidP="2CC68585">
      <w:pPr>
        <w:rPr>
          <w:rFonts w:cs="Arial"/>
          <w:b/>
          <w:bCs/>
          <w:i/>
          <w:iCs/>
        </w:rPr>
      </w:pPr>
      <w:r w:rsidRPr="2CC68585">
        <w:rPr>
          <w:rFonts w:cs="Arial"/>
          <w:b/>
          <w:bCs/>
          <w:i/>
          <w:iCs/>
        </w:rPr>
        <w:t>Rights Promoted</w:t>
      </w:r>
    </w:p>
    <w:p w14:paraId="1972335E" w14:textId="7F2510E8" w:rsidR="00664260" w:rsidRPr="00AB0E1B" w:rsidRDefault="00664260" w:rsidP="2CC68585">
      <w:pPr>
        <w:rPr>
          <w:rFonts w:cs="Arial"/>
          <w:u w:val="single"/>
        </w:rPr>
      </w:pPr>
      <w:r w:rsidRPr="2CC68585">
        <w:rPr>
          <w:rFonts w:cs="Arial"/>
          <w:b/>
          <w:bCs/>
          <w:u w:val="single"/>
        </w:rPr>
        <w:t>Section 16 – Freedom of expression</w:t>
      </w:r>
    </w:p>
    <w:p w14:paraId="4D29502D" w14:textId="7AB4A7E0" w:rsidR="00664260" w:rsidRDefault="4B36617F" w:rsidP="41F77E41">
      <w:pPr>
        <w:rPr>
          <w:rFonts w:cs="Arial"/>
        </w:rPr>
      </w:pPr>
      <w:r w:rsidRPr="41F77E41">
        <w:rPr>
          <w:rFonts w:cs="Arial"/>
        </w:rPr>
        <w:t xml:space="preserve">Section 16(2) of the HR Act provides that everyone has the right to freedom of expression which includes the freedom to seek, receive and impart information and ideas of all kinds, regardless of borders, whether orally, in writing or in print, by way of art, or in another way chosen by them. This right places obligations on public authorities to provide access to government held information. </w:t>
      </w:r>
    </w:p>
    <w:p w14:paraId="44F59C93" w14:textId="361003C3" w:rsidR="00664260" w:rsidRDefault="00664260" w:rsidP="40B6F9FB">
      <w:pPr>
        <w:rPr>
          <w:rFonts w:cs="Arial"/>
        </w:rPr>
      </w:pPr>
      <w:r w:rsidRPr="3238681A">
        <w:rPr>
          <w:rFonts w:cs="Arial"/>
        </w:rPr>
        <w:t xml:space="preserve">The Bill amends 18 Acts and four Regulations to improve public access to government held information. The Bill achieves this by: </w:t>
      </w:r>
    </w:p>
    <w:p w14:paraId="1D847F28" w14:textId="1C68A727" w:rsidR="00664260" w:rsidRDefault="00CA69DC" w:rsidP="00664260">
      <w:pPr>
        <w:pStyle w:val="ListParagraph"/>
        <w:numPr>
          <w:ilvl w:val="0"/>
          <w:numId w:val="21"/>
        </w:numPr>
        <w:spacing w:line="276" w:lineRule="auto"/>
        <w:rPr>
          <w:rFonts w:cs="Arial"/>
          <w:iCs/>
          <w:szCs w:val="24"/>
        </w:rPr>
      </w:pPr>
      <w:r>
        <w:rPr>
          <w:rFonts w:cs="Arial"/>
          <w:iCs/>
          <w:szCs w:val="24"/>
        </w:rPr>
        <w:t>e</w:t>
      </w:r>
      <w:r w:rsidR="00664260">
        <w:rPr>
          <w:rFonts w:cs="Arial"/>
          <w:iCs/>
          <w:szCs w:val="24"/>
        </w:rPr>
        <w:t xml:space="preserve">stablishing new public registers for information which will be publicly accessible electronically; </w:t>
      </w:r>
      <w:r w:rsidR="00022C46">
        <w:rPr>
          <w:rFonts w:cs="Arial"/>
          <w:iCs/>
          <w:szCs w:val="24"/>
        </w:rPr>
        <w:t>and</w:t>
      </w:r>
    </w:p>
    <w:p w14:paraId="7ABA751B" w14:textId="10CCA5BF" w:rsidR="00664260" w:rsidRDefault="00CA69DC" w:rsidP="00664260">
      <w:pPr>
        <w:pStyle w:val="ListParagraph"/>
        <w:numPr>
          <w:ilvl w:val="0"/>
          <w:numId w:val="21"/>
        </w:numPr>
        <w:spacing w:line="276" w:lineRule="auto"/>
        <w:rPr>
          <w:rFonts w:cs="Arial"/>
          <w:iCs/>
          <w:szCs w:val="24"/>
        </w:rPr>
      </w:pPr>
      <w:r>
        <w:rPr>
          <w:rFonts w:cs="Arial"/>
          <w:iCs/>
          <w:szCs w:val="24"/>
        </w:rPr>
        <w:t>e</w:t>
      </w:r>
      <w:r w:rsidR="00664260">
        <w:rPr>
          <w:rFonts w:cs="Arial"/>
          <w:iCs/>
          <w:szCs w:val="24"/>
        </w:rPr>
        <w:t xml:space="preserve">nshrining in legislation the requirement for certain public registers to be accessible electronically. </w:t>
      </w:r>
    </w:p>
    <w:p w14:paraId="5E2B87C4" w14:textId="77777777" w:rsidR="00664260" w:rsidRPr="00193656" w:rsidRDefault="00664260" w:rsidP="00664260">
      <w:pPr>
        <w:pStyle w:val="ListParagraph"/>
        <w:rPr>
          <w:rFonts w:cs="Arial"/>
          <w:iCs/>
          <w:szCs w:val="24"/>
        </w:rPr>
      </w:pPr>
    </w:p>
    <w:p w14:paraId="470446E4" w14:textId="00F4E0A3" w:rsidR="00664260" w:rsidRDefault="00664260" w:rsidP="00664260">
      <w:pPr>
        <w:rPr>
          <w:rFonts w:cs="Arial"/>
        </w:rPr>
      </w:pPr>
      <w:r w:rsidRPr="2CC68585">
        <w:rPr>
          <w:rFonts w:cs="Arial"/>
        </w:rPr>
        <w:t xml:space="preserve">This Bill promotes the right to freedom of expression as the amendments in relation to public registers will improve the accessibility and transparency of government information to ensure Canberrans can find and use information that matters to them. This will allow Canberrans to be better informed, more involved in decisions that affect them, and more aware of government services that are available to them. </w:t>
      </w:r>
      <w:r w:rsidR="00022C46">
        <w:rPr>
          <w:rFonts w:cs="Arial"/>
        </w:rPr>
        <w:t>Access to information can have positive impacts on health and safety, animal welfare, consumer protections, and environmental welfare.</w:t>
      </w:r>
    </w:p>
    <w:p w14:paraId="15897247" w14:textId="77777777" w:rsidR="00E97A60" w:rsidRDefault="00E97A60" w:rsidP="00E97A60">
      <w:pPr>
        <w:rPr>
          <w:rFonts w:cs="Arial"/>
          <w:b/>
          <w:bCs/>
          <w:u w:val="single"/>
        </w:rPr>
      </w:pPr>
    </w:p>
    <w:p w14:paraId="5BD7CB7C" w14:textId="77777777" w:rsidR="00E97A60" w:rsidRDefault="00E97A60" w:rsidP="00E97A60">
      <w:pPr>
        <w:rPr>
          <w:rFonts w:cs="Arial"/>
          <w:b/>
          <w:bCs/>
          <w:u w:val="single"/>
        </w:rPr>
      </w:pPr>
    </w:p>
    <w:p w14:paraId="4C4BD75F" w14:textId="54F1D07A" w:rsidR="00E97A60" w:rsidRPr="00AB0E1B" w:rsidRDefault="00E97A60" w:rsidP="00E97A60">
      <w:pPr>
        <w:rPr>
          <w:rFonts w:cs="Arial"/>
          <w:u w:val="single"/>
        </w:rPr>
      </w:pPr>
      <w:r w:rsidRPr="2CC68585">
        <w:rPr>
          <w:rFonts w:cs="Arial"/>
          <w:b/>
          <w:bCs/>
          <w:u w:val="single"/>
        </w:rPr>
        <w:lastRenderedPageBreak/>
        <w:t xml:space="preserve">Section </w:t>
      </w:r>
      <w:r>
        <w:rPr>
          <w:rFonts w:cs="Arial"/>
          <w:b/>
          <w:bCs/>
          <w:u w:val="single"/>
        </w:rPr>
        <w:t>21</w:t>
      </w:r>
      <w:r w:rsidRPr="2CC68585">
        <w:rPr>
          <w:rFonts w:cs="Arial"/>
          <w:b/>
          <w:bCs/>
          <w:u w:val="single"/>
        </w:rPr>
        <w:t xml:space="preserve"> – </w:t>
      </w:r>
      <w:r>
        <w:rPr>
          <w:rFonts w:cs="Arial"/>
          <w:b/>
          <w:bCs/>
          <w:u w:val="single"/>
        </w:rPr>
        <w:t>Right to fair trial</w:t>
      </w:r>
    </w:p>
    <w:p w14:paraId="1D1C4349" w14:textId="554DA1EA" w:rsidR="00E97A60" w:rsidRDefault="00E97A60" w:rsidP="00664260">
      <w:pPr>
        <w:rPr>
          <w:rFonts w:cs="Arial"/>
          <w:iCs/>
          <w:szCs w:val="24"/>
        </w:rPr>
      </w:pPr>
      <w:r>
        <w:rPr>
          <w:rFonts w:cs="Arial"/>
          <w:iCs/>
          <w:szCs w:val="24"/>
        </w:rPr>
        <w:t xml:space="preserve">Section 21 (1) of the HR Act provides that everyone has the right to have criminal charges, and rights and obligations recognised by law, decided by a competent, independent and impartial court or tribunal after a fair and public hearing. </w:t>
      </w:r>
    </w:p>
    <w:p w14:paraId="5B816F0B" w14:textId="23DA336F" w:rsidR="00022C46" w:rsidRPr="00BF7026" w:rsidRDefault="00BF7026" w:rsidP="00664260">
      <w:pPr>
        <w:rPr>
          <w:rFonts w:cs="Arial"/>
          <w:iCs/>
          <w:szCs w:val="24"/>
        </w:rPr>
      </w:pPr>
      <w:r>
        <w:rPr>
          <w:rFonts w:cs="Arial"/>
        </w:rPr>
        <w:t>The Bill promotes the right to fair trial as it will make a</w:t>
      </w:r>
      <w:r w:rsidRPr="2CC68585">
        <w:rPr>
          <w:rFonts w:cs="Arial"/>
        </w:rPr>
        <w:t xml:space="preserve">mendments to the </w:t>
      </w:r>
      <w:r w:rsidRPr="2CC68585">
        <w:rPr>
          <w:rFonts w:cs="Arial"/>
          <w:i/>
          <w:iCs/>
        </w:rPr>
        <w:t>Waste Management and Resource Recovery Act 2016</w:t>
      </w:r>
      <w:r w:rsidRPr="2CC68585">
        <w:rPr>
          <w:rFonts w:cs="Arial"/>
        </w:rPr>
        <w:t xml:space="preserve"> </w:t>
      </w:r>
      <w:r>
        <w:rPr>
          <w:rFonts w:cs="Arial"/>
        </w:rPr>
        <w:t>to include that decision-makers must give reasons for their decisions. This will improve procedural fairness.</w:t>
      </w:r>
    </w:p>
    <w:p w14:paraId="0A2066C2" w14:textId="5988E7DF" w:rsidR="00664260" w:rsidRDefault="00664260" w:rsidP="00664260">
      <w:pPr>
        <w:rPr>
          <w:rFonts w:cs="Arial"/>
          <w:iCs/>
          <w:szCs w:val="24"/>
        </w:rPr>
      </w:pPr>
      <w:r>
        <w:rPr>
          <w:rFonts w:cs="Arial"/>
          <w:b/>
          <w:bCs/>
          <w:i/>
          <w:szCs w:val="24"/>
        </w:rPr>
        <w:t>Rights Limited</w:t>
      </w:r>
      <w:r>
        <w:rPr>
          <w:rFonts w:cs="Arial"/>
          <w:iCs/>
          <w:szCs w:val="24"/>
        </w:rPr>
        <w:t xml:space="preserve"> </w:t>
      </w:r>
    </w:p>
    <w:p w14:paraId="75522330" w14:textId="2DD61521" w:rsidR="00664260" w:rsidRPr="007C6073" w:rsidRDefault="00664260" w:rsidP="2CC68585">
      <w:pPr>
        <w:rPr>
          <w:rFonts w:cs="Arial"/>
          <w:b/>
          <w:bCs/>
          <w:i/>
          <w:iCs/>
          <w:u w:val="single"/>
        </w:rPr>
      </w:pPr>
      <w:r w:rsidRPr="2CC68585">
        <w:rPr>
          <w:rFonts w:cs="Arial"/>
          <w:b/>
          <w:bCs/>
          <w:u w:val="single"/>
        </w:rPr>
        <w:t>Section 12 – Right to privacy and reputation</w:t>
      </w:r>
    </w:p>
    <w:p w14:paraId="6B1CD262" w14:textId="77777777" w:rsidR="00664260" w:rsidRDefault="00664260" w:rsidP="00664260">
      <w:pPr>
        <w:pStyle w:val="ListParagraph"/>
        <w:ind w:left="360"/>
        <w:rPr>
          <w:rFonts w:cs="Arial"/>
          <w:i/>
          <w:color w:val="FF0000"/>
          <w:szCs w:val="24"/>
        </w:rPr>
      </w:pPr>
    </w:p>
    <w:p w14:paraId="4BBFF3CF" w14:textId="77777777" w:rsidR="00664260" w:rsidRDefault="00664260" w:rsidP="00664260">
      <w:pPr>
        <w:pStyle w:val="ListParagraph"/>
        <w:numPr>
          <w:ilvl w:val="0"/>
          <w:numId w:val="15"/>
        </w:numPr>
        <w:rPr>
          <w:rFonts w:cs="Arial"/>
          <w:b/>
          <w:bCs/>
          <w:i/>
          <w:szCs w:val="24"/>
        </w:rPr>
      </w:pPr>
      <w:r w:rsidRPr="00414921">
        <w:rPr>
          <w:rFonts w:cs="Arial"/>
          <w:b/>
          <w:bCs/>
          <w:i/>
          <w:szCs w:val="24"/>
        </w:rPr>
        <w:t xml:space="preserve">Nature of </w:t>
      </w:r>
      <w:r>
        <w:rPr>
          <w:rFonts w:cs="Arial"/>
          <w:b/>
          <w:bCs/>
          <w:i/>
          <w:szCs w:val="24"/>
        </w:rPr>
        <w:t xml:space="preserve">the right and </w:t>
      </w:r>
      <w:r w:rsidRPr="00414921">
        <w:rPr>
          <w:rFonts w:cs="Arial"/>
          <w:b/>
          <w:bCs/>
          <w:i/>
          <w:szCs w:val="24"/>
        </w:rPr>
        <w:t>the limitation (s28</w:t>
      </w:r>
      <w:r>
        <w:rPr>
          <w:rFonts w:cs="Arial"/>
          <w:b/>
          <w:bCs/>
          <w:i/>
          <w:szCs w:val="24"/>
        </w:rPr>
        <w:t xml:space="preserve">(2)(a) and </w:t>
      </w:r>
      <w:r w:rsidRPr="00414921">
        <w:rPr>
          <w:rFonts w:cs="Arial"/>
          <w:b/>
          <w:bCs/>
          <w:i/>
          <w:szCs w:val="24"/>
        </w:rPr>
        <w:t>(c))</w:t>
      </w:r>
    </w:p>
    <w:p w14:paraId="1DF92FEE" w14:textId="77777777" w:rsidR="00664260" w:rsidRDefault="00664260" w:rsidP="00664260">
      <w:pPr>
        <w:pStyle w:val="ListParagraph"/>
        <w:ind w:left="0"/>
        <w:rPr>
          <w:rFonts w:cs="Arial"/>
          <w:iCs/>
          <w:szCs w:val="24"/>
        </w:rPr>
      </w:pPr>
    </w:p>
    <w:p w14:paraId="7BB08E3B" w14:textId="3ED62FF5" w:rsidR="00664260" w:rsidRDefault="00664260" w:rsidP="00A95D9B">
      <w:pPr>
        <w:pStyle w:val="ListParagraph"/>
        <w:spacing w:line="276" w:lineRule="auto"/>
        <w:ind w:left="0"/>
        <w:rPr>
          <w:rFonts w:cs="Arial"/>
        </w:rPr>
      </w:pPr>
      <w:r w:rsidRPr="3238681A">
        <w:rPr>
          <w:rFonts w:cs="Arial"/>
        </w:rPr>
        <w:t>Section 12 of the HR Act protects individuals from unlawful or arbitrary interference with privacy, family, home or correspondence. The right to privacy includes communication and informational privacy</w:t>
      </w:r>
      <w:r w:rsidR="3D72411B" w:rsidRPr="3238681A">
        <w:rPr>
          <w:rFonts w:cs="Arial"/>
        </w:rPr>
        <w:t>,</w:t>
      </w:r>
      <w:r w:rsidRPr="3238681A">
        <w:rPr>
          <w:rFonts w:cs="Arial"/>
        </w:rPr>
        <w:t xml:space="preserve"> and protects personal and confidential information. Individuals should also have a right to access any information held about them. </w:t>
      </w:r>
    </w:p>
    <w:p w14:paraId="3F4D664B" w14:textId="77777777" w:rsidR="00664260" w:rsidRDefault="00664260" w:rsidP="00664260">
      <w:pPr>
        <w:pStyle w:val="ListParagraph"/>
        <w:ind w:left="0"/>
        <w:rPr>
          <w:rFonts w:cs="Arial"/>
          <w:iCs/>
          <w:szCs w:val="24"/>
        </w:rPr>
      </w:pPr>
    </w:p>
    <w:p w14:paraId="175A24A3" w14:textId="03D017EE" w:rsidR="00664260" w:rsidRDefault="00664260" w:rsidP="00A95D9B">
      <w:pPr>
        <w:pStyle w:val="ListParagraph"/>
        <w:spacing w:line="276" w:lineRule="auto"/>
        <w:ind w:left="0"/>
        <w:rPr>
          <w:rFonts w:cs="Arial"/>
        </w:rPr>
      </w:pPr>
      <w:r w:rsidRPr="2CC68585">
        <w:rPr>
          <w:rFonts w:cs="Arial"/>
        </w:rPr>
        <w:t xml:space="preserve">The Bill </w:t>
      </w:r>
      <w:r w:rsidR="102EFD8A" w:rsidRPr="2CC68585">
        <w:rPr>
          <w:rFonts w:cs="Arial"/>
        </w:rPr>
        <w:t>limits</w:t>
      </w:r>
      <w:r w:rsidRPr="2CC68585">
        <w:rPr>
          <w:rFonts w:cs="Arial"/>
        </w:rPr>
        <w:t xml:space="preserve"> the right to privacy as it provides for the publication of certain personal information on public registers that will be publicly accessible electronically. The Bill will limit the privacy of individuals as the amendments either:</w:t>
      </w:r>
      <w:r>
        <w:br/>
      </w:r>
      <w:r w:rsidRPr="2CC68585">
        <w:rPr>
          <w:rFonts w:cs="Arial"/>
        </w:rPr>
        <w:t xml:space="preserve"> </w:t>
      </w:r>
    </w:p>
    <w:p w14:paraId="6F67665E" w14:textId="4BCAA2A3" w:rsidR="00990DAF" w:rsidRDefault="00990DAF" w:rsidP="00990DAF">
      <w:pPr>
        <w:pStyle w:val="ListParagraph"/>
        <w:numPr>
          <w:ilvl w:val="0"/>
          <w:numId w:val="20"/>
        </w:numPr>
        <w:spacing w:line="276" w:lineRule="auto"/>
        <w:rPr>
          <w:rFonts w:cs="Arial"/>
          <w:iCs/>
          <w:szCs w:val="24"/>
        </w:rPr>
      </w:pPr>
      <w:r>
        <w:rPr>
          <w:rFonts w:cs="Arial"/>
          <w:iCs/>
          <w:szCs w:val="24"/>
        </w:rPr>
        <w:t>establish new public registers for information which will be publicly accessible electronically; or</w:t>
      </w:r>
    </w:p>
    <w:p w14:paraId="6CCF0E2B" w14:textId="177EAAA0" w:rsidR="00990DAF" w:rsidRDefault="00990DAF" w:rsidP="00990DAF">
      <w:pPr>
        <w:pStyle w:val="ListParagraph"/>
        <w:numPr>
          <w:ilvl w:val="0"/>
          <w:numId w:val="20"/>
        </w:numPr>
        <w:spacing w:line="276" w:lineRule="auto"/>
        <w:rPr>
          <w:rFonts w:cs="Arial"/>
          <w:iCs/>
          <w:szCs w:val="24"/>
        </w:rPr>
      </w:pPr>
      <w:r>
        <w:rPr>
          <w:rFonts w:cs="Arial"/>
          <w:iCs/>
          <w:szCs w:val="24"/>
        </w:rPr>
        <w:t xml:space="preserve">enshrine in legislation the requirement for certain public registers to be accessible electronically. </w:t>
      </w:r>
    </w:p>
    <w:p w14:paraId="0BD64352" w14:textId="77777777" w:rsidR="00664260" w:rsidRDefault="00664260" w:rsidP="00A95D9B">
      <w:pPr>
        <w:pStyle w:val="ListParagraph"/>
        <w:spacing w:line="276" w:lineRule="auto"/>
        <w:ind w:left="0"/>
        <w:rPr>
          <w:rFonts w:cs="Arial"/>
          <w:iCs/>
          <w:szCs w:val="24"/>
        </w:rPr>
      </w:pPr>
    </w:p>
    <w:p w14:paraId="35E14AD3" w14:textId="3853FA17" w:rsidR="00664260" w:rsidRDefault="00664260" w:rsidP="00A95D9B">
      <w:pPr>
        <w:pStyle w:val="ListParagraph"/>
        <w:spacing w:line="276" w:lineRule="auto"/>
        <w:ind w:left="0"/>
        <w:rPr>
          <w:rFonts w:cs="Arial"/>
        </w:rPr>
      </w:pPr>
      <w:r w:rsidRPr="3238681A">
        <w:rPr>
          <w:rFonts w:cs="Arial"/>
        </w:rPr>
        <w:t>The following table identifies the current requirements for the public registers</w:t>
      </w:r>
      <w:r w:rsidR="00E97A60">
        <w:rPr>
          <w:rFonts w:cs="Arial"/>
        </w:rPr>
        <w:t>, t</w:t>
      </w:r>
      <w:r w:rsidRPr="3238681A">
        <w:rPr>
          <w:rFonts w:cs="Arial"/>
        </w:rPr>
        <w:t>he proposed amendments and how these will limit the right to privacy:</w:t>
      </w:r>
    </w:p>
    <w:p w14:paraId="1F0056AC" w14:textId="77777777" w:rsidR="00664260" w:rsidRDefault="00664260" w:rsidP="00664260">
      <w:pPr>
        <w:pStyle w:val="ListParagraph"/>
        <w:ind w:left="360"/>
        <w:rPr>
          <w:rFonts w:cs="Arial"/>
          <w:iCs/>
          <w:szCs w:val="24"/>
        </w:rPr>
      </w:pPr>
    </w:p>
    <w:tbl>
      <w:tblPr>
        <w:tblStyle w:val="TableGrid"/>
        <w:tblW w:w="0" w:type="auto"/>
        <w:tblCellMar>
          <w:top w:w="57" w:type="dxa"/>
          <w:bottom w:w="57" w:type="dxa"/>
        </w:tblCellMar>
        <w:tblLook w:val="04A0" w:firstRow="1" w:lastRow="0" w:firstColumn="1" w:lastColumn="0" w:noHBand="0" w:noVBand="1"/>
      </w:tblPr>
      <w:tblGrid>
        <w:gridCol w:w="2547"/>
        <w:gridCol w:w="6469"/>
      </w:tblGrid>
      <w:tr w:rsidR="00664260" w14:paraId="0D8775E0" w14:textId="77777777" w:rsidTr="2247E06D">
        <w:tc>
          <w:tcPr>
            <w:tcW w:w="2547" w:type="dxa"/>
          </w:tcPr>
          <w:p w14:paraId="6B09CC0A" w14:textId="77777777" w:rsidR="00664260" w:rsidRPr="009519A5" w:rsidRDefault="00664260" w:rsidP="2CC68585">
            <w:pPr>
              <w:rPr>
                <w:rFonts w:cs="Arial"/>
                <w:b/>
                <w:bCs/>
              </w:rPr>
            </w:pPr>
            <w:r w:rsidRPr="2CC68585">
              <w:rPr>
                <w:rFonts w:cs="Arial"/>
                <w:b/>
                <w:bCs/>
              </w:rPr>
              <w:t>Legislation</w:t>
            </w:r>
          </w:p>
        </w:tc>
        <w:tc>
          <w:tcPr>
            <w:tcW w:w="6469" w:type="dxa"/>
          </w:tcPr>
          <w:p w14:paraId="71E58761" w14:textId="77777777" w:rsidR="00664260" w:rsidRPr="009519A5" w:rsidRDefault="00664260" w:rsidP="2CC68585">
            <w:pPr>
              <w:rPr>
                <w:rFonts w:cs="Arial"/>
                <w:b/>
                <w:bCs/>
              </w:rPr>
            </w:pPr>
            <w:r w:rsidRPr="2CC68585">
              <w:rPr>
                <w:rFonts w:cs="Arial"/>
                <w:b/>
                <w:bCs/>
              </w:rPr>
              <w:t>Current and future requirements for publishing personal information under the Act</w:t>
            </w:r>
          </w:p>
        </w:tc>
      </w:tr>
      <w:tr w:rsidR="00664260" w14:paraId="0A53079C" w14:textId="77777777" w:rsidTr="2247E06D">
        <w:tc>
          <w:tcPr>
            <w:tcW w:w="2547" w:type="dxa"/>
          </w:tcPr>
          <w:p w14:paraId="20C1B991" w14:textId="672F9E51" w:rsidR="00664260" w:rsidRPr="00DF3466" w:rsidRDefault="00664260" w:rsidP="2CC68585">
            <w:pPr>
              <w:rPr>
                <w:rFonts w:cs="Arial"/>
              </w:rPr>
            </w:pPr>
            <w:r w:rsidRPr="2CC68585">
              <w:rPr>
                <w:rFonts w:cs="Arial"/>
                <w:i/>
                <w:iCs/>
              </w:rPr>
              <w:t>Architects Act 2004</w:t>
            </w:r>
            <w:r w:rsidRPr="2CC68585">
              <w:rPr>
                <w:rFonts w:cs="Arial"/>
              </w:rPr>
              <w:t xml:space="preserve"> </w:t>
            </w:r>
            <w:r w:rsidR="5C5A976C" w:rsidRPr="2CC68585">
              <w:rPr>
                <w:rFonts w:cs="Arial"/>
              </w:rPr>
              <w:t xml:space="preserve">and </w:t>
            </w:r>
            <w:r w:rsidR="5C5A976C" w:rsidRPr="2CC68585">
              <w:rPr>
                <w:rFonts w:cs="Arial"/>
                <w:i/>
                <w:iCs/>
              </w:rPr>
              <w:t>Architects Regulation 2004</w:t>
            </w:r>
          </w:p>
        </w:tc>
        <w:tc>
          <w:tcPr>
            <w:tcW w:w="6469" w:type="dxa"/>
          </w:tcPr>
          <w:p w14:paraId="42F8A314" w14:textId="37CE2DB8" w:rsidR="00664260" w:rsidRDefault="00664260" w:rsidP="3238681A">
            <w:pPr>
              <w:rPr>
                <w:rFonts w:cs="Arial"/>
              </w:rPr>
            </w:pPr>
            <w:r w:rsidRPr="3238681A">
              <w:rPr>
                <w:rFonts w:cs="Arial"/>
              </w:rPr>
              <w:t xml:space="preserve">A register must be kept that allows the public to get information about who is registered to provide architectural services in the ACT (s 14(1)). The Act currently requires the register to be open for free inspection by the public at reasonable times (s 14(4)). The personal information included in the register is prescribed under the </w:t>
            </w:r>
            <w:r w:rsidRPr="3238681A">
              <w:rPr>
                <w:rFonts w:cs="Arial"/>
                <w:i/>
                <w:iCs/>
              </w:rPr>
              <w:t>Architects Regulation 2004</w:t>
            </w:r>
            <w:r w:rsidRPr="3238681A">
              <w:rPr>
                <w:rFonts w:cs="Arial"/>
              </w:rPr>
              <w:t xml:space="preserve"> and includes a full name, business contact details and business address. However, the Act </w:t>
            </w:r>
            <w:r w:rsidRPr="3238681A">
              <w:rPr>
                <w:rFonts w:cs="Arial"/>
              </w:rPr>
              <w:lastRenderedPageBreak/>
              <w:t>does not specify which details are to be made publicly available. The list of licensed architects is publicly accessible electronically here:</w:t>
            </w:r>
            <w:r>
              <w:t xml:space="preserve"> </w:t>
            </w:r>
            <w:hyperlink r:id="rId18">
              <w:r w:rsidRPr="3238681A">
                <w:rPr>
                  <w:rStyle w:val="Hyperlink"/>
                  <w:rFonts w:eastAsiaTheme="majorEastAsia" w:cs="Arial"/>
                </w:rPr>
                <w:t>List of licensed Architects</w:t>
              </w:r>
            </w:hyperlink>
            <w:r w:rsidRPr="3238681A">
              <w:rPr>
                <w:rFonts w:cs="Arial"/>
              </w:rPr>
              <w:t xml:space="preserve">. It currently includes an </w:t>
            </w:r>
            <w:r w:rsidR="6E8F5F26" w:rsidRPr="3238681A">
              <w:rPr>
                <w:rFonts w:cs="Arial"/>
              </w:rPr>
              <w:t>architect's</w:t>
            </w:r>
            <w:r w:rsidRPr="3238681A">
              <w:rPr>
                <w:rFonts w:cs="Arial"/>
              </w:rPr>
              <w:t xml:space="preserve"> name and general business location (suburb and state).</w:t>
            </w:r>
          </w:p>
          <w:p w14:paraId="579500F8" w14:textId="01E30004" w:rsidR="00664260" w:rsidRDefault="00664260" w:rsidP="3238681A">
            <w:pPr>
              <w:rPr>
                <w:rFonts w:cs="Arial"/>
              </w:rPr>
            </w:pPr>
            <w:r w:rsidRPr="3238681A">
              <w:rPr>
                <w:rFonts w:cs="Arial"/>
              </w:rPr>
              <w:t xml:space="preserve">While this list is already publicly accessible electronically, the amendment proposed in the Bill will limit the right to privacy as the amendments will enshrine the requirement for the register to be made accessible to the public, without charge on an ACT </w:t>
            </w:r>
            <w:r w:rsidR="0CB71620" w:rsidRPr="3238681A">
              <w:rPr>
                <w:rFonts w:cs="Arial"/>
              </w:rPr>
              <w:t>g</w:t>
            </w:r>
            <w:r w:rsidRPr="3238681A">
              <w:rPr>
                <w:rFonts w:cs="Arial"/>
              </w:rPr>
              <w:t xml:space="preserve">overnment website, or by a link on an ACT </w:t>
            </w:r>
            <w:r w:rsidR="4C6D8091" w:rsidRPr="3238681A">
              <w:rPr>
                <w:rFonts w:cs="Arial"/>
              </w:rPr>
              <w:t>g</w:t>
            </w:r>
            <w:r w:rsidRPr="3238681A">
              <w:rPr>
                <w:rFonts w:cs="Arial"/>
              </w:rPr>
              <w:t xml:space="preserve">overnment website. </w:t>
            </w:r>
          </w:p>
        </w:tc>
      </w:tr>
      <w:tr w:rsidR="00664260" w14:paraId="1D8DABEB" w14:textId="77777777" w:rsidTr="2247E06D">
        <w:tc>
          <w:tcPr>
            <w:tcW w:w="2547" w:type="dxa"/>
          </w:tcPr>
          <w:p w14:paraId="2E579329" w14:textId="77777777" w:rsidR="00664260" w:rsidRDefault="00664260" w:rsidP="00E1194D">
            <w:pPr>
              <w:rPr>
                <w:rFonts w:cs="Arial"/>
                <w:i/>
                <w:szCs w:val="24"/>
              </w:rPr>
            </w:pPr>
            <w:r w:rsidRPr="007615F1">
              <w:rPr>
                <w:rFonts w:cs="Arial"/>
                <w:i/>
                <w:szCs w:val="24"/>
              </w:rPr>
              <w:lastRenderedPageBreak/>
              <w:t>Building Act 2004</w:t>
            </w:r>
          </w:p>
        </w:tc>
        <w:tc>
          <w:tcPr>
            <w:tcW w:w="6469" w:type="dxa"/>
          </w:tcPr>
          <w:p w14:paraId="70B55B2B" w14:textId="644EEAC0" w:rsidR="00664260" w:rsidRDefault="00664260" w:rsidP="3238681A">
            <w:pPr>
              <w:rPr>
                <w:rFonts w:cs="Arial"/>
              </w:rPr>
            </w:pPr>
            <w:r w:rsidRPr="3238681A">
              <w:rPr>
                <w:rFonts w:cs="Arial"/>
              </w:rPr>
              <w:t>The construction occupations registrar is required to keep a register of stop notices issued under the Act (s 59A(1)). Stop notices are issued to prohibit the carrying out of further building work in a range of circumstances, such as necessary approvals have not been issued, the work is not in accordance with relevant plans</w:t>
            </w:r>
            <w:r w:rsidR="2A28E0DE" w:rsidRPr="3238681A">
              <w:rPr>
                <w:rFonts w:cs="Arial"/>
              </w:rPr>
              <w:t>,</w:t>
            </w:r>
            <w:r w:rsidRPr="3238681A">
              <w:rPr>
                <w:rFonts w:cs="Arial"/>
              </w:rPr>
              <w:t xml:space="preserve"> or the building work is being done contrary to conditions and approvals. </w:t>
            </w:r>
          </w:p>
          <w:p w14:paraId="78776133" w14:textId="77777777" w:rsidR="00664260" w:rsidRDefault="00664260" w:rsidP="3238681A">
            <w:pPr>
              <w:rPr>
                <w:rFonts w:cs="Arial"/>
              </w:rPr>
            </w:pPr>
            <w:r w:rsidRPr="3238681A">
              <w:rPr>
                <w:rFonts w:cs="Arial"/>
              </w:rPr>
              <w:t xml:space="preserve">Under the current Act, the registrar may make information available to the public that is included in the register if the registrar is satisfied on reasonable grounds that publishing the information is appropriate and necessary or desirable to protect the public (s 59A(5)). The register must include the name of the person to whom the stop notice was issued and the address of the parcel of land where the building work is being, or is to be, carried out (s 59A(3)). </w:t>
            </w:r>
          </w:p>
          <w:p w14:paraId="16D8E6FA" w14:textId="4B0E955E" w:rsidR="00664260" w:rsidRDefault="00664260" w:rsidP="3238681A">
            <w:pPr>
              <w:rPr>
                <w:rFonts w:cs="Arial"/>
              </w:rPr>
            </w:pPr>
            <w:r w:rsidRPr="3238681A">
              <w:rPr>
                <w:rFonts w:cs="Arial"/>
              </w:rPr>
              <w:t xml:space="preserve">The Bill proposes to </w:t>
            </w:r>
            <w:r w:rsidR="00990DAF">
              <w:rPr>
                <w:rFonts w:cs="Arial"/>
              </w:rPr>
              <w:t>amend</w:t>
            </w:r>
            <w:r w:rsidRPr="3238681A">
              <w:rPr>
                <w:rFonts w:cs="Arial"/>
              </w:rPr>
              <w:t xml:space="preserve"> s 59A to require the registrar to make the register accessible to the public without charge on an ACT </w:t>
            </w:r>
            <w:r w:rsidR="54815555" w:rsidRPr="3238681A">
              <w:rPr>
                <w:rFonts w:cs="Arial"/>
              </w:rPr>
              <w:t>g</w:t>
            </w:r>
            <w:r w:rsidRPr="3238681A">
              <w:rPr>
                <w:rFonts w:cs="Arial"/>
              </w:rPr>
              <w:t xml:space="preserve">overnment website or by a link on an ACT </w:t>
            </w:r>
            <w:r w:rsidR="497C8088" w:rsidRPr="3238681A">
              <w:rPr>
                <w:rFonts w:cs="Arial"/>
              </w:rPr>
              <w:t>g</w:t>
            </w:r>
            <w:r w:rsidRPr="3238681A">
              <w:rPr>
                <w:rFonts w:cs="Arial"/>
              </w:rPr>
              <w:t xml:space="preserve">overnment website. </w:t>
            </w:r>
          </w:p>
          <w:p w14:paraId="1A21CBA1" w14:textId="6786B72F" w:rsidR="00664260" w:rsidRDefault="00664260" w:rsidP="00E1194D">
            <w:pPr>
              <w:rPr>
                <w:rFonts w:cs="Arial"/>
                <w:iCs/>
                <w:szCs w:val="24"/>
              </w:rPr>
            </w:pPr>
            <w:r>
              <w:rPr>
                <w:rFonts w:cs="Arial"/>
                <w:iCs/>
                <w:szCs w:val="24"/>
              </w:rPr>
              <w:t xml:space="preserve">The amendments will limit the right to privacy as they propose a new public register which will include publishing the name of </w:t>
            </w:r>
            <w:r w:rsidR="00990DAF">
              <w:rPr>
                <w:rFonts w:cs="Arial"/>
                <w:iCs/>
                <w:szCs w:val="24"/>
              </w:rPr>
              <w:t>the person to whom the stop notice was issued</w:t>
            </w:r>
            <w:r>
              <w:rPr>
                <w:rFonts w:cs="Arial"/>
                <w:iCs/>
                <w:szCs w:val="24"/>
              </w:rPr>
              <w:t xml:space="preserve">. </w:t>
            </w:r>
          </w:p>
        </w:tc>
      </w:tr>
      <w:tr w:rsidR="00664260" w14:paraId="58A2D14D" w14:textId="77777777" w:rsidTr="2247E06D">
        <w:tc>
          <w:tcPr>
            <w:tcW w:w="2547" w:type="dxa"/>
          </w:tcPr>
          <w:p w14:paraId="5F091456" w14:textId="77777777" w:rsidR="00664260" w:rsidRPr="00DF4969" w:rsidRDefault="00664260" w:rsidP="00E1194D">
            <w:pPr>
              <w:rPr>
                <w:rFonts w:cs="Arial"/>
                <w:iCs/>
                <w:szCs w:val="24"/>
              </w:rPr>
            </w:pPr>
            <w:r>
              <w:rPr>
                <w:rFonts w:cs="Arial"/>
                <w:i/>
                <w:szCs w:val="24"/>
              </w:rPr>
              <w:t>Cemeteries and Crematoria Act 2020</w:t>
            </w:r>
            <w:r>
              <w:rPr>
                <w:rFonts w:cs="Arial"/>
                <w:iCs/>
                <w:szCs w:val="24"/>
              </w:rPr>
              <w:t xml:space="preserve"> </w:t>
            </w:r>
          </w:p>
        </w:tc>
        <w:tc>
          <w:tcPr>
            <w:tcW w:w="6469" w:type="dxa"/>
          </w:tcPr>
          <w:p w14:paraId="7A5E0965" w14:textId="77777777" w:rsidR="00664260" w:rsidRDefault="00664260" w:rsidP="3238681A">
            <w:pPr>
              <w:rPr>
                <w:rFonts w:cs="Arial"/>
              </w:rPr>
            </w:pPr>
            <w:r w:rsidRPr="3238681A">
              <w:rPr>
                <w:rFonts w:cs="Arial"/>
              </w:rPr>
              <w:t>A register must be kept which includes the name and contact details of the licensee permitted to operate a cemetery or crematorium (s 58(2)(a)(</w:t>
            </w:r>
            <w:proofErr w:type="spellStart"/>
            <w:r w:rsidRPr="3238681A">
              <w:rPr>
                <w:rFonts w:cs="Arial"/>
              </w:rPr>
              <w:t>i</w:t>
            </w:r>
            <w:proofErr w:type="spellEnd"/>
            <w:r w:rsidRPr="3238681A">
              <w:rPr>
                <w:rFonts w:cs="Arial"/>
              </w:rPr>
              <w:t xml:space="preserve">)). The register must also include the name of the person to whom a licence is transferred (s 58(2)(d)). The regulator is required to make </w:t>
            </w:r>
            <w:r w:rsidRPr="3238681A">
              <w:rPr>
                <w:rFonts w:cs="Arial"/>
              </w:rPr>
              <w:lastRenderedPageBreak/>
              <w:t xml:space="preserve">the information on the register available for public inspection (s 58(3)). The register is publicly accessible electronically here: </w:t>
            </w:r>
            <w:hyperlink r:id="rId19">
              <w:r w:rsidRPr="3238681A">
                <w:rPr>
                  <w:rStyle w:val="Hyperlink"/>
                  <w:rFonts w:eastAsiaTheme="majorEastAsia" w:cs="Arial"/>
                </w:rPr>
                <w:t>Cemeteries and Crematoria Regulator - City Services</w:t>
              </w:r>
            </w:hyperlink>
            <w:r w:rsidRPr="3238681A">
              <w:rPr>
                <w:rFonts w:cs="Arial"/>
              </w:rPr>
              <w:t>. However, the public register does not currently list the name of a licensee.</w:t>
            </w:r>
          </w:p>
          <w:p w14:paraId="049B65F3" w14:textId="362E7E09" w:rsidR="00664260" w:rsidRDefault="00664260" w:rsidP="3238681A">
            <w:pPr>
              <w:rPr>
                <w:rFonts w:cs="Arial"/>
              </w:rPr>
            </w:pPr>
            <w:r w:rsidRPr="3238681A">
              <w:rPr>
                <w:rFonts w:cs="Arial"/>
              </w:rPr>
              <w:t xml:space="preserve">While this register is already publicly accessible electronically, the amendment proposed in the Bill will limit the right to privacy as the amendments will enshrine the requirement for the register to be made accessible to the public, without charge on an ACT </w:t>
            </w:r>
            <w:r w:rsidR="3C8E6DC8" w:rsidRPr="3238681A">
              <w:rPr>
                <w:rFonts w:cs="Arial"/>
              </w:rPr>
              <w:t>g</w:t>
            </w:r>
            <w:r w:rsidRPr="3238681A">
              <w:rPr>
                <w:rFonts w:cs="Arial"/>
              </w:rPr>
              <w:t xml:space="preserve">overnment website, or by a link on an ACT </w:t>
            </w:r>
            <w:r w:rsidR="77523D2A" w:rsidRPr="3238681A">
              <w:rPr>
                <w:rFonts w:cs="Arial"/>
              </w:rPr>
              <w:t>g</w:t>
            </w:r>
            <w:r w:rsidRPr="3238681A">
              <w:rPr>
                <w:rFonts w:cs="Arial"/>
              </w:rPr>
              <w:t xml:space="preserve">overnment website. </w:t>
            </w:r>
          </w:p>
        </w:tc>
      </w:tr>
      <w:tr w:rsidR="00D30C9F" w14:paraId="635D0255" w14:textId="77777777" w:rsidTr="2247E06D">
        <w:tc>
          <w:tcPr>
            <w:tcW w:w="2547" w:type="dxa"/>
          </w:tcPr>
          <w:p w14:paraId="3C5222D1" w14:textId="1D67DE1D" w:rsidR="00D30C9F" w:rsidRPr="2CC68585" w:rsidRDefault="00D30C9F" w:rsidP="3238681A">
            <w:pPr>
              <w:rPr>
                <w:rFonts w:cs="Arial"/>
                <w:i/>
                <w:iCs/>
              </w:rPr>
            </w:pPr>
            <w:r>
              <w:rPr>
                <w:rFonts w:cs="Arial"/>
                <w:i/>
                <w:iCs/>
              </w:rPr>
              <w:lastRenderedPageBreak/>
              <w:t>Construction Occupations (Licensing) Act 2004</w:t>
            </w:r>
          </w:p>
        </w:tc>
        <w:tc>
          <w:tcPr>
            <w:tcW w:w="6469" w:type="dxa"/>
          </w:tcPr>
          <w:p w14:paraId="7416BCFE" w14:textId="71E6E3BF" w:rsidR="00D30C9F" w:rsidRDefault="00D30C9F" w:rsidP="00E1194D">
            <w:pPr>
              <w:rPr>
                <w:rFonts w:cs="Arial"/>
                <w:iCs/>
                <w:szCs w:val="24"/>
              </w:rPr>
            </w:pPr>
            <w:r>
              <w:rPr>
                <w:rFonts w:cs="Arial"/>
                <w:iCs/>
                <w:szCs w:val="24"/>
              </w:rPr>
              <w:t xml:space="preserve">The registrar must keep a register of licensees (s 107(1)). Particulars are prescribed by regulation (Part 3 of the regulation), and include the licensee’s </w:t>
            </w:r>
            <w:r w:rsidR="00B5050C">
              <w:rPr>
                <w:rFonts w:cs="Arial"/>
                <w:iCs/>
                <w:szCs w:val="24"/>
              </w:rPr>
              <w:t xml:space="preserve">business telephone number and email address. Information included in the register must be made available to the public. The register is publicly accessible electronically here: </w:t>
            </w:r>
            <w:hyperlink r:id="rId20" w:history="1">
              <w:r w:rsidR="00B5050C" w:rsidRPr="00B5050C">
                <w:rPr>
                  <w:rStyle w:val="Hyperlink"/>
                  <w:rFonts w:cs="Arial"/>
                  <w:iCs/>
                  <w:szCs w:val="24"/>
                </w:rPr>
                <w:t>Construction Occupation Licensees</w:t>
              </w:r>
            </w:hyperlink>
            <w:r w:rsidR="00B5050C">
              <w:rPr>
                <w:rFonts w:cs="Arial"/>
                <w:iCs/>
                <w:szCs w:val="24"/>
              </w:rPr>
              <w:t xml:space="preserve">. </w:t>
            </w:r>
          </w:p>
          <w:p w14:paraId="2A2F9A90" w14:textId="77777777" w:rsidR="00B5050C" w:rsidRDefault="00B5050C" w:rsidP="00E1194D">
            <w:pPr>
              <w:rPr>
                <w:rFonts w:cs="Arial"/>
              </w:rPr>
            </w:pPr>
            <w:r w:rsidRPr="3238681A">
              <w:rPr>
                <w:rFonts w:cs="Arial"/>
              </w:rPr>
              <w:t>While this register is already publicly accessible electronically, the amendment proposed in the Bill will limit the right to privacy as the amendments will enshrine the requirement for the register to be made accessible to the public, without charge on an ACT government website, or by a link on an ACT government website.</w:t>
            </w:r>
          </w:p>
          <w:p w14:paraId="7446EB7D" w14:textId="77777777" w:rsidR="00B5050C" w:rsidRDefault="00B5050C" w:rsidP="00E1194D">
            <w:pPr>
              <w:rPr>
                <w:rFonts w:cs="Arial"/>
              </w:rPr>
            </w:pPr>
            <w:r>
              <w:rPr>
                <w:rFonts w:cs="Arial"/>
              </w:rPr>
              <w:t xml:space="preserve">The registrar must also publish a register of public information at least once a week on a website (s107A(1)). This information is in relation to occupational discipline against a licensee. The public register must include </w:t>
            </w:r>
            <w:r w:rsidR="00375B30">
              <w:rPr>
                <w:rFonts w:cs="Arial"/>
              </w:rPr>
              <w:t>the name of each licensee.</w:t>
            </w:r>
          </w:p>
          <w:p w14:paraId="360E72F5" w14:textId="4E9D6062" w:rsidR="00375B30" w:rsidRPr="00375B30" w:rsidRDefault="00375B30" w:rsidP="00E1194D">
            <w:pPr>
              <w:rPr>
                <w:rFonts w:cs="Arial"/>
              </w:rPr>
            </w:pPr>
            <w:r w:rsidRPr="3238681A">
              <w:rPr>
                <w:rFonts w:cs="Arial"/>
              </w:rPr>
              <w:t xml:space="preserve">While this </w:t>
            </w:r>
            <w:r>
              <w:rPr>
                <w:rFonts w:cs="Arial"/>
              </w:rPr>
              <w:t xml:space="preserve">information </w:t>
            </w:r>
            <w:r w:rsidRPr="3238681A">
              <w:rPr>
                <w:rFonts w:cs="Arial"/>
              </w:rPr>
              <w:t>is already publicly accessible electronically, the amendment proposed in the Bill will limit the right to privacy as the amendments will enshrine the requirement for the register to be made accessible to the public, without charge on an ACT government website, or by a link on an ACT government website.</w:t>
            </w:r>
          </w:p>
        </w:tc>
      </w:tr>
      <w:tr w:rsidR="00664260" w14:paraId="254E80FF" w14:textId="77777777" w:rsidTr="2247E06D">
        <w:tc>
          <w:tcPr>
            <w:tcW w:w="2547" w:type="dxa"/>
          </w:tcPr>
          <w:p w14:paraId="79444F63" w14:textId="722D1197" w:rsidR="00664260" w:rsidRDefault="00664260" w:rsidP="3238681A">
            <w:pPr>
              <w:rPr>
                <w:rFonts w:cs="Arial"/>
              </w:rPr>
            </w:pPr>
            <w:r w:rsidRPr="2CC68585">
              <w:rPr>
                <w:rFonts w:cs="Arial"/>
                <w:i/>
                <w:iCs/>
              </w:rPr>
              <w:t>Domestic Animals Act 2000</w:t>
            </w:r>
            <w:r w:rsidRPr="2CC68585">
              <w:rPr>
                <w:rFonts w:cs="Arial"/>
              </w:rPr>
              <w:t xml:space="preserve"> </w:t>
            </w:r>
            <w:r w:rsidR="1FE66584" w:rsidRPr="2CC68585">
              <w:rPr>
                <w:rFonts w:cs="Arial"/>
              </w:rPr>
              <w:t xml:space="preserve">and </w:t>
            </w:r>
            <w:r w:rsidR="1FE66584" w:rsidRPr="2CC68585">
              <w:rPr>
                <w:rFonts w:cs="Arial"/>
                <w:i/>
                <w:iCs/>
              </w:rPr>
              <w:lastRenderedPageBreak/>
              <w:t>Domestic Animals Regulation 2001</w:t>
            </w:r>
            <w:r w:rsidR="1FE66584" w:rsidRPr="2CC68585">
              <w:rPr>
                <w:rFonts w:cs="Arial"/>
              </w:rPr>
              <w:t xml:space="preserve"> </w:t>
            </w:r>
          </w:p>
        </w:tc>
        <w:tc>
          <w:tcPr>
            <w:tcW w:w="6469" w:type="dxa"/>
          </w:tcPr>
          <w:p w14:paraId="4CA66FB1" w14:textId="5FC2B8D0" w:rsidR="00664260" w:rsidRDefault="00664260" w:rsidP="00E1194D">
            <w:pPr>
              <w:rPr>
                <w:rFonts w:cs="Arial"/>
                <w:iCs/>
                <w:szCs w:val="24"/>
              </w:rPr>
            </w:pPr>
            <w:r>
              <w:rPr>
                <w:rFonts w:cs="Arial"/>
                <w:iCs/>
                <w:szCs w:val="24"/>
              </w:rPr>
              <w:lastRenderedPageBreak/>
              <w:t>Individuals are required to apply to the registrar to be registered as an assistance animal trainer or assessor (ss 100 and 104</w:t>
            </w:r>
            <w:r w:rsidR="003679F9">
              <w:rPr>
                <w:rFonts w:cs="Arial"/>
                <w:iCs/>
                <w:szCs w:val="24"/>
              </w:rPr>
              <w:t xml:space="preserve"> respectively</w:t>
            </w:r>
            <w:r>
              <w:rPr>
                <w:rFonts w:cs="Arial"/>
                <w:iCs/>
                <w:szCs w:val="24"/>
              </w:rPr>
              <w:t xml:space="preserve">). </w:t>
            </w:r>
          </w:p>
          <w:p w14:paraId="2817B457" w14:textId="08087E9D" w:rsidR="00664260" w:rsidRDefault="00664260" w:rsidP="3238681A">
            <w:pPr>
              <w:rPr>
                <w:rFonts w:cs="Arial"/>
              </w:rPr>
            </w:pPr>
            <w:r w:rsidRPr="2CC68585">
              <w:rPr>
                <w:rFonts w:cs="Arial"/>
              </w:rPr>
              <w:lastRenderedPageBreak/>
              <w:t xml:space="preserve">The Bill proposes </w:t>
            </w:r>
            <w:proofErr w:type="spellStart"/>
            <w:r w:rsidRPr="2CC68585">
              <w:rPr>
                <w:rFonts w:cs="Arial"/>
              </w:rPr>
              <w:t>new s</w:t>
            </w:r>
            <w:proofErr w:type="spellEnd"/>
            <w:r w:rsidRPr="2CC68585">
              <w:rPr>
                <w:rFonts w:cs="Arial"/>
              </w:rPr>
              <w:t xml:space="preserve"> 106AA which will require the registrar to make available to the public information in the register about a registered assistance animal trainer or assessor that is prescribed by regulation. New regulations are proposed which would require an assistance animal trainer or assessor’s name and contact details to be made publicly available on the register (see new </w:t>
            </w:r>
            <w:r w:rsidR="3141E03C" w:rsidRPr="2CC68585">
              <w:rPr>
                <w:rFonts w:cs="Arial"/>
              </w:rPr>
              <w:t xml:space="preserve">part 3A, </w:t>
            </w:r>
            <w:r w:rsidRPr="2CC68585">
              <w:rPr>
                <w:rFonts w:cs="Arial"/>
              </w:rPr>
              <w:t>9I</w:t>
            </w:r>
            <w:r w:rsidR="40EF2C78" w:rsidRPr="2CC68585">
              <w:rPr>
                <w:rFonts w:cs="Arial"/>
              </w:rPr>
              <w:t xml:space="preserve"> of the regulation</w:t>
            </w:r>
            <w:r w:rsidRPr="2CC68585">
              <w:rPr>
                <w:rFonts w:cs="Arial"/>
              </w:rPr>
              <w:t xml:space="preserve">). </w:t>
            </w:r>
          </w:p>
          <w:p w14:paraId="306E3BAF" w14:textId="077650D9" w:rsidR="00664260" w:rsidRDefault="00664260" w:rsidP="3238681A">
            <w:pPr>
              <w:rPr>
                <w:rFonts w:cs="Arial"/>
              </w:rPr>
            </w:pPr>
            <w:r w:rsidRPr="2CC68585">
              <w:rPr>
                <w:rFonts w:cs="Arial"/>
              </w:rPr>
              <w:t xml:space="preserve">The proposed public register must be made accessible to the public without charge on an ACT government website, or by a link on an ACT government website. </w:t>
            </w:r>
          </w:p>
          <w:p w14:paraId="0FF46665" w14:textId="77777777" w:rsidR="00664260" w:rsidRDefault="00664260" w:rsidP="00E1194D">
            <w:pPr>
              <w:rPr>
                <w:rFonts w:cs="Arial"/>
                <w:iCs/>
                <w:szCs w:val="24"/>
              </w:rPr>
            </w:pPr>
            <w:r>
              <w:rPr>
                <w:rFonts w:cs="Arial"/>
                <w:iCs/>
                <w:szCs w:val="24"/>
              </w:rPr>
              <w:t xml:space="preserve">While the current Act does not require it, the name and contact details of assistance animal trainers and assessors is publicly available: </w:t>
            </w:r>
            <w:hyperlink r:id="rId21" w:anchor="Find" w:history="1">
              <w:r w:rsidRPr="00FA5E72">
                <w:rPr>
                  <w:rStyle w:val="Hyperlink"/>
                  <w:rFonts w:eastAsiaTheme="majorEastAsia" w:cs="Arial"/>
                  <w:iCs/>
                  <w:szCs w:val="24"/>
                </w:rPr>
                <w:t>https://www.cityservices.act.gov.au/pets-and-wildlife/domestic-animals/assistance-animals#Find</w:t>
              </w:r>
            </w:hyperlink>
            <w:r>
              <w:rPr>
                <w:rFonts w:cs="Arial"/>
                <w:iCs/>
                <w:szCs w:val="24"/>
              </w:rPr>
              <w:t xml:space="preserve"> </w:t>
            </w:r>
          </w:p>
          <w:p w14:paraId="2E08DE8D" w14:textId="77777777" w:rsidR="00664260" w:rsidRDefault="00664260" w:rsidP="00E1194D">
            <w:pPr>
              <w:rPr>
                <w:rFonts w:cs="Arial"/>
                <w:iCs/>
                <w:szCs w:val="24"/>
              </w:rPr>
            </w:pPr>
            <w:r>
              <w:rPr>
                <w:rFonts w:cs="Arial"/>
                <w:iCs/>
                <w:szCs w:val="24"/>
              </w:rPr>
              <w:t xml:space="preserve">However, the amendments will limit the right to privacy as it proposes a new public register and enshrines in legislation the personal information required to be made public on the register. </w:t>
            </w:r>
            <w:r>
              <w:t xml:space="preserve"> </w:t>
            </w:r>
          </w:p>
        </w:tc>
      </w:tr>
      <w:tr w:rsidR="00664260" w14:paraId="4D6B2AD4" w14:textId="77777777" w:rsidTr="2247E06D">
        <w:tc>
          <w:tcPr>
            <w:tcW w:w="2547" w:type="dxa"/>
          </w:tcPr>
          <w:p w14:paraId="4FB76BD6" w14:textId="77777777" w:rsidR="00664260" w:rsidRPr="00614A23" w:rsidRDefault="00664260" w:rsidP="00E1194D">
            <w:pPr>
              <w:rPr>
                <w:rFonts w:cs="Arial"/>
                <w:i/>
                <w:szCs w:val="24"/>
              </w:rPr>
            </w:pPr>
            <w:r>
              <w:rPr>
                <w:rFonts w:cs="Arial"/>
                <w:i/>
                <w:szCs w:val="24"/>
              </w:rPr>
              <w:lastRenderedPageBreak/>
              <w:t>Food Act 2001</w:t>
            </w:r>
          </w:p>
        </w:tc>
        <w:tc>
          <w:tcPr>
            <w:tcW w:w="6469" w:type="dxa"/>
          </w:tcPr>
          <w:p w14:paraId="4AB0C93B" w14:textId="77777777" w:rsidR="00664260" w:rsidRDefault="00664260" w:rsidP="3238681A">
            <w:pPr>
              <w:rPr>
                <w:rFonts w:cs="Arial"/>
              </w:rPr>
            </w:pPr>
            <w:r w:rsidRPr="3238681A">
              <w:rPr>
                <w:rFonts w:cs="Arial"/>
              </w:rPr>
              <w:t xml:space="preserve">The Chief Health Officer (CHO) must keep a register of food businesses registered under the Act (s 105(1)). The register must include the name of the proprietor of the food business and the address the business is mainly conducted from (s 105(2)). The CHO must make arrangements for people to inspect the food business register and buy a copy of part or all of it. </w:t>
            </w:r>
          </w:p>
          <w:p w14:paraId="7B24CA20" w14:textId="6B8869CD" w:rsidR="00664260" w:rsidRPr="00AF70B9" w:rsidRDefault="00664260" w:rsidP="3238681A">
            <w:pPr>
              <w:rPr>
                <w:rFonts w:cs="Arial"/>
              </w:rPr>
            </w:pPr>
            <w:r w:rsidRPr="3238681A">
              <w:rPr>
                <w:rFonts w:cs="Arial"/>
              </w:rPr>
              <w:t xml:space="preserve">The amendments proposed in the Bill will limit the right to privacy as the amendments will enshrine the requirement for the register to be made accessible to the public, without charge on an ACT </w:t>
            </w:r>
            <w:r w:rsidR="15542A1A" w:rsidRPr="3238681A">
              <w:rPr>
                <w:rFonts w:cs="Arial"/>
              </w:rPr>
              <w:t>g</w:t>
            </w:r>
            <w:r w:rsidRPr="3238681A">
              <w:rPr>
                <w:rFonts w:cs="Arial"/>
              </w:rPr>
              <w:t xml:space="preserve">overnment website, or by a link on an ACT </w:t>
            </w:r>
            <w:r w:rsidR="7477FEAA" w:rsidRPr="3238681A">
              <w:rPr>
                <w:rFonts w:cs="Arial"/>
              </w:rPr>
              <w:t>g</w:t>
            </w:r>
            <w:r w:rsidRPr="3238681A">
              <w:rPr>
                <w:rFonts w:cs="Arial"/>
              </w:rPr>
              <w:t xml:space="preserve">overnment website. </w:t>
            </w:r>
          </w:p>
        </w:tc>
      </w:tr>
      <w:tr w:rsidR="00664260" w14:paraId="6FFB7561" w14:textId="77777777" w:rsidTr="2247E06D">
        <w:tc>
          <w:tcPr>
            <w:tcW w:w="2547" w:type="dxa"/>
          </w:tcPr>
          <w:p w14:paraId="2356F4F0" w14:textId="77777777" w:rsidR="00664260" w:rsidRPr="00B21C75" w:rsidRDefault="00664260" w:rsidP="2CC68585">
            <w:pPr>
              <w:rPr>
                <w:rFonts w:cs="Arial"/>
                <w:i/>
                <w:iCs/>
              </w:rPr>
            </w:pPr>
            <w:r w:rsidRPr="2CC68585">
              <w:rPr>
                <w:rFonts w:cs="Arial"/>
                <w:i/>
                <w:iCs/>
              </w:rPr>
              <w:t>Gambling and Racing Control Act 1999</w:t>
            </w:r>
          </w:p>
        </w:tc>
        <w:tc>
          <w:tcPr>
            <w:tcW w:w="6469" w:type="dxa"/>
          </w:tcPr>
          <w:p w14:paraId="59FF6092" w14:textId="13B7A8F4" w:rsidR="00664260" w:rsidRDefault="00664260" w:rsidP="3238681A">
            <w:pPr>
              <w:rPr>
                <w:rFonts w:cs="Arial"/>
              </w:rPr>
            </w:pPr>
            <w:r w:rsidRPr="2CC68585">
              <w:rPr>
                <w:rFonts w:cs="Arial"/>
              </w:rPr>
              <w:t xml:space="preserve">Under the </w:t>
            </w:r>
            <w:r w:rsidRPr="2CC68585">
              <w:rPr>
                <w:rFonts w:cs="Arial"/>
                <w:i/>
                <w:iCs/>
              </w:rPr>
              <w:t>Race and Sports Bookmaking Act 2001</w:t>
            </w:r>
            <w:r w:rsidR="196DCACB" w:rsidRPr="2CC68585">
              <w:rPr>
                <w:rFonts w:cs="Arial"/>
                <w:i/>
                <w:iCs/>
              </w:rPr>
              <w:t xml:space="preserve"> </w:t>
            </w:r>
            <w:r w:rsidR="196DCACB" w:rsidRPr="2CC68585">
              <w:rPr>
                <w:rFonts w:cs="Arial"/>
              </w:rPr>
              <w:t>(the Race and Sports Bookmaking Act)</w:t>
            </w:r>
            <w:r w:rsidRPr="2CC68585">
              <w:rPr>
                <w:rFonts w:cs="Arial"/>
              </w:rPr>
              <w:t xml:space="preserve">, the </w:t>
            </w:r>
            <w:r w:rsidR="65B5619D" w:rsidRPr="2CC68585">
              <w:rPr>
                <w:rFonts w:cs="Arial"/>
              </w:rPr>
              <w:t xml:space="preserve">ACT </w:t>
            </w:r>
            <w:r w:rsidRPr="2CC68585">
              <w:rPr>
                <w:rFonts w:cs="Arial"/>
              </w:rPr>
              <w:t xml:space="preserve">Gambling and Racing Commission </w:t>
            </w:r>
            <w:r w:rsidR="38E1EE73" w:rsidRPr="2CC68585">
              <w:rPr>
                <w:rFonts w:cs="Arial"/>
              </w:rPr>
              <w:t xml:space="preserve">(the </w:t>
            </w:r>
            <w:r w:rsidR="38E1EE73" w:rsidRPr="2CC68585">
              <w:rPr>
                <w:rFonts w:cs="Arial"/>
                <w:b/>
                <w:bCs/>
              </w:rPr>
              <w:t>commission</w:t>
            </w:r>
            <w:r w:rsidR="38E1EE73" w:rsidRPr="2CC68585">
              <w:rPr>
                <w:rFonts w:cs="Arial"/>
              </w:rPr>
              <w:t xml:space="preserve">) </w:t>
            </w:r>
            <w:r w:rsidRPr="2CC68585">
              <w:rPr>
                <w:rFonts w:cs="Arial"/>
              </w:rPr>
              <w:t xml:space="preserve">is required to keep a register of licensees (s 89). The </w:t>
            </w:r>
            <w:r w:rsidRPr="2CC68585">
              <w:rPr>
                <w:rFonts w:cs="Arial"/>
                <w:i/>
                <w:iCs/>
              </w:rPr>
              <w:t>Race and Sports Bookmaking Regulation 2001</w:t>
            </w:r>
            <w:r w:rsidRPr="2CC68585">
              <w:rPr>
                <w:rFonts w:cs="Arial"/>
              </w:rPr>
              <w:t xml:space="preserve"> sets out the prescribed particulars that must be entered in the register for licensees. This includes the name and address of race </w:t>
            </w:r>
            <w:r w:rsidRPr="2CC68585">
              <w:rPr>
                <w:rFonts w:cs="Arial"/>
              </w:rPr>
              <w:lastRenderedPageBreak/>
              <w:t>bookmaking licensees, race bookmaker’s agent licensees</w:t>
            </w:r>
            <w:r w:rsidR="00F20155">
              <w:rPr>
                <w:rFonts w:cs="Arial"/>
              </w:rPr>
              <w:t xml:space="preserve">, </w:t>
            </w:r>
            <w:r w:rsidRPr="2CC68585">
              <w:rPr>
                <w:rFonts w:cs="Arial"/>
              </w:rPr>
              <w:t>sports book</w:t>
            </w:r>
            <w:r w:rsidR="00F20155">
              <w:rPr>
                <w:rFonts w:cs="Arial"/>
              </w:rPr>
              <w:t>making</w:t>
            </w:r>
            <w:r w:rsidRPr="2CC68585">
              <w:rPr>
                <w:rFonts w:cs="Arial"/>
              </w:rPr>
              <w:t xml:space="preserve"> licensees</w:t>
            </w:r>
            <w:r w:rsidR="00F20155">
              <w:rPr>
                <w:rFonts w:cs="Arial"/>
              </w:rPr>
              <w:t>, and sports bookmaker’s agent licensees</w:t>
            </w:r>
            <w:r w:rsidRPr="2CC68585">
              <w:rPr>
                <w:rFonts w:cs="Arial"/>
              </w:rPr>
              <w:t xml:space="preserve"> (</w:t>
            </w:r>
            <w:r w:rsidR="43677F77" w:rsidRPr="2CC68585">
              <w:rPr>
                <w:rFonts w:cs="Arial"/>
              </w:rPr>
              <w:t>see sections 2-4 of the Regulation</w:t>
            </w:r>
            <w:r w:rsidRPr="2CC68585">
              <w:rPr>
                <w:rFonts w:cs="Arial"/>
              </w:rPr>
              <w:t xml:space="preserve">). There </w:t>
            </w:r>
            <w:r w:rsidR="0AB4AB66" w:rsidRPr="2CC68585">
              <w:rPr>
                <w:rFonts w:cs="Arial"/>
              </w:rPr>
              <w:t>are</w:t>
            </w:r>
            <w:r w:rsidRPr="2CC68585">
              <w:rPr>
                <w:rFonts w:cs="Arial"/>
              </w:rPr>
              <w:t xml:space="preserve"> no requirements under the Race and Sports Bookmaking Act to make this register publicly available. </w:t>
            </w:r>
          </w:p>
          <w:p w14:paraId="252BDA50" w14:textId="3A2D14F2" w:rsidR="00FC7409" w:rsidRDefault="00FC7409" w:rsidP="3238681A">
            <w:pPr>
              <w:rPr>
                <w:rFonts w:cs="Arial"/>
              </w:rPr>
            </w:pPr>
            <w:r>
              <w:rPr>
                <w:rFonts w:cs="Arial"/>
              </w:rPr>
              <w:t>Th</w:t>
            </w:r>
            <w:r w:rsidR="00664260" w:rsidRPr="2CC68585">
              <w:rPr>
                <w:rFonts w:cs="Arial"/>
              </w:rPr>
              <w:t xml:space="preserve">e proposed amendments in the Bill will establish a register </w:t>
            </w:r>
            <w:r>
              <w:rPr>
                <w:rFonts w:cs="Arial"/>
              </w:rPr>
              <w:t xml:space="preserve">for the above-mentioned licensees </w:t>
            </w:r>
            <w:r w:rsidR="00664260" w:rsidRPr="2CC68585">
              <w:rPr>
                <w:rFonts w:cs="Arial"/>
              </w:rPr>
              <w:t xml:space="preserve">in the </w:t>
            </w:r>
            <w:r w:rsidR="00664260" w:rsidRPr="2CC68585">
              <w:rPr>
                <w:rFonts w:cs="Arial"/>
                <w:i/>
                <w:iCs/>
              </w:rPr>
              <w:t>Gambling and Racing Control Act 1999</w:t>
            </w:r>
            <w:r w:rsidR="00664260" w:rsidRPr="2CC68585">
              <w:rPr>
                <w:rFonts w:cs="Arial"/>
              </w:rPr>
              <w:t xml:space="preserve">. </w:t>
            </w:r>
            <w:r>
              <w:rPr>
                <w:rFonts w:cs="Arial"/>
              </w:rPr>
              <w:t xml:space="preserve">This is because the </w:t>
            </w:r>
            <w:r w:rsidRPr="2CC68585">
              <w:rPr>
                <w:rFonts w:cs="Arial"/>
                <w:i/>
                <w:iCs/>
              </w:rPr>
              <w:t>Gambling and Racing Control Act 1999</w:t>
            </w:r>
            <w:r>
              <w:rPr>
                <w:rFonts w:cs="Arial"/>
                <w:i/>
                <w:iCs/>
              </w:rPr>
              <w:t xml:space="preserve"> </w:t>
            </w:r>
            <w:r>
              <w:rPr>
                <w:rFonts w:cs="Arial"/>
              </w:rPr>
              <w:t xml:space="preserve">is considered a more appropriate legislative framework for certain administrative matters relating to the gambling and racing industry. </w:t>
            </w:r>
          </w:p>
          <w:p w14:paraId="3528A286" w14:textId="68E14548" w:rsidR="00664260" w:rsidRDefault="00664260" w:rsidP="3238681A">
            <w:pPr>
              <w:rPr>
                <w:rFonts w:cs="Arial"/>
              </w:rPr>
            </w:pPr>
            <w:r w:rsidRPr="2CC68585">
              <w:rPr>
                <w:rFonts w:cs="Arial"/>
              </w:rPr>
              <w:t>The Bill will require the register</w:t>
            </w:r>
            <w:r w:rsidR="4FD78DDF" w:rsidRPr="2CC68585">
              <w:rPr>
                <w:rFonts w:cs="Arial"/>
              </w:rPr>
              <w:t>s</w:t>
            </w:r>
            <w:r w:rsidRPr="2CC68585">
              <w:rPr>
                <w:rFonts w:cs="Arial"/>
              </w:rPr>
              <w:t xml:space="preserve"> to be publicly accessible without charge on an ACT government website or by a link on an ACT government website. </w:t>
            </w:r>
          </w:p>
          <w:p w14:paraId="21B14499" w14:textId="62426CA7" w:rsidR="00664260" w:rsidRDefault="00664260" w:rsidP="2CC68585">
            <w:pPr>
              <w:rPr>
                <w:rFonts w:cs="Arial"/>
              </w:rPr>
            </w:pPr>
            <w:r w:rsidRPr="2CC68585">
              <w:rPr>
                <w:rFonts w:cs="Arial"/>
              </w:rPr>
              <w:t xml:space="preserve">The public register </w:t>
            </w:r>
            <w:r w:rsidR="00FC7409">
              <w:rPr>
                <w:rFonts w:cs="Arial"/>
              </w:rPr>
              <w:t xml:space="preserve">will </w:t>
            </w:r>
            <w:r w:rsidRPr="2CC68585">
              <w:rPr>
                <w:rFonts w:cs="Arial"/>
              </w:rPr>
              <w:t>include the name and address of the licensee and</w:t>
            </w:r>
            <w:r w:rsidR="00FC7409">
              <w:rPr>
                <w:rFonts w:cs="Arial"/>
              </w:rPr>
              <w:t>,</w:t>
            </w:r>
            <w:r w:rsidRPr="2CC68585">
              <w:rPr>
                <w:rFonts w:cs="Arial"/>
              </w:rPr>
              <w:t xml:space="preserve"> for a race bookmaker’s agent </w:t>
            </w:r>
            <w:r w:rsidR="00FC7409">
              <w:rPr>
                <w:rFonts w:cs="Arial"/>
              </w:rPr>
              <w:t xml:space="preserve">or sports bookmaker’s agent </w:t>
            </w:r>
            <w:r w:rsidRPr="2CC68585">
              <w:rPr>
                <w:rFonts w:cs="Arial"/>
              </w:rPr>
              <w:t xml:space="preserve">licence, the name and address of the person who nominated the licensee for the licence. The public register will also include the name and business address of </w:t>
            </w:r>
            <w:r w:rsidR="00FC7409">
              <w:rPr>
                <w:rFonts w:cs="Arial"/>
              </w:rPr>
              <w:t xml:space="preserve">agents of the licensee and </w:t>
            </w:r>
            <w:r w:rsidRPr="2CC68585">
              <w:rPr>
                <w:rFonts w:cs="Arial"/>
              </w:rPr>
              <w:t>authorised persons in relation to a totalisator</w:t>
            </w:r>
            <w:r w:rsidR="00FC7409">
              <w:rPr>
                <w:rFonts w:cs="Arial"/>
              </w:rPr>
              <w:t xml:space="preserve"> licence</w:t>
            </w:r>
            <w:r w:rsidRPr="2CC68585">
              <w:rPr>
                <w:rFonts w:cs="Arial"/>
              </w:rPr>
              <w:t>.</w:t>
            </w:r>
          </w:p>
          <w:p w14:paraId="416C6ED5" w14:textId="09BACA03" w:rsidR="00FC7409" w:rsidRDefault="00FC7409" w:rsidP="2CC68585">
            <w:pPr>
              <w:rPr>
                <w:rFonts w:cs="Arial"/>
              </w:rPr>
            </w:pPr>
            <w:r>
              <w:rPr>
                <w:rFonts w:cs="Arial"/>
                <w:iCs/>
                <w:szCs w:val="24"/>
              </w:rPr>
              <w:t xml:space="preserve">The amendments will limit the right to privacy as they propose a new public register which will include the name and address of licensees, and in relation to those who have a </w:t>
            </w:r>
            <w:r w:rsidRPr="2CC68585">
              <w:rPr>
                <w:rFonts w:cs="Arial"/>
              </w:rPr>
              <w:t xml:space="preserve">race bookmaker’s agent </w:t>
            </w:r>
            <w:r>
              <w:rPr>
                <w:rFonts w:cs="Arial"/>
              </w:rPr>
              <w:t xml:space="preserve">or sports bookmaker’s agent </w:t>
            </w:r>
            <w:r w:rsidRPr="2CC68585">
              <w:rPr>
                <w:rFonts w:cs="Arial"/>
              </w:rPr>
              <w:t>licence, the name and address of the person who nominated the licensee for the licence</w:t>
            </w:r>
            <w:r>
              <w:rPr>
                <w:rFonts w:cs="Arial"/>
              </w:rPr>
              <w:t>.</w:t>
            </w:r>
          </w:p>
          <w:p w14:paraId="72EFAE37" w14:textId="4BD00A48" w:rsidR="00FC7409" w:rsidRDefault="00FC7409" w:rsidP="2CC68585">
            <w:pPr>
              <w:rPr>
                <w:rFonts w:cs="Arial"/>
              </w:rPr>
            </w:pPr>
            <w:r>
              <w:rPr>
                <w:rFonts w:cs="Arial"/>
                <w:iCs/>
                <w:szCs w:val="24"/>
              </w:rPr>
              <w:t xml:space="preserve">The amendments will also limit the right to privacy in relation to totalisator licences as the public register will </w:t>
            </w:r>
            <w:r w:rsidRPr="2CC68585">
              <w:rPr>
                <w:rFonts w:cs="Arial"/>
              </w:rPr>
              <w:t xml:space="preserve">also include the name and business address of </w:t>
            </w:r>
            <w:r>
              <w:rPr>
                <w:rFonts w:cs="Arial"/>
              </w:rPr>
              <w:t xml:space="preserve">agents of the licensee and </w:t>
            </w:r>
            <w:r w:rsidRPr="2CC68585">
              <w:rPr>
                <w:rFonts w:cs="Arial"/>
              </w:rPr>
              <w:t>authorised persons in relation to</w:t>
            </w:r>
            <w:r>
              <w:rPr>
                <w:rFonts w:cs="Arial"/>
              </w:rPr>
              <w:t xml:space="preserve"> that licence.</w:t>
            </w:r>
          </w:p>
        </w:tc>
      </w:tr>
      <w:tr w:rsidR="00664260" w14:paraId="195D4212" w14:textId="77777777" w:rsidTr="2247E06D">
        <w:tc>
          <w:tcPr>
            <w:tcW w:w="2547" w:type="dxa"/>
          </w:tcPr>
          <w:p w14:paraId="1CD2FEC1" w14:textId="77777777" w:rsidR="00664260" w:rsidRPr="000D1746" w:rsidRDefault="00664260" w:rsidP="00E1194D">
            <w:pPr>
              <w:rPr>
                <w:rFonts w:cs="Arial"/>
                <w:i/>
                <w:szCs w:val="24"/>
              </w:rPr>
            </w:pPr>
            <w:r w:rsidRPr="00B21C75">
              <w:rPr>
                <w:rFonts w:cs="Arial"/>
                <w:i/>
                <w:szCs w:val="24"/>
              </w:rPr>
              <w:lastRenderedPageBreak/>
              <w:t>Professional Engineers Act 2023</w:t>
            </w:r>
          </w:p>
        </w:tc>
        <w:tc>
          <w:tcPr>
            <w:tcW w:w="6469" w:type="dxa"/>
          </w:tcPr>
          <w:p w14:paraId="6583F6F8" w14:textId="574C4781" w:rsidR="00664260" w:rsidRDefault="00664260" w:rsidP="2CC68585">
            <w:pPr>
              <w:rPr>
                <w:rFonts w:cs="Arial"/>
              </w:rPr>
            </w:pPr>
            <w:r w:rsidRPr="2CC68585">
              <w:rPr>
                <w:rFonts w:cs="Arial"/>
              </w:rPr>
              <w:t xml:space="preserve">The registrar must keep a professional engineers register which includes certain details about professional engineers (s 30). The registrar must make the name of a professional engineer available to the public (s 31(1)) and may make the name of a former professional engineer available to the public (s 31(2)). Currently, the legislation </w:t>
            </w:r>
            <w:r w:rsidRPr="2CC68585">
              <w:rPr>
                <w:rFonts w:cs="Arial"/>
              </w:rPr>
              <w:lastRenderedPageBreak/>
              <w:t xml:space="preserve">does not specify how this register is to be made publicly available. However, the register is publicly accessible electronically here: </w:t>
            </w:r>
            <w:hyperlink r:id="rId22">
              <w:r w:rsidRPr="2CC68585">
                <w:rPr>
                  <w:rStyle w:val="Hyperlink"/>
                  <w:rFonts w:eastAsiaTheme="majorEastAsia" w:cs="Arial"/>
                </w:rPr>
                <w:t>List of Professional Engineers</w:t>
              </w:r>
            </w:hyperlink>
            <w:r w:rsidR="632CE2F5" w:rsidRPr="2CC68585">
              <w:rPr>
                <w:rFonts w:cs="Arial"/>
              </w:rPr>
              <w:t>.</w:t>
            </w:r>
          </w:p>
          <w:p w14:paraId="12A68587" w14:textId="4833D357" w:rsidR="00664260" w:rsidRPr="00CE7927" w:rsidRDefault="00664260" w:rsidP="3238681A">
            <w:pPr>
              <w:rPr>
                <w:rFonts w:cs="Arial"/>
              </w:rPr>
            </w:pPr>
            <w:r w:rsidRPr="3238681A">
              <w:rPr>
                <w:rFonts w:cs="Arial"/>
              </w:rPr>
              <w:t xml:space="preserve">While this register is already publicly accessible electronically, the amendment proposed in the Bill will limit the right to privacy as the amendments will enshrine the requirement for the register to be made accessible to the public, without charge on an ACT </w:t>
            </w:r>
            <w:r w:rsidR="6037FAD8" w:rsidRPr="3238681A">
              <w:rPr>
                <w:rFonts w:cs="Arial"/>
              </w:rPr>
              <w:t>g</w:t>
            </w:r>
            <w:r w:rsidRPr="3238681A">
              <w:rPr>
                <w:rFonts w:cs="Arial"/>
              </w:rPr>
              <w:t xml:space="preserve">overnment website, or by a link on an ACT </w:t>
            </w:r>
            <w:r w:rsidR="23E849DA" w:rsidRPr="3238681A">
              <w:rPr>
                <w:rFonts w:cs="Arial"/>
              </w:rPr>
              <w:t>g</w:t>
            </w:r>
            <w:r w:rsidRPr="3238681A">
              <w:rPr>
                <w:rFonts w:cs="Arial"/>
              </w:rPr>
              <w:t xml:space="preserve">overnment website. </w:t>
            </w:r>
          </w:p>
        </w:tc>
      </w:tr>
      <w:tr w:rsidR="00664260" w14:paraId="7BDB7431" w14:textId="77777777" w:rsidTr="2247E06D">
        <w:tc>
          <w:tcPr>
            <w:tcW w:w="2547" w:type="dxa"/>
          </w:tcPr>
          <w:p w14:paraId="29BC5E98" w14:textId="77777777" w:rsidR="00664260" w:rsidRPr="00B21C75" w:rsidRDefault="00664260" w:rsidP="00E1194D">
            <w:pPr>
              <w:rPr>
                <w:rFonts w:cs="Arial"/>
                <w:i/>
                <w:szCs w:val="24"/>
              </w:rPr>
            </w:pPr>
            <w:r w:rsidRPr="00853786">
              <w:rPr>
                <w:rFonts w:cs="Arial"/>
                <w:i/>
                <w:szCs w:val="24"/>
              </w:rPr>
              <w:lastRenderedPageBreak/>
              <w:t>Public Health Act</w:t>
            </w:r>
            <w:r>
              <w:rPr>
                <w:rFonts w:cs="Arial"/>
                <w:i/>
                <w:szCs w:val="24"/>
              </w:rPr>
              <w:t xml:space="preserve"> 1997</w:t>
            </w:r>
          </w:p>
        </w:tc>
        <w:tc>
          <w:tcPr>
            <w:tcW w:w="6469" w:type="dxa"/>
          </w:tcPr>
          <w:p w14:paraId="3A85AD95" w14:textId="2C6954CF" w:rsidR="00664260" w:rsidRDefault="00664260" w:rsidP="3238681A">
            <w:pPr>
              <w:rPr>
                <w:rFonts w:cs="Arial"/>
              </w:rPr>
            </w:pPr>
            <w:r w:rsidRPr="3238681A">
              <w:rPr>
                <w:rFonts w:cs="Arial"/>
              </w:rPr>
              <w:t xml:space="preserve">The Bill introduces two new registers in new sections 21A and 42CA. New section 21A requires the Minister to keep a register </w:t>
            </w:r>
            <w:r w:rsidR="4D3738B5" w:rsidRPr="3238681A">
              <w:rPr>
                <w:rFonts w:cs="Arial"/>
              </w:rPr>
              <w:t>of</w:t>
            </w:r>
            <w:r w:rsidRPr="3238681A">
              <w:rPr>
                <w:rFonts w:cs="Arial"/>
              </w:rPr>
              <w:t xml:space="preserve"> licensees who are licensed to undertake a public health risk activity. This will include the name of the licensee and the licensed premises.</w:t>
            </w:r>
          </w:p>
          <w:p w14:paraId="35610818" w14:textId="126A2B82" w:rsidR="00664260" w:rsidRDefault="00664260" w:rsidP="3238681A">
            <w:pPr>
              <w:rPr>
                <w:rFonts w:cs="Arial"/>
              </w:rPr>
            </w:pPr>
            <w:r w:rsidRPr="3238681A">
              <w:rPr>
                <w:rFonts w:cs="Arial"/>
              </w:rPr>
              <w:t xml:space="preserve">New section 42CA requires the Minister to keep a register </w:t>
            </w:r>
            <w:r w:rsidR="58F215B3" w:rsidRPr="3238681A">
              <w:rPr>
                <w:rFonts w:cs="Arial"/>
              </w:rPr>
              <w:t>of</w:t>
            </w:r>
            <w:r w:rsidRPr="3238681A">
              <w:rPr>
                <w:rFonts w:cs="Arial"/>
              </w:rPr>
              <w:t xml:space="preserve"> licensees who are licensed to undertake a public health risk procedure. This will include the name of the licensee. </w:t>
            </w:r>
          </w:p>
          <w:p w14:paraId="668047D3" w14:textId="5F0DF08C" w:rsidR="00664260" w:rsidRDefault="00664260" w:rsidP="3238681A">
            <w:pPr>
              <w:rPr>
                <w:rFonts w:cs="Arial"/>
              </w:rPr>
            </w:pPr>
            <w:r w:rsidRPr="3238681A">
              <w:rPr>
                <w:rFonts w:cs="Arial"/>
              </w:rPr>
              <w:t xml:space="preserve">Both new </w:t>
            </w:r>
            <w:r w:rsidR="39CA5F71" w:rsidRPr="3238681A">
              <w:rPr>
                <w:rFonts w:cs="Arial"/>
              </w:rPr>
              <w:t>registers</w:t>
            </w:r>
            <w:r w:rsidRPr="3238681A">
              <w:rPr>
                <w:rFonts w:cs="Arial"/>
              </w:rPr>
              <w:t xml:space="preserve"> will be required to be made available to the public without charge by making it accessible on an ACT government website or by link on an ACT government website and available for inspection during ordinary business hours at an ACT government office. </w:t>
            </w:r>
          </w:p>
          <w:p w14:paraId="625051F3" w14:textId="77777777" w:rsidR="00664260" w:rsidRDefault="00664260" w:rsidP="00E1194D">
            <w:pPr>
              <w:rPr>
                <w:rFonts w:cs="Arial"/>
                <w:iCs/>
                <w:szCs w:val="24"/>
              </w:rPr>
            </w:pPr>
            <w:r>
              <w:rPr>
                <w:rFonts w:cs="Arial"/>
                <w:iCs/>
                <w:szCs w:val="24"/>
              </w:rPr>
              <w:t>The two proposed new registers will limit the right to privacy as the Bill will introduce new public registers that will include personal information about licensees.</w:t>
            </w:r>
          </w:p>
          <w:p w14:paraId="3E64D17C" w14:textId="548DEBE7" w:rsidR="00664260" w:rsidRDefault="00664260" w:rsidP="3238681A">
            <w:pPr>
              <w:rPr>
                <w:rFonts w:cs="Arial"/>
              </w:rPr>
            </w:pPr>
            <w:r w:rsidRPr="2247E06D">
              <w:rPr>
                <w:rFonts w:cs="Arial"/>
              </w:rPr>
              <w:t xml:space="preserve">Under existing section 56E of the Act, the Minister is required to keep a register of </w:t>
            </w:r>
            <w:r w:rsidR="2494CEDD" w:rsidRPr="2247E06D">
              <w:rPr>
                <w:rFonts w:cs="Arial"/>
              </w:rPr>
              <w:t xml:space="preserve">registered </w:t>
            </w:r>
            <w:r w:rsidRPr="2247E06D">
              <w:rPr>
                <w:rFonts w:cs="Arial"/>
              </w:rPr>
              <w:t xml:space="preserve">people. The register is required to include the </w:t>
            </w:r>
            <w:r w:rsidR="5A664D68" w:rsidRPr="2247E06D">
              <w:rPr>
                <w:rFonts w:cs="Arial"/>
              </w:rPr>
              <w:t>information on the person’s registration certificate, if it is transferred, suspended or cancelled, or surrendered</w:t>
            </w:r>
            <w:r w:rsidRPr="2247E06D">
              <w:rPr>
                <w:rFonts w:cs="Arial"/>
              </w:rPr>
              <w:t xml:space="preserve">. </w:t>
            </w:r>
          </w:p>
          <w:p w14:paraId="3CC565B4" w14:textId="0705A317" w:rsidR="00664260" w:rsidRDefault="00664260" w:rsidP="3238681A">
            <w:pPr>
              <w:rPr>
                <w:rFonts w:cs="Arial"/>
              </w:rPr>
            </w:pPr>
            <w:r w:rsidRPr="2247E06D">
              <w:rPr>
                <w:rFonts w:cs="Arial"/>
              </w:rPr>
              <w:t xml:space="preserve">Currently the register in s 56E is required to be available for public inspection (at no cost) during normal business hours on business days. The Bill will require the Minister to ensure the register is made available to the public without charge by making it accessible on an ACT </w:t>
            </w:r>
            <w:r w:rsidR="347DADCA" w:rsidRPr="2247E06D">
              <w:rPr>
                <w:rFonts w:cs="Arial"/>
              </w:rPr>
              <w:t>G</w:t>
            </w:r>
            <w:r w:rsidRPr="2247E06D">
              <w:rPr>
                <w:rFonts w:cs="Arial"/>
              </w:rPr>
              <w:t xml:space="preserve">overnment website or by link on an ACT </w:t>
            </w:r>
            <w:r w:rsidR="032AF2FA" w:rsidRPr="2247E06D">
              <w:rPr>
                <w:rFonts w:cs="Arial"/>
              </w:rPr>
              <w:t>G</w:t>
            </w:r>
            <w:r w:rsidRPr="2247E06D">
              <w:rPr>
                <w:rFonts w:cs="Arial"/>
              </w:rPr>
              <w:t xml:space="preserve">overnment website and available for inspection during ordinary business hours at an ACT </w:t>
            </w:r>
            <w:r w:rsidR="38F8C738" w:rsidRPr="2247E06D">
              <w:rPr>
                <w:rFonts w:cs="Arial"/>
              </w:rPr>
              <w:t>G</w:t>
            </w:r>
            <w:r w:rsidRPr="2247E06D">
              <w:rPr>
                <w:rFonts w:cs="Arial"/>
              </w:rPr>
              <w:t xml:space="preserve">overnment office. This will limit the right to </w:t>
            </w:r>
            <w:r w:rsidRPr="2247E06D">
              <w:rPr>
                <w:rFonts w:cs="Arial"/>
              </w:rPr>
              <w:lastRenderedPageBreak/>
              <w:t>privacy as it enshrines that certain information about registered people will be more widely available.</w:t>
            </w:r>
          </w:p>
        </w:tc>
      </w:tr>
      <w:tr w:rsidR="00664260" w14:paraId="124EC5A7" w14:textId="77777777" w:rsidTr="2247E06D">
        <w:tc>
          <w:tcPr>
            <w:tcW w:w="2547" w:type="dxa"/>
          </w:tcPr>
          <w:p w14:paraId="2D0578C8" w14:textId="77777777" w:rsidR="00664260" w:rsidRPr="00B21C75" w:rsidRDefault="00664260" w:rsidP="00E1194D">
            <w:pPr>
              <w:rPr>
                <w:rFonts w:cs="Arial"/>
                <w:i/>
                <w:szCs w:val="24"/>
              </w:rPr>
            </w:pPr>
            <w:r>
              <w:rPr>
                <w:rFonts w:cs="Arial"/>
                <w:i/>
                <w:szCs w:val="24"/>
              </w:rPr>
              <w:lastRenderedPageBreak/>
              <w:t>Radiation Protection Act 2006</w:t>
            </w:r>
          </w:p>
        </w:tc>
        <w:tc>
          <w:tcPr>
            <w:tcW w:w="6469" w:type="dxa"/>
          </w:tcPr>
          <w:p w14:paraId="45F76999" w14:textId="77777777" w:rsidR="00664260" w:rsidRDefault="00664260" w:rsidP="00E1194D">
            <w:pPr>
              <w:rPr>
                <w:rFonts w:cs="Arial"/>
                <w:iCs/>
                <w:szCs w:val="24"/>
              </w:rPr>
            </w:pPr>
            <w:r>
              <w:rPr>
                <w:rFonts w:cs="Arial"/>
                <w:iCs/>
                <w:szCs w:val="24"/>
              </w:rPr>
              <w:t>The Chief Health Officer (CHO) is required to keep a register of licences issued under section 17 of the Act for individuals to deal with a regulated radiation source (s 33A(1)). The register must include the full name of the licensee (s 33A(2)(a)(</w:t>
            </w:r>
            <w:proofErr w:type="spellStart"/>
            <w:r>
              <w:rPr>
                <w:rFonts w:cs="Arial"/>
                <w:iCs/>
                <w:szCs w:val="24"/>
              </w:rPr>
              <w:t>i</w:t>
            </w:r>
            <w:proofErr w:type="spellEnd"/>
            <w:r>
              <w:rPr>
                <w:rFonts w:cs="Arial"/>
                <w:iCs/>
                <w:szCs w:val="24"/>
              </w:rPr>
              <w:t xml:space="preserve">)). </w:t>
            </w:r>
          </w:p>
          <w:p w14:paraId="3F9ADD5C" w14:textId="77777777" w:rsidR="00664260" w:rsidRDefault="00664260" w:rsidP="00E1194D">
            <w:pPr>
              <w:rPr>
                <w:rFonts w:cs="Arial"/>
                <w:iCs/>
                <w:szCs w:val="24"/>
              </w:rPr>
            </w:pPr>
            <w:r>
              <w:rPr>
                <w:rFonts w:cs="Arial"/>
                <w:iCs/>
                <w:szCs w:val="24"/>
              </w:rPr>
              <w:t xml:space="preserve">The CHO may make certain information in the register, including a licensee’s full name, available for public inspection if satisfied it is in the public interest for the information to be publicly available (s 33A(4)). The register is not currently available online. </w:t>
            </w:r>
          </w:p>
          <w:p w14:paraId="332AF6E7" w14:textId="77777777" w:rsidR="00664260" w:rsidRDefault="00664260" w:rsidP="00E1194D">
            <w:pPr>
              <w:rPr>
                <w:rFonts w:cs="Arial"/>
                <w:iCs/>
                <w:szCs w:val="24"/>
              </w:rPr>
            </w:pPr>
            <w:r>
              <w:rPr>
                <w:rFonts w:cs="Arial"/>
                <w:iCs/>
                <w:szCs w:val="24"/>
              </w:rPr>
              <w:t>The Bill will limit the right to privacy as the full name of individuals who are licensed to deal with a regulated radiation source will be publicly accessible electronically.</w:t>
            </w:r>
          </w:p>
        </w:tc>
      </w:tr>
      <w:tr w:rsidR="00664260" w14:paraId="4FD8F481" w14:textId="77777777" w:rsidTr="2247E06D">
        <w:tc>
          <w:tcPr>
            <w:tcW w:w="2547" w:type="dxa"/>
          </w:tcPr>
          <w:p w14:paraId="730140F3" w14:textId="77777777" w:rsidR="00664260" w:rsidRDefault="00664260" w:rsidP="00E1194D">
            <w:pPr>
              <w:rPr>
                <w:rFonts w:cs="Arial"/>
                <w:i/>
                <w:szCs w:val="24"/>
              </w:rPr>
            </w:pPr>
            <w:r>
              <w:rPr>
                <w:rFonts w:cs="Arial"/>
                <w:i/>
                <w:szCs w:val="24"/>
              </w:rPr>
              <w:t>Veterinary Practice Act 2018</w:t>
            </w:r>
          </w:p>
        </w:tc>
        <w:tc>
          <w:tcPr>
            <w:tcW w:w="6469" w:type="dxa"/>
          </w:tcPr>
          <w:p w14:paraId="1225ADB4" w14:textId="0384A274" w:rsidR="00664260" w:rsidRDefault="00664260" w:rsidP="3238681A">
            <w:pPr>
              <w:rPr>
                <w:rFonts w:cs="Arial"/>
              </w:rPr>
            </w:pPr>
            <w:r w:rsidRPr="2CC68585">
              <w:rPr>
                <w:rFonts w:cs="Arial"/>
              </w:rPr>
              <w:t xml:space="preserve">A register of veterinary practitioners and veterinary premises is required to be kept under the Act. </w:t>
            </w:r>
            <w:r w:rsidR="0D942E7C" w:rsidRPr="2CC68585">
              <w:rPr>
                <w:rFonts w:cs="Arial"/>
              </w:rPr>
              <w:t>Currently, t</w:t>
            </w:r>
            <w:r w:rsidRPr="2CC68585">
              <w:rPr>
                <w:rFonts w:cs="Arial"/>
              </w:rPr>
              <w:t>he register must be open for inspection by the public at reasonable times (s 129(1)). The register must include the name, address and place of work (if any) of a veterinary practitioner (s 124). The register must include the name and address of the registration holder for a veterinary premises, along with the name of the superintendent for the premises (s 125).</w:t>
            </w:r>
          </w:p>
          <w:p w14:paraId="4A859CF2" w14:textId="04FF7681" w:rsidR="00664260" w:rsidRDefault="00664260" w:rsidP="2CC68585">
            <w:pPr>
              <w:rPr>
                <w:rFonts w:cs="Arial"/>
              </w:rPr>
            </w:pPr>
            <w:r w:rsidRPr="2CC68585">
              <w:rPr>
                <w:rFonts w:cs="Arial"/>
              </w:rPr>
              <w:t xml:space="preserve">The register is currently made publicly available electronically here: </w:t>
            </w:r>
            <w:hyperlink r:id="rId23">
              <w:r w:rsidRPr="2CC68585">
                <w:rPr>
                  <w:rStyle w:val="Hyperlink"/>
                  <w:rFonts w:eastAsiaTheme="majorEastAsia" w:cs="Arial"/>
                </w:rPr>
                <w:t>Find a registered veterinarian or veterinary premises - City Services</w:t>
              </w:r>
              <w:r w:rsidR="5F92E3AA" w:rsidRPr="2CC68585">
                <w:rPr>
                  <w:rStyle w:val="Hyperlink"/>
                  <w:rFonts w:eastAsiaTheme="majorEastAsia" w:cs="Arial"/>
                </w:rPr>
                <w:t>.</w:t>
              </w:r>
            </w:hyperlink>
          </w:p>
          <w:p w14:paraId="02E2BF7E" w14:textId="6D0B9ECF" w:rsidR="00664260" w:rsidRDefault="00664260" w:rsidP="3238681A">
            <w:pPr>
              <w:rPr>
                <w:rFonts w:cs="Arial"/>
              </w:rPr>
            </w:pPr>
            <w:r w:rsidRPr="2CC68585">
              <w:rPr>
                <w:rFonts w:cs="Arial"/>
              </w:rPr>
              <w:t xml:space="preserve">While this register is already publicly accessible electronically, the amendment proposed in the Bill will limit the right to privacy as the amendments will enshrine the requirement for the register to be made accessible to the public, without charge on an ACT </w:t>
            </w:r>
            <w:r w:rsidR="0193A6D3" w:rsidRPr="2CC68585">
              <w:rPr>
                <w:rFonts w:cs="Arial"/>
              </w:rPr>
              <w:t>g</w:t>
            </w:r>
            <w:r w:rsidRPr="2CC68585">
              <w:rPr>
                <w:rFonts w:cs="Arial"/>
              </w:rPr>
              <w:t xml:space="preserve">overnment website, or by a link on an ACT </w:t>
            </w:r>
            <w:r w:rsidR="2C378899" w:rsidRPr="2CC68585">
              <w:rPr>
                <w:rFonts w:cs="Arial"/>
              </w:rPr>
              <w:t>g</w:t>
            </w:r>
            <w:r w:rsidRPr="2CC68585">
              <w:rPr>
                <w:rFonts w:cs="Arial"/>
              </w:rPr>
              <w:t>overnment website.</w:t>
            </w:r>
            <w:r w:rsidR="44AD00FD" w:rsidRPr="2CC68585">
              <w:rPr>
                <w:rFonts w:cs="Arial"/>
              </w:rPr>
              <w:t xml:space="preserve"> Additionally, amendments to s 129(4) will require the publication of a veterinary practitioner’s address if this is also the place they practice. </w:t>
            </w:r>
          </w:p>
        </w:tc>
      </w:tr>
    </w:tbl>
    <w:p w14:paraId="24761F98" w14:textId="77777777" w:rsidR="00664260" w:rsidRDefault="00664260" w:rsidP="00664260">
      <w:pPr>
        <w:pStyle w:val="ListParagraph"/>
        <w:ind w:left="360"/>
        <w:rPr>
          <w:rFonts w:cs="Arial"/>
          <w:iCs/>
          <w:color w:val="FF0000"/>
          <w:szCs w:val="24"/>
        </w:rPr>
      </w:pPr>
    </w:p>
    <w:p w14:paraId="1BEE84B0" w14:textId="77777777" w:rsidR="00BF7026" w:rsidRDefault="00BF7026" w:rsidP="00664260">
      <w:pPr>
        <w:pStyle w:val="ListParagraph"/>
        <w:ind w:left="360"/>
        <w:rPr>
          <w:rFonts w:cs="Arial"/>
          <w:iCs/>
          <w:color w:val="FF0000"/>
          <w:szCs w:val="24"/>
        </w:rPr>
      </w:pPr>
    </w:p>
    <w:p w14:paraId="49A5FEFA" w14:textId="77777777" w:rsidR="00BF7026" w:rsidRDefault="00BF7026" w:rsidP="00664260">
      <w:pPr>
        <w:pStyle w:val="ListParagraph"/>
        <w:ind w:left="360"/>
        <w:rPr>
          <w:rFonts w:cs="Arial"/>
          <w:iCs/>
          <w:color w:val="FF0000"/>
          <w:szCs w:val="24"/>
        </w:rPr>
      </w:pPr>
    </w:p>
    <w:p w14:paraId="375FA6EF" w14:textId="77777777" w:rsidR="00664260" w:rsidRPr="00414921" w:rsidRDefault="00664260" w:rsidP="00664260">
      <w:pPr>
        <w:pStyle w:val="ListParagraph"/>
        <w:numPr>
          <w:ilvl w:val="0"/>
          <w:numId w:val="15"/>
        </w:numPr>
        <w:rPr>
          <w:rFonts w:cs="Arial"/>
          <w:b/>
          <w:bCs/>
          <w:i/>
          <w:szCs w:val="24"/>
        </w:rPr>
      </w:pPr>
      <w:r w:rsidRPr="00414921">
        <w:rPr>
          <w:rFonts w:cs="Arial"/>
          <w:b/>
          <w:bCs/>
          <w:i/>
          <w:szCs w:val="24"/>
        </w:rPr>
        <w:lastRenderedPageBreak/>
        <w:t>Legitimate purpose (s28</w:t>
      </w:r>
      <w:r>
        <w:rPr>
          <w:rFonts w:cs="Arial"/>
          <w:b/>
          <w:bCs/>
          <w:i/>
          <w:szCs w:val="24"/>
        </w:rPr>
        <w:t>(2)</w:t>
      </w:r>
      <w:r w:rsidRPr="00414921">
        <w:rPr>
          <w:rFonts w:cs="Arial"/>
          <w:b/>
          <w:bCs/>
          <w:i/>
          <w:szCs w:val="24"/>
        </w:rPr>
        <w:t>(b))</w:t>
      </w:r>
    </w:p>
    <w:p w14:paraId="6B93E52E" w14:textId="77777777" w:rsidR="00664260" w:rsidRDefault="00664260" w:rsidP="00664260">
      <w:pPr>
        <w:pStyle w:val="ListParagraph"/>
        <w:ind w:left="360"/>
        <w:rPr>
          <w:rFonts w:cs="Arial"/>
          <w:i/>
          <w:color w:val="FF0000"/>
          <w:szCs w:val="24"/>
        </w:rPr>
      </w:pPr>
    </w:p>
    <w:p w14:paraId="23CC050E" w14:textId="77777777" w:rsidR="00664260" w:rsidRDefault="00664260" w:rsidP="3238681A">
      <w:pPr>
        <w:pStyle w:val="ListParagraph"/>
        <w:spacing w:line="276" w:lineRule="auto"/>
        <w:ind w:left="0"/>
        <w:rPr>
          <w:rFonts w:cs="Arial"/>
        </w:rPr>
      </w:pPr>
      <w:r w:rsidRPr="3238681A">
        <w:rPr>
          <w:rFonts w:cs="Arial"/>
        </w:rPr>
        <w:t xml:space="preserve">The overall objective of these amendments is to improve public access to government information, increasing transparency and promoting the freedom of expression (s 16(2) HR Act) by allowing the public to seek and receive information from the government. </w:t>
      </w:r>
    </w:p>
    <w:p w14:paraId="64EAC0ED" w14:textId="77777777" w:rsidR="00664260" w:rsidRDefault="00664260" w:rsidP="0030063E">
      <w:pPr>
        <w:pStyle w:val="ListParagraph"/>
        <w:spacing w:line="276" w:lineRule="auto"/>
        <w:ind w:left="0"/>
        <w:rPr>
          <w:rFonts w:cs="Arial"/>
          <w:iCs/>
          <w:szCs w:val="24"/>
        </w:rPr>
      </w:pPr>
      <w:r>
        <w:rPr>
          <w:rFonts w:cs="Arial"/>
          <w:iCs/>
          <w:szCs w:val="24"/>
        </w:rPr>
        <w:t xml:space="preserve"> </w:t>
      </w:r>
    </w:p>
    <w:p w14:paraId="1CF831F2" w14:textId="12A792A8" w:rsidR="00664260" w:rsidRDefault="00664260" w:rsidP="3238681A">
      <w:pPr>
        <w:pStyle w:val="ListParagraph"/>
        <w:spacing w:line="276" w:lineRule="auto"/>
        <w:ind w:left="0"/>
        <w:rPr>
          <w:rFonts w:cs="Arial"/>
        </w:rPr>
      </w:pPr>
      <w:r w:rsidRPr="3238681A">
        <w:rPr>
          <w:rFonts w:cs="Arial"/>
        </w:rPr>
        <w:t xml:space="preserve">The Acts which are proposed to be amended in this Bill to enshrine public registers are responsible for the regulation of individuals engaged in their relevant industry. Individuals who wish to engage in these industries are required to be registered and/or licensed by the relevant regulator. The public registers provide information on individuals who are appropriately licensed and regulated to work in these industries. </w:t>
      </w:r>
    </w:p>
    <w:p w14:paraId="78A0CF54" w14:textId="77777777" w:rsidR="00664260" w:rsidRDefault="00664260" w:rsidP="0030063E">
      <w:pPr>
        <w:pStyle w:val="ListParagraph"/>
        <w:spacing w:line="276" w:lineRule="auto"/>
        <w:ind w:left="0"/>
        <w:rPr>
          <w:rFonts w:cs="Arial"/>
          <w:iCs/>
          <w:szCs w:val="24"/>
        </w:rPr>
      </w:pPr>
    </w:p>
    <w:p w14:paraId="4C3EAF1E" w14:textId="770D29D5" w:rsidR="00664260" w:rsidRDefault="00664260" w:rsidP="3238681A">
      <w:pPr>
        <w:pStyle w:val="ListParagraph"/>
        <w:spacing w:line="276" w:lineRule="auto"/>
        <w:ind w:left="0"/>
        <w:rPr>
          <w:rFonts w:cs="Arial"/>
        </w:rPr>
      </w:pPr>
      <w:r w:rsidRPr="2CC68585">
        <w:rPr>
          <w:rFonts w:cs="Arial"/>
        </w:rPr>
        <w:t>The limitation on the right to privacy by publishing personal information regarding licensed individuals in their relevant industries is for the legitimate purpose of protecting consumers who engage individuals from these regulated industries</w:t>
      </w:r>
      <w:r w:rsidR="194C50A4" w:rsidRPr="2CC68585">
        <w:rPr>
          <w:rFonts w:cs="Arial"/>
        </w:rPr>
        <w:t>,</w:t>
      </w:r>
      <w:r w:rsidRPr="2CC68585">
        <w:rPr>
          <w:rFonts w:cs="Arial"/>
        </w:rPr>
        <w:t xml:space="preserve"> and to </w:t>
      </w:r>
      <w:r w:rsidR="3B47BBD0" w:rsidRPr="2CC68585">
        <w:rPr>
          <w:rFonts w:cs="Arial"/>
        </w:rPr>
        <w:t xml:space="preserve">foster an improved culture of transparency and </w:t>
      </w:r>
      <w:r w:rsidR="41A5EA4B" w:rsidRPr="2CC68585">
        <w:rPr>
          <w:rFonts w:cs="Arial"/>
        </w:rPr>
        <w:t>quality of services provided</w:t>
      </w:r>
      <w:r w:rsidRPr="2CC68585">
        <w:rPr>
          <w:rFonts w:cs="Arial"/>
        </w:rPr>
        <w:t xml:space="preserve">. The public registers </w:t>
      </w:r>
      <w:r w:rsidR="3E6D7021" w:rsidRPr="2CC68585">
        <w:rPr>
          <w:rFonts w:cs="Arial"/>
        </w:rPr>
        <w:t xml:space="preserve">will </w:t>
      </w:r>
      <w:r w:rsidRPr="2CC68585">
        <w:rPr>
          <w:rFonts w:cs="Arial"/>
        </w:rPr>
        <w:t xml:space="preserve">provide confidence to consumers by allowing them to verify that individuals they are engaging with in these regulated industries are appropriately licensed and/or registered to be performing services. </w:t>
      </w:r>
    </w:p>
    <w:p w14:paraId="1BD0F76E" w14:textId="77777777" w:rsidR="00664260" w:rsidRDefault="00664260" w:rsidP="00664260">
      <w:pPr>
        <w:pStyle w:val="ListParagraph"/>
        <w:ind w:left="0"/>
        <w:rPr>
          <w:rFonts w:cs="Arial"/>
          <w:iCs/>
          <w:szCs w:val="24"/>
        </w:rPr>
      </w:pPr>
    </w:p>
    <w:p w14:paraId="3AB0EF28" w14:textId="77777777" w:rsidR="00664260" w:rsidRPr="00414921" w:rsidRDefault="00664260" w:rsidP="3238681A">
      <w:pPr>
        <w:pStyle w:val="ListParagraph"/>
        <w:keepNext/>
        <w:numPr>
          <w:ilvl w:val="0"/>
          <w:numId w:val="15"/>
        </w:numPr>
        <w:rPr>
          <w:rFonts w:cs="Arial"/>
          <w:b/>
          <w:bCs/>
          <w:i/>
          <w:iCs/>
        </w:rPr>
      </w:pPr>
      <w:r w:rsidRPr="3238681A">
        <w:rPr>
          <w:rFonts w:cs="Arial"/>
          <w:b/>
          <w:bCs/>
          <w:i/>
          <w:iCs/>
        </w:rPr>
        <w:t>Rational connection between the limitation and the purpose (s28(2)(d))</w:t>
      </w:r>
    </w:p>
    <w:p w14:paraId="0482AC9F" w14:textId="6EBDD9C2" w:rsidR="00664260" w:rsidRPr="00983008" w:rsidRDefault="00664260" w:rsidP="49A0317D">
      <w:pPr>
        <w:rPr>
          <w:rFonts w:eastAsia="Arial" w:cs="Arial"/>
          <w:szCs w:val="24"/>
        </w:rPr>
      </w:pPr>
      <w:r>
        <w:br/>
      </w:r>
      <w:r w:rsidRPr="2247E06D">
        <w:rPr>
          <w:rFonts w:cs="Arial"/>
        </w:rPr>
        <w:t xml:space="preserve">The industries that are regulated by the above legislation </w:t>
      </w:r>
      <w:r w:rsidR="059EB23A" w:rsidRPr="2247E06D">
        <w:rPr>
          <w:rFonts w:cs="Arial"/>
        </w:rPr>
        <w:t>are subject to regulation</w:t>
      </w:r>
      <w:r w:rsidRPr="2247E06D">
        <w:rPr>
          <w:rFonts w:cs="Arial"/>
        </w:rPr>
        <w:t xml:space="preserve"> due to the impact on the health and safety of the community</w:t>
      </w:r>
      <w:r w:rsidR="2FD19320" w:rsidRPr="2247E06D">
        <w:rPr>
          <w:rFonts w:cs="Arial"/>
        </w:rPr>
        <w:t>, as well as consumer protection</w:t>
      </w:r>
      <w:r w:rsidR="51B5F531" w:rsidRPr="2247E06D">
        <w:rPr>
          <w:rFonts w:cs="Arial"/>
        </w:rPr>
        <w:t>, animal welfare, and the environment</w:t>
      </w:r>
      <w:r w:rsidRPr="2247E06D">
        <w:rPr>
          <w:rFonts w:cs="Arial"/>
        </w:rPr>
        <w:t xml:space="preserve">. Regulation of these industries is </w:t>
      </w:r>
      <w:r w:rsidR="6D50377B" w:rsidRPr="2247E06D">
        <w:rPr>
          <w:rFonts w:cs="Arial"/>
        </w:rPr>
        <w:t xml:space="preserve">required </w:t>
      </w:r>
      <w:r w:rsidRPr="2247E06D">
        <w:rPr>
          <w:rFonts w:cs="Arial"/>
        </w:rPr>
        <w:t xml:space="preserve">to mitigate the risks posed by the work that these occupations undertake. The ability of people engaging with these occupations to access reasonable information relating to their licensing and credentials to undertake the work is integral to the effectiveness of </w:t>
      </w:r>
      <w:r w:rsidR="2E1CF8A0" w:rsidRPr="2247E06D">
        <w:rPr>
          <w:rFonts w:cs="Arial"/>
        </w:rPr>
        <w:t xml:space="preserve">the </w:t>
      </w:r>
      <w:r w:rsidRPr="2247E06D">
        <w:rPr>
          <w:rFonts w:cs="Arial"/>
        </w:rPr>
        <w:t xml:space="preserve">regulation of these industries. The personal information that is published on the public register is </w:t>
      </w:r>
      <w:r w:rsidR="73C7DB09" w:rsidRPr="2247E06D">
        <w:rPr>
          <w:rFonts w:cs="Arial"/>
        </w:rPr>
        <w:t xml:space="preserve">purely </w:t>
      </w:r>
      <w:r w:rsidRPr="2247E06D">
        <w:rPr>
          <w:rFonts w:cs="Arial"/>
        </w:rPr>
        <w:t xml:space="preserve">related to the business </w:t>
      </w:r>
      <w:r w:rsidR="1A140832" w:rsidRPr="2247E06D">
        <w:rPr>
          <w:rFonts w:cs="Arial"/>
        </w:rPr>
        <w:t xml:space="preserve">activities </w:t>
      </w:r>
      <w:r w:rsidRPr="2247E06D">
        <w:rPr>
          <w:rFonts w:cs="Arial"/>
        </w:rPr>
        <w:t>and</w:t>
      </w:r>
      <w:r w:rsidR="154BD17E" w:rsidRPr="2247E06D">
        <w:rPr>
          <w:rFonts w:cs="Arial"/>
        </w:rPr>
        <w:t xml:space="preserve"> </w:t>
      </w:r>
      <w:r w:rsidRPr="2247E06D">
        <w:rPr>
          <w:rFonts w:cs="Arial"/>
        </w:rPr>
        <w:t xml:space="preserve">is necessary for the community to accurately identify that a relevant individual has the appropriate licensing and credentials </w:t>
      </w:r>
      <w:r w:rsidR="6C5D60A9" w:rsidRPr="2247E06D">
        <w:rPr>
          <w:rFonts w:cs="Arial"/>
        </w:rPr>
        <w:t>required of</w:t>
      </w:r>
      <w:r w:rsidRPr="2247E06D">
        <w:rPr>
          <w:rFonts w:cs="Arial"/>
        </w:rPr>
        <w:t xml:space="preserve"> their occupation</w:t>
      </w:r>
      <w:r w:rsidR="3361E16E" w:rsidRPr="2247E06D">
        <w:rPr>
          <w:rFonts w:eastAsia="Arial" w:cs="Arial"/>
        </w:rPr>
        <w:t xml:space="preserve">. </w:t>
      </w:r>
      <w:r w:rsidR="3361E16E" w:rsidRPr="2247E06D">
        <w:rPr>
          <w:rFonts w:eastAsia="Arial" w:cs="Arial"/>
          <w:szCs w:val="24"/>
        </w:rPr>
        <w:t>Protecting free, electronic accessibility in the legislation itself is vital to provide certainty, legitimacy, and to create precedence for the drafting of future legislative frameworks.</w:t>
      </w:r>
    </w:p>
    <w:p w14:paraId="7CE10C8F" w14:textId="77777777" w:rsidR="00664260" w:rsidRDefault="00664260" w:rsidP="00664260">
      <w:pPr>
        <w:pStyle w:val="ListParagraph"/>
        <w:numPr>
          <w:ilvl w:val="0"/>
          <w:numId w:val="15"/>
        </w:numPr>
        <w:rPr>
          <w:rFonts w:cs="Arial"/>
          <w:b/>
          <w:bCs/>
          <w:i/>
          <w:szCs w:val="24"/>
        </w:rPr>
      </w:pPr>
      <w:r w:rsidRPr="00414921">
        <w:rPr>
          <w:rFonts w:cs="Arial"/>
          <w:b/>
          <w:bCs/>
          <w:i/>
          <w:szCs w:val="24"/>
        </w:rPr>
        <w:t>Proportionality (s28</w:t>
      </w:r>
      <w:r>
        <w:rPr>
          <w:rFonts w:cs="Arial"/>
          <w:b/>
          <w:bCs/>
          <w:i/>
          <w:szCs w:val="24"/>
        </w:rPr>
        <w:t>(2)</w:t>
      </w:r>
      <w:r w:rsidRPr="00414921">
        <w:rPr>
          <w:rFonts w:cs="Arial"/>
          <w:b/>
          <w:bCs/>
          <w:i/>
          <w:szCs w:val="24"/>
        </w:rPr>
        <w:t>(e))</w:t>
      </w:r>
    </w:p>
    <w:p w14:paraId="60ABC461" w14:textId="77777777" w:rsidR="00664260" w:rsidRPr="00414921" w:rsidRDefault="00664260" w:rsidP="00664260">
      <w:pPr>
        <w:pStyle w:val="ListParagraph"/>
        <w:ind w:left="360"/>
        <w:rPr>
          <w:rFonts w:cs="Arial"/>
          <w:b/>
          <w:bCs/>
          <w:i/>
          <w:szCs w:val="24"/>
        </w:rPr>
      </w:pPr>
    </w:p>
    <w:p w14:paraId="3899B5F3" w14:textId="521F3BFC" w:rsidR="00664260" w:rsidRDefault="00664260" w:rsidP="3238681A">
      <w:pPr>
        <w:pStyle w:val="ListParagraph"/>
        <w:spacing w:line="276" w:lineRule="auto"/>
        <w:ind w:left="0"/>
        <w:rPr>
          <w:rFonts w:cs="Arial"/>
        </w:rPr>
      </w:pPr>
      <w:r w:rsidRPr="3238681A">
        <w:rPr>
          <w:rFonts w:cs="Arial"/>
        </w:rPr>
        <w:t>Disclosure of personal information for public registers provided in this Bill is limited to the minimal requirements needed to provide the public with information about registered professionals</w:t>
      </w:r>
      <w:r w:rsidR="32CC04F3" w:rsidRPr="3238681A">
        <w:rPr>
          <w:rFonts w:cs="Arial"/>
        </w:rPr>
        <w:t>,</w:t>
      </w:r>
      <w:r w:rsidRPr="3238681A">
        <w:rPr>
          <w:rFonts w:cs="Arial"/>
        </w:rPr>
        <w:t xml:space="preserve"> and to support enforcement and compliance activity. </w:t>
      </w:r>
    </w:p>
    <w:p w14:paraId="7BE5F6A7" w14:textId="77777777" w:rsidR="00664260" w:rsidRDefault="00664260" w:rsidP="0030063E">
      <w:pPr>
        <w:pStyle w:val="ListParagraph"/>
        <w:spacing w:line="276" w:lineRule="auto"/>
        <w:ind w:left="0"/>
        <w:rPr>
          <w:rFonts w:cs="Arial"/>
          <w:iCs/>
          <w:szCs w:val="24"/>
        </w:rPr>
      </w:pPr>
    </w:p>
    <w:p w14:paraId="3381E29B" w14:textId="1EDFF360" w:rsidR="00664260" w:rsidRDefault="00664260" w:rsidP="2CC68585">
      <w:pPr>
        <w:pStyle w:val="ListParagraph"/>
        <w:spacing w:line="276" w:lineRule="auto"/>
        <w:ind w:left="0"/>
        <w:rPr>
          <w:rFonts w:cs="Arial"/>
        </w:rPr>
      </w:pPr>
      <w:r w:rsidRPr="2CC68585">
        <w:rPr>
          <w:rFonts w:cs="Arial"/>
        </w:rPr>
        <w:t>Individuals who engage in these regulated professions will be</w:t>
      </w:r>
      <w:r w:rsidR="010E6CA6" w:rsidRPr="2CC68585">
        <w:rPr>
          <w:rFonts w:cs="Arial"/>
        </w:rPr>
        <w:t xml:space="preserve"> made</w:t>
      </w:r>
      <w:r w:rsidRPr="2CC68585">
        <w:rPr>
          <w:rFonts w:cs="Arial"/>
        </w:rPr>
        <w:t xml:space="preserve"> aware of the requirements for their </w:t>
      </w:r>
      <w:r w:rsidR="444B4838" w:rsidRPr="2CC68585">
        <w:rPr>
          <w:rFonts w:cs="Arial"/>
        </w:rPr>
        <w:t xml:space="preserve">limited </w:t>
      </w:r>
      <w:r w:rsidRPr="2CC68585">
        <w:rPr>
          <w:rFonts w:cs="Arial"/>
        </w:rPr>
        <w:t>personal details to be included in a register</w:t>
      </w:r>
      <w:r w:rsidR="7C750622" w:rsidRPr="2CC68585">
        <w:rPr>
          <w:rFonts w:cs="Arial"/>
        </w:rPr>
        <w:t xml:space="preserve"> which will purely be for business reasons</w:t>
      </w:r>
      <w:r w:rsidRPr="2CC68585">
        <w:rPr>
          <w:rFonts w:cs="Arial"/>
        </w:rPr>
        <w:t xml:space="preserve">. </w:t>
      </w:r>
      <w:r w:rsidR="108C4E2E" w:rsidRPr="2CC68585">
        <w:rPr>
          <w:rFonts w:cs="Arial"/>
        </w:rPr>
        <w:t xml:space="preserve">This will communicated during the application </w:t>
      </w:r>
      <w:r w:rsidR="108C4E2E" w:rsidRPr="2CC68585">
        <w:rPr>
          <w:rFonts w:cs="Arial"/>
        </w:rPr>
        <w:lastRenderedPageBreak/>
        <w:t xml:space="preserve">process </w:t>
      </w:r>
      <w:r w:rsidR="02A056CC" w:rsidRPr="2CC68585">
        <w:rPr>
          <w:rFonts w:cs="Arial"/>
        </w:rPr>
        <w:t xml:space="preserve">for professionals </w:t>
      </w:r>
      <w:r w:rsidR="3400CB2F" w:rsidRPr="2CC68585">
        <w:rPr>
          <w:rFonts w:cs="Arial"/>
        </w:rPr>
        <w:t>requesting new registration</w:t>
      </w:r>
      <w:r w:rsidR="054B8FA0" w:rsidRPr="2CC68585">
        <w:rPr>
          <w:rFonts w:cs="Arial"/>
        </w:rPr>
        <w:t>s</w:t>
      </w:r>
      <w:r w:rsidR="3400CB2F" w:rsidRPr="2CC68585">
        <w:rPr>
          <w:rFonts w:cs="Arial"/>
        </w:rPr>
        <w:t xml:space="preserve">, </w:t>
      </w:r>
      <w:r w:rsidR="108C4E2E" w:rsidRPr="2CC68585">
        <w:rPr>
          <w:rFonts w:cs="Arial"/>
        </w:rPr>
        <w:t xml:space="preserve">and by communications following </w:t>
      </w:r>
      <w:r w:rsidR="4BE1E99D" w:rsidRPr="2CC68585">
        <w:rPr>
          <w:rFonts w:cs="Arial"/>
        </w:rPr>
        <w:t>the successful passage of the Bill</w:t>
      </w:r>
      <w:r w:rsidR="7665CB0C" w:rsidRPr="2CC68585">
        <w:rPr>
          <w:rFonts w:cs="Arial"/>
        </w:rPr>
        <w:t xml:space="preserve"> for those professionals already registered.</w:t>
      </w:r>
      <w:r w:rsidR="6BDA0A23" w:rsidRPr="2CC68585">
        <w:rPr>
          <w:rFonts w:cs="Arial"/>
        </w:rPr>
        <w:t xml:space="preserve"> </w:t>
      </w:r>
      <w:r w:rsidR="1685FE81" w:rsidRPr="2CC68585">
        <w:rPr>
          <w:rFonts w:cs="Arial"/>
        </w:rPr>
        <w:t>For those professionals already registered, a</w:t>
      </w:r>
      <w:r w:rsidR="7D01BD17" w:rsidRPr="2CC68585">
        <w:rPr>
          <w:rFonts w:cs="Arial"/>
        </w:rPr>
        <w:t>s a consequence</w:t>
      </w:r>
      <w:r w:rsidR="4421F05E" w:rsidRPr="2CC68585">
        <w:rPr>
          <w:rFonts w:cs="Arial"/>
        </w:rPr>
        <w:t xml:space="preserve"> of the information that will now be available on a public register,</w:t>
      </w:r>
      <w:r w:rsidR="7D01BD17" w:rsidRPr="2CC68585">
        <w:rPr>
          <w:rFonts w:cs="Arial"/>
        </w:rPr>
        <w:t xml:space="preserve"> </w:t>
      </w:r>
      <w:r w:rsidR="55FB8A76" w:rsidRPr="2CC68585">
        <w:rPr>
          <w:rFonts w:cs="Arial"/>
        </w:rPr>
        <w:t xml:space="preserve">it should be noted that </w:t>
      </w:r>
      <w:r w:rsidR="7D01BD17" w:rsidRPr="2CC68585">
        <w:rPr>
          <w:rFonts w:cs="Arial"/>
        </w:rPr>
        <w:t xml:space="preserve">multiple regulatory burdens will be removed </w:t>
      </w:r>
      <w:r w:rsidR="328A868D" w:rsidRPr="2CC68585">
        <w:rPr>
          <w:rFonts w:cs="Arial"/>
        </w:rPr>
        <w:t xml:space="preserve">in relation to the administration of licences and registrations. These will include the return of certificates for amending and the removal of having to display certificates. </w:t>
      </w:r>
      <w:r w:rsidR="2F23639F" w:rsidRPr="2CC68585">
        <w:rPr>
          <w:rFonts w:cs="Arial"/>
        </w:rPr>
        <w:t xml:space="preserve">Making information electronically accessible </w:t>
      </w:r>
      <w:r w:rsidR="3F39215D" w:rsidRPr="2CC68585">
        <w:rPr>
          <w:rFonts w:cs="Arial"/>
        </w:rPr>
        <w:t xml:space="preserve">can </w:t>
      </w:r>
      <w:r w:rsidR="2F23639F" w:rsidRPr="2CC68585">
        <w:rPr>
          <w:rFonts w:cs="Arial"/>
        </w:rPr>
        <w:t>be considered as a proportional, modern reform for the benefit of consumers and businesses.</w:t>
      </w:r>
    </w:p>
    <w:p w14:paraId="69E92D8B" w14:textId="28E7E3B7" w:rsidR="2CC68585" w:rsidRDefault="2CC68585" w:rsidP="2CC68585">
      <w:pPr>
        <w:pStyle w:val="ListParagraph"/>
        <w:spacing w:line="276" w:lineRule="auto"/>
        <w:ind w:left="0"/>
        <w:rPr>
          <w:rFonts w:cs="Arial"/>
        </w:rPr>
      </w:pPr>
    </w:p>
    <w:p w14:paraId="18DF2DED" w14:textId="1F8534BB" w:rsidR="00664260" w:rsidRDefault="00664260" w:rsidP="3238681A">
      <w:pPr>
        <w:pStyle w:val="ListParagraph"/>
        <w:spacing w:line="276" w:lineRule="auto"/>
        <w:ind w:left="0"/>
        <w:rPr>
          <w:rFonts w:cs="Arial"/>
        </w:rPr>
      </w:pPr>
      <w:r w:rsidRPr="3238681A">
        <w:rPr>
          <w:rFonts w:cs="Arial"/>
        </w:rPr>
        <w:t>The information that is required to be available on the public registers is only information that is necessary to enable consumers to make informed decisions about whether to engage with a particular professional in their field</w:t>
      </w:r>
      <w:r w:rsidR="723DB871" w:rsidRPr="3238681A">
        <w:rPr>
          <w:rFonts w:cs="Arial"/>
        </w:rPr>
        <w:t>,</w:t>
      </w:r>
      <w:r w:rsidRPr="3238681A">
        <w:rPr>
          <w:rFonts w:cs="Arial"/>
        </w:rPr>
        <w:t xml:space="preserve"> and to provide sufficient information to protect consumers and the broader community. </w:t>
      </w:r>
    </w:p>
    <w:p w14:paraId="44F199DD" w14:textId="77777777" w:rsidR="00664260" w:rsidRDefault="00664260" w:rsidP="0030063E">
      <w:pPr>
        <w:pStyle w:val="ListParagraph"/>
        <w:spacing w:line="276" w:lineRule="auto"/>
        <w:ind w:left="0"/>
        <w:rPr>
          <w:rFonts w:cs="Arial"/>
          <w:iCs/>
          <w:szCs w:val="24"/>
        </w:rPr>
      </w:pPr>
    </w:p>
    <w:p w14:paraId="03A8990B" w14:textId="68262EB4" w:rsidR="00664260" w:rsidRDefault="00664260" w:rsidP="3238681A">
      <w:pPr>
        <w:pStyle w:val="ListParagraph"/>
        <w:spacing w:line="276" w:lineRule="auto"/>
        <w:ind w:left="0"/>
        <w:rPr>
          <w:rFonts w:cs="Arial"/>
        </w:rPr>
      </w:pPr>
      <w:r w:rsidRPr="2CC68585">
        <w:rPr>
          <w:rFonts w:cs="Arial"/>
        </w:rPr>
        <w:t>The approach of publishing minimal personal details is the least restrictive means available</w:t>
      </w:r>
      <w:r w:rsidR="16398405" w:rsidRPr="2CC68585">
        <w:rPr>
          <w:rFonts w:cs="Arial"/>
        </w:rPr>
        <w:t>,</w:t>
      </w:r>
      <w:r w:rsidRPr="2CC68585">
        <w:rPr>
          <w:rFonts w:cs="Arial"/>
        </w:rPr>
        <w:t xml:space="preserve"> as the only alternative would be to provide </w:t>
      </w:r>
      <w:r w:rsidR="372D0215" w:rsidRPr="2CC68585">
        <w:rPr>
          <w:rFonts w:cs="Arial"/>
        </w:rPr>
        <w:t xml:space="preserve">fewer </w:t>
      </w:r>
      <w:r w:rsidRPr="2CC68585">
        <w:rPr>
          <w:rFonts w:cs="Arial"/>
        </w:rPr>
        <w:t>personal details</w:t>
      </w:r>
      <w:r w:rsidR="08779791" w:rsidRPr="2CC68585">
        <w:rPr>
          <w:rFonts w:cs="Arial"/>
        </w:rPr>
        <w:t>,</w:t>
      </w:r>
      <w:r w:rsidRPr="2CC68585">
        <w:rPr>
          <w:rFonts w:cs="Arial"/>
        </w:rPr>
        <w:t xml:space="preserve"> or none at all. </w:t>
      </w:r>
      <w:r w:rsidR="0610F645" w:rsidRPr="2CC68585">
        <w:rPr>
          <w:rFonts w:cs="Arial"/>
        </w:rPr>
        <w:t>The result of this would be that consumers would have insufficient information to identify registered professionals</w:t>
      </w:r>
      <w:r w:rsidR="00E97A60">
        <w:rPr>
          <w:rFonts w:cs="Arial"/>
        </w:rPr>
        <w:t xml:space="preserve"> or, in some cases, providers who are subject to a stop notice or similar restriction on their licence/credentials</w:t>
      </w:r>
      <w:r w:rsidR="662A63E8" w:rsidRPr="2CC68585">
        <w:rPr>
          <w:rFonts w:cs="Arial"/>
        </w:rPr>
        <w:t xml:space="preserve">. This </w:t>
      </w:r>
      <w:r w:rsidR="0610F645" w:rsidRPr="2CC68585">
        <w:rPr>
          <w:rFonts w:cs="Arial"/>
        </w:rPr>
        <w:t xml:space="preserve">would affect the integrity </w:t>
      </w:r>
      <w:r w:rsidR="62B948AD" w:rsidRPr="2CC68585">
        <w:rPr>
          <w:rFonts w:cs="Arial"/>
        </w:rPr>
        <w:t xml:space="preserve">of the registers, creating barriers to accessing government information and potentially </w:t>
      </w:r>
      <w:r w:rsidR="130B3BBC" w:rsidRPr="2CC68585">
        <w:rPr>
          <w:rFonts w:cs="Arial"/>
        </w:rPr>
        <w:t>creating risks for consumer protection.</w:t>
      </w:r>
      <w:r w:rsidR="62B948AD" w:rsidRPr="2CC68585">
        <w:rPr>
          <w:rFonts w:cs="Arial"/>
        </w:rPr>
        <w:t xml:space="preserve"> </w:t>
      </w:r>
      <w:r w:rsidRPr="2CC68585">
        <w:rPr>
          <w:rFonts w:cs="Arial"/>
        </w:rPr>
        <w:t xml:space="preserve">The information published on the public registers is the minimal necessary information to achieve the objectives of promoting transparency of information and protecting consumers, while not arbitrarily interfering with an individual’s right to privacy. </w:t>
      </w:r>
    </w:p>
    <w:p w14:paraId="629D775E" w14:textId="129B604E" w:rsidR="3238681A" w:rsidRDefault="3238681A" w:rsidP="3238681A">
      <w:pPr>
        <w:pStyle w:val="ListParagraph"/>
        <w:spacing w:line="276" w:lineRule="auto"/>
        <w:ind w:left="0"/>
        <w:rPr>
          <w:rFonts w:cs="Arial"/>
        </w:rPr>
      </w:pPr>
    </w:p>
    <w:p w14:paraId="3F9D297E" w14:textId="77777777" w:rsidR="00664260" w:rsidRPr="004655E5" w:rsidRDefault="00664260" w:rsidP="3238681A">
      <w:pPr>
        <w:pStyle w:val="ListParagraph"/>
        <w:spacing w:line="276" w:lineRule="auto"/>
        <w:ind w:left="0"/>
        <w:rPr>
          <w:rFonts w:cs="Arial"/>
        </w:rPr>
      </w:pPr>
      <w:r w:rsidRPr="3238681A">
        <w:rPr>
          <w:rFonts w:cs="Arial"/>
        </w:rPr>
        <w:t xml:space="preserve">The Bill and existing legislation contain a number of safeguards to prevent the publication of personal information that is not necessary to achieving the objectives of these amendments. These are identified below: </w:t>
      </w:r>
    </w:p>
    <w:tbl>
      <w:tblPr>
        <w:tblStyle w:val="TableGrid"/>
        <w:tblW w:w="0" w:type="auto"/>
        <w:tblCellMar>
          <w:top w:w="57" w:type="dxa"/>
          <w:bottom w:w="57" w:type="dxa"/>
        </w:tblCellMar>
        <w:tblLook w:val="04A0" w:firstRow="1" w:lastRow="0" w:firstColumn="1" w:lastColumn="0" w:noHBand="0" w:noVBand="1"/>
      </w:tblPr>
      <w:tblGrid>
        <w:gridCol w:w="2547"/>
        <w:gridCol w:w="6469"/>
      </w:tblGrid>
      <w:tr w:rsidR="00664260" w14:paraId="0A89DFD0" w14:textId="77777777" w:rsidTr="2CC68585">
        <w:tc>
          <w:tcPr>
            <w:tcW w:w="2547" w:type="dxa"/>
          </w:tcPr>
          <w:p w14:paraId="3D7BE8AC" w14:textId="77777777" w:rsidR="00664260" w:rsidRPr="009519A5" w:rsidRDefault="00664260" w:rsidP="3238681A">
            <w:pPr>
              <w:rPr>
                <w:rFonts w:cs="Arial"/>
                <w:b/>
                <w:bCs/>
                <w:i/>
                <w:iCs/>
              </w:rPr>
            </w:pPr>
            <w:r w:rsidRPr="3238681A">
              <w:rPr>
                <w:rFonts w:cs="Arial"/>
                <w:b/>
                <w:bCs/>
                <w:i/>
                <w:iCs/>
              </w:rPr>
              <w:t>Legislation</w:t>
            </w:r>
          </w:p>
        </w:tc>
        <w:tc>
          <w:tcPr>
            <w:tcW w:w="6469" w:type="dxa"/>
          </w:tcPr>
          <w:p w14:paraId="5599DB96" w14:textId="77777777" w:rsidR="00664260" w:rsidRPr="009519A5" w:rsidRDefault="00664260" w:rsidP="3238681A">
            <w:pPr>
              <w:rPr>
                <w:rFonts w:cs="Arial"/>
                <w:b/>
                <w:bCs/>
                <w:i/>
                <w:iCs/>
              </w:rPr>
            </w:pPr>
            <w:r w:rsidRPr="3238681A">
              <w:rPr>
                <w:rFonts w:cs="Arial"/>
                <w:b/>
                <w:bCs/>
                <w:i/>
                <w:iCs/>
              </w:rPr>
              <w:t>Safeguards</w:t>
            </w:r>
          </w:p>
        </w:tc>
      </w:tr>
      <w:tr w:rsidR="00664260" w14:paraId="2FF86DF7" w14:textId="77777777" w:rsidTr="2CC68585">
        <w:tc>
          <w:tcPr>
            <w:tcW w:w="2547" w:type="dxa"/>
          </w:tcPr>
          <w:p w14:paraId="665BEBA1" w14:textId="43CD9B16" w:rsidR="00664260" w:rsidRPr="00DF3466" w:rsidRDefault="00664260" w:rsidP="00E1194D">
            <w:pPr>
              <w:rPr>
                <w:rFonts w:cs="Arial"/>
                <w:iCs/>
                <w:szCs w:val="24"/>
              </w:rPr>
            </w:pPr>
            <w:r>
              <w:rPr>
                <w:rFonts w:cs="Arial"/>
                <w:i/>
                <w:szCs w:val="24"/>
              </w:rPr>
              <w:t>Architects Act 2004</w:t>
            </w:r>
            <w:r w:rsidR="00D30C9F">
              <w:rPr>
                <w:rFonts w:cs="Arial"/>
                <w:i/>
                <w:szCs w:val="24"/>
              </w:rPr>
              <w:t xml:space="preserve"> </w:t>
            </w:r>
            <w:r w:rsidR="00D30C9F">
              <w:rPr>
                <w:rFonts w:cs="Arial"/>
                <w:iCs/>
                <w:szCs w:val="24"/>
              </w:rPr>
              <w:t xml:space="preserve">and </w:t>
            </w:r>
            <w:r w:rsidR="00D30C9F" w:rsidRPr="00D30C9F">
              <w:rPr>
                <w:rFonts w:cs="Arial"/>
                <w:i/>
                <w:szCs w:val="24"/>
              </w:rPr>
              <w:t>Architects Regulation 2004</w:t>
            </w:r>
            <w:r>
              <w:rPr>
                <w:rFonts w:cs="Arial"/>
                <w:iCs/>
                <w:szCs w:val="24"/>
              </w:rPr>
              <w:t xml:space="preserve"> </w:t>
            </w:r>
          </w:p>
        </w:tc>
        <w:tc>
          <w:tcPr>
            <w:tcW w:w="6469" w:type="dxa"/>
          </w:tcPr>
          <w:p w14:paraId="04855ABC" w14:textId="2FCB892D" w:rsidR="00664260" w:rsidRDefault="00664260" w:rsidP="2CC68585">
            <w:pPr>
              <w:rPr>
                <w:rFonts w:cs="Arial"/>
              </w:rPr>
            </w:pPr>
            <w:r w:rsidRPr="2CC68585">
              <w:rPr>
                <w:rFonts w:cs="Arial"/>
              </w:rPr>
              <w:t xml:space="preserve">Section 15 of the Act provides an important safeguard against any limitations on the right to privacy and will be retained in the Act. This section limits when information can be made public in the register if a person listed on the register is subject to an occupational discipline order. This section prevents details </w:t>
            </w:r>
            <w:r w:rsidR="0CFD50BC" w:rsidRPr="2CC68585">
              <w:rPr>
                <w:rFonts w:cs="Arial"/>
              </w:rPr>
              <w:t xml:space="preserve">of disciplinary action against an individual </w:t>
            </w:r>
            <w:r w:rsidRPr="2CC68585">
              <w:rPr>
                <w:rFonts w:cs="Arial"/>
              </w:rPr>
              <w:t>being made public</w:t>
            </w:r>
            <w:r w:rsidR="4E3674E5" w:rsidRPr="2CC68585">
              <w:rPr>
                <w:rFonts w:cs="Arial"/>
              </w:rPr>
              <w:t>,</w:t>
            </w:r>
            <w:r w:rsidRPr="2CC68585">
              <w:rPr>
                <w:rFonts w:cs="Arial"/>
              </w:rPr>
              <w:t xml:space="preserve"> until it has </w:t>
            </w:r>
            <w:r w:rsidR="72472DB0" w:rsidRPr="2CC68585">
              <w:rPr>
                <w:rFonts w:cs="Arial"/>
              </w:rPr>
              <w:t xml:space="preserve">been </w:t>
            </w:r>
            <w:r w:rsidRPr="2CC68585">
              <w:rPr>
                <w:rFonts w:cs="Arial"/>
              </w:rPr>
              <w:t>finalised. Section 16 of the Act ensure</w:t>
            </w:r>
            <w:r w:rsidR="00E97A60">
              <w:rPr>
                <w:rFonts w:cs="Arial"/>
              </w:rPr>
              <w:t>s</w:t>
            </w:r>
            <w:r w:rsidRPr="2CC68585">
              <w:rPr>
                <w:rFonts w:cs="Arial"/>
              </w:rPr>
              <w:t xml:space="preserve"> the registrar is able to correct mistakes, errors or omissions in the register.</w:t>
            </w:r>
          </w:p>
          <w:p w14:paraId="0AF68FD4" w14:textId="2E5A52EC" w:rsidR="00664260" w:rsidRDefault="00664260" w:rsidP="3238681A">
            <w:pPr>
              <w:rPr>
                <w:rFonts w:cs="Arial"/>
              </w:rPr>
            </w:pPr>
            <w:r w:rsidRPr="3238681A">
              <w:rPr>
                <w:rFonts w:cs="Arial"/>
              </w:rPr>
              <w:t xml:space="preserve">Additionally, sections 19 and 20 provide for when an individual can be removed from the register. </w:t>
            </w:r>
          </w:p>
        </w:tc>
      </w:tr>
      <w:tr w:rsidR="00664260" w14:paraId="47B21BC1" w14:textId="77777777" w:rsidTr="2CC68585">
        <w:tc>
          <w:tcPr>
            <w:tcW w:w="2547" w:type="dxa"/>
          </w:tcPr>
          <w:p w14:paraId="689F6E2D" w14:textId="77777777" w:rsidR="00664260" w:rsidRDefault="00664260" w:rsidP="00E1194D">
            <w:pPr>
              <w:rPr>
                <w:rFonts w:cs="Arial"/>
                <w:i/>
                <w:szCs w:val="24"/>
              </w:rPr>
            </w:pPr>
            <w:r w:rsidRPr="00EF1B64">
              <w:rPr>
                <w:rFonts w:cs="Arial"/>
                <w:i/>
                <w:szCs w:val="24"/>
              </w:rPr>
              <w:lastRenderedPageBreak/>
              <w:t>Building Act 2004</w:t>
            </w:r>
          </w:p>
        </w:tc>
        <w:tc>
          <w:tcPr>
            <w:tcW w:w="6469" w:type="dxa"/>
          </w:tcPr>
          <w:p w14:paraId="47529F32" w14:textId="5A2BFDD3" w:rsidR="00664260" w:rsidRPr="005900B9" w:rsidRDefault="7FBFDBFD" w:rsidP="478A49CC">
            <w:pPr>
              <w:rPr>
                <w:rFonts w:cs="Arial"/>
              </w:rPr>
            </w:pPr>
            <w:r w:rsidRPr="2CC68585">
              <w:rPr>
                <w:rFonts w:cs="Arial"/>
              </w:rPr>
              <w:t>Section 59A(6) provides a safeguard that requires the construction occupations registrar to not make public personal information, or other information about a stop notice, available to the public if the registrar is satisfied on reasonable grounds publishing the information is not necessary or desirable to protect t</w:t>
            </w:r>
            <w:r w:rsidR="353E71BA" w:rsidRPr="2CC68585">
              <w:rPr>
                <w:rFonts w:cs="Arial"/>
              </w:rPr>
              <w:t>he</w:t>
            </w:r>
            <w:r w:rsidRPr="2CC68585">
              <w:rPr>
                <w:rFonts w:cs="Arial"/>
              </w:rPr>
              <w:t xml:space="preserve"> public</w:t>
            </w:r>
            <w:r w:rsidR="79E6DA7E" w:rsidRPr="2CC68585">
              <w:rPr>
                <w:rFonts w:cs="Arial"/>
              </w:rPr>
              <w:t xml:space="preserve"> or it would be inappropriate or illegal to disclose the information.</w:t>
            </w:r>
            <w:r w:rsidR="002E0CD9">
              <w:rPr>
                <w:rFonts w:cs="Arial"/>
              </w:rPr>
              <w:t xml:space="preserve"> </w:t>
            </w:r>
          </w:p>
        </w:tc>
      </w:tr>
      <w:tr w:rsidR="00664260" w14:paraId="508EACA6" w14:textId="77777777" w:rsidTr="2CC68585">
        <w:tc>
          <w:tcPr>
            <w:tcW w:w="2547" w:type="dxa"/>
          </w:tcPr>
          <w:p w14:paraId="16DF85BF" w14:textId="77777777" w:rsidR="00664260" w:rsidRPr="00DF4969" w:rsidRDefault="00664260" w:rsidP="00E1194D">
            <w:pPr>
              <w:rPr>
                <w:rFonts w:cs="Arial"/>
                <w:iCs/>
                <w:szCs w:val="24"/>
              </w:rPr>
            </w:pPr>
            <w:r>
              <w:rPr>
                <w:rFonts w:cs="Arial"/>
                <w:i/>
                <w:szCs w:val="24"/>
              </w:rPr>
              <w:t>Cemeteries and Crematoria Act 2020</w:t>
            </w:r>
            <w:r>
              <w:rPr>
                <w:rFonts w:cs="Arial"/>
                <w:iCs/>
                <w:szCs w:val="24"/>
              </w:rPr>
              <w:t xml:space="preserve"> </w:t>
            </w:r>
          </w:p>
        </w:tc>
        <w:tc>
          <w:tcPr>
            <w:tcW w:w="6469" w:type="dxa"/>
          </w:tcPr>
          <w:p w14:paraId="181AA092" w14:textId="64B57C8A" w:rsidR="00664260" w:rsidRDefault="00664260" w:rsidP="3238681A">
            <w:pPr>
              <w:rPr>
                <w:rFonts w:cs="Arial"/>
              </w:rPr>
            </w:pPr>
            <w:r w:rsidRPr="2CC68585">
              <w:rPr>
                <w:rFonts w:cs="Arial"/>
              </w:rPr>
              <w:t xml:space="preserve">The Act contains two safeguards for reviewing personal information contained in the register. </w:t>
            </w:r>
            <w:r w:rsidR="5F4490CA" w:rsidRPr="2CC68585">
              <w:rPr>
                <w:rFonts w:cs="Arial"/>
              </w:rPr>
              <w:t>In particular,</w:t>
            </w:r>
            <w:r w:rsidRPr="2CC68585">
              <w:rPr>
                <w:rFonts w:cs="Arial"/>
              </w:rPr>
              <w:t xml:space="preserve"> the regulator may correct mistakes, errors or omissions in the register (s 58(4)), and the regulator may change a detail in the register to keep it </w:t>
            </w:r>
            <w:r w:rsidR="62801300" w:rsidRPr="2CC68585">
              <w:rPr>
                <w:rFonts w:cs="Arial"/>
              </w:rPr>
              <w:t>up to date</w:t>
            </w:r>
            <w:r w:rsidRPr="2CC68585">
              <w:rPr>
                <w:rFonts w:cs="Arial"/>
              </w:rPr>
              <w:t xml:space="preserve"> (s 58(5)).  </w:t>
            </w:r>
          </w:p>
        </w:tc>
      </w:tr>
      <w:tr w:rsidR="00375B30" w14:paraId="32D9A656" w14:textId="77777777" w:rsidTr="2CC68585">
        <w:tc>
          <w:tcPr>
            <w:tcW w:w="2547" w:type="dxa"/>
          </w:tcPr>
          <w:p w14:paraId="4B40F0BE" w14:textId="62CF0A55" w:rsidR="00375B30" w:rsidRDefault="00375B30" w:rsidP="00E1194D">
            <w:pPr>
              <w:rPr>
                <w:rFonts w:cs="Arial"/>
                <w:i/>
                <w:szCs w:val="24"/>
              </w:rPr>
            </w:pPr>
            <w:r>
              <w:rPr>
                <w:rFonts w:cs="Arial"/>
                <w:i/>
                <w:iCs/>
              </w:rPr>
              <w:t>Construction Occupations (Licensing) Act 2004</w:t>
            </w:r>
          </w:p>
        </w:tc>
        <w:tc>
          <w:tcPr>
            <w:tcW w:w="6469" w:type="dxa"/>
          </w:tcPr>
          <w:p w14:paraId="61B4505A" w14:textId="4F8FE13B" w:rsidR="00375B30" w:rsidRDefault="00E97A60" w:rsidP="3238681A">
            <w:pPr>
              <w:rPr>
                <w:rFonts w:cs="Arial"/>
              </w:rPr>
            </w:pPr>
            <w:r>
              <w:rPr>
                <w:rFonts w:cs="Arial"/>
              </w:rPr>
              <w:t>Section</w:t>
            </w:r>
            <w:r w:rsidR="00375B30">
              <w:rPr>
                <w:rFonts w:cs="Arial"/>
              </w:rPr>
              <w:t xml:space="preserve"> 10 </w:t>
            </w:r>
            <w:r>
              <w:rPr>
                <w:rFonts w:cs="Arial"/>
              </w:rPr>
              <w:t xml:space="preserve">of the Act allows </w:t>
            </w:r>
            <w:r w:rsidR="00375B30">
              <w:rPr>
                <w:rFonts w:cs="Arial"/>
              </w:rPr>
              <w:t xml:space="preserve">the registrar to correct a mistake, error or omission in the register, or to correct or omit an entry that has become inaccurate. </w:t>
            </w:r>
          </w:p>
          <w:p w14:paraId="156084F7" w14:textId="5DC06A13" w:rsidR="00375B30" w:rsidRPr="3238681A" w:rsidRDefault="00375B30" w:rsidP="3238681A">
            <w:pPr>
              <w:rPr>
                <w:rFonts w:cs="Arial"/>
              </w:rPr>
            </w:pPr>
            <w:r>
              <w:rPr>
                <w:rFonts w:cs="Arial"/>
              </w:rPr>
              <w:t xml:space="preserve">A further safeguard in the Act to allow for the removal of information from the register (s 111) in relation to rectification orders, contravention of rectification orders, and interim licence suspensions. An entity may apply for the removal of the information from the register if the information relates to something the entity did or did not do (s 111(3)). </w:t>
            </w:r>
          </w:p>
        </w:tc>
      </w:tr>
      <w:tr w:rsidR="00664260" w14:paraId="41D371E7" w14:textId="77777777" w:rsidTr="2CC68585">
        <w:tc>
          <w:tcPr>
            <w:tcW w:w="2547" w:type="dxa"/>
          </w:tcPr>
          <w:p w14:paraId="0C822B35" w14:textId="77777777" w:rsidR="00664260" w:rsidRPr="00614A23" w:rsidRDefault="00664260" w:rsidP="00E1194D">
            <w:pPr>
              <w:rPr>
                <w:rFonts w:cs="Arial"/>
                <w:i/>
                <w:szCs w:val="24"/>
              </w:rPr>
            </w:pPr>
            <w:r>
              <w:rPr>
                <w:rFonts w:cs="Arial"/>
                <w:i/>
                <w:szCs w:val="24"/>
              </w:rPr>
              <w:t>Food Act 2001</w:t>
            </w:r>
          </w:p>
        </w:tc>
        <w:tc>
          <w:tcPr>
            <w:tcW w:w="6469" w:type="dxa"/>
          </w:tcPr>
          <w:p w14:paraId="78C04DFE" w14:textId="5CB2D11F" w:rsidR="00664260" w:rsidRDefault="00664260" w:rsidP="3238681A">
            <w:pPr>
              <w:rPr>
                <w:rFonts w:cs="Arial"/>
              </w:rPr>
            </w:pPr>
            <w:r w:rsidRPr="3238681A">
              <w:rPr>
                <w:rFonts w:cs="Arial"/>
              </w:rPr>
              <w:t>A safeguard in the Act allow</w:t>
            </w:r>
            <w:r w:rsidR="00E97A60">
              <w:rPr>
                <w:rFonts w:cs="Arial"/>
              </w:rPr>
              <w:t>s</w:t>
            </w:r>
            <w:r w:rsidRPr="3238681A">
              <w:rPr>
                <w:rFonts w:cs="Arial"/>
              </w:rPr>
              <w:t xml:space="preserve"> the CHO to correct mistakes, errors or omissions in the food business register subject to the requirements (if any) of the regulations (s 105(5)). </w:t>
            </w:r>
          </w:p>
          <w:p w14:paraId="047CFCE4" w14:textId="7C43EFCE" w:rsidR="00664260" w:rsidRDefault="00664260" w:rsidP="3238681A">
            <w:pPr>
              <w:rPr>
                <w:rFonts w:cs="Arial"/>
              </w:rPr>
            </w:pPr>
            <w:r w:rsidRPr="3238681A">
              <w:rPr>
                <w:rFonts w:cs="Arial"/>
              </w:rPr>
              <w:t>The Bill will introduce two additional safeguards to prevent the unnecessary publication of any personal details. Proposed new section 106(2) will allow the CHO to publish all or part of the food business register in any wa</w:t>
            </w:r>
            <w:r w:rsidR="02C21EAC" w:rsidRPr="3238681A">
              <w:rPr>
                <w:rFonts w:cs="Arial"/>
              </w:rPr>
              <w:t>y</w:t>
            </w:r>
            <w:r w:rsidRPr="3238681A">
              <w:rPr>
                <w:rFonts w:cs="Arial"/>
              </w:rPr>
              <w:t xml:space="preserve"> the CHO considers appropriate. </w:t>
            </w:r>
          </w:p>
          <w:p w14:paraId="44CA72DC" w14:textId="60170C80" w:rsidR="00664260" w:rsidRDefault="00664260" w:rsidP="49A0317D">
            <w:pPr>
              <w:rPr>
                <w:rFonts w:cs="Arial"/>
              </w:rPr>
            </w:pPr>
            <w:r w:rsidRPr="2CC68585">
              <w:rPr>
                <w:rFonts w:cs="Arial"/>
              </w:rPr>
              <w:t>Additionally</w:t>
            </w:r>
            <w:r w:rsidR="189EE7D9" w:rsidRPr="2CC68585">
              <w:rPr>
                <w:rFonts w:cs="Arial"/>
              </w:rPr>
              <w:t>,</w:t>
            </w:r>
            <w:r w:rsidRPr="2CC68585">
              <w:rPr>
                <w:rFonts w:cs="Arial"/>
              </w:rPr>
              <w:t xml:space="preserve"> proposed new section 106(3) states that the CHO must not make information publicly available if the CHO is satisfied it is not in the public interest for the information to be publicly available. </w:t>
            </w:r>
          </w:p>
          <w:p w14:paraId="1CD8107B" w14:textId="771ABB30" w:rsidR="00664260" w:rsidRDefault="3A4C409E" w:rsidP="478A49CC">
            <w:pPr>
              <w:pStyle w:val="ListParagraph"/>
              <w:spacing w:line="276" w:lineRule="auto"/>
              <w:ind w:left="0"/>
              <w:rPr>
                <w:rFonts w:cs="Arial"/>
              </w:rPr>
            </w:pPr>
            <w:r w:rsidRPr="2CC68585">
              <w:rPr>
                <w:rFonts w:cs="Arial"/>
              </w:rPr>
              <w:t>These a</w:t>
            </w:r>
            <w:r w:rsidR="412179DE" w:rsidRPr="2CC68585">
              <w:rPr>
                <w:rFonts w:cs="Arial"/>
              </w:rPr>
              <w:t xml:space="preserve">mendments will require the publication of the address of the premises at, or from, which the food business is mainly conducted. It is acknowledged that this would limit the right to privacy, notably for licensees who </w:t>
            </w:r>
            <w:r w:rsidR="412179DE" w:rsidRPr="2CC68585">
              <w:rPr>
                <w:rFonts w:cs="Arial"/>
              </w:rPr>
              <w:lastRenderedPageBreak/>
              <w:t xml:space="preserve">conduct their food business out of their home address. However, publishing this address is considered proportionate and necessary to achieve the objectives. </w:t>
            </w:r>
          </w:p>
          <w:p w14:paraId="49FE74CB" w14:textId="1F285603" w:rsidR="00664260" w:rsidRDefault="412179DE" w:rsidP="2CC68585">
            <w:pPr>
              <w:pStyle w:val="ListParagraph"/>
              <w:spacing w:line="276" w:lineRule="auto"/>
              <w:ind w:left="0"/>
              <w:rPr>
                <w:rFonts w:cs="Arial"/>
              </w:rPr>
            </w:pPr>
            <w:r w:rsidRPr="2CC68585">
              <w:rPr>
                <w:rFonts w:cs="Arial"/>
              </w:rPr>
              <w:t xml:space="preserve">It is critical that the community is able to identify where food is being produced in order to provide them surety that a business they are engaging with is a registered food business, and to provide them with protection as a consumer. Additionally, this measure is considered proportionate, noting that the Bill proposes </w:t>
            </w:r>
            <w:r w:rsidR="0ADD4B9D" w:rsidRPr="2CC68585">
              <w:rPr>
                <w:rFonts w:cs="Arial"/>
              </w:rPr>
              <w:t>the</w:t>
            </w:r>
            <w:r w:rsidRPr="2CC68585">
              <w:rPr>
                <w:rFonts w:cs="Arial"/>
              </w:rPr>
              <w:t xml:space="preserve"> new safeguard</w:t>
            </w:r>
            <w:r w:rsidR="367CA52B" w:rsidRPr="2CC68585">
              <w:rPr>
                <w:rFonts w:cs="Arial"/>
              </w:rPr>
              <w:t xml:space="preserve"> </w:t>
            </w:r>
            <w:r w:rsidR="5D9D6F75" w:rsidRPr="2CC68585">
              <w:rPr>
                <w:rFonts w:cs="Arial"/>
              </w:rPr>
              <w:t xml:space="preserve">in new section 106(3), ensuring a food business owner can engage with the CHO regarding the publication of their home address </w:t>
            </w:r>
            <w:r w:rsidRPr="2CC68585">
              <w:rPr>
                <w:rFonts w:cs="Arial"/>
              </w:rPr>
              <w:t xml:space="preserve">if </w:t>
            </w:r>
            <w:r w:rsidR="1568AA51" w:rsidRPr="2CC68585">
              <w:rPr>
                <w:rFonts w:cs="Arial"/>
              </w:rPr>
              <w:t>it</w:t>
            </w:r>
            <w:r w:rsidRPr="2CC68585">
              <w:rPr>
                <w:rFonts w:cs="Arial"/>
              </w:rPr>
              <w:t xml:space="preserve"> is not in the public interest</w:t>
            </w:r>
            <w:r w:rsidR="4CC145E7" w:rsidRPr="2CC68585">
              <w:rPr>
                <w:rFonts w:cs="Arial"/>
              </w:rPr>
              <w:t xml:space="preserve"> to do so</w:t>
            </w:r>
            <w:r w:rsidRPr="2CC68585">
              <w:rPr>
                <w:rFonts w:cs="Arial"/>
              </w:rPr>
              <w:t>.</w:t>
            </w:r>
          </w:p>
        </w:tc>
      </w:tr>
      <w:tr w:rsidR="00664260" w14:paraId="5AA91B2C" w14:textId="77777777" w:rsidTr="2CC68585">
        <w:tc>
          <w:tcPr>
            <w:tcW w:w="2547" w:type="dxa"/>
          </w:tcPr>
          <w:p w14:paraId="67C582CF" w14:textId="77777777" w:rsidR="00664260" w:rsidRPr="002C0D46" w:rsidRDefault="00664260" w:rsidP="00E1194D">
            <w:pPr>
              <w:rPr>
                <w:rFonts w:cs="Arial"/>
                <w:iCs/>
                <w:szCs w:val="24"/>
              </w:rPr>
            </w:pPr>
            <w:r>
              <w:rPr>
                <w:rFonts w:cs="Arial"/>
                <w:i/>
                <w:szCs w:val="24"/>
              </w:rPr>
              <w:lastRenderedPageBreak/>
              <w:t>Gambling and Racing Control Act 1999</w:t>
            </w:r>
            <w:r>
              <w:rPr>
                <w:rFonts w:cs="Arial"/>
                <w:iCs/>
                <w:szCs w:val="24"/>
              </w:rPr>
              <w:t xml:space="preserve"> </w:t>
            </w:r>
          </w:p>
        </w:tc>
        <w:tc>
          <w:tcPr>
            <w:tcW w:w="6469" w:type="dxa"/>
          </w:tcPr>
          <w:p w14:paraId="1F381B83" w14:textId="77777777" w:rsidR="00664260" w:rsidRDefault="00664260" w:rsidP="00E1194D">
            <w:pPr>
              <w:rPr>
                <w:rFonts w:cs="Arial"/>
                <w:iCs/>
                <w:szCs w:val="24"/>
              </w:rPr>
            </w:pPr>
            <w:r>
              <w:rPr>
                <w:rFonts w:cs="Arial"/>
                <w:iCs/>
                <w:szCs w:val="24"/>
              </w:rPr>
              <w:t xml:space="preserve">The Bill proposes new safeguards to prevent against the unnecessary publication of personal details. These powers will allow the commission to review and update the register and include that: </w:t>
            </w:r>
          </w:p>
          <w:p w14:paraId="46844209" w14:textId="4A5B1994" w:rsidR="00664260" w:rsidRDefault="00664260" w:rsidP="00A95D9B">
            <w:pPr>
              <w:pStyle w:val="ListParagraph"/>
              <w:numPr>
                <w:ilvl w:val="0"/>
                <w:numId w:val="22"/>
              </w:numPr>
              <w:spacing w:line="276" w:lineRule="auto"/>
              <w:rPr>
                <w:rFonts w:cs="Arial"/>
              </w:rPr>
            </w:pPr>
            <w:r w:rsidRPr="2CC68585">
              <w:rPr>
                <w:rFonts w:cs="Arial"/>
              </w:rPr>
              <w:t>The commission may correct an error or omission in the bookmaker and totalisator register (</w:t>
            </w:r>
            <w:proofErr w:type="spellStart"/>
            <w:r w:rsidRPr="2CC68585">
              <w:rPr>
                <w:rFonts w:cs="Arial"/>
              </w:rPr>
              <w:t>new s</w:t>
            </w:r>
            <w:proofErr w:type="spellEnd"/>
            <w:r w:rsidRPr="2CC68585">
              <w:rPr>
                <w:rFonts w:cs="Arial"/>
              </w:rPr>
              <w:t xml:space="preserve"> 5</w:t>
            </w:r>
            <w:r w:rsidR="001351E3">
              <w:rPr>
                <w:rFonts w:cs="Arial"/>
              </w:rPr>
              <w:t>2</w:t>
            </w:r>
            <w:r w:rsidRPr="2CC68585">
              <w:rPr>
                <w:rFonts w:cs="Arial"/>
              </w:rPr>
              <w:t>A(</w:t>
            </w:r>
            <w:r w:rsidR="001351E3">
              <w:rPr>
                <w:rFonts w:cs="Arial"/>
              </w:rPr>
              <w:t>3</w:t>
            </w:r>
            <w:r w:rsidRPr="2CC68585">
              <w:rPr>
                <w:rFonts w:cs="Arial"/>
              </w:rPr>
              <w:t>))</w:t>
            </w:r>
            <w:r w:rsidR="0875716B" w:rsidRPr="2CC68585">
              <w:rPr>
                <w:rFonts w:cs="Arial"/>
              </w:rPr>
              <w:t>.</w:t>
            </w:r>
          </w:p>
          <w:p w14:paraId="4DE9DF7C" w14:textId="08D64216" w:rsidR="00664260" w:rsidRDefault="00664260" w:rsidP="00A95D9B">
            <w:pPr>
              <w:pStyle w:val="ListParagraph"/>
              <w:numPr>
                <w:ilvl w:val="0"/>
                <w:numId w:val="22"/>
              </w:numPr>
              <w:spacing w:line="276" w:lineRule="auto"/>
              <w:rPr>
                <w:rFonts w:cs="Arial"/>
              </w:rPr>
            </w:pPr>
            <w:r w:rsidRPr="2CC68585">
              <w:rPr>
                <w:rFonts w:cs="Arial"/>
              </w:rPr>
              <w:t xml:space="preserve">The commission may change </w:t>
            </w:r>
            <w:r w:rsidR="001351E3">
              <w:rPr>
                <w:rFonts w:cs="Arial"/>
              </w:rPr>
              <w:t>information in a</w:t>
            </w:r>
            <w:r w:rsidRPr="2CC68585">
              <w:rPr>
                <w:rFonts w:cs="Arial"/>
              </w:rPr>
              <w:t xml:space="preserve"> register to keep the register up-to-date (</w:t>
            </w:r>
            <w:bookmarkStart w:id="0" w:name="_Int_DVzUcXvf"/>
            <w:proofErr w:type="spellStart"/>
            <w:r w:rsidRPr="2CC68585">
              <w:rPr>
                <w:rFonts w:cs="Arial"/>
              </w:rPr>
              <w:t>new s</w:t>
            </w:r>
            <w:bookmarkEnd w:id="0"/>
            <w:proofErr w:type="spellEnd"/>
            <w:r w:rsidRPr="2CC68585">
              <w:rPr>
                <w:rFonts w:cs="Arial"/>
              </w:rPr>
              <w:t xml:space="preserve"> 5</w:t>
            </w:r>
            <w:r w:rsidR="001351E3">
              <w:rPr>
                <w:rFonts w:cs="Arial"/>
              </w:rPr>
              <w:t>2</w:t>
            </w:r>
            <w:r w:rsidRPr="2CC68585">
              <w:rPr>
                <w:rFonts w:cs="Arial"/>
              </w:rPr>
              <w:t>A(</w:t>
            </w:r>
            <w:r w:rsidR="001351E3">
              <w:rPr>
                <w:rFonts w:cs="Arial"/>
              </w:rPr>
              <w:t>4</w:t>
            </w:r>
            <w:r w:rsidRPr="2CC68585">
              <w:rPr>
                <w:rFonts w:cs="Arial"/>
              </w:rPr>
              <w:t xml:space="preserve">)). </w:t>
            </w:r>
          </w:p>
          <w:p w14:paraId="202F890A" w14:textId="77777777" w:rsidR="00664260" w:rsidRPr="0050765A" w:rsidRDefault="00664260" w:rsidP="00E1194D">
            <w:pPr>
              <w:pStyle w:val="ListParagraph"/>
              <w:rPr>
                <w:rFonts w:cs="Arial"/>
                <w:iCs/>
                <w:szCs w:val="24"/>
              </w:rPr>
            </w:pPr>
          </w:p>
        </w:tc>
      </w:tr>
      <w:tr w:rsidR="00664260" w14:paraId="6FA3DA3F" w14:textId="77777777" w:rsidTr="2CC68585">
        <w:tc>
          <w:tcPr>
            <w:tcW w:w="2547" w:type="dxa"/>
          </w:tcPr>
          <w:p w14:paraId="24845F52" w14:textId="77777777" w:rsidR="00664260" w:rsidRPr="000D1746" w:rsidRDefault="00664260" w:rsidP="00E1194D">
            <w:pPr>
              <w:rPr>
                <w:rFonts w:cs="Arial"/>
                <w:i/>
                <w:szCs w:val="24"/>
              </w:rPr>
            </w:pPr>
            <w:r w:rsidRPr="0061677B">
              <w:rPr>
                <w:rFonts w:cs="Arial"/>
                <w:i/>
                <w:szCs w:val="24"/>
              </w:rPr>
              <w:t>Professional Engineers Act 2023</w:t>
            </w:r>
          </w:p>
        </w:tc>
        <w:tc>
          <w:tcPr>
            <w:tcW w:w="6469" w:type="dxa"/>
          </w:tcPr>
          <w:p w14:paraId="05499BB1" w14:textId="48996958" w:rsidR="00664260" w:rsidRDefault="00664260" w:rsidP="3238681A">
            <w:pPr>
              <w:rPr>
                <w:rFonts w:cs="Arial"/>
              </w:rPr>
            </w:pPr>
            <w:r w:rsidRPr="3238681A">
              <w:rPr>
                <w:rFonts w:cs="Arial"/>
              </w:rPr>
              <w:t xml:space="preserve">Safeguards in the Act ensure that the personal information can be reviewed and to prevent the unnecessary publication of personal information. </w:t>
            </w:r>
          </w:p>
          <w:p w14:paraId="73E6930A" w14:textId="3781EBC9" w:rsidR="00664260" w:rsidRDefault="00664260" w:rsidP="3238681A">
            <w:pPr>
              <w:rPr>
                <w:rFonts w:cs="Arial"/>
              </w:rPr>
            </w:pPr>
            <w:r w:rsidRPr="3238681A">
              <w:rPr>
                <w:rFonts w:cs="Arial"/>
              </w:rPr>
              <w:t>Existing section 30(5) of the Act allows the registrar to correct mistakes, errors or omissions in the register. A further safeguard is that the registrar must not make information about a professional engineer or former professional engineer available to the public if requested by the professional engineer or former engineer</w:t>
            </w:r>
            <w:r w:rsidR="73A69135" w:rsidRPr="3238681A">
              <w:rPr>
                <w:rFonts w:cs="Arial"/>
              </w:rPr>
              <w:t>,</w:t>
            </w:r>
            <w:r w:rsidRPr="3238681A">
              <w:rPr>
                <w:rFonts w:cs="Arial"/>
              </w:rPr>
              <w:t xml:space="preserve"> and the registrar is satisfied that the publication of the information would, or could reasonably be expected to endanger the life or physical safety of any person; or jeopardise national security (s 31(3)). </w:t>
            </w:r>
          </w:p>
        </w:tc>
      </w:tr>
      <w:tr w:rsidR="00664260" w14:paraId="1F4E958E" w14:textId="77777777" w:rsidTr="2CC68585">
        <w:tc>
          <w:tcPr>
            <w:tcW w:w="2547" w:type="dxa"/>
          </w:tcPr>
          <w:p w14:paraId="7BF88736" w14:textId="77777777" w:rsidR="00664260" w:rsidRPr="0061677B" w:rsidRDefault="00664260" w:rsidP="00E1194D">
            <w:pPr>
              <w:rPr>
                <w:rFonts w:cs="Arial"/>
                <w:i/>
                <w:szCs w:val="24"/>
              </w:rPr>
            </w:pPr>
            <w:r w:rsidRPr="00EA2AE1">
              <w:rPr>
                <w:rFonts w:cs="Arial"/>
                <w:i/>
                <w:szCs w:val="24"/>
              </w:rPr>
              <w:t>Public Health Act 1997</w:t>
            </w:r>
          </w:p>
        </w:tc>
        <w:tc>
          <w:tcPr>
            <w:tcW w:w="6469" w:type="dxa"/>
          </w:tcPr>
          <w:p w14:paraId="08682B37" w14:textId="77777777" w:rsidR="00664260" w:rsidRDefault="00664260" w:rsidP="00E1194D">
            <w:pPr>
              <w:rPr>
                <w:rFonts w:cs="Arial"/>
                <w:iCs/>
                <w:szCs w:val="24"/>
              </w:rPr>
            </w:pPr>
            <w:r>
              <w:rPr>
                <w:rFonts w:cs="Arial"/>
                <w:iCs/>
                <w:szCs w:val="24"/>
              </w:rPr>
              <w:t xml:space="preserve">A safeguard will be inserted into the two proposed new registers in s 21A and 41CA, and in the existing register in s 56E. This safeguard will ensure that for all three registers, the Minister must not make information publicly </w:t>
            </w:r>
            <w:r>
              <w:rPr>
                <w:rFonts w:cs="Arial"/>
                <w:iCs/>
                <w:szCs w:val="24"/>
              </w:rPr>
              <w:lastRenderedPageBreak/>
              <w:t xml:space="preserve">available in relation to a licensee who is licensed to undertake a public health risk activity if the Minister is satisfied it is not in the public interest for the information to be publicly available. </w:t>
            </w:r>
          </w:p>
        </w:tc>
      </w:tr>
      <w:tr w:rsidR="00664260" w14:paraId="4F70864F" w14:textId="77777777" w:rsidTr="2CC68585">
        <w:tc>
          <w:tcPr>
            <w:tcW w:w="2547" w:type="dxa"/>
          </w:tcPr>
          <w:p w14:paraId="24CC2162" w14:textId="77777777" w:rsidR="00664260" w:rsidRPr="0061677B" w:rsidRDefault="00664260" w:rsidP="00E1194D">
            <w:pPr>
              <w:rPr>
                <w:rFonts w:cs="Arial"/>
                <w:i/>
                <w:szCs w:val="24"/>
              </w:rPr>
            </w:pPr>
            <w:r>
              <w:rPr>
                <w:rFonts w:cs="Arial"/>
                <w:i/>
                <w:szCs w:val="24"/>
              </w:rPr>
              <w:lastRenderedPageBreak/>
              <w:t>Radiation Protection Act 2006</w:t>
            </w:r>
          </w:p>
        </w:tc>
        <w:tc>
          <w:tcPr>
            <w:tcW w:w="6469" w:type="dxa"/>
          </w:tcPr>
          <w:p w14:paraId="4045C3AC" w14:textId="2ADF17BC" w:rsidR="00664260" w:rsidRDefault="00664260" w:rsidP="00E1194D">
            <w:pPr>
              <w:rPr>
                <w:rFonts w:cs="Arial"/>
                <w:iCs/>
                <w:szCs w:val="24"/>
              </w:rPr>
            </w:pPr>
            <w:r>
              <w:rPr>
                <w:rFonts w:cs="Arial"/>
                <w:iCs/>
                <w:szCs w:val="24"/>
              </w:rPr>
              <w:t>The Bill proposes a new safeguard which requires the CHO not to make information publicly available if the CHO is satisfied it is not in the public interest for the information to be publicly available (</w:t>
            </w:r>
            <w:proofErr w:type="spellStart"/>
            <w:r>
              <w:rPr>
                <w:rFonts w:cs="Arial"/>
                <w:iCs/>
                <w:szCs w:val="24"/>
              </w:rPr>
              <w:t>new s</w:t>
            </w:r>
            <w:proofErr w:type="spellEnd"/>
            <w:r>
              <w:rPr>
                <w:rFonts w:cs="Arial"/>
                <w:iCs/>
                <w:szCs w:val="24"/>
              </w:rPr>
              <w:t xml:space="preserve"> 33A(4B)).</w:t>
            </w:r>
          </w:p>
        </w:tc>
      </w:tr>
      <w:tr w:rsidR="00664260" w14:paraId="3D69A622" w14:textId="77777777" w:rsidTr="2CC68585">
        <w:tc>
          <w:tcPr>
            <w:tcW w:w="2547" w:type="dxa"/>
          </w:tcPr>
          <w:p w14:paraId="2ADD62F6" w14:textId="77777777" w:rsidR="00664260" w:rsidRDefault="00664260" w:rsidP="00E1194D">
            <w:pPr>
              <w:rPr>
                <w:rFonts w:cs="Arial"/>
                <w:i/>
                <w:szCs w:val="24"/>
              </w:rPr>
            </w:pPr>
            <w:r>
              <w:rPr>
                <w:rFonts w:cs="Arial"/>
                <w:i/>
                <w:szCs w:val="24"/>
              </w:rPr>
              <w:t>Veterinary Practice Act 2018</w:t>
            </w:r>
          </w:p>
        </w:tc>
        <w:tc>
          <w:tcPr>
            <w:tcW w:w="6469" w:type="dxa"/>
          </w:tcPr>
          <w:p w14:paraId="0A2A3E2E" w14:textId="1C1790D9" w:rsidR="00664260" w:rsidRDefault="00664260" w:rsidP="2CC68585">
            <w:pPr>
              <w:rPr>
                <w:rFonts w:cs="Arial"/>
              </w:rPr>
            </w:pPr>
            <w:r w:rsidRPr="2CC68585">
              <w:rPr>
                <w:rFonts w:cs="Arial"/>
              </w:rPr>
              <w:t>Existing s 129(3) includes an important safeguard that will be retained that provide</w:t>
            </w:r>
            <w:r w:rsidR="4F15DF56" w:rsidRPr="2CC68585">
              <w:rPr>
                <w:rFonts w:cs="Arial"/>
              </w:rPr>
              <w:t>s</w:t>
            </w:r>
            <w:r w:rsidRPr="2CC68585">
              <w:rPr>
                <w:rFonts w:cs="Arial"/>
              </w:rPr>
              <w:t xml:space="preserve"> the board with discretion in allowing public inspection of a condition on the registration of a veterinary practitioner if the information is confidential or in the board’s opinion, the benefit to the public of knowing the condition is outweighed by the personal or prejudicial nature of the condition. </w:t>
            </w:r>
            <w:r w:rsidR="07F5BF29" w:rsidRPr="2CC68585">
              <w:rPr>
                <w:rFonts w:cs="Arial"/>
              </w:rPr>
              <w:t xml:space="preserve">This power will be retained although the wording of the provision will be substituted in the Bill to omit </w:t>
            </w:r>
            <w:r w:rsidR="07F5BF29" w:rsidRPr="2CC68585">
              <w:rPr>
                <w:rFonts w:cs="Arial"/>
                <w:i/>
                <w:iCs/>
              </w:rPr>
              <w:t>allow public inspection</w:t>
            </w:r>
            <w:r w:rsidR="3EBBD376" w:rsidRPr="2CC68585">
              <w:rPr>
                <w:rFonts w:cs="Arial"/>
                <w:i/>
                <w:iCs/>
              </w:rPr>
              <w:t xml:space="preserve"> of</w:t>
            </w:r>
            <w:r w:rsidR="07F5BF29" w:rsidRPr="2CC68585">
              <w:rPr>
                <w:rFonts w:cs="Arial"/>
              </w:rPr>
              <w:t xml:space="preserve"> and replace with </w:t>
            </w:r>
            <w:r w:rsidR="4FCB8DF9" w:rsidRPr="2CC68585">
              <w:rPr>
                <w:rFonts w:cs="Arial"/>
                <w:i/>
                <w:iCs/>
              </w:rPr>
              <w:t>make accessible to the public</w:t>
            </w:r>
            <w:r w:rsidR="4FCB8DF9" w:rsidRPr="2CC68585">
              <w:rPr>
                <w:rFonts w:cs="Arial"/>
              </w:rPr>
              <w:t xml:space="preserve">. </w:t>
            </w:r>
          </w:p>
          <w:p w14:paraId="472F8F9D" w14:textId="2AFA3199" w:rsidR="00664260" w:rsidRDefault="4CA77AAA" w:rsidP="2CC68585">
            <w:pPr>
              <w:rPr>
                <w:rFonts w:cs="Arial"/>
              </w:rPr>
            </w:pPr>
            <w:proofErr w:type="spellStart"/>
            <w:r w:rsidRPr="2CC68585">
              <w:rPr>
                <w:rFonts w:cs="Arial"/>
              </w:rPr>
              <w:t>New s</w:t>
            </w:r>
            <w:proofErr w:type="spellEnd"/>
            <w:r w:rsidRPr="2CC68585">
              <w:rPr>
                <w:rFonts w:cs="Arial"/>
              </w:rPr>
              <w:t xml:space="preserve"> 129(4) will prevent the publication of the address of a veterinary practitioner. However, </w:t>
            </w:r>
            <w:proofErr w:type="spellStart"/>
            <w:r w:rsidRPr="2CC68585">
              <w:rPr>
                <w:rFonts w:cs="Arial"/>
              </w:rPr>
              <w:t>new s</w:t>
            </w:r>
            <w:proofErr w:type="spellEnd"/>
            <w:r w:rsidRPr="2CC68585">
              <w:rPr>
                <w:rFonts w:cs="Arial"/>
              </w:rPr>
              <w:t xml:space="preserve"> 129(5) will require the publication of this a</w:t>
            </w:r>
            <w:r w:rsidR="238E7CE0" w:rsidRPr="2CC68585">
              <w:rPr>
                <w:rFonts w:cs="Arial"/>
              </w:rPr>
              <w:t>ddress if it is the place a veterinary practitioner practices.</w:t>
            </w:r>
            <w:r w:rsidR="01E9B233" w:rsidRPr="2CC68585">
              <w:rPr>
                <w:rFonts w:cs="Arial"/>
              </w:rPr>
              <w:t xml:space="preserve"> </w:t>
            </w:r>
          </w:p>
          <w:p w14:paraId="57DD339A" w14:textId="7CFAB602" w:rsidR="00664260" w:rsidRDefault="61C15239" w:rsidP="2CC68585">
            <w:pPr>
              <w:rPr>
                <w:rFonts w:cs="Arial"/>
              </w:rPr>
            </w:pPr>
            <w:r w:rsidRPr="2CC68585">
              <w:rPr>
                <w:rFonts w:cs="Arial"/>
              </w:rPr>
              <w:t xml:space="preserve">It is acknowledged that </w:t>
            </w:r>
            <w:proofErr w:type="spellStart"/>
            <w:r w:rsidRPr="2CC68585">
              <w:rPr>
                <w:rFonts w:cs="Arial"/>
              </w:rPr>
              <w:t>new s</w:t>
            </w:r>
            <w:proofErr w:type="spellEnd"/>
            <w:r w:rsidRPr="2CC68585">
              <w:rPr>
                <w:rFonts w:cs="Arial"/>
              </w:rPr>
              <w:t xml:space="preserve"> 129(5) would limit the right to privacy, notably for veterinary practitioners who</w:t>
            </w:r>
            <w:r w:rsidR="1E019CED" w:rsidRPr="2CC68585">
              <w:rPr>
                <w:rFonts w:cs="Arial"/>
              </w:rPr>
              <w:t xml:space="preserve">se </w:t>
            </w:r>
            <w:r w:rsidR="29AC481F" w:rsidRPr="2CC68585">
              <w:rPr>
                <w:rFonts w:cs="Arial"/>
              </w:rPr>
              <w:t xml:space="preserve">occupational </w:t>
            </w:r>
            <w:r w:rsidR="1E019CED" w:rsidRPr="2CC68585">
              <w:rPr>
                <w:rFonts w:cs="Arial"/>
              </w:rPr>
              <w:t>practice</w:t>
            </w:r>
            <w:r w:rsidR="59ED1B69" w:rsidRPr="2CC68585">
              <w:rPr>
                <w:rFonts w:cs="Arial"/>
              </w:rPr>
              <w:t xml:space="preserve"> is located at their</w:t>
            </w:r>
            <w:r w:rsidR="75FDC325" w:rsidRPr="2CC68585">
              <w:rPr>
                <w:rFonts w:cs="Arial"/>
              </w:rPr>
              <w:t xml:space="preserve"> address. </w:t>
            </w:r>
            <w:r w:rsidR="67C80AB2" w:rsidRPr="2CC68585">
              <w:rPr>
                <w:rFonts w:cs="Arial"/>
              </w:rPr>
              <w:t>However, the publication of a place where it may also be the address of a veterinary practitioner is considered proportionate and necessary to achieve the objectives.</w:t>
            </w:r>
            <w:r w:rsidR="35B38C2B" w:rsidRPr="2CC68585">
              <w:rPr>
                <w:rFonts w:cs="Arial"/>
              </w:rPr>
              <w:t xml:space="preserve"> The publication of the place a veterinary practitioner works provides confidence to the public</w:t>
            </w:r>
            <w:r w:rsidR="77920CA2" w:rsidRPr="2CC68585">
              <w:rPr>
                <w:rFonts w:cs="Arial"/>
              </w:rPr>
              <w:t xml:space="preserve"> that they can appropriately identify those people registered as veterinary practitioners and to allow for access to these people for lawful</w:t>
            </w:r>
            <w:r w:rsidR="3B29327F" w:rsidRPr="2CC68585">
              <w:rPr>
                <w:rFonts w:cs="Arial"/>
              </w:rPr>
              <w:t>, occupational</w:t>
            </w:r>
            <w:r w:rsidR="77920CA2" w:rsidRPr="2CC68585">
              <w:rPr>
                <w:rFonts w:cs="Arial"/>
              </w:rPr>
              <w:t xml:space="preserve"> purposes. </w:t>
            </w:r>
            <w:r w:rsidR="37877A72" w:rsidRPr="2CC68585">
              <w:rPr>
                <w:rFonts w:cs="Arial"/>
              </w:rPr>
              <w:t xml:space="preserve">The publication </w:t>
            </w:r>
            <w:r w:rsidR="526BADB8" w:rsidRPr="2CC68585">
              <w:rPr>
                <w:rFonts w:cs="Arial"/>
              </w:rPr>
              <w:t xml:space="preserve">also </w:t>
            </w:r>
            <w:r w:rsidR="37877A72" w:rsidRPr="2CC68585">
              <w:rPr>
                <w:rFonts w:cs="Arial"/>
              </w:rPr>
              <w:t xml:space="preserve">ensures the regulatory </w:t>
            </w:r>
            <w:r w:rsidR="6F4A46D7" w:rsidRPr="2CC68585">
              <w:rPr>
                <w:rFonts w:cs="Arial"/>
              </w:rPr>
              <w:t xml:space="preserve">framework, including administration, compliance and enforcement, can </w:t>
            </w:r>
            <w:r w:rsidR="37877A72" w:rsidRPr="2CC68585">
              <w:rPr>
                <w:rFonts w:cs="Arial"/>
              </w:rPr>
              <w:t>operate effectively and provides protection for members of the public who engage with these practitioners.</w:t>
            </w:r>
          </w:p>
          <w:p w14:paraId="44B06042" w14:textId="23CB965F" w:rsidR="00664260" w:rsidRDefault="00664260" w:rsidP="2CC68585">
            <w:pPr>
              <w:rPr>
                <w:rFonts w:cs="Arial"/>
              </w:rPr>
            </w:pPr>
            <w:r w:rsidRPr="2CC68585">
              <w:rPr>
                <w:rFonts w:cs="Arial"/>
              </w:rPr>
              <w:t xml:space="preserve">Existing s 130 also allows a practitioner or registration holder to apply to change information in the register. This is a reviewable decision by the ACAT, providing additional </w:t>
            </w:r>
            <w:r w:rsidRPr="2CC68585">
              <w:rPr>
                <w:rFonts w:cs="Arial"/>
              </w:rPr>
              <w:lastRenderedPageBreak/>
              <w:t xml:space="preserve">oversight mechanisms in instances where the board may not agree to the changes, and allows the practitioner or registration holder to seek review of that decision. </w:t>
            </w:r>
          </w:p>
        </w:tc>
      </w:tr>
    </w:tbl>
    <w:p w14:paraId="19173E3F" w14:textId="77777777" w:rsidR="00664260" w:rsidRDefault="00664260" w:rsidP="00664260">
      <w:pPr>
        <w:rPr>
          <w:rFonts w:cs="Arial"/>
          <w:iCs/>
          <w:szCs w:val="24"/>
          <w:u w:val="single"/>
        </w:rPr>
      </w:pPr>
    </w:p>
    <w:p w14:paraId="2BBBACD6" w14:textId="77777777" w:rsidR="00664260" w:rsidRPr="007C6073" w:rsidRDefault="00664260" w:rsidP="2CC68585">
      <w:pPr>
        <w:rPr>
          <w:rFonts w:cs="Arial"/>
          <w:b/>
          <w:bCs/>
          <w:i/>
          <w:iCs/>
          <w:u w:val="single"/>
        </w:rPr>
      </w:pPr>
      <w:r w:rsidRPr="2CC68585">
        <w:rPr>
          <w:rFonts w:cs="Arial"/>
          <w:b/>
          <w:bCs/>
          <w:u w:val="single"/>
        </w:rPr>
        <w:t>Section 22 – Rights in criminal proceedings</w:t>
      </w:r>
    </w:p>
    <w:p w14:paraId="59E25F30" w14:textId="77777777" w:rsidR="00664260" w:rsidRPr="00414921" w:rsidRDefault="00664260" w:rsidP="00664260">
      <w:pPr>
        <w:pStyle w:val="ListParagraph"/>
        <w:numPr>
          <w:ilvl w:val="0"/>
          <w:numId w:val="24"/>
        </w:numPr>
        <w:rPr>
          <w:rFonts w:cs="Arial"/>
          <w:b/>
          <w:bCs/>
          <w:i/>
          <w:szCs w:val="24"/>
        </w:rPr>
      </w:pPr>
      <w:r w:rsidRPr="00414921">
        <w:rPr>
          <w:rFonts w:cs="Arial"/>
          <w:b/>
          <w:bCs/>
          <w:i/>
          <w:szCs w:val="24"/>
        </w:rPr>
        <w:t>Nature of the right and the limitation (s28(a) and</w:t>
      </w:r>
      <w:r>
        <w:rPr>
          <w:rFonts w:cs="Arial"/>
          <w:b/>
          <w:bCs/>
          <w:i/>
          <w:szCs w:val="24"/>
        </w:rPr>
        <w:t xml:space="preserve"> </w:t>
      </w:r>
      <w:r w:rsidRPr="00414921">
        <w:rPr>
          <w:rFonts w:cs="Arial"/>
          <w:b/>
          <w:bCs/>
          <w:i/>
          <w:szCs w:val="24"/>
        </w:rPr>
        <w:t>(c))</w:t>
      </w:r>
    </w:p>
    <w:p w14:paraId="5C6A9F49" w14:textId="77777777" w:rsidR="00664260" w:rsidRDefault="00664260" w:rsidP="00664260">
      <w:pPr>
        <w:pStyle w:val="ListParagraph"/>
        <w:ind w:left="360"/>
        <w:rPr>
          <w:rFonts w:cs="Arial"/>
          <w:i/>
          <w:color w:val="FF0000"/>
          <w:szCs w:val="24"/>
        </w:rPr>
      </w:pPr>
    </w:p>
    <w:p w14:paraId="796FCB07" w14:textId="61BBAC5E" w:rsidR="00664260" w:rsidRDefault="00664260" w:rsidP="2CC68585">
      <w:pPr>
        <w:pStyle w:val="ListParagraph"/>
        <w:spacing w:line="276" w:lineRule="auto"/>
        <w:ind w:left="0"/>
        <w:rPr>
          <w:rFonts w:cs="Arial"/>
        </w:rPr>
      </w:pPr>
      <w:r w:rsidRPr="2CC68585">
        <w:rPr>
          <w:rFonts w:cs="Arial"/>
        </w:rPr>
        <w:t>Section 22 of the HR</w:t>
      </w:r>
      <w:r w:rsidR="61674714" w:rsidRPr="2CC68585">
        <w:rPr>
          <w:rFonts w:cs="Arial"/>
        </w:rPr>
        <w:t xml:space="preserve"> </w:t>
      </w:r>
      <w:r w:rsidRPr="2CC68585">
        <w:rPr>
          <w:rFonts w:cs="Arial"/>
        </w:rPr>
        <w:t>A</w:t>
      </w:r>
      <w:r w:rsidR="6353CB40" w:rsidRPr="2CC68585">
        <w:rPr>
          <w:rFonts w:cs="Arial"/>
        </w:rPr>
        <w:t>ct</w:t>
      </w:r>
      <w:r w:rsidRPr="2CC68585">
        <w:rPr>
          <w:rFonts w:cs="Arial"/>
        </w:rPr>
        <w:t xml:space="preserve"> provides that everyone charged with a criminal offence has the right to be presumed innocent until proved guilty according to law. Strict liability offences limit the presumption of innocence as they allow for the imposition of criminal liability without the need to provide fault.</w:t>
      </w:r>
    </w:p>
    <w:p w14:paraId="68999904" w14:textId="06A45FE2" w:rsidR="00664260" w:rsidRDefault="00664260" w:rsidP="2CC68585">
      <w:pPr>
        <w:pStyle w:val="ListParagraph"/>
        <w:spacing w:line="276" w:lineRule="auto"/>
        <w:ind w:left="0"/>
        <w:rPr>
          <w:rFonts w:cs="Arial"/>
        </w:rPr>
      </w:pPr>
      <w:r w:rsidRPr="2CC68585">
        <w:rPr>
          <w:rFonts w:cs="Arial"/>
        </w:rPr>
        <w:t xml:space="preserve"> </w:t>
      </w:r>
    </w:p>
    <w:p w14:paraId="0A955A22" w14:textId="4CE1D069" w:rsidR="60753053" w:rsidRDefault="6BA0473F" w:rsidP="2CC68585">
      <w:pPr>
        <w:pStyle w:val="ListParagraph"/>
        <w:spacing w:line="276" w:lineRule="auto"/>
        <w:ind w:left="0"/>
        <w:rPr>
          <w:rFonts w:cs="Arial"/>
        </w:rPr>
      </w:pPr>
      <w:r w:rsidRPr="2CC68585">
        <w:rPr>
          <w:rFonts w:cs="Arial"/>
        </w:rPr>
        <w:t xml:space="preserve">The Bill introduces two </w:t>
      </w:r>
      <w:r w:rsidR="60753053" w:rsidRPr="2CC68585">
        <w:rPr>
          <w:rFonts w:cs="Arial"/>
        </w:rPr>
        <w:t xml:space="preserve">new strict liability offences </w:t>
      </w:r>
      <w:r w:rsidR="1EDEC917" w:rsidRPr="2CC68585">
        <w:rPr>
          <w:rFonts w:cs="Arial"/>
        </w:rPr>
        <w:t>wh</w:t>
      </w:r>
      <w:r w:rsidR="160B5DD1" w:rsidRPr="2CC68585">
        <w:rPr>
          <w:rFonts w:cs="Arial"/>
        </w:rPr>
        <w:t>i</w:t>
      </w:r>
      <w:r w:rsidR="1EDEC917" w:rsidRPr="2CC68585">
        <w:rPr>
          <w:rFonts w:cs="Arial"/>
        </w:rPr>
        <w:t xml:space="preserve">ch </w:t>
      </w:r>
      <w:r w:rsidR="60753053" w:rsidRPr="2CC68585">
        <w:rPr>
          <w:rFonts w:cs="Arial"/>
        </w:rPr>
        <w:t xml:space="preserve">will be introduced in new sections 103A and 106AA </w:t>
      </w:r>
      <w:r w:rsidR="79D83F8A" w:rsidRPr="2CC68585">
        <w:rPr>
          <w:rFonts w:cs="Arial"/>
        </w:rPr>
        <w:t xml:space="preserve">of the </w:t>
      </w:r>
      <w:r w:rsidR="79D83F8A" w:rsidRPr="2CC68585">
        <w:rPr>
          <w:rFonts w:cs="Arial"/>
          <w:i/>
          <w:iCs/>
        </w:rPr>
        <w:t>Domestic Animals Act 2000</w:t>
      </w:r>
      <w:r w:rsidR="79D83F8A" w:rsidRPr="2CC68585">
        <w:rPr>
          <w:rFonts w:cs="Arial"/>
        </w:rPr>
        <w:t xml:space="preserve"> (Domestic Animals Act) </w:t>
      </w:r>
      <w:r w:rsidR="60753053" w:rsidRPr="2CC68585">
        <w:rPr>
          <w:rFonts w:cs="Arial"/>
        </w:rPr>
        <w:t xml:space="preserve">that require assistance animal trainers and assessors to inform the registrar as soon as possible if they are convicted or found guilty on an offence under the Domestic Animals Act, </w:t>
      </w:r>
      <w:r w:rsidR="60753053" w:rsidRPr="2CC68585">
        <w:rPr>
          <w:rFonts w:cs="Arial"/>
          <w:i/>
          <w:iCs/>
        </w:rPr>
        <w:t>Animal Welfare Act 1992</w:t>
      </w:r>
      <w:r w:rsidR="60753053" w:rsidRPr="2CC68585">
        <w:rPr>
          <w:rFonts w:cs="Arial"/>
        </w:rPr>
        <w:t xml:space="preserve"> or </w:t>
      </w:r>
      <w:r w:rsidR="227A4D23" w:rsidRPr="2CC68585">
        <w:rPr>
          <w:rFonts w:cs="Arial"/>
        </w:rPr>
        <w:t xml:space="preserve">substantially </w:t>
      </w:r>
      <w:r w:rsidR="60753053" w:rsidRPr="2CC68585">
        <w:rPr>
          <w:rFonts w:cs="Arial"/>
        </w:rPr>
        <w:t xml:space="preserve">corresponding laws in other jurisdictions. These </w:t>
      </w:r>
      <w:r w:rsidR="3FB004FD" w:rsidRPr="2CC68585">
        <w:rPr>
          <w:rFonts w:cs="Arial"/>
        </w:rPr>
        <w:t xml:space="preserve">two </w:t>
      </w:r>
      <w:r w:rsidR="60753053" w:rsidRPr="2CC68585">
        <w:rPr>
          <w:rFonts w:cs="Arial"/>
        </w:rPr>
        <w:t>offences will carry a maximum penalty of 50 penalty units</w:t>
      </w:r>
      <w:r w:rsidR="001351E3">
        <w:rPr>
          <w:rFonts w:cs="Arial"/>
        </w:rPr>
        <w:t xml:space="preserve"> and are strict liability offences</w:t>
      </w:r>
      <w:r w:rsidR="60753053" w:rsidRPr="2CC68585">
        <w:rPr>
          <w:rFonts w:cs="Arial"/>
        </w:rPr>
        <w:t>.</w:t>
      </w:r>
    </w:p>
    <w:p w14:paraId="6FB76153" w14:textId="10569740" w:rsidR="73C5FE2E" w:rsidRDefault="73C5FE2E" w:rsidP="48871374">
      <w:pPr>
        <w:pStyle w:val="ListParagraph"/>
        <w:ind w:left="360"/>
        <w:rPr>
          <w:rFonts w:cs="Arial"/>
        </w:rPr>
      </w:pPr>
      <w:r w:rsidRPr="2CC68585">
        <w:rPr>
          <w:rFonts w:cs="Arial"/>
        </w:rPr>
        <w:t xml:space="preserve"> </w:t>
      </w:r>
    </w:p>
    <w:p w14:paraId="5A9806CC" w14:textId="77777777" w:rsidR="00664260" w:rsidRPr="00414921" w:rsidRDefault="00664260" w:rsidP="00664260">
      <w:pPr>
        <w:pStyle w:val="ListParagraph"/>
        <w:numPr>
          <w:ilvl w:val="0"/>
          <w:numId w:val="24"/>
        </w:numPr>
        <w:rPr>
          <w:rFonts w:cs="Arial"/>
          <w:b/>
          <w:bCs/>
          <w:i/>
          <w:szCs w:val="24"/>
        </w:rPr>
      </w:pPr>
      <w:r w:rsidRPr="00414921">
        <w:rPr>
          <w:rFonts w:cs="Arial"/>
          <w:b/>
          <w:bCs/>
          <w:i/>
          <w:szCs w:val="24"/>
        </w:rPr>
        <w:t>Legitimate purpose (s28(b))</w:t>
      </w:r>
    </w:p>
    <w:p w14:paraId="1549A2A5" w14:textId="77777777" w:rsidR="00664260" w:rsidRDefault="00664260" w:rsidP="00664260">
      <w:pPr>
        <w:pStyle w:val="ListParagraph"/>
        <w:ind w:left="360"/>
        <w:rPr>
          <w:rFonts w:cs="Arial"/>
          <w:i/>
          <w:color w:val="FF0000"/>
          <w:szCs w:val="24"/>
        </w:rPr>
      </w:pPr>
    </w:p>
    <w:p w14:paraId="2B7D59B8" w14:textId="566D636F" w:rsidR="73A28A60" w:rsidRDefault="2C43CEA0" w:rsidP="2CC68585">
      <w:pPr>
        <w:pStyle w:val="ListParagraph"/>
        <w:spacing w:line="276" w:lineRule="auto"/>
        <w:ind w:left="0"/>
        <w:rPr>
          <w:rFonts w:cs="Arial"/>
        </w:rPr>
      </w:pPr>
      <w:r w:rsidRPr="2CC68585">
        <w:rPr>
          <w:rFonts w:cs="Arial"/>
        </w:rPr>
        <w:t xml:space="preserve">Assistance animal trainers and assessors play an important role in the regulatory framework for assistance animals as they have responsibility for ensuring that assistance animals </w:t>
      </w:r>
      <w:r w:rsidR="44D96753" w:rsidRPr="2CC68585">
        <w:rPr>
          <w:rFonts w:cs="Arial"/>
        </w:rPr>
        <w:t xml:space="preserve">are appropriately trained to assist their handlers and that they </w:t>
      </w:r>
      <w:r w:rsidRPr="2CC68585">
        <w:rPr>
          <w:rFonts w:cs="Arial"/>
        </w:rPr>
        <w:t>meet the standards of behaviour for public places</w:t>
      </w:r>
      <w:r w:rsidR="712B57A8" w:rsidRPr="2CC68585">
        <w:rPr>
          <w:rFonts w:cs="Arial"/>
        </w:rPr>
        <w:t xml:space="preserve">. </w:t>
      </w:r>
      <w:r w:rsidR="08708C5C" w:rsidRPr="2CC68585">
        <w:rPr>
          <w:rFonts w:cs="Arial"/>
        </w:rPr>
        <w:t xml:space="preserve">The objective of introducing </w:t>
      </w:r>
      <w:r w:rsidR="59FBA163" w:rsidRPr="2CC68585">
        <w:rPr>
          <w:rFonts w:cs="Arial"/>
        </w:rPr>
        <w:t xml:space="preserve">these </w:t>
      </w:r>
      <w:r w:rsidR="35897695" w:rsidRPr="2CC68585">
        <w:rPr>
          <w:rFonts w:cs="Arial"/>
        </w:rPr>
        <w:t xml:space="preserve">new offences for assistance animal trainers and assessors is to </w:t>
      </w:r>
      <w:r w:rsidR="1F140CBE" w:rsidRPr="2CC68585">
        <w:rPr>
          <w:rFonts w:cs="Arial"/>
        </w:rPr>
        <w:t>protect individuals who have registered, or are seeking to register, assistance animals</w:t>
      </w:r>
      <w:r w:rsidR="001351E3">
        <w:rPr>
          <w:rFonts w:cs="Arial"/>
        </w:rPr>
        <w:t>, as well as ensuring animal welfare</w:t>
      </w:r>
      <w:r w:rsidR="5D52215B" w:rsidRPr="2CC68585">
        <w:rPr>
          <w:rFonts w:cs="Arial"/>
        </w:rPr>
        <w:t xml:space="preserve">. </w:t>
      </w:r>
      <w:r w:rsidR="001351E3">
        <w:rPr>
          <w:rFonts w:cs="Arial"/>
        </w:rPr>
        <w:t>I</w:t>
      </w:r>
      <w:r w:rsidR="5D52215B" w:rsidRPr="2CC68585">
        <w:rPr>
          <w:rFonts w:cs="Arial"/>
        </w:rPr>
        <w:t xml:space="preserve">ndividuals </w:t>
      </w:r>
      <w:r w:rsidR="001351E3">
        <w:rPr>
          <w:rFonts w:cs="Arial"/>
        </w:rPr>
        <w:t xml:space="preserve">using assistance animals </w:t>
      </w:r>
      <w:r w:rsidR="5D52215B" w:rsidRPr="2CC68585">
        <w:rPr>
          <w:rFonts w:cs="Arial"/>
        </w:rPr>
        <w:t xml:space="preserve">are often vulnerable and the offences are considered legitimate in order to </w:t>
      </w:r>
      <w:r w:rsidR="1F140CBE" w:rsidRPr="2CC68585">
        <w:rPr>
          <w:rFonts w:cs="Arial"/>
        </w:rPr>
        <w:t xml:space="preserve">ensure public safety, and promote animal welfare protection. These amendments also promote the rights of people with disabilities </w:t>
      </w:r>
      <w:r w:rsidR="3CB4982C" w:rsidRPr="2CC68585">
        <w:rPr>
          <w:rFonts w:cs="Arial"/>
        </w:rPr>
        <w:t xml:space="preserve">and other vulnerable persons who rely on assistance animals in their daily lives. </w:t>
      </w:r>
    </w:p>
    <w:p w14:paraId="57205E58" w14:textId="52A1E38C" w:rsidR="73A28A60" w:rsidRDefault="73A28A60" w:rsidP="2CC68585">
      <w:pPr>
        <w:pStyle w:val="ListParagraph"/>
        <w:spacing w:line="276" w:lineRule="auto"/>
        <w:ind w:left="0"/>
        <w:rPr>
          <w:rFonts w:cs="Arial"/>
        </w:rPr>
      </w:pPr>
    </w:p>
    <w:p w14:paraId="34C06F7A" w14:textId="77777777" w:rsidR="00664260" w:rsidRPr="00414921" w:rsidRDefault="00664260" w:rsidP="00664260">
      <w:pPr>
        <w:pStyle w:val="ListParagraph"/>
        <w:numPr>
          <w:ilvl w:val="0"/>
          <w:numId w:val="24"/>
        </w:numPr>
        <w:rPr>
          <w:rFonts w:cs="Arial"/>
          <w:b/>
          <w:bCs/>
          <w:i/>
          <w:szCs w:val="24"/>
        </w:rPr>
      </w:pPr>
      <w:r w:rsidRPr="00414921">
        <w:rPr>
          <w:rFonts w:cs="Arial"/>
          <w:b/>
          <w:bCs/>
          <w:i/>
          <w:szCs w:val="24"/>
        </w:rPr>
        <w:t>Rational connection between the limitation and the purpose (s28(d))</w:t>
      </w:r>
    </w:p>
    <w:p w14:paraId="54156C16" w14:textId="026D0E32" w:rsidR="73A28A60" w:rsidRDefault="73A28A60" w:rsidP="2CC68585">
      <w:pPr>
        <w:pStyle w:val="ListParagraph"/>
        <w:ind w:left="360"/>
        <w:rPr>
          <w:rFonts w:cs="Arial"/>
          <w:i/>
          <w:iCs/>
          <w:color w:val="FF0000"/>
        </w:rPr>
      </w:pPr>
    </w:p>
    <w:p w14:paraId="0A891FFE" w14:textId="1630A7C1" w:rsidR="7D811EB5" w:rsidRDefault="7D811EB5" w:rsidP="2CC68585">
      <w:pPr>
        <w:pStyle w:val="ListParagraph"/>
        <w:spacing w:line="276" w:lineRule="auto"/>
        <w:ind w:left="0"/>
        <w:rPr>
          <w:rFonts w:cs="Arial"/>
        </w:rPr>
      </w:pPr>
      <w:r w:rsidRPr="2CC68585">
        <w:rPr>
          <w:rFonts w:cs="Arial"/>
        </w:rPr>
        <w:t>The introduction of these strict liability offences places a responsibility on assistance animal trainers and assessors to provide the registrar with all necessary information regarding convictions and findings of guilt</w:t>
      </w:r>
      <w:r w:rsidR="3799EF43" w:rsidRPr="2CC68585">
        <w:rPr>
          <w:rFonts w:cs="Arial"/>
        </w:rPr>
        <w:t xml:space="preserve"> about animal welfare offences in any Australian jurisdiction.</w:t>
      </w:r>
      <w:r w:rsidR="005C4403" w:rsidRPr="2CC68585">
        <w:rPr>
          <w:rFonts w:cs="Arial"/>
        </w:rPr>
        <w:t xml:space="preserve"> This is particularly relevant for trainers and assessors that </w:t>
      </w:r>
      <w:r w:rsidR="2DA119F6" w:rsidRPr="2CC68585">
        <w:rPr>
          <w:rFonts w:cs="Arial"/>
        </w:rPr>
        <w:t>reside and work</w:t>
      </w:r>
      <w:r w:rsidR="005C4403" w:rsidRPr="2CC68585">
        <w:rPr>
          <w:rFonts w:cs="Arial"/>
        </w:rPr>
        <w:t xml:space="preserve"> in other jurisdictions where the registrar may not be made aware of any convictions or findings of guilt.</w:t>
      </w:r>
      <w:r w:rsidR="3799EF43" w:rsidRPr="2CC68585">
        <w:rPr>
          <w:rFonts w:cs="Arial"/>
        </w:rPr>
        <w:t xml:space="preserve"> Th</w:t>
      </w:r>
      <w:r w:rsidR="71EFA470" w:rsidRPr="2CC68585">
        <w:rPr>
          <w:rFonts w:cs="Arial"/>
        </w:rPr>
        <w:t>ese offences</w:t>
      </w:r>
      <w:r w:rsidR="3799EF43" w:rsidRPr="2CC68585">
        <w:rPr>
          <w:rFonts w:cs="Arial"/>
        </w:rPr>
        <w:t xml:space="preserve"> will achieve the objective as it will ensure the registrar has all necessary information to consider an assistance animal </w:t>
      </w:r>
      <w:r w:rsidR="3799EF43" w:rsidRPr="2CC68585">
        <w:rPr>
          <w:rFonts w:cs="Arial"/>
        </w:rPr>
        <w:lastRenderedPageBreak/>
        <w:t xml:space="preserve">trainer or assessor’s </w:t>
      </w:r>
      <w:r w:rsidR="1484CEEE" w:rsidRPr="2CC68585">
        <w:rPr>
          <w:rFonts w:cs="Arial"/>
        </w:rPr>
        <w:t xml:space="preserve">ongoing </w:t>
      </w:r>
      <w:r w:rsidR="3799EF43" w:rsidRPr="2CC68585">
        <w:rPr>
          <w:rFonts w:cs="Arial"/>
        </w:rPr>
        <w:t>registration under the ACT framework</w:t>
      </w:r>
      <w:r w:rsidR="00681434" w:rsidRPr="2CC68585">
        <w:rPr>
          <w:rFonts w:cs="Arial"/>
        </w:rPr>
        <w:t xml:space="preserve"> and whether they remain fit to be registered</w:t>
      </w:r>
      <w:r w:rsidR="33BE240E" w:rsidRPr="2CC68585">
        <w:rPr>
          <w:rFonts w:cs="Arial"/>
        </w:rPr>
        <w:t xml:space="preserve"> and work as trainers or assessors</w:t>
      </w:r>
      <w:r w:rsidR="3799EF43" w:rsidRPr="2CC68585">
        <w:rPr>
          <w:rFonts w:cs="Arial"/>
        </w:rPr>
        <w:t xml:space="preserve">. </w:t>
      </w:r>
    </w:p>
    <w:p w14:paraId="3421F9C3" w14:textId="0EE2121F" w:rsidR="7D811EB5" w:rsidRDefault="7D811EB5" w:rsidP="2CC68585">
      <w:pPr>
        <w:pStyle w:val="ListParagraph"/>
        <w:spacing w:line="276" w:lineRule="auto"/>
        <w:ind w:left="0"/>
        <w:rPr>
          <w:rFonts w:cs="Arial"/>
        </w:rPr>
      </w:pPr>
    </w:p>
    <w:p w14:paraId="25B634F5" w14:textId="0740E72C" w:rsidR="7D811EB5" w:rsidRDefault="5450ECDA" w:rsidP="2CC68585">
      <w:pPr>
        <w:pStyle w:val="ListParagraph"/>
        <w:spacing w:line="276" w:lineRule="auto"/>
        <w:ind w:left="0"/>
        <w:rPr>
          <w:rFonts w:cs="Arial"/>
        </w:rPr>
      </w:pPr>
      <w:r w:rsidRPr="35DA2B2B">
        <w:rPr>
          <w:rFonts w:cs="Arial"/>
        </w:rPr>
        <w:t xml:space="preserve">Applicants seeking to be registered as an assistance animal trainer or assessor are required to disclose </w:t>
      </w:r>
      <w:r w:rsidR="25FD8A35" w:rsidRPr="35DA2B2B">
        <w:rPr>
          <w:rFonts w:cs="Arial"/>
        </w:rPr>
        <w:t xml:space="preserve">if </w:t>
      </w:r>
      <w:r w:rsidRPr="35DA2B2B">
        <w:rPr>
          <w:rFonts w:cs="Arial"/>
        </w:rPr>
        <w:t>they have been convicted or found guilty of animal welfare offences in the previous two years</w:t>
      </w:r>
      <w:r w:rsidR="7DDC0B53" w:rsidRPr="35DA2B2B">
        <w:rPr>
          <w:rFonts w:cs="Arial"/>
        </w:rPr>
        <w:t xml:space="preserve"> at the time of application (see sections 100 and 104 of the Domestic Animals Act). Additionally, c</w:t>
      </w:r>
      <w:r w:rsidR="4ED70BF2" w:rsidRPr="35DA2B2B">
        <w:rPr>
          <w:rFonts w:cs="Arial"/>
        </w:rPr>
        <w:t>onvictions or findings of guilt for an offence under the Domestic Animals Act or animal welfare legislation can result in the suspension or cancellation of a</w:t>
      </w:r>
      <w:r w:rsidR="5029264A" w:rsidRPr="35DA2B2B">
        <w:rPr>
          <w:rFonts w:cs="Arial"/>
        </w:rPr>
        <w:t>n assistance animal</w:t>
      </w:r>
      <w:r w:rsidR="4ED70BF2" w:rsidRPr="35DA2B2B">
        <w:rPr>
          <w:rFonts w:cs="Arial"/>
        </w:rPr>
        <w:t xml:space="preserve"> trainer or assessor’s registration under the Act</w:t>
      </w:r>
      <w:r w:rsidR="2A0F7551" w:rsidRPr="35DA2B2B">
        <w:rPr>
          <w:rFonts w:cs="Arial"/>
        </w:rPr>
        <w:t xml:space="preserve"> (see sections 101-102 and 105-106)</w:t>
      </w:r>
      <w:r w:rsidR="4ED70BF2" w:rsidRPr="35DA2B2B">
        <w:rPr>
          <w:rFonts w:cs="Arial"/>
        </w:rPr>
        <w:t xml:space="preserve">. </w:t>
      </w:r>
    </w:p>
    <w:p w14:paraId="7A844C36" w14:textId="1DD1341C" w:rsidR="1F1DE6E6" w:rsidRDefault="1F1DE6E6" w:rsidP="2CC68585">
      <w:pPr>
        <w:pStyle w:val="ListParagraph"/>
        <w:spacing w:line="276" w:lineRule="auto"/>
        <w:ind w:left="0"/>
        <w:rPr>
          <w:rFonts w:cs="Arial"/>
        </w:rPr>
      </w:pPr>
    </w:p>
    <w:p w14:paraId="28C5D3E1" w14:textId="16EB6277" w:rsidR="00664260" w:rsidRDefault="00664260" w:rsidP="35DA2B2B">
      <w:pPr>
        <w:pStyle w:val="ListParagraph"/>
        <w:numPr>
          <w:ilvl w:val="0"/>
          <w:numId w:val="24"/>
        </w:numPr>
        <w:rPr>
          <w:rFonts w:cs="Arial"/>
          <w:b/>
          <w:bCs/>
          <w:i/>
          <w:iCs/>
        </w:rPr>
      </w:pPr>
      <w:r w:rsidRPr="35DA2B2B">
        <w:rPr>
          <w:rFonts w:cs="Arial"/>
          <w:b/>
          <w:bCs/>
          <w:i/>
          <w:iCs/>
        </w:rPr>
        <w:t>Proportionality (s28 (e))</w:t>
      </w:r>
    </w:p>
    <w:p w14:paraId="485E38E0" w14:textId="77777777" w:rsidR="00664260" w:rsidRPr="00414921" w:rsidRDefault="00664260" w:rsidP="00664260">
      <w:pPr>
        <w:pStyle w:val="ListParagraph"/>
        <w:ind w:left="360"/>
        <w:rPr>
          <w:rFonts w:cs="Arial"/>
          <w:b/>
          <w:bCs/>
          <w:i/>
          <w:szCs w:val="24"/>
        </w:rPr>
      </w:pPr>
    </w:p>
    <w:p w14:paraId="7A2AA229" w14:textId="242C33E7" w:rsidR="73A28A60" w:rsidRDefault="307889DB" w:rsidP="2CC68585">
      <w:pPr>
        <w:pStyle w:val="ListParagraph"/>
        <w:spacing w:line="276" w:lineRule="auto"/>
        <w:ind w:left="0"/>
        <w:rPr>
          <w:rFonts w:cs="Arial"/>
        </w:rPr>
      </w:pPr>
      <w:r w:rsidRPr="2CC68585">
        <w:rPr>
          <w:rFonts w:cs="Arial"/>
        </w:rPr>
        <w:t xml:space="preserve">Strict liability offences typically arise in a regulatory context where, for reasons such as public safety and ensuring that regulatory schemes are complied with, criminal penalties are required. A defendant can reasonably be expected, because of their involvement </w:t>
      </w:r>
      <w:r w:rsidR="4E92AA06" w:rsidRPr="2CC68585">
        <w:rPr>
          <w:rFonts w:cs="Arial"/>
        </w:rPr>
        <w:t>and continuing obligations with adhering to the regulatory framework,</w:t>
      </w:r>
      <w:r w:rsidR="15615B33" w:rsidRPr="2CC68585">
        <w:rPr>
          <w:rFonts w:cs="Arial"/>
        </w:rPr>
        <w:t xml:space="preserve"> </w:t>
      </w:r>
      <w:r w:rsidRPr="2CC68585">
        <w:rPr>
          <w:rFonts w:cs="Arial"/>
        </w:rPr>
        <w:t>what the requirements of the law are, and as such the mental, or fault, element can justifiably be excluded.</w:t>
      </w:r>
    </w:p>
    <w:p w14:paraId="1B0E0BF4" w14:textId="1D6B2522" w:rsidR="2CC68585" w:rsidRDefault="2CC68585" w:rsidP="2CC68585">
      <w:pPr>
        <w:pStyle w:val="ListParagraph"/>
        <w:spacing w:line="276" w:lineRule="auto"/>
        <w:ind w:left="0"/>
        <w:rPr>
          <w:rFonts w:cs="Arial"/>
        </w:rPr>
      </w:pPr>
    </w:p>
    <w:p w14:paraId="2639B128" w14:textId="4984DE54" w:rsidR="2408277C" w:rsidRDefault="2408277C" w:rsidP="35DA2B2B">
      <w:pPr>
        <w:pStyle w:val="ListParagraph"/>
        <w:spacing w:line="276" w:lineRule="auto"/>
        <w:ind w:left="0"/>
        <w:rPr>
          <w:rFonts w:cs="Arial"/>
        </w:rPr>
      </w:pPr>
      <w:r w:rsidRPr="6F1EE047">
        <w:rPr>
          <w:rFonts w:cs="Arial"/>
        </w:rPr>
        <w:t xml:space="preserve">The strict liability offences affect assistance animal trainers and assessors which are regulated occupations under the Domestic Animals Act. Trainers and assessors can be expected to have a high degree of awareness and understanding of their </w:t>
      </w:r>
      <w:r w:rsidR="2AA861D9" w:rsidRPr="6F1EE047">
        <w:rPr>
          <w:rFonts w:cs="Arial"/>
        </w:rPr>
        <w:t>obligations</w:t>
      </w:r>
      <w:r w:rsidRPr="6F1EE047">
        <w:rPr>
          <w:rFonts w:cs="Arial"/>
        </w:rPr>
        <w:t xml:space="preserve"> under the regulatory framework. At the time of application, they are required to</w:t>
      </w:r>
      <w:r w:rsidR="44AA96A4" w:rsidRPr="6F1EE047">
        <w:rPr>
          <w:rFonts w:cs="Arial"/>
        </w:rPr>
        <w:t xml:space="preserve"> disclose criminal convictions or findings of guilt </w:t>
      </w:r>
      <w:r w:rsidR="4769CB57" w:rsidRPr="6F1EE047">
        <w:rPr>
          <w:rFonts w:cs="Arial"/>
        </w:rPr>
        <w:t>for animal welfare offences</w:t>
      </w:r>
      <w:r w:rsidR="4923AC17" w:rsidRPr="6F1EE047">
        <w:rPr>
          <w:rFonts w:cs="Arial"/>
        </w:rPr>
        <w:t xml:space="preserve"> and can be expected to be aware that any convictions or findings of guilt for animal welfare offences could result in the suspension or cancellation of their registration. </w:t>
      </w:r>
      <w:r w:rsidR="00BF7026">
        <w:rPr>
          <w:rFonts w:cs="Arial"/>
        </w:rPr>
        <w:t>T</w:t>
      </w:r>
      <w:r w:rsidR="4923AC17" w:rsidRPr="6F1EE047">
        <w:rPr>
          <w:rFonts w:cs="Arial"/>
        </w:rPr>
        <w:t xml:space="preserve">rainers and assessors can be reasonably expected </w:t>
      </w:r>
      <w:r w:rsidR="04CE5F94" w:rsidRPr="6F1EE047">
        <w:rPr>
          <w:rFonts w:cs="Arial"/>
        </w:rPr>
        <w:t>to know the requirements of the law, and</w:t>
      </w:r>
      <w:r w:rsidR="00BF7026">
        <w:rPr>
          <w:rFonts w:cs="Arial"/>
        </w:rPr>
        <w:t>,</w:t>
      </w:r>
      <w:r w:rsidR="04CE5F94" w:rsidRPr="6F1EE047">
        <w:rPr>
          <w:rFonts w:cs="Arial"/>
        </w:rPr>
        <w:t xml:space="preserve"> therefore</w:t>
      </w:r>
      <w:r w:rsidR="00BF7026">
        <w:rPr>
          <w:rFonts w:cs="Arial"/>
        </w:rPr>
        <w:t>,</w:t>
      </w:r>
      <w:r w:rsidR="04CE5F94" w:rsidRPr="6F1EE047">
        <w:rPr>
          <w:rFonts w:cs="Arial"/>
        </w:rPr>
        <w:t xml:space="preserve"> the fault element can </w:t>
      </w:r>
      <w:r w:rsidR="00BF7026">
        <w:rPr>
          <w:rFonts w:cs="Arial"/>
        </w:rPr>
        <w:t xml:space="preserve">be </w:t>
      </w:r>
      <w:r w:rsidR="04CE5F94" w:rsidRPr="6F1EE047">
        <w:rPr>
          <w:rFonts w:cs="Arial"/>
        </w:rPr>
        <w:t>justifiabl</w:t>
      </w:r>
      <w:r w:rsidR="00BF7026">
        <w:rPr>
          <w:rFonts w:cs="Arial"/>
        </w:rPr>
        <w:t xml:space="preserve">y </w:t>
      </w:r>
      <w:r w:rsidR="04CE5F94" w:rsidRPr="6F1EE047">
        <w:rPr>
          <w:rFonts w:cs="Arial"/>
        </w:rPr>
        <w:t xml:space="preserve">excluded. </w:t>
      </w:r>
      <w:r w:rsidR="6560705E" w:rsidRPr="6F1EE047">
        <w:rPr>
          <w:rFonts w:cs="Arial"/>
        </w:rPr>
        <w:t xml:space="preserve">Trainers and assessors can reasonably </w:t>
      </w:r>
      <w:r w:rsidR="7874FD1F" w:rsidRPr="6F1EE047">
        <w:rPr>
          <w:rFonts w:cs="Arial"/>
        </w:rPr>
        <w:t xml:space="preserve">be </w:t>
      </w:r>
      <w:r w:rsidR="6560705E" w:rsidRPr="6F1EE047">
        <w:rPr>
          <w:rFonts w:cs="Arial"/>
        </w:rPr>
        <w:t>expected to be aware of what equivalent legislation is across other jurisdictions</w:t>
      </w:r>
      <w:r w:rsidR="3DB25BC5" w:rsidRPr="6F1EE047">
        <w:rPr>
          <w:rFonts w:cs="Arial"/>
        </w:rPr>
        <w:t>, particularly for those trainers and assessors</w:t>
      </w:r>
      <w:r w:rsidR="6560705E" w:rsidRPr="6F1EE047">
        <w:rPr>
          <w:rFonts w:cs="Arial"/>
        </w:rPr>
        <w:t xml:space="preserve"> th</w:t>
      </w:r>
      <w:r w:rsidR="5FEBE2DA" w:rsidRPr="6F1EE047">
        <w:rPr>
          <w:rFonts w:cs="Arial"/>
        </w:rPr>
        <w:t>at</w:t>
      </w:r>
      <w:r w:rsidR="6560705E" w:rsidRPr="6F1EE047">
        <w:rPr>
          <w:rFonts w:cs="Arial"/>
        </w:rPr>
        <w:t xml:space="preserve"> may operate in</w:t>
      </w:r>
      <w:r w:rsidR="4EF07CA5" w:rsidRPr="6F1EE047">
        <w:rPr>
          <w:rFonts w:cs="Arial"/>
        </w:rPr>
        <w:t xml:space="preserve"> other jurisdictions as well as</w:t>
      </w:r>
      <w:r w:rsidR="0410CEEC" w:rsidRPr="6F1EE047">
        <w:rPr>
          <w:rFonts w:cs="Arial"/>
        </w:rPr>
        <w:t xml:space="preserve"> in</w:t>
      </w:r>
      <w:r w:rsidR="4EF07CA5" w:rsidRPr="6F1EE047">
        <w:rPr>
          <w:rFonts w:cs="Arial"/>
        </w:rPr>
        <w:t xml:space="preserve"> the ACT</w:t>
      </w:r>
      <w:r w:rsidR="6560705E" w:rsidRPr="6F1EE047">
        <w:rPr>
          <w:rFonts w:cs="Arial"/>
        </w:rPr>
        <w:t xml:space="preserve">. </w:t>
      </w:r>
      <w:r w:rsidR="686317C4" w:rsidRPr="6F1EE047">
        <w:rPr>
          <w:rFonts w:cs="Arial"/>
        </w:rPr>
        <w:t>E</w:t>
      </w:r>
      <w:r w:rsidR="5E3D53DD" w:rsidRPr="6F1EE047">
        <w:rPr>
          <w:rFonts w:cs="Arial"/>
        </w:rPr>
        <w:t xml:space="preserve">very </w:t>
      </w:r>
      <w:r w:rsidR="686317C4" w:rsidRPr="6F1EE047">
        <w:rPr>
          <w:rFonts w:cs="Arial"/>
        </w:rPr>
        <w:t xml:space="preserve">jurisdiction has legislation for the regulation of </w:t>
      </w:r>
      <w:r w:rsidR="67287F16" w:rsidRPr="6F1EE047">
        <w:rPr>
          <w:rFonts w:cs="Arial"/>
        </w:rPr>
        <w:t xml:space="preserve">animal management and </w:t>
      </w:r>
      <w:r w:rsidR="0FFA65D3" w:rsidRPr="6F1EE047">
        <w:rPr>
          <w:rFonts w:cs="Arial"/>
        </w:rPr>
        <w:t xml:space="preserve">animal </w:t>
      </w:r>
      <w:r w:rsidR="67287F16" w:rsidRPr="6F1EE047">
        <w:rPr>
          <w:rFonts w:cs="Arial"/>
        </w:rPr>
        <w:t>protection</w:t>
      </w:r>
      <w:r w:rsidR="0C32A604" w:rsidRPr="6F1EE047">
        <w:rPr>
          <w:rFonts w:cs="Arial"/>
        </w:rPr>
        <w:t xml:space="preserve">, </w:t>
      </w:r>
      <w:r w:rsidR="6A9AF759" w:rsidRPr="6F1EE047">
        <w:rPr>
          <w:rFonts w:cs="Arial"/>
        </w:rPr>
        <w:t>similar to the Domestic Animals Act. The</w:t>
      </w:r>
      <w:r w:rsidR="0C32A604" w:rsidRPr="6F1EE047">
        <w:rPr>
          <w:rFonts w:cs="Arial"/>
        </w:rPr>
        <w:t xml:space="preserve"> </w:t>
      </w:r>
      <w:r w:rsidR="58E93B11" w:rsidRPr="6F1EE047">
        <w:rPr>
          <w:rFonts w:cs="Arial"/>
        </w:rPr>
        <w:t>offences are clear that convictions of offences under any of this legislation is required to be disclosed.</w:t>
      </w:r>
    </w:p>
    <w:p w14:paraId="75C0F2C8" w14:textId="09641A02" w:rsidR="2408277C" w:rsidRDefault="2408277C" w:rsidP="35DA2B2B">
      <w:pPr>
        <w:pStyle w:val="ListParagraph"/>
        <w:spacing w:line="276" w:lineRule="auto"/>
        <w:ind w:left="0"/>
        <w:rPr>
          <w:rFonts w:cs="Arial"/>
        </w:rPr>
      </w:pPr>
    </w:p>
    <w:p w14:paraId="7AECC464" w14:textId="71A910C6" w:rsidR="2408277C" w:rsidRDefault="77069F49" w:rsidP="2CC68585">
      <w:pPr>
        <w:pStyle w:val="ListParagraph"/>
        <w:spacing w:line="276" w:lineRule="auto"/>
        <w:ind w:left="0"/>
        <w:rPr>
          <w:rFonts w:cs="Arial"/>
        </w:rPr>
      </w:pPr>
      <w:r w:rsidRPr="6831A6AD">
        <w:rPr>
          <w:rFonts w:cs="Arial"/>
        </w:rPr>
        <w:t>C</w:t>
      </w:r>
      <w:r w:rsidR="04CE5F94" w:rsidRPr="6831A6AD">
        <w:rPr>
          <w:rFonts w:cs="Arial"/>
        </w:rPr>
        <w:t>ommunications will be undertaken following the passage of the Bill, prior to commencement of these p</w:t>
      </w:r>
      <w:r w:rsidR="09B38A49" w:rsidRPr="6831A6AD">
        <w:rPr>
          <w:rFonts w:cs="Arial"/>
        </w:rPr>
        <w:t xml:space="preserve">rovisions, to ensure assistance animal trainers and assessors are </w:t>
      </w:r>
      <w:r w:rsidR="3E07AC24" w:rsidRPr="6831A6AD">
        <w:rPr>
          <w:rFonts w:cs="Arial"/>
        </w:rPr>
        <w:t>informed of the introduction of these offences and their positive obligations for proactive disclosure of any convictions or findings of guilt once they are registered.</w:t>
      </w:r>
    </w:p>
    <w:p w14:paraId="3BAA1A6B" w14:textId="6A83FF5F" w:rsidR="73A28A60" w:rsidRDefault="73A28A60" w:rsidP="2CC68585">
      <w:pPr>
        <w:pStyle w:val="ListParagraph"/>
        <w:spacing w:line="276" w:lineRule="auto"/>
        <w:ind w:left="0"/>
        <w:rPr>
          <w:rFonts w:cs="Arial"/>
        </w:rPr>
      </w:pPr>
    </w:p>
    <w:p w14:paraId="4509A48C" w14:textId="198ACC15" w:rsidR="73A28A60" w:rsidRDefault="18894781" w:rsidP="2CC68585">
      <w:pPr>
        <w:pStyle w:val="ListParagraph"/>
        <w:spacing w:line="276" w:lineRule="auto"/>
        <w:ind w:left="0"/>
        <w:rPr>
          <w:rFonts w:cs="Arial"/>
        </w:rPr>
      </w:pPr>
      <w:r w:rsidRPr="2CC68585">
        <w:rPr>
          <w:rFonts w:cs="Arial"/>
        </w:rPr>
        <w:t xml:space="preserve">For the strict liability offences in relation to convictions or findings of guilt for assistance animal trainers and assessors, taking a less restrictive approach such as </w:t>
      </w:r>
      <w:r w:rsidRPr="2CC68585">
        <w:rPr>
          <w:rFonts w:cs="Arial"/>
        </w:rPr>
        <w:lastRenderedPageBreak/>
        <w:t>fewer penalty units does not acknowledge the seriousness of the offence.</w:t>
      </w:r>
      <w:r w:rsidR="4D585642" w:rsidRPr="2CC68585">
        <w:rPr>
          <w:rFonts w:cs="Arial"/>
        </w:rPr>
        <w:t xml:space="preserve"> </w:t>
      </w:r>
      <w:r w:rsidRPr="2CC68585">
        <w:rPr>
          <w:rFonts w:cs="Arial"/>
        </w:rPr>
        <w:t>Convictions and findings of guilt for animal welfare assistance poses serious risks for the animal welfare framework that assistance animal regi</w:t>
      </w:r>
      <w:r w:rsidR="381C8B68" w:rsidRPr="2CC68585">
        <w:rPr>
          <w:rFonts w:cs="Arial"/>
        </w:rPr>
        <w:t xml:space="preserve">stration operates in and could pose risks for individuals with disabilities who rely on assistance animals. </w:t>
      </w:r>
      <w:r w:rsidR="2E19CB2B" w:rsidRPr="2CC68585">
        <w:rPr>
          <w:rFonts w:cs="Arial"/>
        </w:rPr>
        <w:t xml:space="preserve">Not making the offences strict liability would still enable </w:t>
      </w:r>
      <w:r w:rsidR="4E1B2EE7" w:rsidRPr="2CC68585">
        <w:rPr>
          <w:rFonts w:cs="Arial"/>
        </w:rPr>
        <w:t>enforcement but</w:t>
      </w:r>
      <w:r w:rsidR="2E19CB2B" w:rsidRPr="2CC68585">
        <w:rPr>
          <w:rFonts w:cs="Arial"/>
        </w:rPr>
        <w:t xml:space="preserve"> would not be as effective a deterrent</w:t>
      </w:r>
      <w:r w:rsidR="7F937ABF" w:rsidRPr="2CC68585">
        <w:rPr>
          <w:rFonts w:cs="Arial"/>
        </w:rPr>
        <w:t xml:space="preserve"> given the nature of strict liability offences and the effect the prohibited conduct would have on the enforceability of the regulatory regime. A less restrictive approach would compromise public safety, the safety on </w:t>
      </w:r>
      <w:r w:rsidR="67533AD3" w:rsidRPr="2CC68585">
        <w:rPr>
          <w:rFonts w:cs="Arial"/>
        </w:rPr>
        <w:t xml:space="preserve">vulnerable </w:t>
      </w:r>
      <w:r w:rsidR="7F937ABF" w:rsidRPr="2CC68585">
        <w:rPr>
          <w:rFonts w:cs="Arial"/>
        </w:rPr>
        <w:t xml:space="preserve">individuals with assistance animals and animal welfare. </w:t>
      </w:r>
    </w:p>
    <w:p w14:paraId="1207A005" w14:textId="77777777" w:rsidR="001351E3" w:rsidRDefault="001351E3" w:rsidP="2CC68585">
      <w:pPr>
        <w:pStyle w:val="ListParagraph"/>
        <w:spacing w:line="276" w:lineRule="auto"/>
        <w:ind w:left="0"/>
        <w:rPr>
          <w:rFonts w:cs="Arial"/>
        </w:rPr>
      </w:pPr>
    </w:p>
    <w:p w14:paraId="0096B251" w14:textId="0AF38ACC" w:rsidR="001351E3" w:rsidRPr="001351E3" w:rsidRDefault="001351E3" w:rsidP="001351E3">
      <w:pPr>
        <w:pStyle w:val="ListParagraph"/>
        <w:spacing w:line="276" w:lineRule="auto"/>
        <w:ind w:left="0"/>
        <w:rPr>
          <w:rFonts w:cs="Arial"/>
        </w:rPr>
      </w:pPr>
      <w:r w:rsidRPr="001351E3">
        <w:rPr>
          <w:rFonts w:cs="Arial"/>
        </w:rPr>
        <w:t>The maximum penalty of 50 penalty units aligns with the maximum penalties for other strict liability offences under the Act, including carrying on a business as an unregistered assistance animal trainer (s</w:t>
      </w:r>
      <w:r>
        <w:rPr>
          <w:rFonts w:cs="Arial"/>
        </w:rPr>
        <w:t xml:space="preserve"> </w:t>
      </w:r>
      <w:r w:rsidRPr="001351E3">
        <w:rPr>
          <w:rFonts w:cs="Arial"/>
        </w:rPr>
        <w:t>103) and carrying on a business as an unregistered animal assessor (s</w:t>
      </w:r>
      <w:r>
        <w:rPr>
          <w:rFonts w:cs="Arial"/>
        </w:rPr>
        <w:t xml:space="preserve"> </w:t>
      </w:r>
      <w:r w:rsidRPr="001351E3">
        <w:rPr>
          <w:rFonts w:cs="Arial"/>
        </w:rPr>
        <w:t xml:space="preserve">106A). The proposed offences are similar to section 21 of the </w:t>
      </w:r>
      <w:r w:rsidRPr="001351E3">
        <w:rPr>
          <w:rFonts w:cs="Arial"/>
          <w:i/>
          <w:iCs/>
        </w:rPr>
        <w:t>Working With Vulnerable People (Background checking) Act 2011</w:t>
      </w:r>
      <w:r w:rsidRPr="001351E3">
        <w:rPr>
          <w:rFonts w:cs="Arial"/>
        </w:rPr>
        <w:t xml:space="preserve">, which provides that it is an offence for an applicant to fail to disclose a charge, conviction or finding of guilt for a relevant offence. This offence under the Working with Vulnerable People (Background checking) Act also carries a maximum penalty of 50 penalty units and is a strict liability offence. The Guide for Framing Offences provides that as strict liability offences are primarily aimed at conduct on the less serious side of the criminal spectrum, the maximum penalty is usually limited to a monetary penalty, with a maximum of 50 penalty units. The proposed maximum penalty </w:t>
      </w:r>
      <w:r>
        <w:rPr>
          <w:rFonts w:cs="Arial"/>
        </w:rPr>
        <w:t>should be considered</w:t>
      </w:r>
      <w:r w:rsidRPr="001351E3">
        <w:rPr>
          <w:rFonts w:cs="Arial"/>
        </w:rPr>
        <w:t xml:space="preserve"> appropriate for a strict liability offence, and aligns with other strict liability offences on the ACT statute book. </w:t>
      </w:r>
    </w:p>
    <w:p w14:paraId="19C1780C" w14:textId="77777777" w:rsidR="001351E3" w:rsidRDefault="001351E3" w:rsidP="2CC68585">
      <w:pPr>
        <w:pStyle w:val="ListParagraph"/>
        <w:spacing w:line="276" w:lineRule="auto"/>
        <w:ind w:left="0"/>
        <w:rPr>
          <w:rFonts w:cs="Arial"/>
        </w:rPr>
      </w:pPr>
    </w:p>
    <w:p w14:paraId="3A624D3D" w14:textId="3F818350" w:rsidR="00E90DF9" w:rsidRPr="00414921" w:rsidRDefault="006363E3" w:rsidP="006B0247">
      <w:pPr>
        <w:pStyle w:val="ListParagraph"/>
        <w:spacing w:line="276" w:lineRule="auto"/>
        <w:ind w:left="0"/>
        <w:rPr>
          <w:rFonts w:cs="Arial"/>
          <w:b/>
          <w:bCs/>
          <w:i/>
          <w:szCs w:val="24"/>
        </w:rPr>
      </w:pPr>
      <w:r>
        <w:rPr>
          <w:rFonts w:cs="Arial"/>
        </w:rPr>
        <w:t>T</w:t>
      </w:r>
      <w:r w:rsidRPr="006363E3">
        <w:rPr>
          <w:rFonts w:cs="Arial"/>
        </w:rPr>
        <w:t>here are no fault elements for all of the physical elements of the offences, which is appropriate for strict liability. The Guide for Framing Offences provides that a strict liability offence should be used only for ‘regulatory’ offences and should not be framed to catch the general public for inadvertent breaches of the law. The proposed offences are in a licensing/registration context, which is appropriate for strict liability offences.</w:t>
      </w:r>
      <w:r>
        <w:rPr>
          <w:rFonts w:cs="Arial"/>
        </w:rPr>
        <w:t xml:space="preserve"> As outlined, the new offence provisions </w:t>
      </w:r>
      <w:r w:rsidRPr="2CC68585">
        <w:rPr>
          <w:rFonts w:cs="Arial"/>
        </w:rPr>
        <w:t>will communicated during the application process for professionals requesting new registrations, and by communications following the successful passage of the Bill for those professionals already registered.</w:t>
      </w:r>
    </w:p>
    <w:p w14:paraId="58F3155D" w14:textId="77777777" w:rsidR="00E90DF9" w:rsidRDefault="00E90DF9" w:rsidP="00E90DF9">
      <w:pPr>
        <w:spacing w:after="0" w:line="240" w:lineRule="auto"/>
        <w:rPr>
          <w:rFonts w:asciiTheme="minorHAnsi" w:eastAsiaTheme="majorEastAsia" w:hAnsiTheme="minorHAnsi" w:cs="Arial"/>
          <w:sz w:val="28"/>
          <w:szCs w:val="28"/>
          <w:lang w:eastAsia="en-AU"/>
        </w:rPr>
      </w:pPr>
      <w:bookmarkStart w:id="1" w:name="OLE_LINK1"/>
      <w:r>
        <w:rPr>
          <w:rFonts w:asciiTheme="minorHAnsi" w:hAnsiTheme="minorHAnsi" w:cs="Arial"/>
          <w:b/>
          <w:sz w:val="28"/>
          <w:szCs w:val="28"/>
          <w:lang w:eastAsia="en-AU"/>
        </w:rPr>
        <w:br w:type="page"/>
      </w:r>
    </w:p>
    <w:bookmarkEnd w:id="1"/>
    <w:p w14:paraId="34CFCD93" w14:textId="4E938365" w:rsidR="00FE1AD1" w:rsidRPr="00FE1AD1" w:rsidRDefault="00FE1AD1" w:rsidP="00FE1AD1">
      <w:pPr>
        <w:jc w:val="center"/>
        <w:rPr>
          <w:szCs w:val="24"/>
        </w:rPr>
      </w:pPr>
      <w:r w:rsidRPr="00FE1AD1">
        <w:rPr>
          <w:szCs w:val="24"/>
        </w:rPr>
        <w:lastRenderedPageBreak/>
        <w:t>BETTER REGULATION LEGISLATION AMENDMENT BILL 202</w:t>
      </w:r>
      <w:r w:rsidR="009E4D50">
        <w:rPr>
          <w:szCs w:val="24"/>
        </w:rPr>
        <w:t>6</w:t>
      </w:r>
      <w:r w:rsidRPr="00FE1AD1">
        <w:rPr>
          <w:szCs w:val="24"/>
        </w:rPr>
        <w:t xml:space="preserve"> </w:t>
      </w:r>
    </w:p>
    <w:p w14:paraId="3FC035F1" w14:textId="77777777" w:rsidR="00E90DF9" w:rsidRPr="003E5EE6" w:rsidRDefault="00E90DF9" w:rsidP="00E90DF9">
      <w:pPr>
        <w:pStyle w:val="Heading4"/>
        <w:ind w:left="-108"/>
        <w:jc w:val="center"/>
        <w:rPr>
          <w:rFonts w:asciiTheme="minorHAnsi" w:hAnsiTheme="minorHAnsi"/>
          <w:szCs w:val="24"/>
        </w:rPr>
      </w:pPr>
      <w:r w:rsidRPr="003E5EE6">
        <w:rPr>
          <w:rFonts w:asciiTheme="minorHAnsi" w:hAnsiTheme="minorHAnsi"/>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7E3FC9E4"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sidR="00FE1AD1">
        <w:rPr>
          <w:rFonts w:asciiTheme="minorHAnsi" w:hAnsiTheme="minorHAnsi"/>
        </w:rPr>
        <w:t xml:space="preserve"> BETTER REGULATION LEGISLATION AMENDMENT BILL 202</w:t>
      </w:r>
      <w:r w:rsidR="009E4D50">
        <w:rPr>
          <w:rFonts w:asciiTheme="minorHAnsi" w:hAnsiTheme="minorHAnsi"/>
        </w:rPr>
        <w:t>6</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CD21EE">
        <w:rPr>
          <w:rFonts w:asciiTheme="minorHAnsi" w:hAnsiTheme="minorHAnsi"/>
        </w:rPr>
        <w:t>Assembly</w:t>
      </w:r>
      <w:r w:rsidRPr="00CD21EE">
        <w:rPr>
          <w:rFonts w:asciiTheme="minorHAnsi" w:hAnsiTheme="minorHAnsi"/>
          <w:b/>
        </w:rPr>
        <w:t xml:space="preserve"> </w:t>
      </w:r>
      <w:r w:rsidRPr="00A95D9B">
        <w:rPr>
          <w:rFonts w:asciiTheme="minorHAnsi" w:hAnsiTheme="minorHAnsi"/>
          <w:b/>
        </w:rPr>
        <w:t>is</w:t>
      </w:r>
      <w:r w:rsidRPr="00CD21EE">
        <w:rPr>
          <w:rFonts w:asciiTheme="minorHAnsi" w:hAnsiTheme="minorHAnsi"/>
          <w:b/>
        </w:rPr>
        <w:t xml:space="preserve"> </w:t>
      </w:r>
      <w:r w:rsidRPr="00CD21EE">
        <w:rPr>
          <w:rFonts w:asciiTheme="minorHAnsi" w:hAnsiTheme="minorHAnsi"/>
        </w:rPr>
        <w:t xml:space="preserve">consistent with the </w:t>
      </w:r>
      <w:r w:rsidRPr="00CD21EE">
        <w:rPr>
          <w:rFonts w:asciiTheme="minorHAnsi" w:hAnsiTheme="minorHAnsi"/>
          <w:i/>
          <w:iCs/>
        </w:rPr>
        <w:t>Human Rights Act 2004.</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cs="Arial"/>
          <w:szCs w:val="24"/>
        </w:rPr>
      </w:pPr>
    </w:p>
    <w:p w14:paraId="634CD2DB" w14:textId="77777777" w:rsidR="00E90DF9" w:rsidRDefault="00E90DF9" w:rsidP="00E90DF9">
      <w:pPr>
        <w:pStyle w:val="Heading2"/>
        <w:pageBreakBefore/>
        <w:spacing w:before="240" w:after="240"/>
      </w:pPr>
      <w:r w:rsidRPr="008C225D">
        <w:lastRenderedPageBreak/>
        <w:t>CLAUSE NOTES</w:t>
      </w:r>
    </w:p>
    <w:p w14:paraId="55112D4D" w14:textId="6F997231" w:rsidR="00284EBD" w:rsidRPr="006615DB" w:rsidRDefault="00284EBD" w:rsidP="00284EBD">
      <w:pPr>
        <w:pStyle w:val="Heading2"/>
        <w:numPr>
          <w:ilvl w:val="1"/>
          <w:numId w:val="0"/>
        </w:numPr>
        <w:tabs>
          <w:tab w:val="num" w:pos="360"/>
        </w:tabs>
      </w:pPr>
      <w:r>
        <w:t xml:space="preserve">Part 1 </w:t>
      </w:r>
      <w:r w:rsidRPr="006615DB">
        <w:tab/>
        <w:t>Preliminary</w:t>
      </w:r>
    </w:p>
    <w:p w14:paraId="5E45A2FA" w14:textId="77777777" w:rsidR="00F47595" w:rsidRDefault="00E90DF9" w:rsidP="00E90DF9">
      <w:pPr>
        <w:pStyle w:val="Heading3"/>
        <w:rPr>
          <w:b w:val="0"/>
        </w:rPr>
      </w:pPr>
      <w:r w:rsidRPr="00ED3B77">
        <w:t>Clause 1</w:t>
      </w:r>
      <w:r w:rsidRPr="00ED3B77">
        <w:tab/>
        <w:t>Name of Act</w:t>
      </w:r>
    </w:p>
    <w:p w14:paraId="4122F517" w14:textId="39A74D65" w:rsidR="00F47595" w:rsidRDefault="00F47595" w:rsidP="00E90DF9">
      <w:pPr>
        <w:pStyle w:val="Heading3"/>
        <w:rPr>
          <w:b w:val="0"/>
        </w:rPr>
      </w:pPr>
      <w:r>
        <w:rPr>
          <w:b w:val="0"/>
        </w:rPr>
        <w:t xml:space="preserve">This clause provides that the name of the Act is the </w:t>
      </w:r>
      <w:r w:rsidRPr="3238681A">
        <w:rPr>
          <w:b w:val="0"/>
          <w:i/>
          <w:iCs/>
        </w:rPr>
        <w:t>Better Regulation Legislation Amendment Act 2026</w:t>
      </w:r>
      <w:r>
        <w:rPr>
          <w:b w:val="0"/>
        </w:rPr>
        <w:t>.</w:t>
      </w:r>
    </w:p>
    <w:p w14:paraId="0887BC45" w14:textId="75214F5D" w:rsidR="00E90DF9" w:rsidRPr="00ED3B77" w:rsidRDefault="00E90DF9" w:rsidP="00E90DF9">
      <w:pPr>
        <w:pStyle w:val="Heading3"/>
        <w:rPr>
          <w:b w:val="0"/>
        </w:rPr>
      </w:pPr>
      <w:r w:rsidRPr="00ED3B77">
        <w:t>Clause 2</w:t>
      </w:r>
      <w:r w:rsidRPr="00ED3B77">
        <w:tab/>
        <w:t>Commencement</w:t>
      </w:r>
    </w:p>
    <w:p w14:paraId="31DB4115" w14:textId="13235FB1" w:rsidR="00F47595" w:rsidRDefault="00F47595" w:rsidP="3238681A">
      <w:pPr>
        <w:pStyle w:val="Heading3"/>
        <w:rPr>
          <w:b w:val="0"/>
        </w:rPr>
      </w:pPr>
      <w:r>
        <w:rPr>
          <w:b w:val="0"/>
        </w:rPr>
        <w:t>This clause provides for the commencement of the Act.</w:t>
      </w:r>
      <w:r w:rsidR="00D15AE2">
        <w:rPr>
          <w:b w:val="0"/>
        </w:rPr>
        <w:t xml:space="preserve"> It provides </w:t>
      </w:r>
      <w:r>
        <w:rPr>
          <w:b w:val="0"/>
        </w:rPr>
        <w:t xml:space="preserve">that </w:t>
      </w:r>
      <w:r w:rsidR="001169D5">
        <w:rPr>
          <w:b w:val="0"/>
        </w:rPr>
        <w:t>the majority</w:t>
      </w:r>
      <w:r>
        <w:rPr>
          <w:b w:val="0"/>
        </w:rPr>
        <w:t xml:space="preserve"> of the provisions in this Act, other than </w:t>
      </w:r>
      <w:r w:rsidR="007B2799">
        <w:rPr>
          <w:b w:val="0"/>
        </w:rPr>
        <w:t xml:space="preserve">section 4, </w:t>
      </w:r>
      <w:r>
        <w:rPr>
          <w:b w:val="0"/>
        </w:rPr>
        <w:t xml:space="preserve">parts 7, 11, </w:t>
      </w:r>
      <w:r w:rsidR="007B2799">
        <w:rPr>
          <w:b w:val="0"/>
        </w:rPr>
        <w:t xml:space="preserve">and </w:t>
      </w:r>
      <w:r>
        <w:rPr>
          <w:b w:val="0"/>
        </w:rPr>
        <w:t xml:space="preserve">12, section </w:t>
      </w:r>
      <w:r w:rsidR="007B2799">
        <w:rPr>
          <w:b w:val="0"/>
        </w:rPr>
        <w:t>40</w:t>
      </w:r>
      <w:r>
        <w:rPr>
          <w:b w:val="0"/>
        </w:rPr>
        <w:t xml:space="preserve">, parts </w:t>
      </w:r>
      <w:r w:rsidR="007B2799">
        <w:rPr>
          <w:b w:val="0"/>
        </w:rPr>
        <w:t>14</w:t>
      </w:r>
      <w:r>
        <w:rPr>
          <w:b w:val="0"/>
        </w:rPr>
        <w:t xml:space="preserve"> to </w:t>
      </w:r>
      <w:r w:rsidR="001169D5">
        <w:rPr>
          <w:b w:val="0"/>
        </w:rPr>
        <w:t>16</w:t>
      </w:r>
      <w:r>
        <w:rPr>
          <w:b w:val="0"/>
        </w:rPr>
        <w:t xml:space="preserve">, sections </w:t>
      </w:r>
      <w:r w:rsidR="007B2799">
        <w:rPr>
          <w:b w:val="0"/>
        </w:rPr>
        <w:t>70</w:t>
      </w:r>
      <w:r w:rsidR="001169D5">
        <w:rPr>
          <w:b w:val="0"/>
        </w:rPr>
        <w:t xml:space="preserve">, </w:t>
      </w:r>
      <w:r w:rsidR="007B2799">
        <w:rPr>
          <w:b w:val="0"/>
        </w:rPr>
        <w:t xml:space="preserve">77, 82 to 84, and 90, </w:t>
      </w:r>
      <w:r>
        <w:rPr>
          <w:b w:val="0"/>
        </w:rPr>
        <w:t xml:space="preserve">and parts </w:t>
      </w:r>
      <w:r w:rsidR="002E0F79">
        <w:rPr>
          <w:b w:val="0"/>
        </w:rPr>
        <w:t>21</w:t>
      </w:r>
      <w:r>
        <w:rPr>
          <w:b w:val="0"/>
        </w:rPr>
        <w:t xml:space="preserve"> to </w:t>
      </w:r>
      <w:r w:rsidR="002E0F79">
        <w:rPr>
          <w:b w:val="0"/>
        </w:rPr>
        <w:t>23</w:t>
      </w:r>
      <w:r>
        <w:rPr>
          <w:b w:val="0"/>
        </w:rPr>
        <w:t xml:space="preserve">, will commence on the </w:t>
      </w:r>
      <w:r w:rsidR="00DC5702">
        <w:rPr>
          <w:b w:val="0"/>
        </w:rPr>
        <w:t>14</w:t>
      </w:r>
      <w:r w:rsidR="00DC5702" w:rsidRPr="3238681A">
        <w:rPr>
          <w:b w:val="0"/>
          <w:vertAlign w:val="superscript"/>
        </w:rPr>
        <w:t>th</w:t>
      </w:r>
      <w:r w:rsidR="00DC5702">
        <w:rPr>
          <w:b w:val="0"/>
        </w:rPr>
        <w:t xml:space="preserve"> </w:t>
      </w:r>
      <w:r>
        <w:rPr>
          <w:b w:val="0"/>
        </w:rPr>
        <w:t>day after its notification day.</w:t>
      </w:r>
    </w:p>
    <w:p w14:paraId="3F199995" w14:textId="53145085" w:rsidR="00F47595" w:rsidRDefault="00F47595" w:rsidP="3238681A">
      <w:pPr>
        <w:rPr>
          <w:rFonts w:eastAsiaTheme="majorEastAsia" w:cstheme="majorBidi"/>
        </w:rPr>
      </w:pPr>
      <w:r w:rsidRPr="3238681A">
        <w:rPr>
          <w:rFonts w:eastAsiaTheme="majorEastAsia" w:cstheme="majorBidi"/>
        </w:rPr>
        <w:t xml:space="preserve">Section 79 of the </w:t>
      </w:r>
      <w:r w:rsidRPr="3238681A">
        <w:rPr>
          <w:rFonts w:eastAsiaTheme="majorEastAsia" w:cstheme="majorBidi"/>
          <w:i/>
          <w:iCs/>
        </w:rPr>
        <w:t>Legislation Act 2001</w:t>
      </w:r>
      <w:r w:rsidRPr="3238681A">
        <w:rPr>
          <w:rFonts w:eastAsiaTheme="majorEastAsia" w:cstheme="majorBidi"/>
        </w:rPr>
        <w:t xml:space="preserve"> applies to the commencement of </w:t>
      </w:r>
      <w:r w:rsidR="001169D5" w:rsidRPr="3238681A">
        <w:rPr>
          <w:rFonts w:eastAsiaTheme="majorEastAsia" w:cstheme="majorBidi"/>
        </w:rPr>
        <w:t xml:space="preserve">the </w:t>
      </w:r>
      <w:r w:rsidRPr="3238681A">
        <w:rPr>
          <w:rFonts w:eastAsiaTheme="majorEastAsia" w:cstheme="majorBidi"/>
        </w:rPr>
        <w:t xml:space="preserve">parts </w:t>
      </w:r>
      <w:r w:rsidR="001169D5" w:rsidRPr="3238681A">
        <w:rPr>
          <w:rFonts w:eastAsiaTheme="majorEastAsia" w:cstheme="majorBidi"/>
        </w:rPr>
        <w:t>explicitly referenced above</w:t>
      </w:r>
      <w:r w:rsidRPr="3238681A">
        <w:rPr>
          <w:rFonts w:eastAsiaTheme="majorEastAsia" w:cstheme="majorBidi"/>
        </w:rPr>
        <w:t>. This means that if these provisions have not commenced within 6 months beginning on the notification day, they automatically commence on the first day after that period</w:t>
      </w:r>
      <w:r w:rsidR="00284EBD" w:rsidRPr="3238681A">
        <w:rPr>
          <w:rFonts w:eastAsiaTheme="majorEastAsia" w:cstheme="majorBidi"/>
        </w:rPr>
        <w:t>.</w:t>
      </w:r>
    </w:p>
    <w:p w14:paraId="3F23F764" w14:textId="516613AB" w:rsidR="001169D5" w:rsidRPr="00284EBD" w:rsidRDefault="001169D5" w:rsidP="00F47595">
      <w:pPr>
        <w:rPr>
          <w:rFonts w:eastAsiaTheme="majorEastAsia" w:cstheme="majorBidi"/>
          <w:bCs/>
          <w:szCs w:val="24"/>
        </w:rPr>
      </w:pPr>
      <w:r>
        <w:rPr>
          <w:rFonts w:eastAsiaTheme="majorEastAsia" w:cstheme="majorBidi"/>
          <w:bCs/>
          <w:szCs w:val="24"/>
        </w:rPr>
        <w:t>The delayed commencement provisions are provided to enable the facilitation of the reforms in the Bill</w:t>
      </w:r>
      <w:r w:rsidR="00D15AE2">
        <w:rPr>
          <w:rFonts w:eastAsiaTheme="majorEastAsia" w:cstheme="majorBidi"/>
          <w:bCs/>
          <w:szCs w:val="24"/>
        </w:rPr>
        <w:t xml:space="preserve"> by relevant policy areas and regulators</w:t>
      </w:r>
      <w:r>
        <w:rPr>
          <w:rFonts w:eastAsiaTheme="majorEastAsia" w:cstheme="majorBidi"/>
          <w:bCs/>
          <w:szCs w:val="24"/>
        </w:rPr>
        <w:t xml:space="preserve">. </w:t>
      </w:r>
      <w:r w:rsidR="00D15AE2">
        <w:rPr>
          <w:rFonts w:eastAsiaTheme="majorEastAsia" w:cstheme="majorBidi"/>
          <w:bCs/>
          <w:szCs w:val="24"/>
        </w:rPr>
        <w:t>These relate to new</w:t>
      </w:r>
      <w:r w:rsidR="002E0F79">
        <w:rPr>
          <w:rFonts w:eastAsiaTheme="majorEastAsia" w:cstheme="majorBidi"/>
          <w:bCs/>
          <w:szCs w:val="24"/>
        </w:rPr>
        <w:t xml:space="preserve"> </w:t>
      </w:r>
      <w:r w:rsidR="00D15AE2">
        <w:rPr>
          <w:rFonts w:eastAsiaTheme="majorEastAsia" w:cstheme="majorBidi"/>
          <w:bCs/>
          <w:szCs w:val="24"/>
        </w:rPr>
        <w:t>registers of information</w:t>
      </w:r>
      <w:r w:rsidR="002E0F79">
        <w:rPr>
          <w:rFonts w:eastAsiaTheme="majorEastAsia" w:cstheme="majorBidi"/>
          <w:bCs/>
          <w:szCs w:val="24"/>
        </w:rPr>
        <w:t xml:space="preserve"> which will be publicly accessible electronically</w:t>
      </w:r>
      <w:r w:rsidR="00D15AE2">
        <w:t>.</w:t>
      </w:r>
    </w:p>
    <w:p w14:paraId="7F3C2647" w14:textId="452EF627" w:rsidR="00284EBD" w:rsidRDefault="00284EBD" w:rsidP="00284EBD">
      <w:pPr>
        <w:pStyle w:val="Heading3"/>
      </w:pPr>
      <w:r w:rsidRPr="00ED3B77">
        <w:t xml:space="preserve">Clause </w:t>
      </w:r>
      <w:r>
        <w:t>3</w:t>
      </w:r>
      <w:r w:rsidRPr="00ED3B77">
        <w:tab/>
      </w:r>
      <w:r>
        <w:t>Legislation amended</w:t>
      </w:r>
    </w:p>
    <w:p w14:paraId="218C5BB9" w14:textId="37F0C648" w:rsidR="00284EBD" w:rsidRDefault="00284EBD" w:rsidP="3238681A">
      <w:pPr>
        <w:rPr>
          <w:rFonts w:eastAsiaTheme="majorEastAsia" w:cstheme="majorBidi"/>
        </w:rPr>
      </w:pPr>
      <w:r w:rsidRPr="3238681A">
        <w:rPr>
          <w:rFonts w:eastAsiaTheme="majorEastAsia" w:cstheme="majorBidi"/>
        </w:rPr>
        <w:t xml:space="preserve">This clause identifies the </w:t>
      </w:r>
      <w:r w:rsidR="67FA4A53" w:rsidRPr="3238681A">
        <w:rPr>
          <w:rFonts w:eastAsiaTheme="majorEastAsia" w:cstheme="majorBidi"/>
        </w:rPr>
        <w:t>legislation</w:t>
      </w:r>
      <w:r w:rsidRPr="3238681A">
        <w:rPr>
          <w:rFonts w:eastAsiaTheme="majorEastAsia" w:cstheme="majorBidi"/>
        </w:rPr>
        <w:t xml:space="preserve"> that will be amended by this Act</w:t>
      </w:r>
      <w:r w:rsidR="355DFB1D" w:rsidRPr="3238681A">
        <w:rPr>
          <w:rFonts w:eastAsiaTheme="majorEastAsia" w:cstheme="majorBidi"/>
        </w:rPr>
        <w:t>. T</w:t>
      </w:r>
      <w:r w:rsidR="453A9BDA" w:rsidRPr="3238681A">
        <w:rPr>
          <w:rFonts w:eastAsiaTheme="majorEastAsia" w:cstheme="majorBidi"/>
        </w:rPr>
        <w:t>hese pieces of legislation are</w:t>
      </w:r>
      <w:r w:rsidRPr="3238681A">
        <w:rPr>
          <w:rFonts w:eastAsiaTheme="majorEastAsia" w:cstheme="majorBidi"/>
        </w:rPr>
        <w:t>:</w:t>
      </w:r>
    </w:p>
    <w:p w14:paraId="1477F3F7"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 xml:space="preserve">ACT Teacher Quality Institute Act 2010 </w:t>
      </w:r>
      <w:r w:rsidRPr="00284EBD">
        <w:rPr>
          <w:rFonts w:ascii="Arial" w:eastAsia="Calibri" w:hAnsi="Arial" w:cs="Arial"/>
          <w:color w:val="auto"/>
          <w:szCs w:val="24"/>
        </w:rPr>
        <w:t xml:space="preserve">and </w:t>
      </w:r>
      <w:r w:rsidRPr="00284EBD">
        <w:rPr>
          <w:rFonts w:ascii="Arial" w:eastAsia="Calibri" w:hAnsi="Arial" w:cs="Arial"/>
          <w:i/>
          <w:iCs/>
          <w:color w:val="auto"/>
          <w:szCs w:val="24"/>
        </w:rPr>
        <w:t>ACT Teacher Quality Institute Regulation 2010</w:t>
      </w:r>
    </w:p>
    <w:p w14:paraId="58D70998"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 xml:space="preserve">Architects Act 2004 </w:t>
      </w:r>
      <w:r w:rsidRPr="00284EBD">
        <w:rPr>
          <w:rFonts w:ascii="Arial" w:eastAsia="Calibri" w:hAnsi="Arial" w:cs="Arial"/>
          <w:color w:val="auto"/>
          <w:szCs w:val="24"/>
        </w:rPr>
        <w:t>and</w:t>
      </w:r>
      <w:r w:rsidRPr="00284EBD">
        <w:rPr>
          <w:rFonts w:ascii="Arial" w:eastAsia="Calibri" w:hAnsi="Arial" w:cs="Arial"/>
          <w:i/>
          <w:iCs/>
          <w:color w:val="auto"/>
          <w:szCs w:val="24"/>
        </w:rPr>
        <w:t xml:space="preserve"> Architects Regulation 2004</w:t>
      </w:r>
    </w:p>
    <w:p w14:paraId="4C97F545"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Board of Senior Secondary Studies Act 1997</w:t>
      </w:r>
    </w:p>
    <w:p w14:paraId="7CA924DD"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Building Act 2004</w:t>
      </w:r>
    </w:p>
    <w:p w14:paraId="7FF83974"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Cemeteries and Crematoria Act 2020</w:t>
      </w:r>
    </w:p>
    <w:p w14:paraId="70C10B0D"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Climate Change and Greenhouse Gas Reduction Act 2010</w:t>
      </w:r>
    </w:p>
    <w:p w14:paraId="38D1F1ED"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Construction Occupations (Licensing) Act 2004</w:t>
      </w:r>
    </w:p>
    <w:p w14:paraId="693AE2D8"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 xml:space="preserve">Domestic Animals Act 2000 </w:t>
      </w:r>
      <w:r w:rsidRPr="00284EBD">
        <w:rPr>
          <w:rFonts w:ascii="Arial" w:eastAsia="Calibri" w:hAnsi="Arial" w:cs="Arial"/>
          <w:color w:val="auto"/>
          <w:szCs w:val="24"/>
        </w:rPr>
        <w:t>and</w:t>
      </w:r>
      <w:r w:rsidRPr="00284EBD">
        <w:rPr>
          <w:rFonts w:ascii="Arial" w:eastAsia="Calibri" w:hAnsi="Arial" w:cs="Arial"/>
          <w:i/>
          <w:iCs/>
          <w:color w:val="auto"/>
          <w:szCs w:val="24"/>
        </w:rPr>
        <w:t xml:space="preserve"> Domestic Animals Regulation 2001</w:t>
      </w:r>
    </w:p>
    <w:p w14:paraId="67E5871E"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Food Act 2001</w:t>
      </w:r>
    </w:p>
    <w:p w14:paraId="6B7D7C63"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Gambling and Racing Control Act 1999</w:t>
      </w:r>
    </w:p>
    <w:p w14:paraId="4819D0C9"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Gaming Machine Act 2004</w:t>
      </w:r>
    </w:p>
    <w:p w14:paraId="216B7B60"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Gas Safety Act 2000</w:t>
      </w:r>
    </w:p>
    <w:p w14:paraId="55EEF94A"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Legislation Act 2001</w:t>
      </w:r>
    </w:p>
    <w:p w14:paraId="4BDE6366" w14:textId="77777777" w:rsid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Medicines, Poisons and Therapeutic Goods Act 2008</w:t>
      </w:r>
    </w:p>
    <w:p w14:paraId="1933CE03" w14:textId="77777777" w:rsidR="001169D5" w:rsidRPr="001169D5" w:rsidRDefault="001169D5" w:rsidP="001169D5">
      <w:pPr>
        <w:pStyle w:val="ListParagraph"/>
        <w:numPr>
          <w:ilvl w:val="0"/>
          <w:numId w:val="16"/>
        </w:numPr>
        <w:rPr>
          <w:rFonts w:cs="Arial"/>
          <w:i/>
          <w:iCs/>
          <w:szCs w:val="24"/>
        </w:rPr>
      </w:pPr>
      <w:r w:rsidRPr="001169D5">
        <w:rPr>
          <w:rFonts w:cs="Arial"/>
          <w:i/>
          <w:iCs/>
          <w:szCs w:val="24"/>
        </w:rPr>
        <w:t>Pool Betting Act 1964</w:t>
      </w:r>
    </w:p>
    <w:p w14:paraId="2D981FE4"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Professional Engineers Act 2023</w:t>
      </w:r>
    </w:p>
    <w:p w14:paraId="400C2D84"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Public Health Act 1997</w:t>
      </w:r>
    </w:p>
    <w:p w14:paraId="2E3B09EE"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 xml:space="preserve">Race and Sports Bookmaking Act 2001 </w:t>
      </w:r>
      <w:r w:rsidRPr="00284EBD">
        <w:rPr>
          <w:rFonts w:ascii="Arial" w:eastAsia="Calibri" w:hAnsi="Arial" w:cs="Arial"/>
          <w:color w:val="auto"/>
          <w:szCs w:val="24"/>
        </w:rPr>
        <w:t xml:space="preserve">and </w:t>
      </w:r>
      <w:r w:rsidRPr="00284EBD">
        <w:rPr>
          <w:rFonts w:ascii="Arial" w:eastAsia="Calibri" w:hAnsi="Arial" w:cs="Arial"/>
          <w:i/>
          <w:iCs/>
          <w:color w:val="auto"/>
          <w:szCs w:val="24"/>
        </w:rPr>
        <w:t>Race and Sports Bookmaking Regulation 2001</w:t>
      </w:r>
    </w:p>
    <w:p w14:paraId="29F8B54C"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lastRenderedPageBreak/>
        <w:t>Radiation Protection Act 2006</w:t>
      </w:r>
    </w:p>
    <w:p w14:paraId="454FE32D"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Utilities (Technical Regulation) Act 2014</w:t>
      </w:r>
    </w:p>
    <w:p w14:paraId="24CB0287"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Veterinary Practice Act 2018</w:t>
      </w:r>
    </w:p>
    <w:p w14:paraId="1B2CABF8" w14:textId="77777777" w:rsidR="00284EBD" w:rsidRPr="00284EBD" w:rsidRDefault="00284EBD" w:rsidP="00284EBD">
      <w:pPr>
        <w:pStyle w:val="Paragraphtext"/>
        <w:numPr>
          <w:ilvl w:val="0"/>
          <w:numId w:val="16"/>
        </w:numPr>
        <w:spacing w:after="0"/>
        <w:rPr>
          <w:rFonts w:ascii="Arial" w:eastAsia="Calibri" w:hAnsi="Arial" w:cs="Arial"/>
          <w:i/>
          <w:iCs/>
          <w:color w:val="auto"/>
          <w:szCs w:val="24"/>
        </w:rPr>
      </w:pPr>
      <w:r w:rsidRPr="00284EBD">
        <w:rPr>
          <w:rFonts w:ascii="Arial" w:eastAsia="Calibri" w:hAnsi="Arial" w:cs="Arial"/>
          <w:i/>
          <w:iCs/>
          <w:color w:val="auto"/>
          <w:szCs w:val="24"/>
        </w:rPr>
        <w:t>Waste Management and Resource Recovery Act 2016</w:t>
      </w:r>
    </w:p>
    <w:p w14:paraId="7749221E" w14:textId="3D7FFAFB" w:rsidR="007B2799" w:rsidRDefault="007B2799" w:rsidP="007B2799">
      <w:pPr>
        <w:pStyle w:val="Heading3"/>
      </w:pPr>
      <w:r w:rsidRPr="00ED3B77">
        <w:t xml:space="preserve">Clause </w:t>
      </w:r>
      <w:r>
        <w:t>4</w:t>
      </w:r>
      <w:r w:rsidRPr="00ED3B77">
        <w:tab/>
      </w:r>
      <w:r>
        <w:t>Legislation repealed</w:t>
      </w:r>
    </w:p>
    <w:p w14:paraId="639F749A" w14:textId="1B50A072" w:rsidR="007B2799" w:rsidRDefault="007B2799" w:rsidP="007B2799">
      <w:pPr>
        <w:pStyle w:val="Heading2"/>
        <w:numPr>
          <w:ilvl w:val="1"/>
          <w:numId w:val="0"/>
        </w:numPr>
        <w:tabs>
          <w:tab w:val="num" w:pos="360"/>
        </w:tabs>
        <w:rPr>
          <w:b w:val="0"/>
          <w:szCs w:val="22"/>
        </w:rPr>
      </w:pPr>
      <w:r w:rsidRPr="007B2799">
        <w:rPr>
          <w:b w:val="0"/>
          <w:szCs w:val="22"/>
        </w:rPr>
        <w:t>This clause identifies</w:t>
      </w:r>
      <w:r>
        <w:rPr>
          <w:b w:val="0"/>
          <w:szCs w:val="22"/>
        </w:rPr>
        <w:t xml:space="preserve"> that all instruments under the </w:t>
      </w:r>
      <w:r w:rsidRPr="007B2799">
        <w:rPr>
          <w:b w:val="0"/>
          <w:i/>
          <w:iCs/>
          <w:szCs w:val="22"/>
        </w:rPr>
        <w:t>Gaming Machine Act 2004</w:t>
      </w:r>
      <w:r>
        <w:rPr>
          <w:b w:val="0"/>
          <w:szCs w:val="22"/>
        </w:rPr>
        <w:t xml:space="preserve">, section 69 are repealed. This clause </w:t>
      </w:r>
      <w:r w:rsidRPr="007B2799">
        <w:rPr>
          <w:b w:val="0"/>
          <w:szCs w:val="22"/>
        </w:rPr>
        <w:t xml:space="preserve">reflects </w:t>
      </w:r>
      <w:r>
        <w:rPr>
          <w:b w:val="0"/>
          <w:szCs w:val="22"/>
        </w:rPr>
        <w:t xml:space="preserve">Parliamentary Counsel’s Office </w:t>
      </w:r>
      <w:r w:rsidRPr="007B2799">
        <w:rPr>
          <w:b w:val="0"/>
          <w:szCs w:val="22"/>
        </w:rPr>
        <w:t>standard drafting approach for repeals.</w:t>
      </w:r>
    </w:p>
    <w:p w14:paraId="198F8E74" w14:textId="2CDE34E1" w:rsidR="00284EBD" w:rsidRPr="006615DB" w:rsidRDefault="00284EBD" w:rsidP="00284EBD">
      <w:pPr>
        <w:pStyle w:val="Heading2"/>
        <w:numPr>
          <w:ilvl w:val="1"/>
          <w:numId w:val="0"/>
        </w:numPr>
        <w:tabs>
          <w:tab w:val="num" w:pos="360"/>
        </w:tabs>
      </w:pPr>
      <w:r>
        <w:t xml:space="preserve">Part 2 </w:t>
      </w:r>
      <w:r w:rsidRPr="006615DB">
        <w:tab/>
      </w:r>
      <w:r>
        <w:t>ACT Teacher Quality Institute Act 2010</w:t>
      </w:r>
    </w:p>
    <w:p w14:paraId="3358C624" w14:textId="3CD89990" w:rsidR="00284EBD" w:rsidRDefault="00284EBD" w:rsidP="00284EBD">
      <w:pPr>
        <w:pStyle w:val="Heading3"/>
        <w:rPr>
          <w:b w:val="0"/>
        </w:rPr>
      </w:pPr>
      <w:r w:rsidRPr="00ED3B77">
        <w:t xml:space="preserve">Clause </w:t>
      </w:r>
      <w:r w:rsidR="007B2799">
        <w:t>5</w:t>
      </w:r>
      <w:r w:rsidRPr="00ED3B77">
        <w:tab/>
      </w:r>
      <w:r>
        <w:t>Education programs register Section 71 (3) (b) and example</w:t>
      </w:r>
    </w:p>
    <w:p w14:paraId="52F84583" w14:textId="28C3C560" w:rsidR="00284EBD" w:rsidRDefault="00284EBD" w:rsidP="3238681A">
      <w:pPr>
        <w:rPr>
          <w:rFonts w:eastAsiaTheme="majorEastAsia" w:cstheme="majorBidi"/>
        </w:rPr>
      </w:pPr>
      <w:r w:rsidRPr="3238681A">
        <w:rPr>
          <w:rFonts w:eastAsiaTheme="majorEastAsia" w:cstheme="majorBidi"/>
        </w:rPr>
        <w:t xml:space="preserve">This clause </w:t>
      </w:r>
      <w:r w:rsidR="000F0641" w:rsidRPr="3238681A">
        <w:rPr>
          <w:rFonts w:eastAsiaTheme="majorEastAsia" w:cstheme="majorBidi"/>
        </w:rPr>
        <w:t>amends section 71 (3) (b)</w:t>
      </w:r>
      <w:r w:rsidRPr="3238681A">
        <w:rPr>
          <w:rFonts w:eastAsiaTheme="majorEastAsia" w:cstheme="majorBidi"/>
        </w:rPr>
        <w:t xml:space="preserve"> </w:t>
      </w:r>
      <w:r w:rsidR="000E5F90" w:rsidRPr="3238681A">
        <w:rPr>
          <w:rFonts w:eastAsiaTheme="majorEastAsia" w:cstheme="majorBidi"/>
        </w:rPr>
        <w:t xml:space="preserve">of the </w:t>
      </w:r>
      <w:r w:rsidR="000E5F90" w:rsidRPr="3238681A">
        <w:rPr>
          <w:rFonts w:eastAsiaTheme="majorEastAsia" w:cstheme="majorBidi"/>
          <w:i/>
          <w:iCs/>
        </w:rPr>
        <w:t>ACT Teacher Quality Institute Act 2010</w:t>
      </w:r>
      <w:r w:rsidR="000E5F90" w:rsidRPr="3238681A">
        <w:rPr>
          <w:rFonts w:eastAsiaTheme="majorEastAsia" w:cstheme="majorBidi"/>
        </w:rPr>
        <w:t xml:space="preserve"> and the example </w:t>
      </w:r>
      <w:r w:rsidR="00E77BFE" w:rsidRPr="3238681A">
        <w:rPr>
          <w:rFonts w:eastAsiaTheme="majorEastAsia" w:cstheme="majorBidi"/>
        </w:rPr>
        <w:t xml:space="preserve">to </w:t>
      </w:r>
      <w:r w:rsidR="00194CCC" w:rsidRPr="3238681A">
        <w:rPr>
          <w:rFonts w:eastAsiaTheme="majorEastAsia" w:cstheme="majorBidi"/>
        </w:rPr>
        <w:t>provide</w:t>
      </w:r>
      <w:r w:rsidR="00E77BFE" w:rsidRPr="3238681A">
        <w:rPr>
          <w:rFonts w:eastAsiaTheme="majorEastAsia" w:cstheme="majorBidi"/>
        </w:rPr>
        <w:t xml:space="preserve"> </w:t>
      </w:r>
      <w:r w:rsidRPr="3238681A">
        <w:rPr>
          <w:rFonts w:eastAsiaTheme="majorEastAsia" w:cstheme="majorBidi"/>
        </w:rPr>
        <w:t>that the register of education programs must be made accessible to the public without charge on an ACT government website, or by a link on an ACT government website.</w:t>
      </w:r>
      <w:r w:rsidR="00DC5702" w:rsidRPr="3238681A">
        <w:rPr>
          <w:rFonts w:eastAsiaTheme="majorEastAsia" w:cstheme="majorBidi"/>
        </w:rPr>
        <w:t xml:space="preserve"> This enshrine</w:t>
      </w:r>
      <w:r w:rsidR="00024242" w:rsidRPr="3238681A">
        <w:rPr>
          <w:rFonts w:eastAsiaTheme="majorEastAsia" w:cstheme="majorBidi"/>
        </w:rPr>
        <w:t>s</w:t>
      </w:r>
      <w:r w:rsidR="00DC5702" w:rsidRPr="3238681A">
        <w:rPr>
          <w:rFonts w:eastAsiaTheme="majorEastAsia" w:cstheme="majorBidi"/>
        </w:rPr>
        <w:t xml:space="preserve"> in legislation public accessibility to the register and standardises legislative language for public accessibility. </w:t>
      </w:r>
    </w:p>
    <w:p w14:paraId="2ADD28E9" w14:textId="4E0E8668" w:rsidR="00DC5702" w:rsidRDefault="00DC5702" w:rsidP="00284EBD">
      <w:pPr>
        <w:rPr>
          <w:rFonts w:eastAsiaTheme="majorEastAsia" w:cstheme="majorBidi"/>
          <w:b/>
          <w:szCs w:val="26"/>
        </w:rPr>
      </w:pPr>
      <w:r w:rsidRPr="00DC5702">
        <w:rPr>
          <w:rFonts w:eastAsiaTheme="majorEastAsia" w:cstheme="majorBidi"/>
          <w:b/>
          <w:szCs w:val="26"/>
        </w:rPr>
        <w:t>Part 3</w:t>
      </w:r>
      <w:r w:rsidR="00BF5911">
        <w:rPr>
          <w:rFonts w:eastAsiaTheme="majorEastAsia" w:cstheme="majorBidi"/>
          <w:b/>
          <w:szCs w:val="26"/>
        </w:rPr>
        <w:tab/>
        <w:t xml:space="preserve">          ACT Teacher Quality Institut</w:t>
      </w:r>
      <w:r w:rsidR="000E5F90">
        <w:rPr>
          <w:rFonts w:eastAsiaTheme="majorEastAsia" w:cstheme="majorBidi"/>
          <w:b/>
          <w:szCs w:val="26"/>
        </w:rPr>
        <w:t>e</w:t>
      </w:r>
      <w:r w:rsidR="00BF5911">
        <w:rPr>
          <w:rFonts w:eastAsiaTheme="majorEastAsia" w:cstheme="majorBidi"/>
          <w:b/>
          <w:szCs w:val="26"/>
        </w:rPr>
        <w:t xml:space="preserve"> Regulation 2010</w:t>
      </w:r>
    </w:p>
    <w:p w14:paraId="4A2A9FE4" w14:textId="6AD0AB1C" w:rsidR="00BF5911" w:rsidRDefault="00BF5911" w:rsidP="00284EBD">
      <w:pPr>
        <w:rPr>
          <w:rFonts w:eastAsiaTheme="majorEastAsia" w:cstheme="majorBidi"/>
          <w:b/>
          <w:szCs w:val="26"/>
        </w:rPr>
      </w:pPr>
      <w:r>
        <w:rPr>
          <w:rFonts w:eastAsiaTheme="majorEastAsia" w:cstheme="majorBidi"/>
          <w:b/>
          <w:szCs w:val="26"/>
        </w:rPr>
        <w:t xml:space="preserve">Clause </w:t>
      </w:r>
      <w:r w:rsidR="007B2799">
        <w:rPr>
          <w:rFonts w:eastAsiaTheme="majorEastAsia" w:cstheme="majorBidi"/>
          <w:b/>
          <w:szCs w:val="26"/>
        </w:rPr>
        <w:t>6</w:t>
      </w:r>
      <w:r>
        <w:rPr>
          <w:rFonts w:eastAsiaTheme="majorEastAsia" w:cstheme="majorBidi"/>
          <w:b/>
          <w:szCs w:val="26"/>
        </w:rPr>
        <w:t xml:space="preserve">      Education programs register</w:t>
      </w:r>
      <w:r w:rsidR="00216EDD">
        <w:rPr>
          <w:rFonts w:eastAsiaTheme="majorEastAsia" w:cstheme="majorBidi"/>
          <w:b/>
          <w:szCs w:val="26"/>
        </w:rPr>
        <w:t xml:space="preserve"> – Act</w:t>
      </w:r>
      <w:r w:rsidR="00CB27F1">
        <w:rPr>
          <w:rFonts w:eastAsiaTheme="majorEastAsia" w:cstheme="majorBidi"/>
          <w:b/>
          <w:szCs w:val="26"/>
        </w:rPr>
        <w:t xml:space="preserve">, s 71 (4) </w:t>
      </w:r>
      <w:r w:rsidR="00613F42">
        <w:rPr>
          <w:rFonts w:eastAsiaTheme="majorEastAsia" w:cstheme="majorBidi"/>
          <w:b/>
          <w:szCs w:val="26"/>
        </w:rPr>
        <w:t>Section 19 (b)</w:t>
      </w:r>
    </w:p>
    <w:p w14:paraId="48AA4FD8" w14:textId="2B2DF894" w:rsidR="00613F42" w:rsidRDefault="00613F42" w:rsidP="00613F42">
      <w:pPr>
        <w:rPr>
          <w:rFonts w:eastAsiaTheme="majorEastAsia"/>
        </w:rPr>
      </w:pPr>
      <w:r>
        <w:rPr>
          <w:rFonts w:eastAsiaTheme="majorEastAsia"/>
        </w:rPr>
        <w:t xml:space="preserve">This clause </w:t>
      </w:r>
      <w:r w:rsidR="003E6CA5">
        <w:rPr>
          <w:rFonts w:eastAsiaTheme="majorEastAsia"/>
        </w:rPr>
        <w:t>makes a minor</w:t>
      </w:r>
      <w:r>
        <w:rPr>
          <w:rFonts w:eastAsiaTheme="majorEastAsia"/>
        </w:rPr>
        <w:t xml:space="preserve"> amendment </w:t>
      </w:r>
      <w:r w:rsidR="003E6CA5">
        <w:rPr>
          <w:rFonts w:eastAsiaTheme="majorEastAsia"/>
        </w:rPr>
        <w:t>to</w:t>
      </w:r>
      <w:r>
        <w:rPr>
          <w:rFonts w:eastAsiaTheme="majorEastAsia"/>
        </w:rPr>
        <w:t xml:space="preserve"> </w:t>
      </w:r>
      <w:r w:rsidR="000E5F90">
        <w:rPr>
          <w:rFonts w:eastAsiaTheme="majorEastAsia"/>
        </w:rPr>
        <w:t xml:space="preserve">section 19 (b) of the </w:t>
      </w:r>
      <w:r w:rsidR="000E5F90">
        <w:rPr>
          <w:rFonts w:eastAsiaTheme="majorEastAsia"/>
          <w:i/>
          <w:iCs/>
        </w:rPr>
        <w:t xml:space="preserve">ACT Teacher Quality Institute Regulation 2010 </w:t>
      </w:r>
      <w:r w:rsidR="000E5F90">
        <w:rPr>
          <w:rFonts w:eastAsiaTheme="majorEastAsia"/>
        </w:rPr>
        <w:t xml:space="preserve">to </w:t>
      </w:r>
      <w:r w:rsidR="00AE7186">
        <w:rPr>
          <w:rFonts w:eastAsiaTheme="majorEastAsia"/>
        </w:rPr>
        <w:t>replace</w:t>
      </w:r>
      <w:r>
        <w:rPr>
          <w:rFonts w:eastAsiaTheme="majorEastAsia"/>
        </w:rPr>
        <w:t xml:space="preserve"> </w:t>
      </w:r>
      <w:r w:rsidRPr="00AE7186">
        <w:rPr>
          <w:rFonts w:eastAsiaTheme="majorEastAsia"/>
          <w:i/>
          <w:iCs/>
        </w:rPr>
        <w:t>available</w:t>
      </w:r>
      <w:r>
        <w:rPr>
          <w:rFonts w:eastAsiaTheme="majorEastAsia"/>
        </w:rPr>
        <w:t xml:space="preserve"> with </w:t>
      </w:r>
      <w:r w:rsidRPr="00AE7186">
        <w:rPr>
          <w:rFonts w:eastAsiaTheme="majorEastAsia"/>
          <w:i/>
          <w:iCs/>
        </w:rPr>
        <w:t>accessible</w:t>
      </w:r>
      <w:r>
        <w:rPr>
          <w:rFonts w:eastAsiaTheme="majorEastAsia"/>
        </w:rPr>
        <w:t xml:space="preserve"> </w:t>
      </w:r>
      <w:bookmarkStart w:id="2" w:name="_Hlk222987288"/>
      <w:r>
        <w:rPr>
          <w:rFonts w:eastAsiaTheme="majorEastAsia"/>
        </w:rPr>
        <w:t xml:space="preserve">to </w:t>
      </w:r>
      <w:r w:rsidR="007B4E2A">
        <w:rPr>
          <w:rFonts w:eastAsiaTheme="majorEastAsia"/>
        </w:rPr>
        <w:t>align with</w:t>
      </w:r>
      <w:r>
        <w:rPr>
          <w:rFonts w:eastAsiaTheme="majorEastAsia"/>
        </w:rPr>
        <w:t xml:space="preserve"> amendments to the Act that make the register accessible to the public.</w:t>
      </w:r>
    </w:p>
    <w:bookmarkEnd w:id="2"/>
    <w:p w14:paraId="48A0CA13" w14:textId="0A26B9B0" w:rsidR="00613F42" w:rsidRDefault="0086636D" w:rsidP="0086636D">
      <w:pPr>
        <w:pStyle w:val="Heading2"/>
      </w:pPr>
      <w:r>
        <w:t>Part 4          Architects Act 2004</w:t>
      </w:r>
    </w:p>
    <w:p w14:paraId="5A3F8623" w14:textId="7E856580" w:rsidR="0086636D" w:rsidRDefault="0086636D" w:rsidP="0086636D">
      <w:pPr>
        <w:pStyle w:val="Heading3"/>
      </w:pPr>
      <w:r>
        <w:t xml:space="preserve">Clause </w:t>
      </w:r>
      <w:r w:rsidR="007B2799">
        <w:t>7</w:t>
      </w:r>
      <w:r>
        <w:t xml:space="preserve">     Board to keep register Section 14 (4) and example</w:t>
      </w:r>
    </w:p>
    <w:p w14:paraId="56FAF4FA" w14:textId="657C0F87" w:rsidR="0086636D" w:rsidRDefault="0086636D" w:rsidP="3238681A">
      <w:pPr>
        <w:rPr>
          <w:rFonts w:eastAsiaTheme="majorEastAsia"/>
        </w:rPr>
      </w:pPr>
      <w:r w:rsidRPr="3238681A">
        <w:rPr>
          <w:rFonts w:eastAsiaTheme="majorEastAsia"/>
        </w:rPr>
        <w:t xml:space="preserve">This clause </w:t>
      </w:r>
      <w:r w:rsidR="008F24F6" w:rsidRPr="3238681A">
        <w:rPr>
          <w:rFonts w:eastAsiaTheme="majorEastAsia"/>
        </w:rPr>
        <w:t xml:space="preserve">amends section 14 (4) </w:t>
      </w:r>
      <w:r w:rsidR="000E5F90" w:rsidRPr="3238681A">
        <w:rPr>
          <w:rFonts w:eastAsiaTheme="majorEastAsia"/>
        </w:rPr>
        <w:t xml:space="preserve">of the </w:t>
      </w:r>
      <w:r w:rsidR="000E5F90" w:rsidRPr="3238681A">
        <w:rPr>
          <w:rFonts w:eastAsiaTheme="majorEastAsia"/>
          <w:i/>
          <w:iCs/>
        </w:rPr>
        <w:t xml:space="preserve">Architects Act 2004 </w:t>
      </w:r>
      <w:r w:rsidR="000E5F90" w:rsidRPr="3238681A">
        <w:rPr>
          <w:rFonts w:eastAsiaTheme="majorEastAsia"/>
        </w:rPr>
        <w:t xml:space="preserve">(Architects Act) </w:t>
      </w:r>
      <w:r w:rsidR="008F24F6" w:rsidRPr="3238681A">
        <w:rPr>
          <w:rFonts w:eastAsiaTheme="majorEastAsia"/>
        </w:rPr>
        <w:t xml:space="preserve">and the example </w:t>
      </w:r>
      <w:r w:rsidR="007B4E2A" w:rsidRPr="3238681A">
        <w:rPr>
          <w:rFonts w:eastAsiaTheme="majorEastAsia"/>
        </w:rPr>
        <w:t xml:space="preserve">to </w:t>
      </w:r>
      <w:r w:rsidR="00194CCC" w:rsidRPr="3238681A">
        <w:rPr>
          <w:rFonts w:eastAsiaTheme="majorEastAsia"/>
        </w:rPr>
        <w:t>provide</w:t>
      </w:r>
      <w:r w:rsidR="007B4E2A" w:rsidRPr="3238681A">
        <w:rPr>
          <w:rFonts w:eastAsiaTheme="majorEastAsia"/>
        </w:rPr>
        <w:t xml:space="preserve"> </w:t>
      </w:r>
      <w:r w:rsidRPr="3238681A">
        <w:rPr>
          <w:rFonts w:eastAsiaTheme="majorEastAsia"/>
        </w:rPr>
        <w:t xml:space="preserve">that the </w:t>
      </w:r>
      <w:r w:rsidR="003E6CA5" w:rsidRPr="3238681A">
        <w:rPr>
          <w:rFonts w:eastAsiaTheme="majorEastAsia"/>
        </w:rPr>
        <w:t xml:space="preserve">architects </w:t>
      </w:r>
      <w:r w:rsidRPr="3238681A">
        <w:rPr>
          <w:rFonts w:eastAsiaTheme="majorEastAsia"/>
        </w:rPr>
        <w:t xml:space="preserve">register must be made accessible </w:t>
      </w:r>
      <w:r w:rsidR="003E6CA5" w:rsidRPr="3238681A">
        <w:rPr>
          <w:rFonts w:eastAsiaTheme="majorEastAsia"/>
        </w:rPr>
        <w:t xml:space="preserve">to the public without charge on an ACT government website, or by a link on an ACT government website. </w:t>
      </w:r>
      <w:r w:rsidR="003E6CA5" w:rsidRPr="3238681A">
        <w:rPr>
          <w:rFonts w:eastAsiaTheme="majorEastAsia" w:cstheme="majorBidi"/>
        </w:rPr>
        <w:t>This enshrine</w:t>
      </w:r>
      <w:r w:rsidR="00024242" w:rsidRPr="3238681A">
        <w:rPr>
          <w:rFonts w:eastAsiaTheme="majorEastAsia" w:cstheme="majorBidi"/>
        </w:rPr>
        <w:t>s</w:t>
      </w:r>
      <w:r w:rsidR="003E6CA5" w:rsidRPr="3238681A">
        <w:rPr>
          <w:rFonts w:eastAsiaTheme="majorEastAsia" w:cstheme="majorBidi"/>
        </w:rPr>
        <w:t xml:space="preserve"> in legislation public accessibility to the register and standardises legislative language for public accessibility.</w:t>
      </w:r>
    </w:p>
    <w:p w14:paraId="797C46BE" w14:textId="667BD648" w:rsidR="003E6CA5" w:rsidRDefault="003E6CA5" w:rsidP="003E6CA5">
      <w:pPr>
        <w:pStyle w:val="Heading3"/>
      </w:pPr>
      <w:r>
        <w:t xml:space="preserve">Clause </w:t>
      </w:r>
      <w:r w:rsidR="007B2799">
        <w:t>8</w:t>
      </w:r>
      <w:r>
        <w:t xml:space="preserve">     Section 15 heading</w:t>
      </w:r>
    </w:p>
    <w:p w14:paraId="28952A38" w14:textId="2C421249" w:rsidR="003E6CA5" w:rsidRDefault="003E6CA5" w:rsidP="003E6CA5">
      <w:pPr>
        <w:rPr>
          <w:rFonts w:eastAsiaTheme="majorEastAsia"/>
        </w:rPr>
      </w:pPr>
      <w:r>
        <w:rPr>
          <w:rFonts w:eastAsiaTheme="majorEastAsia"/>
        </w:rPr>
        <w:t xml:space="preserve">This clause </w:t>
      </w:r>
      <w:r w:rsidR="000E5F90">
        <w:rPr>
          <w:rFonts w:eastAsiaTheme="majorEastAsia"/>
        </w:rPr>
        <w:t>replaces</w:t>
      </w:r>
      <w:r w:rsidR="008F24F6">
        <w:rPr>
          <w:rFonts w:eastAsiaTheme="majorEastAsia"/>
        </w:rPr>
        <w:t xml:space="preserve"> the </w:t>
      </w:r>
      <w:r>
        <w:rPr>
          <w:rFonts w:eastAsiaTheme="majorEastAsia"/>
        </w:rPr>
        <w:t>heading</w:t>
      </w:r>
      <w:r w:rsidR="008F24F6">
        <w:rPr>
          <w:rFonts w:eastAsiaTheme="majorEastAsia"/>
        </w:rPr>
        <w:t xml:space="preserve"> of section 15 </w:t>
      </w:r>
      <w:r w:rsidR="000E5F90">
        <w:rPr>
          <w:rFonts w:eastAsiaTheme="majorEastAsia"/>
        </w:rPr>
        <w:t>of the Architects Act with the new heading</w:t>
      </w:r>
      <w:r w:rsidR="008F24F6">
        <w:rPr>
          <w:rFonts w:eastAsiaTheme="majorEastAsia"/>
        </w:rPr>
        <w:t xml:space="preserve"> </w:t>
      </w:r>
      <w:r w:rsidRPr="008F24F6">
        <w:rPr>
          <w:rFonts w:eastAsiaTheme="majorEastAsia"/>
          <w:i/>
          <w:iCs/>
        </w:rPr>
        <w:t>Exception to public accessibility of information on the register</w:t>
      </w:r>
      <w:r w:rsidR="008F24F6" w:rsidRPr="008F24F6">
        <w:rPr>
          <w:rFonts w:eastAsiaTheme="majorEastAsia"/>
          <w:i/>
          <w:iCs/>
        </w:rPr>
        <w:t xml:space="preserve"> </w:t>
      </w:r>
      <w:r w:rsidR="008F24F6">
        <w:rPr>
          <w:rFonts w:eastAsiaTheme="majorEastAsia"/>
        </w:rPr>
        <w:t>to</w:t>
      </w:r>
      <w:r>
        <w:rPr>
          <w:rFonts w:eastAsiaTheme="majorEastAsia"/>
        </w:rPr>
        <w:t xml:space="preserve"> align with amendments to the Act that make the register accessible to the public.</w:t>
      </w:r>
    </w:p>
    <w:p w14:paraId="7959320E" w14:textId="4D64808F" w:rsidR="00AE7186" w:rsidRDefault="00AE7186" w:rsidP="00AE7186">
      <w:pPr>
        <w:pStyle w:val="Heading3"/>
      </w:pPr>
      <w:r>
        <w:t xml:space="preserve">Clause </w:t>
      </w:r>
      <w:r w:rsidR="007B2799">
        <w:t>9</w:t>
      </w:r>
      <w:r>
        <w:t xml:space="preserve">     Section 15</w:t>
      </w:r>
      <w:r w:rsidR="008326F6">
        <w:t xml:space="preserve"> (2) and (3) </w:t>
      </w:r>
    </w:p>
    <w:p w14:paraId="20447E14" w14:textId="1C1AD496" w:rsidR="00AE7186" w:rsidRDefault="00AE7186" w:rsidP="00AE7186">
      <w:pPr>
        <w:rPr>
          <w:rFonts w:eastAsiaTheme="majorEastAsia"/>
        </w:rPr>
      </w:pPr>
      <w:r>
        <w:rPr>
          <w:rFonts w:eastAsiaTheme="majorEastAsia"/>
        </w:rPr>
        <w:t xml:space="preserve">This clause makes a minor amendment to </w:t>
      </w:r>
      <w:r w:rsidR="000E5F90">
        <w:rPr>
          <w:rFonts w:eastAsiaTheme="majorEastAsia"/>
        </w:rPr>
        <w:t xml:space="preserve">section 15 of the Architects Act to </w:t>
      </w:r>
      <w:r>
        <w:rPr>
          <w:rFonts w:eastAsiaTheme="majorEastAsia"/>
        </w:rPr>
        <w:t xml:space="preserve">replace </w:t>
      </w:r>
      <w:r>
        <w:rPr>
          <w:rFonts w:eastAsiaTheme="majorEastAsia"/>
          <w:i/>
          <w:iCs/>
        </w:rPr>
        <w:t xml:space="preserve">open for public inspection </w:t>
      </w:r>
      <w:r>
        <w:rPr>
          <w:rFonts w:eastAsiaTheme="majorEastAsia"/>
        </w:rPr>
        <w:t xml:space="preserve">with </w:t>
      </w:r>
      <w:r>
        <w:rPr>
          <w:rFonts w:eastAsiaTheme="majorEastAsia"/>
          <w:i/>
          <w:iCs/>
        </w:rPr>
        <w:t>made accessible to the public</w:t>
      </w:r>
      <w:r w:rsidR="007B4E2A">
        <w:rPr>
          <w:rFonts w:eastAsiaTheme="majorEastAsia"/>
        </w:rPr>
        <w:t xml:space="preserve"> to </w:t>
      </w:r>
      <w:r>
        <w:rPr>
          <w:rFonts w:eastAsiaTheme="majorEastAsia"/>
        </w:rPr>
        <w:t>align with amendments to the Act that make the register accessible to the public.</w:t>
      </w:r>
    </w:p>
    <w:p w14:paraId="3AF34F87" w14:textId="3054B0DD" w:rsidR="004E4863" w:rsidRDefault="004E4863" w:rsidP="004E4863">
      <w:pPr>
        <w:pStyle w:val="Heading3"/>
      </w:pPr>
      <w:r>
        <w:lastRenderedPageBreak/>
        <w:t xml:space="preserve">Clause </w:t>
      </w:r>
      <w:r w:rsidR="007B2799">
        <w:t>10</w:t>
      </w:r>
      <w:r>
        <w:t xml:space="preserve">     Information may be shared Section 17</w:t>
      </w:r>
    </w:p>
    <w:p w14:paraId="2AB70918" w14:textId="40E65FD4" w:rsidR="004E4863" w:rsidRDefault="004E4863" w:rsidP="004E4863">
      <w:pPr>
        <w:rPr>
          <w:rFonts w:eastAsiaTheme="majorEastAsia"/>
        </w:rPr>
      </w:pPr>
      <w:r>
        <w:rPr>
          <w:rFonts w:eastAsiaTheme="majorEastAsia"/>
        </w:rPr>
        <w:t>This clause makes a minor amendment</w:t>
      </w:r>
      <w:r w:rsidRPr="004E4863">
        <w:rPr>
          <w:rFonts w:eastAsiaTheme="majorEastAsia"/>
        </w:rPr>
        <w:t xml:space="preserve"> </w:t>
      </w:r>
      <w:r>
        <w:rPr>
          <w:rFonts w:eastAsiaTheme="majorEastAsia"/>
        </w:rPr>
        <w:t xml:space="preserve">to </w:t>
      </w:r>
      <w:r w:rsidR="00B96050">
        <w:rPr>
          <w:rFonts w:eastAsiaTheme="majorEastAsia"/>
        </w:rPr>
        <w:t xml:space="preserve">section 17 of the Architects Act to </w:t>
      </w:r>
      <w:r>
        <w:rPr>
          <w:rFonts w:eastAsiaTheme="majorEastAsia"/>
        </w:rPr>
        <w:t xml:space="preserve">replace </w:t>
      </w:r>
      <w:r>
        <w:rPr>
          <w:rFonts w:eastAsiaTheme="majorEastAsia"/>
          <w:i/>
          <w:iCs/>
        </w:rPr>
        <w:t xml:space="preserve">available for public inspection </w:t>
      </w:r>
      <w:r>
        <w:rPr>
          <w:rFonts w:eastAsiaTheme="majorEastAsia"/>
        </w:rPr>
        <w:t xml:space="preserve">with </w:t>
      </w:r>
      <w:r>
        <w:rPr>
          <w:rFonts w:eastAsiaTheme="majorEastAsia"/>
          <w:i/>
          <w:iCs/>
        </w:rPr>
        <w:t>accessible to the public</w:t>
      </w:r>
      <w:r>
        <w:rPr>
          <w:rFonts w:eastAsiaTheme="majorEastAsia"/>
        </w:rPr>
        <w:t xml:space="preserve"> to align with amendments to the Act that make the register accessible to the public.</w:t>
      </w:r>
    </w:p>
    <w:p w14:paraId="4D240144" w14:textId="6D2026A7" w:rsidR="004E4863" w:rsidRDefault="004E4863" w:rsidP="004E4863">
      <w:pPr>
        <w:pStyle w:val="Heading3"/>
        <w:tabs>
          <w:tab w:val="left" w:pos="1276"/>
        </w:tabs>
      </w:pPr>
      <w:r>
        <w:t>Part 5         Architects Regulation 2004</w:t>
      </w:r>
    </w:p>
    <w:p w14:paraId="79F109AD" w14:textId="142857EB" w:rsidR="004E4863" w:rsidRDefault="004E4863" w:rsidP="003055F9">
      <w:pPr>
        <w:pStyle w:val="Heading3"/>
      </w:pPr>
      <w:r>
        <w:t xml:space="preserve">Clause </w:t>
      </w:r>
      <w:r w:rsidR="007B2799">
        <w:t>11</w:t>
      </w:r>
      <w:r>
        <w:t xml:space="preserve">  Details in register</w:t>
      </w:r>
      <w:r w:rsidR="00CB27F1">
        <w:t xml:space="preserve"> – Act, s 11 (2) </w:t>
      </w:r>
      <w:r>
        <w:t>Section 5 (b)</w:t>
      </w:r>
    </w:p>
    <w:p w14:paraId="47913253" w14:textId="557825B1" w:rsidR="004E4863" w:rsidRDefault="00E97252" w:rsidP="004E4863">
      <w:pPr>
        <w:rPr>
          <w:rFonts w:eastAsiaTheme="majorEastAsia"/>
        </w:rPr>
      </w:pPr>
      <w:r>
        <w:rPr>
          <w:rFonts w:eastAsiaTheme="majorEastAsia"/>
        </w:rPr>
        <w:t xml:space="preserve">This clause makes a minor amendment to </w:t>
      </w:r>
      <w:r w:rsidR="005F16B6">
        <w:rPr>
          <w:rFonts w:eastAsiaTheme="majorEastAsia"/>
        </w:rPr>
        <w:t xml:space="preserve">the </w:t>
      </w:r>
      <w:r w:rsidR="005F16B6">
        <w:rPr>
          <w:rFonts w:eastAsiaTheme="majorEastAsia"/>
          <w:i/>
          <w:iCs/>
        </w:rPr>
        <w:t xml:space="preserve">Architects Regulation 2004 </w:t>
      </w:r>
      <w:r w:rsidR="005F16B6">
        <w:rPr>
          <w:rFonts w:eastAsiaTheme="majorEastAsia"/>
        </w:rPr>
        <w:t xml:space="preserve">to </w:t>
      </w:r>
      <w:r>
        <w:rPr>
          <w:rFonts w:eastAsiaTheme="majorEastAsia"/>
        </w:rPr>
        <w:t xml:space="preserve">omit </w:t>
      </w:r>
      <w:r>
        <w:rPr>
          <w:rFonts w:eastAsiaTheme="majorEastAsia"/>
          <w:i/>
          <w:iCs/>
        </w:rPr>
        <w:t xml:space="preserve">and fax </w:t>
      </w:r>
      <w:r>
        <w:rPr>
          <w:rFonts w:eastAsiaTheme="majorEastAsia"/>
        </w:rPr>
        <w:t xml:space="preserve">as this is </w:t>
      </w:r>
      <w:r w:rsidR="00216EDD">
        <w:rPr>
          <w:rFonts w:eastAsiaTheme="majorEastAsia"/>
        </w:rPr>
        <w:t xml:space="preserve">considered </w:t>
      </w:r>
      <w:r>
        <w:rPr>
          <w:rFonts w:eastAsiaTheme="majorEastAsia"/>
        </w:rPr>
        <w:t xml:space="preserve">an outdated reference to </w:t>
      </w:r>
      <w:r w:rsidR="00216EDD">
        <w:rPr>
          <w:rFonts w:eastAsiaTheme="majorEastAsia"/>
        </w:rPr>
        <w:t>a</w:t>
      </w:r>
      <w:r>
        <w:rPr>
          <w:rFonts w:eastAsiaTheme="majorEastAsia"/>
        </w:rPr>
        <w:t xml:space="preserve"> method of communication. </w:t>
      </w:r>
      <w:r w:rsidR="00216EDD">
        <w:rPr>
          <w:rFonts w:eastAsiaTheme="majorEastAsia"/>
        </w:rPr>
        <w:t xml:space="preserve">It does not preclude or prohibit the use of </w:t>
      </w:r>
      <w:r w:rsidR="002E0F79">
        <w:rPr>
          <w:rFonts w:eastAsiaTheme="majorEastAsia"/>
        </w:rPr>
        <w:t>this</w:t>
      </w:r>
      <w:r w:rsidR="00216EDD">
        <w:rPr>
          <w:rFonts w:eastAsiaTheme="majorEastAsia"/>
        </w:rPr>
        <w:t xml:space="preserve"> method of communication.</w:t>
      </w:r>
    </w:p>
    <w:p w14:paraId="1AB34164" w14:textId="5032B4AF" w:rsidR="00E97252" w:rsidRDefault="00E97252" w:rsidP="00E97252">
      <w:pPr>
        <w:pStyle w:val="Heading3"/>
        <w:tabs>
          <w:tab w:val="left" w:pos="1276"/>
        </w:tabs>
      </w:pPr>
      <w:r>
        <w:t>Part 6         Board of Senior Secondary Studies Act 1997</w:t>
      </w:r>
    </w:p>
    <w:p w14:paraId="6BC399B0" w14:textId="329CDDD4" w:rsidR="00E97252" w:rsidRDefault="00E97252" w:rsidP="00E97252">
      <w:pPr>
        <w:pStyle w:val="Heading3"/>
      </w:pPr>
      <w:r>
        <w:t xml:space="preserve">Clause </w:t>
      </w:r>
      <w:r w:rsidR="007B2799">
        <w:t>12</w:t>
      </w:r>
      <w:r>
        <w:t xml:space="preserve">  Register of courses Section 29 (4)</w:t>
      </w:r>
    </w:p>
    <w:p w14:paraId="3ADC5CE4" w14:textId="44EABD08" w:rsidR="00B848C9" w:rsidRDefault="00B848C9" w:rsidP="00B848C9">
      <w:pPr>
        <w:rPr>
          <w:rFonts w:eastAsiaTheme="majorEastAsia"/>
        </w:rPr>
      </w:pPr>
      <w:r>
        <w:rPr>
          <w:rFonts w:eastAsiaTheme="majorEastAsia"/>
        </w:rPr>
        <w:t xml:space="preserve">This clause amends section 29 (4) </w:t>
      </w:r>
      <w:r w:rsidR="004E79FB">
        <w:rPr>
          <w:rFonts w:eastAsiaTheme="majorEastAsia"/>
        </w:rPr>
        <w:t xml:space="preserve">of the </w:t>
      </w:r>
      <w:r w:rsidR="004E79FB">
        <w:rPr>
          <w:rFonts w:eastAsiaTheme="majorEastAsia"/>
          <w:i/>
          <w:iCs/>
        </w:rPr>
        <w:t xml:space="preserve">Board of Senior Secondary Studies Act 1997 </w:t>
      </w:r>
      <w:r>
        <w:rPr>
          <w:rFonts w:eastAsiaTheme="majorEastAsia"/>
        </w:rPr>
        <w:t xml:space="preserve">to substitute a new </w:t>
      </w:r>
      <w:r w:rsidR="003477CD">
        <w:rPr>
          <w:rFonts w:eastAsiaTheme="majorEastAsia"/>
        </w:rPr>
        <w:t>sub</w:t>
      </w:r>
      <w:r>
        <w:rPr>
          <w:rFonts w:eastAsiaTheme="majorEastAsia"/>
        </w:rPr>
        <w:t>section 29 (4) (</w:t>
      </w:r>
      <w:r w:rsidR="00CD6507">
        <w:rPr>
          <w:rFonts w:eastAsiaTheme="majorEastAsia"/>
        </w:rPr>
        <w:t>a</w:t>
      </w:r>
      <w:r>
        <w:rPr>
          <w:rFonts w:eastAsiaTheme="majorEastAsia"/>
        </w:rPr>
        <w:t xml:space="preserve">) that </w:t>
      </w:r>
      <w:r w:rsidR="00C2173C">
        <w:rPr>
          <w:rFonts w:eastAsiaTheme="majorEastAsia"/>
        </w:rPr>
        <w:t>provides</w:t>
      </w:r>
      <w:r>
        <w:rPr>
          <w:rFonts w:eastAsiaTheme="majorEastAsia"/>
        </w:rPr>
        <w:t xml:space="preserve"> that the register of courses must be made accessible to the public without charge on an ACT government website, or by a link on an ACT government website. </w:t>
      </w:r>
    </w:p>
    <w:p w14:paraId="403FF5D6" w14:textId="1709ADF4" w:rsidR="00CD6507" w:rsidRDefault="00B848C9" w:rsidP="00B848C9">
      <w:pPr>
        <w:rPr>
          <w:rFonts w:eastAsiaTheme="majorEastAsia" w:cstheme="majorBidi"/>
          <w:bCs/>
          <w:szCs w:val="24"/>
        </w:rPr>
      </w:pPr>
      <w:r>
        <w:rPr>
          <w:rFonts w:eastAsiaTheme="majorEastAsia" w:cstheme="majorBidi"/>
          <w:bCs/>
          <w:szCs w:val="24"/>
        </w:rPr>
        <w:t xml:space="preserve">It also </w:t>
      </w:r>
      <w:r w:rsidR="003055F9">
        <w:rPr>
          <w:rFonts w:eastAsiaTheme="majorEastAsia" w:cstheme="majorBidi"/>
          <w:bCs/>
          <w:szCs w:val="24"/>
        </w:rPr>
        <w:t xml:space="preserve">amends section 29 (4) to </w:t>
      </w:r>
      <w:r>
        <w:rPr>
          <w:rFonts w:eastAsiaTheme="majorEastAsia" w:cstheme="majorBidi"/>
          <w:bCs/>
          <w:szCs w:val="24"/>
        </w:rPr>
        <w:t xml:space="preserve">substitute a new </w:t>
      </w:r>
      <w:r w:rsidR="008F37E9">
        <w:rPr>
          <w:rFonts w:eastAsiaTheme="majorEastAsia" w:cstheme="majorBidi"/>
          <w:bCs/>
          <w:szCs w:val="24"/>
        </w:rPr>
        <w:t>sub</w:t>
      </w:r>
      <w:r>
        <w:rPr>
          <w:rFonts w:eastAsiaTheme="majorEastAsia" w:cstheme="majorBidi"/>
          <w:bCs/>
          <w:szCs w:val="24"/>
        </w:rPr>
        <w:t>section 29 (4) (b) that retains the requirement for the register to be made available for inspection during ordinary business hours</w:t>
      </w:r>
      <w:r w:rsidR="00EE0E0E">
        <w:rPr>
          <w:rFonts w:eastAsiaTheme="majorEastAsia" w:cstheme="majorBidi"/>
          <w:bCs/>
          <w:szCs w:val="24"/>
        </w:rPr>
        <w:t xml:space="preserve">, however, this will be </w:t>
      </w:r>
      <w:r>
        <w:rPr>
          <w:rFonts w:eastAsiaTheme="majorEastAsia" w:cstheme="majorBidi"/>
          <w:bCs/>
          <w:szCs w:val="24"/>
        </w:rPr>
        <w:t xml:space="preserve">at a place decided by the </w:t>
      </w:r>
      <w:r w:rsidRPr="00BD1E9D">
        <w:rPr>
          <w:rFonts w:eastAsiaTheme="majorEastAsia" w:cstheme="majorBidi"/>
          <w:bCs/>
          <w:i/>
          <w:iCs/>
          <w:szCs w:val="24"/>
        </w:rPr>
        <w:t>board</w:t>
      </w:r>
      <w:r w:rsidR="00EE0E0E">
        <w:rPr>
          <w:rFonts w:eastAsiaTheme="majorEastAsia" w:cstheme="majorBidi"/>
          <w:bCs/>
          <w:szCs w:val="24"/>
        </w:rPr>
        <w:t xml:space="preserve">, not the </w:t>
      </w:r>
      <w:r w:rsidR="00EE0E0E" w:rsidRPr="00BD1E9D">
        <w:rPr>
          <w:rFonts w:eastAsiaTheme="majorEastAsia" w:cstheme="majorBidi"/>
          <w:bCs/>
          <w:i/>
          <w:iCs/>
          <w:szCs w:val="24"/>
        </w:rPr>
        <w:t>chair</w:t>
      </w:r>
      <w:r>
        <w:rPr>
          <w:rFonts w:eastAsiaTheme="majorEastAsia" w:cstheme="majorBidi"/>
          <w:bCs/>
          <w:szCs w:val="24"/>
        </w:rPr>
        <w:t>.</w:t>
      </w:r>
      <w:r w:rsidR="00EE0E0E">
        <w:rPr>
          <w:rFonts w:eastAsiaTheme="majorEastAsia" w:cstheme="majorBidi"/>
          <w:bCs/>
          <w:szCs w:val="24"/>
        </w:rPr>
        <w:t xml:space="preserve"> Amending to the </w:t>
      </w:r>
      <w:r w:rsidR="00EE0E0E" w:rsidRPr="00BD1E9D">
        <w:rPr>
          <w:rFonts w:eastAsiaTheme="majorEastAsia" w:cstheme="majorBidi"/>
          <w:bCs/>
          <w:i/>
          <w:iCs/>
          <w:szCs w:val="24"/>
        </w:rPr>
        <w:t>board</w:t>
      </w:r>
      <w:r w:rsidR="00EE0E0E">
        <w:rPr>
          <w:rFonts w:eastAsiaTheme="majorEastAsia" w:cstheme="majorBidi"/>
          <w:bCs/>
          <w:szCs w:val="24"/>
        </w:rPr>
        <w:t xml:space="preserve"> from the </w:t>
      </w:r>
      <w:r w:rsidR="00EE0E0E" w:rsidRPr="00BD1E9D">
        <w:rPr>
          <w:rFonts w:eastAsiaTheme="majorEastAsia" w:cstheme="majorBidi"/>
          <w:bCs/>
          <w:i/>
          <w:iCs/>
          <w:szCs w:val="24"/>
        </w:rPr>
        <w:t>chair</w:t>
      </w:r>
      <w:r w:rsidR="00EE0E0E">
        <w:rPr>
          <w:rFonts w:eastAsiaTheme="majorEastAsia" w:cstheme="majorBidi"/>
          <w:bCs/>
          <w:szCs w:val="24"/>
        </w:rPr>
        <w:t xml:space="preserve"> brings this section in line with other provisions in the Act.</w:t>
      </w:r>
      <w:r>
        <w:rPr>
          <w:rFonts w:eastAsiaTheme="majorEastAsia" w:cstheme="majorBidi"/>
          <w:bCs/>
          <w:szCs w:val="24"/>
        </w:rPr>
        <w:t xml:space="preserve"> </w:t>
      </w:r>
    </w:p>
    <w:p w14:paraId="4D3A5B81" w14:textId="275D7C04" w:rsidR="00B848C9" w:rsidRDefault="00CD6507" w:rsidP="3238681A">
      <w:pPr>
        <w:rPr>
          <w:rFonts w:eastAsiaTheme="majorEastAsia" w:cstheme="majorBidi"/>
        </w:rPr>
      </w:pPr>
      <w:bookmarkStart w:id="3" w:name="_Hlk222988090"/>
      <w:r w:rsidRPr="3238681A">
        <w:rPr>
          <w:rFonts w:eastAsiaTheme="majorEastAsia" w:cstheme="majorBidi"/>
        </w:rPr>
        <w:t xml:space="preserve">This amendment </w:t>
      </w:r>
      <w:r w:rsidR="00B848C9" w:rsidRPr="3238681A">
        <w:rPr>
          <w:rFonts w:eastAsiaTheme="majorEastAsia" w:cstheme="majorBidi"/>
        </w:rPr>
        <w:t>enshrine</w:t>
      </w:r>
      <w:r w:rsidR="00024242" w:rsidRPr="3238681A">
        <w:rPr>
          <w:rFonts w:eastAsiaTheme="majorEastAsia" w:cstheme="majorBidi"/>
        </w:rPr>
        <w:t>s</w:t>
      </w:r>
      <w:r w:rsidR="00B848C9" w:rsidRPr="3238681A">
        <w:rPr>
          <w:rFonts w:eastAsiaTheme="majorEastAsia" w:cstheme="majorBidi"/>
        </w:rPr>
        <w:t xml:space="preserve"> in legislation public accessibility to the register and standardises legislative language for public accessibility</w:t>
      </w:r>
      <w:r w:rsidR="0056565C" w:rsidRPr="3238681A">
        <w:rPr>
          <w:rFonts w:eastAsiaTheme="majorEastAsia" w:cstheme="majorBidi"/>
        </w:rPr>
        <w:t xml:space="preserve"> while still providing the authority to provide in-person access</w:t>
      </w:r>
      <w:r w:rsidR="00B848C9" w:rsidRPr="3238681A">
        <w:rPr>
          <w:rFonts w:eastAsiaTheme="majorEastAsia" w:cstheme="majorBidi"/>
        </w:rPr>
        <w:t>.</w:t>
      </w:r>
    </w:p>
    <w:bookmarkEnd w:id="3"/>
    <w:p w14:paraId="7AAAC46B" w14:textId="2AB428CD" w:rsidR="00CD6507" w:rsidRDefault="00CD6507" w:rsidP="00CD6507">
      <w:pPr>
        <w:pStyle w:val="Heading3"/>
        <w:tabs>
          <w:tab w:val="left" w:pos="1276"/>
        </w:tabs>
      </w:pPr>
      <w:r>
        <w:t>Part 7         Building Act 2004</w:t>
      </w:r>
    </w:p>
    <w:p w14:paraId="6032A34B" w14:textId="04BAE897" w:rsidR="00371D09" w:rsidRDefault="00371D09" w:rsidP="00371D09">
      <w:pPr>
        <w:pStyle w:val="Heading3"/>
        <w:tabs>
          <w:tab w:val="left" w:pos="1276"/>
        </w:tabs>
      </w:pPr>
      <w:r>
        <w:t xml:space="preserve">Clause </w:t>
      </w:r>
      <w:r w:rsidR="007B2799">
        <w:t>13</w:t>
      </w:r>
      <w:r>
        <w:t xml:space="preserve">  Stop notices register New section 59A (3) (</w:t>
      </w:r>
      <w:proofErr w:type="spellStart"/>
      <w:r>
        <w:t>ea</w:t>
      </w:r>
      <w:proofErr w:type="spellEnd"/>
      <w:r>
        <w:t>)</w:t>
      </w:r>
    </w:p>
    <w:p w14:paraId="393B34BB" w14:textId="780887CA" w:rsidR="00371D09" w:rsidRDefault="00371D09" w:rsidP="00371D09">
      <w:pPr>
        <w:pStyle w:val="Heading3"/>
        <w:tabs>
          <w:tab w:val="left" w:pos="1276"/>
        </w:tabs>
        <w:rPr>
          <w:rFonts w:cs="Times New Roman"/>
          <w:b w:val="0"/>
          <w:szCs w:val="22"/>
        </w:rPr>
      </w:pPr>
      <w:r w:rsidRPr="00371D09">
        <w:rPr>
          <w:rFonts w:cs="Times New Roman"/>
          <w:b w:val="0"/>
          <w:szCs w:val="22"/>
        </w:rPr>
        <w:t xml:space="preserve">This clause </w:t>
      </w:r>
      <w:r>
        <w:rPr>
          <w:rFonts w:cs="Times New Roman"/>
          <w:b w:val="0"/>
          <w:szCs w:val="22"/>
        </w:rPr>
        <w:t xml:space="preserve">inserts a new section </w:t>
      </w:r>
      <w:r w:rsidR="007F3F31">
        <w:rPr>
          <w:rFonts w:cs="Times New Roman"/>
          <w:b w:val="0"/>
          <w:szCs w:val="22"/>
        </w:rPr>
        <w:t>(</w:t>
      </w:r>
      <w:proofErr w:type="spellStart"/>
      <w:r w:rsidR="007F3F31">
        <w:rPr>
          <w:rFonts w:cs="Times New Roman"/>
          <w:b w:val="0"/>
          <w:szCs w:val="22"/>
        </w:rPr>
        <w:t>ea</w:t>
      </w:r>
      <w:proofErr w:type="spellEnd"/>
      <w:r w:rsidR="007F3F31">
        <w:rPr>
          <w:rFonts w:cs="Times New Roman"/>
          <w:b w:val="0"/>
          <w:szCs w:val="22"/>
        </w:rPr>
        <w:t xml:space="preserve">) in section 59A (3) </w:t>
      </w:r>
      <w:r w:rsidR="007F3F31" w:rsidRPr="007F3F31">
        <w:rPr>
          <w:b w:val="0"/>
          <w:bCs/>
        </w:rPr>
        <w:t xml:space="preserve">of the </w:t>
      </w:r>
      <w:r w:rsidR="007F3F31" w:rsidRPr="007F3F31">
        <w:rPr>
          <w:b w:val="0"/>
          <w:bCs/>
          <w:i/>
          <w:iCs/>
        </w:rPr>
        <w:t xml:space="preserve">Building Act 2004 </w:t>
      </w:r>
      <w:r w:rsidR="007F3F31" w:rsidRPr="007F3F31">
        <w:rPr>
          <w:b w:val="0"/>
          <w:bCs/>
        </w:rPr>
        <w:t>(Building Act)</w:t>
      </w:r>
      <w:r w:rsidR="007F3F31" w:rsidRPr="3238681A">
        <w:t xml:space="preserve"> </w:t>
      </w:r>
      <w:r w:rsidR="007F3F31">
        <w:rPr>
          <w:rFonts w:cs="Times New Roman"/>
          <w:b w:val="0"/>
          <w:szCs w:val="22"/>
        </w:rPr>
        <w:t xml:space="preserve">to provide that if a stop notice is cancelled under section 55 (Application by land owner for cancellation of stop notice) or section 57 (Decision on application by other than land owner), the stop notices register must also include the date of the cancellation. </w:t>
      </w:r>
    </w:p>
    <w:p w14:paraId="39765CEB" w14:textId="7FB2E064" w:rsidR="007F3F31" w:rsidRDefault="007F3F31" w:rsidP="007F3F31">
      <w:pPr>
        <w:pStyle w:val="Heading3"/>
        <w:tabs>
          <w:tab w:val="left" w:pos="1276"/>
        </w:tabs>
      </w:pPr>
      <w:r>
        <w:t xml:space="preserve">Clause </w:t>
      </w:r>
      <w:r w:rsidR="007B2799">
        <w:t>14</w:t>
      </w:r>
      <w:r>
        <w:t xml:space="preserve">  Section 59A (5)</w:t>
      </w:r>
    </w:p>
    <w:p w14:paraId="206AA6AE" w14:textId="1BEBB4CD" w:rsidR="007F3F31" w:rsidRDefault="007F3F31" w:rsidP="007F3F31">
      <w:pPr>
        <w:rPr>
          <w:rFonts w:eastAsiaTheme="majorEastAsia"/>
        </w:rPr>
      </w:pPr>
      <w:r>
        <w:rPr>
          <w:rFonts w:eastAsiaTheme="majorEastAsia"/>
        </w:rPr>
        <w:t xml:space="preserve">This clause makes a minor amendment to replace </w:t>
      </w:r>
      <w:r w:rsidRPr="00AE7186">
        <w:rPr>
          <w:rFonts w:eastAsiaTheme="majorEastAsia"/>
          <w:i/>
          <w:iCs/>
        </w:rPr>
        <w:t>available</w:t>
      </w:r>
      <w:r>
        <w:rPr>
          <w:rFonts w:eastAsiaTheme="majorEastAsia"/>
        </w:rPr>
        <w:t xml:space="preserve"> with </w:t>
      </w:r>
      <w:r w:rsidRPr="00AE7186">
        <w:rPr>
          <w:rFonts w:eastAsiaTheme="majorEastAsia"/>
          <w:i/>
          <w:iCs/>
        </w:rPr>
        <w:t>accessible</w:t>
      </w:r>
      <w:r>
        <w:rPr>
          <w:rFonts w:eastAsiaTheme="majorEastAsia"/>
        </w:rPr>
        <w:t xml:space="preserve"> in section 59A (5) of the Building Act to align with amendments to the Act that make the register accessible to the public.</w:t>
      </w:r>
    </w:p>
    <w:p w14:paraId="7A0ABFE8" w14:textId="430D4D98" w:rsidR="00CD6507" w:rsidRDefault="00A014A5" w:rsidP="00A014A5">
      <w:pPr>
        <w:pStyle w:val="Heading3"/>
        <w:tabs>
          <w:tab w:val="left" w:pos="1276"/>
        </w:tabs>
      </w:pPr>
      <w:r>
        <w:lastRenderedPageBreak/>
        <w:t xml:space="preserve">Clause </w:t>
      </w:r>
      <w:r w:rsidR="007B2799">
        <w:t>15</w:t>
      </w:r>
      <w:r>
        <w:t xml:space="preserve">  </w:t>
      </w:r>
      <w:r w:rsidR="007F3F31">
        <w:t xml:space="preserve">New section </w:t>
      </w:r>
      <w:r>
        <w:t>59A (5</w:t>
      </w:r>
      <w:r w:rsidR="007F3F31">
        <w:t>A</w:t>
      </w:r>
      <w:r>
        <w:t>)</w:t>
      </w:r>
    </w:p>
    <w:p w14:paraId="7D350C0F" w14:textId="03ED4768" w:rsidR="00D92E69" w:rsidRDefault="00A014A5" w:rsidP="3238681A">
      <w:pPr>
        <w:rPr>
          <w:rFonts w:eastAsiaTheme="majorEastAsia" w:cstheme="majorBidi"/>
        </w:rPr>
      </w:pPr>
      <w:r w:rsidRPr="3238681A">
        <w:rPr>
          <w:rFonts w:eastAsiaTheme="majorEastAsia"/>
        </w:rPr>
        <w:t>This clause</w:t>
      </w:r>
      <w:r w:rsidR="00D92E69" w:rsidRPr="3238681A">
        <w:rPr>
          <w:rFonts w:eastAsiaTheme="majorEastAsia"/>
        </w:rPr>
        <w:t xml:space="preserve"> </w:t>
      </w:r>
      <w:r w:rsidR="007F3F31">
        <w:rPr>
          <w:rFonts w:eastAsiaTheme="majorEastAsia"/>
        </w:rPr>
        <w:t>inserts a new</w:t>
      </w:r>
      <w:r w:rsidR="00D92E69" w:rsidRPr="3238681A">
        <w:rPr>
          <w:rFonts w:eastAsiaTheme="majorEastAsia"/>
        </w:rPr>
        <w:t xml:space="preserve"> section 59A (5</w:t>
      </w:r>
      <w:r w:rsidR="007F3F31">
        <w:rPr>
          <w:rFonts w:eastAsiaTheme="majorEastAsia"/>
        </w:rPr>
        <w:t>A</w:t>
      </w:r>
      <w:r w:rsidR="00D92E69" w:rsidRPr="3238681A">
        <w:rPr>
          <w:rFonts w:eastAsiaTheme="majorEastAsia"/>
        </w:rPr>
        <w:t xml:space="preserve">) to </w:t>
      </w:r>
      <w:r w:rsidR="00194CCC" w:rsidRPr="3238681A">
        <w:rPr>
          <w:rFonts w:eastAsiaTheme="majorEastAsia"/>
        </w:rPr>
        <w:t>provide</w:t>
      </w:r>
      <w:r w:rsidR="00D92E69" w:rsidRPr="3238681A">
        <w:rPr>
          <w:rFonts w:eastAsiaTheme="majorEastAsia"/>
        </w:rPr>
        <w:t xml:space="preserve"> that the construction occupation</w:t>
      </w:r>
      <w:r w:rsidR="001D096E" w:rsidRPr="3238681A">
        <w:rPr>
          <w:rFonts w:eastAsiaTheme="majorEastAsia"/>
        </w:rPr>
        <w:t>s</w:t>
      </w:r>
      <w:r w:rsidR="00D92E69" w:rsidRPr="3238681A">
        <w:rPr>
          <w:rFonts w:eastAsiaTheme="majorEastAsia"/>
        </w:rPr>
        <w:t xml:space="preserve"> registrar must make the </w:t>
      </w:r>
      <w:r w:rsidR="007F3F31">
        <w:rPr>
          <w:rFonts w:eastAsiaTheme="majorEastAsia"/>
        </w:rPr>
        <w:t>information</w:t>
      </w:r>
      <w:r w:rsidR="00D92E69" w:rsidRPr="3238681A">
        <w:rPr>
          <w:rFonts w:eastAsiaTheme="majorEastAsia"/>
        </w:rPr>
        <w:t xml:space="preserve"> accessible to the public without charge on an ACT government website, or by a link on an ACT government website. </w:t>
      </w:r>
      <w:r w:rsidR="00D92E69" w:rsidRPr="3238681A">
        <w:rPr>
          <w:rFonts w:eastAsiaTheme="majorEastAsia" w:cstheme="majorBidi"/>
        </w:rPr>
        <w:t>This enshrine</w:t>
      </w:r>
      <w:r w:rsidR="00024242" w:rsidRPr="3238681A">
        <w:rPr>
          <w:rFonts w:eastAsiaTheme="majorEastAsia" w:cstheme="majorBidi"/>
        </w:rPr>
        <w:t>s</w:t>
      </w:r>
      <w:r w:rsidR="00D92E69" w:rsidRPr="3238681A">
        <w:rPr>
          <w:rFonts w:eastAsiaTheme="majorEastAsia" w:cstheme="majorBidi"/>
        </w:rPr>
        <w:t xml:space="preserve"> in legislation public accessibility to the register and standardises legislative language for public accessibility.</w:t>
      </w:r>
      <w:r w:rsidR="003055F9" w:rsidRPr="3238681A">
        <w:rPr>
          <w:rFonts w:eastAsiaTheme="majorEastAsia" w:cstheme="majorBidi"/>
        </w:rPr>
        <w:t xml:space="preserve"> </w:t>
      </w:r>
    </w:p>
    <w:p w14:paraId="0A25A5FB" w14:textId="5976284D" w:rsidR="00CA060D" w:rsidRDefault="00CA060D" w:rsidP="00CA060D">
      <w:pPr>
        <w:pStyle w:val="Heading3"/>
        <w:tabs>
          <w:tab w:val="left" w:pos="1418"/>
        </w:tabs>
      </w:pPr>
      <w:r>
        <w:t xml:space="preserve">Clause </w:t>
      </w:r>
      <w:r w:rsidR="007B2799">
        <w:t>16</w:t>
      </w:r>
      <w:r>
        <w:t xml:space="preserve">  Section 59A (6) </w:t>
      </w:r>
      <w:r w:rsidR="002E0CD9">
        <w:t xml:space="preserve">and </w:t>
      </w:r>
      <w:r>
        <w:t>(</w:t>
      </w:r>
      <w:r w:rsidR="002E0CD9">
        <w:t>7</w:t>
      </w:r>
      <w:r>
        <w:t>)</w:t>
      </w:r>
    </w:p>
    <w:p w14:paraId="7B29C43C" w14:textId="413AC3DC" w:rsidR="00CA060D" w:rsidRDefault="00CA060D" w:rsidP="00CA060D">
      <w:pPr>
        <w:rPr>
          <w:rFonts w:eastAsiaTheme="majorEastAsia"/>
        </w:rPr>
      </w:pPr>
      <w:r>
        <w:rPr>
          <w:rFonts w:eastAsiaTheme="majorEastAsia"/>
        </w:rPr>
        <w:t xml:space="preserve">This clause makes a minor amendment to replace </w:t>
      </w:r>
      <w:r w:rsidRPr="00AE7186">
        <w:rPr>
          <w:rFonts w:eastAsiaTheme="majorEastAsia"/>
          <w:i/>
          <w:iCs/>
        </w:rPr>
        <w:t>available</w:t>
      </w:r>
      <w:r>
        <w:rPr>
          <w:rFonts w:eastAsiaTheme="majorEastAsia"/>
        </w:rPr>
        <w:t xml:space="preserve"> with </w:t>
      </w:r>
      <w:r w:rsidRPr="00AE7186">
        <w:rPr>
          <w:rFonts w:eastAsiaTheme="majorEastAsia"/>
          <w:i/>
          <w:iCs/>
        </w:rPr>
        <w:t>accessible</w:t>
      </w:r>
      <w:r>
        <w:rPr>
          <w:rFonts w:eastAsiaTheme="majorEastAsia"/>
        </w:rPr>
        <w:t xml:space="preserve"> </w:t>
      </w:r>
      <w:r w:rsidR="004E79FB">
        <w:rPr>
          <w:rFonts w:eastAsiaTheme="majorEastAsia"/>
        </w:rPr>
        <w:t xml:space="preserve">in section 59A (6) to (8) of the Building Act </w:t>
      </w:r>
      <w:r>
        <w:rPr>
          <w:rFonts w:eastAsiaTheme="majorEastAsia"/>
        </w:rPr>
        <w:t>to align with amendments to the Act that make the register accessible to the public.</w:t>
      </w:r>
    </w:p>
    <w:p w14:paraId="5FCAF889" w14:textId="6526936D" w:rsidR="002E0CD9" w:rsidRDefault="002E0CD9" w:rsidP="002E0CD9">
      <w:pPr>
        <w:pStyle w:val="Heading3"/>
        <w:tabs>
          <w:tab w:val="left" w:pos="1418"/>
        </w:tabs>
      </w:pPr>
      <w:r>
        <w:t xml:space="preserve">Clause </w:t>
      </w:r>
      <w:r w:rsidR="007B2799">
        <w:t>17</w:t>
      </w:r>
      <w:r>
        <w:t xml:space="preserve">  Section 59A (8)</w:t>
      </w:r>
    </w:p>
    <w:p w14:paraId="4A59829B" w14:textId="021B95BE" w:rsidR="002E0CD9" w:rsidRDefault="002E0CD9" w:rsidP="002E0CD9">
      <w:pPr>
        <w:rPr>
          <w:rFonts w:eastAsiaTheme="majorEastAsia"/>
        </w:rPr>
      </w:pPr>
      <w:r>
        <w:rPr>
          <w:rFonts w:eastAsiaTheme="majorEastAsia"/>
        </w:rPr>
        <w:t xml:space="preserve">This clause will amend section 59A (8) to provide that if the construction occupations registrar receives a direction from the ACAT or a court about removing from the register information in relation to an issued stop notice and that information is public, the registrar must remove the information not later than the end of the next working day. This is to ensure the integrity of the register is maintained following any direction from ACAT, but removes a subsection that is considered a duplication of subsections already in section 59A. </w:t>
      </w:r>
    </w:p>
    <w:p w14:paraId="22D1D68F" w14:textId="21A6D8C6" w:rsidR="00A014A5" w:rsidRDefault="007B1F19" w:rsidP="007B1F19">
      <w:pPr>
        <w:pStyle w:val="Heading3"/>
        <w:tabs>
          <w:tab w:val="left" w:pos="1276"/>
        </w:tabs>
      </w:pPr>
      <w:r>
        <w:t>Part 8        Cemeteries and Crematoria Act 2020</w:t>
      </w:r>
    </w:p>
    <w:p w14:paraId="0800C0B4" w14:textId="502506F3" w:rsidR="007B1F19" w:rsidRDefault="007B1F19" w:rsidP="007B1F19">
      <w:pPr>
        <w:pStyle w:val="Heading3"/>
        <w:tabs>
          <w:tab w:val="left" w:pos="1276"/>
        </w:tabs>
      </w:pPr>
      <w:r>
        <w:t xml:space="preserve">Clause </w:t>
      </w:r>
      <w:r w:rsidR="007B2799">
        <w:t>18</w:t>
      </w:r>
      <w:r>
        <w:t xml:space="preserve">  Register of licences Section 58 (3)</w:t>
      </w:r>
    </w:p>
    <w:p w14:paraId="61F013FD" w14:textId="5E29C1E3" w:rsidR="007B1F19" w:rsidRDefault="007B1F19" w:rsidP="3238681A">
      <w:pPr>
        <w:rPr>
          <w:rFonts w:eastAsiaTheme="majorEastAsia" w:cstheme="majorBidi"/>
        </w:rPr>
      </w:pPr>
      <w:r w:rsidRPr="3238681A">
        <w:rPr>
          <w:rFonts w:eastAsiaTheme="majorEastAsia"/>
        </w:rPr>
        <w:t xml:space="preserve">This clause amends section 58 (3) </w:t>
      </w:r>
      <w:r w:rsidR="004E79FB" w:rsidRPr="3238681A">
        <w:rPr>
          <w:rFonts w:eastAsiaTheme="majorEastAsia"/>
        </w:rPr>
        <w:t xml:space="preserve">of the </w:t>
      </w:r>
      <w:r w:rsidR="004E79FB" w:rsidRPr="3238681A">
        <w:rPr>
          <w:rFonts w:eastAsiaTheme="majorEastAsia"/>
          <w:i/>
          <w:iCs/>
        </w:rPr>
        <w:t xml:space="preserve">Cemeteries and Crematoria Act 2020 </w:t>
      </w:r>
      <w:r w:rsidRPr="3238681A">
        <w:rPr>
          <w:rFonts w:eastAsiaTheme="majorEastAsia"/>
        </w:rPr>
        <w:t xml:space="preserve">to </w:t>
      </w:r>
      <w:r w:rsidR="00194CCC" w:rsidRPr="3238681A">
        <w:rPr>
          <w:rFonts w:eastAsiaTheme="majorEastAsia"/>
        </w:rPr>
        <w:t>provide</w:t>
      </w:r>
      <w:r w:rsidRPr="3238681A">
        <w:rPr>
          <w:rFonts w:eastAsiaTheme="majorEastAsia"/>
        </w:rPr>
        <w:t xml:space="preserve"> that the regulator must make the register of licences accessible to the public without charge on an ACT government website, or by a link on an ACT government website. </w:t>
      </w:r>
      <w:r w:rsidRPr="3238681A">
        <w:rPr>
          <w:rFonts w:eastAsiaTheme="majorEastAsia" w:cstheme="majorBidi"/>
        </w:rPr>
        <w:t>This enshrine</w:t>
      </w:r>
      <w:r w:rsidR="00024242" w:rsidRPr="3238681A">
        <w:rPr>
          <w:rFonts w:eastAsiaTheme="majorEastAsia" w:cstheme="majorBidi"/>
        </w:rPr>
        <w:t>s</w:t>
      </w:r>
      <w:r w:rsidRPr="3238681A">
        <w:rPr>
          <w:rFonts w:eastAsiaTheme="majorEastAsia" w:cstheme="majorBidi"/>
        </w:rPr>
        <w:t xml:space="preserve"> in legislation public accessibility to the register and standardises legislative language for public accessibility.</w:t>
      </w:r>
    </w:p>
    <w:p w14:paraId="431B3B2C" w14:textId="215158BC" w:rsidR="008D486A" w:rsidRDefault="008D486A" w:rsidP="008D486A">
      <w:pPr>
        <w:pStyle w:val="Heading3"/>
      </w:pPr>
      <w:r>
        <w:t xml:space="preserve">Part </w:t>
      </w:r>
      <w:r w:rsidR="002E0CD9">
        <w:t>9</w:t>
      </w:r>
      <w:r>
        <w:t xml:space="preserve">         Climate Change and Greenhouse Gas Reduction Act 2010</w:t>
      </w:r>
    </w:p>
    <w:p w14:paraId="4D465C11" w14:textId="6E913401" w:rsidR="007C0245" w:rsidRDefault="007C0245" w:rsidP="007C0245">
      <w:pPr>
        <w:pStyle w:val="Heading3"/>
        <w:tabs>
          <w:tab w:val="left" w:pos="1276"/>
          <w:tab w:val="left" w:pos="1418"/>
        </w:tabs>
      </w:pPr>
      <w:r>
        <w:t xml:space="preserve">Clause </w:t>
      </w:r>
      <w:r w:rsidR="007B2799">
        <w:t>19</w:t>
      </w:r>
      <w:r>
        <w:t xml:space="preserve">  Register of agreements Section 24 (2)</w:t>
      </w:r>
    </w:p>
    <w:p w14:paraId="58034019" w14:textId="5108032D" w:rsidR="007C0245" w:rsidRDefault="007C0245" w:rsidP="007C0245">
      <w:pPr>
        <w:rPr>
          <w:rFonts w:eastAsiaTheme="majorEastAsia"/>
        </w:rPr>
      </w:pPr>
      <w:r>
        <w:rPr>
          <w:rFonts w:eastAsiaTheme="majorEastAsia"/>
        </w:rPr>
        <w:t xml:space="preserve">This clause amends section 24 (2) </w:t>
      </w:r>
      <w:r w:rsidR="00C13235">
        <w:rPr>
          <w:rFonts w:eastAsiaTheme="majorEastAsia"/>
        </w:rPr>
        <w:t xml:space="preserve">of the </w:t>
      </w:r>
      <w:r w:rsidR="00C13235">
        <w:rPr>
          <w:rFonts w:eastAsiaTheme="majorEastAsia"/>
          <w:i/>
          <w:iCs/>
        </w:rPr>
        <w:t xml:space="preserve">Climate Change and Greenhouse Gas Reduction Act 2010 </w:t>
      </w:r>
      <w:r>
        <w:rPr>
          <w:rFonts w:eastAsiaTheme="majorEastAsia"/>
        </w:rPr>
        <w:t xml:space="preserve">to </w:t>
      </w:r>
      <w:r w:rsidR="00194CCC">
        <w:rPr>
          <w:rFonts w:eastAsiaTheme="majorEastAsia"/>
        </w:rPr>
        <w:t>provide</w:t>
      </w:r>
      <w:r>
        <w:rPr>
          <w:rFonts w:eastAsiaTheme="majorEastAsia"/>
        </w:rPr>
        <w:t xml:space="preserve"> that the regulator must make the register of agreements accessible to the public without charge on an ACT government website, or by a link on an ACT government website. </w:t>
      </w:r>
    </w:p>
    <w:p w14:paraId="2BB0B813" w14:textId="792E417E" w:rsidR="007C0245" w:rsidRDefault="00E80BE3" w:rsidP="3238681A">
      <w:pPr>
        <w:rPr>
          <w:rFonts w:eastAsiaTheme="majorEastAsia"/>
        </w:rPr>
      </w:pPr>
      <w:r w:rsidRPr="3238681A">
        <w:rPr>
          <w:rFonts w:eastAsiaTheme="majorEastAsia"/>
        </w:rPr>
        <w:t xml:space="preserve">It </w:t>
      </w:r>
      <w:bookmarkStart w:id="4" w:name="_Int_eEvpC4UK"/>
      <w:r w:rsidRPr="3238681A">
        <w:rPr>
          <w:rFonts w:eastAsiaTheme="majorEastAsia"/>
        </w:rPr>
        <w:t>retains</w:t>
      </w:r>
      <w:bookmarkEnd w:id="4"/>
      <w:r w:rsidRPr="3238681A">
        <w:rPr>
          <w:rFonts w:eastAsiaTheme="majorEastAsia"/>
        </w:rPr>
        <w:t xml:space="preserve"> the requirement for the register to be made available for inspection during ordinary business hours at an ACT government office. </w:t>
      </w:r>
    </w:p>
    <w:p w14:paraId="46007966" w14:textId="75F94BAF" w:rsidR="006E6B79" w:rsidRDefault="007C0245" w:rsidP="3238681A">
      <w:pPr>
        <w:rPr>
          <w:rFonts w:eastAsiaTheme="majorEastAsia" w:cstheme="majorBidi"/>
        </w:rPr>
      </w:pPr>
      <w:r w:rsidRPr="3238681A">
        <w:rPr>
          <w:rFonts w:eastAsiaTheme="majorEastAsia" w:cstheme="majorBidi"/>
        </w:rPr>
        <w:lastRenderedPageBreak/>
        <w:t>This enshrine</w:t>
      </w:r>
      <w:r w:rsidR="00024242" w:rsidRPr="3238681A">
        <w:rPr>
          <w:rFonts w:eastAsiaTheme="majorEastAsia" w:cstheme="majorBidi"/>
        </w:rPr>
        <w:t>s</w:t>
      </w:r>
      <w:r w:rsidRPr="3238681A">
        <w:rPr>
          <w:rFonts w:eastAsiaTheme="majorEastAsia" w:cstheme="majorBidi"/>
        </w:rPr>
        <w:t xml:space="preserve"> in legislation public accessibility to the register and standardises legislative language for public accessibility</w:t>
      </w:r>
      <w:r w:rsidR="006E6B79" w:rsidRPr="3238681A">
        <w:rPr>
          <w:rFonts w:eastAsiaTheme="majorEastAsia" w:cstheme="majorBidi"/>
        </w:rPr>
        <w:t xml:space="preserve"> while still providing the authority to provide in-person access.</w:t>
      </w:r>
    </w:p>
    <w:p w14:paraId="2D8261B6" w14:textId="18935193" w:rsidR="00E80BE3" w:rsidRDefault="00E80BE3" w:rsidP="00E80BE3">
      <w:pPr>
        <w:pStyle w:val="Heading3"/>
        <w:tabs>
          <w:tab w:val="left" w:pos="1276"/>
        </w:tabs>
      </w:pPr>
      <w:r>
        <w:t>Part 10       Construction Occupations (Licensing) Act 2004</w:t>
      </w:r>
    </w:p>
    <w:p w14:paraId="384CC6F3" w14:textId="3C832E6C" w:rsidR="003055F9" w:rsidRDefault="00C13235" w:rsidP="00C13235">
      <w:pPr>
        <w:tabs>
          <w:tab w:val="left" w:pos="1134"/>
          <w:tab w:val="left" w:pos="1276"/>
        </w:tabs>
        <w:rPr>
          <w:b/>
          <w:bCs/>
        </w:rPr>
      </w:pPr>
      <w:r w:rsidRPr="3238681A">
        <w:rPr>
          <w:b/>
          <w:bCs/>
        </w:rPr>
        <w:t xml:space="preserve">Clause </w:t>
      </w:r>
      <w:r w:rsidR="007B2799">
        <w:rPr>
          <w:b/>
          <w:bCs/>
        </w:rPr>
        <w:t>20</w:t>
      </w:r>
      <w:r w:rsidRPr="3238681A">
        <w:rPr>
          <w:b/>
          <w:bCs/>
        </w:rPr>
        <w:t xml:space="preserve">  The register New section 107 (4A)</w:t>
      </w:r>
    </w:p>
    <w:p w14:paraId="12AE6E65" w14:textId="6853C0A8" w:rsidR="00C13235" w:rsidRDefault="008B0EC8" w:rsidP="00C13235">
      <w:pPr>
        <w:tabs>
          <w:tab w:val="left" w:pos="1134"/>
          <w:tab w:val="left" w:pos="1276"/>
        </w:tabs>
      </w:pPr>
      <w:r>
        <w:t xml:space="preserve">This clause inserts a new section 107 (4A) in the </w:t>
      </w:r>
      <w:r>
        <w:rPr>
          <w:i/>
          <w:iCs/>
        </w:rPr>
        <w:t>Construction Occupations (Licensing) Act 2004</w:t>
      </w:r>
      <w:r w:rsidR="004B5AF2">
        <w:rPr>
          <w:i/>
          <w:iCs/>
        </w:rPr>
        <w:t xml:space="preserve"> </w:t>
      </w:r>
      <w:r w:rsidR="004B5AF2">
        <w:t>(Construction Occupations Licensing Act)</w:t>
      </w:r>
      <w:r>
        <w:rPr>
          <w:i/>
          <w:iCs/>
        </w:rPr>
        <w:t xml:space="preserve"> </w:t>
      </w:r>
      <w:r>
        <w:t xml:space="preserve">to </w:t>
      </w:r>
      <w:r w:rsidR="00194CCC">
        <w:t>provide</w:t>
      </w:r>
      <w:r>
        <w:t xml:space="preserve"> that the registrar must make the register of construction occupation licensees accessible to the public without charge on an ACT government website, or by a link on an ACT government website. </w:t>
      </w:r>
    </w:p>
    <w:p w14:paraId="67B1CEA7" w14:textId="041049E9" w:rsidR="008B0EC8" w:rsidRDefault="008B0EC8" w:rsidP="3238681A">
      <w:pPr>
        <w:rPr>
          <w:rFonts w:eastAsiaTheme="majorEastAsia" w:cstheme="majorBidi"/>
        </w:rPr>
      </w:pPr>
      <w:r w:rsidRPr="3238681A">
        <w:rPr>
          <w:rFonts w:eastAsiaTheme="majorEastAsia" w:cstheme="majorBidi"/>
        </w:rPr>
        <w:t>This enshrine</w:t>
      </w:r>
      <w:r w:rsidR="00024242" w:rsidRPr="3238681A">
        <w:rPr>
          <w:rFonts w:eastAsiaTheme="majorEastAsia" w:cstheme="majorBidi"/>
        </w:rPr>
        <w:t>s</w:t>
      </w:r>
      <w:r w:rsidRPr="3238681A">
        <w:rPr>
          <w:rFonts w:eastAsiaTheme="majorEastAsia" w:cstheme="majorBidi"/>
        </w:rPr>
        <w:t xml:space="preserve"> in legislation public accessibility to the register and standardises legislative language for public accessibility.</w:t>
      </w:r>
    </w:p>
    <w:p w14:paraId="26D39CA5" w14:textId="75B0E8F8" w:rsidR="008B0EC8" w:rsidRDefault="008B0EC8" w:rsidP="00C13235">
      <w:pPr>
        <w:tabs>
          <w:tab w:val="left" w:pos="1134"/>
          <w:tab w:val="left" w:pos="1276"/>
        </w:tabs>
        <w:rPr>
          <w:b/>
          <w:bCs/>
        </w:rPr>
      </w:pPr>
      <w:r w:rsidRPr="3238681A">
        <w:rPr>
          <w:b/>
          <w:bCs/>
        </w:rPr>
        <w:t xml:space="preserve">Clause </w:t>
      </w:r>
      <w:r w:rsidR="007B2799">
        <w:rPr>
          <w:b/>
          <w:bCs/>
        </w:rPr>
        <w:t>21</w:t>
      </w:r>
      <w:r w:rsidR="004B5AF2" w:rsidRPr="3238681A">
        <w:rPr>
          <w:b/>
          <w:bCs/>
        </w:rPr>
        <w:t xml:space="preserve">  Register – public information Section 107A (1)</w:t>
      </w:r>
    </w:p>
    <w:p w14:paraId="20B16497" w14:textId="1E158B8B" w:rsidR="004B5AF2" w:rsidRDefault="004B5AF2" w:rsidP="004B5AF2">
      <w:pPr>
        <w:tabs>
          <w:tab w:val="left" w:pos="1134"/>
          <w:tab w:val="left" w:pos="1276"/>
        </w:tabs>
      </w:pPr>
      <w:r>
        <w:t xml:space="preserve">This clause amends section 107A (1) of the Construction Occupations Licensing Act to </w:t>
      </w:r>
      <w:r w:rsidR="00194CCC">
        <w:t>provide</w:t>
      </w:r>
      <w:r>
        <w:t xml:space="preserve"> that the registrar must publish a register of public information at least once a week in a way that is accessible to the public without charge on an ACT government website, or by a link on an ACT government website. </w:t>
      </w:r>
    </w:p>
    <w:p w14:paraId="57BAAC15" w14:textId="60301AEF" w:rsidR="003055F9" w:rsidRPr="004B5AF2" w:rsidRDefault="004B5AF2" w:rsidP="3238681A">
      <w:pPr>
        <w:rPr>
          <w:rFonts w:eastAsiaTheme="majorEastAsia" w:cstheme="majorBidi"/>
        </w:rPr>
      </w:pPr>
      <w:r w:rsidRPr="3238681A">
        <w:rPr>
          <w:rFonts w:eastAsiaTheme="majorEastAsia" w:cstheme="majorBidi"/>
        </w:rPr>
        <w:t>This enshrine</w:t>
      </w:r>
      <w:r w:rsidR="00024242" w:rsidRPr="3238681A">
        <w:rPr>
          <w:rFonts w:eastAsiaTheme="majorEastAsia" w:cstheme="majorBidi"/>
        </w:rPr>
        <w:t>s</w:t>
      </w:r>
      <w:r w:rsidRPr="3238681A">
        <w:rPr>
          <w:rFonts w:eastAsiaTheme="majorEastAsia" w:cstheme="majorBidi"/>
        </w:rPr>
        <w:t xml:space="preserve"> in legislation public accessibility to the register and standardises legislative language for public accessibility.</w:t>
      </w:r>
    </w:p>
    <w:p w14:paraId="1CD1298D" w14:textId="1ABC749D" w:rsidR="00E80BE3" w:rsidRDefault="00E80BE3" w:rsidP="00E80BE3">
      <w:pPr>
        <w:pStyle w:val="Heading3"/>
      </w:pPr>
      <w:r>
        <w:t>Part 11       Domestic Animals Act 2000</w:t>
      </w:r>
    </w:p>
    <w:p w14:paraId="51430883" w14:textId="28803AFC" w:rsidR="00D8076B" w:rsidRDefault="00D8076B" w:rsidP="00E80BE3">
      <w:pPr>
        <w:pStyle w:val="Heading3"/>
        <w:tabs>
          <w:tab w:val="left" w:pos="1276"/>
        </w:tabs>
      </w:pPr>
      <w:r>
        <w:t xml:space="preserve">Clause </w:t>
      </w:r>
      <w:r w:rsidR="007B2799">
        <w:t>22</w:t>
      </w:r>
      <w:r>
        <w:t xml:space="preserve">  Offences against Act – application of Criminal Code etc Section 4A, note 1</w:t>
      </w:r>
    </w:p>
    <w:p w14:paraId="4764F3C1" w14:textId="2C5DD616" w:rsidR="00D8076B" w:rsidRPr="00D8076B" w:rsidRDefault="00D8076B" w:rsidP="00D8076B">
      <w:r w:rsidRPr="3238681A">
        <w:rPr>
          <w:rFonts w:eastAsiaTheme="majorEastAsia"/>
        </w:rPr>
        <w:t xml:space="preserve">This clause </w:t>
      </w:r>
      <w:r w:rsidR="00A31C0E">
        <w:rPr>
          <w:rFonts w:eastAsiaTheme="majorEastAsia"/>
        </w:rPr>
        <w:t xml:space="preserve">outlines a redrafting by Parliamentary Counsel’s Office of </w:t>
      </w:r>
      <w:r w:rsidRPr="3238681A">
        <w:rPr>
          <w:rFonts w:eastAsiaTheme="majorEastAsia"/>
        </w:rPr>
        <w:t xml:space="preserve">note 1 of section 4A of the </w:t>
      </w:r>
      <w:r w:rsidRPr="3238681A">
        <w:rPr>
          <w:rFonts w:eastAsiaTheme="majorEastAsia"/>
          <w:i/>
          <w:iCs/>
        </w:rPr>
        <w:t xml:space="preserve">Domestic Animals Act 2000 </w:t>
      </w:r>
      <w:r w:rsidRPr="3238681A">
        <w:rPr>
          <w:rFonts w:eastAsiaTheme="majorEastAsia"/>
        </w:rPr>
        <w:t>(Domestic Animals Act) which advises that the Criminal Code applies to offences against this Act.</w:t>
      </w:r>
      <w:r w:rsidR="00A31C0E">
        <w:rPr>
          <w:rFonts w:eastAsiaTheme="majorEastAsia"/>
        </w:rPr>
        <w:t xml:space="preserve"> This redraft refers to some parts and removes provisions to which the Criminal Code does not apply, rather than listing all the provisions to which the Criminal Code applies. This is a stylistic/drafting matter that reduces the length of the note. There is no change to the meaning of the provision or the note. </w:t>
      </w:r>
      <w:r w:rsidRPr="3238681A">
        <w:rPr>
          <w:rFonts w:eastAsiaTheme="majorEastAsia"/>
        </w:rPr>
        <w:t xml:space="preserve"> </w:t>
      </w:r>
    </w:p>
    <w:p w14:paraId="028F2421" w14:textId="7B06C482" w:rsidR="00E80BE3" w:rsidRDefault="00E80BE3" w:rsidP="00E80BE3">
      <w:pPr>
        <w:pStyle w:val="Heading3"/>
        <w:tabs>
          <w:tab w:val="left" w:pos="1276"/>
        </w:tabs>
      </w:pPr>
      <w:r>
        <w:t xml:space="preserve">Clause </w:t>
      </w:r>
      <w:r w:rsidR="007B2799">
        <w:t>23</w:t>
      </w:r>
      <w:r>
        <w:t xml:space="preserve">  Register of registered accredited assistance animals Section 97</w:t>
      </w:r>
    </w:p>
    <w:p w14:paraId="7AB19BE2" w14:textId="32C1BAD1" w:rsidR="005311E0" w:rsidRPr="00CD61C5" w:rsidRDefault="005311E0" w:rsidP="00E80BE3">
      <w:pPr>
        <w:tabs>
          <w:tab w:val="left" w:pos="1276"/>
        </w:tabs>
        <w:rPr>
          <w:rFonts w:eastAsiaTheme="majorEastAsia"/>
        </w:rPr>
      </w:pPr>
      <w:r w:rsidRPr="00CD61C5">
        <w:rPr>
          <w:rFonts w:eastAsiaTheme="majorEastAsia"/>
        </w:rPr>
        <w:t xml:space="preserve">This clause removes section 97 that provides for the registrar to set up and keep a register of registered accredited assistance animals. </w:t>
      </w:r>
    </w:p>
    <w:p w14:paraId="7334080B" w14:textId="30ABE23F" w:rsidR="005311E0" w:rsidRPr="00CD61C5" w:rsidRDefault="006E6B79" w:rsidP="00E80BE3">
      <w:pPr>
        <w:tabs>
          <w:tab w:val="left" w:pos="1276"/>
        </w:tabs>
        <w:rPr>
          <w:rFonts w:eastAsiaTheme="majorEastAsia"/>
        </w:rPr>
      </w:pPr>
      <w:r>
        <w:rPr>
          <w:rFonts w:eastAsiaTheme="majorEastAsia"/>
        </w:rPr>
        <w:t xml:space="preserve">This is considered superfluous as section 5 </w:t>
      </w:r>
      <w:r w:rsidR="005311E0" w:rsidRPr="00CD61C5">
        <w:rPr>
          <w:rFonts w:eastAsiaTheme="majorEastAsia"/>
        </w:rPr>
        <w:t>of the Domestic Animals Act</w:t>
      </w:r>
      <w:r>
        <w:rPr>
          <w:rFonts w:eastAsiaTheme="majorEastAsia"/>
        </w:rPr>
        <w:t xml:space="preserve"> already provides for a register for the Act in its entirety</w:t>
      </w:r>
      <w:r w:rsidR="005311E0" w:rsidRPr="00CD61C5">
        <w:rPr>
          <w:rFonts w:eastAsiaTheme="majorEastAsia"/>
        </w:rPr>
        <w:t>.</w:t>
      </w:r>
    </w:p>
    <w:p w14:paraId="05D50394" w14:textId="73F1E58E" w:rsidR="00612AE1" w:rsidRDefault="00612AE1" w:rsidP="001F2B8D">
      <w:pPr>
        <w:pStyle w:val="Heading3"/>
        <w:tabs>
          <w:tab w:val="left" w:pos="1276"/>
        </w:tabs>
      </w:pPr>
      <w:r>
        <w:lastRenderedPageBreak/>
        <w:t xml:space="preserve">Clause </w:t>
      </w:r>
      <w:r w:rsidR="007B2799">
        <w:t>24</w:t>
      </w:r>
      <w:r>
        <w:t xml:space="preserve">  </w:t>
      </w:r>
      <w:r w:rsidR="005311E0">
        <w:t>Registration of accredited assistance animals Section 98 (4)</w:t>
      </w:r>
    </w:p>
    <w:p w14:paraId="3EF6F349" w14:textId="1831DBA3" w:rsidR="001F2B8D" w:rsidRDefault="001F2B8D" w:rsidP="001F2B8D">
      <w:r>
        <w:t xml:space="preserve">This clause amends section 98 (4) of the Domestic Animals Act </w:t>
      </w:r>
      <w:r w:rsidR="00044F38">
        <w:t xml:space="preserve">to provide that the registrar must give </w:t>
      </w:r>
      <w:r w:rsidR="00D8076B">
        <w:t>the person</w:t>
      </w:r>
      <w:r w:rsidR="00044F38">
        <w:t xml:space="preserve"> written notice of their decision whether to register an accredited assistance animal and, if the registrar registers an accredited assistance animal, to record in the register information prescribed by regulation.</w:t>
      </w:r>
    </w:p>
    <w:p w14:paraId="2B4A0984" w14:textId="6D0F2D99" w:rsidR="00044F38" w:rsidRDefault="00044F38" w:rsidP="001F2B8D">
      <w:r>
        <w:t>This amendment enshrines in legislation a requirement for the registrar to give written notice of a refusal to register an accredited assistance animal.</w:t>
      </w:r>
    </w:p>
    <w:p w14:paraId="052DEA3E" w14:textId="25BC9AEF" w:rsidR="00D8076B" w:rsidRDefault="00D8076B" w:rsidP="00D8076B">
      <w:pPr>
        <w:rPr>
          <w:b/>
          <w:bCs/>
        </w:rPr>
      </w:pPr>
      <w:r>
        <w:rPr>
          <w:b/>
          <w:bCs/>
        </w:rPr>
        <w:t xml:space="preserve">Clause </w:t>
      </w:r>
      <w:r w:rsidR="007B2799">
        <w:rPr>
          <w:b/>
          <w:bCs/>
        </w:rPr>
        <w:t>25</w:t>
      </w:r>
      <w:r>
        <w:rPr>
          <w:b/>
          <w:bCs/>
        </w:rPr>
        <w:t xml:space="preserve">  Section 98 (5)</w:t>
      </w:r>
    </w:p>
    <w:p w14:paraId="303D282F" w14:textId="33ABBF0B" w:rsidR="00D8076B" w:rsidRDefault="00D8076B" w:rsidP="00D8076B">
      <w:pPr>
        <w:rPr>
          <w:b/>
          <w:bCs/>
        </w:rPr>
      </w:pPr>
      <w:r>
        <w:t xml:space="preserve">This clause makes a minor and technical amendment to section 98 (5) to omit </w:t>
      </w:r>
      <w:r w:rsidRPr="00A42362">
        <w:rPr>
          <w:i/>
          <w:iCs/>
        </w:rPr>
        <w:t>applicant</w:t>
      </w:r>
      <w:r>
        <w:t xml:space="preserve"> and replace with </w:t>
      </w:r>
      <w:r w:rsidRPr="00A42362">
        <w:rPr>
          <w:i/>
          <w:iCs/>
        </w:rPr>
        <w:t>person</w:t>
      </w:r>
      <w:r>
        <w:t xml:space="preserve">. </w:t>
      </w:r>
      <w:r w:rsidR="00A42362">
        <w:t>This aligns the legislative language with other provisions in the Act.</w:t>
      </w:r>
    </w:p>
    <w:p w14:paraId="4E23F6DF" w14:textId="6CF3CF46" w:rsidR="00301709" w:rsidRDefault="00301709" w:rsidP="001F2B8D">
      <w:pPr>
        <w:rPr>
          <w:b/>
          <w:bCs/>
        </w:rPr>
      </w:pPr>
      <w:r>
        <w:rPr>
          <w:b/>
          <w:bCs/>
        </w:rPr>
        <w:t xml:space="preserve">Clause </w:t>
      </w:r>
      <w:r w:rsidR="007B2799">
        <w:rPr>
          <w:b/>
          <w:bCs/>
        </w:rPr>
        <w:t>26</w:t>
      </w:r>
      <w:r>
        <w:rPr>
          <w:b/>
          <w:bCs/>
        </w:rPr>
        <w:t xml:space="preserve">  New section 99A</w:t>
      </w:r>
    </w:p>
    <w:p w14:paraId="78200BAE" w14:textId="3C7A4D45" w:rsidR="00301709" w:rsidRDefault="00301709" w:rsidP="00301709">
      <w:pPr>
        <w:tabs>
          <w:tab w:val="left" w:pos="1276"/>
          <w:tab w:val="left" w:pos="1418"/>
        </w:tabs>
      </w:pPr>
      <w:r>
        <w:t xml:space="preserve">This clause inserts a new section 99A in the Domestic Animals Act </w:t>
      </w:r>
      <w:r w:rsidR="00CB3B8A">
        <w:t xml:space="preserve">that provides that the registrar must make available to the public information in the register about a registered accredited assistance animal that is prescribed by regulation. The information must be made accessible to the public without charge on an ACT government website, or by a link on an ACT government website. </w:t>
      </w:r>
    </w:p>
    <w:p w14:paraId="35CDAB11" w14:textId="6853F21D" w:rsidR="00CB3B8A" w:rsidRPr="004B5AF2" w:rsidRDefault="00CB3B8A" w:rsidP="3238681A">
      <w:pPr>
        <w:rPr>
          <w:rFonts w:eastAsiaTheme="majorEastAsia" w:cstheme="majorBidi"/>
        </w:rPr>
      </w:pPr>
      <w:r w:rsidRPr="3238681A">
        <w:rPr>
          <w:rFonts w:eastAsiaTheme="majorEastAsia" w:cstheme="majorBidi"/>
        </w:rPr>
        <w:t>This enshrine</w:t>
      </w:r>
      <w:r w:rsidR="00024242" w:rsidRPr="3238681A">
        <w:rPr>
          <w:rFonts w:eastAsiaTheme="majorEastAsia" w:cstheme="majorBidi"/>
        </w:rPr>
        <w:t>s</w:t>
      </w:r>
      <w:r w:rsidRPr="3238681A">
        <w:rPr>
          <w:rFonts w:eastAsiaTheme="majorEastAsia" w:cstheme="majorBidi"/>
        </w:rPr>
        <w:t xml:space="preserve"> in legislation public accessibility to information in the register and standardises legislative language for public accessibility.</w:t>
      </w:r>
    </w:p>
    <w:p w14:paraId="1BB890AF" w14:textId="1EEA1575" w:rsidR="00CB3B8A" w:rsidRDefault="00CB3B8A" w:rsidP="00CB3B8A">
      <w:pPr>
        <w:tabs>
          <w:tab w:val="left" w:pos="1276"/>
          <w:tab w:val="left" w:pos="1418"/>
        </w:tabs>
        <w:rPr>
          <w:b/>
          <w:bCs/>
        </w:rPr>
      </w:pPr>
      <w:r>
        <w:rPr>
          <w:b/>
          <w:bCs/>
        </w:rPr>
        <w:t xml:space="preserve">Clause </w:t>
      </w:r>
      <w:r w:rsidR="007B2799">
        <w:rPr>
          <w:b/>
          <w:bCs/>
        </w:rPr>
        <w:t>27</w:t>
      </w:r>
      <w:r>
        <w:rPr>
          <w:b/>
          <w:bCs/>
        </w:rPr>
        <w:t xml:space="preserve">  Registrar may register assistance animal trainer Section 100 (5)</w:t>
      </w:r>
    </w:p>
    <w:p w14:paraId="1D4ECA10" w14:textId="753D809A" w:rsidR="00CB3B8A" w:rsidRDefault="00CB3B8A" w:rsidP="00CB3B8A">
      <w:pPr>
        <w:tabs>
          <w:tab w:val="left" w:pos="1276"/>
          <w:tab w:val="left" w:pos="1418"/>
        </w:tabs>
      </w:pPr>
      <w:r>
        <w:t>This clause amends section 100 (5) of the Domestic Animals Act to provide that the registrar must give the applicant written notice of their decision regarding an application to register an assistance animal trainer. If the registrar registers the applicant, the registrar must record in the register the information prescribed by regulation.</w:t>
      </w:r>
    </w:p>
    <w:p w14:paraId="0C0C0639" w14:textId="0644CD37" w:rsidR="0056565C" w:rsidRDefault="00FC2D20" w:rsidP="00CB3B8A">
      <w:pPr>
        <w:tabs>
          <w:tab w:val="left" w:pos="1276"/>
          <w:tab w:val="left" w:pos="1418"/>
        </w:tabs>
      </w:pPr>
      <w:r>
        <w:t xml:space="preserve">Recording this on a register is intended to improve </w:t>
      </w:r>
      <w:r w:rsidR="006E6B79">
        <w:t xml:space="preserve">the quality of </w:t>
      </w:r>
      <w:r>
        <w:t xml:space="preserve">information on the register. </w:t>
      </w:r>
    </w:p>
    <w:p w14:paraId="251858B2" w14:textId="771E4595" w:rsidR="00A42362" w:rsidRDefault="00A42362" w:rsidP="00A42362">
      <w:pPr>
        <w:rPr>
          <w:b/>
          <w:bCs/>
        </w:rPr>
      </w:pPr>
      <w:r>
        <w:rPr>
          <w:b/>
          <w:bCs/>
        </w:rPr>
        <w:t xml:space="preserve">Clause </w:t>
      </w:r>
      <w:r w:rsidR="007B2799">
        <w:rPr>
          <w:b/>
          <w:bCs/>
        </w:rPr>
        <w:t>28</w:t>
      </w:r>
      <w:r>
        <w:rPr>
          <w:b/>
          <w:bCs/>
        </w:rPr>
        <w:t xml:space="preserve">  New section 103A</w:t>
      </w:r>
    </w:p>
    <w:p w14:paraId="320F71D7" w14:textId="1B5455B5" w:rsidR="00A42362" w:rsidRDefault="00A42362" w:rsidP="00A42362">
      <w:r>
        <w:t xml:space="preserve">This clause inserts a new section to provide that a person commits an offence if the assistance animal trainer is registered and is convicted or found guilty of an offence under the Domestic Animals Act, </w:t>
      </w:r>
      <w:r w:rsidRPr="2CC68585">
        <w:rPr>
          <w:i/>
          <w:iCs/>
        </w:rPr>
        <w:t>Animal Welfare Act 1992</w:t>
      </w:r>
      <w:r>
        <w:t xml:space="preserve">, or any State law corresponding to these Acts and does not tell the registrar about the conviction or finding of guilt. This offence provision carries a maximum penalty of </w:t>
      </w:r>
      <w:r w:rsidR="73283D13">
        <w:t xml:space="preserve">50 </w:t>
      </w:r>
      <w:r>
        <w:t>penalty units</w:t>
      </w:r>
      <w:r w:rsidR="00A31C0E">
        <w:t xml:space="preserve"> and is a strict liability offence</w:t>
      </w:r>
      <w:r>
        <w:t>.</w:t>
      </w:r>
    </w:p>
    <w:p w14:paraId="158F2265" w14:textId="25DEAD09" w:rsidR="00A42362" w:rsidRDefault="00A42362" w:rsidP="00A42362">
      <w:r>
        <w:t>The intent of this new provision is to preserve the integrity of the new public register</w:t>
      </w:r>
      <w:r w:rsidR="00EE4D67">
        <w:t xml:space="preserve"> and ensure animal welfare</w:t>
      </w:r>
      <w:r>
        <w:t>.</w:t>
      </w:r>
    </w:p>
    <w:p w14:paraId="4403E92D" w14:textId="1AB9F3B2" w:rsidR="00CB3B8A" w:rsidRDefault="00CB3B8A" w:rsidP="00CB3B8A">
      <w:pPr>
        <w:tabs>
          <w:tab w:val="left" w:pos="1276"/>
          <w:tab w:val="left" w:pos="1418"/>
        </w:tabs>
        <w:rPr>
          <w:b/>
          <w:bCs/>
        </w:rPr>
      </w:pPr>
      <w:r>
        <w:rPr>
          <w:b/>
          <w:bCs/>
        </w:rPr>
        <w:lastRenderedPageBreak/>
        <w:t xml:space="preserve">Clause </w:t>
      </w:r>
      <w:r w:rsidR="007B2799">
        <w:rPr>
          <w:b/>
          <w:bCs/>
        </w:rPr>
        <w:t>29</w:t>
      </w:r>
      <w:r>
        <w:rPr>
          <w:b/>
          <w:bCs/>
        </w:rPr>
        <w:t xml:space="preserve">  Registrar may register assistance animal assessor Section 104 (5)</w:t>
      </w:r>
    </w:p>
    <w:p w14:paraId="52F808CC" w14:textId="70C6797F" w:rsidR="00655ADD" w:rsidRDefault="00655ADD" w:rsidP="00CB3B8A">
      <w:pPr>
        <w:tabs>
          <w:tab w:val="left" w:pos="1276"/>
          <w:tab w:val="left" w:pos="1418"/>
        </w:tabs>
      </w:pPr>
      <w:r>
        <w:t>This clause amends section 104 (5) of the Domestic Animals Act to provide that the registrar must give the applicant written notice of their decision regarding an application to register an assistance animal assessor. If the registrar registers the applicant, the registrar must record in the register the information prescribed by regulation.</w:t>
      </w:r>
    </w:p>
    <w:p w14:paraId="32E42C30" w14:textId="73299AB4" w:rsidR="00FC2D20" w:rsidRDefault="00FC2D20" w:rsidP="00FC2D20">
      <w:pPr>
        <w:tabs>
          <w:tab w:val="left" w:pos="1276"/>
          <w:tab w:val="left" w:pos="1418"/>
        </w:tabs>
      </w:pPr>
      <w:r>
        <w:t xml:space="preserve">Recording this on a register is intended to improve </w:t>
      </w:r>
      <w:r w:rsidR="006E6B79">
        <w:t xml:space="preserve">the quality of </w:t>
      </w:r>
      <w:r>
        <w:t xml:space="preserve">information on the register. </w:t>
      </w:r>
    </w:p>
    <w:p w14:paraId="0EF49CED" w14:textId="3C54AD80" w:rsidR="00655ADD" w:rsidRDefault="00655ADD" w:rsidP="00655ADD">
      <w:pPr>
        <w:tabs>
          <w:tab w:val="left" w:pos="1276"/>
          <w:tab w:val="left" w:pos="1418"/>
        </w:tabs>
        <w:rPr>
          <w:b/>
          <w:bCs/>
        </w:rPr>
      </w:pPr>
      <w:r>
        <w:rPr>
          <w:b/>
          <w:bCs/>
        </w:rPr>
        <w:t xml:space="preserve">Clause </w:t>
      </w:r>
      <w:r w:rsidR="007B2799">
        <w:rPr>
          <w:b/>
          <w:bCs/>
        </w:rPr>
        <w:t>30</w:t>
      </w:r>
      <w:r>
        <w:rPr>
          <w:b/>
          <w:bCs/>
        </w:rPr>
        <w:t xml:space="preserve">  New section</w:t>
      </w:r>
      <w:r w:rsidR="00EE4D67">
        <w:rPr>
          <w:b/>
          <w:bCs/>
        </w:rPr>
        <w:t>s</w:t>
      </w:r>
      <w:r>
        <w:rPr>
          <w:b/>
          <w:bCs/>
        </w:rPr>
        <w:t xml:space="preserve"> 106AA</w:t>
      </w:r>
      <w:r w:rsidR="00EE4D67">
        <w:rPr>
          <w:b/>
          <w:bCs/>
        </w:rPr>
        <w:t xml:space="preserve"> and 106AB</w:t>
      </w:r>
    </w:p>
    <w:p w14:paraId="516BB067" w14:textId="34A42AE0" w:rsidR="00EE4D67" w:rsidRDefault="00EE4D67" w:rsidP="00EE4D67">
      <w:r>
        <w:t xml:space="preserve">This clause inserts a new section 106AA to provide that a person commits an offence if the assistance animal assessor is registered and is convicted or found guilty of an offence under the Domestic Animals Act, </w:t>
      </w:r>
      <w:r w:rsidRPr="2CC68585">
        <w:rPr>
          <w:i/>
          <w:iCs/>
        </w:rPr>
        <w:t>Animal Welfare Act 1992</w:t>
      </w:r>
      <w:r>
        <w:t xml:space="preserve">, or any State law corresponding to these Acts and does not tell the registrar about the conviction or finding of guilt. This offence provision carries a maximum penalty of </w:t>
      </w:r>
      <w:r w:rsidR="73E0F63C">
        <w:t>50</w:t>
      </w:r>
      <w:r>
        <w:t xml:space="preserve"> penalty units</w:t>
      </w:r>
      <w:r w:rsidR="00A31C0E">
        <w:t xml:space="preserve"> and is a strict liability offence</w:t>
      </w:r>
      <w:r>
        <w:t>.</w:t>
      </w:r>
    </w:p>
    <w:p w14:paraId="2B5B3510" w14:textId="77777777" w:rsidR="00EE4D67" w:rsidRDefault="00EE4D67" w:rsidP="00EE4D67">
      <w:r>
        <w:t>The intent of this new provision is to preserve the integrity of the new public register and ensure animal welfare.</w:t>
      </w:r>
    </w:p>
    <w:p w14:paraId="022D79C3" w14:textId="61AFE46B" w:rsidR="00655ADD" w:rsidRDefault="00CF74B4" w:rsidP="00655ADD">
      <w:pPr>
        <w:tabs>
          <w:tab w:val="left" w:pos="1276"/>
          <w:tab w:val="left" w:pos="1418"/>
        </w:tabs>
      </w:pPr>
      <w:r>
        <w:t xml:space="preserve">This clause </w:t>
      </w:r>
      <w:r w:rsidR="00EE4D67">
        <w:t xml:space="preserve">also </w:t>
      </w:r>
      <w:r w:rsidR="007C7B5D">
        <w:t>inserts a new section 106A</w:t>
      </w:r>
      <w:r w:rsidR="00EE4D67">
        <w:t>B</w:t>
      </w:r>
      <w:r w:rsidR="007C7B5D">
        <w:t xml:space="preserve"> in the Domestic Animals Act to provide that the registrar must </w:t>
      </w:r>
      <w:r w:rsidR="00F2784C">
        <w:t xml:space="preserve">make available to the public information in the register about a registered assistance animal trainer or assessor that is prescribed by regulation. The registrar must make the information accessible to the public without charge on an ACT government website, or by a link on an ACT government website. </w:t>
      </w:r>
    </w:p>
    <w:p w14:paraId="3878813D" w14:textId="27C643FB" w:rsidR="00F2784C" w:rsidRPr="004B5AF2" w:rsidRDefault="00F2784C" w:rsidP="3238681A">
      <w:pPr>
        <w:rPr>
          <w:rFonts w:eastAsiaTheme="majorEastAsia" w:cstheme="majorBidi"/>
        </w:rPr>
      </w:pPr>
      <w:r w:rsidRPr="3238681A">
        <w:rPr>
          <w:rFonts w:eastAsiaTheme="majorEastAsia" w:cstheme="majorBidi"/>
        </w:rPr>
        <w:t>This enshrine</w:t>
      </w:r>
      <w:r w:rsidR="00024242" w:rsidRPr="3238681A">
        <w:rPr>
          <w:rFonts w:eastAsiaTheme="majorEastAsia" w:cstheme="majorBidi"/>
        </w:rPr>
        <w:t>s</w:t>
      </w:r>
      <w:r w:rsidRPr="3238681A">
        <w:rPr>
          <w:rFonts w:eastAsiaTheme="majorEastAsia" w:cstheme="majorBidi"/>
        </w:rPr>
        <w:t xml:space="preserve"> in legislation public accessibility to information in the register and standardises legislative language for public accessibility.</w:t>
      </w:r>
    </w:p>
    <w:p w14:paraId="19A6865C" w14:textId="24450ED9" w:rsidR="00F2784C" w:rsidRDefault="00F2784C" w:rsidP="00655ADD">
      <w:pPr>
        <w:tabs>
          <w:tab w:val="left" w:pos="1276"/>
          <w:tab w:val="left" w:pos="1418"/>
        </w:tabs>
        <w:rPr>
          <w:b/>
          <w:bCs/>
        </w:rPr>
      </w:pPr>
      <w:r w:rsidRPr="3238681A">
        <w:rPr>
          <w:b/>
          <w:bCs/>
        </w:rPr>
        <w:t xml:space="preserve">Clause </w:t>
      </w:r>
      <w:r w:rsidR="007B2799">
        <w:rPr>
          <w:b/>
          <w:bCs/>
        </w:rPr>
        <w:t>31</w:t>
      </w:r>
      <w:r w:rsidRPr="3238681A">
        <w:rPr>
          <w:b/>
          <w:bCs/>
        </w:rPr>
        <w:t xml:space="preserve">  New part 15</w:t>
      </w:r>
    </w:p>
    <w:p w14:paraId="5BCFAB9B" w14:textId="44227F7F" w:rsidR="00F2784C" w:rsidRDefault="00CD4016" w:rsidP="00F2784C">
      <w:pPr>
        <w:tabs>
          <w:tab w:val="left" w:pos="1276"/>
        </w:tabs>
      </w:pPr>
      <w:r>
        <w:t xml:space="preserve">This clause inserts a new </w:t>
      </w:r>
      <w:r w:rsidR="00BE49C8">
        <w:t>P</w:t>
      </w:r>
      <w:r>
        <w:t xml:space="preserve">art 15 </w:t>
      </w:r>
      <w:r w:rsidR="008737A5">
        <w:t xml:space="preserve">Transitional – Better Regulation Legislation Amendment Act 2026 </w:t>
      </w:r>
      <w:r>
        <w:t xml:space="preserve">in the </w:t>
      </w:r>
      <w:r w:rsidR="008737A5">
        <w:t xml:space="preserve">Domestic Animals Act </w:t>
      </w:r>
      <w:r w:rsidR="00CD61C5">
        <w:t xml:space="preserve">to </w:t>
      </w:r>
      <w:r w:rsidR="00FC2D20">
        <w:t>provide</w:t>
      </w:r>
      <w:r w:rsidR="00CD61C5">
        <w:t xml:space="preserve"> that any information </w:t>
      </w:r>
      <w:r w:rsidR="00EE4D67">
        <w:t xml:space="preserve">about </w:t>
      </w:r>
      <w:r w:rsidR="00CD61C5">
        <w:t>registered accredited assistance animals</w:t>
      </w:r>
      <w:r w:rsidR="00FC2D20">
        <w:t>, accredited assistance animal trainers, and accredited animal assessors</w:t>
      </w:r>
      <w:r w:rsidR="00CD61C5">
        <w:t xml:space="preserve"> immediately before the commencement </w:t>
      </w:r>
      <w:r w:rsidR="00FC2D20">
        <w:t>day</w:t>
      </w:r>
      <w:r w:rsidR="00CD61C5">
        <w:t xml:space="preserve"> is taken</w:t>
      </w:r>
      <w:r w:rsidR="00B93D03">
        <w:t>, on the commencement day,</w:t>
      </w:r>
      <w:r w:rsidR="00CD61C5">
        <w:t xml:space="preserve"> to be recorded in the register kept under section 5 of the Domestic Animals Act.</w:t>
      </w:r>
    </w:p>
    <w:p w14:paraId="1DCA3413" w14:textId="60600378" w:rsidR="00FC2D20" w:rsidRPr="00CD61C5" w:rsidRDefault="00FC2D20" w:rsidP="00F2784C">
      <w:pPr>
        <w:tabs>
          <w:tab w:val="left" w:pos="1276"/>
        </w:tabs>
      </w:pPr>
      <w:r>
        <w:t xml:space="preserve">This new part 15 will expire </w:t>
      </w:r>
      <w:r w:rsidR="33E7AD80">
        <w:t xml:space="preserve">1 year </w:t>
      </w:r>
      <w:r>
        <w:t xml:space="preserve">after the </w:t>
      </w:r>
      <w:r w:rsidR="00E262E8">
        <w:t>commencement day</w:t>
      </w:r>
      <w:r>
        <w:t xml:space="preserve">. </w:t>
      </w:r>
    </w:p>
    <w:p w14:paraId="5C05BABC" w14:textId="5ECB3932" w:rsidR="00EC7E61" w:rsidRDefault="00EC7E61" w:rsidP="00EC7E61">
      <w:pPr>
        <w:pStyle w:val="Heading3"/>
        <w:tabs>
          <w:tab w:val="left" w:pos="1276"/>
        </w:tabs>
      </w:pPr>
      <w:r>
        <w:t>Part 12       Domestic Animals Regulation 2001</w:t>
      </w:r>
    </w:p>
    <w:p w14:paraId="749B8BBB" w14:textId="470A5738" w:rsidR="00EC7E61" w:rsidRDefault="008F37E9" w:rsidP="00EC7E61">
      <w:pPr>
        <w:pStyle w:val="Heading3"/>
      </w:pPr>
      <w:r>
        <w:t xml:space="preserve">Clause </w:t>
      </w:r>
      <w:r w:rsidR="007B2799">
        <w:t>32</w:t>
      </w:r>
      <w:r>
        <w:t xml:space="preserve">  New Part 3A</w:t>
      </w:r>
    </w:p>
    <w:p w14:paraId="37CBD78F" w14:textId="6BB6E7C1" w:rsidR="000D46D4" w:rsidRDefault="008F37E9" w:rsidP="008F37E9">
      <w:pPr>
        <w:rPr>
          <w:rFonts w:eastAsiaTheme="majorEastAsia"/>
        </w:rPr>
      </w:pPr>
      <w:r>
        <w:rPr>
          <w:rFonts w:eastAsiaTheme="majorEastAsia"/>
        </w:rPr>
        <w:t xml:space="preserve">This clause inserts a new </w:t>
      </w:r>
      <w:r w:rsidR="00D06244">
        <w:rPr>
          <w:rFonts w:eastAsiaTheme="majorEastAsia"/>
        </w:rPr>
        <w:t>P</w:t>
      </w:r>
      <w:r>
        <w:rPr>
          <w:rFonts w:eastAsiaTheme="majorEastAsia"/>
        </w:rPr>
        <w:t>art 3A</w:t>
      </w:r>
      <w:r w:rsidR="00D06244">
        <w:rPr>
          <w:rFonts w:eastAsiaTheme="majorEastAsia"/>
        </w:rPr>
        <w:t xml:space="preserve"> </w:t>
      </w:r>
      <w:r w:rsidR="002D5355">
        <w:rPr>
          <w:rFonts w:eastAsiaTheme="majorEastAsia"/>
        </w:rPr>
        <w:t xml:space="preserve">Assistance Animals </w:t>
      </w:r>
      <w:r w:rsidR="00131DBC">
        <w:rPr>
          <w:rFonts w:eastAsiaTheme="majorEastAsia"/>
        </w:rPr>
        <w:t xml:space="preserve">that contains new subdivisions 3A.1 Accreditation of assistance animals and Division 3A.2 Assistance animal </w:t>
      </w:r>
      <w:r w:rsidR="00131DBC">
        <w:rPr>
          <w:rFonts w:eastAsiaTheme="majorEastAsia"/>
        </w:rPr>
        <w:lastRenderedPageBreak/>
        <w:t xml:space="preserve">trainers and assessors </w:t>
      </w:r>
      <w:r w:rsidR="002D5355">
        <w:rPr>
          <w:rFonts w:eastAsiaTheme="majorEastAsia"/>
        </w:rPr>
        <w:t xml:space="preserve">in the </w:t>
      </w:r>
      <w:r w:rsidR="002D5355">
        <w:rPr>
          <w:rFonts w:eastAsiaTheme="majorEastAsia"/>
          <w:i/>
          <w:iCs/>
        </w:rPr>
        <w:t xml:space="preserve">Domestic Animals Regulation 2001 </w:t>
      </w:r>
      <w:r w:rsidR="002D5355">
        <w:rPr>
          <w:rFonts w:eastAsiaTheme="majorEastAsia"/>
        </w:rPr>
        <w:t>(Domestic Animals Regulation)</w:t>
      </w:r>
      <w:r w:rsidR="000D46D4">
        <w:rPr>
          <w:rFonts w:eastAsiaTheme="majorEastAsia"/>
        </w:rPr>
        <w:t xml:space="preserve">. </w:t>
      </w:r>
    </w:p>
    <w:p w14:paraId="3BF24267" w14:textId="49AC1CCD" w:rsidR="00133FB1" w:rsidRDefault="00131DBC" w:rsidP="008F37E9">
      <w:pPr>
        <w:rPr>
          <w:rFonts w:eastAsiaTheme="majorEastAsia"/>
        </w:rPr>
      </w:pPr>
      <w:r>
        <w:rPr>
          <w:rFonts w:eastAsiaTheme="majorEastAsia"/>
        </w:rPr>
        <w:t xml:space="preserve">New Division 3A.1 contains </w:t>
      </w:r>
      <w:r w:rsidR="00C00305">
        <w:rPr>
          <w:rFonts w:eastAsiaTheme="majorEastAsia"/>
        </w:rPr>
        <w:t xml:space="preserve">new </w:t>
      </w:r>
      <w:r>
        <w:rPr>
          <w:rFonts w:eastAsiaTheme="majorEastAsia"/>
        </w:rPr>
        <w:t xml:space="preserve">sections 9B, 9C and 9D. </w:t>
      </w:r>
    </w:p>
    <w:p w14:paraId="57276220" w14:textId="31020561" w:rsidR="00131DBC" w:rsidRDefault="00131DBC" w:rsidP="008F37E9">
      <w:pPr>
        <w:rPr>
          <w:rFonts w:eastAsiaTheme="majorEastAsia"/>
        </w:rPr>
      </w:pPr>
      <w:r>
        <w:rPr>
          <w:rFonts w:eastAsiaTheme="majorEastAsia"/>
        </w:rPr>
        <w:t xml:space="preserve">New section 9B </w:t>
      </w:r>
      <w:r w:rsidR="00133FB1">
        <w:rPr>
          <w:rFonts w:eastAsiaTheme="majorEastAsia"/>
        </w:rPr>
        <w:t xml:space="preserve">prescribes information that must be included in an application to register an accredited assistance animal as provided for in section 98 (2) (c) of the Domestic Animals Act. </w:t>
      </w:r>
    </w:p>
    <w:p w14:paraId="4E432DC1" w14:textId="362FB348" w:rsidR="00133FB1" w:rsidRDefault="00133FB1" w:rsidP="008F37E9">
      <w:pPr>
        <w:rPr>
          <w:rFonts w:eastAsiaTheme="majorEastAsia"/>
        </w:rPr>
      </w:pPr>
      <w:r>
        <w:rPr>
          <w:rFonts w:eastAsiaTheme="majorEastAsia"/>
        </w:rPr>
        <w:t>New section 9C prescribes information that must be recorded in the register about a registered accredited assistance animal as provided for in section 98 (4) (b) of the Domestic Animals Act.</w:t>
      </w:r>
    </w:p>
    <w:p w14:paraId="427682C0" w14:textId="772132FA" w:rsidR="00133FB1" w:rsidRDefault="00133FB1" w:rsidP="008F37E9">
      <w:pPr>
        <w:rPr>
          <w:rFonts w:eastAsiaTheme="majorEastAsia"/>
        </w:rPr>
      </w:pPr>
      <w:r>
        <w:rPr>
          <w:rFonts w:eastAsiaTheme="majorEastAsia"/>
        </w:rPr>
        <w:t xml:space="preserve">New section 9D </w:t>
      </w:r>
      <w:r w:rsidR="00BB7DE8">
        <w:rPr>
          <w:rFonts w:eastAsiaTheme="majorEastAsia"/>
        </w:rPr>
        <w:t>provides</w:t>
      </w:r>
      <w:r w:rsidR="00FC2D20">
        <w:rPr>
          <w:rFonts w:eastAsiaTheme="majorEastAsia"/>
        </w:rPr>
        <w:t xml:space="preserve"> for prescribed information that is made public</w:t>
      </w:r>
      <w:r w:rsidR="00BB7DE8">
        <w:rPr>
          <w:rFonts w:eastAsiaTheme="majorEastAsia"/>
        </w:rPr>
        <w:t>.</w:t>
      </w:r>
    </w:p>
    <w:p w14:paraId="502DD8BE" w14:textId="78498371" w:rsidR="00F96AF7" w:rsidRDefault="00F96AF7" w:rsidP="008F37E9">
      <w:pPr>
        <w:rPr>
          <w:rFonts w:eastAsiaTheme="majorEastAsia"/>
        </w:rPr>
      </w:pPr>
      <w:r>
        <w:rPr>
          <w:rFonts w:eastAsiaTheme="majorEastAsia"/>
        </w:rPr>
        <w:t xml:space="preserve">New Division 3A.2 contains </w:t>
      </w:r>
      <w:r w:rsidR="00C00305">
        <w:rPr>
          <w:rFonts w:eastAsiaTheme="majorEastAsia"/>
        </w:rPr>
        <w:t xml:space="preserve">new </w:t>
      </w:r>
      <w:r>
        <w:rPr>
          <w:rFonts w:eastAsiaTheme="majorEastAsia"/>
        </w:rPr>
        <w:t>sections 9E, 9F, 9G, 9H and 9I.</w:t>
      </w:r>
    </w:p>
    <w:p w14:paraId="34CB9977" w14:textId="5254DD7F" w:rsidR="00F96AF7" w:rsidRDefault="00C00305" w:rsidP="008F37E9">
      <w:pPr>
        <w:rPr>
          <w:rFonts w:eastAsiaTheme="majorEastAsia"/>
        </w:rPr>
      </w:pPr>
      <w:r>
        <w:rPr>
          <w:rFonts w:eastAsiaTheme="majorEastAsia"/>
        </w:rPr>
        <w:t>New section 9E prescribes information that must be included in an application to register as an assistance animal trainer as provided for in section 100 (2) (b) of the Domestic Animals Act.</w:t>
      </w:r>
    </w:p>
    <w:p w14:paraId="616779F0" w14:textId="36DB53D6" w:rsidR="00C00305" w:rsidRDefault="00E959AD" w:rsidP="008F37E9">
      <w:pPr>
        <w:rPr>
          <w:rFonts w:eastAsiaTheme="majorEastAsia"/>
        </w:rPr>
      </w:pPr>
      <w:r>
        <w:rPr>
          <w:rFonts w:eastAsiaTheme="majorEastAsia"/>
        </w:rPr>
        <w:t xml:space="preserve">New section 9F </w:t>
      </w:r>
      <w:r w:rsidR="00A0703F">
        <w:rPr>
          <w:rFonts w:eastAsiaTheme="majorEastAsia"/>
        </w:rPr>
        <w:t>provides that the information provided under section 9E is prescribed</w:t>
      </w:r>
      <w:r>
        <w:rPr>
          <w:rFonts w:eastAsiaTheme="majorEastAsia"/>
        </w:rPr>
        <w:t>.</w:t>
      </w:r>
    </w:p>
    <w:p w14:paraId="0E116F7D" w14:textId="62E386BA" w:rsidR="00A0703F" w:rsidRDefault="00A0703F" w:rsidP="008F37E9">
      <w:pPr>
        <w:rPr>
          <w:rFonts w:eastAsiaTheme="majorEastAsia"/>
        </w:rPr>
      </w:pPr>
      <w:r>
        <w:rPr>
          <w:rFonts w:eastAsiaTheme="majorEastAsia"/>
        </w:rPr>
        <w:t>New section 9G prescribes information that must be included in an application to register as an assistance animal assessor</w:t>
      </w:r>
      <w:r w:rsidR="00B26CF2">
        <w:rPr>
          <w:rFonts w:eastAsiaTheme="majorEastAsia"/>
        </w:rPr>
        <w:t xml:space="preserve"> as provided for in section 104 (2) (b) of the Domestic Animals Act</w:t>
      </w:r>
      <w:r>
        <w:rPr>
          <w:rFonts w:eastAsiaTheme="majorEastAsia"/>
        </w:rPr>
        <w:t xml:space="preserve">. </w:t>
      </w:r>
    </w:p>
    <w:p w14:paraId="69D9CB55" w14:textId="3FE4FA64" w:rsidR="00A0703F" w:rsidRDefault="00E959AD" w:rsidP="00A0703F">
      <w:pPr>
        <w:rPr>
          <w:rFonts w:eastAsiaTheme="majorEastAsia"/>
        </w:rPr>
      </w:pPr>
      <w:r>
        <w:rPr>
          <w:rFonts w:eastAsiaTheme="majorEastAsia"/>
        </w:rPr>
        <w:t xml:space="preserve">New section 9H </w:t>
      </w:r>
      <w:r w:rsidR="00A0703F">
        <w:rPr>
          <w:rFonts w:eastAsiaTheme="majorEastAsia"/>
        </w:rPr>
        <w:t>provides that the information provided under section 9G is prescribed.</w:t>
      </w:r>
    </w:p>
    <w:p w14:paraId="4471A434" w14:textId="5462BE56" w:rsidR="008A2E68" w:rsidRDefault="003A1D54" w:rsidP="00EE4D67">
      <w:pPr>
        <w:rPr>
          <w:rFonts w:eastAsiaTheme="majorEastAsia"/>
        </w:rPr>
      </w:pPr>
      <w:r>
        <w:rPr>
          <w:rFonts w:eastAsiaTheme="majorEastAsia"/>
        </w:rPr>
        <w:t>New section 9I provides</w:t>
      </w:r>
      <w:r w:rsidR="00EE4D67">
        <w:rPr>
          <w:rFonts w:eastAsiaTheme="majorEastAsia"/>
        </w:rPr>
        <w:t xml:space="preserve"> for the public information about registered assistance animal trainers and assessors as provided for in section 106AB (1) of the Domestic Animals Act</w:t>
      </w:r>
      <w:r w:rsidR="000F5247">
        <w:rPr>
          <w:rFonts w:eastAsiaTheme="majorEastAsia"/>
        </w:rPr>
        <w:t>.</w:t>
      </w:r>
    </w:p>
    <w:p w14:paraId="1EFB2148" w14:textId="352462A4" w:rsidR="00B26CF2" w:rsidRPr="008A2A8C" w:rsidRDefault="00B26CF2" w:rsidP="008A2A8C">
      <w:pPr>
        <w:rPr>
          <w:rFonts w:eastAsiaTheme="majorEastAsia"/>
        </w:rPr>
      </w:pPr>
      <w:bookmarkStart w:id="5" w:name="_Hlk222989109"/>
      <w:r>
        <w:rPr>
          <w:rFonts w:eastAsiaTheme="majorEastAsia"/>
        </w:rPr>
        <w:t>Prescribing information required for an application and information that will be made publicly accessible is intended to provide clarity.</w:t>
      </w:r>
    </w:p>
    <w:bookmarkEnd w:id="5"/>
    <w:p w14:paraId="35F735F9" w14:textId="54B4AFF1" w:rsidR="00E442BD" w:rsidRDefault="00E442BD" w:rsidP="00E442BD">
      <w:pPr>
        <w:tabs>
          <w:tab w:val="left" w:pos="1276"/>
        </w:tabs>
        <w:rPr>
          <w:rFonts w:eastAsiaTheme="majorEastAsia"/>
          <w:b/>
          <w:bCs/>
        </w:rPr>
      </w:pPr>
      <w:r>
        <w:rPr>
          <w:rFonts w:eastAsiaTheme="majorEastAsia"/>
          <w:b/>
          <w:bCs/>
        </w:rPr>
        <w:t>Part 1</w:t>
      </w:r>
      <w:r w:rsidR="008A2A8C">
        <w:rPr>
          <w:rFonts w:eastAsiaTheme="majorEastAsia"/>
          <w:b/>
          <w:bCs/>
        </w:rPr>
        <w:t>3</w:t>
      </w:r>
      <w:r>
        <w:rPr>
          <w:rFonts w:eastAsiaTheme="majorEastAsia"/>
          <w:b/>
          <w:bCs/>
        </w:rPr>
        <w:t xml:space="preserve">       Food Act 2001</w:t>
      </w:r>
    </w:p>
    <w:p w14:paraId="08E4A600" w14:textId="4AB9C95D" w:rsidR="00156591" w:rsidRDefault="00156591" w:rsidP="00156591">
      <w:pPr>
        <w:tabs>
          <w:tab w:val="left" w:pos="1276"/>
        </w:tabs>
        <w:rPr>
          <w:rFonts w:eastAsiaTheme="majorEastAsia"/>
          <w:b/>
          <w:bCs/>
        </w:rPr>
      </w:pPr>
      <w:r>
        <w:rPr>
          <w:rFonts w:eastAsiaTheme="majorEastAsia"/>
          <w:b/>
          <w:bCs/>
        </w:rPr>
        <w:t xml:space="preserve">Clause </w:t>
      </w:r>
      <w:r w:rsidR="007B2799">
        <w:rPr>
          <w:rFonts w:eastAsiaTheme="majorEastAsia"/>
          <w:b/>
          <w:bCs/>
        </w:rPr>
        <w:t>33</w:t>
      </w:r>
      <w:r>
        <w:rPr>
          <w:rFonts w:eastAsiaTheme="majorEastAsia"/>
          <w:b/>
          <w:bCs/>
        </w:rPr>
        <w:t xml:space="preserve">  </w:t>
      </w:r>
      <w:r w:rsidR="00965369">
        <w:rPr>
          <w:rFonts w:eastAsiaTheme="majorEastAsia"/>
          <w:b/>
          <w:bCs/>
        </w:rPr>
        <w:t>Registered food businesses – procedure for imposition etc of conditions on chief health officer’s initiative Section 95 (2) (h)</w:t>
      </w:r>
    </w:p>
    <w:p w14:paraId="313431DC" w14:textId="77777777" w:rsidR="00965369" w:rsidRDefault="00156591" w:rsidP="00156591">
      <w:pPr>
        <w:tabs>
          <w:tab w:val="left" w:pos="1276"/>
        </w:tabs>
        <w:rPr>
          <w:rFonts w:eastAsiaTheme="majorEastAsia"/>
        </w:rPr>
      </w:pPr>
      <w:r>
        <w:rPr>
          <w:rFonts w:eastAsiaTheme="majorEastAsia"/>
        </w:rPr>
        <w:t xml:space="preserve">This clause removes section </w:t>
      </w:r>
      <w:r w:rsidR="00965369">
        <w:rPr>
          <w:rFonts w:eastAsiaTheme="majorEastAsia"/>
        </w:rPr>
        <w:t>95 (2) (h)</w:t>
      </w:r>
      <w:r>
        <w:rPr>
          <w:rFonts w:eastAsiaTheme="majorEastAsia"/>
        </w:rPr>
        <w:t xml:space="preserve"> of the </w:t>
      </w:r>
      <w:r>
        <w:rPr>
          <w:rFonts w:eastAsiaTheme="majorEastAsia"/>
          <w:i/>
          <w:iCs/>
        </w:rPr>
        <w:t>Food Act 2001</w:t>
      </w:r>
      <w:r>
        <w:rPr>
          <w:rFonts w:eastAsiaTheme="majorEastAsia"/>
        </w:rPr>
        <w:t xml:space="preserve"> (Food Act)</w:t>
      </w:r>
      <w:r w:rsidR="00965369">
        <w:rPr>
          <w:rFonts w:eastAsiaTheme="majorEastAsia"/>
        </w:rPr>
        <w:t xml:space="preserve"> which provides that the proprietor of a food businesses may need to return the certificate of registration to the chief health officer if the chief health officer takes action on their own initiative to amend the registration to impose, amend or revoke a condition.</w:t>
      </w:r>
    </w:p>
    <w:p w14:paraId="4AB6AC3B" w14:textId="47D47480" w:rsidR="00965369" w:rsidRDefault="00965369" w:rsidP="00965369">
      <w:pPr>
        <w:tabs>
          <w:tab w:val="left" w:pos="1276"/>
        </w:tabs>
        <w:rPr>
          <w:rFonts w:eastAsiaTheme="majorEastAsia"/>
        </w:rPr>
      </w:pPr>
      <w:r>
        <w:rPr>
          <w:rFonts w:eastAsiaTheme="majorEastAsia"/>
        </w:rPr>
        <w:t xml:space="preserve">This will no longer be relevant as this Bill introduces amendments to the Food Act to make the food business register accessible electronically to the public. The removal </w:t>
      </w:r>
      <w:r>
        <w:rPr>
          <w:rFonts w:eastAsiaTheme="majorEastAsia"/>
        </w:rPr>
        <w:lastRenderedPageBreak/>
        <w:t>of the requirement to have a physical certificate will reduce administrative burden for businesses.</w:t>
      </w:r>
    </w:p>
    <w:p w14:paraId="2138BBFF" w14:textId="2EE11CDC" w:rsidR="00B053AD" w:rsidRDefault="00B053AD" w:rsidP="3238681A">
      <w:pPr>
        <w:tabs>
          <w:tab w:val="left" w:pos="1276"/>
        </w:tabs>
        <w:rPr>
          <w:rFonts w:eastAsiaTheme="majorEastAsia"/>
          <w:b/>
          <w:bCs/>
        </w:rPr>
      </w:pPr>
      <w:r w:rsidRPr="3238681A">
        <w:rPr>
          <w:rFonts w:eastAsiaTheme="majorEastAsia"/>
          <w:b/>
          <w:bCs/>
        </w:rPr>
        <w:t xml:space="preserve">Clause </w:t>
      </w:r>
      <w:r w:rsidR="007B2799">
        <w:rPr>
          <w:rFonts w:eastAsiaTheme="majorEastAsia"/>
          <w:b/>
          <w:bCs/>
        </w:rPr>
        <w:t>34</w:t>
      </w:r>
      <w:r w:rsidRPr="3238681A">
        <w:rPr>
          <w:rFonts w:eastAsiaTheme="majorEastAsia"/>
          <w:b/>
          <w:bCs/>
        </w:rPr>
        <w:t xml:space="preserve">  Change in details of registration or operation of food business Section 97 (2) (b)</w:t>
      </w:r>
    </w:p>
    <w:p w14:paraId="3D7D83B0" w14:textId="474CDC8E" w:rsidR="00156591" w:rsidRDefault="00B053AD" w:rsidP="3238681A">
      <w:pPr>
        <w:tabs>
          <w:tab w:val="left" w:pos="1276"/>
        </w:tabs>
        <w:rPr>
          <w:rFonts w:eastAsiaTheme="majorEastAsia"/>
          <w:b/>
          <w:bCs/>
        </w:rPr>
      </w:pPr>
      <w:r w:rsidRPr="3238681A">
        <w:rPr>
          <w:rFonts w:eastAsiaTheme="majorEastAsia"/>
        </w:rPr>
        <w:t>This clause amend</w:t>
      </w:r>
      <w:r w:rsidR="00024242" w:rsidRPr="3238681A">
        <w:rPr>
          <w:rFonts w:eastAsiaTheme="majorEastAsia"/>
        </w:rPr>
        <w:t>s</w:t>
      </w:r>
      <w:r w:rsidRPr="3238681A">
        <w:rPr>
          <w:rFonts w:eastAsiaTheme="majorEastAsia"/>
        </w:rPr>
        <w:t xml:space="preserve"> section 97 (2) (b) of the Food Act to remove the requirement that a proprietor must return a certificate of registration to the chief health officer with written notice of a change in the particulars or operation of the food business.</w:t>
      </w:r>
    </w:p>
    <w:p w14:paraId="0DFCDDEB" w14:textId="77777777" w:rsidR="00B053AD" w:rsidRDefault="00B053AD" w:rsidP="00B053AD">
      <w:pPr>
        <w:tabs>
          <w:tab w:val="left" w:pos="1276"/>
        </w:tabs>
        <w:rPr>
          <w:rFonts w:eastAsiaTheme="majorEastAsia"/>
        </w:rPr>
      </w:pPr>
      <w:r>
        <w:rPr>
          <w:rFonts w:eastAsiaTheme="majorEastAsia"/>
        </w:rPr>
        <w:t>This will no longer be relevant as this Bill introduces amendments to the Food Act to make the food business register accessible electronically to the public. The removal of the requirement to have a physical certificate will reduce administrative burden for businesses.</w:t>
      </w:r>
    </w:p>
    <w:p w14:paraId="71C50996" w14:textId="366CAABA" w:rsidR="00B053AD" w:rsidRDefault="00B053AD" w:rsidP="3238681A">
      <w:pPr>
        <w:tabs>
          <w:tab w:val="left" w:pos="1276"/>
        </w:tabs>
        <w:rPr>
          <w:rFonts w:eastAsiaTheme="majorEastAsia"/>
          <w:b/>
          <w:bCs/>
        </w:rPr>
      </w:pPr>
      <w:r w:rsidRPr="3238681A">
        <w:rPr>
          <w:rFonts w:eastAsiaTheme="majorEastAsia"/>
          <w:b/>
          <w:bCs/>
        </w:rPr>
        <w:t xml:space="preserve">Clause </w:t>
      </w:r>
      <w:r w:rsidR="007B2799">
        <w:rPr>
          <w:rFonts w:eastAsiaTheme="majorEastAsia"/>
          <w:b/>
          <w:bCs/>
        </w:rPr>
        <w:t>35</w:t>
      </w:r>
      <w:r w:rsidRPr="3238681A">
        <w:rPr>
          <w:rFonts w:eastAsiaTheme="majorEastAsia"/>
          <w:b/>
          <w:bCs/>
        </w:rPr>
        <w:t xml:space="preserve">  Section 97 (8)</w:t>
      </w:r>
    </w:p>
    <w:p w14:paraId="2F0DA386" w14:textId="61813638" w:rsidR="00B053AD" w:rsidRDefault="00B053AD" w:rsidP="3238681A">
      <w:pPr>
        <w:tabs>
          <w:tab w:val="left" w:pos="1276"/>
        </w:tabs>
        <w:rPr>
          <w:rFonts w:eastAsiaTheme="majorEastAsia"/>
          <w:b/>
          <w:bCs/>
        </w:rPr>
      </w:pPr>
      <w:r w:rsidRPr="3238681A">
        <w:rPr>
          <w:rFonts w:eastAsiaTheme="majorEastAsia"/>
        </w:rPr>
        <w:t>This clause amend</w:t>
      </w:r>
      <w:r w:rsidR="00024242" w:rsidRPr="3238681A">
        <w:rPr>
          <w:rFonts w:eastAsiaTheme="majorEastAsia"/>
        </w:rPr>
        <w:t>s</w:t>
      </w:r>
      <w:r w:rsidRPr="3238681A">
        <w:rPr>
          <w:rFonts w:eastAsiaTheme="majorEastAsia"/>
        </w:rPr>
        <w:t xml:space="preserve"> section 97 (8) of the Food Act to remove reference to the return of a certificate of registration. This align</w:t>
      </w:r>
      <w:r w:rsidR="00024242" w:rsidRPr="3238681A">
        <w:rPr>
          <w:rFonts w:eastAsiaTheme="majorEastAsia"/>
        </w:rPr>
        <w:t>s</w:t>
      </w:r>
      <w:r w:rsidRPr="3238681A">
        <w:rPr>
          <w:rFonts w:eastAsiaTheme="majorEastAsia"/>
        </w:rPr>
        <w:t xml:space="preserve"> the provision with the amendments to section 97 (2) (b).</w:t>
      </w:r>
    </w:p>
    <w:p w14:paraId="6093FA28" w14:textId="29232E05" w:rsidR="00B053AD" w:rsidRDefault="00B053AD" w:rsidP="3238681A">
      <w:pPr>
        <w:tabs>
          <w:tab w:val="left" w:pos="1276"/>
        </w:tabs>
        <w:rPr>
          <w:rFonts w:eastAsiaTheme="majorEastAsia"/>
          <w:b/>
          <w:bCs/>
        </w:rPr>
      </w:pPr>
      <w:r w:rsidRPr="3238681A">
        <w:rPr>
          <w:rFonts w:eastAsiaTheme="majorEastAsia"/>
          <w:b/>
          <w:bCs/>
        </w:rPr>
        <w:t xml:space="preserve">Clause </w:t>
      </w:r>
      <w:r w:rsidR="007B2799">
        <w:rPr>
          <w:rFonts w:eastAsiaTheme="majorEastAsia"/>
          <w:b/>
          <w:bCs/>
        </w:rPr>
        <w:t>36</w:t>
      </w:r>
      <w:r w:rsidRPr="3238681A">
        <w:rPr>
          <w:rFonts w:eastAsiaTheme="majorEastAsia"/>
          <w:b/>
          <w:bCs/>
        </w:rPr>
        <w:t xml:space="preserve">  Replacement of certificates of registration Section 98 (1)</w:t>
      </w:r>
    </w:p>
    <w:p w14:paraId="670B35B7" w14:textId="4B7B083F" w:rsidR="00156591" w:rsidRDefault="00B053AD" w:rsidP="3238681A">
      <w:pPr>
        <w:tabs>
          <w:tab w:val="left" w:pos="1276"/>
        </w:tabs>
        <w:rPr>
          <w:rFonts w:eastAsiaTheme="majorEastAsia"/>
          <w:b/>
          <w:bCs/>
        </w:rPr>
      </w:pPr>
      <w:r w:rsidRPr="3238681A">
        <w:rPr>
          <w:rFonts w:eastAsiaTheme="majorEastAsia"/>
        </w:rPr>
        <w:t>This clause amend</w:t>
      </w:r>
      <w:r w:rsidR="00024242" w:rsidRPr="3238681A">
        <w:rPr>
          <w:rFonts w:eastAsiaTheme="majorEastAsia"/>
        </w:rPr>
        <w:t>s</w:t>
      </w:r>
      <w:r w:rsidRPr="3238681A">
        <w:rPr>
          <w:rFonts w:eastAsiaTheme="majorEastAsia"/>
        </w:rPr>
        <w:t xml:space="preserve"> section 98 (1) of the Food Act to omit </w:t>
      </w:r>
      <w:r w:rsidRPr="3238681A">
        <w:rPr>
          <w:rFonts w:eastAsiaTheme="majorEastAsia"/>
          <w:i/>
          <w:iCs/>
        </w:rPr>
        <w:t>if satisfied that the certificate has been lost, stolen or destroyed</w:t>
      </w:r>
      <w:r w:rsidRPr="3238681A">
        <w:rPr>
          <w:rFonts w:eastAsiaTheme="majorEastAsia"/>
        </w:rPr>
        <w:t xml:space="preserve">. </w:t>
      </w:r>
    </w:p>
    <w:p w14:paraId="7AA0DB25" w14:textId="77777777" w:rsidR="00B053AD" w:rsidRDefault="00B053AD" w:rsidP="00B053AD">
      <w:pPr>
        <w:tabs>
          <w:tab w:val="left" w:pos="1276"/>
        </w:tabs>
        <w:rPr>
          <w:rFonts w:eastAsiaTheme="majorEastAsia"/>
        </w:rPr>
      </w:pPr>
      <w:r>
        <w:rPr>
          <w:rFonts w:eastAsiaTheme="majorEastAsia"/>
        </w:rPr>
        <w:t>This will no longer be relevant as this Bill introduces amendments to the Food Act to make the food business register accessible electronically to the public. The removal of the requirement to have a physical certificate will reduce administrative burden for businesses.</w:t>
      </w:r>
    </w:p>
    <w:p w14:paraId="3553F4CE" w14:textId="1A9710AC" w:rsidR="00E442BD" w:rsidRDefault="00E442BD" w:rsidP="00E442BD">
      <w:pPr>
        <w:tabs>
          <w:tab w:val="left" w:pos="1276"/>
        </w:tabs>
        <w:rPr>
          <w:rFonts w:eastAsiaTheme="majorEastAsia"/>
          <w:b/>
          <w:bCs/>
        </w:rPr>
      </w:pPr>
      <w:r>
        <w:rPr>
          <w:rFonts w:eastAsiaTheme="majorEastAsia"/>
          <w:b/>
          <w:bCs/>
        </w:rPr>
        <w:t xml:space="preserve">Clause </w:t>
      </w:r>
      <w:r w:rsidR="007B2799">
        <w:rPr>
          <w:rFonts w:eastAsiaTheme="majorEastAsia"/>
          <w:b/>
          <w:bCs/>
        </w:rPr>
        <w:t>37</w:t>
      </w:r>
      <w:r w:rsidR="0051590D">
        <w:rPr>
          <w:rFonts w:eastAsiaTheme="majorEastAsia"/>
          <w:b/>
          <w:bCs/>
        </w:rPr>
        <w:t xml:space="preserve">  Registration certificate must be displayed Section 98A</w:t>
      </w:r>
    </w:p>
    <w:p w14:paraId="0B0AA94E" w14:textId="202FC2D3" w:rsidR="006D4359" w:rsidRDefault="0051590D" w:rsidP="3238681A">
      <w:pPr>
        <w:tabs>
          <w:tab w:val="left" w:pos="1276"/>
        </w:tabs>
        <w:rPr>
          <w:rFonts w:eastAsiaTheme="majorEastAsia"/>
        </w:rPr>
      </w:pPr>
      <w:r w:rsidRPr="3238681A">
        <w:rPr>
          <w:rFonts w:eastAsiaTheme="majorEastAsia"/>
        </w:rPr>
        <w:t xml:space="preserve">This clause removes section 98A of the Food Act </w:t>
      </w:r>
      <w:r w:rsidR="006D4359" w:rsidRPr="3238681A">
        <w:rPr>
          <w:rFonts w:eastAsiaTheme="majorEastAsia"/>
        </w:rPr>
        <w:t xml:space="preserve">which requires a food business to display a physical copy of their current certificate of registration on the business’s premises. </w:t>
      </w:r>
      <w:r w:rsidR="005E057B" w:rsidRPr="3238681A">
        <w:rPr>
          <w:rFonts w:eastAsiaTheme="majorEastAsia"/>
        </w:rPr>
        <w:t>Under the current section, failure to do so is a strict liability offence carrying a maximum penalty of 50 penalty units.</w:t>
      </w:r>
    </w:p>
    <w:p w14:paraId="2A45ADF9" w14:textId="0A5A4E50" w:rsidR="0051590D" w:rsidRDefault="006D4359" w:rsidP="00E442BD">
      <w:pPr>
        <w:tabs>
          <w:tab w:val="left" w:pos="1276"/>
        </w:tabs>
        <w:rPr>
          <w:rFonts w:eastAsiaTheme="majorEastAsia"/>
        </w:rPr>
      </w:pPr>
      <w:r>
        <w:rPr>
          <w:rFonts w:eastAsiaTheme="majorEastAsia"/>
        </w:rPr>
        <w:t xml:space="preserve">This </w:t>
      </w:r>
      <w:r w:rsidR="005E057B">
        <w:rPr>
          <w:rFonts w:eastAsiaTheme="majorEastAsia"/>
        </w:rPr>
        <w:t>will no longer be relevant</w:t>
      </w:r>
      <w:r>
        <w:rPr>
          <w:rFonts w:eastAsiaTheme="majorEastAsia"/>
        </w:rPr>
        <w:t xml:space="preserve"> as this Bill introduces amendments to the Food Act to make the food business register accessible </w:t>
      </w:r>
      <w:r w:rsidR="0092601F">
        <w:rPr>
          <w:rFonts w:eastAsiaTheme="majorEastAsia"/>
        </w:rPr>
        <w:t xml:space="preserve">electronically </w:t>
      </w:r>
      <w:r>
        <w:rPr>
          <w:rFonts w:eastAsiaTheme="majorEastAsia"/>
        </w:rPr>
        <w:t xml:space="preserve">to the public. The removal of the requirement to </w:t>
      </w:r>
      <w:r w:rsidR="00B053AD">
        <w:rPr>
          <w:rFonts w:eastAsiaTheme="majorEastAsia"/>
        </w:rPr>
        <w:t>have</w:t>
      </w:r>
      <w:r>
        <w:rPr>
          <w:rFonts w:eastAsiaTheme="majorEastAsia"/>
        </w:rPr>
        <w:t xml:space="preserve"> a physical certificate will reduce administrative burden for businesses.</w:t>
      </w:r>
    </w:p>
    <w:p w14:paraId="10F45A58" w14:textId="2C9F9C6E" w:rsidR="006D4359" w:rsidRDefault="006D4359" w:rsidP="006D4359">
      <w:pPr>
        <w:tabs>
          <w:tab w:val="left" w:pos="993"/>
          <w:tab w:val="left" w:pos="1276"/>
        </w:tabs>
        <w:rPr>
          <w:rFonts w:eastAsiaTheme="majorEastAsia"/>
          <w:b/>
          <w:bCs/>
        </w:rPr>
      </w:pPr>
      <w:r>
        <w:rPr>
          <w:rFonts w:eastAsiaTheme="majorEastAsia"/>
          <w:b/>
          <w:bCs/>
        </w:rPr>
        <w:t xml:space="preserve">Clause </w:t>
      </w:r>
      <w:r w:rsidR="007B2799">
        <w:rPr>
          <w:rFonts w:eastAsiaTheme="majorEastAsia"/>
          <w:b/>
          <w:bCs/>
        </w:rPr>
        <w:t>38</w:t>
      </w:r>
      <w:r>
        <w:rPr>
          <w:rFonts w:eastAsiaTheme="majorEastAsia"/>
          <w:b/>
          <w:bCs/>
        </w:rPr>
        <w:t xml:space="preserve">  Return of certificate of registration Section 103</w:t>
      </w:r>
    </w:p>
    <w:p w14:paraId="72C03424" w14:textId="14DF93AD" w:rsidR="006D4359" w:rsidRDefault="006D4359" w:rsidP="006D4359">
      <w:pPr>
        <w:tabs>
          <w:tab w:val="left" w:pos="993"/>
          <w:tab w:val="left" w:pos="1276"/>
        </w:tabs>
        <w:rPr>
          <w:rFonts w:eastAsiaTheme="majorEastAsia"/>
        </w:rPr>
      </w:pPr>
      <w:r>
        <w:rPr>
          <w:rFonts w:eastAsiaTheme="majorEastAsia"/>
        </w:rPr>
        <w:t xml:space="preserve">This clause removes section 103 of the Food Act </w:t>
      </w:r>
      <w:r w:rsidR="005E057B">
        <w:rPr>
          <w:rFonts w:eastAsiaTheme="majorEastAsia"/>
        </w:rPr>
        <w:t xml:space="preserve">which </w:t>
      </w:r>
      <w:r w:rsidR="00C2173C">
        <w:rPr>
          <w:rFonts w:eastAsiaTheme="majorEastAsia"/>
        </w:rPr>
        <w:t>provides</w:t>
      </w:r>
      <w:r w:rsidR="005E057B">
        <w:rPr>
          <w:rFonts w:eastAsiaTheme="majorEastAsia"/>
        </w:rPr>
        <w:t xml:space="preserve"> that a food business commits an offence if the proprietor does not return the certificate of registration of the business to the chief health officer within 7 days after the </w:t>
      </w:r>
      <w:r w:rsidR="005E057B">
        <w:rPr>
          <w:rFonts w:eastAsiaTheme="majorEastAsia"/>
        </w:rPr>
        <w:lastRenderedPageBreak/>
        <w:t>registration is suspended or cancelled. Failure to do so carries a maximum penalty of 5 penalty units.</w:t>
      </w:r>
    </w:p>
    <w:p w14:paraId="73EF571C" w14:textId="457AF647" w:rsidR="00403BB1" w:rsidRDefault="00403BB1" w:rsidP="00403BB1">
      <w:pPr>
        <w:tabs>
          <w:tab w:val="left" w:pos="1276"/>
        </w:tabs>
        <w:rPr>
          <w:rFonts w:eastAsiaTheme="majorEastAsia"/>
        </w:rPr>
      </w:pPr>
      <w:r>
        <w:rPr>
          <w:rFonts w:eastAsiaTheme="majorEastAsia"/>
        </w:rPr>
        <w:t xml:space="preserve">This will no longer be relevant as this Bill introduces amendments to the Food Act to make the food business register accessible </w:t>
      </w:r>
      <w:r w:rsidR="0092601F">
        <w:rPr>
          <w:rFonts w:eastAsiaTheme="majorEastAsia"/>
        </w:rPr>
        <w:t xml:space="preserve">electronically </w:t>
      </w:r>
      <w:r>
        <w:rPr>
          <w:rFonts w:eastAsiaTheme="majorEastAsia"/>
        </w:rPr>
        <w:t xml:space="preserve">to the public. The removal of the requirement to </w:t>
      </w:r>
      <w:r w:rsidR="00B053AD">
        <w:rPr>
          <w:rFonts w:eastAsiaTheme="majorEastAsia"/>
        </w:rPr>
        <w:t>have</w:t>
      </w:r>
      <w:r>
        <w:rPr>
          <w:rFonts w:eastAsiaTheme="majorEastAsia"/>
        </w:rPr>
        <w:t xml:space="preserve"> a physical certificate will reduce administrative burden for businesses.</w:t>
      </w:r>
    </w:p>
    <w:p w14:paraId="15604773" w14:textId="23470FD2" w:rsidR="00403BB1" w:rsidRDefault="00517B50" w:rsidP="00517B50">
      <w:pPr>
        <w:tabs>
          <w:tab w:val="left" w:pos="993"/>
          <w:tab w:val="left" w:pos="1276"/>
        </w:tabs>
        <w:rPr>
          <w:rFonts w:eastAsiaTheme="majorEastAsia"/>
          <w:b/>
          <w:bCs/>
        </w:rPr>
      </w:pPr>
      <w:r>
        <w:rPr>
          <w:rFonts w:eastAsiaTheme="majorEastAsia"/>
          <w:b/>
          <w:bCs/>
        </w:rPr>
        <w:t xml:space="preserve">Clause </w:t>
      </w:r>
      <w:r w:rsidR="007B2799">
        <w:rPr>
          <w:rFonts w:eastAsiaTheme="majorEastAsia"/>
          <w:b/>
          <w:bCs/>
        </w:rPr>
        <w:t>39</w:t>
      </w:r>
      <w:r>
        <w:rPr>
          <w:rFonts w:eastAsiaTheme="majorEastAsia"/>
          <w:b/>
          <w:bCs/>
        </w:rPr>
        <w:t xml:space="preserve">  Section 104</w:t>
      </w:r>
    </w:p>
    <w:p w14:paraId="4A9E29A4" w14:textId="3098DFFE" w:rsidR="00517B50" w:rsidRDefault="00517B50" w:rsidP="00517B50">
      <w:pPr>
        <w:tabs>
          <w:tab w:val="left" w:pos="993"/>
          <w:tab w:val="left" w:pos="1276"/>
        </w:tabs>
        <w:rPr>
          <w:rFonts w:eastAsiaTheme="majorEastAsia"/>
        </w:rPr>
      </w:pPr>
      <w:r>
        <w:rPr>
          <w:rFonts w:eastAsiaTheme="majorEastAsia"/>
        </w:rPr>
        <w:t xml:space="preserve">This clause </w:t>
      </w:r>
      <w:r w:rsidR="002C542D">
        <w:rPr>
          <w:rFonts w:eastAsiaTheme="majorEastAsia"/>
        </w:rPr>
        <w:t>amends</w:t>
      </w:r>
      <w:r w:rsidR="00A63D59">
        <w:rPr>
          <w:rFonts w:eastAsiaTheme="majorEastAsia"/>
        </w:rPr>
        <w:t xml:space="preserve"> section 104 </w:t>
      </w:r>
      <w:r w:rsidR="002C542D">
        <w:rPr>
          <w:rFonts w:eastAsiaTheme="majorEastAsia"/>
        </w:rPr>
        <w:t xml:space="preserve">of the Food Act to remove the requirement </w:t>
      </w:r>
      <w:r w:rsidR="00A63D59">
        <w:rPr>
          <w:rFonts w:eastAsiaTheme="majorEastAsia"/>
        </w:rPr>
        <w:t>that the proprietor of a food business may surrender the registration at any time by returning the certificate of registration to the chief health officer</w:t>
      </w:r>
      <w:r w:rsidR="002C542D">
        <w:rPr>
          <w:rFonts w:eastAsiaTheme="majorEastAsia"/>
        </w:rPr>
        <w:t xml:space="preserve"> with a written statement that the registration is surrendered. </w:t>
      </w:r>
      <w:r w:rsidR="00FB6362">
        <w:rPr>
          <w:rFonts w:eastAsiaTheme="majorEastAsia"/>
        </w:rPr>
        <w:t xml:space="preserve">Written notice will still be required. </w:t>
      </w:r>
    </w:p>
    <w:p w14:paraId="4164ED07" w14:textId="455959C3" w:rsidR="00FB6362" w:rsidRDefault="009D7AA7" w:rsidP="3238681A">
      <w:pPr>
        <w:tabs>
          <w:tab w:val="left" w:pos="1276"/>
        </w:tabs>
        <w:rPr>
          <w:rFonts w:eastAsiaTheme="majorEastAsia"/>
        </w:rPr>
      </w:pPr>
      <w:r w:rsidRPr="3238681A">
        <w:rPr>
          <w:rFonts w:eastAsiaTheme="majorEastAsia"/>
        </w:rPr>
        <w:t xml:space="preserve">Surrendering a physical registration </w:t>
      </w:r>
      <w:r w:rsidR="00FB6362" w:rsidRPr="3238681A">
        <w:rPr>
          <w:rFonts w:eastAsiaTheme="majorEastAsia"/>
        </w:rPr>
        <w:t>will no longer be relevant as this Bill introduces amendments to the Food Act to make the food business register accessible electronically to the public. The removal of the requirement to have a physical certificate will reduce administrative burden for businesses.</w:t>
      </w:r>
    </w:p>
    <w:p w14:paraId="614696E3" w14:textId="439C8827" w:rsidR="00254318" w:rsidRDefault="00254318" w:rsidP="00A63D59">
      <w:pPr>
        <w:tabs>
          <w:tab w:val="left" w:pos="1276"/>
        </w:tabs>
        <w:rPr>
          <w:rFonts w:eastAsiaTheme="majorEastAsia"/>
          <w:b/>
          <w:bCs/>
        </w:rPr>
      </w:pPr>
      <w:r>
        <w:rPr>
          <w:rFonts w:eastAsiaTheme="majorEastAsia"/>
          <w:b/>
          <w:bCs/>
        </w:rPr>
        <w:t xml:space="preserve">Clause </w:t>
      </w:r>
      <w:r w:rsidR="007B2799">
        <w:rPr>
          <w:rFonts w:eastAsiaTheme="majorEastAsia"/>
          <w:b/>
          <w:bCs/>
        </w:rPr>
        <w:t>40</w:t>
      </w:r>
      <w:r>
        <w:rPr>
          <w:rFonts w:eastAsiaTheme="majorEastAsia"/>
          <w:b/>
          <w:bCs/>
        </w:rPr>
        <w:t xml:space="preserve">  Section 106</w:t>
      </w:r>
    </w:p>
    <w:p w14:paraId="77DD1987" w14:textId="1DC0830B" w:rsidR="00254318" w:rsidRDefault="008C4A5A" w:rsidP="00254318">
      <w:pPr>
        <w:tabs>
          <w:tab w:val="left" w:pos="1276"/>
        </w:tabs>
        <w:rPr>
          <w:rFonts w:eastAsiaTheme="majorEastAsia"/>
        </w:rPr>
      </w:pPr>
      <w:r>
        <w:rPr>
          <w:rFonts w:eastAsiaTheme="majorEastAsia"/>
        </w:rPr>
        <w:t xml:space="preserve">This clause amends section 106 of the Food Act to provide for the food business register to be made accessible </w:t>
      </w:r>
      <w:r w:rsidR="0092601F">
        <w:rPr>
          <w:rFonts w:eastAsiaTheme="majorEastAsia"/>
        </w:rPr>
        <w:t xml:space="preserve">electronically </w:t>
      </w:r>
      <w:r>
        <w:rPr>
          <w:rFonts w:eastAsiaTheme="majorEastAsia"/>
        </w:rPr>
        <w:t xml:space="preserve">to the public. </w:t>
      </w:r>
    </w:p>
    <w:p w14:paraId="2B9DC493" w14:textId="39DE97A1" w:rsidR="008C4A5A" w:rsidRDefault="008C4A5A" w:rsidP="00254318">
      <w:pPr>
        <w:tabs>
          <w:tab w:val="left" w:pos="1276"/>
        </w:tabs>
        <w:rPr>
          <w:rFonts w:eastAsiaTheme="majorEastAsia"/>
        </w:rPr>
      </w:pPr>
      <w:r>
        <w:rPr>
          <w:rFonts w:eastAsiaTheme="majorEastAsia"/>
        </w:rPr>
        <w:t xml:space="preserve">The clause </w:t>
      </w:r>
      <w:r w:rsidR="0092601F">
        <w:rPr>
          <w:rFonts w:eastAsiaTheme="majorEastAsia"/>
        </w:rPr>
        <w:t xml:space="preserve">amends the heading of section 106 to </w:t>
      </w:r>
      <w:r w:rsidR="00FB6362">
        <w:rPr>
          <w:rFonts w:eastAsiaTheme="majorEastAsia"/>
          <w:i/>
          <w:iCs/>
        </w:rPr>
        <w:t xml:space="preserve">Public access to </w:t>
      </w:r>
      <w:r w:rsidR="0092601F">
        <w:rPr>
          <w:rFonts w:eastAsiaTheme="majorEastAsia"/>
          <w:i/>
          <w:iCs/>
        </w:rPr>
        <w:t>food business register</w:t>
      </w:r>
      <w:r w:rsidR="0092601F">
        <w:rPr>
          <w:rFonts w:eastAsiaTheme="majorEastAsia"/>
        </w:rPr>
        <w:t xml:space="preserve"> to align with new requirements for the chief health officer to make the food business register accessible to the public. </w:t>
      </w:r>
    </w:p>
    <w:p w14:paraId="3EC6D301" w14:textId="5A251CFE" w:rsidR="0092601F" w:rsidRDefault="0092601F" w:rsidP="00254318">
      <w:pPr>
        <w:tabs>
          <w:tab w:val="left" w:pos="1276"/>
        </w:tabs>
        <w:rPr>
          <w:rFonts w:eastAsiaTheme="majorEastAsia"/>
        </w:rPr>
      </w:pPr>
      <w:r>
        <w:rPr>
          <w:rFonts w:eastAsiaTheme="majorEastAsia"/>
        </w:rPr>
        <w:t xml:space="preserve">The clause amends section 106 (1) to explicitly </w:t>
      </w:r>
      <w:r w:rsidR="00194CCC">
        <w:rPr>
          <w:rFonts w:eastAsiaTheme="majorEastAsia"/>
        </w:rPr>
        <w:t>provide</w:t>
      </w:r>
      <w:r>
        <w:rPr>
          <w:rFonts w:eastAsiaTheme="majorEastAsia"/>
        </w:rPr>
        <w:t xml:space="preserve"> that the chief health officer must make the food business register accessible to the public without charge on an ACT government website, or by a link on an ACT government website.</w:t>
      </w:r>
    </w:p>
    <w:p w14:paraId="0DE09F31" w14:textId="64B98465" w:rsidR="0092601F" w:rsidRDefault="0092601F" w:rsidP="00254318">
      <w:pPr>
        <w:tabs>
          <w:tab w:val="left" w:pos="1276"/>
        </w:tabs>
        <w:rPr>
          <w:rFonts w:eastAsiaTheme="majorEastAsia"/>
        </w:rPr>
      </w:pPr>
      <w:r>
        <w:rPr>
          <w:rFonts w:eastAsiaTheme="majorEastAsia"/>
        </w:rPr>
        <w:t xml:space="preserve">The clause retains section 106 (2) which provides for the chief health officer to publish all or part of the food business register in any other way the chief health officer considers appropriate. </w:t>
      </w:r>
    </w:p>
    <w:p w14:paraId="279BF75E" w14:textId="33D36C80" w:rsidR="0092601F" w:rsidRDefault="0092601F" w:rsidP="00254318">
      <w:pPr>
        <w:tabs>
          <w:tab w:val="left" w:pos="1276"/>
        </w:tabs>
        <w:rPr>
          <w:rFonts w:eastAsiaTheme="majorEastAsia"/>
        </w:rPr>
      </w:pPr>
      <w:r>
        <w:rPr>
          <w:rFonts w:eastAsiaTheme="majorEastAsia"/>
        </w:rPr>
        <w:t xml:space="preserve">The clause also inserts a new section </w:t>
      </w:r>
      <w:r w:rsidR="00825B3C">
        <w:rPr>
          <w:rFonts w:eastAsiaTheme="majorEastAsia"/>
        </w:rPr>
        <w:t>106 (3) that requires the chief health officer to exclude from public access or publication any information in the register that the chief health officer is satisfied is not in the public interest to be publicly available.</w:t>
      </w:r>
    </w:p>
    <w:p w14:paraId="603DC13B" w14:textId="658955C6" w:rsidR="00ED1CDF" w:rsidRDefault="00ED1CDF" w:rsidP="00ED1CDF">
      <w:r w:rsidRPr="00ED1CDF">
        <w:t>Making the food business register electronically accessible for the first time will have significant benefits for businesses and the public as it will remove administrative burden for businesses associated with displaying a physical copy of the registration certificate and improve consumer safety and protection.</w:t>
      </w:r>
    </w:p>
    <w:p w14:paraId="43A9613D" w14:textId="31D7783A" w:rsidR="007B7861" w:rsidRDefault="007B7861" w:rsidP="00ED1CDF">
      <w:r>
        <w:t xml:space="preserve">The </w:t>
      </w:r>
      <w:r w:rsidR="00245417">
        <w:t>c</w:t>
      </w:r>
      <w:r>
        <w:t xml:space="preserve">hief </w:t>
      </w:r>
      <w:r w:rsidR="00245417">
        <w:t>h</w:t>
      </w:r>
      <w:r>
        <w:t xml:space="preserve">ealth </w:t>
      </w:r>
      <w:r w:rsidR="00245417">
        <w:t>o</w:t>
      </w:r>
      <w:r>
        <w:t>fficer will still retain the authority to publish the register in any other way considered appropriate, and the additional power to exclude information not considered in the public interest will ensure privacy and safety protections.</w:t>
      </w:r>
    </w:p>
    <w:p w14:paraId="3679DC28" w14:textId="50F636B4" w:rsidR="00ED1CDF" w:rsidRDefault="008A2E68" w:rsidP="008A2E68">
      <w:pPr>
        <w:tabs>
          <w:tab w:val="left" w:pos="1276"/>
        </w:tabs>
        <w:rPr>
          <w:b/>
          <w:bCs/>
        </w:rPr>
      </w:pPr>
      <w:r>
        <w:rPr>
          <w:b/>
          <w:bCs/>
        </w:rPr>
        <w:lastRenderedPageBreak/>
        <w:t>Part 1</w:t>
      </w:r>
      <w:r w:rsidR="003C19ED">
        <w:rPr>
          <w:b/>
          <w:bCs/>
        </w:rPr>
        <w:t>4</w:t>
      </w:r>
      <w:r>
        <w:rPr>
          <w:b/>
          <w:bCs/>
        </w:rPr>
        <w:t xml:space="preserve">       Gambling and Racing Control Act 1999</w:t>
      </w:r>
    </w:p>
    <w:p w14:paraId="5525B404" w14:textId="379AC9B6" w:rsidR="009C2F43" w:rsidRDefault="009C2F43" w:rsidP="009C2F43">
      <w:pPr>
        <w:tabs>
          <w:tab w:val="left" w:pos="1276"/>
        </w:tabs>
        <w:rPr>
          <w:b/>
          <w:bCs/>
          <w:i/>
          <w:iCs/>
        </w:rPr>
      </w:pPr>
      <w:r>
        <w:rPr>
          <w:b/>
          <w:bCs/>
        </w:rPr>
        <w:t xml:space="preserve">Clause </w:t>
      </w:r>
      <w:r w:rsidR="007B2799">
        <w:rPr>
          <w:b/>
          <w:bCs/>
        </w:rPr>
        <w:t>41</w:t>
      </w:r>
      <w:r>
        <w:rPr>
          <w:b/>
          <w:bCs/>
        </w:rPr>
        <w:t xml:space="preserve">  Cap on number of authorisations for electronic gaming in ACT Section 50 (5)</w:t>
      </w:r>
    </w:p>
    <w:p w14:paraId="41E68D38" w14:textId="2F99A16B" w:rsidR="009C2F43" w:rsidRDefault="009C2F43" w:rsidP="009C2F43">
      <w:pPr>
        <w:tabs>
          <w:tab w:val="left" w:pos="1134"/>
          <w:tab w:val="left" w:pos="1276"/>
        </w:tabs>
      </w:pPr>
      <w:r>
        <w:t xml:space="preserve">This clause amends section 50 (5) of the </w:t>
      </w:r>
      <w:r>
        <w:rPr>
          <w:i/>
          <w:iCs/>
        </w:rPr>
        <w:t xml:space="preserve">Gambling and Racing Control Act 1999 </w:t>
      </w:r>
      <w:r>
        <w:t xml:space="preserve">(Gambling and Racing Control Act) to remove definitions of </w:t>
      </w:r>
      <w:r w:rsidRPr="009C2F43">
        <w:rPr>
          <w:i/>
          <w:iCs/>
        </w:rPr>
        <w:t>authorisation, casino, casino FATG terminal, casino gaming machine, electronic gaming</w:t>
      </w:r>
      <w:r>
        <w:t xml:space="preserve">, and </w:t>
      </w:r>
      <w:r w:rsidRPr="009C2F43">
        <w:rPr>
          <w:i/>
          <w:iCs/>
        </w:rPr>
        <w:t>gaming machine</w:t>
      </w:r>
      <w:r>
        <w:t xml:space="preserve">. </w:t>
      </w:r>
    </w:p>
    <w:p w14:paraId="250B44B1" w14:textId="2DB96947" w:rsidR="009C2F43" w:rsidRDefault="009C2F43" w:rsidP="009C2F43">
      <w:pPr>
        <w:tabs>
          <w:tab w:val="left" w:pos="1134"/>
          <w:tab w:val="left" w:pos="1276"/>
        </w:tabs>
      </w:pPr>
      <w:r>
        <w:t xml:space="preserve">There are multiple amendments in the Bill in order to move some administrative elements from the </w:t>
      </w:r>
      <w:r w:rsidRPr="009C2F43">
        <w:rPr>
          <w:i/>
          <w:iCs/>
        </w:rPr>
        <w:t xml:space="preserve">Gaming Machine Act 2004 </w:t>
      </w:r>
      <w:r>
        <w:t xml:space="preserve">and </w:t>
      </w:r>
      <w:r w:rsidRPr="009C2F43">
        <w:rPr>
          <w:i/>
          <w:iCs/>
        </w:rPr>
        <w:t>Race and Sports Bookmaking Act 2001</w:t>
      </w:r>
      <w:r>
        <w:t xml:space="preserve"> into the Gambling and Racing Control Act which is considered a more appropriate legislative framework. The definitions omitted in this clause will be used in other parts of the Gambling and Racing Control Act.</w:t>
      </w:r>
    </w:p>
    <w:p w14:paraId="6695F029" w14:textId="2A860985" w:rsidR="004969EC" w:rsidRDefault="004969EC" w:rsidP="004969EC">
      <w:pPr>
        <w:tabs>
          <w:tab w:val="left" w:pos="1276"/>
        </w:tabs>
        <w:rPr>
          <w:b/>
          <w:bCs/>
        </w:rPr>
      </w:pPr>
      <w:r>
        <w:rPr>
          <w:b/>
          <w:bCs/>
        </w:rPr>
        <w:t xml:space="preserve">Clause </w:t>
      </w:r>
      <w:r w:rsidR="007B2799">
        <w:rPr>
          <w:b/>
          <w:bCs/>
        </w:rPr>
        <w:t>42</w:t>
      </w:r>
      <w:r>
        <w:rPr>
          <w:b/>
          <w:bCs/>
        </w:rPr>
        <w:t xml:space="preserve">  Part 6B</w:t>
      </w:r>
    </w:p>
    <w:p w14:paraId="1A3DDDDA" w14:textId="3398DEE0" w:rsidR="004969EC" w:rsidRDefault="004969EC" w:rsidP="004969EC">
      <w:pPr>
        <w:tabs>
          <w:tab w:val="left" w:pos="993"/>
          <w:tab w:val="left" w:pos="1276"/>
        </w:tabs>
      </w:pPr>
      <w:r>
        <w:t xml:space="preserve">This clause substitutes the current section 51, which provides for definitions for pt 6B, with provisions for an electronic gaming register which provides that the commission must keep a register of electronic gaming licences, authorisation certificates for electronic gaming, and authorisations for electronic gaming. Section 51 (2) provides information that must be included in the register, and section 51 (3) provides for the definitions. </w:t>
      </w:r>
    </w:p>
    <w:p w14:paraId="75C7C523" w14:textId="3435E31A" w:rsidR="004969EC" w:rsidRDefault="004969EC" w:rsidP="004969EC">
      <w:pPr>
        <w:tabs>
          <w:tab w:val="left" w:pos="993"/>
          <w:tab w:val="left" w:pos="1276"/>
        </w:tabs>
      </w:pPr>
      <w:r>
        <w:t xml:space="preserve">This clause also inserts a new section 51A which provides that the commission must keep a register of approvals of gaming machines and peripheral equipment for gaming machines. Section 51A (2) provides information that must be included in the register, and section 51A (3) provides for the definitions. </w:t>
      </w:r>
    </w:p>
    <w:p w14:paraId="063D41E4" w14:textId="3E59C97D" w:rsidR="006B7CDC" w:rsidRDefault="004969EC" w:rsidP="004969EC">
      <w:pPr>
        <w:tabs>
          <w:tab w:val="left" w:pos="993"/>
          <w:tab w:val="left" w:pos="1276"/>
        </w:tabs>
      </w:pPr>
      <w:r>
        <w:t xml:space="preserve">This clause also amends the current section 52 of the Gambling and Racing Control Act to provide that the commission must keep a register of race or sports bookmaking licences and totalisator licences. </w:t>
      </w:r>
      <w:r w:rsidR="006B7CDC">
        <w:t>Sec</w:t>
      </w:r>
      <w:r>
        <w:t>tion 5</w:t>
      </w:r>
      <w:r w:rsidR="006B7CDC">
        <w:t>2</w:t>
      </w:r>
      <w:r>
        <w:t xml:space="preserve"> (2) prescribes details that must be included in the register for each licence</w:t>
      </w:r>
      <w:r w:rsidR="006B7CDC">
        <w:t>, and section 52 (3) provides for the definitions.</w:t>
      </w:r>
    </w:p>
    <w:p w14:paraId="77518CBE" w14:textId="6DABD156" w:rsidR="004969EC" w:rsidRDefault="004969EC" w:rsidP="004969EC">
      <w:pPr>
        <w:tabs>
          <w:tab w:val="left" w:pos="993"/>
          <w:tab w:val="left" w:pos="1276"/>
        </w:tabs>
      </w:pPr>
      <w:r>
        <w:t>New section 5</w:t>
      </w:r>
      <w:r w:rsidR="006B7CDC">
        <w:t>2</w:t>
      </w:r>
      <w:r>
        <w:t>A provides that the register may be kept in any form, including electronically, that the commission decides</w:t>
      </w:r>
      <w:r w:rsidR="006B7CDC">
        <w:t xml:space="preserve">, and </w:t>
      </w:r>
      <w:r>
        <w:t>that the commission must make the register accessible to the public without charge on an ACT government website, or by a link on an ACT government website.</w:t>
      </w:r>
    </w:p>
    <w:p w14:paraId="74C7EE8C" w14:textId="2AA8ADFF" w:rsidR="004969EC" w:rsidRPr="004B5AF2" w:rsidRDefault="004969EC" w:rsidP="004969EC">
      <w:pPr>
        <w:rPr>
          <w:rFonts w:eastAsiaTheme="majorEastAsia" w:cstheme="majorBidi"/>
        </w:rPr>
      </w:pPr>
      <w:bookmarkStart w:id="6" w:name="_Hlk222990251"/>
      <w:r w:rsidRPr="3238681A">
        <w:rPr>
          <w:rFonts w:eastAsiaTheme="majorEastAsia" w:cstheme="majorBidi"/>
        </w:rPr>
        <w:t>This enshrines in legislation public accessibility to information in the register</w:t>
      </w:r>
      <w:r w:rsidR="006B7CDC">
        <w:rPr>
          <w:rFonts w:eastAsiaTheme="majorEastAsia" w:cstheme="majorBidi"/>
        </w:rPr>
        <w:t>s</w:t>
      </w:r>
      <w:r w:rsidRPr="3238681A">
        <w:rPr>
          <w:rFonts w:eastAsiaTheme="majorEastAsia" w:cstheme="majorBidi"/>
        </w:rPr>
        <w:t xml:space="preserve"> and standardises legislative language for public accessibility while still providing the authority to keep the register</w:t>
      </w:r>
      <w:r w:rsidR="006B7CDC">
        <w:rPr>
          <w:rFonts w:eastAsiaTheme="majorEastAsia" w:cstheme="majorBidi"/>
        </w:rPr>
        <w:t>s</w:t>
      </w:r>
      <w:r w:rsidRPr="3238681A">
        <w:rPr>
          <w:rFonts w:eastAsiaTheme="majorEastAsia" w:cstheme="majorBidi"/>
        </w:rPr>
        <w:t xml:space="preserve"> in other forms.</w:t>
      </w:r>
    </w:p>
    <w:bookmarkEnd w:id="6"/>
    <w:p w14:paraId="27E72B74" w14:textId="77777777" w:rsidR="00CE34A1" w:rsidRDefault="00CE34A1" w:rsidP="006B7CDC">
      <w:pPr>
        <w:tabs>
          <w:tab w:val="left" w:pos="1276"/>
          <w:tab w:val="left" w:pos="1418"/>
        </w:tabs>
        <w:rPr>
          <w:b/>
          <w:bCs/>
        </w:rPr>
      </w:pPr>
    </w:p>
    <w:p w14:paraId="01C033F1" w14:textId="77777777" w:rsidR="00CE34A1" w:rsidRDefault="00CE34A1" w:rsidP="006B7CDC">
      <w:pPr>
        <w:tabs>
          <w:tab w:val="left" w:pos="1276"/>
          <w:tab w:val="left" w:pos="1418"/>
        </w:tabs>
        <w:rPr>
          <w:b/>
          <w:bCs/>
        </w:rPr>
      </w:pPr>
    </w:p>
    <w:p w14:paraId="7EA6309A" w14:textId="08F140B5" w:rsidR="006B7CDC" w:rsidRDefault="006B7CDC" w:rsidP="006B7CDC">
      <w:pPr>
        <w:tabs>
          <w:tab w:val="left" w:pos="1276"/>
          <w:tab w:val="left" w:pos="1418"/>
        </w:tabs>
        <w:rPr>
          <w:b/>
          <w:bCs/>
        </w:rPr>
      </w:pPr>
      <w:r>
        <w:rPr>
          <w:b/>
          <w:bCs/>
        </w:rPr>
        <w:lastRenderedPageBreak/>
        <w:t xml:space="preserve">Clause </w:t>
      </w:r>
      <w:r w:rsidR="007B2799">
        <w:rPr>
          <w:b/>
          <w:bCs/>
        </w:rPr>
        <w:t>43</w:t>
      </w:r>
      <w:r>
        <w:rPr>
          <w:b/>
          <w:bCs/>
        </w:rPr>
        <w:t xml:space="preserve">  New section 53</w:t>
      </w:r>
    </w:p>
    <w:p w14:paraId="30EDEF83" w14:textId="5E5A9EB9" w:rsidR="006B7CDC" w:rsidRDefault="006B7CDC" w:rsidP="006B7CDC">
      <w:pPr>
        <w:tabs>
          <w:tab w:val="left" w:pos="1276"/>
          <w:tab w:val="left" w:pos="1418"/>
        </w:tabs>
        <w:rPr>
          <w:b/>
          <w:bCs/>
        </w:rPr>
      </w:pPr>
      <w:r>
        <w:t xml:space="preserve">This clause will insert a new section 53 into part 7 (Miscellaneous) of the Gambling and Racing Control Act to provide that if an electronic gaming licensee’s licence, authorisation certificate or authorisation schedule is lost, stolen or destroyed, the licensee must give the commission a statement verifying the loss, theft or destruction </w:t>
      </w:r>
      <w:r w:rsidR="00414DAC">
        <w:t>as soon as practicable after becoming aware of the loss, theft or destruction. It also provides that once the statement is received, the commission must provide a replacement document.</w:t>
      </w:r>
    </w:p>
    <w:p w14:paraId="154C4744" w14:textId="3DC01CC6" w:rsidR="006B7CDC" w:rsidRDefault="006B7CDC" w:rsidP="006B7CDC">
      <w:pPr>
        <w:tabs>
          <w:tab w:val="left" w:pos="1276"/>
          <w:tab w:val="left" w:pos="1418"/>
        </w:tabs>
        <w:rPr>
          <w:b/>
          <w:bCs/>
        </w:rPr>
      </w:pPr>
      <w:r w:rsidRPr="3238681A">
        <w:rPr>
          <w:b/>
          <w:bCs/>
        </w:rPr>
        <w:t xml:space="preserve">Clause </w:t>
      </w:r>
      <w:r w:rsidR="007B2799">
        <w:rPr>
          <w:b/>
          <w:bCs/>
        </w:rPr>
        <w:t>44</w:t>
      </w:r>
      <w:r w:rsidRPr="3238681A">
        <w:rPr>
          <w:b/>
          <w:bCs/>
        </w:rPr>
        <w:t xml:space="preserve">  New part </w:t>
      </w:r>
      <w:r>
        <w:rPr>
          <w:b/>
          <w:bCs/>
        </w:rPr>
        <w:t>10</w:t>
      </w:r>
    </w:p>
    <w:p w14:paraId="2A56C0CA" w14:textId="74D9913B" w:rsidR="006B7CDC" w:rsidRDefault="006B7CDC" w:rsidP="006B7CDC">
      <w:pPr>
        <w:tabs>
          <w:tab w:val="left" w:pos="1276"/>
        </w:tabs>
      </w:pPr>
      <w:r>
        <w:t xml:space="preserve">This clause inserts a new Part </w:t>
      </w:r>
      <w:r w:rsidR="00414DAC">
        <w:t>10</w:t>
      </w:r>
      <w:r>
        <w:t xml:space="preserve"> Transitional – Better Regulation Legislation Amendment Act 2026 in the </w:t>
      </w:r>
      <w:r w:rsidR="00414DAC">
        <w:t>Gambling and Racing Control Act</w:t>
      </w:r>
      <w:r>
        <w:t xml:space="preserve"> to provide that any information about </w:t>
      </w:r>
      <w:r w:rsidR="00414DAC">
        <w:t>an electronic gaming licence, an authorisation certificate for electronic gaming, an authorisation for electronic gaming, an approval of a gaming machine or peripheral equipment, or a race or sports bookmaking licence or totalisator licence</w:t>
      </w:r>
      <w:r>
        <w:t xml:space="preserve"> immediately before the commencement day is taken, on the commencement day, to be recorded in the register</w:t>
      </w:r>
      <w:r w:rsidR="00414DAC">
        <w:t>s</w:t>
      </w:r>
      <w:r>
        <w:t>.</w:t>
      </w:r>
    </w:p>
    <w:p w14:paraId="5D2ECAFD" w14:textId="485E0703" w:rsidR="006B7CDC" w:rsidRPr="00CD61C5" w:rsidRDefault="006B7CDC" w:rsidP="006B7CDC">
      <w:pPr>
        <w:tabs>
          <w:tab w:val="left" w:pos="1276"/>
        </w:tabs>
      </w:pPr>
      <w:r>
        <w:t xml:space="preserve">This new part </w:t>
      </w:r>
      <w:r w:rsidR="00414DAC">
        <w:t>10</w:t>
      </w:r>
      <w:r>
        <w:t xml:space="preserve"> will expire 1 year after the </w:t>
      </w:r>
      <w:r w:rsidR="00E262E8">
        <w:t>commencement day</w:t>
      </w:r>
      <w:r>
        <w:t xml:space="preserve">. </w:t>
      </w:r>
    </w:p>
    <w:p w14:paraId="53D00556" w14:textId="04A3C267" w:rsidR="00414DAC" w:rsidRDefault="00414DAC" w:rsidP="00414DAC">
      <w:pPr>
        <w:tabs>
          <w:tab w:val="left" w:pos="1276"/>
          <w:tab w:val="left" w:pos="1418"/>
        </w:tabs>
        <w:rPr>
          <w:b/>
          <w:bCs/>
        </w:rPr>
      </w:pPr>
      <w:r w:rsidRPr="3238681A">
        <w:rPr>
          <w:b/>
          <w:bCs/>
        </w:rPr>
        <w:t xml:space="preserve">Clause </w:t>
      </w:r>
      <w:r w:rsidR="007B2799">
        <w:rPr>
          <w:b/>
          <w:bCs/>
        </w:rPr>
        <w:t>45</w:t>
      </w:r>
      <w:r w:rsidRPr="3238681A">
        <w:rPr>
          <w:b/>
          <w:bCs/>
        </w:rPr>
        <w:t xml:space="preserve">  </w:t>
      </w:r>
      <w:r>
        <w:rPr>
          <w:b/>
          <w:bCs/>
        </w:rPr>
        <w:t xml:space="preserve">Dictionary, definitions of </w:t>
      </w:r>
      <w:r w:rsidRPr="00414DAC">
        <w:rPr>
          <w:b/>
          <w:bCs/>
          <w:i/>
          <w:iCs/>
        </w:rPr>
        <w:t>authorisation</w:t>
      </w:r>
      <w:r>
        <w:rPr>
          <w:b/>
          <w:bCs/>
        </w:rPr>
        <w:t xml:space="preserve"> and </w:t>
      </w:r>
      <w:r w:rsidRPr="00414DAC">
        <w:rPr>
          <w:b/>
          <w:bCs/>
          <w:i/>
          <w:iCs/>
        </w:rPr>
        <w:t>authorisation certificate</w:t>
      </w:r>
    </w:p>
    <w:p w14:paraId="064F7A8F" w14:textId="2EADBDA4" w:rsidR="009C2F43" w:rsidRDefault="00414DAC" w:rsidP="00414DAC">
      <w:pPr>
        <w:tabs>
          <w:tab w:val="left" w:pos="1134"/>
          <w:tab w:val="left" w:pos="1276"/>
        </w:tabs>
        <w:rPr>
          <w:b/>
          <w:bCs/>
        </w:rPr>
      </w:pPr>
      <w:r>
        <w:t xml:space="preserve">This clause replaces the definitions for </w:t>
      </w:r>
      <w:r w:rsidRPr="00414DAC">
        <w:rPr>
          <w:i/>
          <w:iCs/>
        </w:rPr>
        <w:t>authorisation</w:t>
      </w:r>
      <w:r>
        <w:t xml:space="preserve"> and </w:t>
      </w:r>
      <w:r w:rsidRPr="00414DAC">
        <w:rPr>
          <w:i/>
          <w:iCs/>
        </w:rPr>
        <w:t>authorisation certificate</w:t>
      </w:r>
      <w:r>
        <w:t xml:space="preserve"> to align with amendments.</w:t>
      </w:r>
    </w:p>
    <w:p w14:paraId="72BBD880" w14:textId="206446BC" w:rsidR="00414DAC" w:rsidRDefault="00414DAC" w:rsidP="00414DAC">
      <w:pPr>
        <w:tabs>
          <w:tab w:val="left" w:pos="1276"/>
          <w:tab w:val="left" w:pos="1418"/>
        </w:tabs>
        <w:rPr>
          <w:b/>
          <w:bCs/>
        </w:rPr>
      </w:pPr>
      <w:r w:rsidRPr="3238681A">
        <w:rPr>
          <w:b/>
          <w:bCs/>
        </w:rPr>
        <w:t xml:space="preserve">Clause </w:t>
      </w:r>
      <w:r w:rsidR="007B2799">
        <w:rPr>
          <w:b/>
          <w:bCs/>
        </w:rPr>
        <w:t>46</w:t>
      </w:r>
      <w:r w:rsidRPr="3238681A">
        <w:rPr>
          <w:b/>
          <w:bCs/>
        </w:rPr>
        <w:t xml:space="preserve">  </w:t>
      </w:r>
      <w:r>
        <w:rPr>
          <w:b/>
          <w:bCs/>
        </w:rPr>
        <w:t>Dictionary, definition of a</w:t>
      </w:r>
      <w:r w:rsidRPr="00414DAC">
        <w:rPr>
          <w:b/>
          <w:bCs/>
          <w:i/>
          <w:iCs/>
        </w:rPr>
        <w:t xml:space="preserve">uthorisation </w:t>
      </w:r>
      <w:r>
        <w:rPr>
          <w:b/>
          <w:bCs/>
          <w:i/>
          <w:iCs/>
        </w:rPr>
        <w:t>number</w:t>
      </w:r>
    </w:p>
    <w:p w14:paraId="2B6D9578" w14:textId="4631AA75" w:rsidR="00414DAC" w:rsidRDefault="00414DAC" w:rsidP="00414DAC">
      <w:pPr>
        <w:tabs>
          <w:tab w:val="left" w:pos="1134"/>
          <w:tab w:val="left" w:pos="1276"/>
        </w:tabs>
        <w:rPr>
          <w:b/>
          <w:bCs/>
        </w:rPr>
      </w:pPr>
      <w:r>
        <w:t xml:space="preserve">This clause omits the definition for </w:t>
      </w:r>
      <w:r w:rsidRPr="00414DAC">
        <w:rPr>
          <w:i/>
          <w:iCs/>
        </w:rPr>
        <w:t xml:space="preserve">authorisation </w:t>
      </w:r>
      <w:r>
        <w:rPr>
          <w:i/>
          <w:iCs/>
        </w:rPr>
        <w:t>number</w:t>
      </w:r>
      <w:r>
        <w:t xml:space="preserve"> to align with amendments.</w:t>
      </w:r>
    </w:p>
    <w:p w14:paraId="7A651DD2" w14:textId="29FB9B9B" w:rsidR="00414DAC" w:rsidRDefault="00414DAC" w:rsidP="00414DAC">
      <w:pPr>
        <w:tabs>
          <w:tab w:val="left" w:pos="1276"/>
          <w:tab w:val="left" w:pos="1418"/>
        </w:tabs>
        <w:rPr>
          <w:b/>
          <w:bCs/>
        </w:rPr>
      </w:pPr>
      <w:r w:rsidRPr="3238681A">
        <w:rPr>
          <w:b/>
          <w:bCs/>
        </w:rPr>
        <w:t xml:space="preserve">Clause </w:t>
      </w:r>
      <w:r w:rsidR="007B2799">
        <w:rPr>
          <w:b/>
          <w:bCs/>
        </w:rPr>
        <w:t>47</w:t>
      </w:r>
      <w:r w:rsidRPr="3238681A">
        <w:rPr>
          <w:b/>
          <w:bCs/>
        </w:rPr>
        <w:t xml:space="preserve">  </w:t>
      </w:r>
      <w:r>
        <w:rPr>
          <w:b/>
          <w:bCs/>
        </w:rPr>
        <w:t xml:space="preserve">Dictionary, definition of </w:t>
      </w:r>
      <w:r w:rsidRPr="00414DAC">
        <w:rPr>
          <w:b/>
          <w:bCs/>
          <w:i/>
          <w:iCs/>
        </w:rPr>
        <w:t>authorisation</w:t>
      </w:r>
      <w:r>
        <w:rPr>
          <w:b/>
          <w:bCs/>
          <w:i/>
          <w:iCs/>
        </w:rPr>
        <w:t xml:space="preserve"> schedule</w:t>
      </w:r>
    </w:p>
    <w:p w14:paraId="143600E5" w14:textId="3172682A" w:rsidR="00414DAC" w:rsidRDefault="00414DAC" w:rsidP="00414DAC">
      <w:pPr>
        <w:tabs>
          <w:tab w:val="left" w:pos="1134"/>
          <w:tab w:val="left" w:pos="1276"/>
        </w:tabs>
        <w:rPr>
          <w:b/>
          <w:bCs/>
        </w:rPr>
      </w:pPr>
      <w:r>
        <w:t xml:space="preserve">This clause replaces the definition for </w:t>
      </w:r>
      <w:r w:rsidRPr="00414DAC">
        <w:rPr>
          <w:i/>
          <w:iCs/>
        </w:rPr>
        <w:t xml:space="preserve">authorisation </w:t>
      </w:r>
      <w:r>
        <w:rPr>
          <w:i/>
          <w:iCs/>
        </w:rPr>
        <w:t>schedule</w:t>
      </w:r>
      <w:r>
        <w:t xml:space="preserve"> to align with amendments.</w:t>
      </w:r>
    </w:p>
    <w:p w14:paraId="7CD6D001" w14:textId="5AB65702" w:rsidR="00F51C0B" w:rsidRDefault="00F51C0B" w:rsidP="00F51C0B">
      <w:pPr>
        <w:tabs>
          <w:tab w:val="left" w:pos="1276"/>
          <w:tab w:val="left" w:pos="1418"/>
        </w:tabs>
        <w:rPr>
          <w:b/>
          <w:bCs/>
        </w:rPr>
      </w:pPr>
      <w:r w:rsidRPr="3238681A">
        <w:rPr>
          <w:b/>
          <w:bCs/>
        </w:rPr>
        <w:t xml:space="preserve">Clause </w:t>
      </w:r>
      <w:r w:rsidR="008E05B3">
        <w:rPr>
          <w:b/>
          <w:bCs/>
        </w:rPr>
        <w:t>48</w:t>
      </w:r>
      <w:r w:rsidRPr="3238681A">
        <w:rPr>
          <w:b/>
          <w:bCs/>
        </w:rPr>
        <w:t xml:space="preserve">  </w:t>
      </w:r>
      <w:r>
        <w:rPr>
          <w:b/>
          <w:bCs/>
        </w:rPr>
        <w:t>Dictionary, definition</w:t>
      </w:r>
      <w:r w:rsidR="008E05B3">
        <w:rPr>
          <w:b/>
          <w:bCs/>
        </w:rPr>
        <w:t xml:space="preserve"> of casino FATG terminal etc</w:t>
      </w:r>
    </w:p>
    <w:p w14:paraId="57F6BCC9" w14:textId="7CBC0549" w:rsidR="00F51C0B" w:rsidRDefault="00F51C0B" w:rsidP="00F51C0B">
      <w:pPr>
        <w:tabs>
          <w:tab w:val="left" w:pos="1134"/>
          <w:tab w:val="left" w:pos="1276"/>
        </w:tabs>
      </w:pPr>
      <w:r>
        <w:t xml:space="preserve">This clause replaces additional definitions </w:t>
      </w:r>
      <w:r w:rsidR="008E05B3">
        <w:t xml:space="preserve">for </w:t>
      </w:r>
      <w:r w:rsidR="008E05B3" w:rsidRPr="008E05B3">
        <w:rPr>
          <w:i/>
          <w:iCs/>
        </w:rPr>
        <w:t>casino FATG terminal, casino gaming machine, electronic gaming</w:t>
      </w:r>
      <w:r w:rsidR="008E05B3">
        <w:t xml:space="preserve">, and </w:t>
      </w:r>
      <w:r w:rsidR="008E05B3" w:rsidRPr="008E05B3">
        <w:rPr>
          <w:i/>
          <w:iCs/>
        </w:rPr>
        <w:t>gaming machine</w:t>
      </w:r>
      <w:r w:rsidR="008E05B3">
        <w:t xml:space="preserve"> </w:t>
      </w:r>
      <w:r>
        <w:t>to align with amendments.</w:t>
      </w:r>
    </w:p>
    <w:p w14:paraId="4B02E4C2" w14:textId="0450021A" w:rsidR="00F51C0B" w:rsidRDefault="00F51C0B" w:rsidP="00F51C0B">
      <w:pPr>
        <w:tabs>
          <w:tab w:val="left" w:pos="1276"/>
          <w:tab w:val="left" w:pos="1418"/>
        </w:tabs>
        <w:rPr>
          <w:b/>
          <w:bCs/>
        </w:rPr>
      </w:pPr>
      <w:r w:rsidRPr="3238681A">
        <w:rPr>
          <w:b/>
          <w:bCs/>
        </w:rPr>
        <w:t xml:space="preserve">Clause </w:t>
      </w:r>
      <w:r w:rsidR="008E05B3">
        <w:rPr>
          <w:b/>
          <w:bCs/>
        </w:rPr>
        <w:t>49</w:t>
      </w:r>
      <w:r w:rsidRPr="3238681A">
        <w:rPr>
          <w:b/>
          <w:bCs/>
        </w:rPr>
        <w:t xml:space="preserve">  </w:t>
      </w:r>
      <w:r>
        <w:rPr>
          <w:b/>
          <w:bCs/>
        </w:rPr>
        <w:t>Dictionary</w:t>
      </w:r>
    </w:p>
    <w:p w14:paraId="490ECFFA" w14:textId="421A8DFE" w:rsidR="00F51C0B" w:rsidRDefault="00F51C0B" w:rsidP="00F51C0B">
      <w:pPr>
        <w:tabs>
          <w:tab w:val="left" w:pos="1134"/>
          <w:tab w:val="left" w:pos="1276"/>
        </w:tabs>
        <w:rPr>
          <w:b/>
          <w:bCs/>
        </w:rPr>
      </w:pPr>
      <w:r>
        <w:t xml:space="preserve">This clause omits definitions for </w:t>
      </w:r>
      <w:r w:rsidRPr="00F51C0B">
        <w:rPr>
          <w:i/>
          <w:iCs/>
        </w:rPr>
        <w:t>general purpose, interim purpose, licence, maximum number</w:t>
      </w:r>
      <w:r>
        <w:t xml:space="preserve"> and </w:t>
      </w:r>
      <w:r w:rsidRPr="00F51C0B">
        <w:rPr>
          <w:i/>
          <w:iCs/>
        </w:rPr>
        <w:t>storage permit</w:t>
      </w:r>
      <w:r>
        <w:t xml:space="preserve"> as the terms are only used in section 51 of the Gambling and Racing Control Act and are defined in that section. </w:t>
      </w:r>
      <w:r w:rsidRPr="00F51C0B">
        <w:rPr>
          <w:i/>
          <w:iCs/>
        </w:rPr>
        <w:t>Licence</w:t>
      </w:r>
      <w:r>
        <w:t xml:space="preserve"> is not used at all now and can be omitted completely.</w:t>
      </w:r>
    </w:p>
    <w:p w14:paraId="60BE2464" w14:textId="77777777" w:rsidR="00CE34A1" w:rsidRDefault="00CE34A1" w:rsidP="008A2E68">
      <w:pPr>
        <w:tabs>
          <w:tab w:val="left" w:pos="1276"/>
          <w:tab w:val="left" w:pos="1418"/>
        </w:tabs>
        <w:rPr>
          <w:b/>
          <w:bCs/>
        </w:rPr>
      </w:pPr>
    </w:p>
    <w:p w14:paraId="56C3FD02" w14:textId="7986FFAB" w:rsidR="008A2E68" w:rsidRDefault="008A2E68" w:rsidP="008A2E68">
      <w:pPr>
        <w:tabs>
          <w:tab w:val="left" w:pos="1276"/>
          <w:tab w:val="left" w:pos="1418"/>
        </w:tabs>
        <w:rPr>
          <w:b/>
          <w:bCs/>
        </w:rPr>
      </w:pPr>
      <w:r>
        <w:rPr>
          <w:b/>
          <w:bCs/>
        </w:rPr>
        <w:lastRenderedPageBreak/>
        <w:t xml:space="preserve">Part </w:t>
      </w:r>
      <w:r w:rsidR="004178F3">
        <w:rPr>
          <w:b/>
          <w:bCs/>
        </w:rPr>
        <w:t>15</w:t>
      </w:r>
      <w:r>
        <w:rPr>
          <w:b/>
          <w:bCs/>
        </w:rPr>
        <w:t xml:space="preserve">       Gaming Machine Act 2004</w:t>
      </w:r>
    </w:p>
    <w:p w14:paraId="1A90843C" w14:textId="150E5D3B" w:rsidR="008A2E68" w:rsidRDefault="008A2E68" w:rsidP="008A2E68">
      <w:pPr>
        <w:tabs>
          <w:tab w:val="left" w:pos="1418"/>
        </w:tabs>
        <w:rPr>
          <w:b/>
          <w:bCs/>
        </w:rPr>
      </w:pPr>
      <w:r>
        <w:rPr>
          <w:b/>
          <w:bCs/>
        </w:rPr>
        <w:t xml:space="preserve">Clause </w:t>
      </w:r>
      <w:r w:rsidR="008E05B3">
        <w:rPr>
          <w:b/>
          <w:bCs/>
        </w:rPr>
        <w:t>50</w:t>
      </w:r>
      <w:r>
        <w:rPr>
          <w:b/>
          <w:bCs/>
        </w:rPr>
        <w:t xml:space="preserve">  </w:t>
      </w:r>
      <w:r w:rsidR="009E1D04">
        <w:rPr>
          <w:b/>
          <w:bCs/>
        </w:rPr>
        <w:t xml:space="preserve">Proper completion – applications under Act </w:t>
      </w:r>
      <w:r>
        <w:rPr>
          <w:b/>
          <w:bCs/>
        </w:rPr>
        <w:t>Section 9 (1), note 1</w:t>
      </w:r>
    </w:p>
    <w:p w14:paraId="7D6C8CC8" w14:textId="1B0F6807" w:rsidR="008A2E68" w:rsidRDefault="008A2E68" w:rsidP="008A2E68">
      <w:pPr>
        <w:tabs>
          <w:tab w:val="left" w:pos="1418"/>
        </w:tabs>
      </w:pPr>
      <w:r>
        <w:t>This clause</w:t>
      </w:r>
      <w:r w:rsidR="00CB0456">
        <w:t xml:space="preserve"> </w:t>
      </w:r>
      <w:r w:rsidR="005B4DD0">
        <w:t xml:space="preserve">makes a minor amendment to remove </w:t>
      </w:r>
      <w:r w:rsidR="004178F3">
        <w:t>n</w:t>
      </w:r>
      <w:r w:rsidR="005B4DD0">
        <w:t xml:space="preserve">ote 1 under section 9 (1) of the </w:t>
      </w:r>
      <w:r w:rsidR="005B4DD0">
        <w:rPr>
          <w:i/>
          <w:iCs/>
        </w:rPr>
        <w:t xml:space="preserve">Gaming Machine Act 2004 </w:t>
      </w:r>
      <w:r w:rsidR="005B4DD0">
        <w:t xml:space="preserve">(Gaming Machine Act). The note replicates section 255 (5) of the </w:t>
      </w:r>
      <w:r w:rsidR="005B4DD0">
        <w:rPr>
          <w:i/>
          <w:iCs/>
        </w:rPr>
        <w:t xml:space="preserve">Legislation Act 2001 </w:t>
      </w:r>
      <w:r w:rsidR="005B4DD0">
        <w:t xml:space="preserve">(Legislation Act) in its entirety and is </w:t>
      </w:r>
      <w:r w:rsidR="004178F3">
        <w:t>considered unnecessary by Parliamentary Counsel’s Office</w:t>
      </w:r>
      <w:r w:rsidR="005B4DD0">
        <w:t>.</w:t>
      </w:r>
    </w:p>
    <w:p w14:paraId="06DE7D5C" w14:textId="518E4415" w:rsidR="004178F3" w:rsidRDefault="004178F3" w:rsidP="004178F3">
      <w:pPr>
        <w:tabs>
          <w:tab w:val="left" w:pos="1418"/>
        </w:tabs>
        <w:rPr>
          <w:b/>
          <w:bCs/>
        </w:rPr>
      </w:pPr>
      <w:r w:rsidRPr="3238681A">
        <w:rPr>
          <w:b/>
          <w:bCs/>
        </w:rPr>
        <w:t xml:space="preserve">Clause </w:t>
      </w:r>
      <w:r w:rsidR="008E05B3">
        <w:rPr>
          <w:b/>
          <w:bCs/>
        </w:rPr>
        <w:t>51</w:t>
      </w:r>
      <w:r w:rsidRPr="3238681A">
        <w:rPr>
          <w:b/>
          <w:bCs/>
        </w:rPr>
        <w:t xml:space="preserve">  Approval of gaming machines and peripheral equipment Section 69 (1)</w:t>
      </w:r>
    </w:p>
    <w:p w14:paraId="37E29B8B" w14:textId="31B1588E" w:rsidR="004178F3" w:rsidRDefault="00134913" w:rsidP="004178F3">
      <w:pPr>
        <w:tabs>
          <w:tab w:val="left" w:pos="1418"/>
        </w:tabs>
      </w:pPr>
      <w:r>
        <w:t xml:space="preserve">This clause amends section 69 (1) of the </w:t>
      </w:r>
      <w:r w:rsidR="008975A3">
        <w:t xml:space="preserve">Gaming Machine </w:t>
      </w:r>
      <w:r>
        <w:t xml:space="preserve">Act to provide that approvals may be provided in writing by the commission. </w:t>
      </w:r>
    </w:p>
    <w:p w14:paraId="270C01BC" w14:textId="7B6420A5" w:rsidR="00134913" w:rsidRPr="00C70930" w:rsidRDefault="00134913" w:rsidP="00134913">
      <w:pPr>
        <w:tabs>
          <w:tab w:val="left" w:pos="1276"/>
        </w:tabs>
      </w:pPr>
      <w:r>
        <w:t>This improve</w:t>
      </w:r>
      <w:r w:rsidR="00024242">
        <w:t>s</w:t>
      </w:r>
      <w:r>
        <w:t xml:space="preserve"> the clarity of the legislation. </w:t>
      </w:r>
    </w:p>
    <w:p w14:paraId="496D2C32" w14:textId="0C330263" w:rsidR="009E1D04" w:rsidRDefault="009E1D04" w:rsidP="008A2E68">
      <w:pPr>
        <w:tabs>
          <w:tab w:val="left" w:pos="1418"/>
        </w:tabs>
        <w:rPr>
          <w:b/>
          <w:bCs/>
        </w:rPr>
      </w:pPr>
      <w:r>
        <w:rPr>
          <w:b/>
          <w:bCs/>
        </w:rPr>
        <w:t xml:space="preserve">Clause </w:t>
      </w:r>
      <w:r w:rsidR="008E05B3">
        <w:rPr>
          <w:b/>
          <w:bCs/>
        </w:rPr>
        <w:t>52</w:t>
      </w:r>
      <w:r>
        <w:rPr>
          <w:b/>
          <w:bCs/>
        </w:rPr>
        <w:t xml:space="preserve">  Section 69 (1), new note</w:t>
      </w:r>
    </w:p>
    <w:p w14:paraId="30E49DE0" w14:textId="1176BEC3" w:rsidR="009E1D04" w:rsidRDefault="009E1D04" w:rsidP="008A2E68">
      <w:pPr>
        <w:tabs>
          <w:tab w:val="left" w:pos="1418"/>
        </w:tabs>
        <w:rPr>
          <w:b/>
          <w:bCs/>
        </w:rPr>
      </w:pPr>
      <w:r>
        <w:t xml:space="preserve">This clause will insert a new note under section 69 (1) of the Gaming Machine Act to provide guidance that the commission must keep a register of approvals under the </w:t>
      </w:r>
      <w:r w:rsidRPr="009E1D04">
        <w:rPr>
          <w:i/>
          <w:iCs/>
        </w:rPr>
        <w:t>Gambling and Racing Control Act 1999</w:t>
      </w:r>
      <w:r>
        <w:t>. This aligns with the amendments in the Bill to move some administrative legislative requirements to that Act.</w:t>
      </w:r>
    </w:p>
    <w:p w14:paraId="210B414E" w14:textId="2C5405F8" w:rsidR="005B4DD0" w:rsidRDefault="005B4DD0" w:rsidP="008A2E68">
      <w:pPr>
        <w:tabs>
          <w:tab w:val="left" w:pos="1418"/>
        </w:tabs>
        <w:rPr>
          <w:b/>
          <w:bCs/>
        </w:rPr>
      </w:pPr>
      <w:r w:rsidRPr="3238681A">
        <w:rPr>
          <w:b/>
          <w:bCs/>
        </w:rPr>
        <w:t xml:space="preserve">Clause </w:t>
      </w:r>
      <w:r w:rsidR="008E05B3">
        <w:rPr>
          <w:b/>
          <w:bCs/>
        </w:rPr>
        <w:t>53</w:t>
      </w:r>
      <w:r w:rsidRPr="3238681A">
        <w:rPr>
          <w:b/>
          <w:bCs/>
        </w:rPr>
        <w:t xml:space="preserve">  Section 69 (4)</w:t>
      </w:r>
    </w:p>
    <w:p w14:paraId="1189A111" w14:textId="46C4C9A4" w:rsidR="00134913" w:rsidRDefault="000E7C53" w:rsidP="008A2E68">
      <w:pPr>
        <w:tabs>
          <w:tab w:val="left" w:pos="1418"/>
        </w:tabs>
        <w:rPr>
          <w:i/>
          <w:iCs/>
        </w:rPr>
      </w:pPr>
      <w:r>
        <w:t xml:space="preserve">This clause </w:t>
      </w:r>
      <w:r w:rsidR="00EE62F3">
        <w:t>omits</w:t>
      </w:r>
      <w:r>
        <w:t xml:space="preserve"> section 69 (4) </w:t>
      </w:r>
      <w:r w:rsidR="008975A3">
        <w:t xml:space="preserve">of the Gaming Machine Act </w:t>
      </w:r>
      <w:r>
        <w:t xml:space="preserve">to remove the requirement for approvals to be a notifiable instrument and instead </w:t>
      </w:r>
      <w:r w:rsidR="00570BB7">
        <w:t>provide</w:t>
      </w:r>
      <w:r w:rsidR="544F89DA">
        <w:t>s</w:t>
      </w:r>
      <w:r w:rsidR="00570BB7">
        <w:t xml:space="preserve"> for approvals to be included </w:t>
      </w:r>
      <w:r>
        <w:t>on a register. A register is considered a more appropriate tool for publicly accessing information as they are easier to view and notifiable instruments are time-intensive to draft and make effective.</w:t>
      </w:r>
      <w:r w:rsidR="00EE62F3">
        <w:t xml:space="preserve"> This register will be provided for in the </w:t>
      </w:r>
      <w:r w:rsidR="00EE62F3" w:rsidRPr="009E1D04">
        <w:rPr>
          <w:i/>
          <w:iCs/>
        </w:rPr>
        <w:t>Gambling and Racing Control Act 1999</w:t>
      </w:r>
      <w:r w:rsidR="00EE62F3">
        <w:rPr>
          <w:i/>
          <w:iCs/>
        </w:rPr>
        <w:t>.</w:t>
      </w:r>
    </w:p>
    <w:p w14:paraId="2EE58C79" w14:textId="1B733444" w:rsidR="00B8738B" w:rsidRDefault="00B8738B" w:rsidP="008A2E68">
      <w:pPr>
        <w:tabs>
          <w:tab w:val="left" w:pos="1418"/>
        </w:tabs>
        <w:rPr>
          <w:b/>
          <w:bCs/>
        </w:rPr>
      </w:pPr>
      <w:r w:rsidRPr="3238681A">
        <w:rPr>
          <w:b/>
          <w:bCs/>
        </w:rPr>
        <w:t xml:space="preserve">Clause </w:t>
      </w:r>
      <w:r w:rsidR="008E05B3">
        <w:rPr>
          <w:b/>
          <w:bCs/>
        </w:rPr>
        <w:t>54</w:t>
      </w:r>
      <w:r w:rsidRPr="3238681A">
        <w:rPr>
          <w:b/>
          <w:bCs/>
        </w:rPr>
        <w:t xml:space="preserve">  Cancellation or suspension of gaming machine and peripheral equipment approval Section 70 (</w:t>
      </w:r>
      <w:r w:rsidR="004178F3" w:rsidRPr="3238681A">
        <w:rPr>
          <w:b/>
          <w:bCs/>
        </w:rPr>
        <w:t>1</w:t>
      </w:r>
      <w:r w:rsidRPr="3238681A">
        <w:rPr>
          <w:b/>
          <w:bCs/>
        </w:rPr>
        <w:t>)</w:t>
      </w:r>
    </w:p>
    <w:p w14:paraId="5195F28B" w14:textId="0BC1DF30" w:rsidR="000E7C53" w:rsidRDefault="000E7C53" w:rsidP="000E7C53">
      <w:pPr>
        <w:tabs>
          <w:tab w:val="left" w:pos="1418"/>
        </w:tabs>
      </w:pPr>
      <w:r>
        <w:t xml:space="preserve">This clause amends section 70 (1) of the </w:t>
      </w:r>
      <w:r w:rsidR="008975A3">
        <w:t xml:space="preserve">Gaming Machine </w:t>
      </w:r>
      <w:r>
        <w:t>Act to provide that suspensions or cancellation</w:t>
      </w:r>
      <w:r w:rsidR="008975A3">
        <w:t>s</w:t>
      </w:r>
      <w:r>
        <w:t xml:space="preserve"> may be provided in writing by the commission. </w:t>
      </w:r>
    </w:p>
    <w:p w14:paraId="0086A05B" w14:textId="5604203D" w:rsidR="000E7C53" w:rsidRPr="00C70930" w:rsidRDefault="000E7C53" w:rsidP="000E7C53">
      <w:pPr>
        <w:tabs>
          <w:tab w:val="left" w:pos="1276"/>
        </w:tabs>
      </w:pPr>
      <w:r>
        <w:t>This improve</w:t>
      </w:r>
      <w:r w:rsidR="00024242">
        <w:t>s</w:t>
      </w:r>
      <w:r>
        <w:t xml:space="preserve"> the clarity of the legislation. </w:t>
      </w:r>
    </w:p>
    <w:p w14:paraId="247AB7E9" w14:textId="3A523398" w:rsidR="008718A2" w:rsidRDefault="008718A2" w:rsidP="008718A2">
      <w:pPr>
        <w:tabs>
          <w:tab w:val="left" w:pos="1418"/>
        </w:tabs>
        <w:rPr>
          <w:b/>
          <w:bCs/>
        </w:rPr>
      </w:pPr>
      <w:r>
        <w:rPr>
          <w:b/>
          <w:bCs/>
        </w:rPr>
        <w:t xml:space="preserve">Clause </w:t>
      </w:r>
      <w:r w:rsidR="008E05B3">
        <w:rPr>
          <w:b/>
          <w:bCs/>
        </w:rPr>
        <w:t>55</w:t>
      </w:r>
      <w:r>
        <w:rPr>
          <w:b/>
          <w:bCs/>
        </w:rPr>
        <w:t xml:space="preserve">  Section 70 (1), new note</w:t>
      </w:r>
    </w:p>
    <w:p w14:paraId="12EE28F0" w14:textId="6492D39D" w:rsidR="008718A2" w:rsidRDefault="008718A2" w:rsidP="008718A2">
      <w:pPr>
        <w:tabs>
          <w:tab w:val="left" w:pos="1418"/>
        </w:tabs>
        <w:rPr>
          <w:b/>
          <w:bCs/>
        </w:rPr>
      </w:pPr>
      <w:r>
        <w:t xml:space="preserve">This clause will insert a new note under section 70 (1) of the Gaming Machine Act to provide guidance that the commission must include information about suspensions or cancellations of approvals in the register kept under the </w:t>
      </w:r>
      <w:r w:rsidRPr="009E1D04">
        <w:rPr>
          <w:i/>
          <w:iCs/>
        </w:rPr>
        <w:t>Gambling and Racing Control Act 1999</w:t>
      </w:r>
      <w:r>
        <w:t>. This aligns with the amendments in the Bill to move some administrative legislative requirements to that Act.</w:t>
      </w:r>
    </w:p>
    <w:p w14:paraId="667A5F93" w14:textId="77777777" w:rsidR="00CE34A1" w:rsidRDefault="00CE34A1" w:rsidP="00D018C1">
      <w:pPr>
        <w:tabs>
          <w:tab w:val="left" w:pos="1418"/>
        </w:tabs>
        <w:rPr>
          <w:b/>
          <w:bCs/>
        </w:rPr>
      </w:pPr>
    </w:p>
    <w:p w14:paraId="29E89C17" w14:textId="50EFC29D" w:rsidR="00D018C1" w:rsidRDefault="00D018C1" w:rsidP="00D018C1">
      <w:pPr>
        <w:tabs>
          <w:tab w:val="left" w:pos="1418"/>
        </w:tabs>
        <w:rPr>
          <w:b/>
          <w:bCs/>
        </w:rPr>
      </w:pPr>
      <w:r w:rsidRPr="3238681A">
        <w:rPr>
          <w:b/>
          <w:bCs/>
        </w:rPr>
        <w:lastRenderedPageBreak/>
        <w:t xml:space="preserve">Clause </w:t>
      </w:r>
      <w:r w:rsidR="008E05B3">
        <w:rPr>
          <w:b/>
          <w:bCs/>
        </w:rPr>
        <w:t>56</w:t>
      </w:r>
      <w:r w:rsidRPr="3238681A">
        <w:rPr>
          <w:b/>
          <w:bCs/>
        </w:rPr>
        <w:t xml:space="preserve">  Section 70 (3)</w:t>
      </w:r>
    </w:p>
    <w:p w14:paraId="7472E56D" w14:textId="77777777" w:rsidR="008718A2" w:rsidRDefault="000E7C53" w:rsidP="008718A2">
      <w:pPr>
        <w:tabs>
          <w:tab w:val="left" w:pos="1418"/>
        </w:tabs>
        <w:rPr>
          <w:i/>
          <w:iCs/>
        </w:rPr>
      </w:pPr>
      <w:r>
        <w:t xml:space="preserve">This clause </w:t>
      </w:r>
      <w:r w:rsidR="008718A2">
        <w:t>omits</w:t>
      </w:r>
      <w:r>
        <w:t xml:space="preserve"> section 70 (3) </w:t>
      </w:r>
      <w:r w:rsidR="008975A3">
        <w:t xml:space="preserve">of the Gaming Machine Act </w:t>
      </w:r>
      <w:r>
        <w:t>to remove the requirement for suspensions or cancellations to be a notifiable instrument.</w:t>
      </w:r>
      <w:r w:rsidR="008718A2">
        <w:t xml:space="preserve"> This aligns with the amendments to include information on a register. A register is considered a more appropriate tool for publicly accessing information as they are easier to view and notifiable instruments are time-intensive to draft and make effective. This register will be provided for in the </w:t>
      </w:r>
      <w:r w:rsidR="008718A2" w:rsidRPr="009E1D04">
        <w:rPr>
          <w:i/>
          <w:iCs/>
        </w:rPr>
        <w:t>Gambling and Racing Control Act 1999</w:t>
      </w:r>
      <w:r w:rsidR="008718A2">
        <w:rPr>
          <w:i/>
          <w:iCs/>
        </w:rPr>
        <w:t>.</w:t>
      </w:r>
    </w:p>
    <w:p w14:paraId="33F64210" w14:textId="1783B9ED" w:rsidR="008718A2" w:rsidRDefault="008718A2" w:rsidP="008718A2">
      <w:pPr>
        <w:tabs>
          <w:tab w:val="left" w:pos="1418"/>
        </w:tabs>
        <w:rPr>
          <w:b/>
          <w:bCs/>
        </w:rPr>
      </w:pPr>
      <w:r w:rsidRPr="3238681A">
        <w:rPr>
          <w:b/>
          <w:bCs/>
        </w:rPr>
        <w:t xml:space="preserve">Clause </w:t>
      </w:r>
      <w:r w:rsidR="008E05B3">
        <w:rPr>
          <w:b/>
          <w:bCs/>
        </w:rPr>
        <w:t>57</w:t>
      </w:r>
      <w:r w:rsidRPr="3238681A">
        <w:rPr>
          <w:b/>
          <w:bCs/>
        </w:rPr>
        <w:t xml:space="preserve">  Section </w:t>
      </w:r>
      <w:r>
        <w:rPr>
          <w:b/>
          <w:bCs/>
        </w:rPr>
        <w:t>176</w:t>
      </w:r>
    </w:p>
    <w:p w14:paraId="4918AEAF" w14:textId="7CBA4825" w:rsidR="00D018C1" w:rsidRDefault="008718A2" w:rsidP="008718A2">
      <w:pPr>
        <w:tabs>
          <w:tab w:val="left" w:pos="1418"/>
        </w:tabs>
        <w:rPr>
          <w:b/>
          <w:bCs/>
        </w:rPr>
      </w:pPr>
      <w:r>
        <w:t>This clause will amend section 176 of the Gaming Machine Act to include that</w:t>
      </w:r>
      <w:r w:rsidR="00781DDB">
        <w:t>,</w:t>
      </w:r>
      <w:r>
        <w:t xml:space="preserve"> in a prosecution for an offence against this Act, a gaming machine or peripheral equipment </w:t>
      </w:r>
      <w:r w:rsidR="00781DDB">
        <w:t xml:space="preserve">approval, or that was not approved, on a stated date or during a stated period can be regarded as evidence. </w:t>
      </w:r>
    </w:p>
    <w:p w14:paraId="57DEA2D5" w14:textId="6C03F61D" w:rsidR="00D018C1" w:rsidRDefault="00D018C1" w:rsidP="00D018C1">
      <w:pPr>
        <w:tabs>
          <w:tab w:val="left" w:pos="1418"/>
        </w:tabs>
        <w:rPr>
          <w:b/>
          <w:bCs/>
        </w:rPr>
      </w:pPr>
      <w:r w:rsidRPr="3238681A">
        <w:rPr>
          <w:b/>
          <w:bCs/>
        </w:rPr>
        <w:t xml:space="preserve">Clause </w:t>
      </w:r>
      <w:r w:rsidR="008E05B3">
        <w:rPr>
          <w:b/>
          <w:bCs/>
        </w:rPr>
        <w:t>58</w:t>
      </w:r>
      <w:r w:rsidRPr="3238681A">
        <w:rPr>
          <w:b/>
          <w:bCs/>
        </w:rPr>
        <w:t xml:space="preserve"> </w:t>
      </w:r>
      <w:r w:rsidR="0043482C" w:rsidRPr="3238681A">
        <w:rPr>
          <w:b/>
          <w:bCs/>
        </w:rPr>
        <w:t xml:space="preserve"> </w:t>
      </w:r>
      <w:r w:rsidRPr="3238681A">
        <w:rPr>
          <w:b/>
          <w:bCs/>
        </w:rPr>
        <w:t>New part 23</w:t>
      </w:r>
    </w:p>
    <w:p w14:paraId="2B9621C4" w14:textId="66259533" w:rsidR="0043482C" w:rsidRDefault="0043482C" w:rsidP="0043482C">
      <w:pPr>
        <w:tabs>
          <w:tab w:val="left" w:pos="1276"/>
        </w:tabs>
      </w:pPr>
      <w:r>
        <w:t>This clause inserts a new Part 23 Transitional – Better Regulation Legislation Amendment Act 2026 in the Gaming Machine Act to provide that any approvals, cancellations or suspensions in force before the commencement date will continue to be in place but</w:t>
      </w:r>
      <w:r w:rsidR="00FC5A97">
        <w:t>,</w:t>
      </w:r>
      <w:r>
        <w:t xml:space="preserve"> for the purposes </w:t>
      </w:r>
      <w:r w:rsidR="00FC5A97">
        <w:t xml:space="preserve">of </w:t>
      </w:r>
      <w:r>
        <w:t xml:space="preserve">the ACT </w:t>
      </w:r>
      <w:r w:rsidR="00FC5A97">
        <w:t>legislation register</w:t>
      </w:r>
      <w:r>
        <w:t xml:space="preserve">, are taken to have been repealed as notifiable instruments.  </w:t>
      </w:r>
    </w:p>
    <w:p w14:paraId="399A2350" w14:textId="3556274D" w:rsidR="0043482C" w:rsidRPr="00CD61C5" w:rsidRDefault="0043482C" w:rsidP="0043482C">
      <w:pPr>
        <w:tabs>
          <w:tab w:val="left" w:pos="1276"/>
        </w:tabs>
      </w:pPr>
      <w:r>
        <w:t xml:space="preserve">This new part 23 will expire </w:t>
      </w:r>
      <w:r w:rsidR="00781DDB">
        <w:t xml:space="preserve">1 year </w:t>
      </w:r>
      <w:r>
        <w:t xml:space="preserve">after the </w:t>
      </w:r>
      <w:r w:rsidR="00E262E8">
        <w:t>commencement day</w:t>
      </w:r>
      <w:r>
        <w:t xml:space="preserve">. </w:t>
      </w:r>
    </w:p>
    <w:p w14:paraId="693A8BD8" w14:textId="4FC0420C" w:rsidR="00892162" w:rsidRDefault="00892162" w:rsidP="00892162">
      <w:pPr>
        <w:tabs>
          <w:tab w:val="left" w:pos="1276"/>
        </w:tabs>
        <w:rPr>
          <w:b/>
          <w:bCs/>
        </w:rPr>
      </w:pPr>
      <w:r>
        <w:rPr>
          <w:b/>
          <w:bCs/>
        </w:rPr>
        <w:t xml:space="preserve">Part </w:t>
      </w:r>
      <w:r w:rsidR="00D018C1">
        <w:rPr>
          <w:b/>
          <w:bCs/>
        </w:rPr>
        <w:t>16</w:t>
      </w:r>
      <w:r>
        <w:rPr>
          <w:b/>
          <w:bCs/>
        </w:rPr>
        <w:t xml:space="preserve">       Gas Safety Act 2000</w:t>
      </w:r>
    </w:p>
    <w:p w14:paraId="7C134A5E" w14:textId="21B7495D" w:rsidR="00892162" w:rsidRDefault="00892162" w:rsidP="005225BE">
      <w:pPr>
        <w:tabs>
          <w:tab w:val="left" w:pos="1276"/>
        </w:tabs>
        <w:rPr>
          <w:b/>
          <w:bCs/>
        </w:rPr>
      </w:pPr>
      <w:r>
        <w:rPr>
          <w:b/>
          <w:bCs/>
        </w:rPr>
        <w:t xml:space="preserve">Clause </w:t>
      </w:r>
      <w:r w:rsidR="008E05B3">
        <w:rPr>
          <w:b/>
          <w:bCs/>
        </w:rPr>
        <w:t>59</w:t>
      </w:r>
      <w:r>
        <w:rPr>
          <w:b/>
          <w:bCs/>
        </w:rPr>
        <w:t xml:space="preserve">  </w:t>
      </w:r>
      <w:r w:rsidR="005225BE">
        <w:rPr>
          <w:b/>
          <w:bCs/>
        </w:rPr>
        <w:t xml:space="preserve"> </w:t>
      </w:r>
      <w:r>
        <w:rPr>
          <w:b/>
          <w:bCs/>
        </w:rPr>
        <w:t>Register of approved gas appliances Section 22 (2)</w:t>
      </w:r>
    </w:p>
    <w:p w14:paraId="2C8F402F" w14:textId="15613FB6" w:rsidR="00D018C1" w:rsidRDefault="00BD13FE" w:rsidP="00892162">
      <w:pPr>
        <w:tabs>
          <w:tab w:val="left" w:pos="1276"/>
        </w:tabs>
        <w:rPr>
          <w:rFonts w:eastAsiaTheme="majorEastAsia"/>
        </w:rPr>
      </w:pPr>
      <w:r>
        <w:t xml:space="preserve">This clause amends section 22 (2) of the </w:t>
      </w:r>
      <w:r>
        <w:rPr>
          <w:i/>
          <w:iCs/>
        </w:rPr>
        <w:t xml:space="preserve">Gas Safety Act 2000 </w:t>
      </w:r>
      <w:r>
        <w:rPr>
          <w:rFonts w:eastAsiaTheme="majorEastAsia"/>
        </w:rPr>
        <w:t xml:space="preserve">to </w:t>
      </w:r>
      <w:r w:rsidR="00194CCC">
        <w:rPr>
          <w:rFonts w:eastAsiaTheme="majorEastAsia"/>
        </w:rPr>
        <w:t>provide</w:t>
      </w:r>
      <w:r>
        <w:rPr>
          <w:rFonts w:eastAsiaTheme="majorEastAsia"/>
        </w:rPr>
        <w:t xml:space="preserve"> that the construction occupations registrar must make the register of approved gas appliances accessible to the public without charge on an ACT government website, or by a link on an ACT government website. </w:t>
      </w:r>
    </w:p>
    <w:p w14:paraId="3E75B088" w14:textId="5032001A" w:rsidR="00BD13FE" w:rsidRPr="00BD13FE" w:rsidRDefault="00BD13FE" w:rsidP="00892162">
      <w:pPr>
        <w:tabs>
          <w:tab w:val="left" w:pos="1276"/>
        </w:tabs>
      </w:pPr>
      <w:r w:rsidRPr="3238681A">
        <w:rPr>
          <w:rFonts w:eastAsiaTheme="majorEastAsia"/>
        </w:rPr>
        <w:t>This amendment make</w:t>
      </w:r>
      <w:r w:rsidR="00024242" w:rsidRPr="3238681A">
        <w:rPr>
          <w:rFonts w:eastAsiaTheme="majorEastAsia"/>
        </w:rPr>
        <w:t>s</w:t>
      </w:r>
      <w:r w:rsidRPr="3238681A">
        <w:rPr>
          <w:rFonts w:eastAsiaTheme="majorEastAsia"/>
        </w:rPr>
        <w:t xml:space="preserve"> the register publicly accessible electronically for the first time which will improve public and consumer safety. </w:t>
      </w:r>
    </w:p>
    <w:p w14:paraId="401329A8" w14:textId="183309A4" w:rsidR="000E13A7" w:rsidRDefault="000E13A7" w:rsidP="000E13A7">
      <w:pPr>
        <w:tabs>
          <w:tab w:val="left" w:pos="1134"/>
          <w:tab w:val="left" w:pos="1276"/>
          <w:tab w:val="left" w:pos="1418"/>
        </w:tabs>
        <w:rPr>
          <w:b/>
          <w:bCs/>
        </w:rPr>
      </w:pPr>
      <w:r>
        <w:rPr>
          <w:b/>
          <w:bCs/>
        </w:rPr>
        <w:t xml:space="preserve">Part </w:t>
      </w:r>
      <w:r w:rsidR="00D018C1">
        <w:rPr>
          <w:b/>
          <w:bCs/>
        </w:rPr>
        <w:t>17</w:t>
      </w:r>
      <w:r>
        <w:rPr>
          <w:b/>
          <w:bCs/>
        </w:rPr>
        <w:t xml:space="preserve">       Legislation Act 2001</w:t>
      </w:r>
    </w:p>
    <w:p w14:paraId="72B4F95C" w14:textId="18339857" w:rsidR="000E13A7" w:rsidRDefault="000E13A7" w:rsidP="000E13A7">
      <w:pPr>
        <w:tabs>
          <w:tab w:val="left" w:pos="1134"/>
          <w:tab w:val="left" w:pos="1276"/>
          <w:tab w:val="left" w:pos="1418"/>
        </w:tabs>
        <w:rPr>
          <w:b/>
          <w:bCs/>
        </w:rPr>
      </w:pPr>
      <w:r w:rsidRPr="3238681A">
        <w:rPr>
          <w:b/>
          <w:bCs/>
        </w:rPr>
        <w:t xml:space="preserve">Clause </w:t>
      </w:r>
      <w:r w:rsidR="008E05B3">
        <w:rPr>
          <w:b/>
          <w:bCs/>
        </w:rPr>
        <w:t>60</w:t>
      </w:r>
      <w:r w:rsidRPr="3238681A">
        <w:rPr>
          <w:b/>
          <w:bCs/>
        </w:rPr>
        <w:t xml:space="preserve">  Regulations may make provision about fees Section 58 (4)</w:t>
      </w:r>
    </w:p>
    <w:p w14:paraId="51DA7468" w14:textId="0F166738" w:rsidR="000E13A7" w:rsidRDefault="0021787C" w:rsidP="000E13A7">
      <w:pPr>
        <w:tabs>
          <w:tab w:val="left" w:pos="1134"/>
          <w:tab w:val="left" w:pos="1276"/>
          <w:tab w:val="left" w:pos="1418"/>
        </w:tabs>
      </w:pPr>
      <w:r>
        <w:t xml:space="preserve">This clause makes a minor amendment to section 58 (4) of the </w:t>
      </w:r>
      <w:r w:rsidR="007E3942">
        <w:t xml:space="preserve">Legislation Act </w:t>
      </w:r>
      <w:r>
        <w:t xml:space="preserve">to remove references to cheques or credit cards and provide for a regulation or authorising law to make provision in relation to a particular payment method. </w:t>
      </w:r>
    </w:p>
    <w:p w14:paraId="1C73FD03" w14:textId="0CECC38A" w:rsidR="0021787C" w:rsidRDefault="0021787C" w:rsidP="000E13A7">
      <w:pPr>
        <w:tabs>
          <w:tab w:val="left" w:pos="1134"/>
          <w:tab w:val="left" w:pos="1276"/>
          <w:tab w:val="left" w:pos="1418"/>
        </w:tabs>
      </w:pPr>
      <w:r>
        <w:lastRenderedPageBreak/>
        <w:t>This amendment removes references to outdated payment methods and allows for payment method neutrality.</w:t>
      </w:r>
      <w:r w:rsidR="00D018C1">
        <w:t xml:space="preserve"> This is intended to help prepare the Territory for future work being undertaken by the Commonwealth in relation to cheques. </w:t>
      </w:r>
    </w:p>
    <w:p w14:paraId="11E7D456" w14:textId="5864EB47" w:rsidR="0021787C" w:rsidRDefault="0021787C" w:rsidP="000E13A7">
      <w:pPr>
        <w:tabs>
          <w:tab w:val="left" w:pos="1134"/>
          <w:tab w:val="left" w:pos="1276"/>
          <w:tab w:val="left" w:pos="1418"/>
        </w:tabs>
        <w:rPr>
          <w:b/>
          <w:bCs/>
        </w:rPr>
      </w:pPr>
      <w:r>
        <w:rPr>
          <w:b/>
          <w:bCs/>
        </w:rPr>
        <w:t xml:space="preserve">Clause </w:t>
      </w:r>
      <w:r w:rsidR="008439B5">
        <w:rPr>
          <w:b/>
          <w:bCs/>
        </w:rPr>
        <w:t>61</w:t>
      </w:r>
      <w:r>
        <w:rPr>
          <w:b/>
          <w:bCs/>
        </w:rPr>
        <w:t xml:space="preserve">  Section 58 (5) </w:t>
      </w:r>
    </w:p>
    <w:p w14:paraId="31DDF6BD" w14:textId="3CEBAA1E" w:rsidR="001663D8" w:rsidRDefault="0021787C" w:rsidP="000E13A7">
      <w:pPr>
        <w:tabs>
          <w:tab w:val="left" w:pos="1134"/>
          <w:tab w:val="left" w:pos="1276"/>
          <w:tab w:val="left" w:pos="1418"/>
        </w:tabs>
      </w:pPr>
      <w:r>
        <w:t xml:space="preserve">This clause </w:t>
      </w:r>
      <w:r w:rsidR="00D504D8">
        <w:t>makes</w:t>
      </w:r>
      <w:r w:rsidR="00FC417D">
        <w:t xml:space="preserve"> </w:t>
      </w:r>
      <w:r w:rsidR="00D504D8">
        <w:t>minor amendments to</w:t>
      </w:r>
      <w:r>
        <w:t xml:space="preserve"> section 58 (5) of the Legislation Act</w:t>
      </w:r>
      <w:r w:rsidR="001663D8">
        <w:t xml:space="preserve"> to remove references to cheques and credit cards and provide </w:t>
      </w:r>
      <w:r w:rsidR="00781DDB">
        <w:t>that</w:t>
      </w:r>
      <w:r w:rsidR="001663D8">
        <w:t xml:space="preserve"> a regulation or authorising law </w:t>
      </w:r>
      <w:r w:rsidR="00781DDB">
        <w:t>may</w:t>
      </w:r>
      <w:r w:rsidR="001663D8">
        <w:t xml:space="preserve"> make provision in relation </w:t>
      </w:r>
      <w:r w:rsidR="00601166">
        <w:t xml:space="preserve">to the removal of a statutory capacity if any determined fee is </w:t>
      </w:r>
      <w:r w:rsidR="00781DDB">
        <w:t>not paid when required</w:t>
      </w:r>
      <w:r w:rsidR="00601166">
        <w:t>.</w:t>
      </w:r>
      <w:r w:rsidR="001663D8">
        <w:t xml:space="preserve"> </w:t>
      </w:r>
    </w:p>
    <w:p w14:paraId="0ADBFDE8" w14:textId="14B6258A" w:rsidR="0021787C" w:rsidRDefault="0021787C" w:rsidP="000E13A7">
      <w:pPr>
        <w:tabs>
          <w:tab w:val="left" w:pos="1134"/>
          <w:tab w:val="left" w:pos="1276"/>
          <w:tab w:val="left" w:pos="1418"/>
        </w:tabs>
      </w:pPr>
      <w:r>
        <w:t xml:space="preserve">This </w:t>
      </w:r>
      <w:r w:rsidR="00601166">
        <w:t xml:space="preserve">clause </w:t>
      </w:r>
      <w:r>
        <w:t xml:space="preserve">removes references to outdated payment methods </w:t>
      </w:r>
      <w:r w:rsidR="00601166">
        <w:t xml:space="preserve">and </w:t>
      </w:r>
      <w:r>
        <w:t>allows for payment method neutrality.</w:t>
      </w:r>
    </w:p>
    <w:p w14:paraId="0850601F" w14:textId="627AD79D" w:rsidR="00D504D8" w:rsidRDefault="00D504D8" w:rsidP="000E13A7">
      <w:pPr>
        <w:tabs>
          <w:tab w:val="left" w:pos="1134"/>
          <w:tab w:val="left" w:pos="1276"/>
          <w:tab w:val="left" w:pos="1418"/>
        </w:tabs>
        <w:rPr>
          <w:b/>
          <w:bCs/>
          <w:i/>
          <w:iCs/>
        </w:rPr>
      </w:pPr>
      <w:r>
        <w:rPr>
          <w:b/>
          <w:bCs/>
        </w:rPr>
        <w:t xml:space="preserve">Clause </w:t>
      </w:r>
      <w:r w:rsidR="008439B5">
        <w:rPr>
          <w:b/>
          <w:bCs/>
        </w:rPr>
        <w:t>62</w:t>
      </w:r>
      <w:r>
        <w:rPr>
          <w:b/>
          <w:bCs/>
        </w:rPr>
        <w:t xml:space="preserve">  Section 58 (9), definition of </w:t>
      </w:r>
      <w:r>
        <w:rPr>
          <w:b/>
          <w:bCs/>
          <w:i/>
          <w:iCs/>
        </w:rPr>
        <w:t>credit card</w:t>
      </w:r>
    </w:p>
    <w:p w14:paraId="4EB114BD" w14:textId="23249E01" w:rsidR="00FC417D" w:rsidRDefault="00D504D8" w:rsidP="000E13A7">
      <w:pPr>
        <w:tabs>
          <w:tab w:val="left" w:pos="1134"/>
          <w:tab w:val="left" w:pos="1276"/>
          <w:tab w:val="left" w:pos="1418"/>
        </w:tabs>
      </w:pPr>
      <w:r>
        <w:t xml:space="preserve">This clause makes a minor amendment to section 58 (9) of the Legislation Act to remove the definition of </w:t>
      </w:r>
      <w:r>
        <w:rPr>
          <w:i/>
          <w:iCs/>
        </w:rPr>
        <w:t>credit card</w:t>
      </w:r>
      <w:r>
        <w:t>.</w:t>
      </w:r>
      <w:r w:rsidR="00FC417D">
        <w:t xml:space="preserve"> This amendment aligns with </w:t>
      </w:r>
      <w:r w:rsidR="00D018C1">
        <w:t xml:space="preserve">the other </w:t>
      </w:r>
      <w:r w:rsidR="005A118B">
        <w:t>amendments</w:t>
      </w:r>
      <w:r w:rsidR="00D018C1">
        <w:t xml:space="preserve"> to allow for payment method neutrality</w:t>
      </w:r>
      <w:r w:rsidR="00FC417D">
        <w:t xml:space="preserve">. </w:t>
      </w:r>
    </w:p>
    <w:p w14:paraId="47982A2A" w14:textId="3EA2E9E4" w:rsidR="00FC417D" w:rsidRDefault="00FC417D" w:rsidP="000E13A7">
      <w:pPr>
        <w:tabs>
          <w:tab w:val="left" w:pos="1134"/>
          <w:tab w:val="left" w:pos="1276"/>
          <w:tab w:val="left" w:pos="1418"/>
        </w:tabs>
        <w:rPr>
          <w:b/>
          <w:bCs/>
        </w:rPr>
      </w:pPr>
      <w:r>
        <w:rPr>
          <w:b/>
          <w:bCs/>
        </w:rPr>
        <w:t xml:space="preserve">Part </w:t>
      </w:r>
      <w:r w:rsidR="00D018C1">
        <w:rPr>
          <w:b/>
          <w:bCs/>
        </w:rPr>
        <w:t>18</w:t>
      </w:r>
      <w:r>
        <w:rPr>
          <w:b/>
          <w:bCs/>
        </w:rPr>
        <w:t xml:space="preserve">       Medicines, Poisons and Therapeutic Goods Act 2008</w:t>
      </w:r>
    </w:p>
    <w:p w14:paraId="28CADA4D" w14:textId="6CB5266F" w:rsidR="00FC417D" w:rsidRDefault="00FC417D" w:rsidP="000E13A7">
      <w:pPr>
        <w:tabs>
          <w:tab w:val="left" w:pos="1134"/>
          <w:tab w:val="left" w:pos="1276"/>
          <w:tab w:val="left" w:pos="1418"/>
        </w:tabs>
        <w:rPr>
          <w:b/>
          <w:bCs/>
        </w:rPr>
      </w:pPr>
      <w:r>
        <w:rPr>
          <w:b/>
          <w:bCs/>
        </w:rPr>
        <w:t xml:space="preserve">Clause </w:t>
      </w:r>
      <w:r w:rsidR="008439B5">
        <w:rPr>
          <w:b/>
          <w:bCs/>
        </w:rPr>
        <w:t>63</w:t>
      </w:r>
      <w:r>
        <w:rPr>
          <w:b/>
          <w:bCs/>
        </w:rPr>
        <w:t xml:space="preserve">  Returning licences for amendment Section 94</w:t>
      </w:r>
    </w:p>
    <w:p w14:paraId="29B23850" w14:textId="073B0FAA" w:rsidR="00D018C1" w:rsidRDefault="00D018C1" w:rsidP="00D018C1">
      <w:pPr>
        <w:tabs>
          <w:tab w:val="left" w:pos="993"/>
          <w:tab w:val="left" w:pos="1276"/>
        </w:tabs>
        <w:rPr>
          <w:rFonts w:eastAsiaTheme="majorEastAsia"/>
        </w:rPr>
      </w:pPr>
      <w:r>
        <w:rPr>
          <w:rFonts w:eastAsiaTheme="majorEastAsia"/>
        </w:rPr>
        <w:t xml:space="preserve">This clause removes section 94 of the </w:t>
      </w:r>
      <w:r w:rsidRPr="007E3942">
        <w:rPr>
          <w:rFonts w:eastAsiaTheme="majorEastAsia"/>
          <w:i/>
          <w:iCs/>
        </w:rPr>
        <w:t xml:space="preserve">Medicines, Poisons and Therapeutic Goods Act </w:t>
      </w:r>
      <w:r w:rsidR="007E3942" w:rsidRPr="007E3942">
        <w:rPr>
          <w:rFonts w:eastAsiaTheme="majorEastAsia"/>
          <w:i/>
          <w:iCs/>
        </w:rPr>
        <w:t>2008</w:t>
      </w:r>
      <w:r w:rsidR="007E3942">
        <w:rPr>
          <w:rFonts w:eastAsiaTheme="majorEastAsia"/>
        </w:rPr>
        <w:t xml:space="preserve"> (Medicines, Poisons and Therapeutic Goods Act) </w:t>
      </w:r>
      <w:r>
        <w:rPr>
          <w:rFonts w:eastAsiaTheme="majorEastAsia"/>
        </w:rPr>
        <w:t xml:space="preserve">which provides that a licence-holder commits an offence if </w:t>
      </w:r>
      <w:r w:rsidR="00932308">
        <w:rPr>
          <w:rFonts w:eastAsiaTheme="majorEastAsia"/>
        </w:rPr>
        <w:t xml:space="preserve">the licence is amended by the </w:t>
      </w:r>
      <w:r w:rsidR="00DC5792">
        <w:rPr>
          <w:rFonts w:eastAsiaTheme="majorEastAsia"/>
        </w:rPr>
        <w:t>c</w:t>
      </w:r>
      <w:r w:rsidR="00932308">
        <w:rPr>
          <w:rFonts w:eastAsiaTheme="majorEastAsia"/>
        </w:rPr>
        <w:t xml:space="preserve">hief </w:t>
      </w:r>
      <w:r w:rsidR="00DC5792">
        <w:rPr>
          <w:rFonts w:eastAsiaTheme="majorEastAsia"/>
        </w:rPr>
        <w:t>h</w:t>
      </w:r>
      <w:r w:rsidR="00932308">
        <w:rPr>
          <w:rFonts w:eastAsiaTheme="majorEastAsia"/>
        </w:rPr>
        <w:t xml:space="preserve">ealth </w:t>
      </w:r>
      <w:r w:rsidR="00DC5792">
        <w:rPr>
          <w:rFonts w:eastAsiaTheme="majorEastAsia"/>
        </w:rPr>
        <w:t>o</w:t>
      </w:r>
      <w:r w:rsidR="00932308">
        <w:rPr>
          <w:rFonts w:eastAsiaTheme="majorEastAsia"/>
        </w:rPr>
        <w:t>fficer or the licence holder and they do not return the licence</w:t>
      </w:r>
      <w:r>
        <w:rPr>
          <w:rFonts w:eastAsiaTheme="majorEastAsia"/>
        </w:rPr>
        <w:t xml:space="preserve">. Failure to do so carries a maximum penalty of </w:t>
      </w:r>
      <w:r w:rsidR="00932308">
        <w:rPr>
          <w:rFonts w:eastAsiaTheme="majorEastAsia"/>
        </w:rPr>
        <w:t>20</w:t>
      </w:r>
      <w:r>
        <w:rPr>
          <w:rFonts w:eastAsiaTheme="majorEastAsia"/>
        </w:rPr>
        <w:t xml:space="preserve"> penalty units.</w:t>
      </w:r>
    </w:p>
    <w:p w14:paraId="35272A1B" w14:textId="4697AD40" w:rsidR="00D018C1" w:rsidRDefault="00D018C1" w:rsidP="00D018C1">
      <w:pPr>
        <w:tabs>
          <w:tab w:val="left" w:pos="1276"/>
        </w:tabs>
        <w:rPr>
          <w:rFonts w:eastAsiaTheme="majorEastAsia"/>
        </w:rPr>
      </w:pPr>
      <w:r>
        <w:rPr>
          <w:rFonts w:eastAsiaTheme="majorEastAsia"/>
        </w:rPr>
        <w:t xml:space="preserve">This provision will no longer be relevant as this Bill introduces amendments to the Act to make </w:t>
      </w:r>
      <w:r w:rsidR="00932308">
        <w:rPr>
          <w:rFonts w:eastAsiaTheme="majorEastAsia"/>
        </w:rPr>
        <w:t xml:space="preserve">a register of licences </w:t>
      </w:r>
      <w:r>
        <w:rPr>
          <w:rFonts w:eastAsiaTheme="majorEastAsia"/>
        </w:rPr>
        <w:t xml:space="preserve">accessible electronically to the public. The removal of the requirement to return a physical </w:t>
      </w:r>
      <w:r w:rsidR="00932308">
        <w:rPr>
          <w:rFonts w:eastAsiaTheme="majorEastAsia"/>
        </w:rPr>
        <w:t xml:space="preserve">licence </w:t>
      </w:r>
      <w:r>
        <w:rPr>
          <w:rFonts w:eastAsiaTheme="majorEastAsia"/>
        </w:rPr>
        <w:t xml:space="preserve">upon </w:t>
      </w:r>
      <w:r w:rsidR="00932308">
        <w:rPr>
          <w:rFonts w:eastAsiaTheme="majorEastAsia"/>
        </w:rPr>
        <w:t xml:space="preserve">amendment </w:t>
      </w:r>
      <w:r>
        <w:rPr>
          <w:rFonts w:eastAsiaTheme="majorEastAsia"/>
        </w:rPr>
        <w:t xml:space="preserve">will reduce administrative burden for </w:t>
      </w:r>
      <w:r w:rsidR="00932308">
        <w:rPr>
          <w:rFonts w:eastAsiaTheme="majorEastAsia"/>
        </w:rPr>
        <w:t>licensees</w:t>
      </w:r>
      <w:r>
        <w:rPr>
          <w:rFonts w:eastAsiaTheme="majorEastAsia"/>
        </w:rPr>
        <w:t>.</w:t>
      </w:r>
    </w:p>
    <w:p w14:paraId="415A2B33" w14:textId="71E84654" w:rsidR="00932308" w:rsidRDefault="00932308" w:rsidP="00D018C1">
      <w:pPr>
        <w:tabs>
          <w:tab w:val="left" w:pos="1276"/>
        </w:tabs>
        <w:rPr>
          <w:b/>
          <w:bCs/>
        </w:rPr>
      </w:pPr>
      <w:r w:rsidRPr="3238681A">
        <w:rPr>
          <w:b/>
          <w:bCs/>
        </w:rPr>
        <w:t xml:space="preserve">Clause </w:t>
      </w:r>
      <w:r w:rsidR="008439B5">
        <w:rPr>
          <w:b/>
          <w:bCs/>
        </w:rPr>
        <w:t>64</w:t>
      </w:r>
      <w:r w:rsidRPr="3238681A">
        <w:rPr>
          <w:b/>
          <w:bCs/>
        </w:rPr>
        <w:t xml:space="preserve">  Section 95</w:t>
      </w:r>
    </w:p>
    <w:p w14:paraId="65038778" w14:textId="0D3C1A4E" w:rsidR="0029661D" w:rsidRDefault="007E3942" w:rsidP="00D018C1">
      <w:pPr>
        <w:tabs>
          <w:tab w:val="left" w:pos="1276"/>
        </w:tabs>
        <w:rPr>
          <w:rFonts w:eastAsiaTheme="majorEastAsia"/>
        </w:rPr>
      </w:pPr>
      <w:r>
        <w:t xml:space="preserve">This clause amends section 95 of the </w:t>
      </w:r>
      <w:r>
        <w:rPr>
          <w:rFonts w:eastAsiaTheme="majorEastAsia"/>
        </w:rPr>
        <w:t xml:space="preserve">Medicines, Poisons and Therapeutic Goods Act to simplify the provision so that the </w:t>
      </w:r>
      <w:r w:rsidR="00DC5792">
        <w:rPr>
          <w:rFonts w:eastAsiaTheme="majorEastAsia"/>
        </w:rPr>
        <w:t>c</w:t>
      </w:r>
      <w:r>
        <w:rPr>
          <w:rFonts w:eastAsiaTheme="majorEastAsia"/>
        </w:rPr>
        <w:t xml:space="preserve">hief </w:t>
      </w:r>
      <w:r w:rsidR="00DC5792">
        <w:rPr>
          <w:rFonts w:eastAsiaTheme="majorEastAsia"/>
        </w:rPr>
        <w:t>h</w:t>
      </w:r>
      <w:r>
        <w:rPr>
          <w:rFonts w:eastAsiaTheme="majorEastAsia"/>
        </w:rPr>
        <w:t xml:space="preserve">ealth </w:t>
      </w:r>
      <w:r w:rsidR="00DC5792">
        <w:rPr>
          <w:rFonts w:eastAsiaTheme="majorEastAsia"/>
        </w:rPr>
        <w:t>o</w:t>
      </w:r>
      <w:r>
        <w:rPr>
          <w:rFonts w:eastAsiaTheme="majorEastAsia"/>
        </w:rPr>
        <w:t xml:space="preserve">fficer may issue a replacement licence to a licence-holder. </w:t>
      </w:r>
      <w:r w:rsidR="0029661D">
        <w:rPr>
          <w:rFonts w:eastAsiaTheme="majorEastAsia"/>
        </w:rPr>
        <w:t xml:space="preserve">It removes </w:t>
      </w:r>
      <w:r w:rsidR="00DC5792">
        <w:rPr>
          <w:rFonts w:eastAsiaTheme="majorEastAsia"/>
        </w:rPr>
        <w:t>any</w:t>
      </w:r>
      <w:r w:rsidR="0029661D">
        <w:rPr>
          <w:rFonts w:eastAsiaTheme="majorEastAsia"/>
        </w:rPr>
        <w:t xml:space="preserve"> reason for the replacement and that the </w:t>
      </w:r>
      <w:r w:rsidR="00DC5792">
        <w:rPr>
          <w:rFonts w:eastAsiaTheme="majorEastAsia"/>
        </w:rPr>
        <w:t>c</w:t>
      </w:r>
      <w:r w:rsidR="0029661D">
        <w:rPr>
          <w:rFonts w:eastAsiaTheme="majorEastAsia"/>
        </w:rPr>
        <w:t xml:space="preserve">hief </w:t>
      </w:r>
      <w:r w:rsidR="00DC5792">
        <w:rPr>
          <w:rFonts w:eastAsiaTheme="majorEastAsia"/>
        </w:rPr>
        <w:t>h</w:t>
      </w:r>
      <w:r w:rsidR="0029661D">
        <w:rPr>
          <w:rFonts w:eastAsiaTheme="majorEastAsia"/>
        </w:rPr>
        <w:t xml:space="preserve">ealth </w:t>
      </w:r>
      <w:r w:rsidR="00DC5792">
        <w:rPr>
          <w:rFonts w:eastAsiaTheme="majorEastAsia"/>
        </w:rPr>
        <w:t>o</w:t>
      </w:r>
      <w:r w:rsidR="0029661D">
        <w:rPr>
          <w:rFonts w:eastAsiaTheme="majorEastAsia"/>
        </w:rPr>
        <w:t xml:space="preserve">fficer may require a statement verifying the reason. </w:t>
      </w:r>
    </w:p>
    <w:p w14:paraId="72F08EF9" w14:textId="66B57A72" w:rsidR="0029661D" w:rsidRPr="00C70930" w:rsidRDefault="0029661D" w:rsidP="0029661D">
      <w:pPr>
        <w:tabs>
          <w:tab w:val="left" w:pos="1276"/>
        </w:tabs>
      </w:pPr>
      <w:r>
        <w:t xml:space="preserve">This will improve the clarity of the legislation and reduce any regulatory burden on the </w:t>
      </w:r>
      <w:r w:rsidR="00DC5792">
        <w:t>c</w:t>
      </w:r>
      <w:r>
        <w:t xml:space="preserve">hief </w:t>
      </w:r>
      <w:r w:rsidR="00DC5792">
        <w:t>h</w:t>
      </w:r>
      <w:r>
        <w:t xml:space="preserve">ealth </w:t>
      </w:r>
      <w:r w:rsidR="00DC5792">
        <w:t>o</w:t>
      </w:r>
      <w:r>
        <w:t>fficer or licence-holder.</w:t>
      </w:r>
    </w:p>
    <w:p w14:paraId="4BA98CE4" w14:textId="29D881E5" w:rsidR="00932308" w:rsidRDefault="00932308" w:rsidP="00D018C1">
      <w:pPr>
        <w:tabs>
          <w:tab w:val="left" w:pos="1276"/>
        </w:tabs>
        <w:rPr>
          <w:rFonts w:eastAsiaTheme="majorEastAsia"/>
        </w:rPr>
      </w:pPr>
      <w:r>
        <w:rPr>
          <w:b/>
          <w:bCs/>
        </w:rPr>
        <w:t xml:space="preserve">Clause </w:t>
      </w:r>
      <w:r w:rsidR="008439B5">
        <w:rPr>
          <w:b/>
          <w:bCs/>
        </w:rPr>
        <w:t>65</w:t>
      </w:r>
      <w:r>
        <w:rPr>
          <w:b/>
          <w:bCs/>
        </w:rPr>
        <w:t xml:space="preserve"> Surrendering licences Section 97 (2) and note</w:t>
      </w:r>
    </w:p>
    <w:p w14:paraId="197E07F2" w14:textId="1C22A7E0" w:rsidR="00D018C1" w:rsidRDefault="0029661D" w:rsidP="3238681A">
      <w:pPr>
        <w:tabs>
          <w:tab w:val="left" w:pos="1134"/>
          <w:tab w:val="left" w:pos="1276"/>
          <w:tab w:val="left" w:pos="1418"/>
        </w:tabs>
        <w:rPr>
          <w:rFonts w:eastAsiaTheme="majorEastAsia"/>
        </w:rPr>
      </w:pPr>
      <w:r>
        <w:t>This clause remove</w:t>
      </w:r>
      <w:r w:rsidR="00372053">
        <w:t>s</w:t>
      </w:r>
      <w:r>
        <w:t xml:space="preserve"> section 97 (2) and the note from the </w:t>
      </w:r>
      <w:r w:rsidRPr="3238681A">
        <w:rPr>
          <w:rFonts w:eastAsiaTheme="majorEastAsia"/>
        </w:rPr>
        <w:t>Medicines, Poisons and Therapeutic Goods Act that provides a licence must be returned when a licence-</w:t>
      </w:r>
      <w:r w:rsidRPr="3238681A">
        <w:rPr>
          <w:rFonts w:eastAsiaTheme="majorEastAsia"/>
        </w:rPr>
        <w:lastRenderedPageBreak/>
        <w:t>holder surrenders the licence, or that a statement must be provided if the licence is lost, stolen or destroyed.</w:t>
      </w:r>
    </w:p>
    <w:p w14:paraId="1285B676" w14:textId="27360AA0" w:rsidR="0029661D" w:rsidRPr="0029661D" w:rsidRDefault="0029661D" w:rsidP="000E13A7">
      <w:pPr>
        <w:tabs>
          <w:tab w:val="left" w:pos="1134"/>
          <w:tab w:val="left" w:pos="1276"/>
          <w:tab w:val="left" w:pos="1418"/>
        </w:tabs>
      </w:pPr>
      <w:r>
        <w:rPr>
          <w:rFonts w:eastAsiaTheme="majorEastAsia"/>
        </w:rPr>
        <w:t>The removal of these requirements will reduce the administrative burden for licensees.</w:t>
      </w:r>
    </w:p>
    <w:p w14:paraId="53A083D5" w14:textId="359EBB14" w:rsidR="00583FB4" w:rsidRDefault="00583FB4" w:rsidP="00583FB4">
      <w:pPr>
        <w:tabs>
          <w:tab w:val="left" w:pos="1134"/>
          <w:tab w:val="left" w:pos="1276"/>
        </w:tabs>
        <w:rPr>
          <w:b/>
          <w:bCs/>
        </w:rPr>
      </w:pPr>
      <w:r>
        <w:rPr>
          <w:b/>
          <w:bCs/>
        </w:rPr>
        <w:t xml:space="preserve">Part </w:t>
      </w:r>
      <w:r w:rsidR="00932308">
        <w:rPr>
          <w:b/>
          <w:bCs/>
        </w:rPr>
        <w:t>19</w:t>
      </w:r>
      <w:r>
        <w:rPr>
          <w:b/>
          <w:bCs/>
        </w:rPr>
        <w:t xml:space="preserve">       Professional Engineers Act 2023</w:t>
      </w:r>
    </w:p>
    <w:p w14:paraId="173D8D81" w14:textId="1CEBE9B5" w:rsidR="00583FB4" w:rsidRDefault="00583FB4" w:rsidP="00583FB4">
      <w:pPr>
        <w:tabs>
          <w:tab w:val="left" w:pos="1134"/>
          <w:tab w:val="left" w:pos="1276"/>
        </w:tabs>
        <w:rPr>
          <w:b/>
          <w:bCs/>
        </w:rPr>
      </w:pPr>
      <w:r w:rsidRPr="3238681A">
        <w:rPr>
          <w:b/>
          <w:bCs/>
        </w:rPr>
        <w:t xml:space="preserve">Clause </w:t>
      </w:r>
      <w:r w:rsidR="008439B5">
        <w:rPr>
          <w:b/>
          <w:bCs/>
        </w:rPr>
        <w:t>66</w:t>
      </w:r>
      <w:r w:rsidRPr="3238681A">
        <w:rPr>
          <w:b/>
          <w:bCs/>
        </w:rPr>
        <w:t xml:space="preserve">  Publication of certain information in engineers register Section 31 (1)</w:t>
      </w:r>
    </w:p>
    <w:p w14:paraId="2BA09201" w14:textId="773B307C" w:rsidR="005A118B" w:rsidRDefault="00913606" w:rsidP="005A118B">
      <w:r>
        <w:t xml:space="preserve">This clause amends section 31 (1) of the </w:t>
      </w:r>
      <w:r>
        <w:rPr>
          <w:i/>
          <w:iCs/>
        </w:rPr>
        <w:t xml:space="preserve">Professional Engineers Act 2023 </w:t>
      </w:r>
      <w:r w:rsidR="00EE43A1">
        <w:t xml:space="preserve">(Professional Engineers Act) </w:t>
      </w:r>
      <w:r>
        <w:t xml:space="preserve">to </w:t>
      </w:r>
      <w:r w:rsidR="00194CCC">
        <w:t>provide</w:t>
      </w:r>
      <w:r>
        <w:t xml:space="preserve"> that the engineers register must be made accessible to the public without charge on an ACT government website, or by a link on an ACT government website.</w:t>
      </w:r>
      <w:r w:rsidR="005A118B">
        <w:t xml:space="preserve"> </w:t>
      </w:r>
    </w:p>
    <w:p w14:paraId="27C96D87" w14:textId="7CABD0C5" w:rsidR="00913606" w:rsidRPr="005A118B" w:rsidRDefault="005A118B" w:rsidP="3238681A">
      <w:pPr>
        <w:rPr>
          <w:rFonts w:eastAsiaTheme="majorEastAsia" w:cstheme="majorBidi"/>
        </w:rPr>
      </w:pPr>
      <w:r w:rsidRPr="3238681A">
        <w:rPr>
          <w:rFonts w:eastAsiaTheme="majorEastAsia" w:cstheme="majorBidi"/>
        </w:rPr>
        <w:t>This amendment enshrine</w:t>
      </w:r>
      <w:r w:rsidR="00024242" w:rsidRPr="3238681A">
        <w:rPr>
          <w:rFonts w:eastAsiaTheme="majorEastAsia" w:cstheme="majorBidi"/>
        </w:rPr>
        <w:t>s</w:t>
      </w:r>
      <w:r w:rsidRPr="3238681A">
        <w:rPr>
          <w:rFonts w:eastAsiaTheme="majorEastAsia" w:cstheme="majorBidi"/>
        </w:rPr>
        <w:t xml:space="preserve"> in legislation public accessibility to the register and standardises legislative language for public accessibility.</w:t>
      </w:r>
    </w:p>
    <w:p w14:paraId="41D07E6A" w14:textId="7BADF566" w:rsidR="00601166" w:rsidRDefault="00EE43A1" w:rsidP="00EE43A1">
      <w:pPr>
        <w:tabs>
          <w:tab w:val="left" w:pos="1134"/>
          <w:tab w:val="left" w:pos="1276"/>
        </w:tabs>
        <w:rPr>
          <w:b/>
          <w:bCs/>
        </w:rPr>
      </w:pPr>
      <w:r>
        <w:rPr>
          <w:b/>
          <w:bCs/>
        </w:rPr>
        <w:t xml:space="preserve">Clause </w:t>
      </w:r>
      <w:r w:rsidR="008439B5">
        <w:rPr>
          <w:b/>
          <w:bCs/>
        </w:rPr>
        <w:t>67</w:t>
      </w:r>
      <w:r>
        <w:rPr>
          <w:b/>
          <w:bCs/>
        </w:rPr>
        <w:t xml:space="preserve">  Section 31 (2)</w:t>
      </w:r>
    </w:p>
    <w:p w14:paraId="5846876B" w14:textId="07C03290" w:rsidR="00EE43A1" w:rsidRPr="00EE43A1" w:rsidRDefault="00EE43A1" w:rsidP="00EE43A1">
      <w:pPr>
        <w:tabs>
          <w:tab w:val="left" w:pos="1134"/>
          <w:tab w:val="left" w:pos="1276"/>
        </w:tabs>
      </w:pPr>
      <w:r>
        <w:t xml:space="preserve">This clause </w:t>
      </w:r>
      <w:r w:rsidR="005A118B">
        <w:t>makes a minor amendment to</w:t>
      </w:r>
      <w:r>
        <w:t xml:space="preserve"> section 31 (2) of the Professional Engineers Act to remove </w:t>
      </w:r>
      <w:r>
        <w:rPr>
          <w:i/>
          <w:iCs/>
        </w:rPr>
        <w:t>available to the public</w:t>
      </w:r>
      <w:r>
        <w:t xml:space="preserve"> and replace it with </w:t>
      </w:r>
      <w:r w:rsidRPr="00EE43A1">
        <w:rPr>
          <w:i/>
          <w:iCs/>
        </w:rPr>
        <w:t>accessible to the public</w:t>
      </w:r>
      <w:r>
        <w:rPr>
          <w:i/>
          <w:iCs/>
        </w:rPr>
        <w:t xml:space="preserve"> in </w:t>
      </w:r>
      <w:r w:rsidR="00932308">
        <w:rPr>
          <w:i/>
          <w:iCs/>
        </w:rPr>
        <w:t>a way mentioned in that subsection</w:t>
      </w:r>
      <w:r>
        <w:t xml:space="preserve"> to align with amendments</w:t>
      </w:r>
      <w:r w:rsidR="0029661D">
        <w:t xml:space="preserve"> </w:t>
      </w:r>
      <w:r w:rsidR="0029661D">
        <w:rPr>
          <w:rFonts w:eastAsiaTheme="majorEastAsia"/>
        </w:rPr>
        <w:t>to the Act that make the register accessible to the public</w:t>
      </w:r>
      <w:r>
        <w:t>.</w:t>
      </w:r>
      <w:r w:rsidR="00AB7665">
        <w:t xml:space="preserve"> </w:t>
      </w:r>
    </w:p>
    <w:p w14:paraId="2743F964" w14:textId="3E6B9787" w:rsidR="00B8738B" w:rsidRDefault="00EE43A1" w:rsidP="008A2E68">
      <w:pPr>
        <w:tabs>
          <w:tab w:val="left" w:pos="1418"/>
        </w:tabs>
        <w:rPr>
          <w:b/>
          <w:bCs/>
        </w:rPr>
      </w:pPr>
      <w:r>
        <w:rPr>
          <w:b/>
          <w:bCs/>
        </w:rPr>
        <w:t xml:space="preserve">Clause </w:t>
      </w:r>
      <w:r w:rsidR="008439B5">
        <w:rPr>
          <w:b/>
          <w:bCs/>
        </w:rPr>
        <w:t>68</w:t>
      </w:r>
      <w:r>
        <w:rPr>
          <w:b/>
          <w:bCs/>
        </w:rPr>
        <w:t xml:space="preserve">  Section 31 (3)</w:t>
      </w:r>
    </w:p>
    <w:p w14:paraId="65445048" w14:textId="63118A32" w:rsidR="00EE43A1" w:rsidRDefault="00EE43A1" w:rsidP="008A2E68">
      <w:pPr>
        <w:tabs>
          <w:tab w:val="left" w:pos="1418"/>
        </w:tabs>
      </w:pPr>
      <w:r>
        <w:t xml:space="preserve">This clause </w:t>
      </w:r>
      <w:r w:rsidR="005A118B">
        <w:t>makes a minor amendment to</w:t>
      </w:r>
      <w:r>
        <w:t xml:space="preserve"> section 31 (3) of the Professional Engineers Act to remove </w:t>
      </w:r>
      <w:r>
        <w:rPr>
          <w:i/>
          <w:iCs/>
        </w:rPr>
        <w:t>available to the public</w:t>
      </w:r>
      <w:r>
        <w:t xml:space="preserve"> and replace it with </w:t>
      </w:r>
      <w:r w:rsidRPr="00EE43A1">
        <w:rPr>
          <w:i/>
          <w:iCs/>
        </w:rPr>
        <w:t>accessible to the public</w:t>
      </w:r>
      <w:r>
        <w:t xml:space="preserve"> to align with amendments</w:t>
      </w:r>
      <w:r w:rsidR="0029661D">
        <w:t xml:space="preserve"> </w:t>
      </w:r>
      <w:r w:rsidR="0029661D">
        <w:rPr>
          <w:rFonts w:eastAsiaTheme="majorEastAsia"/>
        </w:rPr>
        <w:t>to the Act that make the register accessible to the public</w:t>
      </w:r>
      <w:r>
        <w:t>.</w:t>
      </w:r>
    </w:p>
    <w:p w14:paraId="081E2C17" w14:textId="6A813E25" w:rsidR="00EE43A1" w:rsidRDefault="00EE43A1" w:rsidP="00EE43A1">
      <w:pPr>
        <w:tabs>
          <w:tab w:val="left" w:pos="1418"/>
        </w:tabs>
        <w:rPr>
          <w:b/>
          <w:bCs/>
        </w:rPr>
      </w:pPr>
      <w:r w:rsidRPr="3238681A">
        <w:rPr>
          <w:b/>
          <w:bCs/>
        </w:rPr>
        <w:t xml:space="preserve">Part </w:t>
      </w:r>
      <w:r w:rsidR="00932308" w:rsidRPr="3238681A">
        <w:rPr>
          <w:b/>
          <w:bCs/>
        </w:rPr>
        <w:t>20</w:t>
      </w:r>
      <w:r w:rsidRPr="3238681A">
        <w:rPr>
          <w:b/>
          <w:bCs/>
        </w:rPr>
        <w:t xml:space="preserve">  Public Health Act 1997</w:t>
      </w:r>
    </w:p>
    <w:p w14:paraId="12542DA2" w14:textId="1FFF2120" w:rsidR="00AE241A" w:rsidRDefault="00AE241A" w:rsidP="00EE43A1">
      <w:pPr>
        <w:tabs>
          <w:tab w:val="left" w:pos="1418"/>
        </w:tabs>
        <w:rPr>
          <w:b/>
          <w:bCs/>
        </w:rPr>
      </w:pPr>
      <w:r w:rsidRPr="3238681A">
        <w:rPr>
          <w:b/>
          <w:bCs/>
        </w:rPr>
        <w:t xml:space="preserve">Clause </w:t>
      </w:r>
      <w:r w:rsidR="008439B5">
        <w:rPr>
          <w:b/>
          <w:bCs/>
        </w:rPr>
        <w:t>69</w:t>
      </w:r>
      <w:r w:rsidRPr="3238681A">
        <w:rPr>
          <w:b/>
          <w:bCs/>
        </w:rPr>
        <w:t xml:space="preserve">  Offences against Act – application of Criminal Code etc Section 6A, note 1, new dot points</w:t>
      </w:r>
    </w:p>
    <w:p w14:paraId="12015362" w14:textId="40AA8FB3" w:rsidR="00AE241A" w:rsidRPr="00173B8D" w:rsidRDefault="00173B8D" w:rsidP="00EE43A1">
      <w:pPr>
        <w:tabs>
          <w:tab w:val="left" w:pos="1418"/>
        </w:tabs>
      </w:pPr>
      <w:r>
        <w:t>This clause insert</w:t>
      </w:r>
      <w:r w:rsidR="00024242">
        <w:t>s</w:t>
      </w:r>
      <w:r>
        <w:t xml:space="preserve"> additions to note 1 in relation to the Criminal Code </w:t>
      </w:r>
      <w:r w:rsidRPr="3238681A">
        <w:rPr>
          <w:rFonts w:eastAsiaTheme="majorEastAsia"/>
        </w:rPr>
        <w:t xml:space="preserve">to align with amendments to the </w:t>
      </w:r>
      <w:r w:rsidR="002A7D44" w:rsidRPr="3238681A">
        <w:rPr>
          <w:rFonts w:eastAsiaTheme="majorEastAsia"/>
          <w:i/>
          <w:iCs/>
        </w:rPr>
        <w:t xml:space="preserve">Public Health Act 1997 </w:t>
      </w:r>
      <w:r w:rsidR="002A7D44" w:rsidRPr="3238681A">
        <w:rPr>
          <w:rFonts w:eastAsiaTheme="majorEastAsia"/>
        </w:rPr>
        <w:t xml:space="preserve">(Public Health </w:t>
      </w:r>
      <w:r w:rsidRPr="3238681A">
        <w:rPr>
          <w:rFonts w:eastAsiaTheme="majorEastAsia"/>
        </w:rPr>
        <w:t>Act</w:t>
      </w:r>
      <w:r w:rsidR="002A7D44" w:rsidRPr="3238681A">
        <w:rPr>
          <w:rFonts w:eastAsiaTheme="majorEastAsia"/>
        </w:rPr>
        <w:t>)</w:t>
      </w:r>
      <w:r w:rsidRPr="3238681A">
        <w:rPr>
          <w:rFonts w:eastAsiaTheme="majorEastAsia"/>
        </w:rPr>
        <w:t>.</w:t>
      </w:r>
    </w:p>
    <w:p w14:paraId="0E289CE6" w14:textId="0020BD35" w:rsidR="00AE241A" w:rsidRDefault="00AE241A" w:rsidP="00EE43A1">
      <w:pPr>
        <w:tabs>
          <w:tab w:val="left" w:pos="1418"/>
        </w:tabs>
        <w:rPr>
          <w:b/>
          <w:bCs/>
        </w:rPr>
      </w:pPr>
      <w:r w:rsidRPr="3238681A">
        <w:rPr>
          <w:b/>
          <w:bCs/>
        </w:rPr>
        <w:t xml:space="preserve">Clause </w:t>
      </w:r>
      <w:r w:rsidR="008439B5">
        <w:rPr>
          <w:b/>
          <w:bCs/>
        </w:rPr>
        <w:t>70</w:t>
      </w:r>
      <w:r w:rsidRPr="3238681A">
        <w:rPr>
          <w:b/>
          <w:bCs/>
        </w:rPr>
        <w:t xml:space="preserve">  New section 21A</w:t>
      </w:r>
    </w:p>
    <w:p w14:paraId="2E1FDEC5" w14:textId="5F80DF09" w:rsidR="00173B8D" w:rsidRDefault="00173B8D" w:rsidP="00173B8D">
      <w:pPr>
        <w:tabs>
          <w:tab w:val="left" w:pos="993"/>
          <w:tab w:val="left" w:pos="1276"/>
        </w:tabs>
      </w:pPr>
      <w:r>
        <w:t>This clause insert</w:t>
      </w:r>
      <w:r w:rsidR="00470745">
        <w:t>s</w:t>
      </w:r>
      <w:r>
        <w:t xml:space="preserve"> new section 21A </w:t>
      </w:r>
      <w:r w:rsidR="002A7D44">
        <w:t xml:space="preserve">into the Public Health Act </w:t>
      </w:r>
      <w:r>
        <w:t>to provide that the Minister must keep a register of activity licences. It also prescribe</w:t>
      </w:r>
      <w:r w:rsidR="00470745">
        <w:t>s</w:t>
      </w:r>
      <w:r>
        <w:t xml:space="preserve"> the information to be kept on the register. New section 21</w:t>
      </w:r>
      <w:r w:rsidR="00066582">
        <w:t>A</w:t>
      </w:r>
      <w:r>
        <w:t xml:space="preserve"> (</w:t>
      </w:r>
      <w:r w:rsidR="003318E1">
        <w:t>2</w:t>
      </w:r>
      <w:r>
        <w:t xml:space="preserve">) </w:t>
      </w:r>
      <w:r w:rsidR="00C2173C">
        <w:t>provides</w:t>
      </w:r>
      <w:r>
        <w:t xml:space="preserve"> that the Minister must make the register accessible to the public without charge on an ACT government website, or by a link on an ACT government website, and available for inspection during ordinary business hours at an ACT Government Office.</w:t>
      </w:r>
      <w:r w:rsidR="00066582">
        <w:t xml:space="preserve"> New section 21A (</w:t>
      </w:r>
      <w:r w:rsidR="003318E1">
        <w:t>3</w:t>
      </w:r>
      <w:r w:rsidR="00066582">
        <w:t xml:space="preserve">) </w:t>
      </w:r>
      <w:r w:rsidR="00066582">
        <w:lastRenderedPageBreak/>
        <w:t>provide</w:t>
      </w:r>
      <w:r w:rsidR="00470745">
        <w:t>s</w:t>
      </w:r>
      <w:r w:rsidR="00066582">
        <w:t xml:space="preserve"> that the Minister must not make information publicly available under this section if the Minister is satisfied that it is not in the public interest for the information to be publicly available. </w:t>
      </w:r>
    </w:p>
    <w:p w14:paraId="4FE737CD" w14:textId="7A3C28A9" w:rsidR="00066582" w:rsidRDefault="00173B8D" w:rsidP="00066582">
      <w:r w:rsidRPr="3238681A">
        <w:rPr>
          <w:rFonts w:eastAsiaTheme="majorEastAsia" w:cstheme="majorBidi"/>
        </w:rPr>
        <w:t>This enshrine</w:t>
      </w:r>
      <w:r w:rsidR="00024242" w:rsidRPr="3238681A">
        <w:rPr>
          <w:rFonts w:eastAsiaTheme="majorEastAsia" w:cstheme="majorBidi"/>
        </w:rPr>
        <w:t>s</w:t>
      </w:r>
      <w:r w:rsidRPr="3238681A">
        <w:rPr>
          <w:rFonts w:eastAsiaTheme="majorEastAsia" w:cstheme="majorBidi"/>
        </w:rPr>
        <w:t xml:space="preserve"> in legislation public accessibility to information in the register and standardises legislative language for public accessibility while providing the authority to provide in-person access.</w:t>
      </w:r>
      <w:r w:rsidR="00066582" w:rsidRPr="3238681A">
        <w:rPr>
          <w:rFonts w:eastAsiaTheme="majorEastAsia" w:cstheme="majorBidi"/>
        </w:rPr>
        <w:t xml:space="preserve"> </w:t>
      </w:r>
      <w:r w:rsidR="00066582">
        <w:t>Providing the Minister with the power to exclude information not considered in the public interest ensure</w:t>
      </w:r>
      <w:r w:rsidR="00024242">
        <w:t>s</w:t>
      </w:r>
      <w:r w:rsidR="00066582">
        <w:t xml:space="preserve"> privacy and safety protections.</w:t>
      </w:r>
    </w:p>
    <w:p w14:paraId="58856B0B" w14:textId="73FCCA8C" w:rsidR="00AE241A" w:rsidRDefault="00AE241A" w:rsidP="00EE43A1">
      <w:pPr>
        <w:tabs>
          <w:tab w:val="left" w:pos="1418"/>
        </w:tabs>
        <w:rPr>
          <w:b/>
          <w:bCs/>
        </w:rPr>
      </w:pPr>
      <w:r w:rsidRPr="3238681A">
        <w:rPr>
          <w:b/>
          <w:bCs/>
        </w:rPr>
        <w:t xml:space="preserve">Clause </w:t>
      </w:r>
      <w:r w:rsidR="008439B5">
        <w:rPr>
          <w:b/>
          <w:bCs/>
        </w:rPr>
        <w:t>71</w:t>
      </w:r>
      <w:r w:rsidRPr="3238681A">
        <w:rPr>
          <w:b/>
          <w:bCs/>
        </w:rPr>
        <w:t xml:space="preserve">  Activity licence – return for endorsement of variation Section 35</w:t>
      </w:r>
    </w:p>
    <w:p w14:paraId="7E0FE2CC" w14:textId="6DAE0DD1" w:rsidR="00173B8D" w:rsidRDefault="00173B8D" w:rsidP="3238681A">
      <w:pPr>
        <w:tabs>
          <w:tab w:val="left" w:pos="993"/>
          <w:tab w:val="left" w:pos="1276"/>
        </w:tabs>
        <w:rPr>
          <w:rFonts w:eastAsiaTheme="majorEastAsia"/>
        </w:rPr>
      </w:pPr>
      <w:r>
        <w:t xml:space="preserve">This clause </w:t>
      </w:r>
      <w:r w:rsidRPr="3238681A">
        <w:rPr>
          <w:rFonts w:eastAsiaTheme="majorEastAsia"/>
        </w:rPr>
        <w:t xml:space="preserve">removes section 35 </w:t>
      </w:r>
      <w:r w:rsidR="002A7D44" w:rsidRPr="3238681A">
        <w:rPr>
          <w:rFonts w:eastAsiaTheme="majorEastAsia"/>
        </w:rPr>
        <w:t xml:space="preserve">of the Public Health Act </w:t>
      </w:r>
      <w:r w:rsidRPr="3238681A">
        <w:rPr>
          <w:rFonts w:eastAsiaTheme="majorEastAsia"/>
        </w:rPr>
        <w:t xml:space="preserve">which provides that the holder of an activity licence that has been varied must not, without reasonable excuse, fail to return the licence to the Minister within 7 days after the date of effect of the variation. Failure to do so carries a maximum penalty of 5 penalty units. It also provides that the Minister must endorse the variation on the licence and return it to the licensee. </w:t>
      </w:r>
    </w:p>
    <w:p w14:paraId="427CB408" w14:textId="3529F0B1" w:rsidR="00173B8D" w:rsidRDefault="00173B8D" w:rsidP="3238681A">
      <w:pPr>
        <w:tabs>
          <w:tab w:val="left" w:pos="1276"/>
        </w:tabs>
        <w:rPr>
          <w:rFonts w:eastAsiaTheme="majorEastAsia"/>
        </w:rPr>
      </w:pPr>
      <w:r w:rsidRPr="3238681A">
        <w:rPr>
          <w:rFonts w:eastAsiaTheme="majorEastAsia"/>
        </w:rPr>
        <w:t xml:space="preserve">This provision will no longer be relevant as this Bill introduces amendments to the </w:t>
      </w:r>
      <w:r w:rsidR="00DC33CB" w:rsidRPr="3238681A">
        <w:rPr>
          <w:rFonts w:eastAsiaTheme="majorEastAsia"/>
        </w:rPr>
        <w:t>Public Health Act</w:t>
      </w:r>
      <w:r w:rsidRPr="3238681A">
        <w:rPr>
          <w:rFonts w:eastAsiaTheme="majorEastAsia"/>
        </w:rPr>
        <w:t xml:space="preserve"> to make </w:t>
      </w:r>
      <w:r w:rsidR="00DC33CB" w:rsidRPr="3238681A">
        <w:rPr>
          <w:rFonts w:eastAsiaTheme="majorEastAsia"/>
        </w:rPr>
        <w:t xml:space="preserve">activity licences </w:t>
      </w:r>
      <w:r w:rsidRPr="3238681A">
        <w:rPr>
          <w:rFonts w:eastAsiaTheme="majorEastAsia"/>
        </w:rPr>
        <w:t xml:space="preserve">accessible electronically to the public. The removal of the requirement to </w:t>
      </w:r>
      <w:r w:rsidR="00DC33CB" w:rsidRPr="3238681A">
        <w:rPr>
          <w:rFonts w:eastAsiaTheme="majorEastAsia"/>
        </w:rPr>
        <w:t xml:space="preserve">vary </w:t>
      </w:r>
      <w:r w:rsidRPr="3238681A">
        <w:rPr>
          <w:rFonts w:eastAsiaTheme="majorEastAsia"/>
        </w:rPr>
        <w:t xml:space="preserve">a physical </w:t>
      </w:r>
      <w:r w:rsidR="00DC33CB" w:rsidRPr="3238681A">
        <w:rPr>
          <w:rFonts w:eastAsiaTheme="majorEastAsia"/>
        </w:rPr>
        <w:t xml:space="preserve">licence </w:t>
      </w:r>
      <w:r w:rsidRPr="3238681A">
        <w:rPr>
          <w:rFonts w:eastAsiaTheme="majorEastAsia"/>
        </w:rPr>
        <w:t xml:space="preserve">will reduce administrative burden for </w:t>
      </w:r>
      <w:r w:rsidR="00DC33CB" w:rsidRPr="3238681A">
        <w:rPr>
          <w:rFonts w:eastAsiaTheme="majorEastAsia"/>
        </w:rPr>
        <w:t>licensees</w:t>
      </w:r>
      <w:r w:rsidRPr="3238681A">
        <w:rPr>
          <w:rFonts w:eastAsiaTheme="majorEastAsia"/>
        </w:rPr>
        <w:t>.</w:t>
      </w:r>
    </w:p>
    <w:p w14:paraId="7FA4CA3A" w14:textId="4DD34CB3" w:rsidR="00AE241A" w:rsidRDefault="00AE241A" w:rsidP="00EE43A1">
      <w:pPr>
        <w:tabs>
          <w:tab w:val="left" w:pos="1418"/>
        </w:tabs>
        <w:rPr>
          <w:b/>
          <w:bCs/>
        </w:rPr>
      </w:pPr>
      <w:r w:rsidRPr="3238681A">
        <w:rPr>
          <w:b/>
          <w:bCs/>
        </w:rPr>
        <w:t xml:space="preserve">Clause </w:t>
      </w:r>
      <w:r w:rsidR="008439B5">
        <w:rPr>
          <w:b/>
          <w:bCs/>
        </w:rPr>
        <w:t>72</w:t>
      </w:r>
      <w:r w:rsidRPr="3238681A">
        <w:rPr>
          <w:b/>
          <w:bCs/>
        </w:rPr>
        <w:t xml:space="preserve">  Activity licence – application for transfer Section 36 (2)</w:t>
      </w:r>
    </w:p>
    <w:p w14:paraId="6DB1D247" w14:textId="04EFF03D" w:rsidR="00066582" w:rsidRDefault="00DC33CB" w:rsidP="3238681A">
      <w:pPr>
        <w:tabs>
          <w:tab w:val="left" w:pos="1276"/>
        </w:tabs>
        <w:rPr>
          <w:rFonts w:eastAsiaTheme="majorEastAsia"/>
        </w:rPr>
      </w:pPr>
      <w:r>
        <w:t>This clause remove</w:t>
      </w:r>
      <w:r w:rsidR="00470745">
        <w:t>s</w:t>
      </w:r>
      <w:r>
        <w:t xml:space="preserve"> the requirement that a physical licence must accompany an application to transfer a licence. </w:t>
      </w:r>
      <w:r w:rsidRPr="3238681A">
        <w:rPr>
          <w:rFonts w:eastAsiaTheme="majorEastAsia"/>
        </w:rPr>
        <w:t>This requirement will no longer be relevant as this Bill introduces amendments to the Public Health Act to make activity licences accessible electronically to the public. The removal of the requirement will reduce administrative burden for licensees.</w:t>
      </w:r>
    </w:p>
    <w:p w14:paraId="6AEFA8FE" w14:textId="474CAB77" w:rsidR="00AE241A" w:rsidRDefault="00AE241A" w:rsidP="00EE43A1">
      <w:pPr>
        <w:tabs>
          <w:tab w:val="left" w:pos="1418"/>
        </w:tabs>
        <w:rPr>
          <w:b/>
          <w:bCs/>
        </w:rPr>
      </w:pPr>
      <w:r w:rsidRPr="3238681A">
        <w:rPr>
          <w:b/>
          <w:bCs/>
        </w:rPr>
        <w:t xml:space="preserve">Clause </w:t>
      </w:r>
      <w:r w:rsidR="008439B5">
        <w:rPr>
          <w:b/>
          <w:bCs/>
        </w:rPr>
        <w:t>73</w:t>
      </w:r>
      <w:r w:rsidRPr="3238681A">
        <w:rPr>
          <w:b/>
          <w:bCs/>
        </w:rPr>
        <w:t xml:space="preserve">  Activity licence – grant or refusal of transfer Section 37 (5)</w:t>
      </w:r>
    </w:p>
    <w:p w14:paraId="113C6BF5" w14:textId="57310B8B" w:rsidR="00AE241A" w:rsidRDefault="00DC33CB" w:rsidP="00EE43A1">
      <w:pPr>
        <w:tabs>
          <w:tab w:val="left" w:pos="1418"/>
        </w:tabs>
        <w:rPr>
          <w:b/>
          <w:bCs/>
        </w:rPr>
      </w:pPr>
      <w:r>
        <w:t>This clause remove</w:t>
      </w:r>
      <w:r w:rsidR="00470745">
        <w:t>s</w:t>
      </w:r>
      <w:r>
        <w:t xml:space="preserve"> the requirement that the Minister must return a licence that is the subject of an application for transfer. </w:t>
      </w:r>
      <w:r w:rsidRPr="3238681A">
        <w:rPr>
          <w:rFonts w:eastAsiaTheme="majorEastAsia"/>
        </w:rPr>
        <w:t>This requirement will no longer be relevant as this Bill introduces amendments to the Public Health Act to make activity licences accessible electronically to the public. The removal of the requirement will reduce administrative burden for licensees.</w:t>
      </w:r>
    </w:p>
    <w:p w14:paraId="32161B51" w14:textId="1506C960" w:rsidR="00EE43A1" w:rsidRDefault="00EE43A1" w:rsidP="00EE43A1">
      <w:pPr>
        <w:tabs>
          <w:tab w:val="left" w:pos="1418"/>
        </w:tabs>
        <w:rPr>
          <w:b/>
          <w:bCs/>
        </w:rPr>
      </w:pPr>
      <w:r w:rsidRPr="3238681A">
        <w:rPr>
          <w:b/>
          <w:bCs/>
        </w:rPr>
        <w:t xml:space="preserve">Clause </w:t>
      </w:r>
      <w:r w:rsidR="008439B5">
        <w:rPr>
          <w:b/>
          <w:bCs/>
        </w:rPr>
        <w:t>74</w:t>
      </w:r>
      <w:r w:rsidRPr="3238681A">
        <w:rPr>
          <w:b/>
          <w:bCs/>
        </w:rPr>
        <w:t xml:space="preserve">  Activity licence – surrender Section 38 (1)</w:t>
      </w:r>
    </w:p>
    <w:p w14:paraId="3AA9312A" w14:textId="26A11123" w:rsidR="003541AC" w:rsidRDefault="003541AC" w:rsidP="00EE43A1">
      <w:pPr>
        <w:tabs>
          <w:tab w:val="left" w:pos="1418"/>
        </w:tabs>
      </w:pPr>
      <w:r>
        <w:t xml:space="preserve">This clause amends section 38 (1) of the Public Health Act to allow the holder of an activity licence to surrender the licence by written notice given to the Minister and remove the requirement for a licensee to surrender the licence. </w:t>
      </w:r>
    </w:p>
    <w:p w14:paraId="020BCFF1" w14:textId="68EC0E26" w:rsidR="00AE241A" w:rsidRDefault="09ADF810" w:rsidP="3238681A">
      <w:pPr>
        <w:tabs>
          <w:tab w:val="left" w:pos="1276"/>
        </w:tabs>
        <w:rPr>
          <w:rFonts w:eastAsiaTheme="majorEastAsia"/>
        </w:rPr>
      </w:pPr>
      <w:r w:rsidRPr="3238681A">
        <w:rPr>
          <w:rFonts w:eastAsiaTheme="majorEastAsia"/>
        </w:rPr>
        <w:t>A r</w:t>
      </w:r>
      <w:r w:rsidR="00D71F7E" w:rsidRPr="3238681A">
        <w:rPr>
          <w:rFonts w:eastAsiaTheme="majorEastAsia"/>
        </w:rPr>
        <w:t>equirement to surrender the licence</w:t>
      </w:r>
      <w:r w:rsidR="00AE241A" w:rsidRPr="3238681A">
        <w:rPr>
          <w:rFonts w:eastAsiaTheme="majorEastAsia"/>
        </w:rPr>
        <w:t xml:space="preserve"> will no longer be relevant as this Bill introduces amendments to the Act to make a register of activity licences accessible </w:t>
      </w:r>
      <w:r w:rsidR="00AE241A" w:rsidRPr="3238681A">
        <w:rPr>
          <w:rFonts w:eastAsiaTheme="majorEastAsia"/>
        </w:rPr>
        <w:lastRenderedPageBreak/>
        <w:t>electronically to the public. The removal of the requirement to return a physical licence upon amendment will reduce administrative burden for licensees.</w:t>
      </w:r>
    </w:p>
    <w:p w14:paraId="03D90559" w14:textId="1B1D534B" w:rsidR="00AE241A" w:rsidRDefault="00AE241A" w:rsidP="00A00417">
      <w:pPr>
        <w:tabs>
          <w:tab w:val="left" w:pos="1276"/>
        </w:tabs>
        <w:rPr>
          <w:b/>
          <w:bCs/>
        </w:rPr>
      </w:pPr>
      <w:r w:rsidRPr="3238681A">
        <w:rPr>
          <w:b/>
          <w:bCs/>
        </w:rPr>
        <w:t xml:space="preserve">Clause </w:t>
      </w:r>
      <w:r w:rsidR="008439B5">
        <w:rPr>
          <w:b/>
          <w:bCs/>
        </w:rPr>
        <w:t>75</w:t>
      </w:r>
      <w:r w:rsidRPr="3238681A">
        <w:rPr>
          <w:b/>
          <w:bCs/>
        </w:rPr>
        <w:t xml:space="preserve">  Activity licence – return of defunct licences Section 42</w:t>
      </w:r>
    </w:p>
    <w:p w14:paraId="60ED063F" w14:textId="4F4491E6" w:rsidR="004C767C" w:rsidRDefault="00725AE5" w:rsidP="3238681A">
      <w:pPr>
        <w:tabs>
          <w:tab w:val="left" w:pos="1418"/>
        </w:tabs>
        <w:rPr>
          <w:rFonts w:eastAsiaTheme="majorEastAsia"/>
        </w:rPr>
      </w:pPr>
      <w:r>
        <w:t>This clause remove</w:t>
      </w:r>
      <w:r w:rsidR="00470745">
        <w:t>s</w:t>
      </w:r>
      <w:r>
        <w:t xml:space="preserve"> the requirement that the holder of an activity licence that has been suspended or cancelled must not, without reasonable excuse, fail to return the licence to the Minister within 7 days after the date of effect of the suspension or cancellation. </w:t>
      </w:r>
      <w:r w:rsidRPr="3238681A">
        <w:rPr>
          <w:rFonts w:eastAsiaTheme="majorEastAsia"/>
        </w:rPr>
        <w:t xml:space="preserve">Failure to do so carries a maximum penalty of 5 penalty units. </w:t>
      </w:r>
    </w:p>
    <w:p w14:paraId="31102435" w14:textId="72EAC980" w:rsidR="00725AE5" w:rsidRDefault="00725AE5" w:rsidP="00725AE5">
      <w:pPr>
        <w:tabs>
          <w:tab w:val="left" w:pos="1418"/>
        </w:tabs>
        <w:rPr>
          <w:b/>
          <w:bCs/>
        </w:rPr>
      </w:pPr>
      <w:r w:rsidRPr="3238681A">
        <w:rPr>
          <w:rFonts w:eastAsiaTheme="majorEastAsia"/>
        </w:rPr>
        <w:t xml:space="preserve">This requirement will no longer be relevant as this Bill introduces amendments to the Public Health Act to make activity licences accessible electronically to the public. The removal of the requirement </w:t>
      </w:r>
      <w:r w:rsidR="004C767C" w:rsidRPr="3238681A">
        <w:rPr>
          <w:rFonts w:eastAsiaTheme="majorEastAsia"/>
        </w:rPr>
        <w:t xml:space="preserve">to return a physical licence </w:t>
      </w:r>
      <w:r w:rsidRPr="3238681A">
        <w:rPr>
          <w:rFonts w:eastAsiaTheme="majorEastAsia"/>
        </w:rPr>
        <w:t>will reduce administrative burden for licensees.</w:t>
      </w:r>
    </w:p>
    <w:p w14:paraId="20FC0E02" w14:textId="647254B9" w:rsidR="00AE241A" w:rsidRDefault="00AE241A" w:rsidP="00A00417">
      <w:pPr>
        <w:tabs>
          <w:tab w:val="left" w:pos="1276"/>
        </w:tabs>
        <w:rPr>
          <w:b/>
          <w:bCs/>
        </w:rPr>
      </w:pPr>
      <w:r w:rsidRPr="3238681A">
        <w:rPr>
          <w:b/>
          <w:bCs/>
        </w:rPr>
        <w:t xml:space="preserve">Clause </w:t>
      </w:r>
      <w:r w:rsidR="008439B5">
        <w:rPr>
          <w:b/>
          <w:bCs/>
        </w:rPr>
        <w:t>76</w:t>
      </w:r>
      <w:r w:rsidRPr="3238681A">
        <w:rPr>
          <w:b/>
          <w:bCs/>
        </w:rPr>
        <w:t xml:space="preserve">  Section 42B</w:t>
      </w:r>
    </w:p>
    <w:p w14:paraId="05373284" w14:textId="1AA9CBA0" w:rsidR="00AE241A" w:rsidRPr="006E7699" w:rsidRDefault="006E7699" w:rsidP="00A00417">
      <w:pPr>
        <w:tabs>
          <w:tab w:val="left" w:pos="1276"/>
        </w:tabs>
      </w:pPr>
      <w:r>
        <w:t>This clause amend</w:t>
      </w:r>
      <w:r w:rsidR="00470745">
        <w:t>s</w:t>
      </w:r>
      <w:r>
        <w:t xml:space="preserve"> the offence provision in relation to the inspection of a person carrying out a licensable public health risk activity. The penalty provision will remain</w:t>
      </w:r>
      <w:r w:rsidR="00470745">
        <w:t>,</w:t>
      </w:r>
      <w:r>
        <w:t xml:space="preserve"> but the amendment will improve the clarity of the legislation</w:t>
      </w:r>
      <w:r w:rsidR="00BD4BD8">
        <w:t>.</w:t>
      </w:r>
    </w:p>
    <w:p w14:paraId="6C21D903" w14:textId="08B3413B" w:rsidR="00AE241A" w:rsidRDefault="00AE241A" w:rsidP="00A00417">
      <w:pPr>
        <w:tabs>
          <w:tab w:val="left" w:pos="1276"/>
        </w:tabs>
        <w:rPr>
          <w:b/>
          <w:bCs/>
        </w:rPr>
      </w:pPr>
      <w:r w:rsidRPr="3238681A">
        <w:rPr>
          <w:b/>
          <w:bCs/>
        </w:rPr>
        <w:t xml:space="preserve">Clause </w:t>
      </w:r>
      <w:r w:rsidR="008439B5">
        <w:rPr>
          <w:b/>
          <w:bCs/>
        </w:rPr>
        <w:t>77</w:t>
      </w:r>
      <w:r w:rsidRPr="3238681A">
        <w:rPr>
          <w:b/>
          <w:bCs/>
        </w:rPr>
        <w:t xml:space="preserve">  New section 42CA</w:t>
      </w:r>
    </w:p>
    <w:p w14:paraId="7B2D8D04" w14:textId="3F6E05DC" w:rsidR="00C2173C" w:rsidRDefault="00C2173C" w:rsidP="00C2173C">
      <w:pPr>
        <w:tabs>
          <w:tab w:val="left" w:pos="993"/>
          <w:tab w:val="left" w:pos="1276"/>
        </w:tabs>
      </w:pPr>
      <w:r>
        <w:t>This clause insert</w:t>
      </w:r>
      <w:r w:rsidR="00470745">
        <w:t>s</w:t>
      </w:r>
      <w:r>
        <w:t xml:space="preserve"> new section 42CA to provide that the Minister must keep a register of procedure licences. It also prescribe</w:t>
      </w:r>
      <w:r w:rsidR="00470745">
        <w:t>s</w:t>
      </w:r>
      <w:r>
        <w:t xml:space="preserve"> the information to be kept on the register. New section 42CA (</w:t>
      </w:r>
      <w:r w:rsidR="008E7503">
        <w:t>2</w:t>
      </w:r>
      <w:r>
        <w:t xml:space="preserve">) provides that the Minister must make the register accessible to the public without charge on an ACT government website, or by a link on an ACT government website, and available for inspection during ordinary business hours at an ACT Government Office. </w:t>
      </w:r>
      <w:r w:rsidR="00066582">
        <w:t>New section 42CA (</w:t>
      </w:r>
      <w:r w:rsidR="008E7503">
        <w:t>3</w:t>
      </w:r>
      <w:r w:rsidR="00066582">
        <w:t>) provide</w:t>
      </w:r>
      <w:r w:rsidR="00470745">
        <w:t>s</w:t>
      </w:r>
      <w:r w:rsidR="00066582">
        <w:t xml:space="preserve"> that the Minister must not make information publicly available under this section if the Minister is satisfied that it is not in the public interest for the information to be publicly available. </w:t>
      </w:r>
    </w:p>
    <w:p w14:paraId="47262DAD" w14:textId="16B6AC1D" w:rsidR="00066582" w:rsidRDefault="00C2173C" w:rsidP="00066582">
      <w:r w:rsidRPr="3238681A">
        <w:rPr>
          <w:rFonts w:eastAsiaTheme="majorEastAsia" w:cstheme="majorBidi"/>
        </w:rPr>
        <w:t>This enshrine</w:t>
      </w:r>
      <w:r w:rsidR="00024242" w:rsidRPr="3238681A">
        <w:rPr>
          <w:rFonts w:eastAsiaTheme="majorEastAsia" w:cstheme="majorBidi"/>
        </w:rPr>
        <w:t>s</w:t>
      </w:r>
      <w:r w:rsidRPr="3238681A">
        <w:rPr>
          <w:rFonts w:eastAsiaTheme="majorEastAsia" w:cstheme="majorBidi"/>
        </w:rPr>
        <w:t xml:space="preserve"> in legislation public accessibility to information in the register and standardises legislative language for public accessibility while providing the authority to provide in-person access.</w:t>
      </w:r>
      <w:r w:rsidR="00066582" w:rsidRPr="3238681A">
        <w:rPr>
          <w:rFonts w:eastAsiaTheme="majorEastAsia" w:cstheme="majorBidi"/>
        </w:rPr>
        <w:t xml:space="preserve"> </w:t>
      </w:r>
      <w:r w:rsidR="00066582">
        <w:t>Providing the Minister with the power to exclude information not considered in the public interest ensure</w:t>
      </w:r>
      <w:r w:rsidR="00024242">
        <w:t>s</w:t>
      </w:r>
      <w:r w:rsidR="00066582">
        <w:t xml:space="preserve"> privacy and safety protections.</w:t>
      </w:r>
    </w:p>
    <w:p w14:paraId="24982286" w14:textId="6954FA62" w:rsidR="00AE241A" w:rsidRDefault="00AE241A" w:rsidP="00A00417">
      <w:pPr>
        <w:tabs>
          <w:tab w:val="left" w:pos="1276"/>
        </w:tabs>
        <w:rPr>
          <w:b/>
          <w:bCs/>
        </w:rPr>
      </w:pPr>
      <w:r w:rsidRPr="3238681A">
        <w:rPr>
          <w:b/>
          <w:bCs/>
        </w:rPr>
        <w:t xml:space="preserve">Clause </w:t>
      </w:r>
      <w:r w:rsidR="008439B5">
        <w:rPr>
          <w:b/>
          <w:bCs/>
        </w:rPr>
        <w:t>78</w:t>
      </w:r>
      <w:r w:rsidRPr="3238681A">
        <w:rPr>
          <w:b/>
          <w:bCs/>
        </w:rPr>
        <w:t xml:space="preserve">  Procedure licence – return for endorsement of variation Section 50</w:t>
      </w:r>
    </w:p>
    <w:p w14:paraId="60FC01B6" w14:textId="58FEAD7C" w:rsidR="007F5107" w:rsidRDefault="00D674FF" w:rsidP="3238681A">
      <w:pPr>
        <w:tabs>
          <w:tab w:val="left" w:pos="1418"/>
        </w:tabs>
        <w:rPr>
          <w:rFonts w:eastAsiaTheme="majorEastAsia"/>
        </w:rPr>
      </w:pPr>
      <w:r>
        <w:t>This clause remove</w:t>
      </w:r>
      <w:r w:rsidR="007F5107">
        <w:t>s</w:t>
      </w:r>
      <w:r>
        <w:t xml:space="preserve"> the requirement that the holder of a procedure licence that has been varied must not, without reasonable excuse, fail to return the licence to the Minister within 7 days after the date of effect of the variation. </w:t>
      </w:r>
      <w:r w:rsidRPr="3238681A">
        <w:rPr>
          <w:rFonts w:eastAsiaTheme="majorEastAsia"/>
        </w:rPr>
        <w:t xml:space="preserve">Failure to do so carries a maximum penalty of 5 penalty units. </w:t>
      </w:r>
    </w:p>
    <w:p w14:paraId="0C24157B" w14:textId="702BF251" w:rsidR="00D674FF" w:rsidRDefault="00D674FF" w:rsidP="00D674FF">
      <w:pPr>
        <w:tabs>
          <w:tab w:val="left" w:pos="1418"/>
        </w:tabs>
        <w:rPr>
          <w:b/>
          <w:bCs/>
        </w:rPr>
      </w:pPr>
      <w:r>
        <w:rPr>
          <w:rFonts w:eastAsiaTheme="majorEastAsia"/>
        </w:rPr>
        <w:lastRenderedPageBreak/>
        <w:t>This requirement will no longer be relevant as this Bill introduces amendments to the Public Health Act to make procedure licences accessible electronically to the public. The removal of the requirement will reduce administrative burden for licensees.</w:t>
      </w:r>
    </w:p>
    <w:p w14:paraId="0B2950C5" w14:textId="074B3D74" w:rsidR="00AE241A" w:rsidRDefault="00AE241A" w:rsidP="00A00417">
      <w:pPr>
        <w:tabs>
          <w:tab w:val="left" w:pos="1276"/>
        </w:tabs>
        <w:rPr>
          <w:b/>
          <w:bCs/>
        </w:rPr>
      </w:pPr>
      <w:r w:rsidRPr="3238681A">
        <w:rPr>
          <w:b/>
          <w:bCs/>
        </w:rPr>
        <w:t xml:space="preserve">Clause </w:t>
      </w:r>
      <w:r w:rsidR="008439B5">
        <w:rPr>
          <w:b/>
          <w:bCs/>
        </w:rPr>
        <w:t>79</w:t>
      </w:r>
      <w:r w:rsidRPr="3238681A">
        <w:rPr>
          <w:b/>
          <w:bCs/>
        </w:rPr>
        <w:t xml:space="preserve">  Procedure licence – surrender Section 52 (1)</w:t>
      </w:r>
    </w:p>
    <w:p w14:paraId="577C5925" w14:textId="0D14AEBA" w:rsidR="007F5107" w:rsidRDefault="00D674FF" w:rsidP="00D674FF">
      <w:pPr>
        <w:tabs>
          <w:tab w:val="left" w:pos="1418"/>
        </w:tabs>
      </w:pPr>
      <w:r>
        <w:t xml:space="preserve">This clause amends section 52 </w:t>
      </w:r>
      <w:r w:rsidR="007F5107">
        <w:t xml:space="preserve">of the Public Health Act to provide </w:t>
      </w:r>
      <w:r>
        <w:t>that the holder of a procedure licence may surrender the licence by written notice and no longer need</w:t>
      </w:r>
      <w:r w:rsidR="007F5107">
        <w:t>s</w:t>
      </w:r>
      <w:r>
        <w:t xml:space="preserve"> to return the licence. </w:t>
      </w:r>
    </w:p>
    <w:p w14:paraId="7259AACC" w14:textId="37FCF8E4" w:rsidR="00D674FF" w:rsidRDefault="5E4C4220" w:rsidP="00D674FF">
      <w:pPr>
        <w:tabs>
          <w:tab w:val="left" w:pos="1418"/>
        </w:tabs>
        <w:rPr>
          <w:b/>
          <w:bCs/>
        </w:rPr>
      </w:pPr>
      <w:r w:rsidRPr="3238681A">
        <w:rPr>
          <w:rFonts w:eastAsiaTheme="majorEastAsia"/>
        </w:rPr>
        <w:t>A r</w:t>
      </w:r>
      <w:r w:rsidR="007F5107" w:rsidRPr="3238681A">
        <w:rPr>
          <w:rFonts w:eastAsiaTheme="majorEastAsia"/>
        </w:rPr>
        <w:t>equirement to return a physical licence</w:t>
      </w:r>
      <w:r w:rsidR="00D674FF" w:rsidRPr="3238681A">
        <w:rPr>
          <w:rFonts w:eastAsiaTheme="majorEastAsia"/>
        </w:rPr>
        <w:t xml:space="preserve"> will no longer be relevant as this Bill introduces amendments to the Public Health Act to make procedure licences accessible electronically to the public. The removal of the requirement will reduce administrative burden for licensees.</w:t>
      </w:r>
    </w:p>
    <w:p w14:paraId="79E14A2E" w14:textId="0957B69D" w:rsidR="00AE241A" w:rsidRDefault="00AE241A" w:rsidP="00A00417">
      <w:pPr>
        <w:tabs>
          <w:tab w:val="left" w:pos="1276"/>
        </w:tabs>
        <w:rPr>
          <w:b/>
          <w:bCs/>
        </w:rPr>
      </w:pPr>
      <w:r w:rsidRPr="3238681A">
        <w:rPr>
          <w:b/>
          <w:bCs/>
        </w:rPr>
        <w:t xml:space="preserve">Clause </w:t>
      </w:r>
      <w:r w:rsidR="008439B5">
        <w:rPr>
          <w:b/>
          <w:bCs/>
        </w:rPr>
        <w:t>80</w:t>
      </w:r>
      <w:r w:rsidRPr="3238681A">
        <w:rPr>
          <w:b/>
          <w:bCs/>
        </w:rPr>
        <w:t xml:space="preserve">  Procedure licence – return of defunct licences Section 56</w:t>
      </w:r>
    </w:p>
    <w:p w14:paraId="3B7B1E7B" w14:textId="5F1A8B04" w:rsidR="007F5107" w:rsidRDefault="00D674FF" w:rsidP="3238681A">
      <w:pPr>
        <w:tabs>
          <w:tab w:val="left" w:pos="1418"/>
        </w:tabs>
        <w:rPr>
          <w:rFonts w:eastAsiaTheme="majorEastAsia"/>
        </w:rPr>
      </w:pPr>
      <w:r>
        <w:t>This clause remove</w:t>
      </w:r>
      <w:r w:rsidR="007F5107">
        <w:t>s</w:t>
      </w:r>
      <w:r>
        <w:t xml:space="preserve"> the requirement </w:t>
      </w:r>
      <w:r w:rsidR="007F5107">
        <w:t xml:space="preserve">under section 56 of the Public Health Act </w:t>
      </w:r>
      <w:r>
        <w:t xml:space="preserve">that the holder of a procedure licence that has been suspended or cancelled must not, without reasonable excuse, fail to return the licence to the Minister within 7 days after the date of effect of the variation. </w:t>
      </w:r>
      <w:r w:rsidRPr="3238681A">
        <w:rPr>
          <w:rFonts w:eastAsiaTheme="majorEastAsia"/>
        </w:rPr>
        <w:t xml:space="preserve">Failure to do so carries a maximum penalty of 5 penalty units. </w:t>
      </w:r>
    </w:p>
    <w:p w14:paraId="76E4C33A" w14:textId="5C3D13DF" w:rsidR="00D674FF" w:rsidRDefault="1644DA0B" w:rsidP="00D674FF">
      <w:pPr>
        <w:tabs>
          <w:tab w:val="left" w:pos="1418"/>
        </w:tabs>
        <w:rPr>
          <w:b/>
          <w:bCs/>
        </w:rPr>
      </w:pPr>
      <w:r w:rsidRPr="3238681A">
        <w:rPr>
          <w:rFonts w:eastAsiaTheme="majorEastAsia"/>
        </w:rPr>
        <w:t>A r</w:t>
      </w:r>
      <w:r w:rsidR="007F5107" w:rsidRPr="3238681A">
        <w:rPr>
          <w:rFonts w:eastAsiaTheme="majorEastAsia"/>
        </w:rPr>
        <w:t xml:space="preserve">equirement to return a physical licence </w:t>
      </w:r>
      <w:r w:rsidR="00D674FF" w:rsidRPr="3238681A">
        <w:rPr>
          <w:rFonts w:eastAsiaTheme="majorEastAsia"/>
        </w:rPr>
        <w:t>will no longer be relevant as this Bill introduces amendments to the Public Health Act to make procedure licences accessible electronically to the public. The removal of the requirement will reduce administrative burden for licensees.</w:t>
      </w:r>
    </w:p>
    <w:p w14:paraId="01D4C315" w14:textId="1680A592" w:rsidR="00AE241A" w:rsidRDefault="00AE241A" w:rsidP="00A00417">
      <w:pPr>
        <w:tabs>
          <w:tab w:val="left" w:pos="1276"/>
        </w:tabs>
        <w:rPr>
          <w:b/>
          <w:bCs/>
        </w:rPr>
      </w:pPr>
      <w:r w:rsidRPr="3238681A">
        <w:rPr>
          <w:b/>
          <w:bCs/>
        </w:rPr>
        <w:t xml:space="preserve">Clause </w:t>
      </w:r>
      <w:r w:rsidR="008439B5">
        <w:rPr>
          <w:b/>
          <w:bCs/>
        </w:rPr>
        <w:t>81</w:t>
      </w:r>
      <w:r w:rsidRPr="3238681A">
        <w:rPr>
          <w:b/>
          <w:bCs/>
        </w:rPr>
        <w:t xml:space="preserve">  Section 56B</w:t>
      </w:r>
    </w:p>
    <w:p w14:paraId="2A2F2C1C" w14:textId="476A9656" w:rsidR="00BD4BD8" w:rsidRPr="006E7699" w:rsidRDefault="00BD4BD8" w:rsidP="00BD4BD8">
      <w:pPr>
        <w:tabs>
          <w:tab w:val="left" w:pos="1276"/>
        </w:tabs>
      </w:pPr>
      <w:r>
        <w:t>This clause amend</w:t>
      </w:r>
      <w:r w:rsidR="00F72E56">
        <w:t>s</w:t>
      </w:r>
      <w:r>
        <w:t xml:space="preserve"> the offence provision</w:t>
      </w:r>
      <w:r w:rsidR="00F72E56">
        <w:t xml:space="preserve"> under section 56B of the Public Health Act</w:t>
      </w:r>
      <w:r>
        <w:t xml:space="preserve"> in relation to the inspection of a person carrying out a licensable public health risk procedure. The penalty provision will remain</w:t>
      </w:r>
      <w:r w:rsidR="00F72E56">
        <w:t>,</w:t>
      </w:r>
      <w:r>
        <w:t xml:space="preserve"> but the amendment will improve the clarity of the legislation.</w:t>
      </w:r>
    </w:p>
    <w:p w14:paraId="407F0CFA" w14:textId="7631969D" w:rsidR="00AE241A" w:rsidRDefault="00AE241A" w:rsidP="00A00417">
      <w:pPr>
        <w:tabs>
          <w:tab w:val="left" w:pos="1276"/>
        </w:tabs>
        <w:rPr>
          <w:b/>
          <w:bCs/>
        </w:rPr>
      </w:pPr>
      <w:r w:rsidRPr="3238681A">
        <w:rPr>
          <w:b/>
          <w:bCs/>
        </w:rPr>
        <w:t xml:space="preserve">Clause </w:t>
      </w:r>
      <w:r w:rsidR="008439B5">
        <w:rPr>
          <w:b/>
          <w:bCs/>
        </w:rPr>
        <w:t>82</w:t>
      </w:r>
      <w:r w:rsidRPr="3238681A">
        <w:rPr>
          <w:b/>
          <w:bCs/>
        </w:rPr>
        <w:t xml:space="preserve">  Activity register Section 56D</w:t>
      </w:r>
    </w:p>
    <w:p w14:paraId="1100A3D7" w14:textId="53F5A0BD" w:rsidR="00AE241A" w:rsidRDefault="00BD4BD8" w:rsidP="00A00417">
      <w:pPr>
        <w:tabs>
          <w:tab w:val="left" w:pos="1276"/>
        </w:tabs>
        <w:rPr>
          <w:b/>
          <w:bCs/>
        </w:rPr>
      </w:pPr>
      <w:r>
        <w:t>This clause remove</w:t>
      </w:r>
      <w:r w:rsidR="00705758">
        <w:t>s</w:t>
      </w:r>
      <w:r>
        <w:t xml:space="preserve"> section 56D and the activity register as this will be provided</w:t>
      </w:r>
      <w:r w:rsidR="00705758">
        <w:t xml:space="preserve"> for</w:t>
      </w:r>
      <w:r w:rsidR="1F7D0638">
        <w:t xml:space="preserve"> </w:t>
      </w:r>
      <w:r w:rsidR="001B74D9">
        <w:t>in a different provision</w:t>
      </w:r>
      <w:r>
        <w:t xml:space="preserve"> under the amendments in </w:t>
      </w:r>
      <w:r w:rsidR="00705758">
        <w:t xml:space="preserve">this </w:t>
      </w:r>
      <w:r>
        <w:t>Bill.</w:t>
      </w:r>
    </w:p>
    <w:p w14:paraId="14DFB7C9" w14:textId="5B128AEF" w:rsidR="00AE241A" w:rsidRDefault="00AE241A" w:rsidP="00A00417">
      <w:pPr>
        <w:tabs>
          <w:tab w:val="left" w:pos="1276"/>
        </w:tabs>
        <w:rPr>
          <w:b/>
          <w:bCs/>
        </w:rPr>
      </w:pPr>
      <w:r w:rsidRPr="3238681A">
        <w:rPr>
          <w:b/>
          <w:bCs/>
        </w:rPr>
        <w:t xml:space="preserve">Clause </w:t>
      </w:r>
      <w:r w:rsidR="008439B5">
        <w:rPr>
          <w:b/>
          <w:bCs/>
        </w:rPr>
        <w:t>83</w:t>
      </w:r>
      <w:r w:rsidRPr="3238681A">
        <w:rPr>
          <w:b/>
          <w:bCs/>
        </w:rPr>
        <w:t xml:space="preserve">  Registered people register Section 56E (1)</w:t>
      </w:r>
    </w:p>
    <w:p w14:paraId="14FC927E" w14:textId="5820CFAD" w:rsidR="00FF38B3" w:rsidRPr="00BD4BD8" w:rsidRDefault="00BD4BD8" w:rsidP="00A00417">
      <w:pPr>
        <w:tabs>
          <w:tab w:val="left" w:pos="1276"/>
        </w:tabs>
      </w:pPr>
      <w:r>
        <w:t>This clause make</w:t>
      </w:r>
      <w:r w:rsidR="00AC566D">
        <w:t>s</w:t>
      </w:r>
      <w:r>
        <w:t xml:space="preserve"> a minor and technical amendment to remove </w:t>
      </w:r>
      <w:r w:rsidRPr="3238681A">
        <w:rPr>
          <w:i/>
          <w:iCs/>
        </w:rPr>
        <w:t>(the registered people register)</w:t>
      </w:r>
      <w:r>
        <w:t xml:space="preserve"> from section 56E as this is superfluous to the section.</w:t>
      </w:r>
    </w:p>
    <w:p w14:paraId="05C90BCC" w14:textId="764C9D71" w:rsidR="00FF38B3" w:rsidRDefault="00FF38B3" w:rsidP="00A00417">
      <w:pPr>
        <w:tabs>
          <w:tab w:val="left" w:pos="1276"/>
        </w:tabs>
        <w:rPr>
          <w:b/>
          <w:bCs/>
        </w:rPr>
      </w:pPr>
      <w:r w:rsidRPr="3238681A">
        <w:rPr>
          <w:b/>
          <w:bCs/>
        </w:rPr>
        <w:t xml:space="preserve">Clause </w:t>
      </w:r>
      <w:r w:rsidR="008439B5">
        <w:rPr>
          <w:b/>
          <w:bCs/>
        </w:rPr>
        <w:t>84</w:t>
      </w:r>
      <w:r w:rsidRPr="3238681A">
        <w:rPr>
          <w:b/>
          <w:bCs/>
        </w:rPr>
        <w:t xml:space="preserve">  Section 56E</w:t>
      </w:r>
      <w:r w:rsidR="008E7503">
        <w:rPr>
          <w:b/>
          <w:bCs/>
        </w:rPr>
        <w:t xml:space="preserve"> (2) and</w:t>
      </w:r>
      <w:r w:rsidRPr="3238681A">
        <w:rPr>
          <w:b/>
          <w:bCs/>
        </w:rPr>
        <w:t xml:space="preserve"> (3)</w:t>
      </w:r>
    </w:p>
    <w:p w14:paraId="50C2C2C4" w14:textId="12429557" w:rsidR="001B74D9" w:rsidRDefault="00194CCC" w:rsidP="3238681A">
      <w:pPr>
        <w:rPr>
          <w:rFonts w:eastAsiaTheme="majorEastAsia" w:cstheme="majorBidi"/>
        </w:rPr>
      </w:pPr>
      <w:r w:rsidRPr="3238681A">
        <w:rPr>
          <w:rFonts w:eastAsiaTheme="majorEastAsia" w:cstheme="majorBidi"/>
        </w:rPr>
        <w:t>This clause amends section</w:t>
      </w:r>
      <w:r w:rsidR="008E7503">
        <w:rPr>
          <w:rFonts w:eastAsiaTheme="majorEastAsia" w:cstheme="majorBidi"/>
        </w:rPr>
        <w:t>s</w:t>
      </w:r>
      <w:r w:rsidRPr="3238681A">
        <w:rPr>
          <w:rFonts w:eastAsiaTheme="majorEastAsia" w:cstheme="majorBidi"/>
        </w:rPr>
        <w:t xml:space="preserve"> 56E </w:t>
      </w:r>
      <w:r w:rsidR="008E7503">
        <w:rPr>
          <w:rFonts w:eastAsiaTheme="majorEastAsia" w:cstheme="majorBidi"/>
        </w:rPr>
        <w:t xml:space="preserve">(2) and </w:t>
      </w:r>
      <w:r w:rsidRPr="3238681A">
        <w:rPr>
          <w:rFonts w:eastAsiaTheme="majorEastAsia" w:cstheme="majorBidi"/>
        </w:rPr>
        <w:t xml:space="preserve">(3) of the Public Health Act to provide that the registered people register must be made accessible to the public without charge </w:t>
      </w:r>
      <w:r w:rsidRPr="3238681A">
        <w:rPr>
          <w:rFonts w:eastAsiaTheme="majorEastAsia" w:cstheme="majorBidi"/>
        </w:rPr>
        <w:lastRenderedPageBreak/>
        <w:t xml:space="preserve">on an ACT government website, or by a link on an ACT government website. </w:t>
      </w:r>
      <w:r w:rsidR="004C1791" w:rsidRPr="3238681A">
        <w:rPr>
          <w:rFonts w:eastAsiaTheme="majorEastAsia" w:cstheme="majorBidi"/>
        </w:rPr>
        <w:t xml:space="preserve">The register </w:t>
      </w:r>
      <w:r w:rsidRPr="3238681A">
        <w:rPr>
          <w:rFonts w:eastAsiaTheme="majorEastAsia" w:cstheme="majorBidi"/>
        </w:rPr>
        <w:t>will also be available for inspection during ordinary business hours at an ACT Government office.</w:t>
      </w:r>
      <w:r w:rsidR="001B74D9" w:rsidRPr="3238681A">
        <w:rPr>
          <w:rFonts w:eastAsiaTheme="majorEastAsia" w:cstheme="majorBidi"/>
        </w:rPr>
        <w:t xml:space="preserve"> S</w:t>
      </w:r>
      <w:r w:rsidR="001B74D9">
        <w:t>ection 56E (</w:t>
      </w:r>
      <w:r w:rsidR="008E7503">
        <w:t>3</w:t>
      </w:r>
      <w:r w:rsidR="001B74D9">
        <w:t>) provide</w:t>
      </w:r>
      <w:r w:rsidR="004C1791">
        <w:t>s</w:t>
      </w:r>
      <w:r w:rsidR="001B74D9">
        <w:t xml:space="preserve"> that the Minister must not make information publicly available under this section if the Minister is satisfied that it is not in the public interest for the information to be publicly available</w:t>
      </w:r>
    </w:p>
    <w:p w14:paraId="367C66DF" w14:textId="7910BABB" w:rsidR="001B74D9" w:rsidRDefault="00194CCC" w:rsidP="001B74D9">
      <w:r w:rsidRPr="3238681A">
        <w:rPr>
          <w:rFonts w:eastAsiaTheme="majorEastAsia" w:cstheme="majorBidi"/>
        </w:rPr>
        <w:t>This enshrine</w:t>
      </w:r>
      <w:r w:rsidR="00AC566D" w:rsidRPr="3238681A">
        <w:rPr>
          <w:rFonts w:eastAsiaTheme="majorEastAsia" w:cstheme="majorBidi"/>
        </w:rPr>
        <w:t>s</w:t>
      </w:r>
      <w:r w:rsidRPr="3238681A">
        <w:rPr>
          <w:rFonts w:eastAsiaTheme="majorEastAsia" w:cstheme="majorBidi"/>
        </w:rPr>
        <w:t xml:space="preserve"> in legislation public accessibility to the register and standardises legislative language for public accessibility while still providing the authority to provide in-person access.</w:t>
      </w:r>
      <w:r w:rsidR="001B74D9" w:rsidRPr="3238681A">
        <w:rPr>
          <w:rFonts w:eastAsiaTheme="majorEastAsia" w:cstheme="majorBidi"/>
        </w:rPr>
        <w:t xml:space="preserve"> </w:t>
      </w:r>
      <w:r w:rsidR="001B74D9">
        <w:t>Providing the Minister with the power to exclude information not considered in the public interest ensure</w:t>
      </w:r>
      <w:r w:rsidR="004C1791">
        <w:t>s</w:t>
      </w:r>
      <w:r w:rsidR="001B74D9">
        <w:t xml:space="preserve"> privacy and safety protections.</w:t>
      </w:r>
    </w:p>
    <w:p w14:paraId="3CED0B73" w14:textId="43416924" w:rsidR="00FF38B3" w:rsidRDefault="00FF38B3" w:rsidP="00A00417">
      <w:pPr>
        <w:tabs>
          <w:tab w:val="left" w:pos="1276"/>
        </w:tabs>
        <w:rPr>
          <w:b/>
          <w:bCs/>
        </w:rPr>
      </w:pPr>
      <w:r w:rsidRPr="3238681A">
        <w:rPr>
          <w:b/>
          <w:bCs/>
        </w:rPr>
        <w:t xml:space="preserve">Clause </w:t>
      </w:r>
      <w:r w:rsidR="008439B5">
        <w:rPr>
          <w:b/>
          <w:bCs/>
        </w:rPr>
        <w:t>85</w:t>
      </w:r>
      <w:r w:rsidRPr="3238681A">
        <w:rPr>
          <w:b/>
          <w:bCs/>
        </w:rPr>
        <w:t xml:space="preserve">  Registration – application for approval of transfer Section 56M (2)</w:t>
      </w:r>
    </w:p>
    <w:p w14:paraId="0B7D3557" w14:textId="13E60351" w:rsidR="00470D8A" w:rsidRDefault="00470D8A" w:rsidP="00470D8A">
      <w:pPr>
        <w:tabs>
          <w:tab w:val="left" w:pos="1418"/>
        </w:tabs>
        <w:rPr>
          <w:b/>
          <w:bCs/>
        </w:rPr>
      </w:pPr>
      <w:r>
        <w:t>This clause remove</w:t>
      </w:r>
      <w:r w:rsidR="004C1791">
        <w:t>s</w:t>
      </w:r>
      <w:r>
        <w:t xml:space="preserve"> section 56M (2) which provides that an application for approval of a registration transfer must be accompanied by the registration certificate. </w:t>
      </w:r>
      <w:r w:rsidRPr="3238681A">
        <w:rPr>
          <w:rFonts w:eastAsiaTheme="majorEastAsia"/>
        </w:rPr>
        <w:t>This requirement will no longer be relevant as this Bill introduces amendments to the Public Health Act to make registered person registrations accessible electronically to the public. The removal of the requirement will reduce administrative burden for those with a registration.</w:t>
      </w:r>
    </w:p>
    <w:p w14:paraId="22B2E0C4" w14:textId="75F05A30" w:rsidR="00FF38B3" w:rsidRDefault="00FF38B3" w:rsidP="00A00417">
      <w:pPr>
        <w:tabs>
          <w:tab w:val="left" w:pos="1276"/>
        </w:tabs>
        <w:rPr>
          <w:b/>
          <w:bCs/>
        </w:rPr>
      </w:pPr>
      <w:r w:rsidRPr="3238681A">
        <w:rPr>
          <w:b/>
          <w:bCs/>
        </w:rPr>
        <w:t xml:space="preserve">Clause </w:t>
      </w:r>
      <w:r w:rsidR="008439B5">
        <w:rPr>
          <w:b/>
          <w:bCs/>
        </w:rPr>
        <w:t>86</w:t>
      </w:r>
      <w:r w:rsidRPr="3238681A">
        <w:rPr>
          <w:b/>
          <w:bCs/>
        </w:rPr>
        <w:t xml:space="preserve">  Registration – return of suspended or cancelled certificates Section 56R</w:t>
      </w:r>
    </w:p>
    <w:p w14:paraId="79A82A91" w14:textId="5C638D56" w:rsidR="004A6E5B" w:rsidRDefault="00470D8A" w:rsidP="3238681A">
      <w:pPr>
        <w:tabs>
          <w:tab w:val="left" w:pos="1418"/>
        </w:tabs>
        <w:rPr>
          <w:rFonts w:eastAsiaTheme="majorEastAsia"/>
        </w:rPr>
      </w:pPr>
      <w:r>
        <w:t>This clause remove</w:t>
      </w:r>
      <w:r w:rsidR="004C1791">
        <w:t>s</w:t>
      </w:r>
      <w:r>
        <w:t xml:space="preserve"> the requirement </w:t>
      </w:r>
      <w:r w:rsidR="004C1791">
        <w:t xml:space="preserve">under section 56R of the Public Health Act </w:t>
      </w:r>
      <w:r>
        <w:t xml:space="preserve">that a person whose registration is suspended or cancelled must not, without reasonable excuse, fail to return the registration certificate to the Minister within 7 days after the date of effect of the suspension or cancellation. </w:t>
      </w:r>
      <w:r w:rsidRPr="3238681A">
        <w:rPr>
          <w:rFonts w:eastAsiaTheme="majorEastAsia"/>
        </w:rPr>
        <w:t xml:space="preserve">Failure to do so carries a maximum penalty of 5 penalty units. </w:t>
      </w:r>
    </w:p>
    <w:p w14:paraId="2DD88507" w14:textId="6E2E19FE" w:rsidR="00470D8A" w:rsidRDefault="00470D8A" w:rsidP="00470D8A">
      <w:pPr>
        <w:tabs>
          <w:tab w:val="left" w:pos="1418"/>
        </w:tabs>
        <w:rPr>
          <w:b/>
          <w:bCs/>
        </w:rPr>
      </w:pPr>
      <w:r>
        <w:rPr>
          <w:rFonts w:eastAsiaTheme="majorEastAsia"/>
        </w:rPr>
        <w:t>This requirement will no longer be relevant as this Bill introduces amendments to the Public Health Act to make registered person registrations accessible electronically to the public. The removal of the requirement will reduce administrative burden for those with a registration.</w:t>
      </w:r>
    </w:p>
    <w:p w14:paraId="3F34F83C" w14:textId="612D15A7" w:rsidR="00FF38B3" w:rsidRDefault="00FF38B3" w:rsidP="00A00417">
      <w:pPr>
        <w:tabs>
          <w:tab w:val="left" w:pos="1276"/>
        </w:tabs>
        <w:rPr>
          <w:b/>
          <w:bCs/>
        </w:rPr>
      </w:pPr>
      <w:r>
        <w:rPr>
          <w:b/>
          <w:bCs/>
        </w:rPr>
        <w:t xml:space="preserve">Clause </w:t>
      </w:r>
      <w:r w:rsidR="008439B5">
        <w:rPr>
          <w:b/>
          <w:bCs/>
        </w:rPr>
        <w:t>87</w:t>
      </w:r>
      <w:r>
        <w:rPr>
          <w:b/>
          <w:bCs/>
        </w:rPr>
        <w:t xml:space="preserve">  Registration – surrender Section 56S (1)</w:t>
      </w:r>
    </w:p>
    <w:p w14:paraId="7AF5647D" w14:textId="367ECAA7" w:rsidR="00310DEC" w:rsidRDefault="00310DEC" w:rsidP="00310DEC">
      <w:pPr>
        <w:tabs>
          <w:tab w:val="left" w:pos="993"/>
          <w:tab w:val="left" w:pos="1276"/>
        </w:tabs>
        <w:rPr>
          <w:rFonts w:eastAsiaTheme="majorEastAsia"/>
        </w:rPr>
      </w:pPr>
      <w:r>
        <w:rPr>
          <w:rFonts w:eastAsiaTheme="majorEastAsia"/>
        </w:rPr>
        <w:t>This clause amends section 56S of the Public Health Act to remove the requirement that a registered person may surrender the registration at any time by returning the certificate of registration to the Minister with a written statement that the registration is surrendered. The clause substitutes a new requirement that the registered person must give written notice to the Minister to surrender the registration.</w:t>
      </w:r>
    </w:p>
    <w:p w14:paraId="331CFAEF" w14:textId="40E293E1" w:rsidR="00310DEC" w:rsidRDefault="00310DEC" w:rsidP="00310DEC">
      <w:pPr>
        <w:tabs>
          <w:tab w:val="left" w:pos="1276"/>
        </w:tabs>
        <w:rPr>
          <w:rFonts w:eastAsiaTheme="majorEastAsia"/>
        </w:rPr>
      </w:pPr>
      <w:r>
        <w:rPr>
          <w:rFonts w:eastAsiaTheme="majorEastAsia"/>
        </w:rPr>
        <w:t>A registered person will no longer need to surrender a physical registration as amendments to the Public Health Act will make the registered person’s registration accessible electronically to the public. The removal of this requirement will reduce administrative burden for those with a registration.</w:t>
      </w:r>
    </w:p>
    <w:p w14:paraId="12237284" w14:textId="402B7DFE" w:rsidR="00FF38B3" w:rsidRDefault="00FF38B3" w:rsidP="00A00417">
      <w:pPr>
        <w:tabs>
          <w:tab w:val="left" w:pos="1276"/>
        </w:tabs>
        <w:rPr>
          <w:b/>
          <w:bCs/>
        </w:rPr>
      </w:pPr>
      <w:r w:rsidRPr="3238681A">
        <w:rPr>
          <w:b/>
          <w:bCs/>
        </w:rPr>
        <w:lastRenderedPageBreak/>
        <w:t xml:space="preserve">Clause </w:t>
      </w:r>
      <w:r w:rsidR="008439B5">
        <w:rPr>
          <w:b/>
          <w:bCs/>
        </w:rPr>
        <w:t>88</w:t>
      </w:r>
      <w:r w:rsidRPr="3238681A">
        <w:rPr>
          <w:b/>
          <w:bCs/>
        </w:rPr>
        <w:t xml:space="preserve">  Section 56U</w:t>
      </w:r>
    </w:p>
    <w:p w14:paraId="37EAA6BF" w14:textId="6FC9335C" w:rsidR="00470D8A" w:rsidRPr="006E7699" w:rsidRDefault="00470D8A" w:rsidP="00470D8A">
      <w:pPr>
        <w:tabs>
          <w:tab w:val="left" w:pos="1276"/>
        </w:tabs>
      </w:pPr>
      <w:r>
        <w:t>This clause amend</w:t>
      </w:r>
      <w:r w:rsidR="004A6E5B">
        <w:t>s</w:t>
      </w:r>
      <w:r>
        <w:t xml:space="preserve"> the offence provision in relation to the inspection of a registered person where the registered activity is carried out. The penalty provision will remain but the amendment will improve the clarity of the legislation.</w:t>
      </w:r>
    </w:p>
    <w:p w14:paraId="209D32F8" w14:textId="22B462BF" w:rsidR="008E7503" w:rsidRDefault="008E7503" w:rsidP="008E7503">
      <w:pPr>
        <w:tabs>
          <w:tab w:val="left" w:pos="1276"/>
        </w:tabs>
        <w:rPr>
          <w:b/>
          <w:bCs/>
        </w:rPr>
      </w:pPr>
      <w:r w:rsidRPr="3238681A">
        <w:rPr>
          <w:b/>
          <w:bCs/>
        </w:rPr>
        <w:t xml:space="preserve">Clause </w:t>
      </w:r>
      <w:r w:rsidR="008439B5">
        <w:rPr>
          <w:b/>
          <w:bCs/>
        </w:rPr>
        <w:t>89</w:t>
      </w:r>
      <w:r w:rsidRPr="3238681A">
        <w:rPr>
          <w:b/>
          <w:bCs/>
        </w:rPr>
        <w:t xml:space="preserve">  </w:t>
      </w:r>
      <w:r>
        <w:rPr>
          <w:b/>
          <w:bCs/>
        </w:rPr>
        <w:t>Vending machine approval – return on surrender or cancellation Section 66S</w:t>
      </w:r>
    </w:p>
    <w:p w14:paraId="7C11B614" w14:textId="1B822EAF" w:rsidR="008E7503" w:rsidRDefault="008E7503" w:rsidP="008E7503">
      <w:pPr>
        <w:tabs>
          <w:tab w:val="left" w:pos="1276"/>
        </w:tabs>
        <w:rPr>
          <w:b/>
          <w:bCs/>
        </w:rPr>
      </w:pPr>
      <w:r>
        <w:t xml:space="preserve">This clause removes the offence provision in relation to returning a vending machine approval upon surrender or cancellation. This is considered an unnecessary burden on the person holding the approval. </w:t>
      </w:r>
    </w:p>
    <w:p w14:paraId="16831CA1" w14:textId="61D8C20F" w:rsidR="00FF38B3" w:rsidRPr="00FF38B3" w:rsidRDefault="00FF38B3" w:rsidP="3238681A">
      <w:pPr>
        <w:tabs>
          <w:tab w:val="left" w:pos="1276"/>
        </w:tabs>
        <w:rPr>
          <w:b/>
          <w:bCs/>
          <w:i/>
          <w:iCs/>
        </w:rPr>
      </w:pPr>
      <w:r w:rsidRPr="3238681A">
        <w:rPr>
          <w:b/>
          <w:bCs/>
        </w:rPr>
        <w:t xml:space="preserve">Clause </w:t>
      </w:r>
      <w:r w:rsidR="008439B5">
        <w:rPr>
          <w:b/>
          <w:bCs/>
        </w:rPr>
        <w:t>90</w:t>
      </w:r>
      <w:r w:rsidRPr="3238681A">
        <w:rPr>
          <w:b/>
          <w:bCs/>
        </w:rPr>
        <w:t xml:space="preserve">  Dictionary, definitions of </w:t>
      </w:r>
      <w:r w:rsidRPr="3238681A">
        <w:rPr>
          <w:b/>
          <w:bCs/>
          <w:i/>
          <w:iCs/>
        </w:rPr>
        <w:t>activity register</w:t>
      </w:r>
      <w:r w:rsidRPr="3238681A">
        <w:rPr>
          <w:b/>
          <w:bCs/>
        </w:rPr>
        <w:t xml:space="preserve"> and </w:t>
      </w:r>
      <w:r w:rsidRPr="3238681A">
        <w:rPr>
          <w:b/>
          <w:bCs/>
          <w:i/>
          <w:iCs/>
        </w:rPr>
        <w:t>registered people register</w:t>
      </w:r>
    </w:p>
    <w:p w14:paraId="78AD7DFF" w14:textId="4974570C" w:rsidR="00470D8A" w:rsidRDefault="00470D8A" w:rsidP="00470D8A">
      <w:pPr>
        <w:tabs>
          <w:tab w:val="left" w:pos="1134"/>
          <w:tab w:val="left" w:pos="1276"/>
          <w:tab w:val="left" w:pos="1418"/>
        </w:tabs>
      </w:pPr>
      <w:r>
        <w:t>This clause makes a minor amendment to remove the definition</w:t>
      </w:r>
      <w:r w:rsidR="00310DEC">
        <w:t>s</w:t>
      </w:r>
      <w:r>
        <w:t xml:space="preserve"> of </w:t>
      </w:r>
      <w:r w:rsidR="00310DEC" w:rsidRPr="3238681A">
        <w:rPr>
          <w:i/>
          <w:iCs/>
        </w:rPr>
        <w:t>activity register</w:t>
      </w:r>
      <w:r w:rsidR="00310DEC">
        <w:t xml:space="preserve"> and </w:t>
      </w:r>
      <w:r w:rsidR="00310DEC" w:rsidRPr="3238681A">
        <w:rPr>
          <w:i/>
          <w:iCs/>
        </w:rPr>
        <w:t>registered people register</w:t>
      </w:r>
      <w:r w:rsidR="004A6E5B" w:rsidRPr="3238681A">
        <w:rPr>
          <w:i/>
          <w:iCs/>
        </w:rPr>
        <w:t xml:space="preserve"> </w:t>
      </w:r>
      <w:r w:rsidR="004A6E5B">
        <w:t>from the Public Health Act</w:t>
      </w:r>
      <w:r>
        <w:t xml:space="preserve">. </w:t>
      </w:r>
      <w:r w:rsidR="00310DEC">
        <w:t>These a</w:t>
      </w:r>
      <w:r>
        <w:t>mendment</w:t>
      </w:r>
      <w:r w:rsidR="00310DEC">
        <w:t>s</w:t>
      </w:r>
      <w:r>
        <w:t xml:space="preserve"> align with the other amendments </w:t>
      </w:r>
      <w:r w:rsidR="004A6E5B">
        <w:t xml:space="preserve">to </w:t>
      </w:r>
      <w:r w:rsidR="00310DEC">
        <w:t>the Act</w:t>
      </w:r>
      <w:r>
        <w:t xml:space="preserve">. </w:t>
      </w:r>
    </w:p>
    <w:p w14:paraId="31C0BA2A" w14:textId="6C45AED0" w:rsidR="00063648" w:rsidRDefault="00063648" w:rsidP="00063648">
      <w:pPr>
        <w:tabs>
          <w:tab w:val="left" w:pos="1276"/>
        </w:tabs>
        <w:rPr>
          <w:rFonts w:eastAsiaTheme="majorEastAsia"/>
          <w:b/>
          <w:bCs/>
        </w:rPr>
      </w:pPr>
      <w:r>
        <w:rPr>
          <w:rFonts w:eastAsiaTheme="majorEastAsia"/>
          <w:b/>
          <w:bCs/>
        </w:rPr>
        <w:t xml:space="preserve">Part </w:t>
      </w:r>
      <w:r w:rsidR="00FF38B3">
        <w:rPr>
          <w:rFonts w:eastAsiaTheme="majorEastAsia"/>
          <w:b/>
          <w:bCs/>
        </w:rPr>
        <w:t>21</w:t>
      </w:r>
      <w:r>
        <w:rPr>
          <w:rFonts w:eastAsiaTheme="majorEastAsia"/>
          <w:b/>
          <w:bCs/>
        </w:rPr>
        <w:t xml:space="preserve">       Race and Sports Bookmaking Act 2001</w:t>
      </w:r>
    </w:p>
    <w:p w14:paraId="411F1C13" w14:textId="54B0E316" w:rsidR="00063648" w:rsidRDefault="00063648" w:rsidP="00063648">
      <w:pPr>
        <w:tabs>
          <w:tab w:val="left" w:pos="1276"/>
        </w:tabs>
        <w:rPr>
          <w:rFonts w:eastAsiaTheme="majorEastAsia"/>
          <w:b/>
          <w:bCs/>
        </w:rPr>
      </w:pPr>
      <w:r>
        <w:rPr>
          <w:rFonts w:eastAsiaTheme="majorEastAsia"/>
          <w:b/>
          <w:bCs/>
        </w:rPr>
        <w:t xml:space="preserve">Clause </w:t>
      </w:r>
      <w:r w:rsidR="008439B5">
        <w:rPr>
          <w:rFonts w:eastAsiaTheme="majorEastAsia"/>
          <w:b/>
          <w:bCs/>
        </w:rPr>
        <w:t>91</w:t>
      </w:r>
      <w:r>
        <w:rPr>
          <w:rFonts w:eastAsiaTheme="majorEastAsia"/>
          <w:b/>
          <w:bCs/>
        </w:rPr>
        <w:t xml:space="preserve">  Race bookmaking licence – entry of particulars in register Section 9</w:t>
      </w:r>
    </w:p>
    <w:p w14:paraId="75A5E6AB" w14:textId="41C75A5F" w:rsidR="00063648" w:rsidRDefault="00063648" w:rsidP="00063648">
      <w:pPr>
        <w:tabs>
          <w:tab w:val="left" w:pos="1276"/>
        </w:tabs>
        <w:rPr>
          <w:rFonts w:eastAsiaTheme="majorEastAsia"/>
        </w:rPr>
      </w:pPr>
      <w:r>
        <w:rPr>
          <w:rFonts w:eastAsiaTheme="majorEastAsia"/>
        </w:rPr>
        <w:t xml:space="preserve">This clause removes section 9 of the </w:t>
      </w:r>
      <w:r>
        <w:rPr>
          <w:rFonts w:eastAsiaTheme="majorEastAsia"/>
          <w:i/>
          <w:iCs/>
        </w:rPr>
        <w:t>Race and Sports Bookmaking Act 2001</w:t>
      </w:r>
      <w:r>
        <w:rPr>
          <w:rFonts w:eastAsiaTheme="majorEastAsia"/>
        </w:rPr>
        <w:t xml:space="preserve"> (Race and Sports Bookmaking Act)</w:t>
      </w:r>
      <w:r w:rsidR="0048544E">
        <w:rPr>
          <w:rFonts w:eastAsiaTheme="majorEastAsia"/>
        </w:rPr>
        <w:t xml:space="preserve"> that provides for the commission to enter particulars of a race bookmaking licence issued </w:t>
      </w:r>
      <w:r w:rsidR="0031046E">
        <w:rPr>
          <w:rFonts w:eastAsiaTheme="majorEastAsia"/>
        </w:rPr>
        <w:t xml:space="preserve">to a person </w:t>
      </w:r>
      <w:r w:rsidR="0048544E">
        <w:rPr>
          <w:rFonts w:eastAsiaTheme="majorEastAsia"/>
        </w:rPr>
        <w:t>into the register of licences</w:t>
      </w:r>
      <w:r>
        <w:rPr>
          <w:rFonts w:eastAsiaTheme="majorEastAsia"/>
        </w:rPr>
        <w:t xml:space="preserve">. </w:t>
      </w:r>
    </w:p>
    <w:p w14:paraId="66AFC086" w14:textId="6EBA5800" w:rsidR="0048544E" w:rsidRDefault="0048544E" w:rsidP="00063648">
      <w:pPr>
        <w:tabs>
          <w:tab w:val="left" w:pos="1276"/>
        </w:tabs>
        <w:rPr>
          <w:rFonts w:eastAsiaTheme="majorEastAsia"/>
        </w:rPr>
      </w:pPr>
      <w:r>
        <w:rPr>
          <w:rFonts w:eastAsiaTheme="majorEastAsia"/>
        </w:rPr>
        <w:t>This amendment aligns with the removal of the requirement for the commission to keep a register of licences</w:t>
      </w:r>
      <w:r w:rsidR="00DC33CB">
        <w:rPr>
          <w:rFonts w:eastAsiaTheme="majorEastAsia"/>
        </w:rPr>
        <w:t xml:space="preserve"> from this Act</w:t>
      </w:r>
      <w:r>
        <w:rPr>
          <w:rFonts w:eastAsiaTheme="majorEastAsia"/>
        </w:rPr>
        <w:t>.</w:t>
      </w:r>
      <w:r w:rsidR="00C65012">
        <w:rPr>
          <w:rFonts w:eastAsiaTheme="majorEastAsia"/>
        </w:rPr>
        <w:t xml:space="preserve"> The register will now be administered by the </w:t>
      </w:r>
      <w:r w:rsidR="00C65012" w:rsidRPr="00C65012">
        <w:rPr>
          <w:rFonts w:eastAsiaTheme="majorEastAsia"/>
          <w:i/>
          <w:iCs/>
        </w:rPr>
        <w:t>Gambling and Racing Control Act 1999</w:t>
      </w:r>
      <w:r w:rsidR="00C65012">
        <w:rPr>
          <w:rFonts w:eastAsiaTheme="majorEastAsia"/>
        </w:rPr>
        <w:t>.</w:t>
      </w:r>
    </w:p>
    <w:p w14:paraId="2DD0176E" w14:textId="422A1F9E" w:rsidR="008C137D" w:rsidRDefault="008C137D" w:rsidP="008C137D">
      <w:pPr>
        <w:tabs>
          <w:tab w:val="left" w:pos="1276"/>
        </w:tabs>
        <w:rPr>
          <w:rFonts w:eastAsiaTheme="majorEastAsia"/>
          <w:b/>
          <w:bCs/>
        </w:rPr>
      </w:pPr>
      <w:r>
        <w:rPr>
          <w:rFonts w:eastAsiaTheme="majorEastAsia"/>
          <w:b/>
          <w:bCs/>
        </w:rPr>
        <w:t xml:space="preserve">Clause </w:t>
      </w:r>
      <w:r w:rsidR="008439B5">
        <w:rPr>
          <w:rFonts w:eastAsiaTheme="majorEastAsia"/>
          <w:b/>
          <w:bCs/>
        </w:rPr>
        <w:t>92</w:t>
      </w:r>
      <w:r>
        <w:rPr>
          <w:rFonts w:eastAsiaTheme="majorEastAsia"/>
          <w:b/>
          <w:bCs/>
        </w:rPr>
        <w:t xml:space="preserve">  Race bookmaker’s agent licence – issue or refusal New section 13 (7)</w:t>
      </w:r>
    </w:p>
    <w:p w14:paraId="5F620BB4" w14:textId="679BA209" w:rsidR="008C137D" w:rsidRDefault="008C137D" w:rsidP="008C137D">
      <w:pPr>
        <w:tabs>
          <w:tab w:val="left" w:pos="1276"/>
        </w:tabs>
        <w:rPr>
          <w:rFonts w:eastAsiaTheme="majorEastAsia"/>
          <w:b/>
          <w:bCs/>
        </w:rPr>
      </w:pPr>
      <w:r>
        <w:rPr>
          <w:rFonts w:eastAsiaTheme="majorEastAsia"/>
        </w:rPr>
        <w:t>This clause inserts a new section 13 (7) to provide that if the commission issues a race bookmaker’s agent licence to the nominated person, the commission must also give a copy of the licence to the applicant.</w:t>
      </w:r>
    </w:p>
    <w:p w14:paraId="712AD6B8" w14:textId="3F7D633A" w:rsidR="008C137D" w:rsidRDefault="00C607DE" w:rsidP="008C137D">
      <w:pPr>
        <w:tabs>
          <w:tab w:val="left" w:pos="1276"/>
        </w:tabs>
        <w:rPr>
          <w:rFonts w:eastAsiaTheme="majorEastAsia"/>
          <w:b/>
          <w:bCs/>
        </w:rPr>
      </w:pPr>
      <w:r>
        <w:rPr>
          <w:rFonts w:eastAsiaTheme="majorEastAsia"/>
          <w:b/>
          <w:bCs/>
        </w:rPr>
        <w:t xml:space="preserve">Clause </w:t>
      </w:r>
      <w:r w:rsidR="008439B5">
        <w:rPr>
          <w:rFonts w:eastAsiaTheme="majorEastAsia"/>
          <w:b/>
          <w:bCs/>
        </w:rPr>
        <w:t>93</w:t>
      </w:r>
      <w:r>
        <w:rPr>
          <w:rFonts w:eastAsiaTheme="majorEastAsia"/>
          <w:b/>
          <w:bCs/>
        </w:rPr>
        <w:t xml:space="preserve">  </w:t>
      </w:r>
      <w:r w:rsidR="008C137D">
        <w:rPr>
          <w:rFonts w:eastAsiaTheme="majorEastAsia"/>
          <w:b/>
          <w:bCs/>
        </w:rPr>
        <w:t>Race bookmaker’s agent licence – entry of particulars in register etc Section 15</w:t>
      </w:r>
    </w:p>
    <w:p w14:paraId="51246DF9" w14:textId="36570937" w:rsidR="008C137D" w:rsidRDefault="008C137D" w:rsidP="008C137D">
      <w:pPr>
        <w:tabs>
          <w:tab w:val="left" w:pos="1276"/>
        </w:tabs>
        <w:rPr>
          <w:rFonts w:eastAsiaTheme="majorEastAsia"/>
        </w:rPr>
      </w:pPr>
      <w:r>
        <w:rPr>
          <w:rFonts w:eastAsiaTheme="majorEastAsia"/>
        </w:rPr>
        <w:t xml:space="preserve">This clause removes section 15 of the Race and Sports Bookmaking Act that provides for the commission to enter particulars of a race bookmaker’s agent licence issued to a person into the register of licences. </w:t>
      </w:r>
    </w:p>
    <w:p w14:paraId="7D9BBAFA" w14:textId="77777777" w:rsidR="008C137D" w:rsidRDefault="008C137D" w:rsidP="008C137D">
      <w:pPr>
        <w:tabs>
          <w:tab w:val="left" w:pos="1276"/>
        </w:tabs>
        <w:rPr>
          <w:rFonts w:eastAsiaTheme="majorEastAsia"/>
        </w:rPr>
      </w:pPr>
      <w:r>
        <w:rPr>
          <w:rFonts w:eastAsiaTheme="majorEastAsia"/>
        </w:rPr>
        <w:t xml:space="preserve">This amendment aligns with the removal of the requirement for the commission to keep a register of licences from this Act. The register will now be administered by the </w:t>
      </w:r>
      <w:r w:rsidRPr="00C65012">
        <w:rPr>
          <w:rFonts w:eastAsiaTheme="majorEastAsia"/>
          <w:i/>
          <w:iCs/>
        </w:rPr>
        <w:t>Gambling and Racing Control Act 1999</w:t>
      </w:r>
      <w:r>
        <w:rPr>
          <w:rFonts w:eastAsiaTheme="majorEastAsia"/>
        </w:rPr>
        <w:t>.</w:t>
      </w:r>
    </w:p>
    <w:p w14:paraId="51B96C3F" w14:textId="2161BE09" w:rsidR="00C607DE" w:rsidRDefault="00C607DE" w:rsidP="3238681A">
      <w:pPr>
        <w:tabs>
          <w:tab w:val="left" w:pos="1276"/>
        </w:tabs>
        <w:rPr>
          <w:rFonts w:eastAsiaTheme="majorEastAsia"/>
          <w:b/>
          <w:bCs/>
        </w:rPr>
      </w:pPr>
      <w:r w:rsidRPr="3238681A">
        <w:rPr>
          <w:rFonts w:eastAsiaTheme="majorEastAsia"/>
          <w:b/>
          <w:bCs/>
        </w:rPr>
        <w:lastRenderedPageBreak/>
        <w:t xml:space="preserve">Clause </w:t>
      </w:r>
      <w:r w:rsidR="008439B5">
        <w:rPr>
          <w:rFonts w:eastAsiaTheme="majorEastAsia"/>
          <w:b/>
          <w:bCs/>
        </w:rPr>
        <w:t>94</w:t>
      </w:r>
      <w:r w:rsidRPr="3238681A">
        <w:rPr>
          <w:rFonts w:eastAsiaTheme="majorEastAsia"/>
          <w:b/>
          <w:bCs/>
        </w:rPr>
        <w:t xml:space="preserve">  Sports bookmaking licence – entry of particulars in register Section 28</w:t>
      </w:r>
    </w:p>
    <w:p w14:paraId="1F0BC7FC" w14:textId="1717852E" w:rsidR="0031046E" w:rsidRDefault="004F4B9D" w:rsidP="0031046E">
      <w:pPr>
        <w:tabs>
          <w:tab w:val="left" w:pos="1276"/>
        </w:tabs>
        <w:rPr>
          <w:rFonts w:eastAsiaTheme="majorEastAsia"/>
        </w:rPr>
      </w:pPr>
      <w:r>
        <w:rPr>
          <w:rFonts w:eastAsiaTheme="majorEastAsia"/>
        </w:rPr>
        <w:t xml:space="preserve">This clause </w:t>
      </w:r>
      <w:r w:rsidR="0031046E">
        <w:rPr>
          <w:rFonts w:eastAsiaTheme="majorEastAsia"/>
        </w:rPr>
        <w:t>removes section 28 of the Race and Sports Bookmaking Act which provides for the commission</w:t>
      </w:r>
      <w:r w:rsidR="0031046E" w:rsidRPr="0031046E">
        <w:rPr>
          <w:rFonts w:eastAsiaTheme="majorEastAsia"/>
        </w:rPr>
        <w:t xml:space="preserve"> </w:t>
      </w:r>
      <w:r w:rsidR="0031046E">
        <w:rPr>
          <w:rFonts w:eastAsiaTheme="majorEastAsia"/>
        </w:rPr>
        <w:t xml:space="preserve">to enter particulars of a </w:t>
      </w:r>
      <w:r w:rsidR="008C137D">
        <w:rPr>
          <w:rFonts w:eastAsiaTheme="majorEastAsia"/>
        </w:rPr>
        <w:t>sports</w:t>
      </w:r>
      <w:r w:rsidR="0031046E">
        <w:rPr>
          <w:rFonts w:eastAsiaTheme="majorEastAsia"/>
        </w:rPr>
        <w:t xml:space="preserve"> bookmaking licence into the register of licences. </w:t>
      </w:r>
    </w:p>
    <w:p w14:paraId="754AB7A1" w14:textId="77777777" w:rsidR="008C137D" w:rsidRDefault="0031046E" w:rsidP="008C137D">
      <w:pPr>
        <w:tabs>
          <w:tab w:val="left" w:pos="1276"/>
        </w:tabs>
        <w:rPr>
          <w:rFonts w:eastAsiaTheme="majorEastAsia"/>
        </w:rPr>
      </w:pPr>
      <w:r w:rsidRPr="3238681A">
        <w:rPr>
          <w:rFonts w:eastAsiaTheme="majorEastAsia"/>
        </w:rPr>
        <w:t>This amendment aligns with the removal of the requirement for the commission to keep a register of licences</w:t>
      </w:r>
      <w:r w:rsidR="00DC33CB" w:rsidRPr="3238681A">
        <w:rPr>
          <w:rFonts w:eastAsiaTheme="majorEastAsia"/>
        </w:rPr>
        <w:t xml:space="preserve"> from this Act</w:t>
      </w:r>
      <w:r w:rsidRPr="3238681A">
        <w:rPr>
          <w:rFonts w:eastAsiaTheme="majorEastAsia"/>
        </w:rPr>
        <w:t>.</w:t>
      </w:r>
      <w:r w:rsidR="008C137D">
        <w:rPr>
          <w:rFonts w:eastAsiaTheme="majorEastAsia"/>
        </w:rPr>
        <w:t xml:space="preserve"> The register will now be administered by the </w:t>
      </w:r>
      <w:r w:rsidR="008C137D" w:rsidRPr="00C65012">
        <w:rPr>
          <w:rFonts w:eastAsiaTheme="majorEastAsia"/>
          <w:i/>
          <w:iCs/>
        </w:rPr>
        <w:t>Gambling and Racing Control Act 1999</w:t>
      </w:r>
      <w:r w:rsidR="008C137D">
        <w:rPr>
          <w:rFonts w:eastAsiaTheme="majorEastAsia"/>
        </w:rPr>
        <w:t>.</w:t>
      </w:r>
    </w:p>
    <w:p w14:paraId="0C58662E" w14:textId="35D739CA" w:rsidR="008C137D" w:rsidRDefault="008C137D" w:rsidP="008C137D">
      <w:pPr>
        <w:tabs>
          <w:tab w:val="left" w:pos="1276"/>
        </w:tabs>
        <w:rPr>
          <w:rFonts w:eastAsiaTheme="majorEastAsia"/>
          <w:b/>
          <w:bCs/>
        </w:rPr>
      </w:pPr>
      <w:r>
        <w:rPr>
          <w:rFonts w:eastAsiaTheme="majorEastAsia"/>
          <w:b/>
          <w:bCs/>
        </w:rPr>
        <w:t xml:space="preserve">Clause </w:t>
      </w:r>
      <w:r w:rsidR="008439B5">
        <w:rPr>
          <w:rFonts w:eastAsiaTheme="majorEastAsia"/>
          <w:b/>
          <w:bCs/>
        </w:rPr>
        <w:t>95</w:t>
      </w:r>
      <w:r>
        <w:rPr>
          <w:rFonts w:eastAsiaTheme="majorEastAsia"/>
          <w:b/>
          <w:bCs/>
        </w:rPr>
        <w:t xml:space="preserve">  Issue or refusal of sports bookmaker’s agent licence New section 35 (5A)</w:t>
      </w:r>
    </w:p>
    <w:p w14:paraId="3654B732" w14:textId="382A97E4" w:rsidR="008C137D" w:rsidRDefault="008C137D" w:rsidP="008C137D">
      <w:pPr>
        <w:tabs>
          <w:tab w:val="left" w:pos="1276"/>
        </w:tabs>
        <w:rPr>
          <w:rFonts w:eastAsiaTheme="majorEastAsia"/>
          <w:b/>
          <w:bCs/>
        </w:rPr>
      </w:pPr>
      <w:r>
        <w:rPr>
          <w:rFonts w:eastAsiaTheme="majorEastAsia"/>
        </w:rPr>
        <w:t>This clause inserts a new section 35 (5A) to provide that if the commission issues a sports bookmaker’s agent licence to the nominated person, the commission must also give a copy of the licence to the applicant.</w:t>
      </w:r>
    </w:p>
    <w:p w14:paraId="2EBBB790" w14:textId="317A8745" w:rsidR="00C607DE" w:rsidRDefault="00C607DE" w:rsidP="3238681A">
      <w:pPr>
        <w:tabs>
          <w:tab w:val="left" w:pos="1276"/>
        </w:tabs>
        <w:rPr>
          <w:rFonts w:eastAsiaTheme="majorEastAsia"/>
          <w:b/>
          <w:bCs/>
        </w:rPr>
      </w:pPr>
      <w:r w:rsidRPr="3238681A">
        <w:rPr>
          <w:rFonts w:eastAsiaTheme="majorEastAsia"/>
          <w:b/>
          <w:bCs/>
        </w:rPr>
        <w:t xml:space="preserve">Clause </w:t>
      </w:r>
      <w:r w:rsidR="008439B5">
        <w:rPr>
          <w:rFonts w:eastAsiaTheme="majorEastAsia"/>
          <w:b/>
          <w:bCs/>
        </w:rPr>
        <w:t>96</w:t>
      </w:r>
      <w:r w:rsidRPr="3238681A">
        <w:rPr>
          <w:rFonts w:eastAsiaTheme="majorEastAsia"/>
          <w:b/>
          <w:bCs/>
        </w:rPr>
        <w:t xml:space="preserve">  </w:t>
      </w:r>
      <w:r w:rsidR="008C137D">
        <w:rPr>
          <w:rFonts w:eastAsiaTheme="majorEastAsia"/>
          <w:b/>
          <w:bCs/>
        </w:rPr>
        <w:t xml:space="preserve">Sports bookmaker’s agent licence – entry of particulars in register etc </w:t>
      </w:r>
      <w:r w:rsidRPr="3238681A">
        <w:rPr>
          <w:rFonts w:eastAsiaTheme="majorEastAsia"/>
          <w:b/>
          <w:bCs/>
        </w:rPr>
        <w:t>Section 37</w:t>
      </w:r>
    </w:p>
    <w:p w14:paraId="7F5EEC77" w14:textId="61E10133" w:rsidR="00D75D7F" w:rsidRDefault="0031046E" w:rsidP="3238681A">
      <w:pPr>
        <w:tabs>
          <w:tab w:val="left" w:pos="1276"/>
        </w:tabs>
        <w:rPr>
          <w:rFonts w:eastAsiaTheme="majorEastAsia"/>
        </w:rPr>
      </w:pPr>
      <w:r w:rsidRPr="3238681A">
        <w:rPr>
          <w:rFonts w:eastAsiaTheme="majorEastAsia"/>
        </w:rPr>
        <w:t xml:space="preserve">This clause </w:t>
      </w:r>
      <w:r w:rsidR="008C137D">
        <w:rPr>
          <w:rFonts w:eastAsiaTheme="majorEastAsia"/>
        </w:rPr>
        <w:t>removes</w:t>
      </w:r>
      <w:r w:rsidRPr="3238681A">
        <w:rPr>
          <w:rFonts w:eastAsiaTheme="majorEastAsia"/>
        </w:rPr>
        <w:t xml:space="preserve"> section 37 of the Race and Sports Bookmaking Act </w:t>
      </w:r>
      <w:r w:rsidR="00D75D7F" w:rsidRPr="3238681A">
        <w:rPr>
          <w:rFonts w:eastAsiaTheme="majorEastAsia"/>
        </w:rPr>
        <w:t xml:space="preserve">to remove the requirement for the commission to enter particulars of a sports bookmaker’s agent licence issued to a person into the register of licences. </w:t>
      </w:r>
    </w:p>
    <w:p w14:paraId="37F439C7" w14:textId="77777777" w:rsidR="008C137D" w:rsidRDefault="008C137D" w:rsidP="008C137D">
      <w:pPr>
        <w:tabs>
          <w:tab w:val="left" w:pos="1276"/>
        </w:tabs>
        <w:rPr>
          <w:rFonts w:eastAsiaTheme="majorEastAsia"/>
        </w:rPr>
      </w:pPr>
      <w:r w:rsidRPr="3238681A">
        <w:rPr>
          <w:rFonts w:eastAsiaTheme="majorEastAsia"/>
        </w:rPr>
        <w:t>This amendment aligns with the removal of the requirement for the commission to keep a register of licences from this Act.</w:t>
      </w:r>
      <w:r>
        <w:rPr>
          <w:rFonts w:eastAsiaTheme="majorEastAsia"/>
        </w:rPr>
        <w:t xml:space="preserve"> The register will now be administered by the </w:t>
      </w:r>
      <w:r w:rsidRPr="00C65012">
        <w:rPr>
          <w:rFonts w:eastAsiaTheme="majorEastAsia"/>
          <w:i/>
          <w:iCs/>
        </w:rPr>
        <w:t>Gambling and Racing Control Act 1999</w:t>
      </w:r>
      <w:r>
        <w:rPr>
          <w:rFonts w:eastAsiaTheme="majorEastAsia"/>
        </w:rPr>
        <w:t>.</w:t>
      </w:r>
    </w:p>
    <w:p w14:paraId="217A5F2A" w14:textId="79DB1830" w:rsidR="00C607DE" w:rsidRDefault="00C607DE" w:rsidP="3238681A">
      <w:pPr>
        <w:tabs>
          <w:tab w:val="left" w:pos="1276"/>
        </w:tabs>
        <w:rPr>
          <w:rFonts w:eastAsiaTheme="majorEastAsia"/>
          <w:b/>
          <w:bCs/>
        </w:rPr>
      </w:pPr>
      <w:r w:rsidRPr="3238681A">
        <w:rPr>
          <w:rFonts w:eastAsiaTheme="majorEastAsia"/>
          <w:b/>
          <w:bCs/>
        </w:rPr>
        <w:t xml:space="preserve">Clause </w:t>
      </w:r>
      <w:r w:rsidR="008439B5">
        <w:rPr>
          <w:rFonts w:eastAsiaTheme="majorEastAsia"/>
          <w:b/>
          <w:bCs/>
        </w:rPr>
        <w:t>97</w:t>
      </w:r>
      <w:r w:rsidRPr="3238681A">
        <w:rPr>
          <w:rFonts w:eastAsiaTheme="majorEastAsia"/>
          <w:b/>
          <w:bCs/>
        </w:rPr>
        <w:t xml:space="preserve">  Commission to keep register Section 89</w:t>
      </w:r>
    </w:p>
    <w:p w14:paraId="75BF2977" w14:textId="1E12352A" w:rsidR="00D75D7F" w:rsidRPr="00D75D7F" w:rsidRDefault="00D75D7F" w:rsidP="3238681A">
      <w:pPr>
        <w:tabs>
          <w:tab w:val="left" w:pos="1276"/>
        </w:tabs>
        <w:rPr>
          <w:rFonts w:eastAsiaTheme="majorEastAsia"/>
        </w:rPr>
      </w:pPr>
      <w:r w:rsidRPr="3238681A">
        <w:rPr>
          <w:rFonts w:eastAsiaTheme="majorEastAsia"/>
        </w:rPr>
        <w:t>This clause removes section 89 of the Race and Sports Bookmaking Act which provides that the commission must keep a register of licences.</w:t>
      </w:r>
      <w:r w:rsidR="00DC33CB" w:rsidRPr="3238681A">
        <w:rPr>
          <w:rFonts w:eastAsiaTheme="majorEastAsia"/>
        </w:rPr>
        <w:t xml:space="preserve"> The Bill provide</w:t>
      </w:r>
      <w:r w:rsidR="00C27756" w:rsidRPr="3238681A">
        <w:rPr>
          <w:rFonts w:eastAsiaTheme="majorEastAsia"/>
        </w:rPr>
        <w:t>s</w:t>
      </w:r>
      <w:r w:rsidR="00DC33CB" w:rsidRPr="3238681A">
        <w:rPr>
          <w:rFonts w:eastAsiaTheme="majorEastAsia"/>
        </w:rPr>
        <w:t xml:space="preserve"> for the register to be administered within the </w:t>
      </w:r>
      <w:r w:rsidR="00DC33CB" w:rsidRPr="3238681A">
        <w:rPr>
          <w:rFonts w:eastAsiaTheme="majorEastAsia"/>
          <w:i/>
          <w:iCs/>
        </w:rPr>
        <w:t>Gambling and Racing Control Act 1999</w:t>
      </w:r>
      <w:r w:rsidR="00DC33CB" w:rsidRPr="3238681A">
        <w:rPr>
          <w:rFonts w:eastAsiaTheme="majorEastAsia"/>
        </w:rPr>
        <w:t xml:space="preserve"> which is considered a more appropriate legislative framework for the administration of licences. </w:t>
      </w:r>
    </w:p>
    <w:p w14:paraId="2C3732E1" w14:textId="07529A21" w:rsidR="00C607DE" w:rsidRDefault="00C607DE" w:rsidP="00063648">
      <w:pPr>
        <w:tabs>
          <w:tab w:val="left" w:pos="1276"/>
        </w:tabs>
        <w:rPr>
          <w:rFonts w:eastAsiaTheme="majorEastAsia"/>
          <w:b/>
          <w:bCs/>
        </w:rPr>
      </w:pPr>
      <w:r>
        <w:rPr>
          <w:rFonts w:eastAsiaTheme="majorEastAsia"/>
          <w:b/>
          <w:bCs/>
        </w:rPr>
        <w:t xml:space="preserve">Clause </w:t>
      </w:r>
      <w:r w:rsidR="008439B5">
        <w:rPr>
          <w:rFonts w:eastAsiaTheme="majorEastAsia"/>
          <w:b/>
          <w:bCs/>
        </w:rPr>
        <w:t>98</w:t>
      </w:r>
      <w:r>
        <w:rPr>
          <w:rFonts w:eastAsiaTheme="majorEastAsia"/>
          <w:b/>
          <w:bCs/>
        </w:rPr>
        <w:t xml:space="preserve">  Dictionary, definition of register</w:t>
      </w:r>
    </w:p>
    <w:p w14:paraId="034A915B" w14:textId="724249CD" w:rsidR="007505FB" w:rsidRPr="00D75D7F" w:rsidRDefault="00D75D7F" w:rsidP="00063648">
      <w:pPr>
        <w:tabs>
          <w:tab w:val="left" w:pos="1276"/>
        </w:tabs>
        <w:rPr>
          <w:rFonts w:eastAsiaTheme="majorEastAsia"/>
        </w:rPr>
      </w:pPr>
      <w:r>
        <w:rPr>
          <w:rFonts w:eastAsiaTheme="majorEastAsia"/>
        </w:rPr>
        <w:t xml:space="preserve">This clause </w:t>
      </w:r>
      <w:r w:rsidR="008C137D">
        <w:rPr>
          <w:rFonts w:eastAsiaTheme="majorEastAsia"/>
        </w:rPr>
        <w:t>amends</w:t>
      </w:r>
      <w:r>
        <w:rPr>
          <w:rFonts w:eastAsiaTheme="majorEastAsia"/>
        </w:rPr>
        <w:t xml:space="preserve"> the Dictionary in the Race and Sports Bookmaking Act to remove the definition of </w:t>
      </w:r>
      <w:r w:rsidRPr="00FF38B3">
        <w:rPr>
          <w:rFonts w:eastAsiaTheme="majorEastAsia"/>
          <w:i/>
          <w:iCs/>
        </w:rPr>
        <w:t>register</w:t>
      </w:r>
      <w:r>
        <w:rPr>
          <w:rFonts w:eastAsiaTheme="majorEastAsia"/>
        </w:rPr>
        <w:t>. This amendment aligns with the removal of the requirement for the commission to keep a register of licences</w:t>
      </w:r>
      <w:r w:rsidR="005874BE">
        <w:rPr>
          <w:rFonts w:eastAsiaTheme="majorEastAsia"/>
        </w:rPr>
        <w:t xml:space="preserve"> from this Act</w:t>
      </w:r>
      <w:r>
        <w:rPr>
          <w:rFonts w:eastAsiaTheme="majorEastAsia"/>
        </w:rPr>
        <w:t>.</w:t>
      </w:r>
    </w:p>
    <w:p w14:paraId="562969FA" w14:textId="554867C7" w:rsidR="007505FB" w:rsidRDefault="007505FB" w:rsidP="007505FB">
      <w:pPr>
        <w:tabs>
          <w:tab w:val="left" w:pos="1276"/>
        </w:tabs>
        <w:rPr>
          <w:rFonts w:eastAsiaTheme="majorEastAsia"/>
          <w:b/>
          <w:bCs/>
        </w:rPr>
      </w:pPr>
      <w:r>
        <w:rPr>
          <w:rFonts w:eastAsiaTheme="majorEastAsia"/>
          <w:b/>
          <w:bCs/>
        </w:rPr>
        <w:t xml:space="preserve">Part </w:t>
      </w:r>
      <w:r w:rsidR="00FF38B3">
        <w:rPr>
          <w:rFonts w:eastAsiaTheme="majorEastAsia"/>
          <w:b/>
          <w:bCs/>
        </w:rPr>
        <w:t>22</w:t>
      </w:r>
      <w:r>
        <w:rPr>
          <w:rFonts w:eastAsiaTheme="majorEastAsia"/>
          <w:b/>
          <w:bCs/>
        </w:rPr>
        <w:t xml:space="preserve">       Race and Sports Bookmaking Regulation 2001</w:t>
      </w:r>
    </w:p>
    <w:p w14:paraId="5FDD7EED" w14:textId="77381568" w:rsidR="007505FB" w:rsidRDefault="007505FB" w:rsidP="3238681A">
      <w:pPr>
        <w:tabs>
          <w:tab w:val="left" w:pos="1276"/>
        </w:tabs>
        <w:rPr>
          <w:rFonts w:eastAsiaTheme="majorEastAsia"/>
          <w:b/>
          <w:bCs/>
        </w:rPr>
      </w:pPr>
      <w:r w:rsidRPr="3238681A">
        <w:rPr>
          <w:rFonts w:eastAsiaTheme="majorEastAsia"/>
          <w:b/>
          <w:bCs/>
        </w:rPr>
        <w:t xml:space="preserve">Clause </w:t>
      </w:r>
      <w:r w:rsidR="008439B5">
        <w:rPr>
          <w:rFonts w:eastAsiaTheme="majorEastAsia"/>
          <w:b/>
          <w:bCs/>
        </w:rPr>
        <w:t>99</w:t>
      </w:r>
      <w:r w:rsidRPr="3238681A">
        <w:rPr>
          <w:rFonts w:eastAsiaTheme="majorEastAsia"/>
          <w:b/>
          <w:bCs/>
        </w:rPr>
        <w:t xml:space="preserve">  Sections 2 to 4</w:t>
      </w:r>
    </w:p>
    <w:p w14:paraId="5168B787" w14:textId="28F23BF2" w:rsidR="007505FB" w:rsidRDefault="007505FB" w:rsidP="007505FB">
      <w:pPr>
        <w:tabs>
          <w:tab w:val="left" w:pos="1134"/>
          <w:tab w:val="left" w:pos="1276"/>
        </w:tabs>
        <w:rPr>
          <w:rFonts w:eastAsiaTheme="majorEastAsia"/>
        </w:rPr>
      </w:pPr>
      <w:r>
        <w:rPr>
          <w:rFonts w:eastAsiaTheme="majorEastAsia"/>
        </w:rPr>
        <w:t xml:space="preserve">This clause removes sections 2 to 4 of the </w:t>
      </w:r>
      <w:r>
        <w:rPr>
          <w:rFonts w:eastAsiaTheme="majorEastAsia"/>
          <w:i/>
          <w:iCs/>
        </w:rPr>
        <w:t>Race and Sports Bookmaking Regulation 2001</w:t>
      </w:r>
      <w:r w:rsidR="00D75D7F">
        <w:rPr>
          <w:rFonts w:eastAsiaTheme="majorEastAsia"/>
          <w:i/>
          <w:iCs/>
        </w:rPr>
        <w:t xml:space="preserve"> </w:t>
      </w:r>
      <w:r w:rsidR="00D75D7F">
        <w:rPr>
          <w:rFonts w:eastAsiaTheme="majorEastAsia"/>
        </w:rPr>
        <w:t>which outline prescribed particulars to be entered into the register</w:t>
      </w:r>
      <w:r>
        <w:rPr>
          <w:rFonts w:eastAsiaTheme="majorEastAsia"/>
        </w:rPr>
        <w:t>.</w:t>
      </w:r>
    </w:p>
    <w:p w14:paraId="4657C17B" w14:textId="000D37B1" w:rsidR="00535689" w:rsidRPr="00D75D7F" w:rsidRDefault="00D75D7F" w:rsidP="3238681A">
      <w:pPr>
        <w:tabs>
          <w:tab w:val="left" w:pos="1276"/>
        </w:tabs>
        <w:rPr>
          <w:rFonts w:eastAsiaTheme="majorEastAsia"/>
        </w:rPr>
      </w:pPr>
      <w:r w:rsidRPr="3238681A">
        <w:rPr>
          <w:rFonts w:eastAsiaTheme="majorEastAsia"/>
        </w:rPr>
        <w:lastRenderedPageBreak/>
        <w:t>This amendment aligns with the removal of the requirement for the commission to keep a register of licences</w:t>
      </w:r>
      <w:r w:rsidR="005874BE" w:rsidRPr="3238681A">
        <w:rPr>
          <w:rFonts w:eastAsiaTheme="majorEastAsia"/>
        </w:rPr>
        <w:t xml:space="preserve"> from the Race and Sports Bookmaking Act</w:t>
      </w:r>
      <w:r w:rsidRPr="3238681A">
        <w:rPr>
          <w:rFonts w:eastAsiaTheme="majorEastAsia"/>
        </w:rPr>
        <w:t>.</w:t>
      </w:r>
      <w:r w:rsidR="00535689" w:rsidRPr="3238681A">
        <w:rPr>
          <w:rFonts w:eastAsiaTheme="majorEastAsia"/>
        </w:rPr>
        <w:t xml:space="preserve"> </w:t>
      </w:r>
      <w:r w:rsidR="00C27756" w:rsidRPr="3238681A">
        <w:rPr>
          <w:rFonts w:eastAsiaTheme="majorEastAsia"/>
        </w:rPr>
        <w:t xml:space="preserve">This </w:t>
      </w:r>
      <w:r w:rsidR="00535689" w:rsidRPr="3238681A">
        <w:rPr>
          <w:rFonts w:eastAsiaTheme="majorEastAsia"/>
        </w:rPr>
        <w:t>Bill provide</w:t>
      </w:r>
      <w:r w:rsidR="00C27756" w:rsidRPr="3238681A">
        <w:rPr>
          <w:rFonts w:eastAsiaTheme="majorEastAsia"/>
        </w:rPr>
        <w:t>s</w:t>
      </w:r>
      <w:r w:rsidR="00535689" w:rsidRPr="3238681A">
        <w:rPr>
          <w:rFonts w:eastAsiaTheme="majorEastAsia"/>
        </w:rPr>
        <w:t xml:space="preserve"> for the register to be administered within the </w:t>
      </w:r>
      <w:r w:rsidR="00535689" w:rsidRPr="3238681A">
        <w:rPr>
          <w:rFonts w:eastAsiaTheme="majorEastAsia"/>
          <w:i/>
          <w:iCs/>
        </w:rPr>
        <w:t>Gambling and Racing Control Act 1999</w:t>
      </w:r>
      <w:r w:rsidR="00535689" w:rsidRPr="3238681A">
        <w:rPr>
          <w:rFonts w:eastAsiaTheme="majorEastAsia"/>
        </w:rPr>
        <w:t xml:space="preserve"> which is considered a more appropriate legislative framework for the administration of licences. </w:t>
      </w:r>
    </w:p>
    <w:p w14:paraId="7A6D5475" w14:textId="20DDE463" w:rsidR="007505FB" w:rsidRDefault="007505FB" w:rsidP="007505FB">
      <w:pPr>
        <w:tabs>
          <w:tab w:val="left" w:pos="1276"/>
        </w:tabs>
        <w:rPr>
          <w:rFonts w:eastAsiaTheme="majorEastAsia"/>
          <w:b/>
          <w:bCs/>
        </w:rPr>
      </w:pPr>
      <w:r>
        <w:rPr>
          <w:rFonts w:eastAsiaTheme="majorEastAsia"/>
          <w:b/>
          <w:bCs/>
        </w:rPr>
        <w:t xml:space="preserve">Part </w:t>
      </w:r>
      <w:r w:rsidR="00FF38B3">
        <w:rPr>
          <w:rFonts w:eastAsiaTheme="majorEastAsia"/>
          <w:b/>
          <w:bCs/>
        </w:rPr>
        <w:t>23</w:t>
      </w:r>
      <w:r>
        <w:rPr>
          <w:rFonts w:eastAsiaTheme="majorEastAsia"/>
          <w:b/>
          <w:bCs/>
        </w:rPr>
        <w:t xml:space="preserve">       Radiation Protection Act 2006</w:t>
      </w:r>
    </w:p>
    <w:p w14:paraId="1E1F4D0F" w14:textId="2B99FCA5" w:rsidR="007505FB" w:rsidRDefault="007505FB" w:rsidP="3238681A">
      <w:pPr>
        <w:tabs>
          <w:tab w:val="left" w:pos="1276"/>
        </w:tabs>
        <w:rPr>
          <w:rFonts w:eastAsiaTheme="majorEastAsia"/>
          <w:b/>
          <w:bCs/>
        </w:rPr>
      </w:pPr>
      <w:r w:rsidRPr="3238681A">
        <w:rPr>
          <w:rFonts w:eastAsiaTheme="majorEastAsia"/>
          <w:b/>
          <w:bCs/>
        </w:rPr>
        <w:t xml:space="preserve">Clause </w:t>
      </w:r>
      <w:r w:rsidR="008439B5">
        <w:rPr>
          <w:rFonts w:eastAsiaTheme="majorEastAsia"/>
          <w:b/>
          <w:bCs/>
        </w:rPr>
        <w:t>100</w:t>
      </w:r>
      <w:r w:rsidRPr="3238681A">
        <w:rPr>
          <w:rFonts w:eastAsiaTheme="majorEastAsia"/>
          <w:b/>
          <w:bCs/>
        </w:rPr>
        <w:t xml:space="preserve">  Radiation register Section 33A (4)</w:t>
      </w:r>
    </w:p>
    <w:p w14:paraId="7B560938" w14:textId="4197F59E" w:rsidR="007505FB" w:rsidRDefault="00055BCF" w:rsidP="007505FB">
      <w:pPr>
        <w:tabs>
          <w:tab w:val="left" w:pos="1276"/>
        </w:tabs>
        <w:rPr>
          <w:rFonts w:eastAsiaTheme="majorEastAsia"/>
        </w:rPr>
      </w:pPr>
      <w:r>
        <w:rPr>
          <w:rFonts w:eastAsiaTheme="majorEastAsia"/>
        </w:rPr>
        <w:t xml:space="preserve">This clause amends section 33A (4) of the </w:t>
      </w:r>
      <w:r>
        <w:rPr>
          <w:rFonts w:eastAsiaTheme="majorEastAsia"/>
          <w:i/>
          <w:iCs/>
        </w:rPr>
        <w:t xml:space="preserve">Radiation Protection Act 2006 </w:t>
      </w:r>
      <w:r>
        <w:rPr>
          <w:rFonts w:eastAsiaTheme="majorEastAsia"/>
        </w:rPr>
        <w:t xml:space="preserve">(Radiation Protection Act) to </w:t>
      </w:r>
      <w:r w:rsidR="00194CCC">
        <w:rPr>
          <w:rFonts w:eastAsiaTheme="majorEastAsia"/>
        </w:rPr>
        <w:t>provide</w:t>
      </w:r>
      <w:r>
        <w:rPr>
          <w:rFonts w:eastAsiaTheme="majorEastAsia"/>
        </w:rPr>
        <w:t xml:space="preserve"> that the chief health officer must make the information in the radiation register about a licence accessible to the public without charge on an ACT government website, or by a link on an ACT government website.</w:t>
      </w:r>
    </w:p>
    <w:p w14:paraId="58540267" w14:textId="73A2ACB8" w:rsidR="00055BCF" w:rsidRDefault="00D54250" w:rsidP="007505FB">
      <w:pPr>
        <w:tabs>
          <w:tab w:val="left" w:pos="1276"/>
        </w:tabs>
        <w:rPr>
          <w:rFonts w:eastAsiaTheme="majorEastAsia"/>
        </w:rPr>
      </w:pPr>
      <w:r>
        <w:rPr>
          <w:rFonts w:eastAsiaTheme="majorEastAsia"/>
        </w:rPr>
        <w:t xml:space="preserve">This clause also inserts new sections 33A (4A) and 33A (4B). </w:t>
      </w:r>
    </w:p>
    <w:p w14:paraId="33BDEEDA" w14:textId="743F43FD" w:rsidR="00D54250" w:rsidRDefault="00D54250" w:rsidP="007505FB">
      <w:pPr>
        <w:tabs>
          <w:tab w:val="left" w:pos="1276"/>
        </w:tabs>
        <w:rPr>
          <w:rFonts w:eastAsiaTheme="majorEastAsia"/>
        </w:rPr>
      </w:pPr>
      <w:r>
        <w:rPr>
          <w:rFonts w:eastAsiaTheme="majorEastAsia"/>
        </w:rPr>
        <w:t xml:space="preserve">New section 33A (4A) </w:t>
      </w:r>
      <w:r w:rsidR="00C2173C">
        <w:rPr>
          <w:rFonts w:eastAsiaTheme="majorEastAsia"/>
        </w:rPr>
        <w:t>provides</w:t>
      </w:r>
      <w:r>
        <w:rPr>
          <w:rFonts w:eastAsiaTheme="majorEastAsia"/>
        </w:rPr>
        <w:t xml:space="preserve"> that the chief health officer may make </w:t>
      </w:r>
      <w:r w:rsidR="00535689">
        <w:rPr>
          <w:rFonts w:eastAsiaTheme="majorEastAsia"/>
        </w:rPr>
        <w:t xml:space="preserve">other </w:t>
      </w:r>
      <w:r>
        <w:rPr>
          <w:rFonts w:eastAsiaTheme="majorEastAsia"/>
        </w:rPr>
        <w:t>information in the register about a registered regulated radiation source accessible to the public in the same way</w:t>
      </w:r>
      <w:r w:rsidR="00FF38B3">
        <w:rPr>
          <w:rFonts w:eastAsiaTheme="majorEastAsia"/>
        </w:rPr>
        <w:t xml:space="preserve"> as (4)</w:t>
      </w:r>
      <w:r>
        <w:rPr>
          <w:rFonts w:eastAsiaTheme="majorEastAsia"/>
        </w:rPr>
        <w:t>.</w:t>
      </w:r>
    </w:p>
    <w:p w14:paraId="39207007" w14:textId="1D2EFFDF" w:rsidR="00862ACF" w:rsidRDefault="00862ACF" w:rsidP="3238681A">
      <w:pPr>
        <w:tabs>
          <w:tab w:val="left" w:pos="1276"/>
        </w:tabs>
        <w:rPr>
          <w:rFonts w:eastAsiaTheme="majorEastAsia"/>
        </w:rPr>
      </w:pPr>
      <w:r w:rsidRPr="3238681A">
        <w:rPr>
          <w:rFonts w:eastAsiaTheme="majorEastAsia"/>
        </w:rPr>
        <w:t xml:space="preserve">New section 33A (4B) </w:t>
      </w:r>
      <w:r w:rsidR="00C2173C" w:rsidRPr="3238681A">
        <w:rPr>
          <w:rFonts w:eastAsiaTheme="majorEastAsia"/>
        </w:rPr>
        <w:t>provides</w:t>
      </w:r>
      <w:r w:rsidRPr="3238681A">
        <w:rPr>
          <w:rFonts w:eastAsiaTheme="majorEastAsia"/>
        </w:rPr>
        <w:t xml:space="preserve"> that the chief health officer must </w:t>
      </w:r>
      <w:r w:rsidR="00245417" w:rsidRPr="3238681A">
        <w:rPr>
          <w:rFonts w:eastAsiaTheme="majorEastAsia"/>
        </w:rPr>
        <w:t xml:space="preserve">not make information publicly available under this section if </w:t>
      </w:r>
      <w:r w:rsidR="00914842" w:rsidRPr="3238681A">
        <w:rPr>
          <w:rFonts w:eastAsiaTheme="majorEastAsia"/>
        </w:rPr>
        <w:t xml:space="preserve">the chief health officer is satisfied </w:t>
      </w:r>
      <w:r w:rsidR="00C27756" w:rsidRPr="3238681A">
        <w:rPr>
          <w:rFonts w:eastAsiaTheme="majorEastAsia"/>
        </w:rPr>
        <w:t xml:space="preserve">it </w:t>
      </w:r>
      <w:r w:rsidR="00914842" w:rsidRPr="3238681A">
        <w:rPr>
          <w:rFonts w:eastAsiaTheme="majorEastAsia"/>
        </w:rPr>
        <w:t xml:space="preserve">is not in the public interest to be publicly available. </w:t>
      </w:r>
    </w:p>
    <w:p w14:paraId="6C8ED9DD" w14:textId="59ECF56E" w:rsidR="00245417" w:rsidRDefault="00BF0A81" w:rsidP="00245417">
      <w:r w:rsidRPr="3238681A">
        <w:rPr>
          <w:rFonts w:eastAsiaTheme="majorEastAsia"/>
        </w:rPr>
        <w:t>This amendment make</w:t>
      </w:r>
      <w:r w:rsidR="00AC566D" w:rsidRPr="3238681A">
        <w:rPr>
          <w:rFonts w:eastAsiaTheme="majorEastAsia"/>
        </w:rPr>
        <w:t>s</w:t>
      </w:r>
      <w:r w:rsidRPr="3238681A">
        <w:rPr>
          <w:rFonts w:eastAsiaTheme="majorEastAsia"/>
        </w:rPr>
        <w:t xml:space="preserve"> the register publicly accessible electronically for the first time which will improve public and consumer safety.</w:t>
      </w:r>
      <w:r w:rsidR="00245417" w:rsidRPr="3238681A">
        <w:rPr>
          <w:rFonts w:eastAsiaTheme="majorEastAsia"/>
        </w:rPr>
        <w:t xml:space="preserve"> </w:t>
      </w:r>
      <w:r w:rsidR="00245417">
        <w:t>Providing the chief health officer with the power to exclude information not considered in the public interest ensure</w:t>
      </w:r>
      <w:r w:rsidR="00D934F5">
        <w:t>s</w:t>
      </w:r>
      <w:r w:rsidR="00245417">
        <w:t xml:space="preserve"> privacy and safety protections.</w:t>
      </w:r>
    </w:p>
    <w:p w14:paraId="648260D7" w14:textId="413275E9" w:rsidR="00914842" w:rsidRDefault="00914842" w:rsidP="00914842">
      <w:pPr>
        <w:tabs>
          <w:tab w:val="left" w:pos="1134"/>
          <w:tab w:val="left" w:pos="1276"/>
        </w:tabs>
        <w:rPr>
          <w:rFonts w:eastAsiaTheme="majorEastAsia"/>
          <w:b/>
          <w:bCs/>
        </w:rPr>
      </w:pPr>
      <w:r>
        <w:rPr>
          <w:rFonts w:eastAsiaTheme="majorEastAsia"/>
          <w:b/>
          <w:bCs/>
        </w:rPr>
        <w:t xml:space="preserve">Part </w:t>
      </w:r>
      <w:r w:rsidR="00FF38B3">
        <w:rPr>
          <w:rFonts w:eastAsiaTheme="majorEastAsia"/>
          <w:b/>
          <w:bCs/>
        </w:rPr>
        <w:t>24</w:t>
      </w:r>
      <w:r>
        <w:rPr>
          <w:rFonts w:eastAsiaTheme="majorEastAsia"/>
          <w:b/>
          <w:bCs/>
        </w:rPr>
        <w:t xml:space="preserve">       Utilities (Technical Regulation) Act 2014</w:t>
      </w:r>
    </w:p>
    <w:p w14:paraId="723E0E89" w14:textId="4623B7BE" w:rsidR="00914842" w:rsidRDefault="00914842" w:rsidP="00914842">
      <w:pPr>
        <w:tabs>
          <w:tab w:val="left" w:pos="1276"/>
        </w:tabs>
        <w:rPr>
          <w:rFonts w:eastAsiaTheme="majorEastAsia"/>
          <w:b/>
          <w:bCs/>
        </w:rPr>
      </w:pPr>
      <w:r>
        <w:rPr>
          <w:rFonts w:eastAsiaTheme="majorEastAsia"/>
          <w:b/>
          <w:bCs/>
        </w:rPr>
        <w:t xml:space="preserve">Clause </w:t>
      </w:r>
      <w:r w:rsidR="008439B5">
        <w:rPr>
          <w:rFonts w:eastAsiaTheme="majorEastAsia"/>
          <w:b/>
          <w:bCs/>
        </w:rPr>
        <w:t>101</w:t>
      </w:r>
      <w:r>
        <w:rPr>
          <w:rFonts w:eastAsiaTheme="majorEastAsia"/>
          <w:b/>
          <w:bCs/>
        </w:rPr>
        <w:t xml:space="preserve">  Dams register Section 58 (3)</w:t>
      </w:r>
    </w:p>
    <w:p w14:paraId="780C71B7" w14:textId="0A422EAF" w:rsidR="00914842" w:rsidRDefault="00B63C9D" w:rsidP="00914842">
      <w:pPr>
        <w:tabs>
          <w:tab w:val="left" w:pos="1276"/>
        </w:tabs>
        <w:rPr>
          <w:rFonts w:eastAsiaTheme="majorEastAsia"/>
        </w:rPr>
      </w:pPr>
      <w:r>
        <w:rPr>
          <w:rFonts w:eastAsiaTheme="majorEastAsia"/>
        </w:rPr>
        <w:t xml:space="preserve">This clause </w:t>
      </w:r>
      <w:r w:rsidR="009A61B9">
        <w:rPr>
          <w:rFonts w:eastAsiaTheme="majorEastAsia"/>
        </w:rPr>
        <w:t xml:space="preserve">amends section 58 (3) of the </w:t>
      </w:r>
      <w:r w:rsidR="009A61B9">
        <w:rPr>
          <w:rFonts w:eastAsiaTheme="majorEastAsia"/>
          <w:i/>
          <w:iCs/>
        </w:rPr>
        <w:t>Utilities (Technical Regulation) Act 2014</w:t>
      </w:r>
      <w:r w:rsidR="009A61B9">
        <w:rPr>
          <w:rFonts w:eastAsiaTheme="majorEastAsia"/>
        </w:rPr>
        <w:t xml:space="preserve"> (Utilities Technical Regulation Act) to </w:t>
      </w:r>
      <w:r w:rsidR="00194CCC">
        <w:rPr>
          <w:rFonts w:eastAsiaTheme="majorEastAsia"/>
        </w:rPr>
        <w:t>provide</w:t>
      </w:r>
      <w:r w:rsidR="009A61B9">
        <w:rPr>
          <w:rFonts w:eastAsiaTheme="majorEastAsia"/>
        </w:rPr>
        <w:t xml:space="preserve"> that the dams register may be kept in any form, including electronic form, that the technical regulator decides.</w:t>
      </w:r>
    </w:p>
    <w:p w14:paraId="5038AFD8" w14:textId="1D2E3F8B" w:rsidR="009A61B9" w:rsidRDefault="009A61B9" w:rsidP="00914842">
      <w:pPr>
        <w:tabs>
          <w:tab w:val="left" w:pos="1276"/>
        </w:tabs>
        <w:rPr>
          <w:rFonts w:eastAsiaTheme="majorEastAsia"/>
        </w:rPr>
      </w:pPr>
      <w:r>
        <w:rPr>
          <w:rFonts w:eastAsiaTheme="majorEastAsia"/>
        </w:rPr>
        <w:t xml:space="preserve">The clause also inserts new sections 58 (4) and 58 (5). </w:t>
      </w:r>
    </w:p>
    <w:p w14:paraId="7ECF690A" w14:textId="01D31033" w:rsidR="009A61B9" w:rsidRDefault="009A61B9" w:rsidP="00914842">
      <w:pPr>
        <w:tabs>
          <w:tab w:val="left" w:pos="1276"/>
        </w:tabs>
        <w:rPr>
          <w:rFonts w:eastAsiaTheme="majorEastAsia"/>
        </w:rPr>
      </w:pPr>
      <w:r>
        <w:rPr>
          <w:rFonts w:eastAsiaTheme="majorEastAsia"/>
        </w:rPr>
        <w:t xml:space="preserve">New section 58 (4) </w:t>
      </w:r>
      <w:r w:rsidR="00C2173C">
        <w:rPr>
          <w:rFonts w:eastAsiaTheme="majorEastAsia"/>
        </w:rPr>
        <w:t>provides</w:t>
      </w:r>
      <w:r w:rsidR="00EC7686">
        <w:rPr>
          <w:rFonts w:eastAsiaTheme="majorEastAsia"/>
        </w:rPr>
        <w:t xml:space="preserve"> that the dams register must be made accessible to the public without charge on an ACT government website, or by a link on an ACT government website.</w:t>
      </w:r>
    </w:p>
    <w:p w14:paraId="73548312" w14:textId="1CA315FC" w:rsidR="00EC7686" w:rsidRDefault="00EC7686" w:rsidP="00914842">
      <w:pPr>
        <w:tabs>
          <w:tab w:val="left" w:pos="1276"/>
        </w:tabs>
        <w:rPr>
          <w:rFonts w:eastAsiaTheme="majorEastAsia"/>
        </w:rPr>
      </w:pPr>
      <w:r>
        <w:rPr>
          <w:rFonts w:eastAsiaTheme="majorEastAsia"/>
        </w:rPr>
        <w:t xml:space="preserve">New section 58 (5) </w:t>
      </w:r>
      <w:r w:rsidR="00C2173C">
        <w:rPr>
          <w:rFonts w:eastAsiaTheme="majorEastAsia"/>
        </w:rPr>
        <w:t>provides</w:t>
      </w:r>
      <w:r>
        <w:rPr>
          <w:rFonts w:eastAsiaTheme="majorEastAsia"/>
        </w:rPr>
        <w:t xml:space="preserve"> that the technical regulator </w:t>
      </w:r>
      <w:r w:rsidR="00245417">
        <w:rPr>
          <w:rFonts w:eastAsiaTheme="majorEastAsia"/>
        </w:rPr>
        <w:t>must not make</w:t>
      </w:r>
      <w:r>
        <w:rPr>
          <w:rFonts w:eastAsiaTheme="majorEastAsia"/>
        </w:rPr>
        <w:t xml:space="preserve"> any information in the dams register </w:t>
      </w:r>
      <w:r w:rsidR="00245417">
        <w:rPr>
          <w:rFonts w:eastAsiaTheme="majorEastAsia"/>
        </w:rPr>
        <w:t xml:space="preserve">publicly available under this section if </w:t>
      </w:r>
      <w:r>
        <w:rPr>
          <w:rFonts w:eastAsiaTheme="majorEastAsia"/>
        </w:rPr>
        <w:t xml:space="preserve">the technical regulator is satisfied </w:t>
      </w:r>
      <w:r w:rsidR="00245417">
        <w:rPr>
          <w:rFonts w:eastAsiaTheme="majorEastAsia"/>
        </w:rPr>
        <w:t xml:space="preserve">it </w:t>
      </w:r>
      <w:r>
        <w:rPr>
          <w:rFonts w:eastAsiaTheme="majorEastAsia"/>
        </w:rPr>
        <w:t xml:space="preserve">is not in the public interest </w:t>
      </w:r>
      <w:r w:rsidR="00245417">
        <w:rPr>
          <w:rFonts w:eastAsiaTheme="majorEastAsia"/>
        </w:rPr>
        <w:t xml:space="preserve">for the information </w:t>
      </w:r>
      <w:r>
        <w:rPr>
          <w:rFonts w:eastAsiaTheme="majorEastAsia"/>
        </w:rPr>
        <w:t>to be publicly available.</w:t>
      </w:r>
    </w:p>
    <w:p w14:paraId="07B90E6F" w14:textId="6728ECEB" w:rsidR="00245417" w:rsidRDefault="00EC7686" w:rsidP="00245417">
      <w:r w:rsidRPr="3238681A">
        <w:rPr>
          <w:rFonts w:eastAsiaTheme="majorEastAsia"/>
        </w:rPr>
        <w:lastRenderedPageBreak/>
        <w:t xml:space="preserve">This amendment </w:t>
      </w:r>
      <w:r w:rsidRPr="3238681A">
        <w:rPr>
          <w:rFonts w:eastAsiaTheme="majorEastAsia" w:cstheme="majorBidi"/>
        </w:rPr>
        <w:t>enshrines in legislation public accessibility to the register and standardises legislative language for public accessibility.</w:t>
      </w:r>
      <w:r w:rsidR="00245417" w:rsidRPr="3238681A">
        <w:rPr>
          <w:rFonts w:eastAsiaTheme="majorEastAsia" w:cstheme="majorBidi"/>
        </w:rPr>
        <w:t xml:space="preserve"> </w:t>
      </w:r>
      <w:r w:rsidR="00245417">
        <w:t>Providing the technical regulator with the power to exclude information not considered in the public interest ensure</w:t>
      </w:r>
      <w:r w:rsidR="00D934F5">
        <w:t>s</w:t>
      </w:r>
      <w:r w:rsidR="00245417">
        <w:t xml:space="preserve"> operational safety protections.</w:t>
      </w:r>
    </w:p>
    <w:p w14:paraId="0808C308" w14:textId="054AE491" w:rsidR="00EC7686" w:rsidRDefault="00EC7686" w:rsidP="00EC7686">
      <w:pPr>
        <w:tabs>
          <w:tab w:val="left" w:pos="1276"/>
        </w:tabs>
        <w:rPr>
          <w:rFonts w:eastAsiaTheme="majorEastAsia" w:cstheme="majorBidi"/>
          <w:b/>
          <w:szCs w:val="24"/>
        </w:rPr>
      </w:pPr>
      <w:r>
        <w:rPr>
          <w:rFonts w:eastAsiaTheme="majorEastAsia" w:cstheme="majorBidi"/>
          <w:b/>
          <w:szCs w:val="24"/>
        </w:rPr>
        <w:t xml:space="preserve">Part </w:t>
      </w:r>
      <w:r w:rsidR="00FF38B3">
        <w:rPr>
          <w:rFonts w:eastAsiaTheme="majorEastAsia" w:cstheme="majorBidi"/>
          <w:b/>
          <w:szCs w:val="24"/>
        </w:rPr>
        <w:t>25</w:t>
      </w:r>
      <w:r>
        <w:rPr>
          <w:rFonts w:eastAsiaTheme="majorEastAsia" w:cstheme="majorBidi"/>
          <w:b/>
          <w:szCs w:val="24"/>
        </w:rPr>
        <w:t xml:space="preserve">       Veterinary Practice Act 2018</w:t>
      </w:r>
    </w:p>
    <w:p w14:paraId="1C94CFAC" w14:textId="78DCE341" w:rsidR="00EC7686" w:rsidRDefault="00EC7686" w:rsidP="002E3BC0">
      <w:pPr>
        <w:tabs>
          <w:tab w:val="left" w:pos="1276"/>
        </w:tabs>
        <w:rPr>
          <w:rFonts w:eastAsiaTheme="majorEastAsia" w:cstheme="majorBidi"/>
          <w:b/>
          <w:szCs w:val="24"/>
        </w:rPr>
      </w:pPr>
      <w:r>
        <w:rPr>
          <w:rFonts w:eastAsiaTheme="majorEastAsia" w:cstheme="majorBidi"/>
          <w:b/>
          <w:szCs w:val="24"/>
        </w:rPr>
        <w:t xml:space="preserve">Clause </w:t>
      </w:r>
      <w:r w:rsidR="008439B5">
        <w:rPr>
          <w:rFonts w:eastAsiaTheme="majorEastAsia" w:cstheme="majorBidi"/>
          <w:b/>
          <w:szCs w:val="24"/>
        </w:rPr>
        <w:t>102</w:t>
      </w:r>
      <w:r>
        <w:rPr>
          <w:rFonts w:eastAsiaTheme="majorEastAsia" w:cstheme="majorBidi"/>
          <w:b/>
          <w:szCs w:val="24"/>
        </w:rPr>
        <w:t xml:space="preserve">  Access to register Section 129 (1)</w:t>
      </w:r>
    </w:p>
    <w:p w14:paraId="7CAAA65A" w14:textId="6EBED69E" w:rsidR="00E541FB" w:rsidRDefault="00EC7686" w:rsidP="00E541FB">
      <w:pPr>
        <w:rPr>
          <w:rFonts w:eastAsiaTheme="majorEastAsia" w:cstheme="majorBidi"/>
          <w:bCs/>
          <w:szCs w:val="24"/>
        </w:rPr>
      </w:pPr>
      <w:r>
        <w:rPr>
          <w:rFonts w:eastAsiaTheme="majorEastAsia" w:cstheme="majorBidi"/>
          <w:bCs/>
          <w:szCs w:val="24"/>
        </w:rPr>
        <w:t xml:space="preserve">This clause amends </w:t>
      </w:r>
      <w:r w:rsidR="00E541FB">
        <w:rPr>
          <w:rFonts w:eastAsiaTheme="majorEastAsia" w:cstheme="majorBidi"/>
          <w:bCs/>
          <w:szCs w:val="24"/>
        </w:rPr>
        <w:t xml:space="preserve">section 129 (1) of the </w:t>
      </w:r>
      <w:r w:rsidR="00E541FB">
        <w:rPr>
          <w:rFonts w:eastAsiaTheme="majorEastAsia" w:cstheme="majorBidi"/>
          <w:bCs/>
          <w:i/>
          <w:iCs/>
          <w:szCs w:val="24"/>
        </w:rPr>
        <w:t xml:space="preserve">Veterinary Practice Act 2018 </w:t>
      </w:r>
      <w:r w:rsidR="00E541FB">
        <w:rPr>
          <w:rFonts w:eastAsiaTheme="majorEastAsia" w:cstheme="majorBidi"/>
          <w:bCs/>
          <w:szCs w:val="24"/>
        </w:rPr>
        <w:t xml:space="preserve">(Veterinary Practice Act) to </w:t>
      </w:r>
      <w:r w:rsidR="00194CCC">
        <w:rPr>
          <w:rFonts w:eastAsiaTheme="majorEastAsia" w:cstheme="majorBidi"/>
          <w:bCs/>
          <w:szCs w:val="24"/>
        </w:rPr>
        <w:t>provide</w:t>
      </w:r>
      <w:r w:rsidR="00E541FB">
        <w:rPr>
          <w:rFonts w:eastAsiaTheme="majorEastAsia" w:cstheme="majorBidi"/>
          <w:bCs/>
          <w:szCs w:val="24"/>
        </w:rPr>
        <w:t xml:space="preserve"> that the register must be made accessible to the public without charge on an ACT government website, or by a link on an ACT government website. </w:t>
      </w:r>
    </w:p>
    <w:p w14:paraId="52FAF59D" w14:textId="1579CC98" w:rsidR="00E541FB" w:rsidRDefault="00E541FB" w:rsidP="00E541FB">
      <w:pPr>
        <w:rPr>
          <w:rFonts w:eastAsiaTheme="majorEastAsia" w:cstheme="majorBidi"/>
          <w:bCs/>
          <w:szCs w:val="24"/>
        </w:rPr>
      </w:pPr>
      <w:r>
        <w:rPr>
          <w:rFonts w:eastAsiaTheme="majorEastAsia"/>
        </w:rPr>
        <w:t xml:space="preserve">This amendment </w:t>
      </w:r>
      <w:r>
        <w:rPr>
          <w:rFonts w:eastAsiaTheme="majorEastAsia" w:cstheme="majorBidi"/>
          <w:bCs/>
          <w:szCs w:val="24"/>
        </w:rPr>
        <w:t>enshrines in legislation public accessibility to the register and standardises legislative language for public accessibility.</w:t>
      </w:r>
    </w:p>
    <w:p w14:paraId="1B09F80B" w14:textId="56F08A65" w:rsidR="00E541FB" w:rsidRDefault="00E541FB" w:rsidP="002E3BC0">
      <w:pPr>
        <w:tabs>
          <w:tab w:val="left" w:pos="1276"/>
          <w:tab w:val="left" w:pos="1418"/>
        </w:tabs>
        <w:rPr>
          <w:rFonts w:eastAsiaTheme="majorEastAsia" w:cstheme="majorBidi"/>
          <w:b/>
          <w:szCs w:val="24"/>
        </w:rPr>
      </w:pPr>
      <w:r>
        <w:rPr>
          <w:rFonts w:eastAsiaTheme="majorEastAsia" w:cstheme="majorBidi"/>
          <w:b/>
          <w:szCs w:val="24"/>
        </w:rPr>
        <w:t xml:space="preserve">Clause </w:t>
      </w:r>
      <w:r w:rsidR="008439B5">
        <w:rPr>
          <w:rFonts w:eastAsiaTheme="majorEastAsia" w:cstheme="majorBidi"/>
          <w:b/>
          <w:szCs w:val="24"/>
        </w:rPr>
        <w:t>103</w:t>
      </w:r>
      <w:r>
        <w:rPr>
          <w:rFonts w:eastAsiaTheme="majorEastAsia" w:cstheme="majorBidi"/>
          <w:b/>
          <w:szCs w:val="24"/>
        </w:rPr>
        <w:t xml:space="preserve">  Section 129 (2)</w:t>
      </w:r>
    </w:p>
    <w:p w14:paraId="476F5872" w14:textId="5BDD300D" w:rsidR="00E541FB" w:rsidRDefault="00E541FB" w:rsidP="002E3BC0">
      <w:pPr>
        <w:tabs>
          <w:tab w:val="left" w:pos="1418"/>
        </w:tabs>
        <w:rPr>
          <w:rFonts w:eastAsiaTheme="majorEastAsia" w:cstheme="majorBidi"/>
          <w:bCs/>
          <w:szCs w:val="24"/>
        </w:rPr>
      </w:pPr>
      <w:r>
        <w:rPr>
          <w:rFonts w:eastAsiaTheme="majorEastAsia" w:cstheme="majorBidi"/>
          <w:bCs/>
          <w:szCs w:val="24"/>
        </w:rPr>
        <w:t xml:space="preserve">This clause </w:t>
      </w:r>
      <w:r w:rsidR="002E3BC0">
        <w:rPr>
          <w:rFonts w:eastAsiaTheme="majorEastAsia" w:cstheme="majorBidi"/>
          <w:bCs/>
          <w:szCs w:val="24"/>
        </w:rPr>
        <w:t xml:space="preserve">makes a minor amendment that removes the word </w:t>
      </w:r>
      <w:r w:rsidR="002E3BC0">
        <w:rPr>
          <w:rFonts w:eastAsiaTheme="majorEastAsia" w:cstheme="majorBidi"/>
          <w:bCs/>
          <w:i/>
          <w:iCs/>
          <w:szCs w:val="24"/>
        </w:rPr>
        <w:t xml:space="preserve">available </w:t>
      </w:r>
      <w:r w:rsidR="002E3BC0">
        <w:rPr>
          <w:rFonts w:eastAsiaTheme="majorEastAsia" w:cstheme="majorBidi"/>
          <w:bCs/>
          <w:szCs w:val="24"/>
        </w:rPr>
        <w:t xml:space="preserve">in section 129 (2) of the Veterinary Practice Act and replaces it with </w:t>
      </w:r>
      <w:r w:rsidR="000B5D20" w:rsidRPr="000B5D20">
        <w:rPr>
          <w:rFonts w:eastAsiaTheme="majorEastAsia" w:cstheme="majorBidi"/>
          <w:bCs/>
          <w:i/>
          <w:iCs/>
          <w:szCs w:val="24"/>
        </w:rPr>
        <w:t>made</w:t>
      </w:r>
      <w:r w:rsidR="000B5D20">
        <w:rPr>
          <w:rFonts w:eastAsiaTheme="majorEastAsia" w:cstheme="majorBidi"/>
          <w:bCs/>
          <w:szCs w:val="24"/>
        </w:rPr>
        <w:t xml:space="preserve"> </w:t>
      </w:r>
      <w:r w:rsidR="002E3BC0">
        <w:rPr>
          <w:rFonts w:eastAsiaTheme="majorEastAsia" w:cstheme="majorBidi"/>
          <w:bCs/>
          <w:i/>
          <w:iCs/>
          <w:szCs w:val="24"/>
        </w:rPr>
        <w:t>accessible</w:t>
      </w:r>
      <w:r w:rsidR="002E3BC0">
        <w:rPr>
          <w:rFonts w:eastAsiaTheme="majorEastAsia" w:cstheme="majorBidi"/>
          <w:bCs/>
          <w:szCs w:val="24"/>
        </w:rPr>
        <w:t>. This enshrines in legislation public accessibility to the register and standardises legislative language for public accessibility.</w:t>
      </w:r>
    </w:p>
    <w:p w14:paraId="4D6448C0" w14:textId="67F59EC8" w:rsidR="002E3BC0" w:rsidRDefault="002E3BC0" w:rsidP="002E3BC0">
      <w:pPr>
        <w:tabs>
          <w:tab w:val="left" w:pos="1276"/>
        </w:tabs>
        <w:rPr>
          <w:rFonts w:eastAsiaTheme="majorEastAsia" w:cstheme="majorBidi"/>
          <w:b/>
          <w:szCs w:val="24"/>
        </w:rPr>
      </w:pPr>
      <w:r>
        <w:rPr>
          <w:rFonts w:eastAsiaTheme="majorEastAsia" w:cstheme="majorBidi"/>
          <w:b/>
          <w:szCs w:val="24"/>
        </w:rPr>
        <w:t xml:space="preserve">Clause </w:t>
      </w:r>
      <w:r w:rsidR="008439B5">
        <w:rPr>
          <w:rFonts w:eastAsiaTheme="majorEastAsia" w:cstheme="majorBidi"/>
          <w:b/>
          <w:szCs w:val="24"/>
        </w:rPr>
        <w:t>104</w:t>
      </w:r>
      <w:r>
        <w:rPr>
          <w:rFonts w:eastAsiaTheme="majorEastAsia" w:cstheme="majorBidi"/>
          <w:b/>
          <w:szCs w:val="24"/>
        </w:rPr>
        <w:t xml:space="preserve">  Section 129 (3)</w:t>
      </w:r>
    </w:p>
    <w:p w14:paraId="54CD25D8" w14:textId="1521520C" w:rsidR="002E3BC0" w:rsidRDefault="002E3BC0" w:rsidP="002E3BC0">
      <w:pPr>
        <w:tabs>
          <w:tab w:val="left" w:pos="1276"/>
        </w:tabs>
        <w:rPr>
          <w:rFonts w:eastAsiaTheme="majorEastAsia" w:cstheme="majorBidi"/>
          <w:bCs/>
          <w:szCs w:val="24"/>
        </w:rPr>
      </w:pPr>
      <w:r>
        <w:rPr>
          <w:rFonts w:eastAsiaTheme="majorEastAsia" w:cstheme="majorBidi"/>
          <w:bCs/>
          <w:szCs w:val="24"/>
        </w:rPr>
        <w:t xml:space="preserve">This clause makes a minor amendment to omit </w:t>
      </w:r>
      <w:r>
        <w:rPr>
          <w:rFonts w:eastAsiaTheme="majorEastAsia" w:cstheme="majorBidi"/>
          <w:bCs/>
          <w:i/>
          <w:iCs/>
          <w:szCs w:val="24"/>
        </w:rPr>
        <w:t>allow public inspection of</w:t>
      </w:r>
      <w:r>
        <w:rPr>
          <w:rFonts w:eastAsiaTheme="majorEastAsia" w:cstheme="majorBidi"/>
          <w:bCs/>
          <w:szCs w:val="24"/>
        </w:rPr>
        <w:t xml:space="preserve"> in section 129 (3) of the Veterinary Practice Act and replace it with </w:t>
      </w:r>
      <w:r>
        <w:rPr>
          <w:rFonts w:eastAsiaTheme="majorEastAsia" w:cstheme="majorBidi"/>
          <w:bCs/>
          <w:i/>
          <w:iCs/>
          <w:szCs w:val="24"/>
        </w:rPr>
        <w:t>make accessible to the public</w:t>
      </w:r>
      <w:r>
        <w:rPr>
          <w:rFonts w:eastAsiaTheme="majorEastAsia" w:cstheme="majorBidi"/>
          <w:bCs/>
          <w:szCs w:val="24"/>
        </w:rPr>
        <w:t>. This enshrines in legislation public accessibility to the register and standardises legislative language for public accessibility.</w:t>
      </w:r>
    </w:p>
    <w:p w14:paraId="75EFDD8C" w14:textId="733969A3" w:rsidR="002E3BC0" w:rsidRDefault="002E3BC0" w:rsidP="3238681A">
      <w:pPr>
        <w:tabs>
          <w:tab w:val="left" w:pos="1276"/>
        </w:tabs>
        <w:rPr>
          <w:rFonts w:eastAsiaTheme="majorEastAsia" w:cstheme="majorBidi"/>
          <w:b/>
          <w:bCs/>
        </w:rPr>
      </w:pPr>
      <w:r w:rsidRPr="3238681A">
        <w:rPr>
          <w:rFonts w:eastAsiaTheme="majorEastAsia" w:cstheme="majorBidi"/>
          <w:b/>
          <w:bCs/>
        </w:rPr>
        <w:t xml:space="preserve">Clause </w:t>
      </w:r>
      <w:r w:rsidR="008439B5">
        <w:rPr>
          <w:rFonts w:eastAsiaTheme="majorEastAsia" w:cstheme="majorBidi"/>
          <w:b/>
          <w:bCs/>
        </w:rPr>
        <w:t>105</w:t>
      </w:r>
      <w:r w:rsidRPr="3238681A">
        <w:rPr>
          <w:rFonts w:eastAsiaTheme="majorEastAsia" w:cstheme="majorBidi"/>
          <w:b/>
          <w:bCs/>
        </w:rPr>
        <w:t xml:space="preserve">  Section 129 (4)</w:t>
      </w:r>
    </w:p>
    <w:p w14:paraId="40B61A5B" w14:textId="42AC6461" w:rsidR="002E3BC0" w:rsidRDefault="002E3BC0" w:rsidP="3238681A">
      <w:pPr>
        <w:tabs>
          <w:tab w:val="left" w:pos="1276"/>
        </w:tabs>
        <w:rPr>
          <w:rFonts w:eastAsiaTheme="majorEastAsia" w:cstheme="majorBidi"/>
        </w:rPr>
      </w:pPr>
      <w:r w:rsidRPr="3238681A">
        <w:rPr>
          <w:rFonts w:eastAsiaTheme="majorEastAsia" w:cstheme="majorBidi"/>
        </w:rPr>
        <w:t xml:space="preserve">This clause </w:t>
      </w:r>
      <w:r w:rsidR="000B5D20" w:rsidRPr="3238681A">
        <w:rPr>
          <w:rFonts w:eastAsiaTheme="majorEastAsia" w:cstheme="majorBidi"/>
        </w:rPr>
        <w:t>amends</w:t>
      </w:r>
      <w:r w:rsidRPr="3238681A">
        <w:rPr>
          <w:rFonts w:eastAsiaTheme="majorEastAsia" w:cstheme="majorBidi"/>
        </w:rPr>
        <w:t xml:space="preserve"> section 129 (4) </w:t>
      </w:r>
      <w:r w:rsidR="00D934F5" w:rsidRPr="3238681A">
        <w:rPr>
          <w:rFonts w:eastAsiaTheme="majorEastAsia" w:cstheme="majorBidi"/>
        </w:rPr>
        <w:t xml:space="preserve">of </w:t>
      </w:r>
      <w:r w:rsidRPr="3238681A">
        <w:rPr>
          <w:rFonts w:eastAsiaTheme="majorEastAsia" w:cstheme="majorBidi"/>
        </w:rPr>
        <w:t xml:space="preserve">the Veterinary Practice Act </w:t>
      </w:r>
      <w:r w:rsidR="000B5D20" w:rsidRPr="3238681A">
        <w:rPr>
          <w:rFonts w:eastAsiaTheme="majorEastAsia" w:cstheme="majorBidi"/>
        </w:rPr>
        <w:t>to provide that the address of a veterinary practitioner must not be made accessible to the public</w:t>
      </w:r>
      <w:r w:rsidRPr="3238681A">
        <w:rPr>
          <w:rFonts w:eastAsiaTheme="majorEastAsia" w:cstheme="majorBidi"/>
        </w:rPr>
        <w:t>.</w:t>
      </w:r>
      <w:r w:rsidR="000B5D20" w:rsidRPr="3238681A">
        <w:rPr>
          <w:rFonts w:eastAsiaTheme="majorEastAsia" w:cstheme="majorBidi"/>
        </w:rPr>
        <w:t xml:space="preserve"> However, the address of a veterinary practitioner</w:t>
      </w:r>
      <w:r w:rsidR="00D934F5" w:rsidRPr="3238681A">
        <w:rPr>
          <w:rFonts w:eastAsiaTheme="majorEastAsia" w:cstheme="majorBidi"/>
        </w:rPr>
        <w:t>’</w:t>
      </w:r>
      <w:r w:rsidR="000B5D20" w:rsidRPr="3238681A">
        <w:rPr>
          <w:rFonts w:eastAsiaTheme="majorEastAsia" w:cstheme="majorBidi"/>
        </w:rPr>
        <w:t>s practice must be made accessible, whether or not this is also the address of the practitioner. This ensure</w:t>
      </w:r>
      <w:r w:rsidR="00D934F5" w:rsidRPr="3238681A">
        <w:rPr>
          <w:rFonts w:eastAsiaTheme="majorEastAsia" w:cstheme="majorBidi"/>
        </w:rPr>
        <w:t>s that</w:t>
      </w:r>
      <w:r w:rsidR="000B5D20" w:rsidRPr="3238681A">
        <w:rPr>
          <w:rFonts w:eastAsiaTheme="majorEastAsia" w:cstheme="majorBidi"/>
        </w:rPr>
        <w:t xml:space="preserve"> the integrity of the information on the register is maintained</w:t>
      </w:r>
      <w:r w:rsidR="006E3E07" w:rsidRPr="3238681A">
        <w:rPr>
          <w:rFonts w:eastAsiaTheme="majorEastAsia" w:cstheme="majorBidi"/>
        </w:rPr>
        <w:t xml:space="preserve"> as it pertains to the business</w:t>
      </w:r>
      <w:r w:rsidR="000B5D20" w:rsidRPr="3238681A">
        <w:rPr>
          <w:rFonts w:eastAsiaTheme="majorEastAsia" w:cstheme="majorBidi"/>
        </w:rPr>
        <w:t>. This clause also remove</w:t>
      </w:r>
      <w:r w:rsidR="00D934F5" w:rsidRPr="3238681A">
        <w:rPr>
          <w:rFonts w:eastAsiaTheme="majorEastAsia" w:cstheme="majorBidi"/>
        </w:rPr>
        <w:t>s</w:t>
      </w:r>
      <w:r w:rsidR="000B5D20" w:rsidRPr="3238681A">
        <w:rPr>
          <w:rFonts w:eastAsiaTheme="majorEastAsia" w:cstheme="majorBidi"/>
        </w:rPr>
        <w:t xml:space="preserve"> </w:t>
      </w:r>
      <w:r w:rsidR="006E3E07" w:rsidRPr="3238681A">
        <w:rPr>
          <w:rFonts w:eastAsiaTheme="majorEastAsia" w:cstheme="majorBidi"/>
        </w:rPr>
        <w:t>any</w:t>
      </w:r>
      <w:r w:rsidR="000B5D20" w:rsidRPr="3238681A">
        <w:rPr>
          <w:rFonts w:eastAsiaTheme="majorEastAsia" w:cstheme="majorBidi"/>
        </w:rPr>
        <w:t xml:space="preserve"> requirement of the board</w:t>
      </w:r>
      <w:r w:rsidR="006E3E07" w:rsidRPr="3238681A">
        <w:rPr>
          <w:rFonts w:eastAsiaTheme="majorEastAsia" w:cstheme="majorBidi"/>
        </w:rPr>
        <w:t xml:space="preserve"> to provide a copy or extract of the register, if asked. This is no longer required as the register will be electronically accessible to the public.</w:t>
      </w:r>
    </w:p>
    <w:p w14:paraId="70C10611" w14:textId="3653390C" w:rsidR="002E3BC0" w:rsidRDefault="002E3BC0" w:rsidP="002E3BC0">
      <w:pPr>
        <w:tabs>
          <w:tab w:val="left" w:pos="1276"/>
        </w:tabs>
        <w:rPr>
          <w:rFonts w:eastAsiaTheme="majorEastAsia" w:cstheme="majorBidi"/>
          <w:b/>
          <w:szCs w:val="24"/>
        </w:rPr>
      </w:pPr>
      <w:r>
        <w:rPr>
          <w:rFonts w:eastAsiaTheme="majorEastAsia" w:cstheme="majorBidi"/>
          <w:b/>
          <w:szCs w:val="24"/>
        </w:rPr>
        <w:t xml:space="preserve">Part </w:t>
      </w:r>
      <w:r w:rsidR="00FF38B3">
        <w:rPr>
          <w:rFonts w:eastAsiaTheme="majorEastAsia" w:cstheme="majorBidi"/>
          <w:b/>
          <w:szCs w:val="24"/>
        </w:rPr>
        <w:t>26</w:t>
      </w:r>
      <w:r>
        <w:rPr>
          <w:rFonts w:eastAsiaTheme="majorEastAsia" w:cstheme="majorBidi"/>
          <w:b/>
          <w:szCs w:val="24"/>
        </w:rPr>
        <w:t xml:space="preserve">       Waste Management and Resource Recovery Act 2016</w:t>
      </w:r>
    </w:p>
    <w:p w14:paraId="32CBCDDD" w14:textId="51E8C7A3" w:rsidR="002E3BC0" w:rsidRDefault="002E3BC0" w:rsidP="00E31200">
      <w:pPr>
        <w:tabs>
          <w:tab w:val="left" w:pos="1276"/>
        </w:tabs>
        <w:rPr>
          <w:rFonts w:eastAsiaTheme="majorEastAsia" w:cstheme="majorBidi"/>
          <w:b/>
          <w:szCs w:val="24"/>
        </w:rPr>
      </w:pPr>
      <w:r>
        <w:rPr>
          <w:rFonts w:eastAsiaTheme="majorEastAsia" w:cstheme="majorBidi"/>
          <w:b/>
          <w:szCs w:val="24"/>
        </w:rPr>
        <w:t xml:space="preserve">Clause </w:t>
      </w:r>
      <w:r w:rsidR="008439B5">
        <w:rPr>
          <w:rFonts w:eastAsiaTheme="majorEastAsia" w:cstheme="majorBidi"/>
          <w:b/>
          <w:szCs w:val="24"/>
        </w:rPr>
        <w:t>106</w:t>
      </w:r>
      <w:r>
        <w:rPr>
          <w:rFonts w:eastAsiaTheme="majorEastAsia" w:cstheme="majorBidi"/>
          <w:b/>
          <w:szCs w:val="24"/>
        </w:rPr>
        <w:t xml:space="preserve">  New section 23A</w:t>
      </w:r>
    </w:p>
    <w:p w14:paraId="0A84EFCF" w14:textId="4E53DE82" w:rsidR="002E3BC0" w:rsidRDefault="002E3BC0" w:rsidP="002E3BC0">
      <w:pPr>
        <w:tabs>
          <w:tab w:val="left" w:pos="1276"/>
        </w:tabs>
        <w:rPr>
          <w:rFonts w:eastAsiaTheme="majorEastAsia" w:cstheme="majorBidi"/>
          <w:bCs/>
          <w:szCs w:val="24"/>
        </w:rPr>
      </w:pPr>
      <w:r>
        <w:rPr>
          <w:rFonts w:eastAsiaTheme="majorEastAsia" w:cstheme="majorBidi"/>
          <w:bCs/>
          <w:szCs w:val="24"/>
        </w:rPr>
        <w:t xml:space="preserve">This clause inserts a new section </w:t>
      </w:r>
      <w:r w:rsidR="008C6529">
        <w:rPr>
          <w:rFonts w:eastAsiaTheme="majorEastAsia" w:cstheme="majorBidi"/>
          <w:bCs/>
          <w:szCs w:val="24"/>
        </w:rPr>
        <w:t xml:space="preserve">23A </w:t>
      </w:r>
      <w:r w:rsidR="001624D9">
        <w:rPr>
          <w:rFonts w:eastAsiaTheme="majorEastAsia" w:cstheme="majorBidi"/>
          <w:bCs/>
          <w:szCs w:val="24"/>
        </w:rPr>
        <w:t xml:space="preserve">in </w:t>
      </w:r>
      <w:r w:rsidR="009D5260">
        <w:rPr>
          <w:rFonts w:eastAsiaTheme="majorEastAsia" w:cstheme="majorBidi"/>
          <w:bCs/>
          <w:szCs w:val="24"/>
        </w:rPr>
        <w:t xml:space="preserve">the </w:t>
      </w:r>
      <w:r w:rsidR="009D5260">
        <w:rPr>
          <w:rFonts w:eastAsiaTheme="majorEastAsia" w:cstheme="majorBidi"/>
          <w:bCs/>
          <w:i/>
          <w:iCs/>
          <w:szCs w:val="24"/>
        </w:rPr>
        <w:t>Waste Management and Resource Recovery Act 2016</w:t>
      </w:r>
      <w:r w:rsidR="009D5260">
        <w:rPr>
          <w:rFonts w:eastAsiaTheme="majorEastAsia" w:cstheme="majorBidi"/>
          <w:bCs/>
          <w:szCs w:val="24"/>
        </w:rPr>
        <w:t xml:space="preserve"> (Waste Management Act</w:t>
      </w:r>
      <w:r w:rsidR="001624D9">
        <w:rPr>
          <w:rFonts w:eastAsiaTheme="majorEastAsia" w:cstheme="majorBidi"/>
          <w:bCs/>
          <w:szCs w:val="24"/>
        </w:rPr>
        <w:t>) that</w:t>
      </w:r>
      <w:r w:rsidR="009D5260">
        <w:rPr>
          <w:rFonts w:eastAsiaTheme="majorEastAsia" w:cstheme="majorBidi"/>
          <w:bCs/>
          <w:szCs w:val="24"/>
        </w:rPr>
        <w:t xml:space="preserve"> provides for </w:t>
      </w:r>
      <w:r w:rsidR="00507B8A">
        <w:rPr>
          <w:rFonts w:eastAsiaTheme="majorEastAsia" w:cstheme="majorBidi"/>
          <w:bCs/>
          <w:szCs w:val="24"/>
        </w:rPr>
        <w:t xml:space="preserve">a </w:t>
      </w:r>
      <w:r w:rsidR="001624D9">
        <w:rPr>
          <w:rFonts w:eastAsiaTheme="majorEastAsia" w:cstheme="majorBidi"/>
          <w:bCs/>
          <w:szCs w:val="24"/>
        </w:rPr>
        <w:t xml:space="preserve">licence to be </w:t>
      </w:r>
      <w:r w:rsidR="001624D9">
        <w:rPr>
          <w:rFonts w:eastAsiaTheme="majorEastAsia" w:cstheme="majorBidi"/>
          <w:bCs/>
          <w:szCs w:val="24"/>
        </w:rPr>
        <w:lastRenderedPageBreak/>
        <w:t>amended upon application by the licence holder</w:t>
      </w:r>
      <w:r w:rsidR="00786B3C">
        <w:rPr>
          <w:rFonts w:eastAsiaTheme="majorEastAsia" w:cstheme="majorBidi"/>
          <w:bCs/>
          <w:szCs w:val="24"/>
        </w:rPr>
        <w:t xml:space="preserve"> and at the discretion of the waste manager.</w:t>
      </w:r>
      <w:r w:rsidR="00507B8A">
        <w:rPr>
          <w:rFonts w:eastAsiaTheme="majorEastAsia" w:cstheme="majorBidi"/>
          <w:bCs/>
          <w:szCs w:val="24"/>
        </w:rPr>
        <w:t xml:space="preserve"> This will be a reviewable decision. </w:t>
      </w:r>
    </w:p>
    <w:p w14:paraId="02135594" w14:textId="0CD69004" w:rsidR="00786B3C" w:rsidRDefault="00786B3C" w:rsidP="3238681A">
      <w:pPr>
        <w:tabs>
          <w:tab w:val="left" w:pos="1276"/>
        </w:tabs>
        <w:rPr>
          <w:rFonts w:eastAsiaTheme="majorEastAsia" w:cstheme="majorBidi"/>
        </w:rPr>
      </w:pPr>
      <w:r w:rsidRPr="3238681A">
        <w:rPr>
          <w:rFonts w:eastAsiaTheme="majorEastAsia" w:cstheme="majorBidi"/>
        </w:rPr>
        <w:t xml:space="preserve">This amendment gives waste management businesses </w:t>
      </w:r>
      <w:r w:rsidR="00507B8A" w:rsidRPr="3238681A">
        <w:rPr>
          <w:rFonts w:eastAsiaTheme="majorEastAsia" w:cstheme="majorBidi"/>
        </w:rPr>
        <w:t xml:space="preserve">or the waste manager </w:t>
      </w:r>
      <w:r w:rsidRPr="3238681A">
        <w:rPr>
          <w:rFonts w:eastAsiaTheme="majorEastAsia" w:cstheme="majorBidi"/>
        </w:rPr>
        <w:t xml:space="preserve">the flexibility to amend </w:t>
      </w:r>
      <w:r w:rsidR="00507B8A" w:rsidRPr="3238681A">
        <w:rPr>
          <w:rFonts w:eastAsiaTheme="majorEastAsia" w:cstheme="majorBidi"/>
        </w:rPr>
        <w:t>a</w:t>
      </w:r>
      <w:r w:rsidRPr="3238681A">
        <w:rPr>
          <w:rFonts w:eastAsiaTheme="majorEastAsia" w:cstheme="majorBidi"/>
        </w:rPr>
        <w:t xml:space="preserve"> licence to reflect routine changes to operations.</w:t>
      </w:r>
      <w:r w:rsidR="008A35C1" w:rsidRPr="3238681A">
        <w:rPr>
          <w:rFonts w:eastAsiaTheme="majorEastAsia" w:cstheme="majorBidi"/>
        </w:rPr>
        <w:t xml:space="preserve"> Reviewable decisions are an important element to legislation because they ensure transparency and equality in decision-making. </w:t>
      </w:r>
    </w:p>
    <w:p w14:paraId="0351197B" w14:textId="6B4FE8AA" w:rsidR="00507B8A" w:rsidRDefault="00507B8A" w:rsidP="3238681A">
      <w:pPr>
        <w:tabs>
          <w:tab w:val="left" w:pos="1276"/>
        </w:tabs>
        <w:rPr>
          <w:rFonts w:eastAsiaTheme="majorEastAsia" w:cstheme="majorBidi"/>
          <w:b/>
          <w:bCs/>
        </w:rPr>
      </w:pPr>
      <w:r w:rsidRPr="3238681A">
        <w:rPr>
          <w:rFonts w:eastAsiaTheme="majorEastAsia" w:cstheme="majorBidi"/>
          <w:b/>
          <w:bCs/>
        </w:rPr>
        <w:t xml:space="preserve">Clause </w:t>
      </w:r>
      <w:r w:rsidR="008439B5">
        <w:rPr>
          <w:rFonts w:eastAsiaTheme="majorEastAsia" w:cstheme="majorBidi"/>
          <w:b/>
          <w:bCs/>
        </w:rPr>
        <w:t>107</w:t>
      </w:r>
      <w:r w:rsidRPr="3238681A">
        <w:rPr>
          <w:rFonts w:eastAsiaTheme="majorEastAsia" w:cstheme="majorBidi"/>
          <w:b/>
          <w:bCs/>
        </w:rPr>
        <w:t xml:space="preserve">  Registration conditions Section 34A, new example</w:t>
      </w:r>
      <w:r w:rsidR="00935651">
        <w:rPr>
          <w:rFonts w:eastAsiaTheme="majorEastAsia" w:cstheme="majorBidi"/>
          <w:b/>
          <w:bCs/>
        </w:rPr>
        <w:t xml:space="preserve"> 3</w:t>
      </w:r>
    </w:p>
    <w:p w14:paraId="3496BA09" w14:textId="2067F3A6" w:rsidR="00786B3C" w:rsidRDefault="00507B8A" w:rsidP="3238681A">
      <w:pPr>
        <w:tabs>
          <w:tab w:val="left" w:pos="1276"/>
        </w:tabs>
        <w:rPr>
          <w:rFonts w:eastAsiaTheme="majorEastAsia" w:cstheme="majorBidi"/>
        </w:rPr>
      </w:pPr>
      <w:r w:rsidRPr="3238681A">
        <w:rPr>
          <w:rFonts w:eastAsiaTheme="majorEastAsia" w:cstheme="majorBidi"/>
        </w:rPr>
        <w:t>This clause insert</w:t>
      </w:r>
      <w:r w:rsidR="00DD3D52" w:rsidRPr="3238681A">
        <w:rPr>
          <w:rFonts w:eastAsiaTheme="majorEastAsia" w:cstheme="majorBidi"/>
        </w:rPr>
        <w:t>s</w:t>
      </w:r>
      <w:r w:rsidRPr="3238681A">
        <w:rPr>
          <w:rFonts w:eastAsiaTheme="majorEastAsia" w:cstheme="majorBidi"/>
        </w:rPr>
        <w:t xml:space="preserve"> a third example into section 34A </w:t>
      </w:r>
      <w:r w:rsidR="00DD3D52" w:rsidRPr="3238681A">
        <w:rPr>
          <w:rFonts w:eastAsiaTheme="majorEastAsia" w:cstheme="majorBidi"/>
        </w:rPr>
        <w:t xml:space="preserve">of the Waste Management Act </w:t>
      </w:r>
      <w:r w:rsidRPr="3238681A">
        <w:rPr>
          <w:rFonts w:eastAsiaTheme="majorEastAsia" w:cstheme="majorBidi"/>
        </w:rPr>
        <w:t>which provides guidance that requiring the display of the registered waste transporter’s registration number on vehicles used for transporting waste is an example of a condition the waste manager can impose on the registration. This is intended to provide further clarity to the interpretation of the provision.</w:t>
      </w:r>
    </w:p>
    <w:p w14:paraId="17F30CBC" w14:textId="3B6835A1" w:rsidR="00786B3C" w:rsidRDefault="00786B3C" w:rsidP="3238681A">
      <w:pPr>
        <w:tabs>
          <w:tab w:val="left" w:pos="1276"/>
        </w:tabs>
        <w:rPr>
          <w:rFonts w:eastAsiaTheme="majorEastAsia" w:cstheme="majorBidi"/>
          <w:b/>
          <w:bCs/>
        </w:rPr>
      </w:pPr>
      <w:r w:rsidRPr="3238681A">
        <w:rPr>
          <w:rFonts w:eastAsiaTheme="majorEastAsia" w:cstheme="majorBidi"/>
          <w:b/>
          <w:bCs/>
        </w:rPr>
        <w:t xml:space="preserve">Clause </w:t>
      </w:r>
      <w:r w:rsidR="008439B5">
        <w:rPr>
          <w:rFonts w:eastAsiaTheme="majorEastAsia" w:cstheme="majorBidi"/>
          <w:b/>
          <w:bCs/>
        </w:rPr>
        <w:t>108</w:t>
      </w:r>
      <w:r w:rsidRPr="3238681A">
        <w:rPr>
          <w:rFonts w:eastAsiaTheme="majorEastAsia" w:cstheme="majorBidi"/>
          <w:b/>
          <w:bCs/>
        </w:rPr>
        <w:t xml:space="preserve">  New section 34B</w:t>
      </w:r>
    </w:p>
    <w:p w14:paraId="38E4188A" w14:textId="36F5CFAA" w:rsidR="00C413D8" w:rsidRDefault="00786B3C" w:rsidP="00C413D8">
      <w:pPr>
        <w:tabs>
          <w:tab w:val="left" w:pos="1276"/>
        </w:tabs>
        <w:rPr>
          <w:rFonts w:eastAsiaTheme="majorEastAsia" w:cstheme="majorBidi"/>
          <w:bCs/>
          <w:szCs w:val="24"/>
        </w:rPr>
      </w:pPr>
      <w:r>
        <w:rPr>
          <w:rFonts w:eastAsiaTheme="majorEastAsia" w:cstheme="majorBidi"/>
          <w:bCs/>
          <w:szCs w:val="24"/>
        </w:rPr>
        <w:t xml:space="preserve">This clause inserts a new section 34B in the Waste Management Act </w:t>
      </w:r>
      <w:r w:rsidR="00C413D8">
        <w:rPr>
          <w:rFonts w:eastAsiaTheme="majorEastAsia" w:cstheme="majorBidi"/>
          <w:bCs/>
          <w:szCs w:val="24"/>
        </w:rPr>
        <w:t>that provides for the registration of a registered waste transporter to be amended upon application by the registrant and at the discretion of the waste manager.</w:t>
      </w:r>
      <w:r w:rsidR="00507B8A">
        <w:rPr>
          <w:rFonts w:eastAsiaTheme="majorEastAsia" w:cstheme="majorBidi"/>
          <w:bCs/>
          <w:szCs w:val="24"/>
        </w:rPr>
        <w:t xml:space="preserve"> This will be a reviewable decision.</w:t>
      </w:r>
    </w:p>
    <w:p w14:paraId="1B1845CF" w14:textId="5836240D" w:rsidR="00507B8A" w:rsidRDefault="00507B8A" w:rsidP="3238681A">
      <w:pPr>
        <w:tabs>
          <w:tab w:val="left" w:pos="1276"/>
        </w:tabs>
        <w:rPr>
          <w:rFonts w:eastAsiaTheme="majorEastAsia" w:cstheme="majorBidi"/>
        </w:rPr>
      </w:pPr>
      <w:r w:rsidRPr="3238681A">
        <w:rPr>
          <w:rFonts w:eastAsiaTheme="majorEastAsia" w:cstheme="majorBidi"/>
        </w:rPr>
        <w:t>This amendment gives waste management businesses or the waste manager the flexibility to amend a registration to reflect routine changes to operations.</w:t>
      </w:r>
      <w:r w:rsidR="008A35C1" w:rsidRPr="3238681A">
        <w:rPr>
          <w:rFonts w:eastAsiaTheme="majorEastAsia" w:cstheme="majorBidi"/>
        </w:rPr>
        <w:t xml:space="preserve"> Reviewable decisions are an important element to legislation because they ensure transparency and equality in decision-making. </w:t>
      </w:r>
    </w:p>
    <w:p w14:paraId="1109C50F" w14:textId="334AC6B2" w:rsidR="00C413D8" w:rsidRDefault="00C413D8" w:rsidP="3238681A">
      <w:pPr>
        <w:tabs>
          <w:tab w:val="left" w:pos="1276"/>
        </w:tabs>
        <w:rPr>
          <w:rFonts w:eastAsiaTheme="majorEastAsia" w:cstheme="majorBidi"/>
          <w:b/>
          <w:bCs/>
        </w:rPr>
      </w:pPr>
      <w:r w:rsidRPr="3238681A">
        <w:rPr>
          <w:rFonts w:eastAsiaTheme="majorEastAsia" w:cstheme="majorBidi"/>
          <w:b/>
          <w:bCs/>
        </w:rPr>
        <w:t xml:space="preserve">Clause </w:t>
      </w:r>
      <w:r w:rsidR="008439B5">
        <w:rPr>
          <w:rFonts w:eastAsiaTheme="majorEastAsia" w:cstheme="majorBidi"/>
          <w:b/>
          <w:bCs/>
        </w:rPr>
        <w:t>109</w:t>
      </w:r>
      <w:r w:rsidRPr="3238681A">
        <w:rPr>
          <w:rFonts w:eastAsiaTheme="majorEastAsia" w:cstheme="majorBidi"/>
          <w:b/>
          <w:bCs/>
        </w:rPr>
        <w:t xml:space="preserve"> </w:t>
      </w:r>
      <w:r w:rsidR="003E1617" w:rsidRPr="3238681A">
        <w:rPr>
          <w:rFonts w:eastAsiaTheme="majorEastAsia" w:cstheme="majorBidi"/>
          <w:b/>
          <w:bCs/>
        </w:rPr>
        <w:t xml:space="preserve"> </w:t>
      </w:r>
      <w:r w:rsidRPr="3238681A">
        <w:rPr>
          <w:rFonts w:eastAsiaTheme="majorEastAsia" w:cstheme="majorBidi"/>
          <w:b/>
          <w:bCs/>
        </w:rPr>
        <w:t>Waste transporter must display registration number Section 35</w:t>
      </w:r>
    </w:p>
    <w:p w14:paraId="2059EA91" w14:textId="1286981C" w:rsidR="00507B8A" w:rsidRDefault="00507B8A" w:rsidP="3238681A">
      <w:pPr>
        <w:tabs>
          <w:tab w:val="left" w:pos="1276"/>
        </w:tabs>
        <w:rPr>
          <w:rFonts w:eastAsiaTheme="majorEastAsia" w:cstheme="majorBidi"/>
          <w:b/>
          <w:bCs/>
        </w:rPr>
      </w:pPr>
      <w:r w:rsidRPr="3238681A">
        <w:rPr>
          <w:rFonts w:eastAsiaTheme="majorEastAsia" w:cstheme="majorBidi"/>
        </w:rPr>
        <w:t>This clause omit</w:t>
      </w:r>
      <w:r w:rsidR="00346212" w:rsidRPr="3238681A">
        <w:rPr>
          <w:rFonts w:eastAsiaTheme="majorEastAsia" w:cstheme="majorBidi"/>
        </w:rPr>
        <w:t>s</w:t>
      </w:r>
      <w:r w:rsidRPr="3238681A">
        <w:rPr>
          <w:rFonts w:eastAsiaTheme="majorEastAsia" w:cstheme="majorBidi"/>
        </w:rPr>
        <w:t xml:space="preserve"> section 35 from the Waste Management Act </w:t>
      </w:r>
      <w:r w:rsidR="00346212" w:rsidRPr="3238681A">
        <w:rPr>
          <w:rFonts w:eastAsiaTheme="majorEastAsia" w:cstheme="majorBidi"/>
        </w:rPr>
        <w:t xml:space="preserve">which </w:t>
      </w:r>
      <w:r w:rsidRPr="3238681A">
        <w:rPr>
          <w:rFonts w:eastAsiaTheme="majorEastAsia" w:cstheme="majorBidi"/>
        </w:rPr>
        <w:t>provide</w:t>
      </w:r>
      <w:r w:rsidR="00346212" w:rsidRPr="3238681A">
        <w:rPr>
          <w:rFonts w:eastAsiaTheme="majorEastAsia" w:cstheme="majorBidi"/>
        </w:rPr>
        <w:t>s</w:t>
      </w:r>
      <w:r w:rsidRPr="3238681A">
        <w:rPr>
          <w:rFonts w:eastAsiaTheme="majorEastAsia" w:cstheme="majorBidi"/>
        </w:rPr>
        <w:t xml:space="preserve"> that a waste transporter must display a registration number. This is intended to be a deregulatory measure to remove a burden on businesses.</w:t>
      </w:r>
    </w:p>
    <w:p w14:paraId="2005D296" w14:textId="123F1DED" w:rsidR="00C413D8" w:rsidRDefault="00C413D8" w:rsidP="00C413D8">
      <w:pPr>
        <w:tabs>
          <w:tab w:val="left" w:pos="1276"/>
        </w:tabs>
        <w:rPr>
          <w:rFonts w:eastAsiaTheme="majorEastAsia" w:cstheme="majorBidi"/>
          <w:b/>
          <w:szCs w:val="24"/>
        </w:rPr>
      </w:pPr>
      <w:r>
        <w:rPr>
          <w:rFonts w:eastAsiaTheme="majorEastAsia" w:cstheme="majorBidi"/>
          <w:b/>
          <w:szCs w:val="24"/>
        </w:rPr>
        <w:t xml:space="preserve">Clause </w:t>
      </w:r>
      <w:r w:rsidR="008439B5">
        <w:rPr>
          <w:rFonts w:eastAsiaTheme="majorEastAsia" w:cstheme="majorBidi"/>
          <w:b/>
          <w:szCs w:val="24"/>
        </w:rPr>
        <w:t>110</w:t>
      </w:r>
      <w:r>
        <w:rPr>
          <w:rFonts w:eastAsiaTheme="majorEastAsia" w:cstheme="majorBidi"/>
          <w:b/>
          <w:szCs w:val="24"/>
        </w:rPr>
        <w:t xml:space="preserve">  Definitions – pt 7 Section 43, definition of </w:t>
      </w:r>
      <w:r>
        <w:rPr>
          <w:rFonts w:eastAsiaTheme="majorEastAsia" w:cstheme="majorBidi"/>
          <w:b/>
          <w:i/>
          <w:iCs/>
          <w:szCs w:val="24"/>
        </w:rPr>
        <w:t>regulatory action</w:t>
      </w:r>
      <w:r>
        <w:rPr>
          <w:rFonts w:eastAsiaTheme="majorEastAsia" w:cstheme="majorBidi"/>
          <w:b/>
          <w:szCs w:val="24"/>
        </w:rPr>
        <w:t>, paragraph (a) (</w:t>
      </w:r>
      <w:proofErr w:type="spellStart"/>
      <w:r>
        <w:rPr>
          <w:rFonts w:eastAsiaTheme="majorEastAsia" w:cstheme="majorBidi"/>
          <w:b/>
          <w:szCs w:val="24"/>
        </w:rPr>
        <w:t>i</w:t>
      </w:r>
      <w:proofErr w:type="spellEnd"/>
      <w:r>
        <w:rPr>
          <w:rFonts w:eastAsiaTheme="majorEastAsia" w:cstheme="majorBidi"/>
          <w:b/>
          <w:szCs w:val="24"/>
        </w:rPr>
        <w:t xml:space="preserve">) </w:t>
      </w:r>
    </w:p>
    <w:p w14:paraId="4367AB51" w14:textId="4C20CC6F" w:rsidR="00C413D8" w:rsidRDefault="009169C2" w:rsidP="00C413D8">
      <w:pPr>
        <w:tabs>
          <w:tab w:val="left" w:pos="1276"/>
        </w:tabs>
        <w:rPr>
          <w:rFonts w:eastAsiaTheme="majorEastAsia" w:cstheme="majorBidi"/>
          <w:bCs/>
          <w:szCs w:val="24"/>
        </w:rPr>
      </w:pPr>
      <w:r>
        <w:rPr>
          <w:rFonts w:eastAsiaTheme="majorEastAsia" w:cstheme="majorBidi"/>
          <w:bCs/>
          <w:szCs w:val="24"/>
        </w:rPr>
        <w:t xml:space="preserve">This clause makes a minor amendment to section 43 of the Waste Management Act which defines regulatory action that can be taken against a licensee. The clause </w:t>
      </w:r>
      <w:r w:rsidR="00E47C59">
        <w:rPr>
          <w:rFonts w:eastAsiaTheme="majorEastAsia" w:cstheme="majorBidi"/>
          <w:bCs/>
          <w:szCs w:val="24"/>
        </w:rPr>
        <w:t>amends section 43 (a) (</w:t>
      </w:r>
      <w:proofErr w:type="spellStart"/>
      <w:r w:rsidR="00E47C59">
        <w:rPr>
          <w:rFonts w:eastAsiaTheme="majorEastAsia" w:cstheme="majorBidi"/>
          <w:bCs/>
          <w:szCs w:val="24"/>
        </w:rPr>
        <w:t>i</w:t>
      </w:r>
      <w:proofErr w:type="spellEnd"/>
      <w:r w:rsidR="00E47C59">
        <w:rPr>
          <w:rFonts w:eastAsiaTheme="majorEastAsia" w:cstheme="majorBidi"/>
          <w:bCs/>
          <w:szCs w:val="24"/>
        </w:rPr>
        <w:t xml:space="preserve">) to omit </w:t>
      </w:r>
      <w:r w:rsidR="00E47C59">
        <w:rPr>
          <w:rFonts w:eastAsiaTheme="majorEastAsia" w:cstheme="majorBidi"/>
          <w:bCs/>
          <w:i/>
          <w:iCs/>
          <w:szCs w:val="24"/>
        </w:rPr>
        <w:t xml:space="preserve">imposing, or amending, </w:t>
      </w:r>
      <w:r w:rsidR="00E47C59">
        <w:rPr>
          <w:rFonts w:eastAsiaTheme="majorEastAsia" w:cstheme="majorBidi"/>
          <w:bCs/>
          <w:szCs w:val="24"/>
        </w:rPr>
        <w:t xml:space="preserve">and replace it with </w:t>
      </w:r>
      <w:r w:rsidR="00E47C59">
        <w:rPr>
          <w:rFonts w:eastAsiaTheme="majorEastAsia" w:cstheme="majorBidi"/>
          <w:bCs/>
          <w:i/>
          <w:iCs/>
          <w:szCs w:val="24"/>
        </w:rPr>
        <w:t>imposing, amending or revoking</w:t>
      </w:r>
      <w:r w:rsidR="00E47C59">
        <w:rPr>
          <w:rFonts w:eastAsiaTheme="majorEastAsia" w:cstheme="majorBidi"/>
          <w:bCs/>
          <w:szCs w:val="24"/>
        </w:rPr>
        <w:t xml:space="preserve"> when referring to</w:t>
      </w:r>
      <w:r>
        <w:rPr>
          <w:rFonts w:eastAsiaTheme="majorEastAsia" w:cstheme="majorBidi"/>
          <w:bCs/>
          <w:szCs w:val="24"/>
        </w:rPr>
        <w:t xml:space="preserve"> </w:t>
      </w:r>
      <w:r w:rsidR="00E47C59">
        <w:rPr>
          <w:rFonts w:eastAsiaTheme="majorEastAsia" w:cstheme="majorBidi"/>
          <w:bCs/>
          <w:szCs w:val="24"/>
        </w:rPr>
        <w:t xml:space="preserve">regulatory </w:t>
      </w:r>
      <w:r>
        <w:rPr>
          <w:rFonts w:eastAsiaTheme="majorEastAsia" w:cstheme="majorBidi"/>
          <w:bCs/>
          <w:szCs w:val="24"/>
        </w:rPr>
        <w:t xml:space="preserve">actions that can be taken regarding conditions on a licence. </w:t>
      </w:r>
    </w:p>
    <w:p w14:paraId="67F3FD68" w14:textId="214F8F8C" w:rsidR="009169C2" w:rsidRDefault="009169C2" w:rsidP="00C413D8">
      <w:pPr>
        <w:tabs>
          <w:tab w:val="left" w:pos="1276"/>
        </w:tabs>
        <w:rPr>
          <w:rFonts w:eastAsiaTheme="majorEastAsia" w:cstheme="majorBidi"/>
          <w:bCs/>
          <w:szCs w:val="24"/>
        </w:rPr>
      </w:pPr>
      <w:r>
        <w:rPr>
          <w:rFonts w:eastAsiaTheme="majorEastAsia" w:cstheme="majorBidi"/>
          <w:bCs/>
          <w:szCs w:val="24"/>
        </w:rPr>
        <w:t>This amendment aligns the definition of regulatory action with new section 23A.</w:t>
      </w:r>
    </w:p>
    <w:p w14:paraId="0BF07C70" w14:textId="77777777" w:rsidR="001960D4" w:rsidRDefault="001960D4" w:rsidP="001960D4">
      <w:pPr>
        <w:tabs>
          <w:tab w:val="left" w:pos="1276"/>
        </w:tabs>
        <w:rPr>
          <w:rFonts w:eastAsiaTheme="majorEastAsia" w:cstheme="majorBidi"/>
          <w:b/>
          <w:szCs w:val="24"/>
        </w:rPr>
      </w:pPr>
    </w:p>
    <w:p w14:paraId="6A60CB92" w14:textId="77777777" w:rsidR="001960D4" w:rsidRDefault="001960D4" w:rsidP="001960D4">
      <w:pPr>
        <w:tabs>
          <w:tab w:val="left" w:pos="1276"/>
        </w:tabs>
        <w:rPr>
          <w:rFonts w:eastAsiaTheme="majorEastAsia" w:cstheme="majorBidi"/>
          <w:b/>
          <w:szCs w:val="24"/>
        </w:rPr>
      </w:pPr>
    </w:p>
    <w:p w14:paraId="19E4B787" w14:textId="59D5CDF8" w:rsidR="001960D4" w:rsidRDefault="001960D4" w:rsidP="001960D4">
      <w:pPr>
        <w:tabs>
          <w:tab w:val="left" w:pos="1276"/>
        </w:tabs>
        <w:rPr>
          <w:rFonts w:eastAsiaTheme="majorEastAsia" w:cstheme="majorBidi"/>
          <w:b/>
          <w:szCs w:val="24"/>
        </w:rPr>
      </w:pPr>
      <w:r>
        <w:rPr>
          <w:rFonts w:eastAsiaTheme="majorEastAsia" w:cstheme="majorBidi"/>
          <w:b/>
          <w:szCs w:val="24"/>
        </w:rPr>
        <w:lastRenderedPageBreak/>
        <w:t xml:space="preserve">Clause 111  Section 43 – definition of </w:t>
      </w:r>
      <w:r>
        <w:rPr>
          <w:rFonts w:eastAsiaTheme="majorEastAsia" w:cstheme="majorBidi"/>
          <w:b/>
          <w:i/>
          <w:iCs/>
          <w:szCs w:val="24"/>
        </w:rPr>
        <w:t>regulatory action</w:t>
      </w:r>
      <w:r>
        <w:rPr>
          <w:rFonts w:eastAsiaTheme="majorEastAsia" w:cstheme="majorBidi"/>
          <w:b/>
          <w:szCs w:val="24"/>
        </w:rPr>
        <w:t>, paragraph (b) (</w:t>
      </w:r>
      <w:proofErr w:type="spellStart"/>
      <w:r>
        <w:rPr>
          <w:rFonts w:eastAsiaTheme="majorEastAsia" w:cstheme="majorBidi"/>
          <w:b/>
          <w:szCs w:val="24"/>
        </w:rPr>
        <w:t>i</w:t>
      </w:r>
      <w:proofErr w:type="spellEnd"/>
      <w:r>
        <w:rPr>
          <w:rFonts w:eastAsiaTheme="majorEastAsia" w:cstheme="majorBidi"/>
          <w:b/>
          <w:szCs w:val="24"/>
        </w:rPr>
        <w:t xml:space="preserve">) </w:t>
      </w:r>
    </w:p>
    <w:p w14:paraId="76618264" w14:textId="5D20BDDE" w:rsidR="001960D4" w:rsidRDefault="001960D4" w:rsidP="001960D4">
      <w:pPr>
        <w:tabs>
          <w:tab w:val="left" w:pos="1276"/>
        </w:tabs>
        <w:rPr>
          <w:rFonts w:eastAsiaTheme="majorEastAsia" w:cstheme="majorBidi"/>
          <w:bCs/>
          <w:szCs w:val="24"/>
        </w:rPr>
      </w:pPr>
      <w:r>
        <w:rPr>
          <w:rFonts w:eastAsiaTheme="majorEastAsia" w:cstheme="majorBidi"/>
          <w:bCs/>
          <w:szCs w:val="24"/>
        </w:rPr>
        <w:t>This clause makes a minor amendment to section 43 of the Waste Management Act which defines regulatory action that can be taken against registered waste transporter. The clause amends section 43 (b) (</w:t>
      </w:r>
      <w:proofErr w:type="spellStart"/>
      <w:r>
        <w:rPr>
          <w:rFonts w:eastAsiaTheme="majorEastAsia" w:cstheme="majorBidi"/>
          <w:bCs/>
          <w:szCs w:val="24"/>
        </w:rPr>
        <w:t>i</w:t>
      </w:r>
      <w:proofErr w:type="spellEnd"/>
      <w:r>
        <w:rPr>
          <w:rFonts w:eastAsiaTheme="majorEastAsia" w:cstheme="majorBidi"/>
          <w:bCs/>
          <w:szCs w:val="24"/>
        </w:rPr>
        <w:t xml:space="preserve">) to omit </w:t>
      </w:r>
      <w:r>
        <w:rPr>
          <w:rFonts w:eastAsiaTheme="majorEastAsia" w:cstheme="majorBidi"/>
          <w:bCs/>
          <w:i/>
          <w:iCs/>
          <w:szCs w:val="24"/>
        </w:rPr>
        <w:t xml:space="preserve">imposing, or amending, </w:t>
      </w:r>
      <w:r>
        <w:rPr>
          <w:rFonts w:eastAsiaTheme="majorEastAsia" w:cstheme="majorBidi"/>
          <w:bCs/>
          <w:szCs w:val="24"/>
        </w:rPr>
        <w:t xml:space="preserve">and replace it with </w:t>
      </w:r>
      <w:r>
        <w:rPr>
          <w:rFonts w:eastAsiaTheme="majorEastAsia" w:cstheme="majorBidi"/>
          <w:bCs/>
          <w:i/>
          <w:iCs/>
          <w:szCs w:val="24"/>
        </w:rPr>
        <w:t>imposing, amending or revoking</w:t>
      </w:r>
      <w:r>
        <w:rPr>
          <w:rFonts w:eastAsiaTheme="majorEastAsia" w:cstheme="majorBidi"/>
          <w:bCs/>
          <w:szCs w:val="24"/>
        </w:rPr>
        <w:t xml:space="preserve"> when referring to regulatory action that can be taken regarding conditions on a registration. </w:t>
      </w:r>
    </w:p>
    <w:p w14:paraId="15D43A0E" w14:textId="53BAB295" w:rsidR="001960D4" w:rsidRDefault="001960D4" w:rsidP="001960D4">
      <w:pPr>
        <w:tabs>
          <w:tab w:val="left" w:pos="1276"/>
        </w:tabs>
        <w:rPr>
          <w:rFonts w:eastAsiaTheme="majorEastAsia" w:cstheme="majorBidi"/>
          <w:bCs/>
          <w:szCs w:val="24"/>
        </w:rPr>
      </w:pPr>
      <w:r>
        <w:rPr>
          <w:rFonts w:eastAsiaTheme="majorEastAsia" w:cstheme="majorBidi"/>
          <w:bCs/>
          <w:szCs w:val="24"/>
        </w:rPr>
        <w:t>This amendment aligns the definition of regulatory action with new section 34B.</w:t>
      </w:r>
    </w:p>
    <w:p w14:paraId="1FEADD57" w14:textId="5697965B" w:rsidR="003E1617" w:rsidRDefault="003E1617" w:rsidP="00393250">
      <w:pPr>
        <w:tabs>
          <w:tab w:val="left" w:pos="1276"/>
        </w:tabs>
        <w:rPr>
          <w:rFonts w:eastAsiaTheme="majorEastAsia" w:cstheme="majorBidi"/>
          <w:b/>
          <w:szCs w:val="24"/>
        </w:rPr>
      </w:pPr>
      <w:r>
        <w:rPr>
          <w:rFonts w:eastAsiaTheme="majorEastAsia" w:cstheme="majorBidi"/>
          <w:b/>
          <w:szCs w:val="24"/>
        </w:rPr>
        <w:t xml:space="preserve">Clause </w:t>
      </w:r>
      <w:r w:rsidR="001960D4">
        <w:rPr>
          <w:rFonts w:eastAsiaTheme="majorEastAsia" w:cstheme="majorBidi"/>
          <w:b/>
          <w:szCs w:val="24"/>
        </w:rPr>
        <w:t>112</w:t>
      </w:r>
      <w:r>
        <w:rPr>
          <w:rFonts w:eastAsiaTheme="majorEastAsia" w:cstheme="majorBidi"/>
          <w:b/>
          <w:szCs w:val="24"/>
        </w:rPr>
        <w:t xml:space="preserve">  Taking regulatory action Section 46 (2) a)</w:t>
      </w:r>
    </w:p>
    <w:p w14:paraId="5529564E" w14:textId="330B609F" w:rsidR="00E47C59" w:rsidRDefault="00E47C59" w:rsidP="3238681A">
      <w:pPr>
        <w:tabs>
          <w:tab w:val="left" w:pos="1276"/>
        </w:tabs>
        <w:rPr>
          <w:rFonts w:eastAsiaTheme="majorEastAsia" w:cstheme="majorBidi"/>
        </w:rPr>
      </w:pPr>
      <w:r w:rsidRPr="3238681A">
        <w:rPr>
          <w:rFonts w:eastAsiaTheme="majorEastAsia" w:cstheme="majorBidi"/>
        </w:rPr>
        <w:t xml:space="preserve">This clause makes a minor amendment to section 46 (2) (a) of the Waste Management Act to omit </w:t>
      </w:r>
      <w:r w:rsidRPr="3238681A">
        <w:rPr>
          <w:rFonts w:eastAsiaTheme="majorEastAsia" w:cstheme="majorBidi"/>
          <w:i/>
          <w:iCs/>
        </w:rPr>
        <w:t xml:space="preserve">imposing or amending </w:t>
      </w:r>
      <w:r w:rsidRPr="3238681A">
        <w:rPr>
          <w:rFonts w:eastAsiaTheme="majorEastAsia" w:cstheme="majorBidi"/>
        </w:rPr>
        <w:t xml:space="preserve">and replace it with </w:t>
      </w:r>
      <w:r w:rsidRPr="3238681A">
        <w:rPr>
          <w:rFonts w:eastAsiaTheme="majorEastAsia" w:cstheme="majorBidi"/>
          <w:i/>
          <w:iCs/>
        </w:rPr>
        <w:t>imposing, amending or revoking</w:t>
      </w:r>
      <w:r w:rsidRPr="3238681A">
        <w:rPr>
          <w:rFonts w:eastAsiaTheme="majorEastAsia" w:cstheme="majorBidi"/>
        </w:rPr>
        <w:t>. This amendment aligns section 46 (2) (a) with new sections 23A and 34B inserted into the Waste Management Act.</w:t>
      </w:r>
    </w:p>
    <w:p w14:paraId="631B1FA5" w14:textId="75D1555F" w:rsidR="00E47C59" w:rsidRDefault="00393250" w:rsidP="3238681A">
      <w:pPr>
        <w:tabs>
          <w:tab w:val="left" w:pos="1276"/>
        </w:tabs>
        <w:rPr>
          <w:rFonts w:eastAsiaTheme="majorEastAsia" w:cstheme="majorBidi"/>
          <w:b/>
          <w:bCs/>
        </w:rPr>
      </w:pPr>
      <w:r w:rsidRPr="3238681A">
        <w:rPr>
          <w:rFonts w:eastAsiaTheme="majorEastAsia" w:cstheme="majorBidi"/>
          <w:b/>
          <w:bCs/>
        </w:rPr>
        <w:t xml:space="preserve">Clause </w:t>
      </w:r>
      <w:r w:rsidR="001960D4">
        <w:rPr>
          <w:rFonts w:eastAsiaTheme="majorEastAsia" w:cstheme="majorBidi"/>
          <w:b/>
          <w:bCs/>
        </w:rPr>
        <w:t>113</w:t>
      </w:r>
      <w:r w:rsidRPr="3238681A">
        <w:rPr>
          <w:rFonts w:eastAsiaTheme="majorEastAsia" w:cstheme="majorBidi"/>
          <w:b/>
          <w:bCs/>
        </w:rPr>
        <w:t xml:space="preserve">  Section 46 (2) (a)</w:t>
      </w:r>
    </w:p>
    <w:p w14:paraId="102FEF51" w14:textId="347497B7" w:rsidR="003B6573" w:rsidRDefault="008A0840" w:rsidP="3238681A">
      <w:pPr>
        <w:tabs>
          <w:tab w:val="left" w:pos="1276"/>
        </w:tabs>
        <w:rPr>
          <w:rFonts w:eastAsiaTheme="majorEastAsia" w:cstheme="majorBidi"/>
        </w:rPr>
      </w:pPr>
      <w:r w:rsidRPr="3238681A">
        <w:rPr>
          <w:rFonts w:eastAsiaTheme="majorEastAsia" w:cstheme="majorBidi"/>
        </w:rPr>
        <w:t xml:space="preserve">This clause makes a minor amendment to section 46 (2) (a) of the Waste Management Act to omit </w:t>
      </w:r>
      <w:r w:rsidRPr="3238681A">
        <w:rPr>
          <w:rFonts w:eastAsiaTheme="majorEastAsia" w:cstheme="majorBidi"/>
          <w:i/>
          <w:iCs/>
        </w:rPr>
        <w:t xml:space="preserve">impose or amend </w:t>
      </w:r>
      <w:r w:rsidRPr="3238681A">
        <w:rPr>
          <w:rFonts w:eastAsiaTheme="majorEastAsia" w:cstheme="majorBidi"/>
        </w:rPr>
        <w:t xml:space="preserve">and replace it with </w:t>
      </w:r>
      <w:r w:rsidRPr="3238681A">
        <w:rPr>
          <w:rFonts w:eastAsiaTheme="majorEastAsia" w:cstheme="majorBidi"/>
          <w:i/>
          <w:iCs/>
        </w:rPr>
        <w:t>impose, amend or revoke</w:t>
      </w:r>
      <w:r w:rsidR="00D9407F" w:rsidRPr="3238681A">
        <w:rPr>
          <w:rFonts w:eastAsiaTheme="majorEastAsia" w:cstheme="majorBidi"/>
        </w:rPr>
        <w:t>. This amendment aligns section 46 (2) (a) with new sections 23A and 34B inserted into the Waste Management Act.</w:t>
      </w:r>
    </w:p>
    <w:p w14:paraId="47245D6C" w14:textId="7A86E8B7" w:rsidR="00D30788" w:rsidRDefault="00D30788"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114</w:t>
      </w:r>
      <w:r w:rsidRPr="2D3205B8">
        <w:rPr>
          <w:rFonts w:eastAsiaTheme="majorEastAsia" w:cstheme="majorBidi"/>
          <w:b/>
          <w:bCs/>
        </w:rPr>
        <w:t xml:space="preserve">  Section 64V (6)</w:t>
      </w:r>
    </w:p>
    <w:p w14:paraId="5920DA64" w14:textId="29C097B8" w:rsidR="00D30788" w:rsidRDefault="00D30788" w:rsidP="2D3205B8">
      <w:pPr>
        <w:tabs>
          <w:tab w:val="left" w:pos="1276"/>
        </w:tabs>
        <w:rPr>
          <w:rFonts w:eastAsiaTheme="majorEastAsia" w:cstheme="majorBidi"/>
        </w:rPr>
      </w:pPr>
      <w:r w:rsidRPr="2D3205B8">
        <w:rPr>
          <w:rFonts w:eastAsiaTheme="majorEastAsia" w:cstheme="majorBidi"/>
        </w:rPr>
        <w:t xml:space="preserve">This clause makes a minor amendment to section 64V (6) of the Waste Management Act to insert </w:t>
      </w:r>
      <w:r w:rsidRPr="2D3205B8">
        <w:rPr>
          <w:rFonts w:eastAsiaTheme="majorEastAsia" w:cstheme="majorBidi"/>
          <w:i/>
          <w:iCs/>
        </w:rPr>
        <w:t xml:space="preserve">granted under this section </w:t>
      </w:r>
      <w:r w:rsidRPr="2D3205B8">
        <w:rPr>
          <w:rFonts w:eastAsiaTheme="majorEastAsia" w:cstheme="majorBidi"/>
        </w:rPr>
        <w:t xml:space="preserve">after </w:t>
      </w:r>
      <w:r w:rsidRPr="2D3205B8">
        <w:rPr>
          <w:rFonts w:eastAsiaTheme="majorEastAsia" w:cstheme="majorBidi"/>
          <w:i/>
          <w:iCs/>
        </w:rPr>
        <w:t>container approval</w:t>
      </w:r>
      <w:r w:rsidRPr="2D3205B8">
        <w:rPr>
          <w:rFonts w:eastAsiaTheme="majorEastAsia" w:cstheme="majorBidi"/>
        </w:rPr>
        <w:t>. This provide</w:t>
      </w:r>
      <w:r w:rsidR="00AC566D" w:rsidRPr="2D3205B8">
        <w:rPr>
          <w:rFonts w:eastAsiaTheme="majorEastAsia" w:cstheme="majorBidi"/>
        </w:rPr>
        <w:t>s</w:t>
      </w:r>
      <w:r w:rsidRPr="2D3205B8">
        <w:rPr>
          <w:rFonts w:eastAsiaTheme="majorEastAsia" w:cstheme="majorBidi"/>
        </w:rPr>
        <w:t xml:space="preserve"> additional clarity to the interpretation of the section following amendments.</w:t>
      </w:r>
    </w:p>
    <w:p w14:paraId="3664DAD3" w14:textId="25A59C50" w:rsidR="001F10B6" w:rsidRDefault="001F10B6"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115</w:t>
      </w:r>
      <w:r w:rsidRPr="2D3205B8">
        <w:rPr>
          <w:rFonts w:eastAsiaTheme="majorEastAsia" w:cstheme="majorBidi"/>
          <w:b/>
          <w:bCs/>
        </w:rPr>
        <w:t xml:space="preserve">  Section 64V (7)</w:t>
      </w:r>
    </w:p>
    <w:p w14:paraId="1C3C455A" w14:textId="102428BE" w:rsidR="00D30788" w:rsidRDefault="001F10B6" w:rsidP="2D3205B8">
      <w:pPr>
        <w:tabs>
          <w:tab w:val="left" w:pos="1276"/>
        </w:tabs>
        <w:rPr>
          <w:rFonts w:eastAsiaTheme="majorEastAsia" w:cstheme="majorBidi"/>
          <w:b/>
          <w:bCs/>
        </w:rPr>
      </w:pPr>
      <w:r w:rsidRPr="2D3205B8">
        <w:rPr>
          <w:rFonts w:eastAsiaTheme="majorEastAsia" w:cstheme="majorBidi"/>
        </w:rPr>
        <w:t xml:space="preserve">This clause makes a minor amendment to section 64V (7) of the Waste Management Act to insert </w:t>
      </w:r>
      <w:r w:rsidRPr="2D3205B8">
        <w:rPr>
          <w:rFonts w:eastAsiaTheme="majorEastAsia" w:cstheme="majorBidi"/>
          <w:i/>
          <w:iCs/>
        </w:rPr>
        <w:t xml:space="preserve">granted under this section </w:t>
      </w:r>
      <w:r w:rsidRPr="2D3205B8">
        <w:rPr>
          <w:rFonts w:eastAsiaTheme="majorEastAsia" w:cstheme="majorBidi"/>
        </w:rPr>
        <w:t xml:space="preserve">after </w:t>
      </w:r>
      <w:r w:rsidRPr="2D3205B8">
        <w:rPr>
          <w:rFonts w:eastAsiaTheme="majorEastAsia" w:cstheme="majorBidi"/>
          <w:i/>
          <w:iCs/>
        </w:rPr>
        <w:t>container approval</w:t>
      </w:r>
      <w:r w:rsidRPr="2D3205B8">
        <w:rPr>
          <w:rFonts w:eastAsiaTheme="majorEastAsia" w:cstheme="majorBidi"/>
        </w:rPr>
        <w:t>. This provide</w:t>
      </w:r>
      <w:r w:rsidR="00AC566D" w:rsidRPr="2D3205B8">
        <w:rPr>
          <w:rFonts w:eastAsiaTheme="majorEastAsia" w:cstheme="majorBidi"/>
        </w:rPr>
        <w:t>s</w:t>
      </w:r>
      <w:r w:rsidRPr="2D3205B8">
        <w:rPr>
          <w:rFonts w:eastAsiaTheme="majorEastAsia" w:cstheme="majorBidi"/>
        </w:rPr>
        <w:t xml:space="preserve"> additional clarity to the interpretation of the section following amendments</w:t>
      </w:r>
    </w:p>
    <w:p w14:paraId="372B7DBB" w14:textId="5D590F08" w:rsidR="001F10B6" w:rsidRDefault="001F10B6"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116</w:t>
      </w:r>
      <w:r w:rsidRPr="2D3205B8">
        <w:rPr>
          <w:rFonts w:eastAsiaTheme="majorEastAsia" w:cstheme="majorBidi"/>
          <w:b/>
          <w:bCs/>
        </w:rPr>
        <w:t xml:space="preserve">  Section 64V (8) and (9)</w:t>
      </w:r>
    </w:p>
    <w:p w14:paraId="72224B8A" w14:textId="7B95F50E" w:rsidR="008A35C1" w:rsidRDefault="001F10B6" w:rsidP="2D3205B8">
      <w:pPr>
        <w:tabs>
          <w:tab w:val="left" w:pos="1276"/>
        </w:tabs>
        <w:rPr>
          <w:rFonts w:eastAsiaTheme="majorEastAsia" w:cstheme="majorBidi"/>
        </w:rPr>
      </w:pPr>
      <w:r w:rsidRPr="2D3205B8">
        <w:rPr>
          <w:rFonts w:eastAsiaTheme="majorEastAsia" w:cstheme="majorBidi"/>
        </w:rPr>
        <w:t>This clause remove</w:t>
      </w:r>
      <w:r w:rsidR="00C023CD" w:rsidRPr="2D3205B8">
        <w:rPr>
          <w:rFonts w:eastAsiaTheme="majorEastAsia" w:cstheme="majorBidi"/>
        </w:rPr>
        <w:t>s</w:t>
      </w:r>
      <w:r w:rsidRPr="2D3205B8">
        <w:rPr>
          <w:rFonts w:eastAsiaTheme="majorEastAsia" w:cstheme="majorBidi"/>
        </w:rPr>
        <w:t xml:space="preserve"> the strict liability offence and maximum penalty units from section 64V</w:t>
      </w:r>
      <w:r w:rsidR="008A35C1" w:rsidRPr="2D3205B8">
        <w:rPr>
          <w:rFonts w:eastAsiaTheme="majorEastAsia" w:cstheme="majorBidi"/>
        </w:rPr>
        <w:t xml:space="preserve"> (8) and (9) </w:t>
      </w:r>
      <w:r w:rsidR="00C023CD" w:rsidRPr="2D3205B8">
        <w:rPr>
          <w:rFonts w:eastAsiaTheme="majorEastAsia" w:cstheme="majorBidi"/>
        </w:rPr>
        <w:t xml:space="preserve">of the Waste Management Act </w:t>
      </w:r>
      <w:r w:rsidR="008A35C1" w:rsidRPr="2D3205B8">
        <w:rPr>
          <w:rFonts w:eastAsiaTheme="majorEastAsia" w:cstheme="majorBidi"/>
        </w:rPr>
        <w:t>if a person holds a container approval and fails to comply with a condition of the approval, as this is superseded by new section 64VA.</w:t>
      </w:r>
    </w:p>
    <w:p w14:paraId="7C5B66CD" w14:textId="1E46A7DD" w:rsidR="008A35C1" w:rsidRDefault="008A35C1"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117</w:t>
      </w:r>
      <w:r w:rsidRPr="2D3205B8">
        <w:rPr>
          <w:rFonts w:eastAsiaTheme="majorEastAsia" w:cstheme="majorBidi"/>
          <w:b/>
          <w:bCs/>
        </w:rPr>
        <w:t xml:space="preserve">  New section 64VA </w:t>
      </w:r>
    </w:p>
    <w:p w14:paraId="0A2303F4" w14:textId="43C7AE2C" w:rsidR="008A35C1" w:rsidRDefault="008A35C1" w:rsidP="2D3205B8">
      <w:pPr>
        <w:tabs>
          <w:tab w:val="left" w:pos="1276"/>
        </w:tabs>
        <w:rPr>
          <w:rFonts w:eastAsiaTheme="majorEastAsia" w:cstheme="majorBidi"/>
        </w:rPr>
      </w:pPr>
      <w:r w:rsidRPr="2D3205B8">
        <w:rPr>
          <w:rFonts w:eastAsiaTheme="majorEastAsia" w:cstheme="majorBidi"/>
        </w:rPr>
        <w:t>This clause insert</w:t>
      </w:r>
      <w:r w:rsidR="00DF552D" w:rsidRPr="2D3205B8">
        <w:rPr>
          <w:rFonts w:eastAsiaTheme="majorEastAsia" w:cstheme="majorBidi"/>
        </w:rPr>
        <w:t>s</w:t>
      </w:r>
      <w:r w:rsidRPr="2D3205B8">
        <w:rPr>
          <w:rFonts w:eastAsiaTheme="majorEastAsia" w:cstheme="majorBidi"/>
        </w:rPr>
        <w:t xml:space="preserve"> a new </w:t>
      </w:r>
      <w:r w:rsidR="00DF552D" w:rsidRPr="2D3205B8">
        <w:rPr>
          <w:rFonts w:eastAsiaTheme="majorEastAsia" w:cstheme="majorBidi"/>
        </w:rPr>
        <w:t xml:space="preserve">section 64VA into the Waste Management Act that provides </w:t>
      </w:r>
      <w:r w:rsidRPr="2D3205B8">
        <w:rPr>
          <w:rFonts w:eastAsiaTheme="majorEastAsia" w:cstheme="majorBidi"/>
        </w:rPr>
        <w:t xml:space="preserve">for the contravention of a container approval condition. </w:t>
      </w:r>
      <w:r w:rsidR="008C622D" w:rsidRPr="2D3205B8">
        <w:rPr>
          <w:rFonts w:eastAsiaTheme="majorEastAsia" w:cstheme="majorBidi"/>
        </w:rPr>
        <w:t xml:space="preserve">Under this new provision, a </w:t>
      </w:r>
      <w:r w:rsidRPr="2D3205B8">
        <w:rPr>
          <w:rFonts w:eastAsiaTheme="majorEastAsia" w:cstheme="majorBidi"/>
        </w:rPr>
        <w:t xml:space="preserve">person will commit an offence if they hold a container approval and they fail to comply with a condition of the approval. This is a strict liability offence and the </w:t>
      </w:r>
      <w:r w:rsidRPr="2D3205B8">
        <w:rPr>
          <w:rFonts w:eastAsiaTheme="majorEastAsia" w:cstheme="majorBidi"/>
        </w:rPr>
        <w:lastRenderedPageBreak/>
        <w:t xml:space="preserve">maximum penalty is 50 penalty units. This replaces previous section 64V (8) and (9). </w:t>
      </w:r>
      <w:r w:rsidR="008C622D" w:rsidRPr="2D3205B8">
        <w:rPr>
          <w:rFonts w:eastAsiaTheme="majorEastAsia" w:cstheme="majorBidi"/>
        </w:rPr>
        <w:t>Making the provision under</w:t>
      </w:r>
      <w:r w:rsidRPr="2D3205B8">
        <w:rPr>
          <w:rFonts w:eastAsiaTheme="majorEastAsia" w:cstheme="majorBidi"/>
        </w:rPr>
        <w:t xml:space="preserve"> a separate section in the Waste Management Act </w:t>
      </w:r>
      <w:r w:rsidR="008C622D" w:rsidRPr="2D3205B8">
        <w:rPr>
          <w:rFonts w:eastAsiaTheme="majorEastAsia" w:cstheme="majorBidi"/>
        </w:rPr>
        <w:t>improves the clarity of</w:t>
      </w:r>
      <w:r w:rsidRPr="2D3205B8">
        <w:rPr>
          <w:rFonts w:eastAsiaTheme="majorEastAsia" w:cstheme="majorBidi"/>
        </w:rPr>
        <w:t xml:space="preserve"> the Act.</w:t>
      </w:r>
      <w:r w:rsidR="00AE39C8">
        <w:rPr>
          <w:rFonts w:eastAsiaTheme="majorEastAsia" w:cstheme="majorBidi"/>
        </w:rPr>
        <w:t xml:space="preserve"> The offence and penalty are not changed. </w:t>
      </w:r>
    </w:p>
    <w:p w14:paraId="2A2431B2" w14:textId="575AECC6" w:rsidR="003B6573" w:rsidRDefault="003B6573"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118</w:t>
      </w:r>
      <w:r w:rsidRPr="2D3205B8">
        <w:rPr>
          <w:rFonts w:eastAsiaTheme="majorEastAsia" w:cstheme="majorBidi"/>
          <w:b/>
          <w:bCs/>
        </w:rPr>
        <w:t xml:space="preserve">  Reviewable decisions Schedule 1, new item</w:t>
      </w:r>
      <w:r w:rsidR="008A35C1" w:rsidRPr="2D3205B8">
        <w:rPr>
          <w:rFonts w:eastAsiaTheme="majorEastAsia" w:cstheme="majorBidi"/>
          <w:b/>
          <w:bCs/>
        </w:rPr>
        <w:t>s</w:t>
      </w:r>
      <w:r w:rsidRPr="2D3205B8">
        <w:rPr>
          <w:rFonts w:eastAsiaTheme="majorEastAsia" w:cstheme="majorBidi"/>
          <w:b/>
          <w:bCs/>
        </w:rPr>
        <w:t xml:space="preserve"> 3A</w:t>
      </w:r>
      <w:r w:rsidR="008A35C1" w:rsidRPr="2D3205B8">
        <w:rPr>
          <w:rFonts w:eastAsiaTheme="majorEastAsia" w:cstheme="majorBidi"/>
          <w:b/>
          <w:bCs/>
        </w:rPr>
        <w:t xml:space="preserve"> to 3C</w:t>
      </w:r>
    </w:p>
    <w:p w14:paraId="0EC9240E" w14:textId="617E3EA5" w:rsidR="003B6573" w:rsidRPr="00A02053" w:rsidRDefault="00A02053" w:rsidP="2D3205B8">
      <w:pPr>
        <w:tabs>
          <w:tab w:val="left" w:pos="1276"/>
        </w:tabs>
        <w:rPr>
          <w:rFonts w:eastAsiaTheme="majorEastAsia" w:cstheme="majorBidi"/>
        </w:rPr>
      </w:pPr>
      <w:r w:rsidRPr="2D3205B8">
        <w:rPr>
          <w:rFonts w:eastAsiaTheme="majorEastAsia" w:cstheme="majorBidi"/>
        </w:rPr>
        <w:t>This clause insert</w:t>
      </w:r>
      <w:r w:rsidR="00024BE8" w:rsidRPr="2D3205B8">
        <w:rPr>
          <w:rFonts w:eastAsiaTheme="majorEastAsia" w:cstheme="majorBidi"/>
        </w:rPr>
        <w:t>s</w:t>
      </w:r>
      <w:r w:rsidRPr="2D3205B8">
        <w:rPr>
          <w:rFonts w:eastAsiaTheme="majorEastAsia" w:cstheme="majorBidi"/>
        </w:rPr>
        <w:t xml:space="preserve"> new reviewable decision</w:t>
      </w:r>
      <w:r w:rsidR="008A35C1" w:rsidRPr="2D3205B8">
        <w:rPr>
          <w:rFonts w:eastAsiaTheme="majorEastAsia" w:cstheme="majorBidi"/>
        </w:rPr>
        <w:t>s</w:t>
      </w:r>
      <w:r w:rsidRPr="2D3205B8">
        <w:rPr>
          <w:rFonts w:eastAsiaTheme="majorEastAsia" w:cstheme="majorBidi"/>
        </w:rPr>
        <w:t xml:space="preserve"> 3A</w:t>
      </w:r>
      <w:r w:rsidR="008A35C1" w:rsidRPr="2D3205B8">
        <w:rPr>
          <w:rFonts w:eastAsiaTheme="majorEastAsia" w:cstheme="majorBidi"/>
        </w:rPr>
        <w:t xml:space="preserve">, B and C </w:t>
      </w:r>
      <w:r w:rsidRPr="2D3205B8">
        <w:rPr>
          <w:rFonts w:eastAsiaTheme="majorEastAsia" w:cstheme="majorBidi"/>
        </w:rPr>
        <w:t>in Schedule 1</w:t>
      </w:r>
      <w:r w:rsidR="00024BE8" w:rsidRPr="2D3205B8">
        <w:rPr>
          <w:rFonts w:eastAsiaTheme="majorEastAsia" w:cstheme="majorBidi"/>
        </w:rPr>
        <w:t xml:space="preserve"> of the Waste Management Act</w:t>
      </w:r>
      <w:r w:rsidRPr="2D3205B8">
        <w:rPr>
          <w:rFonts w:eastAsiaTheme="majorEastAsia" w:cstheme="majorBidi"/>
        </w:rPr>
        <w:t xml:space="preserve">. This is in relation to new section 23A which is </w:t>
      </w:r>
      <w:r w:rsidR="008A35C1" w:rsidRPr="2D3205B8">
        <w:rPr>
          <w:rFonts w:eastAsiaTheme="majorEastAsia" w:cstheme="majorBidi"/>
        </w:rPr>
        <w:t xml:space="preserve">the amending of a licence or </w:t>
      </w:r>
      <w:r w:rsidRPr="2D3205B8">
        <w:rPr>
          <w:rFonts w:eastAsiaTheme="majorEastAsia" w:cstheme="majorBidi"/>
        </w:rPr>
        <w:t xml:space="preserve">the refusal to amend a licence. The decision-maker will be the waste manager, which aligns with the reviewable decisions already provided in the Waste Management Act. </w:t>
      </w:r>
      <w:r w:rsidR="004E4DA2" w:rsidRPr="2D3205B8">
        <w:rPr>
          <w:rFonts w:eastAsiaTheme="majorEastAsia" w:cstheme="majorBidi"/>
        </w:rPr>
        <w:t>Reviewable decisions are an important element to legislation because they ensure transparency and equality in decision-making. </w:t>
      </w:r>
    </w:p>
    <w:p w14:paraId="1C68022A" w14:textId="5BC262B7" w:rsidR="003B6573" w:rsidRDefault="003B6573"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119</w:t>
      </w:r>
      <w:r w:rsidRPr="2D3205B8">
        <w:rPr>
          <w:rFonts w:eastAsiaTheme="majorEastAsia" w:cstheme="majorBidi"/>
          <w:b/>
          <w:bCs/>
        </w:rPr>
        <w:t xml:space="preserve">  Schedule 1, item 4</w:t>
      </w:r>
    </w:p>
    <w:p w14:paraId="3A883F60" w14:textId="41F634F0" w:rsidR="004E4DA2" w:rsidRPr="00A02053" w:rsidRDefault="004E4DA2" w:rsidP="2D3205B8">
      <w:pPr>
        <w:tabs>
          <w:tab w:val="left" w:pos="1276"/>
        </w:tabs>
        <w:rPr>
          <w:rFonts w:eastAsiaTheme="majorEastAsia" w:cstheme="majorBidi"/>
        </w:rPr>
      </w:pPr>
      <w:r w:rsidRPr="2D3205B8">
        <w:rPr>
          <w:rFonts w:eastAsiaTheme="majorEastAsia" w:cstheme="majorBidi"/>
        </w:rPr>
        <w:t>This clause amend</w:t>
      </w:r>
      <w:r w:rsidR="00024BE8" w:rsidRPr="2D3205B8">
        <w:rPr>
          <w:rFonts w:eastAsiaTheme="majorEastAsia" w:cstheme="majorBidi"/>
        </w:rPr>
        <w:t>s</w:t>
      </w:r>
      <w:r w:rsidRPr="2D3205B8">
        <w:rPr>
          <w:rFonts w:eastAsiaTheme="majorEastAsia" w:cstheme="majorBidi"/>
        </w:rPr>
        <w:t xml:space="preserve"> reviewable decision 4 in Schedule 1</w:t>
      </w:r>
      <w:r w:rsidR="00024BE8" w:rsidRPr="2D3205B8">
        <w:rPr>
          <w:rFonts w:eastAsiaTheme="majorEastAsia" w:cstheme="majorBidi"/>
        </w:rPr>
        <w:t xml:space="preserve"> of the Waste Management Act</w:t>
      </w:r>
      <w:r w:rsidRPr="2D3205B8">
        <w:rPr>
          <w:rFonts w:eastAsiaTheme="majorEastAsia" w:cstheme="majorBidi"/>
        </w:rPr>
        <w:t xml:space="preserve">. This is in relation to section 32 (2) </w:t>
      </w:r>
      <w:r w:rsidR="00024BE8" w:rsidRPr="2D3205B8">
        <w:rPr>
          <w:rFonts w:eastAsiaTheme="majorEastAsia" w:cstheme="majorBidi"/>
        </w:rPr>
        <w:t xml:space="preserve">of the Act </w:t>
      </w:r>
      <w:r w:rsidRPr="2D3205B8">
        <w:rPr>
          <w:rFonts w:eastAsiaTheme="majorEastAsia" w:cstheme="majorBidi"/>
        </w:rPr>
        <w:t>which is now the refusal to consider an application until additional information is provided upon application. The decision-maker remains the waste manager. This amendment align</w:t>
      </w:r>
      <w:r w:rsidR="00024BE8" w:rsidRPr="2D3205B8">
        <w:rPr>
          <w:rFonts w:eastAsiaTheme="majorEastAsia" w:cstheme="majorBidi"/>
        </w:rPr>
        <w:t>s</w:t>
      </w:r>
      <w:r w:rsidRPr="2D3205B8">
        <w:rPr>
          <w:rFonts w:eastAsiaTheme="majorEastAsia" w:cstheme="majorBidi"/>
        </w:rPr>
        <w:t xml:space="preserve"> the reviewable decision with other amendments to the Waste Management Act. </w:t>
      </w:r>
      <w:r w:rsidR="008A35C1" w:rsidRPr="2D3205B8">
        <w:rPr>
          <w:rFonts w:eastAsiaTheme="majorEastAsia" w:cstheme="majorBidi"/>
        </w:rPr>
        <w:t>Reviewable decisions are an important element to legislation because they ensure transparency and equality in decision-making. </w:t>
      </w:r>
    </w:p>
    <w:p w14:paraId="775D0FB7" w14:textId="2A9E216F" w:rsidR="003B6573" w:rsidRDefault="003B6573"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120</w:t>
      </w:r>
      <w:r w:rsidRPr="2D3205B8">
        <w:rPr>
          <w:rFonts w:eastAsiaTheme="majorEastAsia" w:cstheme="majorBidi"/>
          <w:b/>
          <w:bCs/>
        </w:rPr>
        <w:t xml:space="preserve">  Schedule1, new item</w:t>
      </w:r>
      <w:r w:rsidR="00AE39C8">
        <w:rPr>
          <w:rFonts w:eastAsiaTheme="majorEastAsia" w:cstheme="majorBidi"/>
          <w:b/>
          <w:bCs/>
        </w:rPr>
        <w:t>s</w:t>
      </w:r>
      <w:r w:rsidRPr="2D3205B8">
        <w:rPr>
          <w:rFonts w:eastAsiaTheme="majorEastAsia" w:cstheme="majorBidi"/>
          <w:b/>
          <w:bCs/>
        </w:rPr>
        <w:t xml:space="preserve"> 6A</w:t>
      </w:r>
      <w:r w:rsidR="00AE39C8">
        <w:rPr>
          <w:rFonts w:eastAsiaTheme="majorEastAsia" w:cstheme="majorBidi"/>
          <w:b/>
          <w:bCs/>
        </w:rPr>
        <w:t xml:space="preserve"> to 6C</w:t>
      </w:r>
    </w:p>
    <w:p w14:paraId="7203CF7E" w14:textId="3F31B5B3" w:rsidR="004E4DA2" w:rsidRPr="00A02053" w:rsidRDefault="004E4DA2" w:rsidP="2D3205B8">
      <w:pPr>
        <w:tabs>
          <w:tab w:val="left" w:pos="1276"/>
        </w:tabs>
        <w:rPr>
          <w:rFonts w:eastAsiaTheme="majorEastAsia" w:cstheme="majorBidi"/>
        </w:rPr>
      </w:pPr>
      <w:r w:rsidRPr="2D3205B8">
        <w:rPr>
          <w:rFonts w:eastAsiaTheme="majorEastAsia" w:cstheme="majorBidi"/>
        </w:rPr>
        <w:t>This clause insert</w:t>
      </w:r>
      <w:r w:rsidR="005A0E9B" w:rsidRPr="2D3205B8">
        <w:rPr>
          <w:rFonts w:eastAsiaTheme="majorEastAsia" w:cstheme="majorBidi"/>
        </w:rPr>
        <w:t>s</w:t>
      </w:r>
      <w:r w:rsidRPr="2D3205B8">
        <w:rPr>
          <w:rFonts w:eastAsiaTheme="majorEastAsia" w:cstheme="majorBidi"/>
        </w:rPr>
        <w:t xml:space="preserve"> new reviewable decision</w:t>
      </w:r>
      <w:r w:rsidR="008A35C1" w:rsidRPr="2D3205B8">
        <w:rPr>
          <w:rFonts w:eastAsiaTheme="majorEastAsia" w:cstheme="majorBidi"/>
        </w:rPr>
        <w:t>s</w:t>
      </w:r>
      <w:r w:rsidRPr="2D3205B8">
        <w:rPr>
          <w:rFonts w:eastAsiaTheme="majorEastAsia" w:cstheme="majorBidi"/>
        </w:rPr>
        <w:t xml:space="preserve"> 6A</w:t>
      </w:r>
      <w:r w:rsidR="008A35C1" w:rsidRPr="2D3205B8">
        <w:rPr>
          <w:rFonts w:eastAsiaTheme="majorEastAsia" w:cstheme="majorBidi"/>
        </w:rPr>
        <w:t>, B and C</w:t>
      </w:r>
      <w:r w:rsidRPr="2D3205B8">
        <w:rPr>
          <w:rFonts w:eastAsiaTheme="majorEastAsia" w:cstheme="majorBidi"/>
        </w:rPr>
        <w:t xml:space="preserve"> in Schedule 1</w:t>
      </w:r>
      <w:r w:rsidR="005A0E9B" w:rsidRPr="2D3205B8">
        <w:rPr>
          <w:rFonts w:eastAsiaTheme="majorEastAsia" w:cstheme="majorBidi"/>
        </w:rPr>
        <w:t xml:space="preserve"> of the Waste Management Act</w:t>
      </w:r>
      <w:r w:rsidRPr="2D3205B8">
        <w:rPr>
          <w:rFonts w:eastAsiaTheme="majorEastAsia" w:cstheme="majorBidi"/>
        </w:rPr>
        <w:t xml:space="preserve">. This is in relation to new section 34B </w:t>
      </w:r>
      <w:r w:rsidR="005A0E9B" w:rsidRPr="2D3205B8">
        <w:rPr>
          <w:rFonts w:eastAsiaTheme="majorEastAsia" w:cstheme="majorBidi"/>
        </w:rPr>
        <w:t xml:space="preserve">of the Act </w:t>
      </w:r>
      <w:r w:rsidRPr="2D3205B8">
        <w:rPr>
          <w:rFonts w:eastAsiaTheme="majorEastAsia" w:cstheme="majorBidi"/>
        </w:rPr>
        <w:t xml:space="preserve">which is </w:t>
      </w:r>
      <w:r w:rsidR="008A35C1" w:rsidRPr="2D3205B8">
        <w:rPr>
          <w:rFonts w:eastAsiaTheme="majorEastAsia" w:cstheme="majorBidi"/>
        </w:rPr>
        <w:t xml:space="preserve">the amendment of a registration and </w:t>
      </w:r>
      <w:r w:rsidRPr="2D3205B8">
        <w:rPr>
          <w:rFonts w:eastAsiaTheme="majorEastAsia" w:cstheme="majorBidi"/>
        </w:rPr>
        <w:t>the refusal to amend a registration. The decision-maker will be the waste manager, which aligns with the reviewable decisions already provided in the Waste Management Act. Reviewable decisions are an important element to legislation because they ensure transparency and equality in decision-making. </w:t>
      </w:r>
    </w:p>
    <w:p w14:paraId="329198DA" w14:textId="01B5AD7B" w:rsidR="003B6573" w:rsidRDefault="003B6573"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121</w:t>
      </w:r>
      <w:r w:rsidRPr="2D3205B8">
        <w:rPr>
          <w:rFonts w:eastAsiaTheme="majorEastAsia" w:cstheme="majorBidi"/>
          <w:b/>
          <w:bCs/>
        </w:rPr>
        <w:t xml:space="preserve">  Schedule 1, item 7, column 4</w:t>
      </w:r>
    </w:p>
    <w:p w14:paraId="5FAFBDAA" w14:textId="0D4094DD" w:rsidR="00EF57E1" w:rsidRDefault="00BA352E" w:rsidP="2D3205B8">
      <w:pPr>
        <w:tabs>
          <w:tab w:val="left" w:pos="1276"/>
        </w:tabs>
        <w:rPr>
          <w:rFonts w:eastAsiaTheme="majorEastAsia" w:cstheme="majorBidi"/>
        </w:rPr>
      </w:pPr>
      <w:r w:rsidRPr="2D3205B8">
        <w:rPr>
          <w:rFonts w:eastAsiaTheme="majorEastAsia" w:cstheme="majorBidi"/>
        </w:rPr>
        <w:t>This clause makes a minor amendment to column 4 of item 7 in Schedule 1</w:t>
      </w:r>
      <w:r w:rsidR="005A0E9B" w:rsidRPr="2D3205B8">
        <w:rPr>
          <w:rFonts w:eastAsiaTheme="majorEastAsia" w:cstheme="majorBidi"/>
        </w:rPr>
        <w:t xml:space="preserve"> of the Waste Management Act</w:t>
      </w:r>
      <w:r w:rsidRPr="2D3205B8">
        <w:rPr>
          <w:rFonts w:eastAsiaTheme="majorEastAsia" w:cstheme="majorBidi"/>
        </w:rPr>
        <w:t xml:space="preserve">. The amendment inserts </w:t>
      </w:r>
      <w:r w:rsidRPr="2D3205B8">
        <w:rPr>
          <w:rFonts w:eastAsiaTheme="majorEastAsia" w:cstheme="majorBidi"/>
          <w:i/>
          <w:iCs/>
        </w:rPr>
        <w:t>or registered waste transporter</w:t>
      </w:r>
      <w:r w:rsidRPr="2D3205B8">
        <w:rPr>
          <w:rFonts w:eastAsiaTheme="majorEastAsia" w:cstheme="majorBidi"/>
        </w:rPr>
        <w:t xml:space="preserve"> after </w:t>
      </w:r>
      <w:r w:rsidRPr="2D3205B8">
        <w:rPr>
          <w:rFonts w:eastAsiaTheme="majorEastAsia" w:cstheme="majorBidi"/>
          <w:i/>
          <w:iCs/>
        </w:rPr>
        <w:t>licensee</w:t>
      </w:r>
      <w:r w:rsidRPr="2D3205B8">
        <w:rPr>
          <w:rFonts w:eastAsiaTheme="majorEastAsia" w:cstheme="majorBidi"/>
        </w:rPr>
        <w:t>. This align</w:t>
      </w:r>
      <w:r w:rsidR="005A0E9B" w:rsidRPr="2D3205B8">
        <w:rPr>
          <w:rFonts w:eastAsiaTheme="majorEastAsia" w:cstheme="majorBidi"/>
        </w:rPr>
        <w:t>s</w:t>
      </w:r>
      <w:r w:rsidRPr="2D3205B8">
        <w:rPr>
          <w:rFonts w:eastAsiaTheme="majorEastAsia" w:cstheme="majorBidi"/>
        </w:rPr>
        <w:t xml:space="preserve"> the reviewable decision with amendments.</w:t>
      </w:r>
    </w:p>
    <w:p w14:paraId="6C6EA2B0" w14:textId="0EA30E9D" w:rsidR="003B6573" w:rsidRDefault="003B6573" w:rsidP="2D3205B8">
      <w:pPr>
        <w:tabs>
          <w:tab w:val="left" w:pos="1276"/>
        </w:tabs>
        <w:rPr>
          <w:rFonts w:eastAsiaTheme="majorEastAsia" w:cstheme="majorBidi"/>
          <w:b/>
          <w:bCs/>
        </w:rPr>
      </w:pPr>
      <w:r w:rsidRPr="2D3205B8">
        <w:rPr>
          <w:rFonts w:eastAsiaTheme="majorEastAsia" w:cstheme="majorBidi"/>
          <w:b/>
          <w:bCs/>
        </w:rPr>
        <w:t xml:space="preserve">Clause </w:t>
      </w:r>
      <w:r w:rsidR="00E262E8">
        <w:rPr>
          <w:rFonts w:eastAsiaTheme="majorEastAsia" w:cstheme="majorBidi"/>
          <w:b/>
          <w:bCs/>
        </w:rPr>
        <w:t>122</w:t>
      </w:r>
      <w:r w:rsidRPr="2D3205B8">
        <w:rPr>
          <w:rFonts w:eastAsiaTheme="majorEastAsia" w:cstheme="majorBidi"/>
          <w:b/>
          <w:bCs/>
        </w:rPr>
        <w:t xml:space="preserve">  Schedule</w:t>
      </w:r>
      <w:r w:rsidR="00935651">
        <w:rPr>
          <w:rFonts w:eastAsiaTheme="majorEastAsia" w:cstheme="majorBidi"/>
          <w:b/>
          <w:bCs/>
        </w:rPr>
        <w:t xml:space="preserve"> </w:t>
      </w:r>
      <w:r w:rsidRPr="2D3205B8">
        <w:rPr>
          <w:rFonts w:eastAsiaTheme="majorEastAsia" w:cstheme="majorBidi"/>
          <w:b/>
          <w:bCs/>
        </w:rPr>
        <w:t>1, item 8</w:t>
      </w:r>
    </w:p>
    <w:p w14:paraId="54AD21A6" w14:textId="496F08DA" w:rsidR="003B6573" w:rsidRDefault="00BA352E" w:rsidP="2D3205B8">
      <w:pPr>
        <w:tabs>
          <w:tab w:val="left" w:pos="1276"/>
        </w:tabs>
        <w:rPr>
          <w:rFonts w:eastAsiaTheme="majorEastAsia" w:cstheme="majorBidi"/>
          <w:b/>
          <w:bCs/>
        </w:rPr>
      </w:pPr>
      <w:r w:rsidRPr="2D3205B8">
        <w:rPr>
          <w:rFonts w:eastAsiaTheme="majorEastAsia" w:cstheme="majorBidi"/>
        </w:rPr>
        <w:t>This clause amend</w:t>
      </w:r>
      <w:r w:rsidR="005A0E9B" w:rsidRPr="2D3205B8">
        <w:rPr>
          <w:rFonts w:eastAsiaTheme="majorEastAsia" w:cstheme="majorBidi"/>
        </w:rPr>
        <w:t>s</w:t>
      </w:r>
      <w:r w:rsidRPr="2D3205B8">
        <w:rPr>
          <w:rFonts w:eastAsiaTheme="majorEastAsia" w:cstheme="majorBidi"/>
        </w:rPr>
        <w:t xml:space="preserve"> reviewable decision 8 in Schedule 1</w:t>
      </w:r>
      <w:r w:rsidR="005A0E9B" w:rsidRPr="2D3205B8">
        <w:rPr>
          <w:rFonts w:eastAsiaTheme="majorEastAsia" w:cstheme="majorBidi"/>
        </w:rPr>
        <w:t xml:space="preserve"> of the Waste Management Act</w:t>
      </w:r>
      <w:r w:rsidRPr="2D3205B8">
        <w:rPr>
          <w:rFonts w:eastAsiaTheme="majorEastAsia" w:cstheme="majorBidi"/>
        </w:rPr>
        <w:t xml:space="preserve">. This is in relation to section 48 </w:t>
      </w:r>
      <w:r w:rsidR="005A0E9B" w:rsidRPr="2D3205B8">
        <w:rPr>
          <w:rFonts w:eastAsiaTheme="majorEastAsia" w:cstheme="majorBidi"/>
        </w:rPr>
        <w:t xml:space="preserve">of the Act </w:t>
      </w:r>
      <w:r w:rsidRPr="2D3205B8">
        <w:rPr>
          <w:rFonts w:eastAsiaTheme="majorEastAsia" w:cstheme="majorBidi"/>
        </w:rPr>
        <w:t>which now provides for licences or registrations and not just licences. The decision-maker remains the waste manager. This amendment align</w:t>
      </w:r>
      <w:r w:rsidR="00D005FA" w:rsidRPr="2D3205B8">
        <w:rPr>
          <w:rFonts w:eastAsiaTheme="majorEastAsia" w:cstheme="majorBidi"/>
        </w:rPr>
        <w:t>s</w:t>
      </w:r>
      <w:r w:rsidRPr="2D3205B8">
        <w:rPr>
          <w:rFonts w:eastAsiaTheme="majorEastAsia" w:cstheme="majorBidi"/>
        </w:rPr>
        <w:t xml:space="preserve"> the reviewable decision with other amendments to the Waste Management Act</w:t>
      </w:r>
      <w:r w:rsidR="00EF57E1" w:rsidRPr="2D3205B8">
        <w:rPr>
          <w:rFonts w:eastAsiaTheme="majorEastAsia" w:cstheme="majorBidi"/>
        </w:rPr>
        <w:t>. Reviewable decisions are an important element to legislation because they ensure transparency and equality in decision-making.</w:t>
      </w:r>
    </w:p>
    <w:p w14:paraId="4B4F3E9C" w14:textId="46131262" w:rsidR="00C20A00" w:rsidRPr="003B6573" w:rsidRDefault="003B6573" w:rsidP="2D3205B8">
      <w:pPr>
        <w:tabs>
          <w:tab w:val="left" w:pos="1276"/>
        </w:tabs>
        <w:rPr>
          <w:rFonts w:eastAsiaTheme="majorEastAsia" w:cstheme="majorBidi"/>
          <w:b/>
          <w:bCs/>
        </w:rPr>
      </w:pPr>
      <w:r w:rsidRPr="2D3205B8">
        <w:rPr>
          <w:rFonts w:eastAsiaTheme="majorEastAsia" w:cstheme="majorBidi"/>
          <w:b/>
          <w:bCs/>
        </w:rPr>
        <w:lastRenderedPageBreak/>
        <w:t>Schedule 1  Technical amendments</w:t>
      </w:r>
    </w:p>
    <w:p w14:paraId="245ED52B" w14:textId="4341536D" w:rsidR="003E1617" w:rsidRPr="003B6573" w:rsidRDefault="003B6573" w:rsidP="2D3205B8">
      <w:pPr>
        <w:tabs>
          <w:tab w:val="left" w:pos="1276"/>
        </w:tabs>
        <w:rPr>
          <w:rFonts w:eastAsiaTheme="majorEastAsia" w:cstheme="majorBidi"/>
          <w:b/>
          <w:bCs/>
        </w:rPr>
      </w:pPr>
      <w:r w:rsidRPr="2D3205B8">
        <w:rPr>
          <w:rFonts w:eastAsiaTheme="majorEastAsia" w:cstheme="majorBidi"/>
          <w:b/>
          <w:bCs/>
        </w:rPr>
        <w:t>Part 1.1  Pool Betting Act 1964</w:t>
      </w:r>
    </w:p>
    <w:p w14:paraId="41D23AE0" w14:textId="261BF5C6" w:rsidR="003B6573" w:rsidRPr="003B6573" w:rsidRDefault="003B6573" w:rsidP="003E1617">
      <w:pPr>
        <w:tabs>
          <w:tab w:val="left" w:pos="1276"/>
        </w:tabs>
        <w:rPr>
          <w:rFonts w:eastAsiaTheme="majorEastAsia" w:cstheme="majorBidi"/>
          <w:b/>
          <w:szCs w:val="24"/>
        </w:rPr>
      </w:pPr>
      <w:r w:rsidRPr="003B6573">
        <w:rPr>
          <w:rFonts w:eastAsiaTheme="majorEastAsia" w:cstheme="majorBidi"/>
          <w:b/>
          <w:szCs w:val="24"/>
        </w:rPr>
        <w:t>Clause [1.1]</w:t>
      </w:r>
      <w:r w:rsidR="00AE39C8">
        <w:rPr>
          <w:rFonts w:eastAsiaTheme="majorEastAsia" w:cstheme="majorBidi"/>
          <w:b/>
          <w:szCs w:val="24"/>
        </w:rPr>
        <w:t xml:space="preserve">  Section 10 (3)</w:t>
      </w:r>
    </w:p>
    <w:p w14:paraId="5033F268" w14:textId="0B984A77" w:rsidR="003B6573" w:rsidRDefault="00BA352E" w:rsidP="2D3205B8">
      <w:pPr>
        <w:tabs>
          <w:tab w:val="left" w:pos="1276"/>
        </w:tabs>
        <w:rPr>
          <w:rFonts w:eastAsiaTheme="majorEastAsia" w:cstheme="majorBidi"/>
        </w:rPr>
      </w:pPr>
      <w:r w:rsidRPr="2D3205B8">
        <w:rPr>
          <w:rFonts w:eastAsiaTheme="majorEastAsia" w:cstheme="majorBidi"/>
        </w:rPr>
        <w:t>This clause makes a minor amendment to section 10</w:t>
      </w:r>
      <w:r w:rsidR="00324D8F" w:rsidRPr="2D3205B8">
        <w:rPr>
          <w:rFonts w:eastAsiaTheme="majorEastAsia" w:cstheme="majorBidi"/>
        </w:rPr>
        <w:t xml:space="preserve"> (3)</w:t>
      </w:r>
      <w:r w:rsidRPr="2D3205B8">
        <w:rPr>
          <w:rFonts w:eastAsiaTheme="majorEastAsia" w:cstheme="majorBidi"/>
        </w:rPr>
        <w:t xml:space="preserve"> Audit of the </w:t>
      </w:r>
      <w:r w:rsidR="001C07E2" w:rsidRPr="2D3205B8">
        <w:rPr>
          <w:rFonts w:eastAsiaTheme="majorEastAsia" w:cstheme="majorBidi"/>
          <w:i/>
          <w:iCs/>
        </w:rPr>
        <w:t xml:space="preserve">Pool Betting Act (1964) </w:t>
      </w:r>
      <w:r w:rsidR="001C07E2" w:rsidRPr="2D3205B8">
        <w:rPr>
          <w:rFonts w:eastAsiaTheme="majorEastAsia" w:cstheme="majorBidi"/>
        </w:rPr>
        <w:t>(</w:t>
      </w:r>
      <w:r w:rsidRPr="2D3205B8">
        <w:rPr>
          <w:rFonts w:eastAsiaTheme="majorEastAsia" w:cstheme="majorBidi"/>
        </w:rPr>
        <w:t>Pool Betting Act</w:t>
      </w:r>
      <w:r w:rsidR="001C07E2" w:rsidRPr="2D3205B8">
        <w:rPr>
          <w:rFonts w:eastAsiaTheme="majorEastAsia" w:cstheme="majorBidi"/>
        </w:rPr>
        <w:t>)</w:t>
      </w:r>
      <w:r w:rsidRPr="2D3205B8">
        <w:rPr>
          <w:rFonts w:eastAsiaTheme="majorEastAsia" w:cstheme="majorBidi"/>
        </w:rPr>
        <w:t xml:space="preserve"> to replace </w:t>
      </w:r>
      <w:r w:rsidRPr="2D3205B8">
        <w:rPr>
          <w:rFonts w:eastAsiaTheme="majorEastAsia" w:cstheme="majorBidi"/>
          <w:i/>
          <w:iCs/>
        </w:rPr>
        <w:t>him or her with</w:t>
      </w:r>
      <w:r w:rsidRPr="2D3205B8">
        <w:rPr>
          <w:rFonts w:eastAsiaTheme="majorEastAsia" w:cstheme="majorBidi"/>
        </w:rPr>
        <w:t xml:space="preserve"> </w:t>
      </w:r>
      <w:proofErr w:type="spellStart"/>
      <w:r w:rsidRPr="2D3205B8">
        <w:rPr>
          <w:rFonts w:eastAsiaTheme="majorEastAsia" w:cstheme="majorBidi"/>
        </w:rPr>
        <w:t>with</w:t>
      </w:r>
      <w:proofErr w:type="spellEnd"/>
      <w:r w:rsidRPr="2D3205B8">
        <w:rPr>
          <w:rFonts w:eastAsiaTheme="majorEastAsia" w:cstheme="majorBidi"/>
        </w:rPr>
        <w:t xml:space="preserve"> </w:t>
      </w:r>
      <w:r w:rsidRPr="2D3205B8">
        <w:rPr>
          <w:rFonts w:eastAsiaTheme="majorEastAsia" w:cstheme="majorBidi"/>
          <w:i/>
          <w:iCs/>
        </w:rPr>
        <w:t>the authorised person</w:t>
      </w:r>
      <w:r w:rsidRPr="2D3205B8">
        <w:rPr>
          <w:rFonts w:eastAsiaTheme="majorEastAsia" w:cstheme="majorBidi"/>
        </w:rPr>
        <w:t>. This amendment to provide for gender-neutral language is intended to modernise the statute book and make it more inclusive</w:t>
      </w:r>
      <w:r w:rsidR="00324D8F" w:rsidRPr="2D3205B8">
        <w:rPr>
          <w:rFonts w:eastAsiaTheme="majorEastAsia" w:cstheme="majorBidi"/>
        </w:rPr>
        <w:t>, reflecting current drafting practice</w:t>
      </w:r>
      <w:r w:rsidRPr="2D3205B8">
        <w:rPr>
          <w:rFonts w:eastAsiaTheme="majorEastAsia" w:cstheme="majorBidi"/>
        </w:rPr>
        <w:t>.</w:t>
      </w:r>
    </w:p>
    <w:p w14:paraId="0EB36B6F" w14:textId="6672B9FB" w:rsidR="003B6573" w:rsidRPr="003B6573" w:rsidRDefault="003B6573" w:rsidP="003E1617">
      <w:pPr>
        <w:tabs>
          <w:tab w:val="left" w:pos="1276"/>
        </w:tabs>
        <w:rPr>
          <w:rFonts w:eastAsiaTheme="majorEastAsia" w:cstheme="majorBidi"/>
          <w:b/>
          <w:szCs w:val="24"/>
        </w:rPr>
      </w:pPr>
      <w:r w:rsidRPr="003B6573">
        <w:rPr>
          <w:rFonts w:eastAsiaTheme="majorEastAsia" w:cstheme="majorBidi"/>
          <w:b/>
          <w:szCs w:val="24"/>
        </w:rPr>
        <w:t>Clause [1.2]</w:t>
      </w:r>
      <w:r w:rsidR="00AE39C8">
        <w:rPr>
          <w:rFonts w:eastAsiaTheme="majorEastAsia" w:cstheme="majorBidi"/>
          <w:b/>
          <w:szCs w:val="24"/>
        </w:rPr>
        <w:t xml:space="preserve">  Section 12</w:t>
      </w:r>
    </w:p>
    <w:p w14:paraId="3CFD8BC2" w14:textId="391A3D3A" w:rsidR="003B6573" w:rsidRDefault="00BA352E" w:rsidP="003E1617">
      <w:pPr>
        <w:tabs>
          <w:tab w:val="left" w:pos="1276"/>
        </w:tabs>
        <w:rPr>
          <w:rFonts w:eastAsiaTheme="majorEastAsia" w:cstheme="majorBidi"/>
          <w:bCs/>
          <w:szCs w:val="24"/>
        </w:rPr>
      </w:pPr>
      <w:r>
        <w:rPr>
          <w:rFonts w:eastAsiaTheme="majorEastAsia" w:cstheme="majorBidi"/>
          <w:bCs/>
          <w:szCs w:val="24"/>
        </w:rPr>
        <w:t xml:space="preserve">This clause makes a minor amendment to section 12 Misappropriation of entry fees or winnings of the Pool Betting Act to replace </w:t>
      </w:r>
      <w:r>
        <w:rPr>
          <w:rFonts w:eastAsiaTheme="majorEastAsia" w:cstheme="majorBidi"/>
          <w:bCs/>
          <w:i/>
          <w:iCs/>
          <w:szCs w:val="24"/>
        </w:rPr>
        <w:t>his</w:t>
      </w:r>
      <w:r w:rsidRPr="00BA352E">
        <w:rPr>
          <w:rFonts w:eastAsiaTheme="majorEastAsia" w:cstheme="majorBidi"/>
          <w:bCs/>
          <w:i/>
          <w:iCs/>
          <w:szCs w:val="24"/>
        </w:rPr>
        <w:t xml:space="preserve"> or her </w:t>
      </w:r>
      <w:r>
        <w:rPr>
          <w:rFonts w:eastAsiaTheme="majorEastAsia" w:cstheme="majorBidi"/>
          <w:bCs/>
          <w:szCs w:val="24"/>
        </w:rPr>
        <w:t xml:space="preserve">with </w:t>
      </w:r>
      <w:r>
        <w:rPr>
          <w:rFonts w:eastAsiaTheme="majorEastAsia" w:cstheme="majorBidi"/>
          <w:bCs/>
          <w:i/>
          <w:iCs/>
          <w:szCs w:val="24"/>
        </w:rPr>
        <w:t>their</w:t>
      </w:r>
      <w:r>
        <w:rPr>
          <w:rFonts w:eastAsiaTheme="majorEastAsia" w:cstheme="majorBidi"/>
          <w:bCs/>
          <w:szCs w:val="24"/>
        </w:rPr>
        <w:t>. This amendment to provide for gender-neutral language is intended to modernise the statute book and make it more inclusive</w:t>
      </w:r>
      <w:r w:rsidR="00324D8F">
        <w:rPr>
          <w:rFonts w:eastAsiaTheme="majorEastAsia" w:cstheme="majorBidi"/>
          <w:bCs/>
          <w:szCs w:val="24"/>
        </w:rPr>
        <w:t>, reflecting current drafting practice.</w:t>
      </w:r>
    </w:p>
    <w:p w14:paraId="779FF007" w14:textId="56DD4DF3" w:rsidR="003B6573" w:rsidRPr="003B6573" w:rsidRDefault="003B6573" w:rsidP="003E1617">
      <w:pPr>
        <w:tabs>
          <w:tab w:val="left" w:pos="1276"/>
        </w:tabs>
        <w:rPr>
          <w:rFonts w:eastAsiaTheme="majorEastAsia" w:cstheme="majorBidi"/>
          <w:b/>
          <w:szCs w:val="24"/>
        </w:rPr>
      </w:pPr>
      <w:r w:rsidRPr="003B6573">
        <w:rPr>
          <w:rFonts w:eastAsiaTheme="majorEastAsia" w:cstheme="majorBidi"/>
          <w:b/>
          <w:szCs w:val="24"/>
        </w:rPr>
        <w:t>Clause [1.3]</w:t>
      </w:r>
      <w:r w:rsidR="00AE39C8">
        <w:rPr>
          <w:rFonts w:eastAsiaTheme="majorEastAsia" w:cstheme="majorBidi"/>
          <w:b/>
          <w:szCs w:val="24"/>
        </w:rPr>
        <w:t xml:space="preserve">  Section 13 (2) (b)</w:t>
      </w:r>
    </w:p>
    <w:p w14:paraId="035762A8" w14:textId="76858602" w:rsidR="003B6573" w:rsidRDefault="00324D8F" w:rsidP="003E1617">
      <w:pPr>
        <w:tabs>
          <w:tab w:val="left" w:pos="1276"/>
        </w:tabs>
        <w:rPr>
          <w:rFonts w:eastAsiaTheme="majorEastAsia" w:cstheme="majorBidi"/>
          <w:bCs/>
          <w:szCs w:val="24"/>
        </w:rPr>
      </w:pPr>
      <w:r>
        <w:rPr>
          <w:rFonts w:eastAsiaTheme="majorEastAsia" w:cstheme="majorBidi"/>
          <w:bCs/>
          <w:szCs w:val="24"/>
        </w:rPr>
        <w:t xml:space="preserve">This clause makes a minor amendment to section 13 (2) (b) Supervision of conduct of pool betting of the Pool Betting Act to replace </w:t>
      </w:r>
      <w:r>
        <w:rPr>
          <w:rFonts w:eastAsiaTheme="majorEastAsia" w:cstheme="majorBidi"/>
          <w:bCs/>
          <w:i/>
          <w:iCs/>
          <w:szCs w:val="24"/>
        </w:rPr>
        <w:t>he or she</w:t>
      </w:r>
      <w:r w:rsidRPr="00BA352E">
        <w:rPr>
          <w:rFonts w:eastAsiaTheme="majorEastAsia" w:cstheme="majorBidi"/>
          <w:bCs/>
          <w:i/>
          <w:iCs/>
          <w:szCs w:val="24"/>
        </w:rPr>
        <w:t xml:space="preserve"> </w:t>
      </w:r>
      <w:r>
        <w:rPr>
          <w:rFonts w:eastAsiaTheme="majorEastAsia" w:cstheme="majorBidi"/>
          <w:bCs/>
          <w:szCs w:val="24"/>
        </w:rPr>
        <w:t xml:space="preserve">with </w:t>
      </w:r>
      <w:r>
        <w:rPr>
          <w:rFonts w:eastAsiaTheme="majorEastAsia" w:cstheme="majorBidi"/>
          <w:bCs/>
          <w:i/>
          <w:iCs/>
          <w:szCs w:val="24"/>
        </w:rPr>
        <w:t>the authorised person</w:t>
      </w:r>
      <w:r>
        <w:rPr>
          <w:rFonts w:eastAsiaTheme="majorEastAsia" w:cstheme="majorBidi"/>
          <w:bCs/>
          <w:szCs w:val="24"/>
        </w:rPr>
        <w:t>. This amendment to provide for gender-neutral language is intended to modernise the statute book and make it more inclusive, reflecting current drafting practice</w:t>
      </w:r>
      <w:r w:rsidR="00DF4AE5">
        <w:rPr>
          <w:rFonts w:eastAsiaTheme="majorEastAsia" w:cstheme="majorBidi"/>
          <w:bCs/>
          <w:szCs w:val="24"/>
        </w:rPr>
        <w:t>.</w:t>
      </w:r>
    </w:p>
    <w:p w14:paraId="60969C9E" w14:textId="6BB3EEA1" w:rsidR="003B6573" w:rsidRP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Pr>
          <w:rFonts w:eastAsiaTheme="majorEastAsia" w:cstheme="majorBidi"/>
          <w:b/>
          <w:szCs w:val="24"/>
        </w:rPr>
        <w:t>4</w:t>
      </w:r>
      <w:r w:rsidRPr="003B6573">
        <w:rPr>
          <w:rFonts w:eastAsiaTheme="majorEastAsia" w:cstheme="majorBidi"/>
          <w:b/>
          <w:szCs w:val="24"/>
        </w:rPr>
        <w:t>]</w:t>
      </w:r>
      <w:r w:rsidR="00AE39C8">
        <w:rPr>
          <w:rFonts w:eastAsiaTheme="majorEastAsia" w:cstheme="majorBidi"/>
          <w:b/>
          <w:szCs w:val="24"/>
        </w:rPr>
        <w:t xml:space="preserve">  Section 13 (3) (a)</w:t>
      </w:r>
    </w:p>
    <w:p w14:paraId="5215F733" w14:textId="47C7A8D6" w:rsidR="003B6573" w:rsidRDefault="00DF4AE5" w:rsidP="003E1617">
      <w:pPr>
        <w:tabs>
          <w:tab w:val="left" w:pos="1276"/>
        </w:tabs>
        <w:rPr>
          <w:rFonts w:eastAsiaTheme="majorEastAsia" w:cstheme="majorBidi"/>
          <w:bCs/>
          <w:szCs w:val="24"/>
        </w:rPr>
      </w:pPr>
      <w:r w:rsidRPr="2D3205B8">
        <w:rPr>
          <w:rFonts w:eastAsiaTheme="majorEastAsia" w:cstheme="majorBidi"/>
        </w:rPr>
        <w:t xml:space="preserve">This clause makes a minor amendment to section 13 (3) (a) Supervision of conduct of pool betting of the Pool Betting Act to replace </w:t>
      </w:r>
      <w:r w:rsidRPr="2D3205B8">
        <w:rPr>
          <w:rFonts w:eastAsiaTheme="majorEastAsia" w:cstheme="majorBidi"/>
          <w:i/>
          <w:iCs/>
        </w:rPr>
        <w:t xml:space="preserve">his or her </w:t>
      </w:r>
      <w:r w:rsidRPr="2D3205B8">
        <w:rPr>
          <w:rFonts w:eastAsiaTheme="majorEastAsia" w:cstheme="majorBidi"/>
        </w:rPr>
        <w:t xml:space="preserve">with </w:t>
      </w:r>
      <w:r w:rsidRPr="2D3205B8">
        <w:rPr>
          <w:rFonts w:eastAsiaTheme="majorEastAsia" w:cstheme="majorBidi"/>
          <w:i/>
          <w:iCs/>
        </w:rPr>
        <w:t>their</w:t>
      </w:r>
      <w:r w:rsidRPr="2D3205B8">
        <w:rPr>
          <w:rFonts w:eastAsiaTheme="majorEastAsia" w:cstheme="majorBidi"/>
        </w:rPr>
        <w:t>. This amendment to provide for gender-neutral language is intended to modernise the statute book and make it more inclusive, reflecting current drafting practice</w:t>
      </w:r>
      <w:r w:rsidR="0043572F" w:rsidRPr="2D3205B8">
        <w:rPr>
          <w:rFonts w:eastAsiaTheme="majorEastAsia" w:cstheme="majorBidi"/>
        </w:rPr>
        <w:t>.</w:t>
      </w:r>
    </w:p>
    <w:p w14:paraId="50837EE0" w14:textId="42368C74" w:rsid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Pr>
          <w:rFonts w:eastAsiaTheme="majorEastAsia" w:cstheme="majorBidi"/>
          <w:b/>
          <w:szCs w:val="24"/>
        </w:rPr>
        <w:t>5</w:t>
      </w:r>
      <w:r w:rsidRPr="003B6573">
        <w:rPr>
          <w:rFonts w:eastAsiaTheme="majorEastAsia" w:cstheme="majorBidi"/>
          <w:b/>
          <w:szCs w:val="24"/>
        </w:rPr>
        <w:t>]</w:t>
      </w:r>
      <w:r w:rsidR="00AE39C8">
        <w:rPr>
          <w:rFonts w:eastAsiaTheme="majorEastAsia" w:cstheme="majorBidi"/>
          <w:b/>
          <w:szCs w:val="24"/>
        </w:rPr>
        <w:t xml:space="preserve">  Section 13 (3) (b)</w:t>
      </w:r>
    </w:p>
    <w:p w14:paraId="54AAAD27" w14:textId="58751963" w:rsidR="0043572F" w:rsidRDefault="0043572F" w:rsidP="0043572F">
      <w:pPr>
        <w:tabs>
          <w:tab w:val="left" w:pos="1276"/>
        </w:tabs>
        <w:rPr>
          <w:rFonts w:eastAsiaTheme="majorEastAsia" w:cstheme="majorBidi"/>
          <w:bCs/>
          <w:szCs w:val="24"/>
        </w:rPr>
      </w:pPr>
      <w:r>
        <w:rPr>
          <w:rFonts w:eastAsiaTheme="majorEastAsia" w:cstheme="majorBidi"/>
          <w:bCs/>
          <w:szCs w:val="24"/>
        </w:rPr>
        <w:t xml:space="preserve">This clause makes a minor amendment to section 13 (3) (b) Supervision of conduct of pool betting of the Pool Betting Act to replace </w:t>
      </w:r>
      <w:r>
        <w:rPr>
          <w:rFonts w:eastAsiaTheme="majorEastAsia" w:cstheme="majorBidi"/>
          <w:bCs/>
          <w:i/>
          <w:iCs/>
          <w:szCs w:val="24"/>
        </w:rPr>
        <w:t>him or her</w:t>
      </w:r>
      <w:r w:rsidRPr="00BA352E">
        <w:rPr>
          <w:rFonts w:eastAsiaTheme="majorEastAsia" w:cstheme="majorBidi"/>
          <w:bCs/>
          <w:i/>
          <w:iCs/>
          <w:szCs w:val="24"/>
        </w:rPr>
        <w:t xml:space="preserve"> </w:t>
      </w:r>
      <w:r>
        <w:rPr>
          <w:rFonts w:eastAsiaTheme="majorEastAsia" w:cstheme="majorBidi"/>
          <w:bCs/>
          <w:szCs w:val="24"/>
        </w:rPr>
        <w:t xml:space="preserve">with </w:t>
      </w:r>
      <w:r>
        <w:rPr>
          <w:rFonts w:eastAsiaTheme="majorEastAsia" w:cstheme="majorBidi"/>
          <w:bCs/>
          <w:i/>
          <w:iCs/>
          <w:szCs w:val="24"/>
        </w:rPr>
        <w:t>the person</w:t>
      </w:r>
      <w:r>
        <w:rPr>
          <w:rFonts w:eastAsiaTheme="majorEastAsia" w:cstheme="majorBidi"/>
          <w:bCs/>
          <w:szCs w:val="24"/>
        </w:rPr>
        <w:t>. This amendment to provide for gender-neutral language is intended to modernise the statute book and make it more inclusive, reflecting current drafting practice.</w:t>
      </w:r>
    </w:p>
    <w:p w14:paraId="5FA73E66" w14:textId="03EF3E9B" w:rsid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Pr>
          <w:rFonts w:eastAsiaTheme="majorEastAsia" w:cstheme="majorBidi"/>
          <w:b/>
          <w:szCs w:val="24"/>
        </w:rPr>
        <w:t>6</w:t>
      </w:r>
      <w:r w:rsidRPr="003B6573">
        <w:rPr>
          <w:rFonts w:eastAsiaTheme="majorEastAsia" w:cstheme="majorBidi"/>
          <w:b/>
          <w:szCs w:val="24"/>
        </w:rPr>
        <w:t>]</w:t>
      </w:r>
      <w:r w:rsidR="00AE39C8">
        <w:rPr>
          <w:rFonts w:eastAsiaTheme="majorEastAsia" w:cstheme="majorBidi"/>
          <w:b/>
          <w:szCs w:val="24"/>
        </w:rPr>
        <w:t xml:space="preserve">  Further amendments, mentions of </w:t>
      </w:r>
      <w:r w:rsidR="00AE39C8" w:rsidRPr="00AE39C8">
        <w:rPr>
          <w:rFonts w:eastAsiaTheme="majorEastAsia" w:cstheme="majorBidi"/>
          <w:b/>
          <w:i/>
          <w:iCs/>
          <w:szCs w:val="24"/>
        </w:rPr>
        <w:t>shall</w:t>
      </w:r>
    </w:p>
    <w:p w14:paraId="1F5BD930" w14:textId="579FA47C" w:rsidR="0043572F" w:rsidRDefault="0043572F" w:rsidP="0043572F">
      <w:pPr>
        <w:tabs>
          <w:tab w:val="left" w:pos="1276"/>
        </w:tabs>
        <w:rPr>
          <w:rFonts w:eastAsiaTheme="majorEastAsia" w:cstheme="majorBidi"/>
          <w:bCs/>
          <w:szCs w:val="24"/>
        </w:rPr>
      </w:pPr>
      <w:r>
        <w:rPr>
          <w:rFonts w:eastAsiaTheme="majorEastAsia" w:cstheme="majorBidi"/>
          <w:bCs/>
          <w:szCs w:val="24"/>
        </w:rPr>
        <w:t xml:space="preserve">This clause makes further amendments to omit </w:t>
      </w:r>
      <w:r w:rsidRPr="0043572F">
        <w:rPr>
          <w:rFonts w:eastAsiaTheme="majorEastAsia" w:cstheme="majorBidi"/>
          <w:bCs/>
          <w:i/>
          <w:iCs/>
          <w:szCs w:val="24"/>
        </w:rPr>
        <w:t>shall</w:t>
      </w:r>
      <w:r>
        <w:rPr>
          <w:rFonts w:eastAsiaTheme="majorEastAsia" w:cstheme="majorBidi"/>
          <w:bCs/>
          <w:szCs w:val="24"/>
        </w:rPr>
        <w:t xml:space="preserve"> and replace with </w:t>
      </w:r>
      <w:r w:rsidRPr="0043572F">
        <w:rPr>
          <w:rFonts w:eastAsiaTheme="majorEastAsia" w:cstheme="majorBidi"/>
          <w:bCs/>
          <w:i/>
          <w:iCs/>
          <w:szCs w:val="24"/>
        </w:rPr>
        <w:t>must</w:t>
      </w:r>
      <w:r>
        <w:rPr>
          <w:rFonts w:eastAsiaTheme="majorEastAsia" w:cstheme="majorBidi"/>
          <w:bCs/>
          <w:szCs w:val="24"/>
        </w:rPr>
        <w:t xml:space="preserve"> in sections 5</w:t>
      </w:r>
      <w:r w:rsidR="00935651">
        <w:rPr>
          <w:rFonts w:eastAsiaTheme="majorEastAsia" w:cstheme="majorBidi"/>
          <w:bCs/>
          <w:szCs w:val="24"/>
        </w:rPr>
        <w:t xml:space="preserve"> to 10, and </w:t>
      </w:r>
      <w:r>
        <w:rPr>
          <w:rFonts w:eastAsiaTheme="majorEastAsia" w:cstheme="majorBidi"/>
          <w:bCs/>
          <w:szCs w:val="24"/>
        </w:rPr>
        <w:t>section</w:t>
      </w:r>
      <w:r w:rsidR="00935651">
        <w:rPr>
          <w:rFonts w:eastAsiaTheme="majorEastAsia" w:cstheme="majorBidi"/>
          <w:bCs/>
          <w:szCs w:val="24"/>
        </w:rPr>
        <w:t>s</w:t>
      </w:r>
      <w:r>
        <w:rPr>
          <w:rFonts w:eastAsiaTheme="majorEastAsia" w:cstheme="majorBidi"/>
          <w:bCs/>
          <w:szCs w:val="24"/>
        </w:rPr>
        <w:t xml:space="preserve"> 12</w:t>
      </w:r>
      <w:r w:rsidR="00935651">
        <w:rPr>
          <w:rFonts w:eastAsiaTheme="majorEastAsia" w:cstheme="majorBidi"/>
          <w:bCs/>
          <w:szCs w:val="24"/>
        </w:rPr>
        <w:t xml:space="preserve"> </w:t>
      </w:r>
      <w:r>
        <w:rPr>
          <w:rFonts w:eastAsiaTheme="majorEastAsia" w:cstheme="majorBidi"/>
          <w:bCs/>
          <w:szCs w:val="24"/>
        </w:rPr>
        <w:t>and 13. These amendments are intended to provide clarity to the legislation, reflecting current drafting practice.</w:t>
      </w:r>
    </w:p>
    <w:p w14:paraId="6C35A73C" w14:textId="327D5657" w:rsidR="003B6573" w:rsidRP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Pr>
          <w:rFonts w:eastAsiaTheme="majorEastAsia" w:cstheme="majorBidi"/>
          <w:b/>
          <w:szCs w:val="24"/>
        </w:rPr>
        <w:t>7</w:t>
      </w:r>
      <w:r w:rsidRPr="003B6573">
        <w:rPr>
          <w:rFonts w:eastAsiaTheme="majorEastAsia" w:cstheme="majorBidi"/>
          <w:b/>
          <w:szCs w:val="24"/>
        </w:rPr>
        <w:t>]</w:t>
      </w:r>
      <w:r w:rsidR="00AE39C8">
        <w:rPr>
          <w:rFonts w:eastAsiaTheme="majorEastAsia" w:cstheme="majorBidi"/>
          <w:b/>
          <w:szCs w:val="24"/>
        </w:rPr>
        <w:t xml:space="preserve">  Further amendments, mentions of </w:t>
      </w:r>
      <w:r w:rsidR="00AE39C8" w:rsidRPr="00AE39C8">
        <w:rPr>
          <w:rFonts w:eastAsiaTheme="majorEastAsia" w:cstheme="majorBidi"/>
          <w:b/>
          <w:i/>
          <w:iCs/>
          <w:szCs w:val="24"/>
        </w:rPr>
        <w:t>persons</w:t>
      </w:r>
    </w:p>
    <w:p w14:paraId="7B426B91" w14:textId="65CC5101" w:rsidR="0043572F" w:rsidRDefault="0043572F" w:rsidP="0043572F">
      <w:pPr>
        <w:tabs>
          <w:tab w:val="left" w:pos="1276"/>
        </w:tabs>
        <w:rPr>
          <w:rFonts w:eastAsiaTheme="majorEastAsia" w:cstheme="majorBidi"/>
          <w:bCs/>
          <w:szCs w:val="24"/>
        </w:rPr>
      </w:pPr>
      <w:r>
        <w:rPr>
          <w:rFonts w:eastAsiaTheme="majorEastAsia" w:cstheme="majorBidi"/>
          <w:bCs/>
          <w:szCs w:val="24"/>
        </w:rPr>
        <w:t xml:space="preserve">This clause makes further amendments to omit </w:t>
      </w:r>
      <w:r>
        <w:rPr>
          <w:rFonts w:eastAsiaTheme="majorEastAsia" w:cstheme="majorBidi"/>
          <w:bCs/>
          <w:i/>
          <w:iCs/>
          <w:szCs w:val="24"/>
        </w:rPr>
        <w:t>persons</w:t>
      </w:r>
      <w:r>
        <w:rPr>
          <w:rFonts w:eastAsiaTheme="majorEastAsia" w:cstheme="majorBidi"/>
          <w:bCs/>
          <w:szCs w:val="24"/>
        </w:rPr>
        <w:t xml:space="preserve"> and replace with </w:t>
      </w:r>
      <w:r>
        <w:rPr>
          <w:rFonts w:eastAsiaTheme="majorEastAsia" w:cstheme="majorBidi"/>
          <w:bCs/>
          <w:i/>
          <w:iCs/>
          <w:szCs w:val="24"/>
        </w:rPr>
        <w:t>people</w:t>
      </w:r>
      <w:r>
        <w:rPr>
          <w:rFonts w:eastAsiaTheme="majorEastAsia" w:cstheme="majorBidi"/>
          <w:bCs/>
          <w:szCs w:val="24"/>
        </w:rPr>
        <w:t xml:space="preserve"> in section</w:t>
      </w:r>
      <w:r w:rsidR="00935651">
        <w:rPr>
          <w:rFonts w:eastAsiaTheme="majorEastAsia" w:cstheme="majorBidi"/>
          <w:bCs/>
          <w:szCs w:val="24"/>
        </w:rPr>
        <w:t>s</w:t>
      </w:r>
      <w:r>
        <w:rPr>
          <w:rFonts w:eastAsiaTheme="majorEastAsia" w:cstheme="majorBidi"/>
          <w:bCs/>
          <w:szCs w:val="24"/>
        </w:rPr>
        <w:t xml:space="preserve"> 6</w:t>
      </w:r>
      <w:r w:rsidR="00935651">
        <w:rPr>
          <w:rFonts w:eastAsiaTheme="majorEastAsia" w:cstheme="majorBidi"/>
          <w:bCs/>
          <w:szCs w:val="24"/>
        </w:rPr>
        <w:t xml:space="preserve"> and 13 </w:t>
      </w:r>
      <w:r>
        <w:rPr>
          <w:rFonts w:eastAsiaTheme="majorEastAsia" w:cstheme="majorBidi"/>
          <w:bCs/>
          <w:szCs w:val="24"/>
        </w:rPr>
        <w:t xml:space="preserve">and the dictionary definition of </w:t>
      </w:r>
      <w:r w:rsidRPr="005E1F50">
        <w:rPr>
          <w:rFonts w:eastAsiaTheme="majorEastAsia" w:cstheme="majorBidi"/>
          <w:bCs/>
          <w:i/>
          <w:iCs/>
          <w:szCs w:val="24"/>
        </w:rPr>
        <w:t>pool betting competition</w:t>
      </w:r>
      <w:r>
        <w:rPr>
          <w:rFonts w:eastAsiaTheme="majorEastAsia" w:cstheme="majorBidi"/>
          <w:bCs/>
          <w:szCs w:val="24"/>
        </w:rPr>
        <w:t xml:space="preserve">. These </w:t>
      </w:r>
      <w:r>
        <w:rPr>
          <w:rFonts w:eastAsiaTheme="majorEastAsia" w:cstheme="majorBidi"/>
          <w:bCs/>
          <w:szCs w:val="24"/>
        </w:rPr>
        <w:lastRenderedPageBreak/>
        <w:t>amendments are intended to provide clarity to the legislation, reflecting current drafting practice.</w:t>
      </w:r>
    </w:p>
    <w:p w14:paraId="2B1FB442" w14:textId="6D54D62A" w:rsidR="003B6573" w:rsidRPr="003B6573" w:rsidRDefault="003B6573" w:rsidP="003B6573">
      <w:pPr>
        <w:tabs>
          <w:tab w:val="left" w:pos="1276"/>
        </w:tabs>
        <w:rPr>
          <w:rFonts w:eastAsiaTheme="majorEastAsia" w:cstheme="majorBidi"/>
          <w:b/>
          <w:szCs w:val="24"/>
        </w:rPr>
      </w:pPr>
      <w:r w:rsidRPr="003B6573">
        <w:rPr>
          <w:rFonts w:eastAsiaTheme="majorEastAsia" w:cstheme="majorBidi"/>
          <w:b/>
          <w:szCs w:val="24"/>
        </w:rPr>
        <w:t>Part 1.</w:t>
      </w:r>
      <w:r w:rsidR="005E1F50">
        <w:rPr>
          <w:rFonts w:eastAsiaTheme="majorEastAsia" w:cstheme="majorBidi"/>
          <w:b/>
          <w:szCs w:val="24"/>
        </w:rPr>
        <w:t>2</w:t>
      </w:r>
      <w:r w:rsidRPr="003B6573">
        <w:rPr>
          <w:rFonts w:eastAsiaTheme="majorEastAsia" w:cstheme="majorBidi"/>
          <w:b/>
          <w:szCs w:val="24"/>
        </w:rPr>
        <w:t xml:space="preserve">  </w:t>
      </w:r>
      <w:r>
        <w:rPr>
          <w:rFonts w:eastAsiaTheme="majorEastAsia" w:cstheme="majorBidi"/>
          <w:b/>
          <w:szCs w:val="24"/>
        </w:rPr>
        <w:t>Waste Management and Resource Recovery Act 2016</w:t>
      </w:r>
    </w:p>
    <w:p w14:paraId="79F3E111" w14:textId="554776D0" w:rsidR="001960D4" w:rsidRDefault="001960D4" w:rsidP="001960D4">
      <w:pPr>
        <w:tabs>
          <w:tab w:val="left" w:pos="1276"/>
        </w:tabs>
        <w:rPr>
          <w:rFonts w:eastAsiaTheme="majorEastAsia" w:cstheme="majorBidi"/>
          <w:b/>
          <w:szCs w:val="24"/>
        </w:rPr>
      </w:pPr>
      <w:r w:rsidRPr="003B6573">
        <w:rPr>
          <w:rFonts w:eastAsiaTheme="majorEastAsia" w:cstheme="majorBidi"/>
          <w:b/>
          <w:szCs w:val="24"/>
        </w:rPr>
        <w:t>Clause [1.</w:t>
      </w:r>
      <w:r>
        <w:rPr>
          <w:rFonts w:eastAsiaTheme="majorEastAsia" w:cstheme="majorBidi"/>
          <w:b/>
          <w:szCs w:val="24"/>
        </w:rPr>
        <w:t>8</w:t>
      </w:r>
      <w:r w:rsidRPr="003B6573">
        <w:rPr>
          <w:rFonts w:eastAsiaTheme="majorEastAsia" w:cstheme="majorBidi"/>
          <w:b/>
          <w:szCs w:val="24"/>
        </w:rPr>
        <w:t>]</w:t>
      </w:r>
      <w:r>
        <w:rPr>
          <w:rFonts w:eastAsiaTheme="majorEastAsia" w:cstheme="majorBidi"/>
          <w:b/>
          <w:szCs w:val="24"/>
        </w:rPr>
        <w:t xml:space="preserve">  Section 20 (2), note etc</w:t>
      </w:r>
    </w:p>
    <w:p w14:paraId="449DFB93" w14:textId="0643C889" w:rsidR="001960D4" w:rsidRDefault="001960D4" w:rsidP="001960D4">
      <w:pPr>
        <w:tabs>
          <w:tab w:val="left" w:pos="1276"/>
        </w:tabs>
        <w:rPr>
          <w:rFonts w:eastAsiaTheme="majorEastAsia" w:cstheme="majorBidi"/>
          <w:b/>
          <w:szCs w:val="24"/>
        </w:rPr>
      </w:pPr>
      <w:r w:rsidRPr="2D3205B8">
        <w:rPr>
          <w:rFonts w:eastAsiaTheme="majorEastAsia" w:cstheme="majorBidi"/>
        </w:rPr>
        <w:t xml:space="preserve">This clause makes minor amendments to </w:t>
      </w:r>
      <w:r>
        <w:rPr>
          <w:rFonts w:eastAsiaTheme="majorEastAsia" w:cstheme="majorBidi"/>
        </w:rPr>
        <w:t xml:space="preserve">omit unnecessary notes in sections 20, 22, 23, 32, 34, 34A, </w:t>
      </w:r>
      <w:r w:rsidR="00BF0320">
        <w:rPr>
          <w:rFonts w:eastAsiaTheme="majorEastAsia" w:cstheme="majorBidi"/>
        </w:rPr>
        <w:t>46, 48, 67, 70, 71, and 117.</w:t>
      </w:r>
    </w:p>
    <w:p w14:paraId="2566B10F" w14:textId="1DFBB4E7" w:rsid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sidR="00BF0320">
        <w:rPr>
          <w:rFonts w:eastAsiaTheme="majorEastAsia" w:cstheme="majorBidi"/>
          <w:b/>
          <w:szCs w:val="24"/>
        </w:rPr>
        <w:t>9</w:t>
      </w:r>
      <w:r w:rsidRPr="003B6573">
        <w:rPr>
          <w:rFonts w:eastAsiaTheme="majorEastAsia" w:cstheme="majorBidi"/>
          <w:b/>
          <w:szCs w:val="24"/>
        </w:rPr>
        <w:t>]</w:t>
      </w:r>
      <w:r w:rsidR="009316A7">
        <w:rPr>
          <w:rFonts w:eastAsiaTheme="majorEastAsia" w:cstheme="majorBidi"/>
          <w:b/>
          <w:szCs w:val="24"/>
        </w:rPr>
        <w:t xml:space="preserve">  Schedule 1, item 5, column 2</w:t>
      </w:r>
    </w:p>
    <w:p w14:paraId="54E77B10" w14:textId="3CC9CA26" w:rsidR="00720A01" w:rsidRDefault="00F90C33" w:rsidP="2D3205B8">
      <w:pPr>
        <w:tabs>
          <w:tab w:val="left" w:pos="1276"/>
        </w:tabs>
        <w:rPr>
          <w:rFonts w:eastAsiaTheme="majorEastAsia" w:cstheme="majorBidi"/>
          <w:b/>
          <w:bCs/>
        </w:rPr>
      </w:pPr>
      <w:r w:rsidRPr="2D3205B8">
        <w:rPr>
          <w:rFonts w:eastAsiaTheme="majorEastAsia" w:cstheme="majorBidi"/>
        </w:rPr>
        <w:t>This clause makes a technical amendment to Schedule 1, item 5, column 2 to correct the section from 34 (3) to section 34 (1). This correct</w:t>
      </w:r>
      <w:r w:rsidR="00AC566D" w:rsidRPr="2D3205B8">
        <w:rPr>
          <w:rFonts w:eastAsiaTheme="majorEastAsia" w:cstheme="majorBidi"/>
        </w:rPr>
        <w:t>s</w:t>
      </w:r>
      <w:r w:rsidRPr="2D3205B8">
        <w:rPr>
          <w:rFonts w:eastAsiaTheme="majorEastAsia" w:cstheme="majorBidi"/>
        </w:rPr>
        <w:t xml:space="preserve"> a cross-reference in the Act.</w:t>
      </w:r>
    </w:p>
    <w:p w14:paraId="2A6A383B" w14:textId="2E3DD9B0" w:rsid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Pr>
          <w:rFonts w:eastAsiaTheme="majorEastAsia" w:cstheme="majorBidi"/>
          <w:b/>
          <w:szCs w:val="24"/>
        </w:rPr>
        <w:t>1</w:t>
      </w:r>
      <w:r w:rsidR="00BF0320">
        <w:rPr>
          <w:rFonts w:eastAsiaTheme="majorEastAsia" w:cstheme="majorBidi"/>
          <w:b/>
          <w:szCs w:val="24"/>
        </w:rPr>
        <w:t>0</w:t>
      </w:r>
      <w:r w:rsidRPr="003B6573">
        <w:rPr>
          <w:rFonts w:eastAsiaTheme="majorEastAsia" w:cstheme="majorBidi"/>
          <w:b/>
          <w:szCs w:val="24"/>
        </w:rPr>
        <w:t>]</w:t>
      </w:r>
      <w:r w:rsidR="009316A7">
        <w:rPr>
          <w:rFonts w:eastAsiaTheme="majorEastAsia" w:cstheme="majorBidi"/>
          <w:b/>
          <w:szCs w:val="24"/>
        </w:rPr>
        <w:t xml:space="preserve">  Schedule 1, item 12, column 2</w:t>
      </w:r>
    </w:p>
    <w:p w14:paraId="68964D30" w14:textId="00583CD6" w:rsidR="00F90C33" w:rsidRDefault="00F90C33" w:rsidP="2D3205B8">
      <w:pPr>
        <w:tabs>
          <w:tab w:val="left" w:pos="1276"/>
        </w:tabs>
        <w:rPr>
          <w:rFonts w:eastAsiaTheme="majorEastAsia" w:cstheme="majorBidi"/>
          <w:b/>
          <w:bCs/>
        </w:rPr>
      </w:pPr>
      <w:r w:rsidRPr="2D3205B8">
        <w:rPr>
          <w:rFonts w:eastAsiaTheme="majorEastAsia" w:cstheme="majorBidi"/>
        </w:rPr>
        <w:t>This clause makes a technical amendment to Schedule 1, item 12, column 2 to correct the section from 67 to section 67 (1). This correct</w:t>
      </w:r>
      <w:r w:rsidR="00AC566D" w:rsidRPr="2D3205B8">
        <w:rPr>
          <w:rFonts w:eastAsiaTheme="majorEastAsia" w:cstheme="majorBidi"/>
        </w:rPr>
        <w:t>s</w:t>
      </w:r>
      <w:r w:rsidRPr="2D3205B8">
        <w:rPr>
          <w:rFonts w:eastAsiaTheme="majorEastAsia" w:cstheme="majorBidi"/>
        </w:rPr>
        <w:t xml:space="preserve"> a cross-reference in the Act.</w:t>
      </w:r>
    </w:p>
    <w:p w14:paraId="2D28F169" w14:textId="2F7F121F" w:rsid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sidR="00BF0320">
        <w:rPr>
          <w:rFonts w:eastAsiaTheme="majorEastAsia" w:cstheme="majorBidi"/>
          <w:b/>
          <w:szCs w:val="24"/>
        </w:rPr>
        <w:t>11</w:t>
      </w:r>
      <w:r w:rsidRPr="003B6573">
        <w:rPr>
          <w:rFonts w:eastAsiaTheme="majorEastAsia" w:cstheme="majorBidi"/>
          <w:b/>
          <w:szCs w:val="24"/>
        </w:rPr>
        <w:t>]</w:t>
      </w:r>
      <w:r w:rsidR="009316A7">
        <w:rPr>
          <w:rFonts w:eastAsiaTheme="majorEastAsia" w:cstheme="majorBidi"/>
          <w:b/>
          <w:szCs w:val="24"/>
        </w:rPr>
        <w:t xml:space="preserve">  Schedule 1, item 12, column 3</w:t>
      </w:r>
    </w:p>
    <w:p w14:paraId="29B202FA" w14:textId="61FA1FC4" w:rsidR="003B6573" w:rsidRDefault="00D05B2E" w:rsidP="2D3205B8">
      <w:pPr>
        <w:tabs>
          <w:tab w:val="left" w:pos="1276"/>
        </w:tabs>
        <w:rPr>
          <w:rFonts w:eastAsiaTheme="majorEastAsia" w:cstheme="majorBidi"/>
          <w:b/>
          <w:bCs/>
        </w:rPr>
      </w:pPr>
      <w:r w:rsidRPr="2D3205B8">
        <w:rPr>
          <w:rFonts w:eastAsiaTheme="majorEastAsia" w:cstheme="majorBidi"/>
        </w:rPr>
        <w:t xml:space="preserve">This clause makes a technical amendment to Schedule 1, item 12, column 3 to omit </w:t>
      </w:r>
      <w:r w:rsidRPr="2D3205B8">
        <w:rPr>
          <w:rFonts w:eastAsiaTheme="majorEastAsia" w:cstheme="majorBidi"/>
          <w:i/>
          <w:iCs/>
        </w:rPr>
        <w:t>give</w:t>
      </w:r>
      <w:r w:rsidRPr="2D3205B8">
        <w:rPr>
          <w:rFonts w:eastAsiaTheme="majorEastAsia" w:cstheme="majorBidi"/>
        </w:rPr>
        <w:t xml:space="preserve"> and replace with </w:t>
      </w:r>
      <w:r w:rsidRPr="2D3205B8">
        <w:rPr>
          <w:rFonts w:eastAsiaTheme="majorEastAsia" w:cstheme="majorBidi"/>
          <w:i/>
          <w:iCs/>
        </w:rPr>
        <w:t>declare</w:t>
      </w:r>
      <w:r w:rsidRPr="2D3205B8">
        <w:rPr>
          <w:rFonts w:eastAsiaTheme="majorEastAsia" w:cstheme="majorBidi"/>
        </w:rPr>
        <w:t>. This correct</w:t>
      </w:r>
      <w:r w:rsidR="00AC566D" w:rsidRPr="2D3205B8">
        <w:rPr>
          <w:rFonts w:eastAsiaTheme="majorEastAsia" w:cstheme="majorBidi"/>
        </w:rPr>
        <w:t>s</w:t>
      </w:r>
      <w:r w:rsidRPr="2D3205B8">
        <w:rPr>
          <w:rFonts w:eastAsiaTheme="majorEastAsia" w:cstheme="majorBidi"/>
        </w:rPr>
        <w:t xml:space="preserve"> the description of the reviewable decision for refusing to declare an exemption. </w:t>
      </w:r>
    </w:p>
    <w:p w14:paraId="2623E492" w14:textId="0D93E0A3" w:rsidR="003B6573" w:rsidRDefault="003B6573" w:rsidP="003B6573">
      <w:pPr>
        <w:tabs>
          <w:tab w:val="left" w:pos="1276"/>
        </w:tabs>
        <w:rPr>
          <w:rFonts w:eastAsiaTheme="majorEastAsia" w:cstheme="majorBidi"/>
          <w:b/>
          <w:szCs w:val="24"/>
        </w:rPr>
      </w:pPr>
      <w:r w:rsidRPr="003B6573">
        <w:rPr>
          <w:rFonts w:eastAsiaTheme="majorEastAsia" w:cstheme="majorBidi"/>
          <w:b/>
          <w:szCs w:val="24"/>
        </w:rPr>
        <w:t>Clause [1.</w:t>
      </w:r>
      <w:r w:rsidR="00BF0320">
        <w:rPr>
          <w:rFonts w:eastAsiaTheme="majorEastAsia" w:cstheme="majorBidi"/>
          <w:b/>
          <w:szCs w:val="24"/>
        </w:rPr>
        <w:t>12</w:t>
      </w:r>
      <w:r w:rsidRPr="003B6573">
        <w:rPr>
          <w:rFonts w:eastAsiaTheme="majorEastAsia" w:cstheme="majorBidi"/>
          <w:b/>
          <w:szCs w:val="24"/>
        </w:rPr>
        <w:t>]</w:t>
      </w:r>
      <w:r w:rsidR="009316A7">
        <w:rPr>
          <w:rFonts w:eastAsiaTheme="majorEastAsia" w:cstheme="majorBidi"/>
          <w:b/>
          <w:szCs w:val="24"/>
        </w:rPr>
        <w:t xml:space="preserve">  Schedule 1, item</w:t>
      </w:r>
      <w:r w:rsidR="00BF0320">
        <w:rPr>
          <w:rFonts w:eastAsiaTheme="majorEastAsia" w:cstheme="majorBidi"/>
          <w:b/>
          <w:szCs w:val="24"/>
        </w:rPr>
        <w:t xml:space="preserve">s </w:t>
      </w:r>
      <w:r w:rsidR="009316A7">
        <w:rPr>
          <w:rFonts w:eastAsiaTheme="majorEastAsia" w:cstheme="majorBidi"/>
          <w:b/>
          <w:szCs w:val="24"/>
        </w:rPr>
        <w:t>13</w:t>
      </w:r>
      <w:r w:rsidR="00BF0320">
        <w:rPr>
          <w:rFonts w:eastAsiaTheme="majorEastAsia" w:cstheme="majorBidi"/>
          <w:b/>
          <w:szCs w:val="24"/>
        </w:rPr>
        <w:t xml:space="preserve"> and 14, </w:t>
      </w:r>
      <w:r w:rsidR="009316A7">
        <w:rPr>
          <w:rFonts w:eastAsiaTheme="majorEastAsia" w:cstheme="majorBidi"/>
          <w:b/>
          <w:szCs w:val="24"/>
        </w:rPr>
        <w:t xml:space="preserve">column </w:t>
      </w:r>
      <w:r w:rsidR="00BF0320">
        <w:rPr>
          <w:rFonts w:eastAsiaTheme="majorEastAsia" w:cstheme="majorBidi"/>
          <w:b/>
          <w:szCs w:val="24"/>
        </w:rPr>
        <w:t>3</w:t>
      </w:r>
    </w:p>
    <w:p w14:paraId="0C30606A" w14:textId="2B2893F8" w:rsidR="00D05B2E" w:rsidRDefault="00D05B2E" w:rsidP="2D3205B8">
      <w:pPr>
        <w:tabs>
          <w:tab w:val="left" w:pos="1276"/>
        </w:tabs>
        <w:rPr>
          <w:rFonts w:eastAsiaTheme="majorEastAsia" w:cstheme="majorBidi"/>
          <w:b/>
          <w:bCs/>
        </w:rPr>
      </w:pPr>
      <w:r w:rsidRPr="2D3205B8">
        <w:rPr>
          <w:rFonts w:eastAsiaTheme="majorEastAsia" w:cstheme="majorBidi"/>
        </w:rPr>
        <w:t>This clause makes technical amendments to Schedule 1, item</w:t>
      </w:r>
      <w:r w:rsidR="00BF0320">
        <w:rPr>
          <w:rFonts w:eastAsiaTheme="majorEastAsia" w:cstheme="majorBidi"/>
        </w:rPr>
        <w:t>s</w:t>
      </w:r>
      <w:r w:rsidRPr="2D3205B8">
        <w:rPr>
          <w:rFonts w:eastAsiaTheme="majorEastAsia" w:cstheme="majorBidi"/>
        </w:rPr>
        <w:t xml:space="preserve"> 13</w:t>
      </w:r>
      <w:r w:rsidR="00BF0320">
        <w:rPr>
          <w:rFonts w:eastAsiaTheme="majorEastAsia" w:cstheme="majorBidi"/>
        </w:rPr>
        <w:t xml:space="preserve"> and 14</w:t>
      </w:r>
      <w:r w:rsidRPr="2D3205B8">
        <w:rPr>
          <w:rFonts w:eastAsiaTheme="majorEastAsia" w:cstheme="majorBidi"/>
        </w:rPr>
        <w:t xml:space="preserve">, column </w:t>
      </w:r>
      <w:r w:rsidR="00BF0320">
        <w:rPr>
          <w:rFonts w:eastAsiaTheme="majorEastAsia" w:cstheme="majorBidi"/>
        </w:rPr>
        <w:t>3</w:t>
      </w:r>
      <w:r w:rsidRPr="2D3205B8">
        <w:rPr>
          <w:rFonts w:eastAsiaTheme="majorEastAsia" w:cstheme="majorBidi"/>
        </w:rPr>
        <w:t xml:space="preserve"> to omit </w:t>
      </w:r>
      <w:r w:rsidRPr="2D3205B8">
        <w:rPr>
          <w:rFonts w:eastAsiaTheme="majorEastAsia" w:cstheme="majorBidi"/>
          <w:i/>
          <w:iCs/>
        </w:rPr>
        <w:t>issue</w:t>
      </w:r>
      <w:r w:rsidRPr="2D3205B8">
        <w:rPr>
          <w:rFonts w:eastAsiaTheme="majorEastAsia" w:cstheme="majorBidi"/>
        </w:rPr>
        <w:t xml:space="preserve"> and replace with </w:t>
      </w:r>
      <w:r w:rsidRPr="2D3205B8">
        <w:rPr>
          <w:rFonts w:eastAsiaTheme="majorEastAsia" w:cstheme="majorBidi"/>
          <w:i/>
          <w:iCs/>
        </w:rPr>
        <w:t>give</w:t>
      </w:r>
      <w:r w:rsidRPr="2D3205B8">
        <w:rPr>
          <w:rFonts w:eastAsiaTheme="majorEastAsia" w:cstheme="majorBidi"/>
        </w:rPr>
        <w:t>. This correct</w:t>
      </w:r>
      <w:r w:rsidR="00AC566D" w:rsidRPr="2D3205B8">
        <w:rPr>
          <w:rFonts w:eastAsiaTheme="majorEastAsia" w:cstheme="majorBidi"/>
        </w:rPr>
        <w:t>s</w:t>
      </w:r>
      <w:r w:rsidRPr="2D3205B8">
        <w:rPr>
          <w:rFonts w:eastAsiaTheme="majorEastAsia" w:cstheme="majorBidi"/>
        </w:rPr>
        <w:t xml:space="preserve"> the descriptions of the reviewable decisions for giving compliance directions and giving directions. </w:t>
      </w:r>
    </w:p>
    <w:p w14:paraId="5A4E563E" w14:textId="38E6FD7D" w:rsidR="00E90DF9" w:rsidRDefault="00E90DF9" w:rsidP="00E90DF9">
      <w:pPr>
        <w:pStyle w:val="Heading3"/>
      </w:pPr>
    </w:p>
    <w:p w14:paraId="22D67773" w14:textId="77777777" w:rsidR="00E90DF9" w:rsidRPr="004923C1" w:rsidRDefault="00E90DF9" w:rsidP="00E90DF9">
      <w:pPr>
        <w:rPr>
          <w:rFonts w:cs="Arial"/>
          <w:szCs w:val="24"/>
        </w:rPr>
      </w:pPr>
    </w:p>
    <w:p w14:paraId="35174E41" w14:textId="77777777" w:rsidR="00B10812" w:rsidRDefault="00B10812"/>
    <w:sectPr w:rsidR="00B10812" w:rsidSect="00E1194D">
      <w:footerReference w:type="default" r:id="rId24"/>
      <w:footerReference w:type="first" r:id="rId25"/>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2097" w14:textId="77777777" w:rsidR="00A12930" w:rsidRDefault="00A12930" w:rsidP="00E90DF9">
      <w:pPr>
        <w:spacing w:after="0" w:line="240" w:lineRule="auto"/>
      </w:pPr>
      <w:r>
        <w:separator/>
      </w:r>
    </w:p>
  </w:endnote>
  <w:endnote w:type="continuationSeparator" w:id="0">
    <w:p w14:paraId="2C1E042F" w14:textId="77777777" w:rsidR="00A12930" w:rsidRDefault="00A12930"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F53" w14:textId="77777777" w:rsidR="004061DE" w:rsidRDefault="0040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41EEEFE9" w:rsidR="004061DE" w:rsidRPr="00E739D1" w:rsidRDefault="00E739D1" w:rsidP="00E739D1">
    <w:pPr>
      <w:pStyle w:val="Footer"/>
      <w:jc w:val="center"/>
      <w:rPr>
        <w:rFonts w:cs="Arial"/>
        <w:sz w:val="14"/>
      </w:rPr>
    </w:pPr>
    <w:r w:rsidRPr="00E739D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E119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E1194D">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7B5B5D0F" w14:textId="7B0DF9F6" w:rsidR="00E739D1" w:rsidRPr="00E739D1" w:rsidRDefault="00E739D1" w:rsidP="00E739D1">
    <w:pPr>
      <w:pStyle w:val="Footer"/>
      <w:spacing w:before="60" w:line="240" w:lineRule="auto"/>
      <w:jc w:val="center"/>
      <w:rPr>
        <w:rFonts w:cs="Arial"/>
        <w:sz w:val="14"/>
      </w:rPr>
    </w:pPr>
    <w:r w:rsidRPr="00E739D1">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F141C6B" w14:textId="1192FEC1" w:rsidR="00E739D1" w:rsidRPr="00E739D1" w:rsidRDefault="00E739D1" w:rsidP="00E739D1">
    <w:pPr>
      <w:pStyle w:val="Footer"/>
      <w:jc w:val="center"/>
      <w:rPr>
        <w:rFonts w:cs="Arial"/>
        <w:sz w:val="14"/>
      </w:rPr>
    </w:pPr>
    <w:r w:rsidRPr="00E739D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1FC9" w14:textId="77777777" w:rsidR="00A12930" w:rsidRDefault="00A12930" w:rsidP="00E90DF9">
      <w:pPr>
        <w:spacing w:after="0" w:line="240" w:lineRule="auto"/>
      </w:pPr>
      <w:r>
        <w:separator/>
      </w:r>
    </w:p>
  </w:footnote>
  <w:footnote w:type="continuationSeparator" w:id="0">
    <w:p w14:paraId="4558280A" w14:textId="77777777" w:rsidR="00A12930" w:rsidRDefault="00A12930"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913" w14:textId="77777777" w:rsidR="004061DE" w:rsidRDefault="0040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77777777" w:rsidR="004061DE" w:rsidRDefault="0040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6EB" w14:textId="77777777" w:rsidR="004061DE" w:rsidRDefault="004061D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EvpC4UK" int2:invalidationBookmarkName="" int2:hashCode="ceR8dMjEF7dvpa" int2:id="IICaq5Ed">
      <int2:state int2:value="Rejected" int2:type="style"/>
    </int2:bookmark>
    <int2:bookmark int2:bookmarkName="_Int_DVzUcXvf" int2:invalidationBookmarkName="" int2:hashCode="eMulgoHpr8xiPO" int2:id="cDve2Vq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85A16E"/>
    <w:multiLevelType w:val="hybridMultilevel"/>
    <w:tmpl w:val="88B62CEA"/>
    <w:lvl w:ilvl="0" w:tplc="91B0962C">
      <w:start w:val="1"/>
      <w:numFmt w:val="upperLetter"/>
      <w:lvlText w:val="%1."/>
      <w:lvlJc w:val="left"/>
      <w:pPr>
        <w:ind w:left="720" w:hanging="360"/>
      </w:pPr>
    </w:lvl>
    <w:lvl w:ilvl="1" w:tplc="B9EC24F6">
      <w:start w:val="1"/>
      <w:numFmt w:val="lowerLetter"/>
      <w:lvlText w:val="%2."/>
      <w:lvlJc w:val="left"/>
      <w:pPr>
        <w:ind w:left="1440" w:hanging="360"/>
      </w:pPr>
    </w:lvl>
    <w:lvl w:ilvl="2" w:tplc="3C5CE4EC">
      <w:start w:val="1"/>
      <w:numFmt w:val="lowerRoman"/>
      <w:lvlText w:val="%3."/>
      <w:lvlJc w:val="right"/>
      <w:pPr>
        <w:ind w:left="2160" w:hanging="180"/>
      </w:pPr>
    </w:lvl>
    <w:lvl w:ilvl="3" w:tplc="B3020380">
      <w:start w:val="1"/>
      <w:numFmt w:val="decimal"/>
      <w:lvlText w:val="%4."/>
      <w:lvlJc w:val="left"/>
      <w:pPr>
        <w:ind w:left="2880" w:hanging="360"/>
      </w:pPr>
    </w:lvl>
    <w:lvl w:ilvl="4" w:tplc="9662A59E">
      <w:start w:val="1"/>
      <w:numFmt w:val="lowerLetter"/>
      <w:lvlText w:val="%5."/>
      <w:lvlJc w:val="left"/>
      <w:pPr>
        <w:ind w:left="3600" w:hanging="360"/>
      </w:pPr>
    </w:lvl>
    <w:lvl w:ilvl="5" w:tplc="4AE0FB5A">
      <w:start w:val="1"/>
      <w:numFmt w:val="lowerRoman"/>
      <w:lvlText w:val="%6."/>
      <w:lvlJc w:val="right"/>
      <w:pPr>
        <w:ind w:left="4320" w:hanging="180"/>
      </w:pPr>
    </w:lvl>
    <w:lvl w:ilvl="6" w:tplc="2DBE360A">
      <w:start w:val="1"/>
      <w:numFmt w:val="decimal"/>
      <w:lvlText w:val="%7."/>
      <w:lvlJc w:val="left"/>
      <w:pPr>
        <w:ind w:left="5040" w:hanging="360"/>
      </w:pPr>
    </w:lvl>
    <w:lvl w:ilvl="7" w:tplc="74B49C1E">
      <w:start w:val="1"/>
      <w:numFmt w:val="lowerLetter"/>
      <w:lvlText w:val="%8."/>
      <w:lvlJc w:val="left"/>
      <w:pPr>
        <w:ind w:left="5760" w:hanging="360"/>
      </w:pPr>
    </w:lvl>
    <w:lvl w:ilvl="8" w:tplc="9328F278">
      <w:start w:val="1"/>
      <w:numFmt w:val="lowerRoman"/>
      <w:lvlText w:val="%9."/>
      <w:lvlJc w:val="right"/>
      <w:pPr>
        <w:ind w:left="6480" w:hanging="180"/>
      </w:pPr>
    </w:lvl>
  </w:abstractNum>
  <w:abstractNum w:abstractNumId="2" w15:restartNumberingAfterBreak="0">
    <w:nsid w:val="0EFF6A56"/>
    <w:multiLevelType w:val="hybridMultilevel"/>
    <w:tmpl w:val="117C4338"/>
    <w:lvl w:ilvl="0" w:tplc="2E12E472">
      <w:start w:val="1"/>
      <w:numFmt w:val="bullet"/>
      <w:lvlText w:val=""/>
      <w:lvlJc w:val="left"/>
      <w:pPr>
        <w:ind w:left="720" w:hanging="360"/>
      </w:pPr>
      <w:rPr>
        <w:rFonts w:ascii="Symbol" w:hAnsi="Symbol" w:hint="default"/>
      </w:rPr>
    </w:lvl>
    <w:lvl w:ilvl="1" w:tplc="A174824E">
      <w:start w:val="1"/>
      <w:numFmt w:val="bullet"/>
      <w:lvlText w:val="o"/>
      <w:lvlJc w:val="left"/>
      <w:pPr>
        <w:ind w:left="1440" w:hanging="360"/>
      </w:pPr>
      <w:rPr>
        <w:rFonts w:ascii="Courier New" w:hAnsi="Courier New" w:hint="default"/>
      </w:rPr>
    </w:lvl>
    <w:lvl w:ilvl="2" w:tplc="492A43E2">
      <w:start w:val="1"/>
      <w:numFmt w:val="bullet"/>
      <w:lvlText w:val=""/>
      <w:lvlJc w:val="left"/>
      <w:pPr>
        <w:ind w:left="2160" w:hanging="360"/>
      </w:pPr>
      <w:rPr>
        <w:rFonts w:ascii="Wingdings" w:hAnsi="Wingdings" w:hint="default"/>
      </w:rPr>
    </w:lvl>
    <w:lvl w:ilvl="3" w:tplc="CA581582">
      <w:start w:val="1"/>
      <w:numFmt w:val="bullet"/>
      <w:lvlText w:val=""/>
      <w:lvlJc w:val="left"/>
      <w:pPr>
        <w:ind w:left="2880" w:hanging="360"/>
      </w:pPr>
      <w:rPr>
        <w:rFonts w:ascii="Symbol" w:hAnsi="Symbol" w:hint="default"/>
      </w:rPr>
    </w:lvl>
    <w:lvl w:ilvl="4" w:tplc="A4C81E3C">
      <w:start w:val="1"/>
      <w:numFmt w:val="bullet"/>
      <w:lvlText w:val="o"/>
      <w:lvlJc w:val="left"/>
      <w:pPr>
        <w:ind w:left="3600" w:hanging="360"/>
      </w:pPr>
      <w:rPr>
        <w:rFonts w:ascii="Courier New" w:hAnsi="Courier New" w:hint="default"/>
      </w:rPr>
    </w:lvl>
    <w:lvl w:ilvl="5" w:tplc="42365CF4">
      <w:start w:val="1"/>
      <w:numFmt w:val="bullet"/>
      <w:lvlText w:val=""/>
      <w:lvlJc w:val="left"/>
      <w:pPr>
        <w:ind w:left="4320" w:hanging="360"/>
      </w:pPr>
      <w:rPr>
        <w:rFonts w:ascii="Wingdings" w:hAnsi="Wingdings" w:hint="default"/>
      </w:rPr>
    </w:lvl>
    <w:lvl w:ilvl="6" w:tplc="75D023C6">
      <w:start w:val="1"/>
      <w:numFmt w:val="bullet"/>
      <w:lvlText w:val=""/>
      <w:lvlJc w:val="left"/>
      <w:pPr>
        <w:ind w:left="5040" w:hanging="360"/>
      </w:pPr>
      <w:rPr>
        <w:rFonts w:ascii="Symbol" w:hAnsi="Symbol" w:hint="default"/>
      </w:rPr>
    </w:lvl>
    <w:lvl w:ilvl="7" w:tplc="EDAC635C">
      <w:start w:val="1"/>
      <w:numFmt w:val="bullet"/>
      <w:lvlText w:val="o"/>
      <w:lvlJc w:val="left"/>
      <w:pPr>
        <w:ind w:left="5760" w:hanging="360"/>
      </w:pPr>
      <w:rPr>
        <w:rFonts w:ascii="Courier New" w:hAnsi="Courier New" w:hint="default"/>
      </w:rPr>
    </w:lvl>
    <w:lvl w:ilvl="8" w:tplc="3448060C">
      <w:start w:val="1"/>
      <w:numFmt w:val="bullet"/>
      <w:lvlText w:val=""/>
      <w:lvlJc w:val="left"/>
      <w:pPr>
        <w:ind w:left="6480" w:hanging="360"/>
      </w:pPr>
      <w:rPr>
        <w:rFonts w:ascii="Wingdings" w:hAnsi="Wingdings" w:hint="default"/>
      </w:rPr>
    </w:lvl>
  </w:abstractNum>
  <w:abstractNum w:abstractNumId="3" w15:restartNumberingAfterBreak="0">
    <w:nsid w:val="12730AC8"/>
    <w:multiLevelType w:val="hybridMultilevel"/>
    <w:tmpl w:val="8DA6B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DA550"/>
    <w:multiLevelType w:val="hybridMultilevel"/>
    <w:tmpl w:val="53380174"/>
    <w:lvl w:ilvl="0" w:tplc="19BA7E18">
      <w:start w:val="1"/>
      <w:numFmt w:val="bullet"/>
      <w:lvlText w:val=""/>
      <w:lvlJc w:val="left"/>
      <w:pPr>
        <w:ind w:left="720" w:hanging="360"/>
      </w:pPr>
      <w:rPr>
        <w:rFonts w:ascii="Symbol" w:hAnsi="Symbol" w:hint="default"/>
      </w:rPr>
    </w:lvl>
    <w:lvl w:ilvl="1" w:tplc="D51C2226">
      <w:start w:val="1"/>
      <w:numFmt w:val="bullet"/>
      <w:lvlText w:val="o"/>
      <w:lvlJc w:val="left"/>
      <w:pPr>
        <w:ind w:left="1440" w:hanging="360"/>
      </w:pPr>
      <w:rPr>
        <w:rFonts w:ascii="Courier New" w:hAnsi="Courier New" w:hint="default"/>
      </w:rPr>
    </w:lvl>
    <w:lvl w:ilvl="2" w:tplc="8B9A3502">
      <w:start w:val="1"/>
      <w:numFmt w:val="bullet"/>
      <w:lvlText w:val=""/>
      <w:lvlJc w:val="left"/>
      <w:pPr>
        <w:ind w:left="2160" w:hanging="360"/>
      </w:pPr>
      <w:rPr>
        <w:rFonts w:ascii="Wingdings" w:hAnsi="Wingdings" w:hint="default"/>
      </w:rPr>
    </w:lvl>
    <w:lvl w:ilvl="3" w:tplc="E03C0C4E">
      <w:start w:val="1"/>
      <w:numFmt w:val="bullet"/>
      <w:lvlText w:val=""/>
      <w:lvlJc w:val="left"/>
      <w:pPr>
        <w:ind w:left="2880" w:hanging="360"/>
      </w:pPr>
      <w:rPr>
        <w:rFonts w:ascii="Symbol" w:hAnsi="Symbol" w:hint="default"/>
      </w:rPr>
    </w:lvl>
    <w:lvl w:ilvl="4" w:tplc="63D42794">
      <w:start w:val="1"/>
      <w:numFmt w:val="bullet"/>
      <w:lvlText w:val="o"/>
      <w:lvlJc w:val="left"/>
      <w:pPr>
        <w:ind w:left="3600" w:hanging="360"/>
      </w:pPr>
      <w:rPr>
        <w:rFonts w:ascii="Courier New" w:hAnsi="Courier New" w:hint="default"/>
      </w:rPr>
    </w:lvl>
    <w:lvl w:ilvl="5" w:tplc="B5B20D82">
      <w:start w:val="1"/>
      <w:numFmt w:val="bullet"/>
      <w:lvlText w:val=""/>
      <w:lvlJc w:val="left"/>
      <w:pPr>
        <w:ind w:left="4320" w:hanging="360"/>
      </w:pPr>
      <w:rPr>
        <w:rFonts w:ascii="Wingdings" w:hAnsi="Wingdings" w:hint="default"/>
      </w:rPr>
    </w:lvl>
    <w:lvl w:ilvl="6" w:tplc="A6BAC60E">
      <w:start w:val="1"/>
      <w:numFmt w:val="bullet"/>
      <w:lvlText w:val=""/>
      <w:lvlJc w:val="left"/>
      <w:pPr>
        <w:ind w:left="5040" w:hanging="360"/>
      </w:pPr>
      <w:rPr>
        <w:rFonts w:ascii="Symbol" w:hAnsi="Symbol" w:hint="default"/>
      </w:rPr>
    </w:lvl>
    <w:lvl w:ilvl="7" w:tplc="9B883F3A">
      <w:start w:val="1"/>
      <w:numFmt w:val="bullet"/>
      <w:lvlText w:val="o"/>
      <w:lvlJc w:val="left"/>
      <w:pPr>
        <w:ind w:left="5760" w:hanging="360"/>
      </w:pPr>
      <w:rPr>
        <w:rFonts w:ascii="Courier New" w:hAnsi="Courier New" w:hint="default"/>
      </w:rPr>
    </w:lvl>
    <w:lvl w:ilvl="8" w:tplc="03869EC2">
      <w:start w:val="1"/>
      <w:numFmt w:val="bullet"/>
      <w:lvlText w:val=""/>
      <w:lvlJc w:val="left"/>
      <w:pPr>
        <w:ind w:left="6480" w:hanging="360"/>
      </w:pPr>
      <w:rPr>
        <w:rFonts w:ascii="Wingdings" w:hAnsi="Wingdings" w:hint="default"/>
      </w:rPr>
    </w:lvl>
  </w:abstractNum>
  <w:abstractNum w:abstractNumId="5" w15:restartNumberingAfterBreak="0">
    <w:nsid w:val="172F4224"/>
    <w:multiLevelType w:val="hybridMultilevel"/>
    <w:tmpl w:val="1116C430"/>
    <w:lvl w:ilvl="0" w:tplc="0DE6B1AC">
      <w:start w:val="1"/>
      <w:numFmt w:val="bullet"/>
      <w:lvlText w:val="o"/>
      <w:lvlJc w:val="left"/>
      <w:pPr>
        <w:ind w:left="720" w:hanging="360"/>
      </w:pPr>
      <w:rPr>
        <w:rFonts w:ascii="Courier New" w:hAnsi="Courier New" w:hint="default"/>
      </w:rPr>
    </w:lvl>
    <w:lvl w:ilvl="1" w:tplc="9A96D51E">
      <w:start w:val="1"/>
      <w:numFmt w:val="bullet"/>
      <w:lvlText w:val="o"/>
      <w:lvlJc w:val="left"/>
      <w:pPr>
        <w:ind w:left="1440" w:hanging="360"/>
      </w:pPr>
      <w:rPr>
        <w:rFonts w:ascii="Courier New" w:hAnsi="Courier New" w:hint="default"/>
      </w:rPr>
    </w:lvl>
    <w:lvl w:ilvl="2" w:tplc="7E168BF4">
      <w:start w:val="1"/>
      <w:numFmt w:val="bullet"/>
      <w:lvlText w:val=""/>
      <w:lvlJc w:val="left"/>
      <w:pPr>
        <w:ind w:left="2160" w:hanging="360"/>
      </w:pPr>
      <w:rPr>
        <w:rFonts w:ascii="Wingdings" w:hAnsi="Wingdings" w:hint="default"/>
      </w:rPr>
    </w:lvl>
    <w:lvl w:ilvl="3" w:tplc="B1302D66">
      <w:start w:val="1"/>
      <w:numFmt w:val="bullet"/>
      <w:lvlText w:val=""/>
      <w:lvlJc w:val="left"/>
      <w:pPr>
        <w:ind w:left="2880" w:hanging="360"/>
      </w:pPr>
      <w:rPr>
        <w:rFonts w:ascii="Symbol" w:hAnsi="Symbol" w:hint="default"/>
      </w:rPr>
    </w:lvl>
    <w:lvl w:ilvl="4" w:tplc="1408BFAC">
      <w:start w:val="1"/>
      <w:numFmt w:val="bullet"/>
      <w:lvlText w:val="o"/>
      <w:lvlJc w:val="left"/>
      <w:pPr>
        <w:ind w:left="3600" w:hanging="360"/>
      </w:pPr>
      <w:rPr>
        <w:rFonts w:ascii="Courier New" w:hAnsi="Courier New" w:hint="default"/>
      </w:rPr>
    </w:lvl>
    <w:lvl w:ilvl="5" w:tplc="CC1E4F14">
      <w:start w:val="1"/>
      <w:numFmt w:val="bullet"/>
      <w:lvlText w:val=""/>
      <w:lvlJc w:val="left"/>
      <w:pPr>
        <w:ind w:left="4320" w:hanging="360"/>
      </w:pPr>
      <w:rPr>
        <w:rFonts w:ascii="Wingdings" w:hAnsi="Wingdings" w:hint="default"/>
      </w:rPr>
    </w:lvl>
    <w:lvl w:ilvl="6" w:tplc="483CA638">
      <w:start w:val="1"/>
      <w:numFmt w:val="bullet"/>
      <w:lvlText w:val=""/>
      <w:lvlJc w:val="left"/>
      <w:pPr>
        <w:ind w:left="5040" w:hanging="360"/>
      </w:pPr>
      <w:rPr>
        <w:rFonts w:ascii="Symbol" w:hAnsi="Symbol" w:hint="default"/>
      </w:rPr>
    </w:lvl>
    <w:lvl w:ilvl="7" w:tplc="3558E962">
      <w:start w:val="1"/>
      <w:numFmt w:val="bullet"/>
      <w:lvlText w:val="o"/>
      <w:lvlJc w:val="left"/>
      <w:pPr>
        <w:ind w:left="5760" w:hanging="360"/>
      </w:pPr>
      <w:rPr>
        <w:rFonts w:ascii="Courier New" w:hAnsi="Courier New" w:hint="default"/>
      </w:rPr>
    </w:lvl>
    <w:lvl w:ilvl="8" w:tplc="093810D0">
      <w:start w:val="1"/>
      <w:numFmt w:val="bullet"/>
      <w:lvlText w:val=""/>
      <w:lvlJc w:val="left"/>
      <w:pPr>
        <w:ind w:left="6480" w:hanging="360"/>
      </w:pPr>
      <w:rPr>
        <w:rFonts w:ascii="Wingdings" w:hAnsi="Wingdings" w:hint="default"/>
      </w:rPr>
    </w:lvl>
  </w:abstractNum>
  <w:abstractNum w:abstractNumId="6"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7" w15:restartNumberingAfterBreak="0">
    <w:nsid w:val="2FB26E35"/>
    <w:multiLevelType w:val="hybridMultilevel"/>
    <w:tmpl w:val="5F4EC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D61A1A"/>
    <w:multiLevelType w:val="hybridMultilevel"/>
    <w:tmpl w:val="4ED6F2AC"/>
    <w:lvl w:ilvl="0" w:tplc="530C7B38">
      <w:start w:val="1"/>
      <w:numFmt w:val="lowerRoman"/>
      <w:lvlText w:val="%1."/>
      <w:lvlJc w:val="right"/>
      <w:pPr>
        <w:ind w:left="720" w:hanging="360"/>
      </w:pPr>
    </w:lvl>
    <w:lvl w:ilvl="1" w:tplc="A21821DA">
      <w:start w:val="1"/>
      <w:numFmt w:val="lowerLetter"/>
      <w:lvlText w:val="%2."/>
      <w:lvlJc w:val="left"/>
      <w:pPr>
        <w:ind w:left="1440" w:hanging="360"/>
      </w:pPr>
    </w:lvl>
    <w:lvl w:ilvl="2" w:tplc="E9841570">
      <w:start w:val="1"/>
      <w:numFmt w:val="lowerRoman"/>
      <w:lvlText w:val="%3."/>
      <w:lvlJc w:val="right"/>
      <w:pPr>
        <w:ind w:left="2160" w:hanging="180"/>
      </w:pPr>
    </w:lvl>
    <w:lvl w:ilvl="3" w:tplc="BD5ADA6C">
      <w:start w:val="1"/>
      <w:numFmt w:val="decimal"/>
      <w:lvlText w:val="%4."/>
      <w:lvlJc w:val="left"/>
      <w:pPr>
        <w:ind w:left="2880" w:hanging="360"/>
      </w:pPr>
    </w:lvl>
    <w:lvl w:ilvl="4" w:tplc="EB90BC02">
      <w:start w:val="1"/>
      <w:numFmt w:val="lowerLetter"/>
      <w:lvlText w:val="%5."/>
      <w:lvlJc w:val="left"/>
      <w:pPr>
        <w:ind w:left="3600" w:hanging="360"/>
      </w:pPr>
    </w:lvl>
    <w:lvl w:ilvl="5" w:tplc="4A54FC00">
      <w:start w:val="1"/>
      <w:numFmt w:val="lowerRoman"/>
      <w:lvlText w:val="%6."/>
      <w:lvlJc w:val="right"/>
      <w:pPr>
        <w:ind w:left="4320" w:hanging="180"/>
      </w:pPr>
    </w:lvl>
    <w:lvl w:ilvl="6" w:tplc="3BEE8A24">
      <w:start w:val="1"/>
      <w:numFmt w:val="decimal"/>
      <w:lvlText w:val="%7."/>
      <w:lvlJc w:val="left"/>
      <w:pPr>
        <w:ind w:left="5040" w:hanging="360"/>
      </w:pPr>
    </w:lvl>
    <w:lvl w:ilvl="7" w:tplc="13701862">
      <w:start w:val="1"/>
      <w:numFmt w:val="lowerLetter"/>
      <w:lvlText w:val="%8."/>
      <w:lvlJc w:val="left"/>
      <w:pPr>
        <w:ind w:left="5760" w:hanging="360"/>
      </w:pPr>
    </w:lvl>
    <w:lvl w:ilvl="8" w:tplc="E19E29C6">
      <w:start w:val="1"/>
      <w:numFmt w:val="lowerRoman"/>
      <w:lvlText w:val="%9."/>
      <w:lvlJc w:val="right"/>
      <w:pPr>
        <w:ind w:left="6480" w:hanging="180"/>
      </w:pPr>
    </w:lvl>
  </w:abstractNum>
  <w:abstractNum w:abstractNumId="9" w15:restartNumberingAfterBreak="0">
    <w:nsid w:val="366F3F32"/>
    <w:multiLevelType w:val="hybridMultilevel"/>
    <w:tmpl w:val="AA7620A0"/>
    <w:lvl w:ilvl="0" w:tplc="EB3610F6">
      <w:start w:val="1"/>
      <w:numFmt w:val="decimal"/>
      <w:lvlText w:val="1)"/>
      <w:lvlJc w:val="left"/>
      <w:pPr>
        <w:ind w:left="720" w:hanging="360"/>
      </w:pPr>
    </w:lvl>
    <w:lvl w:ilvl="1" w:tplc="2820DC04">
      <w:start w:val="1"/>
      <w:numFmt w:val="bullet"/>
      <w:lvlText w:val=""/>
      <w:lvlJc w:val="left"/>
      <w:pPr>
        <w:ind w:left="1440" w:hanging="360"/>
      </w:pPr>
      <w:rPr>
        <w:rFonts w:ascii="Symbol" w:hAnsi="Symbol" w:hint="default"/>
      </w:rPr>
    </w:lvl>
    <w:lvl w:ilvl="2" w:tplc="2BEEA9D8">
      <w:start w:val="1"/>
      <w:numFmt w:val="lowerRoman"/>
      <w:lvlText w:val="%3."/>
      <w:lvlJc w:val="right"/>
      <w:pPr>
        <w:ind w:left="2160" w:hanging="180"/>
      </w:pPr>
    </w:lvl>
    <w:lvl w:ilvl="3" w:tplc="687262AE">
      <w:start w:val="1"/>
      <w:numFmt w:val="decimal"/>
      <w:lvlText w:val="%4."/>
      <w:lvlJc w:val="left"/>
      <w:pPr>
        <w:ind w:left="2880" w:hanging="360"/>
      </w:pPr>
    </w:lvl>
    <w:lvl w:ilvl="4" w:tplc="3A1CBF4A">
      <w:start w:val="1"/>
      <w:numFmt w:val="lowerLetter"/>
      <w:lvlText w:val="%5."/>
      <w:lvlJc w:val="left"/>
      <w:pPr>
        <w:ind w:left="3600" w:hanging="360"/>
      </w:pPr>
    </w:lvl>
    <w:lvl w:ilvl="5" w:tplc="2CD2EC82">
      <w:start w:val="1"/>
      <w:numFmt w:val="lowerRoman"/>
      <w:lvlText w:val="%6."/>
      <w:lvlJc w:val="right"/>
      <w:pPr>
        <w:ind w:left="4320" w:hanging="180"/>
      </w:pPr>
    </w:lvl>
    <w:lvl w:ilvl="6" w:tplc="E5DEFC84">
      <w:start w:val="1"/>
      <w:numFmt w:val="decimal"/>
      <w:lvlText w:val="%7."/>
      <w:lvlJc w:val="left"/>
      <w:pPr>
        <w:ind w:left="5040" w:hanging="360"/>
      </w:pPr>
    </w:lvl>
    <w:lvl w:ilvl="7" w:tplc="ECF4D332">
      <w:start w:val="1"/>
      <w:numFmt w:val="lowerLetter"/>
      <w:lvlText w:val="%8."/>
      <w:lvlJc w:val="left"/>
      <w:pPr>
        <w:ind w:left="5760" w:hanging="360"/>
      </w:pPr>
    </w:lvl>
    <w:lvl w:ilvl="8" w:tplc="A2807522">
      <w:start w:val="1"/>
      <w:numFmt w:val="lowerRoman"/>
      <w:lvlText w:val="%9."/>
      <w:lvlJc w:val="right"/>
      <w:pPr>
        <w:ind w:left="6480" w:hanging="180"/>
      </w:pPr>
    </w:lvl>
  </w:abstractNum>
  <w:abstractNum w:abstractNumId="10" w15:restartNumberingAfterBreak="0">
    <w:nsid w:val="39F407B2"/>
    <w:multiLevelType w:val="hybridMultilevel"/>
    <w:tmpl w:val="C4581EB8"/>
    <w:lvl w:ilvl="0" w:tplc="F154ABB4">
      <w:start w:val="1"/>
      <w:numFmt w:val="bullet"/>
      <w:lvlText w:val=""/>
      <w:lvlJc w:val="left"/>
      <w:pPr>
        <w:ind w:left="1640" w:hanging="360"/>
      </w:pPr>
      <w:rPr>
        <w:rFonts w:ascii="Symbol" w:hAnsi="Symbol"/>
      </w:rPr>
    </w:lvl>
    <w:lvl w:ilvl="1" w:tplc="86CEF7BA">
      <w:start w:val="1"/>
      <w:numFmt w:val="bullet"/>
      <w:lvlText w:val=""/>
      <w:lvlJc w:val="left"/>
      <w:pPr>
        <w:ind w:left="1640" w:hanging="360"/>
      </w:pPr>
      <w:rPr>
        <w:rFonts w:ascii="Symbol" w:hAnsi="Symbol"/>
      </w:rPr>
    </w:lvl>
    <w:lvl w:ilvl="2" w:tplc="6658B304">
      <w:start w:val="1"/>
      <w:numFmt w:val="bullet"/>
      <w:lvlText w:val=""/>
      <w:lvlJc w:val="left"/>
      <w:pPr>
        <w:ind w:left="1640" w:hanging="360"/>
      </w:pPr>
      <w:rPr>
        <w:rFonts w:ascii="Symbol" w:hAnsi="Symbol"/>
      </w:rPr>
    </w:lvl>
    <w:lvl w:ilvl="3" w:tplc="1624C64C">
      <w:start w:val="1"/>
      <w:numFmt w:val="bullet"/>
      <w:lvlText w:val=""/>
      <w:lvlJc w:val="left"/>
      <w:pPr>
        <w:ind w:left="1640" w:hanging="360"/>
      </w:pPr>
      <w:rPr>
        <w:rFonts w:ascii="Symbol" w:hAnsi="Symbol"/>
      </w:rPr>
    </w:lvl>
    <w:lvl w:ilvl="4" w:tplc="DBDC3788">
      <w:start w:val="1"/>
      <w:numFmt w:val="bullet"/>
      <w:lvlText w:val=""/>
      <w:lvlJc w:val="left"/>
      <w:pPr>
        <w:ind w:left="1640" w:hanging="360"/>
      </w:pPr>
      <w:rPr>
        <w:rFonts w:ascii="Symbol" w:hAnsi="Symbol"/>
      </w:rPr>
    </w:lvl>
    <w:lvl w:ilvl="5" w:tplc="A87AD5EC">
      <w:start w:val="1"/>
      <w:numFmt w:val="bullet"/>
      <w:lvlText w:val=""/>
      <w:lvlJc w:val="left"/>
      <w:pPr>
        <w:ind w:left="1640" w:hanging="360"/>
      </w:pPr>
      <w:rPr>
        <w:rFonts w:ascii="Symbol" w:hAnsi="Symbol"/>
      </w:rPr>
    </w:lvl>
    <w:lvl w:ilvl="6" w:tplc="475A9CBA">
      <w:start w:val="1"/>
      <w:numFmt w:val="bullet"/>
      <w:lvlText w:val=""/>
      <w:lvlJc w:val="left"/>
      <w:pPr>
        <w:ind w:left="1640" w:hanging="360"/>
      </w:pPr>
      <w:rPr>
        <w:rFonts w:ascii="Symbol" w:hAnsi="Symbol"/>
      </w:rPr>
    </w:lvl>
    <w:lvl w:ilvl="7" w:tplc="3146C490">
      <w:start w:val="1"/>
      <w:numFmt w:val="bullet"/>
      <w:lvlText w:val=""/>
      <w:lvlJc w:val="left"/>
      <w:pPr>
        <w:ind w:left="1640" w:hanging="360"/>
      </w:pPr>
      <w:rPr>
        <w:rFonts w:ascii="Symbol" w:hAnsi="Symbol"/>
      </w:rPr>
    </w:lvl>
    <w:lvl w:ilvl="8" w:tplc="40B84E4C">
      <w:start w:val="1"/>
      <w:numFmt w:val="bullet"/>
      <w:lvlText w:val=""/>
      <w:lvlJc w:val="left"/>
      <w:pPr>
        <w:ind w:left="1640" w:hanging="360"/>
      </w:pPr>
      <w:rPr>
        <w:rFonts w:ascii="Symbol" w:hAnsi="Symbol"/>
      </w:rPr>
    </w:lvl>
  </w:abstractNum>
  <w:abstractNum w:abstractNumId="11" w15:restartNumberingAfterBreak="0">
    <w:nsid w:val="3BB5BD91"/>
    <w:multiLevelType w:val="hybridMultilevel"/>
    <w:tmpl w:val="5E6A68A2"/>
    <w:lvl w:ilvl="0" w:tplc="79E848F8">
      <w:start w:val="1"/>
      <w:numFmt w:val="lowerRoman"/>
      <w:lvlText w:val="%1."/>
      <w:lvlJc w:val="right"/>
      <w:pPr>
        <w:ind w:left="720" w:hanging="360"/>
      </w:pPr>
    </w:lvl>
    <w:lvl w:ilvl="1" w:tplc="C5AA835A">
      <w:start w:val="1"/>
      <w:numFmt w:val="lowerLetter"/>
      <w:lvlText w:val="%2."/>
      <w:lvlJc w:val="left"/>
      <w:pPr>
        <w:ind w:left="1440" w:hanging="360"/>
      </w:pPr>
    </w:lvl>
    <w:lvl w:ilvl="2" w:tplc="8240428E">
      <w:start w:val="1"/>
      <w:numFmt w:val="lowerRoman"/>
      <w:lvlText w:val="%3."/>
      <w:lvlJc w:val="right"/>
      <w:pPr>
        <w:ind w:left="2160" w:hanging="180"/>
      </w:pPr>
    </w:lvl>
    <w:lvl w:ilvl="3" w:tplc="B05E7F02">
      <w:start w:val="1"/>
      <w:numFmt w:val="decimal"/>
      <w:lvlText w:val="%4."/>
      <w:lvlJc w:val="left"/>
      <w:pPr>
        <w:ind w:left="2880" w:hanging="360"/>
      </w:pPr>
    </w:lvl>
    <w:lvl w:ilvl="4" w:tplc="06E0293C">
      <w:start w:val="1"/>
      <w:numFmt w:val="lowerLetter"/>
      <w:lvlText w:val="%5."/>
      <w:lvlJc w:val="left"/>
      <w:pPr>
        <w:ind w:left="3600" w:hanging="360"/>
      </w:pPr>
    </w:lvl>
    <w:lvl w:ilvl="5" w:tplc="6FF2F806">
      <w:start w:val="1"/>
      <w:numFmt w:val="lowerRoman"/>
      <w:lvlText w:val="%6."/>
      <w:lvlJc w:val="right"/>
      <w:pPr>
        <w:ind w:left="4320" w:hanging="180"/>
      </w:pPr>
    </w:lvl>
    <w:lvl w:ilvl="6" w:tplc="9C4462EC">
      <w:start w:val="1"/>
      <w:numFmt w:val="decimal"/>
      <w:lvlText w:val="%7."/>
      <w:lvlJc w:val="left"/>
      <w:pPr>
        <w:ind w:left="5040" w:hanging="360"/>
      </w:pPr>
    </w:lvl>
    <w:lvl w:ilvl="7" w:tplc="9292822A">
      <w:start w:val="1"/>
      <w:numFmt w:val="lowerLetter"/>
      <w:lvlText w:val="%8."/>
      <w:lvlJc w:val="left"/>
      <w:pPr>
        <w:ind w:left="5760" w:hanging="360"/>
      </w:pPr>
    </w:lvl>
    <w:lvl w:ilvl="8" w:tplc="0D92ED1A">
      <w:start w:val="1"/>
      <w:numFmt w:val="lowerRoman"/>
      <w:lvlText w:val="%9."/>
      <w:lvlJc w:val="right"/>
      <w:pPr>
        <w:ind w:left="6480" w:hanging="180"/>
      </w:pPr>
    </w:lvl>
  </w:abstractNum>
  <w:abstractNum w:abstractNumId="12" w15:restartNumberingAfterBreak="0">
    <w:nsid w:val="4E6F41C4"/>
    <w:multiLevelType w:val="hybridMultilevel"/>
    <w:tmpl w:val="858CC86E"/>
    <w:lvl w:ilvl="0" w:tplc="DA9C1E92">
      <w:start w:val="1"/>
      <w:numFmt w:val="bullet"/>
      <w:lvlText w:val=""/>
      <w:lvlJc w:val="left"/>
      <w:pPr>
        <w:ind w:left="720" w:hanging="360"/>
      </w:pPr>
      <w:rPr>
        <w:rFonts w:ascii="Symbol" w:hAnsi="Symbol" w:hint="default"/>
      </w:rPr>
    </w:lvl>
    <w:lvl w:ilvl="1" w:tplc="091A675C">
      <w:start w:val="1"/>
      <w:numFmt w:val="bullet"/>
      <w:lvlText w:val="o"/>
      <w:lvlJc w:val="left"/>
      <w:pPr>
        <w:ind w:left="1440" w:hanging="360"/>
      </w:pPr>
      <w:rPr>
        <w:rFonts w:ascii="Courier New" w:hAnsi="Courier New" w:hint="default"/>
      </w:rPr>
    </w:lvl>
    <w:lvl w:ilvl="2" w:tplc="8DDEF6DA">
      <w:start w:val="1"/>
      <w:numFmt w:val="bullet"/>
      <w:lvlText w:val=""/>
      <w:lvlJc w:val="left"/>
      <w:pPr>
        <w:ind w:left="2160" w:hanging="360"/>
      </w:pPr>
      <w:rPr>
        <w:rFonts w:ascii="Wingdings" w:hAnsi="Wingdings" w:hint="default"/>
      </w:rPr>
    </w:lvl>
    <w:lvl w:ilvl="3" w:tplc="D4EC0E9A">
      <w:start w:val="1"/>
      <w:numFmt w:val="bullet"/>
      <w:lvlText w:val=""/>
      <w:lvlJc w:val="left"/>
      <w:pPr>
        <w:ind w:left="2880" w:hanging="360"/>
      </w:pPr>
      <w:rPr>
        <w:rFonts w:ascii="Symbol" w:hAnsi="Symbol" w:hint="default"/>
      </w:rPr>
    </w:lvl>
    <w:lvl w:ilvl="4" w:tplc="9424C784">
      <w:start w:val="1"/>
      <w:numFmt w:val="bullet"/>
      <w:lvlText w:val="o"/>
      <w:lvlJc w:val="left"/>
      <w:pPr>
        <w:ind w:left="3600" w:hanging="360"/>
      </w:pPr>
      <w:rPr>
        <w:rFonts w:ascii="Courier New" w:hAnsi="Courier New" w:hint="default"/>
      </w:rPr>
    </w:lvl>
    <w:lvl w:ilvl="5" w:tplc="B89609F8">
      <w:start w:val="1"/>
      <w:numFmt w:val="bullet"/>
      <w:lvlText w:val=""/>
      <w:lvlJc w:val="left"/>
      <w:pPr>
        <w:ind w:left="4320" w:hanging="360"/>
      </w:pPr>
      <w:rPr>
        <w:rFonts w:ascii="Wingdings" w:hAnsi="Wingdings" w:hint="default"/>
      </w:rPr>
    </w:lvl>
    <w:lvl w:ilvl="6" w:tplc="B9C696F2">
      <w:start w:val="1"/>
      <w:numFmt w:val="bullet"/>
      <w:lvlText w:val=""/>
      <w:lvlJc w:val="left"/>
      <w:pPr>
        <w:ind w:left="5040" w:hanging="360"/>
      </w:pPr>
      <w:rPr>
        <w:rFonts w:ascii="Symbol" w:hAnsi="Symbol" w:hint="default"/>
      </w:rPr>
    </w:lvl>
    <w:lvl w:ilvl="7" w:tplc="4B881106">
      <w:start w:val="1"/>
      <w:numFmt w:val="bullet"/>
      <w:lvlText w:val="o"/>
      <w:lvlJc w:val="left"/>
      <w:pPr>
        <w:ind w:left="5760" w:hanging="360"/>
      </w:pPr>
      <w:rPr>
        <w:rFonts w:ascii="Courier New" w:hAnsi="Courier New" w:hint="default"/>
      </w:rPr>
    </w:lvl>
    <w:lvl w:ilvl="8" w:tplc="853CD626">
      <w:start w:val="1"/>
      <w:numFmt w:val="bullet"/>
      <w:lvlText w:val=""/>
      <w:lvlJc w:val="left"/>
      <w:pPr>
        <w:ind w:left="6480" w:hanging="360"/>
      </w:pPr>
      <w:rPr>
        <w:rFonts w:ascii="Wingdings" w:hAnsi="Wingdings" w:hint="default"/>
      </w:rPr>
    </w:lvl>
  </w:abstractNum>
  <w:abstractNum w:abstractNumId="13" w15:restartNumberingAfterBreak="0">
    <w:nsid w:val="4FF5D6E2"/>
    <w:multiLevelType w:val="hybridMultilevel"/>
    <w:tmpl w:val="759A0450"/>
    <w:lvl w:ilvl="0" w:tplc="EFC86FBC">
      <w:start w:val="1"/>
      <w:numFmt w:val="upperLetter"/>
      <w:lvlText w:val="%1."/>
      <w:lvlJc w:val="left"/>
      <w:pPr>
        <w:ind w:left="720" w:hanging="360"/>
      </w:pPr>
    </w:lvl>
    <w:lvl w:ilvl="1" w:tplc="E64A4F58">
      <w:start w:val="1"/>
      <w:numFmt w:val="lowerLetter"/>
      <w:lvlText w:val="%2."/>
      <w:lvlJc w:val="left"/>
      <w:pPr>
        <w:ind w:left="1440" w:hanging="360"/>
      </w:pPr>
    </w:lvl>
    <w:lvl w:ilvl="2" w:tplc="500A1492">
      <w:start w:val="1"/>
      <w:numFmt w:val="lowerRoman"/>
      <w:lvlText w:val="%3."/>
      <w:lvlJc w:val="right"/>
      <w:pPr>
        <w:ind w:left="2160" w:hanging="180"/>
      </w:pPr>
    </w:lvl>
    <w:lvl w:ilvl="3" w:tplc="6D446466">
      <w:start w:val="1"/>
      <w:numFmt w:val="decimal"/>
      <w:lvlText w:val="%4."/>
      <w:lvlJc w:val="left"/>
      <w:pPr>
        <w:ind w:left="2880" w:hanging="360"/>
      </w:pPr>
    </w:lvl>
    <w:lvl w:ilvl="4" w:tplc="362ED33E">
      <w:start w:val="1"/>
      <w:numFmt w:val="lowerLetter"/>
      <w:lvlText w:val="%5."/>
      <w:lvlJc w:val="left"/>
      <w:pPr>
        <w:ind w:left="3600" w:hanging="360"/>
      </w:pPr>
    </w:lvl>
    <w:lvl w:ilvl="5" w:tplc="7674E35A">
      <w:start w:val="1"/>
      <w:numFmt w:val="lowerRoman"/>
      <w:lvlText w:val="%6."/>
      <w:lvlJc w:val="right"/>
      <w:pPr>
        <w:ind w:left="4320" w:hanging="180"/>
      </w:pPr>
    </w:lvl>
    <w:lvl w:ilvl="6" w:tplc="A5BC9C36">
      <w:start w:val="1"/>
      <w:numFmt w:val="decimal"/>
      <w:lvlText w:val="%7."/>
      <w:lvlJc w:val="left"/>
      <w:pPr>
        <w:ind w:left="5040" w:hanging="360"/>
      </w:pPr>
    </w:lvl>
    <w:lvl w:ilvl="7" w:tplc="5C548E66">
      <w:start w:val="1"/>
      <w:numFmt w:val="lowerLetter"/>
      <w:lvlText w:val="%8."/>
      <w:lvlJc w:val="left"/>
      <w:pPr>
        <w:ind w:left="5760" w:hanging="360"/>
      </w:pPr>
    </w:lvl>
    <w:lvl w:ilvl="8" w:tplc="522A7676">
      <w:start w:val="1"/>
      <w:numFmt w:val="lowerRoman"/>
      <w:lvlText w:val="%9."/>
      <w:lvlJc w:val="right"/>
      <w:pPr>
        <w:ind w:left="6480" w:hanging="180"/>
      </w:pPr>
    </w:lvl>
  </w:abstractNum>
  <w:abstractNum w:abstractNumId="14" w15:restartNumberingAfterBreak="0">
    <w:nsid w:val="53134D07"/>
    <w:multiLevelType w:val="hybridMultilevel"/>
    <w:tmpl w:val="91DC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511080"/>
    <w:multiLevelType w:val="hybridMultilevel"/>
    <w:tmpl w:val="7D802C0C"/>
    <w:lvl w:ilvl="0" w:tplc="16168B86">
      <w:start w:val="1"/>
      <w:numFmt w:val="decimal"/>
      <w:lvlText w:val="%1."/>
      <w:lvlJc w:val="left"/>
      <w:pPr>
        <w:ind w:left="720" w:hanging="360"/>
      </w:pPr>
    </w:lvl>
    <w:lvl w:ilvl="1" w:tplc="FF2856AA">
      <w:start w:val="2"/>
      <w:numFmt w:val="lowerLetter"/>
      <w:lvlText w:val="%2."/>
      <w:lvlJc w:val="left"/>
      <w:pPr>
        <w:ind w:left="1440" w:hanging="360"/>
      </w:pPr>
    </w:lvl>
    <w:lvl w:ilvl="2" w:tplc="4E268210">
      <w:start w:val="1"/>
      <w:numFmt w:val="lowerRoman"/>
      <w:lvlText w:val="%3."/>
      <w:lvlJc w:val="right"/>
      <w:pPr>
        <w:ind w:left="2160" w:hanging="180"/>
      </w:pPr>
    </w:lvl>
    <w:lvl w:ilvl="3" w:tplc="31003190">
      <w:start w:val="1"/>
      <w:numFmt w:val="decimal"/>
      <w:lvlText w:val="%4."/>
      <w:lvlJc w:val="left"/>
      <w:pPr>
        <w:ind w:left="2880" w:hanging="360"/>
      </w:pPr>
    </w:lvl>
    <w:lvl w:ilvl="4" w:tplc="DF647884">
      <w:start w:val="1"/>
      <w:numFmt w:val="lowerLetter"/>
      <w:lvlText w:val="%5."/>
      <w:lvlJc w:val="left"/>
      <w:pPr>
        <w:ind w:left="3600" w:hanging="360"/>
      </w:pPr>
    </w:lvl>
    <w:lvl w:ilvl="5" w:tplc="E37005B2">
      <w:start w:val="1"/>
      <w:numFmt w:val="lowerRoman"/>
      <w:lvlText w:val="%6."/>
      <w:lvlJc w:val="right"/>
      <w:pPr>
        <w:ind w:left="4320" w:hanging="180"/>
      </w:pPr>
    </w:lvl>
    <w:lvl w:ilvl="6" w:tplc="D1D46CB6">
      <w:start w:val="1"/>
      <w:numFmt w:val="decimal"/>
      <w:lvlText w:val="%7."/>
      <w:lvlJc w:val="left"/>
      <w:pPr>
        <w:ind w:left="5040" w:hanging="360"/>
      </w:pPr>
    </w:lvl>
    <w:lvl w:ilvl="7" w:tplc="DE947324">
      <w:start w:val="1"/>
      <w:numFmt w:val="lowerLetter"/>
      <w:lvlText w:val="%8."/>
      <w:lvlJc w:val="left"/>
      <w:pPr>
        <w:ind w:left="5760" w:hanging="360"/>
      </w:pPr>
    </w:lvl>
    <w:lvl w:ilvl="8" w:tplc="87345832">
      <w:start w:val="1"/>
      <w:numFmt w:val="lowerRoman"/>
      <w:lvlText w:val="%9."/>
      <w:lvlJc w:val="right"/>
      <w:pPr>
        <w:ind w:left="6480" w:hanging="180"/>
      </w:pPr>
    </w:lvl>
  </w:abstractNum>
  <w:abstractNum w:abstractNumId="16" w15:restartNumberingAfterBreak="0">
    <w:nsid w:val="5E53639B"/>
    <w:multiLevelType w:val="hybridMultilevel"/>
    <w:tmpl w:val="D74E6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12B328"/>
    <w:multiLevelType w:val="hybridMultilevel"/>
    <w:tmpl w:val="7E64643E"/>
    <w:lvl w:ilvl="0" w:tplc="1D328996">
      <w:start w:val="1"/>
      <w:numFmt w:val="bullet"/>
      <w:lvlText w:val="·"/>
      <w:lvlJc w:val="left"/>
      <w:pPr>
        <w:ind w:left="720" w:hanging="360"/>
      </w:pPr>
      <w:rPr>
        <w:rFonts w:ascii="Symbol" w:hAnsi="Symbol" w:hint="default"/>
      </w:rPr>
    </w:lvl>
    <w:lvl w:ilvl="1" w:tplc="E8B28C98">
      <w:start w:val="1"/>
      <w:numFmt w:val="bullet"/>
      <w:lvlText w:val="o"/>
      <w:lvlJc w:val="left"/>
      <w:pPr>
        <w:ind w:left="1440" w:hanging="360"/>
      </w:pPr>
      <w:rPr>
        <w:rFonts w:ascii="Courier New" w:hAnsi="Courier New" w:hint="default"/>
      </w:rPr>
    </w:lvl>
    <w:lvl w:ilvl="2" w:tplc="486A632E">
      <w:start w:val="1"/>
      <w:numFmt w:val="bullet"/>
      <w:lvlText w:val=""/>
      <w:lvlJc w:val="left"/>
      <w:pPr>
        <w:ind w:left="2160" w:hanging="360"/>
      </w:pPr>
      <w:rPr>
        <w:rFonts w:ascii="Wingdings" w:hAnsi="Wingdings" w:hint="default"/>
      </w:rPr>
    </w:lvl>
    <w:lvl w:ilvl="3" w:tplc="594AE33C">
      <w:start w:val="1"/>
      <w:numFmt w:val="bullet"/>
      <w:lvlText w:val=""/>
      <w:lvlJc w:val="left"/>
      <w:pPr>
        <w:ind w:left="2880" w:hanging="360"/>
      </w:pPr>
      <w:rPr>
        <w:rFonts w:ascii="Symbol" w:hAnsi="Symbol" w:hint="default"/>
      </w:rPr>
    </w:lvl>
    <w:lvl w:ilvl="4" w:tplc="1F08DAFE">
      <w:start w:val="1"/>
      <w:numFmt w:val="bullet"/>
      <w:lvlText w:val="o"/>
      <w:lvlJc w:val="left"/>
      <w:pPr>
        <w:ind w:left="3600" w:hanging="360"/>
      </w:pPr>
      <w:rPr>
        <w:rFonts w:ascii="Courier New" w:hAnsi="Courier New" w:hint="default"/>
      </w:rPr>
    </w:lvl>
    <w:lvl w:ilvl="5" w:tplc="BC524E30">
      <w:start w:val="1"/>
      <w:numFmt w:val="bullet"/>
      <w:lvlText w:val=""/>
      <w:lvlJc w:val="left"/>
      <w:pPr>
        <w:ind w:left="4320" w:hanging="360"/>
      </w:pPr>
      <w:rPr>
        <w:rFonts w:ascii="Wingdings" w:hAnsi="Wingdings" w:hint="default"/>
      </w:rPr>
    </w:lvl>
    <w:lvl w:ilvl="6" w:tplc="100CDAA8">
      <w:start w:val="1"/>
      <w:numFmt w:val="bullet"/>
      <w:lvlText w:val=""/>
      <w:lvlJc w:val="left"/>
      <w:pPr>
        <w:ind w:left="5040" w:hanging="360"/>
      </w:pPr>
      <w:rPr>
        <w:rFonts w:ascii="Symbol" w:hAnsi="Symbol" w:hint="default"/>
      </w:rPr>
    </w:lvl>
    <w:lvl w:ilvl="7" w:tplc="FA2854F8">
      <w:start w:val="1"/>
      <w:numFmt w:val="bullet"/>
      <w:lvlText w:val="o"/>
      <w:lvlJc w:val="left"/>
      <w:pPr>
        <w:ind w:left="5760" w:hanging="360"/>
      </w:pPr>
      <w:rPr>
        <w:rFonts w:ascii="Courier New" w:hAnsi="Courier New" w:hint="default"/>
      </w:rPr>
    </w:lvl>
    <w:lvl w:ilvl="8" w:tplc="27B81D4E">
      <w:start w:val="1"/>
      <w:numFmt w:val="bullet"/>
      <w:lvlText w:val=""/>
      <w:lvlJc w:val="left"/>
      <w:pPr>
        <w:ind w:left="6480" w:hanging="360"/>
      </w:pPr>
      <w:rPr>
        <w:rFonts w:ascii="Wingdings" w:hAnsi="Wingdings" w:hint="default"/>
      </w:rPr>
    </w:lvl>
  </w:abstractNum>
  <w:abstractNum w:abstractNumId="18" w15:restartNumberingAfterBreak="0">
    <w:nsid w:val="6748AC9D"/>
    <w:multiLevelType w:val="hybridMultilevel"/>
    <w:tmpl w:val="51BC30B8"/>
    <w:lvl w:ilvl="0" w:tplc="7F6A661A">
      <w:start w:val="1"/>
      <w:numFmt w:val="bullet"/>
      <w:lvlText w:val="o"/>
      <w:lvlJc w:val="left"/>
      <w:pPr>
        <w:ind w:left="720" w:hanging="360"/>
      </w:pPr>
      <w:rPr>
        <w:rFonts w:ascii="Courier New" w:hAnsi="Courier New" w:hint="default"/>
      </w:rPr>
    </w:lvl>
    <w:lvl w:ilvl="1" w:tplc="7A6ABF62">
      <w:start w:val="1"/>
      <w:numFmt w:val="bullet"/>
      <w:lvlText w:val="o"/>
      <w:lvlJc w:val="left"/>
      <w:pPr>
        <w:ind w:left="1440" w:hanging="360"/>
      </w:pPr>
      <w:rPr>
        <w:rFonts w:ascii="Courier New" w:hAnsi="Courier New" w:hint="default"/>
      </w:rPr>
    </w:lvl>
    <w:lvl w:ilvl="2" w:tplc="BFDCD69C">
      <w:start w:val="1"/>
      <w:numFmt w:val="bullet"/>
      <w:lvlText w:val=""/>
      <w:lvlJc w:val="left"/>
      <w:pPr>
        <w:ind w:left="2160" w:hanging="360"/>
      </w:pPr>
      <w:rPr>
        <w:rFonts w:ascii="Wingdings" w:hAnsi="Wingdings" w:hint="default"/>
      </w:rPr>
    </w:lvl>
    <w:lvl w:ilvl="3" w:tplc="CB0E5BCE">
      <w:start w:val="1"/>
      <w:numFmt w:val="bullet"/>
      <w:lvlText w:val=""/>
      <w:lvlJc w:val="left"/>
      <w:pPr>
        <w:ind w:left="2880" w:hanging="360"/>
      </w:pPr>
      <w:rPr>
        <w:rFonts w:ascii="Symbol" w:hAnsi="Symbol" w:hint="default"/>
      </w:rPr>
    </w:lvl>
    <w:lvl w:ilvl="4" w:tplc="4468D5B8">
      <w:start w:val="1"/>
      <w:numFmt w:val="bullet"/>
      <w:lvlText w:val="o"/>
      <w:lvlJc w:val="left"/>
      <w:pPr>
        <w:ind w:left="3600" w:hanging="360"/>
      </w:pPr>
      <w:rPr>
        <w:rFonts w:ascii="Courier New" w:hAnsi="Courier New" w:hint="default"/>
      </w:rPr>
    </w:lvl>
    <w:lvl w:ilvl="5" w:tplc="7C0EA84C">
      <w:start w:val="1"/>
      <w:numFmt w:val="bullet"/>
      <w:lvlText w:val=""/>
      <w:lvlJc w:val="left"/>
      <w:pPr>
        <w:ind w:left="4320" w:hanging="360"/>
      </w:pPr>
      <w:rPr>
        <w:rFonts w:ascii="Wingdings" w:hAnsi="Wingdings" w:hint="default"/>
      </w:rPr>
    </w:lvl>
    <w:lvl w:ilvl="6" w:tplc="F1AC0F18">
      <w:start w:val="1"/>
      <w:numFmt w:val="bullet"/>
      <w:lvlText w:val=""/>
      <w:lvlJc w:val="left"/>
      <w:pPr>
        <w:ind w:left="5040" w:hanging="360"/>
      </w:pPr>
      <w:rPr>
        <w:rFonts w:ascii="Symbol" w:hAnsi="Symbol" w:hint="default"/>
      </w:rPr>
    </w:lvl>
    <w:lvl w:ilvl="7" w:tplc="4F0C049A">
      <w:start w:val="1"/>
      <w:numFmt w:val="bullet"/>
      <w:lvlText w:val="o"/>
      <w:lvlJc w:val="left"/>
      <w:pPr>
        <w:ind w:left="5760" w:hanging="360"/>
      </w:pPr>
      <w:rPr>
        <w:rFonts w:ascii="Courier New" w:hAnsi="Courier New" w:hint="default"/>
      </w:rPr>
    </w:lvl>
    <w:lvl w:ilvl="8" w:tplc="E248A76C">
      <w:start w:val="1"/>
      <w:numFmt w:val="bullet"/>
      <w:lvlText w:val=""/>
      <w:lvlJc w:val="left"/>
      <w:pPr>
        <w:ind w:left="6480" w:hanging="360"/>
      </w:pPr>
      <w:rPr>
        <w:rFonts w:ascii="Wingdings" w:hAnsi="Wingdings" w:hint="default"/>
      </w:rPr>
    </w:lvl>
  </w:abstractNum>
  <w:abstractNum w:abstractNumId="19" w15:restartNumberingAfterBreak="0">
    <w:nsid w:val="6AC1B30D"/>
    <w:multiLevelType w:val="hybridMultilevel"/>
    <w:tmpl w:val="C6122BBE"/>
    <w:lvl w:ilvl="0" w:tplc="83D04FF8">
      <w:start w:val="1"/>
      <w:numFmt w:val="bullet"/>
      <w:lvlText w:val=""/>
      <w:lvlJc w:val="left"/>
      <w:pPr>
        <w:ind w:left="720" w:hanging="360"/>
      </w:pPr>
      <w:rPr>
        <w:rFonts w:ascii="Symbol" w:hAnsi="Symbol" w:hint="default"/>
      </w:rPr>
    </w:lvl>
    <w:lvl w:ilvl="1" w:tplc="71DC99D0">
      <w:start w:val="1"/>
      <w:numFmt w:val="bullet"/>
      <w:lvlText w:val="o"/>
      <w:lvlJc w:val="left"/>
      <w:pPr>
        <w:ind w:left="1440" w:hanging="360"/>
      </w:pPr>
      <w:rPr>
        <w:rFonts w:ascii="Courier New" w:hAnsi="Courier New" w:hint="default"/>
      </w:rPr>
    </w:lvl>
    <w:lvl w:ilvl="2" w:tplc="4118B3B8">
      <w:start w:val="1"/>
      <w:numFmt w:val="bullet"/>
      <w:lvlText w:val="o"/>
      <w:lvlJc w:val="left"/>
      <w:pPr>
        <w:ind w:left="2160" w:hanging="360"/>
      </w:pPr>
      <w:rPr>
        <w:rFonts w:ascii="&quot;Courier New&quot;" w:hAnsi="&quot;Courier New&quot;" w:hint="default"/>
      </w:rPr>
    </w:lvl>
    <w:lvl w:ilvl="3" w:tplc="47DAEC02">
      <w:start w:val="1"/>
      <w:numFmt w:val="bullet"/>
      <w:lvlText w:val=""/>
      <w:lvlJc w:val="left"/>
      <w:pPr>
        <w:ind w:left="2880" w:hanging="360"/>
      </w:pPr>
      <w:rPr>
        <w:rFonts w:ascii="Symbol" w:hAnsi="Symbol" w:hint="default"/>
      </w:rPr>
    </w:lvl>
    <w:lvl w:ilvl="4" w:tplc="B03EE90A">
      <w:start w:val="1"/>
      <w:numFmt w:val="bullet"/>
      <w:lvlText w:val="o"/>
      <w:lvlJc w:val="left"/>
      <w:pPr>
        <w:ind w:left="3600" w:hanging="360"/>
      </w:pPr>
      <w:rPr>
        <w:rFonts w:ascii="Courier New" w:hAnsi="Courier New" w:hint="default"/>
      </w:rPr>
    </w:lvl>
    <w:lvl w:ilvl="5" w:tplc="BB0E98BA">
      <w:start w:val="1"/>
      <w:numFmt w:val="bullet"/>
      <w:lvlText w:val=""/>
      <w:lvlJc w:val="left"/>
      <w:pPr>
        <w:ind w:left="4320" w:hanging="360"/>
      </w:pPr>
      <w:rPr>
        <w:rFonts w:ascii="Wingdings" w:hAnsi="Wingdings" w:hint="default"/>
      </w:rPr>
    </w:lvl>
    <w:lvl w:ilvl="6" w:tplc="9320DB14">
      <w:start w:val="1"/>
      <w:numFmt w:val="bullet"/>
      <w:lvlText w:val=""/>
      <w:lvlJc w:val="left"/>
      <w:pPr>
        <w:ind w:left="5040" w:hanging="360"/>
      </w:pPr>
      <w:rPr>
        <w:rFonts w:ascii="Symbol" w:hAnsi="Symbol" w:hint="default"/>
      </w:rPr>
    </w:lvl>
    <w:lvl w:ilvl="7" w:tplc="3C9690EC">
      <w:start w:val="1"/>
      <w:numFmt w:val="bullet"/>
      <w:lvlText w:val="o"/>
      <w:lvlJc w:val="left"/>
      <w:pPr>
        <w:ind w:left="5760" w:hanging="360"/>
      </w:pPr>
      <w:rPr>
        <w:rFonts w:ascii="Courier New" w:hAnsi="Courier New" w:hint="default"/>
      </w:rPr>
    </w:lvl>
    <w:lvl w:ilvl="8" w:tplc="2A009E0C">
      <w:start w:val="1"/>
      <w:numFmt w:val="bullet"/>
      <w:lvlText w:val=""/>
      <w:lvlJc w:val="left"/>
      <w:pPr>
        <w:ind w:left="6480" w:hanging="360"/>
      </w:pPr>
      <w:rPr>
        <w:rFonts w:ascii="Wingdings" w:hAnsi="Wingdings" w:hint="default"/>
      </w:rPr>
    </w:lvl>
  </w:abstractNum>
  <w:abstractNum w:abstractNumId="20" w15:restartNumberingAfterBreak="0">
    <w:nsid w:val="702C7116"/>
    <w:multiLevelType w:val="hybridMultilevel"/>
    <w:tmpl w:val="E06C2098"/>
    <w:lvl w:ilvl="0" w:tplc="E30A91E6">
      <w:start w:val="1"/>
      <w:numFmt w:val="upperLetter"/>
      <w:lvlText w:val="%1."/>
      <w:lvlJc w:val="left"/>
      <w:pPr>
        <w:ind w:left="720" w:hanging="360"/>
      </w:pPr>
    </w:lvl>
    <w:lvl w:ilvl="1" w:tplc="AB94CFF0">
      <w:start w:val="1"/>
      <w:numFmt w:val="lowerLetter"/>
      <w:lvlText w:val="%2."/>
      <w:lvlJc w:val="left"/>
      <w:pPr>
        <w:ind w:left="1440" w:hanging="360"/>
      </w:pPr>
    </w:lvl>
    <w:lvl w:ilvl="2" w:tplc="AE801054">
      <w:start w:val="1"/>
      <w:numFmt w:val="lowerRoman"/>
      <w:lvlText w:val="%3."/>
      <w:lvlJc w:val="right"/>
      <w:pPr>
        <w:ind w:left="2160" w:hanging="180"/>
      </w:pPr>
    </w:lvl>
    <w:lvl w:ilvl="3" w:tplc="D818C396">
      <w:start w:val="1"/>
      <w:numFmt w:val="decimal"/>
      <w:lvlText w:val="%4."/>
      <w:lvlJc w:val="left"/>
      <w:pPr>
        <w:ind w:left="2880" w:hanging="360"/>
      </w:pPr>
    </w:lvl>
    <w:lvl w:ilvl="4" w:tplc="EB9C5CD2">
      <w:start w:val="1"/>
      <w:numFmt w:val="lowerLetter"/>
      <w:lvlText w:val="%5."/>
      <w:lvlJc w:val="left"/>
      <w:pPr>
        <w:ind w:left="3600" w:hanging="360"/>
      </w:pPr>
    </w:lvl>
    <w:lvl w:ilvl="5" w:tplc="6EFC12BA">
      <w:start w:val="1"/>
      <w:numFmt w:val="lowerRoman"/>
      <w:lvlText w:val="%6."/>
      <w:lvlJc w:val="right"/>
      <w:pPr>
        <w:ind w:left="4320" w:hanging="180"/>
      </w:pPr>
    </w:lvl>
    <w:lvl w:ilvl="6" w:tplc="B2923B66">
      <w:start w:val="1"/>
      <w:numFmt w:val="decimal"/>
      <w:lvlText w:val="%7."/>
      <w:lvlJc w:val="left"/>
      <w:pPr>
        <w:ind w:left="5040" w:hanging="360"/>
      </w:pPr>
    </w:lvl>
    <w:lvl w:ilvl="7" w:tplc="357E94E4">
      <w:start w:val="1"/>
      <w:numFmt w:val="lowerLetter"/>
      <w:lvlText w:val="%8."/>
      <w:lvlJc w:val="left"/>
      <w:pPr>
        <w:ind w:left="5760" w:hanging="360"/>
      </w:pPr>
    </w:lvl>
    <w:lvl w:ilvl="8" w:tplc="80F24C3E">
      <w:start w:val="1"/>
      <w:numFmt w:val="lowerRoman"/>
      <w:lvlText w:val="%9."/>
      <w:lvlJc w:val="right"/>
      <w:pPr>
        <w:ind w:left="6480" w:hanging="180"/>
      </w:pPr>
    </w:lvl>
  </w:abstractNum>
  <w:abstractNum w:abstractNumId="21" w15:restartNumberingAfterBreak="0">
    <w:nsid w:val="753956B6"/>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B6D4F87"/>
    <w:multiLevelType w:val="hybridMultilevel"/>
    <w:tmpl w:val="8A14CBB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2099280481">
    <w:abstractNumId w:val="12"/>
  </w:num>
  <w:num w:numId="2" w16cid:durableId="580455542">
    <w:abstractNumId w:val="2"/>
  </w:num>
  <w:num w:numId="3" w16cid:durableId="1034578833">
    <w:abstractNumId w:val="18"/>
  </w:num>
  <w:num w:numId="4" w16cid:durableId="2078044757">
    <w:abstractNumId w:val="5"/>
  </w:num>
  <w:num w:numId="5" w16cid:durableId="91629153">
    <w:abstractNumId w:val="13"/>
  </w:num>
  <w:num w:numId="6" w16cid:durableId="1682707975">
    <w:abstractNumId w:val="4"/>
  </w:num>
  <w:num w:numId="7" w16cid:durableId="1900675975">
    <w:abstractNumId w:val="19"/>
  </w:num>
  <w:num w:numId="8" w16cid:durableId="1729377825">
    <w:abstractNumId w:val="17"/>
  </w:num>
  <w:num w:numId="9" w16cid:durableId="1882940527">
    <w:abstractNumId w:val="1"/>
  </w:num>
  <w:num w:numId="10" w16cid:durableId="2058429310">
    <w:abstractNumId w:val="8"/>
  </w:num>
  <w:num w:numId="11" w16cid:durableId="2082173992">
    <w:abstractNumId w:val="15"/>
  </w:num>
  <w:num w:numId="12" w16cid:durableId="1315135799">
    <w:abstractNumId w:val="20"/>
  </w:num>
  <w:num w:numId="13" w16cid:durableId="5134578">
    <w:abstractNumId w:val="11"/>
  </w:num>
  <w:num w:numId="14" w16cid:durableId="269626043">
    <w:abstractNumId w:val="9"/>
  </w:num>
  <w:num w:numId="15" w16cid:durableId="485321631">
    <w:abstractNumId w:val="0"/>
  </w:num>
  <w:num w:numId="16" w16cid:durableId="778187848">
    <w:abstractNumId w:val="22"/>
  </w:num>
  <w:num w:numId="17" w16cid:durableId="1162351317">
    <w:abstractNumId w:val="6"/>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18" w16cid:durableId="1145731687">
    <w:abstractNumId w:val="3"/>
  </w:num>
  <w:num w:numId="19" w16cid:durableId="217400672">
    <w:abstractNumId w:val="23"/>
  </w:num>
  <w:num w:numId="20" w16cid:durableId="205534052">
    <w:abstractNumId w:val="7"/>
  </w:num>
  <w:num w:numId="21" w16cid:durableId="1897011500">
    <w:abstractNumId w:val="16"/>
  </w:num>
  <w:num w:numId="22" w16cid:durableId="728499925">
    <w:abstractNumId w:val="14"/>
  </w:num>
  <w:num w:numId="23" w16cid:durableId="446048685">
    <w:abstractNumId w:val="10"/>
  </w:num>
  <w:num w:numId="24" w16cid:durableId="1006595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B90"/>
    <w:rsid w:val="00013003"/>
    <w:rsid w:val="00021B85"/>
    <w:rsid w:val="00022C46"/>
    <w:rsid w:val="00024242"/>
    <w:rsid w:val="00024BE8"/>
    <w:rsid w:val="00035B9B"/>
    <w:rsid w:val="00044F38"/>
    <w:rsid w:val="00055BCF"/>
    <w:rsid w:val="00060DF7"/>
    <w:rsid w:val="00063648"/>
    <w:rsid w:val="00066582"/>
    <w:rsid w:val="0009510D"/>
    <w:rsid w:val="000A2C51"/>
    <w:rsid w:val="000B0D1E"/>
    <w:rsid w:val="000B5D20"/>
    <w:rsid w:val="000B760D"/>
    <w:rsid w:val="000C4A55"/>
    <w:rsid w:val="000D46D4"/>
    <w:rsid w:val="000E13A7"/>
    <w:rsid w:val="000E5F90"/>
    <w:rsid w:val="000E7C53"/>
    <w:rsid w:val="000F0641"/>
    <w:rsid w:val="000F5247"/>
    <w:rsid w:val="001169D5"/>
    <w:rsid w:val="00117824"/>
    <w:rsid w:val="0012552A"/>
    <w:rsid w:val="00131DBC"/>
    <w:rsid w:val="00133FB1"/>
    <w:rsid w:val="00134408"/>
    <w:rsid w:val="00134913"/>
    <w:rsid w:val="001351E3"/>
    <w:rsid w:val="00156591"/>
    <w:rsid w:val="001624D9"/>
    <w:rsid w:val="001663D8"/>
    <w:rsid w:val="00172A34"/>
    <w:rsid w:val="00173B8D"/>
    <w:rsid w:val="001902D6"/>
    <w:rsid w:val="00194CCC"/>
    <w:rsid w:val="001960D4"/>
    <w:rsid w:val="001A0920"/>
    <w:rsid w:val="001B452C"/>
    <w:rsid w:val="001B74D9"/>
    <w:rsid w:val="001C07E2"/>
    <w:rsid w:val="001D096E"/>
    <w:rsid w:val="001D6E41"/>
    <w:rsid w:val="001D7308"/>
    <w:rsid w:val="001E60C0"/>
    <w:rsid w:val="001F10B6"/>
    <w:rsid w:val="001F2B8D"/>
    <w:rsid w:val="00214B78"/>
    <w:rsid w:val="002162F4"/>
    <w:rsid w:val="00216EDD"/>
    <w:rsid w:val="0021787C"/>
    <w:rsid w:val="00220BF9"/>
    <w:rsid w:val="00245417"/>
    <w:rsid w:val="0024745F"/>
    <w:rsid w:val="00254318"/>
    <w:rsid w:val="002716BD"/>
    <w:rsid w:val="00284EBD"/>
    <w:rsid w:val="00293CFE"/>
    <w:rsid w:val="0029661D"/>
    <w:rsid w:val="00296AF2"/>
    <w:rsid w:val="002A7D44"/>
    <w:rsid w:val="002B1AE4"/>
    <w:rsid w:val="002C542D"/>
    <w:rsid w:val="002D019D"/>
    <w:rsid w:val="002D5355"/>
    <w:rsid w:val="002E0CD9"/>
    <w:rsid w:val="002E0F79"/>
    <w:rsid w:val="002E1D10"/>
    <w:rsid w:val="002E3BC0"/>
    <w:rsid w:val="002F6160"/>
    <w:rsid w:val="0030063E"/>
    <w:rsid w:val="00301709"/>
    <w:rsid w:val="00302B36"/>
    <w:rsid w:val="003044B1"/>
    <w:rsid w:val="003055F9"/>
    <w:rsid w:val="0031046E"/>
    <w:rsid w:val="00310DEC"/>
    <w:rsid w:val="00324D8F"/>
    <w:rsid w:val="003318E1"/>
    <w:rsid w:val="00346212"/>
    <w:rsid w:val="00346C69"/>
    <w:rsid w:val="003477CD"/>
    <w:rsid w:val="00352A27"/>
    <w:rsid w:val="003541AC"/>
    <w:rsid w:val="0035461F"/>
    <w:rsid w:val="00365A87"/>
    <w:rsid w:val="003679F9"/>
    <w:rsid w:val="00371D09"/>
    <w:rsid w:val="00372053"/>
    <w:rsid w:val="00375B30"/>
    <w:rsid w:val="00376695"/>
    <w:rsid w:val="003812E1"/>
    <w:rsid w:val="0038776F"/>
    <w:rsid w:val="00393250"/>
    <w:rsid w:val="003A1D54"/>
    <w:rsid w:val="003A1EE0"/>
    <w:rsid w:val="003A2AB6"/>
    <w:rsid w:val="003B1115"/>
    <w:rsid w:val="003B2D3D"/>
    <w:rsid w:val="003B6573"/>
    <w:rsid w:val="003B7CC5"/>
    <w:rsid w:val="003C19ED"/>
    <w:rsid w:val="003E1126"/>
    <w:rsid w:val="003E1617"/>
    <w:rsid w:val="003E189C"/>
    <w:rsid w:val="003E6952"/>
    <w:rsid w:val="003E6CA5"/>
    <w:rsid w:val="00403BB1"/>
    <w:rsid w:val="004061DE"/>
    <w:rsid w:val="00414DAC"/>
    <w:rsid w:val="004178F3"/>
    <w:rsid w:val="00425FB8"/>
    <w:rsid w:val="0043482C"/>
    <w:rsid w:val="0043572F"/>
    <w:rsid w:val="00446F00"/>
    <w:rsid w:val="00451D81"/>
    <w:rsid w:val="00470745"/>
    <w:rsid w:val="00470D8A"/>
    <w:rsid w:val="0047F2E6"/>
    <w:rsid w:val="0048544E"/>
    <w:rsid w:val="00492D07"/>
    <w:rsid w:val="004969EC"/>
    <w:rsid w:val="004A08B1"/>
    <w:rsid w:val="004A3544"/>
    <w:rsid w:val="004A6E5B"/>
    <w:rsid w:val="004B11AF"/>
    <w:rsid w:val="004B5AF2"/>
    <w:rsid w:val="004C166A"/>
    <w:rsid w:val="004C1791"/>
    <w:rsid w:val="004C497C"/>
    <w:rsid w:val="004C767C"/>
    <w:rsid w:val="004C88B0"/>
    <w:rsid w:val="004D0E04"/>
    <w:rsid w:val="004D1973"/>
    <w:rsid w:val="004E4863"/>
    <w:rsid w:val="004E4DA2"/>
    <w:rsid w:val="004E79FB"/>
    <w:rsid w:val="004F20C5"/>
    <w:rsid w:val="004F4B9D"/>
    <w:rsid w:val="00502395"/>
    <w:rsid w:val="00507B8A"/>
    <w:rsid w:val="0051590D"/>
    <w:rsid w:val="00517B50"/>
    <w:rsid w:val="00521EE5"/>
    <w:rsid w:val="005225BE"/>
    <w:rsid w:val="005311E0"/>
    <w:rsid w:val="00535689"/>
    <w:rsid w:val="0053775C"/>
    <w:rsid w:val="0055310B"/>
    <w:rsid w:val="00554FC3"/>
    <w:rsid w:val="0056565C"/>
    <w:rsid w:val="00566510"/>
    <w:rsid w:val="00570BB7"/>
    <w:rsid w:val="00583FB4"/>
    <w:rsid w:val="00584D96"/>
    <w:rsid w:val="005874BE"/>
    <w:rsid w:val="00587F62"/>
    <w:rsid w:val="00596663"/>
    <w:rsid w:val="0059720D"/>
    <w:rsid w:val="005A0E9B"/>
    <w:rsid w:val="005A118B"/>
    <w:rsid w:val="005A3929"/>
    <w:rsid w:val="005B0897"/>
    <w:rsid w:val="005B4DD0"/>
    <w:rsid w:val="005C4403"/>
    <w:rsid w:val="005C4D74"/>
    <w:rsid w:val="005C4FD3"/>
    <w:rsid w:val="005E057B"/>
    <w:rsid w:val="005E1F50"/>
    <w:rsid w:val="005E212B"/>
    <w:rsid w:val="005E74AF"/>
    <w:rsid w:val="005F16B6"/>
    <w:rsid w:val="00601166"/>
    <w:rsid w:val="006017B6"/>
    <w:rsid w:val="006063BB"/>
    <w:rsid w:val="00612AE1"/>
    <w:rsid w:val="00613F42"/>
    <w:rsid w:val="006363E3"/>
    <w:rsid w:val="0065120C"/>
    <w:rsid w:val="00655ADD"/>
    <w:rsid w:val="00664260"/>
    <w:rsid w:val="00681434"/>
    <w:rsid w:val="006A164B"/>
    <w:rsid w:val="006ADAAE"/>
    <w:rsid w:val="006B0247"/>
    <w:rsid w:val="006B1E5B"/>
    <w:rsid w:val="006B7CDC"/>
    <w:rsid w:val="006C3843"/>
    <w:rsid w:val="006D341A"/>
    <w:rsid w:val="006D4359"/>
    <w:rsid w:val="006E3E07"/>
    <w:rsid w:val="006E6B79"/>
    <w:rsid w:val="006E7699"/>
    <w:rsid w:val="00705758"/>
    <w:rsid w:val="00720A01"/>
    <w:rsid w:val="00725AE5"/>
    <w:rsid w:val="0072781F"/>
    <w:rsid w:val="007330D8"/>
    <w:rsid w:val="007505FB"/>
    <w:rsid w:val="007615F1"/>
    <w:rsid w:val="007753A2"/>
    <w:rsid w:val="00780A93"/>
    <w:rsid w:val="00781DDB"/>
    <w:rsid w:val="00786B3C"/>
    <w:rsid w:val="00794824"/>
    <w:rsid w:val="007A1991"/>
    <w:rsid w:val="007A6056"/>
    <w:rsid w:val="007A6087"/>
    <w:rsid w:val="007B1F19"/>
    <w:rsid w:val="007B2799"/>
    <w:rsid w:val="007B4442"/>
    <w:rsid w:val="007B4E2A"/>
    <w:rsid w:val="007B7861"/>
    <w:rsid w:val="007B7DF8"/>
    <w:rsid w:val="007C0245"/>
    <w:rsid w:val="007C7B5D"/>
    <w:rsid w:val="007CDC60"/>
    <w:rsid w:val="007E3942"/>
    <w:rsid w:val="007E645F"/>
    <w:rsid w:val="007F3F31"/>
    <w:rsid w:val="007F5107"/>
    <w:rsid w:val="00810494"/>
    <w:rsid w:val="00825B3C"/>
    <w:rsid w:val="008326F6"/>
    <w:rsid w:val="00834CAE"/>
    <w:rsid w:val="008439B5"/>
    <w:rsid w:val="008444D7"/>
    <w:rsid w:val="00846ED6"/>
    <w:rsid w:val="00851D89"/>
    <w:rsid w:val="008567D0"/>
    <w:rsid w:val="00857144"/>
    <w:rsid w:val="00862ACF"/>
    <w:rsid w:val="00864F58"/>
    <w:rsid w:val="0086636D"/>
    <w:rsid w:val="008718A2"/>
    <w:rsid w:val="008737A5"/>
    <w:rsid w:val="0087391E"/>
    <w:rsid w:val="00886EA5"/>
    <w:rsid w:val="00892162"/>
    <w:rsid w:val="008975A3"/>
    <w:rsid w:val="008A0840"/>
    <w:rsid w:val="008A2A8C"/>
    <w:rsid w:val="008A2E5F"/>
    <w:rsid w:val="008A2E68"/>
    <w:rsid w:val="008A35C1"/>
    <w:rsid w:val="008A3808"/>
    <w:rsid w:val="008B0EC8"/>
    <w:rsid w:val="008C137D"/>
    <w:rsid w:val="008C4A5A"/>
    <w:rsid w:val="008C622D"/>
    <w:rsid w:val="008C648A"/>
    <w:rsid w:val="008C6529"/>
    <w:rsid w:val="008D0A51"/>
    <w:rsid w:val="008D486A"/>
    <w:rsid w:val="008D66C6"/>
    <w:rsid w:val="008E05B3"/>
    <w:rsid w:val="008E7503"/>
    <w:rsid w:val="008F24F6"/>
    <w:rsid w:val="008F37E9"/>
    <w:rsid w:val="008F560F"/>
    <w:rsid w:val="008F5DE1"/>
    <w:rsid w:val="00913606"/>
    <w:rsid w:val="00914842"/>
    <w:rsid w:val="009169C2"/>
    <w:rsid w:val="009216C3"/>
    <w:rsid w:val="0092601F"/>
    <w:rsid w:val="00926933"/>
    <w:rsid w:val="00930170"/>
    <w:rsid w:val="009316A7"/>
    <w:rsid w:val="00932308"/>
    <w:rsid w:val="00935651"/>
    <w:rsid w:val="0093768A"/>
    <w:rsid w:val="00953E75"/>
    <w:rsid w:val="00956CCB"/>
    <w:rsid w:val="00957F5D"/>
    <w:rsid w:val="00963227"/>
    <w:rsid w:val="00965369"/>
    <w:rsid w:val="00983008"/>
    <w:rsid w:val="00984C71"/>
    <w:rsid w:val="00984E92"/>
    <w:rsid w:val="00990DAF"/>
    <w:rsid w:val="0099313A"/>
    <w:rsid w:val="009A61B9"/>
    <w:rsid w:val="009B7EC9"/>
    <w:rsid w:val="009C0C79"/>
    <w:rsid w:val="009C2F43"/>
    <w:rsid w:val="009D2868"/>
    <w:rsid w:val="009D5260"/>
    <w:rsid w:val="009D7AA7"/>
    <w:rsid w:val="009E0822"/>
    <w:rsid w:val="009E1D04"/>
    <w:rsid w:val="009E4D50"/>
    <w:rsid w:val="009E6C7D"/>
    <w:rsid w:val="009E728A"/>
    <w:rsid w:val="00A00417"/>
    <w:rsid w:val="00A014A5"/>
    <w:rsid w:val="00A02053"/>
    <w:rsid w:val="00A0703F"/>
    <w:rsid w:val="00A07436"/>
    <w:rsid w:val="00A116E6"/>
    <w:rsid w:val="00A12930"/>
    <w:rsid w:val="00A23368"/>
    <w:rsid w:val="00A31C0E"/>
    <w:rsid w:val="00A42362"/>
    <w:rsid w:val="00A53E52"/>
    <w:rsid w:val="00A53E70"/>
    <w:rsid w:val="00A568A2"/>
    <w:rsid w:val="00A568B5"/>
    <w:rsid w:val="00A63D59"/>
    <w:rsid w:val="00A643B6"/>
    <w:rsid w:val="00A827DE"/>
    <w:rsid w:val="00A95D9B"/>
    <w:rsid w:val="00AA167E"/>
    <w:rsid w:val="00AB7665"/>
    <w:rsid w:val="00AC566D"/>
    <w:rsid w:val="00AD3417"/>
    <w:rsid w:val="00AD5BEB"/>
    <w:rsid w:val="00AE241A"/>
    <w:rsid w:val="00AE39C8"/>
    <w:rsid w:val="00AE4D00"/>
    <w:rsid w:val="00AE7186"/>
    <w:rsid w:val="00AF69B5"/>
    <w:rsid w:val="00B0230F"/>
    <w:rsid w:val="00B053AD"/>
    <w:rsid w:val="00B10812"/>
    <w:rsid w:val="00B26CF2"/>
    <w:rsid w:val="00B33D97"/>
    <w:rsid w:val="00B5050C"/>
    <w:rsid w:val="00B63C9D"/>
    <w:rsid w:val="00B64A0D"/>
    <w:rsid w:val="00B720FC"/>
    <w:rsid w:val="00B73B2A"/>
    <w:rsid w:val="00B848C9"/>
    <w:rsid w:val="00B8738B"/>
    <w:rsid w:val="00B9385E"/>
    <w:rsid w:val="00B93D03"/>
    <w:rsid w:val="00B96050"/>
    <w:rsid w:val="00BA0A16"/>
    <w:rsid w:val="00BA2665"/>
    <w:rsid w:val="00BA352E"/>
    <w:rsid w:val="00BA4541"/>
    <w:rsid w:val="00BB7DE8"/>
    <w:rsid w:val="00BD13FE"/>
    <w:rsid w:val="00BD1E9D"/>
    <w:rsid w:val="00BD4BD8"/>
    <w:rsid w:val="00BE49C8"/>
    <w:rsid w:val="00BE600D"/>
    <w:rsid w:val="00BF0320"/>
    <w:rsid w:val="00BF0A81"/>
    <w:rsid w:val="00BF1048"/>
    <w:rsid w:val="00BF5911"/>
    <w:rsid w:val="00BF7026"/>
    <w:rsid w:val="00BF765C"/>
    <w:rsid w:val="00C00305"/>
    <w:rsid w:val="00C023CD"/>
    <w:rsid w:val="00C128D0"/>
    <w:rsid w:val="00C13235"/>
    <w:rsid w:val="00C20A00"/>
    <w:rsid w:val="00C2173C"/>
    <w:rsid w:val="00C21B6B"/>
    <w:rsid w:val="00C27756"/>
    <w:rsid w:val="00C37B71"/>
    <w:rsid w:val="00C413D8"/>
    <w:rsid w:val="00C526DF"/>
    <w:rsid w:val="00C5357F"/>
    <w:rsid w:val="00C607DE"/>
    <w:rsid w:val="00C63FAB"/>
    <w:rsid w:val="00C647A6"/>
    <w:rsid w:val="00C65012"/>
    <w:rsid w:val="00C70930"/>
    <w:rsid w:val="00C96AB0"/>
    <w:rsid w:val="00CA060D"/>
    <w:rsid w:val="00CA69DC"/>
    <w:rsid w:val="00CB0456"/>
    <w:rsid w:val="00CB27F1"/>
    <w:rsid w:val="00CB3B8A"/>
    <w:rsid w:val="00CD033D"/>
    <w:rsid w:val="00CD21EE"/>
    <w:rsid w:val="00CD3EE1"/>
    <w:rsid w:val="00CD4016"/>
    <w:rsid w:val="00CD61C5"/>
    <w:rsid w:val="00CD6507"/>
    <w:rsid w:val="00CD7877"/>
    <w:rsid w:val="00CE07CA"/>
    <w:rsid w:val="00CE34A1"/>
    <w:rsid w:val="00CF74B4"/>
    <w:rsid w:val="00CF76B1"/>
    <w:rsid w:val="00D005FA"/>
    <w:rsid w:val="00D018C1"/>
    <w:rsid w:val="00D05B2E"/>
    <w:rsid w:val="00D06244"/>
    <w:rsid w:val="00D15AE2"/>
    <w:rsid w:val="00D21AA3"/>
    <w:rsid w:val="00D230CA"/>
    <w:rsid w:val="00D29B3D"/>
    <w:rsid w:val="00D30788"/>
    <w:rsid w:val="00D30C9F"/>
    <w:rsid w:val="00D31647"/>
    <w:rsid w:val="00D504D8"/>
    <w:rsid w:val="00D54250"/>
    <w:rsid w:val="00D6211B"/>
    <w:rsid w:val="00D66685"/>
    <w:rsid w:val="00D674FF"/>
    <w:rsid w:val="00D71F7E"/>
    <w:rsid w:val="00D7499B"/>
    <w:rsid w:val="00D75D7F"/>
    <w:rsid w:val="00D80110"/>
    <w:rsid w:val="00D8076B"/>
    <w:rsid w:val="00D90513"/>
    <w:rsid w:val="00D92E69"/>
    <w:rsid w:val="00D934F5"/>
    <w:rsid w:val="00D9407F"/>
    <w:rsid w:val="00DC33CB"/>
    <w:rsid w:val="00DC5702"/>
    <w:rsid w:val="00DC5792"/>
    <w:rsid w:val="00DD3D52"/>
    <w:rsid w:val="00DE26E8"/>
    <w:rsid w:val="00DF4AE5"/>
    <w:rsid w:val="00DF552D"/>
    <w:rsid w:val="00E00CF4"/>
    <w:rsid w:val="00E0152E"/>
    <w:rsid w:val="00E07B57"/>
    <w:rsid w:val="00E10040"/>
    <w:rsid w:val="00E1194D"/>
    <w:rsid w:val="00E17C2D"/>
    <w:rsid w:val="00E17D42"/>
    <w:rsid w:val="00E262E8"/>
    <w:rsid w:val="00E31200"/>
    <w:rsid w:val="00E31213"/>
    <w:rsid w:val="00E374F7"/>
    <w:rsid w:val="00E442BD"/>
    <w:rsid w:val="00E47C59"/>
    <w:rsid w:val="00E541FB"/>
    <w:rsid w:val="00E54622"/>
    <w:rsid w:val="00E65991"/>
    <w:rsid w:val="00E739D1"/>
    <w:rsid w:val="00E77BFE"/>
    <w:rsid w:val="00E80BE3"/>
    <w:rsid w:val="00E90DF9"/>
    <w:rsid w:val="00E91A62"/>
    <w:rsid w:val="00E959AD"/>
    <w:rsid w:val="00E97252"/>
    <w:rsid w:val="00E97A60"/>
    <w:rsid w:val="00EA054B"/>
    <w:rsid w:val="00EB634A"/>
    <w:rsid w:val="00EC0E1D"/>
    <w:rsid w:val="00EC7686"/>
    <w:rsid w:val="00EC7E61"/>
    <w:rsid w:val="00ED1CDF"/>
    <w:rsid w:val="00EE0E0E"/>
    <w:rsid w:val="00EE43A1"/>
    <w:rsid w:val="00EE4D67"/>
    <w:rsid w:val="00EE62F3"/>
    <w:rsid w:val="00EF26C2"/>
    <w:rsid w:val="00EF2F08"/>
    <w:rsid w:val="00EF493B"/>
    <w:rsid w:val="00EF4FF8"/>
    <w:rsid w:val="00EF57E1"/>
    <w:rsid w:val="00F03B9C"/>
    <w:rsid w:val="00F124E1"/>
    <w:rsid w:val="00F158C0"/>
    <w:rsid w:val="00F20155"/>
    <w:rsid w:val="00F23803"/>
    <w:rsid w:val="00F2784C"/>
    <w:rsid w:val="00F47595"/>
    <w:rsid w:val="00F51C0B"/>
    <w:rsid w:val="00F72E56"/>
    <w:rsid w:val="00F78C24"/>
    <w:rsid w:val="00F90C33"/>
    <w:rsid w:val="00F92035"/>
    <w:rsid w:val="00F96AF7"/>
    <w:rsid w:val="00FA3723"/>
    <w:rsid w:val="00FB6362"/>
    <w:rsid w:val="00FC2D20"/>
    <w:rsid w:val="00FC417D"/>
    <w:rsid w:val="00FC5A97"/>
    <w:rsid w:val="00FC65D8"/>
    <w:rsid w:val="00FC7409"/>
    <w:rsid w:val="00FE1AD1"/>
    <w:rsid w:val="00FE6BC5"/>
    <w:rsid w:val="00FE6C83"/>
    <w:rsid w:val="00FED01C"/>
    <w:rsid w:val="00FF38B3"/>
    <w:rsid w:val="010E6CA6"/>
    <w:rsid w:val="017CA7E0"/>
    <w:rsid w:val="0183B60F"/>
    <w:rsid w:val="0193A6D3"/>
    <w:rsid w:val="01BA8255"/>
    <w:rsid w:val="01D53D6D"/>
    <w:rsid w:val="01E9B233"/>
    <w:rsid w:val="0217D795"/>
    <w:rsid w:val="0229C624"/>
    <w:rsid w:val="022C07F7"/>
    <w:rsid w:val="0270FDBB"/>
    <w:rsid w:val="02A056CC"/>
    <w:rsid w:val="02C21EAC"/>
    <w:rsid w:val="02F3C65F"/>
    <w:rsid w:val="032333E9"/>
    <w:rsid w:val="032AF2FA"/>
    <w:rsid w:val="0372C0A9"/>
    <w:rsid w:val="03C1D6A0"/>
    <w:rsid w:val="03D4CC59"/>
    <w:rsid w:val="0410CEEC"/>
    <w:rsid w:val="04454860"/>
    <w:rsid w:val="044EEA52"/>
    <w:rsid w:val="0483D16F"/>
    <w:rsid w:val="0484220E"/>
    <w:rsid w:val="04B52B6E"/>
    <w:rsid w:val="04C69E38"/>
    <w:rsid w:val="04CE5F94"/>
    <w:rsid w:val="04E88363"/>
    <w:rsid w:val="04F65237"/>
    <w:rsid w:val="050BC288"/>
    <w:rsid w:val="051EEF05"/>
    <w:rsid w:val="053B5765"/>
    <w:rsid w:val="053D30E4"/>
    <w:rsid w:val="054B8FA0"/>
    <w:rsid w:val="0551E855"/>
    <w:rsid w:val="0555B470"/>
    <w:rsid w:val="055E2859"/>
    <w:rsid w:val="056A90C7"/>
    <w:rsid w:val="05954404"/>
    <w:rsid w:val="059EB23A"/>
    <w:rsid w:val="0610F645"/>
    <w:rsid w:val="06E41603"/>
    <w:rsid w:val="070BC9A4"/>
    <w:rsid w:val="071196B7"/>
    <w:rsid w:val="07325111"/>
    <w:rsid w:val="0735B368"/>
    <w:rsid w:val="07548D8B"/>
    <w:rsid w:val="0794FCC5"/>
    <w:rsid w:val="0799E86D"/>
    <w:rsid w:val="07D17661"/>
    <w:rsid w:val="07F1E747"/>
    <w:rsid w:val="07F5BF29"/>
    <w:rsid w:val="07F91D08"/>
    <w:rsid w:val="08065D01"/>
    <w:rsid w:val="0836A157"/>
    <w:rsid w:val="08513DC5"/>
    <w:rsid w:val="08708C5C"/>
    <w:rsid w:val="0875716B"/>
    <w:rsid w:val="08779791"/>
    <w:rsid w:val="092168FD"/>
    <w:rsid w:val="093CB6C6"/>
    <w:rsid w:val="094D188F"/>
    <w:rsid w:val="0983D6A4"/>
    <w:rsid w:val="09ADF810"/>
    <w:rsid w:val="09B38A49"/>
    <w:rsid w:val="09B6482B"/>
    <w:rsid w:val="0A708CF7"/>
    <w:rsid w:val="0AAA817E"/>
    <w:rsid w:val="0AB4AB66"/>
    <w:rsid w:val="0AD4161C"/>
    <w:rsid w:val="0ADBE984"/>
    <w:rsid w:val="0ADD4B9D"/>
    <w:rsid w:val="0B5C303F"/>
    <w:rsid w:val="0B83CC77"/>
    <w:rsid w:val="0BDA0487"/>
    <w:rsid w:val="0C32A604"/>
    <w:rsid w:val="0C5CE96E"/>
    <w:rsid w:val="0C92A83B"/>
    <w:rsid w:val="0CA1D463"/>
    <w:rsid w:val="0CB71620"/>
    <w:rsid w:val="0CBC3D9E"/>
    <w:rsid w:val="0CE4DD9E"/>
    <w:rsid w:val="0CFB645D"/>
    <w:rsid w:val="0CFD50BC"/>
    <w:rsid w:val="0D3E32F1"/>
    <w:rsid w:val="0D9210A5"/>
    <w:rsid w:val="0D942E7C"/>
    <w:rsid w:val="0DFF4A2E"/>
    <w:rsid w:val="0E21EF37"/>
    <w:rsid w:val="0E255BC8"/>
    <w:rsid w:val="0E3A457D"/>
    <w:rsid w:val="0E8B25F8"/>
    <w:rsid w:val="0E8C823F"/>
    <w:rsid w:val="0EEAB425"/>
    <w:rsid w:val="0EF7E560"/>
    <w:rsid w:val="0F433ADF"/>
    <w:rsid w:val="0FA3A48E"/>
    <w:rsid w:val="0FFA65D3"/>
    <w:rsid w:val="102EFD8A"/>
    <w:rsid w:val="1040E9FF"/>
    <w:rsid w:val="104A94F9"/>
    <w:rsid w:val="106D5970"/>
    <w:rsid w:val="1085CB28"/>
    <w:rsid w:val="108C4E2E"/>
    <w:rsid w:val="1096ED26"/>
    <w:rsid w:val="109FEE12"/>
    <w:rsid w:val="11059397"/>
    <w:rsid w:val="110CF962"/>
    <w:rsid w:val="11110DE1"/>
    <w:rsid w:val="113091DE"/>
    <w:rsid w:val="117797E8"/>
    <w:rsid w:val="11C9C0C6"/>
    <w:rsid w:val="11DEE251"/>
    <w:rsid w:val="11E73E25"/>
    <w:rsid w:val="11EA6E90"/>
    <w:rsid w:val="120B4189"/>
    <w:rsid w:val="12309C9F"/>
    <w:rsid w:val="124BFA0F"/>
    <w:rsid w:val="12516E6C"/>
    <w:rsid w:val="125C25B4"/>
    <w:rsid w:val="1271855A"/>
    <w:rsid w:val="12729F1E"/>
    <w:rsid w:val="12865E7E"/>
    <w:rsid w:val="12A21C4B"/>
    <w:rsid w:val="12F9E6C9"/>
    <w:rsid w:val="130B3BBC"/>
    <w:rsid w:val="130F6E15"/>
    <w:rsid w:val="1338FA25"/>
    <w:rsid w:val="135120E6"/>
    <w:rsid w:val="1396FEB1"/>
    <w:rsid w:val="13A9252D"/>
    <w:rsid w:val="13C5EA43"/>
    <w:rsid w:val="13DA80C9"/>
    <w:rsid w:val="13E6EF23"/>
    <w:rsid w:val="13E7693E"/>
    <w:rsid w:val="13E88B5D"/>
    <w:rsid w:val="13E91B2F"/>
    <w:rsid w:val="14265255"/>
    <w:rsid w:val="14650CE5"/>
    <w:rsid w:val="1484CEEE"/>
    <w:rsid w:val="14A86148"/>
    <w:rsid w:val="14C5FF53"/>
    <w:rsid w:val="15130740"/>
    <w:rsid w:val="154BD17E"/>
    <w:rsid w:val="15542A1A"/>
    <w:rsid w:val="15615B33"/>
    <w:rsid w:val="1568AA51"/>
    <w:rsid w:val="15785260"/>
    <w:rsid w:val="160B5DD1"/>
    <w:rsid w:val="16398405"/>
    <w:rsid w:val="1644DA0B"/>
    <w:rsid w:val="1685FE81"/>
    <w:rsid w:val="168A32B7"/>
    <w:rsid w:val="16BF4789"/>
    <w:rsid w:val="16CD37B3"/>
    <w:rsid w:val="17088033"/>
    <w:rsid w:val="1718F80D"/>
    <w:rsid w:val="175D8625"/>
    <w:rsid w:val="176821A2"/>
    <w:rsid w:val="1781F3D3"/>
    <w:rsid w:val="17922254"/>
    <w:rsid w:val="17DB83FC"/>
    <w:rsid w:val="18311512"/>
    <w:rsid w:val="185FD355"/>
    <w:rsid w:val="18894781"/>
    <w:rsid w:val="189EE7D9"/>
    <w:rsid w:val="18B46BBD"/>
    <w:rsid w:val="18C66684"/>
    <w:rsid w:val="18CC4F3F"/>
    <w:rsid w:val="18E707D1"/>
    <w:rsid w:val="194C50A4"/>
    <w:rsid w:val="196DCACB"/>
    <w:rsid w:val="1987630B"/>
    <w:rsid w:val="1996656D"/>
    <w:rsid w:val="19CD22D6"/>
    <w:rsid w:val="1A140832"/>
    <w:rsid w:val="1A345FAF"/>
    <w:rsid w:val="1A644B88"/>
    <w:rsid w:val="1A77ADDF"/>
    <w:rsid w:val="1A8452C4"/>
    <w:rsid w:val="1AAB9CA6"/>
    <w:rsid w:val="1AD62CB6"/>
    <w:rsid w:val="1ADAE84B"/>
    <w:rsid w:val="1B28DFB6"/>
    <w:rsid w:val="1B58D754"/>
    <w:rsid w:val="1BB8F36F"/>
    <w:rsid w:val="1BD2ED6E"/>
    <w:rsid w:val="1C12979E"/>
    <w:rsid w:val="1C387388"/>
    <w:rsid w:val="1C8DED5B"/>
    <w:rsid w:val="1D1988E7"/>
    <w:rsid w:val="1D1BCEFF"/>
    <w:rsid w:val="1DE968A2"/>
    <w:rsid w:val="1DFAC78E"/>
    <w:rsid w:val="1E019CED"/>
    <w:rsid w:val="1E0C3D17"/>
    <w:rsid w:val="1E25B687"/>
    <w:rsid w:val="1E506415"/>
    <w:rsid w:val="1E93127B"/>
    <w:rsid w:val="1EDE8F29"/>
    <w:rsid w:val="1EDEC917"/>
    <w:rsid w:val="1EE16CD4"/>
    <w:rsid w:val="1F078F5F"/>
    <w:rsid w:val="1F08B497"/>
    <w:rsid w:val="1F140CBE"/>
    <w:rsid w:val="1F1DE6E6"/>
    <w:rsid w:val="1F1F4628"/>
    <w:rsid w:val="1F3B62A2"/>
    <w:rsid w:val="1F7D0638"/>
    <w:rsid w:val="1FE66584"/>
    <w:rsid w:val="20386F51"/>
    <w:rsid w:val="20CFB7D1"/>
    <w:rsid w:val="20F0C423"/>
    <w:rsid w:val="2143CE11"/>
    <w:rsid w:val="214CA713"/>
    <w:rsid w:val="2237746B"/>
    <w:rsid w:val="2247E06D"/>
    <w:rsid w:val="225CD878"/>
    <w:rsid w:val="2267F697"/>
    <w:rsid w:val="227A4D23"/>
    <w:rsid w:val="227E6AF2"/>
    <w:rsid w:val="229E4F04"/>
    <w:rsid w:val="22A87E56"/>
    <w:rsid w:val="22B7CDFA"/>
    <w:rsid w:val="22E2B00F"/>
    <w:rsid w:val="22EF8455"/>
    <w:rsid w:val="22FBBF7F"/>
    <w:rsid w:val="230180EC"/>
    <w:rsid w:val="230638FF"/>
    <w:rsid w:val="236A8BE8"/>
    <w:rsid w:val="236BC576"/>
    <w:rsid w:val="238E7CE0"/>
    <w:rsid w:val="23BE21F1"/>
    <w:rsid w:val="23D5069B"/>
    <w:rsid w:val="23E849DA"/>
    <w:rsid w:val="2408277C"/>
    <w:rsid w:val="2422E253"/>
    <w:rsid w:val="2469E456"/>
    <w:rsid w:val="2494CEDD"/>
    <w:rsid w:val="24995CE5"/>
    <w:rsid w:val="24C3CD27"/>
    <w:rsid w:val="24C6C759"/>
    <w:rsid w:val="24D2F896"/>
    <w:rsid w:val="24E4D402"/>
    <w:rsid w:val="2581A7B0"/>
    <w:rsid w:val="2590B4A9"/>
    <w:rsid w:val="25E23915"/>
    <w:rsid w:val="25FD8A35"/>
    <w:rsid w:val="26379710"/>
    <w:rsid w:val="26396334"/>
    <w:rsid w:val="266F283F"/>
    <w:rsid w:val="2675F487"/>
    <w:rsid w:val="26B34E81"/>
    <w:rsid w:val="26BF8288"/>
    <w:rsid w:val="26E7BC4C"/>
    <w:rsid w:val="26FEA8F2"/>
    <w:rsid w:val="270A43BF"/>
    <w:rsid w:val="272A2F3C"/>
    <w:rsid w:val="275EEB8E"/>
    <w:rsid w:val="2763D4A2"/>
    <w:rsid w:val="276B0B32"/>
    <w:rsid w:val="27AB78FA"/>
    <w:rsid w:val="27BDFDDE"/>
    <w:rsid w:val="27DB7001"/>
    <w:rsid w:val="27EA5E13"/>
    <w:rsid w:val="28504AD0"/>
    <w:rsid w:val="28569808"/>
    <w:rsid w:val="2873C300"/>
    <w:rsid w:val="28B32F3A"/>
    <w:rsid w:val="2903C8C9"/>
    <w:rsid w:val="2931FC58"/>
    <w:rsid w:val="2947C896"/>
    <w:rsid w:val="296388FF"/>
    <w:rsid w:val="29A6CC13"/>
    <w:rsid w:val="29AC481F"/>
    <w:rsid w:val="29D2B206"/>
    <w:rsid w:val="2A0C8CE4"/>
    <w:rsid w:val="2A0F5E18"/>
    <w:rsid w:val="2A0F7551"/>
    <w:rsid w:val="2A28E0DE"/>
    <w:rsid w:val="2A8CD693"/>
    <w:rsid w:val="2AA861D9"/>
    <w:rsid w:val="2AD7FCF0"/>
    <w:rsid w:val="2B6D65F1"/>
    <w:rsid w:val="2BB7B054"/>
    <w:rsid w:val="2BDF1E03"/>
    <w:rsid w:val="2C048A8C"/>
    <w:rsid w:val="2C0548D8"/>
    <w:rsid w:val="2C378899"/>
    <w:rsid w:val="2C43CEA0"/>
    <w:rsid w:val="2C4A60D8"/>
    <w:rsid w:val="2C4B38D2"/>
    <w:rsid w:val="2C529185"/>
    <w:rsid w:val="2C73CD9C"/>
    <w:rsid w:val="2CC68585"/>
    <w:rsid w:val="2CEAB166"/>
    <w:rsid w:val="2CFC05B9"/>
    <w:rsid w:val="2D0D9A3C"/>
    <w:rsid w:val="2D2F41D0"/>
    <w:rsid w:val="2D3205B8"/>
    <w:rsid w:val="2D4FC74D"/>
    <w:rsid w:val="2D99065B"/>
    <w:rsid w:val="2DA119F6"/>
    <w:rsid w:val="2DAD69A6"/>
    <w:rsid w:val="2DAE12D0"/>
    <w:rsid w:val="2DC4BFC6"/>
    <w:rsid w:val="2DC89598"/>
    <w:rsid w:val="2E19CB2B"/>
    <w:rsid w:val="2E1CF8A0"/>
    <w:rsid w:val="2E2312AB"/>
    <w:rsid w:val="2EBBF2B7"/>
    <w:rsid w:val="2ED24439"/>
    <w:rsid w:val="2F23639F"/>
    <w:rsid w:val="2F69C6D7"/>
    <w:rsid w:val="2F90A1D5"/>
    <w:rsid w:val="2FD19320"/>
    <w:rsid w:val="300CC7B8"/>
    <w:rsid w:val="3069F5ED"/>
    <w:rsid w:val="307889DB"/>
    <w:rsid w:val="30988427"/>
    <w:rsid w:val="30FFFDC5"/>
    <w:rsid w:val="3141E03C"/>
    <w:rsid w:val="3173298D"/>
    <w:rsid w:val="31B78022"/>
    <w:rsid w:val="320A748B"/>
    <w:rsid w:val="32208BD3"/>
    <w:rsid w:val="3231DFE0"/>
    <w:rsid w:val="3238681A"/>
    <w:rsid w:val="328A868D"/>
    <w:rsid w:val="32CC04F3"/>
    <w:rsid w:val="33438E17"/>
    <w:rsid w:val="3346D066"/>
    <w:rsid w:val="3361E16E"/>
    <w:rsid w:val="336C3D84"/>
    <w:rsid w:val="33856F6F"/>
    <w:rsid w:val="33A79B6E"/>
    <w:rsid w:val="33BE240E"/>
    <w:rsid w:val="33E7AD80"/>
    <w:rsid w:val="33F6807D"/>
    <w:rsid w:val="3400CB2F"/>
    <w:rsid w:val="3422C557"/>
    <w:rsid w:val="347DADCA"/>
    <w:rsid w:val="349E9F38"/>
    <w:rsid w:val="34C79405"/>
    <w:rsid w:val="34F12ABF"/>
    <w:rsid w:val="3512BAB6"/>
    <w:rsid w:val="353E71BA"/>
    <w:rsid w:val="355DFB1D"/>
    <w:rsid w:val="35897695"/>
    <w:rsid w:val="359520DD"/>
    <w:rsid w:val="35A7DC71"/>
    <w:rsid w:val="35B2A149"/>
    <w:rsid w:val="35B38C2B"/>
    <w:rsid w:val="35CF230E"/>
    <w:rsid w:val="35DA2B2B"/>
    <w:rsid w:val="35E003A7"/>
    <w:rsid w:val="35E9222C"/>
    <w:rsid w:val="35EB6DDC"/>
    <w:rsid w:val="35ED5A89"/>
    <w:rsid w:val="3601BE0B"/>
    <w:rsid w:val="363972AC"/>
    <w:rsid w:val="363EF3B5"/>
    <w:rsid w:val="3645A8A6"/>
    <w:rsid w:val="367CA52B"/>
    <w:rsid w:val="36AFA942"/>
    <w:rsid w:val="36CE5C5E"/>
    <w:rsid w:val="372D0215"/>
    <w:rsid w:val="37389A49"/>
    <w:rsid w:val="37719A0E"/>
    <w:rsid w:val="37877A72"/>
    <w:rsid w:val="3796BE09"/>
    <w:rsid w:val="3799EF43"/>
    <w:rsid w:val="379A7296"/>
    <w:rsid w:val="37F5F49B"/>
    <w:rsid w:val="37FB9D22"/>
    <w:rsid w:val="381C8B68"/>
    <w:rsid w:val="3826F871"/>
    <w:rsid w:val="382E6644"/>
    <w:rsid w:val="38364307"/>
    <w:rsid w:val="383CF46B"/>
    <w:rsid w:val="38E1EE73"/>
    <w:rsid w:val="38F8C738"/>
    <w:rsid w:val="39062126"/>
    <w:rsid w:val="3925ED5B"/>
    <w:rsid w:val="3927CE65"/>
    <w:rsid w:val="39AAFCBC"/>
    <w:rsid w:val="39CA5F71"/>
    <w:rsid w:val="39D0E102"/>
    <w:rsid w:val="39D3F3B1"/>
    <w:rsid w:val="3A3A1AB1"/>
    <w:rsid w:val="3A4C409E"/>
    <w:rsid w:val="3A4FAF92"/>
    <w:rsid w:val="3A9E372C"/>
    <w:rsid w:val="3AB98167"/>
    <w:rsid w:val="3AE914E8"/>
    <w:rsid w:val="3AFC52B0"/>
    <w:rsid w:val="3B0E51A5"/>
    <w:rsid w:val="3B29327F"/>
    <w:rsid w:val="3B308F5A"/>
    <w:rsid w:val="3B47BBD0"/>
    <w:rsid w:val="3B9952AE"/>
    <w:rsid w:val="3C5D0B09"/>
    <w:rsid w:val="3C8E6DC8"/>
    <w:rsid w:val="3C943DB2"/>
    <w:rsid w:val="3CA89E6E"/>
    <w:rsid w:val="3CB1BBE5"/>
    <w:rsid w:val="3CB4982C"/>
    <w:rsid w:val="3CBAF813"/>
    <w:rsid w:val="3CDB83A9"/>
    <w:rsid w:val="3CE750AC"/>
    <w:rsid w:val="3CF4EB93"/>
    <w:rsid w:val="3CF52A04"/>
    <w:rsid w:val="3D0737C2"/>
    <w:rsid w:val="3D0E440F"/>
    <w:rsid w:val="3D72411B"/>
    <w:rsid w:val="3D885EA9"/>
    <w:rsid w:val="3DB25BC5"/>
    <w:rsid w:val="3DCE1B0B"/>
    <w:rsid w:val="3DD4E409"/>
    <w:rsid w:val="3DE36EE2"/>
    <w:rsid w:val="3DFC69AF"/>
    <w:rsid w:val="3E032828"/>
    <w:rsid w:val="3E07AC24"/>
    <w:rsid w:val="3E139D87"/>
    <w:rsid w:val="3E2F7ACC"/>
    <w:rsid w:val="3E578D23"/>
    <w:rsid w:val="3E6D7021"/>
    <w:rsid w:val="3E7B4A73"/>
    <w:rsid w:val="3EAFCE64"/>
    <w:rsid w:val="3EBBD376"/>
    <w:rsid w:val="3EC88804"/>
    <w:rsid w:val="3F2E00DB"/>
    <w:rsid w:val="3F39215D"/>
    <w:rsid w:val="3F65D05D"/>
    <w:rsid w:val="3F68F603"/>
    <w:rsid w:val="3FB004FD"/>
    <w:rsid w:val="3FB32064"/>
    <w:rsid w:val="3FC319B8"/>
    <w:rsid w:val="3FEEDEC9"/>
    <w:rsid w:val="40B6F9FB"/>
    <w:rsid w:val="40BD718D"/>
    <w:rsid w:val="40C6BB09"/>
    <w:rsid w:val="40EF2C78"/>
    <w:rsid w:val="41020885"/>
    <w:rsid w:val="41106B27"/>
    <w:rsid w:val="4111C8DD"/>
    <w:rsid w:val="412179DE"/>
    <w:rsid w:val="414D7ACB"/>
    <w:rsid w:val="41A5EA4B"/>
    <w:rsid w:val="41F77E41"/>
    <w:rsid w:val="424EAC94"/>
    <w:rsid w:val="4250CEA0"/>
    <w:rsid w:val="4277004B"/>
    <w:rsid w:val="42A42D11"/>
    <w:rsid w:val="42B45046"/>
    <w:rsid w:val="43441611"/>
    <w:rsid w:val="43677F77"/>
    <w:rsid w:val="4400B037"/>
    <w:rsid w:val="4421F05E"/>
    <w:rsid w:val="4427C7E8"/>
    <w:rsid w:val="444B4838"/>
    <w:rsid w:val="4484F960"/>
    <w:rsid w:val="449BF985"/>
    <w:rsid w:val="44A511F1"/>
    <w:rsid w:val="44AA96A4"/>
    <w:rsid w:val="44AD00FD"/>
    <w:rsid w:val="44D96753"/>
    <w:rsid w:val="44F7EBFD"/>
    <w:rsid w:val="453A9BDA"/>
    <w:rsid w:val="454101EF"/>
    <w:rsid w:val="4582781C"/>
    <w:rsid w:val="45A2B31E"/>
    <w:rsid w:val="45AD185D"/>
    <w:rsid w:val="45D26486"/>
    <w:rsid w:val="45E5C6A9"/>
    <w:rsid w:val="4600F496"/>
    <w:rsid w:val="46769AFF"/>
    <w:rsid w:val="46CE9543"/>
    <w:rsid w:val="46E48961"/>
    <w:rsid w:val="4769CB57"/>
    <w:rsid w:val="477BD901"/>
    <w:rsid w:val="478A49CC"/>
    <w:rsid w:val="479E90DE"/>
    <w:rsid w:val="47DCA447"/>
    <w:rsid w:val="4871C6F8"/>
    <w:rsid w:val="48871374"/>
    <w:rsid w:val="4923AC17"/>
    <w:rsid w:val="493AFC10"/>
    <w:rsid w:val="497C8088"/>
    <w:rsid w:val="498106B7"/>
    <w:rsid w:val="49812F9D"/>
    <w:rsid w:val="498E3902"/>
    <w:rsid w:val="49A0317D"/>
    <w:rsid w:val="49DB2528"/>
    <w:rsid w:val="4A094B7D"/>
    <w:rsid w:val="4A2CA383"/>
    <w:rsid w:val="4A31A6BB"/>
    <w:rsid w:val="4A374A89"/>
    <w:rsid w:val="4A84CA84"/>
    <w:rsid w:val="4A880FB4"/>
    <w:rsid w:val="4A88A04E"/>
    <w:rsid w:val="4AB68620"/>
    <w:rsid w:val="4ACE3433"/>
    <w:rsid w:val="4ADD0AD3"/>
    <w:rsid w:val="4ADE932C"/>
    <w:rsid w:val="4B1CB547"/>
    <w:rsid w:val="4B31FC78"/>
    <w:rsid w:val="4B36617F"/>
    <w:rsid w:val="4B3DDB83"/>
    <w:rsid w:val="4B61AE76"/>
    <w:rsid w:val="4B7E80DF"/>
    <w:rsid w:val="4B8AFD1D"/>
    <w:rsid w:val="4BAE900A"/>
    <w:rsid w:val="4BE1E99D"/>
    <w:rsid w:val="4BE8A6E8"/>
    <w:rsid w:val="4BEBEB7F"/>
    <w:rsid w:val="4C039E1B"/>
    <w:rsid w:val="4C0F825A"/>
    <w:rsid w:val="4C154C9C"/>
    <w:rsid w:val="4C6D8091"/>
    <w:rsid w:val="4CA77AAA"/>
    <w:rsid w:val="4CC145E7"/>
    <w:rsid w:val="4CE14928"/>
    <w:rsid w:val="4D3738B5"/>
    <w:rsid w:val="4D5835DA"/>
    <w:rsid w:val="4D585642"/>
    <w:rsid w:val="4D603EE9"/>
    <w:rsid w:val="4D640C58"/>
    <w:rsid w:val="4DCB4AE7"/>
    <w:rsid w:val="4DD80F9E"/>
    <w:rsid w:val="4E13A589"/>
    <w:rsid w:val="4E1B2EE7"/>
    <w:rsid w:val="4E3674E5"/>
    <w:rsid w:val="4E43C1AC"/>
    <w:rsid w:val="4E4CF516"/>
    <w:rsid w:val="4E92AA06"/>
    <w:rsid w:val="4EB85F55"/>
    <w:rsid w:val="4ED70BF2"/>
    <w:rsid w:val="4EF07CA5"/>
    <w:rsid w:val="4F12C83A"/>
    <w:rsid w:val="4F15DF56"/>
    <w:rsid w:val="4F1D6719"/>
    <w:rsid w:val="4F3B9CC3"/>
    <w:rsid w:val="4F40777F"/>
    <w:rsid w:val="4F74E5A8"/>
    <w:rsid w:val="4FC711A2"/>
    <w:rsid w:val="4FCB8DF9"/>
    <w:rsid w:val="4FD0CB4E"/>
    <w:rsid w:val="4FD78DDF"/>
    <w:rsid w:val="4FE2D5C4"/>
    <w:rsid w:val="500704A7"/>
    <w:rsid w:val="5029264A"/>
    <w:rsid w:val="506D355A"/>
    <w:rsid w:val="506F0A79"/>
    <w:rsid w:val="50E18469"/>
    <w:rsid w:val="50EA55E5"/>
    <w:rsid w:val="5143934D"/>
    <w:rsid w:val="516A2E2F"/>
    <w:rsid w:val="51858432"/>
    <w:rsid w:val="51B5F531"/>
    <w:rsid w:val="52585285"/>
    <w:rsid w:val="526BADB8"/>
    <w:rsid w:val="52B9E544"/>
    <w:rsid w:val="52BDB9AE"/>
    <w:rsid w:val="532AB17E"/>
    <w:rsid w:val="53400885"/>
    <w:rsid w:val="53CC8196"/>
    <w:rsid w:val="53E5B3FF"/>
    <w:rsid w:val="540DC7F2"/>
    <w:rsid w:val="543DE514"/>
    <w:rsid w:val="543E1136"/>
    <w:rsid w:val="544F89DA"/>
    <w:rsid w:val="5450ECDA"/>
    <w:rsid w:val="548068CF"/>
    <w:rsid w:val="54815555"/>
    <w:rsid w:val="54FCBB73"/>
    <w:rsid w:val="552A8DD0"/>
    <w:rsid w:val="55FB8A76"/>
    <w:rsid w:val="56424FE0"/>
    <w:rsid w:val="564D13D6"/>
    <w:rsid w:val="56617C9D"/>
    <w:rsid w:val="569F2847"/>
    <w:rsid w:val="56FF7AD4"/>
    <w:rsid w:val="570E6775"/>
    <w:rsid w:val="574E66AC"/>
    <w:rsid w:val="5750E6E4"/>
    <w:rsid w:val="577EA14B"/>
    <w:rsid w:val="57F26238"/>
    <w:rsid w:val="581A661C"/>
    <w:rsid w:val="5852F385"/>
    <w:rsid w:val="5873ACBC"/>
    <w:rsid w:val="587ED45A"/>
    <w:rsid w:val="58E93B11"/>
    <w:rsid w:val="58F215B3"/>
    <w:rsid w:val="592A86F2"/>
    <w:rsid w:val="592EB638"/>
    <w:rsid w:val="596B48D1"/>
    <w:rsid w:val="59722F2E"/>
    <w:rsid w:val="59B48D3C"/>
    <w:rsid w:val="59ED1B69"/>
    <w:rsid w:val="59FBA163"/>
    <w:rsid w:val="5A10BE21"/>
    <w:rsid w:val="5A48B29F"/>
    <w:rsid w:val="5A664D68"/>
    <w:rsid w:val="5AF2EA03"/>
    <w:rsid w:val="5B8C93B5"/>
    <w:rsid w:val="5BB649A8"/>
    <w:rsid w:val="5C592373"/>
    <w:rsid w:val="5C598EDD"/>
    <w:rsid w:val="5C5A976C"/>
    <w:rsid w:val="5CA293D1"/>
    <w:rsid w:val="5CFF3600"/>
    <w:rsid w:val="5D50C10B"/>
    <w:rsid w:val="5D52215B"/>
    <w:rsid w:val="5D9D6F75"/>
    <w:rsid w:val="5DBCEEBA"/>
    <w:rsid w:val="5E102BD2"/>
    <w:rsid w:val="5E16EE62"/>
    <w:rsid w:val="5E197D46"/>
    <w:rsid w:val="5E3D53DD"/>
    <w:rsid w:val="5E4C4220"/>
    <w:rsid w:val="5E566B02"/>
    <w:rsid w:val="5E9B7FF0"/>
    <w:rsid w:val="5EC21893"/>
    <w:rsid w:val="5F097ACF"/>
    <w:rsid w:val="5F1B9455"/>
    <w:rsid w:val="5F4490CA"/>
    <w:rsid w:val="5F4F538E"/>
    <w:rsid w:val="5F6A2F07"/>
    <w:rsid w:val="5F841B76"/>
    <w:rsid w:val="5F92E3AA"/>
    <w:rsid w:val="5FD2867C"/>
    <w:rsid w:val="5FE0475A"/>
    <w:rsid w:val="5FEBE2DA"/>
    <w:rsid w:val="6037FAD8"/>
    <w:rsid w:val="605495B6"/>
    <w:rsid w:val="606E53B4"/>
    <w:rsid w:val="60753053"/>
    <w:rsid w:val="609C8DA6"/>
    <w:rsid w:val="60E40AB3"/>
    <w:rsid w:val="612B54CB"/>
    <w:rsid w:val="615CBBC9"/>
    <w:rsid w:val="61674714"/>
    <w:rsid w:val="616C20FB"/>
    <w:rsid w:val="618F09AE"/>
    <w:rsid w:val="6197E4CC"/>
    <w:rsid w:val="6197FD92"/>
    <w:rsid w:val="61A96343"/>
    <w:rsid w:val="61C15239"/>
    <w:rsid w:val="61DC76CB"/>
    <w:rsid w:val="61E3AA3D"/>
    <w:rsid w:val="61E8D6BC"/>
    <w:rsid w:val="6208D235"/>
    <w:rsid w:val="62661B8C"/>
    <w:rsid w:val="62801300"/>
    <w:rsid w:val="62954FEF"/>
    <w:rsid w:val="629B43EB"/>
    <w:rsid w:val="62AE93E8"/>
    <w:rsid w:val="62B948AD"/>
    <w:rsid w:val="63180E20"/>
    <w:rsid w:val="631F2522"/>
    <w:rsid w:val="632846AE"/>
    <w:rsid w:val="632CE2F5"/>
    <w:rsid w:val="6353CB40"/>
    <w:rsid w:val="63A6C6B4"/>
    <w:rsid w:val="63E4453C"/>
    <w:rsid w:val="644291A5"/>
    <w:rsid w:val="644796D5"/>
    <w:rsid w:val="64764DFC"/>
    <w:rsid w:val="64AC937B"/>
    <w:rsid w:val="64B3E7E0"/>
    <w:rsid w:val="6518BD3E"/>
    <w:rsid w:val="652EA1B7"/>
    <w:rsid w:val="6560705E"/>
    <w:rsid w:val="6575422E"/>
    <w:rsid w:val="65A724D1"/>
    <w:rsid w:val="65B5619D"/>
    <w:rsid w:val="662A63E8"/>
    <w:rsid w:val="6640C60C"/>
    <w:rsid w:val="664ED6D7"/>
    <w:rsid w:val="667D9121"/>
    <w:rsid w:val="67287F16"/>
    <w:rsid w:val="674ADA61"/>
    <w:rsid w:val="67533AD3"/>
    <w:rsid w:val="67C80AB2"/>
    <w:rsid w:val="67D796C2"/>
    <w:rsid w:val="67FA4A53"/>
    <w:rsid w:val="6831A6AD"/>
    <w:rsid w:val="686317C4"/>
    <w:rsid w:val="68BCA852"/>
    <w:rsid w:val="693CA6A8"/>
    <w:rsid w:val="698B29BB"/>
    <w:rsid w:val="699A595B"/>
    <w:rsid w:val="69DA69CC"/>
    <w:rsid w:val="69DDB1DE"/>
    <w:rsid w:val="6A086183"/>
    <w:rsid w:val="6A12A830"/>
    <w:rsid w:val="6A4303C0"/>
    <w:rsid w:val="6A487536"/>
    <w:rsid w:val="6A989B18"/>
    <w:rsid w:val="6A9AF759"/>
    <w:rsid w:val="6AA61809"/>
    <w:rsid w:val="6B5276B9"/>
    <w:rsid w:val="6B5EF353"/>
    <w:rsid w:val="6B793898"/>
    <w:rsid w:val="6B881FD3"/>
    <w:rsid w:val="6BA0473F"/>
    <w:rsid w:val="6BC97ECF"/>
    <w:rsid w:val="6BDA0A23"/>
    <w:rsid w:val="6BEC7645"/>
    <w:rsid w:val="6C26241B"/>
    <w:rsid w:val="6C5D60A9"/>
    <w:rsid w:val="6C6E4958"/>
    <w:rsid w:val="6CFC50FD"/>
    <w:rsid w:val="6D1DB130"/>
    <w:rsid w:val="6D2BDF22"/>
    <w:rsid w:val="6D30ACE6"/>
    <w:rsid w:val="6D44C328"/>
    <w:rsid w:val="6D50377B"/>
    <w:rsid w:val="6D645A98"/>
    <w:rsid w:val="6D8FFD17"/>
    <w:rsid w:val="6D9B01F6"/>
    <w:rsid w:val="6DE48FDF"/>
    <w:rsid w:val="6DEF984E"/>
    <w:rsid w:val="6DF6F56A"/>
    <w:rsid w:val="6E080366"/>
    <w:rsid w:val="6E223156"/>
    <w:rsid w:val="6E8F5F26"/>
    <w:rsid w:val="6EB9E22C"/>
    <w:rsid w:val="6EC1707B"/>
    <w:rsid w:val="6EC19473"/>
    <w:rsid w:val="6EF209FC"/>
    <w:rsid w:val="6F1EE047"/>
    <w:rsid w:val="6F4A46D7"/>
    <w:rsid w:val="6FDD6DF6"/>
    <w:rsid w:val="706F1AB6"/>
    <w:rsid w:val="7070C3D7"/>
    <w:rsid w:val="70BB02A4"/>
    <w:rsid w:val="712B57A8"/>
    <w:rsid w:val="7132D2D4"/>
    <w:rsid w:val="715E9FC2"/>
    <w:rsid w:val="719871F8"/>
    <w:rsid w:val="71BAED0A"/>
    <w:rsid w:val="71EE16BB"/>
    <w:rsid w:val="71EFA470"/>
    <w:rsid w:val="721482F1"/>
    <w:rsid w:val="723DB871"/>
    <w:rsid w:val="72472DB0"/>
    <w:rsid w:val="725F9CDF"/>
    <w:rsid w:val="729FF8F6"/>
    <w:rsid w:val="72A40ED8"/>
    <w:rsid w:val="72A98AFF"/>
    <w:rsid w:val="72D00B03"/>
    <w:rsid w:val="72F889F7"/>
    <w:rsid w:val="7313BC3C"/>
    <w:rsid w:val="73283D13"/>
    <w:rsid w:val="73A28A60"/>
    <w:rsid w:val="73A69135"/>
    <w:rsid w:val="73B32790"/>
    <w:rsid w:val="73C5FE2E"/>
    <w:rsid w:val="73C7DB09"/>
    <w:rsid w:val="73E0F63C"/>
    <w:rsid w:val="746E3AF3"/>
    <w:rsid w:val="7477FEAA"/>
    <w:rsid w:val="748B2C4D"/>
    <w:rsid w:val="749708F5"/>
    <w:rsid w:val="74B25AAF"/>
    <w:rsid w:val="74B9C720"/>
    <w:rsid w:val="74C76883"/>
    <w:rsid w:val="74CFADC9"/>
    <w:rsid w:val="74E43C7F"/>
    <w:rsid w:val="75B27F3A"/>
    <w:rsid w:val="75C8E68D"/>
    <w:rsid w:val="75E4C5E5"/>
    <w:rsid w:val="75FDC325"/>
    <w:rsid w:val="765AA960"/>
    <w:rsid w:val="7665CB0C"/>
    <w:rsid w:val="766A6236"/>
    <w:rsid w:val="76EF134D"/>
    <w:rsid w:val="77069F49"/>
    <w:rsid w:val="770E009E"/>
    <w:rsid w:val="770F9AA2"/>
    <w:rsid w:val="774468C8"/>
    <w:rsid w:val="77523D2A"/>
    <w:rsid w:val="7786A7E0"/>
    <w:rsid w:val="77920CA2"/>
    <w:rsid w:val="7874FD1F"/>
    <w:rsid w:val="78911400"/>
    <w:rsid w:val="792837E4"/>
    <w:rsid w:val="797D79EA"/>
    <w:rsid w:val="79B7BA70"/>
    <w:rsid w:val="79D83F8A"/>
    <w:rsid w:val="79E6DA7E"/>
    <w:rsid w:val="7A0FFD2A"/>
    <w:rsid w:val="7A401DEA"/>
    <w:rsid w:val="7A5805A5"/>
    <w:rsid w:val="7A629EF5"/>
    <w:rsid w:val="7A7E0AFE"/>
    <w:rsid w:val="7B5276B4"/>
    <w:rsid w:val="7B604861"/>
    <w:rsid w:val="7B704CAA"/>
    <w:rsid w:val="7B865EC3"/>
    <w:rsid w:val="7BE0762C"/>
    <w:rsid w:val="7C0C8A20"/>
    <w:rsid w:val="7C1BEA80"/>
    <w:rsid w:val="7C1E8138"/>
    <w:rsid w:val="7C3227A8"/>
    <w:rsid w:val="7C419352"/>
    <w:rsid w:val="7C58A3C2"/>
    <w:rsid w:val="7C5B32E3"/>
    <w:rsid w:val="7C750622"/>
    <w:rsid w:val="7C81E1C6"/>
    <w:rsid w:val="7C8A6C7D"/>
    <w:rsid w:val="7D01BD17"/>
    <w:rsid w:val="7D30053C"/>
    <w:rsid w:val="7D38735E"/>
    <w:rsid w:val="7D3B71E5"/>
    <w:rsid w:val="7D3CBCE3"/>
    <w:rsid w:val="7D5D2E9F"/>
    <w:rsid w:val="7D61620B"/>
    <w:rsid w:val="7D811EB5"/>
    <w:rsid w:val="7DDC0B53"/>
    <w:rsid w:val="7DE25F15"/>
    <w:rsid w:val="7E13EF4E"/>
    <w:rsid w:val="7E8DEA0A"/>
    <w:rsid w:val="7EA6973B"/>
    <w:rsid w:val="7ECB538C"/>
    <w:rsid w:val="7EE68DBC"/>
    <w:rsid w:val="7EEA2011"/>
    <w:rsid w:val="7F1A3CD1"/>
    <w:rsid w:val="7F1EF359"/>
    <w:rsid w:val="7F37C448"/>
    <w:rsid w:val="7F4E0B33"/>
    <w:rsid w:val="7F937ABF"/>
    <w:rsid w:val="7FBFDB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1D8317FA-65D5-4150-8D6E-339D6752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42"/>
    <w:pPr>
      <w:spacing w:after="200" w:line="276" w:lineRule="auto"/>
    </w:pPr>
    <w:rPr>
      <w:rFonts w:ascii="Arial" w:eastAsia="Times New Roman" w:hAnsi="Arial" w:cs="Times New Roman"/>
      <w:kern w:val="0"/>
      <w:sz w:val="24"/>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eastAsiaTheme="majorEastAsia" w:cstheme="majorBidi"/>
      <w:b/>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4E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4EB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4EB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4E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4E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7E645F"/>
    <w:pPr>
      <w:spacing w:line="240" w:lineRule="auto"/>
    </w:pPr>
    <w:rPr>
      <w:rFonts w:asciiTheme="minorHAnsi" w:eastAsiaTheme="minorHAnsi" w:hAnsiTheme="minorHAnsi"/>
      <w:color w:val="000000" w:themeColor="text1"/>
      <w:szCs w:val="21"/>
      <w:lang w:eastAsia="en-AU"/>
    </w:rPr>
  </w:style>
  <w:style w:type="character" w:customStyle="1" w:styleId="ParagraphtextChar">
    <w:name w:val="Paragraph text Char"/>
    <w:basedOn w:val="DefaultParagraphFont"/>
    <w:link w:val="Paragraphtext"/>
    <w:rsid w:val="007E645F"/>
    <w:rPr>
      <w:rFonts w:cs="Times New Roman"/>
      <w:color w:val="000000" w:themeColor="text1"/>
      <w:kern w:val="0"/>
      <w:sz w:val="24"/>
      <w:szCs w:val="21"/>
      <w:lang w:eastAsia="en-AU"/>
      <w14:ligatures w14:val="none"/>
    </w:rPr>
  </w:style>
  <w:style w:type="character" w:customStyle="1" w:styleId="Heading5Char">
    <w:name w:val="Heading 5 Char"/>
    <w:basedOn w:val="DefaultParagraphFont"/>
    <w:link w:val="Heading5"/>
    <w:uiPriority w:val="9"/>
    <w:semiHidden/>
    <w:rsid w:val="00284EB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284EBD"/>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84EBD"/>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84EBD"/>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84EBD"/>
    <w:rPr>
      <w:rFonts w:asciiTheme="majorHAnsi" w:eastAsiaTheme="majorEastAsia" w:hAnsiTheme="majorHAnsi" w:cstheme="majorBidi"/>
      <w:i/>
      <w:iCs/>
      <w:color w:val="272727" w:themeColor="text1" w:themeTint="D8"/>
      <w:kern w:val="0"/>
      <w:sz w:val="21"/>
      <w:szCs w:val="21"/>
      <w14:ligatures w14:val="none"/>
    </w:rPr>
  </w:style>
  <w:style w:type="character" w:styleId="CommentReference">
    <w:name w:val="annotation reference"/>
    <w:basedOn w:val="DefaultParagraphFont"/>
    <w:uiPriority w:val="99"/>
    <w:semiHidden/>
    <w:unhideWhenUsed/>
    <w:rsid w:val="00CE07CA"/>
    <w:rPr>
      <w:sz w:val="16"/>
      <w:szCs w:val="16"/>
    </w:rPr>
  </w:style>
  <w:style w:type="paragraph" w:styleId="CommentText">
    <w:name w:val="annotation text"/>
    <w:basedOn w:val="Normal"/>
    <w:link w:val="CommentTextChar"/>
    <w:uiPriority w:val="99"/>
    <w:unhideWhenUsed/>
    <w:rsid w:val="00CE07CA"/>
    <w:pPr>
      <w:spacing w:line="240" w:lineRule="auto"/>
    </w:pPr>
    <w:rPr>
      <w:sz w:val="20"/>
      <w:szCs w:val="20"/>
    </w:rPr>
  </w:style>
  <w:style w:type="character" w:customStyle="1" w:styleId="CommentTextChar">
    <w:name w:val="Comment Text Char"/>
    <w:basedOn w:val="DefaultParagraphFont"/>
    <w:link w:val="CommentText"/>
    <w:uiPriority w:val="99"/>
    <w:rsid w:val="00CE07CA"/>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E07CA"/>
    <w:rPr>
      <w:b/>
      <w:bCs/>
    </w:rPr>
  </w:style>
  <w:style w:type="character" w:customStyle="1" w:styleId="CommentSubjectChar">
    <w:name w:val="Comment Subject Char"/>
    <w:basedOn w:val="CommentTextChar"/>
    <w:link w:val="CommentSubject"/>
    <w:uiPriority w:val="99"/>
    <w:semiHidden/>
    <w:rsid w:val="00CE07CA"/>
    <w:rPr>
      <w:rFonts w:ascii="Arial" w:eastAsia="Times New Roman" w:hAnsi="Arial" w:cs="Times New Roman"/>
      <w:b/>
      <w:bCs/>
      <w:kern w:val="0"/>
      <w:sz w:val="20"/>
      <w:szCs w:val="20"/>
      <w14:ligatures w14:val="none"/>
    </w:rPr>
  </w:style>
  <w:style w:type="paragraph" w:styleId="BodyText">
    <w:name w:val="Body Text"/>
    <w:basedOn w:val="Normal"/>
    <w:link w:val="BodyTextChar"/>
    <w:uiPriority w:val="1"/>
    <w:unhideWhenUsed/>
    <w:rsid w:val="00EA054B"/>
    <w:pPr>
      <w:spacing w:after="160" w:line="259" w:lineRule="auto"/>
    </w:pPr>
    <w:rPr>
      <w:rFonts w:ascii="Calibri" w:eastAsia="Calibri" w:hAnsi="Calibri"/>
      <w:sz w:val="22"/>
    </w:rPr>
  </w:style>
  <w:style w:type="character" w:customStyle="1" w:styleId="BodyTextChar">
    <w:name w:val="Body Text Char"/>
    <w:basedOn w:val="DefaultParagraphFont"/>
    <w:link w:val="BodyText"/>
    <w:uiPriority w:val="1"/>
    <w:rsid w:val="00EA054B"/>
    <w:rPr>
      <w:rFonts w:ascii="Calibri" w:eastAsia="Calibri" w:hAnsi="Calibri" w:cs="Times New Roman"/>
      <w:kern w:val="0"/>
      <w14:ligatures w14:val="none"/>
    </w:rPr>
  </w:style>
  <w:style w:type="paragraph" w:styleId="Revision">
    <w:name w:val="Revision"/>
    <w:hidden/>
    <w:uiPriority w:val="99"/>
    <w:semiHidden/>
    <w:rsid w:val="00963227"/>
    <w:pPr>
      <w:spacing w:after="0" w:line="240" w:lineRule="auto"/>
    </w:pPr>
    <w:rPr>
      <w:rFonts w:ascii="Arial" w:eastAsia="Times New Roman" w:hAnsi="Arial" w:cs="Times New Roman"/>
      <w:kern w:val="0"/>
      <w:sz w:val="24"/>
      <w14:ligatures w14:val="none"/>
    </w:rPr>
  </w:style>
  <w:style w:type="character" w:styleId="Hyperlink">
    <w:name w:val="Hyperlink"/>
    <w:basedOn w:val="DefaultParagraphFont"/>
    <w:uiPriority w:val="99"/>
    <w:unhideWhenUsed/>
    <w:rsid w:val="00664260"/>
    <w:rPr>
      <w:color w:val="0563C1" w:themeColor="hyperlink"/>
      <w:u w:val="single"/>
    </w:rPr>
  </w:style>
  <w:style w:type="table" w:styleId="TableGrid">
    <w:name w:val="Table Grid"/>
    <w:basedOn w:val="TableNormal"/>
    <w:uiPriority w:val="39"/>
    <w:rsid w:val="0066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services.accesscanberra.act.gov.au/s/public-registers/construction-licences?registerid=architec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ityservices.act.gov.au/pets-and-wildlife/domestic-animals/assistance-animal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ervices.accesscanberra.act.gov.au/s/public-regis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ityservices.act.gov.au/pets-and-wildlife/veterinary-practitioners-board/vets-in-the-act" TargetMode="Externa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cityservices.act.gov.au/territory-services/cemeteries/cemeteries-and-crematoria-regul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ervices.accesscanberra.act.gov.au/s/public-registers/construction-licences?registerid=professional-engine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02114e-1845-4934-a9b6-6f4b8968ecfb" xsi:nil="true"/>
    <ACTSANDREGULATIONS xmlns="84ab0b94-4cef-4d05-9a94-801728506d15" xsi:nil="true"/>
    <lcf76f155ced4ddcb4097134ff3c332f xmlns="84ab0b94-4cef-4d05-9a94-801728506d15">
      <Terms xmlns="http://schemas.microsoft.com/office/infopath/2007/PartnerControls"/>
    </lcf76f155ced4ddcb4097134ff3c332f>
    <Creator xmlns="84ab0b94-4cef-4d05-9a94-801728506d15">
      <UserInfo>
        <DisplayName/>
        <AccountId xsi:nil="true"/>
        <AccountType/>
      </UserInfo>
    </Creator>
    <OTHERJURISDICTIONS xmlns="84ab0b94-4cef-4d05-9a94-801728506d15" xsi:nil="true"/>
    <Dateandtime xmlns="84ab0b94-4cef-4d05-9a94-801728506d15" xsi:nil="true"/>
  </documentManagement>
</p:properties>
</file>

<file path=customXml/item2.xml><?xml version="1.0" encoding="utf-8"?>
<metadata xmlns="http://www.objective.com/ecm/document/metadata/4FEB93B0D38B3BDFE05400144FFB2061" version="1.0.0">
  <systemFields>
    <field name="Objective-Id">
      <value order="0">A61747104</value>
    </field>
    <field name="Objective-Title">
      <value order="0">Attach E - Explanatory Statement - Better Regulation Legislation Amendment Bill 2026 copy</value>
    </field>
    <field name="Objective-Description">
      <value order="0"/>
    </field>
    <field name="Objective-CreationStamp">
      <value order="0">2026-05-05T05:05:45Z</value>
    </field>
    <field name="Objective-IsApproved">
      <value order="0">false</value>
    </field>
    <field name="Objective-IsPublished">
      <value order="0">false</value>
    </field>
    <field name="Objective-DatePublished">
      <value order="0"/>
    </field>
    <field name="Objective-ModificationStamp">
      <value order="0">2026-05-06T00:33:36Z</value>
    </field>
    <field name="Objective-Owner">
      <value order="0">Samantha Urban</value>
    </field>
    <field name="Objective-Path">
      <value order="0">Whole of ACT Government:CED - City and Environment Directorate:02. CED - Corporate Enabling Functions:GMC - Government and Ministerial Services:GAMS - Ministerial and Government Business:02. Legislative Assembly:11th Assembly:07. Assembly Sitting Preparation Requests (TP's, PMB):2026:05. May 2026:05 - 07 May 2026:FOR EMBARGO:Better Regulation Legislation Amendment Bill 2026 - Intro Pack</value>
    </field>
    <field name="Objective-Parent">
      <value order="0">Better Regulation Legislation Amendment Bill 2026 - Intro Pack</value>
    </field>
    <field name="Objective-State">
      <value order="0">Being Edited</value>
    </field>
    <field name="Objective-VersionId">
      <value order="0">vA78300483</value>
    </field>
    <field name="Objective-Version">
      <value order="0">1.1</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C1FC089426D44081D69165A207EBC8" ma:contentTypeVersion="19" ma:contentTypeDescription="Create a new document." ma:contentTypeScope="" ma:versionID="d8a5f3d635a4c756c5f4334c638c4033">
  <xsd:schema xmlns:xsd="http://www.w3.org/2001/XMLSchema" xmlns:xs="http://www.w3.org/2001/XMLSchema" xmlns:p="http://schemas.microsoft.com/office/2006/metadata/properties" xmlns:ns2="84ab0b94-4cef-4d05-9a94-801728506d15" xmlns:ns3="0502114e-1845-4934-a9b6-6f4b8968ecfb" targetNamespace="http://schemas.microsoft.com/office/2006/metadata/properties" ma:root="true" ma:fieldsID="ea2b1039c7bea63bc1087836d720d5f4" ns2:_="" ns3:_="">
    <xsd:import namespace="84ab0b94-4cef-4d05-9a94-801728506d15"/>
    <xsd:import namespace="0502114e-1845-4934-a9b6-6f4b8968e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CTSANDREGULATIONS" minOccurs="0"/>
                <xsd:element ref="ns2:OTHERJURISDICTION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andtime" minOccurs="0"/>
                <xsd:element ref="ns2:Creato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b0b94-4cef-4d05-9a94-801728506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SANDREGULATIONS" ma:index="12" nillable="true" ma:displayName="ACTS AND REGULATIONS" ma:description="A list of ACT Acts and Regulations which regulation the NT&amp;EE " ma:format="Dropdown" ma:internalName="ACTSANDREGULATIONS">
      <xsd:simpleType>
        <xsd:restriction base="dms:Note">
          <xsd:maxLength value="255"/>
        </xsd:restriction>
      </xsd:simpleType>
    </xsd:element>
    <xsd:element name="OTHERJURISDICTIONS" ma:index="13" nillable="true" ma:displayName="OTHER JURISDICTIONS" ma:description="Webpages of the work of other jurisdictions on NT&amp;EE matters" ma:format="Dropdown" ma:internalName="OTHERJURISDICTION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Creator" ma:index="25"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2114e-1845-4934-a9b6-6f4b8968e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ece451-cbd5-4624-824c-423b3e1b3608}" ma:internalName="TaxCatchAll" ma:showField="CatchAllData" ma:web="0502114e-1845-4934-a9b6-6f4b8968e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0502114e-1845-4934-a9b6-6f4b8968ecfb"/>
    <ds:schemaRef ds:uri="84ab0b94-4cef-4d05-9a94-801728506d15"/>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5.xml><?xml version="1.0" encoding="utf-8"?>
<ds:datastoreItem xmlns:ds="http://schemas.openxmlformats.org/officeDocument/2006/customXml" ds:itemID="{5ADA0AE4-9F25-406B-9386-69CA7193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b0b94-4cef-4d05-9a94-801728506d15"/>
    <ds:schemaRef ds:uri="0502114e-1845-4934-a9b6-6f4b8968e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17390</Words>
  <Characters>92747</Characters>
  <Application>Microsoft Office Word</Application>
  <DocSecurity>0</DocSecurity>
  <Lines>1879</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2026-05-06T00:44:00Z</dcterms:created>
  <dcterms:modified xsi:type="dcterms:W3CDTF">2026-05-06T00:44:00Z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0x010100E1C1FC089426D44081D69165A207EBC8</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Comment">
    <vt:lpwstr/>
  </property>
  <property fmtid="{D5CDD505-2E9C-101B-9397-08002B2CF9AE}" pid="11" name="MediaServiceImageTags">
    <vt:lpwstr/>
  </property>
  <property fmtid="{D5CDD505-2E9C-101B-9397-08002B2CF9AE}" pid="12" name="Customer-Id">
    <vt:lpwstr>4FEB93B0D38B3BDFE05400144FFB2061</vt:lpwstr>
  </property>
  <property fmtid="{D5CDD505-2E9C-101B-9397-08002B2CF9AE}" pid="13" name="Objective-Id">
    <vt:lpwstr>A61747104</vt:lpwstr>
  </property>
  <property fmtid="{D5CDD505-2E9C-101B-9397-08002B2CF9AE}" pid="14" name="Objective-Title">
    <vt:lpwstr>Attach E - Explanatory Statement - Better Regulation Legislation Amendment Bill 2026 - UPDATED</vt:lpwstr>
  </property>
  <property fmtid="{D5CDD505-2E9C-101B-9397-08002B2CF9AE}" pid="15" name="Objective-Description">
    <vt:lpwstr/>
  </property>
  <property fmtid="{D5CDD505-2E9C-101B-9397-08002B2CF9AE}" pid="16" name="Objective-CreationStamp">
    <vt:filetime>2026-05-05T05:05:45Z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2026-05-06T00:42:05Z</vt:filetime>
  </property>
  <property fmtid="{D5CDD505-2E9C-101B-9397-08002B2CF9AE}" pid="20" name="Objective-ModificationStamp">
    <vt:filetime>2026-05-06T00:42:23Z</vt:filetime>
  </property>
  <property fmtid="{D5CDD505-2E9C-101B-9397-08002B2CF9AE}" pid="21" name="Objective-Owner">
    <vt:lpwstr>Samantha Urban</vt:lpwstr>
  </property>
  <property fmtid="{D5CDD505-2E9C-101B-9397-08002B2CF9AE}" pid="22" name="Objective-Path">
    <vt:lpwstr>Whole of ACT Government:CED - City and Environment Directorate:02. CED - Corporate Enabling Functions:GMC - Government and Ministerial Services:GAMS - Ministerial and Government Business:02. Legislative Assembly:11th Assembly:07. Assembly Sitting Preparation Requests (TP's, PMB):2026:05. May 2026:05 - 07 May 2026:FOR EMBARGO:Better Regulation Legislation Amendment Bill 2026 - Intro Pack:</vt:lpwstr>
  </property>
  <property fmtid="{D5CDD505-2E9C-101B-9397-08002B2CF9AE}" pid="23" name="Objective-Parent">
    <vt:lpwstr>Better Regulation Legislation Amendment Bill 2026 - Intro Pack</vt:lpwstr>
  </property>
  <property fmtid="{D5CDD505-2E9C-101B-9397-08002B2CF9AE}" pid="24" name="Objective-State">
    <vt:lpwstr>Published</vt:lpwstr>
  </property>
  <property fmtid="{D5CDD505-2E9C-101B-9397-08002B2CF9AE}" pid="25" name="Objective-VersionId">
    <vt:lpwstr>vA78300483</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ies>
</file>