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1B8D" w14:textId="77777777" w:rsidR="005B451B" w:rsidRPr="00C63976" w:rsidRDefault="005B451B" w:rsidP="005B451B">
      <w:pPr>
        <w:spacing w:before="120" w:after="60"/>
        <w:ind w:left="720" w:hanging="720"/>
        <w:rPr>
          <w:rFonts w:ascii="Arial" w:hAnsi="Arial" w:cs="Arial"/>
          <w:sz w:val="24"/>
          <w:szCs w:val="24"/>
        </w:rPr>
      </w:pPr>
      <w:smartTag w:uri="urn:schemas-microsoft-com:office:smarttags" w:element="place">
        <w:smartTag w:uri="urn:schemas-microsoft-com:office:smarttags" w:element="State">
          <w:r w:rsidRPr="005B451B">
            <w:rPr>
              <w:rFonts w:ascii="Arial" w:hAnsi="Arial" w:cs="Arial"/>
              <w:sz w:val="24"/>
              <w:szCs w:val="24"/>
            </w:rPr>
            <w:t>Australian Capital Territory</w:t>
          </w:r>
        </w:smartTag>
      </w:smartTag>
      <w:r w:rsidR="00C63976">
        <w:rPr>
          <w:rFonts w:ascii="Arial" w:hAnsi="Arial" w:cs="Arial"/>
          <w:sz w:val="40"/>
          <w:szCs w:val="40"/>
        </w:rPr>
        <w:tab/>
      </w:r>
    </w:p>
    <w:p w14:paraId="460DBE13" w14:textId="77777777" w:rsidR="005B451B" w:rsidRPr="005B451B" w:rsidRDefault="005B451B" w:rsidP="005B451B">
      <w:pPr>
        <w:spacing w:before="700" w:after="60"/>
        <w:rPr>
          <w:rFonts w:ascii="Arial" w:hAnsi="Arial" w:cs="Arial"/>
          <w:b/>
          <w:bCs/>
          <w:sz w:val="32"/>
          <w:szCs w:val="32"/>
        </w:rPr>
      </w:pPr>
      <w:r w:rsidRPr="005B451B">
        <w:rPr>
          <w:rFonts w:ascii="Arial" w:hAnsi="Arial" w:cs="Arial"/>
          <w:b/>
          <w:bCs/>
          <w:sz w:val="32"/>
          <w:szCs w:val="32"/>
        </w:rPr>
        <w:t>Legal Profession (Solicitors Practising Fees) Determination 20</w:t>
      </w:r>
      <w:r w:rsidR="009A70E9">
        <w:rPr>
          <w:rFonts w:ascii="Arial" w:hAnsi="Arial" w:cs="Arial"/>
          <w:b/>
          <w:bCs/>
          <w:sz w:val="32"/>
          <w:szCs w:val="32"/>
        </w:rPr>
        <w:t>2</w:t>
      </w:r>
      <w:r w:rsidR="001C48B7">
        <w:rPr>
          <w:rFonts w:ascii="Arial" w:hAnsi="Arial" w:cs="Arial"/>
          <w:b/>
          <w:bCs/>
          <w:sz w:val="32"/>
          <w:szCs w:val="32"/>
        </w:rPr>
        <w:t>6</w:t>
      </w:r>
    </w:p>
    <w:p w14:paraId="1841AE2E" w14:textId="55F8502F" w:rsidR="005B451B" w:rsidRPr="005B451B" w:rsidRDefault="005B451B" w:rsidP="005B451B">
      <w:pPr>
        <w:spacing w:before="240" w:after="60"/>
        <w:ind w:left="720" w:hanging="720"/>
        <w:rPr>
          <w:rFonts w:ascii="Arial" w:hAnsi="Arial" w:cs="Arial"/>
          <w:b/>
          <w:bCs/>
          <w:sz w:val="24"/>
          <w:szCs w:val="24"/>
          <w:vertAlign w:val="superscript"/>
        </w:rPr>
      </w:pPr>
      <w:bookmarkStart w:id="0" w:name="Citation"/>
      <w:r w:rsidRPr="005B451B">
        <w:rPr>
          <w:rFonts w:ascii="Arial" w:hAnsi="Arial" w:cs="Arial"/>
          <w:b/>
          <w:bCs/>
          <w:sz w:val="24"/>
          <w:szCs w:val="24"/>
        </w:rPr>
        <w:t>Disallowable Instrument DI20</w:t>
      </w:r>
      <w:r w:rsidR="009A70E9">
        <w:rPr>
          <w:rFonts w:ascii="Arial" w:hAnsi="Arial" w:cs="Arial"/>
          <w:b/>
          <w:bCs/>
          <w:sz w:val="24"/>
          <w:szCs w:val="24"/>
        </w:rPr>
        <w:t>2</w:t>
      </w:r>
      <w:r w:rsidR="001C48B7">
        <w:rPr>
          <w:rFonts w:ascii="Arial" w:hAnsi="Arial" w:cs="Arial"/>
          <w:b/>
          <w:bCs/>
          <w:sz w:val="24"/>
          <w:szCs w:val="24"/>
        </w:rPr>
        <w:t>6</w:t>
      </w:r>
      <w:r w:rsidRPr="005B451B">
        <w:rPr>
          <w:rFonts w:ascii="Arial" w:hAnsi="Arial" w:cs="Arial"/>
          <w:b/>
          <w:bCs/>
          <w:sz w:val="24"/>
          <w:szCs w:val="24"/>
        </w:rPr>
        <w:t xml:space="preserve"> -</w:t>
      </w:r>
      <w:r w:rsidR="0027353E">
        <w:rPr>
          <w:rFonts w:ascii="Arial" w:hAnsi="Arial" w:cs="Arial"/>
          <w:b/>
          <w:bCs/>
          <w:sz w:val="24"/>
          <w:szCs w:val="24"/>
        </w:rPr>
        <w:t xml:space="preserve"> </w:t>
      </w:r>
      <w:r w:rsidR="002F2C1A">
        <w:rPr>
          <w:rFonts w:ascii="Arial" w:hAnsi="Arial" w:cs="Arial"/>
          <w:b/>
          <w:bCs/>
          <w:sz w:val="24"/>
          <w:szCs w:val="24"/>
        </w:rPr>
        <w:t>77</w:t>
      </w:r>
    </w:p>
    <w:p w14:paraId="2AC3D4EF" w14:textId="77777777" w:rsidR="00E6709A" w:rsidRDefault="00E6709A" w:rsidP="005B451B">
      <w:pPr>
        <w:spacing w:before="60" w:after="60"/>
        <w:ind w:left="720" w:hanging="720"/>
        <w:rPr>
          <w:sz w:val="24"/>
          <w:szCs w:val="24"/>
        </w:rPr>
      </w:pPr>
    </w:p>
    <w:p w14:paraId="35CC8D79" w14:textId="77777777" w:rsidR="005B451B" w:rsidRPr="005B451B" w:rsidRDefault="005B451B" w:rsidP="005B451B">
      <w:pPr>
        <w:spacing w:before="60" w:after="60"/>
        <w:ind w:left="720" w:hanging="720"/>
        <w:rPr>
          <w:sz w:val="24"/>
          <w:szCs w:val="24"/>
        </w:rPr>
      </w:pPr>
      <w:r w:rsidRPr="005B451B">
        <w:rPr>
          <w:sz w:val="24"/>
          <w:szCs w:val="24"/>
        </w:rPr>
        <w:t>made under the</w:t>
      </w:r>
    </w:p>
    <w:p w14:paraId="035C1ABA" w14:textId="77777777" w:rsidR="005B451B" w:rsidRPr="00916548" w:rsidRDefault="005B451B" w:rsidP="005B451B">
      <w:pPr>
        <w:spacing w:before="60" w:after="60"/>
        <w:rPr>
          <w:rFonts w:ascii="Arial" w:hAnsi="Arial" w:cs="Arial"/>
          <w:b/>
          <w:bCs/>
        </w:rPr>
      </w:pPr>
      <w:r w:rsidRPr="00916548">
        <w:rPr>
          <w:rFonts w:ascii="Arial" w:hAnsi="Arial" w:cs="Arial"/>
          <w:b/>
          <w:bCs/>
          <w:i/>
          <w:iCs/>
        </w:rPr>
        <w:t>Legal Pr</w:t>
      </w:r>
      <w:r w:rsidR="00A26862" w:rsidRPr="00916548">
        <w:rPr>
          <w:rFonts w:ascii="Arial" w:hAnsi="Arial" w:cs="Arial"/>
          <w:b/>
          <w:bCs/>
          <w:i/>
          <w:iCs/>
        </w:rPr>
        <w:t>ofession Act 2006</w:t>
      </w:r>
      <w:r w:rsidR="00A26862" w:rsidRPr="00916548">
        <w:rPr>
          <w:rFonts w:ascii="Arial" w:hAnsi="Arial" w:cs="Arial"/>
          <w:b/>
          <w:bCs/>
        </w:rPr>
        <w:t>, s</w:t>
      </w:r>
      <w:r w:rsidR="005524F7" w:rsidRPr="00916548">
        <w:rPr>
          <w:rFonts w:ascii="Arial" w:hAnsi="Arial" w:cs="Arial"/>
          <w:b/>
          <w:bCs/>
        </w:rPr>
        <w:t>ection 84</w:t>
      </w:r>
      <w:r w:rsidR="00E6709A" w:rsidRPr="00916548">
        <w:rPr>
          <w:rFonts w:ascii="Arial" w:hAnsi="Arial" w:cs="Arial"/>
          <w:b/>
          <w:bCs/>
        </w:rPr>
        <w:t>(1)</w:t>
      </w:r>
      <w:r w:rsidR="005524F7" w:rsidRPr="00916548">
        <w:rPr>
          <w:rFonts w:ascii="Arial" w:hAnsi="Arial" w:cs="Arial"/>
          <w:b/>
          <w:bCs/>
        </w:rPr>
        <w:t xml:space="preserve"> (</w:t>
      </w:r>
      <w:r w:rsidRPr="00916548">
        <w:rPr>
          <w:rFonts w:ascii="Arial" w:hAnsi="Arial" w:cs="Arial"/>
          <w:b/>
          <w:bCs/>
        </w:rPr>
        <w:t>Determination of fees by law society council and bar council</w:t>
      </w:r>
      <w:r w:rsidR="005524F7" w:rsidRPr="00916548">
        <w:rPr>
          <w:rFonts w:ascii="Arial" w:hAnsi="Arial" w:cs="Arial"/>
          <w:b/>
          <w:bCs/>
        </w:rPr>
        <w:t>)</w:t>
      </w:r>
    </w:p>
    <w:p w14:paraId="7F79F4C8" w14:textId="77777777" w:rsidR="00B7326C" w:rsidRDefault="00B7326C" w:rsidP="005B451B">
      <w:pPr>
        <w:spacing w:before="60" w:after="60"/>
        <w:rPr>
          <w:rFonts w:ascii="Arial" w:hAnsi="Arial" w:cs="Arial"/>
          <w:b/>
          <w:bCs/>
          <w:sz w:val="24"/>
          <w:szCs w:val="24"/>
        </w:rPr>
      </w:pPr>
    </w:p>
    <w:p w14:paraId="04B0AB19" w14:textId="77777777" w:rsidR="00B7326C" w:rsidRPr="00A26862" w:rsidRDefault="00B7326C" w:rsidP="005B451B">
      <w:pPr>
        <w:spacing w:before="60" w:after="60"/>
        <w:rPr>
          <w:rFonts w:ascii="Arial" w:hAnsi="Arial" w:cs="Arial"/>
          <w:b/>
          <w:bCs/>
          <w:sz w:val="24"/>
          <w:szCs w:val="24"/>
          <w:vertAlign w:val="superscript"/>
        </w:rPr>
      </w:pPr>
      <w:r>
        <w:rPr>
          <w:rFonts w:ascii="Arial" w:hAnsi="Arial" w:cs="Arial"/>
          <w:b/>
          <w:bCs/>
          <w:sz w:val="32"/>
          <w:szCs w:val="32"/>
        </w:rPr>
        <w:t>EXPLANATORY STATEMENT</w:t>
      </w:r>
    </w:p>
    <w:bookmarkEnd w:id="0"/>
    <w:p w14:paraId="08A09D1A" w14:textId="77777777" w:rsidR="005B451B" w:rsidRPr="00A26862" w:rsidRDefault="005B451B" w:rsidP="005B451B">
      <w:pPr>
        <w:pBdr>
          <w:top w:val="single" w:sz="12" w:space="1" w:color="auto"/>
        </w:pBdr>
        <w:spacing w:before="60" w:after="60"/>
        <w:ind w:left="720" w:hanging="720"/>
        <w:rPr>
          <w:sz w:val="24"/>
          <w:szCs w:val="24"/>
        </w:rPr>
      </w:pPr>
    </w:p>
    <w:p w14:paraId="14B798B5" w14:textId="77777777" w:rsidR="00421A65" w:rsidRPr="00A14AF1" w:rsidRDefault="00421A65" w:rsidP="00B7326C">
      <w:pPr>
        <w:spacing w:before="60" w:after="60"/>
        <w:rPr>
          <w:rFonts w:ascii="Arial" w:hAnsi="Arial" w:cs="Arial"/>
          <w:b/>
          <w:bCs/>
          <w:color w:val="000000"/>
          <w:sz w:val="24"/>
          <w:szCs w:val="24"/>
        </w:rPr>
      </w:pPr>
      <w:r w:rsidRPr="00A14AF1">
        <w:rPr>
          <w:rFonts w:ascii="Arial" w:hAnsi="Arial" w:cs="Arial"/>
          <w:b/>
          <w:bCs/>
          <w:color w:val="000000"/>
          <w:sz w:val="24"/>
          <w:szCs w:val="24"/>
        </w:rPr>
        <w:t>Background</w:t>
      </w:r>
    </w:p>
    <w:p w14:paraId="626A1C50" w14:textId="77777777" w:rsidR="005B451B" w:rsidRPr="00A14AF1" w:rsidRDefault="00B7326C" w:rsidP="00B7326C">
      <w:pPr>
        <w:spacing w:before="60" w:after="60"/>
        <w:rPr>
          <w:rFonts w:ascii="Arial" w:hAnsi="Arial" w:cs="Arial"/>
          <w:color w:val="000000"/>
          <w:sz w:val="24"/>
          <w:szCs w:val="24"/>
        </w:rPr>
      </w:pPr>
      <w:r w:rsidRPr="00A14AF1">
        <w:rPr>
          <w:rFonts w:ascii="Arial" w:hAnsi="Arial" w:cs="Arial"/>
          <w:color w:val="000000"/>
          <w:sz w:val="24"/>
          <w:szCs w:val="24"/>
        </w:rPr>
        <w:t xml:space="preserve">Section 84(1)(a) of the </w:t>
      </w:r>
      <w:r w:rsidRPr="00A14AF1">
        <w:rPr>
          <w:rFonts w:ascii="Arial" w:hAnsi="Arial" w:cs="Arial"/>
          <w:i/>
          <w:iCs/>
          <w:color w:val="000000"/>
          <w:sz w:val="24"/>
          <w:szCs w:val="24"/>
        </w:rPr>
        <w:t xml:space="preserve">Legal Profession Act 2006 </w:t>
      </w:r>
      <w:r w:rsidRPr="00A14AF1">
        <w:rPr>
          <w:rFonts w:ascii="Arial" w:hAnsi="Arial" w:cs="Arial"/>
          <w:color w:val="000000"/>
          <w:sz w:val="24"/>
          <w:szCs w:val="24"/>
        </w:rPr>
        <w:t>empowers the law society council to determine fees in relation to applications for the grant or renewal of solicitor practising certificates.</w:t>
      </w:r>
    </w:p>
    <w:p w14:paraId="1BCD0A9F" w14:textId="77777777" w:rsidR="00421A65" w:rsidRPr="00A14AF1" w:rsidRDefault="00421A65" w:rsidP="00B7326C">
      <w:pPr>
        <w:spacing w:before="60" w:after="60"/>
        <w:rPr>
          <w:rFonts w:ascii="Arial" w:hAnsi="Arial" w:cs="Arial"/>
          <w:color w:val="000000"/>
          <w:sz w:val="24"/>
          <w:szCs w:val="24"/>
        </w:rPr>
      </w:pPr>
    </w:p>
    <w:p w14:paraId="241D3C45" w14:textId="77777777" w:rsidR="00421A65" w:rsidRPr="00A14AF1" w:rsidRDefault="00421A65" w:rsidP="00B7326C">
      <w:pPr>
        <w:spacing w:before="60" w:after="60"/>
        <w:rPr>
          <w:rFonts w:ascii="Arial" w:hAnsi="Arial" w:cs="Arial"/>
          <w:color w:val="000000"/>
          <w:sz w:val="24"/>
          <w:szCs w:val="24"/>
        </w:rPr>
      </w:pPr>
      <w:r w:rsidRPr="00A14AF1">
        <w:rPr>
          <w:rFonts w:ascii="Arial" w:hAnsi="Arial" w:cs="Arial"/>
          <w:b/>
          <w:bCs/>
          <w:color w:val="000000"/>
          <w:sz w:val="24"/>
          <w:szCs w:val="24"/>
        </w:rPr>
        <w:t>Outline of Changes</w:t>
      </w:r>
    </w:p>
    <w:p w14:paraId="109DF9FD" w14:textId="77777777" w:rsidR="00644CEF" w:rsidRPr="00A14AF1" w:rsidRDefault="00B7326C" w:rsidP="00B7326C">
      <w:pPr>
        <w:spacing w:before="60" w:after="60"/>
        <w:rPr>
          <w:rFonts w:ascii="Arial" w:hAnsi="Arial" w:cs="Arial"/>
          <w:color w:val="000000"/>
          <w:sz w:val="24"/>
          <w:szCs w:val="24"/>
        </w:rPr>
      </w:pPr>
      <w:r w:rsidRPr="00A14AF1">
        <w:rPr>
          <w:rFonts w:ascii="Arial" w:hAnsi="Arial" w:cs="Arial"/>
          <w:color w:val="000000"/>
          <w:sz w:val="24"/>
          <w:szCs w:val="24"/>
        </w:rPr>
        <w:t xml:space="preserve">Clause 3 of this instrument determines fees for applications for the grant or renewal of a solicitor practising certificate. The </w:t>
      </w:r>
      <w:r w:rsidR="00644CEF" w:rsidRPr="00A14AF1">
        <w:rPr>
          <w:rFonts w:ascii="Arial" w:hAnsi="Arial" w:cs="Arial"/>
          <w:color w:val="000000"/>
          <w:sz w:val="24"/>
          <w:szCs w:val="24"/>
        </w:rPr>
        <w:t xml:space="preserve">fees payable are determined according to the </w:t>
      </w:r>
      <w:r w:rsidR="00287EF4">
        <w:rPr>
          <w:rFonts w:ascii="Arial" w:hAnsi="Arial" w:cs="Arial"/>
          <w:color w:val="000000"/>
          <w:sz w:val="24"/>
          <w:szCs w:val="24"/>
        </w:rPr>
        <w:t>role</w:t>
      </w:r>
      <w:r w:rsidR="00644CEF" w:rsidRPr="00A14AF1">
        <w:rPr>
          <w:rFonts w:ascii="Arial" w:hAnsi="Arial" w:cs="Arial"/>
          <w:color w:val="000000"/>
          <w:sz w:val="24"/>
          <w:szCs w:val="24"/>
        </w:rPr>
        <w:t xml:space="preserve"> of the applicant</w:t>
      </w:r>
      <w:r w:rsidR="00287EF4">
        <w:rPr>
          <w:rFonts w:ascii="Arial" w:hAnsi="Arial" w:cs="Arial"/>
          <w:color w:val="000000"/>
          <w:sz w:val="24"/>
          <w:szCs w:val="24"/>
        </w:rPr>
        <w:t xml:space="preserve"> and type of certificate</w:t>
      </w:r>
      <w:r w:rsidR="00644CEF" w:rsidRPr="00A14AF1">
        <w:rPr>
          <w:rFonts w:ascii="Arial" w:hAnsi="Arial" w:cs="Arial"/>
          <w:color w:val="000000"/>
          <w:sz w:val="24"/>
          <w:szCs w:val="24"/>
        </w:rPr>
        <w:t>.</w:t>
      </w:r>
    </w:p>
    <w:p w14:paraId="178C0700" w14:textId="77777777" w:rsidR="00644CEF" w:rsidRPr="00A14AF1" w:rsidRDefault="00644CEF" w:rsidP="00B7326C">
      <w:pPr>
        <w:spacing w:before="60" w:after="60"/>
        <w:rPr>
          <w:rFonts w:ascii="Arial" w:hAnsi="Arial" w:cs="Arial"/>
          <w:color w:val="000000"/>
          <w:sz w:val="24"/>
          <w:szCs w:val="24"/>
        </w:rPr>
      </w:pPr>
    </w:p>
    <w:p w14:paraId="71F5454B" w14:textId="199C4775" w:rsidR="00644CEF" w:rsidRDefault="00A14AF1" w:rsidP="00B7326C">
      <w:pPr>
        <w:spacing w:before="60" w:after="60"/>
        <w:rPr>
          <w:rFonts w:ascii="Arial" w:hAnsi="Arial" w:cs="Arial"/>
          <w:color w:val="000000"/>
          <w:sz w:val="24"/>
          <w:szCs w:val="24"/>
        </w:rPr>
      </w:pPr>
      <w:r w:rsidRPr="00A14AF1">
        <w:rPr>
          <w:rFonts w:ascii="Arial" w:hAnsi="Arial" w:cs="Arial"/>
          <w:color w:val="000000"/>
          <w:sz w:val="24"/>
          <w:szCs w:val="24"/>
        </w:rPr>
        <w:t xml:space="preserve">Practising certificate fees have been adjusted to keep pace with </w:t>
      </w:r>
      <w:r w:rsidR="00287EF4">
        <w:rPr>
          <w:rFonts w:ascii="Arial" w:hAnsi="Arial" w:cs="Arial"/>
          <w:color w:val="000000"/>
          <w:sz w:val="24"/>
          <w:szCs w:val="24"/>
        </w:rPr>
        <w:t>inflation and adjusting for past COVID-era fee reductions.</w:t>
      </w:r>
      <w:r w:rsidRPr="00A14AF1">
        <w:rPr>
          <w:rFonts w:ascii="Arial" w:hAnsi="Arial" w:cs="Arial"/>
          <w:color w:val="000000"/>
          <w:sz w:val="24"/>
          <w:szCs w:val="24"/>
        </w:rPr>
        <w:t xml:space="preserve"> </w:t>
      </w:r>
      <w:r w:rsidR="00C52FBE" w:rsidRPr="00C52FBE">
        <w:rPr>
          <w:rFonts w:ascii="Arial" w:hAnsi="Arial" w:cs="Arial"/>
          <w:color w:val="000000"/>
          <w:sz w:val="24"/>
          <w:szCs w:val="24"/>
        </w:rPr>
        <w:t>The total increase in fees relative to DI2016</w:t>
      </w:r>
      <w:r w:rsidR="00C52FBE" w:rsidRPr="00C52FBE">
        <w:rPr>
          <w:rFonts w:ascii="Cambria Math" w:hAnsi="Cambria Math" w:cs="Cambria Math"/>
          <w:color w:val="000000"/>
          <w:sz w:val="24"/>
          <w:szCs w:val="24"/>
        </w:rPr>
        <w:t>‑</w:t>
      </w:r>
      <w:r w:rsidR="00C52FBE" w:rsidRPr="00C52FBE">
        <w:rPr>
          <w:rFonts w:ascii="Arial" w:hAnsi="Arial" w:cs="Arial"/>
          <w:color w:val="000000"/>
          <w:sz w:val="24"/>
          <w:szCs w:val="24"/>
        </w:rPr>
        <w:t>36 averages 2</w:t>
      </w:r>
      <w:r w:rsidR="00100050">
        <w:rPr>
          <w:rFonts w:ascii="Arial" w:hAnsi="Arial" w:cs="Arial"/>
          <w:color w:val="000000"/>
          <w:sz w:val="24"/>
          <w:szCs w:val="24"/>
        </w:rPr>
        <w:t>0</w:t>
      </w:r>
      <w:r w:rsidR="00C52FBE" w:rsidRPr="00C52FBE">
        <w:rPr>
          <w:rFonts w:ascii="Arial" w:hAnsi="Arial" w:cs="Arial"/>
          <w:color w:val="000000"/>
          <w:sz w:val="24"/>
          <w:szCs w:val="24"/>
        </w:rPr>
        <w:t>.</w:t>
      </w:r>
      <w:r w:rsidR="00100050">
        <w:rPr>
          <w:rFonts w:ascii="Arial" w:hAnsi="Arial" w:cs="Arial"/>
          <w:color w:val="000000"/>
          <w:sz w:val="24"/>
          <w:szCs w:val="24"/>
        </w:rPr>
        <w:t>5</w:t>
      </w:r>
      <w:r w:rsidR="00DF7AB1">
        <w:rPr>
          <w:rFonts w:ascii="Arial" w:hAnsi="Arial" w:cs="Arial"/>
          <w:color w:val="000000"/>
          <w:sz w:val="24"/>
          <w:szCs w:val="24"/>
        </w:rPr>
        <w:t>1</w:t>
      </w:r>
      <w:r w:rsidR="00C52FBE" w:rsidRPr="00C52FBE">
        <w:rPr>
          <w:rFonts w:ascii="Arial" w:hAnsi="Arial" w:cs="Arial"/>
          <w:color w:val="000000"/>
          <w:sz w:val="24"/>
          <w:szCs w:val="24"/>
        </w:rPr>
        <w:t>% across all certificate types over a ten</w:t>
      </w:r>
      <w:r w:rsidR="00C52FBE" w:rsidRPr="00C52FBE">
        <w:rPr>
          <w:rFonts w:ascii="Cambria Math" w:hAnsi="Cambria Math" w:cs="Cambria Math"/>
          <w:color w:val="000000"/>
          <w:sz w:val="24"/>
          <w:szCs w:val="24"/>
        </w:rPr>
        <w:t>‑</w:t>
      </w:r>
      <w:r w:rsidR="00C52FBE" w:rsidRPr="00C52FBE">
        <w:rPr>
          <w:rFonts w:ascii="Arial" w:hAnsi="Arial" w:cs="Arial"/>
          <w:color w:val="000000"/>
          <w:sz w:val="24"/>
          <w:szCs w:val="24"/>
        </w:rPr>
        <w:t>year period, equivalent to an average annual increase of approximately 2.</w:t>
      </w:r>
      <w:r w:rsidR="00100050">
        <w:rPr>
          <w:rFonts w:ascii="Arial" w:hAnsi="Arial" w:cs="Arial"/>
          <w:color w:val="000000"/>
          <w:sz w:val="24"/>
          <w:szCs w:val="24"/>
        </w:rPr>
        <w:t>05</w:t>
      </w:r>
      <w:r w:rsidR="00C52FBE" w:rsidRPr="00C52FBE">
        <w:rPr>
          <w:rFonts w:ascii="Arial" w:hAnsi="Arial" w:cs="Arial"/>
          <w:color w:val="000000"/>
          <w:sz w:val="24"/>
          <w:szCs w:val="24"/>
        </w:rPr>
        <w:t>%. This is lower than the average annual CPI</w:t>
      </w:r>
      <w:r w:rsidR="00DF7AB1">
        <w:rPr>
          <w:rFonts w:ascii="Arial" w:hAnsi="Arial" w:cs="Arial"/>
          <w:color w:val="000000"/>
          <w:sz w:val="24"/>
          <w:szCs w:val="24"/>
        </w:rPr>
        <w:t xml:space="preserve"> of 3.35%</w:t>
      </w:r>
      <w:r w:rsidR="00C52FBE" w:rsidRPr="00C52FBE">
        <w:rPr>
          <w:rFonts w:ascii="Arial" w:hAnsi="Arial" w:cs="Arial"/>
          <w:color w:val="000000"/>
          <w:sz w:val="24"/>
          <w:szCs w:val="24"/>
        </w:rPr>
        <w:t xml:space="preserve"> over the</w:t>
      </w:r>
      <w:r w:rsidR="00AF4D8C">
        <w:rPr>
          <w:rFonts w:ascii="Arial" w:hAnsi="Arial" w:cs="Arial"/>
          <w:color w:val="000000"/>
          <w:sz w:val="24"/>
          <w:szCs w:val="24"/>
        </w:rPr>
        <w:t xml:space="preserve"> ten-year</w:t>
      </w:r>
      <w:r w:rsidR="00C52FBE" w:rsidRPr="00C52FBE">
        <w:rPr>
          <w:rFonts w:ascii="Arial" w:hAnsi="Arial" w:cs="Arial"/>
          <w:color w:val="000000"/>
          <w:sz w:val="24"/>
          <w:szCs w:val="24"/>
        </w:rPr>
        <w:t xml:space="preserve"> perio</w:t>
      </w:r>
      <w:r w:rsidR="00AF4D8C">
        <w:rPr>
          <w:rFonts w:ascii="Arial" w:hAnsi="Arial" w:cs="Arial"/>
          <w:color w:val="000000"/>
          <w:sz w:val="24"/>
          <w:szCs w:val="24"/>
        </w:rPr>
        <w:t>d</w:t>
      </w:r>
      <w:r w:rsidR="00C52FBE">
        <w:rPr>
          <w:rFonts w:ascii="Arial" w:hAnsi="Arial" w:cs="Arial"/>
          <w:color w:val="000000"/>
          <w:sz w:val="24"/>
          <w:szCs w:val="24"/>
        </w:rPr>
        <w:t>, indicating that fee growth has been broadly restrained in real terms.</w:t>
      </w:r>
      <w:r w:rsidR="003D2896">
        <w:rPr>
          <w:rFonts w:ascii="Arial" w:hAnsi="Arial" w:cs="Arial"/>
          <w:color w:val="000000"/>
          <w:sz w:val="24"/>
          <w:szCs w:val="24"/>
        </w:rPr>
        <w:t xml:space="preserve"> A breakdown of the </w:t>
      </w:r>
      <w:r w:rsidR="00B2205B">
        <w:rPr>
          <w:rFonts w:ascii="Arial" w:hAnsi="Arial" w:cs="Arial"/>
          <w:color w:val="000000"/>
          <w:sz w:val="24"/>
          <w:szCs w:val="24"/>
        </w:rPr>
        <w:t xml:space="preserve">increases is set out in the </w:t>
      </w:r>
      <w:r w:rsidR="0075694E">
        <w:rPr>
          <w:rFonts w:ascii="Arial" w:hAnsi="Arial" w:cs="Arial"/>
          <w:color w:val="000000"/>
          <w:sz w:val="24"/>
          <w:szCs w:val="24"/>
        </w:rPr>
        <w:t>s</w:t>
      </w:r>
      <w:r w:rsidR="00B2205B">
        <w:rPr>
          <w:rFonts w:ascii="Arial" w:hAnsi="Arial" w:cs="Arial"/>
          <w:color w:val="000000"/>
          <w:sz w:val="24"/>
          <w:szCs w:val="24"/>
        </w:rPr>
        <w:t>chedule to this explanatory statement.</w:t>
      </w:r>
    </w:p>
    <w:p w14:paraId="46AF4026" w14:textId="77777777" w:rsidR="00CD6D9D" w:rsidRDefault="00CD6D9D" w:rsidP="00B7326C">
      <w:pPr>
        <w:spacing w:before="60" w:after="60"/>
        <w:rPr>
          <w:rFonts w:ascii="Arial" w:hAnsi="Arial" w:cs="Arial"/>
          <w:color w:val="000000"/>
          <w:sz w:val="24"/>
          <w:szCs w:val="24"/>
        </w:rPr>
      </w:pPr>
    </w:p>
    <w:p w14:paraId="109050CB" w14:textId="43E23015" w:rsidR="00B7326C" w:rsidRPr="00A14AF1" w:rsidRDefault="00644CEF" w:rsidP="00B7326C">
      <w:pPr>
        <w:spacing w:before="60" w:after="60"/>
        <w:rPr>
          <w:rFonts w:ascii="Arial" w:hAnsi="Arial" w:cs="Arial"/>
          <w:sz w:val="24"/>
          <w:szCs w:val="24"/>
        </w:rPr>
      </w:pPr>
      <w:r w:rsidRPr="00A14AF1">
        <w:rPr>
          <w:rFonts w:ascii="Arial" w:hAnsi="Arial" w:cs="Arial"/>
          <w:color w:val="000000"/>
          <w:sz w:val="24"/>
          <w:szCs w:val="24"/>
        </w:rPr>
        <w:t xml:space="preserve">Clause 4 of the instrument states that fees are payable by the applicant to the ACT Law Society. </w:t>
      </w:r>
    </w:p>
    <w:p w14:paraId="0B78264F" w14:textId="77777777" w:rsidR="005B451B" w:rsidRPr="00A14AF1" w:rsidRDefault="005B451B" w:rsidP="005B451B">
      <w:pPr>
        <w:spacing w:before="60" w:after="60"/>
        <w:rPr>
          <w:rFonts w:ascii="Arial" w:hAnsi="Arial" w:cs="Arial"/>
          <w:sz w:val="24"/>
          <w:szCs w:val="24"/>
        </w:rPr>
      </w:pPr>
    </w:p>
    <w:p w14:paraId="1B625EC5" w14:textId="77777777" w:rsidR="0077466A" w:rsidRDefault="002E67DF" w:rsidP="0077466A">
      <w:pPr>
        <w:tabs>
          <w:tab w:val="left" w:pos="1320"/>
        </w:tabs>
        <w:rPr>
          <w:rFonts w:ascii="Arial" w:hAnsi="Arial" w:cs="Arial"/>
          <w:sz w:val="24"/>
          <w:szCs w:val="24"/>
        </w:rPr>
      </w:pPr>
      <w:r w:rsidRPr="00A14AF1">
        <w:rPr>
          <w:rFonts w:ascii="Arial" w:hAnsi="Arial" w:cs="Arial"/>
          <w:sz w:val="24"/>
          <w:szCs w:val="24"/>
        </w:rPr>
        <w:t>Clause 5 of the instrument notes that practising certificate fees are exempt from GST.</w:t>
      </w:r>
    </w:p>
    <w:p w14:paraId="0F39425F" w14:textId="77777777" w:rsidR="00EC34D0" w:rsidRDefault="00EC34D0" w:rsidP="0077466A">
      <w:pPr>
        <w:tabs>
          <w:tab w:val="left" w:pos="1320"/>
        </w:tabs>
        <w:rPr>
          <w:rFonts w:ascii="Arial" w:hAnsi="Arial" w:cs="Arial"/>
          <w:sz w:val="24"/>
          <w:szCs w:val="24"/>
        </w:rPr>
      </w:pPr>
    </w:p>
    <w:p w14:paraId="6E9C989E" w14:textId="1FF23C64" w:rsidR="00EC34D0" w:rsidRPr="00A14AF1" w:rsidRDefault="00EC34D0" w:rsidP="0077466A">
      <w:pPr>
        <w:tabs>
          <w:tab w:val="left" w:pos="1320"/>
        </w:tabs>
        <w:rPr>
          <w:rFonts w:ascii="Arial" w:hAnsi="Arial" w:cs="Arial"/>
          <w:sz w:val="24"/>
          <w:szCs w:val="24"/>
        </w:rPr>
      </w:pPr>
      <w:r>
        <w:rPr>
          <w:rFonts w:ascii="Arial" w:hAnsi="Arial" w:cs="Arial"/>
          <w:sz w:val="24"/>
          <w:szCs w:val="24"/>
        </w:rPr>
        <w:t xml:space="preserve">Clause 6 of the instrument </w:t>
      </w:r>
      <w:r w:rsidR="000C74E8">
        <w:rPr>
          <w:rFonts w:ascii="Arial" w:hAnsi="Arial" w:cs="Arial"/>
          <w:sz w:val="24"/>
          <w:szCs w:val="24"/>
        </w:rPr>
        <w:t>revokes</w:t>
      </w:r>
      <w:r>
        <w:rPr>
          <w:rFonts w:ascii="Arial" w:hAnsi="Arial" w:cs="Arial"/>
          <w:sz w:val="24"/>
          <w:szCs w:val="24"/>
        </w:rPr>
        <w:t xml:space="preserve"> DI 2016-</w:t>
      </w:r>
      <w:r w:rsidR="00825AF3">
        <w:rPr>
          <w:rFonts w:ascii="Arial" w:hAnsi="Arial" w:cs="Arial"/>
          <w:sz w:val="24"/>
          <w:szCs w:val="24"/>
        </w:rPr>
        <w:t>3</w:t>
      </w:r>
      <w:r>
        <w:rPr>
          <w:rFonts w:ascii="Arial" w:hAnsi="Arial" w:cs="Arial"/>
          <w:sz w:val="24"/>
          <w:szCs w:val="24"/>
        </w:rPr>
        <w:t>6</w:t>
      </w:r>
      <w:r w:rsidR="000C74E8">
        <w:rPr>
          <w:rFonts w:ascii="Arial" w:hAnsi="Arial" w:cs="Arial"/>
          <w:sz w:val="24"/>
          <w:szCs w:val="24"/>
        </w:rPr>
        <w:t>.</w:t>
      </w:r>
    </w:p>
    <w:p w14:paraId="27DA7CA4" w14:textId="77777777" w:rsidR="00421A65" w:rsidRPr="00A14AF1" w:rsidRDefault="00421A65" w:rsidP="0077466A">
      <w:pPr>
        <w:tabs>
          <w:tab w:val="left" w:pos="1320"/>
        </w:tabs>
        <w:rPr>
          <w:rFonts w:ascii="Arial" w:hAnsi="Arial" w:cs="Arial"/>
          <w:sz w:val="24"/>
          <w:szCs w:val="24"/>
        </w:rPr>
      </w:pPr>
    </w:p>
    <w:p w14:paraId="03EC6797" w14:textId="77777777" w:rsidR="00421A65" w:rsidRPr="00A14AF1" w:rsidRDefault="00421A65" w:rsidP="0077466A">
      <w:pPr>
        <w:tabs>
          <w:tab w:val="left" w:pos="1320"/>
        </w:tabs>
        <w:rPr>
          <w:rFonts w:ascii="Arial" w:hAnsi="Arial" w:cs="Arial"/>
          <w:sz w:val="24"/>
          <w:szCs w:val="24"/>
        </w:rPr>
      </w:pPr>
      <w:r w:rsidRPr="00A14AF1">
        <w:rPr>
          <w:rFonts w:ascii="Arial" w:hAnsi="Arial" w:cs="Arial"/>
          <w:b/>
          <w:bCs/>
          <w:sz w:val="24"/>
          <w:szCs w:val="24"/>
        </w:rPr>
        <w:t>Consistency with Human Rights</w:t>
      </w:r>
    </w:p>
    <w:p w14:paraId="1F4EAE53" w14:textId="77777777" w:rsidR="00421A65" w:rsidRPr="00A14AF1" w:rsidRDefault="00421A65" w:rsidP="00421A65">
      <w:pPr>
        <w:rPr>
          <w:rFonts w:ascii="Arial" w:hAnsi="Arial" w:cs="Arial"/>
          <w:sz w:val="24"/>
          <w:szCs w:val="24"/>
        </w:rPr>
      </w:pPr>
      <w:r w:rsidRPr="00A14AF1">
        <w:rPr>
          <w:rFonts w:ascii="Arial" w:hAnsi="Arial" w:cs="Arial"/>
          <w:sz w:val="24"/>
          <w:szCs w:val="24"/>
        </w:rPr>
        <w:t xml:space="preserve">An assessment of the Determination under s28 of the </w:t>
      </w:r>
      <w:r w:rsidRPr="00A14AF1">
        <w:rPr>
          <w:rFonts w:ascii="Arial" w:hAnsi="Arial" w:cs="Arial"/>
          <w:i/>
          <w:iCs/>
          <w:sz w:val="24"/>
          <w:szCs w:val="24"/>
        </w:rPr>
        <w:t>Human Rights Act 2004</w:t>
      </w:r>
      <w:r w:rsidRPr="00A14AF1">
        <w:rPr>
          <w:rFonts w:ascii="Arial" w:hAnsi="Arial" w:cs="Arial"/>
          <w:sz w:val="24"/>
          <w:szCs w:val="24"/>
        </w:rPr>
        <w:t xml:space="preserve"> (ACT) is provided below. s28 provides that human rights are subject only to reasonable limits set by laws that can be demonstrably justified in a free and democratic society.</w:t>
      </w:r>
    </w:p>
    <w:p w14:paraId="28826EE9" w14:textId="77777777" w:rsidR="0058191E" w:rsidRPr="00A14AF1" w:rsidRDefault="0058191E" w:rsidP="00421A65">
      <w:pPr>
        <w:tabs>
          <w:tab w:val="left" w:pos="360"/>
          <w:tab w:val="left" w:pos="5160"/>
        </w:tabs>
        <w:spacing w:before="60" w:after="60"/>
        <w:ind w:left="720" w:hanging="720"/>
        <w:rPr>
          <w:rFonts w:ascii="Arial" w:hAnsi="Arial" w:cs="Arial"/>
          <w:b/>
          <w:bCs/>
          <w:sz w:val="24"/>
          <w:szCs w:val="24"/>
        </w:rPr>
      </w:pPr>
    </w:p>
    <w:p w14:paraId="2EE5A26F" w14:textId="77777777" w:rsidR="00421A65" w:rsidRPr="00A14AF1" w:rsidRDefault="00421A65" w:rsidP="00364448">
      <w:pPr>
        <w:keepNext/>
        <w:tabs>
          <w:tab w:val="left" w:pos="360"/>
          <w:tab w:val="left" w:pos="5160"/>
        </w:tabs>
        <w:spacing w:before="60" w:after="60"/>
        <w:ind w:left="720" w:hanging="720"/>
        <w:rPr>
          <w:rFonts w:ascii="Arial" w:hAnsi="Arial" w:cs="Arial"/>
          <w:b/>
          <w:bCs/>
          <w:sz w:val="24"/>
          <w:szCs w:val="24"/>
        </w:rPr>
      </w:pPr>
      <w:bookmarkStart w:id="1" w:name="_Hlk213242590"/>
      <w:r w:rsidRPr="00A14AF1">
        <w:rPr>
          <w:rFonts w:ascii="Arial" w:hAnsi="Arial" w:cs="Arial"/>
          <w:b/>
          <w:bCs/>
          <w:color w:val="000000"/>
          <w:sz w:val="24"/>
          <w:szCs w:val="24"/>
          <w:shd w:val="clear" w:color="auto" w:fill="FFFFFF"/>
        </w:rPr>
        <w:lastRenderedPageBreak/>
        <w:t>Rights Engaged</w:t>
      </w:r>
      <w:bookmarkEnd w:id="1"/>
    </w:p>
    <w:p w14:paraId="3A95423C" w14:textId="77777777" w:rsidR="0058191E" w:rsidRPr="00A14AF1" w:rsidRDefault="0058191E" w:rsidP="00364448">
      <w:pPr>
        <w:keepNext/>
        <w:tabs>
          <w:tab w:val="left" w:pos="360"/>
          <w:tab w:val="left" w:pos="5160"/>
        </w:tabs>
        <w:spacing w:before="60" w:after="60"/>
        <w:ind w:left="720" w:hanging="720"/>
        <w:jc w:val="center"/>
        <w:rPr>
          <w:rFonts w:ascii="Arial" w:hAnsi="Arial" w:cs="Arial"/>
          <w:b/>
          <w:bCs/>
          <w:sz w:val="24"/>
          <w:szCs w:val="24"/>
        </w:rPr>
      </w:pPr>
    </w:p>
    <w:p w14:paraId="0B1ABD55" w14:textId="77777777" w:rsidR="0058191E" w:rsidRPr="00A14AF1" w:rsidRDefault="00421A65" w:rsidP="00364448">
      <w:pPr>
        <w:keepNext/>
        <w:tabs>
          <w:tab w:val="left" w:pos="360"/>
          <w:tab w:val="left" w:pos="5160"/>
        </w:tabs>
        <w:spacing w:before="60" w:after="60"/>
        <w:ind w:left="720" w:hanging="720"/>
        <w:rPr>
          <w:rFonts w:ascii="Arial" w:hAnsi="Arial" w:cs="Arial"/>
          <w:b/>
          <w:bCs/>
          <w:sz w:val="24"/>
          <w:szCs w:val="24"/>
          <w:u w:val="single"/>
        </w:rPr>
      </w:pPr>
      <w:r w:rsidRPr="00A14AF1">
        <w:rPr>
          <w:rFonts w:ascii="Arial" w:hAnsi="Arial" w:cs="Arial"/>
          <w:b/>
          <w:bCs/>
          <w:sz w:val="24"/>
          <w:szCs w:val="24"/>
          <w:u w:val="single"/>
        </w:rPr>
        <w:t>Right to Work and Other Work-Related Rights</w:t>
      </w:r>
    </w:p>
    <w:p w14:paraId="1BDE2EF0" w14:textId="77777777" w:rsidR="00421A65" w:rsidRPr="00A14AF1" w:rsidRDefault="00133EC2" w:rsidP="00133EC2">
      <w:pPr>
        <w:tabs>
          <w:tab w:val="left" w:pos="360"/>
          <w:tab w:val="left" w:pos="5160"/>
        </w:tabs>
        <w:spacing w:before="60" w:after="60"/>
        <w:rPr>
          <w:rFonts w:ascii="Arial" w:hAnsi="Arial" w:cs="Arial"/>
          <w:sz w:val="24"/>
          <w:szCs w:val="24"/>
        </w:rPr>
      </w:pPr>
      <w:r w:rsidRPr="00A14AF1">
        <w:rPr>
          <w:rFonts w:ascii="Arial" w:hAnsi="Arial" w:cs="Arial"/>
          <w:sz w:val="24"/>
          <w:szCs w:val="24"/>
        </w:rPr>
        <w:t>The right to work includes access to one’s profession on fair and reasonable terms, and incremental adjustments to practising certificate fees help ensure this. Aligning fees with inflation supports practitioners’ work</w:t>
      </w:r>
      <w:r w:rsidRPr="00A14AF1">
        <w:rPr>
          <w:rFonts w:ascii="Cambria Math" w:hAnsi="Cambria Math" w:cs="Cambria Math"/>
          <w:sz w:val="24"/>
          <w:szCs w:val="24"/>
        </w:rPr>
        <w:t>‑</w:t>
      </w:r>
      <w:r w:rsidRPr="00A14AF1">
        <w:rPr>
          <w:rFonts w:ascii="Arial" w:hAnsi="Arial" w:cs="Arial"/>
          <w:sz w:val="24"/>
          <w:szCs w:val="24"/>
        </w:rPr>
        <w:t>related rights by maintaining a predictable, sustainable regulatory system without imposing disproportionate financial barriers to practice.</w:t>
      </w:r>
    </w:p>
    <w:p w14:paraId="35BB647C" w14:textId="77777777" w:rsidR="0058191E" w:rsidRPr="00A14AF1" w:rsidRDefault="0058191E" w:rsidP="008D1B16">
      <w:pPr>
        <w:tabs>
          <w:tab w:val="left" w:pos="360"/>
          <w:tab w:val="left" w:pos="5160"/>
        </w:tabs>
        <w:spacing w:before="60" w:after="60"/>
        <w:rPr>
          <w:rFonts w:ascii="Arial" w:hAnsi="Arial" w:cs="Arial"/>
          <w:b/>
          <w:bCs/>
          <w:sz w:val="24"/>
          <w:szCs w:val="24"/>
        </w:rPr>
      </w:pPr>
    </w:p>
    <w:p w14:paraId="710AC4D5" w14:textId="77777777" w:rsidR="0058191E" w:rsidRPr="00A14AF1" w:rsidRDefault="0058191E" w:rsidP="0058191E">
      <w:pPr>
        <w:tabs>
          <w:tab w:val="left" w:pos="360"/>
          <w:tab w:val="left" w:pos="5160"/>
        </w:tabs>
        <w:spacing w:before="60" w:after="60"/>
        <w:ind w:left="720" w:hanging="720"/>
        <w:jc w:val="center"/>
        <w:rPr>
          <w:rFonts w:ascii="Arial" w:hAnsi="Arial" w:cs="Arial"/>
          <w:b/>
          <w:bCs/>
          <w:sz w:val="24"/>
          <w:szCs w:val="24"/>
        </w:rPr>
      </w:pPr>
    </w:p>
    <w:p w14:paraId="452E0CC6" w14:textId="562E6309" w:rsidR="0058191E" w:rsidRPr="00A14AF1" w:rsidRDefault="0058191E" w:rsidP="0058191E">
      <w:pPr>
        <w:tabs>
          <w:tab w:val="left" w:pos="360"/>
          <w:tab w:val="left" w:pos="5160"/>
        </w:tabs>
        <w:spacing w:before="60" w:after="60"/>
        <w:ind w:left="720" w:hanging="720"/>
        <w:jc w:val="center"/>
        <w:rPr>
          <w:rFonts w:ascii="Arial" w:hAnsi="Arial" w:cs="Arial"/>
          <w:b/>
          <w:bCs/>
          <w:sz w:val="24"/>
          <w:szCs w:val="24"/>
        </w:rPr>
      </w:pPr>
      <w:r w:rsidRPr="00A14AF1">
        <w:rPr>
          <w:rFonts w:ascii="Arial" w:hAnsi="Arial" w:cs="Arial"/>
          <w:b/>
          <w:bCs/>
          <w:sz w:val="24"/>
          <w:szCs w:val="24"/>
        </w:rPr>
        <w:t>SCHEDULE OF PRACTISING CERTIFICATE FEES EFFECTIVE 1 JULY 2026</w:t>
      </w:r>
      <w:r w:rsidR="00CF0131">
        <w:rPr>
          <w:rFonts w:ascii="Arial" w:hAnsi="Arial" w:cs="Arial"/>
          <w:b/>
          <w:bCs/>
          <w:sz w:val="24"/>
          <w:szCs w:val="24"/>
        </w:rPr>
        <w:t xml:space="preserve"> RELATIVE TO DI</w:t>
      </w:r>
      <w:r w:rsidR="000B3776">
        <w:rPr>
          <w:rFonts w:ascii="Arial" w:hAnsi="Arial" w:cs="Arial"/>
          <w:b/>
          <w:bCs/>
          <w:sz w:val="24"/>
          <w:szCs w:val="24"/>
        </w:rPr>
        <w:t xml:space="preserve"> </w:t>
      </w:r>
      <w:r w:rsidR="00CF0131">
        <w:rPr>
          <w:rFonts w:ascii="Arial" w:hAnsi="Arial" w:cs="Arial"/>
          <w:b/>
          <w:bCs/>
          <w:sz w:val="24"/>
          <w:szCs w:val="24"/>
        </w:rPr>
        <w:t>2016-36</w:t>
      </w:r>
    </w:p>
    <w:p w14:paraId="12ACE944" w14:textId="77777777" w:rsidR="0058191E" w:rsidRPr="00A14AF1" w:rsidRDefault="0058191E" w:rsidP="0058191E">
      <w:pPr>
        <w:tabs>
          <w:tab w:val="left" w:pos="360"/>
          <w:tab w:val="left" w:pos="5160"/>
        </w:tabs>
        <w:spacing w:before="60" w:after="60"/>
        <w:ind w:left="720" w:hanging="720"/>
        <w:rPr>
          <w:rFonts w:ascii="Arial" w:hAnsi="Arial" w:cs="Arial"/>
          <w:b/>
          <w:bCs/>
          <w:sz w:val="24"/>
          <w:szCs w:val="24"/>
        </w:rPr>
      </w:pPr>
    </w:p>
    <w:p w14:paraId="3FD43FA5" w14:textId="0ABE4137" w:rsidR="0058191E" w:rsidRPr="00907DB8" w:rsidRDefault="0058191E" w:rsidP="00907DB8">
      <w:pPr>
        <w:tabs>
          <w:tab w:val="left" w:pos="0"/>
          <w:tab w:val="left" w:pos="5160"/>
        </w:tabs>
        <w:spacing w:before="60" w:after="60"/>
        <w:ind w:left="426" w:hanging="568"/>
        <w:rPr>
          <w:rFonts w:ascii="Arial" w:hAnsi="Arial" w:cs="Arial"/>
          <w:b/>
          <w:bCs/>
          <w:sz w:val="24"/>
          <w:szCs w:val="24"/>
        </w:rPr>
      </w:pPr>
      <w:r w:rsidRPr="00A14AF1">
        <w:rPr>
          <w:rFonts w:ascii="Arial" w:hAnsi="Arial" w:cs="Arial"/>
          <w:b/>
          <w:bCs/>
        </w:rPr>
        <w:t>(Note: practising certificate fees are exempt from GST</w:t>
      </w:r>
      <w:r w:rsidRPr="00A14AF1">
        <w:rPr>
          <w:rFonts w:ascii="Arial" w:hAnsi="Arial" w:cs="Arial"/>
          <w:b/>
          <w:bCs/>
          <w:sz w:val="24"/>
          <w:szCs w:val="24"/>
        </w:rPr>
        <w:t>)</w:t>
      </w:r>
    </w:p>
    <w:p w14:paraId="088DE889" w14:textId="77777777" w:rsidR="00CF0131" w:rsidRPr="00A14AF1" w:rsidRDefault="00CF0131" w:rsidP="00CF0131">
      <w:pPr>
        <w:spacing w:before="60" w:after="60"/>
        <w:rPr>
          <w:rFonts w:ascii="Arial" w:hAnsi="Arial" w:cs="Arial"/>
          <w:color w:val="000000"/>
          <w:sz w:val="24"/>
          <w:szCs w:val="24"/>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830"/>
        <w:gridCol w:w="1830"/>
        <w:gridCol w:w="1522"/>
        <w:gridCol w:w="1430"/>
      </w:tblGrid>
      <w:tr w:rsidR="00C51C08" w14:paraId="7DCE0293" w14:textId="2E93EE76" w:rsidTr="00C51C08">
        <w:trPr>
          <w:trHeight w:val="431"/>
        </w:trPr>
        <w:tc>
          <w:tcPr>
            <w:tcW w:w="3261" w:type="dxa"/>
            <w:shd w:val="clear" w:color="auto" w:fill="D9D9D9"/>
          </w:tcPr>
          <w:p w14:paraId="471E7ED3"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Role/Type</w:t>
            </w:r>
          </w:p>
        </w:tc>
        <w:tc>
          <w:tcPr>
            <w:tcW w:w="1418" w:type="dxa"/>
            <w:shd w:val="clear" w:color="auto" w:fill="D9D9D9"/>
          </w:tcPr>
          <w:p w14:paraId="77F44130" w14:textId="70C471D4" w:rsidR="00C51C08" w:rsidRDefault="00BD1B06"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Legal Profession (Solicitors Practising Fees) Determination 2016</w:t>
            </w:r>
          </w:p>
        </w:tc>
        <w:tc>
          <w:tcPr>
            <w:tcW w:w="1417" w:type="dxa"/>
            <w:shd w:val="clear" w:color="auto" w:fill="D9D9D9"/>
          </w:tcPr>
          <w:p w14:paraId="7075B4C9" w14:textId="3AEE32DF" w:rsidR="00C51C08" w:rsidRDefault="00BD1B06"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Legal Profession (Solicitors Practising Fees) Determination 2026</w:t>
            </w:r>
          </w:p>
          <w:p w14:paraId="6EA58804" w14:textId="30AE7D40" w:rsidR="00C51C08" w:rsidRPr="00CF0131" w:rsidRDefault="00C51C08" w:rsidP="008A23E3">
            <w:pPr>
              <w:tabs>
                <w:tab w:val="left" w:pos="360"/>
                <w:tab w:val="left" w:pos="5160"/>
              </w:tabs>
              <w:spacing w:before="60" w:after="60"/>
              <w:rPr>
                <w:rFonts w:ascii="Arial" w:hAnsi="Arial" w:cs="Arial"/>
                <w:b/>
                <w:bCs/>
                <w:i/>
                <w:iCs/>
                <w:sz w:val="18"/>
                <w:szCs w:val="18"/>
              </w:rPr>
            </w:pPr>
            <w:r>
              <w:rPr>
                <w:rFonts w:ascii="Arial" w:hAnsi="Arial" w:cs="Arial"/>
                <w:b/>
                <w:bCs/>
                <w:i/>
                <w:iCs/>
                <w:sz w:val="18"/>
                <w:szCs w:val="18"/>
              </w:rPr>
              <w:t>*</w:t>
            </w:r>
            <w:r w:rsidRPr="00CF0131">
              <w:rPr>
                <w:rFonts w:ascii="Arial" w:hAnsi="Arial" w:cs="Arial"/>
                <w:b/>
                <w:bCs/>
                <w:i/>
                <w:iCs/>
                <w:sz w:val="18"/>
                <w:szCs w:val="18"/>
              </w:rPr>
              <w:t>Effective 1 July 2026</w:t>
            </w:r>
          </w:p>
        </w:tc>
        <w:tc>
          <w:tcPr>
            <w:tcW w:w="1701" w:type="dxa"/>
            <w:shd w:val="clear" w:color="auto" w:fill="D9D9D9"/>
          </w:tcPr>
          <w:p w14:paraId="5F5FEB2D" w14:textId="414E7AAB" w:rsidR="00C51C08" w:rsidRPr="003D2896"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 xml:space="preserve">% Increase </w:t>
            </w:r>
            <w:r w:rsidRPr="003D2896">
              <w:rPr>
                <w:rFonts w:ascii="Arial" w:hAnsi="Arial" w:cs="Arial"/>
                <w:b/>
                <w:bCs/>
                <w:sz w:val="24"/>
                <w:szCs w:val="24"/>
              </w:rPr>
              <w:t>over a 10 year period</w:t>
            </w:r>
            <w:r w:rsidRPr="003D2896">
              <w:rPr>
                <w:rFonts w:ascii="Arial" w:hAnsi="Arial" w:cs="Arial"/>
                <w:b/>
                <w:bCs/>
                <w:sz w:val="18"/>
                <w:szCs w:val="18"/>
              </w:rPr>
              <w:t xml:space="preserve">  </w:t>
            </w:r>
          </w:p>
        </w:tc>
        <w:tc>
          <w:tcPr>
            <w:tcW w:w="1560" w:type="dxa"/>
            <w:shd w:val="clear" w:color="auto" w:fill="D9D9D9"/>
          </w:tcPr>
          <w:p w14:paraId="7C2FEEBE" w14:textId="2680D533"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 xml:space="preserve">Average Increase per year </w:t>
            </w:r>
          </w:p>
        </w:tc>
      </w:tr>
      <w:tr w:rsidR="00C51C08" w14:paraId="4C817DA1" w14:textId="55E6F2F9" w:rsidTr="00C51C08">
        <w:trPr>
          <w:trHeight w:val="746"/>
        </w:trPr>
        <w:tc>
          <w:tcPr>
            <w:tcW w:w="3261" w:type="dxa"/>
          </w:tcPr>
          <w:p w14:paraId="6345AA73"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 xml:space="preserve">Private Lawyers (Unrestricted) </w:t>
            </w:r>
          </w:p>
        </w:tc>
        <w:tc>
          <w:tcPr>
            <w:tcW w:w="1418" w:type="dxa"/>
          </w:tcPr>
          <w:p w14:paraId="02A8F119" w14:textId="747E91CB"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$1,247.00</w:t>
            </w:r>
          </w:p>
        </w:tc>
        <w:tc>
          <w:tcPr>
            <w:tcW w:w="1417" w:type="dxa"/>
          </w:tcPr>
          <w:p w14:paraId="2635EE1A"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$1,380.00</w:t>
            </w:r>
          </w:p>
        </w:tc>
        <w:tc>
          <w:tcPr>
            <w:tcW w:w="1701" w:type="dxa"/>
          </w:tcPr>
          <w:p w14:paraId="7DFC20C1"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10.66%</w:t>
            </w:r>
          </w:p>
        </w:tc>
        <w:tc>
          <w:tcPr>
            <w:tcW w:w="1560" w:type="dxa"/>
          </w:tcPr>
          <w:p w14:paraId="18040F5B" w14:textId="0BFDAEFC"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1.07%</w:t>
            </w:r>
          </w:p>
        </w:tc>
      </w:tr>
      <w:tr w:rsidR="00C51C08" w14:paraId="5CB9F5B3" w14:textId="6ECDC1D0" w:rsidTr="00C51C08">
        <w:trPr>
          <w:trHeight w:val="746"/>
        </w:trPr>
        <w:tc>
          <w:tcPr>
            <w:tcW w:w="3261" w:type="dxa"/>
          </w:tcPr>
          <w:p w14:paraId="1EBD6A86"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In House (Unrestricted)</w:t>
            </w:r>
          </w:p>
        </w:tc>
        <w:tc>
          <w:tcPr>
            <w:tcW w:w="1418" w:type="dxa"/>
          </w:tcPr>
          <w:p w14:paraId="63AC52C5" w14:textId="4C0E91E5"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$1,101.00</w:t>
            </w:r>
          </w:p>
        </w:tc>
        <w:tc>
          <w:tcPr>
            <w:tcW w:w="1417" w:type="dxa"/>
          </w:tcPr>
          <w:p w14:paraId="64F04354"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$1,380.00</w:t>
            </w:r>
          </w:p>
        </w:tc>
        <w:tc>
          <w:tcPr>
            <w:tcW w:w="1701" w:type="dxa"/>
          </w:tcPr>
          <w:p w14:paraId="7053DFB4"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25.3%</w:t>
            </w:r>
          </w:p>
        </w:tc>
        <w:tc>
          <w:tcPr>
            <w:tcW w:w="1560" w:type="dxa"/>
          </w:tcPr>
          <w:p w14:paraId="66914BC3" w14:textId="55C26490"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2.53%</w:t>
            </w:r>
          </w:p>
        </w:tc>
      </w:tr>
      <w:tr w:rsidR="00C51C08" w14:paraId="143B39B5" w14:textId="6F1453C6" w:rsidTr="00C51C08">
        <w:trPr>
          <w:trHeight w:val="729"/>
        </w:trPr>
        <w:tc>
          <w:tcPr>
            <w:tcW w:w="3261" w:type="dxa"/>
          </w:tcPr>
          <w:p w14:paraId="6513B0DD"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Private Lawyers, In House (Restricted)</w:t>
            </w:r>
          </w:p>
        </w:tc>
        <w:tc>
          <w:tcPr>
            <w:tcW w:w="1418" w:type="dxa"/>
          </w:tcPr>
          <w:p w14:paraId="3F74EA26" w14:textId="097ABE01"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$798.00</w:t>
            </w:r>
          </w:p>
        </w:tc>
        <w:tc>
          <w:tcPr>
            <w:tcW w:w="1417" w:type="dxa"/>
          </w:tcPr>
          <w:p w14:paraId="034781CF"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$987.00</w:t>
            </w:r>
          </w:p>
        </w:tc>
        <w:tc>
          <w:tcPr>
            <w:tcW w:w="1701" w:type="dxa"/>
          </w:tcPr>
          <w:p w14:paraId="694B990B"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23.68%</w:t>
            </w:r>
          </w:p>
        </w:tc>
        <w:tc>
          <w:tcPr>
            <w:tcW w:w="1560" w:type="dxa"/>
          </w:tcPr>
          <w:p w14:paraId="79DECE42" w14:textId="68BE592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2.37%</w:t>
            </w:r>
          </w:p>
        </w:tc>
      </w:tr>
      <w:tr w:rsidR="00C51C08" w14:paraId="123A5A61" w14:textId="739BB994" w:rsidTr="00C51C08">
        <w:trPr>
          <w:trHeight w:val="729"/>
        </w:trPr>
        <w:tc>
          <w:tcPr>
            <w:tcW w:w="3261" w:type="dxa"/>
          </w:tcPr>
          <w:p w14:paraId="3F217ECA"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Government Lawyers (Unrestricted)</w:t>
            </w:r>
          </w:p>
        </w:tc>
        <w:tc>
          <w:tcPr>
            <w:tcW w:w="1418" w:type="dxa"/>
          </w:tcPr>
          <w:p w14:paraId="0309E168" w14:textId="42E1E290"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$785.00</w:t>
            </w:r>
          </w:p>
        </w:tc>
        <w:tc>
          <w:tcPr>
            <w:tcW w:w="1417" w:type="dxa"/>
          </w:tcPr>
          <w:p w14:paraId="2D18F3FA"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$982.00</w:t>
            </w:r>
          </w:p>
        </w:tc>
        <w:tc>
          <w:tcPr>
            <w:tcW w:w="1701" w:type="dxa"/>
          </w:tcPr>
          <w:p w14:paraId="31548335"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25.1%</w:t>
            </w:r>
          </w:p>
        </w:tc>
        <w:tc>
          <w:tcPr>
            <w:tcW w:w="1560" w:type="dxa"/>
          </w:tcPr>
          <w:p w14:paraId="382B497E" w14:textId="767D3F83"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2.51%</w:t>
            </w:r>
          </w:p>
        </w:tc>
      </w:tr>
      <w:tr w:rsidR="00C51C08" w14:paraId="409D79DC" w14:textId="6FAF41CF" w:rsidTr="00C51C08">
        <w:trPr>
          <w:trHeight w:val="746"/>
        </w:trPr>
        <w:tc>
          <w:tcPr>
            <w:tcW w:w="3261" w:type="dxa"/>
          </w:tcPr>
          <w:p w14:paraId="63A9F1B6"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Government Lawyers (Restricted)</w:t>
            </w:r>
          </w:p>
        </w:tc>
        <w:tc>
          <w:tcPr>
            <w:tcW w:w="1418" w:type="dxa"/>
          </w:tcPr>
          <w:p w14:paraId="09AAAEFC" w14:textId="3FA2D8B8"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$556.00</w:t>
            </w:r>
          </w:p>
        </w:tc>
        <w:tc>
          <w:tcPr>
            <w:tcW w:w="1417" w:type="dxa"/>
          </w:tcPr>
          <w:p w14:paraId="7407A12E"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$684.00</w:t>
            </w:r>
          </w:p>
        </w:tc>
        <w:tc>
          <w:tcPr>
            <w:tcW w:w="1701" w:type="dxa"/>
          </w:tcPr>
          <w:p w14:paraId="63BF6548"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23%</w:t>
            </w:r>
          </w:p>
        </w:tc>
        <w:tc>
          <w:tcPr>
            <w:tcW w:w="1560" w:type="dxa"/>
          </w:tcPr>
          <w:p w14:paraId="317C96A4" w14:textId="49B5804C"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2.3%</w:t>
            </w:r>
          </w:p>
        </w:tc>
      </w:tr>
      <w:tr w:rsidR="00C51C08" w14:paraId="508FE8F0" w14:textId="13ABCF8C" w:rsidTr="00C51C08">
        <w:trPr>
          <w:trHeight w:val="1044"/>
        </w:trPr>
        <w:tc>
          <w:tcPr>
            <w:tcW w:w="3261" w:type="dxa"/>
          </w:tcPr>
          <w:p w14:paraId="7458CCAD"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Non-ACT Practitioners (Unrestricted)</w:t>
            </w:r>
          </w:p>
        </w:tc>
        <w:tc>
          <w:tcPr>
            <w:tcW w:w="1418" w:type="dxa"/>
          </w:tcPr>
          <w:p w14:paraId="0DB10E4C" w14:textId="2CE03198"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$773.00</w:t>
            </w:r>
          </w:p>
        </w:tc>
        <w:tc>
          <w:tcPr>
            <w:tcW w:w="1417" w:type="dxa"/>
          </w:tcPr>
          <w:p w14:paraId="5C7E406A"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$819.00</w:t>
            </w:r>
          </w:p>
        </w:tc>
        <w:tc>
          <w:tcPr>
            <w:tcW w:w="1701" w:type="dxa"/>
          </w:tcPr>
          <w:p w14:paraId="727A154C"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5.95%</w:t>
            </w:r>
          </w:p>
        </w:tc>
        <w:tc>
          <w:tcPr>
            <w:tcW w:w="1560" w:type="dxa"/>
          </w:tcPr>
          <w:p w14:paraId="4145E9A7" w14:textId="5307ACE3"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0.6%</w:t>
            </w:r>
          </w:p>
        </w:tc>
      </w:tr>
      <w:tr w:rsidR="00C51C08" w14:paraId="1DA0C7BE" w14:textId="3221838F" w:rsidTr="00C51C08">
        <w:trPr>
          <w:trHeight w:val="1028"/>
        </w:trPr>
        <w:tc>
          <w:tcPr>
            <w:tcW w:w="3261" w:type="dxa"/>
          </w:tcPr>
          <w:p w14:paraId="3BE8216B"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Non-ACT Practitioners (Restricted)</w:t>
            </w:r>
          </w:p>
        </w:tc>
        <w:tc>
          <w:tcPr>
            <w:tcW w:w="1418" w:type="dxa"/>
          </w:tcPr>
          <w:p w14:paraId="5356E4BB" w14:textId="42A3C188"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$426.00</w:t>
            </w:r>
          </w:p>
        </w:tc>
        <w:tc>
          <w:tcPr>
            <w:tcW w:w="1417" w:type="dxa"/>
          </w:tcPr>
          <w:p w14:paraId="4791B220"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$553.00</w:t>
            </w:r>
          </w:p>
        </w:tc>
        <w:tc>
          <w:tcPr>
            <w:tcW w:w="1701" w:type="dxa"/>
          </w:tcPr>
          <w:p w14:paraId="3B6B4773" w14:textId="7777777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29.81%</w:t>
            </w:r>
          </w:p>
        </w:tc>
        <w:tc>
          <w:tcPr>
            <w:tcW w:w="1560" w:type="dxa"/>
          </w:tcPr>
          <w:p w14:paraId="4AC0E143" w14:textId="632C4137" w:rsidR="00C51C08" w:rsidRDefault="00C51C08" w:rsidP="008A23E3">
            <w:pPr>
              <w:tabs>
                <w:tab w:val="left" w:pos="360"/>
                <w:tab w:val="left" w:pos="5160"/>
              </w:tabs>
              <w:spacing w:before="60" w:after="60"/>
              <w:rPr>
                <w:rFonts w:ascii="Arial" w:hAnsi="Arial" w:cs="Arial"/>
                <w:b/>
                <w:bCs/>
                <w:sz w:val="24"/>
                <w:szCs w:val="24"/>
              </w:rPr>
            </w:pPr>
            <w:r>
              <w:rPr>
                <w:rFonts w:ascii="Arial" w:hAnsi="Arial" w:cs="Arial"/>
                <w:b/>
                <w:bCs/>
                <w:sz w:val="24"/>
                <w:szCs w:val="24"/>
              </w:rPr>
              <w:t>2.98%</w:t>
            </w:r>
          </w:p>
        </w:tc>
      </w:tr>
    </w:tbl>
    <w:p w14:paraId="3C1B8A02" w14:textId="77777777" w:rsidR="00CF0131" w:rsidRDefault="00CF0131" w:rsidP="00CF0131">
      <w:pPr>
        <w:spacing w:before="60" w:after="60"/>
        <w:rPr>
          <w:rFonts w:ascii="Arial" w:hAnsi="Arial" w:cs="Arial"/>
          <w:color w:val="000000"/>
          <w:sz w:val="24"/>
          <w:szCs w:val="24"/>
        </w:rPr>
      </w:pPr>
    </w:p>
    <w:p w14:paraId="4C9A82D8" w14:textId="77777777" w:rsidR="0058191E" w:rsidRDefault="0058191E" w:rsidP="0077466A">
      <w:pPr>
        <w:tabs>
          <w:tab w:val="left" w:pos="1320"/>
        </w:tabs>
        <w:rPr>
          <w:rFonts w:ascii="Arial" w:hAnsi="Arial" w:cs="Arial"/>
          <w:sz w:val="24"/>
          <w:szCs w:val="24"/>
        </w:rPr>
      </w:pPr>
    </w:p>
    <w:sectPr w:rsidR="0058191E" w:rsidSect="00CA174A">
      <w:headerReference w:type="even" r:id="rId11"/>
      <w:headerReference w:type="default" r:id="rId12"/>
      <w:footerReference w:type="even" r:id="rId13"/>
      <w:footerReference w:type="default" r:id="rId14"/>
      <w:headerReference w:type="first" r:id="rId15"/>
      <w:footerReference w:type="first" r:id="rId16"/>
      <w:pgSz w:w="11906" w:h="16838" w:code="9"/>
      <w:pgMar w:top="1440" w:right="1418" w:bottom="89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8179" w14:textId="77777777" w:rsidR="00912616" w:rsidRDefault="00912616">
      <w:r>
        <w:separator/>
      </w:r>
    </w:p>
  </w:endnote>
  <w:endnote w:type="continuationSeparator" w:id="0">
    <w:p w14:paraId="343BCF41" w14:textId="77777777" w:rsidR="00912616" w:rsidRDefault="0091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4EE9" w14:textId="77777777" w:rsidR="0015751A" w:rsidRDefault="0015751A" w:rsidP="002D19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9420C" w14:textId="77777777" w:rsidR="0015751A" w:rsidRDefault="0015751A" w:rsidP="002D1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2A5F" w14:textId="77777777" w:rsidR="0015751A" w:rsidRDefault="0015751A" w:rsidP="002D19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3976">
      <w:rPr>
        <w:rStyle w:val="PageNumber"/>
        <w:noProof/>
      </w:rPr>
      <w:t>2</w:t>
    </w:r>
    <w:r>
      <w:rPr>
        <w:rStyle w:val="PageNumber"/>
      </w:rPr>
      <w:fldChar w:fldCharType="end"/>
    </w:r>
  </w:p>
  <w:p w14:paraId="014B74FA" w14:textId="0C34BB4C" w:rsidR="0015751A" w:rsidRPr="00F04248" w:rsidRDefault="00F04248" w:rsidP="00F04248">
    <w:pPr>
      <w:pStyle w:val="Footer"/>
      <w:ind w:right="360"/>
      <w:jc w:val="center"/>
      <w:rPr>
        <w:rFonts w:ascii="Arial" w:hAnsi="Arial" w:cs="Arial"/>
        <w:sz w:val="14"/>
      </w:rPr>
    </w:pPr>
    <w:r w:rsidRPr="00F0424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218D" w14:textId="0CA760AE" w:rsidR="009A70E9" w:rsidRPr="00F04248" w:rsidRDefault="00F04248" w:rsidP="00F04248">
    <w:pPr>
      <w:pStyle w:val="Footer"/>
      <w:jc w:val="center"/>
      <w:rPr>
        <w:rFonts w:ascii="Arial" w:hAnsi="Arial" w:cs="Arial"/>
        <w:sz w:val="14"/>
      </w:rPr>
    </w:pPr>
    <w:r w:rsidRPr="00F0424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7C9F" w14:textId="77777777" w:rsidR="00912616" w:rsidRDefault="00912616">
      <w:r>
        <w:separator/>
      </w:r>
    </w:p>
  </w:footnote>
  <w:footnote w:type="continuationSeparator" w:id="0">
    <w:p w14:paraId="15416116" w14:textId="77777777" w:rsidR="00912616" w:rsidRDefault="0091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8C19" w14:textId="77777777" w:rsidR="0015751A" w:rsidRDefault="0015751A" w:rsidP="00D007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76722" w14:textId="77777777" w:rsidR="0015751A" w:rsidRDefault="00157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7A4A" w14:textId="77777777" w:rsidR="0015751A" w:rsidRDefault="0015751A">
    <w:pPr>
      <w:pStyle w:val="Header"/>
    </w:pPr>
  </w:p>
  <w:p w14:paraId="18953EE7" w14:textId="77777777" w:rsidR="0015751A" w:rsidRDefault="0015751A">
    <w:pPr>
      <w:pStyle w:val="Header"/>
    </w:pPr>
  </w:p>
  <w:p w14:paraId="309AEB7A" w14:textId="77777777" w:rsidR="0015751A" w:rsidRDefault="0015751A">
    <w:pPr>
      <w:pStyle w:val="Header"/>
    </w:pPr>
  </w:p>
  <w:p w14:paraId="42486CB4" w14:textId="77777777" w:rsidR="0015751A" w:rsidRDefault="00157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3FA5" w14:textId="77777777" w:rsidR="009A70E9" w:rsidRDefault="009A7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3DB"/>
    <w:multiLevelType w:val="hybridMultilevel"/>
    <w:tmpl w:val="FFFFFFFF"/>
    <w:lvl w:ilvl="0" w:tplc="1C1A9162">
      <w:start w:val="1"/>
      <w:numFmt w:val="decimal"/>
      <w:lvlText w:val="%1)"/>
      <w:lvlJc w:val="left"/>
      <w:pPr>
        <w:tabs>
          <w:tab w:val="num" w:pos="1680"/>
        </w:tabs>
        <w:ind w:left="1680" w:hanging="360"/>
      </w:pPr>
      <w:rPr>
        <w:rFonts w:cs="Times New Roman" w:hint="default"/>
      </w:rPr>
    </w:lvl>
    <w:lvl w:ilvl="1" w:tplc="0C090019" w:tentative="1">
      <w:start w:val="1"/>
      <w:numFmt w:val="lowerLetter"/>
      <w:lvlText w:val="%2."/>
      <w:lvlJc w:val="left"/>
      <w:pPr>
        <w:tabs>
          <w:tab w:val="num" w:pos="2400"/>
        </w:tabs>
        <w:ind w:left="2400" w:hanging="360"/>
      </w:pPr>
      <w:rPr>
        <w:rFonts w:cs="Times New Roman"/>
      </w:rPr>
    </w:lvl>
    <w:lvl w:ilvl="2" w:tplc="0C09001B" w:tentative="1">
      <w:start w:val="1"/>
      <w:numFmt w:val="lowerRoman"/>
      <w:lvlText w:val="%3."/>
      <w:lvlJc w:val="right"/>
      <w:pPr>
        <w:tabs>
          <w:tab w:val="num" w:pos="3120"/>
        </w:tabs>
        <w:ind w:left="3120" w:hanging="180"/>
      </w:pPr>
      <w:rPr>
        <w:rFonts w:cs="Times New Roman"/>
      </w:rPr>
    </w:lvl>
    <w:lvl w:ilvl="3" w:tplc="0C09000F" w:tentative="1">
      <w:start w:val="1"/>
      <w:numFmt w:val="decimal"/>
      <w:lvlText w:val="%4."/>
      <w:lvlJc w:val="left"/>
      <w:pPr>
        <w:tabs>
          <w:tab w:val="num" w:pos="3840"/>
        </w:tabs>
        <w:ind w:left="3840" w:hanging="360"/>
      </w:pPr>
      <w:rPr>
        <w:rFonts w:cs="Times New Roman"/>
      </w:rPr>
    </w:lvl>
    <w:lvl w:ilvl="4" w:tplc="0C090019" w:tentative="1">
      <w:start w:val="1"/>
      <w:numFmt w:val="lowerLetter"/>
      <w:lvlText w:val="%5."/>
      <w:lvlJc w:val="left"/>
      <w:pPr>
        <w:tabs>
          <w:tab w:val="num" w:pos="4560"/>
        </w:tabs>
        <w:ind w:left="4560" w:hanging="360"/>
      </w:pPr>
      <w:rPr>
        <w:rFonts w:cs="Times New Roman"/>
      </w:rPr>
    </w:lvl>
    <w:lvl w:ilvl="5" w:tplc="0C09001B" w:tentative="1">
      <w:start w:val="1"/>
      <w:numFmt w:val="lowerRoman"/>
      <w:lvlText w:val="%6."/>
      <w:lvlJc w:val="right"/>
      <w:pPr>
        <w:tabs>
          <w:tab w:val="num" w:pos="5280"/>
        </w:tabs>
        <w:ind w:left="5280" w:hanging="180"/>
      </w:pPr>
      <w:rPr>
        <w:rFonts w:cs="Times New Roman"/>
      </w:rPr>
    </w:lvl>
    <w:lvl w:ilvl="6" w:tplc="0C09000F" w:tentative="1">
      <w:start w:val="1"/>
      <w:numFmt w:val="decimal"/>
      <w:lvlText w:val="%7."/>
      <w:lvlJc w:val="left"/>
      <w:pPr>
        <w:tabs>
          <w:tab w:val="num" w:pos="6000"/>
        </w:tabs>
        <w:ind w:left="6000" w:hanging="360"/>
      </w:pPr>
      <w:rPr>
        <w:rFonts w:cs="Times New Roman"/>
      </w:rPr>
    </w:lvl>
    <w:lvl w:ilvl="7" w:tplc="0C090019" w:tentative="1">
      <w:start w:val="1"/>
      <w:numFmt w:val="lowerLetter"/>
      <w:lvlText w:val="%8."/>
      <w:lvlJc w:val="left"/>
      <w:pPr>
        <w:tabs>
          <w:tab w:val="num" w:pos="6720"/>
        </w:tabs>
        <w:ind w:left="6720" w:hanging="360"/>
      </w:pPr>
      <w:rPr>
        <w:rFonts w:cs="Times New Roman"/>
      </w:rPr>
    </w:lvl>
    <w:lvl w:ilvl="8" w:tplc="0C09001B" w:tentative="1">
      <w:start w:val="1"/>
      <w:numFmt w:val="lowerRoman"/>
      <w:lvlText w:val="%9."/>
      <w:lvlJc w:val="right"/>
      <w:pPr>
        <w:tabs>
          <w:tab w:val="num" w:pos="7440"/>
        </w:tabs>
        <w:ind w:left="7440" w:hanging="180"/>
      </w:pPr>
      <w:rPr>
        <w:rFonts w:cs="Times New Roman"/>
      </w:rPr>
    </w:lvl>
  </w:abstractNum>
  <w:abstractNum w:abstractNumId="1" w15:restartNumberingAfterBreak="0">
    <w:nsid w:val="198D5A7F"/>
    <w:multiLevelType w:val="hybridMultilevel"/>
    <w:tmpl w:val="FFFFFFFF"/>
    <w:lvl w:ilvl="0" w:tplc="784C9220">
      <w:start w:val="1"/>
      <w:numFmt w:val="decimal"/>
      <w:lvlText w:val="%1."/>
      <w:lvlJc w:val="left"/>
      <w:pPr>
        <w:tabs>
          <w:tab w:val="num" w:pos="2160"/>
        </w:tabs>
        <w:ind w:left="2160" w:hanging="840"/>
      </w:pPr>
      <w:rPr>
        <w:rFonts w:cs="Times New Roman" w:hint="default"/>
      </w:rPr>
    </w:lvl>
    <w:lvl w:ilvl="1" w:tplc="0C090019" w:tentative="1">
      <w:start w:val="1"/>
      <w:numFmt w:val="lowerLetter"/>
      <w:lvlText w:val="%2."/>
      <w:lvlJc w:val="left"/>
      <w:pPr>
        <w:tabs>
          <w:tab w:val="num" w:pos="2400"/>
        </w:tabs>
        <w:ind w:left="2400" w:hanging="360"/>
      </w:pPr>
      <w:rPr>
        <w:rFonts w:cs="Times New Roman"/>
      </w:rPr>
    </w:lvl>
    <w:lvl w:ilvl="2" w:tplc="0C09001B" w:tentative="1">
      <w:start w:val="1"/>
      <w:numFmt w:val="lowerRoman"/>
      <w:lvlText w:val="%3."/>
      <w:lvlJc w:val="right"/>
      <w:pPr>
        <w:tabs>
          <w:tab w:val="num" w:pos="3120"/>
        </w:tabs>
        <w:ind w:left="3120" w:hanging="180"/>
      </w:pPr>
      <w:rPr>
        <w:rFonts w:cs="Times New Roman"/>
      </w:rPr>
    </w:lvl>
    <w:lvl w:ilvl="3" w:tplc="0C09000F" w:tentative="1">
      <w:start w:val="1"/>
      <w:numFmt w:val="decimal"/>
      <w:lvlText w:val="%4."/>
      <w:lvlJc w:val="left"/>
      <w:pPr>
        <w:tabs>
          <w:tab w:val="num" w:pos="3840"/>
        </w:tabs>
        <w:ind w:left="3840" w:hanging="360"/>
      </w:pPr>
      <w:rPr>
        <w:rFonts w:cs="Times New Roman"/>
      </w:rPr>
    </w:lvl>
    <w:lvl w:ilvl="4" w:tplc="0C090019" w:tentative="1">
      <w:start w:val="1"/>
      <w:numFmt w:val="lowerLetter"/>
      <w:lvlText w:val="%5."/>
      <w:lvlJc w:val="left"/>
      <w:pPr>
        <w:tabs>
          <w:tab w:val="num" w:pos="4560"/>
        </w:tabs>
        <w:ind w:left="4560" w:hanging="360"/>
      </w:pPr>
      <w:rPr>
        <w:rFonts w:cs="Times New Roman"/>
      </w:rPr>
    </w:lvl>
    <w:lvl w:ilvl="5" w:tplc="0C09001B" w:tentative="1">
      <w:start w:val="1"/>
      <w:numFmt w:val="lowerRoman"/>
      <w:lvlText w:val="%6."/>
      <w:lvlJc w:val="right"/>
      <w:pPr>
        <w:tabs>
          <w:tab w:val="num" w:pos="5280"/>
        </w:tabs>
        <w:ind w:left="5280" w:hanging="180"/>
      </w:pPr>
      <w:rPr>
        <w:rFonts w:cs="Times New Roman"/>
      </w:rPr>
    </w:lvl>
    <w:lvl w:ilvl="6" w:tplc="0C09000F" w:tentative="1">
      <w:start w:val="1"/>
      <w:numFmt w:val="decimal"/>
      <w:lvlText w:val="%7."/>
      <w:lvlJc w:val="left"/>
      <w:pPr>
        <w:tabs>
          <w:tab w:val="num" w:pos="6000"/>
        </w:tabs>
        <w:ind w:left="6000" w:hanging="360"/>
      </w:pPr>
      <w:rPr>
        <w:rFonts w:cs="Times New Roman"/>
      </w:rPr>
    </w:lvl>
    <w:lvl w:ilvl="7" w:tplc="0C090019" w:tentative="1">
      <w:start w:val="1"/>
      <w:numFmt w:val="lowerLetter"/>
      <w:lvlText w:val="%8."/>
      <w:lvlJc w:val="left"/>
      <w:pPr>
        <w:tabs>
          <w:tab w:val="num" w:pos="6720"/>
        </w:tabs>
        <w:ind w:left="6720" w:hanging="360"/>
      </w:pPr>
      <w:rPr>
        <w:rFonts w:cs="Times New Roman"/>
      </w:rPr>
    </w:lvl>
    <w:lvl w:ilvl="8" w:tplc="0C09001B" w:tentative="1">
      <w:start w:val="1"/>
      <w:numFmt w:val="lowerRoman"/>
      <w:lvlText w:val="%9."/>
      <w:lvlJc w:val="right"/>
      <w:pPr>
        <w:tabs>
          <w:tab w:val="num" w:pos="7440"/>
        </w:tabs>
        <w:ind w:left="7440" w:hanging="180"/>
      </w:pPr>
      <w:rPr>
        <w:rFonts w:cs="Times New Roman"/>
      </w:rPr>
    </w:lvl>
  </w:abstractNum>
  <w:abstractNum w:abstractNumId="2" w15:restartNumberingAfterBreak="0">
    <w:nsid w:val="1C5C2EE8"/>
    <w:multiLevelType w:val="hybridMultilevel"/>
    <w:tmpl w:val="FFFFFFFF"/>
    <w:lvl w:ilvl="0" w:tplc="0C09000F">
      <w:start w:val="1"/>
      <w:numFmt w:val="decimal"/>
      <w:lvlText w:val="%1."/>
      <w:lvlJc w:val="left"/>
      <w:pPr>
        <w:tabs>
          <w:tab w:val="num" w:pos="1800"/>
        </w:tabs>
        <w:ind w:left="1800" w:hanging="360"/>
      </w:pPr>
      <w:rPr>
        <w:rFonts w:cs="Times New Roman"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43F30A6"/>
    <w:multiLevelType w:val="hybridMultilevel"/>
    <w:tmpl w:val="FFFFFFFF"/>
    <w:lvl w:ilvl="0" w:tplc="F2205104">
      <w:start w:val="2"/>
      <w:numFmt w:val="lowerLetter"/>
      <w:lvlText w:val="%1)"/>
      <w:lvlJc w:val="left"/>
      <w:pPr>
        <w:tabs>
          <w:tab w:val="num" w:pos="1320"/>
        </w:tabs>
        <w:ind w:left="1320" w:hanging="60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A2F7B9B"/>
    <w:multiLevelType w:val="hybridMultilevel"/>
    <w:tmpl w:val="FFFFFFFF"/>
    <w:lvl w:ilvl="0" w:tplc="4ABC6396">
      <w:start w:val="3"/>
      <w:numFmt w:val="lowerLetter"/>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B1805C6"/>
    <w:multiLevelType w:val="hybridMultilevel"/>
    <w:tmpl w:val="FFFFFFFF"/>
    <w:lvl w:ilvl="0" w:tplc="0C09000F">
      <w:start w:val="1"/>
      <w:numFmt w:val="decimal"/>
      <w:lvlText w:val="%1."/>
      <w:lvlJc w:val="left"/>
      <w:pPr>
        <w:tabs>
          <w:tab w:val="num" w:pos="1800"/>
        </w:tabs>
        <w:ind w:left="1800" w:hanging="360"/>
      </w:pPr>
      <w:rPr>
        <w:rFonts w:cs="Times New Roman"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04D2C65"/>
    <w:multiLevelType w:val="hybridMultilevel"/>
    <w:tmpl w:val="FFFFFFFF"/>
    <w:lvl w:ilvl="0" w:tplc="8BCA4912">
      <w:start w:val="1"/>
      <w:numFmt w:val="decimal"/>
      <w:lvlText w:val="%1."/>
      <w:lvlJc w:val="left"/>
      <w:pPr>
        <w:tabs>
          <w:tab w:val="num" w:pos="1080"/>
        </w:tabs>
        <w:ind w:left="1080" w:hanging="720"/>
      </w:pPr>
      <w:rPr>
        <w:rFonts w:cs="Times New Roman" w:hint="default"/>
      </w:rPr>
    </w:lvl>
    <w:lvl w:ilvl="1" w:tplc="ED44DDCA">
      <w:start w:val="1"/>
      <w:numFmt w:val="lowerRoman"/>
      <w:lvlText w:val="%2)"/>
      <w:lvlJc w:val="left"/>
      <w:pPr>
        <w:tabs>
          <w:tab w:val="num" w:pos="1860"/>
        </w:tabs>
        <w:ind w:left="1860" w:hanging="780"/>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CB343720">
      <w:start w:val="1"/>
      <w:numFmt w:val="upperLetter"/>
      <w:lvlText w:val="%4."/>
      <w:lvlJc w:val="left"/>
      <w:pPr>
        <w:tabs>
          <w:tab w:val="num" w:pos="3240"/>
        </w:tabs>
        <w:ind w:left="3240" w:hanging="720"/>
      </w:pPr>
      <w:rPr>
        <w:rFonts w:cs="Times New Roman" w:hint="default"/>
      </w:rPr>
    </w:lvl>
    <w:lvl w:ilvl="4" w:tplc="0C090019">
      <w:start w:val="1"/>
      <w:numFmt w:val="lowerLetter"/>
      <w:lvlText w:val="%5."/>
      <w:lvlJc w:val="left"/>
      <w:pPr>
        <w:tabs>
          <w:tab w:val="num" w:pos="3600"/>
        </w:tabs>
        <w:ind w:left="3600" w:hanging="360"/>
      </w:pPr>
      <w:rPr>
        <w:rFonts w:cs="Times New Roman"/>
      </w:rPr>
    </w:lvl>
    <w:lvl w:ilvl="5" w:tplc="94A60E9C">
      <w:start w:val="1"/>
      <w:numFmt w:val="lowerLetter"/>
      <w:lvlText w:val="%6)"/>
      <w:lvlJc w:val="left"/>
      <w:pPr>
        <w:tabs>
          <w:tab w:val="num" w:pos="4500"/>
        </w:tabs>
        <w:ind w:left="4500" w:hanging="360"/>
      </w:pPr>
      <w:rPr>
        <w:rFonts w:cs="Times New Roman" w:hint="default"/>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F63E33"/>
    <w:multiLevelType w:val="hybridMultilevel"/>
    <w:tmpl w:val="FFFFFFFF"/>
    <w:lvl w:ilvl="0" w:tplc="ADFE6BA4">
      <w:start w:val="2"/>
      <w:numFmt w:val="lowerLetter"/>
      <w:lvlText w:val="%1)"/>
      <w:lvlJc w:val="left"/>
      <w:pPr>
        <w:tabs>
          <w:tab w:val="num" w:pos="1440"/>
        </w:tabs>
        <w:ind w:left="1440" w:hanging="720"/>
      </w:pPr>
      <w:rPr>
        <w:rFonts w:cs="Times New Roman" w:hint="default"/>
      </w:rPr>
    </w:lvl>
    <w:lvl w:ilvl="1" w:tplc="0C090019">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D5D63D2"/>
    <w:multiLevelType w:val="hybridMultilevel"/>
    <w:tmpl w:val="FFFFFFFF"/>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7DA2AF0"/>
    <w:multiLevelType w:val="hybridMultilevel"/>
    <w:tmpl w:val="FFFFFFFF"/>
    <w:lvl w:ilvl="0" w:tplc="42124088">
      <w:start w:val="1"/>
      <w:numFmt w:val="lowerRoman"/>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2520"/>
        </w:tabs>
        <w:ind w:left="2520" w:hanging="360"/>
      </w:pPr>
      <w:rPr>
        <w:rFonts w:cs="Times New Roman"/>
      </w:rPr>
    </w:lvl>
    <w:lvl w:ilvl="2" w:tplc="0C09001B" w:tentative="1">
      <w:start w:val="1"/>
      <w:numFmt w:val="lowerRoman"/>
      <w:lvlText w:val="%3."/>
      <w:lvlJc w:val="right"/>
      <w:pPr>
        <w:tabs>
          <w:tab w:val="num" w:pos="3240"/>
        </w:tabs>
        <w:ind w:left="3240" w:hanging="180"/>
      </w:pPr>
      <w:rPr>
        <w:rFonts w:cs="Times New Roman"/>
      </w:rPr>
    </w:lvl>
    <w:lvl w:ilvl="3" w:tplc="0C09000F" w:tentative="1">
      <w:start w:val="1"/>
      <w:numFmt w:val="decimal"/>
      <w:lvlText w:val="%4."/>
      <w:lvlJc w:val="left"/>
      <w:pPr>
        <w:tabs>
          <w:tab w:val="num" w:pos="3960"/>
        </w:tabs>
        <w:ind w:left="3960" w:hanging="360"/>
      </w:pPr>
      <w:rPr>
        <w:rFonts w:cs="Times New Roman"/>
      </w:rPr>
    </w:lvl>
    <w:lvl w:ilvl="4" w:tplc="0C090019" w:tentative="1">
      <w:start w:val="1"/>
      <w:numFmt w:val="lowerLetter"/>
      <w:lvlText w:val="%5."/>
      <w:lvlJc w:val="left"/>
      <w:pPr>
        <w:tabs>
          <w:tab w:val="num" w:pos="4680"/>
        </w:tabs>
        <w:ind w:left="4680" w:hanging="360"/>
      </w:pPr>
      <w:rPr>
        <w:rFonts w:cs="Times New Roman"/>
      </w:rPr>
    </w:lvl>
    <w:lvl w:ilvl="5" w:tplc="0C09001B" w:tentative="1">
      <w:start w:val="1"/>
      <w:numFmt w:val="lowerRoman"/>
      <w:lvlText w:val="%6."/>
      <w:lvlJc w:val="right"/>
      <w:pPr>
        <w:tabs>
          <w:tab w:val="num" w:pos="5400"/>
        </w:tabs>
        <w:ind w:left="5400" w:hanging="180"/>
      </w:pPr>
      <w:rPr>
        <w:rFonts w:cs="Times New Roman"/>
      </w:rPr>
    </w:lvl>
    <w:lvl w:ilvl="6" w:tplc="0C09000F" w:tentative="1">
      <w:start w:val="1"/>
      <w:numFmt w:val="decimal"/>
      <w:lvlText w:val="%7."/>
      <w:lvlJc w:val="left"/>
      <w:pPr>
        <w:tabs>
          <w:tab w:val="num" w:pos="6120"/>
        </w:tabs>
        <w:ind w:left="6120" w:hanging="360"/>
      </w:pPr>
      <w:rPr>
        <w:rFonts w:cs="Times New Roman"/>
      </w:rPr>
    </w:lvl>
    <w:lvl w:ilvl="7" w:tplc="0C090019" w:tentative="1">
      <w:start w:val="1"/>
      <w:numFmt w:val="lowerLetter"/>
      <w:lvlText w:val="%8."/>
      <w:lvlJc w:val="left"/>
      <w:pPr>
        <w:tabs>
          <w:tab w:val="num" w:pos="6840"/>
        </w:tabs>
        <w:ind w:left="6840" w:hanging="360"/>
      </w:pPr>
      <w:rPr>
        <w:rFonts w:cs="Times New Roman"/>
      </w:rPr>
    </w:lvl>
    <w:lvl w:ilvl="8" w:tplc="0C09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47F53CBD"/>
    <w:multiLevelType w:val="hybridMultilevel"/>
    <w:tmpl w:val="FFFFFFFF"/>
    <w:lvl w:ilvl="0" w:tplc="3ED856C8">
      <w:start w:val="1"/>
      <w:numFmt w:val="lowerLetter"/>
      <w:lvlText w:val="%1)"/>
      <w:lvlJc w:val="left"/>
      <w:pPr>
        <w:tabs>
          <w:tab w:val="num" w:pos="1080"/>
        </w:tabs>
        <w:ind w:left="1060" w:hanging="34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48FC3161"/>
    <w:multiLevelType w:val="hybridMultilevel"/>
    <w:tmpl w:val="FFFFFFFF"/>
    <w:lvl w:ilvl="0" w:tplc="D2443188">
      <w:start w:val="1"/>
      <w:numFmt w:val="lowerLetter"/>
      <w:lvlText w:val="%1)"/>
      <w:lvlJc w:val="left"/>
      <w:pPr>
        <w:tabs>
          <w:tab w:val="num" w:pos="1080"/>
        </w:tabs>
        <w:ind w:left="1060" w:hanging="34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4A59707F"/>
    <w:multiLevelType w:val="hybridMultilevel"/>
    <w:tmpl w:val="FFFFFFFF"/>
    <w:lvl w:ilvl="0" w:tplc="64FEE5CC">
      <w:start w:val="1"/>
      <w:numFmt w:val="decimal"/>
      <w:lvlText w:val="%1)"/>
      <w:lvlJc w:val="left"/>
      <w:pPr>
        <w:tabs>
          <w:tab w:val="num" w:pos="1680"/>
        </w:tabs>
        <w:ind w:left="1680" w:hanging="360"/>
      </w:pPr>
      <w:rPr>
        <w:rFonts w:cs="Times New Roman" w:hint="default"/>
      </w:rPr>
    </w:lvl>
    <w:lvl w:ilvl="1" w:tplc="0C090019" w:tentative="1">
      <w:start w:val="1"/>
      <w:numFmt w:val="lowerLetter"/>
      <w:lvlText w:val="%2."/>
      <w:lvlJc w:val="left"/>
      <w:pPr>
        <w:tabs>
          <w:tab w:val="num" w:pos="2400"/>
        </w:tabs>
        <w:ind w:left="2400" w:hanging="360"/>
      </w:pPr>
      <w:rPr>
        <w:rFonts w:cs="Times New Roman"/>
      </w:rPr>
    </w:lvl>
    <w:lvl w:ilvl="2" w:tplc="0C09001B" w:tentative="1">
      <w:start w:val="1"/>
      <w:numFmt w:val="lowerRoman"/>
      <w:lvlText w:val="%3."/>
      <w:lvlJc w:val="right"/>
      <w:pPr>
        <w:tabs>
          <w:tab w:val="num" w:pos="3120"/>
        </w:tabs>
        <w:ind w:left="3120" w:hanging="180"/>
      </w:pPr>
      <w:rPr>
        <w:rFonts w:cs="Times New Roman"/>
      </w:rPr>
    </w:lvl>
    <w:lvl w:ilvl="3" w:tplc="0C09000F" w:tentative="1">
      <w:start w:val="1"/>
      <w:numFmt w:val="decimal"/>
      <w:lvlText w:val="%4."/>
      <w:lvlJc w:val="left"/>
      <w:pPr>
        <w:tabs>
          <w:tab w:val="num" w:pos="3840"/>
        </w:tabs>
        <w:ind w:left="3840" w:hanging="360"/>
      </w:pPr>
      <w:rPr>
        <w:rFonts w:cs="Times New Roman"/>
      </w:rPr>
    </w:lvl>
    <w:lvl w:ilvl="4" w:tplc="0C090019" w:tentative="1">
      <w:start w:val="1"/>
      <w:numFmt w:val="lowerLetter"/>
      <w:lvlText w:val="%5."/>
      <w:lvlJc w:val="left"/>
      <w:pPr>
        <w:tabs>
          <w:tab w:val="num" w:pos="4560"/>
        </w:tabs>
        <w:ind w:left="4560" w:hanging="360"/>
      </w:pPr>
      <w:rPr>
        <w:rFonts w:cs="Times New Roman"/>
      </w:rPr>
    </w:lvl>
    <w:lvl w:ilvl="5" w:tplc="0C09001B" w:tentative="1">
      <w:start w:val="1"/>
      <w:numFmt w:val="lowerRoman"/>
      <w:lvlText w:val="%6."/>
      <w:lvlJc w:val="right"/>
      <w:pPr>
        <w:tabs>
          <w:tab w:val="num" w:pos="5280"/>
        </w:tabs>
        <w:ind w:left="5280" w:hanging="180"/>
      </w:pPr>
      <w:rPr>
        <w:rFonts w:cs="Times New Roman"/>
      </w:rPr>
    </w:lvl>
    <w:lvl w:ilvl="6" w:tplc="0C09000F" w:tentative="1">
      <w:start w:val="1"/>
      <w:numFmt w:val="decimal"/>
      <w:lvlText w:val="%7."/>
      <w:lvlJc w:val="left"/>
      <w:pPr>
        <w:tabs>
          <w:tab w:val="num" w:pos="6000"/>
        </w:tabs>
        <w:ind w:left="6000" w:hanging="360"/>
      </w:pPr>
      <w:rPr>
        <w:rFonts w:cs="Times New Roman"/>
      </w:rPr>
    </w:lvl>
    <w:lvl w:ilvl="7" w:tplc="0C090019" w:tentative="1">
      <w:start w:val="1"/>
      <w:numFmt w:val="lowerLetter"/>
      <w:lvlText w:val="%8."/>
      <w:lvlJc w:val="left"/>
      <w:pPr>
        <w:tabs>
          <w:tab w:val="num" w:pos="6720"/>
        </w:tabs>
        <w:ind w:left="6720" w:hanging="360"/>
      </w:pPr>
      <w:rPr>
        <w:rFonts w:cs="Times New Roman"/>
      </w:rPr>
    </w:lvl>
    <w:lvl w:ilvl="8" w:tplc="0C09001B" w:tentative="1">
      <w:start w:val="1"/>
      <w:numFmt w:val="lowerRoman"/>
      <w:lvlText w:val="%9."/>
      <w:lvlJc w:val="right"/>
      <w:pPr>
        <w:tabs>
          <w:tab w:val="num" w:pos="7440"/>
        </w:tabs>
        <w:ind w:left="7440" w:hanging="180"/>
      </w:pPr>
      <w:rPr>
        <w:rFonts w:cs="Times New Roman"/>
      </w:rPr>
    </w:lvl>
  </w:abstractNum>
  <w:abstractNum w:abstractNumId="13" w15:restartNumberingAfterBreak="0">
    <w:nsid w:val="4B245C73"/>
    <w:multiLevelType w:val="hybridMultilevel"/>
    <w:tmpl w:val="FFFFFFFF"/>
    <w:lvl w:ilvl="0" w:tplc="A31AC51A">
      <w:start w:val="2"/>
      <w:numFmt w:val="bullet"/>
      <w:lvlText w:val="-"/>
      <w:lvlJc w:val="left"/>
      <w:pPr>
        <w:tabs>
          <w:tab w:val="num" w:pos="1800"/>
        </w:tabs>
        <w:ind w:left="1800" w:hanging="360"/>
      </w:pPr>
      <w:rPr>
        <w:rFonts w:ascii="Arial" w:eastAsia="Times New Roman" w:hAnsi="Arial"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0621513"/>
    <w:multiLevelType w:val="hybridMultilevel"/>
    <w:tmpl w:val="FFFFFFFF"/>
    <w:lvl w:ilvl="0" w:tplc="CF207B5C">
      <w:start w:val="1"/>
      <w:numFmt w:val="decimal"/>
      <w:lvlText w:val="(%1)"/>
      <w:lvlJc w:val="left"/>
      <w:pPr>
        <w:tabs>
          <w:tab w:val="num" w:pos="1080"/>
        </w:tabs>
        <w:ind w:left="1060" w:hanging="34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15:restartNumberingAfterBreak="0">
    <w:nsid w:val="53E52D0C"/>
    <w:multiLevelType w:val="hybridMultilevel"/>
    <w:tmpl w:val="FFFFFFFF"/>
    <w:lvl w:ilvl="0" w:tplc="1B74B3F4">
      <w:start w:val="1"/>
      <w:numFmt w:val="decimal"/>
      <w:lvlText w:val="%1)"/>
      <w:lvlJc w:val="left"/>
      <w:pPr>
        <w:tabs>
          <w:tab w:val="num" w:pos="1680"/>
        </w:tabs>
        <w:ind w:left="1680" w:hanging="360"/>
      </w:pPr>
      <w:rPr>
        <w:rFonts w:cs="Times New Roman" w:hint="default"/>
      </w:rPr>
    </w:lvl>
    <w:lvl w:ilvl="1" w:tplc="0C090019" w:tentative="1">
      <w:start w:val="1"/>
      <w:numFmt w:val="lowerLetter"/>
      <w:lvlText w:val="%2."/>
      <w:lvlJc w:val="left"/>
      <w:pPr>
        <w:tabs>
          <w:tab w:val="num" w:pos="2400"/>
        </w:tabs>
        <w:ind w:left="2400" w:hanging="360"/>
      </w:pPr>
      <w:rPr>
        <w:rFonts w:cs="Times New Roman"/>
      </w:rPr>
    </w:lvl>
    <w:lvl w:ilvl="2" w:tplc="0C09001B" w:tentative="1">
      <w:start w:val="1"/>
      <w:numFmt w:val="lowerRoman"/>
      <w:lvlText w:val="%3."/>
      <w:lvlJc w:val="right"/>
      <w:pPr>
        <w:tabs>
          <w:tab w:val="num" w:pos="3120"/>
        </w:tabs>
        <w:ind w:left="3120" w:hanging="180"/>
      </w:pPr>
      <w:rPr>
        <w:rFonts w:cs="Times New Roman"/>
      </w:rPr>
    </w:lvl>
    <w:lvl w:ilvl="3" w:tplc="0C09000F" w:tentative="1">
      <w:start w:val="1"/>
      <w:numFmt w:val="decimal"/>
      <w:lvlText w:val="%4."/>
      <w:lvlJc w:val="left"/>
      <w:pPr>
        <w:tabs>
          <w:tab w:val="num" w:pos="3840"/>
        </w:tabs>
        <w:ind w:left="3840" w:hanging="360"/>
      </w:pPr>
      <w:rPr>
        <w:rFonts w:cs="Times New Roman"/>
      </w:rPr>
    </w:lvl>
    <w:lvl w:ilvl="4" w:tplc="0C090019" w:tentative="1">
      <w:start w:val="1"/>
      <w:numFmt w:val="lowerLetter"/>
      <w:lvlText w:val="%5."/>
      <w:lvlJc w:val="left"/>
      <w:pPr>
        <w:tabs>
          <w:tab w:val="num" w:pos="4560"/>
        </w:tabs>
        <w:ind w:left="4560" w:hanging="360"/>
      </w:pPr>
      <w:rPr>
        <w:rFonts w:cs="Times New Roman"/>
      </w:rPr>
    </w:lvl>
    <w:lvl w:ilvl="5" w:tplc="0C09001B" w:tentative="1">
      <w:start w:val="1"/>
      <w:numFmt w:val="lowerRoman"/>
      <w:lvlText w:val="%6."/>
      <w:lvlJc w:val="right"/>
      <w:pPr>
        <w:tabs>
          <w:tab w:val="num" w:pos="5280"/>
        </w:tabs>
        <w:ind w:left="5280" w:hanging="180"/>
      </w:pPr>
      <w:rPr>
        <w:rFonts w:cs="Times New Roman"/>
      </w:rPr>
    </w:lvl>
    <w:lvl w:ilvl="6" w:tplc="0C09000F" w:tentative="1">
      <w:start w:val="1"/>
      <w:numFmt w:val="decimal"/>
      <w:lvlText w:val="%7."/>
      <w:lvlJc w:val="left"/>
      <w:pPr>
        <w:tabs>
          <w:tab w:val="num" w:pos="6000"/>
        </w:tabs>
        <w:ind w:left="6000" w:hanging="360"/>
      </w:pPr>
      <w:rPr>
        <w:rFonts w:cs="Times New Roman"/>
      </w:rPr>
    </w:lvl>
    <w:lvl w:ilvl="7" w:tplc="0C090019" w:tentative="1">
      <w:start w:val="1"/>
      <w:numFmt w:val="lowerLetter"/>
      <w:lvlText w:val="%8."/>
      <w:lvlJc w:val="left"/>
      <w:pPr>
        <w:tabs>
          <w:tab w:val="num" w:pos="6720"/>
        </w:tabs>
        <w:ind w:left="6720" w:hanging="360"/>
      </w:pPr>
      <w:rPr>
        <w:rFonts w:cs="Times New Roman"/>
      </w:rPr>
    </w:lvl>
    <w:lvl w:ilvl="8" w:tplc="0C09001B" w:tentative="1">
      <w:start w:val="1"/>
      <w:numFmt w:val="lowerRoman"/>
      <w:lvlText w:val="%9."/>
      <w:lvlJc w:val="right"/>
      <w:pPr>
        <w:tabs>
          <w:tab w:val="num" w:pos="7440"/>
        </w:tabs>
        <w:ind w:left="7440" w:hanging="180"/>
      </w:pPr>
      <w:rPr>
        <w:rFonts w:cs="Times New Roman"/>
      </w:rPr>
    </w:lvl>
  </w:abstractNum>
  <w:abstractNum w:abstractNumId="16" w15:restartNumberingAfterBreak="0">
    <w:nsid w:val="58F6186B"/>
    <w:multiLevelType w:val="hybridMultilevel"/>
    <w:tmpl w:val="FFFFFFFF"/>
    <w:lvl w:ilvl="0" w:tplc="0E9E323C">
      <w:start w:val="2"/>
      <w:numFmt w:val="lowerLetter"/>
      <w:lvlText w:val="%1)"/>
      <w:lvlJc w:val="left"/>
      <w:pPr>
        <w:tabs>
          <w:tab w:val="num" w:pos="1320"/>
        </w:tabs>
        <w:ind w:left="1320" w:hanging="600"/>
      </w:pPr>
      <w:rPr>
        <w:rFonts w:cs="Times New Roman" w:hint="default"/>
      </w:rPr>
    </w:lvl>
    <w:lvl w:ilvl="1" w:tplc="0C090019">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94F4DC3"/>
    <w:multiLevelType w:val="hybridMultilevel"/>
    <w:tmpl w:val="FFFFFFFF"/>
    <w:lvl w:ilvl="0" w:tplc="9E5A8512">
      <w:start w:val="2"/>
      <w:numFmt w:val="upperLetter"/>
      <w:lvlText w:val="%1."/>
      <w:lvlJc w:val="left"/>
      <w:pPr>
        <w:tabs>
          <w:tab w:val="num" w:pos="1320"/>
        </w:tabs>
        <w:ind w:left="1320" w:hanging="600"/>
      </w:pPr>
      <w:rPr>
        <w:rFonts w:cs="Times New Roman" w:hint="default"/>
        <w:b/>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6CE271F1"/>
    <w:multiLevelType w:val="hybridMultilevel"/>
    <w:tmpl w:val="FFFFFFFF"/>
    <w:lvl w:ilvl="0" w:tplc="8BCA4912">
      <w:start w:val="1"/>
      <w:numFmt w:val="decimal"/>
      <w:lvlText w:val="%1."/>
      <w:lvlJc w:val="left"/>
      <w:pPr>
        <w:tabs>
          <w:tab w:val="num" w:pos="1080"/>
        </w:tabs>
        <w:ind w:left="1080" w:hanging="720"/>
      </w:pPr>
      <w:rPr>
        <w:rFonts w:cs="Times New Roman" w:hint="default"/>
      </w:rPr>
    </w:lvl>
    <w:lvl w:ilvl="1" w:tplc="F7B0A430">
      <w:start w:val="1"/>
      <w:numFmt w:val="lowerLetter"/>
      <w:lvlText w:val="%2)"/>
      <w:lvlJc w:val="left"/>
      <w:pPr>
        <w:tabs>
          <w:tab w:val="num" w:pos="1440"/>
        </w:tabs>
        <w:ind w:left="1440" w:hanging="36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3305AF8"/>
    <w:multiLevelType w:val="hybridMultilevel"/>
    <w:tmpl w:val="FFFFFFFF"/>
    <w:lvl w:ilvl="0" w:tplc="391A2C82">
      <w:numFmt w:val="bullet"/>
      <w:lvlText w:val="-"/>
      <w:lvlJc w:val="left"/>
      <w:pPr>
        <w:tabs>
          <w:tab w:val="num" w:pos="1800"/>
        </w:tabs>
        <w:ind w:left="1800" w:hanging="360"/>
      </w:pPr>
      <w:rPr>
        <w:rFonts w:ascii="Arial" w:eastAsia="Times New Roman" w:hAnsi="Arial"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63B0A2A"/>
    <w:multiLevelType w:val="hybridMultilevel"/>
    <w:tmpl w:val="FFFFFFFF"/>
    <w:lvl w:ilvl="0" w:tplc="FB8E3578">
      <w:start w:val="1"/>
      <w:numFmt w:val="lowerRoman"/>
      <w:lvlText w:val="%1)"/>
      <w:lvlJc w:val="left"/>
      <w:pPr>
        <w:tabs>
          <w:tab w:val="num" w:pos="2040"/>
        </w:tabs>
        <w:ind w:left="2040" w:hanging="720"/>
      </w:pPr>
      <w:rPr>
        <w:rFonts w:cs="Times New Roman" w:hint="default"/>
      </w:rPr>
    </w:lvl>
    <w:lvl w:ilvl="1" w:tplc="0C090019" w:tentative="1">
      <w:start w:val="1"/>
      <w:numFmt w:val="lowerLetter"/>
      <w:lvlText w:val="%2."/>
      <w:lvlJc w:val="left"/>
      <w:pPr>
        <w:tabs>
          <w:tab w:val="num" w:pos="2400"/>
        </w:tabs>
        <w:ind w:left="2400" w:hanging="360"/>
      </w:pPr>
      <w:rPr>
        <w:rFonts w:cs="Times New Roman"/>
      </w:rPr>
    </w:lvl>
    <w:lvl w:ilvl="2" w:tplc="0C09001B" w:tentative="1">
      <w:start w:val="1"/>
      <w:numFmt w:val="lowerRoman"/>
      <w:lvlText w:val="%3."/>
      <w:lvlJc w:val="right"/>
      <w:pPr>
        <w:tabs>
          <w:tab w:val="num" w:pos="3120"/>
        </w:tabs>
        <w:ind w:left="3120" w:hanging="180"/>
      </w:pPr>
      <w:rPr>
        <w:rFonts w:cs="Times New Roman"/>
      </w:rPr>
    </w:lvl>
    <w:lvl w:ilvl="3" w:tplc="0C09000F" w:tentative="1">
      <w:start w:val="1"/>
      <w:numFmt w:val="decimal"/>
      <w:lvlText w:val="%4."/>
      <w:lvlJc w:val="left"/>
      <w:pPr>
        <w:tabs>
          <w:tab w:val="num" w:pos="3840"/>
        </w:tabs>
        <w:ind w:left="3840" w:hanging="360"/>
      </w:pPr>
      <w:rPr>
        <w:rFonts w:cs="Times New Roman"/>
      </w:rPr>
    </w:lvl>
    <w:lvl w:ilvl="4" w:tplc="0C090019" w:tentative="1">
      <w:start w:val="1"/>
      <w:numFmt w:val="lowerLetter"/>
      <w:lvlText w:val="%5."/>
      <w:lvlJc w:val="left"/>
      <w:pPr>
        <w:tabs>
          <w:tab w:val="num" w:pos="4560"/>
        </w:tabs>
        <w:ind w:left="4560" w:hanging="360"/>
      </w:pPr>
      <w:rPr>
        <w:rFonts w:cs="Times New Roman"/>
      </w:rPr>
    </w:lvl>
    <w:lvl w:ilvl="5" w:tplc="0C09001B" w:tentative="1">
      <w:start w:val="1"/>
      <w:numFmt w:val="lowerRoman"/>
      <w:lvlText w:val="%6."/>
      <w:lvlJc w:val="right"/>
      <w:pPr>
        <w:tabs>
          <w:tab w:val="num" w:pos="5280"/>
        </w:tabs>
        <w:ind w:left="5280" w:hanging="180"/>
      </w:pPr>
      <w:rPr>
        <w:rFonts w:cs="Times New Roman"/>
      </w:rPr>
    </w:lvl>
    <w:lvl w:ilvl="6" w:tplc="0C09000F" w:tentative="1">
      <w:start w:val="1"/>
      <w:numFmt w:val="decimal"/>
      <w:lvlText w:val="%7."/>
      <w:lvlJc w:val="left"/>
      <w:pPr>
        <w:tabs>
          <w:tab w:val="num" w:pos="6000"/>
        </w:tabs>
        <w:ind w:left="6000" w:hanging="360"/>
      </w:pPr>
      <w:rPr>
        <w:rFonts w:cs="Times New Roman"/>
      </w:rPr>
    </w:lvl>
    <w:lvl w:ilvl="7" w:tplc="0C090019" w:tentative="1">
      <w:start w:val="1"/>
      <w:numFmt w:val="lowerLetter"/>
      <w:lvlText w:val="%8."/>
      <w:lvlJc w:val="left"/>
      <w:pPr>
        <w:tabs>
          <w:tab w:val="num" w:pos="6720"/>
        </w:tabs>
        <w:ind w:left="6720" w:hanging="360"/>
      </w:pPr>
      <w:rPr>
        <w:rFonts w:cs="Times New Roman"/>
      </w:rPr>
    </w:lvl>
    <w:lvl w:ilvl="8" w:tplc="0C09001B" w:tentative="1">
      <w:start w:val="1"/>
      <w:numFmt w:val="lowerRoman"/>
      <w:lvlText w:val="%9."/>
      <w:lvlJc w:val="right"/>
      <w:pPr>
        <w:tabs>
          <w:tab w:val="num" w:pos="7440"/>
        </w:tabs>
        <w:ind w:left="7440" w:hanging="180"/>
      </w:pPr>
      <w:rPr>
        <w:rFonts w:cs="Times New Roman"/>
      </w:rPr>
    </w:lvl>
  </w:abstractNum>
  <w:num w:numId="1" w16cid:durableId="1215507016">
    <w:abstractNumId w:val="6"/>
  </w:num>
  <w:num w:numId="2" w16cid:durableId="1478061221">
    <w:abstractNumId w:val="19"/>
  </w:num>
  <w:num w:numId="3" w16cid:durableId="1403258594">
    <w:abstractNumId w:val="5"/>
  </w:num>
  <w:num w:numId="4" w16cid:durableId="715009095">
    <w:abstractNumId w:val="2"/>
  </w:num>
  <w:num w:numId="5" w16cid:durableId="1796755222">
    <w:abstractNumId w:val="0"/>
  </w:num>
  <w:num w:numId="6" w16cid:durableId="1260604169">
    <w:abstractNumId w:val="9"/>
  </w:num>
  <w:num w:numId="7" w16cid:durableId="1853298167">
    <w:abstractNumId w:val="17"/>
  </w:num>
  <w:num w:numId="8" w16cid:durableId="1341859348">
    <w:abstractNumId w:val="15"/>
  </w:num>
  <w:num w:numId="9" w16cid:durableId="415324333">
    <w:abstractNumId w:val="1"/>
  </w:num>
  <w:num w:numId="10" w16cid:durableId="560141464">
    <w:abstractNumId w:val="7"/>
  </w:num>
  <w:num w:numId="11" w16cid:durableId="911892312">
    <w:abstractNumId w:val="20"/>
  </w:num>
  <w:num w:numId="12" w16cid:durableId="1996568245">
    <w:abstractNumId w:val="3"/>
  </w:num>
  <w:num w:numId="13" w16cid:durableId="2035113236">
    <w:abstractNumId w:val="16"/>
  </w:num>
  <w:num w:numId="14" w16cid:durableId="510413048">
    <w:abstractNumId w:val="13"/>
  </w:num>
  <w:num w:numId="15" w16cid:durableId="627785910">
    <w:abstractNumId w:val="8"/>
  </w:num>
  <w:num w:numId="16" w16cid:durableId="1009605059">
    <w:abstractNumId w:val="4"/>
  </w:num>
  <w:num w:numId="17" w16cid:durableId="1474525706">
    <w:abstractNumId w:val="18"/>
  </w:num>
  <w:num w:numId="18" w16cid:durableId="676732908">
    <w:abstractNumId w:val="12"/>
  </w:num>
  <w:num w:numId="19" w16cid:durableId="1508522668">
    <w:abstractNumId w:val="14"/>
  </w:num>
  <w:num w:numId="20" w16cid:durableId="140924035">
    <w:abstractNumId w:val="11"/>
  </w:num>
  <w:num w:numId="21" w16cid:durableId="2093892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B2"/>
    <w:rsid w:val="00000D05"/>
    <w:rsid w:val="00003B76"/>
    <w:rsid w:val="00006DEE"/>
    <w:rsid w:val="00007864"/>
    <w:rsid w:val="00012454"/>
    <w:rsid w:val="000133C4"/>
    <w:rsid w:val="00013DB0"/>
    <w:rsid w:val="00013F07"/>
    <w:rsid w:val="000179B8"/>
    <w:rsid w:val="00020E41"/>
    <w:rsid w:val="00021CD2"/>
    <w:rsid w:val="00021CE0"/>
    <w:rsid w:val="00022317"/>
    <w:rsid w:val="00023AB5"/>
    <w:rsid w:val="00024F2A"/>
    <w:rsid w:val="0002627F"/>
    <w:rsid w:val="0002661B"/>
    <w:rsid w:val="00027945"/>
    <w:rsid w:val="0003541D"/>
    <w:rsid w:val="00037091"/>
    <w:rsid w:val="000373D0"/>
    <w:rsid w:val="00037D06"/>
    <w:rsid w:val="00041100"/>
    <w:rsid w:val="00051D54"/>
    <w:rsid w:val="00051F4F"/>
    <w:rsid w:val="00051F8F"/>
    <w:rsid w:val="00053CF0"/>
    <w:rsid w:val="00056468"/>
    <w:rsid w:val="00056F08"/>
    <w:rsid w:val="00060089"/>
    <w:rsid w:val="00065937"/>
    <w:rsid w:val="00065BED"/>
    <w:rsid w:val="0006640E"/>
    <w:rsid w:val="00071004"/>
    <w:rsid w:val="00071729"/>
    <w:rsid w:val="00073AF9"/>
    <w:rsid w:val="00080161"/>
    <w:rsid w:val="00083882"/>
    <w:rsid w:val="00086DA7"/>
    <w:rsid w:val="00091237"/>
    <w:rsid w:val="00094837"/>
    <w:rsid w:val="000A050D"/>
    <w:rsid w:val="000A0B98"/>
    <w:rsid w:val="000A1BB4"/>
    <w:rsid w:val="000A3591"/>
    <w:rsid w:val="000A4231"/>
    <w:rsid w:val="000B0E2C"/>
    <w:rsid w:val="000B3776"/>
    <w:rsid w:val="000B647F"/>
    <w:rsid w:val="000B708C"/>
    <w:rsid w:val="000B7648"/>
    <w:rsid w:val="000B7EC3"/>
    <w:rsid w:val="000C30D2"/>
    <w:rsid w:val="000C3892"/>
    <w:rsid w:val="000C3E68"/>
    <w:rsid w:val="000C47D1"/>
    <w:rsid w:val="000C5637"/>
    <w:rsid w:val="000C74E8"/>
    <w:rsid w:val="000D202C"/>
    <w:rsid w:val="000D3946"/>
    <w:rsid w:val="000D5489"/>
    <w:rsid w:val="000D5CCF"/>
    <w:rsid w:val="000D5F17"/>
    <w:rsid w:val="000D68DA"/>
    <w:rsid w:val="000D708D"/>
    <w:rsid w:val="000E1D06"/>
    <w:rsid w:val="000E510C"/>
    <w:rsid w:val="000F0884"/>
    <w:rsid w:val="000F526E"/>
    <w:rsid w:val="000F5884"/>
    <w:rsid w:val="00100050"/>
    <w:rsid w:val="001011F0"/>
    <w:rsid w:val="00105C66"/>
    <w:rsid w:val="00107EA2"/>
    <w:rsid w:val="001158A4"/>
    <w:rsid w:val="00115EBE"/>
    <w:rsid w:val="0012126C"/>
    <w:rsid w:val="00121631"/>
    <w:rsid w:val="001221FF"/>
    <w:rsid w:val="00122473"/>
    <w:rsid w:val="0012397A"/>
    <w:rsid w:val="0012525F"/>
    <w:rsid w:val="00130CA2"/>
    <w:rsid w:val="00130FD7"/>
    <w:rsid w:val="00131E71"/>
    <w:rsid w:val="00132EBF"/>
    <w:rsid w:val="001332B4"/>
    <w:rsid w:val="00133EC2"/>
    <w:rsid w:val="001361E1"/>
    <w:rsid w:val="0013666F"/>
    <w:rsid w:val="00137A51"/>
    <w:rsid w:val="00137C43"/>
    <w:rsid w:val="00141AEE"/>
    <w:rsid w:val="001421AC"/>
    <w:rsid w:val="00142A37"/>
    <w:rsid w:val="001435F7"/>
    <w:rsid w:val="00145F34"/>
    <w:rsid w:val="00146474"/>
    <w:rsid w:val="00154F1F"/>
    <w:rsid w:val="0015502A"/>
    <w:rsid w:val="00155A33"/>
    <w:rsid w:val="00155E7F"/>
    <w:rsid w:val="0015751A"/>
    <w:rsid w:val="00160076"/>
    <w:rsid w:val="001604DC"/>
    <w:rsid w:val="00160CCC"/>
    <w:rsid w:val="00165CD8"/>
    <w:rsid w:val="00166E1F"/>
    <w:rsid w:val="00166F35"/>
    <w:rsid w:val="001744D5"/>
    <w:rsid w:val="00180317"/>
    <w:rsid w:val="0018365B"/>
    <w:rsid w:val="0018439D"/>
    <w:rsid w:val="00185DE5"/>
    <w:rsid w:val="001866E6"/>
    <w:rsid w:val="00186F79"/>
    <w:rsid w:val="001879C7"/>
    <w:rsid w:val="001930DB"/>
    <w:rsid w:val="001957FE"/>
    <w:rsid w:val="001A23F3"/>
    <w:rsid w:val="001A263E"/>
    <w:rsid w:val="001A292E"/>
    <w:rsid w:val="001A36FA"/>
    <w:rsid w:val="001A3CD8"/>
    <w:rsid w:val="001B2D23"/>
    <w:rsid w:val="001B35AB"/>
    <w:rsid w:val="001B47F5"/>
    <w:rsid w:val="001C14C4"/>
    <w:rsid w:val="001C48B7"/>
    <w:rsid w:val="001C5E2F"/>
    <w:rsid w:val="001C5FF4"/>
    <w:rsid w:val="001C7D01"/>
    <w:rsid w:val="001D0B2C"/>
    <w:rsid w:val="001D3E02"/>
    <w:rsid w:val="001D43AF"/>
    <w:rsid w:val="001E3314"/>
    <w:rsid w:val="001E3C12"/>
    <w:rsid w:val="001E4145"/>
    <w:rsid w:val="001E436C"/>
    <w:rsid w:val="001E559F"/>
    <w:rsid w:val="001F6AF0"/>
    <w:rsid w:val="00201D79"/>
    <w:rsid w:val="002026C7"/>
    <w:rsid w:val="002041D5"/>
    <w:rsid w:val="00210D94"/>
    <w:rsid w:val="00211CF7"/>
    <w:rsid w:val="00212455"/>
    <w:rsid w:val="00214344"/>
    <w:rsid w:val="00220A3F"/>
    <w:rsid w:val="002226B0"/>
    <w:rsid w:val="00223F8B"/>
    <w:rsid w:val="00225719"/>
    <w:rsid w:val="002270A5"/>
    <w:rsid w:val="002273CC"/>
    <w:rsid w:val="00231138"/>
    <w:rsid w:val="00231145"/>
    <w:rsid w:val="00233697"/>
    <w:rsid w:val="00233E4B"/>
    <w:rsid w:val="00235258"/>
    <w:rsid w:val="002359EF"/>
    <w:rsid w:val="00236FD0"/>
    <w:rsid w:val="00242194"/>
    <w:rsid w:val="002430A5"/>
    <w:rsid w:val="00244A12"/>
    <w:rsid w:val="002456D7"/>
    <w:rsid w:val="00252BB2"/>
    <w:rsid w:val="002578D8"/>
    <w:rsid w:val="00260B7E"/>
    <w:rsid w:val="0026190E"/>
    <w:rsid w:val="00262851"/>
    <w:rsid w:val="00262DDE"/>
    <w:rsid w:val="002653C8"/>
    <w:rsid w:val="0027353E"/>
    <w:rsid w:val="00275CA1"/>
    <w:rsid w:val="00286784"/>
    <w:rsid w:val="00286D28"/>
    <w:rsid w:val="00287EF4"/>
    <w:rsid w:val="0029335C"/>
    <w:rsid w:val="00293685"/>
    <w:rsid w:val="0029743D"/>
    <w:rsid w:val="00297A54"/>
    <w:rsid w:val="002A36AD"/>
    <w:rsid w:val="002A7B87"/>
    <w:rsid w:val="002B4431"/>
    <w:rsid w:val="002B45A6"/>
    <w:rsid w:val="002B7A34"/>
    <w:rsid w:val="002C3AAD"/>
    <w:rsid w:val="002C45E1"/>
    <w:rsid w:val="002C55E2"/>
    <w:rsid w:val="002C79AC"/>
    <w:rsid w:val="002C7FD3"/>
    <w:rsid w:val="002D198F"/>
    <w:rsid w:val="002D33DE"/>
    <w:rsid w:val="002D3E33"/>
    <w:rsid w:val="002E0D91"/>
    <w:rsid w:val="002E448B"/>
    <w:rsid w:val="002E5F4B"/>
    <w:rsid w:val="002E67DF"/>
    <w:rsid w:val="002E7C9F"/>
    <w:rsid w:val="002F1082"/>
    <w:rsid w:val="002F28E4"/>
    <w:rsid w:val="002F2C1A"/>
    <w:rsid w:val="002F2D59"/>
    <w:rsid w:val="002F3735"/>
    <w:rsid w:val="00300BB9"/>
    <w:rsid w:val="00302FDC"/>
    <w:rsid w:val="00307BA8"/>
    <w:rsid w:val="00310DD7"/>
    <w:rsid w:val="00313218"/>
    <w:rsid w:val="0031599F"/>
    <w:rsid w:val="00321D41"/>
    <w:rsid w:val="00322167"/>
    <w:rsid w:val="0033286B"/>
    <w:rsid w:val="003359F2"/>
    <w:rsid w:val="003368CE"/>
    <w:rsid w:val="00340506"/>
    <w:rsid w:val="00341B18"/>
    <w:rsid w:val="00345437"/>
    <w:rsid w:val="00347ADF"/>
    <w:rsid w:val="00353AB5"/>
    <w:rsid w:val="00362726"/>
    <w:rsid w:val="003640CE"/>
    <w:rsid w:val="00364448"/>
    <w:rsid w:val="00364D22"/>
    <w:rsid w:val="00366147"/>
    <w:rsid w:val="00367268"/>
    <w:rsid w:val="00374FDD"/>
    <w:rsid w:val="00386164"/>
    <w:rsid w:val="00386C3B"/>
    <w:rsid w:val="003931AC"/>
    <w:rsid w:val="00393B24"/>
    <w:rsid w:val="00394D6C"/>
    <w:rsid w:val="003A0684"/>
    <w:rsid w:val="003A33EC"/>
    <w:rsid w:val="003B4327"/>
    <w:rsid w:val="003B5331"/>
    <w:rsid w:val="003C7EFA"/>
    <w:rsid w:val="003D03E3"/>
    <w:rsid w:val="003D2896"/>
    <w:rsid w:val="003D3913"/>
    <w:rsid w:val="003D730B"/>
    <w:rsid w:val="003E11FE"/>
    <w:rsid w:val="003E50AC"/>
    <w:rsid w:val="003E7441"/>
    <w:rsid w:val="003E7BCF"/>
    <w:rsid w:val="003F05DA"/>
    <w:rsid w:val="003F1212"/>
    <w:rsid w:val="003F247C"/>
    <w:rsid w:val="003F2986"/>
    <w:rsid w:val="003F39FE"/>
    <w:rsid w:val="003F7519"/>
    <w:rsid w:val="003F7A8C"/>
    <w:rsid w:val="004045BD"/>
    <w:rsid w:val="00410B9E"/>
    <w:rsid w:val="00410FBD"/>
    <w:rsid w:val="004136BD"/>
    <w:rsid w:val="00413789"/>
    <w:rsid w:val="00414204"/>
    <w:rsid w:val="00415320"/>
    <w:rsid w:val="004210CA"/>
    <w:rsid w:val="00421A65"/>
    <w:rsid w:val="004250E5"/>
    <w:rsid w:val="004272ED"/>
    <w:rsid w:val="00430AAC"/>
    <w:rsid w:val="0043374C"/>
    <w:rsid w:val="00442076"/>
    <w:rsid w:val="00442D3C"/>
    <w:rsid w:val="00445785"/>
    <w:rsid w:val="00445AFA"/>
    <w:rsid w:val="004462F2"/>
    <w:rsid w:val="00447A2A"/>
    <w:rsid w:val="00451E55"/>
    <w:rsid w:val="004532D4"/>
    <w:rsid w:val="00455A51"/>
    <w:rsid w:val="004578F4"/>
    <w:rsid w:val="00460EA7"/>
    <w:rsid w:val="00464F44"/>
    <w:rsid w:val="00465FF4"/>
    <w:rsid w:val="004722AA"/>
    <w:rsid w:val="0047259F"/>
    <w:rsid w:val="004746FC"/>
    <w:rsid w:val="0047767C"/>
    <w:rsid w:val="0048064C"/>
    <w:rsid w:val="004823AD"/>
    <w:rsid w:val="00483A9F"/>
    <w:rsid w:val="00484F23"/>
    <w:rsid w:val="0048768F"/>
    <w:rsid w:val="00487A8E"/>
    <w:rsid w:val="00490175"/>
    <w:rsid w:val="0049467B"/>
    <w:rsid w:val="00496AD6"/>
    <w:rsid w:val="004A6D2D"/>
    <w:rsid w:val="004B12B2"/>
    <w:rsid w:val="004B13AE"/>
    <w:rsid w:val="004B1E14"/>
    <w:rsid w:val="004B3ABF"/>
    <w:rsid w:val="004B49E5"/>
    <w:rsid w:val="004B4EF4"/>
    <w:rsid w:val="004B5A9E"/>
    <w:rsid w:val="004C4DAF"/>
    <w:rsid w:val="004C5DB1"/>
    <w:rsid w:val="004C6F42"/>
    <w:rsid w:val="004D069A"/>
    <w:rsid w:val="004D4D42"/>
    <w:rsid w:val="004D776A"/>
    <w:rsid w:val="004D7885"/>
    <w:rsid w:val="004D7F8C"/>
    <w:rsid w:val="004E2213"/>
    <w:rsid w:val="004E271F"/>
    <w:rsid w:val="004E41DD"/>
    <w:rsid w:val="004E44DE"/>
    <w:rsid w:val="004E6ACB"/>
    <w:rsid w:val="004F1352"/>
    <w:rsid w:val="004F388D"/>
    <w:rsid w:val="004F3EBB"/>
    <w:rsid w:val="004F6033"/>
    <w:rsid w:val="00501EFA"/>
    <w:rsid w:val="005022D7"/>
    <w:rsid w:val="00504B27"/>
    <w:rsid w:val="0050563B"/>
    <w:rsid w:val="0051022D"/>
    <w:rsid w:val="00510A69"/>
    <w:rsid w:val="005157DD"/>
    <w:rsid w:val="00516D49"/>
    <w:rsid w:val="005209C5"/>
    <w:rsid w:val="00526933"/>
    <w:rsid w:val="00527BDA"/>
    <w:rsid w:val="005314B0"/>
    <w:rsid w:val="00531C15"/>
    <w:rsid w:val="00534283"/>
    <w:rsid w:val="005342B5"/>
    <w:rsid w:val="00537814"/>
    <w:rsid w:val="005405AE"/>
    <w:rsid w:val="00541C4E"/>
    <w:rsid w:val="00544E3E"/>
    <w:rsid w:val="0054541B"/>
    <w:rsid w:val="00547AF9"/>
    <w:rsid w:val="005524F7"/>
    <w:rsid w:val="00552EFD"/>
    <w:rsid w:val="005532F0"/>
    <w:rsid w:val="00554500"/>
    <w:rsid w:val="00554FB2"/>
    <w:rsid w:val="00556E4D"/>
    <w:rsid w:val="0056071F"/>
    <w:rsid w:val="00560C36"/>
    <w:rsid w:val="005661CF"/>
    <w:rsid w:val="005737F8"/>
    <w:rsid w:val="00577414"/>
    <w:rsid w:val="0058191E"/>
    <w:rsid w:val="00581AF4"/>
    <w:rsid w:val="005822AD"/>
    <w:rsid w:val="00582EE1"/>
    <w:rsid w:val="005933B3"/>
    <w:rsid w:val="00595914"/>
    <w:rsid w:val="00595B05"/>
    <w:rsid w:val="005A0B21"/>
    <w:rsid w:val="005A727E"/>
    <w:rsid w:val="005B2F45"/>
    <w:rsid w:val="005B3718"/>
    <w:rsid w:val="005B451B"/>
    <w:rsid w:val="005B6208"/>
    <w:rsid w:val="005B6EC9"/>
    <w:rsid w:val="005B7EC2"/>
    <w:rsid w:val="005C0E91"/>
    <w:rsid w:val="005C1BFD"/>
    <w:rsid w:val="005C2AB1"/>
    <w:rsid w:val="005C4321"/>
    <w:rsid w:val="005C47B4"/>
    <w:rsid w:val="005C63F3"/>
    <w:rsid w:val="005C7B5D"/>
    <w:rsid w:val="005D0789"/>
    <w:rsid w:val="005D08B8"/>
    <w:rsid w:val="005D0FB1"/>
    <w:rsid w:val="005D497E"/>
    <w:rsid w:val="005D6177"/>
    <w:rsid w:val="005E0025"/>
    <w:rsid w:val="005E0606"/>
    <w:rsid w:val="005E09E2"/>
    <w:rsid w:val="005E138E"/>
    <w:rsid w:val="005E4273"/>
    <w:rsid w:val="005E50CE"/>
    <w:rsid w:val="005E5486"/>
    <w:rsid w:val="005E5503"/>
    <w:rsid w:val="005E62D9"/>
    <w:rsid w:val="005E6DF2"/>
    <w:rsid w:val="005F1FD2"/>
    <w:rsid w:val="006007D4"/>
    <w:rsid w:val="00601753"/>
    <w:rsid w:val="00601D64"/>
    <w:rsid w:val="00604CE3"/>
    <w:rsid w:val="00606410"/>
    <w:rsid w:val="00606B0C"/>
    <w:rsid w:val="006070BF"/>
    <w:rsid w:val="006171EA"/>
    <w:rsid w:val="00622B13"/>
    <w:rsid w:val="00623254"/>
    <w:rsid w:val="0063100C"/>
    <w:rsid w:val="006310CD"/>
    <w:rsid w:val="006313DB"/>
    <w:rsid w:val="00631A92"/>
    <w:rsid w:val="006346CB"/>
    <w:rsid w:val="0063496A"/>
    <w:rsid w:val="00640090"/>
    <w:rsid w:val="00640350"/>
    <w:rsid w:val="0064370D"/>
    <w:rsid w:val="00643E14"/>
    <w:rsid w:val="00643FCF"/>
    <w:rsid w:val="00644BF6"/>
    <w:rsid w:val="00644CEF"/>
    <w:rsid w:val="00645A84"/>
    <w:rsid w:val="00651132"/>
    <w:rsid w:val="00652A3F"/>
    <w:rsid w:val="00660166"/>
    <w:rsid w:val="00660205"/>
    <w:rsid w:val="0066075A"/>
    <w:rsid w:val="0066348E"/>
    <w:rsid w:val="006642FF"/>
    <w:rsid w:val="006659D2"/>
    <w:rsid w:val="00666354"/>
    <w:rsid w:val="00667A26"/>
    <w:rsid w:val="00674996"/>
    <w:rsid w:val="00675CA9"/>
    <w:rsid w:val="00675E20"/>
    <w:rsid w:val="006778F2"/>
    <w:rsid w:val="00681160"/>
    <w:rsid w:val="00687113"/>
    <w:rsid w:val="00687982"/>
    <w:rsid w:val="006905B6"/>
    <w:rsid w:val="0069360E"/>
    <w:rsid w:val="00696DFC"/>
    <w:rsid w:val="006A0718"/>
    <w:rsid w:val="006A249E"/>
    <w:rsid w:val="006A4B9F"/>
    <w:rsid w:val="006A5036"/>
    <w:rsid w:val="006A5A56"/>
    <w:rsid w:val="006B05E4"/>
    <w:rsid w:val="006B3513"/>
    <w:rsid w:val="006B554C"/>
    <w:rsid w:val="006B5772"/>
    <w:rsid w:val="006B7DC9"/>
    <w:rsid w:val="006C3B5C"/>
    <w:rsid w:val="006C40A8"/>
    <w:rsid w:val="006C4E99"/>
    <w:rsid w:val="006C4F16"/>
    <w:rsid w:val="006C525F"/>
    <w:rsid w:val="006C55D3"/>
    <w:rsid w:val="006D3647"/>
    <w:rsid w:val="006D409E"/>
    <w:rsid w:val="006D43F4"/>
    <w:rsid w:val="006D4E83"/>
    <w:rsid w:val="006D6331"/>
    <w:rsid w:val="006D7E41"/>
    <w:rsid w:val="006E35EC"/>
    <w:rsid w:val="006E40B6"/>
    <w:rsid w:val="006E4756"/>
    <w:rsid w:val="006E627C"/>
    <w:rsid w:val="006F0057"/>
    <w:rsid w:val="006F2589"/>
    <w:rsid w:val="006F2ACC"/>
    <w:rsid w:val="006F2D1C"/>
    <w:rsid w:val="006F7518"/>
    <w:rsid w:val="00703431"/>
    <w:rsid w:val="00705498"/>
    <w:rsid w:val="00705DC9"/>
    <w:rsid w:val="0071402E"/>
    <w:rsid w:val="00716853"/>
    <w:rsid w:val="007213D8"/>
    <w:rsid w:val="0072450A"/>
    <w:rsid w:val="00725DA1"/>
    <w:rsid w:val="00727CB3"/>
    <w:rsid w:val="00732CB8"/>
    <w:rsid w:val="00734540"/>
    <w:rsid w:val="00734BAD"/>
    <w:rsid w:val="00736697"/>
    <w:rsid w:val="00736F9C"/>
    <w:rsid w:val="0073744C"/>
    <w:rsid w:val="00742C54"/>
    <w:rsid w:val="00743A0B"/>
    <w:rsid w:val="00747393"/>
    <w:rsid w:val="00747C58"/>
    <w:rsid w:val="00753706"/>
    <w:rsid w:val="007554A4"/>
    <w:rsid w:val="00755748"/>
    <w:rsid w:val="0075694E"/>
    <w:rsid w:val="0076505D"/>
    <w:rsid w:val="0076762B"/>
    <w:rsid w:val="0077188E"/>
    <w:rsid w:val="0077321C"/>
    <w:rsid w:val="00773A31"/>
    <w:rsid w:val="007743E5"/>
    <w:rsid w:val="0077466A"/>
    <w:rsid w:val="00774D12"/>
    <w:rsid w:val="00776B67"/>
    <w:rsid w:val="00777BFA"/>
    <w:rsid w:val="0078284D"/>
    <w:rsid w:val="007837B6"/>
    <w:rsid w:val="007843F5"/>
    <w:rsid w:val="0078604E"/>
    <w:rsid w:val="007864FE"/>
    <w:rsid w:val="007922A2"/>
    <w:rsid w:val="00795A26"/>
    <w:rsid w:val="00796972"/>
    <w:rsid w:val="0079756D"/>
    <w:rsid w:val="00797D6A"/>
    <w:rsid w:val="007A3D94"/>
    <w:rsid w:val="007A5BD6"/>
    <w:rsid w:val="007A70CB"/>
    <w:rsid w:val="007A7A7C"/>
    <w:rsid w:val="007B2FE9"/>
    <w:rsid w:val="007C06BE"/>
    <w:rsid w:val="007C109B"/>
    <w:rsid w:val="007D0358"/>
    <w:rsid w:val="007D49E2"/>
    <w:rsid w:val="007D5E2B"/>
    <w:rsid w:val="007E045F"/>
    <w:rsid w:val="007F0582"/>
    <w:rsid w:val="007F407F"/>
    <w:rsid w:val="007F6309"/>
    <w:rsid w:val="00801A7D"/>
    <w:rsid w:val="00801B0B"/>
    <w:rsid w:val="00801C31"/>
    <w:rsid w:val="00803BD9"/>
    <w:rsid w:val="00803DF1"/>
    <w:rsid w:val="0080434D"/>
    <w:rsid w:val="008119FF"/>
    <w:rsid w:val="00813519"/>
    <w:rsid w:val="008177F1"/>
    <w:rsid w:val="00822697"/>
    <w:rsid w:val="008254ED"/>
    <w:rsid w:val="00825AD6"/>
    <w:rsid w:val="00825AF3"/>
    <w:rsid w:val="00835857"/>
    <w:rsid w:val="0083786B"/>
    <w:rsid w:val="0084250C"/>
    <w:rsid w:val="00846B0A"/>
    <w:rsid w:val="00860103"/>
    <w:rsid w:val="00861344"/>
    <w:rsid w:val="008618BC"/>
    <w:rsid w:val="00863824"/>
    <w:rsid w:val="00867A57"/>
    <w:rsid w:val="00872B90"/>
    <w:rsid w:val="008743C8"/>
    <w:rsid w:val="008779D3"/>
    <w:rsid w:val="00880036"/>
    <w:rsid w:val="0088280C"/>
    <w:rsid w:val="00882B89"/>
    <w:rsid w:val="00882C17"/>
    <w:rsid w:val="00884B4E"/>
    <w:rsid w:val="00886C9D"/>
    <w:rsid w:val="00891CD5"/>
    <w:rsid w:val="00894CB4"/>
    <w:rsid w:val="00897CEB"/>
    <w:rsid w:val="008A011D"/>
    <w:rsid w:val="008A3489"/>
    <w:rsid w:val="008A6C7B"/>
    <w:rsid w:val="008A6D95"/>
    <w:rsid w:val="008B0555"/>
    <w:rsid w:val="008B163B"/>
    <w:rsid w:val="008B309A"/>
    <w:rsid w:val="008B5A64"/>
    <w:rsid w:val="008C0FDB"/>
    <w:rsid w:val="008C2B1E"/>
    <w:rsid w:val="008C3B6E"/>
    <w:rsid w:val="008C7CFA"/>
    <w:rsid w:val="008D1B16"/>
    <w:rsid w:val="008D38AB"/>
    <w:rsid w:val="008D7498"/>
    <w:rsid w:val="008E0F2E"/>
    <w:rsid w:val="008E3CDC"/>
    <w:rsid w:val="008E49BE"/>
    <w:rsid w:val="008E5EB5"/>
    <w:rsid w:val="008F0AEA"/>
    <w:rsid w:val="008F4131"/>
    <w:rsid w:val="00900A08"/>
    <w:rsid w:val="00900CD1"/>
    <w:rsid w:val="0090551C"/>
    <w:rsid w:val="00906285"/>
    <w:rsid w:val="00907DB8"/>
    <w:rsid w:val="00910B84"/>
    <w:rsid w:val="00910F08"/>
    <w:rsid w:val="00912616"/>
    <w:rsid w:val="009155FE"/>
    <w:rsid w:val="009156CB"/>
    <w:rsid w:val="00916548"/>
    <w:rsid w:val="00916A9E"/>
    <w:rsid w:val="0091703E"/>
    <w:rsid w:val="0091748E"/>
    <w:rsid w:val="00920704"/>
    <w:rsid w:val="00921D93"/>
    <w:rsid w:val="00922EB3"/>
    <w:rsid w:val="00924E29"/>
    <w:rsid w:val="00932387"/>
    <w:rsid w:val="009325C8"/>
    <w:rsid w:val="00935920"/>
    <w:rsid w:val="009361C5"/>
    <w:rsid w:val="009368DD"/>
    <w:rsid w:val="00943DDC"/>
    <w:rsid w:val="00945643"/>
    <w:rsid w:val="009471A2"/>
    <w:rsid w:val="0095517C"/>
    <w:rsid w:val="0096138D"/>
    <w:rsid w:val="0096301F"/>
    <w:rsid w:val="00964F39"/>
    <w:rsid w:val="009706E6"/>
    <w:rsid w:val="009729DA"/>
    <w:rsid w:val="00973415"/>
    <w:rsid w:val="0097489A"/>
    <w:rsid w:val="00975148"/>
    <w:rsid w:val="00983A9C"/>
    <w:rsid w:val="00983B8A"/>
    <w:rsid w:val="00987A25"/>
    <w:rsid w:val="00987E86"/>
    <w:rsid w:val="0099291C"/>
    <w:rsid w:val="0099343A"/>
    <w:rsid w:val="00994EC8"/>
    <w:rsid w:val="0099784A"/>
    <w:rsid w:val="009A13A1"/>
    <w:rsid w:val="009A62E7"/>
    <w:rsid w:val="009A70E9"/>
    <w:rsid w:val="009A75B4"/>
    <w:rsid w:val="009B0B6F"/>
    <w:rsid w:val="009B141C"/>
    <w:rsid w:val="009B7984"/>
    <w:rsid w:val="009C0331"/>
    <w:rsid w:val="009C0CDC"/>
    <w:rsid w:val="009C45B1"/>
    <w:rsid w:val="009C6E5E"/>
    <w:rsid w:val="009C7C22"/>
    <w:rsid w:val="009D2811"/>
    <w:rsid w:val="009D53A1"/>
    <w:rsid w:val="009D752E"/>
    <w:rsid w:val="009D78E5"/>
    <w:rsid w:val="009E0A00"/>
    <w:rsid w:val="009E0B77"/>
    <w:rsid w:val="009E210D"/>
    <w:rsid w:val="009E2226"/>
    <w:rsid w:val="009E2B4F"/>
    <w:rsid w:val="009E55E7"/>
    <w:rsid w:val="009F5AC4"/>
    <w:rsid w:val="00A005AA"/>
    <w:rsid w:val="00A00F7E"/>
    <w:rsid w:val="00A01B9A"/>
    <w:rsid w:val="00A03B9C"/>
    <w:rsid w:val="00A05581"/>
    <w:rsid w:val="00A058BC"/>
    <w:rsid w:val="00A06037"/>
    <w:rsid w:val="00A06D25"/>
    <w:rsid w:val="00A06E25"/>
    <w:rsid w:val="00A10677"/>
    <w:rsid w:val="00A109AA"/>
    <w:rsid w:val="00A11407"/>
    <w:rsid w:val="00A131C6"/>
    <w:rsid w:val="00A14026"/>
    <w:rsid w:val="00A14AF1"/>
    <w:rsid w:val="00A1624D"/>
    <w:rsid w:val="00A17A43"/>
    <w:rsid w:val="00A20A98"/>
    <w:rsid w:val="00A2183A"/>
    <w:rsid w:val="00A21F67"/>
    <w:rsid w:val="00A22276"/>
    <w:rsid w:val="00A240FE"/>
    <w:rsid w:val="00A255F7"/>
    <w:rsid w:val="00A26862"/>
    <w:rsid w:val="00A27142"/>
    <w:rsid w:val="00A27D7C"/>
    <w:rsid w:val="00A300D2"/>
    <w:rsid w:val="00A3267E"/>
    <w:rsid w:val="00A33BB7"/>
    <w:rsid w:val="00A3428C"/>
    <w:rsid w:val="00A35B0F"/>
    <w:rsid w:val="00A4064F"/>
    <w:rsid w:val="00A40B64"/>
    <w:rsid w:val="00A4644E"/>
    <w:rsid w:val="00A465ED"/>
    <w:rsid w:val="00A56752"/>
    <w:rsid w:val="00A57BCB"/>
    <w:rsid w:val="00A63734"/>
    <w:rsid w:val="00A64940"/>
    <w:rsid w:val="00A70D0C"/>
    <w:rsid w:val="00A729BA"/>
    <w:rsid w:val="00A753AD"/>
    <w:rsid w:val="00A76F12"/>
    <w:rsid w:val="00A81984"/>
    <w:rsid w:val="00A8294C"/>
    <w:rsid w:val="00A834EB"/>
    <w:rsid w:val="00A8526C"/>
    <w:rsid w:val="00A937E5"/>
    <w:rsid w:val="00A945F1"/>
    <w:rsid w:val="00A96965"/>
    <w:rsid w:val="00A96DF5"/>
    <w:rsid w:val="00AA1874"/>
    <w:rsid w:val="00AA3807"/>
    <w:rsid w:val="00AA57A0"/>
    <w:rsid w:val="00AB3609"/>
    <w:rsid w:val="00AB604B"/>
    <w:rsid w:val="00AC2B73"/>
    <w:rsid w:val="00AC5020"/>
    <w:rsid w:val="00AC529C"/>
    <w:rsid w:val="00AD2718"/>
    <w:rsid w:val="00AD27FC"/>
    <w:rsid w:val="00AE05BF"/>
    <w:rsid w:val="00AE17D3"/>
    <w:rsid w:val="00AE2EB3"/>
    <w:rsid w:val="00AE517F"/>
    <w:rsid w:val="00AE5A4F"/>
    <w:rsid w:val="00AE623B"/>
    <w:rsid w:val="00AE734A"/>
    <w:rsid w:val="00AF0FAF"/>
    <w:rsid w:val="00AF1E23"/>
    <w:rsid w:val="00AF2419"/>
    <w:rsid w:val="00AF4D8C"/>
    <w:rsid w:val="00B0130E"/>
    <w:rsid w:val="00B05D18"/>
    <w:rsid w:val="00B06F59"/>
    <w:rsid w:val="00B1442F"/>
    <w:rsid w:val="00B14803"/>
    <w:rsid w:val="00B15192"/>
    <w:rsid w:val="00B2205B"/>
    <w:rsid w:val="00B23A74"/>
    <w:rsid w:val="00B2480F"/>
    <w:rsid w:val="00B30344"/>
    <w:rsid w:val="00B30CA4"/>
    <w:rsid w:val="00B3203A"/>
    <w:rsid w:val="00B32F03"/>
    <w:rsid w:val="00B32F32"/>
    <w:rsid w:val="00B35029"/>
    <w:rsid w:val="00B40C86"/>
    <w:rsid w:val="00B41308"/>
    <w:rsid w:val="00B415ED"/>
    <w:rsid w:val="00B41A72"/>
    <w:rsid w:val="00B46B97"/>
    <w:rsid w:val="00B478DD"/>
    <w:rsid w:val="00B520E6"/>
    <w:rsid w:val="00B539C8"/>
    <w:rsid w:val="00B55886"/>
    <w:rsid w:val="00B628FF"/>
    <w:rsid w:val="00B6447C"/>
    <w:rsid w:val="00B65A74"/>
    <w:rsid w:val="00B666D3"/>
    <w:rsid w:val="00B70854"/>
    <w:rsid w:val="00B7326C"/>
    <w:rsid w:val="00B73D15"/>
    <w:rsid w:val="00B742EC"/>
    <w:rsid w:val="00B76211"/>
    <w:rsid w:val="00B7747B"/>
    <w:rsid w:val="00B80C78"/>
    <w:rsid w:val="00B8369F"/>
    <w:rsid w:val="00B8476D"/>
    <w:rsid w:val="00B933F9"/>
    <w:rsid w:val="00B94917"/>
    <w:rsid w:val="00BA29FB"/>
    <w:rsid w:val="00BA4693"/>
    <w:rsid w:val="00BA5737"/>
    <w:rsid w:val="00BA6DFA"/>
    <w:rsid w:val="00BB15D6"/>
    <w:rsid w:val="00BB2A7D"/>
    <w:rsid w:val="00BB4794"/>
    <w:rsid w:val="00BB4F18"/>
    <w:rsid w:val="00BB53A6"/>
    <w:rsid w:val="00BB7E5B"/>
    <w:rsid w:val="00BC0689"/>
    <w:rsid w:val="00BC4E9C"/>
    <w:rsid w:val="00BC6DCA"/>
    <w:rsid w:val="00BD1663"/>
    <w:rsid w:val="00BD167C"/>
    <w:rsid w:val="00BD17A5"/>
    <w:rsid w:val="00BD1A7D"/>
    <w:rsid w:val="00BD1B06"/>
    <w:rsid w:val="00BD3969"/>
    <w:rsid w:val="00BD3BBD"/>
    <w:rsid w:val="00BD46E2"/>
    <w:rsid w:val="00BD6923"/>
    <w:rsid w:val="00BD7BE4"/>
    <w:rsid w:val="00BD7F5D"/>
    <w:rsid w:val="00BE57AC"/>
    <w:rsid w:val="00BE5AD2"/>
    <w:rsid w:val="00BE5BC9"/>
    <w:rsid w:val="00BE648E"/>
    <w:rsid w:val="00BF35B1"/>
    <w:rsid w:val="00BF4B5F"/>
    <w:rsid w:val="00BF6069"/>
    <w:rsid w:val="00BF6914"/>
    <w:rsid w:val="00C0368C"/>
    <w:rsid w:val="00C06D59"/>
    <w:rsid w:val="00C147C3"/>
    <w:rsid w:val="00C16ACA"/>
    <w:rsid w:val="00C17C4F"/>
    <w:rsid w:val="00C23AFC"/>
    <w:rsid w:val="00C24F81"/>
    <w:rsid w:val="00C258B5"/>
    <w:rsid w:val="00C27694"/>
    <w:rsid w:val="00C27B3D"/>
    <w:rsid w:val="00C3151A"/>
    <w:rsid w:val="00C315BD"/>
    <w:rsid w:val="00C324F7"/>
    <w:rsid w:val="00C3630B"/>
    <w:rsid w:val="00C36A06"/>
    <w:rsid w:val="00C37FDE"/>
    <w:rsid w:val="00C461D6"/>
    <w:rsid w:val="00C507F8"/>
    <w:rsid w:val="00C51C08"/>
    <w:rsid w:val="00C52FBE"/>
    <w:rsid w:val="00C530E7"/>
    <w:rsid w:val="00C55798"/>
    <w:rsid w:val="00C6223D"/>
    <w:rsid w:val="00C63976"/>
    <w:rsid w:val="00C65554"/>
    <w:rsid w:val="00C77CBE"/>
    <w:rsid w:val="00C81F09"/>
    <w:rsid w:val="00C83271"/>
    <w:rsid w:val="00C84D5D"/>
    <w:rsid w:val="00C8717C"/>
    <w:rsid w:val="00C87880"/>
    <w:rsid w:val="00C9093A"/>
    <w:rsid w:val="00C92141"/>
    <w:rsid w:val="00C93DAB"/>
    <w:rsid w:val="00C94D8A"/>
    <w:rsid w:val="00CA0DE3"/>
    <w:rsid w:val="00CA174A"/>
    <w:rsid w:val="00CA30B1"/>
    <w:rsid w:val="00CA37E7"/>
    <w:rsid w:val="00CB37D4"/>
    <w:rsid w:val="00CB5E35"/>
    <w:rsid w:val="00CB7A10"/>
    <w:rsid w:val="00CC231A"/>
    <w:rsid w:val="00CC2782"/>
    <w:rsid w:val="00CC70D0"/>
    <w:rsid w:val="00CC7124"/>
    <w:rsid w:val="00CC7E21"/>
    <w:rsid w:val="00CD21AF"/>
    <w:rsid w:val="00CD6D9D"/>
    <w:rsid w:val="00CE1830"/>
    <w:rsid w:val="00CE6247"/>
    <w:rsid w:val="00CF0131"/>
    <w:rsid w:val="00CF27FB"/>
    <w:rsid w:val="00CF77BA"/>
    <w:rsid w:val="00D0014D"/>
    <w:rsid w:val="00D007A7"/>
    <w:rsid w:val="00D033FB"/>
    <w:rsid w:val="00D1073F"/>
    <w:rsid w:val="00D109BB"/>
    <w:rsid w:val="00D231E1"/>
    <w:rsid w:val="00D2599A"/>
    <w:rsid w:val="00D267FD"/>
    <w:rsid w:val="00D30759"/>
    <w:rsid w:val="00D36B60"/>
    <w:rsid w:val="00D41D04"/>
    <w:rsid w:val="00D4278A"/>
    <w:rsid w:val="00D45D80"/>
    <w:rsid w:val="00D51042"/>
    <w:rsid w:val="00D5640E"/>
    <w:rsid w:val="00D613F8"/>
    <w:rsid w:val="00D61D1F"/>
    <w:rsid w:val="00D62A90"/>
    <w:rsid w:val="00D64285"/>
    <w:rsid w:val="00D65187"/>
    <w:rsid w:val="00D66C5F"/>
    <w:rsid w:val="00D67F77"/>
    <w:rsid w:val="00D70781"/>
    <w:rsid w:val="00D7164C"/>
    <w:rsid w:val="00D723F5"/>
    <w:rsid w:val="00D72941"/>
    <w:rsid w:val="00D7618F"/>
    <w:rsid w:val="00D767AB"/>
    <w:rsid w:val="00D76F3F"/>
    <w:rsid w:val="00D81094"/>
    <w:rsid w:val="00D81CC7"/>
    <w:rsid w:val="00D83BF8"/>
    <w:rsid w:val="00D85DE7"/>
    <w:rsid w:val="00D92022"/>
    <w:rsid w:val="00D93964"/>
    <w:rsid w:val="00D95EC9"/>
    <w:rsid w:val="00D97BD6"/>
    <w:rsid w:val="00DA110D"/>
    <w:rsid w:val="00DA5046"/>
    <w:rsid w:val="00DA580E"/>
    <w:rsid w:val="00DA634D"/>
    <w:rsid w:val="00DB3C80"/>
    <w:rsid w:val="00DB4D2A"/>
    <w:rsid w:val="00DB7DC5"/>
    <w:rsid w:val="00DC300F"/>
    <w:rsid w:val="00DC3764"/>
    <w:rsid w:val="00DC3919"/>
    <w:rsid w:val="00DC3D25"/>
    <w:rsid w:val="00DC3E06"/>
    <w:rsid w:val="00DC4410"/>
    <w:rsid w:val="00DC6A5D"/>
    <w:rsid w:val="00DD1D62"/>
    <w:rsid w:val="00DD23D2"/>
    <w:rsid w:val="00DD41E9"/>
    <w:rsid w:val="00DD47BC"/>
    <w:rsid w:val="00DE2DB0"/>
    <w:rsid w:val="00DE3221"/>
    <w:rsid w:val="00DE4C8A"/>
    <w:rsid w:val="00DF16CE"/>
    <w:rsid w:val="00DF40C8"/>
    <w:rsid w:val="00DF4DA2"/>
    <w:rsid w:val="00DF623C"/>
    <w:rsid w:val="00DF6D08"/>
    <w:rsid w:val="00DF7AB1"/>
    <w:rsid w:val="00E00476"/>
    <w:rsid w:val="00E0102A"/>
    <w:rsid w:val="00E0176E"/>
    <w:rsid w:val="00E04D4C"/>
    <w:rsid w:val="00E0647B"/>
    <w:rsid w:val="00E071D2"/>
    <w:rsid w:val="00E07F10"/>
    <w:rsid w:val="00E12E58"/>
    <w:rsid w:val="00E16925"/>
    <w:rsid w:val="00E174DE"/>
    <w:rsid w:val="00E23F7C"/>
    <w:rsid w:val="00E27759"/>
    <w:rsid w:val="00E3048C"/>
    <w:rsid w:val="00E30687"/>
    <w:rsid w:val="00E30A26"/>
    <w:rsid w:val="00E310C7"/>
    <w:rsid w:val="00E3315C"/>
    <w:rsid w:val="00E35EFE"/>
    <w:rsid w:val="00E47673"/>
    <w:rsid w:val="00E52B23"/>
    <w:rsid w:val="00E56BD0"/>
    <w:rsid w:val="00E6500A"/>
    <w:rsid w:val="00E6709A"/>
    <w:rsid w:val="00E702B0"/>
    <w:rsid w:val="00E732AA"/>
    <w:rsid w:val="00E754D0"/>
    <w:rsid w:val="00E755F2"/>
    <w:rsid w:val="00E8028D"/>
    <w:rsid w:val="00E82F11"/>
    <w:rsid w:val="00E83ED5"/>
    <w:rsid w:val="00E87454"/>
    <w:rsid w:val="00E96DAC"/>
    <w:rsid w:val="00EA6696"/>
    <w:rsid w:val="00EA7BA3"/>
    <w:rsid w:val="00EB0BDA"/>
    <w:rsid w:val="00EB23D0"/>
    <w:rsid w:val="00EB2BBE"/>
    <w:rsid w:val="00EB3806"/>
    <w:rsid w:val="00EB4956"/>
    <w:rsid w:val="00EB6238"/>
    <w:rsid w:val="00EC0D93"/>
    <w:rsid w:val="00EC34D0"/>
    <w:rsid w:val="00EC5839"/>
    <w:rsid w:val="00EC5C39"/>
    <w:rsid w:val="00ED1334"/>
    <w:rsid w:val="00ED1CFE"/>
    <w:rsid w:val="00ED257F"/>
    <w:rsid w:val="00ED61FD"/>
    <w:rsid w:val="00EE00F2"/>
    <w:rsid w:val="00EE12EE"/>
    <w:rsid w:val="00EE1AF9"/>
    <w:rsid w:val="00EE47C4"/>
    <w:rsid w:val="00EE5D63"/>
    <w:rsid w:val="00EE5E18"/>
    <w:rsid w:val="00EE753D"/>
    <w:rsid w:val="00EF04A7"/>
    <w:rsid w:val="00EF0F25"/>
    <w:rsid w:val="00EF19BB"/>
    <w:rsid w:val="00EF50CA"/>
    <w:rsid w:val="00EF7575"/>
    <w:rsid w:val="00EF7E1C"/>
    <w:rsid w:val="00F0120D"/>
    <w:rsid w:val="00F038A2"/>
    <w:rsid w:val="00F03C88"/>
    <w:rsid w:val="00F03FAB"/>
    <w:rsid w:val="00F04248"/>
    <w:rsid w:val="00F0467E"/>
    <w:rsid w:val="00F05502"/>
    <w:rsid w:val="00F069EA"/>
    <w:rsid w:val="00F07C56"/>
    <w:rsid w:val="00F10DCD"/>
    <w:rsid w:val="00F14DD3"/>
    <w:rsid w:val="00F15DE5"/>
    <w:rsid w:val="00F213C0"/>
    <w:rsid w:val="00F2218E"/>
    <w:rsid w:val="00F2317A"/>
    <w:rsid w:val="00F233EC"/>
    <w:rsid w:val="00F252A9"/>
    <w:rsid w:val="00F31D70"/>
    <w:rsid w:val="00F42529"/>
    <w:rsid w:val="00F447A3"/>
    <w:rsid w:val="00F52296"/>
    <w:rsid w:val="00F53F07"/>
    <w:rsid w:val="00F558E9"/>
    <w:rsid w:val="00F63482"/>
    <w:rsid w:val="00F63B85"/>
    <w:rsid w:val="00F657A9"/>
    <w:rsid w:val="00F66B74"/>
    <w:rsid w:val="00F765F5"/>
    <w:rsid w:val="00F771FF"/>
    <w:rsid w:val="00F77B98"/>
    <w:rsid w:val="00F83592"/>
    <w:rsid w:val="00F84F16"/>
    <w:rsid w:val="00F8757D"/>
    <w:rsid w:val="00F90C3B"/>
    <w:rsid w:val="00F91FD3"/>
    <w:rsid w:val="00F92276"/>
    <w:rsid w:val="00F968BF"/>
    <w:rsid w:val="00F97D9A"/>
    <w:rsid w:val="00F97E0F"/>
    <w:rsid w:val="00FA0E4F"/>
    <w:rsid w:val="00FA1EC8"/>
    <w:rsid w:val="00FA50B4"/>
    <w:rsid w:val="00FA5E4A"/>
    <w:rsid w:val="00FA7ACC"/>
    <w:rsid w:val="00FB174D"/>
    <w:rsid w:val="00FB1F6B"/>
    <w:rsid w:val="00FB26B1"/>
    <w:rsid w:val="00FB47E8"/>
    <w:rsid w:val="00FC31F2"/>
    <w:rsid w:val="00FC4106"/>
    <w:rsid w:val="00FC4B23"/>
    <w:rsid w:val="00FC7B65"/>
    <w:rsid w:val="00FD1861"/>
    <w:rsid w:val="00FD19ED"/>
    <w:rsid w:val="00FD55C3"/>
    <w:rsid w:val="00FE4724"/>
    <w:rsid w:val="00FE4F31"/>
    <w:rsid w:val="00FE5C42"/>
    <w:rsid w:val="00FE78CC"/>
    <w:rsid w:val="00FF0B85"/>
    <w:rsid w:val="00FF2666"/>
    <w:rsid w:val="00FF28B7"/>
    <w:rsid w:val="00FF2A9A"/>
    <w:rsid w:val="00FF3735"/>
    <w:rsid w:val="00FF661C"/>
    <w:rsid w:val="00FF7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0FD567"/>
  <w14:defaultImageDpi w14:val="0"/>
  <w15:docId w15:val="{6FAC156A-E07C-4883-B4E8-88B0777C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1"/>
    <w:rPr>
      <w:lang w:eastAsia="en-US"/>
    </w:rPr>
  </w:style>
  <w:style w:type="paragraph" w:styleId="Heading2">
    <w:name w:val="heading 2"/>
    <w:basedOn w:val="Normal"/>
    <w:next w:val="Normal"/>
    <w:link w:val="Heading2Char"/>
    <w:uiPriority w:val="9"/>
    <w:qFormat/>
    <w:rsid w:val="008F4131"/>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paragraph" w:styleId="Header">
    <w:name w:val="header"/>
    <w:basedOn w:val="Normal"/>
    <w:link w:val="HeaderChar"/>
    <w:uiPriority w:val="99"/>
    <w:rsid w:val="00D007A7"/>
    <w:pPr>
      <w:tabs>
        <w:tab w:val="center" w:pos="4153"/>
        <w:tab w:val="right" w:pos="8306"/>
      </w:tabs>
    </w:pPr>
  </w:style>
  <w:style w:type="character" w:customStyle="1" w:styleId="HeaderChar">
    <w:name w:val="Header Char"/>
    <w:link w:val="Header"/>
    <w:uiPriority w:val="99"/>
    <w:semiHidden/>
    <w:locked/>
    <w:rPr>
      <w:rFonts w:cs="Times New Roman"/>
      <w:lang w:val="x-none" w:eastAsia="en-US"/>
    </w:rPr>
  </w:style>
  <w:style w:type="character" w:styleId="PageNumber">
    <w:name w:val="page number"/>
    <w:uiPriority w:val="99"/>
    <w:rsid w:val="00D007A7"/>
    <w:rPr>
      <w:rFonts w:cs="Times New Roman"/>
    </w:rPr>
  </w:style>
  <w:style w:type="paragraph" w:styleId="Footer">
    <w:name w:val="footer"/>
    <w:basedOn w:val="Normal"/>
    <w:link w:val="FooterChar"/>
    <w:uiPriority w:val="99"/>
    <w:rsid w:val="00D007A7"/>
    <w:pPr>
      <w:tabs>
        <w:tab w:val="center" w:pos="4153"/>
        <w:tab w:val="right" w:pos="8306"/>
      </w:tabs>
    </w:pPr>
  </w:style>
  <w:style w:type="character" w:customStyle="1" w:styleId="FooterChar">
    <w:name w:val="Footer Char"/>
    <w:link w:val="Footer"/>
    <w:uiPriority w:val="99"/>
    <w:semiHidden/>
    <w:locked/>
    <w:rPr>
      <w:rFonts w:cs="Times New Roman"/>
      <w:lang w:val="x-none" w:eastAsia="en-US"/>
    </w:rPr>
  </w:style>
  <w:style w:type="paragraph" w:styleId="BalloonText">
    <w:name w:val="Balloon Text"/>
    <w:basedOn w:val="Normal"/>
    <w:link w:val="BalloonTextChar"/>
    <w:uiPriority w:val="99"/>
    <w:semiHidden/>
    <w:rsid w:val="00145F34"/>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Revision">
    <w:name w:val="Revision"/>
    <w:hidden/>
    <w:uiPriority w:val="99"/>
    <w:semiHidden/>
    <w:rsid w:val="00E6709A"/>
    <w:rPr>
      <w:lang w:eastAsia="en-US"/>
    </w:rPr>
  </w:style>
  <w:style w:type="character" w:styleId="CommentReference">
    <w:name w:val="annotation reference"/>
    <w:uiPriority w:val="99"/>
    <w:rsid w:val="00A96DF5"/>
    <w:rPr>
      <w:rFonts w:cs="Times New Roman"/>
      <w:sz w:val="16"/>
      <w:szCs w:val="16"/>
    </w:rPr>
  </w:style>
  <w:style w:type="paragraph" w:styleId="CommentText">
    <w:name w:val="annotation text"/>
    <w:basedOn w:val="Normal"/>
    <w:link w:val="CommentTextChar"/>
    <w:uiPriority w:val="99"/>
    <w:rsid w:val="00A96DF5"/>
  </w:style>
  <w:style w:type="character" w:customStyle="1" w:styleId="CommentTextChar">
    <w:name w:val="Comment Text Char"/>
    <w:link w:val="CommentText"/>
    <w:uiPriority w:val="99"/>
    <w:rsid w:val="00A96DF5"/>
    <w:rPr>
      <w:rFonts w:cs="Times New Roman"/>
      <w:lang w:val="x-none" w:eastAsia="en-US"/>
    </w:rPr>
  </w:style>
  <w:style w:type="paragraph" w:styleId="CommentSubject">
    <w:name w:val="annotation subject"/>
    <w:basedOn w:val="CommentText"/>
    <w:next w:val="CommentText"/>
    <w:link w:val="CommentSubjectChar"/>
    <w:uiPriority w:val="99"/>
    <w:rsid w:val="00A96DF5"/>
    <w:rPr>
      <w:b/>
      <w:bCs/>
    </w:rPr>
  </w:style>
  <w:style w:type="character" w:customStyle="1" w:styleId="CommentSubjectChar">
    <w:name w:val="Comment Subject Char"/>
    <w:link w:val="CommentSubject"/>
    <w:uiPriority w:val="99"/>
    <w:rsid w:val="00A96DF5"/>
    <w:rPr>
      <w:rFonts w:cs="Times New Roman"/>
      <w:b/>
      <w:bCs/>
      <w:lang w:val="x-none" w:eastAsia="en-US"/>
    </w:rPr>
  </w:style>
  <w:style w:type="character" w:styleId="Hyperlink">
    <w:name w:val="Hyperlink"/>
    <w:uiPriority w:val="99"/>
    <w:rsid w:val="00A96DF5"/>
    <w:rPr>
      <w:rFonts w:cs="Times New Roman"/>
      <w:color w:val="0000FF"/>
      <w:u w:val="single"/>
    </w:rPr>
  </w:style>
  <w:style w:type="character" w:styleId="UnresolvedMention">
    <w:name w:val="Unresolved Mention"/>
    <w:uiPriority w:val="99"/>
    <w:semiHidden/>
    <w:unhideWhenUsed/>
    <w:rsid w:val="00A96DF5"/>
    <w:rPr>
      <w:rFonts w:cs="Times New Roman"/>
      <w:color w:val="605E5C"/>
      <w:shd w:val="clear" w:color="auto" w:fill="E1DFDD"/>
    </w:rPr>
  </w:style>
  <w:style w:type="table" w:styleId="TableGrid">
    <w:name w:val="Table Grid"/>
    <w:basedOn w:val="TableNormal"/>
    <w:uiPriority w:val="59"/>
    <w:rsid w:val="0058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43459B27FFF340B643BAE2487C6501" ma:contentTypeVersion="11" ma:contentTypeDescription="Create a new document." ma:contentTypeScope="" ma:versionID="28416b6c57a1ed58113ac7225872b5ca">
  <xsd:schema xmlns:xsd="http://www.w3.org/2001/XMLSchema" xmlns:xs="http://www.w3.org/2001/XMLSchema" xmlns:p="http://schemas.microsoft.com/office/2006/metadata/properties" xmlns:ns2="66c85d97-3485-4259-bb66-c708a57f6dfc" xmlns:ns3="03e429b8-7c07-498b-b7ff-3b69b2c1a22c" targetNamespace="http://schemas.microsoft.com/office/2006/metadata/properties" ma:root="true" ma:fieldsID="a7c6863506ffd5bdd946a6068f1418af" ns2:_="" ns3:_="">
    <xsd:import namespace="66c85d97-3485-4259-bb66-c708a57f6dfc"/>
    <xsd:import namespace="03e429b8-7c07-498b-b7ff-3b69b2c1a22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85d97-3485-4259-bb66-c708a57f6df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9574f9-e35b-4f83-b1ee-b8bcaaa79e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e429b8-7c07-498b-b7ff-3b69b2c1a22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3ac8d0-bc5a-4291-93eb-3be7a645d814}" ma:internalName="TaxCatchAll" ma:showField="CatchAllData" ma:web="03e429b8-7c07-498b-b7ff-3b69b2c1a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3e429b8-7c07-498b-b7ff-3b69b2c1a22c" xsi:nil="true"/>
    <lcf76f155ced4ddcb4097134ff3c332f xmlns="66c85d97-3485-4259-bb66-c708a57f6d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F5424-413F-4E3B-8654-11219134C17E}">
  <ds:schemaRefs>
    <ds:schemaRef ds:uri="http://schemas.microsoft.com/sharepoint/v3/contenttype/forms"/>
  </ds:schemaRefs>
</ds:datastoreItem>
</file>

<file path=customXml/itemProps2.xml><?xml version="1.0" encoding="utf-8"?>
<ds:datastoreItem xmlns:ds="http://schemas.openxmlformats.org/officeDocument/2006/customXml" ds:itemID="{62160394-5EC3-40C4-BA56-661477648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85d97-3485-4259-bb66-c708a57f6dfc"/>
    <ds:schemaRef ds:uri="03e429b8-7c07-498b-b7ff-3b69b2c1a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3BEF1-23D6-47E2-B591-332BECB78BE0}">
  <ds:schemaRefs>
    <ds:schemaRef ds:uri="http://schemas.openxmlformats.org/officeDocument/2006/bibliography"/>
  </ds:schemaRefs>
</ds:datastoreItem>
</file>

<file path=customXml/itemProps4.xml><?xml version="1.0" encoding="utf-8"?>
<ds:datastoreItem xmlns:ds="http://schemas.openxmlformats.org/officeDocument/2006/customXml" ds:itemID="{D31365BB-45C8-4AAD-964D-16C3C7BAA790}">
  <ds:schemaRefs>
    <ds:schemaRef ds:uri="http://schemas.microsoft.com/office/2006/metadata/properties"/>
    <ds:schemaRef ds:uri="http://schemas.microsoft.com/office/infopath/2007/PartnerControls"/>
    <ds:schemaRef ds:uri="03e429b8-7c07-498b-b7ff-3b69b2c1a22c"/>
    <ds:schemaRef ds:uri="66c85d97-3485-4259-bb66-c708a57f6df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2550</Characters>
  <Application>Microsoft Office Word</Application>
  <DocSecurity>0</DocSecurity>
  <Lines>125</Lines>
  <Paragraphs>62</Paragraphs>
  <ScaleCrop>false</ScaleCrop>
  <HeadingPairs>
    <vt:vector size="2" baseType="variant">
      <vt:variant>
        <vt:lpstr>Title</vt:lpstr>
      </vt:variant>
      <vt:variant>
        <vt:i4>1</vt:i4>
      </vt:variant>
    </vt:vector>
  </HeadingPairs>
  <TitlesOfParts>
    <vt:vector size="1" baseType="lpstr">
      <vt:lpstr> </vt:lpstr>
    </vt:vector>
  </TitlesOfParts>
  <Company>ACT Law Society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Government</dc:creator>
  <cp:keywords/>
  <dc:description/>
  <cp:lastModifiedBy>PCODCS</cp:lastModifiedBy>
  <cp:revision>4</cp:revision>
  <cp:lastPrinted>2015-05-14T01:32:00Z</cp:lastPrinted>
  <dcterms:created xsi:type="dcterms:W3CDTF">2026-06-04T00:22:00Z</dcterms:created>
  <dcterms:modified xsi:type="dcterms:W3CDTF">2026-06-04T00:22:00Z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0x0101004343459B27FFF340B643BAE2487C6501</vt:lpwstr>
  </property>
  <property fmtid="{D5CDD505-2E9C-101B-9397-08002B2CF9AE}" pid="3" name="MSIP_Label_69af8531-eb46-4968-8cb3-105d2f5ea87e_Enabled">
    <vt:lpwstr>true</vt:lpwstr>
  </property>
  <property fmtid="{D5CDD505-2E9C-101B-9397-08002B2CF9AE}" pid="4" name="MSIP_Label_69af8531-eb46-4968-8cb3-105d2f5ea87e_SetDate">
    <vt:lpwstr>2026-05-12T05:26:42Z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3f8243aa-2141-4e19-b1ce-3ad0a9f80909</vt:lpwstr>
  </property>
  <property fmtid="{D5CDD505-2E9C-101B-9397-08002B2CF9AE}" pid="9" name="MSIP_Label_69af8531-eb46-4968-8cb3-105d2f5ea87e_ContentBits">
    <vt:lpwstr>0</vt:lpwstr>
  </property>
  <property fmtid="{D5CDD505-2E9C-101B-9397-08002B2CF9AE}" pid="10" name="MSIP_Label_69af8531-eb46-4968-8cb3-105d2f5ea87e_Tag">
    <vt:lpwstr>10, 3, 0, 1</vt:lpwstr>
  </property>
</Properties>
</file>