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43DD" w:rsidRDefault="007343DD">
      <w:pPr>
        <w:spacing w:after="120"/>
        <w:rPr>
          <w:rFonts w:ascii="Arial" w:hAnsi="Arial"/>
          <w:sz w:val="24"/>
          <w:szCs w:val="24"/>
        </w:rPr>
      </w:pPr>
      <w:r w:rsidRPr="00C05EB0">
        <w:rPr>
          <w:rFonts w:ascii="Arial" w:hAnsi="Arial"/>
          <w:sz w:val="24"/>
          <w:szCs w:val="24"/>
        </w:rPr>
        <w:t>Australian Capital Territory</w:t>
      </w:r>
    </w:p>
    <w:p w:rsidR="00D820E2" w:rsidRPr="00C05EB0" w:rsidRDefault="00D820E2">
      <w:pPr>
        <w:spacing w:after="120"/>
        <w:rPr>
          <w:rFonts w:ascii="Arial" w:hAnsi="Arial"/>
          <w:sz w:val="24"/>
          <w:szCs w:val="24"/>
        </w:rPr>
      </w:pPr>
    </w:p>
    <w:p w:rsidR="007343DD" w:rsidRPr="00C05EB0" w:rsidRDefault="007343DD">
      <w:pPr>
        <w:pStyle w:val="Billname"/>
        <w:spacing w:before="120" w:after="120"/>
        <w:rPr>
          <w:szCs w:val="40"/>
        </w:rPr>
      </w:pPr>
      <w:r w:rsidRPr="00C05EB0">
        <w:rPr>
          <w:szCs w:val="40"/>
        </w:rPr>
        <w:t>Electoral (</w:t>
      </w:r>
      <w:r w:rsidR="005C527E">
        <w:rPr>
          <w:szCs w:val="40"/>
        </w:rPr>
        <w:t>Fees</w:t>
      </w:r>
      <w:r w:rsidR="005202BE" w:rsidRPr="00C05EB0">
        <w:rPr>
          <w:szCs w:val="40"/>
        </w:rPr>
        <w:t>)</w:t>
      </w:r>
      <w:r w:rsidR="00C05EB0">
        <w:rPr>
          <w:szCs w:val="40"/>
        </w:rPr>
        <w:t xml:space="preserve"> </w:t>
      </w:r>
      <w:r w:rsidR="005C527E">
        <w:rPr>
          <w:szCs w:val="40"/>
        </w:rPr>
        <w:t>Determination</w:t>
      </w:r>
      <w:r w:rsidR="005202BE" w:rsidRPr="00C05EB0">
        <w:rPr>
          <w:szCs w:val="40"/>
        </w:rPr>
        <w:t xml:space="preserve"> </w:t>
      </w:r>
      <w:r w:rsidR="00E3645A">
        <w:rPr>
          <w:szCs w:val="40"/>
        </w:rPr>
        <w:t>20</w:t>
      </w:r>
      <w:r w:rsidR="008C6883">
        <w:rPr>
          <w:szCs w:val="40"/>
        </w:rPr>
        <w:t>2</w:t>
      </w:r>
      <w:r w:rsidR="007A555C">
        <w:rPr>
          <w:szCs w:val="40"/>
        </w:rPr>
        <w:t>6</w:t>
      </w:r>
      <w:r w:rsidRPr="00C05EB0">
        <w:rPr>
          <w:szCs w:val="40"/>
        </w:rPr>
        <w:t xml:space="preserve"> </w:t>
      </w:r>
    </w:p>
    <w:p w:rsidR="007343DD" w:rsidRPr="003665A1" w:rsidRDefault="005C527E">
      <w:pPr>
        <w:pStyle w:val="Heading1"/>
        <w:rPr>
          <w:color w:val="FF0000"/>
          <w:sz w:val="24"/>
          <w:szCs w:val="24"/>
          <w:vertAlign w:val="superscript"/>
        </w:rPr>
      </w:pPr>
      <w:r>
        <w:rPr>
          <w:sz w:val="24"/>
          <w:szCs w:val="24"/>
        </w:rPr>
        <w:t>Disallowable</w:t>
      </w:r>
      <w:r w:rsidR="005202BE" w:rsidRPr="00C05EB0">
        <w:rPr>
          <w:sz w:val="24"/>
          <w:szCs w:val="24"/>
        </w:rPr>
        <w:t xml:space="preserve"> instrument</w:t>
      </w:r>
      <w:r w:rsidR="008C6D3F" w:rsidRPr="00C05EB0">
        <w:rPr>
          <w:sz w:val="24"/>
          <w:szCs w:val="24"/>
        </w:rPr>
        <w:t xml:space="preserve"> </w:t>
      </w:r>
      <w:r>
        <w:rPr>
          <w:sz w:val="24"/>
          <w:szCs w:val="24"/>
        </w:rPr>
        <w:t>D</w:t>
      </w:r>
      <w:r w:rsidR="005202BE" w:rsidRPr="00C05EB0">
        <w:rPr>
          <w:sz w:val="24"/>
          <w:szCs w:val="24"/>
        </w:rPr>
        <w:t>I</w:t>
      </w:r>
      <w:r w:rsidR="00E3645A">
        <w:rPr>
          <w:sz w:val="24"/>
          <w:szCs w:val="24"/>
        </w:rPr>
        <w:t>20</w:t>
      </w:r>
      <w:r w:rsidR="008C6883">
        <w:rPr>
          <w:sz w:val="24"/>
          <w:szCs w:val="24"/>
        </w:rPr>
        <w:t>2</w:t>
      </w:r>
      <w:r w:rsidR="007A555C">
        <w:rPr>
          <w:sz w:val="24"/>
          <w:szCs w:val="24"/>
        </w:rPr>
        <w:t>6</w:t>
      </w:r>
      <w:r w:rsidR="004047C8" w:rsidRPr="00C05EB0">
        <w:rPr>
          <w:sz w:val="24"/>
          <w:szCs w:val="24"/>
        </w:rPr>
        <w:t xml:space="preserve"> — </w:t>
      </w:r>
      <w:r w:rsidR="00147C73">
        <w:rPr>
          <w:sz w:val="24"/>
          <w:szCs w:val="24"/>
        </w:rPr>
        <w:t>78</w:t>
      </w:r>
    </w:p>
    <w:p w:rsidR="007343DD" w:rsidRPr="00C05EB0" w:rsidRDefault="007343DD">
      <w:pPr>
        <w:pStyle w:val="madeunder"/>
        <w:spacing w:before="120"/>
        <w:rPr>
          <w:szCs w:val="24"/>
        </w:rPr>
      </w:pPr>
      <w:r w:rsidRPr="00C05EB0">
        <w:rPr>
          <w:szCs w:val="24"/>
        </w:rPr>
        <w:t>made under the</w:t>
      </w:r>
    </w:p>
    <w:p w:rsidR="003E65E0" w:rsidRDefault="004047C8" w:rsidP="003E65E0">
      <w:pPr>
        <w:pStyle w:val="CoverActName"/>
        <w:pBdr>
          <w:bottom w:val="single" w:sz="4" w:space="1" w:color="auto"/>
        </w:pBdr>
        <w:spacing w:before="120"/>
        <w:rPr>
          <w:color w:val="000000"/>
          <w:sz w:val="20"/>
        </w:rPr>
      </w:pPr>
      <w:r w:rsidRPr="002E52BB">
        <w:rPr>
          <w:i/>
          <w:color w:val="000000"/>
          <w:sz w:val="20"/>
        </w:rPr>
        <w:t>Electoral Act 1992</w:t>
      </w:r>
      <w:r w:rsidR="003E65E0" w:rsidRPr="00C05EB0">
        <w:rPr>
          <w:color w:val="000000"/>
          <w:sz w:val="20"/>
        </w:rPr>
        <w:t>, s</w:t>
      </w:r>
      <w:r w:rsidR="007447A6">
        <w:rPr>
          <w:color w:val="000000"/>
          <w:sz w:val="20"/>
        </w:rPr>
        <w:t>340B</w:t>
      </w:r>
      <w:r w:rsidR="003E65E0" w:rsidRPr="00C05EB0">
        <w:rPr>
          <w:color w:val="000000"/>
          <w:sz w:val="20"/>
        </w:rPr>
        <w:t xml:space="preserve"> (</w:t>
      </w:r>
      <w:r w:rsidR="005C527E">
        <w:rPr>
          <w:color w:val="000000"/>
          <w:sz w:val="20"/>
        </w:rPr>
        <w:t>Determination of fees</w:t>
      </w:r>
      <w:r w:rsidR="003E65E0" w:rsidRPr="00C05EB0">
        <w:rPr>
          <w:color w:val="000000"/>
          <w:sz w:val="20"/>
        </w:rPr>
        <w:t>)</w:t>
      </w:r>
    </w:p>
    <w:p w:rsidR="00D820E2" w:rsidRDefault="00D820E2" w:rsidP="003E65E0">
      <w:pPr>
        <w:pStyle w:val="CoverActName"/>
        <w:pBdr>
          <w:bottom w:val="single" w:sz="4" w:space="1" w:color="auto"/>
        </w:pBdr>
        <w:spacing w:before="120"/>
        <w:rPr>
          <w:rFonts w:ascii="Times New Roman" w:hAnsi="Times New Roman"/>
          <w:color w:val="000000"/>
          <w:sz w:val="20"/>
          <w:vertAlign w:val="superscript"/>
        </w:rPr>
      </w:pPr>
    </w:p>
    <w:p w:rsidR="00D820E2" w:rsidRDefault="00D820E2" w:rsidP="003E65E0">
      <w:pPr>
        <w:pStyle w:val="CoverActName"/>
        <w:pBdr>
          <w:bottom w:val="single" w:sz="4" w:space="1" w:color="auto"/>
        </w:pBdr>
        <w:spacing w:before="120"/>
        <w:rPr>
          <w:sz w:val="36"/>
          <w:szCs w:val="36"/>
        </w:rPr>
      </w:pPr>
      <w:r w:rsidRPr="00D820E2">
        <w:rPr>
          <w:sz w:val="36"/>
          <w:szCs w:val="36"/>
        </w:rPr>
        <w:t>EXPLANATORY STATEMENT</w:t>
      </w:r>
    </w:p>
    <w:p w:rsidR="00AD3BA1" w:rsidRPr="00AD3BA1" w:rsidRDefault="00AD3BA1" w:rsidP="00AD3BA1">
      <w:pPr>
        <w:pStyle w:val="CoverActName"/>
        <w:pBdr>
          <w:bottom w:val="single" w:sz="4" w:space="1" w:color="auto"/>
        </w:pBdr>
        <w:spacing w:before="0"/>
        <w:rPr>
          <w:rFonts w:ascii="Times New Roman" w:hAnsi="Times New Roman"/>
          <w:color w:val="000000"/>
          <w:sz w:val="20"/>
          <w:vertAlign w:val="superscript"/>
        </w:rPr>
      </w:pPr>
    </w:p>
    <w:p w:rsidR="00530D0A" w:rsidRPr="007447A6" w:rsidRDefault="00530D0A" w:rsidP="00530D0A">
      <w:pPr>
        <w:spacing w:before="60" w:after="60"/>
        <w:rPr>
          <w:b/>
          <w:iCs/>
          <w:sz w:val="22"/>
          <w:szCs w:val="22"/>
        </w:rPr>
      </w:pPr>
      <w:r w:rsidRPr="007447A6">
        <w:rPr>
          <w:b/>
          <w:iCs/>
          <w:sz w:val="22"/>
          <w:szCs w:val="22"/>
        </w:rPr>
        <w:t xml:space="preserve">Overview </w:t>
      </w:r>
    </w:p>
    <w:p w:rsidR="004F46A6" w:rsidRPr="007447A6" w:rsidRDefault="004F46A6" w:rsidP="004F46A6">
      <w:pPr>
        <w:spacing w:before="60" w:after="60"/>
        <w:rPr>
          <w:iCs/>
          <w:sz w:val="22"/>
          <w:szCs w:val="22"/>
        </w:rPr>
      </w:pPr>
      <w:r w:rsidRPr="007447A6">
        <w:rPr>
          <w:iCs/>
          <w:sz w:val="22"/>
          <w:szCs w:val="22"/>
        </w:rPr>
        <w:t xml:space="preserve">The ACT Electoral Commission is empowered to determine fees for the purposes of the </w:t>
      </w:r>
      <w:r w:rsidRPr="007447A6">
        <w:rPr>
          <w:i/>
          <w:iCs/>
          <w:sz w:val="22"/>
          <w:szCs w:val="22"/>
        </w:rPr>
        <w:t>Electoral Act 1992</w:t>
      </w:r>
      <w:r w:rsidRPr="007447A6">
        <w:rPr>
          <w:iCs/>
          <w:sz w:val="22"/>
          <w:szCs w:val="22"/>
        </w:rPr>
        <w:t xml:space="preserve"> under section </w:t>
      </w:r>
      <w:r w:rsidR="007447A6" w:rsidRPr="007447A6">
        <w:rPr>
          <w:iCs/>
          <w:sz w:val="22"/>
          <w:szCs w:val="22"/>
        </w:rPr>
        <w:t>340B</w:t>
      </w:r>
      <w:r w:rsidRPr="007447A6">
        <w:rPr>
          <w:iCs/>
          <w:sz w:val="22"/>
          <w:szCs w:val="22"/>
        </w:rPr>
        <w:t xml:space="preserve">.  </w:t>
      </w:r>
    </w:p>
    <w:p w:rsidR="004F46A6" w:rsidRPr="007447A6" w:rsidRDefault="004F46A6" w:rsidP="004F46A6">
      <w:pPr>
        <w:spacing w:before="60" w:after="60"/>
        <w:rPr>
          <w:iCs/>
          <w:sz w:val="22"/>
          <w:szCs w:val="22"/>
        </w:rPr>
      </w:pPr>
      <w:r w:rsidRPr="007447A6">
        <w:rPr>
          <w:iCs/>
          <w:sz w:val="22"/>
          <w:szCs w:val="22"/>
        </w:rPr>
        <w:t xml:space="preserve">Revenue received by the Electoral Commission is a function of client demand for </w:t>
      </w:r>
      <w:r w:rsidR="00423270" w:rsidRPr="007447A6">
        <w:rPr>
          <w:iCs/>
          <w:sz w:val="22"/>
          <w:szCs w:val="22"/>
        </w:rPr>
        <w:t>services and</w:t>
      </w:r>
      <w:r w:rsidRPr="007447A6">
        <w:rPr>
          <w:iCs/>
          <w:sz w:val="22"/>
          <w:szCs w:val="22"/>
        </w:rPr>
        <w:t xml:space="preserve"> fluctuates from year to year.</w:t>
      </w:r>
    </w:p>
    <w:p w:rsidR="004F46A6" w:rsidRPr="00022260" w:rsidRDefault="004F46A6" w:rsidP="004F46A6">
      <w:pPr>
        <w:spacing w:before="60" w:after="60"/>
        <w:rPr>
          <w:iCs/>
          <w:sz w:val="22"/>
          <w:szCs w:val="22"/>
        </w:rPr>
      </w:pPr>
      <w:r w:rsidRPr="007447A6">
        <w:rPr>
          <w:iCs/>
          <w:sz w:val="22"/>
          <w:szCs w:val="22"/>
        </w:rPr>
        <w:t xml:space="preserve">The </w:t>
      </w:r>
      <w:r w:rsidR="005E33E2">
        <w:rPr>
          <w:iCs/>
          <w:sz w:val="22"/>
          <w:szCs w:val="22"/>
        </w:rPr>
        <w:t xml:space="preserve">updated </w:t>
      </w:r>
      <w:r w:rsidRPr="007447A6">
        <w:rPr>
          <w:iCs/>
          <w:sz w:val="22"/>
          <w:szCs w:val="22"/>
        </w:rPr>
        <w:t xml:space="preserve">fees </w:t>
      </w:r>
      <w:r w:rsidR="0041441C" w:rsidRPr="007447A6">
        <w:rPr>
          <w:iCs/>
          <w:sz w:val="22"/>
          <w:szCs w:val="22"/>
        </w:rPr>
        <w:t>for 20</w:t>
      </w:r>
      <w:r w:rsidR="00423270">
        <w:rPr>
          <w:iCs/>
          <w:sz w:val="22"/>
          <w:szCs w:val="22"/>
        </w:rPr>
        <w:t>2</w:t>
      </w:r>
      <w:r w:rsidR="007A555C">
        <w:rPr>
          <w:iCs/>
          <w:sz w:val="22"/>
          <w:szCs w:val="22"/>
        </w:rPr>
        <w:t>6</w:t>
      </w:r>
      <w:r w:rsidR="0041441C" w:rsidRPr="007447A6">
        <w:rPr>
          <w:iCs/>
          <w:sz w:val="22"/>
          <w:szCs w:val="22"/>
        </w:rPr>
        <w:t>/20</w:t>
      </w:r>
      <w:r w:rsidR="000151D2">
        <w:rPr>
          <w:iCs/>
          <w:sz w:val="22"/>
          <w:szCs w:val="22"/>
        </w:rPr>
        <w:t>2</w:t>
      </w:r>
      <w:r w:rsidR="007A555C">
        <w:rPr>
          <w:iCs/>
          <w:sz w:val="22"/>
          <w:szCs w:val="22"/>
        </w:rPr>
        <w:t>7</w:t>
      </w:r>
      <w:r w:rsidR="0041441C" w:rsidRPr="007447A6">
        <w:rPr>
          <w:iCs/>
          <w:sz w:val="22"/>
          <w:szCs w:val="22"/>
        </w:rPr>
        <w:t xml:space="preserve"> </w:t>
      </w:r>
      <w:r w:rsidR="007074A0">
        <w:rPr>
          <w:iCs/>
          <w:sz w:val="22"/>
          <w:szCs w:val="22"/>
        </w:rPr>
        <w:t xml:space="preserve">financial year </w:t>
      </w:r>
      <w:r w:rsidR="0041441C" w:rsidRPr="007447A6">
        <w:rPr>
          <w:iCs/>
          <w:sz w:val="22"/>
          <w:szCs w:val="22"/>
        </w:rPr>
        <w:t xml:space="preserve">are determined by increasing the </w:t>
      </w:r>
      <w:r w:rsidR="00E3645A">
        <w:rPr>
          <w:iCs/>
          <w:sz w:val="22"/>
          <w:szCs w:val="22"/>
        </w:rPr>
        <w:t>20</w:t>
      </w:r>
      <w:r w:rsidR="00780DEB">
        <w:rPr>
          <w:iCs/>
          <w:sz w:val="22"/>
          <w:szCs w:val="22"/>
        </w:rPr>
        <w:t>2</w:t>
      </w:r>
      <w:r w:rsidR="007A555C">
        <w:rPr>
          <w:iCs/>
          <w:sz w:val="22"/>
          <w:szCs w:val="22"/>
        </w:rPr>
        <w:t>5</w:t>
      </w:r>
      <w:r w:rsidRPr="007447A6">
        <w:rPr>
          <w:iCs/>
          <w:sz w:val="22"/>
          <w:szCs w:val="22"/>
        </w:rPr>
        <w:t>/20</w:t>
      </w:r>
      <w:r w:rsidR="00423270">
        <w:rPr>
          <w:iCs/>
          <w:sz w:val="22"/>
          <w:szCs w:val="22"/>
        </w:rPr>
        <w:t>2</w:t>
      </w:r>
      <w:r w:rsidR="007A555C">
        <w:rPr>
          <w:iCs/>
          <w:sz w:val="22"/>
          <w:szCs w:val="22"/>
        </w:rPr>
        <w:t>6</w:t>
      </w:r>
      <w:r w:rsidRPr="007447A6">
        <w:rPr>
          <w:iCs/>
          <w:sz w:val="22"/>
          <w:szCs w:val="22"/>
        </w:rPr>
        <w:t xml:space="preserve"> </w:t>
      </w:r>
      <w:r w:rsidR="0041441C" w:rsidRPr="007447A6">
        <w:rPr>
          <w:iCs/>
          <w:sz w:val="22"/>
          <w:szCs w:val="22"/>
        </w:rPr>
        <w:t>fees, determined</w:t>
      </w:r>
      <w:r w:rsidRPr="007447A6">
        <w:rPr>
          <w:iCs/>
          <w:sz w:val="22"/>
          <w:szCs w:val="22"/>
        </w:rPr>
        <w:t xml:space="preserve"> </w:t>
      </w:r>
      <w:r w:rsidR="004F5768" w:rsidRPr="00022260">
        <w:rPr>
          <w:iCs/>
          <w:sz w:val="22"/>
          <w:szCs w:val="22"/>
        </w:rPr>
        <w:t xml:space="preserve">by </w:t>
      </w:r>
      <w:r w:rsidR="008849CB" w:rsidRPr="00022260">
        <w:rPr>
          <w:iCs/>
          <w:sz w:val="22"/>
          <w:szCs w:val="22"/>
        </w:rPr>
        <w:t>DI202</w:t>
      </w:r>
      <w:r w:rsidR="007A555C">
        <w:rPr>
          <w:iCs/>
          <w:sz w:val="22"/>
          <w:szCs w:val="22"/>
        </w:rPr>
        <w:t>5</w:t>
      </w:r>
      <w:r w:rsidR="00022260" w:rsidRPr="00022260">
        <w:rPr>
          <w:iCs/>
          <w:sz w:val="22"/>
          <w:szCs w:val="22"/>
        </w:rPr>
        <w:t>-</w:t>
      </w:r>
      <w:r w:rsidR="007A555C">
        <w:rPr>
          <w:iCs/>
          <w:sz w:val="22"/>
          <w:szCs w:val="22"/>
        </w:rPr>
        <w:t>88</w:t>
      </w:r>
      <w:r w:rsidR="0041441C" w:rsidRPr="00022260">
        <w:rPr>
          <w:iCs/>
          <w:sz w:val="22"/>
          <w:szCs w:val="22"/>
        </w:rPr>
        <w:t xml:space="preserve">, </w:t>
      </w:r>
      <w:r w:rsidRPr="00022260">
        <w:rPr>
          <w:iCs/>
          <w:sz w:val="22"/>
          <w:szCs w:val="22"/>
        </w:rPr>
        <w:t>by t</w:t>
      </w:r>
      <w:r w:rsidR="007447A6" w:rsidRPr="00022260">
        <w:rPr>
          <w:iCs/>
          <w:sz w:val="22"/>
          <w:szCs w:val="22"/>
        </w:rPr>
        <w:t xml:space="preserve">he Wage Price Index (WPI) of </w:t>
      </w:r>
      <w:r w:rsidR="00DF642B" w:rsidRPr="00022260">
        <w:rPr>
          <w:iCs/>
          <w:sz w:val="22"/>
          <w:szCs w:val="22"/>
        </w:rPr>
        <w:t>3.</w:t>
      </w:r>
      <w:r w:rsidR="00562274">
        <w:rPr>
          <w:iCs/>
          <w:sz w:val="22"/>
          <w:szCs w:val="22"/>
        </w:rPr>
        <w:t>2</w:t>
      </w:r>
      <w:r w:rsidR="00422D05">
        <w:rPr>
          <w:iCs/>
          <w:sz w:val="22"/>
          <w:szCs w:val="22"/>
        </w:rPr>
        <w:t>5</w:t>
      </w:r>
      <w:r w:rsidR="008849CB" w:rsidRPr="00022260">
        <w:rPr>
          <w:iCs/>
          <w:sz w:val="22"/>
          <w:szCs w:val="22"/>
        </w:rPr>
        <w:t>%,</w:t>
      </w:r>
      <w:r w:rsidRPr="00022260">
        <w:rPr>
          <w:iCs/>
          <w:sz w:val="22"/>
          <w:szCs w:val="22"/>
        </w:rPr>
        <w:t xml:space="preserve"> rounded to the nearest $0.05.</w:t>
      </w:r>
    </w:p>
    <w:p w:rsidR="007343DD" w:rsidRPr="00022260" w:rsidRDefault="007343DD" w:rsidP="003E1C41">
      <w:pPr>
        <w:spacing w:before="60" w:after="60"/>
        <w:rPr>
          <w:iCs/>
          <w:sz w:val="22"/>
          <w:szCs w:val="22"/>
        </w:rPr>
      </w:pPr>
      <w:r w:rsidRPr="00022260">
        <w:rPr>
          <w:sz w:val="22"/>
          <w:szCs w:val="22"/>
        </w:rPr>
        <w:t xml:space="preserve">This </w:t>
      </w:r>
      <w:r w:rsidR="00D820E2" w:rsidRPr="00022260">
        <w:rPr>
          <w:sz w:val="22"/>
          <w:szCs w:val="22"/>
        </w:rPr>
        <w:t>determination of fees</w:t>
      </w:r>
      <w:r w:rsidRPr="00022260">
        <w:rPr>
          <w:sz w:val="22"/>
          <w:szCs w:val="22"/>
        </w:rPr>
        <w:t xml:space="preserve"> </w:t>
      </w:r>
      <w:r w:rsidR="00D820E2" w:rsidRPr="00022260">
        <w:rPr>
          <w:sz w:val="22"/>
          <w:szCs w:val="22"/>
        </w:rPr>
        <w:t xml:space="preserve">revokes and replaces </w:t>
      </w:r>
      <w:r w:rsidR="00D820E2" w:rsidRPr="00022260">
        <w:rPr>
          <w:iCs/>
          <w:sz w:val="22"/>
          <w:szCs w:val="22"/>
        </w:rPr>
        <w:t xml:space="preserve">the determination of </w:t>
      </w:r>
      <w:r w:rsidR="003E1C41" w:rsidRPr="00022260">
        <w:rPr>
          <w:iCs/>
          <w:sz w:val="22"/>
          <w:szCs w:val="22"/>
        </w:rPr>
        <w:t xml:space="preserve">electoral </w:t>
      </w:r>
      <w:r w:rsidR="00D820E2" w:rsidRPr="00022260">
        <w:rPr>
          <w:iCs/>
          <w:sz w:val="22"/>
          <w:szCs w:val="22"/>
        </w:rPr>
        <w:t xml:space="preserve">fees made </w:t>
      </w:r>
      <w:r w:rsidR="003E1C41" w:rsidRPr="00022260">
        <w:rPr>
          <w:iCs/>
          <w:sz w:val="22"/>
          <w:szCs w:val="22"/>
        </w:rPr>
        <w:t xml:space="preserve">under </w:t>
      </w:r>
      <w:r w:rsidR="00DF642B" w:rsidRPr="00022260">
        <w:rPr>
          <w:iCs/>
          <w:sz w:val="22"/>
          <w:szCs w:val="22"/>
        </w:rPr>
        <w:t>DI202</w:t>
      </w:r>
      <w:r w:rsidR="007A555C">
        <w:rPr>
          <w:iCs/>
          <w:sz w:val="22"/>
          <w:szCs w:val="22"/>
        </w:rPr>
        <w:t>5</w:t>
      </w:r>
      <w:r w:rsidR="00022260" w:rsidRPr="00022260">
        <w:rPr>
          <w:iCs/>
          <w:sz w:val="22"/>
          <w:szCs w:val="22"/>
        </w:rPr>
        <w:t>-</w:t>
      </w:r>
      <w:r w:rsidR="007A555C">
        <w:rPr>
          <w:iCs/>
          <w:sz w:val="22"/>
          <w:szCs w:val="22"/>
        </w:rPr>
        <w:t>88</w:t>
      </w:r>
      <w:r w:rsidR="003E1C41" w:rsidRPr="00022260">
        <w:rPr>
          <w:iCs/>
          <w:sz w:val="22"/>
          <w:szCs w:val="22"/>
        </w:rPr>
        <w:t>.</w:t>
      </w:r>
    </w:p>
    <w:p w:rsidR="00530D0A" w:rsidRPr="00E85665" w:rsidRDefault="00530D0A" w:rsidP="00530D0A">
      <w:pPr>
        <w:spacing w:before="60" w:after="60"/>
        <w:rPr>
          <w:b/>
          <w:iCs/>
          <w:sz w:val="22"/>
          <w:szCs w:val="22"/>
        </w:rPr>
      </w:pPr>
      <w:r w:rsidRPr="00022260">
        <w:rPr>
          <w:b/>
          <w:iCs/>
          <w:sz w:val="22"/>
          <w:szCs w:val="22"/>
        </w:rPr>
        <w:t>Electoral Officer Services – salary component</w:t>
      </w:r>
    </w:p>
    <w:p w:rsidR="00530D0A" w:rsidRPr="00E85665" w:rsidRDefault="00530D0A" w:rsidP="00530D0A">
      <w:pPr>
        <w:spacing w:before="60" w:after="60"/>
        <w:rPr>
          <w:iCs/>
          <w:sz w:val="22"/>
          <w:szCs w:val="22"/>
        </w:rPr>
      </w:pPr>
      <w:r w:rsidRPr="00E85665">
        <w:rPr>
          <w:iCs/>
          <w:sz w:val="22"/>
          <w:szCs w:val="22"/>
        </w:rPr>
        <w:t xml:space="preserve">Paragraph 7(1)(g) of the Electoral Act empowers the Electoral Commission to provide services to persons or organisations for a determined fee. The provision of services includes assisting bodies such as universities and government agencies to conduct elections. The Commission is empowered to determine fees for these services under section </w:t>
      </w:r>
      <w:r w:rsidR="007447A6" w:rsidRPr="00E85665">
        <w:rPr>
          <w:iCs/>
          <w:sz w:val="22"/>
          <w:szCs w:val="22"/>
        </w:rPr>
        <w:t>340B</w:t>
      </w:r>
      <w:r w:rsidRPr="00E85665">
        <w:rPr>
          <w:iCs/>
          <w:sz w:val="22"/>
          <w:szCs w:val="22"/>
        </w:rPr>
        <w:t xml:space="preserve"> of the Electoral Act.</w:t>
      </w:r>
    </w:p>
    <w:p w:rsidR="00530D0A" w:rsidRPr="000D1930" w:rsidRDefault="00530D0A" w:rsidP="00530D0A">
      <w:pPr>
        <w:spacing w:before="60" w:after="60"/>
        <w:rPr>
          <w:iCs/>
          <w:sz w:val="22"/>
          <w:szCs w:val="22"/>
        </w:rPr>
      </w:pPr>
      <w:r w:rsidRPr="000D1930">
        <w:rPr>
          <w:iCs/>
          <w:sz w:val="22"/>
          <w:szCs w:val="22"/>
        </w:rPr>
        <w:t>This instrument determines hourly fees for services provided by 4 categories of electoral officers:</w:t>
      </w:r>
    </w:p>
    <w:p w:rsidR="00530D0A" w:rsidRPr="000D1930" w:rsidRDefault="00530D0A" w:rsidP="00530D0A">
      <w:pPr>
        <w:numPr>
          <w:ilvl w:val="0"/>
          <w:numId w:val="6"/>
        </w:numPr>
        <w:spacing w:before="60" w:after="60"/>
        <w:rPr>
          <w:iCs/>
          <w:sz w:val="22"/>
          <w:szCs w:val="22"/>
        </w:rPr>
      </w:pPr>
      <w:r w:rsidRPr="000D1930">
        <w:rPr>
          <w:iCs/>
          <w:sz w:val="22"/>
          <w:szCs w:val="22"/>
        </w:rPr>
        <w:t xml:space="preserve">Electoral Officer (equivalent to Administrative Service Officer Class 5 employed under the </w:t>
      </w:r>
      <w:r w:rsidRPr="000D1930">
        <w:rPr>
          <w:i/>
          <w:iCs/>
          <w:sz w:val="22"/>
          <w:szCs w:val="22"/>
        </w:rPr>
        <w:t>Public Sector Management Act 1994</w:t>
      </w:r>
      <w:r w:rsidRPr="000D1930">
        <w:rPr>
          <w:iCs/>
          <w:sz w:val="22"/>
          <w:szCs w:val="22"/>
        </w:rPr>
        <w:t>)</w:t>
      </w:r>
    </w:p>
    <w:p w:rsidR="00530D0A" w:rsidRPr="000D1930" w:rsidRDefault="00530D0A" w:rsidP="00530D0A">
      <w:pPr>
        <w:numPr>
          <w:ilvl w:val="0"/>
          <w:numId w:val="6"/>
        </w:numPr>
        <w:spacing w:before="60" w:after="60"/>
        <w:rPr>
          <w:iCs/>
          <w:sz w:val="22"/>
          <w:szCs w:val="22"/>
        </w:rPr>
      </w:pPr>
      <w:r w:rsidRPr="000D1930">
        <w:rPr>
          <w:iCs/>
          <w:sz w:val="22"/>
          <w:szCs w:val="22"/>
        </w:rPr>
        <w:t>Senior Electoral Officer (equivalent to Senior Officer Grade C employed under the Public Sector Management Act)</w:t>
      </w:r>
    </w:p>
    <w:p w:rsidR="00530D0A" w:rsidRPr="00E85665" w:rsidRDefault="00530D0A" w:rsidP="00530D0A">
      <w:pPr>
        <w:numPr>
          <w:ilvl w:val="0"/>
          <w:numId w:val="6"/>
        </w:numPr>
        <w:spacing w:before="60" w:after="60"/>
        <w:rPr>
          <w:iCs/>
          <w:sz w:val="22"/>
          <w:szCs w:val="22"/>
        </w:rPr>
      </w:pPr>
      <w:r w:rsidRPr="00E85665">
        <w:rPr>
          <w:iCs/>
          <w:sz w:val="22"/>
          <w:szCs w:val="22"/>
        </w:rPr>
        <w:t>Electoral Casual Officer (equivalent to a casual officer employed under the Electoral Act)</w:t>
      </w:r>
    </w:p>
    <w:p w:rsidR="00530D0A" w:rsidRPr="00E85665" w:rsidRDefault="00530D0A" w:rsidP="00530D0A">
      <w:pPr>
        <w:numPr>
          <w:ilvl w:val="0"/>
          <w:numId w:val="6"/>
        </w:numPr>
        <w:spacing w:before="60" w:after="60"/>
        <w:rPr>
          <w:iCs/>
          <w:sz w:val="22"/>
          <w:szCs w:val="22"/>
        </w:rPr>
      </w:pPr>
      <w:r w:rsidRPr="00E85665">
        <w:rPr>
          <w:iCs/>
          <w:sz w:val="22"/>
          <w:szCs w:val="22"/>
        </w:rPr>
        <w:t>Senior Electoral Casual Officer (equivalent to a casual officer in charge employed under the Electoral Act)</w:t>
      </w:r>
    </w:p>
    <w:p w:rsidR="00530D0A" w:rsidRPr="00E85665" w:rsidRDefault="00530D0A" w:rsidP="00530D0A">
      <w:pPr>
        <w:spacing w:before="60" w:after="60"/>
        <w:rPr>
          <w:iCs/>
          <w:sz w:val="22"/>
          <w:szCs w:val="22"/>
        </w:rPr>
      </w:pPr>
      <w:r w:rsidRPr="00E85665">
        <w:rPr>
          <w:iCs/>
          <w:sz w:val="22"/>
          <w:szCs w:val="22"/>
        </w:rPr>
        <w:t xml:space="preserve">The fees include different hourly rates for the above 4 categories of officers depending on the time of the provision of </w:t>
      </w:r>
      <w:r w:rsidR="00786408" w:rsidRPr="00E85665">
        <w:rPr>
          <w:iCs/>
          <w:sz w:val="22"/>
          <w:szCs w:val="22"/>
        </w:rPr>
        <w:t>services and</w:t>
      </w:r>
      <w:r w:rsidRPr="00E85665">
        <w:rPr>
          <w:iCs/>
          <w:sz w:val="22"/>
          <w:szCs w:val="22"/>
        </w:rPr>
        <w:t xml:space="preserve"> reflect the various applicable standard and overtime rates applying to officers employed to assist the Electoral Commissioner under the Public Sector Management Act and the Electoral Act. The hourly fees incorporate overhead costs and salary costs. </w:t>
      </w:r>
    </w:p>
    <w:p w:rsidR="00530D0A" w:rsidRPr="00E85665" w:rsidRDefault="00530D0A" w:rsidP="00530D0A">
      <w:pPr>
        <w:spacing w:before="60" w:after="60"/>
        <w:rPr>
          <w:b/>
          <w:iCs/>
          <w:sz w:val="22"/>
          <w:szCs w:val="22"/>
        </w:rPr>
      </w:pPr>
      <w:r w:rsidRPr="00E85665">
        <w:rPr>
          <w:b/>
          <w:iCs/>
          <w:sz w:val="22"/>
          <w:szCs w:val="22"/>
        </w:rPr>
        <w:t>Electoral goods and services</w:t>
      </w:r>
    </w:p>
    <w:p w:rsidR="00530D0A" w:rsidRPr="00E85665" w:rsidRDefault="00530D0A" w:rsidP="00530D0A">
      <w:pPr>
        <w:spacing w:before="60" w:after="60"/>
        <w:rPr>
          <w:iCs/>
          <w:sz w:val="22"/>
          <w:szCs w:val="22"/>
        </w:rPr>
      </w:pPr>
      <w:r w:rsidRPr="00E85665">
        <w:rPr>
          <w:iCs/>
          <w:sz w:val="22"/>
          <w:szCs w:val="22"/>
        </w:rPr>
        <w:t>The instrument also determines a fee for goods purchased by the Electoral Commission for the purposes of providing goods to persons or organisations under paragraph 7(1)(g) of the Electoral Act. This fee simply allows the Commission to be reimbursed for any costs incurred by the Commission in providing goods such as printing ballot papers for an election. These costs could also include postage and mailing house costs, for example.</w:t>
      </w:r>
    </w:p>
    <w:p w:rsidR="00530D0A" w:rsidRPr="007D4204" w:rsidRDefault="00530D0A" w:rsidP="00530D0A">
      <w:pPr>
        <w:spacing w:before="60" w:after="60"/>
        <w:rPr>
          <w:iCs/>
          <w:sz w:val="22"/>
          <w:szCs w:val="22"/>
        </w:rPr>
      </w:pPr>
      <w:r w:rsidRPr="007D4204">
        <w:rPr>
          <w:iCs/>
          <w:sz w:val="22"/>
          <w:szCs w:val="22"/>
        </w:rPr>
        <w:t>In addition, this instrument determines a fee for the provision of electronic voting services to organisations under paragraph 7(1)(g) of the Electoral Act. This fee allows for the development and maintenance cost of electronic voting services software incurred by the Electoral Commission to be passed on to purchasers of services.</w:t>
      </w:r>
    </w:p>
    <w:p w:rsidR="00530D0A" w:rsidRPr="007D4204" w:rsidRDefault="00530D0A" w:rsidP="00530D0A">
      <w:pPr>
        <w:spacing w:before="60" w:after="60"/>
        <w:rPr>
          <w:b/>
          <w:iCs/>
          <w:sz w:val="22"/>
          <w:szCs w:val="22"/>
        </w:rPr>
      </w:pPr>
      <w:r w:rsidRPr="007D4204">
        <w:rPr>
          <w:b/>
          <w:iCs/>
          <w:sz w:val="22"/>
          <w:szCs w:val="22"/>
        </w:rPr>
        <w:lastRenderedPageBreak/>
        <w:t>Provision of copies of documents</w:t>
      </w:r>
    </w:p>
    <w:p w:rsidR="00530D0A" w:rsidRPr="007D4204" w:rsidRDefault="00530D0A" w:rsidP="00530D0A">
      <w:pPr>
        <w:spacing w:before="60" w:after="60"/>
        <w:rPr>
          <w:iCs/>
          <w:sz w:val="22"/>
          <w:szCs w:val="22"/>
        </w:rPr>
      </w:pPr>
      <w:r w:rsidRPr="007D4204">
        <w:rPr>
          <w:iCs/>
          <w:sz w:val="22"/>
          <w:szCs w:val="22"/>
        </w:rPr>
        <w:t xml:space="preserve">This instrument sets fees for obtaining copies of the specified categories of documents.  </w:t>
      </w:r>
    </w:p>
    <w:p w:rsidR="00530D0A" w:rsidRPr="007D4204" w:rsidRDefault="00F97355" w:rsidP="00530D0A">
      <w:pPr>
        <w:spacing w:before="60" w:after="60"/>
        <w:rPr>
          <w:iCs/>
          <w:sz w:val="22"/>
          <w:szCs w:val="22"/>
        </w:rPr>
      </w:pPr>
      <w:r w:rsidRPr="007D4204">
        <w:rPr>
          <w:iCs/>
          <w:sz w:val="22"/>
          <w:szCs w:val="22"/>
        </w:rPr>
        <w:t>Subsection 243(4</w:t>
      </w:r>
      <w:r w:rsidR="00530D0A" w:rsidRPr="007D4204">
        <w:rPr>
          <w:iCs/>
          <w:sz w:val="22"/>
          <w:szCs w:val="22"/>
        </w:rPr>
        <w:t>) of the Electoral Act provides that a person is entitled, on payment of a determined fee, to obtain a copy of a return referred to in subsection 243(1). These returns include returns showing disclosure of donations, returns showing disclosure of electoral expenditure and annual returns submitted by registered political parties, MLAs, associated entities and donors.</w:t>
      </w:r>
    </w:p>
    <w:p w:rsidR="00530D0A" w:rsidRPr="007D4204" w:rsidRDefault="00530D0A" w:rsidP="00530D0A">
      <w:pPr>
        <w:spacing w:before="60" w:after="60"/>
        <w:rPr>
          <w:iCs/>
          <w:sz w:val="22"/>
          <w:szCs w:val="22"/>
        </w:rPr>
      </w:pPr>
      <w:r w:rsidRPr="007D4204">
        <w:rPr>
          <w:iCs/>
          <w:sz w:val="22"/>
          <w:szCs w:val="22"/>
        </w:rPr>
        <w:t xml:space="preserve">Sections 88 and 91 of the Electoral Act provide that various documents related to registration of political parties are required to be made available for public inspection. From </w:t>
      </w:r>
      <w:r w:rsidR="007A555C" w:rsidRPr="007D4204">
        <w:rPr>
          <w:iCs/>
          <w:sz w:val="22"/>
          <w:szCs w:val="22"/>
        </w:rPr>
        <w:t>time-to-time</w:t>
      </w:r>
      <w:r w:rsidRPr="007D4204">
        <w:rPr>
          <w:iCs/>
          <w:sz w:val="22"/>
          <w:szCs w:val="22"/>
        </w:rPr>
        <w:t xml:space="preserve"> members of the public have asked for copies of these documents. To cover the costs of providing such copies, this instrument provides that the Electoral Commission may provide persons with copies of these documents for the determined fee.</w:t>
      </w:r>
    </w:p>
    <w:p w:rsidR="00530D0A" w:rsidRPr="007D4204" w:rsidRDefault="00530D0A" w:rsidP="00530D0A">
      <w:pPr>
        <w:spacing w:before="60" w:after="60"/>
        <w:rPr>
          <w:iCs/>
          <w:sz w:val="22"/>
          <w:szCs w:val="22"/>
        </w:rPr>
      </w:pPr>
      <w:r w:rsidRPr="007D4204">
        <w:rPr>
          <w:iCs/>
          <w:sz w:val="22"/>
          <w:szCs w:val="22"/>
        </w:rPr>
        <w:t>Section 333 of the Electoral Act states that voting statistics shall be published and that a person may obtain copies of the statistics in electronic form for a fee.</w:t>
      </w:r>
    </w:p>
    <w:p w:rsidR="00530D0A" w:rsidRPr="007D4204" w:rsidRDefault="00530D0A" w:rsidP="00530D0A">
      <w:pPr>
        <w:spacing w:before="60" w:after="60"/>
        <w:rPr>
          <w:b/>
          <w:iCs/>
          <w:sz w:val="22"/>
          <w:szCs w:val="22"/>
        </w:rPr>
      </w:pPr>
      <w:r w:rsidRPr="007D4204">
        <w:rPr>
          <w:b/>
          <w:iCs/>
          <w:sz w:val="22"/>
          <w:szCs w:val="22"/>
        </w:rPr>
        <w:t>Commencement</w:t>
      </w:r>
    </w:p>
    <w:p w:rsidR="00530D0A" w:rsidRPr="007D4204" w:rsidRDefault="00530D0A" w:rsidP="00530D0A">
      <w:pPr>
        <w:spacing w:before="60" w:after="60"/>
        <w:rPr>
          <w:iCs/>
          <w:sz w:val="22"/>
          <w:szCs w:val="22"/>
        </w:rPr>
      </w:pPr>
      <w:r w:rsidRPr="007D4204">
        <w:rPr>
          <w:iCs/>
          <w:sz w:val="22"/>
          <w:szCs w:val="22"/>
        </w:rPr>
        <w:t xml:space="preserve">The determination comes into effect </w:t>
      </w:r>
      <w:r w:rsidRPr="00172942">
        <w:rPr>
          <w:iCs/>
          <w:sz w:val="22"/>
          <w:szCs w:val="22"/>
        </w:rPr>
        <w:t xml:space="preserve">on </w:t>
      </w:r>
      <w:r w:rsidR="009668ED" w:rsidRPr="00172942">
        <w:rPr>
          <w:iCs/>
          <w:sz w:val="22"/>
          <w:szCs w:val="22"/>
        </w:rPr>
        <w:t xml:space="preserve">1 </w:t>
      </w:r>
      <w:r w:rsidR="00607F87">
        <w:rPr>
          <w:iCs/>
          <w:sz w:val="22"/>
          <w:szCs w:val="22"/>
        </w:rPr>
        <w:t>July 202</w:t>
      </w:r>
      <w:r w:rsidR="007A555C">
        <w:rPr>
          <w:iCs/>
          <w:sz w:val="22"/>
          <w:szCs w:val="22"/>
        </w:rPr>
        <w:t>6</w:t>
      </w:r>
      <w:r w:rsidRPr="00172942">
        <w:rPr>
          <w:iCs/>
          <w:sz w:val="22"/>
          <w:szCs w:val="22"/>
        </w:rPr>
        <w:t>.</w:t>
      </w:r>
      <w:r w:rsidRPr="007D4204">
        <w:rPr>
          <w:iCs/>
          <w:sz w:val="22"/>
          <w:szCs w:val="22"/>
        </w:rPr>
        <w:t xml:space="preserve">  Earlier determinations of these fees are revoked by this determination.</w:t>
      </w:r>
    </w:p>
    <w:p w:rsidR="00530D0A" w:rsidRPr="007D4204" w:rsidRDefault="00530D0A" w:rsidP="00530D0A">
      <w:pPr>
        <w:spacing w:before="60" w:after="60"/>
        <w:rPr>
          <w:b/>
          <w:iCs/>
          <w:sz w:val="22"/>
          <w:szCs w:val="22"/>
        </w:rPr>
      </w:pPr>
      <w:r w:rsidRPr="007D4204">
        <w:rPr>
          <w:b/>
          <w:iCs/>
          <w:sz w:val="22"/>
          <w:szCs w:val="22"/>
        </w:rPr>
        <w:t>GST</w:t>
      </w:r>
    </w:p>
    <w:p w:rsidR="00530D0A" w:rsidRPr="00400422" w:rsidRDefault="00530D0A" w:rsidP="00530D0A">
      <w:pPr>
        <w:spacing w:before="60" w:after="60"/>
        <w:rPr>
          <w:iCs/>
          <w:sz w:val="22"/>
          <w:szCs w:val="22"/>
        </w:rPr>
      </w:pPr>
      <w:r w:rsidRPr="007D4204">
        <w:rPr>
          <w:iCs/>
          <w:sz w:val="22"/>
          <w:szCs w:val="22"/>
        </w:rPr>
        <w:t>Some of the fees set out in this determination are not exempt from GST, while others are exempt.  The Schedule indicates which fees are GST inclusive and which are not.</w:t>
      </w:r>
    </w:p>
    <w:p w:rsidR="007343DD" w:rsidRDefault="007343DD" w:rsidP="00D820E2">
      <w:pPr>
        <w:spacing w:before="240" w:after="60"/>
        <w:ind w:left="720" w:hanging="720"/>
        <w:rPr>
          <w:color w:val="000000"/>
          <w:sz w:val="24"/>
        </w:rPr>
      </w:pPr>
    </w:p>
    <w:sectPr w:rsidR="007343DD">
      <w:headerReference w:type="even" r:id="rId8"/>
      <w:headerReference w:type="default" r:id="rId9"/>
      <w:footerReference w:type="even" r:id="rId10"/>
      <w:footerReference w:type="default" r:id="rId11"/>
      <w:headerReference w:type="first" r:id="rId12"/>
      <w:footerReference w:type="first" r:id="rId13"/>
      <w:pgSz w:w="11904" w:h="16834" w:code="9"/>
      <w:pgMar w:top="992"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149" w:rsidRDefault="00365149" w:rsidP="004B714B">
      <w:r>
        <w:separator/>
      </w:r>
    </w:p>
  </w:endnote>
  <w:endnote w:type="continuationSeparator" w:id="0">
    <w:p w:rsidR="00365149" w:rsidRDefault="00365149" w:rsidP="004B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XBd BT">
    <w:altName w:val="Calibri"/>
    <w:charset w:val="00"/>
    <w:family w:val="swiss"/>
    <w:pitch w:val="variable"/>
    <w:sig w:usb0="00000003" w:usb1="00000000" w:usb2="00000000" w:usb3="00000000" w:csb0="0000001B" w:csb1="00000000"/>
  </w:font>
  <w:font w:name="Humanst521 Lt BT">
    <w:altName w:val="MS PMincho"/>
    <w:charset w:val="00"/>
    <w:family w:val="roman"/>
    <w:pitch w:val="variable"/>
    <w:sig w:usb0="00000001"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FB9" w:rsidRDefault="00D14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FB9" w:rsidRPr="00D14FB9" w:rsidRDefault="00D14FB9" w:rsidP="00D14FB9">
    <w:pPr>
      <w:pStyle w:val="Footer"/>
      <w:jc w:val="center"/>
      <w:rPr>
        <w:rFonts w:ascii="Arial" w:hAnsi="Arial" w:cs="Arial"/>
        <w:sz w:val="14"/>
      </w:rPr>
    </w:pPr>
    <w:r w:rsidRPr="00D14FB9">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FB9" w:rsidRDefault="00D14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149" w:rsidRDefault="00365149" w:rsidP="004B714B">
      <w:r>
        <w:separator/>
      </w:r>
    </w:p>
  </w:footnote>
  <w:footnote w:type="continuationSeparator" w:id="0">
    <w:p w:rsidR="00365149" w:rsidRDefault="00365149" w:rsidP="004B7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FB9" w:rsidRDefault="00D14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FB9" w:rsidRDefault="00D14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FB9" w:rsidRDefault="00D14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F16C2D"/>
    <w:multiLevelType w:val="hybridMultilevel"/>
    <w:tmpl w:val="ABE889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166523"/>
    <w:multiLevelType w:val="singleLevel"/>
    <w:tmpl w:val="A36E1ADE"/>
    <w:lvl w:ilvl="0">
      <w:start w:val="1"/>
      <w:numFmt w:val="bullet"/>
      <w:pStyle w:val="FormBullet"/>
      <w:lvlText w:val=""/>
      <w:lvlJc w:val="left"/>
      <w:pPr>
        <w:tabs>
          <w:tab w:val="num" w:pos="360"/>
        </w:tabs>
        <w:ind w:left="0" w:firstLine="0"/>
      </w:pPr>
      <w:rPr>
        <w:rFonts w:ascii="Symbol" w:hAnsi="Symbol" w:hint="default"/>
        <w:sz w:val="24"/>
      </w:rPr>
    </w:lvl>
  </w:abstractNum>
  <w:abstractNum w:abstractNumId="3" w15:restartNumberingAfterBreak="0">
    <w:nsid w:val="23F77B9D"/>
    <w:multiLevelType w:val="hybridMultilevel"/>
    <w:tmpl w:val="DB18DDC4"/>
    <w:lvl w:ilvl="0" w:tplc="6812144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306201"/>
    <w:multiLevelType w:val="hybridMultilevel"/>
    <w:tmpl w:val="93F6C24E"/>
    <w:lvl w:ilvl="0" w:tplc="C8948E1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06619C6"/>
    <w:multiLevelType w:val="hybridMultilevel"/>
    <w:tmpl w:val="93F6C24E"/>
    <w:lvl w:ilvl="0" w:tplc="C8948E1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99833769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24277488">
    <w:abstractNumId w:val="2"/>
  </w:num>
  <w:num w:numId="3" w16cid:durableId="313412870">
    <w:abstractNumId w:val="5"/>
  </w:num>
  <w:num w:numId="4" w16cid:durableId="929237892">
    <w:abstractNumId w:val="4"/>
  </w:num>
  <w:num w:numId="5" w16cid:durableId="2135170691">
    <w:abstractNumId w:val="3"/>
  </w:num>
  <w:num w:numId="6" w16cid:durableId="924339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139A"/>
    <w:rsid w:val="00014F70"/>
    <w:rsid w:val="000151D2"/>
    <w:rsid w:val="00022260"/>
    <w:rsid w:val="00022AFF"/>
    <w:rsid w:val="0002617B"/>
    <w:rsid w:val="00031A45"/>
    <w:rsid w:val="00037065"/>
    <w:rsid w:val="00042EEC"/>
    <w:rsid w:val="00043811"/>
    <w:rsid w:val="00047B20"/>
    <w:rsid w:val="00050E67"/>
    <w:rsid w:val="00051A10"/>
    <w:rsid w:val="00053811"/>
    <w:rsid w:val="00057054"/>
    <w:rsid w:val="0006354D"/>
    <w:rsid w:val="000643B2"/>
    <w:rsid w:val="0007323E"/>
    <w:rsid w:val="00074B58"/>
    <w:rsid w:val="0009293C"/>
    <w:rsid w:val="000A3C33"/>
    <w:rsid w:val="000A7190"/>
    <w:rsid w:val="000B210C"/>
    <w:rsid w:val="000B5DEB"/>
    <w:rsid w:val="000D1930"/>
    <w:rsid w:val="000D4973"/>
    <w:rsid w:val="000D49D9"/>
    <w:rsid w:val="000F701C"/>
    <w:rsid w:val="00106ADA"/>
    <w:rsid w:val="00126241"/>
    <w:rsid w:val="0014015F"/>
    <w:rsid w:val="001476CB"/>
    <w:rsid w:val="00147C73"/>
    <w:rsid w:val="00160057"/>
    <w:rsid w:val="0016516F"/>
    <w:rsid w:val="00171B21"/>
    <w:rsid w:val="00171E9C"/>
    <w:rsid w:val="00172942"/>
    <w:rsid w:val="00182BEA"/>
    <w:rsid w:val="00186425"/>
    <w:rsid w:val="001A1475"/>
    <w:rsid w:val="001A4034"/>
    <w:rsid w:val="001B3B56"/>
    <w:rsid w:val="001C1053"/>
    <w:rsid w:val="001D3491"/>
    <w:rsid w:val="001D514B"/>
    <w:rsid w:val="001F3EF5"/>
    <w:rsid w:val="001F70F9"/>
    <w:rsid w:val="00217529"/>
    <w:rsid w:val="00242B65"/>
    <w:rsid w:val="00261909"/>
    <w:rsid w:val="002718A9"/>
    <w:rsid w:val="002873E8"/>
    <w:rsid w:val="002926E3"/>
    <w:rsid w:val="002B35BF"/>
    <w:rsid w:val="002C0DE7"/>
    <w:rsid w:val="002C2A78"/>
    <w:rsid w:val="002D4695"/>
    <w:rsid w:val="002E519E"/>
    <w:rsid w:val="002E52BB"/>
    <w:rsid w:val="002E6F44"/>
    <w:rsid w:val="003122C5"/>
    <w:rsid w:val="00317EC2"/>
    <w:rsid w:val="003363FF"/>
    <w:rsid w:val="00336B67"/>
    <w:rsid w:val="003372EB"/>
    <w:rsid w:val="0034215F"/>
    <w:rsid w:val="00342437"/>
    <w:rsid w:val="003504E9"/>
    <w:rsid w:val="00351CB6"/>
    <w:rsid w:val="0035797A"/>
    <w:rsid w:val="00365149"/>
    <w:rsid w:val="003665A1"/>
    <w:rsid w:val="00372687"/>
    <w:rsid w:val="003A3A1A"/>
    <w:rsid w:val="003E1C41"/>
    <w:rsid w:val="003E65E0"/>
    <w:rsid w:val="003F50EC"/>
    <w:rsid w:val="00400422"/>
    <w:rsid w:val="004020BE"/>
    <w:rsid w:val="004047C8"/>
    <w:rsid w:val="0041441C"/>
    <w:rsid w:val="00422D05"/>
    <w:rsid w:val="00423270"/>
    <w:rsid w:val="00427302"/>
    <w:rsid w:val="0044302B"/>
    <w:rsid w:val="00460929"/>
    <w:rsid w:val="00465CC2"/>
    <w:rsid w:val="004B714B"/>
    <w:rsid w:val="004C3BC8"/>
    <w:rsid w:val="004F46A6"/>
    <w:rsid w:val="004F5768"/>
    <w:rsid w:val="005202BE"/>
    <w:rsid w:val="00530D0A"/>
    <w:rsid w:val="005511F6"/>
    <w:rsid w:val="00562274"/>
    <w:rsid w:val="00572512"/>
    <w:rsid w:val="005A4C2A"/>
    <w:rsid w:val="005B2478"/>
    <w:rsid w:val="005B4A20"/>
    <w:rsid w:val="005C527E"/>
    <w:rsid w:val="005D57C4"/>
    <w:rsid w:val="005E2DCA"/>
    <w:rsid w:val="005E33E2"/>
    <w:rsid w:val="005F6013"/>
    <w:rsid w:val="00607F87"/>
    <w:rsid w:val="00611863"/>
    <w:rsid w:val="00613408"/>
    <w:rsid w:val="0063012D"/>
    <w:rsid w:val="0063069B"/>
    <w:rsid w:val="00666E3B"/>
    <w:rsid w:val="00684BBD"/>
    <w:rsid w:val="00691638"/>
    <w:rsid w:val="006925D8"/>
    <w:rsid w:val="006D413C"/>
    <w:rsid w:val="006D7CF9"/>
    <w:rsid w:val="006E2FB1"/>
    <w:rsid w:val="006E54E2"/>
    <w:rsid w:val="00707255"/>
    <w:rsid w:val="007074A0"/>
    <w:rsid w:val="00712BAD"/>
    <w:rsid w:val="0072713E"/>
    <w:rsid w:val="007319C9"/>
    <w:rsid w:val="00733856"/>
    <w:rsid w:val="007343DD"/>
    <w:rsid w:val="00744420"/>
    <w:rsid w:val="007447A6"/>
    <w:rsid w:val="007455C2"/>
    <w:rsid w:val="007579EA"/>
    <w:rsid w:val="007602A6"/>
    <w:rsid w:val="00766111"/>
    <w:rsid w:val="00776E93"/>
    <w:rsid w:val="00780DEB"/>
    <w:rsid w:val="00786408"/>
    <w:rsid w:val="007A555C"/>
    <w:rsid w:val="007C4E97"/>
    <w:rsid w:val="007D4181"/>
    <w:rsid w:val="007D4204"/>
    <w:rsid w:val="007D6743"/>
    <w:rsid w:val="00813D93"/>
    <w:rsid w:val="00823469"/>
    <w:rsid w:val="00833264"/>
    <w:rsid w:val="00833E20"/>
    <w:rsid w:val="008367AD"/>
    <w:rsid w:val="008426E7"/>
    <w:rsid w:val="00847FC7"/>
    <w:rsid w:val="00853541"/>
    <w:rsid w:val="0085374E"/>
    <w:rsid w:val="00856B06"/>
    <w:rsid w:val="008849CB"/>
    <w:rsid w:val="00887E76"/>
    <w:rsid w:val="00896061"/>
    <w:rsid w:val="008A65D8"/>
    <w:rsid w:val="008B0868"/>
    <w:rsid w:val="008B4A5F"/>
    <w:rsid w:val="008B5970"/>
    <w:rsid w:val="008B77D2"/>
    <w:rsid w:val="008C0189"/>
    <w:rsid w:val="008C6883"/>
    <w:rsid w:val="008C6D3F"/>
    <w:rsid w:val="008D2376"/>
    <w:rsid w:val="008D7DCD"/>
    <w:rsid w:val="008F2604"/>
    <w:rsid w:val="008F5E4F"/>
    <w:rsid w:val="00900997"/>
    <w:rsid w:val="00915A68"/>
    <w:rsid w:val="00917DD9"/>
    <w:rsid w:val="0093139A"/>
    <w:rsid w:val="00943138"/>
    <w:rsid w:val="00945C1B"/>
    <w:rsid w:val="00946EDE"/>
    <w:rsid w:val="0095424D"/>
    <w:rsid w:val="00960F1F"/>
    <w:rsid w:val="00962683"/>
    <w:rsid w:val="009668ED"/>
    <w:rsid w:val="00971F3B"/>
    <w:rsid w:val="00974C0B"/>
    <w:rsid w:val="00983464"/>
    <w:rsid w:val="0098348A"/>
    <w:rsid w:val="00991588"/>
    <w:rsid w:val="009B73A9"/>
    <w:rsid w:val="009B7C60"/>
    <w:rsid w:val="009C103C"/>
    <w:rsid w:val="009E51A9"/>
    <w:rsid w:val="009E7055"/>
    <w:rsid w:val="00A02595"/>
    <w:rsid w:val="00A20420"/>
    <w:rsid w:val="00A21654"/>
    <w:rsid w:val="00A26988"/>
    <w:rsid w:val="00A436B0"/>
    <w:rsid w:val="00A521CD"/>
    <w:rsid w:val="00A62DAA"/>
    <w:rsid w:val="00A63B69"/>
    <w:rsid w:val="00A726DF"/>
    <w:rsid w:val="00A76797"/>
    <w:rsid w:val="00A7697F"/>
    <w:rsid w:val="00A91D62"/>
    <w:rsid w:val="00AA5677"/>
    <w:rsid w:val="00AA5BD3"/>
    <w:rsid w:val="00AA7016"/>
    <w:rsid w:val="00AB2A5F"/>
    <w:rsid w:val="00AC16A1"/>
    <w:rsid w:val="00AD3BA1"/>
    <w:rsid w:val="00AD5CED"/>
    <w:rsid w:val="00AD6849"/>
    <w:rsid w:val="00AE47BA"/>
    <w:rsid w:val="00AE5E7F"/>
    <w:rsid w:val="00B11BBA"/>
    <w:rsid w:val="00B1707E"/>
    <w:rsid w:val="00B213FF"/>
    <w:rsid w:val="00B36C01"/>
    <w:rsid w:val="00B44753"/>
    <w:rsid w:val="00B56E54"/>
    <w:rsid w:val="00B7121F"/>
    <w:rsid w:val="00B7732F"/>
    <w:rsid w:val="00BA0C62"/>
    <w:rsid w:val="00BA6177"/>
    <w:rsid w:val="00BB0D64"/>
    <w:rsid w:val="00BB20A9"/>
    <w:rsid w:val="00BD1A10"/>
    <w:rsid w:val="00BD71A7"/>
    <w:rsid w:val="00BD724F"/>
    <w:rsid w:val="00BD7917"/>
    <w:rsid w:val="00BE4138"/>
    <w:rsid w:val="00BF22F2"/>
    <w:rsid w:val="00BF5237"/>
    <w:rsid w:val="00C05EB0"/>
    <w:rsid w:val="00C161D6"/>
    <w:rsid w:val="00C239B2"/>
    <w:rsid w:val="00C573A0"/>
    <w:rsid w:val="00C90001"/>
    <w:rsid w:val="00C96960"/>
    <w:rsid w:val="00CA3C63"/>
    <w:rsid w:val="00CC54FA"/>
    <w:rsid w:val="00CD117A"/>
    <w:rsid w:val="00CD17B2"/>
    <w:rsid w:val="00CE062C"/>
    <w:rsid w:val="00CE282B"/>
    <w:rsid w:val="00D0378A"/>
    <w:rsid w:val="00D11BCE"/>
    <w:rsid w:val="00D14FB9"/>
    <w:rsid w:val="00D153B8"/>
    <w:rsid w:val="00D15B30"/>
    <w:rsid w:val="00D26FF3"/>
    <w:rsid w:val="00D34EF5"/>
    <w:rsid w:val="00D3696D"/>
    <w:rsid w:val="00D42F0C"/>
    <w:rsid w:val="00D44389"/>
    <w:rsid w:val="00D820E2"/>
    <w:rsid w:val="00D8692C"/>
    <w:rsid w:val="00D9012F"/>
    <w:rsid w:val="00DA3681"/>
    <w:rsid w:val="00DA4E1B"/>
    <w:rsid w:val="00DD4CC4"/>
    <w:rsid w:val="00DD5A29"/>
    <w:rsid w:val="00DD6AF7"/>
    <w:rsid w:val="00DE3CD6"/>
    <w:rsid w:val="00DE5C3C"/>
    <w:rsid w:val="00DF376F"/>
    <w:rsid w:val="00DF642B"/>
    <w:rsid w:val="00E04C76"/>
    <w:rsid w:val="00E20BE6"/>
    <w:rsid w:val="00E20D02"/>
    <w:rsid w:val="00E27BAF"/>
    <w:rsid w:val="00E35D6E"/>
    <w:rsid w:val="00E3645A"/>
    <w:rsid w:val="00E4318B"/>
    <w:rsid w:val="00E70836"/>
    <w:rsid w:val="00E85665"/>
    <w:rsid w:val="00EA484E"/>
    <w:rsid w:val="00EA4E8D"/>
    <w:rsid w:val="00EC317C"/>
    <w:rsid w:val="00ED1816"/>
    <w:rsid w:val="00ED4E15"/>
    <w:rsid w:val="00F00896"/>
    <w:rsid w:val="00F01ACC"/>
    <w:rsid w:val="00F05B2B"/>
    <w:rsid w:val="00F163AE"/>
    <w:rsid w:val="00F34431"/>
    <w:rsid w:val="00F43B0B"/>
    <w:rsid w:val="00F53A6F"/>
    <w:rsid w:val="00F54F16"/>
    <w:rsid w:val="00F6152A"/>
    <w:rsid w:val="00F65DBB"/>
    <w:rsid w:val="00F672D1"/>
    <w:rsid w:val="00F738C4"/>
    <w:rsid w:val="00F91AD7"/>
    <w:rsid w:val="00F97355"/>
    <w:rsid w:val="00FA0A24"/>
    <w:rsid w:val="00FB1822"/>
    <w:rsid w:val="00FC51CE"/>
    <w:rsid w:val="00FF4F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2BE03372-DC27-433A-AA01-010C8370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after="60"/>
      <w:outlineLvl w:val="0"/>
    </w:pPr>
    <w:rPr>
      <w:rFonts w:ascii="Arial" w:hAnsi="Arial"/>
      <w:b/>
    </w:rPr>
  </w:style>
  <w:style w:type="paragraph" w:styleId="Heading2">
    <w:name w:val="heading 2"/>
    <w:basedOn w:val="Normal"/>
    <w:next w:val="Normal"/>
    <w:qFormat/>
    <w:pPr>
      <w:keepNext/>
      <w:widowControl w:val="0"/>
      <w:tabs>
        <w:tab w:val="left" w:pos="90"/>
      </w:tabs>
      <w:spacing w:before="840"/>
      <w:outlineLvl w:val="1"/>
    </w:pPr>
    <w:rPr>
      <w:snapToGrid w:val="0"/>
      <w:color w:val="000000"/>
      <w:sz w:val="24"/>
    </w:rPr>
  </w:style>
  <w:style w:type="paragraph" w:styleId="Heading3">
    <w:name w:val="heading 3"/>
    <w:basedOn w:val="Normal"/>
    <w:next w:val="Normal"/>
    <w:qFormat/>
    <w:pPr>
      <w:keepNext/>
      <w:ind w:left="567"/>
      <w:outlineLvl w:val="2"/>
    </w:pPr>
    <w:rPr>
      <w:sz w:val="24"/>
    </w:rPr>
  </w:style>
  <w:style w:type="paragraph" w:styleId="Heading4">
    <w:name w:val="heading 4"/>
    <w:basedOn w:val="Normal"/>
    <w:next w:val="Normal"/>
    <w:qFormat/>
    <w:pPr>
      <w:keepNext/>
      <w:ind w:left="720"/>
      <w:outlineLvl w:val="3"/>
    </w:pPr>
    <w:rPr>
      <w:sz w:val="24"/>
    </w:rPr>
  </w:style>
  <w:style w:type="paragraph" w:styleId="Heading5">
    <w:name w:val="heading 5"/>
    <w:basedOn w:val="Normal"/>
    <w:next w:val="Normal"/>
    <w:qFormat/>
    <w:pPr>
      <w:keepNext/>
      <w:spacing w:before="240" w:after="60"/>
      <w:ind w:left="720" w:hanging="720"/>
      <w:outlineLvl w:val="4"/>
    </w:pPr>
    <w:rPr>
      <w:rFonts w:ascii="Arial" w:hAnsi="Arial" w:cs="Arial"/>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illname">
    <w:name w:val="Billname"/>
    <w:basedOn w:val="Normal"/>
    <w:pPr>
      <w:tabs>
        <w:tab w:val="left" w:pos="2400"/>
        <w:tab w:val="left" w:pos="2880"/>
      </w:tabs>
      <w:spacing w:before="1220" w:after="100"/>
    </w:pPr>
    <w:rPr>
      <w:rFonts w:ascii="Arial" w:hAnsi="Arial"/>
      <w:b/>
      <w:sz w:val="40"/>
    </w:rPr>
  </w:style>
  <w:style w:type="paragraph" w:customStyle="1" w:styleId="madeunder">
    <w:name w:val="made under"/>
    <w:basedOn w:val="Normal"/>
    <w:pPr>
      <w:spacing w:before="180" w:after="60"/>
      <w:jc w:val="both"/>
    </w:pPr>
    <w:rPr>
      <w:sz w:val="24"/>
    </w:rPr>
  </w:style>
  <w:style w:type="paragraph" w:customStyle="1" w:styleId="CoverActName">
    <w:name w:val="CoverActName"/>
    <w:basedOn w:val="Normal"/>
    <w:pPr>
      <w:tabs>
        <w:tab w:val="left" w:pos="2600"/>
      </w:tabs>
      <w:spacing w:before="200" w:after="60"/>
      <w:jc w:val="both"/>
    </w:pPr>
    <w:rPr>
      <w:rFonts w:ascii="Arial" w:hAnsi="Arial"/>
      <w:b/>
      <w:sz w:val="24"/>
    </w:rPr>
  </w:style>
  <w:style w:type="paragraph" w:customStyle="1" w:styleId="N-line3">
    <w:name w:val="N-line3"/>
    <w:basedOn w:val="Normal"/>
    <w:next w:val="Normal"/>
    <w:pPr>
      <w:pBdr>
        <w:bottom w:val="single" w:sz="12" w:space="1" w:color="auto"/>
      </w:pBdr>
      <w:jc w:val="both"/>
    </w:pPr>
    <w:rPr>
      <w:sz w:val="24"/>
    </w:rPr>
  </w:style>
  <w:style w:type="paragraph" w:styleId="BodyText">
    <w:name w:val="Body Text"/>
    <w:basedOn w:val="Normal"/>
    <w:rPr>
      <w:sz w:val="24"/>
    </w:rPr>
  </w:style>
  <w:style w:type="paragraph" w:styleId="BalloonText">
    <w:name w:val="Balloon Text"/>
    <w:basedOn w:val="Normal"/>
    <w:semiHidden/>
    <w:rsid w:val="009E7055"/>
    <w:rPr>
      <w:rFonts w:ascii="Tahoma" w:hAnsi="Tahoma" w:cs="Tahoma"/>
      <w:sz w:val="16"/>
      <w:szCs w:val="16"/>
    </w:rPr>
  </w:style>
  <w:style w:type="paragraph" w:customStyle="1" w:styleId="Form">
    <w:name w:val="Form"/>
    <w:basedOn w:val="BodyText"/>
    <w:rsid w:val="00776E93"/>
    <w:pPr>
      <w:keepLines/>
      <w:tabs>
        <w:tab w:val="right" w:pos="9565"/>
      </w:tabs>
      <w:spacing w:before="120" w:after="120"/>
    </w:pPr>
    <w:rPr>
      <w:sz w:val="20"/>
    </w:rPr>
  </w:style>
  <w:style w:type="paragraph" w:customStyle="1" w:styleId="Form2">
    <w:name w:val="Form2"/>
    <w:basedOn w:val="Form"/>
    <w:rsid w:val="00776E93"/>
    <w:pPr>
      <w:spacing w:before="0" w:after="0"/>
    </w:pPr>
  </w:style>
  <w:style w:type="paragraph" w:customStyle="1" w:styleId="FormBanner">
    <w:name w:val="FormBanner"/>
    <w:basedOn w:val="Form"/>
    <w:rsid w:val="00776E93"/>
    <w:pPr>
      <w:spacing w:before="0" w:after="0"/>
      <w:jc w:val="center"/>
    </w:pPr>
    <w:rPr>
      <w:rFonts w:ascii="Humanst521 XBd BT" w:hAnsi="Humanst521 XBd BT"/>
      <w:color w:val="FFFFFF"/>
      <w:sz w:val="24"/>
    </w:rPr>
  </w:style>
  <w:style w:type="paragraph" w:customStyle="1" w:styleId="FormHeader2">
    <w:name w:val="FormHeader2"/>
    <w:basedOn w:val="Form"/>
    <w:rsid w:val="00776E93"/>
    <w:pPr>
      <w:jc w:val="center"/>
    </w:pPr>
    <w:rPr>
      <w:rFonts w:ascii="Humanst521 XBd BT" w:hAnsi="Humanst521 XBd BT"/>
      <w:sz w:val="24"/>
    </w:rPr>
  </w:style>
  <w:style w:type="paragraph" w:customStyle="1" w:styleId="FormHeader3">
    <w:name w:val="FormHeader3"/>
    <w:basedOn w:val="Form2"/>
    <w:rsid w:val="00776E93"/>
    <w:rPr>
      <w:b/>
      <w:sz w:val="24"/>
    </w:rPr>
  </w:style>
  <w:style w:type="paragraph" w:customStyle="1" w:styleId="FormHeaderC">
    <w:name w:val="FormHeaderC"/>
    <w:basedOn w:val="Normal"/>
    <w:autoRedefine/>
    <w:rsid w:val="00776E93"/>
    <w:pPr>
      <w:spacing w:before="240" w:after="240"/>
      <w:ind w:left="318"/>
      <w:jc w:val="center"/>
      <w:outlineLvl w:val="0"/>
    </w:pPr>
    <w:rPr>
      <w:rFonts w:ascii="Arial" w:hAnsi="Arial" w:cs="Arial"/>
      <w:b/>
      <w:sz w:val="32"/>
    </w:rPr>
  </w:style>
  <w:style w:type="paragraph" w:customStyle="1" w:styleId="FormNumber">
    <w:name w:val="FormNumber"/>
    <w:basedOn w:val="Form"/>
    <w:rsid w:val="00776E93"/>
    <w:rPr>
      <w:b/>
      <w:sz w:val="24"/>
    </w:rPr>
  </w:style>
  <w:style w:type="paragraph" w:customStyle="1" w:styleId="FormRight">
    <w:name w:val="FormRight"/>
    <w:basedOn w:val="Form"/>
    <w:rsid w:val="00776E93"/>
    <w:pPr>
      <w:jc w:val="right"/>
    </w:pPr>
  </w:style>
  <w:style w:type="paragraph" w:customStyle="1" w:styleId="Spacer">
    <w:name w:val="Spacer"/>
    <w:basedOn w:val="Form"/>
    <w:rsid w:val="00776E93"/>
    <w:pPr>
      <w:spacing w:before="0" w:after="0"/>
    </w:pPr>
    <w:rPr>
      <w:sz w:val="10"/>
    </w:rPr>
  </w:style>
  <w:style w:type="paragraph" w:customStyle="1" w:styleId="Spacer2">
    <w:name w:val="Spacer2"/>
    <w:basedOn w:val="Spacer"/>
    <w:rsid w:val="00776E93"/>
    <w:rPr>
      <w:sz w:val="20"/>
    </w:rPr>
  </w:style>
  <w:style w:type="paragraph" w:customStyle="1" w:styleId="Header2">
    <w:name w:val="Header2"/>
    <w:basedOn w:val="Header"/>
    <w:autoRedefine/>
    <w:rsid w:val="00776E93"/>
    <w:pPr>
      <w:tabs>
        <w:tab w:val="clear" w:pos="4153"/>
        <w:tab w:val="clear" w:pos="8306"/>
        <w:tab w:val="right" w:pos="9639"/>
      </w:tabs>
      <w:spacing w:after="120"/>
    </w:pPr>
    <w:rPr>
      <w:rFonts w:ascii="Humanst521 Lt BT" w:hAnsi="Humanst521 Lt BT"/>
      <w:sz w:val="24"/>
    </w:rPr>
  </w:style>
  <w:style w:type="paragraph" w:customStyle="1" w:styleId="FormCentre">
    <w:name w:val="FormCentre"/>
    <w:basedOn w:val="Form"/>
    <w:autoRedefine/>
    <w:rsid w:val="00776E93"/>
    <w:pPr>
      <w:jc w:val="center"/>
    </w:pPr>
  </w:style>
  <w:style w:type="paragraph" w:customStyle="1" w:styleId="FormBullet">
    <w:name w:val="FormBullet"/>
    <w:basedOn w:val="Form"/>
    <w:rsid w:val="00776E93"/>
    <w:pPr>
      <w:numPr>
        <w:numId w:val="2"/>
      </w:numPr>
      <w:tabs>
        <w:tab w:val="clear" w:pos="360"/>
        <w:tab w:val="clear" w:pos="9565"/>
      </w:tabs>
      <w:spacing w:before="0" w:after="0"/>
      <w:ind w:left="318" w:hanging="318"/>
    </w:pPr>
  </w:style>
  <w:style w:type="paragraph" w:styleId="Header">
    <w:name w:val="header"/>
    <w:basedOn w:val="Normal"/>
    <w:rsid w:val="00776E93"/>
    <w:pPr>
      <w:tabs>
        <w:tab w:val="center" w:pos="4153"/>
        <w:tab w:val="right" w:pos="8306"/>
      </w:tabs>
    </w:pPr>
  </w:style>
  <w:style w:type="paragraph" w:styleId="Footer">
    <w:name w:val="footer"/>
    <w:basedOn w:val="Normal"/>
    <w:link w:val="FooterChar"/>
    <w:rsid w:val="004B714B"/>
    <w:pPr>
      <w:tabs>
        <w:tab w:val="center" w:pos="4513"/>
        <w:tab w:val="right" w:pos="9026"/>
      </w:tabs>
    </w:pPr>
  </w:style>
  <w:style w:type="character" w:customStyle="1" w:styleId="FooterChar">
    <w:name w:val="Footer Char"/>
    <w:link w:val="Footer"/>
    <w:rsid w:val="004B714B"/>
    <w:rPr>
      <w:lang w:eastAsia="en-US"/>
    </w:rPr>
  </w:style>
  <w:style w:type="table" w:styleId="TableGrid">
    <w:name w:val="Table Grid"/>
    <w:basedOn w:val="TableNormal"/>
    <w:rsid w:val="006D4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00997"/>
    <w:rPr>
      <w:sz w:val="16"/>
      <w:szCs w:val="16"/>
    </w:rPr>
  </w:style>
  <w:style w:type="paragraph" w:styleId="CommentText">
    <w:name w:val="annotation text"/>
    <w:basedOn w:val="Normal"/>
    <w:link w:val="CommentTextChar"/>
    <w:rsid w:val="00900997"/>
  </w:style>
  <w:style w:type="character" w:customStyle="1" w:styleId="CommentTextChar">
    <w:name w:val="Comment Text Char"/>
    <w:link w:val="CommentText"/>
    <w:rsid w:val="00900997"/>
    <w:rPr>
      <w:lang w:eastAsia="en-US"/>
    </w:rPr>
  </w:style>
  <w:style w:type="paragraph" w:styleId="CommentSubject">
    <w:name w:val="annotation subject"/>
    <w:basedOn w:val="CommentText"/>
    <w:next w:val="CommentText"/>
    <w:link w:val="CommentSubjectChar"/>
    <w:rsid w:val="00900997"/>
    <w:rPr>
      <w:b/>
      <w:bCs/>
    </w:rPr>
  </w:style>
  <w:style w:type="character" w:customStyle="1" w:styleId="CommentSubjectChar">
    <w:name w:val="Comment Subject Char"/>
    <w:link w:val="CommentSubject"/>
    <w:rsid w:val="00900997"/>
    <w:rPr>
      <w:b/>
      <w:bCs/>
      <w:lang w:eastAsia="en-US"/>
    </w:rPr>
  </w:style>
  <w:style w:type="paragraph" w:styleId="DocumentMap">
    <w:name w:val="Document Map"/>
    <w:basedOn w:val="Normal"/>
    <w:link w:val="DocumentMapChar"/>
    <w:rsid w:val="00F6152A"/>
    <w:rPr>
      <w:rFonts w:ascii="Tahoma" w:hAnsi="Tahoma" w:cs="Tahoma"/>
      <w:sz w:val="16"/>
      <w:szCs w:val="16"/>
    </w:rPr>
  </w:style>
  <w:style w:type="character" w:customStyle="1" w:styleId="DocumentMapChar">
    <w:name w:val="Document Map Char"/>
    <w:link w:val="DocumentMap"/>
    <w:rsid w:val="00F6152A"/>
    <w:rPr>
      <w:rFonts w:ascii="Tahoma" w:hAnsi="Tahoma" w:cs="Tahoma"/>
      <w:sz w:val="16"/>
      <w:szCs w:val="16"/>
      <w:lang w:eastAsia="en-US"/>
    </w:rPr>
  </w:style>
  <w:style w:type="paragraph" w:styleId="Revision">
    <w:name w:val="Revision"/>
    <w:hidden/>
    <w:uiPriority w:val="99"/>
    <w:semiHidden/>
    <w:rsid w:val="005E33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4BA2E-84E9-4135-B7D1-90D38B43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3636</Characters>
  <Application>Microsoft Office Word</Application>
  <DocSecurity>0</DocSecurity>
  <Lines>63</Lines>
  <Paragraphs>31</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InTACT</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Alison Purvis</dc:creator>
  <cp:keywords/>
  <cp:lastModifiedBy>PCODCS</cp:lastModifiedBy>
  <cp:revision>4</cp:revision>
  <cp:lastPrinted>2020-06-05T06:57:00Z</cp:lastPrinted>
  <dcterms:created xsi:type="dcterms:W3CDTF">2026-06-04T00:34:00Z</dcterms:created>
  <dcterms:modified xsi:type="dcterms:W3CDTF">2026-06-04T00:34:00Z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2024-05-16T01:47:54Z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375ed45d-8f67-49e5-8f0f-d63f15e8a315</vt:lpwstr>
  </property>
  <property fmtid="{D5CDD505-2E9C-101B-9397-08002B2CF9AE}" pid="8" name="MSIP_Label_69af8531-eb46-4968-8cb3-105d2f5ea87e_ContentBits">
    <vt:lpwstr>0</vt:lpwstr>
  </property>
</Properties>
</file>