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F472" w14:textId="77777777" w:rsidR="00225D02" w:rsidRPr="006A5384" w:rsidRDefault="00225D02" w:rsidP="006A5384">
      <w:pPr>
        <w:spacing w:before="120"/>
        <w:rPr>
          <w:rFonts w:eastAsia="Times New Roman"/>
          <w:szCs w:val="20"/>
        </w:rPr>
      </w:pPr>
      <w:bookmarkStart w:id="0" w:name="_Toc44738651_4"/>
      <w:smartTag w:uri="urn:schemas-microsoft-com:office:smarttags" w:element="State">
        <w:smartTag w:uri="urn:schemas-microsoft-com:office:smarttags" w:element="place">
          <w:r w:rsidRPr="006A5384">
            <w:rPr>
              <w:rFonts w:eastAsia="Times New Roman"/>
              <w:szCs w:val="20"/>
            </w:rPr>
            <w:t>Australian Capital Territory</w:t>
          </w:r>
        </w:smartTag>
      </w:smartTag>
    </w:p>
    <w:p w14:paraId="4CCA8E88" w14:textId="76D16BB9" w:rsidR="00225D02" w:rsidRPr="006A5384" w:rsidRDefault="00225D02" w:rsidP="006A5384">
      <w:pPr>
        <w:pStyle w:val="Billname"/>
        <w:spacing w:before="700"/>
        <w:rPr>
          <w:rFonts w:eastAsia="Times New Roman" w:cs="Times New Roman"/>
          <w:bCs w:val="0"/>
          <w:szCs w:val="20"/>
        </w:rPr>
      </w:pPr>
      <w:r w:rsidRPr="006A5384">
        <w:rPr>
          <w:rFonts w:eastAsia="Times New Roman" w:cs="Times New Roman"/>
          <w:bCs w:val="0"/>
          <w:szCs w:val="20"/>
        </w:rPr>
        <w:t xml:space="preserve">Race and Sports Bookmaking (Fees) Determination </w:t>
      </w:r>
      <w:r w:rsidR="00F11B10" w:rsidRPr="006A5384">
        <w:rPr>
          <w:rFonts w:eastAsia="Times New Roman" w:cs="Times New Roman"/>
          <w:bCs w:val="0"/>
          <w:szCs w:val="20"/>
        </w:rPr>
        <w:t>2026</w:t>
      </w:r>
    </w:p>
    <w:p w14:paraId="11CADE70" w14:textId="005E755C" w:rsidR="00225D02" w:rsidRPr="006A5384" w:rsidRDefault="00225D02" w:rsidP="006A5384">
      <w:pPr>
        <w:spacing w:before="340"/>
        <w:rPr>
          <w:rFonts w:eastAsia="Times New Roman"/>
          <w:b/>
          <w:bCs/>
          <w:szCs w:val="20"/>
        </w:rPr>
      </w:pPr>
      <w:r w:rsidRPr="006A5384">
        <w:rPr>
          <w:rFonts w:eastAsia="Times New Roman"/>
          <w:b/>
          <w:bCs/>
          <w:szCs w:val="20"/>
        </w:rPr>
        <w:t>Disallowable Instrument DI</w:t>
      </w:r>
      <w:r w:rsidR="00F11B10" w:rsidRPr="006A5384">
        <w:rPr>
          <w:rFonts w:eastAsia="Times New Roman"/>
          <w:b/>
          <w:bCs/>
          <w:szCs w:val="20"/>
        </w:rPr>
        <w:t>2026</w:t>
      </w:r>
      <w:r w:rsidRPr="006A5384">
        <w:rPr>
          <w:rFonts w:eastAsia="Times New Roman"/>
          <w:b/>
          <w:bCs/>
          <w:szCs w:val="20"/>
        </w:rPr>
        <w:t>-</w:t>
      </w:r>
      <w:r w:rsidR="00F25173">
        <w:rPr>
          <w:rFonts w:eastAsia="Times New Roman"/>
          <w:b/>
          <w:bCs/>
          <w:szCs w:val="20"/>
        </w:rPr>
        <w:t>91</w:t>
      </w:r>
    </w:p>
    <w:p w14:paraId="2EC418CC" w14:textId="77777777" w:rsidR="00225D02" w:rsidRPr="006A5384" w:rsidRDefault="00225D02" w:rsidP="006A5384">
      <w:pPr>
        <w:pStyle w:val="madeunder"/>
        <w:spacing w:before="300" w:after="0"/>
        <w:rPr>
          <w:rFonts w:ascii="Times New Roman" w:eastAsia="Times New Roman" w:hAnsi="Times New Roman" w:cs="Times New Roman"/>
          <w:szCs w:val="20"/>
        </w:rPr>
      </w:pPr>
      <w:r w:rsidRPr="006A5384">
        <w:rPr>
          <w:rFonts w:ascii="Times New Roman" w:eastAsia="Times New Roman" w:hAnsi="Times New Roman" w:cs="Times New Roman"/>
          <w:szCs w:val="20"/>
        </w:rPr>
        <w:t xml:space="preserve">made under the  </w:t>
      </w:r>
    </w:p>
    <w:p w14:paraId="33F82719" w14:textId="77777777" w:rsidR="00225D02" w:rsidRPr="006A5384" w:rsidRDefault="00225D02" w:rsidP="006A5384">
      <w:pPr>
        <w:pStyle w:val="CoverActName"/>
        <w:spacing w:before="320" w:after="0"/>
        <w:rPr>
          <w:rFonts w:eastAsia="Times New Roman"/>
          <w:bCs w:val="0"/>
          <w:sz w:val="20"/>
          <w:szCs w:val="20"/>
        </w:rPr>
      </w:pPr>
      <w:r w:rsidRPr="006A5384">
        <w:rPr>
          <w:rFonts w:eastAsia="Times New Roman"/>
          <w:bCs w:val="0"/>
          <w:sz w:val="20"/>
          <w:szCs w:val="20"/>
        </w:rPr>
        <w:t>Race and Sports Bookmaking Act 2001, section 97 (Determination of fees)</w:t>
      </w:r>
    </w:p>
    <w:p w14:paraId="45E9EFDD" w14:textId="77777777" w:rsidR="00225D02" w:rsidRPr="006A5384" w:rsidRDefault="00225D02" w:rsidP="006A5384">
      <w:pPr>
        <w:spacing w:before="360"/>
        <w:ind w:right="565"/>
        <w:rPr>
          <w:rFonts w:eastAsia="Times New Roman"/>
          <w:b/>
          <w:bCs/>
          <w:sz w:val="28"/>
          <w:szCs w:val="28"/>
        </w:rPr>
      </w:pPr>
      <w:r w:rsidRPr="006A5384">
        <w:rPr>
          <w:rFonts w:eastAsia="Times New Roman"/>
          <w:b/>
          <w:bCs/>
          <w:sz w:val="28"/>
          <w:szCs w:val="28"/>
        </w:rPr>
        <w:t>EXPLANATORY STATEMENT</w:t>
      </w:r>
    </w:p>
    <w:p w14:paraId="3AA3C2BC"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37726AC8" w14:textId="77777777" w:rsidR="00225D02" w:rsidRDefault="00225D02" w:rsidP="00225D02">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3B77553F"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i/>
          <w:iCs/>
          <w:szCs w:val="20"/>
          <w:bdr w:val="nil"/>
        </w:rPr>
        <w:t>Race and Sports Bookmaking Act 2001</w:t>
      </w:r>
      <w:r>
        <w:rPr>
          <w:rFonts w:ascii="Times New Roman" w:eastAsia="Times New Roman" w:hAnsi="Times New Roman" w:cs="Times New Roman"/>
          <w:szCs w:val="20"/>
          <w:bdr w:val="nil"/>
        </w:rPr>
        <w:t xml:space="preserve"> (the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regulates the activities of race and sports bookmakers within the ACT.</w:t>
      </w:r>
    </w:p>
    <w:p w14:paraId="6C0E1C83"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7468CA7E" w14:textId="09C7E690" w:rsidR="00225D02" w:rsidRPr="006E66D2" w:rsidRDefault="00225D02" w:rsidP="00225D02">
      <w:pPr>
        <w:pStyle w:val="N-line3"/>
        <w:pBdr>
          <w:top w:val="nil"/>
          <w:left w:val="nil"/>
          <w:bottom w:val="nil"/>
          <w:right w:val="nil"/>
          <w:between w:val="nil"/>
          <w:bar w:val="nil"/>
        </w:pBdr>
        <w:rPr>
          <w:rFonts w:ascii="Times New Roman" w:eastAsia="Times New Roman" w:hAnsi="Times New Roman" w:cs="Times New Roman"/>
          <w:szCs w:val="20"/>
          <w:bdr w:val="nil"/>
        </w:rPr>
      </w:pPr>
      <w:r w:rsidRPr="006E66D2">
        <w:rPr>
          <w:rFonts w:ascii="Times New Roman" w:eastAsia="Times New Roman" w:hAnsi="Times New Roman" w:cs="Times New Roman"/>
          <w:szCs w:val="20"/>
          <w:bdr w:val="nil"/>
        </w:rPr>
        <w:t>This instrument revokes</w:t>
      </w:r>
      <w:r>
        <w:rPr>
          <w:rFonts w:ascii="Times New Roman" w:eastAsia="Times New Roman" w:hAnsi="Times New Roman" w:cs="Times New Roman"/>
          <w:szCs w:val="20"/>
          <w:bdr w:val="nil"/>
        </w:rPr>
        <w:t xml:space="preserve"> DI</w:t>
      </w:r>
      <w:r w:rsidR="00F11B10">
        <w:rPr>
          <w:rFonts w:ascii="Times New Roman" w:eastAsia="Times New Roman" w:hAnsi="Times New Roman" w:cs="Times New Roman"/>
          <w:szCs w:val="20"/>
          <w:bdr w:val="nil"/>
        </w:rPr>
        <w:t>2025-107</w:t>
      </w:r>
      <w:r w:rsidRPr="006E66D2">
        <w:rPr>
          <w:rFonts w:ascii="Times New Roman" w:eastAsia="Times New Roman" w:hAnsi="Times New Roman" w:cs="Times New Roman"/>
          <w:szCs w:val="20"/>
          <w:bdr w:val="nil"/>
        </w:rPr>
        <w:t xml:space="preserve">, the </w:t>
      </w:r>
      <w:r w:rsidRPr="006E66D2">
        <w:rPr>
          <w:rFonts w:ascii="Times New Roman" w:eastAsia="Times New Roman" w:hAnsi="Times New Roman" w:cs="Times New Roman"/>
          <w:i/>
          <w:szCs w:val="20"/>
          <w:bdr w:val="nil"/>
        </w:rPr>
        <w:t xml:space="preserve">Race and Sports Bookmaking (Fees) Determination </w:t>
      </w:r>
      <w:r w:rsidR="00F11B10">
        <w:rPr>
          <w:rFonts w:ascii="Times New Roman" w:eastAsia="Times New Roman" w:hAnsi="Times New Roman" w:cs="Times New Roman"/>
          <w:i/>
          <w:szCs w:val="20"/>
          <w:bdr w:val="nil"/>
        </w:rPr>
        <w:t>2025</w:t>
      </w:r>
      <w:r w:rsidRPr="006E66D2">
        <w:rPr>
          <w:rFonts w:ascii="Times New Roman" w:eastAsia="Times New Roman" w:hAnsi="Times New Roman" w:cs="Times New Roman"/>
          <w:i/>
          <w:szCs w:val="20"/>
          <w:bdr w:val="nil"/>
        </w:rPr>
        <w:t>.</w:t>
      </w:r>
    </w:p>
    <w:p w14:paraId="732D3C2E" w14:textId="77777777" w:rsidR="00225D02" w:rsidRPr="006E66D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296AAD05"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97 of the Act provides that the Minister may determine fees for the Act. This instrument provides for the fees for approvals under the Act as well as the licensing arrangements of race bookmakers, race bookmaker’s agents, sports bookmakers and sports bookmaker’s agents.</w:t>
      </w:r>
    </w:p>
    <w:p w14:paraId="7C7C597A"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49819428" w14:textId="19EFDABF"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 xml:space="preserve">1 July </w:t>
      </w:r>
      <w:r w:rsidR="00F11B10">
        <w:rPr>
          <w:rFonts w:ascii="Times New Roman" w:eastAsia="Times New Roman" w:hAnsi="Times New Roman" w:cs="Times New Roman"/>
          <w:szCs w:val="20"/>
          <w:bdr w:val="nil"/>
        </w:rPr>
        <w:t>2026</w:t>
      </w:r>
      <w:r w:rsidRPr="00C96D5F">
        <w:rPr>
          <w:rFonts w:ascii="Times New Roman" w:eastAsia="Times New Roman" w:hAnsi="Times New Roman" w:cs="Times New Roman"/>
          <w:szCs w:val="20"/>
          <w:bdr w:val="nil"/>
        </w:rPr>
        <w:t xml:space="preserve"> and repeals the </w:t>
      </w:r>
      <w:r w:rsidRPr="00185B09">
        <w:rPr>
          <w:rFonts w:ascii="Times New Roman" w:eastAsia="Times New Roman" w:hAnsi="Times New Roman" w:cs="Times New Roman"/>
          <w:i/>
          <w:iCs/>
          <w:szCs w:val="20"/>
          <w:bdr w:val="nil"/>
        </w:rPr>
        <w:t xml:space="preserve">Race and Sports Bookmaking (Fees) Determination </w:t>
      </w:r>
      <w:r w:rsidR="00F11B10">
        <w:rPr>
          <w:rFonts w:ascii="Times New Roman" w:eastAsia="Times New Roman" w:hAnsi="Times New Roman" w:cs="Times New Roman"/>
          <w:i/>
          <w:iCs/>
          <w:szCs w:val="20"/>
          <w:bdr w:val="nil"/>
        </w:rPr>
        <w:t>2025</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w:t>
      </w:r>
      <w:r w:rsidR="00F11B10">
        <w:rPr>
          <w:rFonts w:ascii="Times New Roman" w:eastAsia="Times New Roman" w:hAnsi="Times New Roman" w:cs="Times New Roman"/>
          <w:szCs w:val="20"/>
          <w:bdr w:val="nil"/>
        </w:rPr>
        <w:t>2025-107</w:t>
      </w:r>
      <w:r w:rsidRPr="00C96D5F">
        <w:rPr>
          <w:rFonts w:ascii="Times New Roman" w:eastAsia="Times New Roman" w:hAnsi="Times New Roman" w:cs="Times New Roman"/>
          <w:szCs w:val="20"/>
          <w:bdr w:val="nil"/>
        </w:rPr>
        <w:t xml:space="preserve">. </w:t>
      </w:r>
      <w:bookmarkStart w:id="1" w:name="_Hlk161322878_1"/>
      <w:r>
        <w:rPr>
          <w:rFonts w:ascii="Times New Roman" w:eastAsia="SimSun" w:hAnsi="Times New Roman" w:cs="Times New Roman"/>
          <w:szCs w:val="20"/>
          <w:bdr w:val="nil"/>
        </w:rPr>
        <w:t xml:space="preserve">Fees in the </w:t>
      </w:r>
      <w:r w:rsidR="00F11B10">
        <w:rPr>
          <w:rFonts w:ascii="Times New Roman" w:eastAsia="SimSun" w:hAnsi="Times New Roman" w:cs="Times New Roman"/>
          <w:szCs w:val="20"/>
          <w:bdr w:val="nil"/>
        </w:rPr>
        <w:t>2026 - 2027</w:t>
      </w:r>
      <w:r>
        <w:rPr>
          <w:rFonts w:ascii="Times New Roman" w:eastAsia="SimSun" w:hAnsi="Times New Roman" w:cs="Times New Roman"/>
          <w:szCs w:val="20"/>
          <w:bdr w:val="nil"/>
        </w:rPr>
        <w:t xml:space="preserve"> financial year have been generally increased from fees in the previous financial year by</w:t>
      </w:r>
      <w:bookmarkEnd w:id="1"/>
      <w:r>
        <w:rPr>
          <w:rFonts w:ascii="Times New Roman" w:eastAsia="SimSun" w:hAnsi="Times New Roman" w:cs="Times New Roman"/>
          <w:szCs w:val="20"/>
          <w:bdr w:val="nil"/>
        </w:rPr>
        <w:t xml:space="preserve"> </w:t>
      </w:r>
      <w:r>
        <w:rPr>
          <w:rFonts w:ascii="Times New Roman" w:eastAsia="Times New Roman" w:hAnsi="Times New Roman" w:cs="Times New Roman"/>
          <w:szCs w:val="20"/>
          <w:bdr w:val="nil"/>
        </w:rPr>
        <w:t xml:space="preserve">the Wages Price Index (WPI) of 3.25% </w:t>
      </w:r>
      <w:bookmarkStart w:id="2" w:name="_Hlk161323232_0"/>
      <w:r>
        <w:rPr>
          <w:rFonts w:ascii="Times New Roman" w:eastAsia="SimSun" w:hAnsi="Times New Roman" w:cs="Times New Roman"/>
          <w:szCs w:val="20"/>
          <w:bdr w:val="nil"/>
        </w:rPr>
        <w:t>plus an additional 0.35%, rounded down to the nearest dollar. Some smaller value fees may be rounded up to the nearest dollar.</w:t>
      </w:r>
      <w:bookmarkEnd w:id="2"/>
      <w:r>
        <w:rPr>
          <w:rFonts w:ascii="Times New Roman" w:eastAsia="SimSun" w:hAnsi="Times New Roman" w:cs="Times New Roman"/>
          <w:szCs w:val="20"/>
          <w:bdr w:val="nil"/>
        </w:rPr>
        <w:t xml:space="preserve"> </w:t>
      </w:r>
      <w:r w:rsidRPr="00E009AE">
        <w:rPr>
          <w:rFonts w:ascii="Times New Roman" w:eastAsia="SimSun" w:hAnsi="Times New Roman" w:cs="Times New Roman"/>
          <w:szCs w:val="20"/>
          <w:bdr w:val="nil"/>
        </w:rPr>
        <w:t xml:space="preserve">This approach also aligns with the </w:t>
      </w:r>
      <w:r w:rsidRPr="00E009AE">
        <w:rPr>
          <w:rFonts w:ascii="Times New Roman" w:eastAsia="SimSun" w:hAnsi="Times New Roman" w:cs="Times New Roman"/>
          <w:i/>
          <w:iCs/>
          <w:szCs w:val="20"/>
          <w:bdr w:val="nil"/>
        </w:rPr>
        <w:t xml:space="preserve">Fees and Charges Policy and Guidelines </w:t>
      </w:r>
      <w:r w:rsidR="0012438E" w:rsidRPr="00E009AE">
        <w:rPr>
          <w:rFonts w:ascii="Times New Roman" w:eastAsia="SimSun" w:hAnsi="Times New Roman" w:cs="Times New Roman"/>
          <w:i/>
          <w:iCs/>
          <w:szCs w:val="20"/>
          <w:bdr w:val="nil"/>
        </w:rPr>
        <w:t>202</w:t>
      </w:r>
      <w:r w:rsidR="0012438E">
        <w:rPr>
          <w:rFonts w:ascii="Times New Roman" w:eastAsia="SimSun" w:hAnsi="Times New Roman" w:cs="Times New Roman"/>
          <w:i/>
          <w:iCs/>
          <w:szCs w:val="20"/>
          <w:bdr w:val="nil"/>
        </w:rPr>
        <w:t>6</w:t>
      </w:r>
      <w:r w:rsidR="0012438E" w:rsidRPr="00E009AE">
        <w:rPr>
          <w:rFonts w:ascii="Times New Roman" w:eastAsia="SimSun" w:hAnsi="Times New Roman" w:cs="Times New Roman"/>
          <w:i/>
          <w:iCs/>
          <w:szCs w:val="20"/>
          <w:bdr w:val="nil"/>
        </w:rPr>
        <w:t> </w:t>
      </w:r>
      <w:r w:rsidRPr="00E009AE">
        <w:rPr>
          <w:rFonts w:ascii="Times New Roman" w:eastAsia="SimSun" w:hAnsi="Times New Roman" w:cs="Times New Roman"/>
          <w:i/>
          <w:iCs/>
          <w:szCs w:val="20"/>
          <w:bdr w:val="nil"/>
        </w:rPr>
        <w:t>- </w:t>
      </w:r>
      <w:r w:rsidR="0012438E" w:rsidRPr="00E009AE">
        <w:rPr>
          <w:rFonts w:ascii="Times New Roman" w:eastAsia="SimSun" w:hAnsi="Times New Roman" w:cs="Times New Roman"/>
          <w:i/>
          <w:iCs/>
          <w:szCs w:val="20"/>
          <w:bdr w:val="nil"/>
        </w:rPr>
        <w:t>202</w:t>
      </w:r>
      <w:r w:rsidR="0012438E">
        <w:rPr>
          <w:rFonts w:ascii="Times New Roman" w:eastAsia="SimSun" w:hAnsi="Times New Roman" w:cs="Times New Roman"/>
          <w:i/>
          <w:iCs/>
          <w:szCs w:val="20"/>
          <w:bdr w:val="nil"/>
        </w:rPr>
        <w:t>7</w:t>
      </w:r>
      <w:r w:rsidRPr="00E009AE">
        <w:rPr>
          <w:rFonts w:ascii="Times New Roman" w:eastAsia="SimSun" w:hAnsi="Times New Roman" w:cs="Times New Roman"/>
          <w:i/>
          <w:iCs/>
          <w:szCs w:val="20"/>
          <w:bdr w:val="nil"/>
        </w:rPr>
        <w:t>.</w:t>
      </w:r>
    </w:p>
    <w:p w14:paraId="0B1D9FAC" w14:textId="77777777"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p>
    <w:p w14:paraId="0A83347F" w14:textId="77777777"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bookmarkEnd w:id="0"/>
    <w:p w14:paraId="6681A9A7"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17564A61"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A determination under section 97 of the Act is a disallowable instrument and must be tabled in the Legislative Assembly.</w:t>
      </w:r>
    </w:p>
    <w:p w14:paraId="6470357E"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7F134861" w14:textId="77777777" w:rsidR="000D284C" w:rsidRPr="000D284C" w:rsidRDefault="000D284C" w:rsidP="000D284C">
      <w:pPr>
        <w:pBdr>
          <w:top w:val="nil"/>
          <w:left w:val="nil"/>
          <w:bottom w:val="nil"/>
          <w:right w:val="nil"/>
          <w:between w:val="nil"/>
          <w:bar w:val="nil"/>
        </w:pBdr>
        <w:jc w:val="both"/>
        <w:rPr>
          <w:rFonts w:ascii="Times New Roman" w:eastAsia="Times New Roman" w:hAnsi="Times New Roman" w:cs="Times New Roman"/>
          <w:b/>
          <w:bCs/>
          <w:szCs w:val="20"/>
          <w:bdr w:val="nil"/>
        </w:rPr>
      </w:pPr>
      <w:r w:rsidRPr="000D284C">
        <w:rPr>
          <w:rFonts w:ascii="Times New Roman" w:eastAsia="Times New Roman" w:hAnsi="Times New Roman" w:cs="Times New Roman"/>
          <w:b/>
          <w:bCs/>
          <w:szCs w:val="20"/>
          <w:bdr w:val="nil"/>
        </w:rPr>
        <w:t>Human Rights</w:t>
      </w:r>
    </w:p>
    <w:p w14:paraId="21CC9A97" w14:textId="77777777" w:rsidR="000D284C" w:rsidRPr="000D284C" w:rsidRDefault="000D284C" w:rsidP="000D284C">
      <w:pPr>
        <w:pBdr>
          <w:top w:val="nil"/>
          <w:left w:val="nil"/>
          <w:bottom w:val="nil"/>
          <w:right w:val="nil"/>
          <w:between w:val="nil"/>
          <w:bar w:val="nil"/>
        </w:pBdr>
        <w:jc w:val="both"/>
        <w:rPr>
          <w:rFonts w:ascii="Times New Roman" w:eastAsia="Times New Roman" w:hAnsi="Times New Roman" w:cs="Times New Roman"/>
          <w:szCs w:val="20"/>
          <w:bdr w:val="nil"/>
        </w:rPr>
      </w:pPr>
      <w:r w:rsidRPr="000D284C">
        <w:rPr>
          <w:rFonts w:ascii="Times New Roman" w:eastAsia="Times New Roman" w:hAnsi="Times New Roman" w:cs="Times New Roman"/>
          <w:szCs w:val="20"/>
          <w:bdr w:val="nil"/>
        </w:rPr>
        <w:t>The Standing Committee on Justice and Community Safety (Legislative Scrutiny Role) terms of reference require consideration of human rights impacts, among other matters. In this case, no human rights are impacted.</w:t>
      </w:r>
    </w:p>
    <w:p w14:paraId="3FC0FCD6"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69B08451"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sectPr w:rsidR="00225D02" w:rsidSect="00225D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985" w:left="1797" w:header="720" w:footer="720" w:gutter="0"/>
          <w:paperSrc w:first="7" w:other="7"/>
          <w:cols w:space="720"/>
        </w:sectPr>
      </w:pPr>
    </w:p>
    <w:tbl>
      <w:tblPr>
        <w:tblW w:w="978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8"/>
        <w:gridCol w:w="5511"/>
        <w:gridCol w:w="1620"/>
        <w:gridCol w:w="1386"/>
      </w:tblGrid>
      <w:tr w:rsidR="00225D02" w14:paraId="7DC043C8" w14:textId="77777777" w:rsidTr="006A5384">
        <w:trPr>
          <w:cantSplit/>
          <w:trHeight w:val="368"/>
          <w:tblHeader/>
          <w:jc w:val="center"/>
        </w:trPr>
        <w:tc>
          <w:tcPr>
            <w:tcW w:w="1269" w:type="dxa"/>
            <w:tcBorders>
              <w:top w:val="nil"/>
              <w:bottom w:val="single" w:sz="12" w:space="0" w:color="auto"/>
            </w:tcBorders>
          </w:tcPr>
          <w:p w14:paraId="33D10AD1" w14:textId="77777777" w:rsidR="00225D02" w:rsidRPr="00225D02" w:rsidRDefault="00225D02" w:rsidP="006A5384">
            <w:pPr>
              <w:pStyle w:val="Heading2"/>
              <w:keepNext w:val="0"/>
              <w:keepLines w:val="0"/>
              <w:pBdr>
                <w:top w:val="nil"/>
                <w:left w:val="nil"/>
                <w:bottom w:val="nil"/>
                <w:right w:val="nil"/>
                <w:between w:val="nil"/>
                <w:bar w:val="nil"/>
              </w:pBdr>
              <w:spacing w:before="12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lastRenderedPageBreak/>
              <w:t>Column 1</w:t>
            </w:r>
          </w:p>
        </w:tc>
        <w:tc>
          <w:tcPr>
            <w:tcW w:w="5512" w:type="dxa"/>
            <w:tcBorders>
              <w:top w:val="nil"/>
              <w:bottom w:val="single" w:sz="12" w:space="0" w:color="auto"/>
            </w:tcBorders>
          </w:tcPr>
          <w:p w14:paraId="7598C346"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620" w:type="dxa"/>
            <w:tcBorders>
              <w:top w:val="nil"/>
              <w:bottom w:val="single" w:sz="12" w:space="0" w:color="auto"/>
            </w:tcBorders>
          </w:tcPr>
          <w:p w14:paraId="00883BFC"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384" w:type="dxa"/>
            <w:tcBorders>
              <w:top w:val="nil"/>
              <w:bottom w:val="single" w:sz="12" w:space="0" w:color="auto"/>
            </w:tcBorders>
          </w:tcPr>
          <w:p w14:paraId="0571E73A"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225D02" w14:paraId="0E9CB741" w14:textId="77777777" w:rsidTr="006A5384">
        <w:trPr>
          <w:cantSplit/>
          <w:trHeight w:val="813"/>
          <w:tblHeader/>
          <w:jc w:val="center"/>
        </w:trPr>
        <w:tc>
          <w:tcPr>
            <w:tcW w:w="1269" w:type="dxa"/>
            <w:tcBorders>
              <w:top w:val="single" w:sz="12" w:space="0" w:color="auto"/>
              <w:bottom w:val="single" w:sz="12" w:space="0" w:color="auto"/>
            </w:tcBorders>
          </w:tcPr>
          <w:p w14:paraId="53F53F55" w14:textId="77777777" w:rsidR="00225D02" w:rsidRPr="00225D02" w:rsidRDefault="00225D02" w:rsidP="006A5384">
            <w:pPr>
              <w:pStyle w:val="Heading2"/>
              <w:keepNext w:val="0"/>
              <w:keepLines w:val="0"/>
              <w:pBdr>
                <w:top w:val="nil"/>
                <w:left w:val="nil"/>
                <w:bottom w:val="nil"/>
                <w:right w:val="nil"/>
                <w:between w:val="nil"/>
                <w:bar w:val="nil"/>
              </w:pBdr>
              <w:spacing w:before="0" w:after="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028B7B38" w14:textId="77777777"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620" w:type="dxa"/>
            <w:tcBorders>
              <w:top w:val="single" w:sz="12" w:space="0" w:color="auto"/>
              <w:bottom w:val="single" w:sz="12" w:space="0" w:color="auto"/>
            </w:tcBorders>
          </w:tcPr>
          <w:p w14:paraId="3C02D6EE" w14:textId="77777777" w:rsidR="00225D02" w:rsidRPr="00652B7F" w:rsidRDefault="00225D02" w:rsidP="00FD731A">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384" w:type="dxa"/>
            <w:tcBorders>
              <w:top w:val="single" w:sz="12" w:space="0" w:color="auto"/>
              <w:bottom w:val="single" w:sz="12" w:space="0" w:color="auto"/>
            </w:tcBorders>
          </w:tcPr>
          <w:p w14:paraId="53FC3C28" w14:textId="21A78C22"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CE7E65">
              <w:rPr>
                <w:rFonts w:ascii="Times New Roman" w:eastAsia="Times New Roman" w:hAnsi="Times New Roman" w:cs="Times New Roman"/>
                <w:b/>
                <w:bCs/>
                <w:sz w:val="22"/>
                <w:szCs w:val="22"/>
                <w:bdr w:val="nil"/>
              </w:rPr>
              <w:t xml:space="preserve">1 July </w:t>
            </w:r>
            <w:r w:rsidR="00F11B10">
              <w:rPr>
                <w:rFonts w:ascii="Times New Roman" w:eastAsia="Times New Roman" w:hAnsi="Times New Roman" w:cs="Times New Roman"/>
                <w:b/>
                <w:bCs/>
                <w:sz w:val="22"/>
                <w:szCs w:val="22"/>
                <w:bdr w:val="nil"/>
              </w:rPr>
              <w:t>2026</w:t>
            </w:r>
            <w:r w:rsidRPr="00CE7E65">
              <w:rPr>
                <w:rFonts w:ascii="Times New Roman" w:eastAsia="Times New Roman" w:hAnsi="Times New Roman" w:cs="Times New Roman"/>
                <w:b/>
                <w:bCs/>
                <w:sz w:val="22"/>
                <w:szCs w:val="22"/>
                <w:bdr w:val="nil"/>
              </w:rPr>
              <w:t xml:space="preserve"> </w:t>
            </w:r>
            <w:r>
              <w:rPr>
                <w:rFonts w:ascii="Times New Roman" w:eastAsia="Times New Roman" w:hAnsi="Times New Roman" w:cs="Times New Roman"/>
                <w:b/>
                <w:bCs/>
                <w:sz w:val="22"/>
                <w:szCs w:val="22"/>
                <w:bdr w:val="nil"/>
              </w:rPr>
              <w:t xml:space="preserve"> (GST exempt)</w:t>
            </w:r>
          </w:p>
        </w:tc>
      </w:tr>
      <w:tr w:rsidR="00225D02" w14:paraId="0951C161" w14:textId="77777777" w:rsidTr="006A5384">
        <w:trPr>
          <w:cantSplit/>
          <w:trHeight w:val="874"/>
          <w:jc w:val="center"/>
        </w:trPr>
        <w:tc>
          <w:tcPr>
            <w:tcW w:w="1269" w:type="dxa"/>
            <w:tcBorders>
              <w:top w:val="single" w:sz="12" w:space="0" w:color="auto"/>
              <w:right w:val="nil"/>
            </w:tcBorders>
          </w:tcPr>
          <w:p w14:paraId="2D2F0198"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6(1)</w:t>
            </w:r>
          </w:p>
        </w:tc>
        <w:tc>
          <w:tcPr>
            <w:tcW w:w="5512" w:type="dxa"/>
            <w:tcBorders>
              <w:top w:val="single" w:sz="12" w:space="0" w:color="auto"/>
              <w:left w:val="nil"/>
              <w:right w:val="nil"/>
            </w:tcBorders>
          </w:tcPr>
          <w:p w14:paraId="7F5CFAE8"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approval of a race bookmaking licence</w:t>
            </w:r>
            <w:r>
              <w:rPr>
                <w:rFonts w:ascii="Times New Roman" w:eastAsia="Times New Roman" w:hAnsi="Times New Roman" w:cs="Times New Roman"/>
                <w:color w:val="000000"/>
                <w:bdr w:val="nil"/>
              </w:rPr>
              <w:t>.</w:t>
            </w:r>
          </w:p>
        </w:tc>
        <w:tc>
          <w:tcPr>
            <w:tcW w:w="1620" w:type="dxa"/>
            <w:tcBorders>
              <w:top w:val="single" w:sz="12" w:space="0" w:color="auto"/>
              <w:left w:val="nil"/>
            </w:tcBorders>
          </w:tcPr>
          <w:p w14:paraId="2D129C8E" w14:textId="33B7B76A"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CC08F4">
              <w:rPr>
                <w:rFonts w:ascii="Times New Roman" w:eastAsia="Times New Roman" w:hAnsi="Times New Roman" w:cs="Times New Roman"/>
                <w:szCs w:val="20"/>
                <w:bdr w:val="nil"/>
              </w:rPr>
              <w:t>.00</w:t>
            </w:r>
          </w:p>
        </w:tc>
        <w:tc>
          <w:tcPr>
            <w:tcW w:w="1384" w:type="dxa"/>
            <w:tcBorders>
              <w:top w:val="single" w:sz="12" w:space="0" w:color="auto"/>
              <w:left w:val="nil"/>
            </w:tcBorders>
          </w:tcPr>
          <w:p w14:paraId="3E0CBA3E" w14:textId="459E4CEB" w:rsidR="00225D02" w:rsidRPr="00CE7E65" w:rsidRDefault="00FF4082" w:rsidP="00FD731A">
            <w:pPr>
              <w:pBdr>
                <w:top w:val="nil"/>
                <w:left w:val="nil"/>
                <w:bottom w:val="nil"/>
                <w:right w:val="nil"/>
                <w:between w:val="nil"/>
                <w:bar w:val="nil"/>
              </w:pBdr>
              <w:rPr>
                <w:rFonts w:ascii="Times New Roman" w:eastAsia="Times New Roman" w:hAnsi="Times New Roman" w:cs="Times New Roman"/>
                <w:highlight w:val="yellow"/>
                <w:bdr w:val="nil"/>
              </w:rPr>
            </w:pPr>
            <w:r w:rsidRPr="00FF4082">
              <w:rPr>
                <w:rFonts w:ascii="Times New Roman" w:eastAsia="Times New Roman" w:hAnsi="Times New Roman" w:cs="Times New Roman"/>
                <w:szCs w:val="20"/>
                <w:bdr w:val="nil"/>
              </w:rPr>
              <w:t>$293.00</w:t>
            </w:r>
          </w:p>
        </w:tc>
      </w:tr>
      <w:tr w:rsidR="00225D02" w14:paraId="22DC805A" w14:textId="77777777" w:rsidTr="006A5384">
        <w:trPr>
          <w:cantSplit/>
          <w:trHeight w:val="874"/>
          <w:jc w:val="center"/>
        </w:trPr>
        <w:tc>
          <w:tcPr>
            <w:tcW w:w="1269" w:type="dxa"/>
            <w:tcBorders>
              <w:right w:val="nil"/>
            </w:tcBorders>
          </w:tcPr>
          <w:p w14:paraId="20746C73"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7</w:t>
            </w:r>
          </w:p>
        </w:tc>
        <w:tc>
          <w:tcPr>
            <w:tcW w:w="5512" w:type="dxa"/>
            <w:tcBorders>
              <w:left w:val="nil"/>
              <w:right w:val="nil"/>
            </w:tcBorders>
          </w:tcPr>
          <w:p w14:paraId="2D7132D3"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annual fee for a race bookmaking licence, commencing 1 July, or for any part of a year for which the licence is issued</w:t>
            </w:r>
            <w:r>
              <w:rPr>
                <w:rFonts w:ascii="Times New Roman" w:eastAsia="Times New Roman" w:hAnsi="Times New Roman" w:cs="Times New Roman"/>
                <w:color w:val="000000"/>
                <w:bdr w:val="nil"/>
              </w:rPr>
              <w:t>.</w:t>
            </w:r>
          </w:p>
        </w:tc>
        <w:tc>
          <w:tcPr>
            <w:tcW w:w="1620" w:type="dxa"/>
            <w:tcBorders>
              <w:left w:val="nil"/>
            </w:tcBorders>
          </w:tcPr>
          <w:p w14:paraId="6AB78139" w14:textId="64F99B86"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126</w:t>
            </w:r>
            <w:r w:rsidRPr="00CC08F4">
              <w:rPr>
                <w:rFonts w:ascii="Times New Roman" w:eastAsia="Times New Roman" w:hAnsi="Times New Roman" w:cs="Times New Roman"/>
                <w:szCs w:val="20"/>
                <w:bdr w:val="nil"/>
              </w:rPr>
              <w:t>.00</w:t>
            </w:r>
          </w:p>
        </w:tc>
        <w:tc>
          <w:tcPr>
            <w:tcW w:w="1384" w:type="dxa"/>
            <w:tcBorders>
              <w:left w:val="nil"/>
            </w:tcBorders>
          </w:tcPr>
          <w:p w14:paraId="1CE546DE" w14:textId="56D060CF"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$130.00</w:t>
            </w:r>
          </w:p>
        </w:tc>
      </w:tr>
      <w:tr w:rsidR="00225D02" w14:paraId="061CEE0B" w14:textId="77777777" w:rsidTr="006A5384">
        <w:trPr>
          <w:cantSplit/>
          <w:trHeight w:val="874"/>
          <w:jc w:val="center"/>
        </w:trPr>
        <w:tc>
          <w:tcPr>
            <w:tcW w:w="1269" w:type="dxa"/>
            <w:tcBorders>
              <w:right w:val="nil"/>
            </w:tcBorders>
          </w:tcPr>
          <w:p w14:paraId="0034BE09"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10A</w:t>
            </w:r>
          </w:p>
        </w:tc>
        <w:tc>
          <w:tcPr>
            <w:tcW w:w="5512" w:type="dxa"/>
            <w:tcBorders>
              <w:left w:val="nil"/>
              <w:right w:val="nil"/>
            </w:tcBorders>
          </w:tcPr>
          <w:p w14:paraId="026B21BC"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renewal of a race bookmaking licence</w:t>
            </w:r>
            <w:r>
              <w:rPr>
                <w:rFonts w:ascii="Times New Roman" w:eastAsia="Times New Roman" w:hAnsi="Times New Roman" w:cs="Times New Roman"/>
                <w:color w:val="000000"/>
                <w:bdr w:val="nil"/>
              </w:rPr>
              <w:t>.</w:t>
            </w:r>
          </w:p>
        </w:tc>
        <w:tc>
          <w:tcPr>
            <w:tcW w:w="1620" w:type="dxa"/>
            <w:tcBorders>
              <w:left w:val="nil"/>
            </w:tcBorders>
          </w:tcPr>
          <w:p w14:paraId="62F9E131" w14:textId="131ECC14"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119</w:t>
            </w:r>
            <w:r w:rsidRPr="006879DE">
              <w:rPr>
                <w:rFonts w:ascii="Times New Roman" w:eastAsia="Times New Roman" w:hAnsi="Times New Roman" w:cs="Times New Roman"/>
                <w:szCs w:val="20"/>
                <w:bdr w:val="nil"/>
              </w:rPr>
              <w:t>.00</w:t>
            </w:r>
          </w:p>
        </w:tc>
        <w:tc>
          <w:tcPr>
            <w:tcW w:w="1384" w:type="dxa"/>
            <w:tcBorders>
              <w:left w:val="nil"/>
            </w:tcBorders>
          </w:tcPr>
          <w:p w14:paraId="27411059" w14:textId="1F87DDCE"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$123.00</w:t>
            </w:r>
          </w:p>
        </w:tc>
      </w:tr>
      <w:tr w:rsidR="00225D02" w14:paraId="2B922E62" w14:textId="77777777" w:rsidTr="006A5384">
        <w:trPr>
          <w:cantSplit/>
          <w:trHeight w:val="874"/>
          <w:jc w:val="center"/>
        </w:trPr>
        <w:tc>
          <w:tcPr>
            <w:tcW w:w="1269" w:type="dxa"/>
            <w:tcBorders>
              <w:bottom w:val="nil"/>
              <w:right w:val="nil"/>
            </w:tcBorders>
          </w:tcPr>
          <w:p w14:paraId="1EE4C8F5"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12(1)</w:t>
            </w:r>
          </w:p>
        </w:tc>
        <w:tc>
          <w:tcPr>
            <w:tcW w:w="5512" w:type="dxa"/>
            <w:tcBorders>
              <w:left w:val="nil"/>
              <w:bottom w:val="nil"/>
              <w:right w:val="nil"/>
            </w:tcBorders>
          </w:tcPr>
          <w:p w14:paraId="49FE11E1"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192075">
              <w:rPr>
                <w:rFonts w:ascii="Times New Roman" w:eastAsia="Times New Roman" w:hAnsi="Times New Roman" w:cs="Times New Roman"/>
                <w:szCs w:val="20"/>
                <w:bdr w:val="nil"/>
              </w:rPr>
              <w:t>Application for a race bookmaker's agent licence.</w:t>
            </w:r>
          </w:p>
        </w:tc>
        <w:tc>
          <w:tcPr>
            <w:tcW w:w="1620" w:type="dxa"/>
            <w:tcBorders>
              <w:left w:val="nil"/>
              <w:bottom w:val="nil"/>
            </w:tcBorders>
          </w:tcPr>
          <w:p w14:paraId="3300CB64" w14:textId="3A54E6B4"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6879DE">
              <w:rPr>
                <w:rFonts w:ascii="Times New Roman" w:eastAsia="Times New Roman" w:hAnsi="Times New Roman" w:cs="Times New Roman"/>
                <w:szCs w:val="20"/>
                <w:bdr w:val="nil"/>
              </w:rPr>
              <w:t>.00</w:t>
            </w:r>
          </w:p>
        </w:tc>
        <w:tc>
          <w:tcPr>
            <w:tcW w:w="1384" w:type="dxa"/>
            <w:tcBorders>
              <w:left w:val="nil"/>
              <w:bottom w:val="nil"/>
            </w:tcBorders>
          </w:tcPr>
          <w:p w14:paraId="40878F53" w14:textId="66234A13"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r w:rsidR="00225D02" w14:paraId="654ADD44" w14:textId="77777777" w:rsidTr="006A5384">
        <w:trPr>
          <w:cantSplit/>
          <w:trHeight w:val="874"/>
          <w:jc w:val="center"/>
        </w:trPr>
        <w:tc>
          <w:tcPr>
            <w:tcW w:w="1269" w:type="dxa"/>
            <w:tcBorders>
              <w:top w:val="nil"/>
              <w:right w:val="nil"/>
            </w:tcBorders>
          </w:tcPr>
          <w:p w14:paraId="220A272A"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7A8D4D9F"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szCs w:val="20"/>
                <w:bdr w:val="nil"/>
              </w:rPr>
              <w:t>Application for a race bookmaker's agent licence where the nominated person holds a similar licence with another bookmaker.</w:t>
            </w:r>
          </w:p>
        </w:tc>
        <w:tc>
          <w:tcPr>
            <w:tcW w:w="1620" w:type="dxa"/>
            <w:tcBorders>
              <w:top w:val="nil"/>
              <w:left w:val="nil"/>
            </w:tcBorders>
          </w:tcPr>
          <w:p w14:paraId="19E7C506" w14:textId="72DDAE10"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41</w:t>
            </w:r>
            <w:r w:rsidRPr="006879DE">
              <w:rPr>
                <w:rFonts w:ascii="Times New Roman" w:eastAsia="Times New Roman" w:hAnsi="Times New Roman" w:cs="Times New Roman"/>
                <w:szCs w:val="20"/>
                <w:bdr w:val="nil"/>
              </w:rPr>
              <w:t>.00</w:t>
            </w:r>
          </w:p>
        </w:tc>
        <w:tc>
          <w:tcPr>
            <w:tcW w:w="1384" w:type="dxa"/>
            <w:tcBorders>
              <w:top w:val="nil"/>
              <w:left w:val="nil"/>
            </w:tcBorders>
          </w:tcPr>
          <w:p w14:paraId="6B7E3F2F" w14:textId="3D6BA2FC"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$42.00</w:t>
            </w:r>
          </w:p>
        </w:tc>
      </w:tr>
      <w:tr w:rsidR="00225D02" w14:paraId="734B5CF8" w14:textId="77777777" w:rsidTr="006A5384">
        <w:trPr>
          <w:cantSplit/>
          <w:trHeight w:val="874"/>
          <w:jc w:val="center"/>
        </w:trPr>
        <w:tc>
          <w:tcPr>
            <w:tcW w:w="1269" w:type="dxa"/>
            <w:tcBorders>
              <w:right w:val="nil"/>
            </w:tcBorders>
          </w:tcPr>
          <w:p w14:paraId="041768D3"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13</w:t>
            </w:r>
          </w:p>
        </w:tc>
        <w:tc>
          <w:tcPr>
            <w:tcW w:w="5512" w:type="dxa"/>
            <w:tcBorders>
              <w:left w:val="nil"/>
              <w:right w:val="nil"/>
            </w:tcBorders>
          </w:tcPr>
          <w:p w14:paraId="111D2871"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color w:val="000000"/>
                <w:bdr w:val="nil"/>
              </w:rPr>
              <w:t>Annual fee payable for a race bookmaker's agent licence, commencing 1 July, or for any part of a year for which the licence is issued.</w:t>
            </w:r>
          </w:p>
        </w:tc>
        <w:tc>
          <w:tcPr>
            <w:tcW w:w="1620" w:type="dxa"/>
            <w:tcBorders>
              <w:left w:val="nil"/>
            </w:tcBorders>
          </w:tcPr>
          <w:p w14:paraId="26A53CF6" w14:textId="65586B19"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41</w:t>
            </w:r>
            <w:r w:rsidRPr="00F160E6">
              <w:rPr>
                <w:rFonts w:ascii="Times New Roman" w:eastAsia="Times New Roman" w:hAnsi="Times New Roman" w:cs="Times New Roman"/>
                <w:szCs w:val="20"/>
                <w:bdr w:val="nil"/>
              </w:rPr>
              <w:t>.00</w:t>
            </w:r>
          </w:p>
        </w:tc>
        <w:tc>
          <w:tcPr>
            <w:tcW w:w="1384" w:type="dxa"/>
            <w:tcBorders>
              <w:left w:val="nil"/>
            </w:tcBorders>
          </w:tcPr>
          <w:p w14:paraId="2C206EE7" w14:textId="0C1177DA"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$42.00</w:t>
            </w:r>
          </w:p>
        </w:tc>
      </w:tr>
      <w:tr w:rsidR="00225D02" w14:paraId="07C51EF9" w14:textId="77777777" w:rsidTr="006A5384">
        <w:trPr>
          <w:cantSplit/>
          <w:trHeight w:val="874"/>
          <w:jc w:val="center"/>
        </w:trPr>
        <w:tc>
          <w:tcPr>
            <w:tcW w:w="1269" w:type="dxa"/>
            <w:tcBorders>
              <w:right w:val="nil"/>
            </w:tcBorders>
          </w:tcPr>
          <w:p w14:paraId="2D3A9A1E"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16A</w:t>
            </w:r>
          </w:p>
        </w:tc>
        <w:tc>
          <w:tcPr>
            <w:tcW w:w="5512" w:type="dxa"/>
            <w:tcBorders>
              <w:left w:val="nil"/>
              <w:right w:val="nil"/>
            </w:tcBorders>
          </w:tcPr>
          <w:p w14:paraId="3C374CD6"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renewal of a race bookmaker’s agent licence.</w:t>
            </w:r>
          </w:p>
        </w:tc>
        <w:tc>
          <w:tcPr>
            <w:tcW w:w="1620" w:type="dxa"/>
            <w:tcBorders>
              <w:left w:val="nil"/>
            </w:tcBorders>
          </w:tcPr>
          <w:p w14:paraId="308B82B6" w14:textId="152F8A8A"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119</w:t>
            </w:r>
            <w:r w:rsidRPr="00F160E6">
              <w:rPr>
                <w:rFonts w:ascii="Times New Roman" w:eastAsia="Times New Roman" w:hAnsi="Times New Roman" w:cs="Times New Roman"/>
                <w:szCs w:val="20"/>
                <w:bdr w:val="nil"/>
              </w:rPr>
              <w:t>.00</w:t>
            </w:r>
          </w:p>
        </w:tc>
        <w:tc>
          <w:tcPr>
            <w:tcW w:w="1384" w:type="dxa"/>
            <w:tcBorders>
              <w:left w:val="nil"/>
            </w:tcBorders>
          </w:tcPr>
          <w:p w14:paraId="73225934" w14:textId="5BE28747"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$123.00</w:t>
            </w:r>
          </w:p>
        </w:tc>
      </w:tr>
      <w:tr w:rsidR="00225D02" w14:paraId="7CC13F7E" w14:textId="77777777" w:rsidTr="006A5384">
        <w:trPr>
          <w:cantSplit/>
          <w:trHeight w:val="874"/>
          <w:jc w:val="center"/>
        </w:trPr>
        <w:tc>
          <w:tcPr>
            <w:tcW w:w="1269" w:type="dxa"/>
            <w:tcBorders>
              <w:bottom w:val="nil"/>
              <w:right w:val="nil"/>
            </w:tcBorders>
          </w:tcPr>
          <w:p w14:paraId="3041EC55"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25(1)</w:t>
            </w:r>
          </w:p>
        </w:tc>
        <w:tc>
          <w:tcPr>
            <w:tcW w:w="5512" w:type="dxa"/>
            <w:tcBorders>
              <w:left w:val="nil"/>
              <w:bottom w:val="nil"/>
              <w:right w:val="nil"/>
            </w:tcBorders>
          </w:tcPr>
          <w:p w14:paraId="6C14435B"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a sports bookmaking licence.</w:t>
            </w:r>
          </w:p>
        </w:tc>
        <w:tc>
          <w:tcPr>
            <w:tcW w:w="1620" w:type="dxa"/>
            <w:tcBorders>
              <w:left w:val="nil"/>
              <w:bottom w:val="nil"/>
            </w:tcBorders>
          </w:tcPr>
          <w:p w14:paraId="6068E907" w14:textId="1C6CA302"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934</w:t>
            </w:r>
            <w:r w:rsidRPr="00F160E6">
              <w:rPr>
                <w:rFonts w:ascii="Times New Roman" w:eastAsia="Times New Roman" w:hAnsi="Times New Roman" w:cs="Times New Roman"/>
                <w:szCs w:val="20"/>
                <w:bdr w:val="nil"/>
              </w:rPr>
              <w:t>.00</w:t>
            </w:r>
          </w:p>
        </w:tc>
        <w:tc>
          <w:tcPr>
            <w:tcW w:w="1384" w:type="dxa"/>
            <w:tcBorders>
              <w:left w:val="nil"/>
              <w:bottom w:val="nil"/>
            </w:tcBorders>
          </w:tcPr>
          <w:p w14:paraId="33C08BD5" w14:textId="0EB65301"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$967.00</w:t>
            </w:r>
          </w:p>
        </w:tc>
      </w:tr>
      <w:tr w:rsidR="00225D02" w14:paraId="129315F3" w14:textId="77777777" w:rsidTr="006A5384">
        <w:trPr>
          <w:cantSplit/>
          <w:trHeight w:val="874"/>
          <w:jc w:val="center"/>
        </w:trPr>
        <w:tc>
          <w:tcPr>
            <w:tcW w:w="1269" w:type="dxa"/>
            <w:tcBorders>
              <w:top w:val="nil"/>
              <w:right w:val="nil"/>
            </w:tcBorders>
          </w:tcPr>
          <w:p w14:paraId="1CADD22A"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536465CE"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Fee payable for each director of the corporation nominated in the application.</w:t>
            </w:r>
          </w:p>
        </w:tc>
        <w:tc>
          <w:tcPr>
            <w:tcW w:w="1620" w:type="dxa"/>
            <w:tcBorders>
              <w:top w:val="nil"/>
              <w:left w:val="nil"/>
            </w:tcBorders>
          </w:tcPr>
          <w:p w14:paraId="4DA273CA" w14:textId="039B0796"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F160E6">
              <w:rPr>
                <w:rFonts w:ascii="Times New Roman" w:eastAsia="Times New Roman" w:hAnsi="Times New Roman" w:cs="Times New Roman"/>
                <w:szCs w:val="20"/>
                <w:bdr w:val="nil"/>
              </w:rPr>
              <w:t>.00</w:t>
            </w:r>
          </w:p>
        </w:tc>
        <w:tc>
          <w:tcPr>
            <w:tcW w:w="1384" w:type="dxa"/>
            <w:tcBorders>
              <w:top w:val="nil"/>
              <w:left w:val="nil"/>
            </w:tcBorders>
          </w:tcPr>
          <w:p w14:paraId="6C40F20F" w14:textId="6D7EBE23"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r w:rsidR="00225D02" w14:paraId="5D3A898A" w14:textId="77777777" w:rsidTr="006A5384">
        <w:trPr>
          <w:cantSplit/>
          <w:trHeight w:val="874"/>
          <w:jc w:val="center"/>
        </w:trPr>
        <w:tc>
          <w:tcPr>
            <w:tcW w:w="1269" w:type="dxa"/>
            <w:tcBorders>
              <w:right w:val="nil"/>
            </w:tcBorders>
          </w:tcPr>
          <w:p w14:paraId="1618E1B1"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25(3)</w:t>
            </w:r>
          </w:p>
        </w:tc>
        <w:tc>
          <w:tcPr>
            <w:tcW w:w="5512" w:type="dxa"/>
            <w:tcBorders>
              <w:left w:val="nil"/>
              <w:right w:val="nil"/>
            </w:tcBorders>
          </w:tcPr>
          <w:p w14:paraId="5396F354"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CE7E65">
              <w:rPr>
                <w:rFonts w:ascii="Times New Roman" w:eastAsia="Times New Roman" w:hAnsi="Times New Roman" w:cs="Times New Roman"/>
                <w:color w:val="000000"/>
                <w:bdr w:val="nil"/>
              </w:rPr>
              <w:t>Fee payable where an authorisation is required to make inquiries about an influential shareholder.</w:t>
            </w:r>
          </w:p>
          <w:p w14:paraId="6101C7E9"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p>
        </w:tc>
        <w:tc>
          <w:tcPr>
            <w:tcW w:w="1618" w:type="dxa"/>
            <w:tcBorders>
              <w:left w:val="nil"/>
            </w:tcBorders>
          </w:tcPr>
          <w:p w14:paraId="1C5F3327" w14:textId="6EE56A1F"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814AAB">
              <w:rPr>
                <w:rFonts w:ascii="Times New Roman" w:eastAsia="Times New Roman" w:hAnsi="Times New Roman" w:cs="Times New Roman"/>
                <w:bdr w:val="nil"/>
              </w:rPr>
              <w:t>$</w:t>
            </w:r>
            <w:r w:rsidR="00F11B10">
              <w:rPr>
                <w:rFonts w:ascii="Times New Roman" w:eastAsia="Times New Roman" w:hAnsi="Times New Roman" w:cs="Times New Roman"/>
                <w:bdr w:val="nil"/>
              </w:rPr>
              <w:t>283</w:t>
            </w:r>
            <w:r w:rsidRPr="00814AAB">
              <w:rPr>
                <w:rFonts w:ascii="Times New Roman" w:eastAsia="Times New Roman" w:hAnsi="Times New Roman" w:cs="Times New Roman"/>
                <w:bdr w:val="nil"/>
              </w:rPr>
              <w:t>.00</w:t>
            </w:r>
          </w:p>
        </w:tc>
        <w:tc>
          <w:tcPr>
            <w:tcW w:w="1386" w:type="dxa"/>
            <w:tcBorders>
              <w:left w:val="nil"/>
            </w:tcBorders>
          </w:tcPr>
          <w:p w14:paraId="4F572530" w14:textId="1C1CEE25" w:rsidR="00225D02" w:rsidRPr="00CE7E65" w:rsidRDefault="00FF4082" w:rsidP="00F94315">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color w:val="000000"/>
                <w:bdr w:val="nil"/>
              </w:rPr>
              <w:t>$293.00</w:t>
            </w:r>
          </w:p>
        </w:tc>
      </w:tr>
      <w:tr w:rsidR="00225D02" w14:paraId="2DBB692D" w14:textId="77777777" w:rsidTr="006A5384">
        <w:trPr>
          <w:cantSplit/>
          <w:trHeight w:val="874"/>
          <w:jc w:val="center"/>
        </w:trPr>
        <w:tc>
          <w:tcPr>
            <w:tcW w:w="1269" w:type="dxa"/>
            <w:tcBorders>
              <w:right w:val="nil"/>
            </w:tcBorders>
          </w:tcPr>
          <w:p w14:paraId="29BB4A93"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26(1)</w:t>
            </w:r>
          </w:p>
        </w:tc>
        <w:tc>
          <w:tcPr>
            <w:tcW w:w="5512" w:type="dxa"/>
            <w:tcBorders>
              <w:left w:val="nil"/>
              <w:right w:val="nil"/>
            </w:tcBorders>
          </w:tcPr>
          <w:p w14:paraId="1128C245"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bookmaking licence, commencing 1 July, or pro rata thereof.</w:t>
            </w:r>
          </w:p>
        </w:tc>
        <w:tc>
          <w:tcPr>
            <w:tcW w:w="1618" w:type="dxa"/>
            <w:tcBorders>
              <w:left w:val="nil"/>
            </w:tcBorders>
          </w:tcPr>
          <w:p w14:paraId="63B194E0" w14:textId="1CE8CAA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18,759</w:t>
            </w:r>
            <w:r w:rsidRPr="003B7BDA">
              <w:rPr>
                <w:rFonts w:ascii="Times New Roman" w:eastAsia="Times New Roman" w:hAnsi="Times New Roman" w:cs="Times New Roman"/>
                <w:szCs w:val="20"/>
                <w:bdr w:val="nil"/>
              </w:rPr>
              <w:t>.00</w:t>
            </w:r>
          </w:p>
        </w:tc>
        <w:tc>
          <w:tcPr>
            <w:tcW w:w="1386" w:type="dxa"/>
            <w:tcBorders>
              <w:left w:val="nil"/>
            </w:tcBorders>
          </w:tcPr>
          <w:p w14:paraId="2EA93DFA" w14:textId="29B31E8B"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$19,434.00</w:t>
            </w:r>
          </w:p>
        </w:tc>
      </w:tr>
      <w:tr w:rsidR="00225D02" w14:paraId="4340330B" w14:textId="77777777" w:rsidTr="006A5384">
        <w:trPr>
          <w:cantSplit/>
          <w:trHeight w:val="874"/>
          <w:jc w:val="center"/>
        </w:trPr>
        <w:tc>
          <w:tcPr>
            <w:tcW w:w="1269" w:type="dxa"/>
            <w:tcBorders>
              <w:right w:val="nil"/>
            </w:tcBorders>
          </w:tcPr>
          <w:p w14:paraId="09BEB68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34(1)</w:t>
            </w:r>
          </w:p>
        </w:tc>
        <w:tc>
          <w:tcPr>
            <w:tcW w:w="5512" w:type="dxa"/>
            <w:tcBorders>
              <w:left w:val="nil"/>
              <w:right w:val="nil"/>
            </w:tcBorders>
          </w:tcPr>
          <w:p w14:paraId="746CD79E"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 sports bookmaker's agent licence.</w:t>
            </w:r>
          </w:p>
        </w:tc>
        <w:tc>
          <w:tcPr>
            <w:tcW w:w="1618" w:type="dxa"/>
            <w:tcBorders>
              <w:left w:val="nil"/>
            </w:tcBorders>
          </w:tcPr>
          <w:p w14:paraId="0E98B74C" w14:textId="57A784F9"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3B7BDA">
              <w:rPr>
                <w:rFonts w:ascii="Times New Roman" w:eastAsia="Times New Roman" w:hAnsi="Times New Roman" w:cs="Times New Roman"/>
                <w:szCs w:val="20"/>
                <w:bdr w:val="nil"/>
              </w:rPr>
              <w:t>.00</w:t>
            </w:r>
          </w:p>
        </w:tc>
        <w:tc>
          <w:tcPr>
            <w:tcW w:w="1386" w:type="dxa"/>
            <w:tcBorders>
              <w:left w:val="nil"/>
            </w:tcBorders>
          </w:tcPr>
          <w:p w14:paraId="13BC8B7F" w14:textId="50A5336D"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r w:rsidR="00225D02" w14:paraId="6E3B1ECD" w14:textId="77777777" w:rsidTr="006A5384">
        <w:trPr>
          <w:cantSplit/>
          <w:trHeight w:val="874"/>
          <w:jc w:val="center"/>
        </w:trPr>
        <w:tc>
          <w:tcPr>
            <w:tcW w:w="1269" w:type="dxa"/>
            <w:tcBorders>
              <w:right w:val="nil"/>
            </w:tcBorders>
          </w:tcPr>
          <w:p w14:paraId="10F317C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35(1)</w:t>
            </w:r>
          </w:p>
        </w:tc>
        <w:tc>
          <w:tcPr>
            <w:tcW w:w="5512" w:type="dxa"/>
            <w:tcBorders>
              <w:left w:val="nil"/>
              <w:right w:val="nil"/>
            </w:tcBorders>
          </w:tcPr>
          <w:p w14:paraId="58E3B42F"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bookmaker's agent licence, commencing 1 July, or for any part of a year for which the licence is issued.</w:t>
            </w:r>
          </w:p>
        </w:tc>
        <w:tc>
          <w:tcPr>
            <w:tcW w:w="1618" w:type="dxa"/>
            <w:tcBorders>
              <w:left w:val="nil"/>
            </w:tcBorders>
          </w:tcPr>
          <w:p w14:paraId="32846430" w14:textId="6CB2B6CF"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41</w:t>
            </w:r>
            <w:r w:rsidRPr="003B7BDA">
              <w:rPr>
                <w:rFonts w:ascii="Times New Roman" w:eastAsia="Times New Roman" w:hAnsi="Times New Roman" w:cs="Times New Roman"/>
                <w:szCs w:val="20"/>
                <w:bdr w:val="nil"/>
              </w:rPr>
              <w:t>.00</w:t>
            </w:r>
          </w:p>
        </w:tc>
        <w:tc>
          <w:tcPr>
            <w:tcW w:w="1386" w:type="dxa"/>
            <w:tcBorders>
              <w:left w:val="nil"/>
            </w:tcBorders>
          </w:tcPr>
          <w:p w14:paraId="1C045B9C" w14:textId="1F1C17B7"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$42.00</w:t>
            </w:r>
          </w:p>
        </w:tc>
      </w:tr>
      <w:tr w:rsidR="00225D02" w14:paraId="68DAA880" w14:textId="77777777" w:rsidTr="006A5384">
        <w:trPr>
          <w:cantSplit/>
          <w:trHeight w:val="874"/>
          <w:jc w:val="center"/>
        </w:trPr>
        <w:tc>
          <w:tcPr>
            <w:tcW w:w="1269" w:type="dxa"/>
            <w:tcBorders>
              <w:right w:val="nil"/>
            </w:tcBorders>
          </w:tcPr>
          <w:p w14:paraId="6D1981FA" w14:textId="77777777" w:rsidR="00225D02" w:rsidRPr="0036314F"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44(1)</w:t>
            </w:r>
          </w:p>
        </w:tc>
        <w:tc>
          <w:tcPr>
            <w:tcW w:w="5512" w:type="dxa"/>
            <w:tcBorders>
              <w:left w:val="nil"/>
              <w:right w:val="nil"/>
            </w:tcBorders>
          </w:tcPr>
          <w:p w14:paraId="069C360E" w14:textId="13C68C58"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Replacement of a licence.</w:t>
            </w:r>
          </w:p>
        </w:tc>
        <w:tc>
          <w:tcPr>
            <w:tcW w:w="1618" w:type="dxa"/>
            <w:tcBorders>
              <w:left w:val="nil"/>
            </w:tcBorders>
          </w:tcPr>
          <w:p w14:paraId="31D26FA8" w14:textId="4302BCAC"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41</w:t>
            </w:r>
            <w:r w:rsidRPr="003B7BDA">
              <w:rPr>
                <w:rFonts w:ascii="Times New Roman" w:eastAsia="Times New Roman" w:hAnsi="Times New Roman" w:cs="Times New Roman"/>
                <w:szCs w:val="20"/>
                <w:bdr w:val="nil"/>
              </w:rPr>
              <w:t>.00</w:t>
            </w:r>
          </w:p>
        </w:tc>
        <w:tc>
          <w:tcPr>
            <w:tcW w:w="1386" w:type="dxa"/>
            <w:tcBorders>
              <w:left w:val="nil"/>
            </w:tcBorders>
          </w:tcPr>
          <w:p w14:paraId="71125F30" w14:textId="5B0CEEDF"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$42.00</w:t>
            </w:r>
          </w:p>
        </w:tc>
      </w:tr>
      <w:tr w:rsidR="00225D02" w14:paraId="2DE0215C" w14:textId="77777777" w:rsidTr="006A5384">
        <w:trPr>
          <w:cantSplit/>
          <w:trHeight w:val="874"/>
          <w:jc w:val="center"/>
        </w:trPr>
        <w:tc>
          <w:tcPr>
            <w:tcW w:w="1269" w:type="dxa"/>
            <w:tcBorders>
              <w:right w:val="nil"/>
            </w:tcBorders>
          </w:tcPr>
          <w:p w14:paraId="277F1E47"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lastRenderedPageBreak/>
              <w:t>80(5)</w:t>
            </w:r>
          </w:p>
        </w:tc>
        <w:tc>
          <w:tcPr>
            <w:tcW w:w="5512" w:type="dxa"/>
            <w:tcBorders>
              <w:left w:val="nil"/>
              <w:right w:val="nil"/>
            </w:tcBorders>
          </w:tcPr>
          <w:p w14:paraId="52B9533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a director of a corporation that holds a sports bookmaking licence.</w:t>
            </w:r>
          </w:p>
        </w:tc>
        <w:tc>
          <w:tcPr>
            <w:tcW w:w="1618" w:type="dxa"/>
            <w:tcBorders>
              <w:left w:val="nil"/>
            </w:tcBorders>
          </w:tcPr>
          <w:p w14:paraId="2ABA8BD9" w14:textId="1A34B96E"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3B7BDA">
              <w:rPr>
                <w:rFonts w:ascii="Times New Roman" w:eastAsia="Times New Roman" w:hAnsi="Times New Roman" w:cs="Times New Roman"/>
                <w:szCs w:val="20"/>
                <w:bdr w:val="nil"/>
              </w:rPr>
              <w:t>.00</w:t>
            </w:r>
          </w:p>
        </w:tc>
        <w:tc>
          <w:tcPr>
            <w:tcW w:w="1386" w:type="dxa"/>
            <w:tcBorders>
              <w:left w:val="nil"/>
            </w:tcBorders>
          </w:tcPr>
          <w:p w14:paraId="5193CB03" w14:textId="73BA7152"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r w:rsidR="00225D02" w14:paraId="4A8C9E96" w14:textId="77777777" w:rsidTr="006A5384">
        <w:trPr>
          <w:cantSplit/>
          <w:trHeight w:val="874"/>
          <w:jc w:val="center"/>
        </w:trPr>
        <w:tc>
          <w:tcPr>
            <w:tcW w:w="1269" w:type="dxa"/>
            <w:tcBorders>
              <w:right w:val="nil"/>
            </w:tcBorders>
          </w:tcPr>
          <w:p w14:paraId="0A6C962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80(6)</w:t>
            </w:r>
          </w:p>
        </w:tc>
        <w:tc>
          <w:tcPr>
            <w:tcW w:w="5512" w:type="dxa"/>
            <w:tcBorders>
              <w:left w:val="nil"/>
              <w:right w:val="nil"/>
            </w:tcBorders>
          </w:tcPr>
          <w:p w14:paraId="02C8ED7A"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an influential shareholder of a corporation that holds a sports bookmaking licence.</w:t>
            </w:r>
          </w:p>
        </w:tc>
        <w:tc>
          <w:tcPr>
            <w:tcW w:w="1618" w:type="dxa"/>
            <w:tcBorders>
              <w:left w:val="nil"/>
            </w:tcBorders>
          </w:tcPr>
          <w:p w14:paraId="714B013D" w14:textId="529A581D"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CD73E3">
              <w:rPr>
                <w:rFonts w:ascii="Times New Roman" w:eastAsia="Times New Roman" w:hAnsi="Times New Roman" w:cs="Times New Roman"/>
                <w:szCs w:val="20"/>
                <w:bdr w:val="nil"/>
              </w:rPr>
              <w:t>.00</w:t>
            </w:r>
          </w:p>
        </w:tc>
        <w:tc>
          <w:tcPr>
            <w:tcW w:w="1386" w:type="dxa"/>
            <w:tcBorders>
              <w:left w:val="nil"/>
            </w:tcBorders>
          </w:tcPr>
          <w:p w14:paraId="657B6989" w14:textId="06333E29"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r w:rsidR="00225D02" w14:paraId="2E2AC590" w14:textId="77777777" w:rsidTr="006A5384">
        <w:trPr>
          <w:cantSplit/>
          <w:trHeight w:val="874"/>
          <w:jc w:val="center"/>
        </w:trPr>
        <w:tc>
          <w:tcPr>
            <w:tcW w:w="1269" w:type="dxa"/>
            <w:tcBorders>
              <w:right w:val="nil"/>
            </w:tcBorders>
          </w:tcPr>
          <w:p w14:paraId="0FACB6F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80(7)</w:t>
            </w:r>
          </w:p>
        </w:tc>
        <w:tc>
          <w:tcPr>
            <w:tcW w:w="5512" w:type="dxa"/>
            <w:tcBorders>
              <w:left w:val="nil"/>
              <w:right w:val="nil"/>
            </w:tcBorders>
          </w:tcPr>
          <w:p w14:paraId="6FF3C65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each director of an incoming corporation that has become an influential shareholder in relation to a corporation that holds a sports bookmaking licence.</w:t>
            </w:r>
          </w:p>
        </w:tc>
        <w:tc>
          <w:tcPr>
            <w:tcW w:w="1618" w:type="dxa"/>
            <w:tcBorders>
              <w:left w:val="nil"/>
            </w:tcBorders>
          </w:tcPr>
          <w:p w14:paraId="760DFD87" w14:textId="76E4546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w:t>
            </w:r>
            <w:r w:rsidR="00F11B10">
              <w:rPr>
                <w:rFonts w:ascii="Times New Roman" w:eastAsia="Times New Roman" w:hAnsi="Times New Roman" w:cs="Times New Roman"/>
                <w:szCs w:val="20"/>
                <w:bdr w:val="nil"/>
              </w:rPr>
              <w:t>283</w:t>
            </w:r>
            <w:r w:rsidRPr="00CD73E3">
              <w:rPr>
                <w:rFonts w:ascii="Times New Roman" w:eastAsia="Times New Roman" w:hAnsi="Times New Roman" w:cs="Times New Roman"/>
                <w:szCs w:val="20"/>
                <w:bdr w:val="nil"/>
              </w:rPr>
              <w:t>.00</w:t>
            </w:r>
          </w:p>
        </w:tc>
        <w:tc>
          <w:tcPr>
            <w:tcW w:w="1386" w:type="dxa"/>
            <w:tcBorders>
              <w:left w:val="nil"/>
            </w:tcBorders>
          </w:tcPr>
          <w:p w14:paraId="11C42E24" w14:textId="3086E563" w:rsidR="00225D02" w:rsidRPr="00CE7E65" w:rsidRDefault="00FF4082" w:rsidP="00FD731A">
            <w:pPr>
              <w:pBdr>
                <w:top w:val="nil"/>
                <w:left w:val="nil"/>
                <w:bottom w:val="nil"/>
                <w:right w:val="nil"/>
                <w:between w:val="nil"/>
                <w:bar w:val="nil"/>
              </w:pBdr>
              <w:rPr>
                <w:rFonts w:ascii="Times New Roman" w:eastAsia="Times New Roman" w:hAnsi="Times New Roman" w:cs="Times New Roman"/>
                <w:bdr w:val="nil"/>
              </w:rPr>
            </w:pPr>
            <w:r w:rsidRPr="00FF4082">
              <w:rPr>
                <w:rFonts w:ascii="Times New Roman" w:eastAsia="Times New Roman" w:hAnsi="Times New Roman" w:cs="Times New Roman"/>
                <w:szCs w:val="20"/>
                <w:bdr w:val="nil"/>
              </w:rPr>
              <w:t>$293.00</w:t>
            </w:r>
          </w:p>
        </w:tc>
      </w:tr>
    </w:tbl>
    <w:p w14:paraId="39E9FEC7" w14:textId="77777777" w:rsidR="00225D02" w:rsidRDefault="00225D02" w:rsidP="00225D02">
      <w:pPr>
        <w:pBdr>
          <w:top w:val="nil"/>
          <w:left w:val="nil"/>
          <w:bottom w:val="nil"/>
          <w:right w:val="nil"/>
          <w:between w:val="nil"/>
          <w:bar w:val="nil"/>
        </w:pBdr>
        <w:rPr>
          <w:rFonts w:ascii="Times New Roman" w:eastAsia="Times New Roman" w:hAnsi="Times New Roman" w:cs="Times New Roman"/>
          <w:szCs w:val="20"/>
          <w:bdr w:val="nil"/>
        </w:rPr>
      </w:pPr>
    </w:p>
    <w:p w14:paraId="2E0FFEC7" w14:textId="77777777" w:rsidR="00DC3982" w:rsidRPr="00225D02" w:rsidRDefault="00DC3982" w:rsidP="00225D02"/>
    <w:sectPr w:rsidR="00DC3982" w:rsidRPr="00225D02" w:rsidSect="006A53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72E8" w14:textId="77777777" w:rsidR="006809DE" w:rsidRDefault="006809DE" w:rsidP="002A7528">
      <w:r>
        <w:separator/>
      </w:r>
    </w:p>
  </w:endnote>
  <w:endnote w:type="continuationSeparator" w:id="0">
    <w:p w14:paraId="3F138E87" w14:textId="77777777" w:rsidR="006809DE" w:rsidRDefault="006809DE"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9C0C" w14:textId="77777777" w:rsidR="00225D02" w:rsidRPr="001D0774" w:rsidRDefault="00225D02" w:rsidP="001D0774">
    <w:pPr>
      <w:pStyle w:val="Footer"/>
      <w:pBdr>
        <w:top w:val="nil"/>
        <w:left w:val="nil"/>
        <w:bottom w:val="nil"/>
        <w:right w:val="nil"/>
        <w:between w:val="nil"/>
        <w:bar w:val="nil"/>
      </w:pBdr>
      <w:jc w:val="center"/>
      <w:rPr>
        <w:rFonts w:eastAsia="Times New Roman"/>
        <w:sz w:val="14"/>
        <w:szCs w:val="20"/>
        <w:bdr w:val="nil"/>
      </w:rPr>
    </w:pPr>
    <w:r w:rsidRPr="001D0774">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074F" w14:textId="4A5EB12C" w:rsidR="008D480F" w:rsidRPr="008D480F" w:rsidRDefault="008D480F" w:rsidP="008D480F">
    <w:pPr>
      <w:pStyle w:val="Footer"/>
      <w:jc w:val="center"/>
      <w:rPr>
        <w:sz w:val="14"/>
      </w:rPr>
    </w:pPr>
    <w:r w:rsidRPr="008D480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EAC1" w14:textId="77777777" w:rsidR="008D480F" w:rsidRDefault="008D48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83079C" w:rsidRDefault="0083079C">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2DBFD4A1" w:rsidR="0083079C" w:rsidRPr="008D480F" w:rsidRDefault="008D480F" w:rsidP="008D480F">
    <w:pPr>
      <w:pStyle w:val="Footer"/>
      <w:jc w:val="center"/>
      <w:rPr>
        <w:sz w:val="14"/>
      </w:rPr>
    </w:pPr>
    <w:r w:rsidRPr="008D480F">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83079C" w:rsidRDefault="0083079C">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03A0" w14:textId="77777777" w:rsidR="006809DE" w:rsidRDefault="006809DE" w:rsidP="002A7528">
      <w:r>
        <w:separator/>
      </w:r>
    </w:p>
  </w:footnote>
  <w:footnote w:type="continuationSeparator" w:id="0">
    <w:p w14:paraId="1EAA6668" w14:textId="77777777" w:rsidR="006809DE" w:rsidRDefault="006809DE"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8CCB" w14:textId="77777777" w:rsidR="008D480F" w:rsidRDefault="008D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8F92" w14:textId="77777777" w:rsidR="008D480F" w:rsidRDefault="008D4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7587" w14:textId="77777777" w:rsidR="008D480F" w:rsidRDefault="008D48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83079C" w:rsidRDefault="0083079C">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4EF" w14:textId="1506ACE8" w:rsidR="00225D02" w:rsidRDefault="00225D02" w:rsidP="00225D02">
    <w:pPr>
      <w:pStyle w:val="Heade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1221B5">
      <w:rPr>
        <w:rFonts w:ascii="Times New Roman" w:eastAsia="Times New Roman" w:hAnsi="Times New Roman" w:cs="Times New Roman"/>
        <w:b/>
        <w:bCs/>
        <w:sz w:val="22"/>
        <w:szCs w:val="22"/>
        <w:bdr w:val="nil"/>
      </w:rPr>
      <w:t xml:space="preserve">This is page </w:t>
    </w:r>
    <w:r w:rsidR="006A5384" w:rsidRPr="006A5384">
      <w:rPr>
        <w:rFonts w:ascii="Times New Roman" w:eastAsia="Times New Roman" w:hAnsi="Times New Roman" w:cs="Times New Roman"/>
        <w:b/>
        <w:bCs/>
        <w:sz w:val="22"/>
        <w:szCs w:val="22"/>
        <w:bdr w:val="nil"/>
      </w:rPr>
      <w:fldChar w:fldCharType="begin"/>
    </w:r>
    <w:r w:rsidR="006A5384" w:rsidRPr="006A5384">
      <w:rPr>
        <w:rFonts w:ascii="Times New Roman" w:eastAsia="Times New Roman" w:hAnsi="Times New Roman" w:cs="Times New Roman"/>
        <w:b/>
        <w:bCs/>
        <w:sz w:val="22"/>
        <w:szCs w:val="22"/>
        <w:bdr w:val="nil"/>
      </w:rPr>
      <w:instrText xml:space="preserve"> PAGE   \* MERGEFORMAT </w:instrText>
    </w:r>
    <w:r w:rsidR="006A5384" w:rsidRPr="006A5384">
      <w:rPr>
        <w:rFonts w:ascii="Times New Roman" w:eastAsia="Times New Roman" w:hAnsi="Times New Roman" w:cs="Times New Roman"/>
        <w:b/>
        <w:bCs/>
        <w:sz w:val="22"/>
        <w:szCs w:val="22"/>
        <w:bdr w:val="nil"/>
      </w:rPr>
      <w:fldChar w:fldCharType="separate"/>
    </w:r>
    <w:r w:rsidR="006A5384" w:rsidRPr="006A5384">
      <w:rPr>
        <w:rFonts w:ascii="Times New Roman" w:eastAsia="Times New Roman" w:hAnsi="Times New Roman" w:cs="Times New Roman"/>
        <w:b/>
        <w:bCs/>
        <w:noProof/>
        <w:sz w:val="22"/>
        <w:szCs w:val="22"/>
        <w:bdr w:val="nil"/>
      </w:rPr>
      <w:t>1</w:t>
    </w:r>
    <w:r w:rsidR="006A5384" w:rsidRPr="006A5384">
      <w:rPr>
        <w:rFonts w:ascii="Times New Roman" w:eastAsia="Times New Roman" w:hAnsi="Times New Roman" w:cs="Times New Roman"/>
        <w:b/>
        <w:bCs/>
        <w:noProof/>
        <w:sz w:val="22"/>
        <w:szCs w:val="22"/>
        <w:bdr w:val="nil"/>
      </w:rPr>
      <w:fldChar w:fldCharType="end"/>
    </w:r>
    <w:r w:rsidRPr="001221B5">
      <w:rPr>
        <w:rStyle w:val="PageNumber"/>
        <w:rFonts w:eastAsia="Times New Roman"/>
        <w:b/>
        <w:bCs/>
        <w:sz w:val="22"/>
        <w:szCs w:val="22"/>
        <w:bdr w:val="nil"/>
      </w:rPr>
      <w:t xml:space="preserve"> of </w:t>
    </w:r>
    <w:r>
      <w:rPr>
        <w:rStyle w:val="PageNumber"/>
        <w:rFonts w:eastAsia="Times New Roman"/>
        <w:b/>
        <w:bCs/>
        <w:sz w:val="22"/>
        <w:szCs w:val="22"/>
        <w:bdr w:val="nil"/>
      </w:rPr>
      <w:t>2</w:t>
    </w:r>
    <w:r w:rsidRPr="001221B5">
      <w:rPr>
        <w:rStyle w:val="PageNumber"/>
        <w:rFonts w:eastAsia="Times New Roman"/>
        <w:b/>
        <w:bCs/>
        <w:sz w:val="22"/>
        <w:szCs w:val="22"/>
        <w:bdr w:val="nil"/>
      </w:rPr>
      <w:t xml:space="preserve"> pages of the </w:t>
    </w:r>
    <w:r w:rsidRPr="001221B5">
      <w:rPr>
        <w:rFonts w:ascii="Times New Roman" w:eastAsia="Times New Roman" w:hAnsi="Times New Roman" w:cs="Times New Roman"/>
        <w:b/>
        <w:bCs/>
        <w:sz w:val="22"/>
        <w:szCs w:val="22"/>
        <w:bdr w:val="nil"/>
      </w:rPr>
      <w:t>Attachment to t</w:t>
    </w:r>
    <w:r>
      <w:rPr>
        <w:rFonts w:ascii="Times New Roman" w:eastAsia="Times New Roman" w:hAnsi="Times New Roman" w:cs="Times New Roman"/>
        <w:b/>
        <w:bCs/>
        <w:sz w:val="22"/>
        <w:szCs w:val="22"/>
        <w:bdr w:val="nil"/>
      </w:rPr>
      <w:t>he Explanatory Statement to the</w:t>
    </w:r>
  </w:p>
  <w:p w14:paraId="67C958BE" w14:textId="1807805C" w:rsidR="00225D02" w:rsidRPr="001221B5" w:rsidRDefault="00225D02" w:rsidP="00225D02">
    <w:pPr>
      <w:pStyle w:val="Header"/>
      <w:pBdr>
        <w:top w:val="nil"/>
        <w:left w:val="nil"/>
        <w:bottom w:val="nil"/>
        <w:right w:val="nil"/>
        <w:between w:val="nil"/>
        <w:bar w:val="nil"/>
      </w:pBdr>
      <w:jc w:val="center"/>
      <w:rPr>
        <w:rStyle w:val="PageNumber"/>
        <w:rFonts w:eastAsia="Times New Roman"/>
        <w:b/>
        <w:bCs/>
        <w:sz w:val="22"/>
        <w:szCs w:val="22"/>
        <w:bdr w:val="nil"/>
      </w:rPr>
    </w:pPr>
    <w:r w:rsidRPr="001221B5">
      <w:rPr>
        <w:rFonts w:ascii="Times New Roman" w:eastAsia="Times New Roman" w:hAnsi="Times New Roman" w:cs="Times New Roman"/>
        <w:b/>
        <w:bCs/>
        <w:i/>
        <w:iCs/>
        <w:sz w:val="22"/>
        <w:szCs w:val="22"/>
        <w:bdr w:val="nil"/>
      </w:rPr>
      <w:t xml:space="preserve">Race and Sports Bookmaking (Fees) Determination </w:t>
    </w:r>
    <w:r w:rsidR="00F242B4">
      <w:rPr>
        <w:rFonts w:ascii="Times New Roman" w:eastAsia="Times New Roman" w:hAnsi="Times New Roman" w:cs="Times New Roman"/>
        <w:b/>
        <w:bCs/>
        <w:i/>
        <w:iCs/>
        <w:sz w:val="22"/>
        <w:szCs w:val="22"/>
        <w:bdr w:val="nil"/>
      </w:rPr>
      <w:t>2026</w:t>
    </w:r>
  </w:p>
  <w:p w14:paraId="334688F0" w14:textId="26A0B9AF" w:rsidR="0083079C" w:rsidRPr="00B2563B" w:rsidRDefault="0083079C" w:rsidP="00B256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83079C" w:rsidRDefault="0083079C">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D284C"/>
    <w:rsid w:val="000F3605"/>
    <w:rsid w:val="0012438E"/>
    <w:rsid w:val="00166B52"/>
    <w:rsid w:val="001D3BF1"/>
    <w:rsid w:val="00225D02"/>
    <w:rsid w:val="00236C05"/>
    <w:rsid w:val="00293B0E"/>
    <w:rsid w:val="002A7528"/>
    <w:rsid w:val="0032110C"/>
    <w:rsid w:val="00322462"/>
    <w:rsid w:val="003B12B1"/>
    <w:rsid w:val="003D53E9"/>
    <w:rsid w:val="00412B9F"/>
    <w:rsid w:val="004D0A33"/>
    <w:rsid w:val="00502F06"/>
    <w:rsid w:val="005331FF"/>
    <w:rsid w:val="005C5CFF"/>
    <w:rsid w:val="00600353"/>
    <w:rsid w:val="00680724"/>
    <w:rsid w:val="006809DE"/>
    <w:rsid w:val="006918B2"/>
    <w:rsid w:val="006A5384"/>
    <w:rsid w:val="006C602E"/>
    <w:rsid w:val="006F347E"/>
    <w:rsid w:val="00732565"/>
    <w:rsid w:val="00740E1F"/>
    <w:rsid w:val="007A44FA"/>
    <w:rsid w:val="007C1D89"/>
    <w:rsid w:val="007C3BE3"/>
    <w:rsid w:val="007D77E1"/>
    <w:rsid w:val="007E37F2"/>
    <w:rsid w:val="0083079C"/>
    <w:rsid w:val="008D480F"/>
    <w:rsid w:val="008E1D47"/>
    <w:rsid w:val="00954238"/>
    <w:rsid w:val="00966CFC"/>
    <w:rsid w:val="009C4B02"/>
    <w:rsid w:val="00A3135D"/>
    <w:rsid w:val="00A40D70"/>
    <w:rsid w:val="00A43FE0"/>
    <w:rsid w:val="00A74911"/>
    <w:rsid w:val="00AA56A6"/>
    <w:rsid w:val="00AA773D"/>
    <w:rsid w:val="00AB3C6D"/>
    <w:rsid w:val="00AF14D1"/>
    <w:rsid w:val="00B2563B"/>
    <w:rsid w:val="00B61AE1"/>
    <w:rsid w:val="00BA36C3"/>
    <w:rsid w:val="00C32CA4"/>
    <w:rsid w:val="00C74A06"/>
    <w:rsid w:val="00CE1295"/>
    <w:rsid w:val="00CE18F4"/>
    <w:rsid w:val="00DC3982"/>
    <w:rsid w:val="00ED490F"/>
    <w:rsid w:val="00F037F7"/>
    <w:rsid w:val="00F11B10"/>
    <w:rsid w:val="00F242B4"/>
    <w:rsid w:val="00F25173"/>
    <w:rsid w:val="00F46D3D"/>
    <w:rsid w:val="00F94315"/>
    <w:rsid w:val="00FB364B"/>
    <w:rsid w:val="00FF40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rsid w:val="00F037F7"/>
    <w:pPr>
      <w:tabs>
        <w:tab w:val="left" w:pos="2400"/>
        <w:tab w:val="left" w:pos="2880"/>
      </w:tabs>
      <w:spacing w:before="1220" w:after="100"/>
    </w:pPr>
    <w:rPr>
      <w:b/>
      <w:bCs/>
      <w:sz w:val="40"/>
      <w:szCs w:val="40"/>
    </w:rPr>
  </w:style>
  <w:style w:type="paragraph" w:customStyle="1" w:styleId="madeunder">
    <w:name w:val="made under"/>
    <w:basedOn w:val="Normal"/>
    <w:rsid w:val="00F037F7"/>
    <w:pPr>
      <w:spacing w:before="180" w:after="60"/>
      <w:jc w:val="both"/>
    </w:pPr>
  </w:style>
  <w:style w:type="paragraph" w:customStyle="1" w:styleId="CoverActName">
    <w:name w:val="CoverActName"/>
    <w:basedOn w:val="Normal"/>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Revision">
    <w:name w:val="Revision"/>
    <w:hidden/>
    <w:uiPriority w:val="99"/>
    <w:semiHidden/>
    <w:rsid w:val="00F11B10"/>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3263</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2026-06-16T05:15:00Z</dcterms:created>
  <dcterms:modified xsi:type="dcterms:W3CDTF">2026-06-16T05:15:00Z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