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E2E9" w14:textId="77777777" w:rsidR="004505F7" w:rsidRDefault="004505F7" w:rsidP="004505F7">
      <w:pPr>
        <w:spacing w:before="120"/>
        <w:rPr>
          <w:rFonts w:ascii="Arial" w:hAnsi="Arial" w:cs="Arial"/>
        </w:rPr>
      </w:pPr>
      <w:bookmarkStart w:id="0" w:name="_Toc44738651"/>
      <w:r>
        <w:rPr>
          <w:rFonts w:ascii="Arial" w:hAnsi="Arial" w:cs="Arial"/>
        </w:rPr>
        <w:t>Australian Capital Territory</w:t>
      </w:r>
    </w:p>
    <w:p w14:paraId="5FC700B9" w14:textId="21024972" w:rsidR="004505F7" w:rsidRDefault="004505F7" w:rsidP="004505F7">
      <w:pPr>
        <w:pStyle w:val="Billname"/>
        <w:spacing w:before="700"/>
      </w:pPr>
      <w:r>
        <w:t xml:space="preserve">Guardianship and Management of Property (Fees) Determination </w:t>
      </w:r>
      <w:r w:rsidR="00C52B99">
        <w:t>2026</w:t>
      </w:r>
    </w:p>
    <w:p w14:paraId="7073B19D" w14:textId="5A92825C" w:rsidR="004505F7" w:rsidRDefault="004505F7" w:rsidP="004505F7">
      <w:pPr>
        <w:spacing w:before="340"/>
        <w:rPr>
          <w:rFonts w:ascii="Arial" w:hAnsi="Arial" w:cs="Arial"/>
          <w:b/>
          <w:bCs/>
        </w:rPr>
      </w:pPr>
      <w:r>
        <w:rPr>
          <w:rFonts w:ascii="Arial" w:hAnsi="Arial" w:cs="Arial"/>
          <w:b/>
          <w:bCs/>
        </w:rPr>
        <w:t xml:space="preserve">Disallowable </w:t>
      </w:r>
      <w:r w:rsidRPr="009017EE">
        <w:rPr>
          <w:rFonts w:ascii="Arial" w:hAnsi="Arial" w:cs="Arial"/>
          <w:b/>
          <w:bCs/>
        </w:rPr>
        <w:t xml:space="preserve">instrument </w:t>
      </w:r>
      <w:r w:rsidR="00063887" w:rsidRPr="009017EE">
        <w:rPr>
          <w:rFonts w:ascii="Arial" w:hAnsi="Arial" w:cs="Arial"/>
          <w:b/>
          <w:bCs/>
        </w:rPr>
        <w:t>DI</w:t>
      </w:r>
      <w:r w:rsidR="00C52B99">
        <w:rPr>
          <w:rFonts w:ascii="Arial" w:hAnsi="Arial" w:cs="Arial"/>
          <w:b/>
          <w:bCs/>
        </w:rPr>
        <w:t>2026</w:t>
      </w:r>
      <w:r w:rsidRPr="009017EE">
        <w:rPr>
          <w:rFonts w:ascii="Arial" w:hAnsi="Arial" w:cs="Arial"/>
          <w:b/>
          <w:bCs/>
        </w:rPr>
        <w:t>–</w:t>
      </w:r>
      <w:r w:rsidR="005A1549">
        <w:rPr>
          <w:rFonts w:ascii="Arial" w:hAnsi="Arial" w:cs="Arial"/>
          <w:b/>
          <w:bCs/>
        </w:rPr>
        <w:t>113</w:t>
      </w:r>
    </w:p>
    <w:p w14:paraId="2171D045" w14:textId="77777777" w:rsidR="004505F7" w:rsidRDefault="004505F7" w:rsidP="004505F7">
      <w:pPr>
        <w:pStyle w:val="madeunder"/>
        <w:spacing w:before="300" w:after="0"/>
      </w:pPr>
      <w:r>
        <w:t xml:space="preserve">made under the  </w:t>
      </w:r>
    </w:p>
    <w:p w14:paraId="264FA0D7" w14:textId="68E7B099" w:rsidR="004505F7" w:rsidRDefault="004505F7" w:rsidP="004505F7">
      <w:pPr>
        <w:pStyle w:val="CoverActName"/>
        <w:spacing w:before="320" w:after="0"/>
        <w:rPr>
          <w:rFonts w:cs="Arial"/>
          <w:sz w:val="20"/>
        </w:rPr>
      </w:pPr>
      <w:r w:rsidRPr="007B6A32">
        <w:rPr>
          <w:snapToGrid w:val="0"/>
          <w:color w:val="000000"/>
          <w:sz w:val="20"/>
        </w:rPr>
        <w:t>Guardianship and Management of Property Act 1991</w:t>
      </w:r>
      <w:r w:rsidRPr="006F6B30">
        <w:rPr>
          <w:snapToGrid w:val="0"/>
          <w:color w:val="000000"/>
          <w:sz w:val="20"/>
        </w:rPr>
        <w:t>, s 75 (Determination of fees)</w:t>
      </w:r>
    </w:p>
    <w:p w14:paraId="57DA0D4E" w14:textId="77777777" w:rsidR="004505F7" w:rsidRDefault="004505F7" w:rsidP="004505F7">
      <w:pPr>
        <w:spacing w:before="360"/>
        <w:ind w:right="565"/>
        <w:rPr>
          <w:rFonts w:ascii="Arial" w:hAnsi="Arial" w:cs="Arial"/>
          <w:b/>
          <w:bCs/>
          <w:sz w:val="28"/>
          <w:szCs w:val="28"/>
        </w:rPr>
      </w:pPr>
      <w:r>
        <w:rPr>
          <w:rFonts w:ascii="Arial" w:hAnsi="Arial" w:cs="Arial"/>
          <w:b/>
          <w:bCs/>
          <w:sz w:val="28"/>
          <w:szCs w:val="28"/>
        </w:rPr>
        <w:t>EXPLANATORY STATEMENT</w:t>
      </w:r>
    </w:p>
    <w:p w14:paraId="633D41D3" w14:textId="77777777" w:rsidR="004505F7" w:rsidRDefault="004505F7" w:rsidP="004505F7">
      <w:pPr>
        <w:pStyle w:val="N-line3"/>
        <w:pBdr>
          <w:bottom w:val="none" w:sz="0" w:space="0" w:color="auto"/>
        </w:pBdr>
      </w:pPr>
    </w:p>
    <w:p w14:paraId="40132959" w14:textId="77777777" w:rsidR="004505F7" w:rsidRDefault="004505F7" w:rsidP="004505F7">
      <w:pPr>
        <w:pStyle w:val="N-line3"/>
        <w:pBdr>
          <w:top w:val="single" w:sz="12" w:space="1" w:color="auto"/>
          <w:bottom w:val="none" w:sz="0" w:space="0" w:color="auto"/>
        </w:pBdr>
      </w:pPr>
    </w:p>
    <w:bookmarkEnd w:id="0"/>
    <w:p w14:paraId="3A26122D" w14:textId="4D4563DF" w:rsidR="004505F7" w:rsidRDefault="004505F7" w:rsidP="004505F7">
      <w:pPr>
        <w:spacing w:line="276" w:lineRule="auto"/>
      </w:pPr>
      <w:r w:rsidRPr="00587561">
        <w:t xml:space="preserve">The Minister may determine fees for the purposes of the </w:t>
      </w:r>
      <w:r w:rsidRPr="00587561">
        <w:rPr>
          <w:i/>
        </w:rPr>
        <w:t>Guardianship and Management of Property Act 1991</w:t>
      </w:r>
      <w:r w:rsidRPr="00587561">
        <w:t>.</w:t>
      </w:r>
    </w:p>
    <w:p w14:paraId="1980E492" w14:textId="77777777" w:rsidR="004505F7" w:rsidRDefault="004505F7" w:rsidP="004505F7">
      <w:pPr>
        <w:spacing w:line="276" w:lineRule="auto"/>
      </w:pPr>
    </w:p>
    <w:p w14:paraId="661AC000" w14:textId="155AEA0F" w:rsidR="004505F7" w:rsidRDefault="004505F7" w:rsidP="001C087B">
      <w:pPr>
        <w:spacing w:line="276" w:lineRule="auto"/>
        <w:jc w:val="both"/>
        <w:rPr>
          <w:rFonts w:eastAsia="SimSun"/>
          <w:bdr w:val="none" w:sz="0" w:space="0" w:color="auto" w:frame="1"/>
        </w:rPr>
      </w:pPr>
      <w:r w:rsidRPr="001A52B6">
        <w:rPr>
          <w:rFonts w:eastAsia="SimSun"/>
          <w:bdr w:val="none" w:sz="0" w:space="0" w:color="auto" w:frame="1"/>
        </w:rPr>
        <w:t xml:space="preserve">The new determination sets the fees that will apply beginning on 1 July </w:t>
      </w:r>
      <w:r w:rsidR="00C52B99">
        <w:rPr>
          <w:rFonts w:eastAsia="SimSun"/>
          <w:bdr w:val="none" w:sz="0" w:space="0" w:color="auto" w:frame="1"/>
        </w:rPr>
        <w:t>2026</w:t>
      </w:r>
      <w:r w:rsidR="00C52B99" w:rsidRPr="001A52B6">
        <w:rPr>
          <w:rFonts w:eastAsia="SimSun"/>
          <w:bdr w:val="none" w:sz="0" w:space="0" w:color="auto" w:frame="1"/>
        </w:rPr>
        <w:t xml:space="preserve"> </w:t>
      </w:r>
      <w:r w:rsidRPr="001A52B6">
        <w:rPr>
          <w:rFonts w:eastAsia="SimSun"/>
          <w:bdr w:val="none" w:sz="0" w:space="0" w:color="auto" w:frame="1"/>
        </w:rPr>
        <w:t xml:space="preserve">and repeals the </w:t>
      </w:r>
      <w:r>
        <w:rPr>
          <w:rFonts w:eastAsia="SimSun"/>
          <w:i/>
          <w:iCs/>
          <w:bdr w:val="none" w:sz="0" w:space="0" w:color="auto" w:frame="1"/>
        </w:rPr>
        <w:t>Guardianship and Management of Property</w:t>
      </w:r>
      <w:r w:rsidRPr="001A52B6">
        <w:rPr>
          <w:rFonts w:eastAsia="SimSun"/>
          <w:i/>
          <w:iCs/>
          <w:bdr w:val="none" w:sz="0" w:space="0" w:color="auto" w:frame="1"/>
        </w:rPr>
        <w:t xml:space="preserve"> (Fees) Determination </w:t>
      </w:r>
      <w:r w:rsidR="00C52B99">
        <w:rPr>
          <w:rFonts w:eastAsia="SimSun"/>
          <w:i/>
          <w:iCs/>
          <w:bdr w:val="none" w:sz="0" w:space="0" w:color="auto" w:frame="1"/>
        </w:rPr>
        <w:t>2025</w:t>
      </w:r>
      <w:r w:rsidR="00063887" w:rsidRPr="001A52B6">
        <w:rPr>
          <w:rFonts w:eastAsia="SimSun"/>
          <w:bdr w:val="none" w:sz="0" w:space="0" w:color="auto" w:frame="1"/>
        </w:rPr>
        <w:t xml:space="preserve"> </w:t>
      </w:r>
      <w:r w:rsidRPr="001A52B6">
        <w:rPr>
          <w:rFonts w:eastAsia="SimSun"/>
          <w:bdr w:val="none" w:sz="0" w:space="0" w:color="auto" w:frame="1"/>
        </w:rPr>
        <w:t>DI</w:t>
      </w:r>
      <w:r w:rsidR="00C52B99">
        <w:rPr>
          <w:rFonts w:eastAsia="SimSun"/>
          <w:bdr w:val="none" w:sz="0" w:space="0" w:color="auto" w:frame="1"/>
        </w:rPr>
        <w:t>2025</w:t>
      </w:r>
      <w:r w:rsidRPr="001A52B6">
        <w:rPr>
          <w:rFonts w:eastAsia="SimSun"/>
          <w:bdr w:val="none" w:sz="0" w:space="0" w:color="auto" w:frame="1"/>
        </w:rPr>
        <w:t>-</w:t>
      </w:r>
      <w:r w:rsidR="00C52B99">
        <w:rPr>
          <w:rFonts w:eastAsia="SimSun"/>
          <w:bdr w:val="none" w:sz="0" w:space="0" w:color="auto" w:frame="1"/>
        </w:rPr>
        <w:t>126</w:t>
      </w:r>
      <w:r w:rsidRPr="001A52B6">
        <w:rPr>
          <w:rFonts w:eastAsia="SimSun"/>
          <w:bdr w:val="none" w:sz="0" w:space="0" w:color="auto" w:frame="1"/>
        </w:rPr>
        <w:t>.</w:t>
      </w:r>
    </w:p>
    <w:p w14:paraId="1B10AB53" w14:textId="77777777" w:rsidR="004505F7" w:rsidRDefault="004505F7" w:rsidP="001C087B">
      <w:pPr>
        <w:spacing w:line="276" w:lineRule="auto"/>
        <w:jc w:val="both"/>
      </w:pPr>
    </w:p>
    <w:p w14:paraId="2A91D882" w14:textId="4E5EA7D5" w:rsidR="004505F7" w:rsidRDefault="004505F7" w:rsidP="001C087B">
      <w:pPr>
        <w:spacing w:line="276" w:lineRule="auto"/>
        <w:jc w:val="both"/>
        <w:rPr>
          <w:rFonts w:eastAsia="SimSun"/>
          <w:bdr w:val="none" w:sz="0" w:space="0" w:color="auto" w:frame="1"/>
        </w:rPr>
      </w:pPr>
      <w:r w:rsidRPr="001A52B6">
        <w:rPr>
          <w:rFonts w:eastAsia="SimSun"/>
          <w:bdr w:val="none" w:sz="0" w:space="0" w:color="auto" w:frame="1"/>
        </w:rPr>
        <w:t>It provides for fee increases in line with annual adjustments to the Wages Price Index (WPI) of 3.</w:t>
      </w:r>
      <w:r w:rsidR="009C560F">
        <w:rPr>
          <w:rFonts w:eastAsia="SimSun"/>
          <w:bdr w:val="none" w:sz="0" w:space="0" w:color="auto" w:frame="1"/>
        </w:rPr>
        <w:t>25</w:t>
      </w:r>
      <w:r w:rsidRPr="001A52B6">
        <w:rPr>
          <w:rFonts w:eastAsia="SimSun"/>
          <w:bdr w:val="none" w:sz="0" w:space="0" w:color="auto" w:frame="1"/>
        </w:rPr>
        <w:t>%, rounded down to the nearest dollar for most fees, with the exception of fees that have been consecutively rounded down in previous years by more than $1.00 in which case have been rounded up to the nearest dollar.</w:t>
      </w:r>
      <w:r w:rsidR="00590D0C">
        <w:rPr>
          <w:rFonts w:eastAsia="SimSun"/>
          <w:bdr w:val="none" w:sz="0" w:space="0" w:color="auto" w:frame="1"/>
        </w:rPr>
        <w:t xml:space="preserve"> </w:t>
      </w:r>
    </w:p>
    <w:p w14:paraId="68F986ED" w14:textId="77777777" w:rsidR="004505F7" w:rsidRDefault="004505F7" w:rsidP="001C087B">
      <w:pPr>
        <w:spacing w:line="276" w:lineRule="auto"/>
        <w:jc w:val="both"/>
        <w:rPr>
          <w:rFonts w:eastAsia="SimSun"/>
          <w:bdr w:val="none" w:sz="0" w:space="0" w:color="auto" w:frame="1"/>
        </w:rPr>
      </w:pPr>
    </w:p>
    <w:p w14:paraId="4900F57F" w14:textId="4105C625" w:rsidR="004505F7" w:rsidRDefault="004505F7" w:rsidP="001C087B">
      <w:pPr>
        <w:spacing w:line="276" w:lineRule="auto"/>
        <w:jc w:val="both"/>
        <w:rPr>
          <w:rFonts w:eastAsia="SimSun"/>
          <w:bdr w:val="none" w:sz="0" w:space="0" w:color="auto" w:frame="1"/>
        </w:rPr>
      </w:pPr>
      <w:r w:rsidRPr="001A52B6">
        <w:rPr>
          <w:rFonts w:eastAsia="SimSun"/>
          <w:bdr w:val="none" w:sz="0" w:space="0" w:color="auto" w:frame="1"/>
        </w:rPr>
        <w:t xml:space="preserve">This approach also aligns with the </w:t>
      </w:r>
      <w:r w:rsidR="002E0C4F" w:rsidRPr="001A52B6">
        <w:rPr>
          <w:rFonts w:eastAsia="SimSun"/>
          <w:bdr w:val="none" w:sz="0" w:space="0" w:color="auto" w:frame="1"/>
        </w:rPr>
        <w:t>202</w:t>
      </w:r>
      <w:r w:rsidR="002E0C4F">
        <w:rPr>
          <w:rFonts w:eastAsia="SimSun"/>
          <w:bdr w:val="none" w:sz="0" w:space="0" w:color="auto" w:frame="1"/>
        </w:rPr>
        <w:t>6</w:t>
      </w:r>
      <w:r w:rsidR="00206F23">
        <w:rPr>
          <w:rFonts w:eastAsia="SimSun"/>
          <w:bdr w:val="none" w:sz="0" w:space="0" w:color="auto" w:frame="1"/>
        </w:rPr>
        <w:t>-</w:t>
      </w:r>
      <w:r w:rsidR="002E0C4F">
        <w:rPr>
          <w:rFonts w:eastAsia="SimSun"/>
          <w:bdr w:val="none" w:sz="0" w:space="0" w:color="auto" w:frame="1"/>
        </w:rPr>
        <w:t>27</w:t>
      </w:r>
      <w:r w:rsidR="002E0C4F" w:rsidRPr="001A52B6">
        <w:rPr>
          <w:rFonts w:eastAsia="SimSun"/>
          <w:bdr w:val="none" w:sz="0" w:space="0" w:color="auto" w:frame="1"/>
        </w:rPr>
        <w:t xml:space="preserve"> </w:t>
      </w:r>
      <w:r w:rsidRPr="001A52B6">
        <w:rPr>
          <w:rFonts w:eastAsia="SimSun"/>
          <w:bdr w:val="none" w:sz="0" w:space="0" w:color="auto" w:frame="1"/>
        </w:rPr>
        <w:t>Treasury Guideline for Fees and Charges. Explanatory notes in the determination list the fees previously determined to enable comparison.</w:t>
      </w:r>
    </w:p>
    <w:p w14:paraId="0FE3D41F" w14:textId="77777777" w:rsidR="004505F7" w:rsidRDefault="004505F7" w:rsidP="004505F7">
      <w:pPr>
        <w:spacing w:line="276" w:lineRule="auto"/>
        <w:rPr>
          <w:rFonts w:eastAsia="SimSun"/>
          <w:bdr w:val="none" w:sz="0" w:space="0" w:color="auto" w:frame="1"/>
        </w:rPr>
      </w:pPr>
    </w:p>
    <w:p w14:paraId="5D4EBBDE" w14:textId="5BD30605" w:rsidR="004505F7" w:rsidRDefault="004505F7" w:rsidP="004505F7">
      <w:pPr>
        <w:spacing w:line="276" w:lineRule="auto"/>
      </w:pPr>
      <w:r w:rsidRPr="00AF666F">
        <w:t xml:space="preserve">The fee for the hourly rate for the examination of accounts maintained by an external financial manager is GST exempt and, when rounded, </w:t>
      </w:r>
      <w:r w:rsidR="004F279E">
        <w:t>is</w:t>
      </w:r>
      <w:r w:rsidRPr="00AF666F">
        <w:t xml:space="preserve"> $</w:t>
      </w:r>
      <w:r w:rsidR="00BF3F14">
        <w:t>316</w:t>
      </w:r>
      <w:r>
        <w:t>.00</w:t>
      </w:r>
      <w:r w:rsidR="004F279E">
        <w:t xml:space="preserve"> and applied at a minimum rate of one hour</w:t>
      </w:r>
      <w:r w:rsidRPr="00AF666F">
        <w:t xml:space="preserve">. </w:t>
      </w:r>
      <w:r w:rsidR="00995888">
        <w:t xml:space="preserve"> The one hour minimum rate replaces</w:t>
      </w:r>
      <w:r w:rsidR="002F6B54">
        <w:t xml:space="preserve"> the</w:t>
      </w:r>
      <w:r w:rsidR="00995888">
        <w:t xml:space="preserve"> previous minimum of ½ hour. </w:t>
      </w:r>
      <w:r w:rsidRPr="00A9750A">
        <w:t xml:space="preserve">Adjustments to this </w:t>
      </w:r>
      <w:r w:rsidR="004F279E">
        <w:t>fee</w:t>
      </w:r>
      <w:r w:rsidR="004F279E" w:rsidRPr="004C6670">
        <w:t xml:space="preserve"> </w:t>
      </w:r>
      <w:r w:rsidRPr="004C6670">
        <w:t xml:space="preserve">can be made by the Public Trustee and Guardian under fee reductions and waivers provision in the </w:t>
      </w:r>
      <w:r w:rsidRPr="00167E23">
        <w:rPr>
          <w:i/>
          <w:iCs/>
        </w:rPr>
        <w:t>Public Trustee and Guardian Act 1985</w:t>
      </w:r>
      <w:r w:rsidRPr="004C6670">
        <w:t>.</w:t>
      </w:r>
    </w:p>
    <w:p w14:paraId="0F9163EF" w14:textId="77777777" w:rsidR="004505F7" w:rsidRDefault="004505F7" w:rsidP="004505F7">
      <w:pPr>
        <w:spacing w:line="276" w:lineRule="auto"/>
      </w:pPr>
    </w:p>
    <w:p w14:paraId="2CDD73FD" w14:textId="77777777" w:rsidR="00EB04F6" w:rsidRPr="00EB04F6" w:rsidRDefault="00EB04F6" w:rsidP="00EB04F6">
      <w:pPr>
        <w:spacing w:line="276" w:lineRule="auto"/>
        <w:rPr>
          <w:b/>
          <w:bCs/>
        </w:rPr>
      </w:pPr>
      <w:r w:rsidRPr="00EB04F6">
        <w:rPr>
          <w:b/>
          <w:bCs/>
        </w:rPr>
        <w:t>Human Rights</w:t>
      </w:r>
    </w:p>
    <w:p w14:paraId="1BF865DD" w14:textId="3F6C44B1" w:rsidR="004505F7" w:rsidRPr="00EB04F6" w:rsidRDefault="00EB04F6" w:rsidP="00EB04F6">
      <w:pPr>
        <w:spacing w:line="276" w:lineRule="auto"/>
        <w:rPr>
          <w:rFonts w:eastAsia="SimSun"/>
          <w:bdr w:val="none" w:sz="0" w:space="0" w:color="auto" w:frame="1"/>
        </w:rPr>
      </w:pPr>
      <w:r w:rsidRPr="00EB04F6">
        <w:rPr>
          <w:rFonts w:eastAsia="SimSun"/>
          <w:bdr w:val="none" w:sz="0" w:space="0" w:color="auto" w:frame="1"/>
        </w:rPr>
        <w:t>The Standing Committee on Justice and Community Safety (Legislative Scrutiny Role) terms of reference require consideration of human rights impacts, among other matters. In this case, no human rights are impacted.</w:t>
      </w:r>
    </w:p>
    <w:p w14:paraId="59F093AF" w14:textId="1C72A4A4" w:rsidR="004505F7" w:rsidRDefault="004505F7" w:rsidP="004505F7">
      <w:pPr>
        <w:spacing w:line="276" w:lineRule="auto"/>
      </w:pPr>
    </w:p>
    <w:sectPr w:rsidR="004505F7" w:rsidSect="00C935DC">
      <w:headerReference w:type="even" r:id="rId9"/>
      <w:headerReference w:type="default" r:id="rId10"/>
      <w:footerReference w:type="even" r:id="rId11"/>
      <w:footerReference w:type="default" r:id="rId12"/>
      <w:headerReference w:type="first" r:id="rId13"/>
      <w:footerReference w:type="first" r:id="rId14"/>
      <w:pgSz w:w="11907" w:h="16839" w:code="9"/>
      <w:pgMar w:top="1440" w:right="1304" w:bottom="1440"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3D18" w14:textId="77777777" w:rsidR="00217C7C" w:rsidRDefault="00217C7C" w:rsidP="004505F7">
      <w:r>
        <w:separator/>
      </w:r>
    </w:p>
  </w:endnote>
  <w:endnote w:type="continuationSeparator" w:id="0">
    <w:p w14:paraId="358F38B1" w14:textId="77777777" w:rsidR="00217C7C" w:rsidRDefault="00217C7C" w:rsidP="0045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71BF" w14:textId="77777777" w:rsidR="0004274B" w:rsidRDefault="00042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F712" w14:textId="54B5AA2A" w:rsidR="004505F7" w:rsidRPr="0004274B" w:rsidRDefault="0004274B" w:rsidP="0004274B">
    <w:pPr>
      <w:pStyle w:val="Footer"/>
      <w:jc w:val="center"/>
      <w:rPr>
        <w:rFonts w:cs="Arial"/>
        <w:sz w:val="14"/>
      </w:rPr>
    </w:pPr>
    <w:r w:rsidRPr="000427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3FD5" w14:textId="77777777" w:rsidR="0004274B" w:rsidRDefault="00042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8BDC" w14:textId="77777777" w:rsidR="00217C7C" w:rsidRDefault="00217C7C" w:rsidP="004505F7">
      <w:r>
        <w:separator/>
      </w:r>
    </w:p>
  </w:footnote>
  <w:footnote w:type="continuationSeparator" w:id="0">
    <w:p w14:paraId="4ED9FEA7" w14:textId="77777777" w:rsidR="00217C7C" w:rsidRDefault="00217C7C" w:rsidP="0045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479E" w14:textId="77777777" w:rsidR="0004274B" w:rsidRDefault="00042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70FB" w14:textId="77777777" w:rsidR="0004274B" w:rsidRDefault="00042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9309" w14:textId="77777777" w:rsidR="0004274B" w:rsidRDefault="00042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F7"/>
    <w:rsid w:val="0004274B"/>
    <w:rsid w:val="00063887"/>
    <w:rsid w:val="000A484E"/>
    <w:rsid w:val="000B3E19"/>
    <w:rsid w:val="000E67B7"/>
    <w:rsid w:val="001852E3"/>
    <w:rsid w:val="001C087B"/>
    <w:rsid w:val="001D049F"/>
    <w:rsid w:val="002002F8"/>
    <w:rsid w:val="00206F23"/>
    <w:rsid w:val="00217C7C"/>
    <w:rsid w:val="00217C85"/>
    <w:rsid w:val="002262DC"/>
    <w:rsid w:val="00227D1C"/>
    <w:rsid w:val="00232B22"/>
    <w:rsid w:val="00242234"/>
    <w:rsid w:val="00265E75"/>
    <w:rsid w:val="00272924"/>
    <w:rsid w:val="002C4981"/>
    <w:rsid w:val="002E0C4F"/>
    <w:rsid w:val="002F2056"/>
    <w:rsid w:val="002F6B54"/>
    <w:rsid w:val="00342C02"/>
    <w:rsid w:val="003501F4"/>
    <w:rsid w:val="003A5419"/>
    <w:rsid w:val="003C1393"/>
    <w:rsid w:val="004505F7"/>
    <w:rsid w:val="004A3027"/>
    <w:rsid w:val="004D78FA"/>
    <w:rsid w:val="004F279E"/>
    <w:rsid w:val="004F4700"/>
    <w:rsid w:val="005355F6"/>
    <w:rsid w:val="00560AEB"/>
    <w:rsid w:val="0057371F"/>
    <w:rsid w:val="00590D0C"/>
    <w:rsid w:val="005A1549"/>
    <w:rsid w:val="005B4B56"/>
    <w:rsid w:val="00600353"/>
    <w:rsid w:val="006257F8"/>
    <w:rsid w:val="0062741F"/>
    <w:rsid w:val="006343DB"/>
    <w:rsid w:val="00660BA9"/>
    <w:rsid w:val="00681973"/>
    <w:rsid w:val="00682118"/>
    <w:rsid w:val="006A1906"/>
    <w:rsid w:val="006A7C56"/>
    <w:rsid w:val="006E7D73"/>
    <w:rsid w:val="00706844"/>
    <w:rsid w:val="00721DCC"/>
    <w:rsid w:val="00747F2F"/>
    <w:rsid w:val="0077244F"/>
    <w:rsid w:val="00784CED"/>
    <w:rsid w:val="007908D3"/>
    <w:rsid w:val="007A08E6"/>
    <w:rsid w:val="007D4B20"/>
    <w:rsid w:val="0082138A"/>
    <w:rsid w:val="00831EA4"/>
    <w:rsid w:val="008B7033"/>
    <w:rsid w:val="008F04B9"/>
    <w:rsid w:val="009017EE"/>
    <w:rsid w:val="0092046D"/>
    <w:rsid w:val="00995888"/>
    <w:rsid w:val="009C560F"/>
    <w:rsid w:val="00A20306"/>
    <w:rsid w:val="00A3135D"/>
    <w:rsid w:val="00A3759C"/>
    <w:rsid w:val="00A8686C"/>
    <w:rsid w:val="00A95132"/>
    <w:rsid w:val="00B56FB9"/>
    <w:rsid w:val="00BF3F14"/>
    <w:rsid w:val="00C27650"/>
    <w:rsid w:val="00C52B99"/>
    <w:rsid w:val="00C56D29"/>
    <w:rsid w:val="00C65FF9"/>
    <w:rsid w:val="00C935DC"/>
    <w:rsid w:val="00CC6C1A"/>
    <w:rsid w:val="00CE3815"/>
    <w:rsid w:val="00D0604B"/>
    <w:rsid w:val="00D539B1"/>
    <w:rsid w:val="00DF2012"/>
    <w:rsid w:val="00E218AC"/>
    <w:rsid w:val="00E93C9E"/>
    <w:rsid w:val="00EB04F6"/>
    <w:rsid w:val="00EC20E7"/>
    <w:rsid w:val="00ED50B5"/>
    <w:rsid w:val="00EE4D48"/>
    <w:rsid w:val="00F2115C"/>
    <w:rsid w:val="00F25B35"/>
    <w:rsid w:val="00F86BB7"/>
    <w:rsid w:val="00FE26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1F25D"/>
  <w15:chartTrackingRefBased/>
  <w15:docId w15:val="{69E09FFB-F0D0-49F0-A23E-1A46786F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05F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sid w:val="004505F7"/>
    <w:rPr>
      <w:rFonts w:ascii="Arial" w:eastAsia="Times New Roman" w:hAnsi="Arial" w:cs="Times New Roman"/>
      <w:kern w:val="0"/>
      <w:sz w:val="18"/>
      <w:szCs w:val="20"/>
      <w14:ligatures w14:val="none"/>
    </w:rPr>
  </w:style>
  <w:style w:type="paragraph" w:customStyle="1" w:styleId="Billname">
    <w:name w:val="Billname"/>
    <w:basedOn w:val="Normal"/>
    <w:rsid w:val="004505F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4505F7"/>
    <w:pPr>
      <w:pBdr>
        <w:bottom w:val="single" w:sz="12" w:space="1" w:color="auto"/>
      </w:pBdr>
      <w:jc w:val="both"/>
    </w:pPr>
  </w:style>
  <w:style w:type="paragraph" w:customStyle="1" w:styleId="madeunder">
    <w:name w:val="made under"/>
    <w:basedOn w:val="Normal"/>
    <w:rsid w:val="004505F7"/>
    <w:pPr>
      <w:spacing w:before="180" w:after="60"/>
      <w:jc w:val="both"/>
    </w:pPr>
  </w:style>
  <w:style w:type="paragraph" w:customStyle="1" w:styleId="CoverActName">
    <w:name w:val="CoverActName"/>
    <w:basedOn w:val="Normal"/>
    <w:rsid w:val="004505F7"/>
    <w:pPr>
      <w:tabs>
        <w:tab w:val="left" w:pos="2600"/>
      </w:tabs>
      <w:spacing w:before="200" w:after="60"/>
      <w:jc w:val="both"/>
    </w:pPr>
    <w:rPr>
      <w:rFonts w:ascii="Arial" w:hAnsi="Arial"/>
      <w:b/>
    </w:rPr>
  </w:style>
  <w:style w:type="paragraph" w:styleId="Header">
    <w:name w:val="header"/>
    <w:basedOn w:val="Normal"/>
    <w:link w:val="HeaderChar"/>
    <w:semiHidden/>
    <w:rsid w:val="004505F7"/>
    <w:pPr>
      <w:tabs>
        <w:tab w:val="left" w:pos="2880"/>
        <w:tab w:val="center" w:pos="4153"/>
        <w:tab w:val="right" w:pos="8306"/>
      </w:tabs>
    </w:pPr>
  </w:style>
  <w:style w:type="character" w:customStyle="1" w:styleId="HeaderChar">
    <w:name w:val="Header Char"/>
    <w:basedOn w:val="DefaultParagraphFont"/>
    <w:link w:val="Header"/>
    <w:semiHidden/>
    <w:rsid w:val="004505F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1C087B"/>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9a0c5-e7b0-48d5-89b6-30e77322de54">
      <Terms xmlns="http://schemas.microsoft.com/office/infopath/2007/PartnerControls"/>
    </lcf76f155ced4ddcb4097134ff3c332f>
    <TaxCatchAll xmlns="1e820932-64aa-46f1-bfa6-a3e00abb06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B88B94B83CD45B82EFD425D284763" ma:contentTypeVersion="16" ma:contentTypeDescription="Create a new document." ma:contentTypeScope="" ma:versionID="bb3f14329dc1cd50190323d307fa66e3">
  <xsd:schema xmlns:xsd="http://www.w3.org/2001/XMLSchema" xmlns:xs="http://www.w3.org/2001/XMLSchema" xmlns:p="http://schemas.microsoft.com/office/2006/metadata/properties" xmlns:ns2="7cb9a0c5-e7b0-48d5-89b6-30e77322de54" xmlns:ns3="1e820932-64aa-46f1-bfa6-a3e00abb06f0" targetNamespace="http://schemas.microsoft.com/office/2006/metadata/properties" ma:root="true" ma:fieldsID="c25905daddb60a051c85e737845714cf" ns2:_="" ns3:_="">
    <xsd:import namespace="7cb9a0c5-e7b0-48d5-89b6-30e77322de54"/>
    <xsd:import namespace="1e820932-64aa-46f1-bfa6-a3e00abb06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a0c5-e7b0-48d5-89b6-30e7732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0932-64aa-46f1-bfa6-a3e00abb06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11d057-0cff-42d2-b3ce-b4e36e17ef97}" ma:internalName="TaxCatchAll" ma:showField="CatchAllData" ma:web="1e820932-64aa-46f1-bfa6-a3e00abb06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62BCE-6D8D-4D5A-A704-FA81598C9320}">
  <ds:schemaRefs>
    <ds:schemaRef ds:uri="http://schemas.microsoft.com/sharepoint/v3/contenttype/forms"/>
  </ds:schemaRefs>
</ds:datastoreItem>
</file>

<file path=customXml/itemProps2.xml><?xml version="1.0" encoding="utf-8"?>
<ds:datastoreItem xmlns:ds="http://schemas.openxmlformats.org/officeDocument/2006/customXml" ds:itemID="{AF35170D-D875-4837-A39C-555B482701C2}">
  <ds:schemaRefs>
    <ds:schemaRef ds:uri="http://schemas.microsoft.com/office/2006/metadata/properties"/>
    <ds:schemaRef ds:uri="http://schemas.microsoft.com/office/infopath/2007/PartnerControls"/>
    <ds:schemaRef ds:uri="7cb9a0c5-e7b0-48d5-89b6-30e77322de54"/>
    <ds:schemaRef ds:uri="1e820932-64aa-46f1-bfa6-a3e00abb06f0"/>
  </ds:schemaRefs>
</ds:datastoreItem>
</file>

<file path=customXml/itemProps3.xml><?xml version="1.0" encoding="utf-8"?>
<ds:datastoreItem xmlns:ds="http://schemas.openxmlformats.org/officeDocument/2006/customXml" ds:itemID="{1C513F1F-0978-47B2-8D1F-AF0D39E2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a0c5-e7b0-48d5-89b6-30e77322de54"/>
    <ds:schemaRef ds:uri="1e820932-64aa-46f1-bfa6-a3e00abb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1403</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2026-06-22T00:50:00Z</dcterms:created>
  <dcterms:modified xsi:type="dcterms:W3CDTF">2026-06-22T00:50:00Z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2024-06-17T23:14:46Z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e9ce1be7-4f19-4f07-b2f8-98fb4f448e83</vt:lpwstr>
  </property>
  <property fmtid="{D5CDD505-2E9C-101B-9397-08002B2CF9AE}" pid="8" name="MSIP_Label_69af8531-eb46-4968-8cb3-105d2f5ea87e_ContentBits">
    <vt:lpwstr>0</vt:lpwstr>
  </property>
  <property fmtid="{D5CDD505-2E9C-101B-9397-08002B2CF9AE}" pid="9" name="ContentTypeId">
    <vt:lpwstr>0x010100C84B88B94B83CD45B82EFD425D284763</vt:lpwstr>
  </property>
  <property fmtid="{D5CDD505-2E9C-101B-9397-08002B2CF9AE}" pid="10" name="MediaServiceImageTags">
    <vt:lpwstr/>
  </property>
</Properties>
</file>